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wmf" ContentType="image/x-wmf"/>
  <Default Extension="png" ContentType="image/png"/>
  <Default Extension="emf" ContentType="image/x-e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6784575A">
      <w:pPr>
        <w:widowControl/>
        <w:spacing w:line="480" w:lineRule="auto"/>
        <w:ind w:firstLine="0" w:firstLineChars="0"/>
        <w:jc w:val="center"/>
        <w:rPr>
          <w:rFonts w:eastAsia="黑体"/>
          <w:b/>
          <w:color w:val="000000" w:themeColor="text1"/>
          <w:sz w:val="52"/>
          <w:szCs w:val="52"/>
          <w14:textFill>
            <w14:solidFill>
              <w14:schemeClr w14:val="tx1"/>
            </w14:solidFill>
          </w14:textFill>
        </w:rPr>
      </w:pPr>
      <w:bookmarkStart w:id="0" w:name="_Hlk126165377"/>
      <w:bookmarkEnd w:id="0"/>
      <w:bookmarkStart w:id="1" w:name="_Toc57218168"/>
      <w:bookmarkStart w:id="2" w:name="_Toc136878407"/>
      <w:bookmarkStart w:id="3" w:name="_Toc53605130"/>
      <w:bookmarkStart w:id="4" w:name="_Toc58769341"/>
      <w:bookmarkStart w:id="5" w:name="_Toc55483145"/>
    </w:p>
    <w:p w14:paraId="165239D1">
      <w:pPr>
        <w:widowControl/>
        <w:spacing w:line="480" w:lineRule="auto"/>
        <w:ind w:firstLine="0" w:firstLineChars="0"/>
        <w:jc w:val="center"/>
        <w:rPr>
          <w:rFonts w:eastAsia="黑体"/>
          <w:b/>
          <w:color w:val="000000" w:themeColor="text1"/>
          <w:sz w:val="52"/>
          <w:szCs w:val="52"/>
          <w14:textFill>
            <w14:solidFill>
              <w14:schemeClr w14:val="tx1"/>
            </w14:solidFill>
          </w14:textFill>
        </w:rPr>
      </w:pPr>
      <w:r>
        <w:rPr>
          <w:rFonts w:hint="eastAsia" w:eastAsia="黑体"/>
          <w:b/>
          <w:color w:val="000000" w:themeColor="text1"/>
          <w:sz w:val="52"/>
          <w:szCs w:val="52"/>
          <w14:textFill>
            <w14:solidFill>
              <w14:schemeClr w14:val="tx1"/>
            </w14:solidFill>
          </w14:textFill>
        </w:rPr>
        <w:t>北部湾港钦州港域金谷港区金鼓江作业区14号泊位扩建工程（新增液硫、苯乙烯等装卸设施</w:t>
      </w:r>
      <w:r>
        <w:rPr>
          <w:rFonts w:eastAsia="黑体"/>
          <w:b/>
          <w:color w:val="000000" w:themeColor="text1"/>
          <w:sz w:val="52"/>
          <w:szCs w:val="52"/>
          <w14:textFill>
            <w14:solidFill>
              <w14:schemeClr w14:val="tx1"/>
            </w14:solidFill>
          </w14:textFill>
        </w:rPr>
        <w:t>）</w:t>
      </w:r>
    </w:p>
    <w:p w14:paraId="0D6D20D1">
      <w:pPr>
        <w:widowControl/>
        <w:spacing w:line="480" w:lineRule="auto"/>
        <w:ind w:firstLine="0" w:firstLineChars="0"/>
        <w:jc w:val="center"/>
        <w:rPr>
          <w:rFonts w:eastAsia="黑体"/>
          <w:b/>
          <w:color w:val="000000" w:themeColor="text1"/>
          <w:sz w:val="52"/>
          <w:szCs w:val="52"/>
          <w14:textFill>
            <w14:solidFill>
              <w14:schemeClr w14:val="tx1"/>
            </w14:solidFill>
          </w14:textFill>
        </w:rPr>
      </w:pPr>
      <w:r>
        <w:rPr>
          <w:rFonts w:eastAsia="黑体"/>
          <w:b/>
          <w:color w:val="000000" w:themeColor="text1"/>
          <w:sz w:val="52"/>
          <w:szCs w:val="52"/>
          <w14:textFill>
            <w14:solidFill>
              <w14:schemeClr w14:val="tx1"/>
            </w14:solidFill>
          </w14:textFill>
        </w:rPr>
        <w:t>环境影响报告书</w:t>
      </w:r>
    </w:p>
    <w:p w14:paraId="205345D7">
      <w:pPr>
        <w:widowControl/>
        <w:spacing w:line="480" w:lineRule="auto"/>
        <w:ind w:firstLine="0" w:firstLineChars="0"/>
        <w:jc w:val="center"/>
        <w:rPr>
          <w:rFonts w:eastAsia="黑体"/>
          <w:b/>
          <w:color w:val="000000" w:themeColor="text1"/>
          <w:sz w:val="52"/>
          <w:szCs w:val="52"/>
          <w14:textFill>
            <w14:solidFill>
              <w14:schemeClr w14:val="tx1"/>
            </w14:solidFill>
          </w14:textFill>
        </w:rPr>
      </w:pPr>
      <w:r>
        <w:rPr>
          <w:rFonts w:eastAsia="黑体"/>
          <w:b/>
          <w:color w:val="000000" w:themeColor="text1"/>
          <w:sz w:val="52"/>
          <w:szCs w:val="52"/>
          <w14:textFill>
            <w14:solidFill>
              <w14:schemeClr w14:val="tx1"/>
            </w14:solidFill>
          </w14:textFill>
        </w:rPr>
        <w:t>（报批稿）</w:t>
      </w:r>
    </w:p>
    <w:p w14:paraId="3760C1FD">
      <w:pPr>
        <w:widowControl/>
        <w:spacing w:line="480" w:lineRule="auto"/>
        <w:ind w:firstLine="0" w:firstLineChars="0"/>
        <w:jc w:val="center"/>
        <w:rPr>
          <w:rFonts w:eastAsia="黑体"/>
          <w:b/>
          <w:color w:val="000000" w:themeColor="text1"/>
          <w:sz w:val="52"/>
          <w:szCs w:val="52"/>
          <w14:textFill>
            <w14:solidFill>
              <w14:schemeClr w14:val="tx1"/>
            </w14:solidFill>
          </w14:textFill>
        </w:rPr>
      </w:pPr>
    </w:p>
    <w:p w14:paraId="2AFE9711">
      <w:pPr>
        <w:widowControl/>
        <w:spacing w:line="480" w:lineRule="auto"/>
        <w:ind w:firstLine="0" w:firstLineChars="0"/>
        <w:jc w:val="center"/>
        <w:rPr>
          <w:rFonts w:eastAsia="黑体"/>
          <w:b/>
          <w:color w:val="000000" w:themeColor="text1"/>
          <w:sz w:val="52"/>
          <w:szCs w:val="52"/>
          <w14:textFill>
            <w14:solidFill>
              <w14:schemeClr w14:val="tx1"/>
            </w14:solidFill>
          </w14:textFill>
        </w:rPr>
      </w:pPr>
    </w:p>
    <w:p w14:paraId="12D79344">
      <w:pPr>
        <w:widowControl/>
        <w:spacing w:line="480" w:lineRule="auto"/>
        <w:ind w:firstLine="0" w:firstLineChars="0"/>
        <w:jc w:val="center"/>
        <w:rPr>
          <w:rFonts w:eastAsia="黑体"/>
          <w:b/>
          <w:color w:val="000000" w:themeColor="text1"/>
          <w:sz w:val="52"/>
          <w:szCs w:val="52"/>
          <w14:textFill>
            <w14:solidFill>
              <w14:schemeClr w14:val="tx1"/>
            </w14:solidFill>
          </w14:textFill>
        </w:rPr>
      </w:pPr>
    </w:p>
    <w:p w14:paraId="4DAC84DB">
      <w:pPr>
        <w:widowControl/>
        <w:spacing w:line="480" w:lineRule="auto"/>
        <w:ind w:firstLine="0" w:firstLineChars="0"/>
        <w:jc w:val="center"/>
        <w:rPr>
          <w:rFonts w:eastAsia="黑体"/>
          <w:b/>
          <w:color w:val="000000" w:themeColor="text1"/>
          <w:sz w:val="52"/>
          <w:szCs w:val="52"/>
          <w14:textFill>
            <w14:solidFill>
              <w14:schemeClr w14:val="tx1"/>
            </w14:solidFill>
          </w14:textFill>
        </w:rPr>
      </w:pPr>
    </w:p>
    <w:p w14:paraId="39CC870A">
      <w:pPr>
        <w:widowControl/>
        <w:spacing w:line="480" w:lineRule="auto"/>
        <w:ind w:firstLine="0" w:firstLineChars="0"/>
        <w:jc w:val="center"/>
        <w:rPr>
          <w:rFonts w:eastAsia="黑体"/>
          <w:b/>
          <w:color w:val="000000" w:themeColor="text1"/>
          <w:sz w:val="52"/>
          <w:szCs w:val="52"/>
          <w14:textFill>
            <w14:solidFill>
              <w14:schemeClr w14:val="tx1"/>
            </w14:solidFill>
          </w14:textFill>
        </w:rPr>
      </w:pPr>
    </w:p>
    <w:p w14:paraId="021F76D8">
      <w:pPr>
        <w:widowControl/>
        <w:spacing w:line="480" w:lineRule="auto"/>
        <w:ind w:firstLine="0" w:firstLineChars="0"/>
        <w:jc w:val="center"/>
        <w:rPr>
          <w:rFonts w:eastAsia="黑体"/>
          <w:b/>
          <w:color w:val="000000" w:themeColor="text1"/>
          <w:sz w:val="52"/>
          <w:szCs w:val="52"/>
          <w14:textFill>
            <w14:solidFill>
              <w14:schemeClr w14:val="tx1"/>
            </w14:solidFill>
          </w14:textFill>
        </w:rPr>
      </w:pPr>
    </w:p>
    <w:p w14:paraId="39352E79">
      <w:pPr>
        <w:widowControl/>
        <w:spacing w:line="480" w:lineRule="auto"/>
        <w:ind w:firstLine="0" w:firstLineChars="0"/>
        <w:jc w:val="center"/>
        <w:rPr>
          <w:rFonts w:eastAsia="黑体"/>
          <w:b/>
          <w:color w:val="000000" w:themeColor="text1"/>
          <w:sz w:val="52"/>
          <w:szCs w:val="52"/>
          <w14:textFill>
            <w14:solidFill>
              <w14:schemeClr w14:val="tx1"/>
            </w14:solidFill>
          </w14:textFill>
        </w:rPr>
      </w:pPr>
    </w:p>
    <w:p w14:paraId="586FDCF0">
      <w:pPr>
        <w:ind w:firstLine="640"/>
        <w:rPr>
          <w:rFonts w:eastAsia="黑体"/>
          <w:color w:val="000000" w:themeColor="text1"/>
          <w:sz w:val="32"/>
          <w:szCs w:val="32"/>
          <w14:textFill>
            <w14:solidFill>
              <w14:schemeClr w14:val="tx1"/>
            </w14:solidFill>
          </w14:textFill>
        </w:rPr>
      </w:pPr>
      <w:r>
        <w:rPr>
          <w:rFonts w:eastAsia="黑体"/>
          <w:color w:val="000000" w:themeColor="text1"/>
          <w:sz w:val="32"/>
          <w:szCs w:val="32"/>
          <w14:textFill>
            <w14:solidFill>
              <w14:schemeClr w14:val="tx1"/>
            </w14:solidFill>
          </w14:textFill>
        </w:rPr>
        <w:t>建设单位：</w:t>
      </w:r>
      <w:r>
        <w:rPr>
          <w:rFonts w:hint="eastAsia" w:eastAsia="黑体"/>
          <w:color w:val="000000" w:themeColor="text1"/>
          <w:sz w:val="32"/>
          <w:szCs w:val="32"/>
          <w14:textFill>
            <w14:solidFill>
              <w14:schemeClr w14:val="tx1"/>
            </w14:solidFill>
          </w14:textFill>
        </w:rPr>
        <w:t>广西自贸区逸海港务有限责任公司</w:t>
      </w:r>
    </w:p>
    <w:p w14:paraId="258F97A7">
      <w:pPr>
        <w:spacing w:line="240" w:lineRule="auto"/>
        <w:ind w:firstLine="640"/>
        <w:rPr>
          <w:rFonts w:eastAsia="黑体"/>
          <w:color w:val="000000" w:themeColor="text1"/>
          <w:sz w:val="32"/>
          <w:szCs w:val="32"/>
          <w14:textFill>
            <w14:solidFill>
              <w14:schemeClr w14:val="tx1"/>
            </w14:solidFill>
          </w14:textFill>
        </w:rPr>
      </w:pPr>
    </w:p>
    <w:p w14:paraId="4DB163B7">
      <w:pPr>
        <w:ind w:firstLine="640"/>
        <w:rPr>
          <w:rFonts w:eastAsia="黑体"/>
          <w:color w:val="000000" w:themeColor="text1"/>
          <w:sz w:val="32"/>
          <w:szCs w:val="32"/>
          <w14:textFill>
            <w14:solidFill>
              <w14:schemeClr w14:val="tx1"/>
            </w14:solidFill>
          </w14:textFill>
        </w:rPr>
      </w:pPr>
      <w:r>
        <w:rPr>
          <w:rFonts w:eastAsia="黑体"/>
          <w:color w:val="000000" w:themeColor="text1"/>
          <w:sz w:val="32"/>
          <w:szCs w:val="32"/>
          <w14:textFill>
            <w14:solidFill>
              <w14:schemeClr w14:val="tx1"/>
            </w14:solidFill>
          </w14:textFill>
        </w:rPr>
        <w:t>编制单位：广西漫越环保科技有限公司</w:t>
      </w:r>
    </w:p>
    <w:p w14:paraId="035C463D">
      <w:pPr>
        <w:ind w:firstLine="640"/>
        <w:rPr>
          <w:rFonts w:eastAsia="黑体"/>
          <w:color w:val="000000" w:themeColor="text1"/>
          <w:sz w:val="32"/>
          <w:szCs w:val="32"/>
          <w14:textFill>
            <w14:solidFill>
              <w14:schemeClr w14:val="tx1"/>
            </w14:solidFill>
          </w14:textFill>
        </w:rPr>
      </w:pPr>
    </w:p>
    <w:p w14:paraId="78D4F398">
      <w:pPr>
        <w:ind w:firstLine="640"/>
        <w:rPr>
          <w:color w:val="000000" w:themeColor="text1"/>
          <w14:textFill>
            <w14:solidFill>
              <w14:schemeClr w14:val="tx1"/>
            </w14:solidFill>
          </w14:textFill>
        </w:rPr>
      </w:pPr>
      <w:bookmarkStart w:id="6" w:name="_Toc17536"/>
      <w:r>
        <w:rPr>
          <w:rFonts w:eastAsia="黑体"/>
          <w:color w:val="000000" w:themeColor="text1"/>
          <w:sz w:val="32"/>
          <w:szCs w:val="32"/>
          <w14:textFill>
            <w14:solidFill>
              <w14:schemeClr w14:val="tx1"/>
            </w14:solidFill>
          </w14:textFill>
        </w:rPr>
        <w:t>编制时间：二〇二六年一月</w:t>
      </w:r>
      <w:bookmarkEnd w:id="6"/>
    </w:p>
    <w:p w14:paraId="2AB2AF55">
      <w:pPr>
        <w:ind w:firstLine="0" w:firstLineChars="0"/>
        <w:rPr>
          <w:color w:val="000000" w:themeColor="text1"/>
          <w14:textFill>
            <w14:solidFill>
              <w14:schemeClr w14:val="tx1"/>
            </w14:solidFill>
          </w14:textFill>
        </w:rPr>
      </w:pPr>
    </w:p>
    <w:p w14:paraId="37D19690">
      <w:pPr>
        <w:ind w:firstLine="0" w:firstLineChars="0"/>
        <w:jc w:val="center"/>
        <w:rPr>
          <w:color w:val="000000" w:themeColor="text1"/>
          <w14:textFill>
            <w14:solidFill>
              <w14:schemeClr w14:val="tx1"/>
            </w14:solidFill>
          </w14:textFill>
        </w:rPr>
        <w:sectPr>
          <w:headerReference r:id="rId7" w:type="first"/>
          <w:footerReference r:id="rId10" w:type="first"/>
          <w:headerReference r:id="rId5" w:type="default"/>
          <w:footerReference r:id="rId8" w:type="default"/>
          <w:headerReference r:id="rId6" w:type="even"/>
          <w:footerReference r:id="rId9" w:type="even"/>
          <w:pgSz w:w="11906" w:h="16838"/>
          <w:pgMar w:top="1440" w:right="1797" w:bottom="1440" w:left="1797" w:header="851" w:footer="992" w:gutter="0"/>
          <w:pgBorders>
            <w:top w:val="none" w:sz="0" w:space="0"/>
            <w:left w:val="none" w:sz="0" w:space="0"/>
            <w:bottom w:val="none" w:sz="0" w:space="0"/>
            <w:right w:val="none" w:sz="0" w:space="0"/>
          </w:pgBorders>
          <w:pgNumType w:fmt="numberInDash" w:start="1"/>
          <w:cols w:space="720" w:num="1"/>
          <w:docGrid w:type="lines" w:linePitch="326" w:charSpace="0"/>
        </w:sectPr>
      </w:pPr>
    </w:p>
    <w:tbl>
      <w:tblPr>
        <w:tblStyle w:val="44"/>
        <w:tblW w:w="928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70"/>
        <w:gridCol w:w="4817"/>
      </w:tblGrid>
      <w:tr w14:paraId="5A94BF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70" w:type="dxa"/>
            <w:vAlign w:val="center"/>
          </w:tcPr>
          <w:p w14:paraId="1CB8ABC8">
            <w:pPr>
              <w:pStyle w:val="18"/>
              <w:jc w:val="center"/>
              <w:rPr>
                <w:rFonts w:ascii="Times New Roman" w:hAnsi="Times New Roman"/>
                <w:color w:val="000000" w:themeColor="text1"/>
                <w14:textFill>
                  <w14:solidFill>
                    <w14:schemeClr w14:val="tx1"/>
                  </w14:solidFill>
                </w14:textFill>
              </w:rPr>
            </w:pPr>
            <w:r>
              <w:rPr>
                <w:rFonts w:hint="eastAsia" w:ascii="Times New Roman" w:hAnsi="Times New Roman"/>
                <w:color w:val="000000" w:themeColor="text1"/>
                <w:lang w:val="en-US" w:bidi="ar-SA"/>
                <w14:textFill>
                  <w14:solidFill>
                    <w14:schemeClr w14:val="tx1"/>
                  </w14:solidFill>
                </w14:textFill>
              </w:rPr>
              <w:drawing>
                <wp:inline distT="0" distB="0" distL="114300" distR="114300">
                  <wp:extent cx="2879090" cy="1919605"/>
                  <wp:effectExtent l="0" t="0" r="16510" b="4445"/>
                  <wp:docPr id="44" name="图片 44" descr="DJI_0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DJI_0541"/>
                          <pic:cNvPicPr>
                            <a:picLocks noChangeAspect="1"/>
                          </pic:cNvPicPr>
                        </pic:nvPicPr>
                        <pic:blipFill>
                          <a:blip r:embed="rId38"/>
                          <a:stretch>
                            <a:fillRect/>
                          </a:stretch>
                        </pic:blipFill>
                        <pic:spPr>
                          <a:xfrm>
                            <a:off x="0" y="0"/>
                            <a:ext cx="2879090" cy="1919605"/>
                          </a:xfrm>
                          <a:prstGeom prst="rect">
                            <a:avLst/>
                          </a:prstGeom>
                        </pic:spPr>
                      </pic:pic>
                    </a:graphicData>
                  </a:graphic>
                </wp:inline>
              </w:drawing>
            </w:r>
          </w:p>
        </w:tc>
        <w:tc>
          <w:tcPr>
            <w:tcW w:w="4817" w:type="dxa"/>
            <w:vAlign w:val="center"/>
          </w:tcPr>
          <w:p w14:paraId="7D03B4EB">
            <w:pPr>
              <w:pStyle w:val="18"/>
              <w:jc w:val="center"/>
              <w:rPr>
                <w:rFonts w:ascii="Times New Roman" w:hAnsi="Times New Roman"/>
                <w:color w:val="000000" w:themeColor="text1"/>
                <w14:textFill>
                  <w14:solidFill>
                    <w14:schemeClr w14:val="tx1"/>
                  </w14:solidFill>
                </w14:textFill>
              </w:rPr>
            </w:pPr>
            <w:r>
              <w:rPr>
                <w:rFonts w:hint="eastAsia" w:ascii="Times New Roman" w:hAnsi="Times New Roman"/>
                <w:color w:val="000000" w:themeColor="text1"/>
                <w:lang w:val="en-US" w:bidi="ar-SA"/>
                <w14:textFill>
                  <w14:solidFill>
                    <w14:schemeClr w14:val="tx1"/>
                  </w14:solidFill>
                </w14:textFill>
              </w:rPr>
              <w:drawing>
                <wp:inline distT="0" distB="0" distL="114300" distR="114300">
                  <wp:extent cx="2879090" cy="1919605"/>
                  <wp:effectExtent l="0" t="0" r="16510" b="4445"/>
                  <wp:docPr id="45" name="图片 45" descr="DJI_0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DJI_0542"/>
                          <pic:cNvPicPr>
                            <a:picLocks noChangeAspect="1"/>
                          </pic:cNvPicPr>
                        </pic:nvPicPr>
                        <pic:blipFill>
                          <a:blip r:embed="rId39"/>
                          <a:stretch>
                            <a:fillRect/>
                          </a:stretch>
                        </pic:blipFill>
                        <pic:spPr>
                          <a:xfrm>
                            <a:off x="0" y="0"/>
                            <a:ext cx="2879090" cy="1919605"/>
                          </a:xfrm>
                          <a:prstGeom prst="rect">
                            <a:avLst/>
                          </a:prstGeom>
                        </pic:spPr>
                      </pic:pic>
                    </a:graphicData>
                  </a:graphic>
                </wp:inline>
              </w:drawing>
            </w:r>
          </w:p>
        </w:tc>
      </w:tr>
      <w:tr w14:paraId="24F748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70" w:type="dxa"/>
            <w:vAlign w:val="center"/>
          </w:tcPr>
          <w:p w14:paraId="232646D2">
            <w:pPr>
              <w:pStyle w:val="18"/>
              <w:jc w:val="center"/>
              <w:rPr>
                <w:rFonts w:ascii="Times New Roman" w:hAnsi="Times New Roman"/>
                <w:color w:val="000000" w:themeColor="text1"/>
                <w14:textFill>
                  <w14:solidFill>
                    <w14:schemeClr w14:val="tx1"/>
                  </w14:solidFill>
                </w14:textFill>
              </w:rPr>
            </w:pPr>
            <w:r>
              <w:rPr>
                <w:rFonts w:hint="eastAsia" w:ascii="Times New Roman" w:hAnsi="Times New Roman"/>
                <w:color w:val="000000" w:themeColor="text1"/>
                <w14:textFill>
                  <w14:solidFill>
                    <w14:schemeClr w14:val="tx1"/>
                  </w14:solidFill>
                </w14:textFill>
              </w:rPr>
              <w:t>14号泊位水工部分</w:t>
            </w:r>
          </w:p>
        </w:tc>
        <w:tc>
          <w:tcPr>
            <w:tcW w:w="4817" w:type="dxa"/>
            <w:vAlign w:val="center"/>
          </w:tcPr>
          <w:p w14:paraId="0488E243">
            <w:pPr>
              <w:pStyle w:val="18"/>
              <w:jc w:val="center"/>
              <w:rPr>
                <w:rFonts w:ascii="Times New Roman" w:hAnsi="Times New Roman"/>
                <w:color w:val="000000" w:themeColor="text1"/>
                <w14:textFill>
                  <w14:solidFill>
                    <w14:schemeClr w14:val="tx1"/>
                  </w14:solidFill>
                </w14:textFill>
              </w:rPr>
            </w:pPr>
            <w:r>
              <w:rPr>
                <w:rFonts w:hint="eastAsia" w:ascii="Times New Roman" w:hAnsi="Times New Roman"/>
                <w:color w:val="000000" w:themeColor="text1"/>
                <w14:textFill>
                  <w14:solidFill>
                    <w14:schemeClr w14:val="tx1"/>
                  </w14:solidFill>
                </w14:textFill>
              </w:rPr>
              <w:t>14号泊位陆域部分</w:t>
            </w:r>
          </w:p>
        </w:tc>
      </w:tr>
      <w:tr w14:paraId="44F42E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70" w:type="dxa"/>
            <w:vAlign w:val="center"/>
          </w:tcPr>
          <w:p w14:paraId="1C779A62">
            <w:pPr>
              <w:pStyle w:val="18"/>
              <w:jc w:val="center"/>
              <w:rPr>
                <w:rFonts w:ascii="Times New Roman" w:hAnsi="Times New Roman"/>
                <w:color w:val="000000" w:themeColor="text1"/>
                <w14:textFill>
                  <w14:solidFill>
                    <w14:schemeClr w14:val="tx1"/>
                  </w14:solidFill>
                </w14:textFill>
              </w:rPr>
            </w:pPr>
            <w:r>
              <w:rPr>
                <w:rFonts w:hint="eastAsia" w:ascii="Times New Roman" w:hAnsi="Times New Roman"/>
                <w:color w:val="000000" w:themeColor="text1"/>
                <w:kern w:val="2"/>
                <w:lang w:val="en-US" w:bidi="ar-SA"/>
                <w14:textFill>
                  <w14:solidFill>
                    <w14:schemeClr w14:val="tx1"/>
                  </w14:solidFill>
                </w14:textFill>
              </w:rPr>
              <w:drawing>
                <wp:inline distT="0" distB="0" distL="114300" distR="114300">
                  <wp:extent cx="2879090" cy="2159635"/>
                  <wp:effectExtent l="0" t="0" r="16510" b="12065"/>
                  <wp:docPr id="46" name="图片 46" descr="IMG_20250915_110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IMG_20250915_110800"/>
                          <pic:cNvPicPr>
                            <a:picLocks noChangeAspect="1"/>
                          </pic:cNvPicPr>
                        </pic:nvPicPr>
                        <pic:blipFill>
                          <a:blip r:embed="rId40"/>
                          <a:stretch>
                            <a:fillRect/>
                          </a:stretch>
                        </pic:blipFill>
                        <pic:spPr>
                          <a:xfrm>
                            <a:off x="0" y="0"/>
                            <a:ext cx="2879090" cy="2159635"/>
                          </a:xfrm>
                          <a:prstGeom prst="rect">
                            <a:avLst/>
                          </a:prstGeom>
                        </pic:spPr>
                      </pic:pic>
                    </a:graphicData>
                  </a:graphic>
                </wp:inline>
              </w:drawing>
            </w:r>
          </w:p>
        </w:tc>
        <w:tc>
          <w:tcPr>
            <w:tcW w:w="4817" w:type="dxa"/>
            <w:vAlign w:val="center"/>
          </w:tcPr>
          <w:p w14:paraId="4BE71306">
            <w:pPr>
              <w:pStyle w:val="18"/>
              <w:jc w:val="center"/>
              <w:rPr>
                <w:rFonts w:ascii="Times New Roman" w:hAnsi="Times New Roman"/>
                <w:color w:val="000000" w:themeColor="text1"/>
                <w14:textFill>
                  <w14:solidFill>
                    <w14:schemeClr w14:val="tx1"/>
                  </w14:solidFill>
                </w14:textFill>
              </w:rPr>
            </w:pPr>
            <w:r>
              <w:rPr>
                <w:rFonts w:hint="eastAsia" w:ascii="Times New Roman" w:hAnsi="Times New Roman"/>
                <w:color w:val="000000" w:themeColor="text1"/>
                <w:kern w:val="2"/>
                <w:lang w:val="en-US" w:bidi="ar-SA"/>
                <w14:textFill>
                  <w14:solidFill>
                    <w14:schemeClr w14:val="tx1"/>
                  </w14:solidFill>
                </w14:textFill>
              </w:rPr>
              <w:drawing>
                <wp:inline distT="0" distB="0" distL="114300" distR="114300">
                  <wp:extent cx="2879090" cy="2159635"/>
                  <wp:effectExtent l="0" t="0" r="16510" b="12065"/>
                  <wp:docPr id="47" name="图片 47" descr="IMG_20250915_110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IMG_20250915_110659"/>
                          <pic:cNvPicPr>
                            <a:picLocks noChangeAspect="1"/>
                          </pic:cNvPicPr>
                        </pic:nvPicPr>
                        <pic:blipFill>
                          <a:blip r:embed="rId41"/>
                          <a:stretch>
                            <a:fillRect/>
                          </a:stretch>
                        </pic:blipFill>
                        <pic:spPr>
                          <a:xfrm>
                            <a:off x="0" y="0"/>
                            <a:ext cx="2879090" cy="2159635"/>
                          </a:xfrm>
                          <a:prstGeom prst="rect">
                            <a:avLst/>
                          </a:prstGeom>
                        </pic:spPr>
                      </pic:pic>
                    </a:graphicData>
                  </a:graphic>
                </wp:inline>
              </w:drawing>
            </w:r>
          </w:p>
        </w:tc>
      </w:tr>
      <w:tr w14:paraId="0C8F55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70" w:type="dxa"/>
            <w:vAlign w:val="center"/>
          </w:tcPr>
          <w:p w14:paraId="5DAEF684">
            <w:pPr>
              <w:pStyle w:val="18"/>
              <w:jc w:val="center"/>
              <w:rPr>
                <w:rFonts w:ascii="Times New Roman" w:hAnsi="Times New Roman"/>
                <w:color w:val="000000" w:themeColor="text1"/>
                <w14:textFill>
                  <w14:solidFill>
                    <w14:schemeClr w14:val="tx1"/>
                  </w14:solidFill>
                </w14:textFill>
              </w:rPr>
            </w:pPr>
            <w:r>
              <w:rPr>
                <w:rFonts w:hint="eastAsia" w:ascii="Times New Roman" w:hAnsi="Times New Roman"/>
                <w:color w:val="000000" w:themeColor="text1"/>
                <w14:textFill>
                  <w14:solidFill>
                    <w14:schemeClr w14:val="tx1"/>
                  </w14:solidFill>
                </w14:textFill>
              </w:rPr>
              <w:t>装卸臂</w:t>
            </w:r>
          </w:p>
        </w:tc>
        <w:tc>
          <w:tcPr>
            <w:tcW w:w="4817" w:type="dxa"/>
            <w:vAlign w:val="center"/>
          </w:tcPr>
          <w:p w14:paraId="016F6EF6">
            <w:pPr>
              <w:pStyle w:val="18"/>
              <w:jc w:val="center"/>
              <w:rPr>
                <w:rFonts w:ascii="Times New Roman" w:hAnsi="Times New Roman"/>
                <w:color w:val="000000" w:themeColor="text1"/>
                <w14:textFill>
                  <w14:solidFill>
                    <w14:schemeClr w14:val="tx1"/>
                  </w14:solidFill>
                </w14:textFill>
              </w:rPr>
            </w:pPr>
            <w:r>
              <w:rPr>
                <w:rFonts w:hint="eastAsia" w:ascii="Times New Roman" w:hAnsi="Times New Roman"/>
                <w:color w:val="000000" w:themeColor="text1"/>
                <w14:textFill>
                  <w14:solidFill>
                    <w14:schemeClr w14:val="tx1"/>
                  </w14:solidFill>
                </w14:textFill>
              </w:rPr>
              <w:t>登船梯和消防炮楼</w:t>
            </w:r>
          </w:p>
        </w:tc>
      </w:tr>
      <w:tr w14:paraId="35924F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70" w:type="dxa"/>
            <w:vAlign w:val="center"/>
          </w:tcPr>
          <w:p w14:paraId="52008E11">
            <w:pPr>
              <w:pStyle w:val="18"/>
              <w:jc w:val="center"/>
              <w:rPr>
                <w:rFonts w:ascii="Times New Roman" w:hAnsi="Times New Roman"/>
                <w:color w:val="000000" w:themeColor="text1"/>
                <w14:textFill>
                  <w14:solidFill>
                    <w14:schemeClr w14:val="tx1"/>
                  </w14:solidFill>
                </w14:textFill>
              </w:rPr>
            </w:pPr>
            <w:r>
              <w:rPr>
                <w:rFonts w:hint="eastAsia" w:ascii="Times New Roman" w:hAnsi="Times New Roman"/>
                <w:color w:val="000000" w:themeColor="text1"/>
                <w:lang w:val="en-US" w:bidi="ar-SA"/>
                <w14:textFill>
                  <w14:solidFill>
                    <w14:schemeClr w14:val="tx1"/>
                  </w14:solidFill>
                </w14:textFill>
              </w:rPr>
              <w:drawing>
                <wp:inline distT="0" distB="0" distL="114300" distR="114300">
                  <wp:extent cx="2879725" cy="1962150"/>
                  <wp:effectExtent l="0" t="0" r="15875" b="0"/>
                  <wp:docPr id="51" name="图片 51" descr="6229fa19-317f-4fc9-b86c-d874e0d88df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6229fa19-317f-4fc9-b86c-d874e0d88df6"/>
                          <pic:cNvPicPr>
                            <a:picLocks noChangeAspect="1"/>
                          </pic:cNvPicPr>
                        </pic:nvPicPr>
                        <pic:blipFill>
                          <a:blip r:embed="rId42"/>
                          <a:srcRect l="2712" r="2867"/>
                          <a:stretch>
                            <a:fillRect/>
                          </a:stretch>
                        </pic:blipFill>
                        <pic:spPr>
                          <a:xfrm>
                            <a:off x="0" y="0"/>
                            <a:ext cx="2879725" cy="1962150"/>
                          </a:xfrm>
                          <a:prstGeom prst="rect">
                            <a:avLst/>
                          </a:prstGeom>
                        </pic:spPr>
                      </pic:pic>
                    </a:graphicData>
                  </a:graphic>
                </wp:inline>
              </w:drawing>
            </w:r>
          </w:p>
        </w:tc>
        <w:tc>
          <w:tcPr>
            <w:tcW w:w="4817" w:type="dxa"/>
            <w:vAlign w:val="center"/>
          </w:tcPr>
          <w:p w14:paraId="49299ACF">
            <w:pPr>
              <w:pStyle w:val="18"/>
              <w:jc w:val="center"/>
              <w:rPr>
                <w:rFonts w:ascii="Times New Roman" w:hAnsi="Times New Roman"/>
                <w:color w:val="000000" w:themeColor="text1"/>
                <w14:textFill>
                  <w14:solidFill>
                    <w14:schemeClr w14:val="tx1"/>
                  </w14:solidFill>
                </w14:textFill>
              </w:rPr>
            </w:pPr>
            <w:r>
              <w:rPr>
                <w:rFonts w:hint="eastAsia" w:ascii="Times New Roman" w:hAnsi="Times New Roman"/>
                <w:color w:val="000000" w:themeColor="text1"/>
                <w:lang w:val="en-US" w:bidi="ar-SA"/>
                <w14:textFill>
                  <w14:solidFill>
                    <w14:schemeClr w14:val="tx1"/>
                  </w14:solidFill>
                </w14:textFill>
              </w:rPr>
              <w:drawing>
                <wp:inline distT="0" distB="0" distL="114300" distR="114300">
                  <wp:extent cx="2877820" cy="2159635"/>
                  <wp:effectExtent l="0" t="0" r="17780" b="12065"/>
                  <wp:docPr id="2" name="图片 2" descr="75aff663b625d72703b46bcb99a9bf33-4506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75aff663b625d72703b46bcb99a9bf33-4506735"/>
                          <pic:cNvPicPr>
                            <a:picLocks noChangeAspect="1"/>
                          </pic:cNvPicPr>
                        </pic:nvPicPr>
                        <pic:blipFill>
                          <a:blip r:embed="rId43"/>
                          <a:stretch>
                            <a:fillRect/>
                          </a:stretch>
                        </pic:blipFill>
                        <pic:spPr>
                          <a:xfrm>
                            <a:off x="0" y="0"/>
                            <a:ext cx="2877820" cy="2159635"/>
                          </a:xfrm>
                          <a:prstGeom prst="rect">
                            <a:avLst/>
                          </a:prstGeom>
                        </pic:spPr>
                      </pic:pic>
                    </a:graphicData>
                  </a:graphic>
                </wp:inline>
              </w:drawing>
            </w:r>
          </w:p>
        </w:tc>
      </w:tr>
      <w:tr w14:paraId="5A165D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70" w:type="dxa"/>
            <w:vAlign w:val="center"/>
          </w:tcPr>
          <w:p w14:paraId="4A009DBB">
            <w:pPr>
              <w:pStyle w:val="18"/>
              <w:jc w:val="center"/>
              <w:rPr>
                <w:rFonts w:ascii="Times New Roman" w:hAnsi="Times New Roman"/>
                <w:color w:val="000000" w:themeColor="text1"/>
                <w14:textFill>
                  <w14:solidFill>
                    <w14:schemeClr w14:val="tx1"/>
                  </w14:solidFill>
                </w14:textFill>
              </w:rPr>
            </w:pPr>
            <w:r>
              <w:rPr>
                <w:rFonts w:hint="eastAsia" w:ascii="Times New Roman" w:hAnsi="Times New Roman"/>
                <w:color w:val="000000" w:themeColor="text1"/>
                <w14:textFill>
                  <w14:solidFill>
                    <w14:schemeClr w14:val="tx1"/>
                  </w14:solidFill>
                </w14:textFill>
              </w:rPr>
              <w:t>液氨储罐</w:t>
            </w:r>
          </w:p>
        </w:tc>
        <w:tc>
          <w:tcPr>
            <w:tcW w:w="4817" w:type="dxa"/>
            <w:vAlign w:val="center"/>
          </w:tcPr>
          <w:p w14:paraId="02713C39">
            <w:pPr>
              <w:pStyle w:val="18"/>
              <w:jc w:val="center"/>
              <w:rPr>
                <w:rFonts w:ascii="Times New Roman" w:hAnsi="Times New Roman"/>
                <w:color w:val="000000" w:themeColor="text1"/>
                <w14:textFill>
                  <w14:solidFill>
                    <w14:schemeClr w14:val="tx1"/>
                  </w14:solidFill>
                </w14:textFill>
              </w:rPr>
            </w:pPr>
            <w:r>
              <w:rPr>
                <w:rFonts w:hint="eastAsia" w:ascii="Times New Roman" w:hAnsi="Times New Roman"/>
                <w:color w:val="000000" w:themeColor="text1"/>
                <w14:textFill>
                  <w14:solidFill>
                    <w14:schemeClr w14:val="tx1"/>
                  </w14:solidFill>
                </w14:textFill>
              </w:rPr>
              <w:t>厂区管廊系统</w:t>
            </w:r>
          </w:p>
        </w:tc>
      </w:tr>
      <w:tr w14:paraId="68FC21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87" w:type="dxa"/>
            <w:gridSpan w:val="2"/>
            <w:vAlign w:val="center"/>
          </w:tcPr>
          <w:p w14:paraId="6676EA96">
            <w:pPr>
              <w:pStyle w:val="18"/>
              <w:jc w:val="center"/>
              <w:rPr>
                <w:rFonts w:ascii="Times New Roman" w:hAnsi="Times New Roman"/>
                <w:color w:val="000000" w:themeColor="text1"/>
                <w14:textFill>
                  <w14:solidFill>
                    <w14:schemeClr w14:val="tx1"/>
                  </w14:solidFill>
                </w14:textFill>
              </w:rPr>
            </w:pPr>
            <w:r>
              <w:rPr>
                <w:rFonts w:hint="eastAsia" w:ascii="Times New Roman" w:hAnsi="Times New Roman"/>
                <w:color w:val="000000" w:themeColor="text1"/>
                <w:lang w:val="en-US" w:bidi="ar-SA"/>
                <w14:textFill>
                  <w14:solidFill>
                    <w14:schemeClr w14:val="tx1"/>
                  </w14:solidFill>
                </w14:textFill>
              </w:rPr>
              <w:drawing>
                <wp:inline distT="0" distB="0" distL="114300" distR="114300">
                  <wp:extent cx="5698490" cy="3798570"/>
                  <wp:effectExtent l="0" t="0" r="16510" b="11430"/>
                  <wp:docPr id="49" name="图片 49" descr="DJI_0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DJI_0559"/>
                          <pic:cNvPicPr>
                            <a:picLocks noChangeAspect="1"/>
                          </pic:cNvPicPr>
                        </pic:nvPicPr>
                        <pic:blipFill>
                          <a:blip r:embed="rId44"/>
                          <a:stretch>
                            <a:fillRect/>
                          </a:stretch>
                        </pic:blipFill>
                        <pic:spPr>
                          <a:xfrm>
                            <a:off x="0" y="0"/>
                            <a:ext cx="5698490" cy="3798570"/>
                          </a:xfrm>
                          <a:prstGeom prst="rect">
                            <a:avLst/>
                          </a:prstGeom>
                        </pic:spPr>
                      </pic:pic>
                    </a:graphicData>
                  </a:graphic>
                </wp:inline>
              </w:drawing>
            </w:r>
          </w:p>
        </w:tc>
      </w:tr>
      <w:tr w14:paraId="411385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87" w:type="dxa"/>
            <w:gridSpan w:val="2"/>
            <w:vAlign w:val="center"/>
          </w:tcPr>
          <w:p w14:paraId="08C825E7">
            <w:pPr>
              <w:pStyle w:val="18"/>
              <w:jc w:val="center"/>
              <w:rPr>
                <w:rFonts w:ascii="Times New Roman" w:hAnsi="Times New Roman"/>
                <w:color w:val="000000" w:themeColor="text1"/>
                <w14:textFill>
                  <w14:solidFill>
                    <w14:schemeClr w14:val="tx1"/>
                  </w14:solidFill>
                </w14:textFill>
              </w:rPr>
            </w:pPr>
            <w:r>
              <w:rPr>
                <w:rFonts w:hint="eastAsia" w:ascii="Times New Roman" w:hAnsi="Times New Roman"/>
                <w:color w:val="000000" w:themeColor="text1"/>
                <w14:textFill>
                  <w14:solidFill>
                    <w14:schemeClr w14:val="tx1"/>
                  </w14:solidFill>
                </w14:textFill>
              </w:rPr>
              <w:t>项目俯瞰视角</w:t>
            </w:r>
          </w:p>
        </w:tc>
      </w:tr>
      <w:tr w14:paraId="60C34A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87" w:type="dxa"/>
            <w:gridSpan w:val="2"/>
            <w:vAlign w:val="center"/>
          </w:tcPr>
          <w:p w14:paraId="11A3ED8A">
            <w:pPr>
              <w:pStyle w:val="18"/>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lang w:val="en-US" w:bidi="ar-SA"/>
                <w14:textFill>
                  <w14:solidFill>
                    <w14:schemeClr w14:val="tx1"/>
                  </w14:solidFill>
                </w14:textFill>
              </w:rPr>
              <w:drawing>
                <wp:inline distT="0" distB="0" distL="114300" distR="114300">
                  <wp:extent cx="5698490" cy="3799205"/>
                  <wp:effectExtent l="0" t="0" r="16510" b="10795"/>
                  <wp:docPr id="54" name="图片 54" descr="DJI_0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DJI_0537"/>
                          <pic:cNvPicPr>
                            <a:picLocks noChangeAspect="1"/>
                          </pic:cNvPicPr>
                        </pic:nvPicPr>
                        <pic:blipFill>
                          <a:blip r:embed="rId45"/>
                          <a:stretch>
                            <a:fillRect/>
                          </a:stretch>
                        </pic:blipFill>
                        <pic:spPr>
                          <a:xfrm>
                            <a:off x="0" y="0"/>
                            <a:ext cx="5698490" cy="3799205"/>
                          </a:xfrm>
                          <a:prstGeom prst="rect">
                            <a:avLst/>
                          </a:prstGeom>
                        </pic:spPr>
                      </pic:pic>
                    </a:graphicData>
                  </a:graphic>
                </wp:inline>
              </w:drawing>
            </w:r>
          </w:p>
        </w:tc>
      </w:tr>
      <w:tr w14:paraId="64A73D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87" w:type="dxa"/>
            <w:gridSpan w:val="2"/>
            <w:vAlign w:val="center"/>
          </w:tcPr>
          <w:p w14:paraId="00B4DF9C">
            <w:pPr>
              <w:pStyle w:val="18"/>
              <w:jc w:val="center"/>
              <w:rPr>
                <w:rFonts w:ascii="Times New Roman" w:hAnsi="Times New Roman"/>
                <w:color w:val="000000" w:themeColor="text1"/>
                <w14:textFill>
                  <w14:solidFill>
                    <w14:schemeClr w14:val="tx1"/>
                  </w14:solidFill>
                </w14:textFill>
              </w:rPr>
            </w:pPr>
            <w:r>
              <w:rPr>
                <w:rFonts w:hint="eastAsia" w:ascii="Times New Roman" w:hAnsi="Times New Roman"/>
                <w:color w:val="000000" w:themeColor="text1"/>
                <w14:textFill>
                  <w14:solidFill>
                    <w14:schemeClr w14:val="tx1"/>
                  </w14:solidFill>
                </w14:textFill>
              </w:rPr>
              <w:t>项目俯瞰视角</w:t>
            </w:r>
          </w:p>
        </w:tc>
      </w:tr>
    </w:tbl>
    <w:p w14:paraId="6F0F7CF7">
      <w:pPr>
        <w:widowControl/>
        <w:spacing w:line="240" w:lineRule="auto"/>
        <w:ind w:firstLine="0" w:firstLineChars="0"/>
        <w:jc w:val="left"/>
        <w:rPr>
          <w:color w:val="000000" w:themeColor="text1"/>
          <w14:textFill>
            <w14:solidFill>
              <w14:schemeClr w14:val="tx1"/>
            </w14:solidFill>
          </w14:textFill>
        </w:rPr>
      </w:pPr>
    </w:p>
    <w:p w14:paraId="6DB42A6E">
      <w:pPr>
        <w:widowControl/>
        <w:spacing w:line="240" w:lineRule="auto"/>
        <w:ind w:firstLine="0" w:firstLineChars="0"/>
        <w:jc w:val="left"/>
        <w:rPr>
          <w:color w:val="000000" w:themeColor="text1"/>
          <w14:textFill>
            <w14:solidFill>
              <w14:schemeClr w14:val="tx1"/>
            </w14:solidFill>
          </w14:textFill>
        </w:rPr>
      </w:pPr>
    </w:p>
    <w:p w14:paraId="1836B381">
      <w:pPr>
        <w:pStyle w:val="101"/>
        <w:ind w:firstLine="0"/>
        <w:rPr>
          <w:color w:val="000000" w:themeColor="text1"/>
          <w:sz w:val="36"/>
          <w:szCs w:val="36"/>
          <w14:textFill>
            <w14:solidFill>
              <w14:schemeClr w14:val="tx1"/>
            </w14:solidFill>
          </w14:textFill>
        </w:rPr>
      </w:pPr>
      <w:bookmarkStart w:id="7" w:name="_Toc216620319"/>
      <w:bookmarkStart w:id="8" w:name="_Toc216103160"/>
      <w:r>
        <w:rPr>
          <w:color w:val="000000" w:themeColor="text1"/>
          <w:sz w:val="36"/>
          <w:szCs w:val="36"/>
          <w14:textFill>
            <w14:solidFill>
              <w14:schemeClr w14:val="tx1"/>
            </w14:solidFill>
          </w14:textFill>
        </w:rPr>
        <w:t>概 述</w:t>
      </w:r>
      <w:bookmarkEnd w:id="1"/>
      <w:bookmarkEnd w:id="2"/>
      <w:bookmarkEnd w:id="3"/>
      <w:bookmarkEnd w:id="4"/>
      <w:bookmarkEnd w:id="5"/>
      <w:bookmarkEnd w:id="7"/>
      <w:bookmarkEnd w:id="8"/>
    </w:p>
    <w:p w14:paraId="115B5084">
      <w:pPr>
        <w:autoSpaceDE w:val="0"/>
        <w:autoSpaceDN w:val="0"/>
        <w:ind w:firstLine="482"/>
        <w:jc w:val="left"/>
        <w:rPr>
          <w:b/>
          <w:color w:val="000000" w:themeColor="text1"/>
          <w14:textFill>
            <w14:solidFill>
              <w14:schemeClr w14:val="tx1"/>
            </w14:solidFill>
          </w14:textFill>
        </w:rPr>
      </w:pPr>
    </w:p>
    <w:p w14:paraId="4C754784">
      <w:pPr>
        <w:autoSpaceDE w:val="0"/>
        <w:autoSpaceDN w:val="0"/>
        <w:ind w:firstLine="482"/>
        <w:jc w:val="left"/>
        <w:rPr>
          <w:b/>
          <w:color w:val="000000" w:themeColor="text1"/>
          <w14:textFill>
            <w14:solidFill>
              <w14:schemeClr w14:val="tx1"/>
            </w14:solidFill>
          </w14:textFill>
        </w:rPr>
      </w:pPr>
      <w:r>
        <w:rPr>
          <w:b/>
          <w:color w:val="000000" w:themeColor="text1"/>
          <w14:textFill>
            <w14:solidFill>
              <w14:schemeClr w14:val="tx1"/>
            </w14:solidFill>
          </w14:textFill>
        </w:rPr>
        <w:t>一、</w:t>
      </w:r>
      <w:r>
        <w:rPr>
          <w:rFonts w:hint="eastAsia"/>
          <w:b/>
          <w:color w:val="000000" w:themeColor="text1"/>
          <w14:textFill>
            <w14:solidFill>
              <w14:schemeClr w14:val="tx1"/>
            </w14:solidFill>
          </w14:textFill>
        </w:rPr>
        <w:t>广西自贸区逸海港务有限责任公司</w:t>
      </w:r>
      <w:r>
        <w:rPr>
          <w:b/>
          <w:color w:val="000000" w:themeColor="text1"/>
          <w14:textFill>
            <w14:solidFill>
              <w14:schemeClr w14:val="tx1"/>
            </w14:solidFill>
          </w14:textFill>
        </w:rPr>
        <w:t>建设单位基本情况</w:t>
      </w:r>
    </w:p>
    <w:p w14:paraId="425FF6E9">
      <w:pPr>
        <w:autoSpaceDE w:val="0"/>
        <w:autoSpaceDN w:val="0"/>
        <w:ind w:firstLine="48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广西自贸区逸海港务有限责任公司位于广西钦州港经济技术开发区石化产业园区内，2022年3月由广西恒逸新材料有限公司持股66%，广西临海工业投资集团有限公司持股34%，共同出资组建。</w:t>
      </w:r>
    </w:p>
    <w:p w14:paraId="130AC5AE">
      <w:pPr>
        <w:autoSpaceDE w:val="0"/>
        <w:autoSpaceDN w:val="0"/>
        <w:ind w:firstLine="482"/>
        <w:jc w:val="left"/>
        <w:rPr>
          <w:b/>
          <w:color w:val="000000" w:themeColor="text1"/>
          <w14:textFill>
            <w14:solidFill>
              <w14:schemeClr w14:val="tx1"/>
            </w14:solidFill>
          </w14:textFill>
        </w:rPr>
      </w:pPr>
      <w:r>
        <w:rPr>
          <w:rFonts w:hint="eastAsia"/>
          <w:b/>
          <w:color w:val="000000" w:themeColor="text1"/>
          <w14:textFill>
            <w14:solidFill>
              <w14:schemeClr w14:val="tx1"/>
            </w14:solidFill>
          </w14:textFill>
        </w:rPr>
        <w:t>二、钦州港金谷港区金鼓江作业区14号、15号泊位工程基本情况</w:t>
      </w:r>
    </w:p>
    <w:p w14:paraId="57B77476">
      <w:pPr>
        <w:autoSpaceDE w:val="0"/>
        <w:autoSpaceDN w:val="0"/>
        <w:ind w:firstLine="48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1、2018年，获得广西壮族自治区发</w:t>
      </w:r>
      <w:r>
        <w:rPr>
          <w:rFonts w:hint="eastAsia"/>
          <w:color w:val="000000" w:themeColor="text1"/>
          <w:lang w:eastAsia="zh-CN"/>
          <w14:textFill>
            <w14:solidFill>
              <w14:schemeClr w14:val="tx1"/>
            </w14:solidFill>
          </w14:textFill>
        </w:rPr>
        <w:t>展和</w:t>
      </w:r>
      <w:r>
        <w:rPr>
          <w:rFonts w:hint="eastAsia"/>
          <w:color w:val="000000" w:themeColor="text1"/>
          <w14:textFill>
            <w14:solidFill>
              <w14:schemeClr w14:val="tx1"/>
            </w14:solidFill>
          </w14:textFill>
        </w:rPr>
        <w:t>改革委员会信息登记单。确定建设内容：建设2个5万吨级化工散杂货泊位。建设单位：广西临海工业投资集团有限公司。</w:t>
      </w:r>
    </w:p>
    <w:p w14:paraId="5308DEF4">
      <w:pPr>
        <w:autoSpaceDE w:val="0"/>
        <w:autoSpaceDN w:val="0"/>
        <w:ind w:firstLine="48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color w:val="000000" w:themeColor="text1"/>
          <w14:textFill>
            <w14:solidFill>
              <w14:schemeClr w14:val="tx1"/>
            </w14:solidFill>
          </w14:textFill>
        </w:rPr>
        <w:t>2023年</w:t>
      </w:r>
      <w:r>
        <w:rPr>
          <w:rFonts w:hint="eastAsia"/>
          <w:color w:val="000000" w:themeColor="text1"/>
          <w14:textFill>
            <w14:solidFill>
              <w14:schemeClr w14:val="tx1"/>
            </w14:solidFill>
          </w14:textFill>
        </w:rPr>
        <w:t>8月，钦州市生态环境局批复《钦州港金谷港区金鼓江作业区14号、15号泊位工程（重大变动）环境影响报告书》（自贸钦审批环〔2023〕42号）。批复内容主要如下：</w:t>
      </w:r>
    </w:p>
    <w:p w14:paraId="3158C60B">
      <w:pPr>
        <w:autoSpaceDE w:val="0"/>
        <w:autoSpaceDN w:val="0"/>
        <w:ind w:firstLine="48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项目由码头及后方陆域组成。建设2个5万吨级液体散货泊位，使用码头岸线531米，设计年吞吐量 533 万吨，水工结构采用“部分重力墩式+三座引桥的透水建筑”结构，码头长度 531米，平台宽 25 米，码头前沿通过长 55 米、宽 13.5 米的引桥与后方连接。后方陆域配套8个罐组71座储罐，总库容31.8万立方米。吞吐货种包括液氨等共6类76种货种。</w:t>
      </w:r>
    </w:p>
    <w:p w14:paraId="2ADAAD56">
      <w:pPr>
        <w:autoSpaceDE w:val="0"/>
        <w:autoSpaceDN w:val="0"/>
        <w:ind w:firstLine="48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3、</w:t>
      </w:r>
      <w:r>
        <w:rPr>
          <w:color w:val="000000" w:themeColor="text1"/>
          <w14:textFill>
            <w14:solidFill>
              <w14:schemeClr w14:val="tx1"/>
            </w14:solidFill>
          </w14:textFill>
        </w:rPr>
        <w:t>2023年</w:t>
      </w:r>
      <w:r>
        <w:rPr>
          <w:rFonts w:hint="eastAsia"/>
          <w:color w:val="000000" w:themeColor="text1"/>
          <w14:textFill>
            <w14:solidFill>
              <w14:schemeClr w14:val="tx1"/>
            </w14:solidFill>
          </w14:textFill>
        </w:rPr>
        <w:t>12月，广西壮族自治区发展和改革委员会以《广西壮族自治区发展和改革委员会关于钦州港金谷港区金鼓江作业区14号15号泊位工程项目核准的批复》（桂发改交通〔2023〕1071号）。工程仅核准批复码头工程。</w:t>
      </w:r>
    </w:p>
    <w:p w14:paraId="79319F19">
      <w:pPr>
        <w:autoSpaceDE w:val="0"/>
        <w:autoSpaceDN w:val="0"/>
        <w:ind w:firstLine="48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4、</w:t>
      </w:r>
      <w:r>
        <w:rPr>
          <w:color w:val="000000" w:themeColor="text1"/>
          <w14:textFill>
            <w14:solidFill>
              <w14:schemeClr w14:val="tx1"/>
            </w14:solidFill>
          </w14:textFill>
        </w:rPr>
        <w:t>2023年12月，</w:t>
      </w:r>
      <w:r>
        <w:rPr>
          <w:rFonts w:hint="eastAsia"/>
          <w:color w:val="000000" w:themeColor="text1"/>
          <w14:textFill>
            <w14:solidFill>
              <w14:schemeClr w14:val="tx1"/>
            </w14:solidFill>
          </w14:textFill>
        </w:rPr>
        <w:t>中国（广西）自由贸易试验区钦州港片区行政审批局《关于钦州港金谷港区金鼓江作业区14号15号泊位工程（储罐区）立项的批复》（自贸钦审批立〔2023〕96号）。工程立项批复储罐区工程内容。</w:t>
      </w:r>
    </w:p>
    <w:p w14:paraId="163781BD">
      <w:pPr>
        <w:autoSpaceDE w:val="0"/>
        <w:autoSpaceDN w:val="0"/>
        <w:ind w:firstLine="48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5、2024年1月，广西壮族自治区交通运输厅以《广西壮族自治区交通运输厅关于钦州港金谷港区金鼓江作业区14号15号泊位工程(14号泊位码头水工部分)初步设计的批复》（桂交行审〔2024〕9号）。</w:t>
      </w:r>
    </w:p>
    <w:p w14:paraId="5A08167B">
      <w:pPr>
        <w:autoSpaceDE w:val="0"/>
        <w:autoSpaceDN w:val="0"/>
        <w:ind w:firstLine="48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6、</w:t>
      </w:r>
      <w:r>
        <w:rPr>
          <w:color w:val="000000" w:themeColor="text1"/>
          <w14:textFill>
            <w14:solidFill>
              <w14:schemeClr w14:val="tx1"/>
            </w14:solidFill>
          </w14:textFill>
        </w:rPr>
        <w:t>2024年</w:t>
      </w:r>
      <w:r>
        <w:rPr>
          <w:rFonts w:hint="eastAsia"/>
          <w:color w:val="000000" w:themeColor="text1"/>
          <w14:textFill>
            <w14:solidFill>
              <w14:schemeClr w14:val="tx1"/>
            </w14:solidFill>
          </w14:textFill>
        </w:rPr>
        <w:t>6月，广西壮族自治区交通运输厅以《广西壮族自治区交通运输厅关于钦州港金谷港区金鼓江作业区14号15号泊位工程(14号泊位码头水工部分)施工图设计的批复》（桂交行审〔2024〕126号）。</w:t>
      </w:r>
    </w:p>
    <w:p w14:paraId="29188D4D">
      <w:pPr>
        <w:autoSpaceDE w:val="0"/>
        <w:autoSpaceDN w:val="0"/>
        <w:ind w:firstLine="48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7、根据建设计划，金鼓江作业区14号泊位工程采取分期建设的方式（见附件20），《钦州港金谷港区金鼓江作业区14号泊位码头（一期工程）》建设内容具体包括14号泊位水工工程、20000m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液氨储罐、配套公用及环保设施（管廊工程、BOG压缩机组、高架火炬、消防水罐及泵站、行政办公楼及配电室、应急物资库、危废暂存间、初期雨水池、事故应急池等）。</w:t>
      </w:r>
    </w:p>
    <w:p w14:paraId="61FA7BD2">
      <w:pPr>
        <w:autoSpaceDE w:val="0"/>
        <w:autoSpaceDN w:val="0"/>
        <w:ind w:firstLine="482"/>
        <w:jc w:val="left"/>
        <w:rPr>
          <w:b/>
          <w:color w:val="000000" w:themeColor="text1"/>
          <w14:textFill>
            <w14:solidFill>
              <w14:schemeClr w14:val="tx1"/>
            </w14:solidFill>
          </w14:textFill>
        </w:rPr>
      </w:pPr>
      <w:r>
        <w:rPr>
          <w:rFonts w:hint="eastAsia"/>
          <w:b/>
          <w:color w:val="000000" w:themeColor="text1"/>
          <w14:textFill>
            <w14:solidFill>
              <w14:schemeClr w14:val="tx1"/>
            </w14:solidFill>
          </w14:textFill>
        </w:rPr>
        <w:t>三、钦州港金谷港区金鼓江作业区14号泊位码头（一期工程）基本情况</w:t>
      </w:r>
    </w:p>
    <w:p w14:paraId="47EE393D">
      <w:pPr>
        <w:autoSpaceDE w:val="0"/>
        <w:autoSpaceDN w:val="0"/>
        <w:ind w:firstLine="48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建设地点：位于钦州港金鼓江西岸，距金鼓江航道口门约3km，北端与金鼓江作业区13#泊位相邻，南端与金鼓江作业区15#泊位相邻，对岸为大榄坪作业区。</w:t>
      </w:r>
    </w:p>
    <w:p w14:paraId="16370982">
      <w:pPr>
        <w:autoSpaceDE w:val="0"/>
        <w:autoSpaceDN w:val="0"/>
        <w:ind w:firstLine="48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建设规模：14号</w:t>
      </w:r>
      <w:r>
        <w:rPr>
          <w:rFonts w:hint="eastAsia"/>
          <w:color w:val="000000" w:themeColor="text1"/>
          <w:lang w:eastAsia="zh-CN"/>
          <w14:textFill>
            <w14:solidFill>
              <w14:schemeClr w14:val="tx1"/>
            </w14:solidFill>
          </w14:textFill>
        </w:rPr>
        <w:t>泊位</w:t>
      </w:r>
      <w:r>
        <w:rPr>
          <w:rFonts w:hint="eastAsia"/>
          <w:color w:val="000000" w:themeColor="text1"/>
          <w14:textFill>
            <w14:solidFill>
              <w14:schemeClr w14:val="tx1"/>
            </w14:solidFill>
          </w14:textFill>
        </w:rPr>
        <w:t>工程为1个5万吨级液体散货泊位，码头岸线总长度为240m，设计吞吐量276万吨/年，设计年通过能力300万吨/年；货种包括乙二醇、对二甲苯、甲醇、苯、甲苯、粗苯、混二甲苯、叔丁醇、环己烷、环己酮、液氨11种化学品。目前建设了苯、环己酮、粗苯、液氨装卸。</w:t>
      </w:r>
    </w:p>
    <w:p w14:paraId="6BF9029D">
      <w:pPr>
        <w:autoSpaceDE w:val="0"/>
        <w:autoSpaceDN w:val="0"/>
        <w:ind w:firstLine="48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陆域部分设置1座20000m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低温液氨储罐，配套建设公用、环保设施（包括管廊工程、BOG压缩机组、高架火炬、消防水罐及泵站、行政办公楼及配电室、应急物资库、危废暂存间、初期雨水池、事故应急池等）。</w:t>
      </w:r>
    </w:p>
    <w:p w14:paraId="5F9E4E4A">
      <w:pPr>
        <w:autoSpaceDE w:val="0"/>
        <w:autoSpaceDN w:val="0"/>
        <w:ind w:firstLine="48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水工部分码头结构采用圆筒墩式平台+引桥方案，码头面高程为6.30m，前沿停泊地底高程-13.70m。前沿布置1个34m×51m作业平台和4个17m×17m的靠船墩（系缆墩）。作业平台与靠船墩（系缆墩）之间的栈桥净跨30.25m，宽6m。作业平台与后方陆域连接设1座引桥，长46m，宽15m。码头前沿停泊水域宽度为65m，底高程-13.7m，回旋水域底高程为-11.3m，回旋水域采用圆形布置，直径为330m。</w:t>
      </w:r>
    </w:p>
    <w:p w14:paraId="3721C9D6">
      <w:pPr>
        <w:autoSpaceDE w:val="0"/>
        <w:autoSpaceDN w:val="0"/>
        <w:ind w:firstLine="480"/>
        <w:jc w:val="left"/>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2025年12月，建设单位广西自贸区逸海港务有限责任公司组织通过《钦州港金谷港区金鼓江作业区14号泊位码头（一期工程）》竣工环保验收（见附件9）。</w:t>
      </w:r>
    </w:p>
    <w:p w14:paraId="7621D816">
      <w:pPr>
        <w:autoSpaceDE w:val="0"/>
        <w:autoSpaceDN w:val="0"/>
        <w:ind w:firstLine="482"/>
        <w:jc w:val="left"/>
        <w:rPr>
          <w:b/>
          <w:color w:val="000000" w:themeColor="text1"/>
          <w14:textFill>
            <w14:solidFill>
              <w14:schemeClr w14:val="tx1"/>
            </w14:solidFill>
          </w14:textFill>
        </w:rPr>
      </w:pPr>
      <w:r>
        <w:rPr>
          <w:rFonts w:hint="eastAsia"/>
          <w:b/>
          <w:color w:val="000000" w:themeColor="text1"/>
          <w14:textFill>
            <w14:solidFill>
              <w14:schemeClr w14:val="tx1"/>
            </w14:solidFill>
          </w14:textFill>
        </w:rPr>
        <w:t>四、项目由来</w:t>
      </w:r>
    </w:p>
    <w:p w14:paraId="659C1966">
      <w:pPr>
        <w:autoSpaceDE w:val="0"/>
        <w:autoSpaceDN w:val="0"/>
        <w:ind w:firstLine="480"/>
        <w:jc w:val="left"/>
        <w:rPr>
          <w:rFonts w:ascii="宋体" w:hAnsi="宋体"/>
          <w:color w:val="000000" w:themeColor="text1"/>
          <w:u w:val="single"/>
          <w14:textFill>
            <w14:solidFill>
              <w14:schemeClr w14:val="tx1"/>
            </w14:solidFill>
          </w14:textFill>
        </w:rPr>
      </w:pPr>
      <w:r>
        <w:rPr>
          <w:rFonts w:hint="eastAsia" w:ascii="宋体" w:hAnsi="宋体"/>
          <w:color w:val="000000" w:themeColor="text1"/>
          <w:u w:val="single"/>
          <w14:textFill>
            <w14:solidFill>
              <w14:schemeClr w14:val="tx1"/>
            </w14:solidFill>
          </w14:textFill>
        </w:rPr>
        <w:t>随着区域产业升级，钦州港石化园区及企业化学品运输需求发生结构性变化，广西自贸区逸海港务有限责任公司拟在14号泊位11个货种情况下增加12个货种，同时调整各货种运输量，调整后吞吐量251万吨/年。</w:t>
      </w:r>
    </w:p>
    <w:p w14:paraId="050D722F">
      <w:pPr>
        <w:autoSpaceDE w:val="0"/>
        <w:autoSpaceDN w:val="0"/>
        <w:ind w:firstLine="480"/>
        <w:jc w:val="left"/>
        <w:rPr>
          <w:rFonts w:ascii="宋体" w:hAnsi="宋体"/>
          <w:color w:val="000000" w:themeColor="text1"/>
          <w:u w:val="single"/>
          <w14:textFill>
            <w14:solidFill>
              <w14:schemeClr w14:val="tx1"/>
            </w14:solidFill>
          </w14:textFill>
        </w:rPr>
      </w:pPr>
      <w:r>
        <w:rPr>
          <w:rFonts w:hint="eastAsia" w:ascii="宋体" w:hAnsi="宋体"/>
          <w:color w:val="000000" w:themeColor="text1"/>
          <w:u w:val="single"/>
          <w14:textFill>
            <w14:solidFill>
              <w14:schemeClr w14:val="tx1"/>
            </w14:solidFill>
          </w14:textFill>
        </w:rPr>
        <w:t>其中新增苯乙烯利用现有</w:t>
      </w:r>
      <w:r>
        <w:rPr>
          <w:rFonts w:hint="eastAsia" w:ascii="宋体" w:hAnsi="宋体"/>
          <w:color w:val="000000" w:themeColor="text1"/>
          <w:u w:val="single"/>
          <w:lang w:val="en-US" w:eastAsia="zh-CN"/>
          <w14:textFill>
            <w14:solidFill>
              <w14:schemeClr w14:val="tx1"/>
            </w14:solidFill>
          </w14:textFill>
        </w:rPr>
        <w:t>苯</w:t>
      </w:r>
      <w:r>
        <w:rPr>
          <w:rFonts w:hint="eastAsia" w:ascii="宋体" w:hAnsi="宋体"/>
          <w:color w:val="000000" w:themeColor="text1"/>
          <w:u w:val="single"/>
          <w14:textFill>
            <w14:solidFill>
              <w14:schemeClr w14:val="tx1"/>
            </w14:solidFill>
          </w14:textFill>
        </w:rPr>
        <w:t>装卸臂进行装卸，均为卸船后经管道至后方</w:t>
      </w:r>
      <w:r>
        <w:rPr>
          <w:rFonts w:hint="eastAsia"/>
          <w:color w:val="000000" w:themeColor="text1"/>
          <w:u w:val="single"/>
          <w14:textFill>
            <w14:solidFill>
              <w14:schemeClr w14:val="tx1"/>
            </w14:solidFill>
          </w14:textFill>
        </w:rPr>
        <w:t>台湾见龙钦州高端聚苯乙烯新材料项目</w:t>
      </w:r>
      <w:r>
        <w:rPr>
          <w:rFonts w:hint="eastAsia" w:ascii="宋体" w:hAnsi="宋体"/>
          <w:color w:val="000000" w:themeColor="text1"/>
          <w:u w:val="single"/>
          <w14:textFill>
            <w14:solidFill>
              <w14:schemeClr w14:val="tx1"/>
            </w14:solidFill>
          </w14:textFill>
        </w:rPr>
        <w:t>厂区。</w:t>
      </w:r>
    </w:p>
    <w:p w14:paraId="463505DA">
      <w:pPr>
        <w:autoSpaceDE w:val="0"/>
        <w:autoSpaceDN w:val="0"/>
        <w:ind w:firstLine="480"/>
        <w:jc w:val="left"/>
        <w:rPr>
          <w:rFonts w:ascii="宋体" w:hAnsi="宋体"/>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棕榈酸化油、脂肪酸混合物由</w:t>
      </w:r>
      <w:r>
        <w:rPr>
          <w:rFonts w:hint="eastAsia" w:ascii="宋体" w:hAnsi="宋体"/>
          <w:color w:val="000000" w:themeColor="text1"/>
          <w:u w:val="single"/>
          <w14:textFill>
            <w14:solidFill>
              <w14:schemeClr w14:val="tx1"/>
            </w14:solidFill>
          </w14:textFill>
        </w:rPr>
        <w:t>新建装卸臂</w:t>
      </w:r>
      <w:r>
        <w:rPr>
          <w:rFonts w:hint="eastAsia"/>
          <w:color w:val="000000" w:themeColor="text1"/>
          <w:u w:val="single"/>
          <w14:textFill>
            <w14:solidFill>
              <w14:schemeClr w14:val="tx1"/>
            </w14:solidFill>
          </w14:textFill>
        </w:rPr>
        <w:t>卸船至后方欧德年产 30 万吨生物柴油生产线项目厂区。</w:t>
      </w:r>
    </w:p>
    <w:p w14:paraId="3599CCC8">
      <w:pPr>
        <w:autoSpaceDE w:val="0"/>
        <w:autoSpaceDN w:val="0"/>
        <w:ind w:firstLine="480"/>
        <w:jc w:val="left"/>
        <w:rPr>
          <w:rFonts w:ascii="宋体" w:hAnsi="宋体"/>
          <w:color w:val="000000" w:themeColor="text1"/>
          <w:u w:val="single"/>
          <w14:textFill>
            <w14:solidFill>
              <w14:schemeClr w14:val="tx1"/>
            </w14:solidFill>
          </w14:textFill>
        </w:rPr>
      </w:pPr>
      <w:r>
        <w:rPr>
          <w:rFonts w:hint="eastAsia" w:ascii="宋体" w:hAnsi="宋体"/>
          <w:color w:val="000000" w:themeColor="text1"/>
          <w:u w:val="single"/>
          <w14:textFill>
            <w14:solidFill>
              <w14:schemeClr w14:val="tx1"/>
            </w14:solidFill>
          </w14:textFill>
        </w:rPr>
        <w:t>裂解C9、工业级混合油、脂肪酸甲酯、纯生物柴油、航空煤油由后方厂区及公共管廊至码头管廊后至新建装卸臂进行装船。</w:t>
      </w:r>
    </w:p>
    <w:p w14:paraId="579BE908">
      <w:pPr>
        <w:autoSpaceDE w:val="0"/>
        <w:autoSpaceDN w:val="0"/>
        <w:ind w:firstLine="480"/>
        <w:jc w:val="left"/>
        <w:rPr>
          <w:color w:val="000000" w:themeColor="text1"/>
          <w:u w:val="single"/>
          <w14:textFill>
            <w14:solidFill>
              <w14:schemeClr w14:val="tx1"/>
            </w14:solidFill>
          </w14:textFill>
        </w:rPr>
      </w:pPr>
      <w:r>
        <w:rPr>
          <w:rFonts w:hint="eastAsia" w:ascii="宋体" w:hAnsi="宋体"/>
          <w:color w:val="000000" w:themeColor="text1"/>
          <w:u w:val="single"/>
          <w14:textFill>
            <w14:solidFill>
              <w14:schemeClr w14:val="tx1"/>
            </w14:solidFill>
          </w14:textFill>
        </w:rPr>
        <w:t>液硫、碱液、发烟硫酸、硫酸经卸船经管道至后方陆域罐区（新增罐区环境影响评价报告同步进行种）。</w:t>
      </w:r>
    </w:p>
    <w:p w14:paraId="2AA2645E">
      <w:pPr>
        <w:ind w:firstLine="480"/>
        <w:rPr>
          <w:color w:val="000000" w:themeColor="text1"/>
          <w14:textFill>
            <w14:solidFill>
              <w14:schemeClr w14:val="tx1"/>
            </w14:solidFill>
          </w14:textFill>
        </w:rPr>
      </w:pPr>
      <w:r>
        <w:rPr>
          <w:color w:val="000000" w:themeColor="text1"/>
          <w14:textFill>
            <w14:solidFill>
              <w14:schemeClr w14:val="tx1"/>
            </w14:solidFill>
          </w14:textFill>
        </w:rPr>
        <w:br w:type="page"/>
      </w:r>
    </w:p>
    <w:p w14:paraId="19D69CE2">
      <w:pPr>
        <w:pStyle w:val="7"/>
        <w:numPr>
          <w:ilvl w:val="0"/>
          <w:numId w:val="0"/>
        </w:numPr>
        <w:rPr>
          <w:color w:val="000000" w:themeColor="text1"/>
          <w14:textFill>
            <w14:solidFill>
              <w14:schemeClr w14:val="tx1"/>
            </w14:solidFill>
          </w14:textFill>
        </w:rPr>
        <w:sectPr>
          <w:footerReference r:id="rId11" w:type="default"/>
          <w:pgSz w:w="11906" w:h="16838"/>
          <w:pgMar w:top="1440" w:right="1800" w:bottom="1440" w:left="1800" w:header="851" w:footer="992" w:gutter="0"/>
          <w:pgBorders>
            <w:top w:val="none" w:sz="0" w:space="0"/>
            <w:left w:val="none" w:sz="0" w:space="0"/>
            <w:bottom w:val="none" w:sz="0" w:space="0"/>
            <w:right w:val="none" w:sz="0" w:space="0"/>
          </w:pgBorders>
          <w:pgNumType w:fmt="upperRoman" w:start="1"/>
          <w:cols w:space="720" w:num="1"/>
          <w:docGrid w:type="lines" w:linePitch="312" w:charSpace="0"/>
        </w:sectPr>
      </w:pPr>
    </w:p>
    <w:p w14:paraId="4660EE27">
      <w:pPr>
        <w:pStyle w:val="7"/>
        <w:numPr>
          <w:ilvl w:val="0"/>
          <w:numId w:val="0"/>
        </w:numPr>
        <w:rPr>
          <w:color w:val="000000" w:themeColor="text1"/>
          <w:u w:val="single"/>
          <w14:textFill>
            <w14:solidFill>
              <w14:schemeClr w14:val="tx1"/>
            </w14:solidFill>
          </w14:textFill>
        </w:rPr>
      </w:pPr>
      <w:r>
        <w:rPr>
          <w:color w:val="000000" w:themeColor="text1"/>
          <w:u w:val="single"/>
          <w14:textFill>
            <w14:solidFill>
              <w14:schemeClr w14:val="tx1"/>
            </w14:solidFill>
          </w14:textFill>
        </w:rPr>
        <w:t>表1  新增货种后</w:t>
      </w:r>
      <w:r>
        <w:rPr>
          <w:rFonts w:hint="eastAsia"/>
          <w:color w:val="000000" w:themeColor="text1"/>
          <w:u w:val="single"/>
          <w14:textFill>
            <w14:solidFill>
              <w14:schemeClr w14:val="tx1"/>
            </w14:solidFill>
          </w14:textFill>
        </w:rPr>
        <w:t>14号泊位</w:t>
      </w:r>
      <w:r>
        <w:rPr>
          <w:color w:val="000000" w:themeColor="text1"/>
          <w:u w:val="single"/>
          <w14:textFill>
            <w14:solidFill>
              <w14:schemeClr w14:val="tx1"/>
            </w14:solidFill>
          </w14:textFill>
        </w:rPr>
        <w:t>项目货种装卸情况一览表</w:t>
      </w:r>
    </w:p>
    <w:tbl>
      <w:tblPr>
        <w:tblStyle w:val="43"/>
        <w:tblW w:w="0" w:type="auto"/>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autofit"/>
        <w:tblCellMar>
          <w:top w:w="0" w:type="dxa"/>
          <w:left w:w="17" w:type="dxa"/>
          <w:bottom w:w="0" w:type="dxa"/>
          <w:right w:w="17" w:type="dxa"/>
        </w:tblCellMar>
      </w:tblPr>
      <w:tblGrid>
        <w:gridCol w:w="456"/>
        <w:gridCol w:w="878"/>
        <w:gridCol w:w="667"/>
        <w:gridCol w:w="1779"/>
        <w:gridCol w:w="1089"/>
        <w:gridCol w:w="878"/>
        <w:gridCol w:w="878"/>
        <w:gridCol w:w="874"/>
        <w:gridCol w:w="1294"/>
        <w:gridCol w:w="667"/>
        <w:gridCol w:w="1147"/>
        <w:gridCol w:w="751"/>
        <w:gridCol w:w="1005"/>
        <w:gridCol w:w="630"/>
        <w:gridCol w:w="915"/>
      </w:tblGrid>
      <w:tr w14:paraId="5BC7907D">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7" w:type="dxa"/>
            <w:bottom w:w="0" w:type="dxa"/>
            <w:right w:w="17" w:type="dxa"/>
          </w:tblCellMar>
        </w:tblPrEx>
        <w:trPr>
          <w:trHeight w:val="463" w:hRule="atLeast"/>
          <w:tblHeader/>
          <w:jc w:val="center"/>
        </w:trPr>
        <w:tc>
          <w:tcPr>
            <w:tcW w:w="0" w:type="auto"/>
            <w:gridSpan w:val="8"/>
            <w:shd w:val="clear" w:color="auto" w:fill="auto"/>
            <w:vAlign w:val="center"/>
          </w:tcPr>
          <w:p w14:paraId="374656B7">
            <w:pPr>
              <w:pStyle w:val="73"/>
              <w:spacing w:line="240" w:lineRule="exact"/>
              <w:rPr>
                <w:rFonts w:eastAsia="宋体"/>
                <w:b/>
                <w:color w:val="000000" w:themeColor="text1"/>
                <w:sz w:val="21"/>
                <w:lang w:val="en-US"/>
                <w14:textFill>
                  <w14:solidFill>
                    <w14:schemeClr w14:val="tx1"/>
                  </w14:solidFill>
                </w14:textFill>
              </w:rPr>
            </w:pPr>
            <w:r>
              <w:rPr>
                <w:rFonts w:hint="eastAsia" w:eastAsia="宋体"/>
                <w:b/>
                <w:color w:val="000000" w:themeColor="text1"/>
                <w:sz w:val="21"/>
                <w:lang w:val="en-US"/>
                <w14:textFill>
                  <w14:solidFill>
                    <w14:schemeClr w14:val="tx1"/>
                  </w14:solidFill>
                </w14:textFill>
              </w:rPr>
              <w:t>调整前</w:t>
            </w:r>
          </w:p>
        </w:tc>
        <w:tc>
          <w:tcPr>
            <w:tcW w:w="0" w:type="auto"/>
            <w:gridSpan w:val="7"/>
            <w:shd w:val="clear" w:color="auto" w:fill="auto"/>
            <w:vAlign w:val="center"/>
          </w:tcPr>
          <w:p w14:paraId="6EA2BEC4">
            <w:pPr>
              <w:pStyle w:val="73"/>
              <w:spacing w:line="240" w:lineRule="exact"/>
              <w:rPr>
                <w:rFonts w:eastAsia="宋体"/>
                <w:b/>
                <w:color w:val="000000" w:themeColor="text1"/>
                <w:sz w:val="21"/>
                <w:lang w:val="en-US"/>
                <w14:textFill>
                  <w14:solidFill>
                    <w14:schemeClr w14:val="tx1"/>
                  </w14:solidFill>
                </w14:textFill>
              </w:rPr>
            </w:pPr>
            <w:r>
              <w:rPr>
                <w:rFonts w:hint="eastAsia" w:eastAsia="宋体"/>
                <w:b/>
                <w:color w:val="000000" w:themeColor="text1"/>
                <w:sz w:val="21"/>
                <w:lang w:val="en-US"/>
                <w14:textFill>
                  <w14:solidFill>
                    <w14:schemeClr w14:val="tx1"/>
                  </w14:solidFill>
                </w14:textFill>
              </w:rPr>
              <w:t>调整后</w:t>
            </w:r>
          </w:p>
        </w:tc>
      </w:tr>
      <w:tr w14:paraId="2263E050">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7" w:type="dxa"/>
            <w:bottom w:w="0" w:type="dxa"/>
            <w:right w:w="17" w:type="dxa"/>
          </w:tblCellMar>
        </w:tblPrEx>
        <w:trPr>
          <w:trHeight w:val="736" w:hRule="atLeast"/>
          <w:tblHeader/>
          <w:jc w:val="center"/>
        </w:trPr>
        <w:tc>
          <w:tcPr>
            <w:tcW w:w="0" w:type="auto"/>
            <w:shd w:val="clear" w:color="auto" w:fill="auto"/>
            <w:vAlign w:val="center"/>
          </w:tcPr>
          <w:p w14:paraId="26AFD231">
            <w:pPr>
              <w:pStyle w:val="73"/>
              <w:spacing w:line="240" w:lineRule="exact"/>
              <w:rPr>
                <w:rFonts w:eastAsia="宋体"/>
                <w:b/>
                <w:color w:val="000000" w:themeColor="text1"/>
                <w:sz w:val="21"/>
                <w14:textFill>
                  <w14:solidFill>
                    <w14:schemeClr w14:val="tx1"/>
                  </w14:solidFill>
                </w14:textFill>
              </w:rPr>
            </w:pPr>
            <w:r>
              <w:rPr>
                <w:rFonts w:hint="eastAsia" w:eastAsia="宋体"/>
                <w:b/>
                <w:color w:val="000000" w:themeColor="text1"/>
                <w:sz w:val="21"/>
                <w14:textFill>
                  <w14:solidFill>
                    <w14:schemeClr w14:val="tx1"/>
                  </w14:solidFill>
                </w14:textFill>
              </w:rPr>
              <w:t>序号</w:t>
            </w:r>
          </w:p>
        </w:tc>
        <w:tc>
          <w:tcPr>
            <w:tcW w:w="0" w:type="auto"/>
            <w:shd w:val="clear" w:color="auto" w:fill="auto"/>
            <w:vAlign w:val="center"/>
          </w:tcPr>
          <w:p w14:paraId="16C2E07A">
            <w:pPr>
              <w:pStyle w:val="73"/>
              <w:spacing w:line="240" w:lineRule="exact"/>
              <w:rPr>
                <w:rFonts w:eastAsia="宋体"/>
                <w:b/>
                <w:color w:val="000000" w:themeColor="text1"/>
                <w:sz w:val="21"/>
                <w14:textFill>
                  <w14:solidFill>
                    <w14:schemeClr w14:val="tx1"/>
                  </w14:solidFill>
                </w14:textFill>
              </w:rPr>
            </w:pPr>
            <w:r>
              <w:rPr>
                <w:rFonts w:hint="eastAsia" w:eastAsia="宋体"/>
                <w:b/>
                <w:color w:val="000000" w:themeColor="text1"/>
                <w:sz w:val="21"/>
                <w14:textFill>
                  <w14:solidFill>
                    <w14:schemeClr w14:val="tx1"/>
                  </w14:solidFill>
                </w14:textFill>
              </w:rPr>
              <w:t>货种名称</w:t>
            </w:r>
          </w:p>
        </w:tc>
        <w:tc>
          <w:tcPr>
            <w:tcW w:w="0" w:type="auto"/>
            <w:shd w:val="clear" w:color="auto" w:fill="auto"/>
            <w:vAlign w:val="center"/>
          </w:tcPr>
          <w:p w14:paraId="25C03613">
            <w:pPr>
              <w:pStyle w:val="73"/>
              <w:spacing w:line="240" w:lineRule="exact"/>
              <w:rPr>
                <w:rFonts w:eastAsia="宋体"/>
                <w:b/>
                <w:color w:val="000000" w:themeColor="text1"/>
                <w:sz w:val="21"/>
                <w14:textFill>
                  <w14:solidFill>
                    <w14:schemeClr w14:val="tx1"/>
                  </w14:solidFill>
                </w14:textFill>
              </w:rPr>
            </w:pPr>
            <w:r>
              <w:rPr>
                <w:rFonts w:hint="eastAsia" w:eastAsia="宋体"/>
                <w:b/>
                <w:color w:val="000000" w:themeColor="text1"/>
                <w:sz w:val="21"/>
                <w:lang w:val="en-US"/>
                <w14:textFill>
                  <w14:solidFill>
                    <w14:schemeClr w14:val="tx1"/>
                  </w14:solidFill>
                </w14:textFill>
              </w:rPr>
              <w:t>进出口</w:t>
            </w:r>
          </w:p>
        </w:tc>
        <w:tc>
          <w:tcPr>
            <w:tcW w:w="0" w:type="auto"/>
            <w:shd w:val="clear" w:color="auto" w:fill="auto"/>
            <w:vAlign w:val="center"/>
          </w:tcPr>
          <w:p w14:paraId="27DED108">
            <w:pPr>
              <w:pStyle w:val="73"/>
              <w:spacing w:line="240" w:lineRule="exact"/>
              <w:rPr>
                <w:rFonts w:eastAsia="宋体"/>
                <w:b/>
                <w:color w:val="000000" w:themeColor="text1"/>
                <w:sz w:val="21"/>
                <w14:textFill>
                  <w14:solidFill>
                    <w14:schemeClr w14:val="tx1"/>
                  </w14:solidFill>
                </w14:textFill>
              </w:rPr>
            </w:pPr>
            <w:r>
              <w:rPr>
                <w:rFonts w:hint="eastAsia" w:eastAsia="宋体"/>
                <w:b/>
                <w:color w:val="000000" w:themeColor="text1"/>
                <w:sz w:val="21"/>
                <w:lang w:val="en-US"/>
                <w14:textFill>
                  <w14:solidFill>
                    <w14:schemeClr w14:val="tx1"/>
                  </w14:solidFill>
                </w14:textFill>
              </w:rPr>
              <w:t>吞吐量（万吨/年）</w:t>
            </w:r>
          </w:p>
        </w:tc>
        <w:tc>
          <w:tcPr>
            <w:tcW w:w="0" w:type="auto"/>
            <w:shd w:val="clear" w:color="auto" w:fill="auto"/>
            <w:vAlign w:val="center"/>
          </w:tcPr>
          <w:p w14:paraId="28D491D2">
            <w:pPr>
              <w:pStyle w:val="73"/>
              <w:spacing w:line="240" w:lineRule="exact"/>
              <w:rPr>
                <w:rFonts w:eastAsia="宋体"/>
                <w:b/>
                <w:color w:val="000000" w:themeColor="text1"/>
                <w:sz w:val="21"/>
                <w14:textFill>
                  <w14:solidFill>
                    <w14:schemeClr w14:val="tx1"/>
                  </w14:solidFill>
                </w14:textFill>
              </w:rPr>
            </w:pPr>
            <w:r>
              <w:rPr>
                <w:rFonts w:hint="eastAsia" w:eastAsia="宋体"/>
                <w:b/>
                <w:color w:val="000000" w:themeColor="text1"/>
                <w:sz w:val="21"/>
                <w14:textFill>
                  <w14:solidFill>
                    <w14:schemeClr w14:val="tx1"/>
                  </w14:solidFill>
                </w14:textFill>
              </w:rPr>
              <w:t>装卸船方式</w:t>
            </w:r>
          </w:p>
        </w:tc>
        <w:tc>
          <w:tcPr>
            <w:tcW w:w="0" w:type="auto"/>
            <w:shd w:val="clear" w:color="auto" w:fill="auto"/>
            <w:vAlign w:val="center"/>
          </w:tcPr>
          <w:p w14:paraId="4E2F8989">
            <w:pPr>
              <w:pStyle w:val="73"/>
              <w:spacing w:line="240" w:lineRule="exact"/>
              <w:rPr>
                <w:rFonts w:eastAsia="宋体"/>
                <w:b/>
                <w:color w:val="000000" w:themeColor="text1"/>
                <w:sz w:val="21"/>
                <w14:textFill>
                  <w14:solidFill>
                    <w14:schemeClr w14:val="tx1"/>
                  </w14:solidFill>
                </w14:textFill>
              </w:rPr>
            </w:pPr>
            <w:r>
              <w:rPr>
                <w:rFonts w:hint="eastAsia" w:eastAsia="宋体"/>
                <w:b/>
                <w:color w:val="000000" w:themeColor="text1"/>
                <w:sz w:val="21"/>
                <w14:textFill>
                  <w14:solidFill>
                    <w14:schemeClr w14:val="tx1"/>
                  </w14:solidFill>
                </w14:textFill>
              </w:rPr>
              <w:t>是否设码</w:t>
            </w:r>
          </w:p>
          <w:p w14:paraId="13F74162">
            <w:pPr>
              <w:pStyle w:val="73"/>
              <w:spacing w:line="240" w:lineRule="exact"/>
              <w:rPr>
                <w:rFonts w:eastAsia="宋体"/>
                <w:b/>
                <w:color w:val="000000" w:themeColor="text1"/>
                <w:sz w:val="21"/>
                <w14:textFill>
                  <w14:solidFill>
                    <w14:schemeClr w14:val="tx1"/>
                  </w14:solidFill>
                </w14:textFill>
              </w:rPr>
            </w:pPr>
            <w:r>
              <w:rPr>
                <w:rFonts w:hint="eastAsia" w:eastAsia="宋体"/>
                <w:b/>
                <w:color w:val="000000" w:themeColor="text1"/>
                <w:sz w:val="21"/>
                <w14:textFill>
                  <w14:solidFill>
                    <w14:schemeClr w14:val="tx1"/>
                  </w14:solidFill>
                </w14:textFill>
              </w:rPr>
              <w:t>头罐区储</w:t>
            </w:r>
          </w:p>
          <w:p w14:paraId="1FCD9FD8">
            <w:pPr>
              <w:pStyle w:val="73"/>
              <w:spacing w:line="240" w:lineRule="exact"/>
              <w:rPr>
                <w:rFonts w:eastAsia="宋体"/>
                <w:b/>
                <w:color w:val="000000" w:themeColor="text1"/>
                <w:sz w:val="21"/>
                <w14:textFill>
                  <w14:solidFill>
                    <w14:schemeClr w14:val="tx1"/>
                  </w14:solidFill>
                </w14:textFill>
              </w:rPr>
            </w:pPr>
            <w:r>
              <w:rPr>
                <w:rFonts w:hint="eastAsia" w:eastAsia="宋体"/>
                <w:b/>
                <w:color w:val="000000" w:themeColor="text1"/>
                <w:sz w:val="21"/>
                <w14:textFill>
                  <w14:solidFill>
                    <w14:schemeClr w14:val="tx1"/>
                  </w14:solidFill>
                </w14:textFill>
              </w:rPr>
              <w:t>罐</w:t>
            </w:r>
          </w:p>
        </w:tc>
        <w:tc>
          <w:tcPr>
            <w:tcW w:w="0" w:type="auto"/>
            <w:shd w:val="clear" w:color="auto" w:fill="auto"/>
            <w:vAlign w:val="center"/>
          </w:tcPr>
          <w:p w14:paraId="18E8FD3F">
            <w:pPr>
              <w:pStyle w:val="73"/>
              <w:spacing w:line="240" w:lineRule="exact"/>
              <w:rPr>
                <w:rFonts w:eastAsia="宋体"/>
                <w:b/>
                <w:color w:val="000000" w:themeColor="text1"/>
                <w:sz w:val="21"/>
                <w14:textFill>
                  <w14:solidFill>
                    <w14:schemeClr w14:val="tx1"/>
                  </w14:solidFill>
                </w14:textFill>
              </w:rPr>
            </w:pPr>
            <w:r>
              <w:rPr>
                <w:rFonts w:hint="eastAsia" w:eastAsia="宋体"/>
                <w:b/>
                <w:color w:val="000000" w:themeColor="text1"/>
                <w:sz w:val="21"/>
                <w14:textFill>
                  <w14:solidFill>
                    <w14:schemeClr w14:val="tx1"/>
                  </w14:solidFill>
                </w14:textFill>
              </w:rPr>
              <w:t>是否装汽</w:t>
            </w:r>
          </w:p>
          <w:p w14:paraId="533D1C00">
            <w:pPr>
              <w:pStyle w:val="73"/>
              <w:spacing w:line="240" w:lineRule="exact"/>
              <w:rPr>
                <w:rFonts w:eastAsia="宋体"/>
                <w:b/>
                <w:color w:val="000000" w:themeColor="text1"/>
                <w:sz w:val="21"/>
                <w14:textFill>
                  <w14:solidFill>
                    <w14:schemeClr w14:val="tx1"/>
                  </w14:solidFill>
                </w14:textFill>
              </w:rPr>
            </w:pPr>
            <w:r>
              <w:rPr>
                <w:rFonts w:hint="eastAsia" w:eastAsia="宋体"/>
                <w:b/>
                <w:color w:val="000000" w:themeColor="text1"/>
                <w:sz w:val="21"/>
                <w14:textFill>
                  <w14:solidFill>
                    <w14:schemeClr w14:val="tx1"/>
                  </w14:solidFill>
                </w14:textFill>
              </w:rPr>
              <w:t>车</w:t>
            </w:r>
          </w:p>
        </w:tc>
        <w:tc>
          <w:tcPr>
            <w:tcW w:w="0" w:type="auto"/>
            <w:shd w:val="clear" w:color="auto" w:fill="auto"/>
            <w:vAlign w:val="center"/>
          </w:tcPr>
          <w:p w14:paraId="145442B1">
            <w:pPr>
              <w:pStyle w:val="73"/>
              <w:spacing w:line="240" w:lineRule="exact"/>
              <w:rPr>
                <w:rFonts w:eastAsia="宋体"/>
                <w:b/>
                <w:color w:val="000000" w:themeColor="text1"/>
                <w:sz w:val="21"/>
                <w14:textFill>
                  <w14:solidFill>
                    <w14:schemeClr w14:val="tx1"/>
                  </w14:solidFill>
                </w14:textFill>
              </w:rPr>
            </w:pPr>
            <w:r>
              <w:rPr>
                <w:rFonts w:hint="eastAsia" w:eastAsia="宋体"/>
                <w:b/>
                <w:color w:val="000000" w:themeColor="text1"/>
                <w:sz w:val="21"/>
                <w14:textFill>
                  <w14:solidFill>
                    <w14:schemeClr w14:val="tx1"/>
                  </w14:solidFill>
                </w14:textFill>
              </w:rPr>
              <w:t>备注</w:t>
            </w:r>
          </w:p>
        </w:tc>
        <w:tc>
          <w:tcPr>
            <w:tcW w:w="0" w:type="auto"/>
            <w:shd w:val="clear" w:color="auto" w:fill="auto"/>
            <w:vAlign w:val="center"/>
          </w:tcPr>
          <w:p w14:paraId="585FC581">
            <w:pPr>
              <w:pStyle w:val="73"/>
              <w:spacing w:line="240" w:lineRule="exact"/>
              <w:rPr>
                <w:rFonts w:eastAsia="宋体"/>
                <w:b/>
                <w:color w:val="000000" w:themeColor="text1"/>
                <w:sz w:val="21"/>
                <w14:textFill>
                  <w14:solidFill>
                    <w14:schemeClr w14:val="tx1"/>
                  </w14:solidFill>
                </w14:textFill>
              </w:rPr>
            </w:pPr>
            <w:r>
              <w:rPr>
                <w:rFonts w:hint="eastAsia" w:eastAsia="宋体"/>
                <w:b/>
                <w:color w:val="000000" w:themeColor="text1"/>
                <w:sz w:val="21"/>
                <w14:textFill>
                  <w14:solidFill>
                    <w14:schemeClr w14:val="tx1"/>
                  </w14:solidFill>
                </w14:textFill>
              </w:rPr>
              <w:t>货种名称</w:t>
            </w:r>
          </w:p>
        </w:tc>
        <w:tc>
          <w:tcPr>
            <w:tcW w:w="0" w:type="auto"/>
            <w:shd w:val="clear" w:color="auto" w:fill="auto"/>
            <w:vAlign w:val="center"/>
          </w:tcPr>
          <w:p w14:paraId="19E9E771">
            <w:pPr>
              <w:pStyle w:val="73"/>
              <w:spacing w:line="240" w:lineRule="exact"/>
              <w:rPr>
                <w:rFonts w:eastAsia="宋体"/>
                <w:b/>
                <w:color w:val="000000" w:themeColor="text1"/>
                <w:sz w:val="21"/>
                <w14:textFill>
                  <w14:solidFill>
                    <w14:schemeClr w14:val="tx1"/>
                  </w14:solidFill>
                </w14:textFill>
              </w:rPr>
            </w:pPr>
            <w:r>
              <w:rPr>
                <w:rFonts w:hint="eastAsia" w:eastAsia="宋体"/>
                <w:b/>
                <w:color w:val="000000" w:themeColor="text1"/>
                <w:sz w:val="21"/>
                <w:lang w:val="en-US"/>
                <w14:textFill>
                  <w14:solidFill>
                    <w14:schemeClr w14:val="tx1"/>
                  </w14:solidFill>
                </w14:textFill>
              </w:rPr>
              <w:t>进出口</w:t>
            </w:r>
          </w:p>
        </w:tc>
        <w:tc>
          <w:tcPr>
            <w:tcW w:w="0" w:type="auto"/>
            <w:shd w:val="clear" w:color="auto" w:fill="auto"/>
            <w:vAlign w:val="center"/>
          </w:tcPr>
          <w:p w14:paraId="40ABA047">
            <w:pPr>
              <w:pStyle w:val="73"/>
              <w:spacing w:line="240" w:lineRule="exact"/>
              <w:rPr>
                <w:rFonts w:eastAsia="宋体"/>
                <w:b/>
                <w:color w:val="000000" w:themeColor="text1"/>
                <w:sz w:val="21"/>
                <w:lang w:val="en-US"/>
                <w14:textFill>
                  <w14:solidFill>
                    <w14:schemeClr w14:val="tx1"/>
                  </w14:solidFill>
                </w14:textFill>
              </w:rPr>
            </w:pPr>
            <w:r>
              <w:rPr>
                <w:rFonts w:hint="eastAsia" w:eastAsia="宋体"/>
                <w:b/>
                <w:color w:val="000000" w:themeColor="text1"/>
                <w:sz w:val="21"/>
                <w:lang w:val="en-US"/>
                <w14:textFill>
                  <w14:solidFill>
                    <w14:schemeClr w14:val="tx1"/>
                  </w14:solidFill>
                </w14:textFill>
              </w:rPr>
              <w:t>吞吐量</w:t>
            </w:r>
          </w:p>
          <w:p w14:paraId="2AEE8465">
            <w:pPr>
              <w:pStyle w:val="73"/>
              <w:spacing w:line="240" w:lineRule="exact"/>
              <w:rPr>
                <w:rFonts w:eastAsia="宋体"/>
                <w:b/>
                <w:color w:val="000000" w:themeColor="text1"/>
                <w:sz w:val="21"/>
                <w:lang w:val="en-US"/>
                <w14:textFill>
                  <w14:solidFill>
                    <w14:schemeClr w14:val="tx1"/>
                  </w14:solidFill>
                </w14:textFill>
              </w:rPr>
            </w:pPr>
            <w:r>
              <w:rPr>
                <w:rFonts w:hint="eastAsia" w:eastAsia="宋体"/>
                <w:b/>
                <w:color w:val="000000" w:themeColor="text1"/>
                <w:sz w:val="21"/>
                <w:lang w:val="en-US"/>
                <w14:textFill>
                  <w14:solidFill>
                    <w14:schemeClr w14:val="tx1"/>
                  </w14:solidFill>
                </w14:textFill>
              </w:rPr>
              <w:t>（万吨/年）</w:t>
            </w:r>
          </w:p>
        </w:tc>
        <w:tc>
          <w:tcPr>
            <w:tcW w:w="751" w:type="dxa"/>
            <w:shd w:val="clear" w:color="auto" w:fill="auto"/>
            <w:vAlign w:val="center"/>
          </w:tcPr>
          <w:p w14:paraId="1DCDD795">
            <w:pPr>
              <w:pStyle w:val="73"/>
              <w:spacing w:line="240" w:lineRule="exact"/>
              <w:rPr>
                <w:rFonts w:eastAsia="宋体"/>
                <w:b/>
                <w:color w:val="000000" w:themeColor="text1"/>
                <w:sz w:val="21"/>
                <w14:textFill>
                  <w14:solidFill>
                    <w14:schemeClr w14:val="tx1"/>
                  </w14:solidFill>
                </w14:textFill>
              </w:rPr>
            </w:pPr>
            <w:r>
              <w:rPr>
                <w:rFonts w:hint="eastAsia" w:eastAsia="宋体"/>
                <w:b/>
                <w:color w:val="000000" w:themeColor="text1"/>
                <w:sz w:val="21"/>
                <w14:textFill>
                  <w14:solidFill>
                    <w14:schemeClr w14:val="tx1"/>
                  </w14:solidFill>
                </w14:textFill>
              </w:rPr>
              <w:t>装卸船方式</w:t>
            </w:r>
          </w:p>
        </w:tc>
        <w:tc>
          <w:tcPr>
            <w:tcW w:w="1005" w:type="dxa"/>
            <w:shd w:val="clear" w:color="auto" w:fill="auto"/>
            <w:vAlign w:val="center"/>
          </w:tcPr>
          <w:p w14:paraId="3CDB7030">
            <w:pPr>
              <w:pStyle w:val="73"/>
              <w:spacing w:line="240" w:lineRule="exact"/>
              <w:rPr>
                <w:rFonts w:eastAsia="宋体"/>
                <w:b/>
                <w:color w:val="000000" w:themeColor="text1"/>
                <w:sz w:val="21"/>
                <w14:textFill>
                  <w14:solidFill>
                    <w14:schemeClr w14:val="tx1"/>
                  </w14:solidFill>
                </w14:textFill>
              </w:rPr>
            </w:pPr>
            <w:r>
              <w:rPr>
                <w:rFonts w:hint="eastAsia" w:eastAsia="宋体"/>
                <w:b/>
                <w:color w:val="000000" w:themeColor="text1"/>
                <w:sz w:val="21"/>
                <w14:textFill>
                  <w14:solidFill>
                    <w14:schemeClr w14:val="tx1"/>
                  </w14:solidFill>
                </w14:textFill>
              </w:rPr>
              <w:t>是否设码</w:t>
            </w:r>
          </w:p>
          <w:p w14:paraId="051B51F2">
            <w:pPr>
              <w:pStyle w:val="73"/>
              <w:spacing w:line="240" w:lineRule="exact"/>
              <w:rPr>
                <w:rFonts w:eastAsia="宋体"/>
                <w:b/>
                <w:color w:val="000000" w:themeColor="text1"/>
                <w:sz w:val="21"/>
                <w14:textFill>
                  <w14:solidFill>
                    <w14:schemeClr w14:val="tx1"/>
                  </w14:solidFill>
                </w14:textFill>
              </w:rPr>
            </w:pPr>
            <w:r>
              <w:rPr>
                <w:rFonts w:hint="eastAsia" w:eastAsia="宋体"/>
                <w:b/>
                <w:color w:val="000000" w:themeColor="text1"/>
                <w:sz w:val="21"/>
                <w14:textFill>
                  <w14:solidFill>
                    <w14:schemeClr w14:val="tx1"/>
                  </w14:solidFill>
                </w14:textFill>
              </w:rPr>
              <w:t>头罐区储</w:t>
            </w:r>
          </w:p>
          <w:p w14:paraId="5119443F">
            <w:pPr>
              <w:pStyle w:val="73"/>
              <w:spacing w:line="240" w:lineRule="exact"/>
              <w:rPr>
                <w:rFonts w:eastAsia="宋体"/>
                <w:b/>
                <w:color w:val="000000" w:themeColor="text1"/>
                <w:sz w:val="21"/>
                <w14:textFill>
                  <w14:solidFill>
                    <w14:schemeClr w14:val="tx1"/>
                  </w14:solidFill>
                </w14:textFill>
              </w:rPr>
            </w:pPr>
            <w:r>
              <w:rPr>
                <w:rFonts w:hint="eastAsia" w:eastAsia="宋体"/>
                <w:b/>
                <w:color w:val="000000" w:themeColor="text1"/>
                <w:sz w:val="21"/>
                <w14:textFill>
                  <w14:solidFill>
                    <w14:schemeClr w14:val="tx1"/>
                  </w14:solidFill>
                </w14:textFill>
              </w:rPr>
              <w:t>罐</w:t>
            </w:r>
          </w:p>
        </w:tc>
        <w:tc>
          <w:tcPr>
            <w:tcW w:w="630" w:type="dxa"/>
            <w:shd w:val="clear" w:color="auto" w:fill="auto"/>
            <w:vAlign w:val="center"/>
          </w:tcPr>
          <w:p w14:paraId="23576516">
            <w:pPr>
              <w:pStyle w:val="73"/>
              <w:spacing w:line="240" w:lineRule="exact"/>
              <w:rPr>
                <w:rFonts w:eastAsia="宋体"/>
                <w:b/>
                <w:color w:val="000000" w:themeColor="text1"/>
                <w:sz w:val="21"/>
                <w14:textFill>
                  <w14:solidFill>
                    <w14:schemeClr w14:val="tx1"/>
                  </w14:solidFill>
                </w14:textFill>
              </w:rPr>
            </w:pPr>
            <w:r>
              <w:rPr>
                <w:rFonts w:hint="eastAsia" w:eastAsia="宋体"/>
                <w:b/>
                <w:color w:val="000000" w:themeColor="text1"/>
                <w:sz w:val="21"/>
                <w14:textFill>
                  <w14:solidFill>
                    <w14:schemeClr w14:val="tx1"/>
                  </w14:solidFill>
                </w14:textFill>
              </w:rPr>
              <w:t>是否装汽</w:t>
            </w:r>
          </w:p>
          <w:p w14:paraId="7C682882">
            <w:pPr>
              <w:pStyle w:val="73"/>
              <w:spacing w:line="240" w:lineRule="exact"/>
              <w:rPr>
                <w:rFonts w:eastAsia="宋体"/>
                <w:b/>
                <w:color w:val="000000" w:themeColor="text1"/>
                <w:sz w:val="21"/>
                <w14:textFill>
                  <w14:solidFill>
                    <w14:schemeClr w14:val="tx1"/>
                  </w14:solidFill>
                </w14:textFill>
              </w:rPr>
            </w:pPr>
            <w:r>
              <w:rPr>
                <w:rFonts w:hint="eastAsia" w:eastAsia="宋体"/>
                <w:b/>
                <w:color w:val="000000" w:themeColor="text1"/>
                <w:sz w:val="21"/>
                <w14:textFill>
                  <w14:solidFill>
                    <w14:schemeClr w14:val="tx1"/>
                  </w14:solidFill>
                </w14:textFill>
              </w:rPr>
              <w:t>车</w:t>
            </w:r>
          </w:p>
        </w:tc>
        <w:tc>
          <w:tcPr>
            <w:tcW w:w="915" w:type="dxa"/>
            <w:shd w:val="clear" w:color="auto" w:fill="auto"/>
            <w:vAlign w:val="center"/>
          </w:tcPr>
          <w:p w14:paraId="3628B832">
            <w:pPr>
              <w:pStyle w:val="73"/>
              <w:spacing w:line="240" w:lineRule="exact"/>
              <w:rPr>
                <w:rFonts w:eastAsia="宋体"/>
                <w:b/>
                <w:color w:val="000000" w:themeColor="text1"/>
                <w:sz w:val="21"/>
                <w:lang w:val="en-US"/>
                <w14:textFill>
                  <w14:solidFill>
                    <w14:schemeClr w14:val="tx1"/>
                  </w14:solidFill>
                </w14:textFill>
              </w:rPr>
            </w:pPr>
            <w:r>
              <w:rPr>
                <w:rFonts w:hint="eastAsia" w:eastAsia="宋体"/>
                <w:b/>
                <w:color w:val="000000" w:themeColor="text1"/>
                <w:sz w:val="21"/>
                <w:lang w:val="en-US"/>
                <w14:textFill>
                  <w14:solidFill>
                    <w14:schemeClr w14:val="tx1"/>
                  </w14:solidFill>
                </w14:textFill>
              </w:rPr>
              <w:t>备注</w:t>
            </w:r>
          </w:p>
        </w:tc>
      </w:tr>
      <w:tr w14:paraId="64A969A4">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7" w:type="dxa"/>
            <w:bottom w:w="0" w:type="dxa"/>
            <w:right w:w="17" w:type="dxa"/>
          </w:tblCellMar>
        </w:tblPrEx>
        <w:trPr>
          <w:trHeight w:val="555" w:hRule="atLeast"/>
          <w:jc w:val="center"/>
        </w:trPr>
        <w:tc>
          <w:tcPr>
            <w:tcW w:w="0" w:type="auto"/>
            <w:shd w:val="clear" w:color="auto" w:fill="auto"/>
            <w:vAlign w:val="center"/>
          </w:tcPr>
          <w:p w14:paraId="7C79FC4A">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lang w:val="en-US"/>
                <w14:textFill>
                  <w14:solidFill>
                    <w14:schemeClr w14:val="tx1"/>
                  </w14:solidFill>
                </w14:textFill>
              </w:rPr>
              <w:t>1</w:t>
            </w:r>
          </w:p>
        </w:tc>
        <w:tc>
          <w:tcPr>
            <w:tcW w:w="0" w:type="auto"/>
            <w:shd w:val="clear" w:color="auto" w:fill="auto"/>
            <w:vAlign w:val="center"/>
          </w:tcPr>
          <w:p w14:paraId="06C4B640">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苯</w:t>
            </w:r>
          </w:p>
        </w:tc>
        <w:tc>
          <w:tcPr>
            <w:tcW w:w="0" w:type="auto"/>
            <w:shd w:val="clear" w:color="auto" w:fill="auto"/>
            <w:vAlign w:val="center"/>
          </w:tcPr>
          <w:p w14:paraId="2F0C171C">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进/出</w:t>
            </w:r>
          </w:p>
        </w:tc>
        <w:tc>
          <w:tcPr>
            <w:tcW w:w="0" w:type="auto"/>
            <w:shd w:val="clear" w:color="auto" w:fill="auto"/>
            <w:vAlign w:val="center"/>
          </w:tcPr>
          <w:p w14:paraId="5DC3E8DC">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120</w:t>
            </w:r>
          </w:p>
        </w:tc>
        <w:tc>
          <w:tcPr>
            <w:tcW w:w="0" w:type="auto"/>
            <w:shd w:val="clear" w:color="auto" w:fill="auto"/>
            <w:vAlign w:val="center"/>
          </w:tcPr>
          <w:p w14:paraId="20CD60B1">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装卸臂</w:t>
            </w:r>
          </w:p>
        </w:tc>
        <w:tc>
          <w:tcPr>
            <w:tcW w:w="0" w:type="auto"/>
            <w:shd w:val="clear" w:color="auto" w:fill="auto"/>
            <w:vAlign w:val="center"/>
          </w:tcPr>
          <w:p w14:paraId="0432CFD5">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否</w:t>
            </w:r>
          </w:p>
        </w:tc>
        <w:tc>
          <w:tcPr>
            <w:tcW w:w="0" w:type="auto"/>
            <w:shd w:val="clear" w:color="auto" w:fill="auto"/>
            <w:vAlign w:val="center"/>
          </w:tcPr>
          <w:p w14:paraId="0D054A9E">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lang w:val="en-US"/>
                <w14:textFill>
                  <w14:solidFill>
                    <w14:schemeClr w14:val="tx1"/>
                  </w14:solidFill>
                </w14:textFill>
              </w:rPr>
              <w:t>是</w:t>
            </w:r>
          </w:p>
        </w:tc>
        <w:tc>
          <w:tcPr>
            <w:tcW w:w="0" w:type="auto"/>
            <w:shd w:val="clear" w:color="auto" w:fill="auto"/>
            <w:vAlign w:val="center"/>
          </w:tcPr>
          <w:p w14:paraId="5CB7BE7E">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已建</w:t>
            </w:r>
          </w:p>
        </w:tc>
        <w:tc>
          <w:tcPr>
            <w:tcW w:w="0" w:type="auto"/>
            <w:shd w:val="clear" w:color="auto" w:fill="auto"/>
            <w:vAlign w:val="center"/>
          </w:tcPr>
          <w:p w14:paraId="45D8D50F">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苯</w:t>
            </w:r>
          </w:p>
        </w:tc>
        <w:tc>
          <w:tcPr>
            <w:tcW w:w="0" w:type="auto"/>
            <w:shd w:val="clear" w:color="auto" w:fill="auto"/>
            <w:vAlign w:val="center"/>
          </w:tcPr>
          <w:p w14:paraId="0D836932">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进/出</w:t>
            </w:r>
          </w:p>
        </w:tc>
        <w:tc>
          <w:tcPr>
            <w:tcW w:w="0" w:type="auto"/>
            <w:shd w:val="clear" w:color="auto" w:fill="auto"/>
            <w:vAlign w:val="center"/>
          </w:tcPr>
          <w:p w14:paraId="37870D98">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100</w:t>
            </w:r>
          </w:p>
        </w:tc>
        <w:tc>
          <w:tcPr>
            <w:tcW w:w="751" w:type="dxa"/>
            <w:shd w:val="clear" w:color="auto" w:fill="auto"/>
            <w:vAlign w:val="center"/>
          </w:tcPr>
          <w:p w14:paraId="275A5468">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装卸臂</w:t>
            </w:r>
          </w:p>
        </w:tc>
        <w:tc>
          <w:tcPr>
            <w:tcW w:w="1005" w:type="dxa"/>
            <w:shd w:val="clear" w:color="auto" w:fill="auto"/>
            <w:vAlign w:val="center"/>
          </w:tcPr>
          <w:p w14:paraId="383C4E30">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是</w:t>
            </w:r>
          </w:p>
        </w:tc>
        <w:tc>
          <w:tcPr>
            <w:tcW w:w="630" w:type="dxa"/>
            <w:shd w:val="clear" w:color="auto" w:fill="auto"/>
            <w:vAlign w:val="center"/>
          </w:tcPr>
          <w:p w14:paraId="1ECEA2AE">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是</w:t>
            </w:r>
          </w:p>
        </w:tc>
        <w:tc>
          <w:tcPr>
            <w:tcW w:w="915" w:type="dxa"/>
            <w:shd w:val="clear" w:color="auto" w:fill="auto"/>
            <w:vAlign w:val="center"/>
          </w:tcPr>
          <w:p w14:paraId="5FDAFEE6">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14:textFill>
                  <w14:solidFill>
                    <w14:schemeClr w14:val="tx1"/>
                  </w14:solidFill>
                </w14:textFill>
              </w:rPr>
              <w:t>已建</w:t>
            </w:r>
          </w:p>
        </w:tc>
      </w:tr>
      <w:tr w14:paraId="2BFFCB44">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7" w:type="dxa"/>
            <w:bottom w:w="0" w:type="dxa"/>
            <w:right w:w="17" w:type="dxa"/>
          </w:tblCellMar>
        </w:tblPrEx>
        <w:trPr>
          <w:trHeight w:val="375" w:hRule="atLeast"/>
          <w:jc w:val="center"/>
        </w:trPr>
        <w:tc>
          <w:tcPr>
            <w:tcW w:w="0" w:type="auto"/>
            <w:shd w:val="clear" w:color="auto" w:fill="auto"/>
            <w:vAlign w:val="center"/>
          </w:tcPr>
          <w:p w14:paraId="5BEAF319">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lang w:val="en-US"/>
                <w14:textFill>
                  <w14:solidFill>
                    <w14:schemeClr w14:val="tx1"/>
                  </w14:solidFill>
                </w14:textFill>
              </w:rPr>
              <w:t>2</w:t>
            </w:r>
          </w:p>
        </w:tc>
        <w:tc>
          <w:tcPr>
            <w:tcW w:w="0" w:type="auto"/>
            <w:shd w:val="clear" w:color="auto" w:fill="auto"/>
            <w:vAlign w:val="center"/>
          </w:tcPr>
          <w:p w14:paraId="248797BC">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环己酮</w:t>
            </w:r>
          </w:p>
        </w:tc>
        <w:tc>
          <w:tcPr>
            <w:tcW w:w="0" w:type="auto"/>
            <w:shd w:val="clear" w:color="auto" w:fill="auto"/>
            <w:vAlign w:val="center"/>
          </w:tcPr>
          <w:p w14:paraId="1FD524D4">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lang w:val="en-US"/>
                <w14:textFill>
                  <w14:solidFill>
                    <w14:schemeClr w14:val="tx1"/>
                  </w14:solidFill>
                </w14:textFill>
              </w:rPr>
              <w:t>出口</w:t>
            </w:r>
          </w:p>
        </w:tc>
        <w:tc>
          <w:tcPr>
            <w:tcW w:w="0" w:type="auto"/>
            <w:shd w:val="clear" w:color="auto" w:fill="auto"/>
            <w:vAlign w:val="center"/>
          </w:tcPr>
          <w:p w14:paraId="3B749174">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12</w:t>
            </w:r>
          </w:p>
        </w:tc>
        <w:tc>
          <w:tcPr>
            <w:tcW w:w="0" w:type="auto"/>
            <w:shd w:val="clear" w:color="auto" w:fill="auto"/>
            <w:vAlign w:val="center"/>
          </w:tcPr>
          <w:p w14:paraId="6CC3C55E">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装卸臂</w:t>
            </w:r>
          </w:p>
        </w:tc>
        <w:tc>
          <w:tcPr>
            <w:tcW w:w="0" w:type="auto"/>
            <w:shd w:val="clear" w:color="auto" w:fill="auto"/>
            <w:vAlign w:val="center"/>
          </w:tcPr>
          <w:p w14:paraId="33D7E5DC">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否</w:t>
            </w:r>
          </w:p>
        </w:tc>
        <w:tc>
          <w:tcPr>
            <w:tcW w:w="0" w:type="auto"/>
            <w:shd w:val="clear" w:color="auto" w:fill="auto"/>
            <w:vAlign w:val="center"/>
          </w:tcPr>
          <w:p w14:paraId="4FBEE6A2">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否</w:t>
            </w:r>
          </w:p>
        </w:tc>
        <w:tc>
          <w:tcPr>
            <w:tcW w:w="0" w:type="auto"/>
            <w:shd w:val="clear" w:color="auto" w:fill="auto"/>
            <w:vAlign w:val="center"/>
          </w:tcPr>
          <w:p w14:paraId="649C87E8">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已建</w:t>
            </w:r>
          </w:p>
        </w:tc>
        <w:tc>
          <w:tcPr>
            <w:tcW w:w="0" w:type="auto"/>
            <w:shd w:val="clear" w:color="auto" w:fill="auto"/>
            <w:vAlign w:val="center"/>
          </w:tcPr>
          <w:p w14:paraId="61F2A982">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14:textFill>
                  <w14:solidFill>
                    <w14:schemeClr w14:val="tx1"/>
                  </w14:solidFill>
                </w14:textFill>
              </w:rPr>
              <w:t>环己酮</w:t>
            </w:r>
          </w:p>
        </w:tc>
        <w:tc>
          <w:tcPr>
            <w:tcW w:w="0" w:type="auto"/>
            <w:shd w:val="clear" w:color="auto" w:fill="auto"/>
            <w:vAlign w:val="center"/>
          </w:tcPr>
          <w:p w14:paraId="4DA397B9">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lang w:val="en-US"/>
                <w14:textFill>
                  <w14:solidFill>
                    <w14:schemeClr w14:val="tx1"/>
                  </w14:solidFill>
                </w14:textFill>
              </w:rPr>
              <w:t>出口</w:t>
            </w:r>
          </w:p>
        </w:tc>
        <w:tc>
          <w:tcPr>
            <w:tcW w:w="0" w:type="auto"/>
            <w:shd w:val="clear" w:color="auto" w:fill="auto"/>
            <w:vAlign w:val="center"/>
          </w:tcPr>
          <w:p w14:paraId="2E31E9B0">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2</w:t>
            </w:r>
          </w:p>
        </w:tc>
        <w:tc>
          <w:tcPr>
            <w:tcW w:w="751" w:type="dxa"/>
            <w:shd w:val="clear" w:color="auto" w:fill="auto"/>
            <w:vAlign w:val="center"/>
          </w:tcPr>
          <w:p w14:paraId="1F5FDF00">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14:textFill>
                  <w14:solidFill>
                    <w14:schemeClr w14:val="tx1"/>
                  </w14:solidFill>
                </w14:textFill>
              </w:rPr>
              <w:t>装卸臂</w:t>
            </w:r>
          </w:p>
        </w:tc>
        <w:tc>
          <w:tcPr>
            <w:tcW w:w="1005" w:type="dxa"/>
            <w:shd w:val="clear" w:color="auto" w:fill="auto"/>
            <w:vAlign w:val="center"/>
          </w:tcPr>
          <w:p w14:paraId="79990CDB">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是</w:t>
            </w:r>
          </w:p>
        </w:tc>
        <w:tc>
          <w:tcPr>
            <w:tcW w:w="630" w:type="dxa"/>
            <w:shd w:val="clear" w:color="auto" w:fill="auto"/>
            <w:vAlign w:val="center"/>
          </w:tcPr>
          <w:p w14:paraId="5BC0E63B">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否</w:t>
            </w:r>
          </w:p>
        </w:tc>
        <w:tc>
          <w:tcPr>
            <w:tcW w:w="915" w:type="dxa"/>
            <w:shd w:val="clear" w:color="auto" w:fill="auto"/>
            <w:vAlign w:val="center"/>
          </w:tcPr>
          <w:p w14:paraId="6092AF1D">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已建</w:t>
            </w:r>
          </w:p>
        </w:tc>
      </w:tr>
      <w:tr w14:paraId="1E1247AC">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7" w:type="dxa"/>
            <w:bottom w:w="0" w:type="dxa"/>
            <w:right w:w="17" w:type="dxa"/>
          </w:tblCellMar>
        </w:tblPrEx>
        <w:trPr>
          <w:trHeight w:val="555" w:hRule="atLeast"/>
          <w:jc w:val="center"/>
        </w:trPr>
        <w:tc>
          <w:tcPr>
            <w:tcW w:w="0" w:type="auto"/>
            <w:shd w:val="clear" w:color="auto" w:fill="auto"/>
            <w:vAlign w:val="center"/>
          </w:tcPr>
          <w:p w14:paraId="5C128FEC">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lang w:val="en-US"/>
                <w14:textFill>
                  <w14:solidFill>
                    <w14:schemeClr w14:val="tx1"/>
                  </w14:solidFill>
                </w14:textFill>
              </w:rPr>
              <w:t>3</w:t>
            </w:r>
          </w:p>
        </w:tc>
        <w:tc>
          <w:tcPr>
            <w:tcW w:w="0" w:type="auto"/>
            <w:shd w:val="clear" w:color="auto" w:fill="auto"/>
            <w:vAlign w:val="center"/>
          </w:tcPr>
          <w:p w14:paraId="663C5D7F">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粗苯</w:t>
            </w:r>
          </w:p>
        </w:tc>
        <w:tc>
          <w:tcPr>
            <w:tcW w:w="0" w:type="auto"/>
            <w:shd w:val="clear" w:color="auto" w:fill="auto"/>
            <w:vAlign w:val="center"/>
          </w:tcPr>
          <w:p w14:paraId="7DCEA0AC">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lang w:val="en-US"/>
                <w14:textFill>
                  <w14:solidFill>
                    <w14:schemeClr w14:val="tx1"/>
                  </w14:solidFill>
                </w14:textFill>
              </w:rPr>
              <w:t>进/出</w:t>
            </w:r>
          </w:p>
        </w:tc>
        <w:tc>
          <w:tcPr>
            <w:tcW w:w="0" w:type="auto"/>
            <w:shd w:val="clear" w:color="auto" w:fill="auto"/>
            <w:vAlign w:val="center"/>
          </w:tcPr>
          <w:p w14:paraId="63A5A5EA">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10</w:t>
            </w:r>
          </w:p>
        </w:tc>
        <w:tc>
          <w:tcPr>
            <w:tcW w:w="0" w:type="auto"/>
            <w:shd w:val="clear" w:color="auto" w:fill="auto"/>
            <w:vAlign w:val="center"/>
          </w:tcPr>
          <w:p w14:paraId="7C6423C6">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装卸臂</w:t>
            </w:r>
          </w:p>
        </w:tc>
        <w:tc>
          <w:tcPr>
            <w:tcW w:w="0" w:type="auto"/>
            <w:shd w:val="clear" w:color="auto" w:fill="auto"/>
            <w:vAlign w:val="center"/>
          </w:tcPr>
          <w:p w14:paraId="7D9A3F71">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否</w:t>
            </w:r>
          </w:p>
        </w:tc>
        <w:tc>
          <w:tcPr>
            <w:tcW w:w="0" w:type="auto"/>
            <w:shd w:val="clear" w:color="auto" w:fill="auto"/>
            <w:vAlign w:val="center"/>
          </w:tcPr>
          <w:p w14:paraId="367B1F2B">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否</w:t>
            </w:r>
          </w:p>
        </w:tc>
        <w:tc>
          <w:tcPr>
            <w:tcW w:w="0" w:type="auto"/>
            <w:shd w:val="clear" w:color="auto" w:fill="auto"/>
            <w:vAlign w:val="center"/>
          </w:tcPr>
          <w:p w14:paraId="07873EBB">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已建</w:t>
            </w:r>
          </w:p>
        </w:tc>
        <w:tc>
          <w:tcPr>
            <w:tcW w:w="0" w:type="auto"/>
            <w:shd w:val="clear" w:color="auto" w:fill="auto"/>
            <w:vAlign w:val="center"/>
          </w:tcPr>
          <w:p w14:paraId="171AEFB3">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14:textFill>
                  <w14:solidFill>
                    <w14:schemeClr w14:val="tx1"/>
                  </w14:solidFill>
                </w14:textFill>
              </w:rPr>
              <w:t>粗苯</w:t>
            </w:r>
          </w:p>
        </w:tc>
        <w:tc>
          <w:tcPr>
            <w:tcW w:w="0" w:type="auto"/>
            <w:shd w:val="clear" w:color="auto" w:fill="auto"/>
            <w:vAlign w:val="center"/>
          </w:tcPr>
          <w:p w14:paraId="7E6BB939">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lang w:val="en-US"/>
                <w14:textFill>
                  <w14:solidFill>
                    <w14:schemeClr w14:val="tx1"/>
                  </w14:solidFill>
                </w14:textFill>
              </w:rPr>
              <w:t>进/出</w:t>
            </w:r>
          </w:p>
        </w:tc>
        <w:tc>
          <w:tcPr>
            <w:tcW w:w="0" w:type="auto"/>
            <w:shd w:val="clear" w:color="auto" w:fill="auto"/>
            <w:vAlign w:val="center"/>
          </w:tcPr>
          <w:p w14:paraId="4EA2009F">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10</w:t>
            </w:r>
          </w:p>
        </w:tc>
        <w:tc>
          <w:tcPr>
            <w:tcW w:w="751" w:type="dxa"/>
            <w:shd w:val="clear" w:color="auto" w:fill="auto"/>
            <w:vAlign w:val="center"/>
          </w:tcPr>
          <w:p w14:paraId="797D88CB">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装卸臂</w:t>
            </w:r>
          </w:p>
        </w:tc>
        <w:tc>
          <w:tcPr>
            <w:tcW w:w="1005" w:type="dxa"/>
            <w:shd w:val="clear" w:color="auto" w:fill="auto"/>
            <w:vAlign w:val="center"/>
          </w:tcPr>
          <w:p w14:paraId="30DF9252">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14:textFill>
                  <w14:solidFill>
                    <w14:schemeClr w14:val="tx1"/>
                  </w14:solidFill>
                </w14:textFill>
              </w:rPr>
              <w:t>否</w:t>
            </w:r>
          </w:p>
        </w:tc>
        <w:tc>
          <w:tcPr>
            <w:tcW w:w="630" w:type="dxa"/>
            <w:shd w:val="clear" w:color="auto" w:fill="auto"/>
            <w:vAlign w:val="center"/>
          </w:tcPr>
          <w:p w14:paraId="35453A3E">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否</w:t>
            </w:r>
          </w:p>
        </w:tc>
        <w:tc>
          <w:tcPr>
            <w:tcW w:w="915" w:type="dxa"/>
            <w:shd w:val="clear" w:color="auto" w:fill="auto"/>
            <w:vAlign w:val="center"/>
          </w:tcPr>
          <w:p w14:paraId="2A4F9911">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已建</w:t>
            </w:r>
          </w:p>
        </w:tc>
      </w:tr>
      <w:tr w14:paraId="41364642">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7" w:type="dxa"/>
            <w:bottom w:w="0" w:type="dxa"/>
            <w:right w:w="17" w:type="dxa"/>
          </w:tblCellMar>
        </w:tblPrEx>
        <w:trPr>
          <w:trHeight w:val="460" w:hRule="atLeast"/>
          <w:jc w:val="center"/>
        </w:trPr>
        <w:tc>
          <w:tcPr>
            <w:tcW w:w="0" w:type="auto"/>
            <w:shd w:val="clear" w:color="auto" w:fill="auto"/>
            <w:vAlign w:val="center"/>
          </w:tcPr>
          <w:p w14:paraId="417E3554">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lang w:val="en-US"/>
                <w14:textFill>
                  <w14:solidFill>
                    <w14:schemeClr w14:val="tx1"/>
                  </w14:solidFill>
                </w14:textFill>
              </w:rPr>
              <w:t>4</w:t>
            </w:r>
          </w:p>
        </w:tc>
        <w:tc>
          <w:tcPr>
            <w:tcW w:w="0" w:type="auto"/>
            <w:shd w:val="clear" w:color="auto" w:fill="auto"/>
            <w:vAlign w:val="center"/>
          </w:tcPr>
          <w:p w14:paraId="3D546604">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液氨</w:t>
            </w:r>
          </w:p>
        </w:tc>
        <w:tc>
          <w:tcPr>
            <w:tcW w:w="0" w:type="auto"/>
            <w:shd w:val="clear" w:color="auto" w:fill="auto"/>
            <w:vAlign w:val="center"/>
          </w:tcPr>
          <w:p w14:paraId="61E969E4">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lang w:val="en-US"/>
                <w14:textFill>
                  <w14:solidFill>
                    <w14:schemeClr w14:val="tx1"/>
                  </w14:solidFill>
                </w14:textFill>
              </w:rPr>
              <w:t>进/出</w:t>
            </w:r>
          </w:p>
        </w:tc>
        <w:tc>
          <w:tcPr>
            <w:tcW w:w="0" w:type="auto"/>
            <w:shd w:val="clear" w:color="auto" w:fill="auto"/>
            <w:vAlign w:val="center"/>
          </w:tcPr>
          <w:p w14:paraId="02E5D09F">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20</w:t>
            </w:r>
          </w:p>
        </w:tc>
        <w:tc>
          <w:tcPr>
            <w:tcW w:w="0" w:type="auto"/>
            <w:shd w:val="clear" w:color="auto" w:fill="auto"/>
            <w:vAlign w:val="center"/>
          </w:tcPr>
          <w:p w14:paraId="2640E154">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装卸臂</w:t>
            </w:r>
          </w:p>
        </w:tc>
        <w:tc>
          <w:tcPr>
            <w:tcW w:w="0" w:type="auto"/>
            <w:shd w:val="clear" w:color="auto" w:fill="auto"/>
            <w:vAlign w:val="center"/>
          </w:tcPr>
          <w:p w14:paraId="0A4CBE71">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是</w:t>
            </w:r>
          </w:p>
        </w:tc>
        <w:tc>
          <w:tcPr>
            <w:tcW w:w="0" w:type="auto"/>
            <w:shd w:val="clear" w:color="auto" w:fill="auto"/>
            <w:vAlign w:val="center"/>
          </w:tcPr>
          <w:p w14:paraId="6F5C6444">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lang w:val="en-US"/>
                <w14:textFill>
                  <w14:solidFill>
                    <w14:schemeClr w14:val="tx1"/>
                  </w14:solidFill>
                </w14:textFill>
              </w:rPr>
              <w:t>否</w:t>
            </w:r>
          </w:p>
        </w:tc>
        <w:tc>
          <w:tcPr>
            <w:tcW w:w="0" w:type="auto"/>
            <w:shd w:val="clear" w:color="auto" w:fill="auto"/>
            <w:vAlign w:val="center"/>
          </w:tcPr>
          <w:p w14:paraId="140427B9">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已建</w:t>
            </w:r>
          </w:p>
        </w:tc>
        <w:tc>
          <w:tcPr>
            <w:tcW w:w="0" w:type="auto"/>
            <w:shd w:val="clear" w:color="auto" w:fill="auto"/>
            <w:vAlign w:val="center"/>
          </w:tcPr>
          <w:p w14:paraId="76DDC3E5">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14:textFill>
                  <w14:solidFill>
                    <w14:schemeClr w14:val="tx1"/>
                  </w14:solidFill>
                </w14:textFill>
              </w:rPr>
              <w:t>液氨</w:t>
            </w:r>
          </w:p>
        </w:tc>
        <w:tc>
          <w:tcPr>
            <w:tcW w:w="0" w:type="auto"/>
            <w:shd w:val="clear" w:color="auto" w:fill="auto"/>
            <w:vAlign w:val="center"/>
          </w:tcPr>
          <w:p w14:paraId="6AAF272A">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lang w:val="en-US"/>
                <w14:textFill>
                  <w14:solidFill>
                    <w14:schemeClr w14:val="tx1"/>
                  </w14:solidFill>
                </w14:textFill>
              </w:rPr>
              <w:t>进/出</w:t>
            </w:r>
          </w:p>
        </w:tc>
        <w:tc>
          <w:tcPr>
            <w:tcW w:w="0" w:type="auto"/>
            <w:shd w:val="clear" w:color="auto" w:fill="auto"/>
            <w:vAlign w:val="center"/>
          </w:tcPr>
          <w:p w14:paraId="7737C9A6">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20</w:t>
            </w:r>
          </w:p>
        </w:tc>
        <w:tc>
          <w:tcPr>
            <w:tcW w:w="751" w:type="dxa"/>
            <w:shd w:val="clear" w:color="auto" w:fill="auto"/>
            <w:vAlign w:val="center"/>
          </w:tcPr>
          <w:p w14:paraId="23BEF3DA">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装卸臂</w:t>
            </w:r>
          </w:p>
        </w:tc>
        <w:tc>
          <w:tcPr>
            <w:tcW w:w="1005" w:type="dxa"/>
            <w:shd w:val="clear" w:color="auto" w:fill="auto"/>
            <w:vAlign w:val="center"/>
          </w:tcPr>
          <w:p w14:paraId="24734EB2">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是</w:t>
            </w:r>
          </w:p>
        </w:tc>
        <w:tc>
          <w:tcPr>
            <w:tcW w:w="630" w:type="dxa"/>
            <w:shd w:val="clear" w:color="auto" w:fill="auto"/>
            <w:vAlign w:val="center"/>
          </w:tcPr>
          <w:p w14:paraId="1765D76F">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lang w:val="en-US"/>
                <w14:textFill>
                  <w14:solidFill>
                    <w14:schemeClr w14:val="tx1"/>
                  </w14:solidFill>
                </w14:textFill>
              </w:rPr>
              <w:t>否</w:t>
            </w:r>
          </w:p>
        </w:tc>
        <w:tc>
          <w:tcPr>
            <w:tcW w:w="915" w:type="dxa"/>
            <w:shd w:val="clear" w:color="auto" w:fill="auto"/>
            <w:vAlign w:val="center"/>
          </w:tcPr>
          <w:p w14:paraId="69F15D29">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14:textFill>
                  <w14:solidFill>
                    <w14:schemeClr w14:val="tx1"/>
                  </w14:solidFill>
                </w14:textFill>
              </w:rPr>
              <w:t>已建</w:t>
            </w:r>
          </w:p>
        </w:tc>
      </w:tr>
      <w:tr w14:paraId="547CCD3A">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7" w:type="dxa"/>
            <w:bottom w:w="0" w:type="dxa"/>
            <w:right w:w="17" w:type="dxa"/>
          </w:tblCellMar>
        </w:tblPrEx>
        <w:trPr>
          <w:trHeight w:val="397" w:hRule="atLeast"/>
          <w:jc w:val="center"/>
        </w:trPr>
        <w:tc>
          <w:tcPr>
            <w:tcW w:w="0" w:type="auto"/>
            <w:shd w:val="clear" w:color="auto" w:fill="auto"/>
            <w:vAlign w:val="center"/>
          </w:tcPr>
          <w:p w14:paraId="76153DD3">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lang w:val="en-US"/>
                <w14:textFill>
                  <w14:solidFill>
                    <w14:schemeClr w14:val="tx1"/>
                  </w14:solidFill>
                </w14:textFill>
              </w:rPr>
              <w:t>5</w:t>
            </w:r>
          </w:p>
        </w:tc>
        <w:tc>
          <w:tcPr>
            <w:tcW w:w="0" w:type="auto"/>
            <w:shd w:val="clear" w:color="auto" w:fill="auto"/>
            <w:vAlign w:val="center"/>
          </w:tcPr>
          <w:p w14:paraId="2DB60B5D">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甲苯</w:t>
            </w:r>
          </w:p>
        </w:tc>
        <w:tc>
          <w:tcPr>
            <w:tcW w:w="0" w:type="auto"/>
            <w:shd w:val="clear" w:color="auto" w:fill="auto"/>
            <w:vAlign w:val="center"/>
          </w:tcPr>
          <w:p w14:paraId="73D73186">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进/出</w:t>
            </w:r>
          </w:p>
        </w:tc>
        <w:tc>
          <w:tcPr>
            <w:tcW w:w="0" w:type="auto"/>
            <w:shd w:val="clear" w:color="auto" w:fill="auto"/>
            <w:vAlign w:val="center"/>
          </w:tcPr>
          <w:p w14:paraId="6405E372">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10</w:t>
            </w:r>
          </w:p>
        </w:tc>
        <w:tc>
          <w:tcPr>
            <w:tcW w:w="0" w:type="auto"/>
            <w:shd w:val="clear" w:color="auto" w:fill="auto"/>
            <w:vAlign w:val="center"/>
          </w:tcPr>
          <w:p w14:paraId="4EF2DF82">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装卸臂</w:t>
            </w:r>
          </w:p>
        </w:tc>
        <w:tc>
          <w:tcPr>
            <w:tcW w:w="0" w:type="auto"/>
            <w:shd w:val="clear" w:color="auto" w:fill="auto"/>
            <w:vAlign w:val="center"/>
          </w:tcPr>
          <w:p w14:paraId="54C30849">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是</w:t>
            </w:r>
          </w:p>
        </w:tc>
        <w:tc>
          <w:tcPr>
            <w:tcW w:w="0" w:type="auto"/>
            <w:shd w:val="clear" w:color="auto" w:fill="auto"/>
            <w:vAlign w:val="center"/>
          </w:tcPr>
          <w:p w14:paraId="2A3B0BC1">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是</w:t>
            </w:r>
          </w:p>
        </w:tc>
        <w:tc>
          <w:tcPr>
            <w:tcW w:w="0" w:type="auto"/>
            <w:shd w:val="clear" w:color="auto" w:fill="auto"/>
            <w:vAlign w:val="center"/>
          </w:tcPr>
          <w:p w14:paraId="2A19F8CF">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已批未建</w:t>
            </w:r>
          </w:p>
        </w:tc>
        <w:tc>
          <w:tcPr>
            <w:tcW w:w="0" w:type="auto"/>
            <w:shd w:val="clear" w:color="auto" w:fill="auto"/>
            <w:vAlign w:val="center"/>
          </w:tcPr>
          <w:p w14:paraId="73D1BEF8">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甲苯</w:t>
            </w:r>
          </w:p>
        </w:tc>
        <w:tc>
          <w:tcPr>
            <w:tcW w:w="0" w:type="auto"/>
            <w:shd w:val="clear" w:color="auto" w:fill="auto"/>
            <w:vAlign w:val="center"/>
          </w:tcPr>
          <w:p w14:paraId="154A08B8">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进/出</w:t>
            </w:r>
          </w:p>
        </w:tc>
        <w:tc>
          <w:tcPr>
            <w:tcW w:w="0" w:type="auto"/>
            <w:shd w:val="clear" w:color="auto" w:fill="auto"/>
            <w:vAlign w:val="center"/>
          </w:tcPr>
          <w:p w14:paraId="66E743D6">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5</w:t>
            </w:r>
          </w:p>
        </w:tc>
        <w:tc>
          <w:tcPr>
            <w:tcW w:w="751" w:type="dxa"/>
            <w:shd w:val="clear" w:color="auto" w:fill="auto"/>
            <w:vAlign w:val="center"/>
          </w:tcPr>
          <w:p w14:paraId="54D2A07E">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装卸臂</w:t>
            </w:r>
          </w:p>
        </w:tc>
        <w:tc>
          <w:tcPr>
            <w:tcW w:w="1005" w:type="dxa"/>
            <w:shd w:val="clear" w:color="auto" w:fill="auto"/>
            <w:vAlign w:val="center"/>
          </w:tcPr>
          <w:p w14:paraId="59032FBE">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是</w:t>
            </w:r>
          </w:p>
        </w:tc>
        <w:tc>
          <w:tcPr>
            <w:tcW w:w="630" w:type="dxa"/>
            <w:shd w:val="clear" w:color="auto" w:fill="auto"/>
            <w:vAlign w:val="center"/>
          </w:tcPr>
          <w:p w14:paraId="4326C3F4">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是</w:t>
            </w:r>
          </w:p>
        </w:tc>
        <w:tc>
          <w:tcPr>
            <w:tcW w:w="915" w:type="dxa"/>
            <w:shd w:val="clear" w:color="auto" w:fill="auto"/>
            <w:vAlign w:val="center"/>
          </w:tcPr>
          <w:p w14:paraId="7C4ABF2B">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14:textFill>
                  <w14:solidFill>
                    <w14:schemeClr w14:val="tx1"/>
                  </w14:solidFill>
                </w14:textFill>
              </w:rPr>
              <w:t>已批未建</w:t>
            </w:r>
          </w:p>
        </w:tc>
      </w:tr>
      <w:tr w14:paraId="58A6BDD5">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7" w:type="dxa"/>
            <w:bottom w:w="0" w:type="dxa"/>
            <w:right w:w="17" w:type="dxa"/>
          </w:tblCellMar>
        </w:tblPrEx>
        <w:trPr>
          <w:trHeight w:val="555" w:hRule="atLeast"/>
          <w:jc w:val="center"/>
        </w:trPr>
        <w:tc>
          <w:tcPr>
            <w:tcW w:w="0" w:type="auto"/>
            <w:shd w:val="clear" w:color="auto" w:fill="auto"/>
            <w:vAlign w:val="center"/>
          </w:tcPr>
          <w:p w14:paraId="2A79EA69">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lang w:val="en-US"/>
                <w14:textFill>
                  <w14:solidFill>
                    <w14:schemeClr w14:val="tx1"/>
                  </w14:solidFill>
                </w14:textFill>
              </w:rPr>
              <w:t>6</w:t>
            </w:r>
          </w:p>
        </w:tc>
        <w:tc>
          <w:tcPr>
            <w:tcW w:w="0" w:type="auto"/>
            <w:shd w:val="clear" w:color="auto" w:fill="auto"/>
            <w:vAlign w:val="center"/>
          </w:tcPr>
          <w:p w14:paraId="47BD42F7">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混二甲苯</w:t>
            </w:r>
          </w:p>
        </w:tc>
        <w:tc>
          <w:tcPr>
            <w:tcW w:w="0" w:type="auto"/>
            <w:shd w:val="clear" w:color="auto" w:fill="auto"/>
            <w:vAlign w:val="center"/>
          </w:tcPr>
          <w:p w14:paraId="2F0CBCEF">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进/出</w:t>
            </w:r>
          </w:p>
        </w:tc>
        <w:tc>
          <w:tcPr>
            <w:tcW w:w="0" w:type="auto"/>
            <w:shd w:val="clear" w:color="auto" w:fill="auto"/>
            <w:vAlign w:val="center"/>
          </w:tcPr>
          <w:p w14:paraId="1E9E3C14">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15</w:t>
            </w:r>
          </w:p>
        </w:tc>
        <w:tc>
          <w:tcPr>
            <w:tcW w:w="0" w:type="auto"/>
            <w:shd w:val="clear" w:color="auto" w:fill="auto"/>
            <w:vAlign w:val="center"/>
          </w:tcPr>
          <w:p w14:paraId="18CB0641">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装卸臂</w:t>
            </w:r>
          </w:p>
        </w:tc>
        <w:tc>
          <w:tcPr>
            <w:tcW w:w="0" w:type="auto"/>
            <w:shd w:val="clear" w:color="auto" w:fill="auto"/>
            <w:vAlign w:val="center"/>
          </w:tcPr>
          <w:p w14:paraId="5BA91BB8">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是</w:t>
            </w:r>
          </w:p>
        </w:tc>
        <w:tc>
          <w:tcPr>
            <w:tcW w:w="0" w:type="auto"/>
            <w:shd w:val="clear" w:color="auto" w:fill="auto"/>
            <w:vAlign w:val="center"/>
          </w:tcPr>
          <w:p w14:paraId="0301596C">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是</w:t>
            </w:r>
          </w:p>
        </w:tc>
        <w:tc>
          <w:tcPr>
            <w:tcW w:w="0" w:type="auto"/>
            <w:shd w:val="clear" w:color="auto" w:fill="auto"/>
            <w:vAlign w:val="center"/>
          </w:tcPr>
          <w:p w14:paraId="3B017A22">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已批未建</w:t>
            </w:r>
          </w:p>
        </w:tc>
        <w:tc>
          <w:tcPr>
            <w:tcW w:w="0" w:type="auto"/>
            <w:shd w:val="clear" w:color="auto" w:fill="auto"/>
            <w:vAlign w:val="center"/>
          </w:tcPr>
          <w:p w14:paraId="2FE2C71B">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14:textFill>
                  <w14:solidFill>
                    <w14:schemeClr w14:val="tx1"/>
                  </w14:solidFill>
                </w14:textFill>
              </w:rPr>
              <w:t>混二甲苯</w:t>
            </w:r>
          </w:p>
        </w:tc>
        <w:tc>
          <w:tcPr>
            <w:tcW w:w="0" w:type="auto"/>
            <w:shd w:val="clear" w:color="auto" w:fill="auto"/>
            <w:vAlign w:val="center"/>
          </w:tcPr>
          <w:p w14:paraId="35672FEF">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进/出</w:t>
            </w:r>
          </w:p>
        </w:tc>
        <w:tc>
          <w:tcPr>
            <w:tcW w:w="0" w:type="auto"/>
            <w:shd w:val="clear" w:color="auto" w:fill="auto"/>
            <w:vAlign w:val="center"/>
          </w:tcPr>
          <w:p w14:paraId="37856B05">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5</w:t>
            </w:r>
          </w:p>
        </w:tc>
        <w:tc>
          <w:tcPr>
            <w:tcW w:w="751" w:type="dxa"/>
            <w:shd w:val="clear" w:color="auto" w:fill="auto"/>
            <w:vAlign w:val="center"/>
          </w:tcPr>
          <w:p w14:paraId="2ACCEFA1">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装卸臂</w:t>
            </w:r>
          </w:p>
        </w:tc>
        <w:tc>
          <w:tcPr>
            <w:tcW w:w="1005" w:type="dxa"/>
            <w:shd w:val="clear" w:color="auto" w:fill="auto"/>
            <w:vAlign w:val="center"/>
          </w:tcPr>
          <w:p w14:paraId="769E69C6">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14:textFill>
                  <w14:solidFill>
                    <w14:schemeClr w14:val="tx1"/>
                  </w14:solidFill>
                </w14:textFill>
              </w:rPr>
              <w:t>是</w:t>
            </w:r>
          </w:p>
        </w:tc>
        <w:tc>
          <w:tcPr>
            <w:tcW w:w="630" w:type="dxa"/>
            <w:shd w:val="clear" w:color="auto" w:fill="auto"/>
            <w:vAlign w:val="center"/>
          </w:tcPr>
          <w:p w14:paraId="70CE8896">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是</w:t>
            </w:r>
          </w:p>
        </w:tc>
        <w:tc>
          <w:tcPr>
            <w:tcW w:w="915" w:type="dxa"/>
            <w:shd w:val="clear" w:color="auto" w:fill="auto"/>
            <w:vAlign w:val="center"/>
          </w:tcPr>
          <w:p w14:paraId="0C7D0A04">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已批未建</w:t>
            </w:r>
          </w:p>
        </w:tc>
      </w:tr>
      <w:tr w14:paraId="38365DB4">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7" w:type="dxa"/>
            <w:bottom w:w="0" w:type="dxa"/>
            <w:right w:w="17" w:type="dxa"/>
          </w:tblCellMar>
        </w:tblPrEx>
        <w:trPr>
          <w:trHeight w:val="555" w:hRule="atLeast"/>
          <w:jc w:val="center"/>
        </w:trPr>
        <w:tc>
          <w:tcPr>
            <w:tcW w:w="0" w:type="auto"/>
            <w:shd w:val="clear" w:color="auto" w:fill="auto"/>
            <w:vAlign w:val="center"/>
          </w:tcPr>
          <w:p w14:paraId="5E61DD43">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lang w:val="en-US"/>
                <w14:textFill>
                  <w14:solidFill>
                    <w14:schemeClr w14:val="tx1"/>
                  </w14:solidFill>
                </w14:textFill>
              </w:rPr>
              <w:t>7</w:t>
            </w:r>
          </w:p>
        </w:tc>
        <w:tc>
          <w:tcPr>
            <w:tcW w:w="0" w:type="auto"/>
            <w:shd w:val="clear" w:color="auto" w:fill="auto"/>
            <w:vAlign w:val="center"/>
          </w:tcPr>
          <w:p w14:paraId="499D19B1">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甲醇</w:t>
            </w:r>
          </w:p>
        </w:tc>
        <w:tc>
          <w:tcPr>
            <w:tcW w:w="0" w:type="auto"/>
            <w:shd w:val="clear" w:color="auto" w:fill="auto"/>
            <w:vAlign w:val="center"/>
          </w:tcPr>
          <w:p w14:paraId="6E4003AB">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进/出</w:t>
            </w:r>
          </w:p>
        </w:tc>
        <w:tc>
          <w:tcPr>
            <w:tcW w:w="0" w:type="auto"/>
            <w:shd w:val="clear" w:color="auto" w:fill="auto"/>
            <w:vAlign w:val="center"/>
          </w:tcPr>
          <w:p w14:paraId="2AB7595D">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15</w:t>
            </w:r>
          </w:p>
        </w:tc>
        <w:tc>
          <w:tcPr>
            <w:tcW w:w="0" w:type="auto"/>
            <w:shd w:val="clear" w:color="auto" w:fill="auto"/>
            <w:vAlign w:val="center"/>
          </w:tcPr>
          <w:p w14:paraId="6862D28A">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装卸臂</w:t>
            </w:r>
          </w:p>
        </w:tc>
        <w:tc>
          <w:tcPr>
            <w:tcW w:w="0" w:type="auto"/>
            <w:shd w:val="clear" w:color="auto" w:fill="auto"/>
            <w:vAlign w:val="center"/>
          </w:tcPr>
          <w:p w14:paraId="252D2007">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是</w:t>
            </w:r>
          </w:p>
        </w:tc>
        <w:tc>
          <w:tcPr>
            <w:tcW w:w="0" w:type="auto"/>
            <w:shd w:val="clear" w:color="auto" w:fill="auto"/>
            <w:vAlign w:val="center"/>
          </w:tcPr>
          <w:p w14:paraId="530733F3">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是</w:t>
            </w:r>
          </w:p>
        </w:tc>
        <w:tc>
          <w:tcPr>
            <w:tcW w:w="0" w:type="auto"/>
            <w:shd w:val="clear" w:color="auto" w:fill="auto"/>
            <w:vAlign w:val="center"/>
          </w:tcPr>
          <w:p w14:paraId="0D237570">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已批未建</w:t>
            </w:r>
          </w:p>
        </w:tc>
        <w:tc>
          <w:tcPr>
            <w:tcW w:w="0" w:type="auto"/>
            <w:shd w:val="clear" w:color="auto" w:fill="auto"/>
            <w:vAlign w:val="center"/>
          </w:tcPr>
          <w:p w14:paraId="03A8C0B0">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14:textFill>
                  <w14:solidFill>
                    <w14:schemeClr w14:val="tx1"/>
                  </w14:solidFill>
                </w14:textFill>
              </w:rPr>
              <w:t>甲醇</w:t>
            </w:r>
          </w:p>
        </w:tc>
        <w:tc>
          <w:tcPr>
            <w:tcW w:w="0" w:type="auto"/>
            <w:shd w:val="clear" w:color="auto" w:fill="auto"/>
            <w:vAlign w:val="center"/>
          </w:tcPr>
          <w:p w14:paraId="2AD8B951">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进/出</w:t>
            </w:r>
          </w:p>
        </w:tc>
        <w:tc>
          <w:tcPr>
            <w:tcW w:w="0" w:type="auto"/>
            <w:shd w:val="clear" w:color="auto" w:fill="auto"/>
            <w:vAlign w:val="center"/>
          </w:tcPr>
          <w:p w14:paraId="31D04F74">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5</w:t>
            </w:r>
          </w:p>
        </w:tc>
        <w:tc>
          <w:tcPr>
            <w:tcW w:w="751" w:type="dxa"/>
            <w:shd w:val="clear" w:color="auto" w:fill="auto"/>
            <w:vAlign w:val="center"/>
          </w:tcPr>
          <w:p w14:paraId="7FFE4E95">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装卸臂</w:t>
            </w:r>
          </w:p>
        </w:tc>
        <w:tc>
          <w:tcPr>
            <w:tcW w:w="1005" w:type="dxa"/>
            <w:shd w:val="clear" w:color="auto" w:fill="auto"/>
            <w:vAlign w:val="center"/>
          </w:tcPr>
          <w:p w14:paraId="3EDCB244">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14:textFill>
                  <w14:solidFill>
                    <w14:schemeClr w14:val="tx1"/>
                  </w14:solidFill>
                </w14:textFill>
              </w:rPr>
              <w:t>是</w:t>
            </w:r>
          </w:p>
        </w:tc>
        <w:tc>
          <w:tcPr>
            <w:tcW w:w="630" w:type="dxa"/>
            <w:shd w:val="clear" w:color="auto" w:fill="auto"/>
            <w:vAlign w:val="center"/>
          </w:tcPr>
          <w:p w14:paraId="13E12902">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是</w:t>
            </w:r>
          </w:p>
        </w:tc>
        <w:tc>
          <w:tcPr>
            <w:tcW w:w="915" w:type="dxa"/>
            <w:shd w:val="clear" w:color="auto" w:fill="auto"/>
            <w:vAlign w:val="center"/>
          </w:tcPr>
          <w:p w14:paraId="67FFF312">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已批未建</w:t>
            </w:r>
          </w:p>
        </w:tc>
      </w:tr>
      <w:tr w14:paraId="1BF0C587">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7" w:type="dxa"/>
            <w:bottom w:w="0" w:type="dxa"/>
            <w:right w:w="17" w:type="dxa"/>
          </w:tblCellMar>
        </w:tblPrEx>
        <w:trPr>
          <w:trHeight w:val="555" w:hRule="atLeast"/>
          <w:jc w:val="center"/>
        </w:trPr>
        <w:tc>
          <w:tcPr>
            <w:tcW w:w="0" w:type="auto"/>
            <w:shd w:val="clear" w:color="auto" w:fill="auto"/>
            <w:vAlign w:val="center"/>
          </w:tcPr>
          <w:p w14:paraId="53A93827">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lang w:val="en-US"/>
                <w14:textFill>
                  <w14:solidFill>
                    <w14:schemeClr w14:val="tx1"/>
                  </w14:solidFill>
                </w14:textFill>
              </w:rPr>
              <w:t>8</w:t>
            </w:r>
          </w:p>
        </w:tc>
        <w:tc>
          <w:tcPr>
            <w:tcW w:w="0" w:type="auto"/>
            <w:shd w:val="clear" w:color="auto" w:fill="auto"/>
            <w:vAlign w:val="center"/>
          </w:tcPr>
          <w:p w14:paraId="66C31F02">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乙二醇</w:t>
            </w:r>
          </w:p>
        </w:tc>
        <w:tc>
          <w:tcPr>
            <w:tcW w:w="0" w:type="auto"/>
            <w:shd w:val="clear" w:color="auto" w:fill="auto"/>
            <w:vAlign w:val="center"/>
          </w:tcPr>
          <w:p w14:paraId="60905F4B">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进/出</w:t>
            </w:r>
          </w:p>
        </w:tc>
        <w:tc>
          <w:tcPr>
            <w:tcW w:w="0" w:type="auto"/>
            <w:shd w:val="clear" w:color="auto" w:fill="auto"/>
            <w:vAlign w:val="center"/>
          </w:tcPr>
          <w:p w14:paraId="2F472434">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15</w:t>
            </w:r>
          </w:p>
        </w:tc>
        <w:tc>
          <w:tcPr>
            <w:tcW w:w="0" w:type="auto"/>
            <w:shd w:val="clear" w:color="auto" w:fill="auto"/>
            <w:vAlign w:val="center"/>
          </w:tcPr>
          <w:p w14:paraId="147EC86B">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装卸臂</w:t>
            </w:r>
          </w:p>
        </w:tc>
        <w:tc>
          <w:tcPr>
            <w:tcW w:w="0" w:type="auto"/>
            <w:shd w:val="clear" w:color="auto" w:fill="auto"/>
            <w:vAlign w:val="center"/>
          </w:tcPr>
          <w:p w14:paraId="78EC5CF9">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是</w:t>
            </w:r>
          </w:p>
        </w:tc>
        <w:tc>
          <w:tcPr>
            <w:tcW w:w="0" w:type="auto"/>
            <w:shd w:val="clear" w:color="auto" w:fill="auto"/>
            <w:vAlign w:val="center"/>
          </w:tcPr>
          <w:p w14:paraId="1040BEF5">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是</w:t>
            </w:r>
          </w:p>
        </w:tc>
        <w:tc>
          <w:tcPr>
            <w:tcW w:w="0" w:type="auto"/>
            <w:shd w:val="clear" w:color="auto" w:fill="auto"/>
            <w:vAlign w:val="center"/>
          </w:tcPr>
          <w:p w14:paraId="7FAC6263">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已批未建</w:t>
            </w:r>
          </w:p>
        </w:tc>
        <w:tc>
          <w:tcPr>
            <w:tcW w:w="0" w:type="auto"/>
            <w:shd w:val="clear" w:color="auto" w:fill="auto"/>
            <w:vAlign w:val="center"/>
          </w:tcPr>
          <w:p w14:paraId="3D72F89A">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14:textFill>
                  <w14:solidFill>
                    <w14:schemeClr w14:val="tx1"/>
                  </w14:solidFill>
                </w14:textFill>
              </w:rPr>
              <w:t>乙二醇</w:t>
            </w:r>
          </w:p>
        </w:tc>
        <w:tc>
          <w:tcPr>
            <w:tcW w:w="0" w:type="auto"/>
            <w:shd w:val="clear" w:color="auto" w:fill="auto"/>
            <w:vAlign w:val="center"/>
          </w:tcPr>
          <w:p w14:paraId="2A84AE4E">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进/出</w:t>
            </w:r>
          </w:p>
        </w:tc>
        <w:tc>
          <w:tcPr>
            <w:tcW w:w="0" w:type="auto"/>
            <w:shd w:val="clear" w:color="auto" w:fill="auto"/>
            <w:vAlign w:val="center"/>
          </w:tcPr>
          <w:p w14:paraId="62CB920C">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5</w:t>
            </w:r>
          </w:p>
        </w:tc>
        <w:tc>
          <w:tcPr>
            <w:tcW w:w="751" w:type="dxa"/>
            <w:shd w:val="clear" w:color="auto" w:fill="auto"/>
            <w:vAlign w:val="center"/>
          </w:tcPr>
          <w:p w14:paraId="23594FB0">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装卸臂</w:t>
            </w:r>
          </w:p>
        </w:tc>
        <w:tc>
          <w:tcPr>
            <w:tcW w:w="1005" w:type="dxa"/>
            <w:shd w:val="clear" w:color="auto" w:fill="auto"/>
            <w:vAlign w:val="center"/>
          </w:tcPr>
          <w:p w14:paraId="610368F3">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14:textFill>
                  <w14:solidFill>
                    <w14:schemeClr w14:val="tx1"/>
                  </w14:solidFill>
                </w14:textFill>
              </w:rPr>
              <w:t>是</w:t>
            </w:r>
          </w:p>
        </w:tc>
        <w:tc>
          <w:tcPr>
            <w:tcW w:w="630" w:type="dxa"/>
            <w:shd w:val="clear" w:color="auto" w:fill="auto"/>
            <w:vAlign w:val="center"/>
          </w:tcPr>
          <w:p w14:paraId="1E730879">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是</w:t>
            </w:r>
          </w:p>
        </w:tc>
        <w:tc>
          <w:tcPr>
            <w:tcW w:w="915" w:type="dxa"/>
            <w:shd w:val="clear" w:color="auto" w:fill="auto"/>
            <w:vAlign w:val="center"/>
          </w:tcPr>
          <w:p w14:paraId="1C5F9617">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已批未建</w:t>
            </w:r>
          </w:p>
        </w:tc>
      </w:tr>
      <w:tr w14:paraId="2AA0C524">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7" w:type="dxa"/>
            <w:bottom w:w="0" w:type="dxa"/>
            <w:right w:w="17" w:type="dxa"/>
          </w:tblCellMar>
        </w:tblPrEx>
        <w:trPr>
          <w:trHeight w:val="555" w:hRule="atLeast"/>
          <w:jc w:val="center"/>
        </w:trPr>
        <w:tc>
          <w:tcPr>
            <w:tcW w:w="0" w:type="auto"/>
            <w:shd w:val="clear" w:color="auto" w:fill="auto"/>
            <w:vAlign w:val="center"/>
          </w:tcPr>
          <w:p w14:paraId="1A272889">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lang w:val="en-US"/>
                <w14:textFill>
                  <w14:solidFill>
                    <w14:schemeClr w14:val="tx1"/>
                  </w14:solidFill>
                </w14:textFill>
              </w:rPr>
              <w:t>9</w:t>
            </w:r>
          </w:p>
        </w:tc>
        <w:tc>
          <w:tcPr>
            <w:tcW w:w="0" w:type="auto"/>
            <w:shd w:val="clear" w:color="auto" w:fill="auto"/>
            <w:vAlign w:val="center"/>
          </w:tcPr>
          <w:p w14:paraId="73DED484">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环己烷</w:t>
            </w:r>
          </w:p>
        </w:tc>
        <w:tc>
          <w:tcPr>
            <w:tcW w:w="0" w:type="auto"/>
            <w:shd w:val="clear" w:color="auto" w:fill="auto"/>
            <w:vAlign w:val="center"/>
          </w:tcPr>
          <w:p w14:paraId="37698BDA">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出口</w:t>
            </w:r>
          </w:p>
        </w:tc>
        <w:tc>
          <w:tcPr>
            <w:tcW w:w="0" w:type="auto"/>
            <w:shd w:val="clear" w:color="auto" w:fill="auto"/>
            <w:vAlign w:val="center"/>
          </w:tcPr>
          <w:p w14:paraId="34108EC1">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24</w:t>
            </w:r>
          </w:p>
        </w:tc>
        <w:tc>
          <w:tcPr>
            <w:tcW w:w="0" w:type="auto"/>
            <w:shd w:val="clear" w:color="auto" w:fill="auto"/>
            <w:vAlign w:val="center"/>
          </w:tcPr>
          <w:p w14:paraId="21CCA9AB">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装卸臂</w:t>
            </w:r>
          </w:p>
        </w:tc>
        <w:tc>
          <w:tcPr>
            <w:tcW w:w="0" w:type="auto"/>
            <w:shd w:val="clear" w:color="auto" w:fill="auto"/>
            <w:vAlign w:val="center"/>
          </w:tcPr>
          <w:p w14:paraId="35D31C4C">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是</w:t>
            </w:r>
          </w:p>
        </w:tc>
        <w:tc>
          <w:tcPr>
            <w:tcW w:w="0" w:type="auto"/>
            <w:shd w:val="clear" w:color="auto" w:fill="auto"/>
            <w:vAlign w:val="center"/>
          </w:tcPr>
          <w:p w14:paraId="736627DD">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是</w:t>
            </w:r>
          </w:p>
        </w:tc>
        <w:tc>
          <w:tcPr>
            <w:tcW w:w="0" w:type="auto"/>
            <w:shd w:val="clear" w:color="auto" w:fill="auto"/>
            <w:vAlign w:val="center"/>
          </w:tcPr>
          <w:p w14:paraId="2785894E">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已批未建</w:t>
            </w:r>
          </w:p>
        </w:tc>
        <w:tc>
          <w:tcPr>
            <w:tcW w:w="0" w:type="auto"/>
            <w:shd w:val="clear" w:color="auto" w:fill="auto"/>
            <w:vAlign w:val="center"/>
          </w:tcPr>
          <w:p w14:paraId="04C12625">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14:textFill>
                  <w14:solidFill>
                    <w14:schemeClr w14:val="tx1"/>
                  </w14:solidFill>
                </w14:textFill>
              </w:rPr>
              <w:t>环己烷</w:t>
            </w:r>
          </w:p>
        </w:tc>
        <w:tc>
          <w:tcPr>
            <w:tcW w:w="0" w:type="auto"/>
            <w:shd w:val="clear" w:color="auto" w:fill="auto"/>
            <w:vAlign w:val="center"/>
          </w:tcPr>
          <w:p w14:paraId="0A48AC64">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出口</w:t>
            </w:r>
          </w:p>
        </w:tc>
        <w:tc>
          <w:tcPr>
            <w:tcW w:w="0" w:type="auto"/>
            <w:shd w:val="clear" w:color="auto" w:fill="auto"/>
            <w:vAlign w:val="center"/>
          </w:tcPr>
          <w:p w14:paraId="4AF2F703">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8</w:t>
            </w:r>
          </w:p>
        </w:tc>
        <w:tc>
          <w:tcPr>
            <w:tcW w:w="751" w:type="dxa"/>
            <w:shd w:val="clear" w:color="auto" w:fill="auto"/>
            <w:vAlign w:val="center"/>
          </w:tcPr>
          <w:p w14:paraId="07475A34">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14:textFill>
                  <w14:solidFill>
                    <w14:schemeClr w14:val="tx1"/>
                  </w14:solidFill>
                </w14:textFill>
              </w:rPr>
              <w:t>装卸臂</w:t>
            </w:r>
          </w:p>
        </w:tc>
        <w:tc>
          <w:tcPr>
            <w:tcW w:w="1005" w:type="dxa"/>
            <w:shd w:val="clear" w:color="auto" w:fill="auto"/>
            <w:vAlign w:val="center"/>
          </w:tcPr>
          <w:p w14:paraId="17483D73">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14:textFill>
                  <w14:solidFill>
                    <w14:schemeClr w14:val="tx1"/>
                  </w14:solidFill>
                </w14:textFill>
              </w:rPr>
              <w:t>是</w:t>
            </w:r>
          </w:p>
        </w:tc>
        <w:tc>
          <w:tcPr>
            <w:tcW w:w="630" w:type="dxa"/>
            <w:shd w:val="clear" w:color="auto" w:fill="auto"/>
            <w:vAlign w:val="center"/>
          </w:tcPr>
          <w:p w14:paraId="67BD32CC">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lang w:val="en-US"/>
                <w14:textFill>
                  <w14:solidFill>
                    <w14:schemeClr w14:val="tx1"/>
                  </w14:solidFill>
                </w14:textFill>
              </w:rPr>
              <w:t>否</w:t>
            </w:r>
          </w:p>
        </w:tc>
        <w:tc>
          <w:tcPr>
            <w:tcW w:w="915" w:type="dxa"/>
            <w:shd w:val="clear" w:color="auto" w:fill="auto"/>
            <w:vAlign w:val="center"/>
          </w:tcPr>
          <w:p w14:paraId="01E12A1F">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14:textFill>
                  <w14:solidFill>
                    <w14:schemeClr w14:val="tx1"/>
                  </w14:solidFill>
                </w14:textFill>
              </w:rPr>
              <w:t>已批未建</w:t>
            </w:r>
          </w:p>
        </w:tc>
      </w:tr>
      <w:tr w14:paraId="723391C7">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7" w:type="dxa"/>
            <w:bottom w:w="0" w:type="dxa"/>
            <w:right w:w="17" w:type="dxa"/>
          </w:tblCellMar>
        </w:tblPrEx>
        <w:trPr>
          <w:trHeight w:val="555" w:hRule="atLeast"/>
          <w:jc w:val="center"/>
        </w:trPr>
        <w:tc>
          <w:tcPr>
            <w:tcW w:w="0" w:type="auto"/>
            <w:shd w:val="clear" w:color="auto" w:fill="auto"/>
            <w:vAlign w:val="center"/>
          </w:tcPr>
          <w:p w14:paraId="05656140">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10</w:t>
            </w:r>
          </w:p>
        </w:tc>
        <w:tc>
          <w:tcPr>
            <w:tcW w:w="0" w:type="auto"/>
            <w:shd w:val="clear" w:color="auto" w:fill="auto"/>
            <w:vAlign w:val="center"/>
          </w:tcPr>
          <w:p w14:paraId="4CABD33A">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对二甲苯</w:t>
            </w:r>
          </w:p>
        </w:tc>
        <w:tc>
          <w:tcPr>
            <w:tcW w:w="0" w:type="auto"/>
            <w:shd w:val="clear" w:color="auto" w:fill="auto"/>
            <w:vAlign w:val="center"/>
          </w:tcPr>
          <w:p w14:paraId="59B23650">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进/出</w:t>
            </w:r>
          </w:p>
        </w:tc>
        <w:tc>
          <w:tcPr>
            <w:tcW w:w="0" w:type="auto"/>
            <w:shd w:val="clear" w:color="auto" w:fill="auto"/>
            <w:vAlign w:val="center"/>
          </w:tcPr>
          <w:p w14:paraId="4D45A2BF">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15</w:t>
            </w:r>
          </w:p>
        </w:tc>
        <w:tc>
          <w:tcPr>
            <w:tcW w:w="0" w:type="auto"/>
            <w:shd w:val="clear" w:color="auto" w:fill="auto"/>
            <w:vAlign w:val="center"/>
          </w:tcPr>
          <w:p w14:paraId="53B2F7B4">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装卸臂</w:t>
            </w:r>
          </w:p>
        </w:tc>
        <w:tc>
          <w:tcPr>
            <w:tcW w:w="0" w:type="auto"/>
            <w:shd w:val="clear" w:color="auto" w:fill="auto"/>
            <w:vAlign w:val="center"/>
          </w:tcPr>
          <w:p w14:paraId="2A5B6F45">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是</w:t>
            </w:r>
          </w:p>
        </w:tc>
        <w:tc>
          <w:tcPr>
            <w:tcW w:w="0" w:type="auto"/>
            <w:shd w:val="clear" w:color="auto" w:fill="auto"/>
            <w:vAlign w:val="center"/>
          </w:tcPr>
          <w:p w14:paraId="775D17DA">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是</w:t>
            </w:r>
          </w:p>
        </w:tc>
        <w:tc>
          <w:tcPr>
            <w:tcW w:w="0" w:type="auto"/>
            <w:shd w:val="clear" w:color="auto" w:fill="auto"/>
            <w:vAlign w:val="center"/>
          </w:tcPr>
          <w:p w14:paraId="29A5028B">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已批未建</w:t>
            </w:r>
          </w:p>
        </w:tc>
        <w:tc>
          <w:tcPr>
            <w:tcW w:w="0" w:type="auto"/>
            <w:shd w:val="clear" w:color="auto" w:fill="auto"/>
            <w:vAlign w:val="center"/>
          </w:tcPr>
          <w:p w14:paraId="350D55DA">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对二甲苯</w:t>
            </w:r>
          </w:p>
        </w:tc>
        <w:tc>
          <w:tcPr>
            <w:tcW w:w="0" w:type="auto"/>
            <w:shd w:val="clear" w:color="auto" w:fill="auto"/>
            <w:vAlign w:val="center"/>
          </w:tcPr>
          <w:p w14:paraId="1812545A">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进/出</w:t>
            </w:r>
          </w:p>
        </w:tc>
        <w:tc>
          <w:tcPr>
            <w:tcW w:w="0" w:type="auto"/>
            <w:shd w:val="clear" w:color="auto" w:fill="auto"/>
            <w:vAlign w:val="center"/>
          </w:tcPr>
          <w:p w14:paraId="040E1FD2">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 xml:space="preserve">5 </w:t>
            </w:r>
          </w:p>
        </w:tc>
        <w:tc>
          <w:tcPr>
            <w:tcW w:w="751" w:type="dxa"/>
            <w:shd w:val="clear" w:color="auto" w:fill="auto"/>
            <w:vAlign w:val="center"/>
          </w:tcPr>
          <w:p w14:paraId="77EE97A2">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装卸臂</w:t>
            </w:r>
          </w:p>
        </w:tc>
        <w:tc>
          <w:tcPr>
            <w:tcW w:w="1005" w:type="dxa"/>
            <w:shd w:val="clear" w:color="auto" w:fill="auto"/>
            <w:vAlign w:val="center"/>
          </w:tcPr>
          <w:p w14:paraId="7632332E">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是</w:t>
            </w:r>
          </w:p>
        </w:tc>
        <w:tc>
          <w:tcPr>
            <w:tcW w:w="630" w:type="dxa"/>
            <w:shd w:val="clear" w:color="auto" w:fill="auto"/>
            <w:vAlign w:val="center"/>
          </w:tcPr>
          <w:p w14:paraId="674EF745">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是</w:t>
            </w:r>
          </w:p>
        </w:tc>
        <w:tc>
          <w:tcPr>
            <w:tcW w:w="915" w:type="dxa"/>
            <w:shd w:val="clear" w:color="auto" w:fill="auto"/>
            <w:vAlign w:val="center"/>
          </w:tcPr>
          <w:p w14:paraId="2C09D3A8">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14:textFill>
                  <w14:solidFill>
                    <w14:schemeClr w14:val="tx1"/>
                  </w14:solidFill>
                </w14:textFill>
              </w:rPr>
              <w:t>已批未建</w:t>
            </w:r>
          </w:p>
        </w:tc>
      </w:tr>
      <w:tr w14:paraId="5C161E2B">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7" w:type="dxa"/>
            <w:bottom w:w="0" w:type="dxa"/>
            <w:right w:w="17" w:type="dxa"/>
          </w:tblCellMar>
        </w:tblPrEx>
        <w:trPr>
          <w:trHeight w:val="813" w:hRule="atLeast"/>
          <w:jc w:val="center"/>
        </w:trPr>
        <w:tc>
          <w:tcPr>
            <w:tcW w:w="0" w:type="auto"/>
            <w:shd w:val="clear" w:color="auto" w:fill="auto"/>
            <w:vAlign w:val="center"/>
          </w:tcPr>
          <w:p w14:paraId="7240F29A">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11</w:t>
            </w:r>
          </w:p>
        </w:tc>
        <w:tc>
          <w:tcPr>
            <w:tcW w:w="0" w:type="auto"/>
            <w:shd w:val="clear" w:color="auto" w:fill="auto"/>
            <w:vAlign w:val="center"/>
          </w:tcPr>
          <w:p w14:paraId="740D229B">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叔丁醇</w:t>
            </w:r>
          </w:p>
        </w:tc>
        <w:tc>
          <w:tcPr>
            <w:tcW w:w="0" w:type="auto"/>
            <w:shd w:val="clear" w:color="auto" w:fill="auto"/>
            <w:vAlign w:val="center"/>
          </w:tcPr>
          <w:p w14:paraId="64B2EB86">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进/出</w:t>
            </w:r>
          </w:p>
        </w:tc>
        <w:tc>
          <w:tcPr>
            <w:tcW w:w="0" w:type="auto"/>
            <w:shd w:val="clear" w:color="auto" w:fill="auto"/>
            <w:vAlign w:val="center"/>
          </w:tcPr>
          <w:p w14:paraId="6F1390EC">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20</w:t>
            </w:r>
          </w:p>
        </w:tc>
        <w:tc>
          <w:tcPr>
            <w:tcW w:w="0" w:type="auto"/>
            <w:shd w:val="clear" w:color="auto" w:fill="auto"/>
            <w:vAlign w:val="center"/>
          </w:tcPr>
          <w:p w14:paraId="1BA1518B">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装卸臂</w:t>
            </w:r>
          </w:p>
        </w:tc>
        <w:tc>
          <w:tcPr>
            <w:tcW w:w="0" w:type="auto"/>
            <w:shd w:val="clear" w:color="auto" w:fill="auto"/>
            <w:vAlign w:val="center"/>
          </w:tcPr>
          <w:p w14:paraId="5EF2148F">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是</w:t>
            </w:r>
          </w:p>
        </w:tc>
        <w:tc>
          <w:tcPr>
            <w:tcW w:w="0" w:type="auto"/>
            <w:shd w:val="clear" w:color="auto" w:fill="auto"/>
            <w:vAlign w:val="center"/>
          </w:tcPr>
          <w:p w14:paraId="32A29345">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是</w:t>
            </w:r>
          </w:p>
        </w:tc>
        <w:tc>
          <w:tcPr>
            <w:tcW w:w="0" w:type="auto"/>
            <w:shd w:val="clear" w:color="auto" w:fill="auto"/>
            <w:vAlign w:val="center"/>
          </w:tcPr>
          <w:p w14:paraId="36B219B2">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已批未建</w:t>
            </w:r>
          </w:p>
        </w:tc>
        <w:tc>
          <w:tcPr>
            <w:tcW w:w="0" w:type="auto"/>
            <w:shd w:val="clear" w:color="auto" w:fill="auto"/>
            <w:vAlign w:val="center"/>
          </w:tcPr>
          <w:p w14:paraId="191936E2">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14:textFill>
                  <w14:solidFill>
                    <w14:schemeClr w14:val="tx1"/>
                  </w14:solidFill>
                </w14:textFill>
              </w:rPr>
              <w:t>叔丁醇</w:t>
            </w:r>
          </w:p>
        </w:tc>
        <w:tc>
          <w:tcPr>
            <w:tcW w:w="0" w:type="auto"/>
            <w:shd w:val="clear" w:color="auto" w:fill="auto"/>
            <w:vAlign w:val="center"/>
          </w:tcPr>
          <w:p w14:paraId="7716D8A4">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进/出</w:t>
            </w:r>
          </w:p>
        </w:tc>
        <w:tc>
          <w:tcPr>
            <w:tcW w:w="0" w:type="auto"/>
            <w:shd w:val="clear" w:color="auto" w:fill="auto"/>
            <w:vAlign w:val="center"/>
          </w:tcPr>
          <w:p w14:paraId="691AABB3">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2</w:t>
            </w:r>
          </w:p>
        </w:tc>
        <w:tc>
          <w:tcPr>
            <w:tcW w:w="751" w:type="dxa"/>
            <w:shd w:val="clear" w:color="auto" w:fill="auto"/>
            <w:vAlign w:val="center"/>
          </w:tcPr>
          <w:p w14:paraId="1F896014">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14:textFill>
                  <w14:solidFill>
                    <w14:schemeClr w14:val="tx1"/>
                  </w14:solidFill>
                </w14:textFill>
              </w:rPr>
              <w:t>装卸臂</w:t>
            </w:r>
          </w:p>
        </w:tc>
        <w:tc>
          <w:tcPr>
            <w:tcW w:w="1005" w:type="dxa"/>
            <w:shd w:val="clear" w:color="auto" w:fill="auto"/>
            <w:vAlign w:val="center"/>
          </w:tcPr>
          <w:p w14:paraId="5B1B3BC1">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14:textFill>
                  <w14:solidFill>
                    <w14:schemeClr w14:val="tx1"/>
                  </w14:solidFill>
                </w14:textFill>
              </w:rPr>
              <w:t>是</w:t>
            </w:r>
          </w:p>
        </w:tc>
        <w:tc>
          <w:tcPr>
            <w:tcW w:w="630" w:type="dxa"/>
            <w:shd w:val="clear" w:color="auto" w:fill="auto"/>
            <w:vAlign w:val="center"/>
          </w:tcPr>
          <w:p w14:paraId="16A78C4D">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是</w:t>
            </w:r>
          </w:p>
        </w:tc>
        <w:tc>
          <w:tcPr>
            <w:tcW w:w="915" w:type="dxa"/>
            <w:shd w:val="clear" w:color="auto" w:fill="auto"/>
            <w:vAlign w:val="center"/>
          </w:tcPr>
          <w:p w14:paraId="3D8E682E">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已批未建</w:t>
            </w:r>
          </w:p>
        </w:tc>
      </w:tr>
      <w:tr w14:paraId="384D2FB5">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7" w:type="dxa"/>
            <w:bottom w:w="0" w:type="dxa"/>
            <w:right w:w="17" w:type="dxa"/>
          </w:tblCellMar>
        </w:tblPrEx>
        <w:trPr>
          <w:trHeight w:val="447" w:hRule="atLeast"/>
          <w:jc w:val="center"/>
        </w:trPr>
        <w:tc>
          <w:tcPr>
            <w:tcW w:w="0" w:type="auto"/>
            <w:gridSpan w:val="8"/>
            <w:vMerge w:val="restart"/>
            <w:shd w:val="clear" w:color="auto" w:fill="auto"/>
            <w:vAlign w:val="center"/>
          </w:tcPr>
          <w:p w14:paraId="7FC4CBED">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w:t>
            </w:r>
          </w:p>
          <w:p w14:paraId="1BFCDDD2">
            <w:pPr>
              <w:pStyle w:val="73"/>
              <w:spacing w:line="240" w:lineRule="exact"/>
              <w:jc w:val="both"/>
              <w:rPr>
                <w:rFonts w:eastAsia="宋体"/>
                <w:color w:val="000000" w:themeColor="text1"/>
                <w:sz w:val="21"/>
                <w:lang w:val="en-US"/>
                <w14:textFill>
                  <w14:solidFill>
                    <w14:schemeClr w14:val="tx1"/>
                  </w14:solidFill>
                </w14:textFill>
              </w:rPr>
            </w:pPr>
          </w:p>
        </w:tc>
        <w:tc>
          <w:tcPr>
            <w:tcW w:w="0" w:type="auto"/>
            <w:shd w:val="clear" w:color="auto" w:fill="auto"/>
            <w:vAlign w:val="center"/>
          </w:tcPr>
          <w:p w14:paraId="5912FEA9">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裂解C9</w:t>
            </w:r>
          </w:p>
        </w:tc>
        <w:tc>
          <w:tcPr>
            <w:tcW w:w="0" w:type="auto"/>
            <w:shd w:val="clear" w:color="auto" w:fill="auto"/>
            <w:vAlign w:val="center"/>
          </w:tcPr>
          <w:p w14:paraId="5C7AD8BA">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出口</w:t>
            </w:r>
          </w:p>
        </w:tc>
        <w:tc>
          <w:tcPr>
            <w:tcW w:w="0" w:type="auto"/>
            <w:shd w:val="clear" w:color="auto" w:fill="auto"/>
            <w:vAlign w:val="center"/>
          </w:tcPr>
          <w:p w14:paraId="532CDB2F">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2</w:t>
            </w:r>
          </w:p>
        </w:tc>
        <w:tc>
          <w:tcPr>
            <w:tcW w:w="751" w:type="dxa"/>
            <w:shd w:val="clear" w:color="auto" w:fill="auto"/>
            <w:vAlign w:val="center"/>
          </w:tcPr>
          <w:p w14:paraId="3E447478">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装卸臂</w:t>
            </w:r>
          </w:p>
        </w:tc>
        <w:tc>
          <w:tcPr>
            <w:tcW w:w="1005" w:type="dxa"/>
            <w:shd w:val="clear" w:color="auto" w:fill="auto"/>
            <w:vAlign w:val="center"/>
          </w:tcPr>
          <w:p w14:paraId="46FD9384">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否</w:t>
            </w:r>
          </w:p>
        </w:tc>
        <w:tc>
          <w:tcPr>
            <w:tcW w:w="630" w:type="dxa"/>
            <w:shd w:val="clear" w:color="auto" w:fill="auto"/>
            <w:vAlign w:val="center"/>
          </w:tcPr>
          <w:p w14:paraId="3F3F68F9">
            <w:pPr>
              <w:pStyle w:val="73"/>
              <w:spacing w:line="240" w:lineRule="exact"/>
              <w:rPr>
                <w:rFonts w:eastAsia="宋体"/>
                <w:color w:val="000000" w:themeColor="text1"/>
                <w:sz w:val="21"/>
                <w14:textFill>
                  <w14:solidFill>
                    <w14:schemeClr w14:val="tx1"/>
                  </w14:solidFill>
                </w14:textFill>
              </w:rPr>
            </w:pPr>
            <w:r>
              <w:rPr>
                <w:rFonts w:hint="eastAsia" w:eastAsia="宋体"/>
                <w:color w:val="000000" w:themeColor="text1"/>
                <w:sz w:val="21"/>
                <w:lang w:val="en-US"/>
                <w14:textFill>
                  <w14:solidFill>
                    <w14:schemeClr w14:val="tx1"/>
                  </w14:solidFill>
                </w14:textFill>
              </w:rPr>
              <w:t>否</w:t>
            </w:r>
          </w:p>
        </w:tc>
        <w:tc>
          <w:tcPr>
            <w:tcW w:w="915" w:type="dxa"/>
            <w:shd w:val="clear" w:color="auto" w:fill="auto"/>
            <w:vAlign w:val="center"/>
          </w:tcPr>
          <w:p w14:paraId="3A7A3C4E">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新增</w:t>
            </w:r>
          </w:p>
        </w:tc>
      </w:tr>
      <w:tr w14:paraId="292B4556">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7" w:type="dxa"/>
            <w:bottom w:w="0" w:type="dxa"/>
            <w:right w:w="17" w:type="dxa"/>
          </w:tblCellMar>
        </w:tblPrEx>
        <w:trPr>
          <w:trHeight w:val="440" w:hRule="atLeast"/>
          <w:jc w:val="center"/>
        </w:trPr>
        <w:tc>
          <w:tcPr>
            <w:tcW w:w="0" w:type="auto"/>
            <w:gridSpan w:val="8"/>
            <w:vMerge w:val="continue"/>
            <w:shd w:val="clear" w:color="auto" w:fill="auto"/>
            <w:vAlign w:val="center"/>
          </w:tcPr>
          <w:p w14:paraId="6C9B8602">
            <w:pPr>
              <w:pStyle w:val="73"/>
              <w:spacing w:line="240" w:lineRule="exact"/>
              <w:rPr>
                <w:rFonts w:eastAsia="宋体"/>
                <w:color w:val="000000" w:themeColor="text1"/>
                <w:sz w:val="21"/>
                <w:lang w:val="en-US"/>
                <w14:textFill>
                  <w14:solidFill>
                    <w14:schemeClr w14:val="tx1"/>
                  </w14:solidFill>
                </w14:textFill>
              </w:rPr>
            </w:pPr>
          </w:p>
        </w:tc>
        <w:tc>
          <w:tcPr>
            <w:tcW w:w="0" w:type="auto"/>
            <w:shd w:val="clear" w:color="auto" w:fill="auto"/>
            <w:vAlign w:val="center"/>
          </w:tcPr>
          <w:p w14:paraId="6932AFA7">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棕榈酸化油</w:t>
            </w:r>
          </w:p>
        </w:tc>
        <w:tc>
          <w:tcPr>
            <w:tcW w:w="0" w:type="auto"/>
            <w:shd w:val="clear" w:color="auto" w:fill="auto"/>
            <w:vAlign w:val="center"/>
          </w:tcPr>
          <w:p w14:paraId="7F7C840B">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进口</w:t>
            </w:r>
          </w:p>
        </w:tc>
        <w:tc>
          <w:tcPr>
            <w:tcW w:w="0" w:type="auto"/>
            <w:shd w:val="clear" w:color="auto" w:fill="auto"/>
            <w:vAlign w:val="center"/>
          </w:tcPr>
          <w:p w14:paraId="2C8468CA">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3</w:t>
            </w:r>
          </w:p>
        </w:tc>
        <w:tc>
          <w:tcPr>
            <w:tcW w:w="751" w:type="dxa"/>
            <w:shd w:val="clear" w:color="auto" w:fill="auto"/>
            <w:vAlign w:val="center"/>
          </w:tcPr>
          <w:p w14:paraId="71AE11AB">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装卸臂</w:t>
            </w:r>
          </w:p>
        </w:tc>
        <w:tc>
          <w:tcPr>
            <w:tcW w:w="1005" w:type="dxa"/>
            <w:shd w:val="clear" w:color="auto" w:fill="auto"/>
            <w:vAlign w:val="center"/>
          </w:tcPr>
          <w:p w14:paraId="51D55A61">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否</w:t>
            </w:r>
          </w:p>
        </w:tc>
        <w:tc>
          <w:tcPr>
            <w:tcW w:w="630" w:type="dxa"/>
            <w:shd w:val="clear" w:color="auto" w:fill="auto"/>
            <w:vAlign w:val="center"/>
          </w:tcPr>
          <w:p w14:paraId="2D1A6444">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否</w:t>
            </w:r>
          </w:p>
        </w:tc>
        <w:tc>
          <w:tcPr>
            <w:tcW w:w="915" w:type="dxa"/>
            <w:shd w:val="clear" w:color="auto" w:fill="auto"/>
            <w:vAlign w:val="center"/>
          </w:tcPr>
          <w:p w14:paraId="2F5573A8">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新增</w:t>
            </w:r>
          </w:p>
        </w:tc>
      </w:tr>
      <w:tr w14:paraId="06B095B0">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7" w:type="dxa"/>
            <w:bottom w:w="0" w:type="dxa"/>
            <w:right w:w="17" w:type="dxa"/>
          </w:tblCellMar>
        </w:tblPrEx>
        <w:trPr>
          <w:trHeight w:val="417" w:hRule="atLeast"/>
          <w:jc w:val="center"/>
        </w:trPr>
        <w:tc>
          <w:tcPr>
            <w:tcW w:w="0" w:type="auto"/>
            <w:gridSpan w:val="8"/>
            <w:vMerge w:val="continue"/>
            <w:shd w:val="clear" w:color="auto" w:fill="auto"/>
            <w:vAlign w:val="center"/>
          </w:tcPr>
          <w:p w14:paraId="52D981E1">
            <w:pPr>
              <w:pStyle w:val="73"/>
              <w:spacing w:line="240" w:lineRule="exact"/>
              <w:rPr>
                <w:rFonts w:eastAsia="宋体"/>
                <w:color w:val="000000" w:themeColor="text1"/>
                <w:sz w:val="21"/>
                <w:lang w:val="en-US"/>
                <w14:textFill>
                  <w14:solidFill>
                    <w14:schemeClr w14:val="tx1"/>
                  </w14:solidFill>
                </w14:textFill>
              </w:rPr>
            </w:pPr>
          </w:p>
        </w:tc>
        <w:tc>
          <w:tcPr>
            <w:tcW w:w="0" w:type="auto"/>
            <w:shd w:val="clear" w:color="auto" w:fill="auto"/>
            <w:vAlign w:val="center"/>
          </w:tcPr>
          <w:p w14:paraId="6FA1BC34">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脂肪酸甲酯</w:t>
            </w:r>
          </w:p>
        </w:tc>
        <w:tc>
          <w:tcPr>
            <w:tcW w:w="0" w:type="auto"/>
            <w:shd w:val="clear" w:color="auto" w:fill="auto"/>
            <w:vAlign w:val="center"/>
          </w:tcPr>
          <w:p w14:paraId="4D74F5FC">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出口</w:t>
            </w:r>
          </w:p>
        </w:tc>
        <w:tc>
          <w:tcPr>
            <w:tcW w:w="0" w:type="auto"/>
            <w:shd w:val="clear" w:color="auto" w:fill="auto"/>
            <w:vAlign w:val="center"/>
          </w:tcPr>
          <w:p w14:paraId="28F44B16">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3</w:t>
            </w:r>
          </w:p>
        </w:tc>
        <w:tc>
          <w:tcPr>
            <w:tcW w:w="751" w:type="dxa"/>
            <w:shd w:val="clear" w:color="auto" w:fill="auto"/>
            <w:vAlign w:val="center"/>
          </w:tcPr>
          <w:p w14:paraId="27298469">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装卸臂</w:t>
            </w:r>
          </w:p>
        </w:tc>
        <w:tc>
          <w:tcPr>
            <w:tcW w:w="1005" w:type="dxa"/>
            <w:shd w:val="clear" w:color="auto" w:fill="auto"/>
            <w:vAlign w:val="center"/>
          </w:tcPr>
          <w:p w14:paraId="51915B0C">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否</w:t>
            </w:r>
          </w:p>
        </w:tc>
        <w:tc>
          <w:tcPr>
            <w:tcW w:w="630" w:type="dxa"/>
            <w:shd w:val="clear" w:color="auto" w:fill="auto"/>
            <w:vAlign w:val="center"/>
          </w:tcPr>
          <w:p w14:paraId="36A19C11">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否</w:t>
            </w:r>
          </w:p>
        </w:tc>
        <w:tc>
          <w:tcPr>
            <w:tcW w:w="915" w:type="dxa"/>
            <w:shd w:val="clear" w:color="auto" w:fill="auto"/>
            <w:vAlign w:val="center"/>
          </w:tcPr>
          <w:p w14:paraId="39D514AA">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新增</w:t>
            </w:r>
          </w:p>
        </w:tc>
      </w:tr>
      <w:tr w14:paraId="44E72AA1">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7" w:type="dxa"/>
            <w:bottom w:w="0" w:type="dxa"/>
            <w:right w:w="17" w:type="dxa"/>
          </w:tblCellMar>
        </w:tblPrEx>
        <w:trPr>
          <w:trHeight w:val="555" w:hRule="atLeast"/>
          <w:jc w:val="center"/>
        </w:trPr>
        <w:tc>
          <w:tcPr>
            <w:tcW w:w="0" w:type="auto"/>
            <w:gridSpan w:val="8"/>
            <w:vMerge w:val="continue"/>
            <w:shd w:val="clear" w:color="auto" w:fill="auto"/>
            <w:vAlign w:val="center"/>
          </w:tcPr>
          <w:p w14:paraId="764A9A05">
            <w:pPr>
              <w:pStyle w:val="73"/>
              <w:spacing w:line="240" w:lineRule="exact"/>
              <w:rPr>
                <w:rFonts w:eastAsia="宋体"/>
                <w:color w:val="000000" w:themeColor="text1"/>
                <w:sz w:val="21"/>
                <w:lang w:val="en-US"/>
                <w14:textFill>
                  <w14:solidFill>
                    <w14:schemeClr w14:val="tx1"/>
                  </w14:solidFill>
                </w14:textFill>
              </w:rPr>
            </w:pPr>
          </w:p>
        </w:tc>
        <w:tc>
          <w:tcPr>
            <w:tcW w:w="0" w:type="auto"/>
            <w:shd w:val="clear" w:color="auto" w:fill="auto"/>
            <w:vAlign w:val="center"/>
          </w:tcPr>
          <w:p w14:paraId="5D5F14CF">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脂肪酸混合物</w:t>
            </w:r>
          </w:p>
        </w:tc>
        <w:tc>
          <w:tcPr>
            <w:tcW w:w="0" w:type="auto"/>
            <w:shd w:val="clear" w:color="auto" w:fill="auto"/>
            <w:vAlign w:val="center"/>
          </w:tcPr>
          <w:p w14:paraId="3F3B41C3">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进口</w:t>
            </w:r>
          </w:p>
        </w:tc>
        <w:tc>
          <w:tcPr>
            <w:tcW w:w="0" w:type="auto"/>
            <w:shd w:val="clear" w:color="auto" w:fill="auto"/>
            <w:vAlign w:val="center"/>
          </w:tcPr>
          <w:p w14:paraId="4D6ACE26">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2</w:t>
            </w:r>
          </w:p>
        </w:tc>
        <w:tc>
          <w:tcPr>
            <w:tcW w:w="751" w:type="dxa"/>
            <w:shd w:val="clear" w:color="auto" w:fill="auto"/>
            <w:vAlign w:val="center"/>
          </w:tcPr>
          <w:p w14:paraId="41D2A034">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装卸臂</w:t>
            </w:r>
          </w:p>
        </w:tc>
        <w:tc>
          <w:tcPr>
            <w:tcW w:w="1005" w:type="dxa"/>
            <w:shd w:val="clear" w:color="auto" w:fill="auto"/>
            <w:vAlign w:val="center"/>
          </w:tcPr>
          <w:p w14:paraId="792AEC9E">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否</w:t>
            </w:r>
          </w:p>
        </w:tc>
        <w:tc>
          <w:tcPr>
            <w:tcW w:w="630" w:type="dxa"/>
            <w:shd w:val="clear" w:color="auto" w:fill="auto"/>
            <w:vAlign w:val="center"/>
          </w:tcPr>
          <w:p w14:paraId="314DC619">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否</w:t>
            </w:r>
          </w:p>
        </w:tc>
        <w:tc>
          <w:tcPr>
            <w:tcW w:w="915" w:type="dxa"/>
            <w:shd w:val="clear" w:color="auto" w:fill="auto"/>
            <w:vAlign w:val="center"/>
          </w:tcPr>
          <w:p w14:paraId="2249FBDF">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新增</w:t>
            </w:r>
          </w:p>
        </w:tc>
      </w:tr>
      <w:tr w14:paraId="3754E2CE">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7" w:type="dxa"/>
            <w:bottom w:w="0" w:type="dxa"/>
            <w:right w:w="17" w:type="dxa"/>
          </w:tblCellMar>
        </w:tblPrEx>
        <w:trPr>
          <w:trHeight w:val="359" w:hRule="atLeast"/>
          <w:jc w:val="center"/>
        </w:trPr>
        <w:tc>
          <w:tcPr>
            <w:tcW w:w="0" w:type="auto"/>
            <w:gridSpan w:val="8"/>
            <w:vMerge w:val="continue"/>
            <w:shd w:val="clear" w:color="auto" w:fill="auto"/>
            <w:vAlign w:val="center"/>
          </w:tcPr>
          <w:p w14:paraId="1AE31E02">
            <w:pPr>
              <w:pStyle w:val="73"/>
              <w:spacing w:line="240" w:lineRule="exact"/>
              <w:rPr>
                <w:rFonts w:eastAsia="宋体"/>
                <w:color w:val="000000" w:themeColor="text1"/>
                <w:sz w:val="21"/>
                <w:lang w:val="en-US"/>
                <w14:textFill>
                  <w14:solidFill>
                    <w14:schemeClr w14:val="tx1"/>
                  </w14:solidFill>
                </w14:textFill>
              </w:rPr>
            </w:pPr>
          </w:p>
        </w:tc>
        <w:tc>
          <w:tcPr>
            <w:tcW w:w="0" w:type="auto"/>
            <w:shd w:val="clear" w:color="auto" w:fill="auto"/>
            <w:vAlign w:val="center"/>
          </w:tcPr>
          <w:p w14:paraId="43569635">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工业级混合油</w:t>
            </w:r>
          </w:p>
        </w:tc>
        <w:tc>
          <w:tcPr>
            <w:tcW w:w="0" w:type="auto"/>
            <w:shd w:val="clear" w:color="auto" w:fill="auto"/>
            <w:vAlign w:val="center"/>
          </w:tcPr>
          <w:p w14:paraId="59250A65">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出口</w:t>
            </w:r>
          </w:p>
        </w:tc>
        <w:tc>
          <w:tcPr>
            <w:tcW w:w="0" w:type="auto"/>
            <w:shd w:val="clear" w:color="auto" w:fill="auto"/>
            <w:vAlign w:val="center"/>
          </w:tcPr>
          <w:p w14:paraId="508A978D">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2</w:t>
            </w:r>
          </w:p>
        </w:tc>
        <w:tc>
          <w:tcPr>
            <w:tcW w:w="751" w:type="dxa"/>
            <w:shd w:val="clear" w:color="auto" w:fill="auto"/>
            <w:vAlign w:val="center"/>
          </w:tcPr>
          <w:p w14:paraId="37FF3901">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装卸臂</w:t>
            </w:r>
          </w:p>
        </w:tc>
        <w:tc>
          <w:tcPr>
            <w:tcW w:w="1005" w:type="dxa"/>
            <w:shd w:val="clear" w:color="auto" w:fill="auto"/>
            <w:vAlign w:val="center"/>
          </w:tcPr>
          <w:p w14:paraId="71D9B1A2">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否</w:t>
            </w:r>
          </w:p>
        </w:tc>
        <w:tc>
          <w:tcPr>
            <w:tcW w:w="630" w:type="dxa"/>
            <w:shd w:val="clear" w:color="auto" w:fill="auto"/>
            <w:vAlign w:val="center"/>
          </w:tcPr>
          <w:p w14:paraId="3E2FEAA0">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否</w:t>
            </w:r>
          </w:p>
        </w:tc>
        <w:tc>
          <w:tcPr>
            <w:tcW w:w="915" w:type="dxa"/>
            <w:shd w:val="clear" w:color="auto" w:fill="auto"/>
            <w:vAlign w:val="center"/>
          </w:tcPr>
          <w:p w14:paraId="67DC1C52">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新增</w:t>
            </w:r>
          </w:p>
        </w:tc>
      </w:tr>
      <w:tr w14:paraId="3EBAEFCE">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7" w:type="dxa"/>
            <w:bottom w:w="0" w:type="dxa"/>
            <w:right w:w="17" w:type="dxa"/>
          </w:tblCellMar>
        </w:tblPrEx>
        <w:trPr>
          <w:trHeight w:val="555" w:hRule="atLeast"/>
          <w:jc w:val="center"/>
        </w:trPr>
        <w:tc>
          <w:tcPr>
            <w:tcW w:w="0" w:type="auto"/>
            <w:gridSpan w:val="8"/>
            <w:vMerge w:val="continue"/>
            <w:shd w:val="clear" w:color="auto" w:fill="auto"/>
            <w:vAlign w:val="center"/>
          </w:tcPr>
          <w:p w14:paraId="02BB6742">
            <w:pPr>
              <w:pStyle w:val="73"/>
              <w:spacing w:line="240" w:lineRule="exact"/>
              <w:rPr>
                <w:rFonts w:eastAsia="宋体"/>
                <w:color w:val="000000" w:themeColor="text1"/>
                <w:sz w:val="21"/>
                <w:lang w:val="en-US"/>
                <w14:textFill>
                  <w14:solidFill>
                    <w14:schemeClr w14:val="tx1"/>
                  </w14:solidFill>
                </w14:textFill>
              </w:rPr>
            </w:pPr>
          </w:p>
        </w:tc>
        <w:tc>
          <w:tcPr>
            <w:tcW w:w="0" w:type="auto"/>
            <w:shd w:val="clear" w:color="auto" w:fill="auto"/>
            <w:vAlign w:val="center"/>
          </w:tcPr>
          <w:p w14:paraId="4B3B33E9">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纯生物柴油</w:t>
            </w:r>
          </w:p>
        </w:tc>
        <w:tc>
          <w:tcPr>
            <w:tcW w:w="0" w:type="auto"/>
            <w:shd w:val="clear" w:color="auto" w:fill="auto"/>
            <w:vAlign w:val="center"/>
          </w:tcPr>
          <w:p w14:paraId="3DA65886">
            <w:pPr>
              <w:pStyle w:val="73"/>
              <w:spacing w:line="240" w:lineRule="exact"/>
              <w:rPr>
                <w:rFonts w:eastAsia="宋体"/>
                <w:color w:val="000000" w:themeColor="text1"/>
                <w:sz w:val="21"/>
                <w:lang w:val="en-US"/>
                <w14:textFill>
                  <w14:solidFill>
                    <w14:schemeClr w14:val="tx1"/>
                  </w14:solidFill>
                </w14:textFill>
              </w:rPr>
            </w:pPr>
            <w:r>
              <w:rPr>
                <w:rFonts w:eastAsia="宋体"/>
                <w:color w:val="000000" w:themeColor="text1"/>
                <w:sz w:val="21"/>
                <w:lang w:val="en-US"/>
                <w14:textFill>
                  <w14:solidFill>
                    <w14:schemeClr w14:val="tx1"/>
                  </w14:solidFill>
                </w14:textFill>
              </w:rPr>
              <w:t>出口</w:t>
            </w:r>
          </w:p>
        </w:tc>
        <w:tc>
          <w:tcPr>
            <w:tcW w:w="0" w:type="auto"/>
            <w:shd w:val="clear" w:color="auto" w:fill="auto"/>
            <w:vAlign w:val="center"/>
          </w:tcPr>
          <w:p w14:paraId="3C85C55B">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3</w:t>
            </w:r>
          </w:p>
        </w:tc>
        <w:tc>
          <w:tcPr>
            <w:tcW w:w="751" w:type="dxa"/>
            <w:shd w:val="clear" w:color="auto" w:fill="auto"/>
            <w:vAlign w:val="center"/>
          </w:tcPr>
          <w:p w14:paraId="13354267">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装卸臂</w:t>
            </w:r>
          </w:p>
        </w:tc>
        <w:tc>
          <w:tcPr>
            <w:tcW w:w="1005" w:type="dxa"/>
            <w:shd w:val="clear" w:color="auto" w:fill="auto"/>
            <w:vAlign w:val="center"/>
          </w:tcPr>
          <w:p w14:paraId="437FA241">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否</w:t>
            </w:r>
          </w:p>
        </w:tc>
        <w:tc>
          <w:tcPr>
            <w:tcW w:w="630" w:type="dxa"/>
            <w:shd w:val="clear" w:color="auto" w:fill="auto"/>
            <w:vAlign w:val="center"/>
          </w:tcPr>
          <w:p w14:paraId="297CCB62">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否</w:t>
            </w:r>
          </w:p>
        </w:tc>
        <w:tc>
          <w:tcPr>
            <w:tcW w:w="915" w:type="dxa"/>
            <w:shd w:val="clear" w:color="auto" w:fill="auto"/>
            <w:vAlign w:val="center"/>
          </w:tcPr>
          <w:p w14:paraId="6E1F59EC">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新增</w:t>
            </w:r>
          </w:p>
        </w:tc>
      </w:tr>
      <w:tr w14:paraId="2C5F2268">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7" w:type="dxa"/>
            <w:bottom w:w="0" w:type="dxa"/>
            <w:right w:w="17" w:type="dxa"/>
          </w:tblCellMar>
        </w:tblPrEx>
        <w:trPr>
          <w:trHeight w:val="555" w:hRule="atLeast"/>
          <w:jc w:val="center"/>
        </w:trPr>
        <w:tc>
          <w:tcPr>
            <w:tcW w:w="0" w:type="auto"/>
            <w:gridSpan w:val="8"/>
            <w:vMerge w:val="continue"/>
            <w:shd w:val="clear" w:color="auto" w:fill="auto"/>
            <w:vAlign w:val="center"/>
          </w:tcPr>
          <w:p w14:paraId="7641C9E9">
            <w:pPr>
              <w:pStyle w:val="73"/>
              <w:spacing w:line="240" w:lineRule="exact"/>
              <w:rPr>
                <w:rFonts w:eastAsia="宋体"/>
                <w:color w:val="000000" w:themeColor="text1"/>
                <w:sz w:val="21"/>
                <w:lang w:val="en-US"/>
                <w14:textFill>
                  <w14:solidFill>
                    <w14:schemeClr w14:val="tx1"/>
                  </w14:solidFill>
                </w14:textFill>
              </w:rPr>
            </w:pPr>
          </w:p>
        </w:tc>
        <w:tc>
          <w:tcPr>
            <w:tcW w:w="0" w:type="auto"/>
            <w:shd w:val="clear" w:color="auto" w:fill="auto"/>
            <w:vAlign w:val="center"/>
          </w:tcPr>
          <w:p w14:paraId="4C624918">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航空煤油</w:t>
            </w:r>
          </w:p>
        </w:tc>
        <w:tc>
          <w:tcPr>
            <w:tcW w:w="0" w:type="auto"/>
            <w:shd w:val="clear" w:color="auto" w:fill="auto"/>
            <w:vAlign w:val="center"/>
          </w:tcPr>
          <w:p w14:paraId="41ECEA1C">
            <w:pPr>
              <w:pStyle w:val="73"/>
              <w:spacing w:line="240" w:lineRule="exact"/>
              <w:rPr>
                <w:rFonts w:eastAsia="宋体"/>
                <w:color w:val="000000" w:themeColor="text1"/>
                <w:sz w:val="21"/>
                <w:lang w:val="en-US"/>
                <w14:textFill>
                  <w14:solidFill>
                    <w14:schemeClr w14:val="tx1"/>
                  </w14:solidFill>
                </w14:textFill>
              </w:rPr>
            </w:pPr>
            <w:r>
              <w:rPr>
                <w:rFonts w:eastAsia="宋体"/>
                <w:color w:val="000000" w:themeColor="text1"/>
                <w:sz w:val="21"/>
                <w:lang w:val="en-US"/>
                <w14:textFill>
                  <w14:solidFill>
                    <w14:schemeClr w14:val="tx1"/>
                  </w14:solidFill>
                </w14:textFill>
              </w:rPr>
              <w:t>出口</w:t>
            </w:r>
          </w:p>
        </w:tc>
        <w:tc>
          <w:tcPr>
            <w:tcW w:w="0" w:type="auto"/>
            <w:shd w:val="clear" w:color="auto" w:fill="auto"/>
            <w:vAlign w:val="center"/>
          </w:tcPr>
          <w:p w14:paraId="33BCA2EC">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2</w:t>
            </w:r>
          </w:p>
        </w:tc>
        <w:tc>
          <w:tcPr>
            <w:tcW w:w="751" w:type="dxa"/>
            <w:shd w:val="clear" w:color="auto" w:fill="auto"/>
            <w:vAlign w:val="center"/>
          </w:tcPr>
          <w:p w14:paraId="11354959">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装卸臂</w:t>
            </w:r>
          </w:p>
        </w:tc>
        <w:tc>
          <w:tcPr>
            <w:tcW w:w="1005" w:type="dxa"/>
            <w:shd w:val="clear" w:color="auto" w:fill="auto"/>
            <w:vAlign w:val="center"/>
          </w:tcPr>
          <w:p w14:paraId="2140024E">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否</w:t>
            </w:r>
          </w:p>
        </w:tc>
        <w:tc>
          <w:tcPr>
            <w:tcW w:w="630" w:type="dxa"/>
            <w:shd w:val="clear" w:color="auto" w:fill="auto"/>
            <w:vAlign w:val="center"/>
          </w:tcPr>
          <w:p w14:paraId="0158E145">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否</w:t>
            </w:r>
          </w:p>
        </w:tc>
        <w:tc>
          <w:tcPr>
            <w:tcW w:w="915" w:type="dxa"/>
            <w:shd w:val="clear" w:color="auto" w:fill="auto"/>
            <w:vAlign w:val="center"/>
          </w:tcPr>
          <w:p w14:paraId="0B187BDE">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新增</w:t>
            </w:r>
          </w:p>
        </w:tc>
      </w:tr>
      <w:tr w14:paraId="1F18EE45">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7" w:type="dxa"/>
            <w:bottom w:w="0" w:type="dxa"/>
            <w:right w:w="17" w:type="dxa"/>
          </w:tblCellMar>
        </w:tblPrEx>
        <w:trPr>
          <w:trHeight w:val="355" w:hRule="atLeast"/>
          <w:jc w:val="center"/>
        </w:trPr>
        <w:tc>
          <w:tcPr>
            <w:tcW w:w="0" w:type="auto"/>
            <w:gridSpan w:val="8"/>
            <w:vMerge w:val="continue"/>
            <w:shd w:val="clear" w:color="auto" w:fill="auto"/>
            <w:vAlign w:val="center"/>
          </w:tcPr>
          <w:p w14:paraId="2FF38DAF">
            <w:pPr>
              <w:pStyle w:val="73"/>
              <w:spacing w:line="240" w:lineRule="exact"/>
              <w:rPr>
                <w:rFonts w:eastAsia="宋体"/>
                <w:color w:val="000000" w:themeColor="text1"/>
                <w:sz w:val="21"/>
                <w:lang w:val="en-US"/>
                <w14:textFill>
                  <w14:solidFill>
                    <w14:schemeClr w14:val="tx1"/>
                  </w14:solidFill>
                </w14:textFill>
              </w:rPr>
            </w:pPr>
          </w:p>
        </w:tc>
        <w:tc>
          <w:tcPr>
            <w:tcW w:w="0" w:type="auto"/>
            <w:shd w:val="clear" w:color="auto" w:fill="auto"/>
            <w:vAlign w:val="center"/>
          </w:tcPr>
          <w:p w14:paraId="2AA8975E">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苯乙烯</w:t>
            </w:r>
          </w:p>
        </w:tc>
        <w:tc>
          <w:tcPr>
            <w:tcW w:w="0" w:type="auto"/>
            <w:shd w:val="clear" w:color="auto" w:fill="auto"/>
            <w:vAlign w:val="center"/>
          </w:tcPr>
          <w:p w14:paraId="67DF4187">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进口</w:t>
            </w:r>
          </w:p>
        </w:tc>
        <w:tc>
          <w:tcPr>
            <w:tcW w:w="0" w:type="auto"/>
            <w:shd w:val="clear" w:color="auto" w:fill="auto"/>
            <w:vAlign w:val="center"/>
          </w:tcPr>
          <w:p w14:paraId="1C0B4BFD">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27</w:t>
            </w:r>
          </w:p>
        </w:tc>
        <w:tc>
          <w:tcPr>
            <w:tcW w:w="751" w:type="dxa"/>
            <w:shd w:val="clear" w:color="auto" w:fill="auto"/>
            <w:vAlign w:val="center"/>
          </w:tcPr>
          <w:p w14:paraId="53914CCC">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装卸臂</w:t>
            </w:r>
          </w:p>
        </w:tc>
        <w:tc>
          <w:tcPr>
            <w:tcW w:w="1005" w:type="dxa"/>
            <w:shd w:val="clear" w:color="auto" w:fill="auto"/>
            <w:vAlign w:val="center"/>
          </w:tcPr>
          <w:p w14:paraId="49667556">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否</w:t>
            </w:r>
          </w:p>
        </w:tc>
        <w:tc>
          <w:tcPr>
            <w:tcW w:w="630" w:type="dxa"/>
            <w:shd w:val="clear" w:color="auto" w:fill="auto"/>
            <w:vAlign w:val="center"/>
          </w:tcPr>
          <w:p w14:paraId="641A5BC7">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否</w:t>
            </w:r>
          </w:p>
        </w:tc>
        <w:tc>
          <w:tcPr>
            <w:tcW w:w="915" w:type="dxa"/>
            <w:shd w:val="clear" w:color="auto" w:fill="auto"/>
            <w:vAlign w:val="center"/>
          </w:tcPr>
          <w:p w14:paraId="7CD90CFD">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新增</w:t>
            </w:r>
          </w:p>
        </w:tc>
      </w:tr>
      <w:tr w14:paraId="2F93B2ED">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7" w:type="dxa"/>
            <w:bottom w:w="0" w:type="dxa"/>
            <w:right w:w="17" w:type="dxa"/>
          </w:tblCellMar>
        </w:tblPrEx>
        <w:trPr>
          <w:trHeight w:val="555" w:hRule="atLeast"/>
          <w:jc w:val="center"/>
        </w:trPr>
        <w:tc>
          <w:tcPr>
            <w:tcW w:w="0" w:type="auto"/>
            <w:gridSpan w:val="8"/>
            <w:vMerge w:val="continue"/>
            <w:shd w:val="clear" w:color="auto" w:fill="auto"/>
            <w:vAlign w:val="center"/>
          </w:tcPr>
          <w:p w14:paraId="44610A66">
            <w:pPr>
              <w:pStyle w:val="73"/>
              <w:spacing w:line="240" w:lineRule="exact"/>
              <w:rPr>
                <w:rFonts w:eastAsia="宋体"/>
                <w:color w:val="000000" w:themeColor="text1"/>
                <w:sz w:val="21"/>
                <w:lang w:val="en-US"/>
                <w14:textFill>
                  <w14:solidFill>
                    <w14:schemeClr w14:val="tx1"/>
                  </w14:solidFill>
                </w14:textFill>
              </w:rPr>
            </w:pPr>
          </w:p>
        </w:tc>
        <w:tc>
          <w:tcPr>
            <w:tcW w:w="0" w:type="auto"/>
            <w:shd w:val="clear" w:color="auto" w:fill="auto"/>
            <w:vAlign w:val="center"/>
          </w:tcPr>
          <w:p w14:paraId="1CF23732">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液硫</w:t>
            </w:r>
          </w:p>
        </w:tc>
        <w:tc>
          <w:tcPr>
            <w:tcW w:w="0" w:type="auto"/>
            <w:shd w:val="clear" w:color="auto" w:fill="auto"/>
            <w:vAlign w:val="center"/>
          </w:tcPr>
          <w:p w14:paraId="17AA7C10">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进口</w:t>
            </w:r>
          </w:p>
        </w:tc>
        <w:tc>
          <w:tcPr>
            <w:tcW w:w="0" w:type="auto"/>
            <w:shd w:val="clear" w:color="auto" w:fill="auto"/>
            <w:vAlign w:val="center"/>
          </w:tcPr>
          <w:p w14:paraId="70C441BA">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24</w:t>
            </w:r>
          </w:p>
        </w:tc>
        <w:tc>
          <w:tcPr>
            <w:tcW w:w="751" w:type="dxa"/>
            <w:shd w:val="clear" w:color="auto" w:fill="auto"/>
            <w:vAlign w:val="center"/>
          </w:tcPr>
          <w:p w14:paraId="7BF0980F">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金属软管</w:t>
            </w:r>
          </w:p>
        </w:tc>
        <w:tc>
          <w:tcPr>
            <w:tcW w:w="1005" w:type="dxa"/>
            <w:shd w:val="clear" w:color="auto" w:fill="auto"/>
            <w:vAlign w:val="center"/>
          </w:tcPr>
          <w:p w14:paraId="740FCF76">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是</w:t>
            </w:r>
          </w:p>
        </w:tc>
        <w:tc>
          <w:tcPr>
            <w:tcW w:w="630" w:type="dxa"/>
            <w:shd w:val="clear" w:color="auto" w:fill="auto"/>
            <w:vAlign w:val="center"/>
          </w:tcPr>
          <w:p w14:paraId="54E3B838">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是</w:t>
            </w:r>
          </w:p>
        </w:tc>
        <w:tc>
          <w:tcPr>
            <w:tcW w:w="915" w:type="dxa"/>
            <w:shd w:val="clear" w:color="auto" w:fill="auto"/>
            <w:vAlign w:val="center"/>
          </w:tcPr>
          <w:p w14:paraId="75D7EBF9">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新增</w:t>
            </w:r>
          </w:p>
        </w:tc>
      </w:tr>
      <w:tr w14:paraId="0D573F18">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7" w:type="dxa"/>
            <w:bottom w:w="0" w:type="dxa"/>
            <w:right w:w="17" w:type="dxa"/>
          </w:tblCellMar>
        </w:tblPrEx>
        <w:trPr>
          <w:trHeight w:val="555" w:hRule="atLeast"/>
          <w:jc w:val="center"/>
        </w:trPr>
        <w:tc>
          <w:tcPr>
            <w:tcW w:w="0" w:type="auto"/>
            <w:gridSpan w:val="8"/>
            <w:vMerge w:val="continue"/>
            <w:shd w:val="clear" w:color="auto" w:fill="auto"/>
            <w:vAlign w:val="center"/>
          </w:tcPr>
          <w:p w14:paraId="238FBF87">
            <w:pPr>
              <w:pStyle w:val="73"/>
              <w:spacing w:line="240" w:lineRule="exact"/>
              <w:rPr>
                <w:rFonts w:eastAsia="宋体"/>
                <w:color w:val="000000" w:themeColor="text1"/>
                <w:sz w:val="21"/>
                <w:lang w:val="en-US"/>
                <w14:textFill>
                  <w14:solidFill>
                    <w14:schemeClr w14:val="tx1"/>
                  </w14:solidFill>
                </w14:textFill>
              </w:rPr>
            </w:pPr>
          </w:p>
        </w:tc>
        <w:tc>
          <w:tcPr>
            <w:tcW w:w="0" w:type="auto"/>
            <w:shd w:val="clear" w:color="auto" w:fill="auto"/>
            <w:vAlign w:val="center"/>
          </w:tcPr>
          <w:p w14:paraId="0F0D1C7A">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发烟硫酸</w:t>
            </w:r>
          </w:p>
        </w:tc>
        <w:tc>
          <w:tcPr>
            <w:tcW w:w="0" w:type="auto"/>
            <w:shd w:val="clear" w:color="auto" w:fill="auto"/>
            <w:vAlign w:val="center"/>
          </w:tcPr>
          <w:p w14:paraId="71AC02DE">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进口</w:t>
            </w:r>
          </w:p>
        </w:tc>
        <w:tc>
          <w:tcPr>
            <w:tcW w:w="0" w:type="auto"/>
            <w:shd w:val="clear" w:color="auto" w:fill="auto"/>
            <w:vAlign w:val="center"/>
          </w:tcPr>
          <w:p w14:paraId="0617EA24">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2</w:t>
            </w:r>
          </w:p>
        </w:tc>
        <w:tc>
          <w:tcPr>
            <w:tcW w:w="751" w:type="dxa"/>
            <w:shd w:val="clear" w:color="auto" w:fill="auto"/>
            <w:vAlign w:val="center"/>
          </w:tcPr>
          <w:p w14:paraId="2DEE0D48">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金属软管</w:t>
            </w:r>
          </w:p>
        </w:tc>
        <w:tc>
          <w:tcPr>
            <w:tcW w:w="1005" w:type="dxa"/>
            <w:shd w:val="clear" w:color="auto" w:fill="auto"/>
            <w:vAlign w:val="center"/>
          </w:tcPr>
          <w:p w14:paraId="416FA092">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是</w:t>
            </w:r>
          </w:p>
        </w:tc>
        <w:tc>
          <w:tcPr>
            <w:tcW w:w="630" w:type="dxa"/>
            <w:shd w:val="clear" w:color="auto" w:fill="auto"/>
            <w:vAlign w:val="center"/>
          </w:tcPr>
          <w:p w14:paraId="329845FD">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是</w:t>
            </w:r>
          </w:p>
        </w:tc>
        <w:tc>
          <w:tcPr>
            <w:tcW w:w="915" w:type="dxa"/>
            <w:shd w:val="clear" w:color="auto" w:fill="auto"/>
            <w:vAlign w:val="center"/>
          </w:tcPr>
          <w:p w14:paraId="448B3C51">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新增</w:t>
            </w:r>
          </w:p>
        </w:tc>
      </w:tr>
      <w:tr w14:paraId="74F9A7B1">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7" w:type="dxa"/>
            <w:bottom w:w="0" w:type="dxa"/>
            <w:right w:w="17" w:type="dxa"/>
          </w:tblCellMar>
        </w:tblPrEx>
        <w:trPr>
          <w:trHeight w:val="555" w:hRule="atLeast"/>
          <w:jc w:val="center"/>
        </w:trPr>
        <w:tc>
          <w:tcPr>
            <w:tcW w:w="0" w:type="auto"/>
            <w:gridSpan w:val="8"/>
            <w:vMerge w:val="continue"/>
            <w:shd w:val="clear" w:color="auto" w:fill="auto"/>
            <w:vAlign w:val="center"/>
          </w:tcPr>
          <w:p w14:paraId="3D757937">
            <w:pPr>
              <w:pStyle w:val="73"/>
              <w:spacing w:line="240" w:lineRule="exact"/>
              <w:rPr>
                <w:rFonts w:eastAsia="宋体"/>
                <w:color w:val="000000" w:themeColor="text1"/>
                <w:sz w:val="21"/>
                <w:lang w:val="en-US"/>
                <w14:textFill>
                  <w14:solidFill>
                    <w14:schemeClr w14:val="tx1"/>
                  </w14:solidFill>
                </w14:textFill>
              </w:rPr>
            </w:pPr>
          </w:p>
        </w:tc>
        <w:tc>
          <w:tcPr>
            <w:tcW w:w="0" w:type="auto"/>
            <w:shd w:val="clear" w:color="auto" w:fill="auto"/>
            <w:vAlign w:val="center"/>
          </w:tcPr>
          <w:p w14:paraId="6F29AC2D">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硫酸</w:t>
            </w:r>
          </w:p>
        </w:tc>
        <w:tc>
          <w:tcPr>
            <w:tcW w:w="0" w:type="auto"/>
            <w:shd w:val="clear" w:color="auto" w:fill="auto"/>
            <w:vAlign w:val="center"/>
          </w:tcPr>
          <w:p w14:paraId="77178792">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进口</w:t>
            </w:r>
          </w:p>
        </w:tc>
        <w:tc>
          <w:tcPr>
            <w:tcW w:w="0" w:type="auto"/>
            <w:shd w:val="clear" w:color="auto" w:fill="auto"/>
            <w:vAlign w:val="center"/>
          </w:tcPr>
          <w:p w14:paraId="595DE68F">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2</w:t>
            </w:r>
          </w:p>
        </w:tc>
        <w:tc>
          <w:tcPr>
            <w:tcW w:w="751" w:type="dxa"/>
            <w:shd w:val="clear" w:color="auto" w:fill="auto"/>
            <w:vAlign w:val="center"/>
          </w:tcPr>
          <w:p w14:paraId="61212824">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金属软管</w:t>
            </w:r>
          </w:p>
        </w:tc>
        <w:tc>
          <w:tcPr>
            <w:tcW w:w="1005" w:type="dxa"/>
            <w:shd w:val="clear" w:color="auto" w:fill="auto"/>
            <w:vAlign w:val="center"/>
          </w:tcPr>
          <w:p w14:paraId="3359CB45">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是</w:t>
            </w:r>
          </w:p>
        </w:tc>
        <w:tc>
          <w:tcPr>
            <w:tcW w:w="630" w:type="dxa"/>
            <w:shd w:val="clear" w:color="auto" w:fill="auto"/>
            <w:vAlign w:val="center"/>
          </w:tcPr>
          <w:p w14:paraId="27B27CA4">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是</w:t>
            </w:r>
          </w:p>
        </w:tc>
        <w:tc>
          <w:tcPr>
            <w:tcW w:w="915" w:type="dxa"/>
            <w:shd w:val="clear" w:color="auto" w:fill="auto"/>
            <w:vAlign w:val="center"/>
          </w:tcPr>
          <w:p w14:paraId="3D0113BF">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新增</w:t>
            </w:r>
          </w:p>
        </w:tc>
      </w:tr>
      <w:tr w14:paraId="340F70AD">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7" w:type="dxa"/>
            <w:bottom w:w="0" w:type="dxa"/>
            <w:right w:w="17" w:type="dxa"/>
          </w:tblCellMar>
        </w:tblPrEx>
        <w:trPr>
          <w:trHeight w:val="555" w:hRule="atLeast"/>
          <w:jc w:val="center"/>
        </w:trPr>
        <w:tc>
          <w:tcPr>
            <w:tcW w:w="0" w:type="auto"/>
            <w:gridSpan w:val="8"/>
            <w:vMerge w:val="continue"/>
            <w:shd w:val="clear" w:color="auto" w:fill="auto"/>
            <w:vAlign w:val="center"/>
          </w:tcPr>
          <w:p w14:paraId="2867BD36">
            <w:pPr>
              <w:pStyle w:val="73"/>
              <w:spacing w:line="240" w:lineRule="exact"/>
              <w:rPr>
                <w:rFonts w:eastAsia="宋体"/>
                <w:color w:val="000000" w:themeColor="text1"/>
                <w:sz w:val="21"/>
                <w:lang w:val="en-US"/>
                <w14:textFill>
                  <w14:solidFill>
                    <w14:schemeClr w14:val="tx1"/>
                  </w14:solidFill>
                </w14:textFill>
              </w:rPr>
            </w:pPr>
          </w:p>
        </w:tc>
        <w:tc>
          <w:tcPr>
            <w:tcW w:w="0" w:type="auto"/>
            <w:shd w:val="clear" w:color="auto" w:fill="auto"/>
            <w:vAlign w:val="center"/>
          </w:tcPr>
          <w:p w14:paraId="33C0517B">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液碱</w:t>
            </w:r>
          </w:p>
        </w:tc>
        <w:tc>
          <w:tcPr>
            <w:tcW w:w="0" w:type="auto"/>
            <w:shd w:val="clear" w:color="auto" w:fill="auto"/>
            <w:vAlign w:val="center"/>
          </w:tcPr>
          <w:p w14:paraId="19A394DE">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进口</w:t>
            </w:r>
          </w:p>
        </w:tc>
        <w:tc>
          <w:tcPr>
            <w:tcW w:w="0" w:type="auto"/>
            <w:shd w:val="clear" w:color="auto" w:fill="auto"/>
            <w:vAlign w:val="center"/>
          </w:tcPr>
          <w:p w14:paraId="4AF97668">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12</w:t>
            </w:r>
          </w:p>
        </w:tc>
        <w:tc>
          <w:tcPr>
            <w:tcW w:w="751" w:type="dxa"/>
            <w:shd w:val="clear" w:color="auto" w:fill="auto"/>
            <w:vAlign w:val="center"/>
          </w:tcPr>
          <w:p w14:paraId="15A40CFB">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金属软管</w:t>
            </w:r>
          </w:p>
        </w:tc>
        <w:tc>
          <w:tcPr>
            <w:tcW w:w="1005" w:type="dxa"/>
            <w:shd w:val="clear" w:color="auto" w:fill="auto"/>
            <w:vAlign w:val="center"/>
          </w:tcPr>
          <w:p w14:paraId="6DE9776A">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是</w:t>
            </w:r>
          </w:p>
        </w:tc>
        <w:tc>
          <w:tcPr>
            <w:tcW w:w="630" w:type="dxa"/>
            <w:shd w:val="clear" w:color="auto" w:fill="auto"/>
            <w:vAlign w:val="center"/>
          </w:tcPr>
          <w:p w14:paraId="072DDE48">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是</w:t>
            </w:r>
          </w:p>
        </w:tc>
        <w:tc>
          <w:tcPr>
            <w:tcW w:w="915" w:type="dxa"/>
            <w:shd w:val="clear" w:color="auto" w:fill="auto"/>
            <w:vAlign w:val="center"/>
          </w:tcPr>
          <w:p w14:paraId="128619F7">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新增</w:t>
            </w:r>
          </w:p>
        </w:tc>
      </w:tr>
      <w:tr w14:paraId="082276BC">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7" w:type="dxa"/>
            <w:bottom w:w="0" w:type="dxa"/>
            <w:right w:w="17" w:type="dxa"/>
          </w:tblCellMar>
        </w:tblPrEx>
        <w:trPr>
          <w:trHeight w:val="555" w:hRule="atLeast"/>
          <w:jc w:val="center"/>
        </w:trPr>
        <w:tc>
          <w:tcPr>
            <w:tcW w:w="0" w:type="auto"/>
            <w:gridSpan w:val="3"/>
            <w:shd w:val="clear" w:color="auto" w:fill="auto"/>
            <w:vAlign w:val="center"/>
          </w:tcPr>
          <w:p w14:paraId="5FE93B74">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吞吐量</w:t>
            </w:r>
          </w:p>
        </w:tc>
        <w:tc>
          <w:tcPr>
            <w:tcW w:w="0" w:type="auto"/>
            <w:gridSpan w:val="5"/>
            <w:shd w:val="clear" w:color="auto" w:fill="auto"/>
            <w:vAlign w:val="center"/>
          </w:tcPr>
          <w:p w14:paraId="55EF3387">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276万t/a</w:t>
            </w:r>
          </w:p>
        </w:tc>
        <w:tc>
          <w:tcPr>
            <w:tcW w:w="0" w:type="auto"/>
            <w:gridSpan w:val="2"/>
            <w:shd w:val="clear" w:color="auto" w:fill="auto"/>
            <w:vAlign w:val="center"/>
          </w:tcPr>
          <w:p w14:paraId="3DFC6ED2">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新增货种吞吐量</w:t>
            </w:r>
          </w:p>
        </w:tc>
        <w:tc>
          <w:tcPr>
            <w:tcW w:w="0" w:type="auto"/>
            <w:shd w:val="clear" w:color="auto" w:fill="auto"/>
            <w:vAlign w:val="center"/>
          </w:tcPr>
          <w:p w14:paraId="29D9B45D">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84万t/a</w:t>
            </w:r>
          </w:p>
        </w:tc>
        <w:tc>
          <w:tcPr>
            <w:tcW w:w="1756" w:type="dxa"/>
            <w:gridSpan w:val="2"/>
            <w:shd w:val="clear" w:color="auto" w:fill="auto"/>
            <w:vAlign w:val="center"/>
          </w:tcPr>
          <w:p w14:paraId="06F07505">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调整货种后吞吐量</w:t>
            </w:r>
          </w:p>
        </w:tc>
        <w:tc>
          <w:tcPr>
            <w:tcW w:w="1545" w:type="dxa"/>
            <w:gridSpan w:val="2"/>
            <w:shd w:val="clear" w:color="auto" w:fill="auto"/>
            <w:vAlign w:val="center"/>
          </w:tcPr>
          <w:p w14:paraId="599FCCAD">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251万t/a</w:t>
            </w:r>
          </w:p>
        </w:tc>
      </w:tr>
    </w:tbl>
    <w:p w14:paraId="235A85D9">
      <w:pPr>
        <w:autoSpaceDE w:val="0"/>
        <w:autoSpaceDN w:val="0"/>
        <w:ind w:firstLine="482"/>
        <w:jc w:val="left"/>
        <w:rPr>
          <w:rFonts w:ascii="宋体" w:hAnsi="宋体"/>
          <w:b/>
          <w:color w:val="000000" w:themeColor="text1"/>
          <w14:textFill>
            <w14:solidFill>
              <w14:schemeClr w14:val="tx1"/>
            </w14:solidFill>
          </w14:textFill>
        </w:rPr>
        <w:sectPr>
          <w:type w:val="continuous"/>
          <w:pgSz w:w="16838" w:h="11906" w:orient="landscape"/>
          <w:pgMar w:top="1800" w:right="1440" w:bottom="1800" w:left="1440" w:header="851" w:footer="994" w:gutter="0"/>
          <w:pgBorders>
            <w:top w:val="none" w:sz="0" w:space="0"/>
            <w:left w:val="none" w:sz="0" w:space="0"/>
            <w:bottom w:val="none" w:sz="0" w:space="0"/>
            <w:right w:val="none" w:sz="0" w:space="0"/>
          </w:pgBorders>
          <w:pgNumType w:fmt="upperRoman" w:start="1"/>
          <w:cols w:space="0" w:num="1"/>
          <w:docGrid w:type="lines" w:linePitch="332" w:charSpace="0"/>
        </w:sectPr>
      </w:pPr>
    </w:p>
    <w:p w14:paraId="6D87C87B">
      <w:pPr>
        <w:autoSpaceDE w:val="0"/>
        <w:autoSpaceDN w:val="0"/>
        <w:ind w:firstLine="482"/>
        <w:jc w:val="left"/>
        <w:rPr>
          <w:b/>
          <w:color w:val="000000" w:themeColor="text1"/>
          <w14:textFill>
            <w14:solidFill>
              <w14:schemeClr w14:val="tx1"/>
            </w14:solidFill>
          </w14:textFill>
        </w:rPr>
      </w:pPr>
      <w:r>
        <w:rPr>
          <w:rFonts w:hint="eastAsia" w:ascii="宋体" w:hAnsi="宋体"/>
          <w:b/>
          <w:color w:val="000000" w:themeColor="text1"/>
          <w14:textFill>
            <w14:solidFill>
              <w14:schemeClr w14:val="tx1"/>
            </w14:solidFill>
          </w14:textFill>
        </w:rPr>
        <w:t>五</w:t>
      </w:r>
      <w:r>
        <w:rPr>
          <w:rFonts w:ascii="宋体" w:hAnsi="宋体"/>
          <w:b/>
          <w:color w:val="000000" w:themeColor="text1"/>
          <w14:textFill>
            <w14:solidFill>
              <w14:schemeClr w14:val="tx1"/>
            </w14:solidFill>
          </w14:textFill>
        </w:rPr>
        <w:t>、环境影响评价工作过程</w:t>
      </w:r>
    </w:p>
    <w:p w14:paraId="7D93EB0E">
      <w:pPr>
        <w:ind w:firstLine="480"/>
        <w:rPr>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根据《中华人民共和国环境保护法》、《中华人民共和国环境影响评价法》、《建设项目环境保护管理条例》等有关规定，建设单位于</w:t>
      </w:r>
      <w:r>
        <w:rPr>
          <w:rFonts w:hint="eastAsia"/>
          <w:color w:val="000000" w:themeColor="text1"/>
          <w14:textFill>
            <w14:solidFill>
              <w14:schemeClr w14:val="tx1"/>
            </w14:solidFill>
          </w14:textFill>
        </w:rPr>
        <w:t>2025</w:t>
      </w:r>
      <w:r>
        <w:rPr>
          <w:rFonts w:hint="eastAsia" w:ascii="宋体" w:hAnsi="宋体"/>
          <w:color w:val="000000" w:themeColor="text1"/>
          <w14:textFill>
            <w14:solidFill>
              <w14:schemeClr w14:val="tx1"/>
            </w14:solidFill>
          </w14:textFill>
        </w:rPr>
        <w:t>年</w:t>
      </w:r>
      <w:r>
        <w:rPr>
          <w:rFonts w:hint="eastAsia"/>
          <w:color w:val="000000" w:themeColor="text1"/>
          <w14:textFill>
            <w14:solidFill>
              <w14:schemeClr w14:val="tx1"/>
            </w14:solidFill>
          </w14:textFill>
        </w:rPr>
        <w:t>11</w:t>
      </w:r>
      <w:r>
        <w:rPr>
          <w:rFonts w:hint="eastAsia" w:ascii="宋体" w:hAnsi="宋体"/>
          <w:color w:val="000000" w:themeColor="text1"/>
          <w14:textFill>
            <w14:solidFill>
              <w14:schemeClr w14:val="tx1"/>
            </w14:solidFill>
          </w14:textFill>
        </w:rPr>
        <w:t>月委托广西漫越环保科技有限公司开展环境影响评价。</w:t>
      </w:r>
    </w:p>
    <w:p w14:paraId="3B2CDA85">
      <w:pPr>
        <w:ind w:firstLine="480"/>
        <w:rPr>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根据《建设项目环境影响评价分类管理名录（</w:t>
      </w:r>
      <w:r>
        <w:rPr>
          <w:rFonts w:hint="eastAsia"/>
          <w:color w:val="000000" w:themeColor="text1"/>
          <w14:textFill>
            <w14:solidFill>
              <w14:schemeClr w14:val="tx1"/>
            </w14:solidFill>
          </w14:textFill>
        </w:rPr>
        <w:t>2021</w:t>
      </w:r>
      <w:r>
        <w:rPr>
          <w:rFonts w:hint="eastAsia" w:ascii="宋体" w:hAnsi="宋体"/>
          <w:color w:val="000000" w:themeColor="text1"/>
          <w14:textFill>
            <w14:solidFill>
              <w14:schemeClr w14:val="tx1"/>
            </w14:solidFill>
          </w14:textFill>
        </w:rPr>
        <w:t>年版）》（部令第</w:t>
      </w:r>
      <w:r>
        <w:rPr>
          <w:rFonts w:hint="eastAsia"/>
          <w:color w:val="000000" w:themeColor="text1"/>
          <w14:textFill>
            <w14:solidFill>
              <w14:schemeClr w14:val="tx1"/>
            </w14:solidFill>
          </w14:textFill>
        </w:rPr>
        <w:t>16</w:t>
      </w:r>
      <w:r>
        <w:rPr>
          <w:rFonts w:hint="eastAsia" w:ascii="宋体" w:hAnsi="宋体"/>
          <w:color w:val="000000" w:themeColor="text1"/>
          <w14:textFill>
            <w14:solidFill>
              <w14:schemeClr w14:val="tx1"/>
            </w14:solidFill>
          </w14:textFill>
        </w:rPr>
        <w:t>号），本项目属于五十二、交通运输业、管道运输业</w:t>
      </w:r>
      <w:r>
        <w:rPr>
          <w:rFonts w:hint="eastAsia"/>
          <w:color w:val="000000" w:themeColor="text1"/>
          <w14:textFill>
            <w14:solidFill>
              <w14:schemeClr w14:val="tx1"/>
            </w14:solidFill>
          </w14:textFill>
        </w:rPr>
        <w:t>138.</w:t>
      </w:r>
      <w:r>
        <w:rPr>
          <w:rFonts w:hint="eastAsia" w:ascii="宋体" w:hAnsi="宋体"/>
          <w:color w:val="000000" w:themeColor="text1"/>
          <w14:textFill>
            <w14:solidFill>
              <w14:schemeClr w14:val="tx1"/>
            </w14:solidFill>
          </w14:textFill>
        </w:rPr>
        <w:t>油气、液体化工码头，新建：岸线、水工构筑物、吞吐量、储运量增加的扩建；装卸货种变化的扩建，应编制环境影响评价报告书。</w:t>
      </w:r>
    </w:p>
    <w:p w14:paraId="6911D678">
      <w:pPr>
        <w:ind w:firstLine="480"/>
        <w:rPr>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环评单位接受委托后，环评工作组成员对项目场址及周边环境敏感目标及污染源进行了现场调查。通过现场调查、相关部门咨询及资料收集和分析，结合项目排污特征及周边环境敏感点、污染源分布及相关规划情况，确定环境影响评价工作等级，在此基础上</w:t>
      </w:r>
      <w:r>
        <w:rPr>
          <w:rFonts w:hint="eastAsia" w:ascii="宋体" w:hAnsi="宋体"/>
          <w:color w:val="000000" w:themeColor="text1"/>
          <w:lang w:eastAsia="zh-CN"/>
          <w14:textFill>
            <w14:solidFill>
              <w14:schemeClr w14:val="tx1"/>
            </w14:solidFill>
          </w14:textFill>
        </w:rPr>
        <w:t>制定了</w:t>
      </w:r>
      <w:r>
        <w:rPr>
          <w:rFonts w:hint="eastAsia" w:ascii="宋体" w:hAnsi="宋体"/>
          <w:color w:val="000000" w:themeColor="text1"/>
          <w14:textFill>
            <w14:solidFill>
              <w14:schemeClr w14:val="tx1"/>
            </w14:solidFill>
          </w14:textFill>
        </w:rPr>
        <w:t>项目环境质量现状监测方案并</w:t>
      </w:r>
      <w:r>
        <w:rPr>
          <w:rFonts w:hint="eastAsia" w:ascii="宋体" w:hAnsi="宋体"/>
          <w:color w:val="000000" w:themeColor="text1"/>
          <w:lang w:eastAsia="zh-CN"/>
          <w14:textFill>
            <w14:solidFill>
              <w14:schemeClr w14:val="tx1"/>
            </w14:solidFill>
          </w14:textFill>
        </w:rPr>
        <w:t>委托</w:t>
      </w:r>
      <w:r>
        <w:rPr>
          <w:rFonts w:hint="eastAsia"/>
          <w:color w:val="000000" w:themeColor="text1"/>
          <w14:textFill>
            <w14:solidFill>
              <w14:schemeClr w14:val="tx1"/>
            </w14:solidFill>
          </w14:textFill>
        </w:rPr>
        <w:t>广西恒沁检测科技有限公司</w:t>
      </w:r>
      <w:r>
        <w:rPr>
          <w:rFonts w:hint="eastAsia" w:ascii="宋体" w:hAnsi="宋体"/>
          <w:color w:val="000000" w:themeColor="text1"/>
          <w14:textFill>
            <w14:solidFill>
              <w14:schemeClr w14:val="tx1"/>
            </w14:solidFill>
          </w14:textFill>
        </w:rPr>
        <w:t>进行现场监测，获得区域环境质量现状数据。</w:t>
      </w:r>
    </w:p>
    <w:p w14:paraId="3AEB6759">
      <w:pPr>
        <w:ind w:firstLine="480"/>
        <w:rPr>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在现场踏勘及调查、环境质量现状监测、公众参与调查的基础上，结合本工程的实际情况，根据环境影响评价有关技术导则、规范进行了环境影响预测及评价，制定了相应的环境保护措施，编制完成了《北部湾港钦州港域金谷港区金鼓江作业区14号泊位扩建工程（新增液硫、苯乙烯等装卸设施）环境影响报告书》。</w:t>
      </w:r>
    </w:p>
    <w:p w14:paraId="3E04BFD2">
      <w:pPr>
        <w:ind w:firstLine="482"/>
        <w:rPr>
          <w:b/>
          <w:color w:val="000000" w:themeColor="text1"/>
          <w14:textFill>
            <w14:solidFill>
              <w14:schemeClr w14:val="tx1"/>
            </w14:solidFill>
          </w14:textFill>
        </w:rPr>
      </w:pPr>
      <w:r>
        <w:rPr>
          <w:rFonts w:hint="eastAsia" w:ascii="宋体" w:hAnsi="宋体"/>
          <w:b/>
          <w:color w:val="000000" w:themeColor="text1"/>
          <w14:textFill>
            <w14:solidFill>
              <w14:schemeClr w14:val="tx1"/>
            </w14:solidFill>
          </w14:textFill>
        </w:rPr>
        <w:t>六</w:t>
      </w:r>
      <w:r>
        <w:rPr>
          <w:rFonts w:ascii="宋体" w:hAnsi="宋体"/>
          <w:b/>
          <w:color w:val="000000" w:themeColor="text1"/>
          <w14:textFill>
            <w14:solidFill>
              <w14:schemeClr w14:val="tx1"/>
            </w14:solidFill>
          </w14:textFill>
        </w:rPr>
        <w:t>、分析判定相关情况</w:t>
      </w:r>
    </w:p>
    <w:p w14:paraId="18D8AF7E">
      <w:pPr>
        <w:ind w:firstLine="480"/>
        <w:rPr>
          <w:color w:val="000000" w:themeColor="text1"/>
          <w:u w:val="single"/>
          <w14:textFill>
            <w14:solidFill>
              <w14:schemeClr w14:val="tx1"/>
            </w14:solidFill>
          </w14:textFill>
        </w:rPr>
      </w:pPr>
      <w:r>
        <w:rPr>
          <w:color w:val="000000" w:themeColor="text1"/>
          <w:u w:val="single"/>
          <w14:textFill>
            <w14:solidFill>
              <w14:schemeClr w14:val="tx1"/>
            </w14:solidFill>
          </w14:textFill>
        </w:rPr>
        <w:t>根据《产业结构调整指导目录（20</w:t>
      </w:r>
      <w:r>
        <w:rPr>
          <w:rFonts w:hint="eastAsia"/>
          <w:color w:val="000000" w:themeColor="text1"/>
          <w:u w:val="single"/>
          <w14:textFill>
            <w14:solidFill>
              <w14:schemeClr w14:val="tx1"/>
            </w14:solidFill>
          </w14:textFill>
        </w:rPr>
        <w:t>24</w:t>
      </w:r>
      <w:r>
        <w:rPr>
          <w:color w:val="000000" w:themeColor="text1"/>
          <w:u w:val="single"/>
          <w14:textFill>
            <w14:solidFill>
              <w14:schemeClr w14:val="tx1"/>
            </w14:solidFill>
          </w14:textFill>
        </w:rPr>
        <w:t xml:space="preserve"> 年本）》，本项目属于“二十五、水运”中“1、深水泊位（沿海万吨级、内河千吨级及以上）建设”，为鼓励类产业，项目建设与《产业结构调整指导目录（20</w:t>
      </w:r>
      <w:r>
        <w:rPr>
          <w:rFonts w:hint="eastAsia"/>
          <w:color w:val="000000" w:themeColor="text1"/>
          <w:u w:val="single"/>
          <w14:textFill>
            <w14:solidFill>
              <w14:schemeClr w14:val="tx1"/>
            </w14:solidFill>
          </w14:textFill>
        </w:rPr>
        <w:t>24</w:t>
      </w:r>
      <w:r>
        <w:rPr>
          <w:color w:val="000000" w:themeColor="text1"/>
          <w:u w:val="single"/>
          <w14:textFill>
            <w14:solidFill>
              <w14:schemeClr w14:val="tx1"/>
            </w14:solidFill>
          </w14:textFill>
        </w:rPr>
        <w:t>年本）》相符。</w:t>
      </w:r>
    </w:p>
    <w:p w14:paraId="258D5871">
      <w:pPr>
        <w:ind w:firstLine="480"/>
        <w:rPr>
          <w:color w:val="000000" w:themeColor="text1"/>
          <w14:textFill>
            <w14:solidFill>
              <w14:schemeClr w14:val="tx1"/>
            </w14:solidFill>
          </w14:textFill>
        </w:rPr>
      </w:pPr>
      <w:r>
        <w:rPr>
          <w:color w:val="000000" w:themeColor="text1"/>
          <w14:textFill>
            <w14:solidFill>
              <w14:schemeClr w14:val="tx1"/>
            </w14:solidFill>
          </w14:textFill>
        </w:rPr>
        <w:t>同时，项目的选址和建设符合国家及地方发布的各项规划、功能区划、生态环境保护规划、法律法规及行动计划；项目的最终平面布局充分考虑了所在地自然条件，吸收了国内同类项目的成功经验，符合环境保护、安全等多方面要求。</w:t>
      </w:r>
    </w:p>
    <w:p w14:paraId="6F9BB9BA">
      <w:pPr>
        <w:pStyle w:val="7"/>
        <w:numPr>
          <w:ilvl w:val="0"/>
          <w:numId w:val="0"/>
        </w:numPr>
        <w:rPr>
          <w:color w:val="000000" w:themeColor="text1"/>
          <w14:textFill>
            <w14:solidFill>
              <w14:schemeClr w14:val="tx1"/>
            </w14:solidFill>
          </w14:textFill>
        </w:rPr>
      </w:pPr>
      <w:r>
        <w:rPr>
          <w:color w:val="000000" w:themeColor="text1"/>
          <w14:textFill>
            <w14:solidFill>
              <w14:schemeClr w14:val="tx1"/>
            </w14:solidFill>
          </w14:textFill>
        </w:rPr>
        <w:t>表</w:t>
      </w:r>
      <w:r>
        <w:rPr>
          <w:rFonts w:hint="eastAsia"/>
          <w:color w:val="000000" w:themeColor="text1"/>
          <w14:textFill>
            <w14:solidFill>
              <w14:schemeClr w14:val="tx1"/>
            </w14:solidFill>
          </w14:textFill>
        </w:rPr>
        <w:t>2</w:t>
      </w:r>
      <w:r>
        <w:rPr>
          <w:color w:val="000000" w:themeColor="text1"/>
          <w14:textFill>
            <w14:solidFill>
              <w14:schemeClr w14:val="tx1"/>
            </w14:solidFill>
          </w14:textFill>
        </w:rPr>
        <w:t xml:space="preserve">  项目与相关文件的符合性判定结果一览表</w:t>
      </w:r>
    </w:p>
    <w:tbl>
      <w:tblPr>
        <w:tblStyle w:val="43"/>
        <w:tblW w:w="8276" w:type="dxa"/>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694"/>
        <w:gridCol w:w="854"/>
        <w:gridCol w:w="5655"/>
        <w:gridCol w:w="1073"/>
      </w:tblGrid>
      <w:tr w14:paraId="521FC0AA">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568" w:hRule="atLeast"/>
          <w:jc w:val="center"/>
        </w:trPr>
        <w:tc>
          <w:tcPr>
            <w:tcW w:w="694" w:type="dxa"/>
            <w:vAlign w:val="center"/>
          </w:tcPr>
          <w:p w14:paraId="175CD276">
            <w:pPr>
              <w:pStyle w:val="73"/>
              <w:rPr>
                <w:rFonts w:eastAsia="宋体"/>
                <w:b/>
                <w:bCs/>
                <w:color w:val="000000" w:themeColor="text1"/>
                <w:sz w:val="21"/>
                <w:lang w:eastAsia="en-US"/>
                <w14:textFill>
                  <w14:solidFill>
                    <w14:schemeClr w14:val="tx1"/>
                  </w14:solidFill>
                </w14:textFill>
              </w:rPr>
            </w:pPr>
            <w:r>
              <w:rPr>
                <w:rFonts w:eastAsia="宋体"/>
                <w:b/>
                <w:bCs/>
                <w:color w:val="000000" w:themeColor="text1"/>
                <w:sz w:val="21"/>
                <w:lang w:eastAsia="en-US"/>
                <w14:textFill>
                  <w14:solidFill>
                    <w14:schemeClr w14:val="tx1"/>
                  </w14:solidFill>
                </w14:textFill>
              </w:rPr>
              <w:t>序号</w:t>
            </w:r>
          </w:p>
        </w:tc>
        <w:tc>
          <w:tcPr>
            <w:tcW w:w="854" w:type="dxa"/>
            <w:vAlign w:val="center"/>
          </w:tcPr>
          <w:p w14:paraId="1F843C56">
            <w:pPr>
              <w:pStyle w:val="73"/>
              <w:rPr>
                <w:rFonts w:eastAsia="宋体"/>
                <w:b/>
                <w:bCs/>
                <w:color w:val="000000" w:themeColor="text1"/>
                <w:sz w:val="21"/>
                <w:lang w:eastAsia="en-US"/>
                <w14:textFill>
                  <w14:solidFill>
                    <w14:schemeClr w14:val="tx1"/>
                  </w14:solidFill>
                </w14:textFill>
              </w:rPr>
            </w:pPr>
            <w:r>
              <w:rPr>
                <w:rFonts w:eastAsia="宋体"/>
                <w:b/>
                <w:bCs/>
                <w:color w:val="000000" w:themeColor="text1"/>
                <w:sz w:val="21"/>
                <w:lang w:eastAsia="en-US"/>
                <w14:textFill>
                  <w14:solidFill>
                    <w14:schemeClr w14:val="tx1"/>
                  </w14:solidFill>
                </w14:textFill>
              </w:rPr>
              <w:t>类别</w:t>
            </w:r>
          </w:p>
        </w:tc>
        <w:tc>
          <w:tcPr>
            <w:tcW w:w="5655" w:type="dxa"/>
            <w:vAlign w:val="center"/>
          </w:tcPr>
          <w:p w14:paraId="7379D5DF">
            <w:pPr>
              <w:pStyle w:val="73"/>
              <w:rPr>
                <w:rFonts w:eastAsia="宋体"/>
                <w:b/>
                <w:bCs/>
                <w:color w:val="000000" w:themeColor="text1"/>
                <w:sz w:val="21"/>
                <w:lang w:eastAsia="en-US"/>
                <w14:textFill>
                  <w14:solidFill>
                    <w14:schemeClr w14:val="tx1"/>
                  </w14:solidFill>
                </w14:textFill>
              </w:rPr>
            </w:pPr>
            <w:r>
              <w:rPr>
                <w:rFonts w:eastAsia="宋体"/>
                <w:b/>
                <w:bCs/>
                <w:color w:val="000000" w:themeColor="text1"/>
                <w:sz w:val="21"/>
                <w:lang w:eastAsia="en-US"/>
                <w14:textFill>
                  <w14:solidFill>
                    <w14:schemeClr w14:val="tx1"/>
                  </w14:solidFill>
                </w14:textFill>
              </w:rPr>
              <w:t>判定依据</w:t>
            </w:r>
          </w:p>
        </w:tc>
        <w:tc>
          <w:tcPr>
            <w:tcW w:w="1073" w:type="dxa"/>
            <w:vAlign w:val="center"/>
          </w:tcPr>
          <w:p w14:paraId="5DED5F2E">
            <w:pPr>
              <w:pStyle w:val="73"/>
              <w:rPr>
                <w:rFonts w:eastAsia="宋体"/>
                <w:b/>
                <w:bCs/>
                <w:color w:val="000000" w:themeColor="text1"/>
                <w:sz w:val="21"/>
                <w:lang w:eastAsia="en-US"/>
                <w14:textFill>
                  <w14:solidFill>
                    <w14:schemeClr w14:val="tx1"/>
                  </w14:solidFill>
                </w14:textFill>
              </w:rPr>
            </w:pPr>
            <w:r>
              <w:rPr>
                <w:rFonts w:eastAsia="宋体"/>
                <w:b/>
                <w:bCs/>
                <w:color w:val="000000" w:themeColor="text1"/>
                <w:sz w:val="21"/>
                <w:lang w:eastAsia="en-US"/>
                <w14:textFill>
                  <w14:solidFill>
                    <w14:schemeClr w14:val="tx1"/>
                  </w14:solidFill>
                </w14:textFill>
              </w:rPr>
              <w:t>判定结果</w:t>
            </w:r>
          </w:p>
        </w:tc>
      </w:tr>
      <w:tr w14:paraId="2E12566A">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32" w:hRule="atLeast"/>
          <w:jc w:val="center"/>
        </w:trPr>
        <w:tc>
          <w:tcPr>
            <w:tcW w:w="694" w:type="dxa"/>
            <w:vAlign w:val="center"/>
          </w:tcPr>
          <w:p w14:paraId="1CC0D60F">
            <w:pPr>
              <w:pStyle w:val="73"/>
              <w:rPr>
                <w:color w:val="000000" w:themeColor="text1"/>
                <w:sz w:val="21"/>
                <w:lang w:eastAsia="en-US"/>
                <w14:textFill>
                  <w14:solidFill>
                    <w14:schemeClr w14:val="tx1"/>
                  </w14:solidFill>
                </w14:textFill>
              </w:rPr>
            </w:pPr>
            <w:r>
              <w:rPr>
                <w:color w:val="000000" w:themeColor="text1"/>
                <w:w w:val="99"/>
                <w:sz w:val="21"/>
                <w:lang w:eastAsia="en-US"/>
                <w14:textFill>
                  <w14:solidFill>
                    <w14:schemeClr w14:val="tx1"/>
                  </w14:solidFill>
                </w14:textFill>
              </w:rPr>
              <w:t>1</w:t>
            </w:r>
          </w:p>
        </w:tc>
        <w:tc>
          <w:tcPr>
            <w:tcW w:w="854" w:type="dxa"/>
            <w:vAlign w:val="center"/>
          </w:tcPr>
          <w:p w14:paraId="714209CA">
            <w:pPr>
              <w:pStyle w:val="73"/>
              <w:rPr>
                <w:rFonts w:eastAsia="宋体"/>
                <w:color w:val="000000" w:themeColor="text1"/>
                <w:sz w:val="21"/>
                <w:lang w:eastAsia="en-US"/>
                <w14:textFill>
                  <w14:solidFill>
                    <w14:schemeClr w14:val="tx1"/>
                  </w14:solidFill>
                </w14:textFill>
              </w:rPr>
            </w:pPr>
            <w:r>
              <w:rPr>
                <w:rFonts w:eastAsia="宋体"/>
                <w:color w:val="000000" w:themeColor="text1"/>
                <w:sz w:val="21"/>
                <w:lang w:eastAsia="en-US"/>
                <w14:textFill>
                  <w14:solidFill>
                    <w14:schemeClr w14:val="tx1"/>
                  </w14:solidFill>
                </w14:textFill>
              </w:rPr>
              <w:t>产业政策</w:t>
            </w:r>
          </w:p>
        </w:tc>
        <w:tc>
          <w:tcPr>
            <w:tcW w:w="5655" w:type="dxa"/>
            <w:vAlign w:val="center"/>
          </w:tcPr>
          <w:p w14:paraId="475E37A6">
            <w:pPr>
              <w:pStyle w:val="73"/>
              <w:rPr>
                <w:rFonts w:eastAsia="宋体"/>
                <w:color w:val="000000" w:themeColor="text1"/>
                <w:sz w:val="21"/>
                <w14:textFill>
                  <w14:solidFill>
                    <w14:schemeClr w14:val="tx1"/>
                  </w14:solidFill>
                </w14:textFill>
              </w:rPr>
            </w:pPr>
            <w:r>
              <w:rPr>
                <w:rFonts w:eastAsia="宋体"/>
                <w:color w:val="000000" w:themeColor="text1"/>
                <w:sz w:val="21"/>
                <w14:textFill>
                  <w14:solidFill>
                    <w14:schemeClr w14:val="tx1"/>
                  </w14:solidFill>
                </w14:textFill>
              </w:rPr>
              <w:t>《产业结构调整指导目录（</w:t>
            </w:r>
            <w:r>
              <w:rPr>
                <w:color w:val="000000" w:themeColor="text1"/>
                <w:sz w:val="21"/>
                <w14:textFill>
                  <w14:solidFill>
                    <w14:schemeClr w14:val="tx1"/>
                  </w14:solidFill>
                </w14:textFill>
              </w:rPr>
              <w:t>20</w:t>
            </w:r>
            <w:r>
              <w:rPr>
                <w:rFonts w:hint="eastAsia" w:eastAsia="宋体"/>
                <w:color w:val="000000" w:themeColor="text1"/>
                <w:sz w:val="21"/>
                <w:lang w:val="en-US"/>
                <w14:textFill>
                  <w14:solidFill>
                    <w14:schemeClr w14:val="tx1"/>
                  </w14:solidFill>
                </w14:textFill>
              </w:rPr>
              <w:t>24</w:t>
            </w:r>
            <w:r>
              <w:rPr>
                <w:rFonts w:eastAsia="宋体"/>
                <w:color w:val="000000" w:themeColor="text1"/>
                <w:sz w:val="21"/>
                <w14:textFill>
                  <w14:solidFill>
                    <w14:schemeClr w14:val="tx1"/>
                  </w14:solidFill>
                </w14:textFill>
              </w:rPr>
              <w:t>年本</w:t>
            </w:r>
            <w:r>
              <w:rPr>
                <w:rFonts w:eastAsia="宋体"/>
                <w:color w:val="000000" w:themeColor="text1"/>
                <w:spacing w:val="-106"/>
                <w:sz w:val="21"/>
                <w14:textFill>
                  <w14:solidFill>
                    <w14:schemeClr w14:val="tx1"/>
                  </w14:solidFill>
                </w14:textFill>
              </w:rPr>
              <w:t>）</w:t>
            </w:r>
            <w:r>
              <w:rPr>
                <w:rFonts w:eastAsia="宋体"/>
                <w:color w:val="000000" w:themeColor="text1"/>
                <w:spacing w:val="-17"/>
                <w:sz w:val="21"/>
                <w14:textFill>
                  <w14:solidFill>
                    <w14:schemeClr w14:val="tx1"/>
                  </w14:solidFill>
                </w14:textFill>
              </w:rPr>
              <w:t>》</w:t>
            </w:r>
          </w:p>
        </w:tc>
        <w:tc>
          <w:tcPr>
            <w:tcW w:w="1073" w:type="dxa"/>
            <w:vAlign w:val="center"/>
          </w:tcPr>
          <w:p w14:paraId="432FC354">
            <w:pPr>
              <w:pStyle w:val="73"/>
              <w:rPr>
                <w:rFonts w:eastAsia="宋体"/>
                <w:color w:val="000000" w:themeColor="text1"/>
                <w:sz w:val="21"/>
                <w:lang w:eastAsia="en-US"/>
                <w14:textFill>
                  <w14:solidFill>
                    <w14:schemeClr w14:val="tx1"/>
                  </w14:solidFill>
                </w14:textFill>
              </w:rPr>
            </w:pPr>
            <w:r>
              <w:rPr>
                <w:rFonts w:eastAsia="宋体"/>
                <w:color w:val="000000" w:themeColor="text1"/>
                <w:sz w:val="21"/>
                <w:lang w:eastAsia="en-US"/>
                <w14:textFill>
                  <w14:solidFill>
                    <w14:schemeClr w14:val="tx1"/>
                  </w14:solidFill>
                </w14:textFill>
              </w:rPr>
              <w:t>符合</w:t>
            </w:r>
          </w:p>
        </w:tc>
      </w:tr>
      <w:tr w14:paraId="46131D46">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694" w:type="dxa"/>
            <w:vAlign w:val="center"/>
          </w:tcPr>
          <w:p w14:paraId="777BDA96">
            <w:pPr>
              <w:pStyle w:val="73"/>
              <w:rPr>
                <w:rFonts w:eastAsiaTheme="minorEastAsia"/>
                <w:color w:val="000000" w:themeColor="text1"/>
                <w:sz w:val="21"/>
                <w14:textFill>
                  <w14:solidFill>
                    <w14:schemeClr w14:val="tx1"/>
                  </w14:solidFill>
                </w14:textFill>
              </w:rPr>
            </w:pPr>
            <w:r>
              <w:rPr>
                <w:rFonts w:eastAsiaTheme="minorEastAsia"/>
                <w:color w:val="000000" w:themeColor="text1"/>
                <w:w w:val="99"/>
                <w:sz w:val="21"/>
                <w14:textFill>
                  <w14:solidFill>
                    <w14:schemeClr w14:val="tx1"/>
                  </w14:solidFill>
                </w14:textFill>
              </w:rPr>
              <w:t>2</w:t>
            </w:r>
          </w:p>
        </w:tc>
        <w:tc>
          <w:tcPr>
            <w:tcW w:w="854" w:type="dxa"/>
            <w:vAlign w:val="center"/>
          </w:tcPr>
          <w:p w14:paraId="0AAFC9A5">
            <w:pPr>
              <w:pStyle w:val="73"/>
              <w:rPr>
                <w:rFonts w:eastAsia="宋体"/>
                <w:color w:val="000000" w:themeColor="text1"/>
                <w:sz w:val="21"/>
                <w:lang w:eastAsia="en-US"/>
                <w14:textFill>
                  <w14:solidFill>
                    <w14:schemeClr w14:val="tx1"/>
                  </w14:solidFill>
                </w14:textFill>
              </w:rPr>
            </w:pPr>
            <w:r>
              <w:rPr>
                <w:rFonts w:eastAsia="宋体"/>
                <w:color w:val="000000" w:themeColor="text1"/>
                <w:sz w:val="21"/>
                <w:lang w:eastAsia="en-US"/>
                <w14:textFill>
                  <w14:solidFill>
                    <w14:schemeClr w14:val="tx1"/>
                  </w14:solidFill>
                </w14:textFill>
              </w:rPr>
              <w:t>生态红线</w:t>
            </w:r>
          </w:p>
        </w:tc>
        <w:tc>
          <w:tcPr>
            <w:tcW w:w="5655" w:type="dxa"/>
            <w:vAlign w:val="center"/>
          </w:tcPr>
          <w:p w14:paraId="4CC5CB62">
            <w:pPr>
              <w:pStyle w:val="73"/>
              <w:rPr>
                <w:rFonts w:eastAsia="宋体"/>
                <w:color w:val="000000" w:themeColor="text1"/>
                <w:sz w:val="21"/>
                <w14:textFill>
                  <w14:solidFill>
                    <w14:schemeClr w14:val="tx1"/>
                  </w14:solidFill>
                </w14:textFill>
              </w:rPr>
            </w:pPr>
            <w:r>
              <w:rPr>
                <w:rFonts w:eastAsia="宋体"/>
                <w:color w:val="000000" w:themeColor="text1"/>
                <w:sz w:val="21"/>
                <w14:textFill>
                  <w14:solidFill>
                    <w14:schemeClr w14:val="tx1"/>
                  </w14:solidFill>
                </w14:textFill>
              </w:rPr>
              <w:t>《广西海洋生态红线划定方案》</w:t>
            </w:r>
          </w:p>
        </w:tc>
        <w:tc>
          <w:tcPr>
            <w:tcW w:w="1073" w:type="dxa"/>
            <w:vAlign w:val="center"/>
          </w:tcPr>
          <w:p w14:paraId="11D48B04">
            <w:pPr>
              <w:pStyle w:val="73"/>
              <w:rPr>
                <w:rFonts w:eastAsia="宋体"/>
                <w:color w:val="000000" w:themeColor="text1"/>
                <w:sz w:val="21"/>
                <w:lang w:eastAsia="en-US"/>
                <w14:textFill>
                  <w14:solidFill>
                    <w14:schemeClr w14:val="tx1"/>
                  </w14:solidFill>
                </w14:textFill>
              </w:rPr>
            </w:pPr>
            <w:r>
              <w:rPr>
                <w:rFonts w:eastAsia="宋体"/>
                <w:color w:val="000000" w:themeColor="text1"/>
                <w:sz w:val="21"/>
                <w:lang w:eastAsia="en-US"/>
                <w14:textFill>
                  <w14:solidFill>
                    <w14:schemeClr w14:val="tx1"/>
                  </w14:solidFill>
                </w14:textFill>
              </w:rPr>
              <w:t>符合</w:t>
            </w:r>
          </w:p>
        </w:tc>
      </w:tr>
      <w:tr w14:paraId="44FD4280">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694" w:type="dxa"/>
            <w:vAlign w:val="center"/>
          </w:tcPr>
          <w:p w14:paraId="6E980BC7">
            <w:pPr>
              <w:pStyle w:val="73"/>
              <w:rPr>
                <w:rFonts w:eastAsiaTheme="minorEastAsia"/>
                <w:color w:val="000000" w:themeColor="text1"/>
                <w:sz w:val="21"/>
                <w14:textFill>
                  <w14:solidFill>
                    <w14:schemeClr w14:val="tx1"/>
                  </w14:solidFill>
                </w14:textFill>
              </w:rPr>
            </w:pPr>
            <w:r>
              <w:rPr>
                <w:rFonts w:eastAsiaTheme="minorEastAsia"/>
                <w:color w:val="000000" w:themeColor="text1"/>
                <w:w w:val="99"/>
                <w:sz w:val="21"/>
                <w14:textFill>
                  <w14:solidFill>
                    <w14:schemeClr w14:val="tx1"/>
                  </w14:solidFill>
                </w14:textFill>
              </w:rPr>
              <w:t>3</w:t>
            </w:r>
          </w:p>
        </w:tc>
        <w:tc>
          <w:tcPr>
            <w:tcW w:w="854" w:type="dxa"/>
            <w:vMerge w:val="restart"/>
            <w:vAlign w:val="center"/>
          </w:tcPr>
          <w:p w14:paraId="5EC74588">
            <w:pPr>
              <w:pStyle w:val="73"/>
              <w:rPr>
                <w:rFonts w:eastAsia="宋体"/>
                <w:color w:val="000000" w:themeColor="text1"/>
                <w:sz w:val="21"/>
                <w:lang w:eastAsia="en-US"/>
                <w14:textFill>
                  <w14:solidFill>
                    <w14:schemeClr w14:val="tx1"/>
                  </w14:solidFill>
                </w14:textFill>
              </w:rPr>
            </w:pPr>
            <w:r>
              <w:rPr>
                <w:rFonts w:eastAsia="宋体"/>
                <w:color w:val="000000" w:themeColor="text1"/>
                <w:sz w:val="21"/>
                <w:lang w:eastAsia="en-US"/>
                <w14:textFill>
                  <w14:solidFill>
                    <w14:schemeClr w14:val="tx1"/>
                  </w14:solidFill>
                </w14:textFill>
              </w:rPr>
              <w:t>分区管控</w:t>
            </w:r>
          </w:p>
        </w:tc>
        <w:tc>
          <w:tcPr>
            <w:tcW w:w="5655" w:type="dxa"/>
            <w:vAlign w:val="center"/>
          </w:tcPr>
          <w:p w14:paraId="2D66FE38">
            <w:pPr>
              <w:pStyle w:val="73"/>
              <w:jc w:val="both"/>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《广西壮族自治区生态环境厅关于印发实施广西壮族自治区生态环境分区管控动态更新成果（2023年）的通知》（桂环规范〔2024〕3号）</w:t>
            </w:r>
          </w:p>
        </w:tc>
        <w:tc>
          <w:tcPr>
            <w:tcW w:w="1073" w:type="dxa"/>
            <w:vAlign w:val="center"/>
          </w:tcPr>
          <w:p w14:paraId="046024A1">
            <w:pPr>
              <w:pStyle w:val="73"/>
              <w:rPr>
                <w:rFonts w:eastAsia="宋体"/>
                <w:color w:val="000000" w:themeColor="text1"/>
                <w:sz w:val="21"/>
                <w:lang w:eastAsia="en-US"/>
                <w14:textFill>
                  <w14:solidFill>
                    <w14:schemeClr w14:val="tx1"/>
                  </w14:solidFill>
                </w14:textFill>
              </w:rPr>
            </w:pPr>
            <w:r>
              <w:rPr>
                <w:rFonts w:eastAsia="宋体"/>
                <w:color w:val="000000" w:themeColor="text1"/>
                <w:sz w:val="21"/>
                <w:lang w:eastAsia="en-US"/>
                <w14:textFill>
                  <w14:solidFill>
                    <w14:schemeClr w14:val="tx1"/>
                  </w14:solidFill>
                </w14:textFill>
              </w:rPr>
              <w:t>符合</w:t>
            </w:r>
          </w:p>
        </w:tc>
      </w:tr>
      <w:tr w14:paraId="3AC9D24A">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694" w:type="dxa"/>
            <w:vAlign w:val="center"/>
          </w:tcPr>
          <w:p w14:paraId="53EE8A57">
            <w:pPr>
              <w:pStyle w:val="73"/>
              <w:rPr>
                <w:rFonts w:eastAsiaTheme="minorEastAsia"/>
                <w:color w:val="000000" w:themeColor="text1"/>
                <w:w w:val="99"/>
                <w:sz w:val="21"/>
                <w14:textFill>
                  <w14:solidFill>
                    <w14:schemeClr w14:val="tx1"/>
                  </w14:solidFill>
                </w14:textFill>
              </w:rPr>
            </w:pPr>
            <w:r>
              <w:rPr>
                <w:rFonts w:eastAsiaTheme="minorEastAsia"/>
                <w:color w:val="000000" w:themeColor="text1"/>
                <w:w w:val="99"/>
                <w:sz w:val="21"/>
                <w14:textFill>
                  <w14:solidFill>
                    <w14:schemeClr w14:val="tx1"/>
                  </w14:solidFill>
                </w14:textFill>
              </w:rPr>
              <w:t>4</w:t>
            </w:r>
          </w:p>
        </w:tc>
        <w:tc>
          <w:tcPr>
            <w:tcW w:w="854" w:type="dxa"/>
            <w:vMerge w:val="continue"/>
            <w:vAlign w:val="center"/>
          </w:tcPr>
          <w:p w14:paraId="2B12CCC6">
            <w:pPr>
              <w:pStyle w:val="73"/>
              <w:rPr>
                <w:rFonts w:eastAsia="宋体"/>
                <w:color w:val="000000" w:themeColor="text1"/>
                <w:sz w:val="21"/>
                <w:lang w:eastAsia="en-US"/>
                <w14:textFill>
                  <w14:solidFill>
                    <w14:schemeClr w14:val="tx1"/>
                  </w14:solidFill>
                </w14:textFill>
              </w:rPr>
            </w:pPr>
          </w:p>
        </w:tc>
        <w:tc>
          <w:tcPr>
            <w:tcW w:w="5655" w:type="dxa"/>
            <w:vAlign w:val="center"/>
          </w:tcPr>
          <w:p w14:paraId="729C6E52">
            <w:pPr>
              <w:pStyle w:val="73"/>
              <w:jc w:val="both"/>
              <w:rPr>
                <w:rFonts w:eastAsia="宋体"/>
                <w:color w:val="000000" w:themeColor="text1"/>
                <w:sz w:val="21"/>
                <w14:textFill>
                  <w14:solidFill>
                    <w14:schemeClr w14:val="tx1"/>
                  </w14:solidFill>
                </w14:textFill>
              </w:rPr>
            </w:pPr>
            <w:r>
              <w:rPr>
                <w:rFonts w:hint="eastAsia" w:eastAsia="宋体"/>
                <w:color w:val="000000" w:themeColor="text1"/>
                <w:sz w:val="21"/>
                <w14:textFill>
                  <w14:solidFill>
                    <w14:schemeClr w14:val="tx1"/>
                  </w14:solidFill>
                </w14:textFill>
              </w:rPr>
              <w:t>《钦州市生态环境局关于印发钦州市生态环境分区管控动态更新成果（2023版）的通知》</w:t>
            </w:r>
          </w:p>
        </w:tc>
        <w:tc>
          <w:tcPr>
            <w:tcW w:w="1073" w:type="dxa"/>
            <w:vAlign w:val="center"/>
          </w:tcPr>
          <w:p w14:paraId="2CE69B09">
            <w:pPr>
              <w:pStyle w:val="73"/>
              <w:rPr>
                <w:rFonts w:eastAsia="宋体"/>
                <w:color w:val="000000" w:themeColor="text1"/>
                <w:sz w:val="21"/>
                <w14:textFill>
                  <w14:solidFill>
                    <w14:schemeClr w14:val="tx1"/>
                  </w14:solidFill>
                </w14:textFill>
              </w:rPr>
            </w:pPr>
            <w:r>
              <w:rPr>
                <w:rFonts w:eastAsia="宋体"/>
                <w:color w:val="000000" w:themeColor="text1"/>
                <w:sz w:val="21"/>
                <w:lang w:eastAsia="en-US"/>
                <w14:textFill>
                  <w14:solidFill>
                    <w14:schemeClr w14:val="tx1"/>
                  </w14:solidFill>
                </w14:textFill>
              </w:rPr>
              <w:t>符合</w:t>
            </w:r>
          </w:p>
        </w:tc>
      </w:tr>
      <w:tr w14:paraId="3F31AB3A">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694" w:type="dxa"/>
            <w:vAlign w:val="center"/>
          </w:tcPr>
          <w:p w14:paraId="41BFAF4F">
            <w:pPr>
              <w:pStyle w:val="73"/>
              <w:rPr>
                <w:rFonts w:eastAsiaTheme="minorEastAsia"/>
                <w:color w:val="000000" w:themeColor="text1"/>
                <w:sz w:val="21"/>
                <w14:textFill>
                  <w14:solidFill>
                    <w14:schemeClr w14:val="tx1"/>
                  </w14:solidFill>
                </w14:textFill>
              </w:rPr>
            </w:pPr>
            <w:r>
              <w:rPr>
                <w:rFonts w:eastAsiaTheme="minorEastAsia"/>
                <w:color w:val="000000" w:themeColor="text1"/>
                <w:w w:val="99"/>
                <w:sz w:val="21"/>
                <w14:textFill>
                  <w14:solidFill>
                    <w14:schemeClr w14:val="tx1"/>
                  </w14:solidFill>
                </w14:textFill>
              </w:rPr>
              <w:t>5</w:t>
            </w:r>
          </w:p>
        </w:tc>
        <w:tc>
          <w:tcPr>
            <w:tcW w:w="854" w:type="dxa"/>
            <w:vAlign w:val="center"/>
          </w:tcPr>
          <w:p w14:paraId="2F55B17F">
            <w:pPr>
              <w:pStyle w:val="73"/>
              <w:rPr>
                <w:rFonts w:eastAsiaTheme="minorEastAsia"/>
                <w:color w:val="000000" w:themeColor="text1"/>
                <w:sz w:val="2"/>
                <w:szCs w:val="2"/>
                <w:lang w:eastAsia="en-US"/>
                <w14:textFill>
                  <w14:solidFill>
                    <w14:schemeClr w14:val="tx1"/>
                  </w14:solidFill>
                </w14:textFill>
              </w:rPr>
            </w:pPr>
            <w:r>
              <w:rPr>
                <w:rFonts w:eastAsia="宋体"/>
                <w:color w:val="000000" w:themeColor="text1"/>
                <w:sz w:val="21"/>
                <w:lang w:eastAsia="en-US"/>
                <w14:textFill>
                  <w14:solidFill>
                    <w14:schemeClr w14:val="tx1"/>
                  </w14:solidFill>
                </w14:textFill>
              </w:rPr>
              <w:t>环境功能区划</w:t>
            </w:r>
          </w:p>
        </w:tc>
        <w:tc>
          <w:tcPr>
            <w:tcW w:w="5655" w:type="dxa"/>
            <w:vAlign w:val="center"/>
          </w:tcPr>
          <w:p w14:paraId="7EBB9D99">
            <w:pPr>
              <w:pStyle w:val="73"/>
              <w:rPr>
                <w:rFonts w:eastAsia="宋体"/>
                <w:color w:val="000000" w:themeColor="text1"/>
                <w:sz w:val="21"/>
                <w14:textFill>
                  <w14:solidFill>
                    <w14:schemeClr w14:val="tx1"/>
                  </w14:solidFill>
                </w14:textFill>
              </w:rPr>
            </w:pPr>
            <w:r>
              <w:rPr>
                <w:rFonts w:eastAsia="宋体"/>
                <w:color w:val="000000" w:themeColor="text1"/>
                <w:sz w:val="21"/>
                <w14:textFill>
                  <w14:solidFill>
                    <w14:schemeClr w14:val="tx1"/>
                  </w14:solidFill>
                </w14:textFill>
              </w:rPr>
              <w:t>《广西壮族自治区近岸海域环境功能区划调整方案》</w:t>
            </w:r>
          </w:p>
        </w:tc>
        <w:tc>
          <w:tcPr>
            <w:tcW w:w="1073" w:type="dxa"/>
            <w:vAlign w:val="center"/>
          </w:tcPr>
          <w:p w14:paraId="5ECC3D32">
            <w:pPr>
              <w:pStyle w:val="73"/>
              <w:rPr>
                <w:rFonts w:eastAsia="宋体"/>
                <w:color w:val="000000" w:themeColor="text1"/>
                <w:sz w:val="21"/>
                <w:lang w:eastAsia="en-US"/>
                <w14:textFill>
                  <w14:solidFill>
                    <w14:schemeClr w14:val="tx1"/>
                  </w14:solidFill>
                </w14:textFill>
              </w:rPr>
            </w:pPr>
            <w:r>
              <w:rPr>
                <w:rFonts w:eastAsia="宋体"/>
                <w:color w:val="000000" w:themeColor="text1"/>
                <w:sz w:val="21"/>
                <w:lang w:eastAsia="en-US"/>
                <w14:textFill>
                  <w14:solidFill>
                    <w14:schemeClr w14:val="tx1"/>
                  </w14:solidFill>
                </w14:textFill>
              </w:rPr>
              <w:t>符合</w:t>
            </w:r>
          </w:p>
        </w:tc>
      </w:tr>
      <w:tr w14:paraId="570CCCB2">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39" w:hRule="atLeast"/>
          <w:jc w:val="center"/>
        </w:trPr>
        <w:tc>
          <w:tcPr>
            <w:tcW w:w="694" w:type="dxa"/>
            <w:vAlign w:val="center"/>
          </w:tcPr>
          <w:p w14:paraId="169449E4">
            <w:pPr>
              <w:pStyle w:val="73"/>
              <w:rPr>
                <w:rFonts w:eastAsiaTheme="minorEastAsia"/>
                <w:color w:val="000000" w:themeColor="text1"/>
                <w:sz w:val="21"/>
                <w14:textFill>
                  <w14:solidFill>
                    <w14:schemeClr w14:val="tx1"/>
                  </w14:solidFill>
                </w14:textFill>
              </w:rPr>
            </w:pPr>
            <w:r>
              <w:rPr>
                <w:rFonts w:eastAsiaTheme="minorEastAsia"/>
                <w:color w:val="000000" w:themeColor="text1"/>
                <w:sz w:val="21"/>
                <w14:textFill>
                  <w14:solidFill>
                    <w14:schemeClr w14:val="tx1"/>
                  </w14:solidFill>
                </w14:textFill>
              </w:rPr>
              <w:t>6</w:t>
            </w:r>
          </w:p>
        </w:tc>
        <w:tc>
          <w:tcPr>
            <w:tcW w:w="854" w:type="dxa"/>
            <w:vMerge w:val="restart"/>
            <w:vAlign w:val="center"/>
          </w:tcPr>
          <w:p w14:paraId="303EC78E">
            <w:pPr>
              <w:pStyle w:val="73"/>
              <w:rPr>
                <w:rFonts w:eastAsia="宋体"/>
                <w:color w:val="000000" w:themeColor="text1"/>
                <w:sz w:val="21"/>
                <w:lang w:eastAsia="en-US"/>
                <w14:textFill>
                  <w14:solidFill>
                    <w14:schemeClr w14:val="tx1"/>
                  </w14:solidFill>
                </w14:textFill>
              </w:rPr>
            </w:pPr>
            <w:r>
              <w:rPr>
                <w:rFonts w:eastAsia="宋体"/>
                <w:color w:val="000000" w:themeColor="text1"/>
                <w:sz w:val="21"/>
                <w:lang w:eastAsia="en-US"/>
                <w14:textFill>
                  <w14:solidFill>
                    <w14:schemeClr w14:val="tx1"/>
                  </w14:solidFill>
                </w14:textFill>
              </w:rPr>
              <w:t>区域规划</w:t>
            </w:r>
          </w:p>
        </w:tc>
        <w:tc>
          <w:tcPr>
            <w:tcW w:w="5655" w:type="dxa"/>
            <w:vAlign w:val="center"/>
          </w:tcPr>
          <w:p w14:paraId="46486651">
            <w:pPr>
              <w:pStyle w:val="73"/>
              <w:rPr>
                <w:rFonts w:eastAsia="宋体"/>
                <w:color w:val="000000" w:themeColor="text1"/>
                <w:sz w:val="21"/>
                <w14:textFill>
                  <w14:solidFill>
                    <w14:schemeClr w14:val="tx1"/>
                  </w14:solidFill>
                </w14:textFill>
              </w:rPr>
            </w:pPr>
            <w:r>
              <w:rPr>
                <w:rFonts w:eastAsia="宋体"/>
                <w:color w:val="000000" w:themeColor="text1"/>
                <w:sz w:val="21"/>
                <w14:textFill>
                  <w14:solidFill>
                    <w14:schemeClr w14:val="tx1"/>
                  </w14:solidFill>
                </w14:textFill>
              </w:rPr>
              <w:t>《</w:t>
            </w:r>
            <w:r>
              <w:rPr>
                <w:rFonts w:hint="eastAsia" w:eastAsia="宋体"/>
                <w:color w:val="000000" w:themeColor="text1"/>
                <w:sz w:val="21"/>
                <w:lang w:val="en-US" w:eastAsia="zh-CN"/>
                <w14:textFill>
                  <w14:solidFill>
                    <w14:schemeClr w14:val="tx1"/>
                  </w14:solidFill>
                </w14:textFill>
              </w:rPr>
              <w:t>北部湾</w:t>
            </w:r>
            <w:r>
              <w:rPr>
                <w:rFonts w:eastAsia="宋体"/>
                <w:color w:val="000000" w:themeColor="text1"/>
                <w:sz w:val="21"/>
                <w14:textFill>
                  <w14:solidFill>
                    <w14:schemeClr w14:val="tx1"/>
                  </w14:solidFill>
                </w14:textFill>
              </w:rPr>
              <w:t>港总体规划（2035年）</w:t>
            </w:r>
            <w:r>
              <w:rPr>
                <w:rFonts w:eastAsia="宋体"/>
                <w:color w:val="000000" w:themeColor="text1"/>
                <w:spacing w:val="-104"/>
                <w:sz w:val="21"/>
                <w14:textFill>
                  <w14:solidFill>
                    <w14:schemeClr w14:val="tx1"/>
                  </w14:solidFill>
                </w14:textFill>
              </w:rPr>
              <w:t>）</w:t>
            </w:r>
            <w:r>
              <w:rPr>
                <w:rFonts w:eastAsia="宋体"/>
                <w:color w:val="000000" w:themeColor="text1"/>
                <w:sz w:val="21"/>
                <w14:textFill>
                  <w14:solidFill>
                    <w14:schemeClr w14:val="tx1"/>
                  </w14:solidFill>
                </w14:textFill>
              </w:rPr>
              <w:t>》</w:t>
            </w:r>
          </w:p>
        </w:tc>
        <w:tc>
          <w:tcPr>
            <w:tcW w:w="1073" w:type="dxa"/>
            <w:vAlign w:val="center"/>
          </w:tcPr>
          <w:p w14:paraId="42E6B9E5">
            <w:pPr>
              <w:pStyle w:val="73"/>
              <w:rPr>
                <w:rFonts w:eastAsia="宋体"/>
                <w:color w:val="000000" w:themeColor="text1"/>
                <w:sz w:val="21"/>
                <w:lang w:eastAsia="en-US"/>
                <w14:textFill>
                  <w14:solidFill>
                    <w14:schemeClr w14:val="tx1"/>
                  </w14:solidFill>
                </w14:textFill>
              </w:rPr>
            </w:pPr>
            <w:r>
              <w:rPr>
                <w:rFonts w:eastAsia="宋体"/>
                <w:color w:val="000000" w:themeColor="text1"/>
                <w:sz w:val="21"/>
                <w:lang w:eastAsia="en-US"/>
                <w14:textFill>
                  <w14:solidFill>
                    <w14:schemeClr w14:val="tx1"/>
                  </w14:solidFill>
                </w14:textFill>
              </w:rPr>
              <w:t>符合</w:t>
            </w:r>
          </w:p>
        </w:tc>
      </w:tr>
      <w:tr w14:paraId="48E2F12E">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39" w:hRule="atLeast"/>
          <w:jc w:val="center"/>
        </w:trPr>
        <w:tc>
          <w:tcPr>
            <w:tcW w:w="694" w:type="dxa"/>
            <w:vAlign w:val="center"/>
          </w:tcPr>
          <w:p w14:paraId="426DED9F">
            <w:pPr>
              <w:pStyle w:val="73"/>
              <w:rPr>
                <w:rFonts w:eastAsiaTheme="minorEastAsia"/>
                <w:color w:val="000000" w:themeColor="text1"/>
                <w:sz w:val="21"/>
                <w14:textFill>
                  <w14:solidFill>
                    <w14:schemeClr w14:val="tx1"/>
                  </w14:solidFill>
                </w14:textFill>
              </w:rPr>
            </w:pPr>
            <w:r>
              <w:rPr>
                <w:rFonts w:eastAsiaTheme="minorEastAsia"/>
                <w:color w:val="000000" w:themeColor="text1"/>
                <w:sz w:val="21"/>
                <w14:textFill>
                  <w14:solidFill>
                    <w14:schemeClr w14:val="tx1"/>
                  </w14:solidFill>
                </w14:textFill>
              </w:rPr>
              <w:t>7</w:t>
            </w:r>
          </w:p>
        </w:tc>
        <w:tc>
          <w:tcPr>
            <w:tcW w:w="854" w:type="dxa"/>
            <w:vMerge w:val="continue"/>
            <w:vAlign w:val="center"/>
          </w:tcPr>
          <w:p w14:paraId="768BB3D3">
            <w:pPr>
              <w:pStyle w:val="73"/>
              <w:rPr>
                <w:rFonts w:eastAsia="宋体"/>
                <w:color w:val="000000" w:themeColor="text1"/>
                <w:sz w:val="21"/>
                <w:lang w:eastAsia="en-US"/>
                <w14:textFill>
                  <w14:solidFill>
                    <w14:schemeClr w14:val="tx1"/>
                  </w14:solidFill>
                </w14:textFill>
              </w:rPr>
            </w:pPr>
          </w:p>
        </w:tc>
        <w:tc>
          <w:tcPr>
            <w:tcW w:w="5655" w:type="dxa"/>
            <w:vAlign w:val="center"/>
          </w:tcPr>
          <w:p w14:paraId="2143F076">
            <w:pPr>
              <w:pStyle w:val="73"/>
              <w:rPr>
                <w:rFonts w:eastAsia="宋体"/>
                <w:color w:val="000000" w:themeColor="text1"/>
                <w:sz w:val="21"/>
                <w14:textFill>
                  <w14:solidFill>
                    <w14:schemeClr w14:val="tx1"/>
                  </w14:solidFill>
                </w14:textFill>
              </w:rPr>
            </w:pPr>
            <w:r>
              <w:rPr>
                <w:rFonts w:eastAsia="宋体"/>
                <w:color w:val="000000" w:themeColor="text1"/>
                <w:sz w:val="21"/>
                <w14:textFill>
                  <w14:solidFill>
                    <w14:schemeClr w14:val="tx1"/>
                  </w14:solidFill>
                </w14:textFill>
              </w:rPr>
              <w:t>《广西钦州石化产业园总体发展规划（2020~2035）》</w:t>
            </w:r>
          </w:p>
        </w:tc>
        <w:tc>
          <w:tcPr>
            <w:tcW w:w="1073" w:type="dxa"/>
            <w:vAlign w:val="center"/>
          </w:tcPr>
          <w:p w14:paraId="476EB2FD">
            <w:pPr>
              <w:pStyle w:val="73"/>
              <w:rPr>
                <w:rFonts w:eastAsia="宋体"/>
                <w:color w:val="000000" w:themeColor="text1"/>
                <w:sz w:val="21"/>
                <w14:textFill>
                  <w14:solidFill>
                    <w14:schemeClr w14:val="tx1"/>
                  </w14:solidFill>
                </w14:textFill>
              </w:rPr>
            </w:pPr>
            <w:r>
              <w:rPr>
                <w:rFonts w:eastAsia="宋体"/>
                <w:color w:val="000000" w:themeColor="text1"/>
                <w:sz w:val="21"/>
                <w:lang w:eastAsia="en-US"/>
                <w14:textFill>
                  <w14:solidFill>
                    <w14:schemeClr w14:val="tx1"/>
                  </w14:solidFill>
                </w14:textFill>
              </w:rPr>
              <w:t>符合</w:t>
            </w:r>
          </w:p>
        </w:tc>
      </w:tr>
    </w:tbl>
    <w:p w14:paraId="57BE8B86">
      <w:pPr>
        <w:ind w:firstLine="482"/>
        <w:rPr>
          <w:rFonts w:ascii="宋体" w:hAnsi="宋体"/>
          <w:b/>
          <w:color w:val="000000" w:themeColor="text1"/>
          <w14:textFill>
            <w14:solidFill>
              <w14:schemeClr w14:val="tx1"/>
            </w14:solidFill>
          </w14:textFill>
        </w:rPr>
      </w:pPr>
      <w:r>
        <w:rPr>
          <w:rFonts w:ascii="宋体" w:hAnsi="宋体"/>
          <w:b/>
          <w:color w:val="000000" w:themeColor="text1"/>
          <w14:textFill>
            <w14:solidFill>
              <w14:schemeClr w14:val="tx1"/>
            </w14:solidFill>
          </w14:textFill>
        </w:rPr>
        <w:t>七、关注的主要环境问题和环境影响</w:t>
      </w:r>
    </w:p>
    <w:p w14:paraId="541B3973">
      <w:pPr>
        <w:ind w:firstLine="480"/>
        <w:rPr>
          <w:color w:val="000000" w:themeColor="text1"/>
          <w14:textFill>
            <w14:solidFill>
              <w14:schemeClr w14:val="tx1"/>
            </w14:solidFill>
          </w14:textFill>
        </w:rPr>
      </w:pPr>
      <w:r>
        <w:rPr>
          <w:rFonts w:ascii="宋体" w:hAnsi="宋体"/>
          <w:color w:val="000000" w:themeColor="text1"/>
          <w14:textFill>
            <w14:solidFill>
              <w14:schemeClr w14:val="tx1"/>
            </w14:solidFill>
          </w14:textFill>
        </w:rPr>
        <w:t>本项目为</w:t>
      </w:r>
      <w:r>
        <w:rPr>
          <w:rFonts w:hint="eastAsia" w:ascii="宋体" w:hAnsi="宋体"/>
          <w:color w:val="000000" w:themeColor="text1"/>
          <w14:textFill>
            <w14:solidFill>
              <w14:schemeClr w14:val="tx1"/>
            </w14:solidFill>
          </w14:textFill>
        </w:rPr>
        <w:t>液体危化品码头扩建</w:t>
      </w:r>
      <w:r>
        <w:rPr>
          <w:rFonts w:ascii="宋体" w:hAnsi="宋体"/>
          <w:color w:val="000000" w:themeColor="text1"/>
          <w14:textFill>
            <w14:solidFill>
              <w14:schemeClr w14:val="tx1"/>
            </w14:solidFill>
          </w14:textFill>
        </w:rPr>
        <w:t>项目</w:t>
      </w:r>
      <w:r>
        <w:rPr>
          <w:rFonts w:hint="eastAsia" w:ascii="宋体" w:hAnsi="宋体"/>
          <w:color w:val="000000" w:themeColor="text1"/>
          <w14:textFill>
            <w14:solidFill>
              <w14:schemeClr w14:val="tx1"/>
            </w14:solidFill>
          </w14:textFill>
        </w:rPr>
        <w:t>，主要新增苯乙烯等12个货种</w:t>
      </w:r>
      <w:r>
        <w:rPr>
          <w:rFonts w:ascii="宋体" w:hAnsi="宋体"/>
          <w:color w:val="000000" w:themeColor="text1"/>
          <w14:textFill>
            <w14:solidFill>
              <w14:schemeClr w14:val="tx1"/>
            </w14:solidFill>
          </w14:textFill>
        </w:rPr>
        <w:t>装卸船功能（具体见表</w:t>
      </w:r>
      <w:r>
        <w:rPr>
          <w:rFonts w:hint="eastAsia" w:ascii="宋体" w:hAnsi="宋体"/>
          <w:color w:val="000000" w:themeColor="text1"/>
          <w14:textFill>
            <w14:solidFill>
              <w14:schemeClr w14:val="tx1"/>
            </w14:solidFill>
          </w14:textFill>
        </w:rPr>
        <w:t>1</w:t>
      </w:r>
      <w:r>
        <w:rPr>
          <w:rFonts w:ascii="宋体" w:hAnsi="宋体"/>
          <w:color w:val="000000" w:themeColor="text1"/>
          <w14:textFill>
            <w14:solidFill>
              <w14:schemeClr w14:val="tx1"/>
            </w14:solidFill>
          </w14:textFill>
        </w:rPr>
        <w:t>）。</w:t>
      </w:r>
    </w:p>
    <w:p w14:paraId="09B7CD56">
      <w:pPr>
        <w:ind w:firstLine="480"/>
        <w:rPr>
          <w:color w:val="000000" w:themeColor="text1"/>
          <w14:textFill>
            <w14:solidFill>
              <w14:schemeClr w14:val="tx1"/>
            </w14:solidFill>
          </w14:textFill>
        </w:rPr>
      </w:pPr>
      <w:r>
        <w:rPr>
          <w:rFonts w:ascii="宋体" w:hAnsi="宋体"/>
          <w:color w:val="000000" w:themeColor="text1"/>
          <w14:textFill>
            <w14:solidFill>
              <w14:schemeClr w14:val="tx1"/>
            </w14:solidFill>
          </w14:textFill>
        </w:rPr>
        <w:t>根据项目特点，本次新增货种</w:t>
      </w:r>
      <w:r>
        <w:rPr>
          <w:rFonts w:hint="eastAsia" w:ascii="宋体" w:hAnsi="宋体"/>
          <w:color w:val="000000" w:themeColor="text1"/>
          <w14:textFill>
            <w14:solidFill>
              <w14:schemeClr w14:val="tx1"/>
            </w14:solidFill>
          </w14:textFill>
        </w:rPr>
        <w:t>装卸，将产生废气、</w:t>
      </w:r>
      <w:r>
        <w:rPr>
          <w:rFonts w:ascii="宋体" w:hAnsi="宋体"/>
          <w:color w:val="000000" w:themeColor="text1"/>
          <w14:textFill>
            <w14:solidFill>
              <w14:schemeClr w14:val="tx1"/>
            </w14:solidFill>
          </w14:textFill>
        </w:rPr>
        <w:t>废水、噪声</w:t>
      </w:r>
      <w:r>
        <w:rPr>
          <w:rFonts w:hint="eastAsia" w:ascii="宋体" w:hAnsi="宋体"/>
          <w:color w:val="000000" w:themeColor="text1"/>
          <w14:textFill>
            <w14:solidFill>
              <w14:schemeClr w14:val="tx1"/>
            </w14:solidFill>
          </w14:textFill>
        </w:rPr>
        <w:t>及</w:t>
      </w:r>
      <w:r>
        <w:rPr>
          <w:rFonts w:ascii="宋体" w:hAnsi="宋体"/>
          <w:color w:val="000000" w:themeColor="text1"/>
          <w14:textFill>
            <w14:solidFill>
              <w14:schemeClr w14:val="tx1"/>
            </w14:solidFill>
          </w14:textFill>
        </w:rPr>
        <w:t>固废污染物产生量</w:t>
      </w:r>
      <w:r>
        <w:rPr>
          <w:rFonts w:hint="eastAsia" w:ascii="宋体" w:hAnsi="宋体"/>
          <w:color w:val="000000" w:themeColor="text1"/>
          <w14:textFill>
            <w14:solidFill>
              <w14:schemeClr w14:val="tx1"/>
            </w14:solidFill>
          </w14:textFill>
        </w:rPr>
        <w:t>增加，本次评价重点关注依托现有</w:t>
      </w:r>
      <w:r>
        <w:rPr>
          <w:rFonts w:ascii="宋体" w:hAnsi="宋体"/>
          <w:color w:val="000000" w:themeColor="text1"/>
          <w14:textFill>
            <w14:solidFill>
              <w14:schemeClr w14:val="tx1"/>
            </w14:solidFill>
          </w14:textFill>
        </w:rPr>
        <w:t>措施</w:t>
      </w:r>
      <w:r>
        <w:rPr>
          <w:rFonts w:hint="eastAsia" w:ascii="宋体" w:hAnsi="宋体"/>
          <w:color w:val="000000" w:themeColor="text1"/>
          <w14:textFill>
            <w14:solidFill>
              <w14:schemeClr w14:val="tx1"/>
            </w14:solidFill>
          </w14:textFill>
        </w:rPr>
        <w:t>能否有效处理新增的各类污染物，确保达标排放。</w:t>
      </w:r>
    </w:p>
    <w:p w14:paraId="3B8DE27F">
      <w:pPr>
        <w:ind w:firstLine="480" w:firstLineChars="0"/>
        <w:rPr>
          <w:color w:val="000000" w:themeColor="text1"/>
          <w14:textFill>
            <w14:solidFill>
              <w14:schemeClr w14:val="tx1"/>
            </w14:solidFill>
          </w14:textFill>
        </w:rPr>
      </w:pPr>
      <w:r>
        <w:rPr>
          <w:rFonts w:ascii="宋体" w:hAnsi="宋体"/>
          <w:color w:val="000000" w:themeColor="text1"/>
          <w14:textFill>
            <w14:solidFill>
              <w14:schemeClr w14:val="tx1"/>
            </w14:solidFill>
          </w14:textFill>
        </w:rPr>
        <w:fldChar w:fldCharType="begin"/>
      </w:r>
      <w:r>
        <w:rPr>
          <w:rFonts w:ascii="宋体" w:hAnsi="宋体"/>
          <w:color w:val="000000" w:themeColor="text1"/>
          <w14:textFill>
            <w14:solidFill>
              <w14:schemeClr w14:val="tx1"/>
            </w14:solidFill>
          </w14:textFill>
        </w:rPr>
        <w:instrText xml:space="preserve"> </w:instrText>
      </w:r>
      <w:r>
        <w:rPr>
          <w:rFonts w:hint="eastAsia" w:ascii="宋体" w:hAnsi="宋体"/>
          <w:color w:val="000000" w:themeColor="text1"/>
          <w14:textFill>
            <w14:solidFill>
              <w14:schemeClr w14:val="tx1"/>
            </w14:solidFill>
          </w14:textFill>
        </w:rPr>
        <w:instrText xml:space="preserve">= 1 \* GB3</w:instrText>
      </w:r>
      <w:r>
        <w:rPr>
          <w:rFonts w:ascii="宋体" w:hAnsi="宋体"/>
          <w:color w:val="000000" w:themeColor="text1"/>
          <w14:textFill>
            <w14:solidFill>
              <w14:schemeClr w14:val="tx1"/>
            </w14:solidFill>
          </w14:textFill>
        </w:rPr>
        <w:instrText xml:space="preserve"> </w:instrText>
      </w:r>
      <w:r>
        <w:rPr>
          <w:rFonts w:ascii="宋体" w:hAnsi="宋体"/>
          <w:color w:val="000000" w:themeColor="text1"/>
          <w14:textFill>
            <w14:solidFill>
              <w14:schemeClr w14:val="tx1"/>
            </w14:solidFill>
          </w14:textFill>
        </w:rPr>
        <w:fldChar w:fldCharType="separate"/>
      </w:r>
      <w:r>
        <w:rPr>
          <w:rFonts w:hint="eastAsia" w:ascii="宋体" w:hAnsi="宋体"/>
          <w:color w:val="000000" w:themeColor="text1"/>
          <w14:textFill>
            <w14:solidFill>
              <w14:schemeClr w14:val="tx1"/>
            </w14:solidFill>
          </w14:textFill>
        </w:rPr>
        <w:t>①</w:t>
      </w:r>
      <w:r>
        <w:rPr>
          <w:rFonts w:ascii="宋体" w:hAnsi="宋体"/>
          <w:color w:val="000000" w:themeColor="text1"/>
          <w14:textFill>
            <w14:solidFill>
              <w14:schemeClr w14:val="tx1"/>
            </w14:solidFill>
          </w14:textFill>
        </w:rPr>
        <w:fldChar w:fldCharType="end"/>
      </w:r>
      <w:r>
        <w:rPr>
          <w:rFonts w:hint="eastAsia" w:ascii="宋体" w:hAnsi="宋体"/>
          <w:color w:val="000000" w:themeColor="text1"/>
          <w14:textFill>
            <w14:solidFill>
              <w14:schemeClr w14:val="tx1"/>
            </w14:solidFill>
          </w14:textFill>
        </w:rPr>
        <w:t>废气方面，要关注新增装卸货种在装卸过程中挥发产生的有机废气，分析依托废气处理设施的处理能力与处理效率，判断其是否能满足新增废气量的处理需求，避免对周边大气环境造成不良影响，如导致区域空气质量下降、产生异味扰民等问题。</w:t>
      </w:r>
    </w:p>
    <w:p w14:paraId="3F58DB70">
      <w:pPr>
        <w:ind w:firstLine="480"/>
        <w:rPr>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②在废水处理上，新增危险货物装卸作业管道清洗水等，分析依托现有污水处理设施可行性。</w:t>
      </w:r>
    </w:p>
    <w:p w14:paraId="202C662D">
      <w:pPr>
        <w:ind w:firstLine="480"/>
        <w:rPr>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③</w:t>
      </w:r>
      <w:r>
        <w:rPr>
          <w:rFonts w:ascii="宋体" w:hAnsi="宋体"/>
          <w:color w:val="000000" w:themeColor="text1"/>
          <w14:textFill>
            <w14:solidFill>
              <w14:schemeClr w14:val="tx1"/>
            </w14:solidFill>
          </w14:textFill>
        </w:rPr>
        <w:t>项目新增危险货种</w:t>
      </w:r>
      <w:r>
        <w:rPr>
          <w:rFonts w:hint="eastAsia" w:ascii="宋体" w:hAnsi="宋体"/>
          <w:color w:val="000000" w:themeColor="text1"/>
          <w14:textFill>
            <w14:solidFill>
              <w14:schemeClr w14:val="tx1"/>
            </w14:solidFill>
          </w14:textFill>
        </w:rPr>
        <w:t>装卸</w:t>
      </w:r>
      <w:r>
        <w:rPr>
          <w:rFonts w:ascii="宋体" w:hAnsi="宋体"/>
          <w:color w:val="000000" w:themeColor="text1"/>
          <w14:textFill>
            <w14:solidFill>
              <w14:schemeClr w14:val="tx1"/>
            </w14:solidFill>
          </w14:textFill>
        </w:rPr>
        <w:t>可能发生的环境风险事故主要包括化学品泄漏和火灾爆炸事故。陆域化学品泄漏及火灾爆炸风险事故对周边环境空气及敏感点将造成不利影响，但影响较小，不会造成人员伤亡；化学品泄漏入海可能扩散至项目周边生态敏感区。项目不设置危险货物集装箱堆场，码头按要求配备应急设备和应急物资，与附近企业和钦州港建立应急联动机制，制定事故应急预案，防控事故污染对环境的危害，项目环境风险可防可控</w:t>
      </w:r>
      <w:r>
        <w:rPr>
          <w:rFonts w:hint="eastAsia" w:ascii="宋体" w:hAnsi="宋体"/>
          <w:color w:val="000000" w:themeColor="text1"/>
          <w14:textFill>
            <w14:solidFill>
              <w14:schemeClr w14:val="tx1"/>
            </w14:solidFill>
          </w14:textFill>
        </w:rPr>
        <w:t>。</w:t>
      </w:r>
    </w:p>
    <w:p w14:paraId="49B5EDBA">
      <w:pPr>
        <w:ind w:firstLine="482"/>
        <w:rPr>
          <w:b/>
          <w:bCs/>
          <w:color w:val="000000" w:themeColor="text1"/>
          <w14:textFill>
            <w14:solidFill>
              <w14:schemeClr w14:val="tx1"/>
            </w14:solidFill>
          </w14:textFill>
        </w:rPr>
      </w:pPr>
      <w:r>
        <w:rPr>
          <w:b/>
          <w:bCs/>
          <w:color w:val="000000" w:themeColor="text1"/>
          <w14:textFill>
            <w14:solidFill>
              <w14:schemeClr w14:val="tx1"/>
            </w14:solidFill>
          </w14:textFill>
        </w:rPr>
        <w:t>八、环境影响评价主要结论</w:t>
      </w:r>
    </w:p>
    <w:p w14:paraId="77A1F4E5">
      <w:pPr>
        <w:ind w:firstLine="480"/>
        <w:rPr>
          <w:bCs/>
          <w:color w:val="000000" w:themeColor="text1"/>
          <w14:textFill>
            <w14:solidFill>
              <w14:schemeClr w14:val="tx1"/>
            </w14:solidFill>
          </w14:textFill>
        </w:rPr>
      </w:pPr>
      <w:r>
        <w:rPr>
          <w:bCs/>
          <w:color w:val="000000" w:themeColor="text1"/>
          <w14:textFill>
            <w14:solidFill>
              <w14:schemeClr w14:val="tx1"/>
            </w14:solidFill>
          </w14:textFill>
        </w:rPr>
        <w:t>钦</w:t>
      </w:r>
      <w:r>
        <w:rPr>
          <w:rFonts w:hint="eastAsia" w:ascii="宋体" w:hAnsi="宋体"/>
          <w:color w:val="000000" w:themeColor="text1"/>
          <w14:textFill>
            <w14:solidFill>
              <w14:schemeClr w14:val="tx1"/>
            </w14:solidFill>
          </w14:textFill>
        </w:rPr>
        <w:t>北部湾港钦州港域金谷港区金鼓江作业区14号泊位扩建工程（新增液硫、苯乙烯等装卸设施）</w:t>
      </w:r>
      <w:r>
        <w:rPr>
          <w:bCs/>
          <w:color w:val="000000" w:themeColor="text1"/>
          <w14:textFill>
            <w14:solidFill>
              <w14:schemeClr w14:val="tx1"/>
            </w14:solidFill>
          </w14:textFill>
        </w:rPr>
        <w:t>符合国家产业政策，选址和规模符合《</w:t>
      </w:r>
      <w:r>
        <w:rPr>
          <w:rFonts w:hint="eastAsia"/>
          <w:bCs/>
          <w:color w:val="000000" w:themeColor="text1"/>
          <w:lang w:val="en-US" w:eastAsia="zh-CN"/>
          <w14:textFill>
            <w14:solidFill>
              <w14:schemeClr w14:val="tx1"/>
            </w14:solidFill>
          </w14:textFill>
        </w:rPr>
        <w:t>北部湾</w:t>
      </w:r>
      <w:r>
        <w:rPr>
          <w:bCs/>
          <w:color w:val="000000" w:themeColor="text1"/>
          <w14:textFill>
            <w14:solidFill>
              <w14:schemeClr w14:val="tx1"/>
            </w14:solidFill>
          </w14:textFill>
        </w:rPr>
        <w:t>港总体规划》等相关规划要求。项目拟采取的污染防治措施技术可行，依托工程具备环境可行性，项目正常情况下外排的污染物对环境的影响可控制在环境可接受程度；在落实各项环保措施和本评价所列出的各项环境风险防范措施、有效的应急预案，加强风险管理的条件下，项目环境风险是可防可控的。工程在落实报告书提出的各项环保措施以及环境风险防范措施，确保污染治理设施稳定运行、污染物达标排放，环境影响可以接受。</w:t>
      </w:r>
    </w:p>
    <w:p w14:paraId="3F4E3DD4">
      <w:pPr>
        <w:ind w:firstLine="602"/>
        <w:jc w:val="center"/>
        <w:rPr>
          <w:b/>
          <w:bCs/>
          <w:color w:val="000000" w:themeColor="text1"/>
          <w:sz w:val="30"/>
          <w:szCs w:val="30"/>
          <w14:textFill>
            <w14:solidFill>
              <w14:schemeClr w14:val="tx1"/>
            </w14:solidFill>
          </w14:textFill>
        </w:rPr>
        <w:sectPr>
          <w:footerReference r:id="rId12" w:type="default"/>
          <w:type w:val="continuous"/>
          <w:pgSz w:w="11906" w:h="16838"/>
          <w:pgMar w:top="1440" w:right="1800" w:bottom="1440" w:left="1800" w:header="851" w:footer="992" w:gutter="0"/>
          <w:pgBorders>
            <w:top w:val="none" w:sz="0" w:space="0"/>
            <w:left w:val="none" w:sz="0" w:space="0"/>
            <w:bottom w:val="none" w:sz="0" w:space="0"/>
            <w:right w:val="none" w:sz="0" w:space="0"/>
          </w:pgBorders>
          <w:pgNumType w:fmt="upperRoman" w:start="4"/>
          <w:cols w:space="720" w:num="1"/>
          <w:docGrid w:type="lines" w:linePitch="312" w:charSpace="0"/>
        </w:sectPr>
      </w:pPr>
    </w:p>
    <w:p w14:paraId="2DC0AE2C">
      <w:pPr>
        <w:spacing w:line="440" w:lineRule="exact"/>
        <w:ind w:firstLine="602"/>
        <w:jc w:val="center"/>
        <w:rPr>
          <w:color w:val="000000" w:themeColor="text1"/>
          <w14:textFill>
            <w14:solidFill>
              <w14:schemeClr w14:val="tx1"/>
            </w14:solidFill>
          </w14:textFill>
        </w:rPr>
      </w:pPr>
      <w:r>
        <w:rPr>
          <w:b/>
          <w:bCs/>
          <w:color w:val="000000" w:themeColor="text1"/>
          <w:sz w:val="30"/>
          <w:szCs w:val="30"/>
          <w:lang w:val="zh-CN"/>
          <w14:textFill>
            <w14:solidFill>
              <w14:schemeClr w14:val="tx1"/>
            </w14:solidFill>
          </w14:textFill>
        </w:rPr>
        <w:t>目录</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TOC \o "1-3" \h \z \u </w:instrText>
      </w:r>
      <w:r>
        <w:rPr>
          <w:color w:val="000000" w:themeColor="text1"/>
          <w14:textFill>
            <w14:solidFill>
              <w14:schemeClr w14:val="tx1"/>
            </w14:solidFill>
          </w14:textFill>
        </w:rPr>
        <w:fldChar w:fldCharType="separate"/>
      </w:r>
    </w:p>
    <w:p w14:paraId="721D25E5">
      <w:pPr>
        <w:pStyle w:val="31"/>
        <w:tabs>
          <w:tab w:val="right" w:leader="dot" w:pos="8296"/>
        </w:tabs>
        <w:spacing w:line="440" w:lineRule="exact"/>
        <w:ind w:firstLine="480"/>
        <w:rPr>
          <w:rFonts w:asciiTheme="minorHAnsi" w:hAnsiTheme="minorHAnsi" w:eastAsiaTheme="minorEastAsia" w:cstheme="minorBidi"/>
          <w:color w:val="000000" w:themeColor="text1"/>
          <w:sz w:val="21"/>
          <w:szCs w:val="22"/>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"_Toc216620319" </w:instrText>
      </w:r>
      <w:r>
        <w:rPr>
          <w:color w:val="000000" w:themeColor="text1"/>
          <w14:textFill>
            <w14:solidFill>
              <w14:schemeClr w14:val="tx1"/>
            </w14:solidFill>
          </w14:textFill>
        </w:rPr>
        <w:fldChar w:fldCharType="separate"/>
      </w:r>
      <w:r>
        <w:rPr>
          <w:rStyle w:val="49"/>
          <w:rFonts w:hint="eastAsia"/>
          <w:color w:val="000000" w:themeColor="text1"/>
          <w14:textFill>
            <w14:solidFill>
              <w14:schemeClr w14:val="tx1"/>
            </w14:solidFill>
          </w14:textFill>
        </w:rPr>
        <w:t>概</w:t>
      </w:r>
      <w:r>
        <w:rPr>
          <w:rStyle w:val="49"/>
          <w:color w:val="000000" w:themeColor="text1"/>
          <w14:textFill>
            <w14:solidFill>
              <w14:schemeClr w14:val="tx1"/>
            </w14:solidFill>
          </w14:textFill>
        </w:rPr>
        <w:t xml:space="preserve"> </w:t>
      </w:r>
      <w:r>
        <w:rPr>
          <w:rStyle w:val="49"/>
          <w:rFonts w:hint="eastAsia"/>
          <w:color w:val="000000" w:themeColor="text1"/>
          <w14:textFill>
            <w14:solidFill>
              <w14:schemeClr w14:val="tx1"/>
            </w14:solidFill>
          </w14:textFill>
        </w:rPr>
        <w:t>述</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_Toc216620319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III</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7F4AA10F">
      <w:pPr>
        <w:pStyle w:val="31"/>
        <w:tabs>
          <w:tab w:val="right" w:leader="dot" w:pos="8296"/>
        </w:tabs>
        <w:spacing w:line="440" w:lineRule="exact"/>
        <w:ind w:firstLine="480"/>
        <w:rPr>
          <w:rFonts w:asciiTheme="minorHAnsi" w:hAnsiTheme="minorHAnsi" w:eastAsiaTheme="minorEastAsia" w:cstheme="minorBidi"/>
          <w:color w:val="000000" w:themeColor="text1"/>
          <w:sz w:val="21"/>
          <w:szCs w:val="22"/>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"_Toc216620321" </w:instrText>
      </w:r>
      <w:r>
        <w:rPr>
          <w:color w:val="000000" w:themeColor="text1"/>
          <w14:textFill>
            <w14:solidFill>
              <w14:schemeClr w14:val="tx1"/>
            </w14:solidFill>
          </w14:textFill>
        </w:rPr>
        <w:fldChar w:fldCharType="separate"/>
      </w:r>
      <w:r>
        <w:rPr>
          <w:rStyle w:val="49"/>
          <w:color w:val="000000" w:themeColor="text1"/>
          <w14:textFill>
            <w14:solidFill>
              <w14:schemeClr w14:val="tx1"/>
            </w14:solidFill>
          </w14:textFill>
        </w:rPr>
        <w:t>1</w:t>
      </w:r>
      <w:r>
        <w:rPr>
          <w:rStyle w:val="49"/>
          <w:rFonts w:hint="eastAsia"/>
          <w:color w:val="000000" w:themeColor="text1"/>
          <w14:textFill>
            <w14:solidFill>
              <w14:schemeClr w14:val="tx1"/>
            </w14:solidFill>
          </w14:textFill>
        </w:rPr>
        <w:t xml:space="preserve"> 总则</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_Toc216620321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- 1 -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0CB4D5B9">
      <w:pPr>
        <w:pStyle w:val="36"/>
        <w:tabs>
          <w:tab w:val="right" w:leader="dot" w:pos="8296"/>
        </w:tabs>
        <w:spacing w:line="440" w:lineRule="exact"/>
        <w:ind w:left="480" w:firstLine="480"/>
        <w:rPr>
          <w:rFonts w:asciiTheme="minorHAnsi" w:hAnsiTheme="minorHAnsi" w:eastAsiaTheme="minorEastAsia" w:cstheme="minorBidi"/>
          <w:color w:val="000000" w:themeColor="text1"/>
          <w:sz w:val="21"/>
          <w:szCs w:val="22"/>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"_Toc216620322" </w:instrText>
      </w:r>
      <w:r>
        <w:rPr>
          <w:color w:val="000000" w:themeColor="text1"/>
          <w14:textFill>
            <w14:solidFill>
              <w14:schemeClr w14:val="tx1"/>
            </w14:solidFill>
          </w14:textFill>
        </w:rPr>
        <w:fldChar w:fldCharType="separate"/>
      </w:r>
      <w:r>
        <w:rPr>
          <w:rStyle w:val="49"/>
          <w:b/>
          <w:bCs/>
          <w:color w:val="000000" w:themeColor="text1"/>
          <w14:textFill>
            <w14:solidFill>
              <w14:schemeClr w14:val="tx1"/>
            </w14:solidFill>
          </w14:textFill>
        </w:rPr>
        <w:t>1.1</w:t>
      </w:r>
      <w:r>
        <w:rPr>
          <w:rStyle w:val="49"/>
          <w:rFonts w:hint="eastAsia"/>
          <w:color w:val="000000" w:themeColor="text1"/>
          <w14:textFill>
            <w14:solidFill>
              <w14:schemeClr w14:val="tx1"/>
            </w14:solidFill>
          </w14:textFill>
        </w:rPr>
        <w:t xml:space="preserve"> 编制依据</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_Toc216620322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- 1 -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013A70D5">
      <w:pPr>
        <w:pStyle w:val="36"/>
        <w:tabs>
          <w:tab w:val="right" w:leader="dot" w:pos="8296"/>
        </w:tabs>
        <w:spacing w:line="440" w:lineRule="exact"/>
        <w:ind w:left="480" w:firstLine="480"/>
        <w:rPr>
          <w:rFonts w:asciiTheme="minorHAnsi" w:hAnsiTheme="minorHAnsi" w:eastAsiaTheme="minorEastAsia" w:cstheme="minorBidi"/>
          <w:color w:val="000000" w:themeColor="text1"/>
          <w:sz w:val="21"/>
          <w:szCs w:val="22"/>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"_Toc216620328" </w:instrText>
      </w:r>
      <w:r>
        <w:rPr>
          <w:color w:val="000000" w:themeColor="text1"/>
          <w14:textFill>
            <w14:solidFill>
              <w14:schemeClr w14:val="tx1"/>
            </w14:solidFill>
          </w14:textFill>
        </w:rPr>
        <w:fldChar w:fldCharType="separate"/>
      </w:r>
      <w:r>
        <w:rPr>
          <w:rStyle w:val="49"/>
          <w:b/>
          <w:bCs/>
          <w:color w:val="000000" w:themeColor="text1"/>
          <w14:textFill>
            <w14:solidFill>
              <w14:schemeClr w14:val="tx1"/>
            </w14:solidFill>
          </w14:textFill>
        </w:rPr>
        <w:t>1.2</w:t>
      </w:r>
      <w:r>
        <w:rPr>
          <w:rStyle w:val="49"/>
          <w:rFonts w:hint="eastAsia"/>
          <w:color w:val="000000" w:themeColor="text1"/>
          <w14:textFill>
            <w14:solidFill>
              <w14:schemeClr w14:val="tx1"/>
            </w14:solidFill>
          </w14:textFill>
        </w:rPr>
        <w:t xml:space="preserve"> 评价程序</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_Toc216620328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- 6 -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11CC6352">
      <w:pPr>
        <w:pStyle w:val="36"/>
        <w:tabs>
          <w:tab w:val="right" w:leader="dot" w:pos="8296"/>
        </w:tabs>
        <w:spacing w:line="440" w:lineRule="exact"/>
        <w:ind w:left="480" w:firstLine="480"/>
        <w:rPr>
          <w:rFonts w:asciiTheme="minorHAnsi" w:hAnsiTheme="minorHAnsi" w:eastAsiaTheme="minorEastAsia" w:cstheme="minorBidi"/>
          <w:color w:val="000000" w:themeColor="text1"/>
          <w:sz w:val="21"/>
          <w:szCs w:val="22"/>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"_Toc216620329" </w:instrText>
      </w:r>
      <w:r>
        <w:rPr>
          <w:color w:val="000000" w:themeColor="text1"/>
          <w14:textFill>
            <w14:solidFill>
              <w14:schemeClr w14:val="tx1"/>
            </w14:solidFill>
          </w14:textFill>
        </w:rPr>
        <w:fldChar w:fldCharType="separate"/>
      </w:r>
      <w:r>
        <w:rPr>
          <w:rStyle w:val="49"/>
          <w:b/>
          <w:bCs/>
          <w:color w:val="000000" w:themeColor="text1"/>
          <w14:textFill>
            <w14:solidFill>
              <w14:schemeClr w14:val="tx1"/>
            </w14:solidFill>
          </w14:textFill>
        </w:rPr>
        <w:t>1.3</w:t>
      </w:r>
      <w:r>
        <w:rPr>
          <w:rStyle w:val="49"/>
          <w:rFonts w:hint="eastAsia"/>
          <w:color w:val="000000" w:themeColor="text1"/>
          <w14:textFill>
            <w14:solidFill>
              <w14:schemeClr w14:val="tx1"/>
            </w14:solidFill>
          </w14:textFill>
        </w:rPr>
        <w:t xml:space="preserve"> 环境影响识别与评价因子筛选</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_Toc216620329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- 7 -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6CA8F1ED">
      <w:pPr>
        <w:pStyle w:val="36"/>
        <w:tabs>
          <w:tab w:val="right" w:leader="dot" w:pos="8296"/>
        </w:tabs>
        <w:spacing w:line="440" w:lineRule="exact"/>
        <w:ind w:left="480" w:firstLine="480"/>
        <w:rPr>
          <w:rFonts w:asciiTheme="minorHAnsi" w:hAnsiTheme="minorHAnsi" w:eastAsiaTheme="minorEastAsia" w:cstheme="minorBidi"/>
          <w:color w:val="000000" w:themeColor="text1"/>
          <w:sz w:val="21"/>
          <w:szCs w:val="22"/>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"_Toc216620332" </w:instrText>
      </w:r>
      <w:r>
        <w:rPr>
          <w:color w:val="000000" w:themeColor="text1"/>
          <w14:textFill>
            <w14:solidFill>
              <w14:schemeClr w14:val="tx1"/>
            </w14:solidFill>
          </w14:textFill>
        </w:rPr>
        <w:fldChar w:fldCharType="separate"/>
      </w:r>
      <w:r>
        <w:rPr>
          <w:rStyle w:val="49"/>
          <w:b/>
          <w:bCs/>
          <w:color w:val="000000" w:themeColor="text1"/>
          <w14:textFill>
            <w14:solidFill>
              <w14:schemeClr w14:val="tx1"/>
            </w14:solidFill>
          </w14:textFill>
        </w:rPr>
        <w:t>1.4</w:t>
      </w:r>
      <w:r>
        <w:rPr>
          <w:rStyle w:val="49"/>
          <w:rFonts w:hint="eastAsia"/>
          <w:color w:val="000000" w:themeColor="text1"/>
          <w14:textFill>
            <w14:solidFill>
              <w14:schemeClr w14:val="tx1"/>
            </w14:solidFill>
          </w14:textFill>
        </w:rPr>
        <w:t xml:space="preserve"> 环境功能区划及评价标准</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_Toc216620332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- 9 -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6CBEF4C2">
      <w:pPr>
        <w:pStyle w:val="36"/>
        <w:tabs>
          <w:tab w:val="right" w:leader="dot" w:pos="8296"/>
        </w:tabs>
        <w:spacing w:line="440" w:lineRule="exact"/>
        <w:ind w:left="480" w:firstLine="480"/>
        <w:rPr>
          <w:rFonts w:asciiTheme="minorHAnsi" w:hAnsiTheme="minorHAnsi" w:eastAsiaTheme="minorEastAsia" w:cstheme="minorBidi"/>
          <w:color w:val="000000" w:themeColor="text1"/>
          <w:sz w:val="21"/>
          <w:szCs w:val="22"/>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"_Toc216620336" </w:instrText>
      </w:r>
      <w:r>
        <w:rPr>
          <w:color w:val="000000" w:themeColor="text1"/>
          <w14:textFill>
            <w14:solidFill>
              <w14:schemeClr w14:val="tx1"/>
            </w14:solidFill>
          </w14:textFill>
        </w:rPr>
        <w:fldChar w:fldCharType="separate"/>
      </w:r>
      <w:r>
        <w:rPr>
          <w:rStyle w:val="49"/>
          <w:b/>
          <w:bCs/>
          <w:color w:val="000000" w:themeColor="text1"/>
          <w14:textFill>
            <w14:solidFill>
              <w14:schemeClr w14:val="tx1"/>
            </w14:solidFill>
          </w14:textFill>
        </w:rPr>
        <w:t>1.5</w:t>
      </w:r>
      <w:r>
        <w:rPr>
          <w:rStyle w:val="49"/>
          <w:rFonts w:hint="eastAsia"/>
          <w:color w:val="000000" w:themeColor="text1"/>
          <w14:textFill>
            <w14:solidFill>
              <w14:schemeClr w14:val="tx1"/>
            </w14:solidFill>
          </w14:textFill>
        </w:rPr>
        <w:t xml:space="preserve"> 评价工作等级和评价范围</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_Toc216620336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- 16 -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36B4B195">
      <w:pPr>
        <w:pStyle w:val="36"/>
        <w:tabs>
          <w:tab w:val="right" w:leader="dot" w:pos="8296"/>
        </w:tabs>
        <w:spacing w:line="440" w:lineRule="exact"/>
        <w:ind w:left="480" w:firstLine="480"/>
        <w:rPr>
          <w:rFonts w:asciiTheme="minorHAnsi" w:hAnsiTheme="minorHAnsi" w:eastAsiaTheme="minorEastAsia" w:cstheme="minorBidi"/>
          <w:color w:val="000000" w:themeColor="text1"/>
          <w:sz w:val="21"/>
          <w:szCs w:val="22"/>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"_Toc216620346" </w:instrText>
      </w:r>
      <w:r>
        <w:rPr>
          <w:color w:val="000000" w:themeColor="text1"/>
          <w14:textFill>
            <w14:solidFill>
              <w14:schemeClr w14:val="tx1"/>
            </w14:solidFill>
          </w14:textFill>
        </w:rPr>
        <w:fldChar w:fldCharType="separate"/>
      </w:r>
      <w:r>
        <w:rPr>
          <w:rStyle w:val="49"/>
          <w:b/>
          <w:bCs/>
          <w:color w:val="000000" w:themeColor="text1"/>
          <w14:textFill>
            <w14:solidFill>
              <w14:schemeClr w14:val="tx1"/>
            </w14:solidFill>
          </w14:textFill>
        </w:rPr>
        <w:t>1.6</w:t>
      </w:r>
      <w:r>
        <w:rPr>
          <w:rStyle w:val="49"/>
          <w:rFonts w:hint="eastAsia"/>
          <w:color w:val="000000" w:themeColor="text1"/>
          <w14:textFill>
            <w14:solidFill>
              <w14:schemeClr w14:val="tx1"/>
            </w14:solidFill>
          </w14:textFill>
        </w:rPr>
        <w:t xml:space="preserve"> 主要环境保护目标</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_Toc216620346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- 21 -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19A5CBF8">
      <w:pPr>
        <w:pStyle w:val="31"/>
        <w:tabs>
          <w:tab w:val="right" w:leader="dot" w:pos="8296"/>
        </w:tabs>
        <w:spacing w:line="440" w:lineRule="exact"/>
        <w:ind w:firstLine="480"/>
        <w:rPr>
          <w:rFonts w:asciiTheme="minorHAnsi" w:hAnsiTheme="minorHAnsi" w:eastAsiaTheme="minorEastAsia" w:cstheme="minorBidi"/>
          <w:color w:val="000000" w:themeColor="text1"/>
          <w:sz w:val="21"/>
          <w:szCs w:val="22"/>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"_Toc216620352" </w:instrText>
      </w:r>
      <w:r>
        <w:rPr>
          <w:color w:val="000000" w:themeColor="text1"/>
          <w14:textFill>
            <w14:solidFill>
              <w14:schemeClr w14:val="tx1"/>
            </w14:solidFill>
          </w14:textFill>
        </w:rPr>
        <w:fldChar w:fldCharType="separate"/>
      </w:r>
      <w:r>
        <w:rPr>
          <w:rStyle w:val="49"/>
          <w:color w:val="000000" w:themeColor="text1"/>
          <w14:textFill>
            <w14:solidFill>
              <w14:schemeClr w14:val="tx1"/>
            </w14:solidFill>
          </w14:textFill>
        </w:rPr>
        <w:t>2</w:t>
      </w:r>
      <w:r>
        <w:rPr>
          <w:rStyle w:val="49"/>
          <w:rFonts w:hint="eastAsia"/>
          <w:color w:val="000000" w:themeColor="text1"/>
          <w14:textFill>
            <w14:solidFill>
              <w14:schemeClr w14:val="tx1"/>
            </w14:solidFill>
          </w14:textFill>
        </w:rPr>
        <w:t xml:space="preserve"> 建设项目概况与工程分析</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_Toc216620352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- 23 -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7ECE90AD">
      <w:pPr>
        <w:pStyle w:val="36"/>
        <w:tabs>
          <w:tab w:val="right" w:leader="dot" w:pos="8296"/>
        </w:tabs>
        <w:spacing w:line="440" w:lineRule="exact"/>
        <w:ind w:left="480" w:firstLine="480"/>
        <w:rPr>
          <w:rFonts w:asciiTheme="minorHAnsi" w:hAnsiTheme="minorHAnsi" w:eastAsiaTheme="minorEastAsia" w:cstheme="minorBidi"/>
          <w:color w:val="000000" w:themeColor="text1"/>
          <w:sz w:val="21"/>
          <w:szCs w:val="22"/>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"_Toc216620353" </w:instrText>
      </w:r>
      <w:r>
        <w:rPr>
          <w:color w:val="000000" w:themeColor="text1"/>
          <w14:textFill>
            <w14:solidFill>
              <w14:schemeClr w14:val="tx1"/>
            </w14:solidFill>
          </w14:textFill>
        </w:rPr>
        <w:fldChar w:fldCharType="separate"/>
      </w:r>
      <w:r>
        <w:rPr>
          <w:rStyle w:val="49"/>
          <w:b/>
          <w:bCs/>
          <w:color w:val="000000" w:themeColor="text1"/>
          <w14:textFill>
            <w14:solidFill>
              <w14:schemeClr w14:val="tx1"/>
            </w14:solidFill>
          </w14:textFill>
        </w:rPr>
        <w:t>2.1</w:t>
      </w:r>
      <w:r>
        <w:rPr>
          <w:rStyle w:val="49"/>
          <w:rFonts w:hint="eastAsia"/>
          <w:color w:val="000000" w:themeColor="text1"/>
          <w14:textFill>
            <w14:solidFill>
              <w14:schemeClr w14:val="tx1"/>
            </w14:solidFill>
          </w14:textFill>
        </w:rPr>
        <w:t xml:space="preserve"> 建设项目概况</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_Toc216620353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- 23 -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7FF38B42">
      <w:pPr>
        <w:pStyle w:val="36"/>
        <w:tabs>
          <w:tab w:val="right" w:leader="dot" w:pos="8296"/>
        </w:tabs>
        <w:spacing w:line="440" w:lineRule="exact"/>
        <w:ind w:left="480" w:firstLine="480"/>
        <w:rPr>
          <w:rFonts w:asciiTheme="minorHAnsi" w:hAnsiTheme="minorHAnsi" w:eastAsiaTheme="minorEastAsia" w:cstheme="minorBidi"/>
          <w:color w:val="000000" w:themeColor="text1"/>
          <w:sz w:val="21"/>
          <w:szCs w:val="22"/>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"_Toc216620356" </w:instrText>
      </w:r>
      <w:r>
        <w:rPr>
          <w:color w:val="000000" w:themeColor="text1"/>
          <w14:textFill>
            <w14:solidFill>
              <w14:schemeClr w14:val="tx1"/>
            </w14:solidFill>
          </w14:textFill>
        </w:rPr>
        <w:fldChar w:fldCharType="separate"/>
      </w:r>
      <w:r>
        <w:rPr>
          <w:rStyle w:val="49"/>
          <w:b/>
          <w:bCs/>
          <w:color w:val="000000" w:themeColor="text1"/>
          <w14:textFill>
            <w14:solidFill>
              <w14:schemeClr w14:val="tx1"/>
            </w14:solidFill>
          </w14:textFill>
        </w:rPr>
        <w:t>2.2</w:t>
      </w:r>
      <w:r>
        <w:rPr>
          <w:rStyle w:val="49"/>
          <w:rFonts w:hint="eastAsia"/>
          <w:color w:val="000000" w:themeColor="text1"/>
          <w14:textFill>
            <w14:solidFill>
              <w14:schemeClr w14:val="tx1"/>
            </w14:solidFill>
          </w14:textFill>
        </w:rPr>
        <w:t xml:space="preserve"> 工程建设方案</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_Toc216620356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- 32 -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1D708E95">
      <w:pPr>
        <w:pStyle w:val="36"/>
        <w:tabs>
          <w:tab w:val="right" w:leader="dot" w:pos="8296"/>
        </w:tabs>
        <w:spacing w:line="440" w:lineRule="exact"/>
        <w:ind w:left="480" w:firstLine="480"/>
        <w:rPr>
          <w:rFonts w:asciiTheme="minorHAnsi" w:hAnsiTheme="minorHAnsi" w:eastAsiaTheme="minorEastAsia" w:cstheme="minorBidi"/>
          <w:color w:val="000000" w:themeColor="text1"/>
          <w:sz w:val="21"/>
          <w:szCs w:val="22"/>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"_Toc216620521" </w:instrText>
      </w:r>
      <w:r>
        <w:rPr>
          <w:color w:val="000000" w:themeColor="text1"/>
          <w14:textFill>
            <w14:solidFill>
              <w14:schemeClr w14:val="tx1"/>
            </w14:solidFill>
          </w14:textFill>
        </w:rPr>
        <w:fldChar w:fldCharType="separate"/>
      </w:r>
      <w:r>
        <w:rPr>
          <w:rStyle w:val="49"/>
          <w:b/>
          <w:bCs/>
          <w:color w:val="000000" w:themeColor="text1"/>
          <w14:textFill>
            <w14:solidFill>
              <w14:schemeClr w14:val="tx1"/>
            </w14:solidFill>
          </w14:textFill>
        </w:rPr>
        <w:t>2.3</w:t>
      </w:r>
      <w:r>
        <w:rPr>
          <w:rStyle w:val="49"/>
          <w:rFonts w:hint="eastAsia"/>
          <w:color w:val="000000" w:themeColor="text1"/>
          <w14:textFill>
            <w14:solidFill>
              <w14:schemeClr w14:val="tx1"/>
            </w14:solidFill>
          </w14:textFill>
        </w:rPr>
        <w:t xml:space="preserve"> 工程分析</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_Toc216620521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- 39 -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1F4F0BC4">
      <w:pPr>
        <w:pStyle w:val="31"/>
        <w:tabs>
          <w:tab w:val="right" w:leader="dot" w:pos="8296"/>
        </w:tabs>
        <w:spacing w:line="440" w:lineRule="exact"/>
        <w:ind w:firstLine="480"/>
        <w:rPr>
          <w:rFonts w:asciiTheme="minorHAnsi" w:hAnsiTheme="minorHAnsi" w:eastAsiaTheme="minorEastAsia" w:cstheme="minorBidi"/>
          <w:color w:val="000000" w:themeColor="text1"/>
          <w:sz w:val="21"/>
          <w:szCs w:val="22"/>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"_Toc216620526" </w:instrText>
      </w:r>
      <w:r>
        <w:rPr>
          <w:color w:val="000000" w:themeColor="text1"/>
          <w14:textFill>
            <w14:solidFill>
              <w14:schemeClr w14:val="tx1"/>
            </w14:solidFill>
          </w14:textFill>
        </w:rPr>
        <w:fldChar w:fldCharType="separate"/>
      </w:r>
      <w:r>
        <w:rPr>
          <w:rStyle w:val="49"/>
          <w:color w:val="000000" w:themeColor="text1"/>
          <w14:textFill>
            <w14:solidFill>
              <w14:schemeClr w14:val="tx1"/>
            </w14:solidFill>
          </w14:textFill>
        </w:rPr>
        <w:t>3</w:t>
      </w:r>
      <w:r>
        <w:rPr>
          <w:rStyle w:val="49"/>
          <w:rFonts w:hint="eastAsia"/>
          <w:color w:val="000000" w:themeColor="text1"/>
          <w14:textFill>
            <w14:solidFill>
              <w14:schemeClr w14:val="tx1"/>
            </w14:solidFill>
          </w14:textFill>
        </w:rPr>
        <w:t xml:space="preserve"> 环境现状调查与评价</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_Toc216620526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- 68 -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369BBF62">
      <w:pPr>
        <w:pStyle w:val="36"/>
        <w:tabs>
          <w:tab w:val="right" w:leader="dot" w:pos="8296"/>
        </w:tabs>
        <w:spacing w:line="440" w:lineRule="exact"/>
        <w:ind w:left="480" w:firstLine="480"/>
        <w:rPr>
          <w:rFonts w:asciiTheme="minorHAnsi" w:hAnsiTheme="minorHAnsi" w:eastAsiaTheme="minorEastAsia" w:cstheme="minorBidi"/>
          <w:color w:val="000000" w:themeColor="text1"/>
          <w:sz w:val="21"/>
          <w:szCs w:val="22"/>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"_Toc216620527" </w:instrText>
      </w:r>
      <w:r>
        <w:rPr>
          <w:color w:val="000000" w:themeColor="text1"/>
          <w14:textFill>
            <w14:solidFill>
              <w14:schemeClr w14:val="tx1"/>
            </w14:solidFill>
          </w14:textFill>
        </w:rPr>
        <w:fldChar w:fldCharType="separate"/>
      </w:r>
      <w:r>
        <w:rPr>
          <w:rStyle w:val="49"/>
          <w:b/>
          <w:bCs/>
          <w:color w:val="000000" w:themeColor="text1"/>
          <w14:textFill>
            <w14:solidFill>
              <w14:schemeClr w14:val="tx1"/>
            </w14:solidFill>
          </w14:textFill>
        </w:rPr>
        <w:t>3.1</w:t>
      </w:r>
      <w:r>
        <w:rPr>
          <w:rStyle w:val="49"/>
          <w:rFonts w:hint="eastAsia"/>
          <w:color w:val="000000" w:themeColor="text1"/>
          <w14:textFill>
            <w14:solidFill>
              <w14:schemeClr w14:val="tx1"/>
            </w14:solidFill>
          </w14:textFill>
        </w:rPr>
        <w:t xml:space="preserve"> 自然环境概况</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_Toc216620527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- 68 -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47FAF447">
      <w:pPr>
        <w:pStyle w:val="36"/>
        <w:tabs>
          <w:tab w:val="right" w:leader="dot" w:pos="8296"/>
        </w:tabs>
        <w:spacing w:line="440" w:lineRule="exact"/>
        <w:ind w:left="480" w:firstLine="480"/>
        <w:rPr>
          <w:rFonts w:asciiTheme="minorHAnsi" w:hAnsiTheme="minorHAnsi" w:eastAsiaTheme="minorEastAsia" w:cstheme="minorBidi"/>
          <w:color w:val="000000" w:themeColor="text1"/>
          <w:sz w:val="21"/>
          <w:szCs w:val="22"/>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"_Toc216620535" </w:instrText>
      </w:r>
      <w:r>
        <w:rPr>
          <w:color w:val="000000" w:themeColor="text1"/>
          <w14:textFill>
            <w14:solidFill>
              <w14:schemeClr w14:val="tx1"/>
            </w14:solidFill>
          </w14:textFill>
        </w:rPr>
        <w:fldChar w:fldCharType="separate"/>
      </w:r>
      <w:r>
        <w:rPr>
          <w:rStyle w:val="49"/>
          <w:b/>
          <w:bCs/>
          <w:color w:val="000000" w:themeColor="text1"/>
          <w14:textFill>
            <w14:solidFill>
              <w14:schemeClr w14:val="tx1"/>
            </w14:solidFill>
          </w14:textFill>
        </w:rPr>
        <w:t>3.2</w:t>
      </w:r>
      <w:r>
        <w:rPr>
          <w:rStyle w:val="49"/>
          <w:rFonts w:hint="eastAsia"/>
          <w:color w:val="000000" w:themeColor="text1"/>
          <w14:textFill>
            <w14:solidFill>
              <w14:schemeClr w14:val="tx1"/>
            </w14:solidFill>
          </w14:textFill>
        </w:rPr>
        <w:t xml:space="preserve"> 生态敏感区及珍稀濒危物种调查</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_Toc216620535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- 81 -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3939B1DC">
      <w:pPr>
        <w:pStyle w:val="36"/>
        <w:tabs>
          <w:tab w:val="right" w:leader="dot" w:pos="8296"/>
        </w:tabs>
        <w:spacing w:line="440" w:lineRule="exact"/>
        <w:ind w:left="480" w:firstLine="480"/>
        <w:rPr>
          <w:rFonts w:asciiTheme="minorHAnsi" w:hAnsiTheme="minorHAnsi" w:eastAsiaTheme="minorEastAsia" w:cstheme="minorBidi"/>
          <w:color w:val="000000" w:themeColor="text1"/>
          <w:sz w:val="21"/>
          <w:szCs w:val="22"/>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"_Toc216620539" </w:instrText>
      </w:r>
      <w:r>
        <w:rPr>
          <w:color w:val="000000" w:themeColor="text1"/>
          <w14:textFill>
            <w14:solidFill>
              <w14:schemeClr w14:val="tx1"/>
            </w14:solidFill>
          </w14:textFill>
        </w:rPr>
        <w:fldChar w:fldCharType="separate"/>
      </w:r>
      <w:r>
        <w:rPr>
          <w:rStyle w:val="49"/>
          <w:b/>
          <w:bCs/>
          <w:color w:val="000000" w:themeColor="text1"/>
          <w14:textFill>
            <w14:solidFill>
              <w14:schemeClr w14:val="tx1"/>
            </w14:solidFill>
          </w14:textFill>
        </w:rPr>
        <w:t>3.3</w:t>
      </w:r>
      <w:r>
        <w:rPr>
          <w:rStyle w:val="49"/>
          <w:rFonts w:hint="eastAsia"/>
          <w:color w:val="000000" w:themeColor="text1"/>
          <w14:textFill>
            <w14:solidFill>
              <w14:schemeClr w14:val="tx1"/>
            </w14:solidFill>
          </w14:textFill>
        </w:rPr>
        <w:t xml:space="preserve"> 空气环境质量现状调查与评价</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_Toc216620539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- 84 -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169924A5">
      <w:pPr>
        <w:pStyle w:val="36"/>
        <w:tabs>
          <w:tab w:val="right" w:leader="dot" w:pos="8296"/>
        </w:tabs>
        <w:spacing w:line="440" w:lineRule="exact"/>
        <w:ind w:left="480" w:firstLine="480"/>
        <w:rPr>
          <w:rFonts w:asciiTheme="minorHAnsi" w:hAnsiTheme="minorHAnsi" w:eastAsiaTheme="minorEastAsia" w:cstheme="minorBidi"/>
          <w:color w:val="000000" w:themeColor="text1"/>
          <w:sz w:val="21"/>
          <w:szCs w:val="22"/>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"_Toc216620542" </w:instrText>
      </w:r>
      <w:r>
        <w:rPr>
          <w:color w:val="000000" w:themeColor="text1"/>
          <w14:textFill>
            <w14:solidFill>
              <w14:schemeClr w14:val="tx1"/>
            </w14:solidFill>
          </w14:textFill>
        </w:rPr>
        <w:fldChar w:fldCharType="separate"/>
      </w:r>
      <w:r>
        <w:rPr>
          <w:rStyle w:val="49"/>
          <w:b/>
          <w:bCs/>
          <w:color w:val="000000" w:themeColor="text1"/>
          <w14:textFill>
            <w14:solidFill>
              <w14:schemeClr w14:val="tx1"/>
            </w14:solidFill>
          </w14:textFill>
        </w:rPr>
        <w:t>3.4</w:t>
      </w:r>
      <w:r>
        <w:rPr>
          <w:rStyle w:val="49"/>
          <w:rFonts w:hint="eastAsia"/>
          <w:color w:val="000000" w:themeColor="text1"/>
          <w14:textFill>
            <w14:solidFill>
              <w14:schemeClr w14:val="tx1"/>
            </w14:solidFill>
          </w14:textFill>
        </w:rPr>
        <w:t xml:space="preserve"> 地下水环境质量现状调查与评价</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_Toc216620542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- 87 -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59550856">
      <w:pPr>
        <w:pStyle w:val="36"/>
        <w:tabs>
          <w:tab w:val="right" w:leader="dot" w:pos="8296"/>
        </w:tabs>
        <w:spacing w:line="440" w:lineRule="exact"/>
        <w:ind w:left="480" w:firstLine="480"/>
        <w:rPr>
          <w:rFonts w:asciiTheme="minorHAnsi" w:hAnsiTheme="minorHAnsi" w:eastAsiaTheme="minorEastAsia" w:cstheme="minorBidi"/>
          <w:color w:val="000000" w:themeColor="text1"/>
          <w:sz w:val="21"/>
          <w:szCs w:val="22"/>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"_Toc216620549" </w:instrText>
      </w:r>
      <w:r>
        <w:rPr>
          <w:color w:val="000000" w:themeColor="text1"/>
          <w14:textFill>
            <w14:solidFill>
              <w14:schemeClr w14:val="tx1"/>
            </w14:solidFill>
          </w14:textFill>
        </w:rPr>
        <w:fldChar w:fldCharType="separate"/>
      </w:r>
      <w:r>
        <w:rPr>
          <w:rStyle w:val="49"/>
          <w:b/>
          <w:bCs/>
          <w:color w:val="000000" w:themeColor="text1"/>
          <w14:textFill>
            <w14:solidFill>
              <w14:schemeClr w14:val="tx1"/>
            </w14:solidFill>
          </w14:textFill>
        </w:rPr>
        <w:t>3.5</w:t>
      </w:r>
      <w:r>
        <w:rPr>
          <w:rStyle w:val="49"/>
          <w:rFonts w:hint="eastAsia"/>
          <w:color w:val="000000" w:themeColor="text1"/>
          <w14:textFill>
            <w14:solidFill>
              <w14:schemeClr w14:val="tx1"/>
            </w14:solidFill>
          </w14:textFill>
        </w:rPr>
        <w:t xml:space="preserve"> 声环境质量现状调查与评价</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_Toc216620549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- 91 -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756B9ED2">
      <w:pPr>
        <w:pStyle w:val="36"/>
        <w:tabs>
          <w:tab w:val="right" w:leader="dot" w:pos="8296"/>
        </w:tabs>
        <w:spacing w:line="440" w:lineRule="exact"/>
        <w:ind w:left="480" w:firstLine="480"/>
        <w:rPr>
          <w:rFonts w:asciiTheme="minorHAnsi" w:hAnsiTheme="minorHAnsi" w:eastAsiaTheme="minorEastAsia" w:cstheme="minorBidi"/>
          <w:color w:val="000000" w:themeColor="text1"/>
          <w:sz w:val="21"/>
          <w:szCs w:val="22"/>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"_Toc216620555" </w:instrText>
      </w:r>
      <w:r>
        <w:rPr>
          <w:color w:val="000000" w:themeColor="text1"/>
          <w14:textFill>
            <w14:solidFill>
              <w14:schemeClr w14:val="tx1"/>
            </w14:solidFill>
          </w14:textFill>
        </w:rPr>
        <w:fldChar w:fldCharType="separate"/>
      </w:r>
      <w:r>
        <w:rPr>
          <w:rStyle w:val="49"/>
          <w:b/>
          <w:bCs/>
          <w:color w:val="000000" w:themeColor="text1"/>
          <w14:textFill>
            <w14:solidFill>
              <w14:schemeClr w14:val="tx1"/>
            </w14:solidFill>
          </w14:textFill>
        </w:rPr>
        <w:t>3.6</w:t>
      </w:r>
      <w:r>
        <w:rPr>
          <w:rStyle w:val="49"/>
          <w:rFonts w:hint="eastAsia"/>
          <w:color w:val="000000" w:themeColor="text1"/>
          <w14:textFill>
            <w14:solidFill>
              <w14:schemeClr w14:val="tx1"/>
            </w14:solidFill>
          </w14:textFill>
        </w:rPr>
        <w:t xml:space="preserve"> 土壤环境</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_Toc216620555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- 92 -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37BB58C0">
      <w:pPr>
        <w:pStyle w:val="36"/>
        <w:tabs>
          <w:tab w:val="right" w:leader="dot" w:pos="8296"/>
        </w:tabs>
        <w:spacing w:line="440" w:lineRule="exact"/>
        <w:ind w:left="480" w:firstLine="480"/>
        <w:rPr>
          <w:rFonts w:asciiTheme="minorHAnsi" w:hAnsiTheme="minorHAnsi" w:eastAsiaTheme="minorEastAsia" w:cstheme="minorBidi"/>
          <w:color w:val="000000" w:themeColor="text1"/>
          <w:sz w:val="21"/>
          <w:szCs w:val="22"/>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"_Toc216620559" </w:instrText>
      </w:r>
      <w:r>
        <w:rPr>
          <w:color w:val="000000" w:themeColor="text1"/>
          <w14:textFill>
            <w14:solidFill>
              <w14:schemeClr w14:val="tx1"/>
            </w14:solidFill>
          </w14:textFill>
        </w:rPr>
        <w:fldChar w:fldCharType="separate"/>
      </w:r>
      <w:r>
        <w:rPr>
          <w:rStyle w:val="49"/>
          <w:b/>
          <w:bCs/>
          <w:color w:val="000000" w:themeColor="text1"/>
          <w14:textFill>
            <w14:solidFill>
              <w14:schemeClr w14:val="tx1"/>
            </w14:solidFill>
          </w14:textFill>
        </w:rPr>
        <w:t>3.7</w:t>
      </w:r>
      <w:r>
        <w:rPr>
          <w:rStyle w:val="49"/>
          <w:rFonts w:hint="eastAsia"/>
          <w:color w:val="000000" w:themeColor="text1"/>
          <w14:textFill>
            <w14:solidFill>
              <w14:schemeClr w14:val="tx1"/>
            </w14:solidFill>
          </w14:textFill>
        </w:rPr>
        <w:t xml:space="preserve"> 海洋环境质量现状调查与评价</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_Toc216620559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- 94 -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6B350FEE">
      <w:pPr>
        <w:pStyle w:val="31"/>
        <w:tabs>
          <w:tab w:val="right" w:leader="dot" w:pos="8296"/>
        </w:tabs>
        <w:spacing w:line="440" w:lineRule="exact"/>
        <w:ind w:firstLine="480"/>
        <w:rPr>
          <w:rFonts w:asciiTheme="minorHAnsi" w:hAnsiTheme="minorHAnsi" w:eastAsiaTheme="minorEastAsia" w:cstheme="minorBidi"/>
          <w:color w:val="000000" w:themeColor="text1"/>
          <w:sz w:val="21"/>
          <w:szCs w:val="22"/>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"_Toc216620565" </w:instrText>
      </w:r>
      <w:r>
        <w:rPr>
          <w:color w:val="000000" w:themeColor="text1"/>
          <w14:textFill>
            <w14:solidFill>
              <w14:schemeClr w14:val="tx1"/>
            </w14:solidFill>
          </w14:textFill>
        </w:rPr>
        <w:fldChar w:fldCharType="separate"/>
      </w:r>
      <w:r>
        <w:rPr>
          <w:rStyle w:val="49"/>
          <w:color w:val="000000" w:themeColor="text1"/>
          <w14:textFill>
            <w14:solidFill>
              <w14:schemeClr w14:val="tx1"/>
            </w14:solidFill>
          </w14:textFill>
        </w:rPr>
        <w:t>4</w:t>
      </w:r>
      <w:r>
        <w:rPr>
          <w:rStyle w:val="49"/>
          <w:rFonts w:hint="eastAsia"/>
          <w:color w:val="000000" w:themeColor="text1"/>
          <w14:textFill>
            <w14:solidFill>
              <w14:schemeClr w14:val="tx1"/>
            </w14:solidFill>
          </w14:textFill>
        </w:rPr>
        <w:t xml:space="preserve"> 环境影响预测与评价</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_Toc216620565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- 118 -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5118EEAE">
      <w:pPr>
        <w:pStyle w:val="36"/>
        <w:tabs>
          <w:tab w:val="right" w:leader="dot" w:pos="8296"/>
        </w:tabs>
        <w:spacing w:line="440" w:lineRule="exact"/>
        <w:ind w:left="480" w:firstLine="480"/>
        <w:rPr>
          <w:rFonts w:asciiTheme="minorHAnsi" w:hAnsiTheme="minorHAnsi" w:eastAsiaTheme="minorEastAsia" w:cstheme="minorBidi"/>
          <w:color w:val="000000" w:themeColor="text1"/>
          <w:sz w:val="21"/>
          <w:szCs w:val="22"/>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"_Toc216620566" </w:instrText>
      </w:r>
      <w:r>
        <w:rPr>
          <w:color w:val="000000" w:themeColor="text1"/>
          <w14:textFill>
            <w14:solidFill>
              <w14:schemeClr w14:val="tx1"/>
            </w14:solidFill>
          </w14:textFill>
        </w:rPr>
        <w:fldChar w:fldCharType="separate"/>
      </w:r>
      <w:r>
        <w:rPr>
          <w:rStyle w:val="49"/>
          <w:b/>
          <w:bCs/>
          <w:color w:val="000000" w:themeColor="text1"/>
          <w14:textFill>
            <w14:solidFill>
              <w14:schemeClr w14:val="tx1"/>
            </w14:solidFill>
          </w14:textFill>
        </w:rPr>
        <w:t>4.1</w:t>
      </w:r>
      <w:r>
        <w:rPr>
          <w:rStyle w:val="49"/>
          <w:rFonts w:hint="eastAsia"/>
          <w:color w:val="000000" w:themeColor="text1"/>
          <w14:textFill>
            <w14:solidFill>
              <w14:schemeClr w14:val="tx1"/>
            </w14:solidFill>
          </w14:textFill>
        </w:rPr>
        <w:t xml:space="preserve"> 海洋环境影响分析</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_Toc216620566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- 118 -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27DA122C">
      <w:pPr>
        <w:pStyle w:val="36"/>
        <w:tabs>
          <w:tab w:val="right" w:leader="dot" w:pos="8296"/>
        </w:tabs>
        <w:spacing w:line="440" w:lineRule="exact"/>
        <w:ind w:left="480" w:firstLine="480"/>
        <w:rPr>
          <w:rFonts w:asciiTheme="minorHAnsi" w:hAnsiTheme="minorHAnsi" w:eastAsiaTheme="minorEastAsia" w:cstheme="minorBidi"/>
          <w:color w:val="000000" w:themeColor="text1"/>
          <w:sz w:val="21"/>
          <w:szCs w:val="22"/>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"_Toc216620570" </w:instrText>
      </w:r>
      <w:r>
        <w:rPr>
          <w:color w:val="000000" w:themeColor="text1"/>
          <w14:textFill>
            <w14:solidFill>
              <w14:schemeClr w14:val="tx1"/>
            </w14:solidFill>
          </w14:textFill>
        </w:rPr>
        <w:fldChar w:fldCharType="separate"/>
      </w:r>
      <w:r>
        <w:rPr>
          <w:rStyle w:val="49"/>
          <w:b/>
          <w:bCs/>
          <w:color w:val="000000" w:themeColor="text1"/>
          <w14:textFill>
            <w14:solidFill>
              <w14:schemeClr w14:val="tx1"/>
            </w14:solidFill>
          </w14:textFill>
        </w:rPr>
        <w:t>4.2</w:t>
      </w:r>
      <w:r>
        <w:rPr>
          <w:rStyle w:val="49"/>
          <w:rFonts w:hint="eastAsia"/>
          <w:color w:val="000000" w:themeColor="text1"/>
          <w14:textFill>
            <w14:solidFill>
              <w14:schemeClr w14:val="tx1"/>
            </w14:solidFill>
          </w14:textFill>
        </w:rPr>
        <w:t xml:space="preserve"> 施工期环境影响分析</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_Toc216620570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- 118 -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708F2F3C">
      <w:pPr>
        <w:pStyle w:val="36"/>
        <w:tabs>
          <w:tab w:val="right" w:leader="dot" w:pos="8296"/>
        </w:tabs>
        <w:spacing w:line="440" w:lineRule="exact"/>
        <w:ind w:left="480" w:firstLine="480"/>
        <w:rPr>
          <w:rFonts w:asciiTheme="minorHAnsi" w:hAnsiTheme="minorHAnsi" w:eastAsiaTheme="minorEastAsia" w:cstheme="minorBidi"/>
          <w:color w:val="000000" w:themeColor="text1"/>
          <w:sz w:val="21"/>
          <w:szCs w:val="22"/>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"_Toc216620577" </w:instrText>
      </w:r>
      <w:r>
        <w:rPr>
          <w:color w:val="000000" w:themeColor="text1"/>
          <w14:textFill>
            <w14:solidFill>
              <w14:schemeClr w14:val="tx1"/>
            </w14:solidFill>
          </w14:textFill>
        </w:rPr>
        <w:fldChar w:fldCharType="separate"/>
      </w:r>
      <w:r>
        <w:rPr>
          <w:rStyle w:val="49"/>
          <w:b/>
          <w:bCs/>
          <w:color w:val="000000" w:themeColor="text1"/>
          <w14:textFill>
            <w14:solidFill>
              <w14:schemeClr w14:val="tx1"/>
            </w14:solidFill>
          </w14:textFill>
        </w:rPr>
        <w:t>4.3</w:t>
      </w:r>
      <w:r>
        <w:rPr>
          <w:rStyle w:val="49"/>
          <w:rFonts w:hint="eastAsia"/>
          <w:color w:val="000000" w:themeColor="text1"/>
          <w14:textFill>
            <w14:solidFill>
              <w14:schemeClr w14:val="tx1"/>
            </w14:solidFill>
          </w14:textFill>
        </w:rPr>
        <w:t xml:space="preserve"> 营运期环境影响分析</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_Toc216620577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- 122 -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258E9218">
      <w:pPr>
        <w:pStyle w:val="31"/>
        <w:tabs>
          <w:tab w:val="right" w:leader="dot" w:pos="8296"/>
        </w:tabs>
        <w:spacing w:line="440" w:lineRule="exact"/>
        <w:ind w:firstLine="480"/>
        <w:rPr>
          <w:rFonts w:asciiTheme="minorHAnsi" w:hAnsiTheme="minorHAnsi" w:eastAsiaTheme="minorEastAsia" w:cstheme="minorBidi"/>
          <w:color w:val="000000" w:themeColor="text1"/>
          <w:sz w:val="21"/>
          <w:szCs w:val="22"/>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"_Toc216620585" </w:instrText>
      </w:r>
      <w:r>
        <w:rPr>
          <w:color w:val="000000" w:themeColor="text1"/>
          <w14:textFill>
            <w14:solidFill>
              <w14:schemeClr w14:val="tx1"/>
            </w14:solidFill>
          </w14:textFill>
        </w:rPr>
        <w:fldChar w:fldCharType="separate"/>
      </w:r>
      <w:r>
        <w:rPr>
          <w:rStyle w:val="49"/>
          <w:color w:val="000000" w:themeColor="text1"/>
          <w14:textFill>
            <w14:solidFill>
              <w14:schemeClr w14:val="tx1"/>
            </w14:solidFill>
          </w14:textFill>
        </w:rPr>
        <w:t>5</w:t>
      </w:r>
      <w:r>
        <w:rPr>
          <w:rStyle w:val="49"/>
          <w:rFonts w:hint="eastAsia"/>
          <w:color w:val="000000" w:themeColor="text1"/>
          <w14:textFill>
            <w14:solidFill>
              <w14:schemeClr w14:val="tx1"/>
            </w14:solidFill>
          </w14:textFill>
        </w:rPr>
        <w:t xml:space="preserve"> 环境风险评价</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_Toc216620585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- 134 -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2D88EF17">
      <w:pPr>
        <w:pStyle w:val="36"/>
        <w:tabs>
          <w:tab w:val="right" w:leader="dot" w:pos="8296"/>
        </w:tabs>
        <w:spacing w:line="440" w:lineRule="exact"/>
        <w:ind w:left="480" w:firstLine="480"/>
        <w:rPr>
          <w:rFonts w:asciiTheme="minorHAnsi" w:hAnsiTheme="minorHAnsi" w:eastAsiaTheme="minorEastAsia" w:cstheme="minorBidi"/>
          <w:color w:val="000000" w:themeColor="text1"/>
          <w:sz w:val="21"/>
          <w:szCs w:val="22"/>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"_Toc216620586" </w:instrText>
      </w:r>
      <w:r>
        <w:rPr>
          <w:color w:val="000000" w:themeColor="text1"/>
          <w14:textFill>
            <w14:solidFill>
              <w14:schemeClr w14:val="tx1"/>
            </w14:solidFill>
          </w14:textFill>
        </w:rPr>
        <w:fldChar w:fldCharType="separate"/>
      </w:r>
      <w:r>
        <w:rPr>
          <w:rStyle w:val="49"/>
          <w:b/>
          <w:bCs/>
          <w:color w:val="000000" w:themeColor="text1"/>
          <w14:textFill>
            <w14:solidFill>
              <w14:schemeClr w14:val="tx1"/>
            </w14:solidFill>
          </w14:textFill>
        </w:rPr>
        <w:t>5.1</w:t>
      </w:r>
      <w:r>
        <w:rPr>
          <w:rStyle w:val="49"/>
          <w:rFonts w:hint="eastAsia"/>
          <w:color w:val="000000" w:themeColor="text1"/>
          <w14:textFill>
            <w14:solidFill>
              <w14:schemeClr w14:val="tx1"/>
            </w14:solidFill>
          </w14:textFill>
        </w:rPr>
        <w:t xml:space="preserve"> 风险调查</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_Toc216620586 \h </w:instrText>
      </w:r>
      <w:r>
        <w:rPr>
          <w:color w:val="000000" w:themeColor="text1"/>
          <w14:textFill>
            <w14:solidFill>
              <w14:schemeClr w14:val="tx1"/>
            </w14:solidFill>
          </w14:textFill>
        </w:rPr>
        <w:fldChar w:fldCharType="separate"/>
      </w:r>
      <w:r>
        <w:rPr>
          <w:b/>
          <w:color w:val="000000" w:themeColor="text1"/>
          <w14:textFill>
            <w14:solidFill>
              <w14:schemeClr w14:val="tx1"/>
            </w14:solidFill>
          </w14:textFill>
        </w:rPr>
        <w:t>错误！未定义书签。</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5D98ABFD">
      <w:pPr>
        <w:pStyle w:val="36"/>
        <w:tabs>
          <w:tab w:val="right" w:leader="dot" w:pos="8296"/>
        </w:tabs>
        <w:spacing w:line="440" w:lineRule="exact"/>
        <w:ind w:left="480" w:firstLine="480"/>
        <w:rPr>
          <w:rFonts w:asciiTheme="minorHAnsi" w:hAnsiTheme="minorHAnsi" w:eastAsiaTheme="minorEastAsia" w:cstheme="minorBidi"/>
          <w:color w:val="000000" w:themeColor="text1"/>
          <w:sz w:val="21"/>
          <w:szCs w:val="22"/>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"_Toc216620589" </w:instrText>
      </w:r>
      <w:r>
        <w:rPr>
          <w:color w:val="000000" w:themeColor="text1"/>
          <w14:textFill>
            <w14:solidFill>
              <w14:schemeClr w14:val="tx1"/>
            </w14:solidFill>
          </w14:textFill>
        </w:rPr>
        <w:fldChar w:fldCharType="separate"/>
      </w:r>
      <w:r>
        <w:rPr>
          <w:rStyle w:val="49"/>
          <w:b/>
          <w:bCs/>
          <w:color w:val="000000" w:themeColor="text1"/>
          <w14:textFill>
            <w14:solidFill>
              <w14:schemeClr w14:val="tx1"/>
            </w14:solidFill>
          </w14:textFill>
        </w:rPr>
        <w:t>5.2</w:t>
      </w:r>
      <w:r>
        <w:rPr>
          <w:rStyle w:val="49"/>
          <w:rFonts w:hint="eastAsia"/>
          <w:color w:val="000000" w:themeColor="text1"/>
          <w14:textFill>
            <w14:solidFill>
              <w14:schemeClr w14:val="tx1"/>
            </w14:solidFill>
          </w14:textFill>
        </w:rPr>
        <w:t xml:space="preserve"> 环境风险潜势初判</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_Toc216620586 \h </w:instrText>
      </w:r>
      <w:r>
        <w:rPr>
          <w:color w:val="000000" w:themeColor="text1"/>
          <w14:textFill>
            <w14:solidFill>
              <w14:schemeClr w14:val="tx1"/>
            </w14:solidFill>
          </w14:textFill>
        </w:rPr>
        <w:fldChar w:fldCharType="separate"/>
      </w:r>
      <w:r>
        <w:rPr>
          <w:b/>
          <w:color w:val="000000" w:themeColor="text1"/>
          <w14:textFill>
            <w14:solidFill>
              <w14:schemeClr w14:val="tx1"/>
            </w14:solidFill>
          </w14:textFill>
        </w:rPr>
        <w:t>错误！未定义书签。</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13DA283C">
      <w:pPr>
        <w:pStyle w:val="36"/>
        <w:tabs>
          <w:tab w:val="right" w:leader="dot" w:pos="8296"/>
        </w:tabs>
        <w:spacing w:line="440" w:lineRule="exact"/>
        <w:ind w:left="480" w:firstLine="480"/>
        <w:rPr>
          <w:rFonts w:asciiTheme="minorHAnsi" w:hAnsiTheme="minorHAnsi" w:eastAsiaTheme="minorEastAsia" w:cstheme="minorBidi"/>
          <w:color w:val="000000" w:themeColor="text1"/>
          <w:sz w:val="21"/>
          <w:szCs w:val="22"/>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"_Toc216620593" </w:instrText>
      </w:r>
      <w:r>
        <w:rPr>
          <w:color w:val="000000" w:themeColor="text1"/>
          <w14:textFill>
            <w14:solidFill>
              <w14:schemeClr w14:val="tx1"/>
            </w14:solidFill>
          </w14:textFill>
        </w:rPr>
        <w:fldChar w:fldCharType="separate"/>
      </w:r>
      <w:r>
        <w:rPr>
          <w:rStyle w:val="49"/>
          <w:b/>
          <w:bCs/>
          <w:color w:val="000000" w:themeColor="text1"/>
          <w14:textFill>
            <w14:solidFill>
              <w14:schemeClr w14:val="tx1"/>
            </w14:solidFill>
          </w14:textFill>
        </w:rPr>
        <w:t>5.3</w:t>
      </w:r>
      <w:r>
        <w:rPr>
          <w:rStyle w:val="49"/>
          <w:rFonts w:hint="eastAsia"/>
          <w:color w:val="000000" w:themeColor="text1"/>
          <w14:textFill>
            <w14:solidFill>
              <w14:schemeClr w14:val="tx1"/>
            </w14:solidFill>
          </w14:textFill>
        </w:rPr>
        <w:t xml:space="preserve"> 风险识别</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_Toc216620586 \h </w:instrText>
      </w:r>
      <w:r>
        <w:rPr>
          <w:color w:val="000000" w:themeColor="text1"/>
          <w14:textFill>
            <w14:solidFill>
              <w14:schemeClr w14:val="tx1"/>
            </w14:solidFill>
          </w14:textFill>
        </w:rPr>
        <w:fldChar w:fldCharType="separate"/>
      </w:r>
      <w:r>
        <w:rPr>
          <w:b/>
          <w:color w:val="000000" w:themeColor="text1"/>
          <w14:textFill>
            <w14:solidFill>
              <w14:schemeClr w14:val="tx1"/>
            </w14:solidFill>
          </w14:textFill>
        </w:rPr>
        <w:t>错误！未定义书签。</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4A1C3E57">
      <w:pPr>
        <w:pStyle w:val="36"/>
        <w:tabs>
          <w:tab w:val="right" w:leader="dot" w:pos="8296"/>
        </w:tabs>
        <w:spacing w:line="440" w:lineRule="exact"/>
        <w:ind w:left="480" w:firstLine="480"/>
        <w:rPr>
          <w:rFonts w:asciiTheme="minorHAnsi" w:hAnsiTheme="minorHAnsi" w:eastAsiaTheme="minorEastAsia" w:cstheme="minorBidi"/>
          <w:color w:val="000000" w:themeColor="text1"/>
          <w:sz w:val="21"/>
          <w:szCs w:val="22"/>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"_Toc216620597" </w:instrText>
      </w:r>
      <w:r>
        <w:rPr>
          <w:color w:val="000000" w:themeColor="text1"/>
          <w14:textFill>
            <w14:solidFill>
              <w14:schemeClr w14:val="tx1"/>
            </w14:solidFill>
          </w14:textFill>
        </w:rPr>
        <w:fldChar w:fldCharType="separate"/>
      </w:r>
      <w:r>
        <w:rPr>
          <w:rStyle w:val="49"/>
          <w:b/>
          <w:bCs/>
          <w:color w:val="000000" w:themeColor="text1"/>
          <w14:textFill>
            <w14:solidFill>
              <w14:schemeClr w14:val="tx1"/>
            </w14:solidFill>
          </w14:textFill>
        </w:rPr>
        <w:t>5.4</w:t>
      </w:r>
      <w:r>
        <w:rPr>
          <w:rStyle w:val="49"/>
          <w:rFonts w:hint="eastAsia"/>
          <w:color w:val="000000" w:themeColor="text1"/>
          <w14:textFill>
            <w14:solidFill>
              <w14:schemeClr w14:val="tx1"/>
            </w14:solidFill>
          </w14:textFill>
        </w:rPr>
        <w:t xml:space="preserve"> 风险事故情形分析</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_Toc216620586 \h </w:instrText>
      </w:r>
      <w:r>
        <w:rPr>
          <w:color w:val="000000" w:themeColor="text1"/>
          <w14:textFill>
            <w14:solidFill>
              <w14:schemeClr w14:val="tx1"/>
            </w14:solidFill>
          </w14:textFill>
        </w:rPr>
        <w:fldChar w:fldCharType="separate"/>
      </w:r>
      <w:r>
        <w:rPr>
          <w:b/>
          <w:color w:val="000000" w:themeColor="text1"/>
          <w14:textFill>
            <w14:solidFill>
              <w14:schemeClr w14:val="tx1"/>
            </w14:solidFill>
          </w14:textFill>
        </w:rPr>
        <w:t>错误！未定义书签。</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75B9063E">
      <w:pPr>
        <w:pStyle w:val="36"/>
        <w:tabs>
          <w:tab w:val="right" w:leader="dot" w:pos="8296"/>
        </w:tabs>
        <w:spacing w:line="440" w:lineRule="exact"/>
        <w:ind w:left="480" w:firstLine="480"/>
        <w:rPr>
          <w:rFonts w:asciiTheme="minorHAnsi" w:hAnsiTheme="minorHAnsi" w:eastAsiaTheme="minorEastAsia" w:cstheme="minorBidi"/>
          <w:color w:val="000000" w:themeColor="text1"/>
          <w:sz w:val="21"/>
          <w:szCs w:val="22"/>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"_Toc216620600" </w:instrText>
      </w:r>
      <w:r>
        <w:rPr>
          <w:color w:val="000000" w:themeColor="text1"/>
          <w14:textFill>
            <w14:solidFill>
              <w14:schemeClr w14:val="tx1"/>
            </w14:solidFill>
          </w14:textFill>
        </w:rPr>
        <w:fldChar w:fldCharType="separate"/>
      </w:r>
      <w:r>
        <w:rPr>
          <w:rStyle w:val="49"/>
          <w:b/>
          <w:bCs/>
          <w:color w:val="000000" w:themeColor="text1"/>
          <w14:textFill>
            <w14:solidFill>
              <w14:schemeClr w14:val="tx1"/>
            </w14:solidFill>
          </w14:textFill>
        </w:rPr>
        <w:t>5.5</w:t>
      </w:r>
      <w:r>
        <w:rPr>
          <w:rStyle w:val="49"/>
          <w:rFonts w:hint="eastAsia"/>
          <w:color w:val="000000" w:themeColor="text1"/>
          <w14:textFill>
            <w14:solidFill>
              <w14:schemeClr w14:val="tx1"/>
            </w14:solidFill>
          </w14:textFill>
        </w:rPr>
        <w:t xml:space="preserve"> 海域风险事故预测</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_Toc216620586 \h </w:instrText>
      </w:r>
      <w:r>
        <w:rPr>
          <w:color w:val="000000" w:themeColor="text1"/>
          <w14:textFill>
            <w14:solidFill>
              <w14:schemeClr w14:val="tx1"/>
            </w14:solidFill>
          </w14:textFill>
        </w:rPr>
        <w:fldChar w:fldCharType="separate"/>
      </w:r>
      <w:r>
        <w:rPr>
          <w:b/>
          <w:color w:val="000000" w:themeColor="text1"/>
          <w14:textFill>
            <w14:solidFill>
              <w14:schemeClr w14:val="tx1"/>
            </w14:solidFill>
          </w14:textFill>
        </w:rPr>
        <w:t>错误！未定义书签。</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1044C9B9">
      <w:pPr>
        <w:pStyle w:val="36"/>
        <w:tabs>
          <w:tab w:val="right" w:leader="dot" w:pos="8296"/>
        </w:tabs>
        <w:spacing w:line="440" w:lineRule="exact"/>
        <w:ind w:left="480" w:firstLine="480"/>
        <w:rPr>
          <w:rFonts w:asciiTheme="minorHAnsi" w:hAnsiTheme="minorHAnsi" w:eastAsiaTheme="minorEastAsia" w:cstheme="minorBidi"/>
          <w:color w:val="000000" w:themeColor="text1"/>
          <w:sz w:val="21"/>
          <w:szCs w:val="22"/>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"_Toc216620605" </w:instrText>
      </w:r>
      <w:r>
        <w:rPr>
          <w:color w:val="000000" w:themeColor="text1"/>
          <w14:textFill>
            <w14:solidFill>
              <w14:schemeClr w14:val="tx1"/>
            </w14:solidFill>
          </w14:textFill>
        </w:rPr>
        <w:fldChar w:fldCharType="separate"/>
      </w:r>
      <w:r>
        <w:rPr>
          <w:rStyle w:val="49"/>
          <w:b/>
          <w:bCs/>
          <w:color w:val="000000" w:themeColor="text1"/>
          <w14:textFill>
            <w14:solidFill>
              <w14:schemeClr w14:val="tx1"/>
            </w14:solidFill>
          </w14:textFill>
        </w:rPr>
        <w:t>5.6</w:t>
      </w:r>
      <w:r>
        <w:rPr>
          <w:rStyle w:val="49"/>
          <w:rFonts w:hint="eastAsia"/>
          <w:color w:val="000000" w:themeColor="text1"/>
          <w14:textFill>
            <w14:solidFill>
              <w14:schemeClr w14:val="tx1"/>
            </w14:solidFill>
          </w14:textFill>
        </w:rPr>
        <w:t xml:space="preserve"> 陆域风险事故预测</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_Toc216620586 \h </w:instrText>
      </w:r>
      <w:r>
        <w:rPr>
          <w:color w:val="000000" w:themeColor="text1"/>
          <w14:textFill>
            <w14:solidFill>
              <w14:schemeClr w14:val="tx1"/>
            </w14:solidFill>
          </w14:textFill>
        </w:rPr>
        <w:fldChar w:fldCharType="separate"/>
      </w:r>
      <w:r>
        <w:rPr>
          <w:b/>
          <w:color w:val="000000" w:themeColor="text1"/>
          <w14:textFill>
            <w14:solidFill>
              <w14:schemeClr w14:val="tx1"/>
            </w14:solidFill>
          </w14:textFill>
        </w:rPr>
        <w:t>错误！未定义书签。</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01B83FD5">
      <w:pPr>
        <w:pStyle w:val="36"/>
        <w:tabs>
          <w:tab w:val="right" w:leader="dot" w:pos="8296"/>
        </w:tabs>
        <w:spacing w:line="440" w:lineRule="exact"/>
        <w:ind w:left="480" w:firstLine="480"/>
        <w:rPr>
          <w:rFonts w:asciiTheme="minorHAnsi" w:hAnsiTheme="minorHAnsi" w:eastAsiaTheme="minorEastAsia" w:cstheme="minorBidi"/>
          <w:color w:val="000000" w:themeColor="text1"/>
          <w:sz w:val="21"/>
          <w:szCs w:val="22"/>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"_Toc216620609" </w:instrText>
      </w:r>
      <w:r>
        <w:rPr>
          <w:color w:val="000000" w:themeColor="text1"/>
          <w14:textFill>
            <w14:solidFill>
              <w14:schemeClr w14:val="tx1"/>
            </w14:solidFill>
          </w14:textFill>
        </w:rPr>
        <w:fldChar w:fldCharType="separate"/>
      </w:r>
      <w:r>
        <w:rPr>
          <w:rStyle w:val="49"/>
          <w:b/>
          <w:bCs/>
          <w:color w:val="000000" w:themeColor="text1"/>
          <w14:textFill>
            <w14:solidFill>
              <w14:schemeClr w14:val="tx1"/>
            </w14:solidFill>
          </w14:textFill>
        </w:rPr>
        <w:t>5.7</w:t>
      </w:r>
      <w:r>
        <w:rPr>
          <w:rStyle w:val="49"/>
          <w:rFonts w:hint="eastAsia"/>
          <w:color w:val="000000" w:themeColor="text1"/>
          <w14:textFill>
            <w14:solidFill>
              <w14:schemeClr w14:val="tx1"/>
            </w14:solidFill>
          </w14:textFill>
        </w:rPr>
        <w:t xml:space="preserve"> 风险管理</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_Toc216620586 \h </w:instrText>
      </w:r>
      <w:r>
        <w:rPr>
          <w:color w:val="000000" w:themeColor="text1"/>
          <w14:textFill>
            <w14:solidFill>
              <w14:schemeClr w14:val="tx1"/>
            </w14:solidFill>
          </w14:textFill>
        </w:rPr>
        <w:fldChar w:fldCharType="separate"/>
      </w:r>
      <w:r>
        <w:rPr>
          <w:b/>
          <w:color w:val="000000" w:themeColor="text1"/>
          <w14:textFill>
            <w14:solidFill>
              <w14:schemeClr w14:val="tx1"/>
            </w14:solidFill>
          </w14:textFill>
        </w:rPr>
        <w:t>错误！未定义书签。</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1656F1D4">
      <w:pPr>
        <w:pStyle w:val="36"/>
        <w:tabs>
          <w:tab w:val="right" w:leader="dot" w:pos="8296"/>
        </w:tabs>
        <w:spacing w:line="440" w:lineRule="exact"/>
        <w:ind w:left="480" w:firstLine="480"/>
        <w:rPr>
          <w:rFonts w:asciiTheme="minorHAnsi" w:hAnsiTheme="minorHAnsi" w:eastAsiaTheme="minorEastAsia" w:cstheme="minorBidi"/>
          <w:color w:val="000000" w:themeColor="text1"/>
          <w:sz w:val="21"/>
          <w:szCs w:val="22"/>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"_Toc216620621" </w:instrText>
      </w:r>
      <w:r>
        <w:rPr>
          <w:color w:val="000000" w:themeColor="text1"/>
          <w14:textFill>
            <w14:solidFill>
              <w14:schemeClr w14:val="tx1"/>
            </w14:solidFill>
          </w14:textFill>
        </w:rPr>
        <w:fldChar w:fldCharType="separate"/>
      </w:r>
      <w:r>
        <w:rPr>
          <w:rStyle w:val="49"/>
          <w:b/>
          <w:bCs/>
          <w:color w:val="000000" w:themeColor="text1"/>
          <w14:textFill>
            <w14:solidFill>
              <w14:schemeClr w14:val="tx1"/>
            </w14:solidFill>
          </w14:textFill>
        </w:rPr>
        <w:t>5.8</w:t>
      </w:r>
      <w:r>
        <w:rPr>
          <w:rStyle w:val="49"/>
          <w:rFonts w:hint="eastAsia"/>
          <w:color w:val="000000" w:themeColor="text1"/>
          <w14:textFill>
            <w14:solidFill>
              <w14:schemeClr w14:val="tx1"/>
            </w14:solidFill>
          </w14:textFill>
        </w:rPr>
        <w:t xml:space="preserve"> 环境风险评价结论</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_Toc216620586 \h </w:instrText>
      </w:r>
      <w:r>
        <w:rPr>
          <w:color w:val="000000" w:themeColor="text1"/>
          <w14:textFill>
            <w14:solidFill>
              <w14:schemeClr w14:val="tx1"/>
            </w14:solidFill>
          </w14:textFill>
        </w:rPr>
        <w:fldChar w:fldCharType="separate"/>
      </w:r>
      <w:r>
        <w:rPr>
          <w:b/>
          <w:color w:val="000000" w:themeColor="text1"/>
          <w14:textFill>
            <w14:solidFill>
              <w14:schemeClr w14:val="tx1"/>
            </w14:solidFill>
          </w14:textFill>
        </w:rPr>
        <w:t>错误！未定义书签。</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4A7CBF04">
      <w:pPr>
        <w:pStyle w:val="31"/>
        <w:tabs>
          <w:tab w:val="right" w:leader="dot" w:pos="8296"/>
        </w:tabs>
        <w:spacing w:line="440" w:lineRule="exact"/>
        <w:ind w:firstLine="480"/>
        <w:rPr>
          <w:rFonts w:asciiTheme="minorHAnsi" w:hAnsiTheme="minorHAnsi" w:eastAsiaTheme="minorEastAsia" w:cstheme="minorBidi"/>
          <w:color w:val="000000" w:themeColor="text1"/>
          <w:sz w:val="21"/>
          <w:szCs w:val="22"/>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"_Toc216620622" </w:instrText>
      </w:r>
      <w:r>
        <w:rPr>
          <w:color w:val="000000" w:themeColor="text1"/>
          <w14:textFill>
            <w14:solidFill>
              <w14:schemeClr w14:val="tx1"/>
            </w14:solidFill>
          </w14:textFill>
        </w:rPr>
        <w:fldChar w:fldCharType="separate"/>
      </w:r>
      <w:r>
        <w:rPr>
          <w:rStyle w:val="49"/>
          <w:color w:val="000000" w:themeColor="text1"/>
          <w14:textFill>
            <w14:solidFill>
              <w14:schemeClr w14:val="tx1"/>
            </w14:solidFill>
          </w14:textFill>
        </w:rPr>
        <w:t>6</w:t>
      </w:r>
      <w:r>
        <w:rPr>
          <w:rStyle w:val="49"/>
          <w:rFonts w:hint="eastAsia"/>
          <w:color w:val="000000" w:themeColor="text1"/>
          <w14:textFill>
            <w14:solidFill>
              <w14:schemeClr w14:val="tx1"/>
            </w14:solidFill>
          </w14:textFill>
        </w:rPr>
        <w:t xml:space="preserve"> 环境保护措施及其可行性论证</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_Toc216620622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- 245 -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4470C539">
      <w:pPr>
        <w:pStyle w:val="36"/>
        <w:tabs>
          <w:tab w:val="right" w:leader="dot" w:pos="8296"/>
        </w:tabs>
        <w:spacing w:line="440" w:lineRule="exact"/>
        <w:ind w:left="480" w:firstLine="480"/>
        <w:rPr>
          <w:rFonts w:asciiTheme="minorHAnsi" w:hAnsiTheme="minorHAnsi" w:eastAsiaTheme="minorEastAsia" w:cstheme="minorBidi"/>
          <w:color w:val="000000" w:themeColor="text1"/>
          <w:sz w:val="21"/>
          <w:szCs w:val="22"/>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"_Toc216620623" </w:instrText>
      </w:r>
      <w:r>
        <w:rPr>
          <w:color w:val="000000" w:themeColor="text1"/>
          <w14:textFill>
            <w14:solidFill>
              <w14:schemeClr w14:val="tx1"/>
            </w14:solidFill>
          </w14:textFill>
        </w:rPr>
        <w:fldChar w:fldCharType="separate"/>
      </w:r>
      <w:r>
        <w:rPr>
          <w:rStyle w:val="49"/>
          <w:b/>
          <w:bCs/>
          <w:color w:val="000000" w:themeColor="text1"/>
          <w14:textFill>
            <w14:solidFill>
              <w14:schemeClr w14:val="tx1"/>
            </w14:solidFill>
          </w14:textFill>
        </w:rPr>
        <w:t>6.1</w:t>
      </w:r>
      <w:r>
        <w:rPr>
          <w:rStyle w:val="49"/>
          <w:rFonts w:hint="eastAsia"/>
          <w:color w:val="000000" w:themeColor="text1"/>
          <w14:textFill>
            <w14:solidFill>
              <w14:schemeClr w14:val="tx1"/>
            </w14:solidFill>
          </w14:textFill>
        </w:rPr>
        <w:t xml:space="preserve"> 施工期环境保护措施及其可行性分析</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_Toc216620623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- 245 -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585D39CF">
      <w:pPr>
        <w:pStyle w:val="36"/>
        <w:tabs>
          <w:tab w:val="right" w:leader="dot" w:pos="8296"/>
        </w:tabs>
        <w:spacing w:line="440" w:lineRule="exact"/>
        <w:ind w:left="480" w:firstLine="480"/>
        <w:rPr>
          <w:rFonts w:asciiTheme="minorHAnsi" w:hAnsiTheme="minorHAnsi" w:eastAsiaTheme="minorEastAsia" w:cstheme="minorBidi"/>
          <w:color w:val="000000" w:themeColor="text1"/>
          <w:sz w:val="21"/>
          <w:szCs w:val="22"/>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"_Toc216620629" </w:instrText>
      </w:r>
      <w:r>
        <w:rPr>
          <w:color w:val="000000" w:themeColor="text1"/>
          <w14:textFill>
            <w14:solidFill>
              <w14:schemeClr w14:val="tx1"/>
            </w14:solidFill>
          </w14:textFill>
        </w:rPr>
        <w:fldChar w:fldCharType="separate"/>
      </w:r>
      <w:r>
        <w:rPr>
          <w:rStyle w:val="49"/>
          <w:b/>
          <w:bCs/>
          <w:color w:val="000000" w:themeColor="text1"/>
          <w14:textFill>
            <w14:solidFill>
              <w14:schemeClr w14:val="tx1"/>
            </w14:solidFill>
          </w14:textFill>
        </w:rPr>
        <w:t>6.2</w:t>
      </w:r>
      <w:r>
        <w:rPr>
          <w:rStyle w:val="49"/>
          <w:rFonts w:hint="eastAsia"/>
          <w:color w:val="000000" w:themeColor="text1"/>
          <w14:textFill>
            <w14:solidFill>
              <w14:schemeClr w14:val="tx1"/>
            </w14:solidFill>
          </w14:textFill>
        </w:rPr>
        <w:t xml:space="preserve"> 营运期环境保护措施及其可行性分析</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_Toc216620629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- 247 -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525C199E">
      <w:pPr>
        <w:pStyle w:val="36"/>
        <w:tabs>
          <w:tab w:val="right" w:leader="dot" w:pos="8296"/>
        </w:tabs>
        <w:spacing w:line="440" w:lineRule="exact"/>
        <w:ind w:left="480" w:firstLine="480"/>
        <w:rPr>
          <w:rFonts w:asciiTheme="minorHAnsi" w:hAnsiTheme="minorHAnsi" w:eastAsiaTheme="minorEastAsia" w:cstheme="minorBidi"/>
          <w:color w:val="000000" w:themeColor="text1"/>
          <w:sz w:val="21"/>
          <w:szCs w:val="22"/>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"_Toc216620634" </w:instrText>
      </w:r>
      <w:r>
        <w:rPr>
          <w:color w:val="000000" w:themeColor="text1"/>
          <w14:textFill>
            <w14:solidFill>
              <w14:schemeClr w14:val="tx1"/>
            </w14:solidFill>
          </w14:textFill>
        </w:rPr>
        <w:fldChar w:fldCharType="separate"/>
      </w:r>
      <w:r>
        <w:rPr>
          <w:rStyle w:val="49"/>
          <w:b/>
          <w:bCs/>
          <w:color w:val="000000" w:themeColor="text1"/>
          <w14:textFill>
            <w14:solidFill>
              <w14:schemeClr w14:val="tx1"/>
            </w14:solidFill>
          </w14:textFill>
        </w:rPr>
        <w:t>6.3</w:t>
      </w:r>
      <w:r>
        <w:rPr>
          <w:rStyle w:val="49"/>
          <w:rFonts w:hint="eastAsia"/>
          <w:color w:val="000000" w:themeColor="text1"/>
          <w14:textFill>
            <w14:solidFill>
              <w14:schemeClr w14:val="tx1"/>
            </w14:solidFill>
          </w14:textFill>
        </w:rPr>
        <w:t xml:space="preserve"> 生态环境保护措施</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_Toc216620634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- 252 -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6532258E">
      <w:pPr>
        <w:pStyle w:val="36"/>
        <w:tabs>
          <w:tab w:val="right" w:leader="dot" w:pos="8296"/>
        </w:tabs>
        <w:spacing w:line="440" w:lineRule="exact"/>
        <w:ind w:left="480" w:firstLine="480"/>
        <w:rPr>
          <w:rFonts w:asciiTheme="minorHAnsi" w:hAnsiTheme="minorHAnsi" w:eastAsiaTheme="minorEastAsia" w:cstheme="minorBidi"/>
          <w:color w:val="000000" w:themeColor="text1"/>
          <w:sz w:val="21"/>
          <w:szCs w:val="22"/>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"_Toc216620635" </w:instrText>
      </w:r>
      <w:r>
        <w:rPr>
          <w:color w:val="000000" w:themeColor="text1"/>
          <w14:textFill>
            <w14:solidFill>
              <w14:schemeClr w14:val="tx1"/>
            </w14:solidFill>
          </w14:textFill>
        </w:rPr>
        <w:fldChar w:fldCharType="separate"/>
      </w:r>
      <w:r>
        <w:rPr>
          <w:rStyle w:val="49"/>
          <w:b/>
          <w:bCs/>
          <w:color w:val="000000" w:themeColor="text1"/>
          <w14:textFill>
            <w14:solidFill>
              <w14:schemeClr w14:val="tx1"/>
            </w14:solidFill>
          </w14:textFill>
        </w:rPr>
        <w:t>6.4</w:t>
      </w:r>
      <w:r>
        <w:rPr>
          <w:rStyle w:val="49"/>
          <w:rFonts w:hint="eastAsia"/>
          <w:color w:val="000000" w:themeColor="text1"/>
          <w14:textFill>
            <w14:solidFill>
              <w14:schemeClr w14:val="tx1"/>
            </w14:solidFill>
          </w14:textFill>
        </w:rPr>
        <w:t xml:space="preserve"> 风险防范措施</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_Toc216620635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- 252 -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24280082">
      <w:pPr>
        <w:pStyle w:val="36"/>
        <w:tabs>
          <w:tab w:val="right" w:leader="dot" w:pos="8296"/>
        </w:tabs>
        <w:spacing w:line="440" w:lineRule="exact"/>
        <w:ind w:left="480" w:firstLine="480"/>
        <w:rPr>
          <w:rFonts w:asciiTheme="minorHAnsi" w:hAnsiTheme="minorHAnsi" w:eastAsiaTheme="minorEastAsia" w:cstheme="minorBidi"/>
          <w:color w:val="000000" w:themeColor="text1"/>
          <w:sz w:val="21"/>
          <w:szCs w:val="22"/>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"_Toc216620636" </w:instrText>
      </w:r>
      <w:r>
        <w:rPr>
          <w:color w:val="000000" w:themeColor="text1"/>
          <w14:textFill>
            <w14:solidFill>
              <w14:schemeClr w14:val="tx1"/>
            </w14:solidFill>
          </w14:textFill>
        </w:rPr>
        <w:fldChar w:fldCharType="separate"/>
      </w:r>
      <w:r>
        <w:rPr>
          <w:rStyle w:val="49"/>
          <w:b/>
          <w:bCs/>
          <w:color w:val="000000" w:themeColor="text1"/>
          <w14:textFill>
            <w14:solidFill>
              <w14:schemeClr w14:val="tx1"/>
            </w14:solidFill>
          </w14:textFill>
        </w:rPr>
        <w:t>6.5</w:t>
      </w:r>
      <w:r>
        <w:rPr>
          <w:rStyle w:val="49"/>
          <w:rFonts w:hint="eastAsia"/>
          <w:color w:val="000000" w:themeColor="text1"/>
          <w14:textFill>
            <w14:solidFill>
              <w14:schemeClr w14:val="tx1"/>
            </w14:solidFill>
          </w14:textFill>
        </w:rPr>
        <w:t xml:space="preserve"> 工程环保投资一览表</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_Toc216620636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- 253 -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5412755A">
      <w:pPr>
        <w:pStyle w:val="31"/>
        <w:tabs>
          <w:tab w:val="right" w:leader="dot" w:pos="8296"/>
        </w:tabs>
        <w:spacing w:line="440" w:lineRule="exact"/>
        <w:ind w:firstLine="480"/>
        <w:rPr>
          <w:rFonts w:asciiTheme="minorHAnsi" w:hAnsiTheme="minorHAnsi" w:eastAsiaTheme="minorEastAsia" w:cstheme="minorBidi"/>
          <w:color w:val="000000" w:themeColor="text1"/>
          <w:sz w:val="21"/>
          <w:szCs w:val="22"/>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"_Toc216620637" </w:instrText>
      </w:r>
      <w:r>
        <w:rPr>
          <w:color w:val="000000" w:themeColor="text1"/>
          <w14:textFill>
            <w14:solidFill>
              <w14:schemeClr w14:val="tx1"/>
            </w14:solidFill>
          </w14:textFill>
        </w:rPr>
        <w:fldChar w:fldCharType="separate"/>
      </w:r>
      <w:r>
        <w:rPr>
          <w:rStyle w:val="49"/>
          <w:color w:val="000000" w:themeColor="text1"/>
          <w14:textFill>
            <w14:solidFill>
              <w14:schemeClr w14:val="tx1"/>
            </w14:solidFill>
          </w14:textFill>
        </w:rPr>
        <w:t>7</w:t>
      </w:r>
      <w:r>
        <w:rPr>
          <w:rStyle w:val="49"/>
          <w:rFonts w:hint="eastAsia"/>
          <w:color w:val="000000" w:themeColor="text1"/>
          <w14:textFill>
            <w14:solidFill>
              <w14:schemeClr w14:val="tx1"/>
            </w14:solidFill>
          </w14:textFill>
        </w:rPr>
        <w:t xml:space="preserve"> 环境经济损益分析</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_Toc216620637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- 255 -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68C39BD5">
      <w:pPr>
        <w:pStyle w:val="36"/>
        <w:tabs>
          <w:tab w:val="right" w:leader="dot" w:pos="8296"/>
        </w:tabs>
        <w:spacing w:line="440" w:lineRule="exact"/>
        <w:ind w:left="480" w:firstLine="480"/>
        <w:rPr>
          <w:rFonts w:asciiTheme="minorHAnsi" w:hAnsiTheme="minorHAnsi" w:eastAsiaTheme="minorEastAsia" w:cstheme="minorBidi"/>
          <w:color w:val="000000" w:themeColor="text1"/>
          <w:sz w:val="21"/>
          <w:szCs w:val="22"/>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"_Toc216620638" </w:instrText>
      </w:r>
      <w:r>
        <w:rPr>
          <w:color w:val="000000" w:themeColor="text1"/>
          <w14:textFill>
            <w14:solidFill>
              <w14:schemeClr w14:val="tx1"/>
            </w14:solidFill>
          </w14:textFill>
        </w:rPr>
        <w:fldChar w:fldCharType="separate"/>
      </w:r>
      <w:r>
        <w:rPr>
          <w:rStyle w:val="49"/>
          <w:b/>
          <w:bCs/>
          <w:color w:val="000000" w:themeColor="text1"/>
          <w14:textFill>
            <w14:solidFill>
              <w14:schemeClr w14:val="tx1"/>
            </w14:solidFill>
          </w14:textFill>
        </w:rPr>
        <w:t>7.1</w:t>
      </w:r>
      <w:r>
        <w:rPr>
          <w:rStyle w:val="49"/>
          <w:rFonts w:hint="eastAsia"/>
          <w:color w:val="000000" w:themeColor="text1"/>
          <w14:textFill>
            <w14:solidFill>
              <w14:schemeClr w14:val="tx1"/>
            </w14:solidFill>
          </w14:textFill>
        </w:rPr>
        <w:t xml:space="preserve"> 经济效益</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_Toc216620638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- 255 -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701F3E06">
      <w:pPr>
        <w:pStyle w:val="36"/>
        <w:tabs>
          <w:tab w:val="right" w:leader="dot" w:pos="8296"/>
        </w:tabs>
        <w:spacing w:line="440" w:lineRule="exact"/>
        <w:ind w:left="480" w:firstLine="480"/>
        <w:rPr>
          <w:rFonts w:asciiTheme="minorHAnsi" w:hAnsiTheme="minorHAnsi" w:eastAsiaTheme="minorEastAsia" w:cstheme="minorBidi"/>
          <w:color w:val="000000" w:themeColor="text1"/>
          <w:sz w:val="21"/>
          <w:szCs w:val="22"/>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"_Toc216620639" </w:instrText>
      </w:r>
      <w:r>
        <w:rPr>
          <w:color w:val="000000" w:themeColor="text1"/>
          <w14:textFill>
            <w14:solidFill>
              <w14:schemeClr w14:val="tx1"/>
            </w14:solidFill>
          </w14:textFill>
        </w:rPr>
        <w:fldChar w:fldCharType="separate"/>
      </w:r>
      <w:r>
        <w:rPr>
          <w:rStyle w:val="49"/>
          <w:b/>
          <w:bCs/>
          <w:color w:val="000000" w:themeColor="text1"/>
          <w14:textFill>
            <w14:solidFill>
              <w14:schemeClr w14:val="tx1"/>
            </w14:solidFill>
          </w14:textFill>
        </w:rPr>
        <w:t>7.2</w:t>
      </w:r>
      <w:r>
        <w:rPr>
          <w:rStyle w:val="49"/>
          <w:rFonts w:hint="eastAsia"/>
          <w:color w:val="000000" w:themeColor="text1"/>
          <w14:textFill>
            <w14:solidFill>
              <w14:schemeClr w14:val="tx1"/>
            </w14:solidFill>
          </w14:textFill>
        </w:rPr>
        <w:t xml:space="preserve"> 社会效益</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_Toc216620639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- 255 -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78CC590B">
      <w:pPr>
        <w:pStyle w:val="36"/>
        <w:tabs>
          <w:tab w:val="right" w:leader="dot" w:pos="8296"/>
        </w:tabs>
        <w:spacing w:line="440" w:lineRule="exact"/>
        <w:ind w:left="480" w:firstLine="480"/>
        <w:rPr>
          <w:rFonts w:asciiTheme="minorHAnsi" w:hAnsiTheme="minorHAnsi" w:eastAsiaTheme="minorEastAsia" w:cstheme="minorBidi"/>
          <w:color w:val="000000" w:themeColor="text1"/>
          <w:sz w:val="21"/>
          <w:szCs w:val="22"/>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"_Toc216620640" </w:instrText>
      </w:r>
      <w:r>
        <w:rPr>
          <w:color w:val="000000" w:themeColor="text1"/>
          <w14:textFill>
            <w14:solidFill>
              <w14:schemeClr w14:val="tx1"/>
            </w14:solidFill>
          </w14:textFill>
        </w:rPr>
        <w:fldChar w:fldCharType="separate"/>
      </w:r>
      <w:r>
        <w:rPr>
          <w:rStyle w:val="49"/>
          <w:b/>
          <w:bCs/>
          <w:color w:val="000000" w:themeColor="text1"/>
          <w14:textFill>
            <w14:solidFill>
              <w14:schemeClr w14:val="tx1"/>
            </w14:solidFill>
          </w14:textFill>
        </w:rPr>
        <w:t>7.3</w:t>
      </w:r>
      <w:r>
        <w:rPr>
          <w:rStyle w:val="49"/>
          <w:rFonts w:hint="eastAsia"/>
          <w:color w:val="000000" w:themeColor="text1"/>
          <w14:textFill>
            <w14:solidFill>
              <w14:schemeClr w14:val="tx1"/>
            </w14:solidFill>
          </w14:textFill>
        </w:rPr>
        <w:t xml:space="preserve"> 环境效益</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_Toc216620640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- 255 -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57E49F40">
      <w:pPr>
        <w:pStyle w:val="36"/>
        <w:tabs>
          <w:tab w:val="right" w:leader="dot" w:pos="8296"/>
        </w:tabs>
        <w:spacing w:line="440" w:lineRule="exact"/>
        <w:ind w:left="480" w:firstLine="480"/>
        <w:rPr>
          <w:rFonts w:asciiTheme="minorHAnsi" w:hAnsiTheme="minorHAnsi" w:eastAsiaTheme="minorEastAsia" w:cstheme="minorBidi"/>
          <w:color w:val="000000" w:themeColor="text1"/>
          <w:sz w:val="21"/>
          <w:szCs w:val="22"/>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"_Toc216620641" </w:instrText>
      </w:r>
      <w:r>
        <w:rPr>
          <w:color w:val="000000" w:themeColor="text1"/>
          <w14:textFill>
            <w14:solidFill>
              <w14:schemeClr w14:val="tx1"/>
            </w14:solidFill>
          </w14:textFill>
        </w:rPr>
        <w:fldChar w:fldCharType="separate"/>
      </w:r>
      <w:r>
        <w:rPr>
          <w:rStyle w:val="49"/>
          <w:b/>
          <w:bCs/>
          <w:color w:val="000000" w:themeColor="text1"/>
          <w14:textFill>
            <w14:solidFill>
              <w14:schemeClr w14:val="tx1"/>
            </w14:solidFill>
          </w14:textFill>
        </w:rPr>
        <w:t>7.4</w:t>
      </w:r>
      <w:r>
        <w:rPr>
          <w:rStyle w:val="49"/>
          <w:rFonts w:hint="eastAsia"/>
          <w:color w:val="000000" w:themeColor="text1"/>
          <w14:textFill>
            <w14:solidFill>
              <w14:schemeClr w14:val="tx1"/>
            </w14:solidFill>
          </w14:textFill>
        </w:rPr>
        <w:t xml:space="preserve"> 小结</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_Toc216620641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- 256 -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1889D4C6">
      <w:pPr>
        <w:pStyle w:val="31"/>
        <w:tabs>
          <w:tab w:val="right" w:leader="dot" w:pos="8296"/>
        </w:tabs>
        <w:spacing w:line="440" w:lineRule="exact"/>
        <w:ind w:firstLine="480"/>
        <w:rPr>
          <w:rFonts w:asciiTheme="minorHAnsi" w:hAnsiTheme="minorHAnsi" w:eastAsiaTheme="minorEastAsia" w:cstheme="minorBidi"/>
          <w:color w:val="000000" w:themeColor="text1"/>
          <w:sz w:val="21"/>
          <w:szCs w:val="22"/>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"_Toc216620642" </w:instrText>
      </w:r>
      <w:r>
        <w:rPr>
          <w:color w:val="000000" w:themeColor="text1"/>
          <w14:textFill>
            <w14:solidFill>
              <w14:schemeClr w14:val="tx1"/>
            </w14:solidFill>
          </w14:textFill>
        </w:rPr>
        <w:fldChar w:fldCharType="separate"/>
      </w:r>
      <w:r>
        <w:rPr>
          <w:rStyle w:val="49"/>
          <w:color w:val="000000" w:themeColor="text1"/>
          <w14:textFill>
            <w14:solidFill>
              <w14:schemeClr w14:val="tx1"/>
            </w14:solidFill>
          </w14:textFill>
        </w:rPr>
        <w:t>8</w:t>
      </w:r>
      <w:r>
        <w:rPr>
          <w:rStyle w:val="49"/>
          <w:rFonts w:hint="eastAsia"/>
          <w:color w:val="000000" w:themeColor="text1"/>
          <w14:textFill>
            <w14:solidFill>
              <w14:schemeClr w14:val="tx1"/>
            </w14:solidFill>
          </w14:textFill>
        </w:rPr>
        <w:t xml:space="preserve"> 环境管理与监测计划</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_Toc216620642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- 257 -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77D32C64">
      <w:pPr>
        <w:pStyle w:val="36"/>
        <w:tabs>
          <w:tab w:val="right" w:leader="dot" w:pos="8296"/>
        </w:tabs>
        <w:spacing w:line="440" w:lineRule="exact"/>
        <w:ind w:left="480" w:firstLine="480"/>
        <w:rPr>
          <w:rFonts w:asciiTheme="minorHAnsi" w:hAnsiTheme="minorHAnsi" w:eastAsiaTheme="minorEastAsia" w:cstheme="minorBidi"/>
          <w:color w:val="000000" w:themeColor="text1"/>
          <w:sz w:val="21"/>
          <w:szCs w:val="22"/>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"_Toc216620643" </w:instrText>
      </w:r>
      <w:r>
        <w:rPr>
          <w:color w:val="000000" w:themeColor="text1"/>
          <w14:textFill>
            <w14:solidFill>
              <w14:schemeClr w14:val="tx1"/>
            </w14:solidFill>
          </w14:textFill>
        </w:rPr>
        <w:fldChar w:fldCharType="separate"/>
      </w:r>
      <w:r>
        <w:rPr>
          <w:rStyle w:val="49"/>
          <w:b/>
          <w:bCs/>
          <w:color w:val="000000" w:themeColor="text1"/>
          <w14:textFill>
            <w14:solidFill>
              <w14:schemeClr w14:val="tx1"/>
            </w14:solidFill>
          </w14:textFill>
        </w:rPr>
        <w:t>8.1</w:t>
      </w:r>
      <w:r>
        <w:rPr>
          <w:rStyle w:val="49"/>
          <w:rFonts w:hint="eastAsia"/>
          <w:color w:val="000000" w:themeColor="text1"/>
          <w14:textFill>
            <w14:solidFill>
              <w14:schemeClr w14:val="tx1"/>
            </w14:solidFill>
          </w14:textFill>
        </w:rPr>
        <w:t xml:space="preserve"> 环境管理</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_Toc216620643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- 257 -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5772402E">
      <w:pPr>
        <w:pStyle w:val="36"/>
        <w:tabs>
          <w:tab w:val="right" w:leader="dot" w:pos="8296"/>
        </w:tabs>
        <w:spacing w:line="440" w:lineRule="exact"/>
        <w:ind w:left="480" w:firstLine="480"/>
        <w:rPr>
          <w:rFonts w:asciiTheme="minorHAnsi" w:hAnsiTheme="minorHAnsi" w:eastAsiaTheme="minorEastAsia" w:cstheme="minorBidi"/>
          <w:color w:val="000000" w:themeColor="text1"/>
          <w:sz w:val="21"/>
          <w:szCs w:val="22"/>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"_Toc216620648" </w:instrText>
      </w:r>
      <w:r>
        <w:rPr>
          <w:color w:val="000000" w:themeColor="text1"/>
          <w14:textFill>
            <w14:solidFill>
              <w14:schemeClr w14:val="tx1"/>
            </w14:solidFill>
          </w14:textFill>
        </w:rPr>
        <w:fldChar w:fldCharType="separate"/>
      </w:r>
      <w:r>
        <w:rPr>
          <w:rStyle w:val="49"/>
          <w:b/>
          <w:bCs/>
          <w:color w:val="000000" w:themeColor="text1"/>
          <w14:textFill>
            <w14:solidFill>
              <w14:schemeClr w14:val="tx1"/>
            </w14:solidFill>
          </w14:textFill>
        </w:rPr>
        <w:t>8.2</w:t>
      </w:r>
      <w:r>
        <w:rPr>
          <w:rStyle w:val="49"/>
          <w:rFonts w:hint="eastAsia"/>
          <w:color w:val="000000" w:themeColor="text1"/>
          <w14:textFill>
            <w14:solidFill>
              <w14:schemeClr w14:val="tx1"/>
            </w14:solidFill>
          </w14:textFill>
        </w:rPr>
        <w:t xml:space="preserve"> 排污管理要求</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_Toc216620648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- 260 -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7B228F01">
      <w:pPr>
        <w:pStyle w:val="36"/>
        <w:tabs>
          <w:tab w:val="right" w:leader="dot" w:pos="8296"/>
        </w:tabs>
        <w:spacing w:line="440" w:lineRule="exact"/>
        <w:ind w:left="480" w:firstLine="480"/>
        <w:rPr>
          <w:rFonts w:asciiTheme="minorHAnsi" w:hAnsiTheme="minorHAnsi" w:eastAsiaTheme="minorEastAsia" w:cstheme="minorBidi"/>
          <w:color w:val="000000" w:themeColor="text1"/>
          <w:sz w:val="21"/>
          <w:szCs w:val="22"/>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"_Toc216620653" </w:instrText>
      </w:r>
      <w:r>
        <w:rPr>
          <w:color w:val="000000" w:themeColor="text1"/>
          <w14:textFill>
            <w14:solidFill>
              <w14:schemeClr w14:val="tx1"/>
            </w14:solidFill>
          </w14:textFill>
        </w:rPr>
        <w:fldChar w:fldCharType="separate"/>
      </w:r>
      <w:r>
        <w:rPr>
          <w:rStyle w:val="49"/>
          <w:b/>
          <w:bCs/>
          <w:color w:val="000000" w:themeColor="text1"/>
          <w14:textFill>
            <w14:solidFill>
              <w14:schemeClr w14:val="tx1"/>
            </w14:solidFill>
          </w14:textFill>
        </w:rPr>
        <w:t>8.3</w:t>
      </w:r>
      <w:r>
        <w:rPr>
          <w:rStyle w:val="49"/>
          <w:rFonts w:hint="eastAsia"/>
          <w:color w:val="000000" w:themeColor="text1"/>
          <w14:textFill>
            <w14:solidFill>
              <w14:schemeClr w14:val="tx1"/>
            </w14:solidFill>
          </w14:textFill>
        </w:rPr>
        <w:t xml:space="preserve"> 环境监测</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_Toc216620653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- 264 -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11939065">
      <w:pPr>
        <w:pStyle w:val="36"/>
        <w:tabs>
          <w:tab w:val="right" w:leader="dot" w:pos="8296"/>
        </w:tabs>
        <w:spacing w:line="440" w:lineRule="exact"/>
        <w:ind w:left="480" w:firstLine="480"/>
        <w:rPr>
          <w:rFonts w:asciiTheme="minorHAnsi" w:hAnsiTheme="minorHAnsi" w:eastAsiaTheme="minorEastAsia" w:cstheme="minorBidi"/>
          <w:color w:val="000000" w:themeColor="text1"/>
          <w:sz w:val="21"/>
          <w:szCs w:val="22"/>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"_Toc216620657" </w:instrText>
      </w:r>
      <w:r>
        <w:rPr>
          <w:color w:val="000000" w:themeColor="text1"/>
          <w14:textFill>
            <w14:solidFill>
              <w14:schemeClr w14:val="tx1"/>
            </w14:solidFill>
          </w14:textFill>
        </w:rPr>
        <w:fldChar w:fldCharType="separate"/>
      </w:r>
      <w:r>
        <w:rPr>
          <w:rStyle w:val="49"/>
          <w:b/>
          <w:bCs/>
          <w:color w:val="000000" w:themeColor="text1"/>
          <w14:textFill>
            <w14:solidFill>
              <w14:schemeClr w14:val="tx1"/>
            </w14:solidFill>
          </w14:textFill>
        </w:rPr>
        <w:t>8.4</w:t>
      </w:r>
      <w:r>
        <w:rPr>
          <w:rStyle w:val="49"/>
          <w:rFonts w:hint="eastAsia"/>
          <w:color w:val="000000" w:themeColor="text1"/>
          <w14:textFill>
            <w14:solidFill>
              <w14:schemeClr w14:val="tx1"/>
            </w14:solidFill>
          </w14:textFill>
        </w:rPr>
        <w:t xml:space="preserve"> 环境保护</w:t>
      </w:r>
      <w:r>
        <w:rPr>
          <w:rStyle w:val="49"/>
          <w:color w:val="000000" w:themeColor="text1"/>
          <w14:textFill>
            <w14:solidFill>
              <w14:schemeClr w14:val="tx1"/>
            </w14:solidFill>
          </w14:textFill>
        </w:rPr>
        <w:t>“</w:t>
      </w:r>
      <w:r>
        <w:rPr>
          <w:rStyle w:val="49"/>
          <w:rFonts w:hint="eastAsia"/>
          <w:color w:val="000000" w:themeColor="text1"/>
          <w14:textFill>
            <w14:solidFill>
              <w14:schemeClr w14:val="tx1"/>
            </w14:solidFill>
          </w14:textFill>
        </w:rPr>
        <w:t>三同时</w:t>
      </w:r>
      <w:r>
        <w:rPr>
          <w:rStyle w:val="49"/>
          <w:color w:val="000000" w:themeColor="text1"/>
          <w14:textFill>
            <w14:solidFill>
              <w14:schemeClr w14:val="tx1"/>
            </w14:solidFill>
          </w14:textFill>
        </w:rPr>
        <w:t>”</w:t>
      </w:r>
      <w:r>
        <w:rPr>
          <w:rStyle w:val="49"/>
          <w:rFonts w:hint="eastAsia"/>
          <w:color w:val="000000" w:themeColor="text1"/>
          <w14:textFill>
            <w14:solidFill>
              <w14:schemeClr w14:val="tx1"/>
            </w14:solidFill>
          </w14:textFill>
        </w:rPr>
        <w:t>验收一览表</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_Toc216620657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- 265 -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6F0E8250">
      <w:pPr>
        <w:pStyle w:val="31"/>
        <w:tabs>
          <w:tab w:val="right" w:leader="dot" w:pos="8296"/>
        </w:tabs>
        <w:spacing w:line="440" w:lineRule="exact"/>
        <w:ind w:firstLine="480"/>
        <w:rPr>
          <w:rFonts w:asciiTheme="minorHAnsi" w:hAnsiTheme="minorHAnsi" w:eastAsiaTheme="minorEastAsia" w:cstheme="minorBidi"/>
          <w:color w:val="000000" w:themeColor="text1"/>
          <w:sz w:val="21"/>
          <w:szCs w:val="22"/>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"_Toc216620658" </w:instrText>
      </w:r>
      <w:r>
        <w:rPr>
          <w:color w:val="000000" w:themeColor="text1"/>
          <w14:textFill>
            <w14:solidFill>
              <w14:schemeClr w14:val="tx1"/>
            </w14:solidFill>
          </w14:textFill>
        </w:rPr>
        <w:fldChar w:fldCharType="separate"/>
      </w:r>
      <w:r>
        <w:rPr>
          <w:rStyle w:val="49"/>
          <w:color w:val="000000" w:themeColor="text1"/>
          <w14:textFill>
            <w14:solidFill>
              <w14:schemeClr w14:val="tx1"/>
            </w14:solidFill>
          </w14:textFill>
        </w:rPr>
        <w:t>9</w:t>
      </w:r>
      <w:r>
        <w:rPr>
          <w:rStyle w:val="49"/>
          <w:rFonts w:hint="eastAsia"/>
          <w:color w:val="000000" w:themeColor="text1"/>
          <w14:textFill>
            <w14:solidFill>
              <w14:schemeClr w14:val="tx1"/>
            </w14:solidFill>
          </w14:textFill>
        </w:rPr>
        <w:t xml:space="preserve"> 环境影响评价结论</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_Toc216620658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- 267 -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0A02AA03">
      <w:pPr>
        <w:pStyle w:val="36"/>
        <w:tabs>
          <w:tab w:val="right" w:leader="dot" w:pos="8296"/>
        </w:tabs>
        <w:spacing w:line="440" w:lineRule="exact"/>
        <w:ind w:left="480" w:firstLine="480"/>
        <w:rPr>
          <w:rFonts w:asciiTheme="minorHAnsi" w:hAnsiTheme="minorHAnsi" w:eastAsiaTheme="minorEastAsia" w:cstheme="minorBidi"/>
          <w:color w:val="000000" w:themeColor="text1"/>
          <w:sz w:val="21"/>
          <w:szCs w:val="22"/>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"_Toc216620659" </w:instrText>
      </w:r>
      <w:r>
        <w:rPr>
          <w:color w:val="000000" w:themeColor="text1"/>
          <w14:textFill>
            <w14:solidFill>
              <w14:schemeClr w14:val="tx1"/>
            </w14:solidFill>
          </w14:textFill>
        </w:rPr>
        <w:fldChar w:fldCharType="separate"/>
      </w:r>
      <w:r>
        <w:rPr>
          <w:rStyle w:val="49"/>
          <w:b/>
          <w:bCs/>
          <w:color w:val="000000" w:themeColor="text1"/>
          <w14:textFill>
            <w14:solidFill>
              <w14:schemeClr w14:val="tx1"/>
            </w14:solidFill>
          </w14:textFill>
        </w:rPr>
        <w:t>9.1</w:t>
      </w:r>
      <w:r>
        <w:rPr>
          <w:rStyle w:val="49"/>
          <w:rFonts w:hint="eastAsia"/>
          <w:color w:val="000000" w:themeColor="text1"/>
          <w14:textFill>
            <w14:solidFill>
              <w14:schemeClr w14:val="tx1"/>
            </w14:solidFill>
          </w14:textFill>
        </w:rPr>
        <w:t xml:space="preserve"> 项目概况</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_Toc216620659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- 267 -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6DADF5C7">
      <w:pPr>
        <w:pStyle w:val="36"/>
        <w:tabs>
          <w:tab w:val="right" w:leader="dot" w:pos="8296"/>
        </w:tabs>
        <w:spacing w:line="440" w:lineRule="exact"/>
        <w:ind w:left="480" w:firstLine="480"/>
        <w:rPr>
          <w:rFonts w:asciiTheme="minorHAnsi" w:hAnsiTheme="minorHAnsi" w:eastAsiaTheme="minorEastAsia" w:cstheme="minorBidi"/>
          <w:color w:val="000000" w:themeColor="text1"/>
          <w:sz w:val="21"/>
          <w:szCs w:val="22"/>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"_Toc216620660" </w:instrText>
      </w:r>
      <w:r>
        <w:rPr>
          <w:color w:val="000000" w:themeColor="text1"/>
          <w14:textFill>
            <w14:solidFill>
              <w14:schemeClr w14:val="tx1"/>
            </w14:solidFill>
          </w14:textFill>
        </w:rPr>
        <w:fldChar w:fldCharType="separate"/>
      </w:r>
      <w:r>
        <w:rPr>
          <w:rStyle w:val="49"/>
          <w:b/>
          <w:bCs/>
          <w:color w:val="000000" w:themeColor="text1"/>
          <w14:textFill>
            <w14:solidFill>
              <w14:schemeClr w14:val="tx1"/>
            </w14:solidFill>
          </w14:textFill>
        </w:rPr>
        <w:t>9.2</w:t>
      </w:r>
      <w:r>
        <w:rPr>
          <w:rStyle w:val="49"/>
          <w:rFonts w:hint="eastAsia"/>
          <w:color w:val="000000" w:themeColor="text1"/>
          <w14:textFill>
            <w14:solidFill>
              <w14:schemeClr w14:val="tx1"/>
            </w14:solidFill>
          </w14:textFill>
        </w:rPr>
        <w:t xml:space="preserve"> 环境质量现状</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_Toc216620660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- 267 -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55785D26">
      <w:pPr>
        <w:pStyle w:val="36"/>
        <w:tabs>
          <w:tab w:val="right" w:leader="dot" w:pos="8296"/>
        </w:tabs>
        <w:spacing w:line="440" w:lineRule="exact"/>
        <w:ind w:left="480" w:firstLine="480"/>
        <w:rPr>
          <w:rFonts w:asciiTheme="minorHAnsi" w:hAnsiTheme="minorHAnsi" w:eastAsiaTheme="minorEastAsia" w:cstheme="minorBidi"/>
          <w:color w:val="000000" w:themeColor="text1"/>
          <w:sz w:val="21"/>
          <w:szCs w:val="22"/>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"_Toc216620666" </w:instrText>
      </w:r>
      <w:r>
        <w:rPr>
          <w:color w:val="000000" w:themeColor="text1"/>
          <w14:textFill>
            <w14:solidFill>
              <w14:schemeClr w14:val="tx1"/>
            </w14:solidFill>
          </w14:textFill>
        </w:rPr>
        <w:fldChar w:fldCharType="separate"/>
      </w:r>
      <w:r>
        <w:rPr>
          <w:rStyle w:val="49"/>
          <w:b/>
          <w:bCs/>
          <w:color w:val="000000" w:themeColor="text1"/>
          <w14:textFill>
            <w14:solidFill>
              <w14:schemeClr w14:val="tx1"/>
            </w14:solidFill>
          </w14:textFill>
        </w:rPr>
        <w:t>9.3</w:t>
      </w:r>
      <w:r>
        <w:rPr>
          <w:rStyle w:val="49"/>
          <w:rFonts w:hint="eastAsia"/>
          <w:color w:val="000000" w:themeColor="text1"/>
          <w14:textFill>
            <w14:solidFill>
              <w14:schemeClr w14:val="tx1"/>
            </w14:solidFill>
          </w14:textFill>
        </w:rPr>
        <w:t xml:space="preserve"> 环境影响预测与评价结论</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_Toc216620666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- 269 -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548D939E">
      <w:pPr>
        <w:pStyle w:val="36"/>
        <w:tabs>
          <w:tab w:val="right" w:leader="dot" w:pos="8296"/>
        </w:tabs>
        <w:spacing w:line="440" w:lineRule="exact"/>
        <w:ind w:left="480" w:firstLine="480"/>
        <w:rPr>
          <w:rFonts w:asciiTheme="minorHAnsi" w:hAnsiTheme="minorHAnsi" w:eastAsiaTheme="minorEastAsia" w:cstheme="minorBidi"/>
          <w:color w:val="000000" w:themeColor="text1"/>
          <w:sz w:val="21"/>
          <w:szCs w:val="22"/>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"_Toc216620672" </w:instrText>
      </w:r>
      <w:r>
        <w:rPr>
          <w:color w:val="000000" w:themeColor="text1"/>
          <w14:textFill>
            <w14:solidFill>
              <w14:schemeClr w14:val="tx1"/>
            </w14:solidFill>
          </w14:textFill>
        </w:rPr>
        <w:fldChar w:fldCharType="separate"/>
      </w:r>
      <w:r>
        <w:rPr>
          <w:rStyle w:val="49"/>
          <w:b/>
          <w:bCs/>
          <w:color w:val="000000" w:themeColor="text1"/>
          <w14:textFill>
            <w14:solidFill>
              <w14:schemeClr w14:val="tx1"/>
            </w14:solidFill>
          </w14:textFill>
        </w:rPr>
        <w:t>9.4</w:t>
      </w:r>
      <w:r>
        <w:rPr>
          <w:rStyle w:val="49"/>
          <w:rFonts w:hint="eastAsia"/>
          <w:color w:val="000000" w:themeColor="text1"/>
          <w14:textFill>
            <w14:solidFill>
              <w14:schemeClr w14:val="tx1"/>
            </w14:solidFill>
          </w14:textFill>
        </w:rPr>
        <w:t xml:space="preserve"> 环境保护措施</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_Toc216620672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- 271 -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1179EE65">
      <w:pPr>
        <w:pStyle w:val="36"/>
        <w:tabs>
          <w:tab w:val="right" w:leader="dot" w:pos="8296"/>
        </w:tabs>
        <w:spacing w:line="440" w:lineRule="exact"/>
        <w:ind w:left="480" w:firstLine="480"/>
        <w:rPr>
          <w:rFonts w:asciiTheme="minorHAnsi" w:hAnsiTheme="minorHAnsi" w:eastAsiaTheme="minorEastAsia" w:cstheme="minorBidi"/>
          <w:color w:val="000000" w:themeColor="text1"/>
          <w:sz w:val="21"/>
          <w:szCs w:val="22"/>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"_Toc216620677" </w:instrText>
      </w:r>
      <w:r>
        <w:rPr>
          <w:color w:val="000000" w:themeColor="text1"/>
          <w14:textFill>
            <w14:solidFill>
              <w14:schemeClr w14:val="tx1"/>
            </w14:solidFill>
          </w14:textFill>
        </w:rPr>
        <w:fldChar w:fldCharType="separate"/>
      </w:r>
      <w:r>
        <w:rPr>
          <w:rStyle w:val="49"/>
          <w:b/>
          <w:bCs/>
          <w:color w:val="000000" w:themeColor="text1"/>
          <w14:textFill>
            <w14:solidFill>
              <w14:schemeClr w14:val="tx1"/>
            </w14:solidFill>
          </w14:textFill>
        </w:rPr>
        <w:t>9.5</w:t>
      </w:r>
      <w:r>
        <w:rPr>
          <w:rStyle w:val="49"/>
          <w:rFonts w:hint="eastAsia"/>
          <w:color w:val="000000" w:themeColor="text1"/>
          <w14:textFill>
            <w14:solidFill>
              <w14:schemeClr w14:val="tx1"/>
            </w14:solidFill>
          </w14:textFill>
        </w:rPr>
        <w:t xml:space="preserve"> 环境风险评价结论</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_Toc216620677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- 273 -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0EF2D910">
      <w:pPr>
        <w:pStyle w:val="36"/>
        <w:tabs>
          <w:tab w:val="right" w:leader="dot" w:pos="8296"/>
        </w:tabs>
        <w:spacing w:line="440" w:lineRule="exact"/>
        <w:ind w:left="480" w:firstLine="480"/>
        <w:rPr>
          <w:rFonts w:asciiTheme="minorHAnsi" w:hAnsiTheme="minorHAnsi" w:eastAsiaTheme="minorEastAsia" w:cstheme="minorBidi"/>
          <w:color w:val="000000" w:themeColor="text1"/>
          <w:sz w:val="21"/>
          <w:szCs w:val="22"/>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"_Toc216620678" </w:instrText>
      </w:r>
      <w:r>
        <w:rPr>
          <w:color w:val="000000" w:themeColor="text1"/>
          <w14:textFill>
            <w14:solidFill>
              <w14:schemeClr w14:val="tx1"/>
            </w14:solidFill>
          </w14:textFill>
        </w:rPr>
        <w:fldChar w:fldCharType="separate"/>
      </w:r>
      <w:r>
        <w:rPr>
          <w:rStyle w:val="49"/>
          <w:b/>
          <w:bCs/>
          <w:color w:val="000000" w:themeColor="text1"/>
          <w14:textFill>
            <w14:solidFill>
              <w14:schemeClr w14:val="tx1"/>
            </w14:solidFill>
          </w14:textFill>
        </w:rPr>
        <w:t>9.6</w:t>
      </w:r>
      <w:r>
        <w:rPr>
          <w:rStyle w:val="49"/>
          <w:rFonts w:hint="eastAsia"/>
          <w:color w:val="000000" w:themeColor="text1"/>
          <w14:textFill>
            <w14:solidFill>
              <w14:schemeClr w14:val="tx1"/>
            </w14:solidFill>
          </w14:textFill>
        </w:rPr>
        <w:t xml:space="preserve"> 环境影响经济损益分析</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_Toc216620678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- 273 -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2FD3186F">
      <w:pPr>
        <w:pStyle w:val="36"/>
        <w:tabs>
          <w:tab w:val="right" w:leader="dot" w:pos="8296"/>
        </w:tabs>
        <w:spacing w:line="440" w:lineRule="exact"/>
        <w:ind w:left="480" w:firstLine="480"/>
        <w:rPr>
          <w:rFonts w:asciiTheme="minorHAnsi" w:hAnsiTheme="minorHAnsi" w:eastAsiaTheme="minorEastAsia" w:cstheme="minorBidi"/>
          <w:color w:val="000000" w:themeColor="text1"/>
          <w:sz w:val="21"/>
          <w:szCs w:val="22"/>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"_Toc216620679" </w:instrText>
      </w:r>
      <w:r>
        <w:rPr>
          <w:color w:val="000000" w:themeColor="text1"/>
          <w14:textFill>
            <w14:solidFill>
              <w14:schemeClr w14:val="tx1"/>
            </w14:solidFill>
          </w14:textFill>
        </w:rPr>
        <w:fldChar w:fldCharType="separate"/>
      </w:r>
      <w:r>
        <w:rPr>
          <w:rStyle w:val="49"/>
          <w:b/>
          <w:bCs/>
          <w:color w:val="000000" w:themeColor="text1"/>
          <w14:textFill>
            <w14:solidFill>
              <w14:schemeClr w14:val="tx1"/>
            </w14:solidFill>
          </w14:textFill>
        </w:rPr>
        <w:t>9.7</w:t>
      </w:r>
      <w:r>
        <w:rPr>
          <w:rStyle w:val="49"/>
          <w:rFonts w:hint="eastAsia"/>
          <w:color w:val="000000" w:themeColor="text1"/>
          <w14:textFill>
            <w14:solidFill>
              <w14:schemeClr w14:val="tx1"/>
            </w14:solidFill>
          </w14:textFill>
        </w:rPr>
        <w:t xml:space="preserve"> 环境管理与监测计划</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_Toc216620679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- 273 -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54A811B4">
      <w:pPr>
        <w:pStyle w:val="36"/>
        <w:tabs>
          <w:tab w:val="right" w:leader="dot" w:pos="8296"/>
        </w:tabs>
        <w:spacing w:line="440" w:lineRule="exact"/>
        <w:ind w:left="480" w:firstLine="480"/>
        <w:rPr>
          <w:rFonts w:asciiTheme="minorHAnsi" w:hAnsiTheme="minorHAnsi" w:eastAsiaTheme="minorEastAsia" w:cstheme="minorBidi"/>
          <w:color w:val="000000" w:themeColor="text1"/>
          <w:sz w:val="21"/>
          <w:szCs w:val="22"/>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"_Toc216620680" </w:instrText>
      </w:r>
      <w:r>
        <w:rPr>
          <w:color w:val="000000" w:themeColor="text1"/>
          <w14:textFill>
            <w14:solidFill>
              <w14:schemeClr w14:val="tx1"/>
            </w14:solidFill>
          </w14:textFill>
        </w:rPr>
        <w:fldChar w:fldCharType="separate"/>
      </w:r>
      <w:r>
        <w:rPr>
          <w:rStyle w:val="49"/>
          <w:b/>
          <w:bCs/>
          <w:color w:val="000000" w:themeColor="text1"/>
          <w14:textFill>
            <w14:solidFill>
              <w14:schemeClr w14:val="tx1"/>
            </w14:solidFill>
          </w14:textFill>
        </w:rPr>
        <w:t>9.8</w:t>
      </w:r>
      <w:r>
        <w:rPr>
          <w:rStyle w:val="49"/>
          <w:rFonts w:hint="eastAsia"/>
          <w:color w:val="000000" w:themeColor="text1"/>
          <w14:textFill>
            <w14:solidFill>
              <w14:schemeClr w14:val="tx1"/>
            </w14:solidFill>
          </w14:textFill>
        </w:rPr>
        <w:t xml:space="preserve"> 公众意见采纳情况</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_Toc216620680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- 274 -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7BA8CB62">
      <w:pPr>
        <w:pStyle w:val="36"/>
        <w:tabs>
          <w:tab w:val="right" w:leader="dot" w:pos="8296"/>
        </w:tabs>
        <w:spacing w:line="440" w:lineRule="exact"/>
        <w:ind w:left="480" w:firstLine="480"/>
        <w:rPr>
          <w:rFonts w:asciiTheme="minorHAnsi" w:hAnsiTheme="minorHAnsi" w:eastAsiaTheme="minorEastAsia" w:cstheme="minorBidi"/>
          <w:color w:val="000000" w:themeColor="text1"/>
          <w:sz w:val="21"/>
          <w:szCs w:val="22"/>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"_Toc216620681" </w:instrText>
      </w:r>
      <w:r>
        <w:rPr>
          <w:color w:val="000000" w:themeColor="text1"/>
          <w14:textFill>
            <w14:solidFill>
              <w14:schemeClr w14:val="tx1"/>
            </w14:solidFill>
          </w14:textFill>
        </w:rPr>
        <w:fldChar w:fldCharType="separate"/>
      </w:r>
      <w:r>
        <w:rPr>
          <w:rStyle w:val="49"/>
          <w:b/>
          <w:bCs/>
          <w:color w:val="000000" w:themeColor="text1"/>
          <w14:textFill>
            <w14:solidFill>
              <w14:schemeClr w14:val="tx1"/>
            </w14:solidFill>
          </w14:textFill>
        </w:rPr>
        <w:t>9.9</w:t>
      </w:r>
      <w:r>
        <w:rPr>
          <w:rStyle w:val="49"/>
          <w:rFonts w:hint="eastAsia"/>
          <w:color w:val="000000" w:themeColor="text1"/>
          <w14:textFill>
            <w14:solidFill>
              <w14:schemeClr w14:val="tx1"/>
            </w14:solidFill>
          </w14:textFill>
        </w:rPr>
        <w:t xml:space="preserve"> 结论与建议</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_Toc216620681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- 274 -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1C079FB7">
      <w:pPr>
        <w:spacing w:line="440" w:lineRule="exact"/>
        <w:ind w:firstLine="482"/>
        <w:rPr>
          <w:b/>
          <w:bCs/>
          <w:color w:val="000000" w:themeColor="text1"/>
          <w:lang w:val="zh-CN"/>
          <w14:textFill>
            <w14:solidFill>
              <w14:schemeClr w14:val="tx1"/>
            </w14:solidFill>
          </w14:textFill>
        </w:rPr>
      </w:pPr>
      <w:r>
        <w:rPr>
          <w:b/>
          <w:bCs/>
          <w:color w:val="000000" w:themeColor="text1"/>
          <w:lang w:val="zh-CN"/>
          <w14:textFill>
            <w14:solidFill>
              <w14:schemeClr w14:val="tx1"/>
            </w14:solidFill>
          </w14:textFill>
        </w:rPr>
        <w:fldChar w:fldCharType="end"/>
      </w:r>
    </w:p>
    <w:p w14:paraId="08D10BFF">
      <w:pPr>
        <w:pStyle w:val="3"/>
        <w:numPr>
          <w:ilvl w:val="0"/>
          <w:numId w:val="0"/>
        </w:numPr>
        <w:jc w:val="center"/>
        <w:rPr>
          <w:rFonts w:eastAsia="宋体"/>
          <w:bCs/>
          <w:color w:val="000000" w:themeColor="text1"/>
          <w14:textFill>
            <w14:solidFill>
              <w14:schemeClr w14:val="tx1"/>
            </w14:solidFill>
          </w14:textFill>
        </w:rPr>
      </w:pPr>
      <w:bookmarkStart w:id="9" w:name="_Toc216103161"/>
      <w:bookmarkStart w:id="10" w:name="_Toc55483144"/>
      <w:bookmarkStart w:id="11" w:name="_Toc53605129"/>
      <w:bookmarkStart w:id="12" w:name="_Toc58769340"/>
      <w:bookmarkStart w:id="13" w:name="_Toc136878408"/>
      <w:bookmarkStart w:id="14" w:name="_Toc57218167"/>
      <w:bookmarkStart w:id="15" w:name="_Toc216620320"/>
      <w:r>
        <w:rPr>
          <w:rFonts w:eastAsia="宋体"/>
          <w:bCs/>
          <w:color w:val="000000" w:themeColor="text1"/>
          <w14:textFill>
            <w14:solidFill>
              <w14:schemeClr w14:val="tx1"/>
            </w14:solidFill>
          </w14:textFill>
        </w:rPr>
        <w:t>附图、附件、附表</w:t>
      </w:r>
      <w:bookmarkEnd w:id="9"/>
      <w:bookmarkEnd w:id="10"/>
      <w:bookmarkEnd w:id="11"/>
      <w:bookmarkEnd w:id="12"/>
      <w:bookmarkEnd w:id="13"/>
      <w:bookmarkEnd w:id="14"/>
      <w:bookmarkEnd w:id="15"/>
    </w:p>
    <w:p w14:paraId="0C050660">
      <w:pPr>
        <w:ind w:firstLine="0" w:firstLineChars="0"/>
        <w:rPr>
          <w:b/>
          <w:color w:val="000000" w:themeColor="text1"/>
          <w:sz w:val="28"/>
          <w:szCs w:val="28"/>
          <w14:textFill>
            <w14:solidFill>
              <w14:schemeClr w14:val="tx1"/>
            </w14:solidFill>
          </w14:textFill>
        </w:rPr>
      </w:pPr>
      <w:bookmarkStart w:id="16" w:name="_Hlk58770150"/>
      <w:r>
        <w:rPr>
          <w:b/>
          <w:color w:val="000000" w:themeColor="text1"/>
          <w:sz w:val="28"/>
          <w:szCs w:val="28"/>
          <w14:textFill>
            <w14:solidFill>
              <w14:schemeClr w14:val="tx1"/>
            </w14:solidFill>
          </w14:textFill>
        </w:rPr>
        <w:t>附图：</w:t>
      </w:r>
    </w:p>
    <w:p w14:paraId="5D1E2C1C">
      <w:pPr>
        <w:pStyle w:val="75"/>
        <w:numPr>
          <w:ilvl w:val="1"/>
          <w:numId w:val="2"/>
        </w:numPr>
        <w:autoSpaceDE/>
        <w:autoSpaceDN/>
        <w:spacing w:line="360" w:lineRule="auto"/>
        <w:jc w:val="both"/>
        <w:rPr>
          <w:rFonts w:ascii="Times New Roman" w:hAnsi="Times New Roman" w:cs="Times New Roman"/>
          <w:color w:val="000000" w:themeColor="text1"/>
          <w:sz w:val="24"/>
          <w14:textFill>
            <w14:solidFill>
              <w14:schemeClr w14:val="tx1"/>
            </w14:solidFill>
          </w14:textFill>
        </w:rPr>
      </w:pPr>
      <w:bookmarkStart w:id="17" w:name="_Hlk53666962"/>
      <w:r>
        <w:rPr>
          <w:rFonts w:ascii="Times New Roman" w:hAnsi="Times New Roman" w:cs="Times New Roman"/>
          <w:color w:val="000000" w:themeColor="text1"/>
          <w:sz w:val="24"/>
          <w14:textFill>
            <w14:solidFill>
              <w14:schemeClr w14:val="tx1"/>
            </w14:solidFill>
          </w14:textFill>
        </w:rPr>
        <w:t>项目地理位置图</w:t>
      </w:r>
    </w:p>
    <w:p w14:paraId="7FD87819">
      <w:pPr>
        <w:pStyle w:val="75"/>
        <w:numPr>
          <w:ilvl w:val="1"/>
          <w:numId w:val="2"/>
        </w:numPr>
        <w:autoSpaceDE/>
        <w:autoSpaceDN/>
        <w:spacing w:line="360" w:lineRule="auto"/>
        <w:jc w:val="both"/>
        <w:rPr>
          <w:rFonts w:ascii="Times New Roman" w:hAnsi="Times New Roman" w:cs="Times New Roman"/>
          <w:color w:val="000000" w:themeColor="text1"/>
          <w:sz w:val="24"/>
          <w14:textFill>
            <w14:solidFill>
              <w14:schemeClr w14:val="tx1"/>
            </w14:solidFill>
          </w14:textFill>
        </w:rPr>
      </w:pPr>
      <w:r>
        <w:rPr>
          <w:rFonts w:hint="eastAsia" w:ascii="Times New Roman" w:hAnsi="Times New Roman" w:cs="Times New Roman"/>
          <w:color w:val="000000" w:themeColor="text1"/>
          <w:sz w:val="24"/>
          <w:lang w:val="en-US"/>
          <w14:textFill>
            <w14:solidFill>
              <w14:schemeClr w14:val="tx1"/>
            </w14:solidFill>
          </w14:textFill>
        </w:rPr>
        <w:t>项目</w:t>
      </w:r>
      <w:r>
        <w:rPr>
          <w:rFonts w:ascii="Times New Roman" w:hAnsi="Times New Roman" w:cs="Times New Roman"/>
          <w:color w:val="000000" w:themeColor="text1"/>
          <w:sz w:val="24"/>
          <w14:textFill>
            <w14:solidFill>
              <w14:schemeClr w14:val="tx1"/>
            </w14:solidFill>
          </w14:textFill>
        </w:rPr>
        <w:t>平面布置图</w:t>
      </w:r>
    </w:p>
    <w:p w14:paraId="202EA559">
      <w:pPr>
        <w:pStyle w:val="75"/>
        <w:numPr>
          <w:ilvl w:val="1"/>
          <w:numId w:val="2"/>
        </w:numPr>
        <w:autoSpaceDE/>
        <w:autoSpaceDN/>
        <w:spacing w:line="360" w:lineRule="auto"/>
        <w:jc w:val="both"/>
        <w:rPr>
          <w:rFonts w:ascii="Times New Roman" w:hAnsi="Times New Roman" w:cs="Times New Roman"/>
          <w:color w:val="000000" w:themeColor="text1"/>
          <w:sz w:val="24"/>
          <w14:textFill>
            <w14:solidFill>
              <w14:schemeClr w14:val="tx1"/>
            </w14:solidFill>
          </w14:textFill>
        </w:rPr>
      </w:pPr>
      <w:r>
        <w:rPr>
          <w:rFonts w:hint="eastAsia" w:ascii="Times New Roman" w:hAnsi="Times New Roman" w:cs="Times New Roman"/>
          <w:color w:val="000000" w:themeColor="text1"/>
          <w:sz w:val="24"/>
          <w14:textFill>
            <w14:solidFill>
              <w14:schemeClr w14:val="tx1"/>
            </w14:solidFill>
          </w14:textFill>
        </w:rPr>
        <w:t>项目与钦州港总体规划位置示意图</w:t>
      </w:r>
    </w:p>
    <w:bookmarkEnd w:id="17"/>
    <w:p w14:paraId="1DE6F4EE">
      <w:pPr>
        <w:pStyle w:val="75"/>
        <w:numPr>
          <w:ilvl w:val="1"/>
          <w:numId w:val="2"/>
        </w:numPr>
        <w:autoSpaceDE/>
        <w:autoSpaceDN/>
        <w:spacing w:line="360" w:lineRule="auto"/>
        <w:jc w:val="both"/>
        <w:rPr>
          <w:rFonts w:ascii="Times New Roman" w:hAnsi="Times New Roman" w:cs="Times New Roman"/>
          <w:bCs/>
          <w:color w:val="000000" w:themeColor="text1"/>
          <w:sz w:val="24"/>
          <w14:textFill>
            <w14:solidFill>
              <w14:schemeClr w14:val="tx1"/>
            </w14:solidFill>
          </w14:textFill>
        </w:rPr>
      </w:pPr>
      <w:r>
        <w:rPr>
          <w:rFonts w:hint="eastAsia" w:ascii="Times New Roman" w:hAnsi="Times New Roman" w:cs="Times New Roman"/>
          <w:color w:val="000000" w:themeColor="text1"/>
          <w:sz w:val="24"/>
          <w14:textFill>
            <w14:solidFill>
              <w14:schemeClr w14:val="tx1"/>
            </w14:solidFill>
          </w14:textFill>
        </w:rPr>
        <w:t>监测点位示意图</w:t>
      </w:r>
    </w:p>
    <w:p w14:paraId="0E242AE7">
      <w:pPr>
        <w:pStyle w:val="75"/>
        <w:numPr>
          <w:ilvl w:val="1"/>
          <w:numId w:val="2"/>
        </w:numPr>
        <w:autoSpaceDE/>
        <w:autoSpaceDN/>
        <w:spacing w:line="360" w:lineRule="auto"/>
        <w:jc w:val="both"/>
        <w:rPr>
          <w:rFonts w:ascii="Times New Roman" w:hAnsi="Times New Roman" w:cs="Times New Roman"/>
          <w:b/>
          <w:color w:val="000000" w:themeColor="text1"/>
          <w:sz w:val="24"/>
          <w14:textFill>
            <w14:solidFill>
              <w14:schemeClr w14:val="tx1"/>
            </w14:solidFill>
          </w14:textFill>
        </w:rPr>
      </w:pPr>
      <w:bookmarkStart w:id="18" w:name="_Hlk53664998"/>
      <w:r>
        <w:rPr>
          <w:rFonts w:hint="eastAsia" w:ascii="Times New Roman" w:hAnsi="Times New Roman" w:cs="Times New Roman"/>
          <w:bCs/>
          <w:color w:val="000000" w:themeColor="text1"/>
          <w:sz w:val="24"/>
          <w14:textFill>
            <w14:solidFill>
              <w14:schemeClr w14:val="tx1"/>
            </w14:solidFill>
          </w14:textFill>
        </w:rPr>
        <w:t>项目海洋环境调查范围及监测布点图</w:t>
      </w:r>
    </w:p>
    <w:bookmarkEnd w:id="18"/>
    <w:p w14:paraId="26F1655F">
      <w:pPr>
        <w:pStyle w:val="75"/>
        <w:numPr>
          <w:ilvl w:val="1"/>
          <w:numId w:val="2"/>
        </w:numPr>
        <w:autoSpaceDE/>
        <w:autoSpaceDN/>
        <w:spacing w:line="360" w:lineRule="auto"/>
        <w:jc w:val="both"/>
        <w:rPr>
          <w:rFonts w:ascii="Times New Roman" w:hAnsi="Times New Roman" w:cs="Times New Roman"/>
          <w:bCs/>
          <w:color w:val="000000" w:themeColor="text1"/>
          <w:sz w:val="24"/>
          <w14:textFill>
            <w14:solidFill>
              <w14:schemeClr w14:val="tx1"/>
            </w14:solidFill>
          </w14:textFill>
        </w:rPr>
      </w:pPr>
      <w:bookmarkStart w:id="19" w:name="_Hlk53665407"/>
      <w:r>
        <w:rPr>
          <w:rFonts w:hint="eastAsia" w:ascii="Times New Roman" w:hAnsi="Times New Roman" w:cs="Times New Roman"/>
          <w:bCs/>
          <w:color w:val="000000" w:themeColor="text1"/>
          <w:sz w:val="24"/>
          <w14:textFill>
            <w14:solidFill>
              <w14:schemeClr w14:val="tx1"/>
            </w14:solidFill>
          </w14:textFill>
        </w:rPr>
        <w:t>项目与广西近岸海域环境功能区划调整方案位置示意图</w:t>
      </w:r>
    </w:p>
    <w:bookmarkEnd w:id="19"/>
    <w:p w14:paraId="403B6C83">
      <w:pPr>
        <w:pStyle w:val="75"/>
        <w:numPr>
          <w:ilvl w:val="1"/>
          <w:numId w:val="2"/>
        </w:numPr>
        <w:autoSpaceDE/>
        <w:autoSpaceDN/>
        <w:spacing w:line="360" w:lineRule="auto"/>
        <w:jc w:val="both"/>
        <w:rPr>
          <w:rFonts w:ascii="Times New Roman" w:hAnsi="Times New Roman" w:cs="Times New Roman"/>
          <w:bCs/>
          <w:color w:val="000000" w:themeColor="text1"/>
          <w:sz w:val="24"/>
          <w14:textFill>
            <w14:solidFill>
              <w14:schemeClr w14:val="tx1"/>
            </w14:solidFill>
          </w14:textFill>
        </w:rPr>
      </w:pPr>
      <w:bookmarkStart w:id="20" w:name="_Hlk53665555"/>
      <w:r>
        <w:rPr>
          <w:rFonts w:hint="eastAsia" w:ascii="Times New Roman" w:hAnsi="Times New Roman" w:cs="Times New Roman"/>
          <w:bCs/>
          <w:color w:val="000000" w:themeColor="text1"/>
          <w:sz w:val="24"/>
          <w14:textFill>
            <w14:solidFill>
              <w14:schemeClr w14:val="tx1"/>
            </w14:solidFill>
          </w14:textFill>
        </w:rPr>
        <w:t>项目与广西壮族自治区海洋功能区划位置关系</w:t>
      </w:r>
    </w:p>
    <w:p w14:paraId="47CE3040">
      <w:pPr>
        <w:pStyle w:val="75"/>
        <w:numPr>
          <w:ilvl w:val="1"/>
          <w:numId w:val="2"/>
        </w:numPr>
        <w:autoSpaceDE/>
        <w:autoSpaceDN/>
        <w:spacing w:line="360" w:lineRule="auto"/>
        <w:jc w:val="both"/>
        <w:rPr>
          <w:rFonts w:ascii="Times New Roman" w:hAnsi="Times New Roman" w:cs="Times New Roman"/>
          <w:bCs/>
          <w:color w:val="000000" w:themeColor="text1"/>
          <w:sz w:val="24"/>
          <w14:textFill>
            <w14:solidFill>
              <w14:schemeClr w14:val="tx1"/>
            </w14:solidFill>
          </w14:textFill>
        </w:rPr>
      </w:pPr>
      <w:bookmarkStart w:id="21" w:name="_Hlk53730998"/>
      <w:r>
        <w:rPr>
          <w:rFonts w:hint="eastAsia" w:ascii="Times New Roman" w:hAnsi="Times New Roman" w:cs="Times New Roman"/>
          <w:bCs/>
          <w:color w:val="000000" w:themeColor="text1"/>
          <w:sz w:val="24"/>
          <w14:textFill>
            <w14:solidFill>
              <w14:schemeClr w14:val="tx1"/>
            </w14:solidFill>
          </w14:textFill>
        </w:rPr>
        <w:t>项目与石化园区规划关系示意图</w:t>
      </w:r>
    </w:p>
    <w:p w14:paraId="08A794AE">
      <w:pPr>
        <w:pStyle w:val="75"/>
        <w:numPr>
          <w:ilvl w:val="1"/>
          <w:numId w:val="2"/>
        </w:numPr>
        <w:autoSpaceDE/>
        <w:autoSpaceDN/>
        <w:spacing w:line="360" w:lineRule="auto"/>
        <w:jc w:val="both"/>
        <w:rPr>
          <w:rFonts w:ascii="Times New Roman" w:hAnsi="Times New Roman" w:cs="Times New Roman"/>
          <w:bCs/>
          <w:color w:val="000000" w:themeColor="text1"/>
          <w:sz w:val="24"/>
          <w14:textFill>
            <w14:solidFill>
              <w14:schemeClr w14:val="tx1"/>
            </w14:solidFill>
          </w14:textFill>
        </w:rPr>
      </w:pPr>
      <w:r>
        <w:rPr>
          <w:rFonts w:hint="eastAsia" w:ascii="Times New Roman" w:hAnsi="Times New Roman" w:cs="Times New Roman"/>
          <w:bCs/>
          <w:color w:val="000000" w:themeColor="text1"/>
          <w:sz w:val="24"/>
          <w14:textFill>
            <w14:solidFill>
              <w14:schemeClr w14:val="tx1"/>
            </w14:solidFill>
          </w14:textFill>
        </w:rPr>
        <w:t>项目保护目标示意</w:t>
      </w:r>
      <w:r>
        <w:rPr>
          <w:rFonts w:ascii="Times New Roman" w:hAnsi="Times New Roman" w:cs="Times New Roman"/>
          <w:bCs/>
          <w:color w:val="000000" w:themeColor="text1"/>
          <w:sz w:val="24"/>
          <w14:textFill>
            <w14:solidFill>
              <w14:schemeClr w14:val="tx1"/>
            </w14:solidFill>
          </w14:textFill>
        </w:rPr>
        <w:t>图</w:t>
      </w:r>
    </w:p>
    <w:p w14:paraId="588D6F83">
      <w:pPr>
        <w:pStyle w:val="75"/>
        <w:numPr>
          <w:ilvl w:val="1"/>
          <w:numId w:val="2"/>
        </w:numPr>
        <w:autoSpaceDE/>
        <w:autoSpaceDN/>
        <w:spacing w:line="360" w:lineRule="auto"/>
        <w:jc w:val="both"/>
        <w:rPr>
          <w:rFonts w:ascii="Times New Roman" w:hAnsi="Times New Roman" w:cs="Times New Roman"/>
          <w:bCs/>
          <w:color w:val="000000" w:themeColor="text1"/>
          <w:sz w:val="24"/>
          <w14:textFill>
            <w14:solidFill>
              <w14:schemeClr w14:val="tx1"/>
            </w14:solidFill>
          </w14:textFill>
        </w:rPr>
      </w:pPr>
      <w:r>
        <w:rPr>
          <w:rFonts w:hint="eastAsia" w:ascii="Times New Roman" w:hAnsi="Times New Roman" w:cs="Times New Roman"/>
          <w:bCs/>
          <w:color w:val="000000" w:themeColor="text1"/>
          <w:sz w:val="24"/>
          <w:lang w:val="en-US"/>
          <w14:textFill>
            <w14:solidFill>
              <w14:schemeClr w14:val="tx1"/>
            </w14:solidFill>
          </w14:textFill>
        </w:rPr>
        <w:t>管道布置图</w:t>
      </w:r>
    </w:p>
    <w:p w14:paraId="3BCF3C80">
      <w:pPr>
        <w:pStyle w:val="75"/>
        <w:numPr>
          <w:ilvl w:val="1"/>
          <w:numId w:val="2"/>
        </w:numPr>
        <w:autoSpaceDE/>
        <w:autoSpaceDN/>
        <w:spacing w:line="360" w:lineRule="auto"/>
        <w:jc w:val="both"/>
        <w:rPr>
          <w:rFonts w:ascii="Times New Roman" w:hAnsi="Times New Roman" w:cs="Times New Roman"/>
          <w:bCs/>
          <w:color w:val="000000" w:themeColor="text1"/>
          <w:sz w:val="24"/>
          <w14:textFill>
            <w14:solidFill>
              <w14:schemeClr w14:val="tx1"/>
            </w14:solidFill>
          </w14:textFill>
        </w:rPr>
      </w:pPr>
      <w:r>
        <w:rPr>
          <w:rFonts w:hint="eastAsia" w:ascii="Times New Roman" w:hAnsi="Times New Roman" w:cs="Times New Roman"/>
          <w:bCs/>
          <w:color w:val="000000" w:themeColor="text1"/>
          <w:sz w:val="24"/>
          <w14:textFill>
            <w14:solidFill>
              <w14:schemeClr w14:val="tx1"/>
            </w14:solidFill>
          </w14:textFill>
        </w:rPr>
        <w:t>项目与北部湾港总体规划位置示意图</w:t>
      </w:r>
    </w:p>
    <w:p w14:paraId="3CCA280A">
      <w:pPr>
        <w:pStyle w:val="75"/>
        <w:numPr>
          <w:ilvl w:val="1"/>
          <w:numId w:val="2"/>
        </w:numPr>
        <w:autoSpaceDE/>
        <w:autoSpaceDN/>
        <w:spacing w:line="360" w:lineRule="auto"/>
        <w:jc w:val="both"/>
        <w:rPr>
          <w:rFonts w:ascii="Times New Roman" w:hAnsi="Times New Roman" w:cs="Times New Roman"/>
          <w:bCs/>
          <w:color w:val="000000" w:themeColor="text1"/>
          <w:sz w:val="24"/>
          <w14:textFill>
            <w14:solidFill>
              <w14:schemeClr w14:val="tx1"/>
            </w14:solidFill>
          </w14:textFill>
        </w:rPr>
      </w:pPr>
      <w:r>
        <w:rPr>
          <w:rFonts w:hint="eastAsia" w:ascii="Times New Roman" w:hAnsi="Times New Roman" w:cs="Times New Roman"/>
          <w:bCs/>
          <w:color w:val="000000" w:themeColor="text1"/>
          <w:sz w:val="24"/>
          <w14:textFill>
            <w14:solidFill>
              <w14:schemeClr w14:val="tx1"/>
            </w14:solidFill>
          </w14:textFill>
        </w:rPr>
        <w:t>项目与金谷港区规划位置示意图</w:t>
      </w:r>
    </w:p>
    <w:p w14:paraId="6BAE7E91">
      <w:pPr>
        <w:pStyle w:val="75"/>
        <w:autoSpaceDE/>
        <w:autoSpaceDN/>
        <w:spacing w:line="360" w:lineRule="auto"/>
        <w:ind w:left="420" w:firstLine="0"/>
        <w:jc w:val="both"/>
        <w:rPr>
          <w:rFonts w:hint="eastAsia" w:ascii="Times New Roman" w:hAnsi="Times New Roman" w:cs="Times New Roman"/>
          <w:bCs/>
          <w:color w:val="000000" w:themeColor="text1"/>
          <w:sz w:val="24"/>
          <w14:textFill>
            <w14:solidFill>
              <w14:schemeClr w14:val="tx1"/>
            </w14:solidFill>
          </w14:textFill>
        </w:rPr>
      </w:pPr>
      <w:r>
        <w:rPr>
          <w:rFonts w:hint="eastAsia" w:ascii="Times New Roman" w:hAnsi="Times New Roman" w:cs="Times New Roman"/>
          <w:bCs/>
          <w:color w:val="000000" w:themeColor="text1"/>
          <w:sz w:val="24"/>
          <w14:textFill>
            <w14:solidFill>
              <w14:schemeClr w14:val="tx1"/>
            </w14:solidFill>
          </w14:textFill>
        </w:rPr>
        <w:t>附图13项目与钦州市国土空间总体规划（2021-2035年）</w:t>
      </w:r>
    </w:p>
    <w:p w14:paraId="6F7B4B44">
      <w:pPr>
        <w:pStyle w:val="75"/>
        <w:autoSpaceDE/>
        <w:autoSpaceDN/>
        <w:spacing w:line="360" w:lineRule="auto"/>
        <w:ind w:left="420" w:firstLine="0"/>
        <w:jc w:val="both"/>
        <w:rPr>
          <w:rFonts w:hint="eastAsia" w:ascii="Times New Roman" w:hAnsi="Times New Roman" w:cs="Times New Roman"/>
          <w:bCs/>
          <w:color w:val="000000" w:themeColor="text1"/>
          <w:sz w:val="24"/>
          <w:lang w:val="en-US" w:eastAsia="zh-CN"/>
          <w14:textFill>
            <w14:solidFill>
              <w14:schemeClr w14:val="tx1"/>
            </w14:solidFill>
          </w14:textFill>
        </w:rPr>
      </w:pPr>
      <w:r>
        <w:rPr>
          <w:rFonts w:hint="eastAsia" w:ascii="Times New Roman" w:hAnsi="Times New Roman" w:cs="Times New Roman"/>
          <w:bCs/>
          <w:color w:val="000000" w:themeColor="text1"/>
          <w:sz w:val="24"/>
          <w:lang w:val="en-US" w:eastAsia="zh-CN"/>
          <w14:textFill>
            <w14:solidFill>
              <w14:schemeClr w14:val="tx1"/>
            </w14:solidFill>
          </w14:textFill>
        </w:rPr>
        <w:t>附图14项目与海洋两空间内部一红线位置示意图</w:t>
      </w:r>
    </w:p>
    <w:p w14:paraId="4CDA104A">
      <w:pPr>
        <w:pStyle w:val="75"/>
        <w:autoSpaceDE/>
        <w:autoSpaceDN/>
        <w:spacing w:line="360" w:lineRule="auto"/>
        <w:ind w:left="420" w:firstLine="0"/>
        <w:jc w:val="both"/>
        <w:rPr>
          <w:rFonts w:hint="default" w:ascii="Times New Roman" w:hAnsi="Times New Roman" w:cs="Times New Roman"/>
          <w:bCs/>
          <w:color w:val="000000" w:themeColor="text1"/>
          <w:sz w:val="24"/>
          <w:lang w:val="en-US" w:eastAsia="zh-CN"/>
          <w14:textFill>
            <w14:solidFill>
              <w14:schemeClr w14:val="tx1"/>
            </w14:solidFill>
          </w14:textFill>
        </w:rPr>
      </w:pPr>
      <w:r>
        <w:rPr>
          <w:rFonts w:hint="eastAsia" w:ascii="Times New Roman" w:hAnsi="Times New Roman" w:cs="Times New Roman"/>
          <w:bCs/>
          <w:color w:val="000000" w:themeColor="text1"/>
          <w:sz w:val="24"/>
          <w:lang w:val="en-US" w:eastAsia="zh-CN"/>
          <w14:textFill>
            <w14:solidFill>
              <w14:schemeClr w14:val="tx1"/>
            </w14:solidFill>
          </w14:textFill>
        </w:rPr>
        <w:t>附图15项目与钦州重要湿地位置示意图</w:t>
      </w:r>
    </w:p>
    <w:bookmarkEnd w:id="20"/>
    <w:bookmarkEnd w:id="21"/>
    <w:p w14:paraId="32341CBC">
      <w:pPr>
        <w:ind w:firstLine="0" w:firstLineChars="0"/>
        <w:rPr>
          <w:b/>
          <w:color w:val="000000" w:themeColor="text1"/>
          <w:sz w:val="28"/>
          <w:szCs w:val="28"/>
          <w14:textFill>
            <w14:solidFill>
              <w14:schemeClr w14:val="tx1"/>
            </w14:solidFill>
          </w14:textFill>
        </w:rPr>
      </w:pPr>
      <w:r>
        <w:rPr>
          <w:b/>
          <w:color w:val="000000" w:themeColor="text1"/>
          <w:sz w:val="28"/>
          <w:szCs w:val="28"/>
          <w14:textFill>
            <w14:solidFill>
              <w14:schemeClr w14:val="tx1"/>
            </w14:solidFill>
          </w14:textFill>
        </w:rPr>
        <w:t>附件：</w:t>
      </w:r>
    </w:p>
    <w:p w14:paraId="302BD29D">
      <w:pPr>
        <w:pStyle w:val="75"/>
        <w:numPr>
          <w:ilvl w:val="1"/>
          <w:numId w:val="3"/>
        </w:numPr>
        <w:autoSpaceDE/>
        <w:autoSpaceDN/>
        <w:spacing w:line="360" w:lineRule="auto"/>
        <w:ind w:left="0" w:firstLine="420"/>
        <w:jc w:val="both"/>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t>项目委托书</w:t>
      </w:r>
    </w:p>
    <w:p w14:paraId="2210E98F">
      <w:pPr>
        <w:pStyle w:val="75"/>
        <w:numPr>
          <w:ilvl w:val="1"/>
          <w:numId w:val="3"/>
        </w:numPr>
        <w:autoSpaceDE/>
        <w:autoSpaceDN/>
        <w:spacing w:line="360" w:lineRule="auto"/>
        <w:ind w:left="0" w:firstLine="420"/>
        <w:jc w:val="both"/>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t>项目</w:t>
      </w:r>
      <w:r>
        <w:rPr>
          <w:rFonts w:hint="eastAsia" w:ascii="Times New Roman" w:hAnsi="Times New Roman" w:cs="Times New Roman"/>
          <w:color w:val="000000" w:themeColor="text1"/>
          <w:sz w:val="24"/>
          <w:lang w:val="en-US"/>
          <w14:textFill>
            <w14:solidFill>
              <w14:schemeClr w14:val="tx1"/>
            </w14:solidFill>
          </w14:textFill>
        </w:rPr>
        <w:t>备案证明</w:t>
      </w:r>
    </w:p>
    <w:p w14:paraId="053C40FE">
      <w:pPr>
        <w:pStyle w:val="75"/>
        <w:numPr>
          <w:ilvl w:val="1"/>
          <w:numId w:val="3"/>
        </w:numPr>
        <w:autoSpaceDE/>
        <w:autoSpaceDN/>
        <w:spacing w:line="360" w:lineRule="auto"/>
        <w:ind w:left="0" w:firstLine="420"/>
        <w:jc w:val="both"/>
        <w:rPr>
          <w:rFonts w:ascii="Times New Roman" w:hAnsi="Times New Roman" w:cs="Times New Roman"/>
          <w:color w:val="000000" w:themeColor="text1"/>
          <w:sz w:val="24"/>
          <w14:textFill>
            <w14:solidFill>
              <w14:schemeClr w14:val="tx1"/>
            </w14:solidFill>
          </w14:textFill>
        </w:rPr>
      </w:pPr>
      <w:r>
        <w:rPr>
          <w:rFonts w:hint="eastAsia" w:ascii="Times New Roman" w:hAnsi="Times New Roman" w:cs="Times New Roman"/>
          <w:color w:val="000000" w:themeColor="text1"/>
          <w:sz w:val="24"/>
          <w14:textFill>
            <w14:solidFill>
              <w14:schemeClr w14:val="tx1"/>
            </w14:solidFill>
          </w14:textFill>
        </w:rPr>
        <w:t>钦州市生态环境局关于钦州港金谷港区金鼓江作业区14号、15号泊位工程(重大变动)环境影响报告书的批复</w:t>
      </w:r>
    </w:p>
    <w:p w14:paraId="163C94D4">
      <w:pPr>
        <w:pStyle w:val="75"/>
        <w:numPr>
          <w:ilvl w:val="1"/>
          <w:numId w:val="3"/>
        </w:numPr>
        <w:autoSpaceDE/>
        <w:autoSpaceDN/>
        <w:spacing w:line="360" w:lineRule="auto"/>
        <w:ind w:left="0" w:firstLine="420"/>
        <w:jc w:val="both"/>
        <w:rPr>
          <w:rFonts w:ascii="Times New Roman" w:hAnsi="Times New Roman" w:cs="Times New Roman"/>
          <w:color w:val="000000" w:themeColor="text1"/>
          <w:sz w:val="24"/>
          <w14:textFill>
            <w14:solidFill>
              <w14:schemeClr w14:val="tx1"/>
            </w14:solidFill>
          </w14:textFill>
        </w:rPr>
      </w:pPr>
      <w:r>
        <w:rPr>
          <w:rFonts w:hint="eastAsia" w:ascii="Times New Roman" w:hAnsi="Times New Roman" w:cs="Times New Roman"/>
          <w:color w:val="000000" w:themeColor="text1"/>
          <w:sz w:val="24"/>
          <w14:textFill>
            <w14:solidFill>
              <w14:schemeClr w14:val="tx1"/>
            </w14:solidFill>
          </w14:textFill>
        </w:rPr>
        <w:t>逸海港务14#泊位经营许可证</w:t>
      </w:r>
    </w:p>
    <w:p w14:paraId="50AF3219">
      <w:pPr>
        <w:pStyle w:val="75"/>
        <w:numPr>
          <w:ilvl w:val="1"/>
          <w:numId w:val="3"/>
        </w:numPr>
        <w:autoSpaceDE/>
        <w:autoSpaceDN/>
        <w:spacing w:line="360" w:lineRule="auto"/>
        <w:ind w:left="0" w:firstLine="420"/>
        <w:jc w:val="both"/>
        <w:rPr>
          <w:rFonts w:ascii="Times New Roman" w:hAnsi="Times New Roman" w:cs="Times New Roman"/>
          <w:color w:val="000000" w:themeColor="text1"/>
          <w:sz w:val="24"/>
          <w14:textFill>
            <w14:solidFill>
              <w14:schemeClr w14:val="tx1"/>
            </w14:solidFill>
          </w14:textFill>
        </w:rPr>
      </w:pPr>
      <w:r>
        <w:rPr>
          <w:rFonts w:hint="eastAsia" w:ascii="Times New Roman" w:hAnsi="Times New Roman" w:cs="Times New Roman"/>
          <w:color w:val="000000" w:themeColor="text1"/>
          <w:sz w:val="24"/>
          <w14:textFill>
            <w14:solidFill>
              <w14:schemeClr w14:val="tx1"/>
            </w14:solidFill>
          </w14:textFill>
        </w:rPr>
        <w:t>应急预案备案</w:t>
      </w:r>
    </w:p>
    <w:p w14:paraId="12CBD4BF">
      <w:pPr>
        <w:pStyle w:val="75"/>
        <w:numPr>
          <w:ilvl w:val="1"/>
          <w:numId w:val="3"/>
        </w:numPr>
        <w:autoSpaceDE/>
        <w:autoSpaceDN/>
        <w:spacing w:line="360" w:lineRule="auto"/>
        <w:ind w:left="0" w:firstLine="420"/>
        <w:jc w:val="both"/>
        <w:rPr>
          <w:rFonts w:ascii="Times New Roman" w:hAnsi="Times New Roman" w:cs="Times New Roman"/>
          <w:color w:val="000000" w:themeColor="text1"/>
          <w:sz w:val="24"/>
          <w14:textFill>
            <w14:solidFill>
              <w14:schemeClr w14:val="tx1"/>
            </w14:solidFill>
          </w14:textFill>
        </w:rPr>
      </w:pPr>
      <w:r>
        <w:rPr>
          <w:rFonts w:hint="eastAsia" w:ascii="Times New Roman" w:hAnsi="Times New Roman" w:cs="Times New Roman"/>
          <w:color w:val="000000" w:themeColor="text1"/>
          <w:sz w:val="24"/>
          <w14:textFill>
            <w14:solidFill>
              <w14:schemeClr w14:val="tx1"/>
            </w14:solidFill>
          </w14:textFill>
        </w:rPr>
        <w:t>项目监测报告（海洋环境）</w:t>
      </w:r>
    </w:p>
    <w:p w14:paraId="5184154B">
      <w:pPr>
        <w:pStyle w:val="75"/>
        <w:numPr>
          <w:ilvl w:val="1"/>
          <w:numId w:val="3"/>
        </w:numPr>
        <w:autoSpaceDE/>
        <w:autoSpaceDN/>
        <w:spacing w:line="360" w:lineRule="auto"/>
        <w:ind w:left="0" w:firstLine="420"/>
        <w:jc w:val="both"/>
        <w:rPr>
          <w:rFonts w:ascii="Times New Roman" w:hAnsi="Times New Roman" w:cs="Times New Roman"/>
          <w:color w:val="000000" w:themeColor="text1"/>
          <w:sz w:val="24"/>
          <w14:textFill>
            <w14:solidFill>
              <w14:schemeClr w14:val="tx1"/>
            </w14:solidFill>
          </w14:textFill>
        </w:rPr>
      </w:pPr>
      <w:r>
        <w:rPr>
          <w:rFonts w:hint="eastAsia" w:ascii="Times New Roman" w:hAnsi="Times New Roman" w:cs="Times New Roman"/>
          <w:color w:val="000000" w:themeColor="text1"/>
          <w:sz w:val="24"/>
          <w14:textFill>
            <w14:solidFill>
              <w14:schemeClr w14:val="tx1"/>
            </w14:solidFill>
          </w14:textFill>
        </w:rPr>
        <w:t>项目监测报告（环境空气、地下水、噪声、土壤）</w:t>
      </w:r>
    </w:p>
    <w:p w14:paraId="5C1E1F7F">
      <w:pPr>
        <w:pStyle w:val="75"/>
        <w:numPr>
          <w:ilvl w:val="1"/>
          <w:numId w:val="3"/>
        </w:numPr>
        <w:autoSpaceDE/>
        <w:autoSpaceDN/>
        <w:spacing w:line="360" w:lineRule="auto"/>
        <w:ind w:left="0" w:firstLine="420"/>
        <w:jc w:val="both"/>
        <w:rPr>
          <w:rFonts w:ascii="Times New Roman" w:hAnsi="Times New Roman" w:cs="Times New Roman"/>
          <w:color w:val="000000" w:themeColor="text1"/>
          <w:sz w:val="24"/>
          <w14:textFill>
            <w14:solidFill>
              <w14:schemeClr w14:val="tx1"/>
            </w14:solidFill>
          </w14:textFill>
        </w:rPr>
      </w:pPr>
      <w:r>
        <w:rPr>
          <w:rFonts w:hint="eastAsia" w:ascii="Times New Roman" w:hAnsi="Times New Roman" w:cs="Times New Roman"/>
          <w:color w:val="000000" w:themeColor="text1"/>
          <w:sz w:val="24"/>
          <w14:textFill>
            <w14:solidFill>
              <w14:schemeClr w14:val="tx1"/>
            </w14:solidFill>
          </w14:textFill>
        </w:rPr>
        <w:t>项目监测报告（环境空气）</w:t>
      </w:r>
    </w:p>
    <w:p w14:paraId="0158252C">
      <w:pPr>
        <w:pStyle w:val="75"/>
        <w:numPr>
          <w:ilvl w:val="1"/>
          <w:numId w:val="3"/>
        </w:numPr>
        <w:autoSpaceDE/>
        <w:autoSpaceDN/>
        <w:spacing w:line="360" w:lineRule="auto"/>
        <w:jc w:val="both"/>
        <w:rPr>
          <w:rFonts w:ascii="Times New Roman" w:hAnsi="Times New Roman" w:cs="Times New Roman"/>
          <w:color w:val="000000" w:themeColor="text1"/>
          <w:sz w:val="24"/>
          <w14:textFill>
            <w14:solidFill>
              <w14:schemeClr w14:val="tx1"/>
            </w14:solidFill>
          </w14:textFill>
        </w:rPr>
      </w:pPr>
      <w:r>
        <w:rPr>
          <w:rFonts w:hint="eastAsia" w:ascii="Times New Roman" w:hAnsi="Times New Roman" w:cs="Times New Roman"/>
          <w:color w:val="000000" w:themeColor="text1"/>
          <w:sz w:val="24"/>
          <w14:textFill>
            <w14:solidFill>
              <w14:schemeClr w14:val="tx1"/>
            </w14:solidFill>
          </w14:textFill>
        </w:rPr>
        <w:t>钦州港金谷港区金鼓江作业区14号泊位码头（一期工程）竣工环境保护验收意见</w:t>
      </w:r>
    </w:p>
    <w:p w14:paraId="5ECEF4E6">
      <w:pPr>
        <w:pStyle w:val="75"/>
        <w:numPr>
          <w:ilvl w:val="1"/>
          <w:numId w:val="3"/>
        </w:numPr>
        <w:autoSpaceDE/>
        <w:autoSpaceDN/>
        <w:spacing w:line="360" w:lineRule="auto"/>
        <w:jc w:val="both"/>
        <w:rPr>
          <w:rFonts w:ascii="Times New Roman" w:hAnsi="Times New Roman" w:cs="Times New Roman"/>
          <w:color w:val="000000" w:themeColor="text1"/>
          <w:sz w:val="24"/>
          <w14:textFill>
            <w14:solidFill>
              <w14:schemeClr w14:val="tx1"/>
            </w14:solidFill>
          </w14:textFill>
        </w:rPr>
      </w:pPr>
      <w:r>
        <w:rPr>
          <w:rFonts w:hint="eastAsia" w:ascii="Times New Roman" w:hAnsi="Times New Roman" w:cs="Times New Roman"/>
          <w:color w:val="000000" w:themeColor="text1"/>
          <w:sz w:val="24"/>
          <w14:textFill>
            <w14:solidFill>
              <w14:schemeClr w14:val="tx1"/>
            </w14:solidFill>
          </w14:textFill>
        </w:rPr>
        <w:t>竣工验收核查报告</w:t>
      </w:r>
    </w:p>
    <w:p w14:paraId="38A22247">
      <w:pPr>
        <w:pStyle w:val="75"/>
        <w:numPr>
          <w:ilvl w:val="1"/>
          <w:numId w:val="3"/>
        </w:numPr>
        <w:autoSpaceDE/>
        <w:autoSpaceDN/>
        <w:spacing w:line="360" w:lineRule="auto"/>
        <w:jc w:val="both"/>
        <w:rPr>
          <w:rFonts w:ascii="Times New Roman" w:hAnsi="Times New Roman" w:cs="Times New Roman"/>
          <w:color w:val="000000" w:themeColor="text1"/>
          <w:sz w:val="24"/>
          <w14:textFill>
            <w14:solidFill>
              <w14:schemeClr w14:val="tx1"/>
            </w14:solidFill>
          </w14:textFill>
        </w:rPr>
      </w:pPr>
      <w:r>
        <w:rPr>
          <w:rFonts w:hint="eastAsia" w:ascii="Times New Roman" w:hAnsi="Times New Roman" w:cs="Times New Roman"/>
          <w:color w:val="000000" w:themeColor="text1"/>
          <w:sz w:val="24"/>
          <w14:textFill>
            <w14:solidFill>
              <w14:schemeClr w14:val="tx1"/>
            </w14:solidFill>
          </w14:textFill>
        </w:rPr>
        <w:t>运营期污水处理协议</w:t>
      </w:r>
    </w:p>
    <w:p w14:paraId="0D61E6C9">
      <w:pPr>
        <w:pStyle w:val="75"/>
        <w:numPr>
          <w:ilvl w:val="1"/>
          <w:numId w:val="3"/>
        </w:numPr>
        <w:autoSpaceDE/>
        <w:autoSpaceDN/>
        <w:spacing w:line="360" w:lineRule="auto"/>
        <w:jc w:val="both"/>
        <w:rPr>
          <w:rFonts w:ascii="Times New Roman" w:hAnsi="Times New Roman" w:cs="Times New Roman"/>
          <w:color w:val="000000" w:themeColor="text1"/>
          <w:sz w:val="24"/>
          <w14:textFill>
            <w14:solidFill>
              <w14:schemeClr w14:val="tx1"/>
            </w14:solidFill>
          </w14:textFill>
        </w:rPr>
      </w:pPr>
      <w:r>
        <w:rPr>
          <w:rFonts w:hint="eastAsia" w:ascii="Times New Roman" w:hAnsi="Times New Roman" w:cs="Times New Roman"/>
          <w:color w:val="000000" w:themeColor="text1"/>
          <w:sz w:val="24"/>
          <w14:textFill>
            <w14:solidFill>
              <w14:schemeClr w14:val="tx1"/>
            </w14:solidFill>
          </w14:textFill>
        </w:rPr>
        <w:t>危废接收协议及接收单位危险废物经营许可证</w:t>
      </w:r>
    </w:p>
    <w:p w14:paraId="51D6EB07">
      <w:pPr>
        <w:pStyle w:val="75"/>
        <w:numPr>
          <w:ilvl w:val="1"/>
          <w:numId w:val="3"/>
        </w:numPr>
        <w:autoSpaceDE/>
        <w:autoSpaceDN/>
        <w:spacing w:line="360" w:lineRule="auto"/>
        <w:jc w:val="both"/>
        <w:rPr>
          <w:rFonts w:ascii="Times New Roman" w:hAnsi="Times New Roman" w:cs="Times New Roman"/>
          <w:color w:val="000000" w:themeColor="text1"/>
          <w:sz w:val="24"/>
          <w14:textFill>
            <w14:solidFill>
              <w14:schemeClr w14:val="tx1"/>
            </w14:solidFill>
          </w14:textFill>
        </w:rPr>
      </w:pPr>
      <w:r>
        <w:rPr>
          <w:rFonts w:hint="eastAsia" w:ascii="Times New Roman" w:hAnsi="Times New Roman" w:cs="Times New Roman"/>
          <w:color w:val="000000" w:themeColor="text1"/>
          <w:sz w:val="24"/>
          <w14:textFill>
            <w14:solidFill>
              <w14:schemeClr w14:val="tx1"/>
            </w14:solidFill>
          </w14:textFill>
        </w:rPr>
        <w:t>港口经营许可证</w:t>
      </w:r>
    </w:p>
    <w:p w14:paraId="6E6E931D">
      <w:pPr>
        <w:pStyle w:val="75"/>
        <w:numPr>
          <w:ilvl w:val="1"/>
          <w:numId w:val="3"/>
        </w:numPr>
        <w:autoSpaceDE/>
        <w:autoSpaceDN/>
        <w:spacing w:line="360" w:lineRule="auto"/>
        <w:jc w:val="both"/>
        <w:rPr>
          <w:rFonts w:ascii="Times New Roman" w:hAnsi="Times New Roman" w:cs="Times New Roman"/>
          <w:color w:val="000000" w:themeColor="text1"/>
          <w:sz w:val="24"/>
          <w14:textFill>
            <w14:solidFill>
              <w14:schemeClr w14:val="tx1"/>
            </w14:solidFill>
          </w14:textFill>
        </w:rPr>
      </w:pPr>
      <w:r>
        <w:rPr>
          <w:rFonts w:hint="eastAsia" w:ascii="Times New Roman" w:hAnsi="Times New Roman" w:cs="Times New Roman"/>
          <w:color w:val="000000" w:themeColor="text1"/>
          <w:sz w:val="24"/>
          <w14:textFill>
            <w14:solidFill>
              <w14:schemeClr w14:val="tx1"/>
            </w14:solidFill>
          </w14:textFill>
        </w:rPr>
        <w:t>项目监测报告（废气、废水、噪声）</w:t>
      </w:r>
    </w:p>
    <w:p w14:paraId="2D6FE4E6">
      <w:pPr>
        <w:pStyle w:val="75"/>
        <w:numPr>
          <w:ilvl w:val="1"/>
          <w:numId w:val="3"/>
        </w:numPr>
        <w:autoSpaceDE/>
        <w:autoSpaceDN/>
        <w:spacing w:line="360" w:lineRule="auto"/>
        <w:jc w:val="both"/>
        <w:rPr>
          <w:rFonts w:ascii="Times New Roman" w:hAnsi="Times New Roman" w:cs="Times New Roman"/>
          <w:color w:val="000000" w:themeColor="text1"/>
          <w:sz w:val="24"/>
          <w14:textFill>
            <w14:solidFill>
              <w14:schemeClr w14:val="tx1"/>
            </w14:solidFill>
          </w14:textFill>
        </w:rPr>
      </w:pPr>
      <w:r>
        <w:rPr>
          <w:rFonts w:hint="eastAsia" w:ascii="Times New Roman" w:hAnsi="Times New Roman" w:cs="Times New Roman"/>
          <w:color w:val="000000" w:themeColor="text1"/>
          <w:sz w:val="24"/>
          <w14:textFill>
            <w14:solidFill>
              <w14:schemeClr w14:val="tx1"/>
            </w14:solidFill>
          </w14:textFill>
        </w:rPr>
        <w:t>固定污染源排污登记回执</w:t>
      </w:r>
    </w:p>
    <w:p w14:paraId="1FE87C18">
      <w:pPr>
        <w:pStyle w:val="75"/>
        <w:numPr>
          <w:ilvl w:val="1"/>
          <w:numId w:val="3"/>
        </w:numPr>
        <w:autoSpaceDE/>
        <w:autoSpaceDN/>
        <w:spacing w:line="360" w:lineRule="auto"/>
        <w:jc w:val="both"/>
        <w:rPr>
          <w:rFonts w:ascii="Times New Roman" w:hAnsi="Times New Roman" w:cs="Times New Roman"/>
          <w:color w:val="000000" w:themeColor="text1"/>
          <w:sz w:val="24"/>
          <w14:textFill>
            <w14:solidFill>
              <w14:schemeClr w14:val="tx1"/>
            </w14:solidFill>
          </w14:textFill>
        </w:rPr>
      </w:pPr>
      <w:r>
        <w:rPr>
          <w:rFonts w:hint="eastAsia" w:ascii="Times New Roman" w:hAnsi="Times New Roman" w:cs="Times New Roman"/>
          <w:color w:val="000000" w:themeColor="text1"/>
          <w:sz w:val="24"/>
          <w14:textFill>
            <w14:solidFill>
              <w14:schemeClr w14:val="tx1"/>
            </w14:solidFill>
          </w14:textFill>
        </w:rPr>
        <w:t>有组织废气监测RTO炉进气口</w:t>
      </w:r>
    </w:p>
    <w:p w14:paraId="3AC4C884">
      <w:pPr>
        <w:pStyle w:val="75"/>
        <w:numPr>
          <w:ilvl w:val="1"/>
          <w:numId w:val="3"/>
        </w:numPr>
        <w:autoSpaceDE/>
        <w:autoSpaceDN/>
        <w:spacing w:line="360" w:lineRule="auto"/>
        <w:jc w:val="both"/>
        <w:rPr>
          <w:rFonts w:ascii="Times New Roman" w:hAnsi="Times New Roman" w:cs="Times New Roman"/>
          <w:color w:val="000000" w:themeColor="text1"/>
          <w:sz w:val="24"/>
          <w14:textFill>
            <w14:solidFill>
              <w14:schemeClr w14:val="tx1"/>
            </w14:solidFill>
          </w14:textFill>
        </w:rPr>
      </w:pPr>
      <w:r>
        <w:rPr>
          <w:rFonts w:hint="eastAsia" w:ascii="Times New Roman" w:hAnsi="Times New Roman" w:cs="Times New Roman"/>
          <w:color w:val="000000" w:themeColor="text1"/>
          <w:sz w:val="24"/>
          <w14:textFill>
            <w14:solidFill>
              <w14:schemeClr w14:val="tx1"/>
            </w14:solidFill>
          </w14:textFill>
        </w:rPr>
        <w:t>有组织废气监测RTO炉</w:t>
      </w:r>
      <w:r>
        <w:rPr>
          <w:rFonts w:hint="eastAsia" w:ascii="Times New Roman" w:hAnsi="Times New Roman" w:cs="Times New Roman"/>
          <w:color w:val="000000" w:themeColor="text1"/>
          <w:sz w:val="24"/>
          <w:lang w:val="en-US"/>
          <w14:textFill>
            <w14:solidFill>
              <w14:schemeClr w14:val="tx1"/>
            </w14:solidFill>
          </w14:textFill>
        </w:rPr>
        <w:t>排</w:t>
      </w:r>
      <w:r>
        <w:rPr>
          <w:rFonts w:hint="eastAsia" w:ascii="Times New Roman" w:hAnsi="Times New Roman" w:cs="Times New Roman"/>
          <w:color w:val="000000" w:themeColor="text1"/>
          <w:sz w:val="24"/>
          <w14:textFill>
            <w14:solidFill>
              <w14:schemeClr w14:val="tx1"/>
            </w14:solidFill>
          </w14:textFill>
        </w:rPr>
        <w:t>气口</w:t>
      </w:r>
    </w:p>
    <w:p w14:paraId="1958B2CF">
      <w:pPr>
        <w:pStyle w:val="75"/>
        <w:numPr>
          <w:ilvl w:val="1"/>
          <w:numId w:val="3"/>
        </w:numPr>
        <w:autoSpaceDE/>
        <w:autoSpaceDN/>
        <w:spacing w:line="360" w:lineRule="auto"/>
        <w:jc w:val="both"/>
        <w:rPr>
          <w:rFonts w:ascii="Times New Roman" w:hAnsi="Times New Roman" w:cs="Times New Roman"/>
          <w:color w:val="000000" w:themeColor="text1"/>
          <w:sz w:val="24"/>
          <w:u w:val="single"/>
          <w14:textFill>
            <w14:solidFill>
              <w14:schemeClr w14:val="tx1"/>
            </w14:solidFill>
          </w14:textFill>
        </w:rPr>
      </w:pPr>
      <w:r>
        <w:rPr>
          <w:rFonts w:hint="eastAsia" w:ascii="Times New Roman" w:hAnsi="Times New Roman" w:cs="Times New Roman"/>
          <w:color w:val="000000" w:themeColor="text1"/>
          <w:sz w:val="24"/>
          <w:u w:val="single"/>
          <w:lang w:val="en-US"/>
          <w14:textFill>
            <w14:solidFill>
              <w14:schemeClr w14:val="tx1"/>
            </w14:solidFill>
          </w14:textFill>
        </w:rPr>
        <w:t>安全管理协议</w:t>
      </w:r>
    </w:p>
    <w:p w14:paraId="79A7D84A">
      <w:pPr>
        <w:pStyle w:val="75"/>
        <w:numPr>
          <w:ilvl w:val="1"/>
          <w:numId w:val="3"/>
        </w:numPr>
        <w:autoSpaceDE/>
        <w:autoSpaceDN/>
        <w:spacing w:line="360" w:lineRule="auto"/>
        <w:jc w:val="both"/>
        <w:rPr>
          <w:rFonts w:ascii="Times New Roman" w:hAnsi="Times New Roman" w:cs="Times New Roman"/>
          <w:color w:val="000000" w:themeColor="text1"/>
          <w:sz w:val="24"/>
          <w:u w:val="single"/>
          <w14:textFill>
            <w14:solidFill>
              <w14:schemeClr w14:val="tx1"/>
            </w14:solidFill>
          </w14:textFill>
        </w:rPr>
      </w:pPr>
      <w:r>
        <w:rPr>
          <w:rFonts w:hint="eastAsia" w:ascii="Times New Roman" w:hAnsi="Times New Roman" w:cs="Times New Roman"/>
          <w:color w:val="000000" w:themeColor="text1"/>
          <w:sz w:val="24"/>
          <w:u w:val="single"/>
          <w:lang w:val="en-US"/>
          <w14:textFill>
            <w14:solidFill>
              <w14:schemeClr w14:val="tx1"/>
            </w14:solidFill>
          </w14:textFill>
        </w:rPr>
        <w:t>运营委托协议</w:t>
      </w:r>
    </w:p>
    <w:p w14:paraId="7E5A5BE2">
      <w:pPr>
        <w:pStyle w:val="75"/>
        <w:numPr>
          <w:ilvl w:val="1"/>
          <w:numId w:val="3"/>
        </w:numPr>
        <w:autoSpaceDE/>
        <w:autoSpaceDN/>
        <w:spacing w:line="360" w:lineRule="auto"/>
        <w:jc w:val="both"/>
        <w:rPr>
          <w:rFonts w:ascii="Times New Roman" w:hAnsi="Times New Roman" w:cs="Times New Roman"/>
          <w:color w:val="000000" w:themeColor="text1"/>
          <w:sz w:val="24"/>
          <w:u w:val="single"/>
          <w14:textFill>
            <w14:solidFill>
              <w14:schemeClr w14:val="tx1"/>
            </w14:solidFill>
          </w14:textFill>
        </w:rPr>
      </w:pPr>
      <w:r>
        <w:rPr>
          <w:rFonts w:hint="eastAsia" w:ascii="Times New Roman" w:hAnsi="Times New Roman" w:cs="Times New Roman"/>
          <w:color w:val="000000" w:themeColor="text1"/>
          <w:sz w:val="24"/>
          <w:u w:val="single"/>
          <w14:textFill>
            <w14:solidFill>
              <w14:schemeClr w14:val="tx1"/>
            </w14:solidFill>
          </w14:textFill>
        </w:rPr>
        <w:t>钦州港金谷港区金鼓江作业区14号15号泊位工程拆分及生态补偿费用分摊专题研究会议纪要</w:t>
      </w:r>
    </w:p>
    <w:p w14:paraId="3F984AFA">
      <w:pPr>
        <w:pStyle w:val="75"/>
        <w:numPr>
          <w:ilvl w:val="1"/>
          <w:numId w:val="3"/>
        </w:numPr>
        <w:autoSpaceDE/>
        <w:autoSpaceDN/>
        <w:spacing w:line="360" w:lineRule="auto"/>
        <w:jc w:val="both"/>
        <w:rPr>
          <w:rFonts w:ascii="Times New Roman" w:hAnsi="Times New Roman" w:cs="Times New Roman"/>
          <w:color w:val="000000" w:themeColor="text1"/>
          <w:sz w:val="24"/>
          <w:u w:val="single"/>
          <w14:textFill>
            <w14:solidFill>
              <w14:schemeClr w14:val="tx1"/>
            </w14:solidFill>
          </w14:textFill>
        </w:rPr>
      </w:pPr>
      <w:r>
        <w:rPr>
          <w:rFonts w:hint="eastAsia" w:ascii="Times New Roman" w:hAnsi="Times New Roman" w:cs="Times New Roman"/>
          <w:color w:val="000000" w:themeColor="text1"/>
          <w:sz w:val="24"/>
          <w:u w:val="single"/>
          <w14:textFill>
            <w14:solidFill>
              <w14:schemeClr w14:val="tx1"/>
            </w14:solidFill>
          </w14:textFill>
        </w:rPr>
        <w:t>欧德年产30万吨生物柴油生产线项目监测报告</w:t>
      </w:r>
    </w:p>
    <w:p w14:paraId="56002781">
      <w:pPr>
        <w:pStyle w:val="75"/>
        <w:numPr>
          <w:ilvl w:val="1"/>
          <w:numId w:val="3"/>
        </w:numPr>
        <w:autoSpaceDE/>
        <w:autoSpaceDN/>
        <w:spacing w:line="360" w:lineRule="auto"/>
        <w:jc w:val="both"/>
        <w:rPr>
          <w:rFonts w:ascii="Times New Roman" w:hAnsi="Times New Roman" w:cs="Times New Roman"/>
          <w:color w:val="000000" w:themeColor="text1"/>
          <w:sz w:val="24"/>
          <w:u w:val="single"/>
          <w14:textFill>
            <w14:solidFill>
              <w14:schemeClr w14:val="tx1"/>
            </w14:solidFill>
          </w14:textFill>
        </w:rPr>
      </w:pPr>
      <w:r>
        <w:rPr>
          <w:rFonts w:hint="eastAsia" w:ascii="Times New Roman" w:hAnsi="Times New Roman" w:cs="Times New Roman"/>
          <w:color w:val="000000" w:themeColor="text1"/>
          <w:sz w:val="24"/>
          <w:u w:val="single"/>
          <w14:textFill>
            <w14:solidFill>
              <w14:schemeClr w14:val="tx1"/>
            </w14:solidFill>
          </w14:textFill>
        </w:rPr>
        <w:t>中国一马来西亚钦州产业园区行政审批局关于欧德年产30万吨生物柴油生产线项目环境影响报告书的批复</w:t>
      </w:r>
    </w:p>
    <w:p w14:paraId="0C7596AD">
      <w:pPr>
        <w:pStyle w:val="75"/>
        <w:numPr>
          <w:ilvl w:val="1"/>
          <w:numId w:val="3"/>
        </w:numPr>
        <w:autoSpaceDE/>
        <w:autoSpaceDN/>
        <w:spacing w:line="360" w:lineRule="auto"/>
        <w:jc w:val="both"/>
        <w:rPr>
          <w:rFonts w:ascii="Times New Roman" w:hAnsi="Times New Roman" w:cs="Times New Roman"/>
          <w:color w:val="000000" w:themeColor="text1"/>
          <w:sz w:val="24"/>
          <w:u w:val="single"/>
          <w14:textFill>
            <w14:solidFill>
              <w14:schemeClr w14:val="tx1"/>
            </w14:solidFill>
          </w14:textFill>
        </w:rPr>
      </w:pPr>
      <w:r>
        <w:rPr>
          <w:rFonts w:hint="eastAsia" w:ascii="Times New Roman" w:hAnsi="Times New Roman" w:cs="Times New Roman"/>
          <w:color w:val="000000" w:themeColor="text1"/>
          <w:sz w:val="24"/>
          <w:u w:val="single"/>
          <w14:textFill>
            <w14:solidFill>
              <w14:schemeClr w14:val="tx1"/>
            </w14:solidFill>
          </w14:textFill>
        </w:rPr>
        <w:t>钦州市生态环境局关于台湾见龙钦州高端聚苯乙烯新材料项目环境影响报告书的批复</w:t>
      </w:r>
    </w:p>
    <w:p w14:paraId="4AE07706">
      <w:pPr>
        <w:ind w:firstLine="0" w:firstLineChars="0"/>
        <w:rPr>
          <w:b/>
          <w:color w:val="000000" w:themeColor="text1"/>
          <w:sz w:val="28"/>
          <w:szCs w:val="28"/>
          <w14:textFill>
            <w14:solidFill>
              <w14:schemeClr w14:val="tx1"/>
            </w14:solidFill>
          </w14:textFill>
        </w:rPr>
      </w:pPr>
      <w:r>
        <w:rPr>
          <w:b/>
          <w:color w:val="000000" w:themeColor="text1"/>
          <w:sz w:val="28"/>
          <w:szCs w:val="28"/>
          <w14:textFill>
            <w14:solidFill>
              <w14:schemeClr w14:val="tx1"/>
            </w14:solidFill>
          </w14:textFill>
        </w:rPr>
        <w:t>附表：</w:t>
      </w:r>
    </w:p>
    <w:bookmarkEnd w:id="16"/>
    <w:p w14:paraId="6B982723">
      <w:pPr>
        <w:pStyle w:val="75"/>
        <w:numPr>
          <w:ilvl w:val="0"/>
          <w:numId w:val="4"/>
        </w:numPr>
        <w:spacing w:line="360" w:lineRule="auto"/>
        <w:rPr>
          <w:rFonts w:ascii="Times New Roman" w:hAnsi="Times New Roman" w:cs="Times New Roman"/>
          <w:color w:val="000000" w:themeColor="text1"/>
          <w:sz w:val="24"/>
          <w:szCs w:val="24"/>
          <w14:textFill>
            <w14:solidFill>
              <w14:schemeClr w14:val="tx1"/>
            </w14:solidFill>
          </w14:textFill>
        </w:rPr>
      </w:pPr>
      <w:r>
        <w:rPr>
          <w:rFonts w:hint="eastAsia" w:ascii="Times New Roman" w:hAnsi="Times New Roman" w:cs="Times New Roman"/>
          <w:color w:val="000000" w:themeColor="text1"/>
          <w:sz w:val="24"/>
          <w:szCs w:val="24"/>
          <w:lang w:val="en-US"/>
          <w14:textFill>
            <w14:solidFill>
              <w14:schemeClr w14:val="tx1"/>
            </w14:solidFill>
          </w14:textFill>
        </w:rPr>
        <w:t>建设</w:t>
      </w:r>
      <w:r>
        <w:rPr>
          <w:rFonts w:ascii="Times New Roman" w:hAnsi="Times New Roman" w:cs="Times New Roman"/>
          <w:color w:val="000000" w:themeColor="text1"/>
          <w:sz w:val="24"/>
          <w:szCs w:val="24"/>
          <w14:textFill>
            <w14:solidFill>
              <w14:schemeClr w14:val="tx1"/>
            </w14:solidFill>
          </w14:textFill>
        </w:rPr>
        <w:t>项目地表水环境影响评价自查表</w:t>
      </w:r>
    </w:p>
    <w:p w14:paraId="1705058F">
      <w:pPr>
        <w:pStyle w:val="75"/>
        <w:numPr>
          <w:ilvl w:val="0"/>
          <w:numId w:val="4"/>
        </w:numPr>
        <w:spacing w:line="360" w:lineRule="auto"/>
        <w:rPr>
          <w:rFonts w:ascii="Times New Roman" w:hAnsi="Times New Roman" w:cs="Times New Roman"/>
          <w:color w:val="000000" w:themeColor="text1"/>
          <w:sz w:val="24"/>
          <w:szCs w:val="24"/>
          <w14:textFill>
            <w14:solidFill>
              <w14:schemeClr w14:val="tx1"/>
            </w14:solidFill>
          </w14:textFill>
        </w:rPr>
      </w:pPr>
      <w:r>
        <w:rPr>
          <w:rFonts w:hint="eastAsia" w:ascii="Times New Roman" w:hAnsi="Times New Roman" w:cs="Times New Roman"/>
          <w:color w:val="000000" w:themeColor="text1"/>
          <w:sz w:val="24"/>
          <w:szCs w:val="24"/>
          <w:lang w:val="en-US"/>
          <w14:textFill>
            <w14:solidFill>
              <w14:schemeClr w14:val="tx1"/>
            </w14:solidFill>
          </w14:textFill>
        </w:rPr>
        <w:t>建设项目生态</w:t>
      </w:r>
      <w:r>
        <w:rPr>
          <w:rFonts w:ascii="Times New Roman" w:hAnsi="Times New Roman" w:cs="Times New Roman"/>
          <w:color w:val="000000" w:themeColor="text1"/>
          <w:sz w:val="24"/>
          <w:szCs w:val="24"/>
          <w14:textFill>
            <w14:solidFill>
              <w14:schemeClr w14:val="tx1"/>
            </w14:solidFill>
          </w14:textFill>
        </w:rPr>
        <w:t>环境影响评价自查表</w:t>
      </w:r>
    </w:p>
    <w:p w14:paraId="10ED80E9">
      <w:pPr>
        <w:pStyle w:val="75"/>
        <w:numPr>
          <w:ilvl w:val="0"/>
          <w:numId w:val="4"/>
        </w:numPr>
        <w:spacing w:line="360" w:lineRule="auto"/>
        <w:rPr>
          <w:rFonts w:ascii="Times New Roman" w:hAnsi="Times New Roman" w:cs="Times New Roman"/>
          <w:color w:val="000000" w:themeColor="text1"/>
          <w:sz w:val="24"/>
          <w:szCs w:val="24"/>
          <w14:textFill>
            <w14:solidFill>
              <w14:schemeClr w14:val="tx1"/>
            </w14:solidFill>
          </w14:textFill>
        </w:rPr>
      </w:pPr>
      <w:r>
        <w:rPr>
          <w:rFonts w:hint="eastAsia" w:ascii="Times New Roman" w:hAnsi="Times New Roman" w:cs="Times New Roman"/>
          <w:color w:val="000000" w:themeColor="text1"/>
          <w:sz w:val="24"/>
          <w:szCs w:val="24"/>
          <w:lang w:val="en-US"/>
          <w14:textFill>
            <w14:solidFill>
              <w14:schemeClr w14:val="tx1"/>
            </w14:solidFill>
          </w14:textFill>
        </w:rPr>
        <w:t>建设项目大气环境影响评价自查</w:t>
      </w:r>
      <w:r>
        <w:rPr>
          <w:rFonts w:ascii="Times New Roman" w:hAnsi="Times New Roman" w:cs="Times New Roman"/>
          <w:color w:val="000000" w:themeColor="text1"/>
          <w:sz w:val="24"/>
          <w:szCs w:val="24"/>
          <w14:textFill>
            <w14:solidFill>
              <w14:schemeClr w14:val="tx1"/>
            </w14:solidFill>
          </w14:textFill>
        </w:rPr>
        <w:t>表</w:t>
      </w:r>
    </w:p>
    <w:p w14:paraId="3C9015F8">
      <w:pPr>
        <w:pStyle w:val="75"/>
        <w:numPr>
          <w:ilvl w:val="0"/>
          <w:numId w:val="4"/>
        </w:numPr>
        <w:spacing w:line="360" w:lineRule="auto"/>
        <w:rPr>
          <w:rFonts w:ascii="Times New Roman" w:hAnsi="Times New Roman" w:cs="Times New Roman"/>
          <w:color w:val="000000" w:themeColor="text1"/>
          <w:sz w:val="24"/>
          <w:szCs w:val="24"/>
          <w14:textFill>
            <w14:solidFill>
              <w14:schemeClr w14:val="tx1"/>
            </w14:solidFill>
          </w14:textFill>
        </w:rPr>
      </w:pPr>
      <w:r>
        <w:rPr>
          <w:rFonts w:hint="eastAsia" w:ascii="Times New Roman" w:hAnsi="Times New Roman" w:cs="Times New Roman"/>
          <w:color w:val="000000" w:themeColor="text1"/>
          <w:sz w:val="24"/>
          <w:szCs w:val="24"/>
          <w14:textFill>
            <w14:solidFill>
              <w14:schemeClr w14:val="tx1"/>
            </w14:solidFill>
          </w14:textFill>
        </w:rPr>
        <w:t>建设项目声环境影响评价自查</w:t>
      </w:r>
      <w:r>
        <w:rPr>
          <w:rFonts w:ascii="Times New Roman" w:hAnsi="Times New Roman" w:cs="Times New Roman"/>
          <w:color w:val="000000" w:themeColor="text1"/>
          <w:sz w:val="24"/>
          <w:szCs w:val="24"/>
          <w14:textFill>
            <w14:solidFill>
              <w14:schemeClr w14:val="tx1"/>
            </w14:solidFill>
          </w14:textFill>
        </w:rPr>
        <w:t>表</w:t>
      </w:r>
    </w:p>
    <w:p w14:paraId="4E4DD03D">
      <w:pPr>
        <w:pStyle w:val="75"/>
        <w:numPr>
          <w:ilvl w:val="0"/>
          <w:numId w:val="4"/>
        </w:numPr>
        <w:spacing w:line="360" w:lineRule="auto"/>
        <w:rPr>
          <w:rFonts w:ascii="Times New Roman" w:hAnsi="Times New Roman" w:cs="Times New Roman"/>
          <w:color w:val="000000" w:themeColor="text1"/>
          <w:sz w:val="24"/>
          <w:szCs w:val="24"/>
          <w14:textFill>
            <w14:solidFill>
              <w14:schemeClr w14:val="tx1"/>
            </w14:solidFill>
          </w14:textFill>
        </w:rPr>
      </w:pPr>
      <w:r>
        <w:rPr>
          <w:rFonts w:hint="eastAsia" w:ascii="Times New Roman" w:hAnsi="Times New Roman" w:cs="Times New Roman"/>
          <w:color w:val="000000" w:themeColor="text1"/>
          <w:sz w:val="24"/>
          <w:szCs w:val="24"/>
          <w14:textFill>
            <w14:solidFill>
              <w14:schemeClr w14:val="tx1"/>
            </w14:solidFill>
          </w14:textFill>
        </w:rPr>
        <w:t>建设项目环境风险评价自查</w:t>
      </w:r>
      <w:r>
        <w:rPr>
          <w:rFonts w:ascii="Times New Roman" w:hAnsi="Times New Roman" w:cs="Times New Roman"/>
          <w:color w:val="000000" w:themeColor="text1"/>
          <w:sz w:val="24"/>
          <w:szCs w:val="24"/>
          <w14:textFill>
            <w14:solidFill>
              <w14:schemeClr w14:val="tx1"/>
            </w14:solidFill>
          </w14:textFill>
        </w:rPr>
        <w:t>表</w:t>
      </w:r>
    </w:p>
    <w:p w14:paraId="0437848D">
      <w:pPr>
        <w:pStyle w:val="75"/>
        <w:numPr>
          <w:ilvl w:val="0"/>
          <w:numId w:val="4"/>
        </w:numPr>
        <w:spacing w:line="360" w:lineRule="auto"/>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建设项目环境影响报告书审批基础信息表</w:t>
      </w:r>
    </w:p>
    <w:p w14:paraId="15E24DA3">
      <w:pPr>
        <w:ind w:firstLine="482"/>
        <w:rPr>
          <w:b/>
          <w:color w:val="000000" w:themeColor="text1"/>
          <w14:textFill>
            <w14:solidFill>
              <w14:schemeClr w14:val="tx1"/>
            </w14:solidFill>
          </w14:textFill>
        </w:rPr>
      </w:pPr>
    </w:p>
    <w:p w14:paraId="7E460B91">
      <w:pPr>
        <w:pStyle w:val="41"/>
        <w:ind w:firstLine="240"/>
        <w:rPr>
          <w:color w:val="000000" w:themeColor="text1"/>
          <w14:textFill>
            <w14:solidFill>
              <w14:schemeClr w14:val="tx1"/>
            </w14:solidFill>
          </w14:textFill>
        </w:rPr>
      </w:pPr>
    </w:p>
    <w:p w14:paraId="3F3B941B">
      <w:pPr>
        <w:pStyle w:val="42"/>
        <w:ind w:left="480" w:firstLine="480"/>
        <w:rPr>
          <w:color w:val="000000" w:themeColor="text1"/>
          <w14:textFill>
            <w14:solidFill>
              <w14:schemeClr w14:val="tx1"/>
            </w14:solidFill>
          </w14:textFill>
        </w:rPr>
      </w:pPr>
    </w:p>
    <w:p w14:paraId="24521B7D">
      <w:pPr>
        <w:ind w:firstLine="482"/>
        <w:rPr>
          <w:b/>
          <w:color w:val="000000" w:themeColor="text1"/>
          <w14:textFill>
            <w14:solidFill>
              <w14:schemeClr w14:val="tx1"/>
            </w14:solidFill>
          </w14:textFill>
        </w:rPr>
        <w:sectPr>
          <w:footerReference r:id="rId13" w:type="default"/>
          <w:pgSz w:w="11906" w:h="16838"/>
          <w:pgMar w:top="1440" w:right="1800" w:bottom="1440" w:left="1800" w:header="851" w:footer="992" w:gutter="0"/>
          <w:pgBorders>
            <w:top w:val="none" w:sz="0" w:space="0"/>
            <w:left w:val="none" w:sz="0" w:space="0"/>
            <w:bottom w:val="none" w:sz="0" w:space="0"/>
            <w:right w:val="none" w:sz="0" w:space="0"/>
          </w:pgBorders>
          <w:pgNumType w:fmt="numberInDash" w:start="1"/>
          <w:cols w:space="720" w:num="1"/>
          <w:docGrid w:type="lines" w:linePitch="312" w:charSpace="0"/>
        </w:sectPr>
      </w:pPr>
    </w:p>
    <w:p w14:paraId="225AEC8D">
      <w:pPr>
        <w:pStyle w:val="3"/>
        <w:rPr>
          <w:color w:val="000000" w:themeColor="text1"/>
          <w14:textFill>
            <w14:solidFill>
              <w14:schemeClr w14:val="tx1"/>
            </w14:solidFill>
          </w14:textFill>
        </w:rPr>
      </w:pPr>
      <w:bookmarkStart w:id="22" w:name="_Toc216620321"/>
      <w:r>
        <w:rPr>
          <w:color w:val="000000" w:themeColor="text1"/>
          <w14:textFill>
            <w14:solidFill>
              <w14:schemeClr w14:val="tx1"/>
            </w14:solidFill>
          </w14:textFill>
        </w:rPr>
        <w:t>总则</w:t>
      </w:r>
      <w:bookmarkEnd w:id="22"/>
    </w:p>
    <w:p w14:paraId="001C31C5">
      <w:pPr>
        <w:pStyle w:val="5"/>
        <w:rPr>
          <w:color w:val="000000" w:themeColor="text1"/>
          <w14:textFill>
            <w14:solidFill>
              <w14:schemeClr w14:val="tx1"/>
            </w14:solidFill>
          </w14:textFill>
        </w:rPr>
      </w:pPr>
      <w:bookmarkStart w:id="23" w:name="_Toc216620322"/>
      <w:r>
        <w:rPr>
          <w:color w:val="000000" w:themeColor="text1"/>
          <w14:textFill>
            <w14:solidFill>
              <w14:schemeClr w14:val="tx1"/>
            </w14:solidFill>
          </w14:textFill>
        </w:rPr>
        <w:t>编制依据</w:t>
      </w:r>
      <w:bookmarkEnd w:id="23"/>
    </w:p>
    <w:p w14:paraId="2BB2F1E5">
      <w:pPr>
        <w:pStyle w:val="4"/>
        <w:rPr>
          <w:color w:val="000000" w:themeColor="text1"/>
          <w14:textFill>
            <w14:solidFill>
              <w14:schemeClr w14:val="tx1"/>
            </w14:solidFill>
          </w14:textFill>
        </w:rPr>
      </w:pPr>
      <w:bookmarkStart w:id="24" w:name="_Toc216620323"/>
      <w:bookmarkStart w:id="25" w:name="_Toc25436902"/>
      <w:bookmarkStart w:id="26" w:name="_Toc135090162"/>
      <w:bookmarkStart w:id="27" w:name="_Toc29131761"/>
      <w:bookmarkStart w:id="28" w:name="_Toc26909947"/>
      <w:bookmarkStart w:id="29" w:name="_Toc216103164"/>
      <w:bookmarkStart w:id="30" w:name="_Toc136878411"/>
      <w:r>
        <w:rPr>
          <w:color w:val="000000" w:themeColor="text1"/>
          <w14:textFill>
            <w14:solidFill>
              <w14:schemeClr w14:val="tx1"/>
            </w14:solidFill>
          </w14:textFill>
        </w:rPr>
        <w:t>国家法律法规</w:t>
      </w:r>
      <w:bookmarkEnd w:id="24"/>
      <w:bookmarkEnd w:id="25"/>
      <w:bookmarkEnd w:id="26"/>
      <w:bookmarkEnd w:id="27"/>
      <w:bookmarkEnd w:id="28"/>
      <w:bookmarkEnd w:id="29"/>
      <w:bookmarkEnd w:id="30"/>
    </w:p>
    <w:p w14:paraId="23B80A1C">
      <w:pPr>
        <w:numPr>
          <w:ilvl w:val="2"/>
          <w:numId w:val="5"/>
        </w:numPr>
        <w:ind w:firstLine="480"/>
        <w:rPr>
          <w:color w:val="000000" w:themeColor="text1"/>
          <w14:textFill>
            <w14:solidFill>
              <w14:schemeClr w14:val="tx1"/>
            </w14:solidFill>
          </w14:textFill>
        </w:rPr>
      </w:pPr>
      <w:r>
        <w:rPr>
          <w:color w:val="000000" w:themeColor="text1"/>
          <w14:textFill>
            <w14:solidFill>
              <w14:schemeClr w14:val="tx1"/>
            </w14:solidFill>
          </w14:textFill>
        </w:rPr>
        <w:t>《中华人民共和国环境保护法》（2014年修正）；</w:t>
      </w:r>
    </w:p>
    <w:p w14:paraId="0BABAACD">
      <w:pPr>
        <w:numPr>
          <w:ilvl w:val="2"/>
          <w:numId w:val="5"/>
        </w:numPr>
        <w:ind w:firstLine="480"/>
        <w:rPr>
          <w:color w:val="000000" w:themeColor="text1"/>
          <w14:textFill>
            <w14:solidFill>
              <w14:schemeClr w14:val="tx1"/>
            </w14:solidFill>
          </w14:textFill>
        </w:rPr>
      </w:pPr>
      <w:r>
        <w:rPr>
          <w:color w:val="000000" w:themeColor="text1"/>
          <w14:textFill>
            <w14:solidFill>
              <w14:schemeClr w14:val="tx1"/>
            </w14:solidFill>
          </w14:textFill>
        </w:rPr>
        <w:t>《中华人民共和国环境影响评价法》（2018年修正）；</w:t>
      </w:r>
    </w:p>
    <w:p w14:paraId="5D4EA1E3">
      <w:pPr>
        <w:numPr>
          <w:ilvl w:val="2"/>
          <w:numId w:val="5"/>
        </w:numPr>
        <w:ind w:firstLine="480"/>
        <w:rPr>
          <w:color w:val="000000" w:themeColor="text1"/>
          <w14:textFill>
            <w14:solidFill>
              <w14:schemeClr w14:val="tx1"/>
            </w14:solidFill>
          </w14:textFill>
        </w:rPr>
      </w:pPr>
      <w:r>
        <w:rPr>
          <w:color w:val="000000" w:themeColor="text1"/>
          <w14:textFill>
            <w14:solidFill>
              <w14:schemeClr w14:val="tx1"/>
            </w14:solidFill>
          </w14:textFill>
        </w:rPr>
        <w:t>《中华人民共和国水法》（2016年修正）；</w:t>
      </w:r>
    </w:p>
    <w:p w14:paraId="77DA9C28">
      <w:pPr>
        <w:numPr>
          <w:ilvl w:val="2"/>
          <w:numId w:val="5"/>
        </w:numPr>
        <w:ind w:firstLine="480"/>
        <w:rPr>
          <w:color w:val="000000" w:themeColor="text1"/>
          <w14:textFill>
            <w14:solidFill>
              <w14:schemeClr w14:val="tx1"/>
            </w14:solidFill>
          </w14:textFill>
        </w:rPr>
      </w:pPr>
      <w:r>
        <w:rPr>
          <w:color w:val="000000" w:themeColor="text1"/>
          <w14:textFill>
            <w14:solidFill>
              <w14:schemeClr w14:val="tx1"/>
            </w14:solidFill>
          </w14:textFill>
        </w:rPr>
        <w:t>《中华人民共和国森林法》（2019.12.28修订）；</w:t>
      </w:r>
    </w:p>
    <w:p w14:paraId="00017B0B">
      <w:pPr>
        <w:numPr>
          <w:ilvl w:val="2"/>
          <w:numId w:val="5"/>
        </w:numPr>
        <w:ind w:firstLine="480"/>
        <w:rPr>
          <w:color w:val="000000" w:themeColor="text1"/>
          <w14:textFill>
            <w14:solidFill>
              <w14:schemeClr w14:val="tx1"/>
            </w14:solidFill>
          </w14:textFill>
        </w:rPr>
      </w:pPr>
      <w:r>
        <w:rPr>
          <w:color w:val="000000" w:themeColor="text1"/>
          <w14:textFill>
            <w14:solidFill>
              <w14:schemeClr w14:val="tx1"/>
            </w14:solidFill>
          </w14:textFill>
        </w:rPr>
        <w:t>《中华人民共和国水污染防治法》（2017年修正）；</w:t>
      </w:r>
    </w:p>
    <w:p w14:paraId="4CC51508">
      <w:pPr>
        <w:numPr>
          <w:ilvl w:val="2"/>
          <w:numId w:val="5"/>
        </w:numPr>
        <w:ind w:firstLine="480"/>
        <w:rPr>
          <w:color w:val="000000" w:themeColor="text1"/>
          <w14:textFill>
            <w14:solidFill>
              <w14:schemeClr w14:val="tx1"/>
            </w14:solidFill>
          </w14:textFill>
        </w:rPr>
      </w:pPr>
      <w:r>
        <w:rPr>
          <w:color w:val="000000" w:themeColor="text1"/>
          <w14:textFill>
            <w14:solidFill>
              <w14:schemeClr w14:val="tx1"/>
            </w14:solidFill>
          </w14:textFill>
        </w:rPr>
        <w:t>《中华人民共和国大气污染防治法》（2018年修正）；</w:t>
      </w:r>
    </w:p>
    <w:p w14:paraId="0386F718">
      <w:pPr>
        <w:numPr>
          <w:ilvl w:val="2"/>
          <w:numId w:val="5"/>
        </w:numPr>
        <w:ind w:firstLine="480"/>
        <w:rPr>
          <w:color w:val="000000" w:themeColor="text1"/>
          <w14:textFill>
            <w14:solidFill>
              <w14:schemeClr w14:val="tx1"/>
            </w14:solidFill>
          </w14:textFill>
        </w:rPr>
      </w:pPr>
      <w:r>
        <w:rPr>
          <w:color w:val="000000" w:themeColor="text1"/>
          <w14:textFill>
            <w14:solidFill>
              <w14:schemeClr w14:val="tx1"/>
            </w14:solidFill>
          </w14:textFill>
        </w:rPr>
        <w:t>《中华人民共和国噪声污染防治法》（2021年修订）；</w:t>
      </w:r>
    </w:p>
    <w:p w14:paraId="6969EC6A">
      <w:pPr>
        <w:numPr>
          <w:ilvl w:val="2"/>
          <w:numId w:val="5"/>
        </w:numPr>
        <w:ind w:firstLine="480"/>
        <w:rPr>
          <w:color w:val="000000" w:themeColor="text1"/>
          <w14:textFill>
            <w14:solidFill>
              <w14:schemeClr w14:val="tx1"/>
            </w14:solidFill>
          </w14:textFill>
        </w:rPr>
      </w:pPr>
      <w:r>
        <w:rPr>
          <w:color w:val="000000" w:themeColor="text1"/>
          <w14:textFill>
            <w14:solidFill>
              <w14:schemeClr w14:val="tx1"/>
            </w14:solidFill>
          </w14:textFill>
        </w:rPr>
        <w:t>《中华人民共和国固体废物污染环境防治法》（2020年修正）；</w:t>
      </w:r>
    </w:p>
    <w:p w14:paraId="04B24848">
      <w:pPr>
        <w:numPr>
          <w:ilvl w:val="2"/>
          <w:numId w:val="5"/>
        </w:numPr>
        <w:ind w:firstLine="480"/>
        <w:rPr>
          <w:color w:val="000000" w:themeColor="text1"/>
          <w14:textFill>
            <w14:solidFill>
              <w14:schemeClr w14:val="tx1"/>
            </w14:solidFill>
          </w14:textFill>
        </w:rPr>
      </w:pPr>
      <w:r>
        <w:rPr>
          <w:color w:val="000000" w:themeColor="text1"/>
          <w14:textFill>
            <w14:solidFill>
              <w14:schemeClr w14:val="tx1"/>
            </w14:solidFill>
          </w14:textFill>
        </w:rPr>
        <w:t>《中华人民共和国土壤污染防治法》（2018年修订）；</w:t>
      </w:r>
    </w:p>
    <w:p w14:paraId="6B937C78">
      <w:pPr>
        <w:numPr>
          <w:ilvl w:val="2"/>
          <w:numId w:val="5"/>
        </w:numPr>
        <w:ind w:firstLine="480"/>
        <w:rPr>
          <w:color w:val="000000" w:themeColor="text1"/>
          <w14:textFill>
            <w14:solidFill>
              <w14:schemeClr w14:val="tx1"/>
            </w14:solidFill>
          </w14:textFill>
        </w:rPr>
      </w:pPr>
      <w:r>
        <w:rPr>
          <w:color w:val="000000" w:themeColor="text1"/>
          <w14:textFill>
            <w14:solidFill>
              <w14:schemeClr w14:val="tx1"/>
            </w14:solidFill>
          </w14:textFill>
        </w:rPr>
        <w:t>《中华人民共和国土地管理法》（2019年修正）；</w:t>
      </w:r>
    </w:p>
    <w:p w14:paraId="540C783E">
      <w:pPr>
        <w:numPr>
          <w:ilvl w:val="2"/>
          <w:numId w:val="5"/>
        </w:numPr>
        <w:ind w:firstLine="480"/>
        <w:rPr>
          <w:color w:val="000000" w:themeColor="text1"/>
          <w14:textFill>
            <w14:solidFill>
              <w14:schemeClr w14:val="tx1"/>
            </w14:solidFill>
          </w14:textFill>
        </w:rPr>
      </w:pPr>
      <w:r>
        <w:rPr>
          <w:color w:val="000000" w:themeColor="text1"/>
          <w14:textFill>
            <w14:solidFill>
              <w14:schemeClr w14:val="tx1"/>
            </w14:solidFill>
          </w14:textFill>
        </w:rPr>
        <w:t>《中华人民共和国城乡规划法》（2019年修正）；</w:t>
      </w:r>
    </w:p>
    <w:p w14:paraId="163EB064">
      <w:pPr>
        <w:numPr>
          <w:ilvl w:val="2"/>
          <w:numId w:val="5"/>
        </w:numPr>
        <w:ind w:firstLine="480"/>
        <w:rPr>
          <w:color w:val="000000" w:themeColor="text1"/>
          <w14:textFill>
            <w14:solidFill>
              <w14:schemeClr w14:val="tx1"/>
            </w14:solidFill>
          </w14:textFill>
        </w:rPr>
      </w:pPr>
      <w:r>
        <w:rPr>
          <w:color w:val="000000" w:themeColor="text1"/>
          <w14:textFill>
            <w14:solidFill>
              <w14:schemeClr w14:val="tx1"/>
            </w14:solidFill>
          </w14:textFill>
        </w:rPr>
        <w:t>《中华人民共和国水土保持法》（2011年3月1日起施行）；</w:t>
      </w:r>
    </w:p>
    <w:p w14:paraId="0539F9F2">
      <w:pPr>
        <w:numPr>
          <w:ilvl w:val="2"/>
          <w:numId w:val="5"/>
        </w:numPr>
        <w:ind w:firstLine="480"/>
        <w:rPr>
          <w:color w:val="000000" w:themeColor="text1"/>
          <w14:textFill>
            <w14:solidFill>
              <w14:schemeClr w14:val="tx1"/>
            </w14:solidFill>
          </w14:textFill>
        </w:rPr>
      </w:pPr>
      <w:r>
        <w:rPr>
          <w:color w:val="000000" w:themeColor="text1"/>
          <w14:textFill>
            <w14:solidFill>
              <w14:schemeClr w14:val="tx1"/>
            </w14:solidFill>
          </w14:textFill>
        </w:rPr>
        <w:t>《中华人民共和国节约能源法》（2018年修正）；</w:t>
      </w:r>
    </w:p>
    <w:p w14:paraId="26A70E23">
      <w:pPr>
        <w:numPr>
          <w:ilvl w:val="2"/>
          <w:numId w:val="5"/>
        </w:numPr>
        <w:ind w:firstLine="480"/>
        <w:rPr>
          <w:color w:val="000000" w:themeColor="text1"/>
          <w14:textFill>
            <w14:solidFill>
              <w14:schemeClr w14:val="tx1"/>
            </w14:solidFill>
          </w14:textFill>
        </w:rPr>
      </w:pPr>
      <w:r>
        <w:rPr>
          <w:color w:val="000000" w:themeColor="text1"/>
          <w14:textFill>
            <w14:solidFill>
              <w14:schemeClr w14:val="tx1"/>
            </w14:solidFill>
          </w14:textFill>
        </w:rPr>
        <w:t>《中华人民共和国循环经济促进法》（2018年修正）；</w:t>
      </w:r>
    </w:p>
    <w:p w14:paraId="4EB81A75">
      <w:pPr>
        <w:numPr>
          <w:ilvl w:val="2"/>
          <w:numId w:val="5"/>
        </w:numPr>
        <w:ind w:firstLine="480"/>
        <w:rPr>
          <w:color w:val="000000" w:themeColor="text1"/>
          <w14:textFill>
            <w14:solidFill>
              <w14:schemeClr w14:val="tx1"/>
            </w14:solidFill>
          </w14:textFill>
        </w:rPr>
      </w:pPr>
      <w:r>
        <w:rPr>
          <w:color w:val="000000" w:themeColor="text1"/>
          <w14:textFill>
            <w14:solidFill>
              <w14:schemeClr w14:val="tx1"/>
            </w14:solidFill>
          </w14:textFill>
        </w:rPr>
        <w:t>《中华人民共和国安全生产法》（2014年修正）；</w:t>
      </w:r>
    </w:p>
    <w:p w14:paraId="55152220">
      <w:pPr>
        <w:numPr>
          <w:ilvl w:val="2"/>
          <w:numId w:val="5"/>
        </w:numPr>
        <w:ind w:firstLine="480"/>
        <w:rPr>
          <w:color w:val="000000" w:themeColor="text1"/>
          <w14:textFill>
            <w14:solidFill>
              <w14:schemeClr w14:val="tx1"/>
            </w14:solidFill>
          </w14:textFill>
        </w:rPr>
      </w:pPr>
      <w:r>
        <w:rPr>
          <w:color w:val="000000" w:themeColor="text1"/>
          <w14:textFill>
            <w14:solidFill>
              <w14:schemeClr w14:val="tx1"/>
            </w14:solidFill>
          </w14:textFill>
        </w:rPr>
        <w:t>《中华人民共和国清洁生产促进法》（2012年修正）；</w:t>
      </w:r>
    </w:p>
    <w:p w14:paraId="0CDAF7D5">
      <w:pPr>
        <w:numPr>
          <w:ilvl w:val="2"/>
          <w:numId w:val="5"/>
        </w:numPr>
        <w:ind w:firstLine="480"/>
        <w:rPr>
          <w:color w:val="000000" w:themeColor="text1"/>
          <w14:textFill>
            <w14:solidFill>
              <w14:schemeClr w14:val="tx1"/>
            </w14:solidFill>
          </w14:textFill>
        </w:rPr>
      </w:pPr>
      <w:r>
        <w:rPr>
          <w:color w:val="000000" w:themeColor="text1"/>
          <w14:textFill>
            <w14:solidFill>
              <w14:schemeClr w14:val="tx1"/>
            </w14:solidFill>
          </w14:textFill>
        </w:rPr>
        <w:t>《中华人民共和国港口法》（2018年修正）；</w:t>
      </w:r>
    </w:p>
    <w:p w14:paraId="0FEAE60E">
      <w:pPr>
        <w:numPr>
          <w:ilvl w:val="2"/>
          <w:numId w:val="5"/>
        </w:numPr>
        <w:ind w:firstLine="480"/>
        <w:rPr>
          <w:color w:val="000000" w:themeColor="text1"/>
          <w14:textFill>
            <w14:solidFill>
              <w14:schemeClr w14:val="tx1"/>
            </w14:solidFill>
          </w14:textFill>
        </w:rPr>
      </w:pPr>
      <w:r>
        <w:rPr>
          <w:color w:val="000000" w:themeColor="text1"/>
          <w14:textFill>
            <w14:solidFill>
              <w14:schemeClr w14:val="tx1"/>
            </w14:solidFill>
          </w14:textFill>
        </w:rPr>
        <w:t>《中华人民共和国渔业法》（2013年修正）；</w:t>
      </w:r>
    </w:p>
    <w:p w14:paraId="630466DF">
      <w:pPr>
        <w:numPr>
          <w:ilvl w:val="2"/>
          <w:numId w:val="5"/>
        </w:numPr>
        <w:ind w:firstLine="480"/>
        <w:rPr>
          <w:color w:val="000000" w:themeColor="text1"/>
          <w14:textFill>
            <w14:solidFill>
              <w14:schemeClr w14:val="tx1"/>
            </w14:solidFill>
          </w14:textFill>
        </w:rPr>
      </w:pPr>
      <w:r>
        <w:rPr>
          <w:color w:val="000000" w:themeColor="text1"/>
          <w14:textFill>
            <w14:solidFill>
              <w14:schemeClr w14:val="tx1"/>
            </w14:solidFill>
          </w14:textFill>
        </w:rPr>
        <w:t>《中华人民共和国海洋环境保护法》（2017年修正）；</w:t>
      </w:r>
    </w:p>
    <w:p w14:paraId="0DE5CB68">
      <w:pPr>
        <w:numPr>
          <w:ilvl w:val="2"/>
          <w:numId w:val="5"/>
        </w:numPr>
        <w:ind w:firstLine="480"/>
        <w:rPr>
          <w:color w:val="000000" w:themeColor="text1"/>
          <w14:textFill>
            <w14:solidFill>
              <w14:schemeClr w14:val="tx1"/>
            </w14:solidFill>
          </w14:textFill>
        </w:rPr>
      </w:pPr>
      <w:r>
        <w:rPr>
          <w:color w:val="000000" w:themeColor="text1"/>
          <w14:textFill>
            <w14:solidFill>
              <w14:schemeClr w14:val="tx1"/>
            </w14:solidFill>
          </w14:textFill>
        </w:rPr>
        <w:t>《中华人民共和国海域使用管理法》（2002年1月1日起施行）；</w:t>
      </w:r>
    </w:p>
    <w:p w14:paraId="38F756A7">
      <w:pPr>
        <w:numPr>
          <w:ilvl w:val="2"/>
          <w:numId w:val="5"/>
        </w:numPr>
        <w:ind w:firstLine="480"/>
        <w:rPr>
          <w:color w:val="000000" w:themeColor="text1"/>
          <w14:textFill>
            <w14:solidFill>
              <w14:schemeClr w14:val="tx1"/>
            </w14:solidFill>
          </w14:textFill>
        </w:rPr>
      </w:pPr>
      <w:r>
        <w:rPr>
          <w:color w:val="000000" w:themeColor="text1"/>
          <w14:textFill>
            <w14:solidFill>
              <w14:schemeClr w14:val="tx1"/>
            </w14:solidFill>
          </w14:textFill>
        </w:rPr>
        <w:t>《建设项目环境保护管理条例》（2017年7月修订）；</w:t>
      </w:r>
    </w:p>
    <w:p w14:paraId="76650679">
      <w:pPr>
        <w:numPr>
          <w:ilvl w:val="2"/>
          <w:numId w:val="5"/>
        </w:numPr>
        <w:ind w:firstLine="480"/>
        <w:rPr>
          <w:color w:val="000000" w:themeColor="text1"/>
          <w14:textFill>
            <w14:solidFill>
              <w14:schemeClr w14:val="tx1"/>
            </w14:solidFill>
          </w14:textFill>
        </w:rPr>
      </w:pPr>
      <w:r>
        <w:rPr>
          <w:color w:val="000000" w:themeColor="text1"/>
          <w14:textFill>
            <w14:solidFill>
              <w14:schemeClr w14:val="tx1"/>
            </w14:solidFill>
          </w14:textFill>
        </w:rPr>
        <w:t>《危险化学品安全管理条例》（2013年12月修正）；</w:t>
      </w:r>
    </w:p>
    <w:p w14:paraId="2F49C9BC">
      <w:pPr>
        <w:numPr>
          <w:ilvl w:val="2"/>
          <w:numId w:val="5"/>
        </w:numPr>
        <w:ind w:firstLine="480"/>
        <w:rPr>
          <w:color w:val="000000" w:themeColor="text1"/>
          <w14:textFill>
            <w14:solidFill>
              <w14:schemeClr w14:val="tx1"/>
            </w14:solidFill>
          </w14:textFill>
        </w:rPr>
      </w:pPr>
      <w:r>
        <w:rPr>
          <w:color w:val="000000" w:themeColor="text1"/>
          <w14:textFill>
            <w14:solidFill>
              <w14:schemeClr w14:val="tx1"/>
            </w14:solidFill>
          </w14:textFill>
        </w:rPr>
        <w:t>《国务院关于印发大气污染防治行动计划的通知》（国发〔2013〕37号）；</w:t>
      </w:r>
    </w:p>
    <w:p w14:paraId="17655387">
      <w:pPr>
        <w:numPr>
          <w:ilvl w:val="2"/>
          <w:numId w:val="5"/>
        </w:numPr>
        <w:ind w:firstLine="480"/>
        <w:rPr>
          <w:color w:val="000000" w:themeColor="text1"/>
          <w14:textFill>
            <w14:solidFill>
              <w14:schemeClr w14:val="tx1"/>
            </w14:solidFill>
          </w14:textFill>
        </w:rPr>
      </w:pPr>
      <w:r>
        <w:rPr>
          <w:color w:val="000000" w:themeColor="text1"/>
          <w14:textFill>
            <w14:solidFill>
              <w14:schemeClr w14:val="tx1"/>
            </w14:solidFill>
          </w14:textFill>
        </w:rPr>
        <w:t>《国务院关于印发水污染防治行动计划的通知》（国发〔2015〕17号）；</w:t>
      </w:r>
    </w:p>
    <w:p w14:paraId="3231DF6C">
      <w:pPr>
        <w:numPr>
          <w:ilvl w:val="2"/>
          <w:numId w:val="5"/>
        </w:numPr>
        <w:ind w:firstLine="480"/>
        <w:rPr>
          <w:color w:val="000000" w:themeColor="text1"/>
          <w14:textFill>
            <w14:solidFill>
              <w14:schemeClr w14:val="tx1"/>
            </w14:solidFill>
          </w14:textFill>
        </w:rPr>
      </w:pPr>
      <w:r>
        <w:rPr>
          <w:color w:val="000000" w:themeColor="text1"/>
          <w14:textFill>
            <w14:solidFill>
              <w14:schemeClr w14:val="tx1"/>
            </w14:solidFill>
          </w14:textFill>
        </w:rPr>
        <w:t>《国务院关于印发土壤污染防治行动计划的通知》（国发〔2016〕31号）；</w:t>
      </w:r>
    </w:p>
    <w:p w14:paraId="16BB7510">
      <w:pPr>
        <w:numPr>
          <w:ilvl w:val="2"/>
          <w:numId w:val="5"/>
        </w:numPr>
        <w:ind w:firstLine="480"/>
        <w:rPr>
          <w:color w:val="000000" w:themeColor="text1"/>
          <w14:textFill>
            <w14:solidFill>
              <w14:schemeClr w14:val="tx1"/>
            </w14:solidFill>
          </w14:textFill>
        </w:rPr>
      </w:pPr>
      <w:r>
        <w:rPr>
          <w:color w:val="000000" w:themeColor="text1"/>
          <w14:textFill>
            <w14:solidFill>
              <w14:schemeClr w14:val="tx1"/>
            </w14:solidFill>
          </w14:textFill>
        </w:rPr>
        <w:t>《国务院关于印发中国水生生物资源养护行动纲要的通知》（国发〔2006〕9号）；</w:t>
      </w:r>
    </w:p>
    <w:p w14:paraId="0F93BB0D">
      <w:pPr>
        <w:numPr>
          <w:ilvl w:val="2"/>
          <w:numId w:val="5"/>
        </w:numPr>
        <w:ind w:firstLine="480"/>
        <w:rPr>
          <w:color w:val="000000" w:themeColor="text1"/>
          <w14:textFill>
            <w14:solidFill>
              <w14:schemeClr w14:val="tx1"/>
            </w14:solidFill>
          </w14:textFill>
        </w:rPr>
      </w:pPr>
      <w:r>
        <w:rPr>
          <w:color w:val="000000" w:themeColor="text1"/>
          <w14:textFill>
            <w14:solidFill>
              <w14:schemeClr w14:val="tx1"/>
            </w14:solidFill>
          </w14:textFill>
        </w:rPr>
        <w:t>《关于印发新污染物治理行动方案的通知》（国办发〔2022〕15号）；</w:t>
      </w:r>
    </w:p>
    <w:p w14:paraId="5CC6CE4C">
      <w:pPr>
        <w:numPr>
          <w:ilvl w:val="2"/>
          <w:numId w:val="5"/>
        </w:numPr>
        <w:ind w:firstLine="480"/>
        <w:rPr>
          <w:color w:val="000000" w:themeColor="text1"/>
          <w14:textFill>
            <w14:solidFill>
              <w14:schemeClr w14:val="tx1"/>
            </w14:solidFill>
          </w14:textFill>
        </w:rPr>
      </w:pPr>
      <w:r>
        <w:rPr>
          <w:color w:val="000000" w:themeColor="text1"/>
          <w14:textFill>
            <w14:solidFill>
              <w14:schemeClr w14:val="tx1"/>
            </w14:solidFill>
          </w14:textFill>
        </w:rPr>
        <w:t>《防治海洋工程建设项目污染损害海洋环境管理条例》（2018年修正）；</w:t>
      </w:r>
    </w:p>
    <w:p w14:paraId="6F811ADD">
      <w:pPr>
        <w:numPr>
          <w:ilvl w:val="2"/>
          <w:numId w:val="5"/>
        </w:numPr>
        <w:ind w:firstLine="480"/>
        <w:rPr>
          <w:color w:val="000000" w:themeColor="text1"/>
          <w14:textFill>
            <w14:solidFill>
              <w14:schemeClr w14:val="tx1"/>
            </w14:solidFill>
          </w14:textFill>
        </w:rPr>
      </w:pPr>
      <w:r>
        <w:rPr>
          <w:color w:val="000000" w:themeColor="text1"/>
          <w14:textFill>
            <w14:solidFill>
              <w14:schemeClr w14:val="tx1"/>
            </w14:solidFill>
          </w14:textFill>
        </w:rPr>
        <w:t>《防治船舶污染海洋环境管理条例》（2018年修正）；</w:t>
      </w:r>
    </w:p>
    <w:p w14:paraId="18D6BEBD">
      <w:pPr>
        <w:numPr>
          <w:ilvl w:val="2"/>
          <w:numId w:val="5"/>
        </w:numPr>
        <w:ind w:firstLine="480"/>
        <w:rPr>
          <w:color w:val="000000" w:themeColor="text1"/>
          <w14:textFill>
            <w14:solidFill>
              <w14:schemeClr w14:val="tx1"/>
            </w14:solidFill>
          </w14:textFill>
        </w:rPr>
      </w:pPr>
      <w:r>
        <w:rPr>
          <w:color w:val="000000" w:themeColor="text1"/>
          <w14:textFill>
            <w14:solidFill>
              <w14:schemeClr w14:val="tx1"/>
            </w14:solidFill>
          </w14:textFill>
        </w:rPr>
        <w:t>《中华人民共和国海洋倾废管理条例》（2017年修订）；</w:t>
      </w:r>
    </w:p>
    <w:p w14:paraId="78DA252C">
      <w:pPr>
        <w:numPr>
          <w:ilvl w:val="2"/>
          <w:numId w:val="5"/>
        </w:numPr>
        <w:ind w:firstLine="480"/>
        <w:rPr>
          <w:color w:val="000000" w:themeColor="text1"/>
          <w14:textFill>
            <w14:solidFill>
              <w14:schemeClr w14:val="tx1"/>
            </w14:solidFill>
          </w14:textFill>
        </w:rPr>
      </w:pPr>
      <w:r>
        <w:rPr>
          <w:color w:val="000000" w:themeColor="text1"/>
          <w14:textFill>
            <w14:solidFill>
              <w14:schemeClr w14:val="tx1"/>
            </w14:solidFill>
          </w14:textFill>
        </w:rPr>
        <w:t>《中华人民共和国防治海岸工程建设项目污染损害海洋环境管理条例》（2017年3月1日修订实施）；</w:t>
      </w:r>
    </w:p>
    <w:p w14:paraId="4FE82EBC">
      <w:pPr>
        <w:numPr>
          <w:ilvl w:val="2"/>
          <w:numId w:val="5"/>
        </w:numPr>
        <w:ind w:firstLine="480"/>
        <w:rPr>
          <w:color w:val="000000" w:themeColor="text1"/>
          <w14:textFill>
            <w14:solidFill>
              <w14:schemeClr w14:val="tx1"/>
            </w14:solidFill>
          </w14:textFill>
        </w:rPr>
      </w:pPr>
      <w:r>
        <w:rPr>
          <w:color w:val="000000" w:themeColor="text1"/>
          <w14:textFill>
            <w14:solidFill>
              <w14:schemeClr w14:val="tx1"/>
            </w14:solidFill>
          </w14:textFill>
        </w:rPr>
        <w:t>《近岸海域环境功能区管理办法》（</w:t>
      </w:r>
      <w:r>
        <w:rPr>
          <w:rFonts w:hint="eastAsia"/>
          <w:color w:val="000000" w:themeColor="text1"/>
          <w14:textFill>
            <w14:solidFill>
              <w14:schemeClr w14:val="tx1"/>
            </w14:solidFill>
          </w14:textFill>
        </w:rPr>
        <w:t>2010年修正</w:t>
      </w:r>
      <w:r>
        <w:rPr>
          <w:color w:val="000000" w:themeColor="text1"/>
          <w14:textFill>
            <w14:solidFill>
              <w14:schemeClr w14:val="tx1"/>
            </w14:solidFill>
          </w14:textFill>
        </w:rPr>
        <w:t>）；</w:t>
      </w:r>
    </w:p>
    <w:p w14:paraId="7DE7524A">
      <w:pPr>
        <w:numPr>
          <w:ilvl w:val="2"/>
          <w:numId w:val="5"/>
        </w:numPr>
        <w:ind w:firstLine="480"/>
        <w:rPr>
          <w:color w:val="000000" w:themeColor="text1"/>
          <w14:textFill>
            <w14:solidFill>
              <w14:schemeClr w14:val="tx1"/>
            </w14:solidFill>
          </w14:textFill>
        </w:rPr>
      </w:pPr>
      <w:r>
        <w:rPr>
          <w:color w:val="000000" w:themeColor="text1"/>
          <w14:textFill>
            <w14:solidFill>
              <w14:schemeClr w14:val="tx1"/>
            </w14:solidFill>
          </w14:textFill>
        </w:rPr>
        <w:t>《防治船舶污染海洋环境管理条例》（2017年3月1日修订）；</w:t>
      </w:r>
    </w:p>
    <w:p w14:paraId="6D26A9FE">
      <w:pPr>
        <w:numPr>
          <w:ilvl w:val="2"/>
          <w:numId w:val="5"/>
        </w:numPr>
        <w:ind w:firstLine="480"/>
        <w:rPr>
          <w:color w:val="000000" w:themeColor="text1"/>
          <w14:textFill>
            <w14:solidFill>
              <w14:schemeClr w14:val="tx1"/>
            </w14:solidFill>
          </w14:textFill>
        </w:rPr>
      </w:pPr>
      <w:r>
        <w:rPr>
          <w:color w:val="000000" w:themeColor="text1"/>
          <w14:textFill>
            <w14:solidFill>
              <w14:schemeClr w14:val="tx1"/>
            </w14:solidFill>
          </w14:textFill>
        </w:rPr>
        <w:t>《中华人民共和国水生野生动物保护实施条例》（2013年修订）；</w:t>
      </w:r>
    </w:p>
    <w:p w14:paraId="67E5AB4A">
      <w:pPr>
        <w:numPr>
          <w:ilvl w:val="2"/>
          <w:numId w:val="5"/>
        </w:numPr>
        <w:ind w:firstLine="480"/>
        <w:rPr>
          <w:color w:val="000000" w:themeColor="text1"/>
          <w14:textFill>
            <w14:solidFill>
              <w14:schemeClr w14:val="tx1"/>
            </w14:solidFill>
          </w14:textFill>
        </w:rPr>
      </w:pPr>
      <w:r>
        <w:rPr>
          <w:color w:val="000000" w:themeColor="text1"/>
          <w14:textFill>
            <w14:solidFill>
              <w14:schemeClr w14:val="tx1"/>
            </w14:solidFill>
          </w14:textFill>
        </w:rPr>
        <w:t>《排污许可管理条例》（国务院令第736号）；</w:t>
      </w:r>
    </w:p>
    <w:p w14:paraId="4BFEDD2C">
      <w:pPr>
        <w:numPr>
          <w:ilvl w:val="2"/>
          <w:numId w:val="5"/>
        </w:numPr>
        <w:ind w:firstLine="480"/>
        <w:rPr>
          <w:color w:val="000000" w:themeColor="text1"/>
          <w14:textFill>
            <w14:solidFill>
              <w14:schemeClr w14:val="tx1"/>
            </w14:solidFill>
          </w14:textFill>
        </w:rPr>
      </w:pPr>
      <w:r>
        <w:rPr>
          <w:color w:val="000000" w:themeColor="text1"/>
          <w14:textFill>
            <w14:solidFill>
              <w14:schemeClr w14:val="tx1"/>
            </w14:solidFill>
          </w14:textFill>
        </w:rPr>
        <w:t>《建设项目环境影响评价分类管理名录》（2021年修正）；</w:t>
      </w:r>
    </w:p>
    <w:p w14:paraId="69C92AD1">
      <w:pPr>
        <w:numPr>
          <w:ilvl w:val="2"/>
          <w:numId w:val="5"/>
        </w:numPr>
        <w:ind w:firstLine="480"/>
        <w:rPr>
          <w:color w:val="000000" w:themeColor="text1"/>
          <w14:textFill>
            <w14:solidFill>
              <w14:schemeClr w14:val="tx1"/>
            </w14:solidFill>
          </w14:textFill>
        </w:rPr>
      </w:pPr>
      <w:r>
        <w:rPr>
          <w:color w:val="000000" w:themeColor="text1"/>
          <w14:textFill>
            <w14:solidFill>
              <w14:schemeClr w14:val="tx1"/>
            </w14:solidFill>
          </w14:textFill>
        </w:rPr>
        <w:t>《环境影响评价公众参与办法》（生态环境部2019.1.1）；</w:t>
      </w:r>
    </w:p>
    <w:p w14:paraId="1F27C014">
      <w:pPr>
        <w:numPr>
          <w:ilvl w:val="2"/>
          <w:numId w:val="5"/>
        </w:numPr>
        <w:ind w:firstLine="480"/>
        <w:rPr>
          <w:color w:val="000000" w:themeColor="text1"/>
          <w14:textFill>
            <w14:solidFill>
              <w14:schemeClr w14:val="tx1"/>
            </w14:solidFill>
          </w14:textFill>
        </w:rPr>
      </w:pPr>
      <w:r>
        <w:rPr>
          <w:color w:val="000000" w:themeColor="text1"/>
          <w14:textFill>
            <w14:solidFill>
              <w14:schemeClr w14:val="tx1"/>
            </w14:solidFill>
          </w14:textFill>
        </w:rPr>
        <w:t>《关于进一步加强环境影响评价管理防范环境风险的通知》（环发〔2012〕77号）；</w:t>
      </w:r>
    </w:p>
    <w:p w14:paraId="1F377CA9">
      <w:pPr>
        <w:numPr>
          <w:ilvl w:val="2"/>
          <w:numId w:val="5"/>
        </w:numPr>
        <w:ind w:firstLine="480"/>
        <w:rPr>
          <w:color w:val="000000" w:themeColor="text1"/>
          <w14:textFill>
            <w14:solidFill>
              <w14:schemeClr w14:val="tx1"/>
            </w14:solidFill>
          </w14:textFill>
        </w:rPr>
      </w:pPr>
      <w:r>
        <w:rPr>
          <w:color w:val="000000" w:themeColor="text1"/>
          <w14:textFill>
            <w14:solidFill>
              <w14:schemeClr w14:val="tx1"/>
            </w14:solidFill>
          </w14:textFill>
        </w:rPr>
        <w:t>《关于进一步加强环境保护信息公开工作的通知》（环办〔2012〕134号）；</w:t>
      </w:r>
    </w:p>
    <w:p w14:paraId="4A5C5B5C">
      <w:pPr>
        <w:numPr>
          <w:ilvl w:val="2"/>
          <w:numId w:val="5"/>
        </w:numPr>
        <w:ind w:firstLine="480"/>
        <w:rPr>
          <w:color w:val="000000" w:themeColor="text1"/>
          <w14:textFill>
            <w14:solidFill>
              <w14:schemeClr w14:val="tx1"/>
            </w14:solidFill>
          </w14:textFill>
        </w:rPr>
      </w:pPr>
      <w:r>
        <w:rPr>
          <w:color w:val="000000" w:themeColor="text1"/>
          <w14:textFill>
            <w14:solidFill>
              <w14:schemeClr w14:val="tx1"/>
            </w14:solidFill>
          </w14:textFill>
        </w:rPr>
        <w:t>《关于加强规划环境影响评价与建设项目环境影响评价联动工作的意见》（环发〔2015〕178号）；</w:t>
      </w:r>
    </w:p>
    <w:p w14:paraId="30C67EC8">
      <w:pPr>
        <w:numPr>
          <w:ilvl w:val="2"/>
          <w:numId w:val="5"/>
        </w:numPr>
        <w:ind w:firstLine="480"/>
        <w:rPr>
          <w:color w:val="000000" w:themeColor="text1"/>
          <w14:textFill>
            <w14:solidFill>
              <w14:schemeClr w14:val="tx1"/>
            </w14:solidFill>
          </w14:textFill>
        </w:rPr>
      </w:pPr>
      <w:r>
        <w:rPr>
          <w:color w:val="000000" w:themeColor="text1"/>
          <w14:textFill>
            <w14:solidFill>
              <w14:schemeClr w14:val="tx1"/>
            </w14:solidFill>
          </w14:textFill>
        </w:rPr>
        <w:t>《产业结构调整指导目录（20</w:t>
      </w:r>
      <w:r>
        <w:rPr>
          <w:rFonts w:hint="eastAsia"/>
          <w:color w:val="000000" w:themeColor="text1"/>
          <w14:textFill>
            <w14:solidFill>
              <w14:schemeClr w14:val="tx1"/>
            </w14:solidFill>
          </w14:textFill>
        </w:rPr>
        <w:t>24</w:t>
      </w:r>
      <w:r>
        <w:rPr>
          <w:color w:val="000000" w:themeColor="text1"/>
          <w14:textFill>
            <w14:solidFill>
              <w14:schemeClr w14:val="tx1"/>
            </w14:solidFill>
          </w14:textFill>
        </w:rPr>
        <w:t>年本）》</w:t>
      </w:r>
      <w:r>
        <w:rPr>
          <w:rFonts w:hint="eastAsia"/>
          <w:color w:val="000000" w:themeColor="text1"/>
          <w14:textFill>
            <w14:solidFill>
              <w14:schemeClr w14:val="tx1"/>
            </w14:solidFill>
          </w14:textFill>
        </w:rPr>
        <w:t>）2024年2月1日起实施</w:t>
      </w:r>
      <w:r>
        <w:rPr>
          <w:color w:val="000000" w:themeColor="text1"/>
          <w14:textFill>
            <w14:solidFill>
              <w14:schemeClr w14:val="tx1"/>
            </w14:solidFill>
          </w14:textFill>
        </w:rPr>
        <w:t>；</w:t>
      </w:r>
    </w:p>
    <w:p w14:paraId="098F4E60">
      <w:pPr>
        <w:numPr>
          <w:ilvl w:val="2"/>
          <w:numId w:val="5"/>
        </w:numPr>
        <w:ind w:firstLine="480"/>
        <w:rPr>
          <w:color w:val="000000" w:themeColor="text1"/>
          <w14:textFill>
            <w14:solidFill>
              <w14:schemeClr w14:val="tx1"/>
            </w14:solidFill>
          </w14:textFill>
        </w:rPr>
      </w:pPr>
      <w:r>
        <w:rPr>
          <w:color w:val="000000" w:themeColor="text1"/>
          <w14:textFill>
            <w14:solidFill>
              <w14:schemeClr w14:val="tx1"/>
            </w14:solidFill>
          </w14:textFill>
        </w:rPr>
        <w:t>《国家危险废物名录（202</w:t>
      </w:r>
      <w:r>
        <w:rPr>
          <w:rFonts w:hint="eastAsia"/>
          <w:color w:val="000000" w:themeColor="text1"/>
          <w14:textFill>
            <w14:solidFill>
              <w14:schemeClr w14:val="tx1"/>
            </w14:solidFill>
          </w14:textFill>
        </w:rPr>
        <w:t>5</w:t>
      </w:r>
      <w:r>
        <w:rPr>
          <w:color w:val="000000" w:themeColor="text1"/>
          <w14:textFill>
            <w14:solidFill>
              <w14:schemeClr w14:val="tx1"/>
            </w14:solidFill>
          </w14:textFill>
        </w:rPr>
        <w:t>年版）》（</w:t>
      </w:r>
      <w:r>
        <w:rPr>
          <w:rFonts w:hint="eastAsia"/>
          <w:color w:val="000000" w:themeColor="text1"/>
          <w14:textFill>
            <w14:solidFill>
              <w14:schemeClr w14:val="tx1"/>
            </w14:solidFill>
          </w14:textFill>
        </w:rPr>
        <w:t>2025年1月1日起实施</w:t>
      </w:r>
      <w:r>
        <w:rPr>
          <w:color w:val="000000" w:themeColor="text1"/>
          <w14:textFill>
            <w14:solidFill>
              <w14:schemeClr w14:val="tx1"/>
            </w14:solidFill>
          </w14:textFill>
        </w:rPr>
        <w:t>）；</w:t>
      </w:r>
    </w:p>
    <w:p w14:paraId="1D10B1B8">
      <w:pPr>
        <w:numPr>
          <w:ilvl w:val="2"/>
          <w:numId w:val="5"/>
        </w:numPr>
        <w:ind w:firstLine="480"/>
        <w:rPr>
          <w:color w:val="000000" w:themeColor="text1"/>
          <w14:textFill>
            <w14:solidFill>
              <w14:schemeClr w14:val="tx1"/>
            </w14:solidFill>
          </w14:textFill>
        </w:rPr>
      </w:pPr>
      <w:r>
        <w:rPr>
          <w:color w:val="000000" w:themeColor="text1"/>
          <w14:textFill>
            <w14:solidFill>
              <w14:schemeClr w14:val="tx1"/>
            </w14:solidFill>
          </w14:textFill>
        </w:rPr>
        <w:t>《危险废物转移管理办法》（部令第23号2022年1月1日实施）；</w:t>
      </w:r>
    </w:p>
    <w:p w14:paraId="5ECF7099">
      <w:pPr>
        <w:numPr>
          <w:ilvl w:val="2"/>
          <w:numId w:val="5"/>
        </w:numPr>
        <w:ind w:firstLine="480"/>
        <w:rPr>
          <w:color w:val="000000" w:themeColor="text1"/>
          <w14:textFill>
            <w14:solidFill>
              <w14:schemeClr w14:val="tx1"/>
            </w14:solidFill>
          </w14:textFill>
        </w:rPr>
      </w:pPr>
      <w:r>
        <w:rPr>
          <w:color w:val="000000" w:themeColor="text1"/>
          <w14:textFill>
            <w14:solidFill>
              <w14:schemeClr w14:val="tx1"/>
            </w14:solidFill>
          </w14:textFill>
        </w:rPr>
        <w:t>《中华人民共和国水生动植物自然保护区管理办法》（</w:t>
      </w:r>
      <w:r>
        <w:rPr>
          <w:rFonts w:hint="eastAsia"/>
          <w:color w:val="000000" w:themeColor="text1"/>
          <w:lang w:eastAsia="zh-CN"/>
          <w14:textFill>
            <w14:solidFill>
              <w14:schemeClr w14:val="tx1"/>
            </w14:solidFill>
          </w14:textFill>
        </w:rPr>
        <w:t>农业农村部</w:t>
      </w:r>
      <w:r>
        <w:rPr>
          <w:color w:val="000000" w:themeColor="text1"/>
          <w14:textFill>
            <w14:solidFill>
              <w14:schemeClr w14:val="tx1"/>
            </w14:solidFill>
          </w14:textFill>
        </w:rPr>
        <w:t>令2014年第3号，2014年修正）；</w:t>
      </w:r>
    </w:p>
    <w:p w14:paraId="1A3F2772">
      <w:pPr>
        <w:numPr>
          <w:ilvl w:val="2"/>
          <w:numId w:val="5"/>
        </w:numPr>
        <w:ind w:firstLine="480"/>
        <w:rPr>
          <w:color w:val="000000" w:themeColor="text1"/>
          <w14:textFill>
            <w14:solidFill>
              <w14:schemeClr w14:val="tx1"/>
            </w14:solidFill>
          </w14:textFill>
        </w:rPr>
      </w:pPr>
      <w:r>
        <w:rPr>
          <w:color w:val="000000" w:themeColor="text1"/>
          <w14:textFill>
            <w14:solidFill>
              <w14:schemeClr w14:val="tx1"/>
            </w14:solidFill>
          </w14:textFill>
        </w:rPr>
        <w:t>《关于进一步加强水生生物资源保护严格环境影响评价管理的通知》（环发〔2013〕86号）；</w:t>
      </w:r>
    </w:p>
    <w:p w14:paraId="0C0C6A43">
      <w:pPr>
        <w:numPr>
          <w:ilvl w:val="2"/>
          <w:numId w:val="5"/>
        </w:numPr>
        <w:ind w:firstLine="480"/>
        <w:rPr>
          <w:color w:val="000000" w:themeColor="text1"/>
          <w14:textFill>
            <w14:solidFill>
              <w14:schemeClr w14:val="tx1"/>
            </w14:solidFill>
          </w14:textFill>
        </w:rPr>
      </w:pPr>
      <w:r>
        <w:rPr>
          <w:color w:val="000000" w:themeColor="text1"/>
          <w14:textFill>
            <w14:solidFill>
              <w14:schemeClr w14:val="tx1"/>
            </w14:solidFill>
          </w14:textFill>
        </w:rPr>
        <w:t>《关于加强资源环境生态红线管控的指导意见》（发改环资〔2016〕1162号）；</w:t>
      </w:r>
    </w:p>
    <w:p w14:paraId="6C655E03">
      <w:pPr>
        <w:numPr>
          <w:ilvl w:val="2"/>
          <w:numId w:val="5"/>
        </w:numPr>
        <w:ind w:firstLine="480"/>
        <w:rPr>
          <w:color w:val="000000" w:themeColor="text1"/>
          <w14:textFill>
            <w14:solidFill>
              <w14:schemeClr w14:val="tx1"/>
            </w14:solidFill>
          </w14:textFill>
        </w:rPr>
      </w:pPr>
      <w:r>
        <w:rPr>
          <w:color w:val="000000" w:themeColor="text1"/>
          <w14:textFill>
            <w14:solidFill>
              <w14:schemeClr w14:val="tx1"/>
            </w14:solidFill>
          </w14:textFill>
        </w:rPr>
        <w:t>《企业事业单位突发环境事件应急预案备案管理办法（试行）》（环发〔2015〕4号）；</w:t>
      </w:r>
    </w:p>
    <w:p w14:paraId="53075AB8">
      <w:pPr>
        <w:numPr>
          <w:ilvl w:val="2"/>
          <w:numId w:val="5"/>
        </w:numPr>
        <w:ind w:firstLine="480"/>
        <w:rPr>
          <w:color w:val="000000" w:themeColor="text1"/>
          <w14:textFill>
            <w14:solidFill>
              <w14:schemeClr w14:val="tx1"/>
            </w14:solidFill>
          </w14:textFill>
        </w:rPr>
      </w:pPr>
      <w:r>
        <w:rPr>
          <w:color w:val="000000" w:themeColor="text1"/>
          <w14:textFill>
            <w14:solidFill>
              <w14:schemeClr w14:val="tx1"/>
            </w14:solidFill>
          </w14:textFill>
        </w:rPr>
        <w:t>《国家突发公共事件总体应急预案》（</w:t>
      </w:r>
      <w:r>
        <w:rPr>
          <w:rFonts w:hint="eastAsia"/>
          <w:color w:val="000000" w:themeColor="text1"/>
          <w14:textFill>
            <w14:solidFill>
              <w14:schemeClr w14:val="tx1"/>
            </w14:solidFill>
          </w14:textFill>
        </w:rPr>
        <w:t>2025年</w:t>
      </w:r>
      <w:r>
        <w:rPr>
          <w:color w:val="000000" w:themeColor="text1"/>
          <w14:textFill>
            <w14:solidFill>
              <w14:schemeClr w14:val="tx1"/>
            </w14:solidFill>
          </w14:textFill>
        </w:rPr>
        <w:t>）；</w:t>
      </w:r>
    </w:p>
    <w:p w14:paraId="04228D1B">
      <w:pPr>
        <w:numPr>
          <w:ilvl w:val="2"/>
          <w:numId w:val="5"/>
        </w:numPr>
        <w:ind w:firstLine="480"/>
        <w:rPr>
          <w:color w:val="000000" w:themeColor="text1"/>
          <w14:textFill>
            <w14:solidFill>
              <w14:schemeClr w14:val="tx1"/>
            </w14:solidFill>
          </w14:textFill>
        </w:rPr>
      </w:pPr>
      <w:r>
        <w:rPr>
          <w:color w:val="000000" w:themeColor="text1"/>
          <w14:textFill>
            <w14:solidFill>
              <w14:schemeClr w14:val="tx1"/>
            </w14:solidFill>
          </w14:textFill>
        </w:rPr>
        <w:t>《国家突发环境事件应急预案》（2014年12月29日起施行）；</w:t>
      </w:r>
    </w:p>
    <w:p w14:paraId="7018B06B">
      <w:pPr>
        <w:numPr>
          <w:ilvl w:val="2"/>
          <w:numId w:val="5"/>
        </w:numPr>
        <w:ind w:firstLine="480"/>
        <w:rPr>
          <w:color w:val="000000" w:themeColor="text1"/>
          <w14:textFill>
            <w14:solidFill>
              <w14:schemeClr w14:val="tx1"/>
            </w14:solidFill>
          </w14:textFill>
        </w:rPr>
      </w:pPr>
      <w:r>
        <w:rPr>
          <w:color w:val="000000" w:themeColor="text1"/>
          <w14:textFill>
            <w14:solidFill>
              <w14:schemeClr w14:val="tx1"/>
            </w14:solidFill>
          </w14:textFill>
        </w:rPr>
        <w:t>《关于印发机场、港口、水利（河湖整治与防洪除涝工程）三个行业建设项目环境影响评价文件审批原则的通知》（环办环评〔2018〕2号）；</w:t>
      </w:r>
    </w:p>
    <w:p w14:paraId="56E59FD6">
      <w:pPr>
        <w:numPr>
          <w:ilvl w:val="2"/>
          <w:numId w:val="5"/>
        </w:numPr>
        <w:ind w:firstLine="480"/>
        <w:rPr>
          <w:color w:val="000000" w:themeColor="text1"/>
          <w14:textFill>
            <w14:solidFill>
              <w14:schemeClr w14:val="tx1"/>
            </w14:solidFill>
          </w14:textFill>
        </w:rPr>
      </w:pPr>
      <w:r>
        <w:rPr>
          <w:color w:val="000000" w:themeColor="text1"/>
          <w14:textFill>
            <w14:solidFill>
              <w14:schemeClr w14:val="tx1"/>
            </w14:solidFill>
          </w14:textFill>
        </w:rPr>
        <w:t>《关于进一步加强公路水路交通运输规划环境影响评价工作的通知》（环发〔2012〕49号）；</w:t>
      </w:r>
    </w:p>
    <w:p w14:paraId="67971426">
      <w:pPr>
        <w:numPr>
          <w:ilvl w:val="2"/>
          <w:numId w:val="5"/>
        </w:numPr>
        <w:ind w:firstLine="480"/>
        <w:rPr>
          <w:color w:val="000000" w:themeColor="text1"/>
          <w14:textFill>
            <w14:solidFill>
              <w14:schemeClr w14:val="tx1"/>
            </w14:solidFill>
          </w14:textFill>
        </w:rPr>
      </w:pPr>
      <w:r>
        <w:rPr>
          <w:color w:val="000000" w:themeColor="text1"/>
          <w14:textFill>
            <w14:solidFill>
              <w14:schemeClr w14:val="tx1"/>
            </w14:solidFill>
          </w14:textFill>
        </w:rPr>
        <w:t>《交通运输部关于印发船舶与港口污染防治专项行动实施方案（2015～2020年）的通知》；</w:t>
      </w:r>
    </w:p>
    <w:p w14:paraId="6EA593C1">
      <w:pPr>
        <w:numPr>
          <w:ilvl w:val="2"/>
          <w:numId w:val="5"/>
        </w:numPr>
        <w:ind w:firstLine="480"/>
        <w:rPr>
          <w:color w:val="000000" w:themeColor="text1"/>
          <w14:textFill>
            <w14:solidFill>
              <w14:schemeClr w14:val="tx1"/>
            </w14:solidFill>
          </w14:textFill>
        </w:rPr>
      </w:pPr>
      <w:r>
        <w:rPr>
          <w:color w:val="000000" w:themeColor="text1"/>
          <w14:textFill>
            <w14:solidFill>
              <w14:schemeClr w14:val="tx1"/>
            </w14:solidFill>
          </w14:textFill>
        </w:rPr>
        <w:t>《海洋工程环境影响评价管理规定》（国海规范〔2017〕7号）；</w:t>
      </w:r>
    </w:p>
    <w:p w14:paraId="183797D6">
      <w:pPr>
        <w:numPr>
          <w:ilvl w:val="2"/>
          <w:numId w:val="5"/>
        </w:numPr>
        <w:ind w:firstLine="480"/>
        <w:rPr>
          <w:color w:val="000000" w:themeColor="text1"/>
          <w14:textFill>
            <w14:solidFill>
              <w14:schemeClr w14:val="tx1"/>
            </w14:solidFill>
          </w14:textFill>
        </w:rPr>
      </w:pPr>
      <w:r>
        <w:rPr>
          <w:color w:val="000000" w:themeColor="text1"/>
          <w14:textFill>
            <w14:solidFill>
              <w14:schemeClr w14:val="tx1"/>
            </w14:solidFill>
          </w14:textFill>
        </w:rPr>
        <w:t>《沿海海域船舶排污设备铅封管理规定》（交海发〔2007〕165号文，2007年5月1日）；</w:t>
      </w:r>
    </w:p>
    <w:p w14:paraId="456668AE">
      <w:pPr>
        <w:numPr>
          <w:ilvl w:val="2"/>
          <w:numId w:val="5"/>
        </w:numPr>
        <w:ind w:firstLine="480"/>
        <w:rPr>
          <w:color w:val="000000" w:themeColor="text1"/>
          <w14:textFill>
            <w14:solidFill>
              <w14:schemeClr w14:val="tx1"/>
            </w14:solidFill>
          </w14:textFill>
        </w:rPr>
      </w:pPr>
      <w:r>
        <w:rPr>
          <w:color w:val="000000" w:themeColor="text1"/>
          <w14:textFill>
            <w14:solidFill>
              <w14:schemeClr w14:val="tx1"/>
            </w14:solidFill>
          </w14:textFill>
        </w:rPr>
        <w:t>《中华人民共和国船舶及其有关作业活动污染海洋环境防治管理规定》（交通运输部令〔2017〕15号）；</w:t>
      </w:r>
    </w:p>
    <w:p w14:paraId="3C1EDE28">
      <w:pPr>
        <w:numPr>
          <w:ilvl w:val="2"/>
          <w:numId w:val="5"/>
        </w:numPr>
        <w:ind w:firstLine="480"/>
        <w:rPr>
          <w:color w:val="000000" w:themeColor="text1"/>
          <w14:textFill>
            <w14:solidFill>
              <w14:schemeClr w14:val="tx1"/>
            </w14:solidFill>
          </w14:textFill>
        </w:rPr>
      </w:pPr>
      <w:r>
        <w:rPr>
          <w:color w:val="000000" w:themeColor="text1"/>
          <w14:textFill>
            <w14:solidFill>
              <w14:schemeClr w14:val="tx1"/>
            </w14:solidFill>
          </w14:textFill>
        </w:rPr>
        <w:t>《中华人民共和国船舶污染海洋环境应急防备和应急处置管理规定》（交通运输部令〔2019〕40号）；</w:t>
      </w:r>
    </w:p>
    <w:p w14:paraId="1C2F6E7F">
      <w:pPr>
        <w:numPr>
          <w:ilvl w:val="2"/>
          <w:numId w:val="5"/>
        </w:numPr>
        <w:ind w:firstLine="480"/>
        <w:rPr>
          <w:color w:val="000000" w:themeColor="text1"/>
          <w14:textFill>
            <w14:solidFill>
              <w14:schemeClr w14:val="tx1"/>
            </w14:solidFill>
          </w14:textFill>
        </w:rPr>
      </w:pPr>
      <w:r>
        <w:rPr>
          <w:color w:val="000000" w:themeColor="text1"/>
          <w14:textFill>
            <w14:solidFill>
              <w14:schemeClr w14:val="tx1"/>
            </w14:solidFill>
          </w14:textFill>
        </w:rPr>
        <w:t>《船舶大气污染物排放控制区实施方案》（交海发〔2018〕168号）。</w:t>
      </w:r>
    </w:p>
    <w:p w14:paraId="556E272A">
      <w:pPr>
        <w:pStyle w:val="4"/>
        <w:rPr>
          <w:color w:val="000000" w:themeColor="text1"/>
          <w14:textFill>
            <w14:solidFill>
              <w14:schemeClr w14:val="tx1"/>
            </w14:solidFill>
          </w14:textFill>
        </w:rPr>
      </w:pPr>
      <w:bookmarkStart w:id="31" w:name="_Toc216620324"/>
      <w:bookmarkStart w:id="32" w:name="_Toc135090163"/>
      <w:bookmarkStart w:id="33" w:name="_Toc216103165"/>
      <w:bookmarkStart w:id="34" w:name="_Toc29131762"/>
      <w:bookmarkStart w:id="35" w:name="_Toc26909948"/>
      <w:bookmarkStart w:id="36" w:name="_Toc25436903"/>
      <w:bookmarkStart w:id="37" w:name="_Toc136878412"/>
      <w:r>
        <w:rPr>
          <w:color w:val="000000" w:themeColor="text1"/>
          <w14:textFill>
            <w14:solidFill>
              <w14:schemeClr w14:val="tx1"/>
            </w14:solidFill>
          </w14:textFill>
        </w:rPr>
        <w:t>相关国际公约</w:t>
      </w:r>
      <w:bookmarkEnd w:id="31"/>
      <w:bookmarkEnd w:id="32"/>
      <w:bookmarkEnd w:id="33"/>
      <w:bookmarkEnd w:id="34"/>
      <w:bookmarkEnd w:id="35"/>
      <w:bookmarkEnd w:id="36"/>
      <w:bookmarkEnd w:id="37"/>
    </w:p>
    <w:p w14:paraId="149F5C8E">
      <w:pPr>
        <w:numPr>
          <w:ilvl w:val="0"/>
          <w:numId w:val="6"/>
        </w:numPr>
        <w:ind w:firstLine="480"/>
        <w:rPr>
          <w:color w:val="000000" w:themeColor="text1"/>
          <w14:textFill>
            <w14:solidFill>
              <w14:schemeClr w14:val="tx1"/>
            </w14:solidFill>
          </w14:textFill>
        </w:rPr>
      </w:pPr>
      <w:r>
        <w:rPr>
          <w:color w:val="000000" w:themeColor="text1"/>
          <w14:textFill>
            <w14:solidFill>
              <w14:schemeClr w14:val="tx1"/>
            </w14:solidFill>
          </w14:textFill>
        </w:rPr>
        <w:t>《经1978年议定书修订的1973 年国际防止船舶造成污染公约（MARPOL73/78）》（国际海事组织，1978年）；</w:t>
      </w:r>
    </w:p>
    <w:p w14:paraId="42163349">
      <w:pPr>
        <w:numPr>
          <w:ilvl w:val="0"/>
          <w:numId w:val="6"/>
        </w:numPr>
        <w:ind w:firstLine="480"/>
        <w:rPr>
          <w:color w:val="000000" w:themeColor="text1"/>
          <w14:textFill>
            <w14:solidFill>
              <w14:schemeClr w14:val="tx1"/>
            </w14:solidFill>
          </w14:textFill>
        </w:rPr>
      </w:pPr>
      <w:r>
        <w:rPr>
          <w:color w:val="000000" w:themeColor="text1"/>
          <w14:textFill>
            <w14:solidFill>
              <w14:schemeClr w14:val="tx1"/>
            </w14:solidFill>
          </w14:textFill>
        </w:rPr>
        <w:t>《1990年国际油污防备、响应和合作公约》（国际海事组织，1990年）；</w:t>
      </w:r>
    </w:p>
    <w:p w14:paraId="50E46FF9">
      <w:pPr>
        <w:numPr>
          <w:ilvl w:val="0"/>
          <w:numId w:val="6"/>
        </w:numPr>
        <w:ind w:firstLine="480"/>
        <w:rPr>
          <w:color w:val="000000" w:themeColor="text1"/>
          <w14:textFill>
            <w14:solidFill>
              <w14:schemeClr w14:val="tx1"/>
            </w14:solidFill>
          </w14:textFill>
        </w:rPr>
      </w:pPr>
      <w:r>
        <w:rPr>
          <w:color w:val="000000" w:themeColor="text1"/>
          <w14:textFill>
            <w14:solidFill>
              <w14:schemeClr w14:val="tx1"/>
            </w14:solidFill>
          </w14:textFill>
        </w:rPr>
        <w:t>MARPOL73/78附则</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 1 \* ROMAN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I</w:t>
      </w:r>
      <w:r>
        <w:rPr>
          <w:color w:val="000000" w:themeColor="text1"/>
          <w14:textFill>
            <w14:solidFill>
              <w14:schemeClr w14:val="tx1"/>
            </w14:solidFill>
          </w14:textFill>
        </w:rPr>
        <w:fldChar w:fldCharType="end"/>
      </w:r>
      <w:r>
        <w:rPr>
          <w:color w:val="000000" w:themeColor="text1"/>
          <w14:textFill>
            <w14:solidFill>
              <w14:schemeClr w14:val="tx1"/>
            </w14:solidFill>
          </w14:textFill>
        </w:rPr>
        <w:t>~</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 6 \* ROMAN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VI</w:t>
      </w:r>
      <w:r>
        <w:rPr>
          <w:color w:val="000000" w:themeColor="text1"/>
          <w14:textFill>
            <w14:solidFill>
              <w14:schemeClr w14:val="tx1"/>
            </w14:solidFill>
          </w14:textFill>
        </w:rPr>
        <w:fldChar w:fldCharType="end"/>
      </w:r>
      <w:r>
        <w:rPr>
          <w:color w:val="000000" w:themeColor="text1"/>
          <w14:textFill>
            <w14:solidFill>
              <w14:schemeClr w14:val="tx1"/>
            </w14:solidFill>
          </w14:textFill>
        </w:rPr>
        <w:t>（详见表1.1-1）；</w:t>
      </w:r>
    </w:p>
    <w:p w14:paraId="509D7E8E">
      <w:pPr>
        <w:numPr>
          <w:ilvl w:val="0"/>
          <w:numId w:val="6"/>
        </w:numPr>
        <w:ind w:firstLine="480" w:firstLineChars="0"/>
        <w:rPr>
          <w:color w:val="000000" w:themeColor="text1"/>
          <w14:textFill>
            <w14:solidFill>
              <w14:schemeClr w14:val="tx1"/>
            </w14:solidFill>
          </w14:textFill>
        </w:rPr>
      </w:pPr>
      <w:r>
        <w:rPr>
          <w:color w:val="000000" w:themeColor="text1"/>
          <w14:textFill>
            <w14:solidFill>
              <w14:schemeClr w14:val="tx1"/>
            </w14:solidFill>
          </w14:textFill>
        </w:rPr>
        <w:t>《国际船舶压载水和沉积物控制与管理公约》（国际海事组织，2004年2月）。</w:t>
      </w:r>
    </w:p>
    <w:p w14:paraId="3237EEFB">
      <w:pPr>
        <w:pStyle w:val="7"/>
        <w:rPr>
          <w:color w:val="000000" w:themeColor="text1"/>
          <w14:textFill>
            <w14:solidFill>
              <w14:schemeClr w14:val="tx1"/>
            </w14:solidFill>
          </w14:textFill>
        </w:rPr>
      </w:pPr>
      <w:r>
        <w:rPr>
          <w:color w:val="000000" w:themeColor="text1"/>
          <w14:textFill>
            <w14:solidFill>
              <w14:schemeClr w14:val="tx1"/>
            </w14:solidFill>
          </w14:textFill>
        </w:rPr>
        <w:t>MARPOL73/78附则</w:t>
      </w:r>
    </w:p>
    <w:tbl>
      <w:tblPr>
        <w:tblStyle w:val="43"/>
        <w:tblW w:w="9042"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318"/>
        <w:gridCol w:w="3610"/>
        <w:gridCol w:w="2107"/>
        <w:gridCol w:w="2007"/>
      </w:tblGrid>
      <w:tr w14:paraId="2F42C04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1318" w:type="dxa"/>
            <w:vAlign w:val="center"/>
          </w:tcPr>
          <w:p w14:paraId="0A139A5C">
            <w:pPr>
              <w:pStyle w:val="84"/>
              <w:jc w:val="center"/>
              <w:rPr>
                <w:rFonts w:hAnsi="Times New Roman"/>
                <w:b/>
                <w:bCs/>
                <w:color w:val="000000" w:themeColor="text1"/>
                <w14:textFill>
                  <w14:solidFill>
                    <w14:schemeClr w14:val="tx1"/>
                  </w14:solidFill>
                </w14:textFill>
              </w:rPr>
            </w:pPr>
            <w:r>
              <w:rPr>
                <w:rFonts w:hAnsi="Times New Roman"/>
                <w:b/>
                <w:bCs/>
                <w:color w:val="000000" w:themeColor="text1"/>
                <w14:textFill>
                  <w14:solidFill>
                    <w14:schemeClr w14:val="tx1"/>
                  </w14:solidFill>
                </w14:textFill>
              </w:rPr>
              <w:t>附则序号</w:t>
            </w:r>
          </w:p>
        </w:tc>
        <w:tc>
          <w:tcPr>
            <w:tcW w:w="3610" w:type="dxa"/>
            <w:vAlign w:val="center"/>
          </w:tcPr>
          <w:p w14:paraId="4C4F5BD6">
            <w:pPr>
              <w:pStyle w:val="84"/>
              <w:jc w:val="center"/>
              <w:rPr>
                <w:rFonts w:hAnsi="Times New Roman"/>
                <w:b/>
                <w:bCs/>
                <w:color w:val="000000" w:themeColor="text1"/>
                <w14:textFill>
                  <w14:solidFill>
                    <w14:schemeClr w14:val="tx1"/>
                  </w14:solidFill>
                </w14:textFill>
              </w:rPr>
            </w:pPr>
            <w:r>
              <w:rPr>
                <w:rFonts w:hAnsi="Times New Roman"/>
                <w:b/>
                <w:bCs/>
                <w:color w:val="000000" w:themeColor="text1"/>
                <w14:textFill>
                  <w14:solidFill>
                    <w14:schemeClr w14:val="tx1"/>
                  </w14:solidFill>
                </w14:textFill>
              </w:rPr>
              <w:t>附则名称</w:t>
            </w:r>
          </w:p>
        </w:tc>
        <w:tc>
          <w:tcPr>
            <w:tcW w:w="2107" w:type="dxa"/>
            <w:vAlign w:val="center"/>
          </w:tcPr>
          <w:p w14:paraId="6176F183">
            <w:pPr>
              <w:pStyle w:val="84"/>
              <w:jc w:val="center"/>
              <w:rPr>
                <w:rFonts w:hAnsi="Times New Roman"/>
                <w:b/>
                <w:bCs/>
                <w:color w:val="000000" w:themeColor="text1"/>
                <w14:textFill>
                  <w14:solidFill>
                    <w14:schemeClr w14:val="tx1"/>
                  </w14:solidFill>
                </w14:textFill>
              </w:rPr>
            </w:pPr>
            <w:r>
              <w:rPr>
                <w:rFonts w:hAnsi="Times New Roman"/>
                <w:b/>
                <w:bCs/>
                <w:color w:val="000000" w:themeColor="text1"/>
                <w14:textFill>
                  <w14:solidFill>
                    <w14:schemeClr w14:val="tx1"/>
                  </w14:solidFill>
                </w14:textFill>
              </w:rPr>
              <w:t>附则生效时间</w:t>
            </w:r>
          </w:p>
        </w:tc>
        <w:tc>
          <w:tcPr>
            <w:tcW w:w="2007" w:type="dxa"/>
            <w:vAlign w:val="center"/>
          </w:tcPr>
          <w:p w14:paraId="58155D3F">
            <w:pPr>
              <w:pStyle w:val="84"/>
              <w:jc w:val="center"/>
              <w:rPr>
                <w:rFonts w:hAnsi="Times New Roman"/>
                <w:b/>
                <w:bCs/>
                <w:color w:val="000000" w:themeColor="text1"/>
                <w14:textFill>
                  <w14:solidFill>
                    <w14:schemeClr w14:val="tx1"/>
                  </w14:solidFill>
                </w14:textFill>
              </w:rPr>
            </w:pPr>
            <w:r>
              <w:rPr>
                <w:rFonts w:hAnsi="Times New Roman"/>
                <w:b/>
                <w:bCs/>
                <w:color w:val="000000" w:themeColor="text1"/>
                <w14:textFill>
                  <w14:solidFill>
                    <w14:schemeClr w14:val="tx1"/>
                  </w14:solidFill>
                </w14:textFill>
              </w:rPr>
              <w:t>对我国生效时间</w:t>
            </w:r>
          </w:p>
        </w:tc>
      </w:tr>
      <w:tr w14:paraId="7B4BDB1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1318" w:type="dxa"/>
            <w:vAlign w:val="center"/>
          </w:tcPr>
          <w:p w14:paraId="66F5D755">
            <w:pPr>
              <w:pStyle w:val="84"/>
              <w:jc w:val="center"/>
              <w:rPr>
                <w:rFonts w:hAnsi="Times New Roman"/>
                <w:color w:val="000000" w:themeColor="text1"/>
                <w14:textFill>
                  <w14:solidFill>
                    <w14:schemeClr w14:val="tx1"/>
                  </w14:solidFill>
                </w14:textFill>
              </w:rPr>
            </w:pPr>
            <w:r>
              <w:rPr>
                <w:rFonts w:hAnsi="Times New Roman"/>
                <w:color w:val="000000" w:themeColor="text1"/>
                <w14:textFill>
                  <w14:solidFill>
                    <w14:schemeClr w14:val="tx1"/>
                  </w14:solidFill>
                </w14:textFill>
              </w:rPr>
              <w:t>附则</w:t>
            </w:r>
            <w:r>
              <w:rPr>
                <w:rFonts w:hAnsi="Times New Roman"/>
                <w:color w:val="000000" w:themeColor="text1"/>
                <w14:textFill>
                  <w14:solidFill>
                    <w14:schemeClr w14:val="tx1"/>
                  </w14:solidFill>
                </w14:textFill>
              </w:rPr>
              <w:fldChar w:fldCharType="begin"/>
            </w:r>
            <w:r>
              <w:rPr>
                <w:rFonts w:hAnsi="Times New Roman"/>
                <w:color w:val="000000" w:themeColor="text1"/>
                <w14:textFill>
                  <w14:solidFill>
                    <w14:schemeClr w14:val="tx1"/>
                  </w14:solidFill>
                </w14:textFill>
              </w:rPr>
              <w:instrText xml:space="preserve"> = 1 \* ROMAN </w:instrText>
            </w:r>
            <w:r>
              <w:rPr>
                <w:rFonts w:hAnsi="Times New Roman"/>
                <w:color w:val="000000" w:themeColor="text1"/>
                <w14:textFill>
                  <w14:solidFill>
                    <w14:schemeClr w14:val="tx1"/>
                  </w14:solidFill>
                </w14:textFill>
              </w:rPr>
              <w:fldChar w:fldCharType="separate"/>
            </w:r>
            <w:r>
              <w:rPr>
                <w:rFonts w:hAnsi="Times New Roman"/>
                <w:color w:val="000000" w:themeColor="text1"/>
                <w14:textFill>
                  <w14:solidFill>
                    <w14:schemeClr w14:val="tx1"/>
                  </w14:solidFill>
                </w14:textFill>
              </w:rPr>
              <w:t>I</w:t>
            </w:r>
            <w:r>
              <w:rPr>
                <w:rFonts w:hAnsi="Times New Roman"/>
                <w:color w:val="000000" w:themeColor="text1"/>
                <w14:textFill>
                  <w14:solidFill>
                    <w14:schemeClr w14:val="tx1"/>
                  </w14:solidFill>
                </w14:textFill>
              </w:rPr>
              <w:fldChar w:fldCharType="end"/>
            </w:r>
          </w:p>
        </w:tc>
        <w:tc>
          <w:tcPr>
            <w:tcW w:w="3610" w:type="dxa"/>
            <w:vAlign w:val="center"/>
          </w:tcPr>
          <w:p w14:paraId="2595D71A">
            <w:pPr>
              <w:pStyle w:val="84"/>
              <w:jc w:val="center"/>
              <w:rPr>
                <w:rFonts w:hAnsi="Times New Roman"/>
                <w:color w:val="000000" w:themeColor="text1"/>
                <w14:textFill>
                  <w14:solidFill>
                    <w14:schemeClr w14:val="tx1"/>
                  </w14:solidFill>
                </w14:textFill>
              </w:rPr>
            </w:pPr>
            <w:r>
              <w:rPr>
                <w:rFonts w:hAnsi="Times New Roman"/>
                <w:color w:val="000000" w:themeColor="text1"/>
                <w14:textFill>
                  <w14:solidFill>
                    <w14:schemeClr w14:val="tx1"/>
                  </w14:solidFill>
                </w14:textFill>
              </w:rPr>
              <w:t>防止油污规则</w:t>
            </w:r>
          </w:p>
        </w:tc>
        <w:tc>
          <w:tcPr>
            <w:tcW w:w="2107" w:type="dxa"/>
            <w:vAlign w:val="center"/>
          </w:tcPr>
          <w:p w14:paraId="39FE2CB6">
            <w:pPr>
              <w:pStyle w:val="84"/>
              <w:jc w:val="center"/>
              <w:rPr>
                <w:rFonts w:hAnsi="Times New Roman"/>
                <w:color w:val="000000" w:themeColor="text1"/>
                <w14:textFill>
                  <w14:solidFill>
                    <w14:schemeClr w14:val="tx1"/>
                  </w14:solidFill>
                </w14:textFill>
              </w:rPr>
            </w:pPr>
            <w:r>
              <w:rPr>
                <w:rFonts w:hAnsi="Times New Roman"/>
                <w:color w:val="000000" w:themeColor="text1"/>
                <w14:textFill>
                  <w14:solidFill>
                    <w14:schemeClr w14:val="tx1"/>
                  </w14:solidFill>
                </w14:textFill>
              </w:rPr>
              <w:t>与议定书同时</w:t>
            </w:r>
          </w:p>
        </w:tc>
        <w:tc>
          <w:tcPr>
            <w:tcW w:w="2007" w:type="dxa"/>
            <w:vAlign w:val="center"/>
          </w:tcPr>
          <w:p w14:paraId="0EEF7DC3">
            <w:pPr>
              <w:pStyle w:val="84"/>
              <w:jc w:val="center"/>
              <w:rPr>
                <w:rFonts w:hAnsi="Times New Roman"/>
                <w:color w:val="000000" w:themeColor="text1"/>
                <w14:textFill>
                  <w14:solidFill>
                    <w14:schemeClr w14:val="tx1"/>
                  </w14:solidFill>
                </w14:textFill>
              </w:rPr>
            </w:pPr>
            <w:r>
              <w:rPr>
                <w:rFonts w:hAnsi="Times New Roman"/>
                <w:color w:val="000000" w:themeColor="text1"/>
                <w14:textFill>
                  <w14:solidFill>
                    <w14:schemeClr w14:val="tx1"/>
                  </w14:solidFill>
                </w14:textFill>
              </w:rPr>
              <w:t>1983年10月2日</w:t>
            </w:r>
          </w:p>
        </w:tc>
      </w:tr>
      <w:tr w14:paraId="57E3A9E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1318" w:type="dxa"/>
            <w:vAlign w:val="center"/>
          </w:tcPr>
          <w:p w14:paraId="0FBF227D">
            <w:pPr>
              <w:pStyle w:val="84"/>
              <w:jc w:val="center"/>
              <w:rPr>
                <w:rFonts w:hAnsi="Times New Roman"/>
                <w:color w:val="000000" w:themeColor="text1"/>
                <w14:textFill>
                  <w14:solidFill>
                    <w14:schemeClr w14:val="tx1"/>
                  </w14:solidFill>
                </w14:textFill>
              </w:rPr>
            </w:pPr>
            <w:r>
              <w:rPr>
                <w:rFonts w:hAnsi="Times New Roman"/>
                <w:color w:val="000000" w:themeColor="text1"/>
                <w14:textFill>
                  <w14:solidFill>
                    <w14:schemeClr w14:val="tx1"/>
                  </w14:solidFill>
                </w14:textFill>
              </w:rPr>
              <w:t>附则</w:t>
            </w:r>
            <w:r>
              <w:rPr>
                <w:rFonts w:hAnsi="Times New Roman"/>
                <w:color w:val="000000" w:themeColor="text1"/>
                <w14:textFill>
                  <w14:solidFill>
                    <w14:schemeClr w14:val="tx1"/>
                  </w14:solidFill>
                </w14:textFill>
              </w:rPr>
              <w:fldChar w:fldCharType="begin"/>
            </w:r>
            <w:r>
              <w:rPr>
                <w:rFonts w:hAnsi="Times New Roman"/>
                <w:color w:val="000000" w:themeColor="text1"/>
                <w14:textFill>
                  <w14:solidFill>
                    <w14:schemeClr w14:val="tx1"/>
                  </w14:solidFill>
                </w14:textFill>
              </w:rPr>
              <w:instrText xml:space="preserve"> = 2 \* ROMAN </w:instrText>
            </w:r>
            <w:r>
              <w:rPr>
                <w:rFonts w:hAnsi="Times New Roman"/>
                <w:color w:val="000000" w:themeColor="text1"/>
                <w14:textFill>
                  <w14:solidFill>
                    <w14:schemeClr w14:val="tx1"/>
                  </w14:solidFill>
                </w14:textFill>
              </w:rPr>
              <w:fldChar w:fldCharType="separate"/>
            </w:r>
            <w:r>
              <w:rPr>
                <w:rFonts w:hAnsi="Times New Roman"/>
                <w:color w:val="000000" w:themeColor="text1"/>
                <w14:textFill>
                  <w14:solidFill>
                    <w14:schemeClr w14:val="tx1"/>
                  </w14:solidFill>
                </w14:textFill>
              </w:rPr>
              <w:t>II</w:t>
            </w:r>
            <w:r>
              <w:rPr>
                <w:rFonts w:hAnsi="Times New Roman"/>
                <w:color w:val="000000" w:themeColor="text1"/>
                <w14:textFill>
                  <w14:solidFill>
                    <w14:schemeClr w14:val="tx1"/>
                  </w14:solidFill>
                </w14:textFill>
              </w:rPr>
              <w:fldChar w:fldCharType="end"/>
            </w:r>
          </w:p>
        </w:tc>
        <w:tc>
          <w:tcPr>
            <w:tcW w:w="3610" w:type="dxa"/>
            <w:vAlign w:val="center"/>
          </w:tcPr>
          <w:p w14:paraId="71E7988F">
            <w:pPr>
              <w:pStyle w:val="84"/>
              <w:jc w:val="center"/>
              <w:rPr>
                <w:rFonts w:hAnsi="Times New Roman"/>
                <w:color w:val="000000" w:themeColor="text1"/>
                <w14:textFill>
                  <w14:solidFill>
                    <w14:schemeClr w14:val="tx1"/>
                  </w14:solidFill>
                </w14:textFill>
              </w:rPr>
            </w:pPr>
            <w:r>
              <w:rPr>
                <w:rFonts w:hAnsi="Times New Roman"/>
                <w:color w:val="000000" w:themeColor="text1"/>
                <w14:textFill>
                  <w14:solidFill>
                    <w14:schemeClr w14:val="tx1"/>
                  </w14:solidFill>
                </w14:textFill>
              </w:rPr>
              <w:t>控制散装有毒液体物质污染规则</w:t>
            </w:r>
          </w:p>
        </w:tc>
        <w:tc>
          <w:tcPr>
            <w:tcW w:w="2107" w:type="dxa"/>
            <w:vAlign w:val="center"/>
          </w:tcPr>
          <w:p w14:paraId="740A5C9E">
            <w:pPr>
              <w:pStyle w:val="84"/>
              <w:jc w:val="center"/>
              <w:rPr>
                <w:rFonts w:hAnsi="Times New Roman"/>
                <w:color w:val="000000" w:themeColor="text1"/>
                <w14:textFill>
                  <w14:solidFill>
                    <w14:schemeClr w14:val="tx1"/>
                  </w14:solidFill>
                </w14:textFill>
              </w:rPr>
            </w:pPr>
            <w:r>
              <w:rPr>
                <w:rFonts w:hAnsi="Times New Roman"/>
                <w:color w:val="000000" w:themeColor="text1"/>
                <w14:textFill>
                  <w14:solidFill>
                    <w14:schemeClr w14:val="tx1"/>
                  </w14:solidFill>
                </w14:textFill>
              </w:rPr>
              <w:t>1987年4月6日</w:t>
            </w:r>
          </w:p>
        </w:tc>
        <w:tc>
          <w:tcPr>
            <w:tcW w:w="2007" w:type="dxa"/>
            <w:vAlign w:val="center"/>
          </w:tcPr>
          <w:p w14:paraId="3AC32C79">
            <w:pPr>
              <w:pStyle w:val="84"/>
              <w:jc w:val="center"/>
              <w:rPr>
                <w:rFonts w:hAnsi="Times New Roman"/>
                <w:color w:val="000000" w:themeColor="text1"/>
                <w14:textFill>
                  <w14:solidFill>
                    <w14:schemeClr w14:val="tx1"/>
                  </w14:solidFill>
                </w14:textFill>
              </w:rPr>
            </w:pPr>
            <w:r>
              <w:rPr>
                <w:rFonts w:hAnsi="Times New Roman"/>
                <w:color w:val="000000" w:themeColor="text1"/>
                <w14:textFill>
                  <w14:solidFill>
                    <w14:schemeClr w14:val="tx1"/>
                  </w14:solidFill>
                </w14:textFill>
              </w:rPr>
              <w:t>1987年4月6日</w:t>
            </w:r>
          </w:p>
        </w:tc>
      </w:tr>
      <w:tr w14:paraId="5831BB2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1318" w:type="dxa"/>
            <w:vAlign w:val="center"/>
          </w:tcPr>
          <w:p w14:paraId="7A27C9ED">
            <w:pPr>
              <w:pStyle w:val="84"/>
              <w:jc w:val="center"/>
              <w:rPr>
                <w:rFonts w:hAnsi="Times New Roman"/>
                <w:color w:val="000000" w:themeColor="text1"/>
                <w14:textFill>
                  <w14:solidFill>
                    <w14:schemeClr w14:val="tx1"/>
                  </w14:solidFill>
                </w14:textFill>
              </w:rPr>
            </w:pPr>
            <w:r>
              <w:rPr>
                <w:rFonts w:hAnsi="Times New Roman"/>
                <w:color w:val="000000" w:themeColor="text1"/>
                <w14:textFill>
                  <w14:solidFill>
                    <w14:schemeClr w14:val="tx1"/>
                  </w14:solidFill>
                </w14:textFill>
              </w:rPr>
              <w:t>附则</w:t>
            </w:r>
            <w:r>
              <w:rPr>
                <w:rFonts w:hAnsi="Times New Roman"/>
                <w:color w:val="000000" w:themeColor="text1"/>
                <w14:textFill>
                  <w14:solidFill>
                    <w14:schemeClr w14:val="tx1"/>
                  </w14:solidFill>
                </w14:textFill>
              </w:rPr>
              <w:fldChar w:fldCharType="begin"/>
            </w:r>
            <w:r>
              <w:rPr>
                <w:rFonts w:hAnsi="Times New Roman"/>
                <w:color w:val="000000" w:themeColor="text1"/>
                <w14:textFill>
                  <w14:solidFill>
                    <w14:schemeClr w14:val="tx1"/>
                  </w14:solidFill>
                </w14:textFill>
              </w:rPr>
              <w:instrText xml:space="preserve"> = 4 \* ROMAN </w:instrText>
            </w:r>
            <w:r>
              <w:rPr>
                <w:rFonts w:hAnsi="Times New Roman"/>
                <w:color w:val="000000" w:themeColor="text1"/>
                <w14:textFill>
                  <w14:solidFill>
                    <w14:schemeClr w14:val="tx1"/>
                  </w14:solidFill>
                </w14:textFill>
              </w:rPr>
              <w:fldChar w:fldCharType="separate"/>
            </w:r>
            <w:r>
              <w:rPr>
                <w:rFonts w:hAnsi="Times New Roman"/>
                <w:color w:val="000000" w:themeColor="text1"/>
                <w14:textFill>
                  <w14:solidFill>
                    <w14:schemeClr w14:val="tx1"/>
                  </w14:solidFill>
                </w14:textFill>
              </w:rPr>
              <w:t>IV</w:t>
            </w:r>
            <w:r>
              <w:rPr>
                <w:rFonts w:hAnsi="Times New Roman"/>
                <w:color w:val="000000" w:themeColor="text1"/>
                <w14:textFill>
                  <w14:solidFill>
                    <w14:schemeClr w14:val="tx1"/>
                  </w14:solidFill>
                </w14:textFill>
              </w:rPr>
              <w:fldChar w:fldCharType="end"/>
            </w:r>
          </w:p>
        </w:tc>
        <w:tc>
          <w:tcPr>
            <w:tcW w:w="3610" w:type="dxa"/>
            <w:vAlign w:val="center"/>
          </w:tcPr>
          <w:p w14:paraId="366F5815">
            <w:pPr>
              <w:pStyle w:val="84"/>
              <w:jc w:val="center"/>
              <w:rPr>
                <w:rFonts w:hAnsi="Times New Roman"/>
                <w:color w:val="000000" w:themeColor="text1"/>
                <w14:textFill>
                  <w14:solidFill>
                    <w14:schemeClr w14:val="tx1"/>
                  </w14:solidFill>
                </w14:textFill>
              </w:rPr>
            </w:pPr>
            <w:r>
              <w:rPr>
                <w:rFonts w:hAnsi="Times New Roman"/>
                <w:color w:val="000000" w:themeColor="text1"/>
                <w14:textFill>
                  <w14:solidFill>
                    <w14:schemeClr w14:val="tx1"/>
                  </w14:solidFill>
                </w14:textFill>
              </w:rPr>
              <w:t>防止船舶生活污水污染规则</w:t>
            </w:r>
          </w:p>
        </w:tc>
        <w:tc>
          <w:tcPr>
            <w:tcW w:w="2107" w:type="dxa"/>
            <w:vAlign w:val="center"/>
          </w:tcPr>
          <w:p w14:paraId="3F90D017">
            <w:pPr>
              <w:pStyle w:val="84"/>
              <w:jc w:val="center"/>
              <w:rPr>
                <w:rFonts w:hAnsi="Times New Roman"/>
                <w:color w:val="000000" w:themeColor="text1"/>
                <w14:textFill>
                  <w14:solidFill>
                    <w14:schemeClr w14:val="tx1"/>
                  </w14:solidFill>
                </w14:textFill>
              </w:rPr>
            </w:pPr>
            <w:r>
              <w:rPr>
                <w:rFonts w:hAnsi="Times New Roman"/>
                <w:color w:val="000000" w:themeColor="text1"/>
                <w14:textFill>
                  <w14:solidFill>
                    <w14:schemeClr w14:val="tx1"/>
                  </w14:solidFill>
                </w14:textFill>
              </w:rPr>
              <w:t>2005年8月1日</w:t>
            </w:r>
          </w:p>
        </w:tc>
        <w:tc>
          <w:tcPr>
            <w:tcW w:w="2007" w:type="dxa"/>
            <w:vAlign w:val="center"/>
          </w:tcPr>
          <w:p w14:paraId="6B20CB64">
            <w:pPr>
              <w:pStyle w:val="84"/>
              <w:jc w:val="center"/>
              <w:rPr>
                <w:rFonts w:hAnsi="Times New Roman"/>
                <w:color w:val="000000" w:themeColor="text1"/>
                <w14:textFill>
                  <w14:solidFill>
                    <w14:schemeClr w14:val="tx1"/>
                  </w14:solidFill>
                </w14:textFill>
              </w:rPr>
            </w:pPr>
            <w:r>
              <w:rPr>
                <w:rFonts w:hAnsi="Times New Roman"/>
                <w:color w:val="000000" w:themeColor="text1"/>
                <w14:textFill>
                  <w14:solidFill>
                    <w14:schemeClr w14:val="tx1"/>
                  </w14:solidFill>
                </w14:textFill>
              </w:rPr>
              <w:t>2007年2月2日</w:t>
            </w:r>
          </w:p>
        </w:tc>
      </w:tr>
      <w:tr w14:paraId="26D3D8E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1318" w:type="dxa"/>
            <w:vAlign w:val="center"/>
          </w:tcPr>
          <w:p w14:paraId="402DDBF8">
            <w:pPr>
              <w:pStyle w:val="84"/>
              <w:jc w:val="center"/>
              <w:rPr>
                <w:rFonts w:hAnsi="Times New Roman"/>
                <w:color w:val="000000" w:themeColor="text1"/>
                <w14:textFill>
                  <w14:solidFill>
                    <w14:schemeClr w14:val="tx1"/>
                  </w14:solidFill>
                </w14:textFill>
              </w:rPr>
            </w:pPr>
            <w:r>
              <w:rPr>
                <w:rFonts w:hAnsi="Times New Roman"/>
                <w:color w:val="000000" w:themeColor="text1"/>
                <w14:textFill>
                  <w14:solidFill>
                    <w14:schemeClr w14:val="tx1"/>
                  </w14:solidFill>
                </w14:textFill>
              </w:rPr>
              <w:t>附则</w:t>
            </w:r>
            <w:r>
              <w:rPr>
                <w:rFonts w:hAnsi="Times New Roman"/>
                <w:color w:val="000000" w:themeColor="text1"/>
                <w14:textFill>
                  <w14:solidFill>
                    <w14:schemeClr w14:val="tx1"/>
                  </w14:solidFill>
                </w14:textFill>
              </w:rPr>
              <w:fldChar w:fldCharType="begin"/>
            </w:r>
            <w:r>
              <w:rPr>
                <w:rFonts w:hAnsi="Times New Roman"/>
                <w:color w:val="000000" w:themeColor="text1"/>
                <w14:textFill>
                  <w14:solidFill>
                    <w14:schemeClr w14:val="tx1"/>
                  </w14:solidFill>
                </w14:textFill>
              </w:rPr>
              <w:instrText xml:space="preserve"> = 5 \* ROMAN </w:instrText>
            </w:r>
            <w:r>
              <w:rPr>
                <w:rFonts w:hAnsi="Times New Roman"/>
                <w:color w:val="000000" w:themeColor="text1"/>
                <w14:textFill>
                  <w14:solidFill>
                    <w14:schemeClr w14:val="tx1"/>
                  </w14:solidFill>
                </w14:textFill>
              </w:rPr>
              <w:fldChar w:fldCharType="separate"/>
            </w:r>
            <w:r>
              <w:rPr>
                <w:rFonts w:hAnsi="Times New Roman"/>
                <w:color w:val="000000" w:themeColor="text1"/>
                <w14:textFill>
                  <w14:solidFill>
                    <w14:schemeClr w14:val="tx1"/>
                  </w14:solidFill>
                </w14:textFill>
              </w:rPr>
              <w:t>V</w:t>
            </w:r>
            <w:r>
              <w:rPr>
                <w:rFonts w:hAnsi="Times New Roman"/>
                <w:color w:val="000000" w:themeColor="text1"/>
                <w14:textFill>
                  <w14:solidFill>
                    <w14:schemeClr w14:val="tx1"/>
                  </w14:solidFill>
                </w14:textFill>
              </w:rPr>
              <w:fldChar w:fldCharType="end"/>
            </w:r>
          </w:p>
        </w:tc>
        <w:tc>
          <w:tcPr>
            <w:tcW w:w="3610" w:type="dxa"/>
            <w:vAlign w:val="center"/>
          </w:tcPr>
          <w:p w14:paraId="2731ACF4">
            <w:pPr>
              <w:pStyle w:val="84"/>
              <w:jc w:val="center"/>
              <w:rPr>
                <w:rFonts w:hAnsi="Times New Roman"/>
                <w:color w:val="000000" w:themeColor="text1"/>
                <w14:textFill>
                  <w14:solidFill>
                    <w14:schemeClr w14:val="tx1"/>
                  </w14:solidFill>
                </w14:textFill>
              </w:rPr>
            </w:pPr>
            <w:r>
              <w:rPr>
                <w:rFonts w:hAnsi="Times New Roman"/>
                <w:color w:val="000000" w:themeColor="text1"/>
                <w14:textFill>
                  <w14:solidFill>
                    <w14:schemeClr w14:val="tx1"/>
                  </w14:solidFill>
                </w14:textFill>
              </w:rPr>
              <w:t>防止船舶垃圾污染规则</w:t>
            </w:r>
          </w:p>
        </w:tc>
        <w:tc>
          <w:tcPr>
            <w:tcW w:w="2107" w:type="dxa"/>
            <w:vAlign w:val="center"/>
          </w:tcPr>
          <w:p w14:paraId="56022158">
            <w:pPr>
              <w:pStyle w:val="84"/>
              <w:jc w:val="center"/>
              <w:rPr>
                <w:rFonts w:hAnsi="Times New Roman"/>
                <w:color w:val="000000" w:themeColor="text1"/>
                <w14:textFill>
                  <w14:solidFill>
                    <w14:schemeClr w14:val="tx1"/>
                  </w14:solidFill>
                </w14:textFill>
              </w:rPr>
            </w:pPr>
            <w:r>
              <w:rPr>
                <w:rFonts w:hAnsi="Times New Roman"/>
                <w:color w:val="000000" w:themeColor="text1"/>
                <w14:textFill>
                  <w14:solidFill>
                    <w14:schemeClr w14:val="tx1"/>
                  </w14:solidFill>
                </w14:textFill>
              </w:rPr>
              <w:t>1988年12月31日</w:t>
            </w:r>
          </w:p>
        </w:tc>
        <w:tc>
          <w:tcPr>
            <w:tcW w:w="2007" w:type="dxa"/>
            <w:vAlign w:val="center"/>
          </w:tcPr>
          <w:p w14:paraId="1F02066E">
            <w:pPr>
              <w:pStyle w:val="84"/>
              <w:jc w:val="center"/>
              <w:rPr>
                <w:rFonts w:hAnsi="Times New Roman"/>
                <w:color w:val="000000" w:themeColor="text1"/>
                <w14:textFill>
                  <w14:solidFill>
                    <w14:schemeClr w14:val="tx1"/>
                  </w14:solidFill>
                </w14:textFill>
              </w:rPr>
            </w:pPr>
            <w:r>
              <w:rPr>
                <w:rFonts w:hAnsi="Times New Roman"/>
                <w:color w:val="000000" w:themeColor="text1"/>
                <w14:textFill>
                  <w14:solidFill>
                    <w14:schemeClr w14:val="tx1"/>
                  </w14:solidFill>
                </w14:textFill>
              </w:rPr>
              <w:t>1989年2月21日</w:t>
            </w:r>
          </w:p>
        </w:tc>
      </w:tr>
      <w:tr w14:paraId="7367817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1318" w:type="dxa"/>
            <w:vAlign w:val="center"/>
          </w:tcPr>
          <w:p w14:paraId="2895B7FC">
            <w:pPr>
              <w:pStyle w:val="84"/>
              <w:jc w:val="center"/>
              <w:rPr>
                <w:rFonts w:hAnsi="Times New Roman"/>
                <w:color w:val="000000" w:themeColor="text1"/>
                <w14:textFill>
                  <w14:solidFill>
                    <w14:schemeClr w14:val="tx1"/>
                  </w14:solidFill>
                </w14:textFill>
              </w:rPr>
            </w:pPr>
            <w:r>
              <w:rPr>
                <w:rFonts w:hAnsi="Times New Roman"/>
                <w:color w:val="000000" w:themeColor="text1"/>
                <w14:textFill>
                  <w14:solidFill>
                    <w14:schemeClr w14:val="tx1"/>
                  </w14:solidFill>
                </w14:textFill>
              </w:rPr>
              <w:t>附则</w:t>
            </w:r>
            <w:r>
              <w:rPr>
                <w:rFonts w:hAnsi="Times New Roman"/>
                <w:color w:val="000000" w:themeColor="text1"/>
                <w14:textFill>
                  <w14:solidFill>
                    <w14:schemeClr w14:val="tx1"/>
                  </w14:solidFill>
                </w14:textFill>
              </w:rPr>
              <w:fldChar w:fldCharType="begin"/>
            </w:r>
            <w:r>
              <w:rPr>
                <w:rFonts w:hAnsi="Times New Roman"/>
                <w:color w:val="000000" w:themeColor="text1"/>
                <w14:textFill>
                  <w14:solidFill>
                    <w14:schemeClr w14:val="tx1"/>
                  </w14:solidFill>
                </w14:textFill>
              </w:rPr>
              <w:instrText xml:space="preserve"> = 6 \* ROMAN </w:instrText>
            </w:r>
            <w:r>
              <w:rPr>
                <w:rFonts w:hAnsi="Times New Roman"/>
                <w:color w:val="000000" w:themeColor="text1"/>
                <w14:textFill>
                  <w14:solidFill>
                    <w14:schemeClr w14:val="tx1"/>
                  </w14:solidFill>
                </w14:textFill>
              </w:rPr>
              <w:fldChar w:fldCharType="separate"/>
            </w:r>
            <w:r>
              <w:rPr>
                <w:rFonts w:hAnsi="Times New Roman"/>
                <w:color w:val="000000" w:themeColor="text1"/>
                <w14:textFill>
                  <w14:solidFill>
                    <w14:schemeClr w14:val="tx1"/>
                  </w14:solidFill>
                </w14:textFill>
              </w:rPr>
              <w:t>VI</w:t>
            </w:r>
            <w:r>
              <w:rPr>
                <w:rFonts w:hAnsi="Times New Roman"/>
                <w:color w:val="000000" w:themeColor="text1"/>
                <w14:textFill>
                  <w14:solidFill>
                    <w14:schemeClr w14:val="tx1"/>
                  </w14:solidFill>
                </w14:textFill>
              </w:rPr>
              <w:fldChar w:fldCharType="end"/>
            </w:r>
          </w:p>
        </w:tc>
        <w:tc>
          <w:tcPr>
            <w:tcW w:w="3610" w:type="dxa"/>
            <w:vAlign w:val="center"/>
          </w:tcPr>
          <w:p w14:paraId="0EE31DD2">
            <w:pPr>
              <w:pStyle w:val="84"/>
              <w:jc w:val="center"/>
              <w:rPr>
                <w:rFonts w:hAnsi="Times New Roman"/>
                <w:color w:val="000000" w:themeColor="text1"/>
                <w14:textFill>
                  <w14:solidFill>
                    <w14:schemeClr w14:val="tx1"/>
                  </w14:solidFill>
                </w14:textFill>
              </w:rPr>
            </w:pPr>
            <w:r>
              <w:rPr>
                <w:rFonts w:hAnsi="Times New Roman"/>
                <w:color w:val="000000" w:themeColor="text1"/>
                <w14:textFill>
                  <w14:solidFill>
                    <w14:schemeClr w14:val="tx1"/>
                  </w14:solidFill>
                </w14:textFill>
              </w:rPr>
              <w:t>防止船舶造成空气污染国际规则</w:t>
            </w:r>
          </w:p>
        </w:tc>
        <w:tc>
          <w:tcPr>
            <w:tcW w:w="2107" w:type="dxa"/>
            <w:vAlign w:val="center"/>
          </w:tcPr>
          <w:p w14:paraId="7589193A">
            <w:pPr>
              <w:pStyle w:val="84"/>
              <w:jc w:val="center"/>
              <w:rPr>
                <w:rFonts w:hAnsi="Times New Roman"/>
                <w:color w:val="000000" w:themeColor="text1"/>
                <w14:textFill>
                  <w14:solidFill>
                    <w14:schemeClr w14:val="tx1"/>
                  </w14:solidFill>
                </w14:textFill>
              </w:rPr>
            </w:pPr>
            <w:r>
              <w:rPr>
                <w:rFonts w:hAnsi="Times New Roman"/>
                <w:color w:val="000000" w:themeColor="text1"/>
                <w14:textFill>
                  <w14:solidFill>
                    <w14:schemeClr w14:val="tx1"/>
                  </w14:solidFill>
                </w14:textFill>
              </w:rPr>
              <w:t>2005年5月19日</w:t>
            </w:r>
          </w:p>
        </w:tc>
        <w:tc>
          <w:tcPr>
            <w:tcW w:w="2007" w:type="dxa"/>
            <w:vAlign w:val="center"/>
          </w:tcPr>
          <w:p w14:paraId="2700E47C">
            <w:pPr>
              <w:pStyle w:val="84"/>
              <w:jc w:val="center"/>
              <w:rPr>
                <w:rFonts w:hAnsi="Times New Roman"/>
                <w:color w:val="000000" w:themeColor="text1"/>
                <w14:textFill>
                  <w14:solidFill>
                    <w14:schemeClr w14:val="tx1"/>
                  </w14:solidFill>
                </w14:textFill>
              </w:rPr>
            </w:pPr>
            <w:r>
              <w:rPr>
                <w:rFonts w:hAnsi="Times New Roman"/>
                <w:color w:val="000000" w:themeColor="text1"/>
                <w14:textFill>
                  <w14:solidFill>
                    <w14:schemeClr w14:val="tx1"/>
                  </w14:solidFill>
                </w14:textFill>
              </w:rPr>
              <w:t>2006年8月23日</w:t>
            </w:r>
          </w:p>
        </w:tc>
      </w:tr>
    </w:tbl>
    <w:p w14:paraId="57D41CB3">
      <w:pPr>
        <w:pStyle w:val="4"/>
        <w:rPr>
          <w:color w:val="000000" w:themeColor="text1"/>
          <w14:textFill>
            <w14:solidFill>
              <w14:schemeClr w14:val="tx1"/>
            </w14:solidFill>
          </w14:textFill>
        </w:rPr>
      </w:pPr>
      <w:bookmarkStart w:id="38" w:name="_Toc135090164"/>
      <w:bookmarkStart w:id="39" w:name="_Toc25436904"/>
      <w:bookmarkStart w:id="40" w:name="_Toc26909949"/>
      <w:bookmarkStart w:id="41" w:name="_Toc136878413"/>
      <w:bookmarkStart w:id="42" w:name="_Toc216620325"/>
      <w:bookmarkStart w:id="43" w:name="_Toc29131763"/>
      <w:bookmarkStart w:id="44" w:name="_Toc216103166"/>
      <w:r>
        <w:rPr>
          <w:color w:val="000000" w:themeColor="text1"/>
          <w14:textFill>
            <w14:solidFill>
              <w14:schemeClr w14:val="tx1"/>
            </w14:solidFill>
          </w14:textFill>
        </w:rPr>
        <w:t>地方相关法律法规及规划</w:t>
      </w:r>
      <w:bookmarkEnd w:id="38"/>
      <w:bookmarkEnd w:id="39"/>
      <w:bookmarkEnd w:id="40"/>
      <w:bookmarkEnd w:id="41"/>
      <w:bookmarkEnd w:id="42"/>
      <w:bookmarkEnd w:id="43"/>
      <w:bookmarkEnd w:id="44"/>
    </w:p>
    <w:p w14:paraId="32C616F9">
      <w:pPr>
        <w:numPr>
          <w:ilvl w:val="0"/>
          <w:numId w:val="7"/>
        </w:numPr>
        <w:ind w:firstLine="480"/>
        <w:rPr>
          <w:color w:val="000000" w:themeColor="text1"/>
          <w14:textFill>
            <w14:solidFill>
              <w14:schemeClr w14:val="tx1"/>
            </w14:solidFill>
          </w14:textFill>
        </w:rPr>
      </w:pPr>
      <w:r>
        <w:rPr>
          <w:color w:val="000000" w:themeColor="text1"/>
          <w14:textFill>
            <w14:solidFill>
              <w14:schemeClr w14:val="tx1"/>
            </w14:solidFill>
          </w14:textFill>
        </w:rPr>
        <w:t>《广西壮族自治区环境保护条例》（2019年修订）；</w:t>
      </w:r>
    </w:p>
    <w:p w14:paraId="4013D580">
      <w:pPr>
        <w:numPr>
          <w:ilvl w:val="0"/>
          <w:numId w:val="7"/>
        </w:numPr>
        <w:ind w:firstLine="480"/>
        <w:rPr>
          <w:color w:val="000000" w:themeColor="text1"/>
          <w14:textFill>
            <w14:solidFill>
              <w14:schemeClr w14:val="tx1"/>
            </w14:solidFill>
          </w14:textFill>
        </w:rPr>
      </w:pPr>
      <w:r>
        <w:rPr>
          <w:color w:val="000000" w:themeColor="text1"/>
          <w14:textFill>
            <w14:solidFill>
              <w14:schemeClr w14:val="tx1"/>
            </w14:solidFill>
          </w14:textFill>
        </w:rPr>
        <w:t>《广西壮族自治区水污染防治条例》（2020年5月1日施行）；</w:t>
      </w:r>
    </w:p>
    <w:p w14:paraId="54E7B283">
      <w:pPr>
        <w:numPr>
          <w:ilvl w:val="0"/>
          <w:numId w:val="7"/>
        </w:numPr>
        <w:ind w:firstLine="480"/>
        <w:rPr>
          <w:color w:val="000000" w:themeColor="text1"/>
          <w14:textFill>
            <w14:solidFill>
              <w14:schemeClr w14:val="tx1"/>
            </w14:solidFill>
          </w14:textFill>
        </w:rPr>
      </w:pPr>
      <w:r>
        <w:rPr>
          <w:color w:val="000000" w:themeColor="text1"/>
          <w14:textFill>
            <w14:solidFill>
              <w14:schemeClr w14:val="tx1"/>
            </w14:solidFill>
          </w14:textFill>
        </w:rPr>
        <w:t>《广西壮族自治区大气污染防治条例》（2019年1月1日起施行）；</w:t>
      </w:r>
    </w:p>
    <w:p w14:paraId="6AC3A847">
      <w:pPr>
        <w:numPr>
          <w:ilvl w:val="0"/>
          <w:numId w:val="7"/>
        </w:numPr>
        <w:ind w:firstLine="480"/>
        <w:rPr>
          <w:color w:val="000000" w:themeColor="text1"/>
          <w14:textFill>
            <w14:solidFill>
              <w14:schemeClr w14:val="tx1"/>
            </w14:solidFill>
          </w14:textFill>
        </w:rPr>
      </w:pPr>
      <w:r>
        <w:rPr>
          <w:color w:val="000000" w:themeColor="text1"/>
          <w14:textFill>
            <w14:solidFill>
              <w14:schemeClr w14:val="tx1"/>
            </w14:solidFill>
          </w14:textFill>
        </w:rPr>
        <w:t>《广西壮族自治区固体废物污染环境防治条例》（2022年7月1日实施）；</w:t>
      </w:r>
    </w:p>
    <w:p w14:paraId="56C8AFAF">
      <w:pPr>
        <w:numPr>
          <w:ilvl w:val="0"/>
          <w:numId w:val="7"/>
        </w:numPr>
        <w:ind w:firstLine="480"/>
        <w:rPr>
          <w:color w:val="000000" w:themeColor="text1"/>
          <w14:textFill>
            <w14:solidFill>
              <w14:schemeClr w14:val="tx1"/>
            </w14:solidFill>
          </w14:textFill>
        </w:rPr>
      </w:pPr>
      <w:r>
        <w:rPr>
          <w:color w:val="000000" w:themeColor="text1"/>
          <w14:textFill>
            <w14:solidFill>
              <w14:schemeClr w14:val="tx1"/>
            </w14:solidFill>
          </w14:textFill>
        </w:rPr>
        <w:t>《广西壮族自治区森林和野生动物类型自然保护区管理条例》（2016年11月修正）；</w:t>
      </w:r>
    </w:p>
    <w:p w14:paraId="65A4531A">
      <w:pPr>
        <w:numPr>
          <w:ilvl w:val="0"/>
          <w:numId w:val="7"/>
        </w:numPr>
        <w:ind w:firstLine="480"/>
        <w:rPr>
          <w:color w:val="000000" w:themeColor="text1"/>
          <w14:textFill>
            <w14:solidFill>
              <w14:schemeClr w14:val="tx1"/>
            </w14:solidFill>
          </w14:textFill>
        </w:rPr>
      </w:pPr>
      <w:r>
        <w:rPr>
          <w:color w:val="000000" w:themeColor="text1"/>
          <w14:textFill>
            <w14:solidFill>
              <w14:schemeClr w14:val="tx1"/>
            </w14:solidFill>
          </w14:textFill>
        </w:rPr>
        <w:t>《广西壮族自治区陆生野生动物保护管理规定》（2012年修正）；</w:t>
      </w:r>
    </w:p>
    <w:p w14:paraId="027E9A93">
      <w:pPr>
        <w:numPr>
          <w:ilvl w:val="0"/>
          <w:numId w:val="7"/>
        </w:numPr>
        <w:ind w:firstLine="480"/>
        <w:rPr>
          <w:color w:val="000000" w:themeColor="text1"/>
          <w14:textFill>
            <w14:solidFill>
              <w14:schemeClr w14:val="tx1"/>
            </w14:solidFill>
          </w14:textFill>
        </w:rPr>
      </w:pPr>
      <w:r>
        <w:rPr>
          <w:color w:val="000000" w:themeColor="text1"/>
          <w14:textFill>
            <w14:solidFill>
              <w14:schemeClr w14:val="tx1"/>
            </w14:solidFill>
          </w14:textFill>
        </w:rPr>
        <w:t>《广西壮族自治区水生野生动物保护管理规定》（2012年修订）；</w:t>
      </w:r>
    </w:p>
    <w:p w14:paraId="2E41AF41">
      <w:pPr>
        <w:numPr>
          <w:ilvl w:val="0"/>
          <w:numId w:val="7"/>
        </w:numPr>
        <w:ind w:firstLine="480"/>
        <w:rPr>
          <w:color w:val="000000" w:themeColor="text1"/>
          <w14:textFill>
            <w14:solidFill>
              <w14:schemeClr w14:val="tx1"/>
            </w14:solidFill>
          </w14:textFill>
        </w:rPr>
      </w:pPr>
      <w:r>
        <w:rPr>
          <w:color w:val="000000" w:themeColor="text1"/>
          <w14:textFill>
            <w14:solidFill>
              <w14:schemeClr w14:val="tx1"/>
            </w14:solidFill>
          </w14:textFill>
        </w:rPr>
        <w:t>《广西壮族自治区航道管理条例》（2002）；</w:t>
      </w:r>
    </w:p>
    <w:p w14:paraId="2BCBE860">
      <w:pPr>
        <w:numPr>
          <w:ilvl w:val="0"/>
          <w:numId w:val="7"/>
        </w:numPr>
        <w:ind w:firstLine="480"/>
        <w:rPr>
          <w:color w:val="000000" w:themeColor="text1"/>
          <w14:textFill>
            <w14:solidFill>
              <w14:schemeClr w14:val="tx1"/>
            </w14:solidFill>
          </w14:textFill>
        </w:rPr>
      </w:pPr>
      <w:r>
        <w:rPr>
          <w:color w:val="000000" w:themeColor="text1"/>
          <w14:textFill>
            <w14:solidFill>
              <w14:schemeClr w14:val="tx1"/>
            </w14:solidFill>
          </w14:textFill>
        </w:rPr>
        <w:t>《广西壮族自治区海洋环境保护条例》（2018年9月30日修正）；</w:t>
      </w:r>
    </w:p>
    <w:p w14:paraId="31241FF6">
      <w:pPr>
        <w:numPr>
          <w:ilvl w:val="0"/>
          <w:numId w:val="7"/>
        </w:numPr>
        <w:ind w:firstLine="480"/>
        <w:rPr>
          <w:color w:val="000000" w:themeColor="text1"/>
          <w14:textFill>
            <w14:solidFill>
              <w14:schemeClr w14:val="tx1"/>
            </w14:solidFill>
          </w14:textFill>
        </w:rPr>
      </w:pPr>
      <w:r>
        <w:rPr>
          <w:color w:val="000000" w:themeColor="text1"/>
          <w14:textFill>
            <w14:solidFill>
              <w14:schemeClr w14:val="tx1"/>
            </w14:solidFill>
          </w14:textFill>
        </w:rPr>
        <w:t>《广西壮族自治区红树林资源保护条例》（20</w:t>
      </w:r>
      <w:r>
        <w:rPr>
          <w:rFonts w:hint="eastAsia"/>
          <w:color w:val="000000" w:themeColor="text1"/>
          <w14:textFill>
            <w14:solidFill>
              <w14:schemeClr w14:val="tx1"/>
            </w14:solidFill>
          </w14:textFill>
        </w:rPr>
        <w:t>25</w:t>
      </w:r>
      <w:r>
        <w:rPr>
          <w:color w:val="000000" w:themeColor="text1"/>
          <w14:textFill>
            <w14:solidFill>
              <w14:schemeClr w14:val="tx1"/>
            </w14:solidFill>
          </w14:textFill>
        </w:rPr>
        <w:t>年</w:t>
      </w:r>
      <w:r>
        <w:rPr>
          <w:rFonts w:hint="eastAsia"/>
          <w:color w:val="000000" w:themeColor="text1"/>
          <w14:textFill>
            <w14:solidFill>
              <w14:schemeClr w14:val="tx1"/>
            </w14:solidFill>
          </w14:textFill>
        </w:rPr>
        <w:t>6</w:t>
      </w:r>
      <w:r>
        <w:rPr>
          <w:color w:val="000000" w:themeColor="text1"/>
          <w14:textFill>
            <w14:solidFill>
              <w14:schemeClr w14:val="tx1"/>
            </w14:solidFill>
          </w14:textFill>
        </w:rPr>
        <w:t>月1日起施行）；</w:t>
      </w:r>
    </w:p>
    <w:p w14:paraId="4643C412">
      <w:pPr>
        <w:numPr>
          <w:ilvl w:val="0"/>
          <w:numId w:val="7"/>
        </w:numPr>
        <w:ind w:firstLine="480"/>
        <w:rPr>
          <w:color w:val="000000" w:themeColor="text1"/>
          <w14:textFill>
            <w14:solidFill>
              <w14:schemeClr w14:val="tx1"/>
            </w14:solidFill>
          </w14:textFill>
        </w:rPr>
      </w:pPr>
      <w:r>
        <w:rPr>
          <w:color w:val="000000" w:themeColor="text1"/>
          <w14:textFill>
            <w14:solidFill>
              <w14:schemeClr w14:val="tx1"/>
            </w14:solidFill>
          </w14:textFill>
        </w:rPr>
        <w:t>《广西壮族自治区林业局关于公布第批自治区重要湿地名录的通知》（2020年10月）；</w:t>
      </w:r>
    </w:p>
    <w:p w14:paraId="45940445">
      <w:pPr>
        <w:numPr>
          <w:ilvl w:val="0"/>
          <w:numId w:val="7"/>
        </w:numPr>
        <w:ind w:firstLine="480"/>
        <w:rPr>
          <w:color w:val="000000" w:themeColor="text1"/>
          <w14:textFill>
            <w14:solidFill>
              <w14:schemeClr w14:val="tx1"/>
            </w14:solidFill>
          </w14:textFill>
        </w:rPr>
      </w:pPr>
      <w:r>
        <w:rPr>
          <w:color w:val="000000" w:themeColor="text1"/>
          <w14:textFill>
            <w14:solidFill>
              <w14:schemeClr w14:val="tx1"/>
            </w14:solidFill>
          </w14:textFill>
        </w:rPr>
        <w:t>《广西壮族自治区林业局关于公布第二批自治区重要湿地名录的通知》（桂林发〔2022〕13号）；</w:t>
      </w:r>
    </w:p>
    <w:p w14:paraId="45C40545">
      <w:pPr>
        <w:numPr>
          <w:ilvl w:val="0"/>
          <w:numId w:val="7"/>
        </w:numPr>
        <w:ind w:firstLine="480"/>
        <w:rPr>
          <w:color w:val="000000" w:themeColor="text1"/>
          <w14:textFill>
            <w14:solidFill>
              <w14:schemeClr w14:val="tx1"/>
            </w14:solidFill>
          </w14:textFill>
        </w:rPr>
      </w:pPr>
      <w:r>
        <w:rPr>
          <w:color w:val="000000" w:themeColor="text1"/>
          <w14:textFill>
            <w14:solidFill>
              <w14:schemeClr w14:val="tx1"/>
            </w14:solidFill>
          </w14:textFill>
        </w:rPr>
        <w:t>《广西壮族自治区生态功能区划》（广西壮族自治区人民政府办公厅，2008.02.14）；</w:t>
      </w:r>
    </w:p>
    <w:p w14:paraId="3A0B8DFC">
      <w:pPr>
        <w:numPr>
          <w:ilvl w:val="0"/>
          <w:numId w:val="7"/>
        </w:numPr>
        <w:ind w:firstLine="480"/>
        <w:rPr>
          <w:color w:val="000000" w:themeColor="text1"/>
          <w14:textFill>
            <w14:solidFill>
              <w14:schemeClr w14:val="tx1"/>
            </w14:solidFill>
          </w14:textFill>
        </w:rPr>
      </w:pPr>
      <w:r>
        <w:rPr>
          <w:color w:val="000000" w:themeColor="text1"/>
          <w14:textFill>
            <w14:solidFill>
              <w14:schemeClr w14:val="tx1"/>
            </w14:solidFill>
          </w14:textFill>
        </w:rPr>
        <w:t>《广西壮族自治区主体功能区规划》（2018年）；</w:t>
      </w:r>
    </w:p>
    <w:p w14:paraId="593E58EE">
      <w:pPr>
        <w:numPr>
          <w:ilvl w:val="0"/>
          <w:numId w:val="7"/>
        </w:numPr>
        <w:ind w:firstLine="480"/>
        <w:rPr>
          <w:color w:val="000000" w:themeColor="text1"/>
          <w14:textFill>
            <w14:solidFill>
              <w14:schemeClr w14:val="tx1"/>
            </w14:solidFill>
          </w14:textFill>
        </w:rPr>
      </w:pPr>
      <w:r>
        <w:rPr>
          <w:color w:val="000000" w:themeColor="text1"/>
          <w14:textFill>
            <w14:solidFill>
              <w14:schemeClr w14:val="tx1"/>
            </w14:solidFill>
          </w14:textFill>
        </w:rPr>
        <w:t>《广西壮族自治区海洋功能区划（2011-2020年）》；</w:t>
      </w:r>
    </w:p>
    <w:p w14:paraId="4DE30330">
      <w:pPr>
        <w:numPr>
          <w:ilvl w:val="0"/>
          <w:numId w:val="7"/>
        </w:numPr>
        <w:ind w:firstLine="480"/>
        <w:rPr>
          <w:color w:val="000000" w:themeColor="text1"/>
          <w14:textFill>
            <w14:solidFill>
              <w14:schemeClr w14:val="tx1"/>
            </w14:solidFill>
          </w14:textFill>
        </w:rPr>
      </w:pPr>
      <w:r>
        <w:rPr>
          <w:color w:val="000000" w:themeColor="text1"/>
          <w14:textFill>
            <w14:solidFill>
              <w14:schemeClr w14:val="tx1"/>
            </w14:solidFill>
          </w14:textFill>
        </w:rPr>
        <w:t>《广西壮族自治区近岸海域环境功能区划调整方案》（桂环发〔2023〕9号）；</w:t>
      </w:r>
    </w:p>
    <w:p w14:paraId="5395900B">
      <w:pPr>
        <w:numPr>
          <w:ilvl w:val="0"/>
          <w:numId w:val="7"/>
        </w:numPr>
        <w:ind w:firstLine="480"/>
        <w:rPr>
          <w:color w:val="000000" w:themeColor="text1"/>
          <w14:textFill>
            <w14:solidFill>
              <w14:schemeClr w14:val="tx1"/>
            </w14:solidFill>
          </w14:textFill>
        </w:rPr>
      </w:pPr>
      <w:r>
        <w:rPr>
          <w:color w:val="000000" w:themeColor="text1"/>
          <w14:textFill>
            <w14:solidFill>
              <w14:schemeClr w14:val="tx1"/>
            </w14:solidFill>
          </w14:textFill>
        </w:rPr>
        <w:t>《广西海洋生态红线划定方案》（桂政函〔2017〕233 号）；</w:t>
      </w:r>
    </w:p>
    <w:p w14:paraId="700A6A94">
      <w:pPr>
        <w:numPr>
          <w:ilvl w:val="0"/>
          <w:numId w:val="7"/>
        </w:numPr>
        <w:ind w:firstLine="480"/>
        <w:rPr>
          <w:color w:val="000000" w:themeColor="text1"/>
          <w14:textFill>
            <w14:solidFill>
              <w14:schemeClr w14:val="tx1"/>
            </w14:solidFill>
          </w14:textFill>
        </w:rPr>
      </w:pPr>
      <w:r>
        <w:rPr>
          <w:color w:val="000000" w:themeColor="text1"/>
          <w14:textFill>
            <w14:solidFill>
              <w14:schemeClr w14:val="tx1"/>
            </w14:solidFill>
          </w14:textFill>
        </w:rPr>
        <w:t>《广西壮族自治区人民政府办公厅关于印发广西生态环境保护“十四五”规划的通知》（桂政办发〔2021〕145号）；</w:t>
      </w:r>
    </w:p>
    <w:p w14:paraId="6377BA51">
      <w:pPr>
        <w:numPr>
          <w:ilvl w:val="0"/>
          <w:numId w:val="7"/>
        </w:numPr>
        <w:ind w:firstLine="480"/>
        <w:rPr>
          <w:color w:val="000000" w:themeColor="text1"/>
          <w14:textFill>
            <w14:solidFill>
              <w14:schemeClr w14:val="tx1"/>
            </w14:solidFill>
          </w14:textFill>
        </w:rPr>
      </w:pPr>
      <w:r>
        <w:rPr>
          <w:color w:val="000000" w:themeColor="text1"/>
          <w14:textFill>
            <w14:solidFill>
              <w14:schemeClr w14:val="tx1"/>
            </w14:solidFill>
          </w14:textFill>
        </w:rPr>
        <w:t>《钦州市人民政府办公室关于印发钦州市生态环境保护“十四五”规划的通知》（钦政办〔2022〕16号）；</w:t>
      </w:r>
    </w:p>
    <w:p w14:paraId="2F293100">
      <w:pPr>
        <w:numPr>
          <w:ilvl w:val="0"/>
          <w:numId w:val="7"/>
        </w:numPr>
        <w:ind w:firstLine="480"/>
        <w:rPr>
          <w:color w:val="000000" w:themeColor="text1"/>
          <w14:textFill>
            <w14:solidFill>
              <w14:schemeClr w14:val="tx1"/>
            </w14:solidFill>
          </w14:textFill>
        </w:rPr>
      </w:pPr>
      <w:r>
        <w:rPr>
          <w:color w:val="000000" w:themeColor="text1"/>
          <w14:textFill>
            <w14:solidFill>
              <w14:schemeClr w14:val="tx1"/>
            </w14:solidFill>
          </w14:textFill>
        </w:rPr>
        <w:t>《钦州市海洋生态环境保护“十四五”规划（2021-2025年）》（钦政办〔2022〕34号）；</w:t>
      </w:r>
    </w:p>
    <w:p w14:paraId="7BEBE7D5">
      <w:pPr>
        <w:numPr>
          <w:ilvl w:val="0"/>
          <w:numId w:val="7"/>
        </w:numPr>
        <w:ind w:firstLine="480"/>
        <w:rPr>
          <w:color w:val="000000" w:themeColor="text1"/>
          <w14:textFill>
            <w14:solidFill>
              <w14:schemeClr w14:val="tx1"/>
            </w14:solidFill>
          </w14:textFill>
        </w:rPr>
      </w:pPr>
      <w:r>
        <w:rPr>
          <w:color w:val="000000" w:themeColor="text1"/>
          <w14:textFill>
            <w14:solidFill>
              <w14:schemeClr w14:val="tx1"/>
            </w14:solidFill>
          </w14:textFill>
        </w:rPr>
        <w:t>《钦州市红树林资源保护规划（2022－2030年）》；</w:t>
      </w:r>
    </w:p>
    <w:p w14:paraId="6E876AA1">
      <w:pPr>
        <w:numPr>
          <w:ilvl w:val="0"/>
          <w:numId w:val="7"/>
        </w:numPr>
        <w:ind w:firstLine="480"/>
        <w:rPr>
          <w:color w:val="000000" w:themeColor="text1"/>
          <w14:textFill>
            <w14:solidFill>
              <w14:schemeClr w14:val="tx1"/>
            </w14:solidFill>
          </w14:textFill>
        </w:rPr>
      </w:pPr>
      <w:r>
        <w:rPr>
          <w:color w:val="000000" w:themeColor="text1"/>
          <w14:textFill>
            <w14:solidFill>
              <w14:schemeClr w14:val="tx1"/>
            </w14:solidFill>
          </w14:textFill>
        </w:rPr>
        <w:t>《钦南区人民政府办公室关于印发</w:t>
      </w:r>
      <w:r>
        <w:rPr>
          <w:rFonts w:hint="eastAsia" w:ascii="方正仿宋_GBK" w:hAnsi="方正仿宋_GBK" w:eastAsia="方正仿宋_GBK" w:cs="方正仿宋_GBK"/>
          <w:color w:val="000000" w:themeColor="text1"/>
          <w14:textFill>
            <w14:solidFill>
              <w14:schemeClr w14:val="tx1"/>
            </w14:solidFill>
          </w14:textFill>
        </w:rPr>
        <w:t>〈</w:t>
      </w:r>
      <w:r>
        <w:rPr>
          <w:color w:val="000000" w:themeColor="text1"/>
          <w14:textFill>
            <w14:solidFill>
              <w14:schemeClr w14:val="tx1"/>
            </w14:solidFill>
          </w14:textFill>
        </w:rPr>
        <w:t>钦南区红树林资源保护规划（2022—2030年）</w:t>
      </w:r>
      <w:r>
        <w:rPr>
          <w:rFonts w:hint="eastAsia" w:ascii="方正仿宋_GBK" w:hAnsi="方正仿宋_GBK" w:eastAsia="方正仿宋_GBK" w:cs="方正仿宋_GBK"/>
          <w:color w:val="000000" w:themeColor="text1"/>
          <w14:textFill>
            <w14:solidFill>
              <w14:schemeClr w14:val="tx1"/>
            </w14:solidFill>
          </w14:textFill>
        </w:rPr>
        <w:t>〉</w:t>
      </w:r>
      <w:r>
        <w:rPr>
          <w:color w:val="000000" w:themeColor="text1"/>
          <w14:textFill>
            <w14:solidFill>
              <w14:schemeClr w14:val="tx1"/>
            </w14:solidFill>
          </w14:textFill>
        </w:rPr>
        <w:t>的通知》（钦南政办〔2022〕53号）；</w:t>
      </w:r>
      <w:bookmarkStart w:id="991" w:name="_GoBack"/>
      <w:bookmarkEnd w:id="991"/>
    </w:p>
    <w:p w14:paraId="0C71CE61">
      <w:pPr>
        <w:numPr>
          <w:ilvl w:val="0"/>
          <w:numId w:val="7"/>
        </w:numPr>
        <w:ind w:firstLine="48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《钦州市生态环境局关于印发钦州市生态环境分区管控动态更新成果（2023版）的通知》</w:t>
      </w:r>
      <w:r>
        <w:rPr>
          <w:color w:val="000000" w:themeColor="text1"/>
          <w:u w:val="single"/>
          <w14:textFill>
            <w14:solidFill>
              <w14:schemeClr w14:val="tx1"/>
            </w14:solidFill>
          </w14:textFill>
        </w:rPr>
        <w:t>；</w:t>
      </w:r>
    </w:p>
    <w:p w14:paraId="3EFC007F">
      <w:pPr>
        <w:numPr>
          <w:ilvl w:val="0"/>
          <w:numId w:val="7"/>
        </w:numPr>
        <w:ind w:firstLine="480"/>
        <w:rPr>
          <w:color w:val="000000" w:themeColor="text1"/>
          <w:u w:val="single"/>
          <w14:textFill>
            <w14:solidFill>
              <w14:schemeClr w14:val="tx1"/>
            </w14:solidFill>
          </w14:textFill>
        </w:rPr>
      </w:pPr>
      <w:r>
        <w:rPr>
          <w:color w:val="000000" w:themeColor="text1"/>
          <w:u w:val="single"/>
          <w14:textFill>
            <w14:solidFill>
              <w14:schemeClr w14:val="tx1"/>
            </w14:solidFill>
          </w14:textFill>
        </w:rPr>
        <w:t>《广西北部湾港总体规划（20</w:t>
      </w:r>
      <w:r>
        <w:rPr>
          <w:rFonts w:hint="eastAsia"/>
          <w:color w:val="000000" w:themeColor="text1"/>
          <w:u w:val="single"/>
          <w14:textFill>
            <w14:solidFill>
              <w14:schemeClr w14:val="tx1"/>
            </w14:solidFill>
          </w14:textFill>
        </w:rPr>
        <w:t>35年</w:t>
      </w:r>
      <w:r>
        <w:rPr>
          <w:color w:val="000000" w:themeColor="text1"/>
          <w:u w:val="single"/>
          <w14:textFill>
            <w14:solidFill>
              <w14:schemeClr w14:val="tx1"/>
            </w14:solidFill>
          </w14:textFill>
        </w:rPr>
        <w:t>）》；</w:t>
      </w:r>
    </w:p>
    <w:p w14:paraId="5F49D161">
      <w:pPr>
        <w:numPr>
          <w:ilvl w:val="0"/>
          <w:numId w:val="7"/>
        </w:numPr>
        <w:ind w:firstLine="480"/>
        <w:rPr>
          <w:color w:val="000000" w:themeColor="text1"/>
          <w14:textFill>
            <w14:solidFill>
              <w14:schemeClr w14:val="tx1"/>
            </w14:solidFill>
          </w14:textFill>
        </w:rPr>
      </w:pPr>
      <w:r>
        <w:rPr>
          <w:color w:val="000000" w:themeColor="text1"/>
          <w14:textFill>
            <w14:solidFill>
              <w14:schemeClr w14:val="tx1"/>
            </w14:solidFill>
          </w14:textFill>
        </w:rPr>
        <w:t>《广西壮族自治区沿海港口布局规划》（2008）；</w:t>
      </w:r>
    </w:p>
    <w:p w14:paraId="1DC822AE">
      <w:pPr>
        <w:numPr>
          <w:ilvl w:val="0"/>
          <w:numId w:val="7"/>
        </w:numPr>
        <w:ind w:firstLine="480"/>
        <w:rPr>
          <w:color w:val="000000" w:themeColor="text1"/>
          <w14:textFill>
            <w14:solidFill>
              <w14:schemeClr w14:val="tx1"/>
            </w14:solidFill>
          </w14:textFill>
        </w:rPr>
      </w:pPr>
      <w:r>
        <w:rPr>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北部湾</w:t>
      </w:r>
      <w:r>
        <w:rPr>
          <w:color w:val="000000" w:themeColor="text1"/>
          <w14:textFill>
            <w14:solidFill>
              <w14:schemeClr w14:val="tx1"/>
            </w14:solidFill>
          </w14:textFill>
        </w:rPr>
        <w:t>港总体规划（2035年）》；</w:t>
      </w:r>
    </w:p>
    <w:p w14:paraId="2B95102A">
      <w:pPr>
        <w:numPr>
          <w:ilvl w:val="0"/>
          <w:numId w:val="7"/>
        </w:numPr>
        <w:ind w:firstLine="480"/>
        <w:rPr>
          <w:color w:val="000000" w:themeColor="text1"/>
          <w14:textFill>
            <w14:solidFill>
              <w14:schemeClr w14:val="tx1"/>
            </w14:solidFill>
          </w14:textFill>
        </w:rPr>
      </w:pPr>
      <w:r>
        <w:rPr>
          <w:color w:val="000000" w:themeColor="text1"/>
          <w14:textFill>
            <w14:solidFill>
              <w14:schemeClr w14:val="tx1"/>
            </w14:solidFill>
          </w14:textFill>
        </w:rPr>
        <w:t>《钦州市城市总体规划修编（2012-2030）》；</w:t>
      </w:r>
    </w:p>
    <w:p w14:paraId="0223EC51">
      <w:pPr>
        <w:numPr>
          <w:ilvl w:val="0"/>
          <w:numId w:val="7"/>
        </w:numPr>
        <w:ind w:firstLine="480"/>
        <w:rPr>
          <w:color w:val="000000" w:themeColor="text1"/>
          <w14:textFill>
            <w14:solidFill>
              <w14:schemeClr w14:val="tx1"/>
            </w14:solidFill>
          </w14:textFill>
        </w:rPr>
      </w:pPr>
      <w:r>
        <w:rPr>
          <w:color w:val="000000" w:themeColor="text1"/>
          <w14:textFill>
            <w14:solidFill>
              <w14:schemeClr w14:val="tx1"/>
            </w14:solidFill>
          </w14:textFill>
        </w:rPr>
        <w:t>《广西钦州石化产业园总体发展规划（2020~2035）》</w:t>
      </w:r>
      <w:r>
        <w:rPr>
          <w:rFonts w:hint="eastAsia"/>
          <w:color w:val="000000" w:themeColor="text1"/>
          <w:lang w:eastAsia="zh-CN"/>
          <w14:textFill>
            <w14:solidFill>
              <w14:schemeClr w14:val="tx1"/>
            </w14:solidFill>
          </w14:textFill>
        </w:rPr>
        <w:t>；</w:t>
      </w:r>
    </w:p>
    <w:p w14:paraId="183BB9F8">
      <w:pPr>
        <w:numPr>
          <w:ilvl w:val="0"/>
          <w:numId w:val="7"/>
        </w:numPr>
        <w:ind w:firstLine="480"/>
        <w:rPr>
          <w:color w:val="000000" w:themeColor="text1"/>
          <w14:textFill>
            <w14:solidFill>
              <w14:schemeClr w14:val="tx1"/>
            </w14:solidFill>
          </w14:textFill>
        </w:rPr>
      </w:pP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钦州市国土空间总体规划（2021年—2035年）</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w:t>
      </w:r>
    </w:p>
    <w:p w14:paraId="17776C56">
      <w:pPr>
        <w:pStyle w:val="4"/>
        <w:rPr>
          <w:color w:val="000000" w:themeColor="text1"/>
          <w14:textFill>
            <w14:solidFill>
              <w14:schemeClr w14:val="tx1"/>
            </w14:solidFill>
          </w14:textFill>
        </w:rPr>
      </w:pPr>
      <w:bookmarkStart w:id="45" w:name="_Toc136878414"/>
      <w:bookmarkStart w:id="46" w:name="_Toc216620326"/>
      <w:bookmarkStart w:id="47" w:name="_Toc26909950"/>
      <w:bookmarkStart w:id="48" w:name="_Toc25436905"/>
      <w:bookmarkStart w:id="49" w:name="_Toc216103167"/>
      <w:bookmarkStart w:id="50" w:name="_Toc135090165"/>
      <w:bookmarkStart w:id="51" w:name="_Toc29131764"/>
      <w:r>
        <w:rPr>
          <w:color w:val="000000" w:themeColor="text1"/>
          <w14:textFill>
            <w14:solidFill>
              <w14:schemeClr w14:val="tx1"/>
            </w14:solidFill>
          </w14:textFill>
        </w:rPr>
        <w:t>技术导则与技术规范</w:t>
      </w:r>
      <w:bookmarkEnd w:id="45"/>
      <w:bookmarkEnd w:id="46"/>
      <w:bookmarkEnd w:id="47"/>
      <w:bookmarkEnd w:id="48"/>
      <w:bookmarkEnd w:id="49"/>
      <w:bookmarkEnd w:id="50"/>
      <w:bookmarkEnd w:id="51"/>
    </w:p>
    <w:p w14:paraId="7D705AC8">
      <w:pPr>
        <w:numPr>
          <w:ilvl w:val="0"/>
          <w:numId w:val="8"/>
        </w:numPr>
        <w:ind w:left="0" w:firstLine="480"/>
        <w:rPr>
          <w:color w:val="000000" w:themeColor="text1"/>
          <w14:textFill>
            <w14:solidFill>
              <w14:schemeClr w14:val="tx1"/>
            </w14:solidFill>
          </w14:textFill>
        </w:rPr>
      </w:pPr>
      <w:r>
        <w:rPr>
          <w:color w:val="000000" w:themeColor="text1"/>
          <w14:textFill>
            <w14:solidFill>
              <w14:schemeClr w14:val="tx1"/>
            </w14:solidFill>
          </w14:textFill>
        </w:rPr>
        <w:t xml:space="preserve">《环境影响评价技术导则 总纲》（HJ2.1-2016）； </w:t>
      </w:r>
    </w:p>
    <w:p w14:paraId="53ECB365">
      <w:pPr>
        <w:numPr>
          <w:ilvl w:val="0"/>
          <w:numId w:val="8"/>
        </w:numPr>
        <w:ind w:left="0" w:firstLine="480"/>
        <w:rPr>
          <w:color w:val="000000" w:themeColor="text1"/>
          <w14:textFill>
            <w14:solidFill>
              <w14:schemeClr w14:val="tx1"/>
            </w14:solidFill>
          </w14:textFill>
        </w:rPr>
      </w:pPr>
      <w:r>
        <w:rPr>
          <w:color w:val="000000" w:themeColor="text1"/>
          <w14:textFill>
            <w14:solidFill>
              <w14:schemeClr w14:val="tx1"/>
            </w14:solidFill>
          </w14:textFill>
        </w:rPr>
        <w:t>《环境影响评价技术导则 大气环境》（HJ2.2-2018）；</w:t>
      </w:r>
    </w:p>
    <w:p w14:paraId="3150D5D8">
      <w:pPr>
        <w:numPr>
          <w:ilvl w:val="0"/>
          <w:numId w:val="8"/>
        </w:numPr>
        <w:ind w:left="0" w:firstLine="480"/>
        <w:rPr>
          <w:color w:val="000000" w:themeColor="text1"/>
          <w14:textFill>
            <w14:solidFill>
              <w14:schemeClr w14:val="tx1"/>
            </w14:solidFill>
          </w14:textFill>
        </w:rPr>
      </w:pPr>
      <w:r>
        <w:rPr>
          <w:color w:val="000000" w:themeColor="text1"/>
          <w14:textFill>
            <w14:solidFill>
              <w14:schemeClr w14:val="tx1"/>
            </w14:solidFill>
          </w14:textFill>
        </w:rPr>
        <w:t>《环境影响评价技术导则 地表水环境》（HJ2.3-2018）；</w:t>
      </w:r>
    </w:p>
    <w:p w14:paraId="3EC81580">
      <w:pPr>
        <w:numPr>
          <w:ilvl w:val="0"/>
          <w:numId w:val="8"/>
        </w:numPr>
        <w:ind w:left="0" w:firstLine="480"/>
        <w:rPr>
          <w:color w:val="000000" w:themeColor="text1"/>
          <w14:textFill>
            <w14:solidFill>
              <w14:schemeClr w14:val="tx1"/>
            </w14:solidFill>
          </w14:textFill>
        </w:rPr>
      </w:pPr>
      <w:r>
        <w:rPr>
          <w:color w:val="000000" w:themeColor="text1"/>
          <w14:textFill>
            <w14:solidFill>
              <w14:schemeClr w14:val="tx1"/>
            </w14:solidFill>
          </w14:textFill>
        </w:rPr>
        <w:t>《环境影响评价技术导则 地下水环境》（HJ610-2016）；</w:t>
      </w:r>
    </w:p>
    <w:p w14:paraId="45BEEAEF">
      <w:pPr>
        <w:numPr>
          <w:ilvl w:val="0"/>
          <w:numId w:val="8"/>
        </w:numPr>
        <w:ind w:left="0" w:firstLine="480"/>
        <w:rPr>
          <w:color w:val="000000" w:themeColor="text1"/>
          <w14:textFill>
            <w14:solidFill>
              <w14:schemeClr w14:val="tx1"/>
            </w14:solidFill>
          </w14:textFill>
        </w:rPr>
      </w:pPr>
      <w:r>
        <w:rPr>
          <w:color w:val="000000" w:themeColor="text1"/>
          <w14:textFill>
            <w14:solidFill>
              <w14:schemeClr w14:val="tx1"/>
            </w14:solidFill>
          </w14:textFill>
        </w:rPr>
        <w:t>《环境影响评价技术导则 声环境》（HJ2.4-2021）；</w:t>
      </w:r>
    </w:p>
    <w:p w14:paraId="769ABDFE">
      <w:pPr>
        <w:numPr>
          <w:ilvl w:val="0"/>
          <w:numId w:val="8"/>
        </w:numPr>
        <w:ind w:left="0" w:firstLine="480"/>
        <w:rPr>
          <w:color w:val="000000" w:themeColor="text1"/>
          <w14:textFill>
            <w14:solidFill>
              <w14:schemeClr w14:val="tx1"/>
            </w14:solidFill>
          </w14:textFill>
        </w:rPr>
      </w:pPr>
      <w:r>
        <w:rPr>
          <w:color w:val="000000" w:themeColor="text1"/>
          <w14:textFill>
            <w14:solidFill>
              <w14:schemeClr w14:val="tx1"/>
            </w14:solidFill>
          </w14:textFill>
        </w:rPr>
        <w:t>《环境影响评价技术导则 土壤环境（试行）》（HJ964-2018）；</w:t>
      </w:r>
    </w:p>
    <w:p w14:paraId="06E5C0C9">
      <w:pPr>
        <w:numPr>
          <w:ilvl w:val="0"/>
          <w:numId w:val="8"/>
        </w:numPr>
        <w:ind w:left="0" w:firstLine="480"/>
        <w:rPr>
          <w:color w:val="000000" w:themeColor="text1"/>
          <w14:textFill>
            <w14:solidFill>
              <w14:schemeClr w14:val="tx1"/>
            </w14:solidFill>
          </w14:textFill>
        </w:rPr>
      </w:pPr>
      <w:r>
        <w:rPr>
          <w:color w:val="000000" w:themeColor="text1"/>
          <w14:textFill>
            <w14:solidFill>
              <w14:schemeClr w14:val="tx1"/>
            </w14:solidFill>
          </w14:textFill>
        </w:rPr>
        <w:t>《环境影响评价技术导则 生态影响》（HJ19-2022）；</w:t>
      </w:r>
    </w:p>
    <w:p w14:paraId="5E8760F0">
      <w:pPr>
        <w:numPr>
          <w:ilvl w:val="0"/>
          <w:numId w:val="8"/>
        </w:numPr>
        <w:ind w:left="0" w:firstLine="480"/>
        <w:rPr>
          <w:color w:val="000000" w:themeColor="text1"/>
          <w14:textFill>
            <w14:solidFill>
              <w14:schemeClr w14:val="tx1"/>
            </w14:solidFill>
          </w14:textFill>
        </w:rPr>
      </w:pPr>
      <w:r>
        <w:rPr>
          <w:color w:val="000000" w:themeColor="text1"/>
          <w14:textFill>
            <w14:solidFill>
              <w14:schemeClr w14:val="tx1"/>
            </w14:solidFill>
          </w14:textFill>
        </w:rPr>
        <w:t>《建设项目环境风险评价技术导则》（HJ 169-2018）；</w:t>
      </w:r>
    </w:p>
    <w:p w14:paraId="4316592C">
      <w:pPr>
        <w:numPr>
          <w:ilvl w:val="0"/>
          <w:numId w:val="8"/>
        </w:numPr>
        <w:ind w:firstLineChars="0"/>
        <w:rPr>
          <w:color w:val="000000" w:themeColor="text1"/>
          <w14:textFill>
            <w14:solidFill>
              <w14:schemeClr w14:val="tx1"/>
            </w14:solidFill>
          </w14:textFill>
        </w:rPr>
      </w:pPr>
      <w:r>
        <w:rPr>
          <w:color w:val="000000" w:themeColor="text1"/>
          <w14:textFill>
            <w14:solidFill>
              <w14:schemeClr w14:val="tx1"/>
            </w14:solidFill>
          </w14:textFill>
        </w:rPr>
        <w:t>《水运工程建设项目环境影响评价指南》（JTS/T 105-2021）；</w:t>
      </w:r>
    </w:p>
    <w:p w14:paraId="1A2D961A">
      <w:pPr>
        <w:numPr>
          <w:ilvl w:val="0"/>
          <w:numId w:val="8"/>
        </w:numPr>
        <w:ind w:firstLineChars="0"/>
        <w:rPr>
          <w:color w:val="000000" w:themeColor="text1"/>
          <w14:textFill>
            <w14:solidFill>
              <w14:schemeClr w14:val="tx1"/>
            </w14:solidFill>
          </w14:textFill>
        </w:rPr>
      </w:pPr>
      <w:r>
        <w:rPr>
          <w:color w:val="000000" w:themeColor="text1"/>
          <w14:textFill>
            <w14:solidFill>
              <w14:schemeClr w14:val="tx1"/>
            </w14:solidFill>
          </w14:textFill>
        </w:rPr>
        <w:t>《建设项目危险废物环境影响评价指南》（2017年）；</w:t>
      </w:r>
    </w:p>
    <w:p w14:paraId="2AEC552F">
      <w:pPr>
        <w:numPr>
          <w:ilvl w:val="0"/>
          <w:numId w:val="8"/>
        </w:numPr>
        <w:ind w:firstLineChars="0"/>
        <w:rPr>
          <w:color w:val="000000" w:themeColor="text1"/>
          <w14:textFill>
            <w14:solidFill>
              <w14:schemeClr w14:val="tx1"/>
            </w14:solidFill>
          </w14:textFill>
        </w:rPr>
      </w:pPr>
      <w:r>
        <w:rPr>
          <w:color w:val="000000" w:themeColor="text1"/>
          <w14:textFill>
            <w14:solidFill>
              <w14:schemeClr w14:val="tx1"/>
            </w14:solidFill>
          </w14:textFill>
        </w:rPr>
        <w:t>《</w:t>
      </w:r>
      <w:r>
        <w:rPr>
          <w:rFonts w:hint="eastAsia"/>
          <w:color w:val="000000" w:themeColor="text1"/>
          <w14:textFill>
            <w14:solidFill>
              <w14:schemeClr w14:val="tx1"/>
            </w14:solidFill>
          </w14:textFill>
        </w:rPr>
        <w:t>环境影响评价技术导则 海洋生态环境</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HJ1409-2025</w:t>
      </w:r>
      <w:r>
        <w:rPr>
          <w:color w:val="000000" w:themeColor="text1"/>
          <w14:textFill>
            <w14:solidFill>
              <w14:schemeClr w14:val="tx1"/>
            </w14:solidFill>
          </w14:textFill>
        </w:rPr>
        <w:t>）；</w:t>
      </w:r>
    </w:p>
    <w:p w14:paraId="35FA6150">
      <w:pPr>
        <w:numPr>
          <w:ilvl w:val="0"/>
          <w:numId w:val="8"/>
        </w:numPr>
        <w:ind w:firstLineChars="0"/>
        <w:rPr>
          <w:color w:val="000000" w:themeColor="text1"/>
          <w14:textFill>
            <w14:solidFill>
              <w14:schemeClr w14:val="tx1"/>
            </w14:solidFill>
          </w14:textFill>
        </w:rPr>
      </w:pPr>
      <w:r>
        <w:rPr>
          <w:color w:val="000000" w:themeColor="text1"/>
          <w14:textFill>
            <w14:solidFill>
              <w14:schemeClr w14:val="tx1"/>
            </w14:solidFill>
          </w14:textFill>
        </w:rPr>
        <w:t>《水运工程环境保护设计规范》（JTS149-2018）；</w:t>
      </w:r>
    </w:p>
    <w:p w14:paraId="53BE1160">
      <w:pPr>
        <w:numPr>
          <w:ilvl w:val="0"/>
          <w:numId w:val="8"/>
        </w:numPr>
        <w:ind w:firstLineChars="0"/>
        <w:rPr>
          <w:color w:val="000000" w:themeColor="text1"/>
          <w14:textFill>
            <w14:solidFill>
              <w14:schemeClr w14:val="tx1"/>
            </w14:solidFill>
          </w14:textFill>
        </w:rPr>
      </w:pPr>
      <w:r>
        <w:rPr>
          <w:color w:val="000000" w:themeColor="text1"/>
          <w14:textFill>
            <w14:solidFill>
              <w14:schemeClr w14:val="tx1"/>
            </w14:solidFill>
          </w14:textFill>
        </w:rPr>
        <w:t>《船舶污染海洋环境风险评价技术规范（试行）》（2020）；</w:t>
      </w:r>
    </w:p>
    <w:p w14:paraId="30999A19">
      <w:pPr>
        <w:numPr>
          <w:ilvl w:val="0"/>
          <w:numId w:val="8"/>
        </w:numPr>
        <w:ind w:firstLineChars="0"/>
        <w:rPr>
          <w:color w:val="000000" w:themeColor="text1"/>
          <w14:textFill>
            <w14:solidFill>
              <w14:schemeClr w14:val="tx1"/>
            </w14:solidFill>
          </w14:textFill>
        </w:rPr>
      </w:pPr>
      <w:r>
        <w:rPr>
          <w:color w:val="000000" w:themeColor="text1"/>
          <w14:textFill>
            <w14:solidFill>
              <w14:schemeClr w14:val="tx1"/>
            </w14:solidFill>
          </w14:textFill>
        </w:rPr>
        <w:t>《港口码头水上污染事故应急防备能力要求》（JT/T451-2017）；</w:t>
      </w:r>
    </w:p>
    <w:p w14:paraId="45865164">
      <w:pPr>
        <w:numPr>
          <w:ilvl w:val="0"/>
          <w:numId w:val="8"/>
        </w:numPr>
        <w:ind w:firstLineChars="0"/>
        <w:rPr>
          <w:color w:val="000000" w:themeColor="text1"/>
          <w14:textFill>
            <w14:solidFill>
              <w14:schemeClr w14:val="tx1"/>
            </w14:solidFill>
          </w14:textFill>
        </w:rPr>
      </w:pPr>
      <w:r>
        <w:rPr>
          <w:color w:val="000000" w:themeColor="text1"/>
          <w14:textFill>
            <w14:solidFill>
              <w14:schemeClr w14:val="tx1"/>
            </w14:solidFill>
          </w14:textFill>
        </w:rPr>
        <w:t>《危险化学品重大危险源辨识》（GB18218-2018）；</w:t>
      </w:r>
    </w:p>
    <w:p w14:paraId="62E2BF90">
      <w:pPr>
        <w:numPr>
          <w:ilvl w:val="0"/>
          <w:numId w:val="8"/>
        </w:numPr>
        <w:ind w:firstLineChars="0"/>
        <w:rPr>
          <w:color w:val="000000" w:themeColor="text1"/>
          <w14:textFill>
            <w14:solidFill>
              <w14:schemeClr w14:val="tx1"/>
            </w14:solidFill>
          </w14:textFill>
        </w:rPr>
      </w:pPr>
      <w:r>
        <w:rPr>
          <w:color w:val="000000" w:themeColor="text1"/>
          <w14:textFill>
            <w14:solidFill>
              <w14:schemeClr w14:val="tx1"/>
            </w14:solidFill>
          </w14:textFill>
        </w:rPr>
        <w:t>《危险废物贮存污染控制标准》（GB18597-2023）；</w:t>
      </w:r>
    </w:p>
    <w:p w14:paraId="6E9E6829">
      <w:pPr>
        <w:numPr>
          <w:ilvl w:val="0"/>
          <w:numId w:val="8"/>
        </w:numPr>
        <w:ind w:firstLineChars="0"/>
        <w:rPr>
          <w:color w:val="000000" w:themeColor="text1"/>
          <w14:textFill>
            <w14:solidFill>
              <w14:schemeClr w14:val="tx1"/>
            </w14:solidFill>
          </w14:textFill>
        </w:rPr>
      </w:pPr>
      <w:r>
        <w:rPr>
          <w:color w:val="000000" w:themeColor="text1"/>
          <w14:textFill>
            <w14:solidFill>
              <w14:schemeClr w14:val="tx1"/>
            </w14:solidFill>
          </w14:textFill>
        </w:rPr>
        <w:t>《危险废物收集贮存运输技术规范》（HJ2025-2012）；</w:t>
      </w:r>
    </w:p>
    <w:p w14:paraId="31179D26">
      <w:pPr>
        <w:numPr>
          <w:ilvl w:val="0"/>
          <w:numId w:val="8"/>
        </w:numPr>
        <w:ind w:firstLineChars="0"/>
        <w:rPr>
          <w:color w:val="000000" w:themeColor="text1"/>
          <w14:textFill>
            <w14:solidFill>
              <w14:schemeClr w14:val="tx1"/>
            </w14:solidFill>
          </w14:textFill>
        </w:rPr>
      </w:pPr>
      <w:r>
        <w:rPr>
          <w:color w:val="000000" w:themeColor="text1"/>
          <w14:textFill>
            <w14:solidFill>
              <w14:schemeClr w14:val="tx1"/>
            </w14:solidFill>
          </w14:textFill>
        </w:rPr>
        <w:t>《水上溢油环境风险评估技术导则》（JT/T1143-2017）；</w:t>
      </w:r>
    </w:p>
    <w:p w14:paraId="5BFAA583">
      <w:pPr>
        <w:numPr>
          <w:ilvl w:val="0"/>
          <w:numId w:val="8"/>
        </w:numPr>
        <w:ind w:firstLineChars="0"/>
        <w:rPr>
          <w:color w:val="000000" w:themeColor="text1"/>
          <w14:textFill>
            <w14:solidFill>
              <w14:schemeClr w14:val="tx1"/>
            </w14:solidFill>
          </w14:textFill>
        </w:rPr>
      </w:pPr>
      <w:r>
        <w:rPr>
          <w:color w:val="000000" w:themeColor="text1"/>
          <w14:textFill>
            <w14:solidFill>
              <w14:schemeClr w14:val="tx1"/>
            </w14:solidFill>
          </w14:textFill>
        </w:rPr>
        <w:t>《污染源源强核算技术指南  准则》（HJ884-2018）；</w:t>
      </w:r>
    </w:p>
    <w:p w14:paraId="24F33E5B">
      <w:pPr>
        <w:numPr>
          <w:ilvl w:val="0"/>
          <w:numId w:val="8"/>
        </w:numPr>
        <w:ind w:firstLineChars="0"/>
        <w:rPr>
          <w:color w:val="000000" w:themeColor="text1"/>
          <w14:textFill>
            <w14:solidFill>
              <w14:schemeClr w14:val="tx1"/>
            </w14:solidFill>
          </w14:textFill>
        </w:rPr>
      </w:pPr>
      <w:r>
        <w:rPr>
          <w:color w:val="000000" w:themeColor="text1"/>
          <w14:textFill>
            <w14:solidFill>
              <w14:schemeClr w14:val="tx1"/>
            </w14:solidFill>
          </w14:textFill>
        </w:rPr>
        <w:t>《排污单位自行监测技术指南  总则》（HJ819-2017）；</w:t>
      </w:r>
    </w:p>
    <w:p w14:paraId="4AA98709">
      <w:pPr>
        <w:numPr>
          <w:ilvl w:val="0"/>
          <w:numId w:val="8"/>
        </w:numPr>
        <w:ind w:firstLineChars="0"/>
        <w:rPr>
          <w:color w:val="000000" w:themeColor="text1"/>
          <w14:textFill>
            <w14:solidFill>
              <w14:schemeClr w14:val="tx1"/>
            </w14:solidFill>
          </w14:textFill>
        </w:rPr>
      </w:pPr>
      <w:r>
        <w:rPr>
          <w:color w:val="000000" w:themeColor="text1"/>
          <w14:textFill>
            <w14:solidFill>
              <w14:schemeClr w14:val="tx1"/>
            </w14:solidFill>
          </w14:textFill>
        </w:rPr>
        <w:t>《海洋生态环境监测技术规程》（2002）；</w:t>
      </w:r>
    </w:p>
    <w:p w14:paraId="49742782">
      <w:pPr>
        <w:numPr>
          <w:ilvl w:val="0"/>
          <w:numId w:val="8"/>
        </w:numPr>
        <w:ind w:firstLineChars="0"/>
        <w:rPr>
          <w:color w:val="000000" w:themeColor="text1"/>
          <w14:textFill>
            <w14:solidFill>
              <w14:schemeClr w14:val="tx1"/>
            </w14:solidFill>
          </w14:textFill>
        </w:rPr>
      </w:pPr>
      <w:r>
        <w:rPr>
          <w:color w:val="000000" w:themeColor="text1"/>
          <w14:textFill>
            <w14:solidFill>
              <w14:schemeClr w14:val="tx1"/>
            </w14:solidFill>
          </w14:textFill>
        </w:rPr>
        <w:t>《海洋生物质量监测技术规程》（2002）；</w:t>
      </w:r>
    </w:p>
    <w:p w14:paraId="43837CE1">
      <w:pPr>
        <w:numPr>
          <w:ilvl w:val="0"/>
          <w:numId w:val="8"/>
        </w:numPr>
        <w:ind w:firstLineChars="0"/>
        <w:rPr>
          <w:color w:val="000000" w:themeColor="text1"/>
          <w14:textFill>
            <w14:solidFill>
              <w14:schemeClr w14:val="tx1"/>
            </w14:solidFill>
          </w14:textFill>
        </w:rPr>
      </w:pPr>
      <w:r>
        <w:rPr>
          <w:color w:val="000000" w:themeColor="text1"/>
          <w14:textFill>
            <w14:solidFill>
              <w14:schemeClr w14:val="tx1"/>
            </w14:solidFill>
          </w14:textFill>
        </w:rPr>
        <w:t>《海洋监测规范》（GB17378）；</w:t>
      </w:r>
    </w:p>
    <w:p w14:paraId="7EE99246">
      <w:pPr>
        <w:numPr>
          <w:ilvl w:val="0"/>
          <w:numId w:val="8"/>
        </w:numPr>
        <w:ind w:firstLineChars="0"/>
        <w:rPr>
          <w:color w:val="000000" w:themeColor="text1"/>
          <w14:textFill>
            <w14:solidFill>
              <w14:schemeClr w14:val="tx1"/>
            </w14:solidFill>
          </w14:textFill>
        </w:rPr>
      </w:pPr>
      <w:r>
        <w:rPr>
          <w:color w:val="000000" w:themeColor="text1"/>
          <w14:textFill>
            <w14:solidFill>
              <w14:schemeClr w14:val="tx1"/>
            </w14:solidFill>
          </w14:textFill>
        </w:rPr>
        <w:t>《海洋调查规范》（GB/T 12763）；</w:t>
      </w:r>
    </w:p>
    <w:p w14:paraId="76901F01">
      <w:pPr>
        <w:numPr>
          <w:ilvl w:val="0"/>
          <w:numId w:val="8"/>
        </w:numPr>
        <w:ind w:firstLineChars="0"/>
        <w:rPr>
          <w:color w:val="000000" w:themeColor="text1"/>
          <w14:textFill>
            <w14:solidFill>
              <w14:schemeClr w14:val="tx1"/>
            </w14:solidFill>
          </w14:textFill>
        </w:rPr>
      </w:pPr>
      <w:r>
        <w:rPr>
          <w:color w:val="000000" w:themeColor="text1"/>
          <w14:textFill>
            <w14:solidFill>
              <w14:schemeClr w14:val="tx1"/>
            </w14:solidFill>
          </w14:textFill>
        </w:rPr>
        <w:t>《石油化工污水处理设计规范》（GB 50747-2012）；</w:t>
      </w:r>
    </w:p>
    <w:p w14:paraId="5DEA0D68">
      <w:pPr>
        <w:numPr>
          <w:ilvl w:val="0"/>
          <w:numId w:val="8"/>
        </w:numPr>
        <w:ind w:firstLineChars="0"/>
        <w:rPr>
          <w:color w:val="000000" w:themeColor="text1"/>
          <w14:textFill>
            <w14:solidFill>
              <w14:schemeClr w14:val="tx1"/>
            </w14:solidFill>
          </w14:textFill>
        </w:rPr>
      </w:pPr>
      <w:r>
        <w:rPr>
          <w:color w:val="000000" w:themeColor="text1"/>
          <w14:textFill>
            <w14:solidFill>
              <w14:schemeClr w14:val="tx1"/>
            </w14:solidFill>
          </w14:textFill>
        </w:rPr>
        <w:t>《油气回收处理设施技术标准》（GB/T50759-2022）；</w:t>
      </w:r>
    </w:p>
    <w:p w14:paraId="7D438422">
      <w:pPr>
        <w:numPr>
          <w:ilvl w:val="0"/>
          <w:numId w:val="8"/>
        </w:numPr>
        <w:ind w:firstLineChars="0"/>
        <w:rPr>
          <w:color w:val="000000" w:themeColor="text1"/>
          <w14:textFill>
            <w14:solidFill>
              <w14:schemeClr w14:val="tx1"/>
            </w14:solidFill>
          </w14:textFill>
        </w:rPr>
      </w:pPr>
      <w:r>
        <w:rPr>
          <w:color w:val="000000" w:themeColor="text1"/>
          <w14:textFill>
            <w14:solidFill>
              <w14:schemeClr w14:val="tx1"/>
            </w14:solidFill>
          </w14:textFill>
        </w:rPr>
        <w:t>《码头油气回收设施建设技术规范（试行）》（JTS196-12-20</w:t>
      </w:r>
      <w:r>
        <w:rPr>
          <w:rFonts w:hint="eastAsia"/>
          <w:color w:val="000000" w:themeColor="text1"/>
          <w:lang w:val="en-US" w:eastAsia="zh-CN"/>
          <w14:textFill>
            <w14:solidFill>
              <w14:schemeClr w14:val="tx1"/>
            </w14:solidFill>
          </w14:textFill>
        </w:rPr>
        <w:t>23</w:t>
      </w:r>
      <w:r>
        <w:rPr>
          <w:color w:val="000000" w:themeColor="text1"/>
          <w14:textFill>
            <w14:solidFill>
              <w14:schemeClr w14:val="tx1"/>
            </w14:solidFill>
          </w14:textFill>
        </w:rPr>
        <w:t>）。</w:t>
      </w:r>
    </w:p>
    <w:p w14:paraId="67E5B350">
      <w:pPr>
        <w:pStyle w:val="4"/>
        <w:rPr>
          <w:color w:val="000000" w:themeColor="text1"/>
          <w14:textFill>
            <w14:solidFill>
              <w14:schemeClr w14:val="tx1"/>
            </w14:solidFill>
          </w14:textFill>
        </w:rPr>
      </w:pPr>
      <w:bookmarkStart w:id="52" w:name="_Toc136878415"/>
      <w:bookmarkStart w:id="53" w:name="_Toc216620327"/>
      <w:bookmarkStart w:id="54" w:name="_Toc26909951"/>
      <w:bookmarkStart w:id="55" w:name="_Toc135090166"/>
      <w:bookmarkStart w:id="56" w:name="_Toc216103168"/>
      <w:bookmarkStart w:id="57" w:name="_Toc29131765"/>
      <w:r>
        <w:rPr>
          <w:color w:val="000000" w:themeColor="text1"/>
          <w14:textFill>
            <w14:solidFill>
              <w14:schemeClr w14:val="tx1"/>
            </w14:solidFill>
          </w14:textFill>
        </w:rPr>
        <w:t>项目相关技术文件及其他资料</w:t>
      </w:r>
      <w:bookmarkEnd w:id="52"/>
      <w:bookmarkEnd w:id="53"/>
      <w:bookmarkEnd w:id="54"/>
      <w:bookmarkEnd w:id="55"/>
      <w:bookmarkEnd w:id="56"/>
      <w:bookmarkEnd w:id="57"/>
    </w:p>
    <w:p w14:paraId="2ED5549C">
      <w:pPr>
        <w:numPr>
          <w:ilvl w:val="0"/>
          <w:numId w:val="9"/>
        </w:numPr>
        <w:ind w:left="0" w:firstLine="480"/>
        <w:rPr>
          <w:color w:val="000000" w:themeColor="text1"/>
          <w14:textFill>
            <w14:solidFill>
              <w14:schemeClr w14:val="tx1"/>
            </w14:solidFill>
          </w14:textFill>
        </w:rPr>
      </w:pPr>
      <w:r>
        <w:rPr>
          <w:color w:val="000000" w:themeColor="text1"/>
          <w14:textFill>
            <w14:solidFill>
              <w14:schemeClr w14:val="tx1"/>
            </w14:solidFill>
          </w14:textFill>
        </w:rPr>
        <w:t xml:space="preserve">环境影响评价委托书； </w:t>
      </w:r>
    </w:p>
    <w:p w14:paraId="06A4E478">
      <w:pPr>
        <w:numPr>
          <w:ilvl w:val="0"/>
          <w:numId w:val="9"/>
        </w:numPr>
        <w:ind w:left="0" w:firstLine="480"/>
        <w:rPr>
          <w:color w:val="000000" w:themeColor="text1"/>
          <w14:textFill>
            <w14:solidFill>
              <w14:schemeClr w14:val="tx1"/>
            </w14:solidFill>
          </w14:textFill>
        </w:rPr>
      </w:pPr>
      <w:r>
        <w:rPr>
          <w:color w:val="000000" w:themeColor="text1"/>
          <w14:textFill>
            <w14:solidFill>
              <w14:schemeClr w14:val="tx1"/>
            </w14:solidFill>
          </w14:textFill>
        </w:rPr>
        <w:t>项目工程可行性研究报告；</w:t>
      </w:r>
    </w:p>
    <w:p w14:paraId="5E35F43C">
      <w:pPr>
        <w:numPr>
          <w:ilvl w:val="0"/>
          <w:numId w:val="9"/>
        </w:numPr>
        <w:ind w:left="0" w:firstLine="480"/>
        <w:rPr>
          <w:color w:val="000000" w:themeColor="text1"/>
          <w14:textFill>
            <w14:solidFill>
              <w14:schemeClr w14:val="tx1"/>
            </w14:solidFill>
          </w14:textFill>
        </w:rPr>
      </w:pPr>
      <w:r>
        <w:rPr>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北部湾</w:t>
      </w:r>
      <w:r>
        <w:rPr>
          <w:color w:val="000000" w:themeColor="text1"/>
          <w14:textFill>
            <w14:solidFill>
              <w14:schemeClr w14:val="tx1"/>
            </w14:solidFill>
          </w14:textFill>
        </w:rPr>
        <w:t>港总体规划环境影响报告书》及其批复；</w:t>
      </w:r>
    </w:p>
    <w:p w14:paraId="70E0AD82">
      <w:pPr>
        <w:numPr>
          <w:ilvl w:val="0"/>
          <w:numId w:val="9"/>
        </w:numPr>
        <w:ind w:left="0" w:firstLine="480"/>
        <w:rPr>
          <w:color w:val="000000" w:themeColor="text1"/>
          <w14:textFill>
            <w14:solidFill>
              <w14:schemeClr w14:val="tx1"/>
            </w14:solidFill>
          </w14:textFill>
        </w:rPr>
      </w:pPr>
      <w:r>
        <w:rPr>
          <w:color w:val="000000" w:themeColor="text1"/>
          <w14:textFill>
            <w14:solidFill>
              <w14:schemeClr w14:val="tx1"/>
            </w14:solidFill>
          </w14:textFill>
        </w:rPr>
        <w:t>本项目环境质量现状监测报告；</w:t>
      </w:r>
    </w:p>
    <w:p w14:paraId="2987A305">
      <w:pPr>
        <w:numPr>
          <w:ilvl w:val="0"/>
          <w:numId w:val="9"/>
        </w:numPr>
        <w:ind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广西自贸区逸海港务有限责任公司</w:t>
      </w:r>
      <w:r>
        <w:rPr>
          <w:color w:val="000000" w:themeColor="text1"/>
          <w14:textFill>
            <w14:solidFill>
              <w14:schemeClr w14:val="tx1"/>
            </w14:solidFill>
          </w14:textFill>
        </w:rPr>
        <w:t>提供的其他有关技术资料。</w:t>
      </w:r>
    </w:p>
    <w:p w14:paraId="2361F1A9">
      <w:pPr>
        <w:pStyle w:val="5"/>
        <w:rPr>
          <w:color w:val="000000" w:themeColor="text1"/>
          <w14:textFill>
            <w14:solidFill>
              <w14:schemeClr w14:val="tx1"/>
            </w14:solidFill>
          </w14:textFill>
        </w:rPr>
      </w:pPr>
      <w:bookmarkStart w:id="58" w:name="_Toc216620328"/>
      <w:r>
        <w:rPr>
          <w:color w:val="000000" w:themeColor="text1"/>
          <w14:textFill>
            <w14:solidFill>
              <w14:schemeClr w14:val="tx1"/>
            </w14:solidFill>
          </w14:textFill>
        </w:rPr>
        <w:t>评价程序</w:t>
      </w:r>
      <w:bookmarkEnd w:id="58"/>
    </w:p>
    <w:p w14:paraId="5AD8B6A2">
      <w:pPr>
        <w:ind w:firstLine="480"/>
        <w:rPr>
          <w:color w:val="000000" w:themeColor="text1"/>
          <w14:textFill>
            <w14:solidFill>
              <w14:schemeClr w14:val="tx1"/>
            </w14:solidFill>
          </w14:textFill>
        </w:rPr>
      </w:pPr>
      <w:r>
        <w:rPr>
          <w:color w:val="000000" w:themeColor="text1"/>
          <w14:textFill>
            <w14:solidFill>
              <w14:schemeClr w14:val="tx1"/>
            </w14:solidFill>
          </w14:textFill>
        </w:rPr>
        <w:t>本项目评价工作程序见图1.2-1。</w:t>
      </w:r>
    </w:p>
    <w:p w14:paraId="132AC543">
      <w:pPr>
        <w:ind w:left="480" w:firstLine="0" w:firstLineChars="0"/>
        <w:jc w:val="center"/>
        <w:rPr>
          <w:color w:val="000000" w:themeColor="text1"/>
          <w14:textFill>
            <w14:solidFill>
              <w14:schemeClr w14:val="tx1"/>
            </w14:solidFill>
          </w14:textFill>
        </w:rPr>
      </w:pPr>
      <w:r>
        <w:rPr>
          <w:color w:val="000000" w:themeColor="text1"/>
          <w14:textFill>
            <w14:solidFill>
              <w14:schemeClr w14:val="tx1"/>
            </w14:solidFill>
          </w14:textFill>
        </w:rPr>
        <w:object>
          <v:shape id="_x0000_i1025" o:spt="75" type="#_x0000_t75" style="height:543pt;width:387pt;" o:ole="t" filled="f" o:preferrelative="t" stroked="f" coordsize="21600,21600">
            <v:path/>
            <v:fill on="f" focussize="0,0"/>
            <v:stroke on="f" joinstyle="miter"/>
            <v:imagedata r:id="rId47" o:title=""/>
            <o:lock v:ext="edit" aspectratio="f"/>
            <w10:wrap type="none"/>
            <w10:anchorlock/>
          </v:shape>
          <o:OLEObject Type="Embed" ProgID="Visio.Drawing.11" ShapeID="_x0000_i1025" DrawAspect="Content" ObjectID="_1468075725" r:id="rId46">
            <o:LockedField>false</o:LockedField>
          </o:OLEObject>
        </w:object>
      </w:r>
    </w:p>
    <w:p w14:paraId="39921D72">
      <w:pPr>
        <w:pStyle w:val="5"/>
        <w:rPr>
          <w:color w:val="000000" w:themeColor="text1"/>
          <w14:textFill>
            <w14:solidFill>
              <w14:schemeClr w14:val="tx1"/>
            </w14:solidFill>
          </w14:textFill>
        </w:rPr>
      </w:pPr>
      <w:bookmarkStart w:id="59" w:name="_Toc216620329"/>
      <w:r>
        <w:rPr>
          <w:color w:val="000000" w:themeColor="text1"/>
          <w14:textFill>
            <w14:solidFill>
              <w14:schemeClr w14:val="tx1"/>
            </w14:solidFill>
          </w14:textFill>
        </w:rPr>
        <w:t>环境影响识别与评价因子筛选</w:t>
      </w:r>
      <w:bookmarkEnd w:id="59"/>
    </w:p>
    <w:p w14:paraId="1B765DE6">
      <w:pPr>
        <w:pStyle w:val="4"/>
        <w:rPr>
          <w:color w:val="000000" w:themeColor="text1"/>
          <w14:textFill>
            <w14:solidFill>
              <w14:schemeClr w14:val="tx1"/>
            </w14:solidFill>
          </w14:textFill>
        </w:rPr>
      </w:pPr>
      <w:bookmarkStart w:id="60" w:name="_Toc26909954"/>
      <w:bookmarkStart w:id="61" w:name="_Toc136878418"/>
      <w:bookmarkStart w:id="62" w:name="_Toc29131768"/>
      <w:bookmarkStart w:id="63" w:name="_Toc216103171"/>
      <w:bookmarkStart w:id="64" w:name="_Toc216620330"/>
      <w:bookmarkStart w:id="65" w:name="_Toc25436908"/>
      <w:bookmarkStart w:id="66" w:name="_Toc135090169"/>
      <w:r>
        <w:rPr>
          <w:color w:val="000000" w:themeColor="text1"/>
          <w14:textFill>
            <w14:solidFill>
              <w14:schemeClr w14:val="tx1"/>
            </w14:solidFill>
          </w14:textFill>
        </w:rPr>
        <w:t>环境影响因素识别</w:t>
      </w:r>
      <w:bookmarkEnd w:id="60"/>
      <w:bookmarkEnd w:id="61"/>
      <w:bookmarkEnd w:id="62"/>
      <w:bookmarkEnd w:id="63"/>
      <w:bookmarkEnd w:id="64"/>
      <w:bookmarkEnd w:id="65"/>
      <w:bookmarkEnd w:id="66"/>
    </w:p>
    <w:p w14:paraId="45B11203">
      <w:pPr>
        <w:ind w:firstLine="480"/>
        <w:rPr>
          <w:color w:val="000000" w:themeColor="text1"/>
          <w14:textFill>
            <w14:solidFill>
              <w14:schemeClr w14:val="tx1"/>
            </w14:solidFill>
          </w14:textFill>
        </w:rPr>
      </w:pPr>
      <w:r>
        <w:rPr>
          <w:color w:val="000000" w:themeColor="text1"/>
          <w14:textFill>
            <w14:solidFill>
              <w14:schemeClr w14:val="tx1"/>
            </w14:solidFill>
          </w14:textFill>
        </w:rPr>
        <w:t>本项目排放的污染物，凡是对空气、水体、声环境、生态环境等构成影响的因素均为影响因子。项目对环境的影响有不利与有利、长期与短期、可逆与不可逆及局部与广泛影响。不利影响主要集中表现在施工期及营运期，其中施工期影响基本上是短期与局部的。营运期影响基本上是长期与不可逆的。</w:t>
      </w:r>
    </w:p>
    <w:p w14:paraId="7EFD9A27">
      <w:pPr>
        <w:ind w:firstLine="480"/>
        <w:rPr>
          <w:color w:val="000000" w:themeColor="text1"/>
          <w14:textFill>
            <w14:solidFill>
              <w14:schemeClr w14:val="tx1"/>
            </w14:solidFill>
          </w14:textFill>
        </w:rPr>
      </w:pPr>
      <w:r>
        <w:rPr>
          <w:color w:val="000000" w:themeColor="text1"/>
          <w14:textFill>
            <w14:solidFill>
              <w14:schemeClr w14:val="tx1"/>
            </w14:solidFill>
          </w14:textFill>
        </w:rPr>
        <w:t>项目对环境可能造成的主要影响是：施工期场地内运输车辆、施工机械产生的噪声、扬尘，水上施工产生的悬浮物等；营运期主要是装卸废气、生活污水、噪声、工业固体废弃物等对环境的影响。项目在施工期对环境产生的影响是不利的，但此类影响是短期的；项目投入营运后，其在营运期内产生的各类污染物对环境的影响将通过采取有效的控制后，这些不利影响因素可有效削减。</w:t>
      </w:r>
    </w:p>
    <w:p w14:paraId="7777D3EC">
      <w:pPr>
        <w:pStyle w:val="7"/>
        <w:rPr>
          <w:color w:val="000000" w:themeColor="text1"/>
          <w14:textFill>
            <w14:solidFill>
              <w14:schemeClr w14:val="tx1"/>
            </w14:solidFill>
          </w14:textFill>
        </w:rPr>
      </w:pPr>
      <w:r>
        <w:rPr>
          <w:rFonts w:hint="eastAsia"/>
          <w:color w:val="000000" w:themeColor="text1"/>
          <w14:textFill>
            <w14:solidFill>
              <w14:schemeClr w14:val="tx1"/>
            </w14:solidFill>
          </w14:textFill>
        </w:rPr>
        <w:t>建设项目环境影响因子识别表</w:t>
      </w:r>
    </w:p>
    <w:tbl>
      <w:tblPr>
        <w:tblStyle w:val="43"/>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57" w:type="dxa"/>
          <w:bottom w:w="0" w:type="dxa"/>
          <w:right w:w="57" w:type="dxa"/>
        </w:tblCellMar>
      </w:tblPr>
      <w:tblGrid>
        <w:gridCol w:w="393"/>
        <w:gridCol w:w="649"/>
        <w:gridCol w:w="2389"/>
        <w:gridCol w:w="3202"/>
        <w:gridCol w:w="1123"/>
        <w:gridCol w:w="647"/>
        <w:gridCol w:w="783"/>
      </w:tblGrid>
      <w:tr w14:paraId="5A78BFE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jc w:val="center"/>
        </w:trPr>
        <w:tc>
          <w:tcPr>
            <w:tcW w:w="214" w:type="pct"/>
            <w:vAlign w:val="center"/>
          </w:tcPr>
          <w:p w14:paraId="1C4A9CE9">
            <w:pPr>
              <w:pStyle w:val="70"/>
              <w:rPr>
                <w:b/>
                <w:color w:val="000000" w:themeColor="text1"/>
                <w14:textFill>
                  <w14:solidFill>
                    <w14:schemeClr w14:val="tx1"/>
                  </w14:solidFill>
                </w14:textFill>
              </w:rPr>
            </w:pPr>
            <w:r>
              <w:rPr>
                <w:b/>
                <w:color w:val="000000" w:themeColor="text1"/>
                <w14:textFill>
                  <w14:solidFill>
                    <w14:schemeClr w14:val="tx1"/>
                  </w14:solidFill>
                </w14:textFill>
              </w:rPr>
              <w:t>阶段</w:t>
            </w:r>
          </w:p>
        </w:tc>
        <w:tc>
          <w:tcPr>
            <w:tcW w:w="353" w:type="pct"/>
            <w:vAlign w:val="center"/>
          </w:tcPr>
          <w:p w14:paraId="00FF308D">
            <w:pPr>
              <w:pStyle w:val="70"/>
              <w:rPr>
                <w:b/>
                <w:color w:val="000000" w:themeColor="text1"/>
                <w14:textFill>
                  <w14:solidFill>
                    <w14:schemeClr w14:val="tx1"/>
                  </w14:solidFill>
                </w14:textFill>
              </w:rPr>
            </w:pPr>
            <w:r>
              <w:rPr>
                <w:b/>
                <w:color w:val="000000" w:themeColor="text1"/>
                <w14:textFill>
                  <w14:solidFill>
                    <w14:schemeClr w14:val="tx1"/>
                  </w14:solidFill>
                </w14:textFill>
              </w:rPr>
              <w:t>种类</w:t>
            </w:r>
          </w:p>
        </w:tc>
        <w:tc>
          <w:tcPr>
            <w:tcW w:w="1300" w:type="pct"/>
            <w:vAlign w:val="center"/>
          </w:tcPr>
          <w:p w14:paraId="6420348A">
            <w:pPr>
              <w:pStyle w:val="70"/>
              <w:rPr>
                <w:b/>
                <w:color w:val="000000" w:themeColor="text1"/>
                <w14:textFill>
                  <w14:solidFill>
                    <w14:schemeClr w14:val="tx1"/>
                  </w14:solidFill>
                </w14:textFill>
              </w:rPr>
            </w:pPr>
            <w:r>
              <w:rPr>
                <w:b/>
                <w:color w:val="000000" w:themeColor="text1"/>
                <w14:textFill>
                  <w14:solidFill>
                    <w14:schemeClr w14:val="tx1"/>
                  </w14:solidFill>
                </w14:textFill>
              </w:rPr>
              <w:t>来源</w:t>
            </w:r>
          </w:p>
        </w:tc>
        <w:tc>
          <w:tcPr>
            <w:tcW w:w="1742" w:type="pct"/>
            <w:vAlign w:val="center"/>
          </w:tcPr>
          <w:p w14:paraId="59207E20">
            <w:pPr>
              <w:pStyle w:val="70"/>
              <w:rPr>
                <w:b/>
                <w:color w:val="000000" w:themeColor="text1"/>
                <w14:textFill>
                  <w14:solidFill>
                    <w14:schemeClr w14:val="tx1"/>
                  </w14:solidFill>
                </w14:textFill>
              </w:rPr>
            </w:pPr>
            <w:r>
              <w:rPr>
                <w:b/>
                <w:color w:val="000000" w:themeColor="text1"/>
                <w14:textFill>
                  <w14:solidFill>
                    <w14:schemeClr w14:val="tx1"/>
                  </w14:solidFill>
                </w14:textFill>
              </w:rPr>
              <w:t>主要污染因子</w:t>
            </w:r>
          </w:p>
        </w:tc>
        <w:tc>
          <w:tcPr>
            <w:tcW w:w="611" w:type="pct"/>
            <w:vAlign w:val="center"/>
          </w:tcPr>
          <w:p w14:paraId="2E3B0ACF">
            <w:pPr>
              <w:pStyle w:val="70"/>
              <w:rPr>
                <w:b/>
                <w:color w:val="000000" w:themeColor="text1"/>
                <w14:textFill>
                  <w14:solidFill>
                    <w14:schemeClr w14:val="tx1"/>
                  </w14:solidFill>
                </w14:textFill>
              </w:rPr>
            </w:pPr>
            <w:r>
              <w:rPr>
                <w:b/>
                <w:color w:val="000000" w:themeColor="text1"/>
                <w14:textFill>
                  <w14:solidFill>
                    <w14:schemeClr w14:val="tx1"/>
                  </w14:solidFill>
                </w14:textFill>
              </w:rPr>
              <w:t>排放位置</w:t>
            </w:r>
          </w:p>
        </w:tc>
        <w:tc>
          <w:tcPr>
            <w:tcW w:w="352" w:type="pct"/>
            <w:vAlign w:val="center"/>
          </w:tcPr>
          <w:p w14:paraId="091287DC">
            <w:pPr>
              <w:pStyle w:val="70"/>
              <w:rPr>
                <w:b/>
                <w:color w:val="000000" w:themeColor="text1"/>
                <w14:textFill>
                  <w14:solidFill>
                    <w14:schemeClr w14:val="tx1"/>
                  </w14:solidFill>
                </w14:textFill>
              </w:rPr>
            </w:pPr>
            <w:r>
              <w:rPr>
                <w:b/>
                <w:color w:val="000000" w:themeColor="text1"/>
                <w14:textFill>
                  <w14:solidFill>
                    <w14:schemeClr w14:val="tx1"/>
                  </w14:solidFill>
                </w14:textFill>
              </w:rPr>
              <w:t>污染程度</w:t>
            </w:r>
          </w:p>
        </w:tc>
        <w:tc>
          <w:tcPr>
            <w:tcW w:w="426" w:type="pct"/>
            <w:vAlign w:val="center"/>
          </w:tcPr>
          <w:p w14:paraId="09A08F5F">
            <w:pPr>
              <w:pStyle w:val="70"/>
              <w:rPr>
                <w:b/>
                <w:color w:val="000000" w:themeColor="text1"/>
                <w14:textFill>
                  <w14:solidFill>
                    <w14:schemeClr w14:val="tx1"/>
                  </w14:solidFill>
                </w14:textFill>
              </w:rPr>
            </w:pPr>
            <w:r>
              <w:rPr>
                <w:b/>
                <w:color w:val="000000" w:themeColor="text1"/>
                <w14:textFill>
                  <w14:solidFill>
                    <w14:schemeClr w14:val="tx1"/>
                  </w14:solidFill>
                </w14:textFill>
              </w:rPr>
              <w:t>污染</w:t>
            </w:r>
          </w:p>
          <w:p w14:paraId="1F21E47D">
            <w:pPr>
              <w:pStyle w:val="70"/>
              <w:rPr>
                <w:b/>
                <w:color w:val="000000" w:themeColor="text1"/>
                <w14:textFill>
                  <w14:solidFill>
                    <w14:schemeClr w14:val="tx1"/>
                  </w14:solidFill>
                </w14:textFill>
              </w:rPr>
            </w:pPr>
            <w:r>
              <w:rPr>
                <w:b/>
                <w:color w:val="000000" w:themeColor="text1"/>
                <w14:textFill>
                  <w14:solidFill>
                    <w14:schemeClr w14:val="tx1"/>
                  </w14:solidFill>
                </w14:textFill>
              </w:rPr>
              <w:t>特点</w:t>
            </w:r>
          </w:p>
        </w:tc>
      </w:tr>
      <w:tr w14:paraId="07B56B5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jc w:val="center"/>
        </w:trPr>
        <w:tc>
          <w:tcPr>
            <w:tcW w:w="214" w:type="pct"/>
            <w:vMerge w:val="restart"/>
            <w:vAlign w:val="center"/>
          </w:tcPr>
          <w:p w14:paraId="1F8C9FBF">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施工期</w:t>
            </w:r>
          </w:p>
        </w:tc>
        <w:tc>
          <w:tcPr>
            <w:tcW w:w="353" w:type="pct"/>
            <w:vAlign w:val="center"/>
          </w:tcPr>
          <w:p w14:paraId="3BA24250">
            <w:pPr>
              <w:pStyle w:val="70"/>
              <w:rPr>
                <w:color w:val="000000" w:themeColor="text1"/>
                <w14:textFill>
                  <w14:solidFill>
                    <w14:schemeClr w14:val="tx1"/>
                  </w14:solidFill>
                </w14:textFill>
              </w:rPr>
            </w:pPr>
            <w:r>
              <w:rPr>
                <w:color w:val="000000" w:themeColor="text1"/>
                <w14:textFill>
                  <w14:solidFill>
                    <w14:schemeClr w14:val="tx1"/>
                  </w14:solidFill>
                </w14:textFill>
              </w:rPr>
              <w:t>废气、扬尘</w:t>
            </w:r>
          </w:p>
        </w:tc>
        <w:tc>
          <w:tcPr>
            <w:tcW w:w="1300" w:type="pct"/>
            <w:vAlign w:val="center"/>
          </w:tcPr>
          <w:p w14:paraId="729BE404">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施工扬尘、施工机械废气、焊接烟尘和涂漆废气</w:t>
            </w:r>
          </w:p>
        </w:tc>
        <w:tc>
          <w:tcPr>
            <w:tcW w:w="1742" w:type="pct"/>
            <w:vAlign w:val="center"/>
          </w:tcPr>
          <w:p w14:paraId="7F487E08">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TSP、SO</w:t>
            </w:r>
            <w:r>
              <w:rPr>
                <w:rFonts w:hint="eastAsia"/>
                <w:color w:val="000000" w:themeColor="text1"/>
                <w:vertAlign w:val="subscript"/>
                <w14:textFill>
                  <w14:solidFill>
                    <w14:schemeClr w14:val="tx1"/>
                  </w14:solidFill>
                </w14:textFill>
              </w:rPr>
              <w:t>2</w:t>
            </w:r>
            <w:r>
              <w:rPr>
                <w:rFonts w:hint="eastAsia"/>
                <w:color w:val="000000" w:themeColor="text1"/>
                <w14:textFill>
                  <w14:solidFill>
                    <w14:schemeClr w14:val="tx1"/>
                  </w14:solidFill>
                </w14:textFill>
              </w:rPr>
              <w:t>、NO</w:t>
            </w:r>
            <w:r>
              <w:rPr>
                <w:rFonts w:hint="eastAsia"/>
                <w:color w:val="000000" w:themeColor="text1"/>
                <w:vertAlign w:val="subscript"/>
                <w14:textFill>
                  <w14:solidFill>
                    <w14:schemeClr w14:val="tx1"/>
                  </w14:solidFill>
                </w14:textFill>
              </w:rPr>
              <w:t>X</w:t>
            </w:r>
            <w:r>
              <w:rPr>
                <w:rFonts w:hint="eastAsia"/>
                <w:color w:val="000000" w:themeColor="text1"/>
                <w14:textFill>
                  <w14:solidFill>
                    <w14:schemeClr w14:val="tx1"/>
                  </w14:solidFill>
                </w14:textFill>
              </w:rPr>
              <w:t>、焊接烟尘、涂漆废气</w:t>
            </w:r>
          </w:p>
        </w:tc>
        <w:tc>
          <w:tcPr>
            <w:tcW w:w="611" w:type="pct"/>
            <w:vMerge w:val="restart"/>
            <w:vAlign w:val="center"/>
          </w:tcPr>
          <w:p w14:paraId="5FBFC16A">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施工区</w:t>
            </w:r>
          </w:p>
        </w:tc>
        <w:tc>
          <w:tcPr>
            <w:tcW w:w="352" w:type="pct"/>
            <w:vAlign w:val="center"/>
          </w:tcPr>
          <w:p w14:paraId="3B8B1A83">
            <w:pPr>
              <w:pStyle w:val="70"/>
              <w:rPr>
                <w:color w:val="000000" w:themeColor="text1"/>
                <w14:textFill>
                  <w14:solidFill>
                    <w14:schemeClr w14:val="tx1"/>
                  </w14:solidFill>
                </w14:textFill>
              </w:rPr>
            </w:pPr>
            <w:r>
              <w:rPr>
                <w:color w:val="000000" w:themeColor="text1"/>
                <w14:textFill>
                  <w14:solidFill>
                    <w14:schemeClr w14:val="tx1"/>
                  </w14:solidFill>
                </w14:textFill>
              </w:rPr>
              <w:t>中等</w:t>
            </w:r>
          </w:p>
        </w:tc>
        <w:tc>
          <w:tcPr>
            <w:tcW w:w="426" w:type="pct"/>
            <w:vAlign w:val="center"/>
          </w:tcPr>
          <w:p w14:paraId="7F3CE99C">
            <w:pPr>
              <w:pStyle w:val="70"/>
              <w:rPr>
                <w:color w:val="000000" w:themeColor="text1"/>
                <w14:textFill>
                  <w14:solidFill>
                    <w14:schemeClr w14:val="tx1"/>
                  </w14:solidFill>
                </w14:textFill>
              </w:rPr>
            </w:pPr>
            <w:r>
              <w:rPr>
                <w:color w:val="000000" w:themeColor="text1"/>
                <w14:textFill>
                  <w14:solidFill>
                    <w14:schemeClr w14:val="tx1"/>
                  </w14:solidFill>
                </w14:textFill>
              </w:rPr>
              <w:t>间断性</w:t>
            </w:r>
          </w:p>
        </w:tc>
      </w:tr>
      <w:tr w14:paraId="11FF02A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jc w:val="center"/>
        </w:trPr>
        <w:tc>
          <w:tcPr>
            <w:tcW w:w="0" w:type="auto"/>
            <w:vMerge w:val="continue"/>
            <w:vAlign w:val="center"/>
          </w:tcPr>
          <w:p w14:paraId="6A09D926">
            <w:pPr>
              <w:pStyle w:val="70"/>
              <w:rPr>
                <w:color w:val="000000" w:themeColor="text1"/>
                <w14:textFill>
                  <w14:solidFill>
                    <w14:schemeClr w14:val="tx1"/>
                  </w14:solidFill>
                </w14:textFill>
              </w:rPr>
            </w:pPr>
          </w:p>
        </w:tc>
        <w:tc>
          <w:tcPr>
            <w:tcW w:w="353" w:type="pct"/>
            <w:vMerge w:val="restart"/>
            <w:vAlign w:val="center"/>
          </w:tcPr>
          <w:p w14:paraId="50554A62">
            <w:pPr>
              <w:pStyle w:val="70"/>
              <w:rPr>
                <w:color w:val="000000" w:themeColor="text1"/>
                <w14:textFill>
                  <w14:solidFill>
                    <w14:schemeClr w14:val="tx1"/>
                  </w14:solidFill>
                </w14:textFill>
              </w:rPr>
            </w:pPr>
            <w:r>
              <w:rPr>
                <w:color w:val="000000" w:themeColor="text1"/>
                <w14:textFill>
                  <w14:solidFill>
                    <w14:schemeClr w14:val="tx1"/>
                  </w14:solidFill>
                </w14:textFill>
              </w:rPr>
              <w:t>废水</w:t>
            </w:r>
          </w:p>
        </w:tc>
        <w:tc>
          <w:tcPr>
            <w:tcW w:w="1300" w:type="pct"/>
            <w:vAlign w:val="center"/>
          </w:tcPr>
          <w:p w14:paraId="0E1E8A08">
            <w:pPr>
              <w:pStyle w:val="70"/>
              <w:rPr>
                <w:color w:val="000000" w:themeColor="text1"/>
                <w14:textFill>
                  <w14:solidFill>
                    <w14:schemeClr w14:val="tx1"/>
                  </w14:solidFill>
                </w14:textFill>
              </w:rPr>
            </w:pPr>
            <w:r>
              <w:rPr>
                <w:color w:val="000000" w:themeColor="text1"/>
                <w14:textFill>
                  <w14:solidFill>
                    <w14:schemeClr w14:val="tx1"/>
                  </w14:solidFill>
                </w14:textFill>
              </w:rPr>
              <w:t>生活污水、施工废水</w:t>
            </w:r>
          </w:p>
        </w:tc>
        <w:tc>
          <w:tcPr>
            <w:tcW w:w="1742" w:type="pct"/>
            <w:vAlign w:val="center"/>
          </w:tcPr>
          <w:p w14:paraId="414C30A3">
            <w:pPr>
              <w:pStyle w:val="70"/>
              <w:rPr>
                <w:color w:val="000000" w:themeColor="text1"/>
                <w14:textFill>
                  <w14:solidFill>
                    <w14:schemeClr w14:val="tx1"/>
                  </w14:solidFill>
                </w14:textFill>
              </w:rPr>
            </w:pPr>
            <w:r>
              <w:rPr>
                <w:color w:val="000000" w:themeColor="text1"/>
                <w14:textFill>
                  <w14:solidFill>
                    <w14:schemeClr w14:val="tx1"/>
                  </w14:solidFill>
                </w14:textFill>
              </w:rPr>
              <w:t>BOD</w:t>
            </w:r>
            <w:r>
              <w:rPr>
                <w:color w:val="000000" w:themeColor="text1"/>
                <w:vertAlign w:val="subscript"/>
                <w14:textFill>
                  <w14:solidFill>
                    <w14:schemeClr w14:val="tx1"/>
                  </w14:solidFill>
                </w14:textFill>
              </w:rPr>
              <w:t>5</w:t>
            </w:r>
            <w:r>
              <w:rPr>
                <w:color w:val="000000" w:themeColor="text1"/>
                <w14:textFill>
                  <w14:solidFill>
                    <w14:schemeClr w14:val="tx1"/>
                  </w14:solidFill>
                </w14:textFill>
              </w:rPr>
              <w:t>、COD、NH</w:t>
            </w:r>
            <w:r>
              <w:rPr>
                <w:color w:val="000000" w:themeColor="text1"/>
                <w:vertAlign w:val="subscript"/>
                <w14:textFill>
                  <w14:solidFill>
                    <w14:schemeClr w14:val="tx1"/>
                  </w14:solidFill>
                </w14:textFill>
              </w:rPr>
              <w:t>3</w:t>
            </w:r>
            <w:r>
              <w:rPr>
                <w:color w:val="000000" w:themeColor="text1"/>
                <w14:textFill>
                  <w14:solidFill>
                    <w14:schemeClr w14:val="tx1"/>
                  </w14:solidFill>
                </w14:textFill>
              </w:rPr>
              <w:t>-N</w:t>
            </w:r>
          </w:p>
        </w:tc>
        <w:tc>
          <w:tcPr>
            <w:tcW w:w="0" w:type="auto"/>
            <w:vMerge w:val="continue"/>
            <w:vAlign w:val="center"/>
          </w:tcPr>
          <w:p w14:paraId="562619DE">
            <w:pPr>
              <w:pStyle w:val="70"/>
              <w:rPr>
                <w:color w:val="000000" w:themeColor="text1"/>
                <w14:textFill>
                  <w14:solidFill>
                    <w14:schemeClr w14:val="tx1"/>
                  </w14:solidFill>
                </w14:textFill>
              </w:rPr>
            </w:pPr>
          </w:p>
        </w:tc>
        <w:tc>
          <w:tcPr>
            <w:tcW w:w="352" w:type="pct"/>
            <w:vAlign w:val="center"/>
          </w:tcPr>
          <w:p w14:paraId="3F2D7246">
            <w:pPr>
              <w:pStyle w:val="70"/>
              <w:rPr>
                <w:color w:val="000000" w:themeColor="text1"/>
                <w14:textFill>
                  <w14:solidFill>
                    <w14:schemeClr w14:val="tx1"/>
                  </w14:solidFill>
                </w14:textFill>
              </w:rPr>
            </w:pPr>
            <w:r>
              <w:rPr>
                <w:color w:val="000000" w:themeColor="text1"/>
                <w14:textFill>
                  <w14:solidFill>
                    <w14:schemeClr w14:val="tx1"/>
                  </w14:solidFill>
                </w14:textFill>
              </w:rPr>
              <w:t>轻度</w:t>
            </w:r>
          </w:p>
        </w:tc>
        <w:tc>
          <w:tcPr>
            <w:tcW w:w="426" w:type="pct"/>
            <w:vAlign w:val="center"/>
          </w:tcPr>
          <w:p w14:paraId="1B7B9465">
            <w:pPr>
              <w:pStyle w:val="70"/>
              <w:rPr>
                <w:color w:val="000000" w:themeColor="text1"/>
                <w14:textFill>
                  <w14:solidFill>
                    <w14:schemeClr w14:val="tx1"/>
                  </w14:solidFill>
                </w14:textFill>
              </w:rPr>
            </w:pPr>
            <w:r>
              <w:rPr>
                <w:color w:val="000000" w:themeColor="text1"/>
                <w14:textFill>
                  <w14:solidFill>
                    <w14:schemeClr w14:val="tx1"/>
                  </w14:solidFill>
                </w14:textFill>
              </w:rPr>
              <w:t>间断性</w:t>
            </w:r>
          </w:p>
        </w:tc>
      </w:tr>
      <w:tr w14:paraId="428B532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jc w:val="center"/>
        </w:trPr>
        <w:tc>
          <w:tcPr>
            <w:tcW w:w="0" w:type="auto"/>
            <w:vMerge w:val="continue"/>
            <w:vAlign w:val="center"/>
          </w:tcPr>
          <w:p w14:paraId="549CF242">
            <w:pPr>
              <w:pStyle w:val="70"/>
              <w:rPr>
                <w:color w:val="000000" w:themeColor="text1"/>
                <w14:textFill>
                  <w14:solidFill>
                    <w14:schemeClr w14:val="tx1"/>
                  </w14:solidFill>
                </w14:textFill>
              </w:rPr>
            </w:pPr>
          </w:p>
        </w:tc>
        <w:tc>
          <w:tcPr>
            <w:tcW w:w="0" w:type="auto"/>
            <w:vMerge w:val="continue"/>
            <w:vAlign w:val="center"/>
          </w:tcPr>
          <w:p w14:paraId="57126D6F">
            <w:pPr>
              <w:pStyle w:val="70"/>
              <w:rPr>
                <w:color w:val="000000" w:themeColor="text1"/>
                <w14:textFill>
                  <w14:solidFill>
                    <w14:schemeClr w14:val="tx1"/>
                  </w14:solidFill>
                </w14:textFill>
              </w:rPr>
            </w:pPr>
          </w:p>
        </w:tc>
        <w:tc>
          <w:tcPr>
            <w:tcW w:w="1300" w:type="pct"/>
            <w:vAlign w:val="center"/>
          </w:tcPr>
          <w:p w14:paraId="7740C0AC">
            <w:pPr>
              <w:pStyle w:val="70"/>
              <w:rPr>
                <w:color w:val="000000" w:themeColor="text1"/>
                <w14:textFill>
                  <w14:solidFill>
                    <w14:schemeClr w14:val="tx1"/>
                  </w14:solidFill>
                </w14:textFill>
              </w:rPr>
            </w:pPr>
            <w:r>
              <w:rPr>
                <w:color w:val="000000" w:themeColor="text1"/>
                <w14:textFill>
                  <w14:solidFill>
                    <w14:schemeClr w14:val="tx1"/>
                  </w14:solidFill>
                </w14:textFill>
              </w:rPr>
              <w:t>试压</w:t>
            </w:r>
            <w:r>
              <w:rPr>
                <w:rFonts w:hint="eastAsia"/>
                <w:color w:val="000000" w:themeColor="text1"/>
                <w14:textFill>
                  <w14:solidFill>
                    <w14:schemeClr w14:val="tx1"/>
                  </w14:solidFill>
                </w14:textFill>
              </w:rPr>
              <w:t>废水</w:t>
            </w:r>
          </w:p>
        </w:tc>
        <w:tc>
          <w:tcPr>
            <w:tcW w:w="1742" w:type="pct"/>
            <w:vAlign w:val="center"/>
          </w:tcPr>
          <w:p w14:paraId="29D54244">
            <w:pPr>
              <w:pStyle w:val="70"/>
              <w:rPr>
                <w:color w:val="000000" w:themeColor="text1"/>
                <w14:textFill>
                  <w14:solidFill>
                    <w14:schemeClr w14:val="tx1"/>
                  </w14:solidFill>
                </w14:textFill>
              </w:rPr>
            </w:pPr>
            <w:r>
              <w:rPr>
                <w:color w:val="000000" w:themeColor="text1"/>
                <w14:textFill>
                  <w14:solidFill>
                    <w14:schemeClr w14:val="tx1"/>
                  </w14:solidFill>
                </w14:textFill>
              </w:rPr>
              <w:t>少量铁锈、泥沙</w:t>
            </w:r>
          </w:p>
        </w:tc>
        <w:tc>
          <w:tcPr>
            <w:tcW w:w="0" w:type="auto"/>
            <w:vMerge w:val="continue"/>
            <w:vAlign w:val="center"/>
          </w:tcPr>
          <w:p w14:paraId="15475897">
            <w:pPr>
              <w:pStyle w:val="70"/>
              <w:rPr>
                <w:color w:val="000000" w:themeColor="text1"/>
                <w14:textFill>
                  <w14:solidFill>
                    <w14:schemeClr w14:val="tx1"/>
                  </w14:solidFill>
                </w14:textFill>
              </w:rPr>
            </w:pPr>
          </w:p>
        </w:tc>
        <w:tc>
          <w:tcPr>
            <w:tcW w:w="352" w:type="pct"/>
            <w:vAlign w:val="center"/>
          </w:tcPr>
          <w:p w14:paraId="2C0143D9">
            <w:pPr>
              <w:pStyle w:val="70"/>
              <w:rPr>
                <w:color w:val="000000" w:themeColor="text1"/>
                <w14:textFill>
                  <w14:solidFill>
                    <w14:schemeClr w14:val="tx1"/>
                  </w14:solidFill>
                </w14:textFill>
              </w:rPr>
            </w:pPr>
            <w:r>
              <w:rPr>
                <w:color w:val="000000" w:themeColor="text1"/>
                <w14:textFill>
                  <w14:solidFill>
                    <w14:schemeClr w14:val="tx1"/>
                  </w14:solidFill>
                </w14:textFill>
              </w:rPr>
              <w:t>轻度</w:t>
            </w:r>
          </w:p>
        </w:tc>
        <w:tc>
          <w:tcPr>
            <w:tcW w:w="426" w:type="pct"/>
            <w:vAlign w:val="center"/>
          </w:tcPr>
          <w:p w14:paraId="277206B7">
            <w:pPr>
              <w:pStyle w:val="70"/>
              <w:rPr>
                <w:color w:val="000000" w:themeColor="text1"/>
                <w14:textFill>
                  <w14:solidFill>
                    <w14:schemeClr w14:val="tx1"/>
                  </w14:solidFill>
                </w14:textFill>
              </w:rPr>
            </w:pPr>
            <w:r>
              <w:rPr>
                <w:color w:val="000000" w:themeColor="text1"/>
                <w14:textFill>
                  <w14:solidFill>
                    <w14:schemeClr w14:val="tx1"/>
                  </w14:solidFill>
                </w14:textFill>
              </w:rPr>
              <w:t>间断性</w:t>
            </w:r>
          </w:p>
        </w:tc>
      </w:tr>
      <w:tr w14:paraId="67CB419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jc w:val="center"/>
        </w:trPr>
        <w:tc>
          <w:tcPr>
            <w:tcW w:w="0" w:type="auto"/>
            <w:vMerge w:val="continue"/>
            <w:vAlign w:val="center"/>
          </w:tcPr>
          <w:p w14:paraId="33A8318F">
            <w:pPr>
              <w:pStyle w:val="70"/>
              <w:rPr>
                <w:color w:val="000000" w:themeColor="text1"/>
                <w14:textFill>
                  <w14:solidFill>
                    <w14:schemeClr w14:val="tx1"/>
                  </w14:solidFill>
                </w14:textFill>
              </w:rPr>
            </w:pPr>
          </w:p>
        </w:tc>
        <w:tc>
          <w:tcPr>
            <w:tcW w:w="0" w:type="auto"/>
            <w:vMerge w:val="continue"/>
            <w:vAlign w:val="center"/>
          </w:tcPr>
          <w:p w14:paraId="502B8675">
            <w:pPr>
              <w:pStyle w:val="70"/>
              <w:rPr>
                <w:color w:val="000000" w:themeColor="text1"/>
                <w14:textFill>
                  <w14:solidFill>
                    <w14:schemeClr w14:val="tx1"/>
                  </w14:solidFill>
                </w14:textFill>
              </w:rPr>
            </w:pPr>
          </w:p>
        </w:tc>
        <w:tc>
          <w:tcPr>
            <w:tcW w:w="1300" w:type="pct"/>
            <w:vAlign w:val="center"/>
          </w:tcPr>
          <w:p w14:paraId="17F0EFEA">
            <w:pPr>
              <w:pStyle w:val="70"/>
              <w:rPr>
                <w:color w:val="000000" w:themeColor="text1"/>
                <w14:textFill>
                  <w14:solidFill>
                    <w14:schemeClr w14:val="tx1"/>
                  </w14:solidFill>
                </w14:textFill>
              </w:rPr>
            </w:pPr>
            <w:r>
              <w:rPr>
                <w:color w:val="000000" w:themeColor="text1"/>
                <w14:textFill>
                  <w14:solidFill>
                    <w14:schemeClr w14:val="tx1"/>
                  </w14:solidFill>
                </w14:textFill>
              </w:rPr>
              <w:t>船舶污水</w:t>
            </w:r>
          </w:p>
        </w:tc>
        <w:tc>
          <w:tcPr>
            <w:tcW w:w="1742" w:type="pct"/>
            <w:vAlign w:val="center"/>
          </w:tcPr>
          <w:p w14:paraId="76533C56">
            <w:pPr>
              <w:pStyle w:val="70"/>
              <w:rPr>
                <w:color w:val="000000" w:themeColor="text1"/>
                <w14:textFill>
                  <w14:solidFill>
                    <w14:schemeClr w14:val="tx1"/>
                  </w14:solidFill>
                </w14:textFill>
              </w:rPr>
            </w:pPr>
            <w:r>
              <w:rPr>
                <w:color w:val="000000" w:themeColor="text1"/>
                <w14:textFill>
                  <w14:solidFill>
                    <w14:schemeClr w14:val="tx1"/>
                  </w14:solidFill>
                </w14:textFill>
              </w:rPr>
              <w:t>石油类</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SS、COD、BOD</w:t>
            </w:r>
            <w:r>
              <w:rPr>
                <w:color w:val="000000" w:themeColor="text1"/>
                <w:vertAlign w:val="subscript"/>
                <w14:textFill>
                  <w14:solidFill>
                    <w14:schemeClr w14:val="tx1"/>
                  </w14:solidFill>
                </w14:textFill>
              </w:rPr>
              <w:t>5</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NH</w:t>
            </w:r>
            <w:r>
              <w:rPr>
                <w:color w:val="000000" w:themeColor="text1"/>
                <w:vertAlign w:val="subscript"/>
                <w14:textFill>
                  <w14:solidFill>
                    <w14:schemeClr w14:val="tx1"/>
                  </w14:solidFill>
                </w14:textFill>
              </w:rPr>
              <w:t>3</w:t>
            </w:r>
            <w:r>
              <w:rPr>
                <w:color w:val="000000" w:themeColor="text1"/>
                <w14:textFill>
                  <w14:solidFill>
                    <w14:schemeClr w14:val="tx1"/>
                  </w14:solidFill>
                </w14:textFill>
              </w:rPr>
              <w:t>-N</w:t>
            </w:r>
          </w:p>
        </w:tc>
        <w:tc>
          <w:tcPr>
            <w:tcW w:w="0" w:type="auto"/>
            <w:vMerge w:val="continue"/>
            <w:vAlign w:val="center"/>
          </w:tcPr>
          <w:p w14:paraId="1604F2CF">
            <w:pPr>
              <w:pStyle w:val="70"/>
              <w:rPr>
                <w:color w:val="000000" w:themeColor="text1"/>
                <w14:textFill>
                  <w14:solidFill>
                    <w14:schemeClr w14:val="tx1"/>
                  </w14:solidFill>
                </w14:textFill>
              </w:rPr>
            </w:pPr>
          </w:p>
        </w:tc>
        <w:tc>
          <w:tcPr>
            <w:tcW w:w="352" w:type="pct"/>
            <w:vAlign w:val="center"/>
          </w:tcPr>
          <w:p w14:paraId="01017FB9">
            <w:pPr>
              <w:pStyle w:val="70"/>
              <w:rPr>
                <w:color w:val="000000" w:themeColor="text1"/>
                <w14:textFill>
                  <w14:solidFill>
                    <w14:schemeClr w14:val="tx1"/>
                  </w14:solidFill>
                </w14:textFill>
              </w:rPr>
            </w:pPr>
            <w:r>
              <w:rPr>
                <w:color w:val="000000" w:themeColor="text1"/>
                <w14:textFill>
                  <w14:solidFill>
                    <w14:schemeClr w14:val="tx1"/>
                  </w14:solidFill>
                </w14:textFill>
              </w:rPr>
              <w:t>轻度</w:t>
            </w:r>
          </w:p>
        </w:tc>
        <w:tc>
          <w:tcPr>
            <w:tcW w:w="426" w:type="pct"/>
            <w:vAlign w:val="center"/>
          </w:tcPr>
          <w:p w14:paraId="0C291588">
            <w:pPr>
              <w:pStyle w:val="70"/>
              <w:rPr>
                <w:color w:val="000000" w:themeColor="text1"/>
                <w14:textFill>
                  <w14:solidFill>
                    <w14:schemeClr w14:val="tx1"/>
                  </w14:solidFill>
                </w14:textFill>
              </w:rPr>
            </w:pPr>
            <w:r>
              <w:rPr>
                <w:color w:val="000000" w:themeColor="text1"/>
                <w14:textFill>
                  <w14:solidFill>
                    <w14:schemeClr w14:val="tx1"/>
                  </w14:solidFill>
                </w14:textFill>
              </w:rPr>
              <w:t>间断性</w:t>
            </w:r>
          </w:p>
        </w:tc>
      </w:tr>
      <w:tr w14:paraId="22243D8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jc w:val="center"/>
        </w:trPr>
        <w:tc>
          <w:tcPr>
            <w:tcW w:w="0" w:type="auto"/>
            <w:vMerge w:val="continue"/>
            <w:vAlign w:val="center"/>
          </w:tcPr>
          <w:p w14:paraId="65F1FADF">
            <w:pPr>
              <w:pStyle w:val="70"/>
              <w:rPr>
                <w:color w:val="000000" w:themeColor="text1"/>
                <w14:textFill>
                  <w14:solidFill>
                    <w14:schemeClr w14:val="tx1"/>
                  </w14:solidFill>
                </w14:textFill>
              </w:rPr>
            </w:pPr>
          </w:p>
        </w:tc>
        <w:tc>
          <w:tcPr>
            <w:tcW w:w="353" w:type="pct"/>
            <w:vAlign w:val="center"/>
          </w:tcPr>
          <w:p w14:paraId="22689607">
            <w:pPr>
              <w:pStyle w:val="70"/>
              <w:rPr>
                <w:color w:val="000000" w:themeColor="text1"/>
                <w14:textFill>
                  <w14:solidFill>
                    <w14:schemeClr w14:val="tx1"/>
                  </w14:solidFill>
                </w14:textFill>
              </w:rPr>
            </w:pPr>
            <w:r>
              <w:rPr>
                <w:color w:val="000000" w:themeColor="text1"/>
                <w14:textFill>
                  <w14:solidFill>
                    <w14:schemeClr w14:val="tx1"/>
                  </w14:solidFill>
                </w14:textFill>
              </w:rPr>
              <w:t>噪声</w:t>
            </w:r>
          </w:p>
        </w:tc>
        <w:tc>
          <w:tcPr>
            <w:tcW w:w="1300" w:type="pct"/>
            <w:vAlign w:val="center"/>
          </w:tcPr>
          <w:p w14:paraId="6B4B9C90">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施工船舶</w:t>
            </w:r>
            <w:r>
              <w:rPr>
                <w:color w:val="000000" w:themeColor="text1"/>
                <w14:textFill>
                  <w14:solidFill>
                    <w14:schemeClr w14:val="tx1"/>
                  </w14:solidFill>
                </w14:textFill>
              </w:rPr>
              <w:t>、施工机械</w:t>
            </w:r>
          </w:p>
        </w:tc>
        <w:tc>
          <w:tcPr>
            <w:tcW w:w="1742" w:type="pct"/>
            <w:vAlign w:val="center"/>
          </w:tcPr>
          <w:p w14:paraId="213CB4D7">
            <w:pPr>
              <w:pStyle w:val="70"/>
              <w:rPr>
                <w:color w:val="000000" w:themeColor="text1"/>
                <w14:textFill>
                  <w14:solidFill>
                    <w14:schemeClr w14:val="tx1"/>
                  </w14:solidFill>
                </w14:textFill>
              </w:rPr>
            </w:pPr>
            <w:r>
              <w:rPr>
                <w:color w:val="000000" w:themeColor="text1"/>
                <w14:textFill>
                  <w14:solidFill>
                    <w14:schemeClr w14:val="tx1"/>
                  </w14:solidFill>
                </w14:textFill>
              </w:rPr>
              <w:t>噪声</w:t>
            </w:r>
          </w:p>
        </w:tc>
        <w:tc>
          <w:tcPr>
            <w:tcW w:w="0" w:type="auto"/>
            <w:vMerge w:val="continue"/>
            <w:vAlign w:val="center"/>
          </w:tcPr>
          <w:p w14:paraId="6591D421">
            <w:pPr>
              <w:pStyle w:val="70"/>
              <w:rPr>
                <w:color w:val="000000" w:themeColor="text1"/>
                <w14:textFill>
                  <w14:solidFill>
                    <w14:schemeClr w14:val="tx1"/>
                  </w14:solidFill>
                </w14:textFill>
              </w:rPr>
            </w:pPr>
          </w:p>
        </w:tc>
        <w:tc>
          <w:tcPr>
            <w:tcW w:w="352" w:type="pct"/>
            <w:vAlign w:val="center"/>
          </w:tcPr>
          <w:p w14:paraId="5F0015DA">
            <w:pPr>
              <w:pStyle w:val="70"/>
              <w:rPr>
                <w:color w:val="000000" w:themeColor="text1"/>
                <w14:textFill>
                  <w14:solidFill>
                    <w14:schemeClr w14:val="tx1"/>
                  </w14:solidFill>
                </w14:textFill>
              </w:rPr>
            </w:pPr>
            <w:r>
              <w:rPr>
                <w:color w:val="000000" w:themeColor="text1"/>
                <w14:textFill>
                  <w14:solidFill>
                    <w14:schemeClr w14:val="tx1"/>
                  </w14:solidFill>
                </w14:textFill>
              </w:rPr>
              <w:t>中等</w:t>
            </w:r>
          </w:p>
        </w:tc>
        <w:tc>
          <w:tcPr>
            <w:tcW w:w="426" w:type="pct"/>
            <w:vAlign w:val="center"/>
          </w:tcPr>
          <w:p w14:paraId="6C4389AB">
            <w:pPr>
              <w:pStyle w:val="70"/>
              <w:rPr>
                <w:color w:val="000000" w:themeColor="text1"/>
                <w14:textFill>
                  <w14:solidFill>
                    <w14:schemeClr w14:val="tx1"/>
                  </w14:solidFill>
                </w14:textFill>
              </w:rPr>
            </w:pPr>
            <w:r>
              <w:rPr>
                <w:color w:val="000000" w:themeColor="text1"/>
                <w14:textFill>
                  <w14:solidFill>
                    <w14:schemeClr w14:val="tx1"/>
                  </w14:solidFill>
                </w14:textFill>
              </w:rPr>
              <w:t>间断性</w:t>
            </w:r>
          </w:p>
        </w:tc>
      </w:tr>
      <w:tr w14:paraId="2A499F9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321" w:hRule="atLeast"/>
          <w:jc w:val="center"/>
        </w:trPr>
        <w:tc>
          <w:tcPr>
            <w:tcW w:w="0" w:type="auto"/>
            <w:vMerge w:val="continue"/>
            <w:vAlign w:val="center"/>
          </w:tcPr>
          <w:p w14:paraId="23FA5E79">
            <w:pPr>
              <w:pStyle w:val="70"/>
              <w:rPr>
                <w:color w:val="000000" w:themeColor="text1"/>
                <w14:textFill>
                  <w14:solidFill>
                    <w14:schemeClr w14:val="tx1"/>
                  </w14:solidFill>
                </w14:textFill>
              </w:rPr>
            </w:pPr>
          </w:p>
        </w:tc>
        <w:tc>
          <w:tcPr>
            <w:tcW w:w="353" w:type="pct"/>
            <w:vMerge w:val="restart"/>
            <w:vAlign w:val="center"/>
          </w:tcPr>
          <w:p w14:paraId="3ED6406C">
            <w:pPr>
              <w:pStyle w:val="70"/>
              <w:rPr>
                <w:color w:val="000000" w:themeColor="text1"/>
                <w14:textFill>
                  <w14:solidFill>
                    <w14:schemeClr w14:val="tx1"/>
                  </w14:solidFill>
                </w14:textFill>
              </w:rPr>
            </w:pPr>
            <w:r>
              <w:rPr>
                <w:color w:val="000000" w:themeColor="text1"/>
                <w14:textFill>
                  <w14:solidFill>
                    <w14:schemeClr w14:val="tx1"/>
                  </w14:solidFill>
                </w14:textFill>
              </w:rPr>
              <w:t>固体废物</w:t>
            </w:r>
          </w:p>
        </w:tc>
        <w:tc>
          <w:tcPr>
            <w:tcW w:w="1300" w:type="pct"/>
            <w:vAlign w:val="center"/>
          </w:tcPr>
          <w:p w14:paraId="687B363C">
            <w:pPr>
              <w:pStyle w:val="70"/>
              <w:rPr>
                <w:color w:val="000000" w:themeColor="text1"/>
                <w14:textFill>
                  <w14:solidFill>
                    <w14:schemeClr w14:val="tx1"/>
                  </w14:solidFill>
                </w14:textFill>
              </w:rPr>
            </w:pPr>
            <w:r>
              <w:rPr>
                <w:color w:val="000000" w:themeColor="text1"/>
                <w14:textFill>
                  <w14:solidFill>
                    <w14:schemeClr w14:val="tx1"/>
                  </w14:solidFill>
                </w14:textFill>
              </w:rPr>
              <w:t>施工人员生活垃圾</w:t>
            </w:r>
            <w:r>
              <w:rPr>
                <w:rFonts w:hint="eastAsia"/>
                <w:color w:val="000000" w:themeColor="text1"/>
                <w14:textFill>
                  <w14:solidFill>
                    <w14:schemeClr w14:val="tx1"/>
                  </w14:solidFill>
                </w14:textFill>
              </w:rPr>
              <w:t>、施工船舶垃圾</w:t>
            </w:r>
          </w:p>
        </w:tc>
        <w:tc>
          <w:tcPr>
            <w:tcW w:w="1742" w:type="pct"/>
            <w:vAlign w:val="center"/>
          </w:tcPr>
          <w:p w14:paraId="78148EB3">
            <w:pPr>
              <w:pStyle w:val="70"/>
              <w:rPr>
                <w:color w:val="000000" w:themeColor="text1"/>
                <w14:textFill>
                  <w14:solidFill>
                    <w14:schemeClr w14:val="tx1"/>
                  </w14:solidFill>
                </w14:textFill>
              </w:rPr>
            </w:pPr>
            <w:r>
              <w:rPr>
                <w:color w:val="000000" w:themeColor="text1"/>
                <w14:textFill>
                  <w14:solidFill>
                    <w14:schemeClr w14:val="tx1"/>
                  </w14:solidFill>
                </w14:textFill>
              </w:rPr>
              <w:t>瓜果皮、菜渣、食品包装袋、剩饭等</w:t>
            </w:r>
          </w:p>
        </w:tc>
        <w:tc>
          <w:tcPr>
            <w:tcW w:w="0" w:type="auto"/>
            <w:vMerge w:val="continue"/>
            <w:vAlign w:val="center"/>
          </w:tcPr>
          <w:p w14:paraId="44E0C5C7">
            <w:pPr>
              <w:pStyle w:val="70"/>
              <w:rPr>
                <w:color w:val="000000" w:themeColor="text1"/>
                <w14:textFill>
                  <w14:solidFill>
                    <w14:schemeClr w14:val="tx1"/>
                  </w14:solidFill>
                </w14:textFill>
              </w:rPr>
            </w:pPr>
          </w:p>
        </w:tc>
        <w:tc>
          <w:tcPr>
            <w:tcW w:w="352" w:type="pct"/>
            <w:vMerge w:val="restart"/>
            <w:vAlign w:val="center"/>
          </w:tcPr>
          <w:p w14:paraId="6C3A406A">
            <w:pPr>
              <w:pStyle w:val="70"/>
              <w:rPr>
                <w:color w:val="000000" w:themeColor="text1"/>
                <w14:textFill>
                  <w14:solidFill>
                    <w14:schemeClr w14:val="tx1"/>
                  </w14:solidFill>
                </w14:textFill>
              </w:rPr>
            </w:pPr>
            <w:r>
              <w:rPr>
                <w:color w:val="000000" w:themeColor="text1"/>
                <w14:textFill>
                  <w14:solidFill>
                    <w14:schemeClr w14:val="tx1"/>
                  </w14:solidFill>
                </w14:textFill>
              </w:rPr>
              <w:t>轻度</w:t>
            </w:r>
          </w:p>
        </w:tc>
        <w:tc>
          <w:tcPr>
            <w:tcW w:w="426" w:type="pct"/>
            <w:vAlign w:val="center"/>
          </w:tcPr>
          <w:p w14:paraId="066EA0BA">
            <w:pPr>
              <w:pStyle w:val="70"/>
              <w:rPr>
                <w:color w:val="000000" w:themeColor="text1"/>
                <w14:textFill>
                  <w14:solidFill>
                    <w14:schemeClr w14:val="tx1"/>
                  </w14:solidFill>
                </w14:textFill>
              </w:rPr>
            </w:pPr>
            <w:r>
              <w:rPr>
                <w:color w:val="000000" w:themeColor="text1"/>
                <w14:textFill>
                  <w14:solidFill>
                    <w14:schemeClr w14:val="tx1"/>
                  </w14:solidFill>
                </w14:textFill>
              </w:rPr>
              <w:t>间断性</w:t>
            </w:r>
          </w:p>
        </w:tc>
      </w:tr>
      <w:tr w14:paraId="100B36B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jc w:val="center"/>
        </w:trPr>
        <w:tc>
          <w:tcPr>
            <w:tcW w:w="0" w:type="auto"/>
            <w:vMerge w:val="continue"/>
            <w:vAlign w:val="center"/>
          </w:tcPr>
          <w:p w14:paraId="263953A2">
            <w:pPr>
              <w:pStyle w:val="70"/>
              <w:rPr>
                <w:color w:val="000000" w:themeColor="text1"/>
                <w14:textFill>
                  <w14:solidFill>
                    <w14:schemeClr w14:val="tx1"/>
                  </w14:solidFill>
                </w14:textFill>
              </w:rPr>
            </w:pPr>
          </w:p>
        </w:tc>
        <w:tc>
          <w:tcPr>
            <w:tcW w:w="0" w:type="auto"/>
            <w:vMerge w:val="continue"/>
            <w:vAlign w:val="center"/>
          </w:tcPr>
          <w:p w14:paraId="4C339A7F">
            <w:pPr>
              <w:pStyle w:val="70"/>
              <w:rPr>
                <w:color w:val="000000" w:themeColor="text1"/>
                <w14:textFill>
                  <w14:solidFill>
                    <w14:schemeClr w14:val="tx1"/>
                  </w14:solidFill>
                </w14:textFill>
              </w:rPr>
            </w:pPr>
          </w:p>
        </w:tc>
        <w:tc>
          <w:tcPr>
            <w:tcW w:w="1300" w:type="pct"/>
            <w:vAlign w:val="center"/>
          </w:tcPr>
          <w:p w14:paraId="3DC9A13A">
            <w:pPr>
              <w:pStyle w:val="70"/>
              <w:rPr>
                <w:color w:val="000000" w:themeColor="text1"/>
                <w14:textFill>
                  <w14:solidFill>
                    <w14:schemeClr w14:val="tx1"/>
                  </w14:solidFill>
                </w14:textFill>
              </w:rPr>
            </w:pPr>
            <w:r>
              <w:rPr>
                <w:color w:val="000000" w:themeColor="text1"/>
                <w14:textFill>
                  <w14:solidFill>
                    <w14:schemeClr w14:val="tx1"/>
                  </w14:solidFill>
                </w14:textFill>
              </w:rPr>
              <w:t>施工废料</w:t>
            </w:r>
          </w:p>
        </w:tc>
        <w:tc>
          <w:tcPr>
            <w:tcW w:w="1742" w:type="pct"/>
            <w:vAlign w:val="center"/>
          </w:tcPr>
          <w:p w14:paraId="67EC363C">
            <w:pPr>
              <w:pStyle w:val="70"/>
              <w:rPr>
                <w:color w:val="000000" w:themeColor="text1"/>
                <w14:textFill>
                  <w14:solidFill>
                    <w14:schemeClr w14:val="tx1"/>
                  </w14:solidFill>
                </w14:textFill>
              </w:rPr>
            </w:pPr>
            <w:r>
              <w:rPr>
                <w:color w:val="000000" w:themeColor="text1"/>
                <w14:textFill>
                  <w14:solidFill>
                    <w14:schemeClr w14:val="tx1"/>
                  </w14:solidFill>
                </w14:textFill>
              </w:rPr>
              <w:t>废防腐材料等</w:t>
            </w:r>
          </w:p>
        </w:tc>
        <w:tc>
          <w:tcPr>
            <w:tcW w:w="0" w:type="auto"/>
            <w:vMerge w:val="continue"/>
            <w:vAlign w:val="center"/>
          </w:tcPr>
          <w:p w14:paraId="4D605B8B">
            <w:pPr>
              <w:pStyle w:val="70"/>
              <w:rPr>
                <w:color w:val="000000" w:themeColor="text1"/>
                <w14:textFill>
                  <w14:solidFill>
                    <w14:schemeClr w14:val="tx1"/>
                  </w14:solidFill>
                </w14:textFill>
              </w:rPr>
            </w:pPr>
          </w:p>
        </w:tc>
        <w:tc>
          <w:tcPr>
            <w:tcW w:w="0" w:type="auto"/>
            <w:vMerge w:val="continue"/>
            <w:vAlign w:val="center"/>
          </w:tcPr>
          <w:p w14:paraId="7CF16B17">
            <w:pPr>
              <w:pStyle w:val="70"/>
              <w:rPr>
                <w:color w:val="000000" w:themeColor="text1"/>
                <w14:textFill>
                  <w14:solidFill>
                    <w14:schemeClr w14:val="tx1"/>
                  </w14:solidFill>
                </w14:textFill>
              </w:rPr>
            </w:pPr>
          </w:p>
        </w:tc>
        <w:tc>
          <w:tcPr>
            <w:tcW w:w="426" w:type="pct"/>
            <w:vAlign w:val="center"/>
          </w:tcPr>
          <w:p w14:paraId="6CE1200A">
            <w:pPr>
              <w:pStyle w:val="70"/>
              <w:rPr>
                <w:color w:val="000000" w:themeColor="text1"/>
                <w14:textFill>
                  <w14:solidFill>
                    <w14:schemeClr w14:val="tx1"/>
                  </w14:solidFill>
                </w14:textFill>
              </w:rPr>
            </w:pPr>
            <w:r>
              <w:rPr>
                <w:color w:val="000000" w:themeColor="text1"/>
                <w14:textFill>
                  <w14:solidFill>
                    <w14:schemeClr w14:val="tx1"/>
                  </w14:solidFill>
                </w14:textFill>
              </w:rPr>
              <w:t>间断性</w:t>
            </w:r>
          </w:p>
        </w:tc>
      </w:tr>
      <w:tr w14:paraId="320267C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jc w:val="center"/>
        </w:trPr>
        <w:tc>
          <w:tcPr>
            <w:tcW w:w="0" w:type="auto"/>
            <w:vMerge w:val="continue"/>
            <w:vAlign w:val="center"/>
          </w:tcPr>
          <w:p w14:paraId="62606F03">
            <w:pPr>
              <w:pStyle w:val="70"/>
              <w:rPr>
                <w:color w:val="000000" w:themeColor="text1"/>
                <w14:textFill>
                  <w14:solidFill>
                    <w14:schemeClr w14:val="tx1"/>
                  </w14:solidFill>
                </w14:textFill>
              </w:rPr>
            </w:pPr>
          </w:p>
        </w:tc>
        <w:tc>
          <w:tcPr>
            <w:tcW w:w="0" w:type="auto"/>
            <w:vMerge w:val="continue"/>
            <w:vAlign w:val="center"/>
          </w:tcPr>
          <w:p w14:paraId="6848D7E3">
            <w:pPr>
              <w:pStyle w:val="70"/>
              <w:rPr>
                <w:color w:val="000000" w:themeColor="text1"/>
                <w14:textFill>
                  <w14:solidFill>
                    <w14:schemeClr w14:val="tx1"/>
                  </w14:solidFill>
                </w14:textFill>
              </w:rPr>
            </w:pPr>
          </w:p>
        </w:tc>
        <w:tc>
          <w:tcPr>
            <w:tcW w:w="1300" w:type="pct"/>
            <w:vAlign w:val="center"/>
          </w:tcPr>
          <w:p w14:paraId="3B8186B1">
            <w:pPr>
              <w:pStyle w:val="70"/>
              <w:rPr>
                <w:color w:val="000000" w:themeColor="text1"/>
                <w14:textFill>
                  <w14:solidFill>
                    <w14:schemeClr w14:val="tx1"/>
                  </w14:solidFill>
                </w14:textFill>
              </w:rPr>
            </w:pPr>
            <w:r>
              <w:rPr>
                <w:color w:val="000000" w:themeColor="text1"/>
                <w14:textFill>
                  <w14:solidFill>
                    <w14:schemeClr w14:val="tx1"/>
                  </w14:solidFill>
                </w14:textFill>
              </w:rPr>
              <w:t>危险废物</w:t>
            </w:r>
          </w:p>
        </w:tc>
        <w:tc>
          <w:tcPr>
            <w:tcW w:w="1742" w:type="pct"/>
            <w:vAlign w:val="center"/>
          </w:tcPr>
          <w:p w14:paraId="62006CCC">
            <w:pPr>
              <w:pStyle w:val="70"/>
              <w:rPr>
                <w:color w:val="000000" w:themeColor="text1"/>
                <w14:textFill>
                  <w14:solidFill>
                    <w14:schemeClr w14:val="tx1"/>
                  </w14:solidFill>
                </w14:textFill>
              </w:rPr>
            </w:pPr>
            <w:r>
              <w:rPr>
                <w:color w:val="000000" w:themeColor="text1"/>
                <w14:textFill>
                  <w14:solidFill>
                    <w14:schemeClr w14:val="tx1"/>
                  </w14:solidFill>
                </w14:textFill>
              </w:rPr>
              <w:t>废油漆桶、</w:t>
            </w:r>
            <w:r>
              <w:rPr>
                <w:rFonts w:hint="eastAsia"/>
                <w:color w:val="000000" w:themeColor="text1"/>
                <w14:textFill>
                  <w14:solidFill>
                    <w14:schemeClr w14:val="tx1"/>
                  </w14:solidFill>
                </w14:textFill>
              </w:rPr>
              <w:t>废</w:t>
            </w:r>
            <w:r>
              <w:rPr>
                <w:color w:val="000000" w:themeColor="text1"/>
                <w14:textFill>
                  <w14:solidFill>
                    <w14:schemeClr w14:val="tx1"/>
                  </w14:solidFill>
                </w14:textFill>
              </w:rPr>
              <w:t>油漆刷</w:t>
            </w:r>
            <w:r>
              <w:rPr>
                <w:rFonts w:hint="eastAsia"/>
                <w:color w:val="000000" w:themeColor="text1"/>
                <w14:textFill>
                  <w14:solidFill>
                    <w14:schemeClr w14:val="tx1"/>
                  </w14:solidFill>
                </w14:textFill>
              </w:rPr>
              <w:t>等</w:t>
            </w:r>
          </w:p>
        </w:tc>
        <w:tc>
          <w:tcPr>
            <w:tcW w:w="0" w:type="auto"/>
            <w:vMerge w:val="continue"/>
            <w:vAlign w:val="center"/>
          </w:tcPr>
          <w:p w14:paraId="5ECE4A62">
            <w:pPr>
              <w:pStyle w:val="70"/>
              <w:rPr>
                <w:color w:val="000000" w:themeColor="text1"/>
                <w14:textFill>
                  <w14:solidFill>
                    <w14:schemeClr w14:val="tx1"/>
                  </w14:solidFill>
                </w14:textFill>
              </w:rPr>
            </w:pPr>
          </w:p>
        </w:tc>
        <w:tc>
          <w:tcPr>
            <w:tcW w:w="0" w:type="auto"/>
            <w:vMerge w:val="continue"/>
            <w:vAlign w:val="center"/>
          </w:tcPr>
          <w:p w14:paraId="10C1FCBF">
            <w:pPr>
              <w:pStyle w:val="70"/>
              <w:rPr>
                <w:color w:val="000000" w:themeColor="text1"/>
                <w14:textFill>
                  <w14:solidFill>
                    <w14:schemeClr w14:val="tx1"/>
                  </w14:solidFill>
                </w14:textFill>
              </w:rPr>
            </w:pPr>
          </w:p>
        </w:tc>
        <w:tc>
          <w:tcPr>
            <w:tcW w:w="426" w:type="pct"/>
            <w:vAlign w:val="center"/>
          </w:tcPr>
          <w:p w14:paraId="58127AB4">
            <w:pPr>
              <w:pStyle w:val="70"/>
              <w:rPr>
                <w:color w:val="000000" w:themeColor="text1"/>
                <w14:textFill>
                  <w14:solidFill>
                    <w14:schemeClr w14:val="tx1"/>
                  </w14:solidFill>
                </w14:textFill>
              </w:rPr>
            </w:pPr>
            <w:r>
              <w:rPr>
                <w:color w:val="000000" w:themeColor="text1"/>
                <w14:textFill>
                  <w14:solidFill>
                    <w14:schemeClr w14:val="tx1"/>
                  </w14:solidFill>
                </w14:textFill>
              </w:rPr>
              <w:t>间断性</w:t>
            </w:r>
          </w:p>
        </w:tc>
      </w:tr>
      <w:tr w14:paraId="5C6BCD7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245" w:hRule="atLeast"/>
          <w:jc w:val="center"/>
        </w:trPr>
        <w:tc>
          <w:tcPr>
            <w:tcW w:w="214" w:type="pct"/>
            <w:vMerge w:val="restart"/>
            <w:vAlign w:val="center"/>
          </w:tcPr>
          <w:p w14:paraId="5B18738F">
            <w:pPr>
              <w:pStyle w:val="70"/>
              <w:rPr>
                <w:color w:val="000000" w:themeColor="text1"/>
                <w14:textFill>
                  <w14:solidFill>
                    <w14:schemeClr w14:val="tx1"/>
                  </w14:solidFill>
                </w14:textFill>
              </w:rPr>
            </w:pPr>
            <w:r>
              <w:rPr>
                <w:color w:val="000000" w:themeColor="text1"/>
                <w14:textFill>
                  <w14:solidFill>
                    <w14:schemeClr w14:val="tx1"/>
                  </w14:solidFill>
                </w14:textFill>
              </w:rPr>
              <w:t>运营期</w:t>
            </w:r>
          </w:p>
        </w:tc>
        <w:tc>
          <w:tcPr>
            <w:tcW w:w="353" w:type="pct"/>
            <w:vMerge w:val="restart"/>
            <w:vAlign w:val="center"/>
          </w:tcPr>
          <w:p w14:paraId="5A3E00C5">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废气</w:t>
            </w:r>
          </w:p>
        </w:tc>
        <w:tc>
          <w:tcPr>
            <w:tcW w:w="1300" w:type="pct"/>
            <w:vAlign w:val="center"/>
          </w:tcPr>
          <w:p w14:paraId="08ABF611">
            <w:pPr>
              <w:pStyle w:val="7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卸船</w:t>
            </w:r>
            <w:r>
              <w:rPr>
                <w:color w:val="000000" w:themeColor="text1"/>
                <w14:textFill>
                  <w14:solidFill>
                    <w14:schemeClr w14:val="tx1"/>
                  </w14:solidFill>
                </w14:textFill>
              </w:rPr>
              <w:t>废气</w:t>
            </w:r>
          </w:p>
        </w:tc>
        <w:tc>
          <w:tcPr>
            <w:tcW w:w="1742" w:type="pct"/>
            <w:vAlign w:val="center"/>
          </w:tcPr>
          <w:p w14:paraId="10DCF0FA">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非甲烷总烃、苯乙烯、硫酸等</w:t>
            </w:r>
          </w:p>
        </w:tc>
        <w:tc>
          <w:tcPr>
            <w:tcW w:w="611" w:type="pct"/>
            <w:vMerge w:val="restart"/>
            <w:vAlign w:val="center"/>
          </w:tcPr>
          <w:p w14:paraId="2B7FAE0C">
            <w:pPr>
              <w:pStyle w:val="70"/>
              <w:rPr>
                <w:color w:val="000000" w:themeColor="text1"/>
                <w14:textFill>
                  <w14:solidFill>
                    <w14:schemeClr w14:val="tx1"/>
                  </w14:solidFill>
                </w14:textFill>
              </w:rPr>
            </w:pPr>
            <w:r>
              <w:rPr>
                <w:color w:val="000000" w:themeColor="text1"/>
                <w14:textFill>
                  <w14:solidFill>
                    <w14:schemeClr w14:val="tx1"/>
                  </w14:solidFill>
                </w14:textFill>
              </w:rPr>
              <w:t>码头前沿</w:t>
            </w:r>
          </w:p>
        </w:tc>
        <w:tc>
          <w:tcPr>
            <w:tcW w:w="352" w:type="pct"/>
            <w:vMerge w:val="restart"/>
            <w:vAlign w:val="center"/>
          </w:tcPr>
          <w:p w14:paraId="698D2DF0">
            <w:pPr>
              <w:pStyle w:val="70"/>
              <w:rPr>
                <w:color w:val="000000" w:themeColor="text1"/>
                <w14:textFill>
                  <w14:solidFill>
                    <w14:schemeClr w14:val="tx1"/>
                  </w14:solidFill>
                </w14:textFill>
              </w:rPr>
            </w:pPr>
            <w:r>
              <w:rPr>
                <w:color w:val="000000" w:themeColor="text1"/>
                <w14:textFill>
                  <w14:solidFill>
                    <w14:schemeClr w14:val="tx1"/>
                  </w14:solidFill>
                </w14:textFill>
              </w:rPr>
              <w:t>中度</w:t>
            </w:r>
          </w:p>
        </w:tc>
        <w:tc>
          <w:tcPr>
            <w:tcW w:w="426" w:type="pct"/>
            <w:vAlign w:val="center"/>
          </w:tcPr>
          <w:p w14:paraId="19189FA9">
            <w:pPr>
              <w:pStyle w:val="70"/>
              <w:rPr>
                <w:color w:val="000000" w:themeColor="text1"/>
                <w14:textFill>
                  <w14:solidFill>
                    <w14:schemeClr w14:val="tx1"/>
                  </w14:solidFill>
                </w14:textFill>
              </w:rPr>
            </w:pPr>
            <w:r>
              <w:rPr>
                <w:color w:val="000000" w:themeColor="text1"/>
                <w14:textFill>
                  <w14:solidFill>
                    <w14:schemeClr w14:val="tx1"/>
                  </w14:solidFill>
                </w14:textFill>
              </w:rPr>
              <w:t>间断性</w:t>
            </w:r>
          </w:p>
        </w:tc>
      </w:tr>
      <w:tr w14:paraId="7D69622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245" w:hRule="atLeast"/>
          <w:jc w:val="center"/>
        </w:trPr>
        <w:tc>
          <w:tcPr>
            <w:tcW w:w="0" w:type="auto"/>
            <w:vMerge w:val="continue"/>
            <w:vAlign w:val="center"/>
          </w:tcPr>
          <w:p w14:paraId="18623D36">
            <w:pPr>
              <w:pStyle w:val="70"/>
              <w:rPr>
                <w:color w:val="000000" w:themeColor="text1"/>
                <w14:textFill>
                  <w14:solidFill>
                    <w14:schemeClr w14:val="tx1"/>
                  </w14:solidFill>
                </w14:textFill>
              </w:rPr>
            </w:pPr>
          </w:p>
        </w:tc>
        <w:tc>
          <w:tcPr>
            <w:tcW w:w="0" w:type="auto"/>
            <w:vMerge w:val="continue"/>
            <w:vAlign w:val="center"/>
          </w:tcPr>
          <w:p w14:paraId="6613C6E5">
            <w:pPr>
              <w:pStyle w:val="70"/>
              <w:rPr>
                <w:color w:val="000000" w:themeColor="text1"/>
                <w14:textFill>
                  <w14:solidFill>
                    <w14:schemeClr w14:val="tx1"/>
                  </w14:solidFill>
                </w14:textFill>
              </w:rPr>
            </w:pPr>
          </w:p>
        </w:tc>
        <w:tc>
          <w:tcPr>
            <w:tcW w:w="1300" w:type="pct"/>
            <w:vAlign w:val="center"/>
          </w:tcPr>
          <w:p w14:paraId="4871B2A3">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装船废气</w:t>
            </w:r>
          </w:p>
        </w:tc>
        <w:tc>
          <w:tcPr>
            <w:tcW w:w="1742" w:type="pct"/>
            <w:vAlign w:val="center"/>
          </w:tcPr>
          <w:p w14:paraId="1BBF9B74">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非甲烷总烃、苯乙烯、硫酸等</w:t>
            </w:r>
          </w:p>
        </w:tc>
        <w:tc>
          <w:tcPr>
            <w:tcW w:w="0" w:type="auto"/>
            <w:vMerge w:val="continue"/>
            <w:vAlign w:val="center"/>
          </w:tcPr>
          <w:p w14:paraId="298C6F06">
            <w:pPr>
              <w:pStyle w:val="70"/>
              <w:rPr>
                <w:color w:val="000000" w:themeColor="text1"/>
                <w14:textFill>
                  <w14:solidFill>
                    <w14:schemeClr w14:val="tx1"/>
                  </w14:solidFill>
                </w14:textFill>
              </w:rPr>
            </w:pPr>
          </w:p>
        </w:tc>
        <w:tc>
          <w:tcPr>
            <w:tcW w:w="0" w:type="auto"/>
            <w:vMerge w:val="continue"/>
            <w:vAlign w:val="center"/>
          </w:tcPr>
          <w:p w14:paraId="2825AC89">
            <w:pPr>
              <w:pStyle w:val="70"/>
              <w:rPr>
                <w:color w:val="000000" w:themeColor="text1"/>
                <w14:textFill>
                  <w14:solidFill>
                    <w14:schemeClr w14:val="tx1"/>
                  </w14:solidFill>
                </w14:textFill>
              </w:rPr>
            </w:pPr>
          </w:p>
        </w:tc>
        <w:tc>
          <w:tcPr>
            <w:tcW w:w="426" w:type="pct"/>
            <w:vAlign w:val="center"/>
          </w:tcPr>
          <w:p w14:paraId="2BCBBBF1">
            <w:pPr>
              <w:pStyle w:val="70"/>
              <w:rPr>
                <w:color w:val="000000" w:themeColor="text1"/>
                <w14:textFill>
                  <w14:solidFill>
                    <w14:schemeClr w14:val="tx1"/>
                  </w14:solidFill>
                </w14:textFill>
              </w:rPr>
            </w:pPr>
          </w:p>
        </w:tc>
      </w:tr>
      <w:tr w14:paraId="4D5C3B3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210" w:hRule="atLeast"/>
          <w:jc w:val="center"/>
        </w:trPr>
        <w:tc>
          <w:tcPr>
            <w:tcW w:w="0" w:type="auto"/>
            <w:vMerge w:val="continue"/>
            <w:vAlign w:val="center"/>
          </w:tcPr>
          <w:p w14:paraId="69FA1C96">
            <w:pPr>
              <w:pStyle w:val="70"/>
              <w:rPr>
                <w:color w:val="000000" w:themeColor="text1"/>
                <w14:textFill>
                  <w14:solidFill>
                    <w14:schemeClr w14:val="tx1"/>
                  </w14:solidFill>
                </w14:textFill>
              </w:rPr>
            </w:pPr>
          </w:p>
        </w:tc>
        <w:tc>
          <w:tcPr>
            <w:tcW w:w="0" w:type="auto"/>
            <w:vMerge w:val="continue"/>
            <w:vAlign w:val="center"/>
          </w:tcPr>
          <w:p w14:paraId="611002D7">
            <w:pPr>
              <w:pStyle w:val="70"/>
              <w:rPr>
                <w:color w:val="000000" w:themeColor="text1"/>
                <w14:textFill>
                  <w14:solidFill>
                    <w14:schemeClr w14:val="tx1"/>
                  </w14:solidFill>
                </w14:textFill>
              </w:rPr>
            </w:pPr>
          </w:p>
        </w:tc>
        <w:tc>
          <w:tcPr>
            <w:tcW w:w="1300" w:type="pct"/>
            <w:vAlign w:val="center"/>
          </w:tcPr>
          <w:p w14:paraId="1A26BE15">
            <w:pPr>
              <w:pStyle w:val="70"/>
              <w:rPr>
                <w:color w:val="000000" w:themeColor="text1"/>
                <w14:textFill>
                  <w14:solidFill>
                    <w14:schemeClr w14:val="tx1"/>
                  </w14:solidFill>
                </w14:textFill>
              </w:rPr>
            </w:pPr>
            <w:r>
              <w:rPr>
                <w:color w:val="000000" w:themeColor="text1"/>
                <w14:textFill>
                  <w14:solidFill>
                    <w14:schemeClr w14:val="tx1"/>
                  </w14:solidFill>
                </w14:textFill>
              </w:rPr>
              <w:t>扫线废气</w:t>
            </w:r>
          </w:p>
        </w:tc>
        <w:tc>
          <w:tcPr>
            <w:tcW w:w="1742" w:type="pct"/>
            <w:vAlign w:val="center"/>
          </w:tcPr>
          <w:p w14:paraId="3097313D">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非甲烷总烃、苯乙烯、硫酸等</w:t>
            </w:r>
          </w:p>
        </w:tc>
        <w:tc>
          <w:tcPr>
            <w:tcW w:w="0" w:type="auto"/>
            <w:vMerge w:val="continue"/>
            <w:vAlign w:val="center"/>
          </w:tcPr>
          <w:p w14:paraId="0F7A0E1D">
            <w:pPr>
              <w:pStyle w:val="70"/>
              <w:rPr>
                <w:color w:val="000000" w:themeColor="text1"/>
                <w14:textFill>
                  <w14:solidFill>
                    <w14:schemeClr w14:val="tx1"/>
                  </w14:solidFill>
                </w14:textFill>
              </w:rPr>
            </w:pPr>
          </w:p>
        </w:tc>
        <w:tc>
          <w:tcPr>
            <w:tcW w:w="0" w:type="auto"/>
            <w:vMerge w:val="continue"/>
            <w:vAlign w:val="center"/>
          </w:tcPr>
          <w:p w14:paraId="19D44E26">
            <w:pPr>
              <w:pStyle w:val="70"/>
              <w:rPr>
                <w:color w:val="000000" w:themeColor="text1"/>
                <w14:textFill>
                  <w14:solidFill>
                    <w14:schemeClr w14:val="tx1"/>
                  </w14:solidFill>
                </w14:textFill>
              </w:rPr>
            </w:pPr>
          </w:p>
        </w:tc>
        <w:tc>
          <w:tcPr>
            <w:tcW w:w="426" w:type="pct"/>
            <w:vAlign w:val="center"/>
          </w:tcPr>
          <w:p w14:paraId="4EFD836D">
            <w:pPr>
              <w:pStyle w:val="70"/>
              <w:rPr>
                <w:color w:val="000000" w:themeColor="text1"/>
                <w14:textFill>
                  <w14:solidFill>
                    <w14:schemeClr w14:val="tx1"/>
                  </w14:solidFill>
                </w14:textFill>
              </w:rPr>
            </w:pPr>
            <w:r>
              <w:rPr>
                <w:color w:val="000000" w:themeColor="text1"/>
                <w14:textFill>
                  <w14:solidFill>
                    <w14:schemeClr w14:val="tx1"/>
                  </w14:solidFill>
                </w14:textFill>
              </w:rPr>
              <w:t>间断性</w:t>
            </w:r>
          </w:p>
        </w:tc>
      </w:tr>
      <w:tr w14:paraId="63CCC4B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jc w:val="center"/>
        </w:trPr>
        <w:tc>
          <w:tcPr>
            <w:tcW w:w="0" w:type="auto"/>
            <w:vMerge w:val="continue"/>
            <w:vAlign w:val="center"/>
          </w:tcPr>
          <w:p w14:paraId="1AD59A42">
            <w:pPr>
              <w:pStyle w:val="70"/>
              <w:rPr>
                <w:color w:val="000000" w:themeColor="text1"/>
                <w14:textFill>
                  <w14:solidFill>
                    <w14:schemeClr w14:val="tx1"/>
                  </w14:solidFill>
                </w14:textFill>
              </w:rPr>
            </w:pPr>
          </w:p>
        </w:tc>
        <w:tc>
          <w:tcPr>
            <w:tcW w:w="0" w:type="auto"/>
            <w:vMerge w:val="continue"/>
            <w:vAlign w:val="center"/>
          </w:tcPr>
          <w:p w14:paraId="01A3A7C3">
            <w:pPr>
              <w:pStyle w:val="70"/>
              <w:rPr>
                <w:color w:val="000000" w:themeColor="text1"/>
                <w14:textFill>
                  <w14:solidFill>
                    <w14:schemeClr w14:val="tx1"/>
                  </w14:solidFill>
                </w14:textFill>
              </w:rPr>
            </w:pPr>
          </w:p>
        </w:tc>
        <w:tc>
          <w:tcPr>
            <w:tcW w:w="1300" w:type="pct"/>
            <w:vAlign w:val="center"/>
          </w:tcPr>
          <w:p w14:paraId="46D72524">
            <w:pPr>
              <w:pStyle w:val="70"/>
              <w:rPr>
                <w:color w:val="000000" w:themeColor="text1"/>
                <w14:textFill>
                  <w14:solidFill>
                    <w14:schemeClr w14:val="tx1"/>
                  </w14:solidFill>
                </w14:textFill>
              </w:rPr>
            </w:pPr>
            <w:r>
              <w:rPr>
                <w:color w:val="000000" w:themeColor="text1"/>
                <w14:textFill>
                  <w14:solidFill>
                    <w14:schemeClr w14:val="tx1"/>
                  </w14:solidFill>
                </w14:textFill>
              </w:rPr>
              <w:t>船舶废气</w:t>
            </w:r>
          </w:p>
        </w:tc>
        <w:tc>
          <w:tcPr>
            <w:tcW w:w="1742" w:type="pct"/>
            <w:vAlign w:val="center"/>
          </w:tcPr>
          <w:p w14:paraId="583E5464">
            <w:pPr>
              <w:pStyle w:val="70"/>
              <w:rPr>
                <w:color w:val="000000" w:themeColor="text1"/>
                <w14:textFill>
                  <w14:solidFill>
                    <w14:schemeClr w14:val="tx1"/>
                  </w14:solidFill>
                </w14:textFill>
              </w:rPr>
            </w:pPr>
            <w:r>
              <w:rPr>
                <w:color w:val="000000" w:themeColor="text1"/>
                <w14:textFill>
                  <w14:solidFill>
                    <w14:schemeClr w14:val="tx1"/>
                  </w14:solidFill>
                </w14:textFill>
              </w:rPr>
              <w:t>SO</w:t>
            </w:r>
            <w:r>
              <w:rPr>
                <w:color w:val="000000" w:themeColor="text1"/>
                <w:vertAlign w:val="subscript"/>
                <w14:textFill>
                  <w14:solidFill>
                    <w14:schemeClr w14:val="tx1"/>
                  </w14:solidFill>
                </w14:textFill>
              </w:rPr>
              <w:t>2</w:t>
            </w:r>
            <w:r>
              <w:rPr>
                <w:color w:val="000000" w:themeColor="text1"/>
                <w14:textFill>
                  <w14:solidFill>
                    <w14:schemeClr w14:val="tx1"/>
                  </w14:solidFill>
                </w14:textFill>
              </w:rPr>
              <w:t>、NO</w:t>
            </w:r>
            <w:r>
              <w:rPr>
                <w:color w:val="000000" w:themeColor="text1"/>
                <w:vertAlign w:val="subscript"/>
                <w14:textFill>
                  <w14:solidFill>
                    <w14:schemeClr w14:val="tx1"/>
                  </w14:solidFill>
                </w14:textFill>
              </w:rPr>
              <w:t>X</w:t>
            </w:r>
          </w:p>
        </w:tc>
        <w:tc>
          <w:tcPr>
            <w:tcW w:w="0" w:type="auto"/>
            <w:vMerge w:val="continue"/>
            <w:vAlign w:val="center"/>
          </w:tcPr>
          <w:p w14:paraId="1A7A34A6">
            <w:pPr>
              <w:pStyle w:val="70"/>
              <w:rPr>
                <w:color w:val="000000" w:themeColor="text1"/>
                <w14:textFill>
                  <w14:solidFill>
                    <w14:schemeClr w14:val="tx1"/>
                  </w14:solidFill>
                </w14:textFill>
              </w:rPr>
            </w:pPr>
          </w:p>
        </w:tc>
        <w:tc>
          <w:tcPr>
            <w:tcW w:w="352" w:type="pct"/>
            <w:vAlign w:val="center"/>
          </w:tcPr>
          <w:p w14:paraId="47079B49">
            <w:pPr>
              <w:pStyle w:val="70"/>
              <w:rPr>
                <w:color w:val="000000" w:themeColor="text1"/>
                <w14:textFill>
                  <w14:solidFill>
                    <w14:schemeClr w14:val="tx1"/>
                  </w14:solidFill>
                </w14:textFill>
              </w:rPr>
            </w:pPr>
            <w:r>
              <w:rPr>
                <w:color w:val="000000" w:themeColor="text1"/>
                <w14:textFill>
                  <w14:solidFill>
                    <w14:schemeClr w14:val="tx1"/>
                  </w14:solidFill>
                </w14:textFill>
              </w:rPr>
              <w:t>轻度</w:t>
            </w:r>
          </w:p>
        </w:tc>
        <w:tc>
          <w:tcPr>
            <w:tcW w:w="426" w:type="pct"/>
            <w:vAlign w:val="center"/>
          </w:tcPr>
          <w:p w14:paraId="1CB0A1EC">
            <w:pPr>
              <w:pStyle w:val="70"/>
              <w:rPr>
                <w:color w:val="000000" w:themeColor="text1"/>
                <w14:textFill>
                  <w14:solidFill>
                    <w14:schemeClr w14:val="tx1"/>
                  </w14:solidFill>
                </w14:textFill>
              </w:rPr>
            </w:pPr>
            <w:r>
              <w:rPr>
                <w:color w:val="000000" w:themeColor="text1"/>
                <w14:textFill>
                  <w14:solidFill>
                    <w14:schemeClr w14:val="tx1"/>
                  </w14:solidFill>
                </w14:textFill>
              </w:rPr>
              <w:t>间断性</w:t>
            </w:r>
          </w:p>
        </w:tc>
      </w:tr>
      <w:tr w14:paraId="35B1519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311" w:hRule="atLeast"/>
          <w:jc w:val="center"/>
        </w:trPr>
        <w:tc>
          <w:tcPr>
            <w:tcW w:w="0" w:type="auto"/>
            <w:vMerge w:val="continue"/>
            <w:vAlign w:val="center"/>
          </w:tcPr>
          <w:p w14:paraId="3D0279D7">
            <w:pPr>
              <w:pStyle w:val="70"/>
              <w:rPr>
                <w:color w:val="000000" w:themeColor="text1"/>
                <w14:textFill>
                  <w14:solidFill>
                    <w14:schemeClr w14:val="tx1"/>
                  </w14:solidFill>
                </w14:textFill>
              </w:rPr>
            </w:pPr>
          </w:p>
        </w:tc>
        <w:tc>
          <w:tcPr>
            <w:tcW w:w="353" w:type="pct"/>
            <w:vMerge w:val="restart"/>
            <w:vAlign w:val="center"/>
          </w:tcPr>
          <w:p w14:paraId="3826FFAF">
            <w:pPr>
              <w:pStyle w:val="70"/>
              <w:rPr>
                <w:color w:val="000000" w:themeColor="text1"/>
                <w14:textFill>
                  <w14:solidFill>
                    <w14:schemeClr w14:val="tx1"/>
                  </w14:solidFill>
                </w14:textFill>
              </w:rPr>
            </w:pPr>
            <w:r>
              <w:rPr>
                <w:color w:val="000000" w:themeColor="text1"/>
                <w14:textFill>
                  <w14:solidFill>
                    <w14:schemeClr w14:val="tx1"/>
                  </w14:solidFill>
                </w14:textFill>
              </w:rPr>
              <w:t>废水</w:t>
            </w:r>
          </w:p>
        </w:tc>
        <w:tc>
          <w:tcPr>
            <w:tcW w:w="1300" w:type="pct"/>
            <w:vAlign w:val="center"/>
          </w:tcPr>
          <w:p w14:paraId="5A1218EC">
            <w:pPr>
              <w:pStyle w:val="70"/>
              <w:rPr>
                <w:color w:val="000000" w:themeColor="text1"/>
                <w14:textFill>
                  <w14:solidFill>
                    <w14:schemeClr w14:val="tx1"/>
                  </w14:solidFill>
                </w14:textFill>
              </w:rPr>
            </w:pPr>
            <w:r>
              <w:rPr>
                <w:color w:val="000000" w:themeColor="text1"/>
                <w14:textFill>
                  <w14:solidFill>
                    <w14:schemeClr w14:val="tx1"/>
                  </w14:solidFill>
                </w14:textFill>
              </w:rPr>
              <w:t>管道清洗废水</w:t>
            </w:r>
          </w:p>
        </w:tc>
        <w:tc>
          <w:tcPr>
            <w:tcW w:w="1742" w:type="pct"/>
            <w:vAlign w:val="center"/>
          </w:tcPr>
          <w:p w14:paraId="25160ACE">
            <w:pPr>
              <w:pStyle w:val="70"/>
              <w:rPr>
                <w:color w:val="000000" w:themeColor="text1"/>
                <w14:textFill>
                  <w14:solidFill>
                    <w14:schemeClr w14:val="tx1"/>
                  </w14:solidFill>
                </w14:textFill>
              </w:rPr>
            </w:pPr>
            <w:r>
              <w:rPr>
                <w:color w:val="000000" w:themeColor="text1"/>
                <w14:textFill>
                  <w14:solidFill>
                    <w14:schemeClr w14:val="tx1"/>
                  </w14:solidFill>
                </w14:textFill>
              </w:rPr>
              <w:t>COD、SS</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石油类</w:t>
            </w:r>
          </w:p>
        </w:tc>
        <w:tc>
          <w:tcPr>
            <w:tcW w:w="611" w:type="pct"/>
            <w:vAlign w:val="center"/>
          </w:tcPr>
          <w:p w14:paraId="456A2DFA">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装卸区</w:t>
            </w:r>
          </w:p>
        </w:tc>
        <w:tc>
          <w:tcPr>
            <w:tcW w:w="352" w:type="pct"/>
            <w:vAlign w:val="center"/>
          </w:tcPr>
          <w:p w14:paraId="4B8611F5">
            <w:pPr>
              <w:pStyle w:val="70"/>
              <w:rPr>
                <w:color w:val="000000" w:themeColor="text1"/>
                <w14:textFill>
                  <w14:solidFill>
                    <w14:schemeClr w14:val="tx1"/>
                  </w14:solidFill>
                </w14:textFill>
              </w:rPr>
            </w:pPr>
            <w:r>
              <w:rPr>
                <w:color w:val="000000" w:themeColor="text1"/>
                <w14:textFill>
                  <w14:solidFill>
                    <w14:schemeClr w14:val="tx1"/>
                  </w14:solidFill>
                </w14:textFill>
              </w:rPr>
              <w:t>轻度</w:t>
            </w:r>
          </w:p>
        </w:tc>
        <w:tc>
          <w:tcPr>
            <w:tcW w:w="426" w:type="pct"/>
            <w:vAlign w:val="center"/>
          </w:tcPr>
          <w:p w14:paraId="5C00C29F">
            <w:pPr>
              <w:pStyle w:val="70"/>
              <w:rPr>
                <w:color w:val="000000" w:themeColor="text1"/>
                <w14:textFill>
                  <w14:solidFill>
                    <w14:schemeClr w14:val="tx1"/>
                  </w14:solidFill>
                </w14:textFill>
              </w:rPr>
            </w:pPr>
            <w:r>
              <w:rPr>
                <w:color w:val="000000" w:themeColor="text1"/>
                <w14:textFill>
                  <w14:solidFill>
                    <w14:schemeClr w14:val="tx1"/>
                  </w14:solidFill>
                </w14:textFill>
              </w:rPr>
              <w:t>间断性</w:t>
            </w:r>
          </w:p>
        </w:tc>
      </w:tr>
      <w:tr w14:paraId="7C1A408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118" w:hRule="atLeast"/>
          <w:jc w:val="center"/>
        </w:trPr>
        <w:tc>
          <w:tcPr>
            <w:tcW w:w="0" w:type="auto"/>
            <w:vMerge w:val="continue"/>
            <w:vAlign w:val="center"/>
          </w:tcPr>
          <w:p w14:paraId="1C520862">
            <w:pPr>
              <w:pStyle w:val="70"/>
              <w:rPr>
                <w:color w:val="000000" w:themeColor="text1"/>
                <w14:textFill>
                  <w14:solidFill>
                    <w14:schemeClr w14:val="tx1"/>
                  </w14:solidFill>
                </w14:textFill>
              </w:rPr>
            </w:pPr>
          </w:p>
        </w:tc>
        <w:tc>
          <w:tcPr>
            <w:tcW w:w="0" w:type="auto"/>
            <w:vMerge w:val="continue"/>
            <w:vAlign w:val="center"/>
          </w:tcPr>
          <w:p w14:paraId="2014FE5E">
            <w:pPr>
              <w:pStyle w:val="70"/>
              <w:rPr>
                <w:color w:val="000000" w:themeColor="text1"/>
                <w14:textFill>
                  <w14:solidFill>
                    <w14:schemeClr w14:val="tx1"/>
                  </w14:solidFill>
                </w14:textFill>
              </w:rPr>
            </w:pPr>
          </w:p>
        </w:tc>
        <w:tc>
          <w:tcPr>
            <w:tcW w:w="1300" w:type="pct"/>
            <w:vAlign w:val="center"/>
          </w:tcPr>
          <w:p w14:paraId="55FB8BAC">
            <w:pPr>
              <w:pStyle w:val="70"/>
              <w:rPr>
                <w:color w:val="000000" w:themeColor="text1"/>
                <w14:textFill>
                  <w14:solidFill>
                    <w14:schemeClr w14:val="tx1"/>
                  </w14:solidFill>
                </w14:textFill>
              </w:rPr>
            </w:pPr>
            <w:r>
              <w:rPr>
                <w:color w:val="000000" w:themeColor="text1"/>
                <w14:textFill>
                  <w14:solidFill>
                    <w14:schemeClr w14:val="tx1"/>
                  </w14:solidFill>
                </w14:textFill>
              </w:rPr>
              <w:t>船舶废水</w:t>
            </w:r>
          </w:p>
        </w:tc>
        <w:tc>
          <w:tcPr>
            <w:tcW w:w="1742" w:type="pct"/>
            <w:vAlign w:val="center"/>
          </w:tcPr>
          <w:p w14:paraId="1A9C3635">
            <w:pPr>
              <w:pStyle w:val="70"/>
              <w:rPr>
                <w:color w:val="000000" w:themeColor="text1"/>
                <w14:textFill>
                  <w14:solidFill>
                    <w14:schemeClr w14:val="tx1"/>
                  </w14:solidFill>
                </w14:textFill>
              </w:rPr>
            </w:pPr>
            <w:r>
              <w:rPr>
                <w:color w:val="000000" w:themeColor="text1"/>
                <w14:textFill>
                  <w14:solidFill>
                    <w14:schemeClr w14:val="tx1"/>
                  </w14:solidFill>
                </w14:textFill>
              </w:rPr>
              <w:t>石油类、SS、COD、BOD</w:t>
            </w:r>
            <w:r>
              <w:rPr>
                <w:color w:val="000000" w:themeColor="text1"/>
                <w:vertAlign w:val="subscript"/>
                <w14:textFill>
                  <w14:solidFill>
                    <w14:schemeClr w14:val="tx1"/>
                  </w14:solidFill>
                </w14:textFill>
              </w:rPr>
              <w:t>5</w:t>
            </w:r>
            <w:r>
              <w:rPr>
                <w:color w:val="000000" w:themeColor="text1"/>
                <w14:textFill>
                  <w14:solidFill>
                    <w14:schemeClr w14:val="tx1"/>
                  </w14:solidFill>
                </w14:textFill>
              </w:rPr>
              <w:t>和氨氮</w:t>
            </w:r>
          </w:p>
        </w:tc>
        <w:tc>
          <w:tcPr>
            <w:tcW w:w="611" w:type="pct"/>
            <w:vAlign w:val="center"/>
          </w:tcPr>
          <w:p w14:paraId="08CB7B3B">
            <w:pPr>
              <w:pStyle w:val="70"/>
              <w:rPr>
                <w:color w:val="000000" w:themeColor="text1"/>
                <w14:textFill>
                  <w14:solidFill>
                    <w14:schemeClr w14:val="tx1"/>
                  </w14:solidFill>
                </w14:textFill>
              </w:rPr>
            </w:pPr>
            <w:r>
              <w:rPr>
                <w:color w:val="000000" w:themeColor="text1"/>
                <w14:textFill>
                  <w14:solidFill>
                    <w14:schemeClr w14:val="tx1"/>
                  </w14:solidFill>
                </w14:textFill>
              </w:rPr>
              <w:t>码头前沿</w:t>
            </w:r>
          </w:p>
        </w:tc>
        <w:tc>
          <w:tcPr>
            <w:tcW w:w="352" w:type="pct"/>
            <w:vAlign w:val="center"/>
          </w:tcPr>
          <w:p w14:paraId="417596B9">
            <w:pPr>
              <w:pStyle w:val="70"/>
              <w:rPr>
                <w:color w:val="000000" w:themeColor="text1"/>
                <w14:textFill>
                  <w14:solidFill>
                    <w14:schemeClr w14:val="tx1"/>
                  </w14:solidFill>
                </w14:textFill>
              </w:rPr>
            </w:pPr>
            <w:r>
              <w:rPr>
                <w:color w:val="000000" w:themeColor="text1"/>
                <w14:textFill>
                  <w14:solidFill>
                    <w14:schemeClr w14:val="tx1"/>
                  </w14:solidFill>
                </w14:textFill>
              </w:rPr>
              <w:t>轻度</w:t>
            </w:r>
          </w:p>
        </w:tc>
        <w:tc>
          <w:tcPr>
            <w:tcW w:w="426" w:type="pct"/>
            <w:vAlign w:val="center"/>
          </w:tcPr>
          <w:p w14:paraId="12FA96FC">
            <w:pPr>
              <w:pStyle w:val="70"/>
              <w:rPr>
                <w:color w:val="000000" w:themeColor="text1"/>
                <w14:textFill>
                  <w14:solidFill>
                    <w14:schemeClr w14:val="tx1"/>
                  </w14:solidFill>
                </w14:textFill>
              </w:rPr>
            </w:pPr>
            <w:r>
              <w:rPr>
                <w:color w:val="000000" w:themeColor="text1"/>
                <w14:textFill>
                  <w14:solidFill>
                    <w14:schemeClr w14:val="tx1"/>
                  </w14:solidFill>
                </w14:textFill>
              </w:rPr>
              <w:t>间断性</w:t>
            </w:r>
          </w:p>
        </w:tc>
      </w:tr>
      <w:tr w14:paraId="741AB1C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jc w:val="center"/>
        </w:trPr>
        <w:tc>
          <w:tcPr>
            <w:tcW w:w="0" w:type="auto"/>
            <w:vMerge w:val="continue"/>
            <w:vAlign w:val="center"/>
          </w:tcPr>
          <w:p w14:paraId="755B8C2B">
            <w:pPr>
              <w:pStyle w:val="70"/>
              <w:rPr>
                <w:color w:val="000000" w:themeColor="text1"/>
                <w14:textFill>
                  <w14:solidFill>
                    <w14:schemeClr w14:val="tx1"/>
                  </w14:solidFill>
                </w14:textFill>
              </w:rPr>
            </w:pPr>
          </w:p>
        </w:tc>
        <w:tc>
          <w:tcPr>
            <w:tcW w:w="353" w:type="pct"/>
            <w:vAlign w:val="center"/>
          </w:tcPr>
          <w:p w14:paraId="0B96EDD1">
            <w:pPr>
              <w:pStyle w:val="70"/>
              <w:rPr>
                <w:color w:val="000000" w:themeColor="text1"/>
                <w14:textFill>
                  <w14:solidFill>
                    <w14:schemeClr w14:val="tx1"/>
                  </w14:solidFill>
                </w14:textFill>
              </w:rPr>
            </w:pPr>
            <w:r>
              <w:rPr>
                <w:color w:val="000000" w:themeColor="text1"/>
                <w14:textFill>
                  <w14:solidFill>
                    <w14:schemeClr w14:val="tx1"/>
                  </w14:solidFill>
                </w14:textFill>
              </w:rPr>
              <w:t>噪声</w:t>
            </w:r>
          </w:p>
        </w:tc>
        <w:tc>
          <w:tcPr>
            <w:tcW w:w="1300" w:type="pct"/>
            <w:vAlign w:val="center"/>
          </w:tcPr>
          <w:p w14:paraId="0BD88A24">
            <w:pPr>
              <w:pStyle w:val="70"/>
              <w:rPr>
                <w:color w:val="000000" w:themeColor="text1"/>
                <w14:textFill>
                  <w14:solidFill>
                    <w14:schemeClr w14:val="tx1"/>
                  </w14:solidFill>
                </w14:textFill>
              </w:rPr>
            </w:pPr>
            <w:r>
              <w:rPr>
                <w:color w:val="000000" w:themeColor="text1"/>
                <w14:textFill>
                  <w14:solidFill>
                    <w14:schemeClr w14:val="tx1"/>
                  </w14:solidFill>
                </w14:textFill>
              </w:rPr>
              <w:t>装卸臂液压站</w:t>
            </w:r>
          </w:p>
        </w:tc>
        <w:tc>
          <w:tcPr>
            <w:tcW w:w="1742" w:type="pct"/>
            <w:vAlign w:val="center"/>
          </w:tcPr>
          <w:p w14:paraId="10FB44CF">
            <w:pPr>
              <w:pStyle w:val="70"/>
              <w:rPr>
                <w:color w:val="000000" w:themeColor="text1"/>
                <w14:textFill>
                  <w14:solidFill>
                    <w14:schemeClr w14:val="tx1"/>
                  </w14:solidFill>
                </w14:textFill>
              </w:rPr>
            </w:pPr>
            <w:r>
              <w:rPr>
                <w:color w:val="000000" w:themeColor="text1"/>
                <w14:textFill>
                  <w14:solidFill>
                    <w14:schemeClr w14:val="tx1"/>
                  </w14:solidFill>
                </w14:textFill>
              </w:rPr>
              <w:t>噪声</w:t>
            </w:r>
          </w:p>
        </w:tc>
        <w:tc>
          <w:tcPr>
            <w:tcW w:w="611" w:type="pct"/>
            <w:vAlign w:val="center"/>
          </w:tcPr>
          <w:p w14:paraId="737E3BD3">
            <w:pPr>
              <w:pStyle w:val="70"/>
              <w:rPr>
                <w:color w:val="000000" w:themeColor="text1"/>
                <w14:textFill>
                  <w14:solidFill>
                    <w14:schemeClr w14:val="tx1"/>
                  </w14:solidFill>
                </w14:textFill>
              </w:rPr>
            </w:pPr>
            <w:r>
              <w:rPr>
                <w:color w:val="000000" w:themeColor="text1"/>
                <w14:textFill>
                  <w14:solidFill>
                    <w14:schemeClr w14:val="tx1"/>
                  </w14:solidFill>
                </w14:textFill>
              </w:rPr>
              <w:t>码头前沿</w:t>
            </w:r>
          </w:p>
        </w:tc>
        <w:tc>
          <w:tcPr>
            <w:tcW w:w="352" w:type="pct"/>
            <w:vAlign w:val="center"/>
          </w:tcPr>
          <w:p w14:paraId="68284FBE">
            <w:pPr>
              <w:pStyle w:val="70"/>
              <w:rPr>
                <w:color w:val="000000" w:themeColor="text1"/>
                <w14:textFill>
                  <w14:solidFill>
                    <w14:schemeClr w14:val="tx1"/>
                  </w14:solidFill>
                </w14:textFill>
              </w:rPr>
            </w:pPr>
            <w:r>
              <w:rPr>
                <w:color w:val="000000" w:themeColor="text1"/>
                <w14:textFill>
                  <w14:solidFill>
                    <w14:schemeClr w14:val="tx1"/>
                  </w14:solidFill>
                </w14:textFill>
              </w:rPr>
              <w:t>中度</w:t>
            </w:r>
          </w:p>
        </w:tc>
        <w:tc>
          <w:tcPr>
            <w:tcW w:w="426" w:type="pct"/>
            <w:vAlign w:val="center"/>
          </w:tcPr>
          <w:p w14:paraId="65220BC5">
            <w:pPr>
              <w:pStyle w:val="70"/>
              <w:rPr>
                <w:color w:val="000000" w:themeColor="text1"/>
                <w14:textFill>
                  <w14:solidFill>
                    <w14:schemeClr w14:val="tx1"/>
                  </w14:solidFill>
                </w14:textFill>
              </w:rPr>
            </w:pPr>
            <w:r>
              <w:rPr>
                <w:color w:val="000000" w:themeColor="text1"/>
                <w14:textFill>
                  <w14:solidFill>
                    <w14:schemeClr w14:val="tx1"/>
                  </w14:solidFill>
                </w14:textFill>
              </w:rPr>
              <w:t>连续性</w:t>
            </w:r>
          </w:p>
        </w:tc>
      </w:tr>
      <w:tr w14:paraId="5AB4ACA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jc w:val="center"/>
        </w:trPr>
        <w:tc>
          <w:tcPr>
            <w:tcW w:w="0" w:type="auto"/>
            <w:vMerge w:val="continue"/>
            <w:vAlign w:val="center"/>
          </w:tcPr>
          <w:p w14:paraId="0F3109B1">
            <w:pPr>
              <w:pStyle w:val="70"/>
              <w:rPr>
                <w:color w:val="000000" w:themeColor="text1"/>
                <w14:textFill>
                  <w14:solidFill>
                    <w14:schemeClr w14:val="tx1"/>
                  </w14:solidFill>
                </w14:textFill>
              </w:rPr>
            </w:pPr>
          </w:p>
        </w:tc>
        <w:tc>
          <w:tcPr>
            <w:tcW w:w="353" w:type="pct"/>
            <w:vMerge w:val="restart"/>
            <w:vAlign w:val="center"/>
          </w:tcPr>
          <w:p w14:paraId="13970238">
            <w:pPr>
              <w:pStyle w:val="70"/>
              <w:rPr>
                <w:color w:val="000000" w:themeColor="text1"/>
                <w14:textFill>
                  <w14:solidFill>
                    <w14:schemeClr w14:val="tx1"/>
                  </w14:solidFill>
                </w14:textFill>
              </w:rPr>
            </w:pPr>
            <w:r>
              <w:rPr>
                <w:color w:val="000000" w:themeColor="text1"/>
                <w14:textFill>
                  <w14:solidFill>
                    <w14:schemeClr w14:val="tx1"/>
                  </w14:solidFill>
                </w14:textFill>
              </w:rPr>
              <w:t>固体废物</w:t>
            </w:r>
          </w:p>
        </w:tc>
        <w:tc>
          <w:tcPr>
            <w:tcW w:w="1300" w:type="pct"/>
            <w:vAlign w:val="center"/>
          </w:tcPr>
          <w:p w14:paraId="48E13ADE">
            <w:pPr>
              <w:pStyle w:val="70"/>
              <w:rPr>
                <w:color w:val="000000" w:themeColor="text1"/>
                <w14:textFill>
                  <w14:solidFill>
                    <w14:schemeClr w14:val="tx1"/>
                  </w14:solidFill>
                </w14:textFill>
              </w:rPr>
            </w:pPr>
            <w:r>
              <w:rPr>
                <w:color w:val="000000" w:themeColor="text1"/>
                <w14:textFill>
                  <w14:solidFill>
                    <w14:schemeClr w14:val="tx1"/>
                  </w14:solidFill>
                </w14:textFill>
              </w:rPr>
              <w:t>管道</w:t>
            </w:r>
            <w:r>
              <w:rPr>
                <w:rFonts w:hint="eastAsia"/>
                <w:color w:val="000000" w:themeColor="text1"/>
                <w14:textFill>
                  <w14:solidFill>
                    <w14:schemeClr w14:val="tx1"/>
                  </w14:solidFill>
                </w14:textFill>
              </w:rPr>
              <w:t>维修</w:t>
            </w:r>
            <w:r>
              <w:rPr>
                <w:color w:val="000000" w:themeColor="text1"/>
                <w14:textFill>
                  <w14:solidFill>
                    <w14:schemeClr w14:val="tx1"/>
                  </w14:solidFill>
                </w14:textFill>
              </w:rPr>
              <w:t>危险废物</w:t>
            </w:r>
          </w:p>
        </w:tc>
        <w:tc>
          <w:tcPr>
            <w:tcW w:w="1742" w:type="pct"/>
            <w:vAlign w:val="center"/>
          </w:tcPr>
          <w:p w14:paraId="56D4E260">
            <w:pPr>
              <w:pStyle w:val="70"/>
              <w:rPr>
                <w:color w:val="000000" w:themeColor="text1"/>
                <w14:textFill>
                  <w14:solidFill>
                    <w14:schemeClr w14:val="tx1"/>
                  </w14:solidFill>
                </w14:textFill>
              </w:rPr>
            </w:pPr>
            <w:r>
              <w:rPr>
                <w:color w:val="000000" w:themeColor="text1"/>
                <w14:textFill>
                  <w14:solidFill>
                    <w14:schemeClr w14:val="tx1"/>
                  </w14:solidFill>
                </w14:textFill>
              </w:rPr>
              <w:t>含油废布及棉纱</w:t>
            </w:r>
          </w:p>
        </w:tc>
        <w:tc>
          <w:tcPr>
            <w:tcW w:w="611" w:type="pct"/>
            <w:vAlign w:val="center"/>
          </w:tcPr>
          <w:p w14:paraId="3D5759BF">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码头前沿</w:t>
            </w:r>
          </w:p>
        </w:tc>
        <w:tc>
          <w:tcPr>
            <w:tcW w:w="352" w:type="pct"/>
            <w:vAlign w:val="center"/>
          </w:tcPr>
          <w:p w14:paraId="2A81B1AF">
            <w:pPr>
              <w:pStyle w:val="70"/>
              <w:rPr>
                <w:color w:val="000000" w:themeColor="text1"/>
                <w14:textFill>
                  <w14:solidFill>
                    <w14:schemeClr w14:val="tx1"/>
                  </w14:solidFill>
                </w14:textFill>
              </w:rPr>
            </w:pPr>
            <w:r>
              <w:rPr>
                <w:color w:val="000000" w:themeColor="text1"/>
                <w14:textFill>
                  <w14:solidFill>
                    <w14:schemeClr w14:val="tx1"/>
                  </w14:solidFill>
                </w14:textFill>
              </w:rPr>
              <w:t>轻度</w:t>
            </w:r>
          </w:p>
        </w:tc>
        <w:tc>
          <w:tcPr>
            <w:tcW w:w="426" w:type="pct"/>
            <w:vAlign w:val="center"/>
          </w:tcPr>
          <w:p w14:paraId="19D0E4D8">
            <w:pPr>
              <w:pStyle w:val="70"/>
              <w:rPr>
                <w:color w:val="000000" w:themeColor="text1"/>
                <w14:textFill>
                  <w14:solidFill>
                    <w14:schemeClr w14:val="tx1"/>
                  </w14:solidFill>
                </w14:textFill>
              </w:rPr>
            </w:pPr>
            <w:r>
              <w:rPr>
                <w:color w:val="000000" w:themeColor="text1"/>
                <w14:textFill>
                  <w14:solidFill>
                    <w14:schemeClr w14:val="tx1"/>
                  </w14:solidFill>
                </w14:textFill>
              </w:rPr>
              <w:t>间断性</w:t>
            </w:r>
          </w:p>
        </w:tc>
      </w:tr>
      <w:tr w14:paraId="6565096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614" w:hRule="atLeast"/>
          <w:jc w:val="center"/>
        </w:trPr>
        <w:tc>
          <w:tcPr>
            <w:tcW w:w="0" w:type="auto"/>
            <w:vMerge w:val="continue"/>
            <w:vAlign w:val="center"/>
          </w:tcPr>
          <w:p w14:paraId="546522BE">
            <w:pPr>
              <w:pStyle w:val="70"/>
              <w:rPr>
                <w:color w:val="000000" w:themeColor="text1"/>
                <w14:textFill>
                  <w14:solidFill>
                    <w14:schemeClr w14:val="tx1"/>
                  </w14:solidFill>
                </w14:textFill>
              </w:rPr>
            </w:pPr>
          </w:p>
        </w:tc>
        <w:tc>
          <w:tcPr>
            <w:tcW w:w="0" w:type="auto"/>
            <w:vMerge w:val="continue"/>
            <w:vAlign w:val="center"/>
          </w:tcPr>
          <w:p w14:paraId="37801204">
            <w:pPr>
              <w:pStyle w:val="70"/>
              <w:rPr>
                <w:color w:val="000000" w:themeColor="text1"/>
                <w14:textFill>
                  <w14:solidFill>
                    <w14:schemeClr w14:val="tx1"/>
                  </w14:solidFill>
                </w14:textFill>
              </w:rPr>
            </w:pPr>
          </w:p>
        </w:tc>
        <w:tc>
          <w:tcPr>
            <w:tcW w:w="1300" w:type="pct"/>
            <w:vAlign w:val="center"/>
          </w:tcPr>
          <w:p w14:paraId="10519E25">
            <w:pPr>
              <w:pStyle w:val="70"/>
              <w:rPr>
                <w:color w:val="000000" w:themeColor="text1"/>
                <w14:textFill>
                  <w14:solidFill>
                    <w14:schemeClr w14:val="tx1"/>
                  </w14:solidFill>
                </w14:textFill>
              </w:rPr>
            </w:pPr>
            <w:r>
              <w:rPr>
                <w:color w:val="000000" w:themeColor="text1"/>
                <w14:textFill>
                  <w14:solidFill>
                    <w14:schemeClr w14:val="tx1"/>
                  </w14:solidFill>
                </w14:textFill>
              </w:rPr>
              <w:t>到港船舶垃圾</w:t>
            </w:r>
          </w:p>
        </w:tc>
        <w:tc>
          <w:tcPr>
            <w:tcW w:w="1742" w:type="pct"/>
            <w:vAlign w:val="center"/>
          </w:tcPr>
          <w:p w14:paraId="5810BCB5">
            <w:pPr>
              <w:pStyle w:val="70"/>
              <w:rPr>
                <w:color w:val="000000" w:themeColor="text1"/>
                <w14:textFill>
                  <w14:solidFill>
                    <w14:schemeClr w14:val="tx1"/>
                  </w14:solidFill>
                </w14:textFill>
              </w:rPr>
            </w:pPr>
            <w:r>
              <w:rPr>
                <w:color w:val="000000" w:themeColor="text1"/>
                <w14:textFill>
                  <w14:solidFill>
                    <w14:schemeClr w14:val="tx1"/>
                  </w14:solidFill>
                </w14:textFill>
              </w:rPr>
              <w:t>船舶生活垃圾</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船舶维修废物</w:t>
            </w:r>
          </w:p>
        </w:tc>
        <w:tc>
          <w:tcPr>
            <w:tcW w:w="611" w:type="pct"/>
            <w:vAlign w:val="center"/>
          </w:tcPr>
          <w:p w14:paraId="7B51E2B9">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码头前沿</w:t>
            </w:r>
          </w:p>
        </w:tc>
        <w:tc>
          <w:tcPr>
            <w:tcW w:w="352" w:type="pct"/>
            <w:vAlign w:val="center"/>
          </w:tcPr>
          <w:p w14:paraId="1CAF13BB">
            <w:pPr>
              <w:pStyle w:val="70"/>
              <w:rPr>
                <w:color w:val="000000" w:themeColor="text1"/>
                <w14:textFill>
                  <w14:solidFill>
                    <w14:schemeClr w14:val="tx1"/>
                  </w14:solidFill>
                </w14:textFill>
              </w:rPr>
            </w:pPr>
            <w:r>
              <w:rPr>
                <w:color w:val="000000" w:themeColor="text1"/>
                <w14:textFill>
                  <w14:solidFill>
                    <w14:schemeClr w14:val="tx1"/>
                  </w14:solidFill>
                </w14:textFill>
              </w:rPr>
              <w:t>轻度</w:t>
            </w:r>
          </w:p>
        </w:tc>
        <w:tc>
          <w:tcPr>
            <w:tcW w:w="426" w:type="pct"/>
            <w:vAlign w:val="center"/>
          </w:tcPr>
          <w:p w14:paraId="36F98103">
            <w:pPr>
              <w:pStyle w:val="70"/>
              <w:rPr>
                <w:color w:val="000000" w:themeColor="text1"/>
                <w14:textFill>
                  <w14:solidFill>
                    <w14:schemeClr w14:val="tx1"/>
                  </w14:solidFill>
                </w14:textFill>
              </w:rPr>
            </w:pPr>
            <w:r>
              <w:rPr>
                <w:color w:val="000000" w:themeColor="text1"/>
                <w14:textFill>
                  <w14:solidFill>
                    <w14:schemeClr w14:val="tx1"/>
                  </w14:solidFill>
                </w14:textFill>
              </w:rPr>
              <w:t>间断性</w:t>
            </w:r>
          </w:p>
        </w:tc>
      </w:tr>
    </w:tbl>
    <w:p w14:paraId="274AB82D">
      <w:pPr>
        <w:pStyle w:val="8"/>
        <w:rPr>
          <w:color w:val="000000" w:themeColor="text1"/>
          <w14:textFill>
            <w14:solidFill>
              <w14:schemeClr w14:val="tx1"/>
            </w14:solidFill>
          </w14:textFill>
        </w:rPr>
      </w:pPr>
      <w:r>
        <w:rPr>
          <w:color w:val="000000" w:themeColor="text1"/>
          <w14:textFill>
            <w14:solidFill>
              <w14:schemeClr w14:val="tx1"/>
            </w14:solidFill>
          </w14:textFill>
        </w:rPr>
        <w:t>建设项目环境影响评价工作程序图</w:t>
      </w:r>
    </w:p>
    <w:p w14:paraId="1F8A840E">
      <w:pPr>
        <w:pStyle w:val="7"/>
        <w:rPr>
          <w:color w:val="000000" w:themeColor="text1"/>
          <w14:textFill>
            <w14:solidFill>
              <w14:schemeClr w14:val="tx1"/>
            </w14:solidFill>
          </w14:textFill>
        </w:rPr>
      </w:pPr>
      <w:r>
        <w:rPr>
          <w:rFonts w:hint="eastAsia"/>
          <w:color w:val="000000" w:themeColor="text1"/>
          <w14:textFill>
            <w14:solidFill>
              <w14:schemeClr w14:val="tx1"/>
            </w14:solidFill>
          </w14:textFill>
        </w:rPr>
        <w:t>建设项目环境影响类型及程度一览表</w:t>
      </w:r>
    </w:p>
    <w:tbl>
      <w:tblPr>
        <w:tblStyle w:val="43"/>
        <w:tblW w:w="9186"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57" w:type="dxa"/>
          <w:bottom w:w="0" w:type="dxa"/>
          <w:right w:w="57" w:type="dxa"/>
        </w:tblCellMar>
      </w:tblPr>
      <w:tblGrid>
        <w:gridCol w:w="609"/>
        <w:gridCol w:w="2669"/>
        <w:gridCol w:w="1707"/>
        <w:gridCol w:w="1732"/>
        <w:gridCol w:w="617"/>
        <w:gridCol w:w="617"/>
        <w:gridCol w:w="617"/>
        <w:gridCol w:w="618"/>
      </w:tblGrid>
      <w:tr w14:paraId="3FFD531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jc w:val="center"/>
        </w:trPr>
        <w:tc>
          <w:tcPr>
            <w:tcW w:w="3278" w:type="dxa"/>
            <w:gridSpan w:val="2"/>
            <w:vMerge w:val="restart"/>
            <w:vAlign w:val="center"/>
          </w:tcPr>
          <w:p w14:paraId="6FE5684E">
            <w:pPr>
              <w:ind w:firstLine="0" w:firstLineChars="0"/>
              <w:jc w:val="center"/>
              <w:rPr>
                <w:b/>
                <w:color w:val="000000" w:themeColor="text1"/>
                <w:kern w:val="0"/>
                <w:sz w:val="21"/>
                <w:szCs w:val="21"/>
                <w14:textFill>
                  <w14:solidFill>
                    <w14:schemeClr w14:val="tx1"/>
                  </w14:solidFill>
                </w14:textFill>
              </w:rPr>
            </w:pPr>
            <w:r>
              <w:rPr>
                <w:rFonts w:ascii="宋体" w:hAnsi="宋体"/>
                <w:b/>
                <w:color w:val="000000" w:themeColor="text1"/>
                <w:kern w:val="0"/>
                <w:sz w:val="21"/>
                <w:szCs w:val="21"/>
                <w14:textFill>
                  <w14:solidFill>
                    <w14:schemeClr w14:val="tx1"/>
                  </w14:solidFill>
                </w14:textFill>
              </w:rPr>
              <w:t>产生影响项目</w:t>
            </w:r>
          </w:p>
        </w:tc>
        <w:tc>
          <w:tcPr>
            <w:tcW w:w="1707" w:type="dxa"/>
            <w:vMerge w:val="restart"/>
            <w:vAlign w:val="center"/>
          </w:tcPr>
          <w:p w14:paraId="790887BB">
            <w:pPr>
              <w:ind w:firstLine="0" w:firstLineChars="0"/>
              <w:jc w:val="center"/>
              <w:rPr>
                <w:b/>
                <w:color w:val="000000" w:themeColor="text1"/>
                <w:kern w:val="0"/>
                <w:sz w:val="21"/>
                <w:szCs w:val="21"/>
                <w14:textFill>
                  <w14:solidFill>
                    <w14:schemeClr w14:val="tx1"/>
                  </w14:solidFill>
                </w14:textFill>
              </w:rPr>
            </w:pPr>
            <w:r>
              <w:rPr>
                <w:rFonts w:ascii="宋体" w:hAnsi="宋体"/>
                <w:b/>
                <w:color w:val="000000" w:themeColor="text1"/>
                <w:kern w:val="0"/>
                <w:sz w:val="21"/>
                <w:szCs w:val="21"/>
                <w14:textFill>
                  <w14:solidFill>
                    <w14:schemeClr w14:val="tx1"/>
                  </w14:solidFill>
                </w14:textFill>
              </w:rPr>
              <w:t>影响因子</w:t>
            </w:r>
          </w:p>
        </w:tc>
        <w:tc>
          <w:tcPr>
            <w:tcW w:w="1732" w:type="dxa"/>
            <w:vMerge w:val="restart"/>
            <w:vAlign w:val="center"/>
          </w:tcPr>
          <w:p w14:paraId="0402B1D7">
            <w:pPr>
              <w:ind w:firstLine="0" w:firstLineChars="0"/>
              <w:jc w:val="center"/>
              <w:rPr>
                <w:b/>
                <w:color w:val="000000" w:themeColor="text1"/>
                <w:kern w:val="0"/>
                <w:sz w:val="21"/>
                <w:szCs w:val="21"/>
                <w14:textFill>
                  <w14:solidFill>
                    <w14:schemeClr w14:val="tx1"/>
                  </w14:solidFill>
                </w14:textFill>
              </w:rPr>
            </w:pPr>
            <w:r>
              <w:rPr>
                <w:rFonts w:ascii="宋体" w:hAnsi="宋体"/>
                <w:b/>
                <w:color w:val="000000" w:themeColor="text1"/>
                <w:kern w:val="0"/>
                <w:sz w:val="21"/>
                <w:szCs w:val="21"/>
                <w14:textFill>
                  <w14:solidFill>
                    <w14:schemeClr w14:val="tx1"/>
                  </w14:solidFill>
                </w14:textFill>
              </w:rPr>
              <w:t>影响对象</w:t>
            </w:r>
          </w:p>
        </w:tc>
        <w:tc>
          <w:tcPr>
            <w:tcW w:w="1234" w:type="dxa"/>
            <w:gridSpan w:val="2"/>
            <w:vAlign w:val="center"/>
          </w:tcPr>
          <w:p w14:paraId="46DB9E72">
            <w:pPr>
              <w:ind w:firstLine="0" w:firstLineChars="0"/>
              <w:jc w:val="center"/>
              <w:rPr>
                <w:b/>
                <w:color w:val="000000" w:themeColor="text1"/>
                <w:kern w:val="0"/>
                <w:sz w:val="21"/>
                <w:szCs w:val="21"/>
                <w14:textFill>
                  <w14:solidFill>
                    <w14:schemeClr w14:val="tx1"/>
                  </w14:solidFill>
                </w14:textFill>
              </w:rPr>
            </w:pPr>
            <w:r>
              <w:rPr>
                <w:rFonts w:ascii="宋体" w:hAnsi="宋体"/>
                <w:b/>
                <w:color w:val="000000" w:themeColor="text1"/>
                <w:kern w:val="0"/>
                <w:sz w:val="21"/>
                <w:szCs w:val="21"/>
                <w14:textFill>
                  <w14:solidFill>
                    <w14:schemeClr w14:val="tx1"/>
                  </w14:solidFill>
                </w14:textFill>
              </w:rPr>
              <w:t>影响类型</w:t>
            </w:r>
          </w:p>
        </w:tc>
        <w:tc>
          <w:tcPr>
            <w:tcW w:w="1235" w:type="dxa"/>
            <w:gridSpan w:val="2"/>
            <w:vAlign w:val="center"/>
          </w:tcPr>
          <w:p w14:paraId="03FFC58F">
            <w:pPr>
              <w:ind w:firstLine="0" w:firstLineChars="0"/>
              <w:jc w:val="center"/>
              <w:rPr>
                <w:b/>
                <w:color w:val="000000" w:themeColor="text1"/>
                <w:kern w:val="0"/>
                <w:sz w:val="21"/>
                <w:szCs w:val="21"/>
                <w14:textFill>
                  <w14:solidFill>
                    <w14:schemeClr w14:val="tx1"/>
                  </w14:solidFill>
                </w14:textFill>
              </w:rPr>
            </w:pPr>
            <w:r>
              <w:rPr>
                <w:rFonts w:ascii="宋体" w:hAnsi="宋体"/>
                <w:b/>
                <w:color w:val="000000" w:themeColor="text1"/>
                <w:kern w:val="0"/>
                <w:sz w:val="21"/>
                <w:szCs w:val="21"/>
                <w14:textFill>
                  <w14:solidFill>
                    <w14:schemeClr w14:val="tx1"/>
                  </w14:solidFill>
                </w14:textFill>
              </w:rPr>
              <w:t>影响性质</w:t>
            </w:r>
          </w:p>
        </w:tc>
      </w:tr>
      <w:tr w14:paraId="7539C08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jc w:val="center"/>
        </w:trPr>
        <w:tc>
          <w:tcPr>
            <w:tcW w:w="5947" w:type="dxa"/>
            <w:gridSpan w:val="2"/>
            <w:vMerge w:val="continue"/>
            <w:vAlign w:val="center"/>
          </w:tcPr>
          <w:p w14:paraId="0E5CA8D4">
            <w:pPr>
              <w:widowControl/>
              <w:spacing w:line="240" w:lineRule="auto"/>
              <w:ind w:firstLine="0" w:firstLineChars="0"/>
              <w:jc w:val="left"/>
              <w:rPr>
                <w:b/>
                <w:color w:val="000000" w:themeColor="text1"/>
                <w:kern w:val="0"/>
                <w:sz w:val="21"/>
                <w:szCs w:val="21"/>
                <w14:textFill>
                  <w14:solidFill>
                    <w14:schemeClr w14:val="tx1"/>
                  </w14:solidFill>
                </w14:textFill>
              </w:rPr>
            </w:pPr>
          </w:p>
        </w:tc>
        <w:tc>
          <w:tcPr>
            <w:tcW w:w="1707" w:type="dxa"/>
            <w:vMerge w:val="continue"/>
            <w:vAlign w:val="center"/>
          </w:tcPr>
          <w:p w14:paraId="46D6D8BB">
            <w:pPr>
              <w:widowControl/>
              <w:spacing w:line="240" w:lineRule="auto"/>
              <w:ind w:firstLine="0" w:firstLineChars="0"/>
              <w:jc w:val="left"/>
              <w:rPr>
                <w:b/>
                <w:color w:val="000000" w:themeColor="text1"/>
                <w:kern w:val="0"/>
                <w:sz w:val="21"/>
                <w:szCs w:val="21"/>
                <w14:textFill>
                  <w14:solidFill>
                    <w14:schemeClr w14:val="tx1"/>
                  </w14:solidFill>
                </w14:textFill>
              </w:rPr>
            </w:pPr>
          </w:p>
        </w:tc>
        <w:tc>
          <w:tcPr>
            <w:tcW w:w="1732" w:type="dxa"/>
            <w:vMerge w:val="continue"/>
            <w:vAlign w:val="center"/>
          </w:tcPr>
          <w:p w14:paraId="74F41166">
            <w:pPr>
              <w:widowControl/>
              <w:spacing w:line="240" w:lineRule="auto"/>
              <w:ind w:firstLine="0" w:firstLineChars="0"/>
              <w:jc w:val="left"/>
              <w:rPr>
                <w:b/>
                <w:color w:val="000000" w:themeColor="text1"/>
                <w:kern w:val="0"/>
                <w:sz w:val="21"/>
                <w:szCs w:val="21"/>
                <w14:textFill>
                  <w14:solidFill>
                    <w14:schemeClr w14:val="tx1"/>
                  </w14:solidFill>
                </w14:textFill>
              </w:rPr>
            </w:pPr>
          </w:p>
        </w:tc>
        <w:tc>
          <w:tcPr>
            <w:tcW w:w="617" w:type="dxa"/>
            <w:vAlign w:val="center"/>
          </w:tcPr>
          <w:p w14:paraId="1B431A39">
            <w:pPr>
              <w:ind w:firstLine="0" w:firstLineChars="0"/>
              <w:jc w:val="center"/>
              <w:rPr>
                <w:b/>
                <w:color w:val="000000" w:themeColor="text1"/>
                <w:kern w:val="0"/>
                <w:sz w:val="21"/>
                <w:szCs w:val="21"/>
                <w14:textFill>
                  <w14:solidFill>
                    <w14:schemeClr w14:val="tx1"/>
                  </w14:solidFill>
                </w14:textFill>
              </w:rPr>
            </w:pPr>
            <w:r>
              <w:rPr>
                <w:rFonts w:ascii="宋体" w:hAnsi="宋体"/>
                <w:b/>
                <w:color w:val="000000" w:themeColor="text1"/>
                <w:kern w:val="0"/>
                <w:sz w:val="21"/>
                <w:szCs w:val="21"/>
                <w14:textFill>
                  <w14:solidFill>
                    <w14:schemeClr w14:val="tx1"/>
                  </w14:solidFill>
                </w14:textFill>
              </w:rPr>
              <w:t>长期</w:t>
            </w:r>
          </w:p>
        </w:tc>
        <w:tc>
          <w:tcPr>
            <w:tcW w:w="617" w:type="dxa"/>
            <w:vAlign w:val="center"/>
          </w:tcPr>
          <w:p w14:paraId="7F6C4B97">
            <w:pPr>
              <w:ind w:firstLine="0" w:firstLineChars="0"/>
              <w:jc w:val="center"/>
              <w:rPr>
                <w:b/>
                <w:color w:val="000000" w:themeColor="text1"/>
                <w:kern w:val="0"/>
                <w:sz w:val="21"/>
                <w:szCs w:val="21"/>
                <w14:textFill>
                  <w14:solidFill>
                    <w14:schemeClr w14:val="tx1"/>
                  </w14:solidFill>
                </w14:textFill>
              </w:rPr>
            </w:pPr>
            <w:r>
              <w:rPr>
                <w:rFonts w:ascii="宋体" w:hAnsi="宋体"/>
                <w:b/>
                <w:color w:val="000000" w:themeColor="text1"/>
                <w:kern w:val="0"/>
                <w:sz w:val="21"/>
                <w:szCs w:val="21"/>
                <w14:textFill>
                  <w14:solidFill>
                    <w14:schemeClr w14:val="tx1"/>
                  </w14:solidFill>
                </w14:textFill>
              </w:rPr>
              <w:t>短期</w:t>
            </w:r>
          </w:p>
        </w:tc>
        <w:tc>
          <w:tcPr>
            <w:tcW w:w="617" w:type="dxa"/>
            <w:vAlign w:val="center"/>
          </w:tcPr>
          <w:p w14:paraId="18D2AD32">
            <w:pPr>
              <w:ind w:firstLine="0" w:firstLineChars="0"/>
              <w:jc w:val="center"/>
              <w:rPr>
                <w:b/>
                <w:color w:val="000000" w:themeColor="text1"/>
                <w:kern w:val="0"/>
                <w:sz w:val="21"/>
                <w:szCs w:val="21"/>
                <w14:textFill>
                  <w14:solidFill>
                    <w14:schemeClr w14:val="tx1"/>
                  </w14:solidFill>
                </w14:textFill>
              </w:rPr>
            </w:pPr>
            <w:r>
              <w:rPr>
                <w:rFonts w:ascii="宋体" w:hAnsi="宋体"/>
                <w:b/>
                <w:color w:val="000000" w:themeColor="text1"/>
                <w:kern w:val="0"/>
                <w:sz w:val="21"/>
                <w:szCs w:val="21"/>
                <w14:textFill>
                  <w14:solidFill>
                    <w14:schemeClr w14:val="tx1"/>
                  </w14:solidFill>
                </w14:textFill>
              </w:rPr>
              <w:t>有利</w:t>
            </w:r>
          </w:p>
        </w:tc>
        <w:tc>
          <w:tcPr>
            <w:tcW w:w="618" w:type="dxa"/>
            <w:vAlign w:val="center"/>
          </w:tcPr>
          <w:p w14:paraId="1C61EC19">
            <w:pPr>
              <w:ind w:firstLine="0" w:firstLineChars="0"/>
              <w:jc w:val="center"/>
              <w:rPr>
                <w:b/>
                <w:color w:val="000000" w:themeColor="text1"/>
                <w:kern w:val="0"/>
                <w:sz w:val="21"/>
                <w:szCs w:val="21"/>
                <w14:textFill>
                  <w14:solidFill>
                    <w14:schemeClr w14:val="tx1"/>
                  </w14:solidFill>
                </w14:textFill>
              </w:rPr>
            </w:pPr>
            <w:r>
              <w:rPr>
                <w:rFonts w:ascii="宋体" w:hAnsi="宋体"/>
                <w:b/>
                <w:color w:val="000000" w:themeColor="text1"/>
                <w:kern w:val="0"/>
                <w:sz w:val="21"/>
                <w:szCs w:val="21"/>
                <w14:textFill>
                  <w14:solidFill>
                    <w14:schemeClr w14:val="tx1"/>
                  </w14:solidFill>
                </w14:textFill>
              </w:rPr>
              <w:t>不利</w:t>
            </w:r>
          </w:p>
        </w:tc>
      </w:tr>
      <w:tr w14:paraId="2315878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jc w:val="center"/>
        </w:trPr>
        <w:tc>
          <w:tcPr>
            <w:tcW w:w="609" w:type="dxa"/>
            <w:vMerge w:val="restart"/>
            <w:vAlign w:val="center"/>
          </w:tcPr>
          <w:p w14:paraId="5FBD807E">
            <w:pPr>
              <w:ind w:firstLine="0" w:firstLineChars="0"/>
              <w:jc w:val="center"/>
              <w:rPr>
                <w:color w:val="000000" w:themeColor="text1"/>
                <w:kern w:val="0"/>
                <w:sz w:val="21"/>
                <w:szCs w:val="21"/>
                <w14:textFill>
                  <w14:solidFill>
                    <w14:schemeClr w14:val="tx1"/>
                  </w14:solidFill>
                </w14:textFill>
              </w:rPr>
            </w:pPr>
            <w:r>
              <w:rPr>
                <w:rFonts w:ascii="宋体" w:hAnsi="宋体"/>
                <w:color w:val="000000" w:themeColor="text1"/>
                <w:kern w:val="0"/>
                <w:sz w:val="21"/>
                <w:szCs w:val="21"/>
                <w14:textFill>
                  <w14:solidFill>
                    <w14:schemeClr w14:val="tx1"/>
                  </w14:solidFill>
                </w14:textFill>
              </w:rPr>
              <w:t>施</w:t>
            </w:r>
          </w:p>
          <w:p w14:paraId="5DA5E00C">
            <w:pPr>
              <w:ind w:firstLine="0" w:firstLineChars="0"/>
              <w:jc w:val="center"/>
              <w:rPr>
                <w:color w:val="000000" w:themeColor="text1"/>
                <w:kern w:val="0"/>
                <w:sz w:val="21"/>
                <w:szCs w:val="21"/>
                <w14:textFill>
                  <w14:solidFill>
                    <w14:schemeClr w14:val="tx1"/>
                  </w14:solidFill>
                </w14:textFill>
              </w:rPr>
            </w:pPr>
            <w:r>
              <w:rPr>
                <w:rFonts w:ascii="宋体" w:hAnsi="宋体"/>
                <w:color w:val="000000" w:themeColor="text1"/>
                <w:kern w:val="0"/>
                <w:sz w:val="21"/>
                <w:szCs w:val="21"/>
                <w14:textFill>
                  <w14:solidFill>
                    <w14:schemeClr w14:val="tx1"/>
                  </w14:solidFill>
                </w14:textFill>
              </w:rPr>
              <w:t>工</w:t>
            </w:r>
          </w:p>
          <w:p w14:paraId="32CA988A">
            <w:pPr>
              <w:ind w:firstLine="0" w:firstLineChars="0"/>
              <w:jc w:val="center"/>
              <w:rPr>
                <w:color w:val="000000" w:themeColor="text1"/>
                <w:kern w:val="0"/>
                <w:sz w:val="21"/>
                <w:szCs w:val="21"/>
                <w14:textFill>
                  <w14:solidFill>
                    <w14:schemeClr w14:val="tx1"/>
                  </w14:solidFill>
                </w14:textFill>
              </w:rPr>
            </w:pPr>
            <w:r>
              <w:rPr>
                <w:rFonts w:ascii="宋体" w:hAnsi="宋体"/>
                <w:color w:val="000000" w:themeColor="text1"/>
                <w:kern w:val="0"/>
                <w:sz w:val="21"/>
                <w:szCs w:val="21"/>
                <w14:textFill>
                  <w14:solidFill>
                    <w14:schemeClr w14:val="tx1"/>
                  </w14:solidFill>
                </w14:textFill>
              </w:rPr>
              <w:t>期</w:t>
            </w:r>
          </w:p>
        </w:tc>
        <w:tc>
          <w:tcPr>
            <w:tcW w:w="2669" w:type="dxa"/>
            <w:vAlign w:val="center"/>
          </w:tcPr>
          <w:p w14:paraId="79918C63">
            <w:pPr>
              <w:ind w:firstLine="0" w:firstLineChars="0"/>
              <w:jc w:val="center"/>
              <w:rPr>
                <w:color w:val="000000" w:themeColor="text1"/>
                <w:kern w:val="0"/>
                <w:sz w:val="21"/>
                <w:szCs w:val="21"/>
                <w14:textFill>
                  <w14:solidFill>
                    <w14:schemeClr w14:val="tx1"/>
                  </w14:solidFill>
                </w14:textFill>
              </w:rPr>
            </w:pPr>
            <w:r>
              <w:rPr>
                <w:rFonts w:ascii="宋体" w:hAnsi="宋体"/>
                <w:color w:val="000000" w:themeColor="text1"/>
                <w:kern w:val="0"/>
                <w:sz w:val="21"/>
                <w:szCs w:val="21"/>
                <w14:textFill>
                  <w14:solidFill>
                    <w14:schemeClr w14:val="tx1"/>
                  </w14:solidFill>
                </w14:textFill>
              </w:rPr>
              <w:t>物料运输</w:t>
            </w:r>
          </w:p>
        </w:tc>
        <w:tc>
          <w:tcPr>
            <w:tcW w:w="1707" w:type="dxa"/>
            <w:vAlign w:val="center"/>
          </w:tcPr>
          <w:p w14:paraId="4D10B7EB">
            <w:pPr>
              <w:ind w:firstLine="0" w:firstLineChars="0"/>
              <w:jc w:val="center"/>
              <w:rPr>
                <w:color w:val="000000" w:themeColor="text1"/>
                <w:kern w:val="0"/>
                <w:sz w:val="21"/>
                <w:szCs w:val="21"/>
                <w14:textFill>
                  <w14:solidFill>
                    <w14:schemeClr w14:val="tx1"/>
                  </w14:solidFill>
                </w14:textFill>
              </w:rPr>
            </w:pPr>
            <w:r>
              <w:rPr>
                <w:rFonts w:ascii="宋体" w:hAnsi="宋体"/>
                <w:color w:val="000000" w:themeColor="text1"/>
                <w:kern w:val="0"/>
                <w:sz w:val="21"/>
                <w:szCs w:val="21"/>
                <w14:textFill>
                  <w14:solidFill>
                    <w14:schemeClr w14:val="tx1"/>
                  </w14:solidFill>
                </w14:textFill>
              </w:rPr>
              <w:t>扬尘、废气、噪声</w:t>
            </w:r>
          </w:p>
        </w:tc>
        <w:tc>
          <w:tcPr>
            <w:tcW w:w="1732" w:type="dxa"/>
            <w:vAlign w:val="center"/>
          </w:tcPr>
          <w:p w14:paraId="4AA26293">
            <w:pPr>
              <w:ind w:firstLine="0" w:firstLineChars="0"/>
              <w:jc w:val="center"/>
              <w:rPr>
                <w:color w:val="000000" w:themeColor="text1"/>
                <w:kern w:val="0"/>
                <w:sz w:val="21"/>
                <w:szCs w:val="21"/>
                <w14:textFill>
                  <w14:solidFill>
                    <w14:schemeClr w14:val="tx1"/>
                  </w14:solidFill>
                </w14:textFill>
              </w:rPr>
            </w:pPr>
            <w:r>
              <w:rPr>
                <w:rFonts w:ascii="宋体" w:hAnsi="宋体"/>
                <w:color w:val="000000" w:themeColor="text1"/>
                <w:kern w:val="0"/>
                <w:sz w:val="21"/>
                <w:szCs w:val="21"/>
                <w14:textFill>
                  <w14:solidFill>
                    <w14:schemeClr w14:val="tx1"/>
                  </w14:solidFill>
                </w14:textFill>
              </w:rPr>
              <w:t>大气环境、声环境</w:t>
            </w:r>
          </w:p>
        </w:tc>
        <w:tc>
          <w:tcPr>
            <w:tcW w:w="617" w:type="dxa"/>
            <w:vAlign w:val="center"/>
          </w:tcPr>
          <w:p w14:paraId="027D208F">
            <w:pPr>
              <w:ind w:firstLine="0" w:firstLineChars="0"/>
              <w:jc w:val="center"/>
              <w:rPr>
                <w:color w:val="000000" w:themeColor="text1"/>
                <w:kern w:val="0"/>
                <w:sz w:val="21"/>
                <w:szCs w:val="21"/>
                <w14:textFill>
                  <w14:solidFill>
                    <w14:schemeClr w14:val="tx1"/>
                  </w14:solidFill>
                </w14:textFill>
              </w:rPr>
            </w:pPr>
          </w:p>
        </w:tc>
        <w:tc>
          <w:tcPr>
            <w:tcW w:w="617" w:type="dxa"/>
            <w:vAlign w:val="center"/>
          </w:tcPr>
          <w:p w14:paraId="44815CAE">
            <w:pPr>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w:t>
            </w:r>
          </w:p>
        </w:tc>
        <w:tc>
          <w:tcPr>
            <w:tcW w:w="617" w:type="dxa"/>
            <w:vAlign w:val="center"/>
          </w:tcPr>
          <w:p w14:paraId="3741A8B7">
            <w:pPr>
              <w:ind w:firstLine="0" w:firstLineChars="0"/>
              <w:jc w:val="center"/>
              <w:rPr>
                <w:color w:val="000000" w:themeColor="text1"/>
                <w:kern w:val="0"/>
                <w:sz w:val="21"/>
                <w:szCs w:val="21"/>
                <w14:textFill>
                  <w14:solidFill>
                    <w14:schemeClr w14:val="tx1"/>
                  </w14:solidFill>
                </w14:textFill>
              </w:rPr>
            </w:pPr>
          </w:p>
        </w:tc>
        <w:tc>
          <w:tcPr>
            <w:tcW w:w="618" w:type="dxa"/>
            <w:vAlign w:val="center"/>
          </w:tcPr>
          <w:p w14:paraId="728A8265">
            <w:pPr>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w:t>
            </w:r>
          </w:p>
        </w:tc>
      </w:tr>
      <w:tr w14:paraId="40B694F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jc w:val="center"/>
        </w:trPr>
        <w:tc>
          <w:tcPr>
            <w:tcW w:w="3278" w:type="dxa"/>
            <w:vMerge w:val="continue"/>
            <w:vAlign w:val="center"/>
          </w:tcPr>
          <w:p w14:paraId="2500035F">
            <w:pPr>
              <w:widowControl/>
              <w:spacing w:line="240" w:lineRule="auto"/>
              <w:ind w:firstLine="0" w:firstLineChars="0"/>
              <w:jc w:val="left"/>
              <w:rPr>
                <w:color w:val="000000" w:themeColor="text1"/>
                <w:kern w:val="0"/>
                <w:sz w:val="21"/>
                <w:szCs w:val="21"/>
                <w14:textFill>
                  <w14:solidFill>
                    <w14:schemeClr w14:val="tx1"/>
                  </w14:solidFill>
                </w14:textFill>
              </w:rPr>
            </w:pPr>
          </w:p>
        </w:tc>
        <w:tc>
          <w:tcPr>
            <w:tcW w:w="2669" w:type="dxa"/>
            <w:vAlign w:val="center"/>
          </w:tcPr>
          <w:p w14:paraId="08BE00C5">
            <w:pPr>
              <w:ind w:firstLine="0" w:firstLineChars="0"/>
              <w:jc w:val="center"/>
              <w:rPr>
                <w:color w:val="000000" w:themeColor="text1"/>
                <w:kern w:val="0"/>
                <w:sz w:val="21"/>
                <w:szCs w:val="21"/>
                <w14:textFill>
                  <w14:solidFill>
                    <w14:schemeClr w14:val="tx1"/>
                  </w14:solidFill>
                </w14:textFill>
              </w:rPr>
            </w:pPr>
            <w:r>
              <w:rPr>
                <w:rFonts w:ascii="宋体" w:hAnsi="宋体"/>
                <w:color w:val="000000" w:themeColor="text1"/>
                <w:kern w:val="0"/>
                <w:sz w:val="21"/>
                <w:szCs w:val="21"/>
                <w14:textFill>
                  <w14:solidFill>
                    <w14:schemeClr w14:val="tx1"/>
                  </w14:solidFill>
                </w14:textFill>
              </w:rPr>
              <w:t>设备安装与调整</w:t>
            </w:r>
          </w:p>
        </w:tc>
        <w:tc>
          <w:tcPr>
            <w:tcW w:w="1707" w:type="dxa"/>
            <w:vAlign w:val="center"/>
          </w:tcPr>
          <w:p w14:paraId="2B4CDB20">
            <w:pPr>
              <w:ind w:firstLine="0" w:firstLineChars="0"/>
              <w:jc w:val="center"/>
              <w:rPr>
                <w:color w:val="000000" w:themeColor="text1"/>
                <w:kern w:val="0"/>
                <w:sz w:val="21"/>
                <w:szCs w:val="21"/>
                <w14:textFill>
                  <w14:solidFill>
                    <w14:schemeClr w14:val="tx1"/>
                  </w14:solidFill>
                </w14:textFill>
              </w:rPr>
            </w:pPr>
            <w:r>
              <w:rPr>
                <w:rFonts w:ascii="宋体" w:hAnsi="宋体"/>
                <w:color w:val="000000" w:themeColor="text1"/>
                <w:kern w:val="0"/>
                <w:sz w:val="21"/>
                <w:szCs w:val="21"/>
                <w14:textFill>
                  <w14:solidFill>
                    <w14:schemeClr w14:val="tx1"/>
                  </w14:solidFill>
                </w14:textFill>
              </w:rPr>
              <w:t>噪声</w:t>
            </w:r>
          </w:p>
        </w:tc>
        <w:tc>
          <w:tcPr>
            <w:tcW w:w="1732" w:type="dxa"/>
            <w:vAlign w:val="center"/>
          </w:tcPr>
          <w:p w14:paraId="0C1303EE">
            <w:pPr>
              <w:ind w:firstLine="0" w:firstLineChars="0"/>
              <w:jc w:val="center"/>
              <w:rPr>
                <w:color w:val="000000" w:themeColor="text1"/>
                <w:kern w:val="0"/>
                <w:sz w:val="21"/>
                <w:szCs w:val="21"/>
                <w14:textFill>
                  <w14:solidFill>
                    <w14:schemeClr w14:val="tx1"/>
                  </w14:solidFill>
                </w14:textFill>
              </w:rPr>
            </w:pPr>
            <w:r>
              <w:rPr>
                <w:rFonts w:ascii="宋体" w:hAnsi="宋体"/>
                <w:color w:val="000000" w:themeColor="text1"/>
                <w:kern w:val="0"/>
                <w:sz w:val="21"/>
                <w:szCs w:val="21"/>
                <w14:textFill>
                  <w14:solidFill>
                    <w14:schemeClr w14:val="tx1"/>
                  </w14:solidFill>
                </w14:textFill>
              </w:rPr>
              <w:t>声环境</w:t>
            </w:r>
          </w:p>
        </w:tc>
        <w:tc>
          <w:tcPr>
            <w:tcW w:w="617" w:type="dxa"/>
            <w:vAlign w:val="center"/>
          </w:tcPr>
          <w:p w14:paraId="2EA2F6A3">
            <w:pPr>
              <w:ind w:firstLine="0" w:firstLineChars="0"/>
              <w:jc w:val="center"/>
              <w:rPr>
                <w:color w:val="000000" w:themeColor="text1"/>
                <w:kern w:val="0"/>
                <w:sz w:val="21"/>
                <w:szCs w:val="21"/>
                <w14:textFill>
                  <w14:solidFill>
                    <w14:schemeClr w14:val="tx1"/>
                  </w14:solidFill>
                </w14:textFill>
              </w:rPr>
            </w:pPr>
          </w:p>
        </w:tc>
        <w:tc>
          <w:tcPr>
            <w:tcW w:w="617" w:type="dxa"/>
            <w:vAlign w:val="center"/>
          </w:tcPr>
          <w:p w14:paraId="15E35D6A">
            <w:pPr>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w:t>
            </w:r>
          </w:p>
        </w:tc>
        <w:tc>
          <w:tcPr>
            <w:tcW w:w="617" w:type="dxa"/>
            <w:vAlign w:val="center"/>
          </w:tcPr>
          <w:p w14:paraId="2336DB3D">
            <w:pPr>
              <w:ind w:firstLine="0" w:firstLineChars="0"/>
              <w:jc w:val="center"/>
              <w:rPr>
                <w:color w:val="000000" w:themeColor="text1"/>
                <w:kern w:val="0"/>
                <w:sz w:val="21"/>
                <w:szCs w:val="21"/>
                <w14:textFill>
                  <w14:solidFill>
                    <w14:schemeClr w14:val="tx1"/>
                  </w14:solidFill>
                </w14:textFill>
              </w:rPr>
            </w:pPr>
          </w:p>
        </w:tc>
        <w:tc>
          <w:tcPr>
            <w:tcW w:w="618" w:type="dxa"/>
            <w:vAlign w:val="center"/>
          </w:tcPr>
          <w:p w14:paraId="3861FD02">
            <w:pPr>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w:t>
            </w:r>
          </w:p>
        </w:tc>
      </w:tr>
      <w:tr w14:paraId="3883F22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jc w:val="center"/>
        </w:trPr>
        <w:tc>
          <w:tcPr>
            <w:tcW w:w="3278" w:type="dxa"/>
            <w:vMerge w:val="continue"/>
            <w:vAlign w:val="center"/>
          </w:tcPr>
          <w:p w14:paraId="7932504F">
            <w:pPr>
              <w:widowControl/>
              <w:spacing w:line="240" w:lineRule="auto"/>
              <w:ind w:firstLine="0" w:firstLineChars="0"/>
              <w:jc w:val="left"/>
              <w:rPr>
                <w:color w:val="000000" w:themeColor="text1"/>
                <w:kern w:val="0"/>
                <w:sz w:val="21"/>
                <w:szCs w:val="21"/>
                <w14:textFill>
                  <w14:solidFill>
                    <w14:schemeClr w14:val="tx1"/>
                  </w14:solidFill>
                </w14:textFill>
              </w:rPr>
            </w:pPr>
          </w:p>
        </w:tc>
        <w:tc>
          <w:tcPr>
            <w:tcW w:w="2669" w:type="dxa"/>
            <w:vAlign w:val="center"/>
          </w:tcPr>
          <w:p w14:paraId="52E3D4B2">
            <w:pPr>
              <w:ind w:firstLine="0" w:firstLineChars="0"/>
              <w:jc w:val="center"/>
              <w:rPr>
                <w:color w:val="000000" w:themeColor="text1"/>
                <w:kern w:val="0"/>
                <w:sz w:val="21"/>
                <w:szCs w:val="21"/>
                <w14:textFill>
                  <w14:solidFill>
                    <w14:schemeClr w14:val="tx1"/>
                  </w14:solidFill>
                </w14:textFill>
              </w:rPr>
            </w:pPr>
            <w:r>
              <w:rPr>
                <w:rFonts w:ascii="宋体" w:hAnsi="宋体"/>
                <w:color w:val="000000" w:themeColor="text1"/>
                <w:kern w:val="0"/>
                <w:sz w:val="21"/>
                <w:szCs w:val="21"/>
                <w14:textFill>
                  <w14:solidFill>
                    <w14:schemeClr w14:val="tx1"/>
                  </w14:solidFill>
                </w14:textFill>
              </w:rPr>
              <w:t>施工机械、车辆</w:t>
            </w:r>
            <w:r>
              <w:rPr>
                <w:rFonts w:hint="eastAsia" w:ascii="宋体" w:hAnsi="宋体"/>
                <w:color w:val="000000" w:themeColor="text1"/>
                <w:kern w:val="0"/>
                <w:sz w:val="21"/>
                <w:szCs w:val="21"/>
                <w14:textFill>
                  <w14:solidFill>
                    <w14:schemeClr w14:val="tx1"/>
                  </w14:solidFill>
                </w14:textFill>
              </w:rPr>
              <w:t>、船舶</w:t>
            </w:r>
            <w:r>
              <w:rPr>
                <w:rFonts w:ascii="宋体" w:hAnsi="宋体"/>
                <w:color w:val="000000" w:themeColor="text1"/>
                <w:kern w:val="0"/>
                <w:sz w:val="21"/>
                <w:szCs w:val="21"/>
                <w14:textFill>
                  <w14:solidFill>
                    <w14:schemeClr w14:val="tx1"/>
                  </w14:solidFill>
                </w14:textFill>
              </w:rPr>
              <w:t>尾气</w:t>
            </w:r>
          </w:p>
        </w:tc>
        <w:tc>
          <w:tcPr>
            <w:tcW w:w="1707" w:type="dxa"/>
            <w:vAlign w:val="center"/>
          </w:tcPr>
          <w:p w14:paraId="690DF655">
            <w:pPr>
              <w:ind w:firstLine="0" w:firstLineChars="0"/>
              <w:jc w:val="center"/>
              <w:rPr>
                <w:color w:val="000000" w:themeColor="text1"/>
                <w:kern w:val="0"/>
                <w:sz w:val="21"/>
                <w:szCs w:val="21"/>
                <w14:textFill>
                  <w14:solidFill>
                    <w14:schemeClr w14:val="tx1"/>
                  </w14:solidFill>
                </w14:textFill>
              </w:rPr>
            </w:pPr>
            <w:r>
              <w:rPr>
                <w:rFonts w:ascii="宋体" w:hAnsi="宋体"/>
                <w:color w:val="000000" w:themeColor="text1"/>
                <w:kern w:val="0"/>
                <w:sz w:val="21"/>
                <w:szCs w:val="21"/>
                <w14:textFill>
                  <w14:solidFill>
                    <w14:schemeClr w14:val="tx1"/>
                  </w14:solidFill>
                </w14:textFill>
              </w:rPr>
              <w:t>废气</w:t>
            </w:r>
          </w:p>
        </w:tc>
        <w:tc>
          <w:tcPr>
            <w:tcW w:w="1732" w:type="dxa"/>
            <w:vAlign w:val="center"/>
          </w:tcPr>
          <w:p w14:paraId="09A7729D">
            <w:pPr>
              <w:ind w:firstLine="0" w:firstLineChars="0"/>
              <w:jc w:val="center"/>
              <w:rPr>
                <w:color w:val="000000" w:themeColor="text1"/>
                <w:kern w:val="0"/>
                <w:sz w:val="21"/>
                <w:szCs w:val="21"/>
                <w14:textFill>
                  <w14:solidFill>
                    <w14:schemeClr w14:val="tx1"/>
                  </w14:solidFill>
                </w14:textFill>
              </w:rPr>
            </w:pPr>
            <w:r>
              <w:rPr>
                <w:rFonts w:ascii="宋体" w:hAnsi="宋体"/>
                <w:color w:val="000000" w:themeColor="text1"/>
                <w:kern w:val="0"/>
                <w:sz w:val="21"/>
                <w:szCs w:val="21"/>
                <w14:textFill>
                  <w14:solidFill>
                    <w14:schemeClr w14:val="tx1"/>
                  </w14:solidFill>
                </w14:textFill>
              </w:rPr>
              <w:t>大气环境</w:t>
            </w:r>
          </w:p>
        </w:tc>
        <w:tc>
          <w:tcPr>
            <w:tcW w:w="617" w:type="dxa"/>
            <w:vAlign w:val="center"/>
          </w:tcPr>
          <w:p w14:paraId="1AD157BA">
            <w:pPr>
              <w:ind w:firstLine="0" w:firstLineChars="0"/>
              <w:jc w:val="center"/>
              <w:rPr>
                <w:color w:val="000000" w:themeColor="text1"/>
                <w:kern w:val="0"/>
                <w:sz w:val="21"/>
                <w:szCs w:val="21"/>
                <w14:textFill>
                  <w14:solidFill>
                    <w14:schemeClr w14:val="tx1"/>
                  </w14:solidFill>
                </w14:textFill>
              </w:rPr>
            </w:pPr>
          </w:p>
        </w:tc>
        <w:tc>
          <w:tcPr>
            <w:tcW w:w="617" w:type="dxa"/>
            <w:vAlign w:val="center"/>
          </w:tcPr>
          <w:p w14:paraId="4DCD6225">
            <w:pPr>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w:t>
            </w:r>
          </w:p>
        </w:tc>
        <w:tc>
          <w:tcPr>
            <w:tcW w:w="617" w:type="dxa"/>
            <w:vAlign w:val="center"/>
          </w:tcPr>
          <w:p w14:paraId="58FC6C7C">
            <w:pPr>
              <w:ind w:firstLine="0" w:firstLineChars="0"/>
              <w:jc w:val="center"/>
              <w:rPr>
                <w:color w:val="000000" w:themeColor="text1"/>
                <w:kern w:val="0"/>
                <w:sz w:val="21"/>
                <w:szCs w:val="21"/>
                <w14:textFill>
                  <w14:solidFill>
                    <w14:schemeClr w14:val="tx1"/>
                  </w14:solidFill>
                </w14:textFill>
              </w:rPr>
            </w:pPr>
          </w:p>
        </w:tc>
        <w:tc>
          <w:tcPr>
            <w:tcW w:w="618" w:type="dxa"/>
            <w:vAlign w:val="center"/>
          </w:tcPr>
          <w:p w14:paraId="798CFB9F">
            <w:pPr>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w:t>
            </w:r>
          </w:p>
        </w:tc>
      </w:tr>
      <w:tr w14:paraId="63D704F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jc w:val="center"/>
        </w:trPr>
        <w:tc>
          <w:tcPr>
            <w:tcW w:w="3278" w:type="dxa"/>
            <w:vMerge w:val="continue"/>
            <w:vAlign w:val="center"/>
          </w:tcPr>
          <w:p w14:paraId="53FDE83D">
            <w:pPr>
              <w:widowControl/>
              <w:spacing w:line="240" w:lineRule="auto"/>
              <w:ind w:firstLine="0" w:firstLineChars="0"/>
              <w:jc w:val="left"/>
              <w:rPr>
                <w:color w:val="000000" w:themeColor="text1"/>
                <w:kern w:val="0"/>
                <w:sz w:val="21"/>
                <w:szCs w:val="21"/>
                <w14:textFill>
                  <w14:solidFill>
                    <w14:schemeClr w14:val="tx1"/>
                  </w14:solidFill>
                </w14:textFill>
              </w:rPr>
            </w:pPr>
          </w:p>
        </w:tc>
        <w:tc>
          <w:tcPr>
            <w:tcW w:w="2669" w:type="dxa"/>
            <w:vAlign w:val="center"/>
          </w:tcPr>
          <w:p w14:paraId="3C031848">
            <w:pPr>
              <w:ind w:firstLine="0" w:firstLineChars="0"/>
              <w:jc w:val="center"/>
              <w:rPr>
                <w:color w:val="000000" w:themeColor="text1"/>
                <w:kern w:val="0"/>
                <w:sz w:val="21"/>
                <w:szCs w:val="21"/>
                <w14:textFill>
                  <w14:solidFill>
                    <w14:schemeClr w14:val="tx1"/>
                  </w14:solidFill>
                </w14:textFill>
              </w:rPr>
            </w:pPr>
            <w:r>
              <w:rPr>
                <w:rFonts w:ascii="宋体" w:hAnsi="宋体"/>
                <w:color w:val="000000" w:themeColor="text1"/>
                <w:kern w:val="0"/>
                <w:sz w:val="21"/>
                <w:szCs w:val="21"/>
                <w14:textFill>
                  <w14:solidFill>
                    <w14:schemeClr w14:val="tx1"/>
                  </w14:solidFill>
                </w14:textFill>
              </w:rPr>
              <w:t>施工废弃垃圾、生活垃圾</w:t>
            </w:r>
          </w:p>
        </w:tc>
        <w:tc>
          <w:tcPr>
            <w:tcW w:w="1707" w:type="dxa"/>
            <w:vAlign w:val="center"/>
          </w:tcPr>
          <w:p w14:paraId="536BE3CF">
            <w:pPr>
              <w:ind w:firstLine="0" w:firstLineChars="0"/>
              <w:jc w:val="center"/>
              <w:rPr>
                <w:color w:val="000000" w:themeColor="text1"/>
                <w:kern w:val="0"/>
                <w:sz w:val="21"/>
                <w:szCs w:val="21"/>
                <w14:textFill>
                  <w14:solidFill>
                    <w14:schemeClr w14:val="tx1"/>
                  </w14:solidFill>
                </w14:textFill>
              </w:rPr>
            </w:pPr>
            <w:r>
              <w:rPr>
                <w:rFonts w:ascii="宋体" w:hAnsi="宋体"/>
                <w:color w:val="000000" w:themeColor="text1"/>
                <w:kern w:val="0"/>
                <w:sz w:val="21"/>
                <w:szCs w:val="21"/>
                <w14:textFill>
                  <w14:solidFill>
                    <w14:schemeClr w14:val="tx1"/>
                  </w14:solidFill>
                </w14:textFill>
              </w:rPr>
              <w:t>固体废物</w:t>
            </w:r>
          </w:p>
        </w:tc>
        <w:tc>
          <w:tcPr>
            <w:tcW w:w="1732" w:type="dxa"/>
            <w:vAlign w:val="center"/>
          </w:tcPr>
          <w:p w14:paraId="004F9107">
            <w:pPr>
              <w:ind w:firstLine="0" w:firstLineChars="0"/>
              <w:jc w:val="center"/>
              <w:rPr>
                <w:color w:val="000000" w:themeColor="text1"/>
                <w:kern w:val="0"/>
                <w:sz w:val="21"/>
                <w:szCs w:val="21"/>
                <w14:textFill>
                  <w14:solidFill>
                    <w14:schemeClr w14:val="tx1"/>
                  </w14:solidFill>
                </w14:textFill>
              </w:rPr>
            </w:pPr>
            <w:r>
              <w:rPr>
                <w:rFonts w:ascii="宋体" w:hAnsi="宋体"/>
                <w:color w:val="000000" w:themeColor="text1"/>
                <w:kern w:val="0"/>
                <w:sz w:val="21"/>
                <w:szCs w:val="21"/>
                <w14:textFill>
                  <w14:solidFill>
                    <w14:schemeClr w14:val="tx1"/>
                  </w14:solidFill>
                </w14:textFill>
              </w:rPr>
              <w:t>生态环境</w:t>
            </w:r>
          </w:p>
        </w:tc>
        <w:tc>
          <w:tcPr>
            <w:tcW w:w="617" w:type="dxa"/>
            <w:vAlign w:val="center"/>
          </w:tcPr>
          <w:p w14:paraId="5956A67B">
            <w:pPr>
              <w:ind w:firstLine="0" w:firstLineChars="0"/>
              <w:jc w:val="center"/>
              <w:rPr>
                <w:color w:val="000000" w:themeColor="text1"/>
                <w:kern w:val="0"/>
                <w:sz w:val="21"/>
                <w:szCs w:val="21"/>
                <w14:textFill>
                  <w14:solidFill>
                    <w14:schemeClr w14:val="tx1"/>
                  </w14:solidFill>
                </w14:textFill>
              </w:rPr>
            </w:pPr>
          </w:p>
        </w:tc>
        <w:tc>
          <w:tcPr>
            <w:tcW w:w="617" w:type="dxa"/>
            <w:vAlign w:val="center"/>
          </w:tcPr>
          <w:p w14:paraId="6BEFC86E">
            <w:pPr>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w:t>
            </w:r>
          </w:p>
        </w:tc>
        <w:tc>
          <w:tcPr>
            <w:tcW w:w="617" w:type="dxa"/>
            <w:vAlign w:val="center"/>
          </w:tcPr>
          <w:p w14:paraId="36BAEBEC">
            <w:pPr>
              <w:ind w:firstLine="0" w:firstLineChars="0"/>
              <w:jc w:val="center"/>
              <w:rPr>
                <w:color w:val="000000" w:themeColor="text1"/>
                <w:kern w:val="0"/>
                <w:sz w:val="21"/>
                <w:szCs w:val="21"/>
                <w14:textFill>
                  <w14:solidFill>
                    <w14:schemeClr w14:val="tx1"/>
                  </w14:solidFill>
                </w14:textFill>
              </w:rPr>
            </w:pPr>
          </w:p>
        </w:tc>
        <w:tc>
          <w:tcPr>
            <w:tcW w:w="618" w:type="dxa"/>
            <w:vAlign w:val="center"/>
          </w:tcPr>
          <w:p w14:paraId="50BC95B4">
            <w:pPr>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w:t>
            </w:r>
          </w:p>
        </w:tc>
      </w:tr>
      <w:tr w14:paraId="1030EC2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339" w:hRule="atLeast"/>
          <w:jc w:val="center"/>
        </w:trPr>
        <w:tc>
          <w:tcPr>
            <w:tcW w:w="609" w:type="dxa"/>
            <w:vMerge w:val="restart"/>
            <w:vAlign w:val="center"/>
          </w:tcPr>
          <w:p w14:paraId="7624F64C">
            <w:pPr>
              <w:ind w:firstLine="0" w:firstLineChars="0"/>
              <w:jc w:val="center"/>
              <w:rPr>
                <w:color w:val="000000" w:themeColor="text1"/>
                <w:kern w:val="0"/>
                <w:sz w:val="21"/>
                <w:szCs w:val="21"/>
                <w14:textFill>
                  <w14:solidFill>
                    <w14:schemeClr w14:val="tx1"/>
                  </w14:solidFill>
                </w14:textFill>
              </w:rPr>
            </w:pPr>
            <w:r>
              <w:rPr>
                <w:rFonts w:ascii="宋体" w:hAnsi="宋体"/>
                <w:color w:val="000000" w:themeColor="text1"/>
                <w:kern w:val="0"/>
                <w:sz w:val="21"/>
                <w:szCs w:val="21"/>
                <w14:textFill>
                  <w14:solidFill>
                    <w14:schemeClr w14:val="tx1"/>
                  </w14:solidFill>
                </w14:textFill>
              </w:rPr>
              <w:t>运</w:t>
            </w:r>
          </w:p>
          <w:p w14:paraId="3E495A1A">
            <w:pPr>
              <w:ind w:firstLine="0" w:firstLineChars="0"/>
              <w:jc w:val="center"/>
              <w:rPr>
                <w:color w:val="000000" w:themeColor="text1"/>
                <w:kern w:val="0"/>
                <w:sz w:val="21"/>
                <w:szCs w:val="21"/>
                <w14:textFill>
                  <w14:solidFill>
                    <w14:schemeClr w14:val="tx1"/>
                  </w14:solidFill>
                </w14:textFill>
              </w:rPr>
            </w:pPr>
            <w:r>
              <w:rPr>
                <w:rFonts w:ascii="宋体" w:hAnsi="宋体"/>
                <w:color w:val="000000" w:themeColor="text1"/>
                <w:kern w:val="0"/>
                <w:sz w:val="21"/>
                <w:szCs w:val="21"/>
                <w14:textFill>
                  <w14:solidFill>
                    <w14:schemeClr w14:val="tx1"/>
                  </w14:solidFill>
                </w14:textFill>
              </w:rPr>
              <w:t>营</w:t>
            </w:r>
          </w:p>
          <w:p w14:paraId="5683DEBE">
            <w:pPr>
              <w:ind w:firstLine="0" w:firstLineChars="0"/>
              <w:jc w:val="center"/>
              <w:rPr>
                <w:color w:val="000000" w:themeColor="text1"/>
                <w:kern w:val="0"/>
                <w:sz w:val="21"/>
                <w:szCs w:val="21"/>
                <w14:textFill>
                  <w14:solidFill>
                    <w14:schemeClr w14:val="tx1"/>
                  </w14:solidFill>
                </w14:textFill>
              </w:rPr>
            </w:pPr>
            <w:r>
              <w:rPr>
                <w:rFonts w:ascii="宋体" w:hAnsi="宋体"/>
                <w:color w:val="000000" w:themeColor="text1"/>
                <w:kern w:val="0"/>
                <w:sz w:val="21"/>
                <w:szCs w:val="21"/>
                <w14:textFill>
                  <w14:solidFill>
                    <w14:schemeClr w14:val="tx1"/>
                  </w14:solidFill>
                </w14:textFill>
              </w:rPr>
              <w:t>期</w:t>
            </w:r>
          </w:p>
        </w:tc>
        <w:tc>
          <w:tcPr>
            <w:tcW w:w="2669" w:type="dxa"/>
            <w:vAlign w:val="center"/>
          </w:tcPr>
          <w:p w14:paraId="19EC0ADD">
            <w:pPr>
              <w:ind w:firstLine="0" w:firstLineChars="0"/>
              <w:jc w:val="center"/>
              <w:rPr>
                <w:color w:val="000000" w:themeColor="text1"/>
                <w:kern w:val="0"/>
                <w:sz w:val="21"/>
                <w:szCs w:val="21"/>
                <w14:textFill>
                  <w14:solidFill>
                    <w14:schemeClr w14:val="tx1"/>
                  </w14:solidFill>
                </w14:textFill>
              </w:rPr>
            </w:pPr>
            <w:r>
              <w:rPr>
                <w:rFonts w:ascii="宋体" w:hAnsi="宋体"/>
                <w:color w:val="000000" w:themeColor="text1"/>
                <w:kern w:val="0"/>
                <w:sz w:val="21"/>
                <w:szCs w:val="21"/>
                <w14:textFill>
                  <w14:solidFill>
                    <w14:schemeClr w14:val="tx1"/>
                  </w14:solidFill>
                </w14:textFill>
              </w:rPr>
              <w:t>生产废水、到港船舶废水</w:t>
            </w:r>
          </w:p>
        </w:tc>
        <w:tc>
          <w:tcPr>
            <w:tcW w:w="1707" w:type="dxa"/>
            <w:vAlign w:val="center"/>
          </w:tcPr>
          <w:p w14:paraId="4A04AE60">
            <w:pPr>
              <w:ind w:firstLine="0" w:firstLineChars="0"/>
              <w:jc w:val="center"/>
              <w:rPr>
                <w:color w:val="000000" w:themeColor="text1"/>
                <w:kern w:val="0"/>
                <w:sz w:val="21"/>
                <w:szCs w:val="21"/>
                <w14:textFill>
                  <w14:solidFill>
                    <w14:schemeClr w14:val="tx1"/>
                  </w14:solidFill>
                </w14:textFill>
              </w:rPr>
            </w:pPr>
            <w:r>
              <w:rPr>
                <w:rFonts w:ascii="宋体" w:hAnsi="宋体"/>
                <w:color w:val="000000" w:themeColor="text1"/>
                <w:kern w:val="0"/>
                <w:sz w:val="21"/>
                <w:szCs w:val="21"/>
                <w14:textFill>
                  <w14:solidFill>
                    <w14:schemeClr w14:val="tx1"/>
                  </w14:solidFill>
                </w14:textFill>
              </w:rPr>
              <w:t>废水</w:t>
            </w:r>
          </w:p>
        </w:tc>
        <w:tc>
          <w:tcPr>
            <w:tcW w:w="1732" w:type="dxa"/>
            <w:vAlign w:val="center"/>
          </w:tcPr>
          <w:p w14:paraId="4243E63D">
            <w:pPr>
              <w:ind w:firstLine="0" w:firstLineChars="0"/>
              <w:jc w:val="center"/>
              <w:rPr>
                <w:color w:val="000000" w:themeColor="text1"/>
                <w:kern w:val="0"/>
                <w:sz w:val="21"/>
                <w:szCs w:val="21"/>
                <w14:textFill>
                  <w14:solidFill>
                    <w14:schemeClr w14:val="tx1"/>
                  </w14:solidFill>
                </w14:textFill>
              </w:rPr>
            </w:pPr>
            <w:r>
              <w:rPr>
                <w:rFonts w:ascii="宋体" w:hAnsi="宋体"/>
                <w:color w:val="000000" w:themeColor="text1"/>
                <w:kern w:val="0"/>
                <w:sz w:val="21"/>
                <w:szCs w:val="21"/>
                <w14:textFill>
                  <w14:solidFill>
                    <w14:schemeClr w14:val="tx1"/>
                  </w14:solidFill>
                </w14:textFill>
              </w:rPr>
              <w:t>水环境</w:t>
            </w:r>
          </w:p>
        </w:tc>
        <w:tc>
          <w:tcPr>
            <w:tcW w:w="617" w:type="dxa"/>
            <w:vAlign w:val="center"/>
          </w:tcPr>
          <w:p w14:paraId="188572C5">
            <w:pPr>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w:t>
            </w:r>
          </w:p>
        </w:tc>
        <w:tc>
          <w:tcPr>
            <w:tcW w:w="617" w:type="dxa"/>
            <w:vAlign w:val="center"/>
          </w:tcPr>
          <w:p w14:paraId="40E073A5">
            <w:pPr>
              <w:ind w:firstLine="0" w:firstLineChars="0"/>
              <w:jc w:val="center"/>
              <w:rPr>
                <w:color w:val="000000" w:themeColor="text1"/>
                <w:kern w:val="0"/>
                <w:sz w:val="21"/>
                <w:szCs w:val="21"/>
                <w14:textFill>
                  <w14:solidFill>
                    <w14:schemeClr w14:val="tx1"/>
                  </w14:solidFill>
                </w14:textFill>
              </w:rPr>
            </w:pPr>
          </w:p>
        </w:tc>
        <w:tc>
          <w:tcPr>
            <w:tcW w:w="617" w:type="dxa"/>
            <w:vAlign w:val="center"/>
          </w:tcPr>
          <w:p w14:paraId="2DA01359">
            <w:pPr>
              <w:ind w:firstLine="0" w:firstLineChars="0"/>
              <w:jc w:val="center"/>
              <w:rPr>
                <w:color w:val="000000" w:themeColor="text1"/>
                <w:kern w:val="0"/>
                <w:sz w:val="21"/>
                <w:szCs w:val="21"/>
                <w14:textFill>
                  <w14:solidFill>
                    <w14:schemeClr w14:val="tx1"/>
                  </w14:solidFill>
                </w14:textFill>
              </w:rPr>
            </w:pPr>
          </w:p>
        </w:tc>
        <w:tc>
          <w:tcPr>
            <w:tcW w:w="618" w:type="dxa"/>
            <w:vAlign w:val="center"/>
          </w:tcPr>
          <w:p w14:paraId="29CF556E">
            <w:pPr>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w:t>
            </w:r>
          </w:p>
        </w:tc>
      </w:tr>
      <w:tr w14:paraId="65B5593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jc w:val="center"/>
        </w:trPr>
        <w:tc>
          <w:tcPr>
            <w:tcW w:w="3278" w:type="dxa"/>
            <w:vMerge w:val="continue"/>
            <w:vAlign w:val="center"/>
          </w:tcPr>
          <w:p w14:paraId="762C0AB7">
            <w:pPr>
              <w:widowControl/>
              <w:spacing w:line="240" w:lineRule="auto"/>
              <w:ind w:firstLine="0" w:firstLineChars="0"/>
              <w:jc w:val="left"/>
              <w:rPr>
                <w:color w:val="000000" w:themeColor="text1"/>
                <w:kern w:val="0"/>
                <w:sz w:val="21"/>
                <w:szCs w:val="21"/>
                <w14:textFill>
                  <w14:solidFill>
                    <w14:schemeClr w14:val="tx1"/>
                  </w14:solidFill>
                </w14:textFill>
              </w:rPr>
            </w:pPr>
          </w:p>
        </w:tc>
        <w:tc>
          <w:tcPr>
            <w:tcW w:w="2669" w:type="dxa"/>
            <w:vAlign w:val="center"/>
          </w:tcPr>
          <w:p w14:paraId="4931E273">
            <w:pPr>
              <w:ind w:firstLine="0" w:firstLineChars="0"/>
              <w:jc w:val="center"/>
              <w:rPr>
                <w:color w:val="000000" w:themeColor="text1"/>
                <w:kern w:val="0"/>
                <w:sz w:val="21"/>
                <w:szCs w:val="21"/>
                <w14:textFill>
                  <w14:solidFill>
                    <w14:schemeClr w14:val="tx1"/>
                  </w14:solidFill>
                </w14:textFill>
              </w:rPr>
            </w:pPr>
            <w:r>
              <w:rPr>
                <w:rFonts w:ascii="宋体" w:hAnsi="宋体"/>
                <w:color w:val="000000" w:themeColor="text1"/>
                <w:kern w:val="0"/>
                <w:sz w:val="21"/>
                <w:szCs w:val="21"/>
                <w14:textFill>
                  <w14:solidFill>
                    <w14:schemeClr w14:val="tx1"/>
                  </w14:solidFill>
                </w14:textFill>
              </w:rPr>
              <w:t>货物装卸及运输、到港船舶</w:t>
            </w:r>
          </w:p>
        </w:tc>
        <w:tc>
          <w:tcPr>
            <w:tcW w:w="1707" w:type="dxa"/>
            <w:vAlign w:val="center"/>
          </w:tcPr>
          <w:p w14:paraId="0DE6CFF6">
            <w:pPr>
              <w:ind w:firstLine="0" w:firstLineChars="0"/>
              <w:jc w:val="center"/>
              <w:rPr>
                <w:color w:val="000000" w:themeColor="text1"/>
                <w:kern w:val="0"/>
                <w:sz w:val="21"/>
                <w:szCs w:val="21"/>
                <w14:textFill>
                  <w14:solidFill>
                    <w14:schemeClr w14:val="tx1"/>
                  </w14:solidFill>
                </w14:textFill>
              </w:rPr>
            </w:pPr>
            <w:r>
              <w:rPr>
                <w:rFonts w:ascii="宋体" w:hAnsi="宋体"/>
                <w:color w:val="000000" w:themeColor="text1"/>
                <w:kern w:val="0"/>
                <w:sz w:val="21"/>
                <w:szCs w:val="21"/>
                <w14:textFill>
                  <w14:solidFill>
                    <w14:schemeClr w14:val="tx1"/>
                  </w14:solidFill>
                </w14:textFill>
              </w:rPr>
              <w:t>噪声</w:t>
            </w:r>
          </w:p>
        </w:tc>
        <w:tc>
          <w:tcPr>
            <w:tcW w:w="1732" w:type="dxa"/>
            <w:vAlign w:val="center"/>
          </w:tcPr>
          <w:p w14:paraId="10535C70">
            <w:pPr>
              <w:ind w:firstLine="0" w:firstLineChars="0"/>
              <w:jc w:val="center"/>
              <w:rPr>
                <w:color w:val="000000" w:themeColor="text1"/>
                <w:kern w:val="0"/>
                <w:sz w:val="21"/>
                <w:szCs w:val="21"/>
                <w14:textFill>
                  <w14:solidFill>
                    <w14:schemeClr w14:val="tx1"/>
                  </w14:solidFill>
                </w14:textFill>
              </w:rPr>
            </w:pPr>
            <w:r>
              <w:rPr>
                <w:rFonts w:ascii="宋体" w:hAnsi="宋体"/>
                <w:color w:val="000000" w:themeColor="text1"/>
                <w:kern w:val="0"/>
                <w:sz w:val="21"/>
                <w:szCs w:val="21"/>
                <w14:textFill>
                  <w14:solidFill>
                    <w14:schemeClr w14:val="tx1"/>
                  </w14:solidFill>
                </w14:textFill>
              </w:rPr>
              <w:t>声环境</w:t>
            </w:r>
          </w:p>
        </w:tc>
        <w:tc>
          <w:tcPr>
            <w:tcW w:w="617" w:type="dxa"/>
            <w:vAlign w:val="center"/>
          </w:tcPr>
          <w:p w14:paraId="7251E48A">
            <w:pPr>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w:t>
            </w:r>
          </w:p>
        </w:tc>
        <w:tc>
          <w:tcPr>
            <w:tcW w:w="617" w:type="dxa"/>
            <w:vAlign w:val="center"/>
          </w:tcPr>
          <w:p w14:paraId="3418B65B">
            <w:pPr>
              <w:ind w:firstLine="0" w:firstLineChars="0"/>
              <w:jc w:val="center"/>
              <w:rPr>
                <w:color w:val="000000" w:themeColor="text1"/>
                <w:kern w:val="0"/>
                <w:sz w:val="21"/>
                <w:szCs w:val="21"/>
                <w14:textFill>
                  <w14:solidFill>
                    <w14:schemeClr w14:val="tx1"/>
                  </w14:solidFill>
                </w14:textFill>
              </w:rPr>
            </w:pPr>
          </w:p>
        </w:tc>
        <w:tc>
          <w:tcPr>
            <w:tcW w:w="617" w:type="dxa"/>
            <w:vAlign w:val="center"/>
          </w:tcPr>
          <w:p w14:paraId="1BC9AD1E">
            <w:pPr>
              <w:ind w:firstLine="0" w:firstLineChars="0"/>
              <w:jc w:val="center"/>
              <w:rPr>
                <w:color w:val="000000" w:themeColor="text1"/>
                <w:kern w:val="0"/>
                <w:sz w:val="21"/>
                <w:szCs w:val="21"/>
                <w14:textFill>
                  <w14:solidFill>
                    <w14:schemeClr w14:val="tx1"/>
                  </w14:solidFill>
                </w14:textFill>
              </w:rPr>
            </w:pPr>
          </w:p>
        </w:tc>
        <w:tc>
          <w:tcPr>
            <w:tcW w:w="618" w:type="dxa"/>
            <w:vAlign w:val="center"/>
          </w:tcPr>
          <w:p w14:paraId="47A65674">
            <w:pPr>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w:t>
            </w:r>
          </w:p>
        </w:tc>
      </w:tr>
      <w:tr w14:paraId="6CFD4CA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jc w:val="center"/>
        </w:trPr>
        <w:tc>
          <w:tcPr>
            <w:tcW w:w="3278" w:type="dxa"/>
            <w:vMerge w:val="continue"/>
            <w:vAlign w:val="center"/>
          </w:tcPr>
          <w:p w14:paraId="7E651653">
            <w:pPr>
              <w:widowControl/>
              <w:spacing w:line="240" w:lineRule="auto"/>
              <w:ind w:firstLine="0" w:firstLineChars="0"/>
              <w:jc w:val="left"/>
              <w:rPr>
                <w:color w:val="000000" w:themeColor="text1"/>
                <w:kern w:val="0"/>
                <w:sz w:val="21"/>
                <w:szCs w:val="21"/>
                <w14:textFill>
                  <w14:solidFill>
                    <w14:schemeClr w14:val="tx1"/>
                  </w14:solidFill>
                </w14:textFill>
              </w:rPr>
            </w:pPr>
          </w:p>
        </w:tc>
        <w:tc>
          <w:tcPr>
            <w:tcW w:w="2669" w:type="dxa"/>
            <w:vAlign w:val="center"/>
          </w:tcPr>
          <w:p w14:paraId="094964E7">
            <w:pPr>
              <w:ind w:firstLine="0" w:firstLineChars="0"/>
              <w:jc w:val="center"/>
              <w:rPr>
                <w:color w:val="000000" w:themeColor="text1"/>
                <w:kern w:val="0"/>
                <w:sz w:val="21"/>
                <w:szCs w:val="21"/>
                <w14:textFill>
                  <w14:solidFill>
                    <w14:schemeClr w14:val="tx1"/>
                  </w14:solidFill>
                </w14:textFill>
              </w:rPr>
            </w:pPr>
            <w:r>
              <w:rPr>
                <w:rFonts w:ascii="宋体" w:hAnsi="宋体"/>
                <w:color w:val="000000" w:themeColor="text1"/>
                <w:kern w:val="0"/>
                <w:sz w:val="21"/>
                <w:szCs w:val="21"/>
                <w14:textFill>
                  <w14:solidFill>
                    <w14:schemeClr w14:val="tx1"/>
                  </w14:solidFill>
                </w14:textFill>
              </w:rPr>
              <w:t>船舶固体废物、</w:t>
            </w:r>
            <w:r>
              <w:rPr>
                <w:rFonts w:hint="eastAsia" w:ascii="宋体" w:hAnsi="宋体"/>
                <w:color w:val="000000" w:themeColor="text1"/>
                <w:kern w:val="0"/>
                <w:sz w:val="21"/>
                <w:szCs w:val="21"/>
                <w14:textFill>
                  <w14:solidFill>
                    <w14:schemeClr w14:val="tx1"/>
                  </w14:solidFill>
                </w14:textFill>
              </w:rPr>
              <w:t>维修废物</w:t>
            </w:r>
          </w:p>
        </w:tc>
        <w:tc>
          <w:tcPr>
            <w:tcW w:w="1707" w:type="dxa"/>
            <w:vAlign w:val="center"/>
          </w:tcPr>
          <w:p w14:paraId="6077FBCB">
            <w:pPr>
              <w:ind w:firstLine="0" w:firstLineChars="0"/>
              <w:jc w:val="center"/>
              <w:rPr>
                <w:color w:val="000000" w:themeColor="text1"/>
                <w:kern w:val="0"/>
                <w:sz w:val="21"/>
                <w:szCs w:val="21"/>
                <w14:textFill>
                  <w14:solidFill>
                    <w14:schemeClr w14:val="tx1"/>
                  </w14:solidFill>
                </w14:textFill>
              </w:rPr>
            </w:pPr>
            <w:r>
              <w:rPr>
                <w:rFonts w:ascii="宋体" w:hAnsi="宋体"/>
                <w:color w:val="000000" w:themeColor="text1"/>
                <w:kern w:val="0"/>
                <w:sz w:val="21"/>
                <w:szCs w:val="21"/>
                <w14:textFill>
                  <w14:solidFill>
                    <w14:schemeClr w14:val="tx1"/>
                  </w14:solidFill>
                </w14:textFill>
              </w:rPr>
              <w:t>固体废物</w:t>
            </w:r>
          </w:p>
        </w:tc>
        <w:tc>
          <w:tcPr>
            <w:tcW w:w="1732" w:type="dxa"/>
            <w:vAlign w:val="center"/>
          </w:tcPr>
          <w:p w14:paraId="31E553DE">
            <w:pPr>
              <w:ind w:firstLine="0" w:firstLineChars="0"/>
              <w:jc w:val="center"/>
              <w:rPr>
                <w:color w:val="000000" w:themeColor="text1"/>
                <w:kern w:val="0"/>
                <w:sz w:val="21"/>
                <w:szCs w:val="21"/>
                <w14:textFill>
                  <w14:solidFill>
                    <w14:schemeClr w14:val="tx1"/>
                  </w14:solidFill>
                </w14:textFill>
              </w:rPr>
            </w:pPr>
            <w:r>
              <w:rPr>
                <w:rFonts w:ascii="宋体" w:hAnsi="宋体"/>
                <w:color w:val="000000" w:themeColor="text1"/>
                <w:kern w:val="0"/>
                <w:sz w:val="21"/>
                <w:szCs w:val="21"/>
                <w14:textFill>
                  <w14:solidFill>
                    <w14:schemeClr w14:val="tx1"/>
                  </w14:solidFill>
                </w14:textFill>
              </w:rPr>
              <w:t>生态环境</w:t>
            </w:r>
          </w:p>
        </w:tc>
        <w:tc>
          <w:tcPr>
            <w:tcW w:w="617" w:type="dxa"/>
            <w:vAlign w:val="center"/>
          </w:tcPr>
          <w:p w14:paraId="491CC9B4">
            <w:pPr>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w:t>
            </w:r>
          </w:p>
        </w:tc>
        <w:tc>
          <w:tcPr>
            <w:tcW w:w="617" w:type="dxa"/>
            <w:vAlign w:val="center"/>
          </w:tcPr>
          <w:p w14:paraId="61F733F4">
            <w:pPr>
              <w:ind w:firstLine="0" w:firstLineChars="0"/>
              <w:jc w:val="center"/>
              <w:rPr>
                <w:color w:val="000000" w:themeColor="text1"/>
                <w:kern w:val="0"/>
                <w:sz w:val="21"/>
                <w:szCs w:val="21"/>
                <w14:textFill>
                  <w14:solidFill>
                    <w14:schemeClr w14:val="tx1"/>
                  </w14:solidFill>
                </w14:textFill>
              </w:rPr>
            </w:pPr>
          </w:p>
        </w:tc>
        <w:tc>
          <w:tcPr>
            <w:tcW w:w="617" w:type="dxa"/>
            <w:vAlign w:val="center"/>
          </w:tcPr>
          <w:p w14:paraId="5387B89C">
            <w:pPr>
              <w:ind w:firstLine="0" w:firstLineChars="0"/>
              <w:jc w:val="center"/>
              <w:rPr>
                <w:color w:val="000000" w:themeColor="text1"/>
                <w:kern w:val="0"/>
                <w:sz w:val="21"/>
                <w:szCs w:val="21"/>
                <w14:textFill>
                  <w14:solidFill>
                    <w14:schemeClr w14:val="tx1"/>
                  </w14:solidFill>
                </w14:textFill>
              </w:rPr>
            </w:pPr>
          </w:p>
        </w:tc>
        <w:tc>
          <w:tcPr>
            <w:tcW w:w="618" w:type="dxa"/>
            <w:vAlign w:val="center"/>
          </w:tcPr>
          <w:p w14:paraId="480F6D0F">
            <w:pPr>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w:t>
            </w:r>
          </w:p>
        </w:tc>
      </w:tr>
      <w:tr w14:paraId="2D9BCDB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jc w:val="center"/>
        </w:trPr>
        <w:tc>
          <w:tcPr>
            <w:tcW w:w="3278" w:type="dxa"/>
            <w:vMerge w:val="continue"/>
            <w:vAlign w:val="center"/>
          </w:tcPr>
          <w:p w14:paraId="4F2750B2">
            <w:pPr>
              <w:widowControl/>
              <w:spacing w:line="240" w:lineRule="auto"/>
              <w:ind w:firstLine="0" w:firstLineChars="0"/>
              <w:jc w:val="left"/>
              <w:rPr>
                <w:color w:val="000000" w:themeColor="text1"/>
                <w:kern w:val="0"/>
                <w:sz w:val="21"/>
                <w:szCs w:val="21"/>
                <w14:textFill>
                  <w14:solidFill>
                    <w14:schemeClr w14:val="tx1"/>
                  </w14:solidFill>
                </w14:textFill>
              </w:rPr>
            </w:pPr>
          </w:p>
        </w:tc>
        <w:tc>
          <w:tcPr>
            <w:tcW w:w="2669" w:type="dxa"/>
            <w:vAlign w:val="center"/>
          </w:tcPr>
          <w:p w14:paraId="3BE6310C">
            <w:pPr>
              <w:ind w:firstLine="0" w:firstLineChars="0"/>
              <w:jc w:val="center"/>
              <w:rPr>
                <w:color w:val="000000" w:themeColor="text1"/>
                <w:kern w:val="0"/>
                <w:sz w:val="21"/>
                <w:szCs w:val="21"/>
                <w14:textFill>
                  <w14:solidFill>
                    <w14:schemeClr w14:val="tx1"/>
                  </w14:solidFill>
                </w14:textFill>
              </w:rPr>
            </w:pPr>
            <w:r>
              <w:rPr>
                <w:rFonts w:ascii="宋体" w:hAnsi="宋体"/>
                <w:color w:val="000000" w:themeColor="text1"/>
                <w:kern w:val="0"/>
                <w:sz w:val="21"/>
                <w:szCs w:val="21"/>
                <w14:textFill>
                  <w14:solidFill>
                    <w14:schemeClr w14:val="tx1"/>
                  </w14:solidFill>
                </w14:textFill>
              </w:rPr>
              <w:t>装卸运输、船舶废气</w:t>
            </w:r>
          </w:p>
        </w:tc>
        <w:tc>
          <w:tcPr>
            <w:tcW w:w="1707" w:type="dxa"/>
            <w:vAlign w:val="center"/>
          </w:tcPr>
          <w:p w14:paraId="3348F9B7">
            <w:pPr>
              <w:ind w:firstLine="0" w:firstLineChars="0"/>
              <w:jc w:val="center"/>
              <w:rPr>
                <w:color w:val="000000" w:themeColor="text1"/>
                <w:kern w:val="0"/>
                <w:sz w:val="21"/>
                <w:szCs w:val="21"/>
                <w14:textFill>
                  <w14:solidFill>
                    <w14:schemeClr w14:val="tx1"/>
                  </w14:solidFill>
                </w14:textFill>
              </w:rPr>
            </w:pPr>
            <w:r>
              <w:rPr>
                <w:rFonts w:ascii="宋体" w:hAnsi="宋体"/>
                <w:color w:val="000000" w:themeColor="text1"/>
                <w:kern w:val="0"/>
                <w:sz w:val="21"/>
                <w:szCs w:val="21"/>
                <w14:textFill>
                  <w14:solidFill>
                    <w14:schemeClr w14:val="tx1"/>
                  </w14:solidFill>
                </w14:textFill>
              </w:rPr>
              <w:t>废气</w:t>
            </w:r>
          </w:p>
        </w:tc>
        <w:tc>
          <w:tcPr>
            <w:tcW w:w="1732" w:type="dxa"/>
            <w:vAlign w:val="center"/>
          </w:tcPr>
          <w:p w14:paraId="2262D5E9">
            <w:pPr>
              <w:ind w:firstLine="0" w:firstLineChars="0"/>
              <w:jc w:val="center"/>
              <w:rPr>
                <w:color w:val="000000" w:themeColor="text1"/>
                <w:kern w:val="0"/>
                <w:sz w:val="21"/>
                <w:szCs w:val="21"/>
                <w14:textFill>
                  <w14:solidFill>
                    <w14:schemeClr w14:val="tx1"/>
                  </w14:solidFill>
                </w14:textFill>
              </w:rPr>
            </w:pPr>
            <w:r>
              <w:rPr>
                <w:rFonts w:ascii="宋体" w:hAnsi="宋体"/>
                <w:color w:val="000000" w:themeColor="text1"/>
                <w:kern w:val="0"/>
                <w:sz w:val="21"/>
                <w:szCs w:val="21"/>
                <w14:textFill>
                  <w14:solidFill>
                    <w14:schemeClr w14:val="tx1"/>
                  </w14:solidFill>
                </w14:textFill>
              </w:rPr>
              <w:t>大气环境</w:t>
            </w:r>
          </w:p>
        </w:tc>
        <w:tc>
          <w:tcPr>
            <w:tcW w:w="617" w:type="dxa"/>
            <w:vAlign w:val="center"/>
          </w:tcPr>
          <w:p w14:paraId="4CEF6838">
            <w:pPr>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w:t>
            </w:r>
          </w:p>
        </w:tc>
        <w:tc>
          <w:tcPr>
            <w:tcW w:w="617" w:type="dxa"/>
            <w:vAlign w:val="center"/>
          </w:tcPr>
          <w:p w14:paraId="4B51F524">
            <w:pPr>
              <w:ind w:firstLine="0" w:firstLineChars="0"/>
              <w:jc w:val="center"/>
              <w:rPr>
                <w:color w:val="000000" w:themeColor="text1"/>
                <w:kern w:val="0"/>
                <w:sz w:val="21"/>
                <w:szCs w:val="21"/>
                <w14:textFill>
                  <w14:solidFill>
                    <w14:schemeClr w14:val="tx1"/>
                  </w14:solidFill>
                </w14:textFill>
              </w:rPr>
            </w:pPr>
          </w:p>
        </w:tc>
        <w:tc>
          <w:tcPr>
            <w:tcW w:w="617" w:type="dxa"/>
            <w:vAlign w:val="center"/>
          </w:tcPr>
          <w:p w14:paraId="71E5C628">
            <w:pPr>
              <w:ind w:firstLine="0" w:firstLineChars="0"/>
              <w:jc w:val="center"/>
              <w:rPr>
                <w:color w:val="000000" w:themeColor="text1"/>
                <w:kern w:val="0"/>
                <w:sz w:val="21"/>
                <w:szCs w:val="21"/>
                <w14:textFill>
                  <w14:solidFill>
                    <w14:schemeClr w14:val="tx1"/>
                  </w14:solidFill>
                </w14:textFill>
              </w:rPr>
            </w:pPr>
          </w:p>
        </w:tc>
        <w:tc>
          <w:tcPr>
            <w:tcW w:w="618" w:type="dxa"/>
            <w:vAlign w:val="center"/>
          </w:tcPr>
          <w:p w14:paraId="73158C3B">
            <w:pPr>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w:t>
            </w:r>
          </w:p>
        </w:tc>
      </w:tr>
    </w:tbl>
    <w:p w14:paraId="58661652">
      <w:pPr>
        <w:pStyle w:val="4"/>
        <w:rPr>
          <w:color w:val="000000" w:themeColor="text1"/>
          <w14:textFill>
            <w14:solidFill>
              <w14:schemeClr w14:val="tx1"/>
            </w14:solidFill>
          </w14:textFill>
        </w:rPr>
      </w:pPr>
      <w:bookmarkStart w:id="67" w:name="_Toc216103172"/>
      <w:bookmarkStart w:id="68" w:name="_Toc26909955"/>
      <w:bookmarkStart w:id="69" w:name="_Toc25436909"/>
      <w:bookmarkStart w:id="70" w:name="_Toc135090170"/>
      <w:bookmarkStart w:id="71" w:name="_Toc136878419"/>
      <w:bookmarkStart w:id="72" w:name="_Toc216620331"/>
      <w:bookmarkStart w:id="73" w:name="_Toc29131769"/>
      <w:r>
        <w:rPr>
          <w:color w:val="000000" w:themeColor="text1"/>
          <w14:textFill>
            <w14:solidFill>
              <w14:schemeClr w14:val="tx1"/>
            </w14:solidFill>
          </w14:textFill>
        </w:rPr>
        <w:t>评价因子筛选</w:t>
      </w:r>
      <w:bookmarkEnd w:id="67"/>
      <w:bookmarkEnd w:id="68"/>
      <w:bookmarkEnd w:id="69"/>
      <w:bookmarkEnd w:id="70"/>
      <w:bookmarkEnd w:id="71"/>
      <w:bookmarkEnd w:id="72"/>
      <w:bookmarkEnd w:id="73"/>
    </w:p>
    <w:p w14:paraId="19DFEFB4">
      <w:pPr>
        <w:ind w:firstLine="480"/>
        <w:rPr>
          <w:color w:val="000000" w:themeColor="text1"/>
          <w14:textFill>
            <w14:solidFill>
              <w14:schemeClr w14:val="tx1"/>
            </w14:solidFill>
          </w14:textFill>
        </w:rPr>
      </w:pPr>
      <w:r>
        <w:rPr>
          <w:color w:val="000000" w:themeColor="text1"/>
          <w14:textFill>
            <w14:solidFill>
              <w14:schemeClr w14:val="tx1"/>
            </w14:solidFill>
          </w14:textFill>
        </w:rPr>
        <w:t>本项目主要评价因子见表1.3-</w:t>
      </w:r>
      <w:r>
        <w:rPr>
          <w:rFonts w:hint="eastAsia"/>
          <w:color w:val="000000" w:themeColor="text1"/>
          <w14:textFill>
            <w14:solidFill>
              <w14:schemeClr w14:val="tx1"/>
            </w14:solidFill>
          </w14:textFill>
        </w:rPr>
        <w:t>3</w:t>
      </w:r>
      <w:r>
        <w:rPr>
          <w:color w:val="000000" w:themeColor="text1"/>
          <w14:textFill>
            <w14:solidFill>
              <w14:schemeClr w14:val="tx1"/>
            </w14:solidFill>
          </w14:textFill>
        </w:rPr>
        <w:t>。</w:t>
      </w:r>
    </w:p>
    <w:p w14:paraId="57618715">
      <w:pPr>
        <w:pStyle w:val="7"/>
        <w:rPr>
          <w:color w:val="000000" w:themeColor="text1"/>
          <w14:textFill>
            <w14:solidFill>
              <w14:schemeClr w14:val="tx1"/>
            </w14:solidFill>
          </w14:textFill>
        </w:rPr>
      </w:pPr>
      <w:r>
        <w:rPr>
          <w:color w:val="000000" w:themeColor="text1"/>
          <w14:textFill>
            <w14:solidFill>
              <w14:schemeClr w14:val="tx1"/>
            </w14:solidFill>
          </w14:textFill>
        </w:rPr>
        <w:t>项目主要评价因子表</w:t>
      </w:r>
    </w:p>
    <w:tbl>
      <w:tblPr>
        <w:tblStyle w:val="43"/>
        <w:tblW w:w="9042"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695"/>
        <w:gridCol w:w="1134"/>
        <w:gridCol w:w="4819"/>
        <w:gridCol w:w="2394"/>
      </w:tblGrid>
      <w:tr w14:paraId="7623A6D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blHeader/>
          <w:jc w:val="center"/>
        </w:trPr>
        <w:tc>
          <w:tcPr>
            <w:tcW w:w="695" w:type="dxa"/>
            <w:tcMar>
              <w:left w:w="0" w:type="dxa"/>
              <w:right w:w="0" w:type="dxa"/>
            </w:tcMar>
            <w:vAlign w:val="center"/>
          </w:tcPr>
          <w:p w14:paraId="45314396">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时期</w:t>
            </w:r>
          </w:p>
        </w:tc>
        <w:tc>
          <w:tcPr>
            <w:tcW w:w="1134" w:type="dxa"/>
            <w:tcMar>
              <w:left w:w="0" w:type="dxa"/>
              <w:right w:w="0" w:type="dxa"/>
            </w:tcMar>
            <w:vAlign w:val="center"/>
          </w:tcPr>
          <w:p w14:paraId="69467958">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环境要素</w:t>
            </w:r>
          </w:p>
        </w:tc>
        <w:tc>
          <w:tcPr>
            <w:tcW w:w="4819" w:type="dxa"/>
            <w:tcMar>
              <w:left w:w="0" w:type="dxa"/>
              <w:right w:w="0" w:type="dxa"/>
            </w:tcMar>
            <w:vAlign w:val="center"/>
          </w:tcPr>
          <w:p w14:paraId="74964AD7">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现状评价因子</w:t>
            </w:r>
          </w:p>
        </w:tc>
        <w:tc>
          <w:tcPr>
            <w:tcW w:w="2394" w:type="dxa"/>
            <w:tcMar>
              <w:left w:w="0" w:type="dxa"/>
              <w:right w:w="0" w:type="dxa"/>
            </w:tcMar>
            <w:vAlign w:val="center"/>
          </w:tcPr>
          <w:p w14:paraId="5050AA88">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预测评价因子、影响分析</w:t>
            </w:r>
          </w:p>
        </w:tc>
      </w:tr>
      <w:tr w14:paraId="25D4692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695" w:type="dxa"/>
            <w:vMerge w:val="restart"/>
            <w:tcMar>
              <w:left w:w="0" w:type="dxa"/>
              <w:right w:w="0" w:type="dxa"/>
            </w:tcMar>
            <w:vAlign w:val="center"/>
          </w:tcPr>
          <w:p w14:paraId="15B3C30E">
            <w:pPr>
              <w:pStyle w:val="70"/>
              <w:rPr>
                <w:color w:val="000000" w:themeColor="text1"/>
                <w14:textFill>
                  <w14:solidFill>
                    <w14:schemeClr w14:val="tx1"/>
                  </w14:solidFill>
                </w14:textFill>
              </w:rPr>
            </w:pPr>
            <w:r>
              <w:rPr>
                <w:color w:val="000000" w:themeColor="text1"/>
                <w14:textFill>
                  <w14:solidFill>
                    <w14:schemeClr w14:val="tx1"/>
                  </w14:solidFill>
                </w14:textFill>
              </w:rPr>
              <w:t>陆域</w:t>
            </w:r>
          </w:p>
          <w:p w14:paraId="1DD3FFC8">
            <w:pPr>
              <w:pStyle w:val="70"/>
              <w:rPr>
                <w:color w:val="000000" w:themeColor="text1"/>
                <w14:textFill>
                  <w14:solidFill>
                    <w14:schemeClr w14:val="tx1"/>
                  </w14:solidFill>
                </w14:textFill>
              </w:rPr>
            </w:pPr>
            <w:r>
              <w:rPr>
                <w:color w:val="000000" w:themeColor="text1"/>
                <w14:textFill>
                  <w14:solidFill>
                    <w14:schemeClr w14:val="tx1"/>
                  </w14:solidFill>
                </w14:textFill>
              </w:rPr>
              <w:t>环境</w:t>
            </w:r>
          </w:p>
        </w:tc>
        <w:tc>
          <w:tcPr>
            <w:tcW w:w="1134" w:type="dxa"/>
            <w:tcMar>
              <w:left w:w="0" w:type="dxa"/>
              <w:right w:w="0" w:type="dxa"/>
            </w:tcMar>
            <w:vAlign w:val="center"/>
          </w:tcPr>
          <w:p w14:paraId="1C179927">
            <w:pPr>
              <w:pStyle w:val="70"/>
              <w:rPr>
                <w:color w:val="000000" w:themeColor="text1"/>
                <w14:textFill>
                  <w14:solidFill>
                    <w14:schemeClr w14:val="tx1"/>
                  </w14:solidFill>
                </w14:textFill>
              </w:rPr>
            </w:pPr>
            <w:r>
              <w:rPr>
                <w:color w:val="000000" w:themeColor="text1"/>
                <w14:textFill>
                  <w14:solidFill>
                    <w14:schemeClr w14:val="tx1"/>
                  </w14:solidFill>
                </w14:textFill>
              </w:rPr>
              <w:t>环境空气</w:t>
            </w:r>
          </w:p>
        </w:tc>
        <w:tc>
          <w:tcPr>
            <w:tcW w:w="4819" w:type="dxa"/>
            <w:tcMar>
              <w:left w:w="0" w:type="dxa"/>
              <w:right w:w="0" w:type="dxa"/>
            </w:tcMar>
            <w:vAlign w:val="center"/>
          </w:tcPr>
          <w:p w14:paraId="308DC264">
            <w:pPr>
              <w:pStyle w:val="70"/>
              <w:rPr>
                <w:color w:val="000000" w:themeColor="text1"/>
                <w14:textFill>
                  <w14:solidFill>
                    <w14:schemeClr w14:val="tx1"/>
                  </w14:solidFill>
                </w14:textFill>
              </w:rPr>
            </w:pPr>
            <w:r>
              <w:rPr>
                <w:color w:val="000000" w:themeColor="text1"/>
                <w14:textFill>
                  <w14:solidFill>
                    <w14:schemeClr w14:val="tx1"/>
                  </w14:solidFill>
                </w14:textFill>
              </w:rPr>
              <w:t>PM</w:t>
            </w:r>
            <w:r>
              <w:rPr>
                <w:color w:val="000000" w:themeColor="text1"/>
                <w:vertAlign w:val="subscript"/>
                <w14:textFill>
                  <w14:solidFill>
                    <w14:schemeClr w14:val="tx1"/>
                  </w14:solidFill>
                </w14:textFill>
              </w:rPr>
              <w:t>10</w:t>
            </w:r>
            <w:r>
              <w:rPr>
                <w:color w:val="000000" w:themeColor="text1"/>
                <w14:textFill>
                  <w14:solidFill>
                    <w14:schemeClr w14:val="tx1"/>
                  </w14:solidFill>
                </w14:textFill>
              </w:rPr>
              <w:t>、PM</w:t>
            </w:r>
            <w:r>
              <w:rPr>
                <w:color w:val="000000" w:themeColor="text1"/>
                <w:vertAlign w:val="subscript"/>
                <w14:textFill>
                  <w14:solidFill>
                    <w14:schemeClr w14:val="tx1"/>
                  </w14:solidFill>
                </w14:textFill>
              </w:rPr>
              <w:t>2.5</w:t>
            </w:r>
            <w:r>
              <w:rPr>
                <w:color w:val="000000" w:themeColor="text1"/>
                <w14:textFill>
                  <w14:solidFill>
                    <w14:schemeClr w14:val="tx1"/>
                  </w14:solidFill>
                </w14:textFill>
              </w:rPr>
              <w:t>、SO</w:t>
            </w:r>
            <w:r>
              <w:rPr>
                <w:color w:val="000000" w:themeColor="text1"/>
                <w:vertAlign w:val="subscript"/>
                <w14:textFill>
                  <w14:solidFill>
                    <w14:schemeClr w14:val="tx1"/>
                  </w14:solidFill>
                </w14:textFill>
              </w:rPr>
              <w:t>2</w:t>
            </w:r>
            <w:r>
              <w:rPr>
                <w:color w:val="000000" w:themeColor="text1"/>
                <w14:textFill>
                  <w14:solidFill>
                    <w14:schemeClr w14:val="tx1"/>
                  </w14:solidFill>
                </w14:textFill>
              </w:rPr>
              <w:t>、NO</w:t>
            </w:r>
            <w:r>
              <w:rPr>
                <w:color w:val="000000" w:themeColor="text1"/>
                <w:vertAlign w:val="subscript"/>
                <w14:textFill>
                  <w14:solidFill>
                    <w14:schemeClr w14:val="tx1"/>
                  </w14:solidFill>
                </w14:textFill>
              </w:rPr>
              <w:t>2</w:t>
            </w:r>
            <w:r>
              <w:rPr>
                <w:color w:val="000000" w:themeColor="text1"/>
                <w14:textFill>
                  <w14:solidFill>
                    <w14:schemeClr w14:val="tx1"/>
                  </w14:solidFill>
                </w14:textFill>
              </w:rPr>
              <w:t>、CO、臭氧、</w:t>
            </w:r>
            <w:r>
              <w:rPr>
                <w:rFonts w:hint="eastAsia"/>
                <w:color w:val="000000" w:themeColor="text1"/>
                <w14:textFill>
                  <w14:solidFill>
                    <w14:schemeClr w14:val="tx1"/>
                  </w14:solidFill>
                </w14:textFill>
              </w:rPr>
              <w:t>非甲烷总烃、苯乙烯、硫酸、臭气浓度</w:t>
            </w:r>
          </w:p>
        </w:tc>
        <w:tc>
          <w:tcPr>
            <w:tcW w:w="2394" w:type="dxa"/>
            <w:tcMar>
              <w:left w:w="0" w:type="dxa"/>
              <w:right w:w="0" w:type="dxa"/>
            </w:tcMar>
            <w:vAlign w:val="center"/>
          </w:tcPr>
          <w:p w14:paraId="5D63C0D1">
            <w:pPr>
              <w:pStyle w:val="70"/>
              <w:rPr>
                <w:rFonts w:hint="eastAsia" w:eastAsia="宋体"/>
                <w:color w:val="000000" w:themeColor="text1"/>
                <w:lang w:eastAsia="zh-CN"/>
                <w14:textFill>
                  <w14:solidFill>
                    <w14:schemeClr w14:val="tx1"/>
                  </w14:solidFill>
                </w14:textFill>
              </w:rPr>
            </w:pPr>
            <w:r>
              <w:rPr>
                <w:rFonts w:hint="eastAsia"/>
                <w:color w:val="000000" w:themeColor="text1"/>
                <w14:textFill>
                  <w14:solidFill>
                    <w14:schemeClr w14:val="tx1"/>
                  </w14:solidFill>
                </w14:textFill>
              </w:rPr>
              <w:t>非甲烷总烃、苯乙烯、</w:t>
            </w:r>
            <w:r>
              <w:rPr>
                <w:rFonts w:hint="eastAsia"/>
                <w:color w:val="000000" w:themeColor="text1"/>
                <w:lang w:val="en-US" w:eastAsia="zh-CN"/>
                <w14:textFill>
                  <w14:solidFill>
                    <w14:schemeClr w14:val="tx1"/>
                  </w14:solidFill>
                </w14:textFill>
              </w:rPr>
              <w:t>硫酸雾</w:t>
            </w:r>
          </w:p>
        </w:tc>
      </w:tr>
      <w:tr w14:paraId="3543F6F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695" w:type="dxa"/>
            <w:vMerge w:val="continue"/>
            <w:tcMar>
              <w:left w:w="0" w:type="dxa"/>
              <w:right w:w="0" w:type="dxa"/>
            </w:tcMar>
            <w:vAlign w:val="center"/>
          </w:tcPr>
          <w:p w14:paraId="5D8ACE2F">
            <w:pPr>
              <w:pStyle w:val="70"/>
              <w:rPr>
                <w:color w:val="000000" w:themeColor="text1"/>
                <w14:textFill>
                  <w14:solidFill>
                    <w14:schemeClr w14:val="tx1"/>
                  </w14:solidFill>
                </w14:textFill>
              </w:rPr>
            </w:pPr>
          </w:p>
        </w:tc>
        <w:tc>
          <w:tcPr>
            <w:tcW w:w="1134" w:type="dxa"/>
            <w:tcMar>
              <w:left w:w="0" w:type="dxa"/>
              <w:right w:w="0" w:type="dxa"/>
            </w:tcMar>
            <w:vAlign w:val="center"/>
          </w:tcPr>
          <w:p w14:paraId="33C77484">
            <w:pPr>
              <w:pStyle w:val="70"/>
              <w:rPr>
                <w:color w:val="000000" w:themeColor="text1"/>
                <w14:textFill>
                  <w14:solidFill>
                    <w14:schemeClr w14:val="tx1"/>
                  </w14:solidFill>
                </w14:textFill>
              </w:rPr>
            </w:pPr>
            <w:r>
              <w:rPr>
                <w:color w:val="000000" w:themeColor="text1"/>
                <w14:textFill>
                  <w14:solidFill>
                    <w14:schemeClr w14:val="tx1"/>
                  </w14:solidFill>
                </w14:textFill>
              </w:rPr>
              <w:t>地下水环境</w:t>
            </w:r>
          </w:p>
        </w:tc>
        <w:tc>
          <w:tcPr>
            <w:tcW w:w="4819" w:type="dxa"/>
            <w:tcMar>
              <w:left w:w="0" w:type="dxa"/>
              <w:right w:w="0" w:type="dxa"/>
            </w:tcMar>
            <w:vAlign w:val="center"/>
          </w:tcPr>
          <w:p w14:paraId="13BA8C64">
            <w:pPr>
              <w:pStyle w:val="7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p</w:t>
            </w:r>
            <w:r>
              <w:rPr>
                <w:rFonts w:hint="eastAsia"/>
                <w:color w:val="000000" w:themeColor="text1"/>
                <w14:textFill>
                  <w14:solidFill>
                    <w14:schemeClr w14:val="tx1"/>
                  </w14:solidFill>
                </w14:textFill>
              </w:rPr>
              <w:t>H、总硬度、溶解性总固体、硫酸盐、氯化物、挥发性酚类、耗氧量、氨氮、硫化物；硝酸盐、亚硝酸盐、氟化物、氰化物、砷、汞、铅、六价铬、镉、苯乙烯。 同步记录井深、水位、埋深。</w:t>
            </w:r>
          </w:p>
        </w:tc>
        <w:tc>
          <w:tcPr>
            <w:tcW w:w="2394" w:type="dxa"/>
            <w:tcMar>
              <w:left w:w="0" w:type="dxa"/>
              <w:right w:w="0" w:type="dxa"/>
            </w:tcMar>
            <w:vAlign w:val="center"/>
          </w:tcPr>
          <w:p w14:paraId="518ADE1B">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58DCD38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695" w:type="dxa"/>
            <w:vMerge w:val="continue"/>
            <w:tcMar>
              <w:left w:w="0" w:type="dxa"/>
              <w:right w:w="0" w:type="dxa"/>
            </w:tcMar>
            <w:vAlign w:val="center"/>
          </w:tcPr>
          <w:p w14:paraId="6F7D5AD5">
            <w:pPr>
              <w:pStyle w:val="70"/>
              <w:rPr>
                <w:color w:val="000000" w:themeColor="text1"/>
                <w14:textFill>
                  <w14:solidFill>
                    <w14:schemeClr w14:val="tx1"/>
                  </w14:solidFill>
                </w14:textFill>
              </w:rPr>
            </w:pPr>
          </w:p>
        </w:tc>
        <w:tc>
          <w:tcPr>
            <w:tcW w:w="1134" w:type="dxa"/>
            <w:tcMar>
              <w:left w:w="0" w:type="dxa"/>
              <w:right w:w="0" w:type="dxa"/>
            </w:tcMar>
            <w:vAlign w:val="center"/>
          </w:tcPr>
          <w:p w14:paraId="31B32057">
            <w:pPr>
              <w:pStyle w:val="70"/>
              <w:rPr>
                <w:color w:val="000000" w:themeColor="text1"/>
                <w14:textFill>
                  <w14:solidFill>
                    <w14:schemeClr w14:val="tx1"/>
                  </w14:solidFill>
                </w14:textFill>
              </w:rPr>
            </w:pPr>
            <w:r>
              <w:rPr>
                <w:color w:val="000000" w:themeColor="text1"/>
                <w14:textFill>
                  <w14:solidFill>
                    <w14:schemeClr w14:val="tx1"/>
                  </w14:solidFill>
                </w14:textFill>
              </w:rPr>
              <w:t>土壤环境</w:t>
            </w:r>
          </w:p>
        </w:tc>
        <w:tc>
          <w:tcPr>
            <w:tcW w:w="4819" w:type="dxa"/>
            <w:tcMar>
              <w:left w:w="0" w:type="dxa"/>
              <w:right w:w="0" w:type="dxa"/>
            </w:tcMar>
            <w:vAlign w:val="center"/>
          </w:tcPr>
          <w:p w14:paraId="006D7550">
            <w:pPr>
              <w:pStyle w:val="70"/>
              <w:rPr>
                <w:color w:val="000000" w:themeColor="text1"/>
                <w14:textFill>
                  <w14:solidFill>
                    <w14:schemeClr w14:val="tx1"/>
                  </w14:solidFill>
                </w14:textFill>
              </w:rPr>
            </w:pPr>
            <w:r>
              <w:rPr>
                <w:color w:val="000000" w:themeColor="text1"/>
                <w14:textFill>
                  <w14:solidFill>
                    <w14:schemeClr w14:val="tx1"/>
                  </w14:solidFill>
                </w14:textFill>
              </w:rPr>
              <w:t>《土壤环境质量 建设用地土壤污染风险管控标准》（GB36600-2018）第二类用地筛选值45项</w:t>
            </w:r>
          </w:p>
        </w:tc>
        <w:tc>
          <w:tcPr>
            <w:tcW w:w="2394" w:type="dxa"/>
            <w:tcMar>
              <w:left w:w="0" w:type="dxa"/>
              <w:right w:w="0" w:type="dxa"/>
            </w:tcMar>
            <w:vAlign w:val="center"/>
          </w:tcPr>
          <w:p w14:paraId="45655C29">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r>
      <w:tr w14:paraId="3DEA253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695" w:type="dxa"/>
            <w:vMerge w:val="continue"/>
            <w:tcMar>
              <w:left w:w="0" w:type="dxa"/>
              <w:right w:w="0" w:type="dxa"/>
            </w:tcMar>
            <w:vAlign w:val="center"/>
          </w:tcPr>
          <w:p w14:paraId="19EC44D7">
            <w:pPr>
              <w:pStyle w:val="70"/>
              <w:rPr>
                <w:color w:val="000000" w:themeColor="text1"/>
                <w14:textFill>
                  <w14:solidFill>
                    <w14:schemeClr w14:val="tx1"/>
                  </w14:solidFill>
                </w14:textFill>
              </w:rPr>
            </w:pPr>
          </w:p>
        </w:tc>
        <w:tc>
          <w:tcPr>
            <w:tcW w:w="1134" w:type="dxa"/>
            <w:tcMar>
              <w:left w:w="0" w:type="dxa"/>
              <w:right w:w="0" w:type="dxa"/>
            </w:tcMar>
            <w:vAlign w:val="center"/>
          </w:tcPr>
          <w:p w14:paraId="5CEF164F">
            <w:pPr>
              <w:pStyle w:val="70"/>
              <w:rPr>
                <w:color w:val="000000" w:themeColor="text1"/>
                <w14:textFill>
                  <w14:solidFill>
                    <w14:schemeClr w14:val="tx1"/>
                  </w14:solidFill>
                </w14:textFill>
              </w:rPr>
            </w:pPr>
            <w:r>
              <w:rPr>
                <w:color w:val="000000" w:themeColor="text1"/>
                <w14:textFill>
                  <w14:solidFill>
                    <w14:schemeClr w14:val="tx1"/>
                  </w14:solidFill>
                </w14:textFill>
              </w:rPr>
              <w:t>声环境</w:t>
            </w:r>
          </w:p>
        </w:tc>
        <w:tc>
          <w:tcPr>
            <w:tcW w:w="4819" w:type="dxa"/>
            <w:tcMar>
              <w:left w:w="0" w:type="dxa"/>
              <w:right w:w="0" w:type="dxa"/>
            </w:tcMar>
            <w:vAlign w:val="center"/>
          </w:tcPr>
          <w:p w14:paraId="1E0D3335">
            <w:pPr>
              <w:pStyle w:val="70"/>
              <w:rPr>
                <w:color w:val="000000" w:themeColor="text1"/>
                <w14:textFill>
                  <w14:solidFill>
                    <w14:schemeClr w14:val="tx1"/>
                  </w14:solidFill>
                </w14:textFill>
              </w:rPr>
            </w:pPr>
            <w:r>
              <w:rPr>
                <w:color w:val="000000" w:themeColor="text1"/>
                <w14:textFill>
                  <w14:solidFill>
                    <w14:schemeClr w14:val="tx1"/>
                  </w14:solidFill>
                </w14:textFill>
              </w:rPr>
              <w:t>等效连续A声级Leq[A]</w:t>
            </w:r>
          </w:p>
        </w:tc>
        <w:tc>
          <w:tcPr>
            <w:tcW w:w="2394" w:type="dxa"/>
            <w:tcMar>
              <w:left w:w="0" w:type="dxa"/>
              <w:right w:w="0" w:type="dxa"/>
            </w:tcMar>
            <w:vAlign w:val="center"/>
          </w:tcPr>
          <w:p w14:paraId="6A62CB55">
            <w:pPr>
              <w:pStyle w:val="70"/>
              <w:rPr>
                <w:color w:val="000000" w:themeColor="text1"/>
                <w14:textFill>
                  <w14:solidFill>
                    <w14:schemeClr w14:val="tx1"/>
                  </w14:solidFill>
                </w14:textFill>
              </w:rPr>
            </w:pPr>
            <w:r>
              <w:rPr>
                <w:color w:val="000000" w:themeColor="text1"/>
                <w14:textFill>
                  <w14:solidFill>
                    <w14:schemeClr w14:val="tx1"/>
                  </w14:solidFill>
                </w14:textFill>
              </w:rPr>
              <w:t>Leq[A]</w:t>
            </w:r>
          </w:p>
        </w:tc>
      </w:tr>
      <w:tr w14:paraId="66B45D3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695" w:type="dxa"/>
            <w:vMerge w:val="continue"/>
            <w:tcMar>
              <w:left w:w="0" w:type="dxa"/>
              <w:right w:w="0" w:type="dxa"/>
            </w:tcMar>
            <w:vAlign w:val="center"/>
          </w:tcPr>
          <w:p w14:paraId="17085C6D">
            <w:pPr>
              <w:pStyle w:val="70"/>
              <w:rPr>
                <w:color w:val="000000" w:themeColor="text1"/>
                <w14:textFill>
                  <w14:solidFill>
                    <w14:schemeClr w14:val="tx1"/>
                  </w14:solidFill>
                </w14:textFill>
              </w:rPr>
            </w:pPr>
          </w:p>
        </w:tc>
        <w:tc>
          <w:tcPr>
            <w:tcW w:w="1134" w:type="dxa"/>
            <w:tcMar>
              <w:left w:w="0" w:type="dxa"/>
              <w:right w:w="0" w:type="dxa"/>
            </w:tcMar>
            <w:vAlign w:val="center"/>
          </w:tcPr>
          <w:p w14:paraId="107CE14C">
            <w:pPr>
              <w:pStyle w:val="70"/>
              <w:rPr>
                <w:color w:val="000000" w:themeColor="text1"/>
                <w14:textFill>
                  <w14:solidFill>
                    <w14:schemeClr w14:val="tx1"/>
                  </w14:solidFill>
                </w14:textFill>
              </w:rPr>
            </w:pPr>
            <w:r>
              <w:rPr>
                <w:color w:val="000000" w:themeColor="text1"/>
                <w14:textFill>
                  <w14:solidFill>
                    <w14:schemeClr w14:val="tx1"/>
                  </w14:solidFill>
                </w14:textFill>
              </w:rPr>
              <w:t>固体废物</w:t>
            </w:r>
          </w:p>
        </w:tc>
        <w:tc>
          <w:tcPr>
            <w:tcW w:w="4819" w:type="dxa"/>
            <w:tcMar>
              <w:left w:w="0" w:type="dxa"/>
              <w:right w:w="0" w:type="dxa"/>
            </w:tcMar>
            <w:vAlign w:val="center"/>
          </w:tcPr>
          <w:p w14:paraId="12CB952A">
            <w:pPr>
              <w:pStyle w:val="70"/>
              <w:rPr>
                <w:color w:val="000000" w:themeColor="text1"/>
                <w14:textFill>
                  <w14:solidFill>
                    <w14:schemeClr w14:val="tx1"/>
                  </w14:solidFill>
                </w14:textFill>
              </w:rPr>
            </w:pPr>
            <w:r>
              <w:rPr>
                <w:color w:val="000000" w:themeColor="text1"/>
                <w14:textFill>
                  <w14:solidFill>
                    <w14:schemeClr w14:val="tx1"/>
                  </w14:solidFill>
                </w14:textFill>
              </w:rPr>
              <w:t>一般废物、生活垃圾</w:t>
            </w:r>
          </w:p>
        </w:tc>
        <w:tc>
          <w:tcPr>
            <w:tcW w:w="2394" w:type="dxa"/>
            <w:tcMar>
              <w:left w:w="0" w:type="dxa"/>
              <w:right w:w="0" w:type="dxa"/>
            </w:tcMar>
            <w:vAlign w:val="center"/>
          </w:tcPr>
          <w:p w14:paraId="58EB82A8">
            <w:pPr>
              <w:pStyle w:val="70"/>
              <w:rPr>
                <w:color w:val="000000" w:themeColor="text1"/>
                <w14:textFill>
                  <w14:solidFill>
                    <w14:schemeClr w14:val="tx1"/>
                  </w14:solidFill>
                </w14:textFill>
              </w:rPr>
            </w:pPr>
            <w:r>
              <w:rPr>
                <w:color w:val="000000" w:themeColor="text1"/>
                <w14:textFill>
                  <w14:solidFill>
                    <w14:schemeClr w14:val="tx1"/>
                  </w14:solidFill>
                </w14:textFill>
              </w:rPr>
              <w:t>简单分析</w:t>
            </w:r>
          </w:p>
        </w:tc>
      </w:tr>
      <w:tr w14:paraId="3000EB2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695" w:type="dxa"/>
            <w:vMerge w:val="continue"/>
            <w:tcMar>
              <w:left w:w="0" w:type="dxa"/>
              <w:right w:w="0" w:type="dxa"/>
            </w:tcMar>
            <w:vAlign w:val="center"/>
          </w:tcPr>
          <w:p w14:paraId="7B7915B1">
            <w:pPr>
              <w:pStyle w:val="70"/>
              <w:rPr>
                <w:color w:val="000000" w:themeColor="text1"/>
                <w14:textFill>
                  <w14:solidFill>
                    <w14:schemeClr w14:val="tx1"/>
                  </w14:solidFill>
                </w14:textFill>
              </w:rPr>
            </w:pPr>
          </w:p>
        </w:tc>
        <w:tc>
          <w:tcPr>
            <w:tcW w:w="1134" w:type="dxa"/>
            <w:tcMar>
              <w:left w:w="0" w:type="dxa"/>
              <w:right w:w="0" w:type="dxa"/>
            </w:tcMar>
            <w:vAlign w:val="center"/>
          </w:tcPr>
          <w:p w14:paraId="172373E2">
            <w:pPr>
              <w:pStyle w:val="70"/>
              <w:rPr>
                <w:color w:val="000000" w:themeColor="text1"/>
                <w14:textFill>
                  <w14:solidFill>
                    <w14:schemeClr w14:val="tx1"/>
                  </w14:solidFill>
                </w14:textFill>
              </w:rPr>
            </w:pPr>
            <w:r>
              <w:rPr>
                <w:color w:val="000000" w:themeColor="text1"/>
                <w14:textFill>
                  <w14:solidFill>
                    <w14:schemeClr w14:val="tx1"/>
                  </w14:solidFill>
                </w14:textFill>
              </w:rPr>
              <w:t>环境风险</w:t>
            </w:r>
          </w:p>
        </w:tc>
        <w:tc>
          <w:tcPr>
            <w:tcW w:w="4819" w:type="dxa"/>
            <w:tcMar>
              <w:left w:w="0" w:type="dxa"/>
              <w:right w:w="0" w:type="dxa"/>
            </w:tcMar>
            <w:vAlign w:val="center"/>
          </w:tcPr>
          <w:p w14:paraId="2CFD9387">
            <w:pPr>
              <w:pStyle w:val="70"/>
              <w:rPr>
                <w:color w:val="000000" w:themeColor="text1"/>
                <w14:textFill>
                  <w14:solidFill>
                    <w14:schemeClr w14:val="tx1"/>
                  </w14:solidFill>
                </w14:textFill>
              </w:rPr>
            </w:pPr>
            <w:r>
              <w:rPr>
                <w:color w:val="000000" w:themeColor="text1"/>
                <w14:textFill>
                  <w14:solidFill>
                    <w14:schemeClr w14:val="tx1"/>
                  </w14:solidFill>
                </w14:textFill>
              </w:rPr>
              <w:t>泄漏事故及引发的次生污染</w:t>
            </w:r>
          </w:p>
        </w:tc>
        <w:tc>
          <w:tcPr>
            <w:tcW w:w="2394" w:type="dxa"/>
            <w:tcMar>
              <w:left w:w="0" w:type="dxa"/>
              <w:right w:w="0" w:type="dxa"/>
            </w:tcMar>
            <w:vAlign w:val="center"/>
          </w:tcPr>
          <w:p w14:paraId="7075F17B">
            <w:pPr>
              <w:pStyle w:val="7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苯乙烯、液碱、发烟硫酸</w:t>
            </w:r>
            <w:r>
              <w:rPr>
                <w:color w:val="000000" w:themeColor="text1"/>
                <w14:textFill>
                  <w14:solidFill>
                    <w14:schemeClr w14:val="tx1"/>
                  </w14:solidFill>
                </w14:textFill>
              </w:rPr>
              <w:t>、溢油等</w:t>
            </w:r>
          </w:p>
        </w:tc>
      </w:tr>
      <w:tr w14:paraId="503FC08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695" w:type="dxa"/>
            <w:tcMar>
              <w:left w:w="0" w:type="dxa"/>
              <w:right w:w="0" w:type="dxa"/>
            </w:tcMar>
            <w:vAlign w:val="center"/>
          </w:tcPr>
          <w:p w14:paraId="1D986848">
            <w:pPr>
              <w:pStyle w:val="70"/>
              <w:rPr>
                <w:color w:val="000000" w:themeColor="text1"/>
                <w14:textFill>
                  <w14:solidFill>
                    <w14:schemeClr w14:val="tx1"/>
                  </w14:solidFill>
                </w14:textFill>
              </w:rPr>
            </w:pPr>
            <w:r>
              <w:rPr>
                <w:color w:val="000000" w:themeColor="text1"/>
                <w14:textFill>
                  <w14:solidFill>
                    <w14:schemeClr w14:val="tx1"/>
                  </w14:solidFill>
                </w14:textFill>
              </w:rPr>
              <w:t>海域</w:t>
            </w:r>
          </w:p>
          <w:p w14:paraId="4F0A5D25">
            <w:pPr>
              <w:pStyle w:val="70"/>
              <w:rPr>
                <w:color w:val="000000" w:themeColor="text1"/>
                <w14:textFill>
                  <w14:solidFill>
                    <w14:schemeClr w14:val="tx1"/>
                  </w14:solidFill>
                </w14:textFill>
              </w:rPr>
            </w:pPr>
            <w:r>
              <w:rPr>
                <w:color w:val="000000" w:themeColor="text1"/>
                <w14:textFill>
                  <w14:solidFill>
                    <w14:schemeClr w14:val="tx1"/>
                  </w14:solidFill>
                </w14:textFill>
              </w:rPr>
              <w:t>环境</w:t>
            </w:r>
          </w:p>
        </w:tc>
        <w:tc>
          <w:tcPr>
            <w:tcW w:w="1134" w:type="dxa"/>
            <w:tcMar>
              <w:left w:w="0" w:type="dxa"/>
              <w:right w:w="0" w:type="dxa"/>
            </w:tcMar>
            <w:vAlign w:val="center"/>
          </w:tcPr>
          <w:p w14:paraId="589A7888">
            <w:pPr>
              <w:pStyle w:val="70"/>
              <w:rPr>
                <w:color w:val="000000" w:themeColor="text1"/>
                <w14:textFill>
                  <w14:solidFill>
                    <w14:schemeClr w14:val="tx1"/>
                  </w14:solidFill>
                </w14:textFill>
              </w:rPr>
            </w:pPr>
            <w:r>
              <w:rPr>
                <w:color w:val="000000" w:themeColor="text1"/>
                <w14:textFill>
                  <w14:solidFill>
                    <w14:schemeClr w14:val="tx1"/>
                  </w14:solidFill>
                </w14:textFill>
              </w:rPr>
              <w:t>海洋生态</w:t>
            </w:r>
          </w:p>
        </w:tc>
        <w:tc>
          <w:tcPr>
            <w:tcW w:w="4819" w:type="dxa"/>
            <w:tcMar>
              <w:left w:w="0" w:type="dxa"/>
              <w:right w:w="0" w:type="dxa"/>
            </w:tcMar>
            <w:vAlign w:val="center"/>
          </w:tcPr>
          <w:p w14:paraId="4383C820">
            <w:pPr>
              <w:pStyle w:val="70"/>
              <w:rPr>
                <w:color w:val="000000" w:themeColor="text1"/>
                <w14:textFill>
                  <w14:solidFill>
                    <w14:schemeClr w14:val="tx1"/>
                  </w14:solidFill>
                </w14:textFill>
              </w:rPr>
            </w:pPr>
            <w:r>
              <w:rPr>
                <w:color w:val="000000" w:themeColor="text1"/>
                <w14:textFill>
                  <w14:solidFill>
                    <w14:schemeClr w14:val="tx1"/>
                  </w14:solidFill>
                </w14:textFill>
              </w:rPr>
              <w:t>贝类、软体动物、甲壳类、鱼类</w:t>
            </w:r>
            <w:r>
              <w:rPr>
                <w:rFonts w:hint="eastAsia"/>
                <w:color w:val="000000" w:themeColor="text1"/>
                <w14:textFill>
                  <w14:solidFill>
                    <w14:schemeClr w14:val="tx1"/>
                  </w14:solidFill>
                </w14:textFill>
              </w:rPr>
              <w:t>等</w:t>
            </w:r>
          </w:p>
        </w:tc>
        <w:tc>
          <w:tcPr>
            <w:tcW w:w="2394" w:type="dxa"/>
            <w:tcMar>
              <w:left w:w="0" w:type="dxa"/>
              <w:right w:w="0" w:type="dxa"/>
            </w:tcMar>
            <w:vAlign w:val="center"/>
          </w:tcPr>
          <w:p w14:paraId="006AFF45">
            <w:pPr>
              <w:pStyle w:val="70"/>
              <w:rPr>
                <w:color w:val="000000" w:themeColor="text1"/>
                <w14:textFill>
                  <w14:solidFill>
                    <w14:schemeClr w14:val="tx1"/>
                  </w14:solidFill>
                </w14:textFill>
              </w:rPr>
            </w:pPr>
            <w:r>
              <w:rPr>
                <w:color w:val="000000" w:themeColor="text1"/>
                <w14:textFill>
                  <w14:solidFill>
                    <w14:schemeClr w14:val="tx1"/>
                  </w14:solidFill>
                </w14:textFill>
              </w:rPr>
              <w:t>定性分析</w:t>
            </w:r>
          </w:p>
        </w:tc>
      </w:tr>
    </w:tbl>
    <w:p w14:paraId="0A67D047">
      <w:pPr>
        <w:pStyle w:val="5"/>
        <w:rPr>
          <w:color w:val="000000" w:themeColor="text1"/>
          <w14:textFill>
            <w14:solidFill>
              <w14:schemeClr w14:val="tx1"/>
            </w14:solidFill>
          </w14:textFill>
        </w:rPr>
      </w:pPr>
      <w:bookmarkStart w:id="74" w:name="_Toc216620332"/>
      <w:r>
        <w:rPr>
          <w:color w:val="000000" w:themeColor="text1"/>
          <w14:textFill>
            <w14:solidFill>
              <w14:schemeClr w14:val="tx1"/>
            </w14:solidFill>
          </w14:textFill>
        </w:rPr>
        <w:t>环境功能区划及评价标准</w:t>
      </w:r>
      <w:bookmarkEnd w:id="74"/>
    </w:p>
    <w:p w14:paraId="45998BE9">
      <w:pPr>
        <w:pStyle w:val="4"/>
        <w:rPr>
          <w:color w:val="000000" w:themeColor="text1"/>
          <w14:textFill>
            <w14:solidFill>
              <w14:schemeClr w14:val="tx1"/>
            </w14:solidFill>
          </w14:textFill>
        </w:rPr>
      </w:pPr>
      <w:bookmarkStart w:id="75" w:name="_Toc216620333"/>
      <w:bookmarkStart w:id="76" w:name="_Toc25436920"/>
      <w:bookmarkStart w:id="77" w:name="_Toc136878421"/>
      <w:bookmarkStart w:id="78" w:name="_Toc216103174"/>
      <w:bookmarkStart w:id="79" w:name="_Toc135090172"/>
      <w:bookmarkStart w:id="80" w:name="_Toc29131780"/>
      <w:bookmarkStart w:id="81" w:name="_Toc26909966"/>
      <w:r>
        <w:rPr>
          <w:color w:val="000000" w:themeColor="text1"/>
          <w14:textFill>
            <w14:solidFill>
              <w14:schemeClr w14:val="tx1"/>
            </w14:solidFill>
          </w14:textFill>
        </w:rPr>
        <w:t>环境功能区划</w:t>
      </w:r>
      <w:bookmarkEnd w:id="75"/>
      <w:bookmarkEnd w:id="76"/>
      <w:bookmarkEnd w:id="77"/>
      <w:bookmarkEnd w:id="78"/>
      <w:bookmarkEnd w:id="79"/>
      <w:bookmarkEnd w:id="80"/>
      <w:bookmarkEnd w:id="81"/>
    </w:p>
    <w:p w14:paraId="69091171">
      <w:pPr>
        <w:pStyle w:val="6"/>
        <w:rPr>
          <w:color w:val="000000" w:themeColor="text1"/>
          <w14:textFill>
            <w14:solidFill>
              <w14:schemeClr w14:val="tx1"/>
            </w14:solidFill>
          </w14:textFill>
        </w:rPr>
      </w:pPr>
      <w:r>
        <w:rPr>
          <w:color w:val="000000" w:themeColor="text1"/>
          <w14:textFill>
            <w14:solidFill>
              <w14:schemeClr w14:val="tx1"/>
            </w14:solidFill>
          </w14:textFill>
        </w:rPr>
        <w:t>大气环境</w:t>
      </w:r>
    </w:p>
    <w:p w14:paraId="58361731">
      <w:pPr>
        <w:ind w:firstLine="480"/>
        <w:rPr>
          <w:color w:val="000000" w:themeColor="text1"/>
          <w14:textFill>
            <w14:solidFill>
              <w14:schemeClr w14:val="tx1"/>
            </w14:solidFill>
          </w14:textFill>
        </w:rPr>
      </w:pPr>
      <w:r>
        <w:rPr>
          <w:color w:val="000000" w:themeColor="text1"/>
          <w14:textFill>
            <w14:solidFill>
              <w14:schemeClr w14:val="tx1"/>
            </w14:solidFill>
          </w14:textFill>
        </w:rPr>
        <w:t>工程所在地尚未划分环境空气质量功能区，环境空气质量执行《环境空气质量标准》（GB3095-2012）二级标准。</w:t>
      </w:r>
    </w:p>
    <w:p w14:paraId="52A7C747">
      <w:pPr>
        <w:pStyle w:val="6"/>
        <w:rPr>
          <w:color w:val="000000" w:themeColor="text1"/>
          <w14:textFill>
            <w14:solidFill>
              <w14:schemeClr w14:val="tx1"/>
            </w14:solidFill>
          </w14:textFill>
        </w:rPr>
      </w:pPr>
      <w:r>
        <w:rPr>
          <w:color w:val="000000" w:themeColor="text1"/>
          <w14:textFill>
            <w14:solidFill>
              <w14:schemeClr w14:val="tx1"/>
            </w14:solidFill>
          </w14:textFill>
        </w:rPr>
        <w:t>声环境</w:t>
      </w:r>
    </w:p>
    <w:p w14:paraId="4EAB26D6">
      <w:pPr>
        <w:ind w:firstLine="480"/>
        <w:rPr>
          <w:color w:val="000000" w:themeColor="text1"/>
          <w14:textFill>
            <w14:solidFill>
              <w14:schemeClr w14:val="tx1"/>
            </w14:solidFill>
          </w14:textFill>
        </w:rPr>
      </w:pPr>
      <w:r>
        <w:rPr>
          <w:color w:val="000000" w:themeColor="text1"/>
          <w14:textFill>
            <w14:solidFill>
              <w14:schemeClr w14:val="tx1"/>
            </w14:solidFill>
          </w14:textFill>
        </w:rPr>
        <w:t>根据《</w:t>
      </w:r>
      <w:r>
        <w:rPr>
          <w:rFonts w:hint="eastAsia"/>
          <w:color w:val="000000" w:themeColor="text1"/>
          <w:lang w:val="en-US" w:eastAsia="zh-CN"/>
          <w14:textFill>
            <w14:solidFill>
              <w14:schemeClr w14:val="tx1"/>
            </w14:solidFill>
          </w14:textFill>
        </w:rPr>
        <w:t>钦州市中心城区声环境功能区划</w:t>
      </w:r>
      <w:r>
        <w:rPr>
          <w:color w:val="000000" w:themeColor="text1"/>
          <w14:textFill>
            <w14:solidFill>
              <w14:schemeClr w14:val="tx1"/>
            </w14:solidFill>
          </w14:textFill>
        </w:rPr>
        <w:t>》区域声环境划分为3类声功能区，声环境质量执行</w:t>
      </w:r>
      <w:r>
        <w:rPr>
          <w:color w:val="000000" w:themeColor="text1"/>
          <w:u w:val="none"/>
          <w14:textFill>
            <w14:solidFill>
              <w14:schemeClr w14:val="tx1"/>
            </w14:solidFill>
          </w14:textFill>
        </w:rPr>
        <w:t>《工业企业场界环境噪声排放标准》（GB12348-2008）</w:t>
      </w:r>
      <w:r>
        <w:rPr>
          <w:color w:val="000000" w:themeColor="text1"/>
          <w14:textFill>
            <w14:solidFill>
              <w14:schemeClr w14:val="tx1"/>
            </w14:solidFill>
          </w14:textFill>
        </w:rPr>
        <w:t>3类区标准。</w:t>
      </w:r>
    </w:p>
    <w:p w14:paraId="502FC5A8">
      <w:pPr>
        <w:pStyle w:val="6"/>
        <w:rPr>
          <w:color w:val="000000" w:themeColor="text1"/>
          <w14:textFill>
            <w14:solidFill>
              <w14:schemeClr w14:val="tx1"/>
            </w14:solidFill>
          </w14:textFill>
        </w:rPr>
      </w:pPr>
      <w:r>
        <w:rPr>
          <w:color w:val="000000" w:themeColor="text1"/>
          <w14:textFill>
            <w14:solidFill>
              <w14:schemeClr w14:val="tx1"/>
            </w14:solidFill>
          </w14:textFill>
        </w:rPr>
        <w:t>近岸海域环境</w:t>
      </w:r>
    </w:p>
    <w:p w14:paraId="1B66D00A">
      <w:pPr>
        <w:ind w:firstLine="480"/>
        <w:rPr>
          <w:color w:val="000000" w:themeColor="text1"/>
          <w14:textFill>
            <w14:solidFill>
              <w14:schemeClr w14:val="tx1"/>
            </w14:solidFill>
          </w14:textFill>
        </w:rPr>
      </w:pPr>
      <w:r>
        <w:rPr>
          <w:color w:val="000000" w:themeColor="text1"/>
          <w14:textFill>
            <w14:solidFill>
              <w14:schemeClr w14:val="tx1"/>
            </w14:solidFill>
          </w14:textFill>
        </w:rPr>
        <w:t>根据《广西壮族自治区近岸海域环境功能区划调整方案》（桂环发〔2023〕9号），本工程位于钦州港大榄坪港口、工业区（代码</w:t>
      </w:r>
      <w:r>
        <w:rPr>
          <w:color w:val="000000" w:themeColor="text1"/>
          <w:kern w:val="0"/>
          <w:szCs w:val="22"/>
          <w14:textFill>
            <w14:solidFill>
              <w14:schemeClr w14:val="tx1"/>
            </w14:solidFill>
          </w14:textFill>
        </w:rPr>
        <w:t>GX055DⅣ</w:t>
      </w:r>
      <w:r>
        <w:rPr>
          <w:color w:val="000000" w:themeColor="text1"/>
          <w14:textFill>
            <w14:solidFill>
              <w14:schemeClr w14:val="tx1"/>
            </w14:solidFill>
          </w14:textFill>
        </w:rPr>
        <w:t>），主导功能为港口、工业用海，水质保护目标为四类。</w:t>
      </w:r>
    </w:p>
    <w:p w14:paraId="4EE23221">
      <w:pPr>
        <w:pStyle w:val="6"/>
        <w:rPr>
          <w:color w:val="000000" w:themeColor="text1"/>
          <w14:textFill>
            <w14:solidFill>
              <w14:schemeClr w14:val="tx1"/>
            </w14:solidFill>
          </w14:textFill>
        </w:rPr>
      </w:pPr>
      <w:r>
        <w:rPr>
          <w:color w:val="000000" w:themeColor="text1"/>
          <w14:textFill>
            <w14:solidFill>
              <w14:schemeClr w14:val="tx1"/>
            </w14:solidFill>
          </w14:textFill>
        </w:rPr>
        <w:t>海洋功能区划</w:t>
      </w:r>
    </w:p>
    <w:p w14:paraId="5A09D079">
      <w:pPr>
        <w:ind w:firstLine="480"/>
        <w:rPr>
          <w:color w:val="000000" w:themeColor="text1"/>
          <w14:textFill>
            <w14:solidFill>
              <w14:schemeClr w14:val="tx1"/>
            </w14:solidFill>
          </w14:textFill>
        </w:rPr>
      </w:pPr>
      <w:r>
        <w:rPr>
          <w:color w:val="000000" w:themeColor="text1"/>
          <w14:textFill>
            <w14:solidFill>
              <w14:schemeClr w14:val="tx1"/>
            </w14:solidFill>
          </w14:textFill>
        </w:rPr>
        <w:t>根据《广西壮族自治区海洋功能区划（2011-2020年）》（报批稿），本工程所在海域海洋功能为鹰岭-果子山-金鼓江港口航运区（代码A2-10），用海方式“允许适度改变海域自然属性，坚持集约、节约用海”。</w:t>
      </w:r>
    </w:p>
    <w:p w14:paraId="6402295E">
      <w:pPr>
        <w:pStyle w:val="4"/>
        <w:rPr>
          <w:color w:val="000000" w:themeColor="text1"/>
          <w14:textFill>
            <w14:solidFill>
              <w14:schemeClr w14:val="tx1"/>
            </w14:solidFill>
          </w14:textFill>
        </w:rPr>
      </w:pPr>
      <w:bookmarkStart w:id="82" w:name="_Toc216103175"/>
      <w:bookmarkStart w:id="83" w:name="_Toc25436921"/>
      <w:bookmarkStart w:id="84" w:name="_Toc29131781"/>
      <w:bookmarkStart w:id="85" w:name="_Toc135090173"/>
      <w:bookmarkStart w:id="86" w:name="_Toc26909967"/>
      <w:bookmarkStart w:id="87" w:name="_Toc216620334"/>
      <w:bookmarkStart w:id="88" w:name="_Toc136878422"/>
      <w:r>
        <w:rPr>
          <w:color w:val="000000" w:themeColor="text1"/>
          <w14:textFill>
            <w14:solidFill>
              <w14:schemeClr w14:val="tx1"/>
            </w14:solidFill>
          </w14:textFill>
        </w:rPr>
        <w:t>环境质量标准</w:t>
      </w:r>
      <w:bookmarkEnd w:id="82"/>
      <w:bookmarkEnd w:id="83"/>
      <w:bookmarkEnd w:id="84"/>
      <w:bookmarkEnd w:id="85"/>
      <w:bookmarkEnd w:id="86"/>
      <w:bookmarkEnd w:id="87"/>
      <w:bookmarkEnd w:id="88"/>
    </w:p>
    <w:p w14:paraId="7469792C">
      <w:pPr>
        <w:pStyle w:val="6"/>
        <w:rPr>
          <w:color w:val="000000" w:themeColor="text1"/>
          <w14:textFill>
            <w14:solidFill>
              <w14:schemeClr w14:val="tx1"/>
            </w14:solidFill>
          </w14:textFill>
        </w:rPr>
      </w:pPr>
      <w:r>
        <w:rPr>
          <w:color w:val="000000" w:themeColor="text1"/>
          <w14:textFill>
            <w14:solidFill>
              <w14:schemeClr w14:val="tx1"/>
            </w14:solidFill>
          </w14:textFill>
        </w:rPr>
        <w:t>环境空气质量标准</w:t>
      </w:r>
    </w:p>
    <w:p w14:paraId="41DB63CD">
      <w:pPr>
        <w:ind w:firstLine="480"/>
        <w:rPr>
          <w:color w:val="000000" w:themeColor="text1"/>
          <w:u w:val="single"/>
          <w14:textFill>
            <w14:solidFill>
              <w14:schemeClr w14:val="tx1"/>
            </w14:solidFill>
          </w14:textFill>
        </w:rPr>
      </w:pPr>
      <w:r>
        <w:rPr>
          <w:snapToGrid w:val="0"/>
          <w:color w:val="000000" w:themeColor="text1"/>
          <w:kern w:val="0"/>
          <w14:textFill>
            <w14:solidFill>
              <w14:schemeClr w14:val="tx1"/>
            </w14:solidFill>
          </w14:textFill>
        </w:rPr>
        <w:t>环境空气中</w:t>
      </w:r>
      <w:r>
        <w:rPr>
          <w:color w:val="000000" w:themeColor="text1"/>
          <w14:textFill>
            <w14:solidFill>
              <w14:schemeClr w14:val="tx1"/>
            </w14:solidFill>
          </w14:textFill>
        </w:rPr>
        <w:t>SO</w:t>
      </w:r>
      <w:r>
        <w:rPr>
          <w:color w:val="000000" w:themeColor="text1"/>
          <w:vertAlign w:val="subscript"/>
          <w14:textFill>
            <w14:solidFill>
              <w14:schemeClr w14:val="tx1"/>
            </w14:solidFill>
          </w14:textFill>
        </w:rPr>
        <w:t>2</w:t>
      </w:r>
      <w:r>
        <w:rPr>
          <w:color w:val="000000" w:themeColor="text1"/>
          <w14:textFill>
            <w14:solidFill>
              <w14:schemeClr w14:val="tx1"/>
            </w14:solidFill>
          </w14:textFill>
        </w:rPr>
        <w:t>、NO</w:t>
      </w:r>
      <w:r>
        <w:rPr>
          <w:color w:val="000000" w:themeColor="text1"/>
          <w:vertAlign w:val="subscript"/>
          <w14:textFill>
            <w14:solidFill>
              <w14:schemeClr w14:val="tx1"/>
            </w14:solidFill>
          </w14:textFill>
        </w:rPr>
        <w:t>2</w:t>
      </w:r>
      <w:r>
        <w:rPr>
          <w:color w:val="000000" w:themeColor="text1"/>
          <w14:textFill>
            <w14:solidFill>
              <w14:schemeClr w14:val="tx1"/>
            </w14:solidFill>
          </w14:textFill>
        </w:rPr>
        <w:t>、PM</w:t>
      </w:r>
      <w:r>
        <w:rPr>
          <w:color w:val="000000" w:themeColor="text1"/>
          <w:vertAlign w:val="subscript"/>
          <w14:textFill>
            <w14:solidFill>
              <w14:schemeClr w14:val="tx1"/>
            </w14:solidFill>
          </w14:textFill>
        </w:rPr>
        <w:t>10</w:t>
      </w:r>
      <w:r>
        <w:rPr>
          <w:color w:val="000000" w:themeColor="text1"/>
          <w14:textFill>
            <w14:solidFill>
              <w14:schemeClr w14:val="tx1"/>
            </w14:solidFill>
          </w14:textFill>
        </w:rPr>
        <w:t>、PM</w:t>
      </w:r>
      <w:r>
        <w:rPr>
          <w:color w:val="000000" w:themeColor="text1"/>
          <w:vertAlign w:val="subscript"/>
          <w14:textFill>
            <w14:solidFill>
              <w14:schemeClr w14:val="tx1"/>
            </w14:solidFill>
          </w14:textFill>
        </w:rPr>
        <w:t>2.5</w:t>
      </w:r>
      <w:r>
        <w:rPr>
          <w:color w:val="000000" w:themeColor="text1"/>
          <w14:textFill>
            <w14:solidFill>
              <w14:schemeClr w14:val="tx1"/>
            </w14:solidFill>
          </w14:textFill>
        </w:rPr>
        <w:t>、CO、O</w:t>
      </w:r>
      <w:r>
        <w:rPr>
          <w:color w:val="000000" w:themeColor="text1"/>
          <w:vertAlign w:val="subscript"/>
          <w14:textFill>
            <w14:solidFill>
              <w14:schemeClr w14:val="tx1"/>
            </w14:solidFill>
          </w14:textFill>
        </w:rPr>
        <w:t>3</w:t>
      </w:r>
      <w:r>
        <w:rPr>
          <w:color w:val="000000" w:themeColor="text1"/>
          <w14:textFill>
            <w14:solidFill>
              <w14:schemeClr w14:val="tx1"/>
            </w14:solidFill>
          </w14:textFill>
        </w:rPr>
        <w:t>执行《环境空气质量标准》（GB3095-2012）</w:t>
      </w:r>
      <w:r>
        <w:rPr>
          <w:snapToGrid w:val="0"/>
          <w:color w:val="000000" w:themeColor="text1"/>
          <w:kern w:val="0"/>
          <w14:textFill>
            <w14:solidFill>
              <w14:schemeClr w14:val="tx1"/>
            </w14:solidFill>
          </w14:textFill>
        </w:rPr>
        <w:t>二级标准</w:t>
      </w:r>
      <w:r>
        <w:rPr>
          <w:color w:val="000000" w:themeColor="text1"/>
          <w14:textFill>
            <w14:solidFill>
              <w14:schemeClr w14:val="tx1"/>
            </w14:solidFill>
          </w14:textFill>
        </w:rPr>
        <w:t>；</w:t>
      </w:r>
      <w:r>
        <w:rPr>
          <w:snapToGrid w:val="0"/>
          <w:color w:val="000000" w:themeColor="text1"/>
          <w:kern w:val="0"/>
          <w14:textFill>
            <w14:solidFill>
              <w14:schemeClr w14:val="tx1"/>
            </w14:solidFill>
          </w14:textFill>
        </w:rPr>
        <w:t>特征因子苯乙烯、硫酸、VOCs参照《环境影响评价技术导则 大气环境》（HJ2.2-2018）中附录D空气质量浓度参考限值执行；非甲烷总烃质量标准参照执行GB16297-1996中无组织排放浓度限值，执行一次浓度限值2.0mg/m</w:t>
      </w:r>
      <w:r>
        <w:rPr>
          <w:snapToGrid w:val="0"/>
          <w:color w:val="000000" w:themeColor="text1"/>
          <w:kern w:val="0"/>
          <w:vertAlign w:val="superscript"/>
          <w14:textFill>
            <w14:solidFill>
              <w14:schemeClr w14:val="tx1"/>
            </w14:solidFill>
          </w14:textFill>
        </w:rPr>
        <w:t>3</w:t>
      </w:r>
      <w:r>
        <w:rPr>
          <w:snapToGrid w:val="0"/>
          <w:color w:val="000000" w:themeColor="text1"/>
          <w:kern w:val="0"/>
          <w14:textFill>
            <w14:solidFill>
              <w14:schemeClr w14:val="tx1"/>
            </w14:solidFill>
          </w14:textFill>
        </w:rPr>
        <w:t>要求。</w:t>
      </w:r>
    </w:p>
    <w:p w14:paraId="0F64B402">
      <w:pPr>
        <w:pStyle w:val="7"/>
        <w:rPr>
          <w:color w:val="000000" w:themeColor="text1"/>
          <w14:textFill>
            <w14:solidFill>
              <w14:schemeClr w14:val="tx1"/>
            </w14:solidFill>
          </w14:textFill>
        </w:rPr>
      </w:pPr>
      <w:r>
        <w:rPr>
          <w:color w:val="000000" w:themeColor="text1"/>
          <w14:textFill>
            <w14:solidFill>
              <w14:schemeClr w14:val="tx1"/>
            </w14:solidFill>
          </w14:textFill>
        </w:rPr>
        <w:t>环境空气质量标准值    单位：μg/m</w:t>
      </w:r>
      <w:r>
        <w:rPr>
          <w:color w:val="000000" w:themeColor="text1"/>
          <w:vertAlign w:val="superscript"/>
          <w14:textFill>
            <w14:solidFill>
              <w14:schemeClr w14:val="tx1"/>
            </w14:solidFill>
          </w14:textFill>
        </w:rPr>
        <w:t>3</w:t>
      </w:r>
    </w:p>
    <w:tbl>
      <w:tblPr>
        <w:tblStyle w:val="43"/>
        <w:tblW w:w="9025"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562"/>
        <w:gridCol w:w="1276"/>
        <w:gridCol w:w="1418"/>
        <w:gridCol w:w="850"/>
        <w:gridCol w:w="851"/>
        <w:gridCol w:w="4068"/>
      </w:tblGrid>
      <w:tr w14:paraId="42F4AFB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blHeader/>
          <w:jc w:val="center"/>
        </w:trPr>
        <w:tc>
          <w:tcPr>
            <w:tcW w:w="562" w:type="dxa"/>
            <w:vMerge w:val="restart"/>
            <w:tcMar>
              <w:left w:w="0" w:type="dxa"/>
              <w:right w:w="0" w:type="dxa"/>
            </w:tcMar>
            <w:vAlign w:val="center"/>
          </w:tcPr>
          <w:p w14:paraId="2DC121A1">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序号</w:t>
            </w:r>
          </w:p>
        </w:tc>
        <w:tc>
          <w:tcPr>
            <w:tcW w:w="1276" w:type="dxa"/>
            <w:vMerge w:val="restart"/>
            <w:tcMar>
              <w:left w:w="0" w:type="dxa"/>
              <w:right w:w="0" w:type="dxa"/>
            </w:tcMar>
            <w:vAlign w:val="center"/>
          </w:tcPr>
          <w:p w14:paraId="424498B0">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污染物项目</w:t>
            </w:r>
          </w:p>
        </w:tc>
        <w:tc>
          <w:tcPr>
            <w:tcW w:w="1418" w:type="dxa"/>
            <w:vMerge w:val="restart"/>
            <w:tcMar>
              <w:left w:w="0" w:type="dxa"/>
              <w:right w:w="0" w:type="dxa"/>
            </w:tcMar>
            <w:vAlign w:val="center"/>
          </w:tcPr>
          <w:p w14:paraId="37952A3F">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平均时间</w:t>
            </w:r>
          </w:p>
        </w:tc>
        <w:tc>
          <w:tcPr>
            <w:tcW w:w="1701" w:type="dxa"/>
            <w:gridSpan w:val="2"/>
            <w:tcMar>
              <w:left w:w="0" w:type="dxa"/>
              <w:right w:w="0" w:type="dxa"/>
            </w:tcMar>
            <w:vAlign w:val="center"/>
          </w:tcPr>
          <w:p w14:paraId="20F32346">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标准限值</w:t>
            </w:r>
          </w:p>
        </w:tc>
        <w:tc>
          <w:tcPr>
            <w:tcW w:w="4068" w:type="dxa"/>
            <w:vMerge w:val="restart"/>
            <w:tcMar>
              <w:left w:w="0" w:type="dxa"/>
              <w:right w:w="0" w:type="dxa"/>
            </w:tcMar>
            <w:vAlign w:val="center"/>
          </w:tcPr>
          <w:p w14:paraId="2D7FA7C5">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选用标准</w:t>
            </w:r>
          </w:p>
        </w:tc>
      </w:tr>
      <w:tr w14:paraId="2395A32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blHeader/>
          <w:jc w:val="center"/>
        </w:trPr>
        <w:tc>
          <w:tcPr>
            <w:tcW w:w="562" w:type="dxa"/>
            <w:vMerge w:val="continue"/>
            <w:tcMar>
              <w:left w:w="0" w:type="dxa"/>
              <w:right w:w="0" w:type="dxa"/>
            </w:tcMar>
            <w:vAlign w:val="center"/>
          </w:tcPr>
          <w:p w14:paraId="4DD85505">
            <w:pPr>
              <w:pStyle w:val="70"/>
              <w:rPr>
                <w:b/>
                <w:bCs/>
                <w:color w:val="000000" w:themeColor="text1"/>
                <w14:textFill>
                  <w14:solidFill>
                    <w14:schemeClr w14:val="tx1"/>
                  </w14:solidFill>
                </w14:textFill>
              </w:rPr>
            </w:pPr>
          </w:p>
        </w:tc>
        <w:tc>
          <w:tcPr>
            <w:tcW w:w="1276" w:type="dxa"/>
            <w:vMerge w:val="continue"/>
            <w:tcMar>
              <w:left w:w="0" w:type="dxa"/>
              <w:right w:w="0" w:type="dxa"/>
            </w:tcMar>
            <w:vAlign w:val="center"/>
          </w:tcPr>
          <w:p w14:paraId="1CE4A35E">
            <w:pPr>
              <w:pStyle w:val="70"/>
              <w:rPr>
                <w:b/>
                <w:bCs/>
                <w:color w:val="000000" w:themeColor="text1"/>
                <w14:textFill>
                  <w14:solidFill>
                    <w14:schemeClr w14:val="tx1"/>
                  </w14:solidFill>
                </w14:textFill>
              </w:rPr>
            </w:pPr>
          </w:p>
        </w:tc>
        <w:tc>
          <w:tcPr>
            <w:tcW w:w="1418" w:type="dxa"/>
            <w:vMerge w:val="continue"/>
            <w:tcMar>
              <w:left w:w="0" w:type="dxa"/>
              <w:right w:w="0" w:type="dxa"/>
            </w:tcMar>
            <w:vAlign w:val="center"/>
          </w:tcPr>
          <w:p w14:paraId="5EA880C6">
            <w:pPr>
              <w:pStyle w:val="70"/>
              <w:rPr>
                <w:b/>
                <w:bCs/>
                <w:color w:val="000000" w:themeColor="text1"/>
                <w14:textFill>
                  <w14:solidFill>
                    <w14:schemeClr w14:val="tx1"/>
                  </w14:solidFill>
                </w14:textFill>
              </w:rPr>
            </w:pPr>
          </w:p>
        </w:tc>
        <w:tc>
          <w:tcPr>
            <w:tcW w:w="850" w:type="dxa"/>
            <w:tcMar>
              <w:left w:w="0" w:type="dxa"/>
              <w:right w:w="0" w:type="dxa"/>
            </w:tcMar>
            <w:vAlign w:val="center"/>
          </w:tcPr>
          <w:p w14:paraId="2BA664B6">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一级</w:t>
            </w:r>
          </w:p>
        </w:tc>
        <w:tc>
          <w:tcPr>
            <w:tcW w:w="851" w:type="dxa"/>
            <w:tcMar>
              <w:left w:w="0" w:type="dxa"/>
              <w:right w:w="0" w:type="dxa"/>
            </w:tcMar>
            <w:vAlign w:val="center"/>
          </w:tcPr>
          <w:p w14:paraId="7FC7F9F3">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二级</w:t>
            </w:r>
          </w:p>
        </w:tc>
        <w:tc>
          <w:tcPr>
            <w:tcW w:w="4068" w:type="dxa"/>
            <w:vMerge w:val="continue"/>
            <w:tcMar>
              <w:left w:w="0" w:type="dxa"/>
              <w:right w:w="0" w:type="dxa"/>
            </w:tcMar>
            <w:vAlign w:val="center"/>
          </w:tcPr>
          <w:p w14:paraId="43FF6167">
            <w:pPr>
              <w:pStyle w:val="70"/>
              <w:rPr>
                <w:color w:val="000000" w:themeColor="text1"/>
                <w14:textFill>
                  <w14:solidFill>
                    <w14:schemeClr w14:val="tx1"/>
                  </w14:solidFill>
                </w14:textFill>
              </w:rPr>
            </w:pPr>
          </w:p>
        </w:tc>
      </w:tr>
      <w:tr w14:paraId="3667E0B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562" w:type="dxa"/>
            <w:vMerge w:val="restart"/>
            <w:tcMar>
              <w:left w:w="0" w:type="dxa"/>
              <w:right w:w="0" w:type="dxa"/>
            </w:tcMar>
            <w:vAlign w:val="center"/>
          </w:tcPr>
          <w:p w14:paraId="55DC338B">
            <w:pPr>
              <w:pStyle w:val="70"/>
              <w:numPr>
                <w:ilvl w:val="0"/>
                <w:numId w:val="10"/>
              </w:numPr>
              <w:rPr>
                <w:color w:val="000000" w:themeColor="text1"/>
                <w14:textFill>
                  <w14:solidFill>
                    <w14:schemeClr w14:val="tx1"/>
                  </w14:solidFill>
                </w14:textFill>
              </w:rPr>
            </w:pPr>
          </w:p>
        </w:tc>
        <w:tc>
          <w:tcPr>
            <w:tcW w:w="1276" w:type="dxa"/>
            <w:vMerge w:val="restart"/>
            <w:tcMar>
              <w:left w:w="0" w:type="dxa"/>
              <w:right w:w="0" w:type="dxa"/>
            </w:tcMar>
            <w:vAlign w:val="center"/>
          </w:tcPr>
          <w:p w14:paraId="5252817E">
            <w:pPr>
              <w:pStyle w:val="70"/>
              <w:rPr>
                <w:color w:val="000000" w:themeColor="text1"/>
                <w14:textFill>
                  <w14:solidFill>
                    <w14:schemeClr w14:val="tx1"/>
                  </w14:solidFill>
                </w14:textFill>
              </w:rPr>
            </w:pPr>
            <w:r>
              <w:rPr>
                <w:color w:val="000000" w:themeColor="text1"/>
                <w14:textFill>
                  <w14:solidFill>
                    <w14:schemeClr w14:val="tx1"/>
                  </w14:solidFill>
                </w14:textFill>
              </w:rPr>
              <w:t>SO</w:t>
            </w:r>
            <w:r>
              <w:rPr>
                <w:color w:val="000000" w:themeColor="text1"/>
                <w:vertAlign w:val="subscript"/>
                <w14:textFill>
                  <w14:solidFill>
                    <w14:schemeClr w14:val="tx1"/>
                  </w14:solidFill>
                </w14:textFill>
              </w:rPr>
              <w:t>2</w:t>
            </w:r>
          </w:p>
        </w:tc>
        <w:tc>
          <w:tcPr>
            <w:tcW w:w="1418" w:type="dxa"/>
            <w:tcMar>
              <w:left w:w="0" w:type="dxa"/>
              <w:right w:w="0" w:type="dxa"/>
            </w:tcMar>
            <w:vAlign w:val="center"/>
          </w:tcPr>
          <w:p w14:paraId="3C7A72D2">
            <w:pPr>
              <w:pStyle w:val="70"/>
              <w:rPr>
                <w:color w:val="000000" w:themeColor="text1"/>
                <w14:textFill>
                  <w14:solidFill>
                    <w14:schemeClr w14:val="tx1"/>
                  </w14:solidFill>
                </w14:textFill>
              </w:rPr>
            </w:pPr>
            <w:r>
              <w:rPr>
                <w:color w:val="000000" w:themeColor="text1"/>
                <w14:textFill>
                  <w14:solidFill>
                    <w14:schemeClr w14:val="tx1"/>
                  </w14:solidFill>
                </w14:textFill>
              </w:rPr>
              <w:t>1小时平均</w:t>
            </w:r>
          </w:p>
        </w:tc>
        <w:tc>
          <w:tcPr>
            <w:tcW w:w="850" w:type="dxa"/>
            <w:tcMar>
              <w:left w:w="0" w:type="dxa"/>
              <w:right w:w="0" w:type="dxa"/>
            </w:tcMar>
            <w:vAlign w:val="center"/>
          </w:tcPr>
          <w:p w14:paraId="50BD2048">
            <w:pPr>
              <w:pStyle w:val="70"/>
              <w:rPr>
                <w:color w:val="000000" w:themeColor="text1"/>
                <w14:textFill>
                  <w14:solidFill>
                    <w14:schemeClr w14:val="tx1"/>
                  </w14:solidFill>
                </w14:textFill>
              </w:rPr>
            </w:pPr>
            <w:r>
              <w:rPr>
                <w:color w:val="000000" w:themeColor="text1"/>
                <w14:textFill>
                  <w14:solidFill>
                    <w14:schemeClr w14:val="tx1"/>
                  </w14:solidFill>
                </w14:textFill>
              </w:rPr>
              <w:t>150</w:t>
            </w:r>
          </w:p>
        </w:tc>
        <w:tc>
          <w:tcPr>
            <w:tcW w:w="851" w:type="dxa"/>
            <w:tcMar>
              <w:left w:w="0" w:type="dxa"/>
              <w:right w:w="0" w:type="dxa"/>
            </w:tcMar>
            <w:vAlign w:val="center"/>
          </w:tcPr>
          <w:p w14:paraId="3EC0841D">
            <w:pPr>
              <w:pStyle w:val="70"/>
              <w:rPr>
                <w:color w:val="000000" w:themeColor="text1"/>
                <w14:textFill>
                  <w14:solidFill>
                    <w14:schemeClr w14:val="tx1"/>
                  </w14:solidFill>
                </w14:textFill>
              </w:rPr>
            </w:pPr>
            <w:r>
              <w:rPr>
                <w:color w:val="000000" w:themeColor="text1"/>
                <w14:textFill>
                  <w14:solidFill>
                    <w14:schemeClr w14:val="tx1"/>
                  </w14:solidFill>
                </w14:textFill>
              </w:rPr>
              <w:t>500</w:t>
            </w:r>
          </w:p>
        </w:tc>
        <w:tc>
          <w:tcPr>
            <w:tcW w:w="4068" w:type="dxa"/>
            <w:vMerge w:val="restart"/>
            <w:tcMar>
              <w:left w:w="0" w:type="dxa"/>
              <w:right w:w="0" w:type="dxa"/>
            </w:tcMar>
            <w:vAlign w:val="center"/>
          </w:tcPr>
          <w:p w14:paraId="1FDE3336">
            <w:pPr>
              <w:pStyle w:val="70"/>
              <w:rPr>
                <w:color w:val="000000" w:themeColor="text1"/>
                <w14:textFill>
                  <w14:solidFill>
                    <w14:schemeClr w14:val="tx1"/>
                  </w14:solidFill>
                </w14:textFill>
              </w:rPr>
            </w:pPr>
            <w:r>
              <w:rPr>
                <w:color w:val="000000" w:themeColor="text1"/>
                <w14:textFill>
                  <w14:solidFill>
                    <w14:schemeClr w14:val="tx1"/>
                  </w14:solidFill>
                </w14:textFill>
              </w:rPr>
              <w:t>《环境空气质量标准》（GB3095-2012）</w:t>
            </w:r>
          </w:p>
        </w:tc>
      </w:tr>
      <w:tr w14:paraId="6765A61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562" w:type="dxa"/>
            <w:vMerge w:val="continue"/>
            <w:tcMar>
              <w:left w:w="0" w:type="dxa"/>
              <w:right w:w="0" w:type="dxa"/>
            </w:tcMar>
            <w:vAlign w:val="center"/>
          </w:tcPr>
          <w:p w14:paraId="5B8E9742">
            <w:pPr>
              <w:pStyle w:val="70"/>
              <w:numPr>
                <w:ilvl w:val="0"/>
                <w:numId w:val="10"/>
              </w:numPr>
              <w:rPr>
                <w:color w:val="000000" w:themeColor="text1"/>
                <w14:textFill>
                  <w14:solidFill>
                    <w14:schemeClr w14:val="tx1"/>
                  </w14:solidFill>
                </w14:textFill>
              </w:rPr>
            </w:pPr>
          </w:p>
        </w:tc>
        <w:tc>
          <w:tcPr>
            <w:tcW w:w="1276" w:type="dxa"/>
            <w:vMerge w:val="continue"/>
            <w:tcMar>
              <w:left w:w="0" w:type="dxa"/>
              <w:right w:w="0" w:type="dxa"/>
            </w:tcMar>
            <w:vAlign w:val="center"/>
          </w:tcPr>
          <w:p w14:paraId="629E072A">
            <w:pPr>
              <w:pStyle w:val="70"/>
              <w:rPr>
                <w:color w:val="000000" w:themeColor="text1"/>
                <w14:textFill>
                  <w14:solidFill>
                    <w14:schemeClr w14:val="tx1"/>
                  </w14:solidFill>
                </w14:textFill>
              </w:rPr>
            </w:pPr>
          </w:p>
        </w:tc>
        <w:tc>
          <w:tcPr>
            <w:tcW w:w="1418" w:type="dxa"/>
            <w:tcMar>
              <w:left w:w="0" w:type="dxa"/>
              <w:right w:w="0" w:type="dxa"/>
            </w:tcMar>
            <w:vAlign w:val="center"/>
          </w:tcPr>
          <w:p w14:paraId="4B8C7DF8">
            <w:pPr>
              <w:pStyle w:val="70"/>
              <w:rPr>
                <w:color w:val="000000" w:themeColor="text1"/>
                <w14:textFill>
                  <w14:solidFill>
                    <w14:schemeClr w14:val="tx1"/>
                  </w14:solidFill>
                </w14:textFill>
              </w:rPr>
            </w:pPr>
            <w:r>
              <w:rPr>
                <w:color w:val="000000" w:themeColor="text1"/>
                <w14:textFill>
                  <w14:solidFill>
                    <w14:schemeClr w14:val="tx1"/>
                  </w14:solidFill>
                </w14:textFill>
              </w:rPr>
              <w:t>24小时平均</w:t>
            </w:r>
          </w:p>
        </w:tc>
        <w:tc>
          <w:tcPr>
            <w:tcW w:w="850" w:type="dxa"/>
            <w:tcMar>
              <w:left w:w="0" w:type="dxa"/>
              <w:right w:w="0" w:type="dxa"/>
            </w:tcMar>
            <w:vAlign w:val="center"/>
          </w:tcPr>
          <w:p w14:paraId="4F719036">
            <w:pPr>
              <w:pStyle w:val="70"/>
              <w:rPr>
                <w:color w:val="000000" w:themeColor="text1"/>
                <w14:textFill>
                  <w14:solidFill>
                    <w14:schemeClr w14:val="tx1"/>
                  </w14:solidFill>
                </w14:textFill>
              </w:rPr>
            </w:pPr>
            <w:r>
              <w:rPr>
                <w:color w:val="000000" w:themeColor="text1"/>
                <w14:textFill>
                  <w14:solidFill>
                    <w14:schemeClr w14:val="tx1"/>
                  </w14:solidFill>
                </w14:textFill>
              </w:rPr>
              <w:t>50</w:t>
            </w:r>
          </w:p>
        </w:tc>
        <w:tc>
          <w:tcPr>
            <w:tcW w:w="851" w:type="dxa"/>
            <w:tcMar>
              <w:left w:w="0" w:type="dxa"/>
              <w:right w:w="0" w:type="dxa"/>
            </w:tcMar>
            <w:vAlign w:val="center"/>
          </w:tcPr>
          <w:p w14:paraId="67793989">
            <w:pPr>
              <w:pStyle w:val="70"/>
              <w:rPr>
                <w:color w:val="000000" w:themeColor="text1"/>
                <w14:textFill>
                  <w14:solidFill>
                    <w14:schemeClr w14:val="tx1"/>
                  </w14:solidFill>
                </w14:textFill>
              </w:rPr>
            </w:pPr>
            <w:r>
              <w:rPr>
                <w:color w:val="000000" w:themeColor="text1"/>
                <w14:textFill>
                  <w14:solidFill>
                    <w14:schemeClr w14:val="tx1"/>
                  </w14:solidFill>
                </w14:textFill>
              </w:rPr>
              <w:t>150</w:t>
            </w:r>
          </w:p>
        </w:tc>
        <w:tc>
          <w:tcPr>
            <w:tcW w:w="4068" w:type="dxa"/>
            <w:vMerge w:val="continue"/>
            <w:tcMar>
              <w:left w:w="0" w:type="dxa"/>
              <w:right w:w="0" w:type="dxa"/>
            </w:tcMar>
            <w:vAlign w:val="center"/>
          </w:tcPr>
          <w:p w14:paraId="499E4AE9">
            <w:pPr>
              <w:pStyle w:val="70"/>
              <w:rPr>
                <w:color w:val="000000" w:themeColor="text1"/>
                <w14:textFill>
                  <w14:solidFill>
                    <w14:schemeClr w14:val="tx1"/>
                  </w14:solidFill>
                </w14:textFill>
              </w:rPr>
            </w:pPr>
          </w:p>
        </w:tc>
      </w:tr>
      <w:tr w14:paraId="30EEC7C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562" w:type="dxa"/>
            <w:vMerge w:val="continue"/>
            <w:tcMar>
              <w:left w:w="0" w:type="dxa"/>
              <w:right w:w="0" w:type="dxa"/>
            </w:tcMar>
            <w:vAlign w:val="center"/>
          </w:tcPr>
          <w:p w14:paraId="6CAF6FFB">
            <w:pPr>
              <w:pStyle w:val="70"/>
              <w:numPr>
                <w:ilvl w:val="0"/>
                <w:numId w:val="10"/>
              </w:numPr>
              <w:rPr>
                <w:color w:val="000000" w:themeColor="text1"/>
                <w14:textFill>
                  <w14:solidFill>
                    <w14:schemeClr w14:val="tx1"/>
                  </w14:solidFill>
                </w14:textFill>
              </w:rPr>
            </w:pPr>
          </w:p>
        </w:tc>
        <w:tc>
          <w:tcPr>
            <w:tcW w:w="1276" w:type="dxa"/>
            <w:vMerge w:val="continue"/>
            <w:tcMar>
              <w:left w:w="0" w:type="dxa"/>
              <w:right w:w="0" w:type="dxa"/>
            </w:tcMar>
            <w:vAlign w:val="center"/>
          </w:tcPr>
          <w:p w14:paraId="059D6E40">
            <w:pPr>
              <w:pStyle w:val="70"/>
              <w:rPr>
                <w:color w:val="000000" w:themeColor="text1"/>
                <w14:textFill>
                  <w14:solidFill>
                    <w14:schemeClr w14:val="tx1"/>
                  </w14:solidFill>
                </w14:textFill>
              </w:rPr>
            </w:pPr>
          </w:p>
        </w:tc>
        <w:tc>
          <w:tcPr>
            <w:tcW w:w="1418" w:type="dxa"/>
            <w:tcMar>
              <w:left w:w="0" w:type="dxa"/>
              <w:right w:w="0" w:type="dxa"/>
            </w:tcMar>
            <w:vAlign w:val="center"/>
          </w:tcPr>
          <w:p w14:paraId="34CC2FD3">
            <w:pPr>
              <w:pStyle w:val="70"/>
              <w:rPr>
                <w:color w:val="000000" w:themeColor="text1"/>
                <w14:textFill>
                  <w14:solidFill>
                    <w14:schemeClr w14:val="tx1"/>
                  </w14:solidFill>
                </w14:textFill>
              </w:rPr>
            </w:pPr>
            <w:r>
              <w:rPr>
                <w:color w:val="000000" w:themeColor="text1"/>
                <w14:textFill>
                  <w14:solidFill>
                    <w14:schemeClr w14:val="tx1"/>
                  </w14:solidFill>
                </w14:textFill>
              </w:rPr>
              <w:t>年平均</w:t>
            </w:r>
          </w:p>
        </w:tc>
        <w:tc>
          <w:tcPr>
            <w:tcW w:w="850" w:type="dxa"/>
            <w:tcMar>
              <w:left w:w="0" w:type="dxa"/>
              <w:right w:w="0" w:type="dxa"/>
            </w:tcMar>
            <w:vAlign w:val="center"/>
          </w:tcPr>
          <w:p w14:paraId="727E37DC">
            <w:pPr>
              <w:pStyle w:val="70"/>
              <w:rPr>
                <w:color w:val="000000" w:themeColor="text1"/>
                <w14:textFill>
                  <w14:solidFill>
                    <w14:schemeClr w14:val="tx1"/>
                  </w14:solidFill>
                </w14:textFill>
              </w:rPr>
            </w:pPr>
            <w:r>
              <w:rPr>
                <w:color w:val="000000" w:themeColor="text1"/>
                <w14:textFill>
                  <w14:solidFill>
                    <w14:schemeClr w14:val="tx1"/>
                  </w14:solidFill>
                </w14:textFill>
              </w:rPr>
              <w:t>20</w:t>
            </w:r>
          </w:p>
        </w:tc>
        <w:tc>
          <w:tcPr>
            <w:tcW w:w="851" w:type="dxa"/>
            <w:tcMar>
              <w:left w:w="0" w:type="dxa"/>
              <w:right w:w="0" w:type="dxa"/>
            </w:tcMar>
            <w:vAlign w:val="center"/>
          </w:tcPr>
          <w:p w14:paraId="739E3538">
            <w:pPr>
              <w:pStyle w:val="70"/>
              <w:rPr>
                <w:color w:val="000000" w:themeColor="text1"/>
                <w14:textFill>
                  <w14:solidFill>
                    <w14:schemeClr w14:val="tx1"/>
                  </w14:solidFill>
                </w14:textFill>
              </w:rPr>
            </w:pPr>
            <w:r>
              <w:rPr>
                <w:color w:val="000000" w:themeColor="text1"/>
                <w14:textFill>
                  <w14:solidFill>
                    <w14:schemeClr w14:val="tx1"/>
                  </w14:solidFill>
                </w14:textFill>
              </w:rPr>
              <w:t>60</w:t>
            </w:r>
          </w:p>
        </w:tc>
        <w:tc>
          <w:tcPr>
            <w:tcW w:w="4068" w:type="dxa"/>
            <w:vMerge w:val="continue"/>
            <w:tcMar>
              <w:left w:w="0" w:type="dxa"/>
              <w:right w:w="0" w:type="dxa"/>
            </w:tcMar>
            <w:vAlign w:val="center"/>
          </w:tcPr>
          <w:p w14:paraId="2F366DB5">
            <w:pPr>
              <w:pStyle w:val="70"/>
              <w:rPr>
                <w:color w:val="000000" w:themeColor="text1"/>
                <w14:textFill>
                  <w14:solidFill>
                    <w14:schemeClr w14:val="tx1"/>
                  </w14:solidFill>
                </w14:textFill>
              </w:rPr>
            </w:pPr>
          </w:p>
        </w:tc>
      </w:tr>
      <w:tr w14:paraId="01342D0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562" w:type="dxa"/>
            <w:vMerge w:val="restart"/>
            <w:tcMar>
              <w:left w:w="0" w:type="dxa"/>
              <w:right w:w="0" w:type="dxa"/>
            </w:tcMar>
            <w:vAlign w:val="center"/>
          </w:tcPr>
          <w:p w14:paraId="666ED970">
            <w:pPr>
              <w:pStyle w:val="70"/>
              <w:numPr>
                <w:ilvl w:val="0"/>
                <w:numId w:val="10"/>
              </w:numPr>
              <w:rPr>
                <w:color w:val="000000" w:themeColor="text1"/>
                <w14:textFill>
                  <w14:solidFill>
                    <w14:schemeClr w14:val="tx1"/>
                  </w14:solidFill>
                </w14:textFill>
              </w:rPr>
            </w:pPr>
          </w:p>
        </w:tc>
        <w:tc>
          <w:tcPr>
            <w:tcW w:w="1276" w:type="dxa"/>
            <w:vMerge w:val="restart"/>
            <w:tcMar>
              <w:left w:w="0" w:type="dxa"/>
              <w:right w:w="0" w:type="dxa"/>
            </w:tcMar>
            <w:vAlign w:val="center"/>
          </w:tcPr>
          <w:p w14:paraId="754E3721">
            <w:pPr>
              <w:pStyle w:val="70"/>
              <w:rPr>
                <w:color w:val="000000" w:themeColor="text1"/>
                <w14:textFill>
                  <w14:solidFill>
                    <w14:schemeClr w14:val="tx1"/>
                  </w14:solidFill>
                </w14:textFill>
              </w:rPr>
            </w:pPr>
            <w:r>
              <w:rPr>
                <w:color w:val="000000" w:themeColor="text1"/>
                <w14:textFill>
                  <w14:solidFill>
                    <w14:schemeClr w14:val="tx1"/>
                  </w14:solidFill>
                </w14:textFill>
              </w:rPr>
              <w:t>NO</w:t>
            </w:r>
            <w:r>
              <w:rPr>
                <w:color w:val="000000" w:themeColor="text1"/>
                <w:vertAlign w:val="subscript"/>
                <w14:textFill>
                  <w14:solidFill>
                    <w14:schemeClr w14:val="tx1"/>
                  </w14:solidFill>
                </w14:textFill>
              </w:rPr>
              <w:t>2</w:t>
            </w:r>
          </w:p>
        </w:tc>
        <w:tc>
          <w:tcPr>
            <w:tcW w:w="1418" w:type="dxa"/>
            <w:tcMar>
              <w:left w:w="0" w:type="dxa"/>
              <w:right w:w="0" w:type="dxa"/>
            </w:tcMar>
            <w:vAlign w:val="center"/>
          </w:tcPr>
          <w:p w14:paraId="553D3587">
            <w:pPr>
              <w:pStyle w:val="70"/>
              <w:rPr>
                <w:color w:val="000000" w:themeColor="text1"/>
                <w14:textFill>
                  <w14:solidFill>
                    <w14:schemeClr w14:val="tx1"/>
                  </w14:solidFill>
                </w14:textFill>
              </w:rPr>
            </w:pPr>
            <w:r>
              <w:rPr>
                <w:color w:val="000000" w:themeColor="text1"/>
                <w14:textFill>
                  <w14:solidFill>
                    <w14:schemeClr w14:val="tx1"/>
                  </w14:solidFill>
                </w14:textFill>
              </w:rPr>
              <w:t>1小时平均</w:t>
            </w:r>
          </w:p>
        </w:tc>
        <w:tc>
          <w:tcPr>
            <w:tcW w:w="850" w:type="dxa"/>
            <w:tcMar>
              <w:left w:w="0" w:type="dxa"/>
              <w:right w:w="0" w:type="dxa"/>
            </w:tcMar>
            <w:vAlign w:val="center"/>
          </w:tcPr>
          <w:p w14:paraId="11317A7F">
            <w:pPr>
              <w:pStyle w:val="70"/>
              <w:rPr>
                <w:color w:val="000000" w:themeColor="text1"/>
                <w14:textFill>
                  <w14:solidFill>
                    <w14:schemeClr w14:val="tx1"/>
                  </w14:solidFill>
                </w14:textFill>
              </w:rPr>
            </w:pPr>
            <w:r>
              <w:rPr>
                <w:color w:val="000000" w:themeColor="text1"/>
                <w14:textFill>
                  <w14:solidFill>
                    <w14:schemeClr w14:val="tx1"/>
                  </w14:solidFill>
                </w14:textFill>
              </w:rPr>
              <w:t>200</w:t>
            </w:r>
          </w:p>
        </w:tc>
        <w:tc>
          <w:tcPr>
            <w:tcW w:w="851" w:type="dxa"/>
            <w:tcMar>
              <w:left w:w="0" w:type="dxa"/>
              <w:right w:w="0" w:type="dxa"/>
            </w:tcMar>
            <w:vAlign w:val="center"/>
          </w:tcPr>
          <w:p w14:paraId="1D39C9BA">
            <w:pPr>
              <w:pStyle w:val="70"/>
              <w:rPr>
                <w:color w:val="000000" w:themeColor="text1"/>
                <w14:textFill>
                  <w14:solidFill>
                    <w14:schemeClr w14:val="tx1"/>
                  </w14:solidFill>
                </w14:textFill>
              </w:rPr>
            </w:pPr>
            <w:r>
              <w:rPr>
                <w:color w:val="000000" w:themeColor="text1"/>
                <w14:textFill>
                  <w14:solidFill>
                    <w14:schemeClr w14:val="tx1"/>
                  </w14:solidFill>
                </w14:textFill>
              </w:rPr>
              <w:t>200</w:t>
            </w:r>
          </w:p>
        </w:tc>
        <w:tc>
          <w:tcPr>
            <w:tcW w:w="4068" w:type="dxa"/>
            <w:vMerge w:val="continue"/>
            <w:tcMar>
              <w:left w:w="0" w:type="dxa"/>
              <w:right w:w="0" w:type="dxa"/>
            </w:tcMar>
            <w:vAlign w:val="center"/>
          </w:tcPr>
          <w:p w14:paraId="646FC5A1">
            <w:pPr>
              <w:pStyle w:val="70"/>
              <w:rPr>
                <w:color w:val="000000" w:themeColor="text1"/>
                <w14:textFill>
                  <w14:solidFill>
                    <w14:schemeClr w14:val="tx1"/>
                  </w14:solidFill>
                </w14:textFill>
              </w:rPr>
            </w:pPr>
          </w:p>
        </w:tc>
      </w:tr>
      <w:tr w14:paraId="311E13D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562" w:type="dxa"/>
            <w:vMerge w:val="continue"/>
            <w:tcMar>
              <w:left w:w="0" w:type="dxa"/>
              <w:right w:w="0" w:type="dxa"/>
            </w:tcMar>
            <w:vAlign w:val="center"/>
          </w:tcPr>
          <w:p w14:paraId="50B57B52">
            <w:pPr>
              <w:pStyle w:val="70"/>
              <w:numPr>
                <w:ilvl w:val="0"/>
                <w:numId w:val="10"/>
              </w:numPr>
              <w:rPr>
                <w:color w:val="000000" w:themeColor="text1"/>
                <w14:textFill>
                  <w14:solidFill>
                    <w14:schemeClr w14:val="tx1"/>
                  </w14:solidFill>
                </w14:textFill>
              </w:rPr>
            </w:pPr>
          </w:p>
        </w:tc>
        <w:tc>
          <w:tcPr>
            <w:tcW w:w="1276" w:type="dxa"/>
            <w:vMerge w:val="continue"/>
            <w:tcMar>
              <w:left w:w="0" w:type="dxa"/>
              <w:right w:w="0" w:type="dxa"/>
            </w:tcMar>
            <w:vAlign w:val="center"/>
          </w:tcPr>
          <w:p w14:paraId="01B21336">
            <w:pPr>
              <w:pStyle w:val="70"/>
              <w:rPr>
                <w:color w:val="000000" w:themeColor="text1"/>
                <w14:textFill>
                  <w14:solidFill>
                    <w14:schemeClr w14:val="tx1"/>
                  </w14:solidFill>
                </w14:textFill>
              </w:rPr>
            </w:pPr>
          </w:p>
        </w:tc>
        <w:tc>
          <w:tcPr>
            <w:tcW w:w="1418" w:type="dxa"/>
            <w:tcMar>
              <w:left w:w="0" w:type="dxa"/>
              <w:right w:w="0" w:type="dxa"/>
            </w:tcMar>
            <w:vAlign w:val="center"/>
          </w:tcPr>
          <w:p w14:paraId="204A7E14">
            <w:pPr>
              <w:pStyle w:val="70"/>
              <w:rPr>
                <w:color w:val="000000" w:themeColor="text1"/>
                <w14:textFill>
                  <w14:solidFill>
                    <w14:schemeClr w14:val="tx1"/>
                  </w14:solidFill>
                </w14:textFill>
              </w:rPr>
            </w:pPr>
            <w:r>
              <w:rPr>
                <w:color w:val="000000" w:themeColor="text1"/>
                <w14:textFill>
                  <w14:solidFill>
                    <w14:schemeClr w14:val="tx1"/>
                  </w14:solidFill>
                </w14:textFill>
              </w:rPr>
              <w:t>24小时平均</w:t>
            </w:r>
          </w:p>
        </w:tc>
        <w:tc>
          <w:tcPr>
            <w:tcW w:w="850" w:type="dxa"/>
            <w:tcMar>
              <w:left w:w="0" w:type="dxa"/>
              <w:right w:w="0" w:type="dxa"/>
            </w:tcMar>
            <w:vAlign w:val="center"/>
          </w:tcPr>
          <w:p w14:paraId="5783B11C">
            <w:pPr>
              <w:pStyle w:val="70"/>
              <w:rPr>
                <w:color w:val="000000" w:themeColor="text1"/>
                <w14:textFill>
                  <w14:solidFill>
                    <w14:schemeClr w14:val="tx1"/>
                  </w14:solidFill>
                </w14:textFill>
              </w:rPr>
            </w:pPr>
            <w:r>
              <w:rPr>
                <w:color w:val="000000" w:themeColor="text1"/>
                <w14:textFill>
                  <w14:solidFill>
                    <w14:schemeClr w14:val="tx1"/>
                  </w14:solidFill>
                </w14:textFill>
              </w:rPr>
              <w:t>80</w:t>
            </w:r>
          </w:p>
        </w:tc>
        <w:tc>
          <w:tcPr>
            <w:tcW w:w="851" w:type="dxa"/>
            <w:tcMar>
              <w:left w:w="0" w:type="dxa"/>
              <w:right w:w="0" w:type="dxa"/>
            </w:tcMar>
            <w:vAlign w:val="center"/>
          </w:tcPr>
          <w:p w14:paraId="7C27E589">
            <w:pPr>
              <w:pStyle w:val="70"/>
              <w:rPr>
                <w:color w:val="000000" w:themeColor="text1"/>
                <w14:textFill>
                  <w14:solidFill>
                    <w14:schemeClr w14:val="tx1"/>
                  </w14:solidFill>
                </w14:textFill>
              </w:rPr>
            </w:pPr>
            <w:r>
              <w:rPr>
                <w:color w:val="000000" w:themeColor="text1"/>
                <w14:textFill>
                  <w14:solidFill>
                    <w14:schemeClr w14:val="tx1"/>
                  </w14:solidFill>
                </w14:textFill>
              </w:rPr>
              <w:t>80</w:t>
            </w:r>
          </w:p>
        </w:tc>
        <w:tc>
          <w:tcPr>
            <w:tcW w:w="4068" w:type="dxa"/>
            <w:vMerge w:val="continue"/>
            <w:tcMar>
              <w:left w:w="0" w:type="dxa"/>
              <w:right w:w="0" w:type="dxa"/>
            </w:tcMar>
            <w:vAlign w:val="center"/>
          </w:tcPr>
          <w:p w14:paraId="4A0EB9AB">
            <w:pPr>
              <w:pStyle w:val="70"/>
              <w:rPr>
                <w:color w:val="000000" w:themeColor="text1"/>
                <w14:textFill>
                  <w14:solidFill>
                    <w14:schemeClr w14:val="tx1"/>
                  </w14:solidFill>
                </w14:textFill>
              </w:rPr>
            </w:pPr>
          </w:p>
        </w:tc>
      </w:tr>
      <w:tr w14:paraId="04C6B1E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562" w:type="dxa"/>
            <w:vMerge w:val="continue"/>
            <w:tcMar>
              <w:left w:w="0" w:type="dxa"/>
              <w:right w:w="0" w:type="dxa"/>
            </w:tcMar>
            <w:vAlign w:val="center"/>
          </w:tcPr>
          <w:p w14:paraId="249B29EA">
            <w:pPr>
              <w:pStyle w:val="70"/>
              <w:numPr>
                <w:ilvl w:val="0"/>
                <w:numId w:val="10"/>
              </w:numPr>
              <w:rPr>
                <w:color w:val="000000" w:themeColor="text1"/>
                <w14:textFill>
                  <w14:solidFill>
                    <w14:schemeClr w14:val="tx1"/>
                  </w14:solidFill>
                </w14:textFill>
              </w:rPr>
            </w:pPr>
          </w:p>
        </w:tc>
        <w:tc>
          <w:tcPr>
            <w:tcW w:w="1276" w:type="dxa"/>
            <w:vMerge w:val="continue"/>
            <w:tcMar>
              <w:left w:w="0" w:type="dxa"/>
              <w:right w:w="0" w:type="dxa"/>
            </w:tcMar>
            <w:vAlign w:val="center"/>
          </w:tcPr>
          <w:p w14:paraId="12A7C228">
            <w:pPr>
              <w:pStyle w:val="70"/>
              <w:rPr>
                <w:color w:val="000000" w:themeColor="text1"/>
                <w14:textFill>
                  <w14:solidFill>
                    <w14:schemeClr w14:val="tx1"/>
                  </w14:solidFill>
                </w14:textFill>
              </w:rPr>
            </w:pPr>
          </w:p>
        </w:tc>
        <w:tc>
          <w:tcPr>
            <w:tcW w:w="1418" w:type="dxa"/>
            <w:tcMar>
              <w:left w:w="0" w:type="dxa"/>
              <w:right w:w="0" w:type="dxa"/>
            </w:tcMar>
            <w:vAlign w:val="center"/>
          </w:tcPr>
          <w:p w14:paraId="72662AC6">
            <w:pPr>
              <w:pStyle w:val="70"/>
              <w:rPr>
                <w:color w:val="000000" w:themeColor="text1"/>
                <w14:textFill>
                  <w14:solidFill>
                    <w14:schemeClr w14:val="tx1"/>
                  </w14:solidFill>
                </w14:textFill>
              </w:rPr>
            </w:pPr>
            <w:r>
              <w:rPr>
                <w:color w:val="000000" w:themeColor="text1"/>
                <w14:textFill>
                  <w14:solidFill>
                    <w14:schemeClr w14:val="tx1"/>
                  </w14:solidFill>
                </w14:textFill>
              </w:rPr>
              <w:t>年平均</w:t>
            </w:r>
          </w:p>
        </w:tc>
        <w:tc>
          <w:tcPr>
            <w:tcW w:w="850" w:type="dxa"/>
            <w:tcMar>
              <w:left w:w="0" w:type="dxa"/>
              <w:right w:w="0" w:type="dxa"/>
            </w:tcMar>
            <w:vAlign w:val="center"/>
          </w:tcPr>
          <w:p w14:paraId="059ED55C">
            <w:pPr>
              <w:pStyle w:val="70"/>
              <w:rPr>
                <w:color w:val="000000" w:themeColor="text1"/>
                <w14:textFill>
                  <w14:solidFill>
                    <w14:schemeClr w14:val="tx1"/>
                  </w14:solidFill>
                </w14:textFill>
              </w:rPr>
            </w:pPr>
            <w:r>
              <w:rPr>
                <w:color w:val="000000" w:themeColor="text1"/>
                <w14:textFill>
                  <w14:solidFill>
                    <w14:schemeClr w14:val="tx1"/>
                  </w14:solidFill>
                </w14:textFill>
              </w:rPr>
              <w:t>40</w:t>
            </w:r>
          </w:p>
        </w:tc>
        <w:tc>
          <w:tcPr>
            <w:tcW w:w="851" w:type="dxa"/>
            <w:tcMar>
              <w:left w:w="0" w:type="dxa"/>
              <w:right w:w="0" w:type="dxa"/>
            </w:tcMar>
            <w:vAlign w:val="center"/>
          </w:tcPr>
          <w:p w14:paraId="53435101">
            <w:pPr>
              <w:pStyle w:val="70"/>
              <w:rPr>
                <w:color w:val="000000" w:themeColor="text1"/>
                <w14:textFill>
                  <w14:solidFill>
                    <w14:schemeClr w14:val="tx1"/>
                  </w14:solidFill>
                </w14:textFill>
              </w:rPr>
            </w:pPr>
            <w:r>
              <w:rPr>
                <w:color w:val="000000" w:themeColor="text1"/>
                <w14:textFill>
                  <w14:solidFill>
                    <w14:schemeClr w14:val="tx1"/>
                  </w14:solidFill>
                </w14:textFill>
              </w:rPr>
              <w:t>40</w:t>
            </w:r>
          </w:p>
        </w:tc>
        <w:tc>
          <w:tcPr>
            <w:tcW w:w="4068" w:type="dxa"/>
            <w:vMerge w:val="continue"/>
            <w:tcMar>
              <w:left w:w="0" w:type="dxa"/>
              <w:right w:w="0" w:type="dxa"/>
            </w:tcMar>
            <w:vAlign w:val="center"/>
          </w:tcPr>
          <w:p w14:paraId="3BA87902">
            <w:pPr>
              <w:pStyle w:val="70"/>
              <w:rPr>
                <w:color w:val="000000" w:themeColor="text1"/>
                <w14:textFill>
                  <w14:solidFill>
                    <w14:schemeClr w14:val="tx1"/>
                  </w14:solidFill>
                </w14:textFill>
              </w:rPr>
            </w:pPr>
          </w:p>
        </w:tc>
      </w:tr>
      <w:tr w14:paraId="568143F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562" w:type="dxa"/>
            <w:vMerge w:val="restart"/>
            <w:tcMar>
              <w:left w:w="0" w:type="dxa"/>
              <w:right w:w="0" w:type="dxa"/>
            </w:tcMar>
            <w:vAlign w:val="center"/>
          </w:tcPr>
          <w:p w14:paraId="1873B814">
            <w:pPr>
              <w:pStyle w:val="70"/>
              <w:numPr>
                <w:ilvl w:val="0"/>
                <w:numId w:val="10"/>
              </w:numPr>
              <w:rPr>
                <w:color w:val="000000" w:themeColor="text1"/>
                <w14:textFill>
                  <w14:solidFill>
                    <w14:schemeClr w14:val="tx1"/>
                  </w14:solidFill>
                </w14:textFill>
              </w:rPr>
            </w:pPr>
          </w:p>
        </w:tc>
        <w:tc>
          <w:tcPr>
            <w:tcW w:w="1276" w:type="dxa"/>
            <w:vMerge w:val="restart"/>
            <w:tcMar>
              <w:left w:w="0" w:type="dxa"/>
              <w:right w:w="0" w:type="dxa"/>
            </w:tcMar>
            <w:vAlign w:val="center"/>
          </w:tcPr>
          <w:p w14:paraId="00ECD35C">
            <w:pPr>
              <w:pStyle w:val="70"/>
              <w:rPr>
                <w:color w:val="000000" w:themeColor="text1"/>
                <w14:textFill>
                  <w14:solidFill>
                    <w14:schemeClr w14:val="tx1"/>
                  </w14:solidFill>
                </w14:textFill>
              </w:rPr>
            </w:pPr>
            <w:r>
              <w:rPr>
                <w:color w:val="000000" w:themeColor="text1"/>
                <w14:textFill>
                  <w14:solidFill>
                    <w14:schemeClr w14:val="tx1"/>
                  </w14:solidFill>
                </w14:textFill>
              </w:rPr>
              <w:t>CO</w:t>
            </w:r>
          </w:p>
        </w:tc>
        <w:tc>
          <w:tcPr>
            <w:tcW w:w="1418" w:type="dxa"/>
            <w:tcMar>
              <w:left w:w="0" w:type="dxa"/>
              <w:right w:w="0" w:type="dxa"/>
            </w:tcMar>
            <w:vAlign w:val="center"/>
          </w:tcPr>
          <w:p w14:paraId="57840CD5">
            <w:pPr>
              <w:pStyle w:val="70"/>
              <w:rPr>
                <w:color w:val="000000" w:themeColor="text1"/>
                <w14:textFill>
                  <w14:solidFill>
                    <w14:schemeClr w14:val="tx1"/>
                  </w14:solidFill>
                </w14:textFill>
              </w:rPr>
            </w:pPr>
            <w:r>
              <w:rPr>
                <w:color w:val="000000" w:themeColor="text1"/>
                <w14:textFill>
                  <w14:solidFill>
                    <w14:schemeClr w14:val="tx1"/>
                  </w14:solidFill>
                </w14:textFill>
              </w:rPr>
              <w:t>1小时平均</w:t>
            </w:r>
          </w:p>
        </w:tc>
        <w:tc>
          <w:tcPr>
            <w:tcW w:w="850" w:type="dxa"/>
            <w:tcMar>
              <w:left w:w="0" w:type="dxa"/>
              <w:right w:w="0" w:type="dxa"/>
            </w:tcMar>
            <w:vAlign w:val="center"/>
          </w:tcPr>
          <w:p w14:paraId="30D12DD9">
            <w:pPr>
              <w:pStyle w:val="70"/>
              <w:rPr>
                <w:color w:val="000000" w:themeColor="text1"/>
                <w14:textFill>
                  <w14:solidFill>
                    <w14:schemeClr w14:val="tx1"/>
                  </w14:solidFill>
                </w14:textFill>
              </w:rPr>
            </w:pPr>
            <w:r>
              <w:rPr>
                <w:color w:val="000000" w:themeColor="text1"/>
                <w14:textFill>
                  <w14:solidFill>
                    <w14:schemeClr w14:val="tx1"/>
                  </w14:solidFill>
                </w14:textFill>
              </w:rPr>
              <w:t>10000</w:t>
            </w:r>
          </w:p>
        </w:tc>
        <w:tc>
          <w:tcPr>
            <w:tcW w:w="851" w:type="dxa"/>
            <w:tcMar>
              <w:left w:w="0" w:type="dxa"/>
              <w:right w:w="0" w:type="dxa"/>
            </w:tcMar>
            <w:vAlign w:val="center"/>
          </w:tcPr>
          <w:p w14:paraId="52CE1F94">
            <w:pPr>
              <w:pStyle w:val="70"/>
              <w:rPr>
                <w:color w:val="000000" w:themeColor="text1"/>
                <w14:textFill>
                  <w14:solidFill>
                    <w14:schemeClr w14:val="tx1"/>
                  </w14:solidFill>
                </w14:textFill>
              </w:rPr>
            </w:pPr>
            <w:r>
              <w:rPr>
                <w:color w:val="000000" w:themeColor="text1"/>
                <w14:textFill>
                  <w14:solidFill>
                    <w14:schemeClr w14:val="tx1"/>
                  </w14:solidFill>
                </w14:textFill>
              </w:rPr>
              <w:t>10000</w:t>
            </w:r>
          </w:p>
        </w:tc>
        <w:tc>
          <w:tcPr>
            <w:tcW w:w="4068" w:type="dxa"/>
            <w:vMerge w:val="continue"/>
            <w:tcMar>
              <w:left w:w="0" w:type="dxa"/>
              <w:right w:w="0" w:type="dxa"/>
            </w:tcMar>
            <w:vAlign w:val="center"/>
          </w:tcPr>
          <w:p w14:paraId="5600E441">
            <w:pPr>
              <w:pStyle w:val="70"/>
              <w:rPr>
                <w:color w:val="000000" w:themeColor="text1"/>
                <w14:textFill>
                  <w14:solidFill>
                    <w14:schemeClr w14:val="tx1"/>
                  </w14:solidFill>
                </w14:textFill>
              </w:rPr>
            </w:pPr>
          </w:p>
        </w:tc>
      </w:tr>
      <w:tr w14:paraId="69EBA23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562" w:type="dxa"/>
            <w:vMerge w:val="continue"/>
            <w:tcMar>
              <w:left w:w="0" w:type="dxa"/>
              <w:right w:w="0" w:type="dxa"/>
            </w:tcMar>
            <w:vAlign w:val="center"/>
          </w:tcPr>
          <w:p w14:paraId="6B0819C2">
            <w:pPr>
              <w:pStyle w:val="70"/>
              <w:numPr>
                <w:ilvl w:val="0"/>
                <w:numId w:val="10"/>
              </w:numPr>
              <w:rPr>
                <w:color w:val="000000" w:themeColor="text1"/>
                <w14:textFill>
                  <w14:solidFill>
                    <w14:schemeClr w14:val="tx1"/>
                  </w14:solidFill>
                </w14:textFill>
              </w:rPr>
            </w:pPr>
          </w:p>
        </w:tc>
        <w:tc>
          <w:tcPr>
            <w:tcW w:w="1276" w:type="dxa"/>
            <w:vMerge w:val="continue"/>
            <w:tcMar>
              <w:left w:w="0" w:type="dxa"/>
              <w:right w:w="0" w:type="dxa"/>
            </w:tcMar>
            <w:vAlign w:val="center"/>
          </w:tcPr>
          <w:p w14:paraId="339D70F3">
            <w:pPr>
              <w:pStyle w:val="70"/>
              <w:rPr>
                <w:color w:val="000000" w:themeColor="text1"/>
                <w14:textFill>
                  <w14:solidFill>
                    <w14:schemeClr w14:val="tx1"/>
                  </w14:solidFill>
                </w14:textFill>
              </w:rPr>
            </w:pPr>
          </w:p>
        </w:tc>
        <w:tc>
          <w:tcPr>
            <w:tcW w:w="1418" w:type="dxa"/>
            <w:tcMar>
              <w:left w:w="0" w:type="dxa"/>
              <w:right w:w="0" w:type="dxa"/>
            </w:tcMar>
            <w:vAlign w:val="center"/>
          </w:tcPr>
          <w:p w14:paraId="02A92AE1">
            <w:pPr>
              <w:pStyle w:val="70"/>
              <w:rPr>
                <w:color w:val="000000" w:themeColor="text1"/>
                <w14:textFill>
                  <w14:solidFill>
                    <w14:schemeClr w14:val="tx1"/>
                  </w14:solidFill>
                </w14:textFill>
              </w:rPr>
            </w:pPr>
            <w:r>
              <w:rPr>
                <w:color w:val="000000" w:themeColor="text1"/>
                <w14:textFill>
                  <w14:solidFill>
                    <w14:schemeClr w14:val="tx1"/>
                  </w14:solidFill>
                </w14:textFill>
              </w:rPr>
              <w:t>24小时平均</w:t>
            </w:r>
          </w:p>
        </w:tc>
        <w:tc>
          <w:tcPr>
            <w:tcW w:w="850" w:type="dxa"/>
            <w:tcMar>
              <w:left w:w="0" w:type="dxa"/>
              <w:right w:w="0" w:type="dxa"/>
            </w:tcMar>
            <w:vAlign w:val="center"/>
          </w:tcPr>
          <w:p w14:paraId="2550A6AB">
            <w:pPr>
              <w:pStyle w:val="70"/>
              <w:rPr>
                <w:color w:val="000000" w:themeColor="text1"/>
                <w14:textFill>
                  <w14:solidFill>
                    <w14:schemeClr w14:val="tx1"/>
                  </w14:solidFill>
                </w14:textFill>
              </w:rPr>
            </w:pPr>
            <w:r>
              <w:rPr>
                <w:color w:val="000000" w:themeColor="text1"/>
                <w14:textFill>
                  <w14:solidFill>
                    <w14:schemeClr w14:val="tx1"/>
                  </w14:solidFill>
                </w14:textFill>
              </w:rPr>
              <w:t>4000</w:t>
            </w:r>
          </w:p>
        </w:tc>
        <w:tc>
          <w:tcPr>
            <w:tcW w:w="851" w:type="dxa"/>
            <w:tcMar>
              <w:left w:w="0" w:type="dxa"/>
              <w:right w:w="0" w:type="dxa"/>
            </w:tcMar>
            <w:vAlign w:val="center"/>
          </w:tcPr>
          <w:p w14:paraId="702EBEAC">
            <w:pPr>
              <w:pStyle w:val="70"/>
              <w:rPr>
                <w:color w:val="000000" w:themeColor="text1"/>
                <w14:textFill>
                  <w14:solidFill>
                    <w14:schemeClr w14:val="tx1"/>
                  </w14:solidFill>
                </w14:textFill>
              </w:rPr>
            </w:pPr>
            <w:r>
              <w:rPr>
                <w:color w:val="000000" w:themeColor="text1"/>
                <w14:textFill>
                  <w14:solidFill>
                    <w14:schemeClr w14:val="tx1"/>
                  </w14:solidFill>
                </w14:textFill>
              </w:rPr>
              <w:t>4000</w:t>
            </w:r>
          </w:p>
        </w:tc>
        <w:tc>
          <w:tcPr>
            <w:tcW w:w="4068" w:type="dxa"/>
            <w:vMerge w:val="continue"/>
            <w:tcMar>
              <w:left w:w="0" w:type="dxa"/>
              <w:right w:w="0" w:type="dxa"/>
            </w:tcMar>
            <w:vAlign w:val="center"/>
          </w:tcPr>
          <w:p w14:paraId="4170AA85">
            <w:pPr>
              <w:pStyle w:val="70"/>
              <w:rPr>
                <w:color w:val="000000" w:themeColor="text1"/>
                <w14:textFill>
                  <w14:solidFill>
                    <w14:schemeClr w14:val="tx1"/>
                  </w14:solidFill>
                </w14:textFill>
              </w:rPr>
            </w:pPr>
          </w:p>
        </w:tc>
      </w:tr>
      <w:tr w14:paraId="2F884D6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562" w:type="dxa"/>
            <w:vMerge w:val="restart"/>
            <w:tcMar>
              <w:left w:w="0" w:type="dxa"/>
              <w:right w:w="0" w:type="dxa"/>
            </w:tcMar>
            <w:vAlign w:val="center"/>
          </w:tcPr>
          <w:p w14:paraId="544FB6D7">
            <w:pPr>
              <w:pStyle w:val="70"/>
              <w:numPr>
                <w:ilvl w:val="0"/>
                <w:numId w:val="10"/>
              </w:numPr>
              <w:rPr>
                <w:color w:val="000000" w:themeColor="text1"/>
                <w14:textFill>
                  <w14:solidFill>
                    <w14:schemeClr w14:val="tx1"/>
                  </w14:solidFill>
                </w14:textFill>
              </w:rPr>
            </w:pPr>
          </w:p>
        </w:tc>
        <w:tc>
          <w:tcPr>
            <w:tcW w:w="1276" w:type="dxa"/>
            <w:vMerge w:val="restart"/>
            <w:tcMar>
              <w:left w:w="0" w:type="dxa"/>
              <w:right w:w="0" w:type="dxa"/>
            </w:tcMar>
            <w:vAlign w:val="center"/>
          </w:tcPr>
          <w:p w14:paraId="4492124C">
            <w:pPr>
              <w:pStyle w:val="70"/>
              <w:rPr>
                <w:color w:val="000000" w:themeColor="text1"/>
                <w14:textFill>
                  <w14:solidFill>
                    <w14:schemeClr w14:val="tx1"/>
                  </w14:solidFill>
                </w14:textFill>
              </w:rPr>
            </w:pPr>
            <w:r>
              <w:rPr>
                <w:color w:val="000000" w:themeColor="text1"/>
                <w14:textFill>
                  <w14:solidFill>
                    <w14:schemeClr w14:val="tx1"/>
                  </w14:solidFill>
                </w14:textFill>
              </w:rPr>
              <w:t>PM</w:t>
            </w:r>
            <w:r>
              <w:rPr>
                <w:color w:val="000000" w:themeColor="text1"/>
                <w:vertAlign w:val="subscript"/>
                <w14:textFill>
                  <w14:solidFill>
                    <w14:schemeClr w14:val="tx1"/>
                  </w14:solidFill>
                </w14:textFill>
              </w:rPr>
              <w:t>10</w:t>
            </w:r>
          </w:p>
        </w:tc>
        <w:tc>
          <w:tcPr>
            <w:tcW w:w="1418" w:type="dxa"/>
            <w:tcMar>
              <w:left w:w="0" w:type="dxa"/>
              <w:right w:w="0" w:type="dxa"/>
            </w:tcMar>
            <w:vAlign w:val="center"/>
          </w:tcPr>
          <w:p w14:paraId="1B4D4F2E">
            <w:pPr>
              <w:pStyle w:val="70"/>
              <w:rPr>
                <w:color w:val="000000" w:themeColor="text1"/>
                <w14:textFill>
                  <w14:solidFill>
                    <w14:schemeClr w14:val="tx1"/>
                  </w14:solidFill>
                </w14:textFill>
              </w:rPr>
            </w:pPr>
            <w:r>
              <w:rPr>
                <w:color w:val="000000" w:themeColor="text1"/>
                <w14:textFill>
                  <w14:solidFill>
                    <w14:schemeClr w14:val="tx1"/>
                  </w14:solidFill>
                </w14:textFill>
              </w:rPr>
              <w:t>24小时平均</w:t>
            </w:r>
          </w:p>
        </w:tc>
        <w:tc>
          <w:tcPr>
            <w:tcW w:w="850" w:type="dxa"/>
            <w:tcMar>
              <w:left w:w="0" w:type="dxa"/>
              <w:right w:w="0" w:type="dxa"/>
            </w:tcMar>
            <w:vAlign w:val="center"/>
          </w:tcPr>
          <w:p w14:paraId="36EB8D14">
            <w:pPr>
              <w:pStyle w:val="70"/>
              <w:rPr>
                <w:color w:val="000000" w:themeColor="text1"/>
                <w14:textFill>
                  <w14:solidFill>
                    <w14:schemeClr w14:val="tx1"/>
                  </w14:solidFill>
                </w14:textFill>
              </w:rPr>
            </w:pPr>
            <w:r>
              <w:rPr>
                <w:color w:val="000000" w:themeColor="text1"/>
                <w14:textFill>
                  <w14:solidFill>
                    <w14:schemeClr w14:val="tx1"/>
                  </w14:solidFill>
                </w14:textFill>
              </w:rPr>
              <w:t>50</w:t>
            </w:r>
          </w:p>
        </w:tc>
        <w:tc>
          <w:tcPr>
            <w:tcW w:w="851" w:type="dxa"/>
            <w:tcMar>
              <w:left w:w="0" w:type="dxa"/>
              <w:right w:w="0" w:type="dxa"/>
            </w:tcMar>
            <w:vAlign w:val="center"/>
          </w:tcPr>
          <w:p w14:paraId="4A3F9093">
            <w:pPr>
              <w:pStyle w:val="70"/>
              <w:rPr>
                <w:color w:val="000000" w:themeColor="text1"/>
                <w14:textFill>
                  <w14:solidFill>
                    <w14:schemeClr w14:val="tx1"/>
                  </w14:solidFill>
                </w14:textFill>
              </w:rPr>
            </w:pPr>
            <w:r>
              <w:rPr>
                <w:color w:val="000000" w:themeColor="text1"/>
                <w14:textFill>
                  <w14:solidFill>
                    <w14:schemeClr w14:val="tx1"/>
                  </w14:solidFill>
                </w14:textFill>
              </w:rPr>
              <w:t>150</w:t>
            </w:r>
          </w:p>
        </w:tc>
        <w:tc>
          <w:tcPr>
            <w:tcW w:w="4068" w:type="dxa"/>
            <w:vMerge w:val="continue"/>
            <w:tcMar>
              <w:left w:w="0" w:type="dxa"/>
              <w:right w:w="0" w:type="dxa"/>
            </w:tcMar>
            <w:vAlign w:val="center"/>
          </w:tcPr>
          <w:p w14:paraId="356640EE">
            <w:pPr>
              <w:pStyle w:val="70"/>
              <w:rPr>
                <w:color w:val="000000" w:themeColor="text1"/>
                <w14:textFill>
                  <w14:solidFill>
                    <w14:schemeClr w14:val="tx1"/>
                  </w14:solidFill>
                </w14:textFill>
              </w:rPr>
            </w:pPr>
          </w:p>
        </w:tc>
      </w:tr>
      <w:tr w14:paraId="3A1FE1F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562" w:type="dxa"/>
            <w:vMerge w:val="continue"/>
            <w:tcMar>
              <w:left w:w="0" w:type="dxa"/>
              <w:right w:w="0" w:type="dxa"/>
            </w:tcMar>
            <w:vAlign w:val="center"/>
          </w:tcPr>
          <w:p w14:paraId="5D7E132D">
            <w:pPr>
              <w:pStyle w:val="70"/>
              <w:numPr>
                <w:ilvl w:val="0"/>
                <w:numId w:val="10"/>
              </w:numPr>
              <w:rPr>
                <w:color w:val="000000" w:themeColor="text1"/>
                <w14:textFill>
                  <w14:solidFill>
                    <w14:schemeClr w14:val="tx1"/>
                  </w14:solidFill>
                </w14:textFill>
              </w:rPr>
            </w:pPr>
          </w:p>
        </w:tc>
        <w:tc>
          <w:tcPr>
            <w:tcW w:w="1276" w:type="dxa"/>
            <w:vMerge w:val="continue"/>
            <w:tcMar>
              <w:left w:w="0" w:type="dxa"/>
              <w:right w:w="0" w:type="dxa"/>
            </w:tcMar>
            <w:vAlign w:val="center"/>
          </w:tcPr>
          <w:p w14:paraId="4B7CF70C">
            <w:pPr>
              <w:pStyle w:val="70"/>
              <w:rPr>
                <w:color w:val="000000" w:themeColor="text1"/>
                <w14:textFill>
                  <w14:solidFill>
                    <w14:schemeClr w14:val="tx1"/>
                  </w14:solidFill>
                </w14:textFill>
              </w:rPr>
            </w:pPr>
          </w:p>
        </w:tc>
        <w:tc>
          <w:tcPr>
            <w:tcW w:w="1418" w:type="dxa"/>
            <w:tcMar>
              <w:left w:w="0" w:type="dxa"/>
              <w:right w:w="0" w:type="dxa"/>
            </w:tcMar>
            <w:vAlign w:val="center"/>
          </w:tcPr>
          <w:p w14:paraId="0F00AF1B">
            <w:pPr>
              <w:pStyle w:val="70"/>
              <w:rPr>
                <w:color w:val="000000" w:themeColor="text1"/>
                <w14:textFill>
                  <w14:solidFill>
                    <w14:schemeClr w14:val="tx1"/>
                  </w14:solidFill>
                </w14:textFill>
              </w:rPr>
            </w:pPr>
            <w:r>
              <w:rPr>
                <w:color w:val="000000" w:themeColor="text1"/>
                <w14:textFill>
                  <w14:solidFill>
                    <w14:schemeClr w14:val="tx1"/>
                  </w14:solidFill>
                </w14:textFill>
              </w:rPr>
              <w:t>年平均</w:t>
            </w:r>
          </w:p>
        </w:tc>
        <w:tc>
          <w:tcPr>
            <w:tcW w:w="850" w:type="dxa"/>
            <w:tcMar>
              <w:left w:w="0" w:type="dxa"/>
              <w:right w:w="0" w:type="dxa"/>
            </w:tcMar>
            <w:vAlign w:val="center"/>
          </w:tcPr>
          <w:p w14:paraId="6C70D58B">
            <w:pPr>
              <w:pStyle w:val="70"/>
              <w:rPr>
                <w:color w:val="000000" w:themeColor="text1"/>
                <w14:textFill>
                  <w14:solidFill>
                    <w14:schemeClr w14:val="tx1"/>
                  </w14:solidFill>
                </w14:textFill>
              </w:rPr>
            </w:pPr>
            <w:r>
              <w:rPr>
                <w:color w:val="000000" w:themeColor="text1"/>
                <w14:textFill>
                  <w14:solidFill>
                    <w14:schemeClr w14:val="tx1"/>
                  </w14:solidFill>
                </w14:textFill>
              </w:rPr>
              <w:t>40</w:t>
            </w:r>
          </w:p>
        </w:tc>
        <w:tc>
          <w:tcPr>
            <w:tcW w:w="851" w:type="dxa"/>
            <w:tcMar>
              <w:left w:w="0" w:type="dxa"/>
              <w:right w:w="0" w:type="dxa"/>
            </w:tcMar>
            <w:vAlign w:val="center"/>
          </w:tcPr>
          <w:p w14:paraId="228CFC69">
            <w:pPr>
              <w:pStyle w:val="70"/>
              <w:rPr>
                <w:color w:val="000000" w:themeColor="text1"/>
                <w14:textFill>
                  <w14:solidFill>
                    <w14:schemeClr w14:val="tx1"/>
                  </w14:solidFill>
                </w14:textFill>
              </w:rPr>
            </w:pPr>
            <w:r>
              <w:rPr>
                <w:color w:val="000000" w:themeColor="text1"/>
                <w14:textFill>
                  <w14:solidFill>
                    <w14:schemeClr w14:val="tx1"/>
                  </w14:solidFill>
                </w14:textFill>
              </w:rPr>
              <w:t>70</w:t>
            </w:r>
          </w:p>
        </w:tc>
        <w:tc>
          <w:tcPr>
            <w:tcW w:w="4068" w:type="dxa"/>
            <w:vMerge w:val="continue"/>
            <w:tcMar>
              <w:left w:w="0" w:type="dxa"/>
              <w:right w:w="0" w:type="dxa"/>
            </w:tcMar>
            <w:vAlign w:val="center"/>
          </w:tcPr>
          <w:p w14:paraId="7A226CC8">
            <w:pPr>
              <w:pStyle w:val="70"/>
              <w:rPr>
                <w:color w:val="000000" w:themeColor="text1"/>
                <w14:textFill>
                  <w14:solidFill>
                    <w14:schemeClr w14:val="tx1"/>
                  </w14:solidFill>
                </w14:textFill>
              </w:rPr>
            </w:pPr>
          </w:p>
        </w:tc>
      </w:tr>
      <w:tr w14:paraId="7591C0A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562" w:type="dxa"/>
            <w:vMerge w:val="restart"/>
            <w:tcMar>
              <w:left w:w="0" w:type="dxa"/>
              <w:right w:w="0" w:type="dxa"/>
            </w:tcMar>
            <w:vAlign w:val="center"/>
          </w:tcPr>
          <w:p w14:paraId="4D9EEF7A">
            <w:pPr>
              <w:pStyle w:val="70"/>
              <w:numPr>
                <w:ilvl w:val="0"/>
                <w:numId w:val="10"/>
              </w:numPr>
              <w:rPr>
                <w:color w:val="000000" w:themeColor="text1"/>
                <w14:textFill>
                  <w14:solidFill>
                    <w14:schemeClr w14:val="tx1"/>
                  </w14:solidFill>
                </w14:textFill>
              </w:rPr>
            </w:pPr>
          </w:p>
        </w:tc>
        <w:tc>
          <w:tcPr>
            <w:tcW w:w="1276" w:type="dxa"/>
            <w:vMerge w:val="restart"/>
            <w:tcMar>
              <w:left w:w="0" w:type="dxa"/>
              <w:right w:w="0" w:type="dxa"/>
            </w:tcMar>
            <w:vAlign w:val="center"/>
          </w:tcPr>
          <w:p w14:paraId="6DEED4CF">
            <w:pPr>
              <w:pStyle w:val="70"/>
              <w:rPr>
                <w:color w:val="000000" w:themeColor="text1"/>
                <w14:textFill>
                  <w14:solidFill>
                    <w14:schemeClr w14:val="tx1"/>
                  </w14:solidFill>
                </w14:textFill>
              </w:rPr>
            </w:pPr>
            <w:r>
              <w:rPr>
                <w:color w:val="000000" w:themeColor="text1"/>
                <w14:textFill>
                  <w14:solidFill>
                    <w14:schemeClr w14:val="tx1"/>
                  </w14:solidFill>
                </w14:textFill>
              </w:rPr>
              <w:t>PM</w:t>
            </w:r>
            <w:r>
              <w:rPr>
                <w:color w:val="000000" w:themeColor="text1"/>
                <w:vertAlign w:val="subscript"/>
                <w14:textFill>
                  <w14:solidFill>
                    <w14:schemeClr w14:val="tx1"/>
                  </w14:solidFill>
                </w14:textFill>
              </w:rPr>
              <w:t>2.5</w:t>
            </w:r>
          </w:p>
        </w:tc>
        <w:tc>
          <w:tcPr>
            <w:tcW w:w="1418" w:type="dxa"/>
            <w:tcMar>
              <w:left w:w="0" w:type="dxa"/>
              <w:right w:w="0" w:type="dxa"/>
            </w:tcMar>
            <w:vAlign w:val="center"/>
          </w:tcPr>
          <w:p w14:paraId="5A9FE5FD">
            <w:pPr>
              <w:pStyle w:val="70"/>
              <w:rPr>
                <w:color w:val="000000" w:themeColor="text1"/>
                <w14:textFill>
                  <w14:solidFill>
                    <w14:schemeClr w14:val="tx1"/>
                  </w14:solidFill>
                </w14:textFill>
              </w:rPr>
            </w:pPr>
            <w:r>
              <w:rPr>
                <w:color w:val="000000" w:themeColor="text1"/>
                <w14:textFill>
                  <w14:solidFill>
                    <w14:schemeClr w14:val="tx1"/>
                  </w14:solidFill>
                </w14:textFill>
              </w:rPr>
              <w:t>24小时平均</w:t>
            </w:r>
          </w:p>
        </w:tc>
        <w:tc>
          <w:tcPr>
            <w:tcW w:w="850" w:type="dxa"/>
            <w:tcMar>
              <w:left w:w="0" w:type="dxa"/>
              <w:right w:w="0" w:type="dxa"/>
            </w:tcMar>
            <w:vAlign w:val="center"/>
          </w:tcPr>
          <w:p w14:paraId="1E305571">
            <w:pPr>
              <w:pStyle w:val="70"/>
              <w:rPr>
                <w:color w:val="000000" w:themeColor="text1"/>
                <w14:textFill>
                  <w14:solidFill>
                    <w14:schemeClr w14:val="tx1"/>
                  </w14:solidFill>
                </w14:textFill>
              </w:rPr>
            </w:pPr>
            <w:r>
              <w:rPr>
                <w:color w:val="000000" w:themeColor="text1"/>
                <w14:textFill>
                  <w14:solidFill>
                    <w14:schemeClr w14:val="tx1"/>
                  </w14:solidFill>
                </w14:textFill>
              </w:rPr>
              <w:t>35</w:t>
            </w:r>
          </w:p>
        </w:tc>
        <w:tc>
          <w:tcPr>
            <w:tcW w:w="851" w:type="dxa"/>
            <w:tcMar>
              <w:left w:w="0" w:type="dxa"/>
              <w:right w:w="0" w:type="dxa"/>
            </w:tcMar>
            <w:vAlign w:val="center"/>
          </w:tcPr>
          <w:p w14:paraId="70419DEB">
            <w:pPr>
              <w:pStyle w:val="70"/>
              <w:rPr>
                <w:color w:val="000000" w:themeColor="text1"/>
                <w14:textFill>
                  <w14:solidFill>
                    <w14:schemeClr w14:val="tx1"/>
                  </w14:solidFill>
                </w14:textFill>
              </w:rPr>
            </w:pPr>
            <w:r>
              <w:rPr>
                <w:color w:val="000000" w:themeColor="text1"/>
                <w14:textFill>
                  <w14:solidFill>
                    <w14:schemeClr w14:val="tx1"/>
                  </w14:solidFill>
                </w14:textFill>
              </w:rPr>
              <w:t>75</w:t>
            </w:r>
          </w:p>
        </w:tc>
        <w:tc>
          <w:tcPr>
            <w:tcW w:w="4068" w:type="dxa"/>
            <w:vMerge w:val="continue"/>
            <w:tcMar>
              <w:left w:w="0" w:type="dxa"/>
              <w:right w:w="0" w:type="dxa"/>
            </w:tcMar>
            <w:vAlign w:val="center"/>
          </w:tcPr>
          <w:p w14:paraId="0E2785BF">
            <w:pPr>
              <w:pStyle w:val="70"/>
              <w:rPr>
                <w:color w:val="000000" w:themeColor="text1"/>
                <w14:textFill>
                  <w14:solidFill>
                    <w14:schemeClr w14:val="tx1"/>
                  </w14:solidFill>
                </w14:textFill>
              </w:rPr>
            </w:pPr>
          </w:p>
        </w:tc>
      </w:tr>
      <w:tr w14:paraId="5C46AFC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562" w:type="dxa"/>
            <w:vMerge w:val="continue"/>
            <w:tcMar>
              <w:left w:w="0" w:type="dxa"/>
              <w:right w:w="0" w:type="dxa"/>
            </w:tcMar>
            <w:vAlign w:val="center"/>
          </w:tcPr>
          <w:p w14:paraId="73710429">
            <w:pPr>
              <w:pStyle w:val="70"/>
              <w:numPr>
                <w:ilvl w:val="0"/>
                <w:numId w:val="10"/>
              </w:numPr>
              <w:rPr>
                <w:color w:val="000000" w:themeColor="text1"/>
                <w14:textFill>
                  <w14:solidFill>
                    <w14:schemeClr w14:val="tx1"/>
                  </w14:solidFill>
                </w14:textFill>
              </w:rPr>
            </w:pPr>
          </w:p>
        </w:tc>
        <w:tc>
          <w:tcPr>
            <w:tcW w:w="1276" w:type="dxa"/>
            <w:vMerge w:val="continue"/>
            <w:tcMar>
              <w:left w:w="0" w:type="dxa"/>
              <w:right w:w="0" w:type="dxa"/>
            </w:tcMar>
            <w:vAlign w:val="center"/>
          </w:tcPr>
          <w:p w14:paraId="46E4A8D6">
            <w:pPr>
              <w:pStyle w:val="70"/>
              <w:rPr>
                <w:color w:val="000000" w:themeColor="text1"/>
                <w14:textFill>
                  <w14:solidFill>
                    <w14:schemeClr w14:val="tx1"/>
                  </w14:solidFill>
                </w14:textFill>
              </w:rPr>
            </w:pPr>
          </w:p>
        </w:tc>
        <w:tc>
          <w:tcPr>
            <w:tcW w:w="1418" w:type="dxa"/>
            <w:tcMar>
              <w:left w:w="0" w:type="dxa"/>
              <w:right w:w="0" w:type="dxa"/>
            </w:tcMar>
            <w:vAlign w:val="center"/>
          </w:tcPr>
          <w:p w14:paraId="43FBABD1">
            <w:pPr>
              <w:pStyle w:val="70"/>
              <w:rPr>
                <w:color w:val="000000" w:themeColor="text1"/>
                <w14:textFill>
                  <w14:solidFill>
                    <w14:schemeClr w14:val="tx1"/>
                  </w14:solidFill>
                </w14:textFill>
              </w:rPr>
            </w:pPr>
            <w:r>
              <w:rPr>
                <w:color w:val="000000" w:themeColor="text1"/>
                <w14:textFill>
                  <w14:solidFill>
                    <w14:schemeClr w14:val="tx1"/>
                  </w14:solidFill>
                </w14:textFill>
              </w:rPr>
              <w:t>年平均</w:t>
            </w:r>
          </w:p>
        </w:tc>
        <w:tc>
          <w:tcPr>
            <w:tcW w:w="850" w:type="dxa"/>
            <w:tcMar>
              <w:left w:w="0" w:type="dxa"/>
              <w:right w:w="0" w:type="dxa"/>
            </w:tcMar>
            <w:vAlign w:val="center"/>
          </w:tcPr>
          <w:p w14:paraId="2F2F36DD">
            <w:pPr>
              <w:pStyle w:val="70"/>
              <w:rPr>
                <w:color w:val="000000" w:themeColor="text1"/>
                <w14:textFill>
                  <w14:solidFill>
                    <w14:schemeClr w14:val="tx1"/>
                  </w14:solidFill>
                </w14:textFill>
              </w:rPr>
            </w:pPr>
            <w:r>
              <w:rPr>
                <w:color w:val="000000" w:themeColor="text1"/>
                <w14:textFill>
                  <w14:solidFill>
                    <w14:schemeClr w14:val="tx1"/>
                  </w14:solidFill>
                </w14:textFill>
              </w:rPr>
              <w:t>15</w:t>
            </w:r>
          </w:p>
        </w:tc>
        <w:tc>
          <w:tcPr>
            <w:tcW w:w="851" w:type="dxa"/>
            <w:tcMar>
              <w:left w:w="0" w:type="dxa"/>
              <w:right w:w="0" w:type="dxa"/>
            </w:tcMar>
            <w:vAlign w:val="center"/>
          </w:tcPr>
          <w:p w14:paraId="75BDDCC2">
            <w:pPr>
              <w:pStyle w:val="70"/>
              <w:rPr>
                <w:color w:val="000000" w:themeColor="text1"/>
                <w14:textFill>
                  <w14:solidFill>
                    <w14:schemeClr w14:val="tx1"/>
                  </w14:solidFill>
                </w14:textFill>
              </w:rPr>
            </w:pPr>
            <w:r>
              <w:rPr>
                <w:color w:val="000000" w:themeColor="text1"/>
                <w14:textFill>
                  <w14:solidFill>
                    <w14:schemeClr w14:val="tx1"/>
                  </w14:solidFill>
                </w14:textFill>
              </w:rPr>
              <w:t>35</w:t>
            </w:r>
          </w:p>
        </w:tc>
        <w:tc>
          <w:tcPr>
            <w:tcW w:w="4068" w:type="dxa"/>
            <w:vMerge w:val="continue"/>
            <w:tcMar>
              <w:left w:w="0" w:type="dxa"/>
              <w:right w:w="0" w:type="dxa"/>
            </w:tcMar>
            <w:vAlign w:val="center"/>
          </w:tcPr>
          <w:p w14:paraId="052137C6">
            <w:pPr>
              <w:pStyle w:val="70"/>
              <w:rPr>
                <w:color w:val="000000" w:themeColor="text1"/>
                <w14:textFill>
                  <w14:solidFill>
                    <w14:schemeClr w14:val="tx1"/>
                  </w14:solidFill>
                </w14:textFill>
              </w:rPr>
            </w:pPr>
          </w:p>
        </w:tc>
      </w:tr>
      <w:tr w14:paraId="5B705B3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562" w:type="dxa"/>
            <w:tcMar>
              <w:left w:w="0" w:type="dxa"/>
              <w:right w:w="0" w:type="dxa"/>
            </w:tcMar>
            <w:vAlign w:val="center"/>
          </w:tcPr>
          <w:p w14:paraId="4F23EFBA">
            <w:pPr>
              <w:pStyle w:val="70"/>
              <w:numPr>
                <w:ilvl w:val="0"/>
                <w:numId w:val="10"/>
              </w:numPr>
              <w:rPr>
                <w:color w:val="000000" w:themeColor="text1"/>
                <w14:textFill>
                  <w14:solidFill>
                    <w14:schemeClr w14:val="tx1"/>
                  </w14:solidFill>
                </w14:textFill>
              </w:rPr>
            </w:pPr>
          </w:p>
        </w:tc>
        <w:tc>
          <w:tcPr>
            <w:tcW w:w="1276" w:type="dxa"/>
            <w:tcMar>
              <w:left w:w="0" w:type="dxa"/>
              <w:right w:w="0" w:type="dxa"/>
            </w:tcMar>
            <w:vAlign w:val="center"/>
          </w:tcPr>
          <w:p w14:paraId="3996BFDE">
            <w:pPr>
              <w:pStyle w:val="70"/>
              <w:rPr>
                <w:color w:val="000000" w:themeColor="text1"/>
                <w14:textFill>
                  <w14:solidFill>
                    <w14:schemeClr w14:val="tx1"/>
                  </w14:solidFill>
                </w14:textFill>
              </w:rPr>
            </w:pPr>
            <w:r>
              <w:rPr>
                <w:color w:val="000000" w:themeColor="text1"/>
                <w14:textFill>
                  <w14:solidFill>
                    <w14:schemeClr w14:val="tx1"/>
                  </w14:solidFill>
                </w14:textFill>
              </w:rPr>
              <w:t>O</w:t>
            </w:r>
            <w:r>
              <w:rPr>
                <w:color w:val="000000" w:themeColor="text1"/>
                <w:vertAlign w:val="subscript"/>
                <w14:textFill>
                  <w14:solidFill>
                    <w14:schemeClr w14:val="tx1"/>
                  </w14:solidFill>
                </w14:textFill>
              </w:rPr>
              <w:t>3</w:t>
            </w:r>
          </w:p>
        </w:tc>
        <w:tc>
          <w:tcPr>
            <w:tcW w:w="1418" w:type="dxa"/>
            <w:tcMar>
              <w:left w:w="0" w:type="dxa"/>
              <w:right w:w="0" w:type="dxa"/>
            </w:tcMar>
            <w:vAlign w:val="center"/>
          </w:tcPr>
          <w:p w14:paraId="14DB2F7D">
            <w:pPr>
              <w:pStyle w:val="70"/>
              <w:rPr>
                <w:color w:val="000000" w:themeColor="text1"/>
                <w14:textFill>
                  <w14:solidFill>
                    <w14:schemeClr w14:val="tx1"/>
                  </w14:solidFill>
                </w14:textFill>
              </w:rPr>
            </w:pPr>
            <w:r>
              <w:rPr>
                <w:color w:val="000000" w:themeColor="text1"/>
                <w14:textFill>
                  <w14:solidFill>
                    <w14:schemeClr w14:val="tx1"/>
                  </w14:solidFill>
                </w14:textFill>
              </w:rPr>
              <w:t>日最大8小时平均</w:t>
            </w:r>
          </w:p>
        </w:tc>
        <w:tc>
          <w:tcPr>
            <w:tcW w:w="850" w:type="dxa"/>
            <w:tcMar>
              <w:left w:w="0" w:type="dxa"/>
              <w:right w:w="0" w:type="dxa"/>
            </w:tcMar>
            <w:vAlign w:val="center"/>
          </w:tcPr>
          <w:p w14:paraId="35453768">
            <w:pPr>
              <w:pStyle w:val="70"/>
              <w:rPr>
                <w:color w:val="000000" w:themeColor="text1"/>
                <w14:textFill>
                  <w14:solidFill>
                    <w14:schemeClr w14:val="tx1"/>
                  </w14:solidFill>
                </w14:textFill>
              </w:rPr>
            </w:pPr>
            <w:r>
              <w:rPr>
                <w:color w:val="000000" w:themeColor="text1"/>
                <w14:textFill>
                  <w14:solidFill>
                    <w14:schemeClr w14:val="tx1"/>
                  </w14:solidFill>
                </w14:textFill>
              </w:rPr>
              <w:t>100</w:t>
            </w:r>
          </w:p>
        </w:tc>
        <w:tc>
          <w:tcPr>
            <w:tcW w:w="851" w:type="dxa"/>
            <w:tcMar>
              <w:left w:w="0" w:type="dxa"/>
              <w:right w:w="0" w:type="dxa"/>
            </w:tcMar>
            <w:vAlign w:val="center"/>
          </w:tcPr>
          <w:p w14:paraId="06E7113E">
            <w:pPr>
              <w:pStyle w:val="70"/>
              <w:rPr>
                <w:color w:val="000000" w:themeColor="text1"/>
                <w14:textFill>
                  <w14:solidFill>
                    <w14:schemeClr w14:val="tx1"/>
                  </w14:solidFill>
                </w14:textFill>
              </w:rPr>
            </w:pPr>
            <w:r>
              <w:rPr>
                <w:color w:val="000000" w:themeColor="text1"/>
                <w14:textFill>
                  <w14:solidFill>
                    <w14:schemeClr w14:val="tx1"/>
                  </w14:solidFill>
                </w14:textFill>
              </w:rPr>
              <w:t>160</w:t>
            </w:r>
          </w:p>
        </w:tc>
        <w:tc>
          <w:tcPr>
            <w:tcW w:w="4068" w:type="dxa"/>
            <w:vMerge w:val="continue"/>
            <w:tcMar>
              <w:left w:w="0" w:type="dxa"/>
              <w:right w:w="0" w:type="dxa"/>
            </w:tcMar>
            <w:vAlign w:val="center"/>
          </w:tcPr>
          <w:p w14:paraId="3F184B4B">
            <w:pPr>
              <w:pStyle w:val="70"/>
              <w:rPr>
                <w:color w:val="000000" w:themeColor="text1"/>
                <w14:textFill>
                  <w14:solidFill>
                    <w14:schemeClr w14:val="tx1"/>
                  </w14:solidFill>
                </w14:textFill>
              </w:rPr>
            </w:pPr>
          </w:p>
        </w:tc>
      </w:tr>
      <w:tr w14:paraId="3F6D1F9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562" w:type="dxa"/>
            <w:vMerge w:val="restart"/>
            <w:tcMar>
              <w:left w:w="0" w:type="dxa"/>
              <w:right w:w="0" w:type="dxa"/>
            </w:tcMar>
            <w:vAlign w:val="center"/>
          </w:tcPr>
          <w:p w14:paraId="7A37F72C">
            <w:pPr>
              <w:pStyle w:val="70"/>
              <w:numPr>
                <w:ilvl w:val="0"/>
                <w:numId w:val="10"/>
              </w:numPr>
              <w:rPr>
                <w:color w:val="000000" w:themeColor="text1"/>
                <w14:textFill>
                  <w14:solidFill>
                    <w14:schemeClr w14:val="tx1"/>
                  </w14:solidFill>
                </w14:textFill>
              </w:rPr>
            </w:pPr>
          </w:p>
        </w:tc>
        <w:tc>
          <w:tcPr>
            <w:tcW w:w="1276" w:type="dxa"/>
            <w:vMerge w:val="restart"/>
            <w:tcMar>
              <w:left w:w="0" w:type="dxa"/>
              <w:right w:w="0" w:type="dxa"/>
            </w:tcMar>
            <w:vAlign w:val="center"/>
          </w:tcPr>
          <w:p w14:paraId="0B93A12D">
            <w:pPr>
              <w:pStyle w:val="70"/>
              <w:rPr>
                <w:color w:val="000000" w:themeColor="text1"/>
                <w14:textFill>
                  <w14:solidFill>
                    <w14:schemeClr w14:val="tx1"/>
                  </w14:solidFill>
                </w14:textFill>
              </w:rPr>
            </w:pPr>
            <w:r>
              <w:rPr>
                <w:color w:val="000000" w:themeColor="text1"/>
                <w14:textFill>
                  <w14:solidFill>
                    <w14:schemeClr w14:val="tx1"/>
                  </w14:solidFill>
                </w14:textFill>
              </w:rPr>
              <w:t>TSP</w:t>
            </w:r>
          </w:p>
        </w:tc>
        <w:tc>
          <w:tcPr>
            <w:tcW w:w="1418" w:type="dxa"/>
            <w:tcMar>
              <w:left w:w="0" w:type="dxa"/>
              <w:right w:w="0" w:type="dxa"/>
            </w:tcMar>
            <w:vAlign w:val="center"/>
          </w:tcPr>
          <w:p w14:paraId="6D24162C">
            <w:pPr>
              <w:pStyle w:val="70"/>
              <w:rPr>
                <w:color w:val="000000" w:themeColor="text1"/>
                <w14:textFill>
                  <w14:solidFill>
                    <w14:schemeClr w14:val="tx1"/>
                  </w14:solidFill>
                </w14:textFill>
              </w:rPr>
            </w:pPr>
            <w:r>
              <w:rPr>
                <w:color w:val="000000" w:themeColor="text1"/>
                <w14:textFill>
                  <w14:solidFill>
                    <w14:schemeClr w14:val="tx1"/>
                  </w14:solidFill>
                </w14:textFill>
              </w:rPr>
              <w:t>年平均</w:t>
            </w:r>
          </w:p>
        </w:tc>
        <w:tc>
          <w:tcPr>
            <w:tcW w:w="850" w:type="dxa"/>
            <w:tcMar>
              <w:left w:w="0" w:type="dxa"/>
              <w:right w:w="0" w:type="dxa"/>
            </w:tcMar>
            <w:vAlign w:val="center"/>
          </w:tcPr>
          <w:p w14:paraId="07FE16DC">
            <w:pPr>
              <w:pStyle w:val="70"/>
              <w:rPr>
                <w:color w:val="000000" w:themeColor="text1"/>
                <w14:textFill>
                  <w14:solidFill>
                    <w14:schemeClr w14:val="tx1"/>
                  </w14:solidFill>
                </w14:textFill>
              </w:rPr>
            </w:pPr>
            <w:r>
              <w:rPr>
                <w:color w:val="000000" w:themeColor="text1"/>
                <w14:textFill>
                  <w14:solidFill>
                    <w14:schemeClr w14:val="tx1"/>
                  </w14:solidFill>
                </w14:textFill>
              </w:rPr>
              <w:t>80</w:t>
            </w:r>
          </w:p>
        </w:tc>
        <w:tc>
          <w:tcPr>
            <w:tcW w:w="851" w:type="dxa"/>
            <w:tcMar>
              <w:left w:w="0" w:type="dxa"/>
              <w:right w:w="0" w:type="dxa"/>
            </w:tcMar>
            <w:vAlign w:val="center"/>
          </w:tcPr>
          <w:p w14:paraId="26ED1665">
            <w:pPr>
              <w:pStyle w:val="70"/>
              <w:rPr>
                <w:color w:val="000000" w:themeColor="text1"/>
                <w14:textFill>
                  <w14:solidFill>
                    <w14:schemeClr w14:val="tx1"/>
                  </w14:solidFill>
                </w14:textFill>
              </w:rPr>
            </w:pPr>
            <w:r>
              <w:rPr>
                <w:color w:val="000000" w:themeColor="text1"/>
                <w14:textFill>
                  <w14:solidFill>
                    <w14:schemeClr w14:val="tx1"/>
                  </w14:solidFill>
                </w14:textFill>
              </w:rPr>
              <w:t>200</w:t>
            </w:r>
          </w:p>
        </w:tc>
        <w:tc>
          <w:tcPr>
            <w:tcW w:w="4068" w:type="dxa"/>
            <w:vMerge w:val="continue"/>
            <w:tcMar>
              <w:left w:w="0" w:type="dxa"/>
              <w:right w:w="0" w:type="dxa"/>
            </w:tcMar>
            <w:vAlign w:val="center"/>
          </w:tcPr>
          <w:p w14:paraId="02BC8519">
            <w:pPr>
              <w:pStyle w:val="70"/>
              <w:rPr>
                <w:color w:val="000000" w:themeColor="text1"/>
                <w14:textFill>
                  <w14:solidFill>
                    <w14:schemeClr w14:val="tx1"/>
                  </w14:solidFill>
                </w14:textFill>
              </w:rPr>
            </w:pPr>
          </w:p>
        </w:tc>
      </w:tr>
      <w:tr w14:paraId="4501696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562" w:type="dxa"/>
            <w:vMerge w:val="continue"/>
            <w:tcMar>
              <w:left w:w="0" w:type="dxa"/>
              <w:right w:w="0" w:type="dxa"/>
            </w:tcMar>
            <w:vAlign w:val="center"/>
          </w:tcPr>
          <w:p w14:paraId="5576507A">
            <w:pPr>
              <w:pStyle w:val="70"/>
              <w:numPr>
                <w:ilvl w:val="0"/>
                <w:numId w:val="10"/>
              </w:numPr>
              <w:rPr>
                <w:color w:val="000000" w:themeColor="text1"/>
                <w14:textFill>
                  <w14:solidFill>
                    <w14:schemeClr w14:val="tx1"/>
                  </w14:solidFill>
                </w14:textFill>
              </w:rPr>
            </w:pPr>
          </w:p>
        </w:tc>
        <w:tc>
          <w:tcPr>
            <w:tcW w:w="1276" w:type="dxa"/>
            <w:vMerge w:val="continue"/>
            <w:tcMar>
              <w:left w:w="0" w:type="dxa"/>
              <w:right w:w="0" w:type="dxa"/>
            </w:tcMar>
            <w:vAlign w:val="center"/>
          </w:tcPr>
          <w:p w14:paraId="40CE5A25">
            <w:pPr>
              <w:pStyle w:val="70"/>
              <w:rPr>
                <w:color w:val="000000" w:themeColor="text1"/>
                <w14:textFill>
                  <w14:solidFill>
                    <w14:schemeClr w14:val="tx1"/>
                  </w14:solidFill>
                </w14:textFill>
              </w:rPr>
            </w:pPr>
          </w:p>
        </w:tc>
        <w:tc>
          <w:tcPr>
            <w:tcW w:w="1418" w:type="dxa"/>
            <w:tcMar>
              <w:left w:w="0" w:type="dxa"/>
              <w:right w:w="0" w:type="dxa"/>
            </w:tcMar>
            <w:vAlign w:val="center"/>
          </w:tcPr>
          <w:p w14:paraId="62EC6049">
            <w:pPr>
              <w:pStyle w:val="70"/>
              <w:rPr>
                <w:color w:val="000000" w:themeColor="text1"/>
                <w14:textFill>
                  <w14:solidFill>
                    <w14:schemeClr w14:val="tx1"/>
                  </w14:solidFill>
                </w14:textFill>
              </w:rPr>
            </w:pPr>
            <w:r>
              <w:rPr>
                <w:color w:val="000000" w:themeColor="text1"/>
                <w14:textFill>
                  <w14:solidFill>
                    <w14:schemeClr w14:val="tx1"/>
                  </w14:solidFill>
                </w14:textFill>
              </w:rPr>
              <w:t>24小时平均</w:t>
            </w:r>
          </w:p>
        </w:tc>
        <w:tc>
          <w:tcPr>
            <w:tcW w:w="850" w:type="dxa"/>
            <w:tcMar>
              <w:left w:w="0" w:type="dxa"/>
              <w:right w:w="0" w:type="dxa"/>
            </w:tcMar>
            <w:vAlign w:val="center"/>
          </w:tcPr>
          <w:p w14:paraId="268ADAA2">
            <w:pPr>
              <w:pStyle w:val="70"/>
              <w:rPr>
                <w:color w:val="000000" w:themeColor="text1"/>
                <w14:textFill>
                  <w14:solidFill>
                    <w14:schemeClr w14:val="tx1"/>
                  </w14:solidFill>
                </w14:textFill>
              </w:rPr>
            </w:pPr>
            <w:r>
              <w:rPr>
                <w:color w:val="000000" w:themeColor="text1"/>
                <w14:textFill>
                  <w14:solidFill>
                    <w14:schemeClr w14:val="tx1"/>
                  </w14:solidFill>
                </w14:textFill>
              </w:rPr>
              <w:t>120</w:t>
            </w:r>
          </w:p>
        </w:tc>
        <w:tc>
          <w:tcPr>
            <w:tcW w:w="851" w:type="dxa"/>
            <w:tcMar>
              <w:left w:w="0" w:type="dxa"/>
              <w:right w:w="0" w:type="dxa"/>
            </w:tcMar>
            <w:vAlign w:val="center"/>
          </w:tcPr>
          <w:p w14:paraId="62B6123B">
            <w:pPr>
              <w:pStyle w:val="70"/>
              <w:rPr>
                <w:color w:val="000000" w:themeColor="text1"/>
                <w14:textFill>
                  <w14:solidFill>
                    <w14:schemeClr w14:val="tx1"/>
                  </w14:solidFill>
                </w14:textFill>
              </w:rPr>
            </w:pPr>
            <w:r>
              <w:rPr>
                <w:color w:val="000000" w:themeColor="text1"/>
                <w14:textFill>
                  <w14:solidFill>
                    <w14:schemeClr w14:val="tx1"/>
                  </w14:solidFill>
                </w14:textFill>
              </w:rPr>
              <w:t>300</w:t>
            </w:r>
          </w:p>
        </w:tc>
        <w:tc>
          <w:tcPr>
            <w:tcW w:w="4068" w:type="dxa"/>
            <w:vMerge w:val="continue"/>
            <w:tcMar>
              <w:left w:w="0" w:type="dxa"/>
              <w:right w:w="0" w:type="dxa"/>
            </w:tcMar>
            <w:vAlign w:val="center"/>
          </w:tcPr>
          <w:p w14:paraId="39BE04FC">
            <w:pPr>
              <w:pStyle w:val="70"/>
              <w:rPr>
                <w:color w:val="000000" w:themeColor="text1"/>
                <w14:textFill>
                  <w14:solidFill>
                    <w14:schemeClr w14:val="tx1"/>
                  </w14:solidFill>
                </w14:textFill>
              </w:rPr>
            </w:pPr>
          </w:p>
        </w:tc>
      </w:tr>
      <w:tr w14:paraId="648F657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562" w:type="dxa"/>
            <w:tcMar>
              <w:left w:w="0" w:type="dxa"/>
              <w:right w:w="0" w:type="dxa"/>
            </w:tcMar>
            <w:vAlign w:val="center"/>
          </w:tcPr>
          <w:p w14:paraId="38B38591">
            <w:pPr>
              <w:pStyle w:val="70"/>
              <w:numPr>
                <w:ilvl w:val="0"/>
                <w:numId w:val="10"/>
              </w:numPr>
              <w:rPr>
                <w:color w:val="000000" w:themeColor="text1"/>
                <w14:textFill>
                  <w14:solidFill>
                    <w14:schemeClr w14:val="tx1"/>
                  </w14:solidFill>
                </w14:textFill>
              </w:rPr>
            </w:pPr>
          </w:p>
        </w:tc>
        <w:tc>
          <w:tcPr>
            <w:tcW w:w="1276" w:type="dxa"/>
            <w:shd w:val="clear" w:color="auto" w:fill="auto"/>
            <w:tcMar>
              <w:left w:w="0" w:type="dxa"/>
              <w:right w:w="0" w:type="dxa"/>
            </w:tcMar>
            <w:vAlign w:val="center"/>
          </w:tcPr>
          <w:p w14:paraId="4178FB3F">
            <w:pPr>
              <w:pStyle w:val="70"/>
              <w:rPr>
                <w:color w:val="000000" w:themeColor="text1"/>
                <w14:textFill>
                  <w14:solidFill>
                    <w14:schemeClr w14:val="tx1"/>
                  </w14:solidFill>
                </w14:textFill>
              </w:rPr>
            </w:pPr>
            <w:r>
              <w:rPr>
                <w:color w:val="000000" w:themeColor="text1"/>
                <w14:textFill>
                  <w14:solidFill>
                    <w14:schemeClr w14:val="tx1"/>
                  </w14:solidFill>
                </w14:textFill>
              </w:rPr>
              <w:t>苯乙烯</w:t>
            </w:r>
          </w:p>
        </w:tc>
        <w:tc>
          <w:tcPr>
            <w:tcW w:w="1418" w:type="dxa"/>
            <w:shd w:val="clear" w:color="auto" w:fill="auto"/>
            <w:tcMar>
              <w:left w:w="0" w:type="dxa"/>
              <w:right w:w="0" w:type="dxa"/>
            </w:tcMar>
            <w:vAlign w:val="center"/>
          </w:tcPr>
          <w:p w14:paraId="5C11750D">
            <w:pPr>
              <w:pStyle w:val="70"/>
              <w:rPr>
                <w:color w:val="000000" w:themeColor="text1"/>
                <w14:textFill>
                  <w14:solidFill>
                    <w14:schemeClr w14:val="tx1"/>
                  </w14:solidFill>
                </w14:textFill>
              </w:rPr>
            </w:pPr>
            <w:r>
              <w:rPr>
                <w:color w:val="000000" w:themeColor="text1"/>
                <w14:textFill>
                  <w14:solidFill>
                    <w14:schemeClr w14:val="tx1"/>
                  </w14:solidFill>
                </w14:textFill>
              </w:rPr>
              <w:t>1h平均</w:t>
            </w:r>
          </w:p>
        </w:tc>
        <w:tc>
          <w:tcPr>
            <w:tcW w:w="1701" w:type="dxa"/>
            <w:gridSpan w:val="2"/>
            <w:shd w:val="clear" w:color="auto" w:fill="auto"/>
            <w:tcMar>
              <w:left w:w="0" w:type="dxa"/>
              <w:right w:w="0" w:type="dxa"/>
            </w:tcMar>
            <w:vAlign w:val="center"/>
          </w:tcPr>
          <w:p w14:paraId="3344D077">
            <w:pPr>
              <w:pStyle w:val="70"/>
              <w:rPr>
                <w:color w:val="000000" w:themeColor="text1"/>
                <w14:textFill>
                  <w14:solidFill>
                    <w14:schemeClr w14:val="tx1"/>
                  </w14:solidFill>
                </w14:textFill>
              </w:rPr>
            </w:pPr>
            <w:r>
              <w:rPr>
                <w:color w:val="000000" w:themeColor="text1"/>
                <w14:textFill>
                  <w14:solidFill>
                    <w14:schemeClr w14:val="tx1"/>
                  </w14:solidFill>
                </w14:textFill>
              </w:rPr>
              <w:t>10</w:t>
            </w:r>
          </w:p>
        </w:tc>
        <w:tc>
          <w:tcPr>
            <w:tcW w:w="4068" w:type="dxa"/>
            <w:vMerge w:val="restart"/>
            <w:tcMar>
              <w:left w:w="0" w:type="dxa"/>
              <w:right w:w="0" w:type="dxa"/>
            </w:tcMar>
            <w:vAlign w:val="center"/>
          </w:tcPr>
          <w:p w14:paraId="166961F1">
            <w:pPr>
              <w:pStyle w:val="70"/>
              <w:rPr>
                <w:color w:val="000000" w:themeColor="text1"/>
                <w14:textFill>
                  <w14:solidFill>
                    <w14:schemeClr w14:val="tx1"/>
                  </w14:solidFill>
                </w14:textFill>
              </w:rPr>
            </w:pPr>
            <w:r>
              <w:rPr>
                <w:color w:val="000000" w:themeColor="text1"/>
                <w14:textFill>
                  <w14:solidFill>
                    <w14:schemeClr w14:val="tx1"/>
                  </w14:solidFill>
                </w14:textFill>
              </w:rPr>
              <w:t>参照《环境影响评价技术导则 大气环境》（HJ2.2-2018）中附录D</w:t>
            </w:r>
          </w:p>
        </w:tc>
      </w:tr>
      <w:tr w14:paraId="5DB172F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562" w:type="dxa"/>
            <w:tcMar>
              <w:left w:w="0" w:type="dxa"/>
              <w:right w:w="0" w:type="dxa"/>
            </w:tcMar>
            <w:vAlign w:val="center"/>
          </w:tcPr>
          <w:p w14:paraId="30372F20">
            <w:pPr>
              <w:pStyle w:val="70"/>
              <w:numPr>
                <w:ilvl w:val="0"/>
                <w:numId w:val="10"/>
              </w:numPr>
              <w:rPr>
                <w:color w:val="000000" w:themeColor="text1"/>
                <w14:textFill>
                  <w14:solidFill>
                    <w14:schemeClr w14:val="tx1"/>
                  </w14:solidFill>
                </w14:textFill>
              </w:rPr>
            </w:pPr>
          </w:p>
        </w:tc>
        <w:tc>
          <w:tcPr>
            <w:tcW w:w="1276" w:type="dxa"/>
            <w:tcMar>
              <w:left w:w="0" w:type="dxa"/>
              <w:right w:w="0" w:type="dxa"/>
            </w:tcMar>
            <w:vAlign w:val="center"/>
          </w:tcPr>
          <w:p w14:paraId="34D03070">
            <w:pPr>
              <w:pStyle w:val="70"/>
              <w:rPr>
                <w:color w:val="000000" w:themeColor="text1"/>
                <w14:textFill>
                  <w14:solidFill>
                    <w14:schemeClr w14:val="tx1"/>
                  </w14:solidFill>
                </w14:textFill>
              </w:rPr>
            </w:pPr>
            <w:r>
              <w:rPr>
                <w:color w:val="000000" w:themeColor="text1"/>
                <w14:textFill>
                  <w14:solidFill>
                    <w14:schemeClr w14:val="tx1"/>
                  </w14:solidFill>
                </w14:textFill>
              </w:rPr>
              <w:t>硫酸</w:t>
            </w:r>
          </w:p>
        </w:tc>
        <w:tc>
          <w:tcPr>
            <w:tcW w:w="1418" w:type="dxa"/>
            <w:tcMar>
              <w:left w:w="0" w:type="dxa"/>
              <w:right w:w="0" w:type="dxa"/>
            </w:tcMar>
            <w:vAlign w:val="center"/>
          </w:tcPr>
          <w:p w14:paraId="56F2890F">
            <w:pPr>
              <w:pStyle w:val="70"/>
              <w:rPr>
                <w:color w:val="000000" w:themeColor="text1"/>
                <w14:textFill>
                  <w14:solidFill>
                    <w14:schemeClr w14:val="tx1"/>
                  </w14:solidFill>
                </w14:textFill>
              </w:rPr>
            </w:pPr>
            <w:r>
              <w:rPr>
                <w:color w:val="000000" w:themeColor="text1"/>
                <w14:textFill>
                  <w14:solidFill>
                    <w14:schemeClr w14:val="tx1"/>
                  </w14:solidFill>
                </w14:textFill>
              </w:rPr>
              <w:t>1h平均</w:t>
            </w:r>
          </w:p>
        </w:tc>
        <w:tc>
          <w:tcPr>
            <w:tcW w:w="1701" w:type="dxa"/>
            <w:gridSpan w:val="2"/>
            <w:tcMar>
              <w:left w:w="0" w:type="dxa"/>
              <w:right w:w="0" w:type="dxa"/>
            </w:tcMar>
            <w:vAlign w:val="center"/>
          </w:tcPr>
          <w:p w14:paraId="39BF613A">
            <w:pPr>
              <w:pStyle w:val="70"/>
              <w:rPr>
                <w:color w:val="000000" w:themeColor="text1"/>
                <w14:textFill>
                  <w14:solidFill>
                    <w14:schemeClr w14:val="tx1"/>
                  </w14:solidFill>
                </w14:textFill>
              </w:rPr>
            </w:pPr>
            <w:r>
              <w:rPr>
                <w:color w:val="000000" w:themeColor="text1"/>
                <w14:textFill>
                  <w14:solidFill>
                    <w14:schemeClr w14:val="tx1"/>
                  </w14:solidFill>
                </w14:textFill>
              </w:rPr>
              <w:t>300</w:t>
            </w:r>
          </w:p>
        </w:tc>
        <w:tc>
          <w:tcPr>
            <w:tcW w:w="4068" w:type="dxa"/>
            <w:vMerge w:val="continue"/>
            <w:tcMar>
              <w:left w:w="0" w:type="dxa"/>
              <w:right w:w="0" w:type="dxa"/>
            </w:tcMar>
            <w:vAlign w:val="center"/>
          </w:tcPr>
          <w:p w14:paraId="41AE4374">
            <w:pPr>
              <w:pStyle w:val="70"/>
              <w:rPr>
                <w:color w:val="000000" w:themeColor="text1"/>
                <w14:textFill>
                  <w14:solidFill>
                    <w14:schemeClr w14:val="tx1"/>
                  </w14:solidFill>
                </w14:textFill>
              </w:rPr>
            </w:pPr>
          </w:p>
        </w:tc>
      </w:tr>
      <w:tr w14:paraId="28533FD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562" w:type="dxa"/>
            <w:tcMar>
              <w:left w:w="0" w:type="dxa"/>
              <w:right w:w="0" w:type="dxa"/>
            </w:tcMar>
            <w:vAlign w:val="center"/>
          </w:tcPr>
          <w:p w14:paraId="69032AB0">
            <w:pPr>
              <w:pStyle w:val="70"/>
              <w:numPr>
                <w:ilvl w:val="0"/>
                <w:numId w:val="10"/>
              </w:numPr>
              <w:rPr>
                <w:color w:val="000000" w:themeColor="text1"/>
                <w14:textFill>
                  <w14:solidFill>
                    <w14:schemeClr w14:val="tx1"/>
                  </w14:solidFill>
                </w14:textFill>
              </w:rPr>
            </w:pPr>
          </w:p>
        </w:tc>
        <w:tc>
          <w:tcPr>
            <w:tcW w:w="1276" w:type="dxa"/>
            <w:tcMar>
              <w:left w:w="0" w:type="dxa"/>
              <w:right w:w="0" w:type="dxa"/>
            </w:tcMar>
            <w:vAlign w:val="center"/>
          </w:tcPr>
          <w:p w14:paraId="272FA87C">
            <w:pPr>
              <w:pStyle w:val="70"/>
              <w:rPr>
                <w:color w:val="000000" w:themeColor="text1"/>
                <w14:textFill>
                  <w14:solidFill>
                    <w14:schemeClr w14:val="tx1"/>
                  </w14:solidFill>
                </w14:textFill>
              </w:rPr>
            </w:pPr>
            <w:r>
              <w:rPr>
                <w:color w:val="000000" w:themeColor="text1"/>
                <w14:textFill>
                  <w14:solidFill>
                    <w14:schemeClr w14:val="tx1"/>
                  </w14:solidFill>
                </w14:textFill>
              </w:rPr>
              <w:t>VOCs</w:t>
            </w:r>
          </w:p>
        </w:tc>
        <w:tc>
          <w:tcPr>
            <w:tcW w:w="1418" w:type="dxa"/>
            <w:tcMar>
              <w:left w:w="0" w:type="dxa"/>
              <w:right w:w="0" w:type="dxa"/>
            </w:tcMar>
            <w:vAlign w:val="center"/>
          </w:tcPr>
          <w:p w14:paraId="31DA823C">
            <w:pPr>
              <w:pStyle w:val="70"/>
              <w:rPr>
                <w:color w:val="000000" w:themeColor="text1"/>
                <w14:textFill>
                  <w14:solidFill>
                    <w14:schemeClr w14:val="tx1"/>
                  </w14:solidFill>
                </w14:textFill>
              </w:rPr>
            </w:pPr>
            <w:r>
              <w:rPr>
                <w:color w:val="000000" w:themeColor="text1"/>
                <w14:textFill>
                  <w14:solidFill>
                    <w14:schemeClr w14:val="tx1"/>
                  </w14:solidFill>
                </w14:textFill>
              </w:rPr>
              <w:t>8h平均</w:t>
            </w:r>
          </w:p>
        </w:tc>
        <w:tc>
          <w:tcPr>
            <w:tcW w:w="1701" w:type="dxa"/>
            <w:gridSpan w:val="2"/>
            <w:tcMar>
              <w:left w:w="0" w:type="dxa"/>
              <w:right w:w="0" w:type="dxa"/>
            </w:tcMar>
            <w:vAlign w:val="center"/>
          </w:tcPr>
          <w:p w14:paraId="20CC4585">
            <w:pPr>
              <w:pStyle w:val="70"/>
              <w:rPr>
                <w:color w:val="000000" w:themeColor="text1"/>
                <w14:textFill>
                  <w14:solidFill>
                    <w14:schemeClr w14:val="tx1"/>
                  </w14:solidFill>
                </w14:textFill>
              </w:rPr>
            </w:pPr>
            <w:r>
              <w:rPr>
                <w:color w:val="000000" w:themeColor="text1"/>
                <w14:textFill>
                  <w14:solidFill>
                    <w14:schemeClr w14:val="tx1"/>
                  </w14:solidFill>
                </w14:textFill>
              </w:rPr>
              <w:t>600</w:t>
            </w:r>
          </w:p>
        </w:tc>
        <w:tc>
          <w:tcPr>
            <w:tcW w:w="4068" w:type="dxa"/>
            <w:vMerge w:val="continue"/>
            <w:tcMar>
              <w:left w:w="0" w:type="dxa"/>
              <w:right w:w="0" w:type="dxa"/>
            </w:tcMar>
            <w:vAlign w:val="center"/>
          </w:tcPr>
          <w:p w14:paraId="6E81B43D">
            <w:pPr>
              <w:pStyle w:val="70"/>
              <w:rPr>
                <w:color w:val="000000" w:themeColor="text1"/>
                <w14:textFill>
                  <w14:solidFill>
                    <w14:schemeClr w14:val="tx1"/>
                  </w14:solidFill>
                </w14:textFill>
              </w:rPr>
            </w:pPr>
          </w:p>
        </w:tc>
      </w:tr>
      <w:tr w14:paraId="361F850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294" w:hRule="atLeast"/>
          <w:jc w:val="center"/>
        </w:trPr>
        <w:tc>
          <w:tcPr>
            <w:tcW w:w="562" w:type="dxa"/>
            <w:tcMar>
              <w:left w:w="0" w:type="dxa"/>
              <w:right w:w="0" w:type="dxa"/>
            </w:tcMar>
            <w:vAlign w:val="center"/>
          </w:tcPr>
          <w:p w14:paraId="5F44BEF4">
            <w:pPr>
              <w:pStyle w:val="70"/>
              <w:numPr>
                <w:ilvl w:val="0"/>
                <w:numId w:val="10"/>
              </w:numPr>
              <w:rPr>
                <w:color w:val="000000" w:themeColor="text1"/>
                <w14:textFill>
                  <w14:solidFill>
                    <w14:schemeClr w14:val="tx1"/>
                  </w14:solidFill>
                </w14:textFill>
              </w:rPr>
            </w:pPr>
          </w:p>
        </w:tc>
        <w:tc>
          <w:tcPr>
            <w:tcW w:w="1276" w:type="dxa"/>
            <w:tcMar>
              <w:left w:w="0" w:type="dxa"/>
              <w:right w:w="0" w:type="dxa"/>
            </w:tcMar>
            <w:vAlign w:val="center"/>
          </w:tcPr>
          <w:p w14:paraId="64B5390B">
            <w:pPr>
              <w:pStyle w:val="70"/>
              <w:rPr>
                <w:color w:val="000000" w:themeColor="text1"/>
                <w14:textFill>
                  <w14:solidFill>
                    <w14:schemeClr w14:val="tx1"/>
                  </w14:solidFill>
                </w14:textFill>
              </w:rPr>
            </w:pPr>
            <w:r>
              <w:rPr>
                <w:color w:val="000000" w:themeColor="text1"/>
                <w14:textFill>
                  <w14:solidFill>
                    <w14:schemeClr w14:val="tx1"/>
                  </w14:solidFill>
                </w14:textFill>
              </w:rPr>
              <w:t>非甲烷总烃</w:t>
            </w:r>
          </w:p>
        </w:tc>
        <w:tc>
          <w:tcPr>
            <w:tcW w:w="1418" w:type="dxa"/>
            <w:tcMar>
              <w:left w:w="0" w:type="dxa"/>
              <w:right w:w="0" w:type="dxa"/>
            </w:tcMar>
            <w:vAlign w:val="center"/>
          </w:tcPr>
          <w:p w14:paraId="5072513F">
            <w:pPr>
              <w:pStyle w:val="70"/>
              <w:rPr>
                <w:color w:val="000000" w:themeColor="text1"/>
                <w14:textFill>
                  <w14:solidFill>
                    <w14:schemeClr w14:val="tx1"/>
                  </w14:solidFill>
                </w14:textFill>
              </w:rPr>
            </w:pPr>
            <w:r>
              <w:rPr>
                <w:color w:val="000000" w:themeColor="text1"/>
                <w14:textFill>
                  <w14:solidFill>
                    <w14:schemeClr w14:val="tx1"/>
                  </w14:solidFill>
                </w14:textFill>
              </w:rPr>
              <w:t>1小时平均</w:t>
            </w:r>
          </w:p>
        </w:tc>
        <w:tc>
          <w:tcPr>
            <w:tcW w:w="1701" w:type="dxa"/>
            <w:gridSpan w:val="2"/>
            <w:tcMar>
              <w:left w:w="0" w:type="dxa"/>
              <w:right w:w="0" w:type="dxa"/>
            </w:tcMar>
            <w:vAlign w:val="center"/>
          </w:tcPr>
          <w:p w14:paraId="41D21C69">
            <w:pPr>
              <w:pStyle w:val="70"/>
              <w:rPr>
                <w:color w:val="000000" w:themeColor="text1"/>
                <w14:textFill>
                  <w14:solidFill>
                    <w14:schemeClr w14:val="tx1"/>
                  </w14:solidFill>
                </w14:textFill>
              </w:rPr>
            </w:pPr>
            <w:r>
              <w:rPr>
                <w:color w:val="000000" w:themeColor="text1"/>
                <w14:textFill>
                  <w14:solidFill>
                    <w14:schemeClr w14:val="tx1"/>
                  </w14:solidFill>
                </w14:textFill>
              </w:rPr>
              <w:t>2000</w:t>
            </w:r>
          </w:p>
        </w:tc>
        <w:tc>
          <w:tcPr>
            <w:tcW w:w="4068" w:type="dxa"/>
            <w:tcMar>
              <w:left w:w="0" w:type="dxa"/>
              <w:right w:w="0" w:type="dxa"/>
            </w:tcMar>
            <w:vAlign w:val="center"/>
          </w:tcPr>
          <w:p w14:paraId="24FD2147">
            <w:pPr>
              <w:pStyle w:val="70"/>
              <w:rPr>
                <w:color w:val="000000" w:themeColor="text1"/>
                <w14:textFill>
                  <w14:solidFill>
                    <w14:schemeClr w14:val="tx1"/>
                  </w14:solidFill>
                </w14:textFill>
              </w:rPr>
            </w:pPr>
            <w:r>
              <w:rPr>
                <w:color w:val="000000" w:themeColor="text1"/>
                <w14:textFill>
                  <w14:solidFill>
                    <w14:schemeClr w14:val="tx1"/>
                  </w14:solidFill>
                </w14:textFill>
              </w:rPr>
              <w:t>《大气污染物综合排放标准详解》关于非甲烷总烃环境空气质量推荐值</w:t>
            </w:r>
          </w:p>
        </w:tc>
      </w:tr>
    </w:tbl>
    <w:p w14:paraId="01E56F2D">
      <w:pPr>
        <w:pStyle w:val="6"/>
        <w:rPr>
          <w:color w:val="000000" w:themeColor="text1"/>
          <w14:textFill>
            <w14:solidFill>
              <w14:schemeClr w14:val="tx1"/>
            </w14:solidFill>
          </w14:textFill>
        </w:rPr>
      </w:pPr>
      <w:r>
        <w:rPr>
          <w:color w:val="000000" w:themeColor="text1"/>
          <w14:textFill>
            <w14:solidFill>
              <w14:schemeClr w14:val="tx1"/>
            </w14:solidFill>
          </w14:textFill>
        </w:rPr>
        <w:t>地下水环境质量标准</w:t>
      </w:r>
    </w:p>
    <w:p w14:paraId="04650611">
      <w:pPr>
        <w:ind w:firstLine="480"/>
        <w:rPr>
          <w:color w:val="000000" w:themeColor="text1"/>
          <w14:textFill>
            <w14:solidFill>
              <w14:schemeClr w14:val="tx1"/>
            </w14:solidFill>
          </w14:textFill>
        </w:rPr>
      </w:pPr>
      <w:r>
        <w:rPr>
          <w:color w:val="000000" w:themeColor="text1"/>
          <w14:textFill>
            <w14:solidFill>
              <w14:schemeClr w14:val="tx1"/>
            </w14:solidFill>
          </w14:textFill>
        </w:rPr>
        <w:t>地下水执行《地下水质量标准》（GB/T14848-2017）Ⅲ类标准，具体见表1.4-2。</w:t>
      </w:r>
    </w:p>
    <w:p w14:paraId="422A1B44">
      <w:pPr>
        <w:pStyle w:val="7"/>
        <w:rPr>
          <w:color w:val="000000" w:themeColor="text1"/>
          <w14:textFill>
            <w14:solidFill>
              <w14:schemeClr w14:val="tx1"/>
            </w14:solidFill>
          </w14:textFill>
        </w:rPr>
      </w:pPr>
      <w:r>
        <w:rPr>
          <w:color w:val="000000" w:themeColor="text1"/>
          <w14:textFill>
            <w14:solidFill>
              <w14:schemeClr w14:val="tx1"/>
            </w14:solidFill>
          </w14:textFill>
        </w:rPr>
        <w:t>地下水质量标准   单位：mg/L</w:t>
      </w:r>
    </w:p>
    <w:tbl>
      <w:tblPr>
        <w:tblStyle w:val="43"/>
        <w:tblW w:w="9062"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916"/>
        <w:gridCol w:w="5167"/>
        <w:gridCol w:w="1979"/>
      </w:tblGrid>
      <w:tr w14:paraId="27AB068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jc w:val="center"/>
        </w:trPr>
        <w:tc>
          <w:tcPr>
            <w:tcW w:w="1916" w:type="dxa"/>
            <w:vAlign w:val="center"/>
          </w:tcPr>
          <w:p w14:paraId="62338281">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序号</w:t>
            </w:r>
          </w:p>
        </w:tc>
        <w:tc>
          <w:tcPr>
            <w:tcW w:w="5167" w:type="dxa"/>
            <w:vAlign w:val="center"/>
          </w:tcPr>
          <w:p w14:paraId="6000CD00">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项目</w:t>
            </w:r>
          </w:p>
        </w:tc>
        <w:tc>
          <w:tcPr>
            <w:tcW w:w="1979" w:type="dxa"/>
            <w:vAlign w:val="center"/>
          </w:tcPr>
          <w:p w14:paraId="50CE1716">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III类</w:t>
            </w:r>
          </w:p>
        </w:tc>
      </w:tr>
      <w:tr w14:paraId="6A7B8CE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916" w:type="dxa"/>
            <w:vAlign w:val="center"/>
          </w:tcPr>
          <w:p w14:paraId="24A98E73">
            <w:pPr>
              <w:pStyle w:val="70"/>
              <w:numPr>
                <w:ilvl w:val="0"/>
                <w:numId w:val="11"/>
              </w:numPr>
              <w:rPr>
                <w:color w:val="000000" w:themeColor="text1"/>
                <w14:textFill>
                  <w14:solidFill>
                    <w14:schemeClr w14:val="tx1"/>
                  </w14:solidFill>
                </w14:textFill>
              </w:rPr>
            </w:pPr>
          </w:p>
        </w:tc>
        <w:tc>
          <w:tcPr>
            <w:tcW w:w="5167" w:type="dxa"/>
            <w:vAlign w:val="center"/>
          </w:tcPr>
          <w:p w14:paraId="686C84CE">
            <w:pPr>
              <w:pStyle w:val="70"/>
              <w:rPr>
                <w:color w:val="000000" w:themeColor="text1"/>
                <w14:textFill>
                  <w14:solidFill>
                    <w14:schemeClr w14:val="tx1"/>
                  </w14:solidFill>
                </w14:textFill>
              </w:rPr>
            </w:pPr>
            <w:r>
              <w:rPr>
                <w:color w:val="000000" w:themeColor="text1"/>
                <w14:textFill>
                  <w14:solidFill>
                    <w14:schemeClr w14:val="tx1"/>
                  </w14:solidFill>
                </w14:textFill>
              </w:rPr>
              <w:t>pH 值</w:t>
            </w:r>
          </w:p>
        </w:tc>
        <w:tc>
          <w:tcPr>
            <w:tcW w:w="1979" w:type="dxa"/>
            <w:vAlign w:val="center"/>
          </w:tcPr>
          <w:p w14:paraId="3791A0A3">
            <w:pPr>
              <w:pStyle w:val="70"/>
              <w:rPr>
                <w:color w:val="000000" w:themeColor="text1"/>
                <w14:textFill>
                  <w14:solidFill>
                    <w14:schemeClr w14:val="tx1"/>
                  </w14:solidFill>
                </w14:textFill>
              </w:rPr>
            </w:pPr>
            <w:r>
              <w:rPr>
                <w:color w:val="000000" w:themeColor="text1"/>
                <w14:textFill>
                  <w14:solidFill>
                    <w14:schemeClr w14:val="tx1"/>
                  </w14:solidFill>
                </w14:textFill>
              </w:rPr>
              <w:t>6.5≤pH≤8.5</w:t>
            </w:r>
          </w:p>
        </w:tc>
      </w:tr>
      <w:tr w14:paraId="55A8E49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916" w:type="dxa"/>
            <w:vAlign w:val="center"/>
          </w:tcPr>
          <w:p w14:paraId="392AB8C8">
            <w:pPr>
              <w:pStyle w:val="70"/>
              <w:numPr>
                <w:ilvl w:val="0"/>
                <w:numId w:val="11"/>
              </w:numPr>
              <w:rPr>
                <w:color w:val="000000" w:themeColor="text1"/>
                <w14:textFill>
                  <w14:solidFill>
                    <w14:schemeClr w14:val="tx1"/>
                  </w14:solidFill>
                </w14:textFill>
              </w:rPr>
            </w:pPr>
          </w:p>
        </w:tc>
        <w:tc>
          <w:tcPr>
            <w:tcW w:w="5167" w:type="dxa"/>
            <w:vAlign w:val="center"/>
          </w:tcPr>
          <w:p w14:paraId="05B883AC">
            <w:pPr>
              <w:pStyle w:val="70"/>
              <w:rPr>
                <w:color w:val="000000" w:themeColor="text1"/>
                <w14:textFill>
                  <w14:solidFill>
                    <w14:schemeClr w14:val="tx1"/>
                  </w14:solidFill>
                </w14:textFill>
              </w:rPr>
            </w:pPr>
            <w:r>
              <w:rPr>
                <w:color w:val="000000" w:themeColor="text1"/>
                <w14:textFill>
                  <w14:solidFill>
                    <w14:schemeClr w14:val="tx1"/>
                  </w14:solidFill>
                </w14:textFill>
              </w:rPr>
              <w:t>硫酸盐</w:t>
            </w:r>
          </w:p>
        </w:tc>
        <w:tc>
          <w:tcPr>
            <w:tcW w:w="1979" w:type="dxa"/>
            <w:vAlign w:val="center"/>
          </w:tcPr>
          <w:p w14:paraId="274C179C">
            <w:pPr>
              <w:pStyle w:val="70"/>
              <w:rPr>
                <w:color w:val="000000" w:themeColor="text1"/>
                <w14:textFill>
                  <w14:solidFill>
                    <w14:schemeClr w14:val="tx1"/>
                  </w14:solidFill>
                </w14:textFill>
              </w:rPr>
            </w:pPr>
            <w:r>
              <w:rPr>
                <w:color w:val="000000" w:themeColor="text1"/>
                <w14:textFill>
                  <w14:solidFill>
                    <w14:schemeClr w14:val="tx1"/>
                  </w14:solidFill>
                </w14:textFill>
              </w:rPr>
              <w:t>≤250</w:t>
            </w:r>
          </w:p>
        </w:tc>
      </w:tr>
      <w:tr w14:paraId="59C30CE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916" w:type="dxa"/>
            <w:vAlign w:val="center"/>
          </w:tcPr>
          <w:p w14:paraId="34407335">
            <w:pPr>
              <w:pStyle w:val="70"/>
              <w:numPr>
                <w:ilvl w:val="0"/>
                <w:numId w:val="11"/>
              </w:numPr>
              <w:rPr>
                <w:color w:val="000000" w:themeColor="text1"/>
                <w14:textFill>
                  <w14:solidFill>
                    <w14:schemeClr w14:val="tx1"/>
                  </w14:solidFill>
                </w14:textFill>
              </w:rPr>
            </w:pPr>
          </w:p>
        </w:tc>
        <w:tc>
          <w:tcPr>
            <w:tcW w:w="5167" w:type="dxa"/>
            <w:vAlign w:val="center"/>
          </w:tcPr>
          <w:p w14:paraId="31471570">
            <w:pPr>
              <w:pStyle w:val="70"/>
              <w:rPr>
                <w:color w:val="000000" w:themeColor="text1"/>
                <w14:textFill>
                  <w14:solidFill>
                    <w14:schemeClr w14:val="tx1"/>
                  </w14:solidFill>
                </w14:textFill>
              </w:rPr>
            </w:pPr>
            <w:r>
              <w:rPr>
                <w:color w:val="000000" w:themeColor="text1"/>
                <w14:textFill>
                  <w14:solidFill>
                    <w14:schemeClr w14:val="tx1"/>
                  </w14:solidFill>
                </w14:textFill>
              </w:rPr>
              <w:t>氯化物</w:t>
            </w:r>
          </w:p>
        </w:tc>
        <w:tc>
          <w:tcPr>
            <w:tcW w:w="1979" w:type="dxa"/>
            <w:vAlign w:val="center"/>
          </w:tcPr>
          <w:p w14:paraId="6B0BA25B">
            <w:pPr>
              <w:pStyle w:val="70"/>
              <w:rPr>
                <w:color w:val="000000" w:themeColor="text1"/>
                <w14:textFill>
                  <w14:solidFill>
                    <w14:schemeClr w14:val="tx1"/>
                  </w14:solidFill>
                </w14:textFill>
              </w:rPr>
            </w:pPr>
            <w:r>
              <w:rPr>
                <w:color w:val="000000" w:themeColor="text1"/>
                <w14:textFill>
                  <w14:solidFill>
                    <w14:schemeClr w14:val="tx1"/>
                  </w14:solidFill>
                </w14:textFill>
              </w:rPr>
              <w:t>≤250</w:t>
            </w:r>
          </w:p>
        </w:tc>
      </w:tr>
      <w:tr w14:paraId="73E4C73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916" w:type="dxa"/>
            <w:vAlign w:val="center"/>
          </w:tcPr>
          <w:p w14:paraId="6716D950">
            <w:pPr>
              <w:pStyle w:val="70"/>
              <w:numPr>
                <w:ilvl w:val="0"/>
                <w:numId w:val="11"/>
              </w:numPr>
              <w:rPr>
                <w:color w:val="000000" w:themeColor="text1"/>
                <w14:textFill>
                  <w14:solidFill>
                    <w14:schemeClr w14:val="tx1"/>
                  </w14:solidFill>
                </w14:textFill>
              </w:rPr>
            </w:pPr>
          </w:p>
        </w:tc>
        <w:tc>
          <w:tcPr>
            <w:tcW w:w="5167" w:type="dxa"/>
            <w:vAlign w:val="center"/>
          </w:tcPr>
          <w:p w14:paraId="53996BC6">
            <w:pPr>
              <w:pStyle w:val="70"/>
              <w:rPr>
                <w:color w:val="000000" w:themeColor="text1"/>
                <w14:textFill>
                  <w14:solidFill>
                    <w14:schemeClr w14:val="tx1"/>
                  </w14:solidFill>
                </w14:textFill>
              </w:rPr>
            </w:pPr>
            <w:r>
              <w:rPr>
                <w:color w:val="000000" w:themeColor="text1"/>
                <w14:textFill>
                  <w14:solidFill>
                    <w14:schemeClr w14:val="tx1"/>
                  </w14:solidFill>
                </w14:textFill>
              </w:rPr>
              <w:t>氨氮（以 N 计）</w:t>
            </w:r>
          </w:p>
        </w:tc>
        <w:tc>
          <w:tcPr>
            <w:tcW w:w="1979" w:type="dxa"/>
            <w:vAlign w:val="center"/>
          </w:tcPr>
          <w:p w14:paraId="7D021510">
            <w:pPr>
              <w:pStyle w:val="70"/>
              <w:rPr>
                <w:color w:val="000000" w:themeColor="text1"/>
                <w14:textFill>
                  <w14:solidFill>
                    <w14:schemeClr w14:val="tx1"/>
                  </w14:solidFill>
                </w14:textFill>
              </w:rPr>
            </w:pPr>
            <w:r>
              <w:rPr>
                <w:color w:val="000000" w:themeColor="text1"/>
                <w14:textFill>
                  <w14:solidFill>
                    <w14:schemeClr w14:val="tx1"/>
                  </w14:solidFill>
                </w14:textFill>
              </w:rPr>
              <w:t>≤0.5</w:t>
            </w:r>
          </w:p>
        </w:tc>
      </w:tr>
      <w:tr w14:paraId="5219FF1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916" w:type="dxa"/>
            <w:vAlign w:val="center"/>
          </w:tcPr>
          <w:p w14:paraId="22C49A7D">
            <w:pPr>
              <w:pStyle w:val="70"/>
              <w:numPr>
                <w:ilvl w:val="0"/>
                <w:numId w:val="11"/>
              </w:numPr>
              <w:rPr>
                <w:color w:val="000000" w:themeColor="text1"/>
                <w14:textFill>
                  <w14:solidFill>
                    <w14:schemeClr w14:val="tx1"/>
                  </w14:solidFill>
                </w14:textFill>
              </w:rPr>
            </w:pPr>
          </w:p>
        </w:tc>
        <w:tc>
          <w:tcPr>
            <w:tcW w:w="5167" w:type="dxa"/>
            <w:vAlign w:val="center"/>
          </w:tcPr>
          <w:p w14:paraId="1BC078E8">
            <w:pPr>
              <w:pStyle w:val="70"/>
              <w:rPr>
                <w:color w:val="000000" w:themeColor="text1"/>
                <w14:textFill>
                  <w14:solidFill>
                    <w14:schemeClr w14:val="tx1"/>
                  </w14:solidFill>
                </w14:textFill>
              </w:rPr>
            </w:pPr>
            <w:r>
              <w:rPr>
                <w:color w:val="000000" w:themeColor="text1"/>
                <w14:textFill>
                  <w14:solidFill>
                    <w14:schemeClr w14:val="tx1"/>
                  </w14:solidFill>
                </w14:textFill>
              </w:rPr>
              <w:t>硝酸盐（以 N 计）</w:t>
            </w:r>
          </w:p>
        </w:tc>
        <w:tc>
          <w:tcPr>
            <w:tcW w:w="1979" w:type="dxa"/>
            <w:vAlign w:val="center"/>
          </w:tcPr>
          <w:p w14:paraId="6F9D3243">
            <w:pPr>
              <w:pStyle w:val="70"/>
              <w:rPr>
                <w:color w:val="000000" w:themeColor="text1"/>
                <w14:textFill>
                  <w14:solidFill>
                    <w14:schemeClr w14:val="tx1"/>
                  </w14:solidFill>
                </w14:textFill>
              </w:rPr>
            </w:pPr>
            <w:r>
              <w:rPr>
                <w:color w:val="000000" w:themeColor="text1"/>
                <w14:textFill>
                  <w14:solidFill>
                    <w14:schemeClr w14:val="tx1"/>
                  </w14:solidFill>
                </w14:textFill>
              </w:rPr>
              <w:t>≤20</w:t>
            </w:r>
          </w:p>
        </w:tc>
      </w:tr>
      <w:tr w14:paraId="04BE846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916" w:type="dxa"/>
            <w:vAlign w:val="center"/>
          </w:tcPr>
          <w:p w14:paraId="5BFF8C27">
            <w:pPr>
              <w:pStyle w:val="70"/>
              <w:numPr>
                <w:ilvl w:val="0"/>
                <w:numId w:val="11"/>
              </w:numPr>
              <w:rPr>
                <w:color w:val="000000" w:themeColor="text1"/>
                <w14:textFill>
                  <w14:solidFill>
                    <w14:schemeClr w14:val="tx1"/>
                  </w14:solidFill>
                </w14:textFill>
              </w:rPr>
            </w:pPr>
          </w:p>
        </w:tc>
        <w:tc>
          <w:tcPr>
            <w:tcW w:w="5167" w:type="dxa"/>
            <w:vAlign w:val="center"/>
          </w:tcPr>
          <w:p w14:paraId="08BA2C9B">
            <w:pPr>
              <w:pStyle w:val="70"/>
              <w:rPr>
                <w:color w:val="000000" w:themeColor="text1"/>
                <w14:textFill>
                  <w14:solidFill>
                    <w14:schemeClr w14:val="tx1"/>
                  </w14:solidFill>
                </w14:textFill>
              </w:rPr>
            </w:pPr>
            <w:r>
              <w:rPr>
                <w:color w:val="000000" w:themeColor="text1"/>
                <w14:textFill>
                  <w14:solidFill>
                    <w14:schemeClr w14:val="tx1"/>
                  </w14:solidFill>
                </w14:textFill>
              </w:rPr>
              <w:t>亚硝酸盐（以 N 计）</w:t>
            </w:r>
          </w:p>
        </w:tc>
        <w:tc>
          <w:tcPr>
            <w:tcW w:w="1979" w:type="dxa"/>
            <w:vAlign w:val="center"/>
          </w:tcPr>
          <w:p w14:paraId="186E017F">
            <w:pPr>
              <w:pStyle w:val="70"/>
              <w:rPr>
                <w:color w:val="000000" w:themeColor="text1"/>
                <w14:textFill>
                  <w14:solidFill>
                    <w14:schemeClr w14:val="tx1"/>
                  </w14:solidFill>
                </w14:textFill>
              </w:rPr>
            </w:pPr>
            <w:r>
              <w:rPr>
                <w:color w:val="000000" w:themeColor="text1"/>
                <w14:textFill>
                  <w14:solidFill>
                    <w14:schemeClr w14:val="tx1"/>
                  </w14:solidFill>
                </w14:textFill>
              </w:rPr>
              <w:t>≤1</w:t>
            </w:r>
          </w:p>
        </w:tc>
      </w:tr>
      <w:tr w14:paraId="577CB3A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916" w:type="dxa"/>
            <w:vAlign w:val="center"/>
          </w:tcPr>
          <w:p w14:paraId="3F84D7E6">
            <w:pPr>
              <w:pStyle w:val="70"/>
              <w:numPr>
                <w:ilvl w:val="0"/>
                <w:numId w:val="11"/>
              </w:numPr>
              <w:rPr>
                <w:color w:val="000000" w:themeColor="text1"/>
                <w14:textFill>
                  <w14:solidFill>
                    <w14:schemeClr w14:val="tx1"/>
                  </w14:solidFill>
                </w14:textFill>
              </w:rPr>
            </w:pPr>
          </w:p>
        </w:tc>
        <w:tc>
          <w:tcPr>
            <w:tcW w:w="5167" w:type="dxa"/>
            <w:vAlign w:val="center"/>
          </w:tcPr>
          <w:p w14:paraId="3A7CAD52">
            <w:pPr>
              <w:pStyle w:val="70"/>
              <w:rPr>
                <w:color w:val="000000" w:themeColor="text1"/>
                <w14:textFill>
                  <w14:solidFill>
                    <w14:schemeClr w14:val="tx1"/>
                  </w14:solidFill>
                </w14:textFill>
              </w:rPr>
            </w:pPr>
            <w:r>
              <w:rPr>
                <w:color w:val="000000" w:themeColor="text1"/>
                <w14:textFill>
                  <w14:solidFill>
                    <w14:schemeClr w14:val="tx1"/>
                  </w14:solidFill>
                </w14:textFill>
              </w:rPr>
              <w:t>挥发酚（以苯酚计）</w:t>
            </w:r>
          </w:p>
        </w:tc>
        <w:tc>
          <w:tcPr>
            <w:tcW w:w="1979" w:type="dxa"/>
            <w:vAlign w:val="center"/>
          </w:tcPr>
          <w:p w14:paraId="3244ECFB">
            <w:pPr>
              <w:pStyle w:val="70"/>
              <w:rPr>
                <w:color w:val="000000" w:themeColor="text1"/>
                <w14:textFill>
                  <w14:solidFill>
                    <w14:schemeClr w14:val="tx1"/>
                  </w14:solidFill>
                </w14:textFill>
              </w:rPr>
            </w:pPr>
            <w:r>
              <w:rPr>
                <w:color w:val="000000" w:themeColor="text1"/>
                <w14:textFill>
                  <w14:solidFill>
                    <w14:schemeClr w14:val="tx1"/>
                  </w14:solidFill>
                </w14:textFill>
              </w:rPr>
              <w:t>≤0.002</w:t>
            </w:r>
          </w:p>
        </w:tc>
      </w:tr>
      <w:tr w14:paraId="0790C3A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916" w:type="dxa"/>
            <w:vAlign w:val="center"/>
          </w:tcPr>
          <w:p w14:paraId="20FB41FD">
            <w:pPr>
              <w:pStyle w:val="70"/>
              <w:numPr>
                <w:ilvl w:val="0"/>
                <w:numId w:val="11"/>
              </w:numPr>
              <w:rPr>
                <w:color w:val="000000" w:themeColor="text1"/>
                <w14:textFill>
                  <w14:solidFill>
                    <w14:schemeClr w14:val="tx1"/>
                  </w14:solidFill>
                </w14:textFill>
              </w:rPr>
            </w:pPr>
          </w:p>
        </w:tc>
        <w:tc>
          <w:tcPr>
            <w:tcW w:w="5167" w:type="dxa"/>
            <w:vAlign w:val="center"/>
          </w:tcPr>
          <w:p w14:paraId="1CAFC5E7">
            <w:pPr>
              <w:pStyle w:val="70"/>
              <w:rPr>
                <w:color w:val="000000" w:themeColor="text1"/>
                <w14:textFill>
                  <w14:solidFill>
                    <w14:schemeClr w14:val="tx1"/>
                  </w14:solidFill>
                </w14:textFill>
              </w:rPr>
            </w:pPr>
            <w:r>
              <w:rPr>
                <w:color w:val="000000" w:themeColor="text1"/>
                <w14:textFill>
                  <w14:solidFill>
                    <w14:schemeClr w14:val="tx1"/>
                  </w14:solidFill>
                </w14:textFill>
              </w:rPr>
              <w:t>溶解性总固体</w:t>
            </w:r>
          </w:p>
        </w:tc>
        <w:tc>
          <w:tcPr>
            <w:tcW w:w="1979" w:type="dxa"/>
            <w:vAlign w:val="center"/>
          </w:tcPr>
          <w:p w14:paraId="65EAE757">
            <w:pPr>
              <w:pStyle w:val="70"/>
              <w:rPr>
                <w:color w:val="000000" w:themeColor="text1"/>
                <w14:textFill>
                  <w14:solidFill>
                    <w14:schemeClr w14:val="tx1"/>
                  </w14:solidFill>
                </w14:textFill>
              </w:rPr>
            </w:pPr>
            <w:r>
              <w:rPr>
                <w:color w:val="000000" w:themeColor="text1"/>
                <w14:textFill>
                  <w14:solidFill>
                    <w14:schemeClr w14:val="tx1"/>
                  </w14:solidFill>
                </w14:textFill>
              </w:rPr>
              <w:t>≤1000</w:t>
            </w:r>
          </w:p>
        </w:tc>
      </w:tr>
      <w:tr w14:paraId="163D913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916" w:type="dxa"/>
            <w:vAlign w:val="center"/>
          </w:tcPr>
          <w:p w14:paraId="588DBE9F">
            <w:pPr>
              <w:pStyle w:val="70"/>
              <w:numPr>
                <w:ilvl w:val="0"/>
                <w:numId w:val="11"/>
              </w:numPr>
              <w:rPr>
                <w:color w:val="000000" w:themeColor="text1"/>
                <w14:textFill>
                  <w14:solidFill>
                    <w14:schemeClr w14:val="tx1"/>
                  </w14:solidFill>
                </w14:textFill>
              </w:rPr>
            </w:pPr>
          </w:p>
        </w:tc>
        <w:tc>
          <w:tcPr>
            <w:tcW w:w="5167" w:type="dxa"/>
            <w:vAlign w:val="center"/>
          </w:tcPr>
          <w:p w14:paraId="3233C297">
            <w:pPr>
              <w:pStyle w:val="70"/>
              <w:rPr>
                <w:color w:val="000000" w:themeColor="text1"/>
                <w14:textFill>
                  <w14:solidFill>
                    <w14:schemeClr w14:val="tx1"/>
                  </w14:solidFill>
                </w14:textFill>
              </w:rPr>
            </w:pPr>
            <w:r>
              <w:rPr>
                <w:color w:val="000000" w:themeColor="text1"/>
                <w14:textFill>
                  <w14:solidFill>
                    <w14:schemeClr w14:val="tx1"/>
                  </w14:solidFill>
                </w14:textFill>
              </w:rPr>
              <w:t>耗氧量（以 O</w:t>
            </w:r>
            <w:r>
              <w:rPr>
                <w:color w:val="000000" w:themeColor="text1"/>
                <w:vertAlign w:val="subscript"/>
                <w14:textFill>
                  <w14:solidFill>
                    <w14:schemeClr w14:val="tx1"/>
                  </w14:solidFill>
                </w14:textFill>
              </w:rPr>
              <w:t>2</w:t>
            </w:r>
            <w:r>
              <w:rPr>
                <w:color w:val="000000" w:themeColor="text1"/>
                <w14:textFill>
                  <w14:solidFill>
                    <w14:schemeClr w14:val="tx1"/>
                  </w14:solidFill>
                </w14:textFill>
              </w:rPr>
              <w:t xml:space="preserve"> 计）</w:t>
            </w:r>
          </w:p>
        </w:tc>
        <w:tc>
          <w:tcPr>
            <w:tcW w:w="1979" w:type="dxa"/>
            <w:vAlign w:val="center"/>
          </w:tcPr>
          <w:p w14:paraId="7A016E6F">
            <w:pPr>
              <w:pStyle w:val="70"/>
              <w:rPr>
                <w:color w:val="000000" w:themeColor="text1"/>
                <w14:textFill>
                  <w14:solidFill>
                    <w14:schemeClr w14:val="tx1"/>
                  </w14:solidFill>
                </w14:textFill>
              </w:rPr>
            </w:pPr>
            <w:r>
              <w:rPr>
                <w:color w:val="000000" w:themeColor="text1"/>
                <w14:textFill>
                  <w14:solidFill>
                    <w14:schemeClr w14:val="tx1"/>
                  </w14:solidFill>
                </w14:textFill>
              </w:rPr>
              <w:t>≤3</w:t>
            </w:r>
          </w:p>
        </w:tc>
      </w:tr>
      <w:tr w14:paraId="74AF3C5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916" w:type="dxa"/>
            <w:vAlign w:val="center"/>
          </w:tcPr>
          <w:p w14:paraId="063F4FE8">
            <w:pPr>
              <w:pStyle w:val="70"/>
              <w:numPr>
                <w:ilvl w:val="0"/>
                <w:numId w:val="11"/>
              </w:numPr>
              <w:rPr>
                <w:color w:val="000000" w:themeColor="text1"/>
                <w14:textFill>
                  <w14:solidFill>
                    <w14:schemeClr w14:val="tx1"/>
                  </w14:solidFill>
                </w14:textFill>
              </w:rPr>
            </w:pPr>
          </w:p>
        </w:tc>
        <w:tc>
          <w:tcPr>
            <w:tcW w:w="5167" w:type="dxa"/>
            <w:vAlign w:val="center"/>
          </w:tcPr>
          <w:p w14:paraId="12D0D1CF">
            <w:pPr>
              <w:pStyle w:val="70"/>
              <w:rPr>
                <w:color w:val="000000" w:themeColor="text1"/>
                <w14:textFill>
                  <w14:solidFill>
                    <w14:schemeClr w14:val="tx1"/>
                  </w14:solidFill>
                </w14:textFill>
              </w:rPr>
            </w:pPr>
            <w:r>
              <w:rPr>
                <w:color w:val="000000" w:themeColor="text1"/>
                <w14:textFill>
                  <w14:solidFill>
                    <w14:schemeClr w14:val="tx1"/>
                  </w14:solidFill>
                </w14:textFill>
              </w:rPr>
              <w:t>总硬度（以 CaCO</w:t>
            </w:r>
            <w:r>
              <w:rPr>
                <w:color w:val="000000" w:themeColor="text1"/>
                <w:vertAlign w:val="subscript"/>
                <w14:textFill>
                  <w14:solidFill>
                    <w14:schemeClr w14:val="tx1"/>
                  </w14:solidFill>
                </w14:textFill>
              </w:rPr>
              <w:t>3</w:t>
            </w:r>
            <w:r>
              <w:rPr>
                <w:color w:val="000000" w:themeColor="text1"/>
                <w14:textFill>
                  <w14:solidFill>
                    <w14:schemeClr w14:val="tx1"/>
                  </w14:solidFill>
                </w14:textFill>
              </w:rPr>
              <w:t xml:space="preserve"> 计）</w:t>
            </w:r>
          </w:p>
        </w:tc>
        <w:tc>
          <w:tcPr>
            <w:tcW w:w="1979" w:type="dxa"/>
            <w:vAlign w:val="center"/>
          </w:tcPr>
          <w:p w14:paraId="15B53312">
            <w:pPr>
              <w:pStyle w:val="70"/>
              <w:rPr>
                <w:color w:val="000000" w:themeColor="text1"/>
                <w14:textFill>
                  <w14:solidFill>
                    <w14:schemeClr w14:val="tx1"/>
                  </w14:solidFill>
                </w14:textFill>
              </w:rPr>
            </w:pPr>
            <w:r>
              <w:rPr>
                <w:color w:val="000000" w:themeColor="text1"/>
                <w14:textFill>
                  <w14:solidFill>
                    <w14:schemeClr w14:val="tx1"/>
                  </w14:solidFill>
                </w14:textFill>
              </w:rPr>
              <w:t>≤450</w:t>
            </w:r>
          </w:p>
        </w:tc>
      </w:tr>
      <w:tr w14:paraId="19CD995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916" w:type="dxa"/>
            <w:vAlign w:val="center"/>
          </w:tcPr>
          <w:p w14:paraId="58DBA188">
            <w:pPr>
              <w:pStyle w:val="70"/>
              <w:numPr>
                <w:ilvl w:val="0"/>
                <w:numId w:val="11"/>
              </w:numPr>
              <w:rPr>
                <w:color w:val="000000" w:themeColor="text1"/>
                <w14:textFill>
                  <w14:solidFill>
                    <w14:schemeClr w14:val="tx1"/>
                  </w14:solidFill>
                </w14:textFill>
              </w:rPr>
            </w:pPr>
          </w:p>
        </w:tc>
        <w:tc>
          <w:tcPr>
            <w:tcW w:w="5167" w:type="dxa"/>
            <w:vAlign w:val="center"/>
          </w:tcPr>
          <w:p w14:paraId="1E108E97">
            <w:pPr>
              <w:pStyle w:val="70"/>
              <w:rPr>
                <w:color w:val="000000" w:themeColor="text1"/>
                <w14:textFill>
                  <w14:solidFill>
                    <w14:schemeClr w14:val="tx1"/>
                  </w14:solidFill>
                </w14:textFill>
              </w:rPr>
            </w:pPr>
            <w:r>
              <w:rPr>
                <w:color w:val="000000" w:themeColor="text1"/>
                <w14:textFill>
                  <w14:solidFill>
                    <w14:schemeClr w14:val="tx1"/>
                  </w14:solidFill>
                </w14:textFill>
              </w:rPr>
              <w:t>阴离子表面活性剂</w:t>
            </w:r>
          </w:p>
        </w:tc>
        <w:tc>
          <w:tcPr>
            <w:tcW w:w="1979" w:type="dxa"/>
            <w:vAlign w:val="center"/>
          </w:tcPr>
          <w:p w14:paraId="791089CA">
            <w:pPr>
              <w:pStyle w:val="70"/>
              <w:rPr>
                <w:color w:val="000000" w:themeColor="text1"/>
                <w14:textFill>
                  <w14:solidFill>
                    <w14:schemeClr w14:val="tx1"/>
                  </w14:solidFill>
                </w14:textFill>
              </w:rPr>
            </w:pPr>
            <w:r>
              <w:rPr>
                <w:color w:val="000000" w:themeColor="text1"/>
                <w14:textFill>
                  <w14:solidFill>
                    <w14:schemeClr w14:val="tx1"/>
                  </w14:solidFill>
                </w14:textFill>
              </w:rPr>
              <w:t>≤0.3</w:t>
            </w:r>
          </w:p>
        </w:tc>
      </w:tr>
      <w:tr w14:paraId="6DC1CE3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916" w:type="dxa"/>
            <w:vAlign w:val="center"/>
          </w:tcPr>
          <w:p w14:paraId="1B67F4B4">
            <w:pPr>
              <w:pStyle w:val="70"/>
              <w:numPr>
                <w:ilvl w:val="0"/>
                <w:numId w:val="11"/>
              </w:numPr>
              <w:rPr>
                <w:color w:val="000000" w:themeColor="text1"/>
                <w14:textFill>
                  <w14:solidFill>
                    <w14:schemeClr w14:val="tx1"/>
                  </w14:solidFill>
                </w14:textFill>
              </w:rPr>
            </w:pPr>
          </w:p>
        </w:tc>
        <w:tc>
          <w:tcPr>
            <w:tcW w:w="5167" w:type="dxa"/>
            <w:vAlign w:val="center"/>
          </w:tcPr>
          <w:p w14:paraId="4190E6F0">
            <w:pPr>
              <w:pStyle w:val="70"/>
              <w:rPr>
                <w:color w:val="000000" w:themeColor="text1"/>
                <w14:textFill>
                  <w14:solidFill>
                    <w14:schemeClr w14:val="tx1"/>
                  </w14:solidFill>
                </w14:textFill>
              </w:rPr>
            </w:pPr>
            <w:r>
              <w:rPr>
                <w:color w:val="000000" w:themeColor="text1"/>
                <w14:textFill>
                  <w14:solidFill>
                    <w14:schemeClr w14:val="tx1"/>
                  </w14:solidFill>
                </w14:textFill>
              </w:rPr>
              <w:t>苯</w:t>
            </w:r>
          </w:p>
        </w:tc>
        <w:tc>
          <w:tcPr>
            <w:tcW w:w="1979" w:type="dxa"/>
            <w:vAlign w:val="center"/>
          </w:tcPr>
          <w:p w14:paraId="32B2CF1E">
            <w:pPr>
              <w:pStyle w:val="70"/>
              <w:rPr>
                <w:color w:val="000000" w:themeColor="text1"/>
                <w14:textFill>
                  <w14:solidFill>
                    <w14:schemeClr w14:val="tx1"/>
                  </w14:solidFill>
                </w14:textFill>
              </w:rPr>
            </w:pPr>
            <w:r>
              <w:rPr>
                <w:color w:val="000000" w:themeColor="text1"/>
                <w14:textFill>
                  <w14:solidFill>
                    <w14:schemeClr w14:val="tx1"/>
                  </w14:solidFill>
                </w14:textFill>
              </w:rPr>
              <w:t>≤0.01</w:t>
            </w:r>
          </w:p>
        </w:tc>
      </w:tr>
      <w:tr w14:paraId="41B65DE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916" w:type="dxa"/>
            <w:vAlign w:val="center"/>
          </w:tcPr>
          <w:p w14:paraId="0DCD5C85">
            <w:pPr>
              <w:pStyle w:val="70"/>
              <w:numPr>
                <w:ilvl w:val="0"/>
                <w:numId w:val="11"/>
              </w:numPr>
              <w:rPr>
                <w:color w:val="000000" w:themeColor="text1"/>
                <w14:textFill>
                  <w14:solidFill>
                    <w14:schemeClr w14:val="tx1"/>
                  </w14:solidFill>
                </w14:textFill>
              </w:rPr>
            </w:pPr>
          </w:p>
        </w:tc>
        <w:tc>
          <w:tcPr>
            <w:tcW w:w="5167" w:type="dxa"/>
            <w:vAlign w:val="center"/>
          </w:tcPr>
          <w:p w14:paraId="6EF5C643">
            <w:pPr>
              <w:pStyle w:val="70"/>
              <w:rPr>
                <w:color w:val="000000" w:themeColor="text1"/>
                <w14:textFill>
                  <w14:solidFill>
                    <w14:schemeClr w14:val="tx1"/>
                  </w14:solidFill>
                </w14:textFill>
              </w:rPr>
            </w:pPr>
            <w:r>
              <w:rPr>
                <w:color w:val="000000" w:themeColor="text1"/>
                <w14:textFill>
                  <w14:solidFill>
                    <w14:schemeClr w14:val="tx1"/>
                  </w14:solidFill>
                </w14:textFill>
              </w:rPr>
              <w:t>甲苯</w:t>
            </w:r>
          </w:p>
        </w:tc>
        <w:tc>
          <w:tcPr>
            <w:tcW w:w="1979" w:type="dxa"/>
            <w:vAlign w:val="center"/>
          </w:tcPr>
          <w:p w14:paraId="03900685">
            <w:pPr>
              <w:pStyle w:val="70"/>
              <w:rPr>
                <w:color w:val="000000" w:themeColor="text1"/>
                <w14:textFill>
                  <w14:solidFill>
                    <w14:schemeClr w14:val="tx1"/>
                  </w14:solidFill>
                </w14:textFill>
              </w:rPr>
            </w:pPr>
            <w:r>
              <w:rPr>
                <w:color w:val="000000" w:themeColor="text1"/>
                <w14:textFill>
                  <w14:solidFill>
                    <w14:schemeClr w14:val="tx1"/>
                  </w14:solidFill>
                </w14:textFill>
              </w:rPr>
              <w:t>≤0.7</w:t>
            </w:r>
          </w:p>
        </w:tc>
      </w:tr>
      <w:tr w14:paraId="775C0AC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916" w:type="dxa"/>
            <w:vAlign w:val="center"/>
          </w:tcPr>
          <w:p w14:paraId="30F71C1F">
            <w:pPr>
              <w:pStyle w:val="70"/>
              <w:numPr>
                <w:ilvl w:val="0"/>
                <w:numId w:val="11"/>
              </w:numPr>
              <w:rPr>
                <w:color w:val="000000" w:themeColor="text1"/>
                <w14:textFill>
                  <w14:solidFill>
                    <w14:schemeClr w14:val="tx1"/>
                  </w14:solidFill>
                </w14:textFill>
              </w:rPr>
            </w:pPr>
          </w:p>
        </w:tc>
        <w:tc>
          <w:tcPr>
            <w:tcW w:w="5167" w:type="dxa"/>
            <w:vAlign w:val="center"/>
          </w:tcPr>
          <w:p w14:paraId="752BB31C">
            <w:pPr>
              <w:pStyle w:val="70"/>
              <w:rPr>
                <w:color w:val="000000" w:themeColor="text1"/>
                <w14:textFill>
                  <w14:solidFill>
                    <w14:schemeClr w14:val="tx1"/>
                  </w14:solidFill>
                </w14:textFill>
              </w:rPr>
            </w:pPr>
            <w:r>
              <w:rPr>
                <w:color w:val="000000" w:themeColor="text1"/>
                <w14:textFill>
                  <w14:solidFill>
                    <w14:schemeClr w14:val="tx1"/>
                  </w14:solidFill>
                </w14:textFill>
              </w:rPr>
              <w:t>氯乙烯</w:t>
            </w:r>
          </w:p>
        </w:tc>
        <w:tc>
          <w:tcPr>
            <w:tcW w:w="1979" w:type="dxa"/>
            <w:vAlign w:val="center"/>
          </w:tcPr>
          <w:p w14:paraId="1EA116D1">
            <w:pPr>
              <w:pStyle w:val="70"/>
              <w:rPr>
                <w:color w:val="000000" w:themeColor="text1"/>
                <w14:textFill>
                  <w14:solidFill>
                    <w14:schemeClr w14:val="tx1"/>
                  </w14:solidFill>
                </w14:textFill>
              </w:rPr>
            </w:pPr>
            <w:r>
              <w:rPr>
                <w:color w:val="000000" w:themeColor="text1"/>
                <w14:textFill>
                  <w14:solidFill>
                    <w14:schemeClr w14:val="tx1"/>
                  </w14:solidFill>
                </w14:textFill>
              </w:rPr>
              <w:t>≤0.005</w:t>
            </w:r>
          </w:p>
        </w:tc>
      </w:tr>
      <w:tr w14:paraId="2FFC958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916" w:type="dxa"/>
            <w:vAlign w:val="center"/>
          </w:tcPr>
          <w:p w14:paraId="3261C0DF">
            <w:pPr>
              <w:pStyle w:val="70"/>
              <w:numPr>
                <w:ilvl w:val="0"/>
                <w:numId w:val="11"/>
              </w:numPr>
              <w:rPr>
                <w:color w:val="000000" w:themeColor="text1"/>
                <w14:textFill>
                  <w14:solidFill>
                    <w14:schemeClr w14:val="tx1"/>
                  </w14:solidFill>
                </w14:textFill>
              </w:rPr>
            </w:pPr>
          </w:p>
        </w:tc>
        <w:tc>
          <w:tcPr>
            <w:tcW w:w="5167" w:type="dxa"/>
            <w:vAlign w:val="center"/>
          </w:tcPr>
          <w:p w14:paraId="02381534">
            <w:pPr>
              <w:pStyle w:val="70"/>
              <w:rPr>
                <w:color w:val="000000" w:themeColor="text1"/>
                <w14:textFill>
                  <w14:solidFill>
                    <w14:schemeClr w14:val="tx1"/>
                  </w14:solidFill>
                </w14:textFill>
              </w:rPr>
            </w:pPr>
            <w:r>
              <w:rPr>
                <w:color w:val="000000" w:themeColor="text1"/>
                <w14:textFill>
                  <w14:solidFill>
                    <w14:schemeClr w14:val="tx1"/>
                  </w14:solidFill>
                </w14:textFill>
              </w:rPr>
              <w:t>乙苯</w:t>
            </w:r>
          </w:p>
        </w:tc>
        <w:tc>
          <w:tcPr>
            <w:tcW w:w="1979" w:type="dxa"/>
            <w:vAlign w:val="center"/>
          </w:tcPr>
          <w:p w14:paraId="3F371B68">
            <w:pPr>
              <w:pStyle w:val="70"/>
              <w:rPr>
                <w:color w:val="000000" w:themeColor="text1"/>
                <w14:textFill>
                  <w14:solidFill>
                    <w14:schemeClr w14:val="tx1"/>
                  </w14:solidFill>
                </w14:textFill>
              </w:rPr>
            </w:pPr>
            <w:r>
              <w:rPr>
                <w:color w:val="000000" w:themeColor="text1"/>
                <w14:textFill>
                  <w14:solidFill>
                    <w14:schemeClr w14:val="tx1"/>
                  </w14:solidFill>
                </w14:textFill>
              </w:rPr>
              <w:t>≤0.3</w:t>
            </w:r>
          </w:p>
        </w:tc>
      </w:tr>
      <w:tr w14:paraId="2AB8DD2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916" w:type="dxa"/>
            <w:vAlign w:val="center"/>
          </w:tcPr>
          <w:p w14:paraId="1A715EC6">
            <w:pPr>
              <w:pStyle w:val="70"/>
              <w:numPr>
                <w:ilvl w:val="0"/>
                <w:numId w:val="11"/>
              </w:numPr>
              <w:rPr>
                <w:color w:val="000000" w:themeColor="text1"/>
                <w14:textFill>
                  <w14:solidFill>
                    <w14:schemeClr w14:val="tx1"/>
                  </w14:solidFill>
                </w14:textFill>
              </w:rPr>
            </w:pPr>
          </w:p>
        </w:tc>
        <w:tc>
          <w:tcPr>
            <w:tcW w:w="5167" w:type="dxa"/>
            <w:vAlign w:val="center"/>
          </w:tcPr>
          <w:p w14:paraId="08671CA7">
            <w:pPr>
              <w:pStyle w:val="70"/>
              <w:rPr>
                <w:color w:val="000000" w:themeColor="text1"/>
                <w14:textFill>
                  <w14:solidFill>
                    <w14:schemeClr w14:val="tx1"/>
                  </w14:solidFill>
                </w14:textFill>
              </w:rPr>
            </w:pPr>
            <w:r>
              <w:rPr>
                <w:color w:val="000000" w:themeColor="text1"/>
                <w14:textFill>
                  <w14:solidFill>
                    <w14:schemeClr w14:val="tx1"/>
                  </w14:solidFill>
                </w14:textFill>
              </w:rPr>
              <w:t>汞</w:t>
            </w:r>
          </w:p>
        </w:tc>
        <w:tc>
          <w:tcPr>
            <w:tcW w:w="1979" w:type="dxa"/>
            <w:vAlign w:val="center"/>
          </w:tcPr>
          <w:p w14:paraId="3144AF2C">
            <w:pPr>
              <w:pStyle w:val="70"/>
              <w:rPr>
                <w:color w:val="000000" w:themeColor="text1"/>
                <w14:textFill>
                  <w14:solidFill>
                    <w14:schemeClr w14:val="tx1"/>
                  </w14:solidFill>
                </w14:textFill>
              </w:rPr>
            </w:pPr>
            <w:r>
              <w:rPr>
                <w:color w:val="000000" w:themeColor="text1"/>
                <w14:textFill>
                  <w14:solidFill>
                    <w14:schemeClr w14:val="tx1"/>
                  </w14:solidFill>
                </w14:textFill>
              </w:rPr>
              <w:t>≤0.001</w:t>
            </w:r>
          </w:p>
        </w:tc>
      </w:tr>
      <w:tr w14:paraId="57AF2A6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916" w:type="dxa"/>
            <w:vAlign w:val="center"/>
          </w:tcPr>
          <w:p w14:paraId="2984F0C7">
            <w:pPr>
              <w:pStyle w:val="70"/>
              <w:numPr>
                <w:ilvl w:val="0"/>
                <w:numId w:val="11"/>
              </w:numPr>
              <w:rPr>
                <w:color w:val="000000" w:themeColor="text1"/>
                <w14:textFill>
                  <w14:solidFill>
                    <w14:schemeClr w14:val="tx1"/>
                  </w14:solidFill>
                </w14:textFill>
              </w:rPr>
            </w:pPr>
          </w:p>
        </w:tc>
        <w:tc>
          <w:tcPr>
            <w:tcW w:w="5167" w:type="dxa"/>
            <w:vAlign w:val="center"/>
          </w:tcPr>
          <w:p w14:paraId="2ACFAD80">
            <w:pPr>
              <w:pStyle w:val="70"/>
              <w:rPr>
                <w:color w:val="000000" w:themeColor="text1"/>
                <w14:textFill>
                  <w14:solidFill>
                    <w14:schemeClr w14:val="tx1"/>
                  </w14:solidFill>
                </w14:textFill>
              </w:rPr>
            </w:pPr>
            <w:r>
              <w:rPr>
                <w:color w:val="000000" w:themeColor="text1"/>
                <w14:textFill>
                  <w14:solidFill>
                    <w14:schemeClr w14:val="tx1"/>
                  </w14:solidFill>
                </w14:textFill>
              </w:rPr>
              <w:t>砷</w:t>
            </w:r>
          </w:p>
        </w:tc>
        <w:tc>
          <w:tcPr>
            <w:tcW w:w="1979" w:type="dxa"/>
            <w:vAlign w:val="center"/>
          </w:tcPr>
          <w:p w14:paraId="1CD0DD96">
            <w:pPr>
              <w:pStyle w:val="70"/>
              <w:rPr>
                <w:color w:val="000000" w:themeColor="text1"/>
                <w14:textFill>
                  <w14:solidFill>
                    <w14:schemeClr w14:val="tx1"/>
                  </w14:solidFill>
                </w14:textFill>
              </w:rPr>
            </w:pPr>
            <w:r>
              <w:rPr>
                <w:color w:val="000000" w:themeColor="text1"/>
                <w14:textFill>
                  <w14:solidFill>
                    <w14:schemeClr w14:val="tx1"/>
                  </w14:solidFill>
                </w14:textFill>
              </w:rPr>
              <w:t>≤0.01</w:t>
            </w:r>
          </w:p>
        </w:tc>
      </w:tr>
      <w:tr w14:paraId="6563CE5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916" w:type="dxa"/>
            <w:vAlign w:val="center"/>
          </w:tcPr>
          <w:p w14:paraId="006F0CF7">
            <w:pPr>
              <w:pStyle w:val="70"/>
              <w:numPr>
                <w:ilvl w:val="0"/>
                <w:numId w:val="11"/>
              </w:numPr>
              <w:rPr>
                <w:color w:val="000000" w:themeColor="text1"/>
                <w14:textFill>
                  <w14:solidFill>
                    <w14:schemeClr w14:val="tx1"/>
                  </w14:solidFill>
                </w14:textFill>
              </w:rPr>
            </w:pPr>
          </w:p>
        </w:tc>
        <w:tc>
          <w:tcPr>
            <w:tcW w:w="5167" w:type="dxa"/>
            <w:vAlign w:val="center"/>
          </w:tcPr>
          <w:p w14:paraId="757644D7">
            <w:pPr>
              <w:pStyle w:val="70"/>
              <w:rPr>
                <w:color w:val="000000" w:themeColor="text1"/>
                <w14:textFill>
                  <w14:solidFill>
                    <w14:schemeClr w14:val="tx1"/>
                  </w14:solidFill>
                </w14:textFill>
              </w:rPr>
            </w:pPr>
            <w:r>
              <w:rPr>
                <w:color w:val="000000" w:themeColor="text1"/>
                <w14:textFill>
                  <w14:solidFill>
                    <w14:schemeClr w14:val="tx1"/>
                  </w14:solidFill>
                </w14:textFill>
              </w:rPr>
              <w:t>铜</w:t>
            </w:r>
          </w:p>
        </w:tc>
        <w:tc>
          <w:tcPr>
            <w:tcW w:w="1979" w:type="dxa"/>
            <w:vAlign w:val="center"/>
          </w:tcPr>
          <w:p w14:paraId="1CF22767">
            <w:pPr>
              <w:pStyle w:val="70"/>
              <w:rPr>
                <w:color w:val="000000" w:themeColor="text1"/>
                <w14:textFill>
                  <w14:solidFill>
                    <w14:schemeClr w14:val="tx1"/>
                  </w14:solidFill>
                </w14:textFill>
              </w:rPr>
            </w:pPr>
            <w:r>
              <w:rPr>
                <w:color w:val="000000" w:themeColor="text1"/>
                <w14:textFill>
                  <w14:solidFill>
                    <w14:schemeClr w14:val="tx1"/>
                  </w14:solidFill>
                </w14:textFill>
              </w:rPr>
              <w:t>≤1</w:t>
            </w:r>
          </w:p>
        </w:tc>
      </w:tr>
      <w:tr w14:paraId="3509DD1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916" w:type="dxa"/>
            <w:vAlign w:val="center"/>
          </w:tcPr>
          <w:p w14:paraId="4ADF6470">
            <w:pPr>
              <w:pStyle w:val="70"/>
              <w:numPr>
                <w:ilvl w:val="0"/>
                <w:numId w:val="11"/>
              </w:numPr>
              <w:rPr>
                <w:color w:val="000000" w:themeColor="text1"/>
                <w14:textFill>
                  <w14:solidFill>
                    <w14:schemeClr w14:val="tx1"/>
                  </w14:solidFill>
                </w14:textFill>
              </w:rPr>
            </w:pPr>
          </w:p>
        </w:tc>
        <w:tc>
          <w:tcPr>
            <w:tcW w:w="5167" w:type="dxa"/>
            <w:vAlign w:val="center"/>
          </w:tcPr>
          <w:p w14:paraId="6796BB32">
            <w:pPr>
              <w:pStyle w:val="70"/>
              <w:rPr>
                <w:color w:val="000000" w:themeColor="text1"/>
                <w14:textFill>
                  <w14:solidFill>
                    <w14:schemeClr w14:val="tx1"/>
                  </w14:solidFill>
                </w14:textFill>
              </w:rPr>
            </w:pPr>
            <w:r>
              <w:rPr>
                <w:color w:val="000000" w:themeColor="text1"/>
                <w14:textFill>
                  <w14:solidFill>
                    <w14:schemeClr w14:val="tx1"/>
                  </w14:solidFill>
                </w14:textFill>
              </w:rPr>
              <w:t>镉</w:t>
            </w:r>
          </w:p>
        </w:tc>
        <w:tc>
          <w:tcPr>
            <w:tcW w:w="1979" w:type="dxa"/>
            <w:vAlign w:val="center"/>
          </w:tcPr>
          <w:p w14:paraId="0BFA478B">
            <w:pPr>
              <w:pStyle w:val="70"/>
              <w:rPr>
                <w:color w:val="000000" w:themeColor="text1"/>
                <w14:textFill>
                  <w14:solidFill>
                    <w14:schemeClr w14:val="tx1"/>
                  </w14:solidFill>
                </w14:textFill>
              </w:rPr>
            </w:pPr>
            <w:r>
              <w:rPr>
                <w:color w:val="000000" w:themeColor="text1"/>
                <w14:textFill>
                  <w14:solidFill>
                    <w14:schemeClr w14:val="tx1"/>
                  </w14:solidFill>
                </w14:textFill>
              </w:rPr>
              <w:t>≤0.005</w:t>
            </w:r>
          </w:p>
        </w:tc>
      </w:tr>
      <w:tr w14:paraId="3598E80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916" w:type="dxa"/>
            <w:vAlign w:val="center"/>
          </w:tcPr>
          <w:p w14:paraId="2951C19B">
            <w:pPr>
              <w:pStyle w:val="70"/>
              <w:numPr>
                <w:ilvl w:val="0"/>
                <w:numId w:val="11"/>
              </w:numPr>
              <w:rPr>
                <w:color w:val="000000" w:themeColor="text1"/>
                <w14:textFill>
                  <w14:solidFill>
                    <w14:schemeClr w14:val="tx1"/>
                  </w14:solidFill>
                </w14:textFill>
              </w:rPr>
            </w:pPr>
          </w:p>
        </w:tc>
        <w:tc>
          <w:tcPr>
            <w:tcW w:w="5167" w:type="dxa"/>
            <w:vAlign w:val="center"/>
          </w:tcPr>
          <w:p w14:paraId="234F80EE">
            <w:pPr>
              <w:pStyle w:val="70"/>
              <w:rPr>
                <w:color w:val="000000" w:themeColor="text1"/>
                <w14:textFill>
                  <w14:solidFill>
                    <w14:schemeClr w14:val="tx1"/>
                  </w14:solidFill>
                </w14:textFill>
              </w:rPr>
            </w:pPr>
            <w:r>
              <w:rPr>
                <w:color w:val="000000" w:themeColor="text1"/>
                <w14:textFill>
                  <w14:solidFill>
                    <w14:schemeClr w14:val="tx1"/>
                  </w14:solidFill>
                </w14:textFill>
              </w:rPr>
              <w:t>六价铬</w:t>
            </w:r>
          </w:p>
        </w:tc>
        <w:tc>
          <w:tcPr>
            <w:tcW w:w="1979" w:type="dxa"/>
            <w:vAlign w:val="center"/>
          </w:tcPr>
          <w:p w14:paraId="799EBF1A">
            <w:pPr>
              <w:pStyle w:val="70"/>
              <w:rPr>
                <w:color w:val="000000" w:themeColor="text1"/>
                <w14:textFill>
                  <w14:solidFill>
                    <w14:schemeClr w14:val="tx1"/>
                  </w14:solidFill>
                </w14:textFill>
              </w:rPr>
            </w:pPr>
            <w:r>
              <w:rPr>
                <w:color w:val="000000" w:themeColor="text1"/>
                <w14:textFill>
                  <w14:solidFill>
                    <w14:schemeClr w14:val="tx1"/>
                  </w14:solidFill>
                </w14:textFill>
              </w:rPr>
              <w:t>≤0.05</w:t>
            </w:r>
          </w:p>
        </w:tc>
      </w:tr>
      <w:tr w14:paraId="19C2034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916" w:type="dxa"/>
            <w:vAlign w:val="center"/>
          </w:tcPr>
          <w:p w14:paraId="108D33F4">
            <w:pPr>
              <w:pStyle w:val="70"/>
              <w:numPr>
                <w:ilvl w:val="0"/>
                <w:numId w:val="11"/>
              </w:numPr>
              <w:rPr>
                <w:color w:val="000000" w:themeColor="text1"/>
                <w14:textFill>
                  <w14:solidFill>
                    <w14:schemeClr w14:val="tx1"/>
                  </w14:solidFill>
                </w14:textFill>
              </w:rPr>
            </w:pPr>
          </w:p>
        </w:tc>
        <w:tc>
          <w:tcPr>
            <w:tcW w:w="5167" w:type="dxa"/>
            <w:vAlign w:val="center"/>
          </w:tcPr>
          <w:p w14:paraId="4348CF67">
            <w:pPr>
              <w:pStyle w:val="70"/>
              <w:rPr>
                <w:color w:val="000000" w:themeColor="text1"/>
                <w14:textFill>
                  <w14:solidFill>
                    <w14:schemeClr w14:val="tx1"/>
                  </w14:solidFill>
                </w14:textFill>
              </w:rPr>
            </w:pPr>
            <w:r>
              <w:rPr>
                <w:color w:val="000000" w:themeColor="text1"/>
                <w14:textFill>
                  <w14:solidFill>
                    <w14:schemeClr w14:val="tx1"/>
                  </w14:solidFill>
                </w14:textFill>
              </w:rPr>
              <w:t>铅</w:t>
            </w:r>
          </w:p>
        </w:tc>
        <w:tc>
          <w:tcPr>
            <w:tcW w:w="1979" w:type="dxa"/>
            <w:vAlign w:val="center"/>
          </w:tcPr>
          <w:p w14:paraId="531460BC">
            <w:pPr>
              <w:pStyle w:val="70"/>
              <w:rPr>
                <w:color w:val="000000" w:themeColor="text1"/>
                <w14:textFill>
                  <w14:solidFill>
                    <w14:schemeClr w14:val="tx1"/>
                  </w14:solidFill>
                </w14:textFill>
              </w:rPr>
            </w:pPr>
            <w:r>
              <w:rPr>
                <w:color w:val="000000" w:themeColor="text1"/>
                <w14:textFill>
                  <w14:solidFill>
                    <w14:schemeClr w14:val="tx1"/>
                  </w14:solidFill>
                </w14:textFill>
              </w:rPr>
              <w:t>≤0.01</w:t>
            </w:r>
          </w:p>
        </w:tc>
      </w:tr>
      <w:tr w14:paraId="3B43CA2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916" w:type="dxa"/>
            <w:vAlign w:val="center"/>
          </w:tcPr>
          <w:p w14:paraId="4CAD3C20">
            <w:pPr>
              <w:pStyle w:val="70"/>
              <w:numPr>
                <w:ilvl w:val="0"/>
                <w:numId w:val="11"/>
              </w:numPr>
              <w:rPr>
                <w:color w:val="000000" w:themeColor="text1"/>
                <w14:textFill>
                  <w14:solidFill>
                    <w14:schemeClr w14:val="tx1"/>
                  </w14:solidFill>
                </w14:textFill>
              </w:rPr>
            </w:pPr>
          </w:p>
        </w:tc>
        <w:tc>
          <w:tcPr>
            <w:tcW w:w="5167" w:type="dxa"/>
            <w:vAlign w:val="center"/>
          </w:tcPr>
          <w:p w14:paraId="687788BF">
            <w:pPr>
              <w:pStyle w:val="70"/>
              <w:rPr>
                <w:color w:val="000000" w:themeColor="text1"/>
                <w14:textFill>
                  <w14:solidFill>
                    <w14:schemeClr w14:val="tx1"/>
                  </w14:solidFill>
                </w14:textFill>
              </w:rPr>
            </w:pPr>
            <w:r>
              <w:rPr>
                <w:color w:val="000000" w:themeColor="text1"/>
                <w14:textFill>
                  <w14:solidFill>
                    <w14:schemeClr w14:val="tx1"/>
                  </w14:solidFill>
                </w14:textFill>
              </w:rPr>
              <w:t>镍</w:t>
            </w:r>
          </w:p>
        </w:tc>
        <w:tc>
          <w:tcPr>
            <w:tcW w:w="1979" w:type="dxa"/>
            <w:vAlign w:val="center"/>
          </w:tcPr>
          <w:p w14:paraId="08B9D885">
            <w:pPr>
              <w:pStyle w:val="70"/>
              <w:rPr>
                <w:color w:val="000000" w:themeColor="text1"/>
                <w14:textFill>
                  <w14:solidFill>
                    <w14:schemeClr w14:val="tx1"/>
                  </w14:solidFill>
                </w14:textFill>
              </w:rPr>
            </w:pPr>
            <w:r>
              <w:rPr>
                <w:color w:val="000000" w:themeColor="text1"/>
                <w14:textFill>
                  <w14:solidFill>
                    <w14:schemeClr w14:val="tx1"/>
                  </w14:solidFill>
                </w14:textFill>
              </w:rPr>
              <w:t>≤0.02</w:t>
            </w:r>
          </w:p>
        </w:tc>
      </w:tr>
      <w:tr w14:paraId="05A0F52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916" w:type="dxa"/>
            <w:vAlign w:val="center"/>
          </w:tcPr>
          <w:p w14:paraId="143E9625">
            <w:pPr>
              <w:pStyle w:val="70"/>
              <w:numPr>
                <w:ilvl w:val="0"/>
                <w:numId w:val="11"/>
              </w:numPr>
              <w:rPr>
                <w:color w:val="000000" w:themeColor="text1"/>
                <w14:textFill>
                  <w14:solidFill>
                    <w14:schemeClr w14:val="tx1"/>
                  </w14:solidFill>
                </w14:textFill>
              </w:rPr>
            </w:pPr>
          </w:p>
        </w:tc>
        <w:tc>
          <w:tcPr>
            <w:tcW w:w="5167" w:type="dxa"/>
            <w:vAlign w:val="center"/>
          </w:tcPr>
          <w:p w14:paraId="13DA817A">
            <w:pPr>
              <w:pStyle w:val="70"/>
              <w:rPr>
                <w:color w:val="000000" w:themeColor="text1"/>
                <w14:textFill>
                  <w14:solidFill>
                    <w14:schemeClr w14:val="tx1"/>
                  </w14:solidFill>
                </w14:textFill>
              </w:rPr>
            </w:pPr>
            <w:r>
              <w:rPr>
                <w:color w:val="000000" w:themeColor="text1"/>
                <w14:textFill>
                  <w14:solidFill>
                    <w14:schemeClr w14:val="tx1"/>
                  </w14:solidFill>
                </w14:textFill>
              </w:rPr>
              <w:t>氟化物</w:t>
            </w:r>
          </w:p>
        </w:tc>
        <w:tc>
          <w:tcPr>
            <w:tcW w:w="1979" w:type="dxa"/>
            <w:vAlign w:val="center"/>
          </w:tcPr>
          <w:p w14:paraId="37748007">
            <w:pPr>
              <w:pStyle w:val="70"/>
              <w:rPr>
                <w:color w:val="000000" w:themeColor="text1"/>
                <w14:textFill>
                  <w14:solidFill>
                    <w14:schemeClr w14:val="tx1"/>
                  </w14:solidFill>
                </w14:textFill>
              </w:rPr>
            </w:pPr>
            <w:r>
              <w:rPr>
                <w:color w:val="000000" w:themeColor="text1"/>
                <w14:textFill>
                  <w14:solidFill>
                    <w14:schemeClr w14:val="tx1"/>
                  </w14:solidFill>
                </w14:textFill>
              </w:rPr>
              <w:t>≤1</w:t>
            </w:r>
          </w:p>
        </w:tc>
      </w:tr>
      <w:tr w14:paraId="7974BDD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916" w:type="dxa"/>
            <w:vAlign w:val="center"/>
          </w:tcPr>
          <w:p w14:paraId="2A4223BA">
            <w:pPr>
              <w:pStyle w:val="70"/>
              <w:numPr>
                <w:ilvl w:val="0"/>
                <w:numId w:val="11"/>
              </w:numPr>
              <w:rPr>
                <w:color w:val="000000" w:themeColor="text1"/>
                <w14:textFill>
                  <w14:solidFill>
                    <w14:schemeClr w14:val="tx1"/>
                  </w14:solidFill>
                </w14:textFill>
              </w:rPr>
            </w:pPr>
          </w:p>
        </w:tc>
        <w:tc>
          <w:tcPr>
            <w:tcW w:w="5167" w:type="dxa"/>
            <w:vAlign w:val="center"/>
          </w:tcPr>
          <w:p w14:paraId="0086DF15">
            <w:pPr>
              <w:pStyle w:val="70"/>
              <w:rPr>
                <w:color w:val="000000" w:themeColor="text1"/>
                <w14:textFill>
                  <w14:solidFill>
                    <w14:schemeClr w14:val="tx1"/>
                  </w14:solidFill>
                </w14:textFill>
              </w:rPr>
            </w:pPr>
            <w:r>
              <w:rPr>
                <w:color w:val="000000" w:themeColor="text1"/>
                <w14:textFill>
                  <w14:solidFill>
                    <w14:schemeClr w14:val="tx1"/>
                  </w14:solidFill>
                </w14:textFill>
              </w:rPr>
              <w:t>锌</w:t>
            </w:r>
          </w:p>
        </w:tc>
        <w:tc>
          <w:tcPr>
            <w:tcW w:w="1979" w:type="dxa"/>
            <w:vAlign w:val="center"/>
          </w:tcPr>
          <w:p w14:paraId="4A0FFC06">
            <w:pPr>
              <w:pStyle w:val="70"/>
              <w:rPr>
                <w:color w:val="000000" w:themeColor="text1"/>
                <w14:textFill>
                  <w14:solidFill>
                    <w14:schemeClr w14:val="tx1"/>
                  </w14:solidFill>
                </w14:textFill>
              </w:rPr>
            </w:pPr>
            <w:r>
              <w:rPr>
                <w:color w:val="000000" w:themeColor="text1"/>
                <w14:textFill>
                  <w14:solidFill>
                    <w14:schemeClr w14:val="tx1"/>
                  </w14:solidFill>
                </w14:textFill>
              </w:rPr>
              <w:t>≤1</w:t>
            </w:r>
          </w:p>
        </w:tc>
      </w:tr>
      <w:tr w14:paraId="5229B57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916" w:type="dxa"/>
            <w:vAlign w:val="center"/>
          </w:tcPr>
          <w:p w14:paraId="258FA0DF">
            <w:pPr>
              <w:pStyle w:val="70"/>
              <w:numPr>
                <w:ilvl w:val="0"/>
                <w:numId w:val="11"/>
              </w:numPr>
              <w:rPr>
                <w:color w:val="000000" w:themeColor="text1"/>
                <w14:textFill>
                  <w14:solidFill>
                    <w14:schemeClr w14:val="tx1"/>
                  </w14:solidFill>
                </w14:textFill>
              </w:rPr>
            </w:pPr>
          </w:p>
        </w:tc>
        <w:tc>
          <w:tcPr>
            <w:tcW w:w="5167" w:type="dxa"/>
            <w:vAlign w:val="center"/>
          </w:tcPr>
          <w:p w14:paraId="7997032D">
            <w:pPr>
              <w:pStyle w:val="70"/>
              <w:rPr>
                <w:color w:val="000000" w:themeColor="text1"/>
                <w:lang w:val="zh-CN"/>
                <w14:textFill>
                  <w14:solidFill>
                    <w14:schemeClr w14:val="tx1"/>
                  </w14:solidFill>
                </w14:textFill>
              </w:rPr>
            </w:pPr>
            <w:r>
              <w:rPr>
                <w:color w:val="000000" w:themeColor="text1"/>
                <w:lang w:val="zh-CN"/>
                <w14:textFill>
                  <w14:solidFill>
                    <w14:schemeClr w14:val="tx1"/>
                  </w14:solidFill>
                </w14:textFill>
              </w:rPr>
              <w:t>二甲苯</w:t>
            </w:r>
          </w:p>
        </w:tc>
        <w:tc>
          <w:tcPr>
            <w:tcW w:w="1979" w:type="dxa"/>
            <w:vAlign w:val="center"/>
          </w:tcPr>
          <w:p w14:paraId="09B6D339">
            <w:pPr>
              <w:pStyle w:val="70"/>
              <w:rPr>
                <w:color w:val="000000" w:themeColor="text1"/>
                <w14:textFill>
                  <w14:solidFill>
                    <w14:schemeClr w14:val="tx1"/>
                  </w14:solidFill>
                </w14:textFill>
              </w:rPr>
            </w:pPr>
            <w:r>
              <w:rPr>
                <w:color w:val="000000" w:themeColor="text1"/>
                <w14:textFill>
                  <w14:solidFill>
                    <w14:schemeClr w14:val="tx1"/>
                  </w14:solidFill>
                </w14:textFill>
              </w:rPr>
              <w:t>≤0.5</w:t>
            </w:r>
          </w:p>
        </w:tc>
      </w:tr>
      <w:tr w14:paraId="73FC0B0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916" w:type="dxa"/>
            <w:vAlign w:val="center"/>
          </w:tcPr>
          <w:p w14:paraId="20AAFF94">
            <w:pPr>
              <w:pStyle w:val="70"/>
              <w:numPr>
                <w:ilvl w:val="0"/>
                <w:numId w:val="11"/>
              </w:numPr>
              <w:rPr>
                <w:color w:val="000000" w:themeColor="text1"/>
                <w14:textFill>
                  <w14:solidFill>
                    <w14:schemeClr w14:val="tx1"/>
                  </w14:solidFill>
                </w14:textFill>
              </w:rPr>
            </w:pPr>
          </w:p>
        </w:tc>
        <w:tc>
          <w:tcPr>
            <w:tcW w:w="5167" w:type="dxa"/>
            <w:vAlign w:val="center"/>
          </w:tcPr>
          <w:p w14:paraId="7A622597">
            <w:pPr>
              <w:pStyle w:val="70"/>
              <w:rPr>
                <w:color w:val="000000" w:themeColor="text1"/>
                <w:lang w:val="zh-CN"/>
                <w14:textFill>
                  <w14:solidFill>
                    <w14:schemeClr w14:val="tx1"/>
                  </w14:solidFill>
                </w14:textFill>
              </w:rPr>
            </w:pPr>
            <w:r>
              <w:rPr>
                <w:color w:val="000000" w:themeColor="text1"/>
                <w:lang w:val="zh-CN"/>
                <w14:textFill>
                  <w14:solidFill>
                    <w14:schemeClr w14:val="tx1"/>
                  </w14:solidFill>
                </w14:textFill>
              </w:rPr>
              <w:t>苯乙烯</w:t>
            </w:r>
          </w:p>
        </w:tc>
        <w:tc>
          <w:tcPr>
            <w:tcW w:w="1979" w:type="dxa"/>
            <w:vAlign w:val="center"/>
          </w:tcPr>
          <w:p w14:paraId="14CE6241">
            <w:pPr>
              <w:pStyle w:val="70"/>
              <w:rPr>
                <w:color w:val="000000" w:themeColor="text1"/>
                <w14:textFill>
                  <w14:solidFill>
                    <w14:schemeClr w14:val="tx1"/>
                  </w14:solidFill>
                </w14:textFill>
              </w:rPr>
            </w:pPr>
            <w:r>
              <w:rPr>
                <w:color w:val="000000" w:themeColor="text1"/>
                <w14:textFill>
                  <w14:solidFill>
                    <w14:schemeClr w14:val="tx1"/>
                  </w14:solidFill>
                </w14:textFill>
              </w:rPr>
              <w:t>≤0.02</w:t>
            </w:r>
          </w:p>
        </w:tc>
      </w:tr>
      <w:tr w14:paraId="604FAAD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916" w:type="dxa"/>
            <w:vAlign w:val="center"/>
          </w:tcPr>
          <w:p w14:paraId="5098CE87">
            <w:pPr>
              <w:pStyle w:val="70"/>
              <w:numPr>
                <w:ilvl w:val="0"/>
                <w:numId w:val="11"/>
              </w:numPr>
              <w:rPr>
                <w:color w:val="000000" w:themeColor="text1"/>
                <w14:textFill>
                  <w14:solidFill>
                    <w14:schemeClr w14:val="tx1"/>
                  </w14:solidFill>
                </w14:textFill>
              </w:rPr>
            </w:pPr>
          </w:p>
        </w:tc>
        <w:tc>
          <w:tcPr>
            <w:tcW w:w="5167" w:type="dxa"/>
            <w:vAlign w:val="center"/>
          </w:tcPr>
          <w:p w14:paraId="657E7C22">
            <w:pPr>
              <w:pStyle w:val="70"/>
              <w:rPr>
                <w:color w:val="000000" w:themeColor="text1"/>
                <w14:textFill>
                  <w14:solidFill>
                    <w14:schemeClr w14:val="tx1"/>
                  </w14:solidFill>
                </w14:textFill>
              </w:rPr>
            </w:pPr>
            <w:r>
              <w:rPr>
                <w:color w:val="000000" w:themeColor="text1"/>
                <w:lang w:val="zh-CN"/>
                <w14:textFill>
                  <w14:solidFill>
                    <w14:schemeClr w14:val="tx1"/>
                  </w14:solidFill>
                </w14:textFill>
              </w:rPr>
              <w:t>苯并芘</w:t>
            </w:r>
          </w:p>
        </w:tc>
        <w:tc>
          <w:tcPr>
            <w:tcW w:w="1979" w:type="dxa"/>
            <w:vAlign w:val="center"/>
          </w:tcPr>
          <w:p w14:paraId="2DAE3D48">
            <w:pPr>
              <w:pStyle w:val="70"/>
              <w:rPr>
                <w:color w:val="000000" w:themeColor="text1"/>
                <w14:textFill>
                  <w14:solidFill>
                    <w14:schemeClr w14:val="tx1"/>
                  </w14:solidFill>
                </w14:textFill>
              </w:rPr>
            </w:pPr>
            <w:r>
              <w:rPr>
                <w:color w:val="000000" w:themeColor="text1"/>
                <w14:textFill>
                  <w14:solidFill>
                    <w14:schemeClr w14:val="tx1"/>
                  </w14:solidFill>
                </w14:textFill>
              </w:rPr>
              <w:t>≤0.00001</w:t>
            </w:r>
          </w:p>
        </w:tc>
      </w:tr>
    </w:tbl>
    <w:p w14:paraId="3B0201A6">
      <w:pPr>
        <w:pStyle w:val="6"/>
        <w:rPr>
          <w:color w:val="000000" w:themeColor="text1"/>
          <w14:textFill>
            <w14:solidFill>
              <w14:schemeClr w14:val="tx1"/>
            </w14:solidFill>
          </w14:textFill>
        </w:rPr>
      </w:pPr>
      <w:r>
        <w:rPr>
          <w:color w:val="000000" w:themeColor="text1"/>
          <w14:textFill>
            <w14:solidFill>
              <w14:schemeClr w14:val="tx1"/>
            </w14:solidFill>
          </w14:textFill>
        </w:rPr>
        <w:t>环境质量标准</w:t>
      </w:r>
    </w:p>
    <w:p w14:paraId="6509A19B">
      <w:pPr>
        <w:ind w:firstLine="480"/>
        <w:rPr>
          <w:color w:val="000000" w:themeColor="text1"/>
          <w14:textFill>
            <w14:solidFill>
              <w14:schemeClr w14:val="tx1"/>
            </w14:solidFill>
          </w14:textFill>
        </w:rPr>
      </w:pPr>
      <w:r>
        <w:rPr>
          <w:color w:val="000000" w:themeColor="text1"/>
          <w14:textFill>
            <w14:solidFill>
              <w14:schemeClr w14:val="tx1"/>
            </w14:solidFill>
          </w14:textFill>
        </w:rPr>
        <w:t>根据《</w:t>
      </w:r>
      <w:r>
        <w:rPr>
          <w:rFonts w:hint="eastAsia"/>
          <w:color w:val="000000" w:themeColor="text1"/>
          <w:lang w:val="en-US" w:eastAsia="zh-CN"/>
          <w14:textFill>
            <w14:solidFill>
              <w14:schemeClr w14:val="tx1"/>
            </w14:solidFill>
          </w14:textFill>
        </w:rPr>
        <w:t>钦州市中心城区声环境功能区划</w:t>
      </w:r>
      <w:r>
        <w:rPr>
          <w:color w:val="000000" w:themeColor="text1"/>
          <w14:textFill>
            <w14:solidFill>
              <w14:schemeClr w14:val="tx1"/>
            </w14:solidFill>
          </w14:textFill>
        </w:rPr>
        <w:t>》区域声环境划分为3类声功能区，执行</w:t>
      </w:r>
      <w:r>
        <w:rPr>
          <w:color w:val="000000" w:themeColor="text1"/>
          <w:u w:val="none"/>
          <w14:textFill>
            <w14:solidFill>
              <w14:schemeClr w14:val="tx1"/>
            </w14:solidFill>
          </w14:textFill>
        </w:rPr>
        <w:t>《</w:t>
      </w:r>
      <w:r>
        <w:rPr>
          <w:rFonts w:hint="eastAsia"/>
          <w:color w:val="000000" w:themeColor="text1"/>
          <w:u w:val="none"/>
          <w:lang w:val="en-US" w:eastAsia="zh-CN"/>
          <w14:textFill>
            <w14:solidFill>
              <w14:schemeClr w14:val="tx1"/>
            </w14:solidFill>
          </w14:textFill>
        </w:rPr>
        <w:t>声环境质量</w:t>
      </w:r>
      <w:r>
        <w:rPr>
          <w:color w:val="000000" w:themeColor="text1"/>
          <w:u w:val="none"/>
          <w14:textFill>
            <w14:solidFill>
              <w14:schemeClr w14:val="tx1"/>
            </w14:solidFill>
          </w14:textFill>
        </w:rPr>
        <w:t>标准》（GB12348-2008）</w:t>
      </w:r>
      <w:r>
        <w:rPr>
          <w:color w:val="000000" w:themeColor="text1"/>
          <w14:textFill>
            <w14:solidFill>
              <w14:schemeClr w14:val="tx1"/>
            </w14:solidFill>
          </w14:textFill>
        </w:rPr>
        <w:t>中3类标准，具体标准值见表1.4-3。</w:t>
      </w:r>
    </w:p>
    <w:p w14:paraId="1B4CD54F">
      <w:pPr>
        <w:pStyle w:val="7"/>
        <w:rPr>
          <w:color w:val="000000" w:themeColor="text1"/>
          <w14:textFill>
            <w14:solidFill>
              <w14:schemeClr w14:val="tx1"/>
            </w14:solidFill>
          </w14:textFill>
        </w:rPr>
      </w:pPr>
      <w:r>
        <w:rPr>
          <w:color w:val="000000" w:themeColor="text1"/>
          <w14:textFill>
            <w14:solidFill>
              <w14:schemeClr w14:val="tx1"/>
            </w14:solidFill>
          </w14:textFill>
        </w:rPr>
        <w:t>声环境质量标准   单位：dB（A）</w:t>
      </w:r>
    </w:p>
    <w:tbl>
      <w:tblPr>
        <w:tblStyle w:val="43"/>
        <w:tblW w:w="9286"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3096"/>
        <w:gridCol w:w="3095"/>
        <w:gridCol w:w="3095"/>
      </w:tblGrid>
      <w:tr w14:paraId="073D9AD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5" w:hRule="atLeast"/>
          <w:jc w:val="center"/>
        </w:trPr>
        <w:tc>
          <w:tcPr>
            <w:tcW w:w="3096" w:type="dxa"/>
            <w:vAlign w:val="center"/>
          </w:tcPr>
          <w:p w14:paraId="411138E8">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类别</w:t>
            </w:r>
          </w:p>
        </w:tc>
        <w:tc>
          <w:tcPr>
            <w:tcW w:w="3095" w:type="dxa"/>
            <w:vAlign w:val="center"/>
          </w:tcPr>
          <w:p w14:paraId="5185C26B">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昼间</w:t>
            </w:r>
          </w:p>
        </w:tc>
        <w:tc>
          <w:tcPr>
            <w:tcW w:w="3095" w:type="dxa"/>
            <w:vAlign w:val="center"/>
          </w:tcPr>
          <w:p w14:paraId="1B946595">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夜间</w:t>
            </w:r>
          </w:p>
        </w:tc>
      </w:tr>
      <w:tr w14:paraId="0A6904C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3096" w:type="dxa"/>
            <w:vAlign w:val="center"/>
          </w:tcPr>
          <w:p w14:paraId="3DCF152A">
            <w:pPr>
              <w:pStyle w:val="70"/>
              <w:rPr>
                <w:color w:val="000000" w:themeColor="text1"/>
                <w14:textFill>
                  <w14:solidFill>
                    <w14:schemeClr w14:val="tx1"/>
                  </w14:solidFill>
                </w14:textFill>
              </w:rPr>
            </w:pPr>
            <w:r>
              <w:rPr>
                <w:color w:val="000000" w:themeColor="text1"/>
                <w14:textFill>
                  <w14:solidFill>
                    <w14:schemeClr w14:val="tx1"/>
                  </w14:solidFill>
                </w14:textFill>
              </w:rPr>
              <w:t>3类</w:t>
            </w:r>
          </w:p>
        </w:tc>
        <w:tc>
          <w:tcPr>
            <w:tcW w:w="3095" w:type="dxa"/>
            <w:vAlign w:val="center"/>
          </w:tcPr>
          <w:p w14:paraId="661EB794">
            <w:pPr>
              <w:pStyle w:val="70"/>
              <w:rPr>
                <w:color w:val="000000" w:themeColor="text1"/>
                <w14:textFill>
                  <w14:solidFill>
                    <w14:schemeClr w14:val="tx1"/>
                  </w14:solidFill>
                </w14:textFill>
              </w:rPr>
            </w:pPr>
            <w:r>
              <w:rPr>
                <w:color w:val="000000" w:themeColor="text1"/>
                <w14:textFill>
                  <w14:solidFill>
                    <w14:schemeClr w14:val="tx1"/>
                  </w14:solidFill>
                </w14:textFill>
              </w:rPr>
              <w:t>65</w:t>
            </w:r>
          </w:p>
        </w:tc>
        <w:tc>
          <w:tcPr>
            <w:tcW w:w="3095" w:type="dxa"/>
            <w:vAlign w:val="center"/>
          </w:tcPr>
          <w:p w14:paraId="47C19638">
            <w:pPr>
              <w:pStyle w:val="70"/>
              <w:rPr>
                <w:color w:val="000000" w:themeColor="text1"/>
                <w14:textFill>
                  <w14:solidFill>
                    <w14:schemeClr w14:val="tx1"/>
                  </w14:solidFill>
                </w14:textFill>
              </w:rPr>
            </w:pPr>
            <w:r>
              <w:rPr>
                <w:color w:val="000000" w:themeColor="text1"/>
                <w14:textFill>
                  <w14:solidFill>
                    <w14:schemeClr w14:val="tx1"/>
                  </w14:solidFill>
                </w14:textFill>
              </w:rPr>
              <w:t>55</w:t>
            </w:r>
          </w:p>
        </w:tc>
      </w:tr>
    </w:tbl>
    <w:p w14:paraId="795FE0F1">
      <w:pPr>
        <w:pStyle w:val="6"/>
        <w:rPr>
          <w:color w:val="000000" w:themeColor="text1"/>
          <w14:textFill>
            <w14:solidFill>
              <w14:schemeClr w14:val="tx1"/>
            </w14:solidFill>
          </w14:textFill>
        </w:rPr>
      </w:pPr>
      <w:r>
        <w:rPr>
          <w:color w:val="000000" w:themeColor="text1"/>
          <w14:textFill>
            <w14:solidFill>
              <w14:schemeClr w14:val="tx1"/>
            </w14:solidFill>
          </w14:textFill>
        </w:rPr>
        <w:t>海水水质标准</w:t>
      </w:r>
    </w:p>
    <w:p w14:paraId="0E22D4BE">
      <w:pPr>
        <w:ind w:firstLine="480"/>
        <w:rPr>
          <w:rFonts w:hint="eastAsia" w:eastAsia="宋体"/>
          <w:color w:val="000000" w:themeColor="text1"/>
          <w:u w:val="single"/>
          <w:lang w:eastAsia="zh-CN"/>
          <w14:textFill>
            <w14:solidFill>
              <w14:schemeClr w14:val="tx1"/>
            </w14:solidFill>
          </w14:textFill>
        </w:rPr>
      </w:pPr>
      <w:r>
        <w:rPr>
          <w:color w:val="000000" w:themeColor="text1"/>
          <w14:textFill>
            <w14:solidFill>
              <w14:schemeClr w14:val="tx1"/>
            </w14:solidFill>
          </w14:textFill>
        </w:rPr>
        <w:t>根据《广西壮族自治区近岸海域环境功能区划调整方案》（桂环发〔2023〕9号）、《广西壮族自治区海洋功能区划》（2011-2020），评价海域功能区划属于一类、二类、三类、四类功能区，评价海域海水水质执行《海水水质标准》（GB3097-1997）第一类、二类、三类、四类标准；评价海域海洋沉积物执行《海洋沉积物质量》（GB18668-2002）第一类、二类、三类标准</w:t>
      </w:r>
      <w:r>
        <w:rPr>
          <w:rFonts w:hint="eastAsia"/>
          <w:color w:val="000000" w:themeColor="text1"/>
          <w:lang w:eastAsia="zh-CN"/>
          <w14:textFill>
            <w14:solidFill>
              <w14:schemeClr w14:val="tx1"/>
            </w14:solidFill>
          </w14:textFill>
        </w:rPr>
        <w:t>。</w:t>
      </w:r>
    </w:p>
    <w:p w14:paraId="0486C885">
      <w:pPr>
        <w:pStyle w:val="7"/>
        <w:rPr>
          <w:color w:val="000000" w:themeColor="text1"/>
          <w14:textFill>
            <w14:solidFill>
              <w14:schemeClr w14:val="tx1"/>
            </w14:solidFill>
          </w14:textFill>
        </w:rPr>
      </w:pPr>
      <w:r>
        <w:rPr>
          <w:color w:val="000000" w:themeColor="text1"/>
          <w14:textFill>
            <w14:solidFill>
              <w14:schemeClr w14:val="tx1"/>
            </w14:solidFill>
          </w14:textFill>
        </w:rPr>
        <w:t>海水水质标准 单位：mg/L（除pH值外）</w:t>
      </w:r>
    </w:p>
    <w:tbl>
      <w:tblPr>
        <w:tblStyle w:val="43"/>
        <w:tblW w:w="9042"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455"/>
        <w:gridCol w:w="2369"/>
        <w:gridCol w:w="1698"/>
        <w:gridCol w:w="1506"/>
        <w:gridCol w:w="1508"/>
        <w:gridCol w:w="1506"/>
      </w:tblGrid>
      <w:tr w14:paraId="6E03ABF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trPr>
        <w:tc>
          <w:tcPr>
            <w:tcW w:w="455" w:type="dxa"/>
            <w:vMerge w:val="restart"/>
            <w:vAlign w:val="center"/>
          </w:tcPr>
          <w:p w14:paraId="3910BD3D">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序号</w:t>
            </w:r>
          </w:p>
        </w:tc>
        <w:tc>
          <w:tcPr>
            <w:tcW w:w="2369" w:type="dxa"/>
            <w:vMerge w:val="restart"/>
            <w:vAlign w:val="center"/>
          </w:tcPr>
          <w:p w14:paraId="126B3C13">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项目</w:t>
            </w:r>
          </w:p>
        </w:tc>
        <w:tc>
          <w:tcPr>
            <w:tcW w:w="6218" w:type="dxa"/>
            <w:gridSpan w:val="4"/>
            <w:vAlign w:val="center"/>
          </w:tcPr>
          <w:p w14:paraId="036E0B5E">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海水水质标准</w:t>
            </w:r>
          </w:p>
        </w:tc>
      </w:tr>
      <w:tr w14:paraId="75F69B9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trPr>
        <w:tc>
          <w:tcPr>
            <w:tcW w:w="455" w:type="dxa"/>
            <w:vMerge w:val="continue"/>
            <w:vAlign w:val="center"/>
          </w:tcPr>
          <w:p w14:paraId="3EBC5887">
            <w:pPr>
              <w:pStyle w:val="70"/>
              <w:rPr>
                <w:b/>
                <w:bCs/>
                <w:color w:val="000000" w:themeColor="text1"/>
                <w14:textFill>
                  <w14:solidFill>
                    <w14:schemeClr w14:val="tx1"/>
                  </w14:solidFill>
                </w14:textFill>
              </w:rPr>
            </w:pPr>
          </w:p>
        </w:tc>
        <w:tc>
          <w:tcPr>
            <w:tcW w:w="2369" w:type="dxa"/>
            <w:vMerge w:val="continue"/>
            <w:vAlign w:val="center"/>
          </w:tcPr>
          <w:p w14:paraId="407851EE">
            <w:pPr>
              <w:pStyle w:val="70"/>
              <w:rPr>
                <w:b/>
                <w:bCs/>
                <w:color w:val="000000" w:themeColor="text1"/>
                <w14:textFill>
                  <w14:solidFill>
                    <w14:schemeClr w14:val="tx1"/>
                  </w14:solidFill>
                </w14:textFill>
              </w:rPr>
            </w:pPr>
          </w:p>
        </w:tc>
        <w:tc>
          <w:tcPr>
            <w:tcW w:w="1698" w:type="dxa"/>
            <w:vAlign w:val="center"/>
          </w:tcPr>
          <w:p w14:paraId="29182F03">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第一类</w:t>
            </w:r>
          </w:p>
        </w:tc>
        <w:tc>
          <w:tcPr>
            <w:tcW w:w="1506" w:type="dxa"/>
            <w:vAlign w:val="center"/>
          </w:tcPr>
          <w:p w14:paraId="336042A6">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第二类</w:t>
            </w:r>
          </w:p>
        </w:tc>
        <w:tc>
          <w:tcPr>
            <w:tcW w:w="1508" w:type="dxa"/>
            <w:vAlign w:val="center"/>
          </w:tcPr>
          <w:p w14:paraId="55E95AF8">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第三类</w:t>
            </w:r>
          </w:p>
        </w:tc>
        <w:tc>
          <w:tcPr>
            <w:tcW w:w="1506" w:type="dxa"/>
            <w:vAlign w:val="center"/>
          </w:tcPr>
          <w:p w14:paraId="25C3C6D6">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第四类</w:t>
            </w:r>
          </w:p>
        </w:tc>
      </w:tr>
      <w:tr w14:paraId="6791650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55" w:type="dxa"/>
            <w:vAlign w:val="center"/>
          </w:tcPr>
          <w:p w14:paraId="65219A09">
            <w:pPr>
              <w:pStyle w:val="70"/>
              <w:numPr>
                <w:ilvl w:val="0"/>
                <w:numId w:val="12"/>
              </w:numPr>
              <w:rPr>
                <w:color w:val="000000" w:themeColor="text1"/>
                <w14:textFill>
                  <w14:solidFill>
                    <w14:schemeClr w14:val="tx1"/>
                  </w14:solidFill>
                </w14:textFill>
              </w:rPr>
            </w:pPr>
          </w:p>
        </w:tc>
        <w:tc>
          <w:tcPr>
            <w:tcW w:w="2369" w:type="dxa"/>
            <w:vAlign w:val="center"/>
          </w:tcPr>
          <w:p w14:paraId="0FFAB43A">
            <w:pPr>
              <w:pStyle w:val="70"/>
              <w:rPr>
                <w:color w:val="000000" w:themeColor="text1"/>
                <w14:textFill>
                  <w14:solidFill>
                    <w14:schemeClr w14:val="tx1"/>
                  </w14:solidFill>
                </w14:textFill>
              </w:rPr>
            </w:pPr>
            <w:r>
              <w:rPr>
                <w:color w:val="000000" w:themeColor="text1"/>
                <w14:textFill>
                  <w14:solidFill>
                    <w14:schemeClr w14:val="tx1"/>
                  </w14:solidFill>
                </w14:textFill>
              </w:rPr>
              <w:t>水文</w:t>
            </w:r>
          </w:p>
        </w:tc>
        <w:tc>
          <w:tcPr>
            <w:tcW w:w="3204" w:type="dxa"/>
            <w:gridSpan w:val="2"/>
            <w:vAlign w:val="center"/>
          </w:tcPr>
          <w:p w14:paraId="0EF57965">
            <w:pPr>
              <w:pStyle w:val="70"/>
              <w:rPr>
                <w:color w:val="000000" w:themeColor="text1"/>
                <w14:textFill>
                  <w14:solidFill>
                    <w14:schemeClr w14:val="tx1"/>
                  </w14:solidFill>
                </w14:textFill>
              </w:rPr>
            </w:pPr>
            <w:r>
              <w:rPr>
                <w:color w:val="000000" w:themeColor="text1"/>
                <w14:textFill>
                  <w14:solidFill>
                    <w14:schemeClr w14:val="tx1"/>
                  </w14:solidFill>
                </w14:textFill>
              </w:rPr>
              <w:t>人为造成当地水温升高夏季不</w:t>
            </w:r>
          </w:p>
          <w:p w14:paraId="3B1B50D5">
            <w:pPr>
              <w:pStyle w:val="70"/>
              <w:rPr>
                <w:color w:val="000000" w:themeColor="text1"/>
                <w14:textFill>
                  <w14:solidFill>
                    <w14:schemeClr w14:val="tx1"/>
                  </w14:solidFill>
                </w14:textFill>
              </w:rPr>
            </w:pPr>
            <w:r>
              <w:rPr>
                <w:color w:val="000000" w:themeColor="text1"/>
                <w14:textFill>
                  <w14:solidFill>
                    <w14:schemeClr w14:val="tx1"/>
                  </w14:solidFill>
                </w14:textFill>
              </w:rPr>
              <w:t>超过1℃，其他季节不超过2℃</w:t>
            </w:r>
          </w:p>
        </w:tc>
        <w:tc>
          <w:tcPr>
            <w:tcW w:w="3014" w:type="dxa"/>
            <w:gridSpan w:val="2"/>
            <w:vAlign w:val="center"/>
          </w:tcPr>
          <w:p w14:paraId="5AF5E39E">
            <w:pPr>
              <w:pStyle w:val="70"/>
              <w:rPr>
                <w:color w:val="000000" w:themeColor="text1"/>
                <w14:textFill>
                  <w14:solidFill>
                    <w14:schemeClr w14:val="tx1"/>
                  </w14:solidFill>
                </w14:textFill>
              </w:rPr>
            </w:pPr>
            <w:r>
              <w:rPr>
                <w:color w:val="000000" w:themeColor="text1"/>
                <w14:textFill>
                  <w14:solidFill>
                    <w14:schemeClr w14:val="tx1"/>
                  </w14:solidFill>
                </w14:textFill>
              </w:rPr>
              <w:t>人为造成当地水温升不超过4℃</w:t>
            </w:r>
          </w:p>
        </w:tc>
      </w:tr>
      <w:tr w14:paraId="636EF5D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55" w:type="dxa"/>
            <w:vAlign w:val="center"/>
          </w:tcPr>
          <w:p w14:paraId="73B5643F">
            <w:pPr>
              <w:pStyle w:val="70"/>
              <w:numPr>
                <w:ilvl w:val="0"/>
                <w:numId w:val="12"/>
              </w:numPr>
              <w:rPr>
                <w:color w:val="000000" w:themeColor="text1"/>
                <w14:textFill>
                  <w14:solidFill>
                    <w14:schemeClr w14:val="tx1"/>
                  </w14:solidFill>
                </w14:textFill>
              </w:rPr>
            </w:pPr>
          </w:p>
        </w:tc>
        <w:tc>
          <w:tcPr>
            <w:tcW w:w="2369" w:type="dxa"/>
            <w:vAlign w:val="center"/>
          </w:tcPr>
          <w:p w14:paraId="6085FB9E">
            <w:pPr>
              <w:pStyle w:val="70"/>
              <w:rPr>
                <w:color w:val="000000" w:themeColor="text1"/>
                <w14:textFill>
                  <w14:solidFill>
                    <w14:schemeClr w14:val="tx1"/>
                  </w14:solidFill>
                </w14:textFill>
              </w:rPr>
            </w:pPr>
            <w:r>
              <w:rPr>
                <w:color w:val="000000" w:themeColor="text1"/>
                <w14:textFill>
                  <w14:solidFill>
                    <w14:schemeClr w14:val="tx1"/>
                  </w14:solidFill>
                </w14:textFill>
              </w:rPr>
              <w:t>pH值</w:t>
            </w:r>
          </w:p>
        </w:tc>
        <w:tc>
          <w:tcPr>
            <w:tcW w:w="3204" w:type="dxa"/>
            <w:gridSpan w:val="2"/>
            <w:vAlign w:val="center"/>
          </w:tcPr>
          <w:p w14:paraId="0BCE258B">
            <w:pPr>
              <w:pStyle w:val="70"/>
              <w:rPr>
                <w:color w:val="000000" w:themeColor="text1"/>
                <w14:textFill>
                  <w14:solidFill>
                    <w14:schemeClr w14:val="tx1"/>
                  </w14:solidFill>
                </w14:textFill>
              </w:rPr>
            </w:pPr>
            <w:r>
              <w:rPr>
                <w:color w:val="000000" w:themeColor="text1"/>
                <w14:textFill>
                  <w14:solidFill>
                    <w14:schemeClr w14:val="tx1"/>
                  </w14:solidFill>
                </w14:textFill>
              </w:rPr>
              <w:t>7.8～8.5，同时不超出该海域</w:t>
            </w:r>
          </w:p>
          <w:p w14:paraId="7B344DB4">
            <w:pPr>
              <w:pStyle w:val="70"/>
              <w:rPr>
                <w:color w:val="000000" w:themeColor="text1"/>
                <w14:textFill>
                  <w14:solidFill>
                    <w14:schemeClr w14:val="tx1"/>
                  </w14:solidFill>
                </w14:textFill>
              </w:rPr>
            </w:pPr>
            <w:r>
              <w:rPr>
                <w:color w:val="000000" w:themeColor="text1"/>
                <w14:textFill>
                  <w14:solidFill>
                    <w14:schemeClr w14:val="tx1"/>
                  </w14:solidFill>
                </w14:textFill>
              </w:rPr>
              <w:t>正常变动范围的0.2pH 单位</w:t>
            </w:r>
          </w:p>
        </w:tc>
        <w:tc>
          <w:tcPr>
            <w:tcW w:w="3014" w:type="dxa"/>
            <w:gridSpan w:val="2"/>
            <w:vAlign w:val="center"/>
          </w:tcPr>
          <w:p w14:paraId="03E416DF">
            <w:pPr>
              <w:pStyle w:val="70"/>
              <w:rPr>
                <w:color w:val="000000" w:themeColor="text1"/>
                <w14:textFill>
                  <w14:solidFill>
                    <w14:schemeClr w14:val="tx1"/>
                  </w14:solidFill>
                </w14:textFill>
              </w:rPr>
            </w:pPr>
            <w:r>
              <w:rPr>
                <w:color w:val="000000" w:themeColor="text1"/>
                <w14:textFill>
                  <w14:solidFill>
                    <w14:schemeClr w14:val="tx1"/>
                  </w14:solidFill>
                </w14:textFill>
              </w:rPr>
              <w:t>6.8～8.8，同时不超出该海域</w:t>
            </w:r>
          </w:p>
          <w:p w14:paraId="3E20BB8B">
            <w:pPr>
              <w:pStyle w:val="70"/>
              <w:rPr>
                <w:color w:val="000000" w:themeColor="text1"/>
                <w14:textFill>
                  <w14:solidFill>
                    <w14:schemeClr w14:val="tx1"/>
                  </w14:solidFill>
                </w14:textFill>
              </w:rPr>
            </w:pPr>
            <w:r>
              <w:rPr>
                <w:color w:val="000000" w:themeColor="text1"/>
                <w14:textFill>
                  <w14:solidFill>
                    <w14:schemeClr w14:val="tx1"/>
                  </w14:solidFill>
                </w14:textFill>
              </w:rPr>
              <w:t>正常变动范围的0.5pH 单位</w:t>
            </w:r>
          </w:p>
        </w:tc>
      </w:tr>
      <w:tr w14:paraId="3A05650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55" w:type="dxa"/>
            <w:vAlign w:val="center"/>
          </w:tcPr>
          <w:p w14:paraId="146401B9">
            <w:pPr>
              <w:pStyle w:val="70"/>
              <w:numPr>
                <w:ilvl w:val="0"/>
                <w:numId w:val="12"/>
              </w:numPr>
              <w:rPr>
                <w:color w:val="000000" w:themeColor="text1"/>
                <w14:textFill>
                  <w14:solidFill>
                    <w14:schemeClr w14:val="tx1"/>
                  </w14:solidFill>
                </w14:textFill>
              </w:rPr>
            </w:pPr>
          </w:p>
        </w:tc>
        <w:tc>
          <w:tcPr>
            <w:tcW w:w="2369" w:type="dxa"/>
            <w:vAlign w:val="center"/>
          </w:tcPr>
          <w:p w14:paraId="337F22EB">
            <w:pPr>
              <w:pStyle w:val="70"/>
              <w:rPr>
                <w:color w:val="000000" w:themeColor="text1"/>
                <w14:textFill>
                  <w14:solidFill>
                    <w14:schemeClr w14:val="tx1"/>
                  </w14:solidFill>
                </w14:textFill>
              </w:rPr>
            </w:pPr>
            <w:r>
              <w:rPr>
                <w:color w:val="000000" w:themeColor="text1"/>
                <w14:textFill>
                  <w14:solidFill>
                    <w14:schemeClr w14:val="tx1"/>
                  </w14:solidFill>
                </w14:textFill>
              </w:rPr>
              <w:t>悬浮物</w:t>
            </w:r>
          </w:p>
        </w:tc>
        <w:tc>
          <w:tcPr>
            <w:tcW w:w="3204" w:type="dxa"/>
            <w:gridSpan w:val="2"/>
            <w:vAlign w:val="center"/>
          </w:tcPr>
          <w:p w14:paraId="5E4A51EC">
            <w:pPr>
              <w:pStyle w:val="70"/>
              <w:rPr>
                <w:color w:val="000000" w:themeColor="text1"/>
                <w14:textFill>
                  <w14:solidFill>
                    <w14:schemeClr w14:val="tx1"/>
                  </w14:solidFill>
                </w14:textFill>
              </w:rPr>
            </w:pPr>
            <w:r>
              <w:rPr>
                <w:color w:val="000000" w:themeColor="text1"/>
                <w14:textFill>
                  <w14:solidFill>
                    <w14:schemeClr w14:val="tx1"/>
                  </w14:solidFill>
                </w14:textFill>
              </w:rPr>
              <w:t>人为增加的量≤10</w:t>
            </w:r>
          </w:p>
        </w:tc>
        <w:tc>
          <w:tcPr>
            <w:tcW w:w="1508" w:type="dxa"/>
            <w:vAlign w:val="center"/>
          </w:tcPr>
          <w:p w14:paraId="0A1F098F">
            <w:pPr>
              <w:pStyle w:val="70"/>
              <w:rPr>
                <w:color w:val="000000" w:themeColor="text1"/>
                <w14:textFill>
                  <w14:solidFill>
                    <w14:schemeClr w14:val="tx1"/>
                  </w14:solidFill>
                </w14:textFill>
              </w:rPr>
            </w:pPr>
            <w:r>
              <w:rPr>
                <w:color w:val="000000" w:themeColor="text1"/>
                <w14:textFill>
                  <w14:solidFill>
                    <w14:schemeClr w14:val="tx1"/>
                  </w14:solidFill>
                </w14:textFill>
              </w:rPr>
              <w:t>人为增加的量≤100</w:t>
            </w:r>
          </w:p>
        </w:tc>
        <w:tc>
          <w:tcPr>
            <w:tcW w:w="1506" w:type="dxa"/>
            <w:vAlign w:val="center"/>
          </w:tcPr>
          <w:p w14:paraId="7A7A09F2">
            <w:pPr>
              <w:pStyle w:val="70"/>
              <w:rPr>
                <w:color w:val="000000" w:themeColor="text1"/>
                <w14:textFill>
                  <w14:solidFill>
                    <w14:schemeClr w14:val="tx1"/>
                  </w14:solidFill>
                </w14:textFill>
              </w:rPr>
            </w:pPr>
            <w:r>
              <w:rPr>
                <w:color w:val="000000" w:themeColor="text1"/>
                <w14:textFill>
                  <w14:solidFill>
                    <w14:schemeClr w14:val="tx1"/>
                  </w14:solidFill>
                </w14:textFill>
              </w:rPr>
              <w:t>人为增加的量≤150</w:t>
            </w:r>
          </w:p>
        </w:tc>
      </w:tr>
      <w:tr w14:paraId="0D9E908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55" w:type="dxa"/>
            <w:vAlign w:val="center"/>
          </w:tcPr>
          <w:p w14:paraId="461857D1">
            <w:pPr>
              <w:pStyle w:val="70"/>
              <w:numPr>
                <w:ilvl w:val="0"/>
                <w:numId w:val="12"/>
              </w:numPr>
              <w:rPr>
                <w:color w:val="000000" w:themeColor="text1"/>
                <w14:textFill>
                  <w14:solidFill>
                    <w14:schemeClr w14:val="tx1"/>
                  </w14:solidFill>
                </w14:textFill>
              </w:rPr>
            </w:pPr>
          </w:p>
        </w:tc>
        <w:tc>
          <w:tcPr>
            <w:tcW w:w="2369" w:type="dxa"/>
            <w:vAlign w:val="center"/>
          </w:tcPr>
          <w:p w14:paraId="1840857E">
            <w:pPr>
              <w:pStyle w:val="70"/>
              <w:rPr>
                <w:color w:val="000000" w:themeColor="text1"/>
                <w14:textFill>
                  <w14:solidFill>
                    <w14:schemeClr w14:val="tx1"/>
                  </w14:solidFill>
                </w14:textFill>
              </w:rPr>
            </w:pPr>
            <w:r>
              <w:rPr>
                <w:color w:val="000000" w:themeColor="text1"/>
                <w14:textFill>
                  <w14:solidFill>
                    <w14:schemeClr w14:val="tx1"/>
                  </w14:solidFill>
                </w14:textFill>
              </w:rPr>
              <w:t>溶解氧</w:t>
            </w:r>
          </w:p>
        </w:tc>
        <w:tc>
          <w:tcPr>
            <w:tcW w:w="1698" w:type="dxa"/>
            <w:vAlign w:val="center"/>
          </w:tcPr>
          <w:p w14:paraId="5D1105EA">
            <w:pPr>
              <w:pStyle w:val="70"/>
              <w:rPr>
                <w:color w:val="000000" w:themeColor="text1"/>
                <w14:textFill>
                  <w14:solidFill>
                    <w14:schemeClr w14:val="tx1"/>
                  </w14:solidFill>
                </w14:textFill>
              </w:rPr>
            </w:pPr>
            <w:r>
              <w:rPr>
                <w:color w:val="000000" w:themeColor="text1"/>
                <w14:textFill>
                  <w14:solidFill>
                    <w14:schemeClr w14:val="tx1"/>
                  </w14:solidFill>
                </w14:textFill>
              </w:rPr>
              <w:t>6</w:t>
            </w:r>
          </w:p>
        </w:tc>
        <w:tc>
          <w:tcPr>
            <w:tcW w:w="1506" w:type="dxa"/>
            <w:vAlign w:val="center"/>
          </w:tcPr>
          <w:p w14:paraId="2FA01B28">
            <w:pPr>
              <w:pStyle w:val="70"/>
              <w:rPr>
                <w:color w:val="000000" w:themeColor="text1"/>
                <w14:textFill>
                  <w14:solidFill>
                    <w14:schemeClr w14:val="tx1"/>
                  </w14:solidFill>
                </w14:textFill>
              </w:rPr>
            </w:pPr>
            <w:r>
              <w:rPr>
                <w:color w:val="000000" w:themeColor="text1"/>
                <w14:textFill>
                  <w14:solidFill>
                    <w14:schemeClr w14:val="tx1"/>
                  </w14:solidFill>
                </w14:textFill>
              </w:rPr>
              <w:t>5</w:t>
            </w:r>
          </w:p>
        </w:tc>
        <w:tc>
          <w:tcPr>
            <w:tcW w:w="1508" w:type="dxa"/>
            <w:vAlign w:val="center"/>
          </w:tcPr>
          <w:p w14:paraId="368F9126">
            <w:pPr>
              <w:pStyle w:val="70"/>
              <w:rPr>
                <w:color w:val="000000" w:themeColor="text1"/>
                <w14:textFill>
                  <w14:solidFill>
                    <w14:schemeClr w14:val="tx1"/>
                  </w14:solidFill>
                </w14:textFill>
              </w:rPr>
            </w:pPr>
            <w:r>
              <w:rPr>
                <w:color w:val="000000" w:themeColor="text1"/>
                <w14:textFill>
                  <w14:solidFill>
                    <w14:schemeClr w14:val="tx1"/>
                  </w14:solidFill>
                </w14:textFill>
              </w:rPr>
              <w:t>4</w:t>
            </w:r>
          </w:p>
        </w:tc>
        <w:tc>
          <w:tcPr>
            <w:tcW w:w="1506" w:type="dxa"/>
            <w:vAlign w:val="center"/>
          </w:tcPr>
          <w:p w14:paraId="43885B52">
            <w:pPr>
              <w:pStyle w:val="70"/>
              <w:rPr>
                <w:color w:val="000000" w:themeColor="text1"/>
                <w14:textFill>
                  <w14:solidFill>
                    <w14:schemeClr w14:val="tx1"/>
                  </w14:solidFill>
                </w14:textFill>
              </w:rPr>
            </w:pPr>
            <w:r>
              <w:rPr>
                <w:color w:val="000000" w:themeColor="text1"/>
                <w14:textFill>
                  <w14:solidFill>
                    <w14:schemeClr w14:val="tx1"/>
                  </w14:solidFill>
                </w14:textFill>
              </w:rPr>
              <w:t>3</w:t>
            </w:r>
          </w:p>
        </w:tc>
      </w:tr>
      <w:tr w14:paraId="74CD36F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55" w:type="dxa"/>
            <w:vAlign w:val="center"/>
          </w:tcPr>
          <w:p w14:paraId="6110ACBF">
            <w:pPr>
              <w:pStyle w:val="70"/>
              <w:numPr>
                <w:ilvl w:val="0"/>
                <w:numId w:val="12"/>
              </w:numPr>
              <w:rPr>
                <w:color w:val="000000" w:themeColor="text1"/>
                <w14:textFill>
                  <w14:solidFill>
                    <w14:schemeClr w14:val="tx1"/>
                  </w14:solidFill>
                </w14:textFill>
              </w:rPr>
            </w:pPr>
          </w:p>
        </w:tc>
        <w:tc>
          <w:tcPr>
            <w:tcW w:w="2369" w:type="dxa"/>
            <w:vAlign w:val="center"/>
          </w:tcPr>
          <w:p w14:paraId="4A6688C5">
            <w:pPr>
              <w:pStyle w:val="70"/>
              <w:rPr>
                <w:color w:val="000000" w:themeColor="text1"/>
                <w14:textFill>
                  <w14:solidFill>
                    <w14:schemeClr w14:val="tx1"/>
                  </w14:solidFill>
                </w14:textFill>
              </w:rPr>
            </w:pPr>
            <w:r>
              <w:rPr>
                <w:color w:val="000000" w:themeColor="text1"/>
                <w14:textFill>
                  <w14:solidFill>
                    <w14:schemeClr w14:val="tx1"/>
                  </w14:solidFill>
                </w14:textFill>
              </w:rPr>
              <w:t>化学需氧量</w:t>
            </w:r>
          </w:p>
        </w:tc>
        <w:tc>
          <w:tcPr>
            <w:tcW w:w="1698" w:type="dxa"/>
            <w:vAlign w:val="center"/>
          </w:tcPr>
          <w:p w14:paraId="39520C56">
            <w:pPr>
              <w:pStyle w:val="70"/>
              <w:rPr>
                <w:color w:val="000000" w:themeColor="text1"/>
                <w14:textFill>
                  <w14:solidFill>
                    <w14:schemeClr w14:val="tx1"/>
                  </w14:solidFill>
                </w14:textFill>
              </w:rPr>
            </w:pPr>
            <w:r>
              <w:rPr>
                <w:color w:val="000000" w:themeColor="text1"/>
                <w14:textFill>
                  <w14:solidFill>
                    <w14:schemeClr w14:val="tx1"/>
                  </w14:solidFill>
                </w14:textFill>
              </w:rPr>
              <w:t>2</w:t>
            </w:r>
          </w:p>
        </w:tc>
        <w:tc>
          <w:tcPr>
            <w:tcW w:w="1506" w:type="dxa"/>
            <w:vAlign w:val="center"/>
          </w:tcPr>
          <w:p w14:paraId="4FE01114">
            <w:pPr>
              <w:pStyle w:val="70"/>
              <w:rPr>
                <w:color w:val="000000" w:themeColor="text1"/>
                <w14:textFill>
                  <w14:solidFill>
                    <w14:schemeClr w14:val="tx1"/>
                  </w14:solidFill>
                </w14:textFill>
              </w:rPr>
            </w:pPr>
            <w:r>
              <w:rPr>
                <w:color w:val="000000" w:themeColor="text1"/>
                <w14:textFill>
                  <w14:solidFill>
                    <w14:schemeClr w14:val="tx1"/>
                  </w14:solidFill>
                </w14:textFill>
              </w:rPr>
              <w:t>3</w:t>
            </w:r>
          </w:p>
        </w:tc>
        <w:tc>
          <w:tcPr>
            <w:tcW w:w="1508" w:type="dxa"/>
            <w:vAlign w:val="center"/>
          </w:tcPr>
          <w:p w14:paraId="5A652018">
            <w:pPr>
              <w:pStyle w:val="70"/>
              <w:rPr>
                <w:color w:val="000000" w:themeColor="text1"/>
                <w14:textFill>
                  <w14:solidFill>
                    <w14:schemeClr w14:val="tx1"/>
                  </w14:solidFill>
                </w14:textFill>
              </w:rPr>
            </w:pPr>
            <w:r>
              <w:rPr>
                <w:color w:val="000000" w:themeColor="text1"/>
                <w14:textFill>
                  <w14:solidFill>
                    <w14:schemeClr w14:val="tx1"/>
                  </w14:solidFill>
                </w14:textFill>
              </w:rPr>
              <w:t>4</w:t>
            </w:r>
          </w:p>
        </w:tc>
        <w:tc>
          <w:tcPr>
            <w:tcW w:w="1506" w:type="dxa"/>
            <w:vAlign w:val="center"/>
          </w:tcPr>
          <w:p w14:paraId="2B6916BE">
            <w:pPr>
              <w:pStyle w:val="70"/>
              <w:rPr>
                <w:color w:val="000000" w:themeColor="text1"/>
                <w14:textFill>
                  <w14:solidFill>
                    <w14:schemeClr w14:val="tx1"/>
                  </w14:solidFill>
                </w14:textFill>
              </w:rPr>
            </w:pPr>
            <w:r>
              <w:rPr>
                <w:color w:val="000000" w:themeColor="text1"/>
                <w14:textFill>
                  <w14:solidFill>
                    <w14:schemeClr w14:val="tx1"/>
                  </w14:solidFill>
                </w14:textFill>
              </w:rPr>
              <w:t>5</w:t>
            </w:r>
          </w:p>
        </w:tc>
      </w:tr>
      <w:tr w14:paraId="28E3248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55" w:type="dxa"/>
            <w:vAlign w:val="center"/>
          </w:tcPr>
          <w:p w14:paraId="34AC68F9">
            <w:pPr>
              <w:pStyle w:val="70"/>
              <w:numPr>
                <w:ilvl w:val="0"/>
                <w:numId w:val="12"/>
              </w:numPr>
              <w:rPr>
                <w:color w:val="000000" w:themeColor="text1"/>
                <w14:textFill>
                  <w14:solidFill>
                    <w14:schemeClr w14:val="tx1"/>
                  </w14:solidFill>
                </w14:textFill>
              </w:rPr>
            </w:pPr>
          </w:p>
        </w:tc>
        <w:tc>
          <w:tcPr>
            <w:tcW w:w="2369" w:type="dxa"/>
            <w:vAlign w:val="center"/>
          </w:tcPr>
          <w:p w14:paraId="557B2CB4">
            <w:pPr>
              <w:pStyle w:val="70"/>
              <w:rPr>
                <w:color w:val="000000" w:themeColor="text1"/>
                <w14:textFill>
                  <w14:solidFill>
                    <w14:schemeClr w14:val="tx1"/>
                  </w14:solidFill>
                </w14:textFill>
              </w:rPr>
            </w:pPr>
            <w:r>
              <w:rPr>
                <w:color w:val="000000" w:themeColor="text1"/>
                <w14:textFill>
                  <w14:solidFill>
                    <w14:schemeClr w14:val="tx1"/>
                  </w14:solidFill>
                </w14:textFill>
              </w:rPr>
              <w:t>生化需氧量</w:t>
            </w:r>
          </w:p>
        </w:tc>
        <w:tc>
          <w:tcPr>
            <w:tcW w:w="1698" w:type="dxa"/>
            <w:vAlign w:val="center"/>
          </w:tcPr>
          <w:p w14:paraId="120D08AD">
            <w:pPr>
              <w:pStyle w:val="70"/>
              <w:rPr>
                <w:color w:val="000000" w:themeColor="text1"/>
                <w14:textFill>
                  <w14:solidFill>
                    <w14:schemeClr w14:val="tx1"/>
                  </w14:solidFill>
                </w14:textFill>
              </w:rPr>
            </w:pPr>
            <w:r>
              <w:rPr>
                <w:color w:val="000000" w:themeColor="text1"/>
                <w14:textFill>
                  <w14:solidFill>
                    <w14:schemeClr w14:val="tx1"/>
                  </w14:solidFill>
                </w14:textFill>
              </w:rPr>
              <w:t>1</w:t>
            </w:r>
          </w:p>
        </w:tc>
        <w:tc>
          <w:tcPr>
            <w:tcW w:w="1506" w:type="dxa"/>
            <w:vAlign w:val="center"/>
          </w:tcPr>
          <w:p w14:paraId="52DB2940">
            <w:pPr>
              <w:pStyle w:val="70"/>
              <w:rPr>
                <w:color w:val="000000" w:themeColor="text1"/>
                <w14:textFill>
                  <w14:solidFill>
                    <w14:schemeClr w14:val="tx1"/>
                  </w14:solidFill>
                </w14:textFill>
              </w:rPr>
            </w:pPr>
            <w:r>
              <w:rPr>
                <w:color w:val="000000" w:themeColor="text1"/>
                <w14:textFill>
                  <w14:solidFill>
                    <w14:schemeClr w14:val="tx1"/>
                  </w14:solidFill>
                </w14:textFill>
              </w:rPr>
              <w:t>3</w:t>
            </w:r>
          </w:p>
        </w:tc>
        <w:tc>
          <w:tcPr>
            <w:tcW w:w="1508" w:type="dxa"/>
            <w:vAlign w:val="center"/>
          </w:tcPr>
          <w:p w14:paraId="2EACA70F">
            <w:pPr>
              <w:pStyle w:val="70"/>
              <w:rPr>
                <w:color w:val="000000" w:themeColor="text1"/>
                <w14:textFill>
                  <w14:solidFill>
                    <w14:schemeClr w14:val="tx1"/>
                  </w14:solidFill>
                </w14:textFill>
              </w:rPr>
            </w:pPr>
            <w:r>
              <w:rPr>
                <w:color w:val="000000" w:themeColor="text1"/>
                <w14:textFill>
                  <w14:solidFill>
                    <w14:schemeClr w14:val="tx1"/>
                  </w14:solidFill>
                </w14:textFill>
              </w:rPr>
              <w:t>4</w:t>
            </w:r>
          </w:p>
        </w:tc>
        <w:tc>
          <w:tcPr>
            <w:tcW w:w="1506" w:type="dxa"/>
            <w:vAlign w:val="center"/>
          </w:tcPr>
          <w:p w14:paraId="13D42C12">
            <w:pPr>
              <w:pStyle w:val="70"/>
              <w:rPr>
                <w:color w:val="000000" w:themeColor="text1"/>
                <w14:textFill>
                  <w14:solidFill>
                    <w14:schemeClr w14:val="tx1"/>
                  </w14:solidFill>
                </w14:textFill>
              </w:rPr>
            </w:pPr>
            <w:r>
              <w:rPr>
                <w:color w:val="000000" w:themeColor="text1"/>
                <w14:textFill>
                  <w14:solidFill>
                    <w14:schemeClr w14:val="tx1"/>
                  </w14:solidFill>
                </w14:textFill>
              </w:rPr>
              <w:t>5</w:t>
            </w:r>
          </w:p>
        </w:tc>
      </w:tr>
      <w:tr w14:paraId="6DBB3BE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55" w:type="dxa"/>
            <w:vAlign w:val="center"/>
          </w:tcPr>
          <w:p w14:paraId="05481042">
            <w:pPr>
              <w:pStyle w:val="70"/>
              <w:numPr>
                <w:ilvl w:val="0"/>
                <w:numId w:val="12"/>
              </w:numPr>
              <w:rPr>
                <w:color w:val="000000" w:themeColor="text1"/>
                <w14:textFill>
                  <w14:solidFill>
                    <w14:schemeClr w14:val="tx1"/>
                  </w14:solidFill>
                </w14:textFill>
              </w:rPr>
            </w:pPr>
          </w:p>
        </w:tc>
        <w:tc>
          <w:tcPr>
            <w:tcW w:w="2369" w:type="dxa"/>
            <w:vAlign w:val="center"/>
          </w:tcPr>
          <w:p w14:paraId="6F2CD8E7">
            <w:pPr>
              <w:pStyle w:val="70"/>
              <w:rPr>
                <w:color w:val="000000" w:themeColor="text1"/>
                <w14:textFill>
                  <w14:solidFill>
                    <w14:schemeClr w14:val="tx1"/>
                  </w14:solidFill>
                </w14:textFill>
              </w:rPr>
            </w:pPr>
            <w:r>
              <w:rPr>
                <w:color w:val="000000" w:themeColor="text1"/>
                <w14:textFill>
                  <w14:solidFill>
                    <w14:schemeClr w14:val="tx1"/>
                  </w14:solidFill>
                </w14:textFill>
              </w:rPr>
              <w:t>无机氮（以N计）</w:t>
            </w:r>
          </w:p>
        </w:tc>
        <w:tc>
          <w:tcPr>
            <w:tcW w:w="1698" w:type="dxa"/>
            <w:vAlign w:val="center"/>
          </w:tcPr>
          <w:p w14:paraId="613BB7B6">
            <w:pPr>
              <w:pStyle w:val="70"/>
              <w:rPr>
                <w:color w:val="000000" w:themeColor="text1"/>
                <w14:textFill>
                  <w14:solidFill>
                    <w14:schemeClr w14:val="tx1"/>
                  </w14:solidFill>
                </w14:textFill>
              </w:rPr>
            </w:pPr>
            <w:r>
              <w:rPr>
                <w:color w:val="000000" w:themeColor="text1"/>
                <w14:textFill>
                  <w14:solidFill>
                    <w14:schemeClr w14:val="tx1"/>
                  </w14:solidFill>
                </w14:textFill>
              </w:rPr>
              <w:t>0.2</w:t>
            </w:r>
          </w:p>
        </w:tc>
        <w:tc>
          <w:tcPr>
            <w:tcW w:w="1506" w:type="dxa"/>
            <w:vAlign w:val="center"/>
          </w:tcPr>
          <w:p w14:paraId="1CD5A808">
            <w:pPr>
              <w:pStyle w:val="70"/>
              <w:rPr>
                <w:color w:val="000000" w:themeColor="text1"/>
                <w14:textFill>
                  <w14:solidFill>
                    <w14:schemeClr w14:val="tx1"/>
                  </w14:solidFill>
                </w14:textFill>
              </w:rPr>
            </w:pPr>
            <w:r>
              <w:rPr>
                <w:color w:val="000000" w:themeColor="text1"/>
                <w14:textFill>
                  <w14:solidFill>
                    <w14:schemeClr w14:val="tx1"/>
                  </w14:solidFill>
                </w14:textFill>
              </w:rPr>
              <w:t>0.3</w:t>
            </w:r>
          </w:p>
        </w:tc>
        <w:tc>
          <w:tcPr>
            <w:tcW w:w="1508" w:type="dxa"/>
            <w:vAlign w:val="center"/>
          </w:tcPr>
          <w:p w14:paraId="09D95A6C">
            <w:pPr>
              <w:pStyle w:val="70"/>
              <w:rPr>
                <w:color w:val="000000" w:themeColor="text1"/>
                <w14:textFill>
                  <w14:solidFill>
                    <w14:schemeClr w14:val="tx1"/>
                  </w14:solidFill>
                </w14:textFill>
              </w:rPr>
            </w:pPr>
            <w:r>
              <w:rPr>
                <w:color w:val="000000" w:themeColor="text1"/>
                <w14:textFill>
                  <w14:solidFill>
                    <w14:schemeClr w14:val="tx1"/>
                  </w14:solidFill>
                </w14:textFill>
              </w:rPr>
              <w:t>0.4</w:t>
            </w:r>
          </w:p>
        </w:tc>
        <w:tc>
          <w:tcPr>
            <w:tcW w:w="1506" w:type="dxa"/>
            <w:vAlign w:val="center"/>
          </w:tcPr>
          <w:p w14:paraId="430563E0">
            <w:pPr>
              <w:pStyle w:val="70"/>
              <w:rPr>
                <w:color w:val="000000" w:themeColor="text1"/>
                <w14:textFill>
                  <w14:solidFill>
                    <w14:schemeClr w14:val="tx1"/>
                  </w14:solidFill>
                </w14:textFill>
              </w:rPr>
            </w:pPr>
            <w:r>
              <w:rPr>
                <w:color w:val="000000" w:themeColor="text1"/>
                <w14:textFill>
                  <w14:solidFill>
                    <w14:schemeClr w14:val="tx1"/>
                  </w14:solidFill>
                </w14:textFill>
              </w:rPr>
              <w:t>0.5</w:t>
            </w:r>
          </w:p>
        </w:tc>
      </w:tr>
      <w:tr w14:paraId="2D5616C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55" w:type="dxa"/>
            <w:vAlign w:val="center"/>
          </w:tcPr>
          <w:p w14:paraId="1E38548A">
            <w:pPr>
              <w:pStyle w:val="70"/>
              <w:numPr>
                <w:ilvl w:val="0"/>
                <w:numId w:val="12"/>
              </w:numPr>
              <w:rPr>
                <w:color w:val="000000" w:themeColor="text1"/>
                <w14:textFill>
                  <w14:solidFill>
                    <w14:schemeClr w14:val="tx1"/>
                  </w14:solidFill>
                </w14:textFill>
              </w:rPr>
            </w:pPr>
          </w:p>
        </w:tc>
        <w:tc>
          <w:tcPr>
            <w:tcW w:w="2369" w:type="dxa"/>
            <w:vAlign w:val="center"/>
          </w:tcPr>
          <w:p w14:paraId="5B084F3E">
            <w:pPr>
              <w:pStyle w:val="70"/>
              <w:rPr>
                <w:color w:val="000000" w:themeColor="text1"/>
                <w14:textFill>
                  <w14:solidFill>
                    <w14:schemeClr w14:val="tx1"/>
                  </w14:solidFill>
                </w14:textFill>
              </w:rPr>
            </w:pPr>
            <w:r>
              <w:rPr>
                <w:color w:val="000000" w:themeColor="text1"/>
                <w14:textFill>
                  <w14:solidFill>
                    <w14:schemeClr w14:val="tx1"/>
                  </w14:solidFill>
                </w14:textFill>
              </w:rPr>
              <w:t>非离子氨（以N计）</w:t>
            </w:r>
          </w:p>
        </w:tc>
        <w:tc>
          <w:tcPr>
            <w:tcW w:w="6218" w:type="dxa"/>
            <w:gridSpan w:val="4"/>
            <w:vAlign w:val="center"/>
          </w:tcPr>
          <w:p w14:paraId="3F7251DB">
            <w:pPr>
              <w:pStyle w:val="70"/>
              <w:rPr>
                <w:color w:val="000000" w:themeColor="text1"/>
                <w14:textFill>
                  <w14:solidFill>
                    <w14:schemeClr w14:val="tx1"/>
                  </w14:solidFill>
                </w14:textFill>
              </w:rPr>
            </w:pPr>
            <w:r>
              <w:rPr>
                <w:color w:val="000000" w:themeColor="text1"/>
                <w14:textFill>
                  <w14:solidFill>
                    <w14:schemeClr w14:val="tx1"/>
                  </w14:solidFill>
                </w14:textFill>
              </w:rPr>
              <w:t>0.02</w:t>
            </w:r>
          </w:p>
        </w:tc>
      </w:tr>
      <w:tr w14:paraId="1432E65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55" w:type="dxa"/>
            <w:vAlign w:val="center"/>
          </w:tcPr>
          <w:p w14:paraId="2D6A3977">
            <w:pPr>
              <w:pStyle w:val="70"/>
              <w:numPr>
                <w:ilvl w:val="0"/>
                <w:numId w:val="12"/>
              </w:numPr>
              <w:rPr>
                <w:color w:val="000000" w:themeColor="text1"/>
                <w14:textFill>
                  <w14:solidFill>
                    <w14:schemeClr w14:val="tx1"/>
                  </w14:solidFill>
                </w14:textFill>
              </w:rPr>
            </w:pPr>
          </w:p>
        </w:tc>
        <w:tc>
          <w:tcPr>
            <w:tcW w:w="2369" w:type="dxa"/>
            <w:vAlign w:val="center"/>
          </w:tcPr>
          <w:p w14:paraId="55F5EFC0">
            <w:pPr>
              <w:pStyle w:val="70"/>
              <w:rPr>
                <w:color w:val="000000" w:themeColor="text1"/>
                <w14:textFill>
                  <w14:solidFill>
                    <w14:schemeClr w14:val="tx1"/>
                  </w14:solidFill>
                </w14:textFill>
              </w:rPr>
            </w:pPr>
            <w:r>
              <w:rPr>
                <w:color w:val="000000" w:themeColor="text1"/>
                <w14:textFill>
                  <w14:solidFill>
                    <w14:schemeClr w14:val="tx1"/>
                  </w14:solidFill>
                </w14:textFill>
              </w:rPr>
              <w:t>活性磷酸盐（以P计）</w:t>
            </w:r>
          </w:p>
        </w:tc>
        <w:tc>
          <w:tcPr>
            <w:tcW w:w="1698" w:type="dxa"/>
            <w:vAlign w:val="center"/>
          </w:tcPr>
          <w:p w14:paraId="7CE483E6">
            <w:pPr>
              <w:pStyle w:val="70"/>
              <w:rPr>
                <w:color w:val="000000" w:themeColor="text1"/>
                <w14:textFill>
                  <w14:solidFill>
                    <w14:schemeClr w14:val="tx1"/>
                  </w14:solidFill>
                </w14:textFill>
              </w:rPr>
            </w:pPr>
            <w:r>
              <w:rPr>
                <w:color w:val="000000" w:themeColor="text1"/>
                <w14:textFill>
                  <w14:solidFill>
                    <w14:schemeClr w14:val="tx1"/>
                  </w14:solidFill>
                </w14:textFill>
              </w:rPr>
              <w:t>0.015</w:t>
            </w:r>
          </w:p>
        </w:tc>
        <w:tc>
          <w:tcPr>
            <w:tcW w:w="3014" w:type="dxa"/>
            <w:gridSpan w:val="2"/>
            <w:vAlign w:val="center"/>
          </w:tcPr>
          <w:p w14:paraId="5FCFD2D4">
            <w:pPr>
              <w:pStyle w:val="70"/>
              <w:rPr>
                <w:color w:val="000000" w:themeColor="text1"/>
                <w14:textFill>
                  <w14:solidFill>
                    <w14:schemeClr w14:val="tx1"/>
                  </w14:solidFill>
                </w14:textFill>
              </w:rPr>
            </w:pPr>
            <w:r>
              <w:rPr>
                <w:color w:val="000000" w:themeColor="text1"/>
                <w14:textFill>
                  <w14:solidFill>
                    <w14:schemeClr w14:val="tx1"/>
                  </w14:solidFill>
                </w14:textFill>
              </w:rPr>
              <w:t>0.03</w:t>
            </w:r>
          </w:p>
        </w:tc>
        <w:tc>
          <w:tcPr>
            <w:tcW w:w="1506" w:type="dxa"/>
            <w:vAlign w:val="center"/>
          </w:tcPr>
          <w:p w14:paraId="60326ABD">
            <w:pPr>
              <w:pStyle w:val="70"/>
              <w:rPr>
                <w:color w:val="000000" w:themeColor="text1"/>
                <w14:textFill>
                  <w14:solidFill>
                    <w14:schemeClr w14:val="tx1"/>
                  </w14:solidFill>
                </w14:textFill>
              </w:rPr>
            </w:pPr>
            <w:r>
              <w:rPr>
                <w:color w:val="000000" w:themeColor="text1"/>
                <w14:textFill>
                  <w14:solidFill>
                    <w14:schemeClr w14:val="tx1"/>
                  </w14:solidFill>
                </w14:textFill>
              </w:rPr>
              <w:t>0.045</w:t>
            </w:r>
          </w:p>
        </w:tc>
      </w:tr>
      <w:tr w14:paraId="3F1E029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55" w:type="dxa"/>
            <w:vAlign w:val="center"/>
          </w:tcPr>
          <w:p w14:paraId="3180A8A8">
            <w:pPr>
              <w:pStyle w:val="70"/>
              <w:numPr>
                <w:ilvl w:val="0"/>
                <w:numId w:val="12"/>
              </w:numPr>
              <w:rPr>
                <w:color w:val="000000" w:themeColor="text1"/>
                <w14:textFill>
                  <w14:solidFill>
                    <w14:schemeClr w14:val="tx1"/>
                  </w14:solidFill>
                </w14:textFill>
              </w:rPr>
            </w:pPr>
          </w:p>
        </w:tc>
        <w:tc>
          <w:tcPr>
            <w:tcW w:w="2369" w:type="dxa"/>
            <w:vAlign w:val="center"/>
          </w:tcPr>
          <w:p w14:paraId="7B71D584">
            <w:pPr>
              <w:pStyle w:val="70"/>
              <w:rPr>
                <w:color w:val="000000" w:themeColor="text1"/>
                <w14:textFill>
                  <w14:solidFill>
                    <w14:schemeClr w14:val="tx1"/>
                  </w14:solidFill>
                </w14:textFill>
              </w:rPr>
            </w:pPr>
            <w:r>
              <w:rPr>
                <w:color w:val="000000" w:themeColor="text1"/>
                <w14:textFill>
                  <w14:solidFill>
                    <w14:schemeClr w14:val="tx1"/>
                  </w14:solidFill>
                </w14:textFill>
              </w:rPr>
              <w:t>石油类</w:t>
            </w:r>
          </w:p>
        </w:tc>
        <w:tc>
          <w:tcPr>
            <w:tcW w:w="3204" w:type="dxa"/>
            <w:gridSpan w:val="2"/>
            <w:vAlign w:val="center"/>
          </w:tcPr>
          <w:p w14:paraId="3F80908E">
            <w:pPr>
              <w:pStyle w:val="70"/>
              <w:rPr>
                <w:color w:val="000000" w:themeColor="text1"/>
                <w14:textFill>
                  <w14:solidFill>
                    <w14:schemeClr w14:val="tx1"/>
                  </w14:solidFill>
                </w14:textFill>
              </w:rPr>
            </w:pPr>
            <w:r>
              <w:rPr>
                <w:color w:val="000000" w:themeColor="text1"/>
                <w14:textFill>
                  <w14:solidFill>
                    <w14:schemeClr w14:val="tx1"/>
                  </w14:solidFill>
                </w14:textFill>
              </w:rPr>
              <w:t>0.05</w:t>
            </w:r>
          </w:p>
        </w:tc>
        <w:tc>
          <w:tcPr>
            <w:tcW w:w="1508" w:type="dxa"/>
            <w:vAlign w:val="center"/>
          </w:tcPr>
          <w:p w14:paraId="462BA123">
            <w:pPr>
              <w:pStyle w:val="70"/>
              <w:rPr>
                <w:color w:val="000000" w:themeColor="text1"/>
                <w14:textFill>
                  <w14:solidFill>
                    <w14:schemeClr w14:val="tx1"/>
                  </w14:solidFill>
                </w14:textFill>
              </w:rPr>
            </w:pPr>
            <w:r>
              <w:rPr>
                <w:color w:val="000000" w:themeColor="text1"/>
                <w14:textFill>
                  <w14:solidFill>
                    <w14:schemeClr w14:val="tx1"/>
                  </w14:solidFill>
                </w14:textFill>
              </w:rPr>
              <w:t>0.3</w:t>
            </w:r>
          </w:p>
        </w:tc>
        <w:tc>
          <w:tcPr>
            <w:tcW w:w="1506" w:type="dxa"/>
            <w:vAlign w:val="center"/>
          </w:tcPr>
          <w:p w14:paraId="36530E82">
            <w:pPr>
              <w:pStyle w:val="70"/>
              <w:rPr>
                <w:color w:val="000000" w:themeColor="text1"/>
                <w14:textFill>
                  <w14:solidFill>
                    <w14:schemeClr w14:val="tx1"/>
                  </w14:solidFill>
                </w14:textFill>
              </w:rPr>
            </w:pPr>
            <w:r>
              <w:rPr>
                <w:color w:val="000000" w:themeColor="text1"/>
                <w14:textFill>
                  <w14:solidFill>
                    <w14:schemeClr w14:val="tx1"/>
                  </w14:solidFill>
                </w14:textFill>
              </w:rPr>
              <w:t>0.5</w:t>
            </w:r>
          </w:p>
        </w:tc>
      </w:tr>
      <w:tr w14:paraId="2A90E64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55" w:type="dxa"/>
            <w:vAlign w:val="center"/>
          </w:tcPr>
          <w:p w14:paraId="486768F0">
            <w:pPr>
              <w:pStyle w:val="70"/>
              <w:numPr>
                <w:ilvl w:val="0"/>
                <w:numId w:val="12"/>
              </w:numPr>
              <w:rPr>
                <w:color w:val="000000" w:themeColor="text1"/>
                <w14:textFill>
                  <w14:solidFill>
                    <w14:schemeClr w14:val="tx1"/>
                  </w14:solidFill>
                </w14:textFill>
              </w:rPr>
            </w:pPr>
          </w:p>
        </w:tc>
        <w:tc>
          <w:tcPr>
            <w:tcW w:w="2369" w:type="dxa"/>
            <w:vAlign w:val="center"/>
          </w:tcPr>
          <w:p w14:paraId="66F69583">
            <w:pPr>
              <w:pStyle w:val="70"/>
              <w:rPr>
                <w:color w:val="000000" w:themeColor="text1"/>
                <w14:textFill>
                  <w14:solidFill>
                    <w14:schemeClr w14:val="tx1"/>
                  </w14:solidFill>
                </w14:textFill>
              </w:rPr>
            </w:pPr>
            <w:r>
              <w:rPr>
                <w:color w:val="000000" w:themeColor="text1"/>
                <w14:textFill>
                  <w14:solidFill>
                    <w14:schemeClr w14:val="tx1"/>
                  </w14:solidFill>
                </w14:textFill>
              </w:rPr>
              <w:t>汞</w:t>
            </w:r>
          </w:p>
        </w:tc>
        <w:tc>
          <w:tcPr>
            <w:tcW w:w="1698" w:type="dxa"/>
            <w:vAlign w:val="center"/>
          </w:tcPr>
          <w:p w14:paraId="5B1AB16A">
            <w:pPr>
              <w:pStyle w:val="70"/>
              <w:rPr>
                <w:color w:val="000000" w:themeColor="text1"/>
                <w14:textFill>
                  <w14:solidFill>
                    <w14:schemeClr w14:val="tx1"/>
                  </w14:solidFill>
                </w14:textFill>
              </w:rPr>
            </w:pPr>
            <w:r>
              <w:rPr>
                <w:color w:val="000000" w:themeColor="text1"/>
                <w14:textFill>
                  <w14:solidFill>
                    <w14:schemeClr w14:val="tx1"/>
                  </w14:solidFill>
                </w14:textFill>
              </w:rPr>
              <w:t>0.00005</w:t>
            </w:r>
          </w:p>
        </w:tc>
        <w:tc>
          <w:tcPr>
            <w:tcW w:w="3014" w:type="dxa"/>
            <w:gridSpan w:val="2"/>
            <w:vAlign w:val="center"/>
          </w:tcPr>
          <w:p w14:paraId="602814CD">
            <w:pPr>
              <w:pStyle w:val="70"/>
              <w:rPr>
                <w:color w:val="000000" w:themeColor="text1"/>
                <w14:textFill>
                  <w14:solidFill>
                    <w14:schemeClr w14:val="tx1"/>
                  </w14:solidFill>
                </w14:textFill>
              </w:rPr>
            </w:pPr>
            <w:r>
              <w:rPr>
                <w:color w:val="000000" w:themeColor="text1"/>
                <w14:textFill>
                  <w14:solidFill>
                    <w14:schemeClr w14:val="tx1"/>
                  </w14:solidFill>
                </w14:textFill>
              </w:rPr>
              <w:t>0.0002</w:t>
            </w:r>
          </w:p>
        </w:tc>
        <w:tc>
          <w:tcPr>
            <w:tcW w:w="1506" w:type="dxa"/>
            <w:vAlign w:val="center"/>
          </w:tcPr>
          <w:p w14:paraId="7A46EAE5">
            <w:pPr>
              <w:pStyle w:val="70"/>
              <w:rPr>
                <w:color w:val="000000" w:themeColor="text1"/>
                <w14:textFill>
                  <w14:solidFill>
                    <w14:schemeClr w14:val="tx1"/>
                  </w14:solidFill>
                </w14:textFill>
              </w:rPr>
            </w:pPr>
            <w:r>
              <w:rPr>
                <w:color w:val="000000" w:themeColor="text1"/>
                <w14:textFill>
                  <w14:solidFill>
                    <w14:schemeClr w14:val="tx1"/>
                  </w14:solidFill>
                </w14:textFill>
              </w:rPr>
              <w:t>0.0005</w:t>
            </w:r>
          </w:p>
        </w:tc>
      </w:tr>
      <w:tr w14:paraId="71D122D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55" w:type="dxa"/>
            <w:vAlign w:val="center"/>
          </w:tcPr>
          <w:p w14:paraId="7C1005F0">
            <w:pPr>
              <w:pStyle w:val="70"/>
              <w:numPr>
                <w:ilvl w:val="0"/>
                <w:numId w:val="12"/>
              </w:numPr>
              <w:rPr>
                <w:color w:val="000000" w:themeColor="text1"/>
                <w14:textFill>
                  <w14:solidFill>
                    <w14:schemeClr w14:val="tx1"/>
                  </w14:solidFill>
                </w14:textFill>
              </w:rPr>
            </w:pPr>
          </w:p>
        </w:tc>
        <w:tc>
          <w:tcPr>
            <w:tcW w:w="2369" w:type="dxa"/>
            <w:vAlign w:val="center"/>
          </w:tcPr>
          <w:p w14:paraId="2F19C24A">
            <w:pPr>
              <w:pStyle w:val="70"/>
              <w:rPr>
                <w:color w:val="000000" w:themeColor="text1"/>
                <w14:textFill>
                  <w14:solidFill>
                    <w14:schemeClr w14:val="tx1"/>
                  </w14:solidFill>
                </w14:textFill>
              </w:rPr>
            </w:pPr>
            <w:r>
              <w:rPr>
                <w:color w:val="000000" w:themeColor="text1"/>
                <w14:textFill>
                  <w14:solidFill>
                    <w14:schemeClr w14:val="tx1"/>
                  </w14:solidFill>
                </w14:textFill>
              </w:rPr>
              <w:t>铅</w:t>
            </w:r>
          </w:p>
        </w:tc>
        <w:tc>
          <w:tcPr>
            <w:tcW w:w="1698" w:type="dxa"/>
            <w:vAlign w:val="center"/>
          </w:tcPr>
          <w:p w14:paraId="1F2CD4C5">
            <w:pPr>
              <w:pStyle w:val="70"/>
              <w:rPr>
                <w:color w:val="000000" w:themeColor="text1"/>
                <w14:textFill>
                  <w14:solidFill>
                    <w14:schemeClr w14:val="tx1"/>
                  </w14:solidFill>
                </w14:textFill>
              </w:rPr>
            </w:pPr>
            <w:r>
              <w:rPr>
                <w:color w:val="000000" w:themeColor="text1"/>
                <w14:textFill>
                  <w14:solidFill>
                    <w14:schemeClr w14:val="tx1"/>
                  </w14:solidFill>
                </w14:textFill>
              </w:rPr>
              <w:t>0.001</w:t>
            </w:r>
          </w:p>
        </w:tc>
        <w:tc>
          <w:tcPr>
            <w:tcW w:w="1506" w:type="dxa"/>
            <w:vAlign w:val="center"/>
          </w:tcPr>
          <w:p w14:paraId="17708E26">
            <w:pPr>
              <w:pStyle w:val="70"/>
              <w:rPr>
                <w:color w:val="000000" w:themeColor="text1"/>
                <w14:textFill>
                  <w14:solidFill>
                    <w14:schemeClr w14:val="tx1"/>
                  </w14:solidFill>
                </w14:textFill>
              </w:rPr>
            </w:pPr>
            <w:r>
              <w:rPr>
                <w:color w:val="000000" w:themeColor="text1"/>
                <w14:textFill>
                  <w14:solidFill>
                    <w14:schemeClr w14:val="tx1"/>
                  </w14:solidFill>
                </w14:textFill>
              </w:rPr>
              <w:t>0.005</w:t>
            </w:r>
          </w:p>
        </w:tc>
        <w:tc>
          <w:tcPr>
            <w:tcW w:w="1508" w:type="dxa"/>
            <w:vAlign w:val="center"/>
          </w:tcPr>
          <w:p w14:paraId="6D4BE629">
            <w:pPr>
              <w:pStyle w:val="70"/>
              <w:rPr>
                <w:color w:val="000000" w:themeColor="text1"/>
                <w14:textFill>
                  <w14:solidFill>
                    <w14:schemeClr w14:val="tx1"/>
                  </w14:solidFill>
                </w14:textFill>
              </w:rPr>
            </w:pPr>
            <w:r>
              <w:rPr>
                <w:color w:val="000000" w:themeColor="text1"/>
                <w14:textFill>
                  <w14:solidFill>
                    <w14:schemeClr w14:val="tx1"/>
                  </w14:solidFill>
                </w14:textFill>
              </w:rPr>
              <w:t>0.01</w:t>
            </w:r>
          </w:p>
        </w:tc>
        <w:tc>
          <w:tcPr>
            <w:tcW w:w="1506" w:type="dxa"/>
            <w:vAlign w:val="center"/>
          </w:tcPr>
          <w:p w14:paraId="1FDC0035">
            <w:pPr>
              <w:pStyle w:val="70"/>
              <w:rPr>
                <w:color w:val="000000" w:themeColor="text1"/>
                <w14:textFill>
                  <w14:solidFill>
                    <w14:schemeClr w14:val="tx1"/>
                  </w14:solidFill>
                </w14:textFill>
              </w:rPr>
            </w:pPr>
            <w:r>
              <w:rPr>
                <w:color w:val="000000" w:themeColor="text1"/>
                <w14:textFill>
                  <w14:solidFill>
                    <w14:schemeClr w14:val="tx1"/>
                  </w14:solidFill>
                </w14:textFill>
              </w:rPr>
              <w:t>0.05</w:t>
            </w:r>
          </w:p>
        </w:tc>
      </w:tr>
      <w:tr w14:paraId="745DDD4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55" w:type="dxa"/>
            <w:vAlign w:val="center"/>
          </w:tcPr>
          <w:p w14:paraId="5E835BB3">
            <w:pPr>
              <w:pStyle w:val="70"/>
              <w:numPr>
                <w:ilvl w:val="0"/>
                <w:numId w:val="12"/>
              </w:numPr>
              <w:rPr>
                <w:color w:val="000000" w:themeColor="text1"/>
                <w14:textFill>
                  <w14:solidFill>
                    <w14:schemeClr w14:val="tx1"/>
                  </w14:solidFill>
                </w14:textFill>
              </w:rPr>
            </w:pPr>
          </w:p>
        </w:tc>
        <w:tc>
          <w:tcPr>
            <w:tcW w:w="2369" w:type="dxa"/>
            <w:vAlign w:val="center"/>
          </w:tcPr>
          <w:p w14:paraId="7899D012">
            <w:pPr>
              <w:pStyle w:val="70"/>
              <w:rPr>
                <w:color w:val="000000" w:themeColor="text1"/>
                <w14:textFill>
                  <w14:solidFill>
                    <w14:schemeClr w14:val="tx1"/>
                  </w14:solidFill>
                </w14:textFill>
              </w:rPr>
            </w:pPr>
            <w:r>
              <w:rPr>
                <w:color w:val="000000" w:themeColor="text1"/>
                <w14:textFill>
                  <w14:solidFill>
                    <w14:schemeClr w14:val="tx1"/>
                  </w14:solidFill>
                </w14:textFill>
              </w:rPr>
              <w:t>铜</w:t>
            </w:r>
          </w:p>
        </w:tc>
        <w:tc>
          <w:tcPr>
            <w:tcW w:w="1698" w:type="dxa"/>
            <w:vAlign w:val="center"/>
          </w:tcPr>
          <w:p w14:paraId="1487411A">
            <w:pPr>
              <w:pStyle w:val="70"/>
              <w:rPr>
                <w:color w:val="000000" w:themeColor="text1"/>
                <w14:textFill>
                  <w14:solidFill>
                    <w14:schemeClr w14:val="tx1"/>
                  </w14:solidFill>
                </w14:textFill>
              </w:rPr>
            </w:pPr>
            <w:r>
              <w:rPr>
                <w:color w:val="000000" w:themeColor="text1"/>
                <w14:textFill>
                  <w14:solidFill>
                    <w14:schemeClr w14:val="tx1"/>
                  </w14:solidFill>
                </w14:textFill>
              </w:rPr>
              <w:t>0.005</w:t>
            </w:r>
          </w:p>
        </w:tc>
        <w:tc>
          <w:tcPr>
            <w:tcW w:w="1506" w:type="dxa"/>
            <w:vAlign w:val="center"/>
          </w:tcPr>
          <w:p w14:paraId="70659D9F">
            <w:pPr>
              <w:pStyle w:val="70"/>
              <w:rPr>
                <w:color w:val="000000" w:themeColor="text1"/>
                <w14:textFill>
                  <w14:solidFill>
                    <w14:schemeClr w14:val="tx1"/>
                  </w14:solidFill>
                </w14:textFill>
              </w:rPr>
            </w:pPr>
            <w:r>
              <w:rPr>
                <w:color w:val="000000" w:themeColor="text1"/>
                <w14:textFill>
                  <w14:solidFill>
                    <w14:schemeClr w14:val="tx1"/>
                  </w14:solidFill>
                </w14:textFill>
              </w:rPr>
              <w:t>0.010</w:t>
            </w:r>
          </w:p>
        </w:tc>
        <w:tc>
          <w:tcPr>
            <w:tcW w:w="3014" w:type="dxa"/>
            <w:gridSpan w:val="2"/>
            <w:vAlign w:val="center"/>
          </w:tcPr>
          <w:p w14:paraId="536F0413">
            <w:pPr>
              <w:pStyle w:val="70"/>
              <w:rPr>
                <w:color w:val="000000" w:themeColor="text1"/>
                <w14:textFill>
                  <w14:solidFill>
                    <w14:schemeClr w14:val="tx1"/>
                  </w14:solidFill>
                </w14:textFill>
              </w:rPr>
            </w:pPr>
            <w:r>
              <w:rPr>
                <w:color w:val="000000" w:themeColor="text1"/>
                <w14:textFill>
                  <w14:solidFill>
                    <w14:schemeClr w14:val="tx1"/>
                  </w14:solidFill>
                </w14:textFill>
              </w:rPr>
              <w:t>0.05</w:t>
            </w:r>
          </w:p>
        </w:tc>
      </w:tr>
      <w:tr w14:paraId="100BFA5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55" w:type="dxa"/>
            <w:vAlign w:val="center"/>
          </w:tcPr>
          <w:p w14:paraId="473B756B">
            <w:pPr>
              <w:pStyle w:val="70"/>
              <w:numPr>
                <w:ilvl w:val="0"/>
                <w:numId w:val="12"/>
              </w:numPr>
              <w:rPr>
                <w:color w:val="000000" w:themeColor="text1"/>
                <w14:textFill>
                  <w14:solidFill>
                    <w14:schemeClr w14:val="tx1"/>
                  </w14:solidFill>
                </w14:textFill>
              </w:rPr>
            </w:pPr>
          </w:p>
        </w:tc>
        <w:tc>
          <w:tcPr>
            <w:tcW w:w="2369" w:type="dxa"/>
            <w:vAlign w:val="center"/>
          </w:tcPr>
          <w:p w14:paraId="016A1740">
            <w:pPr>
              <w:pStyle w:val="70"/>
              <w:rPr>
                <w:color w:val="000000" w:themeColor="text1"/>
                <w14:textFill>
                  <w14:solidFill>
                    <w14:schemeClr w14:val="tx1"/>
                  </w14:solidFill>
                </w14:textFill>
              </w:rPr>
            </w:pPr>
            <w:r>
              <w:rPr>
                <w:color w:val="000000" w:themeColor="text1"/>
                <w14:textFill>
                  <w14:solidFill>
                    <w14:schemeClr w14:val="tx1"/>
                  </w14:solidFill>
                </w14:textFill>
              </w:rPr>
              <w:t>砷</w:t>
            </w:r>
          </w:p>
        </w:tc>
        <w:tc>
          <w:tcPr>
            <w:tcW w:w="1698" w:type="dxa"/>
            <w:vAlign w:val="center"/>
          </w:tcPr>
          <w:p w14:paraId="2D1E6734">
            <w:pPr>
              <w:pStyle w:val="70"/>
              <w:rPr>
                <w:color w:val="000000" w:themeColor="text1"/>
                <w14:textFill>
                  <w14:solidFill>
                    <w14:schemeClr w14:val="tx1"/>
                  </w14:solidFill>
                </w14:textFill>
              </w:rPr>
            </w:pPr>
            <w:r>
              <w:rPr>
                <w:color w:val="000000" w:themeColor="text1"/>
                <w14:textFill>
                  <w14:solidFill>
                    <w14:schemeClr w14:val="tx1"/>
                  </w14:solidFill>
                </w14:textFill>
              </w:rPr>
              <w:t>0.02</w:t>
            </w:r>
          </w:p>
        </w:tc>
        <w:tc>
          <w:tcPr>
            <w:tcW w:w="1506" w:type="dxa"/>
            <w:vAlign w:val="center"/>
          </w:tcPr>
          <w:p w14:paraId="7C73E2CD">
            <w:pPr>
              <w:pStyle w:val="70"/>
              <w:rPr>
                <w:color w:val="000000" w:themeColor="text1"/>
                <w14:textFill>
                  <w14:solidFill>
                    <w14:schemeClr w14:val="tx1"/>
                  </w14:solidFill>
                </w14:textFill>
              </w:rPr>
            </w:pPr>
            <w:r>
              <w:rPr>
                <w:color w:val="000000" w:themeColor="text1"/>
                <w14:textFill>
                  <w14:solidFill>
                    <w14:schemeClr w14:val="tx1"/>
                  </w14:solidFill>
                </w14:textFill>
              </w:rPr>
              <w:t>0.03</w:t>
            </w:r>
          </w:p>
        </w:tc>
        <w:tc>
          <w:tcPr>
            <w:tcW w:w="3014" w:type="dxa"/>
            <w:gridSpan w:val="2"/>
            <w:vAlign w:val="center"/>
          </w:tcPr>
          <w:p w14:paraId="1B04A138">
            <w:pPr>
              <w:pStyle w:val="70"/>
              <w:rPr>
                <w:color w:val="000000" w:themeColor="text1"/>
                <w14:textFill>
                  <w14:solidFill>
                    <w14:schemeClr w14:val="tx1"/>
                  </w14:solidFill>
                </w14:textFill>
              </w:rPr>
            </w:pPr>
            <w:r>
              <w:rPr>
                <w:color w:val="000000" w:themeColor="text1"/>
                <w14:textFill>
                  <w14:solidFill>
                    <w14:schemeClr w14:val="tx1"/>
                  </w14:solidFill>
                </w14:textFill>
              </w:rPr>
              <w:t>0.05</w:t>
            </w:r>
          </w:p>
        </w:tc>
      </w:tr>
      <w:tr w14:paraId="7C8FCD1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55" w:type="dxa"/>
            <w:vAlign w:val="center"/>
          </w:tcPr>
          <w:p w14:paraId="18278432">
            <w:pPr>
              <w:pStyle w:val="70"/>
              <w:numPr>
                <w:ilvl w:val="0"/>
                <w:numId w:val="12"/>
              </w:numPr>
              <w:rPr>
                <w:color w:val="000000" w:themeColor="text1"/>
                <w14:textFill>
                  <w14:solidFill>
                    <w14:schemeClr w14:val="tx1"/>
                  </w14:solidFill>
                </w14:textFill>
              </w:rPr>
            </w:pPr>
          </w:p>
        </w:tc>
        <w:tc>
          <w:tcPr>
            <w:tcW w:w="2369" w:type="dxa"/>
            <w:vAlign w:val="center"/>
          </w:tcPr>
          <w:p w14:paraId="6CC6CA08">
            <w:pPr>
              <w:pStyle w:val="70"/>
              <w:rPr>
                <w:color w:val="000000" w:themeColor="text1"/>
                <w14:textFill>
                  <w14:solidFill>
                    <w14:schemeClr w14:val="tx1"/>
                  </w14:solidFill>
                </w14:textFill>
              </w:rPr>
            </w:pPr>
            <w:r>
              <w:rPr>
                <w:color w:val="000000" w:themeColor="text1"/>
                <w14:textFill>
                  <w14:solidFill>
                    <w14:schemeClr w14:val="tx1"/>
                  </w14:solidFill>
                </w14:textFill>
              </w:rPr>
              <w:t>锌</w:t>
            </w:r>
          </w:p>
        </w:tc>
        <w:tc>
          <w:tcPr>
            <w:tcW w:w="1698" w:type="dxa"/>
            <w:vAlign w:val="center"/>
          </w:tcPr>
          <w:p w14:paraId="0693B0BA">
            <w:pPr>
              <w:pStyle w:val="70"/>
              <w:rPr>
                <w:color w:val="000000" w:themeColor="text1"/>
                <w14:textFill>
                  <w14:solidFill>
                    <w14:schemeClr w14:val="tx1"/>
                  </w14:solidFill>
                </w14:textFill>
              </w:rPr>
            </w:pPr>
            <w:r>
              <w:rPr>
                <w:color w:val="000000" w:themeColor="text1"/>
                <w14:textFill>
                  <w14:solidFill>
                    <w14:schemeClr w14:val="tx1"/>
                  </w14:solidFill>
                </w14:textFill>
              </w:rPr>
              <w:t>0.02</w:t>
            </w:r>
          </w:p>
        </w:tc>
        <w:tc>
          <w:tcPr>
            <w:tcW w:w="1506" w:type="dxa"/>
            <w:vAlign w:val="center"/>
          </w:tcPr>
          <w:p w14:paraId="2A891E2A">
            <w:pPr>
              <w:pStyle w:val="70"/>
              <w:rPr>
                <w:color w:val="000000" w:themeColor="text1"/>
                <w14:textFill>
                  <w14:solidFill>
                    <w14:schemeClr w14:val="tx1"/>
                  </w14:solidFill>
                </w14:textFill>
              </w:rPr>
            </w:pPr>
            <w:r>
              <w:rPr>
                <w:color w:val="000000" w:themeColor="text1"/>
                <w14:textFill>
                  <w14:solidFill>
                    <w14:schemeClr w14:val="tx1"/>
                  </w14:solidFill>
                </w14:textFill>
              </w:rPr>
              <w:t>0.05</w:t>
            </w:r>
          </w:p>
        </w:tc>
        <w:tc>
          <w:tcPr>
            <w:tcW w:w="1508" w:type="dxa"/>
            <w:vAlign w:val="center"/>
          </w:tcPr>
          <w:p w14:paraId="006AD26D">
            <w:pPr>
              <w:pStyle w:val="70"/>
              <w:rPr>
                <w:color w:val="000000" w:themeColor="text1"/>
                <w14:textFill>
                  <w14:solidFill>
                    <w14:schemeClr w14:val="tx1"/>
                  </w14:solidFill>
                </w14:textFill>
              </w:rPr>
            </w:pPr>
            <w:r>
              <w:rPr>
                <w:color w:val="000000" w:themeColor="text1"/>
                <w14:textFill>
                  <w14:solidFill>
                    <w14:schemeClr w14:val="tx1"/>
                  </w14:solidFill>
                </w14:textFill>
              </w:rPr>
              <w:t>0.1</w:t>
            </w:r>
          </w:p>
        </w:tc>
        <w:tc>
          <w:tcPr>
            <w:tcW w:w="1506" w:type="dxa"/>
            <w:vAlign w:val="center"/>
          </w:tcPr>
          <w:p w14:paraId="419E0EEB">
            <w:pPr>
              <w:pStyle w:val="70"/>
              <w:rPr>
                <w:color w:val="000000" w:themeColor="text1"/>
                <w14:textFill>
                  <w14:solidFill>
                    <w14:schemeClr w14:val="tx1"/>
                  </w14:solidFill>
                </w14:textFill>
              </w:rPr>
            </w:pPr>
            <w:r>
              <w:rPr>
                <w:color w:val="000000" w:themeColor="text1"/>
                <w14:textFill>
                  <w14:solidFill>
                    <w14:schemeClr w14:val="tx1"/>
                  </w14:solidFill>
                </w14:textFill>
              </w:rPr>
              <w:t>0.5</w:t>
            </w:r>
          </w:p>
        </w:tc>
      </w:tr>
      <w:tr w14:paraId="58A5DA7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55" w:type="dxa"/>
            <w:vAlign w:val="center"/>
          </w:tcPr>
          <w:p w14:paraId="39F771EE">
            <w:pPr>
              <w:pStyle w:val="70"/>
              <w:numPr>
                <w:ilvl w:val="0"/>
                <w:numId w:val="12"/>
              </w:numPr>
              <w:rPr>
                <w:color w:val="000000" w:themeColor="text1"/>
                <w14:textFill>
                  <w14:solidFill>
                    <w14:schemeClr w14:val="tx1"/>
                  </w14:solidFill>
                </w14:textFill>
              </w:rPr>
            </w:pPr>
          </w:p>
        </w:tc>
        <w:tc>
          <w:tcPr>
            <w:tcW w:w="2369" w:type="dxa"/>
            <w:vAlign w:val="center"/>
          </w:tcPr>
          <w:p w14:paraId="542DA1F5">
            <w:pPr>
              <w:pStyle w:val="70"/>
              <w:rPr>
                <w:color w:val="000000" w:themeColor="text1"/>
                <w14:textFill>
                  <w14:solidFill>
                    <w14:schemeClr w14:val="tx1"/>
                  </w14:solidFill>
                </w14:textFill>
              </w:rPr>
            </w:pPr>
            <w:r>
              <w:rPr>
                <w:color w:val="000000" w:themeColor="text1"/>
                <w14:textFill>
                  <w14:solidFill>
                    <w14:schemeClr w14:val="tx1"/>
                  </w14:solidFill>
                </w14:textFill>
              </w:rPr>
              <w:t>镉</w:t>
            </w:r>
          </w:p>
        </w:tc>
        <w:tc>
          <w:tcPr>
            <w:tcW w:w="1698" w:type="dxa"/>
            <w:vAlign w:val="center"/>
          </w:tcPr>
          <w:p w14:paraId="76AF165E">
            <w:pPr>
              <w:pStyle w:val="70"/>
              <w:rPr>
                <w:color w:val="000000" w:themeColor="text1"/>
                <w14:textFill>
                  <w14:solidFill>
                    <w14:schemeClr w14:val="tx1"/>
                  </w14:solidFill>
                </w14:textFill>
              </w:rPr>
            </w:pPr>
            <w:r>
              <w:rPr>
                <w:color w:val="000000" w:themeColor="text1"/>
                <w14:textFill>
                  <w14:solidFill>
                    <w14:schemeClr w14:val="tx1"/>
                  </w14:solidFill>
                </w14:textFill>
              </w:rPr>
              <w:t>0.001</w:t>
            </w:r>
          </w:p>
        </w:tc>
        <w:tc>
          <w:tcPr>
            <w:tcW w:w="1506" w:type="dxa"/>
            <w:vAlign w:val="center"/>
          </w:tcPr>
          <w:p w14:paraId="2DD0D677">
            <w:pPr>
              <w:pStyle w:val="70"/>
              <w:rPr>
                <w:color w:val="000000" w:themeColor="text1"/>
                <w14:textFill>
                  <w14:solidFill>
                    <w14:schemeClr w14:val="tx1"/>
                  </w14:solidFill>
                </w14:textFill>
              </w:rPr>
            </w:pPr>
            <w:r>
              <w:rPr>
                <w:color w:val="000000" w:themeColor="text1"/>
                <w14:textFill>
                  <w14:solidFill>
                    <w14:schemeClr w14:val="tx1"/>
                  </w14:solidFill>
                </w14:textFill>
              </w:rPr>
              <w:t>0.005</w:t>
            </w:r>
          </w:p>
        </w:tc>
        <w:tc>
          <w:tcPr>
            <w:tcW w:w="3014" w:type="dxa"/>
            <w:gridSpan w:val="2"/>
            <w:vAlign w:val="center"/>
          </w:tcPr>
          <w:p w14:paraId="2549C9FD">
            <w:pPr>
              <w:pStyle w:val="70"/>
              <w:rPr>
                <w:color w:val="000000" w:themeColor="text1"/>
                <w14:textFill>
                  <w14:solidFill>
                    <w14:schemeClr w14:val="tx1"/>
                  </w14:solidFill>
                </w14:textFill>
              </w:rPr>
            </w:pPr>
            <w:r>
              <w:rPr>
                <w:color w:val="000000" w:themeColor="text1"/>
                <w14:textFill>
                  <w14:solidFill>
                    <w14:schemeClr w14:val="tx1"/>
                  </w14:solidFill>
                </w14:textFill>
              </w:rPr>
              <w:t>0.01</w:t>
            </w:r>
          </w:p>
        </w:tc>
      </w:tr>
      <w:tr w14:paraId="201C51C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55" w:type="dxa"/>
            <w:vAlign w:val="center"/>
          </w:tcPr>
          <w:p w14:paraId="44C68574">
            <w:pPr>
              <w:pStyle w:val="70"/>
              <w:numPr>
                <w:ilvl w:val="0"/>
                <w:numId w:val="12"/>
              </w:numPr>
              <w:rPr>
                <w:color w:val="000000" w:themeColor="text1"/>
                <w14:textFill>
                  <w14:solidFill>
                    <w14:schemeClr w14:val="tx1"/>
                  </w14:solidFill>
                </w14:textFill>
              </w:rPr>
            </w:pPr>
          </w:p>
        </w:tc>
        <w:tc>
          <w:tcPr>
            <w:tcW w:w="2369" w:type="dxa"/>
            <w:vAlign w:val="center"/>
          </w:tcPr>
          <w:p w14:paraId="72441359">
            <w:pPr>
              <w:pStyle w:val="70"/>
              <w:rPr>
                <w:color w:val="000000" w:themeColor="text1"/>
                <w14:textFill>
                  <w14:solidFill>
                    <w14:schemeClr w14:val="tx1"/>
                  </w14:solidFill>
                </w14:textFill>
              </w:rPr>
            </w:pPr>
            <w:r>
              <w:rPr>
                <w:color w:val="000000" w:themeColor="text1"/>
                <w14:textFill>
                  <w14:solidFill>
                    <w14:schemeClr w14:val="tx1"/>
                  </w14:solidFill>
                </w14:textFill>
              </w:rPr>
              <w:t>总铬</w:t>
            </w:r>
          </w:p>
        </w:tc>
        <w:tc>
          <w:tcPr>
            <w:tcW w:w="1698" w:type="dxa"/>
            <w:vAlign w:val="center"/>
          </w:tcPr>
          <w:p w14:paraId="4B332FFC">
            <w:pPr>
              <w:pStyle w:val="70"/>
              <w:rPr>
                <w:color w:val="000000" w:themeColor="text1"/>
                <w14:textFill>
                  <w14:solidFill>
                    <w14:schemeClr w14:val="tx1"/>
                  </w14:solidFill>
                </w14:textFill>
              </w:rPr>
            </w:pPr>
            <w:r>
              <w:rPr>
                <w:color w:val="000000" w:themeColor="text1"/>
                <w14:textFill>
                  <w14:solidFill>
                    <w14:schemeClr w14:val="tx1"/>
                  </w14:solidFill>
                </w14:textFill>
              </w:rPr>
              <w:t>0.05</w:t>
            </w:r>
          </w:p>
        </w:tc>
        <w:tc>
          <w:tcPr>
            <w:tcW w:w="1506" w:type="dxa"/>
            <w:vAlign w:val="center"/>
          </w:tcPr>
          <w:p w14:paraId="07D3BA14">
            <w:pPr>
              <w:pStyle w:val="70"/>
              <w:rPr>
                <w:color w:val="000000" w:themeColor="text1"/>
                <w14:textFill>
                  <w14:solidFill>
                    <w14:schemeClr w14:val="tx1"/>
                  </w14:solidFill>
                </w14:textFill>
              </w:rPr>
            </w:pPr>
            <w:r>
              <w:rPr>
                <w:color w:val="000000" w:themeColor="text1"/>
                <w14:textFill>
                  <w14:solidFill>
                    <w14:schemeClr w14:val="tx1"/>
                  </w14:solidFill>
                </w14:textFill>
              </w:rPr>
              <w:t>0.1</w:t>
            </w:r>
          </w:p>
        </w:tc>
        <w:tc>
          <w:tcPr>
            <w:tcW w:w="1508" w:type="dxa"/>
            <w:vAlign w:val="center"/>
          </w:tcPr>
          <w:p w14:paraId="3B958CF5">
            <w:pPr>
              <w:pStyle w:val="70"/>
              <w:rPr>
                <w:color w:val="000000" w:themeColor="text1"/>
                <w14:textFill>
                  <w14:solidFill>
                    <w14:schemeClr w14:val="tx1"/>
                  </w14:solidFill>
                </w14:textFill>
              </w:rPr>
            </w:pPr>
            <w:r>
              <w:rPr>
                <w:color w:val="000000" w:themeColor="text1"/>
                <w14:textFill>
                  <w14:solidFill>
                    <w14:schemeClr w14:val="tx1"/>
                  </w14:solidFill>
                </w14:textFill>
              </w:rPr>
              <w:t>0.2</w:t>
            </w:r>
          </w:p>
        </w:tc>
        <w:tc>
          <w:tcPr>
            <w:tcW w:w="1506" w:type="dxa"/>
            <w:vAlign w:val="center"/>
          </w:tcPr>
          <w:p w14:paraId="4F7FBBB2">
            <w:pPr>
              <w:pStyle w:val="70"/>
              <w:rPr>
                <w:color w:val="000000" w:themeColor="text1"/>
                <w14:textFill>
                  <w14:solidFill>
                    <w14:schemeClr w14:val="tx1"/>
                  </w14:solidFill>
                </w14:textFill>
              </w:rPr>
            </w:pPr>
            <w:r>
              <w:rPr>
                <w:color w:val="000000" w:themeColor="text1"/>
                <w14:textFill>
                  <w14:solidFill>
                    <w14:schemeClr w14:val="tx1"/>
                  </w14:solidFill>
                </w14:textFill>
              </w:rPr>
              <w:t>0.5</w:t>
            </w:r>
          </w:p>
        </w:tc>
      </w:tr>
      <w:tr w14:paraId="5510D74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55" w:type="dxa"/>
            <w:vAlign w:val="center"/>
          </w:tcPr>
          <w:p w14:paraId="2B7D0B87">
            <w:pPr>
              <w:pStyle w:val="70"/>
              <w:numPr>
                <w:ilvl w:val="0"/>
                <w:numId w:val="12"/>
              </w:numPr>
              <w:rPr>
                <w:color w:val="000000" w:themeColor="text1"/>
                <w14:textFill>
                  <w14:solidFill>
                    <w14:schemeClr w14:val="tx1"/>
                  </w14:solidFill>
                </w14:textFill>
              </w:rPr>
            </w:pPr>
          </w:p>
        </w:tc>
        <w:tc>
          <w:tcPr>
            <w:tcW w:w="2369" w:type="dxa"/>
            <w:vAlign w:val="center"/>
          </w:tcPr>
          <w:p w14:paraId="42326C77">
            <w:pPr>
              <w:pStyle w:val="70"/>
              <w:rPr>
                <w:color w:val="000000" w:themeColor="text1"/>
                <w14:textFill>
                  <w14:solidFill>
                    <w14:schemeClr w14:val="tx1"/>
                  </w14:solidFill>
                </w14:textFill>
              </w:rPr>
            </w:pPr>
            <w:r>
              <w:rPr>
                <w:color w:val="000000" w:themeColor="text1"/>
                <w14:textFill>
                  <w14:solidFill>
                    <w14:schemeClr w14:val="tx1"/>
                  </w14:solidFill>
                </w14:textFill>
              </w:rPr>
              <w:t>硫化物</w:t>
            </w:r>
          </w:p>
        </w:tc>
        <w:tc>
          <w:tcPr>
            <w:tcW w:w="1698" w:type="dxa"/>
            <w:vAlign w:val="center"/>
          </w:tcPr>
          <w:p w14:paraId="312C2E75">
            <w:pPr>
              <w:pStyle w:val="70"/>
              <w:rPr>
                <w:color w:val="000000" w:themeColor="text1"/>
                <w14:textFill>
                  <w14:solidFill>
                    <w14:schemeClr w14:val="tx1"/>
                  </w14:solidFill>
                </w14:textFill>
              </w:rPr>
            </w:pPr>
            <w:r>
              <w:rPr>
                <w:color w:val="000000" w:themeColor="text1"/>
                <w14:textFill>
                  <w14:solidFill>
                    <w14:schemeClr w14:val="tx1"/>
                  </w14:solidFill>
                </w14:textFill>
              </w:rPr>
              <w:t>0.02</w:t>
            </w:r>
          </w:p>
        </w:tc>
        <w:tc>
          <w:tcPr>
            <w:tcW w:w="1506" w:type="dxa"/>
            <w:vAlign w:val="center"/>
          </w:tcPr>
          <w:p w14:paraId="2C1596A3">
            <w:pPr>
              <w:pStyle w:val="70"/>
              <w:rPr>
                <w:color w:val="000000" w:themeColor="text1"/>
                <w14:textFill>
                  <w14:solidFill>
                    <w14:schemeClr w14:val="tx1"/>
                  </w14:solidFill>
                </w14:textFill>
              </w:rPr>
            </w:pPr>
            <w:r>
              <w:rPr>
                <w:color w:val="000000" w:themeColor="text1"/>
                <w14:textFill>
                  <w14:solidFill>
                    <w14:schemeClr w14:val="tx1"/>
                  </w14:solidFill>
                </w14:textFill>
              </w:rPr>
              <w:t>0.05</w:t>
            </w:r>
          </w:p>
        </w:tc>
        <w:tc>
          <w:tcPr>
            <w:tcW w:w="1508" w:type="dxa"/>
            <w:vAlign w:val="center"/>
          </w:tcPr>
          <w:p w14:paraId="7A3D3299">
            <w:pPr>
              <w:pStyle w:val="70"/>
              <w:rPr>
                <w:color w:val="000000" w:themeColor="text1"/>
                <w14:textFill>
                  <w14:solidFill>
                    <w14:schemeClr w14:val="tx1"/>
                  </w14:solidFill>
                </w14:textFill>
              </w:rPr>
            </w:pPr>
            <w:r>
              <w:rPr>
                <w:color w:val="000000" w:themeColor="text1"/>
                <w14:textFill>
                  <w14:solidFill>
                    <w14:schemeClr w14:val="tx1"/>
                  </w14:solidFill>
                </w14:textFill>
              </w:rPr>
              <w:t>0.1</w:t>
            </w:r>
          </w:p>
        </w:tc>
        <w:tc>
          <w:tcPr>
            <w:tcW w:w="1506" w:type="dxa"/>
            <w:vAlign w:val="center"/>
          </w:tcPr>
          <w:p w14:paraId="7DDCB8A5">
            <w:pPr>
              <w:pStyle w:val="70"/>
              <w:rPr>
                <w:color w:val="000000" w:themeColor="text1"/>
                <w14:textFill>
                  <w14:solidFill>
                    <w14:schemeClr w14:val="tx1"/>
                  </w14:solidFill>
                </w14:textFill>
              </w:rPr>
            </w:pPr>
            <w:r>
              <w:rPr>
                <w:color w:val="000000" w:themeColor="text1"/>
                <w14:textFill>
                  <w14:solidFill>
                    <w14:schemeClr w14:val="tx1"/>
                  </w14:solidFill>
                </w14:textFill>
              </w:rPr>
              <w:t>0.25</w:t>
            </w:r>
          </w:p>
        </w:tc>
      </w:tr>
    </w:tbl>
    <w:p w14:paraId="1410FBFE">
      <w:pPr>
        <w:pStyle w:val="7"/>
        <w:rPr>
          <w:color w:val="000000" w:themeColor="text1"/>
          <w14:textFill>
            <w14:solidFill>
              <w14:schemeClr w14:val="tx1"/>
            </w14:solidFill>
          </w14:textFill>
        </w:rPr>
      </w:pPr>
      <w:r>
        <w:rPr>
          <w:color w:val="000000" w:themeColor="text1"/>
          <w14:textFill>
            <w14:solidFill>
              <w14:schemeClr w14:val="tx1"/>
            </w14:solidFill>
          </w14:textFill>
        </w:rPr>
        <w:t>海洋沉积物质量标准</w:t>
      </w:r>
    </w:p>
    <w:tbl>
      <w:tblPr>
        <w:tblStyle w:val="43"/>
        <w:tblW w:w="9042"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809"/>
        <w:gridCol w:w="1809"/>
        <w:gridCol w:w="1808"/>
        <w:gridCol w:w="1808"/>
        <w:gridCol w:w="1808"/>
      </w:tblGrid>
      <w:tr w14:paraId="21F4902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809" w:type="dxa"/>
            <w:vMerge w:val="restart"/>
            <w:vAlign w:val="center"/>
          </w:tcPr>
          <w:p w14:paraId="21599870">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序号</w:t>
            </w:r>
          </w:p>
        </w:tc>
        <w:tc>
          <w:tcPr>
            <w:tcW w:w="1809" w:type="dxa"/>
            <w:vMerge w:val="restart"/>
            <w:vAlign w:val="center"/>
          </w:tcPr>
          <w:p w14:paraId="0901640C">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项目</w:t>
            </w:r>
          </w:p>
        </w:tc>
        <w:tc>
          <w:tcPr>
            <w:tcW w:w="5424" w:type="dxa"/>
            <w:gridSpan w:val="3"/>
            <w:vAlign w:val="center"/>
          </w:tcPr>
          <w:p w14:paraId="37DD290C">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指标</w:t>
            </w:r>
          </w:p>
        </w:tc>
      </w:tr>
      <w:tr w14:paraId="69E37A7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809" w:type="dxa"/>
            <w:vMerge w:val="continue"/>
            <w:vAlign w:val="center"/>
          </w:tcPr>
          <w:p w14:paraId="68575471">
            <w:pPr>
              <w:pStyle w:val="70"/>
              <w:rPr>
                <w:b/>
                <w:bCs/>
                <w:color w:val="000000" w:themeColor="text1"/>
                <w14:textFill>
                  <w14:solidFill>
                    <w14:schemeClr w14:val="tx1"/>
                  </w14:solidFill>
                </w14:textFill>
              </w:rPr>
            </w:pPr>
          </w:p>
        </w:tc>
        <w:tc>
          <w:tcPr>
            <w:tcW w:w="1809" w:type="dxa"/>
            <w:vMerge w:val="continue"/>
            <w:vAlign w:val="center"/>
          </w:tcPr>
          <w:p w14:paraId="05F5A872">
            <w:pPr>
              <w:pStyle w:val="70"/>
              <w:rPr>
                <w:b/>
                <w:bCs/>
                <w:color w:val="000000" w:themeColor="text1"/>
                <w14:textFill>
                  <w14:solidFill>
                    <w14:schemeClr w14:val="tx1"/>
                  </w14:solidFill>
                </w14:textFill>
              </w:rPr>
            </w:pPr>
          </w:p>
        </w:tc>
        <w:tc>
          <w:tcPr>
            <w:tcW w:w="1808" w:type="dxa"/>
            <w:vAlign w:val="center"/>
          </w:tcPr>
          <w:p w14:paraId="7A03A926">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第一类</w:t>
            </w:r>
          </w:p>
        </w:tc>
        <w:tc>
          <w:tcPr>
            <w:tcW w:w="1808" w:type="dxa"/>
            <w:vAlign w:val="center"/>
          </w:tcPr>
          <w:p w14:paraId="65F8DFCC">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第二类</w:t>
            </w:r>
          </w:p>
        </w:tc>
        <w:tc>
          <w:tcPr>
            <w:tcW w:w="1808" w:type="dxa"/>
            <w:vAlign w:val="center"/>
          </w:tcPr>
          <w:p w14:paraId="4A875833">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第三类</w:t>
            </w:r>
          </w:p>
        </w:tc>
      </w:tr>
      <w:tr w14:paraId="29D5F4D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809" w:type="dxa"/>
            <w:vAlign w:val="center"/>
          </w:tcPr>
          <w:p w14:paraId="6458D9FA">
            <w:pPr>
              <w:pStyle w:val="70"/>
              <w:rPr>
                <w:color w:val="000000" w:themeColor="text1"/>
                <w14:textFill>
                  <w14:solidFill>
                    <w14:schemeClr w14:val="tx1"/>
                  </w14:solidFill>
                </w14:textFill>
              </w:rPr>
            </w:pPr>
            <w:r>
              <w:rPr>
                <w:color w:val="000000" w:themeColor="text1"/>
                <w14:textFill>
                  <w14:solidFill>
                    <w14:schemeClr w14:val="tx1"/>
                  </w14:solidFill>
                </w14:textFill>
              </w:rPr>
              <w:t>1</w:t>
            </w:r>
          </w:p>
        </w:tc>
        <w:tc>
          <w:tcPr>
            <w:tcW w:w="1809" w:type="dxa"/>
            <w:vAlign w:val="center"/>
          </w:tcPr>
          <w:p w14:paraId="08A01378">
            <w:pPr>
              <w:pStyle w:val="70"/>
              <w:rPr>
                <w:color w:val="000000" w:themeColor="text1"/>
                <w14:textFill>
                  <w14:solidFill>
                    <w14:schemeClr w14:val="tx1"/>
                  </w14:solidFill>
                </w14:textFill>
              </w:rPr>
            </w:pPr>
            <w:r>
              <w:rPr>
                <w:color w:val="000000" w:themeColor="text1"/>
                <w14:textFill>
                  <w14:solidFill>
                    <w14:schemeClr w14:val="tx1"/>
                  </w14:solidFill>
                </w14:textFill>
              </w:rPr>
              <w:t>汞（×10</w:t>
            </w:r>
            <w:r>
              <w:rPr>
                <w:color w:val="000000" w:themeColor="text1"/>
                <w:vertAlign w:val="superscript"/>
                <w14:textFill>
                  <w14:solidFill>
                    <w14:schemeClr w14:val="tx1"/>
                  </w14:solidFill>
                </w14:textFill>
              </w:rPr>
              <w:t>-6</w:t>
            </w:r>
            <w:r>
              <w:rPr>
                <w:color w:val="000000" w:themeColor="text1"/>
                <w14:textFill>
                  <w14:solidFill>
                    <w14:schemeClr w14:val="tx1"/>
                  </w14:solidFill>
                </w14:textFill>
              </w:rPr>
              <w:t>）</w:t>
            </w:r>
          </w:p>
        </w:tc>
        <w:tc>
          <w:tcPr>
            <w:tcW w:w="1808" w:type="dxa"/>
            <w:vAlign w:val="center"/>
          </w:tcPr>
          <w:p w14:paraId="5C012FF3">
            <w:pPr>
              <w:pStyle w:val="70"/>
              <w:rPr>
                <w:color w:val="000000" w:themeColor="text1"/>
                <w14:textFill>
                  <w14:solidFill>
                    <w14:schemeClr w14:val="tx1"/>
                  </w14:solidFill>
                </w14:textFill>
              </w:rPr>
            </w:pPr>
            <w:r>
              <w:rPr>
                <w:color w:val="000000" w:themeColor="text1"/>
                <w14:textFill>
                  <w14:solidFill>
                    <w14:schemeClr w14:val="tx1"/>
                  </w14:solidFill>
                </w14:textFill>
              </w:rPr>
              <w:t>0.2</w:t>
            </w:r>
          </w:p>
        </w:tc>
        <w:tc>
          <w:tcPr>
            <w:tcW w:w="1808" w:type="dxa"/>
            <w:vAlign w:val="center"/>
          </w:tcPr>
          <w:p w14:paraId="78A3A829">
            <w:pPr>
              <w:pStyle w:val="70"/>
              <w:rPr>
                <w:color w:val="000000" w:themeColor="text1"/>
                <w14:textFill>
                  <w14:solidFill>
                    <w14:schemeClr w14:val="tx1"/>
                  </w14:solidFill>
                </w14:textFill>
              </w:rPr>
            </w:pPr>
            <w:r>
              <w:rPr>
                <w:color w:val="000000" w:themeColor="text1"/>
                <w14:textFill>
                  <w14:solidFill>
                    <w14:schemeClr w14:val="tx1"/>
                  </w14:solidFill>
                </w14:textFill>
              </w:rPr>
              <w:t>0.5</w:t>
            </w:r>
          </w:p>
        </w:tc>
        <w:tc>
          <w:tcPr>
            <w:tcW w:w="1808" w:type="dxa"/>
            <w:vAlign w:val="center"/>
          </w:tcPr>
          <w:p w14:paraId="26445661">
            <w:pPr>
              <w:pStyle w:val="70"/>
              <w:rPr>
                <w:color w:val="000000" w:themeColor="text1"/>
                <w14:textFill>
                  <w14:solidFill>
                    <w14:schemeClr w14:val="tx1"/>
                  </w14:solidFill>
                </w14:textFill>
              </w:rPr>
            </w:pPr>
            <w:r>
              <w:rPr>
                <w:color w:val="000000" w:themeColor="text1"/>
                <w14:textFill>
                  <w14:solidFill>
                    <w14:schemeClr w14:val="tx1"/>
                  </w14:solidFill>
                </w14:textFill>
              </w:rPr>
              <w:t>1</w:t>
            </w:r>
          </w:p>
        </w:tc>
      </w:tr>
      <w:tr w14:paraId="77475B3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809" w:type="dxa"/>
            <w:vAlign w:val="center"/>
          </w:tcPr>
          <w:p w14:paraId="04B75872">
            <w:pPr>
              <w:pStyle w:val="70"/>
              <w:rPr>
                <w:color w:val="000000" w:themeColor="text1"/>
                <w14:textFill>
                  <w14:solidFill>
                    <w14:schemeClr w14:val="tx1"/>
                  </w14:solidFill>
                </w14:textFill>
              </w:rPr>
            </w:pPr>
            <w:r>
              <w:rPr>
                <w:color w:val="000000" w:themeColor="text1"/>
                <w14:textFill>
                  <w14:solidFill>
                    <w14:schemeClr w14:val="tx1"/>
                  </w14:solidFill>
                </w14:textFill>
              </w:rPr>
              <w:t>2</w:t>
            </w:r>
          </w:p>
        </w:tc>
        <w:tc>
          <w:tcPr>
            <w:tcW w:w="1809" w:type="dxa"/>
            <w:vAlign w:val="center"/>
          </w:tcPr>
          <w:p w14:paraId="2B52313A">
            <w:pPr>
              <w:pStyle w:val="70"/>
              <w:rPr>
                <w:color w:val="000000" w:themeColor="text1"/>
                <w14:textFill>
                  <w14:solidFill>
                    <w14:schemeClr w14:val="tx1"/>
                  </w14:solidFill>
                </w14:textFill>
              </w:rPr>
            </w:pPr>
            <w:r>
              <w:rPr>
                <w:color w:val="000000" w:themeColor="text1"/>
                <w14:textFill>
                  <w14:solidFill>
                    <w14:schemeClr w14:val="tx1"/>
                  </w14:solidFill>
                </w14:textFill>
              </w:rPr>
              <w:t>镉（×10</w:t>
            </w:r>
            <w:r>
              <w:rPr>
                <w:color w:val="000000" w:themeColor="text1"/>
                <w:vertAlign w:val="superscript"/>
                <w14:textFill>
                  <w14:solidFill>
                    <w14:schemeClr w14:val="tx1"/>
                  </w14:solidFill>
                </w14:textFill>
              </w:rPr>
              <w:t>-6</w:t>
            </w:r>
            <w:r>
              <w:rPr>
                <w:color w:val="000000" w:themeColor="text1"/>
                <w14:textFill>
                  <w14:solidFill>
                    <w14:schemeClr w14:val="tx1"/>
                  </w14:solidFill>
                </w14:textFill>
              </w:rPr>
              <w:t>）</w:t>
            </w:r>
          </w:p>
        </w:tc>
        <w:tc>
          <w:tcPr>
            <w:tcW w:w="1808" w:type="dxa"/>
            <w:vAlign w:val="center"/>
          </w:tcPr>
          <w:p w14:paraId="4B2ACB28">
            <w:pPr>
              <w:pStyle w:val="70"/>
              <w:rPr>
                <w:color w:val="000000" w:themeColor="text1"/>
                <w14:textFill>
                  <w14:solidFill>
                    <w14:schemeClr w14:val="tx1"/>
                  </w14:solidFill>
                </w14:textFill>
              </w:rPr>
            </w:pPr>
            <w:r>
              <w:rPr>
                <w:color w:val="000000" w:themeColor="text1"/>
                <w14:textFill>
                  <w14:solidFill>
                    <w14:schemeClr w14:val="tx1"/>
                  </w14:solidFill>
                </w14:textFill>
              </w:rPr>
              <w:t>0.5</w:t>
            </w:r>
          </w:p>
        </w:tc>
        <w:tc>
          <w:tcPr>
            <w:tcW w:w="1808" w:type="dxa"/>
            <w:vAlign w:val="center"/>
          </w:tcPr>
          <w:p w14:paraId="40758D4F">
            <w:pPr>
              <w:pStyle w:val="70"/>
              <w:rPr>
                <w:color w:val="000000" w:themeColor="text1"/>
                <w14:textFill>
                  <w14:solidFill>
                    <w14:schemeClr w14:val="tx1"/>
                  </w14:solidFill>
                </w14:textFill>
              </w:rPr>
            </w:pPr>
            <w:r>
              <w:rPr>
                <w:color w:val="000000" w:themeColor="text1"/>
                <w14:textFill>
                  <w14:solidFill>
                    <w14:schemeClr w14:val="tx1"/>
                  </w14:solidFill>
                </w14:textFill>
              </w:rPr>
              <w:t>1.5</w:t>
            </w:r>
          </w:p>
        </w:tc>
        <w:tc>
          <w:tcPr>
            <w:tcW w:w="1808" w:type="dxa"/>
            <w:vAlign w:val="center"/>
          </w:tcPr>
          <w:p w14:paraId="71F322E5">
            <w:pPr>
              <w:pStyle w:val="70"/>
              <w:rPr>
                <w:color w:val="000000" w:themeColor="text1"/>
                <w14:textFill>
                  <w14:solidFill>
                    <w14:schemeClr w14:val="tx1"/>
                  </w14:solidFill>
                </w14:textFill>
              </w:rPr>
            </w:pPr>
            <w:r>
              <w:rPr>
                <w:color w:val="000000" w:themeColor="text1"/>
                <w14:textFill>
                  <w14:solidFill>
                    <w14:schemeClr w14:val="tx1"/>
                  </w14:solidFill>
                </w14:textFill>
              </w:rPr>
              <w:t>5</w:t>
            </w:r>
          </w:p>
        </w:tc>
      </w:tr>
      <w:tr w14:paraId="69964CD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809" w:type="dxa"/>
            <w:vAlign w:val="center"/>
          </w:tcPr>
          <w:p w14:paraId="47ACB351">
            <w:pPr>
              <w:pStyle w:val="70"/>
              <w:rPr>
                <w:color w:val="000000" w:themeColor="text1"/>
                <w14:textFill>
                  <w14:solidFill>
                    <w14:schemeClr w14:val="tx1"/>
                  </w14:solidFill>
                </w14:textFill>
              </w:rPr>
            </w:pPr>
            <w:r>
              <w:rPr>
                <w:color w:val="000000" w:themeColor="text1"/>
                <w14:textFill>
                  <w14:solidFill>
                    <w14:schemeClr w14:val="tx1"/>
                  </w14:solidFill>
                </w14:textFill>
              </w:rPr>
              <w:t>3</w:t>
            </w:r>
          </w:p>
        </w:tc>
        <w:tc>
          <w:tcPr>
            <w:tcW w:w="1809" w:type="dxa"/>
            <w:vAlign w:val="center"/>
          </w:tcPr>
          <w:p w14:paraId="149886DC">
            <w:pPr>
              <w:pStyle w:val="70"/>
              <w:rPr>
                <w:color w:val="000000" w:themeColor="text1"/>
                <w14:textFill>
                  <w14:solidFill>
                    <w14:schemeClr w14:val="tx1"/>
                  </w14:solidFill>
                </w14:textFill>
              </w:rPr>
            </w:pPr>
            <w:r>
              <w:rPr>
                <w:color w:val="000000" w:themeColor="text1"/>
                <w14:textFill>
                  <w14:solidFill>
                    <w14:schemeClr w14:val="tx1"/>
                  </w14:solidFill>
                </w14:textFill>
              </w:rPr>
              <w:t>铅（×10</w:t>
            </w:r>
            <w:r>
              <w:rPr>
                <w:color w:val="000000" w:themeColor="text1"/>
                <w:vertAlign w:val="superscript"/>
                <w14:textFill>
                  <w14:solidFill>
                    <w14:schemeClr w14:val="tx1"/>
                  </w14:solidFill>
                </w14:textFill>
              </w:rPr>
              <w:t>-6</w:t>
            </w:r>
            <w:r>
              <w:rPr>
                <w:color w:val="000000" w:themeColor="text1"/>
                <w14:textFill>
                  <w14:solidFill>
                    <w14:schemeClr w14:val="tx1"/>
                  </w14:solidFill>
                </w14:textFill>
              </w:rPr>
              <w:t>）</w:t>
            </w:r>
          </w:p>
        </w:tc>
        <w:tc>
          <w:tcPr>
            <w:tcW w:w="1808" w:type="dxa"/>
            <w:vAlign w:val="center"/>
          </w:tcPr>
          <w:p w14:paraId="1CD15ED8">
            <w:pPr>
              <w:pStyle w:val="70"/>
              <w:rPr>
                <w:color w:val="000000" w:themeColor="text1"/>
                <w14:textFill>
                  <w14:solidFill>
                    <w14:schemeClr w14:val="tx1"/>
                  </w14:solidFill>
                </w14:textFill>
              </w:rPr>
            </w:pPr>
            <w:r>
              <w:rPr>
                <w:color w:val="000000" w:themeColor="text1"/>
                <w14:textFill>
                  <w14:solidFill>
                    <w14:schemeClr w14:val="tx1"/>
                  </w14:solidFill>
                </w14:textFill>
              </w:rPr>
              <w:t>60</w:t>
            </w:r>
          </w:p>
        </w:tc>
        <w:tc>
          <w:tcPr>
            <w:tcW w:w="1808" w:type="dxa"/>
            <w:vAlign w:val="center"/>
          </w:tcPr>
          <w:p w14:paraId="68D8A7DC">
            <w:pPr>
              <w:pStyle w:val="70"/>
              <w:rPr>
                <w:color w:val="000000" w:themeColor="text1"/>
                <w14:textFill>
                  <w14:solidFill>
                    <w14:schemeClr w14:val="tx1"/>
                  </w14:solidFill>
                </w14:textFill>
              </w:rPr>
            </w:pPr>
            <w:r>
              <w:rPr>
                <w:color w:val="000000" w:themeColor="text1"/>
                <w14:textFill>
                  <w14:solidFill>
                    <w14:schemeClr w14:val="tx1"/>
                  </w14:solidFill>
                </w14:textFill>
              </w:rPr>
              <w:t>130</w:t>
            </w:r>
          </w:p>
        </w:tc>
        <w:tc>
          <w:tcPr>
            <w:tcW w:w="1808" w:type="dxa"/>
            <w:vAlign w:val="center"/>
          </w:tcPr>
          <w:p w14:paraId="76A3E162">
            <w:pPr>
              <w:pStyle w:val="70"/>
              <w:rPr>
                <w:color w:val="000000" w:themeColor="text1"/>
                <w14:textFill>
                  <w14:solidFill>
                    <w14:schemeClr w14:val="tx1"/>
                  </w14:solidFill>
                </w14:textFill>
              </w:rPr>
            </w:pPr>
            <w:r>
              <w:rPr>
                <w:color w:val="000000" w:themeColor="text1"/>
                <w14:textFill>
                  <w14:solidFill>
                    <w14:schemeClr w14:val="tx1"/>
                  </w14:solidFill>
                </w14:textFill>
              </w:rPr>
              <w:t>250</w:t>
            </w:r>
          </w:p>
        </w:tc>
      </w:tr>
      <w:tr w14:paraId="68787F2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809" w:type="dxa"/>
            <w:vAlign w:val="center"/>
          </w:tcPr>
          <w:p w14:paraId="66DC2A49">
            <w:pPr>
              <w:pStyle w:val="70"/>
              <w:rPr>
                <w:color w:val="000000" w:themeColor="text1"/>
                <w14:textFill>
                  <w14:solidFill>
                    <w14:schemeClr w14:val="tx1"/>
                  </w14:solidFill>
                </w14:textFill>
              </w:rPr>
            </w:pPr>
            <w:r>
              <w:rPr>
                <w:color w:val="000000" w:themeColor="text1"/>
                <w14:textFill>
                  <w14:solidFill>
                    <w14:schemeClr w14:val="tx1"/>
                  </w14:solidFill>
                </w14:textFill>
              </w:rPr>
              <w:t>4</w:t>
            </w:r>
          </w:p>
        </w:tc>
        <w:tc>
          <w:tcPr>
            <w:tcW w:w="1809" w:type="dxa"/>
            <w:vAlign w:val="center"/>
          </w:tcPr>
          <w:p w14:paraId="4B8FB391">
            <w:pPr>
              <w:pStyle w:val="70"/>
              <w:rPr>
                <w:color w:val="000000" w:themeColor="text1"/>
                <w14:textFill>
                  <w14:solidFill>
                    <w14:schemeClr w14:val="tx1"/>
                  </w14:solidFill>
                </w14:textFill>
              </w:rPr>
            </w:pPr>
            <w:r>
              <w:rPr>
                <w:color w:val="000000" w:themeColor="text1"/>
                <w14:textFill>
                  <w14:solidFill>
                    <w14:schemeClr w14:val="tx1"/>
                  </w14:solidFill>
                </w14:textFill>
              </w:rPr>
              <w:t>锌（×10</w:t>
            </w:r>
            <w:r>
              <w:rPr>
                <w:color w:val="000000" w:themeColor="text1"/>
                <w:vertAlign w:val="superscript"/>
                <w14:textFill>
                  <w14:solidFill>
                    <w14:schemeClr w14:val="tx1"/>
                  </w14:solidFill>
                </w14:textFill>
              </w:rPr>
              <w:t>-6</w:t>
            </w:r>
            <w:r>
              <w:rPr>
                <w:color w:val="000000" w:themeColor="text1"/>
                <w14:textFill>
                  <w14:solidFill>
                    <w14:schemeClr w14:val="tx1"/>
                  </w14:solidFill>
                </w14:textFill>
              </w:rPr>
              <w:t>）</w:t>
            </w:r>
          </w:p>
        </w:tc>
        <w:tc>
          <w:tcPr>
            <w:tcW w:w="1808" w:type="dxa"/>
            <w:vAlign w:val="center"/>
          </w:tcPr>
          <w:p w14:paraId="1F6859D3">
            <w:pPr>
              <w:pStyle w:val="70"/>
              <w:rPr>
                <w:color w:val="000000" w:themeColor="text1"/>
                <w14:textFill>
                  <w14:solidFill>
                    <w14:schemeClr w14:val="tx1"/>
                  </w14:solidFill>
                </w14:textFill>
              </w:rPr>
            </w:pPr>
            <w:r>
              <w:rPr>
                <w:color w:val="000000" w:themeColor="text1"/>
                <w14:textFill>
                  <w14:solidFill>
                    <w14:schemeClr w14:val="tx1"/>
                  </w14:solidFill>
                </w14:textFill>
              </w:rPr>
              <w:t>150</w:t>
            </w:r>
          </w:p>
        </w:tc>
        <w:tc>
          <w:tcPr>
            <w:tcW w:w="1808" w:type="dxa"/>
            <w:vAlign w:val="center"/>
          </w:tcPr>
          <w:p w14:paraId="4166ABBB">
            <w:pPr>
              <w:pStyle w:val="70"/>
              <w:rPr>
                <w:color w:val="000000" w:themeColor="text1"/>
                <w14:textFill>
                  <w14:solidFill>
                    <w14:schemeClr w14:val="tx1"/>
                  </w14:solidFill>
                </w14:textFill>
              </w:rPr>
            </w:pPr>
            <w:r>
              <w:rPr>
                <w:color w:val="000000" w:themeColor="text1"/>
                <w14:textFill>
                  <w14:solidFill>
                    <w14:schemeClr w14:val="tx1"/>
                  </w14:solidFill>
                </w14:textFill>
              </w:rPr>
              <w:t>350</w:t>
            </w:r>
          </w:p>
        </w:tc>
        <w:tc>
          <w:tcPr>
            <w:tcW w:w="1808" w:type="dxa"/>
            <w:vAlign w:val="center"/>
          </w:tcPr>
          <w:p w14:paraId="3CFE2ECA">
            <w:pPr>
              <w:pStyle w:val="70"/>
              <w:rPr>
                <w:color w:val="000000" w:themeColor="text1"/>
                <w14:textFill>
                  <w14:solidFill>
                    <w14:schemeClr w14:val="tx1"/>
                  </w14:solidFill>
                </w14:textFill>
              </w:rPr>
            </w:pPr>
            <w:r>
              <w:rPr>
                <w:color w:val="000000" w:themeColor="text1"/>
                <w14:textFill>
                  <w14:solidFill>
                    <w14:schemeClr w14:val="tx1"/>
                  </w14:solidFill>
                </w14:textFill>
              </w:rPr>
              <w:t>600</w:t>
            </w:r>
          </w:p>
        </w:tc>
      </w:tr>
      <w:tr w14:paraId="45CE3C2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809" w:type="dxa"/>
            <w:vAlign w:val="center"/>
          </w:tcPr>
          <w:p w14:paraId="4B2F1F77">
            <w:pPr>
              <w:pStyle w:val="70"/>
              <w:rPr>
                <w:color w:val="000000" w:themeColor="text1"/>
                <w14:textFill>
                  <w14:solidFill>
                    <w14:schemeClr w14:val="tx1"/>
                  </w14:solidFill>
                </w14:textFill>
              </w:rPr>
            </w:pPr>
            <w:r>
              <w:rPr>
                <w:color w:val="000000" w:themeColor="text1"/>
                <w14:textFill>
                  <w14:solidFill>
                    <w14:schemeClr w14:val="tx1"/>
                  </w14:solidFill>
                </w14:textFill>
              </w:rPr>
              <w:t>5</w:t>
            </w:r>
          </w:p>
        </w:tc>
        <w:tc>
          <w:tcPr>
            <w:tcW w:w="1809" w:type="dxa"/>
            <w:vAlign w:val="center"/>
          </w:tcPr>
          <w:p w14:paraId="2A8A3C06">
            <w:pPr>
              <w:pStyle w:val="70"/>
              <w:rPr>
                <w:color w:val="000000" w:themeColor="text1"/>
                <w14:textFill>
                  <w14:solidFill>
                    <w14:schemeClr w14:val="tx1"/>
                  </w14:solidFill>
                </w14:textFill>
              </w:rPr>
            </w:pPr>
            <w:r>
              <w:rPr>
                <w:color w:val="000000" w:themeColor="text1"/>
                <w14:textFill>
                  <w14:solidFill>
                    <w14:schemeClr w14:val="tx1"/>
                  </w14:solidFill>
                </w14:textFill>
              </w:rPr>
              <w:t>铜（×10</w:t>
            </w:r>
            <w:r>
              <w:rPr>
                <w:color w:val="000000" w:themeColor="text1"/>
                <w:vertAlign w:val="superscript"/>
                <w14:textFill>
                  <w14:solidFill>
                    <w14:schemeClr w14:val="tx1"/>
                  </w14:solidFill>
                </w14:textFill>
              </w:rPr>
              <w:t>-6</w:t>
            </w:r>
            <w:r>
              <w:rPr>
                <w:color w:val="000000" w:themeColor="text1"/>
                <w14:textFill>
                  <w14:solidFill>
                    <w14:schemeClr w14:val="tx1"/>
                  </w14:solidFill>
                </w14:textFill>
              </w:rPr>
              <w:t>）</w:t>
            </w:r>
          </w:p>
        </w:tc>
        <w:tc>
          <w:tcPr>
            <w:tcW w:w="1808" w:type="dxa"/>
            <w:vAlign w:val="center"/>
          </w:tcPr>
          <w:p w14:paraId="517BEFB2">
            <w:pPr>
              <w:pStyle w:val="70"/>
              <w:rPr>
                <w:color w:val="000000" w:themeColor="text1"/>
                <w14:textFill>
                  <w14:solidFill>
                    <w14:schemeClr w14:val="tx1"/>
                  </w14:solidFill>
                </w14:textFill>
              </w:rPr>
            </w:pPr>
            <w:r>
              <w:rPr>
                <w:color w:val="000000" w:themeColor="text1"/>
                <w14:textFill>
                  <w14:solidFill>
                    <w14:schemeClr w14:val="tx1"/>
                  </w14:solidFill>
                </w14:textFill>
              </w:rPr>
              <w:t>35</w:t>
            </w:r>
          </w:p>
        </w:tc>
        <w:tc>
          <w:tcPr>
            <w:tcW w:w="1808" w:type="dxa"/>
            <w:vAlign w:val="center"/>
          </w:tcPr>
          <w:p w14:paraId="01560169">
            <w:pPr>
              <w:pStyle w:val="70"/>
              <w:rPr>
                <w:color w:val="000000" w:themeColor="text1"/>
                <w14:textFill>
                  <w14:solidFill>
                    <w14:schemeClr w14:val="tx1"/>
                  </w14:solidFill>
                </w14:textFill>
              </w:rPr>
            </w:pPr>
            <w:r>
              <w:rPr>
                <w:color w:val="000000" w:themeColor="text1"/>
                <w14:textFill>
                  <w14:solidFill>
                    <w14:schemeClr w14:val="tx1"/>
                  </w14:solidFill>
                </w14:textFill>
              </w:rPr>
              <w:t>100</w:t>
            </w:r>
          </w:p>
        </w:tc>
        <w:tc>
          <w:tcPr>
            <w:tcW w:w="1808" w:type="dxa"/>
            <w:vAlign w:val="center"/>
          </w:tcPr>
          <w:p w14:paraId="5AFC21CC">
            <w:pPr>
              <w:pStyle w:val="70"/>
              <w:rPr>
                <w:color w:val="000000" w:themeColor="text1"/>
                <w14:textFill>
                  <w14:solidFill>
                    <w14:schemeClr w14:val="tx1"/>
                  </w14:solidFill>
                </w14:textFill>
              </w:rPr>
            </w:pPr>
            <w:r>
              <w:rPr>
                <w:color w:val="000000" w:themeColor="text1"/>
                <w14:textFill>
                  <w14:solidFill>
                    <w14:schemeClr w14:val="tx1"/>
                  </w14:solidFill>
                </w14:textFill>
              </w:rPr>
              <w:t>200</w:t>
            </w:r>
          </w:p>
        </w:tc>
      </w:tr>
      <w:tr w14:paraId="382DD39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809" w:type="dxa"/>
            <w:vAlign w:val="center"/>
          </w:tcPr>
          <w:p w14:paraId="05483136">
            <w:pPr>
              <w:pStyle w:val="70"/>
              <w:rPr>
                <w:color w:val="000000" w:themeColor="text1"/>
                <w14:textFill>
                  <w14:solidFill>
                    <w14:schemeClr w14:val="tx1"/>
                  </w14:solidFill>
                </w14:textFill>
              </w:rPr>
            </w:pPr>
            <w:r>
              <w:rPr>
                <w:color w:val="000000" w:themeColor="text1"/>
                <w14:textFill>
                  <w14:solidFill>
                    <w14:schemeClr w14:val="tx1"/>
                  </w14:solidFill>
                </w14:textFill>
              </w:rPr>
              <w:t>6</w:t>
            </w:r>
          </w:p>
        </w:tc>
        <w:tc>
          <w:tcPr>
            <w:tcW w:w="1809" w:type="dxa"/>
            <w:vAlign w:val="center"/>
          </w:tcPr>
          <w:p w14:paraId="798D8AAC">
            <w:pPr>
              <w:pStyle w:val="70"/>
              <w:rPr>
                <w:color w:val="000000" w:themeColor="text1"/>
                <w14:textFill>
                  <w14:solidFill>
                    <w14:schemeClr w14:val="tx1"/>
                  </w14:solidFill>
                </w14:textFill>
              </w:rPr>
            </w:pPr>
            <w:r>
              <w:rPr>
                <w:color w:val="000000" w:themeColor="text1"/>
                <w14:textFill>
                  <w14:solidFill>
                    <w14:schemeClr w14:val="tx1"/>
                  </w14:solidFill>
                </w14:textFill>
              </w:rPr>
              <w:t>铬（×10</w:t>
            </w:r>
            <w:r>
              <w:rPr>
                <w:color w:val="000000" w:themeColor="text1"/>
                <w:vertAlign w:val="superscript"/>
                <w14:textFill>
                  <w14:solidFill>
                    <w14:schemeClr w14:val="tx1"/>
                  </w14:solidFill>
                </w14:textFill>
              </w:rPr>
              <w:t>-6</w:t>
            </w:r>
            <w:r>
              <w:rPr>
                <w:color w:val="000000" w:themeColor="text1"/>
                <w14:textFill>
                  <w14:solidFill>
                    <w14:schemeClr w14:val="tx1"/>
                  </w14:solidFill>
                </w14:textFill>
              </w:rPr>
              <w:t>）</w:t>
            </w:r>
          </w:p>
        </w:tc>
        <w:tc>
          <w:tcPr>
            <w:tcW w:w="1808" w:type="dxa"/>
            <w:vAlign w:val="center"/>
          </w:tcPr>
          <w:p w14:paraId="11AD6807">
            <w:pPr>
              <w:pStyle w:val="70"/>
              <w:rPr>
                <w:color w:val="000000" w:themeColor="text1"/>
                <w14:textFill>
                  <w14:solidFill>
                    <w14:schemeClr w14:val="tx1"/>
                  </w14:solidFill>
                </w14:textFill>
              </w:rPr>
            </w:pPr>
            <w:r>
              <w:rPr>
                <w:color w:val="000000" w:themeColor="text1"/>
                <w14:textFill>
                  <w14:solidFill>
                    <w14:schemeClr w14:val="tx1"/>
                  </w14:solidFill>
                </w14:textFill>
              </w:rPr>
              <w:t>80</w:t>
            </w:r>
          </w:p>
        </w:tc>
        <w:tc>
          <w:tcPr>
            <w:tcW w:w="1808" w:type="dxa"/>
            <w:vAlign w:val="center"/>
          </w:tcPr>
          <w:p w14:paraId="617F2239">
            <w:pPr>
              <w:pStyle w:val="70"/>
              <w:rPr>
                <w:color w:val="000000" w:themeColor="text1"/>
                <w14:textFill>
                  <w14:solidFill>
                    <w14:schemeClr w14:val="tx1"/>
                  </w14:solidFill>
                </w14:textFill>
              </w:rPr>
            </w:pPr>
            <w:r>
              <w:rPr>
                <w:color w:val="000000" w:themeColor="text1"/>
                <w14:textFill>
                  <w14:solidFill>
                    <w14:schemeClr w14:val="tx1"/>
                  </w14:solidFill>
                </w14:textFill>
              </w:rPr>
              <w:t>150</w:t>
            </w:r>
          </w:p>
        </w:tc>
        <w:tc>
          <w:tcPr>
            <w:tcW w:w="1808" w:type="dxa"/>
            <w:vAlign w:val="center"/>
          </w:tcPr>
          <w:p w14:paraId="0DF2B520">
            <w:pPr>
              <w:pStyle w:val="70"/>
              <w:rPr>
                <w:color w:val="000000" w:themeColor="text1"/>
                <w14:textFill>
                  <w14:solidFill>
                    <w14:schemeClr w14:val="tx1"/>
                  </w14:solidFill>
                </w14:textFill>
              </w:rPr>
            </w:pPr>
            <w:r>
              <w:rPr>
                <w:color w:val="000000" w:themeColor="text1"/>
                <w14:textFill>
                  <w14:solidFill>
                    <w14:schemeClr w14:val="tx1"/>
                  </w14:solidFill>
                </w14:textFill>
              </w:rPr>
              <w:t>270</w:t>
            </w:r>
          </w:p>
        </w:tc>
      </w:tr>
      <w:tr w14:paraId="0612C09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809" w:type="dxa"/>
            <w:vAlign w:val="center"/>
          </w:tcPr>
          <w:p w14:paraId="3B32D5F5">
            <w:pPr>
              <w:pStyle w:val="70"/>
              <w:rPr>
                <w:color w:val="000000" w:themeColor="text1"/>
                <w14:textFill>
                  <w14:solidFill>
                    <w14:schemeClr w14:val="tx1"/>
                  </w14:solidFill>
                </w14:textFill>
              </w:rPr>
            </w:pPr>
            <w:r>
              <w:rPr>
                <w:color w:val="000000" w:themeColor="text1"/>
                <w14:textFill>
                  <w14:solidFill>
                    <w14:schemeClr w14:val="tx1"/>
                  </w14:solidFill>
                </w14:textFill>
              </w:rPr>
              <w:t>7</w:t>
            </w:r>
          </w:p>
        </w:tc>
        <w:tc>
          <w:tcPr>
            <w:tcW w:w="1809" w:type="dxa"/>
            <w:vAlign w:val="center"/>
          </w:tcPr>
          <w:p w14:paraId="12CEFB2D">
            <w:pPr>
              <w:pStyle w:val="70"/>
              <w:rPr>
                <w:color w:val="000000" w:themeColor="text1"/>
                <w14:textFill>
                  <w14:solidFill>
                    <w14:schemeClr w14:val="tx1"/>
                  </w14:solidFill>
                </w14:textFill>
              </w:rPr>
            </w:pPr>
            <w:r>
              <w:rPr>
                <w:color w:val="000000" w:themeColor="text1"/>
                <w14:textFill>
                  <w14:solidFill>
                    <w14:schemeClr w14:val="tx1"/>
                  </w14:solidFill>
                </w14:textFill>
              </w:rPr>
              <w:t>砷（×10</w:t>
            </w:r>
            <w:r>
              <w:rPr>
                <w:color w:val="000000" w:themeColor="text1"/>
                <w:vertAlign w:val="superscript"/>
                <w14:textFill>
                  <w14:solidFill>
                    <w14:schemeClr w14:val="tx1"/>
                  </w14:solidFill>
                </w14:textFill>
              </w:rPr>
              <w:t>-6</w:t>
            </w:r>
            <w:r>
              <w:rPr>
                <w:color w:val="000000" w:themeColor="text1"/>
                <w14:textFill>
                  <w14:solidFill>
                    <w14:schemeClr w14:val="tx1"/>
                  </w14:solidFill>
                </w14:textFill>
              </w:rPr>
              <w:t>）</w:t>
            </w:r>
          </w:p>
        </w:tc>
        <w:tc>
          <w:tcPr>
            <w:tcW w:w="1808" w:type="dxa"/>
            <w:vAlign w:val="center"/>
          </w:tcPr>
          <w:p w14:paraId="1CBDC4AB">
            <w:pPr>
              <w:pStyle w:val="70"/>
              <w:rPr>
                <w:color w:val="000000" w:themeColor="text1"/>
                <w14:textFill>
                  <w14:solidFill>
                    <w14:schemeClr w14:val="tx1"/>
                  </w14:solidFill>
                </w14:textFill>
              </w:rPr>
            </w:pPr>
            <w:r>
              <w:rPr>
                <w:color w:val="000000" w:themeColor="text1"/>
                <w14:textFill>
                  <w14:solidFill>
                    <w14:schemeClr w14:val="tx1"/>
                  </w14:solidFill>
                </w14:textFill>
              </w:rPr>
              <w:t>20</w:t>
            </w:r>
          </w:p>
        </w:tc>
        <w:tc>
          <w:tcPr>
            <w:tcW w:w="1808" w:type="dxa"/>
            <w:vAlign w:val="center"/>
          </w:tcPr>
          <w:p w14:paraId="097F8BF6">
            <w:pPr>
              <w:pStyle w:val="70"/>
              <w:rPr>
                <w:color w:val="000000" w:themeColor="text1"/>
                <w14:textFill>
                  <w14:solidFill>
                    <w14:schemeClr w14:val="tx1"/>
                  </w14:solidFill>
                </w14:textFill>
              </w:rPr>
            </w:pPr>
            <w:r>
              <w:rPr>
                <w:color w:val="000000" w:themeColor="text1"/>
                <w14:textFill>
                  <w14:solidFill>
                    <w14:schemeClr w14:val="tx1"/>
                  </w14:solidFill>
                </w14:textFill>
              </w:rPr>
              <w:t>65</w:t>
            </w:r>
          </w:p>
        </w:tc>
        <w:tc>
          <w:tcPr>
            <w:tcW w:w="1808" w:type="dxa"/>
            <w:vAlign w:val="center"/>
          </w:tcPr>
          <w:p w14:paraId="72EC0F2E">
            <w:pPr>
              <w:pStyle w:val="70"/>
              <w:rPr>
                <w:color w:val="000000" w:themeColor="text1"/>
                <w14:textFill>
                  <w14:solidFill>
                    <w14:schemeClr w14:val="tx1"/>
                  </w14:solidFill>
                </w14:textFill>
              </w:rPr>
            </w:pPr>
            <w:r>
              <w:rPr>
                <w:color w:val="000000" w:themeColor="text1"/>
                <w14:textFill>
                  <w14:solidFill>
                    <w14:schemeClr w14:val="tx1"/>
                  </w14:solidFill>
                </w14:textFill>
              </w:rPr>
              <w:t>93</w:t>
            </w:r>
          </w:p>
        </w:tc>
      </w:tr>
      <w:tr w14:paraId="0E624AC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809" w:type="dxa"/>
            <w:vAlign w:val="center"/>
          </w:tcPr>
          <w:p w14:paraId="314FF488">
            <w:pPr>
              <w:pStyle w:val="70"/>
              <w:rPr>
                <w:color w:val="000000" w:themeColor="text1"/>
                <w14:textFill>
                  <w14:solidFill>
                    <w14:schemeClr w14:val="tx1"/>
                  </w14:solidFill>
                </w14:textFill>
              </w:rPr>
            </w:pPr>
            <w:r>
              <w:rPr>
                <w:color w:val="000000" w:themeColor="text1"/>
                <w14:textFill>
                  <w14:solidFill>
                    <w14:schemeClr w14:val="tx1"/>
                  </w14:solidFill>
                </w14:textFill>
              </w:rPr>
              <w:t>8</w:t>
            </w:r>
          </w:p>
        </w:tc>
        <w:tc>
          <w:tcPr>
            <w:tcW w:w="1809" w:type="dxa"/>
            <w:vAlign w:val="center"/>
          </w:tcPr>
          <w:p w14:paraId="605B9933">
            <w:pPr>
              <w:pStyle w:val="70"/>
              <w:rPr>
                <w:color w:val="000000" w:themeColor="text1"/>
                <w14:textFill>
                  <w14:solidFill>
                    <w14:schemeClr w14:val="tx1"/>
                  </w14:solidFill>
                </w14:textFill>
              </w:rPr>
            </w:pPr>
            <w:r>
              <w:rPr>
                <w:color w:val="000000" w:themeColor="text1"/>
                <w14:textFill>
                  <w14:solidFill>
                    <w14:schemeClr w14:val="tx1"/>
                  </w14:solidFill>
                </w14:textFill>
              </w:rPr>
              <w:t>有机碳（×10</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w:t>
            </w:r>
          </w:p>
        </w:tc>
        <w:tc>
          <w:tcPr>
            <w:tcW w:w="1808" w:type="dxa"/>
            <w:vAlign w:val="center"/>
          </w:tcPr>
          <w:p w14:paraId="4312075B">
            <w:pPr>
              <w:pStyle w:val="70"/>
              <w:rPr>
                <w:color w:val="000000" w:themeColor="text1"/>
                <w14:textFill>
                  <w14:solidFill>
                    <w14:schemeClr w14:val="tx1"/>
                  </w14:solidFill>
                </w14:textFill>
              </w:rPr>
            </w:pPr>
            <w:r>
              <w:rPr>
                <w:color w:val="000000" w:themeColor="text1"/>
                <w14:textFill>
                  <w14:solidFill>
                    <w14:schemeClr w14:val="tx1"/>
                  </w14:solidFill>
                </w14:textFill>
              </w:rPr>
              <w:t>2</w:t>
            </w:r>
          </w:p>
        </w:tc>
        <w:tc>
          <w:tcPr>
            <w:tcW w:w="1808" w:type="dxa"/>
            <w:vAlign w:val="center"/>
          </w:tcPr>
          <w:p w14:paraId="55D4B674">
            <w:pPr>
              <w:pStyle w:val="70"/>
              <w:rPr>
                <w:color w:val="000000" w:themeColor="text1"/>
                <w14:textFill>
                  <w14:solidFill>
                    <w14:schemeClr w14:val="tx1"/>
                  </w14:solidFill>
                </w14:textFill>
              </w:rPr>
            </w:pPr>
            <w:r>
              <w:rPr>
                <w:color w:val="000000" w:themeColor="text1"/>
                <w14:textFill>
                  <w14:solidFill>
                    <w14:schemeClr w14:val="tx1"/>
                  </w14:solidFill>
                </w14:textFill>
              </w:rPr>
              <w:t>3</w:t>
            </w:r>
          </w:p>
        </w:tc>
        <w:tc>
          <w:tcPr>
            <w:tcW w:w="1808" w:type="dxa"/>
            <w:vAlign w:val="center"/>
          </w:tcPr>
          <w:p w14:paraId="24E5C38C">
            <w:pPr>
              <w:pStyle w:val="70"/>
              <w:rPr>
                <w:color w:val="000000" w:themeColor="text1"/>
                <w14:textFill>
                  <w14:solidFill>
                    <w14:schemeClr w14:val="tx1"/>
                  </w14:solidFill>
                </w14:textFill>
              </w:rPr>
            </w:pPr>
            <w:r>
              <w:rPr>
                <w:color w:val="000000" w:themeColor="text1"/>
                <w14:textFill>
                  <w14:solidFill>
                    <w14:schemeClr w14:val="tx1"/>
                  </w14:solidFill>
                </w14:textFill>
              </w:rPr>
              <w:t>4</w:t>
            </w:r>
          </w:p>
        </w:tc>
      </w:tr>
      <w:tr w14:paraId="276ED25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809" w:type="dxa"/>
            <w:vAlign w:val="center"/>
          </w:tcPr>
          <w:p w14:paraId="257CB885">
            <w:pPr>
              <w:pStyle w:val="70"/>
              <w:rPr>
                <w:color w:val="000000" w:themeColor="text1"/>
                <w14:textFill>
                  <w14:solidFill>
                    <w14:schemeClr w14:val="tx1"/>
                  </w14:solidFill>
                </w14:textFill>
              </w:rPr>
            </w:pPr>
            <w:r>
              <w:rPr>
                <w:color w:val="000000" w:themeColor="text1"/>
                <w14:textFill>
                  <w14:solidFill>
                    <w14:schemeClr w14:val="tx1"/>
                  </w14:solidFill>
                </w14:textFill>
              </w:rPr>
              <w:t>9</w:t>
            </w:r>
          </w:p>
        </w:tc>
        <w:tc>
          <w:tcPr>
            <w:tcW w:w="1809" w:type="dxa"/>
            <w:vAlign w:val="center"/>
          </w:tcPr>
          <w:p w14:paraId="376CC090">
            <w:pPr>
              <w:pStyle w:val="70"/>
              <w:rPr>
                <w:color w:val="000000" w:themeColor="text1"/>
                <w14:textFill>
                  <w14:solidFill>
                    <w14:schemeClr w14:val="tx1"/>
                  </w14:solidFill>
                </w14:textFill>
              </w:rPr>
            </w:pPr>
            <w:r>
              <w:rPr>
                <w:color w:val="000000" w:themeColor="text1"/>
                <w14:textFill>
                  <w14:solidFill>
                    <w14:schemeClr w14:val="tx1"/>
                  </w14:solidFill>
                </w14:textFill>
              </w:rPr>
              <w:t>硫化物（×10</w:t>
            </w:r>
            <w:r>
              <w:rPr>
                <w:color w:val="000000" w:themeColor="text1"/>
                <w:vertAlign w:val="superscript"/>
                <w14:textFill>
                  <w14:solidFill>
                    <w14:schemeClr w14:val="tx1"/>
                  </w14:solidFill>
                </w14:textFill>
              </w:rPr>
              <w:t>-6</w:t>
            </w:r>
            <w:r>
              <w:rPr>
                <w:color w:val="000000" w:themeColor="text1"/>
                <w14:textFill>
                  <w14:solidFill>
                    <w14:schemeClr w14:val="tx1"/>
                  </w14:solidFill>
                </w14:textFill>
              </w:rPr>
              <w:t>）</w:t>
            </w:r>
          </w:p>
        </w:tc>
        <w:tc>
          <w:tcPr>
            <w:tcW w:w="1808" w:type="dxa"/>
            <w:vAlign w:val="center"/>
          </w:tcPr>
          <w:p w14:paraId="60A49466">
            <w:pPr>
              <w:pStyle w:val="70"/>
              <w:rPr>
                <w:color w:val="000000" w:themeColor="text1"/>
                <w14:textFill>
                  <w14:solidFill>
                    <w14:schemeClr w14:val="tx1"/>
                  </w14:solidFill>
                </w14:textFill>
              </w:rPr>
            </w:pPr>
            <w:r>
              <w:rPr>
                <w:color w:val="000000" w:themeColor="text1"/>
                <w14:textFill>
                  <w14:solidFill>
                    <w14:schemeClr w14:val="tx1"/>
                  </w14:solidFill>
                </w14:textFill>
              </w:rPr>
              <w:t>300</w:t>
            </w:r>
          </w:p>
        </w:tc>
        <w:tc>
          <w:tcPr>
            <w:tcW w:w="1808" w:type="dxa"/>
            <w:vAlign w:val="center"/>
          </w:tcPr>
          <w:p w14:paraId="4FA3579D">
            <w:pPr>
              <w:pStyle w:val="70"/>
              <w:rPr>
                <w:color w:val="000000" w:themeColor="text1"/>
                <w14:textFill>
                  <w14:solidFill>
                    <w14:schemeClr w14:val="tx1"/>
                  </w14:solidFill>
                </w14:textFill>
              </w:rPr>
            </w:pPr>
            <w:r>
              <w:rPr>
                <w:color w:val="000000" w:themeColor="text1"/>
                <w14:textFill>
                  <w14:solidFill>
                    <w14:schemeClr w14:val="tx1"/>
                  </w14:solidFill>
                </w14:textFill>
              </w:rPr>
              <w:t>500</w:t>
            </w:r>
          </w:p>
        </w:tc>
        <w:tc>
          <w:tcPr>
            <w:tcW w:w="1808" w:type="dxa"/>
            <w:vAlign w:val="center"/>
          </w:tcPr>
          <w:p w14:paraId="4A01125E">
            <w:pPr>
              <w:pStyle w:val="70"/>
              <w:rPr>
                <w:color w:val="000000" w:themeColor="text1"/>
                <w14:textFill>
                  <w14:solidFill>
                    <w14:schemeClr w14:val="tx1"/>
                  </w14:solidFill>
                </w14:textFill>
              </w:rPr>
            </w:pPr>
            <w:r>
              <w:rPr>
                <w:color w:val="000000" w:themeColor="text1"/>
                <w14:textFill>
                  <w14:solidFill>
                    <w14:schemeClr w14:val="tx1"/>
                  </w14:solidFill>
                </w14:textFill>
              </w:rPr>
              <w:t>600</w:t>
            </w:r>
          </w:p>
        </w:tc>
      </w:tr>
      <w:tr w14:paraId="72382C6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809" w:type="dxa"/>
            <w:vAlign w:val="center"/>
          </w:tcPr>
          <w:p w14:paraId="54C20052">
            <w:pPr>
              <w:pStyle w:val="70"/>
              <w:rPr>
                <w:color w:val="000000" w:themeColor="text1"/>
                <w14:textFill>
                  <w14:solidFill>
                    <w14:schemeClr w14:val="tx1"/>
                  </w14:solidFill>
                </w14:textFill>
              </w:rPr>
            </w:pPr>
            <w:r>
              <w:rPr>
                <w:color w:val="000000" w:themeColor="text1"/>
                <w14:textFill>
                  <w14:solidFill>
                    <w14:schemeClr w14:val="tx1"/>
                  </w14:solidFill>
                </w14:textFill>
              </w:rPr>
              <w:t>10</w:t>
            </w:r>
          </w:p>
        </w:tc>
        <w:tc>
          <w:tcPr>
            <w:tcW w:w="1809" w:type="dxa"/>
            <w:vAlign w:val="center"/>
          </w:tcPr>
          <w:p w14:paraId="3375CE8C">
            <w:pPr>
              <w:pStyle w:val="70"/>
              <w:rPr>
                <w:color w:val="000000" w:themeColor="text1"/>
                <w14:textFill>
                  <w14:solidFill>
                    <w14:schemeClr w14:val="tx1"/>
                  </w14:solidFill>
                </w14:textFill>
              </w:rPr>
            </w:pPr>
            <w:r>
              <w:rPr>
                <w:color w:val="000000" w:themeColor="text1"/>
                <w14:textFill>
                  <w14:solidFill>
                    <w14:schemeClr w14:val="tx1"/>
                  </w14:solidFill>
                </w14:textFill>
              </w:rPr>
              <w:t>石油类（×10</w:t>
            </w:r>
            <w:r>
              <w:rPr>
                <w:color w:val="000000" w:themeColor="text1"/>
                <w:vertAlign w:val="superscript"/>
                <w14:textFill>
                  <w14:solidFill>
                    <w14:schemeClr w14:val="tx1"/>
                  </w14:solidFill>
                </w14:textFill>
              </w:rPr>
              <w:t>-6</w:t>
            </w:r>
            <w:r>
              <w:rPr>
                <w:color w:val="000000" w:themeColor="text1"/>
                <w14:textFill>
                  <w14:solidFill>
                    <w14:schemeClr w14:val="tx1"/>
                  </w14:solidFill>
                </w14:textFill>
              </w:rPr>
              <w:t>）</w:t>
            </w:r>
          </w:p>
        </w:tc>
        <w:tc>
          <w:tcPr>
            <w:tcW w:w="1808" w:type="dxa"/>
            <w:vAlign w:val="center"/>
          </w:tcPr>
          <w:p w14:paraId="755F0882">
            <w:pPr>
              <w:pStyle w:val="70"/>
              <w:rPr>
                <w:color w:val="000000" w:themeColor="text1"/>
                <w14:textFill>
                  <w14:solidFill>
                    <w14:schemeClr w14:val="tx1"/>
                  </w14:solidFill>
                </w14:textFill>
              </w:rPr>
            </w:pPr>
            <w:r>
              <w:rPr>
                <w:color w:val="000000" w:themeColor="text1"/>
                <w14:textFill>
                  <w14:solidFill>
                    <w14:schemeClr w14:val="tx1"/>
                  </w14:solidFill>
                </w14:textFill>
              </w:rPr>
              <w:t>500</w:t>
            </w:r>
          </w:p>
        </w:tc>
        <w:tc>
          <w:tcPr>
            <w:tcW w:w="1808" w:type="dxa"/>
            <w:vAlign w:val="center"/>
          </w:tcPr>
          <w:p w14:paraId="431DAB3E">
            <w:pPr>
              <w:pStyle w:val="70"/>
              <w:rPr>
                <w:color w:val="000000" w:themeColor="text1"/>
                <w14:textFill>
                  <w14:solidFill>
                    <w14:schemeClr w14:val="tx1"/>
                  </w14:solidFill>
                </w14:textFill>
              </w:rPr>
            </w:pPr>
            <w:r>
              <w:rPr>
                <w:color w:val="000000" w:themeColor="text1"/>
                <w14:textFill>
                  <w14:solidFill>
                    <w14:schemeClr w14:val="tx1"/>
                  </w14:solidFill>
                </w14:textFill>
              </w:rPr>
              <w:t>1000</w:t>
            </w:r>
          </w:p>
        </w:tc>
        <w:tc>
          <w:tcPr>
            <w:tcW w:w="1808" w:type="dxa"/>
            <w:vAlign w:val="center"/>
          </w:tcPr>
          <w:p w14:paraId="78762328">
            <w:pPr>
              <w:pStyle w:val="70"/>
              <w:rPr>
                <w:color w:val="000000" w:themeColor="text1"/>
                <w14:textFill>
                  <w14:solidFill>
                    <w14:schemeClr w14:val="tx1"/>
                  </w14:solidFill>
                </w14:textFill>
              </w:rPr>
            </w:pPr>
            <w:r>
              <w:rPr>
                <w:color w:val="000000" w:themeColor="text1"/>
                <w14:textFill>
                  <w14:solidFill>
                    <w14:schemeClr w14:val="tx1"/>
                  </w14:solidFill>
                </w14:textFill>
              </w:rPr>
              <w:t>1500</w:t>
            </w:r>
          </w:p>
        </w:tc>
      </w:tr>
    </w:tbl>
    <w:p w14:paraId="6B8E4751">
      <w:pPr>
        <w:pStyle w:val="6"/>
        <w:rPr>
          <w:color w:val="000000" w:themeColor="text1"/>
          <w14:textFill>
            <w14:solidFill>
              <w14:schemeClr w14:val="tx1"/>
            </w14:solidFill>
          </w14:textFill>
        </w:rPr>
      </w:pPr>
      <w:r>
        <w:rPr>
          <w:color w:val="000000" w:themeColor="text1"/>
          <w14:textFill>
            <w14:solidFill>
              <w14:schemeClr w14:val="tx1"/>
            </w14:solidFill>
          </w14:textFill>
        </w:rPr>
        <w:t>土壤环境</w:t>
      </w:r>
    </w:p>
    <w:p w14:paraId="37544C0C">
      <w:pPr>
        <w:ind w:firstLine="480"/>
        <w:rPr>
          <w:color w:val="000000" w:themeColor="text1"/>
          <w14:textFill>
            <w14:solidFill>
              <w14:schemeClr w14:val="tx1"/>
            </w14:solidFill>
          </w14:textFill>
        </w:rPr>
      </w:pPr>
      <w:r>
        <w:rPr>
          <w:color w:val="000000" w:themeColor="text1"/>
          <w14:textFill>
            <w14:solidFill>
              <w14:schemeClr w14:val="tx1"/>
            </w14:solidFill>
          </w14:textFill>
        </w:rPr>
        <w:t>项目周边为港口码头用地，土壤执行《土壤环境质量 建设用地土壤污染风险管控标准（试行）》（GB36600-2018）。</w:t>
      </w:r>
    </w:p>
    <w:p w14:paraId="15F94223">
      <w:pPr>
        <w:pStyle w:val="4"/>
        <w:rPr>
          <w:color w:val="000000" w:themeColor="text1"/>
          <w14:textFill>
            <w14:solidFill>
              <w14:schemeClr w14:val="tx1"/>
            </w14:solidFill>
          </w14:textFill>
        </w:rPr>
      </w:pPr>
      <w:bookmarkStart w:id="89" w:name="_Toc216620335"/>
      <w:bookmarkStart w:id="90" w:name="_Toc216103176"/>
      <w:bookmarkStart w:id="91" w:name="_Toc29131782"/>
      <w:bookmarkStart w:id="92" w:name="_Toc135090174"/>
      <w:bookmarkStart w:id="93" w:name="_Toc136878423"/>
      <w:bookmarkStart w:id="94" w:name="_Toc25436922"/>
      <w:bookmarkStart w:id="95" w:name="_Toc26909968"/>
      <w:r>
        <w:rPr>
          <w:color w:val="000000" w:themeColor="text1"/>
          <w14:textFill>
            <w14:solidFill>
              <w14:schemeClr w14:val="tx1"/>
            </w14:solidFill>
          </w14:textFill>
        </w:rPr>
        <w:t>污染物排放标准</w:t>
      </w:r>
      <w:bookmarkEnd w:id="89"/>
      <w:bookmarkEnd w:id="90"/>
      <w:bookmarkEnd w:id="91"/>
      <w:bookmarkEnd w:id="92"/>
      <w:bookmarkEnd w:id="93"/>
      <w:bookmarkEnd w:id="94"/>
      <w:bookmarkEnd w:id="95"/>
    </w:p>
    <w:p w14:paraId="4C4602ED">
      <w:pPr>
        <w:pStyle w:val="6"/>
        <w:rPr>
          <w:color w:val="000000" w:themeColor="text1"/>
          <w14:textFill>
            <w14:solidFill>
              <w14:schemeClr w14:val="tx1"/>
            </w14:solidFill>
          </w14:textFill>
        </w:rPr>
      </w:pPr>
      <w:r>
        <w:rPr>
          <w:color w:val="000000" w:themeColor="text1"/>
          <w14:textFill>
            <w14:solidFill>
              <w14:schemeClr w14:val="tx1"/>
            </w14:solidFill>
          </w14:textFill>
        </w:rPr>
        <w:t>大气污染物排放标准</w:t>
      </w:r>
    </w:p>
    <w:p w14:paraId="4DE0B57B">
      <w:pPr>
        <w:ind w:firstLine="482"/>
        <w:rPr>
          <w:rFonts w:cs="宋体"/>
          <w:b/>
          <w:bCs/>
          <w:color w:val="000000" w:themeColor="text1"/>
          <w:kern w:val="0"/>
          <w:lang w:bidi="ar"/>
          <w14:textFill>
            <w14:solidFill>
              <w14:schemeClr w14:val="tx1"/>
            </w14:solidFill>
          </w14:textFill>
        </w:rPr>
      </w:pPr>
      <w:r>
        <w:rPr>
          <w:rFonts w:hint="eastAsia" w:cs="宋体"/>
          <w:b/>
          <w:bCs/>
          <w:color w:val="000000" w:themeColor="text1"/>
          <w:kern w:val="0"/>
          <w:lang w:bidi="ar"/>
          <w14:textFill>
            <w14:solidFill>
              <w14:schemeClr w14:val="tx1"/>
            </w14:solidFill>
          </w14:textFill>
        </w:rPr>
        <w:t>1、施工期</w:t>
      </w:r>
    </w:p>
    <w:p w14:paraId="2EA17972">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施工期无组织废气颗粒物、二氧化硫、氮氧化物执行《大气污染物综合排放标准》（GB16297-1996）表2中的无组织排放监控浓度限值。</w:t>
      </w:r>
    </w:p>
    <w:p w14:paraId="1F8BC3D0">
      <w:pPr>
        <w:ind w:firstLine="482"/>
        <w:rPr>
          <w:rFonts w:cs="宋体"/>
          <w:b/>
          <w:bCs/>
          <w:color w:val="000000" w:themeColor="text1"/>
          <w:kern w:val="0"/>
          <w:u w:val="single"/>
          <w:lang w:bidi="ar"/>
          <w14:textFill>
            <w14:solidFill>
              <w14:schemeClr w14:val="tx1"/>
            </w14:solidFill>
          </w14:textFill>
        </w:rPr>
      </w:pPr>
      <w:r>
        <w:rPr>
          <w:rFonts w:hint="eastAsia" w:cs="宋体"/>
          <w:b/>
          <w:bCs/>
          <w:color w:val="000000" w:themeColor="text1"/>
          <w:kern w:val="0"/>
          <w:u w:val="single"/>
          <w:lang w:bidi="ar"/>
          <w14:textFill>
            <w14:solidFill>
              <w14:schemeClr w14:val="tx1"/>
            </w14:solidFill>
          </w14:textFill>
        </w:rPr>
        <w:t>2、营运期</w:t>
      </w:r>
    </w:p>
    <w:p w14:paraId="30CEB2B8">
      <w:pPr>
        <w:ind w:firstLine="482"/>
        <w:rPr>
          <w:b/>
          <w:bCs/>
          <w:color w:val="000000" w:themeColor="text1"/>
          <w:u w:val="single"/>
          <w14:textFill>
            <w14:solidFill>
              <w14:schemeClr w14:val="tx1"/>
            </w14:solidFill>
          </w14:textFill>
        </w:rPr>
      </w:pPr>
      <w:r>
        <w:rPr>
          <w:rFonts w:hint="eastAsia" w:cs="宋体"/>
          <w:b/>
          <w:bCs/>
          <w:color w:val="000000" w:themeColor="text1"/>
          <w:kern w:val="0"/>
          <w:u w:val="single"/>
          <w:lang w:bidi="ar"/>
          <w14:textFill>
            <w14:solidFill>
              <w14:schemeClr w14:val="tx1"/>
            </w14:solidFill>
          </w14:textFill>
        </w:rPr>
        <w:t>①</w:t>
      </w:r>
      <w:r>
        <w:rPr>
          <w:rFonts w:hint="eastAsia"/>
          <w:b/>
          <w:bCs/>
          <w:color w:val="000000" w:themeColor="text1"/>
          <w:u w:val="single"/>
          <w14:textFill>
            <w14:solidFill>
              <w14:schemeClr w14:val="tx1"/>
            </w14:solidFill>
          </w14:textFill>
        </w:rPr>
        <w:t>新增苯乙烯尾气：</w:t>
      </w:r>
    </w:p>
    <w:p w14:paraId="29A8D6BB">
      <w:pPr>
        <w:ind w:firstLine="48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苯乙烯为卸船送至后方台湾见龙钦州高端聚苯乙烯新材料项目，其产生的废气依托台湾见龙钦州高端聚苯乙烯新材料项目进行处置。</w:t>
      </w:r>
    </w:p>
    <w:p w14:paraId="31D1F183">
      <w:pPr>
        <w:ind w:firstLine="48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根据《台湾见龙钦州高端聚苯乙烯新材料项目环境影响报告书》（报批稿）及环评批复（中马园审批环[2025]15号）（附件23）“苯乙烯储罐呼吸废气以及危险废物暂存间废气经 2 套 RTO 装置处 理后分别由 2 根 28.4m 高排气筒（DA001~DA002）排放；苯乙烯执行《合成树脂工业污染物排放标准》（GB31572-2015，含 2024 年修改单）表 4 中大气污染物排放限值”。</w:t>
      </w:r>
    </w:p>
    <w:p w14:paraId="01989DC6">
      <w:pPr>
        <w:ind w:firstLine="482"/>
        <w:rPr>
          <w:rFonts w:cs="宋体"/>
          <w:b/>
          <w:bCs/>
          <w:color w:val="000000" w:themeColor="text1"/>
          <w:kern w:val="0"/>
          <w:u w:val="single"/>
          <w:lang w:bidi="ar"/>
          <w14:textFill>
            <w14:solidFill>
              <w14:schemeClr w14:val="tx1"/>
            </w14:solidFill>
          </w14:textFill>
        </w:rPr>
      </w:pPr>
      <w:r>
        <w:rPr>
          <w:rFonts w:hint="eastAsia"/>
          <w:b/>
          <w:bCs/>
          <w:color w:val="000000" w:themeColor="text1"/>
          <w:u w:val="single"/>
          <w14:textFill>
            <w14:solidFill>
              <w14:schemeClr w14:val="tx1"/>
            </w14:solidFill>
          </w14:textFill>
        </w:rPr>
        <w:t>②</w:t>
      </w:r>
      <w:r>
        <w:rPr>
          <w:rFonts w:hint="eastAsia" w:cs="宋体"/>
          <w:b/>
          <w:bCs/>
          <w:color w:val="000000" w:themeColor="text1"/>
          <w:kern w:val="0"/>
          <w:u w:val="single"/>
          <w:lang w:bidi="ar"/>
          <w14:textFill>
            <w14:solidFill>
              <w14:schemeClr w14:val="tx1"/>
            </w14:solidFill>
          </w14:textFill>
        </w:rPr>
        <w:t>新增棕榈酸化油、脂肪酸混合物尾气</w:t>
      </w:r>
    </w:p>
    <w:p w14:paraId="32664BD9">
      <w:pPr>
        <w:ind w:firstLine="48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棕榈酸化油、脂肪酸混合物为卸船至后方欧德年产 30 万吨生物柴油生产线项目，其产生废气依托欧德年产 30 万吨生物柴油生产线项目进行处置。</w:t>
      </w:r>
    </w:p>
    <w:p w14:paraId="171216F7">
      <w:pPr>
        <w:ind w:firstLine="48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根据《欧德年产 30 万吨生物柴油生产线项目环境影响报告书》（报批稿）及环评批复（中马园审批环[2025]33号）（附件22）“项目运营期生产线工艺废气和储罐大小呼吸废气经 RCO 催化燃烧装置处理后，通过 30m 高排气筒（DA001）排放，DA001 排气筒排放的非甲烷总烃执行《石油炼制工业污染物排放标准》（GB31570-2015，含 2024 年修改单）表 3 大气污染物排放限值要求，氨、硫化氢、臭气浓度执行《恶臭污染物排放标准》（GB14554-1993）表 2 恶臭污染物排放标准值，甲醇执行《大气污染物综合排放标准》（GB16297-1996）表 2 二级标准限值”。</w:t>
      </w:r>
    </w:p>
    <w:p w14:paraId="6D9547E0">
      <w:pPr>
        <w:ind w:firstLine="482"/>
        <w:rPr>
          <w:color w:val="000000" w:themeColor="text1"/>
          <w:u w:val="single"/>
          <w14:textFill>
            <w14:solidFill>
              <w14:schemeClr w14:val="tx1"/>
            </w14:solidFill>
          </w14:textFill>
        </w:rPr>
      </w:pPr>
      <w:r>
        <w:rPr>
          <w:rFonts w:hint="eastAsia"/>
          <w:b/>
          <w:bCs/>
          <w:color w:val="000000" w:themeColor="text1"/>
          <w:u w:val="single"/>
          <w14:textFill>
            <w14:solidFill>
              <w14:schemeClr w14:val="tx1"/>
            </w14:solidFill>
          </w14:textFill>
        </w:rPr>
        <w:t>③</w:t>
      </w:r>
      <w:r>
        <w:rPr>
          <w:rFonts w:hint="eastAsia" w:cs="宋体"/>
          <w:b/>
          <w:bCs/>
          <w:color w:val="000000" w:themeColor="text1"/>
          <w:kern w:val="0"/>
          <w:u w:val="single"/>
          <w:lang w:bidi="ar"/>
          <w14:textFill>
            <w14:solidFill>
              <w14:schemeClr w14:val="tx1"/>
            </w14:solidFill>
          </w14:textFill>
        </w:rPr>
        <w:t>新增裂解C9、脂肪酸甲酯、工业级混合油、纯生物柴油、航空煤油尾气</w:t>
      </w:r>
    </w:p>
    <w:p w14:paraId="26167D8C">
      <w:pPr>
        <w:ind w:firstLine="48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裂解C9、工业级混合油、脂肪酸甲酯、纯生物柴油、航空煤油由后方厂区通过管道输送至码头前沿装船，其产生装船废气，通过现有气相管回到广西恒逸新材料有限公司（广西恒逸新材料有限公司年产120万吨己内酰胺—聚酰胺产业一体化及配套工程项目）进行处理（采用“RTO蓄热式焚烧炉”工艺）。经调查，广西恒逸新材料有限公司RTO蓄热式焚烧炉排气筒高35m，尾气排放执行《石油化学工业污染物排放标准》（GB 31571-2015）及修改单要求。</w:t>
      </w:r>
    </w:p>
    <w:p w14:paraId="31994906">
      <w:pPr>
        <w:ind w:firstLine="482"/>
        <w:rPr>
          <w:rFonts w:cs="宋体"/>
          <w:b/>
          <w:bCs/>
          <w:color w:val="000000" w:themeColor="text1"/>
          <w:kern w:val="0"/>
          <w:lang w:bidi="ar"/>
          <w14:textFill>
            <w14:solidFill>
              <w14:schemeClr w14:val="tx1"/>
            </w14:solidFill>
          </w14:textFill>
        </w:rPr>
      </w:pPr>
      <w:r>
        <w:rPr>
          <w:b/>
          <w:bCs/>
          <w:color w:val="000000" w:themeColor="text1"/>
          <w14:textFill>
            <w14:solidFill>
              <w14:schemeClr w14:val="tx1"/>
            </w14:solidFill>
          </w14:textFill>
        </w:rPr>
        <w:fldChar w:fldCharType="begin"/>
      </w:r>
      <w:r>
        <w:rPr>
          <w:b/>
          <w:bCs/>
          <w:color w:val="000000" w:themeColor="text1"/>
          <w14:textFill>
            <w14:solidFill>
              <w14:schemeClr w14:val="tx1"/>
            </w14:solidFill>
          </w14:textFill>
        </w:rPr>
        <w:instrText xml:space="preserve"> </w:instrText>
      </w:r>
      <w:r>
        <w:rPr>
          <w:rFonts w:hint="eastAsia"/>
          <w:b/>
          <w:bCs/>
          <w:color w:val="000000" w:themeColor="text1"/>
          <w14:textFill>
            <w14:solidFill>
              <w14:schemeClr w14:val="tx1"/>
            </w14:solidFill>
          </w14:textFill>
        </w:rPr>
        <w:instrText xml:space="preserve">= 4 \* GB3</w:instrText>
      </w:r>
      <w:r>
        <w:rPr>
          <w:b/>
          <w:bCs/>
          <w:color w:val="000000" w:themeColor="text1"/>
          <w14:textFill>
            <w14:solidFill>
              <w14:schemeClr w14:val="tx1"/>
            </w14:solidFill>
          </w14:textFill>
        </w:rPr>
        <w:instrText xml:space="preserve"> </w:instrText>
      </w:r>
      <w:r>
        <w:rPr>
          <w:b/>
          <w:bCs/>
          <w:color w:val="000000" w:themeColor="text1"/>
          <w14:textFill>
            <w14:solidFill>
              <w14:schemeClr w14:val="tx1"/>
            </w14:solidFill>
          </w14:textFill>
        </w:rPr>
        <w:fldChar w:fldCharType="separate"/>
      </w:r>
      <w:r>
        <w:rPr>
          <w:rFonts w:hint="eastAsia"/>
          <w:b/>
          <w:bCs/>
          <w:color w:val="000000" w:themeColor="text1"/>
          <w14:textFill>
            <w14:solidFill>
              <w14:schemeClr w14:val="tx1"/>
            </w14:solidFill>
          </w14:textFill>
        </w:rPr>
        <w:t>④</w:t>
      </w:r>
      <w:r>
        <w:rPr>
          <w:b/>
          <w:bCs/>
          <w:color w:val="000000" w:themeColor="text1"/>
          <w14:textFill>
            <w14:solidFill>
              <w14:schemeClr w14:val="tx1"/>
            </w14:solidFill>
          </w14:textFill>
        </w:rPr>
        <w:fldChar w:fldCharType="end"/>
      </w:r>
      <w:r>
        <w:rPr>
          <w:rFonts w:hint="eastAsia"/>
          <w:b/>
          <w:bCs/>
          <w:color w:val="000000" w:themeColor="text1"/>
          <w14:textFill>
            <w14:solidFill>
              <w14:schemeClr w14:val="tx1"/>
            </w14:solidFill>
          </w14:textFill>
        </w:rPr>
        <w:t>液硫、碱液、发烟硫酸、硫酸废气</w:t>
      </w:r>
    </w:p>
    <w:p w14:paraId="146BF785">
      <w:pPr>
        <w:ind w:firstLine="480"/>
        <w:rPr>
          <w:rFonts w:cs="宋体"/>
          <w:bCs/>
          <w:color w:val="000000" w:themeColor="text1"/>
          <w:kern w:val="0"/>
          <w:lang w:bidi="ar"/>
          <w14:textFill>
            <w14:solidFill>
              <w14:schemeClr w14:val="tx1"/>
            </w14:solidFill>
          </w14:textFill>
        </w:rPr>
      </w:pPr>
      <w:r>
        <w:rPr>
          <w:rFonts w:hint="eastAsia" w:cs="宋体"/>
          <w:bCs/>
          <w:color w:val="000000" w:themeColor="text1"/>
          <w:kern w:val="0"/>
          <w:lang w:bidi="ar"/>
          <w14:textFill>
            <w14:solidFill>
              <w14:schemeClr w14:val="tx1"/>
            </w14:solidFill>
          </w14:textFill>
        </w:rPr>
        <w:t>装卸产生废气依托后方罐区（同步进行环境影响评价中）顶部的废气处理。</w:t>
      </w:r>
    </w:p>
    <w:p w14:paraId="1457FF4C">
      <w:pPr>
        <w:ind w:firstLine="482"/>
        <w:rPr>
          <w:bCs/>
          <w:color w:val="000000" w:themeColor="text1"/>
          <w14:textFill>
            <w14:solidFill>
              <w14:schemeClr w14:val="tx1"/>
            </w14:solidFill>
          </w14:textFill>
        </w:rPr>
      </w:pPr>
      <w:r>
        <w:rPr>
          <w:b/>
          <w:bCs/>
          <w:color w:val="000000" w:themeColor="text1"/>
          <w14:textFill>
            <w14:solidFill>
              <w14:schemeClr w14:val="tx1"/>
            </w14:solidFill>
          </w14:textFill>
        </w:rPr>
        <w:fldChar w:fldCharType="begin"/>
      </w:r>
      <w:r>
        <w:rPr>
          <w:b/>
          <w:bCs/>
          <w:color w:val="000000" w:themeColor="text1"/>
          <w14:textFill>
            <w14:solidFill>
              <w14:schemeClr w14:val="tx1"/>
            </w14:solidFill>
          </w14:textFill>
        </w:rPr>
        <w:instrText xml:space="preserve"> </w:instrText>
      </w:r>
      <w:r>
        <w:rPr>
          <w:rFonts w:hint="eastAsia"/>
          <w:b/>
          <w:bCs/>
          <w:color w:val="000000" w:themeColor="text1"/>
          <w14:textFill>
            <w14:solidFill>
              <w14:schemeClr w14:val="tx1"/>
            </w14:solidFill>
          </w14:textFill>
        </w:rPr>
        <w:instrText xml:space="preserve">= 5 \* GB3</w:instrText>
      </w:r>
      <w:r>
        <w:rPr>
          <w:b/>
          <w:bCs/>
          <w:color w:val="000000" w:themeColor="text1"/>
          <w14:textFill>
            <w14:solidFill>
              <w14:schemeClr w14:val="tx1"/>
            </w14:solidFill>
          </w14:textFill>
        </w:rPr>
        <w:instrText xml:space="preserve"> </w:instrText>
      </w:r>
      <w:r>
        <w:rPr>
          <w:b/>
          <w:bCs/>
          <w:color w:val="000000" w:themeColor="text1"/>
          <w14:textFill>
            <w14:solidFill>
              <w14:schemeClr w14:val="tx1"/>
            </w14:solidFill>
          </w14:textFill>
        </w:rPr>
        <w:fldChar w:fldCharType="separate"/>
      </w:r>
      <w:r>
        <w:rPr>
          <w:rFonts w:hint="eastAsia"/>
          <w:b/>
          <w:bCs/>
          <w:color w:val="000000" w:themeColor="text1"/>
          <w14:textFill>
            <w14:solidFill>
              <w14:schemeClr w14:val="tx1"/>
            </w14:solidFill>
          </w14:textFill>
        </w:rPr>
        <w:t>⑤</w:t>
      </w:r>
      <w:r>
        <w:rPr>
          <w:b/>
          <w:bCs/>
          <w:color w:val="000000" w:themeColor="text1"/>
          <w14:textFill>
            <w14:solidFill>
              <w14:schemeClr w14:val="tx1"/>
            </w14:solidFill>
          </w14:textFill>
        </w:rPr>
        <w:fldChar w:fldCharType="end"/>
      </w:r>
      <w:r>
        <w:rPr>
          <w:rFonts w:hint="eastAsia"/>
          <w:b/>
          <w:bCs/>
          <w:color w:val="000000" w:themeColor="text1"/>
          <w14:textFill>
            <w14:solidFill>
              <w14:schemeClr w14:val="tx1"/>
            </w14:solidFill>
          </w14:textFill>
        </w:rPr>
        <w:t>无组织废气：</w:t>
      </w:r>
      <w:r>
        <w:rPr>
          <w:rFonts w:hint="eastAsia"/>
          <w:color w:val="000000" w:themeColor="text1"/>
          <w14:textFill>
            <w14:solidFill>
              <w14:schemeClr w14:val="tx1"/>
            </w14:solidFill>
          </w14:textFill>
        </w:rPr>
        <w:t>运营期大气污染物硫酸雾、非甲烷总烃无组织排放执行《大气污染物综合排放标准》（GB 16297-1996）相应标准限值，</w:t>
      </w:r>
      <w:r>
        <w:rPr>
          <w:rFonts w:hint="eastAsia"/>
          <w:color w:val="000000" w:themeColor="text1"/>
          <w:lang w:val="en-US" w:eastAsia="zh-CN"/>
          <w14:textFill>
            <w14:solidFill>
              <w14:schemeClr w14:val="tx1"/>
            </w14:solidFill>
          </w14:textFill>
        </w:rPr>
        <w:t>苯乙烯无组织排放执行</w:t>
      </w:r>
      <w:r>
        <w:rPr>
          <w:rFonts w:hint="eastAsia"/>
          <w:color w:val="000000" w:themeColor="text1"/>
          <w14:textFill>
            <w14:solidFill>
              <w14:schemeClr w14:val="tx1"/>
            </w14:solidFill>
          </w14:textFill>
        </w:rPr>
        <w:t>《恶臭污染物排放标准》（GB14554-93）</w:t>
      </w:r>
      <w:r>
        <w:rPr>
          <w:rFonts w:hint="eastAsia"/>
          <w:color w:val="000000" w:themeColor="text1"/>
          <w:lang w:val="en-US" w:eastAsia="zh-CN"/>
          <w14:textFill>
            <w14:solidFill>
              <w14:schemeClr w14:val="tx1"/>
            </w14:solidFill>
          </w14:textFill>
        </w:rPr>
        <w:t>相应标准限值，</w:t>
      </w:r>
      <w:r>
        <w:rPr>
          <w:rFonts w:hint="eastAsia"/>
          <w:color w:val="000000" w:themeColor="text1"/>
          <w14:textFill>
            <w14:solidFill>
              <w14:schemeClr w14:val="tx1"/>
            </w14:solidFill>
          </w14:textFill>
        </w:rPr>
        <w:t>详见表1.4-</w:t>
      </w:r>
      <w:r>
        <w:rPr>
          <w:rFonts w:hint="eastAsia"/>
          <w:color w:val="000000" w:themeColor="text1"/>
          <w:lang w:val="en-US" w:eastAsia="zh-CN"/>
          <w14:textFill>
            <w14:solidFill>
              <w14:schemeClr w14:val="tx1"/>
            </w14:solidFill>
          </w14:textFill>
        </w:rPr>
        <w:t>6</w:t>
      </w:r>
      <w:r>
        <w:rPr>
          <w:rFonts w:hint="eastAsia"/>
          <w:color w:val="000000" w:themeColor="text1"/>
          <w14:textFill>
            <w14:solidFill>
              <w14:schemeClr w14:val="tx1"/>
            </w14:solidFill>
          </w14:textFill>
        </w:rPr>
        <w:t>。</w:t>
      </w:r>
    </w:p>
    <w:p w14:paraId="6735D393">
      <w:pPr>
        <w:pStyle w:val="7"/>
        <w:rPr>
          <w:color w:val="000000" w:themeColor="text1"/>
          <w14:textFill>
            <w14:solidFill>
              <w14:schemeClr w14:val="tx1"/>
            </w14:solidFill>
          </w14:textFill>
        </w:rPr>
      </w:pPr>
      <w:r>
        <w:rPr>
          <w:color w:val="000000" w:themeColor="text1"/>
          <w14:textFill>
            <w14:solidFill>
              <w14:schemeClr w14:val="tx1"/>
            </w14:solidFill>
          </w14:textFill>
        </w:rPr>
        <w:t>大气污染物排放标准</w:t>
      </w:r>
    </w:p>
    <w:tbl>
      <w:tblPr>
        <w:tblStyle w:val="43"/>
        <w:tblW w:w="9042"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28" w:type="dxa"/>
          <w:bottom w:w="0" w:type="dxa"/>
          <w:right w:w="28" w:type="dxa"/>
        </w:tblCellMar>
      </w:tblPr>
      <w:tblGrid>
        <w:gridCol w:w="471"/>
        <w:gridCol w:w="1043"/>
        <w:gridCol w:w="1024"/>
        <w:gridCol w:w="1143"/>
        <w:gridCol w:w="917"/>
        <w:gridCol w:w="911"/>
        <w:gridCol w:w="1564"/>
        <w:gridCol w:w="1969"/>
      </w:tblGrid>
      <w:tr w14:paraId="4444DCE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cantSplit/>
          <w:trHeight w:val="351" w:hRule="atLeast"/>
          <w:jc w:val="center"/>
        </w:trPr>
        <w:tc>
          <w:tcPr>
            <w:tcW w:w="471" w:type="dxa"/>
            <w:vMerge w:val="restart"/>
            <w:vAlign w:val="center"/>
          </w:tcPr>
          <w:p w14:paraId="201C9688">
            <w:pPr>
              <w:spacing w:line="240" w:lineRule="exact"/>
              <w:ind w:firstLine="0" w:firstLineChars="0"/>
              <w:jc w:val="center"/>
              <w:rPr>
                <w:b/>
                <w:bCs/>
                <w:snapToGrid w:val="0"/>
                <w:color w:val="000000" w:themeColor="text1"/>
                <w:sz w:val="21"/>
                <w:szCs w:val="21"/>
                <w14:textFill>
                  <w14:solidFill>
                    <w14:schemeClr w14:val="tx1"/>
                  </w14:solidFill>
                </w14:textFill>
              </w:rPr>
            </w:pPr>
            <w:r>
              <w:rPr>
                <w:b/>
                <w:bCs/>
                <w:snapToGrid w:val="0"/>
                <w:color w:val="000000" w:themeColor="text1"/>
                <w:sz w:val="21"/>
                <w:szCs w:val="21"/>
                <w14:textFill>
                  <w14:solidFill>
                    <w14:schemeClr w14:val="tx1"/>
                  </w14:solidFill>
                </w14:textFill>
              </w:rPr>
              <w:t>序号</w:t>
            </w:r>
          </w:p>
        </w:tc>
        <w:tc>
          <w:tcPr>
            <w:tcW w:w="1043" w:type="dxa"/>
            <w:vMerge w:val="restart"/>
            <w:vAlign w:val="center"/>
          </w:tcPr>
          <w:p w14:paraId="5F43D87B">
            <w:pPr>
              <w:spacing w:line="240" w:lineRule="exact"/>
              <w:ind w:firstLine="0" w:firstLineChars="0"/>
              <w:jc w:val="center"/>
              <w:rPr>
                <w:b/>
                <w:bCs/>
                <w:snapToGrid w:val="0"/>
                <w:color w:val="000000" w:themeColor="text1"/>
                <w:sz w:val="21"/>
                <w:szCs w:val="21"/>
                <w14:textFill>
                  <w14:solidFill>
                    <w14:schemeClr w14:val="tx1"/>
                  </w14:solidFill>
                </w14:textFill>
              </w:rPr>
            </w:pPr>
            <w:r>
              <w:rPr>
                <w:b/>
                <w:bCs/>
                <w:snapToGrid w:val="0"/>
                <w:color w:val="000000" w:themeColor="text1"/>
                <w:sz w:val="21"/>
                <w:szCs w:val="21"/>
                <w14:textFill>
                  <w14:solidFill>
                    <w14:schemeClr w14:val="tx1"/>
                  </w14:solidFill>
                </w14:textFill>
              </w:rPr>
              <w:t>污染物名称</w:t>
            </w:r>
          </w:p>
        </w:tc>
        <w:tc>
          <w:tcPr>
            <w:tcW w:w="1024" w:type="dxa"/>
            <w:vMerge w:val="restart"/>
            <w:vAlign w:val="center"/>
          </w:tcPr>
          <w:p w14:paraId="49FA5910">
            <w:pPr>
              <w:spacing w:line="240" w:lineRule="exact"/>
              <w:ind w:firstLine="0" w:firstLineChars="0"/>
              <w:jc w:val="center"/>
              <w:rPr>
                <w:b/>
                <w:bCs/>
                <w:snapToGrid w:val="0"/>
                <w:color w:val="000000" w:themeColor="text1"/>
                <w:sz w:val="21"/>
                <w:szCs w:val="21"/>
                <w14:textFill>
                  <w14:solidFill>
                    <w14:schemeClr w14:val="tx1"/>
                  </w14:solidFill>
                </w14:textFill>
              </w:rPr>
            </w:pPr>
            <w:r>
              <w:rPr>
                <w:b/>
                <w:bCs/>
                <w:snapToGrid w:val="0"/>
                <w:color w:val="000000" w:themeColor="text1"/>
                <w:sz w:val="21"/>
                <w:szCs w:val="21"/>
                <w14:textFill>
                  <w14:solidFill>
                    <w14:schemeClr w14:val="tx1"/>
                  </w14:solidFill>
                </w14:textFill>
              </w:rPr>
              <w:t>最高允许排放浓度(mg/m</w:t>
            </w:r>
            <w:r>
              <w:rPr>
                <w:b/>
                <w:bCs/>
                <w:snapToGrid w:val="0"/>
                <w:color w:val="000000" w:themeColor="text1"/>
                <w:sz w:val="21"/>
                <w:szCs w:val="21"/>
                <w:vertAlign w:val="superscript"/>
                <w14:textFill>
                  <w14:solidFill>
                    <w14:schemeClr w14:val="tx1"/>
                  </w14:solidFill>
                </w14:textFill>
              </w:rPr>
              <w:t>3</w:t>
            </w:r>
            <w:r>
              <w:rPr>
                <w:b/>
                <w:bCs/>
                <w:snapToGrid w:val="0"/>
                <w:color w:val="000000" w:themeColor="text1"/>
                <w:sz w:val="21"/>
                <w:szCs w:val="21"/>
                <w14:textFill>
                  <w14:solidFill>
                    <w14:schemeClr w14:val="tx1"/>
                  </w14:solidFill>
                </w14:textFill>
              </w:rPr>
              <w:t>)</w:t>
            </w:r>
          </w:p>
        </w:tc>
        <w:tc>
          <w:tcPr>
            <w:tcW w:w="2060" w:type="dxa"/>
            <w:gridSpan w:val="2"/>
            <w:vAlign w:val="center"/>
          </w:tcPr>
          <w:p w14:paraId="2BC0FC34">
            <w:pPr>
              <w:spacing w:line="240" w:lineRule="exact"/>
              <w:ind w:firstLine="0" w:firstLineChars="0"/>
              <w:jc w:val="center"/>
              <w:rPr>
                <w:b/>
                <w:bCs/>
                <w:snapToGrid w:val="0"/>
                <w:color w:val="000000" w:themeColor="text1"/>
                <w:sz w:val="21"/>
                <w:szCs w:val="21"/>
                <w14:textFill>
                  <w14:solidFill>
                    <w14:schemeClr w14:val="tx1"/>
                  </w14:solidFill>
                </w14:textFill>
              </w:rPr>
            </w:pPr>
            <w:r>
              <w:rPr>
                <w:b/>
                <w:bCs/>
                <w:snapToGrid w:val="0"/>
                <w:color w:val="000000" w:themeColor="text1"/>
                <w:sz w:val="21"/>
                <w:szCs w:val="21"/>
                <w14:textFill>
                  <w14:solidFill>
                    <w14:schemeClr w14:val="tx1"/>
                  </w14:solidFill>
                </w14:textFill>
              </w:rPr>
              <w:t>最高允许排放速率（kg/h）</w:t>
            </w:r>
          </w:p>
        </w:tc>
        <w:tc>
          <w:tcPr>
            <w:tcW w:w="2475" w:type="dxa"/>
            <w:gridSpan w:val="2"/>
            <w:vAlign w:val="center"/>
          </w:tcPr>
          <w:p w14:paraId="55F493C2">
            <w:pPr>
              <w:spacing w:line="240" w:lineRule="exact"/>
              <w:ind w:firstLine="0" w:firstLineChars="0"/>
              <w:jc w:val="center"/>
              <w:rPr>
                <w:b/>
                <w:bCs/>
                <w:snapToGrid w:val="0"/>
                <w:color w:val="000000" w:themeColor="text1"/>
                <w:sz w:val="21"/>
                <w:szCs w:val="21"/>
                <w14:textFill>
                  <w14:solidFill>
                    <w14:schemeClr w14:val="tx1"/>
                  </w14:solidFill>
                </w14:textFill>
              </w:rPr>
            </w:pPr>
            <w:r>
              <w:rPr>
                <w:b/>
                <w:bCs/>
                <w:snapToGrid w:val="0"/>
                <w:color w:val="000000" w:themeColor="text1"/>
                <w:sz w:val="21"/>
                <w:szCs w:val="21"/>
                <w14:textFill>
                  <w14:solidFill>
                    <w14:schemeClr w14:val="tx1"/>
                  </w14:solidFill>
                </w14:textFill>
              </w:rPr>
              <w:t>无组织排放监控浓度限值</w:t>
            </w:r>
          </w:p>
        </w:tc>
        <w:tc>
          <w:tcPr>
            <w:tcW w:w="1969" w:type="dxa"/>
            <w:vMerge w:val="restart"/>
            <w:vAlign w:val="center"/>
          </w:tcPr>
          <w:p w14:paraId="52CDA005">
            <w:pPr>
              <w:spacing w:line="240" w:lineRule="exact"/>
              <w:ind w:firstLine="0" w:firstLineChars="0"/>
              <w:jc w:val="center"/>
              <w:rPr>
                <w:b/>
                <w:bCs/>
                <w:snapToGrid w:val="0"/>
                <w:color w:val="000000" w:themeColor="text1"/>
                <w:sz w:val="21"/>
                <w:szCs w:val="21"/>
                <w14:textFill>
                  <w14:solidFill>
                    <w14:schemeClr w14:val="tx1"/>
                  </w14:solidFill>
                </w14:textFill>
              </w:rPr>
            </w:pPr>
            <w:r>
              <w:rPr>
                <w:b/>
                <w:bCs/>
                <w:snapToGrid w:val="0"/>
                <w:color w:val="000000" w:themeColor="text1"/>
                <w:sz w:val="21"/>
                <w:szCs w:val="21"/>
                <w14:textFill>
                  <w14:solidFill>
                    <w14:schemeClr w14:val="tx1"/>
                  </w14:solidFill>
                </w14:textFill>
              </w:rPr>
              <w:t>标准来源</w:t>
            </w:r>
          </w:p>
        </w:tc>
      </w:tr>
      <w:tr w14:paraId="274ADD0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cantSplit/>
          <w:trHeight w:val="351" w:hRule="atLeast"/>
          <w:jc w:val="center"/>
        </w:trPr>
        <w:tc>
          <w:tcPr>
            <w:tcW w:w="471" w:type="dxa"/>
            <w:vMerge w:val="continue"/>
            <w:vAlign w:val="center"/>
          </w:tcPr>
          <w:p w14:paraId="2679DDBE">
            <w:pPr>
              <w:spacing w:line="240" w:lineRule="exact"/>
              <w:ind w:firstLine="0" w:firstLineChars="0"/>
              <w:jc w:val="center"/>
              <w:rPr>
                <w:b/>
                <w:bCs/>
                <w:snapToGrid w:val="0"/>
                <w:color w:val="000000" w:themeColor="text1"/>
                <w:sz w:val="21"/>
                <w:szCs w:val="21"/>
                <w14:textFill>
                  <w14:solidFill>
                    <w14:schemeClr w14:val="tx1"/>
                  </w14:solidFill>
                </w14:textFill>
              </w:rPr>
            </w:pPr>
          </w:p>
        </w:tc>
        <w:tc>
          <w:tcPr>
            <w:tcW w:w="1043" w:type="dxa"/>
            <w:vMerge w:val="continue"/>
            <w:vAlign w:val="center"/>
          </w:tcPr>
          <w:p w14:paraId="0B6E8B60">
            <w:pPr>
              <w:spacing w:line="240" w:lineRule="exact"/>
              <w:ind w:firstLine="0" w:firstLineChars="0"/>
              <w:jc w:val="center"/>
              <w:rPr>
                <w:b/>
                <w:bCs/>
                <w:snapToGrid w:val="0"/>
                <w:color w:val="000000" w:themeColor="text1"/>
                <w:sz w:val="21"/>
                <w:szCs w:val="21"/>
                <w14:textFill>
                  <w14:solidFill>
                    <w14:schemeClr w14:val="tx1"/>
                  </w14:solidFill>
                </w14:textFill>
              </w:rPr>
            </w:pPr>
          </w:p>
        </w:tc>
        <w:tc>
          <w:tcPr>
            <w:tcW w:w="1024" w:type="dxa"/>
            <w:vMerge w:val="continue"/>
            <w:vAlign w:val="center"/>
          </w:tcPr>
          <w:p w14:paraId="64016637">
            <w:pPr>
              <w:spacing w:line="240" w:lineRule="exact"/>
              <w:ind w:firstLine="0" w:firstLineChars="0"/>
              <w:jc w:val="center"/>
              <w:rPr>
                <w:b/>
                <w:bCs/>
                <w:snapToGrid w:val="0"/>
                <w:color w:val="000000" w:themeColor="text1"/>
                <w:sz w:val="21"/>
                <w:szCs w:val="21"/>
                <w14:textFill>
                  <w14:solidFill>
                    <w14:schemeClr w14:val="tx1"/>
                  </w14:solidFill>
                </w14:textFill>
              </w:rPr>
            </w:pPr>
          </w:p>
        </w:tc>
        <w:tc>
          <w:tcPr>
            <w:tcW w:w="1143" w:type="dxa"/>
            <w:vAlign w:val="center"/>
          </w:tcPr>
          <w:p w14:paraId="0255E2CB">
            <w:pPr>
              <w:spacing w:line="240" w:lineRule="exact"/>
              <w:ind w:firstLine="0" w:firstLineChars="0"/>
              <w:jc w:val="center"/>
              <w:rPr>
                <w:b/>
                <w:bCs/>
                <w:snapToGrid w:val="0"/>
                <w:color w:val="000000" w:themeColor="text1"/>
                <w:sz w:val="21"/>
                <w:szCs w:val="21"/>
                <w14:textFill>
                  <w14:solidFill>
                    <w14:schemeClr w14:val="tx1"/>
                  </w14:solidFill>
                </w14:textFill>
              </w:rPr>
            </w:pPr>
            <w:r>
              <w:rPr>
                <w:b/>
                <w:bCs/>
                <w:snapToGrid w:val="0"/>
                <w:color w:val="000000" w:themeColor="text1"/>
                <w:sz w:val="21"/>
                <w:szCs w:val="21"/>
                <w14:textFill>
                  <w14:solidFill>
                    <w14:schemeClr w14:val="tx1"/>
                  </w14:solidFill>
                </w14:textFill>
              </w:rPr>
              <w:t>排气筒（m）</w:t>
            </w:r>
          </w:p>
        </w:tc>
        <w:tc>
          <w:tcPr>
            <w:tcW w:w="917" w:type="dxa"/>
            <w:vAlign w:val="center"/>
          </w:tcPr>
          <w:p w14:paraId="368BFFF7">
            <w:pPr>
              <w:spacing w:line="240" w:lineRule="exact"/>
              <w:ind w:firstLine="0" w:firstLineChars="0"/>
              <w:jc w:val="center"/>
              <w:rPr>
                <w:b/>
                <w:bCs/>
                <w:snapToGrid w:val="0"/>
                <w:color w:val="000000" w:themeColor="text1"/>
                <w:sz w:val="21"/>
                <w:szCs w:val="21"/>
                <w14:textFill>
                  <w14:solidFill>
                    <w14:schemeClr w14:val="tx1"/>
                  </w14:solidFill>
                </w14:textFill>
              </w:rPr>
            </w:pPr>
            <w:r>
              <w:rPr>
                <w:b/>
                <w:bCs/>
                <w:snapToGrid w:val="0"/>
                <w:color w:val="000000" w:themeColor="text1"/>
                <w:sz w:val="21"/>
                <w:szCs w:val="21"/>
                <w14:textFill>
                  <w14:solidFill>
                    <w14:schemeClr w14:val="tx1"/>
                  </w14:solidFill>
                </w14:textFill>
              </w:rPr>
              <w:t>二级</w:t>
            </w:r>
          </w:p>
        </w:tc>
        <w:tc>
          <w:tcPr>
            <w:tcW w:w="911" w:type="dxa"/>
            <w:vAlign w:val="center"/>
          </w:tcPr>
          <w:p w14:paraId="6EDDBBB4">
            <w:pPr>
              <w:spacing w:line="240" w:lineRule="exact"/>
              <w:ind w:firstLine="0" w:firstLineChars="0"/>
              <w:jc w:val="center"/>
              <w:rPr>
                <w:b/>
                <w:bCs/>
                <w:snapToGrid w:val="0"/>
                <w:color w:val="000000" w:themeColor="text1"/>
                <w:sz w:val="21"/>
                <w:szCs w:val="21"/>
                <w14:textFill>
                  <w14:solidFill>
                    <w14:schemeClr w14:val="tx1"/>
                  </w14:solidFill>
                </w14:textFill>
              </w:rPr>
            </w:pPr>
            <w:r>
              <w:rPr>
                <w:b/>
                <w:bCs/>
                <w:snapToGrid w:val="0"/>
                <w:color w:val="000000" w:themeColor="text1"/>
                <w:sz w:val="21"/>
                <w:szCs w:val="21"/>
                <w14:textFill>
                  <w14:solidFill>
                    <w14:schemeClr w14:val="tx1"/>
                  </w14:solidFill>
                </w14:textFill>
              </w:rPr>
              <w:t>监控点</w:t>
            </w:r>
          </w:p>
        </w:tc>
        <w:tc>
          <w:tcPr>
            <w:tcW w:w="1564" w:type="dxa"/>
            <w:vAlign w:val="center"/>
          </w:tcPr>
          <w:p w14:paraId="26A1B298">
            <w:pPr>
              <w:spacing w:line="240" w:lineRule="exact"/>
              <w:ind w:firstLine="0" w:firstLineChars="0"/>
              <w:jc w:val="center"/>
              <w:rPr>
                <w:b/>
                <w:bCs/>
                <w:snapToGrid w:val="0"/>
                <w:color w:val="000000" w:themeColor="text1"/>
                <w:sz w:val="21"/>
                <w:szCs w:val="21"/>
                <w14:textFill>
                  <w14:solidFill>
                    <w14:schemeClr w14:val="tx1"/>
                  </w14:solidFill>
                </w14:textFill>
              </w:rPr>
            </w:pPr>
            <w:r>
              <w:rPr>
                <w:b/>
                <w:bCs/>
                <w:snapToGrid w:val="0"/>
                <w:color w:val="000000" w:themeColor="text1"/>
                <w:sz w:val="21"/>
                <w:szCs w:val="21"/>
                <w14:textFill>
                  <w14:solidFill>
                    <w14:schemeClr w14:val="tx1"/>
                  </w14:solidFill>
                </w14:textFill>
              </w:rPr>
              <w:t>浓度（mg</w:t>
            </w:r>
            <w:r>
              <w:rPr>
                <w:b/>
                <w:bCs/>
                <w:snapToGrid w:val="0"/>
                <w:color w:val="000000" w:themeColor="text1"/>
                <w:sz w:val="21"/>
                <w:szCs w:val="21"/>
                <w14:textFill>
                  <w14:solidFill>
                    <w14:schemeClr w14:val="tx1"/>
                  </w14:solidFill>
                </w14:textFill>
              </w:rPr>
              <w:sym w:font="Courier New" w:char="002F"/>
            </w:r>
            <w:r>
              <w:rPr>
                <w:b/>
                <w:bCs/>
                <w:snapToGrid w:val="0"/>
                <w:color w:val="000000" w:themeColor="text1"/>
                <w:sz w:val="21"/>
                <w:szCs w:val="21"/>
                <w14:textFill>
                  <w14:solidFill>
                    <w14:schemeClr w14:val="tx1"/>
                  </w14:solidFill>
                </w14:textFill>
              </w:rPr>
              <w:t>m³）</w:t>
            </w:r>
          </w:p>
        </w:tc>
        <w:tc>
          <w:tcPr>
            <w:tcW w:w="1969" w:type="dxa"/>
            <w:vMerge w:val="continue"/>
            <w:vAlign w:val="center"/>
          </w:tcPr>
          <w:p w14:paraId="7CE26F56">
            <w:pPr>
              <w:spacing w:line="240" w:lineRule="exact"/>
              <w:ind w:firstLine="420"/>
              <w:jc w:val="center"/>
              <w:rPr>
                <w:snapToGrid w:val="0"/>
                <w:color w:val="000000" w:themeColor="text1"/>
                <w:sz w:val="21"/>
                <w:szCs w:val="21"/>
                <w14:textFill>
                  <w14:solidFill>
                    <w14:schemeClr w14:val="tx1"/>
                  </w14:solidFill>
                </w14:textFill>
              </w:rPr>
            </w:pPr>
          </w:p>
        </w:tc>
      </w:tr>
      <w:tr w14:paraId="1ED5CFB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cantSplit/>
          <w:trHeight w:val="351" w:hRule="atLeast"/>
          <w:jc w:val="center"/>
        </w:trPr>
        <w:tc>
          <w:tcPr>
            <w:tcW w:w="471" w:type="dxa"/>
            <w:vAlign w:val="center"/>
          </w:tcPr>
          <w:p w14:paraId="2FE584DB">
            <w:pPr>
              <w:numPr>
                <w:ilvl w:val="0"/>
                <w:numId w:val="13"/>
              </w:numPr>
              <w:spacing w:line="240" w:lineRule="exact"/>
              <w:ind w:firstLineChars="0"/>
              <w:jc w:val="center"/>
              <w:rPr>
                <w:snapToGrid w:val="0"/>
                <w:color w:val="000000" w:themeColor="text1"/>
                <w:sz w:val="21"/>
                <w:szCs w:val="21"/>
                <w14:textFill>
                  <w14:solidFill>
                    <w14:schemeClr w14:val="tx1"/>
                  </w14:solidFill>
                </w14:textFill>
              </w:rPr>
            </w:pPr>
          </w:p>
        </w:tc>
        <w:tc>
          <w:tcPr>
            <w:tcW w:w="1043" w:type="dxa"/>
            <w:vAlign w:val="center"/>
          </w:tcPr>
          <w:p w14:paraId="2619C3B5">
            <w:pPr>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二氧化硫</w:t>
            </w:r>
          </w:p>
        </w:tc>
        <w:tc>
          <w:tcPr>
            <w:tcW w:w="1024" w:type="dxa"/>
            <w:vAlign w:val="center"/>
          </w:tcPr>
          <w:p w14:paraId="04BCD2B6">
            <w:pPr>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550</w:t>
            </w:r>
          </w:p>
        </w:tc>
        <w:tc>
          <w:tcPr>
            <w:tcW w:w="1143" w:type="dxa"/>
            <w:vAlign w:val="center"/>
          </w:tcPr>
          <w:p w14:paraId="32FB6327">
            <w:pPr>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15</w:t>
            </w:r>
          </w:p>
        </w:tc>
        <w:tc>
          <w:tcPr>
            <w:tcW w:w="917" w:type="dxa"/>
            <w:vAlign w:val="center"/>
          </w:tcPr>
          <w:p w14:paraId="26F249E5">
            <w:pPr>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2.6</w:t>
            </w:r>
          </w:p>
        </w:tc>
        <w:tc>
          <w:tcPr>
            <w:tcW w:w="911" w:type="dxa"/>
            <w:vMerge w:val="restart"/>
            <w:vAlign w:val="center"/>
          </w:tcPr>
          <w:p w14:paraId="60BA389B">
            <w:pPr>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周界外浓度最高点</w:t>
            </w:r>
          </w:p>
        </w:tc>
        <w:tc>
          <w:tcPr>
            <w:tcW w:w="1564" w:type="dxa"/>
            <w:vAlign w:val="center"/>
          </w:tcPr>
          <w:p w14:paraId="1D64CC7E">
            <w:pPr>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0.40</w:t>
            </w:r>
          </w:p>
        </w:tc>
        <w:tc>
          <w:tcPr>
            <w:tcW w:w="1969" w:type="dxa"/>
            <w:vMerge w:val="restart"/>
            <w:vAlign w:val="center"/>
          </w:tcPr>
          <w:p w14:paraId="2F203651">
            <w:pPr>
              <w:spacing w:line="240" w:lineRule="exact"/>
              <w:ind w:firstLine="0" w:firstLineChars="0"/>
              <w:jc w:val="center"/>
              <w:rPr>
                <w:snapToGrid w:val="0"/>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《大气污染物综合排放标准》（GB16297—1996）</w:t>
            </w:r>
          </w:p>
        </w:tc>
      </w:tr>
      <w:tr w14:paraId="51B285F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cantSplit/>
          <w:trHeight w:val="351" w:hRule="atLeast"/>
          <w:jc w:val="center"/>
        </w:trPr>
        <w:tc>
          <w:tcPr>
            <w:tcW w:w="471" w:type="dxa"/>
            <w:vAlign w:val="center"/>
          </w:tcPr>
          <w:p w14:paraId="1275CB98">
            <w:pPr>
              <w:numPr>
                <w:ilvl w:val="0"/>
                <w:numId w:val="13"/>
              </w:numPr>
              <w:spacing w:line="240" w:lineRule="exact"/>
              <w:ind w:firstLineChars="0"/>
              <w:jc w:val="center"/>
              <w:rPr>
                <w:snapToGrid w:val="0"/>
                <w:color w:val="000000" w:themeColor="text1"/>
                <w:sz w:val="21"/>
                <w:szCs w:val="21"/>
                <w14:textFill>
                  <w14:solidFill>
                    <w14:schemeClr w14:val="tx1"/>
                  </w14:solidFill>
                </w14:textFill>
              </w:rPr>
            </w:pPr>
          </w:p>
        </w:tc>
        <w:tc>
          <w:tcPr>
            <w:tcW w:w="1043" w:type="dxa"/>
            <w:vAlign w:val="center"/>
          </w:tcPr>
          <w:p w14:paraId="08513F7A">
            <w:pPr>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氮氧化物</w:t>
            </w:r>
          </w:p>
        </w:tc>
        <w:tc>
          <w:tcPr>
            <w:tcW w:w="1024" w:type="dxa"/>
            <w:vAlign w:val="center"/>
          </w:tcPr>
          <w:p w14:paraId="48B7BDE9">
            <w:pPr>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240</w:t>
            </w:r>
          </w:p>
        </w:tc>
        <w:tc>
          <w:tcPr>
            <w:tcW w:w="1143" w:type="dxa"/>
            <w:vAlign w:val="center"/>
          </w:tcPr>
          <w:p w14:paraId="0695ABC1">
            <w:pPr>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15</w:t>
            </w:r>
          </w:p>
        </w:tc>
        <w:tc>
          <w:tcPr>
            <w:tcW w:w="917" w:type="dxa"/>
            <w:vAlign w:val="center"/>
          </w:tcPr>
          <w:p w14:paraId="405D8F5C">
            <w:pPr>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0.77</w:t>
            </w:r>
          </w:p>
        </w:tc>
        <w:tc>
          <w:tcPr>
            <w:tcW w:w="911" w:type="dxa"/>
            <w:vMerge w:val="continue"/>
            <w:vAlign w:val="center"/>
          </w:tcPr>
          <w:p w14:paraId="11BC637A">
            <w:pPr>
              <w:spacing w:line="240" w:lineRule="exact"/>
              <w:ind w:firstLine="0" w:firstLineChars="0"/>
              <w:jc w:val="center"/>
              <w:rPr>
                <w:color w:val="000000" w:themeColor="text1"/>
                <w:sz w:val="21"/>
                <w:szCs w:val="21"/>
                <w14:textFill>
                  <w14:solidFill>
                    <w14:schemeClr w14:val="tx1"/>
                  </w14:solidFill>
                </w14:textFill>
              </w:rPr>
            </w:pPr>
          </w:p>
        </w:tc>
        <w:tc>
          <w:tcPr>
            <w:tcW w:w="1564" w:type="dxa"/>
            <w:vAlign w:val="center"/>
          </w:tcPr>
          <w:p w14:paraId="405CE33C">
            <w:pPr>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0.12</w:t>
            </w:r>
          </w:p>
        </w:tc>
        <w:tc>
          <w:tcPr>
            <w:tcW w:w="1969" w:type="dxa"/>
            <w:vMerge w:val="continue"/>
            <w:vAlign w:val="center"/>
          </w:tcPr>
          <w:p w14:paraId="0B8553B7">
            <w:pPr>
              <w:spacing w:line="240" w:lineRule="exact"/>
              <w:ind w:firstLine="0" w:firstLineChars="0"/>
              <w:jc w:val="center"/>
              <w:rPr>
                <w:snapToGrid w:val="0"/>
                <w:color w:val="000000" w:themeColor="text1"/>
                <w:sz w:val="21"/>
                <w:szCs w:val="21"/>
                <w14:textFill>
                  <w14:solidFill>
                    <w14:schemeClr w14:val="tx1"/>
                  </w14:solidFill>
                </w14:textFill>
              </w:rPr>
            </w:pPr>
          </w:p>
        </w:tc>
      </w:tr>
      <w:tr w14:paraId="15E8156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cantSplit/>
          <w:trHeight w:val="351" w:hRule="atLeast"/>
          <w:jc w:val="center"/>
        </w:trPr>
        <w:tc>
          <w:tcPr>
            <w:tcW w:w="471" w:type="dxa"/>
            <w:vAlign w:val="center"/>
          </w:tcPr>
          <w:p w14:paraId="26778934">
            <w:pPr>
              <w:numPr>
                <w:ilvl w:val="0"/>
                <w:numId w:val="13"/>
              </w:numPr>
              <w:spacing w:line="240" w:lineRule="exact"/>
              <w:ind w:firstLineChars="0"/>
              <w:jc w:val="center"/>
              <w:rPr>
                <w:snapToGrid w:val="0"/>
                <w:color w:val="000000" w:themeColor="text1"/>
                <w:sz w:val="21"/>
                <w:szCs w:val="21"/>
                <w14:textFill>
                  <w14:solidFill>
                    <w14:schemeClr w14:val="tx1"/>
                  </w14:solidFill>
                </w14:textFill>
              </w:rPr>
            </w:pPr>
          </w:p>
        </w:tc>
        <w:tc>
          <w:tcPr>
            <w:tcW w:w="1043" w:type="dxa"/>
            <w:vAlign w:val="center"/>
          </w:tcPr>
          <w:p w14:paraId="7D382F0C">
            <w:pPr>
              <w:pStyle w:val="70"/>
              <w:rPr>
                <w:color w:val="000000" w:themeColor="text1"/>
                <w14:textFill>
                  <w14:solidFill>
                    <w14:schemeClr w14:val="tx1"/>
                  </w14:solidFill>
                </w14:textFill>
              </w:rPr>
            </w:pPr>
            <w:r>
              <w:rPr>
                <w:color w:val="000000" w:themeColor="text1"/>
                <w14:textFill>
                  <w14:solidFill>
                    <w14:schemeClr w14:val="tx1"/>
                  </w14:solidFill>
                </w14:textFill>
              </w:rPr>
              <w:t>颗粒物</w:t>
            </w:r>
          </w:p>
        </w:tc>
        <w:tc>
          <w:tcPr>
            <w:tcW w:w="1024" w:type="dxa"/>
            <w:vAlign w:val="center"/>
          </w:tcPr>
          <w:p w14:paraId="688FEC24">
            <w:pPr>
              <w:pStyle w:val="70"/>
              <w:rPr>
                <w:color w:val="000000" w:themeColor="text1"/>
                <w14:textFill>
                  <w14:solidFill>
                    <w14:schemeClr w14:val="tx1"/>
                  </w14:solidFill>
                </w14:textFill>
              </w:rPr>
            </w:pPr>
            <w:r>
              <w:rPr>
                <w:color w:val="000000" w:themeColor="text1"/>
                <w14:textFill>
                  <w14:solidFill>
                    <w14:schemeClr w14:val="tx1"/>
                  </w14:solidFill>
                </w14:textFill>
              </w:rPr>
              <w:t>120</w:t>
            </w:r>
          </w:p>
        </w:tc>
        <w:tc>
          <w:tcPr>
            <w:tcW w:w="1143" w:type="dxa"/>
            <w:vAlign w:val="center"/>
          </w:tcPr>
          <w:p w14:paraId="7DEDF856">
            <w:pPr>
              <w:pStyle w:val="70"/>
              <w:rPr>
                <w:color w:val="000000" w:themeColor="text1"/>
                <w14:textFill>
                  <w14:solidFill>
                    <w14:schemeClr w14:val="tx1"/>
                  </w14:solidFill>
                </w14:textFill>
              </w:rPr>
            </w:pPr>
            <w:r>
              <w:rPr>
                <w:color w:val="000000" w:themeColor="text1"/>
                <w14:textFill>
                  <w14:solidFill>
                    <w14:schemeClr w14:val="tx1"/>
                  </w14:solidFill>
                </w14:textFill>
              </w:rPr>
              <w:t>15</w:t>
            </w:r>
          </w:p>
        </w:tc>
        <w:tc>
          <w:tcPr>
            <w:tcW w:w="917" w:type="dxa"/>
            <w:vAlign w:val="center"/>
          </w:tcPr>
          <w:p w14:paraId="035E34C4">
            <w:pPr>
              <w:pStyle w:val="70"/>
              <w:rPr>
                <w:color w:val="000000" w:themeColor="text1"/>
                <w14:textFill>
                  <w14:solidFill>
                    <w14:schemeClr w14:val="tx1"/>
                  </w14:solidFill>
                </w14:textFill>
              </w:rPr>
            </w:pPr>
            <w:r>
              <w:rPr>
                <w:color w:val="000000" w:themeColor="text1"/>
                <w14:textFill>
                  <w14:solidFill>
                    <w14:schemeClr w14:val="tx1"/>
                  </w14:solidFill>
                </w14:textFill>
              </w:rPr>
              <w:t>3.5</w:t>
            </w:r>
          </w:p>
        </w:tc>
        <w:tc>
          <w:tcPr>
            <w:tcW w:w="911" w:type="dxa"/>
            <w:vMerge w:val="continue"/>
            <w:vAlign w:val="center"/>
          </w:tcPr>
          <w:p w14:paraId="0A656036">
            <w:pPr>
              <w:spacing w:line="240" w:lineRule="exact"/>
              <w:ind w:firstLine="0" w:firstLineChars="0"/>
              <w:jc w:val="center"/>
              <w:rPr>
                <w:color w:val="000000" w:themeColor="text1"/>
                <w:sz w:val="21"/>
                <w:szCs w:val="21"/>
                <w14:textFill>
                  <w14:solidFill>
                    <w14:schemeClr w14:val="tx1"/>
                  </w14:solidFill>
                </w14:textFill>
              </w:rPr>
            </w:pPr>
          </w:p>
        </w:tc>
        <w:tc>
          <w:tcPr>
            <w:tcW w:w="1564" w:type="dxa"/>
            <w:vAlign w:val="center"/>
          </w:tcPr>
          <w:p w14:paraId="57786267">
            <w:pPr>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1.0</w:t>
            </w:r>
          </w:p>
        </w:tc>
        <w:tc>
          <w:tcPr>
            <w:tcW w:w="1969" w:type="dxa"/>
            <w:vMerge w:val="continue"/>
            <w:vAlign w:val="center"/>
          </w:tcPr>
          <w:p w14:paraId="2A2C2B86">
            <w:pPr>
              <w:spacing w:line="240" w:lineRule="exact"/>
              <w:ind w:firstLine="0" w:firstLineChars="0"/>
              <w:jc w:val="center"/>
              <w:rPr>
                <w:snapToGrid w:val="0"/>
                <w:color w:val="000000" w:themeColor="text1"/>
                <w:sz w:val="21"/>
                <w:szCs w:val="21"/>
                <w14:textFill>
                  <w14:solidFill>
                    <w14:schemeClr w14:val="tx1"/>
                  </w14:solidFill>
                </w14:textFill>
              </w:rPr>
            </w:pPr>
          </w:p>
        </w:tc>
      </w:tr>
      <w:tr w14:paraId="46B25B2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cantSplit/>
          <w:trHeight w:val="351" w:hRule="atLeast"/>
          <w:jc w:val="center"/>
        </w:trPr>
        <w:tc>
          <w:tcPr>
            <w:tcW w:w="471" w:type="dxa"/>
            <w:vAlign w:val="center"/>
          </w:tcPr>
          <w:p w14:paraId="105AB280">
            <w:pPr>
              <w:numPr>
                <w:ilvl w:val="0"/>
                <w:numId w:val="13"/>
              </w:numPr>
              <w:spacing w:line="240" w:lineRule="exact"/>
              <w:ind w:firstLineChars="0"/>
              <w:jc w:val="center"/>
              <w:rPr>
                <w:color w:val="000000" w:themeColor="text1"/>
                <w:sz w:val="21"/>
                <w:szCs w:val="21"/>
                <w14:textFill>
                  <w14:solidFill>
                    <w14:schemeClr w14:val="tx1"/>
                  </w14:solidFill>
                </w14:textFill>
              </w:rPr>
            </w:pPr>
          </w:p>
        </w:tc>
        <w:tc>
          <w:tcPr>
            <w:tcW w:w="1043" w:type="dxa"/>
            <w:vAlign w:val="center"/>
          </w:tcPr>
          <w:p w14:paraId="094B52D2">
            <w:pPr>
              <w:spacing w:line="240" w:lineRule="exact"/>
              <w:ind w:firstLine="0" w:firstLineChars="0"/>
              <w:jc w:val="center"/>
              <w:rPr>
                <w:snapToGrid w:val="0"/>
                <w:color w:val="000000" w:themeColor="text1"/>
                <w:sz w:val="21"/>
                <w:szCs w:val="21"/>
                <w14:textFill>
                  <w14:solidFill>
                    <w14:schemeClr w14:val="tx1"/>
                  </w14:solidFill>
                </w14:textFill>
              </w:rPr>
            </w:pPr>
            <w:r>
              <w:rPr>
                <w:snapToGrid w:val="0"/>
                <w:color w:val="000000" w:themeColor="text1"/>
                <w:sz w:val="21"/>
                <w:szCs w:val="21"/>
                <w14:textFill>
                  <w14:solidFill>
                    <w14:schemeClr w14:val="tx1"/>
                  </w14:solidFill>
                </w14:textFill>
              </w:rPr>
              <w:t>硫酸雾</w:t>
            </w:r>
          </w:p>
        </w:tc>
        <w:tc>
          <w:tcPr>
            <w:tcW w:w="1024" w:type="dxa"/>
            <w:vAlign w:val="center"/>
          </w:tcPr>
          <w:p w14:paraId="6547B849">
            <w:pPr>
              <w:spacing w:line="240" w:lineRule="exact"/>
              <w:ind w:firstLine="0" w:firstLineChars="0"/>
              <w:jc w:val="center"/>
              <w:rPr>
                <w:snapToGrid w:val="0"/>
                <w:color w:val="000000" w:themeColor="text1"/>
                <w:sz w:val="21"/>
                <w:szCs w:val="21"/>
                <w14:textFill>
                  <w14:solidFill>
                    <w14:schemeClr w14:val="tx1"/>
                  </w14:solidFill>
                </w14:textFill>
              </w:rPr>
            </w:pPr>
            <w:r>
              <w:rPr>
                <w:snapToGrid w:val="0"/>
                <w:color w:val="000000" w:themeColor="text1"/>
                <w:sz w:val="21"/>
                <w:szCs w:val="21"/>
                <w14:textFill>
                  <w14:solidFill>
                    <w14:schemeClr w14:val="tx1"/>
                  </w14:solidFill>
                </w14:textFill>
              </w:rPr>
              <w:t>45</w:t>
            </w:r>
          </w:p>
        </w:tc>
        <w:tc>
          <w:tcPr>
            <w:tcW w:w="1143" w:type="dxa"/>
            <w:vAlign w:val="center"/>
          </w:tcPr>
          <w:p w14:paraId="4DC6D26E">
            <w:pPr>
              <w:spacing w:line="240" w:lineRule="exact"/>
              <w:ind w:firstLine="0" w:firstLineChars="0"/>
              <w:jc w:val="center"/>
              <w:rPr>
                <w:snapToGrid w:val="0"/>
                <w:color w:val="000000" w:themeColor="text1"/>
                <w:sz w:val="21"/>
                <w:szCs w:val="21"/>
                <w14:textFill>
                  <w14:solidFill>
                    <w14:schemeClr w14:val="tx1"/>
                  </w14:solidFill>
                </w14:textFill>
              </w:rPr>
            </w:pPr>
            <w:r>
              <w:rPr>
                <w:snapToGrid w:val="0"/>
                <w:color w:val="000000" w:themeColor="text1"/>
                <w:sz w:val="21"/>
                <w:szCs w:val="21"/>
                <w14:textFill>
                  <w14:solidFill>
                    <w14:schemeClr w14:val="tx1"/>
                  </w14:solidFill>
                </w14:textFill>
              </w:rPr>
              <w:t>15</w:t>
            </w:r>
          </w:p>
        </w:tc>
        <w:tc>
          <w:tcPr>
            <w:tcW w:w="917" w:type="dxa"/>
            <w:vAlign w:val="center"/>
          </w:tcPr>
          <w:p w14:paraId="1E70BB31">
            <w:pPr>
              <w:spacing w:line="240" w:lineRule="exact"/>
              <w:ind w:firstLine="0" w:firstLineChars="0"/>
              <w:jc w:val="center"/>
              <w:rPr>
                <w:snapToGrid w:val="0"/>
                <w:color w:val="000000" w:themeColor="text1"/>
                <w:sz w:val="21"/>
                <w:szCs w:val="21"/>
                <w14:textFill>
                  <w14:solidFill>
                    <w14:schemeClr w14:val="tx1"/>
                  </w14:solidFill>
                </w14:textFill>
              </w:rPr>
            </w:pPr>
            <w:r>
              <w:rPr>
                <w:snapToGrid w:val="0"/>
                <w:color w:val="000000" w:themeColor="text1"/>
                <w:sz w:val="21"/>
                <w:szCs w:val="21"/>
                <w14:textFill>
                  <w14:solidFill>
                    <w14:schemeClr w14:val="tx1"/>
                  </w14:solidFill>
                </w14:textFill>
              </w:rPr>
              <w:t>1.5</w:t>
            </w:r>
          </w:p>
        </w:tc>
        <w:tc>
          <w:tcPr>
            <w:tcW w:w="911" w:type="dxa"/>
            <w:vMerge w:val="continue"/>
            <w:vAlign w:val="center"/>
          </w:tcPr>
          <w:p w14:paraId="5FBE31E6">
            <w:pPr>
              <w:spacing w:line="240" w:lineRule="exact"/>
              <w:ind w:firstLine="0" w:firstLineChars="0"/>
              <w:jc w:val="center"/>
              <w:rPr>
                <w:snapToGrid w:val="0"/>
                <w:color w:val="000000" w:themeColor="text1"/>
                <w:sz w:val="21"/>
                <w:szCs w:val="21"/>
                <w14:textFill>
                  <w14:solidFill>
                    <w14:schemeClr w14:val="tx1"/>
                  </w14:solidFill>
                </w14:textFill>
              </w:rPr>
            </w:pPr>
          </w:p>
        </w:tc>
        <w:tc>
          <w:tcPr>
            <w:tcW w:w="1564" w:type="dxa"/>
            <w:vAlign w:val="center"/>
          </w:tcPr>
          <w:p w14:paraId="0C18F6B4">
            <w:pPr>
              <w:spacing w:line="240" w:lineRule="exact"/>
              <w:ind w:firstLine="0" w:firstLineChars="0"/>
              <w:jc w:val="center"/>
              <w:rPr>
                <w:snapToGrid w:val="0"/>
                <w:color w:val="000000" w:themeColor="text1"/>
                <w:sz w:val="21"/>
                <w:szCs w:val="21"/>
                <w14:textFill>
                  <w14:solidFill>
                    <w14:schemeClr w14:val="tx1"/>
                  </w14:solidFill>
                </w14:textFill>
              </w:rPr>
            </w:pPr>
            <w:r>
              <w:rPr>
                <w:snapToGrid w:val="0"/>
                <w:color w:val="000000" w:themeColor="text1"/>
                <w:sz w:val="21"/>
                <w:szCs w:val="21"/>
                <w14:textFill>
                  <w14:solidFill>
                    <w14:schemeClr w14:val="tx1"/>
                  </w14:solidFill>
                </w14:textFill>
              </w:rPr>
              <w:t>1.2</w:t>
            </w:r>
          </w:p>
        </w:tc>
        <w:tc>
          <w:tcPr>
            <w:tcW w:w="1969" w:type="dxa"/>
            <w:vMerge w:val="continue"/>
            <w:vAlign w:val="center"/>
          </w:tcPr>
          <w:p w14:paraId="1234E4FA">
            <w:pPr>
              <w:spacing w:line="240" w:lineRule="exact"/>
              <w:ind w:firstLine="0" w:firstLineChars="0"/>
              <w:jc w:val="center"/>
              <w:rPr>
                <w:snapToGrid w:val="0"/>
                <w:color w:val="000000" w:themeColor="text1"/>
                <w:sz w:val="21"/>
                <w:szCs w:val="21"/>
                <w14:textFill>
                  <w14:solidFill>
                    <w14:schemeClr w14:val="tx1"/>
                  </w14:solidFill>
                </w14:textFill>
              </w:rPr>
            </w:pPr>
          </w:p>
        </w:tc>
      </w:tr>
      <w:tr w14:paraId="253DB09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cantSplit/>
          <w:trHeight w:val="351" w:hRule="atLeast"/>
          <w:jc w:val="center"/>
        </w:trPr>
        <w:tc>
          <w:tcPr>
            <w:tcW w:w="471" w:type="dxa"/>
            <w:vAlign w:val="center"/>
          </w:tcPr>
          <w:p w14:paraId="695205DE">
            <w:pPr>
              <w:numPr>
                <w:ilvl w:val="0"/>
                <w:numId w:val="13"/>
              </w:numPr>
              <w:spacing w:line="240" w:lineRule="exact"/>
              <w:ind w:firstLineChars="0"/>
              <w:jc w:val="center"/>
              <w:rPr>
                <w:color w:val="000000" w:themeColor="text1"/>
                <w:sz w:val="21"/>
                <w:szCs w:val="21"/>
                <w14:textFill>
                  <w14:solidFill>
                    <w14:schemeClr w14:val="tx1"/>
                  </w14:solidFill>
                </w14:textFill>
              </w:rPr>
            </w:pPr>
          </w:p>
        </w:tc>
        <w:tc>
          <w:tcPr>
            <w:tcW w:w="1043" w:type="dxa"/>
            <w:vAlign w:val="center"/>
          </w:tcPr>
          <w:p w14:paraId="0209468B">
            <w:pPr>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非甲烷总烃</w:t>
            </w:r>
          </w:p>
        </w:tc>
        <w:tc>
          <w:tcPr>
            <w:tcW w:w="1024" w:type="dxa"/>
            <w:vAlign w:val="center"/>
          </w:tcPr>
          <w:p w14:paraId="1B258360">
            <w:pPr>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120</w:t>
            </w:r>
          </w:p>
        </w:tc>
        <w:tc>
          <w:tcPr>
            <w:tcW w:w="1143" w:type="dxa"/>
            <w:vAlign w:val="center"/>
          </w:tcPr>
          <w:p w14:paraId="6F53265C">
            <w:pPr>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15</w:t>
            </w:r>
          </w:p>
        </w:tc>
        <w:tc>
          <w:tcPr>
            <w:tcW w:w="917" w:type="dxa"/>
            <w:vAlign w:val="center"/>
          </w:tcPr>
          <w:p w14:paraId="2CE7EB94">
            <w:pPr>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10</w:t>
            </w:r>
          </w:p>
        </w:tc>
        <w:tc>
          <w:tcPr>
            <w:tcW w:w="911" w:type="dxa"/>
            <w:vMerge w:val="continue"/>
            <w:vAlign w:val="center"/>
          </w:tcPr>
          <w:p w14:paraId="76F330CD">
            <w:pPr>
              <w:spacing w:line="240" w:lineRule="exact"/>
              <w:ind w:firstLine="0" w:firstLineChars="0"/>
              <w:jc w:val="center"/>
              <w:rPr>
                <w:color w:val="000000" w:themeColor="text1"/>
                <w:sz w:val="21"/>
                <w:szCs w:val="21"/>
                <w14:textFill>
                  <w14:solidFill>
                    <w14:schemeClr w14:val="tx1"/>
                  </w14:solidFill>
                </w14:textFill>
              </w:rPr>
            </w:pPr>
          </w:p>
        </w:tc>
        <w:tc>
          <w:tcPr>
            <w:tcW w:w="1564" w:type="dxa"/>
            <w:vAlign w:val="center"/>
          </w:tcPr>
          <w:p w14:paraId="3A246EF9">
            <w:pPr>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4.0</w:t>
            </w:r>
          </w:p>
        </w:tc>
        <w:tc>
          <w:tcPr>
            <w:tcW w:w="1969" w:type="dxa"/>
            <w:vMerge w:val="continue"/>
            <w:vAlign w:val="center"/>
          </w:tcPr>
          <w:p w14:paraId="64B32660">
            <w:pPr>
              <w:spacing w:line="240" w:lineRule="exact"/>
              <w:ind w:firstLine="0" w:firstLineChars="0"/>
              <w:jc w:val="center"/>
              <w:rPr>
                <w:snapToGrid w:val="0"/>
                <w:color w:val="000000" w:themeColor="text1"/>
                <w:sz w:val="21"/>
                <w:szCs w:val="21"/>
                <w14:textFill>
                  <w14:solidFill>
                    <w14:schemeClr w14:val="tx1"/>
                  </w14:solidFill>
                </w14:textFill>
              </w:rPr>
            </w:pPr>
          </w:p>
        </w:tc>
      </w:tr>
      <w:tr w14:paraId="4D5E4A4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cantSplit/>
          <w:trHeight w:val="351" w:hRule="atLeast"/>
          <w:jc w:val="center"/>
        </w:trPr>
        <w:tc>
          <w:tcPr>
            <w:tcW w:w="471" w:type="dxa"/>
            <w:vAlign w:val="center"/>
          </w:tcPr>
          <w:p w14:paraId="460DC365">
            <w:pPr>
              <w:numPr>
                <w:ilvl w:val="0"/>
                <w:numId w:val="13"/>
              </w:numPr>
              <w:spacing w:line="240" w:lineRule="exact"/>
              <w:ind w:firstLineChars="0"/>
              <w:jc w:val="center"/>
              <w:rPr>
                <w:color w:val="000000" w:themeColor="text1"/>
                <w:sz w:val="21"/>
                <w:szCs w:val="21"/>
                <w14:textFill>
                  <w14:solidFill>
                    <w14:schemeClr w14:val="tx1"/>
                  </w14:solidFill>
                </w14:textFill>
              </w:rPr>
            </w:pPr>
          </w:p>
        </w:tc>
        <w:tc>
          <w:tcPr>
            <w:tcW w:w="1043" w:type="dxa"/>
            <w:vAlign w:val="center"/>
          </w:tcPr>
          <w:p w14:paraId="453305CA">
            <w:pPr>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苯乙烯</w:t>
            </w:r>
          </w:p>
        </w:tc>
        <w:tc>
          <w:tcPr>
            <w:tcW w:w="1024" w:type="dxa"/>
            <w:vAlign w:val="center"/>
          </w:tcPr>
          <w:p w14:paraId="2036533F">
            <w:pPr>
              <w:spacing w:line="240" w:lineRule="exact"/>
              <w:ind w:firstLine="0" w:firstLineChars="0"/>
              <w:jc w:val="center"/>
              <w:rPr>
                <w:color w:val="000000" w:themeColor="text1"/>
                <w:sz w:val="21"/>
                <w:szCs w:val="21"/>
                <w14:textFill>
                  <w14:solidFill>
                    <w14:schemeClr w14:val="tx1"/>
                  </w14:solidFill>
                </w14:textFill>
              </w:rPr>
            </w:pPr>
            <w:r>
              <w:rPr>
                <w:snapToGrid w:val="0"/>
                <w:color w:val="000000" w:themeColor="text1"/>
                <w:sz w:val="21"/>
                <w:szCs w:val="21"/>
                <w14:textFill>
                  <w14:solidFill>
                    <w14:schemeClr w14:val="tx1"/>
                  </w14:solidFill>
                </w14:textFill>
              </w:rPr>
              <w:t>—</w:t>
            </w:r>
          </w:p>
        </w:tc>
        <w:tc>
          <w:tcPr>
            <w:tcW w:w="1143" w:type="dxa"/>
            <w:vAlign w:val="center"/>
          </w:tcPr>
          <w:p w14:paraId="5B839E37">
            <w:pPr>
              <w:spacing w:line="240" w:lineRule="exact"/>
              <w:ind w:firstLine="0" w:firstLineChars="0"/>
              <w:jc w:val="center"/>
              <w:rPr>
                <w:color w:val="000000" w:themeColor="text1"/>
                <w:sz w:val="21"/>
                <w:szCs w:val="21"/>
                <w14:textFill>
                  <w14:solidFill>
                    <w14:schemeClr w14:val="tx1"/>
                  </w14:solidFill>
                </w14:textFill>
              </w:rPr>
            </w:pPr>
            <w:r>
              <w:rPr>
                <w:snapToGrid w:val="0"/>
                <w:color w:val="000000" w:themeColor="text1"/>
                <w:sz w:val="21"/>
                <w:szCs w:val="21"/>
                <w14:textFill>
                  <w14:solidFill>
                    <w14:schemeClr w14:val="tx1"/>
                  </w14:solidFill>
                </w14:textFill>
              </w:rPr>
              <w:t>15</w:t>
            </w:r>
          </w:p>
        </w:tc>
        <w:tc>
          <w:tcPr>
            <w:tcW w:w="917" w:type="dxa"/>
            <w:vAlign w:val="center"/>
          </w:tcPr>
          <w:p w14:paraId="2FCFFC66">
            <w:pPr>
              <w:spacing w:line="240" w:lineRule="exact"/>
              <w:ind w:firstLine="0" w:firstLineChars="0"/>
              <w:jc w:val="center"/>
              <w:rPr>
                <w:color w:val="000000" w:themeColor="text1"/>
                <w:sz w:val="21"/>
                <w:szCs w:val="21"/>
                <w14:textFill>
                  <w14:solidFill>
                    <w14:schemeClr w14:val="tx1"/>
                  </w14:solidFill>
                </w14:textFill>
              </w:rPr>
            </w:pPr>
            <w:r>
              <w:rPr>
                <w:snapToGrid w:val="0"/>
                <w:color w:val="000000" w:themeColor="text1"/>
                <w:sz w:val="21"/>
                <w:szCs w:val="21"/>
                <w14:textFill>
                  <w14:solidFill>
                    <w14:schemeClr w14:val="tx1"/>
                  </w14:solidFill>
                </w14:textFill>
              </w:rPr>
              <w:t>6.5</w:t>
            </w:r>
          </w:p>
        </w:tc>
        <w:tc>
          <w:tcPr>
            <w:tcW w:w="911" w:type="dxa"/>
            <w:vMerge w:val="continue"/>
            <w:vAlign w:val="center"/>
          </w:tcPr>
          <w:p w14:paraId="795F0794">
            <w:pPr>
              <w:spacing w:line="240" w:lineRule="exact"/>
              <w:ind w:firstLine="0" w:firstLineChars="0"/>
              <w:jc w:val="center"/>
              <w:rPr>
                <w:color w:val="000000" w:themeColor="text1"/>
                <w:sz w:val="21"/>
                <w:szCs w:val="21"/>
                <w14:textFill>
                  <w14:solidFill>
                    <w14:schemeClr w14:val="tx1"/>
                  </w14:solidFill>
                </w14:textFill>
              </w:rPr>
            </w:pPr>
          </w:p>
        </w:tc>
        <w:tc>
          <w:tcPr>
            <w:tcW w:w="1564" w:type="dxa"/>
            <w:vAlign w:val="center"/>
          </w:tcPr>
          <w:p w14:paraId="41A297F0">
            <w:pPr>
              <w:spacing w:line="240" w:lineRule="exact"/>
              <w:ind w:firstLine="0" w:firstLineChars="0"/>
              <w:jc w:val="center"/>
              <w:rPr>
                <w:color w:val="000000" w:themeColor="text1"/>
                <w:sz w:val="21"/>
                <w:szCs w:val="21"/>
                <w14:textFill>
                  <w14:solidFill>
                    <w14:schemeClr w14:val="tx1"/>
                  </w14:solidFill>
                </w14:textFill>
              </w:rPr>
            </w:pPr>
            <w:r>
              <w:rPr>
                <w:snapToGrid w:val="0"/>
                <w:color w:val="000000" w:themeColor="text1"/>
                <w:sz w:val="21"/>
                <w:szCs w:val="21"/>
                <w14:textFill>
                  <w14:solidFill>
                    <w14:schemeClr w14:val="tx1"/>
                  </w14:solidFill>
                </w14:textFill>
              </w:rPr>
              <w:t>5.0</w:t>
            </w:r>
          </w:p>
        </w:tc>
        <w:tc>
          <w:tcPr>
            <w:tcW w:w="1969" w:type="dxa"/>
            <w:vAlign w:val="center"/>
          </w:tcPr>
          <w:p w14:paraId="369C7CA4">
            <w:pPr>
              <w:spacing w:line="240" w:lineRule="exact"/>
              <w:ind w:firstLine="0" w:firstLineChars="0"/>
              <w:jc w:val="center"/>
              <w:rPr>
                <w:snapToGrid w:val="0"/>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《恶臭污染物排放标准》（GB14554-93）</w:t>
            </w:r>
          </w:p>
        </w:tc>
      </w:tr>
    </w:tbl>
    <w:p w14:paraId="73FBF5C4">
      <w:pPr>
        <w:ind w:firstLine="480"/>
        <w:rPr>
          <w:color w:val="000000" w:themeColor="text1"/>
          <w14:textFill>
            <w14:solidFill>
              <w14:schemeClr w14:val="tx1"/>
            </w14:solidFill>
          </w14:textFill>
        </w:rPr>
      </w:pPr>
      <w:r>
        <w:rPr>
          <w:bCs/>
          <w:color w:val="000000" w:themeColor="text1"/>
          <w14:textFill>
            <w14:solidFill>
              <w14:schemeClr w14:val="tx1"/>
            </w14:solidFill>
          </w14:textFill>
        </w:rPr>
        <w:t>码头无组织排放的挥发性有机物执行《挥发性有机物无组织排放控制标准》（GB37822-2019）中的</w:t>
      </w:r>
      <w:r>
        <w:rPr>
          <w:rFonts w:hint="eastAsia"/>
          <w:bCs/>
          <w:color w:val="000000" w:themeColor="text1"/>
          <w:lang w:eastAsia="zh-CN"/>
          <w14:textFill>
            <w14:solidFill>
              <w14:schemeClr w14:val="tx1"/>
            </w14:solidFill>
          </w14:textFill>
        </w:rPr>
        <w:t>排放限值</w:t>
      </w:r>
      <w:r>
        <w:rPr>
          <w:bCs/>
          <w:color w:val="000000" w:themeColor="text1"/>
          <w14:textFill>
            <w14:solidFill>
              <w14:schemeClr w14:val="tx1"/>
            </w14:solidFill>
          </w14:textFill>
        </w:rPr>
        <w:t>，详见下表：</w:t>
      </w:r>
    </w:p>
    <w:p w14:paraId="7CEDC18F">
      <w:pPr>
        <w:pStyle w:val="7"/>
        <w:rPr>
          <w:color w:val="000000" w:themeColor="text1"/>
          <w14:textFill>
            <w14:solidFill>
              <w14:schemeClr w14:val="tx1"/>
            </w14:solidFill>
          </w14:textFill>
        </w:rPr>
      </w:pPr>
      <w:r>
        <w:rPr>
          <w:color w:val="000000" w:themeColor="text1"/>
          <w14:textFill>
            <w14:solidFill>
              <w14:schemeClr w14:val="tx1"/>
            </w14:solidFill>
          </w14:textFill>
        </w:rPr>
        <w:t xml:space="preserve">厂区内VOCs无组织排放限值         </w:t>
      </w:r>
      <w:r>
        <w:rPr>
          <w:color w:val="000000" w:themeColor="text1"/>
          <w:sz w:val="18"/>
          <w:szCs w:val="18"/>
          <w14:textFill>
            <w14:solidFill>
              <w14:schemeClr w14:val="tx1"/>
            </w14:solidFill>
          </w14:textFill>
        </w:rPr>
        <w:t xml:space="preserve">  单位：mg/m</w:t>
      </w:r>
      <w:r>
        <w:rPr>
          <w:color w:val="000000" w:themeColor="text1"/>
          <w:sz w:val="18"/>
          <w:szCs w:val="18"/>
          <w:vertAlign w:val="superscript"/>
          <w14:textFill>
            <w14:solidFill>
              <w14:schemeClr w14:val="tx1"/>
            </w14:solidFill>
          </w14:textFill>
        </w:rPr>
        <w:t>3</w:t>
      </w:r>
    </w:p>
    <w:tbl>
      <w:tblPr>
        <w:tblStyle w:val="43"/>
        <w:tblW w:w="9042"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28" w:type="dxa"/>
          <w:bottom w:w="0" w:type="dxa"/>
          <w:right w:w="28" w:type="dxa"/>
        </w:tblCellMar>
      </w:tblPr>
      <w:tblGrid>
        <w:gridCol w:w="1687"/>
        <w:gridCol w:w="1881"/>
        <w:gridCol w:w="2935"/>
        <w:gridCol w:w="2539"/>
      </w:tblGrid>
      <w:tr w14:paraId="094DCBF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cantSplit/>
          <w:trHeight w:val="351" w:hRule="atLeast"/>
          <w:jc w:val="center"/>
        </w:trPr>
        <w:tc>
          <w:tcPr>
            <w:tcW w:w="1687" w:type="dxa"/>
            <w:vAlign w:val="center"/>
          </w:tcPr>
          <w:p w14:paraId="5E6892F3">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污染物项目</w:t>
            </w:r>
          </w:p>
        </w:tc>
        <w:tc>
          <w:tcPr>
            <w:tcW w:w="1881" w:type="dxa"/>
            <w:vAlign w:val="center"/>
          </w:tcPr>
          <w:p w14:paraId="4E3EF1AB">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排放限值</w:t>
            </w:r>
          </w:p>
        </w:tc>
        <w:tc>
          <w:tcPr>
            <w:tcW w:w="2935" w:type="dxa"/>
            <w:vAlign w:val="center"/>
          </w:tcPr>
          <w:p w14:paraId="06EEF256">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限值含义</w:t>
            </w:r>
          </w:p>
        </w:tc>
        <w:tc>
          <w:tcPr>
            <w:tcW w:w="2539" w:type="dxa"/>
            <w:vAlign w:val="center"/>
          </w:tcPr>
          <w:p w14:paraId="6B096120">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无组织排放监控位置</w:t>
            </w:r>
          </w:p>
        </w:tc>
      </w:tr>
      <w:tr w14:paraId="1E8FE11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cantSplit/>
          <w:trHeight w:val="351" w:hRule="atLeast"/>
          <w:jc w:val="center"/>
        </w:trPr>
        <w:tc>
          <w:tcPr>
            <w:tcW w:w="1687" w:type="dxa"/>
            <w:vMerge w:val="restart"/>
            <w:vAlign w:val="center"/>
          </w:tcPr>
          <w:p w14:paraId="1DE79295">
            <w:pPr>
              <w:pStyle w:val="70"/>
              <w:rPr>
                <w:color w:val="000000" w:themeColor="text1"/>
                <w14:textFill>
                  <w14:solidFill>
                    <w14:schemeClr w14:val="tx1"/>
                  </w14:solidFill>
                </w14:textFill>
              </w:rPr>
            </w:pPr>
            <w:r>
              <w:rPr>
                <w:color w:val="000000" w:themeColor="text1"/>
                <w14:textFill>
                  <w14:solidFill>
                    <w14:schemeClr w14:val="tx1"/>
                  </w14:solidFill>
                </w14:textFill>
              </w:rPr>
              <w:t>NMHC</w:t>
            </w:r>
          </w:p>
        </w:tc>
        <w:tc>
          <w:tcPr>
            <w:tcW w:w="1881" w:type="dxa"/>
            <w:vAlign w:val="center"/>
          </w:tcPr>
          <w:p w14:paraId="6319A139">
            <w:pPr>
              <w:pStyle w:val="70"/>
              <w:rPr>
                <w:color w:val="000000" w:themeColor="text1"/>
                <w14:textFill>
                  <w14:solidFill>
                    <w14:schemeClr w14:val="tx1"/>
                  </w14:solidFill>
                </w14:textFill>
              </w:rPr>
            </w:pPr>
            <w:r>
              <w:rPr>
                <w:color w:val="000000" w:themeColor="text1"/>
                <w14:textFill>
                  <w14:solidFill>
                    <w14:schemeClr w14:val="tx1"/>
                  </w14:solidFill>
                </w14:textFill>
              </w:rPr>
              <w:t>10</w:t>
            </w:r>
          </w:p>
        </w:tc>
        <w:tc>
          <w:tcPr>
            <w:tcW w:w="2935" w:type="dxa"/>
            <w:vAlign w:val="center"/>
          </w:tcPr>
          <w:p w14:paraId="5C3CBE10">
            <w:pPr>
              <w:pStyle w:val="70"/>
              <w:rPr>
                <w:color w:val="000000" w:themeColor="text1"/>
                <w14:textFill>
                  <w14:solidFill>
                    <w14:schemeClr w14:val="tx1"/>
                  </w14:solidFill>
                </w14:textFill>
              </w:rPr>
            </w:pPr>
            <w:r>
              <w:rPr>
                <w:color w:val="000000" w:themeColor="text1"/>
                <w14:textFill>
                  <w14:solidFill>
                    <w14:schemeClr w14:val="tx1"/>
                  </w14:solidFill>
                </w14:textFill>
              </w:rPr>
              <w:t>监控点处1h平均浓度值</w:t>
            </w:r>
          </w:p>
        </w:tc>
        <w:tc>
          <w:tcPr>
            <w:tcW w:w="2539" w:type="dxa"/>
            <w:vMerge w:val="restart"/>
            <w:vAlign w:val="center"/>
          </w:tcPr>
          <w:p w14:paraId="7640067F">
            <w:pPr>
              <w:pStyle w:val="70"/>
              <w:rPr>
                <w:color w:val="000000" w:themeColor="text1"/>
                <w14:textFill>
                  <w14:solidFill>
                    <w14:schemeClr w14:val="tx1"/>
                  </w14:solidFill>
                </w14:textFill>
              </w:rPr>
            </w:pPr>
            <w:r>
              <w:rPr>
                <w:color w:val="000000" w:themeColor="text1"/>
                <w14:textFill>
                  <w14:solidFill>
                    <w14:schemeClr w14:val="tx1"/>
                  </w14:solidFill>
                </w14:textFill>
              </w:rPr>
              <w:t>在厂界设置监控点</w:t>
            </w:r>
          </w:p>
        </w:tc>
      </w:tr>
      <w:tr w14:paraId="205274A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cantSplit/>
          <w:trHeight w:val="351" w:hRule="atLeast"/>
          <w:jc w:val="center"/>
        </w:trPr>
        <w:tc>
          <w:tcPr>
            <w:tcW w:w="1687" w:type="dxa"/>
            <w:vMerge w:val="continue"/>
            <w:vAlign w:val="center"/>
          </w:tcPr>
          <w:p w14:paraId="4EF3286A">
            <w:pPr>
              <w:pStyle w:val="70"/>
              <w:rPr>
                <w:color w:val="000000" w:themeColor="text1"/>
                <w14:textFill>
                  <w14:solidFill>
                    <w14:schemeClr w14:val="tx1"/>
                  </w14:solidFill>
                </w14:textFill>
              </w:rPr>
            </w:pPr>
          </w:p>
        </w:tc>
        <w:tc>
          <w:tcPr>
            <w:tcW w:w="1881" w:type="dxa"/>
            <w:vAlign w:val="center"/>
          </w:tcPr>
          <w:p w14:paraId="228207B1">
            <w:pPr>
              <w:pStyle w:val="70"/>
              <w:rPr>
                <w:color w:val="000000" w:themeColor="text1"/>
                <w14:textFill>
                  <w14:solidFill>
                    <w14:schemeClr w14:val="tx1"/>
                  </w14:solidFill>
                </w14:textFill>
              </w:rPr>
            </w:pPr>
            <w:r>
              <w:rPr>
                <w:color w:val="000000" w:themeColor="text1"/>
                <w14:textFill>
                  <w14:solidFill>
                    <w14:schemeClr w14:val="tx1"/>
                  </w14:solidFill>
                </w14:textFill>
              </w:rPr>
              <w:t>30</w:t>
            </w:r>
          </w:p>
        </w:tc>
        <w:tc>
          <w:tcPr>
            <w:tcW w:w="2935" w:type="dxa"/>
            <w:vAlign w:val="center"/>
          </w:tcPr>
          <w:p w14:paraId="16B8B91A">
            <w:pPr>
              <w:pStyle w:val="70"/>
              <w:rPr>
                <w:color w:val="000000" w:themeColor="text1"/>
                <w14:textFill>
                  <w14:solidFill>
                    <w14:schemeClr w14:val="tx1"/>
                  </w14:solidFill>
                </w14:textFill>
              </w:rPr>
            </w:pPr>
            <w:r>
              <w:rPr>
                <w:color w:val="000000" w:themeColor="text1"/>
                <w14:textFill>
                  <w14:solidFill>
                    <w14:schemeClr w14:val="tx1"/>
                  </w14:solidFill>
                </w14:textFill>
              </w:rPr>
              <w:t>监控点处任意一次浓度值</w:t>
            </w:r>
          </w:p>
        </w:tc>
        <w:tc>
          <w:tcPr>
            <w:tcW w:w="2539" w:type="dxa"/>
            <w:vMerge w:val="continue"/>
            <w:vAlign w:val="center"/>
          </w:tcPr>
          <w:p w14:paraId="508B663E">
            <w:pPr>
              <w:pStyle w:val="70"/>
              <w:rPr>
                <w:color w:val="000000" w:themeColor="text1"/>
                <w14:textFill>
                  <w14:solidFill>
                    <w14:schemeClr w14:val="tx1"/>
                  </w14:solidFill>
                </w14:textFill>
              </w:rPr>
            </w:pPr>
          </w:p>
        </w:tc>
      </w:tr>
    </w:tbl>
    <w:p w14:paraId="44B90775">
      <w:pPr>
        <w:ind w:firstLine="480"/>
        <w:rPr>
          <w:color w:val="000000" w:themeColor="text1"/>
          <w14:textFill>
            <w14:solidFill>
              <w14:schemeClr w14:val="tx1"/>
            </w14:solidFill>
          </w14:textFill>
        </w:rPr>
      </w:pPr>
      <w:bookmarkStart w:id="96" w:name="_Hlk58774852"/>
      <w:r>
        <w:rPr>
          <w:color w:val="000000" w:themeColor="text1"/>
          <w14:textFill>
            <w14:solidFill>
              <w14:schemeClr w14:val="tx1"/>
            </w14:solidFill>
          </w14:textFill>
        </w:rPr>
        <w:t>自2018年7月1日起进行型式检验的新型船机其排气污染物排放应符合《船舶发动机排气污染物排放限值及测量方法（中国第一、第二阶段）》（GB15097－2016）第一阶段标准，自2021年7月1日进行型式检验的新型船机其排气污染物排放应符合第二阶段标准。</w:t>
      </w:r>
      <w:bookmarkEnd w:id="96"/>
    </w:p>
    <w:p w14:paraId="18A4A687">
      <w:pPr>
        <w:pStyle w:val="7"/>
        <w:rPr>
          <w:color w:val="000000" w:themeColor="text1"/>
          <w14:textFill>
            <w14:solidFill>
              <w14:schemeClr w14:val="tx1"/>
            </w14:solidFill>
          </w14:textFill>
        </w:rPr>
      </w:pPr>
      <w:r>
        <w:rPr>
          <w:color w:val="000000" w:themeColor="text1"/>
          <w14:textFill>
            <w14:solidFill>
              <w14:schemeClr w14:val="tx1"/>
            </w14:solidFill>
          </w14:textFill>
        </w:rPr>
        <w:t>船机排气污染物第一阶段排放限值（GB15097－2016）</w:t>
      </w:r>
    </w:p>
    <w:tbl>
      <w:tblPr>
        <w:tblStyle w:val="43"/>
        <w:tblW w:w="9042"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209"/>
        <w:gridCol w:w="1245"/>
        <w:gridCol w:w="1242"/>
        <w:gridCol w:w="1336"/>
        <w:gridCol w:w="1338"/>
        <w:gridCol w:w="1336"/>
        <w:gridCol w:w="1336"/>
      </w:tblGrid>
      <w:tr w14:paraId="49E30D2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209" w:type="dxa"/>
            <w:vAlign w:val="center"/>
          </w:tcPr>
          <w:p w14:paraId="7642D9D5">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船机类型</w:t>
            </w:r>
          </w:p>
        </w:tc>
        <w:tc>
          <w:tcPr>
            <w:tcW w:w="1245" w:type="dxa"/>
            <w:vAlign w:val="center"/>
          </w:tcPr>
          <w:p w14:paraId="0B0F2236">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单缸排量（SV）（L/缸）</w:t>
            </w:r>
          </w:p>
        </w:tc>
        <w:tc>
          <w:tcPr>
            <w:tcW w:w="1242" w:type="dxa"/>
            <w:vAlign w:val="center"/>
          </w:tcPr>
          <w:p w14:paraId="3DC84BE7">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额定净功率（P）（kW）</w:t>
            </w:r>
          </w:p>
        </w:tc>
        <w:tc>
          <w:tcPr>
            <w:tcW w:w="1336" w:type="dxa"/>
            <w:vAlign w:val="center"/>
          </w:tcPr>
          <w:p w14:paraId="1CC723CE">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CO（g/kWh）</w:t>
            </w:r>
          </w:p>
        </w:tc>
        <w:tc>
          <w:tcPr>
            <w:tcW w:w="1338" w:type="dxa"/>
            <w:vAlign w:val="center"/>
          </w:tcPr>
          <w:p w14:paraId="7C87EA9F">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HC+NO</w:t>
            </w:r>
            <w:r>
              <w:rPr>
                <w:b/>
                <w:bCs/>
                <w:color w:val="000000" w:themeColor="text1"/>
                <w:vertAlign w:val="subscript"/>
                <w14:textFill>
                  <w14:solidFill>
                    <w14:schemeClr w14:val="tx1"/>
                  </w14:solidFill>
                </w14:textFill>
              </w:rPr>
              <w:t>X</w:t>
            </w:r>
            <w:r>
              <w:rPr>
                <w:b/>
                <w:bCs/>
                <w:color w:val="000000" w:themeColor="text1"/>
                <w14:textFill>
                  <w14:solidFill>
                    <w14:schemeClr w14:val="tx1"/>
                  </w14:solidFill>
                </w14:textFill>
              </w:rPr>
              <w:t>（g/kWh）</w:t>
            </w:r>
          </w:p>
        </w:tc>
        <w:tc>
          <w:tcPr>
            <w:tcW w:w="1336" w:type="dxa"/>
            <w:vAlign w:val="center"/>
          </w:tcPr>
          <w:p w14:paraId="27DC86AE">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CH</w:t>
            </w:r>
            <w:r>
              <w:rPr>
                <w:b/>
                <w:bCs/>
                <w:color w:val="000000" w:themeColor="text1"/>
                <w:vertAlign w:val="subscript"/>
                <w14:textFill>
                  <w14:solidFill>
                    <w14:schemeClr w14:val="tx1"/>
                  </w14:solidFill>
                </w14:textFill>
              </w:rPr>
              <w:t>4</w:t>
            </w:r>
            <w:r>
              <w:rPr>
                <w:b/>
                <w:bCs/>
                <w:color w:val="000000" w:themeColor="text1"/>
                <w:vertAlign w:val="superscript"/>
                <w14:textFill>
                  <w14:solidFill>
                    <w14:schemeClr w14:val="tx1"/>
                  </w14:solidFill>
                </w14:textFill>
              </w:rPr>
              <w:t>(1)</w:t>
            </w:r>
            <w:r>
              <w:rPr>
                <w:b/>
                <w:bCs/>
                <w:color w:val="000000" w:themeColor="text1"/>
                <w14:textFill>
                  <w14:solidFill>
                    <w14:schemeClr w14:val="tx1"/>
                  </w14:solidFill>
                </w14:textFill>
              </w:rPr>
              <w:t>（g/kWh）</w:t>
            </w:r>
          </w:p>
        </w:tc>
        <w:tc>
          <w:tcPr>
            <w:tcW w:w="1336" w:type="dxa"/>
            <w:vAlign w:val="center"/>
          </w:tcPr>
          <w:p w14:paraId="05DCA308">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PM（g/kWh）</w:t>
            </w:r>
          </w:p>
        </w:tc>
      </w:tr>
      <w:tr w14:paraId="3E6841C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209" w:type="dxa"/>
            <w:vMerge w:val="restart"/>
            <w:vAlign w:val="center"/>
          </w:tcPr>
          <w:p w14:paraId="4735D2F0">
            <w:pPr>
              <w:pStyle w:val="70"/>
              <w:rPr>
                <w:color w:val="000000" w:themeColor="text1"/>
                <w14:textFill>
                  <w14:solidFill>
                    <w14:schemeClr w14:val="tx1"/>
                  </w14:solidFill>
                </w14:textFill>
              </w:rPr>
            </w:pPr>
            <w:r>
              <w:rPr>
                <w:color w:val="000000" w:themeColor="text1"/>
                <w14:textFill>
                  <w14:solidFill>
                    <w14:schemeClr w14:val="tx1"/>
                  </w14:solidFill>
                </w14:textFill>
              </w:rPr>
              <w:t>额定净功率大于或等于37kW并且单缸排量小于5L的船机</w:t>
            </w:r>
          </w:p>
        </w:tc>
        <w:tc>
          <w:tcPr>
            <w:tcW w:w="1245" w:type="dxa"/>
            <w:vAlign w:val="center"/>
          </w:tcPr>
          <w:p w14:paraId="3B540C5E">
            <w:pPr>
              <w:pStyle w:val="70"/>
              <w:rPr>
                <w:color w:val="000000" w:themeColor="text1"/>
                <w14:textFill>
                  <w14:solidFill>
                    <w14:schemeClr w14:val="tx1"/>
                  </w14:solidFill>
                </w14:textFill>
              </w:rPr>
            </w:pPr>
            <w:r>
              <w:rPr>
                <w:color w:val="000000" w:themeColor="text1"/>
                <w14:textFill>
                  <w14:solidFill>
                    <w14:schemeClr w14:val="tx1"/>
                  </w14:solidFill>
                </w14:textFill>
              </w:rPr>
              <w:t>SV&lt;0.9</w:t>
            </w:r>
          </w:p>
        </w:tc>
        <w:tc>
          <w:tcPr>
            <w:tcW w:w="1242" w:type="dxa"/>
            <w:vAlign w:val="center"/>
          </w:tcPr>
          <w:p w14:paraId="7DB81730">
            <w:pPr>
              <w:pStyle w:val="70"/>
              <w:rPr>
                <w:color w:val="000000" w:themeColor="text1"/>
                <w14:textFill>
                  <w14:solidFill>
                    <w14:schemeClr w14:val="tx1"/>
                  </w14:solidFill>
                </w14:textFill>
              </w:rPr>
            </w:pPr>
            <w:r>
              <w:rPr>
                <w:color w:val="000000" w:themeColor="text1"/>
                <w14:textFill>
                  <w14:solidFill>
                    <w14:schemeClr w14:val="tx1"/>
                  </w14:solidFill>
                </w14:textFill>
              </w:rPr>
              <w:t>P</w:t>
            </w:r>
            <m:oMath>
              <m:r>
                <m:rPr/>
                <w:rPr>
                  <w:rFonts w:ascii="Cambria Math" w:hAnsi="Cambria Math"/>
                  <w:color w:val="000000" w:themeColor="text1"/>
                  <w14:textFill>
                    <w14:solidFill>
                      <w14:schemeClr w14:val="tx1"/>
                    </w14:solidFill>
                  </w14:textFill>
                </w:rPr>
                <m:t>≥</m:t>
              </m:r>
            </m:oMath>
            <w:r>
              <w:rPr>
                <w:color w:val="000000" w:themeColor="text1"/>
                <w14:textFill>
                  <w14:solidFill>
                    <w14:schemeClr w14:val="tx1"/>
                  </w14:solidFill>
                </w14:textFill>
              </w:rPr>
              <w:t>37</w:t>
            </w:r>
          </w:p>
        </w:tc>
        <w:tc>
          <w:tcPr>
            <w:tcW w:w="1336" w:type="dxa"/>
            <w:vAlign w:val="center"/>
          </w:tcPr>
          <w:p w14:paraId="648BB0E5">
            <w:pPr>
              <w:pStyle w:val="70"/>
              <w:rPr>
                <w:color w:val="000000" w:themeColor="text1"/>
                <w14:textFill>
                  <w14:solidFill>
                    <w14:schemeClr w14:val="tx1"/>
                  </w14:solidFill>
                </w14:textFill>
              </w:rPr>
            </w:pPr>
            <w:r>
              <w:rPr>
                <w:color w:val="000000" w:themeColor="text1"/>
                <w14:textFill>
                  <w14:solidFill>
                    <w14:schemeClr w14:val="tx1"/>
                  </w14:solidFill>
                </w14:textFill>
              </w:rPr>
              <w:t>5.0</w:t>
            </w:r>
          </w:p>
        </w:tc>
        <w:tc>
          <w:tcPr>
            <w:tcW w:w="1338" w:type="dxa"/>
            <w:vAlign w:val="center"/>
          </w:tcPr>
          <w:p w14:paraId="60E6D236">
            <w:pPr>
              <w:pStyle w:val="70"/>
              <w:rPr>
                <w:color w:val="000000" w:themeColor="text1"/>
                <w14:textFill>
                  <w14:solidFill>
                    <w14:schemeClr w14:val="tx1"/>
                  </w14:solidFill>
                </w14:textFill>
              </w:rPr>
            </w:pPr>
            <w:r>
              <w:rPr>
                <w:color w:val="000000" w:themeColor="text1"/>
                <w14:textFill>
                  <w14:solidFill>
                    <w14:schemeClr w14:val="tx1"/>
                  </w14:solidFill>
                </w14:textFill>
              </w:rPr>
              <w:t>7.5</w:t>
            </w:r>
          </w:p>
        </w:tc>
        <w:tc>
          <w:tcPr>
            <w:tcW w:w="1336" w:type="dxa"/>
            <w:vAlign w:val="center"/>
          </w:tcPr>
          <w:p w14:paraId="353126D6">
            <w:pPr>
              <w:pStyle w:val="70"/>
              <w:rPr>
                <w:color w:val="000000" w:themeColor="text1"/>
                <w14:textFill>
                  <w14:solidFill>
                    <w14:schemeClr w14:val="tx1"/>
                  </w14:solidFill>
                </w14:textFill>
              </w:rPr>
            </w:pPr>
            <w:r>
              <w:rPr>
                <w:color w:val="000000" w:themeColor="text1"/>
                <w14:textFill>
                  <w14:solidFill>
                    <w14:schemeClr w14:val="tx1"/>
                  </w14:solidFill>
                </w14:textFill>
              </w:rPr>
              <w:t>1.5</w:t>
            </w:r>
          </w:p>
        </w:tc>
        <w:tc>
          <w:tcPr>
            <w:tcW w:w="1336" w:type="dxa"/>
            <w:vAlign w:val="center"/>
          </w:tcPr>
          <w:p w14:paraId="2057C2D3">
            <w:pPr>
              <w:pStyle w:val="70"/>
              <w:rPr>
                <w:color w:val="000000" w:themeColor="text1"/>
                <w14:textFill>
                  <w14:solidFill>
                    <w14:schemeClr w14:val="tx1"/>
                  </w14:solidFill>
                </w14:textFill>
              </w:rPr>
            </w:pPr>
            <w:r>
              <w:rPr>
                <w:color w:val="000000" w:themeColor="text1"/>
                <w14:textFill>
                  <w14:solidFill>
                    <w14:schemeClr w14:val="tx1"/>
                  </w14:solidFill>
                </w14:textFill>
              </w:rPr>
              <w:t>0.40</w:t>
            </w:r>
          </w:p>
        </w:tc>
      </w:tr>
      <w:tr w14:paraId="0B69376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209" w:type="dxa"/>
            <w:vMerge w:val="continue"/>
            <w:vAlign w:val="center"/>
          </w:tcPr>
          <w:p w14:paraId="40B21FAB">
            <w:pPr>
              <w:pStyle w:val="70"/>
              <w:rPr>
                <w:color w:val="000000" w:themeColor="text1"/>
                <w14:textFill>
                  <w14:solidFill>
                    <w14:schemeClr w14:val="tx1"/>
                  </w14:solidFill>
                </w14:textFill>
              </w:rPr>
            </w:pPr>
          </w:p>
        </w:tc>
        <w:tc>
          <w:tcPr>
            <w:tcW w:w="2487" w:type="dxa"/>
            <w:gridSpan w:val="2"/>
            <w:vAlign w:val="center"/>
          </w:tcPr>
          <w:p w14:paraId="781AE97E">
            <w:pPr>
              <w:pStyle w:val="70"/>
              <w:rPr>
                <w:color w:val="000000" w:themeColor="text1"/>
                <w14:textFill>
                  <w14:solidFill>
                    <w14:schemeClr w14:val="tx1"/>
                  </w14:solidFill>
                </w14:textFill>
              </w:rPr>
            </w:pPr>
            <w:r>
              <w:rPr>
                <w:color w:val="000000" w:themeColor="text1"/>
                <w14:textFill>
                  <w14:solidFill>
                    <w14:schemeClr w14:val="tx1"/>
                  </w14:solidFill>
                </w14:textFill>
              </w:rPr>
              <w:t>0.9</w:t>
            </w:r>
            <m:oMath>
              <m:r>
                <m:rPr/>
                <w:rPr>
                  <w:rFonts w:ascii="Cambria Math" w:hAnsi="Cambria Math"/>
                  <w:color w:val="000000" w:themeColor="text1"/>
                  <w14:textFill>
                    <w14:solidFill>
                      <w14:schemeClr w14:val="tx1"/>
                    </w14:solidFill>
                  </w14:textFill>
                </w:rPr>
                <m:t>≤</m:t>
              </m:r>
            </m:oMath>
            <w:r>
              <w:rPr>
                <w:color w:val="000000" w:themeColor="text1"/>
                <w14:textFill>
                  <w14:solidFill>
                    <w14:schemeClr w14:val="tx1"/>
                  </w14:solidFill>
                </w14:textFill>
              </w:rPr>
              <w:t>SV&lt;1.2</w:t>
            </w:r>
          </w:p>
        </w:tc>
        <w:tc>
          <w:tcPr>
            <w:tcW w:w="1336" w:type="dxa"/>
            <w:vAlign w:val="center"/>
          </w:tcPr>
          <w:p w14:paraId="418C8941">
            <w:pPr>
              <w:pStyle w:val="70"/>
              <w:rPr>
                <w:color w:val="000000" w:themeColor="text1"/>
                <w14:textFill>
                  <w14:solidFill>
                    <w14:schemeClr w14:val="tx1"/>
                  </w14:solidFill>
                </w14:textFill>
              </w:rPr>
            </w:pPr>
            <w:r>
              <w:rPr>
                <w:color w:val="000000" w:themeColor="text1"/>
                <w14:textFill>
                  <w14:solidFill>
                    <w14:schemeClr w14:val="tx1"/>
                  </w14:solidFill>
                </w14:textFill>
              </w:rPr>
              <w:t>5.0</w:t>
            </w:r>
          </w:p>
        </w:tc>
        <w:tc>
          <w:tcPr>
            <w:tcW w:w="1338" w:type="dxa"/>
            <w:vAlign w:val="center"/>
          </w:tcPr>
          <w:p w14:paraId="5066DC70">
            <w:pPr>
              <w:pStyle w:val="70"/>
              <w:rPr>
                <w:color w:val="000000" w:themeColor="text1"/>
                <w14:textFill>
                  <w14:solidFill>
                    <w14:schemeClr w14:val="tx1"/>
                  </w14:solidFill>
                </w14:textFill>
              </w:rPr>
            </w:pPr>
            <w:r>
              <w:rPr>
                <w:color w:val="000000" w:themeColor="text1"/>
                <w14:textFill>
                  <w14:solidFill>
                    <w14:schemeClr w14:val="tx1"/>
                  </w14:solidFill>
                </w14:textFill>
              </w:rPr>
              <w:t>7.2</w:t>
            </w:r>
          </w:p>
        </w:tc>
        <w:tc>
          <w:tcPr>
            <w:tcW w:w="1336" w:type="dxa"/>
            <w:vAlign w:val="center"/>
          </w:tcPr>
          <w:p w14:paraId="66725531">
            <w:pPr>
              <w:pStyle w:val="70"/>
              <w:rPr>
                <w:color w:val="000000" w:themeColor="text1"/>
                <w14:textFill>
                  <w14:solidFill>
                    <w14:schemeClr w14:val="tx1"/>
                  </w14:solidFill>
                </w14:textFill>
              </w:rPr>
            </w:pPr>
            <w:r>
              <w:rPr>
                <w:color w:val="000000" w:themeColor="text1"/>
                <w14:textFill>
                  <w14:solidFill>
                    <w14:schemeClr w14:val="tx1"/>
                  </w14:solidFill>
                </w14:textFill>
              </w:rPr>
              <w:t>1.5</w:t>
            </w:r>
          </w:p>
        </w:tc>
        <w:tc>
          <w:tcPr>
            <w:tcW w:w="1336" w:type="dxa"/>
            <w:vAlign w:val="center"/>
          </w:tcPr>
          <w:p w14:paraId="2F19F26D">
            <w:pPr>
              <w:pStyle w:val="70"/>
              <w:rPr>
                <w:color w:val="000000" w:themeColor="text1"/>
                <w14:textFill>
                  <w14:solidFill>
                    <w14:schemeClr w14:val="tx1"/>
                  </w14:solidFill>
                </w14:textFill>
              </w:rPr>
            </w:pPr>
            <w:r>
              <w:rPr>
                <w:color w:val="000000" w:themeColor="text1"/>
                <w14:textFill>
                  <w14:solidFill>
                    <w14:schemeClr w14:val="tx1"/>
                  </w14:solidFill>
                </w14:textFill>
              </w:rPr>
              <w:t>0.30</w:t>
            </w:r>
          </w:p>
        </w:tc>
      </w:tr>
      <w:tr w14:paraId="7A6EF84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209" w:type="dxa"/>
            <w:vMerge w:val="continue"/>
            <w:vAlign w:val="center"/>
          </w:tcPr>
          <w:p w14:paraId="7ECD8494">
            <w:pPr>
              <w:pStyle w:val="70"/>
              <w:rPr>
                <w:color w:val="000000" w:themeColor="text1"/>
                <w14:textFill>
                  <w14:solidFill>
                    <w14:schemeClr w14:val="tx1"/>
                  </w14:solidFill>
                </w14:textFill>
              </w:rPr>
            </w:pPr>
          </w:p>
        </w:tc>
        <w:tc>
          <w:tcPr>
            <w:tcW w:w="2487" w:type="dxa"/>
            <w:gridSpan w:val="2"/>
            <w:vAlign w:val="center"/>
          </w:tcPr>
          <w:p w14:paraId="6917828F">
            <w:pPr>
              <w:pStyle w:val="70"/>
              <w:rPr>
                <w:color w:val="000000" w:themeColor="text1"/>
                <w14:textFill>
                  <w14:solidFill>
                    <w14:schemeClr w14:val="tx1"/>
                  </w14:solidFill>
                </w14:textFill>
              </w:rPr>
            </w:pPr>
            <w:r>
              <w:rPr>
                <w:color w:val="000000" w:themeColor="text1"/>
                <w14:textFill>
                  <w14:solidFill>
                    <w14:schemeClr w14:val="tx1"/>
                  </w14:solidFill>
                </w14:textFill>
              </w:rPr>
              <w:t>1.2</w:t>
            </w:r>
            <m:oMath>
              <m:r>
                <m:rPr/>
                <w:rPr>
                  <w:rFonts w:ascii="Cambria Math" w:hAnsi="Cambria Math"/>
                  <w:color w:val="000000" w:themeColor="text1"/>
                  <w14:textFill>
                    <w14:solidFill>
                      <w14:schemeClr w14:val="tx1"/>
                    </w14:solidFill>
                  </w14:textFill>
                </w:rPr>
                <m:t>≤</m:t>
              </m:r>
            </m:oMath>
            <w:r>
              <w:rPr>
                <w:color w:val="000000" w:themeColor="text1"/>
                <w14:textFill>
                  <w14:solidFill>
                    <w14:schemeClr w14:val="tx1"/>
                  </w14:solidFill>
                </w14:textFill>
              </w:rPr>
              <w:t>SV&lt;5</w:t>
            </w:r>
          </w:p>
        </w:tc>
        <w:tc>
          <w:tcPr>
            <w:tcW w:w="1336" w:type="dxa"/>
            <w:vAlign w:val="center"/>
          </w:tcPr>
          <w:p w14:paraId="6067E31D">
            <w:pPr>
              <w:pStyle w:val="70"/>
              <w:rPr>
                <w:color w:val="000000" w:themeColor="text1"/>
                <w14:textFill>
                  <w14:solidFill>
                    <w14:schemeClr w14:val="tx1"/>
                  </w14:solidFill>
                </w14:textFill>
              </w:rPr>
            </w:pPr>
            <w:r>
              <w:rPr>
                <w:color w:val="000000" w:themeColor="text1"/>
                <w14:textFill>
                  <w14:solidFill>
                    <w14:schemeClr w14:val="tx1"/>
                  </w14:solidFill>
                </w14:textFill>
              </w:rPr>
              <w:t>5.0</w:t>
            </w:r>
          </w:p>
        </w:tc>
        <w:tc>
          <w:tcPr>
            <w:tcW w:w="1338" w:type="dxa"/>
            <w:vAlign w:val="center"/>
          </w:tcPr>
          <w:p w14:paraId="2E3BFA3F">
            <w:pPr>
              <w:pStyle w:val="70"/>
              <w:rPr>
                <w:color w:val="000000" w:themeColor="text1"/>
                <w14:textFill>
                  <w14:solidFill>
                    <w14:schemeClr w14:val="tx1"/>
                  </w14:solidFill>
                </w14:textFill>
              </w:rPr>
            </w:pPr>
            <w:r>
              <w:rPr>
                <w:color w:val="000000" w:themeColor="text1"/>
                <w14:textFill>
                  <w14:solidFill>
                    <w14:schemeClr w14:val="tx1"/>
                  </w14:solidFill>
                </w14:textFill>
              </w:rPr>
              <w:t>7.2</w:t>
            </w:r>
          </w:p>
        </w:tc>
        <w:tc>
          <w:tcPr>
            <w:tcW w:w="1336" w:type="dxa"/>
            <w:vAlign w:val="center"/>
          </w:tcPr>
          <w:p w14:paraId="093131F5">
            <w:pPr>
              <w:pStyle w:val="70"/>
              <w:rPr>
                <w:color w:val="000000" w:themeColor="text1"/>
                <w14:textFill>
                  <w14:solidFill>
                    <w14:schemeClr w14:val="tx1"/>
                  </w14:solidFill>
                </w14:textFill>
              </w:rPr>
            </w:pPr>
            <w:r>
              <w:rPr>
                <w:color w:val="000000" w:themeColor="text1"/>
                <w14:textFill>
                  <w14:solidFill>
                    <w14:schemeClr w14:val="tx1"/>
                  </w14:solidFill>
                </w14:textFill>
              </w:rPr>
              <w:t>1.5</w:t>
            </w:r>
          </w:p>
        </w:tc>
        <w:tc>
          <w:tcPr>
            <w:tcW w:w="1336" w:type="dxa"/>
            <w:vAlign w:val="center"/>
          </w:tcPr>
          <w:p w14:paraId="0A8AA734">
            <w:pPr>
              <w:pStyle w:val="70"/>
              <w:rPr>
                <w:color w:val="000000" w:themeColor="text1"/>
                <w14:textFill>
                  <w14:solidFill>
                    <w14:schemeClr w14:val="tx1"/>
                  </w14:solidFill>
                </w14:textFill>
              </w:rPr>
            </w:pPr>
            <w:r>
              <w:rPr>
                <w:color w:val="000000" w:themeColor="text1"/>
                <w14:textFill>
                  <w14:solidFill>
                    <w14:schemeClr w14:val="tx1"/>
                  </w14:solidFill>
                </w14:textFill>
              </w:rPr>
              <w:t>0.20</w:t>
            </w:r>
          </w:p>
        </w:tc>
      </w:tr>
      <w:tr w14:paraId="32371B9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209" w:type="dxa"/>
            <w:vMerge w:val="restart"/>
            <w:vAlign w:val="center"/>
          </w:tcPr>
          <w:p w14:paraId="5CD847D8">
            <w:pPr>
              <w:pStyle w:val="70"/>
              <w:rPr>
                <w:color w:val="000000" w:themeColor="text1"/>
                <w14:textFill>
                  <w14:solidFill>
                    <w14:schemeClr w14:val="tx1"/>
                  </w14:solidFill>
                </w14:textFill>
              </w:rPr>
            </w:pPr>
            <w:r>
              <w:rPr>
                <w:color w:val="000000" w:themeColor="text1"/>
                <w14:textFill>
                  <w14:solidFill>
                    <w14:schemeClr w14:val="tx1"/>
                  </w14:solidFill>
                </w14:textFill>
              </w:rPr>
              <w:t>单缸排量大于或等于5L且小于30L的船机</w:t>
            </w:r>
          </w:p>
        </w:tc>
        <w:tc>
          <w:tcPr>
            <w:tcW w:w="2487" w:type="dxa"/>
            <w:gridSpan w:val="2"/>
            <w:vAlign w:val="center"/>
          </w:tcPr>
          <w:p w14:paraId="2BC56222">
            <w:pPr>
              <w:pStyle w:val="70"/>
              <w:rPr>
                <w:color w:val="000000" w:themeColor="text1"/>
                <w14:textFill>
                  <w14:solidFill>
                    <w14:schemeClr w14:val="tx1"/>
                  </w14:solidFill>
                </w14:textFill>
              </w:rPr>
            </w:pPr>
            <w:r>
              <w:rPr>
                <w:color w:val="000000" w:themeColor="text1"/>
                <w14:textFill>
                  <w14:solidFill>
                    <w14:schemeClr w14:val="tx1"/>
                  </w14:solidFill>
                </w14:textFill>
              </w:rPr>
              <w:t>5</w:t>
            </w:r>
            <m:oMath>
              <m:r>
                <m:rPr/>
                <w:rPr>
                  <w:rFonts w:ascii="Cambria Math" w:hAnsi="Cambria Math"/>
                  <w:color w:val="000000" w:themeColor="text1"/>
                  <w14:textFill>
                    <w14:solidFill>
                      <w14:schemeClr w14:val="tx1"/>
                    </w14:solidFill>
                  </w14:textFill>
                </w:rPr>
                <m:t>≤</m:t>
              </m:r>
            </m:oMath>
            <w:r>
              <w:rPr>
                <w:color w:val="000000" w:themeColor="text1"/>
                <w14:textFill>
                  <w14:solidFill>
                    <w14:schemeClr w14:val="tx1"/>
                  </w14:solidFill>
                </w14:textFill>
              </w:rPr>
              <w:t>SV&lt;15</w:t>
            </w:r>
          </w:p>
        </w:tc>
        <w:tc>
          <w:tcPr>
            <w:tcW w:w="1336" w:type="dxa"/>
            <w:vAlign w:val="center"/>
          </w:tcPr>
          <w:p w14:paraId="3AB39894">
            <w:pPr>
              <w:pStyle w:val="70"/>
              <w:rPr>
                <w:color w:val="000000" w:themeColor="text1"/>
                <w14:textFill>
                  <w14:solidFill>
                    <w14:schemeClr w14:val="tx1"/>
                  </w14:solidFill>
                </w14:textFill>
              </w:rPr>
            </w:pPr>
            <w:r>
              <w:rPr>
                <w:color w:val="000000" w:themeColor="text1"/>
                <w14:textFill>
                  <w14:solidFill>
                    <w14:schemeClr w14:val="tx1"/>
                  </w14:solidFill>
                </w14:textFill>
              </w:rPr>
              <w:t>5.0</w:t>
            </w:r>
          </w:p>
        </w:tc>
        <w:tc>
          <w:tcPr>
            <w:tcW w:w="1338" w:type="dxa"/>
            <w:vAlign w:val="center"/>
          </w:tcPr>
          <w:p w14:paraId="68C4050A">
            <w:pPr>
              <w:pStyle w:val="70"/>
              <w:rPr>
                <w:color w:val="000000" w:themeColor="text1"/>
                <w14:textFill>
                  <w14:solidFill>
                    <w14:schemeClr w14:val="tx1"/>
                  </w14:solidFill>
                </w14:textFill>
              </w:rPr>
            </w:pPr>
            <w:r>
              <w:rPr>
                <w:color w:val="000000" w:themeColor="text1"/>
                <w14:textFill>
                  <w14:solidFill>
                    <w14:schemeClr w14:val="tx1"/>
                  </w14:solidFill>
                </w14:textFill>
              </w:rPr>
              <w:t>7.8</w:t>
            </w:r>
          </w:p>
        </w:tc>
        <w:tc>
          <w:tcPr>
            <w:tcW w:w="1336" w:type="dxa"/>
            <w:vAlign w:val="center"/>
          </w:tcPr>
          <w:p w14:paraId="5FD3146A">
            <w:pPr>
              <w:pStyle w:val="70"/>
              <w:rPr>
                <w:color w:val="000000" w:themeColor="text1"/>
                <w14:textFill>
                  <w14:solidFill>
                    <w14:schemeClr w14:val="tx1"/>
                  </w14:solidFill>
                </w14:textFill>
              </w:rPr>
            </w:pPr>
            <w:r>
              <w:rPr>
                <w:color w:val="000000" w:themeColor="text1"/>
                <w14:textFill>
                  <w14:solidFill>
                    <w14:schemeClr w14:val="tx1"/>
                  </w14:solidFill>
                </w14:textFill>
              </w:rPr>
              <w:t>1.5</w:t>
            </w:r>
          </w:p>
        </w:tc>
        <w:tc>
          <w:tcPr>
            <w:tcW w:w="1336" w:type="dxa"/>
            <w:vAlign w:val="center"/>
          </w:tcPr>
          <w:p w14:paraId="5BAF1F6D">
            <w:pPr>
              <w:pStyle w:val="70"/>
              <w:rPr>
                <w:color w:val="000000" w:themeColor="text1"/>
                <w14:textFill>
                  <w14:solidFill>
                    <w14:schemeClr w14:val="tx1"/>
                  </w14:solidFill>
                </w14:textFill>
              </w:rPr>
            </w:pPr>
            <w:r>
              <w:rPr>
                <w:color w:val="000000" w:themeColor="text1"/>
                <w14:textFill>
                  <w14:solidFill>
                    <w14:schemeClr w14:val="tx1"/>
                  </w14:solidFill>
                </w14:textFill>
              </w:rPr>
              <w:t>0.27</w:t>
            </w:r>
          </w:p>
        </w:tc>
      </w:tr>
      <w:tr w14:paraId="3B365F3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209" w:type="dxa"/>
            <w:vMerge w:val="continue"/>
            <w:vAlign w:val="center"/>
          </w:tcPr>
          <w:p w14:paraId="17A76A98">
            <w:pPr>
              <w:pStyle w:val="70"/>
              <w:rPr>
                <w:color w:val="000000" w:themeColor="text1"/>
                <w14:textFill>
                  <w14:solidFill>
                    <w14:schemeClr w14:val="tx1"/>
                  </w14:solidFill>
                </w14:textFill>
              </w:rPr>
            </w:pPr>
          </w:p>
        </w:tc>
        <w:tc>
          <w:tcPr>
            <w:tcW w:w="1245" w:type="dxa"/>
            <w:vMerge w:val="restart"/>
            <w:vAlign w:val="center"/>
          </w:tcPr>
          <w:p w14:paraId="0CB2B9C4">
            <w:pPr>
              <w:pStyle w:val="70"/>
              <w:rPr>
                <w:color w:val="000000" w:themeColor="text1"/>
                <w14:textFill>
                  <w14:solidFill>
                    <w14:schemeClr w14:val="tx1"/>
                  </w14:solidFill>
                </w14:textFill>
              </w:rPr>
            </w:pPr>
            <w:r>
              <w:rPr>
                <w:color w:val="000000" w:themeColor="text1"/>
                <w14:textFill>
                  <w14:solidFill>
                    <w14:schemeClr w14:val="tx1"/>
                  </w14:solidFill>
                </w14:textFill>
              </w:rPr>
              <w:t>15</w:t>
            </w:r>
            <m:oMath>
              <m:r>
                <m:rPr/>
                <w:rPr>
                  <w:rFonts w:ascii="Cambria Math" w:hAnsi="Cambria Math"/>
                  <w:color w:val="000000" w:themeColor="text1"/>
                  <w14:textFill>
                    <w14:solidFill>
                      <w14:schemeClr w14:val="tx1"/>
                    </w14:solidFill>
                  </w14:textFill>
                </w:rPr>
                <m:t>≤</m:t>
              </m:r>
            </m:oMath>
            <w:r>
              <w:rPr>
                <w:color w:val="000000" w:themeColor="text1"/>
                <w14:textFill>
                  <w14:solidFill>
                    <w14:schemeClr w14:val="tx1"/>
                  </w14:solidFill>
                </w14:textFill>
              </w:rPr>
              <w:t>SV&lt;20</w:t>
            </w:r>
          </w:p>
        </w:tc>
        <w:tc>
          <w:tcPr>
            <w:tcW w:w="1242" w:type="dxa"/>
            <w:vAlign w:val="center"/>
          </w:tcPr>
          <w:p w14:paraId="354C8040">
            <w:pPr>
              <w:pStyle w:val="70"/>
              <w:rPr>
                <w:color w:val="000000" w:themeColor="text1"/>
                <w14:textFill>
                  <w14:solidFill>
                    <w14:schemeClr w14:val="tx1"/>
                  </w14:solidFill>
                </w14:textFill>
              </w:rPr>
            </w:pPr>
            <w:r>
              <w:rPr>
                <w:color w:val="000000" w:themeColor="text1"/>
                <w14:textFill>
                  <w14:solidFill>
                    <w14:schemeClr w14:val="tx1"/>
                  </w14:solidFill>
                </w14:textFill>
              </w:rPr>
              <w:t>P&lt;3300</w:t>
            </w:r>
          </w:p>
        </w:tc>
        <w:tc>
          <w:tcPr>
            <w:tcW w:w="1336" w:type="dxa"/>
            <w:vAlign w:val="center"/>
          </w:tcPr>
          <w:p w14:paraId="22D85148">
            <w:pPr>
              <w:pStyle w:val="70"/>
              <w:rPr>
                <w:color w:val="000000" w:themeColor="text1"/>
                <w14:textFill>
                  <w14:solidFill>
                    <w14:schemeClr w14:val="tx1"/>
                  </w14:solidFill>
                </w14:textFill>
              </w:rPr>
            </w:pPr>
            <w:r>
              <w:rPr>
                <w:color w:val="000000" w:themeColor="text1"/>
                <w14:textFill>
                  <w14:solidFill>
                    <w14:schemeClr w14:val="tx1"/>
                  </w14:solidFill>
                </w14:textFill>
              </w:rPr>
              <w:t>5.0</w:t>
            </w:r>
          </w:p>
        </w:tc>
        <w:tc>
          <w:tcPr>
            <w:tcW w:w="1338" w:type="dxa"/>
            <w:vAlign w:val="center"/>
          </w:tcPr>
          <w:p w14:paraId="745B2B45">
            <w:pPr>
              <w:pStyle w:val="70"/>
              <w:rPr>
                <w:color w:val="000000" w:themeColor="text1"/>
                <w14:textFill>
                  <w14:solidFill>
                    <w14:schemeClr w14:val="tx1"/>
                  </w14:solidFill>
                </w14:textFill>
              </w:rPr>
            </w:pPr>
            <w:r>
              <w:rPr>
                <w:color w:val="000000" w:themeColor="text1"/>
                <w14:textFill>
                  <w14:solidFill>
                    <w14:schemeClr w14:val="tx1"/>
                  </w14:solidFill>
                </w14:textFill>
              </w:rPr>
              <w:t>8.7</w:t>
            </w:r>
          </w:p>
        </w:tc>
        <w:tc>
          <w:tcPr>
            <w:tcW w:w="1336" w:type="dxa"/>
            <w:vAlign w:val="center"/>
          </w:tcPr>
          <w:p w14:paraId="7A83605B">
            <w:pPr>
              <w:pStyle w:val="70"/>
              <w:rPr>
                <w:color w:val="000000" w:themeColor="text1"/>
                <w14:textFill>
                  <w14:solidFill>
                    <w14:schemeClr w14:val="tx1"/>
                  </w14:solidFill>
                </w14:textFill>
              </w:rPr>
            </w:pPr>
            <w:r>
              <w:rPr>
                <w:color w:val="000000" w:themeColor="text1"/>
                <w14:textFill>
                  <w14:solidFill>
                    <w14:schemeClr w14:val="tx1"/>
                  </w14:solidFill>
                </w14:textFill>
              </w:rPr>
              <w:t>1.6</w:t>
            </w:r>
          </w:p>
        </w:tc>
        <w:tc>
          <w:tcPr>
            <w:tcW w:w="1336" w:type="dxa"/>
            <w:vAlign w:val="center"/>
          </w:tcPr>
          <w:p w14:paraId="41F8E4C1">
            <w:pPr>
              <w:pStyle w:val="70"/>
              <w:rPr>
                <w:color w:val="000000" w:themeColor="text1"/>
                <w14:textFill>
                  <w14:solidFill>
                    <w14:schemeClr w14:val="tx1"/>
                  </w14:solidFill>
                </w14:textFill>
              </w:rPr>
            </w:pPr>
            <w:r>
              <w:rPr>
                <w:color w:val="000000" w:themeColor="text1"/>
                <w14:textFill>
                  <w14:solidFill>
                    <w14:schemeClr w14:val="tx1"/>
                  </w14:solidFill>
                </w14:textFill>
              </w:rPr>
              <w:t>0.50</w:t>
            </w:r>
          </w:p>
        </w:tc>
      </w:tr>
      <w:tr w14:paraId="16DE019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209" w:type="dxa"/>
            <w:vMerge w:val="continue"/>
            <w:vAlign w:val="center"/>
          </w:tcPr>
          <w:p w14:paraId="18760A81">
            <w:pPr>
              <w:pStyle w:val="70"/>
              <w:rPr>
                <w:color w:val="000000" w:themeColor="text1"/>
                <w14:textFill>
                  <w14:solidFill>
                    <w14:schemeClr w14:val="tx1"/>
                  </w14:solidFill>
                </w14:textFill>
              </w:rPr>
            </w:pPr>
          </w:p>
        </w:tc>
        <w:tc>
          <w:tcPr>
            <w:tcW w:w="1245" w:type="dxa"/>
            <w:vMerge w:val="continue"/>
            <w:vAlign w:val="center"/>
          </w:tcPr>
          <w:p w14:paraId="12833C89">
            <w:pPr>
              <w:pStyle w:val="70"/>
              <w:rPr>
                <w:color w:val="000000" w:themeColor="text1"/>
                <w14:textFill>
                  <w14:solidFill>
                    <w14:schemeClr w14:val="tx1"/>
                  </w14:solidFill>
                </w14:textFill>
              </w:rPr>
            </w:pPr>
          </w:p>
        </w:tc>
        <w:tc>
          <w:tcPr>
            <w:tcW w:w="1242" w:type="dxa"/>
            <w:vAlign w:val="center"/>
          </w:tcPr>
          <w:p w14:paraId="33DD7667">
            <w:pPr>
              <w:pStyle w:val="70"/>
              <w:rPr>
                <w:color w:val="000000" w:themeColor="text1"/>
                <w14:textFill>
                  <w14:solidFill>
                    <w14:schemeClr w14:val="tx1"/>
                  </w14:solidFill>
                </w14:textFill>
              </w:rPr>
            </w:pPr>
            <w:r>
              <w:rPr>
                <w:color w:val="000000" w:themeColor="text1"/>
                <w14:textFill>
                  <w14:solidFill>
                    <w14:schemeClr w14:val="tx1"/>
                  </w14:solidFill>
                </w14:textFill>
              </w:rPr>
              <w:t>P</w:t>
            </w:r>
            <m:oMath>
              <m:r>
                <m:rPr/>
                <w:rPr>
                  <w:rFonts w:ascii="Cambria Math" w:hAnsi="Cambria Math"/>
                  <w:color w:val="000000" w:themeColor="text1"/>
                  <w14:textFill>
                    <w14:solidFill>
                      <w14:schemeClr w14:val="tx1"/>
                    </w14:solidFill>
                  </w14:textFill>
                </w:rPr>
                <m:t>≥</m:t>
              </m:r>
            </m:oMath>
            <w:r>
              <w:rPr>
                <w:color w:val="000000" w:themeColor="text1"/>
                <w14:textFill>
                  <w14:solidFill>
                    <w14:schemeClr w14:val="tx1"/>
                  </w14:solidFill>
                </w14:textFill>
              </w:rPr>
              <w:t>3300</w:t>
            </w:r>
          </w:p>
        </w:tc>
        <w:tc>
          <w:tcPr>
            <w:tcW w:w="1336" w:type="dxa"/>
            <w:vAlign w:val="center"/>
          </w:tcPr>
          <w:p w14:paraId="15F27062">
            <w:pPr>
              <w:pStyle w:val="70"/>
              <w:rPr>
                <w:color w:val="000000" w:themeColor="text1"/>
                <w14:textFill>
                  <w14:solidFill>
                    <w14:schemeClr w14:val="tx1"/>
                  </w14:solidFill>
                </w14:textFill>
              </w:rPr>
            </w:pPr>
            <w:r>
              <w:rPr>
                <w:color w:val="000000" w:themeColor="text1"/>
                <w14:textFill>
                  <w14:solidFill>
                    <w14:schemeClr w14:val="tx1"/>
                  </w14:solidFill>
                </w14:textFill>
              </w:rPr>
              <w:t>5.0</w:t>
            </w:r>
          </w:p>
        </w:tc>
        <w:tc>
          <w:tcPr>
            <w:tcW w:w="1338" w:type="dxa"/>
            <w:vAlign w:val="center"/>
          </w:tcPr>
          <w:p w14:paraId="7E3E1F3C">
            <w:pPr>
              <w:pStyle w:val="70"/>
              <w:rPr>
                <w:color w:val="000000" w:themeColor="text1"/>
                <w14:textFill>
                  <w14:solidFill>
                    <w14:schemeClr w14:val="tx1"/>
                  </w14:solidFill>
                </w14:textFill>
              </w:rPr>
            </w:pPr>
            <w:r>
              <w:rPr>
                <w:color w:val="000000" w:themeColor="text1"/>
                <w14:textFill>
                  <w14:solidFill>
                    <w14:schemeClr w14:val="tx1"/>
                  </w14:solidFill>
                </w14:textFill>
              </w:rPr>
              <w:t>9.8</w:t>
            </w:r>
          </w:p>
        </w:tc>
        <w:tc>
          <w:tcPr>
            <w:tcW w:w="1336" w:type="dxa"/>
            <w:vAlign w:val="center"/>
          </w:tcPr>
          <w:p w14:paraId="65A7E187">
            <w:pPr>
              <w:pStyle w:val="70"/>
              <w:rPr>
                <w:color w:val="000000" w:themeColor="text1"/>
                <w14:textFill>
                  <w14:solidFill>
                    <w14:schemeClr w14:val="tx1"/>
                  </w14:solidFill>
                </w14:textFill>
              </w:rPr>
            </w:pPr>
            <w:r>
              <w:rPr>
                <w:color w:val="000000" w:themeColor="text1"/>
                <w14:textFill>
                  <w14:solidFill>
                    <w14:schemeClr w14:val="tx1"/>
                  </w14:solidFill>
                </w14:textFill>
              </w:rPr>
              <w:t>1.8</w:t>
            </w:r>
          </w:p>
        </w:tc>
        <w:tc>
          <w:tcPr>
            <w:tcW w:w="1336" w:type="dxa"/>
            <w:vAlign w:val="center"/>
          </w:tcPr>
          <w:p w14:paraId="01B3842D">
            <w:pPr>
              <w:pStyle w:val="70"/>
              <w:rPr>
                <w:color w:val="000000" w:themeColor="text1"/>
                <w14:textFill>
                  <w14:solidFill>
                    <w14:schemeClr w14:val="tx1"/>
                  </w14:solidFill>
                </w14:textFill>
              </w:rPr>
            </w:pPr>
            <w:r>
              <w:rPr>
                <w:color w:val="000000" w:themeColor="text1"/>
                <w14:textFill>
                  <w14:solidFill>
                    <w14:schemeClr w14:val="tx1"/>
                  </w14:solidFill>
                </w14:textFill>
              </w:rPr>
              <w:t>0.50</w:t>
            </w:r>
          </w:p>
        </w:tc>
      </w:tr>
      <w:tr w14:paraId="06EBAF5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209" w:type="dxa"/>
            <w:vMerge w:val="continue"/>
            <w:vAlign w:val="center"/>
          </w:tcPr>
          <w:p w14:paraId="5A72B3C6">
            <w:pPr>
              <w:pStyle w:val="70"/>
              <w:rPr>
                <w:color w:val="000000" w:themeColor="text1"/>
                <w14:textFill>
                  <w14:solidFill>
                    <w14:schemeClr w14:val="tx1"/>
                  </w14:solidFill>
                </w14:textFill>
              </w:rPr>
            </w:pPr>
          </w:p>
        </w:tc>
        <w:tc>
          <w:tcPr>
            <w:tcW w:w="2487" w:type="dxa"/>
            <w:gridSpan w:val="2"/>
            <w:vAlign w:val="center"/>
          </w:tcPr>
          <w:p w14:paraId="13F4D1DB">
            <w:pPr>
              <w:pStyle w:val="70"/>
              <w:rPr>
                <w:color w:val="000000" w:themeColor="text1"/>
                <w14:textFill>
                  <w14:solidFill>
                    <w14:schemeClr w14:val="tx1"/>
                  </w14:solidFill>
                </w14:textFill>
              </w:rPr>
            </w:pPr>
            <w:r>
              <w:rPr>
                <w:color w:val="000000" w:themeColor="text1"/>
                <w14:textFill>
                  <w14:solidFill>
                    <w14:schemeClr w14:val="tx1"/>
                  </w14:solidFill>
                </w14:textFill>
              </w:rPr>
              <w:t>20</w:t>
            </w:r>
            <m:oMath>
              <m:r>
                <m:rPr/>
                <w:rPr>
                  <w:rFonts w:ascii="Cambria Math" w:hAnsi="Cambria Math"/>
                  <w:color w:val="000000" w:themeColor="text1"/>
                  <w14:textFill>
                    <w14:solidFill>
                      <w14:schemeClr w14:val="tx1"/>
                    </w14:solidFill>
                  </w14:textFill>
                </w:rPr>
                <m:t>≤</m:t>
              </m:r>
            </m:oMath>
            <w:r>
              <w:rPr>
                <w:color w:val="000000" w:themeColor="text1"/>
                <w14:textFill>
                  <w14:solidFill>
                    <w14:schemeClr w14:val="tx1"/>
                  </w14:solidFill>
                </w14:textFill>
              </w:rPr>
              <w:t>SV&lt;25</w:t>
            </w:r>
          </w:p>
        </w:tc>
        <w:tc>
          <w:tcPr>
            <w:tcW w:w="1336" w:type="dxa"/>
            <w:vAlign w:val="center"/>
          </w:tcPr>
          <w:p w14:paraId="103F69E5">
            <w:pPr>
              <w:pStyle w:val="70"/>
              <w:rPr>
                <w:color w:val="000000" w:themeColor="text1"/>
                <w14:textFill>
                  <w14:solidFill>
                    <w14:schemeClr w14:val="tx1"/>
                  </w14:solidFill>
                </w14:textFill>
              </w:rPr>
            </w:pPr>
            <w:r>
              <w:rPr>
                <w:color w:val="000000" w:themeColor="text1"/>
                <w14:textFill>
                  <w14:solidFill>
                    <w14:schemeClr w14:val="tx1"/>
                  </w14:solidFill>
                </w14:textFill>
              </w:rPr>
              <w:t>5.0</w:t>
            </w:r>
          </w:p>
        </w:tc>
        <w:tc>
          <w:tcPr>
            <w:tcW w:w="1338" w:type="dxa"/>
            <w:vAlign w:val="center"/>
          </w:tcPr>
          <w:p w14:paraId="6337287F">
            <w:pPr>
              <w:pStyle w:val="70"/>
              <w:rPr>
                <w:color w:val="000000" w:themeColor="text1"/>
                <w14:textFill>
                  <w14:solidFill>
                    <w14:schemeClr w14:val="tx1"/>
                  </w14:solidFill>
                </w14:textFill>
              </w:rPr>
            </w:pPr>
            <w:r>
              <w:rPr>
                <w:color w:val="000000" w:themeColor="text1"/>
                <w14:textFill>
                  <w14:solidFill>
                    <w14:schemeClr w14:val="tx1"/>
                  </w14:solidFill>
                </w14:textFill>
              </w:rPr>
              <w:t>9.8</w:t>
            </w:r>
          </w:p>
        </w:tc>
        <w:tc>
          <w:tcPr>
            <w:tcW w:w="1336" w:type="dxa"/>
            <w:vAlign w:val="center"/>
          </w:tcPr>
          <w:p w14:paraId="7CC54F99">
            <w:pPr>
              <w:pStyle w:val="70"/>
              <w:rPr>
                <w:color w:val="000000" w:themeColor="text1"/>
                <w14:textFill>
                  <w14:solidFill>
                    <w14:schemeClr w14:val="tx1"/>
                  </w14:solidFill>
                </w14:textFill>
              </w:rPr>
            </w:pPr>
            <w:r>
              <w:rPr>
                <w:color w:val="000000" w:themeColor="text1"/>
                <w14:textFill>
                  <w14:solidFill>
                    <w14:schemeClr w14:val="tx1"/>
                  </w14:solidFill>
                </w14:textFill>
              </w:rPr>
              <w:t>1.8</w:t>
            </w:r>
          </w:p>
        </w:tc>
        <w:tc>
          <w:tcPr>
            <w:tcW w:w="1336" w:type="dxa"/>
            <w:vAlign w:val="center"/>
          </w:tcPr>
          <w:p w14:paraId="6BB9E4D3">
            <w:pPr>
              <w:pStyle w:val="70"/>
              <w:rPr>
                <w:color w:val="000000" w:themeColor="text1"/>
                <w14:textFill>
                  <w14:solidFill>
                    <w14:schemeClr w14:val="tx1"/>
                  </w14:solidFill>
                </w14:textFill>
              </w:rPr>
            </w:pPr>
            <w:r>
              <w:rPr>
                <w:color w:val="000000" w:themeColor="text1"/>
                <w14:textFill>
                  <w14:solidFill>
                    <w14:schemeClr w14:val="tx1"/>
                  </w14:solidFill>
                </w14:textFill>
              </w:rPr>
              <w:t>0.50</w:t>
            </w:r>
          </w:p>
        </w:tc>
      </w:tr>
      <w:tr w14:paraId="350B59D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209" w:type="dxa"/>
            <w:vMerge w:val="continue"/>
            <w:vAlign w:val="center"/>
          </w:tcPr>
          <w:p w14:paraId="4C235630">
            <w:pPr>
              <w:pStyle w:val="70"/>
              <w:rPr>
                <w:color w:val="000000" w:themeColor="text1"/>
                <w14:textFill>
                  <w14:solidFill>
                    <w14:schemeClr w14:val="tx1"/>
                  </w14:solidFill>
                </w14:textFill>
              </w:rPr>
            </w:pPr>
          </w:p>
        </w:tc>
        <w:tc>
          <w:tcPr>
            <w:tcW w:w="2487" w:type="dxa"/>
            <w:gridSpan w:val="2"/>
            <w:vAlign w:val="center"/>
          </w:tcPr>
          <w:p w14:paraId="6E28C555">
            <w:pPr>
              <w:pStyle w:val="70"/>
              <w:rPr>
                <w:color w:val="000000" w:themeColor="text1"/>
                <w14:textFill>
                  <w14:solidFill>
                    <w14:schemeClr w14:val="tx1"/>
                  </w14:solidFill>
                </w14:textFill>
              </w:rPr>
            </w:pPr>
            <w:r>
              <w:rPr>
                <w:color w:val="000000" w:themeColor="text1"/>
                <w14:textFill>
                  <w14:solidFill>
                    <w14:schemeClr w14:val="tx1"/>
                  </w14:solidFill>
                </w14:textFill>
              </w:rPr>
              <w:t>25</w:t>
            </w:r>
            <m:oMath>
              <m:r>
                <m:rPr/>
                <w:rPr>
                  <w:rFonts w:ascii="Cambria Math" w:hAnsi="Cambria Math"/>
                  <w:color w:val="000000" w:themeColor="text1"/>
                  <w14:textFill>
                    <w14:solidFill>
                      <w14:schemeClr w14:val="tx1"/>
                    </w14:solidFill>
                  </w14:textFill>
                </w:rPr>
                <m:t>≤</m:t>
              </m:r>
            </m:oMath>
            <w:r>
              <w:rPr>
                <w:color w:val="000000" w:themeColor="text1"/>
                <w14:textFill>
                  <w14:solidFill>
                    <w14:schemeClr w14:val="tx1"/>
                  </w14:solidFill>
                </w14:textFill>
              </w:rPr>
              <w:t>SV&lt;30</w:t>
            </w:r>
          </w:p>
        </w:tc>
        <w:tc>
          <w:tcPr>
            <w:tcW w:w="1336" w:type="dxa"/>
            <w:vAlign w:val="center"/>
          </w:tcPr>
          <w:p w14:paraId="2BFFE557">
            <w:pPr>
              <w:pStyle w:val="70"/>
              <w:rPr>
                <w:color w:val="000000" w:themeColor="text1"/>
                <w14:textFill>
                  <w14:solidFill>
                    <w14:schemeClr w14:val="tx1"/>
                  </w14:solidFill>
                </w14:textFill>
              </w:rPr>
            </w:pPr>
            <w:r>
              <w:rPr>
                <w:color w:val="000000" w:themeColor="text1"/>
                <w14:textFill>
                  <w14:solidFill>
                    <w14:schemeClr w14:val="tx1"/>
                  </w14:solidFill>
                </w14:textFill>
              </w:rPr>
              <w:t>5.0</w:t>
            </w:r>
          </w:p>
        </w:tc>
        <w:tc>
          <w:tcPr>
            <w:tcW w:w="1338" w:type="dxa"/>
            <w:vAlign w:val="center"/>
          </w:tcPr>
          <w:p w14:paraId="439E86B9">
            <w:pPr>
              <w:pStyle w:val="70"/>
              <w:rPr>
                <w:color w:val="000000" w:themeColor="text1"/>
                <w14:textFill>
                  <w14:solidFill>
                    <w14:schemeClr w14:val="tx1"/>
                  </w14:solidFill>
                </w14:textFill>
              </w:rPr>
            </w:pPr>
            <w:r>
              <w:rPr>
                <w:color w:val="000000" w:themeColor="text1"/>
                <w14:textFill>
                  <w14:solidFill>
                    <w14:schemeClr w14:val="tx1"/>
                  </w14:solidFill>
                </w14:textFill>
              </w:rPr>
              <w:t>11.0</w:t>
            </w:r>
          </w:p>
        </w:tc>
        <w:tc>
          <w:tcPr>
            <w:tcW w:w="1336" w:type="dxa"/>
            <w:vAlign w:val="center"/>
          </w:tcPr>
          <w:p w14:paraId="383CA4F2">
            <w:pPr>
              <w:pStyle w:val="70"/>
              <w:rPr>
                <w:color w:val="000000" w:themeColor="text1"/>
                <w14:textFill>
                  <w14:solidFill>
                    <w14:schemeClr w14:val="tx1"/>
                  </w14:solidFill>
                </w14:textFill>
              </w:rPr>
            </w:pPr>
            <w:r>
              <w:rPr>
                <w:color w:val="000000" w:themeColor="text1"/>
                <w14:textFill>
                  <w14:solidFill>
                    <w14:schemeClr w14:val="tx1"/>
                  </w14:solidFill>
                </w14:textFill>
              </w:rPr>
              <w:t>2.0</w:t>
            </w:r>
          </w:p>
        </w:tc>
        <w:tc>
          <w:tcPr>
            <w:tcW w:w="1336" w:type="dxa"/>
            <w:vAlign w:val="center"/>
          </w:tcPr>
          <w:p w14:paraId="2F31F10E">
            <w:pPr>
              <w:pStyle w:val="70"/>
              <w:rPr>
                <w:color w:val="000000" w:themeColor="text1"/>
                <w14:textFill>
                  <w14:solidFill>
                    <w14:schemeClr w14:val="tx1"/>
                  </w14:solidFill>
                </w14:textFill>
              </w:rPr>
            </w:pPr>
            <w:r>
              <w:rPr>
                <w:color w:val="000000" w:themeColor="text1"/>
                <w14:textFill>
                  <w14:solidFill>
                    <w14:schemeClr w14:val="tx1"/>
                  </w14:solidFill>
                </w14:textFill>
              </w:rPr>
              <w:t>0.50</w:t>
            </w:r>
          </w:p>
        </w:tc>
      </w:tr>
    </w:tbl>
    <w:p w14:paraId="15C5765A">
      <w:pPr>
        <w:spacing w:line="240" w:lineRule="exact"/>
        <w:ind w:firstLine="360"/>
        <w:jc w:val="left"/>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注：(1)仅适用于NG（含双燃料）船机。</w:t>
      </w:r>
    </w:p>
    <w:p w14:paraId="2D074EEF">
      <w:pPr>
        <w:spacing w:line="240" w:lineRule="exact"/>
        <w:ind w:firstLine="360"/>
        <w:jc w:val="left"/>
        <w:rPr>
          <w:color w:val="000000" w:themeColor="text1"/>
          <w:sz w:val="18"/>
          <w:szCs w:val="18"/>
          <w:u w:val="single"/>
          <w14:textFill>
            <w14:solidFill>
              <w14:schemeClr w14:val="tx1"/>
            </w14:solidFill>
          </w14:textFill>
        </w:rPr>
      </w:pPr>
    </w:p>
    <w:p w14:paraId="1075783D">
      <w:pPr>
        <w:pStyle w:val="7"/>
        <w:rPr>
          <w:color w:val="000000" w:themeColor="text1"/>
          <w14:textFill>
            <w14:solidFill>
              <w14:schemeClr w14:val="tx1"/>
            </w14:solidFill>
          </w14:textFill>
        </w:rPr>
      </w:pPr>
      <w:r>
        <w:rPr>
          <w:color w:val="000000" w:themeColor="text1"/>
          <w14:textFill>
            <w14:solidFill>
              <w14:schemeClr w14:val="tx1"/>
            </w14:solidFill>
          </w14:textFill>
        </w:rPr>
        <w:t>船机排气污染物第二阶段排放限值（GB15097－2016）</w:t>
      </w:r>
    </w:p>
    <w:tbl>
      <w:tblPr>
        <w:tblStyle w:val="43"/>
        <w:tblW w:w="9042"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0" w:type="dxa"/>
          <w:bottom w:w="0" w:type="dxa"/>
          <w:right w:w="0" w:type="dxa"/>
        </w:tblCellMar>
      </w:tblPr>
      <w:tblGrid>
        <w:gridCol w:w="1120"/>
        <w:gridCol w:w="1677"/>
        <w:gridCol w:w="1677"/>
        <w:gridCol w:w="1141"/>
        <w:gridCol w:w="1143"/>
        <w:gridCol w:w="1141"/>
        <w:gridCol w:w="1143"/>
      </w:tblGrid>
      <w:tr w14:paraId="06E1453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1120" w:type="dxa"/>
            <w:vAlign w:val="center"/>
          </w:tcPr>
          <w:p w14:paraId="39D878BF">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船机类型</w:t>
            </w:r>
          </w:p>
        </w:tc>
        <w:tc>
          <w:tcPr>
            <w:tcW w:w="1677" w:type="dxa"/>
            <w:vAlign w:val="center"/>
          </w:tcPr>
          <w:p w14:paraId="0B92851D">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单缸排量（SV）（L/缸）</w:t>
            </w:r>
          </w:p>
        </w:tc>
        <w:tc>
          <w:tcPr>
            <w:tcW w:w="1677" w:type="dxa"/>
            <w:vAlign w:val="center"/>
          </w:tcPr>
          <w:p w14:paraId="287A4539">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额定净功率（P）（kW）</w:t>
            </w:r>
          </w:p>
        </w:tc>
        <w:tc>
          <w:tcPr>
            <w:tcW w:w="1141" w:type="dxa"/>
            <w:vAlign w:val="center"/>
          </w:tcPr>
          <w:p w14:paraId="311C4C88">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CO（g/kWh）</w:t>
            </w:r>
          </w:p>
        </w:tc>
        <w:tc>
          <w:tcPr>
            <w:tcW w:w="1143" w:type="dxa"/>
            <w:vAlign w:val="center"/>
          </w:tcPr>
          <w:p w14:paraId="0F99D4BF">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HC+NO</w:t>
            </w:r>
            <w:r>
              <w:rPr>
                <w:b/>
                <w:bCs/>
                <w:color w:val="000000" w:themeColor="text1"/>
                <w:vertAlign w:val="subscript"/>
                <w14:textFill>
                  <w14:solidFill>
                    <w14:schemeClr w14:val="tx1"/>
                  </w14:solidFill>
                </w14:textFill>
              </w:rPr>
              <w:t>X</w:t>
            </w:r>
            <w:r>
              <w:rPr>
                <w:b/>
                <w:bCs/>
                <w:color w:val="000000" w:themeColor="text1"/>
                <w14:textFill>
                  <w14:solidFill>
                    <w14:schemeClr w14:val="tx1"/>
                  </w14:solidFill>
                </w14:textFill>
              </w:rPr>
              <w:t>（g/kWh）</w:t>
            </w:r>
          </w:p>
        </w:tc>
        <w:tc>
          <w:tcPr>
            <w:tcW w:w="1141" w:type="dxa"/>
            <w:vAlign w:val="center"/>
          </w:tcPr>
          <w:p w14:paraId="78EAACCF">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CH</w:t>
            </w:r>
            <w:r>
              <w:rPr>
                <w:b/>
                <w:bCs/>
                <w:color w:val="000000" w:themeColor="text1"/>
                <w:vertAlign w:val="subscript"/>
                <w14:textFill>
                  <w14:solidFill>
                    <w14:schemeClr w14:val="tx1"/>
                  </w14:solidFill>
                </w14:textFill>
              </w:rPr>
              <w:t>4</w:t>
            </w:r>
            <w:r>
              <w:rPr>
                <w:b/>
                <w:bCs/>
                <w:color w:val="000000" w:themeColor="text1"/>
                <w:vertAlign w:val="superscript"/>
                <w14:textFill>
                  <w14:solidFill>
                    <w14:schemeClr w14:val="tx1"/>
                  </w14:solidFill>
                </w14:textFill>
              </w:rPr>
              <w:t>(1)</w:t>
            </w:r>
            <w:r>
              <w:rPr>
                <w:b/>
                <w:bCs/>
                <w:color w:val="000000" w:themeColor="text1"/>
                <w14:textFill>
                  <w14:solidFill>
                    <w14:schemeClr w14:val="tx1"/>
                  </w14:solidFill>
                </w14:textFill>
              </w:rPr>
              <w:t>（g/kWh）</w:t>
            </w:r>
          </w:p>
        </w:tc>
        <w:tc>
          <w:tcPr>
            <w:tcW w:w="1143" w:type="dxa"/>
            <w:vAlign w:val="center"/>
          </w:tcPr>
          <w:p w14:paraId="05E340E3">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PM（g/kWh）</w:t>
            </w:r>
          </w:p>
        </w:tc>
      </w:tr>
      <w:tr w14:paraId="03A5EC3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1120" w:type="dxa"/>
            <w:vMerge w:val="restart"/>
            <w:vAlign w:val="center"/>
          </w:tcPr>
          <w:p w14:paraId="28234026">
            <w:pPr>
              <w:pStyle w:val="70"/>
              <w:rPr>
                <w:color w:val="000000" w:themeColor="text1"/>
                <w14:textFill>
                  <w14:solidFill>
                    <w14:schemeClr w14:val="tx1"/>
                  </w14:solidFill>
                </w14:textFill>
              </w:rPr>
            </w:pPr>
            <w:r>
              <w:rPr>
                <w:color w:val="000000" w:themeColor="text1"/>
                <w14:textFill>
                  <w14:solidFill>
                    <w14:schemeClr w14:val="tx1"/>
                  </w14:solidFill>
                </w14:textFill>
              </w:rPr>
              <w:t>额定净功率大于或等于37kW并且单缸排量小于5L的船机</w:t>
            </w:r>
          </w:p>
        </w:tc>
        <w:tc>
          <w:tcPr>
            <w:tcW w:w="1677" w:type="dxa"/>
            <w:vAlign w:val="center"/>
          </w:tcPr>
          <w:p w14:paraId="611AEB34">
            <w:pPr>
              <w:pStyle w:val="70"/>
              <w:rPr>
                <w:color w:val="000000" w:themeColor="text1"/>
                <w14:textFill>
                  <w14:solidFill>
                    <w14:schemeClr w14:val="tx1"/>
                  </w14:solidFill>
                </w14:textFill>
              </w:rPr>
            </w:pPr>
            <w:r>
              <w:rPr>
                <w:color w:val="000000" w:themeColor="text1"/>
                <w14:textFill>
                  <w14:solidFill>
                    <w14:schemeClr w14:val="tx1"/>
                  </w14:solidFill>
                </w14:textFill>
              </w:rPr>
              <w:t>SV&lt;0.9</w:t>
            </w:r>
          </w:p>
        </w:tc>
        <w:tc>
          <w:tcPr>
            <w:tcW w:w="1677" w:type="dxa"/>
            <w:vAlign w:val="center"/>
          </w:tcPr>
          <w:p w14:paraId="3B6D7B99">
            <w:pPr>
              <w:pStyle w:val="70"/>
              <w:rPr>
                <w:color w:val="000000" w:themeColor="text1"/>
                <w14:textFill>
                  <w14:solidFill>
                    <w14:schemeClr w14:val="tx1"/>
                  </w14:solidFill>
                </w14:textFill>
              </w:rPr>
            </w:pPr>
            <w:r>
              <w:rPr>
                <w:color w:val="000000" w:themeColor="text1"/>
                <w14:textFill>
                  <w14:solidFill>
                    <w14:schemeClr w14:val="tx1"/>
                  </w14:solidFill>
                </w14:textFill>
              </w:rPr>
              <w:t>P</w:t>
            </w:r>
            <m:oMath>
              <m:r>
                <m:rPr/>
                <w:rPr>
                  <w:rFonts w:ascii="Cambria Math" w:hAnsi="Cambria Math"/>
                  <w:color w:val="000000" w:themeColor="text1"/>
                  <w14:textFill>
                    <w14:solidFill>
                      <w14:schemeClr w14:val="tx1"/>
                    </w14:solidFill>
                  </w14:textFill>
                </w:rPr>
                <m:t>≥</m:t>
              </m:r>
            </m:oMath>
            <w:r>
              <w:rPr>
                <w:color w:val="000000" w:themeColor="text1"/>
                <w14:textFill>
                  <w14:solidFill>
                    <w14:schemeClr w14:val="tx1"/>
                  </w14:solidFill>
                </w14:textFill>
              </w:rPr>
              <w:t>37</w:t>
            </w:r>
          </w:p>
        </w:tc>
        <w:tc>
          <w:tcPr>
            <w:tcW w:w="1141" w:type="dxa"/>
            <w:vAlign w:val="center"/>
          </w:tcPr>
          <w:p w14:paraId="7C93555B">
            <w:pPr>
              <w:pStyle w:val="70"/>
              <w:rPr>
                <w:color w:val="000000" w:themeColor="text1"/>
                <w14:textFill>
                  <w14:solidFill>
                    <w14:schemeClr w14:val="tx1"/>
                  </w14:solidFill>
                </w14:textFill>
              </w:rPr>
            </w:pPr>
            <w:r>
              <w:rPr>
                <w:color w:val="000000" w:themeColor="text1"/>
                <w14:textFill>
                  <w14:solidFill>
                    <w14:schemeClr w14:val="tx1"/>
                  </w14:solidFill>
                </w14:textFill>
              </w:rPr>
              <w:t>5.0</w:t>
            </w:r>
          </w:p>
        </w:tc>
        <w:tc>
          <w:tcPr>
            <w:tcW w:w="1143" w:type="dxa"/>
            <w:vAlign w:val="center"/>
          </w:tcPr>
          <w:p w14:paraId="02F11A6F">
            <w:pPr>
              <w:pStyle w:val="70"/>
              <w:rPr>
                <w:color w:val="000000" w:themeColor="text1"/>
                <w14:textFill>
                  <w14:solidFill>
                    <w14:schemeClr w14:val="tx1"/>
                  </w14:solidFill>
                </w14:textFill>
              </w:rPr>
            </w:pPr>
            <w:r>
              <w:rPr>
                <w:color w:val="000000" w:themeColor="text1"/>
                <w14:textFill>
                  <w14:solidFill>
                    <w14:schemeClr w14:val="tx1"/>
                  </w14:solidFill>
                </w14:textFill>
              </w:rPr>
              <w:t>5.8</w:t>
            </w:r>
          </w:p>
        </w:tc>
        <w:tc>
          <w:tcPr>
            <w:tcW w:w="1141" w:type="dxa"/>
            <w:vAlign w:val="center"/>
          </w:tcPr>
          <w:p w14:paraId="2044FE64">
            <w:pPr>
              <w:pStyle w:val="70"/>
              <w:rPr>
                <w:color w:val="000000" w:themeColor="text1"/>
                <w14:textFill>
                  <w14:solidFill>
                    <w14:schemeClr w14:val="tx1"/>
                  </w14:solidFill>
                </w14:textFill>
              </w:rPr>
            </w:pPr>
            <w:r>
              <w:rPr>
                <w:color w:val="000000" w:themeColor="text1"/>
                <w14:textFill>
                  <w14:solidFill>
                    <w14:schemeClr w14:val="tx1"/>
                  </w14:solidFill>
                </w14:textFill>
              </w:rPr>
              <w:t>1.0</w:t>
            </w:r>
          </w:p>
        </w:tc>
        <w:tc>
          <w:tcPr>
            <w:tcW w:w="1143" w:type="dxa"/>
            <w:vAlign w:val="center"/>
          </w:tcPr>
          <w:p w14:paraId="3AEE9C95">
            <w:pPr>
              <w:pStyle w:val="70"/>
              <w:rPr>
                <w:color w:val="000000" w:themeColor="text1"/>
                <w14:textFill>
                  <w14:solidFill>
                    <w14:schemeClr w14:val="tx1"/>
                  </w14:solidFill>
                </w14:textFill>
              </w:rPr>
            </w:pPr>
            <w:r>
              <w:rPr>
                <w:color w:val="000000" w:themeColor="text1"/>
                <w14:textFill>
                  <w14:solidFill>
                    <w14:schemeClr w14:val="tx1"/>
                  </w14:solidFill>
                </w14:textFill>
              </w:rPr>
              <w:t>0.3</w:t>
            </w:r>
          </w:p>
        </w:tc>
      </w:tr>
      <w:tr w14:paraId="5E34EBF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1120" w:type="dxa"/>
            <w:vMerge w:val="continue"/>
            <w:vAlign w:val="center"/>
          </w:tcPr>
          <w:p w14:paraId="28514763">
            <w:pPr>
              <w:pStyle w:val="70"/>
              <w:rPr>
                <w:color w:val="000000" w:themeColor="text1"/>
                <w14:textFill>
                  <w14:solidFill>
                    <w14:schemeClr w14:val="tx1"/>
                  </w14:solidFill>
                </w14:textFill>
              </w:rPr>
            </w:pPr>
          </w:p>
        </w:tc>
        <w:tc>
          <w:tcPr>
            <w:tcW w:w="3354" w:type="dxa"/>
            <w:gridSpan w:val="2"/>
            <w:vAlign w:val="center"/>
          </w:tcPr>
          <w:p w14:paraId="45EBFF88">
            <w:pPr>
              <w:pStyle w:val="70"/>
              <w:rPr>
                <w:color w:val="000000" w:themeColor="text1"/>
                <w14:textFill>
                  <w14:solidFill>
                    <w14:schemeClr w14:val="tx1"/>
                  </w14:solidFill>
                </w14:textFill>
              </w:rPr>
            </w:pPr>
            <w:r>
              <w:rPr>
                <w:color w:val="000000" w:themeColor="text1"/>
                <w14:textFill>
                  <w14:solidFill>
                    <w14:schemeClr w14:val="tx1"/>
                  </w14:solidFill>
                </w14:textFill>
              </w:rPr>
              <w:t>0.9</w:t>
            </w:r>
            <m:oMath>
              <m:r>
                <m:rPr/>
                <w:rPr>
                  <w:rFonts w:ascii="Cambria Math" w:hAnsi="Cambria Math"/>
                  <w:color w:val="000000" w:themeColor="text1"/>
                  <w14:textFill>
                    <w14:solidFill>
                      <w14:schemeClr w14:val="tx1"/>
                    </w14:solidFill>
                  </w14:textFill>
                </w:rPr>
                <m:t>≤</m:t>
              </m:r>
            </m:oMath>
            <w:r>
              <w:rPr>
                <w:color w:val="000000" w:themeColor="text1"/>
                <w14:textFill>
                  <w14:solidFill>
                    <w14:schemeClr w14:val="tx1"/>
                  </w14:solidFill>
                </w14:textFill>
              </w:rPr>
              <w:t>SV&lt;1.2</w:t>
            </w:r>
          </w:p>
        </w:tc>
        <w:tc>
          <w:tcPr>
            <w:tcW w:w="1141" w:type="dxa"/>
            <w:vAlign w:val="center"/>
          </w:tcPr>
          <w:p w14:paraId="651ABA50">
            <w:pPr>
              <w:pStyle w:val="70"/>
              <w:rPr>
                <w:color w:val="000000" w:themeColor="text1"/>
                <w14:textFill>
                  <w14:solidFill>
                    <w14:schemeClr w14:val="tx1"/>
                  </w14:solidFill>
                </w14:textFill>
              </w:rPr>
            </w:pPr>
            <w:r>
              <w:rPr>
                <w:color w:val="000000" w:themeColor="text1"/>
                <w14:textFill>
                  <w14:solidFill>
                    <w14:schemeClr w14:val="tx1"/>
                  </w14:solidFill>
                </w14:textFill>
              </w:rPr>
              <w:t>5.0</w:t>
            </w:r>
          </w:p>
        </w:tc>
        <w:tc>
          <w:tcPr>
            <w:tcW w:w="1143" w:type="dxa"/>
            <w:vAlign w:val="center"/>
          </w:tcPr>
          <w:p w14:paraId="65D5B11B">
            <w:pPr>
              <w:pStyle w:val="70"/>
              <w:rPr>
                <w:color w:val="000000" w:themeColor="text1"/>
                <w14:textFill>
                  <w14:solidFill>
                    <w14:schemeClr w14:val="tx1"/>
                  </w14:solidFill>
                </w14:textFill>
              </w:rPr>
            </w:pPr>
            <w:r>
              <w:rPr>
                <w:color w:val="000000" w:themeColor="text1"/>
                <w14:textFill>
                  <w14:solidFill>
                    <w14:schemeClr w14:val="tx1"/>
                  </w14:solidFill>
                </w14:textFill>
              </w:rPr>
              <w:t>5.8</w:t>
            </w:r>
          </w:p>
        </w:tc>
        <w:tc>
          <w:tcPr>
            <w:tcW w:w="1141" w:type="dxa"/>
            <w:vAlign w:val="center"/>
          </w:tcPr>
          <w:p w14:paraId="0C748D36">
            <w:pPr>
              <w:pStyle w:val="70"/>
              <w:rPr>
                <w:color w:val="000000" w:themeColor="text1"/>
                <w14:textFill>
                  <w14:solidFill>
                    <w14:schemeClr w14:val="tx1"/>
                  </w14:solidFill>
                </w14:textFill>
              </w:rPr>
            </w:pPr>
            <w:r>
              <w:rPr>
                <w:color w:val="000000" w:themeColor="text1"/>
                <w14:textFill>
                  <w14:solidFill>
                    <w14:schemeClr w14:val="tx1"/>
                  </w14:solidFill>
                </w14:textFill>
              </w:rPr>
              <w:t>1.0</w:t>
            </w:r>
          </w:p>
        </w:tc>
        <w:tc>
          <w:tcPr>
            <w:tcW w:w="1143" w:type="dxa"/>
            <w:vAlign w:val="center"/>
          </w:tcPr>
          <w:p w14:paraId="6D5536AD">
            <w:pPr>
              <w:pStyle w:val="70"/>
              <w:rPr>
                <w:color w:val="000000" w:themeColor="text1"/>
                <w14:textFill>
                  <w14:solidFill>
                    <w14:schemeClr w14:val="tx1"/>
                  </w14:solidFill>
                </w14:textFill>
              </w:rPr>
            </w:pPr>
            <w:r>
              <w:rPr>
                <w:color w:val="000000" w:themeColor="text1"/>
                <w14:textFill>
                  <w14:solidFill>
                    <w14:schemeClr w14:val="tx1"/>
                  </w14:solidFill>
                </w14:textFill>
              </w:rPr>
              <w:t>0.14</w:t>
            </w:r>
          </w:p>
        </w:tc>
      </w:tr>
      <w:tr w14:paraId="38FD93F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1120" w:type="dxa"/>
            <w:vMerge w:val="continue"/>
            <w:vAlign w:val="center"/>
          </w:tcPr>
          <w:p w14:paraId="6CF68F42">
            <w:pPr>
              <w:pStyle w:val="70"/>
              <w:rPr>
                <w:color w:val="000000" w:themeColor="text1"/>
                <w14:textFill>
                  <w14:solidFill>
                    <w14:schemeClr w14:val="tx1"/>
                  </w14:solidFill>
                </w14:textFill>
              </w:rPr>
            </w:pPr>
          </w:p>
        </w:tc>
        <w:tc>
          <w:tcPr>
            <w:tcW w:w="3354" w:type="dxa"/>
            <w:gridSpan w:val="2"/>
            <w:vAlign w:val="center"/>
          </w:tcPr>
          <w:p w14:paraId="7674835A">
            <w:pPr>
              <w:pStyle w:val="70"/>
              <w:rPr>
                <w:color w:val="000000" w:themeColor="text1"/>
                <w14:textFill>
                  <w14:solidFill>
                    <w14:schemeClr w14:val="tx1"/>
                  </w14:solidFill>
                </w14:textFill>
              </w:rPr>
            </w:pPr>
            <w:r>
              <w:rPr>
                <w:color w:val="000000" w:themeColor="text1"/>
                <w14:textFill>
                  <w14:solidFill>
                    <w14:schemeClr w14:val="tx1"/>
                  </w14:solidFill>
                </w14:textFill>
              </w:rPr>
              <w:t>1.2</w:t>
            </w:r>
            <m:oMath>
              <m:r>
                <m:rPr/>
                <w:rPr>
                  <w:rFonts w:ascii="Cambria Math" w:hAnsi="Cambria Math"/>
                  <w:color w:val="000000" w:themeColor="text1"/>
                  <w14:textFill>
                    <w14:solidFill>
                      <w14:schemeClr w14:val="tx1"/>
                    </w14:solidFill>
                  </w14:textFill>
                </w:rPr>
                <m:t>≤</m:t>
              </m:r>
            </m:oMath>
            <w:r>
              <w:rPr>
                <w:color w:val="000000" w:themeColor="text1"/>
                <w14:textFill>
                  <w14:solidFill>
                    <w14:schemeClr w14:val="tx1"/>
                  </w14:solidFill>
                </w14:textFill>
              </w:rPr>
              <w:t>SV&lt;5</w:t>
            </w:r>
          </w:p>
        </w:tc>
        <w:tc>
          <w:tcPr>
            <w:tcW w:w="1141" w:type="dxa"/>
            <w:vAlign w:val="center"/>
          </w:tcPr>
          <w:p w14:paraId="5526A44E">
            <w:pPr>
              <w:pStyle w:val="70"/>
              <w:rPr>
                <w:color w:val="000000" w:themeColor="text1"/>
                <w14:textFill>
                  <w14:solidFill>
                    <w14:schemeClr w14:val="tx1"/>
                  </w14:solidFill>
                </w14:textFill>
              </w:rPr>
            </w:pPr>
            <w:r>
              <w:rPr>
                <w:color w:val="000000" w:themeColor="text1"/>
                <w14:textFill>
                  <w14:solidFill>
                    <w14:schemeClr w14:val="tx1"/>
                  </w14:solidFill>
                </w14:textFill>
              </w:rPr>
              <w:t>5.0</w:t>
            </w:r>
          </w:p>
        </w:tc>
        <w:tc>
          <w:tcPr>
            <w:tcW w:w="1143" w:type="dxa"/>
            <w:vAlign w:val="center"/>
          </w:tcPr>
          <w:p w14:paraId="1907A938">
            <w:pPr>
              <w:pStyle w:val="70"/>
              <w:rPr>
                <w:color w:val="000000" w:themeColor="text1"/>
                <w14:textFill>
                  <w14:solidFill>
                    <w14:schemeClr w14:val="tx1"/>
                  </w14:solidFill>
                </w14:textFill>
              </w:rPr>
            </w:pPr>
            <w:r>
              <w:rPr>
                <w:color w:val="000000" w:themeColor="text1"/>
                <w14:textFill>
                  <w14:solidFill>
                    <w14:schemeClr w14:val="tx1"/>
                  </w14:solidFill>
                </w14:textFill>
              </w:rPr>
              <w:t>5.8</w:t>
            </w:r>
          </w:p>
        </w:tc>
        <w:tc>
          <w:tcPr>
            <w:tcW w:w="1141" w:type="dxa"/>
            <w:vAlign w:val="center"/>
          </w:tcPr>
          <w:p w14:paraId="63FFC558">
            <w:pPr>
              <w:pStyle w:val="70"/>
              <w:rPr>
                <w:color w:val="000000" w:themeColor="text1"/>
                <w14:textFill>
                  <w14:solidFill>
                    <w14:schemeClr w14:val="tx1"/>
                  </w14:solidFill>
                </w14:textFill>
              </w:rPr>
            </w:pPr>
            <w:r>
              <w:rPr>
                <w:color w:val="000000" w:themeColor="text1"/>
                <w14:textFill>
                  <w14:solidFill>
                    <w14:schemeClr w14:val="tx1"/>
                  </w14:solidFill>
                </w14:textFill>
              </w:rPr>
              <w:t>1.0</w:t>
            </w:r>
          </w:p>
        </w:tc>
        <w:tc>
          <w:tcPr>
            <w:tcW w:w="1143" w:type="dxa"/>
            <w:vAlign w:val="center"/>
          </w:tcPr>
          <w:p w14:paraId="2C256100">
            <w:pPr>
              <w:pStyle w:val="70"/>
              <w:rPr>
                <w:color w:val="000000" w:themeColor="text1"/>
                <w14:textFill>
                  <w14:solidFill>
                    <w14:schemeClr w14:val="tx1"/>
                  </w14:solidFill>
                </w14:textFill>
              </w:rPr>
            </w:pPr>
            <w:r>
              <w:rPr>
                <w:color w:val="000000" w:themeColor="text1"/>
                <w14:textFill>
                  <w14:solidFill>
                    <w14:schemeClr w14:val="tx1"/>
                  </w14:solidFill>
                </w14:textFill>
              </w:rPr>
              <w:t>0.12</w:t>
            </w:r>
          </w:p>
        </w:tc>
      </w:tr>
      <w:tr w14:paraId="6253692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1120" w:type="dxa"/>
            <w:vMerge w:val="restart"/>
            <w:vAlign w:val="center"/>
          </w:tcPr>
          <w:p w14:paraId="5C9C83E4">
            <w:pPr>
              <w:pStyle w:val="70"/>
              <w:rPr>
                <w:color w:val="000000" w:themeColor="text1"/>
                <w14:textFill>
                  <w14:solidFill>
                    <w14:schemeClr w14:val="tx1"/>
                  </w14:solidFill>
                </w14:textFill>
              </w:rPr>
            </w:pPr>
            <w:r>
              <w:rPr>
                <w:color w:val="000000" w:themeColor="text1"/>
                <w14:textFill>
                  <w14:solidFill>
                    <w14:schemeClr w14:val="tx1"/>
                  </w14:solidFill>
                </w14:textFill>
              </w:rPr>
              <w:t>单缸排量大于或等于5L且小于30L的船机</w:t>
            </w:r>
          </w:p>
        </w:tc>
        <w:tc>
          <w:tcPr>
            <w:tcW w:w="1677" w:type="dxa"/>
            <w:vMerge w:val="restart"/>
            <w:vAlign w:val="center"/>
          </w:tcPr>
          <w:p w14:paraId="44929B94">
            <w:pPr>
              <w:pStyle w:val="70"/>
              <w:rPr>
                <w:color w:val="000000" w:themeColor="text1"/>
                <w14:textFill>
                  <w14:solidFill>
                    <w14:schemeClr w14:val="tx1"/>
                  </w14:solidFill>
                </w14:textFill>
              </w:rPr>
            </w:pPr>
            <w:r>
              <w:rPr>
                <w:color w:val="000000" w:themeColor="text1"/>
                <w14:textFill>
                  <w14:solidFill>
                    <w14:schemeClr w14:val="tx1"/>
                  </w14:solidFill>
                </w14:textFill>
              </w:rPr>
              <w:t>5</w:t>
            </w:r>
            <m:oMath>
              <m:r>
                <m:rPr/>
                <w:rPr>
                  <w:rFonts w:ascii="Cambria Math" w:hAnsi="Cambria Math"/>
                  <w:color w:val="000000" w:themeColor="text1"/>
                  <w14:textFill>
                    <w14:solidFill>
                      <w14:schemeClr w14:val="tx1"/>
                    </w14:solidFill>
                  </w14:textFill>
                </w:rPr>
                <m:t>≤</m:t>
              </m:r>
            </m:oMath>
            <w:r>
              <w:rPr>
                <w:color w:val="000000" w:themeColor="text1"/>
                <w14:textFill>
                  <w14:solidFill>
                    <w14:schemeClr w14:val="tx1"/>
                  </w14:solidFill>
                </w14:textFill>
              </w:rPr>
              <w:t>SV&lt;15</w:t>
            </w:r>
          </w:p>
        </w:tc>
        <w:tc>
          <w:tcPr>
            <w:tcW w:w="1677" w:type="dxa"/>
            <w:vAlign w:val="center"/>
          </w:tcPr>
          <w:p w14:paraId="15F8257D">
            <w:pPr>
              <w:pStyle w:val="70"/>
              <w:rPr>
                <w:color w:val="000000" w:themeColor="text1"/>
                <w14:textFill>
                  <w14:solidFill>
                    <w14:schemeClr w14:val="tx1"/>
                  </w14:solidFill>
                </w14:textFill>
              </w:rPr>
            </w:pPr>
            <w:r>
              <w:rPr>
                <w:color w:val="000000" w:themeColor="text1"/>
                <w14:textFill>
                  <w14:solidFill>
                    <w14:schemeClr w14:val="tx1"/>
                  </w14:solidFill>
                </w14:textFill>
              </w:rPr>
              <w:t>P&lt;2000</w:t>
            </w:r>
          </w:p>
        </w:tc>
        <w:tc>
          <w:tcPr>
            <w:tcW w:w="1141" w:type="dxa"/>
            <w:vAlign w:val="center"/>
          </w:tcPr>
          <w:p w14:paraId="2B3D6873">
            <w:pPr>
              <w:pStyle w:val="70"/>
              <w:rPr>
                <w:color w:val="000000" w:themeColor="text1"/>
                <w14:textFill>
                  <w14:solidFill>
                    <w14:schemeClr w14:val="tx1"/>
                  </w14:solidFill>
                </w14:textFill>
              </w:rPr>
            </w:pPr>
            <w:r>
              <w:rPr>
                <w:color w:val="000000" w:themeColor="text1"/>
                <w14:textFill>
                  <w14:solidFill>
                    <w14:schemeClr w14:val="tx1"/>
                  </w14:solidFill>
                </w14:textFill>
              </w:rPr>
              <w:t>5.0</w:t>
            </w:r>
          </w:p>
        </w:tc>
        <w:tc>
          <w:tcPr>
            <w:tcW w:w="1143" w:type="dxa"/>
            <w:vAlign w:val="center"/>
          </w:tcPr>
          <w:p w14:paraId="0DB81608">
            <w:pPr>
              <w:pStyle w:val="70"/>
              <w:rPr>
                <w:color w:val="000000" w:themeColor="text1"/>
                <w14:textFill>
                  <w14:solidFill>
                    <w14:schemeClr w14:val="tx1"/>
                  </w14:solidFill>
                </w14:textFill>
              </w:rPr>
            </w:pPr>
            <w:r>
              <w:rPr>
                <w:color w:val="000000" w:themeColor="text1"/>
                <w14:textFill>
                  <w14:solidFill>
                    <w14:schemeClr w14:val="tx1"/>
                  </w14:solidFill>
                </w14:textFill>
              </w:rPr>
              <w:t>6.2</w:t>
            </w:r>
          </w:p>
        </w:tc>
        <w:tc>
          <w:tcPr>
            <w:tcW w:w="1141" w:type="dxa"/>
            <w:vAlign w:val="center"/>
          </w:tcPr>
          <w:p w14:paraId="3CFD8593">
            <w:pPr>
              <w:pStyle w:val="70"/>
              <w:rPr>
                <w:color w:val="000000" w:themeColor="text1"/>
                <w14:textFill>
                  <w14:solidFill>
                    <w14:schemeClr w14:val="tx1"/>
                  </w14:solidFill>
                </w14:textFill>
              </w:rPr>
            </w:pPr>
            <w:r>
              <w:rPr>
                <w:color w:val="000000" w:themeColor="text1"/>
                <w14:textFill>
                  <w14:solidFill>
                    <w14:schemeClr w14:val="tx1"/>
                  </w14:solidFill>
                </w14:textFill>
              </w:rPr>
              <w:t>1.5</w:t>
            </w:r>
          </w:p>
        </w:tc>
        <w:tc>
          <w:tcPr>
            <w:tcW w:w="1143" w:type="dxa"/>
            <w:vAlign w:val="center"/>
          </w:tcPr>
          <w:p w14:paraId="4A0AA797">
            <w:pPr>
              <w:pStyle w:val="70"/>
              <w:rPr>
                <w:color w:val="000000" w:themeColor="text1"/>
                <w14:textFill>
                  <w14:solidFill>
                    <w14:schemeClr w14:val="tx1"/>
                  </w14:solidFill>
                </w14:textFill>
              </w:rPr>
            </w:pPr>
            <w:r>
              <w:rPr>
                <w:color w:val="000000" w:themeColor="text1"/>
                <w14:textFill>
                  <w14:solidFill>
                    <w14:schemeClr w14:val="tx1"/>
                  </w14:solidFill>
                </w14:textFill>
              </w:rPr>
              <w:t>0.14</w:t>
            </w:r>
          </w:p>
        </w:tc>
      </w:tr>
      <w:tr w14:paraId="26252FD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1120" w:type="dxa"/>
            <w:vMerge w:val="continue"/>
            <w:vAlign w:val="center"/>
          </w:tcPr>
          <w:p w14:paraId="019D8B48">
            <w:pPr>
              <w:pStyle w:val="70"/>
              <w:rPr>
                <w:color w:val="000000" w:themeColor="text1"/>
                <w14:textFill>
                  <w14:solidFill>
                    <w14:schemeClr w14:val="tx1"/>
                  </w14:solidFill>
                </w14:textFill>
              </w:rPr>
            </w:pPr>
          </w:p>
        </w:tc>
        <w:tc>
          <w:tcPr>
            <w:tcW w:w="1677" w:type="dxa"/>
            <w:vMerge w:val="continue"/>
            <w:vAlign w:val="center"/>
          </w:tcPr>
          <w:p w14:paraId="6B4F3120">
            <w:pPr>
              <w:pStyle w:val="70"/>
              <w:rPr>
                <w:color w:val="000000" w:themeColor="text1"/>
                <w14:textFill>
                  <w14:solidFill>
                    <w14:schemeClr w14:val="tx1"/>
                  </w14:solidFill>
                </w14:textFill>
              </w:rPr>
            </w:pPr>
          </w:p>
        </w:tc>
        <w:tc>
          <w:tcPr>
            <w:tcW w:w="1677" w:type="dxa"/>
            <w:vAlign w:val="center"/>
          </w:tcPr>
          <w:p w14:paraId="566D1B37">
            <w:pPr>
              <w:pStyle w:val="70"/>
              <w:rPr>
                <w:color w:val="000000" w:themeColor="text1"/>
                <w14:textFill>
                  <w14:solidFill>
                    <w14:schemeClr w14:val="tx1"/>
                  </w14:solidFill>
                </w14:textFill>
              </w:rPr>
            </w:pPr>
            <w:r>
              <w:rPr>
                <w:color w:val="000000" w:themeColor="text1"/>
                <w14:textFill>
                  <w14:solidFill>
                    <w14:schemeClr w14:val="tx1"/>
                  </w14:solidFill>
                </w14:textFill>
              </w:rPr>
              <w:t>2000</w:t>
            </w:r>
            <m:oMath>
              <m:r>
                <m:rPr/>
                <w:rPr>
                  <w:rFonts w:ascii="Cambria Math" w:hAnsi="Cambria Math"/>
                  <w:color w:val="000000" w:themeColor="text1"/>
                  <w14:textFill>
                    <w14:solidFill>
                      <w14:schemeClr w14:val="tx1"/>
                    </w14:solidFill>
                  </w14:textFill>
                </w:rPr>
                <m:t>≤</m:t>
              </m:r>
            </m:oMath>
            <w:r>
              <w:rPr>
                <w:color w:val="000000" w:themeColor="text1"/>
                <w14:textFill>
                  <w14:solidFill>
                    <w14:schemeClr w14:val="tx1"/>
                  </w14:solidFill>
                </w14:textFill>
              </w:rPr>
              <w:t>SV&lt;3700</w:t>
            </w:r>
          </w:p>
        </w:tc>
        <w:tc>
          <w:tcPr>
            <w:tcW w:w="1141" w:type="dxa"/>
            <w:vAlign w:val="center"/>
          </w:tcPr>
          <w:p w14:paraId="69FC09BF">
            <w:pPr>
              <w:pStyle w:val="70"/>
              <w:rPr>
                <w:color w:val="000000" w:themeColor="text1"/>
                <w14:textFill>
                  <w14:solidFill>
                    <w14:schemeClr w14:val="tx1"/>
                  </w14:solidFill>
                </w14:textFill>
              </w:rPr>
            </w:pPr>
            <w:r>
              <w:rPr>
                <w:color w:val="000000" w:themeColor="text1"/>
                <w14:textFill>
                  <w14:solidFill>
                    <w14:schemeClr w14:val="tx1"/>
                  </w14:solidFill>
                </w14:textFill>
              </w:rPr>
              <w:t>5.0</w:t>
            </w:r>
          </w:p>
        </w:tc>
        <w:tc>
          <w:tcPr>
            <w:tcW w:w="1143" w:type="dxa"/>
            <w:vAlign w:val="center"/>
          </w:tcPr>
          <w:p w14:paraId="3A55523D">
            <w:pPr>
              <w:pStyle w:val="70"/>
              <w:rPr>
                <w:color w:val="000000" w:themeColor="text1"/>
                <w14:textFill>
                  <w14:solidFill>
                    <w14:schemeClr w14:val="tx1"/>
                  </w14:solidFill>
                </w14:textFill>
              </w:rPr>
            </w:pPr>
            <w:r>
              <w:rPr>
                <w:color w:val="000000" w:themeColor="text1"/>
                <w14:textFill>
                  <w14:solidFill>
                    <w14:schemeClr w14:val="tx1"/>
                  </w14:solidFill>
                </w14:textFill>
              </w:rPr>
              <w:t>7.8</w:t>
            </w:r>
          </w:p>
        </w:tc>
        <w:tc>
          <w:tcPr>
            <w:tcW w:w="1141" w:type="dxa"/>
            <w:vAlign w:val="center"/>
          </w:tcPr>
          <w:p w14:paraId="2E1F559A">
            <w:pPr>
              <w:pStyle w:val="70"/>
              <w:rPr>
                <w:color w:val="000000" w:themeColor="text1"/>
                <w14:textFill>
                  <w14:solidFill>
                    <w14:schemeClr w14:val="tx1"/>
                  </w14:solidFill>
                </w14:textFill>
              </w:rPr>
            </w:pPr>
            <w:r>
              <w:rPr>
                <w:color w:val="000000" w:themeColor="text1"/>
                <w14:textFill>
                  <w14:solidFill>
                    <w14:schemeClr w14:val="tx1"/>
                  </w14:solidFill>
                </w14:textFill>
              </w:rPr>
              <w:t>1.5</w:t>
            </w:r>
          </w:p>
        </w:tc>
        <w:tc>
          <w:tcPr>
            <w:tcW w:w="1143" w:type="dxa"/>
            <w:vAlign w:val="center"/>
          </w:tcPr>
          <w:p w14:paraId="442621D6">
            <w:pPr>
              <w:pStyle w:val="70"/>
              <w:rPr>
                <w:color w:val="000000" w:themeColor="text1"/>
                <w14:textFill>
                  <w14:solidFill>
                    <w14:schemeClr w14:val="tx1"/>
                  </w14:solidFill>
                </w14:textFill>
              </w:rPr>
            </w:pPr>
            <w:r>
              <w:rPr>
                <w:color w:val="000000" w:themeColor="text1"/>
                <w14:textFill>
                  <w14:solidFill>
                    <w14:schemeClr w14:val="tx1"/>
                  </w14:solidFill>
                </w14:textFill>
              </w:rPr>
              <w:t>0.14</w:t>
            </w:r>
          </w:p>
        </w:tc>
      </w:tr>
      <w:tr w14:paraId="73BA87C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1120" w:type="dxa"/>
            <w:vMerge w:val="continue"/>
            <w:vAlign w:val="center"/>
          </w:tcPr>
          <w:p w14:paraId="204B80ED">
            <w:pPr>
              <w:pStyle w:val="70"/>
              <w:rPr>
                <w:color w:val="000000" w:themeColor="text1"/>
                <w14:textFill>
                  <w14:solidFill>
                    <w14:schemeClr w14:val="tx1"/>
                  </w14:solidFill>
                </w14:textFill>
              </w:rPr>
            </w:pPr>
          </w:p>
        </w:tc>
        <w:tc>
          <w:tcPr>
            <w:tcW w:w="1677" w:type="dxa"/>
            <w:vMerge w:val="continue"/>
            <w:vAlign w:val="center"/>
          </w:tcPr>
          <w:p w14:paraId="3F3C3F8C">
            <w:pPr>
              <w:pStyle w:val="70"/>
              <w:rPr>
                <w:color w:val="000000" w:themeColor="text1"/>
                <w14:textFill>
                  <w14:solidFill>
                    <w14:schemeClr w14:val="tx1"/>
                  </w14:solidFill>
                </w14:textFill>
              </w:rPr>
            </w:pPr>
          </w:p>
        </w:tc>
        <w:tc>
          <w:tcPr>
            <w:tcW w:w="1677" w:type="dxa"/>
            <w:vAlign w:val="center"/>
          </w:tcPr>
          <w:p w14:paraId="4AC461C1">
            <w:pPr>
              <w:pStyle w:val="70"/>
              <w:rPr>
                <w:color w:val="000000" w:themeColor="text1"/>
                <w14:textFill>
                  <w14:solidFill>
                    <w14:schemeClr w14:val="tx1"/>
                  </w14:solidFill>
                </w14:textFill>
              </w:rPr>
            </w:pPr>
            <w:r>
              <w:rPr>
                <w:color w:val="000000" w:themeColor="text1"/>
                <w14:textFill>
                  <w14:solidFill>
                    <w14:schemeClr w14:val="tx1"/>
                  </w14:solidFill>
                </w14:textFill>
              </w:rPr>
              <w:t>P</w:t>
            </w:r>
            <m:oMath>
              <m:r>
                <m:rPr/>
                <w:rPr>
                  <w:rFonts w:ascii="Cambria Math" w:hAnsi="Cambria Math"/>
                  <w:color w:val="000000" w:themeColor="text1"/>
                  <w14:textFill>
                    <w14:solidFill>
                      <w14:schemeClr w14:val="tx1"/>
                    </w14:solidFill>
                  </w14:textFill>
                </w:rPr>
                <m:t>≥</m:t>
              </m:r>
            </m:oMath>
            <w:r>
              <w:rPr>
                <w:color w:val="000000" w:themeColor="text1"/>
                <w14:textFill>
                  <w14:solidFill>
                    <w14:schemeClr w14:val="tx1"/>
                  </w14:solidFill>
                </w14:textFill>
              </w:rPr>
              <w:t>3700</w:t>
            </w:r>
          </w:p>
        </w:tc>
        <w:tc>
          <w:tcPr>
            <w:tcW w:w="1141" w:type="dxa"/>
            <w:vAlign w:val="center"/>
          </w:tcPr>
          <w:p w14:paraId="588B6B41">
            <w:pPr>
              <w:pStyle w:val="70"/>
              <w:rPr>
                <w:color w:val="000000" w:themeColor="text1"/>
                <w14:textFill>
                  <w14:solidFill>
                    <w14:schemeClr w14:val="tx1"/>
                  </w14:solidFill>
                </w14:textFill>
              </w:rPr>
            </w:pPr>
            <w:r>
              <w:rPr>
                <w:color w:val="000000" w:themeColor="text1"/>
                <w14:textFill>
                  <w14:solidFill>
                    <w14:schemeClr w14:val="tx1"/>
                  </w14:solidFill>
                </w14:textFill>
              </w:rPr>
              <w:t>5.0</w:t>
            </w:r>
          </w:p>
        </w:tc>
        <w:tc>
          <w:tcPr>
            <w:tcW w:w="1143" w:type="dxa"/>
            <w:vAlign w:val="center"/>
          </w:tcPr>
          <w:p w14:paraId="7A52D03B">
            <w:pPr>
              <w:pStyle w:val="70"/>
              <w:rPr>
                <w:color w:val="000000" w:themeColor="text1"/>
                <w14:textFill>
                  <w14:solidFill>
                    <w14:schemeClr w14:val="tx1"/>
                  </w14:solidFill>
                </w14:textFill>
              </w:rPr>
            </w:pPr>
            <w:r>
              <w:rPr>
                <w:color w:val="000000" w:themeColor="text1"/>
                <w14:textFill>
                  <w14:solidFill>
                    <w14:schemeClr w14:val="tx1"/>
                  </w14:solidFill>
                </w14:textFill>
              </w:rPr>
              <w:t>7.8</w:t>
            </w:r>
          </w:p>
        </w:tc>
        <w:tc>
          <w:tcPr>
            <w:tcW w:w="1141" w:type="dxa"/>
            <w:vAlign w:val="center"/>
          </w:tcPr>
          <w:p w14:paraId="08BA9352">
            <w:pPr>
              <w:pStyle w:val="70"/>
              <w:rPr>
                <w:color w:val="000000" w:themeColor="text1"/>
                <w14:textFill>
                  <w14:solidFill>
                    <w14:schemeClr w14:val="tx1"/>
                  </w14:solidFill>
                </w14:textFill>
              </w:rPr>
            </w:pPr>
            <w:r>
              <w:rPr>
                <w:color w:val="000000" w:themeColor="text1"/>
                <w14:textFill>
                  <w14:solidFill>
                    <w14:schemeClr w14:val="tx1"/>
                  </w14:solidFill>
                </w14:textFill>
              </w:rPr>
              <w:t>1.5</w:t>
            </w:r>
          </w:p>
        </w:tc>
        <w:tc>
          <w:tcPr>
            <w:tcW w:w="1143" w:type="dxa"/>
            <w:vAlign w:val="center"/>
          </w:tcPr>
          <w:p w14:paraId="3E65E822">
            <w:pPr>
              <w:pStyle w:val="70"/>
              <w:rPr>
                <w:color w:val="000000" w:themeColor="text1"/>
                <w14:textFill>
                  <w14:solidFill>
                    <w14:schemeClr w14:val="tx1"/>
                  </w14:solidFill>
                </w14:textFill>
              </w:rPr>
            </w:pPr>
            <w:r>
              <w:rPr>
                <w:color w:val="000000" w:themeColor="text1"/>
                <w14:textFill>
                  <w14:solidFill>
                    <w14:schemeClr w14:val="tx1"/>
                  </w14:solidFill>
                </w14:textFill>
              </w:rPr>
              <w:t>0.27</w:t>
            </w:r>
          </w:p>
        </w:tc>
      </w:tr>
      <w:tr w14:paraId="09242AE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1120" w:type="dxa"/>
            <w:vMerge w:val="continue"/>
            <w:vAlign w:val="center"/>
          </w:tcPr>
          <w:p w14:paraId="6DB57F1F">
            <w:pPr>
              <w:pStyle w:val="70"/>
              <w:rPr>
                <w:color w:val="000000" w:themeColor="text1"/>
                <w14:textFill>
                  <w14:solidFill>
                    <w14:schemeClr w14:val="tx1"/>
                  </w14:solidFill>
                </w14:textFill>
              </w:rPr>
            </w:pPr>
          </w:p>
        </w:tc>
        <w:tc>
          <w:tcPr>
            <w:tcW w:w="1677" w:type="dxa"/>
            <w:vMerge w:val="restart"/>
            <w:vAlign w:val="center"/>
          </w:tcPr>
          <w:p w14:paraId="3131FED9">
            <w:pPr>
              <w:pStyle w:val="70"/>
              <w:rPr>
                <w:color w:val="000000" w:themeColor="text1"/>
                <w14:textFill>
                  <w14:solidFill>
                    <w14:schemeClr w14:val="tx1"/>
                  </w14:solidFill>
                </w14:textFill>
              </w:rPr>
            </w:pPr>
            <w:r>
              <w:rPr>
                <w:color w:val="000000" w:themeColor="text1"/>
                <w14:textFill>
                  <w14:solidFill>
                    <w14:schemeClr w14:val="tx1"/>
                  </w14:solidFill>
                </w14:textFill>
              </w:rPr>
              <w:t>15</w:t>
            </w:r>
            <m:oMath>
              <m:r>
                <m:rPr/>
                <w:rPr>
                  <w:rFonts w:ascii="Cambria Math" w:hAnsi="Cambria Math"/>
                  <w:color w:val="000000" w:themeColor="text1"/>
                  <w14:textFill>
                    <w14:solidFill>
                      <w14:schemeClr w14:val="tx1"/>
                    </w14:solidFill>
                  </w14:textFill>
                </w:rPr>
                <m:t>≤</m:t>
              </m:r>
            </m:oMath>
            <w:r>
              <w:rPr>
                <w:color w:val="000000" w:themeColor="text1"/>
                <w14:textFill>
                  <w14:solidFill>
                    <w14:schemeClr w14:val="tx1"/>
                  </w14:solidFill>
                </w14:textFill>
              </w:rPr>
              <w:t>SV&lt;20</w:t>
            </w:r>
          </w:p>
        </w:tc>
        <w:tc>
          <w:tcPr>
            <w:tcW w:w="1677" w:type="dxa"/>
            <w:vAlign w:val="center"/>
          </w:tcPr>
          <w:p w14:paraId="08AAE715">
            <w:pPr>
              <w:pStyle w:val="70"/>
              <w:rPr>
                <w:color w:val="000000" w:themeColor="text1"/>
                <w14:textFill>
                  <w14:solidFill>
                    <w14:schemeClr w14:val="tx1"/>
                  </w14:solidFill>
                </w14:textFill>
              </w:rPr>
            </w:pPr>
            <w:r>
              <w:rPr>
                <w:color w:val="000000" w:themeColor="text1"/>
                <w14:textFill>
                  <w14:solidFill>
                    <w14:schemeClr w14:val="tx1"/>
                  </w14:solidFill>
                </w14:textFill>
              </w:rPr>
              <w:t>P&lt;2000</w:t>
            </w:r>
          </w:p>
        </w:tc>
        <w:tc>
          <w:tcPr>
            <w:tcW w:w="1141" w:type="dxa"/>
            <w:vAlign w:val="center"/>
          </w:tcPr>
          <w:p w14:paraId="4DECAF70">
            <w:pPr>
              <w:pStyle w:val="70"/>
              <w:rPr>
                <w:color w:val="000000" w:themeColor="text1"/>
                <w14:textFill>
                  <w14:solidFill>
                    <w14:schemeClr w14:val="tx1"/>
                  </w14:solidFill>
                </w14:textFill>
              </w:rPr>
            </w:pPr>
            <w:r>
              <w:rPr>
                <w:color w:val="000000" w:themeColor="text1"/>
                <w14:textFill>
                  <w14:solidFill>
                    <w14:schemeClr w14:val="tx1"/>
                  </w14:solidFill>
                </w14:textFill>
              </w:rPr>
              <w:t>5.0</w:t>
            </w:r>
          </w:p>
        </w:tc>
        <w:tc>
          <w:tcPr>
            <w:tcW w:w="1143" w:type="dxa"/>
            <w:vAlign w:val="center"/>
          </w:tcPr>
          <w:p w14:paraId="42539B82">
            <w:pPr>
              <w:pStyle w:val="70"/>
              <w:rPr>
                <w:color w:val="000000" w:themeColor="text1"/>
                <w14:textFill>
                  <w14:solidFill>
                    <w14:schemeClr w14:val="tx1"/>
                  </w14:solidFill>
                </w14:textFill>
              </w:rPr>
            </w:pPr>
            <w:r>
              <w:rPr>
                <w:color w:val="000000" w:themeColor="text1"/>
                <w14:textFill>
                  <w14:solidFill>
                    <w14:schemeClr w14:val="tx1"/>
                  </w14:solidFill>
                </w14:textFill>
              </w:rPr>
              <w:t>7.0</w:t>
            </w:r>
          </w:p>
        </w:tc>
        <w:tc>
          <w:tcPr>
            <w:tcW w:w="1141" w:type="dxa"/>
            <w:vAlign w:val="center"/>
          </w:tcPr>
          <w:p w14:paraId="2FDF657B">
            <w:pPr>
              <w:pStyle w:val="70"/>
              <w:rPr>
                <w:color w:val="000000" w:themeColor="text1"/>
                <w14:textFill>
                  <w14:solidFill>
                    <w14:schemeClr w14:val="tx1"/>
                  </w14:solidFill>
                </w14:textFill>
              </w:rPr>
            </w:pPr>
            <w:r>
              <w:rPr>
                <w:color w:val="000000" w:themeColor="text1"/>
                <w14:textFill>
                  <w14:solidFill>
                    <w14:schemeClr w14:val="tx1"/>
                  </w14:solidFill>
                </w14:textFill>
              </w:rPr>
              <w:t>1.5</w:t>
            </w:r>
          </w:p>
        </w:tc>
        <w:tc>
          <w:tcPr>
            <w:tcW w:w="1143" w:type="dxa"/>
            <w:vAlign w:val="center"/>
          </w:tcPr>
          <w:p w14:paraId="4E156624">
            <w:pPr>
              <w:pStyle w:val="70"/>
              <w:rPr>
                <w:color w:val="000000" w:themeColor="text1"/>
                <w14:textFill>
                  <w14:solidFill>
                    <w14:schemeClr w14:val="tx1"/>
                  </w14:solidFill>
                </w14:textFill>
              </w:rPr>
            </w:pPr>
            <w:r>
              <w:rPr>
                <w:color w:val="000000" w:themeColor="text1"/>
                <w14:textFill>
                  <w14:solidFill>
                    <w14:schemeClr w14:val="tx1"/>
                  </w14:solidFill>
                </w14:textFill>
              </w:rPr>
              <w:t>0.34</w:t>
            </w:r>
          </w:p>
        </w:tc>
      </w:tr>
      <w:tr w14:paraId="6CA448B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1120" w:type="dxa"/>
            <w:vMerge w:val="continue"/>
            <w:vAlign w:val="center"/>
          </w:tcPr>
          <w:p w14:paraId="026865A8">
            <w:pPr>
              <w:pStyle w:val="70"/>
              <w:rPr>
                <w:color w:val="000000" w:themeColor="text1"/>
                <w14:textFill>
                  <w14:solidFill>
                    <w14:schemeClr w14:val="tx1"/>
                  </w14:solidFill>
                </w14:textFill>
              </w:rPr>
            </w:pPr>
          </w:p>
        </w:tc>
        <w:tc>
          <w:tcPr>
            <w:tcW w:w="1677" w:type="dxa"/>
            <w:vMerge w:val="continue"/>
            <w:vAlign w:val="center"/>
          </w:tcPr>
          <w:p w14:paraId="105F184D">
            <w:pPr>
              <w:pStyle w:val="70"/>
              <w:rPr>
                <w:color w:val="000000" w:themeColor="text1"/>
                <w14:textFill>
                  <w14:solidFill>
                    <w14:schemeClr w14:val="tx1"/>
                  </w14:solidFill>
                </w14:textFill>
              </w:rPr>
            </w:pPr>
          </w:p>
        </w:tc>
        <w:tc>
          <w:tcPr>
            <w:tcW w:w="1677" w:type="dxa"/>
            <w:vAlign w:val="center"/>
          </w:tcPr>
          <w:p w14:paraId="55E6C9B3">
            <w:pPr>
              <w:pStyle w:val="70"/>
              <w:rPr>
                <w:color w:val="000000" w:themeColor="text1"/>
                <w14:textFill>
                  <w14:solidFill>
                    <w14:schemeClr w14:val="tx1"/>
                  </w14:solidFill>
                </w14:textFill>
              </w:rPr>
            </w:pPr>
            <w:r>
              <w:rPr>
                <w:color w:val="000000" w:themeColor="text1"/>
                <w14:textFill>
                  <w14:solidFill>
                    <w14:schemeClr w14:val="tx1"/>
                  </w14:solidFill>
                </w14:textFill>
              </w:rPr>
              <w:t>2000</w:t>
            </w:r>
            <m:oMath>
              <m:r>
                <m:rPr/>
                <w:rPr>
                  <w:rFonts w:ascii="Cambria Math" w:hAnsi="Cambria Math"/>
                  <w:color w:val="000000" w:themeColor="text1"/>
                  <w14:textFill>
                    <w14:solidFill>
                      <w14:schemeClr w14:val="tx1"/>
                    </w14:solidFill>
                  </w14:textFill>
                </w:rPr>
                <m:t>≤</m:t>
              </m:r>
            </m:oMath>
            <w:r>
              <w:rPr>
                <w:color w:val="000000" w:themeColor="text1"/>
                <w14:textFill>
                  <w14:solidFill>
                    <w14:schemeClr w14:val="tx1"/>
                  </w14:solidFill>
                </w14:textFill>
              </w:rPr>
              <w:t>SV&lt;3300</w:t>
            </w:r>
          </w:p>
        </w:tc>
        <w:tc>
          <w:tcPr>
            <w:tcW w:w="1141" w:type="dxa"/>
            <w:vAlign w:val="center"/>
          </w:tcPr>
          <w:p w14:paraId="796A135A">
            <w:pPr>
              <w:pStyle w:val="70"/>
              <w:rPr>
                <w:color w:val="000000" w:themeColor="text1"/>
                <w14:textFill>
                  <w14:solidFill>
                    <w14:schemeClr w14:val="tx1"/>
                  </w14:solidFill>
                </w14:textFill>
              </w:rPr>
            </w:pPr>
            <w:r>
              <w:rPr>
                <w:color w:val="000000" w:themeColor="text1"/>
                <w14:textFill>
                  <w14:solidFill>
                    <w14:schemeClr w14:val="tx1"/>
                  </w14:solidFill>
                </w14:textFill>
              </w:rPr>
              <w:t>5.0</w:t>
            </w:r>
          </w:p>
        </w:tc>
        <w:tc>
          <w:tcPr>
            <w:tcW w:w="1143" w:type="dxa"/>
            <w:vAlign w:val="center"/>
          </w:tcPr>
          <w:p w14:paraId="12CA8485">
            <w:pPr>
              <w:pStyle w:val="70"/>
              <w:rPr>
                <w:color w:val="000000" w:themeColor="text1"/>
                <w14:textFill>
                  <w14:solidFill>
                    <w14:schemeClr w14:val="tx1"/>
                  </w14:solidFill>
                </w14:textFill>
              </w:rPr>
            </w:pPr>
            <w:r>
              <w:rPr>
                <w:color w:val="000000" w:themeColor="text1"/>
                <w14:textFill>
                  <w14:solidFill>
                    <w14:schemeClr w14:val="tx1"/>
                  </w14:solidFill>
                </w14:textFill>
              </w:rPr>
              <w:t>8.7</w:t>
            </w:r>
          </w:p>
        </w:tc>
        <w:tc>
          <w:tcPr>
            <w:tcW w:w="1141" w:type="dxa"/>
            <w:vAlign w:val="center"/>
          </w:tcPr>
          <w:p w14:paraId="3E129774">
            <w:pPr>
              <w:pStyle w:val="70"/>
              <w:rPr>
                <w:color w:val="000000" w:themeColor="text1"/>
                <w14:textFill>
                  <w14:solidFill>
                    <w14:schemeClr w14:val="tx1"/>
                  </w14:solidFill>
                </w14:textFill>
              </w:rPr>
            </w:pPr>
            <w:r>
              <w:rPr>
                <w:color w:val="000000" w:themeColor="text1"/>
                <w14:textFill>
                  <w14:solidFill>
                    <w14:schemeClr w14:val="tx1"/>
                  </w14:solidFill>
                </w14:textFill>
              </w:rPr>
              <w:t>1.6</w:t>
            </w:r>
          </w:p>
        </w:tc>
        <w:tc>
          <w:tcPr>
            <w:tcW w:w="1143" w:type="dxa"/>
            <w:vAlign w:val="center"/>
          </w:tcPr>
          <w:p w14:paraId="6AB0D4BD">
            <w:pPr>
              <w:pStyle w:val="70"/>
              <w:rPr>
                <w:color w:val="000000" w:themeColor="text1"/>
                <w14:textFill>
                  <w14:solidFill>
                    <w14:schemeClr w14:val="tx1"/>
                  </w14:solidFill>
                </w14:textFill>
              </w:rPr>
            </w:pPr>
            <w:r>
              <w:rPr>
                <w:color w:val="000000" w:themeColor="text1"/>
                <w14:textFill>
                  <w14:solidFill>
                    <w14:schemeClr w14:val="tx1"/>
                  </w14:solidFill>
                </w14:textFill>
              </w:rPr>
              <w:t>0.50</w:t>
            </w:r>
          </w:p>
        </w:tc>
      </w:tr>
      <w:tr w14:paraId="738E30E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1120" w:type="dxa"/>
            <w:vMerge w:val="continue"/>
            <w:vAlign w:val="center"/>
          </w:tcPr>
          <w:p w14:paraId="5957FF8E">
            <w:pPr>
              <w:pStyle w:val="70"/>
              <w:rPr>
                <w:color w:val="000000" w:themeColor="text1"/>
                <w14:textFill>
                  <w14:solidFill>
                    <w14:schemeClr w14:val="tx1"/>
                  </w14:solidFill>
                </w14:textFill>
              </w:rPr>
            </w:pPr>
          </w:p>
        </w:tc>
        <w:tc>
          <w:tcPr>
            <w:tcW w:w="1677" w:type="dxa"/>
            <w:vMerge w:val="continue"/>
            <w:vAlign w:val="center"/>
          </w:tcPr>
          <w:p w14:paraId="5A6B3C36">
            <w:pPr>
              <w:pStyle w:val="70"/>
              <w:rPr>
                <w:color w:val="000000" w:themeColor="text1"/>
                <w14:textFill>
                  <w14:solidFill>
                    <w14:schemeClr w14:val="tx1"/>
                  </w14:solidFill>
                </w14:textFill>
              </w:rPr>
            </w:pPr>
          </w:p>
        </w:tc>
        <w:tc>
          <w:tcPr>
            <w:tcW w:w="1677" w:type="dxa"/>
            <w:vAlign w:val="center"/>
          </w:tcPr>
          <w:p w14:paraId="2D4288FB">
            <w:pPr>
              <w:pStyle w:val="70"/>
              <w:rPr>
                <w:color w:val="000000" w:themeColor="text1"/>
                <w14:textFill>
                  <w14:solidFill>
                    <w14:schemeClr w14:val="tx1"/>
                  </w14:solidFill>
                </w14:textFill>
              </w:rPr>
            </w:pPr>
            <w:r>
              <w:rPr>
                <w:color w:val="000000" w:themeColor="text1"/>
                <w14:textFill>
                  <w14:solidFill>
                    <w14:schemeClr w14:val="tx1"/>
                  </w14:solidFill>
                </w14:textFill>
              </w:rPr>
              <w:t>P</w:t>
            </w:r>
            <m:oMath>
              <m:r>
                <m:rPr/>
                <w:rPr>
                  <w:rFonts w:ascii="Cambria Math" w:hAnsi="Cambria Math"/>
                  <w:color w:val="000000" w:themeColor="text1"/>
                  <w14:textFill>
                    <w14:solidFill>
                      <w14:schemeClr w14:val="tx1"/>
                    </w14:solidFill>
                  </w14:textFill>
                </w:rPr>
                <m:t>≥</m:t>
              </m:r>
            </m:oMath>
            <w:r>
              <w:rPr>
                <w:color w:val="000000" w:themeColor="text1"/>
                <w14:textFill>
                  <w14:solidFill>
                    <w14:schemeClr w14:val="tx1"/>
                  </w14:solidFill>
                </w14:textFill>
              </w:rPr>
              <w:t>3300</w:t>
            </w:r>
          </w:p>
        </w:tc>
        <w:tc>
          <w:tcPr>
            <w:tcW w:w="1141" w:type="dxa"/>
            <w:vAlign w:val="center"/>
          </w:tcPr>
          <w:p w14:paraId="68DB7907">
            <w:pPr>
              <w:pStyle w:val="70"/>
              <w:rPr>
                <w:color w:val="000000" w:themeColor="text1"/>
                <w14:textFill>
                  <w14:solidFill>
                    <w14:schemeClr w14:val="tx1"/>
                  </w14:solidFill>
                </w14:textFill>
              </w:rPr>
            </w:pPr>
            <w:r>
              <w:rPr>
                <w:color w:val="000000" w:themeColor="text1"/>
                <w14:textFill>
                  <w14:solidFill>
                    <w14:schemeClr w14:val="tx1"/>
                  </w14:solidFill>
                </w14:textFill>
              </w:rPr>
              <w:t>5.0</w:t>
            </w:r>
          </w:p>
        </w:tc>
        <w:tc>
          <w:tcPr>
            <w:tcW w:w="1143" w:type="dxa"/>
            <w:vAlign w:val="center"/>
          </w:tcPr>
          <w:p w14:paraId="507C002D">
            <w:pPr>
              <w:pStyle w:val="70"/>
              <w:rPr>
                <w:color w:val="000000" w:themeColor="text1"/>
                <w14:textFill>
                  <w14:solidFill>
                    <w14:schemeClr w14:val="tx1"/>
                  </w14:solidFill>
                </w14:textFill>
              </w:rPr>
            </w:pPr>
            <w:r>
              <w:rPr>
                <w:color w:val="000000" w:themeColor="text1"/>
                <w14:textFill>
                  <w14:solidFill>
                    <w14:schemeClr w14:val="tx1"/>
                  </w14:solidFill>
                </w14:textFill>
              </w:rPr>
              <w:t>9.8</w:t>
            </w:r>
          </w:p>
        </w:tc>
        <w:tc>
          <w:tcPr>
            <w:tcW w:w="1141" w:type="dxa"/>
            <w:vAlign w:val="center"/>
          </w:tcPr>
          <w:p w14:paraId="1239736B">
            <w:pPr>
              <w:pStyle w:val="70"/>
              <w:rPr>
                <w:color w:val="000000" w:themeColor="text1"/>
                <w14:textFill>
                  <w14:solidFill>
                    <w14:schemeClr w14:val="tx1"/>
                  </w14:solidFill>
                </w14:textFill>
              </w:rPr>
            </w:pPr>
            <w:r>
              <w:rPr>
                <w:color w:val="000000" w:themeColor="text1"/>
                <w14:textFill>
                  <w14:solidFill>
                    <w14:schemeClr w14:val="tx1"/>
                  </w14:solidFill>
                </w14:textFill>
              </w:rPr>
              <w:t>1.8</w:t>
            </w:r>
          </w:p>
        </w:tc>
        <w:tc>
          <w:tcPr>
            <w:tcW w:w="1143" w:type="dxa"/>
            <w:vAlign w:val="center"/>
          </w:tcPr>
          <w:p w14:paraId="54376354">
            <w:pPr>
              <w:pStyle w:val="70"/>
              <w:rPr>
                <w:color w:val="000000" w:themeColor="text1"/>
                <w14:textFill>
                  <w14:solidFill>
                    <w14:schemeClr w14:val="tx1"/>
                  </w14:solidFill>
                </w14:textFill>
              </w:rPr>
            </w:pPr>
            <w:r>
              <w:rPr>
                <w:color w:val="000000" w:themeColor="text1"/>
                <w14:textFill>
                  <w14:solidFill>
                    <w14:schemeClr w14:val="tx1"/>
                  </w14:solidFill>
                </w14:textFill>
              </w:rPr>
              <w:t>0.50</w:t>
            </w:r>
          </w:p>
        </w:tc>
      </w:tr>
      <w:tr w14:paraId="5123B66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1120" w:type="dxa"/>
            <w:vMerge w:val="continue"/>
            <w:vAlign w:val="center"/>
          </w:tcPr>
          <w:p w14:paraId="0A5191F6">
            <w:pPr>
              <w:pStyle w:val="70"/>
              <w:rPr>
                <w:color w:val="000000" w:themeColor="text1"/>
                <w14:textFill>
                  <w14:solidFill>
                    <w14:schemeClr w14:val="tx1"/>
                  </w14:solidFill>
                </w14:textFill>
              </w:rPr>
            </w:pPr>
          </w:p>
        </w:tc>
        <w:tc>
          <w:tcPr>
            <w:tcW w:w="1677" w:type="dxa"/>
            <w:vMerge w:val="restart"/>
            <w:vAlign w:val="center"/>
          </w:tcPr>
          <w:p w14:paraId="2C1D88C8">
            <w:pPr>
              <w:pStyle w:val="70"/>
              <w:rPr>
                <w:color w:val="000000" w:themeColor="text1"/>
                <w14:textFill>
                  <w14:solidFill>
                    <w14:schemeClr w14:val="tx1"/>
                  </w14:solidFill>
                </w14:textFill>
              </w:rPr>
            </w:pPr>
            <w:r>
              <w:rPr>
                <w:color w:val="000000" w:themeColor="text1"/>
                <w14:textFill>
                  <w14:solidFill>
                    <w14:schemeClr w14:val="tx1"/>
                  </w14:solidFill>
                </w14:textFill>
              </w:rPr>
              <w:t>20</w:t>
            </w:r>
            <m:oMath>
              <m:r>
                <m:rPr/>
                <w:rPr>
                  <w:rFonts w:ascii="Cambria Math" w:hAnsi="Cambria Math"/>
                  <w:color w:val="000000" w:themeColor="text1"/>
                  <w14:textFill>
                    <w14:solidFill>
                      <w14:schemeClr w14:val="tx1"/>
                    </w14:solidFill>
                  </w14:textFill>
                </w:rPr>
                <m:t>≤</m:t>
              </m:r>
            </m:oMath>
            <w:r>
              <w:rPr>
                <w:color w:val="000000" w:themeColor="text1"/>
                <w14:textFill>
                  <w14:solidFill>
                    <w14:schemeClr w14:val="tx1"/>
                  </w14:solidFill>
                </w14:textFill>
              </w:rPr>
              <w:t>SV&lt;25</w:t>
            </w:r>
          </w:p>
        </w:tc>
        <w:tc>
          <w:tcPr>
            <w:tcW w:w="1677" w:type="dxa"/>
            <w:vAlign w:val="center"/>
          </w:tcPr>
          <w:p w14:paraId="508322DD">
            <w:pPr>
              <w:pStyle w:val="70"/>
              <w:rPr>
                <w:color w:val="000000" w:themeColor="text1"/>
                <w14:textFill>
                  <w14:solidFill>
                    <w14:schemeClr w14:val="tx1"/>
                  </w14:solidFill>
                </w14:textFill>
              </w:rPr>
            </w:pPr>
            <w:r>
              <w:rPr>
                <w:color w:val="000000" w:themeColor="text1"/>
                <w14:textFill>
                  <w14:solidFill>
                    <w14:schemeClr w14:val="tx1"/>
                  </w14:solidFill>
                </w14:textFill>
              </w:rPr>
              <w:t>P&lt;2000</w:t>
            </w:r>
          </w:p>
        </w:tc>
        <w:tc>
          <w:tcPr>
            <w:tcW w:w="1141" w:type="dxa"/>
            <w:vAlign w:val="center"/>
          </w:tcPr>
          <w:p w14:paraId="05A33969">
            <w:pPr>
              <w:pStyle w:val="70"/>
              <w:rPr>
                <w:color w:val="000000" w:themeColor="text1"/>
                <w14:textFill>
                  <w14:solidFill>
                    <w14:schemeClr w14:val="tx1"/>
                  </w14:solidFill>
                </w14:textFill>
              </w:rPr>
            </w:pPr>
            <w:r>
              <w:rPr>
                <w:color w:val="000000" w:themeColor="text1"/>
                <w14:textFill>
                  <w14:solidFill>
                    <w14:schemeClr w14:val="tx1"/>
                  </w14:solidFill>
                </w14:textFill>
              </w:rPr>
              <w:t>5.0</w:t>
            </w:r>
          </w:p>
        </w:tc>
        <w:tc>
          <w:tcPr>
            <w:tcW w:w="1143" w:type="dxa"/>
            <w:vAlign w:val="center"/>
          </w:tcPr>
          <w:p w14:paraId="40820508">
            <w:pPr>
              <w:pStyle w:val="70"/>
              <w:rPr>
                <w:color w:val="000000" w:themeColor="text1"/>
                <w14:textFill>
                  <w14:solidFill>
                    <w14:schemeClr w14:val="tx1"/>
                  </w14:solidFill>
                </w14:textFill>
              </w:rPr>
            </w:pPr>
            <w:r>
              <w:rPr>
                <w:color w:val="000000" w:themeColor="text1"/>
                <w14:textFill>
                  <w14:solidFill>
                    <w14:schemeClr w14:val="tx1"/>
                  </w14:solidFill>
                </w14:textFill>
              </w:rPr>
              <w:t>9.8</w:t>
            </w:r>
          </w:p>
        </w:tc>
        <w:tc>
          <w:tcPr>
            <w:tcW w:w="1141" w:type="dxa"/>
            <w:vAlign w:val="center"/>
          </w:tcPr>
          <w:p w14:paraId="2BB50F28">
            <w:pPr>
              <w:pStyle w:val="70"/>
              <w:rPr>
                <w:color w:val="000000" w:themeColor="text1"/>
                <w14:textFill>
                  <w14:solidFill>
                    <w14:schemeClr w14:val="tx1"/>
                  </w14:solidFill>
                </w14:textFill>
              </w:rPr>
            </w:pPr>
            <w:r>
              <w:rPr>
                <w:color w:val="000000" w:themeColor="text1"/>
                <w14:textFill>
                  <w14:solidFill>
                    <w14:schemeClr w14:val="tx1"/>
                  </w14:solidFill>
                </w14:textFill>
              </w:rPr>
              <w:t>1.8</w:t>
            </w:r>
          </w:p>
        </w:tc>
        <w:tc>
          <w:tcPr>
            <w:tcW w:w="1143" w:type="dxa"/>
            <w:vAlign w:val="center"/>
          </w:tcPr>
          <w:p w14:paraId="387439A7">
            <w:pPr>
              <w:pStyle w:val="70"/>
              <w:rPr>
                <w:color w:val="000000" w:themeColor="text1"/>
                <w14:textFill>
                  <w14:solidFill>
                    <w14:schemeClr w14:val="tx1"/>
                  </w14:solidFill>
                </w14:textFill>
              </w:rPr>
            </w:pPr>
            <w:r>
              <w:rPr>
                <w:color w:val="000000" w:themeColor="text1"/>
                <w14:textFill>
                  <w14:solidFill>
                    <w14:schemeClr w14:val="tx1"/>
                  </w14:solidFill>
                </w14:textFill>
              </w:rPr>
              <w:t>0.27</w:t>
            </w:r>
          </w:p>
        </w:tc>
      </w:tr>
      <w:tr w14:paraId="3CBB94F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1120" w:type="dxa"/>
            <w:vMerge w:val="continue"/>
            <w:vAlign w:val="center"/>
          </w:tcPr>
          <w:p w14:paraId="0AC72D34">
            <w:pPr>
              <w:pStyle w:val="70"/>
              <w:rPr>
                <w:color w:val="000000" w:themeColor="text1"/>
                <w14:textFill>
                  <w14:solidFill>
                    <w14:schemeClr w14:val="tx1"/>
                  </w14:solidFill>
                </w14:textFill>
              </w:rPr>
            </w:pPr>
          </w:p>
        </w:tc>
        <w:tc>
          <w:tcPr>
            <w:tcW w:w="1677" w:type="dxa"/>
            <w:vMerge w:val="continue"/>
            <w:vAlign w:val="center"/>
          </w:tcPr>
          <w:p w14:paraId="5358B7C0">
            <w:pPr>
              <w:pStyle w:val="70"/>
              <w:rPr>
                <w:color w:val="000000" w:themeColor="text1"/>
                <w14:textFill>
                  <w14:solidFill>
                    <w14:schemeClr w14:val="tx1"/>
                  </w14:solidFill>
                </w14:textFill>
              </w:rPr>
            </w:pPr>
          </w:p>
        </w:tc>
        <w:tc>
          <w:tcPr>
            <w:tcW w:w="1677" w:type="dxa"/>
            <w:vAlign w:val="center"/>
          </w:tcPr>
          <w:p w14:paraId="369D2A8C">
            <w:pPr>
              <w:pStyle w:val="70"/>
              <w:rPr>
                <w:color w:val="000000" w:themeColor="text1"/>
                <w14:textFill>
                  <w14:solidFill>
                    <w14:schemeClr w14:val="tx1"/>
                  </w14:solidFill>
                </w14:textFill>
              </w:rPr>
            </w:pPr>
            <w:r>
              <w:rPr>
                <w:color w:val="000000" w:themeColor="text1"/>
                <w14:textFill>
                  <w14:solidFill>
                    <w14:schemeClr w14:val="tx1"/>
                  </w14:solidFill>
                </w14:textFill>
              </w:rPr>
              <w:t>P</w:t>
            </w:r>
            <m:oMath>
              <m:r>
                <m:rPr/>
                <w:rPr>
                  <w:rFonts w:ascii="Cambria Math" w:hAnsi="Cambria Math"/>
                  <w:color w:val="000000" w:themeColor="text1"/>
                  <w14:textFill>
                    <w14:solidFill>
                      <w14:schemeClr w14:val="tx1"/>
                    </w14:solidFill>
                  </w14:textFill>
                </w:rPr>
                <m:t>≥</m:t>
              </m:r>
            </m:oMath>
            <w:r>
              <w:rPr>
                <w:color w:val="000000" w:themeColor="text1"/>
                <w14:textFill>
                  <w14:solidFill>
                    <w14:schemeClr w14:val="tx1"/>
                  </w14:solidFill>
                </w14:textFill>
              </w:rPr>
              <w:t>2000</w:t>
            </w:r>
          </w:p>
        </w:tc>
        <w:tc>
          <w:tcPr>
            <w:tcW w:w="1141" w:type="dxa"/>
            <w:vAlign w:val="center"/>
          </w:tcPr>
          <w:p w14:paraId="5D1DB968">
            <w:pPr>
              <w:pStyle w:val="70"/>
              <w:rPr>
                <w:color w:val="000000" w:themeColor="text1"/>
                <w14:textFill>
                  <w14:solidFill>
                    <w14:schemeClr w14:val="tx1"/>
                  </w14:solidFill>
                </w14:textFill>
              </w:rPr>
            </w:pPr>
            <w:r>
              <w:rPr>
                <w:color w:val="000000" w:themeColor="text1"/>
                <w14:textFill>
                  <w14:solidFill>
                    <w14:schemeClr w14:val="tx1"/>
                  </w14:solidFill>
                </w14:textFill>
              </w:rPr>
              <w:t>5.0</w:t>
            </w:r>
          </w:p>
        </w:tc>
        <w:tc>
          <w:tcPr>
            <w:tcW w:w="1143" w:type="dxa"/>
            <w:vAlign w:val="center"/>
          </w:tcPr>
          <w:p w14:paraId="62CF2AE1">
            <w:pPr>
              <w:pStyle w:val="70"/>
              <w:rPr>
                <w:color w:val="000000" w:themeColor="text1"/>
                <w14:textFill>
                  <w14:solidFill>
                    <w14:schemeClr w14:val="tx1"/>
                  </w14:solidFill>
                </w14:textFill>
              </w:rPr>
            </w:pPr>
            <w:r>
              <w:rPr>
                <w:color w:val="000000" w:themeColor="text1"/>
                <w14:textFill>
                  <w14:solidFill>
                    <w14:schemeClr w14:val="tx1"/>
                  </w14:solidFill>
                </w14:textFill>
              </w:rPr>
              <w:t>9.8</w:t>
            </w:r>
          </w:p>
        </w:tc>
        <w:tc>
          <w:tcPr>
            <w:tcW w:w="1141" w:type="dxa"/>
            <w:vAlign w:val="center"/>
          </w:tcPr>
          <w:p w14:paraId="2B605A0B">
            <w:pPr>
              <w:pStyle w:val="70"/>
              <w:rPr>
                <w:color w:val="000000" w:themeColor="text1"/>
                <w14:textFill>
                  <w14:solidFill>
                    <w14:schemeClr w14:val="tx1"/>
                  </w14:solidFill>
                </w14:textFill>
              </w:rPr>
            </w:pPr>
            <w:r>
              <w:rPr>
                <w:color w:val="000000" w:themeColor="text1"/>
                <w14:textFill>
                  <w14:solidFill>
                    <w14:schemeClr w14:val="tx1"/>
                  </w14:solidFill>
                </w14:textFill>
              </w:rPr>
              <w:t>1.8</w:t>
            </w:r>
          </w:p>
        </w:tc>
        <w:tc>
          <w:tcPr>
            <w:tcW w:w="1143" w:type="dxa"/>
            <w:vAlign w:val="center"/>
          </w:tcPr>
          <w:p w14:paraId="3F2E72BE">
            <w:pPr>
              <w:pStyle w:val="70"/>
              <w:rPr>
                <w:color w:val="000000" w:themeColor="text1"/>
                <w14:textFill>
                  <w14:solidFill>
                    <w14:schemeClr w14:val="tx1"/>
                  </w14:solidFill>
                </w14:textFill>
              </w:rPr>
            </w:pPr>
            <w:r>
              <w:rPr>
                <w:color w:val="000000" w:themeColor="text1"/>
                <w14:textFill>
                  <w14:solidFill>
                    <w14:schemeClr w14:val="tx1"/>
                  </w14:solidFill>
                </w14:textFill>
              </w:rPr>
              <w:t>0.50</w:t>
            </w:r>
          </w:p>
        </w:tc>
      </w:tr>
      <w:tr w14:paraId="3299C13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1120" w:type="dxa"/>
            <w:vMerge w:val="continue"/>
            <w:vAlign w:val="center"/>
          </w:tcPr>
          <w:p w14:paraId="0DA2E364">
            <w:pPr>
              <w:pStyle w:val="70"/>
              <w:rPr>
                <w:color w:val="000000" w:themeColor="text1"/>
                <w14:textFill>
                  <w14:solidFill>
                    <w14:schemeClr w14:val="tx1"/>
                  </w14:solidFill>
                </w14:textFill>
              </w:rPr>
            </w:pPr>
          </w:p>
        </w:tc>
        <w:tc>
          <w:tcPr>
            <w:tcW w:w="1677" w:type="dxa"/>
            <w:vMerge w:val="restart"/>
            <w:vAlign w:val="center"/>
          </w:tcPr>
          <w:p w14:paraId="6861FEA5">
            <w:pPr>
              <w:pStyle w:val="70"/>
              <w:rPr>
                <w:color w:val="000000" w:themeColor="text1"/>
                <w14:textFill>
                  <w14:solidFill>
                    <w14:schemeClr w14:val="tx1"/>
                  </w14:solidFill>
                </w14:textFill>
              </w:rPr>
            </w:pPr>
            <w:r>
              <w:rPr>
                <w:color w:val="000000" w:themeColor="text1"/>
                <w14:textFill>
                  <w14:solidFill>
                    <w14:schemeClr w14:val="tx1"/>
                  </w14:solidFill>
                </w14:textFill>
              </w:rPr>
              <w:t>25</w:t>
            </w:r>
            <m:oMath>
              <m:r>
                <m:rPr/>
                <w:rPr>
                  <w:rFonts w:ascii="Cambria Math" w:hAnsi="Cambria Math"/>
                  <w:color w:val="000000" w:themeColor="text1"/>
                  <w14:textFill>
                    <w14:solidFill>
                      <w14:schemeClr w14:val="tx1"/>
                    </w14:solidFill>
                  </w14:textFill>
                </w:rPr>
                <m:t>≤</m:t>
              </m:r>
            </m:oMath>
            <w:r>
              <w:rPr>
                <w:color w:val="000000" w:themeColor="text1"/>
                <w14:textFill>
                  <w14:solidFill>
                    <w14:schemeClr w14:val="tx1"/>
                  </w14:solidFill>
                </w14:textFill>
              </w:rPr>
              <w:t>SV&lt;30</w:t>
            </w:r>
          </w:p>
        </w:tc>
        <w:tc>
          <w:tcPr>
            <w:tcW w:w="1677" w:type="dxa"/>
            <w:vAlign w:val="center"/>
          </w:tcPr>
          <w:p w14:paraId="2EBA50F2">
            <w:pPr>
              <w:pStyle w:val="70"/>
              <w:rPr>
                <w:color w:val="000000" w:themeColor="text1"/>
                <w14:textFill>
                  <w14:solidFill>
                    <w14:schemeClr w14:val="tx1"/>
                  </w14:solidFill>
                </w14:textFill>
              </w:rPr>
            </w:pPr>
            <w:r>
              <w:rPr>
                <w:color w:val="000000" w:themeColor="text1"/>
                <w14:textFill>
                  <w14:solidFill>
                    <w14:schemeClr w14:val="tx1"/>
                  </w14:solidFill>
                </w14:textFill>
              </w:rPr>
              <w:t>P&lt;2000</w:t>
            </w:r>
          </w:p>
        </w:tc>
        <w:tc>
          <w:tcPr>
            <w:tcW w:w="1141" w:type="dxa"/>
            <w:vAlign w:val="center"/>
          </w:tcPr>
          <w:p w14:paraId="024761CD">
            <w:pPr>
              <w:pStyle w:val="70"/>
              <w:rPr>
                <w:color w:val="000000" w:themeColor="text1"/>
                <w14:textFill>
                  <w14:solidFill>
                    <w14:schemeClr w14:val="tx1"/>
                  </w14:solidFill>
                </w14:textFill>
              </w:rPr>
            </w:pPr>
            <w:r>
              <w:rPr>
                <w:color w:val="000000" w:themeColor="text1"/>
                <w14:textFill>
                  <w14:solidFill>
                    <w14:schemeClr w14:val="tx1"/>
                  </w14:solidFill>
                </w14:textFill>
              </w:rPr>
              <w:t>5.0</w:t>
            </w:r>
          </w:p>
        </w:tc>
        <w:tc>
          <w:tcPr>
            <w:tcW w:w="1143" w:type="dxa"/>
            <w:vAlign w:val="center"/>
          </w:tcPr>
          <w:p w14:paraId="23E1BE52">
            <w:pPr>
              <w:pStyle w:val="70"/>
              <w:rPr>
                <w:color w:val="000000" w:themeColor="text1"/>
                <w14:textFill>
                  <w14:solidFill>
                    <w14:schemeClr w14:val="tx1"/>
                  </w14:solidFill>
                </w14:textFill>
              </w:rPr>
            </w:pPr>
            <w:r>
              <w:rPr>
                <w:color w:val="000000" w:themeColor="text1"/>
                <w14:textFill>
                  <w14:solidFill>
                    <w14:schemeClr w14:val="tx1"/>
                  </w14:solidFill>
                </w14:textFill>
              </w:rPr>
              <w:t>11.0</w:t>
            </w:r>
          </w:p>
        </w:tc>
        <w:tc>
          <w:tcPr>
            <w:tcW w:w="1141" w:type="dxa"/>
            <w:vAlign w:val="center"/>
          </w:tcPr>
          <w:p w14:paraId="57E54842">
            <w:pPr>
              <w:pStyle w:val="70"/>
              <w:rPr>
                <w:color w:val="000000" w:themeColor="text1"/>
                <w14:textFill>
                  <w14:solidFill>
                    <w14:schemeClr w14:val="tx1"/>
                  </w14:solidFill>
                </w14:textFill>
              </w:rPr>
            </w:pPr>
            <w:r>
              <w:rPr>
                <w:color w:val="000000" w:themeColor="text1"/>
                <w14:textFill>
                  <w14:solidFill>
                    <w14:schemeClr w14:val="tx1"/>
                  </w14:solidFill>
                </w14:textFill>
              </w:rPr>
              <w:t>2.0</w:t>
            </w:r>
          </w:p>
        </w:tc>
        <w:tc>
          <w:tcPr>
            <w:tcW w:w="1143" w:type="dxa"/>
            <w:vAlign w:val="center"/>
          </w:tcPr>
          <w:p w14:paraId="4326C963">
            <w:pPr>
              <w:pStyle w:val="70"/>
              <w:rPr>
                <w:color w:val="000000" w:themeColor="text1"/>
                <w14:textFill>
                  <w14:solidFill>
                    <w14:schemeClr w14:val="tx1"/>
                  </w14:solidFill>
                </w14:textFill>
              </w:rPr>
            </w:pPr>
            <w:r>
              <w:rPr>
                <w:color w:val="000000" w:themeColor="text1"/>
                <w14:textFill>
                  <w14:solidFill>
                    <w14:schemeClr w14:val="tx1"/>
                  </w14:solidFill>
                </w14:textFill>
              </w:rPr>
              <w:t>0.27</w:t>
            </w:r>
          </w:p>
        </w:tc>
      </w:tr>
      <w:tr w14:paraId="3CE26C5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1120" w:type="dxa"/>
            <w:vMerge w:val="continue"/>
            <w:vAlign w:val="center"/>
          </w:tcPr>
          <w:p w14:paraId="0C1DAC15">
            <w:pPr>
              <w:pStyle w:val="70"/>
              <w:rPr>
                <w:color w:val="000000" w:themeColor="text1"/>
                <w14:textFill>
                  <w14:solidFill>
                    <w14:schemeClr w14:val="tx1"/>
                  </w14:solidFill>
                </w14:textFill>
              </w:rPr>
            </w:pPr>
          </w:p>
        </w:tc>
        <w:tc>
          <w:tcPr>
            <w:tcW w:w="1677" w:type="dxa"/>
            <w:vMerge w:val="continue"/>
            <w:vAlign w:val="center"/>
          </w:tcPr>
          <w:p w14:paraId="22A1F5BD">
            <w:pPr>
              <w:pStyle w:val="70"/>
              <w:rPr>
                <w:color w:val="000000" w:themeColor="text1"/>
                <w14:textFill>
                  <w14:solidFill>
                    <w14:schemeClr w14:val="tx1"/>
                  </w14:solidFill>
                </w14:textFill>
              </w:rPr>
            </w:pPr>
          </w:p>
        </w:tc>
        <w:tc>
          <w:tcPr>
            <w:tcW w:w="1677" w:type="dxa"/>
            <w:vAlign w:val="center"/>
          </w:tcPr>
          <w:p w14:paraId="1B2CA0FB">
            <w:pPr>
              <w:pStyle w:val="70"/>
              <w:rPr>
                <w:color w:val="000000" w:themeColor="text1"/>
                <w14:textFill>
                  <w14:solidFill>
                    <w14:schemeClr w14:val="tx1"/>
                  </w14:solidFill>
                </w14:textFill>
              </w:rPr>
            </w:pPr>
            <w:r>
              <w:rPr>
                <w:color w:val="000000" w:themeColor="text1"/>
                <w14:textFill>
                  <w14:solidFill>
                    <w14:schemeClr w14:val="tx1"/>
                  </w14:solidFill>
                </w14:textFill>
              </w:rPr>
              <w:t>P</w:t>
            </w:r>
            <m:oMath>
              <m:r>
                <m:rPr/>
                <w:rPr>
                  <w:rFonts w:ascii="Cambria Math" w:hAnsi="Cambria Math"/>
                  <w:color w:val="000000" w:themeColor="text1"/>
                  <w14:textFill>
                    <w14:solidFill>
                      <w14:schemeClr w14:val="tx1"/>
                    </w14:solidFill>
                  </w14:textFill>
                </w:rPr>
                <m:t>≥</m:t>
              </m:r>
            </m:oMath>
            <w:r>
              <w:rPr>
                <w:color w:val="000000" w:themeColor="text1"/>
                <w14:textFill>
                  <w14:solidFill>
                    <w14:schemeClr w14:val="tx1"/>
                  </w14:solidFill>
                </w14:textFill>
              </w:rPr>
              <w:t>2000</w:t>
            </w:r>
          </w:p>
        </w:tc>
        <w:tc>
          <w:tcPr>
            <w:tcW w:w="1141" w:type="dxa"/>
            <w:vAlign w:val="center"/>
          </w:tcPr>
          <w:p w14:paraId="729711FE">
            <w:pPr>
              <w:pStyle w:val="70"/>
              <w:rPr>
                <w:color w:val="000000" w:themeColor="text1"/>
                <w14:textFill>
                  <w14:solidFill>
                    <w14:schemeClr w14:val="tx1"/>
                  </w14:solidFill>
                </w14:textFill>
              </w:rPr>
            </w:pPr>
            <w:r>
              <w:rPr>
                <w:color w:val="000000" w:themeColor="text1"/>
                <w14:textFill>
                  <w14:solidFill>
                    <w14:schemeClr w14:val="tx1"/>
                  </w14:solidFill>
                </w14:textFill>
              </w:rPr>
              <w:t>5.0</w:t>
            </w:r>
          </w:p>
        </w:tc>
        <w:tc>
          <w:tcPr>
            <w:tcW w:w="1143" w:type="dxa"/>
            <w:vAlign w:val="center"/>
          </w:tcPr>
          <w:p w14:paraId="4D2E0001">
            <w:pPr>
              <w:pStyle w:val="70"/>
              <w:rPr>
                <w:color w:val="000000" w:themeColor="text1"/>
                <w14:textFill>
                  <w14:solidFill>
                    <w14:schemeClr w14:val="tx1"/>
                  </w14:solidFill>
                </w14:textFill>
              </w:rPr>
            </w:pPr>
            <w:r>
              <w:rPr>
                <w:color w:val="000000" w:themeColor="text1"/>
                <w14:textFill>
                  <w14:solidFill>
                    <w14:schemeClr w14:val="tx1"/>
                  </w14:solidFill>
                </w14:textFill>
              </w:rPr>
              <w:t>11.0</w:t>
            </w:r>
          </w:p>
        </w:tc>
        <w:tc>
          <w:tcPr>
            <w:tcW w:w="1141" w:type="dxa"/>
            <w:vAlign w:val="center"/>
          </w:tcPr>
          <w:p w14:paraId="450FE1EF">
            <w:pPr>
              <w:pStyle w:val="70"/>
              <w:rPr>
                <w:color w:val="000000" w:themeColor="text1"/>
                <w14:textFill>
                  <w14:solidFill>
                    <w14:schemeClr w14:val="tx1"/>
                  </w14:solidFill>
                </w14:textFill>
              </w:rPr>
            </w:pPr>
            <w:r>
              <w:rPr>
                <w:color w:val="000000" w:themeColor="text1"/>
                <w14:textFill>
                  <w14:solidFill>
                    <w14:schemeClr w14:val="tx1"/>
                  </w14:solidFill>
                </w14:textFill>
              </w:rPr>
              <w:t>2.0</w:t>
            </w:r>
          </w:p>
        </w:tc>
        <w:tc>
          <w:tcPr>
            <w:tcW w:w="1143" w:type="dxa"/>
            <w:vAlign w:val="center"/>
          </w:tcPr>
          <w:p w14:paraId="1F9E9C6C">
            <w:pPr>
              <w:pStyle w:val="70"/>
              <w:rPr>
                <w:color w:val="000000" w:themeColor="text1"/>
                <w14:textFill>
                  <w14:solidFill>
                    <w14:schemeClr w14:val="tx1"/>
                  </w14:solidFill>
                </w14:textFill>
              </w:rPr>
            </w:pPr>
            <w:r>
              <w:rPr>
                <w:color w:val="000000" w:themeColor="text1"/>
                <w14:textFill>
                  <w14:solidFill>
                    <w14:schemeClr w14:val="tx1"/>
                  </w14:solidFill>
                </w14:textFill>
              </w:rPr>
              <w:t>0.50</w:t>
            </w:r>
          </w:p>
        </w:tc>
      </w:tr>
    </w:tbl>
    <w:p w14:paraId="3BBA0B52">
      <w:pPr>
        <w:ind w:firstLine="360"/>
        <w:rPr>
          <w:color w:val="000000" w:themeColor="text1"/>
          <w14:textFill>
            <w14:solidFill>
              <w14:schemeClr w14:val="tx1"/>
            </w14:solidFill>
          </w14:textFill>
        </w:rPr>
      </w:pPr>
      <w:r>
        <w:rPr>
          <w:color w:val="000000" w:themeColor="text1"/>
          <w:sz w:val="18"/>
          <w:szCs w:val="18"/>
          <w14:textFill>
            <w14:solidFill>
              <w14:schemeClr w14:val="tx1"/>
            </w14:solidFill>
          </w14:textFill>
        </w:rPr>
        <w:t>注：(1)仅适用于NG（含双燃料）船机。</w:t>
      </w:r>
    </w:p>
    <w:p w14:paraId="51D8C845">
      <w:pPr>
        <w:pStyle w:val="6"/>
        <w:rPr>
          <w:color w:val="000000" w:themeColor="text1"/>
          <w14:textFill>
            <w14:solidFill>
              <w14:schemeClr w14:val="tx1"/>
            </w14:solidFill>
          </w14:textFill>
        </w:rPr>
      </w:pPr>
      <w:r>
        <w:rPr>
          <w:color w:val="000000" w:themeColor="text1"/>
          <w14:textFill>
            <w14:solidFill>
              <w14:schemeClr w14:val="tx1"/>
            </w14:solidFill>
          </w14:textFill>
        </w:rPr>
        <w:t>水污染物排放标准</w:t>
      </w:r>
    </w:p>
    <w:p w14:paraId="3130C902">
      <w:pPr>
        <w:ind w:firstLine="480"/>
        <w:rPr>
          <w:color w:val="000000" w:themeColor="text1"/>
          <w14:textFill>
            <w14:solidFill>
              <w14:schemeClr w14:val="tx1"/>
            </w14:solidFill>
          </w14:textFill>
        </w:rPr>
      </w:pPr>
      <w:r>
        <w:rPr>
          <w:color w:val="000000" w:themeColor="text1"/>
          <w14:textFill>
            <w14:solidFill>
              <w14:schemeClr w14:val="tx1"/>
            </w14:solidFill>
          </w14:textFill>
        </w:rPr>
        <w:t>营运期废水主要来自船舶污水（包括船舶舱底油污水、船舶生活污水），船舶污水均由有资质单位接收处置，不在码头接收；码头生活污水、冲洗废水及初期雨水依托广西恒逸污水处理厂进行处理，最终达到《石油化学工业污染物排放标准》（GB31571-2015）标准及《污水综合排放标准》（GB8978-1996）一级标准后排放。</w:t>
      </w:r>
    </w:p>
    <w:p w14:paraId="17B94E2E">
      <w:pPr>
        <w:pStyle w:val="7"/>
        <w:jc w:val="right"/>
        <w:rPr>
          <w:color w:val="000000" w:themeColor="text1"/>
          <w14:textFill>
            <w14:solidFill>
              <w14:schemeClr w14:val="tx1"/>
            </w14:solidFill>
          </w14:textFill>
        </w:rPr>
      </w:pPr>
      <w:r>
        <w:rPr>
          <w:color w:val="000000" w:themeColor="text1"/>
          <w14:textFill>
            <w14:solidFill>
              <w14:schemeClr w14:val="tx1"/>
            </w14:solidFill>
          </w14:textFill>
        </w:rPr>
        <w:t xml:space="preserve">恒逸污水处理厂各系统进水水质标准（摘录）    </w:t>
      </w:r>
      <w:r>
        <w:rPr>
          <w:b w:val="0"/>
          <w:bCs w:val="0"/>
          <w:color w:val="000000" w:themeColor="text1"/>
          <w:sz w:val="18"/>
          <w:szCs w:val="18"/>
          <w14:textFill>
            <w14:solidFill>
              <w14:schemeClr w14:val="tx1"/>
            </w14:solidFill>
          </w14:textFill>
        </w:rPr>
        <w:t xml:space="preserve"> 单位：mg/L  pH无量纲</w:t>
      </w:r>
    </w:p>
    <w:tbl>
      <w:tblPr>
        <w:tblStyle w:val="43"/>
        <w:tblW w:w="9042"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2313"/>
        <w:gridCol w:w="1201"/>
        <w:gridCol w:w="964"/>
        <w:gridCol w:w="834"/>
        <w:gridCol w:w="852"/>
        <w:gridCol w:w="609"/>
        <w:gridCol w:w="609"/>
        <w:gridCol w:w="709"/>
        <w:gridCol w:w="951"/>
      </w:tblGrid>
      <w:tr w14:paraId="5FF131F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jc w:val="center"/>
        </w:trPr>
        <w:tc>
          <w:tcPr>
            <w:tcW w:w="2313" w:type="dxa"/>
            <w:tcMar>
              <w:left w:w="0" w:type="dxa"/>
              <w:right w:w="0" w:type="dxa"/>
            </w:tcMar>
            <w:vAlign w:val="center"/>
          </w:tcPr>
          <w:p w14:paraId="056A09E5">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系统名称</w:t>
            </w:r>
          </w:p>
        </w:tc>
        <w:tc>
          <w:tcPr>
            <w:tcW w:w="1201" w:type="dxa"/>
            <w:tcMar>
              <w:left w:w="0" w:type="dxa"/>
              <w:right w:w="0" w:type="dxa"/>
            </w:tcMar>
            <w:vAlign w:val="center"/>
          </w:tcPr>
          <w:p w14:paraId="24EED7F2">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废水类别</w:t>
            </w:r>
          </w:p>
        </w:tc>
        <w:tc>
          <w:tcPr>
            <w:tcW w:w="964" w:type="dxa"/>
            <w:tcMar>
              <w:left w:w="0" w:type="dxa"/>
              <w:right w:w="0" w:type="dxa"/>
            </w:tcMar>
            <w:vAlign w:val="center"/>
          </w:tcPr>
          <w:p w14:paraId="20B12BA0">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pH</w:t>
            </w:r>
          </w:p>
        </w:tc>
        <w:tc>
          <w:tcPr>
            <w:tcW w:w="834" w:type="dxa"/>
            <w:tcMar>
              <w:left w:w="0" w:type="dxa"/>
              <w:right w:w="0" w:type="dxa"/>
            </w:tcMar>
            <w:vAlign w:val="center"/>
          </w:tcPr>
          <w:p w14:paraId="1F7925DB">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COD</w:t>
            </w:r>
          </w:p>
        </w:tc>
        <w:tc>
          <w:tcPr>
            <w:tcW w:w="852" w:type="dxa"/>
            <w:tcMar>
              <w:left w:w="0" w:type="dxa"/>
              <w:right w:w="0" w:type="dxa"/>
            </w:tcMar>
            <w:vAlign w:val="center"/>
          </w:tcPr>
          <w:p w14:paraId="1887E297">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BOD</w:t>
            </w:r>
            <w:r>
              <w:rPr>
                <w:b/>
                <w:bCs/>
                <w:color w:val="000000" w:themeColor="text1"/>
                <w:vertAlign w:val="subscript"/>
                <w14:textFill>
                  <w14:solidFill>
                    <w14:schemeClr w14:val="tx1"/>
                  </w14:solidFill>
                </w14:textFill>
              </w:rPr>
              <w:t>5</w:t>
            </w:r>
          </w:p>
        </w:tc>
        <w:tc>
          <w:tcPr>
            <w:tcW w:w="609" w:type="dxa"/>
            <w:tcMar>
              <w:left w:w="0" w:type="dxa"/>
              <w:right w:w="0" w:type="dxa"/>
            </w:tcMar>
            <w:vAlign w:val="center"/>
          </w:tcPr>
          <w:p w14:paraId="6A87BF2C">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SS</w:t>
            </w:r>
          </w:p>
        </w:tc>
        <w:tc>
          <w:tcPr>
            <w:tcW w:w="609" w:type="dxa"/>
            <w:tcMar>
              <w:left w:w="0" w:type="dxa"/>
              <w:right w:w="0" w:type="dxa"/>
            </w:tcMar>
            <w:vAlign w:val="center"/>
          </w:tcPr>
          <w:p w14:paraId="533786D2">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氨氮</w:t>
            </w:r>
          </w:p>
        </w:tc>
        <w:tc>
          <w:tcPr>
            <w:tcW w:w="709" w:type="dxa"/>
            <w:tcMar>
              <w:left w:w="0" w:type="dxa"/>
              <w:right w:w="0" w:type="dxa"/>
            </w:tcMar>
            <w:vAlign w:val="center"/>
          </w:tcPr>
          <w:p w14:paraId="4118D1F5">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石油类</w:t>
            </w:r>
          </w:p>
        </w:tc>
        <w:tc>
          <w:tcPr>
            <w:tcW w:w="951" w:type="dxa"/>
            <w:tcMar>
              <w:left w:w="0" w:type="dxa"/>
              <w:right w:w="0" w:type="dxa"/>
            </w:tcMar>
            <w:vAlign w:val="center"/>
          </w:tcPr>
          <w:p w14:paraId="12E9BE74">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TDS</w:t>
            </w:r>
          </w:p>
        </w:tc>
      </w:tr>
      <w:tr w14:paraId="491A7C7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2313" w:type="dxa"/>
            <w:tcMar>
              <w:left w:w="0" w:type="dxa"/>
              <w:right w:w="0" w:type="dxa"/>
            </w:tcMar>
            <w:vAlign w:val="center"/>
          </w:tcPr>
          <w:p w14:paraId="0EC20E47">
            <w:pPr>
              <w:pStyle w:val="70"/>
              <w:rPr>
                <w:color w:val="000000" w:themeColor="text1"/>
                <w14:textFill>
                  <w14:solidFill>
                    <w14:schemeClr w14:val="tx1"/>
                  </w14:solidFill>
                </w14:textFill>
              </w:rPr>
            </w:pPr>
            <w:r>
              <w:rPr>
                <w:color w:val="000000" w:themeColor="text1"/>
                <w14:textFill>
                  <w14:solidFill>
                    <w14:schemeClr w14:val="tx1"/>
                  </w14:solidFill>
                </w14:textFill>
              </w:rPr>
              <w:t>合成氨废水预处理系统</w:t>
            </w:r>
          </w:p>
        </w:tc>
        <w:tc>
          <w:tcPr>
            <w:tcW w:w="1201" w:type="dxa"/>
            <w:tcMar>
              <w:left w:w="0" w:type="dxa"/>
              <w:right w:w="0" w:type="dxa"/>
            </w:tcMar>
            <w:vAlign w:val="center"/>
          </w:tcPr>
          <w:p w14:paraId="309E48FF">
            <w:pPr>
              <w:pStyle w:val="70"/>
              <w:rPr>
                <w:color w:val="000000" w:themeColor="text1"/>
                <w14:textFill>
                  <w14:solidFill>
                    <w14:schemeClr w14:val="tx1"/>
                  </w14:solidFill>
                </w14:textFill>
              </w:rPr>
            </w:pPr>
            <w:r>
              <w:rPr>
                <w:color w:val="000000" w:themeColor="text1"/>
                <w14:textFill>
                  <w14:solidFill>
                    <w14:schemeClr w14:val="tx1"/>
                  </w14:solidFill>
                </w14:textFill>
              </w:rPr>
              <w:t>高氨氮</w:t>
            </w:r>
          </w:p>
        </w:tc>
        <w:tc>
          <w:tcPr>
            <w:tcW w:w="964" w:type="dxa"/>
            <w:tcMar>
              <w:left w:w="0" w:type="dxa"/>
              <w:right w:w="0" w:type="dxa"/>
            </w:tcMar>
            <w:vAlign w:val="center"/>
          </w:tcPr>
          <w:p w14:paraId="12566793">
            <w:pPr>
              <w:pStyle w:val="70"/>
              <w:rPr>
                <w:color w:val="000000" w:themeColor="text1"/>
                <w14:textFill>
                  <w14:solidFill>
                    <w14:schemeClr w14:val="tx1"/>
                  </w14:solidFill>
                </w14:textFill>
              </w:rPr>
            </w:pPr>
            <w:r>
              <w:rPr>
                <w:color w:val="000000" w:themeColor="text1"/>
                <w14:textFill>
                  <w14:solidFill>
                    <w14:schemeClr w14:val="tx1"/>
                  </w14:solidFill>
                </w14:textFill>
              </w:rPr>
              <w:t>6~9</w:t>
            </w:r>
          </w:p>
        </w:tc>
        <w:tc>
          <w:tcPr>
            <w:tcW w:w="834" w:type="dxa"/>
            <w:tcMar>
              <w:left w:w="0" w:type="dxa"/>
              <w:right w:w="0" w:type="dxa"/>
            </w:tcMar>
            <w:vAlign w:val="center"/>
          </w:tcPr>
          <w:p w14:paraId="12DDB5FB">
            <w:pPr>
              <w:pStyle w:val="70"/>
              <w:rPr>
                <w:color w:val="000000" w:themeColor="text1"/>
                <w14:textFill>
                  <w14:solidFill>
                    <w14:schemeClr w14:val="tx1"/>
                  </w14:solidFill>
                </w14:textFill>
              </w:rPr>
            </w:pPr>
            <w:r>
              <w:rPr>
                <w:color w:val="000000" w:themeColor="text1"/>
                <w14:textFill>
                  <w14:solidFill>
                    <w14:schemeClr w14:val="tx1"/>
                  </w14:solidFill>
                </w14:textFill>
              </w:rPr>
              <w:t>800</w:t>
            </w:r>
          </w:p>
        </w:tc>
        <w:tc>
          <w:tcPr>
            <w:tcW w:w="852" w:type="dxa"/>
            <w:tcMar>
              <w:left w:w="0" w:type="dxa"/>
              <w:right w:w="0" w:type="dxa"/>
            </w:tcMar>
            <w:vAlign w:val="center"/>
          </w:tcPr>
          <w:p w14:paraId="158AE7DE">
            <w:pPr>
              <w:pStyle w:val="70"/>
              <w:rPr>
                <w:color w:val="000000" w:themeColor="text1"/>
                <w14:textFill>
                  <w14:solidFill>
                    <w14:schemeClr w14:val="tx1"/>
                  </w14:solidFill>
                </w14:textFill>
              </w:rPr>
            </w:pPr>
            <w:r>
              <w:rPr>
                <w:color w:val="000000" w:themeColor="text1"/>
                <w14:textFill>
                  <w14:solidFill>
                    <w14:schemeClr w14:val="tx1"/>
                  </w14:solidFill>
                </w14:textFill>
              </w:rPr>
              <w:t>100</w:t>
            </w:r>
          </w:p>
        </w:tc>
        <w:tc>
          <w:tcPr>
            <w:tcW w:w="609" w:type="dxa"/>
            <w:tcMar>
              <w:left w:w="0" w:type="dxa"/>
              <w:right w:w="0" w:type="dxa"/>
            </w:tcMar>
            <w:vAlign w:val="center"/>
          </w:tcPr>
          <w:p w14:paraId="752C6F3F">
            <w:pPr>
              <w:pStyle w:val="70"/>
              <w:rPr>
                <w:color w:val="000000" w:themeColor="text1"/>
                <w14:textFill>
                  <w14:solidFill>
                    <w14:schemeClr w14:val="tx1"/>
                  </w14:solidFill>
                </w14:textFill>
              </w:rPr>
            </w:pPr>
            <w:r>
              <w:rPr>
                <w:color w:val="000000" w:themeColor="text1"/>
                <w14:textFill>
                  <w14:solidFill>
                    <w14:schemeClr w14:val="tx1"/>
                  </w14:solidFill>
                </w14:textFill>
              </w:rPr>
              <w:t>100</w:t>
            </w:r>
          </w:p>
        </w:tc>
        <w:tc>
          <w:tcPr>
            <w:tcW w:w="609" w:type="dxa"/>
            <w:tcMar>
              <w:left w:w="0" w:type="dxa"/>
              <w:right w:w="0" w:type="dxa"/>
            </w:tcMar>
            <w:vAlign w:val="center"/>
          </w:tcPr>
          <w:p w14:paraId="1A87052E">
            <w:pPr>
              <w:pStyle w:val="70"/>
              <w:rPr>
                <w:color w:val="000000" w:themeColor="text1"/>
                <w14:textFill>
                  <w14:solidFill>
                    <w14:schemeClr w14:val="tx1"/>
                  </w14:solidFill>
                </w14:textFill>
              </w:rPr>
            </w:pPr>
            <w:r>
              <w:rPr>
                <w:color w:val="000000" w:themeColor="text1"/>
                <w14:textFill>
                  <w14:solidFill>
                    <w14:schemeClr w14:val="tx1"/>
                  </w14:solidFill>
                </w14:textFill>
              </w:rPr>
              <w:t>300</w:t>
            </w:r>
          </w:p>
        </w:tc>
        <w:tc>
          <w:tcPr>
            <w:tcW w:w="709" w:type="dxa"/>
            <w:tcMar>
              <w:left w:w="0" w:type="dxa"/>
              <w:right w:w="0" w:type="dxa"/>
            </w:tcMar>
            <w:vAlign w:val="center"/>
          </w:tcPr>
          <w:p w14:paraId="17DFD20B">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951" w:type="dxa"/>
            <w:tcMar>
              <w:left w:w="0" w:type="dxa"/>
              <w:right w:w="0" w:type="dxa"/>
            </w:tcMar>
            <w:vAlign w:val="center"/>
          </w:tcPr>
          <w:p w14:paraId="51225D0F">
            <w:pPr>
              <w:pStyle w:val="70"/>
              <w:rPr>
                <w:color w:val="000000" w:themeColor="text1"/>
                <w14:textFill>
                  <w14:solidFill>
                    <w14:schemeClr w14:val="tx1"/>
                  </w14:solidFill>
                </w14:textFill>
              </w:rPr>
            </w:pPr>
            <w:r>
              <w:rPr>
                <w:color w:val="000000" w:themeColor="text1"/>
                <w14:textFill>
                  <w14:solidFill>
                    <w14:schemeClr w14:val="tx1"/>
                  </w14:solidFill>
                </w14:textFill>
              </w:rPr>
              <w:t>10000</w:t>
            </w:r>
          </w:p>
        </w:tc>
      </w:tr>
      <w:tr w14:paraId="61C1D79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2313" w:type="dxa"/>
            <w:tcMar>
              <w:left w:w="0" w:type="dxa"/>
              <w:right w:w="0" w:type="dxa"/>
            </w:tcMar>
            <w:vAlign w:val="center"/>
          </w:tcPr>
          <w:p w14:paraId="7795AF63">
            <w:pPr>
              <w:pStyle w:val="70"/>
              <w:rPr>
                <w:color w:val="000000" w:themeColor="text1"/>
                <w14:textFill>
                  <w14:solidFill>
                    <w14:schemeClr w14:val="tx1"/>
                  </w14:solidFill>
                </w14:textFill>
              </w:rPr>
            </w:pPr>
            <w:r>
              <w:rPr>
                <w:color w:val="000000" w:themeColor="text1"/>
                <w14:textFill>
                  <w14:solidFill>
                    <w14:schemeClr w14:val="tx1"/>
                  </w14:solidFill>
                </w14:textFill>
              </w:rPr>
              <w:t>聚酰胺废水预处理系统</w:t>
            </w:r>
          </w:p>
        </w:tc>
        <w:tc>
          <w:tcPr>
            <w:tcW w:w="1201" w:type="dxa"/>
            <w:tcMar>
              <w:left w:w="0" w:type="dxa"/>
              <w:right w:w="0" w:type="dxa"/>
            </w:tcMar>
            <w:vAlign w:val="center"/>
          </w:tcPr>
          <w:p w14:paraId="2FC95222">
            <w:pPr>
              <w:pStyle w:val="70"/>
              <w:rPr>
                <w:color w:val="000000" w:themeColor="text1"/>
                <w14:textFill>
                  <w14:solidFill>
                    <w14:schemeClr w14:val="tx1"/>
                  </w14:solidFill>
                </w14:textFill>
              </w:rPr>
            </w:pPr>
            <w:r>
              <w:rPr>
                <w:color w:val="000000" w:themeColor="text1"/>
                <w14:textFill>
                  <w14:solidFill>
                    <w14:schemeClr w14:val="tx1"/>
                  </w14:solidFill>
                </w14:textFill>
              </w:rPr>
              <w:t>高浓度</w:t>
            </w:r>
          </w:p>
        </w:tc>
        <w:tc>
          <w:tcPr>
            <w:tcW w:w="964" w:type="dxa"/>
            <w:tcMar>
              <w:left w:w="0" w:type="dxa"/>
              <w:right w:w="0" w:type="dxa"/>
            </w:tcMar>
            <w:vAlign w:val="center"/>
          </w:tcPr>
          <w:p w14:paraId="04DC991B">
            <w:pPr>
              <w:pStyle w:val="70"/>
              <w:rPr>
                <w:color w:val="000000" w:themeColor="text1"/>
                <w14:textFill>
                  <w14:solidFill>
                    <w14:schemeClr w14:val="tx1"/>
                  </w14:solidFill>
                </w14:textFill>
              </w:rPr>
            </w:pPr>
            <w:r>
              <w:rPr>
                <w:color w:val="000000" w:themeColor="text1"/>
                <w14:textFill>
                  <w14:solidFill>
                    <w14:schemeClr w14:val="tx1"/>
                  </w14:solidFill>
                </w14:textFill>
              </w:rPr>
              <w:t>6~9</w:t>
            </w:r>
          </w:p>
        </w:tc>
        <w:tc>
          <w:tcPr>
            <w:tcW w:w="834" w:type="dxa"/>
            <w:tcMar>
              <w:left w:w="0" w:type="dxa"/>
              <w:right w:w="0" w:type="dxa"/>
            </w:tcMar>
            <w:vAlign w:val="center"/>
          </w:tcPr>
          <w:p w14:paraId="37A2F652">
            <w:pPr>
              <w:pStyle w:val="70"/>
              <w:rPr>
                <w:color w:val="000000" w:themeColor="text1"/>
                <w14:textFill>
                  <w14:solidFill>
                    <w14:schemeClr w14:val="tx1"/>
                  </w14:solidFill>
                </w14:textFill>
              </w:rPr>
            </w:pPr>
            <w:r>
              <w:rPr>
                <w:color w:val="000000" w:themeColor="text1"/>
                <w14:textFill>
                  <w14:solidFill>
                    <w14:schemeClr w14:val="tx1"/>
                  </w14:solidFill>
                </w14:textFill>
              </w:rPr>
              <w:t>12000</w:t>
            </w:r>
          </w:p>
        </w:tc>
        <w:tc>
          <w:tcPr>
            <w:tcW w:w="852" w:type="dxa"/>
            <w:tcMar>
              <w:left w:w="0" w:type="dxa"/>
              <w:right w:w="0" w:type="dxa"/>
            </w:tcMar>
            <w:vAlign w:val="center"/>
          </w:tcPr>
          <w:p w14:paraId="6BCE8E09">
            <w:pPr>
              <w:pStyle w:val="70"/>
              <w:rPr>
                <w:color w:val="000000" w:themeColor="text1"/>
                <w14:textFill>
                  <w14:solidFill>
                    <w14:schemeClr w14:val="tx1"/>
                  </w14:solidFill>
                </w14:textFill>
              </w:rPr>
            </w:pPr>
            <w:r>
              <w:rPr>
                <w:color w:val="000000" w:themeColor="text1"/>
                <w14:textFill>
                  <w14:solidFill>
                    <w14:schemeClr w14:val="tx1"/>
                  </w14:solidFill>
                </w14:textFill>
              </w:rPr>
              <w:t>3000</w:t>
            </w:r>
          </w:p>
        </w:tc>
        <w:tc>
          <w:tcPr>
            <w:tcW w:w="609" w:type="dxa"/>
            <w:tcMar>
              <w:left w:w="0" w:type="dxa"/>
              <w:right w:w="0" w:type="dxa"/>
            </w:tcMar>
            <w:vAlign w:val="center"/>
          </w:tcPr>
          <w:p w14:paraId="36DAE7EE">
            <w:pPr>
              <w:pStyle w:val="70"/>
              <w:rPr>
                <w:color w:val="000000" w:themeColor="text1"/>
                <w14:textFill>
                  <w14:solidFill>
                    <w14:schemeClr w14:val="tx1"/>
                  </w14:solidFill>
                </w14:textFill>
              </w:rPr>
            </w:pPr>
            <w:r>
              <w:rPr>
                <w:color w:val="000000" w:themeColor="text1"/>
                <w14:textFill>
                  <w14:solidFill>
                    <w14:schemeClr w14:val="tx1"/>
                  </w14:solidFill>
                </w14:textFill>
              </w:rPr>
              <w:t>200</w:t>
            </w:r>
          </w:p>
        </w:tc>
        <w:tc>
          <w:tcPr>
            <w:tcW w:w="609" w:type="dxa"/>
            <w:tcMar>
              <w:left w:w="0" w:type="dxa"/>
              <w:right w:w="0" w:type="dxa"/>
            </w:tcMar>
            <w:vAlign w:val="center"/>
          </w:tcPr>
          <w:p w14:paraId="746CF381">
            <w:pPr>
              <w:pStyle w:val="70"/>
              <w:rPr>
                <w:color w:val="000000" w:themeColor="text1"/>
                <w14:textFill>
                  <w14:solidFill>
                    <w14:schemeClr w14:val="tx1"/>
                  </w14:solidFill>
                </w14:textFill>
              </w:rPr>
            </w:pPr>
            <w:r>
              <w:rPr>
                <w:color w:val="000000" w:themeColor="text1"/>
                <w14:textFill>
                  <w14:solidFill>
                    <w14:schemeClr w14:val="tx1"/>
                  </w14:solidFill>
                </w14:textFill>
              </w:rPr>
              <w:t>100</w:t>
            </w:r>
          </w:p>
        </w:tc>
        <w:tc>
          <w:tcPr>
            <w:tcW w:w="709" w:type="dxa"/>
            <w:tcMar>
              <w:left w:w="0" w:type="dxa"/>
              <w:right w:w="0" w:type="dxa"/>
            </w:tcMar>
            <w:vAlign w:val="center"/>
          </w:tcPr>
          <w:p w14:paraId="6C5A7172">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951" w:type="dxa"/>
            <w:tcMar>
              <w:left w:w="0" w:type="dxa"/>
              <w:right w:w="0" w:type="dxa"/>
            </w:tcMar>
            <w:vAlign w:val="center"/>
          </w:tcPr>
          <w:p w14:paraId="24D38A2C">
            <w:pPr>
              <w:pStyle w:val="70"/>
              <w:rPr>
                <w:color w:val="000000" w:themeColor="text1"/>
                <w14:textFill>
                  <w14:solidFill>
                    <w14:schemeClr w14:val="tx1"/>
                  </w14:solidFill>
                </w14:textFill>
              </w:rPr>
            </w:pPr>
            <w:r>
              <w:rPr>
                <w:color w:val="000000" w:themeColor="text1"/>
                <w14:textFill>
                  <w14:solidFill>
                    <w14:schemeClr w14:val="tx1"/>
                  </w14:solidFill>
                </w14:textFill>
              </w:rPr>
              <w:t>10000</w:t>
            </w:r>
          </w:p>
        </w:tc>
      </w:tr>
      <w:tr w14:paraId="1A9A445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2313" w:type="dxa"/>
            <w:tcMar>
              <w:left w:w="0" w:type="dxa"/>
              <w:right w:w="0" w:type="dxa"/>
            </w:tcMar>
            <w:vAlign w:val="center"/>
          </w:tcPr>
          <w:p w14:paraId="204A36E1">
            <w:pPr>
              <w:pStyle w:val="70"/>
              <w:rPr>
                <w:color w:val="000000" w:themeColor="text1"/>
                <w14:textFill>
                  <w14:solidFill>
                    <w14:schemeClr w14:val="tx1"/>
                  </w14:solidFill>
                </w14:textFill>
              </w:rPr>
            </w:pPr>
            <w:r>
              <w:rPr>
                <w:color w:val="000000" w:themeColor="text1"/>
                <w14:textFill>
                  <w14:solidFill>
                    <w14:schemeClr w14:val="tx1"/>
                  </w14:solidFill>
                </w14:textFill>
              </w:rPr>
              <w:t>氨肟化废水及双氧水废水预处理系统</w:t>
            </w:r>
          </w:p>
        </w:tc>
        <w:tc>
          <w:tcPr>
            <w:tcW w:w="1201" w:type="dxa"/>
            <w:tcMar>
              <w:left w:w="0" w:type="dxa"/>
              <w:right w:w="0" w:type="dxa"/>
            </w:tcMar>
            <w:vAlign w:val="center"/>
          </w:tcPr>
          <w:p w14:paraId="740C25F1">
            <w:pPr>
              <w:pStyle w:val="70"/>
              <w:rPr>
                <w:color w:val="000000" w:themeColor="text1"/>
                <w14:textFill>
                  <w14:solidFill>
                    <w14:schemeClr w14:val="tx1"/>
                  </w14:solidFill>
                </w14:textFill>
              </w:rPr>
            </w:pPr>
            <w:r>
              <w:rPr>
                <w:color w:val="000000" w:themeColor="text1"/>
                <w14:textFill>
                  <w14:solidFill>
                    <w14:schemeClr w14:val="tx1"/>
                  </w14:solidFill>
                </w14:textFill>
              </w:rPr>
              <w:t>高浓度</w:t>
            </w:r>
          </w:p>
        </w:tc>
        <w:tc>
          <w:tcPr>
            <w:tcW w:w="964" w:type="dxa"/>
            <w:tcMar>
              <w:left w:w="0" w:type="dxa"/>
              <w:right w:w="0" w:type="dxa"/>
            </w:tcMar>
            <w:vAlign w:val="center"/>
          </w:tcPr>
          <w:p w14:paraId="67714FDD">
            <w:pPr>
              <w:pStyle w:val="70"/>
              <w:rPr>
                <w:color w:val="000000" w:themeColor="text1"/>
                <w14:textFill>
                  <w14:solidFill>
                    <w14:schemeClr w14:val="tx1"/>
                  </w14:solidFill>
                </w14:textFill>
              </w:rPr>
            </w:pPr>
            <w:r>
              <w:rPr>
                <w:color w:val="000000" w:themeColor="text1"/>
                <w14:textFill>
                  <w14:solidFill>
                    <w14:schemeClr w14:val="tx1"/>
                  </w14:solidFill>
                </w14:textFill>
              </w:rPr>
              <w:t>4~10</w:t>
            </w:r>
          </w:p>
        </w:tc>
        <w:tc>
          <w:tcPr>
            <w:tcW w:w="834" w:type="dxa"/>
            <w:tcMar>
              <w:left w:w="0" w:type="dxa"/>
              <w:right w:w="0" w:type="dxa"/>
            </w:tcMar>
            <w:vAlign w:val="center"/>
          </w:tcPr>
          <w:p w14:paraId="71030E49">
            <w:pPr>
              <w:pStyle w:val="70"/>
              <w:rPr>
                <w:color w:val="000000" w:themeColor="text1"/>
                <w14:textFill>
                  <w14:solidFill>
                    <w14:schemeClr w14:val="tx1"/>
                  </w14:solidFill>
                </w14:textFill>
              </w:rPr>
            </w:pPr>
            <w:r>
              <w:rPr>
                <w:color w:val="000000" w:themeColor="text1"/>
                <w14:textFill>
                  <w14:solidFill>
                    <w14:schemeClr w14:val="tx1"/>
                  </w14:solidFill>
                </w14:textFill>
              </w:rPr>
              <w:t>4000</w:t>
            </w:r>
          </w:p>
        </w:tc>
        <w:tc>
          <w:tcPr>
            <w:tcW w:w="852" w:type="dxa"/>
            <w:tcMar>
              <w:left w:w="0" w:type="dxa"/>
              <w:right w:w="0" w:type="dxa"/>
            </w:tcMar>
            <w:vAlign w:val="center"/>
          </w:tcPr>
          <w:p w14:paraId="678F304B">
            <w:pPr>
              <w:pStyle w:val="70"/>
              <w:rPr>
                <w:color w:val="000000" w:themeColor="text1"/>
                <w14:textFill>
                  <w14:solidFill>
                    <w14:schemeClr w14:val="tx1"/>
                  </w14:solidFill>
                </w14:textFill>
              </w:rPr>
            </w:pPr>
            <w:r>
              <w:rPr>
                <w:color w:val="000000" w:themeColor="text1"/>
                <w14:textFill>
                  <w14:solidFill>
                    <w14:schemeClr w14:val="tx1"/>
                  </w14:solidFill>
                </w14:textFill>
              </w:rPr>
              <w:t>600</w:t>
            </w:r>
          </w:p>
        </w:tc>
        <w:tc>
          <w:tcPr>
            <w:tcW w:w="609" w:type="dxa"/>
            <w:tcMar>
              <w:left w:w="0" w:type="dxa"/>
              <w:right w:w="0" w:type="dxa"/>
            </w:tcMar>
            <w:vAlign w:val="center"/>
          </w:tcPr>
          <w:p w14:paraId="1F0F4632">
            <w:pPr>
              <w:pStyle w:val="70"/>
              <w:rPr>
                <w:color w:val="000000" w:themeColor="text1"/>
                <w14:textFill>
                  <w14:solidFill>
                    <w14:schemeClr w14:val="tx1"/>
                  </w14:solidFill>
                </w14:textFill>
              </w:rPr>
            </w:pPr>
            <w:r>
              <w:rPr>
                <w:color w:val="000000" w:themeColor="text1"/>
                <w14:textFill>
                  <w14:solidFill>
                    <w14:schemeClr w14:val="tx1"/>
                  </w14:solidFill>
                </w14:textFill>
              </w:rPr>
              <w:t>200</w:t>
            </w:r>
          </w:p>
        </w:tc>
        <w:tc>
          <w:tcPr>
            <w:tcW w:w="609" w:type="dxa"/>
            <w:tcMar>
              <w:left w:w="0" w:type="dxa"/>
              <w:right w:w="0" w:type="dxa"/>
            </w:tcMar>
            <w:vAlign w:val="center"/>
          </w:tcPr>
          <w:p w14:paraId="259C8A87">
            <w:pPr>
              <w:pStyle w:val="70"/>
              <w:rPr>
                <w:color w:val="000000" w:themeColor="text1"/>
                <w14:textFill>
                  <w14:solidFill>
                    <w14:schemeClr w14:val="tx1"/>
                  </w14:solidFill>
                </w14:textFill>
              </w:rPr>
            </w:pPr>
            <w:r>
              <w:rPr>
                <w:color w:val="000000" w:themeColor="text1"/>
                <w14:textFill>
                  <w14:solidFill>
                    <w14:schemeClr w14:val="tx1"/>
                  </w14:solidFill>
                </w14:textFill>
              </w:rPr>
              <w:t>100</w:t>
            </w:r>
          </w:p>
        </w:tc>
        <w:tc>
          <w:tcPr>
            <w:tcW w:w="709" w:type="dxa"/>
            <w:tcMar>
              <w:left w:w="0" w:type="dxa"/>
              <w:right w:w="0" w:type="dxa"/>
            </w:tcMar>
            <w:vAlign w:val="center"/>
          </w:tcPr>
          <w:p w14:paraId="147D252B">
            <w:pPr>
              <w:pStyle w:val="70"/>
              <w:rPr>
                <w:color w:val="000000" w:themeColor="text1"/>
                <w14:textFill>
                  <w14:solidFill>
                    <w14:schemeClr w14:val="tx1"/>
                  </w14:solidFill>
                </w14:textFill>
              </w:rPr>
            </w:pPr>
            <w:r>
              <w:rPr>
                <w:color w:val="000000" w:themeColor="text1"/>
                <w14:textFill>
                  <w14:solidFill>
                    <w14:schemeClr w14:val="tx1"/>
                  </w14:solidFill>
                </w14:textFill>
              </w:rPr>
              <w:t>350</w:t>
            </w:r>
          </w:p>
        </w:tc>
        <w:tc>
          <w:tcPr>
            <w:tcW w:w="951" w:type="dxa"/>
            <w:tcMar>
              <w:left w:w="0" w:type="dxa"/>
              <w:right w:w="0" w:type="dxa"/>
            </w:tcMar>
            <w:vAlign w:val="center"/>
          </w:tcPr>
          <w:p w14:paraId="40F1732F">
            <w:pPr>
              <w:pStyle w:val="70"/>
              <w:rPr>
                <w:color w:val="000000" w:themeColor="text1"/>
                <w14:textFill>
                  <w14:solidFill>
                    <w14:schemeClr w14:val="tx1"/>
                  </w14:solidFill>
                </w14:textFill>
              </w:rPr>
            </w:pPr>
            <w:r>
              <w:rPr>
                <w:color w:val="000000" w:themeColor="text1"/>
                <w14:textFill>
                  <w14:solidFill>
                    <w14:schemeClr w14:val="tx1"/>
                  </w14:solidFill>
                </w14:textFill>
              </w:rPr>
              <w:t>10000</w:t>
            </w:r>
          </w:p>
        </w:tc>
      </w:tr>
      <w:tr w14:paraId="0B5EB89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2313" w:type="dxa"/>
            <w:tcMar>
              <w:left w:w="0" w:type="dxa"/>
              <w:right w:w="0" w:type="dxa"/>
            </w:tcMar>
            <w:vAlign w:val="center"/>
          </w:tcPr>
          <w:p w14:paraId="4270DCB4">
            <w:pPr>
              <w:pStyle w:val="70"/>
              <w:rPr>
                <w:color w:val="000000" w:themeColor="text1"/>
                <w14:textFill>
                  <w14:solidFill>
                    <w14:schemeClr w14:val="tx1"/>
                  </w14:solidFill>
                </w14:textFill>
              </w:rPr>
            </w:pPr>
            <w:r>
              <w:rPr>
                <w:color w:val="000000" w:themeColor="text1"/>
                <w14:textFill>
                  <w14:solidFill>
                    <w14:schemeClr w14:val="tx1"/>
                  </w14:solidFill>
                </w14:textFill>
              </w:rPr>
              <w:t>清净废水预处理系统</w:t>
            </w:r>
          </w:p>
        </w:tc>
        <w:tc>
          <w:tcPr>
            <w:tcW w:w="1201" w:type="dxa"/>
            <w:tcMar>
              <w:left w:w="0" w:type="dxa"/>
              <w:right w:w="0" w:type="dxa"/>
            </w:tcMar>
            <w:vAlign w:val="center"/>
          </w:tcPr>
          <w:p w14:paraId="11890342">
            <w:pPr>
              <w:pStyle w:val="70"/>
              <w:rPr>
                <w:color w:val="000000" w:themeColor="text1"/>
                <w14:textFill>
                  <w14:solidFill>
                    <w14:schemeClr w14:val="tx1"/>
                  </w14:solidFill>
                </w14:textFill>
              </w:rPr>
            </w:pPr>
            <w:r>
              <w:rPr>
                <w:color w:val="000000" w:themeColor="text1"/>
                <w14:textFill>
                  <w14:solidFill>
                    <w14:schemeClr w14:val="tx1"/>
                  </w14:solidFill>
                </w14:textFill>
              </w:rPr>
              <w:t>低浓度</w:t>
            </w:r>
          </w:p>
        </w:tc>
        <w:tc>
          <w:tcPr>
            <w:tcW w:w="964" w:type="dxa"/>
            <w:tcMar>
              <w:left w:w="0" w:type="dxa"/>
              <w:right w:w="0" w:type="dxa"/>
            </w:tcMar>
            <w:vAlign w:val="center"/>
          </w:tcPr>
          <w:p w14:paraId="26462A47">
            <w:pPr>
              <w:pStyle w:val="70"/>
              <w:rPr>
                <w:color w:val="000000" w:themeColor="text1"/>
                <w14:textFill>
                  <w14:solidFill>
                    <w14:schemeClr w14:val="tx1"/>
                  </w14:solidFill>
                </w14:textFill>
              </w:rPr>
            </w:pPr>
            <w:r>
              <w:rPr>
                <w:color w:val="000000" w:themeColor="text1"/>
                <w14:textFill>
                  <w14:solidFill>
                    <w14:schemeClr w14:val="tx1"/>
                  </w14:solidFill>
                </w14:textFill>
              </w:rPr>
              <w:t>3~9</w:t>
            </w:r>
          </w:p>
        </w:tc>
        <w:tc>
          <w:tcPr>
            <w:tcW w:w="834" w:type="dxa"/>
            <w:tcMar>
              <w:left w:w="0" w:type="dxa"/>
              <w:right w:w="0" w:type="dxa"/>
            </w:tcMar>
            <w:vAlign w:val="center"/>
          </w:tcPr>
          <w:p w14:paraId="59B26E04">
            <w:pPr>
              <w:pStyle w:val="70"/>
              <w:rPr>
                <w:color w:val="000000" w:themeColor="text1"/>
                <w14:textFill>
                  <w14:solidFill>
                    <w14:schemeClr w14:val="tx1"/>
                  </w14:solidFill>
                </w14:textFill>
              </w:rPr>
            </w:pPr>
            <w:r>
              <w:rPr>
                <w:color w:val="000000" w:themeColor="text1"/>
                <w14:textFill>
                  <w14:solidFill>
                    <w14:schemeClr w14:val="tx1"/>
                  </w14:solidFill>
                </w14:textFill>
              </w:rPr>
              <w:t>100</w:t>
            </w:r>
          </w:p>
        </w:tc>
        <w:tc>
          <w:tcPr>
            <w:tcW w:w="852" w:type="dxa"/>
            <w:tcMar>
              <w:left w:w="0" w:type="dxa"/>
              <w:right w:w="0" w:type="dxa"/>
            </w:tcMar>
            <w:vAlign w:val="center"/>
          </w:tcPr>
          <w:p w14:paraId="27F6EF8A">
            <w:pPr>
              <w:pStyle w:val="70"/>
              <w:rPr>
                <w:color w:val="000000" w:themeColor="text1"/>
                <w14:textFill>
                  <w14:solidFill>
                    <w14:schemeClr w14:val="tx1"/>
                  </w14:solidFill>
                </w14:textFill>
              </w:rPr>
            </w:pPr>
            <w:r>
              <w:rPr>
                <w:color w:val="000000" w:themeColor="text1"/>
                <w14:textFill>
                  <w14:solidFill>
                    <w14:schemeClr w14:val="tx1"/>
                  </w14:solidFill>
                </w14:textFill>
              </w:rPr>
              <w:t>20</w:t>
            </w:r>
          </w:p>
        </w:tc>
        <w:tc>
          <w:tcPr>
            <w:tcW w:w="609" w:type="dxa"/>
            <w:tcMar>
              <w:left w:w="0" w:type="dxa"/>
              <w:right w:w="0" w:type="dxa"/>
            </w:tcMar>
            <w:vAlign w:val="center"/>
          </w:tcPr>
          <w:p w14:paraId="52A6489B">
            <w:pPr>
              <w:pStyle w:val="70"/>
              <w:rPr>
                <w:color w:val="000000" w:themeColor="text1"/>
                <w14:textFill>
                  <w14:solidFill>
                    <w14:schemeClr w14:val="tx1"/>
                  </w14:solidFill>
                </w14:textFill>
              </w:rPr>
            </w:pPr>
            <w:r>
              <w:rPr>
                <w:color w:val="000000" w:themeColor="text1"/>
                <w14:textFill>
                  <w14:solidFill>
                    <w14:schemeClr w14:val="tx1"/>
                  </w14:solidFill>
                </w14:textFill>
              </w:rPr>
              <w:t>70</w:t>
            </w:r>
          </w:p>
        </w:tc>
        <w:tc>
          <w:tcPr>
            <w:tcW w:w="609" w:type="dxa"/>
            <w:tcMar>
              <w:left w:w="0" w:type="dxa"/>
              <w:right w:w="0" w:type="dxa"/>
            </w:tcMar>
            <w:vAlign w:val="center"/>
          </w:tcPr>
          <w:p w14:paraId="17FF6A2F">
            <w:pPr>
              <w:pStyle w:val="70"/>
              <w:rPr>
                <w:color w:val="000000" w:themeColor="text1"/>
                <w14:textFill>
                  <w14:solidFill>
                    <w14:schemeClr w14:val="tx1"/>
                  </w14:solidFill>
                </w14:textFill>
              </w:rPr>
            </w:pPr>
            <w:r>
              <w:rPr>
                <w:color w:val="000000" w:themeColor="text1"/>
                <w14:textFill>
                  <w14:solidFill>
                    <w14:schemeClr w14:val="tx1"/>
                  </w14:solidFill>
                </w14:textFill>
              </w:rPr>
              <w:t>8</w:t>
            </w:r>
          </w:p>
        </w:tc>
        <w:tc>
          <w:tcPr>
            <w:tcW w:w="709" w:type="dxa"/>
            <w:tcMar>
              <w:left w:w="0" w:type="dxa"/>
              <w:right w:w="0" w:type="dxa"/>
            </w:tcMar>
            <w:vAlign w:val="center"/>
          </w:tcPr>
          <w:p w14:paraId="0DEAB54B">
            <w:pPr>
              <w:pStyle w:val="70"/>
              <w:rPr>
                <w:color w:val="000000" w:themeColor="text1"/>
                <w14:textFill>
                  <w14:solidFill>
                    <w14:schemeClr w14:val="tx1"/>
                  </w14:solidFill>
                </w14:textFill>
              </w:rPr>
            </w:pPr>
            <w:r>
              <w:rPr>
                <w:color w:val="000000" w:themeColor="text1"/>
                <w14:textFill>
                  <w14:solidFill>
                    <w14:schemeClr w14:val="tx1"/>
                  </w14:solidFill>
                </w14:textFill>
              </w:rPr>
              <w:t>5</w:t>
            </w:r>
          </w:p>
        </w:tc>
        <w:tc>
          <w:tcPr>
            <w:tcW w:w="951" w:type="dxa"/>
            <w:tcMar>
              <w:left w:w="0" w:type="dxa"/>
              <w:right w:w="0" w:type="dxa"/>
            </w:tcMar>
            <w:vAlign w:val="center"/>
          </w:tcPr>
          <w:p w14:paraId="3C24DECB">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r>
      <w:tr w14:paraId="0689C59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2313" w:type="dxa"/>
            <w:tcMar>
              <w:left w:w="0" w:type="dxa"/>
              <w:right w:w="0" w:type="dxa"/>
            </w:tcMar>
            <w:vAlign w:val="center"/>
          </w:tcPr>
          <w:p w14:paraId="04F459F2">
            <w:pPr>
              <w:pStyle w:val="70"/>
              <w:rPr>
                <w:color w:val="000000" w:themeColor="text1"/>
                <w14:textFill>
                  <w14:solidFill>
                    <w14:schemeClr w14:val="tx1"/>
                  </w14:solidFill>
                </w14:textFill>
              </w:rPr>
            </w:pPr>
            <w:r>
              <w:rPr>
                <w:color w:val="000000" w:themeColor="text1"/>
                <w14:textFill>
                  <w14:solidFill>
                    <w14:schemeClr w14:val="tx1"/>
                  </w14:solidFill>
                </w14:textFill>
              </w:rPr>
              <w:t>综合废水处理系统</w:t>
            </w:r>
          </w:p>
        </w:tc>
        <w:tc>
          <w:tcPr>
            <w:tcW w:w="1201" w:type="dxa"/>
            <w:tcMar>
              <w:left w:w="0" w:type="dxa"/>
              <w:right w:w="0" w:type="dxa"/>
            </w:tcMar>
            <w:vAlign w:val="center"/>
          </w:tcPr>
          <w:p w14:paraId="3DDD486E">
            <w:pPr>
              <w:pStyle w:val="70"/>
              <w:rPr>
                <w:color w:val="000000" w:themeColor="text1"/>
                <w14:textFill>
                  <w14:solidFill>
                    <w14:schemeClr w14:val="tx1"/>
                  </w14:solidFill>
                </w14:textFill>
              </w:rPr>
            </w:pPr>
            <w:r>
              <w:rPr>
                <w:color w:val="000000" w:themeColor="text1"/>
                <w14:textFill>
                  <w14:solidFill>
                    <w14:schemeClr w14:val="tx1"/>
                  </w14:solidFill>
                </w14:textFill>
              </w:rPr>
              <w:t>低浓度</w:t>
            </w:r>
          </w:p>
        </w:tc>
        <w:tc>
          <w:tcPr>
            <w:tcW w:w="964" w:type="dxa"/>
            <w:tcMar>
              <w:left w:w="0" w:type="dxa"/>
              <w:right w:w="0" w:type="dxa"/>
            </w:tcMar>
            <w:vAlign w:val="center"/>
          </w:tcPr>
          <w:p w14:paraId="07BF8D70">
            <w:pPr>
              <w:pStyle w:val="70"/>
              <w:rPr>
                <w:color w:val="000000" w:themeColor="text1"/>
                <w14:textFill>
                  <w14:solidFill>
                    <w14:schemeClr w14:val="tx1"/>
                  </w14:solidFill>
                </w14:textFill>
              </w:rPr>
            </w:pPr>
            <w:r>
              <w:rPr>
                <w:color w:val="000000" w:themeColor="text1"/>
                <w14:textFill>
                  <w14:solidFill>
                    <w14:schemeClr w14:val="tx1"/>
                  </w14:solidFill>
                </w14:textFill>
              </w:rPr>
              <w:t>6~9</w:t>
            </w:r>
          </w:p>
        </w:tc>
        <w:tc>
          <w:tcPr>
            <w:tcW w:w="834" w:type="dxa"/>
            <w:tcMar>
              <w:left w:w="0" w:type="dxa"/>
              <w:right w:w="0" w:type="dxa"/>
            </w:tcMar>
            <w:vAlign w:val="center"/>
          </w:tcPr>
          <w:p w14:paraId="5C1247A4">
            <w:pPr>
              <w:pStyle w:val="70"/>
              <w:rPr>
                <w:color w:val="000000" w:themeColor="text1"/>
                <w14:textFill>
                  <w14:solidFill>
                    <w14:schemeClr w14:val="tx1"/>
                  </w14:solidFill>
                </w14:textFill>
              </w:rPr>
            </w:pPr>
            <w:r>
              <w:rPr>
                <w:color w:val="000000" w:themeColor="text1"/>
                <w14:textFill>
                  <w14:solidFill>
                    <w14:schemeClr w14:val="tx1"/>
                  </w14:solidFill>
                </w14:textFill>
              </w:rPr>
              <w:t>2000</w:t>
            </w:r>
          </w:p>
        </w:tc>
        <w:tc>
          <w:tcPr>
            <w:tcW w:w="852" w:type="dxa"/>
            <w:tcMar>
              <w:left w:w="0" w:type="dxa"/>
              <w:right w:w="0" w:type="dxa"/>
            </w:tcMar>
            <w:vAlign w:val="center"/>
          </w:tcPr>
          <w:p w14:paraId="60FEEBD5">
            <w:pPr>
              <w:pStyle w:val="70"/>
              <w:rPr>
                <w:color w:val="000000" w:themeColor="text1"/>
                <w14:textFill>
                  <w14:solidFill>
                    <w14:schemeClr w14:val="tx1"/>
                  </w14:solidFill>
                </w14:textFill>
              </w:rPr>
            </w:pPr>
            <w:r>
              <w:rPr>
                <w:color w:val="000000" w:themeColor="text1"/>
                <w14:textFill>
                  <w14:solidFill>
                    <w14:schemeClr w14:val="tx1"/>
                  </w14:solidFill>
                </w14:textFill>
              </w:rPr>
              <w:t>600</w:t>
            </w:r>
          </w:p>
        </w:tc>
        <w:tc>
          <w:tcPr>
            <w:tcW w:w="609" w:type="dxa"/>
            <w:tcMar>
              <w:left w:w="0" w:type="dxa"/>
              <w:right w:w="0" w:type="dxa"/>
            </w:tcMar>
            <w:vAlign w:val="center"/>
          </w:tcPr>
          <w:p w14:paraId="18FB1E88">
            <w:pPr>
              <w:pStyle w:val="70"/>
              <w:rPr>
                <w:color w:val="000000" w:themeColor="text1"/>
                <w14:textFill>
                  <w14:solidFill>
                    <w14:schemeClr w14:val="tx1"/>
                  </w14:solidFill>
                </w14:textFill>
              </w:rPr>
            </w:pPr>
            <w:r>
              <w:rPr>
                <w:color w:val="000000" w:themeColor="text1"/>
                <w14:textFill>
                  <w14:solidFill>
                    <w14:schemeClr w14:val="tx1"/>
                  </w14:solidFill>
                </w14:textFill>
              </w:rPr>
              <w:t>400</w:t>
            </w:r>
          </w:p>
        </w:tc>
        <w:tc>
          <w:tcPr>
            <w:tcW w:w="609" w:type="dxa"/>
            <w:tcMar>
              <w:left w:w="0" w:type="dxa"/>
              <w:right w:w="0" w:type="dxa"/>
            </w:tcMar>
            <w:vAlign w:val="center"/>
          </w:tcPr>
          <w:p w14:paraId="4DEBB647">
            <w:pPr>
              <w:pStyle w:val="70"/>
              <w:rPr>
                <w:color w:val="000000" w:themeColor="text1"/>
                <w14:textFill>
                  <w14:solidFill>
                    <w14:schemeClr w14:val="tx1"/>
                  </w14:solidFill>
                </w14:textFill>
              </w:rPr>
            </w:pPr>
            <w:r>
              <w:rPr>
                <w:color w:val="000000" w:themeColor="text1"/>
                <w14:textFill>
                  <w14:solidFill>
                    <w14:schemeClr w14:val="tx1"/>
                  </w14:solidFill>
                </w14:textFill>
              </w:rPr>
              <w:t>160</w:t>
            </w:r>
          </w:p>
        </w:tc>
        <w:tc>
          <w:tcPr>
            <w:tcW w:w="709" w:type="dxa"/>
            <w:tcMar>
              <w:left w:w="0" w:type="dxa"/>
              <w:right w:w="0" w:type="dxa"/>
            </w:tcMar>
            <w:vAlign w:val="center"/>
          </w:tcPr>
          <w:p w14:paraId="42AF7D47">
            <w:pPr>
              <w:pStyle w:val="70"/>
              <w:rPr>
                <w:color w:val="000000" w:themeColor="text1"/>
                <w14:textFill>
                  <w14:solidFill>
                    <w14:schemeClr w14:val="tx1"/>
                  </w14:solidFill>
                </w14:textFill>
              </w:rPr>
            </w:pPr>
            <w:r>
              <w:rPr>
                <w:color w:val="000000" w:themeColor="text1"/>
                <w14:textFill>
                  <w14:solidFill>
                    <w14:schemeClr w14:val="tx1"/>
                  </w14:solidFill>
                </w14:textFill>
              </w:rPr>
              <w:t>70</w:t>
            </w:r>
          </w:p>
        </w:tc>
        <w:tc>
          <w:tcPr>
            <w:tcW w:w="951" w:type="dxa"/>
            <w:tcMar>
              <w:left w:w="0" w:type="dxa"/>
              <w:right w:w="0" w:type="dxa"/>
            </w:tcMar>
            <w:vAlign w:val="center"/>
          </w:tcPr>
          <w:p w14:paraId="63E9897D">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r>
      <w:tr w14:paraId="5F15902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2313" w:type="dxa"/>
            <w:tcMar>
              <w:left w:w="0" w:type="dxa"/>
              <w:right w:w="0" w:type="dxa"/>
            </w:tcMar>
            <w:vAlign w:val="center"/>
          </w:tcPr>
          <w:p w14:paraId="2C0B81B3">
            <w:pPr>
              <w:pStyle w:val="70"/>
              <w:rPr>
                <w:color w:val="000000" w:themeColor="text1"/>
                <w14:textFill>
                  <w14:solidFill>
                    <w14:schemeClr w14:val="tx1"/>
                  </w14:solidFill>
                </w14:textFill>
              </w:rPr>
            </w:pPr>
            <w:r>
              <w:rPr>
                <w:color w:val="000000" w:themeColor="text1"/>
                <w14:textFill>
                  <w14:solidFill>
                    <w14:schemeClr w14:val="tx1"/>
                  </w14:solidFill>
                </w14:textFill>
              </w:rPr>
              <w:t>回用处理系统</w:t>
            </w:r>
          </w:p>
        </w:tc>
        <w:tc>
          <w:tcPr>
            <w:tcW w:w="1201" w:type="dxa"/>
            <w:tcMar>
              <w:left w:w="0" w:type="dxa"/>
              <w:right w:w="0" w:type="dxa"/>
            </w:tcMar>
            <w:vAlign w:val="center"/>
          </w:tcPr>
          <w:p w14:paraId="32F469CE">
            <w:pPr>
              <w:pStyle w:val="70"/>
              <w:rPr>
                <w:color w:val="000000" w:themeColor="text1"/>
                <w14:textFill>
                  <w14:solidFill>
                    <w14:schemeClr w14:val="tx1"/>
                  </w14:solidFill>
                </w14:textFill>
              </w:rPr>
            </w:pPr>
            <w:r>
              <w:rPr>
                <w:color w:val="000000" w:themeColor="text1"/>
                <w14:textFill>
                  <w14:solidFill>
                    <w14:schemeClr w14:val="tx1"/>
                  </w14:solidFill>
                </w14:textFill>
              </w:rPr>
              <w:t>含盐</w:t>
            </w:r>
          </w:p>
        </w:tc>
        <w:tc>
          <w:tcPr>
            <w:tcW w:w="964" w:type="dxa"/>
            <w:tcMar>
              <w:left w:w="0" w:type="dxa"/>
              <w:right w:w="0" w:type="dxa"/>
            </w:tcMar>
            <w:vAlign w:val="center"/>
          </w:tcPr>
          <w:p w14:paraId="534B3925">
            <w:pPr>
              <w:pStyle w:val="70"/>
              <w:rPr>
                <w:color w:val="000000" w:themeColor="text1"/>
                <w14:textFill>
                  <w14:solidFill>
                    <w14:schemeClr w14:val="tx1"/>
                  </w14:solidFill>
                </w14:textFill>
              </w:rPr>
            </w:pPr>
            <w:r>
              <w:rPr>
                <w:color w:val="000000" w:themeColor="text1"/>
                <w14:textFill>
                  <w14:solidFill>
                    <w14:schemeClr w14:val="tx1"/>
                  </w14:solidFill>
                </w14:textFill>
              </w:rPr>
              <w:t>6~9</w:t>
            </w:r>
          </w:p>
        </w:tc>
        <w:tc>
          <w:tcPr>
            <w:tcW w:w="834" w:type="dxa"/>
            <w:tcMar>
              <w:left w:w="0" w:type="dxa"/>
              <w:right w:w="0" w:type="dxa"/>
            </w:tcMar>
            <w:vAlign w:val="center"/>
          </w:tcPr>
          <w:p w14:paraId="76269C8F">
            <w:pPr>
              <w:pStyle w:val="70"/>
              <w:rPr>
                <w:color w:val="000000" w:themeColor="text1"/>
                <w14:textFill>
                  <w14:solidFill>
                    <w14:schemeClr w14:val="tx1"/>
                  </w14:solidFill>
                </w14:textFill>
              </w:rPr>
            </w:pPr>
            <w:r>
              <w:rPr>
                <w:color w:val="000000" w:themeColor="text1"/>
                <w14:textFill>
                  <w14:solidFill>
                    <w14:schemeClr w14:val="tx1"/>
                  </w14:solidFill>
                </w14:textFill>
              </w:rPr>
              <w:t>75</w:t>
            </w:r>
          </w:p>
        </w:tc>
        <w:tc>
          <w:tcPr>
            <w:tcW w:w="852" w:type="dxa"/>
            <w:tcMar>
              <w:left w:w="0" w:type="dxa"/>
              <w:right w:w="0" w:type="dxa"/>
            </w:tcMar>
            <w:vAlign w:val="center"/>
          </w:tcPr>
          <w:p w14:paraId="666B6EE6">
            <w:pPr>
              <w:pStyle w:val="70"/>
              <w:rPr>
                <w:color w:val="000000" w:themeColor="text1"/>
                <w14:textFill>
                  <w14:solidFill>
                    <w14:schemeClr w14:val="tx1"/>
                  </w14:solidFill>
                </w14:textFill>
              </w:rPr>
            </w:pPr>
            <w:r>
              <w:rPr>
                <w:color w:val="000000" w:themeColor="text1"/>
                <w14:textFill>
                  <w14:solidFill>
                    <w14:schemeClr w14:val="tx1"/>
                  </w14:solidFill>
                </w14:textFill>
              </w:rPr>
              <w:t>6</w:t>
            </w:r>
          </w:p>
        </w:tc>
        <w:tc>
          <w:tcPr>
            <w:tcW w:w="609" w:type="dxa"/>
            <w:tcMar>
              <w:left w:w="0" w:type="dxa"/>
              <w:right w:w="0" w:type="dxa"/>
            </w:tcMar>
            <w:vAlign w:val="center"/>
          </w:tcPr>
          <w:p w14:paraId="57ECCC37">
            <w:pPr>
              <w:pStyle w:val="70"/>
              <w:rPr>
                <w:color w:val="000000" w:themeColor="text1"/>
                <w14:textFill>
                  <w14:solidFill>
                    <w14:schemeClr w14:val="tx1"/>
                  </w14:solidFill>
                </w14:textFill>
              </w:rPr>
            </w:pPr>
            <w:r>
              <w:rPr>
                <w:color w:val="000000" w:themeColor="text1"/>
                <w14:textFill>
                  <w14:solidFill>
                    <w14:schemeClr w14:val="tx1"/>
                  </w14:solidFill>
                </w14:textFill>
              </w:rPr>
              <w:t>6</w:t>
            </w:r>
          </w:p>
        </w:tc>
        <w:tc>
          <w:tcPr>
            <w:tcW w:w="609" w:type="dxa"/>
            <w:tcMar>
              <w:left w:w="0" w:type="dxa"/>
              <w:right w:w="0" w:type="dxa"/>
            </w:tcMar>
            <w:vAlign w:val="center"/>
          </w:tcPr>
          <w:p w14:paraId="5D1D1031">
            <w:pPr>
              <w:pStyle w:val="70"/>
              <w:rPr>
                <w:color w:val="000000" w:themeColor="text1"/>
                <w14:textFill>
                  <w14:solidFill>
                    <w14:schemeClr w14:val="tx1"/>
                  </w14:solidFill>
                </w14:textFill>
              </w:rPr>
            </w:pPr>
            <w:r>
              <w:rPr>
                <w:color w:val="000000" w:themeColor="text1"/>
                <w14:textFill>
                  <w14:solidFill>
                    <w14:schemeClr w14:val="tx1"/>
                  </w14:solidFill>
                </w14:textFill>
              </w:rPr>
              <w:t>4.8</w:t>
            </w:r>
          </w:p>
        </w:tc>
        <w:tc>
          <w:tcPr>
            <w:tcW w:w="709" w:type="dxa"/>
            <w:tcMar>
              <w:left w:w="0" w:type="dxa"/>
              <w:right w:w="0" w:type="dxa"/>
            </w:tcMar>
            <w:vAlign w:val="center"/>
          </w:tcPr>
          <w:p w14:paraId="79FFF2C0">
            <w:pPr>
              <w:pStyle w:val="70"/>
              <w:rPr>
                <w:color w:val="000000" w:themeColor="text1"/>
                <w14:textFill>
                  <w14:solidFill>
                    <w14:schemeClr w14:val="tx1"/>
                  </w14:solidFill>
                </w14:textFill>
              </w:rPr>
            </w:pPr>
            <w:r>
              <w:rPr>
                <w:color w:val="000000" w:themeColor="text1"/>
                <w14:textFill>
                  <w14:solidFill>
                    <w14:schemeClr w14:val="tx1"/>
                  </w14:solidFill>
                </w14:textFill>
              </w:rPr>
              <w:t>5</w:t>
            </w:r>
          </w:p>
        </w:tc>
        <w:tc>
          <w:tcPr>
            <w:tcW w:w="951" w:type="dxa"/>
            <w:tcMar>
              <w:left w:w="0" w:type="dxa"/>
              <w:right w:w="0" w:type="dxa"/>
            </w:tcMar>
            <w:vAlign w:val="center"/>
          </w:tcPr>
          <w:p w14:paraId="380C9D79">
            <w:pPr>
              <w:pStyle w:val="70"/>
              <w:rPr>
                <w:color w:val="000000" w:themeColor="text1"/>
                <w14:textFill>
                  <w14:solidFill>
                    <w14:schemeClr w14:val="tx1"/>
                  </w14:solidFill>
                </w14:textFill>
              </w:rPr>
            </w:pPr>
            <w:r>
              <w:rPr>
                <w:color w:val="000000" w:themeColor="text1"/>
                <w14:textFill>
                  <w14:solidFill>
                    <w14:schemeClr w14:val="tx1"/>
                  </w14:solidFill>
                </w14:textFill>
              </w:rPr>
              <w:t>8000</w:t>
            </w:r>
          </w:p>
        </w:tc>
      </w:tr>
    </w:tbl>
    <w:p w14:paraId="4B7598C6">
      <w:pPr>
        <w:ind w:firstLine="480"/>
        <w:rPr>
          <w:color w:val="000000" w:themeColor="text1"/>
          <w14:textFill>
            <w14:solidFill>
              <w14:schemeClr w14:val="tx1"/>
            </w14:solidFill>
          </w14:textFill>
        </w:rPr>
      </w:pPr>
      <w:r>
        <w:rPr>
          <w:color w:val="000000" w:themeColor="text1"/>
          <w14:textFill>
            <w14:solidFill>
              <w14:schemeClr w14:val="tx1"/>
            </w14:solidFill>
          </w14:textFill>
        </w:rPr>
        <w:t>船舶在港期间船舶污水执行《沿海海域船舶排污设备铅封管理规定》，不得排放到港口水体。船舶靠港时，船舶污水如需处理，可委托有资质的单位接收处置。船舶航行途中船舶污水自行处理时，污染物排放执行《船舶水污染物排放控制标准》（GB3552-2018），见下表。</w:t>
      </w:r>
    </w:p>
    <w:p w14:paraId="2A57A23C">
      <w:pPr>
        <w:pStyle w:val="7"/>
        <w:rPr>
          <w:color w:val="000000" w:themeColor="text1"/>
          <w14:textFill>
            <w14:solidFill>
              <w14:schemeClr w14:val="tx1"/>
            </w14:solidFill>
          </w14:textFill>
        </w:rPr>
      </w:pPr>
      <w:r>
        <w:rPr>
          <w:color w:val="000000" w:themeColor="text1"/>
          <w14:textFill>
            <w14:solidFill>
              <w14:schemeClr w14:val="tx1"/>
            </w14:solidFill>
          </w14:textFill>
        </w:rPr>
        <w:t>《船舶水污染物排放控制标准》（GB3552-2018）摘录  单位mg/L</w:t>
      </w:r>
    </w:p>
    <w:tbl>
      <w:tblPr>
        <w:tblStyle w:val="43"/>
        <w:tblW w:w="9042"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664"/>
        <w:gridCol w:w="696"/>
        <w:gridCol w:w="696"/>
        <w:gridCol w:w="2064"/>
        <w:gridCol w:w="3853"/>
        <w:gridCol w:w="1069"/>
      </w:tblGrid>
      <w:tr w14:paraId="52A9526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360" w:type="dxa"/>
            <w:gridSpan w:val="2"/>
            <w:vAlign w:val="center"/>
          </w:tcPr>
          <w:p w14:paraId="01F69520">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污水类型</w:t>
            </w:r>
          </w:p>
        </w:tc>
        <w:tc>
          <w:tcPr>
            <w:tcW w:w="696" w:type="dxa"/>
            <w:vAlign w:val="center"/>
          </w:tcPr>
          <w:p w14:paraId="2795D06B">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水域类别</w:t>
            </w:r>
          </w:p>
        </w:tc>
        <w:tc>
          <w:tcPr>
            <w:tcW w:w="2064" w:type="dxa"/>
            <w:vAlign w:val="center"/>
          </w:tcPr>
          <w:p w14:paraId="5FA3BA08">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船舶类别</w:t>
            </w:r>
          </w:p>
        </w:tc>
        <w:tc>
          <w:tcPr>
            <w:tcW w:w="3853" w:type="dxa"/>
            <w:vAlign w:val="center"/>
          </w:tcPr>
          <w:p w14:paraId="5B92D65F">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排放控制标准</w:t>
            </w:r>
          </w:p>
        </w:tc>
        <w:tc>
          <w:tcPr>
            <w:tcW w:w="1069" w:type="dxa"/>
            <w:vAlign w:val="center"/>
          </w:tcPr>
          <w:p w14:paraId="3BAD82D0">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污染物排放监控位置</w:t>
            </w:r>
          </w:p>
        </w:tc>
      </w:tr>
      <w:tr w14:paraId="6396AD1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64" w:type="dxa"/>
            <w:vMerge w:val="restart"/>
            <w:vAlign w:val="center"/>
          </w:tcPr>
          <w:p w14:paraId="374BA8CC">
            <w:pPr>
              <w:pStyle w:val="70"/>
              <w:rPr>
                <w:color w:val="000000" w:themeColor="text1"/>
                <w14:textFill>
                  <w14:solidFill>
                    <w14:schemeClr w14:val="tx1"/>
                  </w14:solidFill>
                </w14:textFill>
              </w:rPr>
            </w:pPr>
            <w:r>
              <w:rPr>
                <w:color w:val="000000" w:themeColor="text1"/>
                <w14:textFill>
                  <w14:solidFill>
                    <w14:schemeClr w14:val="tx1"/>
                  </w14:solidFill>
                </w14:textFill>
              </w:rPr>
              <w:t>含油污水</w:t>
            </w:r>
          </w:p>
        </w:tc>
        <w:tc>
          <w:tcPr>
            <w:tcW w:w="696" w:type="dxa"/>
            <w:vMerge w:val="restart"/>
            <w:vAlign w:val="center"/>
          </w:tcPr>
          <w:p w14:paraId="7EC7D831">
            <w:pPr>
              <w:pStyle w:val="70"/>
              <w:rPr>
                <w:color w:val="000000" w:themeColor="text1"/>
                <w14:textFill>
                  <w14:solidFill>
                    <w14:schemeClr w14:val="tx1"/>
                  </w14:solidFill>
                </w14:textFill>
              </w:rPr>
            </w:pPr>
            <w:r>
              <w:rPr>
                <w:color w:val="000000" w:themeColor="text1"/>
                <w14:textFill>
                  <w14:solidFill>
                    <w14:schemeClr w14:val="tx1"/>
                  </w14:solidFill>
                </w14:textFill>
              </w:rPr>
              <w:t>机器处所污水</w:t>
            </w:r>
          </w:p>
        </w:tc>
        <w:tc>
          <w:tcPr>
            <w:tcW w:w="696" w:type="dxa"/>
            <w:vMerge w:val="restart"/>
            <w:vAlign w:val="center"/>
          </w:tcPr>
          <w:p w14:paraId="2C53E34A">
            <w:pPr>
              <w:pStyle w:val="70"/>
              <w:rPr>
                <w:color w:val="000000" w:themeColor="text1"/>
                <w14:textFill>
                  <w14:solidFill>
                    <w14:schemeClr w14:val="tx1"/>
                  </w14:solidFill>
                </w14:textFill>
              </w:rPr>
            </w:pPr>
            <w:r>
              <w:rPr>
                <w:color w:val="000000" w:themeColor="text1"/>
                <w14:textFill>
                  <w14:solidFill>
                    <w14:schemeClr w14:val="tx1"/>
                  </w14:solidFill>
                </w14:textFill>
              </w:rPr>
              <w:t>内河</w:t>
            </w:r>
          </w:p>
        </w:tc>
        <w:tc>
          <w:tcPr>
            <w:tcW w:w="2064" w:type="dxa"/>
            <w:vAlign w:val="center"/>
          </w:tcPr>
          <w:p w14:paraId="5C2691B7">
            <w:pPr>
              <w:pStyle w:val="70"/>
              <w:rPr>
                <w:color w:val="000000" w:themeColor="text1"/>
                <w14:textFill>
                  <w14:solidFill>
                    <w14:schemeClr w14:val="tx1"/>
                  </w14:solidFill>
                </w14:textFill>
              </w:rPr>
            </w:pPr>
            <w:r>
              <w:rPr>
                <w:color w:val="000000" w:themeColor="text1"/>
                <w14:textFill>
                  <w14:solidFill>
                    <w14:schemeClr w14:val="tx1"/>
                  </w14:solidFill>
                </w14:textFill>
              </w:rPr>
              <w:t>2021年1月1日之前建造的船舶</w:t>
            </w:r>
          </w:p>
        </w:tc>
        <w:tc>
          <w:tcPr>
            <w:tcW w:w="3853" w:type="dxa"/>
            <w:vAlign w:val="center"/>
          </w:tcPr>
          <w:p w14:paraId="64D84662">
            <w:pPr>
              <w:pStyle w:val="70"/>
              <w:rPr>
                <w:color w:val="000000" w:themeColor="text1"/>
                <w14:textFill>
                  <w14:solidFill>
                    <w14:schemeClr w14:val="tx1"/>
                  </w14:solidFill>
                </w14:textFill>
              </w:rPr>
            </w:pPr>
            <w:r>
              <w:rPr>
                <w:color w:val="000000" w:themeColor="text1"/>
                <w14:textFill>
                  <w14:solidFill>
                    <w14:schemeClr w14:val="tx1"/>
                  </w14:solidFill>
                </w14:textFill>
              </w:rPr>
              <w:t>石油类≤15或收集并排入接收设施</w:t>
            </w:r>
          </w:p>
        </w:tc>
        <w:tc>
          <w:tcPr>
            <w:tcW w:w="1069" w:type="dxa"/>
            <w:vMerge w:val="restart"/>
            <w:vAlign w:val="center"/>
          </w:tcPr>
          <w:p w14:paraId="604A822B">
            <w:pPr>
              <w:pStyle w:val="70"/>
              <w:rPr>
                <w:color w:val="000000" w:themeColor="text1"/>
                <w14:textFill>
                  <w14:solidFill>
                    <w14:schemeClr w14:val="tx1"/>
                  </w14:solidFill>
                </w14:textFill>
              </w:rPr>
            </w:pPr>
            <w:r>
              <w:rPr>
                <w:color w:val="000000" w:themeColor="text1"/>
                <w14:textFill>
                  <w14:solidFill>
                    <w14:schemeClr w14:val="tx1"/>
                  </w14:solidFill>
                </w14:textFill>
              </w:rPr>
              <w:t>油污水处理装置出水口</w:t>
            </w:r>
          </w:p>
        </w:tc>
      </w:tr>
      <w:tr w14:paraId="7627F54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64" w:type="dxa"/>
            <w:vMerge w:val="continue"/>
            <w:vAlign w:val="center"/>
          </w:tcPr>
          <w:p w14:paraId="4DF511FD">
            <w:pPr>
              <w:pStyle w:val="70"/>
              <w:rPr>
                <w:color w:val="000000" w:themeColor="text1"/>
                <w14:textFill>
                  <w14:solidFill>
                    <w14:schemeClr w14:val="tx1"/>
                  </w14:solidFill>
                </w14:textFill>
              </w:rPr>
            </w:pPr>
          </w:p>
        </w:tc>
        <w:tc>
          <w:tcPr>
            <w:tcW w:w="696" w:type="dxa"/>
            <w:vMerge w:val="continue"/>
            <w:vAlign w:val="center"/>
          </w:tcPr>
          <w:p w14:paraId="72558843">
            <w:pPr>
              <w:pStyle w:val="70"/>
              <w:rPr>
                <w:color w:val="000000" w:themeColor="text1"/>
                <w14:textFill>
                  <w14:solidFill>
                    <w14:schemeClr w14:val="tx1"/>
                  </w14:solidFill>
                </w14:textFill>
              </w:rPr>
            </w:pPr>
          </w:p>
        </w:tc>
        <w:tc>
          <w:tcPr>
            <w:tcW w:w="696" w:type="dxa"/>
            <w:vMerge w:val="continue"/>
            <w:vAlign w:val="center"/>
          </w:tcPr>
          <w:p w14:paraId="3414E10F">
            <w:pPr>
              <w:pStyle w:val="70"/>
              <w:rPr>
                <w:color w:val="000000" w:themeColor="text1"/>
                <w14:textFill>
                  <w14:solidFill>
                    <w14:schemeClr w14:val="tx1"/>
                  </w14:solidFill>
                </w14:textFill>
              </w:rPr>
            </w:pPr>
          </w:p>
        </w:tc>
        <w:tc>
          <w:tcPr>
            <w:tcW w:w="2064" w:type="dxa"/>
            <w:vAlign w:val="center"/>
          </w:tcPr>
          <w:p w14:paraId="619E9B53">
            <w:pPr>
              <w:pStyle w:val="70"/>
              <w:rPr>
                <w:color w:val="000000" w:themeColor="text1"/>
                <w14:textFill>
                  <w14:solidFill>
                    <w14:schemeClr w14:val="tx1"/>
                  </w14:solidFill>
                </w14:textFill>
              </w:rPr>
            </w:pPr>
            <w:r>
              <w:rPr>
                <w:color w:val="000000" w:themeColor="text1"/>
                <w14:textFill>
                  <w14:solidFill>
                    <w14:schemeClr w14:val="tx1"/>
                  </w14:solidFill>
                </w14:textFill>
              </w:rPr>
              <w:t>2021年1月1日及以后建造的船舶</w:t>
            </w:r>
          </w:p>
        </w:tc>
        <w:tc>
          <w:tcPr>
            <w:tcW w:w="3853" w:type="dxa"/>
            <w:vAlign w:val="center"/>
          </w:tcPr>
          <w:p w14:paraId="0E2E652D">
            <w:pPr>
              <w:pStyle w:val="70"/>
              <w:rPr>
                <w:color w:val="000000" w:themeColor="text1"/>
                <w14:textFill>
                  <w14:solidFill>
                    <w14:schemeClr w14:val="tx1"/>
                  </w14:solidFill>
                </w14:textFill>
              </w:rPr>
            </w:pPr>
            <w:r>
              <w:rPr>
                <w:color w:val="000000" w:themeColor="text1"/>
                <w14:textFill>
                  <w14:solidFill>
                    <w14:schemeClr w14:val="tx1"/>
                  </w14:solidFill>
                </w14:textFill>
              </w:rPr>
              <w:t>收集并排入接收设施</w:t>
            </w:r>
          </w:p>
        </w:tc>
        <w:tc>
          <w:tcPr>
            <w:tcW w:w="1069" w:type="dxa"/>
            <w:vMerge w:val="continue"/>
            <w:vAlign w:val="center"/>
          </w:tcPr>
          <w:p w14:paraId="484F078C">
            <w:pPr>
              <w:pStyle w:val="70"/>
              <w:rPr>
                <w:color w:val="000000" w:themeColor="text1"/>
                <w14:textFill>
                  <w14:solidFill>
                    <w14:schemeClr w14:val="tx1"/>
                  </w14:solidFill>
                </w14:textFill>
              </w:rPr>
            </w:pPr>
          </w:p>
        </w:tc>
      </w:tr>
      <w:tr w14:paraId="21B1B7F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64" w:type="dxa"/>
            <w:vMerge w:val="continue"/>
            <w:vAlign w:val="center"/>
          </w:tcPr>
          <w:p w14:paraId="484EB52D">
            <w:pPr>
              <w:pStyle w:val="70"/>
              <w:rPr>
                <w:color w:val="000000" w:themeColor="text1"/>
                <w14:textFill>
                  <w14:solidFill>
                    <w14:schemeClr w14:val="tx1"/>
                  </w14:solidFill>
                </w14:textFill>
              </w:rPr>
            </w:pPr>
          </w:p>
        </w:tc>
        <w:tc>
          <w:tcPr>
            <w:tcW w:w="696" w:type="dxa"/>
            <w:vMerge w:val="continue"/>
            <w:vAlign w:val="center"/>
          </w:tcPr>
          <w:p w14:paraId="5B087EE7">
            <w:pPr>
              <w:pStyle w:val="70"/>
              <w:rPr>
                <w:color w:val="000000" w:themeColor="text1"/>
                <w14:textFill>
                  <w14:solidFill>
                    <w14:schemeClr w14:val="tx1"/>
                  </w14:solidFill>
                </w14:textFill>
              </w:rPr>
            </w:pPr>
          </w:p>
        </w:tc>
        <w:tc>
          <w:tcPr>
            <w:tcW w:w="696" w:type="dxa"/>
            <w:vAlign w:val="center"/>
          </w:tcPr>
          <w:p w14:paraId="50C795BD">
            <w:pPr>
              <w:pStyle w:val="70"/>
              <w:rPr>
                <w:color w:val="000000" w:themeColor="text1"/>
                <w14:textFill>
                  <w14:solidFill>
                    <w14:schemeClr w14:val="tx1"/>
                  </w14:solidFill>
                </w14:textFill>
              </w:rPr>
            </w:pPr>
            <w:r>
              <w:rPr>
                <w:color w:val="000000" w:themeColor="text1"/>
                <w14:textFill>
                  <w14:solidFill>
                    <w14:schemeClr w14:val="tx1"/>
                  </w14:solidFill>
                </w14:textFill>
              </w:rPr>
              <w:t>沿海</w:t>
            </w:r>
          </w:p>
        </w:tc>
        <w:tc>
          <w:tcPr>
            <w:tcW w:w="2064" w:type="dxa"/>
            <w:vAlign w:val="center"/>
          </w:tcPr>
          <w:p w14:paraId="000AC429">
            <w:pPr>
              <w:pStyle w:val="70"/>
              <w:rPr>
                <w:color w:val="000000" w:themeColor="text1"/>
                <w14:textFill>
                  <w14:solidFill>
                    <w14:schemeClr w14:val="tx1"/>
                  </w14:solidFill>
                </w14:textFill>
              </w:rPr>
            </w:pPr>
            <w:r>
              <w:rPr>
                <w:color w:val="000000" w:themeColor="text1"/>
                <w14:textFill>
                  <w14:solidFill>
                    <w14:schemeClr w14:val="tx1"/>
                  </w14:solidFill>
                </w14:textFill>
              </w:rPr>
              <w:t>400总吨级以上船舶</w:t>
            </w:r>
          </w:p>
        </w:tc>
        <w:tc>
          <w:tcPr>
            <w:tcW w:w="3853" w:type="dxa"/>
            <w:vAlign w:val="center"/>
          </w:tcPr>
          <w:p w14:paraId="663B4B70">
            <w:pPr>
              <w:pStyle w:val="70"/>
              <w:rPr>
                <w:color w:val="000000" w:themeColor="text1"/>
                <w14:textFill>
                  <w14:solidFill>
                    <w14:schemeClr w14:val="tx1"/>
                  </w14:solidFill>
                </w14:textFill>
              </w:rPr>
            </w:pPr>
            <w:r>
              <w:rPr>
                <w:color w:val="000000" w:themeColor="text1"/>
                <w14:textFill>
                  <w14:solidFill>
                    <w14:schemeClr w14:val="tx1"/>
                  </w14:solidFill>
                </w14:textFill>
              </w:rPr>
              <w:t>石油类≤15或收集并排入接收设施</w:t>
            </w:r>
          </w:p>
        </w:tc>
        <w:tc>
          <w:tcPr>
            <w:tcW w:w="1069" w:type="dxa"/>
            <w:vMerge w:val="continue"/>
            <w:vAlign w:val="center"/>
          </w:tcPr>
          <w:p w14:paraId="1D62215D">
            <w:pPr>
              <w:pStyle w:val="70"/>
              <w:rPr>
                <w:color w:val="000000" w:themeColor="text1"/>
                <w14:textFill>
                  <w14:solidFill>
                    <w14:schemeClr w14:val="tx1"/>
                  </w14:solidFill>
                </w14:textFill>
              </w:rPr>
            </w:pPr>
          </w:p>
        </w:tc>
      </w:tr>
      <w:tr w14:paraId="6794B4F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64" w:type="dxa"/>
            <w:vMerge w:val="continue"/>
            <w:vAlign w:val="center"/>
          </w:tcPr>
          <w:p w14:paraId="4268DF38">
            <w:pPr>
              <w:pStyle w:val="70"/>
              <w:rPr>
                <w:color w:val="000000" w:themeColor="text1"/>
                <w14:textFill>
                  <w14:solidFill>
                    <w14:schemeClr w14:val="tx1"/>
                  </w14:solidFill>
                </w14:textFill>
              </w:rPr>
            </w:pPr>
          </w:p>
        </w:tc>
        <w:tc>
          <w:tcPr>
            <w:tcW w:w="696" w:type="dxa"/>
            <w:vMerge w:val="restart"/>
            <w:vAlign w:val="center"/>
          </w:tcPr>
          <w:p w14:paraId="600B4CD6">
            <w:pPr>
              <w:pStyle w:val="70"/>
              <w:rPr>
                <w:color w:val="000000" w:themeColor="text1"/>
                <w14:textFill>
                  <w14:solidFill>
                    <w14:schemeClr w14:val="tx1"/>
                  </w14:solidFill>
                </w14:textFill>
              </w:rPr>
            </w:pPr>
            <w:r>
              <w:rPr>
                <w:color w:val="000000" w:themeColor="text1"/>
                <w14:textFill>
                  <w14:solidFill>
                    <w14:schemeClr w14:val="tx1"/>
                  </w14:solidFill>
                </w14:textFill>
              </w:rPr>
              <w:t>含货油残余物的油污水</w:t>
            </w:r>
          </w:p>
        </w:tc>
        <w:tc>
          <w:tcPr>
            <w:tcW w:w="696" w:type="dxa"/>
            <w:vAlign w:val="center"/>
          </w:tcPr>
          <w:p w14:paraId="399891B6">
            <w:pPr>
              <w:pStyle w:val="70"/>
              <w:rPr>
                <w:color w:val="000000" w:themeColor="text1"/>
                <w14:textFill>
                  <w14:solidFill>
                    <w14:schemeClr w14:val="tx1"/>
                  </w14:solidFill>
                </w14:textFill>
              </w:rPr>
            </w:pPr>
            <w:r>
              <w:rPr>
                <w:color w:val="000000" w:themeColor="text1"/>
                <w14:textFill>
                  <w14:solidFill>
                    <w14:schemeClr w14:val="tx1"/>
                  </w14:solidFill>
                </w14:textFill>
              </w:rPr>
              <w:t>内河</w:t>
            </w:r>
          </w:p>
        </w:tc>
        <w:tc>
          <w:tcPr>
            <w:tcW w:w="2064" w:type="dxa"/>
            <w:vAlign w:val="center"/>
          </w:tcPr>
          <w:p w14:paraId="57296F56">
            <w:pPr>
              <w:pStyle w:val="70"/>
              <w:rPr>
                <w:color w:val="000000" w:themeColor="text1"/>
                <w14:textFill>
                  <w14:solidFill>
                    <w14:schemeClr w14:val="tx1"/>
                  </w14:solidFill>
                </w14:textFill>
              </w:rPr>
            </w:pPr>
            <w:r>
              <w:rPr>
                <w:color w:val="000000" w:themeColor="text1"/>
                <w14:textFill>
                  <w14:solidFill>
                    <w14:schemeClr w14:val="tx1"/>
                  </w14:solidFill>
                </w14:textFill>
              </w:rPr>
              <w:t>全部油船</w:t>
            </w:r>
          </w:p>
        </w:tc>
        <w:tc>
          <w:tcPr>
            <w:tcW w:w="3853" w:type="dxa"/>
            <w:vAlign w:val="center"/>
          </w:tcPr>
          <w:p w14:paraId="165228CE">
            <w:pPr>
              <w:pStyle w:val="70"/>
              <w:rPr>
                <w:color w:val="000000" w:themeColor="text1"/>
                <w14:textFill>
                  <w14:solidFill>
                    <w14:schemeClr w14:val="tx1"/>
                  </w14:solidFill>
                </w14:textFill>
              </w:rPr>
            </w:pPr>
            <w:r>
              <w:rPr>
                <w:color w:val="000000" w:themeColor="text1"/>
                <w14:textFill>
                  <w14:solidFill>
                    <w14:schemeClr w14:val="tx1"/>
                  </w14:solidFill>
                </w14:textFill>
              </w:rPr>
              <w:t>收集并排入接收设施</w:t>
            </w:r>
          </w:p>
        </w:tc>
        <w:tc>
          <w:tcPr>
            <w:tcW w:w="1069" w:type="dxa"/>
            <w:vMerge w:val="continue"/>
            <w:vAlign w:val="center"/>
          </w:tcPr>
          <w:p w14:paraId="4B150BEF">
            <w:pPr>
              <w:pStyle w:val="70"/>
              <w:rPr>
                <w:color w:val="000000" w:themeColor="text1"/>
                <w14:textFill>
                  <w14:solidFill>
                    <w14:schemeClr w14:val="tx1"/>
                  </w14:solidFill>
                </w14:textFill>
              </w:rPr>
            </w:pPr>
          </w:p>
        </w:tc>
      </w:tr>
      <w:tr w14:paraId="2BC1AD6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64" w:type="dxa"/>
            <w:vMerge w:val="continue"/>
            <w:vAlign w:val="center"/>
          </w:tcPr>
          <w:p w14:paraId="089B8BD6">
            <w:pPr>
              <w:pStyle w:val="70"/>
              <w:rPr>
                <w:color w:val="000000" w:themeColor="text1"/>
                <w14:textFill>
                  <w14:solidFill>
                    <w14:schemeClr w14:val="tx1"/>
                  </w14:solidFill>
                </w14:textFill>
              </w:rPr>
            </w:pPr>
          </w:p>
        </w:tc>
        <w:tc>
          <w:tcPr>
            <w:tcW w:w="696" w:type="dxa"/>
            <w:vMerge w:val="continue"/>
            <w:vAlign w:val="center"/>
          </w:tcPr>
          <w:p w14:paraId="1A69585E">
            <w:pPr>
              <w:pStyle w:val="70"/>
              <w:rPr>
                <w:color w:val="000000" w:themeColor="text1"/>
                <w14:textFill>
                  <w14:solidFill>
                    <w14:schemeClr w14:val="tx1"/>
                  </w14:solidFill>
                </w14:textFill>
              </w:rPr>
            </w:pPr>
          </w:p>
        </w:tc>
        <w:tc>
          <w:tcPr>
            <w:tcW w:w="696" w:type="dxa"/>
            <w:vAlign w:val="center"/>
          </w:tcPr>
          <w:p w14:paraId="671B7D16">
            <w:pPr>
              <w:pStyle w:val="70"/>
              <w:rPr>
                <w:color w:val="000000" w:themeColor="text1"/>
                <w14:textFill>
                  <w14:solidFill>
                    <w14:schemeClr w14:val="tx1"/>
                  </w14:solidFill>
                </w14:textFill>
              </w:rPr>
            </w:pPr>
            <w:r>
              <w:rPr>
                <w:color w:val="000000" w:themeColor="text1"/>
                <w14:textFill>
                  <w14:solidFill>
                    <w14:schemeClr w14:val="tx1"/>
                  </w14:solidFill>
                </w14:textFill>
              </w:rPr>
              <w:t>沿海</w:t>
            </w:r>
          </w:p>
        </w:tc>
        <w:tc>
          <w:tcPr>
            <w:tcW w:w="2064" w:type="dxa"/>
            <w:vAlign w:val="center"/>
          </w:tcPr>
          <w:p w14:paraId="52B0C634">
            <w:pPr>
              <w:pStyle w:val="70"/>
              <w:rPr>
                <w:color w:val="000000" w:themeColor="text1"/>
                <w14:textFill>
                  <w14:solidFill>
                    <w14:schemeClr w14:val="tx1"/>
                  </w14:solidFill>
                </w14:textFill>
              </w:rPr>
            </w:pPr>
            <w:r>
              <w:rPr>
                <w:color w:val="000000" w:themeColor="text1"/>
                <w14:textFill>
                  <w14:solidFill>
                    <w14:schemeClr w14:val="tx1"/>
                  </w14:solidFill>
                </w14:textFill>
              </w:rPr>
              <w:t>150总吨及以上船舶</w:t>
            </w:r>
          </w:p>
        </w:tc>
        <w:tc>
          <w:tcPr>
            <w:tcW w:w="3853" w:type="dxa"/>
            <w:vAlign w:val="center"/>
          </w:tcPr>
          <w:p w14:paraId="6F8FEC87">
            <w:pPr>
              <w:pStyle w:val="70"/>
              <w:rPr>
                <w:color w:val="000000" w:themeColor="text1"/>
                <w14:textFill>
                  <w14:solidFill>
                    <w14:schemeClr w14:val="tx1"/>
                  </w14:solidFill>
                </w14:textFill>
              </w:rPr>
            </w:pPr>
            <w:r>
              <w:rPr>
                <w:color w:val="000000" w:themeColor="text1"/>
                <w14:textFill>
                  <w14:solidFill>
                    <w14:schemeClr w14:val="tx1"/>
                  </w14:solidFill>
                </w14:textFill>
              </w:rPr>
              <w:t>收集并排入接收设施，或在船舶航行中排放，并同时满足下列条件：（1）油船距最近陆地50海里以上；（2）排入海中油污水含油量瞬间排放率</w:t>
            </w:r>
            <w:r>
              <w:rPr>
                <w:rFonts w:hint="eastAsia"/>
                <w:color w:val="000000" w:themeColor="text1"/>
                <w:lang w:eastAsia="zh-CN"/>
                <w14:textFill>
                  <w14:solidFill>
                    <w14:schemeClr w14:val="tx1"/>
                  </w14:solidFill>
                </w14:textFill>
              </w:rPr>
              <w:t>不得</w:t>
            </w:r>
            <w:r>
              <w:rPr>
                <w:color w:val="000000" w:themeColor="text1"/>
                <w14:textFill>
                  <w14:solidFill>
                    <w14:schemeClr w14:val="tx1"/>
                  </w14:solidFill>
                </w14:textFill>
              </w:rPr>
              <w:t>超过30升/海里；（3）排入海中油污水含油量不得超过货油总量的1/30000；（4）排油监控系统运转正常。</w:t>
            </w:r>
          </w:p>
        </w:tc>
        <w:tc>
          <w:tcPr>
            <w:tcW w:w="1069" w:type="dxa"/>
            <w:vMerge w:val="continue"/>
            <w:vAlign w:val="center"/>
          </w:tcPr>
          <w:p w14:paraId="12CCE99F">
            <w:pPr>
              <w:pStyle w:val="70"/>
              <w:rPr>
                <w:color w:val="000000" w:themeColor="text1"/>
                <w14:textFill>
                  <w14:solidFill>
                    <w14:schemeClr w14:val="tx1"/>
                  </w14:solidFill>
                </w14:textFill>
              </w:rPr>
            </w:pPr>
          </w:p>
        </w:tc>
      </w:tr>
      <w:tr w14:paraId="76253D0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360" w:type="dxa"/>
            <w:gridSpan w:val="2"/>
            <w:vMerge w:val="restart"/>
            <w:vAlign w:val="center"/>
          </w:tcPr>
          <w:p w14:paraId="6ECB72EA">
            <w:pPr>
              <w:pStyle w:val="70"/>
              <w:rPr>
                <w:color w:val="000000" w:themeColor="text1"/>
                <w14:textFill>
                  <w14:solidFill>
                    <w14:schemeClr w14:val="tx1"/>
                  </w14:solidFill>
                </w14:textFill>
              </w:rPr>
            </w:pPr>
            <w:r>
              <w:rPr>
                <w:color w:val="000000" w:themeColor="text1"/>
                <w14:textFill>
                  <w14:solidFill>
                    <w14:schemeClr w14:val="tx1"/>
                  </w14:solidFill>
                </w14:textFill>
              </w:rPr>
              <w:t>船舶生活污水</w:t>
            </w:r>
          </w:p>
        </w:tc>
        <w:tc>
          <w:tcPr>
            <w:tcW w:w="696" w:type="dxa"/>
            <w:vAlign w:val="center"/>
          </w:tcPr>
          <w:p w14:paraId="4F9178C4">
            <w:pPr>
              <w:pStyle w:val="70"/>
              <w:rPr>
                <w:color w:val="000000" w:themeColor="text1"/>
                <w14:textFill>
                  <w14:solidFill>
                    <w14:schemeClr w14:val="tx1"/>
                  </w14:solidFill>
                </w14:textFill>
              </w:rPr>
            </w:pPr>
            <w:r>
              <w:rPr>
                <w:color w:val="000000" w:themeColor="text1"/>
                <w14:textFill>
                  <w14:solidFill>
                    <w14:schemeClr w14:val="tx1"/>
                  </w14:solidFill>
                </w14:textFill>
              </w:rPr>
              <w:t>内河</w:t>
            </w:r>
          </w:p>
        </w:tc>
        <w:tc>
          <w:tcPr>
            <w:tcW w:w="2064" w:type="dxa"/>
            <w:vAlign w:val="center"/>
          </w:tcPr>
          <w:p w14:paraId="4C074FA1">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3853" w:type="dxa"/>
            <w:vAlign w:val="center"/>
          </w:tcPr>
          <w:p w14:paraId="4DC9989E">
            <w:pPr>
              <w:pStyle w:val="70"/>
              <w:rPr>
                <w:color w:val="000000" w:themeColor="text1"/>
                <w14:textFill>
                  <w14:solidFill>
                    <w14:schemeClr w14:val="tx1"/>
                  </w14:solidFill>
                </w14:textFill>
              </w:rPr>
            </w:pPr>
            <w:r>
              <w:rPr>
                <w:color w:val="000000" w:themeColor="text1"/>
                <w14:textFill>
                  <w14:solidFill>
                    <w14:schemeClr w14:val="tx1"/>
                  </w14:solidFill>
                </w14:textFill>
              </w:rPr>
              <w:t>采取下列方式之一进行处理，不得直接排入环境水体：（1）利用船载收集装置收集，排入接收设施；（2）利用船载生活污水处理装置处理，达到沿海水域规定要求后在航行中排放</w:t>
            </w:r>
          </w:p>
        </w:tc>
        <w:tc>
          <w:tcPr>
            <w:tcW w:w="1069" w:type="dxa"/>
            <w:vMerge w:val="restart"/>
            <w:vAlign w:val="center"/>
          </w:tcPr>
          <w:p w14:paraId="794703C9">
            <w:pPr>
              <w:pStyle w:val="70"/>
              <w:rPr>
                <w:color w:val="000000" w:themeColor="text1"/>
                <w14:textFill>
                  <w14:solidFill>
                    <w14:schemeClr w14:val="tx1"/>
                  </w14:solidFill>
                </w14:textFill>
              </w:rPr>
            </w:pPr>
            <w:r>
              <w:rPr>
                <w:color w:val="000000" w:themeColor="text1"/>
                <w14:textFill>
                  <w14:solidFill>
                    <w14:schemeClr w14:val="tx1"/>
                  </w14:solidFill>
                </w14:textFill>
              </w:rPr>
              <w:t>生活污水处理装置出水口</w:t>
            </w:r>
          </w:p>
        </w:tc>
      </w:tr>
      <w:tr w14:paraId="37CA1C6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360" w:type="dxa"/>
            <w:gridSpan w:val="2"/>
            <w:vMerge w:val="continue"/>
            <w:vAlign w:val="center"/>
          </w:tcPr>
          <w:p w14:paraId="2CA53E0D">
            <w:pPr>
              <w:pStyle w:val="70"/>
              <w:rPr>
                <w:color w:val="000000" w:themeColor="text1"/>
                <w14:textFill>
                  <w14:solidFill>
                    <w14:schemeClr w14:val="tx1"/>
                  </w14:solidFill>
                </w14:textFill>
              </w:rPr>
            </w:pPr>
          </w:p>
        </w:tc>
        <w:tc>
          <w:tcPr>
            <w:tcW w:w="696" w:type="dxa"/>
            <w:vMerge w:val="restart"/>
            <w:vAlign w:val="center"/>
          </w:tcPr>
          <w:p w14:paraId="3744DD63">
            <w:pPr>
              <w:pStyle w:val="70"/>
              <w:rPr>
                <w:color w:val="000000" w:themeColor="text1"/>
                <w14:textFill>
                  <w14:solidFill>
                    <w14:schemeClr w14:val="tx1"/>
                  </w14:solidFill>
                </w14:textFill>
              </w:rPr>
            </w:pPr>
            <w:r>
              <w:rPr>
                <w:color w:val="000000" w:themeColor="text1"/>
                <w14:textFill>
                  <w14:solidFill>
                    <w14:schemeClr w14:val="tx1"/>
                  </w14:solidFill>
                </w14:textFill>
              </w:rPr>
              <w:t>沿海</w:t>
            </w:r>
          </w:p>
        </w:tc>
        <w:tc>
          <w:tcPr>
            <w:tcW w:w="2064" w:type="dxa"/>
            <w:vAlign w:val="center"/>
          </w:tcPr>
          <w:p w14:paraId="6562430C">
            <w:pPr>
              <w:pStyle w:val="70"/>
              <w:rPr>
                <w:color w:val="000000" w:themeColor="text1"/>
                <w14:textFill>
                  <w14:solidFill>
                    <w14:schemeClr w14:val="tx1"/>
                  </w14:solidFill>
                </w14:textFill>
              </w:rPr>
            </w:pPr>
            <w:r>
              <w:rPr>
                <w:color w:val="000000" w:themeColor="text1"/>
                <w14:textFill>
                  <w14:solidFill>
                    <w14:schemeClr w14:val="tx1"/>
                  </w14:solidFill>
                </w14:textFill>
              </w:rPr>
              <w:t>2012年1月1日以前安装（含更换）生活污水处理装置的船舶</w:t>
            </w:r>
          </w:p>
        </w:tc>
        <w:tc>
          <w:tcPr>
            <w:tcW w:w="3853" w:type="dxa"/>
            <w:vAlign w:val="center"/>
          </w:tcPr>
          <w:p w14:paraId="2F266C54">
            <w:pPr>
              <w:pStyle w:val="70"/>
              <w:rPr>
                <w:color w:val="000000" w:themeColor="text1"/>
                <w14:textFill>
                  <w14:solidFill>
                    <w14:schemeClr w14:val="tx1"/>
                  </w14:solidFill>
                </w14:textFill>
              </w:rPr>
            </w:pPr>
            <w:r>
              <w:rPr>
                <w:color w:val="000000" w:themeColor="text1"/>
                <w14:textFill>
                  <w14:solidFill>
                    <w14:schemeClr w14:val="tx1"/>
                  </w14:solidFill>
                </w14:textFill>
              </w:rPr>
              <w:t>BOD</w:t>
            </w:r>
            <w:r>
              <w:rPr>
                <w:color w:val="000000" w:themeColor="text1"/>
                <w:vertAlign w:val="subscript"/>
                <w14:textFill>
                  <w14:solidFill>
                    <w14:schemeClr w14:val="tx1"/>
                  </w14:solidFill>
                </w14:textFill>
              </w:rPr>
              <w:t>5</w:t>
            </w:r>
            <w:r>
              <w:rPr>
                <w:color w:val="000000" w:themeColor="text1"/>
                <w14:textFill>
                  <w14:solidFill>
                    <w14:schemeClr w14:val="tx1"/>
                  </w14:solidFill>
                </w14:textFill>
              </w:rPr>
              <w:t>≤50；SS≤150；耐热大肠菌群数≤2500个/L</w:t>
            </w:r>
          </w:p>
        </w:tc>
        <w:tc>
          <w:tcPr>
            <w:tcW w:w="1069" w:type="dxa"/>
            <w:vMerge w:val="continue"/>
            <w:vAlign w:val="center"/>
          </w:tcPr>
          <w:p w14:paraId="4FC6F4A1">
            <w:pPr>
              <w:pStyle w:val="70"/>
              <w:rPr>
                <w:color w:val="000000" w:themeColor="text1"/>
                <w14:textFill>
                  <w14:solidFill>
                    <w14:schemeClr w14:val="tx1"/>
                  </w14:solidFill>
                </w14:textFill>
              </w:rPr>
            </w:pPr>
          </w:p>
        </w:tc>
      </w:tr>
      <w:tr w14:paraId="3866893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360" w:type="dxa"/>
            <w:gridSpan w:val="2"/>
            <w:vMerge w:val="continue"/>
            <w:vAlign w:val="center"/>
          </w:tcPr>
          <w:p w14:paraId="6250E9FE">
            <w:pPr>
              <w:pStyle w:val="70"/>
              <w:rPr>
                <w:color w:val="000000" w:themeColor="text1"/>
                <w14:textFill>
                  <w14:solidFill>
                    <w14:schemeClr w14:val="tx1"/>
                  </w14:solidFill>
                </w14:textFill>
              </w:rPr>
            </w:pPr>
          </w:p>
        </w:tc>
        <w:tc>
          <w:tcPr>
            <w:tcW w:w="696" w:type="dxa"/>
            <w:vMerge w:val="continue"/>
            <w:vAlign w:val="center"/>
          </w:tcPr>
          <w:p w14:paraId="5173A27A">
            <w:pPr>
              <w:pStyle w:val="70"/>
              <w:rPr>
                <w:color w:val="000000" w:themeColor="text1"/>
                <w14:textFill>
                  <w14:solidFill>
                    <w14:schemeClr w14:val="tx1"/>
                  </w14:solidFill>
                </w14:textFill>
              </w:rPr>
            </w:pPr>
          </w:p>
        </w:tc>
        <w:tc>
          <w:tcPr>
            <w:tcW w:w="2064" w:type="dxa"/>
            <w:vAlign w:val="center"/>
          </w:tcPr>
          <w:p w14:paraId="21D29389">
            <w:pPr>
              <w:pStyle w:val="70"/>
              <w:rPr>
                <w:color w:val="000000" w:themeColor="text1"/>
                <w14:textFill>
                  <w14:solidFill>
                    <w14:schemeClr w14:val="tx1"/>
                  </w14:solidFill>
                </w14:textFill>
              </w:rPr>
            </w:pPr>
            <w:r>
              <w:rPr>
                <w:color w:val="000000" w:themeColor="text1"/>
                <w14:textFill>
                  <w14:solidFill>
                    <w14:schemeClr w14:val="tx1"/>
                  </w14:solidFill>
                </w14:textFill>
              </w:rPr>
              <w:t>2012年1月1日~2021年1月1日安装（含更换）生活污水处理装置的船舶</w:t>
            </w:r>
          </w:p>
        </w:tc>
        <w:tc>
          <w:tcPr>
            <w:tcW w:w="3853" w:type="dxa"/>
            <w:vAlign w:val="center"/>
          </w:tcPr>
          <w:p w14:paraId="75C87878">
            <w:pPr>
              <w:pStyle w:val="70"/>
              <w:rPr>
                <w:color w:val="000000" w:themeColor="text1"/>
                <w14:textFill>
                  <w14:solidFill>
                    <w14:schemeClr w14:val="tx1"/>
                  </w14:solidFill>
                </w14:textFill>
              </w:rPr>
            </w:pPr>
            <w:r>
              <w:rPr>
                <w:color w:val="000000" w:themeColor="text1"/>
                <w14:textFill>
                  <w14:solidFill>
                    <w14:schemeClr w14:val="tx1"/>
                  </w14:solidFill>
                </w14:textFill>
              </w:rPr>
              <w:t>BOD</w:t>
            </w:r>
            <w:r>
              <w:rPr>
                <w:color w:val="000000" w:themeColor="text1"/>
                <w:vertAlign w:val="subscript"/>
                <w14:textFill>
                  <w14:solidFill>
                    <w14:schemeClr w14:val="tx1"/>
                  </w14:solidFill>
                </w14:textFill>
              </w:rPr>
              <w:t>5</w:t>
            </w:r>
            <w:r>
              <w:rPr>
                <w:color w:val="000000" w:themeColor="text1"/>
                <w14:textFill>
                  <w14:solidFill>
                    <w14:schemeClr w14:val="tx1"/>
                  </w14:solidFill>
                </w14:textFill>
              </w:rPr>
              <w:t>≤25；SS≤35；耐热大肠菌群数≤1000个/L；COD</w:t>
            </w:r>
            <w:r>
              <w:rPr>
                <w:color w:val="000000" w:themeColor="text1"/>
                <w:vertAlign w:val="subscript"/>
                <w14:textFill>
                  <w14:solidFill>
                    <w14:schemeClr w14:val="tx1"/>
                  </w14:solidFill>
                </w14:textFill>
              </w:rPr>
              <w:t>cr</w:t>
            </w:r>
            <w:r>
              <w:rPr>
                <w:color w:val="000000" w:themeColor="text1"/>
                <w14:textFill>
                  <w14:solidFill>
                    <w14:schemeClr w14:val="tx1"/>
                  </w14:solidFill>
                </w14:textFill>
              </w:rPr>
              <w:t>≤125；pH值6~8.5；总氯（总余氯）＜0.5</w:t>
            </w:r>
          </w:p>
        </w:tc>
        <w:tc>
          <w:tcPr>
            <w:tcW w:w="1069" w:type="dxa"/>
            <w:vMerge w:val="continue"/>
            <w:vAlign w:val="center"/>
          </w:tcPr>
          <w:p w14:paraId="1C7A7B0A">
            <w:pPr>
              <w:pStyle w:val="70"/>
              <w:rPr>
                <w:color w:val="000000" w:themeColor="text1"/>
                <w14:textFill>
                  <w14:solidFill>
                    <w14:schemeClr w14:val="tx1"/>
                  </w14:solidFill>
                </w14:textFill>
              </w:rPr>
            </w:pPr>
          </w:p>
        </w:tc>
      </w:tr>
      <w:tr w14:paraId="3D837B5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360" w:type="dxa"/>
            <w:gridSpan w:val="2"/>
            <w:vMerge w:val="continue"/>
            <w:vAlign w:val="center"/>
          </w:tcPr>
          <w:p w14:paraId="57C4A38E">
            <w:pPr>
              <w:pStyle w:val="70"/>
              <w:rPr>
                <w:color w:val="000000" w:themeColor="text1"/>
                <w14:textFill>
                  <w14:solidFill>
                    <w14:schemeClr w14:val="tx1"/>
                  </w14:solidFill>
                </w14:textFill>
              </w:rPr>
            </w:pPr>
          </w:p>
        </w:tc>
        <w:tc>
          <w:tcPr>
            <w:tcW w:w="696" w:type="dxa"/>
            <w:vMerge w:val="continue"/>
            <w:vAlign w:val="center"/>
          </w:tcPr>
          <w:p w14:paraId="01B138ED">
            <w:pPr>
              <w:pStyle w:val="70"/>
              <w:rPr>
                <w:color w:val="000000" w:themeColor="text1"/>
                <w14:textFill>
                  <w14:solidFill>
                    <w14:schemeClr w14:val="tx1"/>
                  </w14:solidFill>
                </w14:textFill>
              </w:rPr>
            </w:pPr>
          </w:p>
        </w:tc>
        <w:tc>
          <w:tcPr>
            <w:tcW w:w="2064" w:type="dxa"/>
            <w:vAlign w:val="center"/>
          </w:tcPr>
          <w:p w14:paraId="0FAE0CCE">
            <w:pPr>
              <w:pStyle w:val="70"/>
              <w:rPr>
                <w:color w:val="000000" w:themeColor="text1"/>
                <w14:textFill>
                  <w14:solidFill>
                    <w14:schemeClr w14:val="tx1"/>
                  </w14:solidFill>
                </w14:textFill>
              </w:rPr>
            </w:pPr>
            <w:r>
              <w:rPr>
                <w:color w:val="000000" w:themeColor="text1"/>
                <w14:textFill>
                  <w14:solidFill>
                    <w14:schemeClr w14:val="tx1"/>
                  </w14:solidFill>
                </w14:textFill>
              </w:rPr>
              <w:t>2021年1月1日以后安装（含更换）生活污水处理装置的船舶</w:t>
            </w:r>
          </w:p>
        </w:tc>
        <w:tc>
          <w:tcPr>
            <w:tcW w:w="3853" w:type="dxa"/>
            <w:vAlign w:val="center"/>
          </w:tcPr>
          <w:p w14:paraId="7C8E7AC5">
            <w:pPr>
              <w:pStyle w:val="70"/>
              <w:rPr>
                <w:color w:val="000000" w:themeColor="text1"/>
                <w14:textFill>
                  <w14:solidFill>
                    <w14:schemeClr w14:val="tx1"/>
                  </w14:solidFill>
                </w14:textFill>
              </w:rPr>
            </w:pPr>
            <w:r>
              <w:rPr>
                <w:color w:val="000000" w:themeColor="text1"/>
                <w14:textFill>
                  <w14:solidFill>
                    <w14:schemeClr w14:val="tx1"/>
                  </w14:solidFill>
                </w14:textFill>
              </w:rPr>
              <w:t>BOD</w:t>
            </w:r>
            <w:r>
              <w:rPr>
                <w:color w:val="000000" w:themeColor="text1"/>
                <w:vertAlign w:val="subscript"/>
                <w14:textFill>
                  <w14:solidFill>
                    <w14:schemeClr w14:val="tx1"/>
                  </w14:solidFill>
                </w14:textFill>
              </w:rPr>
              <w:t>5</w:t>
            </w:r>
            <w:r>
              <w:rPr>
                <w:color w:val="000000" w:themeColor="text1"/>
                <w14:textFill>
                  <w14:solidFill>
                    <w14:schemeClr w14:val="tx1"/>
                  </w14:solidFill>
                </w14:textFill>
              </w:rPr>
              <w:t>≤20；SS≤20；耐热大肠菌群数≤1000个/L；COD</w:t>
            </w:r>
            <w:r>
              <w:rPr>
                <w:color w:val="000000" w:themeColor="text1"/>
                <w:vertAlign w:val="subscript"/>
                <w14:textFill>
                  <w14:solidFill>
                    <w14:schemeClr w14:val="tx1"/>
                  </w14:solidFill>
                </w14:textFill>
              </w:rPr>
              <w:t>cr</w:t>
            </w:r>
            <w:r>
              <w:rPr>
                <w:color w:val="000000" w:themeColor="text1"/>
                <w14:textFill>
                  <w14:solidFill>
                    <w14:schemeClr w14:val="tx1"/>
                  </w14:solidFill>
                </w14:textFill>
              </w:rPr>
              <w:t>≤60；pH值6~8.5；总氯（总余氯）＜0.5；总氮≤20；氨氮≤15；总磷≤1</w:t>
            </w:r>
          </w:p>
        </w:tc>
        <w:tc>
          <w:tcPr>
            <w:tcW w:w="1069" w:type="dxa"/>
            <w:vMerge w:val="continue"/>
            <w:vAlign w:val="center"/>
          </w:tcPr>
          <w:p w14:paraId="2ECCD5D8">
            <w:pPr>
              <w:pStyle w:val="70"/>
              <w:rPr>
                <w:color w:val="000000" w:themeColor="text1"/>
                <w14:textFill>
                  <w14:solidFill>
                    <w14:schemeClr w14:val="tx1"/>
                  </w14:solidFill>
                </w14:textFill>
              </w:rPr>
            </w:pPr>
          </w:p>
        </w:tc>
      </w:tr>
    </w:tbl>
    <w:p w14:paraId="7382C35B">
      <w:pPr>
        <w:pStyle w:val="6"/>
        <w:rPr>
          <w:color w:val="000000" w:themeColor="text1"/>
          <w14:textFill>
            <w14:solidFill>
              <w14:schemeClr w14:val="tx1"/>
            </w14:solidFill>
          </w14:textFill>
        </w:rPr>
      </w:pPr>
      <w:r>
        <w:rPr>
          <w:color w:val="000000" w:themeColor="text1"/>
          <w14:textFill>
            <w14:solidFill>
              <w14:schemeClr w14:val="tx1"/>
            </w14:solidFill>
          </w14:textFill>
        </w:rPr>
        <w:t>声环境排放标准</w:t>
      </w:r>
    </w:p>
    <w:p w14:paraId="4F2CB36D">
      <w:pPr>
        <w:ind w:firstLine="480"/>
        <w:rPr>
          <w:color w:val="000000" w:themeColor="text1"/>
          <w:u w:val="single"/>
          <w14:textFill>
            <w14:solidFill>
              <w14:schemeClr w14:val="tx1"/>
            </w14:solidFill>
          </w14:textFill>
        </w:rPr>
      </w:pPr>
      <w:r>
        <w:rPr>
          <w:color w:val="000000" w:themeColor="text1"/>
          <w:u w:val="single"/>
          <w14:textFill>
            <w14:solidFill>
              <w14:schemeClr w14:val="tx1"/>
            </w14:solidFill>
          </w14:textFill>
        </w:rPr>
        <w:t>施工期执行《建筑施工噪声排放标准》(GB12523-20</w:t>
      </w:r>
      <w:r>
        <w:rPr>
          <w:rFonts w:hint="eastAsia"/>
          <w:color w:val="000000" w:themeColor="text1"/>
          <w:u w:val="single"/>
          <w14:textFill>
            <w14:solidFill>
              <w14:schemeClr w14:val="tx1"/>
            </w14:solidFill>
          </w14:textFill>
        </w:rPr>
        <w:t>25</w:t>
      </w:r>
      <w:r>
        <w:rPr>
          <w:color w:val="000000" w:themeColor="text1"/>
          <w:u w:val="single"/>
          <w14:textFill>
            <w14:solidFill>
              <w14:schemeClr w14:val="tx1"/>
            </w14:solidFill>
          </w14:textFill>
        </w:rPr>
        <w:t>)；码头厂界执行《工业企业场界环境噪声排放标准》（GB12348-2008）中的3 类标准。</w:t>
      </w:r>
    </w:p>
    <w:p w14:paraId="4931C092">
      <w:pPr>
        <w:pStyle w:val="7"/>
        <w:rPr>
          <w:color w:val="000000" w:themeColor="text1"/>
          <w14:textFill>
            <w14:solidFill>
              <w14:schemeClr w14:val="tx1"/>
            </w14:solidFill>
          </w14:textFill>
        </w:rPr>
      </w:pPr>
      <w:r>
        <w:rPr>
          <w:color w:val="000000" w:themeColor="text1"/>
          <w14:textFill>
            <w14:solidFill>
              <w14:schemeClr w14:val="tx1"/>
            </w14:solidFill>
          </w14:textFill>
        </w:rPr>
        <w:t>建筑施工场界噪声排放限值</w:t>
      </w:r>
      <w:r>
        <w:rPr>
          <w:rFonts w:hint="eastAsia"/>
          <w:color w:val="000000" w:themeColor="text1"/>
          <w14:textFill>
            <w14:solidFill>
              <w14:schemeClr w14:val="tx1"/>
            </w14:solidFill>
          </w14:textFill>
        </w:rPr>
        <w:t xml:space="preserve"> </w:t>
      </w:r>
      <w:r>
        <w:rPr>
          <w:color w:val="000000" w:themeColor="text1"/>
          <w14:textFill>
            <w14:solidFill>
              <w14:schemeClr w14:val="tx1"/>
            </w14:solidFill>
          </w14:textFill>
        </w:rPr>
        <w:t>单位：dB(A)</w:t>
      </w:r>
    </w:p>
    <w:tbl>
      <w:tblPr>
        <w:tblStyle w:val="43"/>
        <w:tblW w:w="9042"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5112"/>
        <w:gridCol w:w="3930"/>
      </w:tblGrid>
      <w:tr w14:paraId="254BADD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3" w:hRule="atLeast"/>
          <w:jc w:val="center"/>
        </w:trPr>
        <w:tc>
          <w:tcPr>
            <w:tcW w:w="5112" w:type="dxa"/>
            <w:vAlign w:val="center"/>
          </w:tcPr>
          <w:p w14:paraId="6AD82252">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昼间</w:t>
            </w:r>
          </w:p>
        </w:tc>
        <w:tc>
          <w:tcPr>
            <w:tcW w:w="3930" w:type="dxa"/>
            <w:vAlign w:val="center"/>
          </w:tcPr>
          <w:p w14:paraId="510FEC68">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夜间</w:t>
            </w:r>
          </w:p>
        </w:tc>
      </w:tr>
      <w:tr w14:paraId="5A55834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5112" w:type="dxa"/>
            <w:vAlign w:val="center"/>
          </w:tcPr>
          <w:p w14:paraId="6563B561">
            <w:pPr>
              <w:pStyle w:val="70"/>
              <w:rPr>
                <w:color w:val="000000" w:themeColor="text1"/>
                <w14:textFill>
                  <w14:solidFill>
                    <w14:schemeClr w14:val="tx1"/>
                  </w14:solidFill>
                </w14:textFill>
              </w:rPr>
            </w:pPr>
            <w:r>
              <w:rPr>
                <w:color w:val="000000" w:themeColor="text1"/>
                <w14:textFill>
                  <w14:solidFill>
                    <w14:schemeClr w14:val="tx1"/>
                  </w14:solidFill>
                </w14:textFill>
              </w:rPr>
              <w:t>70</w:t>
            </w:r>
          </w:p>
        </w:tc>
        <w:tc>
          <w:tcPr>
            <w:tcW w:w="3930" w:type="dxa"/>
            <w:vAlign w:val="center"/>
          </w:tcPr>
          <w:p w14:paraId="7AE79D83">
            <w:pPr>
              <w:pStyle w:val="70"/>
              <w:rPr>
                <w:color w:val="000000" w:themeColor="text1"/>
                <w14:textFill>
                  <w14:solidFill>
                    <w14:schemeClr w14:val="tx1"/>
                  </w14:solidFill>
                </w14:textFill>
              </w:rPr>
            </w:pPr>
            <w:r>
              <w:rPr>
                <w:color w:val="000000" w:themeColor="text1"/>
                <w14:textFill>
                  <w14:solidFill>
                    <w14:schemeClr w14:val="tx1"/>
                  </w14:solidFill>
                </w14:textFill>
              </w:rPr>
              <w:t>55</w:t>
            </w:r>
          </w:p>
        </w:tc>
      </w:tr>
    </w:tbl>
    <w:p w14:paraId="1406E1BC">
      <w:pPr>
        <w:pStyle w:val="7"/>
        <w:rPr>
          <w:color w:val="000000" w:themeColor="text1"/>
          <w14:textFill>
            <w14:solidFill>
              <w14:schemeClr w14:val="tx1"/>
            </w14:solidFill>
          </w14:textFill>
        </w:rPr>
      </w:pPr>
      <w:r>
        <w:rPr>
          <w:color w:val="000000" w:themeColor="text1"/>
          <w14:textFill>
            <w14:solidFill>
              <w14:schemeClr w14:val="tx1"/>
            </w14:solidFill>
          </w14:textFill>
        </w:rPr>
        <w:t>工业企业厂界环境噪声排放标准单位：dB(A)</w:t>
      </w:r>
    </w:p>
    <w:tbl>
      <w:tblPr>
        <w:tblStyle w:val="43"/>
        <w:tblW w:w="9042"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2111"/>
        <w:gridCol w:w="2163"/>
        <w:gridCol w:w="2383"/>
        <w:gridCol w:w="2385"/>
      </w:tblGrid>
      <w:tr w14:paraId="0EBD0B1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cantSplit/>
          <w:trHeight w:val="90" w:hRule="atLeast"/>
          <w:jc w:val="center"/>
        </w:trPr>
        <w:tc>
          <w:tcPr>
            <w:tcW w:w="2111" w:type="dxa"/>
            <w:vMerge w:val="restart"/>
            <w:vAlign w:val="center"/>
          </w:tcPr>
          <w:p w14:paraId="53C85BED">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名称</w:t>
            </w:r>
          </w:p>
        </w:tc>
        <w:tc>
          <w:tcPr>
            <w:tcW w:w="2163" w:type="dxa"/>
            <w:vMerge w:val="restart"/>
            <w:vAlign w:val="center"/>
          </w:tcPr>
          <w:p w14:paraId="12D2CDB1">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声环境功能区类别</w:t>
            </w:r>
          </w:p>
        </w:tc>
        <w:tc>
          <w:tcPr>
            <w:tcW w:w="4768" w:type="dxa"/>
            <w:gridSpan w:val="2"/>
            <w:vAlign w:val="center"/>
          </w:tcPr>
          <w:p w14:paraId="505E8618">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噪声限值</w:t>
            </w:r>
          </w:p>
        </w:tc>
      </w:tr>
      <w:tr w14:paraId="571E9EA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90" w:hRule="atLeast"/>
          <w:jc w:val="center"/>
        </w:trPr>
        <w:tc>
          <w:tcPr>
            <w:tcW w:w="2111" w:type="dxa"/>
            <w:vMerge w:val="continue"/>
            <w:vAlign w:val="center"/>
          </w:tcPr>
          <w:p w14:paraId="41A6CA53">
            <w:pPr>
              <w:pStyle w:val="70"/>
              <w:rPr>
                <w:b/>
                <w:bCs/>
                <w:color w:val="000000" w:themeColor="text1"/>
                <w14:textFill>
                  <w14:solidFill>
                    <w14:schemeClr w14:val="tx1"/>
                  </w14:solidFill>
                </w14:textFill>
              </w:rPr>
            </w:pPr>
          </w:p>
        </w:tc>
        <w:tc>
          <w:tcPr>
            <w:tcW w:w="2163" w:type="dxa"/>
            <w:vMerge w:val="continue"/>
            <w:vAlign w:val="center"/>
          </w:tcPr>
          <w:p w14:paraId="64E6CCFA">
            <w:pPr>
              <w:pStyle w:val="70"/>
              <w:rPr>
                <w:b/>
                <w:bCs/>
                <w:color w:val="000000" w:themeColor="text1"/>
                <w14:textFill>
                  <w14:solidFill>
                    <w14:schemeClr w14:val="tx1"/>
                  </w14:solidFill>
                </w14:textFill>
              </w:rPr>
            </w:pPr>
          </w:p>
        </w:tc>
        <w:tc>
          <w:tcPr>
            <w:tcW w:w="2383" w:type="dxa"/>
            <w:vAlign w:val="center"/>
          </w:tcPr>
          <w:p w14:paraId="1FB40FD3">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昼间</w:t>
            </w:r>
          </w:p>
        </w:tc>
        <w:tc>
          <w:tcPr>
            <w:tcW w:w="2385" w:type="dxa"/>
            <w:vAlign w:val="center"/>
          </w:tcPr>
          <w:p w14:paraId="31002035">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夜间</w:t>
            </w:r>
          </w:p>
        </w:tc>
      </w:tr>
      <w:tr w14:paraId="639ED45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90" w:hRule="atLeast"/>
          <w:jc w:val="center"/>
        </w:trPr>
        <w:tc>
          <w:tcPr>
            <w:tcW w:w="2111" w:type="dxa"/>
            <w:vAlign w:val="center"/>
          </w:tcPr>
          <w:p w14:paraId="5575936A">
            <w:pPr>
              <w:pStyle w:val="70"/>
              <w:rPr>
                <w:color w:val="000000" w:themeColor="text1"/>
                <w14:textFill>
                  <w14:solidFill>
                    <w14:schemeClr w14:val="tx1"/>
                  </w14:solidFill>
                </w14:textFill>
              </w:rPr>
            </w:pPr>
            <w:r>
              <w:rPr>
                <w:color w:val="000000" w:themeColor="text1"/>
                <w14:textFill>
                  <w14:solidFill>
                    <w14:schemeClr w14:val="tx1"/>
                  </w14:solidFill>
                </w14:textFill>
              </w:rPr>
              <w:t>项目厂界</w:t>
            </w:r>
          </w:p>
        </w:tc>
        <w:tc>
          <w:tcPr>
            <w:tcW w:w="2163" w:type="dxa"/>
            <w:vAlign w:val="center"/>
          </w:tcPr>
          <w:p w14:paraId="40762CC1">
            <w:pPr>
              <w:pStyle w:val="70"/>
              <w:rPr>
                <w:color w:val="000000" w:themeColor="text1"/>
                <w14:textFill>
                  <w14:solidFill>
                    <w14:schemeClr w14:val="tx1"/>
                  </w14:solidFill>
                </w14:textFill>
              </w:rPr>
            </w:pPr>
            <w:r>
              <w:rPr>
                <w:color w:val="000000" w:themeColor="text1"/>
                <w14:textFill>
                  <w14:solidFill>
                    <w14:schemeClr w14:val="tx1"/>
                  </w14:solidFill>
                </w14:textFill>
              </w:rPr>
              <w:t>3</w:t>
            </w:r>
          </w:p>
        </w:tc>
        <w:tc>
          <w:tcPr>
            <w:tcW w:w="2383" w:type="dxa"/>
            <w:vAlign w:val="center"/>
          </w:tcPr>
          <w:p w14:paraId="2EB27D05">
            <w:pPr>
              <w:pStyle w:val="70"/>
              <w:rPr>
                <w:color w:val="000000" w:themeColor="text1"/>
                <w14:textFill>
                  <w14:solidFill>
                    <w14:schemeClr w14:val="tx1"/>
                  </w14:solidFill>
                </w14:textFill>
              </w:rPr>
            </w:pPr>
            <w:r>
              <w:rPr>
                <w:color w:val="000000" w:themeColor="text1"/>
                <w14:textFill>
                  <w14:solidFill>
                    <w14:schemeClr w14:val="tx1"/>
                  </w14:solidFill>
                </w14:textFill>
              </w:rPr>
              <w:t>65</w:t>
            </w:r>
          </w:p>
        </w:tc>
        <w:tc>
          <w:tcPr>
            <w:tcW w:w="2385" w:type="dxa"/>
            <w:vAlign w:val="center"/>
          </w:tcPr>
          <w:p w14:paraId="70B3FC96">
            <w:pPr>
              <w:pStyle w:val="70"/>
              <w:rPr>
                <w:color w:val="000000" w:themeColor="text1"/>
                <w14:textFill>
                  <w14:solidFill>
                    <w14:schemeClr w14:val="tx1"/>
                  </w14:solidFill>
                </w14:textFill>
              </w:rPr>
            </w:pPr>
            <w:r>
              <w:rPr>
                <w:color w:val="000000" w:themeColor="text1"/>
                <w14:textFill>
                  <w14:solidFill>
                    <w14:schemeClr w14:val="tx1"/>
                  </w14:solidFill>
                </w14:textFill>
              </w:rPr>
              <w:t>55</w:t>
            </w:r>
          </w:p>
        </w:tc>
      </w:tr>
    </w:tbl>
    <w:p w14:paraId="1B52933F">
      <w:pPr>
        <w:pStyle w:val="6"/>
        <w:rPr>
          <w:color w:val="000000" w:themeColor="text1"/>
          <w14:textFill>
            <w14:solidFill>
              <w14:schemeClr w14:val="tx1"/>
            </w14:solidFill>
          </w14:textFill>
        </w:rPr>
      </w:pPr>
      <w:r>
        <w:rPr>
          <w:color w:val="000000" w:themeColor="text1"/>
          <w14:textFill>
            <w14:solidFill>
              <w14:schemeClr w14:val="tx1"/>
            </w14:solidFill>
          </w14:textFill>
        </w:rPr>
        <w:t>固体废物</w:t>
      </w:r>
    </w:p>
    <w:p w14:paraId="00DA6DD4">
      <w:pPr>
        <w:ind w:firstLine="480"/>
        <w:rPr>
          <w:color w:val="000000" w:themeColor="text1"/>
          <w14:textFill>
            <w14:solidFill>
              <w14:schemeClr w14:val="tx1"/>
            </w14:solidFill>
          </w14:textFill>
        </w:rPr>
      </w:pPr>
      <w:r>
        <w:rPr>
          <w:rFonts w:eastAsiaTheme="minorEastAsia"/>
          <w:color w:val="000000" w:themeColor="text1"/>
          <w14:textFill>
            <w14:solidFill>
              <w14:schemeClr w14:val="tx1"/>
            </w14:solidFill>
          </w14:textFill>
        </w:rPr>
        <w:t>一般工业固体废物执行《一般工业固体废物贮存和填埋污染控制标准》（GB18599-2020）；危险废物执行《危险废物贮存污染控制标准》（GB18597-2023）。</w:t>
      </w:r>
    </w:p>
    <w:p w14:paraId="0798399D">
      <w:pPr>
        <w:pStyle w:val="5"/>
        <w:rPr>
          <w:color w:val="000000" w:themeColor="text1"/>
          <w14:textFill>
            <w14:solidFill>
              <w14:schemeClr w14:val="tx1"/>
            </w14:solidFill>
          </w14:textFill>
        </w:rPr>
      </w:pPr>
      <w:bookmarkStart w:id="97" w:name="_Toc216620336"/>
      <w:r>
        <w:rPr>
          <w:color w:val="000000" w:themeColor="text1"/>
          <w14:textFill>
            <w14:solidFill>
              <w14:schemeClr w14:val="tx1"/>
            </w14:solidFill>
          </w14:textFill>
        </w:rPr>
        <w:t>评价工作等级和评价范围</w:t>
      </w:r>
      <w:bookmarkEnd w:id="97"/>
    </w:p>
    <w:p w14:paraId="1DE94146">
      <w:pPr>
        <w:pStyle w:val="4"/>
        <w:rPr>
          <w:color w:val="000000" w:themeColor="text1"/>
          <w14:textFill>
            <w14:solidFill>
              <w14:schemeClr w14:val="tx1"/>
            </w14:solidFill>
          </w14:textFill>
        </w:rPr>
      </w:pPr>
      <w:bookmarkStart w:id="98" w:name="_Toc26909957"/>
      <w:bookmarkStart w:id="99" w:name="_Toc136878425"/>
      <w:bookmarkStart w:id="100" w:name="_Toc135090176"/>
      <w:bookmarkStart w:id="101" w:name="_Toc216103178"/>
      <w:bookmarkStart w:id="102" w:name="_Toc25436911"/>
      <w:bookmarkStart w:id="103" w:name="_Toc29131771"/>
      <w:bookmarkStart w:id="104" w:name="_Toc216620337"/>
      <w:r>
        <w:rPr>
          <w:color w:val="000000" w:themeColor="text1"/>
          <w14:textFill>
            <w14:solidFill>
              <w14:schemeClr w14:val="tx1"/>
            </w14:solidFill>
          </w14:textFill>
        </w:rPr>
        <w:t>大气评价等级</w:t>
      </w:r>
      <w:bookmarkEnd w:id="98"/>
      <w:bookmarkEnd w:id="99"/>
      <w:bookmarkEnd w:id="100"/>
      <w:bookmarkEnd w:id="101"/>
      <w:bookmarkEnd w:id="102"/>
      <w:bookmarkEnd w:id="103"/>
      <w:bookmarkEnd w:id="104"/>
    </w:p>
    <w:p w14:paraId="3E16F82D">
      <w:pPr>
        <w:ind w:firstLine="480"/>
        <w:rPr>
          <w:color w:val="000000" w:themeColor="text1"/>
          <w14:textFill>
            <w14:solidFill>
              <w14:schemeClr w14:val="tx1"/>
            </w14:solidFill>
          </w14:textFill>
        </w:rPr>
      </w:pPr>
      <w:r>
        <w:rPr>
          <w:snapToGrid w:val="0"/>
          <w:color w:val="000000" w:themeColor="text1"/>
          <w:kern w:val="0"/>
          <w14:textFill>
            <w14:solidFill>
              <w14:schemeClr w14:val="tx1"/>
            </w14:solidFill>
          </w14:textFill>
        </w:rPr>
        <w:t>根据《环境影响评价技术导则 大气环境》（HJ2.2-2018）的要求对本工程环境影响评价等级进行计算，根据项目工艺特点、污染物控制标准及污染物排放情况，对废气回收装置及码头无组织排放分别选取主要污染物进行污染源估算。</w:t>
      </w:r>
      <w:r>
        <w:rPr>
          <w:rFonts w:ascii="宋体" w:hAnsi="宋体"/>
          <w:color w:val="000000" w:themeColor="text1"/>
          <w14:textFill>
            <w14:solidFill>
              <w14:schemeClr w14:val="tx1"/>
            </w14:solidFill>
          </w14:textFill>
        </w:rPr>
        <w:t>本</w:t>
      </w:r>
      <w:r>
        <w:rPr>
          <w:rFonts w:hint="eastAsia" w:ascii="宋体" w:hAnsi="宋体"/>
          <w:color w:val="000000" w:themeColor="text1"/>
          <w14:textFill>
            <w14:solidFill>
              <w14:schemeClr w14:val="tx1"/>
            </w14:solidFill>
          </w14:textFill>
        </w:rPr>
        <w:t>扩建项目</w:t>
      </w:r>
      <w:r>
        <w:rPr>
          <w:rFonts w:ascii="宋体" w:hAnsi="宋体"/>
          <w:color w:val="000000" w:themeColor="text1"/>
          <w14:textFill>
            <w14:solidFill>
              <w14:schemeClr w14:val="tx1"/>
            </w14:solidFill>
          </w14:textFill>
        </w:rPr>
        <w:t>主要废气环境影响是装卸过程装卸作业排放的有机废气，</w:t>
      </w:r>
      <w:r>
        <w:rPr>
          <w:snapToGrid w:val="0"/>
          <w:color w:val="000000" w:themeColor="text1"/>
          <w:kern w:val="0"/>
          <w14:textFill>
            <w14:solidFill>
              <w14:schemeClr w14:val="tx1"/>
            </w14:solidFill>
          </w14:textFill>
        </w:rPr>
        <w:t>特征污染物主要考虑苯乙烯、硫酸、非甲烷总烃。</w:t>
      </w:r>
    </w:p>
    <w:p w14:paraId="33A085EF">
      <w:pPr>
        <w:ind w:firstLine="480"/>
        <w:contextualSpacing/>
        <w:rPr>
          <w:color w:val="000000" w:themeColor="text1"/>
          <w14:textFill>
            <w14:solidFill>
              <w14:schemeClr w14:val="tx1"/>
            </w14:solidFill>
          </w14:textFill>
        </w:rPr>
      </w:pPr>
      <w:r>
        <w:rPr>
          <w:color w:val="000000" w:themeColor="text1"/>
          <w14:textFill>
            <w14:solidFill>
              <w14:schemeClr w14:val="tx1"/>
            </w14:solidFill>
          </w14:textFill>
        </w:rPr>
        <w:t>最大地面空气质量浓度占标率计算公式：</w:t>
      </w:r>
    </w:p>
    <w:p w14:paraId="6D26373D">
      <w:pPr>
        <w:ind w:firstLine="480"/>
        <w:jc w:val="cente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1219200" cy="228600"/>
            <wp:effectExtent l="0" t="0" r="0" b="0"/>
            <wp:docPr id="6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30"/>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a:xfrm>
                      <a:off x="0" y="0"/>
                      <a:ext cx="1219200" cy="228600"/>
                    </a:xfrm>
                    <a:prstGeom prst="rect">
                      <a:avLst/>
                    </a:prstGeom>
                    <a:noFill/>
                    <a:ln>
                      <a:noFill/>
                    </a:ln>
                  </pic:spPr>
                </pic:pic>
              </a:graphicData>
            </a:graphic>
          </wp:inline>
        </w:drawing>
      </w:r>
    </w:p>
    <w:p w14:paraId="0277A885">
      <w:pPr>
        <w:ind w:firstLine="480"/>
        <w:rPr>
          <w:color w:val="000000" w:themeColor="text1"/>
          <w14:textFill>
            <w14:solidFill>
              <w14:schemeClr w14:val="tx1"/>
            </w14:solidFill>
          </w14:textFill>
        </w:rPr>
      </w:pPr>
      <w:r>
        <w:rPr>
          <w:color w:val="000000" w:themeColor="text1"/>
          <w14:textFill>
            <w14:solidFill>
              <w14:schemeClr w14:val="tx1"/>
            </w14:solidFill>
          </w14:textFill>
        </w:rPr>
        <w:t>式中：</w:t>
      </w:r>
    </w:p>
    <w:p w14:paraId="6D1C4E53">
      <w:pPr>
        <w:ind w:firstLine="480"/>
        <w:rPr>
          <w:color w:val="000000" w:themeColor="text1"/>
          <w14:textFill>
            <w14:solidFill>
              <w14:schemeClr w14:val="tx1"/>
            </w14:solidFill>
          </w14:textFill>
        </w:rPr>
      </w:pPr>
      <w:r>
        <w:rPr>
          <w:color w:val="000000" w:themeColor="text1"/>
          <w14:textFill>
            <w14:solidFill>
              <w14:schemeClr w14:val="tx1"/>
            </w14:solidFill>
          </w14:textFill>
        </w:rPr>
        <w:t>P</w:t>
      </w:r>
      <w:r>
        <w:rPr>
          <w:color w:val="000000" w:themeColor="text1"/>
          <w:vertAlign w:val="subscript"/>
          <w14:textFill>
            <w14:solidFill>
              <w14:schemeClr w14:val="tx1"/>
            </w14:solidFill>
          </w14:textFill>
        </w:rPr>
        <w:t>i</w:t>
      </w:r>
      <w:r>
        <w:rPr>
          <w:color w:val="000000" w:themeColor="text1"/>
          <w14:textFill>
            <w14:solidFill>
              <w14:schemeClr w14:val="tx1"/>
            </w14:solidFill>
          </w14:textFill>
        </w:rPr>
        <w:t>——第i个污染物的最大地面浓度占标率，%；</w:t>
      </w:r>
    </w:p>
    <w:p w14:paraId="18F62F72">
      <w:pPr>
        <w:ind w:firstLine="480"/>
        <w:rPr>
          <w:color w:val="000000" w:themeColor="text1"/>
          <w14:textFill>
            <w14:solidFill>
              <w14:schemeClr w14:val="tx1"/>
            </w14:solidFill>
          </w14:textFill>
        </w:rPr>
      </w:pPr>
      <w:r>
        <w:rPr>
          <w:color w:val="000000" w:themeColor="text1"/>
          <w14:textFill>
            <w14:solidFill>
              <w14:schemeClr w14:val="tx1"/>
            </w14:solidFill>
          </w14:textFill>
        </w:rPr>
        <w:t>C</w:t>
      </w:r>
      <w:r>
        <w:rPr>
          <w:color w:val="000000" w:themeColor="text1"/>
          <w:vertAlign w:val="subscript"/>
          <w14:textFill>
            <w14:solidFill>
              <w14:schemeClr w14:val="tx1"/>
            </w14:solidFill>
          </w14:textFill>
        </w:rPr>
        <w:t>i</w:t>
      </w:r>
      <w:r>
        <w:rPr>
          <w:color w:val="000000" w:themeColor="text1"/>
          <w14:textFill>
            <w14:solidFill>
              <w14:schemeClr w14:val="tx1"/>
            </w14:solidFill>
          </w14:textFill>
        </w:rPr>
        <w:t>——采用估算模式计算出的第i个污染物的最大地面浓度，mg/m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w:t>
      </w:r>
    </w:p>
    <w:p w14:paraId="216CA18E">
      <w:pPr>
        <w:ind w:firstLine="480"/>
        <w:rPr>
          <w:color w:val="000000" w:themeColor="text1"/>
          <w14:textFill>
            <w14:solidFill>
              <w14:schemeClr w14:val="tx1"/>
            </w14:solidFill>
          </w14:textFill>
        </w:rPr>
      </w:pPr>
      <w:r>
        <w:rPr>
          <w:color w:val="000000" w:themeColor="text1"/>
          <w14:textFill>
            <w14:solidFill>
              <w14:schemeClr w14:val="tx1"/>
            </w14:solidFill>
          </w14:textFill>
        </w:rPr>
        <w:t>C</w:t>
      </w:r>
      <w:r>
        <w:rPr>
          <w:color w:val="000000" w:themeColor="text1"/>
          <w:vertAlign w:val="subscript"/>
          <w14:textFill>
            <w14:solidFill>
              <w14:schemeClr w14:val="tx1"/>
            </w14:solidFill>
          </w14:textFill>
        </w:rPr>
        <w:t>0i</w:t>
      </w:r>
      <w:r>
        <w:rPr>
          <w:color w:val="000000" w:themeColor="text1"/>
          <w14:textFill>
            <w14:solidFill>
              <w14:schemeClr w14:val="tx1"/>
            </w14:solidFill>
          </w14:textFill>
        </w:rPr>
        <w:t>——第i个污染物的环境空气质量标准，mg/m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w:t>
      </w:r>
    </w:p>
    <w:p w14:paraId="52261748">
      <w:pPr>
        <w:pStyle w:val="7"/>
        <w:rPr>
          <w:color w:val="000000" w:themeColor="text1"/>
          <w14:textFill>
            <w14:solidFill>
              <w14:schemeClr w14:val="tx1"/>
            </w14:solidFill>
          </w14:textFill>
        </w:rPr>
      </w:pPr>
      <w:r>
        <w:rPr>
          <w:color w:val="000000" w:themeColor="text1"/>
          <w14:textFill>
            <w14:solidFill>
              <w14:schemeClr w14:val="tx1"/>
            </w14:solidFill>
          </w14:textFill>
        </w:rPr>
        <w:t>评价工作等级</w:t>
      </w:r>
    </w:p>
    <w:tbl>
      <w:tblPr>
        <w:tblStyle w:val="43"/>
        <w:tblW w:w="9042"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3033"/>
        <w:gridCol w:w="6009"/>
      </w:tblGrid>
      <w:tr w14:paraId="01389E1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3033" w:type="dxa"/>
            <w:vAlign w:val="center"/>
          </w:tcPr>
          <w:p w14:paraId="55F45F66">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评价工作等级</w:t>
            </w:r>
          </w:p>
        </w:tc>
        <w:tc>
          <w:tcPr>
            <w:tcW w:w="6009" w:type="dxa"/>
            <w:vAlign w:val="center"/>
          </w:tcPr>
          <w:p w14:paraId="2D81505F">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评价工作分级判据</w:t>
            </w:r>
          </w:p>
        </w:tc>
      </w:tr>
      <w:tr w14:paraId="68215BE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3033" w:type="dxa"/>
            <w:vAlign w:val="center"/>
          </w:tcPr>
          <w:p w14:paraId="4068C358">
            <w:pPr>
              <w:pStyle w:val="70"/>
              <w:rPr>
                <w:color w:val="000000" w:themeColor="text1"/>
                <w14:textFill>
                  <w14:solidFill>
                    <w14:schemeClr w14:val="tx1"/>
                  </w14:solidFill>
                </w14:textFill>
              </w:rPr>
            </w:pPr>
            <w:r>
              <w:rPr>
                <w:color w:val="000000" w:themeColor="text1"/>
                <w14:textFill>
                  <w14:solidFill>
                    <w14:schemeClr w14:val="tx1"/>
                  </w14:solidFill>
                </w14:textFill>
              </w:rPr>
              <w:t>一级</w:t>
            </w:r>
          </w:p>
        </w:tc>
        <w:tc>
          <w:tcPr>
            <w:tcW w:w="6009" w:type="dxa"/>
            <w:vAlign w:val="center"/>
          </w:tcPr>
          <w:p w14:paraId="62B3B073">
            <w:pPr>
              <w:pStyle w:val="70"/>
              <w:rPr>
                <w:color w:val="000000" w:themeColor="text1"/>
                <w14:textFill>
                  <w14:solidFill>
                    <w14:schemeClr w14:val="tx1"/>
                  </w14:solidFill>
                </w14:textFill>
              </w:rPr>
            </w:pPr>
            <w:r>
              <w:rPr>
                <w:color w:val="000000" w:themeColor="text1"/>
                <w14:textFill>
                  <w14:solidFill>
                    <w14:schemeClr w14:val="tx1"/>
                  </w14:solidFill>
                </w14:textFill>
              </w:rPr>
              <w:t>Pmax≥10%</w:t>
            </w:r>
          </w:p>
        </w:tc>
      </w:tr>
      <w:tr w14:paraId="34D919A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3033" w:type="dxa"/>
            <w:vAlign w:val="center"/>
          </w:tcPr>
          <w:p w14:paraId="760946E4">
            <w:pPr>
              <w:pStyle w:val="70"/>
              <w:rPr>
                <w:color w:val="000000" w:themeColor="text1"/>
                <w14:textFill>
                  <w14:solidFill>
                    <w14:schemeClr w14:val="tx1"/>
                  </w14:solidFill>
                </w14:textFill>
              </w:rPr>
            </w:pPr>
            <w:r>
              <w:rPr>
                <w:color w:val="000000" w:themeColor="text1"/>
                <w14:textFill>
                  <w14:solidFill>
                    <w14:schemeClr w14:val="tx1"/>
                  </w14:solidFill>
                </w14:textFill>
              </w:rPr>
              <w:t>二级</w:t>
            </w:r>
          </w:p>
        </w:tc>
        <w:tc>
          <w:tcPr>
            <w:tcW w:w="6009" w:type="dxa"/>
            <w:vAlign w:val="center"/>
          </w:tcPr>
          <w:p w14:paraId="53EBFEA4">
            <w:pPr>
              <w:pStyle w:val="70"/>
              <w:rPr>
                <w:color w:val="000000" w:themeColor="text1"/>
                <w14:textFill>
                  <w14:solidFill>
                    <w14:schemeClr w14:val="tx1"/>
                  </w14:solidFill>
                </w14:textFill>
              </w:rPr>
            </w:pPr>
            <w:r>
              <w:rPr>
                <w:color w:val="000000" w:themeColor="text1"/>
                <w14:textFill>
                  <w14:solidFill>
                    <w14:schemeClr w14:val="tx1"/>
                  </w14:solidFill>
                </w14:textFill>
              </w:rPr>
              <w:t>1%≤Pmax&lt;10%</w:t>
            </w:r>
          </w:p>
        </w:tc>
      </w:tr>
      <w:tr w14:paraId="1C18EB3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3033" w:type="dxa"/>
            <w:vAlign w:val="center"/>
          </w:tcPr>
          <w:p w14:paraId="5CC68474">
            <w:pPr>
              <w:pStyle w:val="70"/>
              <w:rPr>
                <w:color w:val="000000" w:themeColor="text1"/>
                <w14:textFill>
                  <w14:solidFill>
                    <w14:schemeClr w14:val="tx1"/>
                  </w14:solidFill>
                </w14:textFill>
              </w:rPr>
            </w:pPr>
            <w:r>
              <w:rPr>
                <w:color w:val="000000" w:themeColor="text1"/>
                <w14:textFill>
                  <w14:solidFill>
                    <w14:schemeClr w14:val="tx1"/>
                  </w14:solidFill>
                </w14:textFill>
              </w:rPr>
              <w:t>三级</w:t>
            </w:r>
          </w:p>
        </w:tc>
        <w:tc>
          <w:tcPr>
            <w:tcW w:w="6009" w:type="dxa"/>
            <w:vAlign w:val="center"/>
          </w:tcPr>
          <w:p w14:paraId="29FB0A73">
            <w:pPr>
              <w:pStyle w:val="70"/>
              <w:rPr>
                <w:color w:val="000000" w:themeColor="text1"/>
                <w14:textFill>
                  <w14:solidFill>
                    <w14:schemeClr w14:val="tx1"/>
                  </w14:solidFill>
                </w14:textFill>
              </w:rPr>
            </w:pPr>
            <w:r>
              <w:rPr>
                <w:color w:val="000000" w:themeColor="text1"/>
                <w14:textFill>
                  <w14:solidFill>
                    <w14:schemeClr w14:val="tx1"/>
                  </w14:solidFill>
                </w14:textFill>
              </w:rPr>
              <w:t>Pmax&lt;1%</w:t>
            </w:r>
          </w:p>
        </w:tc>
      </w:tr>
    </w:tbl>
    <w:p w14:paraId="64603D1D">
      <w:pPr>
        <w:ind w:firstLine="480"/>
        <w:rPr>
          <w:color w:val="000000" w:themeColor="text1"/>
          <w14:textFill>
            <w14:solidFill>
              <w14:schemeClr w14:val="tx1"/>
            </w14:solidFill>
          </w14:textFill>
        </w:rPr>
      </w:pPr>
      <w:r>
        <w:rPr>
          <w:color w:val="000000" w:themeColor="text1"/>
          <w14:textFill>
            <w14:solidFill>
              <w14:schemeClr w14:val="tx1"/>
            </w14:solidFill>
          </w14:textFill>
        </w:rPr>
        <w:t>估算模式参数见表1.5.2。项目源强一览表见表1.5-3~表1.5-4。</w:t>
      </w:r>
    </w:p>
    <w:p w14:paraId="67CBACD7">
      <w:pPr>
        <w:ind w:firstLine="480"/>
        <w:rPr>
          <w:color w:val="000000" w:themeColor="text1"/>
          <w14:textFill>
            <w14:solidFill>
              <w14:schemeClr w14:val="tx1"/>
            </w14:solidFill>
          </w14:textFill>
        </w:rPr>
      </w:pPr>
    </w:p>
    <w:p w14:paraId="0C166E78">
      <w:pPr>
        <w:pStyle w:val="7"/>
        <w:rPr>
          <w:color w:val="000000" w:themeColor="text1"/>
          <w14:textFill>
            <w14:solidFill>
              <w14:schemeClr w14:val="tx1"/>
            </w14:solidFill>
          </w14:textFill>
        </w:rPr>
      </w:pPr>
      <w:r>
        <w:rPr>
          <w:color w:val="000000" w:themeColor="text1"/>
          <w14:textFill>
            <w14:solidFill>
              <w14:schemeClr w14:val="tx1"/>
            </w14:solidFill>
          </w14:textFill>
        </w:rPr>
        <w:t>项目厂区估算模型参数表</w:t>
      </w:r>
    </w:p>
    <w:tbl>
      <w:tblPr>
        <w:tblStyle w:val="43"/>
        <w:tblW w:w="9042"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716"/>
        <w:gridCol w:w="4076"/>
        <w:gridCol w:w="3250"/>
      </w:tblGrid>
      <w:tr w14:paraId="2E4783B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1" w:hRule="atLeast"/>
          <w:tblHeader/>
          <w:jc w:val="center"/>
        </w:trPr>
        <w:tc>
          <w:tcPr>
            <w:tcW w:w="5792" w:type="dxa"/>
            <w:gridSpan w:val="2"/>
            <w:vAlign w:val="center"/>
          </w:tcPr>
          <w:p w14:paraId="612D84C3">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参数</w:t>
            </w:r>
          </w:p>
        </w:tc>
        <w:tc>
          <w:tcPr>
            <w:tcW w:w="3250" w:type="dxa"/>
            <w:vAlign w:val="center"/>
          </w:tcPr>
          <w:p w14:paraId="0030A4A0">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取值</w:t>
            </w:r>
          </w:p>
        </w:tc>
      </w:tr>
      <w:tr w14:paraId="00B9E25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1" w:hRule="atLeast"/>
          <w:jc w:val="center"/>
        </w:trPr>
        <w:tc>
          <w:tcPr>
            <w:tcW w:w="1716" w:type="dxa"/>
            <w:vMerge w:val="restart"/>
            <w:vAlign w:val="center"/>
          </w:tcPr>
          <w:p w14:paraId="46C3E89E">
            <w:pPr>
              <w:pStyle w:val="70"/>
              <w:rPr>
                <w:color w:val="000000" w:themeColor="text1"/>
                <w14:textFill>
                  <w14:solidFill>
                    <w14:schemeClr w14:val="tx1"/>
                  </w14:solidFill>
                </w14:textFill>
              </w:rPr>
            </w:pPr>
            <w:r>
              <w:rPr>
                <w:color w:val="000000" w:themeColor="text1"/>
                <w14:textFill>
                  <w14:solidFill>
                    <w14:schemeClr w14:val="tx1"/>
                  </w14:solidFill>
                </w14:textFill>
              </w:rPr>
              <w:t>城市/农村选项</w:t>
            </w:r>
          </w:p>
        </w:tc>
        <w:tc>
          <w:tcPr>
            <w:tcW w:w="4076" w:type="dxa"/>
            <w:vAlign w:val="center"/>
          </w:tcPr>
          <w:p w14:paraId="7CE74A1D">
            <w:pPr>
              <w:pStyle w:val="70"/>
              <w:rPr>
                <w:color w:val="000000" w:themeColor="text1"/>
                <w14:textFill>
                  <w14:solidFill>
                    <w14:schemeClr w14:val="tx1"/>
                  </w14:solidFill>
                </w14:textFill>
              </w:rPr>
            </w:pPr>
            <w:r>
              <w:rPr>
                <w:color w:val="000000" w:themeColor="text1"/>
                <w14:textFill>
                  <w14:solidFill>
                    <w14:schemeClr w14:val="tx1"/>
                  </w14:solidFill>
                </w14:textFill>
              </w:rPr>
              <w:t>城市/农村</w:t>
            </w:r>
          </w:p>
        </w:tc>
        <w:tc>
          <w:tcPr>
            <w:tcW w:w="3250" w:type="dxa"/>
            <w:vAlign w:val="center"/>
          </w:tcPr>
          <w:p w14:paraId="56661691">
            <w:pPr>
              <w:pStyle w:val="70"/>
              <w:rPr>
                <w:color w:val="000000" w:themeColor="text1"/>
                <w14:textFill>
                  <w14:solidFill>
                    <w14:schemeClr w14:val="tx1"/>
                  </w14:solidFill>
                </w14:textFill>
              </w:rPr>
            </w:pPr>
            <w:r>
              <w:rPr>
                <w:color w:val="000000" w:themeColor="text1"/>
                <w14:textFill>
                  <w14:solidFill>
                    <w14:schemeClr w14:val="tx1"/>
                  </w14:solidFill>
                </w14:textFill>
              </w:rPr>
              <w:t>城市</w:t>
            </w:r>
          </w:p>
        </w:tc>
      </w:tr>
      <w:tr w14:paraId="75214FC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1" w:hRule="atLeast"/>
          <w:jc w:val="center"/>
        </w:trPr>
        <w:tc>
          <w:tcPr>
            <w:tcW w:w="1716" w:type="dxa"/>
            <w:vMerge w:val="continue"/>
            <w:vAlign w:val="center"/>
          </w:tcPr>
          <w:p w14:paraId="1B71D830">
            <w:pPr>
              <w:pStyle w:val="70"/>
              <w:rPr>
                <w:color w:val="000000" w:themeColor="text1"/>
                <w14:textFill>
                  <w14:solidFill>
                    <w14:schemeClr w14:val="tx1"/>
                  </w14:solidFill>
                </w14:textFill>
              </w:rPr>
            </w:pPr>
          </w:p>
        </w:tc>
        <w:tc>
          <w:tcPr>
            <w:tcW w:w="4076" w:type="dxa"/>
            <w:vAlign w:val="center"/>
          </w:tcPr>
          <w:p w14:paraId="755D8105">
            <w:pPr>
              <w:pStyle w:val="70"/>
              <w:rPr>
                <w:color w:val="000000" w:themeColor="text1"/>
                <w14:textFill>
                  <w14:solidFill>
                    <w14:schemeClr w14:val="tx1"/>
                  </w14:solidFill>
                </w14:textFill>
              </w:rPr>
            </w:pPr>
            <w:r>
              <w:rPr>
                <w:color w:val="000000" w:themeColor="text1"/>
                <w14:textFill>
                  <w14:solidFill>
                    <w14:schemeClr w14:val="tx1"/>
                  </w14:solidFill>
                </w14:textFill>
              </w:rPr>
              <w:t>人口数（城市选项时）</w:t>
            </w:r>
          </w:p>
        </w:tc>
        <w:tc>
          <w:tcPr>
            <w:tcW w:w="3250" w:type="dxa"/>
            <w:vAlign w:val="center"/>
          </w:tcPr>
          <w:p w14:paraId="1DC4979E">
            <w:pPr>
              <w:pStyle w:val="70"/>
              <w:rPr>
                <w:color w:val="000000" w:themeColor="text1"/>
                <w14:textFill>
                  <w14:solidFill>
                    <w14:schemeClr w14:val="tx1"/>
                  </w14:solidFill>
                </w14:textFill>
              </w:rPr>
            </w:pPr>
            <w:r>
              <w:rPr>
                <w:color w:val="000000" w:themeColor="text1"/>
                <w14:textFill>
                  <w14:solidFill>
                    <w14:schemeClr w14:val="tx1"/>
                  </w14:solidFill>
                </w14:textFill>
              </w:rPr>
              <w:t>4.3万</w:t>
            </w:r>
          </w:p>
        </w:tc>
      </w:tr>
      <w:tr w14:paraId="18CD839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1" w:hRule="atLeast"/>
          <w:jc w:val="center"/>
        </w:trPr>
        <w:tc>
          <w:tcPr>
            <w:tcW w:w="5792" w:type="dxa"/>
            <w:gridSpan w:val="2"/>
            <w:vAlign w:val="center"/>
          </w:tcPr>
          <w:p w14:paraId="2AFEF7D3">
            <w:pPr>
              <w:pStyle w:val="70"/>
              <w:rPr>
                <w:color w:val="000000" w:themeColor="text1"/>
                <w14:textFill>
                  <w14:solidFill>
                    <w14:schemeClr w14:val="tx1"/>
                  </w14:solidFill>
                </w14:textFill>
              </w:rPr>
            </w:pPr>
            <w:r>
              <w:rPr>
                <w:color w:val="000000" w:themeColor="text1"/>
                <w14:textFill>
                  <w14:solidFill>
                    <w14:schemeClr w14:val="tx1"/>
                  </w14:solidFill>
                </w14:textFill>
              </w:rPr>
              <w:t>最高环境温度/</w:t>
            </w:r>
            <w:r>
              <w:rPr>
                <w:color w:val="000000" w:themeColor="text1"/>
                <w:vertAlign w:val="superscript"/>
                <w14:textFill>
                  <w14:solidFill>
                    <w14:schemeClr w14:val="tx1"/>
                  </w14:solidFill>
                </w14:textFill>
              </w:rPr>
              <w:t>o</w:t>
            </w:r>
            <w:r>
              <w:rPr>
                <w:color w:val="000000" w:themeColor="text1"/>
                <w14:textFill>
                  <w14:solidFill>
                    <w14:schemeClr w14:val="tx1"/>
                  </w14:solidFill>
                </w14:textFill>
              </w:rPr>
              <w:t>C</w:t>
            </w:r>
          </w:p>
        </w:tc>
        <w:tc>
          <w:tcPr>
            <w:tcW w:w="3250" w:type="dxa"/>
            <w:vAlign w:val="center"/>
          </w:tcPr>
          <w:p w14:paraId="4ABE0A4F">
            <w:pPr>
              <w:pStyle w:val="70"/>
              <w:rPr>
                <w:color w:val="000000" w:themeColor="text1"/>
                <w14:textFill>
                  <w14:solidFill>
                    <w14:schemeClr w14:val="tx1"/>
                  </w14:solidFill>
                </w14:textFill>
              </w:rPr>
            </w:pPr>
            <w:r>
              <w:rPr>
                <w:color w:val="000000" w:themeColor="text1"/>
                <w14:textFill>
                  <w14:solidFill>
                    <w14:schemeClr w14:val="tx1"/>
                  </w14:solidFill>
                </w14:textFill>
              </w:rPr>
              <w:t>36.8</w:t>
            </w:r>
          </w:p>
        </w:tc>
      </w:tr>
      <w:tr w14:paraId="00D192E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1" w:hRule="atLeast"/>
          <w:jc w:val="center"/>
        </w:trPr>
        <w:tc>
          <w:tcPr>
            <w:tcW w:w="5792" w:type="dxa"/>
            <w:gridSpan w:val="2"/>
            <w:vAlign w:val="center"/>
          </w:tcPr>
          <w:p w14:paraId="159A133E">
            <w:pPr>
              <w:pStyle w:val="70"/>
              <w:rPr>
                <w:color w:val="000000" w:themeColor="text1"/>
                <w14:textFill>
                  <w14:solidFill>
                    <w14:schemeClr w14:val="tx1"/>
                  </w14:solidFill>
                </w14:textFill>
              </w:rPr>
            </w:pPr>
            <w:r>
              <w:rPr>
                <w:color w:val="000000" w:themeColor="text1"/>
                <w14:textFill>
                  <w14:solidFill>
                    <w14:schemeClr w14:val="tx1"/>
                  </w14:solidFill>
                </w14:textFill>
              </w:rPr>
              <w:t>最低环境温度/</w:t>
            </w:r>
            <w:r>
              <w:rPr>
                <w:color w:val="000000" w:themeColor="text1"/>
                <w:vertAlign w:val="superscript"/>
                <w14:textFill>
                  <w14:solidFill>
                    <w14:schemeClr w14:val="tx1"/>
                  </w14:solidFill>
                </w14:textFill>
              </w:rPr>
              <w:t>o</w:t>
            </w:r>
            <w:r>
              <w:rPr>
                <w:color w:val="000000" w:themeColor="text1"/>
                <w14:textFill>
                  <w14:solidFill>
                    <w14:schemeClr w14:val="tx1"/>
                  </w14:solidFill>
                </w14:textFill>
              </w:rPr>
              <w:t>C</w:t>
            </w:r>
          </w:p>
        </w:tc>
        <w:tc>
          <w:tcPr>
            <w:tcW w:w="3250" w:type="dxa"/>
            <w:vAlign w:val="center"/>
          </w:tcPr>
          <w:p w14:paraId="2786FD80">
            <w:pPr>
              <w:pStyle w:val="70"/>
              <w:rPr>
                <w:color w:val="000000" w:themeColor="text1"/>
                <w14:textFill>
                  <w14:solidFill>
                    <w14:schemeClr w14:val="tx1"/>
                  </w14:solidFill>
                </w14:textFill>
              </w:rPr>
            </w:pPr>
            <w:r>
              <w:rPr>
                <w:color w:val="000000" w:themeColor="text1"/>
                <w14:textFill>
                  <w14:solidFill>
                    <w14:schemeClr w14:val="tx1"/>
                  </w14:solidFill>
                </w14:textFill>
              </w:rPr>
              <w:t>5</w:t>
            </w:r>
          </w:p>
        </w:tc>
      </w:tr>
      <w:tr w14:paraId="2A3CFBE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1" w:hRule="atLeast"/>
          <w:jc w:val="center"/>
        </w:trPr>
        <w:tc>
          <w:tcPr>
            <w:tcW w:w="5792" w:type="dxa"/>
            <w:gridSpan w:val="2"/>
            <w:vAlign w:val="center"/>
          </w:tcPr>
          <w:p w14:paraId="3787F854">
            <w:pPr>
              <w:pStyle w:val="70"/>
              <w:rPr>
                <w:color w:val="000000" w:themeColor="text1"/>
                <w14:textFill>
                  <w14:solidFill>
                    <w14:schemeClr w14:val="tx1"/>
                  </w14:solidFill>
                </w14:textFill>
              </w:rPr>
            </w:pPr>
            <w:r>
              <w:rPr>
                <w:color w:val="000000" w:themeColor="text1"/>
                <w14:textFill>
                  <w14:solidFill>
                    <w14:schemeClr w14:val="tx1"/>
                  </w14:solidFill>
                </w14:textFill>
              </w:rPr>
              <w:t>土地利用类型</w:t>
            </w:r>
          </w:p>
        </w:tc>
        <w:tc>
          <w:tcPr>
            <w:tcW w:w="3250" w:type="dxa"/>
            <w:vAlign w:val="center"/>
          </w:tcPr>
          <w:p w14:paraId="45814F5D">
            <w:pPr>
              <w:pStyle w:val="70"/>
              <w:rPr>
                <w:color w:val="000000" w:themeColor="text1"/>
                <w14:textFill>
                  <w14:solidFill>
                    <w14:schemeClr w14:val="tx1"/>
                  </w14:solidFill>
                </w14:textFill>
              </w:rPr>
            </w:pPr>
            <w:r>
              <w:rPr>
                <w:color w:val="000000" w:themeColor="text1"/>
                <w14:textFill>
                  <w14:solidFill>
                    <w14:schemeClr w14:val="tx1"/>
                  </w14:solidFill>
                </w14:textFill>
              </w:rPr>
              <w:t>城市</w:t>
            </w:r>
          </w:p>
        </w:tc>
      </w:tr>
      <w:tr w14:paraId="11F5DFE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1" w:hRule="atLeast"/>
          <w:jc w:val="center"/>
        </w:trPr>
        <w:tc>
          <w:tcPr>
            <w:tcW w:w="5792" w:type="dxa"/>
            <w:gridSpan w:val="2"/>
            <w:vAlign w:val="center"/>
          </w:tcPr>
          <w:p w14:paraId="71E2E041">
            <w:pPr>
              <w:pStyle w:val="70"/>
              <w:rPr>
                <w:color w:val="000000" w:themeColor="text1"/>
                <w14:textFill>
                  <w14:solidFill>
                    <w14:schemeClr w14:val="tx1"/>
                  </w14:solidFill>
                </w14:textFill>
              </w:rPr>
            </w:pPr>
            <w:r>
              <w:rPr>
                <w:color w:val="000000" w:themeColor="text1"/>
                <w14:textFill>
                  <w14:solidFill>
                    <w14:schemeClr w14:val="tx1"/>
                  </w14:solidFill>
                </w14:textFill>
              </w:rPr>
              <w:t>区域湿度条件</w:t>
            </w:r>
          </w:p>
        </w:tc>
        <w:tc>
          <w:tcPr>
            <w:tcW w:w="3250" w:type="dxa"/>
            <w:vAlign w:val="center"/>
          </w:tcPr>
          <w:p w14:paraId="316F833D">
            <w:pPr>
              <w:pStyle w:val="70"/>
              <w:rPr>
                <w:color w:val="000000" w:themeColor="text1"/>
                <w14:textFill>
                  <w14:solidFill>
                    <w14:schemeClr w14:val="tx1"/>
                  </w14:solidFill>
                </w14:textFill>
              </w:rPr>
            </w:pPr>
            <w:r>
              <w:rPr>
                <w:color w:val="000000" w:themeColor="text1"/>
                <w14:textFill>
                  <w14:solidFill>
                    <w14:schemeClr w14:val="tx1"/>
                  </w14:solidFill>
                </w14:textFill>
              </w:rPr>
              <w:t>多年平均相对湿度76.7%</w:t>
            </w:r>
          </w:p>
        </w:tc>
      </w:tr>
      <w:tr w14:paraId="5E0085A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1" w:hRule="atLeast"/>
          <w:jc w:val="center"/>
        </w:trPr>
        <w:tc>
          <w:tcPr>
            <w:tcW w:w="1716" w:type="dxa"/>
            <w:vMerge w:val="restart"/>
            <w:vAlign w:val="center"/>
          </w:tcPr>
          <w:p w14:paraId="1E5C9CFA">
            <w:pPr>
              <w:pStyle w:val="70"/>
              <w:rPr>
                <w:color w:val="000000" w:themeColor="text1"/>
                <w14:textFill>
                  <w14:solidFill>
                    <w14:schemeClr w14:val="tx1"/>
                  </w14:solidFill>
                </w14:textFill>
              </w:rPr>
            </w:pPr>
            <w:r>
              <w:rPr>
                <w:color w:val="000000" w:themeColor="text1"/>
                <w14:textFill>
                  <w14:solidFill>
                    <w14:schemeClr w14:val="tx1"/>
                  </w14:solidFill>
                </w14:textFill>
              </w:rPr>
              <w:t>是否考虑地形</w:t>
            </w:r>
          </w:p>
        </w:tc>
        <w:tc>
          <w:tcPr>
            <w:tcW w:w="4076" w:type="dxa"/>
            <w:vAlign w:val="center"/>
          </w:tcPr>
          <w:p w14:paraId="69974A00">
            <w:pPr>
              <w:pStyle w:val="70"/>
              <w:rPr>
                <w:color w:val="000000" w:themeColor="text1"/>
                <w14:textFill>
                  <w14:solidFill>
                    <w14:schemeClr w14:val="tx1"/>
                  </w14:solidFill>
                </w14:textFill>
              </w:rPr>
            </w:pPr>
            <w:r>
              <w:rPr>
                <w:color w:val="000000" w:themeColor="text1"/>
                <w14:textFill>
                  <w14:solidFill>
                    <w14:schemeClr w14:val="tx1"/>
                  </w14:solidFill>
                </w14:textFill>
              </w:rPr>
              <w:t>考虑地形</w:t>
            </w:r>
          </w:p>
        </w:tc>
        <w:tc>
          <w:tcPr>
            <w:tcW w:w="3250" w:type="dxa"/>
            <w:vAlign w:val="center"/>
          </w:tcPr>
          <w:p w14:paraId="5236F2AF">
            <w:pPr>
              <w:pStyle w:val="70"/>
              <w:rPr>
                <w:color w:val="000000" w:themeColor="text1"/>
                <w14:textFill>
                  <w14:solidFill>
                    <w14:schemeClr w14:val="tx1"/>
                  </w14:solidFill>
                </w14:textFill>
              </w:rPr>
            </w:pPr>
            <w:r>
              <w:rPr>
                <w:color w:val="000000" w:themeColor="text1"/>
                <w14:textFill>
                  <w14:solidFill>
                    <w14:schemeClr w14:val="tx1"/>
                  </w14:solidFill>
                </w14:textFill>
              </w:rPr>
              <w:sym w:font="Wingdings 2" w:char="0052"/>
            </w:r>
            <w:r>
              <w:rPr>
                <w:color w:val="000000" w:themeColor="text1"/>
                <w14:textFill>
                  <w14:solidFill>
                    <w14:schemeClr w14:val="tx1"/>
                  </w14:solidFill>
                </w14:textFill>
              </w:rPr>
              <w:t xml:space="preserve">是  </w:t>
            </w:r>
            <w:r>
              <w:rPr>
                <w:color w:val="000000" w:themeColor="text1"/>
                <w14:textFill>
                  <w14:solidFill>
                    <w14:schemeClr w14:val="tx1"/>
                  </w14:solidFill>
                </w14:textFill>
              </w:rPr>
              <w:sym w:font="Wingdings 2" w:char="00A3"/>
            </w:r>
            <w:r>
              <w:rPr>
                <w:color w:val="000000" w:themeColor="text1"/>
                <w14:textFill>
                  <w14:solidFill>
                    <w14:schemeClr w14:val="tx1"/>
                  </w14:solidFill>
                </w14:textFill>
              </w:rPr>
              <w:t>否</w:t>
            </w:r>
          </w:p>
        </w:tc>
      </w:tr>
      <w:tr w14:paraId="340E683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1" w:hRule="atLeast"/>
          <w:jc w:val="center"/>
        </w:trPr>
        <w:tc>
          <w:tcPr>
            <w:tcW w:w="1716" w:type="dxa"/>
            <w:vMerge w:val="continue"/>
            <w:vAlign w:val="center"/>
          </w:tcPr>
          <w:p w14:paraId="4BAED08D">
            <w:pPr>
              <w:pStyle w:val="70"/>
              <w:rPr>
                <w:color w:val="000000" w:themeColor="text1"/>
                <w14:textFill>
                  <w14:solidFill>
                    <w14:schemeClr w14:val="tx1"/>
                  </w14:solidFill>
                </w14:textFill>
              </w:rPr>
            </w:pPr>
          </w:p>
        </w:tc>
        <w:tc>
          <w:tcPr>
            <w:tcW w:w="4076" w:type="dxa"/>
            <w:vAlign w:val="center"/>
          </w:tcPr>
          <w:p w14:paraId="324722AE">
            <w:pPr>
              <w:pStyle w:val="70"/>
              <w:rPr>
                <w:color w:val="000000" w:themeColor="text1"/>
                <w14:textFill>
                  <w14:solidFill>
                    <w14:schemeClr w14:val="tx1"/>
                  </w14:solidFill>
                </w14:textFill>
              </w:rPr>
            </w:pPr>
            <w:r>
              <w:rPr>
                <w:color w:val="000000" w:themeColor="text1"/>
                <w14:textFill>
                  <w14:solidFill>
                    <w14:schemeClr w14:val="tx1"/>
                  </w14:solidFill>
                </w14:textFill>
              </w:rPr>
              <w:t>地形数据分辨率/m</w:t>
            </w:r>
          </w:p>
        </w:tc>
        <w:tc>
          <w:tcPr>
            <w:tcW w:w="3250" w:type="dxa"/>
            <w:vAlign w:val="center"/>
          </w:tcPr>
          <w:p w14:paraId="3BA90129">
            <w:pPr>
              <w:pStyle w:val="70"/>
              <w:rPr>
                <w:color w:val="000000" w:themeColor="text1"/>
                <w14:textFill>
                  <w14:solidFill>
                    <w14:schemeClr w14:val="tx1"/>
                  </w14:solidFill>
                </w14:textFill>
              </w:rPr>
            </w:pPr>
            <w:r>
              <w:rPr>
                <w:color w:val="000000" w:themeColor="text1"/>
                <w14:textFill>
                  <w14:solidFill>
                    <w14:schemeClr w14:val="tx1"/>
                  </w14:solidFill>
                </w14:textFill>
              </w:rPr>
              <w:t>90m</w:t>
            </w:r>
          </w:p>
        </w:tc>
      </w:tr>
      <w:tr w14:paraId="5301DE2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1" w:hRule="atLeast"/>
          <w:jc w:val="center"/>
        </w:trPr>
        <w:tc>
          <w:tcPr>
            <w:tcW w:w="1716" w:type="dxa"/>
            <w:vMerge w:val="restart"/>
            <w:vAlign w:val="center"/>
          </w:tcPr>
          <w:p w14:paraId="2504A271">
            <w:pPr>
              <w:pStyle w:val="70"/>
              <w:rPr>
                <w:color w:val="000000" w:themeColor="text1"/>
                <w14:textFill>
                  <w14:solidFill>
                    <w14:schemeClr w14:val="tx1"/>
                  </w14:solidFill>
                </w14:textFill>
              </w:rPr>
            </w:pPr>
            <w:r>
              <w:rPr>
                <w:color w:val="000000" w:themeColor="text1"/>
                <w14:textFill>
                  <w14:solidFill>
                    <w14:schemeClr w14:val="tx1"/>
                  </w14:solidFill>
                </w14:textFill>
              </w:rPr>
              <w:t>是否考虑岸线</w:t>
            </w:r>
          </w:p>
          <w:p w14:paraId="3A760556">
            <w:pPr>
              <w:pStyle w:val="70"/>
              <w:rPr>
                <w:color w:val="000000" w:themeColor="text1"/>
                <w14:textFill>
                  <w14:solidFill>
                    <w14:schemeClr w14:val="tx1"/>
                  </w14:solidFill>
                </w14:textFill>
              </w:rPr>
            </w:pPr>
            <w:r>
              <w:rPr>
                <w:color w:val="000000" w:themeColor="text1"/>
                <w14:textFill>
                  <w14:solidFill>
                    <w14:schemeClr w14:val="tx1"/>
                  </w14:solidFill>
                </w14:textFill>
              </w:rPr>
              <w:t>熏烟</w:t>
            </w:r>
          </w:p>
        </w:tc>
        <w:tc>
          <w:tcPr>
            <w:tcW w:w="4076" w:type="dxa"/>
            <w:vAlign w:val="center"/>
          </w:tcPr>
          <w:p w14:paraId="5F27781C">
            <w:pPr>
              <w:pStyle w:val="70"/>
              <w:rPr>
                <w:color w:val="000000" w:themeColor="text1"/>
                <w14:textFill>
                  <w14:solidFill>
                    <w14:schemeClr w14:val="tx1"/>
                  </w14:solidFill>
                </w14:textFill>
              </w:rPr>
            </w:pPr>
            <w:r>
              <w:rPr>
                <w:color w:val="000000" w:themeColor="text1"/>
                <w14:textFill>
                  <w14:solidFill>
                    <w14:schemeClr w14:val="tx1"/>
                  </w14:solidFill>
                </w14:textFill>
              </w:rPr>
              <w:t>考虑岸线熏烟</w:t>
            </w:r>
          </w:p>
        </w:tc>
        <w:tc>
          <w:tcPr>
            <w:tcW w:w="3250" w:type="dxa"/>
            <w:vAlign w:val="center"/>
          </w:tcPr>
          <w:p w14:paraId="0642AA23">
            <w:pPr>
              <w:pStyle w:val="70"/>
              <w:rPr>
                <w:color w:val="000000" w:themeColor="text1"/>
                <w:u w:val="single"/>
                <w14:textFill>
                  <w14:solidFill>
                    <w14:schemeClr w14:val="tx1"/>
                  </w14:solidFill>
                </w14:textFill>
              </w:rPr>
            </w:pPr>
            <w:r>
              <w:rPr>
                <w:color w:val="000000" w:themeColor="text1"/>
                <w:u w:val="single"/>
                <w14:textFill>
                  <w14:solidFill>
                    <w14:schemeClr w14:val="tx1"/>
                  </w14:solidFill>
                </w14:textFill>
              </w:rPr>
              <w:sym w:font="Wingdings 2" w:char="00A3"/>
            </w:r>
            <w:r>
              <w:rPr>
                <w:color w:val="000000" w:themeColor="text1"/>
                <w:u w:val="single"/>
                <w14:textFill>
                  <w14:solidFill>
                    <w14:schemeClr w14:val="tx1"/>
                  </w14:solidFill>
                </w14:textFill>
              </w:rPr>
              <w:t xml:space="preserve">是  </w:t>
            </w:r>
            <w:r>
              <w:rPr>
                <w:color w:val="000000" w:themeColor="text1"/>
                <w:u w:val="single"/>
                <w14:textFill>
                  <w14:solidFill>
                    <w14:schemeClr w14:val="tx1"/>
                  </w14:solidFill>
                </w14:textFill>
              </w:rPr>
              <w:sym w:font="Wingdings 2" w:char="0052"/>
            </w:r>
            <w:r>
              <w:rPr>
                <w:color w:val="000000" w:themeColor="text1"/>
                <w:u w:val="single"/>
                <w14:textFill>
                  <w14:solidFill>
                    <w14:schemeClr w14:val="tx1"/>
                  </w14:solidFill>
                </w14:textFill>
              </w:rPr>
              <w:t>否</w:t>
            </w:r>
          </w:p>
        </w:tc>
      </w:tr>
      <w:tr w14:paraId="312DF92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1" w:hRule="atLeast"/>
          <w:jc w:val="center"/>
        </w:trPr>
        <w:tc>
          <w:tcPr>
            <w:tcW w:w="1716" w:type="dxa"/>
            <w:vMerge w:val="continue"/>
            <w:vAlign w:val="center"/>
          </w:tcPr>
          <w:p w14:paraId="10B3EEDD">
            <w:pPr>
              <w:pStyle w:val="70"/>
              <w:rPr>
                <w:color w:val="000000" w:themeColor="text1"/>
                <w14:textFill>
                  <w14:solidFill>
                    <w14:schemeClr w14:val="tx1"/>
                  </w14:solidFill>
                </w14:textFill>
              </w:rPr>
            </w:pPr>
          </w:p>
        </w:tc>
        <w:tc>
          <w:tcPr>
            <w:tcW w:w="4076" w:type="dxa"/>
            <w:vAlign w:val="center"/>
          </w:tcPr>
          <w:p w14:paraId="01CF07AF">
            <w:pPr>
              <w:pStyle w:val="70"/>
              <w:rPr>
                <w:color w:val="000000" w:themeColor="text1"/>
                <w14:textFill>
                  <w14:solidFill>
                    <w14:schemeClr w14:val="tx1"/>
                  </w14:solidFill>
                </w14:textFill>
              </w:rPr>
            </w:pPr>
            <w:r>
              <w:rPr>
                <w:color w:val="000000" w:themeColor="text1"/>
                <w14:textFill>
                  <w14:solidFill>
                    <w14:schemeClr w14:val="tx1"/>
                  </w14:solidFill>
                </w14:textFill>
              </w:rPr>
              <w:t>岸线距离/km</w:t>
            </w:r>
          </w:p>
        </w:tc>
        <w:tc>
          <w:tcPr>
            <w:tcW w:w="3250" w:type="dxa"/>
            <w:vAlign w:val="center"/>
          </w:tcPr>
          <w:p w14:paraId="22A50609">
            <w:pPr>
              <w:pStyle w:val="70"/>
              <w:rPr>
                <w:color w:val="000000" w:themeColor="text1"/>
                <w14:textFill>
                  <w14:solidFill>
                    <w14:schemeClr w14:val="tx1"/>
                  </w14:solidFill>
                </w14:textFill>
              </w:rPr>
            </w:pPr>
            <w:r>
              <w:rPr>
                <w:color w:val="000000" w:themeColor="text1"/>
                <w14:textFill>
                  <w14:solidFill>
                    <w14:schemeClr w14:val="tx1"/>
                  </w14:solidFill>
                </w14:textFill>
              </w:rPr>
              <w:t>项目周边3km范围内有大型水体</w:t>
            </w:r>
          </w:p>
        </w:tc>
      </w:tr>
      <w:tr w14:paraId="17B997A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1" w:hRule="atLeast"/>
          <w:jc w:val="center"/>
        </w:trPr>
        <w:tc>
          <w:tcPr>
            <w:tcW w:w="1716" w:type="dxa"/>
            <w:vMerge w:val="continue"/>
            <w:vAlign w:val="center"/>
          </w:tcPr>
          <w:p w14:paraId="0DA0BBC2">
            <w:pPr>
              <w:pStyle w:val="70"/>
              <w:rPr>
                <w:color w:val="000000" w:themeColor="text1"/>
                <w14:textFill>
                  <w14:solidFill>
                    <w14:schemeClr w14:val="tx1"/>
                  </w14:solidFill>
                </w14:textFill>
              </w:rPr>
            </w:pPr>
          </w:p>
        </w:tc>
        <w:tc>
          <w:tcPr>
            <w:tcW w:w="4076" w:type="dxa"/>
            <w:vAlign w:val="center"/>
          </w:tcPr>
          <w:p w14:paraId="58176E0C">
            <w:pPr>
              <w:pStyle w:val="70"/>
              <w:rPr>
                <w:color w:val="000000" w:themeColor="text1"/>
                <w14:textFill>
                  <w14:solidFill>
                    <w14:schemeClr w14:val="tx1"/>
                  </w14:solidFill>
                </w14:textFill>
              </w:rPr>
            </w:pPr>
            <w:r>
              <w:rPr>
                <w:color w:val="000000" w:themeColor="text1"/>
                <w14:textFill>
                  <w14:solidFill>
                    <w14:schemeClr w14:val="tx1"/>
                  </w14:solidFill>
                </w14:textFill>
              </w:rPr>
              <w:t>岸线方向/°</w:t>
            </w:r>
          </w:p>
        </w:tc>
        <w:tc>
          <w:tcPr>
            <w:tcW w:w="3250" w:type="dxa"/>
            <w:vAlign w:val="center"/>
          </w:tcPr>
          <w:p w14:paraId="1F10FD9F">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r>
    </w:tbl>
    <w:p w14:paraId="087960DA">
      <w:pPr>
        <w:pStyle w:val="7"/>
        <w:rPr>
          <w:color w:val="000000" w:themeColor="text1"/>
          <w14:textFill>
            <w14:solidFill>
              <w14:schemeClr w14:val="tx1"/>
            </w14:solidFill>
          </w14:textFill>
        </w:rPr>
      </w:pPr>
      <w:r>
        <w:rPr>
          <w:color w:val="000000" w:themeColor="text1"/>
          <w14:textFill>
            <w14:solidFill>
              <w14:schemeClr w14:val="tx1"/>
            </w14:solidFill>
          </w14:textFill>
        </w:rPr>
        <w:t>无组织面源估算模式参数表</w:t>
      </w:r>
    </w:p>
    <w:tbl>
      <w:tblPr>
        <w:tblStyle w:val="43"/>
        <w:tblW w:w="9092"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6" w:type="dxa"/>
          <w:bottom w:w="0" w:type="dxa"/>
          <w:right w:w="6" w:type="dxa"/>
        </w:tblCellMar>
      </w:tblPr>
      <w:tblGrid>
        <w:gridCol w:w="411"/>
        <w:gridCol w:w="1175"/>
        <w:gridCol w:w="464"/>
        <w:gridCol w:w="435"/>
        <w:gridCol w:w="825"/>
        <w:gridCol w:w="703"/>
        <w:gridCol w:w="684"/>
        <w:gridCol w:w="835"/>
        <w:gridCol w:w="909"/>
        <w:gridCol w:w="695"/>
        <w:gridCol w:w="996"/>
        <w:gridCol w:w="960"/>
      </w:tblGrid>
      <w:tr w14:paraId="422C508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6" w:type="dxa"/>
            <w:bottom w:w="0" w:type="dxa"/>
            <w:right w:w="6" w:type="dxa"/>
          </w:tblCellMar>
        </w:tblPrEx>
        <w:trPr>
          <w:trHeight w:val="340" w:hRule="atLeast"/>
          <w:jc w:val="center"/>
        </w:trPr>
        <w:tc>
          <w:tcPr>
            <w:tcW w:w="411" w:type="dxa"/>
            <w:vMerge w:val="restart"/>
            <w:vAlign w:val="center"/>
          </w:tcPr>
          <w:p w14:paraId="7C29C51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序</w:t>
            </w:r>
          </w:p>
          <w:p w14:paraId="7EDB5F62">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号</w:t>
            </w:r>
          </w:p>
        </w:tc>
        <w:tc>
          <w:tcPr>
            <w:tcW w:w="1175" w:type="dxa"/>
            <w:vMerge w:val="restart"/>
            <w:vAlign w:val="center"/>
          </w:tcPr>
          <w:p w14:paraId="76BE52AA">
            <w:pPr>
              <w:adjustRightInd w:val="0"/>
              <w:snapToGrid w:val="0"/>
              <w:spacing w:line="240" w:lineRule="auto"/>
              <w:ind w:firstLine="0" w:firstLineChars="0"/>
              <w:jc w:val="center"/>
              <w:rPr>
                <w:color w:val="000000" w:themeColor="text1"/>
                <w:sz w:val="21"/>
                <w:szCs w:val="20"/>
                <w14:textFill>
                  <w14:solidFill>
                    <w14:schemeClr w14:val="tx1"/>
                  </w14:solidFill>
                </w14:textFill>
              </w:rPr>
            </w:pPr>
            <w:r>
              <w:rPr>
                <w:rFonts w:hint="eastAsia"/>
                <w:color w:val="000000" w:themeColor="text1"/>
                <w:sz w:val="21"/>
                <w:szCs w:val="21"/>
                <w14:textFill>
                  <w14:solidFill>
                    <w14:schemeClr w14:val="tx1"/>
                  </w14:solidFill>
                </w14:textFill>
              </w:rPr>
              <w:t>名称</w:t>
            </w:r>
          </w:p>
        </w:tc>
        <w:tc>
          <w:tcPr>
            <w:tcW w:w="899" w:type="dxa"/>
            <w:gridSpan w:val="2"/>
            <w:vAlign w:val="center"/>
          </w:tcPr>
          <w:p w14:paraId="6DF1FB1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面源中点坐标/m</w:t>
            </w:r>
          </w:p>
        </w:tc>
        <w:tc>
          <w:tcPr>
            <w:tcW w:w="825" w:type="dxa"/>
            <w:vMerge w:val="restart"/>
            <w:vAlign w:val="center"/>
          </w:tcPr>
          <w:p w14:paraId="19B3E68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面源海拔高度/m</w:t>
            </w:r>
          </w:p>
        </w:tc>
        <w:tc>
          <w:tcPr>
            <w:tcW w:w="703" w:type="dxa"/>
            <w:vMerge w:val="restart"/>
            <w:vAlign w:val="center"/>
          </w:tcPr>
          <w:p w14:paraId="68CCB307">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面源长度/m</w:t>
            </w:r>
          </w:p>
        </w:tc>
        <w:tc>
          <w:tcPr>
            <w:tcW w:w="684" w:type="dxa"/>
            <w:vMerge w:val="restart"/>
            <w:vAlign w:val="center"/>
          </w:tcPr>
          <w:p w14:paraId="23407FB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面源宽度/m</w:t>
            </w:r>
          </w:p>
        </w:tc>
        <w:tc>
          <w:tcPr>
            <w:tcW w:w="835" w:type="dxa"/>
            <w:vMerge w:val="restart"/>
            <w:vAlign w:val="center"/>
          </w:tcPr>
          <w:p w14:paraId="65819F9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与正北方向夹角/°</w:t>
            </w:r>
          </w:p>
        </w:tc>
        <w:tc>
          <w:tcPr>
            <w:tcW w:w="909" w:type="dxa"/>
            <w:vMerge w:val="restart"/>
            <w:vAlign w:val="center"/>
          </w:tcPr>
          <w:p w14:paraId="6816F03A">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面源有效排放高度/m</w:t>
            </w:r>
          </w:p>
        </w:tc>
        <w:tc>
          <w:tcPr>
            <w:tcW w:w="695" w:type="dxa"/>
            <w:vMerge w:val="restart"/>
            <w:vAlign w:val="center"/>
          </w:tcPr>
          <w:p w14:paraId="4E9C5944">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年排放小时数/h</w:t>
            </w:r>
          </w:p>
        </w:tc>
        <w:tc>
          <w:tcPr>
            <w:tcW w:w="996" w:type="dxa"/>
            <w:vMerge w:val="restart"/>
            <w:vAlign w:val="center"/>
          </w:tcPr>
          <w:p w14:paraId="58E098E9">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排放工况</w:t>
            </w:r>
          </w:p>
        </w:tc>
        <w:tc>
          <w:tcPr>
            <w:tcW w:w="960" w:type="dxa"/>
            <w:vMerge w:val="restart"/>
            <w:vAlign w:val="center"/>
          </w:tcPr>
          <w:p w14:paraId="12A110A7">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污染物排放速率/（kg/h）</w:t>
            </w:r>
          </w:p>
        </w:tc>
      </w:tr>
      <w:tr w14:paraId="46F8D6D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6" w:type="dxa"/>
            <w:bottom w:w="0" w:type="dxa"/>
            <w:right w:w="6" w:type="dxa"/>
          </w:tblCellMar>
        </w:tblPrEx>
        <w:trPr>
          <w:trHeight w:val="340" w:hRule="atLeast"/>
          <w:jc w:val="center"/>
        </w:trPr>
        <w:tc>
          <w:tcPr>
            <w:tcW w:w="411" w:type="dxa"/>
            <w:vMerge w:val="continue"/>
            <w:vAlign w:val="center"/>
          </w:tcPr>
          <w:p w14:paraId="3EF27173">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1175" w:type="dxa"/>
            <w:vMerge w:val="continue"/>
            <w:vAlign w:val="center"/>
          </w:tcPr>
          <w:p w14:paraId="4EC699E2">
            <w:pPr>
              <w:adjustRightInd w:val="0"/>
              <w:snapToGrid w:val="0"/>
              <w:spacing w:line="240" w:lineRule="auto"/>
              <w:ind w:firstLine="420"/>
              <w:jc w:val="center"/>
              <w:rPr>
                <w:color w:val="000000" w:themeColor="text1"/>
                <w:sz w:val="21"/>
                <w:szCs w:val="20"/>
                <w14:textFill>
                  <w14:solidFill>
                    <w14:schemeClr w14:val="tx1"/>
                  </w14:solidFill>
                </w14:textFill>
              </w:rPr>
            </w:pPr>
          </w:p>
        </w:tc>
        <w:tc>
          <w:tcPr>
            <w:tcW w:w="464" w:type="dxa"/>
            <w:vAlign w:val="center"/>
          </w:tcPr>
          <w:p w14:paraId="08F5EFF9">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X</w:t>
            </w:r>
          </w:p>
        </w:tc>
        <w:tc>
          <w:tcPr>
            <w:tcW w:w="435" w:type="dxa"/>
            <w:vAlign w:val="center"/>
          </w:tcPr>
          <w:p w14:paraId="0983967D">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Y</w:t>
            </w:r>
          </w:p>
        </w:tc>
        <w:tc>
          <w:tcPr>
            <w:tcW w:w="825" w:type="dxa"/>
            <w:vMerge w:val="continue"/>
            <w:vAlign w:val="center"/>
          </w:tcPr>
          <w:p w14:paraId="1EB94611">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703" w:type="dxa"/>
            <w:vMerge w:val="continue"/>
            <w:vAlign w:val="center"/>
          </w:tcPr>
          <w:p w14:paraId="0162CD76">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684" w:type="dxa"/>
            <w:vMerge w:val="continue"/>
            <w:vAlign w:val="center"/>
          </w:tcPr>
          <w:p w14:paraId="7C32BAFE">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835" w:type="dxa"/>
            <w:vMerge w:val="continue"/>
            <w:vAlign w:val="center"/>
          </w:tcPr>
          <w:p w14:paraId="7A04BBE6">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909" w:type="dxa"/>
            <w:vMerge w:val="continue"/>
            <w:vAlign w:val="center"/>
          </w:tcPr>
          <w:p w14:paraId="78197FD9">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695" w:type="dxa"/>
            <w:vMerge w:val="continue"/>
            <w:vAlign w:val="center"/>
          </w:tcPr>
          <w:p w14:paraId="646A8D4C">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996" w:type="dxa"/>
            <w:vMerge w:val="continue"/>
            <w:vAlign w:val="center"/>
          </w:tcPr>
          <w:p w14:paraId="2E93D049">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960" w:type="dxa"/>
            <w:vMerge w:val="continue"/>
            <w:vAlign w:val="center"/>
          </w:tcPr>
          <w:p w14:paraId="206A8CF7">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r>
      <w:tr w14:paraId="1FC0E98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6" w:type="dxa"/>
            <w:bottom w:w="0" w:type="dxa"/>
            <w:right w:w="6" w:type="dxa"/>
          </w:tblCellMar>
        </w:tblPrEx>
        <w:trPr>
          <w:trHeight w:val="340" w:hRule="atLeast"/>
          <w:jc w:val="center"/>
        </w:trPr>
        <w:tc>
          <w:tcPr>
            <w:tcW w:w="411" w:type="dxa"/>
            <w:vAlign w:val="center"/>
          </w:tcPr>
          <w:p w14:paraId="268F34A7">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w:t>
            </w:r>
          </w:p>
        </w:tc>
        <w:tc>
          <w:tcPr>
            <w:tcW w:w="1175" w:type="dxa"/>
            <w:vAlign w:val="center"/>
          </w:tcPr>
          <w:p w14:paraId="03883D02">
            <w:pPr>
              <w:spacing w:line="240" w:lineRule="exact"/>
              <w:ind w:firstLine="0" w:firstLineChars="0"/>
              <w:jc w:val="center"/>
              <w:rPr>
                <w:color w:val="000000" w:themeColor="text1"/>
                <w:sz w:val="21"/>
                <w:szCs w:val="16"/>
                <w14:textFill>
                  <w14:solidFill>
                    <w14:schemeClr w14:val="tx1"/>
                  </w14:solidFill>
                </w14:textFill>
              </w:rPr>
            </w:pPr>
            <w:r>
              <w:rPr>
                <w:rFonts w:hint="eastAsia"/>
                <w:color w:val="000000" w:themeColor="text1"/>
                <w:sz w:val="21"/>
                <w:szCs w:val="16"/>
                <w14:textFill>
                  <w14:solidFill>
                    <w14:schemeClr w14:val="tx1"/>
                  </w14:solidFill>
                </w14:textFill>
              </w:rPr>
              <w:t>苯乙烯</w:t>
            </w:r>
          </w:p>
        </w:tc>
        <w:tc>
          <w:tcPr>
            <w:tcW w:w="464" w:type="dxa"/>
            <w:vAlign w:val="center"/>
          </w:tcPr>
          <w:p w14:paraId="02B3262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12</w:t>
            </w:r>
          </w:p>
        </w:tc>
        <w:tc>
          <w:tcPr>
            <w:tcW w:w="435" w:type="dxa"/>
            <w:vAlign w:val="center"/>
          </w:tcPr>
          <w:p w14:paraId="07F30824">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15</w:t>
            </w:r>
          </w:p>
        </w:tc>
        <w:tc>
          <w:tcPr>
            <w:tcW w:w="825" w:type="dxa"/>
            <w:vAlign w:val="center"/>
          </w:tcPr>
          <w:p w14:paraId="1947F06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703" w:type="dxa"/>
            <w:vAlign w:val="center"/>
          </w:tcPr>
          <w:p w14:paraId="7FF5CB0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276.5</w:t>
            </w:r>
          </w:p>
        </w:tc>
        <w:tc>
          <w:tcPr>
            <w:tcW w:w="684" w:type="dxa"/>
            <w:vAlign w:val="center"/>
          </w:tcPr>
          <w:p w14:paraId="48BA0399">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80</w:t>
            </w:r>
          </w:p>
        </w:tc>
        <w:tc>
          <w:tcPr>
            <w:tcW w:w="835" w:type="dxa"/>
            <w:vAlign w:val="center"/>
          </w:tcPr>
          <w:p w14:paraId="10D0C3FF">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5</w:t>
            </w:r>
          </w:p>
        </w:tc>
        <w:tc>
          <w:tcPr>
            <w:tcW w:w="909" w:type="dxa"/>
            <w:vAlign w:val="center"/>
          </w:tcPr>
          <w:p w14:paraId="56A3264C">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8</w:t>
            </w:r>
          </w:p>
        </w:tc>
        <w:tc>
          <w:tcPr>
            <w:tcW w:w="695" w:type="dxa"/>
            <w:vAlign w:val="center"/>
          </w:tcPr>
          <w:p w14:paraId="4E3C24B9">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3168</w:t>
            </w:r>
          </w:p>
        </w:tc>
        <w:tc>
          <w:tcPr>
            <w:tcW w:w="996" w:type="dxa"/>
            <w:vAlign w:val="center"/>
          </w:tcPr>
          <w:p w14:paraId="0EAD4EA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正常排放</w:t>
            </w:r>
          </w:p>
        </w:tc>
        <w:tc>
          <w:tcPr>
            <w:tcW w:w="960" w:type="dxa"/>
            <w:vAlign w:val="center"/>
          </w:tcPr>
          <w:p w14:paraId="462AF0A9">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0.0023</w:t>
            </w:r>
          </w:p>
        </w:tc>
      </w:tr>
      <w:tr w14:paraId="5FE8769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6" w:type="dxa"/>
            <w:bottom w:w="0" w:type="dxa"/>
            <w:right w:w="6" w:type="dxa"/>
          </w:tblCellMar>
        </w:tblPrEx>
        <w:trPr>
          <w:trHeight w:val="340" w:hRule="atLeast"/>
          <w:jc w:val="center"/>
        </w:trPr>
        <w:tc>
          <w:tcPr>
            <w:tcW w:w="411" w:type="dxa"/>
            <w:vAlign w:val="center"/>
          </w:tcPr>
          <w:p w14:paraId="4F01088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w:t>
            </w:r>
          </w:p>
        </w:tc>
        <w:tc>
          <w:tcPr>
            <w:tcW w:w="1175" w:type="dxa"/>
            <w:vAlign w:val="center"/>
          </w:tcPr>
          <w:p w14:paraId="52B491A3">
            <w:pPr>
              <w:spacing w:line="240" w:lineRule="exact"/>
              <w:ind w:firstLine="0" w:firstLineChars="0"/>
              <w:jc w:val="center"/>
              <w:rPr>
                <w:color w:val="000000" w:themeColor="text1"/>
                <w:sz w:val="21"/>
                <w:szCs w:val="16"/>
                <w14:textFill>
                  <w14:solidFill>
                    <w14:schemeClr w14:val="tx1"/>
                  </w14:solidFill>
                </w14:textFill>
              </w:rPr>
            </w:pPr>
            <w:r>
              <w:rPr>
                <w:rFonts w:hint="eastAsia"/>
                <w:color w:val="000000" w:themeColor="text1"/>
                <w:sz w:val="21"/>
                <w:szCs w:val="16"/>
                <w14:textFill>
                  <w14:solidFill>
                    <w14:schemeClr w14:val="tx1"/>
                  </w14:solidFill>
                </w14:textFill>
              </w:rPr>
              <w:t>硫酸雾</w:t>
            </w:r>
          </w:p>
        </w:tc>
        <w:tc>
          <w:tcPr>
            <w:tcW w:w="464" w:type="dxa"/>
            <w:vAlign w:val="center"/>
          </w:tcPr>
          <w:p w14:paraId="0E42654F">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12</w:t>
            </w:r>
          </w:p>
        </w:tc>
        <w:tc>
          <w:tcPr>
            <w:tcW w:w="435" w:type="dxa"/>
            <w:vAlign w:val="center"/>
          </w:tcPr>
          <w:p w14:paraId="471B2BD4">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15</w:t>
            </w:r>
          </w:p>
        </w:tc>
        <w:tc>
          <w:tcPr>
            <w:tcW w:w="825" w:type="dxa"/>
            <w:vAlign w:val="center"/>
          </w:tcPr>
          <w:p w14:paraId="62F70008">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703" w:type="dxa"/>
            <w:vAlign w:val="center"/>
          </w:tcPr>
          <w:p w14:paraId="108D8C03">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276.5</w:t>
            </w:r>
          </w:p>
        </w:tc>
        <w:tc>
          <w:tcPr>
            <w:tcW w:w="684" w:type="dxa"/>
            <w:vAlign w:val="center"/>
          </w:tcPr>
          <w:p w14:paraId="00015EBA">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80</w:t>
            </w:r>
          </w:p>
        </w:tc>
        <w:tc>
          <w:tcPr>
            <w:tcW w:w="835" w:type="dxa"/>
            <w:vAlign w:val="center"/>
          </w:tcPr>
          <w:p w14:paraId="7E306FF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5</w:t>
            </w:r>
          </w:p>
        </w:tc>
        <w:tc>
          <w:tcPr>
            <w:tcW w:w="909" w:type="dxa"/>
            <w:vAlign w:val="center"/>
          </w:tcPr>
          <w:p w14:paraId="55C5F53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8</w:t>
            </w:r>
          </w:p>
        </w:tc>
        <w:tc>
          <w:tcPr>
            <w:tcW w:w="695" w:type="dxa"/>
            <w:vAlign w:val="center"/>
          </w:tcPr>
          <w:p w14:paraId="157BA96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3168</w:t>
            </w:r>
          </w:p>
        </w:tc>
        <w:tc>
          <w:tcPr>
            <w:tcW w:w="996" w:type="dxa"/>
            <w:vAlign w:val="center"/>
          </w:tcPr>
          <w:p w14:paraId="54269A9C">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正常排放</w:t>
            </w:r>
          </w:p>
        </w:tc>
        <w:tc>
          <w:tcPr>
            <w:tcW w:w="960" w:type="dxa"/>
            <w:vAlign w:val="center"/>
          </w:tcPr>
          <w:p w14:paraId="239A177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0.0311</w:t>
            </w:r>
          </w:p>
        </w:tc>
      </w:tr>
      <w:tr w14:paraId="270EA92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6" w:type="dxa"/>
            <w:bottom w:w="0" w:type="dxa"/>
            <w:right w:w="6" w:type="dxa"/>
          </w:tblCellMar>
        </w:tblPrEx>
        <w:trPr>
          <w:trHeight w:val="340" w:hRule="atLeast"/>
          <w:jc w:val="center"/>
        </w:trPr>
        <w:tc>
          <w:tcPr>
            <w:tcW w:w="411" w:type="dxa"/>
            <w:vAlign w:val="center"/>
          </w:tcPr>
          <w:p w14:paraId="01A0A9D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w:t>
            </w:r>
          </w:p>
        </w:tc>
        <w:tc>
          <w:tcPr>
            <w:tcW w:w="1175" w:type="dxa"/>
            <w:vAlign w:val="center"/>
          </w:tcPr>
          <w:p w14:paraId="4A43D1FD">
            <w:pPr>
              <w:adjustRightInd w:val="0"/>
              <w:snapToGrid w:val="0"/>
              <w:spacing w:line="240" w:lineRule="auto"/>
              <w:ind w:firstLine="0" w:firstLineChars="0"/>
              <w:jc w:val="center"/>
              <w:rPr>
                <w:color w:val="000000" w:themeColor="text1"/>
                <w:sz w:val="21"/>
                <w:szCs w:val="16"/>
                <w14:textFill>
                  <w14:solidFill>
                    <w14:schemeClr w14:val="tx1"/>
                  </w14:solidFill>
                </w14:textFill>
              </w:rPr>
            </w:pPr>
            <w:r>
              <w:rPr>
                <w:color w:val="000000" w:themeColor="text1"/>
                <w:sz w:val="21"/>
                <w:szCs w:val="16"/>
                <w14:textFill>
                  <w14:solidFill>
                    <w14:schemeClr w14:val="tx1"/>
                  </w14:solidFill>
                </w14:textFill>
              </w:rPr>
              <w:t>VOCs</w:t>
            </w:r>
          </w:p>
        </w:tc>
        <w:tc>
          <w:tcPr>
            <w:tcW w:w="464" w:type="dxa"/>
            <w:vAlign w:val="center"/>
          </w:tcPr>
          <w:p w14:paraId="3A9E1653">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12</w:t>
            </w:r>
          </w:p>
        </w:tc>
        <w:tc>
          <w:tcPr>
            <w:tcW w:w="435" w:type="dxa"/>
            <w:vAlign w:val="center"/>
          </w:tcPr>
          <w:p w14:paraId="014B23EE">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15</w:t>
            </w:r>
          </w:p>
        </w:tc>
        <w:tc>
          <w:tcPr>
            <w:tcW w:w="825" w:type="dxa"/>
            <w:vAlign w:val="center"/>
          </w:tcPr>
          <w:p w14:paraId="052D177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703" w:type="dxa"/>
            <w:vAlign w:val="center"/>
          </w:tcPr>
          <w:p w14:paraId="6D3BE418">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453</w:t>
            </w:r>
          </w:p>
        </w:tc>
        <w:tc>
          <w:tcPr>
            <w:tcW w:w="684" w:type="dxa"/>
            <w:vAlign w:val="center"/>
          </w:tcPr>
          <w:p w14:paraId="00E7F8C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25</w:t>
            </w:r>
          </w:p>
        </w:tc>
        <w:tc>
          <w:tcPr>
            <w:tcW w:w="835" w:type="dxa"/>
            <w:vAlign w:val="center"/>
          </w:tcPr>
          <w:p w14:paraId="29E7BEB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5</w:t>
            </w:r>
          </w:p>
        </w:tc>
        <w:tc>
          <w:tcPr>
            <w:tcW w:w="909" w:type="dxa"/>
            <w:vAlign w:val="center"/>
          </w:tcPr>
          <w:p w14:paraId="61FF3B9A">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8</w:t>
            </w:r>
          </w:p>
        </w:tc>
        <w:tc>
          <w:tcPr>
            <w:tcW w:w="695" w:type="dxa"/>
            <w:vAlign w:val="center"/>
          </w:tcPr>
          <w:p w14:paraId="176AF9C2">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3168</w:t>
            </w:r>
          </w:p>
        </w:tc>
        <w:tc>
          <w:tcPr>
            <w:tcW w:w="996" w:type="dxa"/>
            <w:vAlign w:val="center"/>
          </w:tcPr>
          <w:p w14:paraId="3C0FE6F9">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正常排放</w:t>
            </w:r>
          </w:p>
        </w:tc>
        <w:tc>
          <w:tcPr>
            <w:tcW w:w="960" w:type="dxa"/>
            <w:vAlign w:val="center"/>
          </w:tcPr>
          <w:p w14:paraId="65C1F3CC">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0.0293</w:t>
            </w:r>
          </w:p>
        </w:tc>
      </w:tr>
    </w:tbl>
    <w:p w14:paraId="4F03B670">
      <w:pPr>
        <w:ind w:firstLine="480"/>
        <w:rPr>
          <w:color w:val="000000" w:themeColor="text1"/>
          <w14:textFill>
            <w14:solidFill>
              <w14:schemeClr w14:val="tx1"/>
            </w14:solidFill>
          </w14:textFill>
        </w:rPr>
      </w:pPr>
      <w:r>
        <w:rPr>
          <w:color w:val="000000" w:themeColor="text1"/>
          <w14:textFill>
            <w14:solidFill>
              <w14:schemeClr w14:val="tx1"/>
            </w14:solidFill>
          </w14:textFill>
        </w:rPr>
        <w:t>主要污染物估算模型计算结果</w:t>
      </w:r>
      <w:r>
        <w:rPr>
          <w:rFonts w:hint="eastAsia"/>
          <w:color w:val="000000" w:themeColor="text1"/>
          <w14:textFill>
            <w14:solidFill>
              <w14:schemeClr w14:val="tx1"/>
            </w14:solidFill>
          </w14:textFill>
        </w:rPr>
        <w:t>见表4.3-11.。</w:t>
      </w:r>
    </w:p>
    <w:p w14:paraId="0DBD0976">
      <w:pPr>
        <w:ind w:firstLine="480"/>
        <w:rPr>
          <w:color w:val="000000" w:themeColor="text1"/>
          <w14:textFill>
            <w14:solidFill>
              <w14:schemeClr w14:val="tx1"/>
            </w14:solidFill>
          </w14:textFill>
        </w:rPr>
      </w:pPr>
      <w:r>
        <w:rPr>
          <w:color w:val="000000" w:themeColor="text1"/>
          <w14:textFill>
            <w14:solidFill>
              <w14:schemeClr w14:val="tx1"/>
            </w14:solidFill>
          </w14:textFill>
        </w:rPr>
        <w:t>本项目</w:t>
      </w:r>
      <w:r>
        <w:rPr>
          <w:rFonts w:hint="eastAsia"/>
          <w:color w:val="000000" w:themeColor="text1"/>
          <w14:textFill>
            <w14:solidFill>
              <w14:schemeClr w14:val="tx1"/>
            </w14:solidFill>
          </w14:textFill>
        </w:rPr>
        <w:t>装卸作业区排放的苯乙烯</w:t>
      </w:r>
      <w:r>
        <w:rPr>
          <w:color w:val="000000" w:themeColor="text1"/>
          <w14:textFill>
            <w14:solidFill>
              <w14:schemeClr w14:val="tx1"/>
            </w14:solidFill>
          </w14:textFill>
        </w:rPr>
        <w:t>P</w:t>
      </w:r>
      <w:r>
        <w:rPr>
          <w:color w:val="000000" w:themeColor="text1"/>
          <w:vertAlign w:val="subscript"/>
          <w14:textFill>
            <w14:solidFill>
              <w14:schemeClr w14:val="tx1"/>
            </w14:solidFill>
          </w14:textFill>
        </w:rPr>
        <w:t>max</w:t>
      </w:r>
      <w:r>
        <w:rPr>
          <w:color w:val="000000" w:themeColor="text1"/>
          <w14:textFill>
            <w14:solidFill>
              <w14:schemeClr w14:val="tx1"/>
            </w14:solidFill>
          </w14:textFill>
        </w:rPr>
        <w:t>值为</w:t>
      </w:r>
      <w:r>
        <w:rPr>
          <w:rFonts w:hint="eastAsia"/>
          <w:color w:val="000000" w:themeColor="text1"/>
          <w14:textFill>
            <w14:solidFill>
              <w14:schemeClr w14:val="tx1"/>
            </w14:solidFill>
          </w14:textFill>
        </w:rPr>
        <w:t>3.29</w:t>
      </w:r>
      <w:r>
        <w:rPr>
          <w:color w:val="000000" w:themeColor="text1"/>
          <w14:textFill>
            <w14:solidFill>
              <w14:schemeClr w14:val="tx1"/>
            </w14:solidFill>
          </w14:textFill>
        </w:rPr>
        <w:t>%，C</w:t>
      </w:r>
      <w:r>
        <w:rPr>
          <w:color w:val="000000" w:themeColor="text1"/>
          <w:vertAlign w:val="subscript"/>
          <w14:textFill>
            <w14:solidFill>
              <w14:schemeClr w14:val="tx1"/>
            </w14:solidFill>
          </w14:textFill>
        </w:rPr>
        <w:t>max</w:t>
      </w:r>
      <w:r>
        <w:rPr>
          <w:color w:val="000000" w:themeColor="text1"/>
          <w14:textFill>
            <w14:solidFill>
              <w14:schemeClr w14:val="tx1"/>
            </w14:solidFill>
          </w14:textFill>
        </w:rPr>
        <w:t>为</w:t>
      </w:r>
      <w:r>
        <w:rPr>
          <w:rFonts w:hint="eastAsia"/>
          <w:color w:val="000000" w:themeColor="text1"/>
          <w14:textFill>
            <w14:solidFill>
              <w14:schemeClr w14:val="tx1"/>
            </w14:solidFill>
          </w14:textFill>
        </w:rPr>
        <w:t>0.329u</w:t>
      </w:r>
      <w:r>
        <w:rPr>
          <w:color w:val="000000" w:themeColor="text1"/>
          <w14:textFill>
            <w14:solidFill>
              <w14:schemeClr w14:val="tx1"/>
            </w14:solidFill>
          </w14:textFill>
        </w:rPr>
        <w:t>g/m</w:t>
      </w:r>
      <w:r>
        <w:rPr>
          <w:rFonts w:hint="eastAsia"/>
          <w:color w:val="000000" w:themeColor="text1"/>
          <w:vertAlign w:val="superscript"/>
          <w14:textFill>
            <w14:solidFill>
              <w14:schemeClr w14:val="tx1"/>
            </w14:solidFill>
          </w14:textFill>
        </w:rPr>
        <w:t>3</w:t>
      </w:r>
      <w:r>
        <w:rPr>
          <w:color w:val="000000" w:themeColor="text1"/>
          <w14:textFill>
            <w14:solidFill>
              <w14:schemeClr w14:val="tx1"/>
            </w14:solidFill>
          </w14:textFill>
        </w:rPr>
        <w:t>，在1%≤P</w:t>
      </w:r>
      <w:r>
        <w:rPr>
          <w:color w:val="000000" w:themeColor="text1"/>
          <w:vertAlign w:val="subscript"/>
          <w14:textFill>
            <w14:solidFill>
              <w14:schemeClr w14:val="tx1"/>
            </w14:solidFill>
          </w14:textFill>
        </w:rPr>
        <w:t>max</w:t>
      </w:r>
      <w:r>
        <w:rPr>
          <w:color w:val="000000" w:themeColor="text1"/>
          <w14:textFill>
            <w14:solidFill>
              <w14:schemeClr w14:val="tx1"/>
            </w14:solidFill>
          </w14:textFill>
        </w:rPr>
        <w:t>&lt;10%范围内，根据《</w:t>
      </w:r>
      <w:r>
        <w:rPr>
          <w:rFonts w:hint="eastAsia"/>
          <w:color w:val="000000" w:themeColor="text1"/>
          <w14:textFill>
            <w14:solidFill>
              <w14:schemeClr w14:val="tx1"/>
            </w14:solidFill>
          </w14:textFill>
        </w:rPr>
        <w:t>环境影响评价技术导则 大气环境</w:t>
      </w:r>
      <w:r>
        <w:rPr>
          <w:color w:val="000000" w:themeColor="text1"/>
          <w14:textFill>
            <w14:solidFill>
              <w14:schemeClr w14:val="tx1"/>
            </w14:solidFill>
          </w14:textFill>
        </w:rPr>
        <w:t>》（HJ</w:t>
      </w:r>
      <w:r>
        <w:rPr>
          <w:rFonts w:hint="eastAsia"/>
          <w:color w:val="000000" w:themeColor="text1"/>
          <w14:textFill>
            <w14:solidFill>
              <w14:schemeClr w14:val="tx1"/>
            </w14:solidFill>
          </w14:textFill>
        </w:rPr>
        <w:t xml:space="preserve"> </w:t>
      </w:r>
      <w:r>
        <w:rPr>
          <w:color w:val="000000" w:themeColor="text1"/>
          <w14:textFill>
            <w14:solidFill>
              <w14:schemeClr w14:val="tx1"/>
            </w14:solidFill>
          </w14:textFill>
        </w:rPr>
        <w:t>2.2-2018）分级判据，确定本项目大气环境影响评价工作等级为二级。二级评价项目可不进行进一步预测与评价，只对污染物排放量进行核算。</w:t>
      </w:r>
    </w:p>
    <w:p w14:paraId="22901900">
      <w:pPr>
        <w:pStyle w:val="4"/>
        <w:rPr>
          <w:color w:val="000000" w:themeColor="text1"/>
          <w14:textFill>
            <w14:solidFill>
              <w14:schemeClr w14:val="tx1"/>
            </w14:solidFill>
          </w14:textFill>
        </w:rPr>
      </w:pPr>
      <w:bookmarkStart w:id="105" w:name="_Toc26909958"/>
      <w:bookmarkStart w:id="106" w:name="_Toc216103179"/>
      <w:bookmarkStart w:id="107" w:name="_Toc216620338"/>
      <w:bookmarkStart w:id="108" w:name="_Toc29131772"/>
      <w:bookmarkStart w:id="109" w:name="_Toc136878426"/>
      <w:bookmarkStart w:id="110" w:name="_Toc135090177"/>
      <w:bookmarkStart w:id="111" w:name="_Toc25436912"/>
      <w:r>
        <w:rPr>
          <w:color w:val="000000" w:themeColor="text1"/>
          <w14:textFill>
            <w14:solidFill>
              <w14:schemeClr w14:val="tx1"/>
            </w14:solidFill>
          </w14:textFill>
        </w:rPr>
        <w:t>地表水环境</w:t>
      </w:r>
      <w:bookmarkEnd w:id="105"/>
      <w:bookmarkEnd w:id="106"/>
      <w:bookmarkEnd w:id="107"/>
      <w:bookmarkEnd w:id="108"/>
      <w:bookmarkEnd w:id="109"/>
      <w:bookmarkEnd w:id="110"/>
      <w:bookmarkEnd w:id="111"/>
    </w:p>
    <w:p w14:paraId="39D30EA1">
      <w:pPr>
        <w:ind w:firstLine="480"/>
        <w:rPr>
          <w:color w:val="000000" w:themeColor="text1"/>
          <w:u w:val="single"/>
          <w14:textFill>
            <w14:solidFill>
              <w14:schemeClr w14:val="tx1"/>
            </w14:solidFill>
          </w14:textFill>
        </w:rPr>
      </w:pPr>
      <w:r>
        <w:rPr>
          <w:color w:val="000000" w:themeColor="text1"/>
          <w:u w:val="single"/>
          <w14:textFill>
            <w14:solidFill>
              <w14:schemeClr w14:val="tx1"/>
            </w14:solidFill>
          </w14:textFill>
        </w:rPr>
        <w:t>本项目属于码头工程，根据《环境影响评价技术导则——地表水环境》（HJ2.3-2018），项目水环境影响类型为水</w:t>
      </w:r>
      <w:r>
        <w:rPr>
          <w:rFonts w:hint="eastAsia"/>
          <w:color w:val="000000" w:themeColor="text1"/>
          <w:u w:val="single"/>
          <w14:textFill>
            <w14:solidFill>
              <w14:schemeClr w14:val="tx1"/>
            </w14:solidFill>
          </w14:textFill>
        </w:rPr>
        <w:t>污染</w:t>
      </w:r>
      <w:r>
        <w:rPr>
          <w:color w:val="000000" w:themeColor="text1"/>
          <w:u w:val="single"/>
          <w14:textFill>
            <w14:solidFill>
              <w14:schemeClr w14:val="tx1"/>
            </w14:solidFill>
          </w14:textFill>
        </w:rPr>
        <w:t>影响。</w:t>
      </w:r>
    </w:p>
    <w:p w14:paraId="77815E13">
      <w:pPr>
        <w:ind w:firstLine="480"/>
        <w:rPr>
          <w:color w:val="000000" w:themeColor="text1"/>
          <w:u w:val="single"/>
          <w14:textFill>
            <w14:solidFill>
              <w14:schemeClr w14:val="tx1"/>
            </w14:solidFill>
          </w14:textFill>
        </w:rPr>
      </w:pPr>
      <w:r>
        <w:rPr>
          <w:color w:val="000000" w:themeColor="text1"/>
          <w:u w:val="single"/>
          <w14:textFill>
            <w14:solidFill>
              <w14:schemeClr w14:val="tx1"/>
            </w14:solidFill>
          </w14:textFill>
        </w:rPr>
        <w:t>本项目营运期废水主要来自船舶污水、生活污水、冲洗水等。船舶含油污水由资质单位接收处置，生活污水、冲洗废水及初期雨水依托广西恒逸污水处理厂进行处理。根据《环境影响评价技术导则——地表水环境》（HJ2.3-2018），本项目营运期废水排放方式为间接排放，依据水污染影响判定评价等级为三级B。</w:t>
      </w:r>
    </w:p>
    <w:p w14:paraId="08688EC0">
      <w:pPr>
        <w:pStyle w:val="4"/>
        <w:rPr>
          <w:color w:val="000000" w:themeColor="text1"/>
          <w14:textFill>
            <w14:solidFill>
              <w14:schemeClr w14:val="tx1"/>
            </w14:solidFill>
          </w14:textFill>
        </w:rPr>
      </w:pPr>
      <w:bookmarkStart w:id="112" w:name="_Toc216620339"/>
      <w:bookmarkStart w:id="113" w:name="_Toc216103180"/>
      <w:bookmarkStart w:id="114" w:name="_Toc135090178"/>
      <w:bookmarkStart w:id="115" w:name="_Toc136878427"/>
      <w:r>
        <w:rPr>
          <w:color w:val="000000" w:themeColor="text1"/>
          <w14:textFill>
            <w14:solidFill>
              <w14:schemeClr w14:val="tx1"/>
            </w14:solidFill>
          </w14:textFill>
        </w:rPr>
        <w:t>海洋环境</w:t>
      </w:r>
      <w:bookmarkEnd w:id="112"/>
      <w:bookmarkEnd w:id="113"/>
      <w:bookmarkEnd w:id="114"/>
      <w:bookmarkEnd w:id="115"/>
    </w:p>
    <w:p w14:paraId="5EB6744F">
      <w:pPr>
        <w:ind w:firstLine="480"/>
        <w:rPr>
          <w:color w:val="000000" w:themeColor="text1"/>
          <w:u w:val="single"/>
          <w14:textFill>
            <w14:solidFill>
              <w14:schemeClr w14:val="tx1"/>
            </w14:solidFill>
          </w14:textFill>
        </w:rPr>
      </w:pPr>
      <w:r>
        <w:rPr>
          <w:rFonts w:hint="eastAsia"/>
          <w:color w:val="000000" w:themeColor="text1"/>
          <w14:textFill>
            <w14:solidFill>
              <w14:schemeClr w14:val="tx1"/>
            </w14:solidFill>
          </w14:textFill>
        </w:rPr>
        <w:t>项目属于新增装卸货种，不涉及海洋施工。</w:t>
      </w:r>
    </w:p>
    <w:p w14:paraId="3F085DDF">
      <w:pPr>
        <w:pStyle w:val="4"/>
        <w:rPr>
          <w:color w:val="000000" w:themeColor="text1"/>
          <w14:textFill>
            <w14:solidFill>
              <w14:schemeClr w14:val="tx1"/>
            </w14:solidFill>
          </w14:textFill>
        </w:rPr>
      </w:pPr>
      <w:bookmarkStart w:id="116" w:name="_Toc26909959"/>
      <w:bookmarkStart w:id="117" w:name="_Toc29131773"/>
      <w:bookmarkStart w:id="118" w:name="_Toc136878428"/>
      <w:bookmarkStart w:id="119" w:name="_Toc25436913"/>
      <w:bookmarkStart w:id="120" w:name="_Toc216103181"/>
      <w:bookmarkStart w:id="121" w:name="_Toc216620340"/>
      <w:bookmarkStart w:id="122" w:name="_Toc135090179"/>
      <w:r>
        <w:rPr>
          <w:color w:val="000000" w:themeColor="text1"/>
          <w14:textFill>
            <w14:solidFill>
              <w14:schemeClr w14:val="tx1"/>
            </w14:solidFill>
          </w14:textFill>
        </w:rPr>
        <w:t>地下水环境评价等级</w:t>
      </w:r>
      <w:bookmarkEnd w:id="116"/>
      <w:bookmarkEnd w:id="117"/>
      <w:bookmarkEnd w:id="118"/>
      <w:bookmarkEnd w:id="119"/>
      <w:bookmarkEnd w:id="120"/>
      <w:bookmarkEnd w:id="121"/>
      <w:bookmarkEnd w:id="122"/>
    </w:p>
    <w:p w14:paraId="54FD2AF6">
      <w:pPr>
        <w:ind w:firstLine="480"/>
        <w:rPr>
          <w:color w:val="000000" w:themeColor="text1"/>
          <w14:textFill>
            <w14:solidFill>
              <w14:schemeClr w14:val="tx1"/>
            </w14:solidFill>
          </w14:textFill>
        </w:rPr>
      </w:pPr>
      <w:r>
        <w:rPr>
          <w:color w:val="000000" w:themeColor="text1"/>
          <w14:textFill>
            <w14:solidFill>
              <w14:schemeClr w14:val="tx1"/>
            </w14:solidFill>
          </w14:textFill>
        </w:rPr>
        <w:t>本项目主要进行液体化工品转运。根据《环境影响评价技术导则地下水环境》（HJ 610-2016）附录A，本项目码头工程属于S油气、液体化工码头，属Ⅱ类建设项目。</w:t>
      </w:r>
    </w:p>
    <w:p w14:paraId="21EDD0A6">
      <w:pPr>
        <w:ind w:firstLine="480"/>
        <w:rPr>
          <w:color w:val="000000" w:themeColor="text1"/>
          <w14:textFill>
            <w14:solidFill>
              <w14:schemeClr w14:val="tx1"/>
            </w14:solidFill>
          </w14:textFill>
        </w:rPr>
      </w:pPr>
      <w:r>
        <w:rPr>
          <w:color w:val="000000" w:themeColor="text1"/>
          <w14:textFill>
            <w14:solidFill>
              <w14:schemeClr w14:val="tx1"/>
            </w14:solidFill>
          </w14:textFill>
        </w:rPr>
        <w:t>本项目场地处于钦州港金鼓江西岸，周边主要为工业企业，附近无集中式饮用水水源地，也无国家或地方政府设定的与地下水环境相关的其他保护区，如热水、矿泉水、温泉等特殊地下水资源保护区。项目场地紧邻金鼓江，属于区域地下水的排泄区，浅层地下水均为咸水，利用价值低，周边居民饮水均为自来水，无集中式或分散式饮用水源地及矿泉水、温泉等特殊地下水资源分布区等地下水环境敏感、较敏感区，也不涉及《建设项目环境影响评价分类管理名录》中所界定的涉及地下水的环境敏感区。</w:t>
      </w:r>
    </w:p>
    <w:p w14:paraId="4C7B4154">
      <w:pPr>
        <w:ind w:firstLine="480"/>
        <w:rPr>
          <w:color w:val="000000" w:themeColor="text1"/>
          <w14:textFill>
            <w14:solidFill>
              <w14:schemeClr w14:val="tx1"/>
            </w14:solidFill>
          </w14:textFill>
        </w:rPr>
      </w:pPr>
      <w:r>
        <w:rPr>
          <w:color w:val="000000" w:themeColor="text1"/>
          <w14:textFill>
            <w14:solidFill>
              <w14:schemeClr w14:val="tx1"/>
            </w14:solidFill>
          </w14:textFill>
        </w:rPr>
        <w:t>本项目码头生产废水、生活污水依托恒逸污水处理厂集中处理达标后排海。因此综合判定建设项目的地下水环境敏感程度为“不敏感”。</w:t>
      </w:r>
    </w:p>
    <w:p w14:paraId="01565340">
      <w:pPr>
        <w:ind w:firstLine="480"/>
        <w:rPr>
          <w:color w:val="000000" w:themeColor="text1"/>
          <w14:textFill>
            <w14:solidFill>
              <w14:schemeClr w14:val="tx1"/>
            </w14:solidFill>
          </w14:textFill>
        </w:rPr>
      </w:pPr>
      <w:r>
        <w:rPr>
          <w:color w:val="000000" w:themeColor="text1"/>
          <w14:textFill>
            <w14:solidFill>
              <w14:schemeClr w14:val="tx1"/>
            </w14:solidFill>
          </w14:textFill>
        </w:rPr>
        <w:t>根据地下水评价工作等级分级表，确定本项目的地下水评价工作等级为“三级”。</w:t>
      </w:r>
    </w:p>
    <w:p w14:paraId="11E54078">
      <w:pPr>
        <w:pStyle w:val="7"/>
        <w:rPr>
          <w:color w:val="000000" w:themeColor="text1"/>
          <w14:textFill>
            <w14:solidFill>
              <w14:schemeClr w14:val="tx1"/>
            </w14:solidFill>
          </w14:textFill>
        </w:rPr>
      </w:pPr>
      <w:r>
        <w:rPr>
          <w:color w:val="000000" w:themeColor="text1"/>
          <w14:textFill>
            <w14:solidFill>
              <w14:schemeClr w14:val="tx1"/>
            </w14:solidFill>
          </w14:textFill>
        </w:rPr>
        <w:t>地下水评价工作等级分级表</w:t>
      </w:r>
    </w:p>
    <w:tbl>
      <w:tblPr>
        <w:tblStyle w:val="43"/>
        <w:tblW w:w="9042"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3418"/>
        <w:gridCol w:w="1933"/>
        <w:gridCol w:w="1794"/>
        <w:gridCol w:w="1897"/>
      </w:tblGrid>
      <w:tr w14:paraId="3448ABD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418" w:type="dxa"/>
            <w:tcBorders>
              <w:top w:val="single" w:color="auto" w:sz="12" w:space="0"/>
              <w:bottom w:val="single" w:color="auto" w:sz="6" w:space="0"/>
              <w:tl2br w:val="single" w:color="auto" w:sz="4" w:space="0"/>
            </w:tcBorders>
            <w:vAlign w:val="center"/>
          </w:tcPr>
          <w:p w14:paraId="7C2FD8EF">
            <w:pPr>
              <w:spacing w:line="300" w:lineRule="exact"/>
              <w:ind w:firstLine="0" w:firstLineChars="0"/>
              <w:jc w:val="right"/>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项目类别</w:t>
            </w:r>
          </w:p>
          <w:p w14:paraId="3E38FCD4">
            <w:pPr>
              <w:spacing w:line="300" w:lineRule="exact"/>
              <w:ind w:firstLine="0" w:firstLineChars="0"/>
              <w:jc w:val="left"/>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 xml:space="preserve">敏感程度 </w:t>
            </w:r>
          </w:p>
        </w:tc>
        <w:tc>
          <w:tcPr>
            <w:tcW w:w="1933" w:type="dxa"/>
            <w:tcBorders>
              <w:top w:val="single" w:color="auto" w:sz="12" w:space="0"/>
              <w:bottom w:val="single" w:color="auto" w:sz="6" w:space="0"/>
              <w:tl2br w:val="nil"/>
            </w:tcBorders>
            <w:vAlign w:val="center"/>
          </w:tcPr>
          <w:p w14:paraId="0E8BF88F">
            <w:pPr>
              <w:spacing w:line="300" w:lineRule="exact"/>
              <w:ind w:firstLine="0" w:firstLineChars="0"/>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Ⅰ类项目</w:t>
            </w:r>
          </w:p>
        </w:tc>
        <w:tc>
          <w:tcPr>
            <w:tcW w:w="1794" w:type="dxa"/>
            <w:tcBorders>
              <w:top w:val="single" w:color="auto" w:sz="12" w:space="0"/>
              <w:bottom w:val="single" w:color="auto" w:sz="6" w:space="0"/>
              <w:tl2br w:val="nil"/>
            </w:tcBorders>
            <w:vAlign w:val="center"/>
          </w:tcPr>
          <w:p w14:paraId="6905EC0C">
            <w:pPr>
              <w:spacing w:line="300" w:lineRule="exact"/>
              <w:ind w:firstLine="0" w:firstLineChars="0"/>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Ⅱ类项目</w:t>
            </w:r>
          </w:p>
        </w:tc>
        <w:tc>
          <w:tcPr>
            <w:tcW w:w="1897" w:type="dxa"/>
            <w:vAlign w:val="center"/>
          </w:tcPr>
          <w:p w14:paraId="2257C983">
            <w:pPr>
              <w:spacing w:line="300" w:lineRule="exact"/>
              <w:ind w:firstLine="0" w:firstLineChars="0"/>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Ⅲ类项目</w:t>
            </w:r>
          </w:p>
        </w:tc>
      </w:tr>
      <w:tr w14:paraId="4ADC0D2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418" w:type="dxa"/>
            <w:tcBorders>
              <w:top w:val="single" w:color="auto" w:sz="6" w:space="0"/>
            </w:tcBorders>
            <w:vAlign w:val="center"/>
          </w:tcPr>
          <w:p w14:paraId="60123CDB">
            <w:pPr>
              <w:spacing w:line="30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敏感</w:t>
            </w:r>
          </w:p>
        </w:tc>
        <w:tc>
          <w:tcPr>
            <w:tcW w:w="1933" w:type="dxa"/>
            <w:tcBorders>
              <w:top w:val="single" w:color="auto" w:sz="6" w:space="0"/>
            </w:tcBorders>
            <w:vAlign w:val="center"/>
          </w:tcPr>
          <w:p w14:paraId="4CD46FB7">
            <w:pPr>
              <w:spacing w:line="30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一</w:t>
            </w:r>
          </w:p>
        </w:tc>
        <w:tc>
          <w:tcPr>
            <w:tcW w:w="1794" w:type="dxa"/>
            <w:tcBorders>
              <w:top w:val="single" w:color="auto" w:sz="6" w:space="0"/>
            </w:tcBorders>
            <w:vAlign w:val="center"/>
          </w:tcPr>
          <w:p w14:paraId="0CF8A255">
            <w:pPr>
              <w:spacing w:line="30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一</w:t>
            </w:r>
          </w:p>
        </w:tc>
        <w:tc>
          <w:tcPr>
            <w:tcW w:w="1897" w:type="dxa"/>
            <w:vAlign w:val="center"/>
          </w:tcPr>
          <w:p w14:paraId="31046B1D">
            <w:pPr>
              <w:spacing w:line="30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二</w:t>
            </w:r>
          </w:p>
        </w:tc>
      </w:tr>
      <w:tr w14:paraId="1A52ACD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418" w:type="dxa"/>
            <w:vAlign w:val="center"/>
          </w:tcPr>
          <w:p w14:paraId="71E08C3E">
            <w:pPr>
              <w:spacing w:line="30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较敏感</w:t>
            </w:r>
          </w:p>
        </w:tc>
        <w:tc>
          <w:tcPr>
            <w:tcW w:w="1933" w:type="dxa"/>
            <w:vAlign w:val="center"/>
          </w:tcPr>
          <w:p w14:paraId="6EED3797">
            <w:pPr>
              <w:spacing w:line="30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一</w:t>
            </w:r>
          </w:p>
        </w:tc>
        <w:tc>
          <w:tcPr>
            <w:tcW w:w="1794" w:type="dxa"/>
            <w:vAlign w:val="center"/>
          </w:tcPr>
          <w:p w14:paraId="42F413E7">
            <w:pPr>
              <w:spacing w:line="30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二</w:t>
            </w:r>
          </w:p>
        </w:tc>
        <w:tc>
          <w:tcPr>
            <w:tcW w:w="1897" w:type="dxa"/>
            <w:vAlign w:val="center"/>
          </w:tcPr>
          <w:p w14:paraId="18004B28">
            <w:pPr>
              <w:spacing w:line="30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三</w:t>
            </w:r>
          </w:p>
        </w:tc>
      </w:tr>
      <w:tr w14:paraId="6C939A0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418" w:type="dxa"/>
            <w:vAlign w:val="center"/>
          </w:tcPr>
          <w:p w14:paraId="50D434B1">
            <w:pPr>
              <w:spacing w:line="30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不敏感</w:t>
            </w:r>
          </w:p>
        </w:tc>
        <w:tc>
          <w:tcPr>
            <w:tcW w:w="1933" w:type="dxa"/>
            <w:vAlign w:val="center"/>
          </w:tcPr>
          <w:p w14:paraId="4104DE2F">
            <w:pPr>
              <w:spacing w:line="30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二</w:t>
            </w:r>
          </w:p>
        </w:tc>
        <w:tc>
          <w:tcPr>
            <w:tcW w:w="1794" w:type="dxa"/>
            <w:shd w:val="clear" w:color="auto" w:fill="BFBFBF"/>
            <w:vAlign w:val="center"/>
          </w:tcPr>
          <w:p w14:paraId="3E1E8A30">
            <w:pPr>
              <w:spacing w:line="30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三</w:t>
            </w:r>
          </w:p>
        </w:tc>
        <w:tc>
          <w:tcPr>
            <w:tcW w:w="1897" w:type="dxa"/>
            <w:vAlign w:val="center"/>
          </w:tcPr>
          <w:p w14:paraId="76034B4C">
            <w:pPr>
              <w:spacing w:line="30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三</w:t>
            </w:r>
          </w:p>
        </w:tc>
      </w:tr>
    </w:tbl>
    <w:p w14:paraId="5DC00FB9">
      <w:pPr>
        <w:pStyle w:val="4"/>
        <w:rPr>
          <w:color w:val="000000" w:themeColor="text1"/>
          <w14:textFill>
            <w14:solidFill>
              <w14:schemeClr w14:val="tx1"/>
            </w14:solidFill>
          </w14:textFill>
        </w:rPr>
      </w:pPr>
      <w:bookmarkStart w:id="123" w:name="_Toc216620341"/>
      <w:bookmarkStart w:id="124" w:name="_Toc26909960"/>
      <w:bookmarkStart w:id="125" w:name="_Toc216103182"/>
      <w:bookmarkStart w:id="126" w:name="_Toc135090180"/>
      <w:bookmarkStart w:id="127" w:name="_Toc25436914"/>
      <w:bookmarkStart w:id="128" w:name="_Toc29131774"/>
      <w:bookmarkStart w:id="129" w:name="_Toc136878429"/>
      <w:r>
        <w:rPr>
          <w:color w:val="000000" w:themeColor="text1"/>
          <w14:textFill>
            <w14:solidFill>
              <w14:schemeClr w14:val="tx1"/>
            </w14:solidFill>
          </w14:textFill>
        </w:rPr>
        <w:t>噪声评价等级</w:t>
      </w:r>
      <w:bookmarkEnd w:id="123"/>
      <w:bookmarkEnd w:id="124"/>
      <w:bookmarkEnd w:id="125"/>
      <w:bookmarkEnd w:id="126"/>
      <w:bookmarkEnd w:id="127"/>
      <w:bookmarkEnd w:id="128"/>
      <w:bookmarkEnd w:id="129"/>
    </w:p>
    <w:p w14:paraId="3F67C74B">
      <w:pPr>
        <w:ind w:firstLine="480"/>
        <w:rPr>
          <w:color w:val="000000" w:themeColor="text1"/>
          <w14:textFill>
            <w14:solidFill>
              <w14:schemeClr w14:val="tx1"/>
            </w14:solidFill>
          </w14:textFill>
        </w:rPr>
      </w:pPr>
      <w:r>
        <w:rPr>
          <w:color w:val="000000" w:themeColor="text1"/>
          <w14:textFill>
            <w14:solidFill>
              <w14:schemeClr w14:val="tx1"/>
            </w14:solidFill>
          </w14:textFill>
        </w:rPr>
        <w:t>项目所处的声环境功能区为3 类，厂界外200m范围内无居民区、学校、医院等环境敏感目标，根据《环境影响评价技术导则 声环境》（HJ2.4-2021），确定本项目声环境影响评价等级为“三级”。</w:t>
      </w:r>
    </w:p>
    <w:p w14:paraId="4AECCBA2">
      <w:pPr>
        <w:pStyle w:val="4"/>
        <w:rPr>
          <w:color w:val="000000" w:themeColor="text1"/>
          <w14:textFill>
            <w14:solidFill>
              <w14:schemeClr w14:val="tx1"/>
            </w14:solidFill>
          </w14:textFill>
        </w:rPr>
      </w:pPr>
      <w:bookmarkStart w:id="130" w:name="_Toc135090181"/>
      <w:bookmarkStart w:id="131" w:name="_Toc216620342"/>
      <w:bookmarkStart w:id="132" w:name="_Toc29131775"/>
      <w:bookmarkStart w:id="133" w:name="_Toc26909961"/>
      <w:bookmarkStart w:id="134" w:name="_Toc216103183"/>
      <w:bookmarkStart w:id="135" w:name="_Toc25436915"/>
      <w:bookmarkStart w:id="136" w:name="_Toc136878430"/>
      <w:r>
        <w:rPr>
          <w:color w:val="000000" w:themeColor="text1"/>
          <w14:textFill>
            <w14:solidFill>
              <w14:schemeClr w14:val="tx1"/>
            </w14:solidFill>
          </w14:textFill>
        </w:rPr>
        <w:t>生态评价等级</w:t>
      </w:r>
      <w:bookmarkEnd w:id="130"/>
      <w:bookmarkEnd w:id="131"/>
      <w:bookmarkEnd w:id="132"/>
      <w:bookmarkEnd w:id="133"/>
      <w:bookmarkEnd w:id="134"/>
      <w:bookmarkEnd w:id="135"/>
      <w:bookmarkEnd w:id="136"/>
    </w:p>
    <w:p w14:paraId="179DBE06">
      <w:pPr>
        <w:widowControl/>
        <w:autoSpaceDE w:val="0"/>
        <w:ind w:firstLine="480"/>
        <w:rPr>
          <w:color w:val="000000" w:themeColor="text1"/>
          <w14:textFill>
            <w14:solidFill>
              <w14:schemeClr w14:val="tx1"/>
            </w14:solidFill>
          </w14:textFill>
        </w:rPr>
      </w:pPr>
      <w:bookmarkStart w:id="137" w:name="_Toc26909962"/>
      <w:bookmarkStart w:id="138" w:name="_Toc25436916"/>
      <w:bookmarkStart w:id="139" w:name="_Toc29131776"/>
      <w:r>
        <w:rPr>
          <w:rFonts w:hint="eastAsia" w:ascii="宋体" w:hAnsi="宋体"/>
          <w:color w:val="000000" w:themeColor="text1"/>
          <w14:textFill>
            <w14:solidFill>
              <w14:schemeClr w14:val="tx1"/>
            </w14:solidFill>
          </w14:textFill>
        </w:rPr>
        <w:t>本项目无涉海作业，无需根据《环境影响评价技术导则</w:t>
      </w:r>
      <w:r>
        <w:rPr>
          <w:rFonts w:hint="eastAsia"/>
          <w:color w:val="000000" w:themeColor="text1"/>
          <w14:textFill>
            <w14:solidFill>
              <w14:schemeClr w14:val="tx1"/>
            </w14:solidFill>
          </w14:textFill>
        </w:rPr>
        <w:t xml:space="preserve"> </w:t>
      </w:r>
      <w:r>
        <w:rPr>
          <w:rFonts w:hint="eastAsia" w:ascii="宋体" w:hAnsi="宋体"/>
          <w:color w:val="000000" w:themeColor="text1"/>
          <w14:textFill>
            <w14:solidFill>
              <w14:schemeClr w14:val="tx1"/>
            </w14:solidFill>
          </w14:textFill>
        </w:rPr>
        <w:t>海洋生态环境（</w:t>
      </w:r>
      <w:r>
        <w:rPr>
          <w:rFonts w:hint="eastAsia"/>
          <w:color w:val="000000" w:themeColor="text1"/>
          <w14:textFill>
            <w14:solidFill>
              <w14:schemeClr w14:val="tx1"/>
            </w14:solidFill>
          </w14:textFill>
        </w:rPr>
        <w:t>HJ 1409-2025</w:t>
      </w:r>
      <w:r>
        <w:rPr>
          <w:rFonts w:hint="eastAsia" w:ascii="宋体" w:hAnsi="宋体"/>
          <w:color w:val="000000" w:themeColor="text1"/>
          <w14:textFill>
            <w14:solidFill>
              <w14:schemeClr w14:val="tx1"/>
            </w14:solidFill>
          </w14:textFill>
        </w:rPr>
        <w:t>）》进行海洋生态环境评价等级判定。</w:t>
      </w:r>
      <w:r>
        <w:rPr>
          <w:rFonts w:ascii="宋体" w:hAnsi="宋体"/>
          <w:color w:val="000000" w:themeColor="text1"/>
          <w14:textFill>
            <w14:solidFill>
              <w14:schemeClr w14:val="tx1"/>
            </w14:solidFill>
          </w14:textFill>
        </w:rPr>
        <w:t>根据《环境影响评价技术导则</w:t>
      </w:r>
      <w:r>
        <w:rPr>
          <w:color w:val="000000" w:themeColor="text1"/>
          <w14:textFill>
            <w14:solidFill>
              <w14:schemeClr w14:val="tx1"/>
            </w14:solidFill>
          </w14:textFill>
        </w:rPr>
        <w:t xml:space="preserve"> </w:t>
      </w:r>
      <w:r>
        <w:rPr>
          <w:rFonts w:ascii="宋体" w:hAnsi="宋体"/>
          <w:color w:val="000000" w:themeColor="text1"/>
          <w14:textFill>
            <w14:solidFill>
              <w14:schemeClr w14:val="tx1"/>
            </w14:solidFill>
          </w14:textFill>
        </w:rPr>
        <w:t>生态影响》（</w:t>
      </w:r>
      <w:r>
        <w:rPr>
          <w:color w:val="000000" w:themeColor="text1"/>
          <w14:textFill>
            <w14:solidFill>
              <w14:schemeClr w14:val="tx1"/>
            </w14:solidFill>
          </w14:textFill>
        </w:rPr>
        <w:t>HJ 19-2022</w:t>
      </w:r>
      <w:r>
        <w:rPr>
          <w:rFonts w:ascii="宋体" w:hAnsi="宋体"/>
          <w:color w:val="000000" w:themeColor="text1"/>
          <w14:textFill>
            <w14:solidFill>
              <w14:schemeClr w14:val="tx1"/>
            </w14:solidFill>
          </w14:textFill>
        </w:rPr>
        <w:t>），建设项目</w:t>
      </w:r>
      <w:r>
        <w:rPr>
          <w:rFonts w:hint="eastAsia" w:ascii="宋体" w:hAnsi="宋体"/>
          <w:color w:val="000000" w:themeColor="text1"/>
          <w14:textFill>
            <w14:solidFill>
              <w14:schemeClr w14:val="tx1"/>
            </w14:solidFill>
          </w14:textFill>
        </w:rPr>
        <w:t>不</w:t>
      </w:r>
      <w:r>
        <w:rPr>
          <w:rFonts w:ascii="宋体" w:hAnsi="宋体"/>
          <w:color w:val="000000" w:themeColor="text1"/>
          <w14:textFill>
            <w14:solidFill>
              <w14:schemeClr w14:val="tx1"/>
            </w14:solidFill>
          </w14:textFill>
        </w:rPr>
        <w:t>涉及水生生态影响，</w:t>
      </w:r>
      <w:r>
        <w:rPr>
          <w:rFonts w:hint="eastAsia" w:ascii="宋体" w:hAnsi="宋体"/>
          <w:color w:val="000000" w:themeColor="text1"/>
          <w14:textFill>
            <w14:solidFill>
              <w14:schemeClr w14:val="tx1"/>
            </w14:solidFill>
          </w14:textFill>
        </w:rPr>
        <w:t>仅</w:t>
      </w:r>
      <w:r>
        <w:rPr>
          <w:rFonts w:ascii="宋体" w:hAnsi="宋体"/>
          <w:color w:val="000000" w:themeColor="text1"/>
          <w14:textFill>
            <w14:solidFill>
              <w14:schemeClr w14:val="tx1"/>
            </w14:solidFill>
          </w14:textFill>
        </w:rPr>
        <w:t>对陆生生态</w:t>
      </w:r>
      <w:r>
        <w:rPr>
          <w:rFonts w:hint="eastAsia" w:ascii="宋体" w:hAnsi="宋体"/>
          <w:color w:val="000000" w:themeColor="text1"/>
          <w14:textFill>
            <w14:solidFill>
              <w14:schemeClr w14:val="tx1"/>
            </w14:solidFill>
          </w14:textFill>
        </w:rPr>
        <w:t>进行</w:t>
      </w:r>
      <w:r>
        <w:rPr>
          <w:rFonts w:ascii="宋体" w:hAnsi="宋体"/>
          <w:color w:val="000000" w:themeColor="text1"/>
          <w14:textFill>
            <w14:solidFill>
              <w14:schemeClr w14:val="tx1"/>
            </w14:solidFill>
          </w14:textFill>
        </w:rPr>
        <w:t>评价等级</w:t>
      </w:r>
      <w:r>
        <w:rPr>
          <w:rFonts w:hint="eastAsia" w:ascii="宋体" w:hAnsi="宋体"/>
          <w:color w:val="000000" w:themeColor="text1"/>
          <w14:textFill>
            <w14:solidFill>
              <w14:schemeClr w14:val="tx1"/>
            </w14:solidFill>
          </w14:textFill>
        </w:rPr>
        <w:t>判定</w:t>
      </w:r>
      <w:r>
        <w:rPr>
          <w:rFonts w:ascii="宋体" w:hAnsi="宋体"/>
          <w:color w:val="000000" w:themeColor="text1"/>
          <w14:textFill>
            <w14:solidFill>
              <w14:schemeClr w14:val="tx1"/>
            </w14:solidFill>
          </w14:textFill>
        </w:rPr>
        <w:t>。</w:t>
      </w:r>
    </w:p>
    <w:p w14:paraId="7E80D6A7">
      <w:pPr>
        <w:autoSpaceDE w:val="0"/>
        <w:ind w:firstLine="480"/>
        <w:rPr>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参照《环境影响评价技术导则</w:t>
      </w:r>
      <w:r>
        <w:rPr>
          <w:rFonts w:hint="eastAsia"/>
          <w:color w:val="000000" w:themeColor="text1"/>
          <w14:textFill>
            <w14:solidFill>
              <w14:schemeClr w14:val="tx1"/>
            </w14:solidFill>
          </w14:textFill>
        </w:rPr>
        <w:t xml:space="preserve"> </w:t>
      </w:r>
      <w:r>
        <w:rPr>
          <w:rFonts w:hint="eastAsia" w:ascii="宋体" w:hAnsi="宋体"/>
          <w:color w:val="000000" w:themeColor="text1"/>
          <w14:textFill>
            <w14:solidFill>
              <w14:schemeClr w14:val="tx1"/>
            </w14:solidFill>
          </w14:textFill>
        </w:rPr>
        <w:t>生态环境》（</w:t>
      </w:r>
      <w:r>
        <w:rPr>
          <w:rFonts w:hint="eastAsia"/>
          <w:color w:val="000000" w:themeColor="text1"/>
          <w14:textFill>
            <w14:solidFill>
              <w14:schemeClr w14:val="tx1"/>
            </w14:solidFill>
          </w14:textFill>
        </w:rPr>
        <w:t>HJ19-2022</w:t>
      </w:r>
      <w:r>
        <w:rPr>
          <w:rFonts w:hint="eastAsia" w:ascii="宋体" w:hAnsi="宋体"/>
          <w:color w:val="000000" w:themeColor="text1"/>
          <w14:textFill>
            <w14:solidFill>
              <w14:schemeClr w14:val="tx1"/>
            </w14:solidFill>
          </w14:textFill>
        </w:rPr>
        <w:t>），本项目符合生态环境分区管控要求且位于原厂界（或永久用地）范围内的污染影响类改扩建项目，位于已批准规划环评的产业园区内且符合规划环评要求、不涉及生态敏感区的污染影响类建设项目，可不确定评价等级，直接进行生态影响简单分析。</w:t>
      </w:r>
    </w:p>
    <w:p w14:paraId="44BCA889">
      <w:pPr>
        <w:pStyle w:val="4"/>
        <w:rPr>
          <w:color w:val="000000" w:themeColor="text1"/>
          <w14:textFill>
            <w14:solidFill>
              <w14:schemeClr w14:val="tx1"/>
            </w14:solidFill>
          </w14:textFill>
        </w:rPr>
      </w:pPr>
      <w:bookmarkStart w:id="140" w:name="_Toc135090182"/>
      <w:bookmarkStart w:id="141" w:name="_Toc216620343"/>
      <w:bookmarkStart w:id="142" w:name="_Toc216103184"/>
      <w:bookmarkStart w:id="143" w:name="_Toc136878431"/>
      <w:r>
        <w:rPr>
          <w:color w:val="000000" w:themeColor="text1"/>
          <w14:textFill>
            <w14:solidFill>
              <w14:schemeClr w14:val="tx1"/>
            </w14:solidFill>
          </w14:textFill>
        </w:rPr>
        <w:t>土壤环境</w:t>
      </w:r>
      <w:bookmarkEnd w:id="140"/>
      <w:bookmarkEnd w:id="141"/>
      <w:bookmarkEnd w:id="142"/>
      <w:bookmarkEnd w:id="143"/>
    </w:p>
    <w:p w14:paraId="7D80BD37">
      <w:pPr>
        <w:ind w:firstLine="480"/>
        <w:rPr>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根据《环境影响评价技术导则</w:t>
      </w:r>
      <w:r>
        <w:rPr>
          <w:rFonts w:hint="eastAsia"/>
          <w:color w:val="000000" w:themeColor="text1"/>
          <w14:textFill>
            <w14:solidFill>
              <w14:schemeClr w14:val="tx1"/>
            </w14:solidFill>
          </w14:textFill>
        </w:rPr>
        <w:t xml:space="preserve"> </w:t>
      </w:r>
      <w:r>
        <w:rPr>
          <w:rFonts w:hint="eastAsia" w:ascii="宋体" w:hAnsi="宋体"/>
          <w:color w:val="000000" w:themeColor="text1"/>
          <w14:textFill>
            <w14:solidFill>
              <w14:schemeClr w14:val="tx1"/>
            </w14:solidFill>
          </w14:textFill>
        </w:rPr>
        <w:t>土壤环境》（</w:t>
      </w:r>
      <w:r>
        <w:rPr>
          <w:rFonts w:hint="eastAsia"/>
          <w:color w:val="000000" w:themeColor="text1"/>
          <w14:textFill>
            <w14:solidFill>
              <w14:schemeClr w14:val="tx1"/>
            </w14:solidFill>
          </w14:textFill>
        </w:rPr>
        <w:t>HJ 964-2018</w:t>
      </w:r>
      <w:r>
        <w:rPr>
          <w:rFonts w:hint="eastAsia" w:ascii="宋体" w:hAnsi="宋体"/>
          <w:color w:val="000000" w:themeColor="text1"/>
          <w14:textFill>
            <w14:solidFill>
              <w14:schemeClr w14:val="tx1"/>
            </w14:solidFill>
          </w14:textFill>
        </w:rPr>
        <w:t>）附录</w:t>
      </w:r>
      <w:r>
        <w:rPr>
          <w:rFonts w:hint="eastAsia"/>
          <w:color w:val="000000" w:themeColor="text1"/>
          <w14:textFill>
            <w14:solidFill>
              <w14:schemeClr w14:val="tx1"/>
            </w14:solidFill>
          </w14:textFill>
        </w:rPr>
        <w:t>A</w:t>
      </w:r>
      <w:r>
        <w:rPr>
          <w:rFonts w:hint="eastAsia" w:ascii="宋体" w:hAnsi="宋体"/>
          <w:color w:val="000000" w:themeColor="text1"/>
          <w14:textFill>
            <w14:solidFill>
              <w14:schemeClr w14:val="tx1"/>
            </w14:solidFill>
          </w14:textFill>
        </w:rPr>
        <w:t>土壤环境影响评价项目类别表，拟建项目属于涉及危险品、化学品的码头，为</w:t>
      </w:r>
      <w:r>
        <w:rPr>
          <w:color w:val="000000" w:themeColor="text1"/>
          <w14:textFill>
            <w14:solidFill>
              <w14:schemeClr w14:val="tx1"/>
            </w14:solidFill>
          </w14:textFill>
        </w:rPr>
        <w:t>Ⅱ</w:t>
      </w:r>
      <w:r>
        <w:rPr>
          <w:rFonts w:hint="eastAsia" w:ascii="宋体" w:hAnsi="宋体"/>
          <w:color w:val="000000" w:themeColor="text1"/>
          <w14:textFill>
            <w14:solidFill>
              <w14:schemeClr w14:val="tx1"/>
            </w14:solidFill>
          </w14:textFill>
        </w:rPr>
        <w:t>类项目。本项目不新增永久占地，占地规模为小型，项目厂区周边均为工业用地及海域用地，不涉及土壤环境敏感目标，敏感程度为不敏感。本项目位于金鼓江入海口的码头上，码头为重力式透水码头结构，无绿化带和防风林，码头地面已硬化，硬化地面下的陆域土壤均为回填土，不具备代表性。因此本次环评不对土壤进行评价。</w:t>
      </w:r>
    </w:p>
    <w:p w14:paraId="0A27FD5D">
      <w:pPr>
        <w:pStyle w:val="4"/>
        <w:rPr>
          <w:color w:val="000000" w:themeColor="text1"/>
          <w14:textFill>
            <w14:solidFill>
              <w14:schemeClr w14:val="tx1"/>
            </w14:solidFill>
          </w14:textFill>
        </w:rPr>
      </w:pPr>
      <w:bookmarkStart w:id="144" w:name="_Toc136878432"/>
      <w:bookmarkStart w:id="145" w:name="_Toc216103185"/>
      <w:bookmarkStart w:id="146" w:name="_Toc135090183"/>
      <w:bookmarkStart w:id="147" w:name="_Toc216620344"/>
      <w:r>
        <w:rPr>
          <w:color w:val="000000" w:themeColor="text1"/>
          <w14:textFill>
            <w14:solidFill>
              <w14:schemeClr w14:val="tx1"/>
            </w14:solidFill>
          </w14:textFill>
        </w:rPr>
        <w:t>风险评价等级</w:t>
      </w:r>
      <w:bookmarkEnd w:id="137"/>
      <w:bookmarkEnd w:id="138"/>
      <w:bookmarkEnd w:id="139"/>
      <w:bookmarkEnd w:id="144"/>
      <w:bookmarkEnd w:id="145"/>
      <w:bookmarkEnd w:id="146"/>
      <w:bookmarkEnd w:id="147"/>
    </w:p>
    <w:p w14:paraId="6A1D4950">
      <w:pPr>
        <w:ind w:firstLine="480"/>
        <w:rPr>
          <w:color w:val="000000" w:themeColor="text1"/>
          <w14:textFill>
            <w14:solidFill>
              <w14:schemeClr w14:val="tx1"/>
            </w14:solidFill>
          </w14:textFill>
        </w:rPr>
      </w:pPr>
      <w:r>
        <w:rPr>
          <w:color w:val="000000" w:themeColor="text1"/>
          <w14:textFill>
            <w14:solidFill>
              <w14:schemeClr w14:val="tx1"/>
            </w14:solidFill>
          </w14:textFill>
        </w:rPr>
        <w:t>本项目涉及的主要化学品有</w:t>
      </w:r>
      <w:r>
        <w:rPr>
          <w:rFonts w:hint="eastAsia"/>
          <w:color w:val="000000" w:themeColor="text1"/>
          <w:u w:val="none"/>
          <w14:textFill>
            <w14:solidFill>
              <w14:schemeClr w14:val="tx1"/>
            </w14:solidFill>
          </w14:textFill>
        </w:rPr>
        <w:t>苯乙烯、裂解C9、棕榈酸化油、脂肪酸甲酯、脂肪酸混合物、工业级混合油、纯生物柴油、航空煤油、液硫、碱液、发烟硫酸、硫酸</w:t>
      </w:r>
      <w:r>
        <w:rPr>
          <w:color w:val="000000" w:themeColor="text1"/>
          <w14:textFill>
            <w14:solidFill>
              <w14:schemeClr w14:val="tx1"/>
            </w14:solidFill>
          </w14:textFill>
        </w:rPr>
        <w:t>等，依据《建设项目环境风险评价技术导则》（HJ/T169-2018），</w:t>
      </w:r>
      <w:r>
        <w:rPr>
          <w:color w:val="000000" w:themeColor="text1"/>
          <w:kern w:val="0"/>
          <w:szCs w:val="20"/>
          <w14:textFill>
            <w14:solidFill>
              <w14:schemeClr w14:val="tx1"/>
            </w14:solidFill>
          </w14:textFill>
        </w:rPr>
        <w:t>本项目环境风险大气环境敏感区为E2，地表水环境敏感区为E</w:t>
      </w:r>
      <w:r>
        <w:rPr>
          <w:rFonts w:hint="eastAsia"/>
          <w:color w:val="000000" w:themeColor="text1"/>
          <w:kern w:val="0"/>
          <w:szCs w:val="20"/>
          <w14:textFill>
            <w14:solidFill>
              <w14:schemeClr w14:val="tx1"/>
            </w14:solidFill>
          </w14:textFill>
        </w:rPr>
        <w:t>2</w:t>
      </w:r>
      <w:r>
        <w:rPr>
          <w:color w:val="000000" w:themeColor="text1"/>
          <w:kern w:val="0"/>
          <w:szCs w:val="20"/>
          <w14:textFill>
            <w14:solidFill>
              <w14:schemeClr w14:val="tx1"/>
            </w14:solidFill>
          </w14:textFill>
        </w:rPr>
        <w:t>；本项目危险物质及工艺系统危险性等级为P2，故按《建设项目环境风险评价技术导则》（HJ/169-2018），项目环境风险潜势等级为Ⅲ级，确定风险评价工作级别为二级。其中环境风险大气环境风险潜势为Ⅲ</w:t>
      </w:r>
      <w:r>
        <w:rPr>
          <w:rFonts w:hint="eastAsia"/>
          <w:color w:val="000000" w:themeColor="text1"/>
          <w:kern w:val="0"/>
          <w:szCs w:val="20"/>
          <w14:textFill>
            <w14:solidFill>
              <w14:schemeClr w14:val="tx1"/>
            </w14:solidFill>
          </w14:textFill>
        </w:rPr>
        <w:t>，</w:t>
      </w:r>
      <w:r>
        <w:rPr>
          <w:color w:val="000000" w:themeColor="text1"/>
          <w:kern w:val="0"/>
          <w:szCs w:val="20"/>
          <w14:textFill>
            <w14:solidFill>
              <w14:schemeClr w14:val="tx1"/>
            </w14:solidFill>
          </w14:textFill>
        </w:rPr>
        <w:t>评价等级为二级；</w:t>
      </w:r>
      <w:r>
        <w:rPr>
          <w:rFonts w:hint="eastAsia"/>
          <w:color w:val="000000" w:themeColor="text1"/>
          <w:kern w:val="0"/>
          <w14:textFill>
            <w14:solidFill>
              <w14:schemeClr w14:val="tx1"/>
            </w14:solidFill>
          </w14:textFill>
        </w:rPr>
        <w:t>地表水环境风险潜势等级为</w:t>
      </w:r>
      <w:r>
        <w:rPr>
          <w:color w:val="000000" w:themeColor="text1"/>
          <w:kern w:val="0"/>
          <w:szCs w:val="20"/>
          <w14:textFill>
            <w14:solidFill>
              <w14:schemeClr w14:val="tx1"/>
            </w14:solidFill>
          </w14:textFill>
        </w:rPr>
        <w:t>Ⅲ</w:t>
      </w:r>
      <w:r>
        <w:rPr>
          <w:rFonts w:hint="eastAsia"/>
          <w:color w:val="000000" w:themeColor="text1"/>
          <w:spacing w:val="-2"/>
          <w:kern w:val="0"/>
          <w14:textFill>
            <w14:solidFill>
              <w14:schemeClr w14:val="tx1"/>
            </w14:solidFill>
          </w14:textFill>
        </w:rPr>
        <w:t>，</w:t>
      </w:r>
      <w:r>
        <w:rPr>
          <w:rFonts w:hint="eastAsia"/>
          <w:color w:val="000000" w:themeColor="text1"/>
          <w:kern w:val="0"/>
          <w14:textFill>
            <w14:solidFill>
              <w14:schemeClr w14:val="tx1"/>
            </w14:solidFill>
          </w14:textFill>
        </w:rPr>
        <w:t>因本工程为码头工程，涉及地表水环境为海域环境，风险类型为船舶污染海洋环境；故水域环境风险等级判定参照《船舶污染海洋环境风险评价技术规范（试行）》，本扩建项目所在码头为液体化工码头，地表水环境风险评价等级定为一级。具体判定见章节“5.2</w:t>
      </w:r>
      <w:r>
        <w:rPr>
          <w:rFonts w:hint="eastAsia" w:ascii="宋体" w:hAnsi="宋体"/>
          <w:color w:val="000000" w:themeColor="text1"/>
          <w14:textFill>
            <w14:solidFill>
              <w14:schemeClr w14:val="tx1"/>
            </w14:solidFill>
          </w14:textFill>
        </w:rPr>
        <w:t>环境风险潜势初判</w:t>
      </w:r>
      <w:r>
        <w:rPr>
          <w:rFonts w:hint="eastAsia"/>
          <w:color w:val="000000" w:themeColor="text1"/>
          <w:kern w:val="0"/>
          <w14:textFill>
            <w14:solidFill>
              <w14:schemeClr w14:val="tx1"/>
            </w14:solidFill>
          </w14:textFill>
        </w:rPr>
        <w:t>”</w:t>
      </w:r>
    </w:p>
    <w:p w14:paraId="73736F7A">
      <w:pPr>
        <w:pStyle w:val="4"/>
        <w:rPr>
          <w:color w:val="000000" w:themeColor="text1"/>
          <w14:textFill>
            <w14:solidFill>
              <w14:schemeClr w14:val="tx1"/>
            </w14:solidFill>
          </w14:textFill>
        </w:rPr>
      </w:pPr>
      <w:bookmarkStart w:id="148" w:name="_Toc136878433"/>
      <w:bookmarkStart w:id="149" w:name="_Toc25436918"/>
      <w:bookmarkStart w:id="150" w:name="_Toc216103186"/>
      <w:bookmarkStart w:id="151" w:name="_Toc26909964"/>
      <w:bookmarkStart w:id="152" w:name="_Toc135090184"/>
      <w:bookmarkStart w:id="153" w:name="_Toc29131778"/>
      <w:bookmarkStart w:id="154" w:name="_Toc216620345"/>
      <w:r>
        <w:rPr>
          <w:color w:val="000000" w:themeColor="text1"/>
          <w14:textFill>
            <w14:solidFill>
              <w14:schemeClr w14:val="tx1"/>
            </w14:solidFill>
          </w14:textFill>
        </w:rPr>
        <w:t>评价范围</w:t>
      </w:r>
      <w:bookmarkEnd w:id="148"/>
      <w:bookmarkEnd w:id="149"/>
      <w:bookmarkEnd w:id="150"/>
      <w:bookmarkEnd w:id="151"/>
      <w:bookmarkEnd w:id="152"/>
      <w:bookmarkEnd w:id="153"/>
      <w:bookmarkEnd w:id="154"/>
    </w:p>
    <w:p w14:paraId="7CF06B2C">
      <w:pPr>
        <w:pStyle w:val="6"/>
        <w:rPr>
          <w:color w:val="000000" w:themeColor="text1"/>
          <w14:textFill>
            <w14:solidFill>
              <w14:schemeClr w14:val="tx1"/>
            </w14:solidFill>
          </w14:textFill>
        </w:rPr>
      </w:pPr>
      <w:r>
        <w:rPr>
          <w:rFonts w:hint="eastAsia"/>
          <w:color w:val="000000" w:themeColor="text1"/>
          <w14:textFill>
            <w14:solidFill>
              <w14:schemeClr w14:val="tx1"/>
            </w14:solidFill>
          </w14:textFill>
        </w:rPr>
        <w:t>环境风险</w:t>
      </w:r>
    </w:p>
    <w:p w14:paraId="4380080D">
      <w:pPr>
        <w:ind w:firstLine="480"/>
        <w:rPr>
          <w:rFonts w:hint="eastAsia" w:eastAsia="宋体"/>
          <w:color w:val="000000" w:themeColor="text1"/>
          <w:lang w:eastAsia="zh-CN"/>
          <w14:textFill>
            <w14:solidFill>
              <w14:schemeClr w14:val="tx1"/>
            </w14:solidFill>
          </w14:textFill>
        </w:rPr>
      </w:pPr>
      <w:r>
        <w:rPr>
          <w:color w:val="000000" w:themeColor="text1"/>
          <w14:textFill>
            <w14:solidFill>
              <w14:schemeClr w14:val="tx1"/>
            </w14:solidFill>
          </w14:textFill>
        </w:rPr>
        <w:t>大气环境风险评价范围：距离源点不低于5km。风险</w:t>
      </w:r>
      <w:r>
        <w:rPr>
          <w:rFonts w:hint="eastAsia"/>
          <w:color w:val="000000" w:themeColor="text1"/>
          <w:lang w:eastAsia="zh-CN"/>
          <w14:textFill>
            <w14:solidFill>
              <w14:schemeClr w14:val="tx1"/>
            </w14:solidFill>
          </w14:textFill>
        </w:rPr>
        <w:t>评价</w:t>
      </w:r>
      <w:r>
        <w:rPr>
          <w:color w:val="000000" w:themeColor="text1"/>
          <w14:textFill>
            <w14:solidFill>
              <w14:schemeClr w14:val="tx1"/>
            </w14:solidFill>
          </w14:textFill>
        </w:rPr>
        <w:t>范围四至坐标为 108° 35'E~108° 45'E， 21° 35'N~ 21° 45'N，海域面积约为 170km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根据涉及风险目标扩大。</w:t>
      </w:r>
    </w:p>
    <w:p w14:paraId="796CD33F">
      <w:pPr>
        <w:ind w:firstLine="480"/>
        <w:rPr>
          <w:color w:val="000000" w:themeColor="text1"/>
          <w14:textFill>
            <w14:solidFill>
              <w14:schemeClr w14:val="tx1"/>
            </w14:solidFill>
          </w14:textFill>
        </w:rPr>
      </w:pPr>
      <w:r>
        <w:rPr>
          <w:color w:val="000000" w:themeColor="text1"/>
          <w14:textFill>
            <w14:solidFill>
              <w14:schemeClr w14:val="tx1"/>
            </w14:solidFill>
          </w14:textFill>
        </w:rPr>
        <mc:AlternateContent>
          <mc:Choice Requires="wps">
            <w:drawing>
              <wp:anchor distT="0" distB="0" distL="114300" distR="114300" simplePos="0" relativeHeight="251663360" behindDoc="0" locked="0" layoutInCell="1" allowOverlap="1">
                <wp:simplePos x="0" y="0"/>
                <wp:positionH relativeFrom="column">
                  <wp:posOffset>4186555</wp:posOffset>
                </wp:positionH>
                <wp:positionV relativeFrom="paragraph">
                  <wp:posOffset>1908810</wp:posOffset>
                </wp:positionV>
                <wp:extent cx="819150" cy="285750"/>
                <wp:effectExtent l="0" t="0" r="0" b="0"/>
                <wp:wrapNone/>
                <wp:docPr id="156" name="AutoShape 2010"/>
                <wp:cNvGraphicFramePr/>
                <a:graphic xmlns:a="http://schemas.openxmlformats.org/drawingml/2006/main">
                  <a:graphicData uri="http://schemas.microsoft.com/office/word/2010/wordprocessingShape">
                    <wps:wsp>
                      <wps:cNvSpPr/>
                      <wps:spPr bwMode="auto">
                        <a:xfrm>
                          <a:off x="0" y="0"/>
                          <a:ext cx="819150" cy="285750"/>
                        </a:xfrm>
                        <a:prstGeom prst="accentBorderCallout1">
                          <a:avLst>
                            <a:gd name="adj1" fmla="val 40000"/>
                            <a:gd name="adj2" fmla="val -9301"/>
                            <a:gd name="adj3" fmla="val 143778"/>
                            <a:gd name="adj4" fmla="val -150389"/>
                          </a:avLst>
                        </a:prstGeom>
                        <a:solidFill>
                          <a:srgbClr val="FFFFFF"/>
                        </a:solidFill>
                        <a:ln w="9525">
                          <a:solidFill>
                            <a:srgbClr val="000000"/>
                          </a:solidFill>
                          <a:miter lim="800000"/>
                        </a:ln>
                      </wps:spPr>
                      <wps:txbx>
                        <w:txbxContent>
                          <w:p w14:paraId="182B7C62">
                            <w:pPr>
                              <w:spacing w:line="240" w:lineRule="exact"/>
                              <w:ind w:firstLine="0" w:firstLineChars="0"/>
                            </w:pPr>
                            <w:r>
                              <w:rPr>
                                <w:rFonts w:hint="eastAsia"/>
                              </w:rPr>
                              <w:t>项目位置</w:t>
                            </w:r>
                          </w:p>
                        </w:txbxContent>
                      </wps:txbx>
                      <wps:bodyPr rot="0" vert="horz" wrap="square" lIns="91440" tIns="45720" rIns="91440" bIns="45720" anchor="t" anchorCtr="0" upright="1">
                        <a:noAutofit/>
                      </wps:bodyPr>
                    </wps:wsp>
                  </a:graphicData>
                </a:graphic>
              </wp:anchor>
            </w:drawing>
          </mc:Choice>
          <mc:Fallback>
            <w:pict>
              <v:shape id="AutoShape 2010" o:spid="_x0000_s1026" o:spt="50" type="#_x0000_t50" style="position:absolute;left:0pt;margin-left:329.65pt;margin-top:150.3pt;height:22.5pt;width:64.5pt;z-index:251663360;mso-width-relative:page;mso-height-relative:page;" fillcolor="#FFFFFF" filled="t" stroked="t" coordsize="21600,21600" o:gfxdata="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AJQDFx2AAA&#10;AAsBAAAPAAAAAAAAAAEAIAAAACIAAABkcnMvZG93bnJldi54bWxQSwECFAAUAAAACACHTuJAoJJn&#10;wFcCAAD9BAAADgAAAAAAAAABACAAAAAnAQAAZHJzL2Uyb0RvYy54bWxQSwUGAAAAAAYABgBZAQAA&#10;8AUAAAAA&#10;" adj="-32484,31056,-2009,8640">
                <v:fill on="t" focussize="0,0"/>
                <v:stroke color="#000000" miterlimit="8" joinstyle="miter"/>
                <v:imagedata o:title=""/>
                <o:lock v:ext="edit" aspectratio="f"/>
                <v:textbox>
                  <w:txbxContent>
                    <w:p w14:paraId="182B7C62">
                      <w:pPr>
                        <w:spacing w:line="240" w:lineRule="exact"/>
                        <w:ind w:firstLine="0" w:firstLineChars="0"/>
                      </w:pPr>
                      <w:r>
                        <w:rPr>
                          <w:rFonts w:hint="eastAsia"/>
                        </w:rPr>
                        <w:t>项目位置</w:t>
                      </w:r>
                    </w:p>
                  </w:txbxContent>
                </v:textbox>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64384" behindDoc="0" locked="0" layoutInCell="1" allowOverlap="1">
                <wp:simplePos x="0" y="0"/>
                <wp:positionH relativeFrom="column">
                  <wp:posOffset>1278890</wp:posOffset>
                </wp:positionH>
                <wp:positionV relativeFrom="paragraph">
                  <wp:posOffset>1539875</wp:posOffset>
                </wp:positionV>
                <wp:extent cx="2432050" cy="3723005"/>
                <wp:effectExtent l="19050" t="19050" r="25400" b="10795"/>
                <wp:wrapNone/>
                <wp:docPr id="157" name="Rectangle 2011"/>
                <wp:cNvGraphicFramePr/>
                <a:graphic xmlns:a="http://schemas.openxmlformats.org/drawingml/2006/main">
                  <a:graphicData uri="http://schemas.microsoft.com/office/word/2010/wordprocessingShape">
                    <wps:wsp>
                      <wps:cNvSpPr>
                        <a:spLocks noChangeArrowheads="1"/>
                      </wps:cNvSpPr>
                      <wps:spPr bwMode="auto">
                        <a:xfrm>
                          <a:off x="0" y="0"/>
                          <a:ext cx="2432157" cy="3723074"/>
                        </a:xfrm>
                        <a:prstGeom prst="rect">
                          <a:avLst/>
                        </a:prstGeom>
                        <a:noFill/>
                        <a:ln w="38100">
                          <a:solidFill>
                            <a:srgbClr val="00B0F0"/>
                          </a:solidFill>
                          <a:miter lim="800000"/>
                        </a:ln>
                      </wps:spPr>
                      <wps:bodyPr rot="0" vert="horz" wrap="square" lIns="91440" tIns="45720" rIns="91440" bIns="45720" anchor="t" anchorCtr="0" upright="1">
                        <a:noAutofit/>
                      </wps:bodyPr>
                    </wps:wsp>
                  </a:graphicData>
                </a:graphic>
              </wp:anchor>
            </w:drawing>
          </mc:Choice>
          <mc:Fallback>
            <w:pict>
              <v:rect id="Rectangle 2011" o:spid="_x0000_s1026" o:spt="1" style="position:absolute;left:0pt;margin-left:100.7pt;margin-top:121.25pt;height:293.15pt;width:191.5pt;z-index:251664384;mso-width-relative:page;mso-height-relative:page;" filled="f" stroked="t" coordsize="21600,21600" o:gfxdata="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10uBKNkAAAALAQAADwAAAAAAAAABACAAAAAiAAAAZHJzL2Rvd25yZXYueG1sUEsBAhQA&#10;FAAAAAgAh07iQD2DEz8qAgAAUAQAAA4AAAAAAAAAAQAgAAAAKAEAAGRycy9lMm9Eb2MueG1sUEsF&#10;BgAAAAAGAAYAWQEAAMQFAAAAAA==&#10;">
                <v:fill on="f" focussize="0,0"/>
                <v:stroke weight="3pt" color="#00B0F0" miterlimit="8" joinstyle="miter"/>
                <v:imagedata o:title=""/>
                <o:lock v:ext="edit" aspectratio="f"/>
              </v:rect>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62336" behindDoc="0" locked="0" layoutInCell="1" allowOverlap="1">
                <wp:simplePos x="0" y="0"/>
                <wp:positionH relativeFrom="column">
                  <wp:posOffset>2361565</wp:posOffset>
                </wp:positionH>
                <wp:positionV relativeFrom="paragraph">
                  <wp:posOffset>2510790</wp:posOffset>
                </wp:positionV>
                <wp:extent cx="396875" cy="372745"/>
                <wp:effectExtent l="0" t="0" r="0" b="0"/>
                <wp:wrapNone/>
                <wp:docPr id="155" name="Text Box 87"/>
                <wp:cNvGraphicFramePr/>
                <a:graphic xmlns:a="http://schemas.openxmlformats.org/drawingml/2006/main">
                  <a:graphicData uri="http://schemas.microsoft.com/office/word/2010/wordprocessingShape">
                    <wps:wsp>
                      <wps:cNvSpPr txBox="1">
                        <a:spLocks noChangeArrowheads="1"/>
                      </wps:cNvSpPr>
                      <wps:spPr bwMode="auto">
                        <a:xfrm>
                          <a:off x="0" y="0"/>
                          <a:ext cx="396875" cy="372745"/>
                        </a:xfrm>
                        <a:prstGeom prst="rect">
                          <a:avLst/>
                        </a:prstGeom>
                        <a:noFill/>
                        <a:ln>
                          <a:noFill/>
                        </a:ln>
                      </wps:spPr>
                      <wps:txbx>
                        <w:txbxContent>
                          <w:p w14:paraId="5D12D5EA">
                            <w:pPr>
                              <w:ind w:firstLine="560"/>
                              <w:rPr>
                                <w:color w:val="FF0000"/>
                                <w:sz w:val="28"/>
                                <w:szCs w:val="28"/>
                              </w:rPr>
                            </w:pPr>
                            <w:r>
                              <w:rPr>
                                <w:rFonts w:hint="eastAsia"/>
                                <w:color w:val="FF0000"/>
                                <w:sz w:val="28"/>
                                <w:szCs w:val="28"/>
                              </w:rPr>
                              <w:t xml:space="preserve">★ </w:t>
                            </w:r>
                          </w:p>
                        </w:txbxContent>
                      </wps:txbx>
                      <wps:bodyPr rot="0" vert="horz" wrap="square" lIns="91440" tIns="45720" rIns="91440" bIns="45720" anchor="t" anchorCtr="0" upright="1">
                        <a:noAutofit/>
                      </wps:bodyPr>
                    </wps:wsp>
                  </a:graphicData>
                </a:graphic>
              </wp:anchor>
            </w:drawing>
          </mc:Choice>
          <mc:Fallback>
            <w:pict>
              <v:shape id="Text Box 87" o:spid="_x0000_s1026" o:spt="202" type="#_x0000_t202" style="position:absolute;left:0pt;margin-left:185.95pt;margin-top:197.7pt;height:29.35pt;width:31.25pt;z-index:251662336;mso-width-relative:page;mso-height-relative:page;" filled="f" stroked="f" coordsize="21600,21600" o:gfxdata="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Ju4ujDXAAAACwEAAA8AAAAAAAAAAQAgAAAAIgAA&#10;AGRycy9kb3ducmV2LnhtbFBLAQIUABQAAAAIAIdO4kAlFydECQIAABYEAAAOAAAAAAAAAAEAIAAA&#10;ACYBAABkcnMvZTJvRG9jLnhtbFBLBQYAAAAABgAGAFkBAAChBQAAAAA=&#10;">
                <v:fill on="f" focussize="0,0"/>
                <v:stroke on="f"/>
                <v:imagedata o:title=""/>
                <o:lock v:ext="edit" aspectratio="f"/>
                <v:textbox>
                  <w:txbxContent>
                    <w:p w14:paraId="5D12D5EA">
                      <w:pPr>
                        <w:ind w:firstLine="560"/>
                        <w:rPr>
                          <w:color w:val="FF0000"/>
                          <w:sz w:val="28"/>
                          <w:szCs w:val="28"/>
                        </w:rPr>
                      </w:pPr>
                      <w:r>
                        <w:rPr>
                          <w:rFonts w:hint="eastAsia"/>
                          <w:color w:val="FF0000"/>
                          <w:sz w:val="28"/>
                          <w:szCs w:val="28"/>
                        </w:rPr>
                        <w:t xml:space="preserve">★ </w:t>
                      </w:r>
                    </w:p>
                  </w:txbxContent>
                </v:textbox>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65408" behindDoc="0" locked="0" layoutInCell="1" allowOverlap="1">
                <wp:simplePos x="0" y="0"/>
                <wp:positionH relativeFrom="column">
                  <wp:posOffset>1237615</wp:posOffset>
                </wp:positionH>
                <wp:positionV relativeFrom="paragraph">
                  <wp:posOffset>802640</wp:posOffset>
                </wp:positionV>
                <wp:extent cx="857250" cy="352425"/>
                <wp:effectExtent l="0" t="0" r="0" b="0"/>
                <wp:wrapNone/>
                <wp:docPr id="154" name="AutoShape 2014"/>
                <wp:cNvGraphicFramePr/>
                <a:graphic xmlns:a="http://schemas.openxmlformats.org/drawingml/2006/main">
                  <a:graphicData uri="http://schemas.microsoft.com/office/word/2010/wordprocessingShape">
                    <wps:wsp>
                      <wps:cNvSpPr>
                        <a:spLocks noChangeArrowheads="1"/>
                      </wps:cNvSpPr>
                      <wps:spPr bwMode="auto">
                        <a:xfrm>
                          <a:off x="0" y="0"/>
                          <a:ext cx="857250" cy="352425"/>
                        </a:xfrm>
                        <a:prstGeom prst="wedgeRectCallout">
                          <a:avLst>
                            <a:gd name="adj1" fmla="val 64000"/>
                            <a:gd name="adj2" fmla="val 150542"/>
                          </a:avLst>
                        </a:prstGeom>
                        <a:solidFill>
                          <a:srgbClr val="FFFFFF"/>
                        </a:solidFill>
                        <a:ln w="9525">
                          <a:solidFill>
                            <a:srgbClr val="000000"/>
                          </a:solidFill>
                          <a:miter lim="800000"/>
                        </a:ln>
                      </wps:spPr>
                      <wps:txbx>
                        <w:txbxContent>
                          <w:p w14:paraId="06866E26">
                            <w:pPr>
                              <w:ind w:firstLine="0" w:firstLineChars="0"/>
                            </w:pPr>
                            <w:r>
                              <w:rPr>
                                <w:rFonts w:hint="eastAsia"/>
                              </w:rPr>
                              <w:t>评价范围</w:t>
                            </w:r>
                          </w:p>
                        </w:txbxContent>
                      </wps:txbx>
                      <wps:bodyPr rot="0" vert="horz" wrap="square" lIns="91440" tIns="45720" rIns="91440" bIns="45720" anchor="t" anchorCtr="0" upright="1">
                        <a:noAutofit/>
                      </wps:bodyPr>
                    </wps:wsp>
                  </a:graphicData>
                </a:graphic>
              </wp:anchor>
            </w:drawing>
          </mc:Choice>
          <mc:Fallback>
            <w:pict>
              <v:shape id="AutoShape 2014" o:spid="_x0000_s1026" o:spt="61" type="#_x0000_t61" style="position:absolute;left:0pt;margin-left:97.45pt;margin-top:63.2pt;height:27.75pt;width:67.5pt;z-index:251665408;mso-width-relative:page;mso-height-relative:page;" fillcolor="#FFFFFF" filled="t" stroked="t" coordsize="21600,21600" o:gfxdata="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3K4O89kAAAAL&#10;AQAADwAAAAAAAAABACAAAAAiAAAAZHJzL2Rvd25yZXYueG1sUEsBAhQAFAAAAAgAh07iQDh0RX5U&#10;AgAA3wQAAA4AAAAAAAAAAQAgAAAAKAEAAGRycy9lMm9Eb2MueG1sUEsFBgAAAAAGAAYAWQEAAO4F&#10;AAAAAA==&#10;" adj="24624,43317">
                <v:fill on="t" focussize="0,0"/>
                <v:stroke color="#000000" miterlimit="8" joinstyle="miter"/>
                <v:imagedata o:title=""/>
                <o:lock v:ext="edit" aspectratio="f"/>
                <v:textbox>
                  <w:txbxContent>
                    <w:p w14:paraId="06866E26">
                      <w:pPr>
                        <w:ind w:firstLine="0" w:firstLineChars="0"/>
                      </w:pPr>
                      <w:r>
                        <w:rPr>
                          <w:rFonts w:hint="eastAsia"/>
                        </w:rPr>
                        <w:t>评价范围</w:t>
                      </w:r>
                    </w:p>
                  </w:txbxContent>
                </v:textbox>
              </v:shape>
            </w:pict>
          </mc:Fallback>
        </mc:AlternateContent>
      </w:r>
      <w:r>
        <w:rPr>
          <w:color w:val="000000" w:themeColor="text1"/>
          <w14:textFill>
            <w14:solidFill>
              <w14:schemeClr w14:val="tx1"/>
            </w14:solidFill>
          </w14:textFill>
        </w:rPr>
        <w:drawing>
          <wp:inline distT="0" distB="0" distL="0" distR="0">
            <wp:extent cx="5172710" cy="6038850"/>
            <wp:effectExtent l="0" t="0" r="0" b="0"/>
            <wp:docPr id="2748" name="图片 23" descr="评价范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8" name="图片 23" descr="评价范围.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a:xfrm>
                      <a:off x="0" y="0"/>
                      <a:ext cx="5172710" cy="6038850"/>
                    </a:xfrm>
                    <a:prstGeom prst="rect">
                      <a:avLst/>
                    </a:prstGeom>
                    <a:noFill/>
                    <a:ln>
                      <a:noFill/>
                    </a:ln>
                  </pic:spPr>
                </pic:pic>
              </a:graphicData>
            </a:graphic>
          </wp:inline>
        </w:drawing>
      </w:r>
    </w:p>
    <w:p w14:paraId="0648F103">
      <w:pPr>
        <w:pStyle w:val="8"/>
        <w:rPr>
          <w:color w:val="000000" w:themeColor="text1"/>
          <w:lang w:val="zh-CN"/>
          <w14:textFill>
            <w14:solidFill>
              <w14:schemeClr w14:val="tx1"/>
            </w14:solidFill>
          </w14:textFill>
        </w:rPr>
      </w:pPr>
      <w:r>
        <w:rPr>
          <w:color w:val="000000" w:themeColor="text1"/>
          <w14:textFill>
            <w14:solidFill>
              <w14:schemeClr w14:val="tx1"/>
            </w14:solidFill>
          </w14:textFill>
        </w:rPr>
        <w:t>环境风险影响评价范围图</w:t>
      </w:r>
    </w:p>
    <w:p w14:paraId="2FB9DCDD">
      <w:pPr>
        <w:pStyle w:val="6"/>
        <w:rPr>
          <w:color w:val="000000" w:themeColor="text1"/>
          <w14:textFill>
            <w14:solidFill>
              <w14:schemeClr w14:val="tx1"/>
            </w14:solidFill>
          </w14:textFill>
        </w:rPr>
      </w:pPr>
      <w:r>
        <w:rPr>
          <w:color w:val="000000" w:themeColor="text1"/>
          <w14:textFill>
            <w14:solidFill>
              <w14:schemeClr w14:val="tx1"/>
            </w14:solidFill>
          </w14:textFill>
        </w:rPr>
        <w:t>生态环境</w:t>
      </w:r>
    </w:p>
    <w:p w14:paraId="33857329">
      <w:pPr>
        <w:ind w:firstLine="48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评价范围为距项目5km范围</w:t>
      </w:r>
      <w:r>
        <w:rPr>
          <w:color w:val="000000" w:themeColor="text1"/>
          <w14:textFill>
            <w14:solidFill>
              <w14:schemeClr w14:val="tx1"/>
            </w14:solidFill>
          </w14:textFill>
        </w:rPr>
        <w:t>。</w:t>
      </w:r>
    </w:p>
    <w:p w14:paraId="30BCEF37">
      <w:pPr>
        <w:pStyle w:val="6"/>
        <w:rPr>
          <w:color w:val="000000" w:themeColor="text1"/>
          <w14:textFill>
            <w14:solidFill>
              <w14:schemeClr w14:val="tx1"/>
            </w14:solidFill>
          </w14:textFill>
        </w:rPr>
      </w:pPr>
      <w:r>
        <w:rPr>
          <w:color w:val="000000" w:themeColor="text1"/>
          <w14:textFill>
            <w14:solidFill>
              <w14:schemeClr w14:val="tx1"/>
            </w14:solidFill>
          </w14:textFill>
        </w:rPr>
        <w:t>环境空气</w:t>
      </w:r>
    </w:p>
    <w:p w14:paraId="0614A082">
      <w:pPr>
        <w:ind w:firstLine="480"/>
        <w:rPr>
          <w:color w:val="000000" w:themeColor="text1"/>
          <w14:textFill>
            <w14:solidFill>
              <w14:schemeClr w14:val="tx1"/>
            </w14:solidFill>
          </w14:textFill>
        </w:rPr>
      </w:pPr>
      <w:r>
        <w:rPr>
          <w:color w:val="000000" w:themeColor="text1"/>
          <w14:textFill>
            <w14:solidFill>
              <w14:schemeClr w14:val="tx1"/>
            </w14:solidFill>
          </w14:textFill>
        </w:rPr>
        <w:t>根据本项目工程排污情况，结合当地气象条件及区域环境特征，评价范围以项目码头为中心，边长5km的矩形。</w:t>
      </w:r>
    </w:p>
    <w:p w14:paraId="651ADD34">
      <w:pPr>
        <w:pStyle w:val="6"/>
        <w:rPr>
          <w:color w:val="000000" w:themeColor="text1"/>
          <w14:textFill>
            <w14:solidFill>
              <w14:schemeClr w14:val="tx1"/>
            </w14:solidFill>
          </w14:textFill>
        </w:rPr>
      </w:pPr>
      <w:r>
        <w:rPr>
          <w:color w:val="000000" w:themeColor="text1"/>
          <w14:textFill>
            <w14:solidFill>
              <w14:schemeClr w14:val="tx1"/>
            </w14:solidFill>
          </w14:textFill>
        </w:rPr>
        <w:t>地表水环境</w:t>
      </w:r>
    </w:p>
    <w:p w14:paraId="7812605F">
      <w:pPr>
        <w:ind w:firstLine="480"/>
        <w:rPr>
          <w:color w:val="000000" w:themeColor="text1"/>
          <w14:textFill>
            <w14:solidFill>
              <w14:schemeClr w14:val="tx1"/>
            </w14:solidFill>
          </w14:textFill>
        </w:rPr>
      </w:pPr>
      <w:r>
        <w:rPr>
          <w:color w:val="000000" w:themeColor="text1"/>
          <w14:textFill>
            <w14:solidFill>
              <w14:schemeClr w14:val="tx1"/>
            </w14:solidFill>
          </w14:textFill>
        </w:rPr>
        <w:t>本项目生产废水和生活污水依托恒逸污水处理厂处理达标后外排，不直接进入地表水体，本次评价地表水环境评价范围与海洋环境评价范围一致。</w:t>
      </w:r>
    </w:p>
    <w:p w14:paraId="68A0F1E5">
      <w:pPr>
        <w:pStyle w:val="6"/>
        <w:rPr>
          <w:color w:val="000000" w:themeColor="text1"/>
          <w14:textFill>
            <w14:solidFill>
              <w14:schemeClr w14:val="tx1"/>
            </w14:solidFill>
          </w14:textFill>
        </w:rPr>
      </w:pPr>
      <w:r>
        <w:rPr>
          <w:color w:val="000000" w:themeColor="text1"/>
          <w14:textFill>
            <w14:solidFill>
              <w14:schemeClr w14:val="tx1"/>
            </w14:solidFill>
          </w14:textFill>
        </w:rPr>
        <w:t>地下水环境</w:t>
      </w:r>
    </w:p>
    <w:p w14:paraId="3E203F0A">
      <w:pPr>
        <w:ind w:firstLine="480"/>
        <w:rPr>
          <w:color w:val="000000" w:themeColor="text1"/>
          <w14:textFill>
            <w14:solidFill>
              <w14:schemeClr w14:val="tx1"/>
            </w14:solidFill>
          </w14:textFill>
        </w:rPr>
      </w:pPr>
      <w:r>
        <w:rPr>
          <w:color w:val="000000" w:themeColor="text1"/>
          <w14:textFill>
            <w14:solidFill>
              <w14:schemeClr w14:val="tx1"/>
            </w14:solidFill>
          </w14:textFill>
        </w:rPr>
        <w:t>本项目厂址东侧紧邻港池，位于区域陆域部分地下水流向的下游。因此采用自定义法，确定本项目地下水评价范围为：作业区所在水文地质单元内。</w:t>
      </w:r>
    </w:p>
    <w:p w14:paraId="66F86B46">
      <w:pPr>
        <w:pStyle w:val="6"/>
        <w:rPr>
          <w:color w:val="000000" w:themeColor="text1"/>
          <w14:textFill>
            <w14:solidFill>
              <w14:schemeClr w14:val="tx1"/>
            </w14:solidFill>
          </w14:textFill>
        </w:rPr>
      </w:pPr>
      <w:r>
        <w:rPr>
          <w:color w:val="000000" w:themeColor="text1"/>
          <w14:textFill>
            <w14:solidFill>
              <w14:schemeClr w14:val="tx1"/>
            </w14:solidFill>
          </w14:textFill>
        </w:rPr>
        <w:t>土壤环境</w:t>
      </w:r>
    </w:p>
    <w:p w14:paraId="19398F44">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本项目不对土壤进行评价。</w:t>
      </w:r>
    </w:p>
    <w:p w14:paraId="3A904CE0">
      <w:pPr>
        <w:pStyle w:val="6"/>
        <w:rPr>
          <w:color w:val="000000" w:themeColor="text1"/>
          <w14:textFill>
            <w14:solidFill>
              <w14:schemeClr w14:val="tx1"/>
            </w14:solidFill>
          </w14:textFill>
        </w:rPr>
      </w:pPr>
      <w:r>
        <w:rPr>
          <w:color w:val="000000" w:themeColor="text1"/>
          <w14:textFill>
            <w14:solidFill>
              <w14:schemeClr w14:val="tx1"/>
            </w14:solidFill>
          </w14:textFill>
        </w:rPr>
        <w:t>海洋环境</w:t>
      </w:r>
    </w:p>
    <w:p w14:paraId="10A3844F">
      <w:pPr>
        <w:ind w:firstLine="480"/>
        <w:rPr>
          <w:color w:val="000000" w:themeColor="text1"/>
          <w14:textFill>
            <w14:solidFill>
              <w14:schemeClr w14:val="tx1"/>
            </w14:solidFill>
          </w14:textFill>
        </w:rPr>
      </w:pPr>
      <w:r>
        <w:rPr>
          <w:color w:val="000000" w:themeColor="text1"/>
          <w14:textFill>
            <w14:solidFill>
              <w14:schemeClr w14:val="tx1"/>
            </w14:solidFill>
          </w14:textFill>
        </w:rPr>
        <w:t>不涉及海洋施工。</w:t>
      </w:r>
    </w:p>
    <w:p w14:paraId="6A2BA26A">
      <w:pPr>
        <w:pStyle w:val="5"/>
        <w:rPr>
          <w:color w:val="000000" w:themeColor="text1"/>
          <w14:textFill>
            <w14:solidFill>
              <w14:schemeClr w14:val="tx1"/>
            </w14:solidFill>
          </w14:textFill>
        </w:rPr>
      </w:pPr>
      <w:bookmarkStart w:id="155" w:name="_Toc216620346"/>
      <w:r>
        <w:rPr>
          <w:color w:val="000000" w:themeColor="text1"/>
          <w14:textFill>
            <w14:solidFill>
              <w14:schemeClr w14:val="tx1"/>
            </w14:solidFill>
          </w14:textFill>
        </w:rPr>
        <w:t>主要环境保护目标</w:t>
      </w:r>
      <w:bookmarkEnd w:id="155"/>
    </w:p>
    <w:p w14:paraId="6CCEF0C7">
      <w:pPr>
        <w:pStyle w:val="4"/>
        <w:rPr>
          <w:color w:val="000000" w:themeColor="text1"/>
          <w14:textFill>
            <w14:solidFill>
              <w14:schemeClr w14:val="tx1"/>
            </w14:solidFill>
          </w14:textFill>
        </w:rPr>
      </w:pPr>
      <w:bookmarkStart w:id="156" w:name="_Toc216620347"/>
      <w:bookmarkStart w:id="157" w:name="_Toc136878435"/>
      <w:bookmarkStart w:id="158" w:name="_Toc135090186"/>
      <w:bookmarkStart w:id="159" w:name="_Toc216103188"/>
      <w:r>
        <w:rPr>
          <w:color w:val="000000" w:themeColor="text1"/>
          <w14:textFill>
            <w14:solidFill>
              <w14:schemeClr w14:val="tx1"/>
            </w14:solidFill>
          </w14:textFill>
        </w:rPr>
        <w:t>声环境保护目标</w:t>
      </w:r>
      <w:bookmarkEnd w:id="156"/>
      <w:bookmarkEnd w:id="157"/>
      <w:bookmarkEnd w:id="158"/>
      <w:bookmarkEnd w:id="159"/>
    </w:p>
    <w:p w14:paraId="3A0E26E0">
      <w:pPr>
        <w:ind w:firstLine="480"/>
        <w:rPr>
          <w:color w:val="000000" w:themeColor="text1"/>
          <w14:textFill>
            <w14:solidFill>
              <w14:schemeClr w14:val="tx1"/>
            </w14:solidFill>
          </w14:textFill>
        </w:rPr>
      </w:pPr>
      <w:r>
        <w:rPr>
          <w:color w:val="000000" w:themeColor="text1"/>
          <w14:textFill>
            <w14:solidFill>
              <w14:schemeClr w14:val="tx1"/>
            </w14:solidFill>
          </w14:textFill>
        </w:rPr>
        <w:t>项目声环境评价范围内均无环境敏感目标分布。</w:t>
      </w:r>
    </w:p>
    <w:p w14:paraId="3066D65E">
      <w:pPr>
        <w:pStyle w:val="4"/>
        <w:rPr>
          <w:color w:val="000000" w:themeColor="text1"/>
          <w14:textFill>
            <w14:solidFill>
              <w14:schemeClr w14:val="tx1"/>
            </w14:solidFill>
          </w14:textFill>
        </w:rPr>
      </w:pPr>
      <w:bookmarkStart w:id="160" w:name="_Toc216620348"/>
      <w:bookmarkStart w:id="161" w:name="_Toc135090187"/>
      <w:bookmarkStart w:id="162" w:name="_Toc136878436"/>
      <w:bookmarkStart w:id="163" w:name="_Toc216103189"/>
      <w:r>
        <w:rPr>
          <w:color w:val="000000" w:themeColor="text1"/>
          <w14:textFill>
            <w14:solidFill>
              <w14:schemeClr w14:val="tx1"/>
            </w14:solidFill>
          </w14:textFill>
        </w:rPr>
        <w:t>大气环境保护目标</w:t>
      </w:r>
      <w:bookmarkEnd w:id="160"/>
      <w:bookmarkEnd w:id="161"/>
      <w:bookmarkEnd w:id="162"/>
      <w:bookmarkEnd w:id="163"/>
    </w:p>
    <w:p w14:paraId="7C481A41">
      <w:pPr>
        <w:ind w:firstLine="480"/>
        <w:rPr>
          <w:color w:val="000000" w:themeColor="text1"/>
          <w:u w:val="single"/>
          <w14:textFill>
            <w14:solidFill>
              <w14:schemeClr w14:val="tx1"/>
            </w14:solidFill>
          </w14:textFill>
        </w:rPr>
      </w:pPr>
      <w:r>
        <w:rPr>
          <w:color w:val="000000" w:themeColor="text1"/>
          <w:u w:val="single"/>
          <w14:textFill>
            <w14:solidFill>
              <w14:schemeClr w14:val="tx1"/>
            </w14:solidFill>
          </w14:textFill>
        </w:rPr>
        <w:t>厂址附近区域的环境保护对象及敏感目标见表1.6-</w:t>
      </w:r>
      <w:r>
        <w:rPr>
          <w:rFonts w:hint="eastAsia"/>
          <w:color w:val="000000" w:themeColor="text1"/>
          <w:u w:val="single"/>
          <w14:textFill>
            <w14:solidFill>
              <w14:schemeClr w14:val="tx1"/>
            </w14:solidFill>
          </w14:textFill>
        </w:rPr>
        <w:t>2</w:t>
      </w:r>
      <w:r>
        <w:rPr>
          <w:color w:val="000000" w:themeColor="text1"/>
          <w:u w:val="single"/>
          <w14:textFill>
            <w14:solidFill>
              <w14:schemeClr w14:val="tx1"/>
            </w14:solidFill>
          </w14:textFill>
        </w:rPr>
        <w:t>。</w:t>
      </w:r>
    </w:p>
    <w:p w14:paraId="580F30A5">
      <w:pPr>
        <w:pStyle w:val="4"/>
        <w:rPr>
          <w:color w:val="000000" w:themeColor="text1"/>
          <w14:textFill>
            <w14:solidFill>
              <w14:schemeClr w14:val="tx1"/>
            </w14:solidFill>
          </w14:textFill>
        </w:rPr>
      </w:pPr>
      <w:bookmarkStart w:id="164" w:name="_Toc136878437"/>
      <w:bookmarkStart w:id="165" w:name="_Toc216620349"/>
      <w:bookmarkStart w:id="166" w:name="_Toc216103190"/>
      <w:bookmarkStart w:id="167" w:name="_Toc135090188"/>
      <w:r>
        <w:rPr>
          <w:color w:val="000000" w:themeColor="text1"/>
          <w14:textFill>
            <w14:solidFill>
              <w14:schemeClr w14:val="tx1"/>
            </w14:solidFill>
          </w14:textFill>
        </w:rPr>
        <w:t>生态环境保护目标</w:t>
      </w:r>
      <w:bookmarkEnd w:id="164"/>
      <w:bookmarkEnd w:id="165"/>
      <w:bookmarkEnd w:id="166"/>
      <w:bookmarkEnd w:id="167"/>
    </w:p>
    <w:p w14:paraId="38136169">
      <w:pPr>
        <w:ind w:firstLine="480"/>
        <w:rPr>
          <w:color w:val="000000" w:themeColor="text1"/>
          <w14:textFill>
            <w14:solidFill>
              <w14:schemeClr w14:val="tx1"/>
            </w14:solidFill>
          </w14:textFill>
        </w:rPr>
      </w:pPr>
      <w:r>
        <w:rPr>
          <w:color w:val="000000" w:themeColor="text1"/>
          <w14:textFill>
            <w14:solidFill>
              <w14:schemeClr w14:val="tx1"/>
            </w14:solidFill>
          </w14:textFill>
        </w:rPr>
        <w:t>以码头周边300m陆域及1500m水域生态系统为主要目标，兼顾对生态环境调查范围内的自然保护区，钦州市养殖水域滩涂规划中划定的养殖区、广西海洋功能区划（2011）中划定的农渔业区及旅游娱乐区、规模化蚝排养殖区、红树林分布斑块等。项目生态环境保护目标如下：</w:t>
      </w:r>
    </w:p>
    <w:p w14:paraId="5590CAD9">
      <w:pPr>
        <w:pStyle w:val="7"/>
        <w:rPr>
          <w:color w:val="000000" w:themeColor="text1"/>
          <w:u w:val="single"/>
          <w14:textFill>
            <w14:solidFill>
              <w14:schemeClr w14:val="tx1"/>
            </w14:solidFill>
          </w14:textFill>
        </w:rPr>
      </w:pPr>
      <w:bookmarkStart w:id="168" w:name="_Hlk54189494"/>
      <w:r>
        <w:rPr>
          <w:color w:val="000000" w:themeColor="text1"/>
          <w:u w:val="single"/>
          <w14:textFill>
            <w14:solidFill>
              <w14:schemeClr w14:val="tx1"/>
            </w14:solidFill>
          </w14:textFill>
        </w:rPr>
        <w:t>项目与评价范围内环境敏感区关系一览</w:t>
      </w:r>
    </w:p>
    <w:bookmarkEnd w:id="168"/>
    <w:tbl>
      <w:tblPr>
        <w:tblStyle w:val="43"/>
        <w:tblW w:w="9129"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602"/>
        <w:gridCol w:w="2379"/>
        <w:gridCol w:w="2089"/>
        <w:gridCol w:w="2091"/>
        <w:gridCol w:w="1968"/>
      </w:tblGrid>
      <w:tr w14:paraId="4D9F43A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7" w:hRule="atLeast"/>
          <w:jc w:val="center"/>
        </w:trPr>
        <w:tc>
          <w:tcPr>
            <w:tcW w:w="602" w:type="dxa"/>
            <w:tcMar>
              <w:left w:w="28" w:type="dxa"/>
              <w:right w:w="28" w:type="dxa"/>
            </w:tcMar>
            <w:vAlign w:val="center"/>
          </w:tcPr>
          <w:p w14:paraId="34724E04">
            <w:pPr>
              <w:pStyle w:val="70"/>
              <w:rPr>
                <w:b/>
                <w:bCs/>
                <w:color w:val="000000" w:themeColor="text1"/>
                <w14:textFill>
                  <w14:solidFill>
                    <w14:schemeClr w14:val="tx1"/>
                  </w14:solidFill>
                </w14:textFill>
              </w:rPr>
            </w:pPr>
            <w:bookmarkStart w:id="169" w:name="_Hlk70001080"/>
            <w:r>
              <w:rPr>
                <w:b/>
                <w:bCs/>
                <w:color w:val="000000" w:themeColor="text1"/>
                <w14:textFill>
                  <w14:solidFill>
                    <w14:schemeClr w14:val="tx1"/>
                  </w14:solidFill>
                </w14:textFill>
              </w:rPr>
              <w:t>序号</w:t>
            </w:r>
          </w:p>
        </w:tc>
        <w:tc>
          <w:tcPr>
            <w:tcW w:w="2379" w:type="dxa"/>
            <w:tcMar>
              <w:left w:w="28" w:type="dxa"/>
              <w:right w:w="28" w:type="dxa"/>
            </w:tcMar>
            <w:vAlign w:val="center"/>
          </w:tcPr>
          <w:p w14:paraId="4BA215EA">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生态敏感区名称</w:t>
            </w:r>
          </w:p>
        </w:tc>
        <w:tc>
          <w:tcPr>
            <w:tcW w:w="2089" w:type="dxa"/>
            <w:vAlign w:val="center"/>
          </w:tcPr>
          <w:p w14:paraId="7781916C">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保护级别</w:t>
            </w:r>
          </w:p>
        </w:tc>
        <w:tc>
          <w:tcPr>
            <w:tcW w:w="2091" w:type="dxa"/>
            <w:tcMar>
              <w:left w:w="28" w:type="dxa"/>
              <w:right w:w="28" w:type="dxa"/>
            </w:tcMar>
            <w:vAlign w:val="center"/>
          </w:tcPr>
          <w:p w14:paraId="104496FB">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保护对象</w:t>
            </w:r>
          </w:p>
        </w:tc>
        <w:tc>
          <w:tcPr>
            <w:tcW w:w="1968" w:type="dxa"/>
            <w:vAlign w:val="center"/>
          </w:tcPr>
          <w:p w14:paraId="3CF11154">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与项目相对方位/最近距离</w:t>
            </w:r>
          </w:p>
        </w:tc>
      </w:tr>
      <w:tr w14:paraId="629AD9A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0" w:hRule="atLeast"/>
          <w:jc w:val="center"/>
        </w:trPr>
        <w:tc>
          <w:tcPr>
            <w:tcW w:w="602" w:type="dxa"/>
            <w:tcMar>
              <w:left w:w="28" w:type="dxa"/>
              <w:right w:w="28" w:type="dxa"/>
            </w:tcMar>
            <w:vAlign w:val="center"/>
          </w:tcPr>
          <w:p w14:paraId="32B75E73">
            <w:pPr>
              <w:pStyle w:val="70"/>
              <w:rPr>
                <w:color w:val="000000" w:themeColor="text1"/>
                <w14:textFill>
                  <w14:solidFill>
                    <w14:schemeClr w14:val="tx1"/>
                  </w14:solidFill>
                </w14:textFill>
              </w:rPr>
            </w:pPr>
            <w:r>
              <w:rPr>
                <w:color w:val="000000" w:themeColor="text1"/>
                <w14:textFill>
                  <w14:solidFill>
                    <w14:schemeClr w14:val="tx1"/>
                  </w14:solidFill>
                </w14:textFill>
              </w:rPr>
              <w:t>1</w:t>
            </w:r>
          </w:p>
        </w:tc>
        <w:tc>
          <w:tcPr>
            <w:tcW w:w="2379" w:type="dxa"/>
            <w:tcMar>
              <w:left w:w="28" w:type="dxa"/>
              <w:right w:w="28" w:type="dxa"/>
            </w:tcMar>
            <w:vAlign w:val="center"/>
          </w:tcPr>
          <w:p w14:paraId="42A662A4">
            <w:pPr>
              <w:pStyle w:val="70"/>
              <w:rPr>
                <w:color w:val="000000" w:themeColor="text1"/>
                <w14:textFill>
                  <w14:solidFill>
                    <w14:schemeClr w14:val="tx1"/>
                  </w14:solidFill>
                </w14:textFill>
              </w:rPr>
            </w:pPr>
            <w:r>
              <w:rPr>
                <w:color w:val="000000" w:themeColor="text1"/>
                <w14:textFill>
                  <w14:solidFill>
                    <w14:schemeClr w14:val="tx1"/>
                  </w14:solidFill>
                </w14:textFill>
              </w:rPr>
              <w:t>广西茅尾海红树林自治区级自然保护区</w:t>
            </w:r>
          </w:p>
        </w:tc>
        <w:tc>
          <w:tcPr>
            <w:tcW w:w="2089" w:type="dxa"/>
            <w:vAlign w:val="center"/>
          </w:tcPr>
          <w:p w14:paraId="0919CF35">
            <w:pPr>
              <w:pStyle w:val="70"/>
              <w:rPr>
                <w:color w:val="000000" w:themeColor="text1"/>
                <w14:textFill>
                  <w14:solidFill>
                    <w14:schemeClr w14:val="tx1"/>
                  </w14:solidFill>
                </w14:textFill>
              </w:rPr>
            </w:pPr>
            <w:r>
              <w:rPr>
                <w:color w:val="000000" w:themeColor="text1"/>
                <w14:textFill>
                  <w14:solidFill>
                    <w14:schemeClr w14:val="tx1"/>
                  </w14:solidFill>
                </w14:textFill>
              </w:rPr>
              <w:t>自治区级</w:t>
            </w:r>
          </w:p>
          <w:p w14:paraId="01D8DD6C">
            <w:pPr>
              <w:pStyle w:val="70"/>
              <w:rPr>
                <w:color w:val="000000" w:themeColor="text1"/>
                <w14:textFill>
                  <w14:solidFill>
                    <w14:schemeClr w14:val="tx1"/>
                  </w14:solidFill>
                </w14:textFill>
              </w:rPr>
            </w:pPr>
            <w:r>
              <w:rPr>
                <w:color w:val="000000" w:themeColor="text1"/>
                <w14:textFill>
                  <w14:solidFill>
                    <w14:schemeClr w14:val="tx1"/>
                  </w14:solidFill>
                </w14:textFill>
              </w:rPr>
              <w:t>桂政函〔2020〕14号</w:t>
            </w:r>
          </w:p>
        </w:tc>
        <w:tc>
          <w:tcPr>
            <w:tcW w:w="2091" w:type="dxa"/>
            <w:tcMar>
              <w:left w:w="28" w:type="dxa"/>
              <w:right w:w="28" w:type="dxa"/>
            </w:tcMar>
            <w:vAlign w:val="center"/>
          </w:tcPr>
          <w:p w14:paraId="67F462F3">
            <w:pPr>
              <w:pStyle w:val="70"/>
              <w:rPr>
                <w:color w:val="000000" w:themeColor="text1"/>
                <w14:textFill>
                  <w14:solidFill>
                    <w14:schemeClr w14:val="tx1"/>
                  </w14:solidFill>
                </w14:textFill>
              </w:rPr>
            </w:pPr>
            <w:r>
              <w:rPr>
                <w:color w:val="000000" w:themeColor="text1"/>
                <w14:textFill>
                  <w14:solidFill>
                    <w14:schemeClr w14:val="tx1"/>
                  </w14:solidFill>
                </w14:textFill>
              </w:rPr>
              <w:t>红树林生态系统</w:t>
            </w:r>
          </w:p>
        </w:tc>
        <w:tc>
          <w:tcPr>
            <w:tcW w:w="1968" w:type="dxa"/>
            <w:vAlign w:val="center"/>
          </w:tcPr>
          <w:p w14:paraId="6BFE81BE">
            <w:pPr>
              <w:pStyle w:val="70"/>
              <w:rPr>
                <w:color w:val="000000" w:themeColor="text1"/>
                <w14:textFill>
                  <w14:solidFill>
                    <w14:schemeClr w14:val="tx1"/>
                  </w14:solidFill>
                </w14:textFill>
              </w:rPr>
            </w:pPr>
            <w:r>
              <w:rPr>
                <w:color w:val="000000" w:themeColor="text1"/>
                <w14:textFill>
                  <w14:solidFill>
                    <w14:schemeClr w14:val="tx1"/>
                  </w14:solidFill>
                </w14:textFill>
              </w:rPr>
              <w:t>W，3.8km</w:t>
            </w:r>
          </w:p>
        </w:tc>
      </w:tr>
      <w:tr w14:paraId="578A4DE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0" w:hRule="atLeast"/>
          <w:jc w:val="center"/>
        </w:trPr>
        <w:tc>
          <w:tcPr>
            <w:tcW w:w="602" w:type="dxa"/>
            <w:tcMar>
              <w:left w:w="28" w:type="dxa"/>
              <w:right w:w="28" w:type="dxa"/>
            </w:tcMar>
            <w:vAlign w:val="center"/>
          </w:tcPr>
          <w:p w14:paraId="6782A7B4">
            <w:pPr>
              <w:pStyle w:val="70"/>
              <w:rPr>
                <w:color w:val="000000" w:themeColor="text1"/>
                <w14:textFill>
                  <w14:solidFill>
                    <w14:schemeClr w14:val="tx1"/>
                  </w14:solidFill>
                </w14:textFill>
              </w:rPr>
            </w:pPr>
            <w:r>
              <w:rPr>
                <w:color w:val="000000" w:themeColor="text1"/>
                <w14:textFill>
                  <w14:solidFill>
                    <w14:schemeClr w14:val="tx1"/>
                  </w14:solidFill>
                </w14:textFill>
              </w:rPr>
              <w:t>2</w:t>
            </w:r>
          </w:p>
        </w:tc>
        <w:tc>
          <w:tcPr>
            <w:tcW w:w="2379" w:type="dxa"/>
            <w:tcMar>
              <w:left w:w="28" w:type="dxa"/>
              <w:right w:w="28" w:type="dxa"/>
            </w:tcMar>
            <w:vAlign w:val="center"/>
          </w:tcPr>
          <w:p w14:paraId="1F5912B0">
            <w:pPr>
              <w:pStyle w:val="70"/>
              <w:rPr>
                <w:color w:val="000000" w:themeColor="text1"/>
                <w14:textFill>
                  <w14:solidFill>
                    <w14:schemeClr w14:val="tx1"/>
                  </w14:solidFill>
                </w14:textFill>
              </w:rPr>
            </w:pPr>
            <w:r>
              <w:rPr>
                <w:color w:val="000000" w:themeColor="text1"/>
                <w14:textFill>
                  <w14:solidFill>
                    <w14:schemeClr w14:val="tx1"/>
                  </w14:solidFill>
                </w14:textFill>
              </w:rPr>
              <w:t>钦州港青菜头南浅海滩涂养殖区</w:t>
            </w:r>
          </w:p>
        </w:tc>
        <w:tc>
          <w:tcPr>
            <w:tcW w:w="2089" w:type="dxa"/>
            <w:vAlign w:val="center"/>
          </w:tcPr>
          <w:p w14:paraId="35DCC754">
            <w:pPr>
              <w:pStyle w:val="70"/>
              <w:rPr>
                <w:color w:val="000000" w:themeColor="text1"/>
                <w14:textFill>
                  <w14:solidFill>
                    <w14:schemeClr w14:val="tx1"/>
                  </w14:solidFill>
                </w14:textFill>
              </w:rPr>
            </w:pPr>
            <w:r>
              <w:rPr>
                <w:bCs/>
                <w:color w:val="000000" w:themeColor="text1"/>
                <w:spacing w:val="6"/>
                <w:szCs w:val="30"/>
                <w14:textFill>
                  <w14:solidFill>
                    <w14:schemeClr w14:val="tx1"/>
                  </w14:solidFill>
                </w14:textFill>
              </w:rPr>
              <w:t>钦州市养殖水域滩涂规划（2019-2030）</w:t>
            </w:r>
          </w:p>
        </w:tc>
        <w:tc>
          <w:tcPr>
            <w:tcW w:w="2091" w:type="dxa"/>
            <w:tcMar>
              <w:left w:w="28" w:type="dxa"/>
              <w:right w:w="28" w:type="dxa"/>
            </w:tcMar>
            <w:vAlign w:val="center"/>
          </w:tcPr>
          <w:p w14:paraId="2532288A">
            <w:pPr>
              <w:pStyle w:val="70"/>
              <w:rPr>
                <w:color w:val="000000" w:themeColor="text1"/>
                <w14:textFill>
                  <w14:solidFill>
                    <w14:schemeClr w14:val="tx1"/>
                  </w14:solidFill>
                </w14:textFill>
              </w:rPr>
            </w:pPr>
            <w:r>
              <w:rPr>
                <w:color w:val="000000" w:themeColor="text1"/>
                <w14:textFill>
                  <w14:solidFill>
                    <w14:schemeClr w14:val="tx1"/>
                  </w14:solidFill>
                </w14:textFill>
              </w:rPr>
              <w:t>海水水质</w:t>
            </w:r>
          </w:p>
        </w:tc>
        <w:tc>
          <w:tcPr>
            <w:tcW w:w="1968" w:type="dxa"/>
            <w:vAlign w:val="center"/>
          </w:tcPr>
          <w:p w14:paraId="2EBB85B6">
            <w:pPr>
              <w:pStyle w:val="70"/>
              <w:rPr>
                <w:color w:val="000000" w:themeColor="text1"/>
                <w14:textFill>
                  <w14:solidFill>
                    <w14:schemeClr w14:val="tx1"/>
                  </w14:solidFill>
                </w14:textFill>
              </w:rPr>
            </w:pPr>
            <w:r>
              <w:rPr>
                <w:color w:val="000000" w:themeColor="text1"/>
                <w14:textFill>
                  <w14:solidFill>
                    <w14:schemeClr w14:val="tx1"/>
                  </w14:solidFill>
                </w14:textFill>
              </w:rPr>
              <w:t>S,5.9km</w:t>
            </w:r>
          </w:p>
        </w:tc>
      </w:tr>
      <w:tr w14:paraId="2A345DA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3" w:hRule="atLeast"/>
          <w:jc w:val="center"/>
        </w:trPr>
        <w:tc>
          <w:tcPr>
            <w:tcW w:w="602" w:type="dxa"/>
            <w:tcMar>
              <w:left w:w="28" w:type="dxa"/>
              <w:right w:w="28" w:type="dxa"/>
            </w:tcMar>
            <w:vAlign w:val="center"/>
          </w:tcPr>
          <w:p w14:paraId="48E51AB1">
            <w:pPr>
              <w:pStyle w:val="70"/>
              <w:rPr>
                <w:color w:val="000000" w:themeColor="text1"/>
                <w14:textFill>
                  <w14:solidFill>
                    <w14:schemeClr w14:val="tx1"/>
                  </w14:solidFill>
                </w14:textFill>
              </w:rPr>
            </w:pPr>
            <w:r>
              <w:rPr>
                <w:color w:val="000000" w:themeColor="text1"/>
                <w14:textFill>
                  <w14:solidFill>
                    <w14:schemeClr w14:val="tx1"/>
                  </w14:solidFill>
                </w14:textFill>
              </w:rPr>
              <w:t>3</w:t>
            </w:r>
          </w:p>
        </w:tc>
        <w:tc>
          <w:tcPr>
            <w:tcW w:w="2379" w:type="dxa"/>
            <w:tcMar>
              <w:left w:w="28" w:type="dxa"/>
              <w:right w:w="28" w:type="dxa"/>
            </w:tcMar>
            <w:vAlign w:val="center"/>
          </w:tcPr>
          <w:p w14:paraId="055E5423">
            <w:pPr>
              <w:pStyle w:val="70"/>
              <w:rPr>
                <w:color w:val="000000" w:themeColor="text1"/>
                <w14:textFill>
                  <w14:solidFill>
                    <w14:schemeClr w14:val="tx1"/>
                  </w14:solidFill>
                </w14:textFill>
              </w:rPr>
            </w:pPr>
            <w:r>
              <w:rPr>
                <w:color w:val="000000" w:themeColor="text1"/>
                <w14:textFill>
                  <w14:solidFill>
                    <w14:schemeClr w14:val="tx1"/>
                  </w14:solidFill>
                </w14:textFill>
              </w:rPr>
              <w:t>红树林集中分布斑块</w:t>
            </w:r>
          </w:p>
        </w:tc>
        <w:tc>
          <w:tcPr>
            <w:tcW w:w="2089" w:type="dxa"/>
            <w:vAlign w:val="center"/>
          </w:tcPr>
          <w:p w14:paraId="49BBCC10">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2091" w:type="dxa"/>
            <w:vAlign w:val="center"/>
          </w:tcPr>
          <w:p w14:paraId="5BA088EF">
            <w:pPr>
              <w:pStyle w:val="70"/>
              <w:rPr>
                <w:color w:val="000000" w:themeColor="text1"/>
                <w14:textFill>
                  <w14:solidFill>
                    <w14:schemeClr w14:val="tx1"/>
                  </w14:solidFill>
                </w14:textFill>
              </w:rPr>
            </w:pPr>
            <w:r>
              <w:rPr>
                <w:color w:val="000000" w:themeColor="text1"/>
                <w14:textFill>
                  <w14:solidFill>
                    <w14:schemeClr w14:val="tx1"/>
                  </w14:solidFill>
                </w14:textFill>
              </w:rPr>
              <w:t>红树林生态系统</w:t>
            </w:r>
          </w:p>
        </w:tc>
        <w:tc>
          <w:tcPr>
            <w:tcW w:w="1968" w:type="dxa"/>
            <w:vAlign w:val="center"/>
          </w:tcPr>
          <w:p w14:paraId="4A3BA85E">
            <w:pPr>
              <w:pStyle w:val="70"/>
              <w:rPr>
                <w:color w:val="000000" w:themeColor="text1"/>
                <w14:textFill>
                  <w14:solidFill>
                    <w14:schemeClr w14:val="tx1"/>
                  </w14:solidFill>
                </w14:textFill>
              </w:rPr>
            </w:pPr>
            <w:r>
              <w:rPr>
                <w:color w:val="000000" w:themeColor="text1"/>
                <w14:textFill>
                  <w14:solidFill>
                    <w14:schemeClr w14:val="tx1"/>
                  </w14:solidFill>
                </w14:textFill>
              </w:rPr>
              <w:t>N，3.8km</w:t>
            </w:r>
          </w:p>
        </w:tc>
      </w:tr>
      <w:tr w14:paraId="6391D31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89" w:hRule="atLeast"/>
          <w:jc w:val="center"/>
        </w:trPr>
        <w:tc>
          <w:tcPr>
            <w:tcW w:w="602" w:type="dxa"/>
            <w:tcMar>
              <w:left w:w="28" w:type="dxa"/>
              <w:right w:w="28" w:type="dxa"/>
            </w:tcMar>
            <w:vAlign w:val="center"/>
          </w:tcPr>
          <w:p w14:paraId="72AB3432">
            <w:pPr>
              <w:pStyle w:val="70"/>
              <w:rPr>
                <w:color w:val="000000" w:themeColor="text1"/>
                <w14:textFill>
                  <w14:solidFill>
                    <w14:schemeClr w14:val="tx1"/>
                  </w14:solidFill>
                </w14:textFill>
              </w:rPr>
            </w:pPr>
            <w:r>
              <w:rPr>
                <w:color w:val="000000" w:themeColor="text1"/>
                <w14:textFill>
                  <w14:solidFill>
                    <w14:schemeClr w14:val="tx1"/>
                  </w14:solidFill>
                </w14:textFill>
              </w:rPr>
              <w:t>4</w:t>
            </w:r>
          </w:p>
        </w:tc>
        <w:tc>
          <w:tcPr>
            <w:tcW w:w="2379" w:type="dxa"/>
            <w:tcMar>
              <w:left w:w="28" w:type="dxa"/>
              <w:right w:w="28" w:type="dxa"/>
            </w:tcMar>
            <w:vAlign w:val="center"/>
          </w:tcPr>
          <w:p w14:paraId="577447B6">
            <w:pPr>
              <w:pStyle w:val="70"/>
              <w:rPr>
                <w:color w:val="000000" w:themeColor="text1"/>
                <w14:textFill>
                  <w14:solidFill>
                    <w14:schemeClr w14:val="tx1"/>
                  </w14:solidFill>
                </w14:textFill>
              </w:rPr>
            </w:pPr>
            <w:r>
              <w:rPr>
                <w:color w:val="000000" w:themeColor="text1"/>
                <w14:textFill>
                  <w14:solidFill>
                    <w14:schemeClr w14:val="tx1"/>
                  </w14:solidFill>
                </w14:textFill>
              </w:rPr>
              <w:t>蚝排养殖区</w:t>
            </w:r>
          </w:p>
        </w:tc>
        <w:tc>
          <w:tcPr>
            <w:tcW w:w="2089" w:type="dxa"/>
            <w:vAlign w:val="center"/>
          </w:tcPr>
          <w:p w14:paraId="50753760">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2091" w:type="dxa"/>
            <w:vAlign w:val="center"/>
          </w:tcPr>
          <w:p w14:paraId="100BDC59">
            <w:pPr>
              <w:pStyle w:val="70"/>
              <w:rPr>
                <w:color w:val="000000" w:themeColor="text1"/>
                <w14:textFill>
                  <w14:solidFill>
                    <w14:schemeClr w14:val="tx1"/>
                  </w14:solidFill>
                </w14:textFill>
              </w:rPr>
            </w:pPr>
            <w:r>
              <w:rPr>
                <w:color w:val="000000" w:themeColor="text1"/>
                <w14:textFill>
                  <w14:solidFill>
                    <w14:schemeClr w14:val="tx1"/>
                  </w14:solidFill>
                </w14:textFill>
              </w:rPr>
              <w:t>海水水质</w:t>
            </w:r>
          </w:p>
        </w:tc>
        <w:tc>
          <w:tcPr>
            <w:tcW w:w="1968" w:type="dxa"/>
            <w:vAlign w:val="center"/>
          </w:tcPr>
          <w:p w14:paraId="4230B023">
            <w:pPr>
              <w:pStyle w:val="70"/>
              <w:rPr>
                <w:color w:val="000000" w:themeColor="text1"/>
                <w14:textFill>
                  <w14:solidFill>
                    <w14:schemeClr w14:val="tx1"/>
                  </w14:solidFill>
                </w14:textFill>
              </w:rPr>
            </w:pPr>
            <w:r>
              <w:rPr>
                <w:color w:val="000000" w:themeColor="text1"/>
                <w14:textFill>
                  <w14:solidFill>
                    <w14:schemeClr w14:val="tx1"/>
                  </w14:solidFill>
                </w14:textFill>
              </w:rPr>
              <w:t>项目周边海域，最近距离3.6km</w:t>
            </w:r>
          </w:p>
        </w:tc>
      </w:tr>
      <w:bookmarkEnd w:id="169"/>
    </w:tbl>
    <w:p w14:paraId="602F9A62">
      <w:pPr>
        <w:pStyle w:val="4"/>
        <w:rPr>
          <w:color w:val="000000" w:themeColor="text1"/>
          <w14:textFill>
            <w14:solidFill>
              <w14:schemeClr w14:val="tx1"/>
            </w14:solidFill>
          </w14:textFill>
        </w:rPr>
      </w:pPr>
      <w:bookmarkStart w:id="170" w:name="_Toc216620350"/>
      <w:bookmarkStart w:id="171" w:name="_Toc136878438"/>
      <w:bookmarkStart w:id="172" w:name="_Toc135090189"/>
      <w:bookmarkStart w:id="173" w:name="_Toc216103191"/>
      <w:r>
        <w:rPr>
          <w:color w:val="000000" w:themeColor="text1"/>
          <w14:textFill>
            <w14:solidFill>
              <w14:schemeClr w14:val="tx1"/>
            </w14:solidFill>
          </w14:textFill>
        </w:rPr>
        <w:t>水环境</w:t>
      </w:r>
      <w:bookmarkEnd w:id="170"/>
      <w:bookmarkEnd w:id="171"/>
      <w:bookmarkEnd w:id="172"/>
      <w:bookmarkEnd w:id="173"/>
    </w:p>
    <w:p w14:paraId="38E7342D">
      <w:pPr>
        <w:ind w:firstLine="480"/>
        <w:rPr>
          <w:color w:val="000000" w:themeColor="text1"/>
          <w14:textFill>
            <w14:solidFill>
              <w14:schemeClr w14:val="tx1"/>
            </w14:solidFill>
          </w14:textFill>
        </w:rPr>
      </w:pPr>
      <w:r>
        <w:rPr>
          <w:color w:val="000000" w:themeColor="text1"/>
          <w14:textFill>
            <w14:solidFill>
              <w14:schemeClr w14:val="tx1"/>
            </w14:solidFill>
          </w14:textFill>
        </w:rPr>
        <w:t>项目水环境保护目标为所处水域海水水质。</w:t>
      </w:r>
    </w:p>
    <w:p w14:paraId="4E891ED0">
      <w:pPr>
        <w:pStyle w:val="4"/>
        <w:rPr>
          <w:color w:val="000000" w:themeColor="text1"/>
          <w14:textFill>
            <w14:solidFill>
              <w14:schemeClr w14:val="tx1"/>
            </w14:solidFill>
          </w14:textFill>
        </w:rPr>
      </w:pPr>
      <w:bookmarkStart w:id="174" w:name="_Toc136878439"/>
      <w:bookmarkStart w:id="175" w:name="_Toc216103192"/>
      <w:bookmarkStart w:id="176" w:name="_Toc216620351"/>
      <w:bookmarkStart w:id="177" w:name="_Toc135090190"/>
      <w:r>
        <w:rPr>
          <w:color w:val="000000" w:themeColor="text1"/>
          <w14:textFill>
            <w14:solidFill>
              <w14:schemeClr w14:val="tx1"/>
            </w14:solidFill>
          </w14:textFill>
        </w:rPr>
        <w:t>环境风险</w:t>
      </w:r>
      <w:bookmarkEnd w:id="174"/>
      <w:bookmarkEnd w:id="175"/>
      <w:bookmarkEnd w:id="176"/>
      <w:bookmarkEnd w:id="177"/>
    </w:p>
    <w:p w14:paraId="572B6A11">
      <w:pPr>
        <w:ind w:firstLine="480"/>
        <w:rPr>
          <w:color w:val="000000" w:themeColor="text1"/>
          <w14:textFill>
            <w14:solidFill>
              <w14:schemeClr w14:val="tx1"/>
            </w14:solidFill>
          </w14:textFill>
        </w:rPr>
      </w:pPr>
      <w:r>
        <w:rPr>
          <w:color w:val="000000" w:themeColor="text1"/>
          <w14:textFill>
            <w14:solidFill>
              <w14:schemeClr w14:val="tx1"/>
            </w14:solidFill>
          </w14:textFill>
        </w:rPr>
        <w:t>项目风险评价范围内的敏感目标分布见表1.6-3。</w:t>
      </w:r>
    </w:p>
    <w:p w14:paraId="3C2A9494">
      <w:pPr>
        <w:pStyle w:val="7"/>
        <w:rPr>
          <w:color w:val="000000" w:themeColor="text1"/>
          <w14:textFill>
            <w14:solidFill>
              <w14:schemeClr w14:val="tx1"/>
            </w14:solidFill>
          </w14:textFill>
        </w:rPr>
      </w:pPr>
      <w:r>
        <w:rPr>
          <w:color w:val="000000" w:themeColor="text1"/>
          <w14:textFill>
            <w14:solidFill>
              <w14:schemeClr w14:val="tx1"/>
            </w14:solidFill>
          </w14:textFill>
        </w:rPr>
        <w:t>项目风险评价环境敏感特征表</w:t>
      </w:r>
    </w:p>
    <w:tbl>
      <w:tblPr>
        <w:tblStyle w:val="43"/>
        <w:tblW w:w="9042"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28" w:type="dxa"/>
          <w:bottom w:w="0" w:type="dxa"/>
          <w:right w:w="28" w:type="dxa"/>
        </w:tblCellMar>
      </w:tblPr>
      <w:tblGrid>
        <w:gridCol w:w="1291"/>
        <w:gridCol w:w="470"/>
        <w:gridCol w:w="2208"/>
        <w:gridCol w:w="720"/>
        <w:gridCol w:w="2049"/>
        <w:gridCol w:w="1262"/>
        <w:gridCol w:w="1042"/>
      </w:tblGrid>
      <w:tr w14:paraId="53F6190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291" w:type="dxa"/>
            <w:vAlign w:val="center"/>
          </w:tcPr>
          <w:p w14:paraId="79C5C561">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类别</w:t>
            </w:r>
          </w:p>
        </w:tc>
        <w:tc>
          <w:tcPr>
            <w:tcW w:w="7751" w:type="dxa"/>
            <w:gridSpan w:val="6"/>
            <w:vAlign w:val="center"/>
          </w:tcPr>
          <w:p w14:paraId="0D4A8D5C">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环境敏感特征</w:t>
            </w:r>
          </w:p>
        </w:tc>
      </w:tr>
      <w:tr w14:paraId="202460B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291" w:type="dxa"/>
            <w:vMerge w:val="restart"/>
            <w:vAlign w:val="center"/>
          </w:tcPr>
          <w:p w14:paraId="1766C4DD">
            <w:pPr>
              <w:pStyle w:val="70"/>
              <w:rPr>
                <w:color w:val="000000" w:themeColor="text1"/>
                <w14:textFill>
                  <w14:solidFill>
                    <w14:schemeClr w14:val="tx1"/>
                  </w14:solidFill>
                </w14:textFill>
              </w:rPr>
            </w:pPr>
            <w:r>
              <w:rPr>
                <w:color w:val="000000" w:themeColor="text1"/>
                <w14:textFill>
                  <w14:solidFill>
                    <w14:schemeClr w14:val="tx1"/>
                  </w14:solidFill>
                </w14:textFill>
              </w:rPr>
              <w:t>环境空气</w:t>
            </w:r>
          </w:p>
        </w:tc>
        <w:tc>
          <w:tcPr>
            <w:tcW w:w="7751" w:type="dxa"/>
            <w:gridSpan w:val="6"/>
            <w:vAlign w:val="center"/>
          </w:tcPr>
          <w:p w14:paraId="0332EA71">
            <w:pPr>
              <w:pStyle w:val="70"/>
              <w:rPr>
                <w:color w:val="000000" w:themeColor="text1"/>
                <w14:textFill>
                  <w14:solidFill>
                    <w14:schemeClr w14:val="tx1"/>
                  </w14:solidFill>
                </w14:textFill>
              </w:rPr>
            </w:pPr>
            <w:r>
              <w:rPr>
                <w:color w:val="000000" w:themeColor="text1"/>
                <w14:textFill>
                  <w14:solidFill>
                    <w14:schemeClr w14:val="tx1"/>
                  </w14:solidFill>
                </w14:textFill>
              </w:rPr>
              <w:t>厂址周边5km范围内</w:t>
            </w:r>
          </w:p>
        </w:tc>
      </w:tr>
      <w:tr w14:paraId="1005C59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291" w:type="dxa"/>
            <w:vMerge w:val="continue"/>
            <w:vAlign w:val="center"/>
          </w:tcPr>
          <w:p w14:paraId="5D1CD7FE">
            <w:pPr>
              <w:pStyle w:val="70"/>
              <w:rPr>
                <w:color w:val="000000" w:themeColor="text1"/>
                <w14:textFill>
                  <w14:solidFill>
                    <w14:schemeClr w14:val="tx1"/>
                  </w14:solidFill>
                </w14:textFill>
              </w:rPr>
            </w:pPr>
          </w:p>
        </w:tc>
        <w:tc>
          <w:tcPr>
            <w:tcW w:w="470" w:type="dxa"/>
            <w:vAlign w:val="center"/>
          </w:tcPr>
          <w:p w14:paraId="35C96BE6">
            <w:pPr>
              <w:pStyle w:val="70"/>
              <w:rPr>
                <w:color w:val="000000" w:themeColor="text1"/>
                <w14:textFill>
                  <w14:solidFill>
                    <w14:schemeClr w14:val="tx1"/>
                  </w14:solidFill>
                </w14:textFill>
              </w:rPr>
            </w:pPr>
            <w:r>
              <w:rPr>
                <w:color w:val="000000" w:themeColor="text1"/>
                <w14:textFill>
                  <w14:solidFill>
                    <w14:schemeClr w14:val="tx1"/>
                  </w14:solidFill>
                </w14:textFill>
              </w:rPr>
              <w:t>序号</w:t>
            </w:r>
          </w:p>
        </w:tc>
        <w:tc>
          <w:tcPr>
            <w:tcW w:w="2208" w:type="dxa"/>
            <w:vAlign w:val="center"/>
          </w:tcPr>
          <w:p w14:paraId="420D9B3A">
            <w:pPr>
              <w:pStyle w:val="70"/>
              <w:rPr>
                <w:color w:val="000000" w:themeColor="text1"/>
                <w14:textFill>
                  <w14:solidFill>
                    <w14:schemeClr w14:val="tx1"/>
                  </w14:solidFill>
                </w14:textFill>
              </w:rPr>
            </w:pPr>
            <w:r>
              <w:rPr>
                <w:color w:val="000000" w:themeColor="text1"/>
                <w14:textFill>
                  <w14:solidFill>
                    <w14:schemeClr w14:val="tx1"/>
                  </w14:solidFill>
                </w14:textFill>
              </w:rPr>
              <w:t>敏感目标名称</w:t>
            </w:r>
          </w:p>
        </w:tc>
        <w:tc>
          <w:tcPr>
            <w:tcW w:w="720" w:type="dxa"/>
            <w:vAlign w:val="center"/>
          </w:tcPr>
          <w:p w14:paraId="075CA6AF">
            <w:pPr>
              <w:pStyle w:val="70"/>
              <w:rPr>
                <w:color w:val="000000" w:themeColor="text1"/>
                <w14:textFill>
                  <w14:solidFill>
                    <w14:schemeClr w14:val="tx1"/>
                  </w14:solidFill>
                </w14:textFill>
              </w:rPr>
            </w:pPr>
            <w:r>
              <w:rPr>
                <w:color w:val="000000" w:themeColor="text1"/>
                <w14:textFill>
                  <w14:solidFill>
                    <w14:schemeClr w14:val="tx1"/>
                  </w14:solidFill>
                </w14:textFill>
              </w:rPr>
              <w:t>相对方位</w:t>
            </w:r>
          </w:p>
        </w:tc>
        <w:tc>
          <w:tcPr>
            <w:tcW w:w="2049" w:type="dxa"/>
            <w:vAlign w:val="center"/>
          </w:tcPr>
          <w:p w14:paraId="5764230E">
            <w:pPr>
              <w:pStyle w:val="70"/>
              <w:rPr>
                <w:color w:val="000000" w:themeColor="text1"/>
                <w14:textFill>
                  <w14:solidFill>
                    <w14:schemeClr w14:val="tx1"/>
                  </w14:solidFill>
                </w14:textFill>
              </w:rPr>
            </w:pPr>
            <w:r>
              <w:rPr>
                <w:color w:val="000000" w:themeColor="text1"/>
                <w14:textFill>
                  <w14:solidFill>
                    <w14:schemeClr w14:val="tx1"/>
                  </w14:solidFill>
                </w14:textFill>
              </w:rPr>
              <w:t>距离km</w:t>
            </w:r>
          </w:p>
        </w:tc>
        <w:tc>
          <w:tcPr>
            <w:tcW w:w="1262" w:type="dxa"/>
            <w:vAlign w:val="center"/>
          </w:tcPr>
          <w:p w14:paraId="7E703C53">
            <w:pPr>
              <w:pStyle w:val="70"/>
              <w:rPr>
                <w:color w:val="000000" w:themeColor="text1"/>
                <w14:textFill>
                  <w14:solidFill>
                    <w14:schemeClr w14:val="tx1"/>
                  </w14:solidFill>
                </w14:textFill>
              </w:rPr>
            </w:pPr>
            <w:r>
              <w:rPr>
                <w:color w:val="000000" w:themeColor="text1"/>
                <w14:textFill>
                  <w14:solidFill>
                    <w14:schemeClr w14:val="tx1"/>
                  </w14:solidFill>
                </w14:textFill>
              </w:rPr>
              <w:t>属性</w:t>
            </w:r>
          </w:p>
        </w:tc>
        <w:tc>
          <w:tcPr>
            <w:tcW w:w="1042" w:type="dxa"/>
            <w:vAlign w:val="center"/>
          </w:tcPr>
          <w:p w14:paraId="75AFDE20">
            <w:pPr>
              <w:pStyle w:val="70"/>
              <w:rPr>
                <w:color w:val="000000" w:themeColor="text1"/>
                <w14:textFill>
                  <w14:solidFill>
                    <w14:schemeClr w14:val="tx1"/>
                  </w14:solidFill>
                </w14:textFill>
              </w:rPr>
            </w:pPr>
            <w:r>
              <w:rPr>
                <w:color w:val="000000" w:themeColor="text1"/>
                <w14:textFill>
                  <w14:solidFill>
                    <w14:schemeClr w14:val="tx1"/>
                  </w14:solidFill>
                </w14:textFill>
              </w:rPr>
              <w:t>人口数</w:t>
            </w:r>
          </w:p>
        </w:tc>
      </w:tr>
      <w:tr w14:paraId="58FE45A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291" w:type="dxa"/>
            <w:vMerge w:val="continue"/>
            <w:vAlign w:val="center"/>
          </w:tcPr>
          <w:p w14:paraId="4469B9F3">
            <w:pPr>
              <w:pStyle w:val="70"/>
              <w:rPr>
                <w:color w:val="000000" w:themeColor="text1"/>
                <w14:textFill>
                  <w14:solidFill>
                    <w14:schemeClr w14:val="tx1"/>
                  </w14:solidFill>
                </w14:textFill>
              </w:rPr>
            </w:pPr>
          </w:p>
        </w:tc>
        <w:tc>
          <w:tcPr>
            <w:tcW w:w="470" w:type="dxa"/>
            <w:vAlign w:val="center"/>
          </w:tcPr>
          <w:p w14:paraId="336A033D">
            <w:pPr>
              <w:pStyle w:val="70"/>
              <w:numPr>
                <w:ilvl w:val="0"/>
                <w:numId w:val="14"/>
              </w:numPr>
              <w:rPr>
                <w:color w:val="000000" w:themeColor="text1"/>
                <w14:textFill>
                  <w14:solidFill>
                    <w14:schemeClr w14:val="tx1"/>
                  </w14:solidFill>
                </w14:textFill>
              </w:rPr>
            </w:pPr>
          </w:p>
        </w:tc>
        <w:tc>
          <w:tcPr>
            <w:tcW w:w="2208" w:type="dxa"/>
            <w:vAlign w:val="center"/>
          </w:tcPr>
          <w:p w14:paraId="43536032">
            <w:pPr>
              <w:pStyle w:val="70"/>
              <w:rPr>
                <w:color w:val="000000" w:themeColor="text1"/>
                <w14:textFill>
                  <w14:solidFill>
                    <w14:schemeClr w14:val="tx1"/>
                  </w14:solidFill>
                </w14:textFill>
              </w:rPr>
            </w:pPr>
            <w:r>
              <w:rPr>
                <w:color w:val="000000" w:themeColor="text1"/>
                <w14:textFill>
                  <w14:solidFill>
                    <w14:schemeClr w14:val="tx1"/>
                  </w14:solidFill>
                </w14:textFill>
              </w:rPr>
              <w:t>淡水湾</w:t>
            </w:r>
            <w:r>
              <w:rPr>
                <w:rFonts w:hint="eastAsia"/>
                <w:color w:val="000000" w:themeColor="text1"/>
                <w14:textFill>
                  <w14:solidFill>
                    <w14:schemeClr w14:val="tx1"/>
                  </w14:solidFill>
                </w14:textFill>
              </w:rPr>
              <w:t>村</w:t>
            </w:r>
          </w:p>
        </w:tc>
        <w:tc>
          <w:tcPr>
            <w:tcW w:w="720" w:type="dxa"/>
            <w:vAlign w:val="center"/>
          </w:tcPr>
          <w:p w14:paraId="40BA1E33">
            <w:pPr>
              <w:pStyle w:val="70"/>
              <w:rPr>
                <w:color w:val="000000" w:themeColor="text1"/>
                <w14:textFill>
                  <w14:solidFill>
                    <w14:schemeClr w14:val="tx1"/>
                  </w14:solidFill>
                </w14:textFill>
              </w:rPr>
            </w:pPr>
            <w:r>
              <w:rPr>
                <w:color w:val="000000" w:themeColor="text1"/>
                <w14:textFill>
                  <w14:solidFill>
                    <w14:schemeClr w14:val="tx1"/>
                  </w14:solidFill>
                </w14:textFill>
              </w:rPr>
              <w:t>NE</w:t>
            </w:r>
          </w:p>
        </w:tc>
        <w:tc>
          <w:tcPr>
            <w:tcW w:w="2049" w:type="dxa"/>
            <w:vAlign w:val="center"/>
          </w:tcPr>
          <w:p w14:paraId="7FBF3E90">
            <w:pPr>
              <w:pStyle w:val="70"/>
              <w:rPr>
                <w:color w:val="000000" w:themeColor="text1"/>
                <w14:textFill>
                  <w14:solidFill>
                    <w14:schemeClr w14:val="tx1"/>
                  </w14:solidFill>
                </w14:textFill>
              </w:rPr>
            </w:pPr>
            <w:r>
              <w:rPr>
                <w:color w:val="000000" w:themeColor="text1"/>
                <w14:textFill>
                  <w14:solidFill>
                    <w14:schemeClr w14:val="tx1"/>
                  </w14:solidFill>
                </w14:textFill>
              </w:rPr>
              <w:t>1.98</w:t>
            </w:r>
          </w:p>
        </w:tc>
        <w:tc>
          <w:tcPr>
            <w:tcW w:w="1262" w:type="dxa"/>
            <w:vAlign w:val="center"/>
          </w:tcPr>
          <w:p w14:paraId="1312F248">
            <w:pPr>
              <w:pStyle w:val="70"/>
              <w:rPr>
                <w:color w:val="000000" w:themeColor="text1"/>
                <w14:textFill>
                  <w14:solidFill>
                    <w14:schemeClr w14:val="tx1"/>
                  </w14:solidFill>
                </w14:textFill>
              </w:rPr>
            </w:pPr>
            <w:r>
              <w:rPr>
                <w:color w:val="000000" w:themeColor="text1"/>
                <w14:textFill>
                  <w14:solidFill>
                    <w14:schemeClr w14:val="tx1"/>
                  </w14:solidFill>
                </w14:textFill>
              </w:rPr>
              <w:t>居住区</w:t>
            </w:r>
          </w:p>
        </w:tc>
        <w:tc>
          <w:tcPr>
            <w:tcW w:w="1042" w:type="dxa"/>
            <w:vAlign w:val="center"/>
          </w:tcPr>
          <w:p w14:paraId="3DC02467">
            <w:pPr>
              <w:pStyle w:val="70"/>
              <w:rPr>
                <w:color w:val="000000" w:themeColor="text1"/>
                <w14:textFill>
                  <w14:solidFill>
                    <w14:schemeClr w14:val="tx1"/>
                  </w14:solidFill>
                </w14:textFill>
              </w:rPr>
            </w:pPr>
            <w:r>
              <w:rPr>
                <w:color w:val="000000" w:themeColor="text1"/>
                <w14:textFill>
                  <w14:solidFill>
                    <w14:schemeClr w14:val="tx1"/>
                  </w14:solidFill>
                </w14:textFill>
              </w:rPr>
              <w:t>195</w:t>
            </w:r>
          </w:p>
        </w:tc>
      </w:tr>
      <w:tr w14:paraId="0F0EFF2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291" w:type="dxa"/>
            <w:vMerge w:val="continue"/>
            <w:vAlign w:val="center"/>
          </w:tcPr>
          <w:p w14:paraId="359B420A">
            <w:pPr>
              <w:pStyle w:val="70"/>
              <w:rPr>
                <w:color w:val="000000" w:themeColor="text1"/>
                <w14:textFill>
                  <w14:solidFill>
                    <w14:schemeClr w14:val="tx1"/>
                  </w14:solidFill>
                </w14:textFill>
              </w:rPr>
            </w:pPr>
          </w:p>
        </w:tc>
        <w:tc>
          <w:tcPr>
            <w:tcW w:w="470" w:type="dxa"/>
            <w:vAlign w:val="center"/>
          </w:tcPr>
          <w:p w14:paraId="042C3348">
            <w:pPr>
              <w:pStyle w:val="70"/>
              <w:numPr>
                <w:ilvl w:val="0"/>
                <w:numId w:val="14"/>
              </w:numPr>
              <w:rPr>
                <w:color w:val="000000" w:themeColor="text1"/>
                <w14:textFill>
                  <w14:solidFill>
                    <w14:schemeClr w14:val="tx1"/>
                  </w14:solidFill>
                </w14:textFill>
              </w:rPr>
            </w:pPr>
          </w:p>
        </w:tc>
        <w:tc>
          <w:tcPr>
            <w:tcW w:w="2208" w:type="dxa"/>
            <w:vAlign w:val="center"/>
          </w:tcPr>
          <w:p w14:paraId="3BE27B1F">
            <w:pPr>
              <w:pStyle w:val="70"/>
              <w:rPr>
                <w:color w:val="000000" w:themeColor="text1"/>
                <w14:textFill>
                  <w14:solidFill>
                    <w14:schemeClr w14:val="tx1"/>
                  </w14:solidFill>
                </w14:textFill>
              </w:rPr>
            </w:pPr>
            <w:r>
              <w:rPr>
                <w:color w:val="000000" w:themeColor="text1"/>
                <w14:textFill>
                  <w14:solidFill>
                    <w14:schemeClr w14:val="tx1"/>
                  </w14:solidFill>
                </w14:textFill>
              </w:rPr>
              <w:t>果子山村</w:t>
            </w:r>
          </w:p>
        </w:tc>
        <w:tc>
          <w:tcPr>
            <w:tcW w:w="720" w:type="dxa"/>
            <w:vAlign w:val="center"/>
          </w:tcPr>
          <w:p w14:paraId="003C9664">
            <w:pPr>
              <w:pStyle w:val="70"/>
              <w:rPr>
                <w:color w:val="000000" w:themeColor="text1"/>
                <w14:textFill>
                  <w14:solidFill>
                    <w14:schemeClr w14:val="tx1"/>
                  </w14:solidFill>
                </w14:textFill>
              </w:rPr>
            </w:pPr>
            <w:r>
              <w:rPr>
                <w:color w:val="000000" w:themeColor="text1"/>
                <w14:textFill>
                  <w14:solidFill>
                    <w14:schemeClr w14:val="tx1"/>
                  </w14:solidFill>
                </w14:textFill>
              </w:rPr>
              <w:t>W</w:t>
            </w:r>
          </w:p>
        </w:tc>
        <w:tc>
          <w:tcPr>
            <w:tcW w:w="2049" w:type="dxa"/>
            <w:vAlign w:val="center"/>
          </w:tcPr>
          <w:p w14:paraId="1425BB69">
            <w:pPr>
              <w:pStyle w:val="70"/>
              <w:rPr>
                <w:color w:val="000000" w:themeColor="text1"/>
                <w14:textFill>
                  <w14:solidFill>
                    <w14:schemeClr w14:val="tx1"/>
                  </w14:solidFill>
                </w14:textFill>
              </w:rPr>
            </w:pPr>
            <w:r>
              <w:rPr>
                <w:color w:val="000000" w:themeColor="text1"/>
                <w14:textFill>
                  <w14:solidFill>
                    <w14:schemeClr w14:val="tx1"/>
                  </w14:solidFill>
                </w14:textFill>
              </w:rPr>
              <w:t>3.27</w:t>
            </w:r>
          </w:p>
        </w:tc>
        <w:tc>
          <w:tcPr>
            <w:tcW w:w="1262" w:type="dxa"/>
            <w:vAlign w:val="center"/>
          </w:tcPr>
          <w:p w14:paraId="4989F761">
            <w:pPr>
              <w:pStyle w:val="70"/>
              <w:rPr>
                <w:color w:val="000000" w:themeColor="text1"/>
                <w14:textFill>
                  <w14:solidFill>
                    <w14:schemeClr w14:val="tx1"/>
                  </w14:solidFill>
                </w14:textFill>
              </w:rPr>
            </w:pPr>
            <w:r>
              <w:rPr>
                <w:color w:val="000000" w:themeColor="text1"/>
                <w14:textFill>
                  <w14:solidFill>
                    <w14:schemeClr w14:val="tx1"/>
                  </w14:solidFill>
                </w14:textFill>
              </w:rPr>
              <w:t>居住区</w:t>
            </w:r>
          </w:p>
        </w:tc>
        <w:tc>
          <w:tcPr>
            <w:tcW w:w="1042" w:type="dxa"/>
            <w:vAlign w:val="center"/>
          </w:tcPr>
          <w:p w14:paraId="47132A91">
            <w:pPr>
              <w:pStyle w:val="70"/>
              <w:rPr>
                <w:color w:val="000000" w:themeColor="text1"/>
                <w14:textFill>
                  <w14:solidFill>
                    <w14:schemeClr w14:val="tx1"/>
                  </w14:solidFill>
                </w14:textFill>
              </w:rPr>
            </w:pPr>
            <w:r>
              <w:rPr>
                <w:color w:val="000000" w:themeColor="text1"/>
                <w14:textFill>
                  <w14:solidFill>
                    <w14:schemeClr w14:val="tx1"/>
                  </w14:solidFill>
                </w14:textFill>
              </w:rPr>
              <w:t>990</w:t>
            </w:r>
          </w:p>
        </w:tc>
      </w:tr>
      <w:tr w14:paraId="644E8B8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291" w:type="dxa"/>
            <w:vMerge w:val="continue"/>
            <w:vAlign w:val="center"/>
          </w:tcPr>
          <w:p w14:paraId="5B8607F1">
            <w:pPr>
              <w:pStyle w:val="70"/>
              <w:rPr>
                <w:color w:val="000000" w:themeColor="text1"/>
                <w14:textFill>
                  <w14:solidFill>
                    <w14:schemeClr w14:val="tx1"/>
                  </w14:solidFill>
                </w14:textFill>
              </w:rPr>
            </w:pPr>
          </w:p>
        </w:tc>
        <w:tc>
          <w:tcPr>
            <w:tcW w:w="470" w:type="dxa"/>
            <w:vAlign w:val="center"/>
          </w:tcPr>
          <w:p w14:paraId="0B25FDBC">
            <w:pPr>
              <w:pStyle w:val="70"/>
              <w:numPr>
                <w:ilvl w:val="0"/>
                <w:numId w:val="14"/>
              </w:numPr>
              <w:rPr>
                <w:color w:val="000000" w:themeColor="text1"/>
                <w14:textFill>
                  <w14:solidFill>
                    <w14:schemeClr w14:val="tx1"/>
                  </w14:solidFill>
                </w14:textFill>
              </w:rPr>
            </w:pPr>
          </w:p>
        </w:tc>
        <w:tc>
          <w:tcPr>
            <w:tcW w:w="2208" w:type="dxa"/>
            <w:vAlign w:val="center"/>
          </w:tcPr>
          <w:p w14:paraId="13760B0A">
            <w:pPr>
              <w:pStyle w:val="70"/>
              <w:rPr>
                <w:color w:val="000000" w:themeColor="text1"/>
                <w14:textFill>
                  <w14:solidFill>
                    <w14:schemeClr w14:val="tx1"/>
                  </w14:solidFill>
                </w14:textFill>
              </w:rPr>
            </w:pPr>
            <w:r>
              <w:rPr>
                <w:color w:val="000000" w:themeColor="text1"/>
                <w14:textFill>
                  <w14:solidFill>
                    <w14:schemeClr w14:val="tx1"/>
                  </w14:solidFill>
                </w14:textFill>
              </w:rPr>
              <w:t>厚福沙村</w:t>
            </w:r>
          </w:p>
        </w:tc>
        <w:tc>
          <w:tcPr>
            <w:tcW w:w="720" w:type="dxa"/>
            <w:vAlign w:val="center"/>
          </w:tcPr>
          <w:p w14:paraId="5B9A2B3D">
            <w:pPr>
              <w:pStyle w:val="70"/>
              <w:rPr>
                <w:color w:val="000000" w:themeColor="text1"/>
                <w14:textFill>
                  <w14:solidFill>
                    <w14:schemeClr w14:val="tx1"/>
                  </w14:solidFill>
                </w14:textFill>
              </w:rPr>
            </w:pPr>
            <w:r>
              <w:rPr>
                <w:color w:val="000000" w:themeColor="text1"/>
                <w14:textFill>
                  <w14:solidFill>
                    <w14:schemeClr w14:val="tx1"/>
                  </w14:solidFill>
                </w14:textFill>
              </w:rPr>
              <w:t>W</w:t>
            </w:r>
          </w:p>
        </w:tc>
        <w:tc>
          <w:tcPr>
            <w:tcW w:w="2049" w:type="dxa"/>
            <w:vAlign w:val="center"/>
          </w:tcPr>
          <w:p w14:paraId="0E402DF5">
            <w:pPr>
              <w:pStyle w:val="70"/>
              <w:rPr>
                <w:color w:val="000000" w:themeColor="text1"/>
                <w14:textFill>
                  <w14:solidFill>
                    <w14:schemeClr w14:val="tx1"/>
                  </w14:solidFill>
                </w14:textFill>
              </w:rPr>
            </w:pPr>
            <w:r>
              <w:rPr>
                <w:color w:val="000000" w:themeColor="text1"/>
                <w14:textFill>
                  <w14:solidFill>
                    <w14:schemeClr w14:val="tx1"/>
                  </w14:solidFill>
                </w14:textFill>
              </w:rPr>
              <w:t>2.64</w:t>
            </w:r>
          </w:p>
        </w:tc>
        <w:tc>
          <w:tcPr>
            <w:tcW w:w="1262" w:type="dxa"/>
            <w:vAlign w:val="center"/>
          </w:tcPr>
          <w:p w14:paraId="6935B7AE">
            <w:pPr>
              <w:pStyle w:val="70"/>
              <w:rPr>
                <w:color w:val="000000" w:themeColor="text1"/>
                <w14:textFill>
                  <w14:solidFill>
                    <w14:schemeClr w14:val="tx1"/>
                  </w14:solidFill>
                </w14:textFill>
              </w:rPr>
            </w:pPr>
            <w:r>
              <w:rPr>
                <w:color w:val="000000" w:themeColor="text1"/>
                <w14:textFill>
                  <w14:solidFill>
                    <w14:schemeClr w14:val="tx1"/>
                  </w14:solidFill>
                </w14:textFill>
              </w:rPr>
              <w:t>居住区</w:t>
            </w:r>
          </w:p>
        </w:tc>
        <w:tc>
          <w:tcPr>
            <w:tcW w:w="1042" w:type="dxa"/>
            <w:vAlign w:val="center"/>
          </w:tcPr>
          <w:p w14:paraId="70DF7AA8">
            <w:pPr>
              <w:pStyle w:val="70"/>
              <w:rPr>
                <w:color w:val="000000" w:themeColor="text1"/>
                <w14:textFill>
                  <w14:solidFill>
                    <w14:schemeClr w14:val="tx1"/>
                  </w14:solidFill>
                </w14:textFill>
              </w:rPr>
            </w:pPr>
            <w:r>
              <w:rPr>
                <w:color w:val="000000" w:themeColor="text1"/>
                <w14:textFill>
                  <w14:solidFill>
                    <w14:schemeClr w14:val="tx1"/>
                  </w14:solidFill>
                </w14:textFill>
              </w:rPr>
              <w:t>600</w:t>
            </w:r>
          </w:p>
        </w:tc>
      </w:tr>
      <w:tr w14:paraId="2FD0C97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291" w:type="dxa"/>
            <w:vMerge w:val="continue"/>
            <w:vAlign w:val="center"/>
          </w:tcPr>
          <w:p w14:paraId="6BEC9508">
            <w:pPr>
              <w:pStyle w:val="70"/>
              <w:rPr>
                <w:color w:val="000000" w:themeColor="text1"/>
                <w14:textFill>
                  <w14:solidFill>
                    <w14:schemeClr w14:val="tx1"/>
                  </w14:solidFill>
                </w14:textFill>
              </w:rPr>
            </w:pPr>
          </w:p>
        </w:tc>
        <w:tc>
          <w:tcPr>
            <w:tcW w:w="470" w:type="dxa"/>
            <w:vAlign w:val="center"/>
          </w:tcPr>
          <w:p w14:paraId="6C546855">
            <w:pPr>
              <w:pStyle w:val="70"/>
              <w:numPr>
                <w:ilvl w:val="0"/>
                <w:numId w:val="14"/>
              </w:numPr>
              <w:rPr>
                <w:color w:val="000000" w:themeColor="text1"/>
                <w14:textFill>
                  <w14:solidFill>
                    <w14:schemeClr w14:val="tx1"/>
                  </w14:solidFill>
                </w14:textFill>
              </w:rPr>
            </w:pPr>
          </w:p>
        </w:tc>
        <w:tc>
          <w:tcPr>
            <w:tcW w:w="2208" w:type="dxa"/>
            <w:vAlign w:val="center"/>
          </w:tcPr>
          <w:p w14:paraId="634FA2D8">
            <w:pPr>
              <w:pStyle w:val="70"/>
              <w:rPr>
                <w:color w:val="000000" w:themeColor="text1"/>
                <w14:textFill>
                  <w14:solidFill>
                    <w14:schemeClr w14:val="tx1"/>
                  </w14:solidFill>
                </w14:textFill>
              </w:rPr>
            </w:pPr>
            <w:r>
              <w:rPr>
                <w:color w:val="000000" w:themeColor="text1"/>
                <w14:textFill>
                  <w14:solidFill>
                    <w14:schemeClr w14:val="tx1"/>
                  </w14:solidFill>
                </w14:textFill>
              </w:rPr>
              <w:t>滨海社区</w:t>
            </w:r>
          </w:p>
        </w:tc>
        <w:tc>
          <w:tcPr>
            <w:tcW w:w="720" w:type="dxa"/>
            <w:vAlign w:val="center"/>
          </w:tcPr>
          <w:p w14:paraId="75FB1461">
            <w:pPr>
              <w:pStyle w:val="70"/>
              <w:rPr>
                <w:color w:val="000000" w:themeColor="text1"/>
                <w14:textFill>
                  <w14:solidFill>
                    <w14:schemeClr w14:val="tx1"/>
                  </w14:solidFill>
                </w14:textFill>
              </w:rPr>
            </w:pPr>
            <w:r>
              <w:rPr>
                <w:color w:val="000000" w:themeColor="text1"/>
                <w14:textFill>
                  <w14:solidFill>
                    <w14:schemeClr w14:val="tx1"/>
                  </w14:solidFill>
                </w14:textFill>
              </w:rPr>
              <w:t>NW</w:t>
            </w:r>
          </w:p>
        </w:tc>
        <w:tc>
          <w:tcPr>
            <w:tcW w:w="2049" w:type="dxa"/>
            <w:vAlign w:val="center"/>
          </w:tcPr>
          <w:p w14:paraId="0606E3C1">
            <w:pPr>
              <w:pStyle w:val="70"/>
              <w:rPr>
                <w:color w:val="000000" w:themeColor="text1"/>
                <w14:textFill>
                  <w14:solidFill>
                    <w14:schemeClr w14:val="tx1"/>
                  </w14:solidFill>
                </w14:textFill>
              </w:rPr>
            </w:pPr>
            <w:r>
              <w:rPr>
                <w:color w:val="000000" w:themeColor="text1"/>
                <w14:textFill>
                  <w14:solidFill>
                    <w14:schemeClr w14:val="tx1"/>
                  </w14:solidFill>
                </w14:textFill>
              </w:rPr>
              <w:t>3.38</w:t>
            </w:r>
          </w:p>
        </w:tc>
        <w:tc>
          <w:tcPr>
            <w:tcW w:w="1262" w:type="dxa"/>
            <w:vAlign w:val="center"/>
          </w:tcPr>
          <w:p w14:paraId="7C9F0F1C">
            <w:pPr>
              <w:pStyle w:val="70"/>
              <w:rPr>
                <w:color w:val="000000" w:themeColor="text1"/>
                <w14:textFill>
                  <w14:solidFill>
                    <w14:schemeClr w14:val="tx1"/>
                  </w14:solidFill>
                </w14:textFill>
              </w:rPr>
            </w:pPr>
            <w:r>
              <w:rPr>
                <w:color w:val="000000" w:themeColor="text1"/>
                <w14:textFill>
                  <w14:solidFill>
                    <w14:schemeClr w14:val="tx1"/>
                  </w14:solidFill>
                </w14:textFill>
              </w:rPr>
              <w:t>居住区</w:t>
            </w:r>
          </w:p>
        </w:tc>
        <w:tc>
          <w:tcPr>
            <w:tcW w:w="1042" w:type="dxa"/>
            <w:vAlign w:val="center"/>
          </w:tcPr>
          <w:p w14:paraId="49F0B3FB">
            <w:pPr>
              <w:pStyle w:val="70"/>
              <w:rPr>
                <w:color w:val="000000" w:themeColor="text1"/>
                <w14:textFill>
                  <w14:solidFill>
                    <w14:schemeClr w14:val="tx1"/>
                  </w14:solidFill>
                </w14:textFill>
              </w:rPr>
            </w:pPr>
            <w:r>
              <w:rPr>
                <w:color w:val="000000" w:themeColor="text1"/>
                <w14:textFill>
                  <w14:solidFill>
                    <w14:schemeClr w14:val="tx1"/>
                  </w14:solidFill>
                </w14:textFill>
              </w:rPr>
              <w:t>13590</w:t>
            </w:r>
          </w:p>
        </w:tc>
      </w:tr>
      <w:tr w14:paraId="2FA73C3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291" w:type="dxa"/>
            <w:vMerge w:val="continue"/>
            <w:vAlign w:val="center"/>
          </w:tcPr>
          <w:p w14:paraId="3DC91DF8">
            <w:pPr>
              <w:pStyle w:val="70"/>
              <w:rPr>
                <w:color w:val="000000" w:themeColor="text1"/>
                <w14:textFill>
                  <w14:solidFill>
                    <w14:schemeClr w14:val="tx1"/>
                  </w14:solidFill>
                </w14:textFill>
              </w:rPr>
            </w:pPr>
          </w:p>
        </w:tc>
        <w:tc>
          <w:tcPr>
            <w:tcW w:w="470" w:type="dxa"/>
            <w:vAlign w:val="center"/>
          </w:tcPr>
          <w:p w14:paraId="554FA82D">
            <w:pPr>
              <w:pStyle w:val="70"/>
              <w:numPr>
                <w:ilvl w:val="0"/>
                <w:numId w:val="14"/>
              </w:numPr>
              <w:rPr>
                <w:color w:val="000000" w:themeColor="text1"/>
                <w14:textFill>
                  <w14:solidFill>
                    <w14:schemeClr w14:val="tx1"/>
                  </w14:solidFill>
                </w14:textFill>
              </w:rPr>
            </w:pPr>
          </w:p>
        </w:tc>
        <w:tc>
          <w:tcPr>
            <w:tcW w:w="2208" w:type="dxa"/>
            <w:vAlign w:val="center"/>
          </w:tcPr>
          <w:p w14:paraId="0D95B5F8">
            <w:pPr>
              <w:pStyle w:val="70"/>
              <w:rPr>
                <w:color w:val="000000" w:themeColor="text1"/>
                <w14:textFill>
                  <w14:solidFill>
                    <w14:schemeClr w14:val="tx1"/>
                  </w14:solidFill>
                </w14:textFill>
              </w:rPr>
            </w:pPr>
            <w:r>
              <w:rPr>
                <w:color w:val="000000" w:themeColor="text1"/>
                <w14:textFill>
                  <w14:solidFill>
                    <w14:schemeClr w14:val="tx1"/>
                  </w14:solidFill>
                </w14:textFill>
              </w:rPr>
              <w:t>鰮鱼潭</w:t>
            </w:r>
          </w:p>
        </w:tc>
        <w:tc>
          <w:tcPr>
            <w:tcW w:w="720" w:type="dxa"/>
            <w:vAlign w:val="center"/>
          </w:tcPr>
          <w:p w14:paraId="6458F905">
            <w:pPr>
              <w:pStyle w:val="70"/>
              <w:rPr>
                <w:color w:val="000000" w:themeColor="text1"/>
                <w14:textFill>
                  <w14:solidFill>
                    <w14:schemeClr w14:val="tx1"/>
                  </w14:solidFill>
                </w14:textFill>
              </w:rPr>
            </w:pPr>
            <w:r>
              <w:rPr>
                <w:color w:val="000000" w:themeColor="text1"/>
                <w14:textFill>
                  <w14:solidFill>
                    <w14:schemeClr w14:val="tx1"/>
                  </w14:solidFill>
                </w14:textFill>
              </w:rPr>
              <w:t>NW</w:t>
            </w:r>
          </w:p>
        </w:tc>
        <w:tc>
          <w:tcPr>
            <w:tcW w:w="2049" w:type="dxa"/>
            <w:vAlign w:val="center"/>
          </w:tcPr>
          <w:p w14:paraId="5B5E4299">
            <w:pPr>
              <w:pStyle w:val="70"/>
              <w:rPr>
                <w:color w:val="000000" w:themeColor="text1"/>
                <w14:textFill>
                  <w14:solidFill>
                    <w14:schemeClr w14:val="tx1"/>
                  </w14:solidFill>
                </w14:textFill>
              </w:rPr>
            </w:pPr>
            <w:r>
              <w:rPr>
                <w:color w:val="000000" w:themeColor="text1"/>
                <w14:textFill>
                  <w14:solidFill>
                    <w14:schemeClr w14:val="tx1"/>
                  </w14:solidFill>
                </w14:textFill>
              </w:rPr>
              <w:t>2.90</w:t>
            </w:r>
          </w:p>
        </w:tc>
        <w:tc>
          <w:tcPr>
            <w:tcW w:w="1262" w:type="dxa"/>
            <w:vAlign w:val="center"/>
          </w:tcPr>
          <w:p w14:paraId="63B877FC">
            <w:pPr>
              <w:pStyle w:val="70"/>
              <w:rPr>
                <w:color w:val="000000" w:themeColor="text1"/>
                <w14:textFill>
                  <w14:solidFill>
                    <w14:schemeClr w14:val="tx1"/>
                  </w14:solidFill>
                </w14:textFill>
              </w:rPr>
            </w:pPr>
            <w:r>
              <w:rPr>
                <w:color w:val="000000" w:themeColor="text1"/>
                <w14:textFill>
                  <w14:solidFill>
                    <w14:schemeClr w14:val="tx1"/>
                  </w14:solidFill>
                </w14:textFill>
              </w:rPr>
              <w:t>居住区</w:t>
            </w:r>
          </w:p>
        </w:tc>
        <w:tc>
          <w:tcPr>
            <w:tcW w:w="1042" w:type="dxa"/>
            <w:vAlign w:val="center"/>
          </w:tcPr>
          <w:p w14:paraId="4F483CE5">
            <w:pPr>
              <w:pStyle w:val="70"/>
              <w:rPr>
                <w:color w:val="000000" w:themeColor="text1"/>
                <w14:textFill>
                  <w14:solidFill>
                    <w14:schemeClr w14:val="tx1"/>
                  </w14:solidFill>
                </w14:textFill>
              </w:rPr>
            </w:pPr>
            <w:r>
              <w:rPr>
                <w:color w:val="000000" w:themeColor="text1"/>
                <w14:textFill>
                  <w14:solidFill>
                    <w14:schemeClr w14:val="tx1"/>
                  </w14:solidFill>
                </w14:textFill>
              </w:rPr>
              <w:t>460</w:t>
            </w:r>
          </w:p>
        </w:tc>
      </w:tr>
      <w:tr w14:paraId="56D20DD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291" w:type="dxa"/>
            <w:vMerge w:val="continue"/>
            <w:vAlign w:val="center"/>
          </w:tcPr>
          <w:p w14:paraId="2FB6C902">
            <w:pPr>
              <w:pStyle w:val="70"/>
              <w:rPr>
                <w:color w:val="000000" w:themeColor="text1"/>
                <w14:textFill>
                  <w14:solidFill>
                    <w14:schemeClr w14:val="tx1"/>
                  </w14:solidFill>
                </w14:textFill>
              </w:rPr>
            </w:pPr>
          </w:p>
        </w:tc>
        <w:tc>
          <w:tcPr>
            <w:tcW w:w="470" w:type="dxa"/>
            <w:vAlign w:val="center"/>
          </w:tcPr>
          <w:p w14:paraId="02955B66">
            <w:pPr>
              <w:pStyle w:val="70"/>
              <w:numPr>
                <w:ilvl w:val="0"/>
                <w:numId w:val="14"/>
              </w:numPr>
              <w:rPr>
                <w:color w:val="000000" w:themeColor="text1"/>
                <w14:textFill>
                  <w14:solidFill>
                    <w14:schemeClr w14:val="tx1"/>
                  </w14:solidFill>
                </w14:textFill>
              </w:rPr>
            </w:pPr>
          </w:p>
        </w:tc>
        <w:tc>
          <w:tcPr>
            <w:tcW w:w="2208" w:type="dxa"/>
            <w:vAlign w:val="center"/>
          </w:tcPr>
          <w:p w14:paraId="17818164">
            <w:pPr>
              <w:pStyle w:val="70"/>
              <w:rPr>
                <w:color w:val="000000" w:themeColor="text1"/>
                <w14:textFill>
                  <w14:solidFill>
                    <w14:schemeClr w14:val="tx1"/>
                  </w14:solidFill>
                </w14:textFill>
              </w:rPr>
            </w:pPr>
            <w:r>
              <w:rPr>
                <w:color w:val="000000" w:themeColor="text1"/>
                <w14:textFill>
                  <w14:solidFill>
                    <w14:schemeClr w14:val="tx1"/>
                  </w14:solidFill>
                </w14:textFill>
              </w:rPr>
              <w:t>沙岗头</w:t>
            </w:r>
          </w:p>
        </w:tc>
        <w:tc>
          <w:tcPr>
            <w:tcW w:w="720" w:type="dxa"/>
            <w:vAlign w:val="center"/>
          </w:tcPr>
          <w:p w14:paraId="29308023">
            <w:pPr>
              <w:pStyle w:val="70"/>
              <w:rPr>
                <w:color w:val="000000" w:themeColor="text1"/>
                <w14:textFill>
                  <w14:solidFill>
                    <w14:schemeClr w14:val="tx1"/>
                  </w14:solidFill>
                </w14:textFill>
              </w:rPr>
            </w:pPr>
            <w:r>
              <w:rPr>
                <w:color w:val="000000" w:themeColor="text1"/>
                <w14:textFill>
                  <w14:solidFill>
                    <w14:schemeClr w14:val="tx1"/>
                  </w14:solidFill>
                </w14:textFill>
              </w:rPr>
              <w:t>N</w:t>
            </w:r>
          </w:p>
        </w:tc>
        <w:tc>
          <w:tcPr>
            <w:tcW w:w="2049" w:type="dxa"/>
            <w:vAlign w:val="center"/>
          </w:tcPr>
          <w:p w14:paraId="259F0707">
            <w:pPr>
              <w:pStyle w:val="70"/>
              <w:rPr>
                <w:color w:val="000000" w:themeColor="text1"/>
                <w14:textFill>
                  <w14:solidFill>
                    <w14:schemeClr w14:val="tx1"/>
                  </w14:solidFill>
                </w14:textFill>
              </w:rPr>
            </w:pPr>
            <w:r>
              <w:rPr>
                <w:color w:val="000000" w:themeColor="text1"/>
                <w14:textFill>
                  <w14:solidFill>
                    <w14:schemeClr w14:val="tx1"/>
                  </w14:solidFill>
                </w14:textFill>
              </w:rPr>
              <w:t>2.51</w:t>
            </w:r>
          </w:p>
        </w:tc>
        <w:tc>
          <w:tcPr>
            <w:tcW w:w="1262" w:type="dxa"/>
            <w:vAlign w:val="center"/>
          </w:tcPr>
          <w:p w14:paraId="79320E45">
            <w:pPr>
              <w:pStyle w:val="70"/>
              <w:rPr>
                <w:color w:val="000000" w:themeColor="text1"/>
                <w14:textFill>
                  <w14:solidFill>
                    <w14:schemeClr w14:val="tx1"/>
                  </w14:solidFill>
                </w14:textFill>
              </w:rPr>
            </w:pPr>
            <w:r>
              <w:rPr>
                <w:color w:val="000000" w:themeColor="text1"/>
                <w14:textFill>
                  <w14:solidFill>
                    <w14:schemeClr w14:val="tx1"/>
                  </w14:solidFill>
                </w14:textFill>
              </w:rPr>
              <w:t>居住区</w:t>
            </w:r>
          </w:p>
        </w:tc>
        <w:tc>
          <w:tcPr>
            <w:tcW w:w="1042" w:type="dxa"/>
            <w:vAlign w:val="center"/>
          </w:tcPr>
          <w:p w14:paraId="012FFA67">
            <w:pPr>
              <w:pStyle w:val="70"/>
              <w:rPr>
                <w:color w:val="000000" w:themeColor="text1"/>
                <w14:textFill>
                  <w14:solidFill>
                    <w14:schemeClr w14:val="tx1"/>
                  </w14:solidFill>
                </w14:textFill>
              </w:rPr>
            </w:pPr>
            <w:r>
              <w:rPr>
                <w:color w:val="000000" w:themeColor="text1"/>
                <w14:textFill>
                  <w14:solidFill>
                    <w14:schemeClr w14:val="tx1"/>
                  </w14:solidFill>
                </w14:textFill>
              </w:rPr>
              <w:t>330</w:t>
            </w:r>
          </w:p>
        </w:tc>
      </w:tr>
      <w:tr w14:paraId="0928E2F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291" w:type="dxa"/>
            <w:vMerge w:val="continue"/>
            <w:vAlign w:val="center"/>
          </w:tcPr>
          <w:p w14:paraId="5D37D811">
            <w:pPr>
              <w:pStyle w:val="70"/>
              <w:rPr>
                <w:color w:val="000000" w:themeColor="text1"/>
                <w14:textFill>
                  <w14:solidFill>
                    <w14:schemeClr w14:val="tx1"/>
                  </w14:solidFill>
                </w14:textFill>
              </w:rPr>
            </w:pPr>
          </w:p>
        </w:tc>
        <w:tc>
          <w:tcPr>
            <w:tcW w:w="470" w:type="dxa"/>
            <w:vAlign w:val="center"/>
          </w:tcPr>
          <w:p w14:paraId="6D7A0F6B">
            <w:pPr>
              <w:pStyle w:val="70"/>
              <w:numPr>
                <w:ilvl w:val="0"/>
                <w:numId w:val="14"/>
              </w:numPr>
              <w:rPr>
                <w:color w:val="000000" w:themeColor="text1"/>
                <w14:textFill>
                  <w14:solidFill>
                    <w14:schemeClr w14:val="tx1"/>
                  </w14:solidFill>
                </w14:textFill>
              </w:rPr>
            </w:pPr>
          </w:p>
        </w:tc>
        <w:tc>
          <w:tcPr>
            <w:tcW w:w="2208" w:type="dxa"/>
            <w:vAlign w:val="center"/>
          </w:tcPr>
          <w:p w14:paraId="549D27D8">
            <w:pPr>
              <w:pStyle w:val="70"/>
              <w:rPr>
                <w:color w:val="000000" w:themeColor="text1"/>
                <w14:textFill>
                  <w14:solidFill>
                    <w14:schemeClr w14:val="tx1"/>
                  </w14:solidFill>
                </w14:textFill>
              </w:rPr>
            </w:pPr>
            <w:r>
              <w:rPr>
                <w:color w:val="000000" w:themeColor="text1"/>
                <w14:textFill>
                  <w14:solidFill>
                    <w14:schemeClr w14:val="tx1"/>
                  </w14:solidFill>
                </w14:textFill>
              </w:rPr>
              <w:t>旧村</w:t>
            </w:r>
          </w:p>
        </w:tc>
        <w:tc>
          <w:tcPr>
            <w:tcW w:w="720" w:type="dxa"/>
            <w:vAlign w:val="center"/>
          </w:tcPr>
          <w:p w14:paraId="66B7CFE2">
            <w:pPr>
              <w:pStyle w:val="70"/>
              <w:rPr>
                <w:color w:val="000000" w:themeColor="text1"/>
                <w14:textFill>
                  <w14:solidFill>
                    <w14:schemeClr w14:val="tx1"/>
                  </w14:solidFill>
                </w14:textFill>
              </w:rPr>
            </w:pPr>
            <w:r>
              <w:rPr>
                <w:color w:val="000000" w:themeColor="text1"/>
                <w14:textFill>
                  <w14:solidFill>
                    <w14:schemeClr w14:val="tx1"/>
                  </w14:solidFill>
                </w14:textFill>
              </w:rPr>
              <w:t>N</w:t>
            </w:r>
          </w:p>
        </w:tc>
        <w:tc>
          <w:tcPr>
            <w:tcW w:w="2049" w:type="dxa"/>
            <w:vAlign w:val="center"/>
          </w:tcPr>
          <w:p w14:paraId="7511D5AC">
            <w:pPr>
              <w:pStyle w:val="70"/>
              <w:rPr>
                <w:color w:val="000000" w:themeColor="text1"/>
                <w14:textFill>
                  <w14:solidFill>
                    <w14:schemeClr w14:val="tx1"/>
                  </w14:solidFill>
                </w14:textFill>
              </w:rPr>
            </w:pPr>
            <w:r>
              <w:rPr>
                <w:color w:val="000000" w:themeColor="text1"/>
                <w14:textFill>
                  <w14:solidFill>
                    <w14:schemeClr w14:val="tx1"/>
                  </w14:solidFill>
                </w14:textFill>
              </w:rPr>
              <w:t>2.59</w:t>
            </w:r>
          </w:p>
        </w:tc>
        <w:tc>
          <w:tcPr>
            <w:tcW w:w="1262" w:type="dxa"/>
            <w:vAlign w:val="center"/>
          </w:tcPr>
          <w:p w14:paraId="7703435F">
            <w:pPr>
              <w:pStyle w:val="70"/>
              <w:rPr>
                <w:color w:val="000000" w:themeColor="text1"/>
                <w14:textFill>
                  <w14:solidFill>
                    <w14:schemeClr w14:val="tx1"/>
                  </w14:solidFill>
                </w14:textFill>
              </w:rPr>
            </w:pPr>
            <w:r>
              <w:rPr>
                <w:color w:val="000000" w:themeColor="text1"/>
                <w14:textFill>
                  <w14:solidFill>
                    <w14:schemeClr w14:val="tx1"/>
                  </w14:solidFill>
                </w14:textFill>
              </w:rPr>
              <w:t>居住区</w:t>
            </w:r>
          </w:p>
        </w:tc>
        <w:tc>
          <w:tcPr>
            <w:tcW w:w="1042" w:type="dxa"/>
            <w:vAlign w:val="center"/>
          </w:tcPr>
          <w:p w14:paraId="0CADCD70">
            <w:pPr>
              <w:pStyle w:val="70"/>
              <w:rPr>
                <w:color w:val="000000" w:themeColor="text1"/>
                <w14:textFill>
                  <w14:solidFill>
                    <w14:schemeClr w14:val="tx1"/>
                  </w14:solidFill>
                </w14:textFill>
              </w:rPr>
            </w:pPr>
            <w:r>
              <w:rPr>
                <w:color w:val="000000" w:themeColor="text1"/>
                <w14:textFill>
                  <w14:solidFill>
                    <w14:schemeClr w14:val="tx1"/>
                  </w14:solidFill>
                </w14:textFill>
              </w:rPr>
              <w:t>270</w:t>
            </w:r>
          </w:p>
        </w:tc>
      </w:tr>
      <w:tr w14:paraId="76EC215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291" w:type="dxa"/>
            <w:vMerge w:val="continue"/>
            <w:vAlign w:val="center"/>
          </w:tcPr>
          <w:p w14:paraId="2462FF51">
            <w:pPr>
              <w:pStyle w:val="70"/>
              <w:rPr>
                <w:color w:val="000000" w:themeColor="text1"/>
                <w14:textFill>
                  <w14:solidFill>
                    <w14:schemeClr w14:val="tx1"/>
                  </w14:solidFill>
                </w14:textFill>
              </w:rPr>
            </w:pPr>
          </w:p>
        </w:tc>
        <w:tc>
          <w:tcPr>
            <w:tcW w:w="470" w:type="dxa"/>
            <w:vAlign w:val="center"/>
          </w:tcPr>
          <w:p w14:paraId="72AFE7E9">
            <w:pPr>
              <w:pStyle w:val="70"/>
              <w:numPr>
                <w:ilvl w:val="0"/>
                <w:numId w:val="14"/>
              </w:numPr>
              <w:rPr>
                <w:color w:val="000000" w:themeColor="text1"/>
                <w14:textFill>
                  <w14:solidFill>
                    <w14:schemeClr w14:val="tx1"/>
                  </w14:solidFill>
                </w14:textFill>
              </w:rPr>
            </w:pPr>
          </w:p>
        </w:tc>
        <w:tc>
          <w:tcPr>
            <w:tcW w:w="2208" w:type="dxa"/>
            <w:vAlign w:val="center"/>
          </w:tcPr>
          <w:p w14:paraId="3E25A49E">
            <w:pPr>
              <w:pStyle w:val="70"/>
              <w:rPr>
                <w:color w:val="000000" w:themeColor="text1"/>
                <w14:textFill>
                  <w14:solidFill>
                    <w14:schemeClr w14:val="tx1"/>
                  </w14:solidFill>
                </w14:textFill>
              </w:rPr>
            </w:pPr>
            <w:r>
              <w:rPr>
                <w:color w:val="000000" w:themeColor="text1"/>
                <w14:textFill>
                  <w14:solidFill>
                    <w14:schemeClr w14:val="tx1"/>
                  </w14:solidFill>
                </w14:textFill>
              </w:rPr>
              <w:t>金鼓村</w:t>
            </w:r>
          </w:p>
        </w:tc>
        <w:tc>
          <w:tcPr>
            <w:tcW w:w="720" w:type="dxa"/>
            <w:vAlign w:val="center"/>
          </w:tcPr>
          <w:p w14:paraId="20A6529F">
            <w:pPr>
              <w:pStyle w:val="70"/>
              <w:rPr>
                <w:color w:val="000000" w:themeColor="text1"/>
                <w14:textFill>
                  <w14:solidFill>
                    <w14:schemeClr w14:val="tx1"/>
                  </w14:solidFill>
                </w14:textFill>
              </w:rPr>
            </w:pPr>
            <w:r>
              <w:rPr>
                <w:color w:val="000000" w:themeColor="text1"/>
                <w14:textFill>
                  <w14:solidFill>
                    <w14:schemeClr w14:val="tx1"/>
                  </w14:solidFill>
                </w14:textFill>
              </w:rPr>
              <w:t>NE</w:t>
            </w:r>
          </w:p>
        </w:tc>
        <w:tc>
          <w:tcPr>
            <w:tcW w:w="2049" w:type="dxa"/>
            <w:vAlign w:val="center"/>
          </w:tcPr>
          <w:p w14:paraId="61CDFFDA">
            <w:pPr>
              <w:pStyle w:val="70"/>
              <w:rPr>
                <w:color w:val="000000" w:themeColor="text1"/>
                <w14:textFill>
                  <w14:solidFill>
                    <w14:schemeClr w14:val="tx1"/>
                  </w14:solidFill>
                </w14:textFill>
              </w:rPr>
            </w:pPr>
            <w:r>
              <w:rPr>
                <w:color w:val="000000" w:themeColor="text1"/>
                <w14:textFill>
                  <w14:solidFill>
                    <w14:schemeClr w14:val="tx1"/>
                  </w14:solidFill>
                </w14:textFill>
              </w:rPr>
              <w:t>2.60</w:t>
            </w:r>
          </w:p>
        </w:tc>
        <w:tc>
          <w:tcPr>
            <w:tcW w:w="1262" w:type="dxa"/>
            <w:vAlign w:val="center"/>
          </w:tcPr>
          <w:p w14:paraId="239DC36E">
            <w:pPr>
              <w:pStyle w:val="70"/>
              <w:rPr>
                <w:color w:val="000000" w:themeColor="text1"/>
                <w14:textFill>
                  <w14:solidFill>
                    <w14:schemeClr w14:val="tx1"/>
                  </w14:solidFill>
                </w14:textFill>
              </w:rPr>
            </w:pPr>
            <w:r>
              <w:rPr>
                <w:color w:val="000000" w:themeColor="text1"/>
                <w14:textFill>
                  <w14:solidFill>
                    <w14:schemeClr w14:val="tx1"/>
                  </w14:solidFill>
                </w14:textFill>
              </w:rPr>
              <w:t>居住区</w:t>
            </w:r>
          </w:p>
        </w:tc>
        <w:tc>
          <w:tcPr>
            <w:tcW w:w="1042" w:type="dxa"/>
            <w:vAlign w:val="center"/>
          </w:tcPr>
          <w:p w14:paraId="0AF8AA8A">
            <w:pPr>
              <w:pStyle w:val="70"/>
              <w:rPr>
                <w:color w:val="000000" w:themeColor="text1"/>
                <w14:textFill>
                  <w14:solidFill>
                    <w14:schemeClr w14:val="tx1"/>
                  </w14:solidFill>
                </w14:textFill>
              </w:rPr>
            </w:pPr>
            <w:r>
              <w:rPr>
                <w:color w:val="000000" w:themeColor="text1"/>
                <w14:textFill>
                  <w14:solidFill>
                    <w14:schemeClr w14:val="tx1"/>
                  </w14:solidFill>
                </w14:textFill>
              </w:rPr>
              <w:t>1300</w:t>
            </w:r>
          </w:p>
        </w:tc>
      </w:tr>
      <w:tr w14:paraId="3086B1F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291" w:type="dxa"/>
            <w:vMerge w:val="continue"/>
            <w:vAlign w:val="center"/>
          </w:tcPr>
          <w:p w14:paraId="05F1E021">
            <w:pPr>
              <w:pStyle w:val="70"/>
              <w:rPr>
                <w:color w:val="000000" w:themeColor="text1"/>
                <w14:textFill>
                  <w14:solidFill>
                    <w14:schemeClr w14:val="tx1"/>
                  </w14:solidFill>
                </w14:textFill>
              </w:rPr>
            </w:pPr>
          </w:p>
        </w:tc>
        <w:tc>
          <w:tcPr>
            <w:tcW w:w="470" w:type="dxa"/>
            <w:vAlign w:val="center"/>
          </w:tcPr>
          <w:p w14:paraId="02C262EC">
            <w:pPr>
              <w:pStyle w:val="70"/>
              <w:numPr>
                <w:ilvl w:val="0"/>
                <w:numId w:val="14"/>
              </w:numPr>
              <w:rPr>
                <w:color w:val="000000" w:themeColor="text1"/>
                <w14:textFill>
                  <w14:solidFill>
                    <w14:schemeClr w14:val="tx1"/>
                  </w14:solidFill>
                </w14:textFill>
              </w:rPr>
            </w:pPr>
          </w:p>
        </w:tc>
        <w:tc>
          <w:tcPr>
            <w:tcW w:w="2208" w:type="dxa"/>
            <w:vAlign w:val="bottom"/>
          </w:tcPr>
          <w:p w14:paraId="33D2079F">
            <w:pPr>
              <w:pStyle w:val="70"/>
              <w:rPr>
                <w:color w:val="000000" w:themeColor="text1"/>
                <w14:textFill>
                  <w14:solidFill>
                    <w14:schemeClr w14:val="tx1"/>
                  </w14:solidFill>
                </w14:textFill>
              </w:rPr>
            </w:pPr>
            <w:r>
              <w:rPr>
                <w:color w:val="000000" w:themeColor="text1"/>
                <w14:textFill>
                  <w14:solidFill>
                    <w14:schemeClr w14:val="tx1"/>
                  </w14:solidFill>
                </w14:textFill>
              </w:rPr>
              <w:t>竹笼</w:t>
            </w:r>
          </w:p>
        </w:tc>
        <w:tc>
          <w:tcPr>
            <w:tcW w:w="720" w:type="dxa"/>
            <w:vAlign w:val="center"/>
          </w:tcPr>
          <w:p w14:paraId="7FEADA6E">
            <w:pPr>
              <w:pStyle w:val="70"/>
              <w:rPr>
                <w:color w:val="000000" w:themeColor="text1"/>
                <w14:textFill>
                  <w14:solidFill>
                    <w14:schemeClr w14:val="tx1"/>
                  </w14:solidFill>
                </w14:textFill>
              </w:rPr>
            </w:pPr>
            <w:r>
              <w:rPr>
                <w:color w:val="000000" w:themeColor="text1"/>
                <w14:textFill>
                  <w14:solidFill>
                    <w14:schemeClr w14:val="tx1"/>
                  </w14:solidFill>
                </w14:textFill>
              </w:rPr>
              <w:t xml:space="preserve">NW </w:t>
            </w:r>
          </w:p>
        </w:tc>
        <w:tc>
          <w:tcPr>
            <w:tcW w:w="2049" w:type="dxa"/>
            <w:vAlign w:val="bottom"/>
          </w:tcPr>
          <w:p w14:paraId="6BF6B5EF">
            <w:pPr>
              <w:pStyle w:val="70"/>
              <w:rPr>
                <w:color w:val="000000" w:themeColor="text1"/>
                <w14:textFill>
                  <w14:solidFill>
                    <w14:schemeClr w14:val="tx1"/>
                  </w14:solidFill>
                </w14:textFill>
              </w:rPr>
            </w:pPr>
            <w:r>
              <w:rPr>
                <w:color w:val="000000" w:themeColor="text1"/>
                <w14:textFill>
                  <w14:solidFill>
                    <w14:schemeClr w14:val="tx1"/>
                  </w14:solidFill>
                </w14:textFill>
              </w:rPr>
              <w:t>2.92</w:t>
            </w:r>
          </w:p>
        </w:tc>
        <w:tc>
          <w:tcPr>
            <w:tcW w:w="1262" w:type="dxa"/>
            <w:vAlign w:val="center"/>
          </w:tcPr>
          <w:p w14:paraId="25F3E4C3">
            <w:pPr>
              <w:pStyle w:val="70"/>
              <w:rPr>
                <w:color w:val="000000" w:themeColor="text1"/>
                <w14:textFill>
                  <w14:solidFill>
                    <w14:schemeClr w14:val="tx1"/>
                  </w14:solidFill>
                </w14:textFill>
              </w:rPr>
            </w:pPr>
            <w:r>
              <w:rPr>
                <w:color w:val="000000" w:themeColor="text1"/>
                <w14:textFill>
                  <w14:solidFill>
                    <w14:schemeClr w14:val="tx1"/>
                  </w14:solidFill>
                </w14:textFill>
              </w:rPr>
              <w:t>居住区</w:t>
            </w:r>
          </w:p>
        </w:tc>
        <w:tc>
          <w:tcPr>
            <w:tcW w:w="1042" w:type="dxa"/>
            <w:vAlign w:val="center"/>
          </w:tcPr>
          <w:p w14:paraId="79CF78ED">
            <w:pPr>
              <w:pStyle w:val="70"/>
              <w:rPr>
                <w:color w:val="000000" w:themeColor="text1"/>
                <w14:textFill>
                  <w14:solidFill>
                    <w14:schemeClr w14:val="tx1"/>
                  </w14:solidFill>
                </w14:textFill>
              </w:rPr>
            </w:pPr>
            <w:r>
              <w:rPr>
                <w:color w:val="000000" w:themeColor="text1"/>
                <w14:textFill>
                  <w14:solidFill>
                    <w14:schemeClr w14:val="tx1"/>
                  </w14:solidFill>
                </w14:textFill>
              </w:rPr>
              <w:t>270</w:t>
            </w:r>
          </w:p>
        </w:tc>
      </w:tr>
      <w:tr w14:paraId="3683CD7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291" w:type="dxa"/>
            <w:vMerge w:val="continue"/>
            <w:vAlign w:val="center"/>
          </w:tcPr>
          <w:p w14:paraId="249E4CA0">
            <w:pPr>
              <w:pStyle w:val="70"/>
              <w:rPr>
                <w:color w:val="000000" w:themeColor="text1"/>
                <w14:textFill>
                  <w14:solidFill>
                    <w14:schemeClr w14:val="tx1"/>
                  </w14:solidFill>
                </w14:textFill>
              </w:rPr>
            </w:pPr>
          </w:p>
        </w:tc>
        <w:tc>
          <w:tcPr>
            <w:tcW w:w="470" w:type="dxa"/>
            <w:vAlign w:val="center"/>
          </w:tcPr>
          <w:p w14:paraId="11BF04C0">
            <w:pPr>
              <w:pStyle w:val="70"/>
              <w:numPr>
                <w:ilvl w:val="0"/>
                <w:numId w:val="14"/>
              </w:numPr>
              <w:rPr>
                <w:color w:val="000000" w:themeColor="text1"/>
                <w14:textFill>
                  <w14:solidFill>
                    <w14:schemeClr w14:val="tx1"/>
                  </w14:solidFill>
                </w14:textFill>
              </w:rPr>
            </w:pPr>
          </w:p>
        </w:tc>
        <w:tc>
          <w:tcPr>
            <w:tcW w:w="2208" w:type="dxa"/>
            <w:vAlign w:val="bottom"/>
          </w:tcPr>
          <w:p w14:paraId="3FACCF95">
            <w:pPr>
              <w:pStyle w:val="70"/>
              <w:rPr>
                <w:color w:val="000000" w:themeColor="text1"/>
                <w14:textFill>
                  <w14:solidFill>
                    <w14:schemeClr w14:val="tx1"/>
                  </w14:solidFill>
                </w14:textFill>
              </w:rPr>
            </w:pPr>
            <w:r>
              <w:rPr>
                <w:color w:val="000000" w:themeColor="text1"/>
                <w14:textFill>
                  <w14:solidFill>
                    <w14:schemeClr w14:val="tx1"/>
                  </w14:solidFill>
                </w14:textFill>
              </w:rPr>
              <w:t>佛子坳</w:t>
            </w:r>
          </w:p>
        </w:tc>
        <w:tc>
          <w:tcPr>
            <w:tcW w:w="720" w:type="dxa"/>
            <w:vAlign w:val="center"/>
          </w:tcPr>
          <w:p w14:paraId="7EFB98C2">
            <w:pPr>
              <w:pStyle w:val="70"/>
              <w:rPr>
                <w:color w:val="000000" w:themeColor="text1"/>
                <w14:textFill>
                  <w14:solidFill>
                    <w14:schemeClr w14:val="tx1"/>
                  </w14:solidFill>
                </w14:textFill>
              </w:rPr>
            </w:pPr>
            <w:r>
              <w:rPr>
                <w:color w:val="000000" w:themeColor="text1"/>
                <w14:textFill>
                  <w14:solidFill>
                    <w14:schemeClr w14:val="tx1"/>
                  </w14:solidFill>
                </w14:textFill>
              </w:rPr>
              <w:t>NW</w:t>
            </w:r>
          </w:p>
        </w:tc>
        <w:tc>
          <w:tcPr>
            <w:tcW w:w="2049" w:type="dxa"/>
            <w:vAlign w:val="bottom"/>
          </w:tcPr>
          <w:p w14:paraId="6371B319">
            <w:pPr>
              <w:pStyle w:val="70"/>
              <w:rPr>
                <w:color w:val="000000" w:themeColor="text1"/>
                <w14:textFill>
                  <w14:solidFill>
                    <w14:schemeClr w14:val="tx1"/>
                  </w14:solidFill>
                </w14:textFill>
              </w:rPr>
            </w:pPr>
            <w:r>
              <w:rPr>
                <w:color w:val="000000" w:themeColor="text1"/>
                <w14:textFill>
                  <w14:solidFill>
                    <w14:schemeClr w14:val="tx1"/>
                  </w14:solidFill>
                </w14:textFill>
              </w:rPr>
              <w:t>3.46</w:t>
            </w:r>
          </w:p>
        </w:tc>
        <w:tc>
          <w:tcPr>
            <w:tcW w:w="1262" w:type="dxa"/>
            <w:vAlign w:val="center"/>
          </w:tcPr>
          <w:p w14:paraId="1834B9F5">
            <w:pPr>
              <w:pStyle w:val="70"/>
              <w:rPr>
                <w:color w:val="000000" w:themeColor="text1"/>
                <w14:textFill>
                  <w14:solidFill>
                    <w14:schemeClr w14:val="tx1"/>
                  </w14:solidFill>
                </w14:textFill>
              </w:rPr>
            </w:pPr>
            <w:r>
              <w:rPr>
                <w:color w:val="000000" w:themeColor="text1"/>
                <w14:textFill>
                  <w14:solidFill>
                    <w14:schemeClr w14:val="tx1"/>
                  </w14:solidFill>
                </w14:textFill>
              </w:rPr>
              <w:t>居住区</w:t>
            </w:r>
          </w:p>
        </w:tc>
        <w:tc>
          <w:tcPr>
            <w:tcW w:w="1042" w:type="dxa"/>
            <w:vAlign w:val="center"/>
          </w:tcPr>
          <w:p w14:paraId="045F8FC0">
            <w:pPr>
              <w:pStyle w:val="70"/>
              <w:rPr>
                <w:color w:val="000000" w:themeColor="text1"/>
                <w14:textFill>
                  <w14:solidFill>
                    <w14:schemeClr w14:val="tx1"/>
                  </w14:solidFill>
                </w14:textFill>
              </w:rPr>
            </w:pPr>
            <w:r>
              <w:rPr>
                <w:color w:val="000000" w:themeColor="text1"/>
                <w14:textFill>
                  <w14:solidFill>
                    <w14:schemeClr w14:val="tx1"/>
                  </w14:solidFill>
                </w14:textFill>
              </w:rPr>
              <w:t>900</w:t>
            </w:r>
          </w:p>
        </w:tc>
      </w:tr>
      <w:tr w14:paraId="4B0DF8D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291" w:type="dxa"/>
            <w:vMerge w:val="continue"/>
            <w:vAlign w:val="center"/>
          </w:tcPr>
          <w:p w14:paraId="29C9179A">
            <w:pPr>
              <w:pStyle w:val="70"/>
              <w:rPr>
                <w:color w:val="000000" w:themeColor="text1"/>
                <w14:textFill>
                  <w14:solidFill>
                    <w14:schemeClr w14:val="tx1"/>
                  </w14:solidFill>
                </w14:textFill>
              </w:rPr>
            </w:pPr>
          </w:p>
        </w:tc>
        <w:tc>
          <w:tcPr>
            <w:tcW w:w="470" w:type="dxa"/>
            <w:vAlign w:val="center"/>
          </w:tcPr>
          <w:p w14:paraId="7CA4B3EF">
            <w:pPr>
              <w:pStyle w:val="70"/>
              <w:numPr>
                <w:ilvl w:val="0"/>
                <w:numId w:val="14"/>
              </w:numPr>
              <w:rPr>
                <w:color w:val="000000" w:themeColor="text1"/>
                <w14:textFill>
                  <w14:solidFill>
                    <w14:schemeClr w14:val="tx1"/>
                  </w14:solidFill>
                </w14:textFill>
              </w:rPr>
            </w:pPr>
          </w:p>
        </w:tc>
        <w:tc>
          <w:tcPr>
            <w:tcW w:w="2208" w:type="dxa"/>
            <w:vAlign w:val="bottom"/>
          </w:tcPr>
          <w:p w14:paraId="61896D5D">
            <w:pPr>
              <w:pStyle w:val="70"/>
              <w:rPr>
                <w:color w:val="000000" w:themeColor="text1"/>
                <w14:textFill>
                  <w14:solidFill>
                    <w14:schemeClr w14:val="tx1"/>
                  </w14:solidFill>
                </w14:textFill>
              </w:rPr>
            </w:pPr>
            <w:r>
              <w:rPr>
                <w:color w:val="000000" w:themeColor="text1"/>
                <w14:textFill>
                  <w14:solidFill>
                    <w14:schemeClr w14:val="tx1"/>
                  </w14:solidFill>
                </w14:textFill>
              </w:rPr>
              <w:t>第一垌</w:t>
            </w:r>
          </w:p>
        </w:tc>
        <w:tc>
          <w:tcPr>
            <w:tcW w:w="720" w:type="dxa"/>
            <w:vAlign w:val="center"/>
          </w:tcPr>
          <w:p w14:paraId="1B387603">
            <w:pPr>
              <w:pStyle w:val="70"/>
              <w:rPr>
                <w:color w:val="000000" w:themeColor="text1"/>
                <w14:textFill>
                  <w14:solidFill>
                    <w14:schemeClr w14:val="tx1"/>
                  </w14:solidFill>
                </w14:textFill>
              </w:rPr>
            </w:pPr>
            <w:r>
              <w:rPr>
                <w:color w:val="000000" w:themeColor="text1"/>
                <w14:textFill>
                  <w14:solidFill>
                    <w14:schemeClr w14:val="tx1"/>
                  </w14:solidFill>
                </w14:textFill>
              </w:rPr>
              <w:t>NE</w:t>
            </w:r>
          </w:p>
        </w:tc>
        <w:tc>
          <w:tcPr>
            <w:tcW w:w="2049" w:type="dxa"/>
            <w:vAlign w:val="bottom"/>
          </w:tcPr>
          <w:p w14:paraId="5EEC5890">
            <w:pPr>
              <w:pStyle w:val="70"/>
              <w:rPr>
                <w:color w:val="000000" w:themeColor="text1"/>
                <w14:textFill>
                  <w14:solidFill>
                    <w14:schemeClr w14:val="tx1"/>
                  </w14:solidFill>
                </w14:textFill>
              </w:rPr>
            </w:pPr>
            <w:r>
              <w:rPr>
                <w:color w:val="000000" w:themeColor="text1"/>
                <w14:textFill>
                  <w14:solidFill>
                    <w14:schemeClr w14:val="tx1"/>
                  </w14:solidFill>
                </w14:textFill>
              </w:rPr>
              <w:t>3.47</w:t>
            </w:r>
          </w:p>
        </w:tc>
        <w:tc>
          <w:tcPr>
            <w:tcW w:w="1262" w:type="dxa"/>
            <w:vAlign w:val="center"/>
          </w:tcPr>
          <w:p w14:paraId="2C1E9F5F">
            <w:pPr>
              <w:pStyle w:val="70"/>
              <w:rPr>
                <w:color w:val="000000" w:themeColor="text1"/>
                <w14:textFill>
                  <w14:solidFill>
                    <w14:schemeClr w14:val="tx1"/>
                  </w14:solidFill>
                </w14:textFill>
              </w:rPr>
            </w:pPr>
            <w:r>
              <w:rPr>
                <w:color w:val="000000" w:themeColor="text1"/>
                <w14:textFill>
                  <w14:solidFill>
                    <w14:schemeClr w14:val="tx1"/>
                  </w14:solidFill>
                </w14:textFill>
              </w:rPr>
              <w:t>居住区</w:t>
            </w:r>
          </w:p>
        </w:tc>
        <w:tc>
          <w:tcPr>
            <w:tcW w:w="1042" w:type="dxa"/>
            <w:vAlign w:val="center"/>
          </w:tcPr>
          <w:p w14:paraId="5701C93B">
            <w:pPr>
              <w:pStyle w:val="70"/>
              <w:rPr>
                <w:color w:val="000000" w:themeColor="text1"/>
                <w14:textFill>
                  <w14:solidFill>
                    <w14:schemeClr w14:val="tx1"/>
                  </w14:solidFill>
                </w14:textFill>
              </w:rPr>
            </w:pPr>
            <w:r>
              <w:rPr>
                <w:color w:val="000000" w:themeColor="text1"/>
                <w14:textFill>
                  <w14:solidFill>
                    <w14:schemeClr w14:val="tx1"/>
                  </w14:solidFill>
                </w14:textFill>
              </w:rPr>
              <w:t>300</w:t>
            </w:r>
          </w:p>
        </w:tc>
      </w:tr>
      <w:tr w14:paraId="6FF5F48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291" w:type="dxa"/>
            <w:vMerge w:val="continue"/>
            <w:vAlign w:val="center"/>
          </w:tcPr>
          <w:p w14:paraId="0CD5D6DF">
            <w:pPr>
              <w:pStyle w:val="70"/>
              <w:rPr>
                <w:color w:val="000000" w:themeColor="text1"/>
                <w14:textFill>
                  <w14:solidFill>
                    <w14:schemeClr w14:val="tx1"/>
                  </w14:solidFill>
                </w14:textFill>
              </w:rPr>
            </w:pPr>
          </w:p>
        </w:tc>
        <w:tc>
          <w:tcPr>
            <w:tcW w:w="470" w:type="dxa"/>
            <w:vAlign w:val="center"/>
          </w:tcPr>
          <w:p w14:paraId="794E68F7">
            <w:pPr>
              <w:pStyle w:val="70"/>
              <w:numPr>
                <w:ilvl w:val="0"/>
                <w:numId w:val="14"/>
              </w:numPr>
              <w:rPr>
                <w:color w:val="000000" w:themeColor="text1"/>
                <w14:textFill>
                  <w14:solidFill>
                    <w14:schemeClr w14:val="tx1"/>
                  </w14:solidFill>
                </w14:textFill>
              </w:rPr>
            </w:pPr>
          </w:p>
        </w:tc>
        <w:tc>
          <w:tcPr>
            <w:tcW w:w="2208" w:type="dxa"/>
            <w:vAlign w:val="bottom"/>
          </w:tcPr>
          <w:p w14:paraId="36056E2F">
            <w:pPr>
              <w:pStyle w:val="70"/>
              <w:rPr>
                <w:color w:val="000000" w:themeColor="text1"/>
                <w14:textFill>
                  <w14:solidFill>
                    <w14:schemeClr w14:val="tx1"/>
                  </w14:solidFill>
                </w14:textFill>
              </w:rPr>
            </w:pPr>
            <w:r>
              <w:rPr>
                <w:color w:val="000000" w:themeColor="text1"/>
                <w14:textFill>
                  <w14:solidFill>
                    <w14:schemeClr w14:val="tx1"/>
                  </w14:solidFill>
                </w14:textFill>
              </w:rPr>
              <w:t>鸡墩头</w:t>
            </w:r>
          </w:p>
        </w:tc>
        <w:tc>
          <w:tcPr>
            <w:tcW w:w="720" w:type="dxa"/>
            <w:vAlign w:val="center"/>
          </w:tcPr>
          <w:p w14:paraId="09A31B12">
            <w:pPr>
              <w:pStyle w:val="70"/>
              <w:rPr>
                <w:color w:val="000000" w:themeColor="text1"/>
                <w14:textFill>
                  <w14:solidFill>
                    <w14:schemeClr w14:val="tx1"/>
                  </w14:solidFill>
                </w14:textFill>
              </w:rPr>
            </w:pPr>
            <w:r>
              <w:rPr>
                <w:color w:val="000000" w:themeColor="text1"/>
                <w14:textFill>
                  <w14:solidFill>
                    <w14:schemeClr w14:val="tx1"/>
                  </w14:solidFill>
                </w14:textFill>
              </w:rPr>
              <w:t xml:space="preserve">E </w:t>
            </w:r>
          </w:p>
        </w:tc>
        <w:tc>
          <w:tcPr>
            <w:tcW w:w="2049" w:type="dxa"/>
            <w:vAlign w:val="bottom"/>
          </w:tcPr>
          <w:p w14:paraId="53EB46AE">
            <w:pPr>
              <w:pStyle w:val="70"/>
              <w:rPr>
                <w:color w:val="000000" w:themeColor="text1"/>
                <w14:textFill>
                  <w14:solidFill>
                    <w14:schemeClr w14:val="tx1"/>
                  </w14:solidFill>
                </w14:textFill>
              </w:rPr>
            </w:pPr>
            <w:r>
              <w:rPr>
                <w:color w:val="000000" w:themeColor="text1"/>
                <w14:textFill>
                  <w14:solidFill>
                    <w14:schemeClr w14:val="tx1"/>
                  </w14:solidFill>
                </w14:textFill>
              </w:rPr>
              <w:t>3.85</w:t>
            </w:r>
          </w:p>
        </w:tc>
        <w:tc>
          <w:tcPr>
            <w:tcW w:w="1262" w:type="dxa"/>
            <w:vAlign w:val="center"/>
          </w:tcPr>
          <w:p w14:paraId="17FE0072">
            <w:pPr>
              <w:pStyle w:val="70"/>
              <w:rPr>
                <w:color w:val="000000" w:themeColor="text1"/>
                <w14:textFill>
                  <w14:solidFill>
                    <w14:schemeClr w14:val="tx1"/>
                  </w14:solidFill>
                </w14:textFill>
              </w:rPr>
            </w:pPr>
            <w:r>
              <w:rPr>
                <w:color w:val="000000" w:themeColor="text1"/>
                <w14:textFill>
                  <w14:solidFill>
                    <w14:schemeClr w14:val="tx1"/>
                  </w14:solidFill>
                </w14:textFill>
              </w:rPr>
              <w:t>居住区</w:t>
            </w:r>
          </w:p>
        </w:tc>
        <w:tc>
          <w:tcPr>
            <w:tcW w:w="1042" w:type="dxa"/>
            <w:vAlign w:val="center"/>
          </w:tcPr>
          <w:p w14:paraId="3F180D1A">
            <w:pPr>
              <w:pStyle w:val="70"/>
              <w:rPr>
                <w:color w:val="000000" w:themeColor="text1"/>
                <w14:textFill>
                  <w14:solidFill>
                    <w14:schemeClr w14:val="tx1"/>
                  </w14:solidFill>
                </w14:textFill>
              </w:rPr>
            </w:pPr>
            <w:r>
              <w:rPr>
                <w:color w:val="000000" w:themeColor="text1"/>
                <w14:textFill>
                  <w14:solidFill>
                    <w14:schemeClr w14:val="tx1"/>
                  </w14:solidFill>
                </w14:textFill>
              </w:rPr>
              <w:t>2400</w:t>
            </w:r>
          </w:p>
        </w:tc>
      </w:tr>
      <w:tr w14:paraId="6065500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291" w:type="dxa"/>
            <w:vMerge w:val="continue"/>
            <w:vAlign w:val="center"/>
          </w:tcPr>
          <w:p w14:paraId="7E8BB4A9">
            <w:pPr>
              <w:pStyle w:val="70"/>
              <w:rPr>
                <w:color w:val="000000" w:themeColor="text1"/>
                <w14:textFill>
                  <w14:solidFill>
                    <w14:schemeClr w14:val="tx1"/>
                  </w14:solidFill>
                </w14:textFill>
              </w:rPr>
            </w:pPr>
          </w:p>
        </w:tc>
        <w:tc>
          <w:tcPr>
            <w:tcW w:w="470" w:type="dxa"/>
            <w:vAlign w:val="center"/>
          </w:tcPr>
          <w:p w14:paraId="1E0080E5">
            <w:pPr>
              <w:pStyle w:val="70"/>
              <w:numPr>
                <w:ilvl w:val="0"/>
                <w:numId w:val="14"/>
              </w:numPr>
              <w:rPr>
                <w:color w:val="000000" w:themeColor="text1"/>
                <w14:textFill>
                  <w14:solidFill>
                    <w14:schemeClr w14:val="tx1"/>
                  </w14:solidFill>
                </w14:textFill>
              </w:rPr>
            </w:pPr>
          </w:p>
        </w:tc>
        <w:tc>
          <w:tcPr>
            <w:tcW w:w="2208" w:type="dxa"/>
            <w:vAlign w:val="bottom"/>
          </w:tcPr>
          <w:p w14:paraId="2C3A92B2">
            <w:pPr>
              <w:pStyle w:val="70"/>
              <w:rPr>
                <w:color w:val="000000" w:themeColor="text1"/>
                <w14:textFill>
                  <w14:solidFill>
                    <w14:schemeClr w14:val="tx1"/>
                  </w14:solidFill>
                </w14:textFill>
              </w:rPr>
            </w:pPr>
            <w:r>
              <w:rPr>
                <w:color w:val="000000" w:themeColor="text1"/>
                <w14:textFill>
                  <w14:solidFill>
                    <w14:schemeClr w14:val="tx1"/>
                  </w14:solidFill>
                </w14:textFill>
              </w:rPr>
              <w:t>钦州港经济技术开发区中学</w:t>
            </w:r>
          </w:p>
        </w:tc>
        <w:tc>
          <w:tcPr>
            <w:tcW w:w="720" w:type="dxa"/>
            <w:vAlign w:val="center"/>
          </w:tcPr>
          <w:p w14:paraId="6AADDDF4">
            <w:pPr>
              <w:pStyle w:val="70"/>
              <w:rPr>
                <w:color w:val="000000" w:themeColor="text1"/>
                <w14:textFill>
                  <w14:solidFill>
                    <w14:schemeClr w14:val="tx1"/>
                  </w14:solidFill>
                </w14:textFill>
              </w:rPr>
            </w:pPr>
            <w:r>
              <w:rPr>
                <w:color w:val="000000" w:themeColor="text1"/>
                <w14:textFill>
                  <w14:solidFill>
                    <w14:schemeClr w14:val="tx1"/>
                  </w14:solidFill>
                </w14:textFill>
              </w:rPr>
              <w:t>NE</w:t>
            </w:r>
          </w:p>
        </w:tc>
        <w:tc>
          <w:tcPr>
            <w:tcW w:w="2049" w:type="dxa"/>
            <w:vAlign w:val="bottom"/>
          </w:tcPr>
          <w:p w14:paraId="3F4910E3">
            <w:pPr>
              <w:pStyle w:val="70"/>
              <w:rPr>
                <w:color w:val="000000" w:themeColor="text1"/>
                <w14:textFill>
                  <w14:solidFill>
                    <w14:schemeClr w14:val="tx1"/>
                  </w14:solidFill>
                </w14:textFill>
              </w:rPr>
            </w:pPr>
            <w:r>
              <w:rPr>
                <w:color w:val="000000" w:themeColor="text1"/>
                <w14:textFill>
                  <w14:solidFill>
                    <w14:schemeClr w14:val="tx1"/>
                  </w14:solidFill>
                </w14:textFill>
              </w:rPr>
              <w:t>3.11</w:t>
            </w:r>
          </w:p>
        </w:tc>
        <w:tc>
          <w:tcPr>
            <w:tcW w:w="1262" w:type="dxa"/>
            <w:vAlign w:val="center"/>
          </w:tcPr>
          <w:p w14:paraId="72CAF11B">
            <w:pPr>
              <w:pStyle w:val="70"/>
              <w:rPr>
                <w:color w:val="000000" w:themeColor="text1"/>
                <w14:textFill>
                  <w14:solidFill>
                    <w14:schemeClr w14:val="tx1"/>
                  </w14:solidFill>
                </w14:textFill>
              </w:rPr>
            </w:pPr>
            <w:r>
              <w:rPr>
                <w:color w:val="000000" w:themeColor="text1"/>
                <w14:textFill>
                  <w14:solidFill>
                    <w14:schemeClr w14:val="tx1"/>
                  </w14:solidFill>
                </w14:textFill>
              </w:rPr>
              <w:t>学校</w:t>
            </w:r>
          </w:p>
        </w:tc>
        <w:tc>
          <w:tcPr>
            <w:tcW w:w="1042" w:type="dxa"/>
            <w:vAlign w:val="center"/>
          </w:tcPr>
          <w:p w14:paraId="45A43947">
            <w:pPr>
              <w:pStyle w:val="70"/>
              <w:rPr>
                <w:color w:val="000000" w:themeColor="text1"/>
                <w14:textFill>
                  <w14:solidFill>
                    <w14:schemeClr w14:val="tx1"/>
                  </w14:solidFill>
                </w14:textFill>
              </w:rPr>
            </w:pPr>
            <w:r>
              <w:rPr>
                <w:color w:val="000000" w:themeColor="text1"/>
                <w14:textFill>
                  <w14:solidFill>
                    <w14:schemeClr w14:val="tx1"/>
                  </w14:solidFill>
                </w14:textFill>
              </w:rPr>
              <w:t>1070</w:t>
            </w:r>
          </w:p>
        </w:tc>
      </w:tr>
      <w:tr w14:paraId="7989100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291" w:type="dxa"/>
            <w:vMerge w:val="continue"/>
            <w:vAlign w:val="center"/>
          </w:tcPr>
          <w:p w14:paraId="1BAA1ED8">
            <w:pPr>
              <w:pStyle w:val="70"/>
              <w:rPr>
                <w:color w:val="000000" w:themeColor="text1"/>
                <w14:textFill>
                  <w14:solidFill>
                    <w14:schemeClr w14:val="tx1"/>
                  </w14:solidFill>
                </w14:textFill>
              </w:rPr>
            </w:pPr>
          </w:p>
        </w:tc>
        <w:tc>
          <w:tcPr>
            <w:tcW w:w="470" w:type="dxa"/>
            <w:vAlign w:val="center"/>
          </w:tcPr>
          <w:p w14:paraId="2C78070B">
            <w:pPr>
              <w:pStyle w:val="70"/>
              <w:numPr>
                <w:ilvl w:val="0"/>
                <w:numId w:val="14"/>
              </w:numPr>
              <w:rPr>
                <w:color w:val="000000" w:themeColor="text1"/>
                <w14:textFill>
                  <w14:solidFill>
                    <w14:schemeClr w14:val="tx1"/>
                  </w14:solidFill>
                </w14:textFill>
              </w:rPr>
            </w:pPr>
          </w:p>
        </w:tc>
        <w:tc>
          <w:tcPr>
            <w:tcW w:w="2208" w:type="dxa"/>
            <w:vAlign w:val="bottom"/>
          </w:tcPr>
          <w:p w14:paraId="590CB837">
            <w:pPr>
              <w:pStyle w:val="70"/>
              <w:rPr>
                <w:color w:val="000000" w:themeColor="text1"/>
                <w14:textFill>
                  <w14:solidFill>
                    <w14:schemeClr w14:val="tx1"/>
                  </w14:solidFill>
                </w14:textFill>
              </w:rPr>
            </w:pPr>
            <w:r>
              <w:rPr>
                <w:color w:val="000000" w:themeColor="text1"/>
                <w14:textFill>
                  <w14:solidFill>
                    <w14:schemeClr w14:val="tx1"/>
                  </w14:solidFill>
                </w14:textFill>
              </w:rPr>
              <w:t>钦州港经济技术开发区第四小学</w:t>
            </w:r>
          </w:p>
        </w:tc>
        <w:tc>
          <w:tcPr>
            <w:tcW w:w="720" w:type="dxa"/>
            <w:vAlign w:val="center"/>
          </w:tcPr>
          <w:p w14:paraId="2F5852C7">
            <w:pPr>
              <w:pStyle w:val="70"/>
              <w:rPr>
                <w:color w:val="000000" w:themeColor="text1"/>
                <w14:textFill>
                  <w14:solidFill>
                    <w14:schemeClr w14:val="tx1"/>
                  </w14:solidFill>
                </w14:textFill>
              </w:rPr>
            </w:pPr>
            <w:r>
              <w:rPr>
                <w:color w:val="000000" w:themeColor="text1"/>
                <w14:textFill>
                  <w14:solidFill>
                    <w14:schemeClr w14:val="tx1"/>
                  </w14:solidFill>
                </w14:textFill>
              </w:rPr>
              <w:t>NE</w:t>
            </w:r>
          </w:p>
        </w:tc>
        <w:tc>
          <w:tcPr>
            <w:tcW w:w="2049" w:type="dxa"/>
            <w:vAlign w:val="bottom"/>
          </w:tcPr>
          <w:p w14:paraId="1D5FB106">
            <w:pPr>
              <w:pStyle w:val="70"/>
              <w:rPr>
                <w:color w:val="000000" w:themeColor="text1"/>
                <w14:textFill>
                  <w14:solidFill>
                    <w14:schemeClr w14:val="tx1"/>
                  </w14:solidFill>
                </w14:textFill>
              </w:rPr>
            </w:pPr>
            <w:r>
              <w:rPr>
                <w:color w:val="000000" w:themeColor="text1"/>
                <w14:textFill>
                  <w14:solidFill>
                    <w14:schemeClr w14:val="tx1"/>
                  </w14:solidFill>
                </w14:textFill>
              </w:rPr>
              <w:t>3.00</w:t>
            </w:r>
          </w:p>
        </w:tc>
        <w:tc>
          <w:tcPr>
            <w:tcW w:w="1262" w:type="dxa"/>
            <w:vAlign w:val="center"/>
          </w:tcPr>
          <w:p w14:paraId="3E7F6147">
            <w:pPr>
              <w:pStyle w:val="70"/>
              <w:rPr>
                <w:color w:val="000000" w:themeColor="text1"/>
                <w14:textFill>
                  <w14:solidFill>
                    <w14:schemeClr w14:val="tx1"/>
                  </w14:solidFill>
                </w14:textFill>
              </w:rPr>
            </w:pPr>
            <w:r>
              <w:rPr>
                <w:color w:val="000000" w:themeColor="text1"/>
                <w14:textFill>
                  <w14:solidFill>
                    <w14:schemeClr w14:val="tx1"/>
                  </w14:solidFill>
                </w14:textFill>
              </w:rPr>
              <w:t>学校</w:t>
            </w:r>
          </w:p>
        </w:tc>
        <w:tc>
          <w:tcPr>
            <w:tcW w:w="1042" w:type="dxa"/>
            <w:vAlign w:val="center"/>
          </w:tcPr>
          <w:p w14:paraId="6A04FDC5">
            <w:pPr>
              <w:pStyle w:val="70"/>
              <w:rPr>
                <w:color w:val="000000" w:themeColor="text1"/>
                <w14:textFill>
                  <w14:solidFill>
                    <w14:schemeClr w14:val="tx1"/>
                  </w14:solidFill>
                </w14:textFill>
              </w:rPr>
            </w:pPr>
            <w:r>
              <w:rPr>
                <w:color w:val="000000" w:themeColor="text1"/>
                <w14:textFill>
                  <w14:solidFill>
                    <w14:schemeClr w14:val="tx1"/>
                  </w14:solidFill>
                </w14:textFill>
              </w:rPr>
              <w:t>1000</w:t>
            </w:r>
          </w:p>
        </w:tc>
      </w:tr>
      <w:tr w14:paraId="59DBF19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291" w:type="dxa"/>
            <w:vMerge w:val="continue"/>
            <w:vAlign w:val="center"/>
          </w:tcPr>
          <w:p w14:paraId="25468C19">
            <w:pPr>
              <w:pStyle w:val="70"/>
              <w:rPr>
                <w:color w:val="000000" w:themeColor="text1"/>
                <w14:textFill>
                  <w14:solidFill>
                    <w14:schemeClr w14:val="tx1"/>
                  </w14:solidFill>
                </w14:textFill>
              </w:rPr>
            </w:pPr>
          </w:p>
        </w:tc>
        <w:tc>
          <w:tcPr>
            <w:tcW w:w="6709" w:type="dxa"/>
            <w:gridSpan w:val="5"/>
            <w:vAlign w:val="center"/>
          </w:tcPr>
          <w:p w14:paraId="7A4B37E3">
            <w:pPr>
              <w:pStyle w:val="70"/>
              <w:rPr>
                <w:color w:val="000000" w:themeColor="text1"/>
                <w14:textFill>
                  <w14:solidFill>
                    <w14:schemeClr w14:val="tx1"/>
                  </w14:solidFill>
                </w14:textFill>
              </w:rPr>
            </w:pPr>
            <w:r>
              <w:rPr>
                <w:color w:val="000000" w:themeColor="text1"/>
                <w14:textFill>
                  <w14:solidFill>
                    <w14:schemeClr w14:val="tx1"/>
                  </w14:solidFill>
                </w14:textFill>
              </w:rPr>
              <w:t>厂址周边500m范围内人口数小计</w:t>
            </w:r>
          </w:p>
        </w:tc>
        <w:tc>
          <w:tcPr>
            <w:tcW w:w="1042" w:type="dxa"/>
            <w:vAlign w:val="center"/>
          </w:tcPr>
          <w:p w14:paraId="006E8F32">
            <w:pPr>
              <w:pStyle w:val="70"/>
              <w:rPr>
                <w:color w:val="000000" w:themeColor="text1"/>
                <w14:textFill>
                  <w14:solidFill>
                    <w14:schemeClr w14:val="tx1"/>
                  </w14:solidFill>
                </w14:textFill>
              </w:rPr>
            </w:pPr>
            <w:r>
              <w:rPr>
                <w:color w:val="000000" w:themeColor="text1"/>
                <w14:textFill>
                  <w14:solidFill>
                    <w14:schemeClr w14:val="tx1"/>
                  </w14:solidFill>
                </w14:textFill>
              </w:rPr>
              <w:t>0</w:t>
            </w:r>
          </w:p>
        </w:tc>
      </w:tr>
      <w:tr w14:paraId="3A79067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291" w:type="dxa"/>
            <w:vMerge w:val="continue"/>
            <w:vAlign w:val="center"/>
          </w:tcPr>
          <w:p w14:paraId="69F5E7F2">
            <w:pPr>
              <w:pStyle w:val="70"/>
              <w:rPr>
                <w:color w:val="000000" w:themeColor="text1"/>
                <w14:textFill>
                  <w14:solidFill>
                    <w14:schemeClr w14:val="tx1"/>
                  </w14:solidFill>
                </w14:textFill>
              </w:rPr>
            </w:pPr>
          </w:p>
        </w:tc>
        <w:tc>
          <w:tcPr>
            <w:tcW w:w="6709" w:type="dxa"/>
            <w:gridSpan w:val="5"/>
            <w:vAlign w:val="center"/>
          </w:tcPr>
          <w:p w14:paraId="3A394FAA">
            <w:pPr>
              <w:pStyle w:val="70"/>
              <w:rPr>
                <w:color w:val="000000" w:themeColor="text1"/>
                <w14:textFill>
                  <w14:solidFill>
                    <w14:schemeClr w14:val="tx1"/>
                  </w14:solidFill>
                </w14:textFill>
              </w:rPr>
            </w:pPr>
            <w:r>
              <w:rPr>
                <w:color w:val="000000" w:themeColor="text1"/>
                <w14:textFill>
                  <w14:solidFill>
                    <w14:schemeClr w14:val="tx1"/>
                  </w14:solidFill>
                </w14:textFill>
              </w:rPr>
              <w:t>厂址周边5km范围内人口数小计</w:t>
            </w:r>
          </w:p>
        </w:tc>
        <w:tc>
          <w:tcPr>
            <w:tcW w:w="1042" w:type="dxa"/>
            <w:vAlign w:val="center"/>
          </w:tcPr>
          <w:p w14:paraId="25CEAFB0">
            <w:pPr>
              <w:pStyle w:val="70"/>
              <w:rPr>
                <w:color w:val="000000" w:themeColor="text1"/>
                <w14:textFill>
                  <w14:solidFill>
                    <w14:schemeClr w14:val="tx1"/>
                  </w14:solidFill>
                </w14:textFill>
              </w:rPr>
            </w:pPr>
            <w:r>
              <w:rPr>
                <w:color w:val="000000" w:themeColor="text1"/>
                <w14:textFill>
                  <w14:solidFill>
                    <w14:schemeClr w14:val="tx1"/>
                  </w14:solidFill>
                </w14:textFill>
              </w:rPr>
              <w:t>23</w:t>
            </w:r>
            <w:r>
              <w:rPr>
                <w:rFonts w:hint="eastAsia"/>
                <w:color w:val="000000" w:themeColor="text1"/>
                <w14:textFill>
                  <w14:solidFill>
                    <w14:schemeClr w14:val="tx1"/>
                  </w14:solidFill>
                </w14:textFill>
              </w:rPr>
              <w:t>675</w:t>
            </w:r>
          </w:p>
        </w:tc>
      </w:tr>
      <w:tr w14:paraId="668DCD9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291" w:type="dxa"/>
            <w:vMerge w:val="continue"/>
            <w:vAlign w:val="center"/>
          </w:tcPr>
          <w:p w14:paraId="2CE0314D">
            <w:pPr>
              <w:pStyle w:val="70"/>
              <w:rPr>
                <w:color w:val="000000" w:themeColor="text1"/>
                <w14:textFill>
                  <w14:solidFill>
                    <w14:schemeClr w14:val="tx1"/>
                  </w14:solidFill>
                </w14:textFill>
              </w:rPr>
            </w:pPr>
          </w:p>
        </w:tc>
        <w:tc>
          <w:tcPr>
            <w:tcW w:w="6709" w:type="dxa"/>
            <w:gridSpan w:val="5"/>
            <w:vAlign w:val="center"/>
          </w:tcPr>
          <w:p w14:paraId="773C184A">
            <w:pPr>
              <w:pStyle w:val="70"/>
              <w:rPr>
                <w:color w:val="000000" w:themeColor="text1"/>
                <w14:textFill>
                  <w14:solidFill>
                    <w14:schemeClr w14:val="tx1"/>
                  </w14:solidFill>
                </w14:textFill>
              </w:rPr>
            </w:pPr>
            <w:r>
              <w:rPr>
                <w:color w:val="000000" w:themeColor="text1"/>
                <w14:textFill>
                  <w14:solidFill>
                    <w14:schemeClr w14:val="tx1"/>
                  </w14:solidFill>
                </w14:textFill>
              </w:rPr>
              <w:t>大气环境敏感程度E值</w:t>
            </w:r>
          </w:p>
        </w:tc>
        <w:tc>
          <w:tcPr>
            <w:tcW w:w="1042" w:type="dxa"/>
            <w:vAlign w:val="center"/>
          </w:tcPr>
          <w:p w14:paraId="74C389F2">
            <w:pPr>
              <w:pStyle w:val="70"/>
              <w:rPr>
                <w:color w:val="000000" w:themeColor="text1"/>
                <w14:textFill>
                  <w14:solidFill>
                    <w14:schemeClr w14:val="tx1"/>
                  </w14:solidFill>
                </w14:textFill>
              </w:rPr>
            </w:pPr>
            <w:r>
              <w:rPr>
                <w:color w:val="000000" w:themeColor="text1"/>
                <w14:textFill>
                  <w14:solidFill>
                    <w14:schemeClr w14:val="tx1"/>
                  </w14:solidFill>
                </w14:textFill>
              </w:rPr>
              <w:t>E2</w:t>
            </w:r>
          </w:p>
        </w:tc>
      </w:tr>
      <w:tr w14:paraId="4B17643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291" w:type="dxa"/>
            <w:vMerge w:val="restart"/>
            <w:vAlign w:val="center"/>
          </w:tcPr>
          <w:p w14:paraId="64C18BCA">
            <w:pPr>
              <w:pStyle w:val="70"/>
              <w:rPr>
                <w:color w:val="000000" w:themeColor="text1"/>
                <w14:textFill>
                  <w14:solidFill>
                    <w14:schemeClr w14:val="tx1"/>
                  </w14:solidFill>
                </w14:textFill>
              </w:rPr>
            </w:pPr>
            <w:r>
              <w:rPr>
                <w:color w:val="000000" w:themeColor="text1"/>
                <w14:textFill>
                  <w14:solidFill>
                    <w14:schemeClr w14:val="tx1"/>
                  </w14:solidFill>
                </w14:textFill>
              </w:rPr>
              <w:t>地表水</w:t>
            </w:r>
          </w:p>
        </w:tc>
        <w:tc>
          <w:tcPr>
            <w:tcW w:w="7751" w:type="dxa"/>
            <w:gridSpan w:val="6"/>
            <w:vAlign w:val="center"/>
          </w:tcPr>
          <w:p w14:paraId="3DC1D3EB">
            <w:pPr>
              <w:pStyle w:val="70"/>
              <w:rPr>
                <w:color w:val="000000" w:themeColor="text1"/>
                <w14:textFill>
                  <w14:solidFill>
                    <w14:schemeClr w14:val="tx1"/>
                  </w14:solidFill>
                </w14:textFill>
              </w:rPr>
            </w:pPr>
            <w:r>
              <w:rPr>
                <w:color w:val="000000" w:themeColor="text1"/>
                <w14:textFill>
                  <w14:solidFill>
                    <w14:schemeClr w14:val="tx1"/>
                  </w14:solidFill>
                </w14:textFill>
              </w:rPr>
              <w:t>受纳水体</w:t>
            </w:r>
          </w:p>
        </w:tc>
      </w:tr>
      <w:tr w14:paraId="1A91D0B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291" w:type="dxa"/>
            <w:vMerge w:val="continue"/>
            <w:vAlign w:val="center"/>
          </w:tcPr>
          <w:p w14:paraId="10C5863F">
            <w:pPr>
              <w:pStyle w:val="70"/>
              <w:rPr>
                <w:color w:val="000000" w:themeColor="text1"/>
                <w14:textFill>
                  <w14:solidFill>
                    <w14:schemeClr w14:val="tx1"/>
                  </w14:solidFill>
                </w14:textFill>
              </w:rPr>
            </w:pPr>
          </w:p>
        </w:tc>
        <w:tc>
          <w:tcPr>
            <w:tcW w:w="470" w:type="dxa"/>
            <w:vAlign w:val="center"/>
          </w:tcPr>
          <w:p w14:paraId="4590A763">
            <w:pPr>
              <w:pStyle w:val="70"/>
              <w:rPr>
                <w:color w:val="000000" w:themeColor="text1"/>
                <w14:textFill>
                  <w14:solidFill>
                    <w14:schemeClr w14:val="tx1"/>
                  </w14:solidFill>
                </w14:textFill>
              </w:rPr>
            </w:pPr>
            <w:r>
              <w:rPr>
                <w:color w:val="000000" w:themeColor="text1"/>
                <w14:textFill>
                  <w14:solidFill>
                    <w14:schemeClr w14:val="tx1"/>
                  </w14:solidFill>
                </w14:textFill>
              </w:rPr>
              <w:t>序号</w:t>
            </w:r>
          </w:p>
        </w:tc>
        <w:tc>
          <w:tcPr>
            <w:tcW w:w="2928" w:type="dxa"/>
            <w:gridSpan w:val="2"/>
            <w:vAlign w:val="center"/>
          </w:tcPr>
          <w:p w14:paraId="467BC38E">
            <w:pPr>
              <w:pStyle w:val="70"/>
              <w:rPr>
                <w:color w:val="000000" w:themeColor="text1"/>
                <w14:textFill>
                  <w14:solidFill>
                    <w14:schemeClr w14:val="tx1"/>
                  </w14:solidFill>
                </w14:textFill>
              </w:rPr>
            </w:pPr>
            <w:r>
              <w:rPr>
                <w:color w:val="000000" w:themeColor="text1"/>
                <w14:textFill>
                  <w14:solidFill>
                    <w14:schemeClr w14:val="tx1"/>
                  </w14:solidFill>
                </w14:textFill>
              </w:rPr>
              <w:t>受纳水体名称</w:t>
            </w:r>
          </w:p>
        </w:tc>
        <w:tc>
          <w:tcPr>
            <w:tcW w:w="2049" w:type="dxa"/>
            <w:vAlign w:val="center"/>
          </w:tcPr>
          <w:p w14:paraId="6E413CA0">
            <w:pPr>
              <w:pStyle w:val="70"/>
              <w:rPr>
                <w:color w:val="000000" w:themeColor="text1"/>
                <w14:textFill>
                  <w14:solidFill>
                    <w14:schemeClr w14:val="tx1"/>
                  </w14:solidFill>
                </w14:textFill>
              </w:rPr>
            </w:pPr>
            <w:r>
              <w:rPr>
                <w:color w:val="000000" w:themeColor="text1"/>
                <w14:textFill>
                  <w14:solidFill>
                    <w14:schemeClr w14:val="tx1"/>
                  </w14:solidFill>
                </w14:textFill>
              </w:rPr>
              <w:t>排放点水域环境功能</w:t>
            </w:r>
          </w:p>
        </w:tc>
        <w:tc>
          <w:tcPr>
            <w:tcW w:w="2304" w:type="dxa"/>
            <w:gridSpan w:val="2"/>
            <w:vAlign w:val="center"/>
          </w:tcPr>
          <w:p w14:paraId="460ADD8F">
            <w:pPr>
              <w:pStyle w:val="70"/>
              <w:rPr>
                <w:color w:val="000000" w:themeColor="text1"/>
                <w14:textFill>
                  <w14:solidFill>
                    <w14:schemeClr w14:val="tx1"/>
                  </w14:solidFill>
                </w14:textFill>
              </w:rPr>
            </w:pPr>
            <w:r>
              <w:rPr>
                <w:color w:val="000000" w:themeColor="text1"/>
                <w14:textFill>
                  <w14:solidFill>
                    <w14:schemeClr w14:val="tx1"/>
                  </w14:solidFill>
                </w14:textFill>
              </w:rPr>
              <w:t>24h内流经范围km</w:t>
            </w:r>
          </w:p>
        </w:tc>
      </w:tr>
      <w:tr w14:paraId="1B34879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291" w:type="dxa"/>
            <w:vMerge w:val="continue"/>
            <w:vAlign w:val="center"/>
          </w:tcPr>
          <w:p w14:paraId="1A408CC8">
            <w:pPr>
              <w:pStyle w:val="70"/>
              <w:rPr>
                <w:color w:val="000000" w:themeColor="text1"/>
                <w14:textFill>
                  <w14:solidFill>
                    <w14:schemeClr w14:val="tx1"/>
                  </w14:solidFill>
                </w14:textFill>
              </w:rPr>
            </w:pPr>
          </w:p>
        </w:tc>
        <w:tc>
          <w:tcPr>
            <w:tcW w:w="470" w:type="dxa"/>
            <w:vAlign w:val="center"/>
          </w:tcPr>
          <w:p w14:paraId="790AC6FE">
            <w:pPr>
              <w:pStyle w:val="70"/>
              <w:rPr>
                <w:color w:val="000000" w:themeColor="text1"/>
                <w14:textFill>
                  <w14:solidFill>
                    <w14:schemeClr w14:val="tx1"/>
                  </w14:solidFill>
                </w14:textFill>
              </w:rPr>
            </w:pPr>
            <w:r>
              <w:rPr>
                <w:color w:val="000000" w:themeColor="text1"/>
                <w14:textFill>
                  <w14:solidFill>
                    <w14:schemeClr w14:val="tx1"/>
                  </w14:solidFill>
                </w14:textFill>
              </w:rPr>
              <w:t>1</w:t>
            </w:r>
          </w:p>
        </w:tc>
        <w:tc>
          <w:tcPr>
            <w:tcW w:w="2928" w:type="dxa"/>
            <w:gridSpan w:val="2"/>
            <w:vAlign w:val="center"/>
          </w:tcPr>
          <w:p w14:paraId="3CA5D247">
            <w:pPr>
              <w:pStyle w:val="70"/>
              <w:rPr>
                <w:color w:val="000000" w:themeColor="text1"/>
                <w14:textFill>
                  <w14:solidFill>
                    <w14:schemeClr w14:val="tx1"/>
                  </w14:solidFill>
                </w14:textFill>
              </w:rPr>
            </w:pPr>
            <w:r>
              <w:rPr>
                <w:color w:val="000000" w:themeColor="text1"/>
                <w14:textFill>
                  <w14:solidFill>
                    <w14:schemeClr w14:val="tx1"/>
                  </w14:solidFill>
                </w14:textFill>
              </w:rPr>
              <w:t>钦州湾金鼓江</w:t>
            </w:r>
          </w:p>
        </w:tc>
        <w:tc>
          <w:tcPr>
            <w:tcW w:w="2049" w:type="dxa"/>
            <w:vAlign w:val="center"/>
          </w:tcPr>
          <w:p w14:paraId="06608AAB">
            <w:pPr>
              <w:pStyle w:val="70"/>
              <w:rPr>
                <w:color w:val="000000" w:themeColor="text1"/>
                <w14:textFill>
                  <w14:solidFill>
                    <w14:schemeClr w14:val="tx1"/>
                  </w14:solidFill>
                </w14:textFill>
              </w:rPr>
            </w:pPr>
            <w:r>
              <w:rPr>
                <w:color w:val="000000" w:themeColor="text1"/>
                <w14:textFill>
                  <w14:solidFill>
                    <w14:schemeClr w14:val="tx1"/>
                  </w14:solidFill>
                </w14:textFill>
              </w:rPr>
              <w:t>港口航运区</w:t>
            </w:r>
          </w:p>
        </w:tc>
        <w:tc>
          <w:tcPr>
            <w:tcW w:w="1262" w:type="dxa"/>
            <w:vAlign w:val="center"/>
          </w:tcPr>
          <w:p w14:paraId="26608D8D">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1042" w:type="dxa"/>
            <w:vAlign w:val="center"/>
          </w:tcPr>
          <w:p w14:paraId="4F0AA3DF">
            <w:pPr>
              <w:pStyle w:val="70"/>
              <w:rPr>
                <w:color w:val="000000" w:themeColor="text1"/>
                <w14:textFill>
                  <w14:solidFill>
                    <w14:schemeClr w14:val="tx1"/>
                  </w14:solidFill>
                </w14:textFill>
              </w:rPr>
            </w:pPr>
            <w:r>
              <w:rPr>
                <w:color w:val="000000" w:themeColor="text1"/>
                <w14:textFill>
                  <w14:solidFill>
                    <w14:schemeClr w14:val="tx1"/>
                  </w14:solidFill>
                </w14:textFill>
              </w:rPr>
              <w:t xml:space="preserve"> 15</w:t>
            </w:r>
          </w:p>
        </w:tc>
      </w:tr>
      <w:tr w14:paraId="7BDBF7D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291" w:type="dxa"/>
            <w:vMerge w:val="continue"/>
            <w:vAlign w:val="center"/>
          </w:tcPr>
          <w:p w14:paraId="70E81BC1">
            <w:pPr>
              <w:pStyle w:val="70"/>
              <w:rPr>
                <w:color w:val="000000" w:themeColor="text1"/>
                <w14:textFill>
                  <w14:solidFill>
                    <w14:schemeClr w14:val="tx1"/>
                  </w14:solidFill>
                </w14:textFill>
              </w:rPr>
            </w:pPr>
          </w:p>
        </w:tc>
        <w:tc>
          <w:tcPr>
            <w:tcW w:w="7751" w:type="dxa"/>
            <w:gridSpan w:val="6"/>
            <w:vAlign w:val="center"/>
          </w:tcPr>
          <w:p w14:paraId="4EF5B115">
            <w:pPr>
              <w:pStyle w:val="70"/>
              <w:rPr>
                <w:color w:val="000000" w:themeColor="text1"/>
                <w14:textFill>
                  <w14:solidFill>
                    <w14:schemeClr w14:val="tx1"/>
                  </w14:solidFill>
                </w14:textFill>
              </w:rPr>
            </w:pPr>
            <w:r>
              <w:rPr>
                <w:color w:val="000000" w:themeColor="text1"/>
                <w14:textFill>
                  <w14:solidFill>
                    <w14:schemeClr w14:val="tx1"/>
                  </w14:solidFill>
                </w14:textFill>
              </w:rPr>
              <w:t>范围内敏感目标</w:t>
            </w:r>
          </w:p>
        </w:tc>
      </w:tr>
      <w:tr w14:paraId="1402D59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291" w:type="dxa"/>
            <w:vMerge w:val="continue"/>
            <w:vAlign w:val="center"/>
          </w:tcPr>
          <w:p w14:paraId="6C1082C9">
            <w:pPr>
              <w:pStyle w:val="70"/>
              <w:rPr>
                <w:color w:val="000000" w:themeColor="text1"/>
                <w14:textFill>
                  <w14:solidFill>
                    <w14:schemeClr w14:val="tx1"/>
                  </w14:solidFill>
                </w14:textFill>
              </w:rPr>
            </w:pPr>
          </w:p>
        </w:tc>
        <w:tc>
          <w:tcPr>
            <w:tcW w:w="470" w:type="dxa"/>
            <w:vAlign w:val="center"/>
          </w:tcPr>
          <w:p w14:paraId="75B1E023">
            <w:pPr>
              <w:pStyle w:val="70"/>
              <w:rPr>
                <w:color w:val="000000" w:themeColor="text1"/>
                <w14:textFill>
                  <w14:solidFill>
                    <w14:schemeClr w14:val="tx1"/>
                  </w14:solidFill>
                </w14:textFill>
              </w:rPr>
            </w:pPr>
            <w:r>
              <w:rPr>
                <w:color w:val="000000" w:themeColor="text1"/>
                <w14:textFill>
                  <w14:solidFill>
                    <w14:schemeClr w14:val="tx1"/>
                  </w14:solidFill>
                </w14:textFill>
              </w:rPr>
              <w:t>序号</w:t>
            </w:r>
          </w:p>
        </w:tc>
        <w:tc>
          <w:tcPr>
            <w:tcW w:w="2928" w:type="dxa"/>
            <w:gridSpan w:val="2"/>
            <w:vAlign w:val="center"/>
          </w:tcPr>
          <w:p w14:paraId="18C6243C">
            <w:pPr>
              <w:pStyle w:val="70"/>
              <w:rPr>
                <w:color w:val="000000" w:themeColor="text1"/>
                <w14:textFill>
                  <w14:solidFill>
                    <w14:schemeClr w14:val="tx1"/>
                  </w14:solidFill>
                </w14:textFill>
              </w:rPr>
            </w:pPr>
            <w:r>
              <w:rPr>
                <w:color w:val="000000" w:themeColor="text1"/>
                <w14:textFill>
                  <w14:solidFill>
                    <w14:schemeClr w14:val="tx1"/>
                  </w14:solidFill>
                </w14:textFill>
              </w:rPr>
              <w:t>敏感目标名称</w:t>
            </w:r>
          </w:p>
        </w:tc>
        <w:tc>
          <w:tcPr>
            <w:tcW w:w="2049" w:type="dxa"/>
            <w:vAlign w:val="center"/>
          </w:tcPr>
          <w:p w14:paraId="5F632D07">
            <w:pPr>
              <w:pStyle w:val="70"/>
              <w:rPr>
                <w:rFonts w:hint="eastAsia" w:eastAsia="宋体"/>
                <w:color w:val="000000" w:themeColor="text1"/>
                <w:lang w:eastAsia="zh-CN"/>
                <w14:textFill>
                  <w14:solidFill>
                    <w14:schemeClr w14:val="tx1"/>
                  </w14:solidFill>
                </w14:textFill>
              </w:rPr>
            </w:pPr>
            <w:r>
              <w:rPr>
                <w:rFonts w:hint="eastAsia"/>
                <w:color w:val="000000" w:themeColor="text1"/>
                <w:lang w:val="en-US" w:eastAsia="zh-CN"/>
                <w14:textFill>
                  <w14:solidFill>
                    <w14:schemeClr w14:val="tx1"/>
                  </w14:solidFill>
                </w14:textFill>
              </w:rPr>
              <w:t>方位</w:t>
            </w:r>
          </w:p>
        </w:tc>
        <w:tc>
          <w:tcPr>
            <w:tcW w:w="2304" w:type="dxa"/>
            <w:gridSpan w:val="2"/>
            <w:vAlign w:val="center"/>
          </w:tcPr>
          <w:p w14:paraId="0B0ED78A">
            <w:pPr>
              <w:pStyle w:val="70"/>
              <w:rPr>
                <w:color w:val="000000" w:themeColor="text1"/>
                <w14:textFill>
                  <w14:solidFill>
                    <w14:schemeClr w14:val="tx1"/>
                  </w14:solidFill>
                </w14:textFill>
              </w:rPr>
            </w:pPr>
            <w:r>
              <w:rPr>
                <w:color w:val="000000" w:themeColor="text1"/>
                <w14:textFill>
                  <w14:solidFill>
                    <w14:schemeClr w14:val="tx1"/>
                  </w14:solidFill>
                </w14:textFill>
              </w:rPr>
              <w:t>与排放点</w:t>
            </w:r>
            <w:r>
              <w:rPr>
                <w:rFonts w:hint="eastAsia"/>
                <w:color w:val="000000" w:themeColor="text1"/>
                <w:lang w:val="en-US" w:eastAsia="zh-CN"/>
                <w14:textFill>
                  <w14:solidFill>
                    <w14:schemeClr w14:val="tx1"/>
                  </w14:solidFill>
                </w14:textFill>
              </w:rPr>
              <w:t>最近</w:t>
            </w:r>
            <w:r>
              <w:rPr>
                <w:color w:val="000000" w:themeColor="text1"/>
                <w14:textFill>
                  <w14:solidFill>
                    <w14:schemeClr w14:val="tx1"/>
                  </w14:solidFill>
                </w14:textFill>
              </w:rPr>
              <w:t>距离/</w:t>
            </w:r>
            <w:r>
              <w:rPr>
                <w:rFonts w:hint="eastAsia"/>
                <w:color w:val="000000" w:themeColor="text1"/>
                <w:lang w:val="en-US" w:eastAsia="zh-CN"/>
                <w14:textFill>
                  <w14:solidFill>
                    <w14:schemeClr w14:val="tx1"/>
                  </w14:solidFill>
                </w14:textFill>
              </w:rPr>
              <w:t>k</w:t>
            </w:r>
            <w:r>
              <w:rPr>
                <w:color w:val="000000" w:themeColor="text1"/>
                <w14:textFill>
                  <w14:solidFill>
                    <w14:schemeClr w14:val="tx1"/>
                  </w14:solidFill>
                </w14:textFill>
              </w:rPr>
              <w:t>m</w:t>
            </w:r>
          </w:p>
        </w:tc>
      </w:tr>
      <w:tr w14:paraId="562CD52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291" w:type="dxa"/>
            <w:vMerge w:val="continue"/>
            <w:vAlign w:val="center"/>
          </w:tcPr>
          <w:p w14:paraId="3776BA7D">
            <w:pPr>
              <w:pStyle w:val="70"/>
              <w:rPr>
                <w:color w:val="000000" w:themeColor="text1"/>
                <w14:textFill>
                  <w14:solidFill>
                    <w14:schemeClr w14:val="tx1"/>
                  </w14:solidFill>
                </w14:textFill>
              </w:rPr>
            </w:pPr>
          </w:p>
        </w:tc>
        <w:tc>
          <w:tcPr>
            <w:tcW w:w="470" w:type="dxa"/>
            <w:vAlign w:val="center"/>
          </w:tcPr>
          <w:p w14:paraId="5FE1D409">
            <w:pPr>
              <w:pStyle w:val="70"/>
              <w:ind w:firstLine="0" w:firstLineChars="0"/>
              <w:rPr>
                <w:rFonts w:hint="eastAsia" w:eastAsia="宋体"/>
                <w:color w:val="000000" w:themeColor="text1"/>
                <w:lang w:eastAsia="zh-CN"/>
                <w14:textFill>
                  <w14:solidFill>
                    <w14:schemeClr w14:val="tx1"/>
                  </w14:solidFill>
                </w14:textFill>
              </w:rPr>
            </w:pPr>
            <w:r>
              <w:rPr>
                <w:color w:val="000000" w:themeColor="text1"/>
                <w14:textFill>
                  <w14:solidFill>
                    <w14:schemeClr w14:val="tx1"/>
                  </w14:solidFill>
                </w14:textFill>
              </w:rPr>
              <w:t>1</w:t>
            </w:r>
          </w:p>
        </w:tc>
        <w:tc>
          <w:tcPr>
            <w:tcW w:w="2928" w:type="dxa"/>
            <w:gridSpan w:val="2"/>
            <w:vAlign w:val="center"/>
          </w:tcPr>
          <w:p w14:paraId="7774A103">
            <w:pPr>
              <w:pStyle w:val="70"/>
              <w:ind w:firstLine="0" w:firstLineChars="0"/>
              <w:rPr>
                <w:rFonts w:hint="default" w:eastAsia="宋体"/>
                <w:color w:val="000000" w:themeColor="text1"/>
                <w:lang w:val="en-US" w:eastAsia="zh-CN"/>
                <w14:textFill>
                  <w14:solidFill>
                    <w14:schemeClr w14:val="tx1"/>
                  </w14:solidFill>
                </w14:textFill>
              </w:rPr>
            </w:pPr>
            <w:r>
              <w:rPr>
                <w:color w:val="000000" w:themeColor="text1"/>
                <w14:textFill>
                  <w14:solidFill>
                    <w14:schemeClr w14:val="tx1"/>
                  </w14:solidFill>
                </w14:textFill>
              </w:rPr>
              <w:t>广西茅尾海红树林自治区级自然保护区</w:t>
            </w:r>
          </w:p>
        </w:tc>
        <w:tc>
          <w:tcPr>
            <w:tcW w:w="2049" w:type="dxa"/>
            <w:vAlign w:val="center"/>
          </w:tcPr>
          <w:p w14:paraId="06B93130">
            <w:pPr>
              <w:pStyle w:val="70"/>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W</w:t>
            </w:r>
          </w:p>
        </w:tc>
        <w:tc>
          <w:tcPr>
            <w:tcW w:w="2304" w:type="dxa"/>
            <w:gridSpan w:val="2"/>
            <w:vAlign w:val="center"/>
          </w:tcPr>
          <w:p w14:paraId="2CCC1180">
            <w:pPr>
              <w:pStyle w:val="70"/>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3.8</w:t>
            </w:r>
          </w:p>
        </w:tc>
      </w:tr>
      <w:tr w14:paraId="5E0CF00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291" w:type="dxa"/>
            <w:vMerge w:val="continue"/>
            <w:vAlign w:val="center"/>
          </w:tcPr>
          <w:p w14:paraId="66DDCAA1">
            <w:pPr>
              <w:pStyle w:val="70"/>
              <w:rPr>
                <w:color w:val="000000" w:themeColor="text1"/>
                <w14:textFill>
                  <w14:solidFill>
                    <w14:schemeClr w14:val="tx1"/>
                  </w14:solidFill>
                </w14:textFill>
              </w:rPr>
            </w:pPr>
          </w:p>
        </w:tc>
        <w:tc>
          <w:tcPr>
            <w:tcW w:w="470" w:type="dxa"/>
            <w:vAlign w:val="center"/>
          </w:tcPr>
          <w:p w14:paraId="741B7BB3">
            <w:pPr>
              <w:pStyle w:val="70"/>
              <w:ind w:firstLine="0" w:firstLineChars="0"/>
              <w:rPr>
                <w:rFonts w:hint="eastAsia" w:eastAsia="宋体"/>
                <w:color w:val="000000" w:themeColor="text1"/>
                <w:lang w:val="en-US" w:eastAsia="zh-CN"/>
                <w14:textFill>
                  <w14:solidFill>
                    <w14:schemeClr w14:val="tx1"/>
                  </w14:solidFill>
                </w14:textFill>
              </w:rPr>
            </w:pPr>
            <w:r>
              <w:rPr>
                <w:color w:val="000000" w:themeColor="text1"/>
                <w14:textFill>
                  <w14:solidFill>
                    <w14:schemeClr w14:val="tx1"/>
                  </w14:solidFill>
                </w14:textFill>
              </w:rPr>
              <w:t>2</w:t>
            </w:r>
          </w:p>
        </w:tc>
        <w:tc>
          <w:tcPr>
            <w:tcW w:w="2928" w:type="dxa"/>
            <w:gridSpan w:val="2"/>
            <w:vAlign w:val="center"/>
          </w:tcPr>
          <w:p w14:paraId="6CD41ACA">
            <w:pPr>
              <w:pStyle w:val="70"/>
              <w:ind w:firstLine="0" w:firstLineChars="0"/>
              <w:rPr>
                <w:rFonts w:hint="default"/>
                <w:color w:val="000000" w:themeColor="text1"/>
                <w:lang w:val="en-US"/>
                <w14:textFill>
                  <w14:solidFill>
                    <w14:schemeClr w14:val="tx1"/>
                  </w14:solidFill>
                </w14:textFill>
              </w:rPr>
            </w:pPr>
            <w:r>
              <w:rPr>
                <w:color w:val="000000" w:themeColor="text1"/>
                <w14:textFill>
                  <w14:solidFill>
                    <w14:schemeClr w14:val="tx1"/>
                  </w14:solidFill>
                </w14:textFill>
              </w:rPr>
              <w:t>钦州港青菜头南浅海滩涂养殖区</w:t>
            </w:r>
          </w:p>
        </w:tc>
        <w:tc>
          <w:tcPr>
            <w:tcW w:w="2049" w:type="dxa"/>
            <w:vAlign w:val="center"/>
          </w:tcPr>
          <w:p w14:paraId="6CDC4638">
            <w:pPr>
              <w:pStyle w:val="70"/>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S</w:t>
            </w:r>
          </w:p>
        </w:tc>
        <w:tc>
          <w:tcPr>
            <w:tcW w:w="2304" w:type="dxa"/>
            <w:gridSpan w:val="2"/>
            <w:vAlign w:val="center"/>
          </w:tcPr>
          <w:p w14:paraId="49680639">
            <w:pPr>
              <w:pStyle w:val="70"/>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5.9</w:t>
            </w:r>
          </w:p>
        </w:tc>
      </w:tr>
      <w:tr w14:paraId="2BF9A4F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291" w:type="dxa"/>
            <w:vMerge w:val="continue"/>
            <w:vAlign w:val="center"/>
          </w:tcPr>
          <w:p w14:paraId="28DB83FD">
            <w:pPr>
              <w:pStyle w:val="70"/>
              <w:rPr>
                <w:color w:val="000000" w:themeColor="text1"/>
                <w14:textFill>
                  <w14:solidFill>
                    <w14:schemeClr w14:val="tx1"/>
                  </w14:solidFill>
                </w14:textFill>
              </w:rPr>
            </w:pPr>
          </w:p>
        </w:tc>
        <w:tc>
          <w:tcPr>
            <w:tcW w:w="470" w:type="dxa"/>
            <w:vAlign w:val="center"/>
          </w:tcPr>
          <w:p w14:paraId="7B7E0C8A">
            <w:pPr>
              <w:pStyle w:val="70"/>
              <w:ind w:firstLine="0" w:firstLineChars="0"/>
              <w:rPr>
                <w:rFonts w:hint="eastAsia"/>
                <w:color w:val="000000" w:themeColor="text1"/>
                <w:lang w:val="en-US" w:eastAsia="zh-CN"/>
                <w14:textFill>
                  <w14:solidFill>
                    <w14:schemeClr w14:val="tx1"/>
                  </w14:solidFill>
                </w14:textFill>
              </w:rPr>
            </w:pPr>
            <w:r>
              <w:rPr>
                <w:color w:val="000000" w:themeColor="text1"/>
                <w14:textFill>
                  <w14:solidFill>
                    <w14:schemeClr w14:val="tx1"/>
                  </w14:solidFill>
                </w14:textFill>
              </w:rPr>
              <w:t>3</w:t>
            </w:r>
          </w:p>
        </w:tc>
        <w:tc>
          <w:tcPr>
            <w:tcW w:w="2928" w:type="dxa"/>
            <w:gridSpan w:val="2"/>
            <w:vAlign w:val="center"/>
          </w:tcPr>
          <w:p w14:paraId="742B6BEA">
            <w:pPr>
              <w:pStyle w:val="70"/>
              <w:ind w:firstLine="0" w:firstLineChars="0"/>
              <w:rPr>
                <w:rFonts w:hint="eastAsia" w:eastAsia="宋体"/>
                <w:color w:val="000000" w:themeColor="text1"/>
                <w:lang w:val="en-US" w:eastAsia="zh-CN"/>
                <w14:textFill>
                  <w14:solidFill>
                    <w14:schemeClr w14:val="tx1"/>
                  </w14:solidFill>
                </w14:textFill>
              </w:rPr>
            </w:pPr>
            <w:r>
              <w:rPr>
                <w:color w:val="000000" w:themeColor="text1"/>
                <w14:textFill>
                  <w14:solidFill>
                    <w14:schemeClr w14:val="tx1"/>
                  </w14:solidFill>
                </w14:textFill>
              </w:rPr>
              <w:t>红树林集中分布斑块</w:t>
            </w:r>
          </w:p>
        </w:tc>
        <w:tc>
          <w:tcPr>
            <w:tcW w:w="2049" w:type="dxa"/>
            <w:vAlign w:val="center"/>
          </w:tcPr>
          <w:p w14:paraId="6DCECCE4">
            <w:pPr>
              <w:pStyle w:val="7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N</w:t>
            </w:r>
          </w:p>
        </w:tc>
        <w:tc>
          <w:tcPr>
            <w:tcW w:w="2304" w:type="dxa"/>
            <w:gridSpan w:val="2"/>
            <w:vAlign w:val="center"/>
          </w:tcPr>
          <w:p w14:paraId="434B80ED">
            <w:pPr>
              <w:pStyle w:val="7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3.8</w:t>
            </w:r>
          </w:p>
        </w:tc>
      </w:tr>
      <w:tr w14:paraId="1BC72E6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291" w:type="dxa"/>
            <w:vMerge w:val="continue"/>
            <w:vAlign w:val="center"/>
          </w:tcPr>
          <w:p w14:paraId="02C912C3">
            <w:pPr>
              <w:pStyle w:val="70"/>
              <w:rPr>
                <w:color w:val="000000" w:themeColor="text1"/>
                <w14:textFill>
                  <w14:solidFill>
                    <w14:schemeClr w14:val="tx1"/>
                  </w14:solidFill>
                </w14:textFill>
              </w:rPr>
            </w:pPr>
          </w:p>
        </w:tc>
        <w:tc>
          <w:tcPr>
            <w:tcW w:w="470" w:type="dxa"/>
            <w:vAlign w:val="center"/>
          </w:tcPr>
          <w:p w14:paraId="22A2C460">
            <w:pPr>
              <w:pStyle w:val="70"/>
              <w:ind w:firstLine="0" w:firstLineChars="0"/>
              <w:rPr>
                <w:rFonts w:hint="eastAsia"/>
                <w:color w:val="000000" w:themeColor="text1"/>
                <w:lang w:val="en-US" w:eastAsia="zh-CN"/>
                <w14:textFill>
                  <w14:solidFill>
                    <w14:schemeClr w14:val="tx1"/>
                  </w14:solidFill>
                </w14:textFill>
              </w:rPr>
            </w:pPr>
            <w:r>
              <w:rPr>
                <w:color w:val="000000" w:themeColor="text1"/>
                <w14:textFill>
                  <w14:solidFill>
                    <w14:schemeClr w14:val="tx1"/>
                  </w14:solidFill>
                </w14:textFill>
              </w:rPr>
              <w:t>4</w:t>
            </w:r>
          </w:p>
        </w:tc>
        <w:tc>
          <w:tcPr>
            <w:tcW w:w="2928" w:type="dxa"/>
            <w:gridSpan w:val="2"/>
            <w:vAlign w:val="center"/>
          </w:tcPr>
          <w:p w14:paraId="634DB5D3">
            <w:pPr>
              <w:pStyle w:val="70"/>
              <w:ind w:firstLine="0" w:firstLineChars="0"/>
              <w:rPr>
                <w:rFonts w:hint="eastAsia" w:eastAsia="宋体"/>
                <w:color w:val="000000" w:themeColor="text1"/>
                <w:lang w:val="en-US" w:eastAsia="zh-CN"/>
                <w14:textFill>
                  <w14:solidFill>
                    <w14:schemeClr w14:val="tx1"/>
                  </w14:solidFill>
                </w14:textFill>
              </w:rPr>
            </w:pPr>
            <w:r>
              <w:rPr>
                <w:color w:val="000000" w:themeColor="text1"/>
                <w14:textFill>
                  <w14:solidFill>
                    <w14:schemeClr w14:val="tx1"/>
                  </w14:solidFill>
                </w14:textFill>
              </w:rPr>
              <w:t>蚝排养殖区</w:t>
            </w:r>
          </w:p>
        </w:tc>
        <w:tc>
          <w:tcPr>
            <w:tcW w:w="2049" w:type="dxa"/>
            <w:vAlign w:val="center"/>
          </w:tcPr>
          <w:p w14:paraId="65EB4B51">
            <w:pPr>
              <w:pStyle w:val="7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E</w:t>
            </w:r>
          </w:p>
        </w:tc>
        <w:tc>
          <w:tcPr>
            <w:tcW w:w="2304" w:type="dxa"/>
            <w:gridSpan w:val="2"/>
            <w:vAlign w:val="center"/>
          </w:tcPr>
          <w:p w14:paraId="2ED1F9E7">
            <w:pPr>
              <w:pStyle w:val="7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3.6</w:t>
            </w:r>
          </w:p>
        </w:tc>
      </w:tr>
      <w:tr w14:paraId="3EEB32C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291" w:type="dxa"/>
            <w:vMerge w:val="continue"/>
            <w:vAlign w:val="center"/>
          </w:tcPr>
          <w:p w14:paraId="1F17A02C">
            <w:pPr>
              <w:pStyle w:val="70"/>
              <w:rPr>
                <w:color w:val="000000" w:themeColor="text1"/>
                <w14:textFill>
                  <w14:solidFill>
                    <w14:schemeClr w14:val="tx1"/>
                  </w14:solidFill>
                </w14:textFill>
              </w:rPr>
            </w:pPr>
          </w:p>
        </w:tc>
        <w:tc>
          <w:tcPr>
            <w:tcW w:w="470" w:type="dxa"/>
            <w:vAlign w:val="center"/>
          </w:tcPr>
          <w:p w14:paraId="1D434D8B">
            <w:pPr>
              <w:pStyle w:val="70"/>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5</w:t>
            </w:r>
          </w:p>
        </w:tc>
        <w:tc>
          <w:tcPr>
            <w:tcW w:w="2928" w:type="dxa"/>
            <w:gridSpan w:val="2"/>
            <w:vAlign w:val="center"/>
          </w:tcPr>
          <w:p w14:paraId="347BA9E5">
            <w:pPr>
              <w:pStyle w:val="70"/>
              <w:rPr>
                <w:rFonts w:hint="eastAsia" w:eastAsia="宋体"/>
                <w:color w:val="000000" w:themeColor="text1"/>
                <w:lang w:val="en-US" w:eastAsia="zh-CN"/>
                <w14:textFill>
                  <w14:solidFill>
                    <w14:schemeClr w14:val="tx1"/>
                  </w14:solidFill>
                </w14:textFill>
              </w:rPr>
            </w:pPr>
            <w:r>
              <w:rPr>
                <w:rFonts w:hint="eastAsia" w:eastAsia="宋体"/>
                <w:color w:val="000000" w:themeColor="text1"/>
                <w:lang w:val="en-US" w:eastAsia="zh-CN"/>
                <w14:textFill>
                  <w14:solidFill>
                    <w14:schemeClr w14:val="tx1"/>
                  </w14:solidFill>
                </w14:textFill>
              </w:rPr>
              <w:t>北部湾二长棘鲷长毛对虾国家级种质资源保护区（实验区）</w:t>
            </w:r>
          </w:p>
        </w:tc>
        <w:tc>
          <w:tcPr>
            <w:tcW w:w="2049" w:type="dxa"/>
            <w:vAlign w:val="center"/>
          </w:tcPr>
          <w:p w14:paraId="3ACB5203">
            <w:pPr>
              <w:pStyle w:val="70"/>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S</w:t>
            </w:r>
          </w:p>
        </w:tc>
        <w:tc>
          <w:tcPr>
            <w:tcW w:w="2304" w:type="dxa"/>
            <w:gridSpan w:val="2"/>
            <w:vAlign w:val="center"/>
          </w:tcPr>
          <w:p w14:paraId="02EF3FE4">
            <w:pPr>
              <w:pStyle w:val="70"/>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19</w:t>
            </w:r>
          </w:p>
        </w:tc>
      </w:tr>
      <w:tr w14:paraId="1F5B63B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291" w:type="dxa"/>
            <w:vMerge w:val="continue"/>
            <w:vAlign w:val="center"/>
          </w:tcPr>
          <w:p w14:paraId="5CAFD869">
            <w:pPr>
              <w:pStyle w:val="70"/>
              <w:rPr>
                <w:color w:val="000000" w:themeColor="text1"/>
                <w14:textFill>
                  <w14:solidFill>
                    <w14:schemeClr w14:val="tx1"/>
                  </w14:solidFill>
                </w14:textFill>
              </w:rPr>
            </w:pPr>
          </w:p>
        </w:tc>
        <w:tc>
          <w:tcPr>
            <w:tcW w:w="6709" w:type="dxa"/>
            <w:gridSpan w:val="5"/>
            <w:vAlign w:val="center"/>
          </w:tcPr>
          <w:p w14:paraId="6D0AC1F7">
            <w:pPr>
              <w:pStyle w:val="70"/>
              <w:rPr>
                <w:color w:val="000000" w:themeColor="text1"/>
                <w14:textFill>
                  <w14:solidFill>
                    <w14:schemeClr w14:val="tx1"/>
                  </w14:solidFill>
                </w14:textFill>
              </w:rPr>
            </w:pPr>
            <w:r>
              <w:rPr>
                <w:color w:val="000000" w:themeColor="text1"/>
                <w14:textFill>
                  <w14:solidFill>
                    <w14:schemeClr w14:val="tx1"/>
                  </w14:solidFill>
                </w14:textFill>
              </w:rPr>
              <w:t>地表水环境敏感程度E值</w:t>
            </w:r>
          </w:p>
        </w:tc>
        <w:tc>
          <w:tcPr>
            <w:tcW w:w="1042" w:type="dxa"/>
            <w:vAlign w:val="center"/>
          </w:tcPr>
          <w:p w14:paraId="2B4CE4E2">
            <w:pPr>
              <w:pStyle w:val="70"/>
              <w:rPr>
                <w:color w:val="000000" w:themeColor="text1"/>
                <w14:textFill>
                  <w14:solidFill>
                    <w14:schemeClr w14:val="tx1"/>
                  </w14:solidFill>
                </w14:textFill>
              </w:rPr>
            </w:pPr>
            <w:r>
              <w:rPr>
                <w:color w:val="000000" w:themeColor="text1"/>
                <w14:textFill>
                  <w14:solidFill>
                    <w14:schemeClr w14:val="tx1"/>
                  </w14:solidFill>
                </w14:textFill>
              </w:rPr>
              <w:t>E2</w:t>
            </w:r>
          </w:p>
        </w:tc>
      </w:tr>
    </w:tbl>
    <w:p w14:paraId="3EA79C3A">
      <w:pPr>
        <w:ind w:firstLine="480"/>
        <w:rPr>
          <w:color w:val="000000" w:themeColor="text1"/>
          <w14:textFill>
            <w14:solidFill>
              <w14:schemeClr w14:val="tx1"/>
            </w14:solidFill>
          </w14:textFill>
        </w:rPr>
      </w:pPr>
    </w:p>
    <w:p w14:paraId="0B0BBAE7">
      <w:pPr>
        <w:ind w:firstLine="480"/>
        <w:rPr>
          <w:color w:val="000000" w:themeColor="text1"/>
          <w14:textFill>
            <w14:solidFill>
              <w14:schemeClr w14:val="tx1"/>
            </w14:solidFill>
          </w14:textFill>
        </w:rPr>
        <w:sectPr>
          <w:headerReference r:id="rId14" w:type="default"/>
          <w:footerReference r:id="rId15" w:type="default"/>
          <w:pgSz w:w="11906" w:h="16838"/>
          <w:pgMar w:top="1417" w:right="1417" w:bottom="1417" w:left="1417" w:header="851" w:footer="680" w:gutter="0"/>
          <w:pgBorders>
            <w:top w:val="none" w:sz="0" w:space="0"/>
            <w:left w:val="none" w:sz="0" w:space="0"/>
            <w:bottom w:val="none" w:sz="0" w:space="0"/>
            <w:right w:val="none" w:sz="0" w:space="0"/>
          </w:pgBorders>
          <w:pgNumType w:fmt="numberInDash" w:start="1"/>
          <w:cols w:space="720" w:num="1"/>
        </w:sectPr>
      </w:pPr>
    </w:p>
    <w:p w14:paraId="5A7653B3">
      <w:pPr>
        <w:pStyle w:val="3"/>
        <w:rPr>
          <w:color w:val="000000" w:themeColor="text1"/>
          <w14:textFill>
            <w14:solidFill>
              <w14:schemeClr w14:val="tx1"/>
            </w14:solidFill>
          </w14:textFill>
        </w:rPr>
      </w:pPr>
      <w:bookmarkStart w:id="178" w:name="_Toc216620352"/>
      <w:r>
        <w:rPr>
          <w:color w:val="000000" w:themeColor="text1"/>
          <w14:textFill>
            <w14:solidFill>
              <w14:schemeClr w14:val="tx1"/>
            </w14:solidFill>
          </w14:textFill>
        </w:rPr>
        <w:t>建设项目概况与工程分析</w:t>
      </w:r>
      <w:bookmarkEnd w:id="178"/>
    </w:p>
    <w:p w14:paraId="7EA9A898">
      <w:pPr>
        <w:pStyle w:val="5"/>
        <w:rPr>
          <w:color w:val="000000" w:themeColor="text1"/>
          <w14:textFill>
            <w14:solidFill>
              <w14:schemeClr w14:val="tx1"/>
            </w14:solidFill>
          </w14:textFill>
        </w:rPr>
      </w:pPr>
      <w:bookmarkStart w:id="179" w:name="_Toc216620353"/>
      <w:r>
        <w:rPr>
          <w:color w:val="000000" w:themeColor="text1"/>
          <w14:textFill>
            <w14:solidFill>
              <w14:schemeClr w14:val="tx1"/>
            </w14:solidFill>
          </w14:textFill>
        </w:rPr>
        <w:t>建设项目概况</w:t>
      </w:r>
      <w:bookmarkEnd w:id="179"/>
    </w:p>
    <w:p w14:paraId="29771EC2">
      <w:pPr>
        <w:pStyle w:val="4"/>
        <w:rPr>
          <w:color w:val="000000" w:themeColor="text1"/>
          <w:u w:val="single"/>
          <w14:textFill>
            <w14:solidFill>
              <w14:schemeClr w14:val="tx1"/>
            </w14:solidFill>
          </w14:textFill>
        </w:rPr>
      </w:pPr>
      <w:bookmarkStart w:id="180" w:name="_Toc216620354"/>
      <w:bookmarkStart w:id="181" w:name="_Toc216103195"/>
      <w:bookmarkStart w:id="182" w:name="_Toc29131786"/>
      <w:bookmarkStart w:id="183" w:name="_Toc136878442"/>
      <w:bookmarkStart w:id="184" w:name="_Toc26909972"/>
      <w:bookmarkStart w:id="185" w:name="_Toc135090193"/>
      <w:bookmarkStart w:id="186" w:name="_Toc25436927"/>
      <w:r>
        <w:rPr>
          <w:color w:val="000000" w:themeColor="text1"/>
          <w:u w:val="single"/>
          <w14:textFill>
            <w14:solidFill>
              <w14:schemeClr w14:val="tx1"/>
            </w14:solidFill>
          </w14:textFill>
        </w:rPr>
        <w:t>现有工程概况</w:t>
      </w:r>
      <w:bookmarkEnd w:id="180"/>
      <w:bookmarkEnd w:id="181"/>
    </w:p>
    <w:p w14:paraId="4062799B">
      <w:pPr>
        <w:pStyle w:val="6"/>
        <w:rPr>
          <w:color w:val="000000" w:themeColor="text1"/>
          <w:u w:val="single"/>
          <w14:textFill>
            <w14:solidFill>
              <w14:schemeClr w14:val="tx1"/>
            </w14:solidFill>
          </w14:textFill>
        </w:rPr>
      </w:pPr>
      <w:r>
        <w:rPr>
          <w:color w:val="000000" w:themeColor="text1"/>
          <w:u w:val="single"/>
          <w14:textFill>
            <w14:solidFill>
              <w14:schemeClr w14:val="tx1"/>
            </w14:solidFill>
          </w14:textFill>
        </w:rPr>
        <w:t>现有14号泊位工程前期工作开展情况</w:t>
      </w:r>
    </w:p>
    <w:p w14:paraId="6026E75D">
      <w:pPr>
        <w:autoSpaceDE w:val="0"/>
        <w:autoSpaceDN w:val="0"/>
        <w:ind w:firstLine="480"/>
        <w:jc w:val="left"/>
        <w:rPr>
          <w:color w:val="000000" w:themeColor="text1"/>
          <w14:textFill>
            <w14:solidFill>
              <w14:schemeClr w14:val="tx1"/>
            </w14:solidFill>
          </w14:textFill>
        </w:rPr>
      </w:pPr>
      <w:r>
        <w:rPr>
          <w:rFonts w:hint="eastAsia"/>
          <w:color w:val="000000" w:themeColor="text1"/>
          <w:kern w:val="0"/>
          <w14:textFill>
            <w14:solidFill>
              <w14:schemeClr w14:val="tx1"/>
            </w14:solidFill>
          </w14:textFill>
        </w:rPr>
        <w:t>根据章节“概述”可见，</w:t>
      </w:r>
      <w:r>
        <w:rPr>
          <w:rFonts w:hint="eastAsia"/>
          <w:color w:val="000000" w:themeColor="text1"/>
          <w14:textFill>
            <w14:solidFill>
              <w14:schemeClr w14:val="tx1"/>
            </w14:solidFill>
          </w14:textFill>
        </w:rPr>
        <w:t>14号泊位</w:t>
      </w:r>
      <w:r>
        <w:rPr>
          <w:rFonts w:hint="eastAsia"/>
          <w:color w:val="000000" w:themeColor="text1"/>
          <w:lang w:eastAsia="zh-CN"/>
          <w14:textFill>
            <w14:solidFill>
              <w14:schemeClr w14:val="tx1"/>
            </w14:solidFill>
          </w14:textFill>
        </w:rPr>
        <w:t>工程</w:t>
      </w:r>
      <w:r>
        <w:rPr>
          <w:rFonts w:hint="eastAsia"/>
          <w:color w:val="000000" w:themeColor="text1"/>
          <w14:textFill>
            <w14:solidFill>
              <w14:schemeClr w14:val="tx1"/>
            </w14:solidFill>
          </w14:textFill>
        </w:rPr>
        <w:t>为1个5万吨级液体散货泊位，码头岸线总长度为240m，设计吞吐量276万吨/年，设计年通过能力300万吨/年；货种包括乙二醇、对二甲苯、甲醇、苯、甲苯、粗苯、混二甲苯、叔丁醇、环己烷、环己酮、液氨11种化学品。目前建设了苯、环己酮、粗苯、液氨装卸。</w:t>
      </w:r>
    </w:p>
    <w:p w14:paraId="4A5B4F0E">
      <w:pPr>
        <w:autoSpaceDE w:val="0"/>
        <w:autoSpaceDN w:val="0"/>
        <w:ind w:firstLine="48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陆域部分设置1座20000m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低温液氨储罐，配套建设公用、环保设施（包括管廊工程、BOG压缩机组、高架火炬、消防水罐及泵站、行政办公楼及配电室、应急物资库、危废暂存间、初期雨水池、事故应急池等）。</w:t>
      </w:r>
    </w:p>
    <w:p w14:paraId="328AD142">
      <w:pPr>
        <w:autoSpaceDE w:val="0"/>
        <w:autoSpaceDN w:val="0"/>
        <w:ind w:firstLine="480"/>
        <w:jc w:val="lef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水工部分码头结构采用圆筒墩式平台+引桥方案，码头面高程为6.30m，前沿停泊地底高程-13.70m。前沿布置1个34m×51m作业平台和4个17m×17m的靠船墩（系缆墩）。作业平台与靠船墩（系缆墩）之间的栈桥净跨30.25m，宽6m。作业平台与后方陆域连接设1座引桥，长46m，宽15m。码头前沿停泊水域宽度为65m，底高程-13.7m，回旋水域底高程为-11.3m，回旋水域采用圆形布置，直径为330m。</w:t>
      </w:r>
    </w:p>
    <w:p w14:paraId="01401DA2">
      <w:pPr>
        <w:autoSpaceDE w:val="0"/>
        <w:autoSpaceDN w:val="0"/>
        <w:ind w:firstLine="480"/>
        <w:jc w:val="left"/>
        <w:rPr>
          <w:rFonts w:hint="eastAsia" w:eastAsia="宋体"/>
          <w:color w:val="000000" w:themeColor="text1"/>
          <w:lang w:eastAsia="zh-CN"/>
          <w14:textFill>
            <w14:solidFill>
              <w14:schemeClr w14:val="tx1"/>
            </w14:solidFill>
          </w14:textFill>
        </w:rPr>
      </w:pPr>
      <w:r>
        <w:rPr>
          <w:rFonts w:hint="eastAsia"/>
          <w:color w:val="000000" w:themeColor="text1"/>
          <w14:textFill>
            <w14:solidFill>
              <w14:schemeClr w14:val="tx1"/>
            </w14:solidFill>
          </w14:textFill>
        </w:rPr>
        <w:t>14号泊位码头区域用海面积15120</w:t>
      </w:r>
      <w:r>
        <w:rPr>
          <w:rFonts w:hint="eastAsia"/>
          <w:color w:val="000000" w:themeColor="text1"/>
          <w:lang w:val="en-US" w:eastAsia="zh-CN"/>
          <w14:textFill>
            <w14:solidFill>
              <w14:schemeClr w14:val="tx1"/>
            </w14:solidFill>
          </w14:textFill>
        </w:rPr>
        <w:t>m</w:t>
      </w:r>
      <w:r>
        <w:rPr>
          <w:rFonts w:hint="eastAsia"/>
          <w:color w:val="000000" w:themeColor="text1"/>
          <w:vertAlign w:val="superscript"/>
          <w:lang w:val="en-US" w:eastAsia="zh-CN"/>
          <w14:textFill>
            <w14:solidFill>
              <w14:schemeClr w14:val="tx1"/>
            </w14:solidFill>
          </w14:textFill>
        </w:rPr>
        <w:t>2</w:t>
      </w:r>
      <w:r>
        <w:rPr>
          <w:rFonts w:hint="eastAsia"/>
          <w:color w:val="000000" w:themeColor="text1"/>
          <w:lang w:eastAsia="zh-CN"/>
          <w14:textFill>
            <w14:solidFill>
              <w14:schemeClr w14:val="tx1"/>
            </w14:solidFill>
          </w14:textFill>
        </w:rPr>
        <w:t>。</w:t>
      </w:r>
    </w:p>
    <w:p w14:paraId="359F8BA5">
      <w:pPr>
        <w:autoSpaceDE w:val="0"/>
        <w:autoSpaceDN w:val="0"/>
        <w:ind w:firstLine="480"/>
        <w:jc w:val="lef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项目已编制了《广西自贸区逸海港务有限责任公司突发环境事件应急预案》并备案（备案编号：450702-2025-0036-H）</w:t>
      </w:r>
    </w:p>
    <w:p w14:paraId="3AA77B71">
      <w:pPr>
        <w:pStyle w:val="6"/>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现有环境问题情</w:t>
      </w:r>
      <w:r>
        <w:rPr>
          <w:color w:val="000000" w:themeColor="text1"/>
          <w14:textFill>
            <w14:solidFill>
              <w14:schemeClr w14:val="tx1"/>
            </w14:solidFill>
          </w14:textFill>
        </w:rPr>
        <w:t>况</w:t>
      </w:r>
      <w:r>
        <w:rPr>
          <w:rFonts w:hint="eastAsia"/>
          <w:color w:val="000000" w:themeColor="text1"/>
          <w:lang w:val="en-US" w:eastAsia="zh-CN"/>
          <w14:textFill>
            <w14:solidFill>
              <w14:schemeClr w14:val="tx1"/>
            </w14:solidFill>
          </w14:textFill>
        </w:rPr>
        <w:t>及整改措施</w:t>
      </w:r>
    </w:p>
    <w:p w14:paraId="362BF9B2">
      <w:pPr>
        <w:rPr>
          <w:rFonts w:hint="default"/>
          <w:color w:val="000000" w:themeColor="text1"/>
          <w:lang w:val="en-US"/>
          <w14:textFill>
            <w14:solidFill>
              <w14:schemeClr w14:val="tx1"/>
            </w14:solidFill>
          </w14:textFill>
        </w:rPr>
      </w:pPr>
      <w:r>
        <w:rPr>
          <w:rFonts w:hint="eastAsia"/>
          <w:color w:val="000000" w:themeColor="text1"/>
          <w:lang w:val="en-US" w:eastAsia="zh-CN"/>
          <w14:textFill>
            <w14:solidFill>
              <w14:schemeClr w14:val="tx1"/>
            </w14:solidFill>
          </w14:textFill>
        </w:rPr>
        <w:t>根据现场调查以及《钦州港金谷港区金鼓江作业区14号泊位码头（一期工程）竣工环境保护验收调查报告》（2025.11），本项目现有环境问题及整改措施如下。</w:t>
      </w:r>
    </w:p>
    <w:p w14:paraId="6421AED7">
      <w:pPr>
        <w:numPr>
          <w:ilvl w:val="0"/>
          <w:numId w:val="15"/>
        </w:numPr>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危废</w:t>
      </w:r>
    </w:p>
    <w:p w14:paraId="0A5DE978">
      <w:pPr>
        <w:keepNext w:val="0"/>
        <w:keepLines w:val="0"/>
        <w:pageBreakBefore w:val="0"/>
        <w:widowControl w:val="0"/>
        <w:shd w:val="clear"/>
        <w:kinsoku/>
        <w:wordWrap/>
        <w:overflowPunct w:val="0"/>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olor w:val="000000" w:themeColor="text1"/>
          <w:lang w:val="en-US"/>
          <w14:textFill>
            <w14:solidFill>
              <w14:schemeClr w14:val="tx1"/>
            </w14:solidFill>
          </w14:textFill>
        </w:rPr>
      </w:pPr>
      <w:r>
        <w:rPr>
          <w:rFonts w:hint="eastAsia" w:ascii="Times New Roman" w:hAnsi="Times New Roman" w:eastAsia="宋体"/>
          <w:color w:val="000000" w:themeColor="text1"/>
          <w:highlight w:val="none"/>
          <w:lang w:val="en-US" w:eastAsia="zh-CN"/>
          <w14:textFill>
            <w14:solidFill>
              <w14:schemeClr w14:val="tx1"/>
            </w14:solidFill>
          </w14:textFill>
        </w:rPr>
        <w:t>项目目前尚未进行过危险废物转运，因此在后续项目运营过程中，</w:t>
      </w:r>
      <w:r>
        <w:rPr>
          <w:rFonts w:hint="default" w:ascii="Times New Roman" w:hAnsi="Times New Roman" w:eastAsia="宋体"/>
          <w:color w:val="000000" w:themeColor="text1"/>
          <w:lang w:val="en-US"/>
          <w14:textFill>
            <w14:solidFill>
              <w14:schemeClr w14:val="tx1"/>
            </w14:solidFill>
          </w14:textFill>
        </w:rPr>
        <w:t>项目危险废物转运前</w:t>
      </w:r>
      <w:r>
        <w:rPr>
          <w:rFonts w:hint="eastAsia" w:ascii="Times New Roman" w:hAnsi="Times New Roman" w:eastAsia="宋体"/>
          <w:color w:val="000000" w:themeColor="text1"/>
          <w:lang w:val="en-US" w:eastAsia="zh-CN"/>
          <w14:textFill>
            <w14:solidFill>
              <w14:schemeClr w14:val="tx1"/>
            </w14:solidFill>
          </w14:textFill>
        </w:rPr>
        <w:t>应按照</w:t>
      </w:r>
      <w:r>
        <w:rPr>
          <w:rFonts w:hint="default" w:ascii="Times New Roman" w:hAnsi="Times New Roman" w:eastAsia="宋体"/>
          <w:color w:val="000000" w:themeColor="text1"/>
          <w:lang w:val="en-US"/>
          <w14:textFill>
            <w14:solidFill>
              <w14:schemeClr w14:val="tx1"/>
            </w14:solidFill>
          </w14:textFill>
        </w:rPr>
        <w:t>《危险废物收集贮存运输技术规范》（HJ2025-2012）、《危险废物转移联单管理办法》要求做好危废产生、厂内转运、暂存台帐，严格执行危废转移联单申报制度。</w:t>
      </w:r>
    </w:p>
    <w:p w14:paraId="618ACF9B">
      <w:pPr>
        <w:keepNext w:val="0"/>
        <w:keepLines w:val="0"/>
        <w:pageBreakBefore w:val="0"/>
        <w:widowControl w:val="0"/>
        <w:shd w:val="clear"/>
        <w:kinsoku/>
        <w:wordWrap/>
        <w:overflowPunct w:val="0"/>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本次环评要求按照《钦州港金谷港区金鼓江作业区14号泊位码头（一期工程）竣工环境保护验收调查报告》（2025.11）意见整改。</w:t>
      </w:r>
    </w:p>
    <w:p w14:paraId="61420AAE">
      <w:pPr>
        <w:numPr>
          <w:ilvl w:val="0"/>
          <w:numId w:val="15"/>
        </w:numPr>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土壤和地下水</w:t>
      </w:r>
    </w:p>
    <w:p w14:paraId="54A3C343">
      <w:pPr>
        <w:keepNext w:val="0"/>
        <w:keepLines w:val="0"/>
        <w:pageBreakBefore w:val="0"/>
        <w:widowControl w:val="0"/>
        <w:kinsoku/>
        <w:wordWrap/>
        <w:overflowPunct w:val="0"/>
        <w:topLinePunct w:val="0"/>
        <w:autoSpaceDE/>
        <w:autoSpaceDN/>
        <w:bidi w:val="0"/>
        <w:adjustRightInd/>
        <w:snapToGrid/>
        <w:textAlignment w:val="auto"/>
        <w:rPr>
          <w:rFonts w:hint="eastAsia" w:ascii="Times New Roman" w:hAnsi="Times New Roman" w:eastAsia="宋体"/>
          <w:color w:val="000000" w:themeColor="text1"/>
          <w:lang w:val="en-US" w:eastAsia="zh-CN"/>
          <w14:textFill>
            <w14:solidFill>
              <w14:schemeClr w14:val="tx1"/>
            </w14:solidFill>
          </w14:textFill>
        </w:rPr>
      </w:pPr>
      <w:r>
        <w:rPr>
          <w:rFonts w:hint="eastAsia" w:ascii="Times New Roman" w:hAnsi="Times New Roman" w:eastAsia="宋体"/>
          <w:color w:val="000000" w:themeColor="text1"/>
          <w:lang w:val="en-US" w:eastAsia="zh-CN"/>
          <w14:textFill>
            <w14:solidFill>
              <w14:schemeClr w14:val="tx1"/>
            </w14:solidFill>
          </w14:textFill>
        </w:rPr>
        <w:t>由于目前项目仅设置1座液氨储罐，未进行集中式储罐区建设，不涉及有机物在厂区内的集中式储存，不涉及有机物的垂直入渗影响途径，因此未设置地下水跟踪监测井和土壤跟踪监测点。</w:t>
      </w:r>
    </w:p>
    <w:p w14:paraId="61C60758">
      <w:pPr>
        <w:keepNext w:val="0"/>
        <w:keepLines w:val="0"/>
        <w:pageBreakBefore w:val="0"/>
        <w:widowControl w:val="0"/>
        <w:kinsoku/>
        <w:wordWrap/>
        <w:overflowPunct w:val="0"/>
        <w:topLinePunct w:val="0"/>
        <w:autoSpaceDE/>
        <w:autoSpaceDN/>
        <w:bidi w:val="0"/>
        <w:adjustRightInd/>
        <w:snapToGrid/>
        <w:textAlignment w:val="auto"/>
        <w:rPr>
          <w:rFonts w:hint="eastAsia" w:ascii="Times New Roman" w:hAnsi="Times New Roman" w:eastAsia="宋体"/>
          <w:color w:val="000000" w:themeColor="text1"/>
          <w:lang w:val="en-US" w:eastAsia="zh-CN"/>
          <w14:textFill>
            <w14:solidFill>
              <w14:schemeClr w14:val="tx1"/>
            </w14:solidFill>
          </w14:textFill>
        </w:rPr>
      </w:pPr>
      <w:r>
        <w:rPr>
          <w:rFonts w:hint="eastAsia" w:ascii="Times New Roman" w:hAnsi="Times New Roman" w:eastAsia="宋体"/>
          <w:color w:val="000000" w:themeColor="text1"/>
          <w:lang w:val="en-US" w:eastAsia="zh-CN"/>
          <w14:textFill>
            <w14:solidFill>
              <w14:schemeClr w14:val="tx1"/>
            </w14:solidFill>
          </w14:textFill>
        </w:rPr>
        <w:t>若项目二期工程投入建设，应按照环评及批复要求，合理设置地下水监测点和土壤监测点，做好地下水污染预警预报以及应急措施。</w:t>
      </w:r>
    </w:p>
    <w:p w14:paraId="15E6C44B">
      <w:pPr>
        <w:keepNext w:val="0"/>
        <w:keepLines w:val="0"/>
        <w:pageBreakBefore w:val="0"/>
        <w:widowControl w:val="0"/>
        <w:kinsoku/>
        <w:wordWrap/>
        <w:overflowPunct w:val="0"/>
        <w:topLinePunct w:val="0"/>
        <w:autoSpaceDE/>
        <w:autoSpaceDN/>
        <w:bidi w:val="0"/>
        <w:adjustRightInd/>
        <w:snapToGrid/>
        <w:textAlignment w:val="auto"/>
        <w:rPr>
          <w:rFonts w:hint="default" w:ascii="Times New Roman" w:hAnsi="Times New Roman" w:eastAsia="宋体"/>
          <w:color w:val="000000" w:themeColor="text1"/>
          <w:lang w:val="en-US" w:eastAsia="zh-CN"/>
          <w14:textFill>
            <w14:solidFill>
              <w14:schemeClr w14:val="tx1"/>
            </w14:solidFill>
          </w14:textFill>
        </w:rPr>
      </w:pPr>
      <w:r>
        <w:rPr>
          <w:rFonts w:hint="eastAsia" w:ascii="Times New Roman" w:hAnsi="Times New Roman" w:eastAsia="宋体"/>
          <w:color w:val="000000" w:themeColor="text1"/>
          <w:lang w:val="en-US" w:eastAsia="zh-CN"/>
          <w14:textFill>
            <w14:solidFill>
              <w14:schemeClr w14:val="tx1"/>
            </w14:solidFill>
          </w14:textFill>
        </w:rPr>
        <w:t>本项目不涉及土壤和地下水污染，要求</w:t>
      </w:r>
      <w:r>
        <w:rPr>
          <w:rFonts w:hint="eastAsia"/>
          <w:color w:val="000000" w:themeColor="text1"/>
          <w:lang w:val="en-US" w:eastAsia="zh-CN"/>
          <w14:textFill>
            <w14:solidFill>
              <w14:schemeClr w14:val="tx1"/>
            </w14:solidFill>
          </w14:textFill>
        </w:rPr>
        <w:t>严格</w:t>
      </w:r>
      <w:r>
        <w:rPr>
          <w:rFonts w:hint="eastAsia" w:ascii="Times New Roman" w:hAnsi="Times New Roman" w:eastAsia="宋体"/>
          <w:color w:val="000000" w:themeColor="text1"/>
          <w:lang w:val="en-US" w:eastAsia="zh-CN"/>
          <w14:textFill>
            <w14:solidFill>
              <w14:schemeClr w14:val="tx1"/>
            </w14:solidFill>
          </w14:textFill>
        </w:rPr>
        <w:t>按照《钦州港金谷港区金鼓江作业区14号泊位码头（一期工程）竣工环境保护验收调查报告》（2025.11）意见整改。</w:t>
      </w:r>
    </w:p>
    <w:p w14:paraId="32C98766">
      <w:pPr>
        <w:numPr>
          <w:ilvl w:val="0"/>
          <w:numId w:val="15"/>
        </w:numP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生态</w:t>
      </w:r>
    </w:p>
    <w:p w14:paraId="56ECD710">
      <w:pPr>
        <w:bidi w:val="0"/>
        <w:rPr>
          <w:rFonts w:hint="default" w:ascii="Times New Roman" w:hAnsi="Times New Roman" w:eastAsia="宋体"/>
          <w:color w:val="000000" w:themeColor="text1"/>
          <w:lang w:val="en-US" w:eastAsia="zh-CN"/>
          <w14:textFill>
            <w14:solidFill>
              <w14:schemeClr w14:val="tx1"/>
            </w14:solidFill>
          </w14:textFill>
        </w:rPr>
      </w:pPr>
      <w:r>
        <w:rPr>
          <w:rFonts w:hint="eastAsia" w:ascii="Times New Roman" w:hAnsi="Times New Roman" w:eastAsia="宋体"/>
          <w:color w:val="000000" w:themeColor="text1"/>
          <w:lang w:val="en-US" w:eastAsia="zh-CN"/>
          <w14:textFill>
            <w14:solidFill>
              <w14:schemeClr w14:val="tx1"/>
            </w14:solidFill>
          </w14:textFill>
        </w:rPr>
        <w:t>由于项目</w:t>
      </w:r>
      <w:r>
        <w:rPr>
          <w:rFonts w:hint="default" w:ascii="Times New Roman" w:hAnsi="Times New Roman" w:eastAsia="宋体"/>
          <w:color w:val="000000" w:themeColor="text1"/>
          <w:lang w:val="en-US" w:eastAsia="zh-CN"/>
          <w14:textFill>
            <w14:solidFill>
              <w14:schemeClr w14:val="tx1"/>
            </w14:solidFill>
          </w14:textFill>
        </w:rPr>
        <w:t>（水工部分</w:t>
      </w:r>
      <w:r>
        <w:rPr>
          <w:rFonts w:hint="eastAsia" w:ascii="Times New Roman" w:hAnsi="Times New Roman" w:eastAsia="宋体"/>
          <w:color w:val="000000" w:themeColor="text1"/>
          <w:lang w:val="en-US" w:eastAsia="zh-CN"/>
          <w14:textFill>
            <w14:solidFill>
              <w14:schemeClr w14:val="tx1"/>
            </w14:solidFill>
          </w14:textFill>
        </w:rPr>
        <w:t>）</w:t>
      </w:r>
      <w:r>
        <w:rPr>
          <w:rFonts w:hint="default" w:ascii="Times New Roman" w:hAnsi="Times New Roman" w:eastAsia="宋体"/>
          <w:color w:val="000000" w:themeColor="text1"/>
          <w:lang w:val="en-US" w:eastAsia="zh-CN"/>
          <w14:textFill>
            <w14:solidFill>
              <w14:schemeClr w14:val="tx1"/>
            </w14:solidFill>
          </w14:textFill>
        </w:rPr>
        <w:t>渔业资源补偿增殖放流实施方案</w:t>
      </w:r>
      <w:r>
        <w:rPr>
          <w:rFonts w:hint="eastAsia" w:ascii="Times New Roman" w:hAnsi="Times New Roman" w:eastAsia="宋体"/>
          <w:color w:val="000000" w:themeColor="text1"/>
          <w:lang w:val="en-US" w:eastAsia="zh-CN"/>
          <w14:textFill>
            <w14:solidFill>
              <w14:schemeClr w14:val="tx1"/>
            </w14:solidFill>
          </w14:textFill>
        </w:rPr>
        <w:t>尚未批复，同时</w:t>
      </w:r>
      <w:r>
        <w:rPr>
          <w:rFonts w:hint="default" w:ascii="Times New Roman" w:hAnsi="Times New Roman" w:eastAsia="宋体"/>
          <w:color w:val="000000" w:themeColor="text1"/>
          <w:lang w:val="en-US" w:eastAsia="zh-CN"/>
          <w14:textFill>
            <w14:solidFill>
              <w14:schemeClr w14:val="tx1"/>
            </w14:solidFill>
          </w14:textFill>
        </w:rPr>
        <w:t>（</w:t>
      </w:r>
      <w:r>
        <w:rPr>
          <w:rFonts w:hint="eastAsia" w:ascii="Times New Roman" w:hAnsi="Times New Roman" w:eastAsia="宋体"/>
          <w:color w:val="000000" w:themeColor="text1"/>
          <w:lang w:val="en-US" w:eastAsia="zh-CN"/>
          <w14:textFill>
            <w14:solidFill>
              <w14:schemeClr w14:val="tx1"/>
            </w14:solidFill>
          </w14:textFill>
        </w:rPr>
        <w:t>陆域</w:t>
      </w:r>
      <w:r>
        <w:rPr>
          <w:rFonts w:hint="default" w:ascii="Times New Roman" w:hAnsi="Times New Roman" w:eastAsia="宋体"/>
          <w:color w:val="000000" w:themeColor="text1"/>
          <w:lang w:val="en-US" w:eastAsia="zh-CN"/>
          <w14:textFill>
            <w14:solidFill>
              <w14:schemeClr w14:val="tx1"/>
            </w14:solidFill>
          </w14:textFill>
        </w:rPr>
        <w:t>部分</w:t>
      </w:r>
      <w:r>
        <w:rPr>
          <w:rFonts w:hint="eastAsia" w:ascii="Times New Roman" w:hAnsi="Times New Roman" w:eastAsia="宋体"/>
          <w:color w:val="000000" w:themeColor="text1"/>
          <w:lang w:val="en-US" w:eastAsia="zh-CN"/>
          <w14:textFill>
            <w14:solidFill>
              <w14:schemeClr w14:val="tx1"/>
            </w14:solidFill>
          </w14:textFill>
        </w:rPr>
        <w:t>）</w:t>
      </w:r>
      <w:r>
        <w:rPr>
          <w:rFonts w:hint="default" w:ascii="Times New Roman" w:hAnsi="Times New Roman" w:eastAsia="宋体"/>
          <w:color w:val="000000" w:themeColor="text1"/>
          <w:lang w:val="en-US" w:eastAsia="zh-CN"/>
          <w14:textFill>
            <w14:solidFill>
              <w14:schemeClr w14:val="tx1"/>
            </w14:solidFill>
          </w14:textFill>
        </w:rPr>
        <w:t>渔业资源补偿增殖放流实施方案</w:t>
      </w:r>
      <w:r>
        <w:rPr>
          <w:rFonts w:hint="eastAsia" w:ascii="Times New Roman" w:hAnsi="Times New Roman" w:eastAsia="宋体"/>
          <w:color w:val="000000" w:themeColor="text1"/>
          <w:lang w:val="en-US" w:eastAsia="zh-CN"/>
          <w14:textFill>
            <w14:solidFill>
              <w14:schemeClr w14:val="tx1"/>
            </w14:solidFill>
          </w14:textFill>
        </w:rPr>
        <w:t>尚未组织编制、上报，因此本次验收提出如下补救措施与建议：</w:t>
      </w:r>
    </w:p>
    <w:p w14:paraId="30E8C417">
      <w:pPr>
        <w:bidi w:val="0"/>
        <w:rPr>
          <w:rFonts w:hint="eastAsia" w:ascii="Times New Roman" w:hAnsi="Times New Roman" w:eastAsia="宋体"/>
          <w:color w:val="000000" w:themeColor="text1"/>
          <w:lang w:val="en-US" w:eastAsia="zh-CN"/>
          <w14:textFill>
            <w14:solidFill>
              <w14:schemeClr w14:val="tx1"/>
            </w14:solidFill>
          </w14:textFill>
        </w:rPr>
      </w:pPr>
      <w:r>
        <w:rPr>
          <w:rFonts w:hint="eastAsia" w:ascii="Times New Roman" w:hAnsi="Times New Roman" w:eastAsia="宋体"/>
          <w:color w:val="000000" w:themeColor="text1"/>
          <w:lang w:val="en-US" w:eastAsia="zh-CN"/>
          <w14:textFill>
            <w14:solidFill>
              <w14:schemeClr w14:val="tx1"/>
            </w14:solidFill>
          </w14:textFill>
        </w:rPr>
        <w:t>①项目建设单位应按主管部门批复的增殖放流实施方案要求有序推进渔业资源补偿工作</w:t>
      </w:r>
      <w:r>
        <w:rPr>
          <w:rFonts w:hint="eastAsia" w:ascii="Times New Roman" w:hAnsi="Times New Roman" w:eastAsia="宋体" w:cs="Times New Roman"/>
          <w:color w:val="000000" w:themeColor="text1"/>
          <w:highlight w:val="none"/>
          <w:u w:val="none"/>
          <w:lang w:eastAsia="zh-CN"/>
          <w14:textFill>
            <w14:solidFill>
              <w14:schemeClr w14:val="tx1"/>
            </w14:solidFill>
          </w14:textFill>
        </w:rPr>
        <w:t>。</w:t>
      </w:r>
    </w:p>
    <w:p w14:paraId="0369EB42">
      <w:pPr>
        <w:bidi w:val="0"/>
        <w:rPr>
          <w:rFonts w:hint="eastAsia" w:ascii="Times New Roman" w:hAnsi="Times New Roman" w:eastAsia="宋体"/>
          <w:color w:val="000000" w:themeColor="text1"/>
          <w:lang w:val="en-US" w:eastAsia="zh-CN"/>
          <w14:textFill>
            <w14:solidFill>
              <w14:schemeClr w14:val="tx1"/>
            </w14:solidFill>
          </w14:textFill>
        </w:rPr>
      </w:pPr>
      <w:r>
        <w:rPr>
          <w:rFonts w:hint="eastAsia" w:ascii="Times New Roman" w:hAnsi="Times New Roman" w:eastAsia="宋体"/>
          <w:color w:val="000000" w:themeColor="text1"/>
          <w:lang w:val="en-US" w:eastAsia="zh-CN"/>
          <w14:textFill>
            <w14:solidFill>
              <w14:schemeClr w14:val="tx1"/>
            </w14:solidFill>
          </w14:textFill>
        </w:rPr>
        <w:t>②在项目二期工程建设阶段，建设单位应同步开展14号泊位（陆域部分）生态补偿方案编制、上报工作，并在获得主管部门批复后按要求组织实施。</w:t>
      </w:r>
    </w:p>
    <w:p w14:paraId="3BA12804">
      <w:pPr>
        <w:bidi w:val="0"/>
        <w:rPr>
          <w:rFonts w:hint="default" w:ascii="Times New Roman" w:hAnsi="Times New Roman"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本次环评不涉及生态补偿，要求严格按照</w:t>
      </w:r>
      <w:r>
        <w:rPr>
          <w:rFonts w:hint="eastAsia" w:ascii="Times New Roman" w:hAnsi="Times New Roman" w:eastAsia="宋体"/>
          <w:color w:val="000000" w:themeColor="text1"/>
          <w:lang w:val="en-US" w:eastAsia="zh-CN"/>
          <w14:textFill>
            <w14:solidFill>
              <w14:schemeClr w14:val="tx1"/>
            </w14:solidFill>
          </w14:textFill>
        </w:rPr>
        <w:t>《钦州港金谷港区金鼓江作业区14号泊位码头（一期工程）竣工环境保护验收调查报告》（2025.11）意见整改。</w:t>
      </w:r>
    </w:p>
    <w:p w14:paraId="7AA158C2">
      <w:pPr>
        <w:numPr>
          <w:ilvl w:val="0"/>
          <w:numId w:val="15"/>
        </w:numP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环境风险</w:t>
      </w:r>
    </w:p>
    <w:p w14:paraId="774FAC13">
      <w:pPr>
        <w:rPr>
          <w:rFonts w:hint="eastAsia" w:ascii="Times New Roman" w:hAnsi="Times New Roman" w:eastAsia="宋体" w:cs="Times New Roman"/>
          <w:color w:val="000000" w:themeColor="text1"/>
          <w:highlight w:val="none"/>
          <w:u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u w:val="none"/>
          <w:lang w:val="en-US" w:eastAsia="zh-CN"/>
          <w14:textFill>
            <w14:solidFill>
              <w14:schemeClr w14:val="tx1"/>
            </w14:solidFill>
          </w14:textFill>
        </w:rPr>
        <w:t>目前项目尚未按照应急预案要求开展过应急演练</w:t>
      </w:r>
      <w:r>
        <w:rPr>
          <w:rFonts w:hint="eastAsia" w:cs="Times New Roman"/>
          <w:color w:val="000000" w:themeColor="text1"/>
          <w:highlight w:val="none"/>
          <w:u w:val="none"/>
          <w:lang w:val="en-US" w:eastAsia="zh-CN"/>
          <w14:textFill>
            <w14:solidFill>
              <w14:schemeClr w14:val="tx1"/>
            </w14:solidFill>
          </w14:textFill>
        </w:rPr>
        <w:t>。</w:t>
      </w:r>
      <w:r>
        <w:rPr>
          <w:rFonts w:hint="eastAsia" w:ascii="Times New Roman" w:hAnsi="Times New Roman" w:eastAsia="宋体" w:cs="Times New Roman"/>
          <w:color w:val="000000" w:themeColor="text1"/>
          <w:highlight w:val="none"/>
          <w:u w:val="none"/>
          <w:lang w:val="en-US" w:eastAsia="zh-CN"/>
          <w14:textFill>
            <w14:solidFill>
              <w14:schemeClr w14:val="tx1"/>
            </w14:solidFill>
          </w14:textFill>
        </w:rPr>
        <w:t>项目在运营期应按照应急预案要求定期开展应急演练，一旦发生环境事故，可及时启动应急预案、采取相应措施。</w:t>
      </w:r>
    </w:p>
    <w:p w14:paraId="72C68A83">
      <w:pPr>
        <w:rPr>
          <w:rFonts w:hint="default" w:ascii="Times New Roman" w:hAnsi="Times New Roman" w:eastAsia="宋体" w:cs="Times New Roman"/>
          <w:color w:val="000000" w:themeColor="text1"/>
          <w:highlight w:val="none"/>
          <w:u w:val="none"/>
          <w:lang w:val="en-US" w:eastAsia="zh-CN"/>
          <w14:textFill>
            <w14:solidFill>
              <w14:schemeClr w14:val="tx1"/>
            </w14:solidFill>
          </w14:textFill>
        </w:rPr>
      </w:pPr>
      <w:r>
        <w:rPr>
          <w:rFonts w:hint="eastAsia" w:cs="Times New Roman"/>
          <w:color w:val="000000" w:themeColor="text1"/>
          <w:highlight w:val="none"/>
          <w:u w:val="none"/>
          <w:lang w:val="en-US" w:eastAsia="zh-CN"/>
          <w14:textFill>
            <w14:solidFill>
              <w14:schemeClr w14:val="tx1"/>
            </w14:solidFill>
          </w14:textFill>
        </w:rPr>
        <w:t>本次环评要求严格按照</w:t>
      </w:r>
      <w:r>
        <w:rPr>
          <w:rFonts w:hint="eastAsia" w:ascii="Times New Roman" w:hAnsi="Times New Roman" w:eastAsia="宋体"/>
          <w:color w:val="000000" w:themeColor="text1"/>
          <w:lang w:val="en-US" w:eastAsia="zh-CN"/>
          <w14:textFill>
            <w14:solidFill>
              <w14:schemeClr w14:val="tx1"/>
            </w14:solidFill>
          </w14:textFill>
        </w:rPr>
        <w:t>《钦州港金谷港区金鼓江作业区14号泊位码头（一期工程）竣工环境保护验收调查报告》（2025.11）意见整改。</w:t>
      </w:r>
    </w:p>
    <w:p w14:paraId="2A7729EC">
      <w:pPr>
        <w:pStyle w:val="6"/>
        <w:rPr>
          <w:color w:val="000000" w:themeColor="text1"/>
          <w14:textFill>
            <w14:solidFill>
              <w14:schemeClr w14:val="tx1"/>
            </w14:solidFill>
          </w14:textFill>
        </w:rPr>
      </w:pPr>
      <w:r>
        <w:rPr>
          <w:color w:val="000000" w:themeColor="text1"/>
          <w14:textFill>
            <w14:solidFill>
              <w14:schemeClr w14:val="tx1"/>
            </w14:solidFill>
          </w14:textFill>
        </w:rPr>
        <w:t>环境影响回顾分析及环保措施落实情况</w:t>
      </w:r>
    </w:p>
    <w:p w14:paraId="66B05C8E">
      <w:pPr>
        <w:autoSpaceDE w:val="0"/>
        <w:autoSpaceDN w:val="0"/>
        <w:ind w:firstLine="480"/>
        <w:jc w:val="left"/>
        <w:rPr>
          <w:color w:val="000000" w:themeColor="text1"/>
          <w14:textFill>
            <w14:solidFill>
              <w14:schemeClr w14:val="tx1"/>
            </w14:solidFill>
          </w14:textFill>
        </w:rPr>
      </w:pPr>
      <w:r>
        <w:rPr>
          <w:color w:val="000000" w:themeColor="text1"/>
          <w:kern w:val="0"/>
          <w14:textFill>
            <w14:solidFill>
              <w14:schemeClr w14:val="tx1"/>
            </w14:solidFill>
          </w14:textFill>
        </w:rPr>
        <w:t>根据《</w:t>
      </w:r>
      <w:r>
        <w:rPr>
          <w:color w:val="000000" w:themeColor="text1"/>
          <w14:textFill>
            <w14:solidFill>
              <w14:schemeClr w14:val="tx1"/>
            </w14:solidFill>
          </w14:textFill>
        </w:rPr>
        <w:t>钦州港金谷港区金鼓江作业区14</w:t>
      </w:r>
      <w:r>
        <w:rPr>
          <w:rFonts w:hint="eastAsia"/>
          <w:color w:val="000000" w:themeColor="text1"/>
          <w14:textFill>
            <w14:solidFill>
              <w14:schemeClr w14:val="tx1"/>
            </w14:solidFill>
          </w14:textFill>
        </w:rPr>
        <w:t>号、15号</w:t>
      </w:r>
      <w:r>
        <w:rPr>
          <w:color w:val="000000" w:themeColor="text1"/>
          <w14:textFill>
            <w14:solidFill>
              <w14:schemeClr w14:val="tx1"/>
            </w14:solidFill>
          </w14:textFill>
        </w:rPr>
        <w:t>泊位</w:t>
      </w:r>
      <w:r>
        <w:rPr>
          <w:rFonts w:hint="eastAsia"/>
          <w:color w:val="000000" w:themeColor="text1"/>
          <w14:textFill>
            <w14:solidFill>
              <w14:schemeClr w14:val="tx1"/>
            </w14:solidFill>
          </w14:textFill>
        </w:rPr>
        <w:t>（重大变动）</w:t>
      </w:r>
      <w:r>
        <w:rPr>
          <w:color w:val="000000" w:themeColor="text1"/>
          <w14:textFill>
            <w14:solidFill>
              <w14:schemeClr w14:val="tx1"/>
            </w14:solidFill>
          </w14:textFill>
        </w:rPr>
        <w:t>工程环境影响报告书</w:t>
      </w:r>
      <w:r>
        <w:rPr>
          <w:color w:val="000000" w:themeColor="text1"/>
          <w:kern w:val="0"/>
          <w14:textFill>
            <w14:solidFill>
              <w14:schemeClr w14:val="tx1"/>
            </w14:solidFill>
          </w14:textFill>
        </w:rPr>
        <w:t>》可知，项目</w:t>
      </w:r>
      <w:r>
        <w:rPr>
          <w:rFonts w:hint="eastAsia"/>
          <w:color w:val="000000" w:themeColor="text1"/>
          <w:kern w:val="0"/>
          <w:lang w:eastAsia="zh-CN"/>
          <w14:textFill>
            <w14:solidFill>
              <w14:schemeClr w14:val="tx1"/>
            </w14:solidFill>
          </w14:textFill>
        </w:rPr>
        <w:t>由</w:t>
      </w:r>
      <w:r>
        <w:rPr>
          <w:rFonts w:hint="eastAsia"/>
          <w:color w:val="000000" w:themeColor="text1"/>
          <w14:textFill>
            <w14:solidFill>
              <w14:schemeClr w14:val="tx1"/>
            </w14:solidFill>
          </w14:textFill>
        </w:rPr>
        <w:t>码头及后方陆域组成。后期实行过程中，泊位、后方陆域均分开实施。</w:t>
      </w:r>
    </w:p>
    <w:p w14:paraId="1CC4F6A8">
      <w:pPr>
        <w:autoSpaceDE w:val="0"/>
        <w:autoSpaceDN w:val="0"/>
        <w:ind w:firstLine="48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现有建设内容：14号泊位码头工程及装卸苯、环己酮、粗苯、液氨设备。对应14号泊位后方的罐区，仅建设了1座20000m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低温液氨储罐，配套建设公用、环保设施（包括管廊工程、BOG压缩机组、高架火炬、消防水罐及泵站、行政办公楼及配电室、应急物资库、危废暂存间、初期雨水池、事故应急池等）。以上内容为钦州港金谷港区金鼓江作业区14号泊位码头（一期工程）。并于2025年12月完成竣工环保验收。</w:t>
      </w:r>
    </w:p>
    <w:p w14:paraId="1CDE4745">
      <w:pPr>
        <w:autoSpaceDE w:val="0"/>
        <w:autoSpaceDN w:val="0"/>
        <w:ind w:firstLine="48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根据《钦州港金谷港区金鼓江作业区14号、15号泊位（重大变动）工程环境影响报告书》，14#泊位废气处理设施为1套冷凝+催化燃烧油气回收装置，处理效率为95%。根据验收报告，项目产生的有组织废气经管道输送至接收单位广西恒逸新材料有限公司（广西恒逸新材料有限公司年产120万吨己内酰胺—聚酰胺产业一体化及配套工程项目）进行处理，工艺采用“RTO蓄热式焚烧炉”，排气筒高35m。</w:t>
      </w:r>
      <w:r>
        <w:rPr>
          <w:rFonts w:hint="eastAsia" w:ascii="宋体" w:hAnsi="宋体"/>
          <w:color w:val="000000" w:themeColor="text1"/>
          <w14:textFill>
            <w14:solidFill>
              <w14:schemeClr w14:val="tx1"/>
            </w14:solidFill>
          </w14:textFill>
        </w:rPr>
        <w:t>根据广西恒逸新材料有限公司委托中国检验认证集团广西有限公司于</w:t>
      </w:r>
      <w:r>
        <w:rPr>
          <w:rFonts w:hint="eastAsia"/>
          <w:color w:val="000000" w:themeColor="text1"/>
          <w14:textFill>
            <w14:solidFill>
              <w14:schemeClr w14:val="tx1"/>
            </w14:solidFill>
          </w14:textFill>
        </w:rPr>
        <w:t>2025</w:t>
      </w:r>
      <w:r>
        <w:rPr>
          <w:rFonts w:hint="eastAsia" w:ascii="宋体" w:hAnsi="宋体"/>
          <w:color w:val="000000" w:themeColor="text1"/>
          <w14:textFill>
            <w14:solidFill>
              <w14:schemeClr w14:val="tx1"/>
            </w14:solidFill>
          </w14:textFill>
        </w:rPr>
        <w:t>年</w:t>
      </w:r>
      <w:r>
        <w:rPr>
          <w:rFonts w:hint="eastAsia"/>
          <w:color w:val="000000" w:themeColor="text1"/>
          <w14:textFill>
            <w14:solidFill>
              <w14:schemeClr w14:val="tx1"/>
            </w14:solidFill>
          </w14:textFill>
        </w:rPr>
        <w:t>11</w:t>
      </w:r>
      <w:r>
        <w:rPr>
          <w:rFonts w:hint="eastAsia" w:ascii="宋体" w:hAnsi="宋体"/>
          <w:color w:val="000000" w:themeColor="text1"/>
          <w14:textFill>
            <w14:solidFill>
              <w14:schemeClr w14:val="tx1"/>
            </w14:solidFill>
          </w14:textFill>
        </w:rPr>
        <w:t>月28日开展采样的</w:t>
      </w:r>
      <w:r>
        <w:rPr>
          <w:rFonts w:hint="eastAsia"/>
          <w:color w:val="000000" w:themeColor="text1"/>
          <w14:textFill>
            <w14:solidFill>
              <w14:schemeClr w14:val="tx1"/>
            </w14:solidFill>
          </w14:textFill>
        </w:rPr>
        <w:t>RTO</w:t>
      </w:r>
      <w:r>
        <w:rPr>
          <w:rFonts w:hint="eastAsia" w:ascii="宋体" w:hAnsi="宋体"/>
          <w:color w:val="000000" w:themeColor="text1"/>
          <w14:textFill>
            <w14:solidFill>
              <w14:schemeClr w14:val="tx1"/>
            </w14:solidFill>
          </w14:textFill>
        </w:rPr>
        <w:t>炉进、排气口监测数据（见附件16、附件17），</w:t>
      </w:r>
      <w:r>
        <w:rPr>
          <w:rFonts w:hint="eastAsia"/>
          <w:color w:val="000000" w:themeColor="text1"/>
          <w14:textFill>
            <w14:solidFill>
              <w14:schemeClr w14:val="tx1"/>
            </w14:solidFill>
          </w14:textFill>
        </w:rPr>
        <w:t>RTO</w:t>
      </w:r>
      <w:r>
        <w:rPr>
          <w:rFonts w:hint="eastAsia" w:ascii="宋体" w:hAnsi="宋体"/>
          <w:color w:val="000000" w:themeColor="text1"/>
          <w14:textFill>
            <w14:solidFill>
              <w14:schemeClr w14:val="tx1"/>
            </w14:solidFill>
          </w14:textFill>
        </w:rPr>
        <w:t>炉进气口非甲烷总烃最大浓度为</w:t>
      </w:r>
      <w:r>
        <w:rPr>
          <w:rFonts w:hint="eastAsia"/>
          <w:color w:val="000000" w:themeColor="text1"/>
          <w14:textFill>
            <w14:solidFill>
              <w14:schemeClr w14:val="tx1"/>
            </w14:solidFill>
          </w14:textFill>
        </w:rPr>
        <w:t>2470mg/m</w:t>
      </w:r>
      <w:r>
        <w:rPr>
          <w:rFonts w:hint="eastAsia"/>
          <w:color w:val="000000" w:themeColor="text1"/>
          <w:vertAlign w:val="superscript"/>
          <w14:textFill>
            <w14:solidFill>
              <w14:schemeClr w14:val="tx1"/>
            </w14:solidFill>
          </w14:textFill>
        </w:rPr>
        <w:t>3</w:t>
      </w:r>
      <w:r>
        <w:rPr>
          <w:rFonts w:hint="eastAsia" w:ascii="宋体" w:hAnsi="宋体"/>
          <w:color w:val="000000" w:themeColor="text1"/>
          <w14:textFill>
            <w14:solidFill>
              <w14:schemeClr w14:val="tx1"/>
            </w14:solidFill>
          </w14:textFill>
        </w:rPr>
        <w:t>，对应时期排气口非甲烷总烃浓度为</w:t>
      </w:r>
      <w:r>
        <w:rPr>
          <w:rFonts w:hint="eastAsia"/>
          <w:color w:val="000000" w:themeColor="text1"/>
          <w14:textFill>
            <w14:solidFill>
              <w14:schemeClr w14:val="tx1"/>
            </w14:solidFill>
          </w14:textFill>
        </w:rPr>
        <w:t>86.4mg/m</w:t>
      </w:r>
      <w:r>
        <w:rPr>
          <w:rFonts w:hint="eastAsia"/>
          <w:color w:val="000000" w:themeColor="text1"/>
          <w:vertAlign w:val="superscript"/>
          <w14:textFill>
            <w14:solidFill>
              <w14:schemeClr w14:val="tx1"/>
            </w14:solidFill>
          </w14:textFill>
        </w:rPr>
        <w:t>3</w:t>
      </w:r>
      <w:r>
        <w:rPr>
          <w:rFonts w:hint="eastAsia" w:ascii="宋体" w:hAnsi="宋体"/>
          <w:color w:val="000000" w:themeColor="text1"/>
          <w14:textFill>
            <w14:solidFill>
              <w14:schemeClr w14:val="tx1"/>
            </w14:solidFill>
          </w14:textFill>
        </w:rPr>
        <w:t>，处理效率为</w:t>
      </w:r>
      <w:r>
        <w:rPr>
          <w:rFonts w:hint="eastAsia"/>
          <w:color w:val="000000" w:themeColor="text1"/>
          <w14:textFill>
            <w14:solidFill>
              <w14:schemeClr w14:val="tx1"/>
            </w14:solidFill>
          </w14:textFill>
        </w:rPr>
        <w:t>95.96%</w:t>
      </w:r>
      <w:r>
        <w:rPr>
          <w:rFonts w:hint="eastAsia" w:ascii="宋体" w:hAnsi="宋体"/>
          <w:color w:val="000000" w:themeColor="text1"/>
          <w14:textFill>
            <w14:solidFill>
              <w14:schemeClr w14:val="tx1"/>
            </w14:solidFill>
          </w14:textFill>
        </w:rPr>
        <w:t>。项目不属于液化码头油气回收等主要环境保护措施弱化或降低的重大变动情形。</w:t>
      </w:r>
    </w:p>
    <w:p w14:paraId="6F73DE84">
      <w:pPr>
        <w:autoSpaceDE w:val="0"/>
        <w:autoSpaceDN w:val="0"/>
        <w:ind w:firstLine="482"/>
        <w:jc w:val="left"/>
        <w:rPr>
          <w:b/>
          <w:color w:val="000000" w:themeColor="text1"/>
          <w:kern w:val="0"/>
          <w14:textFill>
            <w14:solidFill>
              <w14:schemeClr w14:val="tx1"/>
            </w14:solidFill>
          </w14:textFill>
        </w:rPr>
      </w:pPr>
      <w:r>
        <w:rPr>
          <w:rFonts w:hint="eastAsia"/>
          <w:b/>
          <w:color w:val="000000" w:themeColor="text1"/>
          <w:kern w:val="0"/>
          <w14:textFill>
            <w14:solidFill>
              <w14:schemeClr w14:val="tx1"/>
            </w14:solidFill>
          </w14:textFill>
        </w:rPr>
        <w:t>1、现有水环境保护措施</w:t>
      </w:r>
    </w:p>
    <w:p w14:paraId="24E6B88B">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建设有雨、污分流制排水系统。</w:t>
      </w:r>
      <w:r>
        <w:rPr>
          <w:color w:val="000000" w:themeColor="text1"/>
          <w14:textFill>
            <w14:solidFill>
              <w14:schemeClr w14:val="tx1"/>
            </w14:solidFill>
          </w14:textFill>
        </w:rPr>
        <w:t>生产期产生的废水主要为船舶生活污水及含油污水、生活污水、冲洗废水、初期雨水。</w:t>
      </w:r>
    </w:p>
    <w:p w14:paraId="21F13720">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到港</w:t>
      </w:r>
      <w:r>
        <w:rPr>
          <w:color w:val="000000" w:themeColor="text1"/>
          <w14:textFill>
            <w14:solidFill>
              <w14:schemeClr w14:val="tx1"/>
            </w14:solidFill>
          </w14:textFill>
        </w:rPr>
        <w:t>船舶污水由资质单位接收处置；码头不设置污水处理设施，采取分区收集初期雨水方式，在码头泊位装卸区四周设置</w:t>
      </w:r>
      <w:r>
        <w:rPr>
          <w:rFonts w:hint="eastAsia"/>
          <w:color w:val="000000" w:themeColor="text1"/>
          <w14:textFill>
            <w14:solidFill>
              <w14:schemeClr w14:val="tx1"/>
            </w14:solidFill>
          </w14:textFill>
        </w:rPr>
        <w:t>围堰（长宽高：29.5m×13.3m×0.2m，有效容积78m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围堰</w:t>
      </w:r>
      <w:r>
        <w:rPr>
          <w:color w:val="000000" w:themeColor="text1"/>
          <w14:textFill>
            <w14:solidFill>
              <w14:schemeClr w14:val="tx1"/>
            </w14:solidFill>
          </w14:textFill>
        </w:rPr>
        <w:t>内设置集污池</w:t>
      </w:r>
      <w:r>
        <w:rPr>
          <w:rFonts w:hint="eastAsia"/>
          <w:color w:val="000000" w:themeColor="text1"/>
          <w14:textFill>
            <w14:solidFill>
              <w14:schemeClr w14:val="tx1"/>
            </w14:solidFill>
          </w14:textFill>
        </w:rPr>
        <w:t>（有效容积2m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，收集初期雨水和地面冲洗废水后进入初期雨水池；</w:t>
      </w:r>
      <w:r>
        <w:rPr>
          <w:rFonts w:hint="eastAsia"/>
          <w:color w:val="000000" w:themeColor="text1"/>
          <w14:textFill>
            <w14:solidFill>
              <w14:schemeClr w14:val="tx1"/>
            </w14:solidFill>
          </w14:textFill>
        </w:rPr>
        <w:t>码头区域</w:t>
      </w:r>
      <w:r>
        <w:rPr>
          <w:color w:val="000000" w:themeColor="text1"/>
          <w14:textFill>
            <w14:solidFill>
              <w14:schemeClr w14:val="tx1"/>
            </w14:solidFill>
          </w14:textFill>
        </w:rPr>
        <w:t>废水通过污水泵与经化粪池处理后的</w:t>
      </w:r>
      <w:r>
        <w:rPr>
          <w:rFonts w:hint="eastAsia"/>
          <w:color w:val="000000" w:themeColor="text1"/>
          <w14:textFill>
            <w14:solidFill>
              <w14:schemeClr w14:val="tx1"/>
            </w14:solidFill>
          </w14:textFill>
        </w:rPr>
        <w:t>陆域区</w:t>
      </w:r>
      <w:r>
        <w:rPr>
          <w:color w:val="000000" w:themeColor="text1"/>
          <w14:textFill>
            <w14:solidFill>
              <w14:schemeClr w14:val="tx1"/>
            </w14:solidFill>
          </w14:textFill>
        </w:rPr>
        <w:t>生活污水，一起排入污水管后进入恒逸污水处理厂处理。降雨后期地面洁净雨水经阀门切换至雨水排水管网，排至海域。</w:t>
      </w:r>
    </w:p>
    <w:p w14:paraId="541A6D7F">
      <w:pPr>
        <w:autoSpaceDE w:val="0"/>
        <w:autoSpaceDN w:val="0"/>
        <w:ind w:firstLine="480"/>
        <w:jc w:val="left"/>
        <w:rPr>
          <w:color w:val="000000" w:themeColor="text1"/>
          <w:kern w:val="0"/>
          <w14:textFill>
            <w14:solidFill>
              <w14:schemeClr w14:val="tx1"/>
            </w14:solidFill>
          </w14:textFill>
        </w:rPr>
      </w:pPr>
      <w:r>
        <w:rPr>
          <w:rFonts w:hint="eastAsia"/>
          <w:color w:val="000000" w:themeColor="text1"/>
          <w:kern w:val="0"/>
          <w14:textFill>
            <w14:solidFill>
              <w14:schemeClr w14:val="tx1"/>
            </w14:solidFill>
          </w14:textFill>
        </w:rPr>
        <w:t>广西恒逸污水处理厂采用“分质预处理+生化处理+深度处理+中水回用”的污水处理工艺，部分出水回用至生产工艺，部分出水进行深海排放。</w:t>
      </w:r>
    </w:p>
    <w:tbl>
      <w:tblPr>
        <w:tblStyle w:val="44"/>
        <w:tblW w:w="955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776"/>
        <w:gridCol w:w="4776"/>
      </w:tblGrid>
      <w:tr w14:paraId="52D33D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6" w:hRule="atLeast"/>
          <w:jc w:val="center"/>
        </w:trPr>
        <w:tc>
          <w:tcPr>
            <w:tcW w:w="4776" w:type="dxa"/>
          </w:tcPr>
          <w:p w14:paraId="67FF86CC">
            <w:pPr>
              <w:spacing w:line="240" w:lineRule="auto"/>
              <w:ind w:firstLine="0" w:firstLineChars="0"/>
              <w:jc w:val="center"/>
              <w:rPr>
                <w:color w:val="000000" w:themeColor="text1"/>
                <w:sz w:val="21"/>
                <w14:textFill>
                  <w14:solidFill>
                    <w14:schemeClr w14:val="tx1"/>
                  </w14:solidFill>
                </w14:textFill>
              </w:rPr>
            </w:pPr>
            <w:r>
              <w:rPr>
                <w:color w:val="000000" w:themeColor="text1"/>
                <w14:textFill>
                  <w14:solidFill>
                    <w14:schemeClr w14:val="tx1"/>
                  </w14:solidFill>
                </w14:textFill>
              </w:rPr>
              <w:drawing>
                <wp:inline distT="0" distB="0" distL="114300" distR="114300">
                  <wp:extent cx="2879725" cy="2159635"/>
                  <wp:effectExtent l="0" t="0" r="15875" b="1206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50"/>
                          <a:stretch>
                            <a:fillRect/>
                          </a:stretch>
                        </pic:blipFill>
                        <pic:spPr>
                          <a:xfrm>
                            <a:off x="0" y="0"/>
                            <a:ext cx="2879725" cy="2159635"/>
                          </a:xfrm>
                          <a:prstGeom prst="rect">
                            <a:avLst/>
                          </a:prstGeom>
                          <a:noFill/>
                          <a:ln>
                            <a:noFill/>
                          </a:ln>
                        </pic:spPr>
                      </pic:pic>
                    </a:graphicData>
                  </a:graphic>
                </wp:inline>
              </w:drawing>
            </w:r>
          </w:p>
        </w:tc>
        <w:tc>
          <w:tcPr>
            <w:tcW w:w="4776" w:type="dxa"/>
          </w:tcPr>
          <w:p w14:paraId="66B98F41">
            <w:pPr>
              <w:spacing w:line="240" w:lineRule="auto"/>
              <w:ind w:firstLine="0" w:firstLineChars="0"/>
              <w:jc w:val="center"/>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drawing>
                <wp:inline distT="0" distB="0" distL="114300" distR="114300">
                  <wp:extent cx="2879725" cy="2159635"/>
                  <wp:effectExtent l="0" t="0" r="15875" b="12065"/>
                  <wp:docPr id="19" name="图片 19" descr="e43f1d0f78b354c14859f1d37da5cf27-5504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e43f1d0f78b354c14859f1d37da5cf27-5504375"/>
                          <pic:cNvPicPr>
                            <a:picLocks noChangeAspect="1"/>
                          </pic:cNvPicPr>
                        </pic:nvPicPr>
                        <pic:blipFill>
                          <a:blip r:embed="rId51"/>
                          <a:stretch>
                            <a:fillRect/>
                          </a:stretch>
                        </pic:blipFill>
                        <pic:spPr>
                          <a:xfrm>
                            <a:off x="0" y="0"/>
                            <a:ext cx="2879725" cy="2159635"/>
                          </a:xfrm>
                          <a:prstGeom prst="rect">
                            <a:avLst/>
                          </a:prstGeom>
                        </pic:spPr>
                      </pic:pic>
                    </a:graphicData>
                  </a:graphic>
                </wp:inline>
              </w:drawing>
            </w:r>
          </w:p>
          <w:p w14:paraId="1926CBE9">
            <w:pPr>
              <w:pStyle w:val="14"/>
              <w:rPr>
                <w:color w:val="000000" w:themeColor="text1"/>
                <w14:textFill>
                  <w14:solidFill>
                    <w14:schemeClr w14:val="tx1"/>
                  </w14:solidFill>
                </w14:textFill>
              </w:rPr>
            </w:pPr>
          </w:p>
        </w:tc>
      </w:tr>
      <w:tr w14:paraId="431AC2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76" w:type="dxa"/>
          </w:tcPr>
          <w:p w14:paraId="3E362FCA">
            <w:pPr>
              <w:spacing w:line="240" w:lineRule="auto"/>
              <w:ind w:firstLine="0" w:firstLineChars="0"/>
              <w:jc w:val="center"/>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广西恒逸污水处理厂设备操作系统</w:t>
            </w:r>
          </w:p>
        </w:tc>
        <w:tc>
          <w:tcPr>
            <w:tcW w:w="4776" w:type="dxa"/>
          </w:tcPr>
          <w:p w14:paraId="58AF4026">
            <w:pPr>
              <w:spacing w:line="240" w:lineRule="auto"/>
              <w:ind w:firstLine="0" w:firstLineChars="0"/>
              <w:jc w:val="center"/>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污水输送管道系统</w:t>
            </w:r>
          </w:p>
        </w:tc>
      </w:tr>
    </w:tbl>
    <w:p w14:paraId="4F301754">
      <w:pPr>
        <w:pStyle w:val="3"/>
        <w:numPr>
          <w:ilvl w:val="0"/>
          <w:numId w:val="0"/>
        </w:numPr>
        <w:jc w:val="center"/>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图</w:t>
      </w:r>
      <w:r>
        <w:rPr>
          <w:rFonts w:hint="eastAsia"/>
          <w:color w:val="000000" w:themeColor="text1"/>
          <w:sz w:val="24"/>
          <w:szCs w:val="24"/>
          <w14:textFill>
            <w14:solidFill>
              <w14:schemeClr w14:val="tx1"/>
            </w14:solidFill>
          </w14:textFill>
        </w:rPr>
        <w:t>2.1-1项目依托工程</w:t>
      </w:r>
      <w:r>
        <w:rPr>
          <w:color w:val="000000" w:themeColor="text1"/>
          <w:sz w:val="24"/>
          <w:szCs w:val="24"/>
          <w14:textFill>
            <w14:solidFill>
              <w14:schemeClr w14:val="tx1"/>
            </w14:solidFill>
          </w14:textFill>
        </w:rPr>
        <w:t>污水</w:t>
      </w:r>
      <w:r>
        <w:rPr>
          <w:rFonts w:hint="eastAsia"/>
          <w:color w:val="000000" w:themeColor="text1"/>
          <w:sz w:val="24"/>
          <w:szCs w:val="24"/>
          <w14:textFill>
            <w14:solidFill>
              <w14:schemeClr w14:val="tx1"/>
            </w14:solidFill>
          </w14:textFill>
        </w:rPr>
        <w:t>处理措施现场情况</w:t>
      </w:r>
      <w:r>
        <w:rPr>
          <w:color w:val="000000" w:themeColor="text1"/>
          <w:sz w:val="24"/>
          <w:szCs w:val="24"/>
          <w14:textFill>
            <w14:solidFill>
              <w14:schemeClr w14:val="tx1"/>
            </w14:solidFill>
          </w14:textFill>
        </w:rPr>
        <w:t>图</w:t>
      </w:r>
    </w:p>
    <w:p w14:paraId="580F4B51">
      <w:pPr>
        <w:autoSpaceDE w:val="0"/>
        <w:autoSpaceDN w:val="0"/>
        <w:ind w:firstLine="482"/>
        <w:jc w:val="left"/>
        <w:rPr>
          <w:b/>
          <w:color w:val="000000" w:themeColor="text1"/>
          <w:kern w:val="0"/>
          <w14:textFill>
            <w14:solidFill>
              <w14:schemeClr w14:val="tx1"/>
            </w14:solidFill>
          </w14:textFill>
        </w:rPr>
      </w:pPr>
      <w:r>
        <w:rPr>
          <w:rFonts w:hint="eastAsia"/>
          <w:b/>
          <w:color w:val="000000" w:themeColor="text1"/>
          <w:kern w:val="0"/>
          <w14:textFill>
            <w14:solidFill>
              <w14:schemeClr w14:val="tx1"/>
            </w14:solidFill>
          </w14:textFill>
        </w:rPr>
        <w:t>2、现有大气环境保护措施</w:t>
      </w:r>
    </w:p>
    <w:p w14:paraId="399EF6D9">
      <w:pPr>
        <w:autoSpaceDE w:val="0"/>
        <w:autoSpaceDN w:val="0"/>
        <w:ind w:firstLine="480"/>
        <w:jc w:val="left"/>
        <w:rPr>
          <w:color w:val="000000" w:themeColor="text1"/>
          <w:kern w:val="0"/>
          <w14:textFill>
            <w14:solidFill>
              <w14:schemeClr w14:val="tx1"/>
            </w14:solidFill>
          </w14:textFill>
        </w:rPr>
      </w:pPr>
      <w:r>
        <w:rPr>
          <w:rFonts w:hint="eastAsia"/>
          <w:color w:val="000000" w:themeColor="text1"/>
          <w:kern w:val="0"/>
          <w14:textFill>
            <w14:solidFill>
              <w14:schemeClr w14:val="tx1"/>
            </w14:solidFill>
          </w14:textFill>
        </w:rPr>
        <w:t>项目产生的有组织废气经管道输送至接收单位广西恒逸新材料有限公司（广西恒逸新材料有限公司年产120万吨己内酰胺—聚酰胺产业一体化及配套工程项目）进行处理，工艺采用“RTO蓄热式焚烧炉”，排气筒高35m。</w:t>
      </w:r>
    </w:p>
    <w:p w14:paraId="31316BB5">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验收调查报告》：</w:t>
      </w:r>
    </w:p>
    <w:p w14:paraId="0F2F7B12">
      <w:pPr>
        <w:autoSpaceDE w:val="0"/>
        <w:autoSpaceDN w:val="0"/>
        <w:ind w:firstLine="480"/>
        <w:jc w:val="left"/>
        <w:rPr>
          <w:color w:val="000000" w:themeColor="text1"/>
          <w:kern w:val="0"/>
          <w14:textFill>
            <w14:solidFill>
              <w14:schemeClr w14:val="tx1"/>
            </w14:solidFill>
          </w14:textFill>
        </w:rPr>
      </w:pPr>
      <w:r>
        <w:rPr>
          <w:rFonts w:hint="eastAsia"/>
          <w:color w:val="000000" w:themeColor="text1"/>
          <w:kern w:val="0"/>
          <w14:textFill>
            <w14:solidFill>
              <w14:schemeClr w14:val="tx1"/>
            </w14:solidFill>
          </w14:textFill>
        </w:rPr>
        <w:t>《广西恒逸新材料有限公司年产120万吨己内酰胺—聚酰胺产业一体化及配套工程项目（重大变动）环境影响报告书》及其于2025年6月12日获得钦州市生态环境局批复（中马园审批环〔2025〕9号），该项目对有机废气采用“RTO蓄热式焚烧炉”工艺进行处理，单台RTO炉废气处理能力增加至100000Nm</w:t>
      </w:r>
      <w:r>
        <w:rPr>
          <w:rFonts w:hint="eastAsia"/>
          <w:color w:val="000000" w:themeColor="text1"/>
          <w:kern w:val="0"/>
          <w:vertAlign w:val="superscript"/>
          <w14:textFill>
            <w14:solidFill>
              <w14:schemeClr w14:val="tx1"/>
            </w14:solidFill>
          </w14:textFill>
        </w:rPr>
        <w:t>3</w:t>
      </w:r>
      <w:r>
        <w:rPr>
          <w:rFonts w:hint="eastAsia"/>
          <w:color w:val="000000" w:themeColor="text1"/>
          <w:kern w:val="0"/>
          <w14:textFill>
            <w14:solidFill>
              <w14:schemeClr w14:val="tx1"/>
            </w14:solidFill>
          </w14:textFill>
        </w:rPr>
        <w:t>/h。经了解，该项目一期工程已开始运营，广西恒逸新材料有限公司已同意将本项目废气收集处理，本项目实际设置3台尾气输送风机、总风量2500Nm</w:t>
      </w:r>
      <w:r>
        <w:rPr>
          <w:rFonts w:hint="eastAsia"/>
          <w:color w:val="000000" w:themeColor="text1"/>
          <w:kern w:val="0"/>
          <w:vertAlign w:val="superscript"/>
          <w14:textFill>
            <w14:solidFill>
              <w14:schemeClr w14:val="tx1"/>
            </w14:solidFill>
          </w14:textFill>
        </w:rPr>
        <w:t>3</w:t>
      </w:r>
      <w:r>
        <w:rPr>
          <w:rFonts w:hint="eastAsia"/>
          <w:color w:val="000000" w:themeColor="text1"/>
          <w:kern w:val="0"/>
          <w14:textFill>
            <w14:solidFill>
              <w14:schemeClr w14:val="tx1"/>
            </w14:solidFill>
          </w14:textFill>
        </w:rPr>
        <w:t>/h。根据中国检验认证集团广西有限公司的《广西恒逸新材料有限公司2025年环境委托监测项目（RTO炉排气口DA016）》，RTO炉平均烟气流量为47821m³/h，剩余进风量52179m³/h，本项目仅占一期RTO蓄热式焚烧炉剩余风量的4.79%，不会对其处理工艺造成波动影响。</w:t>
      </w:r>
    </w:p>
    <w:p w14:paraId="7C5D19A1">
      <w:pPr>
        <w:overflowPunct w:val="0"/>
        <w:spacing w:after="160"/>
        <w:ind w:firstLine="480"/>
        <w:rPr>
          <w:color w:val="000000" w:themeColor="text1"/>
          <w:szCs w:val="21"/>
          <w14:textFill>
            <w14:solidFill>
              <w14:schemeClr w14:val="tx1"/>
            </w14:solidFill>
          </w14:textFill>
        </w:rPr>
      </w:pPr>
      <w:r>
        <w:rPr>
          <w:color w:val="000000" w:themeColor="text1"/>
          <w:szCs w:val="21"/>
          <w14:textFill>
            <w14:solidFill>
              <w14:schemeClr w14:val="tx1"/>
            </w14:solidFill>
          </w14:textFill>
        </w:rPr>
        <w:t>依托工程废气采用</w:t>
      </w:r>
      <w:r>
        <w:rPr>
          <w:rFonts w:hint="eastAsia"/>
          <w:color w:val="000000" w:themeColor="text1"/>
          <w:szCs w:val="21"/>
          <w14:textFill>
            <w14:solidFill>
              <w14:schemeClr w14:val="tx1"/>
            </w14:solidFill>
          </w14:textFill>
        </w:rPr>
        <w:t>“RTO蓄热式焚烧炉”</w:t>
      </w:r>
      <w:r>
        <w:rPr>
          <w:color w:val="000000" w:themeColor="text1"/>
          <w:szCs w:val="21"/>
          <w14:textFill>
            <w14:solidFill>
              <w14:schemeClr w14:val="tx1"/>
            </w14:solidFill>
          </w14:textFill>
        </w:rPr>
        <w:t>工艺进行处</w:t>
      </w:r>
      <w:r>
        <w:rPr>
          <w:rFonts w:hint="eastAsia"/>
          <w:color w:val="000000" w:themeColor="text1"/>
          <w:szCs w:val="21"/>
          <w14:textFill>
            <w14:solidFill>
              <w14:schemeClr w14:val="tx1"/>
            </w14:solidFill>
          </w14:textFill>
        </w:rPr>
        <w:t>.</w:t>
      </w:r>
      <w:r>
        <w:rPr>
          <w:color w:val="000000" w:themeColor="text1"/>
          <w:szCs w:val="21"/>
          <w14:textFill>
            <w14:solidFill>
              <w14:schemeClr w14:val="tx1"/>
            </w14:solidFill>
          </w14:textFill>
        </w:rPr>
        <w:t>理，</w:t>
      </w:r>
      <w:r>
        <w:rPr>
          <w:rFonts w:hint="eastAsia"/>
          <w:color w:val="000000" w:themeColor="text1"/>
          <w:szCs w:val="21"/>
          <w14:textFill>
            <w14:solidFill>
              <w14:schemeClr w14:val="tx1"/>
            </w14:solidFill>
          </w14:textFill>
        </w:rPr>
        <w:t>该</w:t>
      </w:r>
      <w:r>
        <w:rPr>
          <w:color w:val="000000" w:themeColor="text1"/>
          <w:szCs w:val="21"/>
          <w14:textFill>
            <w14:solidFill>
              <w14:schemeClr w14:val="tx1"/>
            </w14:solidFill>
          </w14:textFill>
        </w:rPr>
        <w:t>为热力焚烧工艺，属于《排污许可证申请与核发技术规范储油库、加油站》（HJ 1118-2020</w:t>
      </w:r>
      <w:r>
        <w:rPr>
          <w:rFonts w:hint="eastAsia"/>
          <w:color w:val="000000" w:themeColor="text1"/>
          <w:szCs w:val="21"/>
          <w14:textFill>
            <w14:solidFill>
              <w14:schemeClr w14:val="tx1"/>
            </w14:solidFill>
          </w14:textFill>
        </w:rPr>
        <w:t>）</w:t>
      </w:r>
      <w:r>
        <w:rPr>
          <w:color w:val="000000" w:themeColor="text1"/>
          <w:szCs w:val="21"/>
          <w14:textFill>
            <w14:solidFill>
              <w14:schemeClr w14:val="tx1"/>
            </w14:solidFill>
          </w14:textFill>
        </w:rPr>
        <w:t>、《排污许可证申请与核发技术规范石化工业》（HJ853-2017</w:t>
      </w:r>
      <w:r>
        <w:rPr>
          <w:rFonts w:hint="eastAsia"/>
          <w:color w:val="000000" w:themeColor="text1"/>
          <w:szCs w:val="21"/>
          <w14:textFill>
            <w14:solidFill>
              <w14:schemeClr w14:val="tx1"/>
            </w14:solidFill>
          </w14:textFill>
        </w:rPr>
        <w:t>）</w:t>
      </w:r>
      <w:r>
        <w:rPr>
          <w:color w:val="000000" w:themeColor="text1"/>
          <w:szCs w:val="21"/>
          <w14:textFill>
            <w14:solidFill>
              <w14:schemeClr w14:val="tx1"/>
            </w14:solidFill>
          </w14:textFill>
        </w:rPr>
        <w:t>中规定的处理挥发性有机物的可行技术。</w:t>
      </w:r>
    </w:p>
    <w:p w14:paraId="06EC0328">
      <w:pPr>
        <w:overflowPunct w:val="0"/>
        <w:spacing w:after="160"/>
        <w:ind w:firstLine="0" w:firstLineChars="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drawing>
          <wp:inline distT="0" distB="0" distL="114300" distR="114300">
            <wp:extent cx="5400040" cy="1245870"/>
            <wp:effectExtent l="0" t="0" r="10160" b="3810"/>
            <wp:docPr id="2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4"/>
                    <pic:cNvPicPr>
                      <a:picLocks noChangeAspect="1"/>
                    </pic:cNvPicPr>
                  </pic:nvPicPr>
                  <pic:blipFill>
                    <a:blip r:embed="rId52"/>
                    <a:stretch>
                      <a:fillRect/>
                    </a:stretch>
                  </pic:blipFill>
                  <pic:spPr>
                    <a:xfrm>
                      <a:off x="0" y="0"/>
                      <a:ext cx="5400040" cy="1245870"/>
                    </a:xfrm>
                    <a:prstGeom prst="rect">
                      <a:avLst/>
                    </a:prstGeom>
                    <a:noFill/>
                    <a:ln>
                      <a:noFill/>
                    </a:ln>
                  </pic:spPr>
                </pic:pic>
              </a:graphicData>
            </a:graphic>
          </wp:inline>
        </w:drawing>
      </w:r>
    </w:p>
    <w:p w14:paraId="420DB86C">
      <w:pPr>
        <w:pStyle w:val="14"/>
        <w:rPr>
          <w:color w:val="000000" w:themeColor="text1"/>
          <w14:textFill>
            <w14:solidFill>
              <w14:schemeClr w14:val="tx1"/>
            </w14:solidFill>
          </w14:textFill>
        </w:rPr>
      </w:pPr>
      <w:r>
        <w:rPr>
          <w:color w:val="000000" w:themeColor="text1"/>
          <w14:textFill>
            <w14:solidFill>
              <w14:schemeClr w14:val="tx1"/>
            </w14:solidFill>
          </w14:textFill>
        </w:rPr>
        <w:t xml:space="preserve">图 </w:t>
      </w:r>
      <w:r>
        <w:rPr>
          <w:rFonts w:hint="eastAsia"/>
          <w:color w:val="000000" w:themeColor="text1"/>
          <w14:textFill>
            <w14:solidFill>
              <w14:schemeClr w14:val="tx1"/>
            </w14:solidFill>
          </w14:textFill>
        </w:rPr>
        <w:t>2.1-2</w:t>
      </w:r>
      <w:r>
        <w:rPr>
          <w:rFonts w:hint="eastAsia"/>
          <w:bCs/>
          <w:color w:val="000000" w:themeColor="text1"/>
          <w:sz w:val="24"/>
          <w:szCs w:val="24"/>
          <w14:textFill>
            <w14:solidFill>
              <w14:schemeClr w14:val="tx1"/>
            </w14:solidFill>
          </w14:textFill>
        </w:rPr>
        <w:t>项目依托工程废气处理工艺流程示意图</w:t>
      </w:r>
    </w:p>
    <w:p w14:paraId="5735AAEE">
      <w:pPr>
        <w:overflowPunct w:val="0"/>
        <w:spacing w:after="160"/>
        <w:ind w:firstLine="0" w:firstLineChars="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drawing>
          <wp:inline distT="0" distB="0" distL="114300" distR="114300">
            <wp:extent cx="5400040" cy="2428875"/>
            <wp:effectExtent l="0" t="0" r="10160" b="9525"/>
            <wp:docPr id="21" name="图片 5" descr="cbb790dda49be904e6a6e8fb5788c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5" descr="cbb790dda49be904e6a6e8fb5788c92"/>
                    <pic:cNvPicPr>
                      <a:picLocks noChangeAspect="1"/>
                    </pic:cNvPicPr>
                  </pic:nvPicPr>
                  <pic:blipFill>
                    <a:blip r:embed="rId53"/>
                    <a:stretch>
                      <a:fillRect/>
                    </a:stretch>
                  </pic:blipFill>
                  <pic:spPr>
                    <a:xfrm>
                      <a:off x="0" y="0"/>
                      <a:ext cx="5400040" cy="2428875"/>
                    </a:xfrm>
                    <a:prstGeom prst="rect">
                      <a:avLst/>
                    </a:prstGeom>
                    <a:noFill/>
                    <a:ln>
                      <a:noFill/>
                    </a:ln>
                  </pic:spPr>
                </pic:pic>
              </a:graphicData>
            </a:graphic>
          </wp:inline>
        </w:drawing>
      </w:r>
    </w:p>
    <w:p w14:paraId="79901466">
      <w:pPr>
        <w:overflowPunct w:val="0"/>
        <w:spacing w:after="160"/>
        <w:ind w:left="200" w:firstLine="0" w:firstLineChars="0"/>
        <w:jc w:val="center"/>
        <w:rPr>
          <w:b/>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图2.1-3 项目依托工程废气</w:t>
      </w:r>
      <w:r>
        <w:rPr>
          <w:b/>
          <w:color w:val="000000" w:themeColor="text1"/>
          <w:sz w:val="21"/>
          <w:szCs w:val="21"/>
          <w14:textFill>
            <w14:solidFill>
              <w14:schemeClr w14:val="tx1"/>
            </w14:solidFill>
          </w14:textFill>
        </w:rPr>
        <w:t>处理</w:t>
      </w:r>
      <w:r>
        <w:rPr>
          <w:rFonts w:hint="eastAsia"/>
          <w:b/>
          <w:color w:val="000000" w:themeColor="text1"/>
          <w:sz w:val="21"/>
          <w:szCs w:val="21"/>
          <w14:textFill>
            <w14:solidFill>
              <w14:schemeClr w14:val="tx1"/>
            </w14:solidFill>
          </w14:textFill>
        </w:rPr>
        <w:t>装置构造</w:t>
      </w:r>
      <w:r>
        <w:rPr>
          <w:b/>
          <w:color w:val="000000" w:themeColor="text1"/>
          <w:sz w:val="21"/>
          <w:szCs w:val="21"/>
          <w14:textFill>
            <w14:solidFill>
              <w14:schemeClr w14:val="tx1"/>
            </w14:solidFill>
          </w14:textFill>
        </w:rPr>
        <w:t>示意图</w:t>
      </w:r>
    </w:p>
    <w:tbl>
      <w:tblPr>
        <w:tblStyle w:val="187"/>
        <w:tblW w:w="928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643"/>
        <w:gridCol w:w="4644"/>
      </w:tblGrid>
      <w:tr w14:paraId="64DDB8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6" w:hRule="atLeast"/>
          <w:jc w:val="center"/>
        </w:trPr>
        <w:tc>
          <w:tcPr>
            <w:tcW w:w="4643" w:type="dxa"/>
          </w:tcPr>
          <w:p w14:paraId="03010D36">
            <w:pPr>
              <w:overflowPunct w:val="0"/>
              <w:spacing w:after="160"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drawing>
                <wp:inline distT="0" distB="0" distL="114300" distR="114300">
                  <wp:extent cx="2783840" cy="2087880"/>
                  <wp:effectExtent l="0" t="0" r="16510" b="7620"/>
                  <wp:docPr id="25" name="图片 25" descr="5ab8e3c95b5ab5a06c8b5ec0d48f67fe-3795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5ab8e3c95b5ab5a06c8b5ec0d48f67fe-3795740"/>
                          <pic:cNvPicPr>
                            <a:picLocks noChangeAspect="1"/>
                          </pic:cNvPicPr>
                        </pic:nvPicPr>
                        <pic:blipFill>
                          <a:blip r:embed="rId54"/>
                          <a:stretch>
                            <a:fillRect/>
                          </a:stretch>
                        </pic:blipFill>
                        <pic:spPr>
                          <a:xfrm>
                            <a:off x="0" y="0"/>
                            <a:ext cx="2783840" cy="2087880"/>
                          </a:xfrm>
                          <a:prstGeom prst="rect">
                            <a:avLst/>
                          </a:prstGeom>
                        </pic:spPr>
                      </pic:pic>
                    </a:graphicData>
                  </a:graphic>
                </wp:inline>
              </w:drawing>
            </w:r>
          </w:p>
        </w:tc>
        <w:tc>
          <w:tcPr>
            <w:tcW w:w="4644" w:type="dxa"/>
          </w:tcPr>
          <w:p w14:paraId="04C84E8F">
            <w:pPr>
              <w:overflowPunct w:val="0"/>
              <w:spacing w:after="160"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drawing>
                <wp:inline distT="0" distB="0" distL="114300" distR="114300">
                  <wp:extent cx="2783840" cy="2087880"/>
                  <wp:effectExtent l="0" t="0" r="16510" b="7620"/>
                  <wp:docPr id="26" name="图片 26" descr="9e34384dead35c1ddaf9305ee29b13b3-3812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9e34384dead35c1ddaf9305ee29b13b3-3812760"/>
                          <pic:cNvPicPr>
                            <a:picLocks noChangeAspect="1"/>
                          </pic:cNvPicPr>
                        </pic:nvPicPr>
                        <pic:blipFill>
                          <a:blip r:embed="rId55"/>
                          <a:stretch>
                            <a:fillRect/>
                          </a:stretch>
                        </pic:blipFill>
                        <pic:spPr>
                          <a:xfrm>
                            <a:off x="0" y="0"/>
                            <a:ext cx="2783840" cy="2087880"/>
                          </a:xfrm>
                          <a:prstGeom prst="rect">
                            <a:avLst/>
                          </a:prstGeom>
                        </pic:spPr>
                      </pic:pic>
                    </a:graphicData>
                  </a:graphic>
                </wp:inline>
              </w:drawing>
            </w:r>
          </w:p>
        </w:tc>
      </w:tr>
      <w:tr w14:paraId="2DA397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643" w:type="dxa"/>
          </w:tcPr>
          <w:p w14:paraId="35D691EB">
            <w:pPr>
              <w:overflowPunct w:val="0"/>
              <w:spacing w:after="160"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drawing>
                <wp:inline distT="0" distB="0" distL="114300" distR="114300">
                  <wp:extent cx="2784475" cy="2087880"/>
                  <wp:effectExtent l="0" t="0" r="15875" b="7620"/>
                  <wp:docPr id="35" name="图片 35" descr="508e7ce6347612eb425fac4ef7a45227-3772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508e7ce6347612eb425fac4ef7a45227-3772530"/>
                          <pic:cNvPicPr>
                            <a:picLocks noChangeAspect="1"/>
                          </pic:cNvPicPr>
                        </pic:nvPicPr>
                        <pic:blipFill>
                          <a:blip r:embed="rId56"/>
                          <a:stretch>
                            <a:fillRect/>
                          </a:stretch>
                        </pic:blipFill>
                        <pic:spPr>
                          <a:xfrm>
                            <a:off x="0" y="0"/>
                            <a:ext cx="2784475" cy="2087880"/>
                          </a:xfrm>
                          <a:prstGeom prst="rect">
                            <a:avLst/>
                          </a:prstGeom>
                        </pic:spPr>
                      </pic:pic>
                    </a:graphicData>
                  </a:graphic>
                </wp:inline>
              </w:drawing>
            </w:r>
          </w:p>
        </w:tc>
        <w:tc>
          <w:tcPr>
            <w:tcW w:w="4644" w:type="dxa"/>
          </w:tcPr>
          <w:p w14:paraId="2ABB87BE">
            <w:pPr>
              <w:overflowPunct w:val="0"/>
              <w:spacing w:after="160"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drawing>
                <wp:inline distT="0" distB="0" distL="114300" distR="114300">
                  <wp:extent cx="2784475" cy="2087880"/>
                  <wp:effectExtent l="0" t="0" r="15875" b="7620"/>
                  <wp:docPr id="36" name="图片 36" descr="ba811625f9a932864f9d0691732e8ecb-3334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ba811625f9a932864f9d0691732e8ecb-3334439"/>
                          <pic:cNvPicPr>
                            <a:picLocks noChangeAspect="1"/>
                          </pic:cNvPicPr>
                        </pic:nvPicPr>
                        <pic:blipFill>
                          <a:blip r:embed="rId57"/>
                          <a:stretch>
                            <a:fillRect/>
                          </a:stretch>
                        </pic:blipFill>
                        <pic:spPr>
                          <a:xfrm>
                            <a:off x="0" y="0"/>
                            <a:ext cx="2784475" cy="2087880"/>
                          </a:xfrm>
                          <a:prstGeom prst="rect">
                            <a:avLst/>
                          </a:prstGeom>
                        </pic:spPr>
                      </pic:pic>
                    </a:graphicData>
                  </a:graphic>
                </wp:inline>
              </w:drawing>
            </w:r>
          </w:p>
        </w:tc>
      </w:tr>
    </w:tbl>
    <w:p w14:paraId="1B7DE456">
      <w:pPr>
        <w:overflowPunct w:val="0"/>
        <w:spacing w:after="160"/>
        <w:ind w:left="200" w:firstLine="0" w:firstLineChars="0"/>
        <w:jc w:val="center"/>
        <w:rPr>
          <w:color w:val="000000" w:themeColor="text1"/>
          <w:szCs w:val="21"/>
          <w14:textFill>
            <w14:solidFill>
              <w14:schemeClr w14:val="tx1"/>
            </w14:solidFill>
          </w14:textFill>
        </w:rPr>
      </w:pPr>
      <w:r>
        <w:rPr>
          <w:rFonts w:hint="eastAsia"/>
          <w:b/>
          <w:color w:val="000000" w:themeColor="text1"/>
          <w:sz w:val="21"/>
          <w:szCs w:val="21"/>
          <w14:textFill>
            <w14:solidFill>
              <w14:schemeClr w14:val="tx1"/>
            </w14:solidFill>
          </w14:textFill>
        </w:rPr>
        <w:t>图2.1-4 项目依托工程废气处理措施现场情况</w:t>
      </w:r>
      <w:r>
        <w:rPr>
          <w:b/>
          <w:color w:val="000000" w:themeColor="text1"/>
          <w:sz w:val="21"/>
          <w:szCs w:val="21"/>
          <w14:textFill>
            <w14:solidFill>
              <w14:schemeClr w14:val="tx1"/>
            </w14:solidFill>
          </w14:textFill>
        </w:rPr>
        <w:t>图</w:t>
      </w:r>
    </w:p>
    <w:p w14:paraId="03955902">
      <w:pPr>
        <w:autoSpaceDE w:val="0"/>
        <w:autoSpaceDN w:val="0"/>
        <w:ind w:firstLine="482"/>
        <w:jc w:val="left"/>
        <w:rPr>
          <w:b/>
          <w:color w:val="000000" w:themeColor="text1"/>
          <w:kern w:val="0"/>
          <w14:textFill>
            <w14:solidFill>
              <w14:schemeClr w14:val="tx1"/>
            </w14:solidFill>
          </w14:textFill>
        </w:rPr>
      </w:pPr>
      <w:r>
        <w:rPr>
          <w:rFonts w:hint="eastAsia"/>
          <w:b/>
          <w:color w:val="000000" w:themeColor="text1"/>
          <w:kern w:val="0"/>
          <w14:textFill>
            <w14:solidFill>
              <w14:schemeClr w14:val="tx1"/>
            </w14:solidFill>
          </w14:textFill>
        </w:rPr>
        <w:t>3、现有固废环境保护措施</w:t>
      </w:r>
    </w:p>
    <w:p w14:paraId="488802DF">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项目单独设置危废暂存间，并配套活性炭吸附装置，废气以无组织形式排放。</w:t>
      </w:r>
    </w:p>
    <w:tbl>
      <w:tblPr>
        <w:tblStyle w:val="188"/>
        <w:tblW w:w="928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643"/>
        <w:gridCol w:w="4644"/>
      </w:tblGrid>
      <w:tr w14:paraId="413269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643" w:type="dxa"/>
          </w:tcPr>
          <w:p w14:paraId="466EEAC4">
            <w:pPr>
              <w:overflowPunct w:val="0"/>
              <w:spacing w:after="160"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drawing>
                <wp:inline distT="0" distB="0" distL="114300" distR="114300">
                  <wp:extent cx="2400300" cy="1800225"/>
                  <wp:effectExtent l="0" t="0" r="0" b="9525"/>
                  <wp:docPr id="37" name="图片 37" descr="IMG_20250915_105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IMG_20250915_105646"/>
                          <pic:cNvPicPr>
                            <a:picLocks noChangeAspect="1"/>
                          </pic:cNvPicPr>
                        </pic:nvPicPr>
                        <pic:blipFill>
                          <a:blip r:embed="rId58"/>
                          <a:stretch>
                            <a:fillRect/>
                          </a:stretch>
                        </pic:blipFill>
                        <pic:spPr>
                          <a:xfrm>
                            <a:off x="0" y="0"/>
                            <a:ext cx="2400300" cy="1800225"/>
                          </a:xfrm>
                          <a:prstGeom prst="rect">
                            <a:avLst/>
                          </a:prstGeom>
                        </pic:spPr>
                      </pic:pic>
                    </a:graphicData>
                  </a:graphic>
                </wp:inline>
              </w:drawing>
            </w:r>
          </w:p>
        </w:tc>
        <w:tc>
          <w:tcPr>
            <w:tcW w:w="4644" w:type="dxa"/>
          </w:tcPr>
          <w:p w14:paraId="3C38150C">
            <w:pPr>
              <w:overflowPunct w:val="0"/>
              <w:spacing w:after="160"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drawing>
                <wp:inline distT="0" distB="0" distL="114300" distR="114300">
                  <wp:extent cx="2400300" cy="1800225"/>
                  <wp:effectExtent l="0" t="0" r="0" b="9525"/>
                  <wp:docPr id="41" name="图片 41" descr="IMG_20250915_105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IMG_20250915_105600"/>
                          <pic:cNvPicPr>
                            <a:picLocks noChangeAspect="1"/>
                          </pic:cNvPicPr>
                        </pic:nvPicPr>
                        <pic:blipFill>
                          <a:blip r:embed="rId59"/>
                          <a:stretch>
                            <a:fillRect/>
                          </a:stretch>
                        </pic:blipFill>
                        <pic:spPr>
                          <a:xfrm>
                            <a:off x="0" y="0"/>
                            <a:ext cx="2400300" cy="1800225"/>
                          </a:xfrm>
                          <a:prstGeom prst="rect">
                            <a:avLst/>
                          </a:prstGeom>
                        </pic:spPr>
                      </pic:pic>
                    </a:graphicData>
                  </a:graphic>
                </wp:inline>
              </w:drawing>
            </w:r>
          </w:p>
        </w:tc>
      </w:tr>
    </w:tbl>
    <w:p w14:paraId="3B0C2ABF">
      <w:pPr>
        <w:overflowPunct w:val="0"/>
        <w:spacing w:after="160"/>
        <w:ind w:left="200" w:firstLine="0" w:firstLineChars="0"/>
        <w:jc w:val="center"/>
        <w:rPr>
          <w:color w:val="000000" w:themeColor="text1"/>
          <w:szCs w:val="21"/>
          <w14:textFill>
            <w14:solidFill>
              <w14:schemeClr w14:val="tx1"/>
            </w14:solidFill>
          </w14:textFill>
        </w:rPr>
      </w:pPr>
      <w:r>
        <w:rPr>
          <w:rFonts w:hint="eastAsia"/>
          <w:b/>
          <w:color w:val="000000" w:themeColor="text1"/>
          <w:sz w:val="21"/>
          <w:szCs w:val="21"/>
          <w14:textFill>
            <w14:solidFill>
              <w14:schemeClr w14:val="tx1"/>
            </w14:solidFill>
          </w14:textFill>
        </w:rPr>
        <w:t>图2.1-5项目危废暂存间及活性炭吸附装置情况</w:t>
      </w:r>
    </w:p>
    <w:p w14:paraId="5E629C73">
      <w:pPr>
        <w:autoSpaceDE w:val="0"/>
        <w:autoSpaceDN w:val="0"/>
        <w:ind w:firstLine="480"/>
        <w:jc w:val="lef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危废定期交由钦州时昌再生资源有限公司接收处置（危险废物经营许可证编号：GXQZ2024001）。钦州时昌再生资源有限公司经营资质包含HW08、HW49类危险废物，可妥善处理本项目产生的危险废物。</w:t>
      </w:r>
    </w:p>
    <w:p w14:paraId="7CFD8145">
      <w:pPr>
        <w:pStyle w:val="7"/>
        <w:rPr>
          <w:color w:val="000000" w:themeColor="text1"/>
          <w14:textFill>
            <w14:solidFill>
              <w14:schemeClr w14:val="tx1"/>
            </w14:solidFill>
          </w14:textFill>
        </w:rPr>
      </w:pPr>
      <w:r>
        <w:rPr>
          <w:color w:val="000000" w:themeColor="text1"/>
          <w14:textFill>
            <w14:solidFill>
              <w14:schemeClr w14:val="tx1"/>
            </w14:solidFill>
          </w14:textFill>
        </w:rPr>
        <w:t>危废暂存间基本情况</w:t>
      </w:r>
    </w:p>
    <w:p w14:paraId="3A8AA92E">
      <w:pPr>
        <w:spacing w:line="35" w:lineRule="exact"/>
        <w:ind w:firstLine="480"/>
        <w:rPr>
          <w:color w:val="000000" w:themeColor="text1"/>
          <w14:textFill>
            <w14:solidFill>
              <w14:schemeClr w14:val="tx1"/>
            </w14:solidFill>
          </w14:textFill>
        </w:rPr>
      </w:pPr>
    </w:p>
    <w:tbl>
      <w:tblPr>
        <w:tblStyle w:val="72"/>
        <w:tblW w:w="8366" w:type="dxa"/>
        <w:tblInd w:w="12"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
      <w:tblGrid>
        <w:gridCol w:w="957"/>
        <w:gridCol w:w="1242"/>
        <w:gridCol w:w="1022"/>
        <w:gridCol w:w="1361"/>
        <w:gridCol w:w="706"/>
        <w:gridCol w:w="1012"/>
        <w:gridCol w:w="1034"/>
        <w:gridCol w:w="1032"/>
      </w:tblGrid>
      <w:tr w14:paraId="6144E1FE">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513" w:hRule="atLeast"/>
        </w:trPr>
        <w:tc>
          <w:tcPr>
            <w:tcW w:w="957" w:type="dxa"/>
            <w:vAlign w:val="center"/>
          </w:tcPr>
          <w:p w14:paraId="7DEC542C">
            <w:pPr>
              <w:pStyle w:val="70"/>
              <w:autoSpaceDE w:val="0"/>
              <w:autoSpaceDN w:val="0"/>
              <w:rPr>
                <w:rFonts w:asciiTheme="minorHAnsi" w:hAnsiTheme="minorHAnsi" w:eastAsiaTheme="minorEastAsia" w:cstheme="minorBidi"/>
                <w:b/>
                <w:bCs/>
                <w:color w:val="000000" w:themeColor="text1"/>
                <w:lang w:eastAsia="en-US"/>
                <w14:textFill>
                  <w14:solidFill>
                    <w14:schemeClr w14:val="tx1"/>
                  </w14:solidFill>
                </w14:textFill>
              </w:rPr>
            </w:pPr>
            <w:r>
              <w:rPr>
                <w:rFonts w:asciiTheme="minorHAnsi" w:hAnsiTheme="minorHAnsi" w:eastAsiaTheme="minorEastAsia" w:cstheme="minorBidi"/>
                <w:b/>
                <w:bCs/>
                <w:color w:val="000000" w:themeColor="text1"/>
                <w:lang w:eastAsia="en-US"/>
                <w14:textFill>
                  <w14:solidFill>
                    <w14:schemeClr w14:val="tx1"/>
                  </w14:solidFill>
                </w14:textFill>
              </w:rPr>
              <w:t>贮存场所</w:t>
            </w:r>
          </w:p>
        </w:tc>
        <w:tc>
          <w:tcPr>
            <w:tcW w:w="1242" w:type="dxa"/>
            <w:vAlign w:val="center"/>
          </w:tcPr>
          <w:p w14:paraId="26B7B453">
            <w:pPr>
              <w:pStyle w:val="70"/>
              <w:autoSpaceDE w:val="0"/>
              <w:autoSpaceDN w:val="0"/>
              <w:rPr>
                <w:rFonts w:asciiTheme="minorHAnsi" w:hAnsiTheme="minorHAnsi" w:eastAsiaTheme="minorEastAsia" w:cstheme="minorBidi"/>
                <w:b/>
                <w:bCs/>
                <w:color w:val="000000" w:themeColor="text1"/>
                <w:lang w:eastAsia="en-US"/>
                <w14:textFill>
                  <w14:solidFill>
                    <w14:schemeClr w14:val="tx1"/>
                  </w14:solidFill>
                </w14:textFill>
              </w:rPr>
            </w:pPr>
            <w:r>
              <w:rPr>
                <w:rFonts w:asciiTheme="minorHAnsi" w:hAnsiTheme="minorHAnsi" w:eastAsiaTheme="minorEastAsia" w:cstheme="minorBidi"/>
                <w:b/>
                <w:bCs/>
                <w:color w:val="000000" w:themeColor="text1"/>
                <w:lang w:eastAsia="en-US"/>
                <w14:textFill>
                  <w14:solidFill>
                    <w14:schemeClr w14:val="tx1"/>
                  </w14:solidFill>
                </w14:textFill>
              </w:rPr>
              <w:t>危废名称</w:t>
            </w:r>
          </w:p>
        </w:tc>
        <w:tc>
          <w:tcPr>
            <w:tcW w:w="1022" w:type="dxa"/>
            <w:vAlign w:val="center"/>
          </w:tcPr>
          <w:p w14:paraId="38866137">
            <w:pPr>
              <w:pStyle w:val="70"/>
              <w:autoSpaceDE w:val="0"/>
              <w:autoSpaceDN w:val="0"/>
              <w:rPr>
                <w:rFonts w:asciiTheme="minorHAnsi" w:hAnsiTheme="minorHAnsi" w:eastAsiaTheme="minorEastAsia" w:cstheme="minorBidi"/>
                <w:b/>
                <w:bCs/>
                <w:color w:val="000000" w:themeColor="text1"/>
                <w:lang w:eastAsia="en-US"/>
                <w14:textFill>
                  <w14:solidFill>
                    <w14:schemeClr w14:val="tx1"/>
                  </w14:solidFill>
                </w14:textFill>
              </w:rPr>
            </w:pPr>
            <w:r>
              <w:rPr>
                <w:rFonts w:asciiTheme="minorHAnsi" w:hAnsiTheme="minorHAnsi" w:eastAsiaTheme="minorEastAsia" w:cstheme="minorBidi"/>
                <w:b/>
                <w:bCs/>
                <w:color w:val="000000" w:themeColor="text1"/>
                <w:lang w:eastAsia="en-US"/>
                <w14:textFill>
                  <w14:solidFill>
                    <w14:schemeClr w14:val="tx1"/>
                  </w14:solidFill>
                </w14:textFill>
              </w:rPr>
              <w:t>危险废物类别</w:t>
            </w:r>
          </w:p>
        </w:tc>
        <w:tc>
          <w:tcPr>
            <w:tcW w:w="1361" w:type="dxa"/>
            <w:vAlign w:val="center"/>
          </w:tcPr>
          <w:p w14:paraId="1A5BE270">
            <w:pPr>
              <w:pStyle w:val="70"/>
              <w:autoSpaceDE w:val="0"/>
              <w:autoSpaceDN w:val="0"/>
              <w:rPr>
                <w:rFonts w:asciiTheme="minorHAnsi" w:hAnsiTheme="minorHAnsi" w:eastAsiaTheme="minorEastAsia" w:cstheme="minorBidi"/>
                <w:b/>
                <w:bCs/>
                <w:color w:val="000000" w:themeColor="text1"/>
                <w:lang w:eastAsia="en-US"/>
                <w14:textFill>
                  <w14:solidFill>
                    <w14:schemeClr w14:val="tx1"/>
                  </w14:solidFill>
                </w14:textFill>
              </w:rPr>
            </w:pPr>
            <w:r>
              <w:rPr>
                <w:rFonts w:asciiTheme="minorHAnsi" w:hAnsiTheme="minorHAnsi" w:eastAsiaTheme="minorEastAsia" w:cstheme="minorBidi"/>
                <w:b/>
                <w:bCs/>
                <w:color w:val="000000" w:themeColor="text1"/>
                <w:lang w:eastAsia="en-US"/>
                <w14:textFill>
                  <w14:solidFill>
                    <w14:schemeClr w14:val="tx1"/>
                  </w14:solidFill>
                </w14:textFill>
              </w:rPr>
              <w:t>危险废物代码</w:t>
            </w:r>
          </w:p>
        </w:tc>
        <w:tc>
          <w:tcPr>
            <w:tcW w:w="706" w:type="dxa"/>
            <w:vAlign w:val="center"/>
          </w:tcPr>
          <w:p w14:paraId="518B04C5">
            <w:pPr>
              <w:pStyle w:val="70"/>
              <w:autoSpaceDE w:val="0"/>
              <w:autoSpaceDN w:val="0"/>
              <w:rPr>
                <w:rFonts w:asciiTheme="minorHAnsi" w:hAnsiTheme="minorHAnsi" w:eastAsiaTheme="minorEastAsia" w:cstheme="minorBidi"/>
                <w:b/>
                <w:bCs/>
                <w:color w:val="000000" w:themeColor="text1"/>
                <w:lang w:eastAsia="en-US"/>
                <w14:textFill>
                  <w14:solidFill>
                    <w14:schemeClr w14:val="tx1"/>
                  </w14:solidFill>
                </w14:textFill>
              </w:rPr>
            </w:pPr>
            <w:r>
              <w:rPr>
                <w:rFonts w:asciiTheme="minorHAnsi" w:hAnsiTheme="minorHAnsi" w:eastAsiaTheme="minorEastAsia" w:cstheme="minorBidi"/>
                <w:b/>
                <w:bCs/>
                <w:color w:val="000000" w:themeColor="text1"/>
                <w:lang w:eastAsia="en-US"/>
                <w14:textFill>
                  <w14:solidFill>
                    <w14:schemeClr w14:val="tx1"/>
                  </w14:solidFill>
                </w14:textFill>
              </w:rPr>
              <w:t>占地面积</w:t>
            </w:r>
          </w:p>
        </w:tc>
        <w:tc>
          <w:tcPr>
            <w:tcW w:w="1012" w:type="dxa"/>
            <w:vAlign w:val="center"/>
          </w:tcPr>
          <w:p w14:paraId="39131091">
            <w:pPr>
              <w:pStyle w:val="70"/>
              <w:autoSpaceDE w:val="0"/>
              <w:autoSpaceDN w:val="0"/>
              <w:rPr>
                <w:rFonts w:asciiTheme="minorHAnsi" w:hAnsiTheme="minorHAnsi" w:eastAsiaTheme="minorEastAsia" w:cstheme="minorBidi"/>
                <w:b/>
                <w:bCs/>
                <w:color w:val="000000" w:themeColor="text1"/>
                <w:lang w:eastAsia="en-US"/>
                <w14:textFill>
                  <w14:solidFill>
                    <w14:schemeClr w14:val="tx1"/>
                  </w14:solidFill>
                </w14:textFill>
              </w:rPr>
            </w:pPr>
            <w:r>
              <w:rPr>
                <w:rFonts w:asciiTheme="minorHAnsi" w:hAnsiTheme="minorHAnsi" w:eastAsiaTheme="minorEastAsia" w:cstheme="minorBidi"/>
                <w:b/>
                <w:bCs/>
                <w:color w:val="000000" w:themeColor="text1"/>
                <w:lang w:eastAsia="en-US"/>
                <w14:textFill>
                  <w14:solidFill>
                    <w14:schemeClr w14:val="tx1"/>
                  </w14:solidFill>
                </w14:textFill>
              </w:rPr>
              <w:t>贮存方式</w:t>
            </w:r>
          </w:p>
        </w:tc>
        <w:tc>
          <w:tcPr>
            <w:tcW w:w="1034" w:type="dxa"/>
            <w:vAlign w:val="center"/>
          </w:tcPr>
          <w:p w14:paraId="786105F3">
            <w:pPr>
              <w:pStyle w:val="70"/>
              <w:autoSpaceDE w:val="0"/>
              <w:autoSpaceDN w:val="0"/>
              <w:rPr>
                <w:rFonts w:asciiTheme="minorHAnsi" w:hAnsiTheme="minorHAnsi" w:eastAsiaTheme="minorEastAsia" w:cstheme="minorBidi"/>
                <w:b/>
                <w:bCs/>
                <w:color w:val="000000" w:themeColor="text1"/>
                <w:lang w:eastAsia="en-US"/>
                <w14:textFill>
                  <w14:solidFill>
                    <w14:schemeClr w14:val="tx1"/>
                  </w14:solidFill>
                </w14:textFill>
              </w:rPr>
            </w:pPr>
            <w:r>
              <w:rPr>
                <w:rFonts w:asciiTheme="minorHAnsi" w:hAnsiTheme="minorHAnsi" w:eastAsiaTheme="minorEastAsia" w:cstheme="minorBidi"/>
                <w:b/>
                <w:bCs/>
                <w:color w:val="000000" w:themeColor="text1"/>
                <w:lang w:eastAsia="en-US"/>
                <w14:textFill>
                  <w14:solidFill>
                    <w14:schemeClr w14:val="tx1"/>
                  </w14:solidFill>
                </w14:textFill>
              </w:rPr>
              <w:t>贮存</w:t>
            </w:r>
            <w:r>
              <w:rPr>
                <w:rFonts w:hint="eastAsia" w:asciiTheme="minorHAnsi" w:hAnsiTheme="minorHAnsi" w:eastAsiaTheme="minorEastAsia" w:cstheme="minorBidi"/>
                <w:b/>
                <w:bCs/>
                <w:color w:val="000000" w:themeColor="text1"/>
                <w:lang w:eastAsia="en-US"/>
                <w14:textFill>
                  <w14:solidFill>
                    <w14:schemeClr w14:val="tx1"/>
                  </w14:solidFill>
                </w14:textFill>
              </w:rPr>
              <w:t>量</w:t>
            </w:r>
          </w:p>
        </w:tc>
        <w:tc>
          <w:tcPr>
            <w:tcW w:w="1032" w:type="dxa"/>
            <w:vAlign w:val="center"/>
          </w:tcPr>
          <w:p w14:paraId="1C2948F9">
            <w:pPr>
              <w:pStyle w:val="70"/>
              <w:autoSpaceDE w:val="0"/>
              <w:autoSpaceDN w:val="0"/>
              <w:rPr>
                <w:rFonts w:asciiTheme="minorHAnsi" w:hAnsiTheme="minorHAnsi" w:eastAsiaTheme="minorEastAsia" w:cstheme="minorBidi"/>
                <w:b/>
                <w:bCs/>
                <w:color w:val="000000" w:themeColor="text1"/>
                <w:lang w:eastAsia="en-US"/>
                <w14:textFill>
                  <w14:solidFill>
                    <w14:schemeClr w14:val="tx1"/>
                  </w14:solidFill>
                </w14:textFill>
              </w:rPr>
            </w:pPr>
            <w:r>
              <w:rPr>
                <w:rFonts w:asciiTheme="minorHAnsi" w:hAnsiTheme="minorHAnsi" w:eastAsiaTheme="minorEastAsia" w:cstheme="minorBidi"/>
                <w:b/>
                <w:bCs/>
                <w:color w:val="000000" w:themeColor="text1"/>
                <w:lang w:eastAsia="en-US"/>
                <w14:textFill>
                  <w14:solidFill>
                    <w14:schemeClr w14:val="tx1"/>
                  </w14:solidFill>
                </w14:textFill>
              </w:rPr>
              <w:t>贮存周期</w:t>
            </w:r>
          </w:p>
        </w:tc>
      </w:tr>
      <w:tr w14:paraId="7BA41204">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409" w:hRule="atLeast"/>
        </w:trPr>
        <w:tc>
          <w:tcPr>
            <w:tcW w:w="957" w:type="dxa"/>
            <w:vAlign w:val="center"/>
          </w:tcPr>
          <w:p w14:paraId="29CE3C33">
            <w:pPr>
              <w:pStyle w:val="70"/>
              <w:autoSpaceDE w:val="0"/>
              <w:autoSpaceDN w:val="0"/>
              <w:rPr>
                <w:rFonts w:hint="default" w:ascii="Times New Roman" w:hAnsi="Times New Roman" w:cs="Times New Roman" w:eastAsiaTheme="minorEastAsia"/>
                <w:color w:val="000000" w:themeColor="text1"/>
                <w:lang w:eastAsia="en-US"/>
                <w14:textFill>
                  <w14:solidFill>
                    <w14:schemeClr w14:val="tx1"/>
                  </w14:solidFill>
                </w14:textFill>
              </w:rPr>
            </w:pPr>
            <w:r>
              <w:rPr>
                <w:rFonts w:hint="default" w:ascii="Times New Roman" w:hAnsi="Times New Roman" w:cs="Times New Roman" w:eastAsiaTheme="minorEastAsia"/>
                <w:color w:val="000000" w:themeColor="text1"/>
                <w:lang w:eastAsia="en-US"/>
                <w14:textFill>
                  <w14:solidFill>
                    <w14:schemeClr w14:val="tx1"/>
                  </w14:solidFill>
                </w14:textFill>
              </w:rPr>
              <w:t>一体化危废暂存间</w:t>
            </w:r>
          </w:p>
        </w:tc>
        <w:tc>
          <w:tcPr>
            <w:tcW w:w="1242" w:type="dxa"/>
            <w:vAlign w:val="center"/>
          </w:tcPr>
          <w:p w14:paraId="288E5E22">
            <w:pPr>
              <w:pStyle w:val="70"/>
              <w:autoSpaceDE w:val="0"/>
              <w:autoSpaceDN w:val="0"/>
              <w:rPr>
                <w:rFonts w:hint="default" w:ascii="Times New Roman" w:hAnsi="Times New Roman" w:cs="Times New Roman" w:eastAsiaTheme="minorEastAsia"/>
                <w:color w:val="000000" w:themeColor="text1"/>
                <w:lang w:eastAsia="en-US"/>
                <w14:textFill>
                  <w14:solidFill>
                    <w14:schemeClr w14:val="tx1"/>
                  </w14:solidFill>
                </w14:textFill>
              </w:rPr>
            </w:pPr>
            <w:r>
              <w:rPr>
                <w:rFonts w:hint="default" w:ascii="Times New Roman" w:hAnsi="Times New Roman" w:cs="Times New Roman" w:eastAsiaTheme="minorEastAsia"/>
                <w:color w:val="000000" w:themeColor="text1"/>
                <w:lang w:eastAsia="en-US"/>
                <w14:textFill>
                  <w14:solidFill>
                    <w14:schemeClr w14:val="tx1"/>
                  </w14:solidFill>
                </w14:textFill>
              </w:rPr>
              <w:t>含油废布及棉纱</w:t>
            </w:r>
          </w:p>
        </w:tc>
        <w:tc>
          <w:tcPr>
            <w:tcW w:w="1022" w:type="dxa"/>
            <w:vAlign w:val="center"/>
          </w:tcPr>
          <w:p w14:paraId="738DEE77">
            <w:pPr>
              <w:pStyle w:val="70"/>
              <w:autoSpaceDE w:val="0"/>
              <w:autoSpaceDN w:val="0"/>
              <w:rPr>
                <w:rFonts w:hint="default" w:ascii="Times New Roman" w:hAnsi="Times New Roman" w:cs="Times New Roman" w:eastAsiaTheme="minorEastAsia"/>
                <w:color w:val="000000" w:themeColor="text1"/>
                <w:lang w:eastAsia="en-US"/>
                <w14:textFill>
                  <w14:solidFill>
                    <w14:schemeClr w14:val="tx1"/>
                  </w14:solidFill>
                </w14:textFill>
              </w:rPr>
            </w:pPr>
            <w:r>
              <w:rPr>
                <w:rFonts w:hint="default" w:ascii="Times New Roman" w:hAnsi="Times New Roman" w:cs="Times New Roman" w:eastAsiaTheme="minorEastAsia"/>
                <w:color w:val="000000" w:themeColor="text1"/>
                <w:lang w:eastAsia="en-US"/>
                <w14:textFill>
                  <w14:solidFill>
                    <w14:schemeClr w14:val="tx1"/>
                  </w14:solidFill>
                </w14:textFill>
              </w:rPr>
              <w:t>HW08</w:t>
            </w:r>
          </w:p>
        </w:tc>
        <w:tc>
          <w:tcPr>
            <w:tcW w:w="1361" w:type="dxa"/>
            <w:vAlign w:val="center"/>
          </w:tcPr>
          <w:p w14:paraId="59816A36">
            <w:pPr>
              <w:pStyle w:val="70"/>
              <w:autoSpaceDE w:val="0"/>
              <w:autoSpaceDN w:val="0"/>
              <w:rPr>
                <w:rFonts w:hint="default" w:ascii="Times New Roman" w:hAnsi="Times New Roman" w:cs="Times New Roman" w:eastAsiaTheme="minorEastAsia"/>
                <w:color w:val="000000" w:themeColor="text1"/>
                <w:lang w:eastAsia="en-US"/>
                <w14:textFill>
                  <w14:solidFill>
                    <w14:schemeClr w14:val="tx1"/>
                  </w14:solidFill>
                </w14:textFill>
              </w:rPr>
            </w:pPr>
            <w:r>
              <w:rPr>
                <w:rFonts w:hint="default" w:ascii="Times New Roman" w:hAnsi="Times New Roman" w:cs="Times New Roman" w:eastAsiaTheme="minorEastAsia"/>
                <w:color w:val="000000" w:themeColor="text1"/>
                <w:lang w:eastAsia="en-US"/>
                <w14:textFill>
                  <w14:solidFill>
                    <w14:schemeClr w14:val="tx1"/>
                  </w14:solidFill>
                </w14:textFill>
              </w:rPr>
              <w:t>900-249-08</w:t>
            </w:r>
          </w:p>
        </w:tc>
        <w:tc>
          <w:tcPr>
            <w:tcW w:w="706" w:type="dxa"/>
            <w:vAlign w:val="center"/>
          </w:tcPr>
          <w:p w14:paraId="675A280D">
            <w:pPr>
              <w:pStyle w:val="70"/>
              <w:autoSpaceDE w:val="0"/>
              <w:autoSpaceDN w:val="0"/>
              <w:rPr>
                <w:rFonts w:hint="default" w:ascii="Times New Roman" w:hAnsi="Times New Roman" w:cs="Times New Roman" w:eastAsiaTheme="minorEastAsia"/>
                <w:color w:val="000000" w:themeColor="text1"/>
                <w:lang w:eastAsia="en-US"/>
                <w14:textFill>
                  <w14:solidFill>
                    <w14:schemeClr w14:val="tx1"/>
                  </w14:solidFill>
                </w14:textFill>
              </w:rPr>
            </w:pPr>
            <w:r>
              <w:rPr>
                <w:rFonts w:hint="default" w:ascii="Times New Roman" w:hAnsi="Times New Roman" w:cs="Times New Roman" w:eastAsiaTheme="minorEastAsia"/>
                <w:color w:val="000000" w:themeColor="text1"/>
                <w:lang w:eastAsia="en-US"/>
                <w14:textFill>
                  <w14:solidFill>
                    <w14:schemeClr w14:val="tx1"/>
                  </w14:solidFill>
                </w14:textFill>
              </w:rPr>
              <w:t>10m</w:t>
            </w:r>
            <w:r>
              <w:rPr>
                <w:rFonts w:hint="default" w:ascii="Times New Roman" w:hAnsi="Times New Roman" w:cs="Times New Roman" w:eastAsiaTheme="minorEastAsia"/>
                <w:color w:val="000000" w:themeColor="text1"/>
                <w:vertAlign w:val="superscript"/>
                <w:lang w:eastAsia="en-US"/>
                <w14:textFill>
                  <w14:solidFill>
                    <w14:schemeClr w14:val="tx1"/>
                  </w14:solidFill>
                </w14:textFill>
              </w:rPr>
              <w:t>2</w:t>
            </w:r>
          </w:p>
        </w:tc>
        <w:tc>
          <w:tcPr>
            <w:tcW w:w="1012" w:type="dxa"/>
            <w:vAlign w:val="center"/>
          </w:tcPr>
          <w:p w14:paraId="5F7EA99C">
            <w:pPr>
              <w:pStyle w:val="70"/>
              <w:autoSpaceDE w:val="0"/>
              <w:autoSpaceDN w:val="0"/>
              <w:rPr>
                <w:rFonts w:hint="default" w:ascii="Times New Roman" w:hAnsi="Times New Roman" w:cs="Times New Roman" w:eastAsiaTheme="minorEastAsia"/>
                <w:color w:val="000000" w:themeColor="text1"/>
                <w:lang w:eastAsia="en-US"/>
                <w14:textFill>
                  <w14:solidFill>
                    <w14:schemeClr w14:val="tx1"/>
                  </w14:solidFill>
                </w14:textFill>
              </w:rPr>
            </w:pPr>
            <w:r>
              <w:rPr>
                <w:rFonts w:hint="default" w:ascii="Times New Roman" w:hAnsi="Times New Roman" w:cs="Times New Roman" w:eastAsiaTheme="minorEastAsia"/>
                <w:color w:val="000000" w:themeColor="text1"/>
                <w:lang w:eastAsia="en-US"/>
                <w14:textFill>
                  <w14:solidFill>
                    <w14:schemeClr w14:val="tx1"/>
                  </w14:solidFill>
                </w14:textFill>
              </w:rPr>
              <w:t>/</w:t>
            </w:r>
          </w:p>
        </w:tc>
        <w:tc>
          <w:tcPr>
            <w:tcW w:w="1034" w:type="dxa"/>
            <w:vAlign w:val="center"/>
          </w:tcPr>
          <w:p w14:paraId="659518B4">
            <w:pPr>
              <w:pStyle w:val="70"/>
              <w:autoSpaceDE w:val="0"/>
              <w:autoSpaceDN w:val="0"/>
              <w:rPr>
                <w:rFonts w:hint="default" w:ascii="Times New Roman" w:hAnsi="Times New Roman" w:cs="Times New Roman" w:eastAsiaTheme="minorEastAsia"/>
                <w:color w:val="000000" w:themeColor="text1"/>
                <w:lang w:eastAsia="en-US"/>
                <w14:textFill>
                  <w14:solidFill>
                    <w14:schemeClr w14:val="tx1"/>
                  </w14:solidFill>
                </w14:textFill>
              </w:rPr>
            </w:pPr>
            <w:r>
              <w:rPr>
                <w:rFonts w:hint="default" w:ascii="Times New Roman" w:hAnsi="Times New Roman" w:cs="Times New Roman" w:eastAsiaTheme="minorEastAsia"/>
                <w:color w:val="000000" w:themeColor="text1"/>
                <w:lang w:eastAsia="en-US"/>
                <w14:textFill>
                  <w14:solidFill>
                    <w14:schemeClr w14:val="tx1"/>
                  </w14:solidFill>
                </w14:textFill>
              </w:rPr>
              <w:t>0.05t/a</w:t>
            </w:r>
          </w:p>
        </w:tc>
        <w:tc>
          <w:tcPr>
            <w:tcW w:w="1032" w:type="dxa"/>
            <w:vAlign w:val="center"/>
          </w:tcPr>
          <w:p w14:paraId="018E632E">
            <w:pPr>
              <w:pStyle w:val="70"/>
              <w:autoSpaceDE w:val="0"/>
              <w:autoSpaceDN w:val="0"/>
              <w:rPr>
                <w:rFonts w:hint="default" w:ascii="Times New Roman" w:hAnsi="Times New Roman" w:cs="Times New Roman" w:eastAsiaTheme="minorEastAsia"/>
                <w:color w:val="000000" w:themeColor="text1"/>
                <w:lang w:eastAsia="en-US"/>
                <w14:textFill>
                  <w14:solidFill>
                    <w14:schemeClr w14:val="tx1"/>
                  </w14:solidFill>
                </w14:textFill>
              </w:rPr>
            </w:pPr>
            <w:r>
              <w:rPr>
                <w:rFonts w:hint="default" w:ascii="Times New Roman" w:hAnsi="Times New Roman" w:cs="Times New Roman" w:eastAsiaTheme="minorEastAsia"/>
                <w:color w:val="000000" w:themeColor="text1"/>
                <w:lang w:eastAsia="en-US"/>
                <w14:textFill>
                  <w14:solidFill>
                    <w14:schemeClr w14:val="tx1"/>
                  </w14:solidFill>
                </w14:textFill>
              </w:rPr>
              <w:t>1个月</w:t>
            </w:r>
          </w:p>
        </w:tc>
      </w:tr>
    </w:tbl>
    <w:p w14:paraId="6A2D4507">
      <w:pPr>
        <w:pStyle w:val="6"/>
        <w:rPr>
          <w:color w:val="000000" w:themeColor="text1"/>
          <w14:textFill>
            <w14:solidFill>
              <w14:schemeClr w14:val="tx1"/>
            </w14:solidFill>
          </w14:textFill>
        </w:rPr>
      </w:pPr>
      <w:r>
        <w:rPr>
          <w:rFonts w:hint="eastAsia"/>
          <w:color w:val="000000" w:themeColor="text1"/>
          <w14:textFill>
            <w14:solidFill>
              <w14:schemeClr w14:val="tx1"/>
            </w14:solidFill>
          </w14:textFill>
        </w:rPr>
        <w:t>台湾见龙钦州高端聚苯乙烯新材料项目建设情况</w:t>
      </w:r>
    </w:p>
    <w:p w14:paraId="43F46A0B">
      <w:pPr>
        <w:autoSpaceDE w:val="0"/>
        <w:autoSpaceDN w:val="0"/>
        <w:ind w:firstLine="482"/>
        <w:jc w:val="left"/>
        <w:rPr>
          <w:b/>
          <w:color w:val="000000" w:themeColor="text1"/>
          <w:kern w:val="0"/>
          <w14:textFill>
            <w14:solidFill>
              <w14:schemeClr w14:val="tx1"/>
            </w14:solidFill>
          </w14:textFill>
        </w:rPr>
      </w:pPr>
      <w:r>
        <w:rPr>
          <w:rFonts w:hint="eastAsia"/>
          <w:b/>
          <w:color w:val="000000" w:themeColor="text1"/>
          <w:kern w:val="0"/>
          <w14:textFill>
            <w14:solidFill>
              <w14:schemeClr w14:val="tx1"/>
            </w14:solidFill>
          </w14:textFill>
        </w:rPr>
        <w:t>1、基本情况</w:t>
      </w:r>
    </w:p>
    <w:p w14:paraId="67E214CA">
      <w:pPr>
        <w:autoSpaceDE w:val="0"/>
        <w:autoSpaceDN w:val="0"/>
        <w:ind w:firstLine="48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（1）项目名称：台湾见龙钦州高端聚苯乙烯新材料项目；</w:t>
      </w:r>
    </w:p>
    <w:p w14:paraId="3AD7E3DB">
      <w:pPr>
        <w:autoSpaceDE w:val="0"/>
        <w:autoSpaceDN w:val="0"/>
        <w:ind w:firstLine="48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（2）建设单位：广西骅桥新材料有限公司；</w:t>
      </w:r>
    </w:p>
    <w:p w14:paraId="7942151E">
      <w:pPr>
        <w:autoSpaceDE w:val="0"/>
        <w:autoSpaceDN w:val="0"/>
        <w:ind w:firstLine="48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（3）项目性质：新建项目；</w:t>
      </w:r>
    </w:p>
    <w:p w14:paraId="33E13534">
      <w:pPr>
        <w:autoSpaceDE w:val="0"/>
        <w:autoSpaceDN w:val="0"/>
        <w:ind w:firstLine="48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（4）项目代码：2411-450704-04-05-473754；</w:t>
      </w:r>
    </w:p>
    <w:p w14:paraId="2BCBBA86">
      <w:pPr>
        <w:autoSpaceDE w:val="0"/>
        <w:autoSpaceDN w:val="0"/>
        <w:ind w:firstLine="48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（5）建设地点：中国（广西）自由贸易试验区钦州港片区石化产业园区，项目中 心坐标为经度 108°37′18.608″，纬度 21°43′41.899″；</w:t>
      </w:r>
    </w:p>
    <w:p w14:paraId="41D8E41B">
      <w:pPr>
        <w:autoSpaceDE w:val="0"/>
        <w:autoSpaceDN w:val="0"/>
        <w:ind w:firstLine="48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（6）项目投资：总投资 40000 万元；其中环保投资 1236.0 万元，占总投资的3.09%；</w:t>
      </w:r>
    </w:p>
    <w:p w14:paraId="70C98698">
      <w:pPr>
        <w:autoSpaceDE w:val="0"/>
        <w:autoSpaceDN w:val="0"/>
        <w:ind w:firstLine="48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（7）建设内容和规模：项目用地面积约 113 亩，主要建设 4 条 10 万吨/年发泡性聚苯乙烯材料（EPS）生产线及罐区、成品仓库等配套设施。原辅材料主要为苯乙烯。</w:t>
      </w:r>
    </w:p>
    <w:p w14:paraId="29CF4A1E">
      <w:pPr>
        <w:autoSpaceDE w:val="0"/>
        <w:autoSpaceDN w:val="0"/>
        <w:ind w:firstLine="48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（8）劳动定员：项目劳动定员 130 人，厂区内不设置住宿；</w:t>
      </w:r>
    </w:p>
    <w:p w14:paraId="0ADBB20F">
      <w:pPr>
        <w:autoSpaceDE w:val="0"/>
        <w:autoSpaceDN w:val="0"/>
        <w:ind w:firstLine="48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（9）工作制度：年生产天数为 330 天，实行四班三倒制，每班 8 小时，年生产7920h；</w:t>
      </w:r>
    </w:p>
    <w:p w14:paraId="3E04784B">
      <w:pPr>
        <w:autoSpaceDE w:val="0"/>
        <w:autoSpaceDN w:val="0"/>
        <w:ind w:firstLine="48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（10）建设时间：2025 年 4 月~2026 年 4 月；</w:t>
      </w:r>
    </w:p>
    <w:p w14:paraId="7C63D2F1">
      <w:pPr>
        <w:autoSpaceDE w:val="0"/>
        <w:autoSpaceDN w:val="0"/>
        <w:ind w:firstLine="48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（11）项目四至情况：项目东面为钦州市中电投热电联产（已停产）；南面为勒 沟东大街，隔着勒沟东大街为广西钦州澄星化工科技有限公司和广西华谊项目部；西 面为广西雅保锂业有限公司；北面为广西景源新材料有限公司项目用地（ 现为荒 地）。</w:t>
      </w:r>
    </w:p>
    <w:p w14:paraId="36B9813E">
      <w:pPr>
        <w:autoSpaceDE w:val="0"/>
        <w:autoSpaceDN w:val="0"/>
        <w:ind w:firstLine="482"/>
        <w:jc w:val="left"/>
        <w:rPr>
          <w:b/>
          <w:color w:val="000000" w:themeColor="text1"/>
          <w:kern w:val="0"/>
          <w14:textFill>
            <w14:solidFill>
              <w14:schemeClr w14:val="tx1"/>
            </w14:solidFill>
          </w14:textFill>
        </w:rPr>
      </w:pPr>
      <w:r>
        <w:rPr>
          <w:rFonts w:hint="eastAsia"/>
          <w:b/>
          <w:color w:val="000000" w:themeColor="text1"/>
          <w:kern w:val="0"/>
          <w14:textFill>
            <w14:solidFill>
              <w14:schemeClr w14:val="tx1"/>
            </w14:solidFill>
          </w14:textFill>
        </w:rPr>
        <w:t>2、环评批复情况</w:t>
      </w:r>
    </w:p>
    <w:p w14:paraId="5F8C547B">
      <w:pPr>
        <w:autoSpaceDE w:val="0"/>
        <w:autoSpaceDN w:val="0"/>
        <w:ind w:firstLine="48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2025年7月14日，钦州市生态环境局《关于台湾见龙钦州高端聚苯乙烯新材料项目环境影响报告书的批复》（中马园审批环[2025]15号）进行批复。</w:t>
      </w:r>
    </w:p>
    <w:p w14:paraId="7DDA3A11">
      <w:pPr>
        <w:autoSpaceDE w:val="0"/>
        <w:autoSpaceDN w:val="0"/>
        <w:ind w:firstLine="482"/>
        <w:jc w:val="left"/>
        <w:rPr>
          <w:b/>
          <w:color w:val="000000" w:themeColor="text1"/>
          <w:kern w:val="0"/>
          <w14:textFill>
            <w14:solidFill>
              <w14:schemeClr w14:val="tx1"/>
            </w14:solidFill>
          </w14:textFill>
        </w:rPr>
      </w:pPr>
      <w:r>
        <w:rPr>
          <w:rFonts w:hint="eastAsia"/>
          <w:b/>
          <w:color w:val="000000" w:themeColor="text1"/>
          <w:kern w:val="0"/>
          <w14:textFill>
            <w14:solidFill>
              <w14:schemeClr w14:val="tx1"/>
            </w14:solidFill>
          </w14:textFill>
        </w:rPr>
        <w:t>3、建设情况</w:t>
      </w:r>
    </w:p>
    <w:p w14:paraId="64A0F7D8">
      <w:pPr>
        <w:autoSpaceDE w:val="0"/>
        <w:autoSpaceDN w:val="0"/>
        <w:ind w:firstLine="48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根据广西骅桥新材料有限公司，目前项目正在建设中，主体已经基本建设完成，预计2026年4月调试生产。</w:t>
      </w:r>
    </w:p>
    <w:p w14:paraId="414E44CA">
      <w:pPr>
        <w:pStyle w:val="6"/>
        <w:rPr>
          <w:color w:val="000000" w:themeColor="text1"/>
          <w14:textFill>
            <w14:solidFill>
              <w14:schemeClr w14:val="tx1"/>
            </w14:solidFill>
          </w14:textFill>
        </w:rPr>
      </w:pPr>
      <w:r>
        <w:rPr>
          <w:rFonts w:hint="eastAsia"/>
          <w:color w:val="000000" w:themeColor="text1"/>
          <w14:textFill>
            <w14:solidFill>
              <w14:schemeClr w14:val="tx1"/>
            </w14:solidFill>
          </w14:textFill>
        </w:rPr>
        <w:t>欧德年产 30 万吨生物柴油生产线项目</w:t>
      </w:r>
    </w:p>
    <w:p w14:paraId="33D519E6">
      <w:pPr>
        <w:autoSpaceDE w:val="0"/>
        <w:autoSpaceDN w:val="0"/>
        <w:ind w:firstLine="482"/>
        <w:jc w:val="left"/>
        <w:rPr>
          <w:b/>
          <w:color w:val="000000" w:themeColor="text1"/>
          <w:kern w:val="0"/>
          <w14:textFill>
            <w14:solidFill>
              <w14:schemeClr w14:val="tx1"/>
            </w14:solidFill>
          </w14:textFill>
        </w:rPr>
      </w:pPr>
      <w:r>
        <w:rPr>
          <w:rFonts w:hint="eastAsia"/>
          <w:b/>
          <w:color w:val="000000" w:themeColor="text1"/>
          <w:kern w:val="0"/>
          <w14:textFill>
            <w14:solidFill>
              <w14:schemeClr w14:val="tx1"/>
            </w14:solidFill>
          </w14:textFill>
        </w:rPr>
        <w:t>1、基本情况</w:t>
      </w:r>
    </w:p>
    <w:p w14:paraId="1B9E1878">
      <w:pPr>
        <w:autoSpaceDE w:val="0"/>
        <w:autoSpaceDN w:val="0"/>
        <w:ind w:firstLine="48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（1）项目名称：欧德年产 30 万吨生物柴油生产线项目</w:t>
      </w:r>
    </w:p>
    <w:p w14:paraId="4594F05C">
      <w:pPr>
        <w:autoSpaceDE w:val="0"/>
        <w:autoSpaceDN w:val="0"/>
        <w:ind w:firstLine="48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（2）建设单位：广西自贸区丰之力新能源有限公司</w:t>
      </w:r>
    </w:p>
    <w:p w14:paraId="032FC593">
      <w:pPr>
        <w:autoSpaceDE w:val="0"/>
        <w:autoSpaceDN w:val="0"/>
        <w:ind w:firstLine="48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（3）用地面积：33333.34m</w:t>
      </w:r>
      <w:r>
        <w:rPr>
          <w:rFonts w:hint="eastAsia"/>
          <w:color w:val="000000" w:themeColor="text1"/>
          <w:vertAlign w:val="superscript"/>
          <w14:textFill>
            <w14:solidFill>
              <w14:schemeClr w14:val="tx1"/>
            </w14:solidFill>
          </w14:textFill>
        </w:rPr>
        <w:t>2</w:t>
      </w:r>
    </w:p>
    <w:p w14:paraId="24AC6BD1">
      <w:pPr>
        <w:autoSpaceDE w:val="0"/>
        <w:autoSpaceDN w:val="0"/>
        <w:ind w:firstLine="48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（4）建设性质：新建</w:t>
      </w:r>
    </w:p>
    <w:p w14:paraId="13529236">
      <w:pPr>
        <w:autoSpaceDE w:val="0"/>
        <w:autoSpaceDN w:val="0"/>
        <w:ind w:firstLine="48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（5）总投资：12500 万元</w:t>
      </w:r>
    </w:p>
    <w:p w14:paraId="32E32FB6">
      <w:pPr>
        <w:autoSpaceDE w:val="0"/>
        <w:autoSpaceDN w:val="0"/>
        <w:ind w:firstLine="48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（6）建设周期：计划在 2025 年 9 月开工建设，于 2026 年 9 月投产，施工期为 12个月。</w:t>
      </w:r>
    </w:p>
    <w:p w14:paraId="59AF351A">
      <w:pPr>
        <w:autoSpaceDE w:val="0"/>
        <w:autoSpaceDN w:val="0"/>
        <w:ind w:firstLine="48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（7）建设地点：位于中国（广西）自由贸易试验区钦州港片区钦州市石化产业园 临海大道西面、勒沟东大街北面，地理中心坐标为东经 108.624033°，北纬 21.730996°。</w:t>
      </w:r>
    </w:p>
    <w:p w14:paraId="0080AFEB">
      <w:pPr>
        <w:autoSpaceDE w:val="0"/>
        <w:autoSpaceDN w:val="0"/>
        <w:ind w:firstLine="48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（8）建设内容及规模：主要建设 1 条生物柴油生产线、1 条工业级混合油生产线 和 1 根 1.79km 的生物柴油及工业级混合油管道，配套建设给排水等辅助工程，年产 30 万吨生物柴油、10 万吨工业级混合油、1.5 万吨精甘油和 1.2 万吨重质脂肪酸。</w:t>
      </w:r>
    </w:p>
    <w:p w14:paraId="7D4FE466">
      <w:pPr>
        <w:autoSpaceDE w:val="0"/>
        <w:autoSpaceDN w:val="0"/>
        <w:ind w:firstLine="48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（9）生物柴油及工业级混合油管道：管径为 DN250，管材为 Q235B，设计流量为 352m3/h，设计压力为 0.5MPa，设计温度为 50℃，设计长度为 1.79km，起点位于项目 厂区西南角储罐区，终点位于金鼓江作业区 14 号泊位公共管廊，其中 0~0.03km 位于厂 区内，0.03~1.79km 位于园区公共管廊，管道位于管廊的第三层管架，为地上式管道， 管道沿园区公共管廊设置，主要用于主产品生物柴油和工业级混合油的输送，两者采用 同一根管道输送。</w:t>
      </w:r>
    </w:p>
    <w:p w14:paraId="3D08618E">
      <w:pPr>
        <w:autoSpaceDE w:val="0"/>
        <w:autoSpaceDN w:val="0"/>
        <w:ind w:firstLine="48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（10）周边环境状况：用地已平整，临时办公场所已建，地块东面为空地和临海大 道，南面为空地和中电投北部湾（广西）热电有限公司（已停产），西面为林地和空地， 北面为海沟。</w:t>
      </w:r>
    </w:p>
    <w:p w14:paraId="7FC237A1">
      <w:pPr>
        <w:autoSpaceDE w:val="0"/>
        <w:autoSpaceDN w:val="0"/>
        <w:ind w:firstLine="482"/>
        <w:jc w:val="left"/>
        <w:rPr>
          <w:b/>
          <w:color w:val="000000" w:themeColor="text1"/>
          <w:kern w:val="0"/>
          <w14:textFill>
            <w14:solidFill>
              <w14:schemeClr w14:val="tx1"/>
            </w14:solidFill>
          </w14:textFill>
        </w:rPr>
      </w:pPr>
      <w:r>
        <w:rPr>
          <w:rFonts w:hint="eastAsia"/>
          <w:b/>
          <w:color w:val="000000" w:themeColor="text1"/>
          <w:kern w:val="0"/>
          <w14:textFill>
            <w14:solidFill>
              <w14:schemeClr w14:val="tx1"/>
            </w14:solidFill>
          </w14:textFill>
        </w:rPr>
        <w:t>2、环评批复情况</w:t>
      </w:r>
    </w:p>
    <w:p w14:paraId="4776857E">
      <w:pPr>
        <w:autoSpaceDE w:val="0"/>
        <w:autoSpaceDN w:val="0"/>
        <w:ind w:firstLine="48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2025年7月14日，中国一马来西亚钦州产业园区行政审批局《关于欧德年产30万吨生物柴油生产线项目环境影响报告书的批复》（中马园审批环[2025]33号）进行批复。</w:t>
      </w:r>
    </w:p>
    <w:p w14:paraId="3734A642">
      <w:pPr>
        <w:autoSpaceDE w:val="0"/>
        <w:autoSpaceDN w:val="0"/>
        <w:ind w:firstLine="482"/>
        <w:jc w:val="left"/>
        <w:rPr>
          <w:b/>
          <w:color w:val="000000" w:themeColor="text1"/>
          <w:kern w:val="0"/>
          <w14:textFill>
            <w14:solidFill>
              <w14:schemeClr w14:val="tx1"/>
            </w14:solidFill>
          </w14:textFill>
        </w:rPr>
      </w:pPr>
      <w:r>
        <w:rPr>
          <w:rFonts w:hint="eastAsia"/>
          <w:b/>
          <w:color w:val="000000" w:themeColor="text1"/>
          <w:kern w:val="0"/>
          <w14:textFill>
            <w14:solidFill>
              <w14:schemeClr w14:val="tx1"/>
            </w14:solidFill>
          </w14:textFill>
        </w:rPr>
        <w:t>3、建设情况</w:t>
      </w:r>
    </w:p>
    <w:p w14:paraId="0F3687EC">
      <w:pPr>
        <w:autoSpaceDE w:val="0"/>
        <w:autoSpaceDN w:val="0"/>
        <w:ind w:firstLine="48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根据广西自贸区丰之力新能源有限公司，目前项目正在建设中，主体已经基本建设完成，预计2026年6月调试生产。</w:t>
      </w:r>
    </w:p>
    <w:p w14:paraId="751D5D70">
      <w:pPr>
        <w:pStyle w:val="4"/>
        <w:rPr>
          <w:color w:val="000000" w:themeColor="text1"/>
          <w14:textFill>
            <w14:solidFill>
              <w14:schemeClr w14:val="tx1"/>
            </w14:solidFill>
          </w14:textFill>
        </w:rPr>
      </w:pPr>
      <w:bookmarkStart w:id="187" w:name="_Toc216620355"/>
      <w:bookmarkStart w:id="188" w:name="_Toc216103196"/>
      <w:r>
        <w:rPr>
          <w:color w:val="000000" w:themeColor="text1"/>
          <w14:textFill>
            <w14:solidFill>
              <w14:schemeClr w14:val="tx1"/>
            </w14:solidFill>
          </w14:textFill>
        </w:rPr>
        <w:t>基本情况</w:t>
      </w:r>
      <w:bookmarkEnd w:id="182"/>
      <w:bookmarkEnd w:id="183"/>
      <w:bookmarkEnd w:id="184"/>
      <w:bookmarkEnd w:id="185"/>
      <w:bookmarkEnd w:id="187"/>
      <w:bookmarkEnd w:id="188"/>
    </w:p>
    <w:p w14:paraId="45224E92">
      <w:pPr>
        <w:tabs>
          <w:tab w:val="left" w:pos="5812"/>
        </w:tabs>
        <w:ind w:firstLine="480"/>
        <w:rPr>
          <w:color w:val="000000" w:themeColor="text1"/>
          <w14:textFill>
            <w14:solidFill>
              <w14:schemeClr w14:val="tx1"/>
            </w14:solidFill>
          </w14:textFill>
        </w:rPr>
      </w:pPr>
      <w:r>
        <w:rPr>
          <w:color w:val="000000" w:themeColor="text1"/>
          <w14:textFill>
            <w14:solidFill>
              <w14:schemeClr w14:val="tx1"/>
            </w14:solidFill>
          </w14:textFill>
        </w:rPr>
        <w:t>（1）项目名称：</w:t>
      </w:r>
      <w:r>
        <w:rPr>
          <w:rFonts w:hint="eastAsia"/>
          <w:color w:val="000000" w:themeColor="text1"/>
          <w14:textFill>
            <w14:solidFill>
              <w14:schemeClr w14:val="tx1"/>
            </w14:solidFill>
          </w14:textFill>
        </w:rPr>
        <w:t>北部湾港钦州港域金谷港区金鼓江作业区14号泊位扩建工程（新增液硫、苯乙烯等装卸设施）</w:t>
      </w:r>
    </w:p>
    <w:p w14:paraId="0C641F79">
      <w:pPr>
        <w:ind w:firstLine="480"/>
        <w:rPr>
          <w:color w:val="000000" w:themeColor="text1"/>
          <w14:textFill>
            <w14:solidFill>
              <w14:schemeClr w14:val="tx1"/>
            </w14:solidFill>
          </w14:textFill>
        </w:rPr>
      </w:pPr>
      <w:r>
        <w:rPr>
          <w:color w:val="000000" w:themeColor="text1"/>
          <w14:textFill>
            <w14:solidFill>
              <w14:schemeClr w14:val="tx1"/>
            </w14:solidFill>
          </w14:textFill>
        </w:rPr>
        <w:t>（2）建设单位：</w:t>
      </w:r>
      <w:r>
        <w:rPr>
          <w:rFonts w:hint="eastAsia"/>
          <w:color w:val="000000" w:themeColor="text1"/>
          <w14:textFill>
            <w14:solidFill>
              <w14:schemeClr w14:val="tx1"/>
            </w14:solidFill>
          </w14:textFill>
        </w:rPr>
        <w:t>广西自贸区逸海港务有限责任公司</w:t>
      </w:r>
    </w:p>
    <w:p w14:paraId="4FDAB0E6">
      <w:pPr>
        <w:ind w:firstLine="480"/>
        <w:rPr>
          <w:color w:val="000000" w:themeColor="text1"/>
          <w14:textFill>
            <w14:solidFill>
              <w14:schemeClr w14:val="tx1"/>
            </w14:solidFill>
          </w14:textFill>
        </w:rPr>
      </w:pPr>
      <w:r>
        <w:rPr>
          <w:color w:val="000000" w:themeColor="text1"/>
          <w14:textFill>
            <w14:solidFill>
              <w14:schemeClr w14:val="tx1"/>
            </w14:solidFill>
          </w14:textFill>
        </w:rPr>
        <w:t>（3）建设地点：本工程建设地点位于钦州港金鼓江西岸，距金鼓江航道口门约3km，北端与金鼓江作业区13#泊位相邻，南端与金鼓江作业区15#泊位相邻，对岸为大榄坪作业区。</w:t>
      </w:r>
    </w:p>
    <w:p w14:paraId="2D0F79D7">
      <w:pPr>
        <w:ind w:firstLine="480"/>
        <w:rPr>
          <w:color w:val="000000" w:themeColor="text1"/>
          <w14:textFill>
            <w14:solidFill>
              <w14:schemeClr w14:val="tx1"/>
            </w14:solidFill>
          </w14:textFill>
        </w:rPr>
      </w:pPr>
      <w:r>
        <w:rPr>
          <w:color w:val="000000" w:themeColor="text1"/>
          <w14:textFill>
            <w14:solidFill>
              <w14:schemeClr w14:val="tx1"/>
            </w14:solidFill>
          </w14:textFill>
        </w:rPr>
        <w:t>（4）建设性质：</w:t>
      </w:r>
      <w:r>
        <w:rPr>
          <w:rFonts w:hint="eastAsia"/>
          <w:color w:val="000000" w:themeColor="text1"/>
          <w14:textFill>
            <w14:solidFill>
              <w14:schemeClr w14:val="tx1"/>
            </w14:solidFill>
          </w14:textFill>
        </w:rPr>
        <w:t>扩</w:t>
      </w:r>
      <w:r>
        <w:rPr>
          <w:color w:val="000000" w:themeColor="text1"/>
          <w14:textFill>
            <w14:solidFill>
              <w14:schemeClr w14:val="tx1"/>
            </w14:solidFill>
          </w14:textFill>
        </w:rPr>
        <w:t>建</w:t>
      </w:r>
    </w:p>
    <w:p w14:paraId="0728AE0E">
      <w:pPr>
        <w:autoSpaceDE w:val="0"/>
        <w:autoSpaceDN w:val="0"/>
        <w:ind w:firstLine="480"/>
        <w:jc w:val="left"/>
        <w:rPr>
          <w:color w:val="000000" w:themeColor="text1"/>
          <w:u w:val="single"/>
          <w14:textFill>
            <w14:solidFill>
              <w14:schemeClr w14:val="tx1"/>
            </w14:solidFill>
          </w14:textFill>
        </w:rPr>
      </w:pPr>
      <w:r>
        <w:rPr>
          <w:color w:val="000000" w:themeColor="text1"/>
          <w14:textFill>
            <w14:solidFill>
              <w14:schemeClr w14:val="tx1"/>
            </w14:solidFill>
          </w14:textFill>
        </w:rPr>
        <w:t>（5）建设规模：</w:t>
      </w:r>
      <w:r>
        <w:rPr>
          <w:rFonts w:hint="eastAsia" w:ascii="宋体" w:hAnsi="宋体"/>
          <w:color w:val="000000" w:themeColor="text1"/>
          <w:u w:val="single"/>
          <w14:textFill>
            <w14:solidFill>
              <w14:schemeClr w14:val="tx1"/>
            </w14:solidFill>
          </w14:textFill>
        </w:rPr>
        <w:t>新增苯乙烯利用现有装卸臂进行装卸，均为卸船后经管道至后方</w:t>
      </w:r>
      <w:r>
        <w:rPr>
          <w:rFonts w:hint="eastAsia"/>
          <w:color w:val="000000" w:themeColor="text1"/>
          <w:u w:val="single"/>
          <w14:textFill>
            <w14:solidFill>
              <w14:schemeClr w14:val="tx1"/>
            </w14:solidFill>
          </w14:textFill>
        </w:rPr>
        <w:t>台湾见龙钦州高端聚苯乙烯新材料项目</w:t>
      </w:r>
      <w:r>
        <w:rPr>
          <w:rFonts w:hint="eastAsia" w:ascii="宋体" w:hAnsi="宋体"/>
          <w:color w:val="000000" w:themeColor="text1"/>
          <w:u w:val="single"/>
          <w14:textFill>
            <w14:solidFill>
              <w14:schemeClr w14:val="tx1"/>
            </w14:solidFill>
          </w14:textFill>
        </w:rPr>
        <w:t>厂区。</w:t>
      </w:r>
      <w:r>
        <w:rPr>
          <w:rFonts w:hint="eastAsia"/>
          <w:color w:val="000000" w:themeColor="text1"/>
          <w:u w:val="single"/>
          <w14:textFill>
            <w14:solidFill>
              <w14:schemeClr w14:val="tx1"/>
            </w14:solidFill>
          </w14:textFill>
        </w:rPr>
        <w:t>棕榈酸化油、脂肪酸混合物由</w:t>
      </w:r>
      <w:r>
        <w:rPr>
          <w:rFonts w:hint="eastAsia" w:ascii="宋体" w:hAnsi="宋体"/>
          <w:color w:val="000000" w:themeColor="text1"/>
          <w:u w:val="single"/>
          <w14:textFill>
            <w14:solidFill>
              <w14:schemeClr w14:val="tx1"/>
            </w14:solidFill>
          </w14:textFill>
        </w:rPr>
        <w:t>新建装卸臂</w:t>
      </w:r>
      <w:r>
        <w:rPr>
          <w:rFonts w:hint="eastAsia"/>
          <w:color w:val="000000" w:themeColor="text1"/>
          <w:u w:val="single"/>
          <w14:textFill>
            <w14:solidFill>
              <w14:schemeClr w14:val="tx1"/>
            </w14:solidFill>
          </w14:textFill>
        </w:rPr>
        <w:t>卸船至后方欧德年产 30 万吨生物柴油生产线项目厂区。</w:t>
      </w:r>
      <w:r>
        <w:rPr>
          <w:rFonts w:hint="eastAsia" w:ascii="宋体" w:hAnsi="宋体"/>
          <w:color w:val="000000" w:themeColor="text1"/>
          <w:u w:val="single"/>
          <w14:textFill>
            <w14:solidFill>
              <w14:schemeClr w14:val="tx1"/>
            </w14:solidFill>
          </w14:textFill>
        </w:rPr>
        <w:t>裂解C9、工业级混合油、脂肪酸甲酯、纯生物柴油、航空煤油由后方厂区及公共管廊至码头管廊后至新建装卸臂进行装船。液硫、碱液、发烟硫酸、硫酸经卸船经管道至后方陆域罐区（新增罐区环境影响评价报告同步进行</w:t>
      </w:r>
      <w:r>
        <w:rPr>
          <w:rFonts w:hint="eastAsia" w:ascii="宋体" w:hAnsi="宋体"/>
          <w:color w:val="000000" w:themeColor="text1"/>
          <w:u w:val="single"/>
          <w:lang w:val="en-US" w:eastAsia="zh-CN"/>
          <w14:textFill>
            <w14:solidFill>
              <w14:schemeClr w14:val="tx1"/>
            </w14:solidFill>
          </w14:textFill>
        </w:rPr>
        <w:t>中</w:t>
      </w:r>
      <w:r>
        <w:rPr>
          <w:rFonts w:hint="eastAsia" w:ascii="宋体" w:hAnsi="宋体"/>
          <w:color w:val="000000" w:themeColor="text1"/>
          <w:u w:val="single"/>
          <w14:textFill>
            <w14:solidFill>
              <w14:schemeClr w14:val="tx1"/>
            </w14:solidFill>
          </w14:textFill>
        </w:rPr>
        <w:t>）。根管道建设内容</w:t>
      </w:r>
      <w:r>
        <w:rPr>
          <w:rFonts w:hint="eastAsia"/>
          <w:color w:val="000000" w:themeColor="text1"/>
          <w:u w:val="single"/>
          <w14:textFill>
            <w14:solidFill>
              <w14:schemeClr w14:val="tx1"/>
            </w14:solidFill>
          </w14:textFill>
        </w:rPr>
        <w:t>见表2.2-2。</w:t>
      </w:r>
    </w:p>
    <w:p w14:paraId="3AE64D4A">
      <w:pPr>
        <w:ind w:firstLine="48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新增吞吐货运量84万吨/年，方案同时调整了原来的装卸量，具体见概述“表1”，调整后码头251万吨/年。满足设计吞吐量276万吨/年、设计年通过能力300万吨/年的要求</w:t>
      </w:r>
    </w:p>
    <w:p w14:paraId="29493450">
      <w:pPr>
        <w:ind w:firstLine="480"/>
        <w:rPr>
          <w:color w:val="000000" w:themeColor="text1"/>
          <w14:textFill>
            <w14:solidFill>
              <w14:schemeClr w14:val="tx1"/>
            </w14:solidFill>
          </w14:textFill>
        </w:rPr>
      </w:pPr>
      <w:r>
        <w:rPr>
          <w:color w:val="000000" w:themeColor="text1"/>
          <w14:textFill>
            <w14:solidFill>
              <w14:schemeClr w14:val="tx1"/>
            </w14:solidFill>
          </w14:textFill>
        </w:rPr>
        <w:t>（6）建设内容：</w:t>
      </w:r>
      <w:r>
        <w:rPr>
          <w:color w:val="000000" w:themeColor="text1"/>
          <w:szCs w:val="28"/>
          <w14:textFill>
            <w14:solidFill>
              <w14:schemeClr w14:val="tx1"/>
            </w14:solidFill>
          </w14:textFill>
        </w:rPr>
        <w:t>装卸臂、管道工程等。</w:t>
      </w:r>
    </w:p>
    <w:p w14:paraId="30384BE7">
      <w:pPr>
        <w:ind w:firstLine="480"/>
        <w:rPr>
          <w:color w:val="000000" w:themeColor="text1"/>
          <w14:textFill>
            <w14:solidFill>
              <w14:schemeClr w14:val="tx1"/>
            </w14:solidFill>
          </w14:textFill>
        </w:rPr>
      </w:pPr>
      <w:r>
        <w:rPr>
          <w:color w:val="000000" w:themeColor="text1"/>
          <w14:textFill>
            <w14:solidFill>
              <w14:schemeClr w14:val="tx1"/>
            </w14:solidFill>
          </w14:textFill>
        </w:rPr>
        <w:t>（7）工作制度：依托现有。</w:t>
      </w:r>
    </w:p>
    <w:p w14:paraId="2EDA5CA9">
      <w:pPr>
        <w:ind w:firstLine="480"/>
        <w:rPr>
          <w:color w:val="000000" w:themeColor="text1"/>
          <w14:textFill>
            <w14:solidFill>
              <w14:schemeClr w14:val="tx1"/>
            </w14:solidFill>
          </w14:textFill>
        </w:rPr>
      </w:pPr>
      <w:r>
        <w:rPr>
          <w:color w:val="000000" w:themeColor="text1"/>
          <w14:textFill>
            <w14:solidFill>
              <w14:schemeClr w14:val="tx1"/>
            </w14:solidFill>
          </w14:textFill>
        </w:rPr>
        <w:t>（8）施工计划：预计工期</w:t>
      </w:r>
      <w:r>
        <w:rPr>
          <w:rFonts w:hint="eastAsia"/>
          <w:color w:val="000000" w:themeColor="text1"/>
          <w14:textFill>
            <w14:solidFill>
              <w14:schemeClr w14:val="tx1"/>
            </w14:solidFill>
          </w14:textFill>
        </w:rPr>
        <w:t>5</w:t>
      </w:r>
      <w:r>
        <w:rPr>
          <w:color w:val="000000" w:themeColor="text1"/>
          <w14:textFill>
            <w14:solidFill>
              <w14:schemeClr w14:val="tx1"/>
            </w14:solidFill>
          </w14:textFill>
        </w:rPr>
        <w:t>个月。</w:t>
      </w:r>
    </w:p>
    <w:p w14:paraId="6E04E9EC">
      <w:pPr>
        <w:ind w:firstLine="480"/>
        <w:rPr>
          <w:color w:val="000000" w:themeColor="text1"/>
          <w14:textFill>
            <w14:solidFill>
              <w14:schemeClr w14:val="tx1"/>
            </w14:solidFill>
          </w14:textFill>
        </w:rPr>
      </w:pPr>
      <w:r>
        <w:rPr>
          <w:color w:val="000000" w:themeColor="text1"/>
          <w14:textFill>
            <w14:solidFill>
              <w14:schemeClr w14:val="tx1"/>
            </w14:solidFill>
          </w14:textFill>
        </w:rPr>
        <w:t>（9）项目总投资：</w:t>
      </w:r>
      <w:r>
        <w:rPr>
          <w:rFonts w:hint="eastAsia"/>
          <w:color w:val="000000" w:themeColor="text1"/>
          <w14:textFill>
            <w14:solidFill>
              <w14:schemeClr w14:val="tx1"/>
            </w14:solidFill>
          </w14:textFill>
        </w:rPr>
        <w:t>750</w:t>
      </w:r>
      <w:r>
        <w:rPr>
          <w:color w:val="000000" w:themeColor="text1"/>
          <w14:textFill>
            <w14:solidFill>
              <w14:schemeClr w14:val="tx1"/>
            </w14:solidFill>
          </w14:textFill>
        </w:rPr>
        <w:t>万元。</w:t>
      </w:r>
    </w:p>
    <w:p w14:paraId="47366C5F">
      <w:pPr>
        <w:pStyle w:val="7"/>
        <w:rPr>
          <w:color w:val="000000" w:themeColor="text1"/>
          <w14:textFill>
            <w14:solidFill>
              <w14:schemeClr w14:val="tx1"/>
            </w14:solidFill>
          </w14:textFill>
        </w:rPr>
      </w:pPr>
      <w:r>
        <w:rPr>
          <w:color w:val="000000" w:themeColor="text1"/>
          <w14:textFill>
            <w14:solidFill>
              <w14:schemeClr w14:val="tx1"/>
            </w14:solidFill>
          </w14:textFill>
        </w:rPr>
        <w:t>本项目工程组成表</w:t>
      </w:r>
    </w:p>
    <w:tbl>
      <w:tblPr>
        <w:tblStyle w:val="43"/>
        <w:tblW w:w="9042"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410"/>
        <w:gridCol w:w="568"/>
        <w:gridCol w:w="568"/>
        <w:gridCol w:w="1134"/>
        <w:gridCol w:w="6362"/>
      </w:tblGrid>
      <w:tr w14:paraId="0B0A20F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0" w:hRule="atLeast"/>
          <w:tblHeader/>
          <w:jc w:val="center"/>
        </w:trPr>
        <w:tc>
          <w:tcPr>
            <w:tcW w:w="2680" w:type="dxa"/>
            <w:gridSpan w:val="4"/>
            <w:tcMar>
              <w:left w:w="0" w:type="dxa"/>
              <w:right w:w="0" w:type="dxa"/>
            </w:tcMar>
            <w:vAlign w:val="center"/>
          </w:tcPr>
          <w:p w14:paraId="35832B3C">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项目组成</w:t>
            </w:r>
          </w:p>
        </w:tc>
        <w:tc>
          <w:tcPr>
            <w:tcW w:w="6362" w:type="dxa"/>
            <w:tcMar>
              <w:left w:w="0" w:type="dxa"/>
              <w:right w:w="0" w:type="dxa"/>
            </w:tcMar>
            <w:vAlign w:val="center"/>
          </w:tcPr>
          <w:p w14:paraId="585103A0">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主要建设内容</w:t>
            </w:r>
          </w:p>
        </w:tc>
      </w:tr>
      <w:tr w14:paraId="6124826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410" w:type="dxa"/>
            <w:vMerge w:val="restart"/>
            <w:tcMar>
              <w:left w:w="0" w:type="dxa"/>
              <w:right w:w="0" w:type="dxa"/>
            </w:tcMar>
            <w:vAlign w:val="center"/>
          </w:tcPr>
          <w:p w14:paraId="789D477A">
            <w:pPr>
              <w:pStyle w:val="70"/>
              <w:rPr>
                <w:color w:val="000000" w:themeColor="text1"/>
                <w14:textFill>
                  <w14:solidFill>
                    <w14:schemeClr w14:val="tx1"/>
                  </w14:solidFill>
                </w14:textFill>
              </w:rPr>
            </w:pPr>
            <w:r>
              <w:rPr>
                <w:color w:val="000000" w:themeColor="text1"/>
                <w14:textFill>
                  <w14:solidFill>
                    <w14:schemeClr w14:val="tx1"/>
                  </w14:solidFill>
                </w14:textFill>
              </w:rPr>
              <w:t>码头工程</w:t>
            </w:r>
          </w:p>
        </w:tc>
        <w:tc>
          <w:tcPr>
            <w:tcW w:w="568" w:type="dxa"/>
            <w:vMerge w:val="restart"/>
            <w:tcMar>
              <w:left w:w="0" w:type="dxa"/>
              <w:right w:w="0" w:type="dxa"/>
            </w:tcMar>
            <w:vAlign w:val="center"/>
          </w:tcPr>
          <w:p w14:paraId="2734E883">
            <w:pPr>
              <w:pStyle w:val="70"/>
              <w:rPr>
                <w:color w:val="000000" w:themeColor="text1"/>
                <w14:textFill>
                  <w14:solidFill>
                    <w14:schemeClr w14:val="tx1"/>
                  </w14:solidFill>
                </w14:textFill>
              </w:rPr>
            </w:pPr>
            <w:r>
              <w:rPr>
                <w:color w:val="000000" w:themeColor="text1"/>
                <w14:textFill>
                  <w14:solidFill>
                    <w14:schemeClr w14:val="tx1"/>
                  </w14:solidFill>
                </w14:textFill>
              </w:rPr>
              <w:t>主体工程</w:t>
            </w:r>
          </w:p>
        </w:tc>
        <w:tc>
          <w:tcPr>
            <w:tcW w:w="568" w:type="dxa"/>
            <w:vMerge w:val="restart"/>
            <w:tcMar>
              <w:left w:w="0" w:type="dxa"/>
              <w:right w:w="0" w:type="dxa"/>
            </w:tcMar>
            <w:vAlign w:val="center"/>
          </w:tcPr>
          <w:p w14:paraId="424497A5">
            <w:pPr>
              <w:pStyle w:val="70"/>
              <w:rPr>
                <w:color w:val="000000" w:themeColor="text1"/>
                <w14:textFill>
                  <w14:solidFill>
                    <w14:schemeClr w14:val="tx1"/>
                  </w14:solidFill>
                </w14:textFill>
              </w:rPr>
            </w:pPr>
            <w:r>
              <w:rPr>
                <w:color w:val="000000" w:themeColor="text1"/>
                <w14:textFill>
                  <w14:solidFill>
                    <w14:schemeClr w14:val="tx1"/>
                  </w14:solidFill>
                </w14:textFill>
              </w:rPr>
              <w:t>水工建筑</w:t>
            </w:r>
          </w:p>
        </w:tc>
        <w:tc>
          <w:tcPr>
            <w:tcW w:w="1134" w:type="dxa"/>
            <w:tcMar>
              <w:left w:w="0" w:type="dxa"/>
              <w:right w:w="0" w:type="dxa"/>
            </w:tcMar>
            <w:vAlign w:val="center"/>
          </w:tcPr>
          <w:p w14:paraId="495F9E3C">
            <w:pPr>
              <w:pStyle w:val="70"/>
              <w:rPr>
                <w:color w:val="000000" w:themeColor="text1"/>
                <w14:textFill>
                  <w14:solidFill>
                    <w14:schemeClr w14:val="tx1"/>
                  </w14:solidFill>
                </w14:textFill>
              </w:rPr>
            </w:pPr>
            <w:r>
              <w:rPr>
                <w:color w:val="000000" w:themeColor="text1"/>
                <w14:textFill>
                  <w14:solidFill>
                    <w14:schemeClr w14:val="tx1"/>
                  </w14:solidFill>
                </w14:textFill>
              </w:rPr>
              <w:t>建筑物种类</w:t>
            </w:r>
          </w:p>
        </w:tc>
        <w:tc>
          <w:tcPr>
            <w:tcW w:w="6362" w:type="dxa"/>
            <w:tcMar>
              <w:left w:w="0" w:type="dxa"/>
              <w:right w:w="0" w:type="dxa"/>
            </w:tcMar>
            <w:vAlign w:val="center"/>
          </w:tcPr>
          <w:p w14:paraId="4F298F9A">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无施工内容</w:t>
            </w:r>
          </w:p>
        </w:tc>
      </w:tr>
      <w:tr w14:paraId="367A711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410" w:type="dxa"/>
            <w:vMerge w:val="continue"/>
            <w:tcMar>
              <w:left w:w="0" w:type="dxa"/>
              <w:right w:w="0" w:type="dxa"/>
            </w:tcMar>
            <w:vAlign w:val="center"/>
          </w:tcPr>
          <w:p w14:paraId="6AA63EC7">
            <w:pPr>
              <w:pStyle w:val="70"/>
              <w:rPr>
                <w:color w:val="000000" w:themeColor="text1"/>
                <w14:textFill>
                  <w14:solidFill>
                    <w14:schemeClr w14:val="tx1"/>
                  </w14:solidFill>
                </w14:textFill>
              </w:rPr>
            </w:pPr>
          </w:p>
        </w:tc>
        <w:tc>
          <w:tcPr>
            <w:tcW w:w="568" w:type="dxa"/>
            <w:vMerge w:val="continue"/>
            <w:tcMar>
              <w:left w:w="0" w:type="dxa"/>
              <w:right w:w="0" w:type="dxa"/>
            </w:tcMar>
            <w:vAlign w:val="center"/>
          </w:tcPr>
          <w:p w14:paraId="36F6F0CC">
            <w:pPr>
              <w:pStyle w:val="70"/>
              <w:rPr>
                <w:color w:val="000000" w:themeColor="text1"/>
                <w14:textFill>
                  <w14:solidFill>
                    <w14:schemeClr w14:val="tx1"/>
                  </w14:solidFill>
                </w14:textFill>
              </w:rPr>
            </w:pPr>
          </w:p>
        </w:tc>
        <w:tc>
          <w:tcPr>
            <w:tcW w:w="568" w:type="dxa"/>
            <w:vMerge w:val="continue"/>
            <w:tcMar>
              <w:left w:w="0" w:type="dxa"/>
              <w:right w:w="0" w:type="dxa"/>
            </w:tcMar>
            <w:vAlign w:val="center"/>
          </w:tcPr>
          <w:p w14:paraId="576E5C22">
            <w:pPr>
              <w:pStyle w:val="70"/>
              <w:rPr>
                <w:color w:val="000000" w:themeColor="text1"/>
                <w14:textFill>
                  <w14:solidFill>
                    <w14:schemeClr w14:val="tx1"/>
                  </w14:solidFill>
                </w14:textFill>
              </w:rPr>
            </w:pPr>
          </w:p>
        </w:tc>
        <w:tc>
          <w:tcPr>
            <w:tcW w:w="1134" w:type="dxa"/>
            <w:tcMar>
              <w:left w:w="0" w:type="dxa"/>
              <w:right w:w="0" w:type="dxa"/>
            </w:tcMar>
            <w:vAlign w:val="center"/>
          </w:tcPr>
          <w:p w14:paraId="51244D5C">
            <w:pPr>
              <w:pStyle w:val="70"/>
              <w:rPr>
                <w:color w:val="000000" w:themeColor="text1"/>
                <w14:textFill>
                  <w14:solidFill>
                    <w14:schemeClr w14:val="tx1"/>
                  </w14:solidFill>
                </w14:textFill>
              </w:rPr>
            </w:pPr>
            <w:r>
              <w:rPr>
                <w:color w:val="000000" w:themeColor="text1"/>
                <w14:textFill>
                  <w14:solidFill>
                    <w14:schemeClr w14:val="tx1"/>
                  </w14:solidFill>
                </w14:textFill>
              </w:rPr>
              <w:t>建筑物结构</w:t>
            </w:r>
          </w:p>
        </w:tc>
        <w:tc>
          <w:tcPr>
            <w:tcW w:w="6362" w:type="dxa"/>
            <w:tcMar>
              <w:left w:w="0" w:type="dxa"/>
              <w:right w:w="0" w:type="dxa"/>
            </w:tcMar>
            <w:vAlign w:val="center"/>
          </w:tcPr>
          <w:p w14:paraId="65B27664">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无施工内容</w:t>
            </w:r>
          </w:p>
        </w:tc>
      </w:tr>
      <w:tr w14:paraId="5FC3A63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410" w:type="dxa"/>
            <w:vMerge w:val="continue"/>
            <w:tcMar>
              <w:left w:w="0" w:type="dxa"/>
              <w:right w:w="0" w:type="dxa"/>
            </w:tcMar>
            <w:vAlign w:val="center"/>
          </w:tcPr>
          <w:p w14:paraId="01271E35">
            <w:pPr>
              <w:pStyle w:val="70"/>
              <w:rPr>
                <w:color w:val="000000" w:themeColor="text1"/>
                <w14:textFill>
                  <w14:solidFill>
                    <w14:schemeClr w14:val="tx1"/>
                  </w14:solidFill>
                </w14:textFill>
              </w:rPr>
            </w:pPr>
          </w:p>
        </w:tc>
        <w:tc>
          <w:tcPr>
            <w:tcW w:w="568" w:type="dxa"/>
            <w:vMerge w:val="continue"/>
            <w:tcMar>
              <w:left w:w="0" w:type="dxa"/>
              <w:right w:w="0" w:type="dxa"/>
            </w:tcMar>
            <w:vAlign w:val="center"/>
          </w:tcPr>
          <w:p w14:paraId="43AC5AD1">
            <w:pPr>
              <w:pStyle w:val="70"/>
              <w:rPr>
                <w:color w:val="000000" w:themeColor="text1"/>
                <w14:textFill>
                  <w14:solidFill>
                    <w14:schemeClr w14:val="tx1"/>
                  </w14:solidFill>
                </w14:textFill>
              </w:rPr>
            </w:pPr>
          </w:p>
        </w:tc>
        <w:tc>
          <w:tcPr>
            <w:tcW w:w="568" w:type="dxa"/>
            <w:vMerge w:val="restart"/>
            <w:tcMar>
              <w:left w:w="0" w:type="dxa"/>
              <w:right w:w="0" w:type="dxa"/>
            </w:tcMar>
            <w:vAlign w:val="center"/>
          </w:tcPr>
          <w:p w14:paraId="21699A9D">
            <w:pPr>
              <w:pStyle w:val="70"/>
              <w:rPr>
                <w:color w:val="000000" w:themeColor="text1"/>
                <w14:textFill>
                  <w14:solidFill>
                    <w14:schemeClr w14:val="tx1"/>
                  </w14:solidFill>
                </w14:textFill>
              </w:rPr>
            </w:pPr>
            <w:r>
              <w:rPr>
                <w:color w:val="000000" w:themeColor="text1"/>
                <w14:textFill>
                  <w14:solidFill>
                    <w14:schemeClr w14:val="tx1"/>
                  </w14:solidFill>
                </w14:textFill>
              </w:rPr>
              <w:t>装卸工艺</w:t>
            </w:r>
          </w:p>
        </w:tc>
        <w:tc>
          <w:tcPr>
            <w:tcW w:w="1134" w:type="dxa"/>
            <w:tcMar>
              <w:left w:w="0" w:type="dxa"/>
              <w:right w:w="0" w:type="dxa"/>
            </w:tcMar>
            <w:vAlign w:val="center"/>
          </w:tcPr>
          <w:p w14:paraId="24152F59">
            <w:pPr>
              <w:pStyle w:val="70"/>
              <w:rPr>
                <w:color w:val="000000" w:themeColor="text1"/>
                <w14:textFill>
                  <w14:solidFill>
                    <w14:schemeClr w14:val="tx1"/>
                  </w14:solidFill>
                </w14:textFill>
              </w:rPr>
            </w:pPr>
            <w:r>
              <w:rPr>
                <w:color w:val="000000" w:themeColor="text1"/>
                <w14:textFill>
                  <w14:solidFill>
                    <w14:schemeClr w14:val="tx1"/>
                  </w14:solidFill>
                </w14:textFill>
              </w:rPr>
              <w:t>货物种类、运量</w:t>
            </w:r>
          </w:p>
        </w:tc>
        <w:tc>
          <w:tcPr>
            <w:tcW w:w="6362" w:type="dxa"/>
            <w:tcMar>
              <w:left w:w="0" w:type="dxa"/>
              <w:right w:w="0" w:type="dxa"/>
            </w:tcMar>
            <w:vAlign w:val="center"/>
          </w:tcPr>
          <w:p w14:paraId="001ED824">
            <w:pPr>
              <w:pStyle w:val="70"/>
              <w:rPr>
                <w:color w:val="000000" w:themeColor="text1"/>
                <w14:textFill>
                  <w14:solidFill>
                    <w14:schemeClr w14:val="tx1"/>
                  </w14:solidFill>
                </w14:textFill>
              </w:rPr>
            </w:pPr>
            <w:r>
              <w:rPr>
                <w:color w:val="000000" w:themeColor="text1"/>
                <w14:textFill>
                  <w14:solidFill>
                    <w14:schemeClr w14:val="tx1"/>
                  </w14:solidFill>
                </w14:textFill>
              </w:rPr>
              <w:t>液体散货见表2.2-1、2.2-2</w:t>
            </w:r>
          </w:p>
        </w:tc>
      </w:tr>
      <w:tr w14:paraId="187CDF7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410" w:type="dxa"/>
            <w:vMerge w:val="continue"/>
            <w:tcMar>
              <w:left w:w="0" w:type="dxa"/>
              <w:right w:w="0" w:type="dxa"/>
            </w:tcMar>
            <w:vAlign w:val="center"/>
          </w:tcPr>
          <w:p w14:paraId="74CD85A0">
            <w:pPr>
              <w:pStyle w:val="70"/>
              <w:rPr>
                <w:color w:val="000000" w:themeColor="text1"/>
                <w14:textFill>
                  <w14:solidFill>
                    <w14:schemeClr w14:val="tx1"/>
                  </w14:solidFill>
                </w14:textFill>
              </w:rPr>
            </w:pPr>
          </w:p>
        </w:tc>
        <w:tc>
          <w:tcPr>
            <w:tcW w:w="568" w:type="dxa"/>
            <w:vMerge w:val="continue"/>
            <w:tcMar>
              <w:left w:w="0" w:type="dxa"/>
              <w:right w:w="0" w:type="dxa"/>
            </w:tcMar>
            <w:vAlign w:val="center"/>
          </w:tcPr>
          <w:p w14:paraId="0D6226E4">
            <w:pPr>
              <w:pStyle w:val="70"/>
              <w:rPr>
                <w:color w:val="000000" w:themeColor="text1"/>
                <w14:textFill>
                  <w14:solidFill>
                    <w14:schemeClr w14:val="tx1"/>
                  </w14:solidFill>
                </w14:textFill>
              </w:rPr>
            </w:pPr>
          </w:p>
        </w:tc>
        <w:tc>
          <w:tcPr>
            <w:tcW w:w="568" w:type="dxa"/>
            <w:vMerge w:val="continue"/>
            <w:tcMar>
              <w:left w:w="0" w:type="dxa"/>
              <w:right w:w="0" w:type="dxa"/>
            </w:tcMar>
            <w:vAlign w:val="center"/>
          </w:tcPr>
          <w:p w14:paraId="51FBD9A4">
            <w:pPr>
              <w:pStyle w:val="70"/>
              <w:rPr>
                <w:color w:val="000000" w:themeColor="text1"/>
                <w14:textFill>
                  <w14:solidFill>
                    <w14:schemeClr w14:val="tx1"/>
                  </w14:solidFill>
                </w14:textFill>
              </w:rPr>
            </w:pPr>
          </w:p>
        </w:tc>
        <w:tc>
          <w:tcPr>
            <w:tcW w:w="1134" w:type="dxa"/>
            <w:tcMar>
              <w:left w:w="0" w:type="dxa"/>
              <w:right w:w="0" w:type="dxa"/>
            </w:tcMar>
            <w:vAlign w:val="center"/>
          </w:tcPr>
          <w:p w14:paraId="6BF9E575">
            <w:pPr>
              <w:pStyle w:val="70"/>
              <w:rPr>
                <w:color w:val="000000" w:themeColor="text1"/>
                <w14:textFill>
                  <w14:solidFill>
                    <w14:schemeClr w14:val="tx1"/>
                  </w14:solidFill>
                </w14:textFill>
              </w:rPr>
            </w:pPr>
            <w:r>
              <w:rPr>
                <w:color w:val="000000" w:themeColor="text1"/>
                <w14:textFill>
                  <w14:solidFill>
                    <w14:schemeClr w14:val="tx1"/>
                  </w14:solidFill>
                </w14:textFill>
              </w:rPr>
              <w:t>工艺流程</w:t>
            </w:r>
          </w:p>
        </w:tc>
        <w:tc>
          <w:tcPr>
            <w:tcW w:w="6362" w:type="dxa"/>
            <w:tcMar>
              <w:left w:w="0" w:type="dxa"/>
              <w:right w:w="0" w:type="dxa"/>
            </w:tcMar>
            <w:vAlign w:val="center"/>
          </w:tcPr>
          <w:p w14:paraId="03602765">
            <w:pPr>
              <w:pStyle w:val="7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新增苯乙烯利用现有装卸臂进行装卸，均为卸船后经管道至后方台湾见龙钦州高端聚苯乙烯新材料项目厂区。棕榈酸化油、脂肪酸混合物由新建装卸臂卸船至后方欧德年产 30 万吨生物柴油生产线项目厂区。裂解C9、工业级混合油、脂肪酸甲酯、纯生物柴油、航空煤油由后方厂区及公共管廊至码头管廊后至新建装卸臂进行装船。液硫、碱液、发烟硫酸、硫酸经卸船经管道至后方陆域罐区（新增罐区环境影响评价报告</w:t>
            </w:r>
            <w:r>
              <w:rPr>
                <w:rFonts w:hint="eastAsia"/>
                <w:color w:val="000000" w:themeColor="text1"/>
                <w:lang w:eastAsia="zh-CN"/>
                <w14:textFill>
                  <w14:solidFill>
                    <w14:schemeClr w14:val="tx1"/>
                  </w14:solidFill>
                </w14:textFill>
              </w:rPr>
              <w:t>同步进行</w:t>
            </w:r>
            <w:r>
              <w:rPr>
                <w:rFonts w:hint="eastAsia"/>
                <w:color w:val="000000" w:themeColor="text1"/>
                <w14:textFill>
                  <w14:solidFill>
                    <w14:schemeClr w14:val="tx1"/>
                  </w14:solidFill>
                </w14:textFill>
              </w:rPr>
              <w:t>）</w:t>
            </w:r>
          </w:p>
        </w:tc>
      </w:tr>
      <w:tr w14:paraId="4641221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410" w:type="dxa"/>
            <w:vMerge w:val="continue"/>
            <w:tcMar>
              <w:left w:w="0" w:type="dxa"/>
              <w:right w:w="0" w:type="dxa"/>
            </w:tcMar>
            <w:vAlign w:val="center"/>
          </w:tcPr>
          <w:p w14:paraId="3A814D1A">
            <w:pPr>
              <w:pStyle w:val="70"/>
              <w:rPr>
                <w:color w:val="000000" w:themeColor="text1"/>
                <w14:textFill>
                  <w14:solidFill>
                    <w14:schemeClr w14:val="tx1"/>
                  </w14:solidFill>
                </w14:textFill>
              </w:rPr>
            </w:pPr>
          </w:p>
        </w:tc>
        <w:tc>
          <w:tcPr>
            <w:tcW w:w="568" w:type="dxa"/>
            <w:vMerge w:val="continue"/>
            <w:tcMar>
              <w:left w:w="0" w:type="dxa"/>
              <w:right w:w="0" w:type="dxa"/>
            </w:tcMar>
            <w:vAlign w:val="center"/>
          </w:tcPr>
          <w:p w14:paraId="054E22AF">
            <w:pPr>
              <w:pStyle w:val="70"/>
              <w:rPr>
                <w:color w:val="000000" w:themeColor="text1"/>
                <w14:textFill>
                  <w14:solidFill>
                    <w14:schemeClr w14:val="tx1"/>
                  </w14:solidFill>
                </w14:textFill>
              </w:rPr>
            </w:pPr>
          </w:p>
        </w:tc>
        <w:tc>
          <w:tcPr>
            <w:tcW w:w="568" w:type="dxa"/>
            <w:vMerge w:val="continue"/>
            <w:tcMar>
              <w:left w:w="0" w:type="dxa"/>
              <w:right w:w="0" w:type="dxa"/>
            </w:tcMar>
            <w:vAlign w:val="center"/>
          </w:tcPr>
          <w:p w14:paraId="3C97BB1E">
            <w:pPr>
              <w:pStyle w:val="70"/>
              <w:rPr>
                <w:color w:val="000000" w:themeColor="text1"/>
                <w14:textFill>
                  <w14:solidFill>
                    <w14:schemeClr w14:val="tx1"/>
                  </w14:solidFill>
                </w14:textFill>
              </w:rPr>
            </w:pPr>
          </w:p>
        </w:tc>
        <w:tc>
          <w:tcPr>
            <w:tcW w:w="1134" w:type="dxa"/>
            <w:tcMar>
              <w:left w:w="0" w:type="dxa"/>
              <w:right w:w="0" w:type="dxa"/>
            </w:tcMar>
            <w:vAlign w:val="center"/>
          </w:tcPr>
          <w:p w14:paraId="789609A2">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管道</w:t>
            </w:r>
          </w:p>
        </w:tc>
        <w:tc>
          <w:tcPr>
            <w:tcW w:w="6362" w:type="dxa"/>
            <w:tcMar>
              <w:left w:w="0" w:type="dxa"/>
              <w:right w:w="0" w:type="dxa"/>
            </w:tcMar>
            <w:vAlign w:val="center"/>
          </w:tcPr>
          <w:p w14:paraId="6149B59A">
            <w:pPr>
              <w:pStyle w:val="7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详见表2.2-2.</w:t>
            </w:r>
          </w:p>
        </w:tc>
      </w:tr>
      <w:tr w14:paraId="6491A63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410" w:type="dxa"/>
            <w:vMerge w:val="continue"/>
            <w:tcMar>
              <w:left w:w="0" w:type="dxa"/>
              <w:right w:w="0" w:type="dxa"/>
            </w:tcMar>
            <w:vAlign w:val="center"/>
          </w:tcPr>
          <w:p w14:paraId="3FC0FC4D">
            <w:pPr>
              <w:pStyle w:val="70"/>
              <w:rPr>
                <w:color w:val="000000" w:themeColor="text1"/>
                <w14:textFill>
                  <w14:solidFill>
                    <w14:schemeClr w14:val="tx1"/>
                  </w14:solidFill>
                </w14:textFill>
              </w:rPr>
            </w:pPr>
          </w:p>
        </w:tc>
        <w:tc>
          <w:tcPr>
            <w:tcW w:w="568" w:type="dxa"/>
            <w:tcMar>
              <w:left w:w="0" w:type="dxa"/>
              <w:right w:w="0" w:type="dxa"/>
            </w:tcMar>
            <w:vAlign w:val="center"/>
          </w:tcPr>
          <w:p w14:paraId="2F96B017">
            <w:pPr>
              <w:pStyle w:val="70"/>
              <w:rPr>
                <w:color w:val="000000" w:themeColor="text1"/>
                <w14:textFill>
                  <w14:solidFill>
                    <w14:schemeClr w14:val="tx1"/>
                  </w14:solidFill>
                </w14:textFill>
              </w:rPr>
            </w:pPr>
            <w:r>
              <w:rPr>
                <w:color w:val="000000" w:themeColor="text1"/>
                <w14:textFill>
                  <w14:solidFill>
                    <w14:schemeClr w14:val="tx1"/>
                  </w14:solidFill>
                </w14:textFill>
              </w:rPr>
              <w:t>仓储工程</w:t>
            </w:r>
          </w:p>
        </w:tc>
        <w:tc>
          <w:tcPr>
            <w:tcW w:w="1702" w:type="dxa"/>
            <w:gridSpan w:val="2"/>
            <w:tcMar>
              <w:left w:w="0" w:type="dxa"/>
              <w:right w:w="0" w:type="dxa"/>
            </w:tcMar>
            <w:vAlign w:val="center"/>
          </w:tcPr>
          <w:p w14:paraId="4B2F6211">
            <w:pPr>
              <w:pStyle w:val="70"/>
              <w:rPr>
                <w:color w:val="000000" w:themeColor="text1"/>
                <w14:textFill>
                  <w14:solidFill>
                    <w14:schemeClr w14:val="tx1"/>
                  </w14:solidFill>
                </w14:textFill>
              </w:rPr>
            </w:pPr>
            <w:r>
              <w:rPr>
                <w:color w:val="000000" w:themeColor="text1"/>
                <w14:textFill>
                  <w14:solidFill>
                    <w14:schemeClr w14:val="tx1"/>
                  </w14:solidFill>
                </w14:textFill>
              </w:rPr>
              <w:t>储罐区</w:t>
            </w:r>
          </w:p>
        </w:tc>
        <w:tc>
          <w:tcPr>
            <w:tcW w:w="6362" w:type="dxa"/>
            <w:tcMar>
              <w:left w:w="0" w:type="dxa"/>
              <w:right w:w="0" w:type="dxa"/>
            </w:tcMar>
            <w:vAlign w:val="center"/>
          </w:tcPr>
          <w:p w14:paraId="1F46FF43">
            <w:pPr>
              <w:pStyle w:val="70"/>
              <w:rPr>
                <w:color w:val="000000" w:themeColor="text1"/>
                <w14:textFill>
                  <w14:solidFill>
                    <w14:schemeClr w14:val="tx1"/>
                  </w14:solidFill>
                </w14:textFill>
              </w:rPr>
            </w:pPr>
            <w:r>
              <w:rPr>
                <w:color w:val="000000" w:themeColor="text1"/>
                <w:kern w:val="0"/>
                <w14:textFill>
                  <w14:solidFill>
                    <w14:schemeClr w14:val="tx1"/>
                  </w14:solidFill>
                </w14:textFill>
              </w:rPr>
              <w:t>不设置</w:t>
            </w:r>
          </w:p>
        </w:tc>
      </w:tr>
      <w:tr w14:paraId="2A0C2CE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410" w:type="dxa"/>
            <w:vMerge w:val="continue"/>
            <w:tcMar>
              <w:left w:w="0" w:type="dxa"/>
              <w:right w:w="0" w:type="dxa"/>
            </w:tcMar>
            <w:vAlign w:val="center"/>
          </w:tcPr>
          <w:p w14:paraId="62B4C243">
            <w:pPr>
              <w:pStyle w:val="70"/>
              <w:rPr>
                <w:color w:val="000000" w:themeColor="text1"/>
                <w14:textFill>
                  <w14:solidFill>
                    <w14:schemeClr w14:val="tx1"/>
                  </w14:solidFill>
                </w14:textFill>
              </w:rPr>
            </w:pPr>
          </w:p>
        </w:tc>
        <w:tc>
          <w:tcPr>
            <w:tcW w:w="568" w:type="dxa"/>
            <w:tcMar>
              <w:left w:w="0" w:type="dxa"/>
              <w:right w:w="0" w:type="dxa"/>
            </w:tcMar>
            <w:vAlign w:val="center"/>
          </w:tcPr>
          <w:p w14:paraId="5C0DAA15">
            <w:pPr>
              <w:pStyle w:val="70"/>
              <w:rPr>
                <w:color w:val="000000" w:themeColor="text1"/>
                <w14:textFill>
                  <w14:solidFill>
                    <w14:schemeClr w14:val="tx1"/>
                  </w14:solidFill>
                </w14:textFill>
              </w:rPr>
            </w:pPr>
            <w:r>
              <w:rPr>
                <w:color w:val="000000" w:themeColor="text1"/>
                <w14:textFill>
                  <w14:solidFill>
                    <w14:schemeClr w14:val="tx1"/>
                  </w14:solidFill>
                </w14:textFill>
              </w:rPr>
              <w:t>运输</w:t>
            </w:r>
          </w:p>
        </w:tc>
        <w:tc>
          <w:tcPr>
            <w:tcW w:w="1702" w:type="dxa"/>
            <w:gridSpan w:val="2"/>
            <w:tcMar>
              <w:left w:w="0" w:type="dxa"/>
              <w:right w:w="0" w:type="dxa"/>
            </w:tcMar>
            <w:vAlign w:val="center"/>
          </w:tcPr>
          <w:p w14:paraId="60313DCC">
            <w:pPr>
              <w:pStyle w:val="70"/>
              <w:rPr>
                <w:color w:val="000000" w:themeColor="text1"/>
                <w14:textFill>
                  <w14:solidFill>
                    <w14:schemeClr w14:val="tx1"/>
                  </w14:solidFill>
                </w14:textFill>
              </w:rPr>
            </w:pPr>
            <w:r>
              <w:rPr>
                <w:color w:val="000000" w:themeColor="text1"/>
                <w14:textFill>
                  <w14:solidFill>
                    <w14:schemeClr w14:val="tx1"/>
                  </w14:solidFill>
                </w14:textFill>
              </w:rPr>
              <w:t>船型</w:t>
            </w:r>
          </w:p>
        </w:tc>
        <w:tc>
          <w:tcPr>
            <w:tcW w:w="6362" w:type="dxa"/>
            <w:tcMar>
              <w:left w:w="0" w:type="dxa"/>
              <w:right w:w="0" w:type="dxa"/>
            </w:tcMar>
            <w:vAlign w:val="center"/>
          </w:tcPr>
          <w:p w14:paraId="48AC62F6">
            <w:pPr>
              <w:pStyle w:val="70"/>
              <w:rPr>
                <w:color w:val="000000" w:themeColor="text1"/>
                <w14:textFill>
                  <w14:solidFill>
                    <w14:schemeClr w14:val="tx1"/>
                  </w14:solidFill>
                </w14:textFill>
              </w:rPr>
            </w:pPr>
            <w:r>
              <w:rPr>
                <w:color w:val="000000" w:themeColor="text1"/>
                <w14:textFill>
                  <w14:solidFill>
                    <w14:schemeClr w14:val="tx1"/>
                  </w14:solidFill>
                </w14:textFill>
              </w:rPr>
              <w:t>详见表2.2-3</w:t>
            </w:r>
          </w:p>
        </w:tc>
      </w:tr>
      <w:tr w14:paraId="2AC52A6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410" w:type="dxa"/>
            <w:vMerge w:val="continue"/>
            <w:tcMar>
              <w:left w:w="0" w:type="dxa"/>
              <w:right w:w="0" w:type="dxa"/>
            </w:tcMar>
            <w:vAlign w:val="center"/>
          </w:tcPr>
          <w:p w14:paraId="56A38708">
            <w:pPr>
              <w:pStyle w:val="70"/>
              <w:rPr>
                <w:color w:val="000000" w:themeColor="text1"/>
                <w14:textFill>
                  <w14:solidFill>
                    <w14:schemeClr w14:val="tx1"/>
                  </w14:solidFill>
                </w14:textFill>
              </w:rPr>
            </w:pPr>
          </w:p>
        </w:tc>
        <w:tc>
          <w:tcPr>
            <w:tcW w:w="568" w:type="dxa"/>
            <w:vMerge w:val="restart"/>
            <w:tcMar>
              <w:left w:w="0" w:type="dxa"/>
              <w:right w:w="0" w:type="dxa"/>
            </w:tcMar>
            <w:vAlign w:val="center"/>
          </w:tcPr>
          <w:p w14:paraId="78E75DB0">
            <w:pPr>
              <w:pStyle w:val="70"/>
              <w:rPr>
                <w:color w:val="000000" w:themeColor="text1"/>
                <w14:textFill>
                  <w14:solidFill>
                    <w14:schemeClr w14:val="tx1"/>
                  </w14:solidFill>
                </w14:textFill>
              </w:rPr>
            </w:pPr>
            <w:r>
              <w:rPr>
                <w:color w:val="000000" w:themeColor="text1"/>
                <w14:textFill>
                  <w14:solidFill>
                    <w14:schemeClr w14:val="tx1"/>
                  </w14:solidFill>
                </w14:textFill>
              </w:rPr>
              <w:t>配套工程</w:t>
            </w:r>
          </w:p>
        </w:tc>
        <w:tc>
          <w:tcPr>
            <w:tcW w:w="1702" w:type="dxa"/>
            <w:gridSpan w:val="2"/>
            <w:tcMar>
              <w:left w:w="0" w:type="dxa"/>
              <w:right w:w="0" w:type="dxa"/>
            </w:tcMar>
            <w:vAlign w:val="center"/>
          </w:tcPr>
          <w:p w14:paraId="1791EB90">
            <w:pPr>
              <w:pStyle w:val="70"/>
              <w:rPr>
                <w:color w:val="000000" w:themeColor="text1"/>
                <w14:textFill>
                  <w14:solidFill>
                    <w14:schemeClr w14:val="tx1"/>
                  </w14:solidFill>
                </w14:textFill>
              </w:rPr>
            </w:pPr>
            <w:r>
              <w:rPr>
                <w:color w:val="000000" w:themeColor="text1"/>
                <w14:textFill>
                  <w14:solidFill>
                    <w14:schemeClr w14:val="tx1"/>
                  </w14:solidFill>
                </w14:textFill>
              </w:rPr>
              <w:t>给水</w:t>
            </w:r>
          </w:p>
        </w:tc>
        <w:tc>
          <w:tcPr>
            <w:tcW w:w="6362" w:type="dxa"/>
            <w:tcMar>
              <w:left w:w="0" w:type="dxa"/>
              <w:right w:w="0" w:type="dxa"/>
            </w:tcMar>
            <w:vAlign w:val="center"/>
          </w:tcPr>
          <w:p w14:paraId="379181BB">
            <w:pPr>
              <w:pStyle w:val="70"/>
              <w:rPr>
                <w:color w:val="000000" w:themeColor="text1"/>
                <w14:textFill>
                  <w14:solidFill>
                    <w14:schemeClr w14:val="tx1"/>
                  </w14:solidFill>
                </w14:textFill>
              </w:rPr>
            </w:pPr>
            <w:r>
              <w:rPr>
                <w:color w:val="000000" w:themeColor="text1"/>
                <w14:textFill>
                  <w14:solidFill>
                    <w14:schemeClr w14:val="tx1"/>
                  </w14:solidFill>
                </w14:textFill>
              </w:rPr>
              <w:t>由开发区自来水管网引入</w:t>
            </w:r>
          </w:p>
        </w:tc>
      </w:tr>
      <w:tr w14:paraId="485DAAA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410" w:type="dxa"/>
            <w:vMerge w:val="continue"/>
            <w:tcMar>
              <w:left w:w="0" w:type="dxa"/>
              <w:right w:w="0" w:type="dxa"/>
            </w:tcMar>
            <w:vAlign w:val="center"/>
          </w:tcPr>
          <w:p w14:paraId="0E7D0562">
            <w:pPr>
              <w:pStyle w:val="70"/>
              <w:rPr>
                <w:color w:val="000000" w:themeColor="text1"/>
                <w14:textFill>
                  <w14:solidFill>
                    <w14:schemeClr w14:val="tx1"/>
                  </w14:solidFill>
                </w14:textFill>
              </w:rPr>
            </w:pPr>
          </w:p>
        </w:tc>
        <w:tc>
          <w:tcPr>
            <w:tcW w:w="568" w:type="dxa"/>
            <w:vMerge w:val="continue"/>
            <w:tcMar>
              <w:left w:w="0" w:type="dxa"/>
              <w:right w:w="0" w:type="dxa"/>
            </w:tcMar>
            <w:vAlign w:val="center"/>
          </w:tcPr>
          <w:p w14:paraId="02DB7ECD">
            <w:pPr>
              <w:pStyle w:val="70"/>
              <w:rPr>
                <w:color w:val="000000" w:themeColor="text1"/>
                <w14:textFill>
                  <w14:solidFill>
                    <w14:schemeClr w14:val="tx1"/>
                  </w14:solidFill>
                </w14:textFill>
              </w:rPr>
            </w:pPr>
          </w:p>
        </w:tc>
        <w:tc>
          <w:tcPr>
            <w:tcW w:w="1702" w:type="dxa"/>
            <w:gridSpan w:val="2"/>
            <w:tcMar>
              <w:left w:w="0" w:type="dxa"/>
              <w:right w:w="0" w:type="dxa"/>
            </w:tcMar>
            <w:vAlign w:val="center"/>
          </w:tcPr>
          <w:p w14:paraId="3EC9AEB3">
            <w:pPr>
              <w:pStyle w:val="70"/>
              <w:rPr>
                <w:color w:val="000000" w:themeColor="text1"/>
                <w14:textFill>
                  <w14:solidFill>
                    <w14:schemeClr w14:val="tx1"/>
                  </w14:solidFill>
                </w14:textFill>
              </w:rPr>
            </w:pPr>
            <w:r>
              <w:rPr>
                <w:color w:val="000000" w:themeColor="text1"/>
                <w14:textFill>
                  <w14:solidFill>
                    <w14:schemeClr w14:val="tx1"/>
                  </w14:solidFill>
                </w14:textFill>
              </w:rPr>
              <w:t>排水</w:t>
            </w:r>
          </w:p>
        </w:tc>
        <w:tc>
          <w:tcPr>
            <w:tcW w:w="6362" w:type="dxa"/>
            <w:tcMar>
              <w:left w:w="0" w:type="dxa"/>
              <w:right w:w="0" w:type="dxa"/>
            </w:tcMar>
            <w:vAlign w:val="center"/>
          </w:tcPr>
          <w:p w14:paraId="051A8262">
            <w:pPr>
              <w:pStyle w:val="70"/>
              <w:rPr>
                <w:color w:val="000000" w:themeColor="text1"/>
                <w14:textFill>
                  <w14:solidFill>
                    <w14:schemeClr w14:val="tx1"/>
                  </w14:solidFill>
                </w14:textFill>
              </w:rPr>
            </w:pPr>
            <w:r>
              <w:rPr>
                <w:color w:val="000000" w:themeColor="text1"/>
                <w14:textFill>
                  <w14:solidFill>
                    <w14:schemeClr w14:val="tx1"/>
                  </w14:solidFill>
                </w14:textFill>
              </w:rPr>
              <w:t>项目产生的污水经收集后排入恒逸污水处理厂集中处理达标后排海</w:t>
            </w:r>
          </w:p>
        </w:tc>
      </w:tr>
      <w:tr w14:paraId="19011D8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410" w:type="dxa"/>
            <w:vMerge w:val="continue"/>
            <w:tcMar>
              <w:left w:w="0" w:type="dxa"/>
              <w:right w:w="0" w:type="dxa"/>
            </w:tcMar>
            <w:vAlign w:val="center"/>
          </w:tcPr>
          <w:p w14:paraId="393ABF6E">
            <w:pPr>
              <w:pStyle w:val="70"/>
              <w:rPr>
                <w:color w:val="000000" w:themeColor="text1"/>
                <w14:textFill>
                  <w14:solidFill>
                    <w14:schemeClr w14:val="tx1"/>
                  </w14:solidFill>
                </w14:textFill>
              </w:rPr>
            </w:pPr>
          </w:p>
        </w:tc>
        <w:tc>
          <w:tcPr>
            <w:tcW w:w="568" w:type="dxa"/>
            <w:vMerge w:val="continue"/>
            <w:tcMar>
              <w:left w:w="0" w:type="dxa"/>
              <w:right w:w="0" w:type="dxa"/>
            </w:tcMar>
            <w:vAlign w:val="center"/>
          </w:tcPr>
          <w:p w14:paraId="188C0CEB">
            <w:pPr>
              <w:pStyle w:val="70"/>
              <w:rPr>
                <w:color w:val="000000" w:themeColor="text1"/>
                <w14:textFill>
                  <w14:solidFill>
                    <w14:schemeClr w14:val="tx1"/>
                  </w14:solidFill>
                </w14:textFill>
              </w:rPr>
            </w:pPr>
          </w:p>
        </w:tc>
        <w:tc>
          <w:tcPr>
            <w:tcW w:w="1702" w:type="dxa"/>
            <w:gridSpan w:val="2"/>
            <w:tcMar>
              <w:left w:w="0" w:type="dxa"/>
              <w:right w:w="0" w:type="dxa"/>
            </w:tcMar>
            <w:vAlign w:val="center"/>
          </w:tcPr>
          <w:p w14:paraId="2E9203D6">
            <w:pPr>
              <w:pStyle w:val="70"/>
              <w:rPr>
                <w:color w:val="000000" w:themeColor="text1"/>
                <w14:textFill>
                  <w14:solidFill>
                    <w14:schemeClr w14:val="tx1"/>
                  </w14:solidFill>
                </w14:textFill>
              </w:rPr>
            </w:pPr>
            <w:r>
              <w:rPr>
                <w:color w:val="000000" w:themeColor="text1"/>
                <w14:textFill>
                  <w14:solidFill>
                    <w14:schemeClr w14:val="tx1"/>
                  </w14:solidFill>
                </w14:textFill>
              </w:rPr>
              <w:t>供电</w:t>
            </w:r>
          </w:p>
        </w:tc>
        <w:tc>
          <w:tcPr>
            <w:tcW w:w="6362" w:type="dxa"/>
            <w:tcMar>
              <w:left w:w="0" w:type="dxa"/>
              <w:right w:w="0" w:type="dxa"/>
            </w:tcMar>
            <w:vAlign w:val="center"/>
          </w:tcPr>
          <w:p w14:paraId="0F5B0543">
            <w:pPr>
              <w:pStyle w:val="70"/>
              <w:rPr>
                <w:color w:val="000000" w:themeColor="text1"/>
                <w14:textFill>
                  <w14:solidFill>
                    <w14:schemeClr w14:val="tx1"/>
                  </w14:solidFill>
                </w14:textFill>
              </w:rPr>
            </w:pPr>
            <w:r>
              <w:rPr>
                <w:color w:val="000000" w:themeColor="text1"/>
                <w14:textFill>
                  <w14:solidFill>
                    <w14:schemeClr w14:val="tx1"/>
                  </w14:solidFill>
                </w14:textFill>
              </w:rPr>
              <w:t>由园区变电站提供</w:t>
            </w:r>
          </w:p>
        </w:tc>
      </w:tr>
      <w:tr w14:paraId="6E60BE8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410" w:type="dxa"/>
            <w:vMerge w:val="continue"/>
            <w:tcMar>
              <w:left w:w="0" w:type="dxa"/>
              <w:right w:w="0" w:type="dxa"/>
            </w:tcMar>
            <w:vAlign w:val="center"/>
          </w:tcPr>
          <w:p w14:paraId="01008DEB">
            <w:pPr>
              <w:pStyle w:val="70"/>
              <w:rPr>
                <w:color w:val="000000" w:themeColor="text1"/>
                <w14:textFill>
                  <w14:solidFill>
                    <w14:schemeClr w14:val="tx1"/>
                  </w14:solidFill>
                </w14:textFill>
              </w:rPr>
            </w:pPr>
          </w:p>
        </w:tc>
        <w:tc>
          <w:tcPr>
            <w:tcW w:w="568" w:type="dxa"/>
            <w:vMerge w:val="continue"/>
            <w:tcMar>
              <w:left w:w="0" w:type="dxa"/>
              <w:right w:w="0" w:type="dxa"/>
            </w:tcMar>
            <w:vAlign w:val="center"/>
          </w:tcPr>
          <w:p w14:paraId="77E9C5F7">
            <w:pPr>
              <w:pStyle w:val="70"/>
              <w:rPr>
                <w:color w:val="000000" w:themeColor="text1"/>
                <w14:textFill>
                  <w14:solidFill>
                    <w14:schemeClr w14:val="tx1"/>
                  </w14:solidFill>
                </w14:textFill>
              </w:rPr>
            </w:pPr>
          </w:p>
        </w:tc>
        <w:tc>
          <w:tcPr>
            <w:tcW w:w="1702" w:type="dxa"/>
            <w:gridSpan w:val="2"/>
            <w:tcMar>
              <w:left w:w="0" w:type="dxa"/>
              <w:right w:w="0" w:type="dxa"/>
            </w:tcMar>
            <w:vAlign w:val="center"/>
          </w:tcPr>
          <w:p w14:paraId="58B372FE">
            <w:pPr>
              <w:pStyle w:val="70"/>
              <w:rPr>
                <w:color w:val="000000" w:themeColor="text1"/>
                <w14:textFill>
                  <w14:solidFill>
                    <w14:schemeClr w14:val="tx1"/>
                  </w14:solidFill>
                </w14:textFill>
              </w:rPr>
            </w:pPr>
            <w:r>
              <w:rPr>
                <w:color w:val="000000" w:themeColor="text1"/>
                <w14:textFill>
                  <w14:solidFill>
                    <w14:schemeClr w14:val="tx1"/>
                  </w14:solidFill>
                </w14:textFill>
              </w:rPr>
              <w:t>消防</w:t>
            </w:r>
          </w:p>
        </w:tc>
        <w:tc>
          <w:tcPr>
            <w:tcW w:w="6362" w:type="dxa"/>
            <w:tcMar>
              <w:left w:w="0" w:type="dxa"/>
              <w:right w:w="0" w:type="dxa"/>
            </w:tcMar>
            <w:vAlign w:val="center"/>
          </w:tcPr>
          <w:p w14:paraId="7923E37A">
            <w:pPr>
              <w:pStyle w:val="70"/>
              <w:rPr>
                <w:color w:val="000000" w:themeColor="text1"/>
                <w14:textFill>
                  <w14:solidFill>
                    <w14:schemeClr w14:val="tx1"/>
                  </w14:solidFill>
                </w14:textFill>
              </w:rPr>
            </w:pPr>
            <w:r>
              <w:rPr>
                <w:color w:val="000000" w:themeColor="text1"/>
                <w14:textFill>
                  <w14:solidFill>
                    <w14:schemeClr w14:val="tx1"/>
                  </w14:solidFill>
                </w14:textFill>
              </w:rPr>
              <w:t>码头设有消防系统，消防采用膜泡沫灭火剂和水结合的方式</w:t>
            </w:r>
          </w:p>
        </w:tc>
      </w:tr>
      <w:tr w14:paraId="6DA92E9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410" w:type="dxa"/>
            <w:vMerge w:val="continue"/>
            <w:tcMar>
              <w:left w:w="0" w:type="dxa"/>
              <w:right w:w="0" w:type="dxa"/>
            </w:tcMar>
            <w:vAlign w:val="center"/>
          </w:tcPr>
          <w:p w14:paraId="3BC9123A">
            <w:pPr>
              <w:pStyle w:val="70"/>
              <w:rPr>
                <w:color w:val="000000" w:themeColor="text1"/>
                <w14:textFill>
                  <w14:solidFill>
                    <w14:schemeClr w14:val="tx1"/>
                  </w14:solidFill>
                </w14:textFill>
              </w:rPr>
            </w:pPr>
          </w:p>
        </w:tc>
        <w:tc>
          <w:tcPr>
            <w:tcW w:w="568" w:type="dxa"/>
            <w:vMerge w:val="restart"/>
            <w:tcMar>
              <w:left w:w="0" w:type="dxa"/>
              <w:right w:w="0" w:type="dxa"/>
            </w:tcMar>
            <w:vAlign w:val="center"/>
          </w:tcPr>
          <w:p w14:paraId="1E013E5D">
            <w:pPr>
              <w:pStyle w:val="70"/>
              <w:rPr>
                <w:color w:val="000000" w:themeColor="text1"/>
                <w14:textFill>
                  <w14:solidFill>
                    <w14:schemeClr w14:val="tx1"/>
                  </w14:solidFill>
                </w14:textFill>
              </w:rPr>
            </w:pPr>
            <w:r>
              <w:rPr>
                <w:color w:val="000000" w:themeColor="text1"/>
                <w14:textFill>
                  <w14:solidFill>
                    <w14:schemeClr w14:val="tx1"/>
                  </w14:solidFill>
                </w14:textFill>
              </w:rPr>
              <w:t>环保工程</w:t>
            </w:r>
          </w:p>
        </w:tc>
        <w:tc>
          <w:tcPr>
            <w:tcW w:w="1702" w:type="dxa"/>
            <w:gridSpan w:val="2"/>
            <w:tcMar>
              <w:left w:w="0" w:type="dxa"/>
              <w:right w:w="0" w:type="dxa"/>
            </w:tcMar>
            <w:vAlign w:val="center"/>
          </w:tcPr>
          <w:p w14:paraId="1A33214E">
            <w:pPr>
              <w:pStyle w:val="70"/>
              <w:rPr>
                <w:color w:val="000000" w:themeColor="text1"/>
                <w14:textFill>
                  <w14:solidFill>
                    <w14:schemeClr w14:val="tx1"/>
                  </w14:solidFill>
                </w14:textFill>
              </w:rPr>
            </w:pPr>
            <w:r>
              <w:rPr>
                <w:color w:val="000000" w:themeColor="text1"/>
                <w14:textFill>
                  <w14:solidFill>
                    <w14:schemeClr w14:val="tx1"/>
                  </w14:solidFill>
                </w14:textFill>
              </w:rPr>
              <w:t>废气处理措施</w:t>
            </w:r>
          </w:p>
        </w:tc>
        <w:tc>
          <w:tcPr>
            <w:tcW w:w="6362" w:type="dxa"/>
            <w:tcMar>
              <w:left w:w="0" w:type="dxa"/>
              <w:right w:w="0" w:type="dxa"/>
            </w:tcMar>
            <w:vAlign w:val="center"/>
          </w:tcPr>
          <w:p w14:paraId="3D2A3833">
            <w:pPr>
              <w:pStyle w:val="70"/>
              <w:rPr>
                <w:color w:val="000000" w:themeColor="text1"/>
                <w14:textFill>
                  <w14:solidFill>
                    <w14:schemeClr w14:val="tx1"/>
                  </w14:solidFill>
                </w14:textFill>
              </w:rPr>
            </w:pPr>
            <w:r>
              <w:rPr>
                <w:rFonts w:hint="eastAsia"/>
                <w:color w:val="000000" w:themeColor="text1"/>
                <w:u w:val="none"/>
                <w:lang w:val="en-US" w:eastAsia="zh-CN"/>
                <w14:textFill>
                  <w14:solidFill>
                    <w14:schemeClr w14:val="tx1"/>
                  </w14:solidFill>
                </w14:textFill>
              </w:rPr>
              <w:t>苯乙烯依托台湾见龙</w:t>
            </w:r>
            <w:r>
              <w:rPr>
                <w:rFonts w:hint="eastAsia"/>
                <w:color w:val="000000" w:themeColor="text1"/>
                <w:u w:val="none"/>
                <w14:textFill>
                  <w14:solidFill>
                    <w14:schemeClr w14:val="tx1"/>
                  </w14:solidFill>
                </w14:textFill>
              </w:rPr>
              <w:t>钦州高端聚苯乙烯新材料项目</w:t>
            </w:r>
            <w:r>
              <w:rPr>
                <w:rFonts w:hint="eastAsia"/>
                <w:color w:val="000000" w:themeColor="text1"/>
                <w:u w:val="none"/>
                <w:lang w:val="en-US" w:eastAsia="zh-CN"/>
                <w14:textFill>
                  <w14:solidFill>
                    <w14:schemeClr w14:val="tx1"/>
                  </w14:solidFill>
                </w14:textFill>
              </w:rPr>
              <w:t>RTO装置处理；棕榈酸化油、脂肪酸混合物依托</w:t>
            </w:r>
            <w:r>
              <w:rPr>
                <w:rFonts w:hint="eastAsia"/>
                <w:color w:val="000000" w:themeColor="text1"/>
                <w:u w:val="none"/>
                <w14:textFill>
                  <w14:solidFill>
                    <w14:schemeClr w14:val="tx1"/>
                  </w14:solidFill>
                </w14:textFill>
              </w:rPr>
              <w:t>欧德年产 30 万吨生物柴油生产线项目</w:t>
            </w:r>
            <w:r>
              <w:rPr>
                <w:rFonts w:hint="eastAsia"/>
                <w:color w:val="000000" w:themeColor="text1"/>
                <w:u w:val="none"/>
                <w:lang w:val="en-US" w:eastAsia="zh-CN"/>
                <w14:textFill>
                  <w14:solidFill>
                    <w14:schemeClr w14:val="tx1"/>
                  </w14:solidFill>
                </w14:textFill>
              </w:rPr>
              <w:t>RCO催化燃烧装置处理；</w:t>
            </w:r>
            <w:r>
              <w:rPr>
                <w:rFonts w:hint="eastAsia"/>
                <w:color w:val="000000" w:themeColor="text1"/>
                <w:u w:val="none"/>
                <w14:textFill>
                  <w14:solidFill>
                    <w14:schemeClr w14:val="tx1"/>
                  </w14:solidFill>
                </w14:textFill>
              </w:rPr>
              <w:t>裂解C9、工业级混合油、脂肪酸甲酯、纯生物柴油、航空煤油</w:t>
            </w:r>
            <w:r>
              <w:rPr>
                <w:rFonts w:hint="eastAsia"/>
                <w:color w:val="000000" w:themeColor="text1"/>
                <w:u w:val="none"/>
                <w:lang w:val="en-US" w:eastAsia="zh-CN"/>
                <w14:textFill>
                  <w14:solidFill>
                    <w14:schemeClr w14:val="tx1"/>
                  </w14:solidFill>
                </w14:textFill>
              </w:rPr>
              <w:t>依托</w:t>
            </w:r>
            <w:r>
              <w:rPr>
                <w:rFonts w:hint="eastAsia"/>
                <w:color w:val="000000" w:themeColor="text1"/>
                <w:u w:val="none"/>
                <w14:textFill>
                  <w14:solidFill>
                    <w14:schemeClr w14:val="tx1"/>
                  </w14:solidFill>
                </w14:textFill>
              </w:rPr>
              <w:t>广西恒逸新材料有限公司RTO蓄热式焚烧炉</w:t>
            </w:r>
            <w:r>
              <w:rPr>
                <w:rFonts w:hint="eastAsia"/>
                <w:color w:val="000000" w:themeColor="text1"/>
                <w:u w:val="none"/>
                <w:lang w:val="en-US" w:eastAsia="zh-CN"/>
                <w14:textFill>
                  <w14:solidFill>
                    <w14:schemeClr w14:val="tx1"/>
                  </w14:solidFill>
                </w14:textFill>
              </w:rPr>
              <w:t>处理；液硫、液碱、发烟硫酸、硫酸依托后方罐区环保措施处理。</w:t>
            </w:r>
          </w:p>
        </w:tc>
      </w:tr>
      <w:tr w14:paraId="4888371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410" w:type="dxa"/>
            <w:vMerge w:val="continue"/>
            <w:tcMar>
              <w:left w:w="0" w:type="dxa"/>
              <w:right w:w="0" w:type="dxa"/>
            </w:tcMar>
            <w:vAlign w:val="center"/>
          </w:tcPr>
          <w:p w14:paraId="363C04D9">
            <w:pPr>
              <w:pStyle w:val="70"/>
              <w:rPr>
                <w:color w:val="000000" w:themeColor="text1"/>
                <w14:textFill>
                  <w14:solidFill>
                    <w14:schemeClr w14:val="tx1"/>
                  </w14:solidFill>
                </w14:textFill>
              </w:rPr>
            </w:pPr>
          </w:p>
        </w:tc>
        <w:tc>
          <w:tcPr>
            <w:tcW w:w="568" w:type="dxa"/>
            <w:vMerge w:val="continue"/>
            <w:tcMar>
              <w:left w:w="0" w:type="dxa"/>
              <w:right w:w="0" w:type="dxa"/>
            </w:tcMar>
            <w:vAlign w:val="center"/>
          </w:tcPr>
          <w:p w14:paraId="25E06779">
            <w:pPr>
              <w:pStyle w:val="70"/>
              <w:rPr>
                <w:color w:val="000000" w:themeColor="text1"/>
                <w14:textFill>
                  <w14:solidFill>
                    <w14:schemeClr w14:val="tx1"/>
                  </w14:solidFill>
                </w14:textFill>
              </w:rPr>
            </w:pPr>
          </w:p>
        </w:tc>
        <w:tc>
          <w:tcPr>
            <w:tcW w:w="1702" w:type="dxa"/>
            <w:gridSpan w:val="2"/>
            <w:tcMar>
              <w:left w:w="0" w:type="dxa"/>
              <w:right w:w="0" w:type="dxa"/>
            </w:tcMar>
            <w:vAlign w:val="center"/>
          </w:tcPr>
          <w:p w14:paraId="7A7C6A39">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危废暂存设施</w:t>
            </w:r>
          </w:p>
        </w:tc>
        <w:tc>
          <w:tcPr>
            <w:tcW w:w="6362" w:type="dxa"/>
            <w:tcMar>
              <w:left w:w="0" w:type="dxa"/>
              <w:right w:w="0" w:type="dxa"/>
            </w:tcMar>
            <w:vAlign w:val="center"/>
          </w:tcPr>
          <w:p w14:paraId="55C3748F">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依托现有一体化危废暂存间，危废定期委托有资质单位处置</w:t>
            </w:r>
          </w:p>
        </w:tc>
      </w:tr>
      <w:tr w14:paraId="6641070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410" w:type="dxa"/>
            <w:vMerge w:val="continue"/>
            <w:tcMar>
              <w:left w:w="0" w:type="dxa"/>
              <w:right w:w="0" w:type="dxa"/>
            </w:tcMar>
            <w:vAlign w:val="center"/>
          </w:tcPr>
          <w:p w14:paraId="3AB8AF1A">
            <w:pPr>
              <w:pStyle w:val="70"/>
              <w:rPr>
                <w:color w:val="000000" w:themeColor="text1"/>
                <w14:textFill>
                  <w14:solidFill>
                    <w14:schemeClr w14:val="tx1"/>
                  </w14:solidFill>
                </w14:textFill>
              </w:rPr>
            </w:pPr>
          </w:p>
        </w:tc>
        <w:tc>
          <w:tcPr>
            <w:tcW w:w="568" w:type="dxa"/>
            <w:vMerge w:val="continue"/>
            <w:tcMar>
              <w:left w:w="0" w:type="dxa"/>
              <w:right w:w="0" w:type="dxa"/>
            </w:tcMar>
            <w:vAlign w:val="center"/>
          </w:tcPr>
          <w:p w14:paraId="3BF07901">
            <w:pPr>
              <w:pStyle w:val="70"/>
              <w:rPr>
                <w:color w:val="000000" w:themeColor="text1"/>
                <w14:textFill>
                  <w14:solidFill>
                    <w14:schemeClr w14:val="tx1"/>
                  </w14:solidFill>
                </w14:textFill>
              </w:rPr>
            </w:pPr>
          </w:p>
        </w:tc>
        <w:tc>
          <w:tcPr>
            <w:tcW w:w="1702" w:type="dxa"/>
            <w:gridSpan w:val="2"/>
            <w:tcMar>
              <w:left w:w="0" w:type="dxa"/>
              <w:right w:w="0" w:type="dxa"/>
            </w:tcMar>
            <w:vAlign w:val="center"/>
          </w:tcPr>
          <w:p w14:paraId="5B96530F">
            <w:pPr>
              <w:pStyle w:val="70"/>
              <w:rPr>
                <w:color w:val="000000" w:themeColor="text1"/>
                <w14:textFill>
                  <w14:solidFill>
                    <w14:schemeClr w14:val="tx1"/>
                  </w14:solidFill>
                </w14:textFill>
              </w:rPr>
            </w:pPr>
            <w:r>
              <w:rPr>
                <w:color w:val="000000" w:themeColor="text1"/>
                <w14:textFill>
                  <w14:solidFill>
                    <w14:schemeClr w14:val="tx1"/>
                  </w14:solidFill>
                </w14:textFill>
              </w:rPr>
              <w:t>环境风险防范措施</w:t>
            </w:r>
          </w:p>
        </w:tc>
        <w:tc>
          <w:tcPr>
            <w:tcW w:w="6362" w:type="dxa"/>
            <w:tcMar>
              <w:left w:w="0" w:type="dxa"/>
              <w:right w:w="0" w:type="dxa"/>
            </w:tcMar>
            <w:vAlign w:val="center"/>
          </w:tcPr>
          <w:p w14:paraId="6C545F78">
            <w:pPr>
              <w:pStyle w:val="70"/>
              <w:rPr>
                <w:color w:val="000000" w:themeColor="text1"/>
                <w14:textFill>
                  <w14:solidFill>
                    <w14:schemeClr w14:val="tx1"/>
                  </w14:solidFill>
                </w14:textFill>
              </w:rPr>
            </w:pPr>
            <w:r>
              <w:rPr>
                <w:color w:val="000000" w:themeColor="text1"/>
                <w14:textFill>
                  <w14:solidFill>
                    <w14:schemeClr w14:val="tx1"/>
                  </w14:solidFill>
                </w14:textFill>
              </w:rPr>
              <w:t>在码头操作区域设围堰，在管廊紧急切断阀组下方设置收集坎，在码头设置有毒及可燃气体监测仪，每隔一定距离设置火灾报警按钮，码头前方装卸平台上设置一体化防爆摄像机，在后方库区消防控制室设置监视器。</w:t>
            </w:r>
          </w:p>
        </w:tc>
      </w:tr>
      <w:bookmarkEnd w:id="186"/>
    </w:tbl>
    <w:p w14:paraId="4EB7213D">
      <w:pPr>
        <w:pStyle w:val="5"/>
        <w:rPr>
          <w:color w:val="000000" w:themeColor="text1"/>
          <w14:textFill>
            <w14:solidFill>
              <w14:schemeClr w14:val="tx1"/>
            </w14:solidFill>
          </w14:textFill>
        </w:rPr>
      </w:pPr>
      <w:bookmarkStart w:id="189" w:name="_Toc216620356"/>
      <w:r>
        <w:rPr>
          <w:color w:val="000000" w:themeColor="text1"/>
          <w14:textFill>
            <w14:solidFill>
              <w14:schemeClr w14:val="tx1"/>
            </w14:solidFill>
          </w14:textFill>
        </w:rPr>
        <w:t>工程建设方案</w:t>
      </w:r>
      <w:bookmarkEnd w:id="189"/>
    </w:p>
    <w:p w14:paraId="1C6DD163">
      <w:pPr>
        <w:pStyle w:val="4"/>
        <w:rPr>
          <w:color w:val="000000" w:themeColor="text1"/>
          <w14:textFill>
            <w14:solidFill>
              <w14:schemeClr w14:val="tx1"/>
            </w14:solidFill>
          </w14:textFill>
        </w:rPr>
      </w:pPr>
      <w:bookmarkStart w:id="190" w:name="_Toc136878445"/>
      <w:bookmarkStart w:id="191" w:name="_Toc216103198"/>
      <w:bookmarkStart w:id="192" w:name="_Toc135090196"/>
      <w:bookmarkStart w:id="193" w:name="_Toc216620357"/>
      <w:r>
        <w:rPr>
          <w:color w:val="000000" w:themeColor="text1"/>
          <w14:textFill>
            <w14:solidFill>
              <w14:schemeClr w14:val="tx1"/>
            </w14:solidFill>
          </w14:textFill>
        </w:rPr>
        <w:t>主要设计参数</w:t>
      </w:r>
      <w:bookmarkEnd w:id="190"/>
      <w:bookmarkEnd w:id="191"/>
      <w:bookmarkEnd w:id="192"/>
      <w:bookmarkEnd w:id="193"/>
    </w:p>
    <w:p w14:paraId="2467A83A">
      <w:pPr>
        <w:pStyle w:val="6"/>
        <w:rPr>
          <w:color w:val="000000" w:themeColor="text1"/>
          <w14:textFill>
            <w14:solidFill>
              <w14:schemeClr w14:val="tx1"/>
            </w14:solidFill>
          </w14:textFill>
        </w:rPr>
      </w:pPr>
      <w:r>
        <w:rPr>
          <w:color w:val="000000" w:themeColor="text1"/>
          <w14:textFill>
            <w14:solidFill>
              <w14:schemeClr w14:val="tx1"/>
            </w14:solidFill>
          </w14:textFill>
        </w:rPr>
        <w:t>货种吞吐量</w:t>
      </w:r>
    </w:p>
    <w:p w14:paraId="31C69991">
      <w:pPr>
        <w:ind w:firstLine="48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新增吞吐货运量84万吨/年</w:t>
      </w:r>
      <w:r>
        <w:rPr>
          <w:color w:val="000000" w:themeColor="text1"/>
          <w:u w:val="single"/>
          <w14:textFill>
            <w14:solidFill>
              <w14:schemeClr w14:val="tx1"/>
            </w14:solidFill>
          </w14:textFill>
        </w:rPr>
        <w:t>。货物吞吐量见表2.2-1。</w:t>
      </w:r>
    </w:p>
    <w:p w14:paraId="284DB2C0">
      <w:pPr>
        <w:pStyle w:val="7"/>
        <w:tabs>
          <w:tab w:val="left" w:pos="2127"/>
          <w:tab w:val="left" w:pos="2411"/>
        </w:tabs>
        <w:rPr>
          <w:color w:val="000000" w:themeColor="text1"/>
          <w:u w:val="single"/>
          <w14:textFill>
            <w14:solidFill>
              <w14:schemeClr w14:val="tx1"/>
            </w14:solidFill>
          </w14:textFill>
        </w:rPr>
      </w:pPr>
      <w:r>
        <w:rPr>
          <w:color w:val="000000" w:themeColor="text1"/>
          <w:u w:val="single"/>
          <w14:textFill>
            <w14:solidFill>
              <w14:schemeClr w14:val="tx1"/>
            </w14:solidFill>
          </w14:textFill>
        </w:rPr>
        <w:t>14#泊位</w:t>
      </w:r>
      <w:r>
        <w:rPr>
          <w:rFonts w:hint="eastAsia"/>
          <w:color w:val="000000" w:themeColor="text1"/>
          <w:u w:val="single"/>
          <w14:textFill>
            <w14:solidFill>
              <w14:schemeClr w14:val="tx1"/>
            </w14:solidFill>
          </w14:textFill>
        </w:rPr>
        <w:t>新增</w:t>
      </w:r>
      <w:r>
        <w:rPr>
          <w:color w:val="000000" w:themeColor="text1"/>
          <w:u w:val="single"/>
          <w14:textFill>
            <w14:solidFill>
              <w14:schemeClr w14:val="tx1"/>
            </w14:solidFill>
          </w14:textFill>
        </w:rPr>
        <w:t>设计货物年吞吐量一览表</w:t>
      </w:r>
    </w:p>
    <w:tbl>
      <w:tblPr>
        <w:tblStyle w:val="43"/>
        <w:tblW w:w="4995"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51" w:type="dxa"/>
          <w:bottom w:w="0" w:type="dxa"/>
          <w:right w:w="51" w:type="dxa"/>
        </w:tblCellMar>
      </w:tblPr>
      <w:tblGrid>
        <w:gridCol w:w="546"/>
        <w:gridCol w:w="1828"/>
        <w:gridCol w:w="1004"/>
        <w:gridCol w:w="1004"/>
        <w:gridCol w:w="792"/>
        <w:gridCol w:w="1261"/>
        <w:gridCol w:w="1101"/>
        <w:gridCol w:w="864"/>
      </w:tblGrid>
      <w:tr w14:paraId="57C46A1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454" w:hRule="atLeast"/>
          <w:tblHeader/>
          <w:jc w:val="center"/>
        </w:trPr>
        <w:tc>
          <w:tcPr>
            <w:tcW w:w="325" w:type="pct"/>
            <w:vAlign w:val="center"/>
          </w:tcPr>
          <w:p w14:paraId="18FF988B">
            <w:pPr>
              <w:adjustRightInd w:val="0"/>
              <w:snapToGrid w:val="0"/>
              <w:spacing w:line="240" w:lineRule="auto"/>
              <w:ind w:firstLine="0" w:firstLineChars="0"/>
              <w:jc w:val="center"/>
              <w:outlineLvl w:val="0"/>
              <w:rPr>
                <w:b/>
                <w:color w:val="000000" w:themeColor="text1"/>
                <w:sz w:val="21"/>
                <w:szCs w:val="20"/>
                <w14:textFill>
                  <w14:solidFill>
                    <w14:schemeClr w14:val="tx1"/>
                  </w14:solidFill>
                </w14:textFill>
              </w:rPr>
            </w:pPr>
            <w:bookmarkStart w:id="194" w:name="_Toc216103199"/>
            <w:bookmarkStart w:id="195" w:name="_Toc21072"/>
            <w:bookmarkStart w:id="196" w:name="_Toc216620358"/>
            <w:r>
              <w:rPr>
                <w:b/>
                <w:color w:val="000000" w:themeColor="text1"/>
                <w:sz w:val="21"/>
                <w:szCs w:val="20"/>
                <w14:textFill>
                  <w14:solidFill>
                    <w14:schemeClr w14:val="tx1"/>
                  </w14:solidFill>
                </w14:textFill>
              </w:rPr>
              <w:t>序号</w:t>
            </w:r>
            <w:bookmarkEnd w:id="194"/>
            <w:bookmarkEnd w:id="195"/>
            <w:bookmarkEnd w:id="196"/>
          </w:p>
        </w:tc>
        <w:tc>
          <w:tcPr>
            <w:tcW w:w="1087" w:type="pct"/>
            <w:vAlign w:val="center"/>
          </w:tcPr>
          <w:p w14:paraId="22B72AC6">
            <w:pPr>
              <w:adjustRightInd w:val="0"/>
              <w:snapToGrid w:val="0"/>
              <w:spacing w:line="240" w:lineRule="auto"/>
              <w:ind w:firstLine="0" w:firstLineChars="0"/>
              <w:jc w:val="center"/>
              <w:outlineLvl w:val="0"/>
              <w:rPr>
                <w:b/>
                <w:color w:val="000000" w:themeColor="text1"/>
                <w:sz w:val="21"/>
                <w:szCs w:val="20"/>
                <w14:textFill>
                  <w14:solidFill>
                    <w14:schemeClr w14:val="tx1"/>
                  </w14:solidFill>
                </w14:textFill>
              </w:rPr>
            </w:pPr>
            <w:bookmarkStart w:id="197" w:name="_Toc2223"/>
            <w:bookmarkStart w:id="198" w:name="_Toc216103200"/>
            <w:bookmarkStart w:id="199" w:name="_Toc216620359"/>
            <w:r>
              <w:rPr>
                <w:b/>
                <w:color w:val="000000" w:themeColor="text1"/>
                <w:sz w:val="21"/>
                <w:szCs w:val="20"/>
                <w14:textFill>
                  <w14:solidFill>
                    <w14:schemeClr w14:val="tx1"/>
                  </w14:solidFill>
                </w14:textFill>
              </w:rPr>
              <w:t>货种名称</w:t>
            </w:r>
            <w:bookmarkEnd w:id="197"/>
            <w:bookmarkEnd w:id="198"/>
            <w:bookmarkEnd w:id="199"/>
          </w:p>
        </w:tc>
        <w:tc>
          <w:tcPr>
            <w:tcW w:w="597" w:type="pct"/>
            <w:vAlign w:val="center"/>
          </w:tcPr>
          <w:p w14:paraId="54430A55">
            <w:pPr>
              <w:adjustRightInd w:val="0"/>
              <w:snapToGrid w:val="0"/>
              <w:spacing w:line="240" w:lineRule="auto"/>
              <w:ind w:firstLine="0" w:firstLineChars="0"/>
              <w:jc w:val="center"/>
              <w:outlineLvl w:val="0"/>
              <w:rPr>
                <w:rFonts w:hint="eastAsia" w:eastAsia="宋体"/>
                <w:b/>
                <w:color w:val="000000" w:themeColor="text1"/>
                <w:sz w:val="21"/>
                <w:szCs w:val="20"/>
                <w:lang w:val="en-US" w:eastAsia="zh-CN"/>
                <w14:textFill>
                  <w14:solidFill>
                    <w14:schemeClr w14:val="tx1"/>
                  </w14:solidFill>
                </w14:textFill>
              </w:rPr>
            </w:pPr>
            <w:bookmarkStart w:id="200" w:name="_Toc216103201"/>
            <w:bookmarkStart w:id="201" w:name="_Toc15499"/>
            <w:bookmarkStart w:id="202" w:name="_Toc216620360"/>
            <w:r>
              <w:rPr>
                <w:rFonts w:hint="eastAsia"/>
                <w:b/>
                <w:color w:val="000000" w:themeColor="text1"/>
                <w:sz w:val="21"/>
                <w:szCs w:val="20"/>
                <w:lang w:val="en-US" w:eastAsia="zh-CN"/>
                <w14:textFill>
                  <w14:solidFill>
                    <w14:schemeClr w14:val="tx1"/>
                  </w14:solidFill>
                </w14:textFill>
              </w:rPr>
              <w:t>类别</w:t>
            </w:r>
          </w:p>
        </w:tc>
        <w:tc>
          <w:tcPr>
            <w:tcW w:w="597" w:type="pct"/>
            <w:vAlign w:val="center"/>
          </w:tcPr>
          <w:p w14:paraId="01E511C2">
            <w:pPr>
              <w:adjustRightInd w:val="0"/>
              <w:snapToGrid w:val="0"/>
              <w:spacing w:line="240" w:lineRule="auto"/>
              <w:ind w:firstLine="0" w:firstLineChars="0"/>
              <w:jc w:val="center"/>
              <w:outlineLvl w:val="0"/>
              <w:rPr>
                <w:b/>
                <w:color w:val="000000" w:themeColor="text1"/>
                <w:sz w:val="21"/>
                <w:szCs w:val="20"/>
                <w14:textFill>
                  <w14:solidFill>
                    <w14:schemeClr w14:val="tx1"/>
                  </w14:solidFill>
                </w14:textFill>
              </w:rPr>
            </w:pPr>
            <w:r>
              <w:rPr>
                <w:b/>
                <w:color w:val="000000" w:themeColor="text1"/>
                <w:sz w:val="21"/>
                <w:szCs w:val="20"/>
                <w14:textFill>
                  <w14:solidFill>
                    <w14:schemeClr w14:val="tx1"/>
                  </w14:solidFill>
                </w14:textFill>
              </w:rPr>
              <w:t>运输量</w:t>
            </w:r>
            <w:bookmarkEnd w:id="200"/>
            <w:bookmarkEnd w:id="201"/>
            <w:bookmarkEnd w:id="202"/>
          </w:p>
          <w:p w14:paraId="76CCA1A5">
            <w:pPr>
              <w:adjustRightInd w:val="0"/>
              <w:snapToGrid w:val="0"/>
              <w:spacing w:line="240" w:lineRule="auto"/>
              <w:ind w:firstLine="0" w:firstLineChars="0"/>
              <w:jc w:val="center"/>
              <w:outlineLvl w:val="0"/>
              <w:rPr>
                <w:b/>
                <w:color w:val="000000" w:themeColor="text1"/>
                <w:sz w:val="21"/>
                <w:szCs w:val="20"/>
                <w14:textFill>
                  <w14:solidFill>
                    <w14:schemeClr w14:val="tx1"/>
                  </w14:solidFill>
                </w14:textFill>
              </w:rPr>
            </w:pPr>
            <w:bookmarkStart w:id="203" w:name="_Toc216620361"/>
            <w:bookmarkStart w:id="204" w:name="_Toc27773"/>
            <w:bookmarkStart w:id="205" w:name="_Toc216103202"/>
            <w:r>
              <w:rPr>
                <w:rFonts w:hint="eastAsia"/>
                <w:b/>
                <w:color w:val="000000" w:themeColor="text1"/>
                <w:sz w:val="21"/>
                <w:szCs w:val="20"/>
                <w14:textFill>
                  <w14:solidFill>
                    <w14:schemeClr w14:val="tx1"/>
                  </w14:solidFill>
                </w14:textFill>
              </w:rPr>
              <w:t>（</w:t>
            </w:r>
            <w:r>
              <w:rPr>
                <w:b/>
                <w:color w:val="000000" w:themeColor="text1"/>
                <w:sz w:val="21"/>
                <w:szCs w:val="20"/>
                <w14:textFill>
                  <w14:solidFill>
                    <w14:schemeClr w14:val="tx1"/>
                  </w14:solidFill>
                </w14:textFill>
              </w:rPr>
              <w:t>万吨/年）</w:t>
            </w:r>
            <w:bookmarkEnd w:id="203"/>
            <w:bookmarkEnd w:id="204"/>
            <w:bookmarkEnd w:id="205"/>
          </w:p>
        </w:tc>
        <w:tc>
          <w:tcPr>
            <w:tcW w:w="471" w:type="pct"/>
            <w:vAlign w:val="center"/>
          </w:tcPr>
          <w:p w14:paraId="288EF61F">
            <w:pPr>
              <w:adjustRightInd w:val="0"/>
              <w:snapToGrid w:val="0"/>
              <w:spacing w:line="240" w:lineRule="auto"/>
              <w:ind w:firstLine="0" w:firstLineChars="0"/>
              <w:jc w:val="center"/>
              <w:outlineLvl w:val="0"/>
              <w:rPr>
                <w:b/>
                <w:color w:val="000000" w:themeColor="text1"/>
                <w:sz w:val="21"/>
                <w:szCs w:val="20"/>
                <w14:textFill>
                  <w14:solidFill>
                    <w14:schemeClr w14:val="tx1"/>
                  </w14:solidFill>
                </w14:textFill>
              </w:rPr>
            </w:pPr>
            <w:bookmarkStart w:id="206" w:name="_Toc216103203"/>
            <w:bookmarkStart w:id="207" w:name="_Toc18635"/>
            <w:bookmarkStart w:id="208" w:name="_Toc216620362"/>
            <w:r>
              <w:rPr>
                <w:b/>
                <w:color w:val="000000" w:themeColor="text1"/>
                <w:sz w:val="21"/>
                <w:szCs w:val="20"/>
                <w14:textFill>
                  <w14:solidFill>
                    <w14:schemeClr w14:val="tx1"/>
                  </w14:solidFill>
                </w14:textFill>
              </w:rPr>
              <w:t>装船/卸船</w:t>
            </w:r>
            <w:bookmarkEnd w:id="206"/>
            <w:bookmarkEnd w:id="207"/>
            <w:bookmarkEnd w:id="208"/>
          </w:p>
        </w:tc>
        <w:tc>
          <w:tcPr>
            <w:tcW w:w="750" w:type="pct"/>
            <w:vAlign w:val="center"/>
          </w:tcPr>
          <w:p w14:paraId="69DEAAC3">
            <w:pPr>
              <w:adjustRightInd w:val="0"/>
              <w:snapToGrid w:val="0"/>
              <w:spacing w:line="240" w:lineRule="auto"/>
              <w:ind w:firstLine="0" w:firstLineChars="0"/>
              <w:jc w:val="center"/>
              <w:outlineLvl w:val="0"/>
              <w:rPr>
                <w:b/>
                <w:color w:val="000000" w:themeColor="text1"/>
                <w:sz w:val="21"/>
                <w:szCs w:val="20"/>
                <w14:textFill>
                  <w14:solidFill>
                    <w14:schemeClr w14:val="tx1"/>
                  </w14:solidFill>
                </w14:textFill>
              </w:rPr>
            </w:pPr>
            <w:bookmarkStart w:id="209" w:name="_Toc26946"/>
            <w:bookmarkStart w:id="210" w:name="_Toc216103205"/>
            <w:bookmarkStart w:id="211" w:name="_Toc216620364"/>
            <w:r>
              <w:rPr>
                <w:b/>
                <w:color w:val="000000" w:themeColor="text1"/>
                <w:sz w:val="21"/>
                <w:szCs w:val="20"/>
                <w14:textFill>
                  <w14:solidFill>
                    <w14:schemeClr w14:val="tx1"/>
                  </w14:solidFill>
                </w14:textFill>
              </w:rPr>
              <w:t>装卸船方式</w:t>
            </w:r>
            <w:bookmarkEnd w:id="209"/>
            <w:bookmarkEnd w:id="210"/>
            <w:bookmarkEnd w:id="211"/>
          </w:p>
        </w:tc>
        <w:tc>
          <w:tcPr>
            <w:tcW w:w="655" w:type="pct"/>
            <w:vAlign w:val="center"/>
          </w:tcPr>
          <w:p w14:paraId="43CB5C02">
            <w:pPr>
              <w:adjustRightInd w:val="0"/>
              <w:snapToGrid w:val="0"/>
              <w:spacing w:line="240" w:lineRule="auto"/>
              <w:ind w:firstLine="0" w:firstLineChars="0"/>
              <w:jc w:val="center"/>
              <w:outlineLvl w:val="0"/>
              <w:rPr>
                <w:b/>
                <w:color w:val="000000" w:themeColor="text1"/>
                <w:sz w:val="21"/>
                <w:szCs w:val="20"/>
                <w14:textFill>
                  <w14:solidFill>
                    <w14:schemeClr w14:val="tx1"/>
                  </w14:solidFill>
                </w14:textFill>
              </w:rPr>
            </w:pPr>
            <w:bookmarkStart w:id="212" w:name="_Toc10786"/>
            <w:bookmarkStart w:id="213" w:name="_Toc216103206"/>
            <w:bookmarkStart w:id="214" w:name="_Toc216620365"/>
            <w:r>
              <w:rPr>
                <w:b/>
                <w:color w:val="000000" w:themeColor="text1"/>
                <w:sz w:val="21"/>
                <w:szCs w:val="20"/>
                <w14:textFill>
                  <w14:solidFill>
                    <w14:schemeClr w14:val="tx1"/>
                  </w14:solidFill>
                </w14:textFill>
              </w:rPr>
              <w:t>是否设码</w:t>
            </w:r>
            <w:bookmarkEnd w:id="212"/>
            <w:bookmarkStart w:id="215" w:name="_Toc13753"/>
            <w:r>
              <w:rPr>
                <w:b/>
                <w:color w:val="000000" w:themeColor="text1"/>
                <w:sz w:val="21"/>
                <w:szCs w:val="20"/>
                <w14:textFill>
                  <w14:solidFill>
                    <w14:schemeClr w14:val="tx1"/>
                  </w14:solidFill>
                </w14:textFill>
              </w:rPr>
              <w:t>头罐区储</w:t>
            </w:r>
            <w:bookmarkEnd w:id="215"/>
            <w:bookmarkStart w:id="216" w:name="_Toc14142"/>
            <w:r>
              <w:rPr>
                <w:b/>
                <w:color w:val="000000" w:themeColor="text1"/>
                <w:sz w:val="21"/>
                <w:szCs w:val="20"/>
                <w14:textFill>
                  <w14:solidFill>
                    <w14:schemeClr w14:val="tx1"/>
                  </w14:solidFill>
                </w14:textFill>
              </w:rPr>
              <w:t>罐</w:t>
            </w:r>
            <w:bookmarkEnd w:id="213"/>
            <w:bookmarkEnd w:id="214"/>
            <w:bookmarkEnd w:id="216"/>
          </w:p>
        </w:tc>
        <w:tc>
          <w:tcPr>
            <w:tcW w:w="514" w:type="pct"/>
            <w:vAlign w:val="center"/>
          </w:tcPr>
          <w:p w14:paraId="1B9445E0">
            <w:pPr>
              <w:adjustRightInd w:val="0"/>
              <w:snapToGrid w:val="0"/>
              <w:spacing w:line="240" w:lineRule="auto"/>
              <w:ind w:firstLine="0" w:firstLineChars="0"/>
              <w:jc w:val="center"/>
              <w:outlineLvl w:val="0"/>
              <w:rPr>
                <w:b/>
                <w:color w:val="000000" w:themeColor="text1"/>
                <w:sz w:val="21"/>
                <w:szCs w:val="20"/>
                <w14:textFill>
                  <w14:solidFill>
                    <w14:schemeClr w14:val="tx1"/>
                  </w14:solidFill>
                </w14:textFill>
              </w:rPr>
            </w:pPr>
            <w:bookmarkStart w:id="217" w:name="_Toc22784"/>
            <w:bookmarkStart w:id="218" w:name="_Toc216103207"/>
            <w:bookmarkStart w:id="219" w:name="_Toc216620366"/>
            <w:r>
              <w:rPr>
                <w:b/>
                <w:color w:val="000000" w:themeColor="text1"/>
                <w:sz w:val="21"/>
                <w:szCs w:val="20"/>
                <w14:textFill>
                  <w14:solidFill>
                    <w14:schemeClr w14:val="tx1"/>
                  </w14:solidFill>
                </w14:textFill>
              </w:rPr>
              <w:t>是否装汽</w:t>
            </w:r>
            <w:bookmarkEnd w:id="217"/>
            <w:bookmarkStart w:id="220" w:name="_Toc1852"/>
            <w:r>
              <w:rPr>
                <w:b/>
                <w:color w:val="000000" w:themeColor="text1"/>
                <w:sz w:val="21"/>
                <w:szCs w:val="20"/>
                <w14:textFill>
                  <w14:solidFill>
                    <w14:schemeClr w14:val="tx1"/>
                  </w14:solidFill>
                </w14:textFill>
              </w:rPr>
              <w:t>车</w:t>
            </w:r>
            <w:bookmarkEnd w:id="218"/>
            <w:bookmarkEnd w:id="219"/>
            <w:bookmarkEnd w:id="220"/>
          </w:p>
        </w:tc>
      </w:tr>
      <w:tr w14:paraId="4D7CA94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454" w:hRule="atLeast"/>
          <w:jc w:val="center"/>
        </w:trPr>
        <w:tc>
          <w:tcPr>
            <w:tcW w:w="325" w:type="pct"/>
            <w:vAlign w:val="center"/>
          </w:tcPr>
          <w:p w14:paraId="7C297C93">
            <w:pPr>
              <w:adjustRightInd w:val="0"/>
              <w:snapToGrid w:val="0"/>
              <w:spacing w:line="240" w:lineRule="auto"/>
              <w:ind w:firstLine="0" w:firstLineChars="0"/>
              <w:jc w:val="center"/>
              <w:outlineLvl w:val="0"/>
              <w:rPr>
                <w:color w:val="000000" w:themeColor="text1"/>
                <w:sz w:val="21"/>
                <w:szCs w:val="20"/>
                <w14:textFill>
                  <w14:solidFill>
                    <w14:schemeClr w14:val="tx1"/>
                  </w14:solidFill>
                </w14:textFill>
              </w:rPr>
            </w:pPr>
            <w:bookmarkStart w:id="221" w:name="_Toc216103208"/>
            <w:bookmarkStart w:id="222" w:name="_Toc216620367"/>
            <w:r>
              <w:rPr>
                <w:rFonts w:hint="eastAsia"/>
                <w:color w:val="000000" w:themeColor="text1"/>
                <w:sz w:val="21"/>
                <w:szCs w:val="20"/>
                <w14:textFill>
                  <w14:solidFill>
                    <w14:schemeClr w14:val="tx1"/>
                  </w14:solidFill>
                </w14:textFill>
              </w:rPr>
              <w:t>1</w:t>
            </w:r>
            <w:bookmarkEnd w:id="221"/>
            <w:bookmarkEnd w:id="222"/>
          </w:p>
        </w:tc>
        <w:tc>
          <w:tcPr>
            <w:tcW w:w="1087" w:type="pct"/>
            <w:vAlign w:val="center"/>
          </w:tcPr>
          <w:p w14:paraId="3C11E2DE">
            <w:pPr>
              <w:pStyle w:val="73"/>
              <w:spacing w:line="240" w:lineRule="exact"/>
              <w:rPr>
                <w:color w:val="000000" w:themeColor="text1"/>
                <w:sz w:val="21"/>
                <w:szCs w:val="20"/>
                <w14:textFill>
                  <w14:solidFill>
                    <w14:schemeClr w14:val="tx1"/>
                  </w14:solidFill>
                </w14:textFill>
              </w:rPr>
            </w:pPr>
            <w:r>
              <w:rPr>
                <w:rFonts w:hint="eastAsia" w:eastAsia="宋体"/>
                <w:color w:val="000000" w:themeColor="text1"/>
                <w:sz w:val="21"/>
                <w:lang w:val="en-US"/>
                <w14:textFill>
                  <w14:solidFill>
                    <w14:schemeClr w14:val="tx1"/>
                  </w14:solidFill>
                </w14:textFill>
              </w:rPr>
              <w:t>裂解C9</w:t>
            </w:r>
          </w:p>
        </w:tc>
        <w:tc>
          <w:tcPr>
            <w:tcW w:w="597" w:type="pct"/>
            <w:vAlign w:val="center"/>
          </w:tcPr>
          <w:p w14:paraId="5E751321">
            <w:pPr>
              <w:pStyle w:val="73"/>
              <w:spacing w:line="240" w:lineRule="exact"/>
              <w:rPr>
                <w:rFonts w:hint="default" w:eastAsia="宋体"/>
                <w:color w:val="000000" w:themeColor="text1"/>
                <w:sz w:val="21"/>
                <w:lang w:val="en-US" w:eastAsia="zh-CN"/>
                <w14:textFill>
                  <w14:solidFill>
                    <w14:schemeClr w14:val="tx1"/>
                  </w14:solidFill>
                </w14:textFill>
              </w:rPr>
            </w:pPr>
            <w:r>
              <w:rPr>
                <w:rFonts w:hint="eastAsia" w:eastAsia="宋体"/>
                <w:color w:val="000000" w:themeColor="text1"/>
                <w:sz w:val="21"/>
                <w:lang w:val="en-US" w:eastAsia="zh-CN"/>
                <w14:textFill>
                  <w14:solidFill>
                    <w14:schemeClr w14:val="tx1"/>
                  </w14:solidFill>
                </w14:textFill>
              </w:rPr>
              <w:t>第3类</w:t>
            </w:r>
          </w:p>
        </w:tc>
        <w:tc>
          <w:tcPr>
            <w:tcW w:w="597" w:type="pct"/>
            <w:vAlign w:val="center"/>
          </w:tcPr>
          <w:p w14:paraId="2DCE8646">
            <w:pPr>
              <w:pStyle w:val="73"/>
              <w:spacing w:line="240" w:lineRule="exact"/>
              <w:rPr>
                <w:color w:val="000000" w:themeColor="text1"/>
                <w:sz w:val="21"/>
                <w:szCs w:val="20"/>
                <w14:textFill>
                  <w14:solidFill>
                    <w14:schemeClr w14:val="tx1"/>
                  </w14:solidFill>
                </w14:textFill>
              </w:rPr>
            </w:pPr>
            <w:r>
              <w:rPr>
                <w:rFonts w:hint="eastAsia" w:eastAsia="宋体"/>
                <w:color w:val="000000" w:themeColor="text1"/>
                <w:sz w:val="21"/>
                <w:lang w:val="en-US"/>
                <w14:textFill>
                  <w14:solidFill>
                    <w14:schemeClr w14:val="tx1"/>
                  </w14:solidFill>
                </w14:textFill>
              </w:rPr>
              <w:t>2</w:t>
            </w:r>
          </w:p>
        </w:tc>
        <w:tc>
          <w:tcPr>
            <w:tcW w:w="471" w:type="pct"/>
            <w:vAlign w:val="center"/>
          </w:tcPr>
          <w:p w14:paraId="4FC7C850">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卸船</w:t>
            </w:r>
          </w:p>
        </w:tc>
        <w:tc>
          <w:tcPr>
            <w:tcW w:w="750" w:type="pct"/>
            <w:vMerge w:val="restart"/>
            <w:vAlign w:val="center"/>
          </w:tcPr>
          <w:p w14:paraId="7F3B3FFD">
            <w:pPr>
              <w:adjustRightInd w:val="0"/>
              <w:snapToGrid w:val="0"/>
              <w:spacing w:line="240" w:lineRule="auto"/>
              <w:ind w:firstLine="0" w:firstLineChars="0"/>
              <w:jc w:val="center"/>
              <w:outlineLvl w:val="0"/>
              <w:rPr>
                <w:color w:val="000000" w:themeColor="text1"/>
                <w:sz w:val="21"/>
                <w:szCs w:val="20"/>
                <w14:textFill>
                  <w14:solidFill>
                    <w14:schemeClr w14:val="tx1"/>
                  </w14:solidFill>
                </w14:textFill>
              </w:rPr>
            </w:pPr>
            <w:bookmarkStart w:id="223" w:name="_Toc216620380"/>
            <w:bookmarkStart w:id="224" w:name="_Toc216103221"/>
            <w:r>
              <w:rPr>
                <w:color w:val="000000" w:themeColor="text1"/>
                <w:sz w:val="21"/>
                <w:szCs w:val="20"/>
                <w14:textFill>
                  <w14:solidFill>
                    <w14:schemeClr w14:val="tx1"/>
                  </w14:solidFill>
                </w14:textFill>
              </w:rPr>
              <w:t>装卸臂</w:t>
            </w:r>
            <w:bookmarkEnd w:id="223"/>
            <w:bookmarkEnd w:id="224"/>
          </w:p>
        </w:tc>
        <w:tc>
          <w:tcPr>
            <w:tcW w:w="655" w:type="pct"/>
            <w:vAlign w:val="center"/>
          </w:tcPr>
          <w:p w14:paraId="27246195">
            <w:pPr>
              <w:pStyle w:val="73"/>
              <w:spacing w:line="240" w:lineRule="exact"/>
              <w:rPr>
                <w:color w:val="000000" w:themeColor="text1"/>
                <w:sz w:val="21"/>
                <w:szCs w:val="20"/>
                <w14:textFill>
                  <w14:solidFill>
                    <w14:schemeClr w14:val="tx1"/>
                  </w14:solidFill>
                </w14:textFill>
              </w:rPr>
            </w:pPr>
            <w:r>
              <w:rPr>
                <w:rFonts w:hint="eastAsia" w:eastAsia="宋体"/>
                <w:color w:val="000000" w:themeColor="text1"/>
                <w:sz w:val="21"/>
                <w:lang w:val="en-US"/>
                <w14:textFill>
                  <w14:solidFill>
                    <w14:schemeClr w14:val="tx1"/>
                  </w14:solidFill>
                </w14:textFill>
              </w:rPr>
              <w:t>否</w:t>
            </w:r>
          </w:p>
        </w:tc>
        <w:tc>
          <w:tcPr>
            <w:tcW w:w="514" w:type="pct"/>
            <w:vAlign w:val="center"/>
          </w:tcPr>
          <w:p w14:paraId="708275E2">
            <w:pPr>
              <w:pStyle w:val="73"/>
              <w:spacing w:line="240" w:lineRule="exact"/>
              <w:rPr>
                <w:color w:val="000000" w:themeColor="text1"/>
                <w:sz w:val="21"/>
                <w:szCs w:val="20"/>
                <w14:textFill>
                  <w14:solidFill>
                    <w14:schemeClr w14:val="tx1"/>
                  </w14:solidFill>
                </w14:textFill>
              </w:rPr>
            </w:pPr>
            <w:r>
              <w:rPr>
                <w:rFonts w:hint="eastAsia" w:eastAsia="宋体"/>
                <w:color w:val="000000" w:themeColor="text1"/>
                <w:sz w:val="21"/>
                <w:lang w:val="en-US"/>
                <w14:textFill>
                  <w14:solidFill>
                    <w14:schemeClr w14:val="tx1"/>
                  </w14:solidFill>
                </w14:textFill>
              </w:rPr>
              <w:t>否</w:t>
            </w:r>
          </w:p>
        </w:tc>
      </w:tr>
      <w:tr w14:paraId="6E5E02E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454" w:hRule="atLeast"/>
          <w:jc w:val="center"/>
        </w:trPr>
        <w:tc>
          <w:tcPr>
            <w:tcW w:w="325" w:type="pct"/>
            <w:vAlign w:val="center"/>
          </w:tcPr>
          <w:p w14:paraId="20472EF5">
            <w:pPr>
              <w:adjustRightInd w:val="0"/>
              <w:snapToGrid w:val="0"/>
              <w:spacing w:line="240" w:lineRule="auto"/>
              <w:ind w:firstLine="0" w:firstLineChars="0"/>
              <w:jc w:val="center"/>
              <w:outlineLvl w:val="0"/>
              <w:rPr>
                <w:color w:val="000000" w:themeColor="text1"/>
                <w:sz w:val="21"/>
                <w:szCs w:val="20"/>
                <w14:textFill>
                  <w14:solidFill>
                    <w14:schemeClr w14:val="tx1"/>
                  </w14:solidFill>
                </w14:textFill>
              </w:rPr>
            </w:pPr>
            <w:bookmarkStart w:id="225" w:name="_Toc216103216"/>
            <w:bookmarkStart w:id="226" w:name="_Toc216620375"/>
            <w:r>
              <w:rPr>
                <w:rFonts w:hint="eastAsia"/>
                <w:color w:val="000000" w:themeColor="text1"/>
                <w:sz w:val="21"/>
                <w:szCs w:val="20"/>
                <w14:textFill>
                  <w14:solidFill>
                    <w14:schemeClr w14:val="tx1"/>
                  </w14:solidFill>
                </w14:textFill>
              </w:rPr>
              <w:t>2</w:t>
            </w:r>
            <w:bookmarkEnd w:id="225"/>
            <w:bookmarkEnd w:id="226"/>
          </w:p>
        </w:tc>
        <w:tc>
          <w:tcPr>
            <w:tcW w:w="1087" w:type="pct"/>
            <w:vAlign w:val="center"/>
          </w:tcPr>
          <w:p w14:paraId="077A54FB">
            <w:pPr>
              <w:pStyle w:val="73"/>
              <w:spacing w:line="240" w:lineRule="exact"/>
              <w:rPr>
                <w:color w:val="000000" w:themeColor="text1"/>
                <w:sz w:val="21"/>
                <w:szCs w:val="20"/>
                <w14:textFill>
                  <w14:solidFill>
                    <w14:schemeClr w14:val="tx1"/>
                  </w14:solidFill>
                </w14:textFill>
              </w:rPr>
            </w:pPr>
            <w:r>
              <w:rPr>
                <w:rFonts w:hint="eastAsia" w:eastAsia="宋体"/>
                <w:color w:val="000000" w:themeColor="text1"/>
                <w:sz w:val="21"/>
                <w:lang w:val="en-US"/>
                <w14:textFill>
                  <w14:solidFill>
                    <w14:schemeClr w14:val="tx1"/>
                  </w14:solidFill>
                </w14:textFill>
              </w:rPr>
              <w:t>棕榈酸化油</w:t>
            </w:r>
          </w:p>
        </w:tc>
        <w:tc>
          <w:tcPr>
            <w:tcW w:w="597" w:type="pct"/>
            <w:vAlign w:val="center"/>
          </w:tcPr>
          <w:p w14:paraId="295F6C52">
            <w:pPr>
              <w:pStyle w:val="73"/>
              <w:spacing w:line="240" w:lineRule="exact"/>
              <w:rPr>
                <w:rFonts w:hint="eastAsia" w:eastAsia="宋体"/>
                <w:color w:val="000000" w:themeColor="text1"/>
                <w:sz w:val="21"/>
                <w:lang w:val="en-US" w:eastAsia="zh-CN"/>
                <w14:textFill>
                  <w14:solidFill>
                    <w14:schemeClr w14:val="tx1"/>
                  </w14:solidFill>
                </w14:textFill>
              </w:rPr>
            </w:pPr>
            <w:r>
              <w:rPr>
                <w:rFonts w:hint="eastAsia" w:eastAsia="宋体"/>
                <w:color w:val="000000" w:themeColor="text1"/>
                <w:sz w:val="21"/>
                <w:lang w:val="en-US" w:eastAsia="zh-CN"/>
                <w14:textFill>
                  <w14:solidFill>
                    <w14:schemeClr w14:val="tx1"/>
                  </w14:solidFill>
                </w14:textFill>
              </w:rPr>
              <w:t>第3类</w:t>
            </w:r>
          </w:p>
        </w:tc>
        <w:tc>
          <w:tcPr>
            <w:tcW w:w="597" w:type="pct"/>
            <w:vAlign w:val="center"/>
          </w:tcPr>
          <w:p w14:paraId="1F85D67A">
            <w:pPr>
              <w:pStyle w:val="73"/>
              <w:spacing w:line="240" w:lineRule="exact"/>
              <w:rPr>
                <w:color w:val="000000" w:themeColor="text1"/>
                <w:sz w:val="21"/>
                <w:szCs w:val="20"/>
                <w14:textFill>
                  <w14:solidFill>
                    <w14:schemeClr w14:val="tx1"/>
                  </w14:solidFill>
                </w14:textFill>
              </w:rPr>
            </w:pPr>
            <w:r>
              <w:rPr>
                <w:rFonts w:hint="eastAsia" w:eastAsia="宋体"/>
                <w:color w:val="000000" w:themeColor="text1"/>
                <w:sz w:val="21"/>
                <w:lang w:val="en-US"/>
                <w14:textFill>
                  <w14:solidFill>
                    <w14:schemeClr w14:val="tx1"/>
                  </w14:solidFill>
                </w14:textFill>
              </w:rPr>
              <w:t>3</w:t>
            </w:r>
          </w:p>
        </w:tc>
        <w:tc>
          <w:tcPr>
            <w:tcW w:w="471" w:type="pct"/>
            <w:vAlign w:val="center"/>
          </w:tcPr>
          <w:p w14:paraId="62B68B1F">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卸船</w:t>
            </w:r>
          </w:p>
        </w:tc>
        <w:tc>
          <w:tcPr>
            <w:tcW w:w="750" w:type="pct"/>
            <w:vMerge w:val="continue"/>
            <w:vAlign w:val="center"/>
          </w:tcPr>
          <w:p w14:paraId="14F168A6">
            <w:pPr>
              <w:adjustRightInd w:val="0"/>
              <w:snapToGrid w:val="0"/>
              <w:spacing w:line="240" w:lineRule="auto"/>
              <w:ind w:firstLine="0" w:firstLineChars="0"/>
              <w:jc w:val="center"/>
              <w:outlineLvl w:val="0"/>
              <w:rPr>
                <w:color w:val="000000" w:themeColor="text1"/>
                <w:sz w:val="21"/>
                <w:szCs w:val="20"/>
                <w14:textFill>
                  <w14:solidFill>
                    <w14:schemeClr w14:val="tx1"/>
                  </w14:solidFill>
                </w14:textFill>
              </w:rPr>
            </w:pPr>
          </w:p>
        </w:tc>
        <w:tc>
          <w:tcPr>
            <w:tcW w:w="655" w:type="pct"/>
            <w:vAlign w:val="center"/>
          </w:tcPr>
          <w:p w14:paraId="52A4E471">
            <w:pPr>
              <w:pStyle w:val="73"/>
              <w:spacing w:line="240" w:lineRule="exact"/>
              <w:rPr>
                <w:color w:val="000000" w:themeColor="text1"/>
                <w:sz w:val="21"/>
                <w:szCs w:val="20"/>
                <w14:textFill>
                  <w14:solidFill>
                    <w14:schemeClr w14:val="tx1"/>
                  </w14:solidFill>
                </w14:textFill>
              </w:rPr>
            </w:pPr>
            <w:r>
              <w:rPr>
                <w:rFonts w:hint="eastAsia" w:eastAsia="宋体"/>
                <w:color w:val="000000" w:themeColor="text1"/>
                <w:sz w:val="21"/>
                <w:lang w:val="en-US"/>
                <w14:textFill>
                  <w14:solidFill>
                    <w14:schemeClr w14:val="tx1"/>
                  </w14:solidFill>
                </w14:textFill>
              </w:rPr>
              <w:t>否</w:t>
            </w:r>
          </w:p>
        </w:tc>
        <w:tc>
          <w:tcPr>
            <w:tcW w:w="514" w:type="pct"/>
            <w:vAlign w:val="center"/>
          </w:tcPr>
          <w:p w14:paraId="00A97929">
            <w:pPr>
              <w:pStyle w:val="73"/>
              <w:spacing w:line="240" w:lineRule="exact"/>
              <w:rPr>
                <w:color w:val="000000" w:themeColor="text1"/>
                <w:sz w:val="21"/>
                <w:szCs w:val="20"/>
                <w14:textFill>
                  <w14:solidFill>
                    <w14:schemeClr w14:val="tx1"/>
                  </w14:solidFill>
                </w14:textFill>
              </w:rPr>
            </w:pPr>
            <w:r>
              <w:rPr>
                <w:rFonts w:hint="eastAsia" w:eastAsia="宋体"/>
                <w:color w:val="000000" w:themeColor="text1"/>
                <w:sz w:val="21"/>
                <w:lang w:val="en-US"/>
                <w14:textFill>
                  <w14:solidFill>
                    <w14:schemeClr w14:val="tx1"/>
                  </w14:solidFill>
                </w14:textFill>
              </w:rPr>
              <w:t>否</w:t>
            </w:r>
          </w:p>
        </w:tc>
      </w:tr>
      <w:tr w14:paraId="34A242D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454" w:hRule="atLeast"/>
          <w:jc w:val="center"/>
        </w:trPr>
        <w:tc>
          <w:tcPr>
            <w:tcW w:w="325" w:type="pct"/>
            <w:vAlign w:val="center"/>
          </w:tcPr>
          <w:p w14:paraId="5336D036">
            <w:pPr>
              <w:adjustRightInd w:val="0"/>
              <w:snapToGrid w:val="0"/>
              <w:spacing w:line="240" w:lineRule="auto"/>
              <w:ind w:firstLine="0" w:firstLineChars="0"/>
              <w:jc w:val="center"/>
              <w:outlineLvl w:val="0"/>
              <w:rPr>
                <w:color w:val="000000" w:themeColor="text1"/>
                <w:sz w:val="21"/>
                <w:szCs w:val="20"/>
                <w14:textFill>
                  <w14:solidFill>
                    <w14:schemeClr w14:val="tx1"/>
                  </w14:solidFill>
                </w14:textFill>
              </w:rPr>
            </w:pPr>
            <w:bookmarkStart w:id="227" w:name="_Toc216103224"/>
            <w:bookmarkStart w:id="228" w:name="_Toc216620383"/>
            <w:r>
              <w:rPr>
                <w:rFonts w:hint="eastAsia"/>
                <w:color w:val="000000" w:themeColor="text1"/>
                <w:sz w:val="21"/>
                <w:szCs w:val="20"/>
                <w14:textFill>
                  <w14:solidFill>
                    <w14:schemeClr w14:val="tx1"/>
                  </w14:solidFill>
                </w14:textFill>
              </w:rPr>
              <w:t>3</w:t>
            </w:r>
            <w:bookmarkEnd w:id="227"/>
            <w:bookmarkEnd w:id="228"/>
          </w:p>
        </w:tc>
        <w:tc>
          <w:tcPr>
            <w:tcW w:w="1087" w:type="pct"/>
            <w:vAlign w:val="center"/>
          </w:tcPr>
          <w:p w14:paraId="0F9431B3">
            <w:pPr>
              <w:pStyle w:val="73"/>
              <w:spacing w:line="240" w:lineRule="exact"/>
              <w:rPr>
                <w:color w:val="000000" w:themeColor="text1"/>
                <w:sz w:val="21"/>
                <w:szCs w:val="20"/>
                <w14:textFill>
                  <w14:solidFill>
                    <w14:schemeClr w14:val="tx1"/>
                  </w14:solidFill>
                </w14:textFill>
              </w:rPr>
            </w:pPr>
            <w:r>
              <w:rPr>
                <w:rFonts w:hint="eastAsia" w:eastAsia="宋体"/>
                <w:color w:val="000000" w:themeColor="text1"/>
                <w:sz w:val="21"/>
                <w:lang w:val="en-US"/>
                <w14:textFill>
                  <w14:solidFill>
                    <w14:schemeClr w14:val="tx1"/>
                  </w14:solidFill>
                </w14:textFill>
              </w:rPr>
              <w:t>脂肪酸甲酯</w:t>
            </w:r>
          </w:p>
        </w:tc>
        <w:tc>
          <w:tcPr>
            <w:tcW w:w="597" w:type="pct"/>
            <w:vAlign w:val="center"/>
          </w:tcPr>
          <w:p w14:paraId="25E0F337">
            <w:pPr>
              <w:pStyle w:val="73"/>
              <w:spacing w:line="240" w:lineRule="exact"/>
              <w:rPr>
                <w:rFonts w:hint="eastAsia" w:eastAsia="宋体"/>
                <w:color w:val="000000" w:themeColor="text1"/>
                <w:sz w:val="21"/>
                <w:lang w:val="en-US" w:eastAsia="zh-CN"/>
                <w14:textFill>
                  <w14:solidFill>
                    <w14:schemeClr w14:val="tx1"/>
                  </w14:solidFill>
                </w14:textFill>
              </w:rPr>
            </w:pPr>
            <w:r>
              <w:rPr>
                <w:rFonts w:hint="eastAsia" w:eastAsia="宋体"/>
                <w:color w:val="000000" w:themeColor="text1"/>
                <w:sz w:val="21"/>
                <w:lang w:val="en-US" w:eastAsia="zh-CN"/>
                <w14:textFill>
                  <w14:solidFill>
                    <w14:schemeClr w14:val="tx1"/>
                  </w14:solidFill>
                </w14:textFill>
              </w:rPr>
              <w:t>第3类</w:t>
            </w:r>
          </w:p>
        </w:tc>
        <w:tc>
          <w:tcPr>
            <w:tcW w:w="597" w:type="pct"/>
            <w:vAlign w:val="center"/>
          </w:tcPr>
          <w:p w14:paraId="09D3C3CD">
            <w:pPr>
              <w:pStyle w:val="73"/>
              <w:spacing w:line="240" w:lineRule="exact"/>
              <w:rPr>
                <w:color w:val="000000" w:themeColor="text1"/>
                <w:sz w:val="21"/>
                <w:szCs w:val="20"/>
                <w14:textFill>
                  <w14:solidFill>
                    <w14:schemeClr w14:val="tx1"/>
                  </w14:solidFill>
                </w14:textFill>
              </w:rPr>
            </w:pPr>
            <w:r>
              <w:rPr>
                <w:rFonts w:hint="eastAsia" w:eastAsia="宋体"/>
                <w:color w:val="000000" w:themeColor="text1"/>
                <w:sz w:val="21"/>
                <w:lang w:val="en-US"/>
                <w14:textFill>
                  <w14:solidFill>
                    <w14:schemeClr w14:val="tx1"/>
                  </w14:solidFill>
                </w14:textFill>
              </w:rPr>
              <w:t>3</w:t>
            </w:r>
          </w:p>
        </w:tc>
        <w:tc>
          <w:tcPr>
            <w:tcW w:w="471" w:type="pct"/>
            <w:vAlign w:val="center"/>
          </w:tcPr>
          <w:p w14:paraId="21239D93">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卸船</w:t>
            </w:r>
          </w:p>
        </w:tc>
        <w:tc>
          <w:tcPr>
            <w:tcW w:w="750" w:type="pct"/>
            <w:vMerge w:val="continue"/>
            <w:vAlign w:val="center"/>
          </w:tcPr>
          <w:p w14:paraId="4745CA90">
            <w:pPr>
              <w:adjustRightInd w:val="0"/>
              <w:snapToGrid w:val="0"/>
              <w:spacing w:line="240" w:lineRule="auto"/>
              <w:ind w:firstLine="420"/>
              <w:jc w:val="center"/>
              <w:outlineLvl w:val="0"/>
              <w:rPr>
                <w:color w:val="000000" w:themeColor="text1"/>
                <w:sz w:val="21"/>
                <w:szCs w:val="20"/>
                <w14:textFill>
                  <w14:solidFill>
                    <w14:schemeClr w14:val="tx1"/>
                  </w14:solidFill>
                </w14:textFill>
              </w:rPr>
            </w:pPr>
          </w:p>
        </w:tc>
        <w:tc>
          <w:tcPr>
            <w:tcW w:w="655" w:type="pct"/>
            <w:vAlign w:val="center"/>
          </w:tcPr>
          <w:p w14:paraId="16AD7DE7">
            <w:pPr>
              <w:pStyle w:val="73"/>
              <w:spacing w:line="240" w:lineRule="exact"/>
              <w:rPr>
                <w:color w:val="000000" w:themeColor="text1"/>
                <w:sz w:val="21"/>
                <w:szCs w:val="20"/>
                <w14:textFill>
                  <w14:solidFill>
                    <w14:schemeClr w14:val="tx1"/>
                  </w14:solidFill>
                </w14:textFill>
              </w:rPr>
            </w:pPr>
            <w:r>
              <w:rPr>
                <w:rFonts w:hint="eastAsia" w:eastAsia="宋体"/>
                <w:color w:val="000000" w:themeColor="text1"/>
                <w:sz w:val="21"/>
                <w:lang w:val="en-US"/>
                <w14:textFill>
                  <w14:solidFill>
                    <w14:schemeClr w14:val="tx1"/>
                  </w14:solidFill>
                </w14:textFill>
              </w:rPr>
              <w:t>否</w:t>
            </w:r>
          </w:p>
        </w:tc>
        <w:tc>
          <w:tcPr>
            <w:tcW w:w="514" w:type="pct"/>
            <w:vAlign w:val="center"/>
          </w:tcPr>
          <w:p w14:paraId="74847D3E">
            <w:pPr>
              <w:pStyle w:val="73"/>
              <w:spacing w:line="240" w:lineRule="exact"/>
              <w:rPr>
                <w:color w:val="000000" w:themeColor="text1"/>
                <w:sz w:val="21"/>
                <w:szCs w:val="20"/>
                <w14:textFill>
                  <w14:solidFill>
                    <w14:schemeClr w14:val="tx1"/>
                  </w14:solidFill>
                </w14:textFill>
              </w:rPr>
            </w:pPr>
            <w:r>
              <w:rPr>
                <w:rFonts w:hint="eastAsia" w:eastAsia="宋体"/>
                <w:color w:val="000000" w:themeColor="text1"/>
                <w:sz w:val="21"/>
                <w:lang w:val="en-US"/>
                <w14:textFill>
                  <w14:solidFill>
                    <w14:schemeClr w14:val="tx1"/>
                  </w14:solidFill>
                </w14:textFill>
              </w:rPr>
              <w:t>否</w:t>
            </w:r>
          </w:p>
        </w:tc>
      </w:tr>
      <w:tr w14:paraId="63937E0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454" w:hRule="atLeast"/>
          <w:jc w:val="center"/>
        </w:trPr>
        <w:tc>
          <w:tcPr>
            <w:tcW w:w="325" w:type="pct"/>
            <w:vAlign w:val="center"/>
          </w:tcPr>
          <w:p w14:paraId="6BFC967C">
            <w:pPr>
              <w:adjustRightInd w:val="0"/>
              <w:snapToGrid w:val="0"/>
              <w:spacing w:line="240" w:lineRule="auto"/>
              <w:ind w:firstLine="0" w:firstLineChars="0"/>
              <w:jc w:val="center"/>
              <w:outlineLvl w:val="0"/>
              <w:rPr>
                <w:color w:val="000000" w:themeColor="text1"/>
                <w:sz w:val="21"/>
                <w:szCs w:val="20"/>
                <w14:textFill>
                  <w14:solidFill>
                    <w14:schemeClr w14:val="tx1"/>
                  </w14:solidFill>
                </w14:textFill>
              </w:rPr>
            </w:pPr>
            <w:bookmarkStart w:id="229" w:name="_Toc216620390"/>
            <w:bookmarkStart w:id="230" w:name="_Toc216103231"/>
            <w:r>
              <w:rPr>
                <w:rFonts w:hint="eastAsia"/>
                <w:color w:val="000000" w:themeColor="text1"/>
                <w:sz w:val="21"/>
                <w:szCs w:val="20"/>
                <w14:textFill>
                  <w14:solidFill>
                    <w14:schemeClr w14:val="tx1"/>
                  </w14:solidFill>
                </w14:textFill>
              </w:rPr>
              <w:t>4</w:t>
            </w:r>
            <w:bookmarkEnd w:id="229"/>
            <w:bookmarkEnd w:id="230"/>
          </w:p>
        </w:tc>
        <w:tc>
          <w:tcPr>
            <w:tcW w:w="1087" w:type="pct"/>
            <w:vAlign w:val="center"/>
          </w:tcPr>
          <w:p w14:paraId="0C226010">
            <w:pPr>
              <w:pStyle w:val="73"/>
              <w:spacing w:line="240" w:lineRule="exact"/>
              <w:rPr>
                <w:color w:val="000000" w:themeColor="text1"/>
                <w:sz w:val="21"/>
                <w:szCs w:val="20"/>
                <w14:textFill>
                  <w14:solidFill>
                    <w14:schemeClr w14:val="tx1"/>
                  </w14:solidFill>
                </w14:textFill>
              </w:rPr>
            </w:pPr>
            <w:r>
              <w:rPr>
                <w:rFonts w:hint="eastAsia" w:eastAsia="宋体"/>
                <w:color w:val="000000" w:themeColor="text1"/>
                <w:sz w:val="21"/>
                <w:lang w:val="en-US"/>
                <w14:textFill>
                  <w14:solidFill>
                    <w14:schemeClr w14:val="tx1"/>
                  </w14:solidFill>
                </w14:textFill>
              </w:rPr>
              <w:t>脂肪酸混合物</w:t>
            </w:r>
          </w:p>
        </w:tc>
        <w:tc>
          <w:tcPr>
            <w:tcW w:w="597" w:type="pct"/>
            <w:vAlign w:val="center"/>
          </w:tcPr>
          <w:p w14:paraId="327111D2">
            <w:pPr>
              <w:pStyle w:val="73"/>
              <w:spacing w:line="240" w:lineRule="exact"/>
              <w:rPr>
                <w:rFonts w:hint="eastAsia" w:eastAsia="宋体"/>
                <w:color w:val="000000" w:themeColor="text1"/>
                <w:sz w:val="21"/>
                <w:lang w:val="en-US" w:eastAsia="zh-CN"/>
                <w14:textFill>
                  <w14:solidFill>
                    <w14:schemeClr w14:val="tx1"/>
                  </w14:solidFill>
                </w14:textFill>
              </w:rPr>
            </w:pPr>
            <w:r>
              <w:rPr>
                <w:rFonts w:hint="eastAsia" w:eastAsia="宋体"/>
                <w:color w:val="000000" w:themeColor="text1"/>
                <w:sz w:val="21"/>
                <w:lang w:val="en-US" w:eastAsia="zh-CN"/>
                <w14:textFill>
                  <w14:solidFill>
                    <w14:schemeClr w14:val="tx1"/>
                  </w14:solidFill>
                </w14:textFill>
              </w:rPr>
              <w:t>第3类</w:t>
            </w:r>
          </w:p>
        </w:tc>
        <w:tc>
          <w:tcPr>
            <w:tcW w:w="597" w:type="pct"/>
            <w:vAlign w:val="center"/>
          </w:tcPr>
          <w:p w14:paraId="358BBA5A">
            <w:pPr>
              <w:pStyle w:val="73"/>
              <w:spacing w:line="240" w:lineRule="exact"/>
              <w:rPr>
                <w:color w:val="000000" w:themeColor="text1"/>
                <w:sz w:val="21"/>
                <w:szCs w:val="20"/>
                <w14:textFill>
                  <w14:solidFill>
                    <w14:schemeClr w14:val="tx1"/>
                  </w14:solidFill>
                </w14:textFill>
              </w:rPr>
            </w:pPr>
            <w:r>
              <w:rPr>
                <w:rFonts w:hint="eastAsia" w:eastAsia="宋体"/>
                <w:color w:val="000000" w:themeColor="text1"/>
                <w:sz w:val="21"/>
                <w:lang w:val="en-US"/>
                <w14:textFill>
                  <w14:solidFill>
                    <w14:schemeClr w14:val="tx1"/>
                  </w14:solidFill>
                </w14:textFill>
              </w:rPr>
              <w:t>2</w:t>
            </w:r>
          </w:p>
        </w:tc>
        <w:tc>
          <w:tcPr>
            <w:tcW w:w="471" w:type="pct"/>
            <w:vAlign w:val="center"/>
          </w:tcPr>
          <w:p w14:paraId="4160035D">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卸船</w:t>
            </w:r>
          </w:p>
        </w:tc>
        <w:tc>
          <w:tcPr>
            <w:tcW w:w="750" w:type="pct"/>
            <w:vMerge w:val="continue"/>
            <w:vAlign w:val="center"/>
          </w:tcPr>
          <w:p w14:paraId="609F2F57">
            <w:pPr>
              <w:adjustRightInd w:val="0"/>
              <w:snapToGrid w:val="0"/>
              <w:spacing w:line="240" w:lineRule="auto"/>
              <w:ind w:firstLine="420"/>
              <w:jc w:val="center"/>
              <w:outlineLvl w:val="0"/>
              <w:rPr>
                <w:color w:val="000000" w:themeColor="text1"/>
                <w:sz w:val="21"/>
                <w:szCs w:val="20"/>
                <w14:textFill>
                  <w14:solidFill>
                    <w14:schemeClr w14:val="tx1"/>
                  </w14:solidFill>
                </w14:textFill>
              </w:rPr>
            </w:pPr>
          </w:p>
        </w:tc>
        <w:tc>
          <w:tcPr>
            <w:tcW w:w="655" w:type="pct"/>
            <w:vAlign w:val="center"/>
          </w:tcPr>
          <w:p w14:paraId="51AAA736">
            <w:pPr>
              <w:pStyle w:val="73"/>
              <w:spacing w:line="240" w:lineRule="exact"/>
              <w:rPr>
                <w:color w:val="000000" w:themeColor="text1"/>
                <w:sz w:val="21"/>
                <w:szCs w:val="20"/>
                <w14:textFill>
                  <w14:solidFill>
                    <w14:schemeClr w14:val="tx1"/>
                  </w14:solidFill>
                </w14:textFill>
              </w:rPr>
            </w:pPr>
            <w:r>
              <w:rPr>
                <w:rFonts w:hint="eastAsia" w:eastAsia="宋体"/>
                <w:color w:val="000000" w:themeColor="text1"/>
                <w:sz w:val="21"/>
                <w:lang w:val="en-US"/>
                <w14:textFill>
                  <w14:solidFill>
                    <w14:schemeClr w14:val="tx1"/>
                  </w14:solidFill>
                </w14:textFill>
              </w:rPr>
              <w:t>否</w:t>
            </w:r>
          </w:p>
        </w:tc>
        <w:tc>
          <w:tcPr>
            <w:tcW w:w="514" w:type="pct"/>
            <w:vAlign w:val="center"/>
          </w:tcPr>
          <w:p w14:paraId="3AEE8B6B">
            <w:pPr>
              <w:pStyle w:val="73"/>
              <w:spacing w:line="240" w:lineRule="exact"/>
              <w:rPr>
                <w:color w:val="000000" w:themeColor="text1"/>
                <w:sz w:val="21"/>
                <w:szCs w:val="20"/>
                <w14:textFill>
                  <w14:solidFill>
                    <w14:schemeClr w14:val="tx1"/>
                  </w14:solidFill>
                </w14:textFill>
              </w:rPr>
            </w:pPr>
            <w:r>
              <w:rPr>
                <w:rFonts w:hint="eastAsia" w:eastAsia="宋体"/>
                <w:color w:val="000000" w:themeColor="text1"/>
                <w:sz w:val="21"/>
                <w:lang w:val="en-US"/>
                <w14:textFill>
                  <w14:solidFill>
                    <w14:schemeClr w14:val="tx1"/>
                  </w14:solidFill>
                </w14:textFill>
              </w:rPr>
              <w:t>否</w:t>
            </w:r>
          </w:p>
        </w:tc>
      </w:tr>
      <w:tr w14:paraId="07578B2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454" w:hRule="atLeast"/>
          <w:jc w:val="center"/>
        </w:trPr>
        <w:tc>
          <w:tcPr>
            <w:tcW w:w="325" w:type="pct"/>
            <w:vAlign w:val="center"/>
          </w:tcPr>
          <w:p w14:paraId="6D5E760B">
            <w:pPr>
              <w:adjustRightInd w:val="0"/>
              <w:snapToGrid w:val="0"/>
              <w:spacing w:line="240" w:lineRule="auto"/>
              <w:ind w:firstLine="0" w:firstLineChars="0"/>
              <w:jc w:val="center"/>
              <w:outlineLvl w:val="0"/>
              <w:rPr>
                <w:color w:val="000000" w:themeColor="text1"/>
                <w:sz w:val="21"/>
                <w:szCs w:val="20"/>
                <w14:textFill>
                  <w14:solidFill>
                    <w14:schemeClr w14:val="tx1"/>
                  </w14:solidFill>
                </w14:textFill>
              </w:rPr>
            </w:pPr>
            <w:bookmarkStart w:id="231" w:name="_Toc216103238"/>
            <w:bookmarkStart w:id="232" w:name="_Toc216620397"/>
            <w:r>
              <w:rPr>
                <w:rFonts w:hint="eastAsia"/>
                <w:color w:val="000000" w:themeColor="text1"/>
                <w:sz w:val="21"/>
                <w:szCs w:val="20"/>
                <w14:textFill>
                  <w14:solidFill>
                    <w14:schemeClr w14:val="tx1"/>
                  </w14:solidFill>
                </w14:textFill>
              </w:rPr>
              <w:t>5</w:t>
            </w:r>
            <w:bookmarkEnd w:id="231"/>
            <w:bookmarkEnd w:id="232"/>
          </w:p>
        </w:tc>
        <w:tc>
          <w:tcPr>
            <w:tcW w:w="1087" w:type="pct"/>
            <w:vAlign w:val="center"/>
          </w:tcPr>
          <w:p w14:paraId="4327C7D5">
            <w:pPr>
              <w:pStyle w:val="73"/>
              <w:spacing w:line="240" w:lineRule="exact"/>
              <w:rPr>
                <w:rFonts w:eastAsia="宋体"/>
                <w:color w:val="000000" w:themeColor="text1"/>
                <w:sz w:val="21"/>
                <w:szCs w:val="20"/>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工业级混合油</w:t>
            </w:r>
          </w:p>
        </w:tc>
        <w:tc>
          <w:tcPr>
            <w:tcW w:w="597" w:type="pct"/>
            <w:vAlign w:val="center"/>
          </w:tcPr>
          <w:p w14:paraId="4D627E37">
            <w:pPr>
              <w:pStyle w:val="73"/>
              <w:spacing w:line="240" w:lineRule="exact"/>
              <w:rPr>
                <w:rFonts w:hint="eastAsia" w:eastAsia="宋体"/>
                <w:color w:val="000000" w:themeColor="text1"/>
                <w:sz w:val="21"/>
                <w:lang w:val="en-US" w:eastAsia="zh-CN"/>
                <w14:textFill>
                  <w14:solidFill>
                    <w14:schemeClr w14:val="tx1"/>
                  </w14:solidFill>
                </w14:textFill>
              </w:rPr>
            </w:pPr>
            <w:r>
              <w:rPr>
                <w:rFonts w:hint="eastAsia" w:eastAsia="宋体"/>
                <w:color w:val="000000" w:themeColor="text1"/>
                <w:sz w:val="21"/>
                <w:lang w:val="en-US" w:eastAsia="zh-CN"/>
                <w14:textFill>
                  <w14:solidFill>
                    <w14:schemeClr w14:val="tx1"/>
                  </w14:solidFill>
                </w14:textFill>
              </w:rPr>
              <w:t>第3类</w:t>
            </w:r>
          </w:p>
        </w:tc>
        <w:tc>
          <w:tcPr>
            <w:tcW w:w="597" w:type="pct"/>
            <w:vAlign w:val="center"/>
          </w:tcPr>
          <w:p w14:paraId="5EF2A9F0">
            <w:pPr>
              <w:pStyle w:val="73"/>
              <w:spacing w:line="240" w:lineRule="exact"/>
              <w:rPr>
                <w:color w:val="000000" w:themeColor="text1"/>
                <w:sz w:val="21"/>
                <w:szCs w:val="20"/>
                <w14:textFill>
                  <w14:solidFill>
                    <w14:schemeClr w14:val="tx1"/>
                  </w14:solidFill>
                </w14:textFill>
              </w:rPr>
            </w:pPr>
            <w:r>
              <w:rPr>
                <w:rFonts w:hint="eastAsia" w:eastAsia="宋体"/>
                <w:color w:val="000000" w:themeColor="text1"/>
                <w:sz w:val="21"/>
                <w:lang w:val="en-US"/>
                <w14:textFill>
                  <w14:solidFill>
                    <w14:schemeClr w14:val="tx1"/>
                  </w14:solidFill>
                </w14:textFill>
              </w:rPr>
              <w:t>2</w:t>
            </w:r>
          </w:p>
        </w:tc>
        <w:tc>
          <w:tcPr>
            <w:tcW w:w="471" w:type="pct"/>
            <w:vAlign w:val="center"/>
          </w:tcPr>
          <w:p w14:paraId="6CD14B9F">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卸船</w:t>
            </w:r>
          </w:p>
        </w:tc>
        <w:tc>
          <w:tcPr>
            <w:tcW w:w="750" w:type="pct"/>
            <w:vMerge w:val="continue"/>
            <w:vAlign w:val="center"/>
          </w:tcPr>
          <w:p w14:paraId="67E6DCF6">
            <w:pPr>
              <w:adjustRightInd w:val="0"/>
              <w:snapToGrid w:val="0"/>
              <w:spacing w:line="240" w:lineRule="auto"/>
              <w:ind w:firstLine="420"/>
              <w:jc w:val="center"/>
              <w:outlineLvl w:val="0"/>
              <w:rPr>
                <w:color w:val="000000" w:themeColor="text1"/>
                <w:sz w:val="21"/>
                <w:szCs w:val="20"/>
                <w14:textFill>
                  <w14:solidFill>
                    <w14:schemeClr w14:val="tx1"/>
                  </w14:solidFill>
                </w14:textFill>
              </w:rPr>
            </w:pPr>
          </w:p>
        </w:tc>
        <w:tc>
          <w:tcPr>
            <w:tcW w:w="655" w:type="pct"/>
            <w:vAlign w:val="center"/>
          </w:tcPr>
          <w:p w14:paraId="7AEF1B15">
            <w:pPr>
              <w:pStyle w:val="73"/>
              <w:spacing w:line="240" w:lineRule="exact"/>
              <w:rPr>
                <w:color w:val="000000" w:themeColor="text1"/>
                <w:sz w:val="21"/>
                <w:szCs w:val="20"/>
                <w14:textFill>
                  <w14:solidFill>
                    <w14:schemeClr w14:val="tx1"/>
                  </w14:solidFill>
                </w14:textFill>
              </w:rPr>
            </w:pPr>
            <w:r>
              <w:rPr>
                <w:rFonts w:hint="eastAsia" w:eastAsia="宋体"/>
                <w:color w:val="000000" w:themeColor="text1"/>
                <w:sz w:val="21"/>
                <w:lang w:val="en-US"/>
                <w14:textFill>
                  <w14:solidFill>
                    <w14:schemeClr w14:val="tx1"/>
                  </w14:solidFill>
                </w14:textFill>
              </w:rPr>
              <w:t>否</w:t>
            </w:r>
          </w:p>
        </w:tc>
        <w:tc>
          <w:tcPr>
            <w:tcW w:w="514" w:type="pct"/>
            <w:vAlign w:val="center"/>
          </w:tcPr>
          <w:p w14:paraId="53E0524D">
            <w:pPr>
              <w:pStyle w:val="73"/>
              <w:spacing w:line="240" w:lineRule="exact"/>
              <w:rPr>
                <w:color w:val="000000" w:themeColor="text1"/>
                <w:sz w:val="21"/>
                <w:szCs w:val="20"/>
                <w14:textFill>
                  <w14:solidFill>
                    <w14:schemeClr w14:val="tx1"/>
                  </w14:solidFill>
                </w14:textFill>
              </w:rPr>
            </w:pPr>
            <w:r>
              <w:rPr>
                <w:rFonts w:hint="eastAsia" w:eastAsia="宋体"/>
                <w:color w:val="000000" w:themeColor="text1"/>
                <w:sz w:val="21"/>
                <w:lang w:val="en-US"/>
                <w14:textFill>
                  <w14:solidFill>
                    <w14:schemeClr w14:val="tx1"/>
                  </w14:solidFill>
                </w14:textFill>
              </w:rPr>
              <w:t>否</w:t>
            </w:r>
          </w:p>
        </w:tc>
      </w:tr>
      <w:tr w14:paraId="1B8F8C1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454" w:hRule="atLeast"/>
          <w:jc w:val="center"/>
        </w:trPr>
        <w:tc>
          <w:tcPr>
            <w:tcW w:w="325" w:type="pct"/>
            <w:vAlign w:val="center"/>
          </w:tcPr>
          <w:p w14:paraId="666AE43A">
            <w:pPr>
              <w:adjustRightInd w:val="0"/>
              <w:snapToGrid w:val="0"/>
              <w:spacing w:line="240" w:lineRule="auto"/>
              <w:ind w:firstLine="0" w:firstLineChars="0"/>
              <w:jc w:val="center"/>
              <w:outlineLvl w:val="0"/>
              <w:rPr>
                <w:color w:val="000000" w:themeColor="text1"/>
                <w:sz w:val="21"/>
                <w:szCs w:val="20"/>
                <w14:textFill>
                  <w14:solidFill>
                    <w14:schemeClr w14:val="tx1"/>
                  </w14:solidFill>
                </w14:textFill>
              </w:rPr>
            </w:pPr>
            <w:bookmarkStart w:id="233" w:name="_Toc216103245"/>
            <w:bookmarkStart w:id="234" w:name="_Toc216620404"/>
            <w:r>
              <w:rPr>
                <w:rFonts w:hint="eastAsia"/>
                <w:color w:val="000000" w:themeColor="text1"/>
                <w:sz w:val="21"/>
                <w:szCs w:val="20"/>
                <w14:textFill>
                  <w14:solidFill>
                    <w14:schemeClr w14:val="tx1"/>
                  </w14:solidFill>
                </w14:textFill>
              </w:rPr>
              <w:t>6</w:t>
            </w:r>
            <w:bookmarkEnd w:id="233"/>
            <w:bookmarkEnd w:id="234"/>
          </w:p>
        </w:tc>
        <w:tc>
          <w:tcPr>
            <w:tcW w:w="1087" w:type="pct"/>
            <w:vAlign w:val="center"/>
          </w:tcPr>
          <w:p w14:paraId="5A0C81FC">
            <w:pPr>
              <w:pStyle w:val="73"/>
              <w:spacing w:line="240" w:lineRule="exact"/>
              <w:rPr>
                <w:color w:val="000000" w:themeColor="text1"/>
                <w:sz w:val="21"/>
                <w:szCs w:val="20"/>
                <w14:textFill>
                  <w14:solidFill>
                    <w14:schemeClr w14:val="tx1"/>
                  </w14:solidFill>
                </w14:textFill>
              </w:rPr>
            </w:pPr>
            <w:r>
              <w:rPr>
                <w:rFonts w:hint="eastAsia" w:eastAsia="宋体"/>
                <w:color w:val="000000" w:themeColor="text1"/>
                <w:sz w:val="21"/>
                <w:lang w:val="en-US"/>
                <w14:textFill>
                  <w14:solidFill>
                    <w14:schemeClr w14:val="tx1"/>
                  </w14:solidFill>
                </w14:textFill>
              </w:rPr>
              <w:t>纯生物柴油</w:t>
            </w:r>
          </w:p>
        </w:tc>
        <w:tc>
          <w:tcPr>
            <w:tcW w:w="597" w:type="pct"/>
            <w:vAlign w:val="center"/>
          </w:tcPr>
          <w:p w14:paraId="2921EFE1">
            <w:pPr>
              <w:pStyle w:val="73"/>
              <w:spacing w:line="240" w:lineRule="exact"/>
              <w:rPr>
                <w:rFonts w:hint="eastAsia" w:eastAsia="宋体"/>
                <w:color w:val="000000" w:themeColor="text1"/>
                <w:sz w:val="21"/>
                <w:lang w:val="en-US" w:eastAsia="zh-CN"/>
                <w14:textFill>
                  <w14:solidFill>
                    <w14:schemeClr w14:val="tx1"/>
                  </w14:solidFill>
                </w14:textFill>
              </w:rPr>
            </w:pPr>
            <w:r>
              <w:rPr>
                <w:rFonts w:hint="eastAsia" w:eastAsia="宋体"/>
                <w:color w:val="000000" w:themeColor="text1"/>
                <w:sz w:val="21"/>
                <w:lang w:val="en-US" w:eastAsia="zh-CN"/>
                <w14:textFill>
                  <w14:solidFill>
                    <w14:schemeClr w14:val="tx1"/>
                  </w14:solidFill>
                </w14:textFill>
              </w:rPr>
              <w:t>第3类</w:t>
            </w:r>
          </w:p>
        </w:tc>
        <w:tc>
          <w:tcPr>
            <w:tcW w:w="597" w:type="pct"/>
            <w:vAlign w:val="center"/>
          </w:tcPr>
          <w:p w14:paraId="5741F2EF">
            <w:pPr>
              <w:pStyle w:val="73"/>
              <w:spacing w:line="240" w:lineRule="exact"/>
              <w:rPr>
                <w:color w:val="000000" w:themeColor="text1"/>
                <w:sz w:val="21"/>
                <w:szCs w:val="20"/>
                <w14:textFill>
                  <w14:solidFill>
                    <w14:schemeClr w14:val="tx1"/>
                  </w14:solidFill>
                </w14:textFill>
              </w:rPr>
            </w:pPr>
            <w:r>
              <w:rPr>
                <w:rFonts w:hint="eastAsia" w:eastAsia="宋体"/>
                <w:color w:val="000000" w:themeColor="text1"/>
                <w:sz w:val="21"/>
                <w:lang w:val="en-US"/>
                <w14:textFill>
                  <w14:solidFill>
                    <w14:schemeClr w14:val="tx1"/>
                  </w14:solidFill>
                </w14:textFill>
              </w:rPr>
              <w:t>3</w:t>
            </w:r>
          </w:p>
        </w:tc>
        <w:tc>
          <w:tcPr>
            <w:tcW w:w="471" w:type="pct"/>
            <w:vAlign w:val="center"/>
          </w:tcPr>
          <w:p w14:paraId="1A950BC4">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装船</w:t>
            </w:r>
          </w:p>
        </w:tc>
        <w:tc>
          <w:tcPr>
            <w:tcW w:w="750" w:type="pct"/>
            <w:vMerge w:val="continue"/>
            <w:vAlign w:val="center"/>
          </w:tcPr>
          <w:p w14:paraId="79DEF63B">
            <w:pPr>
              <w:adjustRightInd w:val="0"/>
              <w:snapToGrid w:val="0"/>
              <w:spacing w:line="240" w:lineRule="auto"/>
              <w:ind w:firstLine="420"/>
              <w:jc w:val="center"/>
              <w:outlineLvl w:val="0"/>
              <w:rPr>
                <w:color w:val="000000" w:themeColor="text1"/>
                <w:sz w:val="21"/>
                <w:szCs w:val="20"/>
                <w14:textFill>
                  <w14:solidFill>
                    <w14:schemeClr w14:val="tx1"/>
                  </w14:solidFill>
                </w14:textFill>
              </w:rPr>
            </w:pPr>
          </w:p>
        </w:tc>
        <w:tc>
          <w:tcPr>
            <w:tcW w:w="655" w:type="pct"/>
            <w:vAlign w:val="center"/>
          </w:tcPr>
          <w:p w14:paraId="1C9FC433">
            <w:pPr>
              <w:pStyle w:val="73"/>
              <w:spacing w:line="240" w:lineRule="exact"/>
              <w:rPr>
                <w:color w:val="000000" w:themeColor="text1"/>
                <w:sz w:val="21"/>
                <w:szCs w:val="20"/>
                <w14:textFill>
                  <w14:solidFill>
                    <w14:schemeClr w14:val="tx1"/>
                  </w14:solidFill>
                </w14:textFill>
              </w:rPr>
            </w:pPr>
            <w:r>
              <w:rPr>
                <w:rFonts w:hint="eastAsia" w:eastAsia="宋体"/>
                <w:color w:val="000000" w:themeColor="text1"/>
                <w:sz w:val="21"/>
                <w:lang w:val="en-US"/>
                <w14:textFill>
                  <w14:solidFill>
                    <w14:schemeClr w14:val="tx1"/>
                  </w14:solidFill>
                </w14:textFill>
              </w:rPr>
              <w:t>否</w:t>
            </w:r>
          </w:p>
        </w:tc>
        <w:tc>
          <w:tcPr>
            <w:tcW w:w="514" w:type="pct"/>
            <w:vAlign w:val="center"/>
          </w:tcPr>
          <w:p w14:paraId="422DFF86">
            <w:pPr>
              <w:pStyle w:val="73"/>
              <w:spacing w:line="240" w:lineRule="exact"/>
              <w:rPr>
                <w:color w:val="000000" w:themeColor="text1"/>
                <w:sz w:val="21"/>
                <w:szCs w:val="20"/>
                <w14:textFill>
                  <w14:solidFill>
                    <w14:schemeClr w14:val="tx1"/>
                  </w14:solidFill>
                </w14:textFill>
              </w:rPr>
            </w:pPr>
            <w:r>
              <w:rPr>
                <w:rFonts w:hint="eastAsia" w:eastAsia="宋体"/>
                <w:color w:val="000000" w:themeColor="text1"/>
                <w:sz w:val="21"/>
                <w:lang w:val="en-US"/>
                <w14:textFill>
                  <w14:solidFill>
                    <w14:schemeClr w14:val="tx1"/>
                  </w14:solidFill>
                </w14:textFill>
              </w:rPr>
              <w:t>否</w:t>
            </w:r>
          </w:p>
        </w:tc>
      </w:tr>
      <w:tr w14:paraId="4558BB5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454" w:hRule="atLeast"/>
          <w:jc w:val="center"/>
        </w:trPr>
        <w:tc>
          <w:tcPr>
            <w:tcW w:w="325" w:type="pct"/>
            <w:vAlign w:val="center"/>
          </w:tcPr>
          <w:p w14:paraId="2DC35171">
            <w:pPr>
              <w:adjustRightInd w:val="0"/>
              <w:snapToGrid w:val="0"/>
              <w:spacing w:line="240" w:lineRule="auto"/>
              <w:ind w:firstLine="0" w:firstLineChars="0"/>
              <w:jc w:val="center"/>
              <w:outlineLvl w:val="0"/>
              <w:rPr>
                <w:color w:val="000000" w:themeColor="text1"/>
                <w:sz w:val="21"/>
                <w:szCs w:val="20"/>
                <w14:textFill>
                  <w14:solidFill>
                    <w14:schemeClr w14:val="tx1"/>
                  </w14:solidFill>
                </w14:textFill>
              </w:rPr>
            </w:pPr>
            <w:bookmarkStart w:id="235" w:name="_Toc216620411"/>
            <w:bookmarkStart w:id="236" w:name="_Toc216103252"/>
            <w:r>
              <w:rPr>
                <w:rFonts w:hint="eastAsia"/>
                <w:color w:val="000000" w:themeColor="text1"/>
                <w:sz w:val="21"/>
                <w:szCs w:val="20"/>
                <w14:textFill>
                  <w14:solidFill>
                    <w14:schemeClr w14:val="tx1"/>
                  </w14:solidFill>
                </w14:textFill>
              </w:rPr>
              <w:t>7</w:t>
            </w:r>
            <w:bookmarkEnd w:id="235"/>
            <w:bookmarkEnd w:id="236"/>
          </w:p>
        </w:tc>
        <w:tc>
          <w:tcPr>
            <w:tcW w:w="1087" w:type="pct"/>
            <w:vAlign w:val="center"/>
          </w:tcPr>
          <w:p w14:paraId="791F9A1D">
            <w:pPr>
              <w:pStyle w:val="73"/>
              <w:spacing w:line="240" w:lineRule="exact"/>
              <w:rPr>
                <w:color w:val="000000" w:themeColor="text1"/>
                <w:sz w:val="21"/>
                <w:szCs w:val="20"/>
                <w14:textFill>
                  <w14:solidFill>
                    <w14:schemeClr w14:val="tx1"/>
                  </w14:solidFill>
                </w14:textFill>
              </w:rPr>
            </w:pPr>
            <w:r>
              <w:rPr>
                <w:rFonts w:hint="eastAsia" w:eastAsia="宋体"/>
                <w:color w:val="000000" w:themeColor="text1"/>
                <w:sz w:val="21"/>
                <w:lang w:val="en-US"/>
                <w14:textFill>
                  <w14:solidFill>
                    <w14:schemeClr w14:val="tx1"/>
                  </w14:solidFill>
                </w14:textFill>
              </w:rPr>
              <w:t>航空煤油</w:t>
            </w:r>
          </w:p>
        </w:tc>
        <w:tc>
          <w:tcPr>
            <w:tcW w:w="597" w:type="pct"/>
            <w:vAlign w:val="center"/>
          </w:tcPr>
          <w:p w14:paraId="3FED65B6">
            <w:pPr>
              <w:pStyle w:val="73"/>
              <w:spacing w:line="240" w:lineRule="exact"/>
              <w:rPr>
                <w:rFonts w:hint="eastAsia" w:eastAsia="宋体"/>
                <w:color w:val="000000" w:themeColor="text1"/>
                <w:sz w:val="21"/>
                <w:lang w:val="en-US" w:eastAsia="zh-CN"/>
                <w14:textFill>
                  <w14:solidFill>
                    <w14:schemeClr w14:val="tx1"/>
                  </w14:solidFill>
                </w14:textFill>
              </w:rPr>
            </w:pPr>
            <w:r>
              <w:rPr>
                <w:rFonts w:hint="eastAsia" w:eastAsia="宋体"/>
                <w:color w:val="000000" w:themeColor="text1"/>
                <w:sz w:val="21"/>
                <w:lang w:val="en-US" w:eastAsia="zh-CN"/>
                <w14:textFill>
                  <w14:solidFill>
                    <w14:schemeClr w14:val="tx1"/>
                  </w14:solidFill>
                </w14:textFill>
              </w:rPr>
              <w:t>第3类</w:t>
            </w:r>
          </w:p>
        </w:tc>
        <w:tc>
          <w:tcPr>
            <w:tcW w:w="597" w:type="pct"/>
            <w:vAlign w:val="center"/>
          </w:tcPr>
          <w:p w14:paraId="5F8F24B2">
            <w:pPr>
              <w:pStyle w:val="73"/>
              <w:spacing w:line="240" w:lineRule="exact"/>
              <w:rPr>
                <w:color w:val="000000" w:themeColor="text1"/>
                <w:sz w:val="21"/>
                <w:szCs w:val="20"/>
                <w14:textFill>
                  <w14:solidFill>
                    <w14:schemeClr w14:val="tx1"/>
                  </w14:solidFill>
                </w14:textFill>
              </w:rPr>
            </w:pPr>
            <w:r>
              <w:rPr>
                <w:rFonts w:hint="eastAsia" w:eastAsia="宋体"/>
                <w:color w:val="000000" w:themeColor="text1"/>
                <w:sz w:val="21"/>
                <w:lang w:val="en-US"/>
                <w14:textFill>
                  <w14:solidFill>
                    <w14:schemeClr w14:val="tx1"/>
                  </w14:solidFill>
                </w14:textFill>
              </w:rPr>
              <w:t>2</w:t>
            </w:r>
          </w:p>
        </w:tc>
        <w:tc>
          <w:tcPr>
            <w:tcW w:w="471" w:type="pct"/>
            <w:vAlign w:val="center"/>
          </w:tcPr>
          <w:p w14:paraId="1E96BE3C">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装船</w:t>
            </w:r>
          </w:p>
        </w:tc>
        <w:tc>
          <w:tcPr>
            <w:tcW w:w="750" w:type="pct"/>
            <w:vMerge w:val="continue"/>
            <w:tcBorders>
              <w:bottom w:val="single" w:color="auto" w:sz="4" w:space="0"/>
            </w:tcBorders>
            <w:vAlign w:val="center"/>
          </w:tcPr>
          <w:p w14:paraId="7C78A7A4">
            <w:pPr>
              <w:adjustRightInd w:val="0"/>
              <w:snapToGrid w:val="0"/>
              <w:spacing w:line="240" w:lineRule="auto"/>
              <w:ind w:firstLine="420"/>
              <w:jc w:val="center"/>
              <w:outlineLvl w:val="0"/>
              <w:rPr>
                <w:color w:val="000000" w:themeColor="text1"/>
                <w:sz w:val="21"/>
                <w:szCs w:val="20"/>
                <w14:textFill>
                  <w14:solidFill>
                    <w14:schemeClr w14:val="tx1"/>
                  </w14:solidFill>
                </w14:textFill>
              </w:rPr>
            </w:pPr>
          </w:p>
        </w:tc>
        <w:tc>
          <w:tcPr>
            <w:tcW w:w="655" w:type="pct"/>
            <w:tcBorders>
              <w:bottom w:val="single" w:color="auto" w:sz="4" w:space="0"/>
            </w:tcBorders>
            <w:vAlign w:val="center"/>
          </w:tcPr>
          <w:p w14:paraId="66C721A1">
            <w:pPr>
              <w:pStyle w:val="73"/>
              <w:spacing w:line="240" w:lineRule="exact"/>
              <w:rPr>
                <w:color w:val="000000" w:themeColor="text1"/>
                <w:sz w:val="21"/>
                <w:szCs w:val="20"/>
                <w14:textFill>
                  <w14:solidFill>
                    <w14:schemeClr w14:val="tx1"/>
                  </w14:solidFill>
                </w14:textFill>
              </w:rPr>
            </w:pPr>
            <w:r>
              <w:rPr>
                <w:rFonts w:hint="eastAsia" w:eastAsia="宋体"/>
                <w:color w:val="000000" w:themeColor="text1"/>
                <w:sz w:val="21"/>
                <w:lang w:val="en-US"/>
                <w14:textFill>
                  <w14:solidFill>
                    <w14:schemeClr w14:val="tx1"/>
                  </w14:solidFill>
                </w14:textFill>
              </w:rPr>
              <w:t>否</w:t>
            </w:r>
          </w:p>
        </w:tc>
        <w:tc>
          <w:tcPr>
            <w:tcW w:w="514" w:type="pct"/>
            <w:vAlign w:val="center"/>
          </w:tcPr>
          <w:p w14:paraId="21CFC580">
            <w:pPr>
              <w:pStyle w:val="73"/>
              <w:spacing w:line="240" w:lineRule="exact"/>
              <w:rPr>
                <w:color w:val="000000" w:themeColor="text1"/>
                <w:sz w:val="21"/>
                <w:szCs w:val="20"/>
                <w14:textFill>
                  <w14:solidFill>
                    <w14:schemeClr w14:val="tx1"/>
                  </w14:solidFill>
                </w14:textFill>
              </w:rPr>
            </w:pPr>
            <w:r>
              <w:rPr>
                <w:rFonts w:hint="eastAsia" w:eastAsia="宋体"/>
                <w:color w:val="000000" w:themeColor="text1"/>
                <w:sz w:val="21"/>
                <w:lang w:val="en-US"/>
                <w14:textFill>
                  <w14:solidFill>
                    <w14:schemeClr w14:val="tx1"/>
                  </w14:solidFill>
                </w14:textFill>
              </w:rPr>
              <w:t>否</w:t>
            </w:r>
          </w:p>
        </w:tc>
      </w:tr>
      <w:tr w14:paraId="2132F64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454" w:hRule="atLeast"/>
          <w:jc w:val="center"/>
        </w:trPr>
        <w:tc>
          <w:tcPr>
            <w:tcW w:w="325" w:type="pct"/>
            <w:vAlign w:val="center"/>
          </w:tcPr>
          <w:p w14:paraId="0DF35409">
            <w:pPr>
              <w:adjustRightInd w:val="0"/>
              <w:snapToGrid w:val="0"/>
              <w:spacing w:line="240" w:lineRule="auto"/>
              <w:ind w:firstLine="0" w:firstLineChars="0"/>
              <w:jc w:val="center"/>
              <w:outlineLvl w:val="0"/>
              <w:rPr>
                <w:color w:val="000000" w:themeColor="text1"/>
                <w:sz w:val="21"/>
                <w:szCs w:val="20"/>
                <w14:textFill>
                  <w14:solidFill>
                    <w14:schemeClr w14:val="tx1"/>
                  </w14:solidFill>
                </w14:textFill>
              </w:rPr>
            </w:pPr>
            <w:bookmarkStart w:id="237" w:name="_Toc216620418"/>
            <w:bookmarkStart w:id="238" w:name="_Toc216103259"/>
            <w:r>
              <w:rPr>
                <w:rFonts w:hint="eastAsia"/>
                <w:color w:val="000000" w:themeColor="text1"/>
                <w:sz w:val="21"/>
                <w:szCs w:val="20"/>
                <w14:textFill>
                  <w14:solidFill>
                    <w14:schemeClr w14:val="tx1"/>
                  </w14:solidFill>
                </w14:textFill>
              </w:rPr>
              <w:t>8</w:t>
            </w:r>
            <w:bookmarkEnd w:id="237"/>
            <w:bookmarkEnd w:id="238"/>
          </w:p>
        </w:tc>
        <w:tc>
          <w:tcPr>
            <w:tcW w:w="1087" w:type="pct"/>
            <w:vAlign w:val="center"/>
          </w:tcPr>
          <w:p w14:paraId="2D5B2EB1">
            <w:pPr>
              <w:pStyle w:val="73"/>
              <w:spacing w:line="240" w:lineRule="exact"/>
              <w:rPr>
                <w:color w:val="000000" w:themeColor="text1"/>
                <w:sz w:val="21"/>
                <w:szCs w:val="20"/>
                <w14:textFill>
                  <w14:solidFill>
                    <w14:schemeClr w14:val="tx1"/>
                  </w14:solidFill>
                </w14:textFill>
              </w:rPr>
            </w:pPr>
            <w:r>
              <w:rPr>
                <w:rFonts w:hint="eastAsia" w:eastAsia="宋体"/>
                <w:color w:val="000000" w:themeColor="text1"/>
                <w:sz w:val="21"/>
                <w:lang w:val="en-US"/>
                <w14:textFill>
                  <w14:solidFill>
                    <w14:schemeClr w14:val="tx1"/>
                  </w14:solidFill>
                </w14:textFill>
              </w:rPr>
              <w:t>苯乙烯</w:t>
            </w:r>
          </w:p>
        </w:tc>
        <w:tc>
          <w:tcPr>
            <w:tcW w:w="597" w:type="pct"/>
            <w:vAlign w:val="center"/>
          </w:tcPr>
          <w:p w14:paraId="09B91A51">
            <w:pPr>
              <w:pStyle w:val="73"/>
              <w:spacing w:line="240" w:lineRule="exact"/>
              <w:rPr>
                <w:rFonts w:hint="default" w:eastAsia="宋体"/>
                <w:color w:val="000000" w:themeColor="text1"/>
                <w:sz w:val="21"/>
                <w:lang w:val="en-US" w:eastAsia="zh-CN"/>
                <w14:textFill>
                  <w14:solidFill>
                    <w14:schemeClr w14:val="tx1"/>
                  </w14:solidFill>
                </w14:textFill>
              </w:rPr>
            </w:pPr>
            <w:r>
              <w:rPr>
                <w:rFonts w:hint="eastAsia" w:eastAsia="宋体"/>
                <w:color w:val="000000" w:themeColor="text1"/>
                <w:sz w:val="21"/>
                <w:lang w:val="en-US" w:eastAsia="zh-CN"/>
                <w14:textFill>
                  <w14:solidFill>
                    <w14:schemeClr w14:val="tx1"/>
                  </w14:solidFill>
                </w14:textFill>
              </w:rPr>
              <w:t>第3类</w:t>
            </w:r>
          </w:p>
        </w:tc>
        <w:tc>
          <w:tcPr>
            <w:tcW w:w="597" w:type="pct"/>
            <w:vAlign w:val="center"/>
          </w:tcPr>
          <w:p w14:paraId="055C58F9">
            <w:pPr>
              <w:pStyle w:val="73"/>
              <w:spacing w:line="240" w:lineRule="exact"/>
              <w:rPr>
                <w:color w:val="000000" w:themeColor="text1"/>
                <w:sz w:val="21"/>
                <w:szCs w:val="20"/>
                <w14:textFill>
                  <w14:solidFill>
                    <w14:schemeClr w14:val="tx1"/>
                  </w14:solidFill>
                </w14:textFill>
              </w:rPr>
            </w:pPr>
            <w:r>
              <w:rPr>
                <w:rFonts w:hint="eastAsia" w:eastAsia="宋体"/>
                <w:color w:val="000000" w:themeColor="text1"/>
                <w:sz w:val="21"/>
                <w:lang w:val="en-US"/>
                <w14:textFill>
                  <w14:solidFill>
                    <w14:schemeClr w14:val="tx1"/>
                  </w14:solidFill>
                </w14:textFill>
              </w:rPr>
              <w:t>27</w:t>
            </w:r>
          </w:p>
        </w:tc>
        <w:tc>
          <w:tcPr>
            <w:tcW w:w="471" w:type="pct"/>
            <w:vAlign w:val="center"/>
          </w:tcPr>
          <w:p w14:paraId="461A7328">
            <w:pPr>
              <w:pStyle w:val="73"/>
              <w:spacing w:line="240" w:lineRule="exact"/>
              <w:rPr>
                <w:rFonts w:eastAsia="宋体"/>
                <w:color w:val="000000" w:themeColor="text1"/>
                <w:sz w:val="21"/>
                <w:lang w:val="en-US"/>
                <w14:textFill>
                  <w14:solidFill>
                    <w14:schemeClr w14:val="tx1"/>
                  </w14:solidFill>
                </w14:textFill>
              </w:rPr>
            </w:pPr>
            <w:r>
              <w:rPr>
                <w:rFonts w:hint="eastAsia" w:eastAsia="宋体"/>
                <w:color w:val="000000" w:themeColor="text1"/>
                <w:sz w:val="21"/>
                <w:lang w:val="en-US"/>
                <w14:textFill>
                  <w14:solidFill>
                    <w14:schemeClr w14:val="tx1"/>
                  </w14:solidFill>
                </w14:textFill>
              </w:rPr>
              <w:t>卸船</w:t>
            </w:r>
          </w:p>
        </w:tc>
        <w:tc>
          <w:tcPr>
            <w:tcW w:w="750" w:type="pct"/>
            <w:tcBorders>
              <w:top w:val="single" w:color="auto" w:sz="4" w:space="0"/>
            </w:tcBorders>
            <w:vAlign w:val="center"/>
          </w:tcPr>
          <w:p w14:paraId="13BE1F5F">
            <w:pPr>
              <w:adjustRightInd w:val="0"/>
              <w:snapToGrid w:val="0"/>
              <w:spacing w:line="240" w:lineRule="auto"/>
              <w:ind w:firstLine="0" w:firstLineChars="0"/>
              <w:outlineLvl w:val="0"/>
              <w:rPr>
                <w:color w:val="000000" w:themeColor="text1"/>
                <w:sz w:val="21"/>
                <w:szCs w:val="20"/>
                <w14:textFill>
                  <w14:solidFill>
                    <w14:schemeClr w14:val="tx1"/>
                  </w14:solidFill>
                </w14:textFill>
              </w:rPr>
            </w:pPr>
            <w:r>
              <w:rPr>
                <w:color w:val="000000" w:themeColor="text1"/>
                <w:sz w:val="21"/>
                <w:szCs w:val="20"/>
                <w14:textFill>
                  <w14:solidFill>
                    <w14:schemeClr w14:val="tx1"/>
                  </w14:solidFill>
                </w14:textFill>
              </w:rPr>
              <w:t>装卸臂（利旧）</w:t>
            </w:r>
          </w:p>
        </w:tc>
        <w:tc>
          <w:tcPr>
            <w:tcW w:w="655" w:type="pct"/>
            <w:tcBorders>
              <w:top w:val="single" w:color="auto" w:sz="4" w:space="0"/>
            </w:tcBorders>
            <w:vAlign w:val="center"/>
          </w:tcPr>
          <w:p w14:paraId="0C76BB1E">
            <w:pPr>
              <w:pStyle w:val="73"/>
              <w:spacing w:line="240" w:lineRule="exact"/>
              <w:rPr>
                <w:color w:val="000000" w:themeColor="text1"/>
                <w:sz w:val="21"/>
                <w:szCs w:val="20"/>
                <w14:textFill>
                  <w14:solidFill>
                    <w14:schemeClr w14:val="tx1"/>
                  </w14:solidFill>
                </w14:textFill>
              </w:rPr>
            </w:pPr>
            <w:r>
              <w:rPr>
                <w:rFonts w:hint="eastAsia" w:eastAsia="宋体"/>
                <w:color w:val="000000" w:themeColor="text1"/>
                <w:sz w:val="21"/>
                <w:lang w:val="en-US"/>
                <w14:textFill>
                  <w14:solidFill>
                    <w14:schemeClr w14:val="tx1"/>
                  </w14:solidFill>
                </w14:textFill>
              </w:rPr>
              <w:t>否</w:t>
            </w:r>
          </w:p>
        </w:tc>
        <w:tc>
          <w:tcPr>
            <w:tcW w:w="514" w:type="pct"/>
            <w:vAlign w:val="center"/>
          </w:tcPr>
          <w:p w14:paraId="18F1B3B5">
            <w:pPr>
              <w:pStyle w:val="73"/>
              <w:spacing w:line="240" w:lineRule="exact"/>
              <w:rPr>
                <w:color w:val="000000" w:themeColor="text1"/>
                <w:sz w:val="21"/>
                <w:szCs w:val="20"/>
                <w14:textFill>
                  <w14:solidFill>
                    <w14:schemeClr w14:val="tx1"/>
                  </w14:solidFill>
                </w14:textFill>
              </w:rPr>
            </w:pPr>
            <w:r>
              <w:rPr>
                <w:rFonts w:hint="eastAsia" w:eastAsia="宋体"/>
                <w:color w:val="000000" w:themeColor="text1"/>
                <w:sz w:val="21"/>
                <w:lang w:val="en-US"/>
                <w14:textFill>
                  <w14:solidFill>
                    <w14:schemeClr w14:val="tx1"/>
                  </w14:solidFill>
                </w14:textFill>
              </w:rPr>
              <w:t>否</w:t>
            </w:r>
          </w:p>
        </w:tc>
      </w:tr>
      <w:tr w14:paraId="7820BF6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454" w:hRule="atLeast"/>
          <w:jc w:val="center"/>
        </w:trPr>
        <w:tc>
          <w:tcPr>
            <w:tcW w:w="325" w:type="pct"/>
            <w:vAlign w:val="center"/>
          </w:tcPr>
          <w:p w14:paraId="3A9C5B76">
            <w:pPr>
              <w:adjustRightInd w:val="0"/>
              <w:snapToGrid w:val="0"/>
              <w:spacing w:line="240" w:lineRule="auto"/>
              <w:ind w:firstLine="0" w:firstLineChars="0"/>
              <w:jc w:val="center"/>
              <w:outlineLvl w:val="0"/>
              <w:rPr>
                <w:color w:val="000000" w:themeColor="text1"/>
                <w:sz w:val="21"/>
                <w:szCs w:val="20"/>
                <w14:textFill>
                  <w14:solidFill>
                    <w14:schemeClr w14:val="tx1"/>
                  </w14:solidFill>
                </w14:textFill>
              </w:rPr>
            </w:pPr>
            <w:bookmarkStart w:id="239" w:name="_Toc216103266"/>
            <w:bookmarkStart w:id="240" w:name="_Toc216620425"/>
            <w:r>
              <w:rPr>
                <w:rFonts w:hint="eastAsia"/>
                <w:color w:val="000000" w:themeColor="text1"/>
                <w:sz w:val="21"/>
                <w:szCs w:val="20"/>
                <w14:textFill>
                  <w14:solidFill>
                    <w14:schemeClr w14:val="tx1"/>
                  </w14:solidFill>
                </w14:textFill>
              </w:rPr>
              <w:t>9</w:t>
            </w:r>
            <w:bookmarkEnd w:id="239"/>
            <w:bookmarkEnd w:id="240"/>
          </w:p>
        </w:tc>
        <w:tc>
          <w:tcPr>
            <w:tcW w:w="1087" w:type="pct"/>
            <w:vAlign w:val="center"/>
          </w:tcPr>
          <w:p w14:paraId="409257D9">
            <w:pPr>
              <w:pStyle w:val="73"/>
              <w:spacing w:line="240" w:lineRule="exact"/>
              <w:rPr>
                <w:color w:val="000000" w:themeColor="text1"/>
                <w:sz w:val="21"/>
                <w:szCs w:val="20"/>
                <w14:textFill>
                  <w14:solidFill>
                    <w14:schemeClr w14:val="tx1"/>
                  </w14:solidFill>
                </w14:textFill>
              </w:rPr>
            </w:pPr>
            <w:r>
              <w:rPr>
                <w:rFonts w:hint="eastAsia" w:eastAsia="宋体"/>
                <w:color w:val="000000" w:themeColor="text1"/>
                <w:sz w:val="21"/>
                <w:lang w:val="en-US"/>
                <w14:textFill>
                  <w14:solidFill>
                    <w14:schemeClr w14:val="tx1"/>
                  </w14:solidFill>
                </w14:textFill>
              </w:rPr>
              <w:t>液硫</w:t>
            </w:r>
          </w:p>
        </w:tc>
        <w:tc>
          <w:tcPr>
            <w:tcW w:w="597" w:type="pct"/>
            <w:vAlign w:val="center"/>
          </w:tcPr>
          <w:p w14:paraId="0A45F176">
            <w:pPr>
              <w:pStyle w:val="73"/>
              <w:spacing w:line="240" w:lineRule="exact"/>
              <w:rPr>
                <w:rFonts w:hint="default" w:eastAsia="宋体"/>
                <w:color w:val="000000" w:themeColor="text1"/>
                <w:sz w:val="21"/>
                <w:lang w:val="en-US" w:eastAsia="zh-CN"/>
                <w14:textFill>
                  <w14:solidFill>
                    <w14:schemeClr w14:val="tx1"/>
                  </w14:solidFill>
                </w14:textFill>
              </w:rPr>
            </w:pPr>
            <w:r>
              <w:rPr>
                <w:rFonts w:hint="eastAsia" w:eastAsia="宋体"/>
                <w:color w:val="000000" w:themeColor="text1"/>
                <w:sz w:val="21"/>
                <w:lang w:val="en-US" w:eastAsia="zh-CN"/>
                <w14:textFill>
                  <w14:solidFill>
                    <w14:schemeClr w14:val="tx1"/>
                  </w14:solidFill>
                </w14:textFill>
              </w:rPr>
              <w:t>第4类</w:t>
            </w:r>
          </w:p>
        </w:tc>
        <w:tc>
          <w:tcPr>
            <w:tcW w:w="597" w:type="pct"/>
            <w:vAlign w:val="center"/>
          </w:tcPr>
          <w:p w14:paraId="1D875E2D">
            <w:pPr>
              <w:pStyle w:val="73"/>
              <w:spacing w:line="240" w:lineRule="exact"/>
              <w:rPr>
                <w:color w:val="000000" w:themeColor="text1"/>
                <w:sz w:val="21"/>
                <w:szCs w:val="20"/>
                <w14:textFill>
                  <w14:solidFill>
                    <w14:schemeClr w14:val="tx1"/>
                  </w14:solidFill>
                </w14:textFill>
              </w:rPr>
            </w:pPr>
            <w:r>
              <w:rPr>
                <w:rFonts w:hint="eastAsia" w:eastAsia="宋体"/>
                <w:color w:val="000000" w:themeColor="text1"/>
                <w:sz w:val="21"/>
                <w:lang w:val="en-US"/>
                <w14:textFill>
                  <w14:solidFill>
                    <w14:schemeClr w14:val="tx1"/>
                  </w14:solidFill>
                </w14:textFill>
              </w:rPr>
              <w:t>24</w:t>
            </w:r>
          </w:p>
        </w:tc>
        <w:tc>
          <w:tcPr>
            <w:tcW w:w="471" w:type="pct"/>
            <w:vAlign w:val="center"/>
          </w:tcPr>
          <w:p w14:paraId="1B3855D6">
            <w:pPr>
              <w:pStyle w:val="73"/>
              <w:spacing w:line="240" w:lineRule="exact"/>
              <w:rPr>
                <w:color w:val="000000" w:themeColor="text1"/>
                <w:sz w:val="21"/>
                <w:szCs w:val="20"/>
                <w14:textFill>
                  <w14:solidFill>
                    <w14:schemeClr w14:val="tx1"/>
                  </w14:solidFill>
                </w14:textFill>
              </w:rPr>
            </w:pPr>
            <w:r>
              <w:rPr>
                <w:rFonts w:hint="eastAsia" w:eastAsia="宋体"/>
                <w:color w:val="000000" w:themeColor="text1"/>
                <w:sz w:val="21"/>
                <w:lang w:val="en-US"/>
                <w14:textFill>
                  <w14:solidFill>
                    <w14:schemeClr w14:val="tx1"/>
                  </w14:solidFill>
                </w14:textFill>
              </w:rPr>
              <w:t>卸</w:t>
            </w:r>
          </w:p>
        </w:tc>
        <w:tc>
          <w:tcPr>
            <w:tcW w:w="750" w:type="pct"/>
            <w:vAlign w:val="center"/>
          </w:tcPr>
          <w:p w14:paraId="3967FBC3">
            <w:pPr>
              <w:adjustRightInd w:val="0"/>
              <w:snapToGrid w:val="0"/>
              <w:spacing w:line="240" w:lineRule="auto"/>
              <w:ind w:firstLine="0" w:firstLineChars="0"/>
              <w:jc w:val="center"/>
              <w:outlineLvl w:val="0"/>
              <w:rPr>
                <w:color w:val="000000" w:themeColor="text1"/>
                <w:sz w:val="21"/>
                <w:szCs w:val="20"/>
                <w14:textFill>
                  <w14:solidFill>
                    <w14:schemeClr w14:val="tx1"/>
                  </w14:solidFill>
                </w14:textFill>
              </w:rPr>
            </w:pPr>
            <w:r>
              <w:rPr>
                <w:color w:val="000000" w:themeColor="text1"/>
                <w:sz w:val="21"/>
                <w:szCs w:val="20"/>
                <w14:textFill>
                  <w14:solidFill>
                    <w14:schemeClr w14:val="tx1"/>
                  </w14:solidFill>
                </w14:textFill>
              </w:rPr>
              <w:t>金属软管</w:t>
            </w:r>
          </w:p>
        </w:tc>
        <w:tc>
          <w:tcPr>
            <w:tcW w:w="655" w:type="pct"/>
            <w:vAlign w:val="center"/>
          </w:tcPr>
          <w:p w14:paraId="3BDEF5D7">
            <w:pPr>
              <w:pStyle w:val="73"/>
              <w:spacing w:line="240" w:lineRule="exact"/>
              <w:rPr>
                <w:color w:val="000000" w:themeColor="text1"/>
                <w:sz w:val="21"/>
                <w:szCs w:val="20"/>
                <w14:textFill>
                  <w14:solidFill>
                    <w14:schemeClr w14:val="tx1"/>
                  </w14:solidFill>
                </w14:textFill>
              </w:rPr>
            </w:pPr>
            <w:r>
              <w:rPr>
                <w:rFonts w:hint="eastAsia" w:eastAsia="宋体"/>
                <w:color w:val="000000" w:themeColor="text1"/>
                <w:sz w:val="21"/>
                <w:lang w:val="en-US"/>
                <w14:textFill>
                  <w14:solidFill>
                    <w14:schemeClr w14:val="tx1"/>
                  </w14:solidFill>
                </w14:textFill>
              </w:rPr>
              <w:t>是</w:t>
            </w:r>
          </w:p>
        </w:tc>
        <w:tc>
          <w:tcPr>
            <w:tcW w:w="514" w:type="pct"/>
            <w:vAlign w:val="center"/>
          </w:tcPr>
          <w:p w14:paraId="43C8704C">
            <w:pPr>
              <w:pStyle w:val="73"/>
              <w:spacing w:line="240" w:lineRule="exact"/>
              <w:rPr>
                <w:color w:val="000000" w:themeColor="text1"/>
                <w:sz w:val="21"/>
                <w:szCs w:val="20"/>
                <w14:textFill>
                  <w14:solidFill>
                    <w14:schemeClr w14:val="tx1"/>
                  </w14:solidFill>
                </w14:textFill>
              </w:rPr>
            </w:pPr>
            <w:r>
              <w:rPr>
                <w:rFonts w:hint="eastAsia" w:eastAsia="宋体"/>
                <w:color w:val="000000" w:themeColor="text1"/>
                <w:sz w:val="21"/>
                <w:lang w:val="en-US"/>
                <w14:textFill>
                  <w14:solidFill>
                    <w14:schemeClr w14:val="tx1"/>
                  </w14:solidFill>
                </w14:textFill>
              </w:rPr>
              <w:t>是</w:t>
            </w:r>
          </w:p>
        </w:tc>
      </w:tr>
      <w:tr w14:paraId="4AA53E5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454" w:hRule="atLeast"/>
          <w:jc w:val="center"/>
        </w:trPr>
        <w:tc>
          <w:tcPr>
            <w:tcW w:w="325" w:type="pct"/>
            <w:vAlign w:val="center"/>
          </w:tcPr>
          <w:p w14:paraId="2EDEC6DA">
            <w:pPr>
              <w:adjustRightInd w:val="0"/>
              <w:snapToGrid w:val="0"/>
              <w:spacing w:line="240" w:lineRule="auto"/>
              <w:ind w:firstLine="0" w:firstLineChars="0"/>
              <w:jc w:val="center"/>
              <w:outlineLvl w:val="0"/>
              <w:rPr>
                <w:color w:val="000000" w:themeColor="text1"/>
                <w:sz w:val="21"/>
                <w:szCs w:val="20"/>
                <w14:textFill>
                  <w14:solidFill>
                    <w14:schemeClr w14:val="tx1"/>
                  </w14:solidFill>
                </w14:textFill>
              </w:rPr>
            </w:pPr>
            <w:bookmarkStart w:id="241" w:name="_Toc216620432"/>
            <w:bookmarkStart w:id="242" w:name="_Toc216103273"/>
            <w:r>
              <w:rPr>
                <w:rFonts w:hint="eastAsia"/>
                <w:color w:val="000000" w:themeColor="text1"/>
                <w:sz w:val="21"/>
                <w:szCs w:val="20"/>
                <w14:textFill>
                  <w14:solidFill>
                    <w14:schemeClr w14:val="tx1"/>
                  </w14:solidFill>
                </w14:textFill>
              </w:rPr>
              <w:t>1</w:t>
            </w:r>
            <w:r>
              <w:rPr>
                <w:color w:val="000000" w:themeColor="text1"/>
                <w:sz w:val="21"/>
                <w:szCs w:val="20"/>
                <w14:textFill>
                  <w14:solidFill>
                    <w14:schemeClr w14:val="tx1"/>
                  </w14:solidFill>
                </w14:textFill>
              </w:rPr>
              <w:t>0</w:t>
            </w:r>
            <w:bookmarkEnd w:id="241"/>
            <w:bookmarkEnd w:id="242"/>
          </w:p>
        </w:tc>
        <w:tc>
          <w:tcPr>
            <w:tcW w:w="1087" w:type="pct"/>
            <w:vAlign w:val="center"/>
          </w:tcPr>
          <w:p w14:paraId="2F959578">
            <w:pPr>
              <w:pStyle w:val="73"/>
              <w:spacing w:line="240" w:lineRule="exact"/>
              <w:rPr>
                <w:color w:val="000000" w:themeColor="text1"/>
                <w:sz w:val="21"/>
                <w:szCs w:val="20"/>
                <w14:textFill>
                  <w14:solidFill>
                    <w14:schemeClr w14:val="tx1"/>
                  </w14:solidFill>
                </w14:textFill>
              </w:rPr>
            </w:pPr>
            <w:r>
              <w:rPr>
                <w:rFonts w:hint="eastAsia" w:eastAsia="宋体"/>
                <w:color w:val="000000" w:themeColor="text1"/>
                <w:sz w:val="21"/>
                <w:lang w:val="en-US"/>
                <w14:textFill>
                  <w14:solidFill>
                    <w14:schemeClr w14:val="tx1"/>
                  </w14:solidFill>
                </w14:textFill>
              </w:rPr>
              <w:t>发烟硫酸</w:t>
            </w:r>
          </w:p>
        </w:tc>
        <w:tc>
          <w:tcPr>
            <w:tcW w:w="597" w:type="pct"/>
            <w:vAlign w:val="center"/>
          </w:tcPr>
          <w:p w14:paraId="12F78DB3">
            <w:pPr>
              <w:pStyle w:val="73"/>
              <w:spacing w:line="240" w:lineRule="exact"/>
              <w:rPr>
                <w:rFonts w:hint="eastAsia" w:eastAsia="宋体"/>
                <w:color w:val="000000" w:themeColor="text1"/>
                <w:sz w:val="21"/>
                <w:lang w:val="en-US" w:eastAsia="zh-CN"/>
                <w14:textFill>
                  <w14:solidFill>
                    <w14:schemeClr w14:val="tx1"/>
                  </w14:solidFill>
                </w14:textFill>
              </w:rPr>
            </w:pPr>
            <w:r>
              <w:rPr>
                <w:rFonts w:hint="eastAsia" w:eastAsia="宋体"/>
                <w:color w:val="000000" w:themeColor="text1"/>
                <w:sz w:val="21"/>
                <w:lang w:val="en-US" w:eastAsia="zh-CN"/>
                <w14:textFill>
                  <w14:solidFill>
                    <w14:schemeClr w14:val="tx1"/>
                  </w14:solidFill>
                </w14:textFill>
              </w:rPr>
              <w:t>第8类</w:t>
            </w:r>
          </w:p>
        </w:tc>
        <w:tc>
          <w:tcPr>
            <w:tcW w:w="597" w:type="pct"/>
            <w:vAlign w:val="center"/>
          </w:tcPr>
          <w:p w14:paraId="64CA59A3">
            <w:pPr>
              <w:pStyle w:val="73"/>
              <w:spacing w:line="240" w:lineRule="exact"/>
              <w:rPr>
                <w:color w:val="000000" w:themeColor="text1"/>
                <w:sz w:val="21"/>
                <w:szCs w:val="20"/>
                <w14:textFill>
                  <w14:solidFill>
                    <w14:schemeClr w14:val="tx1"/>
                  </w14:solidFill>
                </w14:textFill>
              </w:rPr>
            </w:pPr>
            <w:r>
              <w:rPr>
                <w:rFonts w:hint="eastAsia" w:eastAsia="宋体"/>
                <w:color w:val="000000" w:themeColor="text1"/>
                <w:sz w:val="21"/>
                <w:lang w:val="en-US"/>
                <w14:textFill>
                  <w14:solidFill>
                    <w14:schemeClr w14:val="tx1"/>
                  </w14:solidFill>
                </w14:textFill>
              </w:rPr>
              <w:t>2</w:t>
            </w:r>
          </w:p>
        </w:tc>
        <w:tc>
          <w:tcPr>
            <w:tcW w:w="471" w:type="pct"/>
            <w:vAlign w:val="center"/>
          </w:tcPr>
          <w:p w14:paraId="12879E67">
            <w:pPr>
              <w:pStyle w:val="73"/>
              <w:spacing w:line="240" w:lineRule="exact"/>
              <w:rPr>
                <w:color w:val="000000" w:themeColor="text1"/>
                <w:sz w:val="21"/>
                <w:szCs w:val="20"/>
                <w14:textFill>
                  <w14:solidFill>
                    <w14:schemeClr w14:val="tx1"/>
                  </w14:solidFill>
                </w14:textFill>
              </w:rPr>
            </w:pPr>
            <w:r>
              <w:rPr>
                <w:rFonts w:hint="eastAsia" w:eastAsia="宋体"/>
                <w:color w:val="000000" w:themeColor="text1"/>
                <w:sz w:val="21"/>
                <w:lang w:val="en-US"/>
                <w14:textFill>
                  <w14:solidFill>
                    <w14:schemeClr w14:val="tx1"/>
                  </w14:solidFill>
                </w14:textFill>
              </w:rPr>
              <w:t>卸</w:t>
            </w:r>
          </w:p>
        </w:tc>
        <w:tc>
          <w:tcPr>
            <w:tcW w:w="750" w:type="pct"/>
            <w:vAlign w:val="center"/>
          </w:tcPr>
          <w:p w14:paraId="078420DF">
            <w:pPr>
              <w:adjustRightInd w:val="0"/>
              <w:snapToGrid w:val="0"/>
              <w:spacing w:line="240" w:lineRule="auto"/>
              <w:ind w:firstLine="0" w:firstLineChars="0"/>
              <w:jc w:val="center"/>
              <w:outlineLvl w:val="0"/>
              <w:rPr>
                <w:color w:val="000000" w:themeColor="text1"/>
                <w:sz w:val="21"/>
                <w:szCs w:val="20"/>
                <w14:textFill>
                  <w14:solidFill>
                    <w14:schemeClr w14:val="tx1"/>
                  </w14:solidFill>
                </w14:textFill>
              </w:rPr>
            </w:pPr>
            <w:bookmarkStart w:id="243" w:name="_Toc216620437"/>
            <w:bookmarkStart w:id="244" w:name="_Toc216103278"/>
            <w:r>
              <w:rPr>
                <w:color w:val="000000" w:themeColor="text1"/>
                <w:sz w:val="21"/>
                <w:szCs w:val="20"/>
                <w14:textFill>
                  <w14:solidFill>
                    <w14:schemeClr w14:val="tx1"/>
                  </w14:solidFill>
                </w14:textFill>
              </w:rPr>
              <w:t>金属软管</w:t>
            </w:r>
            <w:bookmarkEnd w:id="243"/>
            <w:bookmarkEnd w:id="244"/>
          </w:p>
        </w:tc>
        <w:tc>
          <w:tcPr>
            <w:tcW w:w="655" w:type="pct"/>
            <w:vAlign w:val="center"/>
          </w:tcPr>
          <w:p w14:paraId="6B1E9A48">
            <w:pPr>
              <w:pStyle w:val="73"/>
              <w:spacing w:line="240" w:lineRule="exact"/>
              <w:rPr>
                <w:color w:val="000000" w:themeColor="text1"/>
                <w:sz w:val="21"/>
                <w:szCs w:val="20"/>
                <w14:textFill>
                  <w14:solidFill>
                    <w14:schemeClr w14:val="tx1"/>
                  </w14:solidFill>
                </w14:textFill>
              </w:rPr>
            </w:pPr>
            <w:r>
              <w:rPr>
                <w:rFonts w:hint="eastAsia" w:eastAsia="宋体"/>
                <w:color w:val="000000" w:themeColor="text1"/>
                <w:sz w:val="21"/>
                <w:lang w:val="en-US"/>
                <w14:textFill>
                  <w14:solidFill>
                    <w14:schemeClr w14:val="tx1"/>
                  </w14:solidFill>
                </w14:textFill>
              </w:rPr>
              <w:t>是</w:t>
            </w:r>
          </w:p>
        </w:tc>
        <w:tc>
          <w:tcPr>
            <w:tcW w:w="514" w:type="pct"/>
            <w:vAlign w:val="center"/>
          </w:tcPr>
          <w:p w14:paraId="4169DEA6">
            <w:pPr>
              <w:pStyle w:val="73"/>
              <w:spacing w:line="240" w:lineRule="exact"/>
              <w:rPr>
                <w:color w:val="000000" w:themeColor="text1"/>
                <w:sz w:val="21"/>
                <w:szCs w:val="20"/>
                <w14:textFill>
                  <w14:solidFill>
                    <w14:schemeClr w14:val="tx1"/>
                  </w14:solidFill>
                </w14:textFill>
              </w:rPr>
            </w:pPr>
            <w:r>
              <w:rPr>
                <w:rFonts w:hint="eastAsia" w:eastAsia="宋体"/>
                <w:color w:val="000000" w:themeColor="text1"/>
                <w:sz w:val="21"/>
                <w:lang w:val="en-US"/>
                <w14:textFill>
                  <w14:solidFill>
                    <w14:schemeClr w14:val="tx1"/>
                  </w14:solidFill>
                </w14:textFill>
              </w:rPr>
              <w:t>是</w:t>
            </w:r>
          </w:p>
        </w:tc>
      </w:tr>
      <w:tr w14:paraId="0B7E670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454" w:hRule="atLeast"/>
          <w:jc w:val="center"/>
        </w:trPr>
        <w:tc>
          <w:tcPr>
            <w:tcW w:w="325" w:type="pct"/>
            <w:vAlign w:val="center"/>
          </w:tcPr>
          <w:p w14:paraId="4293D001">
            <w:pPr>
              <w:adjustRightInd w:val="0"/>
              <w:snapToGrid w:val="0"/>
              <w:spacing w:line="240" w:lineRule="auto"/>
              <w:ind w:firstLine="0" w:firstLineChars="0"/>
              <w:jc w:val="center"/>
              <w:outlineLvl w:val="0"/>
              <w:rPr>
                <w:color w:val="000000" w:themeColor="text1"/>
                <w:sz w:val="21"/>
                <w:szCs w:val="20"/>
                <w14:textFill>
                  <w14:solidFill>
                    <w14:schemeClr w14:val="tx1"/>
                  </w14:solidFill>
                </w14:textFill>
              </w:rPr>
            </w:pPr>
            <w:bookmarkStart w:id="245" w:name="_Toc216620440"/>
            <w:bookmarkStart w:id="246" w:name="_Toc216103281"/>
            <w:r>
              <w:rPr>
                <w:rFonts w:hint="eastAsia"/>
                <w:color w:val="000000" w:themeColor="text1"/>
                <w:sz w:val="21"/>
                <w:szCs w:val="20"/>
                <w14:textFill>
                  <w14:solidFill>
                    <w14:schemeClr w14:val="tx1"/>
                  </w14:solidFill>
                </w14:textFill>
              </w:rPr>
              <w:t>1</w:t>
            </w:r>
            <w:r>
              <w:rPr>
                <w:color w:val="000000" w:themeColor="text1"/>
                <w:sz w:val="21"/>
                <w:szCs w:val="20"/>
                <w14:textFill>
                  <w14:solidFill>
                    <w14:schemeClr w14:val="tx1"/>
                  </w14:solidFill>
                </w14:textFill>
              </w:rPr>
              <w:t>1</w:t>
            </w:r>
            <w:bookmarkEnd w:id="245"/>
            <w:bookmarkEnd w:id="246"/>
          </w:p>
        </w:tc>
        <w:tc>
          <w:tcPr>
            <w:tcW w:w="1087" w:type="pct"/>
            <w:vAlign w:val="center"/>
          </w:tcPr>
          <w:p w14:paraId="300085B1">
            <w:pPr>
              <w:pStyle w:val="73"/>
              <w:spacing w:line="240" w:lineRule="exact"/>
              <w:rPr>
                <w:rFonts w:eastAsia="宋体"/>
                <w:color w:val="000000" w:themeColor="text1"/>
                <w:sz w:val="21"/>
                <w:szCs w:val="20"/>
                <w14:textFill>
                  <w14:solidFill>
                    <w14:schemeClr w14:val="tx1"/>
                  </w14:solidFill>
                </w14:textFill>
              </w:rPr>
            </w:pPr>
            <w:r>
              <w:rPr>
                <w:rFonts w:hint="eastAsia" w:eastAsia="宋体"/>
                <w:color w:val="000000" w:themeColor="text1"/>
                <w:sz w:val="21"/>
                <w:lang w:val="en-US"/>
                <w14:textFill>
                  <w14:solidFill>
                    <w14:schemeClr w14:val="tx1"/>
                  </w14:solidFill>
                </w14:textFill>
              </w:rPr>
              <w:t>硫酸</w:t>
            </w:r>
          </w:p>
        </w:tc>
        <w:tc>
          <w:tcPr>
            <w:tcW w:w="597" w:type="pct"/>
            <w:vAlign w:val="center"/>
          </w:tcPr>
          <w:p w14:paraId="53FF1792">
            <w:pPr>
              <w:pStyle w:val="73"/>
              <w:spacing w:line="240" w:lineRule="exact"/>
              <w:rPr>
                <w:rFonts w:hint="eastAsia" w:eastAsia="宋体"/>
                <w:color w:val="000000" w:themeColor="text1"/>
                <w:sz w:val="21"/>
                <w:lang w:val="en-US" w:eastAsia="zh-CN"/>
                <w14:textFill>
                  <w14:solidFill>
                    <w14:schemeClr w14:val="tx1"/>
                  </w14:solidFill>
                </w14:textFill>
              </w:rPr>
            </w:pPr>
            <w:r>
              <w:rPr>
                <w:rFonts w:hint="eastAsia" w:eastAsia="宋体"/>
                <w:color w:val="000000" w:themeColor="text1"/>
                <w:sz w:val="21"/>
                <w:lang w:val="en-US" w:eastAsia="zh-CN"/>
                <w14:textFill>
                  <w14:solidFill>
                    <w14:schemeClr w14:val="tx1"/>
                  </w14:solidFill>
                </w14:textFill>
              </w:rPr>
              <w:t>第8类</w:t>
            </w:r>
          </w:p>
        </w:tc>
        <w:tc>
          <w:tcPr>
            <w:tcW w:w="597" w:type="pct"/>
            <w:vAlign w:val="center"/>
          </w:tcPr>
          <w:p w14:paraId="6A0EB9FD">
            <w:pPr>
              <w:pStyle w:val="73"/>
              <w:spacing w:line="240" w:lineRule="exact"/>
              <w:rPr>
                <w:color w:val="000000" w:themeColor="text1"/>
                <w:sz w:val="21"/>
                <w:szCs w:val="20"/>
                <w14:textFill>
                  <w14:solidFill>
                    <w14:schemeClr w14:val="tx1"/>
                  </w14:solidFill>
                </w14:textFill>
              </w:rPr>
            </w:pPr>
            <w:r>
              <w:rPr>
                <w:rFonts w:hint="eastAsia" w:eastAsia="宋体"/>
                <w:color w:val="000000" w:themeColor="text1"/>
                <w:sz w:val="21"/>
                <w:lang w:val="en-US"/>
                <w14:textFill>
                  <w14:solidFill>
                    <w14:schemeClr w14:val="tx1"/>
                  </w14:solidFill>
                </w14:textFill>
              </w:rPr>
              <w:t>2</w:t>
            </w:r>
          </w:p>
        </w:tc>
        <w:tc>
          <w:tcPr>
            <w:tcW w:w="471" w:type="pct"/>
            <w:vAlign w:val="center"/>
          </w:tcPr>
          <w:p w14:paraId="53CA8B53">
            <w:pPr>
              <w:pStyle w:val="73"/>
              <w:spacing w:line="240" w:lineRule="exact"/>
              <w:rPr>
                <w:color w:val="000000" w:themeColor="text1"/>
                <w:sz w:val="21"/>
                <w:szCs w:val="20"/>
                <w14:textFill>
                  <w14:solidFill>
                    <w14:schemeClr w14:val="tx1"/>
                  </w14:solidFill>
                </w14:textFill>
              </w:rPr>
            </w:pPr>
            <w:r>
              <w:rPr>
                <w:rFonts w:hint="eastAsia" w:eastAsia="宋体"/>
                <w:color w:val="000000" w:themeColor="text1"/>
                <w:sz w:val="21"/>
                <w:lang w:val="en-US"/>
                <w14:textFill>
                  <w14:solidFill>
                    <w14:schemeClr w14:val="tx1"/>
                  </w14:solidFill>
                </w14:textFill>
              </w:rPr>
              <w:t>卸</w:t>
            </w:r>
          </w:p>
        </w:tc>
        <w:tc>
          <w:tcPr>
            <w:tcW w:w="750" w:type="pct"/>
            <w:vAlign w:val="center"/>
          </w:tcPr>
          <w:p w14:paraId="2174CEC8">
            <w:pPr>
              <w:adjustRightInd w:val="0"/>
              <w:snapToGrid w:val="0"/>
              <w:spacing w:line="240" w:lineRule="auto"/>
              <w:ind w:firstLine="0" w:firstLineChars="0"/>
              <w:jc w:val="center"/>
              <w:outlineLvl w:val="0"/>
              <w:rPr>
                <w:color w:val="000000" w:themeColor="text1"/>
                <w:sz w:val="21"/>
                <w:szCs w:val="20"/>
                <w14:textFill>
                  <w14:solidFill>
                    <w14:schemeClr w14:val="tx1"/>
                  </w14:solidFill>
                </w14:textFill>
              </w:rPr>
            </w:pPr>
            <w:bookmarkStart w:id="247" w:name="_Toc216103286"/>
            <w:bookmarkStart w:id="248" w:name="_Toc216620445"/>
            <w:r>
              <w:rPr>
                <w:color w:val="000000" w:themeColor="text1"/>
                <w:sz w:val="21"/>
                <w:szCs w:val="20"/>
                <w14:textFill>
                  <w14:solidFill>
                    <w14:schemeClr w14:val="tx1"/>
                  </w14:solidFill>
                </w14:textFill>
              </w:rPr>
              <w:t>金属软管</w:t>
            </w:r>
            <w:bookmarkEnd w:id="247"/>
            <w:bookmarkEnd w:id="248"/>
          </w:p>
        </w:tc>
        <w:tc>
          <w:tcPr>
            <w:tcW w:w="655" w:type="pct"/>
            <w:vAlign w:val="center"/>
          </w:tcPr>
          <w:p w14:paraId="4E52AE36">
            <w:pPr>
              <w:pStyle w:val="73"/>
              <w:spacing w:line="240" w:lineRule="exact"/>
              <w:rPr>
                <w:color w:val="000000" w:themeColor="text1"/>
                <w:sz w:val="21"/>
                <w:szCs w:val="20"/>
                <w14:textFill>
                  <w14:solidFill>
                    <w14:schemeClr w14:val="tx1"/>
                  </w14:solidFill>
                </w14:textFill>
              </w:rPr>
            </w:pPr>
            <w:r>
              <w:rPr>
                <w:rFonts w:hint="eastAsia" w:eastAsia="宋体"/>
                <w:color w:val="000000" w:themeColor="text1"/>
                <w:sz w:val="21"/>
                <w:lang w:val="en-US"/>
                <w14:textFill>
                  <w14:solidFill>
                    <w14:schemeClr w14:val="tx1"/>
                  </w14:solidFill>
                </w14:textFill>
              </w:rPr>
              <w:t>是</w:t>
            </w:r>
          </w:p>
        </w:tc>
        <w:tc>
          <w:tcPr>
            <w:tcW w:w="514" w:type="pct"/>
            <w:vAlign w:val="center"/>
          </w:tcPr>
          <w:p w14:paraId="54E315D3">
            <w:pPr>
              <w:pStyle w:val="73"/>
              <w:spacing w:line="240" w:lineRule="exact"/>
              <w:rPr>
                <w:color w:val="000000" w:themeColor="text1"/>
                <w:sz w:val="21"/>
                <w:szCs w:val="20"/>
                <w14:textFill>
                  <w14:solidFill>
                    <w14:schemeClr w14:val="tx1"/>
                  </w14:solidFill>
                </w14:textFill>
              </w:rPr>
            </w:pPr>
            <w:r>
              <w:rPr>
                <w:rFonts w:hint="eastAsia" w:eastAsia="宋体"/>
                <w:color w:val="000000" w:themeColor="text1"/>
                <w:sz w:val="21"/>
                <w:lang w:val="en-US"/>
                <w14:textFill>
                  <w14:solidFill>
                    <w14:schemeClr w14:val="tx1"/>
                  </w14:solidFill>
                </w14:textFill>
              </w:rPr>
              <w:t>是</w:t>
            </w:r>
          </w:p>
        </w:tc>
      </w:tr>
      <w:tr w14:paraId="0CBE828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454" w:hRule="atLeast"/>
          <w:jc w:val="center"/>
        </w:trPr>
        <w:tc>
          <w:tcPr>
            <w:tcW w:w="325" w:type="pct"/>
            <w:vAlign w:val="center"/>
          </w:tcPr>
          <w:p w14:paraId="5798F877">
            <w:pPr>
              <w:adjustRightInd w:val="0"/>
              <w:snapToGrid w:val="0"/>
              <w:spacing w:line="240" w:lineRule="auto"/>
              <w:ind w:firstLine="0" w:firstLineChars="0"/>
              <w:jc w:val="center"/>
              <w:outlineLvl w:val="0"/>
              <w:rPr>
                <w:color w:val="000000" w:themeColor="text1"/>
                <w:sz w:val="21"/>
                <w:szCs w:val="20"/>
                <w14:textFill>
                  <w14:solidFill>
                    <w14:schemeClr w14:val="tx1"/>
                  </w14:solidFill>
                </w14:textFill>
              </w:rPr>
            </w:pPr>
            <w:bookmarkStart w:id="249" w:name="_Toc216103289"/>
            <w:bookmarkStart w:id="250" w:name="_Toc216620448"/>
            <w:r>
              <w:rPr>
                <w:rFonts w:hint="eastAsia"/>
                <w:color w:val="000000" w:themeColor="text1"/>
                <w:sz w:val="21"/>
                <w:szCs w:val="20"/>
                <w14:textFill>
                  <w14:solidFill>
                    <w14:schemeClr w14:val="tx1"/>
                  </w14:solidFill>
                </w14:textFill>
              </w:rPr>
              <w:t>1</w:t>
            </w:r>
            <w:r>
              <w:rPr>
                <w:color w:val="000000" w:themeColor="text1"/>
                <w:sz w:val="21"/>
                <w:szCs w:val="20"/>
                <w14:textFill>
                  <w14:solidFill>
                    <w14:schemeClr w14:val="tx1"/>
                  </w14:solidFill>
                </w14:textFill>
              </w:rPr>
              <w:t>2</w:t>
            </w:r>
            <w:bookmarkEnd w:id="249"/>
            <w:bookmarkEnd w:id="250"/>
          </w:p>
        </w:tc>
        <w:tc>
          <w:tcPr>
            <w:tcW w:w="1087" w:type="pct"/>
            <w:vAlign w:val="center"/>
          </w:tcPr>
          <w:p w14:paraId="0A6ED72E">
            <w:pPr>
              <w:pStyle w:val="73"/>
              <w:spacing w:line="240" w:lineRule="exact"/>
              <w:rPr>
                <w:color w:val="000000" w:themeColor="text1"/>
                <w:sz w:val="21"/>
                <w:szCs w:val="20"/>
                <w14:textFill>
                  <w14:solidFill>
                    <w14:schemeClr w14:val="tx1"/>
                  </w14:solidFill>
                </w14:textFill>
              </w:rPr>
            </w:pPr>
            <w:r>
              <w:rPr>
                <w:rFonts w:hint="eastAsia" w:eastAsia="宋体"/>
                <w:color w:val="000000" w:themeColor="text1"/>
                <w:sz w:val="21"/>
                <w:lang w:val="en-US"/>
                <w14:textFill>
                  <w14:solidFill>
                    <w14:schemeClr w14:val="tx1"/>
                  </w14:solidFill>
                </w14:textFill>
              </w:rPr>
              <w:t>液碱</w:t>
            </w:r>
          </w:p>
        </w:tc>
        <w:tc>
          <w:tcPr>
            <w:tcW w:w="597" w:type="pct"/>
            <w:vAlign w:val="center"/>
          </w:tcPr>
          <w:p w14:paraId="4FF7A04C">
            <w:pPr>
              <w:pStyle w:val="73"/>
              <w:spacing w:line="240" w:lineRule="exact"/>
              <w:rPr>
                <w:rFonts w:hint="default" w:eastAsia="宋体"/>
                <w:color w:val="000000" w:themeColor="text1"/>
                <w:sz w:val="21"/>
                <w:lang w:val="en-US" w:eastAsia="zh-CN"/>
                <w14:textFill>
                  <w14:solidFill>
                    <w14:schemeClr w14:val="tx1"/>
                  </w14:solidFill>
                </w14:textFill>
              </w:rPr>
            </w:pPr>
            <w:r>
              <w:rPr>
                <w:rFonts w:hint="eastAsia" w:eastAsia="宋体"/>
                <w:color w:val="000000" w:themeColor="text1"/>
                <w:sz w:val="21"/>
                <w:lang w:val="en-US" w:eastAsia="zh-CN"/>
                <w14:textFill>
                  <w14:solidFill>
                    <w14:schemeClr w14:val="tx1"/>
                  </w14:solidFill>
                </w14:textFill>
              </w:rPr>
              <w:t>第8类</w:t>
            </w:r>
          </w:p>
        </w:tc>
        <w:tc>
          <w:tcPr>
            <w:tcW w:w="597" w:type="pct"/>
            <w:vAlign w:val="center"/>
          </w:tcPr>
          <w:p w14:paraId="3C5ADD79">
            <w:pPr>
              <w:pStyle w:val="73"/>
              <w:spacing w:line="240" w:lineRule="exact"/>
              <w:rPr>
                <w:color w:val="000000" w:themeColor="text1"/>
                <w:sz w:val="21"/>
                <w:szCs w:val="20"/>
                <w14:textFill>
                  <w14:solidFill>
                    <w14:schemeClr w14:val="tx1"/>
                  </w14:solidFill>
                </w14:textFill>
              </w:rPr>
            </w:pPr>
            <w:r>
              <w:rPr>
                <w:rFonts w:hint="eastAsia" w:eastAsia="宋体"/>
                <w:color w:val="000000" w:themeColor="text1"/>
                <w:sz w:val="21"/>
                <w:lang w:val="en-US"/>
                <w14:textFill>
                  <w14:solidFill>
                    <w14:schemeClr w14:val="tx1"/>
                  </w14:solidFill>
                </w14:textFill>
              </w:rPr>
              <w:t>12</w:t>
            </w:r>
          </w:p>
        </w:tc>
        <w:tc>
          <w:tcPr>
            <w:tcW w:w="471" w:type="pct"/>
            <w:vAlign w:val="center"/>
          </w:tcPr>
          <w:p w14:paraId="713511A4">
            <w:pPr>
              <w:pStyle w:val="73"/>
              <w:spacing w:line="240" w:lineRule="exact"/>
              <w:rPr>
                <w:color w:val="000000" w:themeColor="text1"/>
                <w:sz w:val="21"/>
                <w:szCs w:val="20"/>
                <w14:textFill>
                  <w14:solidFill>
                    <w14:schemeClr w14:val="tx1"/>
                  </w14:solidFill>
                </w14:textFill>
              </w:rPr>
            </w:pPr>
            <w:r>
              <w:rPr>
                <w:rFonts w:hint="eastAsia" w:eastAsia="宋体"/>
                <w:color w:val="000000" w:themeColor="text1"/>
                <w:sz w:val="21"/>
                <w:lang w:val="en-US"/>
                <w14:textFill>
                  <w14:solidFill>
                    <w14:schemeClr w14:val="tx1"/>
                  </w14:solidFill>
                </w14:textFill>
              </w:rPr>
              <w:t>卸</w:t>
            </w:r>
          </w:p>
        </w:tc>
        <w:tc>
          <w:tcPr>
            <w:tcW w:w="750" w:type="pct"/>
            <w:vAlign w:val="center"/>
          </w:tcPr>
          <w:p w14:paraId="34B0E8C6">
            <w:pPr>
              <w:adjustRightInd w:val="0"/>
              <w:snapToGrid w:val="0"/>
              <w:spacing w:line="240" w:lineRule="auto"/>
              <w:ind w:firstLine="0" w:firstLineChars="0"/>
              <w:jc w:val="center"/>
              <w:outlineLvl w:val="0"/>
              <w:rPr>
                <w:color w:val="000000" w:themeColor="text1"/>
                <w:sz w:val="21"/>
                <w:szCs w:val="20"/>
                <w14:textFill>
                  <w14:solidFill>
                    <w14:schemeClr w14:val="tx1"/>
                  </w14:solidFill>
                </w14:textFill>
              </w:rPr>
            </w:pPr>
            <w:bookmarkStart w:id="251" w:name="_Toc216103294"/>
            <w:bookmarkStart w:id="252" w:name="_Toc216620453"/>
            <w:r>
              <w:rPr>
                <w:color w:val="000000" w:themeColor="text1"/>
                <w:sz w:val="21"/>
                <w:szCs w:val="20"/>
                <w14:textFill>
                  <w14:solidFill>
                    <w14:schemeClr w14:val="tx1"/>
                  </w14:solidFill>
                </w14:textFill>
              </w:rPr>
              <w:t>金属软管</w:t>
            </w:r>
            <w:bookmarkEnd w:id="251"/>
            <w:bookmarkEnd w:id="252"/>
          </w:p>
        </w:tc>
        <w:tc>
          <w:tcPr>
            <w:tcW w:w="655" w:type="pct"/>
            <w:vAlign w:val="center"/>
          </w:tcPr>
          <w:p w14:paraId="3C95CE5A">
            <w:pPr>
              <w:pStyle w:val="73"/>
              <w:spacing w:line="240" w:lineRule="exact"/>
              <w:rPr>
                <w:color w:val="000000" w:themeColor="text1"/>
                <w:sz w:val="21"/>
                <w:szCs w:val="20"/>
                <w14:textFill>
                  <w14:solidFill>
                    <w14:schemeClr w14:val="tx1"/>
                  </w14:solidFill>
                </w14:textFill>
              </w:rPr>
            </w:pPr>
            <w:r>
              <w:rPr>
                <w:rFonts w:hint="eastAsia" w:eastAsia="宋体"/>
                <w:color w:val="000000" w:themeColor="text1"/>
                <w:sz w:val="21"/>
                <w:lang w:val="en-US"/>
                <w14:textFill>
                  <w14:solidFill>
                    <w14:schemeClr w14:val="tx1"/>
                  </w14:solidFill>
                </w14:textFill>
              </w:rPr>
              <w:t>是</w:t>
            </w:r>
          </w:p>
        </w:tc>
        <w:tc>
          <w:tcPr>
            <w:tcW w:w="514" w:type="pct"/>
            <w:vAlign w:val="center"/>
          </w:tcPr>
          <w:p w14:paraId="7D6E355D">
            <w:pPr>
              <w:pStyle w:val="73"/>
              <w:spacing w:line="240" w:lineRule="exact"/>
              <w:rPr>
                <w:color w:val="000000" w:themeColor="text1"/>
                <w:sz w:val="21"/>
                <w:szCs w:val="20"/>
                <w14:textFill>
                  <w14:solidFill>
                    <w14:schemeClr w14:val="tx1"/>
                  </w14:solidFill>
                </w14:textFill>
              </w:rPr>
            </w:pPr>
            <w:r>
              <w:rPr>
                <w:rFonts w:hint="eastAsia" w:eastAsia="宋体"/>
                <w:color w:val="000000" w:themeColor="text1"/>
                <w:sz w:val="21"/>
                <w:lang w:val="en-US"/>
                <w14:textFill>
                  <w14:solidFill>
                    <w14:schemeClr w14:val="tx1"/>
                  </w14:solidFill>
                </w14:textFill>
              </w:rPr>
              <w:t>是</w:t>
            </w:r>
          </w:p>
        </w:tc>
      </w:tr>
    </w:tbl>
    <w:p w14:paraId="0EEF53A3">
      <w:pPr>
        <w:ind w:firstLine="480"/>
        <w:rPr>
          <w:rFonts w:hint="eastAsia"/>
          <w:b/>
          <w:bCs/>
          <w:color w:val="000000" w:themeColor="text1"/>
          <w:sz w:val="18"/>
          <w:szCs w:val="18"/>
          <w:u w:val="single"/>
          <w14:textFill>
            <w14:solidFill>
              <w14:schemeClr w14:val="tx1"/>
            </w14:solidFill>
          </w14:textFill>
        </w:rPr>
      </w:pPr>
      <w:r>
        <w:rPr>
          <w:rFonts w:hint="eastAsia"/>
          <w:b/>
          <w:bCs/>
          <w:color w:val="000000" w:themeColor="text1"/>
          <w:sz w:val="18"/>
          <w:szCs w:val="18"/>
          <w:u w:val="single"/>
          <w14:textFill>
            <w14:solidFill>
              <w14:schemeClr w14:val="tx1"/>
            </w14:solidFill>
          </w14:textFill>
        </w:rPr>
        <w:t>注:第1类:爆炸品;第2类:压缩气体;第3类:易燃液体;第4类:易燃固体;第5类:氧化物有机过氧化物</w:t>
      </w:r>
      <w:r>
        <w:rPr>
          <w:rFonts w:hint="eastAsia"/>
          <w:b/>
          <w:bCs/>
          <w:color w:val="000000" w:themeColor="text1"/>
          <w:sz w:val="18"/>
          <w:szCs w:val="18"/>
          <w:u w:val="single"/>
          <w:lang w:eastAsia="zh-CN"/>
          <w14:textFill>
            <w14:solidFill>
              <w14:schemeClr w14:val="tx1"/>
            </w14:solidFill>
          </w14:textFill>
        </w:rPr>
        <w:t>；</w:t>
      </w:r>
      <w:r>
        <w:rPr>
          <w:rFonts w:hint="eastAsia"/>
          <w:b/>
          <w:bCs/>
          <w:color w:val="000000" w:themeColor="text1"/>
          <w:sz w:val="18"/>
          <w:szCs w:val="18"/>
          <w:u w:val="single"/>
          <w14:textFill>
            <w14:solidFill>
              <w14:schemeClr w14:val="tx1"/>
            </w14:solidFill>
          </w14:textFill>
        </w:rPr>
        <w:t>第6类:有毒物质</w:t>
      </w:r>
      <w:r>
        <w:rPr>
          <w:rFonts w:hint="eastAsia"/>
          <w:b/>
          <w:bCs/>
          <w:color w:val="000000" w:themeColor="text1"/>
          <w:sz w:val="18"/>
          <w:szCs w:val="18"/>
          <w:u w:val="single"/>
          <w:lang w:eastAsia="zh-CN"/>
          <w14:textFill>
            <w14:solidFill>
              <w14:schemeClr w14:val="tx1"/>
            </w14:solidFill>
          </w14:textFill>
        </w:rPr>
        <w:t>；</w:t>
      </w:r>
      <w:r>
        <w:rPr>
          <w:rFonts w:hint="eastAsia"/>
          <w:b/>
          <w:bCs/>
          <w:color w:val="000000" w:themeColor="text1"/>
          <w:sz w:val="18"/>
          <w:szCs w:val="18"/>
          <w:u w:val="single"/>
          <w14:textFill>
            <w14:solidFill>
              <w14:schemeClr w14:val="tx1"/>
            </w14:solidFill>
          </w14:textFill>
        </w:rPr>
        <w:t>第7类:放射性物质</w:t>
      </w:r>
      <w:r>
        <w:rPr>
          <w:rFonts w:hint="eastAsia"/>
          <w:b/>
          <w:bCs/>
          <w:color w:val="000000" w:themeColor="text1"/>
          <w:sz w:val="18"/>
          <w:szCs w:val="18"/>
          <w:u w:val="single"/>
          <w:lang w:eastAsia="zh-CN"/>
          <w14:textFill>
            <w14:solidFill>
              <w14:schemeClr w14:val="tx1"/>
            </w14:solidFill>
          </w14:textFill>
        </w:rPr>
        <w:t>；</w:t>
      </w:r>
      <w:r>
        <w:rPr>
          <w:rFonts w:hint="eastAsia"/>
          <w:b/>
          <w:bCs/>
          <w:color w:val="000000" w:themeColor="text1"/>
          <w:sz w:val="18"/>
          <w:szCs w:val="18"/>
          <w:u w:val="single"/>
          <w14:textFill>
            <w14:solidFill>
              <w14:schemeClr w14:val="tx1"/>
            </w14:solidFill>
          </w14:textFill>
        </w:rPr>
        <w:t>第8类:腐品</w:t>
      </w:r>
      <w:r>
        <w:rPr>
          <w:rFonts w:hint="eastAsia"/>
          <w:b/>
          <w:bCs/>
          <w:color w:val="000000" w:themeColor="text1"/>
          <w:sz w:val="18"/>
          <w:szCs w:val="18"/>
          <w:u w:val="single"/>
          <w:lang w:eastAsia="zh-CN"/>
          <w14:textFill>
            <w14:solidFill>
              <w14:schemeClr w14:val="tx1"/>
            </w14:solidFill>
          </w14:textFill>
        </w:rPr>
        <w:t>；</w:t>
      </w:r>
      <w:r>
        <w:rPr>
          <w:rFonts w:hint="eastAsia"/>
          <w:b/>
          <w:bCs/>
          <w:color w:val="000000" w:themeColor="text1"/>
          <w:sz w:val="18"/>
          <w:szCs w:val="18"/>
          <w:u w:val="single"/>
          <w14:textFill>
            <w14:solidFill>
              <w14:schemeClr w14:val="tx1"/>
            </w14:solidFill>
          </w14:textFill>
        </w:rPr>
        <w:t>第9类:杂项</w:t>
      </w:r>
    </w:p>
    <w:p w14:paraId="1D6E8163">
      <w:pPr>
        <w:pStyle w:val="6"/>
        <w:tabs>
          <w:tab w:val="left" w:pos="561"/>
        </w:tabs>
        <w:rPr>
          <w:color w:val="000000" w:themeColor="text1"/>
          <w14:textFill>
            <w14:solidFill>
              <w14:schemeClr w14:val="tx1"/>
            </w14:solidFill>
          </w14:textFill>
        </w:rPr>
      </w:pPr>
      <w:r>
        <w:rPr>
          <w:rFonts w:hint="eastAsia"/>
          <w:color w:val="000000" w:themeColor="text1"/>
          <w14:textFill>
            <w14:solidFill>
              <w14:schemeClr w14:val="tx1"/>
            </w14:solidFill>
          </w14:textFill>
        </w:rPr>
        <w:t>设计管道尺寸</w:t>
      </w:r>
    </w:p>
    <w:p w14:paraId="1FB63BD7">
      <w:pPr>
        <w:pStyle w:val="7"/>
        <w:tabs>
          <w:tab w:val="left" w:pos="2127"/>
          <w:tab w:val="left" w:pos="2411"/>
        </w:tabs>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管道设计</w:t>
      </w:r>
      <w:r>
        <w:rPr>
          <w:color w:val="000000" w:themeColor="text1"/>
          <w:u w:val="single"/>
          <w14:textFill>
            <w14:solidFill>
              <w14:schemeClr w14:val="tx1"/>
            </w14:solidFill>
          </w14:textFill>
        </w:rPr>
        <w:t>一览表</w:t>
      </w:r>
    </w:p>
    <w:tbl>
      <w:tblPr>
        <w:tblStyle w:val="43"/>
        <w:tblW w:w="4998"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51" w:type="dxa"/>
          <w:bottom w:w="0" w:type="dxa"/>
          <w:right w:w="51" w:type="dxa"/>
        </w:tblCellMar>
      </w:tblPr>
      <w:tblGrid>
        <w:gridCol w:w="598"/>
        <w:gridCol w:w="1568"/>
        <w:gridCol w:w="874"/>
        <w:gridCol w:w="1131"/>
        <w:gridCol w:w="988"/>
        <w:gridCol w:w="2280"/>
        <w:gridCol w:w="966"/>
      </w:tblGrid>
      <w:tr w14:paraId="6E751B9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454" w:hRule="atLeast"/>
          <w:tblHeader/>
          <w:jc w:val="center"/>
        </w:trPr>
        <w:tc>
          <w:tcPr>
            <w:tcW w:w="356" w:type="pct"/>
            <w:vAlign w:val="center"/>
          </w:tcPr>
          <w:p w14:paraId="07F03C89">
            <w:pPr>
              <w:adjustRightInd w:val="0"/>
              <w:snapToGrid w:val="0"/>
              <w:spacing w:line="240" w:lineRule="auto"/>
              <w:ind w:firstLine="0" w:firstLineChars="0"/>
              <w:jc w:val="center"/>
              <w:outlineLvl w:val="0"/>
              <w:rPr>
                <w:b/>
                <w:color w:val="000000" w:themeColor="text1"/>
                <w:sz w:val="21"/>
                <w:szCs w:val="20"/>
                <w:u w:val="single"/>
                <w14:textFill>
                  <w14:solidFill>
                    <w14:schemeClr w14:val="tx1"/>
                  </w14:solidFill>
                </w14:textFill>
              </w:rPr>
            </w:pPr>
            <w:r>
              <w:rPr>
                <w:b/>
                <w:color w:val="000000" w:themeColor="text1"/>
                <w:sz w:val="21"/>
                <w:szCs w:val="20"/>
                <w:u w:val="single"/>
                <w14:textFill>
                  <w14:solidFill>
                    <w14:schemeClr w14:val="tx1"/>
                  </w14:solidFill>
                </w14:textFill>
              </w:rPr>
              <w:t>序号</w:t>
            </w:r>
          </w:p>
        </w:tc>
        <w:tc>
          <w:tcPr>
            <w:tcW w:w="933" w:type="pct"/>
            <w:vAlign w:val="center"/>
          </w:tcPr>
          <w:p w14:paraId="3EB44D2E">
            <w:pPr>
              <w:adjustRightInd w:val="0"/>
              <w:snapToGrid w:val="0"/>
              <w:spacing w:line="240" w:lineRule="auto"/>
              <w:ind w:firstLine="0" w:firstLineChars="0"/>
              <w:jc w:val="center"/>
              <w:outlineLvl w:val="0"/>
              <w:rPr>
                <w:b/>
                <w:color w:val="000000" w:themeColor="text1"/>
                <w:sz w:val="21"/>
                <w:szCs w:val="20"/>
                <w:u w:val="single"/>
                <w14:textFill>
                  <w14:solidFill>
                    <w14:schemeClr w14:val="tx1"/>
                  </w14:solidFill>
                </w14:textFill>
              </w:rPr>
            </w:pPr>
            <w:r>
              <w:rPr>
                <w:b/>
                <w:color w:val="000000" w:themeColor="text1"/>
                <w:sz w:val="21"/>
                <w:szCs w:val="20"/>
                <w:u w:val="single"/>
                <w14:textFill>
                  <w14:solidFill>
                    <w14:schemeClr w14:val="tx1"/>
                  </w14:solidFill>
                </w14:textFill>
              </w:rPr>
              <w:t>管道号</w:t>
            </w:r>
          </w:p>
        </w:tc>
        <w:tc>
          <w:tcPr>
            <w:tcW w:w="520" w:type="pct"/>
            <w:vAlign w:val="center"/>
          </w:tcPr>
          <w:p w14:paraId="57732A0D">
            <w:pPr>
              <w:adjustRightInd w:val="0"/>
              <w:snapToGrid w:val="0"/>
              <w:spacing w:line="240" w:lineRule="auto"/>
              <w:ind w:firstLine="0" w:firstLineChars="0"/>
              <w:jc w:val="center"/>
              <w:outlineLvl w:val="0"/>
              <w:rPr>
                <w:b/>
                <w:color w:val="000000" w:themeColor="text1"/>
                <w:sz w:val="21"/>
                <w:szCs w:val="20"/>
                <w:u w:val="single"/>
                <w14:textFill>
                  <w14:solidFill>
                    <w14:schemeClr w14:val="tx1"/>
                  </w14:solidFill>
                </w14:textFill>
              </w:rPr>
            </w:pPr>
            <w:r>
              <w:rPr>
                <w:b/>
                <w:color w:val="000000" w:themeColor="text1"/>
                <w:sz w:val="21"/>
                <w:szCs w:val="20"/>
                <w:u w:val="single"/>
                <w14:textFill>
                  <w14:solidFill>
                    <w14:schemeClr w14:val="tx1"/>
                  </w14:solidFill>
                </w14:textFill>
              </w:rPr>
              <w:t>公称直径（mm）</w:t>
            </w:r>
          </w:p>
        </w:tc>
        <w:tc>
          <w:tcPr>
            <w:tcW w:w="673" w:type="pct"/>
            <w:vAlign w:val="center"/>
          </w:tcPr>
          <w:p w14:paraId="5F0881D2">
            <w:pPr>
              <w:adjustRightInd w:val="0"/>
              <w:snapToGrid w:val="0"/>
              <w:spacing w:line="240" w:lineRule="auto"/>
              <w:ind w:firstLine="0" w:firstLineChars="0"/>
              <w:jc w:val="center"/>
              <w:outlineLvl w:val="0"/>
              <w:rPr>
                <w:b/>
                <w:color w:val="000000" w:themeColor="text1"/>
                <w:sz w:val="21"/>
                <w:szCs w:val="20"/>
                <w:u w:val="single"/>
                <w14:textFill>
                  <w14:solidFill>
                    <w14:schemeClr w14:val="tx1"/>
                  </w14:solidFill>
                </w14:textFill>
              </w:rPr>
            </w:pPr>
            <w:r>
              <w:rPr>
                <w:b/>
                <w:color w:val="000000" w:themeColor="text1"/>
                <w:sz w:val="21"/>
                <w:szCs w:val="20"/>
                <w:u w:val="single"/>
                <w14:textFill>
                  <w14:solidFill>
                    <w14:schemeClr w14:val="tx1"/>
                  </w14:solidFill>
                </w14:textFill>
              </w:rPr>
              <w:t>来向</w:t>
            </w:r>
          </w:p>
        </w:tc>
        <w:tc>
          <w:tcPr>
            <w:tcW w:w="588" w:type="pct"/>
            <w:vAlign w:val="center"/>
          </w:tcPr>
          <w:p w14:paraId="21530647">
            <w:pPr>
              <w:adjustRightInd w:val="0"/>
              <w:snapToGrid w:val="0"/>
              <w:spacing w:line="240" w:lineRule="auto"/>
              <w:ind w:firstLine="0" w:firstLineChars="0"/>
              <w:jc w:val="center"/>
              <w:outlineLvl w:val="0"/>
              <w:rPr>
                <w:b/>
                <w:color w:val="000000" w:themeColor="text1"/>
                <w:sz w:val="21"/>
                <w:szCs w:val="20"/>
                <w:u w:val="single"/>
                <w14:textFill>
                  <w14:solidFill>
                    <w14:schemeClr w14:val="tx1"/>
                  </w14:solidFill>
                </w14:textFill>
              </w:rPr>
            </w:pPr>
            <w:r>
              <w:rPr>
                <w:b/>
                <w:color w:val="000000" w:themeColor="text1"/>
                <w:sz w:val="21"/>
                <w:szCs w:val="20"/>
                <w:u w:val="single"/>
                <w14:textFill>
                  <w14:solidFill>
                    <w14:schemeClr w14:val="tx1"/>
                  </w14:solidFill>
                </w14:textFill>
              </w:rPr>
              <w:t>长度（米）</w:t>
            </w:r>
          </w:p>
        </w:tc>
        <w:tc>
          <w:tcPr>
            <w:tcW w:w="1356" w:type="pct"/>
            <w:vAlign w:val="center"/>
          </w:tcPr>
          <w:p w14:paraId="2C1C5F46">
            <w:pPr>
              <w:adjustRightInd w:val="0"/>
              <w:snapToGrid w:val="0"/>
              <w:spacing w:line="240" w:lineRule="auto"/>
              <w:ind w:firstLine="0" w:firstLineChars="0"/>
              <w:jc w:val="center"/>
              <w:outlineLvl w:val="0"/>
              <w:rPr>
                <w:b/>
                <w:color w:val="000000" w:themeColor="text1"/>
                <w:sz w:val="21"/>
                <w:szCs w:val="20"/>
                <w:u w:val="single"/>
                <w14:textFill>
                  <w14:solidFill>
                    <w14:schemeClr w14:val="tx1"/>
                  </w14:solidFill>
                </w14:textFill>
              </w:rPr>
            </w:pPr>
            <w:r>
              <w:rPr>
                <w:b/>
                <w:color w:val="000000" w:themeColor="text1"/>
                <w:sz w:val="21"/>
                <w:szCs w:val="20"/>
                <w:u w:val="single"/>
                <w14:textFill>
                  <w14:solidFill>
                    <w14:schemeClr w14:val="tx1"/>
                  </w14:solidFill>
                </w14:textFill>
              </w:rPr>
              <w:t>物料名称</w:t>
            </w:r>
          </w:p>
        </w:tc>
        <w:tc>
          <w:tcPr>
            <w:tcW w:w="574" w:type="pct"/>
            <w:vAlign w:val="center"/>
          </w:tcPr>
          <w:p w14:paraId="28F0D7E5">
            <w:pPr>
              <w:adjustRightInd w:val="0"/>
              <w:snapToGrid w:val="0"/>
              <w:spacing w:line="240" w:lineRule="auto"/>
              <w:ind w:firstLine="0" w:firstLineChars="0"/>
              <w:jc w:val="center"/>
              <w:outlineLvl w:val="0"/>
              <w:rPr>
                <w:b/>
                <w:color w:val="000000" w:themeColor="text1"/>
                <w:sz w:val="21"/>
                <w:szCs w:val="20"/>
                <w:u w:val="single"/>
                <w14:textFill>
                  <w14:solidFill>
                    <w14:schemeClr w14:val="tx1"/>
                  </w14:solidFill>
                </w14:textFill>
              </w:rPr>
            </w:pPr>
            <w:r>
              <w:rPr>
                <w:b/>
                <w:color w:val="000000" w:themeColor="text1"/>
                <w:sz w:val="21"/>
                <w:szCs w:val="20"/>
                <w:u w:val="single"/>
                <w14:textFill>
                  <w14:solidFill>
                    <w14:schemeClr w14:val="tx1"/>
                  </w14:solidFill>
                </w14:textFill>
              </w:rPr>
              <w:t>温度</w:t>
            </w:r>
            <w:r>
              <w:rPr>
                <w:rFonts w:hint="eastAsia"/>
                <w:b/>
                <w:color w:val="000000" w:themeColor="text1"/>
                <w:sz w:val="21"/>
                <w:szCs w:val="20"/>
                <w:u w:val="single"/>
                <w14:textFill>
                  <w14:solidFill>
                    <w14:schemeClr w14:val="tx1"/>
                  </w14:solidFill>
                </w14:textFill>
              </w:rPr>
              <w:t>（℃）</w:t>
            </w:r>
          </w:p>
        </w:tc>
      </w:tr>
      <w:tr w14:paraId="16D3C01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454" w:hRule="atLeast"/>
          <w:jc w:val="center"/>
        </w:trPr>
        <w:tc>
          <w:tcPr>
            <w:tcW w:w="356" w:type="pct"/>
            <w:vAlign w:val="center"/>
          </w:tcPr>
          <w:p w14:paraId="28AE241F">
            <w:pPr>
              <w:adjustRightInd w:val="0"/>
              <w:snapToGrid w:val="0"/>
              <w:spacing w:line="240" w:lineRule="auto"/>
              <w:ind w:firstLine="0" w:firstLineChars="0"/>
              <w:jc w:val="center"/>
              <w:outlineLvl w:val="0"/>
              <w:rPr>
                <w:color w:val="000000" w:themeColor="text1"/>
                <w:sz w:val="21"/>
                <w:szCs w:val="20"/>
                <w:u w:val="single"/>
                <w14:textFill>
                  <w14:solidFill>
                    <w14:schemeClr w14:val="tx1"/>
                  </w14:solidFill>
                </w14:textFill>
              </w:rPr>
            </w:pPr>
            <w:r>
              <w:rPr>
                <w:color w:val="000000" w:themeColor="text1"/>
                <w:sz w:val="21"/>
                <w:szCs w:val="20"/>
                <w:u w:val="single"/>
                <w14:textFill>
                  <w14:solidFill>
                    <w14:schemeClr w14:val="tx1"/>
                  </w14:solidFill>
                </w14:textFill>
              </w:rPr>
              <w:t>1</w:t>
            </w:r>
          </w:p>
        </w:tc>
        <w:tc>
          <w:tcPr>
            <w:tcW w:w="933" w:type="pct"/>
            <w:vAlign w:val="center"/>
          </w:tcPr>
          <w:p w14:paraId="1BB64166">
            <w:pPr>
              <w:pStyle w:val="73"/>
              <w:spacing w:line="240" w:lineRule="exact"/>
              <w:rPr>
                <w:rFonts w:eastAsia="宋体"/>
                <w:color w:val="000000" w:themeColor="text1"/>
                <w:sz w:val="21"/>
                <w:szCs w:val="20"/>
                <w:u w:val="single"/>
                <w:lang w:val="en-US"/>
                <w14:textFill>
                  <w14:solidFill>
                    <w14:schemeClr w14:val="tx1"/>
                  </w14:solidFill>
                </w14:textFill>
              </w:rPr>
            </w:pPr>
            <w:r>
              <w:rPr>
                <w:rFonts w:eastAsia="宋体"/>
                <w:color w:val="000000" w:themeColor="text1"/>
                <w:sz w:val="21"/>
                <w:szCs w:val="20"/>
                <w:u w:val="single"/>
                <w:lang w:val="en-US"/>
                <w14:textFill>
                  <w14:solidFill>
                    <w14:schemeClr w14:val="tx1"/>
                  </w14:solidFill>
                </w14:textFill>
              </w:rPr>
              <w:t>CAL10201</w:t>
            </w:r>
          </w:p>
        </w:tc>
        <w:tc>
          <w:tcPr>
            <w:tcW w:w="520" w:type="pct"/>
            <w:vAlign w:val="center"/>
          </w:tcPr>
          <w:p w14:paraId="613B586C">
            <w:pPr>
              <w:pStyle w:val="73"/>
              <w:spacing w:line="240" w:lineRule="exact"/>
              <w:rPr>
                <w:rFonts w:eastAsia="宋体"/>
                <w:color w:val="000000" w:themeColor="text1"/>
                <w:sz w:val="21"/>
                <w:szCs w:val="20"/>
                <w:u w:val="single"/>
                <w:lang w:val="en-US"/>
                <w14:textFill>
                  <w14:solidFill>
                    <w14:schemeClr w14:val="tx1"/>
                  </w14:solidFill>
                </w14:textFill>
              </w:rPr>
            </w:pPr>
            <w:r>
              <w:rPr>
                <w:rFonts w:eastAsia="宋体"/>
                <w:color w:val="000000" w:themeColor="text1"/>
                <w:sz w:val="21"/>
                <w:szCs w:val="20"/>
                <w:u w:val="single"/>
                <w:lang w:val="en-US"/>
                <w14:textFill>
                  <w14:solidFill>
                    <w14:schemeClr w14:val="tx1"/>
                  </w14:solidFill>
                </w14:textFill>
              </w:rPr>
              <w:t>200</w:t>
            </w:r>
          </w:p>
        </w:tc>
        <w:tc>
          <w:tcPr>
            <w:tcW w:w="673" w:type="pct"/>
            <w:vAlign w:val="center"/>
          </w:tcPr>
          <w:p w14:paraId="618BC7D9">
            <w:pPr>
              <w:pStyle w:val="73"/>
              <w:spacing w:line="240" w:lineRule="exact"/>
              <w:rPr>
                <w:rFonts w:eastAsia="宋体"/>
                <w:color w:val="000000" w:themeColor="text1"/>
                <w:sz w:val="21"/>
                <w:szCs w:val="20"/>
                <w:u w:val="single"/>
                <w:lang w:val="en-US"/>
                <w14:textFill>
                  <w14:solidFill>
                    <w14:schemeClr w14:val="tx1"/>
                  </w14:solidFill>
                </w14:textFill>
              </w:rPr>
            </w:pPr>
            <w:r>
              <w:rPr>
                <w:rFonts w:eastAsia="宋体"/>
                <w:color w:val="000000" w:themeColor="text1"/>
                <w:sz w:val="21"/>
                <w:szCs w:val="20"/>
                <w:u w:val="single"/>
                <w:lang w:val="en-US"/>
                <w14:textFill>
                  <w14:solidFill>
                    <w14:schemeClr w14:val="tx1"/>
                  </w14:solidFill>
                </w14:textFill>
              </w:rPr>
              <w:t>船舶</w:t>
            </w:r>
          </w:p>
        </w:tc>
        <w:tc>
          <w:tcPr>
            <w:tcW w:w="588" w:type="pct"/>
            <w:vAlign w:val="center"/>
          </w:tcPr>
          <w:p w14:paraId="367C1DD9">
            <w:pPr>
              <w:adjustRightInd w:val="0"/>
              <w:snapToGrid w:val="0"/>
              <w:spacing w:line="240" w:lineRule="auto"/>
              <w:ind w:firstLine="0" w:firstLineChars="0"/>
              <w:jc w:val="center"/>
              <w:outlineLvl w:val="0"/>
              <w:rPr>
                <w:color w:val="000000" w:themeColor="text1"/>
                <w:sz w:val="21"/>
                <w:szCs w:val="20"/>
                <w:u w:val="single"/>
                <w14:textFill>
                  <w14:solidFill>
                    <w14:schemeClr w14:val="tx1"/>
                  </w14:solidFill>
                </w14:textFill>
              </w:rPr>
            </w:pPr>
            <w:r>
              <w:rPr>
                <w:color w:val="000000" w:themeColor="text1"/>
                <w:sz w:val="21"/>
                <w:szCs w:val="20"/>
                <w:u w:val="single"/>
                <w14:textFill>
                  <w14:solidFill>
                    <w14:schemeClr w14:val="tx1"/>
                  </w14:solidFill>
                </w14:textFill>
              </w:rPr>
              <w:t>约</w:t>
            </w:r>
            <w:r>
              <w:rPr>
                <w:rFonts w:hint="eastAsia"/>
                <w:color w:val="000000" w:themeColor="text1"/>
                <w:sz w:val="21"/>
                <w:szCs w:val="20"/>
                <w:u w:val="single"/>
                <w14:textFill>
                  <w14:solidFill>
                    <w14:schemeClr w14:val="tx1"/>
                  </w14:solidFill>
                </w14:textFill>
              </w:rPr>
              <w:t>100</w:t>
            </w:r>
          </w:p>
        </w:tc>
        <w:tc>
          <w:tcPr>
            <w:tcW w:w="1356" w:type="pct"/>
            <w:vAlign w:val="center"/>
          </w:tcPr>
          <w:p w14:paraId="76B6810A">
            <w:pPr>
              <w:pStyle w:val="73"/>
              <w:spacing w:line="240" w:lineRule="exact"/>
              <w:rPr>
                <w:rFonts w:eastAsia="宋体"/>
                <w:color w:val="000000" w:themeColor="text1"/>
                <w:sz w:val="21"/>
                <w:szCs w:val="20"/>
                <w:u w:val="single"/>
                <w:lang w:val="en-US"/>
                <w14:textFill>
                  <w14:solidFill>
                    <w14:schemeClr w14:val="tx1"/>
                  </w14:solidFill>
                </w14:textFill>
              </w:rPr>
            </w:pPr>
            <w:r>
              <w:rPr>
                <w:rFonts w:hint="eastAsia" w:eastAsia="宋体"/>
                <w:color w:val="000000" w:themeColor="text1"/>
                <w:sz w:val="21"/>
                <w:szCs w:val="20"/>
                <w:u w:val="single"/>
                <w:lang w:val="en-US"/>
                <w14:textFill>
                  <w14:solidFill>
                    <w14:schemeClr w14:val="tx1"/>
                  </w14:solidFill>
                </w14:textFill>
              </w:rPr>
              <w:t>液碱</w:t>
            </w:r>
          </w:p>
        </w:tc>
        <w:tc>
          <w:tcPr>
            <w:tcW w:w="574" w:type="pct"/>
            <w:vAlign w:val="center"/>
          </w:tcPr>
          <w:p w14:paraId="3BF98745">
            <w:pPr>
              <w:pStyle w:val="73"/>
              <w:spacing w:line="240" w:lineRule="exact"/>
              <w:rPr>
                <w:rFonts w:eastAsia="宋体"/>
                <w:color w:val="000000" w:themeColor="text1"/>
                <w:sz w:val="21"/>
                <w:szCs w:val="20"/>
                <w:u w:val="single"/>
                <w:lang w:val="en-US"/>
                <w14:textFill>
                  <w14:solidFill>
                    <w14:schemeClr w14:val="tx1"/>
                  </w14:solidFill>
                </w14:textFill>
              </w:rPr>
            </w:pPr>
            <w:r>
              <w:rPr>
                <w:rFonts w:hint="eastAsia" w:eastAsia="宋体"/>
                <w:color w:val="000000" w:themeColor="text1"/>
                <w:sz w:val="21"/>
                <w:szCs w:val="20"/>
                <w:u w:val="single"/>
                <w:lang w:val="en-US"/>
                <w14:textFill>
                  <w14:solidFill>
                    <w14:schemeClr w14:val="tx1"/>
                  </w14:solidFill>
                </w14:textFill>
              </w:rPr>
              <w:t>30</w:t>
            </w:r>
          </w:p>
        </w:tc>
      </w:tr>
      <w:tr w14:paraId="31AEFA8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454" w:hRule="atLeast"/>
          <w:jc w:val="center"/>
        </w:trPr>
        <w:tc>
          <w:tcPr>
            <w:tcW w:w="356" w:type="pct"/>
            <w:vAlign w:val="center"/>
          </w:tcPr>
          <w:p w14:paraId="09235DA8">
            <w:pPr>
              <w:adjustRightInd w:val="0"/>
              <w:snapToGrid w:val="0"/>
              <w:spacing w:line="240" w:lineRule="auto"/>
              <w:ind w:firstLine="0" w:firstLineChars="0"/>
              <w:jc w:val="center"/>
              <w:outlineLvl w:val="0"/>
              <w:rPr>
                <w:color w:val="000000" w:themeColor="text1"/>
                <w:sz w:val="21"/>
                <w:szCs w:val="20"/>
                <w:u w:val="single"/>
                <w14:textFill>
                  <w14:solidFill>
                    <w14:schemeClr w14:val="tx1"/>
                  </w14:solidFill>
                </w14:textFill>
              </w:rPr>
            </w:pPr>
            <w:r>
              <w:rPr>
                <w:rFonts w:hint="eastAsia"/>
                <w:color w:val="000000" w:themeColor="text1"/>
                <w:sz w:val="21"/>
                <w:szCs w:val="20"/>
                <w:u w:val="single"/>
                <w14:textFill>
                  <w14:solidFill>
                    <w14:schemeClr w14:val="tx1"/>
                  </w14:solidFill>
                </w14:textFill>
              </w:rPr>
              <w:t>2</w:t>
            </w:r>
          </w:p>
        </w:tc>
        <w:tc>
          <w:tcPr>
            <w:tcW w:w="933" w:type="pct"/>
            <w:vAlign w:val="center"/>
          </w:tcPr>
          <w:p w14:paraId="1FB1B2EA">
            <w:pPr>
              <w:pStyle w:val="73"/>
              <w:spacing w:line="240" w:lineRule="exact"/>
              <w:rPr>
                <w:rFonts w:eastAsia="宋体"/>
                <w:color w:val="000000" w:themeColor="text1"/>
                <w:sz w:val="21"/>
                <w:szCs w:val="20"/>
                <w:u w:val="single"/>
                <w:lang w:val="en-US"/>
                <w14:textFill>
                  <w14:solidFill>
                    <w14:schemeClr w14:val="tx1"/>
                  </w14:solidFill>
                </w14:textFill>
              </w:rPr>
            </w:pPr>
            <w:r>
              <w:rPr>
                <w:rFonts w:eastAsia="宋体"/>
                <w:color w:val="000000" w:themeColor="text1"/>
                <w:sz w:val="21"/>
                <w:szCs w:val="20"/>
                <w:u w:val="single"/>
                <w:lang w:val="en-US"/>
                <w14:textFill>
                  <w14:solidFill>
                    <w14:schemeClr w14:val="tx1"/>
                  </w14:solidFill>
                </w14:textFill>
              </w:rPr>
              <w:t>CAL1020</w:t>
            </w:r>
            <w:r>
              <w:rPr>
                <w:rFonts w:hint="eastAsia" w:eastAsia="宋体"/>
                <w:color w:val="000000" w:themeColor="text1"/>
                <w:sz w:val="21"/>
                <w:szCs w:val="20"/>
                <w:u w:val="single"/>
                <w:lang w:val="en-US"/>
                <w14:textFill>
                  <w14:solidFill>
                    <w14:schemeClr w14:val="tx1"/>
                  </w14:solidFill>
                </w14:textFill>
              </w:rPr>
              <w:t>2</w:t>
            </w:r>
          </w:p>
        </w:tc>
        <w:tc>
          <w:tcPr>
            <w:tcW w:w="520" w:type="pct"/>
            <w:vAlign w:val="center"/>
          </w:tcPr>
          <w:p w14:paraId="57910AF5">
            <w:pPr>
              <w:pStyle w:val="73"/>
              <w:spacing w:line="240" w:lineRule="exact"/>
              <w:rPr>
                <w:rFonts w:eastAsia="宋体"/>
                <w:color w:val="000000" w:themeColor="text1"/>
                <w:sz w:val="21"/>
                <w:szCs w:val="20"/>
                <w:u w:val="single"/>
                <w:lang w:val="en-US"/>
                <w14:textFill>
                  <w14:solidFill>
                    <w14:schemeClr w14:val="tx1"/>
                  </w14:solidFill>
                </w14:textFill>
              </w:rPr>
            </w:pPr>
            <w:r>
              <w:rPr>
                <w:rFonts w:eastAsia="宋体"/>
                <w:color w:val="000000" w:themeColor="text1"/>
                <w:sz w:val="21"/>
                <w:szCs w:val="20"/>
                <w:u w:val="single"/>
                <w:lang w:val="en-US"/>
                <w14:textFill>
                  <w14:solidFill>
                    <w14:schemeClr w14:val="tx1"/>
                  </w14:solidFill>
                </w14:textFill>
              </w:rPr>
              <w:t>200</w:t>
            </w:r>
          </w:p>
        </w:tc>
        <w:tc>
          <w:tcPr>
            <w:tcW w:w="673" w:type="pct"/>
            <w:vAlign w:val="center"/>
          </w:tcPr>
          <w:p w14:paraId="1B798068">
            <w:pPr>
              <w:pStyle w:val="73"/>
              <w:spacing w:line="240" w:lineRule="exact"/>
              <w:rPr>
                <w:rFonts w:eastAsia="宋体"/>
                <w:color w:val="000000" w:themeColor="text1"/>
                <w:sz w:val="21"/>
                <w:szCs w:val="20"/>
                <w:u w:val="single"/>
                <w:lang w:val="en-US"/>
                <w14:textFill>
                  <w14:solidFill>
                    <w14:schemeClr w14:val="tx1"/>
                  </w14:solidFill>
                </w14:textFill>
              </w:rPr>
            </w:pPr>
            <w:r>
              <w:rPr>
                <w:rFonts w:eastAsia="宋体"/>
                <w:color w:val="000000" w:themeColor="text1"/>
                <w:sz w:val="21"/>
                <w:szCs w:val="20"/>
                <w:u w:val="single"/>
                <w:lang w:val="en-US"/>
                <w14:textFill>
                  <w14:solidFill>
                    <w14:schemeClr w14:val="tx1"/>
                  </w14:solidFill>
                </w14:textFill>
              </w:rPr>
              <w:t>船舶</w:t>
            </w:r>
          </w:p>
        </w:tc>
        <w:tc>
          <w:tcPr>
            <w:tcW w:w="588" w:type="pct"/>
            <w:vAlign w:val="center"/>
          </w:tcPr>
          <w:p w14:paraId="4C088BE8">
            <w:pPr>
              <w:adjustRightInd w:val="0"/>
              <w:snapToGrid w:val="0"/>
              <w:spacing w:line="240" w:lineRule="auto"/>
              <w:ind w:firstLine="0" w:firstLineChars="0"/>
              <w:jc w:val="center"/>
              <w:outlineLvl w:val="0"/>
              <w:rPr>
                <w:color w:val="000000" w:themeColor="text1"/>
                <w:sz w:val="21"/>
                <w:szCs w:val="20"/>
                <w:u w:val="single"/>
                <w14:textFill>
                  <w14:solidFill>
                    <w14:schemeClr w14:val="tx1"/>
                  </w14:solidFill>
                </w14:textFill>
              </w:rPr>
            </w:pPr>
            <w:r>
              <w:rPr>
                <w:color w:val="000000" w:themeColor="text1"/>
                <w:sz w:val="21"/>
                <w:szCs w:val="20"/>
                <w:u w:val="single"/>
                <w14:textFill>
                  <w14:solidFill>
                    <w14:schemeClr w14:val="tx1"/>
                  </w14:solidFill>
                </w14:textFill>
              </w:rPr>
              <w:t>约</w:t>
            </w:r>
            <w:r>
              <w:rPr>
                <w:rFonts w:hint="eastAsia"/>
                <w:color w:val="000000" w:themeColor="text1"/>
                <w:sz w:val="21"/>
                <w:szCs w:val="20"/>
                <w:u w:val="single"/>
                <w14:textFill>
                  <w14:solidFill>
                    <w14:schemeClr w14:val="tx1"/>
                  </w14:solidFill>
                </w14:textFill>
              </w:rPr>
              <w:t>100</w:t>
            </w:r>
          </w:p>
        </w:tc>
        <w:tc>
          <w:tcPr>
            <w:tcW w:w="1356" w:type="pct"/>
            <w:vAlign w:val="center"/>
          </w:tcPr>
          <w:p w14:paraId="4CE6B6C1">
            <w:pPr>
              <w:pStyle w:val="73"/>
              <w:spacing w:line="240" w:lineRule="exact"/>
              <w:rPr>
                <w:rFonts w:eastAsia="宋体"/>
                <w:color w:val="000000" w:themeColor="text1"/>
                <w:sz w:val="21"/>
                <w:szCs w:val="20"/>
                <w:u w:val="single"/>
                <w:lang w:val="en-US"/>
                <w14:textFill>
                  <w14:solidFill>
                    <w14:schemeClr w14:val="tx1"/>
                  </w14:solidFill>
                </w14:textFill>
              </w:rPr>
            </w:pPr>
            <w:r>
              <w:rPr>
                <w:rFonts w:hint="eastAsia" w:eastAsia="宋体"/>
                <w:color w:val="000000" w:themeColor="text1"/>
                <w:sz w:val="21"/>
                <w:szCs w:val="20"/>
                <w:u w:val="single"/>
                <w:lang w:val="en-US"/>
                <w14:textFill>
                  <w14:solidFill>
                    <w14:schemeClr w14:val="tx1"/>
                  </w14:solidFill>
                </w14:textFill>
              </w:rPr>
              <w:t>液硫</w:t>
            </w:r>
          </w:p>
        </w:tc>
        <w:tc>
          <w:tcPr>
            <w:tcW w:w="574" w:type="pct"/>
            <w:vAlign w:val="center"/>
          </w:tcPr>
          <w:p w14:paraId="221B09E6">
            <w:pPr>
              <w:pStyle w:val="73"/>
              <w:spacing w:line="240" w:lineRule="exact"/>
              <w:rPr>
                <w:rFonts w:eastAsia="宋体"/>
                <w:color w:val="000000" w:themeColor="text1"/>
                <w:sz w:val="21"/>
                <w:szCs w:val="20"/>
                <w:u w:val="single"/>
                <w:lang w:val="en-US"/>
                <w14:textFill>
                  <w14:solidFill>
                    <w14:schemeClr w14:val="tx1"/>
                  </w14:solidFill>
                </w14:textFill>
              </w:rPr>
            </w:pPr>
            <w:r>
              <w:rPr>
                <w:rFonts w:hint="eastAsia" w:eastAsia="宋体"/>
                <w:color w:val="000000" w:themeColor="text1"/>
                <w:sz w:val="21"/>
                <w:szCs w:val="20"/>
                <w:u w:val="single"/>
                <w:lang w:val="en-US"/>
                <w14:textFill>
                  <w14:solidFill>
                    <w14:schemeClr w14:val="tx1"/>
                  </w14:solidFill>
                </w14:textFill>
              </w:rPr>
              <w:t>135-145</w:t>
            </w:r>
          </w:p>
        </w:tc>
      </w:tr>
      <w:tr w14:paraId="69F49F2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454" w:hRule="atLeast"/>
          <w:jc w:val="center"/>
        </w:trPr>
        <w:tc>
          <w:tcPr>
            <w:tcW w:w="356" w:type="pct"/>
            <w:vAlign w:val="center"/>
          </w:tcPr>
          <w:p w14:paraId="401F8118">
            <w:pPr>
              <w:adjustRightInd w:val="0"/>
              <w:snapToGrid w:val="0"/>
              <w:spacing w:line="240" w:lineRule="auto"/>
              <w:ind w:firstLine="0" w:firstLineChars="0"/>
              <w:jc w:val="center"/>
              <w:outlineLvl w:val="0"/>
              <w:rPr>
                <w:color w:val="000000" w:themeColor="text1"/>
                <w:sz w:val="21"/>
                <w:szCs w:val="20"/>
                <w:u w:val="single"/>
                <w14:textFill>
                  <w14:solidFill>
                    <w14:schemeClr w14:val="tx1"/>
                  </w14:solidFill>
                </w14:textFill>
              </w:rPr>
            </w:pPr>
            <w:r>
              <w:rPr>
                <w:rFonts w:hint="eastAsia"/>
                <w:color w:val="000000" w:themeColor="text1"/>
                <w:sz w:val="21"/>
                <w:szCs w:val="20"/>
                <w:u w:val="single"/>
                <w14:textFill>
                  <w14:solidFill>
                    <w14:schemeClr w14:val="tx1"/>
                  </w14:solidFill>
                </w14:textFill>
              </w:rPr>
              <w:t>3</w:t>
            </w:r>
          </w:p>
        </w:tc>
        <w:tc>
          <w:tcPr>
            <w:tcW w:w="933" w:type="pct"/>
            <w:vAlign w:val="center"/>
          </w:tcPr>
          <w:p w14:paraId="254E4640">
            <w:pPr>
              <w:pStyle w:val="73"/>
              <w:spacing w:line="240" w:lineRule="exact"/>
              <w:rPr>
                <w:rFonts w:eastAsia="宋体"/>
                <w:color w:val="000000" w:themeColor="text1"/>
                <w:sz w:val="21"/>
                <w:szCs w:val="20"/>
                <w:u w:val="single"/>
                <w:lang w:val="en-US"/>
                <w14:textFill>
                  <w14:solidFill>
                    <w14:schemeClr w14:val="tx1"/>
                  </w14:solidFill>
                </w14:textFill>
              </w:rPr>
            </w:pPr>
            <w:r>
              <w:rPr>
                <w:rFonts w:eastAsia="宋体"/>
                <w:color w:val="000000" w:themeColor="text1"/>
                <w:sz w:val="21"/>
                <w:szCs w:val="20"/>
                <w:u w:val="single"/>
                <w:lang w:val="en-US"/>
                <w14:textFill>
                  <w14:solidFill>
                    <w14:schemeClr w14:val="tx1"/>
                  </w14:solidFill>
                </w14:textFill>
              </w:rPr>
              <w:t>CAL1020</w:t>
            </w:r>
            <w:r>
              <w:rPr>
                <w:rFonts w:hint="eastAsia" w:eastAsia="宋体"/>
                <w:color w:val="000000" w:themeColor="text1"/>
                <w:sz w:val="21"/>
                <w:szCs w:val="20"/>
                <w:u w:val="single"/>
                <w:lang w:val="en-US"/>
                <w14:textFill>
                  <w14:solidFill>
                    <w14:schemeClr w14:val="tx1"/>
                  </w14:solidFill>
                </w14:textFill>
              </w:rPr>
              <w:t>3</w:t>
            </w:r>
          </w:p>
        </w:tc>
        <w:tc>
          <w:tcPr>
            <w:tcW w:w="520" w:type="pct"/>
            <w:vAlign w:val="center"/>
          </w:tcPr>
          <w:p w14:paraId="4FF16D73">
            <w:pPr>
              <w:pStyle w:val="73"/>
              <w:spacing w:line="240" w:lineRule="exact"/>
              <w:rPr>
                <w:rFonts w:eastAsia="宋体"/>
                <w:color w:val="000000" w:themeColor="text1"/>
                <w:sz w:val="21"/>
                <w:szCs w:val="20"/>
                <w:u w:val="single"/>
                <w:lang w:val="en-US"/>
                <w14:textFill>
                  <w14:solidFill>
                    <w14:schemeClr w14:val="tx1"/>
                  </w14:solidFill>
                </w14:textFill>
              </w:rPr>
            </w:pPr>
            <w:r>
              <w:rPr>
                <w:rFonts w:eastAsia="宋体"/>
                <w:color w:val="000000" w:themeColor="text1"/>
                <w:sz w:val="21"/>
                <w:szCs w:val="20"/>
                <w:u w:val="single"/>
                <w:lang w:val="en-US"/>
                <w14:textFill>
                  <w14:solidFill>
                    <w14:schemeClr w14:val="tx1"/>
                  </w14:solidFill>
                </w14:textFill>
              </w:rPr>
              <w:t>200</w:t>
            </w:r>
          </w:p>
        </w:tc>
        <w:tc>
          <w:tcPr>
            <w:tcW w:w="673" w:type="pct"/>
            <w:vAlign w:val="center"/>
          </w:tcPr>
          <w:p w14:paraId="5F1AE023">
            <w:pPr>
              <w:pStyle w:val="73"/>
              <w:spacing w:line="240" w:lineRule="exact"/>
              <w:rPr>
                <w:rFonts w:eastAsia="宋体"/>
                <w:color w:val="000000" w:themeColor="text1"/>
                <w:sz w:val="21"/>
                <w:szCs w:val="20"/>
                <w:u w:val="single"/>
                <w:lang w:val="en-US"/>
                <w14:textFill>
                  <w14:solidFill>
                    <w14:schemeClr w14:val="tx1"/>
                  </w14:solidFill>
                </w14:textFill>
              </w:rPr>
            </w:pPr>
            <w:r>
              <w:rPr>
                <w:rFonts w:eastAsia="宋体"/>
                <w:color w:val="000000" w:themeColor="text1"/>
                <w:sz w:val="21"/>
                <w:szCs w:val="20"/>
                <w:u w:val="single"/>
                <w:lang w:val="en-US"/>
                <w14:textFill>
                  <w14:solidFill>
                    <w14:schemeClr w14:val="tx1"/>
                  </w14:solidFill>
                </w14:textFill>
              </w:rPr>
              <w:t>船舶</w:t>
            </w:r>
          </w:p>
        </w:tc>
        <w:tc>
          <w:tcPr>
            <w:tcW w:w="588" w:type="pct"/>
            <w:vAlign w:val="center"/>
          </w:tcPr>
          <w:p w14:paraId="715D094E">
            <w:pPr>
              <w:adjustRightInd w:val="0"/>
              <w:snapToGrid w:val="0"/>
              <w:spacing w:line="240" w:lineRule="auto"/>
              <w:ind w:firstLine="0" w:firstLineChars="0"/>
              <w:jc w:val="center"/>
              <w:outlineLvl w:val="0"/>
              <w:rPr>
                <w:color w:val="000000" w:themeColor="text1"/>
                <w:sz w:val="21"/>
                <w:szCs w:val="20"/>
                <w:u w:val="single"/>
                <w14:textFill>
                  <w14:solidFill>
                    <w14:schemeClr w14:val="tx1"/>
                  </w14:solidFill>
                </w14:textFill>
              </w:rPr>
            </w:pPr>
            <w:r>
              <w:rPr>
                <w:color w:val="000000" w:themeColor="text1"/>
                <w:sz w:val="21"/>
                <w:szCs w:val="20"/>
                <w:u w:val="single"/>
                <w14:textFill>
                  <w14:solidFill>
                    <w14:schemeClr w14:val="tx1"/>
                  </w14:solidFill>
                </w14:textFill>
              </w:rPr>
              <w:t>约</w:t>
            </w:r>
            <w:r>
              <w:rPr>
                <w:rFonts w:hint="eastAsia"/>
                <w:color w:val="000000" w:themeColor="text1"/>
                <w:sz w:val="21"/>
                <w:szCs w:val="20"/>
                <w:u w:val="single"/>
                <w14:textFill>
                  <w14:solidFill>
                    <w14:schemeClr w14:val="tx1"/>
                  </w14:solidFill>
                </w14:textFill>
              </w:rPr>
              <w:t>100</w:t>
            </w:r>
          </w:p>
        </w:tc>
        <w:tc>
          <w:tcPr>
            <w:tcW w:w="1356" w:type="pct"/>
            <w:vAlign w:val="center"/>
          </w:tcPr>
          <w:p w14:paraId="76E7925E">
            <w:pPr>
              <w:pStyle w:val="73"/>
              <w:spacing w:line="240" w:lineRule="exact"/>
              <w:rPr>
                <w:rFonts w:eastAsia="宋体"/>
                <w:color w:val="000000" w:themeColor="text1"/>
                <w:sz w:val="21"/>
                <w:szCs w:val="20"/>
                <w:u w:val="single"/>
                <w:lang w:val="en-US"/>
                <w14:textFill>
                  <w14:solidFill>
                    <w14:schemeClr w14:val="tx1"/>
                  </w14:solidFill>
                </w14:textFill>
              </w:rPr>
            </w:pPr>
            <w:r>
              <w:rPr>
                <w:rFonts w:hint="eastAsia" w:eastAsia="宋体"/>
                <w:color w:val="000000" w:themeColor="text1"/>
                <w:sz w:val="21"/>
                <w:szCs w:val="20"/>
                <w:u w:val="single"/>
                <w:lang w:val="en-US"/>
                <w14:textFill>
                  <w14:solidFill>
                    <w14:schemeClr w14:val="tx1"/>
                  </w14:solidFill>
                </w14:textFill>
              </w:rPr>
              <w:t>发烟硫酸、硫酸共用</w:t>
            </w:r>
          </w:p>
        </w:tc>
        <w:tc>
          <w:tcPr>
            <w:tcW w:w="574" w:type="pct"/>
            <w:vAlign w:val="center"/>
          </w:tcPr>
          <w:p w14:paraId="61E52903">
            <w:pPr>
              <w:pStyle w:val="73"/>
              <w:spacing w:line="240" w:lineRule="exact"/>
              <w:rPr>
                <w:rFonts w:eastAsia="宋体"/>
                <w:color w:val="000000" w:themeColor="text1"/>
                <w:sz w:val="21"/>
                <w:szCs w:val="20"/>
                <w:u w:val="single"/>
                <w:lang w:val="en-US"/>
                <w14:textFill>
                  <w14:solidFill>
                    <w14:schemeClr w14:val="tx1"/>
                  </w14:solidFill>
                </w14:textFill>
              </w:rPr>
            </w:pPr>
            <w:r>
              <w:rPr>
                <w:rFonts w:hint="eastAsia" w:eastAsia="宋体"/>
                <w:color w:val="000000" w:themeColor="text1"/>
                <w:sz w:val="21"/>
                <w:szCs w:val="20"/>
                <w:u w:val="single"/>
                <w:lang w:val="en-US"/>
                <w14:textFill>
                  <w14:solidFill>
                    <w14:schemeClr w14:val="tx1"/>
                  </w14:solidFill>
                </w14:textFill>
              </w:rPr>
              <w:t>30</w:t>
            </w:r>
          </w:p>
        </w:tc>
      </w:tr>
      <w:tr w14:paraId="14A945F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454" w:hRule="atLeast"/>
          <w:jc w:val="center"/>
        </w:trPr>
        <w:tc>
          <w:tcPr>
            <w:tcW w:w="356" w:type="pct"/>
            <w:vAlign w:val="center"/>
          </w:tcPr>
          <w:p w14:paraId="5B15879F">
            <w:pPr>
              <w:adjustRightInd w:val="0"/>
              <w:snapToGrid w:val="0"/>
              <w:spacing w:line="240" w:lineRule="auto"/>
              <w:ind w:firstLine="0" w:firstLineChars="0"/>
              <w:jc w:val="center"/>
              <w:outlineLvl w:val="0"/>
              <w:rPr>
                <w:color w:val="000000" w:themeColor="text1"/>
                <w:sz w:val="21"/>
                <w:szCs w:val="20"/>
                <w:u w:val="single"/>
                <w14:textFill>
                  <w14:solidFill>
                    <w14:schemeClr w14:val="tx1"/>
                  </w14:solidFill>
                </w14:textFill>
              </w:rPr>
            </w:pPr>
            <w:r>
              <w:rPr>
                <w:rFonts w:hint="eastAsia"/>
                <w:color w:val="000000" w:themeColor="text1"/>
                <w:sz w:val="21"/>
                <w:szCs w:val="20"/>
                <w:u w:val="single"/>
                <w14:textFill>
                  <w14:solidFill>
                    <w14:schemeClr w14:val="tx1"/>
                  </w14:solidFill>
                </w14:textFill>
              </w:rPr>
              <w:t>4</w:t>
            </w:r>
          </w:p>
        </w:tc>
        <w:tc>
          <w:tcPr>
            <w:tcW w:w="933" w:type="pct"/>
            <w:vAlign w:val="center"/>
          </w:tcPr>
          <w:p w14:paraId="53537274">
            <w:pPr>
              <w:pStyle w:val="73"/>
              <w:spacing w:line="240" w:lineRule="exact"/>
              <w:rPr>
                <w:rFonts w:eastAsia="宋体"/>
                <w:color w:val="000000" w:themeColor="text1"/>
                <w:sz w:val="21"/>
                <w:szCs w:val="20"/>
                <w:u w:val="single"/>
                <w:lang w:val="en-US"/>
                <w14:textFill>
                  <w14:solidFill>
                    <w14:schemeClr w14:val="tx1"/>
                  </w14:solidFill>
                </w14:textFill>
              </w:rPr>
            </w:pPr>
            <w:r>
              <w:rPr>
                <w:rFonts w:eastAsia="宋体"/>
                <w:color w:val="000000" w:themeColor="text1"/>
                <w:sz w:val="21"/>
                <w:szCs w:val="20"/>
                <w:u w:val="single"/>
                <w:lang w:val="en-US"/>
                <w14:textFill>
                  <w14:solidFill>
                    <w14:schemeClr w14:val="tx1"/>
                  </w14:solidFill>
                </w14:textFill>
              </w:rPr>
              <w:t>OIL10201</w:t>
            </w:r>
          </w:p>
        </w:tc>
        <w:tc>
          <w:tcPr>
            <w:tcW w:w="520" w:type="pct"/>
            <w:vAlign w:val="center"/>
          </w:tcPr>
          <w:p w14:paraId="18A09530">
            <w:pPr>
              <w:pStyle w:val="73"/>
              <w:spacing w:line="240" w:lineRule="exact"/>
              <w:rPr>
                <w:rFonts w:eastAsia="宋体"/>
                <w:color w:val="000000" w:themeColor="text1"/>
                <w:sz w:val="21"/>
                <w:szCs w:val="20"/>
                <w:u w:val="single"/>
                <w:lang w:val="en-US"/>
                <w14:textFill>
                  <w14:solidFill>
                    <w14:schemeClr w14:val="tx1"/>
                  </w14:solidFill>
                </w14:textFill>
              </w:rPr>
            </w:pPr>
            <w:r>
              <w:rPr>
                <w:rFonts w:eastAsia="宋体"/>
                <w:color w:val="000000" w:themeColor="text1"/>
                <w:sz w:val="21"/>
                <w:szCs w:val="20"/>
                <w:u w:val="single"/>
                <w:lang w:val="en-US"/>
                <w14:textFill>
                  <w14:solidFill>
                    <w14:schemeClr w14:val="tx1"/>
                  </w14:solidFill>
                </w14:textFill>
              </w:rPr>
              <w:t>400</w:t>
            </w:r>
          </w:p>
        </w:tc>
        <w:tc>
          <w:tcPr>
            <w:tcW w:w="673" w:type="pct"/>
            <w:vAlign w:val="center"/>
          </w:tcPr>
          <w:p w14:paraId="7D1EA711">
            <w:pPr>
              <w:pStyle w:val="73"/>
              <w:spacing w:line="240" w:lineRule="exact"/>
              <w:rPr>
                <w:rFonts w:eastAsia="宋体"/>
                <w:color w:val="000000" w:themeColor="text1"/>
                <w:sz w:val="21"/>
                <w:szCs w:val="20"/>
                <w:u w:val="single"/>
                <w:lang w:val="en-US"/>
                <w14:textFill>
                  <w14:solidFill>
                    <w14:schemeClr w14:val="tx1"/>
                  </w14:solidFill>
                </w14:textFill>
              </w:rPr>
            </w:pPr>
            <w:r>
              <w:rPr>
                <w:rFonts w:eastAsia="宋体"/>
                <w:color w:val="000000" w:themeColor="text1"/>
                <w:sz w:val="21"/>
                <w:szCs w:val="20"/>
                <w:u w:val="single"/>
                <w:lang w:val="en-US"/>
                <w14:textFill>
                  <w14:solidFill>
                    <w14:schemeClr w14:val="tx1"/>
                  </w14:solidFill>
                </w14:textFill>
              </w:rPr>
              <w:t>船舶、厂区</w:t>
            </w:r>
          </w:p>
        </w:tc>
        <w:tc>
          <w:tcPr>
            <w:tcW w:w="588" w:type="pct"/>
            <w:vAlign w:val="center"/>
          </w:tcPr>
          <w:p w14:paraId="002E21E8">
            <w:pPr>
              <w:adjustRightInd w:val="0"/>
              <w:snapToGrid w:val="0"/>
              <w:spacing w:line="240" w:lineRule="auto"/>
              <w:ind w:firstLine="0" w:firstLineChars="0"/>
              <w:jc w:val="center"/>
              <w:outlineLvl w:val="0"/>
              <w:rPr>
                <w:color w:val="000000" w:themeColor="text1"/>
                <w:sz w:val="21"/>
                <w:szCs w:val="20"/>
                <w:u w:val="single"/>
                <w14:textFill>
                  <w14:solidFill>
                    <w14:schemeClr w14:val="tx1"/>
                  </w14:solidFill>
                </w14:textFill>
              </w:rPr>
            </w:pPr>
            <w:r>
              <w:rPr>
                <w:color w:val="000000" w:themeColor="text1"/>
                <w:sz w:val="21"/>
                <w:szCs w:val="20"/>
                <w:u w:val="single"/>
                <w14:textFill>
                  <w14:solidFill>
                    <w14:schemeClr w14:val="tx1"/>
                  </w14:solidFill>
                </w14:textFill>
              </w:rPr>
              <w:t>约</w:t>
            </w:r>
            <w:r>
              <w:rPr>
                <w:rFonts w:hint="eastAsia"/>
                <w:color w:val="000000" w:themeColor="text1"/>
                <w:sz w:val="21"/>
                <w:szCs w:val="20"/>
                <w:u w:val="single"/>
                <w14:textFill>
                  <w14:solidFill>
                    <w14:schemeClr w14:val="tx1"/>
                  </w14:solidFill>
                </w14:textFill>
              </w:rPr>
              <w:t>100</w:t>
            </w:r>
          </w:p>
        </w:tc>
        <w:tc>
          <w:tcPr>
            <w:tcW w:w="1356" w:type="pct"/>
            <w:vAlign w:val="center"/>
          </w:tcPr>
          <w:p w14:paraId="34B34BDB">
            <w:pPr>
              <w:pStyle w:val="73"/>
              <w:spacing w:line="240" w:lineRule="exact"/>
              <w:rPr>
                <w:rFonts w:eastAsia="宋体"/>
                <w:color w:val="000000" w:themeColor="text1"/>
                <w:sz w:val="21"/>
                <w:szCs w:val="20"/>
                <w:u w:val="single"/>
                <w:lang w:val="en-US"/>
                <w14:textFill>
                  <w14:solidFill>
                    <w14:schemeClr w14:val="tx1"/>
                  </w14:solidFill>
                </w14:textFill>
              </w:rPr>
            </w:pPr>
            <w:r>
              <w:rPr>
                <w:rFonts w:hint="eastAsia" w:eastAsia="宋体"/>
                <w:color w:val="000000" w:themeColor="text1"/>
                <w:sz w:val="21"/>
                <w:szCs w:val="20"/>
                <w:u w:val="single"/>
                <w:lang w:val="en-US"/>
                <w14:textFill>
                  <w14:solidFill>
                    <w14:schemeClr w14:val="tx1"/>
                  </w14:solidFill>
                </w14:textFill>
              </w:rPr>
              <w:t>裂解C9、棕榈酸化油、脂肪酸甲酯、脂肪酸混合物、工业级混合油、纯生物柴油、航空煤油共用</w:t>
            </w:r>
          </w:p>
        </w:tc>
        <w:tc>
          <w:tcPr>
            <w:tcW w:w="574" w:type="pct"/>
            <w:vAlign w:val="center"/>
          </w:tcPr>
          <w:p w14:paraId="594A9263">
            <w:pPr>
              <w:pStyle w:val="73"/>
              <w:spacing w:line="240" w:lineRule="exact"/>
              <w:rPr>
                <w:rFonts w:eastAsia="宋体"/>
                <w:color w:val="000000" w:themeColor="text1"/>
                <w:sz w:val="21"/>
                <w:szCs w:val="20"/>
                <w:u w:val="single"/>
                <w:lang w:val="en-US"/>
                <w14:textFill>
                  <w14:solidFill>
                    <w14:schemeClr w14:val="tx1"/>
                  </w14:solidFill>
                </w14:textFill>
              </w:rPr>
            </w:pPr>
            <w:r>
              <w:rPr>
                <w:rFonts w:hint="eastAsia" w:eastAsia="宋体"/>
                <w:color w:val="000000" w:themeColor="text1"/>
                <w:sz w:val="21"/>
                <w:szCs w:val="20"/>
                <w:u w:val="single"/>
                <w:lang w:val="en-US"/>
                <w14:textFill>
                  <w14:solidFill>
                    <w14:schemeClr w14:val="tx1"/>
                  </w14:solidFill>
                </w14:textFill>
              </w:rPr>
              <w:t>常温</w:t>
            </w:r>
          </w:p>
        </w:tc>
      </w:tr>
      <w:tr w14:paraId="38C9C73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454" w:hRule="atLeast"/>
          <w:jc w:val="center"/>
        </w:trPr>
        <w:tc>
          <w:tcPr>
            <w:tcW w:w="356" w:type="pct"/>
            <w:vAlign w:val="center"/>
          </w:tcPr>
          <w:p w14:paraId="3BCE7235">
            <w:pPr>
              <w:adjustRightInd w:val="0"/>
              <w:snapToGrid w:val="0"/>
              <w:spacing w:line="240" w:lineRule="auto"/>
              <w:ind w:firstLine="0" w:firstLineChars="0"/>
              <w:jc w:val="center"/>
              <w:outlineLvl w:val="0"/>
              <w:rPr>
                <w:color w:val="000000" w:themeColor="text1"/>
                <w:sz w:val="21"/>
                <w:szCs w:val="20"/>
                <w:u w:val="single"/>
                <w14:textFill>
                  <w14:solidFill>
                    <w14:schemeClr w14:val="tx1"/>
                  </w14:solidFill>
                </w14:textFill>
              </w:rPr>
            </w:pPr>
            <w:r>
              <w:rPr>
                <w:rFonts w:hint="eastAsia"/>
                <w:color w:val="000000" w:themeColor="text1"/>
                <w:sz w:val="21"/>
                <w:szCs w:val="20"/>
                <w:u w:val="single"/>
                <w14:textFill>
                  <w14:solidFill>
                    <w14:schemeClr w14:val="tx1"/>
                  </w14:solidFill>
                </w14:textFill>
              </w:rPr>
              <w:t>5</w:t>
            </w:r>
          </w:p>
        </w:tc>
        <w:tc>
          <w:tcPr>
            <w:tcW w:w="933" w:type="pct"/>
            <w:vAlign w:val="center"/>
          </w:tcPr>
          <w:p w14:paraId="015ECE6A">
            <w:pPr>
              <w:pStyle w:val="73"/>
              <w:spacing w:line="240" w:lineRule="exact"/>
              <w:rPr>
                <w:rFonts w:eastAsia="宋体"/>
                <w:color w:val="000000" w:themeColor="text1"/>
                <w:sz w:val="21"/>
                <w:szCs w:val="20"/>
                <w:u w:val="single"/>
                <w:lang w:val="en-US"/>
                <w14:textFill>
                  <w14:solidFill>
                    <w14:schemeClr w14:val="tx1"/>
                  </w14:solidFill>
                </w14:textFill>
              </w:rPr>
            </w:pPr>
            <w:r>
              <w:rPr>
                <w:rFonts w:eastAsia="宋体"/>
                <w:color w:val="000000" w:themeColor="text1"/>
                <w:sz w:val="21"/>
                <w:szCs w:val="20"/>
                <w:u w:val="single"/>
                <w:lang w:val="en-US"/>
                <w14:textFill>
                  <w14:solidFill>
                    <w14:schemeClr w14:val="tx1"/>
                  </w14:solidFill>
                </w14:textFill>
              </w:rPr>
              <w:t>PL10207</w:t>
            </w:r>
          </w:p>
        </w:tc>
        <w:tc>
          <w:tcPr>
            <w:tcW w:w="520" w:type="pct"/>
            <w:vAlign w:val="center"/>
          </w:tcPr>
          <w:p w14:paraId="1278C493">
            <w:pPr>
              <w:pStyle w:val="73"/>
              <w:spacing w:line="240" w:lineRule="exact"/>
              <w:rPr>
                <w:rFonts w:eastAsia="宋体"/>
                <w:color w:val="000000" w:themeColor="text1"/>
                <w:sz w:val="21"/>
                <w:szCs w:val="20"/>
                <w:u w:val="single"/>
                <w:lang w:val="en-US"/>
                <w14:textFill>
                  <w14:solidFill>
                    <w14:schemeClr w14:val="tx1"/>
                  </w14:solidFill>
                </w14:textFill>
              </w:rPr>
            </w:pPr>
            <w:r>
              <w:rPr>
                <w:rFonts w:eastAsia="宋体"/>
                <w:color w:val="000000" w:themeColor="text1"/>
                <w:sz w:val="21"/>
                <w:szCs w:val="20"/>
                <w:u w:val="single"/>
                <w:lang w:val="en-US"/>
                <w14:textFill>
                  <w14:solidFill>
                    <w14:schemeClr w14:val="tx1"/>
                  </w14:solidFill>
                </w14:textFill>
              </w:rPr>
              <w:t>200</w:t>
            </w:r>
          </w:p>
        </w:tc>
        <w:tc>
          <w:tcPr>
            <w:tcW w:w="673" w:type="pct"/>
            <w:vAlign w:val="center"/>
          </w:tcPr>
          <w:p w14:paraId="7C963D52">
            <w:pPr>
              <w:pStyle w:val="73"/>
              <w:spacing w:line="240" w:lineRule="exact"/>
              <w:rPr>
                <w:rFonts w:eastAsia="宋体"/>
                <w:color w:val="000000" w:themeColor="text1"/>
                <w:sz w:val="21"/>
                <w:szCs w:val="20"/>
                <w:u w:val="single"/>
                <w:lang w:val="en-US"/>
                <w14:textFill>
                  <w14:solidFill>
                    <w14:schemeClr w14:val="tx1"/>
                  </w14:solidFill>
                </w14:textFill>
              </w:rPr>
            </w:pPr>
            <w:r>
              <w:rPr>
                <w:rFonts w:eastAsia="宋体"/>
                <w:color w:val="000000" w:themeColor="text1"/>
                <w:sz w:val="21"/>
                <w:szCs w:val="20"/>
                <w:u w:val="single"/>
                <w:lang w:val="en-US"/>
                <w14:textFill>
                  <w14:solidFill>
                    <w14:schemeClr w14:val="tx1"/>
                  </w14:solidFill>
                </w14:textFill>
              </w:rPr>
              <w:t>船舶</w:t>
            </w:r>
          </w:p>
        </w:tc>
        <w:tc>
          <w:tcPr>
            <w:tcW w:w="588" w:type="pct"/>
            <w:vAlign w:val="center"/>
          </w:tcPr>
          <w:p w14:paraId="13F06ACD">
            <w:pPr>
              <w:pStyle w:val="73"/>
              <w:spacing w:line="240" w:lineRule="exact"/>
              <w:rPr>
                <w:rFonts w:eastAsia="宋体"/>
                <w:color w:val="000000" w:themeColor="text1"/>
                <w:sz w:val="21"/>
                <w:szCs w:val="20"/>
                <w:u w:val="single"/>
                <w:lang w:val="en-US"/>
                <w14:textFill>
                  <w14:solidFill>
                    <w14:schemeClr w14:val="tx1"/>
                  </w14:solidFill>
                </w14:textFill>
              </w:rPr>
            </w:pPr>
            <w:r>
              <w:rPr>
                <w:color w:val="000000" w:themeColor="text1"/>
                <w:sz w:val="21"/>
                <w:szCs w:val="20"/>
                <w:u w:val="single"/>
                <w14:textFill>
                  <w14:solidFill>
                    <w14:schemeClr w14:val="tx1"/>
                  </w14:solidFill>
                </w14:textFill>
              </w:rPr>
              <w:t>约</w:t>
            </w:r>
            <w:r>
              <w:rPr>
                <w:rFonts w:hint="eastAsia"/>
                <w:color w:val="000000" w:themeColor="text1"/>
                <w:sz w:val="21"/>
                <w:szCs w:val="20"/>
                <w:u w:val="single"/>
                <w14:textFill>
                  <w14:solidFill>
                    <w14:schemeClr w14:val="tx1"/>
                  </w14:solidFill>
                </w14:textFill>
              </w:rPr>
              <w:t>100</w:t>
            </w:r>
          </w:p>
        </w:tc>
        <w:tc>
          <w:tcPr>
            <w:tcW w:w="1356" w:type="pct"/>
            <w:vAlign w:val="center"/>
          </w:tcPr>
          <w:p w14:paraId="5175D987">
            <w:pPr>
              <w:pStyle w:val="73"/>
              <w:spacing w:line="240" w:lineRule="exact"/>
              <w:rPr>
                <w:rFonts w:eastAsia="宋体"/>
                <w:color w:val="000000" w:themeColor="text1"/>
                <w:sz w:val="21"/>
                <w:szCs w:val="20"/>
                <w:u w:val="single"/>
                <w:lang w:val="en-US"/>
                <w14:textFill>
                  <w14:solidFill>
                    <w14:schemeClr w14:val="tx1"/>
                  </w14:solidFill>
                </w14:textFill>
              </w:rPr>
            </w:pPr>
            <w:r>
              <w:rPr>
                <w:rFonts w:hint="eastAsia" w:eastAsia="宋体"/>
                <w:color w:val="000000" w:themeColor="text1"/>
                <w:sz w:val="21"/>
                <w:szCs w:val="20"/>
                <w:u w:val="single"/>
                <w:lang w:val="en-US"/>
                <w14:textFill>
                  <w14:solidFill>
                    <w14:schemeClr w14:val="tx1"/>
                  </w14:solidFill>
                </w14:textFill>
              </w:rPr>
              <w:t>苯乙烯（利旧，利用现有苯的）</w:t>
            </w:r>
          </w:p>
        </w:tc>
        <w:tc>
          <w:tcPr>
            <w:tcW w:w="574" w:type="pct"/>
            <w:vAlign w:val="center"/>
          </w:tcPr>
          <w:p w14:paraId="2394A5D2">
            <w:pPr>
              <w:pStyle w:val="73"/>
              <w:spacing w:line="240" w:lineRule="exact"/>
              <w:rPr>
                <w:rFonts w:eastAsia="宋体"/>
                <w:color w:val="000000" w:themeColor="text1"/>
                <w:sz w:val="21"/>
                <w:szCs w:val="20"/>
                <w:u w:val="single"/>
                <w:lang w:val="en-US"/>
                <w14:textFill>
                  <w14:solidFill>
                    <w14:schemeClr w14:val="tx1"/>
                  </w14:solidFill>
                </w14:textFill>
              </w:rPr>
            </w:pPr>
            <w:r>
              <w:rPr>
                <w:rFonts w:hint="eastAsia" w:eastAsia="宋体"/>
                <w:color w:val="000000" w:themeColor="text1"/>
                <w:sz w:val="21"/>
                <w:szCs w:val="20"/>
                <w:u w:val="single"/>
                <w:lang w:val="en-US"/>
                <w14:textFill>
                  <w14:solidFill>
                    <w14:schemeClr w14:val="tx1"/>
                  </w14:solidFill>
                </w14:textFill>
              </w:rPr>
              <w:t>常温</w:t>
            </w:r>
          </w:p>
        </w:tc>
      </w:tr>
      <w:tr w14:paraId="4349B25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454" w:hRule="atLeast"/>
          <w:jc w:val="center"/>
        </w:trPr>
        <w:tc>
          <w:tcPr>
            <w:tcW w:w="356" w:type="pct"/>
            <w:vAlign w:val="center"/>
          </w:tcPr>
          <w:p w14:paraId="06444BDD">
            <w:pPr>
              <w:adjustRightInd w:val="0"/>
              <w:snapToGrid w:val="0"/>
              <w:spacing w:line="240" w:lineRule="auto"/>
              <w:ind w:firstLine="0" w:firstLineChars="0"/>
              <w:jc w:val="center"/>
              <w:outlineLvl w:val="0"/>
              <w:rPr>
                <w:color w:val="000000" w:themeColor="text1"/>
                <w:sz w:val="21"/>
                <w:szCs w:val="20"/>
                <w:u w:val="single"/>
                <w14:textFill>
                  <w14:solidFill>
                    <w14:schemeClr w14:val="tx1"/>
                  </w14:solidFill>
                </w14:textFill>
              </w:rPr>
            </w:pPr>
            <w:r>
              <w:rPr>
                <w:rFonts w:hint="eastAsia"/>
                <w:color w:val="000000" w:themeColor="text1"/>
                <w:sz w:val="21"/>
                <w:szCs w:val="20"/>
                <w:u w:val="single"/>
                <w14:textFill>
                  <w14:solidFill>
                    <w14:schemeClr w14:val="tx1"/>
                  </w14:solidFill>
                </w14:textFill>
              </w:rPr>
              <w:t>6</w:t>
            </w:r>
          </w:p>
        </w:tc>
        <w:tc>
          <w:tcPr>
            <w:tcW w:w="933" w:type="pct"/>
            <w:vAlign w:val="center"/>
          </w:tcPr>
          <w:p w14:paraId="1C034DC8">
            <w:pPr>
              <w:pStyle w:val="73"/>
              <w:spacing w:line="240" w:lineRule="exact"/>
              <w:rPr>
                <w:rFonts w:eastAsia="宋体"/>
                <w:color w:val="000000" w:themeColor="text1"/>
                <w:sz w:val="21"/>
                <w:szCs w:val="20"/>
                <w:u w:val="single"/>
                <w:lang w:val="en-US"/>
                <w14:textFill>
                  <w14:solidFill>
                    <w14:schemeClr w14:val="tx1"/>
                  </w14:solidFill>
                </w14:textFill>
              </w:rPr>
            </w:pPr>
            <w:r>
              <w:rPr>
                <w:rFonts w:eastAsia="宋体"/>
                <w:color w:val="000000" w:themeColor="text1"/>
                <w:sz w:val="21"/>
                <w:szCs w:val="20"/>
                <w:u w:val="single"/>
                <w:lang w:val="en-US"/>
                <w14:textFill>
                  <w14:solidFill>
                    <w14:schemeClr w14:val="tx1"/>
                  </w14:solidFill>
                </w14:textFill>
              </w:rPr>
              <w:t>VG10204</w:t>
            </w:r>
          </w:p>
        </w:tc>
        <w:tc>
          <w:tcPr>
            <w:tcW w:w="520" w:type="pct"/>
            <w:vAlign w:val="center"/>
          </w:tcPr>
          <w:p w14:paraId="7C14A9D2">
            <w:pPr>
              <w:pStyle w:val="73"/>
              <w:spacing w:line="240" w:lineRule="exact"/>
              <w:rPr>
                <w:rFonts w:eastAsia="宋体"/>
                <w:color w:val="000000" w:themeColor="text1"/>
                <w:sz w:val="21"/>
                <w:szCs w:val="20"/>
                <w:u w:val="single"/>
                <w:lang w:val="en-US"/>
                <w14:textFill>
                  <w14:solidFill>
                    <w14:schemeClr w14:val="tx1"/>
                  </w14:solidFill>
                </w14:textFill>
              </w:rPr>
            </w:pPr>
            <w:r>
              <w:rPr>
                <w:rFonts w:eastAsia="宋体"/>
                <w:color w:val="000000" w:themeColor="text1"/>
                <w:sz w:val="21"/>
                <w:szCs w:val="20"/>
                <w:u w:val="single"/>
                <w:lang w:val="en-US"/>
                <w14:textFill>
                  <w14:solidFill>
                    <w14:schemeClr w14:val="tx1"/>
                  </w14:solidFill>
                </w14:textFill>
              </w:rPr>
              <w:t>150</w:t>
            </w:r>
          </w:p>
        </w:tc>
        <w:tc>
          <w:tcPr>
            <w:tcW w:w="673" w:type="pct"/>
            <w:vAlign w:val="center"/>
          </w:tcPr>
          <w:p w14:paraId="07365688">
            <w:pPr>
              <w:pStyle w:val="73"/>
              <w:spacing w:line="240" w:lineRule="exact"/>
              <w:rPr>
                <w:rFonts w:eastAsia="宋体"/>
                <w:color w:val="000000" w:themeColor="text1"/>
                <w:sz w:val="21"/>
                <w:szCs w:val="20"/>
                <w:u w:val="single"/>
                <w:lang w:val="en-US"/>
                <w14:textFill>
                  <w14:solidFill>
                    <w14:schemeClr w14:val="tx1"/>
                  </w14:solidFill>
                </w14:textFill>
              </w:rPr>
            </w:pPr>
            <w:r>
              <w:rPr>
                <w:rFonts w:eastAsia="宋体"/>
                <w:color w:val="000000" w:themeColor="text1"/>
                <w:sz w:val="21"/>
                <w:szCs w:val="20"/>
                <w:u w:val="single"/>
                <w:lang w:val="en-US"/>
                <w14:textFill>
                  <w14:solidFill>
                    <w14:schemeClr w14:val="tx1"/>
                  </w14:solidFill>
                </w14:textFill>
              </w:rPr>
              <w:t>L-505</w:t>
            </w:r>
          </w:p>
        </w:tc>
        <w:tc>
          <w:tcPr>
            <w:tcW w:w="588" w:type="pct"/>
            <w:vAlign w:val="center"/>
          </w:tcPr>
          <w:p w14:paraId="749E626C">
            <w:pPr>
              <w:pStyle w:val="73"/>
              <w:spacing w:line="240" w:lineRule="exact"/>
              <w:rPr>
                <w:rFonts w:eastAsia="宋体"/>
                <w:color w:val="000000" w:themeColor="text1"/>
                <w:sz w:val="21"/>
                <w:szCs w:val="20"/>
                <w:u w:val="single"/>
                <w:lang w:val="en-US"/>
                <w14:textFill>
                  <w14:solidFill>
                    <w14:schemeClr w14:val="tx1"/>
                  </w14:solidFill>
                </w14:textFill>
              </w:rPr>
            </w:pPr>
            <w:r>
              <w:rPr>
                <w:rFonts w:eastAsia="宋体"/>
                <w:color w:val="000000" w:themeColor="text1"/>
                <w:sz w:val="21"/>
                <w:szCs w:val="20"/>
                <w:u w:val="single"/>
                <w:lang w:val="en-US"/>
                <w14:textFill>
                  <w14:solidFill>
                    <w14:schemeClr w14:val="tx1"/>
                  </w14:solidFill>
                </w14:textFill>
              </w:rPr>
              <w:t>X-501</w:t>
            </w:r>
          </w:p>
        </w:tc>
        <w:tc>
          <w:tcPr>
            <w:tcW w:w="1356" w:type="pct"/>
            <w:vAlign w:val="center"/>
          </w:tcPr>
          <w:p w14:paraId="7770884B">
            <w:pPr>
              <w:pStyle w:val="73"/>
              <w:spacing w:line="240" w:lineRule="exact"/>
              <w:rPr>
                <w:rFonts w:eastAsia="宋体"/>
                <w:color w:val="000000" w:themeColor="text1"/>
                <w:sz w:val="21"/>
                <w:szCs w:val="20"/>
                <w:u w:val="single"/>
                <w:lang w:val="en-US"/>
                <w14:textFill>
                  <w14:solidFill>
                    <w14:schemeClr w14:val="tx1"/>
                  </w14:solidFill>
                </w14:textFill>
              </w:rPr>
            </w:pPr>
            <w:r>
              <w:rPr>
                <w:rFonts w:hint="eastAsia" w:eastAsia="宋体"/>
                <w:color w:val="000000" w:themeColor="text1"/>
                <w:sz w:val="21"/>
                <w:szCs w:val="20"/>
                <w:u w:val="single"/>
                <w:lang w:val="en-US"/>
                <w14:textFill>
                  <w14:solidFill>
                    <w14:schemeClr w14:val="tx1"/>
                  </w14:solidFill>
                </w14:textFill>
              </w:rPr>
              <w:t>尾气（油品）</w:t>
            </w:r>
          </w:p>
          <w:p w14:paraId="2ECA2E42">
            <w:pPr>
              <w:pStyle w:val="73"/>
              <w:spacing w:line="240" w:lineRule="exact"/>
              <w:rPr>
                <w:rFonts w:eastAsia="宋体"/>
                <w:color w:val="000000" w:themeColor="text1"/>
                <w:sz w:val="21"/>
                <w:szCs w:val="20"/>
                <w:u w:val="single"/>
                <w:lang w:val="en-US"/>
                <w14:textFill>
                  <w14:solidFill>
                    <w14:schemeClr w14:val="tx1"/>
                  </w14:solidFill>
                </w14:textFill>
              </w:rPr>
            </w:pPr>
            <w:r>
              <w:rPr>
                <w:rFonts w:hint="eastAsia" w:eastAsia="宋体"/>
                <w:color w:val="000000" w:themeColor="text1"/>
                <w:sz w:val="21"/>
                <w:szCs w:val="20"/>
                <w:u w:val="single"/>
                <w:lang w:val="en-US"/>
                <w14:textFill>
                  <w14:solidFill>
                    <w14:schemeClr w14:val="tx1"/>
                  </w14:solidFill>
                </w14:textFill>
              </w:rPr>
              <w:t>依托现有</w:t>
            </w:r>
          </w:p>
        </w:tc>
        <w:tc>
          <w:tcPr>
            <w:tcW w:w="574" w:type="pct"/>
            <w:vAlign w:val="center"/>
          </w:tcPr>
          <w:p w14:paraId="7DF7F386">
            <w:pPr>
              <w:pStyle w:val="73"/>
              <w:spacing w:line="240" w:lineRule="exact"/>
              <w:rPr>
                <w:rFonts w:eastAsia="宋体"/>
                <w:color w:val="000000" w:themeColor="text1"/>
                <w:sz w:val="21"/>
                <w:szCs w:val="20"/>
                <w:u w:val="single"/>
                <w:lang w:val="en-US"/>
                <w14:textFill>
                  <w14:solidFill>
                    <w14:schemeClr w14:val="tx1"/>
                  </w14:solidFill>
                </w14:textFill>
              </w:rPr>
            </w:pPr>
            <w:r>
              <w:rPr>
                <w:rFonts w:hint="eastAsia" w:eastAsia="宋体"/>
                <w:color w:val="000000" w:themeColor="text1"/>
                <w:sz w:val="21"/>
                <w:szCs w:val="20"/>
                <w:u w:val="single"/>
                <w:lang w:val="en-US"/>
                <w14:textFill>
                  <w14:solidFill>
                    <w14:schemeClr w14:val="tx1"/>
                  </w14:solidFill>
                </w14:textFill>
              </w:rPr>
              <w:t>30</w:t>
            </w:r>
          </w:p>
        </w:tc>
      </w:tr>
    </w:tbl>
    <w:p w14:paraId="0562110A">
      <w:pPr>
        <w:pStyle w:val="6"/>
        <w:tabs>
          <w:tab w:val="left" w:pos="561"/>
        </w:tabs>
        <w:rPr>
          <w:color w:val="000000" w:themeColor="text1"/>
          <w14:textFill>
            <w14:solidFill>
              <w14:schemeClr w14:val="tx1"/>
            </w14:solidFill>
          </w14:textFill>
        </w:rPr>
      </w:pPr>
      <w:r>
        <w:rPr>
          <w:color w:val="000000" w:themeColor="text1"/>
          <w14:textFill>
            <w14:solidFill>
              <w14:schemeClr w14:val="tx1"/>
            </w14:solidFill>
          </w14:textFill>
        </w:rPr>
        <w:t>设计船型尺度</w:t>
      </w:r>
    </w:p>
    <w:p w14:paraId="545253EF">
      <w:pPr>
        <w:ind w:firstLine="480"/>
        <w:rPr>
          <w:color w:val="000000" w:themeColor="text1"/>
          <w14:textFill>
            <w14:solidFill>
              <w14:schemeClr w14:val="tx1"/>
            </w14:solidFill>
          </w14:textFill>
        </w:rPr>
      </w:pPr>
      <w:r>
        <w:rPr>
          <w:color w:val="000000" w:themeColor="text1"/>
          <w14:textFill>
            <w14:solidFill>
              <w14:schemeClr w14:val="tx1"/>
            </w14:solidFill>
          </w14:textFill>
        </w:rPr>
        <w:t>本项目设计代表船型</w:t>
      </w:r>
      <w:r>
        <w:rPr>
          <w:rFonts w:hint="eastAsia"/>
          <w:color w:val="000000" w:themeColor="text1"/>
          <w14:textFill>
            <w14:solidFill>
              <w14:schemeClr w14:val="tx1"/>
            </w14:solidFill>
          </w14:textFill>
        </w:rPr>
        <w:t>跟原有项目一致，主要</w:t>
      </w:r>
      <w:r>
        <w:rPr>
          <w:color w:val="000000" w:themeColor="text1"/>
          <w14:textFill>
            <w14:solidFill>
              <w14:schemeClr w14:val="tx1"/>
            </w14:solidFill>
          </w14:textFill>
        </w:rPr>
        <w:t>为10000DWT化学品船、5000DWT化学品船、3000DWT化学品船。</w:t>
      </w:r>
    </w:p>
    <w:p w14:paraId="035E031D">
      <w:pPr>
        <w:pStyle w:val="7"/>
        <w:rPr>
          <w:color w:val="000000" w:themeColor="text1"/>
          <w14:textFill>
            <w14:solidFill>
              <w14:schemeClr w14:val="tx1"/>
            </w14:solidFill>
          </w14:textFill>
        </w:rPr>
      </w:pPr>
      <w:r>
        <w:rPr>
          <w:color w:val="000000" w:themeColor="text1"/>
          <w14:textFill>
            <w14:solidFill>
              <w14:schemeClr w14:val="tx1"/>
            </w14:solidFill>
          </w14:textFill>
        </w:rPr>
        <w:t xml:space="preserve">  设计代表船型尺度表     单位：m</w:t>
      </w:r>
    </w:p>
    <w:tbl>
      <w:tblPr>
        <w:tblStyle w:val="43"/>
        <w:tblW w:w="8276"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678"/>
        <w:gridCol w:w="1079"/>
        <w:gridCol w:w="1379"/>
        <w:gridCol w:w="1379"/>
        <w:gridCol w:w="1382"/>
        <w:gridCol w:w="1379"/>
      </w:tblGrid>
      <w:tr w14:paraId="67E3E69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1678" w:type="dxa"/>
            <w:vMerge w:val="restart"/>
            <w:vAlign w:val="center"/>
          </w:tcPr>
          <w:p w14:paraId="726238B0">
            <w:pPr>
              <w:spacing w:line="240" w:lineRule="exact"/>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船舶吨级GT</w:t>
            </w:r>
          </w:p>
        </w:tc>
        <w:tc>
          <w:tcPr>
            <w:tcW w:w="5219" w:type="dxa"/>
            <w:gridSpan w:val="4"/>
            <w:vAlign w:val="center"/>
          </w:tcPr>
          <w:p w14:paraId="78165E85">
            <w:pPr>
              <w:spacing w:line="240" w:lineRule="exact"/>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设计船型尺度（m）</w:t>
            </w:r>
          </w:p>
        </w:tc>
        <w:tc>
          <w:tcPr>
            <w:tcW w:w="1379" w:type="dxa"/>
            <w:vMerge w:val="restart"/>
            <w:vAlign w:val="center"/>
          </w:tcPr>
          <w:p w14:paraId="03EB4C99">
            <w:pPr>
              <w:spacing w:line="240" w:lineRule="exact"/>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备注</w:t>
            </w:r>
          </w:p>
        </w:tc>
      </w:tr>
      <w:tr w14:paraId="61BF412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1678" w:type="dxa"/>
            <w:vMerge w:val="continue"/>
            <w:vAlign w:val="center"/>
          </w:tcPr>
          <w:p w14:paraId="50E0A3C6">
            <w:pPr>
              <w:spacing w:line="240" w:lineRule="exact"/>
              <w:ind w:firstLine="0" w:firstLineChars="0"/>
              <w:jc w:val="center"/>
              <w:rPr>
                <w:color w:val="000000" w:themeColor="text1"/>
                <w:sz w:val="21"/>
                <w:szCs w:val="21"/>
                <w14:textFill>
                  <w14:solidFill>
                    <w14:schemeClr w14:val="tx1"/>
                  </w14:solidFill>
                </w14:textFill>
              </w:rPr>
            </w:pPr>
          </w:p>
        </w:tc>
        <w:tc>
          <w:tcPr>
            <w:tcW w:w="1079" w:type="dxa"/>
            <w:vAlign w:val="center"/>
          </w:tcPr>
          <w:p w14:paraId="694C3ED9">
            <w:pPr>
              <w:spacing w:line="240" w:lineRule="exact"/>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总长L</w:t>
            </w:r>
          </w:p>
        </w:tc>
        <w:tc>
          <w:tcPr>
            <w:tcW w:w="1379" w:type="dxa"/>
            <w:vAlign w:val="center"/>
          </w:tcPr>
          <w:p w14:paraId="11A1778C">
            <w:pPr>
              <w:spacing w:line="240" w:lineRule="exact"/>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型宽B</w:t>
            </w:r>
          </w:p>
        </w:tc>
        <w:tc>
          <w:tcPr>
            <w:tcW w:w="1379" w:type="dxa"/>
            <w:vAlign w:val="center"/>
          </w:tcPr>
          <w:p w14:paraId="0EAE52C1">
            <w:pPr>
              <w:spacing w:line="240" w:lineRule="exact"/>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型深H</w:t>
            </w:r>
          </w:p>
        </w:tc>
        <w:tc>
          <w:tcPr>
            <w:tcW w:w="1382" w:type="dxa"/>
            <w:vAlign w:val="center"/>
          </w:tcPr>
          <w:p w14:paraId="67B88D36">
            <w:pPr>
              <w:spacing w:line="240" w:lineRule="exact"/>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满载吃水T</w:t>
            </w:r>
          </w:p>
        </w:tc>
        <w:tc>
          <w:tcPr>
            <w:tcW w:w="1379" w:type="dxa"/>
            <w:vMerge w:val="continue"/>
            <w:vAlign w:val="center"/>
          </w:tcPr>
          <w:p w14:paraId="1B63FC03">
            <w:pPr>
              <w:spacing w:line="240" w:lineRule="exact"/>
              <w:ind w:firstLine="0" w:firstLineChars="0"/>
              <w:jc w:val="center"/>
              <w:rPr>
                <w:color w:val="000000" w:themeColor="text1"/>
                <w:sz w:val="21"/>
                <w:szCs w:val="21"/>
                <w14:textFill>
                  <w14:solidFill>
                    <w14:schemeClr w14:val="tx1"/>
                  </w14:solidFill>
                </w14:textFill>
              </w:rPr>
            </w:pPr>
          </w:p>
        </w:tc>
      </w:tr>
      <w:tr w14:paraId="2C26848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1678" w:type="dxa"/>
            <w:vAlign w:val="center"/>
          </w:tcPr>
          <w:p w14:paraId="308BDE76">
            <w:pPr>
              <w:spacing w:line="240" w:lineRule="exact"/>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10000化学品船</w:t>
            </w:r>
          </w:p>
        </w:tc>
        <w:tc>
          <w:tcPr>
            <w:tcW w:w="1079" w:type="dxa"/>
            <w:vAlign w:val="center"/>
          </w:tcPr>
          <w:p w14:paraId="1DC5D825">
            <w:pPr>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127</w:t>
            </w:r>
          </w:p>
        </w:tc>
        <w:tc>
          <w:tcPr>
            <w:tcW w:w="1379" w:type="dxa"/>
            <w:vAlign w:val="center"/>
          </w:tcPr>
          <w:p w14:paraId="151963B4">
            <w:pPr>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20</w:t>
            </w:r>
          </w:p>
        </w:tc>
        <w:tc>
          <w:tcPr>
            <w:tcW w:w="1379" w:type="dxa"/>
            <w:vAlign w:val="center"/>
          </w:tcPr>
          <w:p w14:paraId="00DEE9B6">
            <w:pPr>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11</w:t>
            </w:r>
          </w:p>
        </w:tc>
        <w:tc>
          <w:tcPr>
            <w:tcW w:w="1382" w:type="dxa"/>
            <w:vAlign w:val="center"/>
          </w:tcPr>
          <w:p w14:paraId="4E5072AB">
            <w:pPr>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8.4</w:t>
            </w:r>
          </w:p>
        </w:tc>
        <w:tc>
          <w:tcPr>
            <w:tcW w:w="1379" w:type="dxa"/>
            <w:vAlign w:val="center"/>
          </w:tcPr>
          <w:p w14:paraId="36BDA7FE">
            <w:pPr>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兼顾船型</w:t>
            </w:r>
          </w:p>
        </w:tc>
      </w:tr>
      <w:tr w14:paraId="55495C2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1678" w:type="dxa"/>
            <w:vAlign w:val="center"/>
          </w:tcPr>
          <w:p w14:paraId="464ED6F7">
            <w:pPr>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5000化学品船</w:t>
            </w:r>
          </w:p>
        </w:tc>
        <w:tc>
          <w:tcPr>
            <w:tcW w:w="1079" w:type="dxa"/>
            <w:vAlign w:val="center"/>
          </w:tcPr>
          <w:p w14:paraId="30212751">
            <w:pPr>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114</w:t>
            </w:r>
          </w:p>
        </w:tc>
        <w:tc>
          <w:tcPr>
            <w:tcW w:w="1379" w:type="dxa"/>
            <w:vAlign w:val="center"/>
          </w:tcPr>
          <w:p w14:paraId="3671D702">
            <w:pPr>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17.6</w:t>
            </w:r>
          </w:p>
        </w:tc>
        <w:tc>
          <w:tcPr>
            <w:tcW w:w="1379" w:type="dxa"/>
            <w:vAlign w:val="center"/>
          </w:tcPr>
          <w:p w14:paraId="0F68C098">
            <w:pPr>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8.8</w:t>
            </w:r>
          </w:p>
        </w:tc>
        <w:tc>
          <w:tcPr>
            <w:tcW w:w="1382" w:type="dxa"/>
            <w:vAlign w:val="center"/>
          </w:tcPr>
          <w:p w14:paraId="49B30041">
            <w:pPr>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7</w:t>
            </w:r>
          </w:p>
        </w:tc>
        <w:tc>
          <w:tcPr>
            <w:tcW w:w="1379" w:type="dxa"/>
            <w:vAlign w:val="center"/>
          </w:tcPr>
          <w:p w14:paraId="2946E55C">
            <w:pPr>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兼顾船型</w:t>
            </w:r>
          </w:p>
        </w:tc>
      </w:tr>
      <w:tr w14:paraId="5D9039E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1678" w:type="dxa"/>
            <w:vAlign w:val="center"/>
          </w:tcPr>
          <w:p w14:paraId="1C51F863">
            <w:pPr>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3000化学品船</w:t>
            </w:r>
          </w:p>
        </w:tc>
        <w:tc>
          <w:tcPr>
            <w:tcW w:w="1079" w:type="dxa"/>
            <w:vAlign w:val="center"/>
          </w:tcPr>
          <w:p w14:paraId="1487127E">
            <w:pPr>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99</w:t>
            </w:r>
          </w:p>
        </w:tc>
        <w:tc>
          <w:tcPr>
            <w:tcW w:w="1379" w:type="dxa"/>
            <w:vAlign w:val="center"/>
          </w:tcPr>
          <w:p w14:paraId="5E232D8A">
            <w:pPr>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14.6</w:t>
            </w:r>
          </w:p>
        </w:tc>
        <w:tc>
          <w:tcPr>
            <w:tcW w:w="1379" w:type="dxa"/>
            <w:vAlign w:val="center"/>
          </w:tcPr>
          <w:p w14:paraId="5AD9823A">
            <w:pPr>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7.6</w:t>
            </w:r>
          </w:p>
        </w:tc>
        <w:tc>
          <w:tcPr>
            <w:tcW w:w="1382" w:type="dxa"/>
            <w:vAlign w:val="center"/>
          </w:tcPr>
          <w:p w14:paraId="165D4EE2">
            <w:pPr>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6.0</w:t>
            </w:r>
          </w:p>
        </w:tc>
        <w:tc>
          <w:tcPr>
            <w:tcW w:w="1379" w:type="dxa"/>
            <w:vAlign w:val="center"/>
          </w:tcPr>
          <w:p w14:paraId="2503D462">
            <w:pPr>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兼顾船型</w:t>
            </w:r>
          </w:p>
        </w:tc>
      </w:tr>
    </w:tbl>
    <w:p w14:paraId="46A122E9">
      <w:pPr>
        <w:pStyle w:val="6"/>
        <w:tabs>
          <w:tab w:val="left" w:pos="561"/>
        </w:tabs>
        <w:ind w:left="141"/>
        <w:rPr>
          <w:color w:val="000000" w:themeColor="text1"/>
          <w14:textFill>
            <w14:solidFill>
              <w14:schemeClr w14:val="tx1"/>
            </w14:solidFill>
          </w14:textFill>
        </w:rPr>
      </w:pPr>
      <w:r>
        <w:rPr>
          <w:color w:val="000000" w:themeColor="text1"/>
          <w14:textFill>
            <w14:solidFill>
              <w14:schemeClr w14:val="tx1"/>
            </w14:solidFill>
          </w14:textFill>
        </w:rPr>
        <w:t>设计尺寸</w:t>
      </w:r>
    </w:p>
    <w:p w14:paraId="4DCA1C22">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依托现有1</w:t>
      </w:r>
      <w:r>
        <w:rPr>
          <w:color w:val="000000" w:themeColor="text1"/>
          <w14:textFill>
            <w14:solidFill>
              <w14:schemeClr w14:val="tx1"/>
            </w14:solidFill>
          </w14:textFill>
        </w:rPr>
        <w:t>4</w:t>
      </w:r>
      <w:r>
        <w:rPr>
          <w:rFonts w:hint="eastAsia"/>
          <w:color w:val="000000" w:themeColor="text1"/>
          <w14:textFill>
            <w14:solidFill>
              <w14:schemeClr w14:val="tx1"/>
            </w14:solidFill>
          </w14:textFill>
        </w:rPr>
        <w:t>号泊位</w:t>
      </w:r>
      <w:r>
        <w:rPr>
          <w:color w:val="000000" w:themeColor="text1"/>
          <w14:textFill>
            <w14:solidFill>
              <w14:schemeClr w14:val="tx1"/>
            </w14:solidFill>
          </w14:textFill>
        </w:rPr>
        <w:t>。</w:t>
      </w:r>
    </w:p>
    <w:p w14:paraId="2C776B94">
      <w:pPr>
        <w:pStyle w:val="6"/>
        <w:tabs>
          <w:tab w:val="left" w:pos="561"/>
        </w:tabs>
        <w:ind w:left="141"/>
        <w:rPr>
          <w:color w:val="000000" w:themeColor="text1"/>
          <w14:textFill>
            <w14:solidFill>
              <w14:schemeClr w14:val="tx1"/>
            </w14:solidFill>
          </w14:textFill>
        </w:rPr>
      </w:pPr>
      <w:r>
        <w:rPr>
          <w:color w:val="000000" w:themeColor="text1"/>
          <w14:textFill>
            <w14:solidFill>
              <w14:schemeClr w14:val="tx1"/>
            </w14:solidFill>
          </w14:textFill>
        </w:rPr>
        <w:t>航道和锚地</w:t>
      </w:r>
    </w:p>
    <w:p w14:paraId="532C52E5">
      <w:pPr>
        <w:ind w:firstLine="480"/>
        <w:rPr>
          <w:color w:val="000000" w:themeColor="text1"/>
          <w14:textFill>
            <w14:solidFill>
              <w14:schemeClr w14:val="tx1"/>
            </w14:solidFill>
          </w14:textFill>
        </w:rPr>
      </w:pPr>
      <w:r>
        <w:rPr>
          <w:color w:val="000000" w:themeColor="text1"/>
          <w14:textFill>
            <w14:solidFill>
              <w14:schemeClr w14:val="tx1"/>
            </w14:solidFill>
          </w14:textFill>
        </w:rPr>
        <w:t>（1）航道</w:t>
      </w:r>
    </w:p>
    <w:p w14:paraId="5D8644C1">
      <w:pPr>
        <w:ind w:firstLine="480"/>
        <w:rPr>
          <w:color w:val="000000" w:themeColor="text1"/>
          <w14:textFill>
            <w14:solidFill>
              <w14:schemeClr w14:val="tx1"/>
            </w14:solidFill>
          </w14:textFill>
        </w:rPr>
      </w:pPr>
      <w:r>
        <w:rPr>
          <w:color w:val="000000" w:themeColor="text1"/>
          <w14:textFill>
            <w14:solidFill>
              <w14:schemeClr w14:val="tx1"/>
            </w14:solidFill>
          </w14:textFill>
        </w:rPr>
        <w:t>钦州湾内的金鼓江航道工程亦已建成，为0.5～5万吨级单向航道，全长6.201km。其中，5万吨级航段长4.879km，通航宽度140.4m，底高程-11.3m；1万吨级航段长0.322km，通航宽度80.8m，底高程-6.6m；5000吨级航段长1.0km，通航宽度75.8m，底高程-5.2m；乘潮保证率90%。</w:t>
      </w:r>
    </w:p>
    <w:p w14:paraId="763AC365">
      <w:pPr>
        <w:ind w:firstLine="480"/>
        <w:rPr>
          <w:color w:val="000000" w:themeColor="text1"/>
          <w14:textFill>
            <w14:solidFill>
              <w14:schemeClr w14:val="tx1"/>
            </w14:solidFill>
          </w14:textFill>
        </w:rPr>
      </w:pPr>
      <w:r>
        <w:rPr>
          <w:color w:val="000000" w:themeColor="text1"/>
          <w14:textFill>
            <w14:solidFill>
              <w14:schemeClr w14:val="tx1"/>
            </w14:solidFill>
          </w14:textFill>
        </w:rPr>
        <w:t>钦州湾东航道外海至三墩西作业区30万吨级油码头段规划为30万吨级单向航道，通航宽度320m，设计底高程-21.7m；三墩西作业区30万吨级油码头南侧向东北至三墩港区北港池段规划为20万吨级单向航道，通航宽度270m，设计底高程-17.8m；外海至大榄坪南作业区9号泊位段规划为20万吨级双向航道，通航宽度460～526m，设计底高程-16.3m，满足20万吨级集装箱船双向通航；大榄坪南作业区8号泊位至1号泊位段规划为10万吨级双向航道，通航宽度360m，设计底高程-15.2m，满足10万吨级集装箱船双向通航；鹰岭作业区至樟木环作业区段规划为10万吨级单向航道、5万吨级双向航道，通航宽度240m，设计底高程-11.6～-14.3m。</w:t>
      </w:r>
    </w:p>
    <w:p w14:paraId="334712E9">
      <w:pPr>
        <w:ind w:firstLine="480"/>
        <w:rPr>
          <w:color w:val="000000" w:themeColor="text1"/>
          <w14:textFill>
            <w14:solidFill>
              <w14:schemeClr w14:val="tx1"/>
            </w14:solidFill>
          </w14:textFill>
        </w:rPr>
      </w:pPr>
      <w:r>
        <w:rPr>
          <w:color w:val="000000" w:themeColor="text1"/>
          <w14:textFill>
            <w14:solidFill>
              <w14:schemeClr w14:val="tx1"/>
            </w14:solidFill>
          </w14:textFill>
        </w:rPr>
        <w:t>（2）锚地</w:t>
      </w:r>
    </w:p>
    <w:p w14:paraId="200A900F">
      <w:pPr>
        <w:ind w:firstLine="480"/>
        <w:rPr>
          <w:color w:val="000000" w:themeColor="text1"/>
          <w14:textFill>
            <w14:solidFill>
              <w14:schemeClr w14:val="tx1"/>
            </w14:solidFill>
          </w14:textFill>
        </w:rPr>
      </w:pPr>
      <w:r>
        <w:rPr>
          <w:color w:val="000000" w:themeColor="text1"/>
          <w14:textFill>
            <w14:solidFill>
              <w14:schemeClr w14:val="tx1"/>
            </w14:solidFill>
          </w14:textFill>
        </w:rPr>
        <w:t>根据《钦州港总体规划（2035年）》，钦州港规划12 个港外锚地、4 个港内锚地和1 个应急锚地。本次项目2万吨级及以下船舶拟使用外3#锚地锚泊，3~5万吨级船舶使用外7#锚地锚泊。</w:t>
      </w:r>
    </w:p>
    <w:p w14:paraId="16EEDDC5">
      <w:pPr>
        <w:pStyle w:val="4"/>
        <w:rPr>
          <w:color w:val="000000" w:themeColor="text1"/>
          <w14:textFill>
            <w14:solidFill>
              <w14:schemeClr w14:val="tx1"/>
            </w14:solidFill>
          </w14:textFill>
        </w:rPr>
      </w:pPr>
      <w:bookmarkStart w:id="253" w:name="_Toc25436929"/>
      <w:bookmarkStart w:id="254" w:name="_Toc135090197"/>
      <w:bookmarkStart w:id="255" w:name="_Toc216103297"/>
      <w:bookmarkStart w:id="256" w:name="_Toc216620456"/>
      <w:bookmarkStart w:id="257" w:name="_Toc29131789"/>
      <w:bookmarkStart w:id="258" w:name="_Toc26909975"/>
      <w:bookmarkStart w:id="259" w:name="_Toc136878446"/>
      <w:r>
        <w:rPr>
          <w:color w:val="000000" w:themeColor="text1"/>
          <w14:textFill>
            <w14:solidFill>
              <w14:schemeClr w14:val="tx1"/>
            </w14:solidFill>
          </w14:textFill>
        </w:rPr>
        <w:t>总平面布置</w:t>
      </w:r>
      <w:bookmarkEnd w:id="253"/>
      <w:bookmarkEnd w:id="254"/>
      <w:bookmarkEnd w:id="255"/>
      <w:bookmarkEnd w:id="256"/>
      <w:bookmarkEnd w:id="257"/>
      <w:bookmarkEnd w:id="258"/>
      <w:bookmarkEnd w:id="259"/>
    </w:p>
    <w:p w14:paraId="1D8EBA7A">
      <w:pPr>
        <w:pStyle w:val="6"/>
        <w:tabs>
          <w:tab w:val="left" w:pos="561"/>
        </w:tabs>
        <w:ind w:left="141"/>
        <w:rPr>
          <w:color w:val="000000" w:themeColor="text1"/>
          <w14:textFill>
            <w14:solidFill>
              <w14:schemeClr w14:val="tx1"/>
            </w14:solidFill>
          </w14:textFill>
        </w:rPr>
      </w:pPr>
      <w:r>
        <w:rPr>
          <w:color w:val="000000" w:themeColor="text1"/>
          <w14:textFill>
            <w14:solidFill>
              <w14:schemeClr w14:val="tx1"/>
            </w14:solidFill>
          </w14:textFill>
        </w:rPr>
        <w:t>码头平面布置</w:t>
      </w:r>
    </w:p>
    <w:p w14:paraId="020ED37E">
      <w:pPr>
        <w:ind w:firstLine="48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拟建项目主要是依托现有1</w:t>
      </w:r>
      <w:r>
        <w:rPr>
          <w:color w:val="000000" w:themeColor="text1"/>
          <w:u w:val="single"/>
          <w14:textFill>
            <w14:solidFill>
              <w14:schemeClr w14:val="tx1"/>
            </w14:solidFill>
          </w14:textFill>
        </w:rPr>
        <w:t>4</w:t>
      </w:r>
      <w:r>
        <w:rPr>
          <w:rFonts w:hint="eastAsia"/>
          <w:color w:val="000000" w:themeColor="text1"/>
          <w:u w:val="single"/>
          <w14:textFill>
            <w14:solidFill>
              <w14:schemeClr w14:val="tx1"/>
            </w14:solidFill>
          </w14:textFill>
        </w:rPr>
        <w:t>号泊位，工程主要在现有码头预留装卸臂基础新增油品装卸臂，增加液硫、碱液、发烟硫酸、硫酸卸船软管，以及相应的装卸船管道。不涉及水上建设内容。</w:t>
      </w:r>
    </w:p>
    <w:p w14:paraId="60EB64D9">
      <w:pPr>
        <w:pStyle w:val="6"/>
        <w:tabs>
          <w:tab w:val="left" w:pos="561"/>
        </w:tabs>
        <w:ind w:left="141"/>
        <w:rPr>
          <w:color w:val="000000" w:themeColor="text1"/>
          <w:u w:val="single"/>
          <w14:textFill>
            <w14:solidFill>
              <w14:schemeClr w14:val="tx1"/>
            </w14:solidFill>
          </w14:textFill>
        </w:rPr>
      </w:pPr>
      <w:r>
        <w:rPr>
          <w:color w:val="000000" w:themeColor="text1"/>
          <w:u w:val="single"/>
          <w14:textFill>
            <w14:solidFill>
              <w14:schemeClr w14:val="tx1"/>
            </w14:solidFill>
          </w14:textFill>
        </w:rPr>
        <w:t>水域布置</w:t>
      </w:r>
    </w:p>
    <w:p w14:paraId="5F7CB62D">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不涉及建设内容</w:t>
      </w:r>
      <w:r>
        <w:rPr>
          <w:color w:val="000000" w:themeColor="text1"/>
          <w14:textFill>
            <w14:solidFill>
              <w14:schemeClr w14:val="tx1"/>
            </w14:solidFill>
          </w14:textFill>
        </w:rPr>
        <w:t>。</w:t>
      </w:r>
    </w:p>
    <w:p w14:paraId="152B6893">
      <w:pPr>
        <w:pStyle w:val="6"/>
        <w:tabs>
          <w:tab w:val="left" w:pos="561"/>
        </w:tabs>
        <w:rPr>
          <w:color w:val="000000" w:themeColor="text1"/>
          <w14:textFill>
            <w14:solidFill>
              <w14:schemeClr w14:val="tx1"/>
            </w14:solidFill>
          </w14:textFill>
        </w:rPr>
      </w:pPr>
      <w:r>
        <w:rPr>
          <w:color w:val="000000" w:themeColor="text1"/>
          <w14:textFill>
            <w14:solidFill>
              <w14:schemeClr w14:val="tx1"/>
            </w14:solidFill>
          </w14:textFill>
        </w:rPr>
        <w:t>陆域布置</w:t>
      </w:r>
    </w:p>
    <w:p w14:paraId="4BFF3317">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据货种、货量、流向、码头陆域纵深条件，经综合分析，考虑在码头前沿配置装卸臂、软管进行装卸船作业，装卸臂采用物性相同或相类似的物料共用装卸臂方案。水平运输采用管道输送。共用管道的货种，在每根支管上各设2组气动阀，每根干管上设1组气动阀。在非工作时间中，干管处的气动阀为常关，只有在装卸时才将输送该货种的干管处气动阀打开，保证其余干管不被污染。</w:t>
      </w:r>
    </w:p>
    <w:p w14:paraId="06090ADA">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本次拟在预留基础新增油类装卸臂（L-505，双管装卸臂）用于新增油品类装卸，该装卸臂可适应5000～20000DWT化学品船的接口位置。本次新增一台扫线泵（P-505），用于油类装卸臂（L-505）卸空作业。</w:t>
      </w:r>
    </w:p>
    <w:p w14:paraId="6E00260A">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苯乙烯利用原有苯装卸臂（L-504）进行卸船作业。苯乙烯、苯利用原有苯扫线泵（P-503）进行卸空作业。</w:t>
      </w:r>
    </w:p>
    <w:p w14:paraId="7AEB8FFA">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装卸作业完毕后，打开装卸臂顶部的真空阀，外臂内的残液自流到船舱内，内臂和立柱内的残液用扫线泵抽吸到切断阀门后的相应管道内。物料为挥发性有毒介质，禁止进行外臂卸空的操作，当装卸臂全部排空、卸压后方可和船舶脱开。</w:t>
      </w:r>
    </w:p>
    <w:p w14:paraId="461B578A">
      <w:pPr>
        <w:pStyle w:val="4"/>
        <w:rPr>
          <w:color w:val="000000" w:themeColor="text1"/>
          <w14:textFill>
            <w14:solidFill>
              <w14:schemeClr w14:val="tx1"/>
            </w14:solidFill>
          </w14:textFill>
        </w:rPr>
      </w:pPr>
      <w:bookmarkStart w:id="260" w:name="_Toc216103298"/>
      <w:bookmarkStart w:id="261" w:name="_Toc29131791"/>
      <w:bookmarkStart w:id="262" w:name="_Toc25436931"/>
      <w:bookmarkStart w:id="263" w:name="_Toc135090198"/>
      <w:bookmarkStart w:id="264" w:name="_Toc136878447"/>
      <w:bookmarkStart w:id="265" w:name="_Toc216620457"/>
      <w:bookmarkStart w:id="266" w:name="_Toc26909977"/>
      <w:bookmarkStart w:id="267" w:name="_Toc29131790"/>
      <w:bookmarkStart w:id="268" w:name="_Toc26909976"/>
      <w:bookmarkStart w:id="269" w:name="_Toc25436930"/>
      <w:r>
        <w:rPr>
          <w:color w:val="000000" w:themeColor="text1"/>
          <w14:textFill>
            <w14:solidFill>
              <w14:schemeClr w14:val="tx1"/>
            </w14:solidFill>
          </w14:textFill>
        </w:rPr>
        <w:t>装卸工艺</w:t>
      </w:r>
      <w:bookmarkEnd w:id="260"/>
      <w:bookmarkEnd w:id="261"/>
      <w:bookmarkEnd w:id="262"/>
      <w:bookmarkEnd w:id="263"/>
      <w:bookmarkEnd w:id="264"/>
      <w:bookmarkEnd w:id="265"/>
      <w:bookmarkEnd w:id="266"/>
    </w:p>
    <w:p w14:paraId="20EB081E">
      <w:pPr>
        <w:pStyle w:val="6"/>
        <w:tabs>
          <w:tab w:val="left" w:pos="561"/>
        </w:tabs>
        <w:rPr>
          <w:color w:val="000000" w:themeColor="text1"/>
          <w14:textFill>
            <w14:solidFill>
              <w14:schemeClr w14:val="tx1"/>
            </w14:solidFill>
          </w14:textFill>
        </w:rPr>
      </w:pPr>
      <w:r>
        <w:rPr>
          <w:color w:val="000000" w:themeColor="text1"/>
          <w14:textFill>
            <w14:solidFill>
              <w14:schemeClr w14:val="tx1"/>
            </w14:solidFill>
          </w14:textFill>
        </w:rPr>
        <w:t>装卸工艺方案</w:t>
      </w:r>
    </w:p>
    <w:p w14:paraId="60189B79">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1）于14号泊位码头，新建一台装卸臂L-506（设备基础已完成施工），设计船型为10000-20000吨级，用于裂解C9、棕榈酸化油、脂肪酸混合物、工业级混合油、脂肪酸甲酯、纯生物柴油、航空煤油的装卸船作业，以上介质共用1根管道作业，设置扫线泵P-506，用于不同介质切换输送前清管。 </w:t>
      </w:r>
    </w:p>
    <w:p w14:paraId="29C66DEF">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（2）苯乙烯卸船管线，于已建DN200苯管线共用。</w:t>
      </w:r>
    </w:p>
    <w:p w14:paraId="4DAB4153">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3）于14号泊位码头，新增液硫卸船设施。液硫采用金属软管从液硫接卸船舶卸船，经本项目液硫管道输送至后方罐区液硫储罐储存。液硫易凝结，所涉及软管、管道均需设置集肤式电伴热，保证液硫温度135~145℃，避免堵塞。</w:t>
      </w:r>
    </w:p>
    <w:p w14:paraId="0D690B42">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（4）于14号泊位码头，新增碱液卸船设施。碱液采用金属软管从碱液接卸船舶卸船，经本项目碱液管道输送至后方罐区碱液储罐储存。</w:t>
      </w:r>
    </w:p>
    <w:p w14:paraId="2EEF0090">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（5）于14号泊位码头，新增发烟硫酸、硫酸卸船设施。发烟硫酸、硫酸采用金属软管从发烟硫酸、硫酸接卸船舶卸船，经本项目发烟硫酸、硫酸管道输送至后方罐区发烟硫酸、硫酸储罐储存。</w:t>
      </w:r>
    </w:p>
    <w:p w14:paraId="309FD660">
      <w:pPr>
        <w:pStyle w:val="6"/>
        <w:tabs>
          <w:tab w:val="left" w:pos="561"/>
        </w:tabs>
        <w:rPr>
          <w:color w:val="000000" w:themeColor="text1"/>
          <w:u w:val="single"/>
          <w14:textFill>
            <w14:solidFill>
              <w14:schemeClr w14:val="tx1"/>
            </w14:solidFill>
          </w14:textFill>
        </w:rPr>
      </w:pPr>
      <w:r>
        <w:rPr>
          <w:color w:val="000000" w:themeColor="text1"/>
          <w:u w:val="single"/>
          <w14:textFill>
            <w14:solidFill>
              <w14:schemeClr w14:val="tx1"/>
            </w14:solidFill>
          </w14:textFill>
        </w:rPr>
        <w:t>装卸工艺流程</w:t>
      </w:r>
    </w:p>
    <w:p w14:paraId="7530CBF5">
      <w:pPr>
        <w:numPr>
          <w:ilvl w:val="0"/>
          <w:numId w:val="16"/>
        </w:numPr>
        <w:ind w:firstLine="48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油品装卸船及输送</w:t>
      </w:r>
    </w:p>
    <w:p w14:paraId="3168FF58">
      <w:pPr>
        <w:ind w:firstLine="480"/>
        <w:rPr>
          <w:color w:val="000000" w:themeColor="text1"/>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w:instrText>
      </w:r>
      <w:r>
        <w:rPr>
          <w:rFonts w:hint="eastAsia"/>
          <w:color w:val="000000" w:themeColor="text1"/>
          <w14:textFill>
            <w14:solidFill>
              <w14:schemeClr w14:val="tx1"/>
            </w14:solidFill>
          </w14:textFill>
        </w:rPr>
        <w:instrText xml:space="preserve">= 1 \* GB3</w:instrText>
      </w:r>
      <w:r>
        <w:rPr>
          <w:color w:val="000000" w:themeColor="text1"/>
          <w14:textFill>
            <w14:solidFill>
              <w14:schemeClr w14:val="tx1"/>
            </w14:solidFill>
          </w14:textFill>
        </w:rPr>
        <w:instrText xml:space="preserve"> </w:instrText>
      </w:r>
      <w:r>
        <w:rPr>
          <w:color w:val="000000" w:themeColor="text1"/>
          <w14:textFill>
            <w14:solidFill>
              <w14:schemeClr w14:val="tx1"/>
            </w14:solidFill>
          </w14:textFill>
        </w:rPr>
        <w:fldChar w:fldCharType="separate"/>
      </w:r>
      <w:r>
        <w:rPr>
          <w:rFonts w:hint="eastAsia"/>
          <w:color w:val="000000" w:themeColor="text1"/>
          <w14:textFill>
            <w14:solidFill>
              <w14:schemeClr w14:val="tx1"/>
            </w14:solidFill>
          </w14:textFill>
        </w:rPr>
        <w:t>①</w:t>
      </w:r>
      <w:r>
        <w:rPr>
          <w:color w:val="000000" w:themeColor="text1"/>
          <w14:textFill>
            <w14:solidFill>
              <w14:schemeClr w14:val="tx1"/>
            </w14:solidFill>
          </w14:textFill>
        </w:rPr>
        <w:fldChar w:fldCharType="end"/>
      </w:r>
      <w:r>
        <w:rPr>
          <w:rFonts w:hint="eastAsia"/>
          <w:color w:val="000000" w:themeColor="text1"/>
          <w14:textFill>
            <w14:solidFill>
              <w14:schemeClr w14:val="tx1"/>
            </w14:solidFill>
          </w14:textFill>
        </w:rPr>
        <w:t>棕榈酸化油</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脂肪酸混合物</w:t>
      </w:r>
      <w:r>
        <w:rPr>
          <w:rFonts w:hint="eastAsia"/>
          <w:color w:val="000000" w:themeColor="text1"/>
          <w14:textFill>
            <w14:solidFill>
              <w14:schemeClr w14:val="tx1"/>
            </w14:solidFill>
          </w14:textFill>
        </w:rPr>
        <w:t>：船舶→船内输送泵→装卸臂→紧急切断阀→主管→</w:t>
      </w:r>
      <w:r>
        <w:rPr>
          <w:rFonts w:hint="eastAsia"/>
          <w:color w:val="000000" w:themeColor="text1"/>
          <w:lang w:val="en-US" w:eastAsia="zh-CN"/>
          <w14:textFill>
            <w14:solidFill>
              <w14:schemeClr w14:val="tx1"/>
            </w14:solidFill>
          </w14:textFill>
        </w:rPr>
        <w:t>丰之力储罐</w:t>
      </w:r>
      <w:r>
        <w:rPr>
          <w:rFonts w:hint="eastAsia"/>
          <w:color w:val="000000" w:themeColor="text1"/>
          <w14:textFill>
            <w14:solidFill>
              <w14:schemeClr w14:val="tx1"/>
            </w14:solidFill>
          </w14:textFill>
        </w:rPr>
        <w:t>（依托）。</w:t>
      </w:r>
    </w:p>
    <w:p w14:paraId="2DFD3199">
      <w:pPr>
        <w:ind w:firstLine="480"/>
        <w:rPr>
          <w:color w:val="000000" w:themeColor="text1"/>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w:instrText>
      </w:r>
      <w:r>
        <w:rPr>
          <w:rFonts w:hint="eastAsia"/>
          <w:color w:val="000000" w:themeColor="text1"/>
          <w14:textFill>
            <w14:solidFill>
              <w14:schemeClr w14:val="tx1"/>
            </w14:solidFill>
          </w14:textFill>
        </w:rPr>
        <w:instrText xml:space="preserve">= 2 \* GB3</w:instrText>
      </w:r>
      <w:r>
        <w:rPr>
          <w:color w:val="000000" w:themeColor="text1"/>
          <w14:textFill>
            <w14:solidFill>
              <w14:schemeClr w14:val="tx1"/>
            </w14:solidFill>
          </w14:textFill>
        </w:rPr>
        <w:instrText xml:space="preserve"> </w:instrText>
      </w:r>
      <w:r>
        <w:rPr>
          <w:color w:val="000000" w:themeColor="text1"/>
          <w14:textFill>
            <w14:solidFill>
              <w14:schemeClr w14:val="tx1"/>
            </w14:solidFill>
          </w14:textFill>
        </w:rPr>
        <w:fldChar w:fldCharType="separate"/>
      </w:r>
      <w:r>
        <w:rPr>
          <w:rFonts w:hint="eastAsia"/>
          <w:color w:val="000000" w:themeColor="text1"/>
          <w14:textFill>
            <w14:solidFill>
              <w14:schemeClr w14:val="tx1"/>
            </w14:solidFill>
          </w14:textFill>
        </w:rPr>
        <w:t>②</w:t>
      </w:r>
      <w:r>
        <w:rPr>
          <w:color w:val="000000" w:themeColor="text1"/>
          <w14:textFill>
            <w14:solidFill>
              <w14:schemeClr w14:val="tx1"/>
            </w14:solidFill>
          </w14:textFill>
        </w:rPr>
        <w:fldChar w:fldCharType="end"/>
      </w:r>
      <w:r>
        <w:rPr>
          <w:rFonts w:hint="eastAsia"/>
          <w:color w:val="000000" w:themeColor="text1"/>
          <w:lang w:val="en-US" w:eastAsia="zh-CN"/>
          <w14:textFill>
            <w14:solidFill>
              <w14:schemeClr w14:val="tx1"/>
            </w14:solidFill>
          </w14:textFill>
        </w:rPr>
        <w:t>裂解C9</w:t>
      </w:r>
      <w:r>
        <w:rPr>
          <w:rFonts w:hint="eastAsia"/>
          <w:color w:val="000000" w:themeColor="text1"/>
          <w14:textFill>
            <w14:solidFill>
              <w14:schemeClr w14:val="tx1"/>
            </w14:solidFill>
          </w14:textFill>
        </w:rPr>
        <w:t>：</w:t>
      </w:r>
      <w:r>
        <w:rPr>
          <w:rFonts w:hint="default"/>
          <w:color w:val="000000" w:themeColor="text1"/>
          <w:lang w:val="en-US" w:eastAsia="zh-CN"/>
          <w14:textFill>
            <w14:solidFill>
              <w14:schemeClr w14:val="tx1"/>
            </w14:solidFill>
          </w14:textFill>
        </w:rPr>
        <w:t>后方厂区</w:t>
      </w:r>
      <w:r>
        <w:rPr>
          <w:rFonts w:hint="eastAsia"/>
          <w:color w:val="000000" w:themeColor="text1"/>
          <w:lang w:val="en-US" w:eastAsia="zh-CN"/>
          <w14:textFill>
            <w14:solidFill>
              <w14:schemeClr w14:val="tx1"/>
            </w14:solidFill>
          </w14:textFill>
        </w:rPr>
        <w:t>（中国石油广西石化公司）</w:t>
      </w:r>
      <w:r>
        <w:rPr>
          <w:rFonts w:hint="default"/>
          <w:color w:val="000000" w:themeColor="text1"/>
          <w:lang w:val="en-US" w:eastAsia="zh-CN"/>
          <w14:textFill>
            <w14:solidFill>
              <w14:schemeClr w14:val="tx1"/>
            </w14:solidFill>
          </w14:textFill>
        </w:rPr>
        <w:t>→主管→装卸臂→紧急切断阀→船舶</w:t>
      </w:r>
      <w:r>
        <w:rPr>
          <w:rFonts w:hint="eastAsia"/>
          <w:color w:val="000000" w:themeColor="text1"/>
          <w14:textFill>
            <w14:solidFill>
              <w14:schemeClr w14:val="tx1"/>
            </w14:solidFill>
          </w14:textFill>
        </w:rPr>
        <w:t>。</w:t>
      </w:r>
    </w:p>
    <w:p w14:paraId="20C8D71E">
      <w:pPr>
        <w:ind w:firstLine="4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③</w:t>
      </w:r>
      <w:r>
        <w:rPr>
          <w:rFonts w:hint="eastAsia"/>
          <w:color w:val="000000" w:themeColor="text1"/>
          <w:lang w:val="en-US" w:eastAsia="zh-CN"/>
          <w14:textFill>
            <w14:solidFill>
              <w14:schemeClr w14:val="tx1"/>
            </w14:solidFill>
          </w14:textFill>
        </w:rPr>
        <w:t>航空煤油：</w:t>
      </w:r>
      <w:r>
        <w:rPr>
          <w:rFonts w:hint="default"/>
          <w:color w:val="000000" w:themeColor="text1"/>
          <w:lang w:val="en-US" w:eastAsia="zh-CN"/>
          <w14:textFill>
            <w14:solidFill>
              <w14:schemeClr w14:val="tx1"/>
            </w14:solidFill>
          </w14:textFill>
        </w:rPr>
        <w:t>后方厂区</w:t>
      </w:r>
      <w:r>
        <w:rPr>
          <w:rFonts w:hint="eastAsia"/>
          <w:color w:val="000000" w:themeColor="text1"/>
          <w:lang w:val="en-US" w:eastAsia="zh-CN"/>
          <w14:textFill>
            <w14:solidFill>
              <w14:schemeClr w14:val="tx1"/>
            </w14:solidFill>
          </w14:textFill>
        </w:rPr>
        <w:t>（第三方公司）</w:t>
      </w:r>
      <w:r>
        <w:rPr>
          <w:rFonts w:hint="default"/>
          <w:color w:val="000000" w:themeColor="text1"/>
          <w:lang w:val="en-US" w:eastAsia="zh-CN"/>
          <w14:textFill>
            <w14:solidFill>
              <w14:schemeClr w14:val="tx1"/>
            </w14:solidFill>
          </w14:textFill>
        </w:rPr>
        <w:t>→主管→装卸臂→紧急切断阀→船舶</w:t>
      </w:r>
      <w:r>
        <w:rPr>
          <w:rFonts w:hint="eastAsia"/>
          <w:color w:val="000000" w:themeColor="text1"/>
          <w14:textFill>
            <w14:solidFill>
              <w14:schemeClr w14:val="tx1"/>
            </w14:solidFill>
          </w14:textFill>
        </w:rPr>
        <w:t>。</w:t>
      </w:r>
    </w:p>
    <w:p w14:paraId="6A6F62EE">
      <w:pPr>
        <w:ind w:firstLine="48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④</w:t>
      </w:r>
      <w:r>
        <w:rPr>
          <w:rFonts w:hint="eastAsia"/>
          <w:color w:val="000000" w:themeColor="text1"/>
          <w14:textFill>
            <w14:solidFill>
              <w14:schemeClr w14:val="tx1"/>
            </w14:solidFill>
          </w14:textFill>
        </w:rPr>
        <w:t>脂肪酸甲酯、工业级混合油、纯生物柴油</w:t>
      </w:r>
      <w:r>
        <w:rPr>
          <w:rFonts w:hint="eastAsia"/>
          <w:color w:val="000000" w:themeColor="text1"/>
          <w:lang w:eastAsia="zh-CN"/>
          <w14:textFill>
            <w14:solidFill>
              <w14:schemeClr w14:val="tx1"/>
            </w14:solidFill>
          </w14:textFill>
        </w:rPr>
        <w:t>：</w:t>
      </w:r>
      <w:r>
        <w:rPr>
          <w:rFonts w:hint="default"/>
          <w:color w:val="000000" w:themeColor="text1"/>
          <w:lang w:val="en-US" w:eastAsia="zh-CN"/>
          <w14:textFill>
            <w14:solidFill>
              <w14:schemeClr w14:val="tx1"/>
            </w14:solidFill>
          </w14:textFill>
        </w:rPr>
        <w:t>后方厂区</w:t>
      </w:r>
      <w:r>
        <w:rPr>
          <w:rFonts w:hint="eastAsia"/>
          <w:color w:val="000000" w:themeColor="text1"/>
          <w:lang w:val="en-US" w:eastAsia="zh-CN"/>
          <w14:textFill>
            <w14:solidFill>
              <w14:schemeClr w14:val="tx1"/>
            </w14:solidFill>
          </w14:textFill>
        </w:rPr>
        <w:t>（丰之力）</w:t>
      </w:r>
      <w:r>
        <w:rPr>
          <w:rFonts w:hint="default"/>
          <w:color w:val="000000" w:themeColor="text1"/>
          <w:lang w:val="en-US" w:eastAsia="zh-CN"/>
          <w14:textFill>
            <w14:solidFill>
              <w14:schemeClr w14:val="tx1"/>
            </w14:solidFill>
          </w14:textFill>
        </w:rPr>
        <w:t>→主管→装卸臂→紧急切断阀→船舶</w:t>
      </w:r>
      <w:r>
        <w:rPr>
          <w:rFonts w:hint="eastAsia"/>
          <w:color w:val="000000" w:themeColor="text1"/>
          <w14:textFill>
            <w14:solidFill>
              <w14:schemeClr w14:val="tx1"/>
            </w14:solidFill>
          </w14:textFill>
        </w:rPr>
        <w:t>。</w:t>
      </w:r>
    </w:p>
    <w:p w14:paraId="77473361">
      <w:pPr>
        <w:ind w:firstLine="480"/>
        <w:rPr>
          <w:color w:val="000000" w:themeColor="text1"/>
          <w14:textFill>
            <w14:solidFill>
              <w14:schemeClr w14:val="tx1"/>
            </w14:solidFill>
          </w14:textFill>
        </w:rPr>
      </w:pPr>
      <w:r>
        <w:rPr>
          <w:color w:val="000000" w:themeColor="text1"/>
          <w14:textFill>
            <w14:solidFill>
              <w14:schemeClr w14:val="tx1"/>
            </w14:solidFill>
          </w14:textFill>
        </w:rPr>
        <w:t>（2）</w:t>
      </w:r>
      <w:r>
        <w:rPr>
          <w:rFonts w:hint="eastAsia"/>
          <w:color w:val="000000" w:themeColor="text1"/>
          <w14:textFill>
            <w14:solidFill>
              <w14:schemeClr w14:val="tx1"/>
            </w14:solidFill>
          </w14:textFill>
        </w:rPr>
        <w:t>苯乙烯接卸船及输送</w:t>
      </w:r>
    </w:p>
    <w:p w14:paraId="1EDB7DCD">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苯乙烯卸船流程：船舶→船内输送泵→装卸臂→紧急切断阀→主管→台湾见龙钦州高端聚苯乙烯新材料项目（依托）。</w:t>
      </w:r>
    </w:p>
    <w:p w14:paraId="1535119A">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输送物料切换前须进行清管（清管工艺见2.2.3.3），检测合格后方可更换输送物料。</w:t>
      </w:r>
    </w:p>
    <w:p w14:paraId="40444C8D">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（3）液硫储运</w:t>
      </w:r>
    </w:p>
    <w:p w14:paraId="23D7C502">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流体流程：船舶→船内输送泵→卸船软管→紧急切断阀→主管→后方储罐（恒逸新材料，后方储罐同步进行环评中）。</w:t>
      </w:r>
    </w:p>
    <w:p w14:paraId="0F99DC84">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（4）液碱储运</w:t>
      </w:r>
    </w:p>
    <w:p w14:paraId="2CDA4248">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流体流程：船舶→船内输送泵→卸船软管→紧急切断阀→主管→后方储罐（恒逸新材料，后方储罐同步进行环评中）。</w:t>
      </w:r>
    </w:p>
    <w:p w14:paraId="0AB4A3BC">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（5）发烟硫酸、硫酸储运</w:t>
      </w:r>
    </w:p>
    <w:p w14:paraId="314EFDC1">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流体流程：船舶→船内输送泵→卸船软管→紧急切断阀→主管→后方储罐（恒逸新材料，后方储罐同步进行环评中）。</w:t>
      </w:r>
    </w:p>
    <w:p w14:paraId="4E5626A4">
      <w:pPr>
        <w:pStyle w:val="6"/>
        <w:tabs>
          <w:tab w:val="left" w:pos="561"/>
        </w:tabs>
        <w:rPr>
          <w:color w:val="000000" w:themeColor="text1"/>
          <w14:textFill>
            <w14:solidFill>
              <w14:schemeClr w14:val="tx1"/>
            </w14:solidFill>
          </w14:textFill>
        </w:rPr>
      </w:pPr>
      <w:r>
        <w:rPr>
          <w:rFonts w:hint="eastAsia"/>
          <w:color w:val="000000" w:themeColor="text1"/>
          <w14:textFill>
            <w14:solidFill>
              <w14:schemeClr w14:val="tx1"/>
            </w14:solidFill>
          </w14:textFill>
        </w:rPr>
        <w:t>清管</w:t>
      </w:r>
      <w:r>
        <w:rPr>
          <w:color w:val="000000" w:themeColor="text1"/>
          <w14:textFill>
            <w14:solidFill>
              <w14:schemeClr w14:val="tx1"/>
            </w14:solidFill>
          </w14:textFill>
        </w:rPr>
        <w:t>工艺</w:t>
      </w:r>
    </w:p>
    <w:p w14:paraId="5E9F6BE0">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装卸船作业结束后，将清管器装入清管阀中，使用氮气驱动清管器向下游单位通球作业，从而有效</w:t>
      </w:r>
      <w:r>
        <w:rPr>
          <w:rFonts w:hint="eastAsia"/>
          <w:color w:val="000000" w:themeColor="text1"/>
          <w:lang w:eastAsia="zh-CN"/>
          <w14:textFill>
            <w14:solidFill>
              <w14:schemeClr w14:val="tx1"/>
            </w14:solidFill>
          </w14:textFill>
        </w:rPr>
        <w:t>地</w:t>
      </w:r>
      <w:r>
        <w:rPr>
          <w:rFonts w:hint="eastAsia"/>
          <w:color w:val="000000" w:themeColor="text1"/>
          <w14:textFill>
            <w14:solidFill>
              <w14:schemeClr w14:val="tx1"/>
            </w14:solidFill>
          </w14:textFill>
        </w:rPr>
        <w:t>将管道内物料清空，由下游单位配备收球设备同时负责收球，通球结束后，管道内的氮气封存起到隔绝氧气和保压的作用。</w:t>
      </w:r>
    </w:p>
    <w:p w14:paraId="7C4743CE">
      <w:pPr>
        <w:pStyle w:val="6"/>
        <w:tabs>
          <w:tab w:val="left" w:pos="561"/>
        </w:tabs>
        <w:rPr>
          <w:color w:val="000000" w:themeColor="text1"/>
          <w14:textFill>
            <w14:solidFill>
              <w14:schemeClr w14:val="tx1"/>
            </w14:solidFill>
          </w14:textFill>
        </w:rPr>
      </w:pPr>
      <w:r>
        <w:rPr>
          <w:color w:val="000000" w:themeColor="text1"/>
          <w14:textFill>
            <w14:solidFill>
              <w14:schemeClr w14:val="tx1"/>
            </w14:solidFill>
          </w14:textFill>
        </w:rPr>
        <w:t>装卸设备配置情况</w:t>
      </w:r>
    </w:p>
    <w:p w14:paraId="0925F93A">
      <w:pPr>
        <w:ind w:firstLine="480"/>
        <w:rPr>
          <w:color w:val="000000" w:themeColor="text1"/>
          <w14:textFill>
            <w14:solidFill>
              <w14:schemeClr w14:val="tx1"/>
            </w14:solidFill>
          </w14:textFill>
        </w:rPr>
      </w:pPr>
      <w:r>
        <w:rPr>
          <w:color w:val="000000" w:themeColor="text1"/>
          <w14:textFill>
            <w14:solidFill>
              <w14:schemeClr w14:val="tx1"/>
            </w14:solidFill>
          </w14:textFill>
        </w:rPr>
        <w:t>根据项目装卸工艺及流程，项目14#泊位主要装卸设备表如下：</w:t>
      </w:r>
    </w:p>
    <w:p w14:paraId="403EEFBC">
      <w:pPr>
        <w:pStyle w:val="7"/>
        <w:rPr>
          <w:color w:val="000000" w:themeColor="text1"/>
          <w14:textFill>
            <w14:solidFill>
              <w14:schemeClr w14:val="tx1"/>
            </w14:solidFill>
          </w14:textFill>
        </w:rPr>
      </w:pPr>
      <w:r>
        <w:rPr>
          <w:color w:val="000000" w:themeColor="text1"/>
          <w14:textFill>
            <w14:solidFill>
              <w14:schemeClr w14:val="tx1"/>
            </w14:solidFill>
          </w14:textFill>
        </w:rPr>
        <w:t>14#液体危化品泊位主要设备、材料表</w:t>
      </w:r>
    </w:p>
    <w:tbl>
      <w:tblPr>
        <w:tblStyle w:val="119"/>
        <w:tblW w:w="9007" w:type="dxa"/>
        <w:tblInd w:w="96"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
      <w:tblGrid>
        <w:gridCol w:w="682"/>
        <w:gridCol w:w="1068"/>
        <w:gridCol w:w="4741"/>
        <w:gridCol w:w="709"/>
        <w:gridCol w:w="709"/>
        <w:gridCol w:w="1098"/>
      </w:tblGrid>
      <w:tr w14:paraId="626EB979">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454" w:hRule="atLeast"/>
          <w:tblHeader/>
        </w:trPr>
        <w:tc>
          <w:tcPr>
            <w:tcW w:w="682" w:type="dxa"/>
            <w:vAlign w:val="center"/>
          </w:tcPr>
          <w:p w14:paraId="05F969C5">
            <w:pPr>
              <w:adjustRightInd w:val="0"/>
              <w:snapToGrid w:val="0"/>
              <w:spacing w:line="240" w:lineRule="auto"/>
              <w:ind w:firstLine="0" w:firstLineChars="0"/>
              <w:jc w:val="center"/>
              <w:outlineLvl w:val="0"/>
              <w:rPr>
                <w:b/>
                <w:color w:val="000000" w:themeColor="text1"/>
                <w:sz w:val="21"/>
                <w:szCs w:val="20"/>
                <w14:textFill>
                  <w14:solidFill>
                    <w14:schemeClr w14:val="tx1"/>
                  </w14:solidFill>
                </w14:textFill>
              </w:rPr>
            </w:pPr>
            <w:bookmarkStart w:id="270" w:name="_Toc216103299"/>
            <w:bookmarkStart w:id="271" w:name="_Toc216620458"/>
            <w:bookmarkStart w:id="272" w:name="_Toc9698"/>
            <w:r>
              <w:rPr>
                <w:b/>
                <w:color w:val="000000" w:themeColor="text1"/>
                <w:sz w:val="21"/>
                <w:szCs w:val="20"/>
                <w14:textFill>
                  <w14:solidFill>
                    <w14:schemeClr w14:val="tx1"/>
                  </w14:solidFill>
                </w14:textFill>
              </w:rPr>
              <w:t>序号</w:t>
            </w:r>
            <w:bookmarkEnd w:id="270"/>
            <w:bookmarkEnd w:id="271"/>
            <w:bookmarkEnd w:id="272"/>
          </w:p>
        </w:tc>
        <w:tc>
          <w:tcPr>
            <w:tcW w:w="1068" w:type="dxa"/>
            <w:vAlign w:val="center"/>
          </w:tcPr>
          <w:p w14:paraId="0EFE7B61">
            <w:pPr>
              <w:adjustRightInd w:val="0"/>
              <w:snapToGrid w:val="0"/>
              <w:spacing w:line="240" w:lineRule="auto"/>
              <w:ind w:firstLine="0" w:firstLineChars="0"/>
              <w:jc w:val="center"/>
              <w:outlineLvl w:val="0"/>
              <w:rPr>
                <w:b/>
                <w:color w:val="000000" w:themeColor="text1"/>
                <w:sz w:val="21"/>
                <w:szCs w:val="20"/>
                <w14:textFill>
                  <w14:solidFill>
                    <w14:schemeClr w14:val="tx1"/>
                  </w14:solidFill>
                </w14:textFill>
              </w:rPr>
            </w:pPr>
            <w:bookmarkStart w:id="273" w:name="_Toc8913"/>
            <w:bookmarkStart w:id="274" w:name="_Toc216103300"/>
            <w:bookmarkStart w:id="275" w:name="_Toc216620459"/>
            <w:r>
              <w:rPr>
                <w:b/>
                <w:color w:val="000000" w:themeColor="text1"/>
                <w:sz w:val="21"/>
                <w:szCs w:val="20"/>
                <w14:textFill>
                  <w14:solidFill>
                    <w14:schemeClr w14:val="tx1"/>
                  </w14:solidFill>
                </w14:textFill>
              </w:rPr>
              <w:t>名称</w:t>
            </w:r>
            <w:bookmarkEnd w:id="273"/>
            <w:bookmarkEnd w:id="274"/>
            <w:bookmarkEnd w:id="275"/>
          </w:p>
        </w:tc>
        <w:tc>
          <w:tcPr>
            <w:tcW w:w="4741" w:type="dxa"/>
            <w:vAlign w:val="center"/>
          </w:tcPr>
          <w:p w14:paraId="138C3D65">
            <w:pPr>
              <w:adjustRightInd w:val="0"/>
              <w:snapToGrid w:val="0"/>
              <w:spacing w:line="240" w:lineRule="auto"/>
              <w:ind w:firstLine="0" w:firstLineChars="0"/>
              <w:jc w:val="center"/>
              <w:outlineLvl w:val="0"/>
              <w:rPr>
                <w:b/>
                <w:color w:val="000000" w:themeColor="text1"/>
                <w:sz w:val="21"/>
                <w:szCs w:val="20"/>
                <w14:textFill>
                  <w14:solidFill>
                    <w14:schemeClr w14:val="tx1"/>
                  </w14:solidFill>
                </w14:textFill>
              </w:rPr>
            </w:pPr>
            <w:bookmarkStart w:id="276" w:name="_Toc216620460"/>
            <w:bookmarkStart w:id="277" w:name="_Toc216103301"/>
            <w:bookmarkStart w:id="278" w:name="_Toc22703"/>
            <w:r>
              <w:rPr>
                <w:b/>
                <w:color w:val="000000" w:themeColor="text1"/>
                <w:sz w:val="21"/>
                <w:szCs w:val="20"/>
                <w14:textFill>
                  <w14:solidFill>
                    <w14:schemeClr w14:val="tx1"/>
                  </w14:solidFill>
                </w14:textFill>
              </w:rPr>
              <w:t>规格与参数</w:t>
            </w:r>
            <w:bookmarkEnd w:id="276"/>
            <w:bookmarkEnd w:id="277"/>
            <w:bookmarkEnd w:id="278"/>
          </w:p>
        </w:tc>
        <w:tc>
          <w:tcPr>
            <w:tcW w:w="709" w:type="dxa"/>
            <w:vAlign w:val="center"/>
          </w:tcPr>
          <w:p w14:paraId="5D7DFE0D">
            <w:pPr>
              <w:adjustRightInd w:val="0"/>
              <w:snapToGrid w:val="0"/>
              <w:spacing w:line="240" w:lineRule="auto"/>
              <w:ind w:firstLine="0" w:firstLineChars="0"/>
              <w:jc w:val="center"/>
              <w:outlineLvl w:val="0"/>
              <w:rPr>
                <w:b/>
                <w:color w:val="000000" w:themeColor="text1"/>
                <w:sz w:val="21"/>
                <w:szCs w:val="20"/>
                <w14:textFill>
                  <w14:solidFill>
                    <w14:schemeClr w14:val="tx1"/>
                  </w14:solidFill>
                </w14:textFill>
              </w:rPr>
            </w:pPr>
            <w:bookmarkStart w:id="279" w:name="_Toc7486"/>
            <w:bookmarkStart w:id="280" w:name="_Toc216620461"/>
            <w:bookmarkStart w:id="281" w:name="_Toc216103302"/>
            <w:r>
              <w:rPr>
                <w:b/>
                <w:color w:val="000000" w:themeColor="text1"/>
                <w:sz w:val="21"/>
                <w:szCs w:val="20"/>
                <w14:textFill>
                  <w14:solidFill>
                    <w14:schemeClr w14:val="tx1"/>
                  </w14:solidFill>
                </w14:textFill>
              </w:rPr>
              <w:t>单位</w:t>
            </w:r>
            <w:bookmarkEnd w:id="279"/>
            <w:bookmarkEnd w:id="280"/>
            <w:bookmarkEnd w:id="281"/>
          </w:p>
        </w:tc>
        <w:tc>
          <w:tcPr>
            <w:tcW w:w="709" w:type="dxa"/>
            <w:vAlign w:val="center"/>
          </w:tcPr>
          <w:p w14:paraId="319A2A10">
            <w:pPr>
              <w:adjustRightInd w:val="0"/>
              <w:snapToGrid w:val="0"/>
              <w:spacing w:line="240" w:lineRule="auto"/>
              <w:ind w:firstLine="0" w:firstLineChars="0"/>
              <w:jc w:val="center"/>
              <w:outlineLvl w:val="0"/>
              <w:rPr>
                <w:b/>
                <w:color w:val="000000" w:themeColor="text1"/>
                <w:sz w:val="21"/>
                <w:szCs w:val="20"/>
                <w14:textFill>
                  <w14:solidFill>
                    <w14:schemeClr w14:val="tx1"/>
                  </w14:solidFill>
                </w14:textFill>
              </w:rPr>
            </w:pPr>
            <w:bookmarkStart w:id="282" w:name="_Toc6282"/>
            <w:bookmarkStart w:id="283" w:name="_Toc216620462"/>
            <w:bookmarkStart w:id="284" w:name="_Toc216103303"/>
            <w:r>
              <w:rPr>
                <w:b/>
                <w:color w:val="000000" w:themeColor="text1"/>
                <w:sz w:val="21"/>
                <w:szCs w:val="20"/>
                <w14:textFill>
                  <w14:solidFill>
                    <w14:schemeClr w14:val="tx1"/>
                  </w14:solidFill>
                </w14:textFill>
              </w:rPr>
              <w:t>数量</w:t>
            </w:r>
            <w:bookmarkEnd w:id="282"/>
            <w:bookmarkEnd w:id="283"/>
            <w:bookmarkEnd w:id="284"/>
          </w:p>
        </w:tc>
        <w:tc>
          <w:tcPr>
            <w:tcW w:w="1098" w:type="dxa"/>
            <w:vAlign w:val="center"/>
          </w:tcPr>
          <w:p w14:paraId="35A2866F">
            <w:pPr>
              <w:adjustRightInd w:val="0"/>
              <w:snapToGrid w:val="0"/>
              <w:spacing w:line="240" w:lineRule="auto"/>
              <w:ind w:firstLine="0" w:firstLineChars="0"/>
              <w:jc w:val="center"/>
              <w:outlineLvl w:val="0"/>
              <w:rPr>
                <w:b/>
                <w:color w:val="000000" w:themeColor="text1"/>
                <w:sz w:val="21"/>
                <w:szCs w:val="20"/>
                <w14:textFill>
                  <w14:solidFill>
                    <w14:schemeClr w14:val="tx1"/>
                  </w14:solidFill>
                </w14:textFill>
              </w:rPr>
            </w:pPr>
            <w:bookmarkStart w:id="285" w:name="_Toc216620463"/>
            <w:bookmarkStart w:id="286" w:name="_Toc6511"/>
            <w:bookmarkStart w:id="287" w:name="_Toc216103304"/>
            <w:r>
              <w:rPr>
                <w:b/>
                <w:color w:val="000000" w:themeColor="text1"/>
                <w:sz w:val="21"/>
                <w:szCs w:val="20"/>
                <w14:textFill>
                  <w14:solidFill>
                    <w14:schemeClr w14:val="tx1"/>
                  </w14:solidFill>
                </w14:textFill>
              </w:rPr>
              <w:t>备注</w:t>
            </w:r>
            <w:bookmarkEnd w:id="285"/>
            <w:bookmarkEnd w:id="286"/>
            <w:bookmarkEnd w:id="287"/>
          </w:p>
        </w:tc>
      </w:tr>
      <w:tr w14:paraId="614EB678">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454" w:hRule="atLeast"/>
        </w:trPr>
        <w:tc>
          <w:tcPr>
            <w:tcW w:w="682" w:type="dxa"/>
            <w:vAlign w:val="center"/>
          </w:tcPr>
          <w:p w14:paraId="2B51CA2C">
            <w:pPr>
              <w:adjustRightInd w:val="0"/>
              <w:snapToGrid w:val="0"/>
              <w:spacing w:line="240" w:lineRule="auto"/>
              <w:ind w:firstLine="0" w:firstLineChars="0"/>
              <w:jc w:val="center"/>
              <w:outlineLvl w:val="0"/>
              <w:rPr>
                <w:color w:val="000000" w:themeColor="text1"/>
                <w:sz w:val="21"/>
                <w:szCs w:val="20"/>
                <w14:textFill>
                  <w14:solidFill>
                    <w14:schemeClr w14:val="tx1"/>
                  </w14:solidFill>
                </w14:textFill>
              </w:rPr>
            </w:pPr>
            <w:bookmarkStart w:id="288" w:name="_Toc216103305"/>
            <w:bookmarkStart w:id="289" w:name="_Toc5459"/>
            <w:bookmarkStart w:id="290" w:name="_Toc216620464"/>
            <w:r>
              <w:rPr>
                <w:color w:val="000000" w:themeColor="text1"/>
                <w:sz w:val="21"/>
                <w:szCs w:val="20"/>
                <w14:textFill>
                  <w14:solidFill>
                    <w14:schemeClr w14:val="tx1"/>
                  </w14:solidFill>
                </w14:textFill>
              </w:rPr>
              <w:t>1</w:t>
            </w:r>
            <w:bookmarkEnd w:id="288"/>
            <w:bookmarkEnd w:id="289"/>
            <w:bookmarkEnd w:id="290"/>
          </w:p>
        </w:tc>
        <w:tc>
          <w:tcPr>
            <w:tcW w:w="1068" w:type="dxa"/>
            <w:vAlign w:val="center"/>
          </w:tcPr>
          <w:p w14:paraId="77BDAD85">
            <w:pPr>
              <w:adjustRightInd w:val="0"/>
              <w:snapToGrid w:val="0"/>
              <w:spacing w:line="240" w:lineRule="auto"/>
              <w:ind w:firstLine="0" w:firstLineChars="0"/>
              <w:jc w:val="center"/>
              <w:outlineLvl w:val="0"/>
              <w:rPr>
                <w:color w:val="000000" w:themeColor="text1"/>
                <w:sz w:val="21"/>
                <w:szCs w:val="20"/>
                <w14:textFill>
                  <w14:solidFill>
                    <w14:schemeClr w14:val="tx1"/>
                  </w14:solidFill>
                </w14:textFill>
              </w:rPr>
            </w:pPr>
            <w:bookmarkStart w:id="291" w:name="_Toc216620465"/>
            <w:bookmarkStart w:id="292" w:name="_Toc216103306"/>
            <w:bookmarkStart w:id="293" w:name="_Toc24856"/>
            <w:r>
              <w:rPr>
                <w:color w:val="000000" w:themeColor="text1"/>
                <w:sz w:val="21"/>
                <w:szCs w:val="20"/>
                <w14:textFill>
                  <w14:solidFill>
                    <w14:schemeClr w14:val="tx1"/>
                  </w14:solidFill>
                </w14:textFill>
              </w:rPr>
              <w:t>苯</w:t>
            </w:r>
            <w:r>
              <w:rPr>
                <w:rFonts w:hint="eastAsia"/>
                <w:color w:val="000000" w:themeColor="text1"/>
                <w:sz w:val="21"/>
                <w:szCs w:val="20"/>
                <w14:textFill>
                  <w14:solidFill>
                    <w14:schemeClr w14:val="tx1"/>
                  </w14:solidFill>
                </w14:textFill>
              </w:rPr>
              <w:t>类</w:t>
            </w:r>
            <w:r>
              <w:rPr>
                <w:color w:val="000000" w:themeColor="text1"/>
                <w:sz w:val="21"/>
                <w:szCs w:val="20"/>
                <w14:textFill>
                  <w14:solidFill>
                    <w14:schemeClr w14:val="tx1"/>
                  </w14:solidFill>
                </w14:textFill>
              </w:rPr>
              <w:t>装卸臂</w:t>
            </w:r>
            <w:bookmarkEnd w:id="291"/>
            <w:bookmarkEnd w:id="292"/>
            <w:bookmarkEnd w:id="293"/>
          </w:p>
        </w:tc>
        <w:tc>
          <w:tcPr>
            <w:tcW w:w="4741" w:type="dxa"/>
            <w:vAlign w:val="center"/>
          </w:tcPr>
          <w:p w14:paraId="6E7258C5">
            <w:pPr>
              <w:adjustRightInd w:val="0"/>
              <w:snapToGrid w:val="0"/>
              <w:spacing w:line="240" w:lineRule="auto"/>
              <w:ind w:firstLine="0" w:firstLineChars="0"/>
              <w:jc w:val="left"/>
              <w:outlineLvl w:val="0"/>
              <w:rPr>
                <w:color w:val="000000" w:themeColor="text1"/>
                <w:sz w:val="21"/>
                <w:szCs w:val="20"/>
                <w14:textFill>
                  <w14:solidFill>
                    <w14:schemeClr w14:val="tx1"/>
                  </w14:solidFill>
                </w14:textFill>
              </w:rPr>
            </w:pPr>
            <w:bookmarkStart w:id="294" w:name="_Toc216103307"/>
            <w:bookmarkStart w:id="295" w:name="_Toc19943"/>
            <w:bookmarkStart w:id="296" w:name="_Toc216620466"/>
            <w:r>
              <w:rPr>
                <w:color w:val="000000" w:themeColor="text1"/>
                <w:sz w:val="21"/>
                <w:szCs w:val="20"/>
                <w14:textFill>
                  <w14:solidFill>
                    <w14:schemeClr w14:val="tx1"/>
                  </w14:solidFill>
                </w14:textFill>
              </w:rPr>
              <w:t>电液动装卸臂DN</w:t>
            </w:r>
            <w:r>
              <w:rPr>
                <w:rFonts w:hint="eastAsia"/>
                <w:color w:val="000000" w:themeColor="text1"/>
                <w:sz w:val="21"/>
                <w:szCs w:val="20"/>
                <w14:textFill>
                  <w14:solidFill>
                    <w14:schemeClr w14:val="tx1"/>
                  </w14:solidFill>
                </w14:textFill>
              </w:rPr>
              <w:t>4</w:t>
            </w:r>
            <w:r>
              <w:rPr>
                <w:color w:val="000000" w:themeColor="text1"/>
                <w:sz w:val="21"/>
                <w:szCs w:val="20"/>
                <w14:textFill>
                  <w14:solidFill>
                    <w14:schemeClr w14:val="tx1"/>
                  </w14:solidFill>
                </w14:textFill>
              </w:rPr>
              <w:t>00</w:t>
            </w:r>
            <w:bookmarkEnd w:id="294"/>
            <w:bookmarkEnd w:id="295"/>
            <w:bookmarkEnd w:id="296"/>
          </w:p>
          <w:p w14:paraId="028031B4">
            <w:pPr>
              <w:adjustRightInd w:val="0"/>
              <w:snapToGrid w:val="0"/>
              <w:spacing w:line="240" w:lineRule="auto"/>
              <w:ind w:firstLine="0" w:firstLineChars="0"/>
              <w:jc w:val="left"/>
              <w:outlineLvl w:val="0"/>
              <w:rPr>
                <w:color w:val="000000" w:themeColor="text1"/>
                <w:sz w:val="21"/>
                <w:szCs w:val="20"/>
                <w14:textFill>
                  <w14:solidFill>
                    <w14:schemeClr w14:val="tx1"/>
                  </w14:solidFill>
                </w14:textFill>
              </w:rPr>
            </w:pPr>
            <w:bookmarkStart w:id="297" w:name="_Toc11217"/>
            <w:bookmarkStart w:id="298" w:name="_Toc216620467"/>
            <w:bookmarkStart w:id="299" w:name="_Toc216103308"/>
            <w:r>
              <w:rPr>
                <w:color w:val="000000" w:themeColor="text1"/>
                <w:sz w:val="21"/>
                <w:szCs w:val="20"/>
                <w14:textFill>
                  <w14:solidFill>
                    <w14:schemeClr w14:val="tx1"/>
                  </w14:solidFill>
                </w14:textFill>
              </w:rPr>
              <w:t>工作介质</w:t>
            </w:r>
            <w:r>
              <w:rPr>
                <w:rFonts w:hint="eastAsia"/>
                <w:color w:val="000000" w:themeColor="text1"/>
                <w:sz w:val="21"/>
                <w:szCs w:val="20"/>
                <w14:textFill>
                  <w14:solidFill>
                    <w14:schemeClr w14:val="tx1"/>
                  </w14:solidFill>
                </w14:textFill>
              </w:rPr>
              <w:t>：</w:t>
            </w:r>
            <w:r>
              <w:rPr>
                <w:color w:val="000000" w:themeColor="text1"/>
                <w:sz w:val="21"/>
                <w:szCs w:val="20"/>
                <w14:textFill>
                  <w14:solidFill>
                    <w14:schemeClr w14:val="tx1"/>
                  </w14:solidFill>
                </w14:textFill>
              </w:rPr>
              <w:t>苯</w:t>
            </w:r>
            <w:bookmarkEnd w:id="297"/>
            <w:r>
              <w:rPr>
                <w:rFonts w:hint="eastAsia"/>
                <w:color w:val="000000" w:themeColor="text1"/>
                <w:sz w:val="21"/>
                <w:szCs w:val="20"/>
                <w14:textFill>
                  <w14:solidFill>
                    <w14:schemeClr w14:val="tx1"/>
                  </w14:solidFill>
                </w14:textFill>
              </w:rPr>
              <w:t>类</w:t>
            </w:r>
            <w:bookmarkEnd w:id="298"/>
            <w:bookmarkEnd w:id="299"/>
          </w:p>
          <w:p w14:paraId="36ECB54E">
            <w:pPr>
              <w:adjustRightInd w:val="0"/>
              <w:snapToGrid w:val="0"/>
              <w:spacing w:line="240" w:lineRule="auto"/>
              <w:ind w:firstLine="0" w:firstLineChars="0"/>
              <w:jc w:val="left"/>
              <w:outlineLvl w:val="0"/>
              <w:rPr>
                <w:color w:val="000000" w:themeColor="text1"/>
                <w:sz w:val="21"/>
                <w:szCs w:val="20"/>
                <w14:textFill>
                  <w14:solidFill>
                    <w14:schemeClr w14:val="tx1"/>
                  </w14:solidFill>
                </w14:textFill>
              </w:rPr>
            </w:pPr>
            <w:bookmarkStart w:id="300" w:name="_Toc216103309"/>
            <w:bookmarkStart w:id="301" w:name="_Toc216620468"/>
            <w:bookmarkStart w:id="302" w:name="_Toc9981"/>
            <w:r>
              <w:rPr>
                <w:color w:val="000000" w:themeColor="text1"/>
                <w:sz w:val="21"/>
                <w:szCs w:val="20"/>
                <w14:textFill>
                  <w14:solidFill>
                    <w14:schemeClr w14:val="tx1"/>
                  </w14:solidFill>
                </w14:textFill>
              </w:rPr>
              <w:t>额定流量：1700m</w:t>
            </w:r>
            <w:r>
              <w:rPr>
                <w:color w:val="000000" w:themeColor="text1"/>
                <w:sz w:val="21"/>
                <w:szCs w:val="20"/>
                <w:vertAlign w:val="superscript"/>
                <w14:textFill>
                  <w14:solidFill>
                    <w14:schemeClr w14:val="tx1"/>
                  </w14:solidFill>
                </w14:textFill>
              </w:rPr>
              <w:t>3</w:t>
            </w:r>
            <w:r>
              <w:rPr>
                <w:color w:val="000000" w:themeColor="text1"/>
                <w:sz w:val="21"/>
                <w:szCs w:val="20"/>
                <w14:textFill>
                  <w14:solidFill>
                    <w14:schemeClr w14:val="tx1"/>
                  </w14:solidFill>
                </w14:textFill>
              </w:rPr>
              <w:t>/h。液相通径：DN</w:t>
            </w:r>
            <w:r>
              <w:rPr>
                <w:rFonts w:hint="eastAsia"/>
                <w:color w:val="000000" w:themeColor="text1"/>
                <w:sz w:val="21"/>
                <w:szCs w:val="20"/>
                <w14:textFill>
                  <w14:solidFill>
                    <w14:schemeClr w14:val="tx1"/>
                  </w14:solidFill>
                </w14:textFill>
              </w:rPr>
              <w:t>4</w:t>
            </w:r>
            <w:r>
              <w:rPr>
                <w:color w:val="000000" w:themeColor="text1"/>
                <w:sz w:val="21"/>
                <w:szCs w:val="20"/>
                <w14:textFill>
                  <w14:solidFill>
                    <w14:schemeClr w14:val="tx1"/>
                  </w14:solidFill>
                </w14:textFill>
              </w:rPr>
              <w:t>00</w:t>
            </w:r>
            <w:bookmarkEnd w:id="300"/>
            <w:bookmarkEnd w:id="301"/>
            <w:bookmarkEnd w:id="302"/>
          </w:p>
          <w:p w14:paraId="0034F66E">
            <w:pPr>
              <w:adjustRightInd w:val="0"/>
              <w:snapToGrid w:val="0"/>
              <w:spacing w:line="240" w:lineRule="auto"/>
              <w:ind w:firstLine="0" w:firstLineChars="0"/>
              <w:jc w:val="left"/>
              <w:outlineLvl w:val="0"/>
              <w:rPr>
                <w:color w:val="000000" w:themeColor="text1"/>
                <w:sz w:val="21"/>
                <w:szCs w:val="20"/>
                <w14:textFill>
                  <w14:solidFill>
                    <w14:schemeClr w14:val="tx1"/>
                  </w14:solidFill>
                </w14:textFill>
              </w:rPr>
            </w:pPr>
            <w:bookmarkStart w:id="303" w:name="_Toc12527"/>
            <w:bookmarkStart w:id="304" w:name="_Toc216620469"/>
            <w:bookmarkStart w:id="305" w:name="_Toc216103310"/>
            <w:r>
              <w:rPr>
                <w:color w:val="000000" w:themeColor="text1"/>
                <w:sz w:val="21"/>
                <w:szCs w:val="20"/>
                <w14:textFill>
                  <w14:solidFill>
                    <w14:schemeClr w14:val="tx1"/>
                  </w14:solidFill>
                </w14:textFill>
              </w:rPr>
              <w:t>工作压力</w:t>
            </w:r>
            <w:r>
              <w:rPr>
                <w:rFonts w:hint="eastAsia"/>
                <w:color w:val="000000" w:themeColor="text1"/>
                <w:sz w:val="21"/>
                <w:szCs w:val="20"/>
                <w14:textFill>
                  <w14:solidFill>
                    <w14:schemeClr w14:val="tx1"/>
                  </w14:solidFill>
                </w14:textFill>
              </w:rPr>
              <w:t>：</w:t>
            </w:r>
            <w:r>
              <w:rPr>
                <w:color w:val="000000" w:themeColor="text1"/>
                <w:sz w:val="21"/>
                <w:szCs w:val="20"/>
                <w14:textFill>
                  <w14:solidFill>
                    <w14:schemeClr w14:val="tx1"/>
                  </w14:solidFill>
                </w14:textFill>
              </w:rPr>
              <w:t>1.2MPa；设计压力</w:t>
            </w:r>
            <w:r>
              <w:rPr>
                <w:rFonts w:hint="eastAsia"/>
                <w:color w:val="000000" w:themeColor="text1"/>
                <w:sz w:val="21"/>
                <w:szCs w:val="20"/>
                <w14:textFill>
                  <w14:solidFill>
                    <w14:schemeClr w14:val="tx1"/>
                  </w14:solidFill>
                </w14:textFill>
              </w:rPr>
              <w:t>：</w:t>
            </w:r>
            <w:r>
              <w:rPr>
                <w:color w:val="000000" w:themeColor="text1"/>
                <w:sz w:val="21"/>
                <w:szCs w:val="20"/>
                <w14:textFill>
                  <w14:solidFill>
                    <w14:schemeClr w14:val="tx1"/>
                  </w14:solidFill>
                </w14:textFill>
              </w:rPr>
              <w:t>1.38MPa</w:t>
            </w:r>
            <w:bookmarkEnd w:id="303"/>
            <w:bookmarkEnd w:id="304"/>
            <w:bookmarkEnd w:id="305"/>
          </w:p>
          <w:p w14:paraId="1D92AAF0">
            <w:pPr>
              <w:adjustRightInd w:val="0"/>
              <w:snapToGrid w:val="0"/>
              <w:spacing w:line="240" w:lineRule="auto"/>
              <w:ind w:firstLine="0" w:firstLineChars="0"/>
              <w:jc w:val="left"/>
              <w:outlineLvl w:val="0"/>
              <w:rPr>
                <w:color w:val="000000" w:themeColor="text1"/>
                <w:sz w:val="21"/>
                <w:szCs w:val="20"/>
                <w14:textFill>
                  <w14:solidFill>
                    <w14:schemeClr w14:val="tx1"/>
                  </w14:solidFill>
                </w14:textFill>
              </w:rPr>
            </w:pPr>
            <w:bookmarkStart w:id="306" w:name="_Toc216620470"/>
            <w:bookmarkStart w:id="307" w:name="_Toc216103311"/>
            <w:bookmarkStart w:id="308" w:name="_Toc12840"/>
            <w:r>
              <w:rPr>
                <w:color w:val="000000" w:themeColor="text1"/>
                <w:sz w:val="21"/>
                <w:szCs w:val="20"/>
                <w14:textFill>
                  <w14:solidFill>
                    <w14:schemeClr w14:val="tx1"/>
                  </w14:solidFill>
                </w14:textFill>
              </w:rPr>
              <w:t>工作温度</w:t>
            </w:r>
            <w:r>
              <w:rPr>
                <w:rFonts w:hint="eastAsia"/>
                <w:color w:val="000000" w:themeColor="text1"/>
                <w:sz w:val="21"/>
                <w:szCs w:val="20"/>
                <w14:textFill>
                  <w14:solidFill>
                    <w14:schemeClr w14:val="tx1"/>
                  </w14:solidFill>
                </w14:textFill>
              </w:rPr>
              <w:t>：</w:t>
            </w:r>
            <w:r>
              <w:rPr>
                <w:color w:val="000000" w:themeColor="text1"/>
                <w:sz w:val="21"/>
                <w:szCs w:val="20"/>
                <w14:textFill>
                  <w14:solidFill>
                    <w14:schemeClr w14:val="tx1"/>
                  </w14:solidFill>
                </w14:textFill>
              </w:rPr>
              <w:t>常温；设计温度</w:t>
            </w:r>
            <w:r>
              <w:rPr>
                <w:rFonts w:hint="eastAsia"/>
                <w:color w:val="000000" w:themeColor="text1"/>
                <w:sz w:val="21"/>
                <w:szCs w:val="20"/>
                <w14:textFill>
                  <w14:solidFill>
                    <w14:schemeClr w14:val="tx1"/>
                  </w14:solidFill>
                </w14:textFill>
              </w:rPr>
              <w:t>：</w:t>
            </w:r>
            <w:r>
              <w:rPr>
                <w:color w:val="000000" w:themeColor="text1"/>
                <w:sz w:val="21"/>
                <w:szCs w:val="20"/>
                <w14:textFill>
                  <w14:solidFill>
                    <w14:schemeClr w14:val="tx1"/>
                  </w14:solidFill>
                </w14:textFill>
              </w:rPr>
              <w:t>80°C</w:t>
            </w:r>
            <w:bookmarkEnd w:id="306"/>
            <w:bookmarkEnd w:id="307"/>
            <w:bookmarkEnd w:id="308"/>
          </w:p>
          <w:p w14:paraId="7EF12D6E">
            <w:pPr>
              <w:adjustRightInd w:val="0"/>
              <w:snapToGrid w:val="0"/>
              <w:spacing w:line="240" w:lineRule="auto"/>
              <w:ind w:firstLine="0" w:firstLineChars="0"/>
              <w:jc w:val="left"/>
              <w:outlineLvl w:val="0"/>
              <w:rPr>
                <w:color w:val="000000" w:themeColor="text1"/>
                <w:sz w:val="21"/>
                <w:szCs w:val="20"/>
                <w14:textFill>
                  <w14:solidFill>
                    <w14:schemeClr w14:val="tx1"/>
                  </w14:solidFill>
                </w14:textFill>
              </w:rPr>
            </w:pPr>
            <w:bookmarkStart w:id="309" w:name="_Toc23809"/>
            <w:bookmarkStart w:id="310" w:name="_Toc216620471"/>
            <w:bookmarkStart w:id="311" w:name="_Toc216103312"/>
            <w:r>
              <w:rPr>
                <w:rFonts w:hint="eastAsia"/>
                <w:color w:val="000000" w:themeColor="text1"/>
                <w:sz w:val="21"/>
                <w:szCs w:val="20"/>
                <w:lang w:eastAsia="zh-CN"/>
                <w14:textFill>
                  <w14:solidFill>
                    <w14:schemeClr w14:val="tx1"/>
                  </w14:solidFill>
                </w14:textFill>
              </w:rPr>
              <w:t>配备</w:t>
            </w:r>
            <w:r>
              <w:rPr>
                <w:color w:val="000000" w:themeColor="text1"/>
                <w:sz w:val="21"/>
                <w:szCs w:val="20"/>
                <w14:textFill>
                  <w14:solidFill>
                    <w14:schemeClr w14:val="tx1"/>
                  </w14:solidFill>
                </w14:textFill>
              </w:rPr>
              <w:t>绝缘法兰，并配备紧急脱离系统和声光</w:t>
            </w:r>
            <w:bookmarkEnd w:id="309"/>
            <w:bookmarkEnd w:id="310"/>
            <w:bookmarkEnd w:id="311"/>
          </w:p>
          <w:p w14:paraId="78BB6EAE">
            <w:pPr>
              <w:adjustRightInd w:val="0"/>
              <w:snapToGrid w:val="0"/>
              <w:spacing w:line="240" w:lineRule="auto"/>
              <w:ind w:firstLine="0" w:firstLineChars="0"/>
              <w:jc w:val="left"/>
              <w:outlineLvl w:val="0"/>
              <w:rPr>
                <w:color w:val="000000" w:themeColor="text1"/>
                <w:sz w:val="21"/>
                <w:szCs w:val="20"/>
                <w14:textFill>
                  <w14:solidFill>
                    <w14:schemeClr w14:val="tx1"/>
                  </w14:solidFill>
                </w14:textFill>
              </w:rPr>
            </w:pPr>
            <w:bookmarkStart w:id="312" w:name="_Toc216103313"/>
            <w:bookmarkStart w:id="313" w:name="_Toc216620472"/>
            <w:bookmarkStart w:id="314" w:name="_Toc28126"/>
            <w:r>
              <w:rPr>
                <w:color w:val="000000" w:themeColor="text1"/>
                <w:sz w:val="21"/>
                <w:szCs w:val="20"/>
                <w14:textFill>
                  <w14:solidFill>
                    <w14:schemeClr w14:val="tx1"/>
                  </w14:solidFill>
                </w14:textFill>
              </w:rPr>
              <w:t>报警系统。</w:t>
            </w:r>
            <w:bookmarkEnd w:id="312"/>
            <w:bookmarkEnd w:id="313"/>
            <w:bookmarkEnd w:id="314"/>
          </w:p>
        </w:tc>
        <w:tc>
          <w:tcPr>
            <w:tcW w:w="709" w:type="dxa"/>
            <w:vAlign w:val="center"/>
          </w:tcPr>
          <w:p w14:paraId="732A628D">
            <w:pPr>
              <w:adjustRightInd w:val="0"/>
              <w:snapToGrid w:val="0"/>
              <w:spacing w:line="240" w:lineRule="auto"/>
              <w:ind w:firstLine="0" w:firstLineChars="0"/>
              <w:jc w:val="center"/>
              <w:outlineLvl w:val="0"/>
              <w:rPr>
                <w:color w:val="000000" w:themeColor="text1"/>
                <w:sz w:val="21"/>
                <w:szCs w:val="20"/>
                <w14:textFill>
                  <w14:solidFill>
                    <w14:schemeClr w14:val="tx1"/>
                  </w14:solidFill>
                </w14:textFill>
              </w:rPr>
            </w:pPr>
            <w:bookmarkStart w:id="315" w:name="_Toc216620473"/>
            <w:bookmarkStart w:id="316" w:name="_Toc216103314"/>
            <w:bookmarkStart w:id="317" w:name="_Toc28734"/>
            <w:r>
              <w:rPr>
                <w:color w:val="000000" w:themeColor="text1"/>
                <w:sz w:val="21"/>
                <w:szCs w:val="20"/>
                <w14:textFill>
                  <w14:solidFill>
                    <w14:schemeClr w14:val="tx1"/>
                  </w14:solidFill>
                </w14:textFill>
              </w:rPr>
              <w:t>台</w:t>
            </w:r>
            <w:bookmarkEnd w:id="315"/>
            <w:bookmarkEnd w:id="316"/>
            <w:bookmarkEnd w:id="317"/>
          </w:p>
        </w:tc>
        <w:tc>
          <w:tcPr>
            <w:tcW w:w="709" w:type="dxa"/>
            <w:vAlign w:val="center"/>
          </w:tcPr>
          <w:p w14:paraId="49E76778">
            <w:pPr>
              <w:adjustRightInd w:val="0"/>
              <w:snapToGrid w:val="0"/>
              <w:spacing w:line="240" w:lineRule="auto"/>
              <w:ind w:firstLine="0" w:firstLineChars="0"/>
              <w:jc w:val="center"/>
              <w:outlineLvl w:val="0"/>
              <w:rPr>
                <w:color w:val="000000" w:themeColor="text1"/>
                <w:sz w:val="21"/>
                <w:szCs w:val="20"/>
                <w14:textFill>
                  <w14:solidFill>
                    <w14:schemeClr w14:val="tx1"/>
                  </w14:solidFill>
                </w14:textFill>
              </w:rPr>
            </w:pPr>
            <w:bookmarkStart w:id="318" w:name="_Toc20138"/>
            <w:bookmarkStart w:id="319" w:name="_Toc216103315"/>
            <w:bookmarkStart w:id="320" w:name="_Toc216620474"/>
            <w:r>
              <w:rPr>
                <w:color w:val="000000" w:themeColor="text1"/>
                <w:sz w:val="21"/>
                <w:szCs w:val="20"/>
                <w14:textFill>
                  <w14:solidFill>
                    <w14:schemeClr w14:val="tx1"/>
                  </w14:solidFill>
                </w14:textFill>
              </w:rPr>
              <w:t>1</w:t>
            </w:r>
            <w:bookmarkEnd w:id="318"/>
            <w:bookmarkEnd w:id="319"/>
            <w:bookmarkEnd w:id="320"/>
          </w:p>
        </w:tc>
        <w:tc>
          <w:tcPr>
            <w:tcW w:w="1098" w:type="dxa"/>
            <w:vAlign w:val="center"/>
          </w:tcPr>
          <w:p w14:paraId="6B291F4E">
            <w:pPr>
              <w:adjustRightInd w:val="0"/>
              <w:snapToGrid w:val="0"/>
              <w:spacing w:line="240" w:lineRule="auto"/>
              <w:ind w:firstLine="0" w:firstLineChars="0"/>
              <w:jc w:val="center"/>
              <w:outlineLvl w:val="0"/>
              <w:rPr>
                <w:color w:val="000000" w:themeColor="text1"/>
                <w:sz w:val="21"/>
                <w:szCs w:val="20"/>
                <w14:textFill>
                  <w14:solidFill>
                    <w14:schemeClr w14:val="tx1"/>
                  </w14:solidFill>
                </w14:textFill>
              </w:rPr>
            </w:pPr>
            <w:bookmarkStart w:id="321" w:name="_Toc216103316"/>
            <w:bookmarkStart w:id="322" w:name="_Toc13679"/>
            <w:bookmarkStart w:id="323" w:name="_Toc216620475"/>
            <w:r>
              <w:rPr>
                <w:color w:val="000000" w:themeColor="text1"/>
                <w:sz w:val="21"/>
                <w:szCs w:val="20"/>
                <w14:textFill>
                  <w14:solidFill>
                    <w14:schemeClr w14:val="tx1"/>
                  </w14:solidFill>
                </w14:textFill>
              </w:rPr>
              <w:t>利旧</w:t>
            </w:r>
            <w:bookmarkEnd w:id="321"/>
            <w:bookmarkEnd w:id="322"/>
            <w:bookmarkEnd w:id="323"/>
          </w:p>
        </w:tc>
      </w:tr>
      <w:tr w14:paraId="3D20F5E0">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454" w:hRule="atLeast"/>
        </w:trPr>
        <w:tc>
          <w:tcPr>
            <w:tcW w:w="682" w:type="dxa"/>
            <w:vAlign w:val="center"/>
          </w:tcPr>
          <w:p w14:paraId="2EA51767">
            <w:pPr>
              <w:adjustRightInd w:val="0"/>
              <w:snapToGrid w:val="0"/>
              <w:spacing w:line="240" w:lineRule="auto"/>
              <w:ind w:firstLine="0" w:firstLineChars="0"/>
              <w:jc w:val="center"/>
              <w:outlineLvl w:val="0"/>
              <w:rPr>
                <w:color w:val="000000" w:themeColor="text1"/>
                <w:sz w:val="21"/>
                <w:szCs w:val="20"/>
                <w14:textFill>
                  <w14:solidFill>
                    <w14:schemeClr w14:val="tx1"/>
                  </w14:solidFill>
                </w14:textFill>
              </w:rPr>
            </w:pPr>
            <w:bookmarkStart w:id="324" w:name="_Toc216103317"/>
            <w:bookmarkStart w:id="325" w:name="_Toc8948"/>
            <w:bookmarkStart w:id="326" w:name="_Toc216620476"/>
            <w:r>
              <w:rPr>
                <w:color w:val="000000" w:themeColor="text1"/>
                <w:sz w:val="21"/>
                <w:szCs w:val="20"/>
                <w14:textFill>
                  <w14:solidFill>
                    <w14:schemeClr w14:val="tx1"/>
                  </w14:solidFill>
                </w14:textFill>
              </w:rPr>
              <w:t>2</w:t>
            </w:r>
            <w:bookmarkEnd w:id="324"/>
            <w:bookmarkEnd w:id="325"/>
            <w:bookmarkEnd w:id="326"/>
          </w:p>
        </w:tc>
        <w:tc>
          <w:tcPr>
            <w:tcW w:w="1068" w:type="dxa"/>
            <w:vAlign w:val="center"/>
          </w:tcPr>
          <w:p w14:paraId="435CA5A7">
            <w:pPr>
              <w:adjustRightInd w:val="0"/>
              <w:snapToGrid w:val="0"/>
              <w:spacing w:line="240" w:lineRule="auto"/>
              <w:ind w:firstLine="0" w:firstLineChars="0"/>
              <w:jc w:val="center"/>
              <w:outlineLvl w:val="0"/>
              <w:rPr>
                <w:color w:val="000000" w:themeColor="text1"/>
                <w:sz w:val="21"/>
                <w:szCs w:val="20"/>
                <w14:textFill>
                  <w14:solidFill>
                    <w14:schemeClr w14:val="tx1"/>
                  </w14:solidFill>
                </w14:textFill>
              </w:rPr>
            </w:pPr>
            <w:bookmarkStart w:id="327" w:name="_Toc216103318"/>
            <w:bookmarkStart w:id="328" w:name="_Toc15639"/>
            <w:bookmarkStart w:id="329" w:name="_Toc216620477"/>
            <w:r>
              <w:rPr>
                <w:color w:val="000000" w:themeColor="text1"/>
                <w:sz w:val="21"/>
                <w:szCs w:val="20"/>
                <w14:textFill>
                  <w14:solidFill>
                    <w14:schemeClr w14:val="tx1"/>
                  </w14:solidFill>
                </w14:textFill>
              </w:rPr>
              <w:t>油类装卸</w:t>
            </w:r>
            <w:bookmarkEnd w:id="327"/>
            <w:bookmarkEnd w:id="328"/>
            <w:bookmarkEnd w:id="329"/>
          </w:p>
          <w:p w14:paraId="180FB284">
            <w:pPr>
              <w:adjustRightInd w:val="0"/>
              <w:snapToGrid w:val="0"/>
              <w:spacing w:line="240" w:lineRule="auto"/>
              <w:ind w:firstLine="0" w:firstLineChars="0"/>
              <w:jc w:val="center"/>
              <w:outlineLvl w:val="0"/>
              <w:rPr>
                <w:color w:val="000000" w:themeColor="text1"/>
                <w:sz w:val="21"/>
                <w:szCs w:val="20"/>
                <w14:textFill>
                  <w14:solidFill>
                    <w14:schemeClr w14:val="tx1"/>
                  </w14:solidFill>
                </w14:textFill>
              </w:rPr>
            </w:pPr>
            <w:bookmarkStart w:id="330" w:name="_Toc11782"/>
            <w:bookmarkStart w:id="331" w:name="_Toc216103319"/>
            <w:bookmarkStart w:id="332" w:name="_Toc216620478"/>
            <w:r>
              <w:rPr>
                <w:color w:val="000000" w:themeColor="text1"/>
                <w:sz w:val="21"/>
                <w:szCs w:val="20"/>
                <w14:textFill>
                  <w14:solidFill>
                    <w14:schemeClr w14:val="tx1"/>
                  </w14:solidFill>
                </w14:textFill>
              </w:rPr>
              <w:t>臂</w:t>
            </w:r>
            <w:bookmarkEnd w:id="330"/>
            <w:bookmarkEnd w:id="331"/>
            <w:bookmarkEnd w:id="332"/>
          </w:p>
        </w:tc>
        <w:tc>
          <w:tcPr>
            <w:tcW w:w="4741" w:type="dxa"/>
            <w:vAlign w:val="center"/>
          </w:tcPr>
          <w:p w14:paraId="52D89A00">
            <w:pPr>
              <w:adjustRightInd w:val="0"/>
              <w:snapToGrid w:val="0"/>
              <w:spacing w:line="240" w:lineRule="auto"/>
              <w:ind w:firstLine="0" w:firstLineChars="0"/>
              <w:jc w:val="left"/>
              <w:outlineLvl w:val="0"/>
              <w:rPr>
                <w:color w:val="000000" w:themeColor="text1"/>
                <w:sz w:val="21"/>
                <w:szCs w:val="20"/>
                <w14:textFill>
                  <w14:solidFill>
                    <w14:schemeClr w14:val="tx1"/>
                  </w14:solidFill>
                </w14:textFill>
              </w:rPr>
            </w:pPr>
            <w:bookmarkStart w:id="333" w:name="_Toc216620479"/>
            <w:bookmarkStart w:id="334" w:name="_Toc9958"/>
            <w:bookmarkStart w:id="335" w:name="_Toc216103320"/>
            <w:r>
              <w:rPr>
                <w:color w:val="000000" w:themeColor="text1"/>
                <w:sz w:val="21"/>
                <w:szCs w:val="20"/>
                <w14:textFill>
                  <w14:solidFill>
                    <w14:schemeClr w14:val="tx1"/>
                  </w14:solidFill>
                </w14:textFill>
              </w:rPr>
              <w:t>电液动装卸臂DN</w:t>
            </w:r>
            <w:r>
              <w:rPr>
                <w:rFonts w:hint="eastAsia"/>
                <w:color w:val="000000" w:themeColor="text1"/>
                <w:sz w:val="21"/>
                <w:szCs w:val="20"/>
                <w14:textFill>
                  <w14:solidFill>
                    <w14:schemeClr w14:val="tx1"/>
                  </w14:solidFill>
                </w14:textFill>
              </w:rPr>
              <w:t>2</w:t>
            </w:r>
            <w:r>
              <w:rPr>
                <w:color w:val="000000" w:themeColor="text1"/>
                <w:sz w:val="21"/>
                <w:szCs w:val="20"/>
                <w14:textFill>
                  <w14:solidFill>
                    <w14:schemeClr w14:val="tx1"/>
                  </w14:solidFill>
                </w14:textFill>
              </w:rPr>
              <w:t>00</w:t>
            </w:r>
            <w:bookmarkEnd w:id="333"/>
            <w:bookmarkEnd w:id="334"/>
            <w:bookmarkEnd w:id="335"/>
          </w:p>
          <w:p w14:paraId="41027A53">
            <w:pPr>
              <w:adjustRightInd w:val="0"/>
              <w:snapToGrid w:val="0"/>
              <w:spacing w:line="240" w:lineRule="auto"/>
              <w:ind w:firstLine="0" w:firstLineChars="0"/>
              <w:jc w:val="left"/>
              <w:outlineLvl w:val="0"/>
              <w:rPr>
                <w:color w:val="000000" w:themeColor="text1"/>
                <w:sz w:val="21"/>
                <w:szCs w:val="20"/>
                <w14:textFill>
                  <w14:solidFill>
                    <w14:schemeClr w14:val="tx1"/>
                  </w14:solidFill>
                </w14:textFill>
              </w:rPr>
            </w:pPr>
            <w:bookmarkStart w:id="336" w:name="_Toc216620480"/>
            <w:bookmarkStart w:id="337" w:name="_Toc31794"/>
            <w:bookmarkStart w:id="338" w:name="_Toc216103321"/>
            <w:r>
              <w:rPr>
                <w:color w:val="000000" w:themeColor="text1"/>
                <w:sz w:val="21"/>
                <w:szCs w:val="20"/>
                <w14:textFill>
                  <w14:solidFill>
                    <w14:schemeClr w14:val="tx1"/>
                  </w14:solidFill>
                </w14:textFill>
              </w:rPr>
              <w:t>工作介质</w:t>
            </w:r>
            <w:r>
              <w:rPr>
                <w:rFonts w:hint="eastAsia"/>
                <w:color w:val="000000" w:themeColor="text1"/>
                <w:sz w:val="21"/>
                <w:szCs w:val="20"/>
                <w14:textFill>
                  <w14:solidFill>
                    <w14:schemeClr w14:val="tx1"/>
                  </w14:solidFill>
                </w14:textFill>
              </w:rPr>
              <w:t>：</w:t>
            </w:r>
            <w:r>
              <w:rPr>
                <w:color w:val="000000" w:themeColor="text1"/>
                <w:sz w:val="21"/>
                <w:szCs w:val="20"/>
                <w14:textFill>
                  <w14:solidFill>
                    <w14:schemeClr w14:val="tx1"/>
                  </w14:solidFill>
                </w14:textFill>
              </w:rPr>
              <w:t>裂解C9、棕榈酸化油、脂肪酸混合物、工业级混合油、脂肪酸甲酯、纯生物柴油、航空煤油</w:t>
            </w:r>
            <w:bookmarkEnd w:id="336"/>
            <w:bookmarkEnd w:id="337"/>
            <w:bookmarkEnd w:id="338"/>
          </w:p>
          <w:p w14:paraId="0166D124">
            <w:pPr>
              <w:adjustRightInd w:val="0"/>
              <w:snapToGrid w:val="0"/>
              <w:spacing w:line="240" w:lineRule="auto"/>
              <w:ind w:firstLine="0" w:firstLineChars="0"/>
              <w:jc w:val="left"/>
              <w:outlineLvl w:val="0"/>
              <w:rPr>
                <w:color w:val="000000" w:themeColor="text1"/>
                <w:sz w:val="21"/>
                <w:szCs w:val="20"/>
                <w14:textFill>
                  <w14:solidFill>
                    <w14:schemeClr w14:val="tx1"/>
                  </w14:solidFill>
                </w14:textFill>
              </w:rPr>
            </w:pPr>
            <w:bookmarkStart w:id="339" w:name="_Toc5050"/>
            <w:bookmarkStart w:id="340" w:name="_Toc216103322"/>
            <w:bookmarkStart w:id="341" w:name="_Toc216620481"/>
            <w:r>
              <w:rPr>
                <w:color w:val="000000" w:themeColor="text1"/>
                <w:sz w:val="21"/>
                <w:szCs w:val="20"/>
                <w14:textFill>
                  <w14:solidFill>
                    <w14:schemeClr w14:val="tx1"/>
                  </w14:solidFill>
                </w14:textFill>
              </w:rPr>
              <w:t>额定流量：1000m</w:t>
            </w:r>
            <w:r>
              <w:rPr>
                <w:color w:val="000000" w:themeColor="text1"/>
                <w:sz w:val="21"/>
                <w:szCs w:val="20"/>
                <w:vertAlign w:val="superscript"/>
                <w14:textFill>
                  <w14:solidFill>
                    <w14:schemeClr w14:val="tx1"/>
                  </w14:solidFill>
                </w14:textFill>
              </w:rPr>
              <w:t>3</w:t>
            </w:r>
            <w:r>
              <w:rPr>
                <w:color w:val="000000" w:themeColor="text1"/>
                <w:sz w:val="21"/>
                <w:szCs w:val="20"/>
                <w14:textFill>
                  <w14:solidFill>
                    <w14:schemeClr w14:val="tx1"/>
                  </w14:solidFill>
                </w14:textFill>
              </w:rPr>
              <w:t>/h。液相通径：DN</w:t>
            </w:r>
            <w:r>
              <w:rPr>
                <w:rFonts w:hint="eastAsia"/>
                <w:color w:val="000000" w:themeColor="text1"/>
                <w:sz w:val="21"/>
                <w:szCs w:val="20"/>
                <w14:textFill>
                  <w14:solidFill>
                    <w14:schemeClr w14:val="tx1"/>
                  </w14:solidFill>
                </w14:textFill>
              </w:rPr>
              <w:t>3</w:t>
            </w:r>
            <w:r>
              <w:rPr>
                <w:color w:val="000000" w:themeColor="text1"/>
                <w:sz w:val="21"/>
                <w:szCs w:val="20"/>
                <w14:textFill>
                  <w14:solidFill>
                    <w14:schemeClr w14:val="tx1"/>
                  </w14:solidFill>
                </w14:textFill>
              </w:rPr>
              <w:t>00；气相通径：DN150</w:t>
            </w:r>
            <w:bookmarkEnd w:id="339"/>
            <w:bookmarkEnd w:id="340"/>
            <w:bookmarkEnd w:id="341"/>
          </w:p>
          <w:p w14:paraId="19515515">
            <w:pPr>
              <w:adjustRightInd w:val="0"/>
              <w:snapToGrid w:val="0"/>
              <w:spacing w:line="240" w:lineRule="auto"/>
              <w:ind w:firstLine="0" w:firstLineChars="0"/>
              <w:jc w:val="left"/>
              <w:outlineLvl w:val="0"/>
              <w:rPr>
                <w:color w:val="000000" w:themeColor="text1"/>
                <w:sz w:val="21"/>
                <w:szCs w:val="20"/>
                <w14:textFill>
                  <w14:solidFill>
                    <w14:schemeClr w14:val="tx1"/>
                  </w14:solidFill>
                </w14:textFill>
              </w:rPr>
            </w:pPr>
            <w:bookmarkStart w:id="342" w:name="_Toc216620482"/>
            <w:bookmarkStart w:id="343" w:name="_Toc216103323"/>
            <w:bookmarkStart w:id="344" w:name="_Toc16717"/>
            <w:r>
              <w:rPr>
                <w:color w:val="000000" w:themeColor="text1"/>
                <w:sz w:val="21"/>
                <w:szCs w:val="20"/>
                <w14:textFill>
                  <w14:solidFill>
                    <w14:schemeClr w14:val="tx1"/>
                  </w14:solidFill>
                </w14:textFill>
              </w:rPr>
              <w:t>工作压力</w:t>
            </w:r>
            <w:r>
              <w:rPr>
                <w:rFonts w:hint="eastAsia"/>
                <w:color w:val="000000" w:themeColor="text1"/>
                <w:sz w:val="21"/>
                <w:szCs w:val="20"/>
                <w14:textFill>
                  <w14:solidFill>
                    <w14:schemeClr w14:val="tx1"/>
                  </w14:solidFill>
                </w14:textFill>
              </w:rPr>
              <w:t>：</w:t>
            </w:r>
            <w:r>
              <w:rPr>
                <w:color w:val="000000" w:themeColor="text1"/>
                <w:sz w:val="21"/>
                <w:szCs w:val="20"/>
                <w14:textFill>
                  <w14:solidFill>
                    <w14:schemeClr w14:val="tx1"/>
                  </w14:solidFill>
                </w14:textFill>
              </w:rPr>
              <w:t>1.2MPa；设计压力</w:t>
            </w:r>
            <w:r>
              <w:rPr>
                <w:rFonts w:hint="eastAsia"/>
                <w:color w:val="000000" w:themeColor="text1"/>
                <w:sz w:val="21"/>
                <w:szCs w:val="20"/>
                <w14:textFill>
                  <w14:solidFill>
                    <w14:schemeClr w14:val="tx1"/>
                  </w14:solidFill>
                </w14:textFill>
              </w:rPr>
              <w:t>：</w:t>
            </w:r>
            <w:r>
              <w:rPr>
                <w:color w:val="000000" w:themeColor="text1"/>
                <w:sz w:val="21"/>
                <w:szCs w:val="20"/>
                <w14:textFill>
                  <w14:solidFill>
                    <w14:schemeClr w14:val="tx1"/>
                  </w14:solidFill>
                </w14:textFill>
              </w:rPr>
              <w:t>1.38MPa</w:t>
            </w:r>
            <w:bookmarkEnd w:id="342"/>
            <w:bookmarkEnd w:id="343"/>
            <w:bookmarkEnd w:id="344"/>
          </w:p>
          <w:p w14:paraId="45C27075">
            <w:pPr>
              <w:adjustRightInd w:val="0"/>
              <w:snapToGrid w:val="0"/>
              <w:spacing w:line="240" w:lineRule="auto"/>
              <w:ind w:firstLine="0" w:firstLineChars="0"/>
              <w:jc w:val="left"/>
              <w:outlineLvl w:val="0"/>
              <w:rPr>
                <w:color w:val="000000" w:themeColor="text1"/>
                <w:sz w:val="21"/>
                <w:szCs w:val="20"/>
                <w14:textFill>
                  <w14:solidFill>
                    <w14:schemeClr w14:val="tx1"/>
                  </w14:solidFill>
                </w14:textFill>
              </w:rPr>
            </w:pPr>
            <w:bookmarkStart w:id="345" w:name="_Toc27838"/>
            <w:bookmarkStart w:id="346" w:name="_Toc216620483"/>
            <w:bookmarkStart w:id="347" w:name="_Toc216103324"/>
            <w:r>
              <w:rPr>
                <w:color w:val="000000" w:themeColor="text1"/>
                <w:sz w:val="21"/>
                <w:szCs w:val="20"/>
                <w14:textFill>
                  <w14:solidFill>
                    <w14:schemeClr w14:val="tx1"/>
                  </w14:solidFill>
                </w14:textFill>
              </w:rPr>
              <w:t>工作温度</w:t>
            </w:r>
            <w:r>
              <w:rPr>
                <w:rFonts w:hint="eastAsia"/>
                <w:color w:val="000000" w:themeColor="text1"/>
                <w:sz w:val="21"/>
                <w:szCs w:val="20"/>
                <w14:textFill>
                  <w14:solidFill>
                    <w14:schemeClr w14:val="tx1"/>
                  </w14:solidFill>
                </w14:textFill>
              </w:rPr>
              <w:t>：</w:t>
            </w:r>
            <w:r>
              <w:rPr>
                <w:color w:val="000000" w:themeColor="text1"/>
                <w:sz w:val="21"/>
                <w:szCs w:val="20"/>
                <w14:textFill>
                  <w14:solidFill>
                    <w14:schemeClr w14:val="tx1"/>
                  </w14:solidFill>
                </w14:textFill>
              </w:rPr>
              <w:t>常温；设计温度</w:t>
            </w:r>
            <w:r>
              <w:rPr>
                <w:rFonts w:hint="eastAsia"/>
                <w:color w:val="000000" w:themeColor="text1"/>
                <w:sz w:val="21"/>
                <w:szCs w:val="20"/>
                <w14:textFill>
                  <w14:solidFill>
                    <w14:schemeClr w14:val="tx1"/>
                  </w14:solidFill>
                </w14:textFill>
              </w:rPr>
              <w:t>：</w:t>
            </w:r>
            <w:r>
              <w:rPr>
                <w:color w:val="000000" w:themeColor="text1"/>
                <w:sz w:val="21"/>
                <w:szCs w:val="20"/>
                <w14:textFill>
                  <w14:solidFill>
                    <w14:schemeClr w14:val="tx1"/>
                  </w14:solidFill>
                </w14:textFill>
              </w:rPr>
              <w:t>80°C</w:t>
            </w:r>
            <w:bookmarkEnd w:id="345"/>
            <w:bookmarkEnd w:id="346"/>
            <w:bookmarkEnd w:id="347"/>
          </w:p>
          <w:p w14:paraId="57644C3F">
            <w:pPr>
              <w:adjustRightInd w:val="0"/>
              <w:snapToGrid w:val="0"/>
              <w:spacing w:line="240" w:lineRule="auto"/>
              <w:ind w:firstLine="0" w:firstLineChars="0"/>
              <w:jc w:val="left"/>
              <w:outlineLvl w:val="0"/>
              <w:rPr>
                <w:color w:val="000000" w:themeColor="text1"/>
                <w:sz w:val="21"/>
                <w:szCs w:val="20"/>
                <w14:textFill>
                  <w14:solidFill>
                    <w14:schemeClr w14:val="tx1"/>
                  </w14:solidFill>
                </w14:textFill>
              </w:rPr>
            </w:pPr>
            <w:bookmarkStart w:id="348" w:name="_Toc23515"/>
            <w:bookmarkStart w:id="349" w:name="_Toc216620484"/>
            <w:bookmarkStart w:id="350" w:name="_Toc216103325"/>
            <w:r>
              <w:rPr>
                <w:rFonts w:hint="eastAsia"/>
                <w:color w:val="000000" w:themeColor="text1"/>
                <w:sz w:val="21"/>
                <w:szCs w:val="20"/>
                <w:lang w:eastAsia="zh-CN"/>
                <w14:textFill>
                  <w14:solidFill>
                    <w14:schemeClr w14:val="tx1"/>
                  </w14:solidFill>
                </w14:textFill>
              </w:rPr>
              <w:t>配备</w:t>
            </w:r>
            <w:r>
              <w:rPr>
                <w:color w:val="000000" w:themeColor="text1"/>
                <w:sz w:val="21"/>
                <w:szCs w:val="20"/>
                <w14:textFill>
                  <w14:solidFill>
                    <w14:schemeClr w14:val="tx1"/>
                  </w14:solidFill>
                </w14:textFill>
              </w:rPr>
              <w:t>绝缘法兰，并配备紧急脱离系统和声光</w:t>
            </w:r>
            <w:bookmarkEnd w:id="348"/>
            <w:bookmarkEnd w:id="349"/>
            <w:bookmarkEnd w:id="350"/>
            <w:bookmarkStart w:id="351" w:name="_Toc216103326"/>
            <w:bookmarkStart w:id="352" w:name="_Toc216620485"/>
            <w:bookmarkStart w:id="353" w:name="_Toc20582"/>
            <w:r>
              <w:rPr>
                <w:color w:val="000000" w:themeColor="text1"/>
                <w:sz w:val="21"/>
                <w:szCs w:val="20"/>
                <w14:textFill>
                  <w14:solidFill>
                    <w14:schemeClr w14:val="tx1"/>
                  </w14:solidFill>
                </w14:textFill>
              </w:rPr>
              <w:t>报警系统。</w:t>
            </w:r>
            <w:bookmarkEnd w:id="351"/>
            <w:bookmarkEnd w:id="352"/>
            <w:bookmarkEnd w:id="353"/>
          </w:p>
        </w:tc>
        <w:tc>
          <w:tcPr>
            <w:tcW w:w="709" w:type="dxa"/>
            <w:vAlign w:val="center"/>
          </w:tcPr>
          <w:p w14:paraId="6AD89F7E">
            <w:pPr>
              <w:adjustRightInd w:val="0"/>
              <w:snapToGrid w:val="0"/>
              <w:spacing w:line="240" w:lineRule="auto"/>
              <w:ind w:firstLine="0" w:firstLineChars="0"/>
              <w:jc w:val="center"/>
              <w:outlineLvl w:val="0"/>
              <w:rPr>
                <w:color w:val="000000" w:themeColor="text1"/>
                <w:sz w:val="21"/>
                <w:szCs w:val="20"/>
                <w14:textFill>
                  <w14:solidFill>
                    <w14:schemeClr w14:val="tx1"/>
                  </w14:solidFill>
                </w14:textFill>
              </w:rPr>
            </w:pPr>
            <w:bookmarkStart w:id="354" w:name="_Toc10898"/>
            <w:bookmarkStart w:id="355" w:name="_Toc216620486"/>
            <w:bookmarkStart w:id="356" w:name="_Toc216103327"/>
            <w:r>
              <w:rPr>
                <w:color w:val="000000" w:themeColor="text1"/>
                <w:sz w:val="21"/>
                <w:szCs w:val="20"/>
                <w14:textFill>
                  <w14:solidFill>
                    <w14:schemeClr w14:val="tx1"/>
                  </w14:solidFill>
                </w14:textFill>
              </w:rPr>
              <w:t>台</w:t>
            </w:r>
            <w:bookmarkEnd w:id="354"/>
            <w:bookmarkEnd w:id="355"/>
            <w:bookmarkEnd w:id="356"/>
          </w:p>
        </w:tc>
        <w:tc>
          <w:tcPr>
            <w:tcW w:w="709" w:type="dxa"/>
            <w:vAlign w:val="center"/>
          </w:tcPr>
          <w:p w14:paraId="28307E01">
            <w:pPr>
              <w:adjustRightInd w:val="0"/>
              <w:snapToGrid w:val="0"/>
              <w:spacing w:line="240" w:lineRule="auto"/>
              <w:ind w:firstLine="0" w:firstLineChars="0"/>
              <w:jc w:val="center"/>
              <w:outlineLvl w:val="0"/>
              <w:rPr>
                <w:color w:val="000000" w:themeColor="text1"/>
                <w:sz w:val="21"/>
                <w:szCs w:val="20"/>
                <w14:textFill>
                  <w14:solidFill>
                    <w14:schemeClr w14:val="tx1"/>
                  </w14:solidFill>
                </w14:textFill>
              </w:rPr>
            </w:pPr>
            <w:bookmarkStart w:id="357" w:name="_Toc216620487"/>
            <w:bookmarkStart w:id="358" w:name="_Toc15444"/>
            <w:bookmarkStart w:id="359" w:name="_Toc216103328"/>
            <w:r>
              <w:rPr>
                <w:color w:val="000000" w:themeColor="text1"/>
                <w:sz w:val="21"/>
                <w:szCs w:val="20"/>
                <w14:textFill>
                  <w14:solidFill>
                    <w14:schemeClr w14:val="tx1"/>
                  </w14:solidFill>
                </w14:textFill>
              </w:rPr>
              <w:t>1</w:t>
            </w:r>
            <w:bookmarkEnd w:id="357"/>
            <w:bookmarkEnd w:id="358"/>
            <w:bookmarkEnd w:id="359"/>
          </w:p>
        </w:tc>
        <w:tc>
          <w:tcPr>
            <w:tcW w:w="1098" w:type="dxa"/>
            <w:vAlign w:val="center"/>
          </w:tcPr>
          <w:p w14:paraId="1F869A4D">
            <w:pPr>
              <w:adjustRightInd w:val="0"/>
              <w:snapToGrid w:val="0"/>
              <w:spacing w:line="240" w:lineRule="auto"/>
              <w:ind w:firstLine="0" w:firstLineChars="0"/>
              <w:jc w:val="center"/>
              <w:outlineLvl w:val="0"/>
              <w:rPr>
                <w:color w:val="000000" w:themeColor="text1"/>
                <w:sz w:val="21"/>
                <w:szCs w:val="20"/>
                <w14:textFill>
                  <w14:solidFill>
                    <w14:schemeClr w14:val="tx1"/>
                  </w14:solidFill>
                </w14:textFill>
              </w:rPr>
            </w:pPr>
            <w:bookmarkStart w:id="360" w:name="_Toc216103329"/>
            <w:bookmarkStart w:id="361" w:name="_Toc3887"/>
            <w:bookmarkStart w:id="362" w:name="_Toc216620488"/>
            <w:r>
              <w:rPr>
                <w:color w:val="000000" w:themeColor="text1"/>
                <w:sz w:val="21"/>
                <w:szCs w:val="20"/>
                <w14:textFill>
                  <w14:solidFill>
                    <w14:schemeClr w14:val="tx1"/>
                  </w14:solidFill>
                </w14:textFill>
              </w:rPr>
              <w:t>新增</w:t>
            </w:r>
            <w:bookmarkEnd w:id="360"/>
            <w:bookmarkEnd w:id="361"/>
            <w:bookmarkEnd w:id="362"/>
          </w:p>
        </w:tc>
      </w:tr>
      <w:tr w14:paraId="44051A4D">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454" w:hRule="atLeast"/>
        </w:trPr>
        <w:tc>
          <w:tcPr>
            <w:tcW w:w="682" w:type="dxa"/>
            <w:vAlign w:val="center"/>
          </w:tcPr>
          <w:p w14:paraId="7410820C">
            <w:pPr>
              <w:adjustRightInd w:val="0"/>
              <w:snapToGrid w:val="0"/>
              <w:spacing w:line="240" w:lineRule="auto"/>
              <w:ind w:firstLine="0" w:firstLineChars="0"/>
              <w:jc w:val="center"/>
              <w:outlineLvl w:val="0"/>
              <w:rPr>
                <w:color w:val="000000" w:themeColor="text1"/>
                <w:sz w:val="21"/>
                <w:szCs w:val="20"/>
                <w14:textFill>
                  <w14:solidFill>
                    <w14:schemeClr w14:val="tx1"/>
                  </w14:solidFill>
                </w14:textFill>
              </w:rPr>
            </w:pPr>
            <w:bookmarkStart w:id="363" w:name="_Toc216103330"/>
            <w:bookmarkStart w:id="364" w:name="_Toc216620489"/>
            <w:bookmarkStart w:id="365" w:name="_Toc879"/>
            <w:r>
              <w:rPr>
                <w:rFonts w:hint="eastAsia"/>
                <w:color w:val="000000" w:themeColor="text1"/>
                <w:sz w:val="21"/>
                <w:szCs w:val="20"/>
                <w14:textFill>
                  <w14:solidFill>
                    <w14:schemeClr w14:val="tx1"/>
                  </w14:solidFill>
                </w14:textFill>
              </w:rPr>
              <w:t>3</w:t>
            </w:r>
            <w:bookmarkEnd w:id="363"/>
            <w:bookmarkEnd w:id="364"/>
            <w:bookmarkEnd w:id="365"/>
          </w:p>
        </w:tc>
        <w:tc>
          <w:tcPr>
            <w:tcW w:w="1068" w:type="dxa"/>
            <w:vAlign w:val="center"/>
          </w:tcPr>
          <w:p w14:paraId="7B92FF7B">
            <w:pPr>
              <w:adjustRightInd w:val="0"/>
              <w:snapToGrid w:val="0"/>
              <w:spacing w:line="240" w:lineRule="auto"/>
              <w:ind w:firstLine="0" w:firstLineChars="0"/>
              <w:jc w:val="center"/>
              <w:outlineLvl w:val="0"/>
              <w:rPr>
                <w:color w:val="000000" w:themeColor="text1"/>
                <w:sz w:val="21"/>
                <w:szCs w:val="20"/>
                <w14:textFill>
                  <w14:solidFill>
                    <w14:schemeClr w14:val="tx1"/>
                  </w14:solidFill>
                </w14:textFill>
              </w:rPr>
            </w:pPr>
            <w:bookmarkStart w:id="366" w:name="_Toc216103331"/>
            <w:bookmarkStart w:id="367" w:name="_Toc4265"/>
            <w:bookmarkStart w:id="368" w:name="_Toc216620490"/>
            <w:r>
              <w:rPr>
                <w:color w:val="000000" w:themeColor="text1"/>
                <w:sz w:val="21"/>
                <w:szCs w:val="20"/>
                <w14:textFill>
                  <w14:solidFill>
                    <w14:schemeClr w14:val="tx1"/>
                  </w14:solidFill>
                </w14:textFill>
              </w:rPr>
              <w:t>油类扫线泵</w:t>
            </w:r>
            <w:bookmarkEnd w:id="366"/>
            <w:bookmarkEnd w:id="367"/>
            <w:bookmarkEnd w:id="368"/>
          </w:p>
        </w:tc>
        <w:tc>
          <w:tcPr>
            <w:tcW w:w="4741" w:type="dxa"/>
            <w:vAlign w:val="center"/>
          </w:tcPr>
          <w:p w14:paraId="473E191A">
            <w:pPr>
              <w:adjustRightInd w:val="0"/>
              <w:snapToGrid w:val="0"/>
              <w:spacing w:line="240" w:lineRule="auto"/>
              <w:ind w:firstLine="0" w:firstLineChars="0"/>
              <w:jc w:val="left"/>
              <w:outlineLvl w:val="0"/>
              <w:rPr>
                <w:color w:val="000000" w:themeColor="text1"/>
                <w:sz w:val="21"/>
                <w:szCs w:val="20"/>
                <w14:textFill>
                  <w14:solidFill>
                    <w14:schemeClr w14:val="tx1"/>
                  </w14:solidFill>
                </w14:textFill>
              </w:rPr>
            </w:pPr>
            <w:bookmarkStart w:id="369" w:name="_Toc216620491"/>
            <w:bookmarkStart w:id="370" w:name="_Toc216103332"/>
            <w:bookmarkStart w:id="371" w:name="_Toc22967"/>
            <w:r>
              <w:rPr>
                <w:color w:val="000000" w:themeColor="text1"/>
                <w:sz w:val="21"/>
                <w:szCs w:val="20"/>
                <w14:textFill>
                  <w14:solidFill>
                    <w14:schemeClr w14:val="tx1"/>
                  </w14:solidFill>
                </w14:textFill>
              </w:rPr>
              <w:t>凸轮转子泵</w:t>
            </w:r>
            <w:r>
              <w:rPr>
                <w:rFonts w:hint="eastAsia"/>
                <w:color w:val="000000" w:themeColor="text1"/>
                <w:sz w:val="21"/>
                <w:szCs w:val="20"/>
                <w14:textFill>
                  <w14:solidFill>
                    <w14:schemeClr w14:val="tx1"/>
                  </w14:solidFill>
                </w14:textFill>
              </w:rPr>
              <w:t>Q=</w:t>
            </w:r>
            <w:r>
              <w:rPr>
                <w:color w:val="000000" w:themeColor="text1"/>
                <w:sz w:val="21"/>
                <w:szCs w:val="20"/>
                <w14:textFill>
                  <w14:solidFill>
                    <w14:schemeClr w14:val="tx1"/>
                  </w14:solidFill>
                </w14:textFill>
              </w:rPr>
              <w:t>5.2m3/h，H=60m</w:t>
            </w:r>
            <w:bookmarkEnd w:id="369"/>
            <w:bookmarkEnd w:id="370"/>
            <w:bookmarkEnd w:id="371"/>
          </w:p>
          <w:p w14:paraId="35FFBCA2">
            <w:pPr>
              <w:adjustRightInd w:val="0"/>
              <w:snapToGrid w:val="0"/>
              <w:spacing w:line="240" w:lineRule="auto"/>
              <w:ind w:firstLine="0" w:firstLineChars="0"/>
              <w:jc w:val="left"/>
              <w:outlineLvl w:val="0"/>
              <w:rPr>
                <w:color w:val="000000" w:themeColor="text1"/>
                <w:sz w:val="21"/>
                <w:szCs w:val="20"/>
                <w14:textFill>
                  <w14:solidFill>
                    <w14:schemeClr w14:val="tx1"/>
                  </w14:solidFill>
                </w14:textFill>
              </w:rPr>
            </w:pPr>
            <w:bookmarkStart w:id="372" w:name="_Toc24649"/>
            <w:bookmarkStart w:id="373" w:name="_Toc216103333"/>
            <w:bookmarkStart w:id="374" w:name="_Toc216620492"/>
            <w:r>
              <w:rPr>
                <w:color w:val="000000" w:themeColor="text1"/>
                <w:sz w:val="21"/>
                <w:szCs w:val="20"/>
                <w14:textFill>
                  <w14:solidFill>
                    <w14:schemeClr w14:val="tx1"/>
                  </w14:solidFill>
                </w14:textFill>
              </w:rPr>
              <w:t>介质：裂解C9、棕榈酸化油、脂肪酸混合物、工业级混合油、脂肪酸甲酯、纯生物柴油、航空煤油</w:t>
            </w:r>
            <w:bookmarkEnd w:id="372"/>
            <w:bookmarkEnd w:id="373"/>
            <w:bookmarkEnd w:id="374"/>
          </w:p>
          <w:p w14:paraId="25FDD7E3">
            <w:pPr>
              <w:adjustRightInd w:val="0"/>
              <w:snapToGrid w:val="0"/>
              <w:spacing w:line="240" w:lineRule="auto"/>
              <w:ind w:firstLine="0" w:firstLineChars="0"/>
              <w:jc w:val="left"/>
              <w:outlineLvl w:val="0"/>
              <w:rPr>
                <w:color w:val="000000" w:themeColor="text1"/>
                <w:sz w:val="21"/>
                <w:szCs w:val="20"/>
                <w14:textFill>
                  <w14:solidFill>
                    <w14:schemeClr w14:val="tx1"/>
                  </w14:solidFill>
                </w14:textFill>
              </w:rPr>
            </w:pPr>
            <w:bookmarkStart w:id="375" w:name="_Toc216103334"/>
            <w:bookmarkStart w:id="376" w:name="_Toc216620493"/>
            <w:bookmarkStart w:id="377" w:name="_Toc19345"/>
            <w:r>
              <w:rPr>
                <w:color w:val="000000" w:themeColor="text1"/>
                <w:sz w:val="21"/>
                <w:szCs w:val="20"/>
                <w14:textFill>
                  <w14:solidFill>
                    <w14:schemeClr w14:val="tx1"/>
                  </w14:solidFill>
                </w14:textFill>
              </w:rPr>
              <w:t>密度：850</w:t>
            </w:r>
            <w:r>
              <w:rPr>
                <w:rFonts w:hint="eastAsia"/>
                <w:color w:val="000000" w:themeColor="text1"/>
                <w:sz w:val="21"/>
                <w:szCs w:val="20"/>
                <w14:textFill>
                  <w14:solidFill>
                    <w14:schemeClr w14:val="tx1"/>
                  </w14:solidFill>
                </w14:textFill>
              </w:rPr>
              <w:t>～</w:t>
            </w:r>
            <w:r>
              <w:rPr>
                <w:color w:val="000000" w:themeColor="text1"/>
                <w:sz w:val="21"/>
                <w:szCs w:val="20"/>
                <w14:textFill>
                  <w14:solidFill>
                    <w14:schemeClr w14:val="tx1"/>
                  </w14:solidFill>
                </w14:textFill>
              </w:rPr>
              <w:t>1000kg/m3 操作温度：常温</w:t>
            </w:r>
            <w:bookmarkEnd w:id="375"/>
            <w:bookmarkEnd w:id="376"/>
            <w:bookmarkEnd w:id="377"/>
          </w:p>
          <w:p w14:paraId="050B5B3D">
            <w:pPr>
              <w:adjustRightInd w:val="0"/>
              <w:snapToGrid w:val="0"/>
              <w:spacing w:line="240" w:lineRule="auto"/>
              <w:ind w:firstLine="0" w:firstLineChars="0"/>
              <w:jc w:val="left"/>
              <w:outlineLvl w:val="0"/>
              <w:rPr>
                <w:color w:val="000000" w:themeColor="text1"/>
                <w:sz w:val="21"/>
                <w:szCs w:val="20"/>
                <w14:textFill>
                  <w14:solidFill>
                    <w14:schemeClr w14:val="tx1"/>
                  </w14:solidFill>
                </w14:textFill>
              </w:rPr>
            </w:pPr>
            <w:bookmarkStart w:id="378" w:name="_Toc24623"/>
            <w:bookmarkStart w:id="379" w:name="_Toc216620494"/>
            <w:bookmarkStart w:id="380" w:name="_Toc216103335"/>
            <w:r>
              <w:rPr>
                <w:color w:val="000000" w:themeColor="text1"/>
                <w:sz w:val="21"/>
                <w:szCs w:val="20"/>
                <w14:textFill>
                  <w14:solidFill>
                    <w14:schemeClr w14:val="tx1"/>
                  </w14:solidFill>
                </w14:textFill>
              </w:rPr>
              <w:t>P=7.5kW</w:t>
            </w:r>
            <w:r>
              <w:rPr>
                <w:rFonts w:hint="eastAsia"/>
                <w:color w:val="000000" w:themeColor="text1"/>
                <w:sz w:val="21"/>
                <w:szCs w:val="20"/>
                <w14:textFill>
                  <w14:solidFill>
                    <w14:schemeClr w14:val="tx1"/>
                  </w14:solidFill>
                </w14:textFill>
              </w:rPr>
              <w:t xml:space="preserve">, </w:t>
            </w:r>
            <w:r>
              <w:rPr>
                <w:color w:val="000000" w:themeColor="text1"/>
                <w:sz w:val="21"/>
                <w:szCs w:val="20"/>
                <w14:textFill>
                  <w14:solidFill>
                    <w14:schemeClr w14:val="tx1"/>
                  </w14:solidFill>
                </w14:textFill>
              </w:rPr>
              <w:t>n=1450r/min</w:t>
            </w:r>
            <w:r>
              <w:rPr>
                <w:rFonts w:hint="eastAsia"/>
                <w:color w:val="000000" w:themeColor="text1"/>
                <w:sz w:val="21"/>
                <w:szCs w:val="20"/>
                <w14:textFill>
                  <w14:solidFill>
                    <w14:schemeClr w14:val="tx1"/>
                  </w14:solidFill>
                </w14:textFill>
              </w:rPr>
              <w:t xml:space="preserve">, </w:t>
            </w:r>
            <w:r>
              <w:rPr>
                <w:color w:val="000000" w:themeColor="text1"/>
                <w:sz w:val="21"/>
                <w:szCs w:val="20"/>
                <w14:textFill>
                  <w14:solidFill>
                    <w14:schemeClr w14:val="tx1"/>
                  </w14:solidFill>
                </w14:textFill>
              </w:rPr>
              <w:t>U=380V</w:t>
            </w:r>
            <w:bookmarkEnd w:id="378"/>
            <w:bookmarkEnd w:id="379"/>
            <w:bookmarkEnd w:id="380"/>
          </w:p>
          <w:p w14:paraId="24893D18">
            <w:pPr>
              <w:adjustRightInd w:val="0"/>
              <w:snapToGrid w:val="0"/>
              <w:spacing w:line="240" w:lineRule="auto"/>
              <w:ind w:firstLine="0" w:firstLineChars="0"/>
              <w:jc w:val="left"/>
              <w:outlineLvl w:val="0"/>
              <w:rPr>
                <w:color w:val="000000" w:themeColor="text1"/>
                <w:sz w:val="21"/>
                <w:szCs w:val="20"/>
                <w14:textFill>
                  <w14:solidFill>
                    <w14:schemeClr w14:val="tx1"/>
                  </w14:solidFill>
                </w14:textFill>
              </w:rPr>
            </w:pPr>
            <w:bookmarkStart w:id="381" w:name="_Toc216620495"/>
            <w:bookmarkStart w:id="382" w:name="_Toc25764"/>
            <w:bookmarkStart w:id="383" w:name="_Toc216103336"/>
            <w:r>
              <w:rPr>
                <w:color w:val="000000" w:themeColor="text1"/>
                <w:sz w:val="21"/>
                <w:szCs w:val="20"/>
                <w14:textFill>
                  <w14:solidFill>
                    <w14:schemeClr w14:val="tx1"/>
                  </w14:solidFill>
                </w14:textFill>
              </w:rPr>
              <w:t>防爆等级</w:t>
            </w:r>
            <w:r>
              <w:rPr>
                <w:rFonts w:hint="eastAsia"/>
                <w:color w:val="000000" w:themeColor="text1"/>
                <w:sz w:val="21"/>
                <w:szCs w:val="20"/>
                <w14:textFill>
                  <w14:solidFill>
                    <w14:schemeClr w14:val="tx1"/>
                  </w14:solidFill>
                </w14:textFill>
              </w:rPr>
              <w:t>：</w:t>
            </w:r>
            <w:r>
              <w:rPr>
                <w:color w:val="000000" w:themeColor="text1"/>
                <w:sz w:val="21"/>
                <w:szCs w:val="20"/>
                <w14:textFill>
                  <w14:solidFill>
                    <w14:schemeClr w14:val="tx1"/>
                  </w14:solidFill>
                </w14:textFill>
              </w:rPr>
              <w:t>dⅡBT4防护等级：IP55</w:t>
            </w:r>
            <w:bookmarkEnd w:id="381"/>
            <w:bookmarkEnd w:id="382"/>
            <w:bookmarkEnd w:id="383"/>
          </w:p>
        </w:tc>
        <w:tc>
          <w:tcPr>
            <w:tcW w:w="709" w:type="dxa"/>
            <w:vAlign w:val="center"/>
          </w:tcPr>
          <w:p w14:paraId="2A3748E4">
            <w:pPr>
              <w:adjustRightInd w:val="0"/>
              <w:snapToGrid w:val="0"/>
              <w:spacing w:line="240" w:lineRule="auto"/>
              <w:ind w:firstLine="0" w:firstLineChars="0"/>
              <w:jc w:val="center"/>
              <w:outlineLvl w:val="0"/>
              <w:rPr>
                <w:color w:val="000000" w:themeColor="text1"/>
                <w:sz w:val="21"/>
                <w:szCs w:val="20"/>
                <w14:textFill>
                  <w14:solidFill>
                    <w14:schemeClr w14:val="tx1"/>
                  </w14:solidFill>
                </w14:textFill>
              </w:rPr>
            </w:pPr>
            <w:bookmarkStart w:id="384" w:name="_Toc216620496"/>
            <w:bookmarkStart w:id="385" w:name="_Toc32584"/>
            <w:bookmarkStart w:id="386" w:name="_Toc216103337"/>
            <w:r>
              <w:rPr>
                <w:color w:val="000000" w:themeColor="text1"/>
                <w:sz w:val="21"/>
                <w:szCs w:val="20"/>
                <w14:textFill>
                  <w14:solidFill>
                    <w14:schemeClr w14:val="tx1"/>
                  </w14:solidFill>
                </w14:textFill>
              </w:rPr>
              <w:t>台</w:t>
            </w:r>
            <w:bookmarkEnd w:id="384"/>
            <w:bookmarkEnd w:id="385"/>
            <w:bookmarkEnd w:id="386"/>
          </w:p>
        </w:tc>
        <w:tc>
          <w:tcPr>
            <w:tcW w:w="709" w:type="dxa"/>
            <w:vAlign w:val="center"/>
          </w:tcPr>
          <w:p w14:paraId="460D8AC1">
            <w:pPr>
              <w:adjustRightInd w:val="0"/>
              <w:snapToGrid w:val="0"/>
              <w:spacing w:line="240" w:lineRule="auto"/>
              <w:ind w:firstLine="0" w:firstLineChars="0"/>
              <w:jc w:val="center"/>
              <w:outlineLvl w:val="0"/>
              <w:rPr>
                <w:color w:val="000000" w:themeColor="text1"/>
                <w:sz w:val="21"/>
                <w:szCs w:val="20"/>
                <w14:textFill>
                  <w14:solidFill>
                    <w14:schemeClr w14:val="tx1"/>
                  </w14:solidFill>
                </w14:textFill>
              </w:rPr>
            </w:pPr>
            <w:bookmarkStart w:id="387" w:name="_Toc216620497"/>
            <w:bookmarkStart w:id="388" w:name="_Toc216103338"/>
            <w:bookmarkStart w:id="389" w:name="_Toc10884"/>
            <w:r>
              <w:rPr>
                <w:color w:val="000000" w:themeColor="text1"/>
                <w:sz w:val="21"/>
                <w:szCs w:val="20"/>
                <w14:textFill>
                  <w14:solidFill>
                    <w14:schemeClr w14:val="tx1"/>
                  </w14:solidFill>
                </w14:textFill>
              </w:rPr>
              <w:t>1</w:t>
            </w:r>
            <w:bookmarkEnd w:id="387"/>
            <w:bookmarkEnd w:id="388"/>
            <w:bookmarkEnd w:id="389"/>
          </w:p>
        </w:tc>
        <w:tc>
          <w:tcPr>
            <w:tcW w:w="1098" w:type="dxa"/>
            <w:vAlign w:val="center"/>
          </w:tcPr>
          <w:p w14:paraId="1C261297">
            <w:pPr>
              <w:adjustRightInd w:val="0"/>
              <w:snapToGrid w:val="0"/>
              <w:spacing w:line="240" w:lineRule="auto"/>
              <w:ind w:firstLine="0" w:firstLineChars="0"/>
              <w:jc w:val="center"/>
              <w:outlineLvl w:val="0"/>
              <w:rPr>
                <w:color w:val="000000" w:themeColor="text1"/>
                <w:sz w:val="21"/>
                <w:szCs w:val="20"/>
                <w14:textFill>
                  <w14:solidFill>
                    <w14:schemeClr w14:val="tx1"/>
                  </w14:solidFill>
                </w14:textFill>
              </w:rPr>
            </w:pPr>
            <w:bookmarkStart w:id="390" w:name="_Toc7626"/>
            <w:bookmarkStart w:id="391" w:name="_Toc216620498"/>
            <w:bookmarkStart w:id="392" w:name="_Toc216103339"/>
            <w:r>
              <w:rPr>
                <w:color w:val="000000" w:themeColor="text1"/>
                <w:sz w:val="21"/>
                <w:szCs w:val="20"/>
                <w14:textFill>
                  <w14:solidFill>
                    <w14:schemeClr w14:val="tx1"/>
                  </w14:solidFill>
                </w14:textFill>
              </w:rPr>
              <w:t>新增</w:t>
            </w:r>
            <w:bookmarkEnd w:id="390"/>
            <w:bookmarkEnd w:id="391"/>
            <w:bookmarkEnd w:id="392"/>
          </w:p>
        </w:tc>
      </w:tr>
      <w:tr w14:paraId="3BA5F521">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454" w:hRule="atLeast"/>
        </w:trPr>
        <w:tc>
          <w:tcPr>
            <w:tcW w:w="682" w:type="dxa"/>
            <w:vAlign w:val="center"/>
          </w:tcPr>
          <w:p w14:paraId="1E1AD570">
            <w:pPr>
              <w:adjustRightInd w:val="0"/>
              <w:snapToGrid w:val="0"/>
              <w:spacing w:line="240" w:lineRule="auto"/>
              <w:ind w:firstLine="0" w:firstLineChars="0"/>
              <w:jc w:val="center"/>
              <w:outlineLvl w:val="0"/>
              <w:rPr>
                <w:color w:val="000000" w:themeColor="text1"/>
                <w:sz w:val="21"/>
                <w:szCs w:val="20"/>
                <w14:textFill>
                  <w14:solidFill>
                    <w14:schemeClr w14:val="tx1"/>
                  </w14:solidFill>
                </w14:textFill>
              </w:rPr>
            </w:pPr>
            <w:bookmarkStart w:id="393" w:name="_Toc216103340"/>
            <w:bookmarkStart w:id="394" w:name="_Toc216620499"/>
            <w:bookmarkStart w:id="395" w:name="_Toc29109"/>
            <w:r>
              <w:rPr>
                <w:rFonts w:hint="eastAsia"/>
                <w:color w:val="000000" w:themeColor="text1"/>
                <w:sz w:val="21"/>
                <w:szCs w:val="20"/>
                <w14:textFill>
                  <w14:solidFill>
                    <w14:schemeClr w14:val="tx1"/>
                  </w14:solidFill>
                </w14:textFill>
              </w:rPr>
              <w:t>4</w:t>
            </w:r>
            <w:bookmarkEnd w:id="393"/>
            <w:bookmarkEnd w:id="394"/>
            <w:bookmarkEnd w:id="395"/>
          </w:p>
        </w:tc>
        <w:tc>
          <w:tcPr>
            <w:tcW w:w="1068" w:type="dxa"/>
            <w:vAlign w:val="center"/>
          </w:tcPr>
          <w:p w14:paraId="6CB6F889">
            <w:pPr>
              <w:adjustRightInd w:val="0"/>
              <w:snapToGrid w:val="0"/>
              <w:spacing w:line="240" w:lineRule="auto"/>
              <w:ind w:firstLine="0" w:firstLineChars="0"/>
              <w:jc w:val="center"/>
              <w:outlineLvl w:val="0"/>
              <w:rPr>
                <w:color w:val="000000" w:themeColor="text1"/>
                <w:sz w:val="21"/>
                <w:szCs w:val="20"/>
                <w14:textFill>
                  <w14:solidFill>
                    <w14:schemeClr w14:val="tx1"/>
                  </w14:solidFill>
                </w14:textFill>
              </w:rPr>
            </w:pPr>
            <w:bookmarkStart w:id="396" w:name="_Toc216620500"/>
            <w:bookmarkStart w:id="397" w:name="_Toc1709"/>
            <w:bookmarkStart w:id="398" w:name="_Toc216103341"/>
            <w:r>
              <w:rPr>
                <w:color w:val="000000" w:themeColor="text1"/>
                <w:sz w:val="21"/>
                <w:szCs w:val="20"/>
                <w14:textFill>
                  <w14:solidFill>
                    <w14:schemeClr w14:val="tx1"/>
                  </w14:solidFill>
                </w14:textFill>
              </w:rPr>
              <w:t>清管阀（油类）</w:t>
            </w:r>
            <w:bookmarkEnd w:id="396"/>
            <w:bookmarkEnd w:id="397"/>
            <w:bookmarkEnd w:id="398"/>
          </w:p>
        </w:tc>
        <w:tc>
          <w:tcPr>
            <w:tcW w:w="4741" w:type="dxa"/>
            <w:vAlign w:val="center"/>
          </w:tcPr>
          <w:p w14:paraId="68EFFD19">
            <w:pPr>
              <w:adjustRightInd w:val="0"/>
              <w:snapToGrid w:val="0"/>
              <w:spacing w:line="240" w:lineRule="auto"/>
              <w:ind w:firstLine="0" w:firstLineChars="0"/>
              <w:jc w:val="left"/>
              <w:outlineLvl w:val="0"/>
              <w:rPr>
                <w:color w:val="000000" w:themeColor="text1"/>
                <w:sz w:val="21"/>
                <w:szCs w:val="20"/>
                <w14:textFill>
                  <w14:solidFill>
                    <w14:schemeClr w14:val="tx1"/>
                  </w14:solidFill>
                </w14:textFill>
              </w:rPr>
            </w:pPr>
            <w:bookmarkStart w:id="399" w:name="_Toc2000"/>
            <w:bookmarkStart w:id="400" w:name="_Toc216103342"/>
            <w:bookmarkStart w:id="401" w:name="_Toc216620501"/>
            <w:r>
              <w:rPr>
                <w:color w:val="000000" w:themeColor="text1"/>
                <w:sz w:val="21"/>
                <w:szCs w:val="20"/>
                <w14:textFill>
                  <w14:solidFill>
                    <w14:schemeClr w14:val="tx1"/>
                  </w14:solidFill>
                </w14:textFill>
              </w:rPr>
              <w:t>手动清管阀，规格：DN400 CL150，S型，阀体整体铸造，侧面水平位置装卸清管器。</w:t>
            </w:r>
            <w:bookmarkEnd w:id="399"/>
            <w:bookmarkEnd w:id="400"/>
            <w:bookmarkEnd w:id="401"/>
          </w:p>
          <w:p w14:paraId="1D34ADC6">
            <w:pPr>
              <w:adjustRightInd w:val="0"/>
              <w:snapToGrid w:val="0"/>
              <w:spacing w:line="240" w:lineRule="auto"/>
              <w:ind w:firstLine="0" w:firstLineChars="0"/>
              <w:jc w:val="left"/>
              <w:outlineLvl w:val="0"/>
              <w:rPr>
                <w:color w:val="000000" w:themeColor="text1"/>
                <w:sz w:val="21"/>
                <w:szCs w:val="20"/>
                <w14:textFill>
                  <w14:solidFill>
                    <w14:schemeClr w14:val="tx1"/>
                  </w14:solidFill>
                </w14:textFill>
              </w:rPr>
            </w:pPr>
            <w:bookmarkStart w:id="402" w:name="_Toc216620502"/>
            <w:bookmarkStart w:id="403" w:name="_Toc216103343"/>
            <w:bookmarkStart w:id="404" w:name="_Toc11698"/>
            <w:r>
              <w:rPr>
                <w:color w:val="000000" w:themeColor="text1"/>
                <w:sz w:val="21"/>
                <w:szCs w:val="20"/>
                <w14:textFill>
                  <w14:solidFill>
                    <w14:schemeClr w14:val="tx1"/>
                  </w14:solidFill>
                </w14:textFill>
              </w:rPr>
              <w:t>介质：裂解C9、棕榈酸化油、脂肪酸混合物、工业级混合油、脂肪酸甲酯、纯生物柴油、航空煤油</w:t>
            </w:r>
            <w:bookmarkEnd w:id="402"/>
            <w:bookmarkEnd w:id="403"/>
            <w:bookmarkEnd w:id="404"/>
          </w:p>
          <w:p w14:paraId="6FF326B5">
            <w:pPr>
              <w:adjustRightInd w:val="0"/>
              <w:snapToGrid w:val="0"/>
              <w:spacing w:line="240" w:lineRule="auto"/>
              <w:ind w:firstLine="0" w:firstLineChars="0"/>
              <w:jc w:val="left"/>
              <w:outlineLvl w:val="0"/>
              <w:rPr>
                <w:color w:val="000000" w:themeColor="text1"/>
                <w:sz w:val="21"/>
                <w:szCs w:val="20"/>
                <w14:textFill>
                  <w14:solidFill>
                    <w14:schemeClr w14:val="tx1"/>
                  </w14:solidFill>
                </w14:textFill>
              </w:rPr>
            </w:pPr>
            <w:bookmarkStart w:id="405" w:name="_Toc17365"/>
            <w:bookmarkStart w:id="406" w:name="_Toc216103344"/>
            <w:bookmarkStart w:id="407" w:name="_Toc216620503"/>
            <w:r>
              <w:rPr>
                <w:color w:val="000000" w:themeColor="text1"/>
                <w:sz w:val="21"/>
                <w:szCs w:val="20"/>
                <w14:textFill>
                  <w14:solidFill>
                    <w14:schemeClr w14:val="tx1"/>
                  </w14:solidFill>
                </w14:textFill>
              </w:rPr>
              <w:t>操作温度：30-55℃，操作压力：0.6-1.0MPa.G</w:t>
            </w:r>
            <w:bookmarkEnd w:id="405"/>
            <w:bookmarkEnd w:id="406"/>
            <w:bookmarkEnd w:id="407"/>
          </w:p>
          <w:p w14:paraId="79EB7E7B">
            <w:pPr>
              <w:adjustRightInd w:val="0"/>
              <w:snapToGrid w:val="0"/>
              <w:spacing w:line="240" w:lineRule="auto"/>
              <w:ind w:firstLine="0" w:firstLineChars="0"/>
              <w:jc w:val="left"/>
              <w:outlineLvl w:val="0"/>
              <w:rPr>
                <w:color w:val="000000" w:themeColor="text1"/>
                <w:sz w:val="21"/>
                <w:szCs w:val="20"/>
                <w14:textFill>
                  <w14:solidFill>
                    <w14:schemeClr w14:val="tx1"/>
                  </w14:solidFill>
                </w14:textFill>
              </w:rPr>
            </w:pPr>
            <w:bookmarkStart w:id="408" w:name="_Toc7940"/>
            <w:bookmarkStart w:id="409" w:name="_Toc216103345"/>
            <w:bookmarkStart w:id="410" w:name="_Toc216620504"/>
            <w:r>
              <w:rPr>
                <w:color w:val="000000" w:themeColor="text1"/>
                <w:sz w:val="21"/>
                <w:szCs w:val="20"/>
                <w14:textFill>
                  <w14:solidFill>
                    <w14:schemeClr w14:val="tx1"/>
                  </w14:solidFill>
                </w14:textFill>
              </w:rPr>
              <w:t>设计温度：10-80℃，设计压力：1.2MPa.G</w:t>
            </w:r>
            <w:bookmarkEnd w:id="408"/>
            <w:bookmarkEnd w:id="409"/>
            <w:bookmarkEnd w:id="410"/>
          </w:p>
        </w:tc>
        <w:tc>
          <w:tcPr>
            <w:tcW w:w="709" w:type="dxa"/>
            <w:vAlign w:val="center"/>
          </w:tcPr>
          <w:p w14:paraId="5E50954C">
            <w:pPr>
              <w:adjustRightInd w:val="0"/>
              <w:snapToGrid w:val="0"/>
              <w:spacing w:line="240" w:lineRule="auto"/>
              <w:ind w:firstLine="0" w:firstLineChars="0"/>
              <w:jc w:val="center"/>
              <w:outlineLvl w:val="0"/>
              <w:rPr>
                <w:color w:val="000000" w:themeColor="text1"/>
                <w:sz w:val="21"/>
                <w:szCs w:val="20"/>
                <w14:textFill>
                  <w14:solidFill>
                    <w14:schemeClr w14:val="tx1"/>
                  </w14:solidFill>
                </w14:textFill>
              </w:rPr>
            </w:pPr>
            <w:bookmarkStart w:id="411" w:name="_Toc216620505"/>
            <w:bookmarkStart w:id="412" w:name="_Toc21987"/>
            <w:bookmarkStart w:id="413" w:name="_Toc216103346"/>
            <w:r>
              <w:rPr>
                <w:color w:val="000000" w:themeColor="text1"/>
                <w:sz w:val="21"/>
                <w:szCs w:val="20"/>
                <w14:textFill>
                  <w14:solidFill>
                    <w14:schemeClr w14:val="tx1"/>
                  </w14:solidFill>
                </w14:textFill>
              </w:rPr>
              <w:t>台</w:t>
            </w:r>
            <w:bookmarkEnd w:id="411"/>
            <w:bookmarkEnd w:id="412"/>
            <w:bookmarkEnd w:id="413"/>
          </w:p>
        </w:tc>
        <w:tc>
          <w:tcPr>
            <w:tcW w:w="709" w:type="dxa"/>
            <w:vAlign w:val="center"/>
          </w:tcPr>
          <w:p w14:paraId="6047FE41">
            <w:pPr>
              <w:adjustRightInd w:val="0"/>
              <w:snapToGrid w:val="0"/>
              <w:spacing w:line="240" w:lineRule="auto"/>
              <w:ind w:firstLine="0" w:firstLineChars="0"/>
              <w:jc w:val="center"/>
              <w:outlineLvl w:val="0"/>
              <w:rPr>
                <w:color w:val="000000" w:themeColor="text1"/>
                <w:sz w:val="21"/>
                <w:szCs w:val="20"/>
                <w14:textFill>
                  <w14:solidFill>
                    <w14:schemeClr w14:val="tx1"/>
                  </w14:solidFill>
                </w14:textFill>
              </w:rPr>
            </w:pPr>
            <w:bookmarkStart w:id="414" w:name="_Toc216103347"/>
            <w:bookmarkStart w:id="415" w:name="_Toc216620506"/>
            <w:bookmarkStart w:id="416" w:name="_Toc13425"/>
            <w:r>
              <w:rPr>
                <w:color w:val="000000" w:themeColor="text1"/>
                <w:sz w:val="21"/>
                <w:szCs w:val="20"/>
                <w14:textFill>
                  <w14:solidFill>
                    <w14:schemeClr w14:val="tx1"/>
                  </w14:solidFill>
                </w14:textFill>
              </w:rPr>
              <w:t>1</w:t>
            </w:r>
            <w:bookmarkEnd w:id="414"/>
            <w:bookmarkEnd w:id="415"/>
            <w:bookmarkEnd w:id="416"/>
          </w:p>
        </w:tc>
        <w:tc>
          <w:tcPr>
            <w:tcW w:w="1098" w:type="dxa"/>
            <w:vAlign w:val="center"/>
          </w:tcPr>
          <w:p w14:paraId="05B5086D">
            <w:pPr>
              <w:adjustRightInd w:val="0"/>
              <w:snapToGrid w:val="0"/>
              <w:spacing w:line="240" w:lineRule="auto"/>
              <w:ind w:firstLine="0" w:firstLineChars="0"/>
              <w:jc w:val="center"/>
              <w:outlineLvl w:val="0"/>
              <w:rPr>
                <w:color w:val="000000" w:themeColor="text1"/>
                <w:sz w:val="21"/>
                <w:szCs w:val="20"/>
                <w14:textFill>
                  <w14:solidFill>
                    <w14:schemeClr w14:val="tx1"/>
                  </w14:solidFill>
                </w14:textFill>
              </w:rPr>
            </w:pPr>
            <w:bookmarkStart w:id="417" w:name="_Toc216620507"/>
            <w:bookmarkStart w:id="418" w:name="_Toc216103348"/>
            <w:bookmarkStart w:id="419" w:name="_Toc14839"/>
            <w:r>
              <w:rPr>
                <w:color w:val="000000" w:themeColor="text1"/>
                <w:sz w:val="21"/>
                <w:szCs w:val="20"/>
                <w14:textFill>
                  <w14:solidFill>
                    <w14:schemeClr w14:val="tx1"/>
                  </w14:solidFill>
                </w14:textFill>
              </w:rPr>
              <w:t>新增</w:t>
            </w:r>
            <w:bookmarkEnd w:id="417"/>
            <w:bookmarkEnd w:id="418"/>
            <w:bookmarkEnd w:id="419"/>
          </w:p>
        </w:tc>
      </w:tr>
      <w:tr w14:paraId="6C39736F">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454" w:hRule="atLeast"/>
        </w:trPr>
        <w:tc>
          <w:tcPr>
            <w:tcW w:w="682" w:type="dxa"/>
            <w:vAlign w:val="center"/>
          </w:tcPr>
          <w:p w14:paraId="078D4230">
            <w:pPr>
              <w:adjustRightInd w:val="0"/>
              <w:snapToGrid w:val="0"/>
              <w:spacing w:line="240" w:lineRule="auto"/>
              <w:ind w:firstLine="0" w:firstLineChars="0"/>
              <w:jc w:val="center"/>
              <w:outlineLvl w:val="0"/>
              <w:rPr>
                <w:color w:val="000000" w:themeColor="text1"/>
                <w:sz w:val="21"/>
                <w:szCs w:val="20"/>
                <w14:textFill>
                  <w14:solidFill>
                    <w14:schemeClr w14:val="tx1"/>
                  </w14:solidFill>
                </w14:textFill>
              </w:rPr>
            </w:pPr>
            <w:bookmarkStart w:id="420" w:name="_Toc1479"/>
            <w:bookmarkStart w:id="421" w:name="_Toc216620508"/>
            <w:bookmarkStart w:id="422" w:name="_Toc216103349"/>
            <w:r>
              <w:rPr>
                <w:rFonts w:hint="eastAsia"/>
                <w:color w:val="000000" w:themeColor="text1"/>
                <w:sz w:val="21"/>
                <w:szCs w:val="20"/>
                <w14:textFill>
                  <w14:solidFill>
                    <w14:schemeClr w14:val="tx1"/>
                  </w14:solidFill>
                </w14:textFill>
              </w:rPr>
              <w:t>5</w:t>
            </w:r>
            <w:bookmarkEnd w:id="420"/>
            <w:bookmarkEnd w:id="421"/>
            <w:bookmarkEnd w:id="422"/>
          </w:p>
        </w:tc>
        <w:tc>
          <w:tcPr>
            <w:tcW w:w="1068" w:type="dxa"/>
            <w:vAlign w:val="center"/>
          </w:tcPr>
          <w:p w14:paraId="4C8F4DE3">
            <w:pPr>
              <w:adjustRightInd w:val="0"/>
              <w:snapToGrid w:val="0"/>
              <w:spacing w:line="240" w:lineRule="auto"/>
              <w:ind w:firstLine="0" w:firstLineChars="0"/>
              <w:jc w:val="center"/>
              <w:outlineLvl w:val="0"/>
              <w:rPr>
                <w:color w:val="000000" w:themeColor="text1"/>
                <w:sz w:val="21"/>
                <w:szCs w:val="20"/>
                <w14:textFill>
                  <w14:solidFill>
                    <w14:schemeClr w14:val="tx1"/>
                  </w14:solidFill>
                </w14:textFill>
              </w:rPr>
            </w:pPr>
            <w:bookmarkStart w:id="423" w:name="_Toc216103350"/>
            <w:bookmarkStart w:id="424" w:name="_Toc3425"/>
            <w:bookmarkStart w:id="425" w:name="_Toc216620509"/>
            <w:r>
              <w:rPr>
                <w:color w:val="000000" w:themeColor="text1"/>
                <w:sz w:val="21"/>
                <w:szCs w:val="20"/>
                <w14:textFill>
                  <w14:solidFill>
                    <w14:schemeClr w14:val="tx1"/>
                  </w14:solidFill>
                </w14:textFill>
              </w:rPr>
              <w:t>清管阀</w:t>
            </w:r>
            <w:bookmarkEnd w:id="423"/>
            <w:bookmarkEnd w:id="424"/>
            <w:bookmarkEnd w:id="425"/>
          </w:p>
          <w:p w14:paraId="64C91D6A">
            <w:pPr>
              <w:adjustRightInd w:val="0"/>
              <w:snapToGrid w:val="0"/>
              <w:spacing w:line="240" w:lineRule="auto"/>
              <w:ind w:firstLine="0" w:firstLineChars="0"/>
              <w:jc w:val="center"/>
              <w:outlineLvl w:val="0"/>
              <w:rPr>
                <w:color w:val="000000" w:themeColor="text1"/>
                <w:sz w:val="21"/>
                <w:szCs w:val="20"/>
                <w14:textFill>
                  <w14:solidFill>
                    <w14:schemeClr w14:val="tx1"/>
                  </w14:solidFill>
                </w14:textFill>
              </w:rPr>
            </w:pPr>
            <w:bookmarkStart w:id="426" w:name="_Toc216103351"/>
            <w:bookmarkStart w:id="427" w:name="_Toc216620510"/>
            <w:bookmarkStart w:id="428" w:name="_Toc29927"/>
            <w:r>
              <w:rPr>
                <w:color w:val="000000" w:themeColor="text1"/>
                <w:sz w:val="21"/>
                <w:szCs w:val="20"/>
                <w14:textFill>
                  <w14:solidFill>
                    <w14:schemeClr w14:val="tx1"/>
                  </w14:solidFill>
                </w14:textFill>
              </w:rPr>
              <w:t>（苯乙烯）</w:t>
            </w:r>
            <w:bookmarkEnd w:id="426"/>
            <w:bookmarkEnd w:id="427"/>
            <w:bookmarkEnd w:id="428"/>
          </w:p>
        </w:tc>
        <w:tc>
          <w:tcPr>
            <w:tcW w:w="4741" w:type="dxa"/>
            <w:vAlign w:val="center"/>
          </w:tcPr>
          <w:p w14:paraId="22D6E8B0">
            <w:pPr>
              <w:adjustRightInd w:val="0"/>
              <w:snapToGrid w:val="0"/>
              <w:spacing w:line="240" w:lineRule="auto"/>
              <w:ind w:firstLine="0" w:firstLineChars="0"/>
              <w:jc w:val="left"/>
              <w:outlineLvl w:val="0"/>
              <w:rPr>
                <w:color w:val="000000" w:themeColor="text1"/>
                <w:sz w:val="21"/>
                <w:szCs w:val="20"/>
                <w14:textFill>
                  <w14:solidFill>
                    <w14:schemeClr w14:val="tx1"/>
                  </w14:solidFill>
                </w14:textFill>
              </w:rPr>
            </w:pPr>
            <w:bookmarkStart w:id="429" w:name="_Toc216103352"/>
            <w:bookmarkStart w:id="430" w:name="_Toc216620511"/>
            <w:bookmarkStart w:id="431" w:name="_Toc17672"/>
            <w:r>
              <w:rPr>
                <w:color w:val="000000" w:themeColor="text1"/>
                <w:sz w:val="21"/>
                <w:szCs w:val="20"/>
                <w14:textFill>
                  <w14:solidFill>
                    <w14:schemeClr w14:val="tx1"/>
                  </w14:solidFill>
                </w14:textFill>
              </w:rPr>
              <w:t>手动清管阀，规格：DN200 CL150，S型，阀体整体铸造，侧面水平位置装卸清管器。</w:t>
            </w:r>
            <w:bookmarkEnd w:id="429"/>
            <w:bookmarkEnd w:id="430"/>
            <w:bookmarkEnd w:id="431"/>
          </w:p>
          <w:p w14:paraId="70271E0A">
            <w:pPr>
              <w:adjustRightInd w:val="0"/>
              <w:snapToGrid w:val="0"/>
              <w:spacing w:line="240" w:lineRule="auto"/>
              <w:ind w:firstLine="0" w:firstLineChars="0"/>
              <w:jc w:val="left"/>
              <w:outlineLvl w:val="0"/>
              <w:rPr>
                <w:color w:val="000000" w:themeColor="text1"/>
                <w:sz w:val="21"/>
                <w:szCs w:val="20"/>
                <w14:textFill>
                  <w14:solidFill>
                    <w14:schemeClr w14:val="tx1"/>
                  </w14:solidFill>
                </w14:textFill>
              </w:rPr>
            </w:pPr>
            <w:bookmarkStart w:id="432" w:name="_Toc216103353"/>
            <w:bookmarkStart w:id="433" w:name="_Toc216620512"/>
            <w:bookmarkStart w:id="434" w:name="_Toc31615"/>
            <w:r>
              <w:rPr>
                <w:color w:val="000000" w:themeColor="text1"/>
                <w:sz w:val="21"/>
                <w:szCs w:val="20"/>
                <w14:textFill>
                  <w14:solidFill>
                    <w14:schemeClr w14:val="tx1"/>
                  </w14:solidFill>
                </w14:textFill>
              </w:rPr>
              <w:t>介质：苯、苯乙烯</w:t>
            </w:r>
            <w:bookmarkEnd w:id="432"/>
            <w:bookmarkEnd w:id="433"/>
            <w:bookmarkEnd w:id="434"/>
          </w:p>
          <w:p w14:paraId="45652CEF">
            <w:pPr>
              <w:adjustRightInd w:val="0"/>
              <w:snapToGrid w:val="0"/>
              <w:spacing w:line="240" w:lineRule="auto"/>
              <w:ind w:firstLine="0" w:firstLineChars="0"/>
              <w:jc w:val="left"/>
              <w:outlineLvl w:val="0"/>
              <w:rPr>
                <w:color w:val="000000" w:themeColor="text1"/>
                <w:sz w:val="21"/>
                <w:szCs w:val="20"/>
                <w14:textFill>
                  <w14:solidFill>
                    <w14:schemeClr w14:val="tx1"/>
                  </w14:solidFill>
                </w14:textFill>
              </w:rPr>
            </w:pPr>
            <w:bookmarkStart w:id="435" w:name="_Toc216103354"/>
            <w:bookmarkStart w:id="436" w:name="_Toc216620513"/>
            <w:bookmarkStart w:id="437" w:name="_Toc29371"/>
            <w:r>
              <w:rPr>
                <w:color w:val="000000" w:themeColor="text1"/>
                <w:sz w:val="21"/>
                <w:szCs w:val="20"/>
                <w14:textFill>
                  <w14:solidFill>
                    <w14:schemeClr w14:val="tx1"/>
                  </w14:solidFill>
                </w14:textFill>
              </w:rPr>
              <w:t>操作温度：-5-50℃，操作压力：0.6-1.2MPa.G</w:t>
            </w:r>
            <w:bookmarkEnd w:id="435"/>
            <w:bookmarkEnd w:id="436"/>
            <w:bookmarkEnd w:id="437"/>
          </w:p>
          <w:p w14:paraId="39FB68F0">
            <w:pPr>
              <w:adjustRightInd w:val="0"/>
              <w:snapToGrid w:val="0"/>
              <w:spacing w:line="240" w:lineRule="auto"/>
              <w:ind w:firstLine="0" w:firstLineChars="0"/>
              <w:jc w:val="left"/>
              <w:outlineLvl w:val="0"/>
              <w:rPr>
                <w:color w:val="000000" w:themeColor="text1"/>
                <w:sz w:val="21"/>
                <w:szCs w:val="20"/>
                <w14:textFill>
                  <w14:solidFill>
                    <w14:schemeClr w14:val="tx1"/>
                  </w14:solidFill>
                </w14:textFill>
              </w:rPr>
            </w:pPr>
            <w:bookmarkStart w:id="438" w:name="_Toc216103355"/>
            <w:bookmarkStart w:id="439" w:name="_Toc216620514"/>
            <w:bookmarkStart w:id="440" w:name="_Toc20368"/>
            <w:r>
              <w:rPr>
                <w:color w:val="000000" w:themeColor="text1"/>
                <w:sz w:val="21"/>
                <w:szCs w:val="20"/>
                <w14:textFill>
                  <w14:solidFill>
                    <w14:schemeClr w14:val="tx1"/>
                  </w14:solidFill>
                </w14:textFill>
              </w:rPr>
              <w:t>设计温度：-29-100℃，设计压力：1.6MPa.G</w:t>
            </w:r>
            <w:bookmarkEnd w:id="438"/>
            <w:bookmarkEnd w:id="439"/>
            <w:bookmarkEnd w:id="440"/>
          </w:p>
        </w:tc>
        <w:tc>
          <w:tcPr>
            <w:tcW w:w="709" w:type="dxa"/>
            <w:vAlign w:val="center"/>
          </w:tcPr>
          <w:p w14:paraId="4E401464">
            <w:pPr>
              <w:adjustRightInd w:val="0"/>
              <w:snapToGrid w:val="0"/>
              <w:spacing w:line="240" w:lineRule="auto"/>
              <w:ind w:firstLine="0" w:firstLineChars="0"/>
              <w:jc w:val="center"/>
              <w:outlineLvl w:val="0"/>
              <w:rPr>
                <w:color w:val="000000" w:themeColor="text1"/>
                <w:sz w:val="21"/>
                <w:szCs w:val="20"/>
                <w14:textFill>
                  <w14:solidFill>
                    <w14:schemeClr w14:val="tx1"/>
                  </w14:solidFill>
                </w14:textFill>
              </w:rPr>
            </w:pPr>
            <w:bookmarkStart w:id="441" w:name="_Toc216103356"/>
            <w:bookmarkStart w:id="442" w:name="_Toc31265"/>
            <w:bookmarkStart w:id="443" w:name="_Toc216620515"/>
            <w:r>
              <w:rPr>
                <w:color w:val="000000" w:themeColor="text1"/>
                <w:sz w:val="21"/>
                <w:szCs w:val="20"/>
                <w14:textFill>
                  <w14:solidFill>
                    <w14:schemeClr w14:val="tx1"/>
                  </w14:solidFill>
                </w14:textFill>
              </w:rPr>
              <w:t>台</w:t>
            </w:r>
            <w:bookmarkEnd w:id="441"/>
            <w:bookmarkEnd w:id="442"/>
            <w:bookmarkEnd w:id="443"/>
          </w:p>
        </w:tc>
        <w:tc>
          <w:tcPr>
            <w:tcW w:w="709" w:type="dxa"/>
            <w:vAlign w:val="center"/>
          </w:tcPr>
          <w:p w14:paraId="1442DDCB">
            <w:pPr>
              <w:adjustRightInd w:val="0"/>
              <w:snapToGrid w:val="0"/>
              <w:spacing w:line="240" w:lineRule="auto"/>
              <w:ind w:firstLine="0" w:firstLineChars="0"/>
              <w:jc w:val="center"/>
              <w:outlineLvl w:val="0"/>
              <w:rPr>
                <w:color w:val="000000" w:themeColor="text1"/>
                <w:sz w:val="21"/>
                <w:szCs w:val="20"/>
                <w14:textFill>
                  <w14:solidFill>
                    <w14:schemeClr w14:val="tx1"/>
                  </w14:solidFill>
                </w14:textFill>
              </w:rPr>
            </w:pPr>
            <w:bookmarkStart w:id="444" w:name="_Toc23852"/>
            <w:bookmarkStart w:id="445" w:name="_Toc216103357"/>
            <w:bookmarkStart w:id="446" w:name="_Toc216620516"/>
            <w:r>
              <w:rPr>
                <w:color w:val="000000" w:themeColor="text1"/>
                <w:sz w:val="21"/>
                <w:szCs w:val="20"/>
                <w14:textFill>
                  <w14:solidFill>
                    <w14:schemeClr w14:val="tx1"/>
                  </w14:solidFill>
                </w14:textFill>
              </w:rPr>
              <w:t>1</w:t>
            </w:r>
            <w:bookmarkEnd w:id="444"/>
            <w:bookmarkEnd w:id="445"/>
            <w:bookmarkEnd w:id="446"/>
          </w:p>
        </w:tc>
        <w:tc>
          <w:tcPr>
            <w:tcW w:w="1098" w:type="dxa"/>
            <w:vAlign w:val="center"/>
          </w:tcPr>
          <w:p w14:paraId="43002B24">
            <w:pPr>
              <w:adjustRightInd w:val="0"/>
              <w:snapToGrid w:val="0"/>
              <w:spacing w:line="240" w:lineRule="auto"/>
              <w:ind w:firstLine="0" w:firstLineChars="0"/>
              <w:jc w:val="center"/>
              <w:outlineLvl w:val="0"/>
              <w:rPr>
                <w:color w:val="000000" w:themeColor="text1"/>
                <w:sz w:val="21"/>
                <w:szCs w:val="20"/>
                <w14:textFill>
                  <w14:solidFill>
                    <w14:schemeClr w14:val="tx1"/>
                  </w14:solidFill>
                </w14:textFill>
              </w:rPr>
            </w:pPr>
            <w:bookmarkStart w:id="447" w:name="_Toc216103358"/>
            <w:bookmarkStart w:id="448" w:name="_Toc216620517"/>
            <w:bookmarkStart w:id="449" w:name="_Toc23043"/>
            <w:r>
              <w:rPr>
                <w:color w:val="000000" w:themeColor="text1"/>
                <w:sz w:val="21"/>
                <w:szCs w:val="20"/>
                <w14:textFill>
                  <w14:solidFill>
                    <w14:schemeClr w14:val="tx1"/>
                  </w14:solidFill>
                </w14:textFill>
              </w:rPr>
              <w:t>新增</w:t>
            </w:r>
            <w:bookmarkEnd w:id="447"/>
            <w:bookmarkEnd w:id="448"/>
            <w:bookmarkEnd w:id="449"/>
          </w:p>
        </w:tc>
      </w:tr>
    </w:tbl>
    <w:p w14:paraId="10A77357">
      <w:pPr>
        <w:pStyle w:val="4"/>
        <w:rPr>
          <w:color w:val="000000" w:themeColor="text1"/>
          <w14:textFill>
            <w14:solidFill>
              <w14:schemeClr w14:val="tx1"/>
            </w14:solidFill>
          </w14:textFill>
        </w:rPr>
      </w:pPr>
      <w:bookmarkStart w:id="450" w:name="_Toc135090199"/>
      <w:bookmarkStart w:id="451" w:name="_Toc216620518"/>
      <w:bookmarkStart w:id="452" w:name="_Toc136878448"/>
      <w:bookmarkStart w:id="453" w:name="_Toc216103359"/>
      <w:r>
        <w:rPr>
          <w:color w:val="000000" w:themeColor="text1"/>
          <w14:textFill>
            <w14:solidFill>
              <w14:schemeClr w14:val="tx1"/>
            </w14:solidFill>
          </w14:textFill>
        </w:rPr>
        <w:t>水工</w:t>
      </w:r>
      <w:bookmarkEnd w:id="267"/>
      <w:bookmarkEnd w:id="268"/>
      <w:bookmarkEnd w:id="269"/>
      <w:r>
        <w:rPr>
          <w:color w:val="000000" w:themeColor="text1"/>
          <w14:textFill>
            <w14:solidFill>
              <w14:schemeClr w14:val="tx1"/>
            </w14:solidFill>
          </w14:textFill>
        </w:rPr>
        <w:t>结构</w:t>
      </w:r>
      <w:bookmarkEnd w:id="450"/>
      <w:bookmarkEnd w:id="451"/>
      <w:bookmarkEnd w:id="452"/>
      <w:bookmarkEnd w:id="453"/>
    </w:p>
    <w:p w14:paraId="6CEE9C81">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本项目码头、引桥、管架、输油臂基础等水工建构筑物均为利旧。新增管道敷设于已建管廊上，荷载均小于设计荷载，因此原设计输油臂基础和管架均无需改造。</w:t>
      </w:r>
    </w:p>
    <w:p w14:paraId="79581596">
      <w:pPr>
        <w:pStyle w:val="4"/>
        <w:rPr>
          <w:color w:val="000000" w:themeColor="text1"/>
          <w14:textFill>
            <w14:solidFill>
              <w14:schemeClr w14:val="tx1"/>
            </w14:solidFill>
          </w14:textFill>
        </w:rPr>
      </w:pPr>
      <w:bookmarkStart w:id="454" w:name="_Toc216620519"/>
      <w:bookmarkStart w:id="455" w:name="_Toc29131793"/>
      <w:bookmarkStart w:id="456" w:name="_Toc135090200"/>
      <w:bookmarkStart w:id="457" w:name="_Toc136878449"/>
      <w:bookmarkStart w:id="458" w:name="_Toc26909979"/>
      <w:bookmarkStart w:id="459" w:name="_Toc25436933"/>
      <w:bookmarkStart w:id="460" w:name="_Toc216103360"/>
      <w:r>
        <w:rPr>
          <w:color w:val="000000" w:themeColor="text1"/>
          <w14:textFill>
            <w14:solidFill>
              <w14:schemeClr w14:val="tx1"/>
            </w14:solidFill>
          </w14:textFill>
        </w:rPr>
        <w:t>陆域工程及道路、罐区</w:t>
      </w:r>
      <w:bookmarkEnd w:id="454"/>
      <w:bookmarkEnd w:id="455"/>
      <w:bookmarkEnd w:id="456"/>
      <w:bookmarkEnd w:id="457"/>
      <w:bookmarkEnd w:id="458"/>
      <w:bookmarkEnd w:id="459"/>
      <w:bookmarkEnd w:id="460"/>
    </w:p>
    <w:p w14:paraId="1331B3ED">
      <w:pPr>
        <w:ind w:firstLine="480"/>
        <w:rPr>
          <w:color w:val="000000" w:themeColor="text1"/>
          <w14:textFill>
            <w14:solidFill>
              <w14:schemeClr w14:val="tx1"/>
            </w14:solidFill>
          </w14:textFill>
        </w:rPr>
      </w:pPr>
      <w:r>
        <w:rPr>
          <w:color w:val="000000" w:themeColor="text1"/>
          <w:lang w:val="zh-CN"/>
          <w14:textFill>
            <w14:solidFill>
              <w14:schemeClr w14:val="tx1"/>
            </w14:solidFill>
          </w14:textFill>
        </w:rPr>
        <w:t>不涉及。</w:t>
      </w:r>
    </w:p>
    <w:p w14:paraId="22889988">
      <w:pPr>
        <w:pStyle w:val="4"/>
        <w:rPr>
          <w:color w:val="000000" w:themeColor="text1"/>
          <w14:textFill>
            <w14:solidFill>
              <w14:schemeClr w14:val="tx1"/>
            </w14:solidFill>
          </w14:textFill>
        </w:rPr>
      </w:pPr>
      <w:bookmarkStart w:id="461" w:name="_Toc216103361"/>
      <w:bookmarkStart w:id="462" w:name="_Toc136878451"/>
      <w:bookmarkStart w:id="463" w:name="_Toc135090202"/>
      <w:bookmarkStart w:id="464" w:name="_Toc25436934"/>
      <w:bookmarkStart w:id="465" w:name="_Toc216620520"/>
      <w:bookmarkStart w:id="466" w:name="_Toc29131794"/>
      <w:bookmarkStart w:id="467" w:name="_Toc26909980"/>
      <w:r>
        <w:rPr>
          <w:color w:val="000000" w:themeColor="text1"/>
          <w14:textFill>
            <w14:solidFill>
              <w14:schemeClr w14:val="tx1"/>
            </w14:solidFill>
          </w14:textFill>
        </w:rPr>
        <w:t>配套工程</w:t>
      </w:r>
      <w:bookmarkEnd w:id="461"/>
      <w:bookmarkEnd w:id="462"/>
      <w:bookmarkEnd w:id="463"/>
      <w:bookmarkEnd w:id="464"/>
      <w:bookmarkEnd w:id="465"/>
      <w:bookmarkEnd w:id="466"/>
      <w:bookmarkEnd w:id="467"/>
    </w:p>
    <w:p w14:paraId="5CDE15FC">
      <w:pPr>
        <w:pStyle w:val="6"/>
        <w:rPr>
          <w:color w:val="000000" w:themeColor="text1"/>
          <w14:textFill>
            <w14:solidFill>
              <w14:schemeClr w14:val="tx1"/>
            </w14:solidFill>
          </w14:textFill>
        </w:rPr>
      </w:pPr>
      <w:r>
        <w:rPr>
          <w:color w:val="000000" w:themeColor="text1"/>
          <w14:textFill>
            <w14:solidFill>
              <w14:schemeClr w14:val="tx1"/>
            </w14:solidFill>
          </w14:textFill>
        </w:rPr>
        <w:t>港区管道</w:t>
      </w:r>
    </w:p>
    <w:p w14:paraId="6CBC18D4">
      <w:pPr>
        <w:ind w:firstLine="480"/>
        <w:rPr>
          <w:color w:val="000000" w:themeColor="text1"/>
          <w14:textFill>
            <w14:solidFill>
              <w14:schemeClr w14:val="tx1"/>
            </w14:solidFill>
          </w14:textFill>
        </w:rPr>
      </w:pPr>
      <w:r>
        <w:rPr>
          <w:color w:val="000000" w:themeColor="text1"/>
          <w14:textFill>
            <w14:solidFill>
              <w14:schemeClr w14:val="tx1"/>
            </w14:solidFill>
          </w14:textFill>
        </w:rPr>
        <w:t>本工程管道运输只在码头库区范围内，对外管道工程由后方厂区根据需求自行建设，管道的走向沿港区内道路边进行敷设，以不影响行车便捷为原则，同时管道应便于控制、操作以及维护或维修等。</w:t>
      </w:r>
    </w:p>
    <w:p w14:paraId="46160523">
      <w:pPr>
        <w:pStyle w:val="6"/>
        <w:rPr>
          <w:color w:val="000000" w:themeColor="text1"/>
          <w14:textFill>
            <w14:solidFill>
              <w14:schemeClr w14:val="tx1"/>
            </w14:solidFill>
          </w14:textFill>
        </w:rPr>
      </w:pPr>
      <w:r>
        <w:rPr>
          <w:color w:val="000000" w:themeColor="text1"/>
          <w14:textFill>
            <w14:solidFill>
              <w14:schemeClr w14:val="tx1"/>
            </w14:solidFill>
          </w14:textFill>
        </w:rPr>
        <w:t>供电、照明</w:t>
      </w:r>
    </w:p>
    <w:p w14:paraId="0301DD2C">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依托现有工程。</w:t>
      </w:r>
    </w:p>
    <w:p w14:paraId="260D6906">
      <w:pPr>
        <w:pStyle w:val="6"/>
        <w:tabs>
          <w:tab w:val="left" w:pos="561"/>
        </w:tabs>
        <w:ind w:left="141"/>
        <w:rPr>
          <w:color w:val="000000" w:themeColor="text1"/>
          <w14:textFill>
            <w14:solidFill>
              <w14:schemeClr w14:val="tx1"/>
            </w14:solidFill>
          </w14:textFill>
        </w:rPr>
      </w:pPr>
      <w:r>
        <w:rPr>
          <w:color w:val="000000" w:themeColor="text1"/>
          <w14:textFill>
            <w14:solidFill>
              <w14:schemeClr w14:val="tx1"/>
            </w14:solidFill>
          </w14:textFill>
        </w:rPr>
        <w:t>给排水</w:t>
      </w:r>
    </w:p>
    <w:p w14:paraId="33F85C76">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依托现有工程。</w:t>
      </w:r>
    </w:p>
    <w:p w14:paraId="573F4DA7">
      <w:pPr>
        <w:pStyle w:val="6"/>
        <w:tabs>
          <w:tab w:val="left" w:pos="561"/>
        </w:tabs>
        <w:ind w:left="141"/>
        <w:rPr>
          <w:color w:val="000000" w:themeColor="text1"/>
          <w14:textFill>
            <w14:solidFill>
              <w14:schemeClr w14:val="tx1"/>
            </w14:solidFill>
          </w14:textFill>
        </w:rPr>
      </w:pPr>
      <w:r>
        <w:rPr>
          <w:color w:val="000000" w:themeColor="text1"/>
          <w14:textFill>
            <w14:solidFill>
              <w14:schemeClr w14:val="tx1"/>
            </w14:solidFill>
          </w14:textFill>
        </w:rPr>
        <w:t>消防</w:t>
      </w:r>
    </w:p>
    <w:p w14:paraId="04A4AA73">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依托现有工程。</w:t>
      </w:r>
    </w:p>
    <w:p w14:paraId="38353AF8">
      <w:pPr>
        <w:pStyle w:val="6"/>
        <w:rPr>
          <w:color w:val="000000" w:themeColor="text1"/>
          <w14:textFill>
            <w14:solidFill>
              <w14:schemeClr w14:val="tx1"/>
            </w14:solidFill>
          </w14:textFill>
        </w:rPr>
      </w:pPr>
      <w:r>
        <w:rPr>
          <w:color w:val="000000" w:themeColor="text1"/>
          <w14:textFill>
            <w14:solidFill>
              <w14:schemeClr w14:val="tx1"/>
            </w14:solidFill>
          </w14:textFill>
        </w:rPr>
        <w:t>控制系统</w:t>
      </w:r>
    </w:p>
    <w:p w14:paraId="2FECC697">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依托现有工程。</w:t>
      </w:r>
    </w:p>
    <w:p w14:paraId="67E8AB3D">
      <w:pPr>
        <w:pStyle w:val="6"/>
        <w:rPr>
          <w:color w:val="000000" w:themeColor="text1"/>
          <w14:textFill>
            <w14:solidFill>
              <w14:schemeClr w14:val="tx1"/>
            </w14:solidFill>
          </w14:textFill>
        </w:rPr>
      </w:pPr>
      <w:r>
        <w:rPr>
          <w:color w:val="000000" w:themeColor="text1"/>
          <w14:textFill>
            <w14:solidFill>
              <w14:schemeClr w14:val="tx1"/>
            </w14:solidFill>
          </w14:textFill>
        </w:rPr>
        <w:t>生产及辅助建筑物</w:t>
      </w:r>
    </w:p>
    <w:p w14:paraId="2EBC0A1B">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依托现有工程。</w:t>
      </w:r>
    </w:p>
    <w:p w14:paraId="05AE3168">
      <w:pPr>
        <w:pStyle w:val="5"/>
        <w:rPr>
          <w:color w:val="000000" w:themeColor="text1"/>
          <w14:textFill>
            <w14:solidFill>
              <w14:schemeClr w14:val="tx1"/>
            </w14:solidFill>
          </w14:textFill>
        </w:rPr>
      </w:pPr>
      <w:bookmarkStart w:id="468" w:name="_Toc216620521"/>
      <w:r>
        <w:rPr>
          <w:color w:val="000000" w:themeColor="text1"/>
          <w14:textFill>
            <w14:solidFill>
              <w14:schemeClr w14:val="tx1"/>
            </w14:solidFill>
          </w14:textFill>
        </w:rPr>
        <w:t>工程分析</w:t>
      </w:r>
      <w:bookmarkEnd w:id="468"/>
    </w:p>
    <w:p w14:paraId="1D0B7518">
      <w:pPr>
        <w:pStyle w:val="4"/>
        <w:rPr>
          <w:color w:val="000000" w:themeColor="text1"/>
          <w14:textFill>
            <w14:solidFill>
              <w14:schemeClr w14:val="tx1"/>
            </w14:solidFill>
          </w14:textFill>
        </w:rPr>
      </w:pPr>
      <w:bookmarkStart w:id="469" w:name="_Toc136878457"/>
      <w:bookmarkStart w:id="470" w:name="_Toc216103363"/>
      <w:bookmarkStart w:id="471" w:name="_Toc216620522"/>
      <w:bookmarkStart w:id="472" w:name="_Toc135090208"/>
      <w:bookmarkStart w:id="473" w:name="_Toc25436943"/>
      <w:bookmarkStart w:id="474" w:name="_Toc26909989"/>
      <w:bookmarkStart w:id="475" w:name="_Toc29131803"/>
      <w:r>
        <w:rPr>
          <w:color w:val="000000" w:themeColor="text1"/>
          <w14:textFill>
            <w14:solidFill>
              <w14:schemeClr w14:val="tx1"/>
            </w14:solidFill>
          </w14:textFill>
        </w:rPr>
        <w:t>政策、规划相符性分析</w:t>
      </w:r>
      <w:bookmarkEnd w:id="469"/>
      <w:bookmarkEnd w:id="470"/>
      <w:bookmarkEnd w:id="471"/>
      <w:bookmarkEnd w:id="472"/>
    </w:p>
    <w:p w14:paraId="0F0AC526">
      <w:pPr>
        <w:pStyle w:val="6"/>
        <w:rPr>
          <w:color w:val="000000" w:themeColor="text1"/>
          <w14:textFill>
            <w14:solidFill>
              <w14:schemeClr w14:val="tx1"/>
            </w14:solidFill>
          </w14:textFill>
        </w:rPr>
      </w:pPr>
      <w:r>
        <w:rPr>
          <w:color w:val="000000" w:themeColor="text1"/>
          <w14:textFill>
            <w14:solidFill>
              <w14:schemeClr w14:val="tx1"/>
            </w14:solidFill>
          </w14:textFill>
        </w:rPr>
        <w:t>国家产业政策</w:t>
      </w:r>
    </w:p>
    <w:p w14:paraId="28CD3346">
      <w:pPr>
        <w:ind w:firstLine="480"/>
        <w:rPr>
          <w:color w:val="000000" w:themeColor="text1"/>
          <w14:textFill>
            <w14:solidFill>
              <w14:schemeClr w14:val="tx1"/>
            </w14:solidFill>
          </w14:textFill>
        </w:rPr>
      </w:pPr>
      <w:r>
        <w:rPr>
          <w:color w:val="000000" w:themeColor="text1"/>
          <w14:textFill>
            <w14:solidFill>
              <w14:schemeClr w14:val="tx1"/>
            </w14:solidFill>
          </w14:textFill>
        </w:rPr>
        <w:t>本工程为沿海万吨级以上深水泊位建设，从事</w:t>
      </w:r>
      <w:r>
        <w:rPr>
          <w:color w:val="000000" w:themeColor="text1"/>
          <w:szCs w:val="32"/>
          <w14:textFill>
            <w14:solidFill>
              <w14:schemeClr w14:val="tx1"/>
            </w14:solidFill>
          </w14:textFill>
        </w:rPr>
        <w:t>液体化工品</w:t>
      </w:r>
      <w:r>
        <w:rPr>
          <w:color w:val="000000" w:themeColor="text1"/>
          <w14:textFill>
            <w14:solidFill>
              <w14:schemeClr w14:val="tx1"/>
            </w14:solidFill>
          </w14:textFill>
        </w:rPr>
        <w:t>运输。</w:t>
      </w:r>
    </w:p>
    <w:p w14:paraId="108BBA55">
      <w:pPr>
        <w:ind w:firstLine="480"/>
        <w:rPr>
          <w:color w:val="000000" w:themeColor="text1"/>
          <w14:textFill>
            <w14:solidFill>
              <w14:schemeClr w14:val="tx1"/>
            </w14:solidFill>
          </w14:textFill>
        </w:rPr>
      </w:pPr>
      <w:r>
        <w:rPr>
          <w:color w:val="000000" w:themeColor="text1"/>
          <w14:textFill>
            <w14:solidFill>
              <w14:schemeClr w14:val="tx1"/>
            </w14:solidFill>
          </w14:textFill>
        </w:rPr>
        <w:t>根据《产业结构调整指导目录（20</w:t>
      </w:r>
      <w:r>
        <w:rPr>
          <w:rFonts w:hint="eastAsia"/>
          <w:color w:val="000000" w:themeColor="text1"/>
          <w14:textFill>
            <w14:solidFill>
              <w14:schemeClr w14:val="tx1"/>
            </w14:solidFill>
          </w14:textFill>
        </w:rPr>
        <w:t>24</w:t>
      </w:r>
      <w:r>
        <w:rPr>
          <w:color w:val="000000" w:themeColor="text1"/>
          <w14:textFill>
            <w14:solidFill>
              <w14:schemeClr w14:val="tx1"/>
            </w14:solidFill>
          </w14:textFill>
        </w:rPr>
        <w:t xml:space="preserve">年本）》，本工程属于鼓励类“二十五、水运 </w:t>
      </w:r>
      <w:r>
        <w:rPr>
          <w:rFonts w:hint="eastAsia"/>
          <w:color w:val="000000" w:themeColor="text1"/>
          <w14:textFill>
            <w14:solidFill>
              <w14:schemeClr w14:val="tx1"/>
            </w14:solidFill>
          </w14:textFill>
        </w:rPr>
        <w:t>2</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港口枢纽建设</w:t>
      </w:r>
      <w:r>
        <w:rPr>
          <w:color w:val="000000" w:themeColor="text1"/>
          <w14:textFill>
            <w14:solidFill>
              <w14:schemeClr w14:val="tx1"/>
            </w14:solidFill>
          </w14:textFill>
        </w:rPr>
        <w:t xml:space="preserve">”项目。 </w:t>
      </w:r>
    </w:p>
    <w:p w14:paraId="33042A9E">
      <w:pPr>
        <w:ind w:firstLine="480"/>
        <w:rPr>
          <w:color w:val="000000" w:themeColor="text1"/>
          <w14:textFill>
            <w14:solidFill>
              <w14:schemeClr w14:val="tx1"/>
            </w14:solidFill>
          </w14:textFill>
        </w:rPr>
      </w:pPr>
      <w:r>
        <w:rPr>
          <w:color w:val="000000" w:themeColor="text1"/>
          <w14:textFill>
            <w14:solidFill>
              <w14:schemeClr w14:val="tx1"/>
            </w14:solidFill>
          </w14:textFill>
        </w:rPr>
        <w:t>根据《鼓励外商投资产业目录（2022年版）》，本工程属于其规定的鼓励类项目中“五、交通运输、仓储和邮政业”分类中的“港口公用码头设施的建设、经营”。</w:t>
      </w:r>
    </w:p>
    <w:p w14:paraId="30A93F84">
      <w:pPr>
        <w:ind w:firstLine="480"/>
        <w:rPr>
          <w:color w:val="000000" w:themeColor="text1"/>
          <w14:textFill>
            <w14:solidFill>
              <w14:schemeClr w14:val="tx1"/>
            </w14:solidFill>
          </w14:textFill>
        </w:rPr>
      </w:pPr>
      <w:r>
        <w:rPr>
          <w:color w:val="000000" w:themeColor="text1"/>
          <w14:textFill>
            <w14:solidFill>
              <w14:schemeClr w14:val="tx1"/>
            </w14:solidFill>
          </w14:textFill>
        </w:rPr>
        <w:t>鼓励类主要是对经济社会发展有重要促进作用，有利于节约资源、保护环境、产业结构优化升级，需要采取政策措施予以鼓励和支持的项目。本工程建设期和营运期将分别针对各类污染源采取了有针对性</w:t>
      </w:r>
      <w:r>
        <w:rPr>
          <w:rFonts w:hint="eastAsia"/>
          <w:color w:val="000000" w:themeColor="text1"/>
          <w:lang w:eastAsia="zh-CN"/>
          <w14:textFill>
            <w14:solidFill>
              <w14:schemeClr w14:val="tx1"/>
            </w14:solidFill>
          </w14:textFill>
        </w:rPr>
        <w:t>地</w:t>
      </w:r>
      <w:r>
        <w:rPr>
          <w:color w:val="000000" w:themeColor="text1"/>
          <w14:textFill>
            <w14:solidFill>
              <w14:schemeClr w14:val="tx1"/>
            </w14:solidFill>
          </w14:textFill>
        </w:rPr>
        <w:t>防范措施，能够做到达标排放，符合国家相关的环境保护政策。因此，本工程的建设符合国家产业政策。</w:t>
      </w:r>
    </w:p>
    <w:p w14:paraId="6E95751F">
      <w:pPr>
        <w:pStyle w:val="6"/>
        <w:rPr>
          <w:color w:val="000000" w:themeColor="text1"/>
          <w14:textFill>
            <w14:solidFill>
              <w14:schemeClr w14:val="tx1"/>
            </w14:solidFill>
          </w14:textFill>
        </w:rPr>
      </w:pPr>
      <w:r>
        <w:rPr>
          <w:color w:val="000000" w:themeColor="text1"/>
          <w14:textFill>
            <w14:solidFill>
              <w14:schemeClr w14:val="tx1"/>
            </w14:solidFill>
          </w14:textFill>
        </w:rPr>
        <w:t>与《新污染物治理行动方案》相符性分析</w:t>
      </w:r>
    </w:p>
    <w:p w14:paraId="727C3667">
      <w:pPr>
        <w:ind w:firstLine="480"/>
        <w:rPr>
          <w:color w:val="000000" w:themeColor="text1"/>
          <w14:textFill>
            <w14:solidFill>
              <w14:schemeClr w14:val="tx1"/>
            </w14:solidFill>
          </w14:textFill>
        </w:rPr>
      </w:pPr>
      <w:r>
        <w:rPr>
          <w:rFonts w:hint="eastAsia"/>
          <w:color w:val="000000" w:themeColor="text1"/>
          <w:lang w:eastAsia="zh-CN"/>
          <w14:textFill>
            <w14:solidFill>
              <w14:schemeClr w14:val="tx1"/>
            </w14:solidFill>
          </w14:textFill>
        </w:rPr>
        <w:t>2025年4月10日</w:t>
      </w:r>
      <w:r>
        <w:rPr>
          <w:rFonts w:hint="eastAsia"/>
          <w:color w:val="000000" w:themeColor="text1"/>
          <w14:textFill>
            <w14:solidFill>
              <w14:schemeClr w14:val="tx1"/>
            </w14:solidFill>
          </w14:textFill>
        </w:rPr>
        <w:t>，为贯彻落实《新污染物治理行动方案》相关要求，加强重点行业涉新污染物建设项目环境影响评价管理，生态环境部发布《关于加强重点行业涉新污染物建设项目环境影响评价工作的意见》（环环评〔2025〕28号）。该意见提出：“重点关注重点管控新污染物清单、有毒有害污染物名录、优先控制化学品名录以及《关于持久性有机污染物的斯德哥尔摩公约》（简称《斯德哥尔摩公约》）附件中已发布环境质量标准、污染物排放标准、环境监测方法标准或其他具有污染治理技术的污染物。重点关注石化、涂料、纺织印染、橡胶、农药、医药等重点行业建设项目，在建设项目环评工作中做好上述新污染物识别，涉及上述新污染物的，执行本意见要求；不涉及新污染物的，无需开展相关工作”。该意见提出了重点管控14种新污染物，分别是：1、全氟辛基磺酸及其盐类和全氟辛基磺酰氟（PFOS类）；2、全氟辛酸及其盐类和相关化合物（PFOA类）；3、十溴二苯醚；4、短链氯化石蜡；5、六氯丁二烯；6、五氯苯酚及其盐类和酯类；7、三氯杀螨醇；8、全氟己基磺酸及其盐类和其相关化合物（PFHxS类）；9、得克隆及其顺式异构体和反式异构体；10、二氯甲烷；11、三氯甲烷；12、壬基酚；13、抗生素；14、10类已淘汰类（六溴环十二烷、氯丹、灭蚁灵、六氯苯、滴滴涕、α-六氯环己烷、β-六氯环己烷、林丹、硫丹原药及其相关异构体、多氯联苯）。</w:t>
      </w:r>
    </w:p>
    <w:p w14:paraId="764C7B61">
      <w:pPr>
        <w:ind w:firstLine="480"/>
        <w:rPr>
          <w:rFonts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项目新增苯乙烯利用现有笨装卸臂进行装卸，均为卸船后经管道至后方厂区。新增裂解C9、棕榈酸化油、脂肪酸混合物、工业级混合油、脂肪酸甲酯、纯生物柴油、航空煤油新建装卸臂进行装卸，纯生物柴油、航空煤油为后方厂区经管道装船，其余为卸船后经管道至后方厂区。新增液硫、碱液、发烟硫酸（硫酸）经卸船经管道至后方陆域罐区。</w:t>
      </w:r>
    </w:p>
    <w:p w14:paraId="418D32E2">
      <w:pPr>
        <w:ind w:firstLine="480"/>
        <w:rPr>
          <w:rFonts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不涉及新污染物的产排污情况。但在项目后续推进过程中，仍将持续保持高度警惕，严格按照环保标准与规范开展各项工作，确保项目建设和运营不对周边环境造成新污染物相关的潜在风险与不良影响，切实履行环境保护责任，保障生态环境安全。</w:t>
      </w:r>
    </w:p>
    <w:p w14:paraId="673B249C">
      <w:pPr>
        <w:pStyle w:val="6"/>
        <w:rPr>
          <w:color w:val="000000" w:themeColor="text1"/>
          <w14:textFill>
            <w14:solidFill>
              <w14:schemeClr w14:val="tx1"/>
            </w14:solidFill>
          </w14:textFill>
        </w:rPr>
      </w:pPr>
      <w:r>
        <w:rPr>
          <w:rFonts w:hint="eastAsia"/>
          <w:color w:val="000000" w:themeColor="text1"/>
          <w14:textFill>
            <w14:solidFill>
              <w14:schemeClr w14:val="tx1"/>
            </w14:solidFill>
          </w14:textFill>
        </w:rPr>
        <w:t>北部湾</w:t>
      </w:r>
      <w:r>
        <w:rPr>
          <w:color w:val="000000" w:themeColor="text1"/>
          <w14:textFill>
            <w14:solidFill>
              <w14:schemeClr w14:val="tx1"/>
            </w14:solidFill>
          </w14:textFill>
        </w:rPr>
        <w:t>港总体规划及规划环评审查意见</w:t>
      </w:r>
    </w:p>
    <w:p w14:paraId="57C3EF35">
      <w:pPr>
        <w:ind w:firstLine="480"/>
        <w:rPr>
          <w:color w:val="000000" w:themeColor="text1"/>
          <w14:textFill>
            <w14:solidFill>
              <w14:schemeClr w14:val="tx1"/>
            </w14:solidFill>
          </w14:textFill>
        </w:rPr>
      </w:pPr>
      <w:r>
        <w:rPr>
          <w:color w:val="000000" w:themeColor="text1"/>
          <w:u w:val="single"/>
          <w14:textFill>
            <w14:solidFill>
              <w14:schemeClr w14:val="tx1"/>
            </w14:solidFill>
          </w14:textFill>
        </w:rPr>
        <w:t>根据《</w:t>
      </w:r>
      <w:r>
        <w:rPr>
          <w:rFonts w:hint="eastAsia"/>
          <w:color w:val="000000" w:themeColor="text1"/>
          <w:u w:val="single"/>
          <w14:textFill>
            <w14:solidFill>
              <w14:schemeClr w14:val="tx1"/>
            </w14:solidFill>
          </w14:textFill>
        </w:rPr>
        <w:t>北部湾</w:t>
      </w:r>
      <w:r>
        <w:rPr>
          <w:color w:val="000000" w:themeColor="text1"/>
          <w:u w:val="single"/>
          <w14:textFill>
            <w14:solidFill>
              <w14:schemeClr w14:val="tx1"/>
            </w14:solidFill>
          </w14:textFill>
        </w:rPr>
        <w:t>港总体规划（2035年）》，金谷港区</w:t>
      </w:r>
      <w:r>
        <w:rPr>
          <w:rFonts w:hint="eastAsia"/>
          <w:color w:val="000000" w:themeColor="text1"/>
          <w:u w:val="single"/>
          <w14:textFill>
            <w14:solidFill>
              <w14:schemeClr w14:val="tx1"/>
            </w14:solidFill>
          </w14:textFill>
        </w:rPr>
        <w:t>主要服务临港产业</w:t>
      </w:r>
      <w:r>
        <w:rPr>
          <w:rFonts w:hint="eastAsia"/>
          <w:color w:val="000000" w:themeColor="text1"/>
          <w:u w:val="single"/>
          <w:lang w:val="en-US" w:eastAsia="zh-CN"/>
          <w14:textFill>
            <w14:solidFill>
              <w14:schemeClr w14:val="tx1"/>
            </w14:solidFill>
          </w14:textFill>
        </w:rPr>
        <w:t>发展</w:t>
      </w:r>
      <w:r>
        <w:rPr>
          <w:rFonts w:hint="eastAsia"/>
          <w:color w:val="000000" w:themeColor="text1"/>
          <w:u w:val="single"/>
          <w14:textFill>
            <w14:solidFill>
              <w14:schemeClr w14:val="tx1"/>
            </w14:solidFill>
          </w14:textFill>
        </w:rPr>
        <w:t>和平陆运河江海联运，以煤炭、粮食、非金属矿石等干散货和油品、液体化工品运输为主</w:t>
      </w:r>
      <w:r>
        <w:rPr>
          <w:color w:val="000000" w:themeColor="text1"/>
          <w:u w:val="single"/>
          <w14:textFill>
            <w14:solidFill>
              <w14:schemeClr w14:val="tx1"/>
            </w14:solidFill>
          </w14:textFill>
        </w:rPr>
        <w:t>。</w:t>
      </w:r>
      <w:r>
        <w:rPr>
          <w:rFonts w:hint="eastAsia"/>
          <w:color w:val="000000" w:themeColor="text1"/>
          <w:u w:val="single"/>
          <w14:textFill>
            <w14:solidFill>
              <w14:schemeClr w14:val="tx1"/>
            </w14:solidFill>
          </w14:textFill>
        </w:rPr>
        <w:t>金鼓江作业区以服务后方临港产业发展为主，以煤炭等干散货和液体散货运输为主。项目所在</w:t>
      </w:r>
      <w:r>
        <w:rPr>
          <w:color w:val="000000" w:themeColor="text1"/>
          <w:u w:val="single"/>
          <w14:textFill>
            <w14:solidFill>
              <w14:schemeClr w14:val="tx1"/>
            </w14:solidFill>
          </w14:textFill>
        </w:rPr>
        <w:t>的14#泊位为《</w:t>
      </w:r>
      <w:r>
        <w:rPr>
          <w:rFonts w:hint="eastAsia"/>
          <w:color w:val="000000" w:themeColor="text1"/>
          <w:u w:val="single"/>
          <w14:textFill>
            <w14:solidFill>
              <w14:schemeClr w14:val="tx1"/>
            </w14:solidFill>
          </w14:textFill>
        </w:rPr>
        <w:t>北部湾</w:t>
      </w:r>
      <w:r>
        <w:rPr>
          <w:color w:val="000000" w:themeColor="text1"/>
          <w:u w:val="single"/>
          <w14:textFill>
            <w14:solidFill>
              <w14:schemeClr w14:val="tx1"/>
            </w14:solidFill>
          </w14:textFill>
        </w:rPr>
        <w:t>港总体规划（2035年）》中金鼓</w:t>
      </w:r>
      <w:r>
        <w:rPr>
          <w:color w:val="000000" w:themeColor="text1"/>
          <w14:textFill>
            <w14:solidFill>
              <w14:schemeClr w14:val="tx1"/>
            </w14:solidFill>
          </w14:textFill>
        </w:rPr>
        <w:t>江作业区规划泊位，货种为液体化学品，岸线利用及水域使用符合《</w:t>
      </w:r>
      <w:r>
        <w:rPr>
          <w:rFonts w:hint="eastAsia"/>
          <w:color w:val="000000" w:themeColor="text1"/>
          <w14:textFill>
            <w14:solidFill>
              <w14:schemeClr w14:val="tx1"/>
            </w14:solidFill>
          </w14:textFill>
        </w:rPr>
        <w:t>北部湾</w:t>
      </w:r>
      <w:r>
        <w:rPr>
          <w:color w:val="000000" w:themeColor="text1"/>
          <w14:textFill>
            <w14:solidFill>
              <w14:schemeClr w14:val="tx1"/>
            </w14:solidFill>
          </w14:textFill>
        </w:rPr>
        <w:t>港总体规划》要求。</w:t>
      </w:r>
    </w:p>
    <w:p w14:paraId="730DF780">
      <w:pPr>
        <w:ind w:firstLine="480"/>
        <w:rPr>
          <w:color w:val="000000" w:themeColor="text1"/>
          <w14:textFill>
            <w14:solidFill>
              <w14:schemeClr w14:val="tx1"/>
            </w14:solidFill>
          </w14:textFill>
        </w:rPr>
      </w:pPr>
      <w:r>
        <w:rPr>
          <w:color w:val="000000" w:themeColor="text1"/>
          <w14:textFill>
            <w14:solidFill>
              <w14:schemeClr w14:val="tx1"/>
            </w14:solidFill>
          </w14:textFill>
        </w:rPr>
        <w:t>根据《</w:t>
      </w:r>
      <w:r>
        <w:rPr>
          <w:rFonts w:hint="eastAsia"/>
          <w:color w:val="000000" w:themeColor="text1"/>
          <w14:textFill>
            <w14:solidFill>
              <w14:schemeClr w14:val="tx1"/>
            </w14:solidFill>
          </w14:textFill>
        </w:rPr>
        <w:t>北部湾</w:t>
      </w:r>
      <w:r>
        <w:rPr>
          <w:color w:val="000000" w:themeColor="text1"/>
          <w14:textFill>
            <w14:solidFill>
              <w14:schemeClr w14:val="tx1"/>
            </w14:solidFill>
          </w14:textFill>
        </w:rPr>
        <w:t>港总体规划（2035年）》规划环评及</w:t>
      </w:r>
      <w:r>
        <w:rPr>
          <w:rFonts w:hint="eastAsia"/>
          <w:color w:val="000000" w:themeColor="text1"/>
          <w14:textFill>
            <w14:solidFill>
              <w14:schemeClr w14:val="tx1"/>
            </w14:solidFill>
          </w14:textFill>
        </w:rPr>
        <w:t>中华人民共和国生态环境部</w:t>
      </w:r>
      <w:r>
        <w:rPr>
          <w:color w:val="000000" w:themeColor="text1"/>
          <w14:textFill>
            <w14:solidFill>
              <w14:schemeClr w14:val="tx1"/>
            </w14:solidFill>
          </w14:textFill>
        </w:rPr>
        <w:t>关于</w:t>
      </w:r>
      <w:r>
        <w:rPr>
          <w:rFonts w:hint="eastAsia"/>
          <w:color w:val="000000" w:themeColor="text1"/>
          <w14:textFill>
            <w14:solidFill>
              <w14:schemeClr w14:val="tx1"/>
            </w14:solidFill>
          </w14:textFill>
        </w:rPr>
        <w:t>《北部湾</w:t>
      </w:r>
      <w:r>
        <w:rPr>
          <w:color w:val="000000" w:themeColor="text1"/>
          <w14:textFill>
            <w14:solidFill>
              <w14:schemeClr w14:val="tx1"/>
            </w14:solidFill>
          </w14:textFill>
        </w:rPr>
        <w:t>港总体规划</w:t>
      </w:r>
      <w:r>
        <w:rPr>
          <w:rFonts w:hint="eastAsia"/>
          <w:color w:val="000000" w:themeColor="text1"/>
          <w14:textFill>
            <w14:solidFill>
              <w14:schemeClr w14:val="tx1"/>
            </w14:solidFill>
          </w14:textFill>
        </w:rPr>
        <w:t>（2035年）》</w:t>
      </w:r>
      <w:r>
        <w:rPr>
          <w:color w:val="000000" w:themeColor="text1"/>
          <w14:textFill>
            <w14:solidFill>
              <w14:schemeClr w14:val="tx1"/>
            </w14:solidFill>
          </w14:textFill>
        </w:rPr>
        <w:t>环境影响报告书</w:t>
      </w:r>
      <w:r>
        <w:rPr>
          <w:rFonts w:hint="eastAsia"/>
          <w:color w:val="000000" w:themeColor="text1"/>
          <w14:textFill>
            <w14:solidFill>
              <w14:schemeClr w14:val="tx1"/>
            </w14:solidFill>
          </w14:textFill>
        </w:rPr>
        <w:t>的</w:t>
      </w:r>
      <w:r>
        <w:rPr>
          <w:color w:val="000000" w:themeColor="text1"/>
          <w14:textFill>
            <w14:solidFill>
              <w14:schemeClr w14:val="tx1"/>
            </w14:solidFill>
          </w14:textFill>
        </w:rPr>
        <w:t>审查意见（环</w:t>
      </w:r>
      <w:r>
        <w:rPr>
          <w:rFonts w:hint="eastAsia"/>
          <w:color w:val="000000" w:themeColor="text1"/>
          <w14:textFill>
            <w14:solidFill>
              <w14:schemeClr w14:val="tx1"/>
            </w14:solidFill>
          </w14:textFill>
        </w:rPr>
        <w:t>审</w:t>
      </w:r>
      <w:r>
        <w:rPr>
          <w:color w:val="000000" w:themeColor="text1"/>
          <w14:textFill>
            <w14:solidFill>
              <w14:schemeClr w14:val="tx1"/>
            </w14:solidFill>
          </w14:textFill>
        </w:rPr>
        <w:t>〔202</w:t>
      </w:r>
      <w:r>
        <w:rPr>
          <w:rFonts w:hint="eastAsia"/>
          <w:color w:val="000000" w:themeColor="text1"/>
          <w14:textFill>
            <w14:solidFill>
              <w14:schemeClr w14:val="tx1"/>
            </w14:solidFill>
          </w14:textFill>
        </w:rPr>
        <w:t>3</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125</w:t>
      </w:r>
      <w:r>
        <w:rPr>
          <w:color w:val="000000" w:themeColor="text1"/>
          <w14:textFill>
            <w14:solidFill>
              <w14:schemeClr w14:val="tx1"/>
            </w14:solidFill>
          </w14:textFill>
        </w:rPr>
        <w:t>号），</w:t>
      </w:r>
      <w:r>
        <w:rPr>
          <w:rFonts w:hint="eastAsia"/>
          <w:color w:val="000000" w:themeColor="text1"/>
          <w14:textFill>
            <w14:solidFill>
              <w14:schemeClr w14:val="tx1"/>
            </w14:solidFill>
          </w14:textFill>
        </w:rPr>
        <w:t>本项目</w:t>
      </w:r>
      <w:r>
        <w:rPr>
          <w:color w:val="000000" w:themeColor="text1"/>
          <w14:textFill>
            <w14:solidFill>
              <w14:schemeClr w14:val="tx1"/>
            </w14:solidFill>
          </w14:textFill>
        </w:rPr>
        <w:t>根据《产业结构调整指导目录（20</w:t>
      </w:r>
      <w:r>
        <w:rPr>
          <w:rFonts w:hint="eastAsia"/>
          <w:color w:val="000000" w:themeColor="text1"/>
          <w14:textFill>
            <w14:solidFill>
              <w14:schemeClr w14:val="tx1"/>
            </w14:solidFill>
          </w14:textFill>
        </w:rPr>
        <w:t>24</w:t>
      </w:r>
      <w:r>
        <w:rPr>
          <w:color w:val="000000" w:themeColor="text1"/>
          <w14:textFill>
            <w14:solidFill>
              <w14:schemeClr w14:val="tx1"/>
            </w14:solidFill>
          </w14:textFill>
        </w:rPr>
        <w:t xml:space="preserve">年本）》，属于鼓励类“二十五、水运 </w:t>
      </w:r>
      <w:r>
        <w:rPr>
          <w:rFonts w:hint="eastAsia"/>
          <w:color w:val="000000" w:themeColor="text1"/>
          <w14:textFill>
            <w14:solidFill>
              <w14:schemeClr w14:val="tx1"/>
            </w14:solidFill>
          </w14:textFill>
        </w:rPr>
        <w:t>2</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港口枢纽建设</w:t>
      </w:r>
      <w:r>
        <w:rPr>
          <w:color w:val="000000" w:themeColor="text1"/>
          <w14:textFill>
            <w14:solidFill>
              <w14:schemeClr w14:val="tx1"/>
            </w14:solidFill>
          </w14:textFill>
        </w:rPr>
        <w:t>”项目</w:t>
      </w:r>
      <w:r>
        <w:rPr>
          <w:rFonts w:hint="eastAsia"/>
          <w:color w:val="000000" w:themeColor="text1"/>
          <w14:textFill>
            <w14:solidFill>
              <w14:schemeClr w14:val="tx1"/>
            </w14:solidFill>
          </w14:textFill>
        </w:rPr>
        <w:t>不涉及生态保护红线</w:t>
      </w:r>
      <w:r>
        <w:rPr>
          <w:color w:val="000000" w:themeColor="text1"/>
          <w14:textFill>
            <w14:solidFill>
              <w14:schemeClr w14:val="tx1"/>
            </w14:solidFill>
          </w14:textFill>
        </w:rPr>
        <w:t>，本码头项目货种及吞吐量均经过项目可研论证，在环境保护方面，码头区域设置了尾气处理装置、废水依托后方污水处理厂进行处理后达标排放，其他各污染物均得到妥善处理，本次码头建设是后方园区发展的需要，经本次评价论证，采取各项环保措施后其影响在可接受范围。总体而言，项目与《</w:t>
      </w:r>
      <w:r>
        <w:rPr>
          <w:rFonts w:hint="eastAsia"/>
          <w:color w:val="000000" w:themeColor="text1"/>
          <w14:textFill>
            <w14:solidFill>
              <w14:schemeClr w14:val="tx1"/>
            </w14:solidFill>
          </w14:textFill>
        </w:rPr>
        <w:t>北部湾</w:t>
      </w:r>
      <w:r>
        <w:rPr>
          <w:color w:val="000000" w:themeColor="text1"/>
          <w14:textFill>
            <w14:solidFill>
              <w14:schemeClr w14:val="tx1"/>
            </w14:solidFill>
          </w14:textFill>
        </w:rPr>
        <w:t>港总体规划（2035年）》规划环评及其审查意见是相符的。</w:t>
      </w:r>
    </w:p>
    <w:p w14:paraId="62890709">
      <w:pPr>
        <w:pStyle w:val="7"/>
        <w:rPr>
          <w:color w:val="000000" w:themeColor="text1"/>
          <w14:textFill>
            <w14:solidFill>
              <w14:schemeClr w14:val="tx1"/>
            </w14:solidFill>
          </w14:textFill>
        </w:rPr>
      </w:pPr>
      <w:r>
        <w:rPr>
          <w:rFonts w:hint="eastAsia"/>
          <w:color w:val="000000" w:themeColor="text1"/>
          <w14:textFill>
            <w14:solidFill>
              <w14:schemeClr w14:val="tx1"/>
            </w14:solidFill>
          </w14:textFill>
        </w:rPr>
        <w:t>与《北部湾港总体规划（2035年）符合性分析》</w:t>
      </w:r>
    </w:p>
    <w:tbl>
      <w:tblPr>
        <w:tblStyle w:val="119"/>
        <w:tblW w:w="5189" w:type="pct"/>
        <w:tblInd w:w="0"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autofit"/>
        <w:tblCellMar>
          <w:top w:w="0" w:type="dxa"/>
          <w:left w:w="0" w:type="dxa"/>
          <w:bottom w:w="0" w:type="dxa"/>
          <w:right w:w="0" w:type="dxa"/>
        </w:tblCellMar>
      </w:tblPr>
      <w:tblGrid>
        <w:gridCol w:w="895"/>
        <w:gridCol w:w="6385"/>
        <w:gridCol w:w="1371"/>
      </w:tblGrid>
      <w:tr w14:paraId="2FD985AA">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454" w:hRule="atLeast"/>
          <w:tblHeader/>
        </w:trPr>
        <w:tc>
          <w:tcPr>
            <w:tcW w:w="4154" w:type="pct"/>
            <w:gridSpan w:val="2"/>
            <w:vAlign w:val="center"/>
          </w:tcPr>
          <w:p w14:paraId="7481BF60">
            <w:pPr>
              <w:adjustRightInd w:val="0"/>
              <w:snapToGrid w:val="0"/>
              <w:spacing w:line="240" w:lineRule="exact"/>
              <w:ind w:firstLine="0" w:firstLineChars="0"/>
              <w:jc w:val="center"/>
              <w:outlineLvl w:val="0"/>
              <w:rPr>
                <w:b/>
                <w:color w:val="000000" w:themeColor="text1"/>
                <w:sz w:val="21"/>
                <w:szCs w:val="20"/>
                <w14:textFill>
                  <w14:solidFill>
                    <w14:schemeClr w14:val="tx1"/>
                  </w14:solidFill>
                </w14:textFill>
              </w:rPr>
            </w:pPr>
            <w:r>
              <w:rPr>
                <w:rFonts w:hint="eastAsia"/>
                <w:b/>
                <w:color w:val="000000" w:themeColor="text1"/>
                <w:sz w:val="21"/>
                <w:szCs w:val="20"/>
                <w14:textFill>
                  <w14:solidFill>
                    <w14:schemeClr w14:val="tx1"/>
                  </w14:solidFill>
                </w14:textFill>
              </w:rPr>
              <w:t>环境准入要求</w:t>
            </w:r>
          </w:p>
        </w:tc>
        <w:tc>
          <w:tcPr>
            <w:tcW w:w="782" w:type="pct"/>
            <w:vAlign w:val="center"/>
          </w:tcPr>
          <w:p w14:paraId="199850B1">
            <w:pPr>
              <w:adjustRightInd w:val="0"/>
              <w:snapToGrid w:val="0"/>
              <w:spacing w:line="240" w:lineRule="exact"/>
              <w:ind w:firstLine="0" w:firstLineChars="0"/>
              <w:jc w:val="center"/>
              <w:outlineLvl w:val="0"/>
              <w:rPr>
                <w:b/>
                <w:color w:val="000000" w:themeColor="text1"/>
                <w:sz w:val="21"/>
                <w:szCs w:val="20"/>
                <w14:textFill>
                  <w14:solidFill>
                    <w14:schemeClr w14:val="tx1"/>
                  </w14:solidFill>
                </w14:textFill>
              </w:rPr>
            </w:pPr>
            <w:r>
              <w:rPr>
                <w:rFonts w:hint="eastAsia"/>
                <w:b/>
                <w:color w:val="000000" w:themeColor="text1"/>
                <w:sz w:val="21"/>
                <w:szCs w:val="20"/>
                <w14:textFill>
                  <w14:solidFill>
                    <w14:schemeClr w14:val="tx1"/>
                  </w14:solidFill>
                </w14:textFill>
              </w:rPr>
              <w:t>相符性分析</w:t>
            </w:r>
          </w:p>
        </w:tc>
      </w:tr>
      <w:tr w14:paraId="5C04B482">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454" w:hRule="atLeast"/>
        </w:trPr>
        <w:tc>
          <w:tcPr>
            <w:tcW w:w="511" w:type="pct"/>
            <w:vMerge w:val="restart"/>
            <w:vAlign w:val="center"/>
          </w:tcPr>
          <w:p w14:paraId="1EF903F9">
            <w:pPr>
              <w:adjustRightInd w:val="0"/>
              <w:snapToGrid w:val="0"/>
              <w:spacing w:line="240" w:lineRule="exact"/>
              <w:ind w:firstLine="0" w:firstLineChars="0"/>
              <w:jc w:val="center"/>
              <w:outlineLvl w:val="0"/>
              <w:rPr>
                <w:color w:val="000000" w:themeColor="text1"/>
                <w:sz w:val="21"/>
                <w:szCs w:val="20"/>
                <w14:textFill>
                  <w14:solidFill>
                    <w14:schemeClr w14:val="tx1"/>
                  </w14:solidFill>
                </w14:textFill>
              </w:rPr>
            </w:pPr>
            <w:r>
              <w:rPr>
                <w:rFonts w:hint="eastAsia"/>
                <w:color w:val="000000" w:themeColor="text1"/>
                <w:sz w:val="21"/>
                <w:szCs w:val="20"/>
                <w14:textFill>
                  <w14:solidFill>
                    <w14:schemeClr w14:val="tx1"/>
                  </w14:solidFill>
                </w14:textFill>
              </w:rPr>
              <w:t>空间布局约束</w:t>
            </w:r>
          </w:p>
        </w:tc>
        <w:tc>
          <w:tcPr>
            <w:tcW w:w="3643" w:type="pct"/>
            <w:vAlign w:val="center"/>
          </w:tcPr>
          <w:p w14:paraId="643A6C1F">
            <w:pPr>
              <w:adjustRightInd w:val="0"/>
              <w:snapToGrid w:val="0"/>
              <w:spacing w:line="240" w:lineRule="exact"/>
              <w:ind w:firstLine="0" w:firstLineChars="0"/>
              <w:jc w:val="left"/>
              <w:outlineLvl w:val="0"/>
              <w:rPr>
                <w:color w:val="000000" w:themeColor="text1"/>
                <w:sz w:val="21"/>
                <w:szCs w:val="20"/>
                <w14:textFill>
                  <w14:solidFill>
                    <w14:schemeClr w14:val="tx1"/>
                  </w14:solidFill>
                </w14:textFill>
              </w:rPr>
            </w:pPr>
            <w:r>
              <w:rPr>
                <w:rFonts w:hint="eastAsia"/>
                <w:color w:val="000000" w:themeColor="text1"/>
                <w:sz w:val="21"/>
                <w:szCs w:val="20"/>
                <w14:textFill>
                  <w14:solidFill>
                    <w14:schemeClr w14:val="tx1"/>
                  </w14:solidFill>
                </w14:textFill>
              </w:rPr>
              <w:t xml:space="preserve">①产业准入 </w:t>
            </w:r>
          </w:p>
          <w:p w14:paraId="505502B1">
            <w:pPr>
              <w:adjustRightInd w:val="0"/>
              <w:snapToGrid w:val="0"/>
              <w:spacing w:line="240" w:lineRule="exact"/>
              <w:ind w:firstLine="0" w:firstLineChars="0"/>
              <w:jc w:val="left"/>
              <w:outlineLvl w:val="0"/>
              <w:rPr>
                <w:color w:val="000000" w:themeColor="text1"/>
                <w:sz w:val="21"/>
                <w:szCs w:val="20"/>
                <w14:textFill>
                  <w14:solidFill>
                    <w14:schemeClr w14:val="tx1"/>
                  </w14:solidFill>
                </w14:textFill>
              </w:rPr>
            </w:pPr>
            <w:r>
              <w:rPr>
                <w:rFonts w:hint="eastAsia"/>
                <w:color w:val="000000" w:themeColor="text1"/>
                <w:sz w:val="21"/>
                <w:szCs w:val="20"/>
                <w14:textFill>
                  <w14:solidFill>
                    <w14:schemeClr w14:val="tx1"/>
                  </w14:solidFill>
                </w14:textFill>
              </w:rPr>
              <w:t xml:space="preserve">北部湾港各港区应禁止发展《产业结构调整指导目录》中淘汰类、限制类水运和造修船工艺项目，主要有：废旧船舶滩涂拆解工艺、船长大于 </w:t>
            </w:r>
            <w:r>
              <w:rPr>
                <w:color w:val="000000" w:themeColor="text1"/>
                <w:sz w:val="21"/>
                <w:szCs w:val="20"/>
                <w14:textFill>
                  <w14:solidFill>
                    <w14:schemeClr w14:val="tx1"/>
                  </w14:solidFill>
                </w14:textFill>
              </w:rPr>
              <w:t xml:space="preserve">90 </w:t>
            </w:r>
            <w:r>
              <w:rPr>
                <w:rFonts w:hint="eastAsia"/>
                <w:color w:val="000000" w:themeColor="text1"/>
                <w:sz w:val="21"/>
                <w:szCs w:val="20"/>
                <w14:textFill>
                  <w14:solidFill>
                    <w14:schemeClr w14:val="tx1"/>
                  </w14:solidFill>
                </w14:textFill>
              </w:rPr>
              <w:t>米的船舶整体建造工艺。</w:t>
            </w:r>
          </w:p>
        </w:tc>
        <w:tc>
          <w:tcPr>
            <w:tcW w:w="782" w:type="pct"/>
            <w:vAlign w:val="center"/>
          </w:tcPr>
          <w:p w14:paraId="23EBD5FB">
            <w:pPr>
              <w:adjustRightInd w:val="0"/>
              <w:snapToGrid w:val="0"/>
              <w:spacing w:line="240" w:lineRule="exact"/>
              <w:ind w:firstLine="0" w:firstLineChars="0"/>
              <w:jc w:val="center"/>
              <w:outlineLvl w:val="0"/>
              <w:rPr>
                <w:color w:val="000000" w:themeColor="text1"/>
                <w:sz w:val="21"/>
                <w:szCs w:val="20"/>
                <w14:textFill>
                  <w14:solidFill>
                    <w14:schemeClr w14:val="tx1"/>
                  </w14:solidFill>
                </w14:textFill>
              </w:rPr>
            </w:pPr>
            <w:r>
              <w:rPr>
                <w:rFonts w:hint="eastAsia"/>
                <w:color w:val="000000" w:themeColor="text1"/>
                <w:sz w:val="21"/>
                <w:szCs w:val="20"/>
                <w14:textFill>
                  <w14:solidFill>
                    <w14:schemeClr w14:val="tx1"/>
                  </w14:solidFill>
                </w14:textFill>
              </w:rPr>
              <w:t>本项目属于《产业结构调整指导目录（2024年本）》鼓励类，符合</w:t>
            </w:r>
          </w:p>
        </w:tc>
      </w:tr>
      <w:tr w14:paraId="393C2689">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454" w:hRule="atLeast"/>
        </w:trPr>
        <w:tc>
          <w:tcPr>
            <w:tcW w:w="511" w:type="pct"/>
            <w:vMerge w:val="continue"/>
            <w:vAlign w:val="center"/>
          </w:tcPr>
          <w:p w14:paraId="4DD1855E">
            <w:pPr>
              <w:adjustRightInd w:val="0"/>
              <w:snapToGrid w:val="0"/>
              <w:spacing w:line="240" w:lineRule="exact"/>
              <w:ind w:firstLine="0" w:firstLineChars="0"/>
              <w:jc w:val="center"/>
              <w:outlineLvl w:val="0"/>
              <w:rPr>
                <w:color w:val="000000" w:themeColor="text1"/>
                <w:sz w:val="21"/>
                <w:szCs w:val="20"/>
                <w14:textFill>
                  <w14:solidFill>
                    <w14:schemeClr w14:val="tx1"/>
                  </w14:solidFill>
                </w14:textFill>
              </w:rPr>
            </w:pPr>
          </w:p>
        </w:tc>
        <w:tc>
          <w:tcPr>
            <w:tcW w:w="3643" w:type="pct"/>
            <w:vAlign w:val="center"/>
          </w:tcPr>
          <w:p w14:paraId="29DD7436">
            <w:pPr>
              <w:adjustRightInd w:val="0"/>
              <w:snapToGrid w:val="0"/>
              <w:spacing w:line="240" w:lineRule="exact"/>
              <w:ind w:firstLine="0" w:firstLineChars="0"/>
              <w:jc w:val="left"/>
              <w:outlineLvl w:val="0"/>
              <w:rPr>
                <w:color w:val="000000" w:themeColor="text1"/>
                <w:sz w:val="21"/>
                <w:szCs w:val="20"/>
                <w14:textFill>
                  <w14:solidFill>
                    <w14:schemeClr w14:val="tx1"/>
                  </w14:solidFill>
                </w14:textFill>
              </w:rPr>
            </w:pPr>
            <w:r>
              <w:rPr>
                <w:rFonts w:hint="eastAsia"/>
                <w:color w:val="000000" w:themeColor="text1"/>
                <w:sz w:val="21"/>
                <w:szCs w:val="20"/>
                <w14:textFill>
                  <w14:solidFill>
                    <w14:schemeClr w14:val="tx1"/>
                  </w14:solidFill>
                </w14:textFill>
              </w:rPr>
              <w:t>②污染控制标准</w:t>
            </w:r>
          </w:p>
          <w:p w14:paraId="40CE972F">
            <w:pPr>
              <w:adjustRightInd w:val="0"/>
              <w:snapToGrid w:val="0"/>
              <w:spacing w:line="240" w:lineRule="exact"/>
              <w:ind w:firstLine="0" w:firstLineChars="0"/>
              <w:jc w:val="left"/>
              <w:outlineLvl w:val="0"/>
              <w:rPr>
                <w:color w:val="000000" w:themeColor="text1"/>
                <w:sz w:val="21"/>
                <w:szCs w:val="20"/>
                <w14:textFill>
                  <w14:solidFill>
                    <w14:schemeClr w14:val="tx1"/>
                  </w14:solidFill>
                </w14:textFill>
              </w:rPr>
            </w:pPr>
            <w:r>
              <w:rPr>
                <w:rFonts w:hint="eastAsia"/>
                <w:color w:val="000000" w:themeColor="text1"/>
                <w:sz w:val="21"/>
                <w:szCs w:val="20"/>
                <w14:textFill>
                  <w14:solidFill>
                    <w14:schemeClr w14:val="tx1"/>
                  </w14:solidFill>
                </w14:textFill>
              </w:rPr>
              <w:t>油品及液体化工品码头：</w:t>
            </w:r>
            <w:r>
              <w:rPr>
                <w:color w:val="000000" w:themeColor="text1"/>
                <w:sz w:val="21"/>
                <w:szCs w:val="20"/>
                <w14:textFill>
                  <w14:solidFill>
                    <w14:schemeClr w14:val="tx1"/>
                  </w14:solidFill>
                </w14:textFill>
              </w:rPr>
              <w:t>VOCs</w:t>
            </w:r>
            <w:r>
              <w:rPr>
                <w:rFonts w:hint="eastAsia"/>
                <w:color w:val="000000" w:themeColor="text1"/>
                <w:sz w:val="21"/>
                <w:szCs w:val="20"/>
                <w14:textFill>
                  <w14:solidFill>
                    <w14:schemeClr w14:val="tx1"/>
                  </w14:solidFill>
                </w14:textFill>
              </w:rPr>
              <w:t>（大气污染物）；</w:t>
            </w:r>
            <w:r>
              <w:rPr>
                <w:color w:val="000000" w:themeColor="text1"/>
                <w:sz w:val="21"/>
                <w:szCs w:val="20"/>
                <w14:textFill>
                  <w14:solidFill>
                    <w14:schemeClr w14:val="tx1"/>
                  </w14:solidFill>
                </w14:textFill>
              </w:rPr>
              <w:t>COD</w:t>
            </w:r>
            <w:r>
              <w:rPr>
                <w:rFonts w:hint="eastAsia"/>
                <w:color w:val="000000" w:themeColor="text1"/>
                <w:sz w:val="21"/>
                <w:szCs w:val="20"/>
                <w14:textFill>
                  <w14:solidFill>
                    <w14:schemeClr w14:val="tx1"/>
                  </w14:solidFill>
                </w14:textFill>
              </w:rPr>
              <w:t>、石油类（水污染物）。各类码头主要污染物排放浓度应满足表2.3-2，不满足污染控制标准的建设项目禁止开发建设。</w:t>
            </w:r>
          </w:p>
        </w:tc>
        <w:tc>
          <w:tcPr>
            <w:tcW w:w="782" w:type="pct"/>
            <w:vAlign w:val="center"/>
          </w:tcPr>
          <w:p w14:paraId="7BDEDAC1">
            <w:pPr>
              <w:adjustRightInd w:val="0"/>
              <w:snapToGrid w:val="0"/>
              <w:spacing w:line="240" w:lineRule="exact"/>
              <w:ind w:firstLine="0" w:firstLineChars="0"/>
              <w:jc w:val="center"/>
              <w:outlineLvl w:val="0"/>
              <w:rPr>
                <w:color w:val="000000" w:themeColor="text1"/>
                <w:sz w:val="21"/>
                <w:szCs w:val="20"/>
                <w14:textFill>
                  <w14:solidFill>
                    <w14:schemeClr w14:val="tx1"/>
                  </w14:solidFill>
                </w14:textFill>
              </w:rPr>
            </w:pPr>
            <w:r>
              <w:rPr>
                <w:rFonts w:hint="eastAsia"/>
                <w:color w:val="000000" w:themeColor="text1"/>
                <w:sz w:val="21"/>
                <w:szCs w:val="20"/>
                <w14:textFill>
                  <w14:solidFill>
                    <w14:schemeClr w14:val="tx1"/>
                  </w14:solidFill>
                </w14:textFill>
              </w:rPr>
              <w:t>本项目VOC</w:t>
            </w:r>
            <w:r>
              <w:rPr>
                <w:rFonts w:hint="eastAsia"/>
                <w:color w:val="000000" w:themeColor="text1"/>
                <w:sz w:val="21"/>
                <w:szCs w:val="20"/>
                <w:vertAlign w:val="subscript"/>
                <w14:textFill>
                  <w14:solidFill>
                    <w14:schemeClr w14:val="tx1"/>
                  </w14:solidFill>
                </w14:textFill>
              </w:rPr>
              <w:t>s</w:t>
            </w:r>
            <w:r>
              <w:rPr>
                <w:rFonts w:hint="eastAsia"/>
                <w:color w:val="000000" w:themeColor="text1"/>
                <w:sz w:val="21"/>
                <w:szCs w:val="20"/>
                <w14:textFill>
                  <w14:solidFill>
                    <w14:schemeClr w14:val="tx1"/>
                  </w14:solidFill>
                </w14:textFill>
              </w:rPr>
              <w:t>排放满足排放标准，不涉及</w:t>
            </w:r>
            <w:r>
              <w:rPr>
                <w:rFonts w:hint="eastAsia"/>
                <w:color w:val="000000" w:themeColor="text1"/>
                <w:sz w:val="21"/>
                <w:szCs w:val="20"/>
                <w:lang w:eastAsia="zh-CN"/>
                <w14:textFill>
                  <w14:solidFill>
                    <w14:schemeClr w14:val="tx1"/>
                  </w14:solidFill>
                </w14:textFill>
              </w:rPr>
              <w:t>水污染物排放</w:t>
            </w:r>
            <w:r>
              <w:rPr>
                <w:rFonts w:hint="eastAsia"/>
                <w:color w:val="000000" w:themeColor="text1"/>
                <w:sz w:val="21"/>
                <w:szCs w:val="20"/>
                <w14:textFill>
                  <w14:solidFill>
                    <w14:schemeClr w14:val="tx1"/>
                  </w14:solidFill>
                </w14:textFill>
              </w:rPr>
              <w:t>，符合。</w:t>
            </w:r>
          </w:p>
        </w:tc>
      </w:tr>
      <w:tr w14:paraId="5C642E2E">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454" w:hRule="atLeast"/>
        </w:trPr>
        <w:tc>
          <w:tcPr>
            <w:tcW w:w="511" w:type="pct"/>
            <w:vMerge w:val="continue"/>
            <w:vAlign w:val="center"/>
          </w:tcPr>
          <w:p w14:paraId="66D9298C">
            <w:pPr>
              <w:adjustRightInd w:val="0"/>
              <w:snapToGrid w:val="0"/>
              <w:spacing w:line="240" w:lineRule="exact"/>
              <w:ind w:firstLine="0" w:firstLineChars="0"/>
              <w:jc w:val="center"/>
              <w:outlineLvl w:val="0"/>
              <w:rPr>
                <w:color w:val="000000" w:themeColor="text1"/>
                <w:sz w:val="21"/>
                <w:szCs w:val="20"/>
                <w14:textFill>
                  <w14:solidFill>
                    <w14:schemeClr w14:val="tx1"/>
                  </w14:solidFill>
                </w14:textFill>
              </w:rPr>
            </w:pPr>
          </w:p>
        </w:tc>
        <w:tc>
          <w:tcPr>
            <w:tcW w:w="3643" w:type="pct"/>
            <w:vAlign w:val="center"/>
          </w:tcPr>
          <w:p w14:paraId="0AA03DD9">
            <w:pPr>
              <w:adjustRightInd w:val="0"/>
              <w:snapToGrid w:val="0"/>
              <w:spacing w:line="240" w:lineRule="exact"/>
              <w:ind w:firstLine="0" w:firstLineChars="0"/>
              <w:jc w:val="left"/>
              <w:outlineLvl w:val="0"/>
              <w:rPr>
                <w:color w:val="000000" w:themeColor="text1"/>
                <w:sz w:val="21"/>
                <w:szCs w:val="20"/>
                <w14:textFill>
                  <w14:solidFill>
                    <w14:schemeClr w14:val="tx1"/>
                  </w14:solidFill>
                </w14:textFill>
              </w:rPr>
            </w:pPr>
            <w:r>
              <w:rPr>
                <w:rFonts w:hint="eastAsia"/>
                <w:color w:val="000000" w:themeColor="text1"/>
                <w:sz w:val="21"/>
                <w:szCs w:val="20"/>
                <w14:textFill>
                  <w14:solidFill>
                    <w14:schemeClr w14:val="tx1"/>
                  </w14:solidFill>
                </w14:textFill>
              </w:rPr>
              <w:t xml:space="preserve">③生态保护 </w:t>
            </w:r>
          </w:p>
          <w:p w14:paraId="76BB4BC0">
            <w:pPr>
              <w:adjustRightInd w:val="0"/>
              <w:snapToGrid w:val="0"/>
              <w:spacing w:line="240" w:lineRule="exact"/>
              <w:ind w:firstLine="0" w:firstLineChars="0"/>
              <w:jc w:val="left"/>
              <w:outlineLvl w:val="0"/>
              <w:rPr>
                <w:color w:val="000000" w:themeColor="text1"/>
                <w:sz w:val="21"/>
                <w:szCs w:val="20"/>
                <w14:textFill>
                  <w14:solidFill>
                    <w14:schemeClr w14:val="tx1"/>
                  </w14:solidFill>
                </w14:textFill>
              </w:rPr>
            </w:pPr>
            <w:r>
              <w:rPr>
                <w:rFonts w:hint="eastAsia"/>
                <w:color w:val="000000" w:themeColor="text1"/>
                <w:sz w:val="21"/>
                <w:szCs w:val="20"/>
                <w14:textFill>
                  <w14:solidFill>
                    <w14:schemeClr w14:val="tx1"/>
                  </w14:solidFill>
                </w14:textFill>
              </w:rPr>
              <w:t xml:space="preserve">在本规划实施过程中，可能影响到广西山口红树林国家级自然保护区、广西合浦儒艮国家级自然保护区、广西涠洲岛自治区级自然保护区、广西茅尾海红树林自治区级自然保护区、广西北仑河口国家级自然保护区、北部湾二长棘 </w:t>
            </w:r>
          </w:p>
          <w:p w14:paraId="7C58E7ED">
            <w:pPr>
              <w:adjustRightInd w:val="0"/>
              <w:snapToGrid w:val="0"/>
              <w:spacing w:line="240" w:lineRule="exact"/>
              <w:ind w:firstLine="0" w:firstLineChars="0"/>
              <w:jc w:val="left"/>
              <w:outlineLvl w:val="0"/>
              <w:rPr>
                <w:color w:val="000000" w:themeColor="text1"/>
                <w:sz w:val="21"/>
                <w:szCs w:val="20"/>
                <w14:textFill>
                  <w14:solidFill>
                    <w14:schemeClr w14:val="tx1"/>
                  </w14:solidFill>
                </w14:textFill>
              </w:rPr>
            </w:pPr>
            <w:r>
              <w:rPr>
                <w:rFonts w:hint="eastAsia"/>
                <w:color w:val="000000" w:themeColor="text1"/>
                <w:sz w:val="21"/>
                <w:szCs w:val="20"/>
                <w14:textFill>
                  <w14:solidFill>
                    <w14:schemeClr w14:val="tx1"/>
                  </w14:solidFill>
                </w14:textFill>
              </w:rPr>
              <w:t>鲷长毛对虾国家级水产种质资源保护区，以及现状红树林和中华白海豚、中国鲎、珊瑚礁、海草床等敏感生物的港口、航道及锚地建设项目，应编制专题报告，并取得相关主管部门意见依法办理有关手续。</w:t>
            </w:r>
          </w:p>
        </w:tc>
        <w:tc>
          <w:tcPr>
            <w:tcW w:w="782" w:type="pct"/>
            <w:vAlign w:val="center"/>
          </w:tcPr>
          <w:p w14:paraId="0A730E5D">
            <w:pPr>
              <w:adjustRightInd w:val="0"/>
              <w:snapToGrid w:val="0"/>
              <w:spacing w:line="240" w:lineRule="exact"/>
              <w:ind w:firstLine="0" w:firstLineChars="0"/>
              <w:jc w:val="center"/>
              <w:outlineLvl w:val="0"/>
              <w:rPr>
                <w:color w:val="000000" w:themeColor="text1"/>
                <w:sz w:val="21"/>
                <w:szCs w:val="20"/>
                <w14:textFill>
                  <w14:solidFill>
                    <w14:schemeClr w14:val="tx1"/>
                  </w14:solidFill>
                </w14:textFill>
              </w:rPr>
            </w:pPr>
            <w:r>
              <w:rPr>
                <w:rFonts w:hint="eastAsia"/>
                <w:color w:val="000000" w:themeColor="text1"/>
                <w:sz w:val="21"/>
                <w:szCs w:val="20"/>
                <w14:textFill>
                  <w14:solidFill>
                    <w14:schemeClr w14:val="tx1"/>
                  </w14:solidFill>
                </w14:textFill>
              </w:rPr>
              <w:t>本项目不涉及以上保护区，符合。</w:t>
            </w:r>
          </w:p>
        </w:tc>
      </w:tr>
      <w:tr w14:paraId="4BAE9987">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454" w:hRule="atLeast"/>
        </w:trPr>
        <w:tc>
          <w:tcPr>
            <w:tcW w:w="511" w:type="pct"/>
            <w:vMerge w:val="continue"/>
            <w:vAlign w:val="center"/>
          </w:tcPr>
          <w:p w14:paraId="2FCCCDBB">
            <w:pPr>
              <w:adjustRightInd w:val="0"/>
              <w:snapToGrid w:val="0"/>
              <w:spacing w:line="240" w:lineRule="exact"/>
              <w:ind w:firstLine="0" w:firstLineChars="0"/>
              <w:jc w:val="center"/>
              <w:outlineLvl w:val="0"/>
              <w:rPr>
                <w:color w:val="000000" w:themeColor="text1"/>
                <w:sz w:val="21"/>
                <w:szCs w:val="20"/>
                <w14:textFill>
                  <w14:solidFill>
                    <w14:schemeClr w14:val="tx1"/>
                  </w14:solidFill>
                </w14:textFill>
              </w:rPr>
            </w:pPr>
          </w:p>
        </w:tc>
        <w:tc>
          <w:tcPr>
            <w:tcW w:w="3643" w:type="pct"/>
            <w:vAlign w:val="center"/>
          </w:tcPr>
          <w:p w14:paraId="10084DDF">
            <w:pPr>
              <w:adjustRightInd w:val="0"/>
              <w:snapToGrid w:val="0"/>
              <w:spacing w:line="240" w:lineRule="exact"/>
              <w:ind w:firstLine="0" w:firstLineChars="0"/>
              <w:jc w:val="left"/>
              <w:outlineLvl w:val="0"/>
              <w:rPr>
                <w:color w:val="000000" w:themeColor="text1"/>
                <w:sz w:val="21"/>
                <w:szCs w:val="20"/>
                <w14:textFill>
                  <w14:solidFill>
                    <w14:schemeClr w14:val="tx1"/>
                  </w14:solidFill>
                </w14:textFill>
              </w:rPr>
            </w:pPr>
            <w:r>
              <w:rPr>
                <w:rFonts w:hint="eastAsia"/>
                <w:color w:val="000000" w:themeColor="text1"/>
                <w:sz w:val="21"/>
                <w:szCs w:val="20"/>
                <w14:textFill>
                  <w14:solidFill>
                    <w14:schemeClr w14:val="tx1"/>
                  </w14:solidFill>
                </w14:textFill>
              </w:rPr>
              <w:t>④到港船舶</w:t>
            </w:r>
          </w:p>
          <w:p w14:paraId="445B26DC">
            <w:pPr>
              <w:adjustRightInd w:val="0"/>
              <w:snapToGrid w:val="0"/>
              <w:spacing w:line="240" w:lineRule="exact"/>
              <w:ind w:firstLine="0" w:firstLineChars="0"/>
              <w:jc w:val="left"/>
              <w:outlineLvl w:val="0"/>
              <w:rPr>
                <w:color w:val="000000" w:themeColor="text1"/>
                <w:sz w:val="21"/>
                <w:szCs w:val="20"/>
                <w14:textFill>
                  <w14:solidFill>
                    <w14:schemeClr w14:val="tx1"/>
                  </w14:solidFill>
                </w14:textFill>
              </w:rPr>
            </w:pPr>
            <w:r>
              <w:rPr>
                <w:rFonts w:hint="eastAsia"/>
                <w:color w:val="000000" w:themeColor="text1"/>
                <w:sz w:val="21"/>
                <w:szCs w:val="20"/>
                <w14:textFill>
                  <w14:solidFill>
                    <w14:schemeClr w14:val="tx1"/>
                  </w14:solidFill>
                </w14:textFill>
              </w:rPr>
              <w:t>I.各港区应禁止淘汰类船舶进港</w:t>
            </w:r>
          </w:p>
          <w:p w14:paraId="7C7EB001">
            <w:pPr>
              <w:adjustRightInd w:val="0"/>
              <w:snapToGrid w:val="0"/>
              <w:spacing w:line="240" w:lineRule="exact"/>
              <w:ind w:firstLine="0" w:firstLineChars="0"/>
              <w:jc w:val="left"/>
              <w:outlineLvl w:val="0"/>
              <w:rPr>
                <w:color w:val="000000" w:themeColor="text1"/>
                <w:sz w:val="21"/>
                <w:szCs w:val="20"/>
                <w14:textFill>
                  <w14:solidFill>
                    <w14:schemeClr w14:val="tx1"/>
                  </w14:solidFill>
                </w14:textFill>
              </w:rPr>
            </w:pPr>
            <w:r>
              <w:rPr>
                <w:rFonts w:hint="eastAsia"/>
                <w:color w:val="000000" w:themeColor="text1"/>
                <w:sz w:val="21"/>
                <w:szCs w:val="20"/>
                <w14:textFill>
                  <w14:solidFill>
                    <w14:schemeClr w14:val="tx1"/>
                  </w14:solidFill>
                </w14:textFill>
              </w:rPr>
              <w:t>根据《产业结构调整指导目录》，淘汰类船舶有：采用整体造船法建造的钢制运输船舶；不符合规范的改装船舶和已到报废期限的船舶、单壳油船、挂桨机船。</w:t>
            </w:r>
          </w:p>
          <w:p w14:paraId="551F04E0">
            <w:pPr>
              <w:adjustRightInd w:val="0"/>
              <w:snapToGrid w:val="0"/>
              <w:spacing w:line="240" w:lineRule="exact"/>
              <w:ind w:firstLine="0" w:firstLineChars="0"/>
              <w:jc w:val="left"/>
              <w:outlineLvl w:val="0"/>
              <w:rPr>
                <w:color w:val="000000" w:themeColor="text1"/>
                <w:sz w:val="21"/>
                <w:szCs w:val="20"/>
                <w14:textFill>
                  <w14:solidFill>
                    <w14:schemeClr w14:val="tx1"/>
                  </w14:solidFill>
                </w14:textFill>
              </w:rPr>
            </w:pPr>
            <w:r>
              <w:rPr>
                <w:rFonts w:hint="eastAsia"/>
                <w:color w:val="000000" w:themeColor="text1"/>
                <w:sz w:val="21"/>
                <w:szCs w:val="20"/>
                <w14:textFill>
                  <w14:solidFill>
                    <w14:schemeClr w14:val="tx1"/>
                  </w14:solidFill>
                </w14:textFill>
              </w:rPr>
              <w:t>II.船舶污染物排放标准</w:t>
            </w:r>
          </w:p>
          <w:p w14:paraId="1D64E56E">
            <w:pPr>
              <w:adjustRightInd w:val="0"/>
              <w:snapToGrid w:val="0"/>
              <w:spacing w:line="240" w:lineRule="exact"/>
              <w:ind w:firstLine="0" w:firstLineChars="0"/>
              <w:jc w:val="left"/>
              <w:outlineLvl w:val="0"/>
              <w:rPr>
                <w:color w:val="000000" w:themeColor="text1"/>
                <w:sz w:val="21"/>
                <w:szCs w:val="20"/>
                <w14:textFill>
                  <w14:solidFill>
                    <w14:schemeClr w14:val="tx1"/>
                  </w14:solidFill>
                </w14:textFill>
              </w:rPr>
            </w:pPr>
            <w:r>
              <w:rPr>
                <w:rFonts w:hint="eastAsia"/>
                <w:color w:val="000000" w:themeColor="text1"/>
                <w:sz w:val="21"/>
                <w:szCs w:val="20"/>
                <w14:textFill>
                  <w14:solidFill>
                    <w14:schemeClr w14:val="tx1"/>
                  </w14:solidFill>
                </w14:textFill>
              </w:rPr>
              <w:t>北部湾港进出港船舶污染物排放应符合《船舶水污染物排放控制标准》（GB3552-2018）要求。此外，进出港船舶应达到 73/78 防污染公约的各项附则的要求；还应符合《沿海海域船舶排污设备铅封管理规定》等我国现行的船舶污染物管理要求。北部湾港位于船舶大气污染物排放控制区，船舶应严格执行《交通运输部关于印发船舶大气污染物排放控制区实施方案的通知》（交海发〔2018〕168号）相应时段管理要求。国际航行船舶其压载水管理</w:t>
            </w:r>
            <w:r>
              <w:rPr>
                <w:rFonts w:hint="eastAsia"/>
                <w:color w:val="000000" w:themeColor="text1"/>
                <w:sz w:val="21"/>
                <w:szCs w:val="20"/>
                <w:lang w:eastAsia="zh-CN"/>
                <w14:textFill>
                  <w14:solidFill>
                    <w14:schemeClr w14:val="tx1"/>
                  </w14:solidFill>
                </w14:textFill>
              </w:rPr>
              <w:t>要求</w:t>
            </w:r>
            <w:r>
              <w:rPr>
                <w:rFonts w:hint="eastAsia"/>
                <w:color w:val="000000" w:themeColor="text1"/>
                <w:sz w:val="21"/>
                <w:szCs w:val="20"/>
                <w14:textFill>
                  <w14:solidFill>
                    <w14:schemeClr w14:val="tx1"/>
                  </w14:solidFill>
                </w14:textFill>
              </w:rPr>
              <w:t>符合我国缔结或加入的有关国际公约及国内有关法律法规的要求，不符合要求船舶禁止入港。</w:t>
            </w:r>
          </w:p>
        </w:tc>
        <w:tc>
          <w:tcPr>
            <w:tcW w:w="782" w:type="pct"/>
            <w:vAlign w:val="center"/>
          </w:tcPr>
          <w:p w14:paraId="603257C1">
            <w:pPr>
              <w:adjustRightInd w:val="0"/>
              <w:snapToGrid w:val="0"/>
              <w:spacing w:line="240" w:lineRule="exact"/>
              <w:ind w:firstLine="0" w:firstLineChars="0"/>
              <w:jc w:val="center"/>
              <w:outlineLvl w:val="0"/>
              <w:rPr>
                <w:color w:val="000000" w:themeColor="text1"/>
                <w:sz w:val="21"/>
                <w:szCs w:val="20"/>
                <w14:textFill>
                  <w14:solidFill>
                    <w14:schemeClr w14:val="tx1"/>
                  </w14:solidFill>
                </w14:textFill>
              </w:rPr>
            </w:pPr>
            <w:r>
              <w:rPr>
                <w:rFonts w:hint="eastAsia"/>
                <w:color w:val="000000" w:themeColor="text1"/>
                <w:sz w:val="21"/>
                <w:szCs w:val="20"/>
                <w14:textFill>
                  <w14:solidFill>
                    <w14:schemeClr w14:val="tx1"/>
                  </w14:solidFill>
                </w14:textFill>
              </w:rPr>
              <w:t>本项目到港船舶不属于淘汰类船舶，含油污水由具有相关资质的单位接收处理，到港船舶生活污水由船舶公司委托有资质单位接收处置。符合。</w:t>
            </w:r>
          </w:p>
        </w:tc>
      </w:tr>
      <w:tr w14:paraId="7163005B">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454" w:hRule="atLeast"/>
        </w:trPr>
        <w:tc>
          <w:tcPr>
            <w:tcW w:w="511" w:type="pct"/>
            <w:vMerge w:val="continue"/>
            <w:vAlign w:val="center"/>
          </w:tcPr>
          <w:p w14:paraId="58BD8918">
            <w:pPr>
              <w:adjustRightInd w:val="0"/>
              <w:snapToGrid w:val="0"/>
              <w:spacing w:line="240" w:lineRule="exact"/>
              <w:ind w:firstLine="0" w:firstLineChars="0"/>
              <w:jc w:val="center"/>
              <w:outlineLvl w:val="0"/>
              <w:rPr>
                <w:color w:val="000000" w:themeColor="text1"/>
                <w:sz w:val="21"/>
                <w:szCs w:val="20"/>
                <w14:textFill>
                  <w14:solidFill>
                    <w14:schemeClr w14:val="tx1"/>
                  </w14:solidFill>
                </w14:textFill>
              </w:rPr>
            </w:pPr>
          </w:p>
        </w:tc>
        <w:tc>
          <w:tcPr>
            <w:tcW w:w="3643" w:type="pct"/>
            <w:vAlign w:val="center"/>
          </w:tcPr>
          <w:p w14:paraId="6DC1EB98">
            <w:pPr>
              <w:adjustRightInd w:val="0"/>
              <w:snapToGrid w:val="0"/>
              <w:spacing w:line="240" w:lineRule="exact"/>
              <w:ind w:firstLine="0" w:firstLineChars="0"/>
              <w:jc w:val="left"/>
              <w:outlineLvl w:val="0"/>
              <w:rPr>
                <w:color w:val="000000" w:themeColor="text1"/>
                <w:sz w:val="21"/>
                <w:szCs w:val="20"/>
                <w14:textFill>
                  <w14:solidFill>
                    <w14:schemeClr w14:val="tx1"/>
                  </w14:solidFill>
                </w14:textFill>
              </w:rPr>
            </w:pPr>
            <w:r>
              <w:rPr>
                <w:rFonts w:hint="eastAsia"/>
                <w:color w:val="000000" w:themeColor="text1"/>
                <w:sz w:val="21"/>
                <w:szCs w:val="20"/>
                <w14:textFill>
                  <w14:solidFill>
                    <w14:schemeClr w14:val="tx1"/>
                  </w14:solidFill>
                </w14:textFill>
              </w:rPr>
              <w:t>④货种</w:t>
            </w:r>
          </w:p>
          <w:p w14:paraId="5B4E427B">
            <w:pPr>
              <w:adjustRightInd w:val="0"/>
              <w:snapToGrid w:val="0"/>
              <w:spacing w:line="240" w:lineRule="exact"/>
              <w:ind w:firstLine="0" w:firstLineChars="0"/>
              <w:jc w:val="left"/>
              <w:outlineLvl w:val="0"/>
              <w:rPr>
                <w:color w:val="000000" w:themeColor="text1"/>
                <w:sz w:val="21"/>
                <w:szCs w:val="20"/>
                <w14:textFill>
                  <w14:solidFill>
                    <w14:schemeClr w14:val="tx1"/>
                  </w14:solidFill>
                </w14:textFill>
              </w:rPr>
            </w:pPr>
            <w:r>
              <w:rPr>
                <w:rFonts w:hint="eastAsia"/>
                <w:color w:val="000000" w:themeColor="text1"/>
                <w:sz w:val="21"/>
                <w:szCs w:val="20"/>
                <w14:textFill>
                  <w14:solidFill>
                    <w14:schemeClr w14:val="tx1"/>
                  </w14:solidFill>
                </w14:textFill>
              </w:rPr>
              <w:t>北部湾港应禁止运输《产业结构调整指导目录》淘汰类的设备、产品以及原辅材料。</w:t>
            </w:r>
          </w:p>
        </w:tc>
        <w:tc>
          <w:tcPr>
            <w:tcW w:w="782" w:type="pct"/>
            <w:vAlign w:val="center"/>
          </w:tcPr>
          <w:p w14:paraId="20D50BC1">
            <w:pPr>
              <w:adjustRightInd w:val="0"/>
              <w:snapToGrid w:val="0"/>
              <w:spacing w:line="240" w:lineRule="exact"/>
              <w:ind w:firstLine="0" w:firstLineChars="0"/>
              <w:jc w:val="center"/>
              <w:outlineLvl w:val="0"/>
              <w:rPr>
                <w:color w:val="000000" w:themeColor="text1"/>
                <w:sz w:val="21"/>
                <w:szCs w:val="20"/>
                <w14:textFill>
                  <w14:solidFill>
                    <w14:schemeClr w14:val="tx1"/>
                  </w14:solidFill>
                </w14:textFill>
              </w:rPr>
            </w:pPr>
            <w:r>
              <w:rPr>
                <w:rFonts w:hint="eastAsia"/>
                <w:color w:val="000000" w:themeColor="text1"/>
                <w:sz w:val="21"/>
                <w:szCs w:val="20"/>
                <w14:textFill>
                  <w14:solidFill>
                    <w14:schemeClr w14:val="tx1"/>
                  </w14:solidFill>
                </w14:textFill>
              </w:rPr>
              <w:t>本项目货种不涉及《产业结构调整指导目录》淘汰类产品。符合</w:t>
            </w:r>
          </w:p>
        </w:tc>
      </w:tr>
      <w:tr w14:paraId="6FE8B3F4">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454" w:hRule="atLeast"/>
        </w:trPr>
        <w:tc>
          <w:tcPr>
            <w:tcW w:w="511" w:type="pct"/>
            <w:vAlign w:val="center"/>
          </w:tcPr>
          <w:p w14:paraId="4E68E6F1">
            <w:pPr>
              <w:adjustRightInd w:val="0"/>
              <w:snapToGrid w:val="0"/>
              <w:spacing w:line="240" w:lineRule="exact"/>
              <w:ind w:firstLine="0" w:firstLineChars="0"/>
              <w:jc w:val="center"/>
              <w:outlineLvl w:val="0"/>
              <w:rPr>
                <w:color w:val="000000" w:themeColor="text1"/>
                <w:sz w:val="21"/>
                <w:szCs w:val="20"/>
                <w14:textFill>
                  <w14:solidFill>
                    <w14:schemeClr w14:val="tx1"/>
                  </w14:solidFill>
                </w14:textFill>
              </w:rPr>
            </w:pPr>
            <w:r>
              <w:rPr>
                <w:rFonts w:hint="eastAsia"/>
                <w:color w:val="000000" w:themeColor="text1"/>
                <w:sz w:val="21"/>
                <w:szCs w:val="20"/>
                <w14:textFill>
                  <w14:solidFill>
                    <w14:schemeClr w14:val="tx1"/>
                  </w14:solidFill>
                </w14:textFill>
              </w:rPr>
              <w:t>环境风险防控</w:t>
            </w:r>
          </w:p>
        </w:tc>
        <w:tc>
          <w:tcPr>
            <w:tcW w:w="3643" w:type="pct"/>
            <w:vAlign w:val="center"/>
          </w:tcPr>
          <w:p w14:paraId="7606032F">
            <w:pPr>
              <w:adjustRightInd w:val="0"/>
              <w:snapToGrid w:val="0"/>
              <w:spacing w:line="240" w:lineRule="exact"/>
              <w:ind w:firstLine="0" w:firstLineChars="0"/>
              <w:jc w:val="left"/>
              <w:outlineLvl w:val="0"/>
              <w:rPr>
                <w:color w:val="000000" w:themeColor="text1"/>
                <w:sz w:val="21"/>
                <w:szCs w:val="20"/>
                <w14:textFill>
                  <w14:solidFill>
                    <w14:schemeClr w14:val="tx1"/>
                  </w14:solidFill>
                </w14:textFill>
              </w:rPr>
            </w:pPr>
            <w:r>
              <w:rPr>
                <w:rFonts w:hint="eastAsia"/>
                <w:color w:val="000000" w:themeColor="text1"/>
                <w:sz w:val="21"/>
                <w:szCs w:val="20"/>
                <w14:textFill>
                  <w14:solidFill>
                    <w14:schemeClr w14:val="tx1"/>
                  </w14:solidFill>
                </w14:textFill>
              </w:rPr>
              <w:t>北部湾港液体散货区的危险品堆存区与居住区至少保留 1km 安全距离，以降低环境风险事故风险。各港区需配备必要的导助航等安全保障设施，并加强码头装卸作业的安全管理和防护措施，减少事故隐患。</w:t>
            </w:r>
          </w:p>
        </w:tc>
        <w:tc>
          <w:tcPr>
            <w:tcW w:w="782" w:type="pct"/>
            <w:vAlign w:val="center"/>
          </w:tcPr>
          <w:p w14:paraId="657E1AE6">
            <w:pPr>
              <w:adjustRightInd w:val="0"/>
              <w:snapToGrid w:val="0"/>
              <w:spacing w:line="240" w:lineRule="exact"/>
              <w:ind w:firstLine="0" w:firstLineChars="0"/>
              <w:jc w:val="center"/>
              <w:outlineLvl w:val="0"/>
              <w:rPr>
                <w:color w:val="000000" w:themeColor="text1"/>
                <w:sz w:val="21"/>
                <w:szCs w:val="20"/>
                <w14:textFill>
                  <w14:solidFill>
                    <w14:schemeClr w14:val="tx1"/>
                  </w14:solidFill>
                </w14:textFill>
              </w:rPr>
            </w:pPr>
            <w:r>
              <w:rPr>
                <w:rFonts w:hint="eastAsia"/>
                <w:color w:val="000000" w:themeColor="text1"/>
                <w:sz w:val="21"/>
                <w:szCs w:val="20"/>
                <w14:textFill>
                  <w14:solidFill>
                    <w14:schemeClr w14:val="tx1"/>
                  </w14:solidFill>
                </w14:textFill>
              </w:rPr>
              <w:t>本项目不涉及罐区贮存，周边1km内无居民区，符合。</w:t>
            </w:r>
          </w:p>
        </w:tc>
      </w:tr>
      <w:tr w14:paraId="1CB2C601">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454" w:hRule="atLeast"/>
        </w:trPr>
        <w:tc>
          <w:tcPr>
            <w:tcW w:w="511" w:type="pct"/>
            <w:vAlign w:val="center"/>
          </w:tcPr>
          <w:p w14:paraId="700713CB">
            <w:pPr>
              <w:adjustRightInd w:val="0"/>
              <w:snapToGrid w:val="0"/>
              <w:spacing w:line="240" w:lineRule="exact"/>
              <w:ind w:firstLine="0" w:firstLineChars="0"/>
              <w:jc w:val="center"/>
              <w:outlineLvl w:val="0"/>
              <w:rPr>
                <w:color w:val="000000" w:themeColor="text1"/>
                <w:sz w:val="21"/>
                <w:szCs w:val="20"/>
                <w14:textFill>
                  <w14:solidFill>
                    <w14:schemeClr w14:val="tx1"/>
                  </w14:solidFill>
                </w14:textFill>
              </w:rPr>
            </w:pPr>
            <w:r>
              <w:rPr>
                <w:rFonts w:hint="eastAsia"/>
                <w:color w:val="000000" w:themeColor="text1"/>
                <w:sz w:val="21"/>
                <w:szCs w:val="20"/>
                <w14:textFill>
                  <w14:solidFill>
                    <w14:schemeClr w14:val="tx1"/>
                  </w14:solidFill>
                </w14:textFill>
              </w:rPr>
              <w:t>资源开发效率要求</w:t>
            </w:r>
          </w:p>
        </w:tc>
        <w:tc>
          <w:tcPr>
            <w:tcW w:w="3643" w:type="pct"/>
            <w:vAlign w:val="center"/>
          </w:tcPr>
          <w:p w14:paraId="6E58003D">
            <w:pPr>
              <w:adjustRightInd w:val="0"/>
              <w:snapToGrid w:val="0"/>
              <w:spacing w:line="240" w:lineRule="exact"/>
              <w:ind w:firstLine="0" w:firstLineChars="0"/>
              <w:jc w:val="left"/>
              <w:outlineLvl w:val="0"/>
              <w:rPr>
                <w:color w:val="000000" w:themeColor="text1"/>
                <w:sz w:val="21"/>
                <w:szCs w:val="20"/>
                <w14:textFill>
                  <w14:solidFill>
                    <w14:schemeClr w14:val="tx1"/>
                  </w14:solidFill>
                </w14:textFill>
              </w:rPr>
            </w:pPr>
            <w:r>
              <w:rPr>
                <w:rFonts w:hint="eastAsia"/>
                <w:color w:val="000000" w:themeColor="text1"/>
                <w:sz w:val="21"/>
                <w:szCs w:val="20"/>
                <w14:textFill>
                  <w14:solidFill>
                    <w14:schemeClr w14:val="tx1"/>
                  </w14:solidFill>
                </w14:textFill>
              </w:rPr>
              <w:t>严格控制北部湾港各港区尤其是新建港区的开发规模与强度，集约节约利用岸线、土地等资源，合理安排港口开发建设时序，持续提高资源利用效率。严禁各港区建设项目占用自然岸线，确保规划区域自然岸线数量不减少。</w:t>
            </w:r>
          </w:p>
        </w:tc>
        <w:tc>
          <w:tcPr>
            <w:tcW w:w="782" w:type="pct"/>
            <w:vAlign w:val="center"/>
          </w:tcPr>
          <w:p w14:paraId="5FBE4DAA">
            <w:pPr>
              <w:adjustRightInd w:val="0"/>
              <w:snapToGrid w:val="0"/>
              <w:spacing w:line="240" w:lineRule="exact"/>
              <w:ind w:firstLine="0" w:firstLineChars="0"/>
              <w:jc w:val="center"/>
              <w:outlineLvl w:val="0"/>
              <w:rPr>
                <w:color w:val="000000" w:themeColor="text1"/>
                <w:sz w:val="21"/>
                <w:szCs w:val="20"/>
                <w14:textFill>
                  <w14:solidFill>
                    <w14:schemeClr w14:val="tx1"/>
                  </w14:solidFill>
                </w14:textFill>
              </w:rPr>
            </w:pPr>
            <w:r>
              <w:rPr>
                <w:rFonts w:hint="eastAsia"/>
                <w:color w:val="000000" w:themeColor="text1"/>
                <w:sz w:val="21"/>
                <w:szCs w:val="20"/>
                <w14:textFill>
                  <w14:solidFill>
                    <w14:schemeClr w14:val="tx1"/>
                  </w14:solidFill>
                </w14:textFill>
              </w:rPr>
              <w:t>本项目利用原有码头设施，不涉及水工建设，不占用自然岸线，符合。</w:t>
            </w:r>
          </w:p>
        </w:tc>
      </w:tr>
    </w:tbl>
    <w:p w14:paraId="4532E9D5">
      <w:pPr>
        <w:pStyle w:val="7"/>
        <w:rPr>
          <w:color w:val="000000" w:themeColor="text1"/>
          <w14:textFill>
            <w14:solidFill>
              <w14:schemeClr w14:val="tx1"/>
            </w14:solidFill>
          </w14:textFill>
        </w:rPr>
      </w:pPr>
      <w:r>
        <w:rPr>
          <w:rFonts w:hint="eastAsia"/>
          <w:color w:val="000000" w:themeColor="text1"/>
          <w14:textFill>
            <w14:solidFill>
              <w14:schemeClr w14:val="tx1"/>
            </w14:solidFill>
          </w14:textFill>
        </w:rPr>
        <w:t>北部湾港总体规划环境影响评价污染物排放标准</w:t>
      </w:r>
    </w:p>
    <w:tbl>
      <w:tblPr>
        <w:tblStyle w:val="44"/>
        <w:tblW w:w="518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35"/>
        <w:gridCol w:w="1919"/>
        <w:gridCol w:w="1213"/>
        <w:gridCol w:w="4374"/>
      </w:tblGrid>
      <w:tr w14:paraId="637E66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7" w:hRule="atLeast"/>
        </w:trPr>
        <w:tc>
          <w:tcPr>
            <w:tcW w:w="1840" w:type="pct"/>
            <w:gridSpan w:val="2"/>
            <w:tcBorders>
              <w:top w:val="single" w:color="auto" w:sz="12" w:space="0"/>
              <w:left w:val="single" w:color="auto" w:sz="12" w:space="0"/>
            </w:tcBorders>
          </w:tcPr>
          <w:p w14:paraId="4E862440">
            <w:pPr>
              <w:adjustRightInd w:val="0"/>
              <w:snapToGrid w:val="0"/>
              <w:spacing w:line="240" w:lineRule="exact"/>
              <w:ind w:firstLine="0" w:firstLineChars="0"/>
              <w:jc w:val="center"/>
              <w:outlineLvl w:val="0"/>
              <w:rPr>
                <w:b/>
                <w:bCs/>
                <w:color w:val="000000" w:themeColor="text1"/>
                <w:sz w:val="21"/>
                <w:szCs w:val="20"/>
                <w14:textFill>
                  <w14:solidFill>
                    <w14:schemeClr w14:val="tx1"/>
                  </w14:solidFill>
                </w14:textFill>
              </w:rPr>
            </w:pPr>
            <w:r>
              <w:rPr>
                <w:rFonts w:hint="eastAsia"/>
                <w:b/>
                <w:bCs/>
                <w:color w:val="000000" w:themeColor="text1"/>
                <w:sz w:val="21"/>
                <w:szCs w:val="20"/>
                <w14:textFill>
                  <w14:solidFill>
                    <w14:schemeClr w14:val="tx1"/>
                  </w14:solidFill>
                </w14:textFill>
              </w:rPr>
              <w:t>主要污染物</w:t>
            </w:r>
          </w:p>
        </w:tc>
        <w:tc>
          <w:tcPr>
            <w:tcW w:w="686" w:type="pct"/>
            <w:tcBorders>
              <w:top w:val="single" w:color="auto" w:sz="12" w:space="0"/>
            </w:tcBorders>
          </w:tcPr>
          <w:p w14:paraId="2E2C7FDE">
            <w:pPr>
              <w:adjustRightInd w:val="0"/>
              <w:snapToGrid w:val="0"/>
              <w:spacing w:line="240" w:lineRule="exact"/>
              <w:ind w:firstLine="0" w:firstLineChars="0"/>
              <w:jc w:val="center"/>
              <w:outlineLvl w:val="0"/>
              <w:rPr>
                <w:b/>
                <w:bCs/>
                <w:color w:val="000000" w:themeColor="text1"/>
                <w:sz w:val="21"/>
                <w:szCs w:val="20"/>
                <w14:textFill>
                  <w14:solidFill>
                    <w14:schemeClr w14:val="tx1"/>
                  </w14:solidFill>
                </w14:textFill>
              </w:rPr>
            </w:pPr>
            <w:r>
              <w:rPr>
                <w:rFonts w:hint="eastAsia"/>
                <w:b/>
                <w:bCs/>
                <w:color w:val="000000" w:themeColor="text1"/>
                <w:sz w:val="21"/>
                <w:szCs w:val="20"/>
                <w14:textFill>
                  <w14:solidFill>
                    <w14:schemeClr w14:val="tx1"/>
                  </w14:solidFill>
                </w14:textFill>
              </w:rPr>
              <w:t>浓度限值</w:t>
            </w:r>
          </w:p>
        </w:tc>
        <w:tc>
          <w:tcPr>
            <w:tcW w:w="2473" w:type="pct"/>
            <w:tcBorders>
              <w:top w:val="single" w:color="auto" w:sz="12" w:space="0"/>
              <w:right w:val="single" w:color="auto" w:sz="12" w:space="0"/>
            </w:tcBorders>
          </w:tcPr>
          <w:p w14:paraId="13DE44BE">
            <w:pPr>
              <w:adjustRightInd w:val="0"/>
              <w:snapToGrid w:val="0"/>
              <w:spacing w:line="240" w:lineRule="exact"/>
              <w:ind w:firstLine="0" w:firstLineChars="0"/>
              <w:jc w:val="center"/>
              <w:outlineLvl w:val="0"/>
              <w:rPr>
                <w:b/>
                <w:bCs/>
                <w:color w:val="000000" w:themeColor="text1"/>
                <w:sz w:val="21"/>
                <w:szCs w:val="20"/>
                <w14:textFill>
                  <w14:solidFill>
                    <w14:schemeClr w14:val="tx1"/>
                  </w14:solidFill>
                </w14:textFill>
              </w:rPr>
            </w:pPr>
            <w:r>
              <w:rPr>
                <w:rFonts w:hint="eastAsia"/>
                <w:b/>
                <w:bCs/>
                <w:color w:val="000000" w:themeColor="text1"/>
                <w:sz w:val="21"/>
                <w:szCs w:val="20"/>
                <w14:textFill>
                  <w14:solidFill>
                    <w14:schemeClr w14:val="tx1"/>
                  </w14:solidFill>
                </w14:textFill>
              </w:rPr>
              <w:t>标准出处</w:t>
            </w:r>
          </w:p>
        </w:tc>
      </w:tr>
      <w:tr w14:paraId="4856BF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5" w:type="pct"/>
            <w:vMerge w:val="restart"/>
            <w:tcBorders>
              <w:left w:val="single" w:color="auto" w:sz="12" w:space="0"/>
            </w:tcBorders>
          </w:tcPr>
          <w:p w14:paraId="386C8DD9">
            <w:pPr>
              <w:adjustRightInd w:val="0"/>
              <w:snapToGrid w:val="0"/>
              <w:spacing w:line="240" w:lineRule="exact"/>
              <w:ind w:firstLine="0" w:firstLineChars="0"/>
              <w:jc w:val="center"/>
              <w:outlineLvl w:val="0"/>
              <w:rPr>
                <w:color w:val="000000" w:themeColor="text1"/>
                <w:sz w:val="21"/>
                <w:szCs w:val="20"/>
                <w14:textFill>
                  <w14:solidFill>
                    <w14:schemeClr w14:val="tx1"/>
                  </w14:solidFill>
                </w14:textFill>
              </w:rPr>
            </w:pPr>
            <w:r>
              <w:rPr>
                <w:rFonts w:hint="eastAsia"/>
                <w:color w:val="000000" w:themeColor="text1"/>
                <w:sz w:val="21"/>
                <w:szCs w:val="20"/>
                <w14:textFill>
                  <w14:solidFill>
                    <w14:schemeClr w14:val="tx1"/>
                  </w14:solidFill>
                </w14:textFill>
              </w:rPr>
              <w:t>大气污染物</w:t>
            </w:r>
          </w:p>
        </w:tc>
        <w:tc>
          <w:tcPr>
            <w:tcW w:w="1085" w:type="pct"/>
          </w:tcPr>
          <w:p w14:paraId="57D12446">
            <w:pPr>
              <w:adjustRightInd w:val="0"/>
              <w:snapToGrid w:val="0"/>
              <w:spacing w:line="240" w:lineRule="exact"/>
              <w:ind w:firstLine="0" w:firstLineChars="0"/>
              <w:jc w:val="center"/>
              <w:outlineLvl w:val="0"/>
              <w:rPr>
                <w:color w:val="000000" w:themeColor="text1"/>
                <w:sz w:val="21"/>
                <w:szCs w:val="20"/>
                <w14:textFill>
                  <w14:solidFill>
                    <w14:schemeClr w14:val="tx1"/>
                  </w14:solidFill>
                </w14:textFill>
              </w:rPr>
            </w:pPr>
            <w:r>
              <w:rPr>
                <w:rFonts w:hint="eastAsia"/>
                <w:color w:val="000000" w:themeColor="text1"/>
                <w:sz w:val="21"/>
                <w:szCs w:val="20"/>
                <w14:textFill>
                  <w14:solidFill>
                    <w14:schemeClr w14:val="tx1"/>
                  </w14:solidFill>
                </w14:textFill>
              </w:rPr>
              <w:t>粉尘（mg/m</w:t>
            </w:r>
            <w:r>
              <w:rPr>
                <w:rFonts w:hint="eastAsia"/>
                <w:color w:val="000000" w:themeColor="text1"/>
                <w:sz w:val="21"/>
                <w:szCs w:val="20"/>
                <w:vertAlign w:val="superscript"/>
                <w14:textFill>
                  <w14:solidFill>
                    <w14:schemeClr w14:val="tx1"/>
                  </w14:solidFill>
                </w14:textFill>
              </w:rPr>
              <w:t>3</w:t>
            </w:r>
            <w:r>
              <w:rPr>
                <w:rFonts w:hint="eastAsia"/>
                <w:color w:val="000000" w:themeColor="text1"/>
                <w:sz w:val="21"/>
                <w:szCs w:val="20"/>
                <w14:textFill>
                  <w14:solidFill>
                    <w14:schemeClr w14:val="tx1"/>
                  </w14:solidFill>
                </w14:textFill>
              </w:rPr>
              <w:t>）</w:t>
            </w:r>
          </w:p>
        </w:tc>
        <w:tc>
          <w:tcPr>
            <w:tcW w:w="686" w:type="pct"/>
          </w:tcPr>
          <w:p w14:paraId="3517F300">
            <w:pPr>
              <w:adjustRightInd w:val="0"/>
              <w:snapToGrid w:val="0"/>
              <w:spacing w:line="240" w:lineRule="exact"/>
              <w:ind w:firstLine="0" w:firstLineChars="0"/>
              <w:jc w:val="center"/>
              <w:outlineLvl w:val="0"/>
              <w:rPr>
                <w:color w:val="000000" w:themeColor="text1"/>
                <w:sz w:val="21"/>
                <w:szCs w:val="20"/>
                <w14:textFill>
                  <w14:solidFill>
                    <w14:schemeClr w14:val="tx1"/>
                  </w14:solidFill>
                </w14:textFill>
              </w:rPr>
            </w:pPr>
            <w:r>
              <w:rPr>
                <w:rFonts w:hint="eastAsia"/>
                <w:color w:val="000000" w:themeColor="text1"/>
                <w:sz w:val="21"/>
                <w:szCs w:val="20"/>
                <w14:textFill>
                  <w14:solidFill>
                    <w14:schemeClr w14:val="tx1"/>
                  </w14:solidFill>
                </w14:textFill>
              </w:rPr>
              <w:t>1.0</w:t>
            </w:r>
          </w:p>
        </w:tc>
        <w:tc>
          <w:tcPr>
            <w:tcW w:w="2473" w:type="pct"/>
            <w:tcBorders>
              <w:right w:val="single" w:color="auto" w:sz="12" w:space="0"/>
            </w:tcBorders>
          </w:tcPr>
          <w:p w14:paraId="7F8B79F5">
            <w:pPr>
              <w:adjustRightInd w:val="0"/>
              <w:snapToGrid w:val="0"/>
              <w:spacing w:line="240" w:lineRule="exact"/>
              <w:ind w:firstLine="0" w:firstLineChars="0"/>
              <w:jc w:val="center"/>
              <w:outlineLvl w:val="0"/>
              <w:rPr>
                <w:color w:val="000000" w:themeColor="text1"/>
                <w:sz w:val="21"/>
                <w:szCs w:val="20"/>
                <w14:textFill>
                  <w14:solidFill>
                    <w14:schemeClr w14:val="tx1"/>
                  </w14:solidFill>
                </w14:textFill>
              </w:rPr>
            </w:pPr>
            <w:r>
              <w:rPr>
                <w:rFonts w:hint="eastAsia"/>
                <w:color w:val="000000" w:themeColor="text1"/>
                <w:sz w:val="21"/>
                <w:szCs w:val="20"/>
                <w14:textFill>
                  <w14:solidFill>
                    <w14:schemeClr w14:val="tx1"/>
                  </w14:solidFill>
                </w14:textFill>
              </w:rPr>
              <w:t>《大气污染物综合排放标准》(GB16297)表 2 无组织排放监控浓度限值</w:t>
            </w:r>
          </w:p>
        </w:tc>
      </w:tr>
      <w:tr w14:paraId="1ED76C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5" w:type="pct"/>
            <w:vMerge w:val="continue"/>
            <w:tcBorders>
              <w:left w:val="single" w:color="auto" w:sz="12" w:space="0"/>
            </w:tcBorders>
          </w:tcPr>
          <w:p w14:paraId="39E0EF79">
            <w:pPr>
              <w:adjustRightInd w:val="0"/>
              <w:snapToGrid w:val="0"/>
              <w:spacing w:line="240" w:lineRule="exact"/>
              <w:ind w:firstLine="0" w:firstLineChars="0"/>
              <w:jc w:val="center"/>
              <w:outlineLvl w:val="0"/>
              <w:rPr>
                <w:color w:val="000000" w:themeColor="text1"/>
                <w:sz w:val="21"/>
                <w:szCs w:val="20"/>
                <w14:textFill>
                  <w14:solidFill>
                    <w14:schemeClr w14:val="tx1"/>
                  </w14:solidFill>
                </w14:textFill>
              </w:rPr>
            </w:pPr>
          </w:p>
        </w:tc>
        <w:tc>
          <w:tcPr>
            <w:tcW w:w="1085" w:type="pct"/>
          </w:tcPr>
          <w:p w14:paraId="0134D7F4">
            <w:pPr>
              <w:adjustRightInd w:val="0"/>
              <w:snapToGrid w:val="0"/>
              <w:spacing w:line="240" w:lineRule="exact"/>
              <w:ind w:firstLine="0" w:firstLineChars="0"/>
              <w:jc w:val="center"/>
              <w:outlineLvl w:val="0"/>
              <w:rPr>
                <w:color w:val="000000" w:themeColor="text1"/>
                <w:sz w:val="21"/>
                <w:szCs w:val="20"/>
                <w14:textFill>
                  <w14:solidFill>
                    <w14:schemeClr w14:val="tx1"/>
                  </w14:solidFill>
                </w14:textFill>
              </w:rPr>
            </w:pPr>
            <w:r>
              <w:rPr>
                <w:rFonts w:hint="eastAsia"/>
                <w:color w:val="000000" w:themeColor="text1"/>
                <w:sz w:val="21"/>
                <w:szCs w:val="20"/>
                <w14:textFill>
                  <w14:solidFill>
                    <w14:schemeClr w14:val="tx1"/>
                  </w14:solidFill>
                </w14:textFill>
              </w:rPr>
              <w:t>NMHC（mg/m</w:t>
            </w:r>
            <w:r>
              <w:rPr>
                <w:rFonts w:hint="eastAsia"/>
                <w:color w:val="000000" w:themeColor="text1"/>
                <w:sz w:val="21"/>
                <w:szCs w:val="20"/>
                <w:vertAlign w:val="superscript"/>
                <w14:textFill>
                  <w14:solidFill>
                    <w14:schemeClr w14:val="tx1"/>
                  </w14:solidFill>
                </w14:textFill>
              </w:rPr>
              <w:t>3</w:t>
            </w:r>
            <w:r>
              <w:rPr>
                <w:rFonts w:hint="eastAsia"/>
                <w:color w:val="000000" w:themeColor="text1"/>
                <w:sz w:val="21"/>
                <w:szCs w:val="20"/>
                <w14:textFill>
                  <w14:solidFill>
                    <w14:schemeClr w14:val="tx1"/>
                  </w14:solidFill>
                </w14:textFill>
              </w:rPr>
              <w:t>）</w:t>
            </w:r>
          </w:p>
        </w:tc>
        <w:tc>
          <w:tcPr>
            <w:tcW w:w="686" w:type="pct"/>
          </w:tcPr>
          <w:p w14:paraId="2046A83B">
            <w:pPr>
              <w:adjustRightInd w:val="0"/>
              <w:snapToGrid w:val="0"/>
              <w:spacing w:line="240" w:lineRule="exact"/>
              <w:ind w:firstLine="0" w:firstLineChars="0"/>
              <w:jc w:val="center"/>
              <w:outlineLvl w:val="0"/>
              <w:rPr>
                <w:color w:val="000000" w:themeColor="text1"/>
                <w:sz w:val="21"/>
                <w:szCs w:val="20"/>
                <w14:textFill>
                  <w14:solidFill>
                    <w14:schemeClr w14:val="tx1"/>
                  </w14:solidFill>
                </w14:textFill>
              </w:rPr>
            </w:pPr>
            <w:r>
              <w:rPr>
                <w:rFonts w:hint="eastAsia"/>
                <w:color w:val="000000" w:themeColor="text1"/>
                <w:sz w:val="21"/>
                <w:szCs w:val="20"/>
                <w14:textFill>
                  <w14:solidFill>
                    <w14:schemeClr w14:val="tx1"/>
                  </w14:solidFill>
                </w14:textFill>
              </w:rPr>
              <w:t>4.0</w:t>
            </w:r>
          </w:p>
        </w:tc>
        <w:tc>
          <w:tcPr>
            <w:tcW w:w="2473" w:type="pct"/>
            <w:tcBorders>
              <w:right w:val="single" w:color="auto" w:sz="12" w:space="0"/>
            </w:tcBorders>
          </w:tcPr>
          <w:p w14:paraId="765F01E1">
            <w:pPr>
              <w:adjustRightInd w:val="0"/>
              <w:snapToGrid w:val="0"/>
              <w:spacing w:line="240" w:lineRule="exact"/>
              <w:ind w:firstLine="0" w:firstLineChars="0"/>
              <w:jc w:val="center"/>
              <w:outlineLvl w:val="0"/>
              <w:rPr>
                <w:color w:val="000000" w:themeColor="text1"/>
                <w:sz w:val="21"/>
                <w:szCs w:val="20"/>
                <w14:textFill>
                  <w14:solidFill>
                    <w14:schemeClr w14:val="tx1"/>
                  </w14:solidFill>
                </w14:textFill>
              </w:rPr>
            </w:pPr>
            <w:r>
              <w:rPr>
                <w:rFonts w:hint="eastAsia"/>
                <w:color w:val="000000" w:themeColor="text1"/>
                <w:sz w:val="21"/>
                <w:szCs w:val="20"/>
                <w14:textFill>
                  <w14:solidFill>
                    <w14:schemeClr w14:val="tx1"/>
                  </w14:solidFill>
                </w14:textFill>
              </w:rPr>
              <w:t>《大气污染物综合排放标准》(GB16297)表 2 无组织排放监控浓度限值</w:t>
            </w:r>
          </w:p>
        </w:tc>
      </w:tr>
      <w:tr w14:paraId="0939BA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5" w:type="pct"/>
            <w:vMerge w:val="restart"/>
            <w:tcBorders>
              <w:left w:val="single" w:color="auto" w:sz="12" w:space="0"/>
            </w:tcBorders>
          </w:tcPr>
          <w:p w14:paraId="2D4E4FD4">
            <w:pPr>
              <w:adjustRightInd w:val="0"/>
              <w:snapToGrid w:val="0"/>
              <w:spacing w:line="240" w:lineRule="exact"/>
              <w:ind w:firstLine="0" w:firstLineChars="0"/>
              <w:jc w:val="center"/>
              <w:outlineLvl w:val="0"/>
              <w:rPr>
                <w:color w:val="000000" w:themeColor="text1"/>
                <w:sz w:val="21"/>
                <w:szCs w:val="20"/>
                <w14:textFill>
                  <w14:solidFill>
                    <w14:schemeClr w14:val="tx1"/>
                  </w14:solidFill>
                </w14:textFill>
              </w:rPr>
            </w:pPr>
            <w:r>
              <w:rPr>
                <w:rFonts w:hint="eastAsia"/>
                <w:color w:val="000000" w:themeColor="text1"/>
                <w:sz w:val="21"/>
                <w:szCs w:val="20"/>
                <w14:textFill>
                  <w14:solidFill>
                    <w14:schemeClr w14:val="tx1"/>
                  </w14:solidFill>
                </w14:textFill>
              </w:rPr>
              <w:t>水污染物</w:t>
            </w:r>
          </w:p>
        </w:tc>
        <w:tc>
          <w:tcPr>
            <w:tcW w:w="1085" w:type="pct"/>
          </w:tcPr>
          <w:p w14:paraId="6007FB35">
            <w:pPr>
              <w:adjustRightInd w:val="0"/>
              <w:snapToGrid w:val="0"/>
              <w:spacing w:line="240" w:lineRule="exact"/>
              <w:ind w:firstLine="0" w:firstLineChars="0"/>
              <w:jc w:val="center"/>
              <w:outlineLvl w:val="0"/>
              <w:rPr>
                <w:color w:val="000000" w:themeColor="text1"/>
                <w:sz w:val="21"/>
                <w:szCs w:val="20"/>
                <w14:textFill>
                  <w14:solidFill>
                    <w14:schemeClr w14:val="tx1"/>
                  </w14:solidFill>
                </w14:textFill>
              </w:rPr>
            </w:pPr>
            <w:r>
              <w:rPr>
                <w:rFonts w:hint="eastAsia"/>
                <w:color w:val="000000" w:themeColor="text1"/>
                <w:sz w:val="21"/>
                <w:szCs w:val="20"/>
                <w14:textFill>
                  <w14:solidFill>
                    <w14:schemeClr w14:val="tx1"/>
                  </w14:solidFill>
                </w14:textFill>
              </w:rPr>
              <w:t>COD（mg/L）</w:t>
            </w:r>
          </w:p>
        </w:tc>
        <w:tc>
          <w:tcPr>
            <w:tcW w:w="686" w:type="pct"/>
          </w:tcPr>
          <w:p w14:paraId="3169B113">
            <w:pPr>
              <w:adjustRightInd w:val="0"/>
              <w:snapToGrid w:val="0"/>
              <w:spacing w:line="240" w:lineRule="exact"/>
              <w:ind w:firstLine="0" w:firstLineChars="0"/>
              <w:jc w:val="center"/>
              <w:outlineLvl w:val="0"/>
              <w:rPr>
                <w:color w:val="000000" w:themeColor="text1"/>
                <w:sz w:val="21"/>
                <w:szCs w:val="20"/>
                <w14:textFill>
                  <w14:solidFill>
                    <w14:schemeClr w14:val="tx1"/>
                  </w14:solidFill>
                </w14:textFill>
              </w:rPr>
            </w:pPr>
            <w:r>
              <w:rPr>
                <w:rFonts w:hint="eastAsia"/>
                <w:color w:val="000000" w:themeColor="text1"/>
                <w:sz w:val="21"/>
                <w:szCs w:val="20"/>
                <w14:textFill>
                  <w14:solidFill>
                    <w14:schemeClr w14:val="tx1"/>
                  </w14:solidFill>
                </w14:textFill>
              </w:rPr>
              <w:t>150</w:t>
            </w:r>
          </w:p>
        </w:tc>
        <w:tc>
          <w:tcPr>
            <w:tcW w:w="2473" w:type="pct"/>
            <w:tcBorders>
              <w:right w:val="single" w:color="auto" w:sz="12" w:space="0"/>
            </w:tcBorders>
          </w:tcPr>
          <w:p w14:paraId="74E91E14">
            <w:pPr>
              <w:adjustRightInd w:val="0"/>
              <w:snapToGrid w:val="0"/>
              <w:spacing w:line="240" w:lineRule="exact"/>
              <w:ind w:firstLine="0" w:firstLineChars="0"/>
              <w:jc w:val="center"/>
              <w:outlineLvl w:val="0"/>
              <w:rPr>
                <w:color w:val="000000" w:themeColor="text1"/>
                <w:sz w:val="21"/>
                <w:szCs w:val="20"/>
                <w14:textFill>
                  <w14:solidFill>
                    <w14:schemeClr w14:val="tx1"/>
                  </w14:solidFill>
                </w14:textFill>
              </w:rPr>
            </w:pPr>
            <w:r>
              <w:rPr>
                <w:rFonts w:hint="eastAsia"/>
                <w:color w:val="000000" w:themeColor="text1"/>
                <w:sz w:val="21"/>
                <w:szCs w:val="20"/>
                <w14:textFill>
                  <w14:solidFill>
                    <w14:schemeClr w14:val="tx1"/>
                  </w14:solidFill>
                </w14:textFill>
              </w:rPr>
              <w:t>《污水综合排放标准》（GB8978-1996）</w:t>
            </w:r>
          </w:p>
        </w:tc>
      </w:tr>
      <w:tr w14:paraId="79D77A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5" w:type="pct"/>
            <w:vMerge w:val="continue"/>
            <w:tcBorders>
              <w:left w:val="single" w:color="auto" w:sz="12" w:space="0"/>
              <w:bottom w:val="single" w:color="auto" w:sz="12" w:space="0"/>
            </w:tcBorders>
          </w:tcPr>
          <w:p w14:paraId="0C69C2F9">
            <w:pPr>
              <w:adjustRightInd w:val="0"/>
              <w:snapToGrid w:val="0"/>
              <w:spacing w:line="240" w:lineRule="exact"/>
              <w:ind w:firstLine="0" w:firstLineChars="0"/>
              <w:jc w:val="center"/>
              <w:outlineLvl w:val="0"/>
              <w:rPr>
                <w:color w:val="000000" w:themeColor="text1"/>
                <w:sz w:val="21"/>
                <w:szCs w:val="20"/>
                <w14:textFill>
                  <w14:solidFill>
                    <w14:schemeClr w14:val="tx1"/>
                  </w14:solidFill>
                </w14:textFill>
              </w:rPr>
            </w:pPr>
          </w:p>
        </w:tc>
        <w:tc>
          <w:tcPr>
            <w:tcW w:w="1085" w:type="pct"/>
            <w:tcBorders>
              <w:bottom w:val="single" w:color="auto" w:sz="12" w:space="0"/>
            </w:tcBorders>
          </w:tcPr>
          <w:p w14:paraId="2AE7FF2A">
            <w:pPr>
              <w:adjustRightInd w:val="0"/>
              <w:snapToGrid w:val="0"/>
              <w:spacing w:line="240" w:lineRule="exact"/>
              <w:ind w:firstLine="0" w:firstLineChars="0"/>
              <w:jc w:val="center"/>
              <w:outlineLvl w:val="0"/>
              <w:rPr>
                <w:color w:val="000000" w:themeColor="text1"/>
                <w:sz w:val="21"/>
                <w:szCs w:val="20"/>
                <w14:textFill>
                  <w14:solidFill>
                    <w14:schemeClr w14:val="tx1"/>
                  </w14:solidFill>
                </w14:textFill>
              </w:rPr>
            </w:pPr>
            <w:r>
              <w:rPr>
                <w:rFonts w:hint="eastAsia"/>
                <w:color w:val="000000" w:themeColor="text1"/>
                <w:sz w:val="21"/>
                <w:szCs w:val="20"/>
                <w14:textFill>
                  <w14:solidFill>
                    <w14:schemeClr w14:val="tx1"/>
                  </w14:solidFill>
                </w14:textFill>
              </w:rPr>
              <w:t>石油类（mg/L）</w:t>
            </w:r>
          </w:p>
        </w:tc>
        <w:tc>
          <w:tcPr>
            <w:tcW w:w="686" w:type="pct"/>
            <w:tcBorders>
              <w:bottom w:val="single" w:color="auto" w:sz="12" w:space="0"/>
            </w:tcBorders>
          </w:tcPr>
          <w:p w14:paraId="7BB1EC3E">
            <w:pPr>
              <w:adjustRightInd w:val="0"/>
              <w:snapToGrid w:val="0"/>
              <w:spacing w:line="240" w:lineRule="exact"/>
              <w:ind w:firstLine="0" w:firstLineChars="0"/>
              <w:jc w:val="center"/>
              <w:outlineLvl w:val="0"/>
              <w:rPr>
                <w:color w:val="000000" w:themeColor="text1"/>
                <w:sz w:val="21"/>
                <w:szCs w:val="20"/>
                <w14:textFill>
                  <w14:solidFill>
                    <w14:schemeClr w14:val="tx1"/>
                  </w14:solidFill>
                </w14:textFill>
              </w:rPr>
            </w:pPr>
            <w:r>
              <w:rPr>
                <w:rFonts w:hint="eastAsia"/>
                <w:color w:val="000000" w:themeColor="text1"/>
                <w:sz w:val="21"/>
                <w:szCs w:val="20"/>
                <w14:textFill>
                  <w14:solidFill>
                    <w14:schemeClr w14:val="tx1"/>
                  </w14:solidFill>
                </w14:textFill>
              </w:rPr>
              <w:t>10</w:t>
            </w:r>
          </w:p>
        </w:tc>
        <w:tc>
          <w:tcPr>
            <w:tcW w:w="2473" w:type="pct"/>
            <w:tcBorders>
              <w:bottom w:val="single" w:color="auto" w:sz="12" w:space="0"/>
              <w:right w:val="single" w:color="auto" w:sz="12" w:space="0"/>
            </w:tcBorders>
          </w:tcPr>
          <w:p w14:paraId="746FE36C">
            <w:pPr>
              <w:adjustRightInd w:val="0"/>
              <w:snapToGrid w:val="0"/>
              <w:spacing w:line="240" w:lineRule="exact"/>
              <w:ind w:firstLine="0" w:firstLineChars="0"/>
              <w:jc w:val="center"/>
              <w:outlineLvl w:val="0"/>
              <w:rPr>
                <w:color w:val="000000" w:themeColor="text1"/>
                <w:sz w:val="21"/>
                <w:szCs w:val="20"/>
                <w14:textFill>
                  <w14:solidFill>
                    <w14:schemeClr w14:val="tx1"/>
                  </w14:solidFill>
                </w14:textFill>
              </w:rPr>
            </w:pPr>
            <w:r>
              <w:rPr>
                <w:rFonts w:hint="eastAsia"/>
                <w:color w:val="000000" w:themeColor="text1"/>
                <w:sz w:val="21"/>
                <w:szCs w:val="20"/>
                <w14:textFill>
                  <w14:solidFill>
                    <w14:schemeClr w14:val="tx1"/>
                  </w14:solidFill>
                </w14:textFill>
              </w:rPr>
              <w:t>《污水综合排放标准》（GB8978-1996）</w:t>
            </w:r>
          </w:p>
        </w:tc>
      </w:tr>
    </w:tbl>
    <w:p w14:paraId="0C1AC15F">
      <w:pPr>
        <w:pStyle w:val="6"/>
        <w:rPr>
          <w:color w:val="000000" w:themeColor="text1"/>
          <w14:textFill>
            <w14:solidFill>
              <w14:schemeClr w14:val="tx1"/>
            </w14:solidFill>
          </w14:textFill>
        </w:rPr>
      </w:pPr>
      <w:r>
        <w:rPr>
          <w:color w:val="000000" w:themeColor="text1"/>
          <w14:textFill>
            <w14:solidFill>
              <w14:schemeClr w14:val="tx1"/>
            </w14:solidFill>
          </w14:textFill>
        </w:rPr>
        <w:t>项目《广西钦州石化产业园总体发展规划》（2020-2035）相符性</w:t>
      </w:r>
    </w:p>
    <w:p w14:paraId="01D4A015">
      <w:pPr>
        <w:ind w:firstLine="480"/>
        <w:rPr>
          <w:color w:val="000000" w:themeColor="text1"/>
          <w14:textFill>
            <w14:solidFill>
              <w14:schemeClr w14:val="tx1"/>
            </w14:solidFill>
          </w14:textFill>
        </w:rPr>
      </w:pPr>
      <w:r>
        <w:rPr>
          <w:color w:val="000000" w:themeColor="text1"/>
          <w14:textFill>
            <w14:solidFill>
              <w14:schemeClr w14:val="tx1"/>
            </w14:solidFill>
          </w14:textFill>
        </w:rPr>
        <w:t>1、与规划相符性分析</w:t>
      </w:r>
    </w:p>
    <w:p w14:paraId="49BAA427">
      <w:pPr>
        <w:ind w:firstLine="480"/>
        <w:rPr>
          <w:color w:val="000000" w:themeColor="text1"/>
          <w14:textFill>
            <w14:solidFill>
              <w14:schemeClr w14:val="tx1"/>
            </w14:solidFill>
          </w14:textFill>
        </w:rPr>
      </w:pPr>
      <w:r>
        <w:rPr>
          <w:color w:val="000000" w:themeColor="text1"/>
          <w14:textFill>
            <w14:solidFill>
              <w14:schemeClr w14:val="tx1"/>
            </w14:solidFill>
          </w14:textFill>
        </w:rPr>
        <w:t>根据《广西钦州石化产业园总体发展规划》（2020-2035），钦州石化产业园总体上规划为“一园、两轴、三片、十区、多点”的空间结构：</w:t>
      </w:r>
    </w:p>
    <w:p w14:paraId="7569696B">
      <w:pPr>
        <w:ind w:firstLine="480"/>
        <w:rPr>
          <w:color w:val="000000" w:themeColor="text1"/>
          <w14:textFill>
            <w14:solidFill>
              <w14:schemeClr w14:val="tx1"/>
            </w14:solidFill>
          </w14:textFill>
        </w:rPr>
      </w:pPr>
      <w:r>
        <w:rPr>
          <w:color w:val="000000" w:themeColor="text1"/>
          <w14:textFill>
            <w14:solidFill>
              <w14:schemeClr w14:val="tx1"/>
            </w14:solidFill>
          </w14:textFill>
        </w:rPr>
        <w:t>(1) “一园”即钦州石化产业园整体。</w:t>
      </w:r>
    </w:p>
    <w:p w14:paraId="1F4192D7">
      <w:pPr>
        <w:ind w:firstLine="480"/>
        <w:rPr>
          <w:color w:val="000000" w:themeColor="text1"/>
          <w14:textFill>
            <w14:solidFill>
              <w14:schemeClr w14:val="tx1"/>
            </w14:solidFill>
          </w14:textFill>
        </w:rPr>
      </w:pPr>
      <w:r>
        <w:rPr>
          <w:color w:val="000000" w:themeColor="text1"/>
          <w14:textFill>
            <w14:solidFill>
              <w14:schemeClr w14:val="tx1"/>
            </w14:solidFill>
          </w14:textFill>
        </w:rPr>
        <w:t>(2)“两轴”即依托环北大道和三墩公路打造两条产业空间轴，将三个片区串联发展。</w:t>
      </w:r>
    </w:p>
    <w:p w14:paraId="388FAF9C">
      <w:pPr>
        <w:ind w:firstLine="480"/>
        <w:rPr>
          <w:color w:val="000000" w:themeColor="text1"/>
          <w14:textFill>
            <w14:solidFill>
              <w14:schemeClr w14:val="tx1"/>
            </w14:solidFill>
          </w14:textFill>
        </w:rPr>
      </w:pPr>
      <w:r>
        <w:rPr>
          <w:color w:val="000000" w:themeColor="text1"/>
          <w14:textFill>
            <w14:solidFill>
              <w14:schemeClr w14:val="tx1"/>
            </w14:solidFill>
          </w14:textFill>
        </w:rPr>
        <w:t>(3) “三片”即金谷片区、鹿耳片区和三墩片区。</w:t>
      </w:r>
    </w:p>
    <w:p w14:paraId="32AF23AD">
      <w:pPr>
        <w:ind w:firstLine="480"/>
        <w:rPr>
          <w:color w:val="000000" w:themeColor="text1"/>
          <w14:textFill>
            <w14:solidFill>
              <w14:schemeClr w14:val="tx1"/>
            </w14:solidFill>
          </w14:textFill>
        </w:rPr>
      </w:pPr>
      <w:r>
        <w:rPr>
          <w:color w:val="000000" w:themeColor="text1"/>
          <w14:textFill>
            <w14:solidFill>
              <w14:schemeClr w14:val="tx1"/>
            </w14:solidFill>
          </w14:textFill>
        </w:rPr>
        <w:t>(4) “十区”即广西石化炼化一体化项目区、华谊化工新材料一体化项目区、芳烃及下游深加工产业区、特种聚氨酯与高端材料产业区、金谷现有项目区、金谷预留发展区、鹿耳特种功能材料及专用化学品项目区、三墩炼化一体化项目区、三墩芳烃、烯烃及下游深加工区、三墩化工新材料及精细化工项目区，各片区内部以用地有效集聚为原则，保持内部小组团的完整，利于开发的弹性和可持续性。</w:t>
      </w:r>
    </w:p>
    <w:p w14:paraId="5E6F8DF7">
      <w:pPr>
        <w:ind w:firstLine="480"/>
        <w:rPr>
          <w:color w:val="000000" w:themeColor="text1"/>
          <w14:textFill>
            <w14:solidFill>
              <w14:schemeClr w14:val="tx1"/>
            </w14:solidFill>
          </w14:textFill>
        </w:rPr>
      </w:pPr>
      <w:r>
        <w:rPr>
          <w:color w:val="000000" w:themeColor="text1"/>
          <w14:textFill>
            <w14:solidFill>
              <w14:schemeClr w14:val="tx1"/>
            </w14:solidFill>
          </w14:textFill>
        </w:rPr>
        <w:t>(5) “多点”即“一体化”配套服务的公用工程及辅助设施。包括</w:t>
      </w:r>
      <w:r>
        <w:rPr>
          <w:b/>
          <w:bCs/>
          <w:color w:val="000000" w:themeColor="text1"/>
          <w14:textFill>
            <w14:solidFill>
              <w14:schemeClr w14:val="tx1"/>
            </w14:solidFill>
          </w14:textFill>
        </w:rPr>
        <w:t>石化码头及物流仓储区</w:t>
      </w:r>
      <w:r>
        <w:rPr>
          <w:color w:val="000000" w:themeColor="text1"/>
          <w14:textFill>
            <w14:solidFill>
              <w14:schemeClr w14:val="tx1"/>
            </w14:solidFill>
          </w14:textFill>
        </w:rPr>
        <w:t>、供水厂、污水处理、热电中心、变电站、消防站、危废处理等。</w:t>
      </w:r>
    </w:p>
    <w:p w14:paraId="19840584">
      <w:pPr>
        <w:ind w:firstLine="480"/>
        <w:rPr>
          <w:color w:val="000000" w:themeColor="text1"/>
          <w14:textFill>
            <w14:solidFill>
              <w14:schemeClr w14:val="tx1"/>
            </w14:solidFill>
          </w14:textFill>
        </w:rPr>
      </w:pPr>
      <w:r>
        <w:rPr>
          <w:color w:val="000000" w:themeColor="text1"/>
          <w14:textFill>
            <w14:solidFill>
              <w14:schemeClr w14:val="tx1"/>
            </w14:solidFill>
          </w14:textFill>
        </w:rPr>
        <w:t>项目属于服务石化园区的码头项目，选址位于园区规划的石化码头及物流仓储区，选址及功能符合《广西钦州石化产业园总体发展规划》（2020-2035）。</w:t>
      </w:r>
    </w:p>
    <w:p w14:paraId="6EE9B8A1">
      <w:pPr>
        <w:ind w:firstLine="480"/>
        <w:rPr>
          <w:color w:val="000000" w:themeColor="text1"/>
          <w14:textFill>
            <w14:solidFill>
              <w14:schemeClr w14:val="tx1"/>
            </w14:solidFill>
          </w14:textFill>
        </w:rPr>
      </w:pPr>
      <w:r>
        <w:rPr>
          <w:color w:val="000000" w:themeColor="text1"/>
          <w14:textFill>
            <w14:solidFill>
              <w14:schemeClr w14:val="tx1"/>
            </w14:solidFill>
          </w14:textFill>
        </w:rPr>
        <w:t>2、与规划环评及审查意见的相符性分析</w:t>
      </w:r>
    </w:p>
    <w:p w14:paraId="3FE61C9D">
      <w:pPr>
        <w:ind w:firstLine="480"/>
        <w:rPr>
          <w:color w:val="000000" w:themeColor="text1"/>
          <w:szCs w:val="21"/>
          <w14:textFill>
            <w14:solidFill>
              <w14:schemeClr w14:val="tx1"/>
            </w14:solidFill>
          </w14:textFill>
        </w:rPr>
      </w:pPr>
      <w:r>
        <w:rPr>
          <w:color w:val="000000" w:themeColor="text1"/>
          <w14:textFill>
            <w14:solidFill>
              <w14:schemeClr w14:val="tx1"/>
            </w14:solidFill>
          </w14:textFill>
        </w:rPr>
        <w:t>对照</w:t>
      </w:r>
      <w:r>
        <w:rPr>
          <w:color w:val="000000" w:themeColor="text1"/>
          <w:lang w:bidi="ar"/>
          <w14:textFill>
            <w14:solidFill>
              <w14:schemeClr w14:val="tx1"/>
            </w14:solidFill>
          </w14:textFill>
        </w:rPr>
        <w:t>《广西钦州石化产业园总体发展规划</w:t>
      </w:r>
      <w:r>
        <w:rPr>
          <w:color w:val="000000" w:themeColor="text1"/>
          <w14:textFill>
            <w14:solidFill>
              <w14:schemeClr w14:val="tx1"/>
            </w14:solidFill>
          </w14:textFill>
        </w:rPr>
        <w:t>（2020-2035）</w:t>
      </w:r>
      <w:r>
        <w:rPr>
          <w:color w:val="000000" w:themeColor="text1"/>
          <w:lang w:bidi="ar"/>
          <w14:textFill>
            <w14:solidFill>
              <w14:schemeClr w14:val="tx1"/>
            </w14:solidFill>
          </w14:textFill>
        </w:rPr>
        <w:t>环境影响报告书》及其审查意见，项目属于石化园区配套基础服务设施，选址符合规划功能分区要求，符合环境准入条件“建设项目应为石化产业园区产业链范围内的项目，选址应符合石化产业园区规划的功能分区”；项目有机废气</w:t>
      </w:r>
      <w:r>
        <w:rPr>
          <w:color w:val="000000" w:themeColor="text1"/>
          <w:szCs w:val="21"/>
          <w:lang w:bidi="ar"/>
          <w14:textFill>
            <w14:solidFill>
              <w14:schemeClr w14:val="tx1"/>
            </w14:solidFill>
          </w14:textFill>
        </w:rPr>
        <w:t>均得到妥善处置，确保达标排放，生产废水满足进水水质标准后依托恒逸污水处理厂处理，符合环境准入条件“建设项目污染防治和环境影响方面的准入要求”，“挥发性有机物（VOCs）的治理应纳入企业的环保措施。”</w:t>
      </w:r>
      <w:r>
        <w:rPr>
          <w:color w:val="000000" w:themeColor="text1"/>
          <w:lang w:bidi="ar"/>
          <w14:textFill>
            <w14:solidFill>
              <w14:schemeClr w14:val="tx1"/>
            </w14:solidFill>
          </w14:textFill>
        </w:rPr>
        <w:t>项目为园区配套项目，不属于规划环评负面清单中所列的各类生产工艺。</w:t>
      </w:r>
    </w:p>
    <w:p w14:paraId="63F25770">
      <w:pPr>
        <w:ind w:firstLine="480"/>
        <w:rPr>
          <w:color w:val="000000" w:themeColor="text1"/>
          <w:lang w:bidi="ar"/>
          <w14:textFill>
            <w14:solidFill>
              <w14:schemeClr w14:val="tx1"/>
            </w14:solidFill>
          </w14:textFill>
        </w:rPr>
      </w:pPr>
      <w:r>
        <w:rPr>
          <w:color w:val="000000" w:themeColor="text1"/>
          <w:lang w:bidi="ar"/>
          <w14:textFill>
            <w14:solidFill>
              <w14:schemeClr w14:val="tx1"/>
            </w14:solidFill>
          </w14:textFill>
        </w:rPr>
        <w:t>本项目与规划环评审查意见相符性分析见下表：</w:t>
      </w:r>
    </w:p>
    <w:p w14:paraId="290C0B08">
      <w:pPr>
        <w:pStyle w:val="7"/>
        <w:rPr>
          <w:color w:val="000000" w:themeColor="text1"/>
          <w14:textFill>
            <w14:solidFill>
              <w14:schemeClr w14:val="tx1"/>
            </w14:solidFill>
          </w14:textFill>
        </w:rPr>
      </w:pPr>
      <w:r>
        <w:rPr>
          <w:color w:val="000000" w:themeColor="text1"/>
          <w14:textFill>
            <w14:solidFill>
              <w14:schemeClr w14:val="tx1"/>
            </w14:solidFill>
          </w14:textFill>
        </w:rPr>
        <w:t>与规划环评审查意见相符性分析</w:t>
      </w:r>
    </w:p>
    <w:tbl>
      <w:tblPr>
        <w:tblStyle w:val="43"/>
        <w:tblW w:w="8276"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6026"/>
        <w:gridCol w:w="2250"/>
      </w:tblGrid>
      <w:tr w14:paraId="2697CF5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026" w:type="dxa"/>
            <w:tcMar>
              <w:left w:w="28" w:type="dxa"/>
              <w:right w:w="28" w:type="dxa"/>
            </w:tcMar>
            <w:vAlign w:val="center"/>
          </w:tcPr>
          <w:p w14:paraId="2D53E2E2">
            <w:pPr>
              <w:spacing w:line="240" w:lineRule="exact"/>
              <w:ind w:firstLine="0" w:firstLineChars="0"/>
              <w:jc w:val="center"/>
              <w:rPr>
                <w:b/>
                <w:bCs/>
                <w:color w:val="000000" w:themeColor="text1"/>
                <w:sz w:val="21"/>
                <w:szCs w:val="21"/>
                <w14:textFill>
                  <w14:solidFill>
                    <w14:schemeClr w14:val="tx1"/>
                  </w14:solidFill>
                </w14:textFill>
              </w:rPr>
            </w:pPr>
            <w:r>
              <w:rPr>
                <w:b/>
                <w:bCs/>
                <w:color w:val="000000" w:themeColor="text1"/>
                <w:sz w:val="21"/>
                <w:szCs w:val="21"/>
                <w:lang w:bidi="ar"/>
                <w14:textFill>
                  <w14:solidFill>
                    <w14:schemeClr w14:val="tx1"/>
                  </w14:solidFill>
                </w14:textFill>
              </w:rPr>
              <w:t>规划环评审查意见</w:t>
            </w:r>
          </w:p>
        </w:tc>
        <w:tc>
          <w:tcPr>
            <w:tcW w:w="2250" w:type="dxa"/>
            <w:tcMar>
              <w:left w:w="28" w:type="dxa"/>
              <w:right w:w="28" w:type="dxa"/>
            </w:tcMar>
            <w:vAlign w:val="center"/>
          </w:tcPr>
          <w:p w14:paraId="00B841E7">
            <w:pPr>
              <w:spacing w:line="240" w:lineRule="exact"/>
              <w:ind w:firstLine="0" w:firstLineChars="0"/>
              <w:jc w:val="center"/>
              <w:rPr>
                <w:b/>
                <w:bCs/>
                <w:color w:val="000000" w:themeColor="text1"/>
                <w:sz w:val="21"/>
                <w:szCs w:val="21"/>
                <w14:textFill>
                  <w14:solidFill>
                    <w14:schemeClr w14:val="tx1"/>
                  </w14:solidFill>
                </w14:textFill>
              </w:rPr>
            </w:pPr>
            <w:r>
              <w:rPr>
                <w:b/>
                <w:bCs/>
                <w:color w:val="000000" w:themeColor="text1"/>
                <w:sz w:val="21"/>
                <w:szCs w:val="21"/>
                <w:lang w:bidi="ar"/>
                <w14:textFill>
                  <w14:solidFill>
                    <w14:schemeClr w14:val="tx1"/>
                  </w14:solidFill>
                </w14:textFill>
              </w:rPr>
              <w:t>相符性分析</w:t>
            </w:r>
          </w:p>
        </w:tc>
      </w:tr>
      <w:tr w14:paraId="46593DE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026" w:type="dxa"/>
            <w:tcMar>
              <w:left w:w="28" w:type="dxa"/>
              <w:right w:w="28" w:type="dxa"/>
            </w:tcMar>
            <w:vAlign w:val="center"/>
          </w:tcPr>
          <w:p w14:paraId="2FA42324">
            <w:pPr>
              <w:spacing w:line="240" w:lineRule="exact"/>
              <w:ind w:firstLine="0" w:firstLineChars="0"/>
              <w:rPr>
                <w:color w:val="000000" w:themeColor="text1"/>
                <w:sz w:val="21"/>
                <w:szCs w:val="21"/>
                <w14:textFill>
                  <w14:solidFill>
                    <w14:schemeClr w14:val="tx1"/>
                  </w14:solidFill>
                </w14:textFill>
              </w:rPr>
            </w:pPr>
            <w:r>
              <w:rPr>
                <w:color w:val="000000" w:themeColor="text1"/>
                <w:sz w:val="21"/>
                <w:szCs w:val="21"/>
                <w:lang w:bidi="ar"/>
                <w14:textFill>
                  <w14:solidFill>
                    <w14:schemeClr w14:val="tx1"/>
                  </w14:solidFill>
                </w14:textFill>
              </w:rPr>
              <w:t>1. 全面贯彻习近平生态文明思想的绿色发展观，坚持“环保优先、绿色发展”理念，建立健全石化基地循环发展、清洁生产的指标体系并明确落实机制和保障措施。切实维护石化基地和周边区域生态环境质量，坚持高起点规划、高标准建设、高水平管理。钦州石化产业园区要加快转变经济发展方式，以资源环境承载力为基础，促进经济社会与资源环境协调发展，积极探索代价小、效益好、排放低、可持续的环境保护新道路，把科学开发与保护区域生态环境紧密结合起来，努力实现开发与保护双赢。</w:t>
            </w:r>
          </w:p>
        </w:tc>
        <w:tc>
          <w:tcPr>
            <w:tcW w:w="2250" w:type="dxa"/>
            <w:tcMar>
              <w:left w:w="28" w:type="dxa"/>
              <w:right w:w="28" w:type="dxa"/>
            </w:tcMar>
            <w:vAlign w:val="center"/>
          </w:tcPr>
          <w:p w14:paraId="2046E739">
            <w:pPr>
              <w:spacing w:line="240" w:lineRule="exact"/>
              <w:ind w:firstLine="0" w:firstLineChars="0"/>
              <w:rPr>
                <w:color w:val="000000" w:themeColor="text1"/>
                <w:sz w:val="21"/>
                <w:szCs w:val="21"/>
                <w14:textFill>
                  <w14:solidFill>
                    <w14:schemeClr w14:val="tx1"/>
                  </w14:solidFill>
                </w14:textFill>
              </w:rPr>
            </w:pPr>
            <w:r>
              <w:rPr>
                <w:color w:val="000000" w:themeColor="text1"/>
                <w:sz w:val="21"/>
                <w:szCs w:val="21"/>
                <w:lang w:bidi="ar"/>
                <w14:textFill>
                  <w14:solidFill>
                    <w14:schemeClr w14:val="tx1"/>
                  </w14:solidFill>
                </w14:textFill>
              </w:rPr>
              <w:t>项目属于石化园区配套项目，不属于高耗能项目，产生的污染物均采取相应处理措施得到妥善处置，不会对区域资源环境承载力造成大的不利影响。</w:t>
            </w:r>
            <w:r>
              <w:rPr>
                <w:b/>
                <w:bCs/>
                <w:color w:val="000000" w:themeColor="text1"/>
                <w:sz w:val="21"/>
                <w:szCs w:val="21"/>
                <w:lang w:bidi="ar"/>
                <w14:textFill>
                  <w14:solidFill>
                    <w14:schemeClr w14:val="tx1"/>
                  </w14:solidFill>
                </w14:textFill>
              </w:rPr>
              <w:t>符合。</w:t>
            </w:r>
          </w:p>
        </w:tc>
      </w:tr>
      <w:tr w14:paraId="4B8120C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026" w:type="dxa"/>
            <w:tcMar>
              <w:left w:w="28" w:type="dxa"/>
              <w:right w:w="28" w:type="dxa"/>
            </w:tcMar>
            <w:vAlign w:val="center"/>
          </w:tcPr>
          <w:p w14:paraId="477D827C">
            <w:pPr>
              <w:spacing w:line="240" w:lineRule="exact"/>
              <w:ind w:firstLine="0" w:firstLineChars="0"/>
              <w:rPr>
                <w:color w:val="000000" w:themeColor="text1"/>
                <w:sz w:val="21"/>
                <w:szCs w:val="21"/>
                <w14:textFill>
                  <w14:solidFill>
                    <w14:schemeClr w14:val="tx1"/>
                  </w14:solidFill>
                </w14:textFill>
              </w:rPr>
            </w:pPr>
            <w:r>
              <w:rPr>
                <w:color w:val="000000" w:themeColor="text1"/>
                <w:sz w:val="21"/>
                <w:szCs w:val="21"/>
                <w:lang w:bidi="ar"/>
                <w14:textFill>
                  <w14:solidFill>
                    <w14:schemeClr w14:val="tx1"/>
                  </w14:solidFill>
                </w14:textFill>
              </w:rPr>
              <w:t>2. 主动对接生态保护红线划定和国土空间规划编制，将生态保护红线作为保障和维护区域生态安全的底线，依法依规实施强制性保护。严格保护广西茅尾海红树林自然保护区，滨海湿地、金窝水库饮用水源一级保护区等生态保护区，不符合自然保护区和环境功能区划等相关管控要求的各类开发建设活动不得纳入《规划》。</w:t>
            </w:r>
          </w:p>
        </w:tc>
        <w:tc>
          <w:tcPr>
            <w:tcW w:w="2250" w:type="dxa"/>
            <w:tcMar>
              <w:left w:w="28" w:type="dxa"/>
              <w:right w:w="28" w:type="dxa"/>
            </w:tcMar>
            <w:vAlign w:val="center"/>
          </w:tcPr>
          <w:p w14:paraId="36352E6D">
            <w:pPr>
              <w:spacing w:line="240" w:lineRule="exact"/>
              <w:ind w:firstLine="0" w:firstLineChars="0"/>
              <w:rPr>
                <w:color w:val="000000" w:themeColor="text1"/>
                <w:sz w:val="21"/>
                <w:szCs w:val="21"/>
                <w14:textFill>
                  <w14:solidFill>
                    <w14:schemeClr w14:val="tx1"/>
                  </w14:solidFill>
                </w14:textFill>
              </w:rPr>
            </w:pPr>
            <w:r>
              <w:rPr>
                <w:color w:val="000000" w:themeColor="text1"/>
                <w:sz w:val="21"/>
                <w:szCs w:val="21"/>
                <w:lang w:bidi="ar"/>
                <w14:textFill>
                  <w14:solidFill>
                    <w14:schemeClr w14:val="tx1"/>
                  </w14:solidFill>
                </w14:textFill>
              </w:rPr>
              <w:t>项目位于划定的石化园区内，符合国土空间规划要求；项目占地不涉及意见中提及的生态保护区。</w:t>
            </w:r>
            <w:r>
              <w:rPr>
                <w:b/>
                <w:bCs/>
                <w:color w:val="000000" w:themeColor="text1"/>
                <w:sz w:val="21"/>
                <w:szCs w:val="21"/>
                <w:lang w:bidi="ar"/>
                <w14:textFill>
                  <w14:solidFill>
                    <w14:schemeClr w14:val="tx1"/>
                  </w14:solidFill>
                </w14:textFill>
              </w:rPr>
              <w:t>符合。</w:t>
            </w:r>
          </w:p>
        </w:tc>
      </w:tr>
      <w:tr w14:paraId="266275F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026" w:type="dxa"/>
            <w:tcMar>
              <w:left w:w="28" w:type="dxa"/>
              <w:right w:w="28" w:type="dxa"/>
            </w:tcMar>
            <w:vAlign w:val="center"/>
          </w:tcPr>
          <w:p w14:paraId="2D84F75D">
            <w:pPr>
              <w:spacing w:line="240" w:lineRule="exact"/>
              <w:ind w:firstLine="0" w:firstLineChars="0"/>
              <w:rPr>
                <w:color w:val="000000" w:themeColor="text1"/>
                <w:sz w:val="21"/>
                <w:szCs w:val="21"/>
                <w14:textFill>
                  <w14:solidFill>
                    <w14:schemeClr w14:val="tx1"/>
                  </w14:solidFill>
                </w14:textFill>
              </w:rPr>
            </w:pPr>
            <w:r>
              <w:rPr>
                <w:color w:val="000000" w:themeColor="text1"/>
                <w:sz w:val="21"/>
                <w:szCs w:val="21"/>
                <w:lang w:bidi="ar"/>
                <w14:textFill>
                  <w14:solidFill>
                    <w14:schemeClr w14:val="tx1"/>
                  </w14:solidFill>
                </w14:textFill>
              </w:rPr>
              <w:t>3. 加快现有排污口建设及污水处理厂提标改造，同时随着规划的实施开展 3 个排污口外迁排海相关技术论证。鉴于钦州港港口规划及规划实施可能对海域水文动力条件及近岸海域排污区水环境容量造成影响，应尽快开展海域排污区论证，掌握海域水环境资源，明确园区生产和生活废水排污方案，近期规划依托整改后的 A1、 A2 排口，中远期排污口应重新规划。</w:t>
            </w:r>
          </w:p>
        </w:tc>
        <w:tc>
          <w:tcPr>
            <w:tcW w:w="2250" w:type="dxa"/>
            <w:tcMar>
              <w:left w:w="28" w:type="dxa"/>
              <w:right w:w="28" w:type="dxa"/>
            </w:tcMar>
            <w:vAlign w:val="center"/>
          </w:tcPr>
          <w:p w14:paraId="7F8649FC">
            <w:pPr>
              <w:spacing w:line="240" w:lineRule="exact"/>
              <w:ind w:firstLine="0" w:firstLineChars="0"/>
              <w:rPr>
                <w:color w:val="000000" w:themeColor="text1"/>
                <w:sz w:val="21"/>
                <w:szCs w:val="21"/>
                <w14:textFill>
                  <w14:solidFill>
                    <w14:schemeClr w14:val="tx1"/>
                  </w14:solidFill>
                </w14:textFill>
              </w:rPr>
            </w:pPr>
            <w:r>
              <w:rPr>
                <w:rFonts w:hint="eastAsia"/>
                <w:color w:val="000000" w:themeColor="text1"/>
                <w:sz w:val="21"/>
                <w:szCs w:val="21"/>
                <w:lang w:bidi="ar"/>
                <w14:textFill>
                  <w14:solidFill>
                    <w14:schemeClr w14:val="tx1"/>
                  </w14:solidFill>
                </w14:textFill>
              </w:rPr>
              <w:t>园</w:t>
            </w:r>
            <w:r>
              <w:rPr>
                <w:color w:val="000000" w:themeColor="text1"/>
                <w:sz w:val="21"/>
                <w:szCs w:val="21"/>
                <w:lang w:bidi="ar"/>
                <w14:textFill>
                  <w14:solidFill>
                    <w14:schemeClr w14:val="tx1"/>
                  </w14:solidFill>
                </w14:textFill>
              </w:rPr>
              <w:t>区集中考虑，本项目不涉及。</w:t>
            </w:r>
            <w:r>
              <w:rPr>
                <w:b/>
                <w:bCs/>
                <w:color w:val="000000" w:themeColor="text1"/>
                <w:sz w:val="21"/>
                <w:szCs w:val="21"/>
                <w:lang w:bidi="ar"/>
                <w14:textFill>
                  <w14:solidFill>
                    <w14:schemeClr w14:val="tx1"/>
                  </w14:solidFill>
                </w14:textFill>
              </w:rPr>
              <w:t>符合。</w:t>
            </w:r>
          </w:p>
        </w:tc>
      </w:tr>
      <w:tr w14:paraId="5B60FBC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210" w:hRule="atLeast"/>
        </w:trPr>
        <w:tc>
          <w:tcPr>
            <w:tcW w:w="6026" w:type="dxa"/>
            <w:tcMar>
              <w:left w:w="28" w:type="dxa"/>
              <w:right w:w="28" w:type="dxa"/>
            </w:tcMar>
            <w:vAlign w:val="center"/>
          </w:tcPr>
          <w:p w14:paraId="2F622743">
            <w:pPr>
              <w:spacing w:line="240" w:lineRule="exact"/>
              <w:ind w:firstLine="0" w:firstLineChars="0"/>
              <w:rPr>
                <w:color w:val="000000" w:themeColor="text1"/>
                <w:sz w:val="21"/>
                <w:szCs w:val="21"/>
                <w14:textFill>
                  <w14:solidFill>
                    <w14:schemeClr w14:val="tx1"/>
                  </w14:solidFill>
                </w14:textFill>
              </w:rPr>
            </w:pPr>
            <w:r>
              <w:rPr>
                <w:color w:val="000000" w:themeColor="text1"/>
                <w:sz w:val="21"/>
                <w:szCs w:val="21"/>
                <w:lang w:bidi="ar"/>
                <w14:textFill>
                  <w14:solidFill>
                    <w14:schemeClr w14:val="tx1"/>
                  </w14:solidFill>
                </w14:textFill>
              </w:rPr>
              <w:t>4. 严格落实规划空间用地方案，优化空间开发格局，尽快完善园区搬迁规划及实施。石化园区规划新增鹿耳片区，规划范围涉及鸡墩头村、老鸦坑、大坡顶、铁藤山等居民点。部分规划项目装置在建设时必须与居民区之间留有足够的安全及环境防护距离，为保证园区产业的健康可持续发展，规划应合理制订搬迁计划，实施时序，并按时落实，消除这些环境敏感点的环境风险。</w:t>
            </w:r>
          </w:p>
        </w:tc>
        <w:tc>
          <w:tcPr>
            <w:tcW w:w="2250" w:type="dxa"/>
            <w:tcMar>
              <w:left w:w="28" w:type="dxa"/>
              <w:right w:w="28" w:type="dxa"/>
            </w:tcMar>
            <w:vAlign w:val="center"/>
          </w:tcPr>
          <w:p w14:paraId="3356589D">
            <w:pPr>
              <w:spacing w:line="240" w:lineRule="exact"/>
              <w:ind w:firstLine="0" w:firstLineChars="0"/>
              <w:rPr>
                <w:color w:val="000000" w:themeColor="text1"/>
                <w:sz w:val="21"/>
                <w:szCs w:val="21"/>
                <w14:textFill>
                  <w14:solidFill>
                    <w14:schemeClr w14:val="tx1"/>
                  </w14:solidFill>
                </w14:textFill>
              </w:rPr>
            </w:pPr>
            <w:r>
              <w:rPr>
                <w:color w:val="000000" w:themeColor="text1"/>
                <w:sz w:val="21"/>
                <w:szCs w:val="21"/>
                <w:lang w:bidi="ar"/>
                <w14:textFill>
                  <w14:solidFill>
                    <w14:schemeClr w14:val="tx1"/>
                  </w14:solidFill>
                </w14:textFill>
              </w:rPr>
              <w:t>园区集中考虑，本项目不涉及。</w:t>
            </w:r>
            <w:r>
              <w:rPr>
                <w:b/>
                <w:bCs/>
                <w:color w:val="000000" w:themeColor="text1"/>
                <w:sz w:val="21"/>
                <w:szCs w:val="21"/>
                <w:lang w:bidi="ar"/>
                <w14:textFill>
                  <w14:solidFill>
                    <w14:schemeClr w14:val="tx1"/>
                  </w14:solidFill>
                </w14:textFill>
              </w:rPr>
              <w:t>符合。</w:t>
            </w:r>
          </w:p>
        </w:tc>
      </w:tr>
      <w:tr w14:paraId="3B03581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026" w:type="dxa"/>
            <w:tcMar>
              <w:left w:w="28" w:type="dxa"/>
              <w:right w:w="28" w:type="dxa"/>
            </w:tcMar>
            <w:vAlign w:val="center"/>
          </w:tcPr>
          <w:p w14:paraId="32ED3F26">
            <w:pPr>
              <w:spacing w:line="240" w:lineRule="exact"/>
              <w:ind w:firstLine="0" w:firstLineChars="0"/>
              <w:rPr>
                <w:color w:val="000000" w:themeColor="text1"/>
                <w:sz w:val="21"/>
                <w:szCs w:val="21"/>
                <w14:textFill>
                  <w14:solidFill>
                    <w14:schemeClr w14:val="tx1"/>
                  </w14:solidFill>
                </w14:textFill>
              </w:rPr>
            </w:pPr>
            <w:r>
              <w:rPr>
                <w:color w:val="000000" w:themeColor="text1"/>
                <w:sz w:val="21"/>
                <w:szCs w:val="21"/>
                <w:lang w:bidi="ar"/>
                <w14:textFill>
                  <w14:solidFill>
                    <w14:schemeClr w14:val="tx1"/>
                  </w14:solidFill>
                </w14:textFill>
              </w:rPr>
              <w:t>5. 进一步优化《规划》布局、用地和产业发展规模、建设时序和产品方案等，严格控制近期发展的炼油以及石化下游产业规模。加强对石化产业园的环境风险管理，实行园区封闭式管理；完善区域应急方案，制定事故应急疏散点：建议石化区内主要产业区及相关风险源用地外扩 1 公里范围作为工业区环境风险防控区域。加强环境风险防范及环境风险应急体系建设。落实环境风险防范的主体责任，强化环境风险防范体系建设，形成与各规划区规划项目环境风险相匹配的应急能力， 制定环境污染事故应急预案，应急预案应与当地政府和相关部门的应急预案相衔接，配备足够的应急处置设施和器材，加强区域应急物资调配，健全规划园区环境风险防范区域联动机制，有效应对突发环境事件。建立健全“装置－企业－园区”防控体系，在各企业设置环境风险事故应急池的基础上，分片区设置足够容积的园区级公共事故应急池，并形成互相联通系统；优化布局并保持与周边居住区、红树林保护区、滨海湿地等重要敏感目标合理距离，预防和减缓不利环境影响和风险。</w:t>
            </w:r>
          </w:p>
        </w:tc>
        <w:tc>
          <w:tcPr>
            <w:tcW w:w="2250" w:type="dxa"/>
            <w:tcMar>
              <w:left w:w="28" w:type="dxa"/>
              <w:right w:w="28" w:type="dxa"/>
            </w:tcMar>
            <w:vAlign w:val="center"/>
          </w:tcPr>
          <w:p w14:paraId="71F91C83">
            <w:pPr>
              <w:spacing w:line="240" w:lineRule="exact"/>
              <w:ind w:firstLine="0" w:firstLineChars="0"/>
              <w:rPr>
                <w:color w:val="000000" w:themeColor="text1"/>
                <w:sz w:val="21"/>
                <w:szCs w:val="21"/>
                <w14:textFill>
                  <w14:solidFill>
                    <w14:schemeClr w14:val="tx1"/>
                  </w14:solidFill>
                </w14:textFill>
              </w:rPr>
            </w:pPr>
            <w:r>
              <w:rPr>
                <w:color w:val="000000" w:themeColor="text1"/>
                <w:sz w:val="21"/>
                <w:szCs w:val="21"/>
                <w:lang w:bidi="ar"/>
                <w14:textFill>
                  <w14:solidFill>
                    <w14:schemeClr w14:val="tx1"/>
                  </w14:solidFill>
                </w14:textFill>
              </w:rPr>
              <w:t>项目运营后按要求开展风险评估，制定突发环境应急预案，健全企业应急制度管理，并明确需要与园区及钦州市应急预案衔接。</w:t>
            </w:r>
            <w:r>
              <w:rPr>
                <w:b/>
                <w:bCs/>
                <w:color w:val="000000" w:themeColor="text1"/>
                <w:sz w:val="21"/>
                <w:szCs w:val="21"/>
                <w:lang w:bidi="ar"/>
                <w14:textFill>
                  <w14:solidFill>
                    <w14:schemeClr w14:val="tx1"/>
                  </w14:solidFill>
                </w14:textFill>
              </w:rPr>
              <w:t>符合。</w:t>
            </w:r>
          </w:p>
        </w:tc>
      </w:tr>
      <w:tr w14:paraId="49C8AD4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026" w:type="dxa"/>
            <w:tcMar>
              <w:left w:w="28" w:type="dxa"/>
              <w:right w:w="28" w:type="dxa"/>
            </w:tcMar>
            <w:vAlign w:val="center"/>
          </w:tcPr>
          <w:p w14:paraId="5A331ED5">
            <w:pPr>
              <w:spacing w:line="240" w:lineRule="exact"/>
              <w:ind w:firstLine="0" w:firstLineChars="0"/>
              <w:rPr>
                <w:color w:val="000000" w:themeColor="text1"/>
                <w:sz w:val="21"/>
                <w:szCs w:val="21"/>
                <w14:textFill>
                  <w14:solidFill>
                    <w14:schemeClr w14:val="tx1"/>
                  </w14:solidFill>
                </w14:textFill>
              </w:rPr>
            </w:pPr>
            <w:r>
              <w:rPr>
                <w:color w:val="000000" w:themeColor="text1"/>
                <w:sz w:val="21"/>
                <w:szCs w:val="21"/>
                <w:lang w:bidi="ar"/>
                <w14:textFill>
                  <w14:solidFill>
                    <w14:schemeClr w14:val="tx1"/>
                  </w14:solidFill>
                </w14:textFill>
              </w:rPr>
              <w:t>6. 落实污染防治措施，针对规划项目废气、废（污）水、固体废物、危险化学品仓储及</w:t>
            </w:r>
            <w:r>
              <w:rPr>
                <w:rFonts w:hint="eastAsia"/>
                <w:color w:val="000000" w:themeColor="text1"/>
                <w:sz w:val="21"/>
                <w:szCs w:val="21"/>
                <w:lang w:eastAsia="zh-CN" w:bidi="ar"/>
                <w14:textFill>
                  <w14:solidFill>
                    <w14:schemeClr w14:val="tx1"/>
                  </w14:solidFill>
                </w14:textFill>
              </w:rPr>
              <w:t>运输</w:t>
            </w:r>
            <w:r>
              <w:rPr>
                <w:color w:val="000000" w:themeColor="text1"/>
                <w:sz w:val="21"/>
                <w:szCs w:val="21"/>
                <w:lang w:bidi="ar"/>
                <w14:textFill>
                  <w14:solidFill>
                    <w14:schemeClr w14:val="tx1"/>
                  </w14:solidFill>
                </w14:textFill>
              </w:rPr>
              <w:t>等，制定明确，有效的全过程监管方案。优先采用有利于生态环境保护的集疏运方式，强化扬尘、挥发性有机物等无组织排放污染控制和治理，严格各项污染防治措施，完善化学仓储、化学品输送管廊、危险废物（处置中心）规划，依法依规妥善处置固体废物。落实区域总量削减、环境质量改善方案，严格污染物总量控制要求和石化基地环境准入，引进项目的生产工艺、设备、污染治理技术，清洁生产水平等应达到同行业国际先进水平。严格控制石油类、氨氮、总磷等污染物排放浓度及排放量，采取有效措施减少挥发性有机化合物（VOCs）、氮氧化物（NOx）等污染物排放量。参照国际先进的 VOCs 排放控制体系，提升管理和控制水平。在生产、运输、储存各个环节，加强污染物排放控制和管理，全面提升环境保护管理水平。</w:t>
            </w:r>
          </w:p>
        </w:tc>
        <w:tc>
          <w:tcPr>
            <w:tcW w:w="2250" w:type="dxa"/>
            <w:tcMar>
              <w:left w:w="28" w:type="dxa"/>
              <w:right w:w="28" w:type="dxa"/>
            </w:tcMar>
            <w:vAlign w:val="center"/>
          </w:tcPr>
          <w:p w14:paraId="10FF50A7">
            <w:pPr>
              <w:spacing w:line="240" w:lineRule="exact"/>
              <w:ind w:firstLine="0" w:firstLineChars="0"/>
              <w:rPr>
                <w:color w:val="000000" w:themeColor="text1"/>
                <w:sz w:val="21"/>
                <w:szCs w:val="21"/>
                <w14:textFill>
                  <w14:solidFill>
                    <w14:schemeClr w14:val="tx1"/>
                  </w14:solidFill>
                </w14:textFill>
              </w:rPr>
            </w:pPr>
            <w:r>
              <w:rPr>
                <w:color w:val="000000" w:themeColor="text1"/>
                <w:sz w:val="21"/>
                <w:szCs w:val="21"/>
                <w:lang w:bidi="ar"/>
                <w14:textFill>
                  <w14:solidFill>
                    <w14:schemeClr w14:val="tx1"/>
                  </w14:solidFill>
                </w14:textFill>
              </w:rPr>
              <w:t>项目</w:t>
            </w:r>
            <w:r>
              <w:rPr>
                <w:rFonts w:hint="eastAsia"/>
                <w:color w:val="000000" w:themeColor="text1"/>
                <w:sz w:val="21"/>
                <w:szCs w:val="21"/>
                <w:lang w:bidi="ar"/>
                <w14:textFill>
                  <w14:solidFill>
                    <w14:schemeClr w14:val="tx1"/>
                  </w14:solidFill>
                </w14:textFill>
              </w:rPr>
              <w:t>依托广西恒逸新材料有限公司年产120万吨己内酰胺—聚酰胺产业一体化及配套工程项目进行处理，工艺采用“RTO蓄热式焚烧炉”</w:t>
            </w:r>
            <w:r>
              <w:rPr>
                <w:color w:val="000000" w:themeColor="text1"/>
                <w:sz w:val="21"/>
                <w:szCs w:val="21"/>
                <w:lang w:bidi="ar"/>
                <w14:textFill>
                  <w14:solidFill>
                    <w14:schemeClr w14:val="tx1"/>
                  </w14:solidFill>
                </w14:textFill>
              </w:rPr>
              <w:t>，确保废气达标排放；项目设置一处危险废物暂存间，对项目产生的危险废物进行妥善贮存，定期由有资质单位清运处置。</w:t>
            </w:r>
            <w:r>
              <w:rPr>
                <w:b/>
                <w:bCs/>
                <w:color w:val="000000" w:themeColor="text1"/>
                <w:sz w:val="21"/>
                <w:szCs w:val="21"/>
                <w:lang w:bidi="ar"/>
                <w14:textFill>
                  <w14:solidFill>
                    <w14:schemeClr w14:val="tx1"/>
                  </w14:solidFill>
                </w14:textFill>
              </w:rPr>
              <w:t>符合。</w:t>
            </w:r>
          </w:p>
        </w:tc>
      </w:tr>
      <w:tr w14:paraId="431981C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026" w:type="dxa"/>
            <w:tcMar>
              <w:left w:w="28" w:type="dxa"/>
              <w:right w:w="28" w:type="dxa"/>
            </w:tcMar>
            <w:vAlign w:val="center"/>
          </w:tcPr>
          <w:p w14:paraId="4A2DD68C">
            <w:pPr>
              <w:widowControl/>
              <w:spacing w:line="240" w:lineRule="exact"/>
              <w:ind w:firstLine="420"/>
              <w:rPr>
                <w:color w:val="000000" w:themeColor="text1"/>
                <w:sz w:val="21"/>
                <w:szCs w:val="21"/>
                <w14:textFill>
                  <w14:solidFill>
                    <w14:schemeClr w14:val="tx1"/>
                  </w14:solidFill>
                </w14:textFill>
              </w:rPr>
            </w:pPr>
            <w:r>
              <w:rPr>
                <w:color w:val="000000" w:themeColor="text1"/>
                <w:sz w:val="21"/>
                <w:szCs w:val="21"/>
                <w:lang w:bidi="ar"/>
                <w14:textFill>
                  <w14:solidFill>
                    <w14:schemeClr w14:val="tx1"/>
                  </w14:solidFill>
                </w14:textFill>
              </w:rPr>
              <w:t>7. 建立涵盖水、生态、大气、湿地生态系统、珍稀保护物种、重要生境、渔业资源等环境敏感目标的常态化监测体系，对石化基地及周边主要环境要素中</w:t>
            </w:r>
            <w:r>
              <w:rPr>
                <w:rFonts w:eastAsia="FZFSK--GBK1-0"/>
                <w:color w:val="000000" w:themeColor="text1"/>
                <w:sz w:val="21"/>
                <w:szCs w:val="21"/>
                <w:lang w:bidi="ar"/>
                <w14:textFill>
                  <w14:solidFill>
                    <w14:schemeClr w14:val="tx1"/>
                  </w14:solidFill>
                </w14:textFill>
              </w:rPr>
              <w:t xml:space="preserve"> VOCs</w:t>
            </w:r>
            <w:r>
              <w:rPr>
                <w:color w:val="000000" w:themeColor="text1"/>
                <w:sz w:val="21"/>
                <w:szCs w:val="21"/>
                <w:lang w:bidi="ar"/>
                <w14:textFill>
                  <w14:solidFill>
                    <w14:schemeClr w14:val="tx1"/>
                  </w14:solidFill>
                </w14:textFill>
              </w:rPr>
              <w:t>、半挥发性有机物（</w:t>
            </w:r>
            <w:r>
              <w:rPr>
                <w:rFonts w:eastAsia="FZFSK--GBK1-0"/>
                <w:color w:val="000000" w:themeColor="text1"/>
                <w:sz w:val="21"/>
                <w:szCs w:val="21"/>
                <w:lang w:bidi="ar"/>
                <w14:textFill>
                  <w14:solidFill>
                    <w14:schemeClr w14:val="tx1"/>
                  </w14:solidFill>
                </w14:textFill>
              </w:rPr>
              <w:t>SVOC</w:t>
            </w:r>
            <w:r>
              <w:rPr>
                <w:color w:val="000000" w:themeColor="text1"/>
                <w:sz w:val="21"/>
                <w:szCs w:val="21"/>
                <w:lang w:bidi="ar"/>
                <w14:textFill>
                  <w14:solidFill>
                    <w14:schemeClr w14:val="tx1"/>
                  </w14:solidFill>
                </w14:textFill>
              </w:rPr>
              <w:t>）等石化特征污染物，排污口附近海域的海水水质、沉积物、海洋生物、渔业资源和鱼类“三场”等进行定期监测和评估，并根据监测评估结果适时优化调整《规划》及生态环境保护措施和运营管理；明确投资、实施时限、责任主体等。</w:t>
            </w:r>
          </w:p>
        </w:tc>
        <w:tc>
          <w:tcPr>
            <w:tcW w:w="2250" w:type="dxa"/>
            <w:tcMar>
              <w:left w:w="28" w:type="dxa"/>
              <w:right w:w="28" w:type="dxa"/>
            </w:tcMar>
            <w:vAlign w:val="center"/>
          </w:tcPr>
          <w:p w14:paraId="55C62E28">
            <w:pPr>
              <w:spacing w:line="240" w:lineRule="exact"/>
              <w:ind w:firstLine="0" w:firstLineChars="0"/>
              <w:rPr>
                <w:color w:val="000000" w:themeColor="text1"/>
                <w:sz w:val="21"/>
                <w:szCs w:val="21"/>
                <w14:textFill>
                  <w14:solidFill>
                    <w14:schemeClr w14:val="tx1"/>
                  </w14:solidFill>
                </w14:textFill>
              </w:rPr>
            </w:pPr>
            <w:r>
              <w:rPr>
                <w:color w:val="000000" w:themeColor="text1"/>
                <w:sz w:val="21"/>
                <w:szCs w:val="21"/>
                <w:lang w:bidi="ar"/>
                <w14:textFill>
                  <w14:solidFill>
                    <w14:schemeClr w14:val="tx1"/>
                  </w14:solidFill>
                </w14:textFill>
              </w:rPr>
              <w:t>园区集中考虑，本项目不涉及。</w:t>
            </w:r>
            <w:r>
              <w:rPr>
                <w:b/>
                <w:bCs/>
                <w:color w:val="000000" w:themeColor="text1"/>
                <w:sz w:val="21"/>
                <w:szCs w:val="21"/>
                <w:lang w:bidi="ar"/>
                <w14:textFill>
                  <w14:solidFill>
                    <w14:schemeClr w14:val="tx1"/>
                  </w14:solidFill>
                </w14:textFill>
              </w:rPr>
              <w:t>符合。</w:t>
            </w:r>
          </w:p>
        </w:tc>
      </w:tr>
      <w:tr w14:paraId="360C19B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6026" w:type="dxa"/>
            <w:tcMar>
              <w:left w:w="28" w:type="dxa"/>
              <w:right w:w="28" w:type="dxa"/>
            </w:tcMar>
            <w:vAlign w:val="center"/>
          </w:tcPr>
          <w:p w14:paraId="5D8BC817">
            <w:pPr>
              <w:widowControl/>
              <w:spacing w:line="240" w:lineRule="exact"/>
              <w:ind w:firstLine="420"/>
              <w:rPr>
                <w:color w:val="000000" w:themeColor="text1"/>
                <w:sz w:val="21"/>
                <w:szCs w:val="21"/>
                <w14:textFill>
                  <w14:solidFill>
                    <w14:schemeClr w14:val="tx1"/>
                  </w14:solidFill>
                </w14:textFill>
              </w:rPr>
            </w:pPr>
            <w:r>
              <w:rPr>
                <w:color w:val="000000" w:themeColor="text1"/>
                <w:sz w:val="21"/>
                <w:szCs w:val="21"/>
                <w:lang w:bidi="ar"/>
                <w14:textFill>
                  <w14:solidFill>
                    <w14:schemeClr w14:val="tx1"/>
                  </w14:solidFill>
                </w14:textFill>
              </w:rPr>
              <w:t>8. 应进一步延伸园区下游产业链，积极引入补链产业和静脉产业，拓展和优化石化园区行业内部以及行业间的产品代谢链和废物代谢链，严格控制不属于产业链项目（公用服务项目除外）的引入：应积极引进和扩大区内危险废物处理处置项目，优先引入单位产品能耗低、附加值较高的精细化工项目。建设钦州石化产业园区产品、副产品、固体废物等信息交流平台，整合钦州石化产业园区产业链上、中、下游资源需求，鼓励企业间加强各种代谢废物（如废气中二氧化硫、二氧化碳、污泥等）、蒸汽、中水、产品、副产品等的回收利用和梯级利用，</w:t>
            </w:r>
            <w:r>
              <w:rPr>
                <w:rFonts w:eastAsia="FZFSK--GBK1-0"/>
                <w:color w:val="000000" w:themeColor="text1"/>
                <w:sz w:val="21"/>
                <w:szCs w:val="21"/>
                <w:lang w:bidi="ar"/>
                <w14:textFill>
                  <w14:solidFill>
                    <w14:schemeClr w14:val="tx1"/>
                  </w14:solidFill>
                </w14:textFill>
              </w:rPr>
              <w:t xml:space="preserve"> </w:t>
            </w:r>
            <w:r>
              <w:rPr>
                <w:color w:val="000000" w:themeColor="text1"/>
                <w:sz w:val="21"/>
                <w:szCs w:val="21"/>
                <w:lang w:bidi="ar"/>
                <w14:textFill>
                  <w14:solidFill>
                    <w14:schemeClr w14:val="tx1"/>
                  </w14:solidFill>
                </w14:textFill>
              </w:rPr>
              <w:t>充分发挥石化园区一体化优势，实现园区上游物料与园区下游需求充分对接，构建石化园区绿色循环经济产业链。优化园区</w:t>
            </w:r>
            <w:r>
              <w:rPr>
                <w:rFonts w:hint="eastAsia"/>
                <w:color w:val="000000" w:themeColor="text1"/>
                <w:sz w:val="21"/>
                <w:szCs w:val="21"/>
                <w:lang w:eastAsia="zh-CN" w:bidi="ar"/>
                <w14:textFill>
                  <w14:solidFill>
                    <w14:schemeClr w14:val="tx1"/>
                  </w14:solidFill>
                </w14:textFill>
              </w:rPr>
              <w:t>环境基础设施建设</w:t>
            </w:r>
            <w:r>
              <w:rPr>
                <w:color w:val="000000" w:themeColor="text1"/>
                <w:sz w:val="21"/>
                <w:szCs w:val="21"/>
                <w:lang w:bidi="ar"/>
                <w14:textFill>
                  <w14:solidFill>
                    <w14:schemeClr w14:val="tx1"/>
                  </w14:solidFill>
                </w14:textFill>
              </w:rPr>
              <w:t>。</w:t>
            </w:r>
          </w:p>
        </w:tc>
        <w:tc>
          <w:tcPr>
            <w:tcW w:w="2250" w:type="dxa"/>
            <w:tcMar>
              <w:left w:w="28" w:type="dxa"/>
              <w:right w:w="28" w:type="dxa"/>
            </w:tcMar>
            <w:vAlign w:val="center"/>
          </w:tcPr>
          <w:p w14:paraId="02C7EE32">
            <w:pPr>
              <w:spacing w:line="240" w:lineRule="exact"/>
              <w:ind w:firstLine="0" w:firstLineChars="0"/>
              <w:rPr>
                <w:color w:val="000000" w:themeColor="text1"/>
                <w:sz w:val="21"/>
                <w:szCs w:val="21"/>
                <w14:textFill>
                  <w14:solidFill>
                    <w14:schemeClr w14:val="tx1"/>
                  </w14:solidFill>
                </w14:textFill>
              </w:rPr>
            </w:pPr>
            <w:r>
              <w:rPr>
                <w:color w:val="000000" w:themeColor="text1"/>
                <w:sz w:val="21"/>
                <w:szCs w:val="21"/>
                <w:lang w:bidi="ar"/>
                <w14:textFill>
                  <w14:solidFill>
                    <w14:schemeClr w14:val="tx1"/>
                  </w14:solidFill>
                </w14:textFill>
              </w:rPr>
              <w:t>项目为园区配套服务项目。</w:t>
            </w:r>
            <w:r>
              <w:rPr>
                <w:b/>
                <w:bCs/>
                <w:color w:val="000000" w:themeColor="text1"/>
                <w:sz w:val="21"/>
                <w:szCs w:val="21"/>
                <w:lang w:bidi="ar"/>
                <w14:textFill>
                  <w14:solidFill>
                    <w14:schemeClr w14:val="tx1"/>
                  </w14:solidFill>
                </w14:textFill>
              </w:rPr>
              <w:t>符合。</w:t>
            </w:r>
          </w:p>
        </w:tc>
      </w:tr>
      <w:tr w14:paraId="701AE54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026" w:type="dxa"/>
            <w:tcMar>
              <w:left w:w="28" w:type="dxa"/>
              <w:right w:w="28" w:type="dxa"/>
            </w:tcMar>
            <w:vAlign w:val="center"/>
          </w:tcPr>
          <w:p w14:paraId="00494408">
            <w:pPr>
              <w:widowControl/>
              <w:spacing w:line="240" w:lineRule="exact"/>
              <w:ind w:firstLine="420"/>
              <w:rPr>
                <w:color w:val="000000" w:themeColor="text1"/>
                <w:sz w:val="21"/>
                <w:szCs w:val="21"/>
                <w14:textFill>
                  <w14:solidFill>
                    <w14:schemeClr w14:val="tx1"/>
                  </w14:solidFill>
                </w14:textFill>
              </w:rPr>
            </w:pPr>
            <w:r>
              <w:rPr>
                <w:color w:val="000000" w:themeColor="text1"/>
                <w:sz w:val="21"/>
                <w:szCs w:val="21"/>
                <w:lang w:bidi="ar"/>
                <w14:textFill>
                  <w14:solidFill>
                    <w14:schemeClr w14:val="tx1"/>
                  </w14:solidFill>
                </w14:textFill>
              </w:rPr>
              <w:t>9. 按照“以人为本”的原则，合理布局项目，对于防护带应做到用地性质不调整、不开发占用、不蚕食用地。建议钦州市及自贸区钦州港片区层面，进一步优化自贸区钦州港片区中心区、居住文教区的范围和规模，合理调整中心区的布局及未来人口居住区发展方向，限制常住人口规模。进一步优化园区产业布局和开发规模，规划新增的鹿耳片区与中港区居住生活区相连，应尽量避免鹿耳片区大气污染物高排放企业的进驻，并预留环境防护距离。</w:t>
            </w:r>
          </w:p>
        </w:tc>
        <w:tc>
          <w:tcPr>
            <w:tcW w:w="2250" w:type="dxa"/>
            <w:tcMar>
              <w:left w:w="28" w:type="dxa"/>
              <w:right w:w="28" w:type="dxa"/>
            </w:tcMar>
            <w:vAlign w:val="center"/>
          </w:tcPr>
          <w:p w14:paraId="40E71ED1">
            <w:pPr>
              <w:spacing w:line="240" w:lineRule="exact"/>
              <w:ind w:firstLine="0" w:firstLineChars="0"/>
              <w:rPr>
                <w:color w:val="000000" w:themeColor="text1"/>
                <w:sz w:val="21"/>
                <w:szCs w:val="21"/>
                <w14:textFill>
                  <w14:solidFill>
                    <w14:schemeClr w14:val="tx1"/>
                  </w14:solidFill>
                </w14:textFill>
              </w:rPr>
            </w:pPr>
            <w:r>
              <w:rPr>
                <w:color w:val="000000" w:themeColor="text1"/>
                <w:sz w:val="21"/>
                <w:szCs w:val="21"/>
                <w:lang w:bidi="ar"/>
                <w14:textFill>
                  <w14:solidFill>
                    <w14:schemeClr w14:val="tx1"/>
                  </w14:solidFill>
                </w14:textFill>
              </w:rPr>
              <w:t>园区集中考虑，本项目周边规划为石化产业园用地，园区搬迁计划落实实施后，周边无居民区分布。</w:t>
            </w:r>
            <w:r>
              <w:rPr>
                <w:b/>
                <w:bCs/>
                <w:color w:val="000000" w:themeColor="text1"/>
                <w:sz w:val="21"/>
                <w:szCs w:val="21"/>
                <w:lang w:bidi="ar"/>
                <w14:textFill>
                  <w14:solidFill>
                    <w14:schemeClr w14:val="tx1"/>
                  </w14:solidFill>
                </w14:textFill>
              </w:rPr>
              <w:t>符合。</w:t>
            </w:r>
          </w:p>
        </w:tc>
      </w:tr>
      <w:tr w14:paraId="05340CA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026" w:type="dxa"/>
            <w:tcMar>
              <w:left w:w="28" w:type="dxa"/>
              <w:right w:w="28" w:type="dxa"/>
            </w:tcMar>
            <w:vAlign w:val="center"/>
          </w:tcPr>
          <w:p w14:paraId="7B84300B">
            <w:pPr>
              <w:widowControl/>
              <w:spacing w:line="240" w:lineRule="exact"/>
              <w:ind w:firstLine="420"/>
              <w:rPr>
                <w:color w:val="000000" w:themeColor="text1"/>
                <w:sz w:val="21"/>
                <w:szCs w:val="21"/>
                <w14:textFill>
                  <w14:solidFill>
                    <w14:schemeClr w14:val="tx1"/>
                  </w14:solidFill>
                </w14:textFill>
              </w:rPr>
            </w:pPr>
            <w:r>
              <w:rPr>
                <w:color w:val="000000" w:themeColor="text1"/>
                <w:sz w:val="21"/>
                <w:szCs w:val="21"/>
                <w:lang w:bidi="ar"/>
                <w14:textFill>
                  <w14:solidFill>
                    <w14:schemeClr w14:val="tx1"/>
                  </w14:solidFill>
                </w14:textFill>
              </w:rPr>
              <w:t>10. 三墩片区规划填海范围较大，并拟布置大型炼化项目，其周边存在三娘湾旅游区、北部湾二长棘鯛长毛对虾国家级种质资源保护区、中华白海豚核心活动区等生态敏感目标。建议规划实施过程中，应按生态优先、集约用地的原则，着力于进行功能布局优化，在已完成围填海的基础上进行集约利用现有陆域和岸线。未来中、远期规模经跟踪评价进一步论证后实施，深挖现有可利用土地资源的潜力，落实《国务院关于加强滨海湿地保护严格管控围填海的通知》精神，严格控制填海造地规模，并在围填海工作开展之前需对围填海的必要性、围填海生态环境影响以及对中华白海豚生态影响等进行充分论证评估，围填海手续完备的前提下，方可开展填海建设。</w:t>
            </w:r>
          </w:p>
        </w:tc>
        <w:tc>
          <w:tcPr>
            <w:tcW w:w="2250" w:type="dxa"/>
            <w:tcMar>
              <w:left w:w="28" w:type="dxa"/>
              <w:right w:w="28" w:type="dxa"/>
            </w:tcMar>
            <w:vAlign w:val="center"/>
          </w:tcPr>
          <w:p w14:paraId="595A4180">
            <w:pPr>
              <w:spacing w:line="240" w:lineRule="exact"/>
              <w:ind w:firstLine="0" w:firstLineChars="0"/>
              <w:rPr>
                <w:color w:val="000000" w:themeColor="text1"/>
                <w:sz w:val="21"/>
                <w:szCs w:val="21"/>
                <w14:textFill>
                  <w14:solidFill>
                    <w14:schemeClr w14:val="tx1"/>
                  </w14:solidFill>
                </w14:textFill>
              </w:rPr>
            </w:pPr>
            <w:r>
              <w:rPr>
                <w:color w:val="000000" w:themeColor="text1"/>
                <w:sz w:val="21"/>
                <w:szCs w:val="21"/>
                <w:lang w:bidi="ar"/>
                <w14:textFill>
                  <w14:solidFill>
                    <w14:schemeClr w14:val="tx1"/>
                  </w14:solidFill>
                </w14:textFill>
              </w:rPr>
              <w:t>本项目不涉及。</w:t>
            </w:r>
            <w:r>
              <w:rPr>
                <w:b/>
                <w:bCs/>
                <w:color w:val="000000" w:themeColor="text1"/>
                <w:sz w:val="21"/>
                <w:szCs w:val="21"/>
                <w:lang w:bidi="ar"/>
                <w14:textFill>
                  <w14:solidFill>
                    <w14:schemeClr w14:val="tx1"/>
                  </w14:solidFill>
                </w14:textFill>
              </w:rPr>
              <w:t>符合。</w:t>
            </w:r>
          </w:p>
        </w:tc>
      </w:tr>
      <w:tr w14:paraId="2F3A9F0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026" w:type="dxa"/>
            <w:tcMar>
              <w:left w:w="28" w:type="dxa"/>
              <w:right w:w="28" w:type="dxa"/>
            </w:tcMar>
            <w:vAlign w:val="center"/>
          </w:tcPr>
          <w:p w14:paraId="36BD7EF3">
            <w:pPr>
              <w:widowControl/>
              <w:spacing w:line="240" w:lineRule="exact"/>
              <w:ind w:firstLine="420"/>
              <w:rPr>
                <w:color w:val="000000" w:themeColor="text1"/>
                <w:sz w:val="21"/>
                <w:szCs w:val="21"/>
                <w14:textFill>
                  <w14:solidFill>
                    <w14:schemeClr w14:val="tx1"/>
                  </w14:solidFill>
                </w14:textFill>
              </w:rPr>
            </w:pPr>
            <w:r>
              <w:rPr>
                <w:color w:val="000000" w:themeColor="text1"/>
                <w:sz w:val="21"/>
                <w:szCs w:val="21"/>
                <w:lang w:bidi="ar"/>
                <w14:textFill>
                  <w14:solidFill>
                    <w14:schemeClr w14:val="tx1"/>
                  </w14:solidFill>
                </w14:textFill>
              </w:rPr>
              <w:t>11. 应进一步加强环境监管能力建设，根据功能分区、产业布局、重点项目和装置分布、特征污染物排放情况、环境敏感目标分布等，建立和完善大气、海洋、土壤、地下水等环境要素的监控体系，进行定期监测和评估，根据监测和评估结果适时优化《规划》。在生产、运输、储存各个环节，加强污染物排放控制和管理，全面提升环境保护管理水平，加强 NOx 和 VOCs 等臭氧前体物协同监控，采用国际先进的 VOCs 排放控制体系，加强重点污染物 VOCs 监测监控，加强环境信息共享，不断提升管理和控制水平。</w:t>
            </w:r>
          </w:p>
        </w:tc>
        <w:tc>
          <w:tcPr>
            <w:tcW w:w="2250" w:type="dxa"/>
            <w:tcMar>
              <w:left w:w="28" w:type="dxa"/>
              <w:right w:w="28" w:type="dxa"/>
            </w:tcMar>
            <w:vAlign w:val="center"/>
          </w:tcPr>
          <w:p w14:paraId="57959B23">
            <w:pPr>
              <w:spacing w:line="240" w:lineRule="exact"/>
              <w:ind w:firstLine="0" w:firstLineChars="0"/>
              <w:rPr>
                <w:color w:val="000000" w:themeColor="text1"/>
                <w:sz w:val="21"/>
                <w:szCs w:val="21"/>
                <w14:textFill>
                  <w14:solidFill>
                    <w14:schemeClr w14:val="tx1"/>
                  </w14:solidFill>
                </w14:textFill>
              </w:rPr>
            </w:pPr>
            <w:r>
              <w:rPr>
                <w:color w:val="000000" w:themeColor="text1"/>
                <w:sz w:val="21"/>
                <w:szCs w:val="21"/>
                <w:lang w:bidi="ar"/>
                <w14:textFill>
                  <w14:solidFill>
                    <w14:schemeClr w14:val="tx1"/>
                  </w14:solidFill>
                </w14:textFill>
              </w:rPr>
              <w:t>园区统一考虑区域环境质量监测，本项目针对主要污染源，制定了环境监测计划。</w:t>
            </w:r>
            <w:r>
              <w:rPr>
                <w:b/>
                <w:bCs/>
                <w:color w:val="000000" w:themeColor="text1"/>
                <w:sz w:val="21"/>
                <w:szCs w:val="21"/>
                <w:lang w:bidi="ar"/>
                <w14:textFill>
                  <w14:solidFill>
                    <w14:schemeClr w14:val="tx1"/>
                  </w14:solidFill>
                </w14:textFill>
              </w:rPr>
              <w:t>符合。</w:t>
            </w:r>
          </w:p>
        </w:tc>
      </w:tr>
      <w:tr w14:paraId="4BA4AB3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026" w:type="dxa"/>
            <w:tcMar>
              <w:left w:w="28" w:type="dxa"/>
              <w:right w:w="28" w:type="dxa"/>
            </w:tcMar>
            <w:vAlign w:val="center"/>
          </w:tcPr>
          <w:p w14:paraId="174A8A94">
            <w:pPr>
              <w:widowControl/>
              <w:spacing w:line="240" w:lineRule="exact"/>
              <w:ind w:firstLine="420"/>
              <w:rPr>
                <w:color w:val="000000" w:themeColor="text1"/>
                <w:sz w:val="21"/>
                <w:szCs w:val="21"/>
                <w14:textFill>
                  <w14:solidFill>
                    <w14:schemeClr w14:val="tx1"/>
                  </w14:solidFill>
                </w14:textFill>
              </w:rPr>
            </w:pPr>
            <w:r>
              <w:rPr>
                <w:color w:val="000000" w:themeColor="text1"/>
                <w:sz w:val="21"/>
                <w:szCs w:val="21"/>
                <w:lang w:bidi="ar"/>
                <w14:textFill>
                  <w14:solidFill>
                    <w14:schemeClr w14:val="tx1"/>
                  </w14:solidFill>
                </w14:textFill>
              </w:rPr>
              <w:t>12. 在《规划》实施过程中产生重大不良环境影响的，规划编制机关应当及时提出改进措施，向规划审批机关报告，并通报环境保护等有关部门；规划正式实施每五年应依法开展环境影响跟踪评价，将评价结果报告规划审批机关，并通报环境保护等有关部门；在《规划》修编时应重新编制环境影响报告书。</w:t>
            </w:r>
          </w:p>
        </w:tc>
        <w:tc>
          <w:tcPr>
            <w:tcW w:w="2250" w:type="dxa"/>
            <w:tcMar>
              <w:left w:w="28" w:type="dxa"/>
              <w:right w:w="28" w:type="dxa"/>
            </w:tcMar>
            <w:vAlign w:val="center"/>
          </w:tcPr>
          <w:p w14:paraId="2F8940B1">
            <w:pPr>
              <w:spacing w:line="240" w:lineRule="exact"/>
              <w:ind w:firstLine="0" w:firstLineChars="0"/>
              <w:rPr>
                <w:color w:val="000000" w:themeColor="text1"/>
                <w:sz w:val="21"/>
                <w:szCs w:val="21"/>
                <w14:textFill>
                  <w14:solidFill>
                    <w14:schemeClr w14:val="tx1"/>
                  </w14:solidFill>
                </w14:textFill>
              </w:rPr>
            </w:pPr>
            <w:r>
              <w:rPr>
                <w:color w:val="000000" w:themeColor="text1"/>
                <w:sz w:val="21"/>
                <w:szCs w:val="21"/>
                <w:lang w:bidi="ar"/>
                <w14:textFill>
                  <w14:solidFill>
                    <w14:schemeClr w14:val="tx1"/>
                  </w14:solidFill>
                </w14:textFill>
              </w:rPr>
              <w:t>项目不涉及。</w:t>
            </w:r>
            <w:r>
              <w:rPr>
                <w:b/>
                <w:bCs/>
                <w:color w:val="000000" w:themeColor="text1"/>
                <w:sz w:val="21"/>
                <w:szCs w:val="21"/>
                <w:lang w:bidi="ar"/>
                <w14:textFill>
                  <w14:solidFill>
                    <w14:schemeClr w14:val="tx1"/>
                  </w14:solidFill>
                </w14:textFill>
              </w:rPr>
              <w:t>符合。</w:t>
            </w:r>
          </w:p>
        </w:tc>
      </w:tr>
    </w:tbl>
    <w:p w14:paraId="3917FE92">
      <w:pPr>
        <w:ind w:firstLine="480"/>
        <w:rPr>
          <w:color w:val="000000" w:themeColor="text1"/>
          <w14:textFill>
            <w14:solidFill>
              <w14:schemeClr w14:val="tx1"/>
            </w14:solidFill>
          </w14:textFill>
        </w:rPr>
      </w:pPr>
      <w:r>
        <w:rPr>
          <w:color w:val="000000" w:themeColor="text1"/>
          <w:lang w:bidi="ar"/>
          <w14:textFill>
            <w14:solidFill>
              <w14:schemeClr w14:val="tx1"/>
            </w14:solidFill>
          </w14:textFill>
        </w:rPr>
        <w:t>综上所述，本项目与</w:t>
      </w:r>
      <w:r>
        <w:rPr>
          <w:color w:val="000000" w:themeColor="text1"/>
          <w14:textFill>
            <w14:solidFill>
              <w14:schemeClr w14:val="tx1"/>
            </w14:solidFill>
          </w14:textFill>
        </w:rPr>
        <w:t>《广西钦州石化产业园总体发展规划》（2020-2035）是相符的。</w:t>
      </w:r>
    </w:p>
    <w:p w14:paraId="623EA004">
      <w:pPr>
        <w:pStyle w:val="6"/>
        <w:rPr>
          <w:color w:val="000000" w:themeColor="text1"/>
          <w14:textFill>
            <w14:solidFill>
              <w14:schemeClr w14:val="tx1"/>
            </w14:solidFill>
          </w14:textFill>
        </w:rPr>
      </w:pPr>
      <w:r>
        <w:rPr>
          <w:color w:val="000000" w:themeColor="text1"/>
          <w14:textFill>
            <w14:solidFill>
              <w14:schemeClr w14:val="tx1"/>
            </w14:solidFill>
          </w14:textFill>
        </w:rPr>
        <w:t>项目建设与相关环境功能区划的相符性</w:t>
      </w:r>
    </w:p>
    <w:p w14:paraId="548613D2">
      <w:pPr>
        <w:ind w:firstLine="480"/>
        <w:rPr>
          <w:color w:val="000000" w:themeColor="text1"/>
          <w14:textFill>
            <w14:solidFill>
              <w14:schemeClr w14:val="tx1"/>
            </w14:solidFill>
          </w14:textFill>
        </w:rPr>
      </w:pPr>
      <w:r>
        <w:rPr>
          <w:color w:val="000000" w:themeColor="text1"/>
          <w14:textFill>
            <w14:solidFill>
              <w14:schemeClr w14:val="tx1"/>
            </w14:solidFill>
          </w14:textFill>
        </w:rPr>
        <w:t>（1）2012年10月10日，国务院以国函〔2012〕166号批复了《广西壮族自治区海洋功能区划（2011-2020年）》。根据《广西壮族自治区海洋功能区划（2011-2020年）》，广西海域共划分了农渔业区、港口航运区、工业与城镇建设区、矿产与能源区、旅游娱乐区、海洋保护区、特殊利用区和保留区共8个类别67个海岸基本功能区和6个类别21个近海基本功能区，</w:t>
      </w:r>
      <w:r>
        <w:rPr>
          <w:bCs/>
          <w:color w:val="000000" w:themeColor="text1"/>
          <w14:textFill>
            <w14:solidFill>
              <w14:schemeClr w14:val="tx1"/>
            </w14:solidFill>
          </w14:textFill>
        </w:rPr>
        <w:t>项目与广西海洋功能区划</w:t>
      </w:r>
      <w:r>
        <w:rPr>
          <w:color w:val="000000" w:themeColor="text1"/>
          <w14:textFill>
            <w14:solidFill>
              <w14:schemeClr w14:val="tx1"/>
            </w14:solidFill>
          </w14:textFill>
        </w:rPr>
        <w:t>（2011-2020年）</w:t>
      </w:r>
      <w:r>
        <w:rPr>
          <w:bCs/>
          <w:color w:val="000000" w:themeColor="text1"/>
          <w14:textFill>
            <w14:solidFill>
              <w14:schemeClr w14:val="tx1"/>
            </w14:solidFill>
          </w14:textFill>
        </w:rPr>
        <w:t>关系示意</w:t>
      </w:r>
      <w:r>
        <w:rPr>
          <w:color w:val="000000" w:themeColor="text1"/>
          <w14:textFill>
            <w14:solidFill>
              <w14:schemeClr w14:val="tx1"/>
            </w14:solidFill>
          </w14:textFill>
        </w:rPr>
        <w:t>见</w:t>
      </w:r>
      <w:r>
        <w:rPr>
          <w:b/>
          <w:color w:val="000000" w:themeColor="text1"/>
          <w14:textFill>
            <w14:solidFill>
              <w14:schemeClr w14:val="tx1"/>
            </w14:solidFill>
          </w14:textFill>
        </w:rPr>
        <w:t>附图7</w:t>
      </w:r>
      <w:r>
        <w:rPr>
          <w:color w:val="000000" w:themeColor="text1"/>
          <w14:textFill>
            <w14:solidFill>
              <w14:schemeClr w14:val="tx1"/>
            </w14:solidFill>
          </w14:textFill>
        </w:rPr>
        <w:t>。</w:t>
      </w:r>
    </w:p>
    <w:p w14:paraId="4A0EEEBC">
      <w:pPr>
        <w:ind w:firstLine="480"/>
        <w:rPr>
          <w:color w:val="000000" w:themeColor="text1"/>
          <w14:textFill>
            <w14:solidFill>
              <w14:schemeClr w14:val="tx1"/>
            </w14:solidFill>
          </w14:textFill>
        </w:rPr>
      </w:pPr>
      <w:r>
        <w:rPr>
          <w:color w:val="000000" w:themeColor="text1"/>
          <w14:textFill>
            <w14:solidFill>
              <w14:schemeClr w14:val="tx1"/>
            </w14:solidFill>
          </w14:textFill>
        </w:rPr>
        <w:t>根据《广西壮族自治区海洋功能区划（2011-2020年）》，本工程所在海域海洋功能为鹰岭-果子山-金鼓江港口航运区（代码A2-10），规划面积为2211m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，用海方式是允许适度改变海域自然属性，坚持集约、节约用海。</w:t>
      </w:r>
    </w:p>
    <w:p w14:paraId="5CA047A5">
      <w:pPr>
        <w:ind w:firstLine="480"/>
        <w:rPr>
          <w:color w:val="000000" w:themeColor="text1"/>
          <w14:textFill>
            <w14:solidFill>
              <w14:schemeClr w14:val="tx1"/>
            </w14:solidFill>
          </w14:textFill>
        </w:rPr>
      </w:pPr>
      <w:r>
        <w:rPr>
          <w:color w:val="000000" w:themeColor="text1"/>
          <w14:textFill>
            <w14:solidFill>
              <w14:schemeClr w14:val="tx1"/>
            </w14:solidFill>
          </w14:textFill>
        </w:rPr>
        <w:t>因此，本工程建设占用海域海洋功能符合《广西壮族自治区海洋功能区划（2011-2020年）》。</w:t>
      </w:r>
    </w:p>
    <w:p w14:paraId="5C1E4A17">
      <w:pPr>
        <w:ind w:firstLine="480"/>
        <w:rPr>
          <w:color w:val="000000" w:themeColor="text1"/>
          <w:kern w:val="0"/>
          <w:szCs w:val="23"/>
          <w14:textFill>
            <w14:solidFill>
              <w14:schemeClr w14:val="tx1"/>
            </w14:solidFill>
          </w14:textFill>
        </w:rPr>
      </w:pPr>
      <w:r>
        <w:rPr>
          <w:color w:val="000000" w:themeColor="text1"/>
          <w14:textFill>
            <w14:solidFill>
              <w14:schemeClr w14:val="tx1"/>
            </w14:solidFill>
          </w14:textFill>
        </w:rPr>
        <w:t>（2）根据《广西壮族自治区近岸海域环境功能区划调整方案》（桂环发〔2023〕9号），本工程位于钦州港大榄坪港口、工业区，编号GX055DIV。主导功能为港口、工业用海，水质保护目标为四类海水水质标准。因而，本项目用海符合该海区的海洋主导功能。</w:t>
      </w:r>
      <w:r>
        <w:rPr>
          <w:color w:val="000000" w:themeColor="text1"/>
          <w:kern w:val="0"/>
          <w:szCs w:val="23"/>
          <w14:textFill>
            <w14:solidFill>
              <w14:schemeClr w14:val="tx1"/>
            </w14:solidFill>
          </w14:textFill>
        </w:rPr>
        <w:t>项目与广西近岸海域环境功能区划调整方案关系见</w:t>
      </w:r>
      <w:r>
        <w:rPr>
          <w:b/>
          <w:color w:val="000000" w:themeColor="text1"/>
          <w:kern w:val="0"/>
          <w:szCs w:val="23"/>
          <w14:textFill>
            <w14:solidFill>
              <w14:schemeClr w14:val="tx1"/>
            </w14:solidFill>
          </w14:textFill>
        </w:rPr>
        <w:t>附图6</w:t>
      </w:r>
      <w:r>
        <w:rPr>
          <w:color w:val="000000" w:themeColor="text1"/>
          <w:kern w:val="0"/>
          <w:szCs w:val="23"/>
          <w14:textFill>
            <w14:solidFill>
              <w14:schemeClr w14:val="tx1"/>
            </w14:solidFill>
          </w14:textFill>
        </w:rPr>
        <w:t>。</w:t>
      </w:r>
    </w:p>
    <w:p w14:paraId="5A8BA362">
      <w:pPr>
        <w:pStyle w:val="6"/>
        <w:rPr>
          <w:color w:val="000000" w:themeColor="text1"/>
          <w14:textFill>
            <w14:solidFill>
              <w14:schemeClr w14:val="tx1"/>
            </w14:solidFill>
          </w14:textFill>
        </w:rPr>
      </w:pPr>
      <w:bookmarkStart w:id="476" w:name="_Toc66194169"/>
      <w:bookmarkStart w:id="477" w:name="_Toc66193970"/>
      <w:r>
        <w:rPr>
          <w:rFonts w:hint="eastAsia"/>
          <w:color w:val="000000" w:themeColor="text1"/>
          <w14:textFill>
            <w14:solidFill>
              <w14:schemeClr w14:val="tx1"/>
            </w14:solidFill>
          </w14:textFill>
        </w:rPr>
        <w:t>《钦州市生态环境分区管控动态更新成果（2023年）》</w:t>
      </w:r>
      <w:r>
        <w:rPr>
          <w:color w:val="000000" w:themeColor="text1"/>
          <w14:textFill>
            <w14:solidFill>
              <w14:schemeClr w14:val="tx1"/>
            </w14:solidFill>
          </w14:textFill>
        </w:rPr>
        <w:t>符合性分析</w:t>
      </w:r>
      <w:bookmarkEnd w:id="476"/>
      <w:bookmarkEnd w:id="477"/>
    </w:p>
    <w:p w14:paraId="5D520C08">
      <w:pPr>
        <w:ind w:firstLine="480"/>
        <w:rPr>
          <w:color w:val="000000" w:themeColor="text1"/>
          <w14:textFill>
            <w14:solidFill>
              <w14:schemeClr w14:val="tx1"/>
            </w14:solidFill>
          </w14:textFill>
        </w:rPr>
      </w:pPr>
      <w:r>
        <w:rPr>
          <w:rFonts w:ascii="宋体" w:hAnsi="宋体" w:cs="宋体"/>
          <w:color w:val="000000" w:themeColor="text1"/>
          <w14:textFill>
            <w14:solidFill>
              <w14:schemeClr w14:val="tx1"/>
            </w14:solidFill>
          </w14:textFill>
        </w:rPr>
        <w:t>根据生态环境部办公厅关于印发《2023年生态环境分区管控成果动态更新工作方案》的通知（环办环评函〔2023〕81号） 以及自治区工作要求，重点围绕“三区三线”划定成果和国家、 自治区以及钦州市重大战略规划、“十四五”环境质量、能源 资源管理目标和要求等，对钦州市生态环境分区管控成果进行 更新调整</w:t>
      </w:r>
      <w:r>
        <w:rPr>
          <w:color w:val="000000" w:themeColor="text1"/>
          <w14:textFill>
            <w14:solidFill>
              <w14:schemeClr w14:val="tx1"/>
            </w14:solidFill>
          </w14:textFill>
        </w:rPr>
        <w:t>。</w:t>
      </w:r>
    </w:p>
    <w:p w14:paraId="78A8B45B">
      <w:pPr>
        <w:ind w:firstLine="480"/>
        <w:rPr>
          <w:color w:val="000000" w:themeColor="text1"/>
          <w14:textFill>
            <w14:solidFill>
              <w14:schemeClr w14:val="tx1"/>
            </w14:solidFill>
          </w14:textFill>
        </w:rPr>
      </w:pPr>
      <w:r>
        <w:rPr>
          <w:color w:val="000000" w:themeColor="text1"/>
          <w14:textFill>
            <w14:solidFill>
              <w14:schemeClr w14:val="tx1"/>
            </w14:solidFill>
          </w14:textFill>
        </w:rPr>
        <w:t>经对照生态准入及管控要求，本项目</w:t>
      </w:r>
      <w:r>
        <w:rPr>
          <w:rFonts w:hint="eastAsia"/>
          <w:color w:val="000000" w:themeColor="text1"/>
          <w14:textFill>
            <w14:solidFill>
              <w14:schemeClr w14:val="tx1"/>
            </w14:solidFill>
          </w14:textFill>
        </w:rPr>
        <w:t>涉及2个重点管控区域</w:t>
      </w:r>
      <w:r>
        <w:rPr>
          <w:color w:val="000000" w:themeColor="text1"/>
          <w14:textFill>
            <w14:solidFill>
              <w14:schemeClr w14:val="tx1"/>
            </w14:solidFill>
          </w14:textFill>
        </w:rPr>
        <w:t>。</w:t>
      </w:r>
    </w:p>
    <w:p w14:paraId="0705A855">
      <w:pPr>
        <w:pStyle w:val="7"/>
        <w:rPr>
          <w:color w:val="000000" w:themeColor="text1"/>
          <w14:textFill>
            <w14:solidFill>
              <w14:schemeClr w14:val="tx1"/>
            </w14:solidFill>
          </w14:textFill>
        </w:rPr>
      </w:pPr>
      <w:r>
        <w:rPr>
          <w:color w:val="000000" w:themeColor="text1"/>
          <w14:textFill>
            <w14:solidFill>
              <w14:schemeClr w14:val="tx1"/>
            </w14:solidFill>
          </w14:textFill>
        </w:rPr>
        <w:t>项目与钦州市生态环境准入及管控要求清单相符性分析</w:t>
      </w:r>
    </w:p>
    <w:tbl>
      <w:tblPr>
        <w:tblStyle w:val="43"/>
        <w:tblW w:w="8810"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534"/>
        <w:gridCol w:w="534"/>
        <w:gridCol w:w="5400"/>
        <w:gridCol w:w="2342"/>
      </w:tblGrid>
      <w:tr w14:paraId="48DDD23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jc w:val="center"/>
        </w:trPr>
        <w:tc>
          <w:tcPr>
            <w:tcW w:w="534" w:type="dxa"/>
            <w:tcMar>
              <w:left w:w="28" w:type="dxa"/>
              <w:right w:w="28" w:type="dxa"/>
            </w:tcMar>
            <w:vAlign w:val="center"/>
          </w:tcPr>
          <w:p w14:paraId="0D54E49C">
            <w:pPr>
              <w:spacing w:line="240" w:lineRule="exact"/>
              <w:ind w:firstLine="0" w:firstLineChars="0"/>
              <w:jc w:val="center"/>
              <w:rPr>
                <w:b/>
                <w:bCs/>
                <w:color w:val="000000" w:themeColor="text1"/>
                <w:sz w:val="18"/>
                <w:szCs w:val="18"/>
                <w14:textFill>
                  <w14:solidFill>
                    <w14:schemeClr w14:val="tx1"/>
                  </w14:solidFill>
                </w14:textFill>
              </w:rPr>
            </w:pPr>
          </w:p>
        </w:tc>
        <w:tc>
          <w:tcPr>
            <w:tcW w:w="534" w:type="dxa"/>
            <w:tcMar>
              <w:left w:w="28" w:type="dxa"/>
              <w:right w:w="28" w:type="dxa"/>
            </w:tcMar>
            <w:vAlign w:val="center"/>
          </w:tcPr>
          <w:p w14:paraId="636DCAA5">
            <w:pPr>
              <w:spacing w:line="240" w:lineRule="exact"/>
              <w:ind w:firstLine="0" w:firstLineChars="0"/>
              <w:jc w:val="center"/>
              <w:rPr>
                <w:b/>
                <w:bCs/>
                <w:color w:val="000000" w:themeColor="text1"/>
                <w:sz w:val="18"/>
                <w:szCs w:val="18"/>
                <w14:textFill>
                  <w14:solidFill>
                    <w14:schemeClr w14:val="tx1"/>
                  </w14:solidFill>
                </w14:textFill>
              </w:rPr>
            </w:pPr>
            <w:r>
              <w:rPr>
                <w:b/>
                <w:bCs/>
                <w:color w:val="000000" w:themeColor="text1"/>
                <w:sz w:val="18"/>
                <w:szCs w:val="18"/>
                <w14:textFill>
                  <w14:solidFill>
                    <w14:schemeClr w14:val="tx1"/>
                  </w14:solidFill>
                </w14:textFill>
              </w:rPr>
              <w:t>管控类别</w:t>
            </w:r>
          </w:p>
        </w:tc>
        <w:tc>
          <w:tcPr>
            <w:tcW w:w="5400" w:type="dxa"/>
            <w:tcMar>
              <w:left w:w="28" w:type="dxa"/>
              <w:right w:w="28" w:type="dxa"/>
            </w:tcMar>
            <w:vAlign w:val="center"/>
          </w:tcPr>
          <w:p w14:paraId="4FEE7BFA">
            <w:pPr>
              <w:spacing w:line="240" w:lineRule="exact"/>
              <w:ind w:firstLine="0" w:firstLineChars="0"/>
              <w:jc w:val="center"/>
              <w:rPr>
                <w:b/>
                <w:bCs/>
                <w:color w:val="000000" w:themeColor="text1"/>
                <w:sz w:val="18"/>
                <w:szCs w:val="18"/>
                <w14:textFill>
                  <w14:solidFill>
                    <w14:schemeClr w14:val="tx1"/>
                  </w14:solidFill>
                </w14:textFill>
              </w:rPr>
            </w:pPr>
            <w:r>
              <w:rPr>
                <w:b/>
                <w:bCs/>
                <w:color w:val="000000" w:themeColor="text1"/>
                <w:sz w:val="18"/>
                <w:szCs w:val="18"/>
                <w14:textFill>
                  <w14:solidFill>
                    <w14:schemeClr w14:val="tx1"/>
                  </w14:solidFill>
                </w14:textFill>
              </w:rPr>
              <w:t>生态环境准入及管控要求</w:t>
            </w:r>
          </w:p>
        </w:tc>
        <w:tc>
          <w:tcPr>
            <w:tcW w:w="2342" w:type="dxa"/>
            <w:tcMar>
              <w:left w:w="28" w:type="dxa"/>
              <w:right w:w="28" w:type="dxa"/>
            </w:tcMar>
            <w:vAlign w:val="center"/>
          </w:tcPr>
          <w:p w14:paraId="5BAAB123">
            <w:pPr>
              <w:spacing w:line="240" w:lineRule="exact"/>
              <w:ind w:firstLine="0" w:firstLineChars="0"/>
              <w:jc w:val="center"/>
              <w:rPr>
                <w:b/>
                <w:bCs/>
                <w:color w:val="000000" w:themeColor="text1"/>
                <w:sz w:val="18"/>
                <w:szCs w:val="18"/>
                <w14:textFill>
                  <w14:solidFill>
                    <w14:schemeClr w14:val="tx1"/>
                  </w14:solidFill>
                </w14:textFill>
              </w:rPr>
            </w:pPr>
            <w:r>
              <w:rPr>
                <w:b/>
                <w:bCs/>
                <w:color w:val="000000" w:themeColor="text1"/>
                <w:sz w:val="18"/>
                <w:szCs w:val="18"/>
                <w14:textFill>
                  <w14:solidFill>
                    <w14:schemeClr w14:val="tx1"/>
                  </w14:solidFill>
                </w14:textFill>
              </w:rPr>
              <w:t>相符性分析</w:t>
            </w:r>
          </w:p>
        </w:tc>
      </w:tr>
      <w:tr w14:paraId="2A7C314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34" w:type="dxa"/>
            <w:vMerge w:val="restart"/>
            <w:tcMar>
              <w:left w:w="28" w:type="dxa"/>
              <w:right w:w="28" w:type="dxa"/>
            </w:tcMar>
            <w:vAlign w:val="center"/>
          </w:tcPr>
          <w:p w14:paraId="52B50C51">
            <w:pPr>
              <w:spacing w:line="240" w:lineRule="exact"/>
              <w:ind w:firstLine="0" w:firstLineChars="0"/>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广西钦州石化产业园重点管控单元</w:t>
            </w:r>
          </w:p>
        </w:tc>
        <w:tc>
          <w:tcPr>
            <w:tcW w:w="534" w:type="dxa"/>
            <w:vMerge w:val="restart"/>
            <w:tcMar>
              <w:left w:w="28" w:type="dxa"/>
              <w:right w:w="28" w:type="dxa"/>
            </w:tcMar>
            <w:vAlign w:val="center"/>
          </w:tcPr>
          <w:p w14:paraId="01EFA661">
            <w:pPr>
              <w:spacing w:line="240" w:lineRule="exact"/>
              <w:ind w:firstLine="0" w:firstLineChars="0"/>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空间布局约束</w:t>
            </w:r>
          </w:p>
        </w:tc>
        <w:tc>
          <w:tcPr>
            <w:tcW w:w="5400" w:type="dxa"/>
            <w:tcMar>
              <w:left w:w="28" w:type="dxa"/>
              <w:right w:w="28" w:type="dxa"/>
            </w:tcMar>
            <w:vAlign w:val="center"/>
          </w:tcPr>
          <w:p w14:paraId="0CBBF31A">
            <w:pPr>
              <w:spacing w:line="240" w:lineRule="exact"/>
              <w:ind w:firstLine="0" w:firstLineChars="0"/>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1依据《国务院关于加强滨海湿地保护严格管控围填海的通知》，除国家重大战略项目外， 原则上禁止新增围填海项目。三墩片区布局国家重大项目确需新增围填海的，须严格论证对中华白海豚等重点保护动物及其生境的影响，审慎决策，最大限度减轻不良环境影响。</w:t>
            </w:r>
          </w:p>
        </w:tc>
        <w:tc>
          <w:tcPr>
            <w:tcW w:w="2342" w:type="dxa"/>
            <w:tcMar>
              <w:left w:w="28" w:type="dxa"/>
              <w:right w:w="28" w:type="dxa"/>
            </w:tcMar>
            <w:vAlign w:val="center"/>
          </w:tcPr>
          <w:p w14:paraId="55208F29">
            <w:pPr>
              <w:spacing w:line="240" w:lineRule="exact"/>
              <w:ind w:firstLine="0" w:firstLineChars="0"/>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项目</w:t>
            </w:r>
            <w:r>
              <w:rPr>
                <w:rFonts w:hint="eastAsia"/>
                <w:color w:val="000000" w:themeColor="text1"/>
                <w:sz w:val="18"/>
                <w:szCs w:val="18"/>
                <w14:textFill>
                  <w14:solidFill>
                    <w14:schemeClr w14:val="tx1"/>
                  </w14:solidFill>
                </w14:textFill>
              </w:rPr>
              <w:t>依托现有码头</w:t>
            </w:r>
            <w:r>
              <w:rPr>
                <w:color w:val="000000" w:themeColor="text1"/>
                <w:sz w:val="18"/>
                <w:szCs w:val="18"/>
                <w14:textFill>
                  <w14:solidFill>
                    <w14:schemeClr w14:val="tx1"/>
                  </w14:solidFill>
                </w14:textFill>
              </w:rPr>
              <w:t>不涉及</w:t>
            </w:r>
            <w:r>
              <w:rPr>
                <w:rFonts w:hint="eastAsia"/>
                <w:color w:val="000000" w:themeColor="text1"/>
                <w:sz w:val="18"/>
                <w:szCs w:val="18"/>
                <w14:textFill>
                  <w14:solidFill>
                    <w14:schemeClr w14:val="tx1"/>
                  </w14:solidFill>
                </w14:textFill>
              </w:rPr>
              <w:t>围填海</w:t>
            </w:r>
            <w:r>
              <w:rPr>
                <w:color w:val="000000" w:themeColor="text1"/>
                <w:sz w:val="18"/>
                <w:szCs w:val="18"/>
                <w14:textFill>
                  <w14:solidFill>
                    <w14:schemeClr w14:val="tx1"/>
                  </w14:solidFill>
                </w14:textFill>
              </w:rPr>
              <w:t>。</w:t>
            </w:r>
            <w:r>
              <w:rPr>
                <w:b/>
                <w:bCs/>
                <w:color w:val="000000" w:themeColor="text1"/>
                <w:sz w:val="18"/>
                <w:szCs w:val="18"/>
                <w14:textFill>
                  <w14:solidFill>
                    <w14:schemeClr w14:val="tx1"/>
                  </w14:solidFill>
                </w14:textFill>
              </w:rPr>
              <w:t>符合。</w:t>
            </w:r>
          </w:p>
        </w:tc>
      </w:tr>
      <w:tr w14:paraId="25AA7CB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34" w:type="dxa"/>
            <w:vMerge w:val="continue"/>
            <w:tcMar>
              <w:left w:w="28" w:type="dxa"/>
              <w:right w:w="28" w:type="dxa"/>
            </w:tcMar>
            <w:vAlign w:val="center"/>
          </w:tcPr>
          <w:p w14:paraId="56CAE1B1">
            <w:pPr>
              <w:spacing w:line="240" w:lineRule="exact"/>
              <w:ind w:firstLine="0" w:firstLineChars="0"/>
              <w:rPr>
                <w:color w:val="000000" w:themeColor="text1"/>
                <w:sz w:val="18"/>
                <w:szCs w:val="18"/>
                <w14:textFill>
                  <w14:solidFill>
                    <w14:schemeClr w14:val="tx1"/>
                  </w14:solidFill>
                </w14:textFill>
              </w:rPr>
            </w:pPr>
          </w:p>
        </w:tc>
        <w:tc>
          <w:tcPr>
            <w:tcW w:w="534" w:type="dxa"/>
            <w:vMerge w:val="continue"/>
            <w:tcMar>
              <w:left w:w="28" w:type="dxa"/>
              <w:right w:w="28" w:type="dxa"/>
            </w:tcMar>
            <w:vAlign w:val="center"/>
          </w:tcPr>
          <w:p w14:paraId="0820DEDB">
            <w:pPr>
              <w:spacing w:line="240" w:lineRule="exact"/>
              <w:ind w:firstLine="0" w:firstLineChars="0"/>
              <w:rPr>
                <w:color w:val="000000" w:themeColor="text1"/>
                <w:sz w:val="18"/>
                <w:szCs w:val="18"/>
                <w14:textFill>
                  <w14:solidFill>
                    <w14:schemeClr w14:val="tx1"/>
                  </w14:solidFill>
                </w14:textFill>
              </w:rPr>
            </w:pPr>
          </w:p>
        </w:tc>
        <w:tc>
          <w:tcPr>
            <w:tcW w:w="5400" w:type="dxa"/>
            <w:tcMar>
              <w:left w:w="28" w:type="dxa"/>
              <w:right w:w="28" w:type="dxa"/>
            </w:tcMar>
            <w:vAlign w:val="center"/>
          </w:tcPr>
          <w:p w14:paraId="3CC94B3A">
            <w:pPr>
              <w:spacing w:line="240" w:lineRule="exact"/>
              <w:ind w:firstLine="0" w:firstLineChars="0"/>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2.加强行业源头管控，严格执行《广西工业产业结构调整指导目录（2021年本）》，入园项目需符合国家产业政策、行业规范、地方发展规划和绿色发展等要求；建设项目应为 石化产业园区产业链范围内的项目，选址应符合石化产业园区规划的功能分区。禁止引进不符合国家产业政策和相关行业准入条件，清洁生产水平不达标、装置单位产品能源消耗 限额不达标、污染物排放不达标的项目。</w:t>
            </w:r>
          </w:p>
        </w:tc>
        <w:tc>
          <w:tcPr>
            <w:tcW w:w="2342" w:type="dxa"/>
            <w:tcMar>
              <w:left w:w="28" w:type="dxa"/>
              <w:right w:w="28" w:type="dxa"/>
            </w:tcMar>
            <w:vAlign w:val="center"/>
          </w:tcPr>
          <w:p w14:paraId="271BC528">
            <w:pPr>
              <w:spacing w:line="240" w:lineRule="exact"/>
              <w:ind w:firstLine="0" w:firstLineChars="0"/>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项目</w:t>
            </w:r>
            <w:r>
              <w:rPr>
                <w:rFonts w:hint="eastAsia"/>
                <w:color w:val="000000" w:themeColor="text1"/>
                <w:sz w:val="18"/>
                <w:szCs w:val="18"/>
                <w14:textFill>
                  <w14:solidFill>
                    <w14:schemeClr w14:val="tx1"/>
                  </w14:solidFill>
                </w14:textFill>
              </w:rPr>
              <w:t>属于</w:t>
            </w:r>
            <w:r>
              <w:rPr>
                <w:color w:val="000000" w:themeColor="text1"/>
                <w:sz w:val="18"/>
                <w:szCs w:val="18"/>
                <w14:textFill>
                  <w14:solidFill>
                    <w14:schemeClr w14:val="tx1"/>
                  </w14:solidFill>
                </w14:textFill>
              </w:rPr>
              <w:t>《产业结构调整指导目录（20</w:t>
            </w:r>
            <w:r>
              <w:rPr>
                <w:rFonts w:hint="eastAsia"/>
                <w:color w:val="000000" w:themeColor="text1"/>
                <w:sz w:val="18"/>
                <w:szCs w:val="18"/>
                <w14:textFill>
                  <w14:solidFill>
                    <w14:schemeClr w14:val="tx1"/>
                  </w14:solidFill>
                </w14:textFill>
              </w:rPr>
              <w:t>24</w:t>
            </w:r>
            <w:r>
              <w:rPr>
                <w:color w:val="000000" w:themeColor="text1"/>
                <w:sz w:val="18"/>
                <w:szCs w:val="18"/>
                <w14:textFill>
                  <w14:solidFill>
                    <w14:schemeClr w14:val="tx1"/>
                  </w14:solidFill>
                </w14:textFill>
              </w:rPr>
              <w:t>年本）》</w:t>
            </w:r>
            <w:r>
              <w:rPr>
                <w:rFonts w:hint="eastAsia"/>
                <w:color w:val="000000" w:themeColor="text1"/>
                <w:sz w:val="18"/>
                <w:szCs w:val="18"/>
                <w14:textFill>
                  <w14:solidFill>
                    <w14:schemeClr w14:val="tx1"/>
                  </w14:solidFill>
                </w14:textFill>
              </w:rPr>
              <w:t>鼓励类项目</w:t>
            </w:r>
            <w:r>
              <w:rPr>
                <w:color w:val="000000" w:themeColor="text1"/>
                <w:sz w:val="18"/>
                <w:szCs w:val="18"/>
                <w14:textFill>
                  <w14:solidFill>
                    <w14:schemeClr w14:val="tx1"/>
                  </w14:solidFill>
                </w14:textFill>
              </w:rPr>
              <w:t>。</w:t>
            </w:r>
            <w:r>
              <w:rPr>
                <w:b/>
                <w:bCs/>
                <w:color w:val="000000" w:themeColor="text1"/>
                <w:sz w:val="18"/>
                <w:szCs w:val="18"/>
                <w14:textFill>
                  <w14:solidFill>
                    <w14:schemeClr w14:val="tx1"/>
                  </w14:solidFill>
                </w14:textFill>
              </w:rPr>
              <w:t>符合。</w:t>
            </w:r>
          </w:p>
        </w:tc>
      </w:tr>
      <w:tr w14:paraId="25CB31F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34" w:type="dxa"/>
            <w:vMerge w:val="continue"/>
            <w:tcMar>
              <w:left w:w="28" w:type="dxa"/>
              <w:right w:w="28" w:type="dxa"/>
            </w:tcMar>
            <w:vAlign w:val="center"/>
          </w:tcPr>
          <w:p w14:paraId="4FCD0061">
            <w:pPr>
              <w:spacing w:line="240" w:lineRule="exact"/>
              <w:ind w:firstLine="0" w:firstLineChars="0"/>
              <w:rPr>
                <w:color w:val="000000" w:themeColor="text1"/>
                <w:sz w:val="18"/>
                <w:szCs w:val="18"/>
                <w14:textFill>
                  <w14:solidFill>
                    <w14:schemeClr w14:val="tx1"/>
                  </w14:solidFill>
                </w14:textFill>
              </w:rPr>
            </w:pPr>
          </w:p>
        </w:tc>
        <w:tc>
          <w:tcPr>
            <w:tcW w:w="534" w:type="dxa"/>
            <w:vMerge w:val="continue"/>
            <w:tcMar>
              <w:left w:w="28" w:type="dxa"/>
              <w:right w:w="28" w:type="dxa"/>
            </w:tcMar>
            <w:vAlign w:val="center"/>
          </w:tcPr>
          <w:p w14:paraId="6B4472CE">
            <w:pPr>
              <w:spacing w:line="240" w:lineRule="exact"/>
              <w:ind w:firstLine="0" w:firstLineChars="0"/>
              <w:rPr>
                <w:color w:val="000000" w:themeColor="text1"/>
                <w:sz w:val="18"/>
                <w:szCs w:val="18"/>
                <w14:textFill>
                  <w14:solidFill>
                    <w14:schemeClr w14:val="tx1"/>
                  </w14:solidFill>
                </w14:textFill>
              </w:rPr>
            </w:pPr>
          </w:p>
        </w:tc>
        <w:tc>
          <w:tcPr>
            <w:tcW w:w="5400" w:type="dxa"/>
            <w:tcMar>
              <w:left w:w="28" w:type="dxa"/>
              <w:right w:w="28" w:type="dxa"/>
            </w:tcMar>
            <w:vAlign w:val="center"/>
          </w:tcPr>
          <w:p w14:paraId="7E413A11">
            <w:pPr>
              <w:spacing w:line="240" w:lineRule="exact"/>
              <w:ind w:firstLine="0" w:firstLineChars="0"/>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3</w:t>
            </w:r>
            <w:r>
              <w:rPr>
                <w:color w:val="000000" w:themeColor="text1"/>
                <w:sz w:val="18"/>
                <w:szCs w:val="18"/>
                <w14:textFill>
                  <w14:solidFill>
                    <w14:schemeClr w14:val="tx1"/>
                  </w14:solidFill>
                </w14:textFill>
              </w:rPr>
              <w:t>.优化园区规划空间布局，对丙烯腈、苯乙烯、环氧丙烷等新引进项目加强源头风险管控； 丙烯腈装置原则上应配套MMA装置同步建设，及时消耗丙烯腈装置产生的氢氰酸和废酸， 降低环境风险。</w:t>
            </w:r>
          </w:p>
        </w:tc>
        <w:tc>
          <w:tcPr>
            <w:tcW w:w="2342" w:type="dxa"/>
            <w:tcMar>
              <w:left w:w="28" w:type="dxa"/>
              <w:right w:w="28" w:type="dxa"/>
            </w:tcMar>
            <w:vAlign w:val="center"/>
          </w:tcPr>
          <w:p w14:paraId="14DA8AF5">
            <w:pPr>
              <w:spacing w:line="240" w:lineRule="exact"/>
              <w:ind w:firstLine="0" w:firstLineChars="0"/>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本项目</w:t>
            </w:r>
            <w:r>
              <w:rPr>
                <w:rFonts w:hint="eastAsia"/>
                <w:color w:val="000000" w:themeColor="text1"/>
                <w:sz w:val="18"/>
                <w:szCs w:val="18"/>
                <w14:textFill>
                  <w14:solidFill>
                    <w14:schemeClr w14:val="tx1"/>
                  </w14:solidFill>
                </w14:textFill>
              </w:rPr>
              <w:t>苯乙烯卸船设有紧急切断阀</w:t>
            </w:r>
            <w:r>
              <w:rPr>
                <w:color w:val="000000" w:themeColor="text1"/>
                <w:sz w:val="18"/>
                <w:szCs w:val="18"/>
                <w14:textFill>
                  <w14:solidFill>
                    <w14:schemeClr w14:val="tx1"/>
                  </w14:solidFill>
                </w14:textFill>
              </w:rPr>
              <w:t>。</w:t>
            </w:r>
            <w:r>
              <w:rPr>
                <w:b/>
                <w:bCs/>
                <w:color w:val="000000" w:themeColor="text1"/>
                <w:sz w:val="18"/>
                <w:szCs w:val="18"/>
                <w14:textFill>
                  <w14:solidFill>
                    <w14:schemeClr w14:val="tx1"/>
                  </w14:solidFill>
                </w14:textFill>
              </w:rPr>
              <w:t>符合。</w:t>
            </w:r>
          </w:p>
        </w:tc>
      </w:tr>
      <w:tr w14:paraId="3F63B76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34" w:type="dxa"/>
            <w:vMerge w:val="continue"/>
            <w:tcMar>
              <w:left w:w="28" w:type="dxa"/>
              <w:right w:w="28" w:type="dxa"/>
            </w:tcMar>
            <w:vAlign w:val="center"/>
          </w:tcPr>
          <w:p w14:paraId="1481A982">
            <w:pPr>
              <w:spacing w:line="240" w:lineRule="exact"/>
              <w:ind w:firstLine="0" w:firstLineChars="0"/>
              <w:rPr>
                <w:color w:val="000000" w:themeColor="text1"/>
                <w:sz w:val="18"/>
                <w:szCs w:val="18"/>
                <w14:textFill>
                  <w14:solidFill>
                    <w14:schemeClr w14:val="tx1"/>
                  </w14:solidFill>
                </w14:textFill>
              </w:rPr>
            </w:pPr>
          </w:p>
        </w:tc>
        <w:tc>
          <w:tcPr>
            <w:tcW w:w="534" w:type="dxa"/>
            <w:vMerge w:val="continue"/>
            <w:tcMar>
              <w:left w:w="28" w:type="dxa"/>
              <w:right w:w="28" w:type="dxa"/>
            </w:tcMar>
            <w:vAlign w:val="center"/>
          </w:tcPr>
          <w:p w14:paraId="6F92891A">
            <w:pPr>
              <w:spacing w:line="240" w:lineRule="exact"/>
              <w:ind w:firstLine="0" w:firstLineChars="0"/>
              <w:rPr>
                <w:color w:val="000000" w:themeColor="text1"/>
                <w:sz w:val="18"/>
                <w:szCs w:val="18"/>
                <w14:textFill>
                  <w14:solidFill>
                    <w14:schemeClr w14:val="tx1"/>
                  </w14:solidFill>
                </w14:textFill>
              </w:rPr>
            </w:pPr>
          </w:p>
        </w:tc>
        <w:tc>
          <w:tcPr>
            <w:tcW w:w="5400" w:type="dxa"/>
            <w:tcMar>
              <w:left w:w="28" w:type="dxa"/>
              <w:right w:w="28" w:type="dxa"/>
            </w:tcMar>
            <w:vAlign w:val="center"/>
          </w:tcPr>
          <w:p w14:paraId="122C90F7">
            <w:pPr>
              <w:spacing w:line="240" w:lineRule="exact"/>
              <w:ind w:firstLine="0" w:firstLineChars="0"/>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4.</w:t>
            </w:r>
            <w:r>
              <w:rPr>
                <w:color w:val="000000" w:themeColor="text1"/>
                <w:sz w:val="18"/>
                <w:szCs w:val="18"/>
                <w14:textFill>
                  <w14:solidFill>
                    <w14:schemeClr w14:val="tx1"/>
                  </w14:solidFill>
                </w14:textFill>
              </w:rPr>
              <w:t>严格控制炼油规模，禁止建设未列入国家批准的相关规划的新建炼油及扩建一次炼油项目；新建石化和化工生产项目应符合《广西新建石化和化工生产项目准入管理办法（试行）》 《化工园区开发建设导则》（GB/T42078-2022）相关要求。严格“两高”建设项目环境准入，新建、改建、扩建“两高”项目须符合生态环境保护法律法规和相关法定规划， 满足重点污染物总量控制、相关规划环评和相应行业建设项目环境准入条件等要求。</w:t>
            </w:r>
          </w:p>
        </w:tc>
        <w:tc>
          <w:tcPr>
            <w:tcW w:w="2342" w:type="dxa"/>
            <w:tcMar>
              <w:left w:w="28" w:type="dxa"/>
              <w:right w:w="28" w:type="dxa"/>
            </w:tcMar>
            <w:vAlign w:val="center"/>
          </w:tcPr>
          <w:p w14:paraId="6436C830">
            <w:pPr>
              <w:spacing w:line="240" w:lineRule="exact"/>
              <w:ind w:firstLine="0" w:firstLineChars="0"/>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项目符合《广西钦州石化产业园总体发展规划》（2020-2035）</w:t>
            </w:r>
            <w:r>
              <w:rPr>
                <w:color w:val="000000" w:themeColor="text1"/>
                <w:sz w:val="18"/>
                <w:szCs w:val="18"/>
                <w14:textFill>
                  <w14:solidFill>
                    <w14:schemeClr w14:val="tx1"/>
                  </w14:solidFill>
                </w14:textFill>
              </w:rPr>
              <w:t>。</w:t>
            </w:r>
            <w:r>
              <w:rPr>
                <w:b/>
                <w:bCs/>
                <w:color w:val="000000" w:themeColor="text1"/>
                <w:sz w:val="18"/>
                <w:szCs w:val="18"/>
                <w14:textFill>
                  <w14:solidFill>
                    <w14:schemeClr w14:val="tx1"/>
                  </w14:solidFill>
                </w14:textFill>
              </w:rPr>
              <w:t>符合。</w:t>
            </w:r>
          </w:p>
        </w:tc>
      </w:tr>
      <w:tr w14:paraId="14BADB6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34" w:type="dxa"/>
            <w:vMerge w:val="continue"/>
            <w:tcMar>
              <w:left w:w="28" w:type="dxa"/>
              <w:right w:w="28" w:type="dxa"/>
            </w:tcMar>
            <w:vAlign w:val="center"/>
          </w:tcPr>
          <w:p w14:paraId="6072421C">
            <w:pPr>
              <w:spacing w:line="240" w:lineRule="exact"/>
              <w:ind w:firstLine="0" w:firstLineChars="0"/>
              <w:rPr>
                <w:color w:val="000000" w:themeColor="text1"/>
                <w:sz w:val="18"/>
                <w:szCs w:val="18"/>
                <w14:textFill>
                  <w14:solidFill>
                    <w14:schemeClr w14:val="tx1"/>
                  </w14:solidFill>
                </w14:textFill>
              </w:rPr>
            </w:pPr>
          </w:p>
        </w:tc>
        <w:tc>
          <w:tcPr>
            <w:tcW w:w="534" w:type="dxa"/>
            <w:vMerge w:val="continue"/>
            <w:tcMar>
              <w:left w:w="28" w:type="dxa"/>
              <w:right w:w="28" w:type="dxa"/>
            </w:tcMar>
            <w:vAlign w:val="center"/>
          </w:tcPr>
          <w:p w14:paraId="63FA96CB">
            <w:pPr>
              <w:spacing w:line="240" w:lineRule="exact"/>
              <w:ind w:firstLine="0" w:firstLineChars="0"/>
              <w:rPr>
                <w:color w:val="000000" w:themeColor="text1"/>
                <w:sz w:val="18"/>
                <w:szCs w:val="18"/>
                <w14:textFill>
                  <w14:solidFill>
                    <w14:schemeClr w14:val="tx1"/>
                  </w14:solidFill>
                </w14:textFill>
              </w:rPr>
            </w:pPr>
          </w:p>
        </w:tc>
        <w:tc>
          <w:tcPr>
            <w:tcW w:w="5400" w:type="dxa"/>
            <w:tcMar>
              <w:left w:w="28" w:type="dxa"/>
              <w:right w:w="28" w:type="dxa"/>
            </w:tcMar>
            <w:vAlign w:val="center"/>
          </w:tcPr>
          <w:p w14:paraId="2503B4F7">
            <w:pPr>
              <w:spacing w:line="240" w:lineRule="exact"/>
              <w:ind w:firstLine="0" w:firstLineChars="0"/>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5.</w:t>
            </w:r>
            <w:r>
              <w:rPr>
                <w:color w:val="000000" w:themeColor="text1"/>
                <w:sz w:val="18"/>
                <w:szCs w:val="18"/>
                <w14:textFill>
                  <w14:solidFill>
                    <w14:schemeClr w14:val="tx1"/>
                  </w14:solidFill>
                </w14:textFill>
              </w:rPr>
              <w:t>园区周边1公里范围内临近生态保护红线（广西茅尾海红树林自治区级自然保护区）生态环境敏感区域，应优化产业布局，控制开发强度，新建、改建、扩建项目要采取切实可行的环保措施，降低对周边生态环境敏感区域的影响。</w:t>
            </w:r>
          </w:p>
        </w:tc>
        <w:tc>
          <w:tcPr>
            <w:tcW w:w="2342" w:type="dxa"/>
            <w:tcMar>
              <w:left w:w="28" w:type="dxa"/>
              <w:right w:w="28" w:type="dxa"/>
            </w:tcMar>
            <w:vAlign w:val="center"/>
          </w:tcPr>
          <w:p w14:paraId="1B7D7AB5">
            <w:pPr>
              <w:spacing w:line="240" w:lineRule="exact"/>
              <w:ind w:firstLine="0" w:firstLineChars="0"/>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项目</w:t>
            </w:r>
            <w:r>
              <w:rPr>
                <w:rFonts w:hint="eastAsia"/>
                <w:color w:val="000000" w:themeColor="text1"/>
                <w:sz w:val="18"/>
                <w:szCs w:val="18"/>
                <w14:textFill>
                  <w14:solidFill>
                    <w14:schemeClr w14:val="tx1"/>
                  </w14:solidFill>
                </w14:textFill>
              </w:rPr>
              <w:t>周边1公里内无生态保护红线生态环境敏感区域，本项目已采取相应环保措施减小对环境的影响</w:t>
            </w:r>
            <w:r>
              <w:rPr>
                <w:color w:val="000000" w:themeColor="text1"/>
                <w:sz w:val="18"/>
                <w:szCs w:val="18"/>
                <w14:textFill>
                  <w14:solidFill>
                    <w14:schemeClr w14:val="tx1"/>
                  </w14:solidFill>
                </w14:textFill>
              </w:rPr>
              <w:t>。</w:t>
            </w:r>
            <w:r>
              <w:rPr>
                <w:b/>
                <w:bCs/>
                <w:color w:val="000000" w:themeColor="text1"/>
                <w:sz w:val="18"/>
                <w:szCs w:val="18"/>
                <w14:textFill>
                  <w14:solidFill>
                    <w14:schemeClr w14:val="tx1"/>
                  </w14:solidFill>
                </w14:textFill>
              </w:rPr>
              <w:t>符合。</w:t>
            </w:r>
          </w:p>
        </w:tc>
      </w:tr>
      <w:tr w14:paraId="47944C3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690" w:hRule="atLeast"/>
          <w:jc w:val="center"/>
        </w:trPr>
        <w:tc>
          <w:tcPr>
            <w:tcW w:w="534" w:type="dxa"/>
            <w:vMerge w:val="continue"/>
            <w:tcMar>
              <w:left w:w="28" w:type="dxa"/>
              <w:right w:w="28" w:type="dxa"/>
            </w:tcMar>
            <w:vAlign w:val="center"/>
          </w:tcPr>
          <w:p w14:paraId="46EB2238">
            <w:pPr>
              <w:spacing w:line="240" w:lineRule="exact"/>
              <w:ind w:firstLine="0" w:firstLineChars="0"/>
              <w:rPr>
                <w:color w:val="000000" w:themeColor="text1"/>
                <w:sz w:val="18"/>
                <w:szCs w:val="18"/>
                <w14:textFill>
                  <w14:solidFill>
                    <w14:schemeClr w14:val="tx1"/>
                  </w14:solidFill>
                </w14:textFill>
              </w:rPr>
            </w:pPr>
          </w:p>
        </w:tc>
        <w:tc>
          <w:tcPr>
            <w:tcW w:w="534" w:type="dxa"/>
            <w:vMerge w:val="restart"/>
            <w:tcMar>
              <w:left w:w="28" w:type="dxa"/>
              <w:right w:w="28" w:type="dxa"/>
            </w:tcMar>
            <w:vAlign w:val="center"/>
          </w:tcPr>
          <w:p w14:paraId="014C528A">
            <w:pPr>
              <w:spacing w:line="240" w:lineRule="exact"/>
              <w:ind w:firstLine="0" w:firstLineChars="0"/>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污染物排放管控</w:t>
            </w:r>
          </w:p>
        </w:tc>
        <w:tc>
          <w:tcPr>
            <w:tcW w:w="5400" w:type="dxa"/>
            <w:tcMar>
              <w:left w:w="28" w:type="dxa"/>
              <w:right w:w="28" w:type="dxa"/>
            </w:tcMar>
            <w:vAlign w:val="center"/>
          </w:tcPr>
          <w:p w14:paraId="1BFC8D1B">
            <w:pPr>
              <w:spacing w:line="240" w:lineRule="exact"/>
              <w:ind w:firstLine="0" w:firstLineChars="0"/>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1</w:t>
            </w:r>
            <w:r>
              <w:rPr>
                <w:color w:val="000000" w:themeColor="text1"/>
                <w:sz w:val="18"/>
                <w:szCs w:val="18"/>
                <w14:textFill>
                  <w14:solidFill>
                    <w14:schemeClr w14:val="tx1"/>
                  </w14:solidFill>
                </w14:textFill>
              </w:rPr>
              <w:t>.大力推进低氮燃烧和烟气脱硝，有序推进园区集中供热。</w:t>
            </w:r>
          </w:p>
        </w:tc>
        <w:tc>
          <w:tcPr>
            <w:tcW w:w="2342" w:type="dxa"/>
            <w:tcMar>
              <w:left w:w="28" w:type="dxa"/>
              <w:right w:w="28" w:type="dxa"/>
            </w:tcMar>
            <w:vAlign w:val="center"/>
          </w:tcPr>
          <w:p w14:paraId="52C87957">
            <w:pPr>
              <w:spacing w:line="240" w:lineRule="exact"/>
              <w:ind w:firstLine="0" w:firstLineChars="0"/>
              <w:rPr>
                <w:color w:val="000000" w:themeColor="text1"/>
                <w:sz w:val="18"/>
                <w:szCs w:val="18"/>
                <w14:textFill>
                  <w14:solidFill>
                    <w14:schemeClr w14:val="tx1"/>
                  </w14:solidFill>
                </w14:textFill>
              </w:rPr>
            </w:pPr>
          </w:p>
        </w:tc>
      </w:tr>
      <w:tr w14:paraId="10D3698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690" w:hRule="atLeast"/>
          <w:jc w:val="center"/>
        </w:trPr>
        <w:tc>
          <w:tcPr>
            <w:tcW w:w="534" w:type="dxa"/>
            <w:vMerge w:val="continue"/>
            <w:tcMar>
              <w:left w:w="28" w:type="dxa"/>
              <w:right w:w="28" w:type="dxa"/>
            </w:tcMar>
            <w:vAlign w:val="center"/>
          </w:tcPr>
          <w:p w14:paraId="0AB05874">
            <w:pPr>
              <w:spacing w:line="240" w:lineRule="exact"/>
              <w:ind w:firstLine="0" w:firstLineChars="0"/>
              <w:rPr>
                <w:color w:val="000000" w:themeColor="text1"/>
                <w:sz w:val="18"/>
                <w:szCs w:val="18"/>
                <w14:textFill>
                  <w14:solidFill>
                    <w14:schemeClr w14:val="tx1"/>
                  </w14:solidFill>
                </w14:textFill>
              </w:rPr>
            </w:pPr>
          </w:p>
        </w:tc>
        <w:tc>
          <w:tcPr>
            <w:tcW w:w="534" w:type="dxa"/>
            <w:vMerge w:val="continue"/>
            <w:tcMar>
              <w:left w:w="28" w:type="dxa"/>
              <w:right w:w="28" w:type="dxa"/>
            </w:tcMar>
            <w:vAlign w:val="center"/>
          </w:tcPr>
          <w:p w14:paraId="77F2FD5D">
            <w:pPr>
              <w:spacing w:line="240" w:lineRule="exact"/>
              <w:ind w:firstLine="0" w:firstLineChars="0"/>
              <w:rPr>
                <w:color w:val="000000" w:themeColor="text1"/>
                <w:sz w:val="18"/>
                <w:szCs w:val="18"/>
                <w14:textFill>
                  <w14:solidFill>
                    <w14:schemeClr w14:val="tx1"/>
                  </w14:solidFill>
                </w14:textFill>
              </w:rPr>
            </w:pPr>
          </w:p>
        </w:tc>
        <w:tc>
          <w:tcPr>
            <w:tcW w:w="5400" w:type="dxa"/>
            <w:tcMar>
              <w:left w:w="28" w:type="dxa"/>
              <w:right w:w="28" w:type="dxa"/>
            </w:tcMar>
            <w:vAlign w:val="center"/>
          </w:tcPr>
          <w:p w14:paraId="5EA5A89D">
            <w:pPr>
              <w:spacing w:line="240" w:lineRule="exact"/>
              <w:ind w:firstLine="0" w:firstLineChars="0"/>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2</w:t>
            </w:r>
            <w:r>
              <w:rPr>
                <w:color w:val="000000" w:themeColor="text1"/>
                <w:sz w:val="18"/>
                <w:szCs w:val="18"/>
                <w14:textFill>
                  <w14:solidFill>
                    <w14:schemeClr w14:val="tx1"/>
                  </w14:solidFill>
                </w14:textFill>
              </w:rPr>
              <w:t>.．持续推进石化、化工等行业节能降碳改造；推动石化、化工等重点行业挥发性有机物 （VOCs）污染防治。推动石化行业VOCs泄漏检测与修复行动、VOCs削减和有毒有害原料替代。</w:t>
            </w:r>
          </w:p>
        </w:tc>
        <w:tc>
          <w:tcPr>
            <w:tcW w:w="2342" w:type="dxa"/>
            <w:tcMar>
              <w:left w:w="28" w:type="dxa"/>
              <w:right w:w="28" w:type="dxa"/>
            </w:tcMar>
            <w:vAlign w:val="center"/>
          </w:tcPr>
          <w:p w14:paraId="58FC95AF">
            <w:pPr>
              <w:spacing w:line="240" w:lineRule="exact"/>
              <w:ind w:firstLine="0" w:firstLineChars="0"/>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项目</w:t>
            </w:r>
            <w:r>
              <w:rPr>
                <w:rFonts w:hint="eastAsia"/>
                <w:color w:val="000000" w:themeColor="text1"/>
                <w:sz w:val="18"/>
                <w:szCs w:val="18"/>
                <w14:textFill>
                  <w14:solidFill>
                    <w14:schemeClr w14:val="tx1"/>
                  </w14:solidFill>
                </w14:textFill>
              </w:rPr>
              <w:t>落实挥发性有机物污染防治措施，定期检查修复</w:t>
            </w:r>
            <w:r>
              <w:rPr>
                <w:color w:val="000000" w:themeColor="text1"/>
                <w:sz w:val="18"/>
                <w:szCs w:val="18"/>
                <w14:textFill>
                  <w14:solidFill>
                    <w14:schemeClr w14:val="tx1"/>
                  </w14:solidFill>
                </w14:textFill>
              </w:rPr>
              <w:t>。</w:t>
            </w:r>
            <w:r>
              <w:rPr>
                <w:b/>
                <w:bCs/>
                <w:color w:val="000000" w:themeColor="text1"/>
                <w:sz w:val="18"/>
                <w:szCs w:val="18"/>
                <w14:textFill>
                  <w14:solidFill>
                    <w14:schemeClr w14:val="tx1"/>
                  </w14:solidFill>
                </w14:textFill>
              </w:rPr>
              <w:t>符合。</w:t>
            </w:r>
          </w:p>
        </w:tc>
      </w:tr>
      <w:tr w14:paraId="3B654D8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34" w:type="dxa"/>
            <w:vMerge w:val="continue"/>
            <w:tcMar>
              <w:left w:w="28" w:type="dxa"/>
              <w:right w:w="28" w:type="dxa"/>
            </w:tcMar>
            <w:vAlign w:val="center"/>
          </w:tcPr>
          <w:p w14:paraId="40819090">
            <w:pPr>
              <w:spacing w:line="240" w:lineRule="exact"/>
              <w:ind w:firstLine="0" w:firstLineChars="0"/>
              <w:rPr>
                <w:color w:val="000000" w:themeColor="text1"/>
                <w:sz w:val="18"/>
                <w:szCs w:val="18"/>
                <w14:textFill>
                  <w14:solidFill>
                    <w14:schemeClr w14:val="tx1"/>
                  </w14:solidFill>
                </w14:textFill>
              </w:rPr>
            </w:pPr>
          </w:p>
        </w:tc>
        <w:tc>
          <w:tcPr>
            <w:tcW w:w="534" w:type="dxa"/>
            <w:vMerge w:val="continue"/>
            <w:tcMar>
              <w:left w:w="28" w:type="dxa"/>
              <w:right w:w="28" w:type="dxa"/>
            </w:tcMar>
            <w:vAlign w:val="center"/>
          </w:tcPr>
          <w:p w14:paraId="3DFF5C40">
            <w:pPr>
              <w:spacing w:line="240" w:lineRule="exact"/>
              <w:ind w:firstLine="0" w:firstLineChars="0"/>
              <w:rPr>
                <w:color w:val="000000" w:themeColor="text1"/>
                <w:sz w:val="18"/>
                <w:szCs w:val="18"/>
                <w14:textFill>
                  <w14:solidFill>
                    <w14:schemeClr w14:val="tx1"/>
                  </w14:solidFill>
                </w14:textFill>
              </w:rPr>
            </w:pPr>
          </w:p>
        </w:tc>
        <w:tc>
          <w:tcPr>
            <w:tcW w:w="5400" w:type="dxa"/>
            <w:tcMar>
              <w:left w:w="28" w:type="dxa"/>
              <w:right w:w="28" w:type="dxa"/>
            </w:tcMar>
            <w:vAlign w:val="center"/>
          </w:tcPr>
          <w:p w14:paraId="13B61B73">
            <w:pPr>
              <w:spacing w:line="240" w:lineRule="exact"/>
              <w:ind w:firstLine="0" w:firstLineChars="0"/>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3</w:t>
            </w:r>
            <w:r>
              <w:rPr>
                <w:color w:val="000000" w:themeColor="text1"/>
                <w:sz w:val="18"/>
                <w:szCs w:val="18"/>
                <w14:textFill>
                  <w14:solidFill>
                    <w14:schemeClr w14:val="tx1"/>
                  </w14:solidFill>
                </w14:textFill>
              </w:rPr>
              <w:t>.石化、化工行业全面推进行业达标排放改造，鼓励采用先进的清洁生产技术，提高原油的转化和利用效率；新建石化和化工生产项目污染物排放必须同时满足污染物排放标准和主要污染物总量控制要求，必须配套固废综合利用或无害化处理设施，危险废物必须按照国家及自治区相关危险废物的管理规定进行贮存、转移、安全处置。</w:t>
            </w:r>
          </w:p>
        </w:tc>
        <w:tc>
          <w:tcPr>
            <w:tcW w:w="2342" w:type="dxa"/>
            <w:tcMar>
              <w:left w:w="28" w:type="dxa"/>
              <w:right w:w="28" w:type="dxa"/>
            </w:tcMar>
            <w:vAlign w:val="center"/>
          </w:tcPr>
          <w:p w14:paraId="46AE1401">
            <w:pPr>
              <w:spacing w:line="240" w:lineRule="exact"/>
              <w:ind w:firstLine="0" w:firstLineChars="0"/>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本项目</w:t>
            </w:r>
            <w:r>
              <w:rPr>
                <w:rFonts w:hint="eastAsia"/>
                <w:color w:val="000000" w:themeColor="text1"/>
                <w:sz w:val="18"/>
                <w:szCs w:val="18"/>
                <w14:textFill>
                  <w14:solidFill>
                    <w14:schemeClr w14:val="tx1"/>
                  </w14:solidFill>
                </w14:textFill>
              </w:rPr>
              <w:t>危废设置一体化危废暂存间暂存</w:t>
            </w:r>
            <w:r>
              <w:rPr>
                <w:color w:val="000000" w:themeColor="text1"/>
                <w:sz w:val="18"/>
                <w:szCs w:val="18"/>
                <w14:textFill>
                  <w14:solidFill>
                    <w14:schemeClr w14:val="tx1"/>
                  </w14:solidFill>
                </w14:textFill>
              </w:rPr>
              <w:t>，不在码头设置排污口。</w:t>
            </w:r>
            <w:r>
              <w:rPr>
                <w:b/>
                <w:bCs/>
                <w:color w:val="000000" w:themeColor="text1"/>
                <w:sz w:val="18"/>
                <w:szCs w:val="18"/>
                <w14:textFill>
                  <w14:solidFill>
                    <w14:schemeClr w14:val="tx1"/>
                  </w14:solidFill>
                </w14:textFill>
              </w:rPr>
              <w:t>符合。</w:t>
            </w:r>
          </w:p>
        </w:tc>
      </w:tr>
      <w:tr w14:paraId="71D7580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34" w:type="dxa"/>
            <w:vMerge w:val="continue"/>
            <w:tcMar>
              <w:left w:w="28" w:type="dxa"/>
              <w:right w:w="28" w:type="dxa"/>
            </w:tcMar>
            <w:vAlign w:val="center"/>
          </w:tcPr>
          <w:p w14:paraId="2D93271F">
            <w:pPr>
              <w:spacing w:line="240" w:lineRule="exact"/>
              <w:ind w:firstLine="0" w:firstLineChars="0"/>
              <w:rPr>
                <w:color w:val="000000" w:themeColor="text1"/>
                <w:sz w:val="18"/>
                <w:szCs w:val="18"/>
                <w14:textFill>
                  <w14:solidFill>
                    <w14:schemeClr w14:val="tx1"/>
                  </w14:solidFill>
                </w14:textFill>
              </w:rPr>
            </w:pPr>
          </w:p>
        </w:tc>
        <w:tc>
          <w:tcPr>
            <w:tcW w:w="534" w:type="dxa"/>
            <w:vMerge w:val="continue"/>
            <w:tcMar>
              <w:left w:w="28" w:type="dxa"/>
              <w:right w:w="28" w:type="dxa"/>
            </w:tcMar>
            <w:vAlign w:val="center"/>
          </w:tcPr>
          <w:p w14:paraId="2ABD79C8">
            <w:pPr>
              <w:spacing w:line="240" w:lineRule="exact"/>
              <w:ind w:firstLine="0" w:firstLineChars="0"/>
              <w:rPr>
                <w:color w:val="000000" w:themeColor="text1"/>
                <w:sz w:val="18"/>
                <w:szCs w:val="18"/>
                <w14:textFill>
                  <w14:solidFill>
                    <w14:schemeClr w14:val="tx1"/>
                  </w14:solidFill>
                </w14:textFill>
              </w:rPr>
            </w:pPr>
          </w:p>
        </w:tc>
        <w:tc>
          <w:tcPr>
            <w:tcW w:w="5400" w:type="dxa"/>
            <w:tcMar>
              <w:left w:w="28" w:type="dxa"/>
              <w:right w:w="28" w:type="dxa"/>
            </w:tcMar>
            <w:vAlign w:val="center"/>
          </w:tcPr>
          <w:p w14:paraId="4F9D9831">
            <w:pPr>
              <w:spacing w:line="240" w:lineRule="exact"/>
              <w:ind w:firstLine="0" w:firstLineChars="0"/>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4</w:t>
            </w:r>
            <w:r>
              <w:rPr>
                <w:color w:val="000000" w:themeColor="text1"/>
                <w:sz w:val="18"/>
                <w:szCs w:val="18"/>
                <w14:textFill>
                  <w14:solidFill>
                    <w14:schemeClr w14:val="tx1"/>
                  </w14:solidFill>
                </w14:textFill>
              </w:rPr>
              <w:t>．逐步完成工业集聚区集中式污水处理设施建设，确保已建污水处理设施稳定运行及达标 排放。园区集中式污水处理设施总排口安装自动监控系统、视频监控系统，并与生态环境</w:t>
            </w:r>
            <w:r>
              <w:rPr>
                <w:rFonts w:hint="eastAsia"/>
                <w:color w:val="000000" w:themeColor="text1"/>
                <w:sz w:val="18"/>
                <w:szCs w:val="18"/>
                <w14:textFill>
                  <w14:solidFill>
                    <w14:schemeClr w14:val="tx1"/>
                  </w14:solidFill>
                </w14:textFill>
              </w:rPr>
              <w:t>、</w:t>
            </w:r>
            <w:r>
              <w:rPr>
                <w:color w:val="000000" w:themeColor="text1"/>
                <w:sz w:val="18"/>
                <w:szCs w:val="18"/>
                <w14:textFill>
                  <w14:solidFill>
                    <w14:schemeClr w14:val="tx1"/>
                  </w14:solidFill>
                </w14:textFill>
              </w:rPr>
              <w:t>主管部门联网。按照“清污分流、雨污分流”原则，实施废水分类收集、分质处理。</w:t>
            </w:r>
          </w:p>
        </w:tc>
        <w:tc>
          <w:tcPr>
            <w:tcW w:w="2342" w:type="dxa"/>
            <w:tcMar>
              <w:left w:w="28" w:type="dxa"/>
              <w:right w:w="28" w:type="dxa"/>
            </w:tcMar>
            <w:vAlign w:val="center"/>
          </w:tcPr>
          <w:p w14:paraId="2A8E4C14">
            <w:pPr>
              <w:spacing w:line="240" w:lineRule="exact"/>
              <w:ind w:firstLine="0" w:firstLineChars="0"/>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本项目污水依托园区恒逸污水处理厂处理，不在码头设置排污口。</w:t>
            </w:r>
            <w:r>
              <w:rPr>
                <w:b/>
                <w:bCs/>
                <w:color w:val="000000" w:themeColor="text1"/>
                <w:sz w:val="18"/>
                <w:szCs w:val="18"/>
                <w14:textFill>
                  <w14:solidFill>
                    <w14:schemeClr w14:val="tx1"/>
                  </w14:solidFill>
                </w14:textFill>
              </w:rPr>
              <w:t>符合。</w:t>
            </w:r>
          </w:p>
        </w:tc>
      </w:tr>
      <w:tr w14:paraId="3E6FB8F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34" w:type="dxa"/>
            <w:vMerge w:val="continue"/>
            <w:tcMar>
              <w:left w:w="28" w:type="dxa"/>
              <w:right w:w="28" w:type="dxa"/>
            </w:tcMar>
            <w:vAlign w:val="center"/>
          </w:tcPr>
          <w:p w14:paraId="60D744E2">
            <w:pPr>
              <w:spacing w:line="240" w:lineRule="exact"/>
              <w:ind w:firstLine="0" w:firstLineChars="0"/>
              <w:rPr>
                <w:color w:val="000000" w:themeColor="text1"/>
                <w:sz w:val="18"/>
                <w:szCs w:val="18"/>
                <w14:textFill>
                  <w14:solidFill>
                    <w14:schemeClr w14:val="tx1"/>
                  </w14:solidFill>
                </w14:textFill>
              </w:rPr>
            </w:pPr>
          </w:p>
        </w:tc>
        <w:tc>
          <w:tcPr>
            <w:tcW w:w="534" w:type="dxa"/>
            <w:vMerge w:val="continue"/>
            <w:tcMar>
              <w:left w:w="28" w:type="dxa"/>
              <w:right w:w="28" w:type="dxa"/>
            </w:tcMar>
            <w:vAlign w:val="center"/>
          </w:tcPr>
          <w:p w14:paraId="75A689D4">
            <w:pPr>
              <w:spacing w:line="240" w:lineRule="exact"/>
              <w:ind w:firstLine="0" w:firstLineChars="0"/>
              <w:rPr>
                <w:color w:val="000000" w:themeColor="text1"/>
                <w:sz w:val="18"/>
                <w:szCs w:val="18"/>
                <w14:textFill>
                  <w14:solidFill>
                    <w14:schemeClr w14:val="tx1"/>
                  </w14:solidFill>
                </w14:textFill>
              </w:rPr>
            </w:pPr>
          </w:p>
        </w:tc>
        <w:tc>
          <w:tcPr>
            <w:tcW w:w="5400" w:type="dxa"/>
            <w:tcMar>
              <w:left w:w="28" w:type="dxa"/>
              <w:right w:w="28" w:type="dxa"/>
            </w:tcMar>
            <w:vAlign w:val="center"/>
          </w:tcPr>
          <w:p w14:paraId="460B20D9">
            <w:pPr>
              <w:spacing w:line="240" w:lineRule="exact"/>
              <w:ind w:firstLine="0" w:firstLineChars="0"/>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5</w:t>
            </w:r>
            <w:r>
              <w:rPr>
                <w:color w:val="000000" w:themeColor="text1"/>
                <w:sz w:val="18"/>
                <w:szCs w:val="18"/>
                <w14:textFill>
                  <w14:solidFill>
                    <w14:schemeClr w14:val="tx1"/>
                  </w14:solidFill>
                </w14:textFill>
              </w:rPr>
              <w:t>.园区及园区企业排放水污染物，要满足国家或者地方规定的水污染物排放标准和重点水 污染物排放总量控制指标。直接外排水环境的，执行国家或者地方规定的标准要求；经城 镇污水集中处理设施处理后排放的，执行市政部门管理要求；经园区污水集中处理设施处 理后排放的，执行园区管理部门相关要求。</w:t>
            </w:r>
          </w:p>
        </w:tc>
        <w:tc>
          <w:tcPr>
            <w:tcW w:w="2342" w:type="dxa"/>
            <w:tcMar>
              <w:left w:w="28" w:type="dxa"/>
              <w:right w:w="28" w:type="dxa"/>
            </w:tcMar>
            <w:vAlign w:val="center"/>
          </w:tcPr>
          <w:p w14:paraId="675CB892">
            <w:pPr>
              <w:spacing w:line="240" w:lineRule="exact"/>
              <w:ind w:firstLine="0" w:firstLineChars="0"/>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本项目污水依托园区恒逸污水处理厂处理</w:t>
            </w:r>
            <w:r>
              <w:rPr>
                <w:rFonts w:hint="eastAsia"/>
                <w:color w:val="000000" w:themeColor="text1"/>
                <w:sz w:val="18"/>
                <w:szCs w:val="18"/>
                <w14:textFill>
                  <w14:solidFill>
                    <w14:schemeClr w14:val="tx1"/>
                  </w14:solidFill>
                </w14:textFill>
              </w:rPr>
              <w:t>达标后排放，不直接排放</w:t>
            </w:r>
            <w:r>
              <w:rPr>
                <w:color w:val="000000" w:themeColor="text1"/>
                <w:sz w:val="18"/>
                <w:szCs w:val="18"/>
                <w14:textFill>
                  <w14:solidFill>
                    <w14:schemeClr w14:val="tx1"/>
                  </w14:solidFill>
                </w14:textFill>
              </w:rPr>
              <w:t>。</w:t>
            </w:r>
            <w:r>
              <w:rPr>
                <w:b/>
                <w:bCs/>
                <w:color w:val="000000" w:themeColor="text1"/>
                <w:sz w:val="18"/>
                <w:szCs w:val="18"/>
                <w14:textFill>
                  <w14:solidFill>
                    <w14:schemeClr w14:val="tx1"/>
                  </w14:solidFill>
                </w14:textFill>
              </w:rPr>
              <w:t>符合。</w:t>
            </w:r>
          </w:p>
        </w:tc>
      </w:tr>
      <w:tr w14:paraId="709C0C1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34" w:type="dxa"/>
            <w:vMerge w:val="continue"/>
            <w:tcMar>
              <w:left w:w="28" w:type="dxa"/>
              <w:right w:w="28" w:type="dxa"/>
            </w:tcMar>
            <w:vAlign w:val="center"/>
          </w:tcPr>
          <w:p w14:paraId="3F1C0AC9">
            <w:pPr>
              <w:spacing w:line="240" w:lineRule="exact"/>
              <w:ind w:firstLine="0" w:firstLineChars="0"/>
              <w:rPr>
                <w:color w:val="000000" w:themeColor="text1"/>
                <w:sz w:val="18"/>
                <w:szCs w:val="18"/>
                <w14:textFill>
                  <w14:solidFill>
                    <w14:schemeClr w14:val="tx1"/>
                  </w14:solidFill>
                </w14:textFill>
              </w:rPr>
            </w:pPr>
          </w:p>
        </w:tc>
        <w:tc>
          <w:tcPr>
            <w:tcW w:w="534" w:type="dxa"/>
            <w:vMerge w:val="continue"/>
            <w:tcMar>
              <w:left w:w="28" w:type="dxa"/>
              <w:right w:w="28" w:type="dxa"/>
            </w:tcMar>
            <w:vAlign w:val="center"/>
          </w:tcPr>
          <w:p w14:paraId="7D336D65">
            <w:pPr>
              <w:spacing w:line="240" w:lineRule="exact"/>
              <w:ind w:firstLine="0" w:firstLineChars="0"/>
              <w:rPr>
                <w:color w:val="000000" w:themeColor="text1"/>
                <w:sz w:val="18"/>
                <w:szCs w:val="18"/>
                <w14:textFill>
                  <w14:solidFill>
                    <w14:schemeClr w14:val="tx1"/>
                  </w14:solidFill>
                </w14:textFill>
              </w:rPr>
            </w:pPr>
          </w:p>
        </w:tc>
        <w:tc>
          <w:tcPr>
            <w:tcW w:w="5400" w:type="dxa"/>
            <w:tcMar>
              <w:left w:w="28" w:type="dxa"/>
              <w:right w:w="28" w:type="dxa"/>
            </w:tcMar>
            <w:vAlign w:val="center"/>
          </w:tcPr>
          <w:p w14:paraId="11143B4C">
            <w:pPr>
              <w:spacing w:line="240" w:lineRule="exact"/>
              <w:ind w:firstLine="0" w:firstLineChars="0"/>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6</w:t>
            </w:r>
            <w:r>
              <w:rPr>
                <w:color w:val="000000" w:themeColor="text1"/>
                <w:sz w:val="18"/>
                <w:szCs w:val="18"/>
                <w14:textFill>
                  <w14:solidFill>
                    <w14:schemeClr w14:val="tx1"/>
                  </w14:solidFill>
                </w14:textFill>
              </w:rPr>
              <w:t>.鼓励建设高盐废水集中处理设施，回收固体盐类，降低外排水量和含盐浓度。</w:t>
            </w:r>
          </w:p>
        </w:tc>
        <w:tc>
          <w:tcPr>
            <w:tcW w:w="2342" w:type="dxa"/>
            <w:tcMar>
              <w:left w:w="28" w:type="dxa"/>
              <w:right w:w="28" w:type="dxa"/>
            </w:tcMar>
            <w:vAlign w:val="center"/>
          </w:tcPr>
          <w:p w14:paraId="5382045E">
            <w:pPr>
              <w:spacing w:line="240" w:lineRule="exact"/>
              <w:ind w:firstLine="0" w:firstLineChars="0"/>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本项目不涉及高盐废水</w:t>
            </w:r>
            <w:r>
              <w:rPr>
                <w:color w:val="000000" w:themeColor="text1"/>
                <w:sz w:val="18"/>
                <w:szCs w:val="18"/>
                <w14:textFill>
                  <w14:solidFill>
                    <w14:schemeClr w14:val="tx1"/>
                  </w14:solidFill>
                </w14:textFill>
              </w:rPr>
              <w:t>。</w:t>
            </w:r>
            <w:r>
              <w:rPr>
                <w:b/>
                <w:bCs/>
                <w:color w:val="000000" w:themeColor="text1"/>
                <w:sz w:val="18"/>
                <w:szCs w:val="18"/>
                <w14:textFill>
                  <w14:solidFill>
                    <w14:schemeClr w14:val="tx1"/>
                  </w14:solidFill>
                </w14:textFill>
              </w:rPr>
              <w:t>符合。</w:t>
            </w:r>
          </w:p>
        </w:tc>
      </w:tr>
      <w:tr w14:paraId="7BA973C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34" w:type="dxa"/>
            <w:vMerge w:val="continue"/>
            <w:tcMar>
              <w:left w:w="28" w:type="dxa"/>
              <w:right w:w="28" w:type="dxa"/>
            </w:tcMar>
            <w:vAlign w:val="center"/>
          </w:tcPr>
          <w:p w14:paraId="09332C3F">
            <w:pPr>
              <w:spacing w:line="240" w:lineRule="exact"/>
              <w:ind w:firstLine="0" w:firstLineChars="0"/>
              <w:rPr>
                <w:color w:val="000000" w:themeColor="text1"/>
                <w:sz w:val="18"/>
                <w:szCs w:val="18"/>
                <w14:textFill>
                  <w14:solidFill>
                    <w14:schemeClr w14:val="tx1"/>
                  </w14:solidFill>
                </w14:textFill>
              </w:rPr>
            </w:pPr>
          </w:p>
        </w:tc>
        <w:tc>
          <w:tcPr>
            <w:tcW w:w="534" w:type="dxa"/>
            <w:vMerge w:val="continue"/>
            <w:tcMar>
              <w:left w:w="28" w:type="dxa"/>
              <w:right w:w="28" w:type="dxa"/>
            </w:tcMar>
            <w:vAlign w:val="center"/>
          </w:tcPr>
          <w:p w14:paraId="05924C2D">
            <w:pPr>
              <w:spacing w:line="240" w:lineRule="exact"/>
              <w:ind w:firstLine="0" w:firstLineChars="0"/>
              <w:rPr>
                <w:color w:val="000000" w:themeColor="text1"/>
                <w:sz w:val="18"/>
                <w:szCs w:val="18"/>
                <w14:textFill>
                  <w14:solidFill>
                    <w14:schemeClr w14:val="tx1"/>
                  </w14:solidFill>
                </w14:textFill>
              </w:rPr>
            </w:pPr>
          </w:p>
        </w:tc>
        <w:tc>
          <w:tcPr>
            <w:tcW w:w="5400" w:type="dxa"/>
            <w:tcMar>
              <w:left w:w="28" w:type="dxa"/>
              <w:right w:w="28" w:type="dxa"/>
            </w:tcMar>
            <w:vAlign w:val="center"/>
          </w:tcPr>
          <w:p w14:paraId="172122F0">
            <w:pPr>
              <w:spacing w:line="240" w:lineRule="exact"/>
              <w:ind w:firstLine="0" w:firstLineChars="0"/>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7．严格控制石油类、氨氮、总磷等污染物排放浓度及排放量，采取有效措施减少挥发性有机化合物（VOCs）、氮氧化物（NOx）等污染物排放量。</w:t>
            </w:r>
          </w:p>
        </w:tc>
        <w:tc>
          <w:tcPr>
            <w:tcW w:w="2342" w:type="dxa"/>
            <w:tcMar>
              <w:left w:w="28" w:type="dxa"/>
              <w:right w:w="28" w:type="dxa"/>
            </w:tcMar>
            <w:vAlign w:val="center"/>
          </w:tcPr>
          <w:p w14:paraId="316A255F">
            <w:pPr>
              <w:spacing w:line="240" w:lineRule="exact"/>
              <w:ind w:firstLine="0" w:firstLineChars="0"/>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本项目废气通过管道输送至后方罐区进行处置，有效减少污染物排放量。</w:t>
            </w:r>
            <w:r>
              <w:rPr>
                <w:rFonts w:hint="eastAsia"/>
                <w:b/>
                <w:bCs/>
                <w:color w:val="000000" w:themeColor="text1"/>
                <w:sz w:val="18"/>
                <w:szCs w:val="18"/>
                <w14:textFill>
                  <w14:solidFill>
                    <w14:schemeClr w14:val="tx1"/>
                  </w14:solidFill>
                </w14:textFill>
              </w:rPr>
              <w:t>符合</w:t>
            </w:r>
          </w:p>
        </w:tc>
      </w:tr>
      <w:tr w14:paraId="64A4F2B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34" w:type="dxa"/>
            <w:vMerge w:val="continue"/>
            <w:tcMar>
              <w:left w:w="28" w:type="dxa"/>
              <w:right w:w="28" w:type="dxa"/>
            </w:tcMar>
            <w:vAlign w:val="center"/>
          </w:tcPr>
          <w:p w14:paraId="29EC340B">
            <w:pPr>
              <w:spacing w:line="240" w:lineRule="exact"/>
              <w:ind w:firstLine="0" w:firstLineChars="0"/>
              <w:jc w:val="left"/>
              <w:rPr>
                <w:color w:val="000000" w:themeColor="text1"/>
                <w:sz w:val="18"/>
                <w:szCs w:val="18"/>
                <w14:textFill>
                  <w14:solidFill>
                    <w14:schemeClr w14:val="tx1"/>
                  </w14:solidFill>
                </w14:textFill>
              </w:rPr>
            </w:pPr>
          </w:p>
        </w:tc>
        <w:tc>
          <w:tcPr>
            <w:tcW w:w="534" w:type="dxa"/>
            <w:vMerge w:val="restart"/>
            <w:tcMar>
              <w:left w:w="28" w:type="dxa"/>
              <w:right w:w="28" w:type="dxa"/>
            </w:tcMar>
            <w:vAlign w:val="center"/>
          </w:tcPr>
          <w:p w14:paraId="52468E6C">
            <w:pPr>
              <w:spacing w:line="240" w:lineRule="exact"/>
              <w:ind w:firstLine="0" w:firstLineChars="0"/>
              <w:jc w:val="left"/>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环境风险防控</w:t>
            </w:r>
          </w:p>
        </w:tc>
        <w:tc>
          <w:tcPr>
            <w:tcW w:w="5400" w:type="dxa"/>
            <w:tcMar>
              <w:left w:w="28" w:type="dxa"/>
              <w:right w:w="28" w:type="dxa"/>
            </w:tcMar>
            <w:vAlign w:val="center"/>
          </w:tcPr>
          <w:p w14:paraId="754F2ADB">
            <w:pPr>
              <w:spacing w:line="240" w:lineRule="exact"/>
              <w:ind w:firstLine="0" w:firstLineChars="0"/>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1.建设项目应严格落实环境保护措施和环境风险防范措施，减缓对周边海域和陆域生态环境敏感区的不良环境影响。</w:t>
            </w:r>
          </w:p>
        </w:tc>
        <w:tc>
          <w:tcPr>
            <w:tcW w:w="2342" w:type="dxa"/>
            <w:tcMar>
              <w:left w:w="28" w:type="dxa"/>
              <w:right w:w="28" w:type="dxa"/>
            </w:tcMar>
            <w:vAlign w:val="center"/>
          </w:tcPr>
          <w:p w14:paraId="43E6E911">
            <w:pPr>
              <w:spacing w:line="240" w:lineRule="exact"/>
              <w:ind w:firstLine="0" w:firstLineChars="0"/>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项目运营后按要求落实环境保护措施和环境风险防范措施。</w:t>
            </w:r>
            <w:r>
              <w:rPr>
                <w:b/>
                <w:bCs/>
                <w:color w:val="000000" w:themeColor="text1"/>
                <w:sz w:val="18"/>
                <w:szCs w:val="18"/>
                <w14:textFill>
                  <w14:solidFill>
                    <w14:schemeClr w14:val="tx1"/>
                  </w14:solidFill>
                </w14:textFill>
              </w:rPr>
              <w:t>符合。</w:t>
            </w:r>
          </w:p>
        </w:tc>
      </w:tr>
      <w:tr w14:paraId="1B488B1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34" w:type="dxa"/>
            <w:vMerge w:val="continue"/>
            <w:tcMar>
              <w:left w:w="28" w:type="dxa"/>
              <w:right w:w="28" w:type="dxa"/>
            </w:tcMar>
            <w:vAlign w:val="center"/>
          </w:tcPr>
          <w:p w14:paraId="3E5CA2DD">
            <w:pPr>
              <w:spacing w:line="240" w:lineRule="exact"/>
              <w:ind w:firstLine="0" w:firstLineChars="0"/>
              <w:rPr>
                <w:color w:val="000000" w:themeColor="text1"/>
                <w:sz w:val="18"/>
                <w:szCs w:val="18"/>
                <w14:textFill>
                  <w14:solidFill>
                    <w14:schemeClr w14:val="tx1"/>
                  </w14:solidFill>
                </w14:textFill>
              </w:rPr>
            </w:pPr>
          </w:p>
        </w:tc>
        <w:tc>
          <w:tcPr>
            <w:tcW w:w="534" w:type="dxa"/>
            <w:vMerge w:val="continue"/>
            <w:tcMar>
              <w:left w:w="28" w:type="dxa"/>
              <w:right w:w="28" w:type="dxa"/>
            </w:tcMar>
            <w:vAlign w:val="center"/>
          </w:tcPr>
          <w:p w14:paraId="1BC2DDF7">
            <w:pPr>
              <w:spacing w:line="240" w:lineRule="exact"/>
              <w:ind w:firstLine="0" w:firstLineChars="0"/>
              <w:rPr>
                <w:color w:val="000000" w:themeColor="text1"/>
                <w:sz w:val="18"/>
                <w:szCs w:val="18"/>
                <w14:textFill>
                  <w14:solidFill>
                    <w14:schemeClr w14:val="tx1"/>
                  </w14:solidFill>
                </w14:textFill>
              </w:rPr>
            </w:pPr>
          </w:p>
        </w:tc>
        <w:tc>
          <w:tcPr>
            <w:tcW w:w="5400" w:type="dxa"/>
            <w:tcMar>
              <w:left w:w="28" w:type="dxa"/>
              <w:right w:w="28" w:type="dxa"/>
            </w:tcMar>
            <w:vAlign w:val="center"/>
          </w:tcPr>
          <w:p w14:paraId="06FF8E85">
            <w:pPr>
              <w:spacing w:line="240" w:lineRule="exact"/>
              <w:ind w:firstLine="0" w:firstLineChars="0"/>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2</w:t>
            </w:r>
            <w:r>
              <w:rPr>
                <w:color w:val="000000" w:themeColor="text1"/>
                <w:sz w:val="18"/>
                <w:szCs w:val="18"/>
                <w14:textFill>
                  <w14:solidFill>
                    <w14:schemeClr w14:val="tx1"/>
                  </w14:solidFill>
                </w14:textFill>
              </w:rPr>
              <w:t>.三墩片区实行封闭式管理。开展环境风险评估，制定突发环境事件应急预案并备案，配 备应急能力和物资，建设环境应急队伍，并定期演练。企业、园区与地方人民政府环境应 急预案应当有机衔接。</w:t>
            </w:r>
          </w:p>
        </w:tc>
        <w:tc>
          <w:tcPr>
            <w:tcW w:w="2342" w:type="dxa"/>
            <w:tcMar>
              <w:left w:w="28" w:type="dxa"/>
              <w:right w:w="28" w:type="dxa"/>
            </w:tcMar>
            <w:vAlign w:val="center"/>
          </w:tcPr>
          <w:p w14:paraId="5F999838">
            <w:pPr>
              <w:spacing w:line="240" w:lineRule="exact"/>
              <w:ind w:firstLine="0" w:firstLineChars="0"/>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项目运营后按要求开展风险评估，制订突发环境应急预案，健全企业应急制度管理。</w:t>
            </w:r>
            <w:r>
              <w:rPr>
                <w:b/>
                <w:bCs/>
                <w:color w:val="000000" w:themeColor="text1"/>
                <w:sz w:val="18"/>
                <w:szCs w:val="18"/>
                <w14:textFill>
                  <w14:solidFill>
                    <w14:schemeClr w14:val="tx1"/>
                  </w14:solidFill>
                </w14:textFill>
              </w:rPr>
              <w:t>符合。</w:t>
            </w:r>
          </w:p>
        </w:tc>
      </w:tr>
      <w:tr w14:paraId="58728DB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34" w:type="dxa"/>
            <w:vMerge w:val="continue"/>
            <w:tcMar>
              <w:left w:w="28" w:type="dxa"/>
              <w:right w:w="28" w:type="dxa"/>
            </w:tcMar>
            <w:vAlign w:val="center"/>
          </w:tcPr>
          <w:p w14:paraId="196D0F60">
            <w:pPr>
              <w:spacing w:line="240" w:lineRule="exact"/>
              <w:ind w:firstLine="0" w:firstLineChars="0"/>
              <w:rPr>
                <w:color w:val="000000" w:themeColor="text1"/>
                <w:sz w:val="18"/>
                <w:szCs w:val="18"/>
                <w14:textFill>
                  <w14:solidFill>
                    <w14:schemeClr w14:val="tx1"/>
                  </w14:solidFill>
                </w14:textFill>
              </w:rPr>
            </w:pPr>
          </w:p>
        </w:tc>
        <w:tc>
          <w:tcPr>
            <w:tcW w:w="534" w:type="dxa"/>
            <w:vMerge w:val="continue"/>
            <w:tcMar>
              <w:left w:w="28" w:type="dxa"/>
              <w:right w:w="28" w:type="dxa"/>
            </w:tcMar>
            <w:vAlign w:val="center"/>
          </w:tcPr>
          <w:p w14:paraId="12F0FBC4">
            <w:pPr>
              <w:spacing w:line="240" w:lineRule="exact"/>
              <w:ind w:firstLine="0" w:firstLineChars="0"/>
              <w:rPr>
                <w:color w:val="000000" w:themeColor="text1"/>
                <w:sz w:val="18"/>
                <w:szCs w:val="18"/>
                <w14:textFill>
                  <w14:solidFill>
                    <w14:schemeClr w14:val="tx1"/>
                  </w14:solidFill>
                </w14:textFill>
              </w:rPr>
            </w:pPr>
          </w:p>
        </w:tc>
        <w:tc>
          <w:tcPr>
            <w:tcW w:w="5400" w:type="dxa"/>
            <w:tcMar>
              <w:left w:w="28" w:type="dxa"/>
              <w:right w:w="28" w:type="dxa"/>
            </w:tcMar>
            <w:vAlign w:val="center"/>
          </w:tcPr>
          <w:p w14:paraId="61EB466F">
            <w:pPr>
              <w:spacing w:line="240" w:lineRule="exact"/>
              <w:ind w:firstLine="0" w:firstLineChars="0"/>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3．土壤环境监管重点单位应当严格控制有毒有害物质排放，并按年度向所在地设区的市人民政府生态环境主管部门报告排放情况；建立土壤污染隐患排查制度，保证持续有效防止有毒有害物质渗漏、流失、扬散。</w:t>
            </w:r>
          </w:p>
        </w:tc>
        <w:tc>
          <w:tcPr>
            <w:tcW w:w="2342" w:type="dxa"/>
            <w:tcMar>
              <w:left w:w="28" w:type="dxa"/>
              <w:right w:w="28" w:type="dxa"/>
            </w:tcMar>
            <w:vAlign w:val="center"/>
          </w:tcPr>
          <w:p w14:paraId="73E0A06C">
            <w:pPr>
              <w:spacing w:line="240" w:lineRule="exact"/>
              <w:ind w:firstLine="0" w:firstLineChars="0"/>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运营期将定期对各类生产设施开展维护、检修工作。符合。</w:t>
            </w:r>
          </w:p>
        </w:tc>
      </w:tr>
      <w:tr w14:paraId="699A701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34" w:type="dxa"/>
            <w:vMerge w:val="continue"/>
            <w:tcMar>
              <w:left w:w="28" w:type="dxa"/>
              <w:right w:w="28" w:type="dxa"/>
            </w:tcMar>
            <w:vAlign w:val="center"/>
          </w:tcPr>
          <w:p w14:paraId="094A28AC">
            <w:pPr>
              <w:spacing w:line="240" w:lineRule="exact"/>
              <w:ind w:firstLine="0" w:firstLineChars="0"/>
              <w:rPr>
                <w:color w:val="000000" w:themeColor="text1"/>
                <w:sz w:val="18"/>
                <w:szCs w:val="18"/>
                <w14:textFill>
                  <w14:solidFill>
                    <w14:schemeClr w14:val="tx1"/>
                  </w14:solidFill>
                </w14:textFill>
              </w:rPr>
            </w:pPr>
          </w:p>
        </w:tc>
        <w:tc>
          <w:tcPr>
            <w:tcW w:w="534" w:type="dxa"/>
            <w:vMerge w:val="restart"/>
            <w:tcMar>
              <w:left w:w="28" w:type="dxa"/>
              <w:right w:w="28" w:type="dxa"/>
            </w:tcMar>
            <w:vAlign w:val="center"/>
          </w:tcPr>
          <w:p w14:paraId="75DCACA9">
            <w:pPr>
              <w:spacing w:line="240" w:lineRule="exact"/>
              <w:ind w:firstLine="0" w:firstLineChars="0"/>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资源开发利用效率要求</w:t>
            </w:r>
          </w:p>
        </w:tc>
        <w:tc>
          <w:tcPr>
            <w:tcW w:w="5400" w:type="dxa"/>
            <w:tcMar>
              <w:left w:w="28" w:type="dxa"/>
              <w:right w:w="28" w:type="dxa"/>
            </w:tcMar>
            <w:vAlign w:val="center"/>
          </w:tcPr>
          <w:p w14:paraId="2687EAC2">
            <w:pPr>
              <w:spacing w:line="240" w:lineRule="exact"/>
              <w:ind w:firstLine="0" w:firstLineChars="0"/>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1</w:t>
            </w:r>
            <w:r>
              <w:rPr>
                <w:color w:val="000000" w:themeColor="text1"/>
                <w:sz w:val="18"/>
                <w:szCs w:val="18"/>
                <w14:textFill>
                  <w14:solidFill>
                    <w14:schemeClr w14:val="tx1"/>
                  </w14:solidFill>
                </w14:textFill>
              </w:rPr>
              <w:t>.在禁燃区内，禁止销售、燃用高污染燃料；禁止新建、扩建燃用高污染燃料的设施，已建成的，应当在城市人民政府规定的期限内改用天然气、页岩气、液化石油气、电或者其他清洁能源。其余按照《钦州市人民政府关于划定高污染燃料禁燃区的通告》要求实施管理。</w:t>
            </w:r>
          </w:p>
        </w:tc>
        <w:tc>
          <w:tcPr>
            <w:tcW w:w="2342" w:type="dxa"/>
            <w:tcMar>
              <w:left w:w="28" w:type="dxa"/>
              <w:right w:w="28" w:type="dxa"/>
            </w:tcMar>
            <w:vAlign w:val="center"/>
          </w:tcPr>
          <w:p w14:paraId="1AD32ED7">
            <w:pPr>
              <w:spacing w:line="240" w:lineRule="exact"/>
              <w:ind w:firstLine="0" w:firstLineChars="0"/>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本项目</w:t>
            </w:r>
            <w:r>
              <w:rPr>
                <w:rFonts w:hint="eastAsia"/>
                <w:color w:val="000000" w:themeColor="text1"/>
                <w:sz w:val="18"/>
                <w:szCs w:val="18"/>
                <w14:textFill>
                  <w14:solidFill>
                    <w14:schemeClr w14:val="tx1"/>
                  </w14:solidFill>
                </w14:textFill>
              </w:rPr>
              <w:t>不使用高污染燃料</w:t>
            </w:r>
            <w:r>
              <w:rPr>
                <w:color w:val="000000" w:themeColor="text1"/>
                <w:sz w:val="18"/>
                <w:szCs w:val="18"/>
                <w14:textFill>
                  <w14:solidFill>
                    <w14:schemeClr w14:val="tx1"/>
                  </w14:solidFill>
                </w14:textFill>
              </w:rPr>
              <w:t>。</w:t>
            </w:r>
            <w:r>
              <w:rPr>
                <w:b/>
                <w:bCs/>
                <w:color w:val="000000" w:themeColor="text1"/>
                <w:sz w:val="18"/>
                <w:szCs w:val="18"/>
                <w14:textFill>
                  <w14:solidFill>
                    <w14:schemeClr w14:val="tx1"/>
                  </w14:solidFill>
                </w14:textFill>
              </w:rPr>
              <w:t>符合。</w:t>
            </w:r>
          </w:p>
        </w:tc>
      </w:tr>
      <w:tr w14:paraId="19391CA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34" w:type="dxa"/>
            <w:vMerge w:val="continue"/>
            <w:tcMar>
              <w:left w:w="28" w:type="dxa"/>
              <w:right w:w="28" w:type="dxa"/>
            </w:tcMar>
            <w:vAlign w:val="center"/>
          </w:tcPr>
          <w:p w14:paraId="5C0CAE30">
            <w:pPr>
              <w:spacing w:line="240" w:lineRule="exact"/>
              <w:ind w:firstLine="0" w:firstLineChars="0"/>
              <w:rPr>
                <w:color w:val="000000" w:themeColor="text1"/>
                <w:sz w:val="18"/>
                <w:szCs w:val="18"/>
                <w14:textFill>
                  <w14:solidFill>
                    <w14:schemeClr w14:val="tx1"/>
                  </w14:solidFill>
                </w14:textFill>
              </w:rPr>
            </w:pPr>
          </w:p>
        </w:tc>
        <w:tc>
          <w:tcPr>
            <w:tcW w:w="534" w:type="dxa"/>
            <w:vMerge w:val="continue"/>
            <w:tcMar>
              <w:left w:w="28" w:type="dxa"/>
              <w:right w:w="28" w:type="dxa"/>
            </w:tcMar>
            <w:vAlign w:val="center"/>
          </w:tcPr>
          <w:p w14:paraId="4CE3DDA8">
            <w:pPr>
              <w:spacing w:line="240" w:lineRule="exact"/>
              <w:ind w:firstLine="0" w:firstLineChars="0"/>
              <w:rPr>
                <w:color w:val="000000" w:themeColor="text1"/>
                <w:sz w:val="18"/>
                <w:szCs w:val="18"/>
                <w14:textFill>
                  <w14:solidFill>
                    <w14:schemeClr w14:val="tx1"/>
                  </w14:solidFill>
                </w14:textFill>
              </w:rPr>
            </w:pPr>
          </w:p>
        </w:tc>
        <w:tc>
          <w:tcPr>
            <w:tcW w:w="5400" w:type="dxa"/>
            <w:tcMar>
              <w:left w:w="28" w:type="dxa"/>
              <w:right w:w="28" w:type="dxa"/>
            </w:tcMar>
            <w:vAlign w:val="center"/>
          </w:tcPr>
          <w:p w14:paraId="7105283D">
            <w:pPr>
              <w:spacing w:line="240" w:lineRule="exact"/>
              <w:ind w:firstLine="0" w:firstLineChars="0"/>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2</w:t>
            </w:r>
            <w:r>
              <w:rPr>
                <w:color w:val="000000" w:themeColor="text1"/>
                <w:sz w:val="18"/>
                <w:szCs w:val="18"/>
                <w14:textFill>
                  <w14:solidFill>
                    <w14:schemeClr w14:val="tx1"/>
                  </w14:solidFill>
                </w14:textFill>
              </w:rPr>
              <w:t>.加强水资源消耗总量与强度控制，推进节水减排，提升水资源利用效率和效益。</w:t>
            </w:r>
          </w:p>
        </w:tc>
        <w:tc>
          <w:tcPr>
            <w:tcW w:w="2342" w:type="dxa"/>
            <w:tcMar>
              <w:left w:w="28" w:type="dxa"/>
              <w:right w:w="28" w:type="dxa"/>
            </w:tcMar>
            <w:vAlign w:val="center"/>
          </w:tcPr>
          <w:p w14:paraId="4C81E855">
            <w:pPr>
              <w:spacing w:line="240" w:lineRule="exact"/>
              <w:ind w:firstLine="0" w:firstLineChars="0"/>
              <w:rPr>
                <w:color w:val="000000" w:themeColor="text1"/>
                <w:sz w:val="18"/>
                <w:szCs w:val="18"/>
                <w14:textFill>
                  <w14:solidFill>
                    <w14:schemeClr w14:val="tx1"/>
                  </w14:solidFill>
                </w14:textFill>
              </w:rPr>
            </w:pPr>
          </w:p>
        </w:tc>
      </w:tr>
      <w:tr w14:paraId="1DD754B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34" w:type="dxa"/>
            <w:vMerge w:val="continue"/>
            <w:tcMar>
              <w:left w:w="28" w:type="dxa"/>
              <w:right w:w="28" w:type="dxa"/>
            </w:tcMar>
            <w:vAlign w:val="center"/>
          </w:tcPr>
          <w:p w14:paraId="083AE9CE">
            <w:pPr>
              <w:spacing w:line="240" w:lineRule="exact"/>
              <w:ind w:firstLine="0" w:firstLineChars="0"/>
              <w:rPr>
                <w:color w:val="000000" w:themeColor="text1"/>
                <w:sz w:val="18"/>
                <w:szCs w:val="18"/>
                <w14:textFill>
                  <w14:solidFill>
                    <w14:schemeClr w14:val="tx1"/>
                  </w14:solidFill>
                </w14:textFill>
              </w:rPr>
            </w:pPr>
          </w:p>
        </w:tc>
        <w:tc>
          <w:tcPr>
            <w:tcW w:w="534" w:type="dxa"/>
            <w:vMerge w:val="continue"/>
            <w:tcMar>
              <w:left w:w="28" w:type="dxa"/>
              <w:right w:w="28" w:type="dxa"/>
            </w:tcMar>
            <w:vAlign w:val="center"/>
          </w:tcPr>
          <w:p w14:paraId="37C1CD5C">
            <w:pPr>
              <w:spacing w:line="240" w:lineRule="exact"/>
              <w:ind w:firstLine="0" w:firstLineChars="0"/>
              <w:rPr>
                <w:color w:val="000000" w:themeColor="text1"/>
                <w:sz w:val="18"/>
                <w:szCs w:val="18"/>
                <w14:textFill>
                  <w14:solidFill>
                    <w14:schemeClr w14:val="tx1"/>
                  </w14:solidFill>
                </w14:textFill>
              </w:rPr>
            </w:pPr>
          </w:p>
        </w:tc>
        <w:tc>
          <w:tcPr>
            <w:tcW w:w="5400" w:type="dxa"/>
            <w:tcMar>
              <w:left w:w="28" w:type="dxa"/>
              <w:right w:w="28" w:type="dxa"/>
            </w:tcMar>
            <w:vAlign w:val="center"/>
          </w:tcPr>
          <w:p w14:paraId="0BA9EF7D">
            <w:pPr>
              <w:spacing w:line="240" w:lineRule="exact"/>
              <w:ind w:firstLine="0" w:firstLineChars="0"/>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3．坚持节约集约用地，提高土地利用效率。</w:t>
            </w:r>
          </w:p>
        </w:tc>
        <w:tc>
          <w:tcPr>
            <w:tcW w:w="2342" w:type="dxa"/>
            <w:tcMar>
              <w:left w:w="28" w:type="dxa"/>
              <w:right w:w="28" w:type="dxa"/>
            </w:tcMar>
            <w:vAlign w:val="center"/>
          </w:tcPr>
          <w:p w14:paraId="18DBA24F">
            <w:pPr>
              <w:spacing w:line="240" w:lineRule="exact"/>
              <w:ind w:firstLine="0" w:firstLineChars="0"/>
              <w:rPr>
                <w:color w:val="000000" w:themeColor="text1"/>
                <w:sz w:val="18"/>
                <w:szCs w:val="18"/>
                <w14:textFill>
                  <w14:solidFill>
                    <w14:schemeClr w14:val="tx1"/>
                  </w14:solidFill>
                </w14:textFill>
              </w:rPr>
            </w:pPr>
          </w:p>
        </w:tc>
      </w:tr>
      <w:tr w14:paraId="159F1D7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34" w:type="dxa"/>
            <w:vMerge w:val="restart"/>
            <w:tcMar>
              <w:left w:w="28" w:type="dxa"/>
              <w:right w:w="28" w:type="dxa"/>
            </w:tcMar>
            <w:vAlign w:val="center"/>
          </w:tcPr>
          <w:p w14:paraId="309B9E49">
            <w:pPr>
              <w:spacing w:line="240" w:lineRule="exact"/>
              <w:ind w:firstLine="0" w:firstLineChars="0"/>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金谷港区（金谷交通运输用海区）</w:t>
            </w:r>
          </w:p>
        </w:tc>
        <w:tc>
          <w:tcPr>
            <w:tcW w:w="534" w:type="dxa"/>
            <w:vMerge w:val="restart"/>
            <w:tcMar>
              <w:left w:w="28" w:type="dxa"/>
              <w:right w:w="28" w:type="dxa"/>
            </w:tcMar>
            <w:vAlign w:val="center"/>
          </w:tcPr>
          <w:p w14:paraId="057251DD">
            <w:pPr>
              <w:spacing w:line="240" w:lineRule="exact"/>
              <w:ind w:firstLine="0" w:firstLineChars="0"/>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空间布局约束</w:t>
            </w:r>
          </w:p>
        </w:tc>
        <w:tc>
          <w:tcPr>
            <w:tcW w:w="5400" w:type="dxa"/>
            <w:tcMar>
              <w:left w:w="28" w:type="dxa"/>
              <w:right w:w="28" w:type="dxa"/>
            </w:tcMar>
            <w:vAlign w:val="center"/>
          </w:tcPr>
          <w:p w14:paraId="725A4DD8">
            <w:pPr>
              <w:spacing w:line="240" w:lineRule="exact"/>
              <w:ind w:firstLine="0" w:firstLineChars="0"/>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1．加强水生生物重要生境以及自然岸线、红树林、海草床、湿地等保护。新建港口码头应避让且 尽量远离生态保护红线、法定保护区、鱼类“三场一通道”等环境保护目标，降低规划实施对敏 感目标的影响；现有港口码头应根据其与敏感目标的位置关系，提出强化环境保护措施的要求， 避免加剧不利环境影响。</w:t>
            </w:r>
          </w:p>
        </w:tc>
        <w:tc>
          <w:tcPr>
            <w:tcW w:w="2342" w:type="dxa"/>
            <w:tcMar>
              <w:left w:w="28" w:type="dxa"/>
              <w:right w:w="28" w:type="dxa"/>
            </w:tcMar>
            <w:vAlign w:val="center"/>
          </w:tcPr>
          <w:p w14:paraId="10A1FC48">
            <w:pPr>
              <w:spacing w:line="240" w:lineRule="exact"/>
              <w:ind w:firstLine="0" w:firstLineChars="0"/>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本项目不涉及生态红线，与生态敏感区有一定距离，采取相应环境保护措施后对其影响不大。符合。</w:t>
            </w:r>
          </w:p>
        </w:tc>
      </w:tr>
      <w:tr w14:paraId="1FC50AB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34" w:type="dxa"/>
            <w:vMerge w:val="continue"/>
            <w:tcMar>
              <w:left w:w="28" w:type="dxa"/>
              <w:right w:w="28" w:type="dxa"/>
            </w:tcMar>
            <w:vAlign w:val="center"/>
          </w:tcPr>
          <w:p w14:paraId="396CF572">
            <w:pPr>
              <w:spacing w:line="240" w:lineRule="exact"/>
              <w:ind w:firstLine="0" w:firstLineChars="0"/>
              <w:rPr>
                <w:color w:val="000000" w:themeColor="text1"/>
                <w:sz w:val="18"/>
                <w:szCs w:val="18"/>
                <w14:textFill>
                  <w14:solidFill>
                    <w14:schemeClr w14:val="tx1"/>
                  </w14:solidFill>
                </w14:textFill>
              </w:rPr>
            </w:pPr>
          </w:p>
        </w:tc>
        <w:tc>
          <w:tcPr>
            <w:tcW w:w="534" w:type="dxa"/>
            <w:vMerge w:val="continue"/>
            <w:tcMar>
              <w:left w:w="28" w:type="dxa"/>
              <w:right w:w="28" w:type="dxa"/>
            </w:tcMar>
            <w:vAlign w:val="center"/>
          </w:tcPr>
          <w:p w14:paraId="742B5E8E">
            <w:pPr>
              <w:spacing w:line="240" w:lineRule="exact"/>
              <w:ind w:firstLine="0" w:firstLineChars="0"/>
              <w:rPr>
                <w:color w:val="000000" w:themeColor="text1"/>
                <w:sz w:val="18"/>
                <w:szCs w:val="18"/>
                <w14:textFill>
                  <w14:solidFill>
                    <w14:schemeClr w14:val="tx1"/>
                  </w14:solidFill>
                </w14:textFill>
              </w:rPr>
            </w:pPr>
          </w:p>
        </w:tc>
        <w:tc>
          <w:tcPr>
            <w:tcW w:w="5400" w:type="dxa"/>
            <w:tcMar>
              <w:left w:w="28" w:type="dxa"/>
              <w:right w:w="28" w:type="dxa"/>
            </w:tcMar>
            <w:vAlign w:val="center"/>
          </w:tcPr>
          <w:p w14:paraId="3684EBA8">
            <w:pPr>
              <w:spacing w:line="240" w:lineRule="exact"/>
              <w:ind w:firstLine="0" w:firstLineChars="0"/>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2.干散货码头需与居民集中区保持一定距离，确保不对居民造成大气环境不利影响；危险品码头需远离各类生态环境敏感目标。</w:t>
            </w:r>
          </w:p>
        </w:tc>
        <w:tc>
          <w:tcPr>
            <w:tcW w:w="2342" w:type="dxa"/>
            <w:tcMar>
              <w:left w:w="28" w:type="dxa"/>
              <w:right w:w="28" w:type="dxa"/>
            </w:tcMar>
            <w:vAlign w:val="center"/>
          </w:tcPr>
          <w:p w14:paraId="7CFF5FDC">
            <w:pPr>
              <w:spacing w:line="240" w:lineRule="exact"/>
              <w:ind w:firstLine="0" w:firstLineChars="0"/>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本项目远离生态环境敏感目标，符合</w:t>
            </w:r>
          </w:p>
        </w:tc>
      </w:tr>
      <w:tr w14:paraId="012DCCA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34" w:type="dxa"/>
            <w:vMerge w:val="continue"/>
            <w:tcMar>
              <w:left w:w="28" w:type="dxa"/>
              <w:right w:w="28" w:type="dxa"/>
            </w:tcMar>
            <w:vAlign w:val="center"/>
          </w:tcPr>
          <w:p w14:paraId="06624FD2">
            <w:pPr>
              <w:spacing w:line="240" w:lineRule="exact"/>
              <w:ind w:firstLine="0" w:firstLineChars="0"/>
              <w:rPr>
                <w:color w:val="000000" w:themeColor="text1"/>
                <w:sz w:val="18"/>
                <w:szCs w:val="18"/>
                <w14:textFill>
                  <w14:solidFill>
                    <w14:schemeClr w14:val="tx1"/>
                  </w14:solidFill>
                </w14:textFill>
              </w:rPr>
            </w:pPr>
          </w:p>
        </w:tc>
        <w:tc>
          <w:tcPr>
            <w:tcW w:w="534" w:type="dxa"/>
            <w:vMerge w:val="continue"/>
            <w:tcMar>
              <w:left w:w="28" w:type="dxa"/>
              <w:right w:w="28" w:type="dxa"/>
            </w:tcMar>
            <w:vAlign w:val="center"/>
          </w:tcPr>
          <w:p w14:paraId="12E885B3">
            <w:pPr>
              <w:spacing w:line="240" w:lineRule="exact"/>
              <w:ind w:firstLine="0" w:firstLineChars="0"/>
              <w:rPr>
                <w:color w:val="000000" w:themeColor="text1"/>
                <w:sz w:val="18"/>
                <w:szCs w:val="18"/>
                <w14:textFill>
                  <w14:solidFill>
                    <w14:schemeClr w14:val="tx1"/>
                  </w14:solidFill>
                </w14:textFill>
              </w:rPr>
            </w:pPr>
          </w:p>
        </w:tc>
        <w:tc>
          <w:tcPr>
            <w:tcW w:w="5400" w:type="dxa"/>
            <w:tcMar>
              <w:left w:w="28" w:type="dxa"/>
              <w:right w:w="28" w:type="dxa"/>
            </w:tcMar>
            <w:vAlign w:val="center"/>
          </w:tcPr>
          <w:p w14:paraId="5F111C22">
            <w:pPr>
              <w:spacing w:line="240" w:lineRule="exact"/>
              <w:ind w:firstLine="0" w:firstLineChars="0"/>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3</w:t>
            </w:r>
            <w:r>
              <w:rPr>
                <w:color w:val="000000" w:themeColor="text1"/>
                <w:sz w:val="18"/>
                <w:szCs w:val="18"/>
                <w14:textFill>
                  <w14:solidFill>
                    <w14:schemeClr w14:val="tx1"/>
                  </w14:solidFill>
                </w14:textFill>
              </w:rPr>
              <w:t>.不得突破港口总体规划划定的岸线范围。</w:t>
            </w:r>
          </w:p>
        </w:tc>
        <w:tc>
          <w:tcPr>
            <w:tcW w:w="2342" w:type="dxa"/>
            <w:tcMar>
              <w:left w:w="28" w:type="dxa"/>
              <w:right w:w="28" w:type="dxa"/>
            </w:tcMar>
            <w:vAlign w:val="center"/>
          </w:tcPr>
          <w:p w14:paraId="03B20F5D">
            <w:pPr>
              <w:spacing w:line="240" w:lineRule="exact"/>
              <w:ind w:firstLine="0" w:firstLineChars="0"/>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本项目在划定的岸线范围内，符合</w:t>
            </w:r>
          </w:p>
        </w:tc>
      </w:tr>
      <w:tr w14:paraId="6B41CC4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34" w:type="dxa"/>
            <w:vMerge w:val="continue"/>
            <w:tcMar>
              <w:left w:w="28" w:type="dxa"/>
              <w:right w:w="28" w:type="dxa"/>
            </w:tcMar>
            <w:vAlign w:val="center"/>
          </w:tcPr>
          <w:p w14:paraId="6D3060B9">
            <w:pPr>
              <w:spacing w:line="240" w:lineRule="exact"/>
              <w:ind w:firstLine="0" w:firstLineChars="0"/>
              <w:rPr>
                <w:color w:val="000000" w:themeColor="text1"/>
                <w:sz w:val="18"/>
                <w:szCs w:val="18"/>
                <w14:textFill>
                  <w14:solidFill>
                    <w14:schemeClr w14:val="tx1"/>
                  </w14:solidFill>
                </w14:textFill>
              </w:rPr>
            </w:pPr>
          </w:p>
        </w:tc>
        <w:tc>
          <w:tcPr>
            <w:tcW w:w="534" w:type="dxa"/>
            <w:vMerge w:val="continue"/>
            <w:tcMar>
              <w:left w:w="28" w:type="dxa"/>
              <w:right w:w="28" w:type="dxa"/>
            </w:tcMar>
            <w:vAlign w:val="center"/>
          </w:tcPr>
          <w:p w14:paraId="2A09B98D">
            <w:pPr>
              <w:spacing w:line="240" w:lineRule="exact"/>
              <w:ind w:firstLine="0" w:firstLineChars="0"/>
              <w:rPr>
                <w:color w:val="000000" w:themeColor="text1"/>
                <w:sz w:val="18"/>
                <w:szCs w:val="18"/>
                <w14:textFill>
                  <w14:solidFill>
                    <w14:schemeClr w14:val="tx1"/>
                  </w14:solidFill>
                </w14:textFill>
              </w:rPr>
            </w:pPr>
          </w:p>
        </w:tc>
        <w:tc>
          <w:tcPr>
            <w:tcW w:w="5400" w:type="dxa"/>
            <w:tcMar>
              <w:left w:w="28" w:type="dxa"/>
              <w:right w:w="28" w:type="dxa"/>
            </w:tcMar>
            <w:vAlign w:val="center"/>
          </w:tcPr>
          <w:p w14:paraId="7B907D4C">
            <w:pPr>
              <w:spacing w:line="240" w:lineRule="exact"/>
              <w:ind w:firstLine="0" w:firstLineChars="0"/>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4.</w:t>
            </w:r>
            <w:r>
              <w:rPr>
                <w:color w:val="000000" w:themeColor="text1"/>
                <w:sz w:val="18"/>
                <w:szCs w:val="18"/>
                <w14:textFill>
                  <w14:solidFill>
                    <w14:schemeClr w14:val="tx1"/>
                  </w14:solidFill>
                </w14:textFill>
              </w:rPr>
              <w:t>建立渔业资源损失补偿机制，开展增殖放流、人工鱼礁等生态修复工作。</w:t>
            </w:r>
          </w:p>
        </w:tc>
        <w:tc>
          <w:tcPr>
            <w:tcW w:w="2342" w:type="dxa"/>
            <w:tcMar>
              <w:left w:w="28" w:type="dxa"/>
              <w:right w:w="28" w:type="dxa"/>
            </w:tcMar>
            <w:vAlign w:val="center"/>
          </w:tcPr>
          <w:p w14:paraId="2D6F7187">
            <w:pPr>
              <w:spacing w:line="240" w:lineRule="exact"/>
              <w:ind w:firstLine="0" w:firstLineChars="0"/>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本项目不涉及水工施工</w:t>
            </w:r>
          </w:p>
        </w:tc>
      </w:tr>
      <w:tr w14:paraId="24CED1F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34" w:type="dxa"/>
            <w:vMerge w:val="continue"/>
            <w:tcMar>
              <w:left w:w="28" w:type="dxa"/>
              <w:right w:w="28" w:type="dxa"/>
            </w:tcMar>
            <w:vAlign w:val="center"/>
          </w:tcPr>
          <w:p w14:paraId="72EFC2D0">
            <w:pPr>
              <w:spacing w:line="240" w:lineRule="exact"/>
              <w:ind w:firstLine="0" w:firstLineChars="0"/>
              <w:rPr>
                <w:color w:val="000000" w:themeColor="text1"/>
                <w:sz w:val="18"/>
                <w:szCs w:val="18"/>
                <w14:textFill>
                  <w14:solidFill>
                    <w14:schemeClr w14:val="tx1"/>
                  </w14:solidFill>
                </w14:textFill>
              </w:rPr>
            </w:pPr>
          </w:p>
        </w:tc>
        <w:tc>
          <w:tcPr>
            <w:tcW w:w="534" w:type="dxa"/>
            <w:vMerge w:val="continue"/>
            <w:tcMar>
              <w:left w:w="28" w:type="dxa"/>
              <w:right w:w="28" w:type="dxa"/>
            </w:tcMar>
            <w:vAlign w:val="center"/>
          </w:tcPr>
          <w:p w14:paraId="1613A97C">
            <w:pPr>
              <w:spacing w:line="240" w:lineRule="exact"/>
              <w:ind w:firstLine="0" w:firstLineChars="0"/>
              <w:rPr>
                <w:color w:val="000000" w:themeColor="text1"/>
                <w:sz w:val="18"/>
                <w:szCs w:val="18"/>
                <w14:textFill>
                  <w14:solidFill>
                    <w14:schemeClr w14:val="tx1"/>
                  </w14:solidFill>
                </w14:textFill>
              </w:rPr>
            </w:pPr>
          </w:p>
        </w:tc>
        <w:tc>
          <w:tcPr>
            <w:tcW w:w="5400" w:type="dxa"/>
            <w:tcMar>
              <w:left w:w="28" w:type="dxa"/>
              <w:right w:w="28" w:type="dxa"/>
            </w:tcMar>
            <w:vAlign w:val="center"/>
          </w:tcPr>
          <w:p w14:paraId="774DA471">
            <w:pPr>
              <w:spacing w:line="240" w:lineRule="exact"/>
              <w:ind w:firstLine="0" w:firstLineChars="0"/>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5.</w:t>
            </w:r>
            <w:r>
              <w:rPr>
                <w:color w:val="000000" w:themeColor="text1"/>
                <w:sz w:val="18"/>
                <w:szCs w:val="18"/>
                <w14:textFill>
                  <w14:solidFill>
                    <w14:schemeClr w14:val="tx1"/>
                  </w14:solidFill>
                </w14:textFill>
              </w:rPr>
              <w:t>合理控制港口开发规模与强度，不得占用依法应当禁止开发的区域，优先避让其他生态环境敏感区域。推动港口码头岸电设施和船舶受电设施建设和改造。</w:t>
            </w:r>
          </w:p>
        </w:tc>
        <w:tc>
          <w:tcPr>
            <w:tcW w:w="2342" w:type="dxa"/>
            <w:tcMar>
              <w:left w:w="28" w:type="dxa"/>
              <w:right w:w="28" w:type="dxa"/>
            </w:tcMar>
            <w:vAlign w:val="center"/>
          </w:tcPr>
          <w:p w14:paraId="0AA6F45A">
            <w:pPr>
              <w:spacing w:line="240" w:lineRule="exact"/>
              <w:ind w:firstLine="0" w:firstLineChars="0"/>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本项目不涉及生态环境敏感区</w:t>
            </w:r>
          </w:p>
        </w:tc>
      </w:tr>
      <w:tr w14:paraId="59BC2BA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34" w:type="dxa"/>
            <w:vMerge w:val="continue"/>
            <w:tcMar>
              <w:left w:w="28" w:type="dxa"/>
              <w:right w:w="28" w:type="dxa"/>
            </w:tcMar>
            <w:vAlign w:val="center"/>
          </w:tcPr>
          <w:p w14:paraId="614C5E80">
            <w:pPr>
              <w:spacing w:line="240" w:lineRule="exact"/>
              <w:ind w:firstLine="0" w:firstLineChars="0"/>
              <w:rPr>
                <w:color w:val="000000" w:themeColor="text1"/>
                <w:sz w:val="18"/>
                <w:szCs w:val="18"/>
                <w14:textFill>
                  <w14:solidFill>
                    <w14:schemeClr w14:val="tx1"/>
                  </w14:solidFill>
                </w14:textFill>
              </w:rPr>
            </w:pPr>
          </w:p>
        </w:tc>
        <w:tc>
          <w:tcPr>
            <w:tcW w:w="534" w:type="dxa"/>
            <w:vMerge w:val="continue"/>
            <w:tcMar>
              <w:left w:w="28" w:type="dxa"/>
              <w:right w:w="28" w:type="dxa"/>
            </w:tcMar>
            <w:vAlign w:val="center"/>
          </w:tcPr>
          <w:p w14:paraId="414633C2">
            <w:pPr>
              <w:spacing w:line="240" w:lineRule="exact"/>
              <w:ind w:firstLine="0" w:firstLineChars="0"/>
              <w:rPr>
                <w:color w:val="000000" w:themeColor="text1"/>
                <w:sz w:val="18"/>
                <w:szCs w:val="18"/>
                <w14:textFill>
                  <w14:solidFill>
                    <w14:schemeClr w14:val="tx1"/>
                  </w14:solidFill>
                </w14:textFill>
              </w:rPr>
            </w:pPr>
          </w:p>
        </w:tc>
        <w:tc>
          <w:tcPr>
            <w:tcW w:w="5400" w:type="dxa"/>
            <w:tcMar>
              <w:left w:w="28" w:type="dxa"/>
              <w:right w:w="28" w:type="dxa"/>
            </w:tcMar>
            <w:vAlign w:val="center"/>
          </w:tcPr>
          <w:p w14:paraId="78E2968B">
            <w:pPr>
              <w:spacing w:line="240" w:lineRule="exact"/>
              <w:ind w:firstLine="0" w:firstLineChars="0"/>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6.</w:t>
            </w:r>
            <w:r>
              <w:rPr>
                <w:color w:val="000000" w:themeColor="text1"/>
                <w:sz w:val="18"/>
                <w:szCs w:val="18"/>
                <w14:textFill>
                  <w14:solidFill>
                    <w14:schemeClr w14:val="tx1"/>
                  </w14:solidFill>
                </w14:textFill>
              </w:rPr>
              <w:t>严格控制建设不符合《北部湾港总体规划（2035年）》、《钦州港总体规划（2035年）》的 港口码头项目</w:t>
            </w:r>
          </w:p>
        </w:tc>
        <w:tc>
          <w:tcPr>
            <w:tcW w:w="2342" w:type="dxa"/>
            <w:tcMar>
              <w:left w:w="28" w:type="dxa"/>
              <w:right w:w="28" w:type="dxa"/>
            </w:tcMar>
            <w:vAlign w:val="center"/>
          </w:tcPr>
          <w:p w14:paraId="3DA75896">
            <w:pPr>
              <w:spacing w:line="240" w:lineRule="exact"/>
              <w:ind w:firstLine="0" w:firstLineChars="0"/>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本项目符合</w:t>
            </w:r>
            <w:r>
              <w:rPr>
                <w:color w:val="000000" w:themeColor="text1"/>
                <w:sz w:val="18"/>
                <w:szCs w:val="18"/>
                <w14:textFill>
                  <w14:solidFill>
                    <w14:schemeClr w14:val="tx1"/>
                  </w14:solidFill>
                </w14:textFill>
              </w:rPr>
              <w:t>《北部湾港总体规划（2035年）》、《钦州港总体规划（2035年）》</w:t>
            </w:r>
          </w:p>
        </w:tc>
      </w:tr>
      <w:tr w14:paraId="46C7D4A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690" w:hRule="atLeast"/>
          <w:jc w:val="center"/>
        </w:trPr>
        <w:tc>
          <w:tcPr>
            <w:tcW w:w="534" w:type="dxa"/>
            <w:vMerge w:val="continue"/>
            <w:tcMar>
              <w:left w:w="28" w:type="dxa"/>
              <w:right w:w="28" w:type="dxa"/>
            </w:tcMar>
            <w:vAlign w:val="center"/>
          </w:tcPr>
          <w:p w14:paraId="7B841B0D">
            <w:pPr>
              <w:spacing w:line="240" w:lineRule="exact"/>
              <w:ind w:firstLine="0" w:firstLineChars="0"/>
              <w:rPr>
                <w:color w:val="000000" w:themeColor="text1"/>
                <w:sz w:val="18"/>
                <w:szCs w:val="18"/>
                <w14:textFill>
                  <w14:solidFill>
                    <w14:schemeClr w14:val="tx1"/>
                  </w14:solidFill>
                </w14:textFill>
              </w:rPr>
            </w:pPr>
          </w:p>
        </w:tc>
        <w:tc>
          <w:tcPr>
            <w:tcW w:w="534" w:type="dxa"/>
            <w:vMerge w:val="restart"/>
            <w:tcMar>
              <w:left w:w="28" w:type="dxa"/>
              <w:right w:w="28" w:type="dxa"/>
            </w:tcMar>
            <w:vAlign w:val="center"/>
          </w:tcPr>
          <w:p w14:paraId="51B2FAC7">
            <w:pPr>
              <w:spacing w:line="240" w:lineRule="exact"/>
              <w:ind w:firstLine="0" w:firstLineChars="0"/>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污染物排放管控</w:t>
            </w:r>
          </w:p>
        </w:tc>
        <w:tc>
          <w:tcPr>
            <w:tcW w:w="5400" w:type="dxa"/>
            <w:tcMar>
              <w:left w:w="28" w:type="dxa"/>
              <w:right w:w="28" w:type="dxa"/>
            </w:tcMar>
            <w:vAlign w:val="center"/>
          </w:tcPr>
          <w:p w14:paraId="1314CB37">
            <w:pPr>
              <w:spacing w:line="240" w:lineRule="exact"/>
              <w:ind w:firstLine="0" w:firstLineChars="0"/>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1</w:t>
            </w:r>
            <w:r>
              <w:rPr>
                <w:color w:val="000000" w:themeColor="text1"/>
                <w:sz w:val="18"/>
                <w:szCs w:val="18"/>
                <w14:textFill>
                  <w14:solidFill>
                    <w14:schemeClr w14:val="tx1"/>
                  </w14:solidFill>
                </w14:textFill>
              </w:rPr>
              <w:t>.船舶排放含油污水、生活污水等，应当符合船舶污染物排放标准。禁止向水体倾倒船舶垃圾。 禁止排放不符合规定的船舶压载水。</w:t>
            </w:r>
          </w:p>
        </w:tc>
        <w:tc>
          <w:tcPr>
            <w:tcW w:w="2342" w:type="dxa"/>
            <w:tcMar>
              <w:left w:w="28" w:type="dxa"/>
              <w:right w:w="28" w:type="dxa"/>
            </w:tcMar>
            <w:vAlign w:val="center"/>
          </w:tcPr>
          <w:p w14:paraId="6107F830">
            <w:pPr>
              <w:spacing w:line="240" w:lineRule="exact"/>
              <w:ind w:firstLine="0" w:firstLineChars="0"/>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船舶污水由有资质单位接收，不外排</w:t>
            </w:r>
          </w:p>
        </w:tc>
      </w:tr>
      <w:tr w14:paraId="65A6D7E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690" w:hRule="atLeast"/>
          <w:jc w:val="center"/>
        </w:trPr>
        <w:tc>
          <w:tcPr>
            <w:tcW w:w="534" w:type="dxa"/>
            <w:vMerge w:val="continue"/>
            <w:tcMar>
              <w:left w:w="28" w:type="dxa"/>
              <w:right w:w="28" w:type="dxa"/>
            </w:tcMar>
            <w:vAlign w:val="center"/>
          </w:tcPr>
          <w:p w14:paraId="54F569CE">
            <w:pPr>
              <w:spacing w:line="240" w:lineRule="exact"/>
              <w:ind w:firstLine="0" w:firstLineChars="0"/>
              <w:rPr>
                <w:color w:val="000000" w:themeColor="text1"/>
                <w:sz w:val="18"/>
                <w:szCs w:val="18"/>
                <w14:textFill>
                  <w14:solidFill>
                    <w14:schemeClr w14:val="tx1"/>
                  </w14:solidFill>
                </w14:textFill>
              </w:rPr>
            </w:pPr>
          </w:p>
        </w:tc>
        <w:tc>
          <w:tcPr>
            <w:tcW w:w="534" w:type="dxa"/>
            <w:vMerge w:val="continue"/>
            <w:tcMar>
              <w:left w:w="28" w:type="dxa"/>
              <w:right w:w="28" w:type="dxa"/>
            </w:tcMar>
            <w:vAlign w:val="center"/>
          </w:tcPr>
          <w:p w14:paraId="3BC8635E">
            <w:pPr>
              <w:spacing w:line="240" w:lineRule="exact"/>
              <w:ind w:firstLine="0" w:firstLineChars="0"/>
              <w:rPr>
                <w:color w:val="000000" w:themeColor="text1"/>
                <w:sz w:val="18"/>
                <w:szCs w:val="18"/>
                <w14:textFill>
                  <w14:solidFill>
                    <w14:schemeClr w14:val="tx1"/>
                  </w14:solidFill>
                </w14:textFill>
              </w:rPr>
            </w:pPr>
          </w:p>
        </w:tc>
        <w:tc>
          <w:tcPr>
            <w:tcW w:w="5400" w:type="dxa"/>
            <w:tcMar>
              <w:left w:w="28" w:type="dxa"/>
              <w:right w:w="28" w:type="dxa"/>
            </w:tcMar>
            <w:vAlign w:val="center"/>
          </w:tcPr>
          <w:p w14:paraId="29B889D7">
            <w:pPr>
              <w:spacing w:line="240" w:lineRule="exact"/>
              <w:ind w:firstLine="0" w:firstLineChars="0"/>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2</w:t>
            </w:r>
            <w:r>
              <w:rPr>
                <w:color w:val="000000" w:themeColor="text1"/>
                <w:sz w:val="18"/>
                <w:szCs w:val="18"/>
                <w14:textFill>
                  <w14:solidFill>
                    <w14:schemeClr w14:val="tx1"/>
                  </w14:solidFill>
                </w14:textFill>
              </w:rPr>
              <w:t>.．统筹规划建设船舶污染物、废弃物的接收、转运及处理处置设施。从事船舶污染物、废弃物接 收作业，或者从事装载油类、污染危害性货物船舱清洗作业的单位，应当具备与其运营规模相适 应的接收处理能力。</w:t>
            </w:r>
          </w:p>
        </w:tc>
        <w:tc>
          <w:tcPr>
            <w:tcW w:w="2342" w:type="dxa"/>
            <w:tcMar>
              <w:left w:w="28" w:type="dxa"/>
              <w:right w:w="28" w:type="dxa"/>
            </w:tcMar>
            <w:vAlign w:val="center"/>
          </w:tcPr>
          <w:p w14:paraId="2AC184AC">
            <w:pPr>
              <w:spacing w:line="240" w:lineRule="exact"/>
              <w:ind w:firstLine="0" w:firstLineChars="0"/>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船舶污染物由有资质单位接收</w:t>
            </w:r>
          </w:p>
        </w:tc>
      </w:tr>
      <w:tr w14:paraId="774AE61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34" w:type="dxa"/>
            <w:vMerge w:val="continue"/>
            <w:tcMar>
              <w:left w:w="28" w:type="dxa"/>
              <w:right w:w="28" w:type="dxa"/>
            </w:tcMar>
            <w:vAlign w:val="center"/>
          </w:tcPr>
          <w:p w14:paraId="47B2C787">
            <w:pPr>
              <w:spacing w:line="240" w:lineRule="exact"/>
              <w:ind w:firstLine="0" w:firstLineChars="0"/>
              <w:rPr>
                <w:color w:val="000000" w:themeColor="text1"/>
                <w:sz w:val="18"/>
                <w:szCs w:val="18"/>
                <w14:textFill>
                  <w14:solidFill>
                    <w14:schemeClr w14:val="tx1"/>
                  </w14:solidFill>
                </w14:textFill>
              </w:rPr>
            </w:pPr>
          </w:p>
        </w:tc>
        <w:tc>
          <w:tcPr>
            <w:tcW w:w="534" w:type="dxa"/>
            <w:vMerge w:val="continue"/>
            <w:tcMar>
              <w:left w:w="28" w:type="dxa"/>
              <w:right w:w="28" w:type="dxa"/>
            </w:tcMar>
            <w:vAlign w:val="center"/>
          </w:tcPr>
          <w:p w14:paraId="595F5D0F">
            <w:pPr>
              <w:spacing w:line="240" w:lineRule="exact"/>
              <w:ind w:firstLine="0" w:firstLineChars="0"/>
              <w:rPr>
                <w:color w:val="000000" w:themeColor="text1"/>
                <w:sz w:val="18"/>
                <w:szCs w:val="18"/>
                <w14:textFill>
                  <w14:solidFill>
                    <w14:schemeClr w14:val="tx1"/>
                  </w14:solidFill>
                </w14:textFill>
              </w:rPr>
            </w:pPr>
          </w:p>
        </w:tc>
        <w:tc>
          <w:tcPr>
            <w:tcW w:w="5400" w:type="dxa"/>
            <w:tcMar>
              <w:left w:w="28" w:type="dxa"/>
              <w:right w:w="28" w:type="dxa"/>
            </w:tcMar>
            <w:vAlign w:val="center"/>
          </w:tcPr>
          <w:p w14:paraId="446134B5">
            <w:pPr>
              <w:spacing w:line="240" w:lineRule="exact"/>
              <w:ind w:firstLine="0" w:firstLineChars="0"/>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3</w:t>
            </w:r>
            <w:r>
              <w:rPr>
                <w:color w:val="000000" w:themeColor="text1"/>
                <w:sz w:val="18"/>
                <w:szCs w:val="18"/>
                <w14:textFill>
                  <w14:solidFill>
                    <w14:schemeClr w14:val="tx1"/>
                  </w14:solidFill>
                </w14:textFill>
              </w:rPr>
              <w:t>.．实行雨污分流和污水分质处理，完善港区污水集中处理设施和配套管网建设，实现污水集中处理、回用或达标排放。</w:t>
            </w:r>
          </w:p>
        </w:tc>
        <w:tc>
          <w:tcPr>
            <w:tcW w:w="2342" w:type="dxa"/>
            <w:tcMar>
              <w:left w:w="28" w:type="dxa"/>
              <w:right w:w="28" w:type="dxa"/>
            </w:tcMar>
            <w:vAlign w:val="center"/>
          </w:tcPr>
          <w:p w14:paraId="215842C2">
            <w:pPr>
              <w:spacing w:line="240" w:lineRule="exact"/>
              <w:ind w:firstLine="0" w:firstLineChars="0"/>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码头污水由集污池收集后进入恒逸污水处理厂处理</w:t>
            </w:r>
          </w:p>
        </w:tc>
      </w:tr>
      <w:tr w14:paraId="58A3CB4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34" w:type="dxa"/>
            <w:vMerge w:val="continue"/>
            <w:tcMar>
              <w:left w:w="28" w:type="dxa"/>
              <w:right w:w="28" w:type="dxa"/>
            </w:tcMar>
            <w:vAlign w:val="center"/>
          </w:tcPr>
          <w:p w14:paraId="6A897CE4">
            <w:pPr>
              <w:spacing w:line="240" w:lineRule="exact"/>
              <w:ind w:firstLine="0" w:firstLineChars="0"/>
              <w:rPr>
                <w:color w:val="000000" w:themeColor="text1"/>
                <w:sz w:val="18"/>
                <w:szCs w:val="18"/>
                <w14:textFill>
                  <w14:solidFill>
                    <w14:schemeClr w14:val="tx1"/>
                  </w14:solidFill>
                </w14:textFill>
              </w:rPr>
            </w:pPr>
          </w:p>
        </w:tc>
        <w:tc>
          <w:tcPr>
            <w:tcW w:w="534" w:type="dxa"/>
            <w:vMerge w:val="continue"/>
            <w:tcMar>
              <w:left w:w="28" w:type="dxa"/>
              <w:right w:w="28" w:type="dxa"/>
            </w:tcMar>
            <w:vAlign w:val="center"/>
          </w:tcPr>
          <w:p w14:paraId="298BFD5C">
            <w:pPr>
              <w:spacing w:line="240" w:lineRule="exact"/>
              <w:ind w:firstLine="0" w:firstLineChars="0"/>
              <w:rPr>
                <w:color w:val="000000" w:themeColor="text1"/>
                <w:sz w:val="18"/>
                <w:szCs w:val="18"/>
                <w14:textFill>
                  <w14:solidFill>
                    <w14:schemeClr w14:val="tx1"/>
                  </w14:solidFill>
                </w14:textFill>
              </w:rPr>
            </w:pPr>
          </w:p>
        </w:tc>
        <w:tc>
          <w:tcPr>
            <w:tcW w:w="5400" w:type="dxa"/>
            <w:tcMar>
              <w:left w:w="28" w:type="dxa"/>
              <w:right w:w="28" w:type="dxa"/>
            </w:tcMar>
            <w:vAlign w:val="center"/>
          </w:tcPr>
          <w:p w14:paraId="20F28ED8">
            <w:pPr>
              <w:spacing w:line="240" w:lineRule="exact"/>
              <w:ind w:firstLine="0" w:firstLineChars="0"/>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4</w:t>
            </w:r>
            <w:r>
              <w:rPr>
                <w:color w:val="000000" w:themeColor="text1"/>
                <w:sz w:val="18"/>
                <w:szCs w:val="18"/>
                <w14:textFill>
                  <w14:solidFill>
                    <w14:schemeClr w14:val="tx1"/>
                  </w14:solidFill>
                </w14:textFill>
              </w:rPr>
              <w:t>．．干散货作业区应实现封闭/半封闭堆存或建设有效防风抑尘设施。严格控制船舶大气污染物排 放，加强码头挥发性有机化合物控制，采取油气回收措施等有效措施控制港区油气无组织排放。</w:t>
            </w:r>
          </w:p>
        </w:tc>
        <w:tc>
          <w:tcPr>
            <w:tcW w:w="2342" w:type="dxa"/>
            <w:tcMar>
              <w:left w:w="28" w:type="dxa"/>
              <w:right w:w="28" w:type="dxa"/>
            </w:tcMar>
            <w:vAlign w:val="center"/>
          </w:tcPr>
          <w:p w14:paraId="2DD600A4">
            <w:pPr>
              <w:spacing w:line="240" w:lineRule="exact"/>
              <w:ind w:firstLine="0" w:firstLineChars="0"/>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码头废气由管道进入后方罐区处理后排放，定期检查管道，减少无组织废气排放，符合</w:t>
            </w:r>
          </w:p>
        </w:tc>
      </w:tr>
      <w:tr w14:paraId="43B24E5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34" w:type="dxa"/>
            <w:vMerge w:val="continue"/>
            <w:tcMar>
              <w:left w:w="28" w:type="dxa"/>
              <w:right w:w="28" w:type="dxa"/>
            </w:tcMar>
            <w:vAlign w:val="center"/>
          </w:tcPr>
          <w:p w14:paraId="37735594">
            <w:pPr>
              <w:spacing w:line="240" w:lineRule="exact"/>
              <w:ind w:firstLine="0" w:firstLineChars="0"/>
              <w:rPr>
                <w:color w:val="000000" w:themeColor="text1"/>
                <w:sz w:val="18"/>
                <w:szCs w:val="18"/>
                <w14:textFill>
                  <w14:solidFill>
                    <w14:schemeClr w14:val="tx1"/>
                  </w14:solidFill>
                </w14:textFill>
              </w:rPr>
            </w:pPr>
          </w:p>
        </w:tc>
        <w:tc>
          <w:tcPr>
            <w:tcW w:w="534" w:type="dxa"/>
            <w:vMerge w:val="continue"/>
            <w:tcMar>
              <w:left w:w="28" w:type="dxa"/>
              <w:right w:w="28" w:type="dxa"/>
            </w:tcMar>
            <w:vAlign w:val="center"/>
          </w:tcPr>
          <w:p w14:paraId="18B16054">
            <w:pPr>
              <w:spacing w:line="240" w:lineRule="exact"/>
              <w:ind w:firstLine="0" w:firstLineChars="0"/>
              <w:rPr>
                <w:color w:val="000000" w:themeColor="text1"/>
                <w:sz w:val="18"/>
                <w:szCs w:val="18"/>
                <w14:textFill>
                  <w14:solidFill>
                    <w14:schemeClr w14:val="tx1"/>
                  </w14:solidFill>
                </w14:textFill>
              </w:rPr>
            </w:pPr>
          </w:p>
        </w:tc>
        <w:tc>
          <w:tcPr>
            <w:tcW w:w="5400" w:type="dxa"/>
            <w:tcMar>
              <w:left w:w="28" w:type="dxa"/>
              <w:right w:w="28" w:type="dxa"/>
            </w:tcMar>
            <w:vAlign w:val="center"/>
          </w:tcPr>
          <w:p w14:paraId="35DA9931">
            <w:pPr>
              <w:spacing w:line="240" w:lineRule="exact"/>
              <w:ind w:firstLine="0" w:firstLineChars="0"/>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5</w:t>
            </w:r>
            <w:r>
              <w:rPr>
                <w:color w:val="000000" w:themeColor="text1"/>
                <w:sz w:val="18"/>
                <w:szCs w:val="18"/>
                <w14:textFill>
                  <w14:solidFill>
                    <w14:schemeClr w14:val="tx1"/>
                  </w14:solidFill>
                </w14:textFill>
              </w:rPr>
              <w:t>.钦州湾超标海域整治：（1）推进钦州市东排水口、犀牛脚镇排污口、胜科污水处理厂纳污区 域、大榄坪污水处理厂纳污区域、三墩循环经济示范岛水污染整治。（2）污水处理厂尾水严格执行污染物排放标准，实施污染物排放总量控制。（3）推进雨污分流制改造。（4）加强工业集聚区污染治理和污染物排放控制，提高企业工业用水重复率。</w:t>
            </w:r>
          </w:p>
        </w:tc>
        <w:tc>
          <w:tcPr>
            <w:tcW w:w="2342" w:type="dxa"/>
            <w:tcMar>
              <w:left w:w="28" w:type="dxa"/>
              <w:right w:w="28" w:type="dxa"/>
            </w:tcMar>
            <w:vAlign w:val="center"/>
          </w:tcPr>
          <w:p w14:paraId="7F27802A">
            <w:pPr>
              <w:spacing w:line="240" w:lineRule="exact"/>
              <w:ind w:firstLine="0" w:firstLineChars="0"/>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污水经恒逸污水处理厂处理后达标排放</w:t>
            </w:r>
          </w:p>
        </w:tc>
      </w:tr>
      <w:tr w14:paraId="6F42012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34" w:type="dxa"/>
            <w:vMerge w:val="continue"/>
            <w:tcMar>
              <w:left w:w="28" w:type="dxa"/>
              <w:right w:w="28" w:type="dxa"/>
            </w:tcMar>
            <w:vAlign w:val="center"/>
          </w:tcPr>
          <w:p w14:paraId="33C32DB4">
            <w:pPr>
              <w:spacing w:line="240" w:lineRule="exact"/>
              <w:ind w:firstLine="0" w:firstLineChars="0"/>
              <w:jc w:val="left"/>
              <w:rPr>
                <w:color w:val="000000" w:themeColor="text1"/>
                <w:sz w:val="18"/>
                <w:szCs w:val="18"/>
                <w14:textFill>
                  <w14:solidFill>
                    <w14:schemeClr w14:val="tx1"/>
                  </w14:solidFill>
                </w14:textFill>
              </w:rPr>
            </w:pPr>
          </w:p>
        </w:tc>
        <w:tc>
          <w:tcPr>
            <w:tcW w:w="534" w:type="dxa"/>
            <w:vMerge w:val="restart"/>
            <w:tcMar>
              <w:left w:w="28" w:type="dxa"/>
              <w:right w:w="28" w:type="dxa"/>
            </w:tcMar>
            <w:vAlign w:val="center"/>
          </w:tcPr>
          <w:p w14:paraId="7799CF68">
            <w:pPr>
              <w:spacing w:line="240" w:lineRule="exact"/>
              <w:ind w:firstLine="0" w:firstLineChars="0"/>
              <w:jc w:val="left"/>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环境风险防控</w:t>
            </w:r>
          </w:p>
        </w:tc>
        <w:tc>
          <w:tcPr>
            <w:tcW w:w="5400" w:type="dxa"/>
            <w:tcMar>
              <w:left w:w="28" w:type="dxa"/>
              <w:right w:w="28" w:type="dxa"/>
            </w:tcMar>
            <w:vAlign w:val="center"/>
          </w:tcPr>
          <w:p w14:paraId="3F4D345A">
            <w:pPr>
              <w:spacing w:line="240" w:lineRule="exact"/>
              <w:ind w:firstLine="0" w:firstLineChars="0"/>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1</w:t>
            </w:r>
            <w:r>
              <w:rPr>
                <w:rFonts w:hint="eastAsia"/>
                <w:color w:val="000000" w:themeColor="text1"/>
                <w:sz w:val="18"/>
                <w:szCs w:val="18"/>
                <w14:textFill>
                  <w14:solidFill>
                    <w14:schemeClr w14:val="tx1"/>
                  </w14:solidFill>
                </w14:textFill>
              </w:rPr>
              <w:t>.</w:t>
            </w:r>
            <w:r>
              <w:rPr>
                <w:color w:val="000000" w:themeColor="text1"/>
                <w:sz w:val="18"/>
                <w:szCs w:val="18"/>
                <w14:textFill>
                  <w14:solidFill>
                    <w14:schemeClr w14:val="tx1"/>
                  </w14:solidFill>
                </w14:textFill>
              </w:rPr>
              <w:t>严控港区油品和化学品运输、存储的环境风险，加大船舶航行安全保障和港区风险防范力度。 船舶装载运输油类或者有毒货物，应当采取防止溢流和渗漏的措施，防止货物落水造成水污染。</w:t>
            </w:r>
          </w:p>
        </w:tc>
        <w:tc>
          <w:tcPr>
            <w:tcW w:w="2342" w:type="dxa"/>
            <w:tcMar>
              <w:left w:w="28" w:type="dxa"/>
              <w:right w:w="28" w:type="dxa"/>
            </w:tcMar>
            <w:vAlign w:val="center"/>
          </w:tcPr>
          <w:p w14:paraId="3F29021B">
            <w:pPr>
              <w:spacing w:line="240" w:lineRule="exact"/>
              <w:ind w:firstLine="0" w:firstLineChars="0"/>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项目</w:t>
            </w:r>
            <w:r>
              <w:rPr>
                <w:color w:val="000000" w:themeColor="text1"/>
                <w:sz w:val="18"/>
                <w:szCs w:val="18"/>
                <w14:textFill>
                  <w14:solidFill>
                    <w14:schemeClr w14:val="tx1"/>
                  </w14:solidFill>
                </w14:textFill>
              </w:rPr>
              <w:t>开展风险评估，制订突发环境应急预案，健全企业应急制度管理</w:t>
            </w:r>
          </w:p>
        </w:tc>
      </w:tr>
      <w:tr w14:paraId="1DDC50B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34" w:type="dxa"/>
            <w:vMerge w:val="continue"/>
            <w:tcMar>
              <w:left w:w="28" w:type="dxa"/>
              <w:right w:w="28" w:type="dxa"/>
            </w:tcMar>
            <w:vAlign w:val="center"/>
          </w:tcPr>
          <w:p w14:paraId="4B1CEB32">
            <w:pPr>
              <w:spacing w:line="240" w:lineRule="exact"/>
              <w:ind w:firstLine="0" w:firstLineChars="0"/>
              <w:rPr>
                <w:color w:val="000000" w:themeColor="text1"/>
                <w:sz w:val="18"/>
                <w:szCs w:val="18"/>
                <w14:textFill>
                  <w14:solidFill>
                    <w14:schemeClr w14:val="tx1"/>
                  </w14:solidFill>
                </w14:textFill>
              </w:rPr>
            </w:pPr>
          </w:p>
        </w:tc>
        <w:tc>
          <w:tcPr>
            <w:tcW w:w="534" w:type="dxa"/>
            <w:vMerge w:val="continue"/>
            <w:tcMar>
              <w:left w:w="28" w:type="dxa"/>
              <w:right w:w="28" w:type="dxa"/>
            </w:tcMar>
            <w:vAlign w:val="center"/>
          </w:tcPr>
          <w:p w14:paraId="753932D4">
            <w:pPr>
              <w:spacing w:line="240" w:lineRule="exact"/>
              <w:ind w:firstLine="0" w:firstLineChars="0"/>
              <w:rPr>
                <w:color w:val="000000" w:themeColor="text1"/>
                <w:sz w:val="18"/>
                <w:szCs w:val="18"/>
                <w14:textFill>
                  <w14:solidFill>
                    <w14:schemeClr w14:val="tx1"/>
                  </w14:solidFill>
                </w14:textFill>
              </w:rPr>
            </w:pPr>
          </w:p>
        </w:tc>
        <w:tc>
          <w:tcPr>
            <w:tcW w:w="5400" w:type="dxa"/>
            <w:tcMar>
              <w:left w:w="28" w:type="dxa"/>
              <w:right w:w="28" w:type="dxa"/>
            </w:tcMar>
            <w:vAlign w:val="center"/>
          </w:tcPr>
          <w:p w14:paraId="15D6F57A">
            <w:pPr>
              <w:spacing w:line="240" w:lineRule="exact"/>
              <w:ind w:firstLine="0" w:firstLineChars="0"/>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2</w:t>
            </w:r>
            <w:r>
              <w:rPr>
                <w:color w:val="000000" w:themeColor="text1"/>
                <w:sz w:val="18"/>
                <w:szCs w:val="18"/>
                <w14:textFill>
                  <w14:solidFill>
                    <w14:schemeClr w14:val="tx1"/>
                  </w14:solidFill>
                </w14:textFill>
              </w:rPr>
              <w:t>.开展环境风险评估，编制重大突发环境事件应急预案并备案，完善陆域环境风险源和海上溢油 及危险化学品泄漏对近岸海域影响的应急方案，落实港区环境风险应急能力建设，并定期开展应 急演练。完善区域应急联动机制。探索建立健全沿海环境污染责任保险制度。</w:t>
            </w:r>
          </w:p>
        </w:tc>
        <w:tc>
          <w:tcPr>
            <w:tcW w:w="2342" w:type="dxa"/>
            <w:tcMar>
              <w:left w:w="28" w:type="dxa"/>
              <w:right w:w="28" w:type="dxa"/>
            </w:tcMar>
            <w:vAlign w:val="center"/>
          </w:tcPr>
          <w:p w14:paraId="546F15E5">
            <w:pPr>
              <w:spacing w:line="240" w:lineRule="exact"/>
              <w:ind w:firstLine="0" w:firstLineChars="0"/>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开展风险评估，制订突发环境应急预案，健全企业应急制度管理</w:t>
            </w:r>
          </w:p>
        </w:tc>
      </w:tr>
      <w:tr w14:paraId="16F22ED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34" w:type="dxa"/>
            <w:vMerge w:val="continue"/>
            <w:tcMar>
              <w:left w:w="28" w:type="dxa"/>
              <w:right w:w="28" w:type="dxa"/>
            </w:tcMar>
            <w:vAlign w:val="center"/>
          </w:tcPr>
          <w:p w14:paraId="5D308019">
            <w:pPr>
              <w:spacing w:line="240" w:lineRule="exact"/>
              <w:ind w:firstLine="0" w:firstLineChars="0"/>
              <w:rPr>
                <w:color w:val="000000" w:themeColor="text1"/>
                <w:sz w:val="18"/>
                <w:szCs w:val="18"/>
                <w14:textFill>
                  <w14:solidFill>
                    <w14:schemeClr w14:val="tx1"/>
                  </w14:solidFill>
                </w14:textFill>
              </w:rPr>
            </w:pPr>
          </w:p>
        </w:tc>
        <w:tc>
          <w:tcPr>
            <w:tcW w:w="534" w:type="dxa"/>
            <w:vMerge w:val="continue"/>
            <w:tcMar>
              <w:left w:w="28" w:type="dxa"/>
              <w:right w:w="28" w:type="dxa"/>
            </w:tcMar>
            <w:vAlign w:val="center"/>
          </w:tcPr>
          <w:p w14:paraId="11D5618F">
            <w:pPr>
              <w:spacing w:line="240" w:lineRule="exact"/>
              <w:ind w:firstLine="0" w:firstLineChars="0"/>
              <w:rPr>
                <w:color w:val="000000" w:themeColor="text1"/>
                <w:sz w:val="18"/>
                <w:szCs w:val="18"/>
                <w14:textFill>
                  <w14:solidFill>
                    <w14:schemeClr w14:val="tx1"/>
                  </w14:solidFill>
                </w14:textFill>
              </w:rPr>
            </w:pPr>
          </w:p>
        </w:tc>
        <w:tc>
          <w:tcPr>
            <w:tcW w:w="5400" w:type="dxa"/>
            <w:tcMar>
              <w:left w:w="28" w:type="dxa"/>
              <w:right w:w="28" w:type="dxa"/>
            </w:tcMar>
            <w:vAlign w:val="center"/>
          </w:tcPr>
          <w:p w14:paraId="707C65FA">
            <w:pPr>
              <w:spacing w:line="240" w:lineRule="exact"/>
              <w:ind w:firstLine="0" w:firstLineChars="0"/>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3．进一步完善港区环境风险应急体系建设，加快建立溢油应急设备库，增配应急</w:t>
            </w:r>
            <w:r>
              <w:rPr>
                <w:rFonts w:hint="eastAsia"/>
                <w:color w:val="000000" w:themeColor="text1"/>
                <w:sz w:val="18"/>
                <w:szCs w:val="18"/>
                <w:lang w:eastAsia="zh-CN"/>
                <w14:textFill>
                  <w14:solidFill>
                    <w14:schemeClr w14:val="tx1"/>
                  </w14:solidFill>
                </w14:textFill>
              </w:rPr>
              <w:t>设施</w:t>
            </w:r>
            <w:r>
              <w:rPr>
                <w:color w:val="000000" w:themeColor="text1"/>
                <w:sz w:val="18"/>
                <w:szCs w:val="18"/>
                <w14:textFill>
                  <w14:solidFill>
                    <w14:schemeClr w14:val="tx1"/>
                  </w14:solidFill>
                </w14:textFill>
              </w:rPr>
              <w:t>配备，加强 现有油品码头风险应急能力建设，在涠洲岛配备完善的应急设备和应急预案，根据相关规定，配 备一定数量的风险应急设施。</w:t>
            </w:r>
          </w:p>
        </w:tc>
        <w:tc>
          <w:tcPr>
            <w:tcW w:w="2342" w:type="dxa"/>
            <w:tcMar>
              <w:left w:w="28" w:type="dxa"/>
              <w:right w:w="28" w:type="dxa"/>
            </w:tcMar>
            <w:vAlign w:val="center"/>
          </w:tcPr>
          <w:p w14:paraId="2F8E20AA">
            <w:pPr>
              <w:spacing w:line="240" w:lineRule="exact"/>
              <w:ind w:firstLine="0" w:firstLineChars="0"/>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开展风险评估，制订突发环境应急预案，健全企业应急制度管理</w:t>
            </w:r>
          </w:p>
        </w:tc>
      </w:tr>
      <w:tr w14:paraId="11C24A0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34" w:type="dxa"/>
            <w:vMerge w:val="continue"/>
            <w:tcMar>
              <w:left w:w="28" w:type="dxa"/>
              <w:right w:w="28" w:type="dxa"/>
            </w:tcMar>
            <w:vAlign w:val="center"/>
          </w:tcPr>
          <w:p w14:paraId="15697699">
            <w:pPr>
              <w:spacing w:line="240" w:lineRule="exact"/>
              <w:ind w:firstLine="0" w:firstLineChars="0"/>
              <w:rPr>
                <w:color w:val="000000" w:themeColor="text1"/>
                <w:sz w:val="18"/>
                <w:szCs w:val="18"/>
                <w14:textFill>
                  <w14:solidFill>
                    <w14:schemeClr w14:val="tx1"/>
                  </w14:solidFill>
                </w14:textFill>
              </w:rPr>
            </w:pPr>
          </w:p>
        </w:tc>
        <w:tc>
          <w:tcPr>
            <w:tcW w:w="534" w:type="dxa"/>
            <w:tcMar>
              <w:left w:w="28" w:type="dxa"/>
              <w:right w:w="28" w:type="dxa"/>
            </w:tcMar>
            <w:vAlign w:val="center"/>
          </w:tcPr>
          <w:p w14:paraId="2E7665F2">
            <w:pPr>
              <w:spacing w:line="240" w:lineRule="exact"/>
              <w:ind w:firstLine="0" w:firstLineChars="0"/>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资源开发利用效率要求</w:t>
            </w:r>
          </w:p>
        </w:tc>
        <w:tc>
          <w:tcPr>
            <w:tcW w:w="5400" w:type="dxa"/>
            <w:tcMar>
              <w:left w:w="28" w:type="dxa"/>
              <w:right w:w="28" w:type="dxa"/>
            </w:tcMar>
            <w:vAlign w:val="center"/>
          </w:tcPr>
          <w:p w14:paraId="70BEAF1A">
            <w:pPr>
              <w:spacing w:line="240" w:lineRule="exact"/>
              <w:ind w:firstLine="0" w:firstLineChars="0"/>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港区污染物排放以及用水、能耗、物耗、岸线与土地利用等资源环境指标达到行业先进水平。</w:t>
            </w:r>
          </w:p>
        </w:tc>
        <w:tc>
          <w:tcPr>
            <w:tcW w:w="2342" w:type="dxa"/>
            <w:tcMar>
              <w:left w:w="28" w:type="dxa"/>
              <w:right w:w="28" w:type="dxa"/>
            </w:tcMar>
            <w:vAlign w:val="center"/>
          </w:tcPr>
          <w:p w14:paraId="783CF715">
            <w:pPr>
              <w:spacing w:line="240" w:lineRule="exact"/>
              <w:ind w:firstLine="0" w:firstLineChars="0"/>
              <w:rPr>
                <w:color w:val="000000" w:themeColor="text1"/>
                <w:sz w:val="18"/>
                <w:szCs w:val="18"/>
                <w14:textFill>
                  <w14:solidFill>
                    <w14:schemeClr w14:val="tx1"/>
                  </w14:solidFill>
                </w14:textFill>
              </w:rPr>
            </w:pPr>
          </w:p>
        </w:tc>
      </w:tr>
    </w:tbl>
    <w:p w14:paraId="561213DC">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根据分析，本项目符合《钦州市生态环境分区管控动态更新成果（2023年）》</w:t>
      </w:r>
      <w:r>
        <w:rPr>
          <w:color w:val="000000" w:themeColor="text1"/>
          <w14:textFill>
            <w14:solidFill>
              <w14:schemeClr w14:val="tx1"/>
            </w14:solidFill>
          </w14:textFill>
        </w:rPr>
        <w:t>。</w:t>
      </w:r>
    </w:p>
    <w:bookmarkEnd w:id="473"/>
    <w:bookmarkEnd w:id="474"/>
    <w:bookmarkEnd w:id="475"/>
    <w:p w14:paraId="51D3D6C0">
      <w:pPr>
        <w:ind w:firstLine="480"/>
        <w:rPr>
          <w:rFonts w:hint="eastAsia"/>
          <w:color w:val="000000" w:themeColor="text1"/>
          <w14:textFill>
            <w14:solidFill>
              <w14:schemeClr w14:val="tx1"/>
            </w14:solidFill>
          </w14:textFill>
        </w:rPr>
      </w:pPr>
    </w:p>
    <w:p w14:paraId="22BCB706">
      <w:pPr>
        <w:pStyle w:val="6"/>
        <w:rPr>
          <w:color w:val="000000" w:themeColor="text1"/>
          <w14:textFill>
            <w14:solidFill>
              <w14:schemeClr w14:val="tx1"/>
            </w14:solidFill>
          </w14:textFill>
        </w:rPr>
      </w:pPr>
      <w:r>
        <w:rPr>
          <w:rFonts w:hint="eastAsia"/>
          <w:color w:val="000000" w:themeColor="text1"/>
          <w14:textFill>
            <w14:solidFill>
              <w14:schemeClr w14:val="tx1"/>
            </w14:solidFill>
          </w14:textFill>
        </w:rPr>
        <w:t>《钦州市国土空间总体规划（2021-2035年）》</w:t>
      </w:r>
      <w:r>
        <w:rPr>
          <w:color w:val="000000" w:themeColor="text1"/>
          <w14:textFill>
            <w14:solidFill>
              <w14:schemeClr w14:val="tx1"/>
            </w14:solidFill>
          </w14:textFill>
        </w:rPr>
        <w:t>符合性分析</w:t>
      </w:r>
    </w:p>
    <w:p w14:paraId="1943D951">
      <w:pPr>
        <w:ind w:firstLine="48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钦州市国土空间总体规划（2021-2035年）》已于2024年1月24日取得广西壮族自治区人民政府的批复（桂政函〔2024〕17号），本项目位于金鼓江交通运输用海区。其发展指引与管控要求为：海岸交通运输用海区主要用于近岸港口陆域、码头、港池等航运设施建设，重点保障平陆运河、金鼓江、大榄坪等发展需要；近海交通运输用海区主要用于港外航道、锚地等航运用海。在已经开发利用的港区、锚地、航道以及规定的航路及其保护范围内，禁止开展与航运无关、有碍航行安全的活动；原则上禁止其他海岸工程或海洋工程占用深水岸线资源；在未开发利用的港区内，对无碍交通运输功能发挥的海洋开发活动尤其是渔业开发活动可暂时予以保留；在不影响交通运输用海及安全的前提下，可兼容临海工业用海。</w:t>
      </w:r>
    </w:p>
    <w:p w14:paraId="5DCA60AA">
      <w:pPr>
        <w:ind w:firstLine="48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本项目为液体危化品码头扩建项目，拟</w:t>
      </w:r>
      <w:r>
        <w:rPr>
          <w:color w:val="000000" w:themeColor="text1"/>
          <w:u w:val="single"/>
          <w14:textFill>
            <w14:solidFill>
              <w14:schemeClr w14:val="tx1"/>
            </w14:solidFill>
          </w14:textFill>
        </w:rPr>
        <w:t>在</w:t>
      </w:r>
      <w:r>
        <w:rPr>
          <w:rFonts w:hint="eastAsia"/>
          <w:color w:val="000000" w:themeColor="text1"/>
          <w:u w:val="single"/>
          <w14:textFill>
            <w14:solidFill>
              <w14:schemeClr w14:val="tx1"/>
            </w14:solidFill>
          </w14:textFill>
        </w:rPr>
        <w:t>14</w:t>
      </w:r>
      <w:r>
        <w:rPr>
          <w:color w:val="000000" w:themeColor="text1"/>
          <w:u w:val="single"/>
          <w14:textFill>
            <w14:solidFill>
              <w14:schemeClr w14:val="tx1"/>
            </w14:solidFill>
          </w14:textFill>
        </w:rPr>
        <w:t>号新增装卸货种。</w:t>
      </w:r>
      <w:r>
        <w:rPr>
          <w:rFonts w:hint="eastAsia"/>
          <w:color w:val="000000" w:themeColor="text1"/>
          <w:u w:val="single"/>
          <w14:textFill>
            <w14:solidFill>
              <w14:schemeClr w14:val="tx1"/>
            </w14:solidFill>
          </w14:textFill>
        </w:rPr>
        <w:t>本项目在14</w:t>
      </w:r>
      <w:r>
        <w:rPr>
          <w:color w:val="000000" w:themeColor="text1"/>
          <w:u w:val="single"/>
          <w14:textFill>
            <w14:solidFill>
              <w14:schemeClr w14:val="tx1"/>
            </w14:solidFill>
          </w14:textFill>
        </w:rPr>
        <w:t>号</w:t>
      </w:r>
      <w:r>
        <w:rPr>
          <w:rFonts w:hint="eastAsia"/>
          <w:color w:val="000000" w:themeColor="text1"/>
          <w:u w:val="single"/>
          <w14:textFill>
            <w14:solidFill>
              <w14:schemeClr w14:val="tx1"/>
            </w14:solidFill>
          </w14:textFill>
        </w:rPr>
        <w:t>基础上进行扩建，不涉及新增围填海和疏浚。本项目的建设对打造国家级钦州石化产业基地、形成北部湾石化产业集群具有积极意义，符合《钦州市国土空间总体规划（2021-2035年）》管控要求。</w:t>
      </w:r>
    </w:p>
    <w:p w14:paraId="172BCE48">
      <w:pPr>
        <w:pStyle w:val="4"/>
        <w:rPr>
          <w:color w:val="000000" w:themeColor="text1"/>
          <w14:textFill>
            <w14:solidFill>
              <w14:schemeClr w14:val="tx1"/>
            </w14:solidFill>
          </w14:textFill>
        </w:rPr>
      </w:pPr>
      <w:bookmarkStart w:id="478" w:name="_Toc136878458"/>
      <w:bookmarkStart w:id="479" w:name="_Toc216620523"/>
      <w:bookmarkStart w:id="480" w:name="_Toc135090209"/>
      <w:bookmarkStart w:id="481" w:name="_Toc216103364"/>
      <w:r>
        <w:rPr>
          <w:color w:val="000000" w:themeColor="text1"/>
          <w14:textFill>
            <w14:solidFill>
              <w14:schemeClr w14:val="tx1"/>
            </w14:solidFill>
          </w14:textFill>
        </w:rPr>
        <w:t>施工期污染源强核算</w:t>
      </w:r>
      <w:bookmarkEnd w:id="478"/>
      <w:bookmarkEnd w:id="479"/>
      <w:bookmarkEnd w:id="480"/>
      <w:bookmarkEnd w:id="481"/>
    </w:p>
    <w:p w14:paraId="6BDEAFC9">
      <w:pPr>
        <w:pStyle w:val="6"/>
        <w:rPr>
          <w:color w:val="000000" w:themeColor="text1"/>
          <w14:textFill>
            <w14:solidFill>
              <w14:schemeClr w14:val="tx1"/>
            </w14:solidFill>
          </w14:textFill>
        </w:rPr>
      </w:pPr>
      <w:r>
        <w:rPr>
          <w:color w:val="000000" w:themeColor="text1"/>
          <w14:textFill>
            <w14:solidFill>
              <w14:schemeClr w14:val="tx1"/>
            </w14:solidFill>
          </w14:textFill>
        </w:rPr>
        <w:t>大气污染源强核算</w:t>
      </w:r>
    </w:p>
    <w:p w14:paraId="38947681">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施工</w:t>
      </w:r>
      <w:r>
        <w:rPr>
          <w:rFonts w:hint="eastAsia"/>
          <w:color w:val="000000" w:themeColor="text1"/>
          <w14:textFill>
            <w14:solidFill>
              <w14:schemeClr w14:val="tx1"/>
            </w14:solidFill>
          </w14:textFill>
        </w:rPr>
        <w:t>工艺及产污节点</w:t>
      </w:r>
    </w:p>
    <w:p w14:paraId="11DE4171">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（1）装卸臂（软管）安装</w:t>
      </w:r>
    </w:p>
    <w:p w14:paraId="4801C0A5">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驳船开至指定码头（系缆绳固定）→浮吊靠近驳船（锚固）→浮吊吊起驳船上装卸臂（软管），驳船开走→浮吊前移，调节拨杆角度，并把设备平稳地移至设置安装位置。起驳船作业过程会产生船舶废气和噪声，装卸臂（软管）安装与调试会产生噪声。</w:t>
      </w:r>
    </w:p>
    <w:p w14:paraId="02F4848F">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（2）管道安装施工</w:t>
      </w:r>
    </w:p>
    <w:p w14:paraId="1B3C8CD3">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码头的敷管工作，依据施工图在预制场地完成下料、预制工作后分别运到现场安装。管廊上管道运输、吊装及敷设是管道工程施工量最大的环节，多为交叉作业，可用空间狭小，工作面有限。</w:t>
      </w:r>
    </w:p>
    <w:p w14:paraId="6BA8026F">
      <w:pPr>
        <w:ind w:firstLine="480"/>
        <w:rPr>
          <w:color w:val="000000" w:themeColor="text1"/>
          <w14:textFill>
            <w14:solidFill>
              <w14:schemeClr w14:val="tx1"/>
            </w14:solidFill>
          </w14:textFill>
        </w:rPr>
      </w:pPr>
    </w:p>
    <w:p w14:paraId="7EDEFDB2">
      <w:pPr>
        <w:ind w:firstLine="0" w:firstLineChars="0"/>
        <w:jc w:val="cente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5760720" cy="731520"/>
            <wp:effectExtent l="0" t="0" r="0" b="0"/>
            <wp:docPr id="285" name="图片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28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a:xfrm>
                      <a:off x="0" y="0"/>
                      <a:ext cx="5760720" cy="731520"/>
                    </a:xfrm>
                    <a:prstGeom prst="rect">
                      <a:avLst/>
                    </a:prstGeom>
                    <a:noFill/>
                    <a:ln>
                      <a:noFill/>
                    </a:ln>
                    <a:effectLst/>
                  </pic:spPr>
                </pic:pic>
              </a:graphicData>
            </a:graphic>
          </wp:inline>
        </w:drawing>
      </w:r>
      <w:r>
        <w:rPr>
          <w:rFonts w:hint="eastAsia"/>
          <w:b/>
          <w:bCs/>
          <w:color w:val="000000" w:themeColor="text1"/>
          <w14:textFill>
            <w14:solidFill>
              <w14:schemeClr w14:val="tx1"/>
            </w14:solidFill>
          </w14:textFill>
        </w:rPr>
        <w:t>图2.3-1 主要施工工艺产污节点</w:t>
      </w:r>
    </w:p>
    <w:p w14:paraId="1C40D360">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2、源强分析</w:t>
      </w:r>
    </w:p>
    <w:p w14:paraId="1AF6A74F">
      <w:pPr>
        <w:widowControl/>
        <w:ind w:firstLine="480"/>
        <w:jc w:val="left"/>
        <w:rPr>
          <w:color w:val="000000" w:themeColor="text1"/>
          <w14:textFill>
            <w14:solidFill>
              <w14:schemeClr w14:val="tx1"/>
            </w14:solidFill>
          </w14:textFill>
        </w:rPr>
      </w:pPr>
      <w:r>
        <w:rPr>
          <w:rFonts w:hint="eastAsia" w:cs="宋体"/>
          <w:color w:val="000000" w:themeColor="text1"/>
          <w:kern w:val="0"/>
          <w:lang w:bidi="ar"/>
          <w14:textFill>
            <w14:solidFill>
              <w14:schemeClr w14:val="tx1"/>
            </w14:solidFill>
          </w14:textFill>
        </w:rPr>
        <w:t>（</w:t>
      </w:r>
      <w:r>
        <w:rPr>
          <w:color w:val="000000" w:themeColor="text1"/>
          <w:kern w:val="0"/>
          <w:lang w:bidi="ar"/>
          <w14:textFill>
            <w14:solidFill>
              <w14:schemeClr w14:val="tx1"/>
            </w14:solidFill>
          </w14:textFill>
        </w:rPr>
        <w:t>1</w:t>
      </w:r>
      <w:r>
        <w:rPr>
          <w:rFonts w:hint="eastAsia" w:cs="宋体"/>
          <w:color w:val="000000" w:themeColor="text1"/>
          <w:kern w:val="0"/>
          <w:lang w:bidi="ar"/>
          <w14:textFill>
            <w14:solidFill>
              <w14:schemeClr w14:val="tx1"/>
            </w14:solidFill>
          </w14:textFill>
        </w:rPr>
        <w:t>）大气污染源主要有</w:t>
      </w:r>
      <w:r>
        <w:rPr>
          <w:rFonts w:hint="eastAsia"/>
          <w:color w:val="000000" w:themeColor="text1"/>
          <w14:textFill>
            <w14:solidFill>
              <w14:schemeClr w14:val="tx1"/>
            </w14:solidFill>
          </w14:textFill>
        </w:rPr>
        <w:t>施工扬尘、施工机械废气、焊接烟尘和涂漆废气等。</w:t>
      </w:r>
    </w:p>
    <w:p w14:paraId="06C84ECE">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①施工扬尘</w:t>
      </w:r>
    </w:p>
    <w:p w14:paraId="39B44A93">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施工</w:t>
      </w:r>
      <w:r>
        <w:rPr>
          <w:rFonts w:hint="eastAsia"/>
          <w:color w:val="000000" w:themeColor="text1"/>
          <w:lang w:eastAsia="zh-CN"/>
          <w14:textFill>
            <w14:solidFill>
              <w14:schemeClr w14:val="tx1"/>
            </w14:solidFill>
          </w14:textFill>
        </w:rPr>
        <w:t>期间</w:t>
      </w:r>
      <w:r>
        <w:rPr>
          <w:rFonts w:hint="eastAsia"/>
          <w:color w:val="000000" w:themeColor="text1"/>
          <w14:textFill>
            <w14:solidFill>
              <w14:schemeClr w14:val="tx1"/>
            </w14:solidFill>
          </w14:textFill>
        </w:rPr>
        <w:t>材料运输堆存等各种施工活动将给施工现场造成TSP污染影响。根据国内同工程施工现场监测资料，正常风况下，在未采取降尘措施时施工活动将使施工现场TSP近地面浓度达到1.5～3.0mg/m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w:t>
      </w:r>
    </w:p>
    <w:p w14:paraId="56F23C0C">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②施工机械废气</w:t>
      </w:r>
    </w:p>
    <w:p w14:paraId="1AF1C2B7">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施工期间，运输汽车、吊装船舶等大型机械施工过程中，将有少量的SO</w:t>
      </w:r>
      <w:r>
        <w:rPr>
          <w:rFonts w:hint="eastAsia"/>
          <w:color w:val="000000" w:themeColor="text1"/>
          <w:vertAlign w:val="subscript"/>
          <w14:textFill>
            <w14:solidFill>
              <w14:schemeClr w14:val="tx1"/>
            </w14:solidFill>
          </w14:textFill>
        </w:rPr>
        <w:t>2</w:t>
      </w:r>
      <w:r>
        <w:rPr>
          <w:rFonts w:hint="eastAsia"/>
          <w:color w:val="000000" w:themeColor="text1"/>
          <w14:textFill>
            <w14:solidFill>
              <w14:schemeClr w14:val="tx1"/>
            </w14:solidFill>
          </w14:textFill>
        </w:rPr>
        <w:t>、NO</w:t>
      </w:r>
      <w:r>
        <w:rPr>
          <w:rFonts w:hint="eastAsia"/>
          <w:color w:val="000000" w:themeColor="text1"/>
          <w:vertAlign w:val="subscript"/>
          <w14:textFill>
            <w14:solidFill>
              <w14:schemeClr w14:val="tx1"/>
            </w14:solidFill>
          </w14:textFill>
        </w:rPr>
        <w:t>X</w:t>
      </w:r>
      <w:r>
        <w:rPr>
          <w:rFonts w:hint="eastAsia"/>
          <w:color w:val="000000" w:themeColor="text1"/>
          <w14:textFill>
            <w14:solidFill>
              <w14:schemeClr w14:val="tx1"/>
            </w14:solidFill>
          </w14:textFill>
        </w:rPr>
        <w:t>产生。</w:t>
      </w:r>
    </w:p>
    <w:p w14:paraId="60B70549">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③焊接烟尘</w:t>
      </w:r>
    </w:p>
    <w:p w14:paraId="066257DE">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项目设备、管道焊接过程中会产生少量焊接烟气，焊接点分散在施工场区内。焊接烟气属于间断的无组织排放，产生的烟尘自重较大，影响范围集中在作业现场附近。由于施工期产生的废气量较少，且施工现场均在开阔区域，有利于空气的扩散，同时废气污染源具有间歇性和流动性，因此对局部地区的环境影响较轻。</w:t>
      </w:r>
    </w:p>
    <w:p w14:paraId="1B30A4E0">
      <w:pPr>
        <w:widowControl/>
        <w:ind w:firstLine="480"/>
        <w:rPr>
          <w:rFonts w:cs="宋体"/>
          <w:color w:val="000000" w:themeColor="text1"/>
          <w:kern w:val="0"/>
          <w:lang w:bidi="ar"/>
          <w14:textFill>
            <w14:solidFill>
              <w14:schemeClr w14:val="tx1"/>
            </w14:solidFill>
          </w14:textFill>
        </w:rPr>
      </w:pPr>
      <w:r>
        <w:rPr>
          <w:rFonts w:hint="eastAsia" w:cs="宋体"/>
          <w:color w:val="000000" w:themeColor="text1"/>
          <w:kern w:val="0"/>
          <w:lang w:bidi="ar"/>
          <w14:textFill>
            <w14:solidFill>
              <w14:schemeClr w14:val="tx1"/>
            </w14:solidFill>
          </w14:textFill>
        </w:rPr>
        <w:t>（</w:t>
      </w:r>
      <w:r>
        <w:rPr>
          <w:color w:val="000000" w:themeColor="text1"/>
          <w:kern w:val="0"/>
          <w:lang w:bidi="ar"/>
          <w14:textFill>
            <w14:solidFill>
              <w14:schemeClr w14:val="tx1"/>
            </w14:solidFill>
          </w14:textFill>
        </w:rPr>
        <w:t>2</w:t>
      </w:r>
      <w:r>
        <w:rPr>
          <w:rFonts w:hint="eastAsia" w:cs="宋体"/>
          <w:color w:val="000000" w:themeColor="text1"/>
          <w:kern w:val="0"/>
          <w:lang w:bidi="ar"/>
          <w14:textFill>
            <w14:solidFill>
              <w14:schemeClr w14:val="tx1"/>
            </w14:solidFill>
          </w14:textFill>
        </w:rPr>
        <w:t>）水污染源主要有施工人员生活污水、施工船舶废水、</w:t>
      </w:r>
      <w:r>
        <w:rPr>
          <w:rFonts w:hint="eastAsia"/>
          <w:color w:val="000000" w:themeColor="text1"/>
          <w14:textFill>
            <w14:solidFill>
              <w14:schemeClr w14:val="tx1"/>
            </w14:solidFill>
          </w14:textFill>
        </w:rPr>
        <w:t>试压废水</w:t>
      </w:r>
      <w:r>
        <w:rPr>
          <w:rFonts w:hint="eastAsia" w:cs="宋体"/>
          <w:color w:val="000000" w:themeColor="text1"/>
          <w:kern w:val="0"/>
          <w:lang w:bidi="ar"/>
          <w14:textFill>
            <w14:solidFill>
              <w14:schemeClr w14:val="tx1"/>
            </w14:solidFill>
          </w14:textFill>
        </w:rPr>
        <w:t>。</w:t>
      </w:r>
    </w:p>
    <w:p w14:paraId="1964EE71">
      <w:pPr>
        <w:widowControl/>
        <w:ind w:firstLine="480"/>
        <w:jc w:val="left"/>
        <w:rPr>
          <w:rFonts w:cs="宋体"/>
          <w:color w:val="000000" w:themeColor="text1"/>
          <w:kern w:val="0"/>
          <w:lang w:bidi="ar"/>
          <w14:textFill>
            <w14:solidFill>
              <w14:schemeClr w14:val="tx1"/>
            </w14:solidFill>
          </w14:textFill>
        </w:rPr>
      </w:pPr>
      <w:r>
        <w:rPr>
          <w:rFonts w:hint="eastAsia"/>
          <w:color w:val="000000" w:themeColor="text1"/>
          <w14:textFill>
            <w14:solidFill>
              <w14:schemeClr w14:val="tx1"/>
            </w14:solidFill>
          </w14:textFill>
        </w:rPr>
        <w:t>①</w:t>
      </w:r>
      <w:r>
        <w:rPr>
          <w:rFonts w:hint="eastAsia" w:cs="宋体"/>
          <w:color w:val="000000" w:themeColor="text1"/>
          <w:kern w:val="0"/>
          <w:lang w:bidi="ar"/>
          <w14:textFill>
            <w14:solidFill>
              <w14:schemeClr w14:val="tx1"/>
            </w14:solidFill>
          </w14:textFill>
        </w:rPr>
        <w:t>施工船舶废水</w:t>
      </w:r>
    </w:p>
    <w:p w14:paraId="4F8B5E52">
      <w:pPr>
        <w:ind w:firstLine="480"/>
        <w:rPr>
          <w:color w:val="000000" w:themeColor="text1"/>
          <w:kern w:val="0"/>
          <w:szCs w:val="20"/>
          <w:lang w:bidi="ar"/>
          <w14:textFill>
            <w14:solidFill>
              <w14:schemeClr w14:val="tx1"/>
            </w14:solidFill>
          </w14:textFill>
        </w:rPr>
      </w:pPr>
      <w:r>
        <w:rPr>
          <w:rFonts w:hint="eastAsia"/>
          <w:color w:val="000000" w:themeColor="text1"/>
          <w14:textFill>
            <w14:solidFill>
              <w14:schemeClr w14:val="tx1"/>
            </w14:solidFill>
          </w14:textFill>
        </w:rPr>
        <w:t>施工船舶污水包括船舶机舱油污水和船舶生活污水。装卸臂吊装一般为3～5天，施工过程中会产生少量的船舶污水，本项目船舶污水严格按照船舶污染物监管“联单制</w:t>
      </w:r>
      <w:r>
        <w:rPr>
          <w:color w:val="000000" w:themeColor="text1"/>
          <w14:textFill>
            <w14:solidFill>
              <w14:schemeClr w14:val="tx1"/>
            </w14:solidFill>
          </w14:textFill>
        </w:rPr>
        <w:t>度</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进行管理，委托船舶污染物接收单位进行接收、转运及处置。</w:t>
      </w:r>
    </w:p>
    <w:p w14:paraId="72508C98">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②</w:t>
      </w:r>
      <w:r>
        <w:rPr>
          <w:rFonts w:hint="eastAsia" w:cs="宋体"/>
          <w:color w:val="000000" w:themeColor="text1"/>
          <w:kern w:val="0"/>
          <w:lang w:bidi="ar"/>
          <w14:textFill>
            <w14:solidFill>
              <w14:schemeClr w14:val="tx1"/>
            </w14:solidFill>
          </w14:textFill>
        </w:rPr>
        <w:t>施工人员生活污水</w:t>
      </w:r>
    </w:p>
    <w:p w14:paraId="628F37FC">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陆域施工人员约20人/天，按每人每天使用150L生活污水，生活污水排放量按80%计算，生活污水中主要污染物为COD、BOD</w:t>
      </w:r>
      <w:r>
        <w:rPr>
          <w:rFonts w:hint="eastAsia"/>
          <w:color w:val="000000" w:themeColor="text1"/>
          <w:vertAlign w:val="subscript"/>
          <w14:textFill>
            <w14:solidFill>
              <w14:schemeClr w14:val="tx1"/>
            </w14:solidFill>
          </w14:textFill>
        </w:rPr>
        <w:t>5</w:t>
      </w:r>
      <w:r>
        <w:rPr>
          <w:color w:val="000000" w:themeColor="text1"/>
          <w14:textFill>
            <w14:solidFill>
              <w14:schemeClr w14:val="tx1"/>
            </w14:solidFill>
          </w14:textFill>
        </w:rPr>
        <w:t>、NH</w:t>
      </w:r>
      <w:r>
        <w:rPr>
          <w:color w:val="000000" w:themeColor="text1"/>
          <w:vertAlign w:val="subscript"/>
          <w14:textFill>
            <w14:solidFill>
              <w14:schemeClr w14:val="tx1"/>
            </w14:solidFill>
          </w14:textFill>
        </w:rPr>
        <w:t>3</w:t>
      </w:r>
      <w:r>
        <w:rPr>
          <w:color w:val="000000" w:themeColor="text1"/>
          <w14:textFill>
            <w14:solidFill>
              <w14:schemeClr w14:val="tx1"/>
            </w14:solidFill>
          </w14:textFill>
        </w:rPr>
        <w:t>-N</w:t>
      </w:r>
      <w:r>
        <w:rPr>
          <w:rFonts w:hint="eastAsia"/>
          <w:color w:val="000000" w:themeColor="text1"/>
          <w14:textFill>
            <w14:solidFill>
              <w14:schemeClr w14:val="tx1"/>
            </w14:solidFill>
          </w14:textFill>
        </w:rPr>
        <w:t>，浓度分别按300mg/L、150mg/L</w:t>
      </w:r>
      <w:r>
        <w:rPr>
          <w:color w:val="000000" w:themeColor="text1"/>
          <w14:textFill>
            <w14:solidFill>
              <w14:schemeClr w14:val="tx1"/>
            </w14:solidFill>
          </w14:textFill>
        </w:rPr>
        <w:t>、35mg/L</w:t>
      </w:r>
      <w:r>
        <w:rPr>
          <w:rFonts w:hint="eastAsia"/>
          <w:color w:val="000000" w:themeColor="text1"/>
          <w14:textFill>
            <w14:solidFill>
              <w14:schemeClr w14:val="tx1"/>
            </w14:solidFill>
          </w14:textFill>
        </w:rPr>
        <w:t>计算，则施工期间生活污水产生量为2.4m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/d，COD、BOD</w:t>
      </w:r>
      <w:r>
        <w:rPr>
          <w:rFonts w:hint="eastAsia"/>
          <w:color w:val="000000" w:themeColor="text1"/>
          <w:vertAlign w:val="subscript"/>
          <w14:textFill>
            <w14:solidFill>
              <w14:schemeClr w14:val="tx1"/>
            </w14:solidFill>
          </w14:textFill>
        </w:rPr>
        <w:t>5</w:t>
      </w:r>
      <w:r>
        <w:rPr>
          <w:color w:val="000000" w:themeColor="text1"/>
          <w14:textFill>
            <w14:solidFill>
              <w14:schemeClr w14:val="tx1"/>
            </w14:solidFill>
          </w14:textFill>
        </w:rPr>
        <w:t>、NH</w:t>
      </w:r>
      <w:r>
        <w:rPr>
          <w:color w:val="000000" w:themeColor="text1"/>
          <w:vertAlign w:val="subscript"/>
          <w14:textFill>
            <w14:solidFill>
              <w14:schemeClr w14:val="tx1"/>
            </w14:solidFill>
          </w14:textFill>
        </w:rPr>
        <w:t>3</w:t>
      </w:r>
      <w:r>
        <w:rPr>
          <w:color w:val="000000" w:themeColor="text1"/>
          <w14:textFill>
            <w14:solidFill>
              <w14:schemeClr w14:val="tx1"/>
            </w14:solidFill>
          </w14:textFill>
        </w:rPr>
        <w:t>-N</w:t>
      </w:r>
      <w:r>
        <w:rPr>
          <w:rFonts w:hint="eastAsia"/>
          <w:color w:val="000000" w:themeColor="text1"/>
          <w14:textFill>
            <w14:solidFill>
              <w14:schemeClr w14:val="tx1"/>
            </w14:solidFill>
          </w14:textFill>
        </w:rPr>
        <w:t>产生量分别为0.72kg/d、0.36kg/d、0.084kg/d。本项目施工期为5个月，则项目施工期间共产生废水360m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，污染物COD、BOD</w:t>
      </w:r>
      <w:r>
        <w:rPr>
          <w:rFonts w:hint="eastAsia"/>
          <w:color w:val="000000" w:themeColor="text1"/>
          <w:vertAlign w:val="subscript"/>
          <w14:textFill>
            <w14:solidFill>
              <w14:schemeClr w14:val="tx1"/>
            </w14:solidFill>
          </w14:textFill>
        </w:rPr>
        <w:t>5</w:t>
      </w:r>
      <w:r>
        <w:rPr>
          <w:color w:val="000000" w:themeColor="text1"/>
          <w14:textFill>
            <w14:solidFill>
              <w14:schemeClr w14:val="tx1"/>
            </w14:solidFill>
          </w14:textFill>
        </w:rPr>
        <w:t>、NH</w:t>
      </w:r>
      <w:r>
        <w:rPr>
          <w:color w:val="000000" w:themeColor="text1"/>
          <w:vertAlign w:val="subscript"/>
          <w14:textFill>
            <w14:solidFill>
              <w14:schemeClr w14:val="tx1"/>
            </w14:solidFill>
          </w14:textFill>
        </w:rPr>
        <w:t>3</w:t>
      </w:r>
      <w:r>
        <w:rPr>
          <w:color w:val="000000" w:themeColor="text1"/>
          <w14:textFill>
            <w14:solidFill>
              <w14:schemeClr w14:val="tx1"/>
            </w14:solidFill>
          </w14:textFill>
        </w:rPr>
        <w:t>-N</w:t>
      </w:r>
      <w:r>
        <w:rPr>
          <w:rFonts w:hint="eastAsia"/>
          <w:color w:val="000000" w:themeColor="text1"/>
          <w14:textFill>
            <w14:solidFill>
              <w14:schemeClr w14:val="tx1"/>
            </w14:solidFill>
          </w14:textFill>
        </w:rPr>
        <w:t>产生量分别约0.108t、0.054t、0.013t。根据以往施工经验，施工人员一般租住附近民房，产生的生活污水依托民房自设的化粪池进行处理。</w:t>
      </w:r>
    </w:p>
    <w:p w14:paraId="3821E94A">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③试压废水</w:t>
      </w:r>
    </w:p>
    <w:p w14:paraId="1AF0F242">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工程管道施工结束后进行清管和试压，试压前应采用清管器进行清管，并不少于2次。清管是试压前的重要步骤，它利用压缩空气推动清管器，完成清扫管道内杂物、砂石、尘土、积水和浮锈等，清管扫线应具备临时清管器收发设施。管道试压以清洁水作为试验介质，根据管线设计参数，本项目试压废水量约20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，试压废水依托经罐区废水池汇总后进入天宜一期污水处理厂进行处理。</w:t>
      </w:r>
    </w:p>
    <w:p w14:paraId="62B7679C">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（3）固体废弃物：施工人员生活垃圾、施工废料、施工船舶垃圾。</w:t>
      </w:r>
    </w:p>
    <w:p w14:paraId="1F2E4711">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①施工人员生活垃圾</w:t>
      </w:r>
    </w:p>
    <w:p w14:paraId="11F4CA23">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施工人员按20人/天，每人每天生活垃圾产生量1kg，施工期按5个月计，则项目施工期间施工人员产生的生活垃圾3.0t，主要是瓜果皮、菜渣、食品包装袋、剩饭等。若生活垃圾处置不当，不仅影响施工区环境卫生，还将为传播疾病的鼠类、蚊、蝇等提供滋生条件，进而导致疾病流行，影响施工人员身体健康。</w:t>
      </w:r>
      <w:r>
        <w:rPr>
          <w:color w:val="000000" w:themeColor="text1"/>
          <w14:textFill>
            <w14:solidFill>
              <w14:schemeClr w14:val="tx1"/>
            </w14:solidFill>
          </w14:textFill>
        </w:rPr>
        <w:t>生活垃圾</w:t>
      </w:r>
      <w:r>
        <w:rPr>
          <w:rFonts w:hint="eastAsia"/>
          <w:color w:val="000000" w:themeColor="text1"/>
          <w14:textFill>
            <w14:solidFill>
              <w14:schemeClr w14:val="tx1"/>
            </w14:solidFill>
          </w14:textFill>
        </w:rPr>
        <w:t>依托当地的处理设施</w:t>
      </w:r>
      <w:r>
        <w:rPr>
          <w:color w:val="000000" w:themeColor="text1"/>
          <w14:textFill>
            <w14:solidFill>
              <w14:schemeClr w14:val="tx1"/>
            </w14:solidFill>
          </w14:textFill>
        </w:rPr>
        <w:t>定点收集后</w:t>
      </w:r>
      <w:r>
        <w:rPr>
          <w:rFonts w:hint="eastAsia"/>
          <w:color w:val="000000" w:themeColor="text1"/>
          <w14:textFill>
            <w14:solidFill>
              <w14:schemeClr w14:val="tx1"/>
            </w14:solidFill>
          </w14:textFill>
        </w:rPr>
        <w:t>，由环卫部门</w:t>
      </w:r>
      <w:r>
        <w:rPr>
          <w:color w:val="000000" w:themeColor="text1"/>
          <w14:textFill>
            <w14:solidFill>
              <w14:schemeClr w14:val="tx1"/>
            </w14:solidFill>
          </w14:textFill>
        </w:rPr>
        <w:t>统一</w:t>
      </w:r>
      <w:r>
        <w:rPr>
          <w:rFonts w:hint="eastAsia"/>
          <w:color w:val="000000" w:themeColor="text1"/>
          <w14:textFill>
            <w14:solidFill>
              <w14:schemeClr w14:val="tx1"/>
            </w14:solidFill>
          </w14:textFill>
        </w:rPr>
        <w:t>清运</w:t>
      </w:r>
      <w:r>
        <w:rPr>
          <w:color w:val="000000" w:themeColor="text1"/>
          <w14:textFill>
            <w14:solidFill>
              <w14:schemeClr w14:val="tx1"/>
            </w14:solidFill>
          </w14:textFill>
        </w:rPr>
        <w:t>处理。</w:t>
      </w:r>
    </w:p>
    <w:p w14:paraId="798E9F5D">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②施工废料</w:t>
      </w:r>
    </w:p>
    <w:p w14:paraId="3D743694">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施工废料主要包括防腐作业中产生的废防腐材料及废</w:t>
      </w:r>
      <w:r>
        <w:rPr>
          <w:rFonts w:hint="eastAsia"/>
          <w:bCs/>
          <w:color w:val="000000" w:themeColor="text1"/>
          <w14:textFill>
            <w14:solidFill>
              <w14:schemeClr w14:val="tx1"/>
            </w14:solidFill>
          </w14:textFill>
        </w:rPr>
        <w:t>硅酸钙保温材料</w:t>
      </w:r>
      <w:r>
        <w:rPr>
          <w:rFonts w:hint="eastAsia"/>
          <w:color w:val="000000" w:themeColor="text1"/>
          <w14:textFill>
            <w14:solidFill>
              <w14:schemeClr w14:val="tx1"/>
            </w14:solidFill>
          </w14:textFill>
        </w:rPr>
        <w:t>等。根据类比调查，施工废料的产生量按0.1t/km估算，本项目施工过程中产生的施工废料量约为0.12t。施工废料部分可回收利用，剩余废料集中收集后运往城建部门指定地点进行处置。</w:t>
      </w:r>
    </w:p>
    <w:p w14:paraId="1D40DE44">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③</w:t>
      </w:r>
      <w:r>
        <w:rPr>
          <w:color w:val="000000" w:themeColor="text1"/>
          <w14:textFill>
            <w14:solidFill>
              <w14:schemeClr w14:val="tx1"/>
            </w14:solidFill>
          </w14:textFill>
        </w:rPr>
        <w:t>施工船舶</w:t>
      </w:r>
      <w:r>
        <w:rPr>
          <w:rFonts w:hint="eastAsia"/>
          <w:color w:val="000000" w:themeColor="text1"/>
          <w14:textFill>
            <w14:solidFill>
              <w14:schemeClr w14:val="tx1"/>
            </w14:solidFill>
          </w14:textFill>
        </w:rPr>
        <w:t>垃圾</w:t>
      </w:r>
    </w:p>
    <w:p w14:paraId="5E51973C">
      <w:pPr>
        <w:widowControl/>
        <w:ind w:firstLine="480"/>
        <w:rPr>
          <w:color w:val="000000" w:themeColor="text1"/>
          <w14:textFill>
            <w14:solidFill>
              <w14:schemeClr w14:val="tx1"/>
            </w14:solidFill>
          </w14:textFill>
        </w:rPr>
      </w:pPr>
      <w:r>
        <w:rPr>
          <w:color w:val="000000" w:themeColor="text1"/>
          <w14:textFill>
            <w14:solidFill>
              <w14:schemeClr w14:val="tx1"/>
            </w14:solidFill>
          </w14:textFill>
        </w:rPr>
        <w:t>施工船舶</w:t>
      </w:r>
      <w:r>
        <w:rPr>
          <w:rFonts w:hint="eastAsia"/>
          <w:color w:val="000000" w:themeColor="text1"/>
          <w14:textFill>
            <w14:solidFill>
              <w14:schemeClr w14:val="tx1"/>
            </w14:solidFill>
          </w14:textFill>
        </w:rPr>
        <w:t>垃圾主要为船舶人员生活垃圾</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装卸臂吊装一般为3～5天，施工过程中会产生少量的船舶垃圾，施工船舶垃圾</w:t>
      </w:r>
      <w:r>
        <w:rPr>
          <w:color w:val="000000" w:themeColor="text1"/>
          <w14:textFill>
            <w14:solidFill>
              <w14:schemeClr w14:val="tx1"/>
            </w14:solidFill>
          </w14:textFill>
        </w:rPr>
        <w:t>严格按照船舶污染物监管</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联单制度</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进行管理，委托船舶污染物接收单位进行接收、转运及处置。</w:t>
      </w:r>
    </w:p>
    <w:p w14:paraId="54B7B5A6">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（4）噪声：施工机械产生的噪声，</w:t>
      </w:r>
      <w:r>
        <w:rPr>
          <w:color w:val="000000" w:themeColor="text1"/>
          <w14:textFill>
            <w14:solidFill>
              <w14:schemeClr w14:val="tx1"/>
            </w14:solidFill>
          </w14:textFill>
        </w:rPr>
        <w:t>如切割机、吊管机、电焊机、</w:t>
      </w:r>
      <w:r>
        <w:rPr>
          <w:rFonts w:hint="eastAsia"/>
          <w:color w:val="000000" w:themeColor="text1"/>
          <w14:textFill>
            <w14:solidFill>
              <w14:schemeClr w14:val="tx1"/>
            </w14:solidFill>
          </w14:textFill>
        </w:rPr>
        <w:t>施工船舶</w:t>
      </w:r>
      <w:r>
        <w:rPr>
          <w:color w:val="000000" w:themeColor="text1"/>
          <w14:textFill>
            <w14:solidFill>
              <w14:schemeClr w14:val="tx1"/>
            </w14:solidFill>
          </w14:textFill>
        </w:rPr>
        <w:t>等，其强度在85~</w:t>
      </w:r>
      <w:r>
        <w:rPr>
          <w:rFonts w:hint="eastAsia"/>
          <w:color w:val="000000" w:themeColor="text1"/>
          <w14:textFill>
            <w14:solidFill>
              <w14:schemeClr w14:val="tx1"/>
            </w14:solidFill>
          </w14:textFill>
        </w:rPr>
        <w:t>95</w:t>
      </w:r>
      <w:r>
        <w:rPr>
          <w:color w:val="000000" w:themeColor="text1"/>
          <w14:textFill>
            <w14:solidFill>
              <w14:schemeClr w14:val="tx1"/>
            </w14:solidFill>
          </w14:textFill>
        </w:rPr>
        <w:t>dB(A)，具体见表2.3-3。</w:t>
      </w:r>
    </w:p>
    <w:p w14:paraId="0097A374">
      <w:pPr>
        <w:pStyle w:val="7"/>
        <w:tabs>
          <w:tab w:val="left" w:pos="2127"/>
          <w:tab w:val="left" w:pos="2411"/>
        </w:tabs>
        <w:rPr>
          <w:color w:val="000000" w:themeColor="text1"/>
          <w14:textFill>
            <w14:solidFill>
              <w14:schemeClr w14:val="tx1"/>
            </w14:solidFill>
          </w14:textFill>
        </w:rPr>
      </w:pPr>
      <w:r>
        <w:rPr>
          <w:color w:val="000000" w:themeColor="text1"/>
          <w14:textFill>
            <w14:solidFill>
              <w14:schemeClr w14:val="tx1"/>
            </w14:solidFill>
          </w14:textFill>
        </w:rPr>
        <w:t xml:space="preserve">   施工机械（车辆）污染物排放情况</w:t>
      </w:r>
    </w:p>
    <w:tbl>
      <w:tblPr>
        <w:tblStyle w:val="43"/>
        <w:tblW w:w="4998"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910"/>
        <w:gridCol w:w="3298"/>
        <w:gridCol w:w="3311"/>
      </w:tblGrid>
      <w:tr w14:paraId="0431932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4" w:hRule="atLeast"/>
          <w:jc w:val="center"/>
        </w:trPr>
        <w:tc>
          <w:tcPr>
            <w:tcW w:w="1121" w:type="pct"/>
            <w:vAlign w:val="center"/>
          </w:tcPr>
          <w:p w14:paraId="7372FD73">
            <w:pPr>
              <w:spacing w:line="240" w:lineRule="auto"/>
              <w:ind w:firstLine="422"/>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序号</w:t>
            </w:r>
          </w:p>
        </w:tc>
        <w:tc>
          <w:tcPr>
            <w:tcW w:w="1935" w:type="pct"/>
            <w:vAlign w:val="center"/>
          </w:tcPr>
          <w:p w14:paraId="438DF7A8">
            <w:pPr>
              <w:spacing w:line="240" w:lineRule="auto"/>
              <w:ind w:firstLine="422"/>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噪声源</w:t>
            </w:r>
          </w:p>
        </w:tc>
        <w:tc>
          <w:tcPr>
            <w:tcW w:w="1943" w:type="pct"/>
            <w:vAlign w:val="center"/>
          </w:tcPr>
          <w:p w14:paraId="2963BB19">
            <w:pPr>
              <w:spacing w:line="240" w:lineRule="auto"/>
              <w:ind w:firstLine="422"/>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噪声强度dB(A)</w:t>
            </w:r>
          </w:p>
        </w:tc>
      </w:tr>
      <w:tr w14:paraId="2E4CB76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121" w:type="pct"/>
            <w:vAlign w:val="center"/>
          </w:tcPr>
          <w:p w14:paraId="00175586">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w:t>
            </w:r>
          </w:p>
        </w:tc>
        <w:tc>
          <w:tcPr>
            <w:tcW w:w="1935" w:type="pct"/>
            <w:vAlign w:val="center"/>
          </w:tcPr>
          <w:p w14:paraId="2E0D6F9E">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切割机</w:t>
            </w:r>
          </w:p>
        </w:tc>
        <w:tc>
          <w:tcPr>
            <w:tcW w:w="1943" w:type="pct"/>
            <w:vAlign w:val="center"/>
          </w:tcPr>
          <w:p w14:paraId="517C6346">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95</w:t>
            </w:r>
          </w:p>
        </w:tc>
      </w:tr>
      <w:tr w14:paraId="35215AD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1" w:hRule="atLeast"/>
          <w:jc w:val="center"/>
        </w:trPr>
        <w:tc>
          <w:tcPr>
            <w:tcW w:w="1121" w:type="pct"/>
            <w:vAlign w:val="center"/>
          </w:tcPr>
          <w:p w14:paraId="483C2D2C">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w:t>
            </w:r>
          </w:p>
        </w:tc>
        <w:tc>
          <w:tcPr>
            <w:tcW w:w="1935" w:type="pct"/>
            <w:vAlign w:val="center"/>
          </w:tcPr>
          <w:p w14:paraId="5751A0B2">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吊管机</w:t>
            </w:r>
          </w:p>
        </w:tc>
        <w:tc>
          <w:tcPr>
            <w:tcW w:w="1943" w:type="pct"/>
            <w:vAlign w:val="center"/>
          </w:tcPr>
          <w:p w14:paraId="76E1B421">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88</w:t>
            </w:r>
          </w:p>
        </w:tc>
      </w:tr>
      <w:tr w14:paraId="2D450F9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121" w:type="pct"/>
            <w:vAlign w:val="center"/>
          </w:tcPr>
          <w:p w14:paraId="5BC81F7E">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w:t>
            </w:r>
          </w:p>
        </w:tc>
        <w:tc>
          <w:tcPr>
            <w:tcW w:w="1935" w:type="pct"/>
            <w:vAlign w:val="center"/>
          </w:tcPr>
          <w:p w14:paraId="6509A3EC">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电焊机</w:t>
            </w:r>
          </w:p>
        </w:tc>
        <w:tc>
          <w:tcPr>
            <w:tcW w:w="1943" w:type="pct"/>
            <w:vAlign w:val="center"/>
          </w:tcPr>
          <w:p w14:paraId="76AA574B">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85</w:t>
            </w:r>
          </w:p>
        </w:tc>
      </w:tr>
      <w:tr w14:paraId="3287E02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2" w:hRule="atLeast"/>
          <w:jc w:val="center"/>
        </w:trPr>
        <w:tc>
          <w:tcPr>
            <w:tcW w:w="1121" w:type="pct"/>
            <w:vAlign w:val="center"/>
          </w:tcPr>
          <w:p w14:paraId="2E83BAD8">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4</w:t>
            </w:r>
          </w:p>
        </w:tc>
        <w:tc>
          <w:tcPr>
            <w:tcW w:w="1935" w:type="pct"/>
            <w:vAlign w:val="center"/>
          </w:tcPr>
          <w:p w14:paraId="435C5415">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施工船舶</w:t>
            </w:r>
          </w:p>
        </w:tc>
        <w:tc>
          <w:tcPr>
            <w:tcW w:w="1943" w:type="pct"/>
            <w:vAlign w:val="center"/>
          </w:tcPr>
          <w:p w14:paraId="485C967A">
            <w:pPr>
              <w:spacing w:line="240" w:lineRule="auto"/>
              <w:ind w:firstLine="42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90</w:t>
            </w:r>
          </w:p>
        </w:tc>
      </w:tr>
    </w:tbl>
    <w:p w14:paraId="7C7851CE">
      <w:pPr>
        <w:pStyle w:val="7"/>
        <w:rPr>
          <w:color w:val="000000" w:themeColor="text1"/>
          <w14:textFill>
            <w14:solidFill>
              <w14:schemeClr w14:val="tx1"/>
            </w14:solidFill>
          </w14:textFill>
        </w:rPr>
      </w:pP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施工期主要污染物及源强核算表</w:t>
      </w:r>
    </w:p>
    <w:tbl>
      <w:tblPr>
        <w:tblStyle w:val="43"/>
        <w:tblW w:w="5033"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721"/>
        <w:gridCol w:w="1508"/>
        <w:gridCol w:w="951"/>
        <w:gridCol w:w="784"/>
        <w:gridCol w:w="1910"/>
        <w:gridCol w:w="1378"/>
        <w:gridCol w:w="1326"/>
      </w:tblGrid>
      <w:tr w14:paraId="3E140FE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56" w:hRule="atLeast"/>
          <w:tblHeader/>
          <w:jc w:val="center"/>
        </w:trPr>
        <w:tc>
          <w:tcPr>
            <w:tcW w:w="420" w:type="pct"/>
            <w:vAlign w:val="center"/>
          </w:tcPr>
          <w:p w14:paraId="6984DCA9">
            <w:pPr>
              <w:pStyle w:val="70"/>
              <w:rPr>
                <w:b/>
                <w:color w:val="000000" w:themeColor="text1"/>
                <w14:textFill>
                  <w14:solidFill>
                    <w14:schemeClr w14:val="tx1"/>
                  </w14:solidFill>
                </w14:textFill>
              </w:rPr>
            </w:pPr>
            <w:r>
              <w:rPr>
                <w:b/>
                <w:color w:val="000000" w:themeColor="text1"/>
                <w14:textFill>
                  <w14:solidFill>
                    <w14:schemeClr w14:val="tx1"/>
                  </w14:solidFill>
                </w14:textFill>
              </w:rPr>
              <w:t>污染</w:t>
            </w:r>
          </w:p>
          <w:p w14:paraId="5A4D7C89">
            <w:pPr>
              <w:pStyle w:val="70"/>
              <w:rPr>
                <w:b/>
                <w:color w:val="000000" w:themeColor="text1"/>
                <w14:textFill>
                  <w14:solidFill>
                    <w14:schemeClr w14:val="tx1"/>
                  </w14:solidFill>
                </w14:textFill>
              </w:rPr>
            </w:pPr>
            <w:r>
              <w:rPr>
                <w:b/>
                <w:color w:val="000000" w:themeColor="text1"/>
                <w14:textFill>
                  <w14:solidFill>
                    <w14:schemeClr w14:val="tx1"/>
                  </w14:solidFill>
                </w14:textFill>
              </w:rPr>
              <w:t>类型</w:t>
            </w:r>
          </w:p>
        </w:tc>
        <w:tc>
          <w:tcPr>
            <w:tcW w:w="879" w:type="pct"/>
            <w:vAlign w:val="center"/>
          </w:tcPr>
          <w:p w14:paraId="2AB3B37C">
            <w:pPr>
              <w:pStyle w:val="70"/>
              <w:rPr>
                <w:b/>
                <w:color w:val="000000" w:themeColor="text1"/>
                <w14:textFill>
                  <w14:solidFill>
                    <w14:schemeClr w14:val="tx1"/>
                  </w14:solidFill>
                </w14:textFill>
              </w:rPr>
            </w:pPr>
            <w:r>
              <w:rPr>
                <w:b/>
                <w:color w:val="000000" w:themeColor="text1"/>
                <w14:textFill>
                  <w14:solidFill>
                    <w14:schemeClr w14:val="tx1"/>
                  </w14:solidFill>
                </w14:textFill>
              </w:rPr>
              <w:t>污染源</w:t>
            </w:r>
          </w:p>
        </w:tc>
        <w:tc>
          <w:tcPr>
            <w:tcW w:w="554" w:type="pct"/>
            <w:vAlign w:val="center"/>
          </w:tcPr>
          <w:p w14:paraId="186785CF">
            <w:pPr>
              <w:pStyle w:val="70"/>
              <w:rPr>
                <w:b/>
                <w:color w:val="000000" w:themeColor="text1"/>
                <w14:textFill>
                  <w14:solidFill>
                    <w14:schemeClr w14:val="tx1"/>
                  </w14:solidFill>
                </w14:textFill>
              </w:rPr>
            </w:pPr>
            <w:r>
              <w:rPr>
                <w:b/>
                <w:color w:val="000000" w:themeColor="text1"/>
                <w14:textFill>
                  <w14:solidFill>
                    <w14:schemeClr w14:val="tx1"/>
                  </w14:solidFill>
                </w14:textFill>
              </w:rPr>
              <w:t>排放量</w:t>
            </w:r>
          </w:p>
        </w:tc>
        <w:tc>
          <w:tcPr>
            <w:tcW w:w="457" w:type="pct"/>
            <w:vAlign w:val="center"/>
          </w:tcPr>
          <w:p w14:paraId="4E0001F2">
            <w:pPr>
              <w:pStyle w:val="70"/>
              <w:rPr>
                <w:b/>
                <w:color w:val="000000" w:themeColor="text1"/>
                <w14:textFill>
                  <w14:solidFill>
                    <w14:schemeClr w14:val="tx1"/>
                  </w14:solidFill>
                </w14:textFill>
              </w:rPr>
            </w:pPr>
            <w:r>
              <w:rPr>
                <w:b/>
                <w:color w:val="000000" w:themeColor="text1"/>
                <w14:textFill>
                  <w14:solidFill>
                    <w14:schemeClr w14:val="tx1"/>
                  </w14:solidFill>
                </w14:textFill>
              </w:rPr>
              <w:t>排放</w:t>
            </w:r>
          </w:p>
          <w:p w14:paraId="6BECB18F">
            <w:pPr>
              <w:pStyle w:val="70"/>
              <w:rPr>
                <w:b/>
                <w:color w:val="000000" w:themeColor="text1"/>
                <w14:textFill>
                  <w14:solidFill>
                    <w14:schemeClr w14:val="tx1"/>
                  </w14:solidFill>
                </w14:textFill>
              </w:rPr>
            </w:pPr>
            <w:r>
              <w:rPr>
                <w:b/>
                <w:color w:val="000000" w:themeColor="text1"/>
                <w14:textFill>
                  <w14:solidFill>
                    <w14:schemeClr w14:val="tx1"/>
                  </w14:solidFill>
                </w14:textFill>
              </w:rPr>
              <w:t>方式</w:t>
            </w:r>
          </w:p>
        </w:tc>
        <w:tc>
          <w:tcPr>
            <w:tcW w:w="1113" w:type="pct"/>
            <w:vAlign w:val="center"/>
          </w:tcPr>
          <w:p w14:paraId="537B248A">
            <w:pPr>
              <w:pStyle w:val="70"/>
              <w:rPr>
                <w:b/>
                <w:color w:val="000000" w:themeColor="text1"/>
                <w14:textFill>
                  <w14:solidFill>
                    <w14:schemeClr w14:val="tx1"/>
                  </w14:solidFill>
                </w14:textFill>
              </w:rPr>
            </w:pPr>
            <w:r>
              <w:rPr>
                <w:b/>
                <w:color w:val="000000" w:themeColor="text1"/>
                <w14:textFill>
                  <w14:solidFill>
                    <w14:schemeClr w14:val="tx1"/>
                  </w14:solidFill>
                </w14:textFill>
              </w:rPr>
              <w:t>主要污染物</w:t>
            </w:r>
          </w:p>
        </w:tc>
        <w:tc>
          <w:tcPr>
            <w:tcW w:w="803" w:type="pct"/>
            <w:vAlign w:val="center"/>
          </w:tcPr>
          <w:p w14:paraId="165A0B6B">
            <w:pPr>
              <w:pStyle w:val="70"/>
              <w:rPr>
                <w:b/>
                <w:color w:val="000000" w:themeColor="text1"/>
                <w14:textFill>
                  <w14:solidFill>
                    <w14:schemeClr w14:val="tx1"/>
                  </w14:solidFill>
                </w14:textFill>
              </w:rPr>
            </w:pPr>
            <w:r>
              <w:rPr>
                <w:b/>
                <w:color w:val="000000" w:themeColor="text1"/>
                <w14:textFill>
                  <w14:solidFill>
                    <w14:schemeClr w14:val="tx1"/>
                  </w14:solidFill>
                </w14:textFill>
              </w:rPr>
              <w:t>排放去向</w:t>
            </w:r>
          </w:p>
        </w:tc>
        <w:tc>
          <w:tcPr>
            <w:tcW w:w="773" w:type="pct"/>
            <w:vAlign w:val="center"/>
          </w:tcPr>
          <w:p w14:paraId="67D5A472">
            <w:pPr>
              <w:pStyle w:val="70"/>
              <w:rPr>
                <w:b/>
                <w:color w:val="000000" w:themeColor="text1"/>
                <w14:textFill>
                  <w14:solidFill>
                    <w14:schemeClr w14:val="tx1"/>
                  </w14:solidFill>
                </w14:textFill>
              </w:rPr>
            </w:pPr>
            <w:r>
              <w:rPr>
                <w:b/>
                <w:color w:val="000000" w:themeColor="text1"/>
                <w14:textFill>
                  <w14:solidFill>
                    <w14:schemeClr w14:val="tx1"/>
                  </w14:solidFill>
                </w14:textFill>
              </w:rPr>
              <w:t>核算方法</w:t>
            </w:r>
          </w:p>
        </w:tc>
      </w:tr>
      <w:tr w14:paraId="41630C7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4" w:hRule="atLeast"/>
          <w:jc w:val="center"/>
        </w:trPr>
        <w:tc>
          <w:tcPr>
            <w:tcW w:w="420" w:type="pct"/>
            <w:vMerge w:val="restart"/>
            <w:vAlign w:val="center"/>
          </w:tcPr>
          <w:p w14:paraId="4FFC3C4C">
            <w:pPr>
              <w:pStyle w:val="70"/>
              <w:rPr>
                <w:color w:val="000000" w:themeColor="text1"/>
                <w14:textFill>
                  <w14:solidFill>
                    <w14:schemeClr w14:val="tx1"/>
                  </w14:solidFill>
                </w14:textFill>
              </w:rPr>
            </w:pPr>
            <w:r>
              <w:rPr>
                <w:color w:val="000000" w:themeColor="text1"/>
                <w14:textFill>
                  <w14:solidFill>
                    <w14:schemeClr w14:val="tx1"/>
                  </w14:solidFill>
                </w14:textFill>
              </w:rPr>
              <w:t>废气</w:t>
            </w:r>
          </w:p>
        </w:tc>
        <w:tc>
          <w:tcPr>
            <w:tcW w:w="879" w:type="pct"/>
            <w:vAlign w:val="center"/>
          </w:tcPr>
          <w:p w14:paraId="0266F8BD">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施工扬尘</w:t>
            </w:r>
          </w:p>
        </w:tc>
        <w:tc>
          <w:tcPr>
            <w:tcW w:w="554" w:type="pct"/>
            <w:vAlign w:val="center"/>
          </w:tcPr>
          <w:p w14:paraId="2C61FD89">
            <w:pPr>
              <w:pStyle w:val="70"/>
              <w:rPr>
                <w:color w:val="000000" w:themeColor="text1"/>
                <w14:textFill>
                  <w14:solidFill>
                    <w14:schemeClr w14:val="tx1"/>
                  </w14:solidFill>
                </w14:textFill>
              </w:rPr>
            </w:pPr>
            <w:r>
              <w:rPr>
                <w:color w:val="000000" w:themeColor="text1"/>
                <w14:textFill>
                  <w14:solidFill>
                    <w14:schemeClr w14:val="tx1"/>
                  </w14:solidFill>
                </w14:textFill>
              </w:rPr>
              <w:t>少量</w:t>
            </w:r>
          </w:p>
        </w:tc>
        <w:tc>
          <w:tcPr>
            <w:tcW w:w="457" w:type="pct"/>
            <w:vAlign w:val="center"/>
          </w:tcPr>
          <w:p w14:paraId="37E96A83">
            <w:pPr>
              <w:pStyle w:val="70"/>
              <w:rPr>
                <w:color w:val="000000" w:themeColor="text1"/>
                <w14:textFill>
                  <w14:solidFill>
                    <w14:schemeClr w14:val="tx1"/>
                  </w14:solidFill>
                </w14:textFill>
              </w:rPr>
            </w:pPr>
            <w:r>
              <w:rPr>
                <w:color w:val="000000" w:themeColor="text1"/>
                <w14:textFill>
                  <w14:solidFill>
                    <w14:schemeClr w14:val="tx1"/>
                  </w14:solidFill>
                </w14:textFill>
              </w:rPr>
              <w:t>间断</w:t>
            </w:r>
          </w:p>
        </w:tc>
        <w:tc>
          <w:tcPr>
            <w:tcW w:w="1113" w:type="pct"/>
            <w:vAlign w:val="center"/>
          </w:tcPr>
          <w:p w14:paraId="02A2C344">
            <w:pPr>
              <w:pStyle w:val="70"/>
              <w:rPr>
                <w:color w:val="000000" w:themeColor="text1"/>
                <w14:textFill>
                  <w14:solidFill>
                    <w14:schemeClr w14:val="tx1"/>
                  </w14:solidFill>
                </w14:textFill>
              </w:rPr>
            </w:pPr>
            <w:r>
              <w:rPr>
                <w:color w:val="000000" w:themeColor="text1"/>
                <w14:textFill>
                  <w14:solidFill>
                    <w14:schemeClr w14:val="tx1"/>
                  </w14:solidFill>
                </w14:textFill>
              </w:rPr>
              <w:t>粉尘</w:t>
            </w:r>
          </w:p>
        </w:tc>
        <w:tc>
          <w:tcPr>
            <w:tcW w:w="803" w:type="pct"/>
            <w:vAlign w:val="center"/>
          </w:tcPr>
          <w:p w14:paraId="02C4D6F9">
            <w:pPr>
              <w:pStyle w:val="70"/>
              <w:rPr>
                <w:color w:val="000000" w:themeColor="text1"/>
                <w14:textFill>
                  <w14:solidFill>
                    <w14:schemeClr w14:val="tx1"/>
                  </w14:solidFill>
                </w14:textFill>
              </w:rPr>
            </w:pPr>
            <w:r>
              <w:rPr>
                <w:color w:val="000000" w:themeColor="text1"/>
                <w14:textFill>
                  <w14:solidFill>
                    <w14:schemeClr w14:val="tx1"/>
                  </w14:solidFill>
                </w14:textFill>
              </w:rPr>
              <w:t>环境空气</w:t>
            </w:r>
          </w:p>
        </w:tc>
        <w:tc>
          <w:tcPr>
            <w:tcW w:w="773" w:type="pct"/>
            <w:vAlign w:val="center"/>
          </w:tcPr>
          <w:p w14:paraId="3E9092B7">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r>
      <w:tr w14:paraId="128A7B2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420" w:type="pct"/>
            <w:vMerge w:val="continue"/>
            <w:vAlign w:val="center"/>
          </w:tcPr>
          <w:p w14:paraId="6AC446EB">
            <w:pPr>
              <w:pStyle w:val="70"/>
              <w:rPr>
                <w:color w:val="000000" w:themeColor="text1"/>
                <w14:textFill>
                  <w14:solidFill>
                    <w14:schemeClr w14:val="tx1"/>
                  </w14:solidFill>
                </w14:textFill>
              </w:rPr>
            </w:pPr>
          </w:p>
        </w:tc>
        <w:tc>
          <w:tcPr>
            <w:tcW w:w="879" w:type="pct"/>
            <w:vAlign w:val="center"/>
          </w:tcPr>
          <w:p w14:paraId="73A845B7">
            <w:pPr>
              <w:pStyle w:val="70"/>
              <w:rPr>
                <w:color w:val="000000" w:themeColor="text1"/>
                <w14:textFill>
                  <w14:solidFill>
                    <w14:schemeClr w14:val="tx1"/>
                  </w14:solidFill>
                </w14:textFill>
              </w:rPr>
            </w:pPr>
            <w:r>
              <w:rPr>
                <w:color w:val="000000" w:themeColor="text1"/>
                <w14:textFill>
                  <w14:solidFill>
                    <w14:schemeClr w14:val="tx1"/>
                  </w14:solidFill>
                </w14:textFill>
              </w:rPr>
              <w:t>施工机械废气</w:t>
            </w:r>
          </w:p>
        </w:tc>
        <w:tc>
          <w:tcPr>
            <w:tcW w:w="554" w:type="pct"/>
            <w:vAlign w:val="center"/>
          </w:tcPr>
          <w:p w14:paraId="33525A89">
            <w:pPr>
              <w:pStyle w:val="70"/>
              <w:rPr>
                <w:color w:val="000000" w:themeColor="text1"/>
                <w14:textFill>
                  <w14:solidFill>
                    <w14:schemeClr w14:val="tx1"/>
                  </w14:solidFill>
                </w14:textFill>
              </w:rPr>
            </w:pPr>
            <w:r>
              <w:rPr>
                <w:color w:val="000000" w:themeColor="text1"/>
                <w14:textFill>
                  <w14:solidFill>
                    <w14:schemeClr w14:val="tx1"/>
                  </w14:solidFill>
                </w14:textFill>
              </w:rPr>
              <w:t>少量</w:t>
            </w:r>
          </w:p>
        </w:tc>
        <w:tc>
          <w:tcPr>
            <w:tcW w:w="457" w:type="pct"/>
            <w:vAlign w:val="center"/>
          </w:tcPr>
          <w:p w14:paraId="59764B1F">
            <w:pPr>
              <w:pStyle w:val="70"/>
              <w:rPr>
                <w:color w:val="000000" w:themeColor="text1"/>
                <w14:textFill>
                  <w14:solidFill>
                    <w14:schemeClr w14:val="tx1"/>
                  </w14:solidFill>
                </w14:textFill>
              </w:rPr>
            </w:pPr>
            <w:r>
              <w:rPr>
                <w:color w:val="000000" w:themeColor="text1"/>
                <w14:textFill>
                  <w14:solidFill>
                    <w14:schemeClr w14:val="tx1"/>
                  </w14:solidFill>
                </w14:textFill>
              </w:rPr>
              <w:t>间断</w:t>
            </w:r>
          </w:p>
        </w:tc>
        <w:tc>
          <w:tcPr>
            <w:tcW w:w="1113" w:type="pct"/>
            <w:vAlign w:val="center"/>
          </w:tcPr>
          <w:p w14:paraId="251B45D4">
            <w:pPr>
              <w:pStyle w:val="70"/>
              <w:rPr>
                <w:color w:val="000000" w:themeColor="text1"/>
                <w14:textFill>
                  <w14:solidFill>
                    <w14:schemeClr w14:val="tx1"/>
                  </w14:solidFill>
                </w14:textFill>
              </w:rPr>
            </w:pPr>
            <w:r>
              <w:rPr>
                <w:color w:val="000000" w:themeColor="text1"/>
                <w14:textFill>
                  <w14:solidFill>
                    <w14:schemeClr w14:val="tx1"/>
                  </w14:solidFill>
                </w14:textFill>
              </w:rPr>
              <w:t>SO</w:t>
            </w:r>
            <w:r>
              <w:rPr>
                <w:color w:val="000000" w:themeColor="text1"/>
                <w:vertAlign w:val="subscript"/>
                <w14:textFill>
                  <w14:solidFill>
                    <w14:schemeClr w14:val="tx1"/>
                  </w14:solidFill>
                </w14:textFill>
              </w:rPr>
              <w:t>2</w:t>
            </w:r>
            <w:r>
              <w:rPr>
                <w:color w:val="000000" w:themeColor="text1"/>
                <w14:textFill>
                  <w14:solidFill>
                    <w14:schemeClr w14:val="tx1"/>
                  </w14:solidFill>
                </w14:textFill>
              </w:rPr>
              <w:t>、NO</w:t>
            </w:r>
            <w:r>
              <w:rPr>
                <w:color w:val="000000" w:themeColor="text1"/>
                <w:vertAlign w:val="subscript"/>
                <w14:textFill>
                  <w14:solidFill>
                    <w14:schemeClr w14:val="tx1"/>
                  </w14:solidFill>
                </w14:textFill>
              </w:rPr>
              <w:t>2</w:t>
            </w:r>
          </w:p>
        </w:tc>
        <w:tc>
          <w:tcPr>
            <w:tcW w:w="803" w:type="pct"/>
            <w:vAlign w:val="center"/>
          </w:tcPr>
          <w:p w14:paraId="0A4FA65B">
            <w:pPr>
              <w:pStyle w:val="70"/>
              <w:rPr>
                <w:color w:val="000000" w:themeColor="text1"/>
                <w14:textFill>
                  <w14:solidFill>
                    <w14:schemeClr w14:val="tx1"/>
                  </w14:solidFill>
                </w14:textFill>
              </w:rPr>
            </w:pPr>
            <w:r>
              <w:rPr>
                <w:color w:val="000000" w:themeColor="text1"/>
                <w14:textFill>
                  <w14:solidFill>
                    <w14:schemeClr w14:val="tx1"/>
                  </w14:solidFill>
                </w14:textFill>
              </w:rPr>
              <w:t>环境空气</w:t>
            </w:r>
          </w:p>
        </w:tc>
        <w:tc>
          <w:tcPr>
            <w:tcW w:w="773" w:type="pct"/>
            <w:vAlign w:val="center"/>
          </w:tcPr>
          <w:p w14:paraId="4A384F3D">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r>
      <w:tr w14:paraId="2E35C96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5" w:hRule="atLeast"/>
          <w:jc w:val="center"/>
        </w:trPr>
        <w:tc>
          <w:tcPr>
            <w:tcW w:w="420" w:type="pct"/>
            <w:vMerge w:val="continue"/>
            <w:vAlign w:val="center"/>
          </w:tcPr>
          <w:p w14:paraId="71FD7D27">
            <w:pPr>
              <w:pStyle w:val="70"/>
              <w:rPr>
                <w:color w:val="000000" w:themeColor="text1"/>
                <w14:textFill>
                  <w14:solidFill>
                    <w14:schemeClr w14:val="tx1"/>
                  </w14:solidFill>
                </w14:textFill>
              </w:rPr>
            </w:pPr>
          </w:p>
        </w:tc>
        <w:tc>
          <w:tcPr>
            <w:tcW w:w="879" w:type="pct"/>
            <w:vAlign w:val="center"/>
          </w:tcPr>
          <w:p w14:paraId="471FE97D">
            <w:pPr>
              <w:pStyle w:val="70"/>
              <w:rPr>
                <w:color w:val="000000" w:themeColor="text1"/>
                <w14:textFill>
                  <w14:solidFill>
                    <w14:schemeClr w14:val="tx1"/>
                  </w14:solidFill>
                </w14:textFill>
              </w:rPr>
            </w:pPr>
            <w:r>
              <w:rPr>
                <w:color w:val="000000" w:themeColor="text1"/>
                <w14:textFill>
                  <w14:solidFill>
                    <w14:schemeClr w14:val="tx1"/>
                  </w14:solidFill>
                </w14:textFill>
              </w:rPr>
              <w:t>焊接</w:t>
            </w:r>
          </w:p>
        </w:tc>
        <w:tc>
          <w:tcPr>
            <w:tcW w:w="554" w:type="pct"/>
            <w:vAlign w:val="center"/>
          </w:tcPr>
          <w:p w14:paraId="560C650C">
            <w:pPr>
              <w:pStyle w:val="70"/>
              <w:rPr>
                <w:color w:val="000000" w:themeColor="text1"/>
                <w14:textFill>
                  <w14:solidFill>
                    <w14:schemeClr w14:val="tx1"/>
                  </w14:solidFill>
                </w14:textFill>
              </w:rPr>
            </w:pPr>
            <w:r>
              <w:rPr>
                <w:color w:val="000000" w:themeColor="text1"/>
                <w14:textFill>
                  <w14:solidFill>
                    <w14:schemeClr w14:val="tx1"/>
                  </w14:solidFill>
                </w14:textFill>
              </w:rPr>
              <w:t>少量</w:t>
            </w:r>
          </w:p>
        </w:tc>
        <w:tc>
          <w:tcPr>
            <w:tcW w:w="457" w:type="pct"/>
            <w:vAlign w:val="center"/>
          </w:tcPr>
          <w:p w14:paraId="1E97CA5D">
            <w:pPr>
              <w:pStyle w:val="70"/>
              <w:rPr>
                <w:color w:val="000000" w:themeColor="text1"/>
                <w14:textFill>
                  <w14:solidFill>
                    <w14:schemeClr w14:val="tx1"/>
                  </w14:solidFill>
                </w14:textFill>
              </w:rPr>
            </w:pPr>
            <w:r>
              <w:rPr>
                <w:color w:val="000000" w:themeColor="text1"/>
                <w14:textFill>
                  <w14:solidFill>
                    <w14:schemeClr w14:val="tx1"/>
                  </w14:solidFill>
                </w14:textFill>
              </w:rPr>
              <w:t>间断</w:t>
            </w:r>
          </w:p>
        </w:tc>
        <w:tc>
          <w:tcPr>
            <w:tcW w:w="1113" w:type="pct"/>
            <w:vAlign w:val="center"/>
          </w:tcPr>
          <w:p w14:paraId="53C3A856">
            <w:pPr>
              <w:pStyle w:val="70"/>
              <w:rPr>
                <w:color w:val="000000" w:themeColor="text1"/>
                <w14:textFill>
                  <w14:solidFill>
                    <w14:schemeClr w14:val="tx1"/>
                  </w14:solidFill>
                </w14:textFill>
              </w:rPr>
            </w:pPr>
            <w:r>
              <w:rPr>
                <w:color w:val="000000" w:themeColor="text1"/>
                <w14:textFill>
                  <w14:solidFill>
                    <w14:schemeClr w14:val="tx1"/>
                  </w14:solidFill>
                </w14:textFill>
              </w:rPr>
              <w:t>烟尘</w:t>
            </w:r>
          </w:p>
        </w:tc>
        <w:tc>
          <w:tcPr>
            <w:tcW w:w="803" w:type="pct"/>
            <w:vAlign w:val="center"/>
          </w:tcPr>
          <w:p w14:paraId="59A9EF27">
            <w:pPr>
              <w:pStyle w:val="70"/>
              <w:rPr>
                <w:color w:val="000000" w:themeColor="text1"/>
                <w14:textFill>
                  <w14:solidFill>
                    <w14:schemeClr w14:val="tx1"/>
                  </w14:solidFill>
                </w14:textFill>
              </w:rPr>
            </w:pPr>
            <w:r>
              <w:rPr>
                <w:color w:val="000000" w:themeColor="text1"/>
                <w14:textFill>
                  <w14:solidFill>
                    <w14:schemeClr w14:val="tx1"/>
                  </w14:solidFill>
                </w14:textFill>
              </w:rPr>
              <w:t>环境空气</w:t>
            </w:r>
          </w:p>
        </w:tc>
        <w:tc>
          <w:tcPr>
            <w:tcW w:w="773" w:type="pct"/>
            <w:vAlign w:val="center"/>
          </w:tcPr>
          <w:p w14:paraId="4C625377">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经验计算法</w:t>
            </w:r>
          </w:p>
        </w:tc>
      </w:tr>
      <w:tr w14:paraId="7FB9B14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8" w:hRule="atLeast"/>
          <w:jc w:val="center"/>
        </w:trPr>
        <w:tc>
          <w:tcPr>
            <w:tcW w:w="420" w:type="pct"/>
            <w:vMerge w:val="continue"/>
            <w:vAlign w:val="center"/>
          </w:tcPr>
          <w:p w14:paraId="735D70D1">
            <w:pPr>
              <w:pStyle w:val="70"/>
              <w:rPr>
                <w:color w:val="000000" w:themeColor="text1"/>
                <w14:textFill>
                  <w14:solidFill>
                    <w14:schemeClr w14:val="tx1"/>
                  </w14:solidFill>
                </w14:textFill>
              </w:rPr>
            </w:pPr>
          </w:p>
        </w:tc>
        <w:tc>
          <w:tcPr>
            <w:tcW w:w="879" w:type="pct"/>
            <w:vAlign w:val="center"/>
          </w:tcPr>
          <w:p w14:paraId="72F69A52">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涂漆废气</w:t>
            </w:r>
          </w:p>
        </w:tc>
        <w:tc>
          <w:tcPr>
            <w:tcW w:w="554" w:type="pct"/>
            <w:vAlign w:val="center"/>
          </w:tcPr>
          <w:p w14:paraId="466F46D9">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0.2</w:t>
            </w:r>
            <w:r>
              <w:rPr>
                <w:color w:val="000000" w:themeColor="text1"/>
                <w14:textFill>
                  <w14:solidFill>
                    <w14:schemeClr w14:val="tx1"/>
                  </w14:solidFill>
                </w14:textFill>
              </w:rPr>
              <w:t>t</w:t>
            </w:r>
          </w:p>
        </w:tc>
        <w:tc>
          <w:tcPr>
            <w:tcW w:w="457" w:type="pct"/>
            <w:vAlign w:val="center"/>
          </w:tcPr>
          <w:p w14:paraId="65F3B2B6">
            <w:pPr>
              <w:pStyle w:val="70"/>
              <w:rPr>
                <w:color w:val="000000" w:themeColor="text1"/>
                <w14:textFill>
                  <w14:solidFill>
                    <w14:schemeClr w14:val="tx1"/>
                  </w14:solidFill>
                </w14:textFill>
              </w:rPr>
            </w:pPr>
            <w:r>
              <w:rPr>
                <w:color w:val="000000" w:themeColor="text1"/>
                <w14:textFill>
                  <w14:solidFill>
                    <w14:schemeClr w14:val="tx1"/>
                  </w14:solidFill>
                </w14:textFill>
              </w:rPr>
              <w:t>间断</w:t>
            </w:r>
          </w:p>
        </w:tc>
        <w:tc>
          <w:tcPr>
            <w:tcW w:w="1113" w:type="pct"/>
            <w:vAlign w:val="center"/>
          </w:tcPr>
          <w:p w14:paraId="51B99CD5">
            <w:pPr>
              <w:pStyle w:val="70"/>
              <w:rPr>
                <w:color w:val="000000" w:themeColor="text1"/>
                <w14:textFill>
                  <w14:solidFill>
                    <w14:schemeClr w14:val="tx1"/>
                  </w14:solidFill>
                </w14:textFill>
              </w:rPr>
            </w:pPr>
            <w:r>
              <w:rPr>
                <w:color w:val="000000" w:themeColor="text1"/>
                <w14:textFill>
                  <w14:solidFill>
                    <w14:schemeClr w14:val="tx1"/>
                  </w14:solidFill>
                </w14:textFill>
              </w:rPr>
              <w:t>有机废气</w:t>
            </w:r>
          </w:p>
        </w:tc>
        <w:tc>
          <w:tcPr>
            <w:tcW w:w="803" w:type="pct"/>
            <w:vAlign w:val="center"/>
          </w:tcPr>
          <w:p w14:paraId="725C31C6">
            <w:pPr>
              <w:pStyle w:val="70"/>
              <w:rPr>
                <w:color w:val="000000" w:themeColor="text1"/>
                <w14:textFill>
                  <w14:solidFill>
                    <w14:schemeClr w14:val="tx1"/>
                  </w14:solidFill>
                </w14:textFill>
              </w:rPr>
            </w:pPr>
            <w:r>
              <w:rPr>
                <w:color w:val="000000" w:themeColor="text1"/>
                <w14:textFill>
                  <w14:solidFill>
                    <w14:schemeClr w14:val="tx1"/>
                  </w14:solidFill>
                </w14:textFill>
              </w:rPr>
              <w:t>环境空气</w:t>
            </w:r>
          </w:p>
        </w:tc>
        <w:tc>
          <w:tcPr>
            <w:tcW w:w="773" w:type="pct"/>
            <w:vAlign w:val="center"/>
          </w:tcPr>
          <w:p w14:paraId="614FE109">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经验计算法</w:t>
            </w:r>
          </w:p>
        </w:tc>
      </w:tr>
      <w:tr w14:paraId="49ADDEF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39" w:hRule="atLeast"/>
          <w:jc w:val="center"/>
        </w:trPr>
        <w:tc>
          <w:tcPr>
            <w:tcW w:w="420" w:type="pct"/>
            <w:vMerge w:val="restart"/>
            <w:vAlign w:val="center"/>
          </w:tcPr>
          <w:p w14:paraId="58F52E37">
            <w:pPr>
              <w:pStyle w:val="70"/>
              <w:rPr>
                <w:color w:val="000000" w:themeColor="text1"/>
                <w14:textFill>
                  <w14:solidFill>
                    <w14:schemeClr w14:val="tx1"/>
                  </w14:solidFill>
                </w14:textFill>
              </w:rPr>
            </w:pPr>
            <w:r>
              <w:rPr>
                <w:color w:val="000000" w:themeColor="text1"/>
                <w14:textFill>
                  <w14:solidFill>
                    <w14:schemeClr w14:val="tx1"/>
                  </w14:solidFill>
                </w14:textFill>
              </w:rPr>
              <w:t>废水</w:t>
            </w:r>
          </w:p>
        </w:tc>
        <w:tc>
          <w:tcPr>
            <w:tcW w:w="879" w:type="pct"/>
            <w:vAlign w:val="center"/>
          </w:tcPr>
          <w:p w14:paraId="1D60F490">
            <w:pPr>
              <w:pStyle w:val="70"/>
              <w:rPr>
                <w:color w:val="000000" w:themeColor="text1"/>
                <w14:textFill>
                  <w14:solidFill>
                    <w14:schemeClr w14:val="tx1"/>
                  </w14:solidFill>
                </w14:textFill>
              </w:rPr>
            </w:pPr>
            <w:r>
              <w:rPr>
                <w:color w:val="000000" w:themeColor="text1"/>
                <w14:textFill>
                  <w14:solidFill>
                    <w14:schemeClr w14:val="tx1"/>
                  </w14:solidFill>
                </w14:textFill>
              </w:rPr>
              <w:t>施工人员生活污水</w:t>
            </w:r>
          </w:p>
        </w:tc>
        <w:tc>
          <w:tcPr>
            <w:tcW w:w="554" w:type="pct"/>
            <w:vAlign w:val="center"/>
          </w:tcPr>
          <w:p w14:paraId="26346372">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360</w:t>
            </w:r>
            <w:r>
              <w:rPr>
                <w:color w:val="000000" w:themeColor="text1"/>
                <w14:textFill>
                  <w14:solidFill>
                    <w14:schemeClr w14:val="tx1"/>
                  </w14:solidFill>
                </w14:textFill>
              </w:rPr>
              <w:t>m</w:t>
            </w:r>
            <w:r>
              <w:rPr>
                <w:color w:val="000000" w:themeColor="text1"/>
                <w:vertAlign w:val="superscript"/>
                <w14:textFill>
                  <w14:solidFill>
                    <w14:schemeClr w14:val="tx1"/>
                  </w14:solidFill>
                </w14:textFill>
              </w:rPr>
              <w:t>3</w:t>
            </w:r>
          </w:p>
        </w:tc>
        <w:tc>
          <w:tcPr>
            <w:tcW w:w="457" w:type="pct"/>
            <w:vAlign w:val="center"/>
          </w:tcPr>
          <w:p w14:paraId="52B4F4F5">
            <w:pPr>
              <w:pStyle w:val="70"/>
              <w:rPr>
                <w:color w:val="000000" w:themeColor="text1"/>
                <w14:textFill>
                  <w14:solidFill>
                    <w14:schemeClr w14:val="tx1"/>
                  </w14:solidFill>
                </w14:textFill>
              </w:rPr>
            </w:pPr>
            <w:r>
              <w:rPr>
                <w:color w:val="000000" w:themeColor="text1"/>
                <w14:textFill>
                  <w14:solidFill>
                    <w14:schemeClr w14:val="tx1"/>
                  </w14:solidFill>
                </w14:textFill>
              </w:rPr>
              <w:t>间断</w:t>
            </w:r>
          </w:p>
        </w:tc>
        <w:tc>
          <w:tcPr>
            <w:tcW w:w="1113" w:type="pct"/>
            <w:vAlign w:val="center"/>
          </w:tcPr>
          <w:p w14:paraId="0A691C36">
            <w:pPr>
              <w:pStyle w:val="70"/>
              <w:rPr>
                <w:color w:val="000000" w:themeColor="text1"/>
                <w14:textFill>
                  <w14:solidFill>
                    <w14:schemeClr w14:val="tx1"/>
                  </w14:solidFill>
                </w14:textFill>
              </w:rPr>
            </w:pPr>
            <w:r>
              <w:rPr>
                <w:color w:val="000000" w:themeColor="text1"/>
                <w14:textFill>
                  <w14:solidFill>
                    <w14:schemeClr w14:val="tx1"/>
                  </w14:solidFill>
                </w14:textFill>
              </w:rPr>
              <w:t>COD、BOD</w:t>
            </w:r>
            <w:r>
              <w:rPr>
                <w:rFonts w:hint="eastAsia"/>
                <w:color w:val="000000" w:themeColor="text1"/>
                <w:vertAlign w:val="subscript"/>
                <w14:textFill>
                  <w14:solidFill>
                    <w14:schemeClr w14:val="tx1"/>
                  </w14:solidFill>
                </w14:textFill>
              </w:rPr>
              <w:t>5</w:t>
            </w:r>
            <w:r>
              <w:rPr>
                <w:color w:val="000000" w:themeColor="text1"/>
                <w14:textFill>
                  <w14:solidFill>
                    <w14:schemeClr w14:val="tx1"/>
                  </w14:solidFill>
                </w14:textFill>
              </w:rPr>
              <w:t>、NH3-N</w:t>
            </w:r>
          </w:p>
        </w:tc>
        <w:tc>
          <w:tcPr>
            <w:tcW w:w="803" w:type="pct"/>
            <w:vAlign w:val="center"/>
          </w:tcPr>
          <w:p w14:paraId="2E79A0B9">
            <w:pPr>
              <w:pStyle w:val="70"/>
              <w:rPr>
                <w:color w:val="000000" w:themeColor="text1"/>
                <w14:textFill>
                  <w14:solidFill>
                    <w14:schemeClr w14:val="tx1"/>
                  </w14:solidFill>
                </w14:textFill>
              </w:rPr>
            </w:pPr>
            <w:r>
              <w:rPr>
                <w:color w:val="000000" w:themeColor="text1"/>
                <w14:textFill>
                  <w14:solidFill>
                    <w14:schemeClr w14:val="tx1"/>
                  </w14:solidFill>
                </w14:textFill>
              </w:rPr>
              <w:t>居民自设化粪池处理</w:t>
            </w:r>
          </w:p>
        </w:tc>
        <w:tc>
          <w:tcPr>
            <w:tcW w:w="773" w:type="pct"/>
            <w:vAlign w:val="center"/>
          </w:tcPr>
          <w:p w14:paraId="60FB9935">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经验计算法</w:t>
            </w:r>
          </w:p>
        </w:tc>
      </w:tr>
      <w:tr w14:paraId="27DC130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5" w:hRule="atLeast"/>
          <w:jc w:val="center"/>
        </w:trPr>
        <w:tc>
          <w:tcPr>
            <w:tcW w:w="420" w:type="pct"/>
            <w:vMerge w:val="continue"/>
            <w:vAlign w:val="center"/>
          </w:tcPr>
          <w:p w14:paraId="75FFA6AD">
            <w:pPr>
              <w:pStyle w:val="70"/>
              <w:rPr>
                <w:color w:val="000000" w:themeColor="text1"/>
                <w14:textFill>
                  <w14:solidFill>
                    <w14:schemeClr w14:val="tx1"/>
                  </w14:solidFill>
                </w14:textFill>
              </w:rPr>
            </w:pPr>
          </w:p>
        </w:tc>
        <w:tc>
          <w:tcPr>
            <w:tcW w:w="879" w:type="pct"/>
            <w:vAlign w:val="center"/>
          </w:tcPr>
          <w:p w14:paraId="5E8227BB">
            <w:pPr>
              <w:pStyle w:val="70"/>
              <w:rPr>
                <w:color w:val="000000" w:themeColor="text1"/>
                <w14:textFill>
                  <w14:solidFill>
                    <w14:schemeClr w14:val="tx1"/>
                  </w14:solidFill>
                </w14:textFill>
              </w:rPr>
            </w:pPr>
            <w:r>
              <w:rPr>
                <w:color w:val="000000" w:themeColor="text1"/>
                <w14:textFill>
                  <w14:solidFill>
                    <w14:schemeClr w14:val="tx1"/>
                  </w14:solidFill>
                </w14:textFill>
              </w:rPr>
              <w:t>试压废水</w:t>
            </w:r>
          </w:p>
        </w:tc>
        <w:tc>
          <w:tcPr>
            <w:tcW w:w="554" w:type="pct"/>
            <w:vAlign w:val="center"/>
          </w:tcPr>
          <w:p w14:paraId="6235C238">
            <w:pPr>
              <w:pStyle w:val="70"/>
              <w:rPr>
                <w:color w:val="000000" w:themeColor="text1"/>
                <w14:textFill>
                  <w14:solidFill>
                    <w14:schemeClr w14:val="tx1"/>
                  </w14:solidFill>
                </w14:textFill>
              </w:rPr>
            </w:pPr>
            <w:r>
              <w:rPr>
                <w:color w:val="000000" w:themeColor="text1"/>
                <w14:textFill>
                  <w14:solidFill>
                    <w14:schemeClr w14:val="tx1"/>
                  </w14:solidFill>
                </w14:textFill>
              </w:rPr>
              <w:t>20m</w:t>
            </w:r>
            <w:r>
              <w:rPr>
                <w:color w:val="000000" w:themeColor="text1"/>
                <w:vertAlign w:val="superscript"/>
                <w14:textFill>
                  <w14:solidFill>
                    <w14:schemeClr w14:val="tx1"/>
                  </w14:solidFill>
                </w14:textFill>
              </w:rPr>
              <w:t>3</w:t>
            </w:r>
          </w:p>
        </w:tc>
        <w:tc>
          <w:tcPr>
            <w:tcW w:w="457" w:type="pct"/>
            <w:vAlign w:val="center"/>
          </w:tcPr>
          <w:p w14:paraId="5A13C00C">
            <w:pPr>
              <w:pStyle w:val="70"/>
              <w:rPr>
                <w:color w:val="000000" w:themeColor="text1"/>
                <w14:textFill>
                  <w14:solidFill>
                    <w14:schemeClr w14:val="tx1"/>
                  </w14:solidFill>
                </w14:textFill>
              </w:rPr>
            </w:pPr>
            <w:r>
              <w:rPr>
                <w:color w:val="000000" w:themeColor="text1"/>
                <w14:textFill>
                  <w14:solidFill>
                    <w14:schemeClr w14:val="tx1"/>
                  </w14:solidFill>
                </w14:textFill>
              </w:rPr>
              <w:t>间断</w:t>
            </w:r>
          </w:p>
        </w:tc>
        <w:tc>
          <w:tcPr>
            <w:tcW w:w="1113" w:type="pct"/>
            <w:vAlign w:val="center"/>
          </w:tcPr>
          <w:p w14:paraId="1F2F8F22">
            <w:pPr>
              <w:pStyle w:val="70"/>
              <w:rPr>
                <w:color w:val="000000" w:themeColor="text1"/>
                <w14:textFill>
                  <w14:solidFill>
                    <w14:schemeClr w14:val="tx1"/>
                  </w14:solidFill>
                </w14:textFill>
              </w:rPr>
            </w:pPr>
            <w:r>
              <w:rPr>
                <w:color w:val="000000" w:themeColor="text1"/>
                <w14:textFill>
                  <w14:solidFill>
                    <w14:schemeClr w14:val="tx1"/>
                  </w14:solidFill>
                </w14:textFill>
              </w:rPr>
              <w:t>少量铁锈、泥沙</w:t>
            </w:r>
          </w:p>
        </w:tc>
        <w:tc>
          <w:tcPr>
            <w:tcW w:w="803" w:type="pct"/>
            <w:vAlign w:val="center"/>
          </w:tcPr>
          <w:p w14:paraId="4404B497">
            <w:pPr>
              <w:pStyle w:val="70"/>
              <w:rPr>
                <w:color w:val="000000" w:themeColor="text1"/>
                <w14:textFill>
                  <w14:solidFill>
                    <w14:schemeClr w14:val="tx1"/>
                  </w14:solidFill>
                </w14:textFill>
              </w:rPr>
            </w:pPr>
            <w:r>
              <w:rPr>
                <w:color w:val="000000" w:themeColor="text1"/>
                <w14:textFill>
                  <w14:solidFill>
                    <w14:schemeClr w14:val="tx1"/>
                  </w14:solidFill>
                </w14:textFill>
              </w:rPr>
              <w:t>经沉淀过滤后送污水处理厂</w:t>
            </w:r>
          </w:p>
        </w:tc>
        <w:tc>
          <w:tcPr>
            <w:tcW w:w="773" w:type="pct"/>
            <w:vAlign w:val="center"/>
          </w:tcPr>
          <w:p w14:paraId="6675ECCA">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经验计算法</w:t>
            </w:r>
          </w:p>
        </w:tc>
      </w:tr>
      <w:tr w14:paraId="530C59B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39" w:hRule="atLeast"/>
          <w:jc w:val="center"/>
        </w:trPr>
        <w:tc>
          <w:tcPr>
            <w:tcW w:w="420" w:type="pct"/>
            <w:vMerge w:val="continue"/>
            <w:vAlign w:val="center"/>
          </w:tcPr>
          <w:p w14:paraId="2F25285C">
            <w:pPr>
              <w:pStyle w:val="70"/>
              <w:rPr>
                <w:color w:val="000000" w:themeColor="text1"/>
                <w14:textFill>
                  <w14:solidFill>
                    <w14:schemeClr w14:val="tx1"/>
                  </w14:solidFill>
                </w14:textFill>
              </w:rPr>
            </w:pPr>
          </w:p>
        </w:tc>
        <w:tc>
          <w:tcPr>
            <w:tcW w:w="879" w:type="pct"/>
            <w:vAlign w:val="center"/>
          </w:tcPr>
          <w:p w14:paraId="008935D7">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船舶污水</w:t>
            </w:r>
          </w:p>
        </w:tc>
        <w:tc>
          <w:tcPr>
            <w:tcW w:w="554" w:type="pct"/>
            <w:vAlign w:val="center"/>
          </w:tcPr>
          <w:p w14:paraId="1B147A69">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少量</w:t>
            </w:r>
          </w:p>
        </w:tc>
        <w:tc>
          <w:tcPr>
            <w:tcW w:w="457" w:type="pct"/>
            <w:vAlign w:val="center"/>
          </w:tcPr>
          <w:p w14:paraId="5954EF2C">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间断</w:t>
            </w:r>
          </w:p>
        </w:tc>
        <w:tc>
          <w:tcPr>
            <w:tcW w:w="1113" w:type="pct"/>
            <w:vAlign w:val="center"/>
          </w:tcPr>
          <w:p w14:paraId="39417534">
            <w:pPr>
              <w:pStyle w:val="70"/>
              <w:rPr>
                <w:color w:val="000000" w:themeColor="text1"/>
                <w14:textFill>
                  <w14:solidFill>
                    <w14:schemeClr w14:val="tx1"/>
                  </w14:solidFill>
                </w14:textFill>
              </w:rPr>
            </w:pPr>
            <w:r>
              <w:rPr>
                <w:color w:val="000000" w:themeColor="text1"/>
                <w14:textFill>
                  <w14:solidFill>
                    <w14:schemeClr w14:val="tx1"/>
                  </w14:solidFill>
                </w14:textFill>
              </w:rPr>
              <w:t>COD、BOD</w:t>
            </w:r>
            <w:r>
              <w:rPr>
                <w:rFonts w:hint="eastAsia"/>
                <w:color w:val="000000" w:themeColor="text1"/>
                <w:vertAlign w:val="subscript"/>
                <w14:textFill>
                  <w14:solidFill>
                    <w14:schemeClr w14:val="tx1"/>
                  </w14:solidFill>
                </w14:textFill>
              </w:rPr>
              <w:t>5</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NH3-N、石油类</w:t>
            </w:r>
          </w:p>
        </w:tc>
        <w:tc>
          <w:tcPr>
            <w:tcW w:w="803" w:type="pct"/>
            <w:vAlign w:val="center"/>
          </w:tcPr>
          <w:p w14:paraId="199798CA">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委托有资质的船舶污染物接收单位接收处置</w:t>
            </w:r>
          </w:p>
          <w:p w14:paraId="068331D5">
            <w:pPr>
              <w:pStyle w:val="70"/>
              <w:rPr>
                <w:color w:val="000000" w:themeColor="text1"/>
                <w14:textFill>
                  <w14:solidFill>
                    <w14:schemeClr w14:val="tx1"/>
                  </w14:solidFill>
                </w14:textFill>
              </w:rPr>
            </w:pPr>
          </w:p>
        </w:tc>
        <w:tc>
          <w:tcPr>
            <w:tcW w:w="773" w:type="pct"/>
            <w:vAlign w:val="center"/>
          </w:tcPr>
          <w:p w14:paraId="46C41706">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72F8DB0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20" w:hRule="atLeast"/>
          <w:jc w:val="center"/>
        </w:trPr>
        <w:tc>
          <w:tcPr>
            <w:tcW w:w="420" w:type="pct"/>
            <w:vMerge w:val="restart"/>
            <w:vAlign w:val="center"/>
          </w:tcPr>
          <w:p w14:paraId="1544B86A">
            <w:pPr>
              <w:pStyle w:val="70"/>
              <w:rPr>
                <w:color w:val="000000" w:themeColor="text1"/>
                <w14:textFill>
                  <w14:solidFill>
                    <w14:schemeClr w14:val="tx1"/>
                  </w14:solidFill>
                </w14:textFill>
              </w:rPr>
            </w:pPr>
            <w:r>
              <w:rPr>
                <w:color w:val="000000" w:themeColor="text1"/>
                <w14:textFill>
                  <w14:solidFill>
                    <w14:schemeClr w14:val="tx1"/>
                  </w14:solidFill>
                </w14:textFill>
              </w:rPr>
              <w:t>固体</w:t>
            </w:r>
          </w:p>
          <w:p w14:paraId="15DA925E">
            <w:pPr>
              <w:pStyle w:val="70"/>
              <w:rPr>
                <w:color w:val="000000" w:themeColor="text1"/>
                <w14:textFill>
                  <w14:solidFill>
                    <w14:schemeClr w14:val="tx1"/>
                  </w14:solidFill>
                </w14:textFill>
              </w:rPr>
            </w:pPr>
            <w:r>
              <w:rPr>
                <w:color w:val="000000" w:themeColor="text1"/>
                <w14:textFill>
                  <w14:solidFill>
                    <w14:schemeClr w14:val="tx1"/>
                  </w14:solidFill>
                </w14:textFill>
              </w:rPr>
              <w:t>废物</w:t>
            </w:r>
          </w:p>
        </w:tc>
        <w:tc>
          <w:tcPr>
            <w:tcW w:w="879" w:type="pct"/>
            <w:vAlign w:val="center"/>
          </w:tcPr>
          <w:p w14:paraId="192A5B5F">
            <w:pPr>
              <w:pStyle w:val="70"/>
              <w:rPr>
                <w:color w:val="000000" w:themeColor="text1"/>
                <w14:textFill>
                  <w14:solidFill>
                    <w14:schemeClr w14:val="tx1"/>
                  </w14:solidFill>
                </w14:textFill>
              </w:rPr>
            </w:pPr>
            <w:r>
              <w:rPr>
                <w:color w:val="000000" w:themeColor="text1"/>
                <w14:textFill>
                  <w14:solidFill>
                    <w14:schemeClr w14:val="tx1"/>
                  </w14:solidFill>
                </w14:textFill>
              </w:rPr>
              <w:t>生活垃圾</w:t>
            </w:r>
          </w:p>
        </w:tc>
        <w:tc>
          <w:tcPr>
            <w:tcW w:w="554" w:type="pct"/>
            <w:vAlign w:val="center"/>
          </w:tcPr>
          <w:p w14:paraId="72BAF6F6">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3.0</w:t>
            </w:r>
            <w:r>
              <w:rPr>
                <w:color w:val="000000" w:themeColor="text1"/>
                <w14:textFill>
                  <w14:solidFill>
                    <w14:schemeClr w14:val="tx1"/>
                  </w14:solidFill>
                </w14:textFill>
              </w:rPr>
              <w:t>t</w:t>
            </w:r>
          </w:p>
        </w:tc>
        <w:tc>
          <w:tcPr>
            <w:tcW w:w="457" w:type="pct"/>
            <w:vAlign w:val="center"/>
          </w:tcPr>
          <w:p w14:paraId="3283A31C">
            <w:pPr>
              <w:pStyle w:val="70"/>
              <w:rPr>
                <w:color w:val="000000" w:themeColor="text1"/>
                <w14:textFill>
                  <w14:solidFill>
                    <w14:schemeClr w14:val="tx1"/>
                  </w14:solidFill>
                </w14:textFill>
              </w:rPr>
            </w:pPr>
            <w:r>
              <w:rPr>
                <w:color w:val="000000" w:themeColor="text1"/>
                <w14:textFill>
                  <w14:solidFill>
                    <w14:schemeClr w14:val="tx1"/>
                  </w14:solidFill>
                </w14:textFill>
              </w:rPr>
              <w:t>间断</w:t>
            </w:r>
          </w:p>
        </w:tc>
        <w:tc>
          <w:tcPr>
            <w:tcW w:w="1113" w:type="pct"/>
            <w:vAlign w:val="center"/>
          </w:tcPr>
          <w:p w14:paraId="73866CF4">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瓜果皮、菜渣、食品包装袋、剩饭等</w:t>
            </w:r>
          </w:p>
        </w:tc>
        <w:tc>
          <w:tcPr>
            <w:tcW w:w="803" w:type="pct"/>
            <w:vAlign w:val="center"/>
          </w:tcPr>
          <w:p w14:paraId="04F6F01A">
            <w:pPr>
              <w:pStyle w:val="70"/>
              <w:rPr>
                <w:color w:val="000000" w:themeColor="text1"/>
                <w14:textFill>
                  <w14:solidFill>
                    <w14:schemeClr w14:val="tx1"/>
                  </w14:solidFill>
                </w14:textFill>
              </w:rPr>
            </w:pPr>
            <w:r>
              <w:rPr>
                <w:color w:val="000000" w:themeColor="text1"/>
                <w14:textFill>
                  <w14:solidFill>
                    <w14:schemeClr w14:val="tx1"/>
                  </w14:solidFill>
                </w14:textFill>
              </w:rPr>
              <w:t>环卫部门处理</w:t>
            </w:r>
          </w:p>
        </w:tc>
        <w:tc>
          <w:tcPr>
            <w:tcW w:w="773" w:type="pct"/>
            <w:vAlign w:val="center"/>
          </w:tcPr>
          <w:p w14:paraId="781853F0">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经验计算法</w:t>
            </w:r>
          </w:p>
        </w:tc>
      </w:tr>
      <w:tr w14:paraId="69BBCD7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810" w:hRule="atLeast"/>
          <w:jc w:val="center"/>
        </w:trPr>
        <w:tc>
          <w:tcPr>
            <w:tcW w:w="420" w:type="pct"/>
            <w:vMerge w:val="continue"/>
            <w:vAlign w:val="center"/>
          </w:tcPr>
          <w:p w14:paraId="6090D3B0">
            <w:pPr>
              <w:pStyle w:val="70"/>
              <w:rPr>
                <w:color w:val="000000" w:themeColor="text1"/>
                <w14:textFill>
                  <w14:solidFill>
                    <w14:schemeClr w14:val="tx1"/>
                  </w14:solidFill>
                </w14:textFill>
              </w:rPr>
            </w:pPr>
          </w:p>
        </w:tc>
        <w:tc>
          <w:tcPr>
            <w:tcW w:w="879" w:type="pct"/>
            <w:vAlign w:val="center"/>
          </w:tcPr>
          <w:p w14:paraId="2CBB4269">
            <w:pPr>
              <w:pStyle w:val="70"/>
              <w:rPr>
                <w:color w:val="000000" w:themeColor="text1"/>
                <w14:textFill>
                  <w14:solidFill>
                    <w14:schemeClr w14:val="tx1"/>
                  </w14:solidFill>
                </w14:textFill>
              </w:rPr>
            </w:pPr>
            <w:r>
              <w:rPr>
                <w:color w:val="000000" w:themeColor="text1"/>
                <w14:textFill>
                  <w14:solidFill>
                    <w14:schemeClr w14:val="tx1"/>
                  </w14:solidFill>
                </w14:textFill>
              </w:rPr>
              <w:t>施工废料</w:t>
            </w:r>
          </w:p>
        </w:tc>
        <w:tc>
          <w:tcPr>
            <w:tcW w:w="554" w:type="pct"/>
            <w:vAlign w:val="center"/>
          </w:tcPr>
          <w:p w14:paraId="69836C65">
            <w:pPr>
              <w:pStyle w:val="70"/>
              <w:rPr>
                <w:color w:val="000000" w:themeColor="text1"/>
                <w14:textFill>
                  <w14:solidFill>
                    <w14:schemeClr w14:val="tx1"/>
                  </w14:solidFill>
                </w14:textFill>
              </w:rPr>
            </w:pPr>
            <w:r>
              <w:rPr>
                <w:color w:val="000000" w:themeColor="text1"/>
                <w14:textFill>
                  <w14:solidFill>
                    <w14:schemeClr w14:val="tx1"/>
                  </w14:solidFill>
                </w14:textFill>
              </w:rPr>
              <w:t>0.</w:t>
            </w:r>
            <w:r>
              <w:rPr>
                <w:rFonts w:hint="eastAsia"/>
                <w:color w:val="000000" w:themeColor="text1"/>
                <w14:textFill>
                  <w14:solidFill>
                    <w14:schemeClr w14:val="tx1"/>
                  </w14:solidFill>
                </w14:textFill>
              </w:rPr>
              <w:t>12</w:t>
            </w:r>
            <w:r>
              <w:rPr>
                <w:color w:val="000000" w:themeColor="text1"/>
                <w14:textFill>
                  <w14:solidFill>
                    <w14:schemeClr w14:val="tx1"/>
                  </w14:solidFill>
                </w14:textFill>
              </w:rPr>
              <w:t>t</w:t>
            </w:r>
          </w:p>
        </w:tc>
        <w:tc>
          <w:tcPr>
            <w:tcW w:w="457" w:type="pct"/>
            <w:vAlign w:val="center"/>
          </w:tcPr>
          <w:p w14:paraId="394B1F88">
            <w:pPr>
              <w:pStyle w:val="70"/>
              <w:rPr>
                <w:color w:val="000000" w:themeColor="text1"/>
                <w14:textFill>
                  <w14:solidFill>
                    <w14:schemeClr w14:val="tx1"/>
                  </w14:solidFill>
                </w14:textFill>
              </w:rPr>
            </w:pPr>
            <w:r>
              <w:rPr>
                <w:color w:val="000000" w:themeColor="text1"/>
                <w14:textFill>
                  <w14:solidFill>
                    <w14:schemeClr w14:val="tx1"/>
                  </w14:solidFill>
                </w14:textFill>
              </w:rPr>
              <w:t>间断</w:t>
            </w:r>
          </w:p>
        </w:tc>
        <w:tc>
          <w:tcPr>
            <w:tcW w:w="1113" w:type="pct"/>
            <w:vAlign w:val="center"/>
          </w:tcPr>
          <w:p w14:paraId="6E83199F">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废防腐材料、废硅酸钙保温材料等</w:t>
            </w:r>
          </w:p>
        </w:tc>
        <w:tc>
          <w:tcPr>
            <w:tcW w:w="803" w:type="pct"/>
            <w:vAlign w:val="center"/>
          </w:tcPr>
          <w:p w14:paraId="3F5C0B29">
            <w:pPr>
              <w:pStyle w:val="70"/>
              <w:rPr>
                <w:color w:val="000000" w:themeColor="text1"/>
                <w14:textFill>
                  <w14:solidFill>
                    <w14:schemeClr w14:val="tx1"/>
                  </w14:solidFill>
                </w14:textFill>
              </w:rPr>
            </w:pPr>
            <w:r>
              <w:rPr>
                <w:color w:val="000000" w:themeColor="text1"/>
                <w14:textFill>
                  <w14:solidFill>
                    <w14:schemeClr w14:val="tx1"/>
                  </w14:solidFill>
                </w14:textFill>
              </w:rPr>
              <w:t>部分回收，部分送至垃圾站</w:t>
            </w:r>
          </w:p>
        </w:tc>
        <w:tc>
          <w:tcPr>
            <w:tcW w:w="773" w:type="pct"/>
            <w:vAlign w:val="center"/>
          </w:tcPr>
          <w:p w14:paraId="4A63365C">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经验计算法</w:t>
            </w:r>
          </w:p>
        </w:tc>
      </w:tr>
      <w:tr w14:paraId="6BFB854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41" w:hRule="atLeast"/>
          <w:jc w:val="center"/>
        </w:trPr>
        <w:tc>
          <w:tcPr>
            <w:tcW w:w="420" w:type="pct"/>
            <w:vMerge w:val="continue"/>
            <w:vAlign w:val="center"/>
          </w:tcPr>
          <w:p w14:paraId="7F22EA6D">
            <w:pPr>
              <w:pStyle w:val="70"/>
              <w:rPr>
                <w:color w:val="000000" w:themeColor="text1"/>
                <w14:textFill>
                  <w14:solidFill>
                    <w14:schemeClr w14:val="tx1"/>
                  </w14:solidFill>
                </w14:textFill>
              </w:rPr>
            </w:pPr>
          </w:p>
        </w:tc>
        <w:tc>
          <w:tcPr>
            <w:tcW w:w="879" w:type="pct"/>
            <w:vAlign w:val="center"/>
          </w:tcPr>
          <w:p w14:paraId="29995F98">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施工船舶垃圾</w:t>
            </w:r>
          </w:p>
        </w:tc>
        <w:tc>
          <w:tcPr>
            <w:tcW w:w="554" w:type="pct"/>
            <w:vAlign w:val="center"/>
          </w:tcPr>
          <w:p w14:paraId="1C15BD8D">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少量</w:t>
            </w:r>
          </w:p>
        </w:tc>
        <w:tc>
          <w:tcPr>
            <w:tcW w:w="457" w:type="pct"/>
            <w:vAlign w:val="center"/>
          </w:tcPr>
          <w:p w14:paraId="14807BC6">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间断</w:t>
            </w:r>
          </w:p>
        </w:tc>
        <w:tc>
          <w:tcPr>
            <w:tcW w:w="1113" w:type="pct"/>
            <w:vAlign w:val="center"/>
          </w:tcPr>
          <w:p w14:paraId="03E57783">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瓜果皮、菜渣、剩饭等</w:t>
            </w:r>
          </w:p>
        </w:tc>
        <w:tc>
          <w:tcPr>
            <w:tcW w:w="803" w:type="pct"/>
            <w:vAlign w:val="center"/>
          </w:tcPr>
          <w:p w14:paraId="3544EFFD">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委托有资质的船舶污染物接收单位接收处置</w:t>
            </w:r>
          </w:p>
        </w:tc>
        <w:tc>
          <w:tcPr>
            <w:tcW w:w="773" w:type="pct"/>
            <w:vAlign w:val="center"/>
          </w:tcPr>
          <w:p w14:paraId="61F621CA">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0531883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54" w:hRule="atLeast"/>
          <w:jc w:val="center"/>
        </w:trPr>
        <w:tc>
          <w:tcPr>
            <w:tcW w:w="420" w:type="pct"/>
            <w:vAlign w:val="center"/>
          </w:tcPr>
          <w:p w14:paraId="410F4D2A">
            <w:pPr>
              <w:pStyle w:val="70"/>
              <w:rPr>
                <w:color w:val="000000" w:themeColor="text1"/>
                <w14:textFill>
                  <w14:solidFill>
                    <w14:schemeClr w14:val="tx1"/>
                  </w14:solidFill>
                </w14:textFill>
              </w:rPr>
            </w:pPr>
            <w:r>
              <w:rPr>
                <w:color w:val="000000" w:themeColor="text1"/>
                <w14:textFill>
                  <w14:solidFill>
                    <w14:schemeClr w14:val="tx1"/>
                  </w14:solidFill>
                </w14:textFill>
              </w:rPr>
              <w:t>噪声</w:t>
            </w:r>
          </w:p>
        </w:tc>
        <w:tc>
          <w:tcPr>
            <w:tcW w:w="879" w:type="pct"/>
            <w:vAlign w:val="center"/>
          </w:tcPr>
          <w:p w14:paraId="451DAD4D">
            <w:pPr>
              <w:pStyle w:val="70"/>
              <w:rPr>
                <w:color w:val="000000" w:themeColor="text1"/>
                <w14:textFill>
                  <w14:solidFill>
                    <w14:schemeClr w14:val="tx1"/>
                  </w14:solidFill>
                </w14:textFill>
              </w:rPr>
            </w:pPr>
            <w:r>
              <w:rPr>
                <w:color w:val="000000" w:themeColor="text1"/>
                <w14:textFill>
                  <w14:solidFill>
                    <w14:schemeClr w14:val="tx1"/>
                  </w14:solidFill>
                </w14:textFill>
              </w:rPr>
              <w:t>施工机械、</w:t>
            </w:r>
            <w:r>
              <w:rPr>
                <w:rFonts w:hint="eastAsia"/>
                <w:color w:val="000000" w:themeColor="text1"/>
                <w14:textFill>
                  <w14:solidFill>
                    <w14:schemeClr w14:val="tx1"/>
                  </w14:solidFill>
                </w14:textFill>
              </w:rPr>
              <w:t>施工船舶</w:t>
            </w:r>
            <w:r>
              <w:rPr>
                <w:color w:val="000000" w:themeColor="text1"/>
                <w14:textFill>
                  <w14:solidFill>
                    <w14:schemeClr w14:val="tx1"/>
                  </w14:solidFill>
                </w14:textFill>
              </w:rPr>
              <w:t>噪声</w:t>
            </w:r>
          </w:p>
        </w:tc>
        <w:tc>
          <w:tcPr>
            <w:tcW w:w="554" w:type="pct"/>
            <w:vAlign w:val="center"/>
          </w:tcPr>
          <w:p w14:paraId="5EC17A1F">
            <w:pPr>
              <w:pStyle w:val="70"/>
              <w:rPr>
                <w:color w:val="000000" w:themeColor="text1"/>
                <w14:textFill>
                  <w14:solidFill>
                    <w14:schemeClr w14:val="tx1"/>
                  </w14:solidFill>
                </w14:textFill>
              </w:rPr>
            </w:pPr>
            <w:r>
              <w:rPr>
                <w:color w:val="000000" w:themeColor="text1"/>
                <w14:textFill>
                  <w14:solidFill>
                    <w14:schemeClr w14:val="tx1"/>
                  </w14:solidFill>
                </w14:textFill>
              </w:rPr>
              <w:t>85-</w:t>
            </w:r>
            <w:r>
              <w:rPr>
                <w:rFonts w:hint="eastAsia"/>
                <w:color w:val="000000" w:themeColor="text1"/>
                <w14:textFill>
                  <w14:solidFill>
                    <w14:schemeClr w14:val="tx1"/>
                  </w14:solidFill>
                </w14:textFill>
              </w:rPr>
              <w:t>95</w:t>
            </w:r>
            <w:r>
              <w:rPr>
                <w:color w:val="000000" w:themeColor="text1"/>
                <w14:textFill>
                  <w14:solidFill>
                    <w14:schemeClr w14:val="tx1"/>
                  </w14:solidFill>
                </w14:textFill>
              </w:rPr>
              <w:t>dB（A）</w:t>
            </w:r>
          </w:p>
        </w:tc>
        <w:tc>
          <w:tcPr>
            <w:tcW w:w="457" w:type="pct"/>
            <w:vAlign w:val="center"/>
          </w:tcPr>
          <w:p w14:paraId="1A74081A">
            <w:pPr>
              <w:pStyle w:val="70"/>
              <w:rPr>
                <w:color w:val="000000" w:themeColor="text1"/>
                <w14:textFill>
                  <w14:solidFill>
                    <w14:schemeClr w14:val="tx1"/>
                  </w14:solidFill>
                </w14:textFill>
              </w:rPr>
            </w:pPr>
            <w:r>
              <w:rPr>
                <w:color w:val="000000" w:themeColor="text1"/>
                <w14:textFill>
                  <w14:solidFill>
                    <w14:schemeClr w14:val="tx1"/>
                  </w14:solidFill>
                </w14:textFill>
              </w:rPr>
              <w:t>间断</w:t>
            </w:r>
          </w:p>
        </w:tc>
        <w:tc>
          <w:tcPr>
            <w:tcW w:w="1113" w:type="pct"/>
            <w:vAlign w:val="center"/>
          </w:tcPr>
          <w:p w14:paraId="00914A1E">
            <w:pPr>
              <w:pStyle w:val="70"/>
              <w:rPr>
                <w:color w:val="000000" w:themeColor="text1"/>
                <w14:textFill>
                  <w14:solidFill>
                    <w14:schemeClr w14:val="tx1"/>
                  </w14:solidFill>
                </w14:textFill>
              </w:rPr>
            </w:pPr>
            <w:r>
              <w:rPr>
                <w:color w:val="000000" w:themeColor="text1"/>
                <w14:textFill>
                  <w14:solidFill>
                    <w14:schemeClr w14:val="tx1"/>
                  </w14:solidFill>
                </w14:textFill>
              </w:rPr>
              <w:t>噪声</w:t>
            </w:r>
          </w:p>
        </w:tc>
        <w:tc>
          <w:tcPr>
            <w:tcW w:w="803" w:type="pct"/>
            <w:vAlign w:val="center"/>
          </w:tcPr>
          <w:p w14:paraId="6F92DD9E">
            <w:pPr>
              <w:pStyle w:val="70"/>
              <w:rPr>
                <w:color w:val="000000" w:themeColor="text1"/>
                <w14:textFill>
                  <w14:solidFill>
                    <w14:schemeClr w14:val="tx1"/>
                  </w14:solidFill>
                </w14:textFill>
              </w:rPr>
            </w:pPr>
            <w:r>
              <w:rPr>
                <w:color w:val="000000" w:themeColor="text1"/>
                <w14:textFill>
                  <w14:solidFill>
                    <w14:schemeClr w14:val="tx1"/>
                  </w14:solidFill>
                </w14:textFill>
              </w:rPr>
              <w:t>环境</w:t>
            </w:r>
          </w:p>
        </w:tc>
        <w:tc>
          <w:tcPr>
            <w:tcW w:w="773" w:type="pct"/>
            <w:vAlign w:val="center"/>
          </w:tcPr>
          <w:p w14:paraId="495D164A">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经验计算法</w:t>
            </w:r>
          </w:p>
        </w:tc>
      </w:tr>
    </w:tbl>
    <w:p w14:paraId="15FC0A82">
      <w:pPr>
        <w:pStyle w:val="4"/>
        <w:rPr>
          <w:color w:val="000000" w:themeColor="text1"/>
          <w14:textFill>
            <w14:solidFill>
              <w14:schemeClr w14:val="tx1"/>
            </w14:solidFill>
          </w14:textFill>
        </w:rPr>
      </w:pPr>
      <w:bookmarkStart w:id="482" w:name="_Toc25436944"/>
      <w:bookmarkStart w:id="483" w:name="_Toc136878459"/>
      <w:bookmarkStart w:id="484" w:name="_Toc216103365"/>
      <w:bookmarkStart w:id="485" w:name="_Toc216620524"/>
      <w:bookmarkStart w:id="486" w:name="_Toc29131804"/>
      <w:bookmarkStart w:id="487" w:name="_Toc26909990"/>
      <w:bookmarkStart w:id="488" w:name="_Toc135090210"/>
      <w:r>
        <w:rPr>
          <w:color w:val="000000" w:themeColor="text1"/>
          <w14:textFill>
            <w14:solidFill>
              <w14:schemeClr w14:val="tx1"/>
            </w14:solidFill>
          </w14:textFill>
        </w:rPr>
        <w:t>运营期污染源强核算</w:t>
      </w:r>
      <w:bookmarkEnd w:id="482"/>
      <w:bookmarkEnd w:id="483"/>
      <w:bookmarkEnd w:id="484"/>
      <w:bookmarkEnd w:id="485"/>
      <w:bookmarkEnd w:id="486"/>
      <w:bookmarkEnd w:id="487"/>
      <w:bookmarkEnd w:id="488"/>
    </w:p>
    <w:p w14:paraId="4895B157">
      <w:pPr>
        <w:pStyle w:val="6"/>
        <w:rPr>
          <w:color w:val="000000" w:themeColor="text1"/>
          <w14:textFill>
            <w14:solidFill>
              <w14:schemeClr w14:val="tx1"/>
            </w14:solidFill>
          </w14:textFill>
        </w:rPr>
      </w:pPr>
      <w:r>
        <w:rPr>
          <w:rFonts w:hint="eastAsia"/>
          <w:color w:val="000000" w:themeColor="text1"/>
          <w14:textFill>
            <w14:solidFill>
              <w14:schemeClr w14:val="tx1"/>
            </w14:solidFill>
          </w14:textFill>
        </w:rPr>
        <w:t>产污节点分析</w:t>
      </w:r>
    </w:p>
    <w:p w14:paraId="54F486E0">
      <w:pPr>
        <w:ind w:firstLine="480"/>
        <w:rPr>
          <w:color w:val="000000" w:themeColor="text1"/>
          <w14:textFill>
            <w14:solidFill>
              <w14:schemeClr w14:val="tx1"/>
            </w14:solidFill>
          </w14:textFill>
        </w:rPr>
      </w:pPr>
      <w:r>
        <w:rPr>
          <w:color w:val="000000" w:themeColor="text1"/>
          <w14:textFill>
            <w14:solidFill>
              <w14:schemeClr w14:val="tx1"/>
            </w14:solidFill>
          </w14:textFill>
        </w:rPr>
        <w:t>本项目全线采用密闭输送工艺，管道都进行了防腐处理，在正常情况下管线污染物排放量较小。</w:t>
      </w:r>
      <w:r>
        <w:rPr>
          <w:rFonts w:hint="eastAsia"/>
          <w:color w:val="000000" w:themeColor="text1"/>
          <w14:textFill>
            <w14:solidFill>
              <w14:schemeClr w14:val="tx1"/>
            </w14:solidFill>
          </w14:textFill>
        </w:rPr>
        <w:t>本项目主要功能为物料运输，主要工艺流程包括装船、卸船、管道连通、管道扫线、尾气回收等，尾气处理装置均由后方厂区考虑，不属于本项目建设内容。</w:t>
      </w:r>
      <w:r>
        <w:rPr>
          <w:color w:val="000000" w:themeColor="text1"/>
          <w14:textFill>
            <w14:solidFill>
              <w14:schemeClr w14:val="tx1"/>
            </w14:solidFill>
          </w14:textFill>
        </w:rPr>
        <w:t>本项目在正常工况下污染源主要为作业区产生的废气、废水、噪声及固体废物</w:t>
      </w:r>
      <w:r>
        <w:rPr>
          <w:rFonts w:hint="eastAsia"/>
          <w:color w:val="000000" w:themeColor="text1"/>
          <w14:textFill>
            <w14:solidFill>
              <w14:schemeClr w14:val="tx1"/>
            </w14:solidFill>
          </w14:textFill>
        </w:rPr>
        <w:t>，运营期的废气污染源为输送管线溢出废气、装船废气及扫线废气、船舶废气（SO</w:t>
      </w:r>
      <w:r>
        <w:rPr>
          <w:rFonts w:hint="eastAsia"/>
          <w:color w:val="000000" w:themeColor="text1"/>
          <w:vertAlign w:val="subscript"/>
          <w14:textFill>
            <w14:solidFill>
              <w14:schemeClr w14:val="tx1"/>
            </w14:solidFill>
          </w14:textFill>
        </w:rPr>
        <w:t>2</w:t>
      </w:r>
      <w:r>
        <w:rPr>
          <w:rFonts w:hint="eastAsia"/>
          <w:color w:val="000000" w:themeColor="text1"/>
          <w14:textFill>
            <w14:solidFill>
              <w14:schemeClr w14:val="tx1"/>
            </w14:solidFill>
          </w14:textFill>
        </w:rPr>
        <w:t>、</w:t>
      </w:r>
      <w:r>
        <w:rPr>
          <w:color w:val="000000" w:themeColor="text1"/>
          <w:sz w:val="21"/>
          <w:szCs w:val="21"/>
          <w14:textFill>
            <w14:solidFill>
              <w14:schemeClr w14:val="tx1"/>
            </w14:solidFill>
          </w14:textFill>
        </w:rPr>
        <w:t>NO</w:t>
      </w:r>
      <w:r>
        <w:rPr>
          <w:color w:val="000000" w:themeColor="text1"/>
          <w:sz w:val="21"/>
          <w:szCs w:val="21"/>
          <w:vertAlign w:val="subscript"/>
          <w14:textFill>
            <w14:solidFill>
              <w14:schemeClr w14:val="tx1"/>
            </w14:solidFill>
          </w14:textFill>
        </w:rPr>
        <w:t>X</w:t>
      </w:r>
      <w:r>
        <w:rPr>
          <w:rFonts w:hint="eastAsia"/>
          <w:color w:val="000000" w:themeColor="text1"/>
          <w14:textFill>
            <w14:solidFill>
              <w14:schemeClr w14:val="tx1"/>
            </w14:solidFill>
          </w14:textFill>
        </w:rPr>
        <w:t>），废水主要来自管道清洗废水、船舶废水，</w:t>
      </w:r>
      <w:r>
        <w:rPr>
          <w:color w:val="000000" w:themeColor="text1"/>
          <w14:textFill>
            <w14:solidFill>
              <w14:schemeClr w14:val="tx1"/>
            </w14:solidFill>
          </w14:textFill>
        </w:rPr>
        <w:t>噪声污染源主要为装卸臂液压站产生的噪声</w:t>
      </w:r>
      <w:r>
        <w:rPr>
          <w:rFonts w:hint="eastAsia"/>
          <w:color w:val="000000" w:themeColor="text1"/>
          <w14:textFill>
            <w14:solidFill>
              <w14:schemeClr w14:val="tx1"/>
            </w14:solidFill>
          </w14:textFill>
        </w:rPr>
        <w:t>，固体废物为</w:t>
      </w:r>
      <w:r>
        <w:rPr>
          <w:color w:val="000000" w:themeColor="text1"/>
          <w14:textFill>
            <w14:solidFill>
              <w14:schemeClr w14:val="tx1"/>
            </w14:solidFill>
          </w14:textFill>
        </w:rPr>
        <w:t>管道维修过程中产生的含油或化学品的废布及棉纱</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到港船舶</w:t>
      </w:r>
      <w:r>
        <w:rPr>
          <w:rFonts w:hint="eastAsia"/>
          <w:color w:val="000000" w:themeColor="text1"/>
          <w14:textFill>
            <w14:solidFill>
              <w14:schemeClr w14:val="tx1"/>
            </w14:solidFill>
          </w14:textFill>
        </w:rPr>
        <w:t>生活</w:t>
      </w:r>
      <w:r>
        <w:rPr>
          <w:color w:val="000000" w:themeColor="text1"/>
          <w14:textFill>
            <w14:solidFill>
              <w14:schemeClr w14:val="tx1"/>
            </w14:solidFill>
          </w14:textFill>
        </w:rPr>
        <w:t>垃圾</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船舶维修垃圾</w:t>
      </w:r>
      <w:r>
        <w:rPr>
          <w:rFonts w:hint="eastAsia"/>
          <w:color w:val="000000" w:themeColor="text1"/>
          <w14:textFill>
            <w14:solidFill>
              <w14:schemeClr w14:val="tx1"/>
            </w14:solidFill>
          </w14:textFill>
        </w:rPr>
        <w:t>。运营期作业流程及产污节点图详见图2.4-3、图2.4-3。</w:t>
      </w:r>
    </w:p>
    <w:p w14:paraId="68397AA8">
      <w:pPr>
        <w:spacing w:line="240" w:lineRule="auto"/>
        <w:ind w:firstLine="480"/>
        <w:jc w:val="cente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5267325" cy="1885950"/>
            <wp:effectExtent l="0" t="0" r="9525" b="0"/>
            <wp:docPr id="1116328620" name="图片 1116328620" descr="D:\xwechat_files\Aicandoit_f66a\temp\RWTemp\2025-11\85975cab9c5b87130f94a467d9af99ae\ab9981f46e9b8bded36cbbbd9e26f5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328620" name="图片 1116328620" descr="D:\xwechat_files\Aicandoit_f66a\temp\RWTemp\2025-11\85975cab9c5b87130f94a467d9af99ae\ab9981f46e9b8bded36cbbbd9e26f568.png"/>
                    <pic:cNvPicPr>
                      <a:picLocks noChangeAspect="1" noChangeArrowheads="1"/>
                    </pic:cNvPicPr>
                  </pic:nvPicPr>
                  <pic:blipFill>
                    <a:blip r:embed="rId61">
                      <a:extLst>
                        <a:ext uri="{28A0092B-C50C-407E-A947-70E740481C1C}">
                          <a14:useLocalDpi xmlns:a14="http://schemas.microsoft.com/office/drawing/2010/main" val="0"/>
                        </a:ext>
                      </a:extLst>
                    </a:blip>
                    <a:srcRect t="15484" b="20645"/>
                    <a:stretch>
                      <a:fillRect/>
                    </a:stretch>
                  </pic:blipFill>
                  <pic:spPr>
                    <a:xfrm>
                      <a:off x="0" y="0"/>
                      <a:ext cx="5267325" cy="1885950"/>
                    </a:xfrm>
                    <a:prstGeom prst="rect">
                      <a:avLst/>
                    </a:prstGeom>
                    <a:noFill/>
                    <a:ln>
                      <a:noFill/>
                    </a:ln>
                  </pic:spPr>
                </pic:pic>
              </a:graphicData>
            </a:graphic>
          </wp:inline>
        </w:drawing>
      </w:r>
    </w:p>
    <w:p w14:paraId="4945FF69">
      <w:pPr>
        <w:spacing w:line="240" w:lineRule="auto"/>
        <w:ind w:firstLine="480"/>
        <w:jc w:val="center"/>
        <w:rPr>
          <w:color w:val="000000" w:themeColor="text1"/>
          <w14:textFill>
            <w14:solidFill>
              <w14:schemeClr w14:val="tx1"/>
            </w14:solidFill>
          </w14:textFill>
        </w:rPr>
      </w:pPr>
    </w:p>
    <w:p w14:paraId="61B9A5ED">
      <w:pPr>
        <w:spacing w:line="240" w:lineRule="auto"/>
        <w:ind w:firstLine="480"/>
        <w:jc w:val="cente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5267325" cy="1733550"/>
            <wp:effectExtent l="0" t="0" r="9525" b="0"/>
            <wp:docPr id="1116328621" name="图片 1116328621" descr="D:\xwechat_files\Aicandoit_f66a\temp\RWTemp\2025-11\85975cab9c5b87130f94a467d9af99ae\b603b8f04e22cbe4153daa19614117b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328621" name="图片 1116328621" descr="D:\xwechat_files\Aicandoit_f66a\temp\RWTemp\2025-11\85975cab9c5b87130f94a467d9af99ae\b603b8f04e22cbe4153daa19614117b4.png"/>
                    <pic:cNvPicPr>
                      <a:picLocks noChangeAspect="1" noChangeArrowheads="1"/>
                    </pic:cNvPicPr>
                  </pic:nvPicPr>
                  <pic:blipFill>
                    <a:blip r:embed="rId62">
                      <a:extLst>
                        <a:ext uri="{28A0092B-C50C-407E-A947-70E740481C1C}">
                          <a14:useLocalDpi xmlns:a14="http://schemas.microsoft.com/office/drawing/2010/main" val="0"/>
                        </a:ext>
                      </a:extLst>
                    </a:blip>
                    <a:srcRect t="24356" b="23496"/>
                    <a:stretch>
                      <a:fillRect/>
                    </a:stretch>
                  </pic:blipFill>
                  <pic:spPr>
                    <a:xfrm>
                      <a:off x="0" y="0"/>
                      <a:ext cx="5267325" cy="1733550"/>
                    </a:xfrm>
                    <a:prstGeom prst="rect">
                      <a:avLst/>
                    </a:prstGeom>
                    <a:noFill/>
                    <a:ln>
                      <a:noFill/>
                    </a:ln>
                  </pic:spPr>
                </pic:pic>
              </a:graphicData>
            </a:graphic>
          </wp:inline>
        </w:drawing>
      </w:r>
    </w:p>
    <w:p w14:paraId="1AD7DD62">
      <w:pPr>
        <w:spacing w:line="240" w:lineRule="auto"/>
        <w:ind w:firstLine="480"/>
        <w:jc w:val="cente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5267325" cy="1647825"/>
            <wp:effectExtent l="0" t="0" r="9525" b="9525"/>
            <wp:docPr id="1116328622" name="图片 1116328622" descr="D:\xwechat_files\Aicandoit_f66a\temp\RWTemp\2025-11\85975cab9c5b87130f94a467d9af99ae\0d9c487b4e85abe6244bd7a4ea455d6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328622" name="图片 1116328622" descr="D:\xwechat_files\Aicandoit_f66a\temp\RWTemp\2025-11\85975cab9c5b87130f94a467d9af99ae\0d9c487b4e85abe6244bd7a4ea455d6e.png"/>
                    <pic:cNvPicPr>
                      <a:picLocks noChangeAspect="1" noChangeArrowheads="1"/>
                    </pic:cNvPicPr>
                  </pic:nvPicPr>
                  <pic:blipFill>
                    <a:blip r:embed="rId63">
                      <a:extLst>
                        <a:ext uri="{28A0092B-C50C-407E-A947-70E740481C1C}">
                          <a14:useLocalDpi xmlns:a14="http://schemas.microsoft.com/office/drawing/2010/main" val="0"/>
                        </a:ext>
                      </a:extLst>
                    </a:blip>
                    <a:srcRect t="17391" b="19927"/>
                    <a:stretch>
                      <a:fillRect/>
                    </a:stretch>
                  </pic:blipFill>
                  <pic:spPr>
                    <a:xfrm>
                      <a:off x="0" y="0"/>
                      <a:ext cx="5267325" cy="1647825"/>
                    </a:xfrm>
                    <a:prstGeom prst="rect">
                      <a:avLst/>
                    </a:prstGeom>
                    <a:noFill/>
                    <a:ln>
                      <a:noFill/>
                    </a:ln>
                  </pic:spPr>
                </pic:pic>
              </a:graphicData>
            </a:graphic>
          </wp:inline>
        </w:drawing>
      </w:r>
    </w:p>
    <w:p w14:paraId="608D1821">
      <w:pPr>
        <w:spacing w:line="240" w:lineRule="auto"/>
        <w:ind w:firstLine="480"/>
        <w:jc w:val="center"/>
        <w:rPr>
          <w:color w:val="000000" w:themeColor="text1"/>
          <w14:textFill>
            <w14:solidFill>
              <w14:schemeClr w14:val="tx1"/>
            </w14:solidFill>
          </w14:textFill>
        </w:rPr>
      </w:pPr>
    </w:p>
    <w:p w14:paraId="4889646C">
      <w:pPr>
        <w:ind w:firstLine="482"/>
        <w:jc w:val="center"/>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图2.3-2 码头作业流程及产污节点</w:t>
      </w:r>
    </w:p>
    <w:p w14:paraId="3B10B2B0">
      <w:pPr>
        <w:spacing w:line="240" w:lineRule="auto"/>
        <w:ind w:firstLine="480"/>
        <w:jc w:val="center"/>
        <w:rPr>
          <w:color w:val="000000" w:themeColor="text1"/>
          <w14:textFill>
            <w14:solidFill>
              <w14:schemeClr w14:val="tx1"/>
            </w14:solidFill>
          </w14:textFill>
        </w:rPr>
      </w:pPr>
    </w:p>
    <w:p w14:paraId="737C7A9D">
      <w:pPr>
        <w:ind w:firstLine="480"/>
        <w:rPr>
          <w:color w:val="000000" w:themeColor="text1"/>
          <w14:textFill>
            <w14:solidFill>
              <w14:schemeClr w14:val="tx1"/>
            </w14:solidFill>
          </w14:textFill>
        </w:rPr>
      </w:pPr>
    </w:p>
    <w:p w14:paraId="0493C421">
      <w:pPr>
        <w:ind w:firstLine="480"/>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5274310" cy="2759710"/>
            <wp:effectExtent l="0" t="0" r="2540" b="2540"/>
            <wp:docPr id="1116328619" name="图片 1116328619" descr="D:\xwechat_files\Aicandoit_f66a\temp\InputTemp\dc3d934a-1afd-4337-adcd-884f45f3ff4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328619" name="图片 1116328619" descr="D:\xwechat_files\Aicandoit_f66a\temp\InputTemp\dc3d934a-1afd-4337-adcd-884f45f3ff4b.pn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a:xfrm>
                      <a:off x="0" y="0"/>
                      <a:ext cx="5274310" cy="2759813"/>
                    </a:xfrm>
                    <a:prstGeom prst="rect">
                      <a:avLst/>
                    </a:prstGeom>
                    <a:noFill/>
                    <a:ln>
                      <a:noFill/>
                    </a:ln>
                  </pic:spPr>
                </pic:pic>
              </a:graphicData>
            </a:graphic>
          </wp:inline>
        </w:drawing>
      </w:r>
    </w:p>
    <w:p w14:paraId="3769F7A6">
      <w:pPr>
        <w:ind w:firstLine="482"/>
        <w:jc w:val="center"/>
        <w:rPr>
          <w:color w:val="000000" w:themeColor="text1"/>
          <w14:textFill>
            <w14:solidFill>
              <w14:schemeClr w14:val="tx1"/>
            </w14:solidFill>
          </w14:textFill>
        </w:rPr>
      </w:pPr>
      <w:r>
        <w:rPr>
          <w:rFonts w:hint="eastAsia"/>
          <w:b/>
          <w:bCs/>
          <w:color w:val="000000" w:themeColor="text1"/>
          <w14:textFill>
            <w14:solidFill>
              <w14:schemeClr w14:val="tx1"/>
            </w14:solidFill>
          </w14:textFill>
        </w:rPr>
        <w:t>图2.3-3 到港船舶产污节点图</w:t>
      </w:r>
    </w:p>
    <w:p w14:paraId="4E64EAAB">
      <w:pPr>
        <w:ind w:firstLine="480"/>
        <w:rPr>
          <w:color w:val="000000" w:themeColor="text1"/>
          <w14:textFill>
            <w14:solidFill>
              <w14:schemeClr w14:val="tx1"/>
            </w14:solidFill>
          </w14:textFill>
        </w:rPr>
      </w:pPr>
    </w:p>
    <w:p w14:paraId="253481CF">
      <w:pPr>
        <w:pStyle w:val="6"/>
        <w:rPr>
          <w:color w:val="000000" w:themeColor="text1"/>
          <w14:textFill>
            <w14:solidFill>
              <w14:schemeClr w14:val="tx1"/>
            </w14:solidFill>
          </w14:textFill>
        </w:rPr>
      </w:pPr>
      <w:r>
        <w:rPr>
          <w:color w:val="000000" w:themeColor="text1"/>
          <w14:textFill>
            <w14:solidFill>
              <w14:schemeClr w14:val="tx1"/>
            </w14:solidFill>
          </w14:textFill>
        </w:rPr>
        <w:t>废气污染物源强</w:t>
      </w:r>
    </w:p>
    <w:p w14:paraId="66AF160C">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根据《</w:t>
      </w:r>
      <w:r>
        <w:rPr>
          <w:color w:val="000000" w:themeColor="text1"/>
          <w14:textFill>
            <w14:solidFill>
              <w14:schemeClr w14:val="tx1"/>
            </w14:solidFill>
          </w14:textFill>
        </w:rPr>
        <w:t>石化行业VOCs污染源排查工作指南</w:t>
      </w:r>
      <w:r>
        <w:rPr>
          <w:rFonts w:hint="eastAsia"/>
          <w:color w:val="000000" w:themeColor="text1"/>
          <w14:textFill>
            <w14:solidFill>
              <w14:schemeClr w14:val="tx1"/>
            </w14:solidFill>
          </w14:textFill>
        </w:rPr>
        <w:t>》（以下简称指南）的挥发性有机液体装卸挥发损失核算公式，船舶自带较大容量的再液化装置，通过增压再降温的方式，将货舱的蒸汽冷却成液体再送回货舱。因此装卸作业过程中的废气排放量可忽略不计，船舱内部无装卸作业废气排放。本项目废气污染物主要有装卸管线的动静密封点废气、装船废气、扫线废气以及到港船舶废气。</w:t>
      </w:r>
    </w:p>
    <w:p w14:paraId="1354F267">
      <w:pPr>
        <w:ind w:firstLine="482"/>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1、正常工况下产生废气</w:t>
      </w:r>
    </w:p>
    <w:p w14:paraId="591A1F1E">
      <w:pPr>
        <w:ind w:firstLine="482"/>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（1）管线密封点溢出废气</w:t>
      </w:r>
    </w:p>
    <w:p w14:paraId="0838F096">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设备动静密封点泄漏涉及流经或接触的设备或管道，主要包括阀门、取样连接系统、开口阀或开口管线、法兰和其他等。</w:t>
      </w:r>
    </w:p>
    <w:p w14:paraId="76D49914">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本次参照《石化行业VOCs污染源排查工作指南》附表一-5石油炼制和石油化工平均组件排放系数，其计算公式如下；设备组件动静密封点的泄漏系数见表</w:t>
      </w:r>
      <w:r>
        <w:rPr>
          <w:color w:val="000000" w:themeColor="text1"/>
          <w14:textFill>
            <w14:solidFill>
              <w14:schemeClr w14:val="tx1"/>
            </w14:solidFill>
          </w14:textFill>
        </w:rPr>
        <w:t>2.3-5</w:t>
      </w:r>
      <w:r>
        <w:rPr>
          <w:rFonts w:hint="eastAsia"/>
          <w:color w:val="000000" w:themeColor="text1"/>
          <w14:textFill>
            <w14:solidFill>
              <w14:schemeClr w14:val="tx1"/>
            </w14:solidFill>
          </w14:textFill>
        </w:rPr>
        <w:t>。</w:t>
      </w:r>
    </w:p>
    <w:p w14:paraId="45FA9B94">
      <w:pPr>
        <w:ind w:firstLine="480"/>
        <w:jc w:val="center"/>
        <w:rPr>
          <w:color w:val="000000" w:themeColor="text1"/>
          <w14:textFill>
            <w14:solidFill>
              <w14:schemeClr w14:val="tx1"/>
            </w14:solidFill>
          </w14:textFill>
        </w:rPr>
      </w:pPr>
      <w:r>
        <w:rPr>
          <w:rFonts w:hint="eastAsia"/>
          <w:i/>
          <w:iCs/>
          <w:color w:val="000000" w:themeColor="text1"/>
          <w14:textFill>
            <w14:solidFill>
              <w14:schemeClr w14:val="tx1"/>
            </w14:solidFill>
          </w14:textFill>
        </w:rPr>
        <w:t>e</w:t>
      </w:r>
      <w:r>
        <w:rPr>
          <w:rFonts w:hint="eastAsia"/>
          <w:i/>
          <w:iCs/>
          <w:color w:val="000000" w:themeColor="text1"/>
          <w:vertAlign w:val="subscript"/>
          <w14:textFill>
            <w14:solidFill>
              <w14:schemeClr w14:val="tx1"/>
            </w14:solidFill>
          </w14:textFill>
        </w:rPr>
        <w:t>TOC</w:t>
      </w:r>
      <w:r>
        <w:rPr>
          <w:rFonts w:hint="eastAsia"/>
          <w:color w:val="000000" w:themeColor="text1"/>
          <w14:textFill>
            <w14:solidFill>
              <w14:schemeClr w14:val="tx1"/>
            </w14:solidFill>
          </w14:textFill>
        </w:rPr>
        <w:t>=</w:t>
      </w:r>
      <w:r>
        <w:rPr>
          <w:rFonts w:hint="eastAsia"/>
          <w:i/>
          <w:iCs/>
          <w:color w:val="000000" w:themeColor="text1"/>
          <w14:textFill>
            <w14:solidFill>
              <w14:schemeClr w14:val="tx1"/>
            </w14:solidFill>
          </w14:textFill>
        </w:rPr>
        <w:t>F</w:t>
      </w:r>
      <w:r>
        <w:rPr>
          <w:rFonts w:hint="eastAsia"/>
          <w:i/>
          <w:iCs/>
          <w:color w:val="000000" w:themeColor="text1"/>
          <w:vertAlign w:val="subscript"/>
          <w14:textFill>
            <w14:solidFill>
              <w14:schemeClr w14:val="tx1"/>
            </w14:solidFill>
          </w14:textFill>
        </w:rPr>
        <w:t>A</w:t>
      </w:r>
      <w:r>
        <w:rPr>
          <w:rFonts w:hint="eastAsia"/>
          <w:color w:val="000000" w:themeColor="text1"/>
          <w14:textFill>
            <w14:solidFill>
              <w14:schemeClr w14:val="tx1"/>
            </w14:solidFill>
          </w14:textFill>
        </w:rPr>
        <w:t>×</w:t>
      </w:r>
      <w:r>
        <w:rPr>
          <w:rFonts w:hint="eastAsia"/>
          <w:i/>
          <w:iCs/>
          <w:color w:val="000000" w:themeColor="text1"/>
          <w14:textFill>
            <w14:solidFill>
              <w14:schemeClr w14:val="tx1"/>
            </w14:solidFill>
          </w14:textFill>
        </w:rPr>
        <w:t>WF</w:t>
      </w:r>
      <w:r>
        <w:rPr>
          <w:rFonts w:hint="eastAsia"/>
          <w:i/>
          <w:iCs/>
          <w:color w:val="000000" w:themeColor="text1"/>
          <w:vertAlign w:val="subscript"/>
          <w14:textFill>
            <w14:solidFill>
              <w14:schemeClr w14:val="tx1"/>
            </w14:solidFill>
          </w14:textFill>
        </w:rPr>
        <w:t>TOC</w:t>
      </w:r>
      <w:r>
        <w:rPr>
          <w:rFonts w:hint="eastAsia"/>
          <w:color w:val="000000" w:themeColor="text1"/>
          <w14:textFill>
            <w14:solidFill>
              <w14:schemeClr w14:val="tx1"/>
            </w14:solidFill>
          </w14:textFill>
        </w:rPr>
        <w:t>×</w:t>
      </w:r>
      <w:r>
        <w:rPr>
          <w:rFonts w:hint="eastAsia"/>
          <w:i/>
          <w:iCs/>
          <w:color w:val="000000" w:themeColor="text1"/>
          <w14:textFill>
            <w14:solidFill>
              <w14:schemeClr w14:val="tx1"/>
            </w14:solidFill>
          </w14:textFill>
        </w:rPr>
        <w:t>N</w:t>
      </w:r>
    </w:p>
    <w:p w14:paraId="2F746F4C">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式中：</w:t>
      </w:r>
    </w:p>
    <w:p w14:paraId="79598C19">
      <w:pPr>
        <w:ind w:firstLine="480"/>
        <w:rPr>
          <w:color w:val="000000" w:themeColor="text1"/>
          <w14:textFill>
            <w14:solidFill>
              <w14:schemeClr w14:val="tx1"/>
            </w14:solidFill>
          </w14:textFill>
        </w:rPr>
      </w:pPr>
      <w:r>
        <w:rPr>
          <w:rFonts w:hint="eastAsia"/>
          <w:i/>
          <w:iCs/>
          <w:color w:val="000000" w:themeColor="text1"/>
          <w14:textFill>
            <w14:solidFill>
              <w14:schemeClr w14:val="tx1"/>
            </w14:solidFill>
          </w14:textFill>
        </w:rPr>
        <w:t>eTOC</w:t>
      </w:r>
      <w:r>
        <w:rPr>
          <w:rFonts w:hint="eastAsia"/>
          <w:color w:val="000000" w:themeColor="text1"/>
          <w14:textFill>
            <w14:solidFill>
              <w14:schemeClr w14:val="tx1"/>
            </w14:solidFill>
          </w14:textFill>
        </w:rPr>
        <w:t>—某类密封点的TOC排放速率，kg/h；</w:t>
      </w:r>
    </w:p>
    <w:p w14:paraId="7A82223D">
      <w:pPr>
        <w:ind w:firstLine="480"/>
        <w:rPr>
          <w:color w:val="000000" w:themeColor="text1"/>
          <w14:textFill>
            <w14:solidFill>
              <w14:schemeClr w14:val="tx1"/>
            </w14:solidFill>
          </w14:textFill>
        </w:rPr>
      </w:pPr>
      <w:r>
        <w:rPr>
          <w:rFonts w:hint="eastAsia"/>
          <w:i/>
          <w:iCs/>
          <w:color w:val="000000" w:themeColor="text1"/>
          <w14:textFill>
            <w14:solidFill>
              <w14:schemeClr w14:val="tx1"/>
            </w14:solidFill>
          </w14:textFill>
        </w:rPr>
        <w:t>F</w:t>
      </w:r>
      <w:r>
        <w:rPr>
          <w:rFonts w:hint="eastAsia"/>
          <w:i/>
          <w:iCs/>
          <w:color w:val="000000" w:themeColor="text1"/>
          <w:vertAlign w:val="subscript"/>
          <w14:textFill>
            <w14:solidFill>
              <w14:schemeClr w14:val="tx1"/>
            </w14:solidFill>
          </w14:textFill>
        </w:rPr>
        <w:t>A</w:t>
      </w:r>
      <w:r>
        <w:rPr>
          <w:rFonts w:hint="eastAsia"/>
          <w:color w:val="000000" w:themeColor="text1"/>
          <w14:textFill>
            <w14:solidFill>
              <w14:schemeClr w14:val="tx1"/>
            </w14:solidFill>
          </w14:textFill>
        </w:rPr>
        <w:t>—某类密封点排放系数；</w:t>
      </w:r>
    </w:p>
    <w:p w14:paraId="18504193">
      <w:pPr>
        <w:ind w:firstLine="480"/>
        <w:rPr>
          <w:color w:val="000000" w:themeColor="text1"/>
          <w14:textFill>
            <w14:solidFill>
              <w14:schemeClr w14:val="tx1"/>
            </w14:solidFill>
          </w14:textFill>
        </w:rPr>
      </w:pPr>
      <w:r>
        <w:rPr>
          <w:rFonts w:hint="eastAsia"/>
          <w:i/>
          <w:iCs/>
          <w:color w:val="000000" w:themeColor="text1"/>
          <w14:textFill>
            <w14:solidFill>
              <w14:schemeClr w14:val="tx1"/>
            </w14:solidFill>
          </w14:textFill>
        </w:rPr>
        <w:t>WF</w:t>
      </w:r>
      <w:r>
        <w:rPr>
          <w:rFonts w:hint="eastAsia"/>
          <w:i/>
          <w:iCs/>
          <w:color w:val="000000" w:themeColor="text1"/>
          <w:vertAlign w:val="subscript"/>
          <w14:textFill>
            <w14:solidFill>
              <w14:schemeClr w14:val="tx1"/>
            </w14:solidFill>
          </w14:textFill>
        </w:rPr>
        <w:t>TOC</w:t>
      </w:r>
      <w:r>
        <w:rPr>
          <w:rFonts w:hint="eastAsia"/>
          <w:color w:val="000000" w:themeColor="text1"/>
          <w14:textFill>
            <w14:solidFill>
              <w14:schemeClr w14:val="tx1"/>
            </w14:solidFill>
          </w14:textFill>
        </w:rPr>
        <w:t>—物料流中含TOC的平均质量分数；本项目均按1计。</w:t>
      </w:r>
    </w:p>
    <w:p w14:paraId="0835F854">
      <w:pPr>
        <w:ind w:firstLine="480"/>
        <w:rPr>
          <w:color w:val="000000" w:themeColor="text1"/>
          <w14:textFill>
            <w14:solidFill>
              <w14:schemeClr w14:val="tx1"/>
            </w14:solidFill>
          </w14:textFill>
        </w:rPr>
      </w:pPr>
      <w:r>
        <w:rPr>
          <w:rFonts w:hint="eastAsia"/>
          <w:i/>
          <w:iCs/>
          <w:color w:val="000000" w:themeColor="text1"/>
          <w14:textFill>
            <w14:solidFill>
              <w14:schemeClr w14:val="tx1"/>
            </w14:solidFill>
          </w14:textFill>
        </w:rPr>
        <w:t>N</w:t>
      </w:r>
      <w:r>
        <w:rPr>
          <w:rFonts w:hint="eastAsia"/>
          <w:color w:val="000000" w:themeColor="text1"/>
          <w14:textFill>
            <w14:solidFill>
              <w14:schemeClr w14:val="tx1"/>
            </w14:solidFill>
          </w14:textFill>
        </w:rPr>
        <w:t>—某类密封点的个数。</w:t>
      </w:r>
    </w:p>
    <w:p w14:paraId="0E90CB49">
      <w:pPr>
        <w:ind w:firstLine="480"/>
        <w:jc w:val="center"/>
        <w:rPr>
          <w:color w:val="000000" w:themeColor="text1"/>
          <w14:textFill>
            <w14:solidFill>
              <w14:schemeClr w14:val="tx1"/>
            </w14:solidFill>
          </w14:textFill>
        </w:rPr>
      </w:pPr>
      <w:r>
        <w:rPr>
          <w:i/>
          <w:iCs/>
          <w:color w:val="000000" w:themeColor="text1"/>
          <w14:textFill>
            <w14:solidFill>
              <w14:schemeClr w14:val="tx1"/>
            </w14:solidFill>
          </w14:textFill>
        </w:rPr>
        <w:t>e</w:t>
      </w:r>
      <w:r>
        <w:rPr>
          <w:i/>
          <w:iCs/>
          <w:color w:val="000000" w:themeColor="text1"/>
          <w:vertAlign w:val="subscript"/>
          <w14:textFill>
            <w14:solidFill>
              <w14:schemeClr w14:val="tx1"/>
            </w14:solidFill>
          </w14:textFill>
        </w:rPr>
        <w:t>VOCs</w:t>
      </w:r>
      <w:r>
        <w:rPr>
          <w:color w:val="000000" w:themeColor="text1"/>
          <w14:textFill>
            <w14:solidFill>
              <w14:schemeClr w14:val="tx1"/>
            </w14:solidFill>
          </w14:textFill>
        </w:rPr>
        <w:t>=</w:t>
      </w:r>
      <w:r>
        <w:rPr>
          <w:i/>
          <w:iCs/>
          <w:color w:val="000000" w:themeColor="text1"/>
          <w14:textFill>
            <w14:solidFill>
              <w14:schemeClr w14:val="tx1"/>
            </w14:solidFill>
          </w14:textFill>
        </w:rPr>
        <w:t>e</w:t>
      </w:r>
      <w:r>
        <w:rPr>
          <w:i/>
          <w:iCs/>
          <w:color w:val="000000" w:themeColor="text1"/>
          <w:vertAlign w:val="subscript"/>
          <w14:textFill>
            <w14:solidFill>
              <w14:schemeClr w14:val="tx1"/>
            </w14:solidFill>
          </w14:textFill>
        </w:rPr>
        <w:t>TOC</w:t>
      </w:r>
      <w:r>
        <w:rPr>
          <w:color w:val="000000" w:themeColor="text1"/>
          <w14:textFill>
            <w14:solidFill>
              <w14:schemeClr w14:val="tx1"/>
            </w14:solidFill>
          </w14:textFill>
        </w:rPr>
        <w:t>×</w:t>
      </w:r>
      <w:r>
        <w:rPr>
          <w:i/>
          <w:iCs/>
          <w:color w:val="000000" w:themeColor="text1"/>
          <w14:textFill>
            <w14:solidFill>
              <w14:schemeClr w14:val="tx1"/>
            </w14:solidFill>
          </w14:textFill>
        </w:rPr>
        <w:t>WF</w:t>
      </w:r>
      <w:r>
        <w:rPr>
          <w:i/>
          <w:iCs/>
          <w:color w:val="000000" w:themeColor="text1"/>
          <w:vertAlign w:val="subscript"/>
          <w14:textFill>
            <w14:solidFill>
              <w14:schemeClr w14:val="tx1"/>
            </w14:solidFill>
          </w14:textFill>
        </w:rPr>
        <w:t>VOCs</w:t>
      </w:r>
      <w:r>
        <w:rPr>
          <w:color w:val="000000" w:themeColor="text1"/>
          <w14:textFill>
            <w14:solidFill>
              <w14:schemeClr w14:val="tx1"/>
            </w14:solidFill>
          </w14:textFill>
        </w:rPr>
        <w:t>/</w:t>
      </w:r>
      <w:r>
        <w:rPr>
          <w:i/>
          <w:iCs/>
          <w:color w:val="000000" w:themeColor="text1"/>
          <w14:textFill>
            <w14:solidFill>
              <w14:schemeClr w14:val="tx1"/>
            </w14:solidFill>
          </w14:textFill>
        </w:rPr>
        <w:t>WF</w:t>
      </w:r>
      <w:r>
        <w:rPr>
          <w:i/>
          <w:iCs/>
          <w:color w:val="000000" w:themeColor="text1"/>
          <w:vertAlign w:val="subscript"/>
          <w14:textFill>
            <w14:solidFill>
              <w14:schemeClr w14:val="tx1"/>
            </w14:solidFill>
          </w14:textFill>
        </w:rPr>
        <w:t>TOC</w:t>
      </w:r>
    </w:p>
    <w:p w14:paraId="2B0D4D82">
      <w:pPr>
        <w:ind w:firstLine="480"/>
        <w:rPr>
          <w:color w:val="000000" w:themeColor="text1"/>
          <w14:textFill>
            <w14:solidFill>
              <w14:schemeClr w14:val="tx1"/>
            </w14:solidFill>
          </w14:textFill>
        </w:rPr>
      </w:pPr>
      <w:r>
        <w:rPr>
          <w:i/>
          <w:iCs/>
          <w:color w:val="000000" w:themeColor="text1"/>
          <w14:textFill>
            <w14:solidFill>
              <w14:schemeClr w14:val="tx1"/>
            </w14:solidFill>
          </w14:textFill>
        </w:rPr>
        <w:t>e</w:t>
      </w:r>
      <w:r>
        <w:rPr>
          <w:i/>
          <w:iCs/>
          <w:color w:val="000000" w:themeColor="text1"/>
          <w:vertAlign w:val="subscript"/>
          <w14:textFill>
            <w14:solidFill>
              <w14:schemeClr w14:val="tx1"/>
            </w14:solidFill>
          </w14:textFill>
        </w:rPr>
        <w:t>VOCs</w:t>
      </w:r>
      <w:r>
        <w:rPr>
          <w:color w:val="000000" w:themeColor="text1"/>
          <w14:textFill>
            <w14:solidFill>
              <w14:schemeClr w14:val="tx1"/>
            </w14:solidFill>
          </w14:textFill>
        </w:rPr>
        <w:t>——物料流中VOCs排放速率，kg/h；</w:t>
      </w:r>
    </w:p>
    <w:p w14:paraId="76E8A1A4">
      <w:pPr>
        <w:ind w:firstLine="480"/>
        <w:rPr>
          <w:color w:val="000000" w:themeColor="text1"/>
          <w14:textFill>
            <w14:solidFill>
              <w14:schemeClr w14:val="tx1"/>
            </w14:solidFill>
          </w14:textFill>
        </w:rPr>
      </w:pPr>
      <w:r>
        <w:rPr>
          <w:i/>
          <w:iCs/>
          <w:color w:val="000000" w:themeColor="text1"/>
          <w14:textFill>
            <w14:solidFill>
              <w14:schemeClr w14:val="tx1"/>
            </w14:solidFill>
          </w14:textFill>
        </w:rPr>
        <w:t>e</w:t>
      </w:r>
      <w:r>
        <w:rPr>
          <w:i/>
          <w:iCs/>
          <w:color w:val="000000" w:themeColor="text1"/>
          <w:vertAlign w:val="subscript"/>
          <w14:textFill>
            <w14:solidFill>
              <w14:schemeClr w14:val="tx1"/>
            </w14:solidFill>
          </w14:textFill>
        </w:rPr>
        <w:t>TOC</w:t>
      </w:r>
      <w:r>
        <w:rPr>
          <w:color w:val="000000" w:themeColor="text1"/>
          <w14:textFill>
            <w14:solidFill>
              <w14:schemeClr w14:val="tx1"/>
            </w14:solidFill>
          </w14:textFill>
        </w:rPr>
        <w:t>——某密封点的TOC排放速率，kg/h；</w:t>
      </w:r>
    </w:p>
    <w:p w14:paraId="66713DB3">
      <w:pPr>
        <w:ind w:firstLine="480"/>
        <w:rPr>
          <w:color w:val="000000" w:themeColor="text1"/>
          <w14:textFill>
            <w14:solidFill>
              <w14:schemeClr w14:val="tx1"/>
            </w14:solidFill>
          </w14:textFill>
        </w:rPr>
      </w:pPr>
      <w:r>
        <w:rPr>
          <w:i/>
          <w:iCs/>
          <w:color w:val="000000" w:themeColor="text1"/>
          <w14:textFill>
            <w14:solidFill>
              <w14:schemeClr w14:val="tx1"/>
            </w14:solidFill>
          </w14:textFill>
        </w:rPr>
        <w:t>WF</w:t>
      </w:r>
      <w:r>
        <w:rPr>
          <w:i/>
          <w:iCs/>
          <w:color w:val="000000" w:themeColor="text1"/>
          <w:vertAlign w:val="subscript"/>
          <w14:textFill>
            <w14:solidFill>
              <w14:schemeClr w14:val="tx1"/>
            </w14:solidFill>
          </w14:textFill>
        </w:rPr>
        <w:t>VOCs</w:t>
      </w:r>
      <w:r>
        <w:rPr>
          <w:color w:val="000000" w:themeColor="text1"/>
          <w14:textFill>
            <w14:solidFill>
              <w14:schemeClr w14:val="tx1"/>
            </w14:solidFill>
          </w14:textFill>
        </w:rPr>
        <w:t>——物料流中VOCs的平均质量分数；</w:t>
      </w:r>
    </w:p>
    <w:p w14:paraId="0CEF2ADC">
      <w:pPr>
        <w:ind w:firstLine="480"/>
        <w:rPr>
          <w:color w:val="000000" w:themeColor="text1"/>
          <w14:textFill>
            <w14:solidFill>
              <w14:schemeClr w14:val="tx1"/>
            </w14:solidFill>
          </w14:textFill>
        </w:rPr>
      </w:pPr>
      <w:r>
        <w:rPr>
          <w:i/>
          <w:iCs/>
          <w:color w:val="000000" w:themeColor="text1"/>
          <w14:textFill>
            <w14:solidFill>
              <w14:schemeClr w14:val="tx1"/>
            </w14:solidFill>
          </w14:textFill>
        </w:rPr>
        <w:t>WF</w:t>
      </w:r>
      <w:r>
        <w:rPr>
          <w:i/>
          <w:iCs/>
          <w:color w:val="000000" w:themeColor="text1"/>
          <w:vertAlign w:val="subscript"/>
          <w14:textFill>
            <w14:solidFill>
              <w14:schemeClr w14:val="tx1"/>
            </w14:solidFill>
          </w14:textFill>
        </w:rPr>
        <w:t>TOC</w:t>
      </w:r>
      <w:r>
        <w:rPr>
          <w:color w:val="000000" w:themeColor="text1"/>
          <w14:textFill>
            <w14:solidFill>
              <w14:schemeClr w14:val="tx1"/>
            </w14:solidFill>
          </w14:textFill>
        </w:rPr>
        <w:t>——物料流中含TOC的平均质量分数。</w:t>
      </w:r>
    </w:p>
    <w:p w14:paraId="0D9605D3">
      <w:pPr>
        <w:ind w:firstLine="480"/>
        <w:rPr>
          <w:color w:val="000000" w:themeColor="text1"/>
          <w14:textFill>
            <w14:solidFill>
              <w14:schemeClr w14:val="tx1"/>
            </w14:solidFill>
          </w14:textFill>
        </w:rPr>
      </w:pPr>
      <w:r>
        <w:rPr>
          <w:color w:val="000000" w:themeColor="text1"/>
          <w14:textFill>
            <w14:solidFill>
              <w14:schemeClr w14:val="tx1"/>
            </w14:solidFill>
          </w14:textFill>
        </w:rPr>
        <w:t>本项目未能提供TOC中VOCs的质量分数，则</w:t>
      </w:r>
      <w:r>
        <w:rPr>
          <w:i/>
          <w:iCs/>
          <w:color w:val="000000" w:themeColor="text1"/>
          <w14:textFill>
            <w14:solidFill>
              <w14:schemeClr w14:val="tx1"/>
            </w14:solidFill>
          </w14:textFill>
        </w:rPr>
        <w:t>WF</w:t>
      </w:r>
      <w:r>
        <w:rPr>
          <w:i/>
          <w:iCs/>
          <w:color w:val="000000" w:themeColor="text1"/>
          <w:vertAlign w:val="subscript"/>
          <w14:textFill>
            <w14:solidFill>
              <w14:schemeClr w14:val="tx1"/>
            </w14:solidFill>
          </w14:textFill>
        </w:rPr>
        <w:t>VOCs</w:t>
      </w:r>
      <w:r>
        <w:rPr>
          <w:color w:val="000000" w:themeColor="text1"/>
          <w14:textFill>
            <w14:solidFill>
              <w14:schemeClr w14:val="tx1"/>
            </w14:solidFill>
          </w14:textFill>
        </w:rPr>
        <w:t>/</w:t>
      </w:r>
      <w:r>
        <w:rPr>
          <w:i/>
          <w:iCs/>
          <w:color w:val="000000" w:themeColor="text1"/>
          <w14:textFill>
            <w14:solidFill>
              <w14:schemeClr w14:val="tx1"/>
            </w14:solidFill>
          </w14:textFill>
        </w:rPr>
        <w:t>WF</w:t>
      </w:r>
      <w:r>
        <w:rPr>
          <w:i/>
          <w:iCs/>
          <w:color w:val="000000" w:themeColor="text1"/>
          <w:vertAlign w:val="subscript"/>
          <w14:textFill>
            <w14:solidFill>
              <w14:schemeClr w14:val="tx1"/>
            </w14:solidFill>
          </w14:textFill>
        </w:rPr>
        <w:t>TOC</w:t>
      </w:r>
      <w:r>
        <w:rPr>
          <w:color w:val="000000" w:themeColor="text1"/>
          <w14:textFill>
            <w14:solidFill>
              <w14:schemeClr w14:val="tx1"/>
            </w14:solidFill>
          </w14:textFill>
        </w:rPr>
        <w:t>取1进行核算。</w:t>
      </w:r>
    </w:p>
    <w:p w14:paraId="17AB031F">
      <w:pPr>
        <w:pStyle w:val="7"/>
        <w:rPr>
          <w:color w:val="000000" w:themeColor="text1"/>
          <w14:textFill>
            <w14:solidFill>
              <w14:schemeClr w14:val="tx1"/>
            </w14:solidFill>
          </w14:textFill>
        </w:rPr>
      </w:pP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各设备动静密封垫平均泄漏系数</w:t>
      </w:r>
    </w:p>
    <w:tbl>
      <w:tblPr>
        <w:tblStyle w:val="43"/>
        <w:tblW w:w="4998"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2842"/>
        <w:gridCol w:w="2837"/>
        <w:gridCol w:w="2840"/>
      </w:tblGrid>
      <w:tr w14:paraId="69A41E9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8" w:hRule="atLeast"/>
          <w:tblHeader/>
          <w:jc w:val="center"/>
        </w:trPr>
        <w:tc>
          <w:tcPr>
            <w:tcW w:w="1668" w:type="pct"/>
            <w:vAlign w:val="center"/>
          </w:tcPr>
          <w:p w14:paraId="6C45D1AA">
            <w:pPr>
              <w:spacing w:line="240" w:lineRule="auto"/>
              <w:ind w:firstLine="422"/>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设备类型</w:t>
            </w:r>
          </w:p>
        </w:tc>
        <w:tc>
          <w:tcPr>
            <w:tcW w:w="1665" w:type="pct"/>
            <w:vAlign w:val="center"/>
          </w:tcPr>
          <w:p w14:paraId="36E0FBF2">
            <w:pPr>
              <w:spacing w:line="240" w:lineRule="auto"/>
              <w:ind w:firstLine="422"/>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介质</w:t>
            </w:r>
          </w:p>
        </w:tc>
        <w:tc>
          <w:tcPr>
            <w:tcW w:w="1667" w:type="pct"/>
            <w:vAlign w:val="center"/>
          </w:tcPr>
          <w:p w14:paraId="2A62C94A">
            <w:pPr>
              <w:spacing w:line="240" w:lineRule="auto"/>
              <w:ind w:firstLine="422"/>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排放速率（kg/h）</w:t>
            </w:r>
          </w:p>
        </w:tc>
      </w:tr>
      <w:tr w14:paraId="1AE82FF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8" w:hRule="atLeast"/>
          <w:jc w:val="center"/>
        </w:trPr>
        <w:tc>
          <w:tcPr>
            <w:tcW w:w="1668" w:type="pct"/>
            <w:vMerge w:val="restart"/>
            <w:vAlign w:val="center"/>
          </w:tcPr>
          <w:p w14:paraId="66604350">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阀门</w:t>
            </w:r>
          </w:p>
        </w:tc>
        <w:tc>
          <w:tcPr>
            <w:tcW w:w="1665" w:type="pct"/>
            <w:vAlign w:val="center"/>
          </w:tcPr>
          <w:p w14:paraId="446013DC">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气体</w:t>
            </w:r>
          </w:p>
        </w:tc>
        <w:tc>
          <w:tcPr>
            <w:tcW w:w="1667" w:type="pct"/>
            <w:vAlign w:val="center"/>
          </w:tcPr>
          <w:p w14:paraId="6DB80197">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0.00597</w:t>
            </w:r>
          </w:p>
        </w:tc>
      </w:tr>
      <w:tr w14:paraId="0BE44C7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5" w:hRule="atLeast"/>
          <w:jc w:val="center"/>
        </w:trPr>
        <w:tc>
          <w:tcPr>
            <w:tcW w:w="1668" w:type="pct"/>
            <w:vMerge w:val="continue"/>
            <w:vAlign w:val="center"/>
          </w:tcPr>
          <w:p w14:paraId="0FAAC81E">
            <w:pPr>
              <w:spacing w:line="240" w:lineRule="auto"/>
              <w:ind w:firstLine="420"/>
              <w:jc w:val="center"/>
              <w:rPr>
                <w:color w:val="000000" w:themeColor="text1"/>
                <w:sz w:val="21"/>
                <w:szCs w:val="21"/>
                <w14:textFill>
                  <w14:solidFill>
                    <w14:schemeClr w14:val="tx1"/>
                  </w14:solidFill>
                </w14:textFill>
              </w:rPr>
            </w:pPr>
          </w:p>
        </w:tc>
        <w:tc>
          <w:tcPr>
            <w:tcW w:w="1665" w:type="pct"/>
            <w:vAlign w:val="center"/>
          </w:tcPr>
          <w:p w14:paraId="71BDBD9B">
            <w:pPr>
              <w:spacing w:line="240" w:lineRule="auto"/>
              <w:ind w:firstLine="42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排放量</w:t>
            </w:r>
            <w:r>
              <w:rPr>
                <w:color w:val="000000" w:themeColor="text1"/>
                <w:sz w:val="21"/>
                <w:szCs w:val="21"/>
                <w14:textFill>
                  <w14:solidFill>
                    <w14:schemeClr w14:val="tx1"/>
                  </w14:solidFill>
                </w14:textFill>
              </w:rPr>
              <w:t>轻液体</w:t>
            </w:r>
          </w:p>
        </w:tc>
        <w:tc>
          <w:tcPr>
            <w:tcW w:w="1667" w:type="pct"/>
            <w:vAlign w:val="center"/>
          </w:tcPr>
          <w:p w14:paraId="004F3D0C">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0.00403</w:t>
            </w:r>
          </w:p>
        </w:tc>
      </w:tr>
      <w:tr w14:paraId="23A8326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8" w:hRule="atLeast"/>
          <w:jc w:val="center"/>
        </w:trPr>
        <w:tc>
          <w:tcPr>
            <w:tcW w:w="1668" w:type="pct"/>
            <w:vMerge w:val="continue"/>
            <w:vAlign w:val="center"/>
          </w:tcPr>
          <w:p w14:paraId="37252B51">
            <w:pPr>
              <w:spacing w:line="240" w:lineRule="auto"/>
              <w:ind w:firstLine="420"/>
              <w:jc w:val="center"/>
              <w:rPr>
                <w:color w:val="000000" w:themeColor="text1"/>
                <w:sz w:val="21"/>
                <w:szCs w:val="21"/>
                <w14:textFill>
                  <w14:solidFill>
                    <w14:schemeClr w14:val="tx1"/>
                  </w14:solidFill>
                </w14:textFill>
              </w:rPr>
            </w:pPr>
          </w:p>
        </w:tc>
        <w:tc>
          <w:tcPr>
            <w:tcW w:w="1665" w:type="pct"/>
            <w:vAlign w:val="center"/>
          </w:tcPr>
          <w:p w14:paraId="39AB8ED8">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重液体</w:t>
            </w:r>
          </w:p>
        </w:tc>
        <w:tc>
          <w:tcPr>
            <w:tcW w:w="1667" w:type="pct"/>
            <w:vAlign w:val="center"/>
          </w:tcPr>
          <w:p w14:paraId="21FDDE7F">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0.00023</w:t>
            </w:r>
          </w:p>
        </w:tc>
      </w:tr>
      <w:tr w14:paraId="544C013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7" w:hRule="atLeast"/>
          <w:jc w:val="center"/>
        </w:trPr>
        <w:tc>
          <w:tcPr>
            <w:tcW w:w="1668" w:type="pct"/>
            <w:vMerge w:val="restart"/>
            <w:vAlign w:val="center"/>
          </w:tcPr>
          <w:p w14:paraId="19911ABB">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泵</w:t>
            </w:r>
          </w:p>
        </w:tc>
        <w:tc>
          <w:tcPr>
            <w:tcW w:w="1665" w:type="pct"/>
            <w:vAlign w:val="center"/>
          </w:tcPr>
          <w:p w14:paraId="79790EA0">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轻液体</w:t>
            </w:r>
          </w:p>
        </w:tc>
        <w:tc>
          <w:tcPr>
            <w:tcW w:w="1667" w:type="pct"/>
            <w:vAlign w:val="center"/>
          </w:tcPr>
          <w:p w14:paraId="64FB1802">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0.0199</w:t>
            </w:r>
          </w:p>
        </w:tc>
      </w:tr>
      <w:tr w14:paraId="188DC0D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5" w:hRule="atLeast"/>
          <w:jc w:val="center"/>
        </w:trPr>
        <w:tc>
          <w:tcPr>
            <w:tcW w:w="1668" w:type="pct"/>
            <w:vMerge w:val="continue"/>
            <w:vAlign w:val="center"/>
          </w:tcPr>
          <w:p w14:paraId="335256F6">
            <w:pPr>
              <w:spacing w:line="240" w:lineRule="auto"/>
              <w:ind w:firstLine="420"/>
              <w:jc w:val="center"/>
              <w:rPr>
                <w:color w:val="000000" w:themeColor="text1"/>
                <w:sz w:val="21"/>
                <w:szCs w:val="21"/>
                <w14:textFill>
                  <w14:solidFill>
                    <w14:schemeClr w14:val="tx1"/>
                  </w14:solidFill>
                </w14:textFill>
              </w:rPr>
            </w:pPr>
          </w:p>
        </w:tc>
        <w:tc>
          <w:tcPr>
            <w:tcW w:w="1665" w:type="pct"/>
            <w:vAlign w:val="center"/>
          </w:tcPr>
          <w:p w14:paraId="353A96D3">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重液体</w:t>
            </w:r>
          </w:p>
        </w:tc>
        <w:tc>
          <w:tcPr>
            <w:tcW w:w="1667" w:type="pct"/>
            <w:vAlign w:val="center"/>
          </w:tcPr>
          <w:p w14:paraId="3696BE88">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0.00862</w:t>
            </w:r>
          </w:p>
        </w:tc>
      </w:tr>
      <w:tr w14:paraId="76F84DA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8" w:hRule="atLeast"/>
          <w:jc w:val="center"/>
        </w:trPr>
        <w:tc>
          <w:tcPr>
            <w:tcW w:w="1668" w:type="pct"/>
            <w:vAlign w:val="center"/>
          </w:tcPr>
          <w:p w14:paraId="7476A1AE">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压缩机</w:t>
            </w:r>
          </w:p>
        </w:tc>
        <w:tc>
          <w:tcPr>
            <w:tcW w:w="1665" w:type="pct"/>
            <w:vAlign w:val="center"/>
          </w:tcPr>
          <w:p w14:paraId="5B274D14">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气体</w:t>
            </w:r>
          </w:p>
        </w:tc>
        <w:tc>
          <w:tcPr>
            <w:tcW w:w="1667" w:type="pct"/>
            <w:vAlign w:val="center"/>
          </w:tcPr>
          <w:p w14:paraId="5D2E34F5">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0.228</w:t>
            </w:r>
          </w:p>
        </w:tc>
      </w:tr>
      <w:tr w14:paraId="30F7847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8" w:hRule="atLeast"/>
          <w:jc w:val="center"/>
        </w:trPr>
        <w:tc>
          <w:tcPr>
            <w:tcW w:w="1668" w:type="pct"/>
            <w:vAlign w:val="center"/>
          </w:tcPr>
          <w:p w14:paraId="73933FF9">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泄压设备</w:t>
            </w:r>
          </w:p>
        </w:tc>
        <w:tc>
          <w:tcPr>
            <w:tcW w:w="1665" w:type="pct"/>
            <w:vAlign w:val="center"/>
          </w:tcPr>
          <w:p w14:paraId="0BC3F65E">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气体</w:t>
            </w:r>
          </w:p>
        </w:tc>
        <w:tc>
          <w:tcPr>
            <w:tcW w:w="1667" w:type="pct"/>
            <w:vAlign w:val="center"/>
          </w:tcPr>
          <w:p w14:paraId="2FFC5638">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0.104</w:t>
            </w:r>
          </w:p>
        </w:tc>
      </w:tr>
      <w:tr w14:paraId="7EB3E7A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5" w:hRule="atLeast"/>
          <w:jc w:val="center"/>
        </w:trPr>
        <w:tc>
          <w:tcPr>
            <w:tcW w:w="1668" w:type="pct"/>
            <w:vAlign w:val="center"/>
          </w:tcPr>
          <w:p w14:paraId="7AFFAF4A">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法兰、连接件</w:t>
            </w:r>
          </w:p>
        </w:tc>
        <w:tc>
          <w:tcPr>
            <w:tcW w:w="1665" w:type="pct"/>
            <w:vAlign w:val="center"/>
          </w:tcPr>
          <w:p w14:paraId="4AEA6791">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所有</w:t>
            </w:r>
          </w:p>
        </w:tc>
        <w:tc>
          <w:tcPr>
            <w:tcW w:w="1667" w:type="pct"/>
            <w:vAlign w:val="center"/>
          </w:tcPr>
          <w:p w14:paraId="3545D39F">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0.00183</w:t>
            </w:r>
          </w:p>
        </w:tc>
      </w:tr>
      <w:tr w14:paraId="60CED14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8" w:hRule="atLeast"/>
          <w:jc w:val="center"/>
        </w:trPr>
        <w:tc>
          <w:tcPr>
            <w:tcW w:w="1668" w:type="pct"/>
            <w:vAlign w:val="center"/>
          </w:tcPr>
          <w:p w14:paraId="22CBB143">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开口阀或开口管线</w:t>
            </w:r>
          </w:p>
        </w:tc>
        <w:tc>
          <w:tcPr>
            <w:tcW w:w="1665" w:type="pct"/>
            <w:vAlign w:val="center"/>
          </w:tcPr>
          <w:p w14:paraId="0DF1F3AA">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所有</w:t>
            </w:r>
          </w:p>
        </w:tc>
        <w:tc>
          <w:tcPr>
            <w:tcW w:w="1667" w:type="pct"/>
            <w:vAlign w:val="center"/>
          </w:tcPr>
          <w:p w14:paraId="5F2A0D25">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0.0017</w:t>
            </w:r>
          </w:p>
        </w:tc>
      </w:tr>
      <w:tr w14:paraId="7E57781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8" w:hRule="atLeast"/>
          <w:jc w:val="center"/>
        </w:trPr>
        <w:tc>
          <w:tcPr>
            <w:tcW w:w="1668" w:type="pct"/>
            <w:vAlign w:val="center"/>
          </w:tcPr>
          <w:p w14:paraId="06160A9A">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采样连接系统</w:t>
            </w:r>
          </w:p>
        </w:tc>
        <w:tc>
          <w:tcPr>
            <w:tcW w:w="1665" w:type="pct"/>
            <w:vAlign w:val="center"/>
          </w:tcPr>
          <w:p w14:paraId="58C54F7D">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所有</w:t>
            </w:r>
          </w:p>
        </w:tc>
        <w:tc>
          <w:tcPr>
            <w:tcW w:w="1667" w:type="pct"/>
            <w:vAlign w:val="center"/>
          </w:tcPr>
          <w:p w14:paraId="388C083C">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0.0150</w:t>
            </w:r>
          </w:p>
        </w:tc>
      </w:tr>
      <w:tr w14:paraId="04F0517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0" w:hRule="atLeast"/>
          <w:jc w:val="center"/>
        </w:trPr>
        <w:tc>
          <w:tcPr>
            <w:tcW w:w="1668" w:type="pct"/>
            <w:vAlign w:val="center"/>
          </w:tcPr>
          <w:p w14:paraId="3FC99A45">
            <w:pPr>
              <w:spacing w:line="240" w:lineRule="auto"/>
              <w:ind w:firstLine="420"/>
              <w:jc w:val="center"/>
              <w:rPr>
                <w:color w:val="000000" w:themeColor="text1"/>
                <w:sz w:val="21"/>
                <w:szCs w:val="21"/>
                <w14:textFill>
                  <w14:solidFill>
                    <w14:schemeClr w14:val="tx1"/>
                  </w14:solidFill>
                </w14:textFill>
              </w:rPr>
            </w:pPr>
            <w:r>
              <w:rPr>
                <w:rFonts w:hint="eastAsia"/>
                <w:color w:val="000000" w:themeColor="text1"/>
                <w:sz w:val="21"/>
                <w:szCs w:val="21"/>
                <w:lang w:eastAsia="zh-CN"/>
                <w14:textFill>
                  <w14:solidFill>
                    <w14:schemeClr w14:val="tx1"/>
                  </w14:solidFill>
                </w14:textFill>
              </w:rPr>
              <w:t>其他</w:t>
            </w:r>
          </w:p>
        </w:tc>
        <w:tc>
          <w:tcPr>
            <w:tcW w:w="1665" w:type="pct"/>
            <w:vAlign w:val="center"/>
          </w:tcPr>
          <w:p w14:paraId="789F7F9C">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所有</w:t>
            </w:r>
          </w:p>
        </w:tc>
        <w:tc>
          <w:tcPr>
            <w:tcW w:w="1667" w:type="pct"/>
            <w:vAlign w:val="center"/>
          </w:tcPr>
          <w:p w14:paraId="76B41B52">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0.0597</w:t>
            </w:r>
          </w:p>
        </w:tc>
      </w:tr>
    </w:tbl>
    <w:p w14:paraId="0DBFE8FE">
      <w:pPr>
        <w:ind w:firstLine="480"/>
        <w:rPr>
          <w:bCs/>
          <w:color w:val="000000" w:themeColor="text1"/>
          <w:u w:val="single"/>
          <w14:textFill>
            <w14:solidFill>
              <w14:schemeClr w14:val="tx1"/>
            </w14:solidFill>
          </w14:textFill>
        </w:rPr>
      </w:pPr>
      <w:r>
        <w:rPr>
          <w:bCs/>
          <w:color w:val="000000" w:themeColor="text1"/>
          <w:u w:val="single"/>
          <w14:textFill>
            <w14:solidFill>
              <w14:schemeClr w14:val="tx1"/>
            </w14:solidFill>
          </w14:textFill>
        </w:rPr>
        <w:t>根据表</w:t>
      </w:r>
      <w:r>
        <w:rPr>
          <w:rFonts w:hint="eastAsia"/>
          <w:bCs/>
          <w:color w:val="000000" w:themeColor="text1"/>
          <w:u w:val="single"/>
          <w14:textFill>
            <w14:solidFill>
              <w14:schemeClr w14:val="tx1"/>
            </w14:solidFill>
          </w14:textFill>
        </w:rPr>
        <w:t>2.3-7</w:t>
      </w:r>
      <w:r>
        <w:rPr>
          <w:bCs/>
          <w:color w:val="000000" w:themeColor="text1"/>
          <w:u w:val="single"/>
          <w14:textFill>
            <w14:solidFill>
              <w14:schemeClr w14:val="tx1"/>
            </w14:solidFill>
          </w14:textFill>
        </w:rPr>
        <w:t>表格，阀门、法兰连接件、</w:t>
      </w:r>
      <w:r>
        <w:rPr>
          <w:rFonts w:hint="eastAsia"/>
          <w:bCs/>
          <w:color w:val="000000" w:themeColor="text1"/>
          <w:u w:val="single"/>
          <w14:textFill>
            <w14:solidFill>
              <w14:schemeClr w14:val="tx1"/>
            </w14:solidFill>
          </w14:textFill>
        </w:rPr>
        <w:t>采样连接系统、开口阀或开口管线、</w:t>
      </w:r>
      <w:r>
        <w:rPr>
          <w:rFonts w:hint="eastAsia"/>
          <w:bCs/>
          <w:color w:val="000000" w:themeColor="text1"/>
          <w:u w:val="single"/>
          <w:lang w:eastAsia="zh-CN"/>
          <w14:textFill>
            <w14:solidFill>
              <w14:schemeClr w14:val="tx1"/>
            </w14:solidFill>
          </w14:textFill>
        </w:rPr>
        <w:t>其他</w:t>
      </w:r>
      <w:r>
        <w:rPr>
          <w:rFonts w:hint="eastAsia"/>
          <w:bCs/>
          <w:color w:val="000000" w:themeColor="text1"/>
          <w:u w:val="single"/>
          <w14:textFill>
            <w14:solidFill>
              <w14:schemeClr w14:val="tx1"/>
            </w14:solidFill>
          </w14:textFill>
        </w:rPr>
        <w:t>选择1，结合物质密度、排放时间、排放效率等，按公式进行计算，各区域动静密封点无组织排放量见表2.3-8.</w:t>
      </w:r>
    </w:p>
    <w:p w14:paraId="1D0CFA61">
      <w:pPr>
        <w:pStyle w:val="7"/>
        <w:rPr>
          <w:color w:val="000000" w:themeColor="text1"/>
          <w14:textFill>
            <w14:solidFill>
              <w14:schemeClr w14:val="tx1"/>
            </w14:solidFill>
          </w14:textFill>
        </w:rPr>
      </w:pPr>
      <w:r>
        <w:rPr>
          <w:color w:val="000000" w:themeColor="text1"/>
          <w14:textFill>
            <w14:solidFill>
              <w14:schemeClr w14:val="tx1"/>
            </w14:solidFill>
          </w14:textFill>
        </w:rPr>
        <w:t>项目各区域动静密封点</w:t>
      </w:r>
      <w:r>
        <w:rPr>
          <w:rFonts w:hint="eastAsia"/>
          <w:color w:val="000000" w:themeColor="text1"/>
          <w14:textFill>
            <w14:solidFill>
              <w14:schemeClr w14:val="tx1"/>
            </w14:solidFill>
          </w14:textFill>
        </w:rPr>
        <w:t>无组织排放量</w:t>
      </w:r>
    </w:p>
    <w:tbl>
      <w:tblPr>
        <w:tblStyle w:val="43"/>
        <w:tblW w:w="8276"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694"/>
        <w:gridCol w:w="2410"/>
        <w:gridCol w:w="2515"/>
        <w:gridCol w:w="2657"/>
      </w:tblGrid>
      <w:tr w14:paraId="29986F7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9" w:hRule="atLeast"/>
          <w:tblHeader/>
          <w:jc w:val="center"/>
        </w:trPr>
        <w:tc>
          <w:tcPr>
            <w:tcW w:w="3104" w:type="dxa"/>
            <w:gridSpan w:val="2"/>
            <w:tcMar>
              <w:left w:w="0" w:type="dxa"/>
              <w:right w:w="0" w:type="dxa"/>
            </w:tcMar>
            <w:vAlign w:val="center"/>
          </w:tcPr>
          <w:p w14:paraId="65ACF155">
            <w:pPr>
              <w:spacing w:line="240" w:lineRule="exact"/>
              <w:ind w:firstLine="0" w:firstLineChars="0"/>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污染物</w:t>
            </w:r>
          </w:p>
        </w:tc>
        <w:tc>
          <w:tcPr>
            <w:tcW w:w="2515" w:type="dxa"/>
            <w:tcMar>
              <w:left w:w="0" w:type="dxa"/>
              <w:right w:w="0" w:type="dxa"/>
            </w:tcMar>
            <w:vAlign w:val="center"/>
          </w:tcPr>
          <w:p w14:paraId="1D9D4639">
            <w:pPr>
              <w:spacing w:line="240" w:lineRule="exact"/>
              <w:ind w:firstLine="0" w:firstLineChars="0"/>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码头装卸区排放速率kg/h</w:t>
            </w:r>
          </w:p>
        </w:tc>
        <w:tc>
          <w:tcPr>
            <w:tcW w:w="2657" w:type="dxa"/>
            <w:tcMar>
              <w:left w:w="0" w:type="dxa"/>
              <w:right w:w="0" w:type="dxa"/>
            </w:tcMar>
            <w:vAlign w:val="center"/>
          </w:tcPr>
          <w:p w14:paraId="51D7B12A">
            <w:pPr>
              <w:spacing w:line="240" w:lineRule="exact"/>
              <w:ind w:firstLine="0" w:firstLineChars="0"/>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码头装卸区排放量t/a</w:t>
            </w:r>
          </w:p>
        </w:tc>
      </w:tr>
      <w:tr w14:paraId="0FC394C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88" w:hRule="atLeast"/>
          <w:jc w:val="center"/>
        </w:trPr>
        <w:tc>
          <w:tcPr>
            <w:tcW w:w="694" w:type="dxa"/>
            <w:vMerge w:val="restart"/>
            <w:tcMar>
              <w:left w:w="0" w:type="dxa"/>
              <w:right w:w="0" w:type="dxa"/>
            </w:tcMar>
            <w:vAlign w:val="center"/>
          </w:tcPr>
          <w:p w14:paraId="3E623551">
            <w:pPr>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14#泊位</w:t>
            </w:r>
          </w:p>
        </w:tc>
        <w:tc>
          <w:tcPr>
            <w:tcW w:w="2410" w:type="dxa"/>
            <w:tcMar>
              <w:left w:w="0" w:type="dxa"/>
              <w:right w:w="0" w:type="dxa"/>
            </w:tcMar>
            <w:vAlign w:val="center"/>
          </w:tcPr>
          <w:p w14:paraId="7B0C2493">
            <w:pPr>
              <w:autoSpaceDE w:val="0"/>
              <w:autoSpaceDN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苯乙烯</w:t>
            </w:r>
          </w:p>
        </w:tc>
        <w:tc>
          <w:tcPr>
            <w:tcW w:w="2515" w:type="dxa"/>
            <w:tcMar>
              <w:left w:w="0" w:type="dxa"/>
              <w:right w:w="0" w:type="dxa"/>
            </w:tcMar>
            <w:vAlign w:val="center"/>
          </w:tcPr>
          <w:p w14:paraId="53964BC3">
            <w:pPr>
              <w:spacing w:line="240" w:lineRule="exac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0.0023</w:t>
            </w:r>
          </w:p>
        </w:tc>
        <w:tc>
          <w:tcPr>
            <w:tcW w:w="2657" w:type="dxa"/>
            <w:tcMar>
              <w:left w:w="0" w:type="dxa"/>
              <w:right w:w="0" w:type="dxa"/>
            </w:tcMar>
            <w:vAlign w:val="center"/>
          </w:tcPr>
          <w:p w14:paraId="26A5E225">
            <w:pPr>
              <w:spacing w:line="240" w:lineRule="exact"/>
              <w:ind w:firstLine="0" w:firstLineChars="0"/>
              <w:jc w:val="center"/>
              <w:rPr>
                <w:rFonts w:eastAsia="等线"/>
                <w:color w:val="000000" w:themeColor="text1"/>
                <w:sz w:val="21"/>
                <w:szCs w:val="21"/>
                <w14:textFill>
                  <w14:solidFill>
                    <w14:schemeClr w14:val="tx1"/>
                  </w14:solidFill>
                </w14:textFill>
              </w:rPr>
            </w:pPr>
            <w:r>
              <w:rPr>
                <w:rFonts w:hint="eastAsia" w:eastAsia="等线"/>
                <w:color w:val="000000" w:themeColor="text1"/>
                <w:sz w:val="21"/>
                <w:szCs w:val="21"/>
                <w14:textFill>
                  <w14:solidFill>
                    <w14:schemeClr w14:val="tx1"/>
                  </w14:solidFill>
                </w14:textFill>
              </w:rPr>
              <w:t>0.00024</w:t>
            </w:r>
          </w:p>
        </w:tc>
      </w:tr>
      <w:tr w14:paraId="31DFD59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10" w:hRule="atLeast"/>
          <w:jc w:val="center"/>
        </w:trPr>
        <w:tc>
          <w:tcPr>
            <w:tcW w:w="694" w:type="dxa"/>
            <w:vMerge w:val="continue"/>
            <w:tcMar>
              <w:left w:w="0" w:type="dxa"/>
              <w:right w:w="0" w:type="dxa"/>
            </w:tcMar>
            <w:vAlign w:val="center"/>
          </w:tcPr>
          <w:p w14:paraId="453705B6">
            <w:pPr>
              <w:spacing w:line="240" w:lineRule="exact"/>
              <w:ind w:firstLine="0" w:firstLineChars="0"/>
              <w:jc w:val="center"/>
              <w:rPr>
                <w:color w:val="000000" w:themeColor="text1"/>
                <w:sz w:val="21"/>
                <w:szCs w:val="21"/>
                <w14:textFill>
                  <w14:solidFill>
                    <w14:schemeClr w14:val="tx1"/>
                  </w14:solidFill>
                </w14:textFill>
              </w:rPr>
            </w:pPr>
          </w:p>
        </w:tc>
        <w:tc>
          <w:tcPr>
            <w:tcW w:w="2410" w:type="dxa"/>
            <w:tcMar>
              <w:left w:w="0" w:type="dxa"/>
              <w:right w:w="0" w:type="dxa"/>
            </w:tcMar>
            <w:vAlign w:val="center"/>
          </w:tcPr>
          <w:p w14:paraId="702B728A">
            <w:pPr>
              <w:autoSpaceDE w:val="0"/>
              <w:autoSpaceDN w:val="0"/>
              <w:spacing w:line="240" w:lineRule="auto"/>
              <w:ind w:firstLine="0" w:firstLineChars="0"/>
              <w:jc w:val="center"/>
              <w:rPr>
                <w:color w:val="000000" w:themeColor="text1"/>
                <w:w w:val="99"/>
                <w:sz w:val="21"/>
                <w:szCs w:val="21"/>
                <w14:textFill>
                  <w14:solidFill>
                    <w14:schemeClr w14:val="tx1"/>
                  </w14:solidFill>
                </w14:textFill>
              </w:rPr>
            </w:pPr>
            <w:r>
              <w:rPr>
                <w:rFonts w:hint="eastAsia"/>
                <w:color w:val="000000" w:themeColor="text1"/>
                <w:sz w:val="21"/>
                <w:szCs w:val="21"/>
                <w14:textFill>
                  <w14:solidFill>
                    <w14:schemeClr w14:val="tx1"/>
                  </w14:solidFill>
                </w14:textFill>
              </w:rPr>
              <w:t>硫酸雾</w:t>
            </w:r>
          </w:p>
        </w:tc>
        <w:tc>
          <w:tcPr>
            <w:tcW w:w="2515" w:type="dxa"/>
            <w:tcMar>
              <w:left w:w="0" w:type="dxa"/>
              <w:right w:w="0" w:type="dxa"/>
            </w:tcMar>
            <w:vAlign w:val="center"/>
          </w:tcPr>
          <w:p w14:paraId="2D0B5297">
            <w:pPr>
              <w:spacing w:line="240" w:lineRule="exact"/>
              <w:ind w:firstLine="0" w:firstLineChars="0"/>
              <w:jc w:val="center"/>
              <w:rPr>
                <w:rFonts w:eastAsia="等线"/>
                <w:color w:val="000000" w:themeColor="text1"/>
                <w:sz w:val="21"/>
                <w:szCs w:val="21"/>
                <w14:textFill>
                  <w14:solidFill>
                    <w14:schemeClr w14:val="tx1"/>
                  </w14:solidFill>
                </w14:textFill>
              </w:rPr>
            </w:pPr>
            <w:r>
              <w:rPr>
                <w:rFonts w:hint="eastAsia" w:eastAsia="等线"/>
                <w:color w:val="000000" w:themeColor="text1"/>
                <w:sz w:val="21"/>
                <w:szCs w:val="21"/>
                <w14:textFill>
                  <w14:solidFill>
                    <w14:schemeClr w14:val="tx1"/>
                  </w14:solidFill>
                </w14:textFill>
              </w:rPr>
              <w:t>0</w:t>
            </w:r>
            <w:r>
              <w:rPr>
                <w:rFonts w:eastAsia="等线"/>
                <w:color w:val="000000" w:themeColor="text1"/>
                <w:sz w:val="21"/>
                <w:szCs w:val="21"/>
                <w14:textFill>
                  <w14:solidFill>
                    <w14:schemeClr w14:val="tx1"/>
                  </w14:solidFill>
                </w14:textFill>
              </w:rPr>
              <w:t>.0311</w:t>
            </w:r>
          </w:p>
        </w:tc>
        <w:tc>
          <w:tcPr>
            <w:tcW w:w="2657" w:type="dxa"/>
            <w:tcMar>
              <w:left w:w="0" w:type="dxa"/>
              <w:right w:w="0" w:type="dxa"/>
            </w:tcMar>
            <w:vAlign w:val="center"/>
          </w:tcPr>
          <w:p w14:paraId="41938025">
            <w:pPr>
              <w:spacing w:line="240" w:lineRule="exact"/>
              <w:ind w:firstLine="0" w:firstLineChars="0"/>
              <w:jc w:val="center"/>
              <w:rPr>
                <w:rFonts w:eastAsia="等线"/>
                <w:color w:val="000000" w:themeColor="text1"/>
                <w:sz w:val="21"/>
                <w:szCs w:val="21"/>
                <w14:textFill>
                  <w14:solidFill>
                    <w14:schemeClr w14:val="tx1"/>
                  </w14:solidFill>
                </w14:textFill>
              </w:rPr>
            </w:pPr>
            <w:r>
              <w:rPr>
                <w:rFonts w:hint="eastAsia" w:eastAsia="等线"/>
                <w:color w:val="000000" w:themeColor="text1"/>
                <w:sz w:val="21"/>
                <w:szCs w:val="21"/>
                <w14:textFill>
                  <w14:solidFill>
                    <w14:schemeClr w14:val="tx1"/>
                  </w14:solidFill>
                </w14:textFill>
              </w:rPr>
              <w:t>0</w:t>
            </w:r>
            <w:r>
              <w:rPr>
                <w:rFonts w:eastAsia="等线"/>
                <w:color w:val="000000" w:themeColor="text1"/>
                <w:sz w:val="21"/>
                <w:szCs w:val="21"/>
                <w14:textFill>
                  <w14:solidFill>
                    <w14:schemeClr w14:val="tx1"/>
                  </w14:solidFill>
                </w14:textFill>
              </w:rPr>
              <w:t>.0011</w:t>
            </w:r>
          </w:p>
        </w:tc>
      </w:tr>
      <w:tr w14:paraId="6F73C31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85" w:hRule="atLeast"/>
          <w:jc w:val="center"/>
        </w:trPr>
        <w:tc>
          <w:tcPr>
            <w:tcW w:w="694" w:type="dxa"/>
            <w:vMerge w:val="continue"/>
            <w:tcMar>
              <w:left w:w="0" w:type="dxa"/>
              <w:right w:w="0" w:type="dxa"/>
            </w:tcMar>
            <w:vAlign w:val="center"/>
          </w:tcPr>
          <w:p w14:paraId="3C58552A">
            <w:pPr>
              <w:spacing w:line="240" w:lineRule="exact"/>
              <w:ind w:firstLine="0" w:firstLineChars="0"/>
              <w:jc w:val="center"/>
              <w:rPr>
                <w:color w:val="000000" w:themeColor="text1"/>
                <w:sz w:val="21"/>
                <w:szCs w:val="21"/>
                <w14:textFill>
                  <w14:solidFill>
                    <w14:schemeClr w14:val="tx1"/>
                  </w14:solidFill>
                </w14:textFill>
              </w:rPr>
            </w:pPr>
          </w:p>
        </w:tc>
        <w:tc>
          <w:tcPr>
            <w:tcW w:w="2410" w:type="dxa"/>
            <w:tcMar>
              <w:left w:w="0" w:type="dxa"/>
              <w:right w:w="0" w:type="dxa"/>
            </w:tcMar>
            <w:vAlign w:val="center"/>
          </w:tcPr>
          <w:p w14:paraId="6560408A">
            <w:pPr>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VOCs</w:t>
            </w:r>
          </w:p>
          <w:p w14:paraId="1BC216D3">
            <w:pPr>
              <w:spacing w:line="240" w:lineRule="exact"/>
              <w:ind w:firstLine="0" w:firstLineChars="0"/>
              <w:jc w:val="center"/>
              <w:rPr>
                <w:color w:val="000000" w:themeColor="text1"/>
                <w:w w:val="99"/>
                <w:sz w:val="21"/>
                <w:szCs w:val="21"/>
                <w14:textFill>
                  <w14:solidFill>
                    <w14:schemeClr w14:val="tx1"/>
                  </w14:solidFill>
                </w14:textFill>
              </w:rPr>
            </w:pPr>
            <w:r>
              <w:rPr>
                <w:rFonts w:hint="eastAsia"/>
                <w:color w:val="000000" w:themeColor="text1"/>
                <w:sz w:val="21"/>
                <w:szCs w:val="21"/>
                <w14:textFill>
                  <w14:solidFill>
                    <w14:schemeClr w14:val="tx1"/>
                  </w14:solidFill>
                </w14:textFill>
              </w:rPr>
              <w:t>（根据货种及标准统计）</w:t>
            </w:r>
          </w:p>
        </w:tc>
        <w:tc>
          <w:tcPr>
            <w:tcW w:w="2515" w:type="dxa"/>
            <w:tcMar>
              <w:left w:w="0" w:type="dxa"/>
              <w:right w:w="0" w:type="dxa"/>
            </w:tcMar>
            <w:vAlign w:val="center"/>
          </w:tcPr>
          <w:p w14:paraId="3C8A94C6">
            <w:pPr>
              <w:spacing w:line="240" w:lineRule="exact"/>
              <w:ind w:firstLine="0" w:firstLineChars="0"/>
              <w:jc w:val="center"/>
              <w:rPr>
                <w:rFonts w:eastAsia="等线"/>
                <w:color w:val="000000" w:themeColor="text1"/>
                <w:sz w:val="21"/>
                <w:szCs w:val="21"/>
                <w14:textFill>
                  <w14:solidFill>
                    <w14:schemeClr w14:val="tx1"/>
                  </w14:solidFill>
                </w14:textFill>
              </w:rPr>
            </w:pPr>
            <w:r>
              <w:rPr>
                <w:rFonts w:hint="eastAsia" w:eastAsia="等线"/>
                <w:color w:val="000000" w:themeColor="text1"/>
                <w:sz w:val="21"/>
                <w:szCs w:val="21"/>
                <w14:textFill>
                  <w14:solidFill>
                    <w14:schemeClr w14:val="tx1"/>
                  </w14:solidFill>
                </w14:textFill>
              </w:rPr>
              <w:t>0</w:t>
            </w:r>
            <w:r>
              <w:rPr>
                <w:rFonts w:eastAsia="等线"/>
                <w:color w:val="000000" w:themeColor="text1"/>
                <w:sz w:val="21"/>
                <w:szCs w:val="21"/>
                <w14:textFill>
                  <w14:solidFill>
                    <w14:schemeClr w14:val="tx1"/>
                  </w14:solidFill>
                </w14:textFill>
              </w:rPr>
              <w:t>.0293</w:t>
            </w:r>
          </w:p>
        </w:tc>
        <w:tc>
          <w:tcPr>
            <w:tcW w:w="2657" w:type="dxa"/>
            <w:tcMar>
              <w:left w:w="0" w:type="dxa"/>
              <w:right w:w="0" w:type="dxa"/>
            </w:tcMar>
            <w:vAlign w:val="center"/>
          </w:tcPr>
          <w:p w14:paraId="3467D618">
            <w:pPr>
              <w:spacing w:line="240" w:lineRule="exact"/>
              <w:ind w:firstLine="0" w:firstLineChars="0"/>
              <w:jc w:val="center"/>
              <w:rPr>
                <w:rFonts w:eastAsia="等线"/>
                <w:color w:val="000000" w:themeColor="text1"/>
                <w:sz w:val="21"/>
                <w:szCs w:val="21"/>
                <w14:textFill>
                  <w14:solidFill>
                    <w14:schemeClr w14:val="tx1"/>
                  </w14:solidFill>
                </w14:textFill>
              </w:rPr>
            </w:pPr>
            <w:r>
              <w:rPr>
                <w:rFonts w:hint="eastAsia" w:eastAsia="等线"/>
                <w:color w:val="000000" w:themeColor="text1"/>
                <w:sz w:val="21"/>
                <w:szCs w:val="21"/>
                <w14:textFill>
                  <w14:solidFill>
                    <w14:schemeClr w14:val="tx1"/>
                  </w14:solidFill>
                </w14:textFill>
              </w:rPr>
              <w:t>0</w:t>
            </w:r>
            <w:r>
              <w:rPr>
                <w:rFonts w:eastAsia="等线"/>
                <w:color w:val="000000" w:themeColor="text1"/>
                <w:sz w:val="21"/>
                <w:szCs w:val="21"/>
                <w14:textFill>
                  <w14:solidFill>
                    <w14:schemeClr w14:val="tx1"/>
                  </w14:solidFill>
                </w14:textFill>
              </w:rPr>
              <w:t>.0141</w:t>
            </w:r>
          </w:p>
        </w:tc>
      </w:tr>
    </w:tbl>
    <w:p w14:paraId="63FC92CB">
      <w:pPr>
        <w:ind w:firstLine="482"/>
        <w:rPr>
          <w:b/>
          <w:bCs/>
          <w:color w:val="000000" w:themeColor="text1"/>
          <w14:textFill>
            <w14:solidFill>
              <w14:schemeClr w14:val="tx1"/>
            </w14:solidFill>
          </w14:textFill>
        </w:rPr>
      </w:pPr>
    </w:p>
    <w:p w14:paraId="430BE38B">
      <w:pPr>
        <w:ind w:firstLine="482"/>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（2）装船废气及扫线废气</w:t>
      </w:r>
    </w:p>
    <w:p w14:paraId="009CC54F">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①装船废气</w:t>
      </w:r>
    </w:p>
    <w:p w14:paraId="427C8FAE">
      <w:pPr>
        <w:ind w:firstLine="480"/>
        <w:rPr>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裂解C9、工业级混合油、脂肪酸甲酯、纯生物柴油、航空煤油由后方厂区及公共管廊至码头管廊后至新建装卸臂进行装船</w:t>
      </w:r>
      <w:r>
        <w:rPr>
          <w:rFonts w:hint="eastAsia"/>
          <w:color w:val="000000" w:themeColor="text1"/>
          <w14:textFill>
            <w14:solidFill>
              <w14:schemeClr w14:val="tx1"/>
            </w14:solidFill>
          </w14:textFill>
        </w:rPr>
        <w:t>。各装卸点均设置相应的油气收集装置（采用软管）、船岸安全装置、气相管道将装船废气收集后由后依托后方恒逸厂区RTO炉处置。具体如下：</w:t>
      </w:r>
    </w:p>
    <w:p w14:paraId="6581FC8E">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化工品船→双管装卸臂的气相管→船岸安全装置→管道→恒逸厂区RTO炉。</w:t>
      </w:r>
    </w:p>
    <w:p w14:paraId="23A1376E">
      <w:pPr>
        <w:ind w:firstLine="4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船岸安全装置在进气端、出气端之间的管道上设置有紧急切断阀、压力/真空释放阀、气液分离器、防爆轰型阻火器、紧急充氮接入口、含氧量传感器、VOC测定仪、压力表、温度计等。管道运行压力高于或低于船舶设定的超压或超真空状态规定时，压力/真空释放阀泄压，延时超压时自动关闭切断阀，同时开启电磁阀。管道内油气含氧量体积比高于6%时报警，并同时开启阀门补入惰性气体；含氧量体积比高于8%时，系统自动关闭紧急切断阀，同时开启电磁阀实施紧急排放。</w:t>
      </w:r>
    </w:p>
    <w:p w14:paraId="1B2525C2">
      <w:pPr>
        <w:autoSpaceDE w:val="0"/>
        <w:ind w:firstLine="480"/>
        <w:rPr>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根据《水运工程建设项目环境影响评价指南》（</w:t>
      </w:r>
      <w:r>
        <w:rPr>
          <w:rFonts w:hint="eastAsia"/>
          <w:color w:val="000000" w:themeColor="text1"/>
          <w14:textFill>
            <w14:solidFill>
              <w14:schemeClr w14:val="tx1"/>
            </w14:solidFill>
          </w14:textFill>
        </w:rPr>
        <w:t>JTS/T 105-2021</w:t>
      </w:r>
      <w:r>
        <w:rPr>
          <w:rFonts w:hint="eastAsia" w:ascii="宋体" w:hAnsi="宋体"/>
          <w:color w:val="000000" w:themeColor="text1"/>
          <w14:textFill>
            <w14:solidFill>
              <w14:schemeClr w14:val="tx1"/>
            </w14:solidFill>
          </w14:textFill>
        </w:rPr>
        <w:t>），原油、汽油外的石油化工品装船作业废气源强采用下式计算：</w:t>
      </w:r>
    </w:p>
    <w:p w14:paraId="3DBFD21C">
      <w:pPr>
        <w:autoSpaceDE w:val="0"/>
        <w:ind w:firstLine="480"/>
        <w:jc w:val="center"/>
        <w:rPr>
          <w:rFonts w:hint="eastAsia"/>
          <w:color w:val="000000" w:themeColor="text1"/>
          <w14:textFill>
            <w14:solidFill>
              <w14:schemeClr w14:val="tx1"/>
            </w14:solidFill>
          </w14:textFill>
        </w:rPr>
      </w:pPr>
      <w:r>
        <w:rPr>
          <w:rFonts w:hint="eastAsia"/>
          <w:i/>
          <w:iCs/>
          <w:color w:val="000000" w:themeColor="text1"/>
          <w14:textFill>
            <w14:solidFill>
              <w14:schemeClr w14:val="tx1"/>
            </w14:solidFill>
          </w14:textFill>
        </w:rPr>
        <w:t>C</w:t>
      </w:r>
      <w:r>
        <w:rPr>
          <w:rFonts w:hint="eastAsia"/>
          <w:i/>
          <w:iCs/>
          <w:color w:val="000000" w:themeColor="text1"/>
          <w:vertAlign w:val="subscript"/>
          <w14:textFill>
            <w14:solidFill>
              <w14:schemeClr w14:val="tx1"/>
            </w14:solidFill>
          </w14:textFill>
        </w:rPr>
        <w:t>L</w:t>
      </w:r>
      <w:r>
        <w:rPr>
          <w:rFonts w:hint="eastAsia"/>
          <w:color w:val="000000" w:themeColor="text1"/>
          <w14:textFill>
            <w14:solidFill>
              <w14:schemeClr w14:val="tx1"/>
            </w14:solidFill>
          </w14:textFill>
        </w:rPr>
        <w:t>=</w:t>
      </w:r>
      <w:r>
        <w:rPr>
          <w:rFonts w:hint="eastAsia"/>
          <w:i/>
          <w:iCs/>
          <w:color w:val="000000" w:themeColor="text1"/>
          <w14:textFill>
            <w14:solidFill>
              <w14:schemeClr w14:val="tx1"/>
            </w14:solidFill>
          </w14:textFill>
        </w:rPr>
        <w:t>0.12SPMV</w:t>
      </w:r>
      <w:r>
        <w:rPr>
          <w:rFonts w:hint="eastAsia"/>
          <w:i/>
          <w:iCs/>
          <w:color w:val="000000" w:themeColor="text1"/>
          <w:vertAlign w:val="subscript"/>
          <w14:textFill>
            <w14:solidFill>
              <w14:schemeClr w14:val="tx1"/>
            </w14:solidFill>
          </w14:textFill>
        </w:rPr>
        <w:t>i</w:t>
      </w:r>
      <w:r>
        <w:rPr>
          <w:rFonts w:hint="eastAsia" w:ascii="宋体" w:hAnsi="宋体"/>
          <w:i/>
          <w:iCs/>
          <w:color w:val="000000" w:themeColor="text1"/>
          <w14:textFill>
            <w14:solidFill>
              <w14:schemeClr w14:val="tx1"/>
            </w14:solidFill>
          </w14:textFill>
        </w:rPr>
        <w:t>（</w:t>
      </w:r>
      <w:r>
        <w:rPr>
          <w:rFonts w:hint="eastAsia"/>
          <w:i/>
          <w:iCs/>
          <w:color w:val="000000" w:themeColor="text1"/>
          <w14:textFill>
            <w14:solidFill>
              <w14:schemeClr w14:val="tx1"/>
            </w14:solidFill>
          </w14:textFill>
        </w:rPr>
        <w:t>1-eff/100</w:t>
      </w:r>
      <w:r>
        <w:rPr>
          <w:rFonts w:hint="eastAsia" w:ascii="宋体" w:hAnsi="宋体"/>
          <w:i/>
          <w:iCs/>
          <w:color w:val="000000" w:themeColor="text1"/>
          <w14:textFill>
            <w14:solidFill>
              <w14:schemeClr w14:val="tx1"/>
            </w14:solidFill>
          </w14:textFill>
        </w:rPr>
        <w:t>）</w:t>
      </w:r>
      <w:r>
        <w:rPr>
          <w:rFonts w:hint="eastAsia"/>
          <w:i/>
          <w:iCs/>
          <w:color w:val="000000" w:themeColor="text1"/>
          <w14:textFill>
            <w14:solidFill>
              <w14:schemeClr w14:val="tx1"/>
            </w14:solidFill>
          </w14:textFill>
        </w:rPr>
        <w:t>/</w:t>
      </w:r>
      <w:r>
        <w:rPr>
          <w:rFonts w:hint="eastAsia" w:ascii="宋体" w:hAnsi="宋体"/>
          <w:i/>
          <w:iCs/>
          <w:color w:val="000000" w:themeColor="text1"/>
          <w14:textFill>
            <w14:solidFill>
              <w14:schemeClr w14:val="tx1"/>
            </w14:solidFill>
          </w14:textFill>
        </w:rPr>
        <w:t>（</w:t>
      </w:r>
      <w:r>
        <w:rPr>
          <w:rFonts w:hint="eastAsia"/>
          <w:i/>
          <w:iCs/>
          <w:color w:val="000000" w:themeColor="text1"/>
          <w14:textFill>
            <w14:solidFill>
              <w14:schemeClr w14:val="tx1"/>
            </w14:solidFill>
          </w14:textFill>
        </w:rPr>
        <w:t>T+273.15</w:t>
      </w:r>
      <w:r>
        <w:rPr>
          <w:rFonts w:hint="eastAsia" w:ascii="宋体" w:hAnsi="宋体"/>
          <w:i/>
          <w:iCs/>
          <w:color w:val="000000" w:themeColor="text1"/>
          <w14:textFill>
            <w14:solidFill>
              <w14:schemeClr w14:val="tx1"/>
            </w14:solidFill>
          </w14:textFill>
        </w:rPr>
        <w:t>）</w:t>
      </w:r>
    </w:p>
    <w:p w14:paraId="4C9AB926">
      <w:pPr>
        <w:autoSpaceDE w:val="0"/>
        <w:ind w:firstLine="480"/>
        <w:rPr>
          <w:bCs/>
          <w:color w:val="000000" w:themeColor="text1"/>
          <w14:textFill>
            <w14:solidFill>
              <w14:schemeClr w14:val="tx1"/>
            </w14:solidFill>
          </w14:textFill>
        </w:rPr>
      </w:pPr>
      <w:r>
        <w:rPr>
          <w:rFonts w:hint="eastAsia" w:ascii="宋体" w:hAnsi="宋体"/>
          <w:bCs/>
          <w:color w:val="000000" w:themeColor="text1"/>
          <w14:textFill>
            <w14:solidFill>
              <w14:schemeClr w14:val="tx1"/>
            </w14:solidFill>
          </w14:textFill>
        </w:rPr>
        <w:t>式中：</w:t>
      </w:r>
      <w:r>
        <w:rPr>
          <w:rFonts w:hint="eastAsia"/>
          <w:bCs/>
          <w:color w:val="000000" w:themeColor="text1"/>
          <w14:textFill>
            <w14:solidFill>
              <w14:schemeClr w14:val="tx1"/>
            </w14:solidFill>
          </w14:textFill>
        </w:rPr>
        <w:t>C</w:t>
      </w:r>
      <w:r>
        <w:rPr>
          <w:rFonts w:hint="eastAsia"/>
          <w:bCs/>
          <w:color w:val="000000" w:themeColor="text1"/>
          <w:vertAlign w:val="subscript"/>
          <w14:textFill>
            <w14:solidFill>
              <w14:schemeClr w14:val="tx1"/>
            </w14:solidFill>
          </w14:textFill>
        </w:rPr>
        <w:t>L</w:t>
      </w:r>
      <w:r>
        <w:rPr>
          <w:rFonts w:hint="eastAsia" w:ascii="宋体" w:hAnsi="宋体"/>
          <w:bCs/>
          <w:color w:val="000000" w:themeColor="text1"/>
          <w14:textFill>
            <w14:solidFill>
              <w14:schemeClr w14:val="tx1"/>
            </w14:solidFill>
          </w14:textFill>
        </w:rPr>
        <w:t>—石油化工品装船作业挥发源强</w:t>
      </w:r>
      <w:r>
        <w:rPr>
          <w:rFonts w:hint="eastAsia"/>
          <w:bCs/>
          <w:color w:val="000000" w:themeColor="text1"/>
          <w14:textFill>
            <w14:solidFill>
              <w14:schemeClr w14:val="tx1"/>
            </w14:solidFill>
          </w14:textFill>
        </w:rPr>
        <w:t>(kg/h)</w:t>
      </w:r>
      <w:r>
        <w:rPr>
          <w:rFonts w:hint="eastAsia" w:ascii="宋体" w:hAnsi="宋体"/>
          <w:bCs/>
          <w:color w:val="000000" w:themeColor="text1"/>
          <w14:textFill>
            <w14:solidFill>
              <w14:schemeClr w14:val="tx1"/>
            </w14:solidFill>
          </w14:textFill>
        </w:rPr>
        <w:t>；</w:t>
      </w:r>
    </w:p>
    <w:p w14:paraId="381E6929">
      <w:pPr>
        <w:autoSpaceDE w:val="0"/>
        <w:ind w:firstLine="720" w:firstLineChars="300"/>
        <w:rPr>
          <w:rFonts w:hint="eastAsia"/>
          <w:bCs/>
          <w:color w:val="000000" w:themeColor="text1"/>
          <w14:textFill>
            <w14:solidFill>
              <w14:schemeClr w14:val="tx1"/>
            </w14:solidFill>
          </w14:textFill>
        </w:rPr>
      </w:pPr>
      <w:r>
        <w:rPr>
          <w:rFonts w:hint="eastAsia"/>
          <w:bCs/>
          <w:color w:val="000000" w:themeColor="text1"/>
          <w14:textFill>
            <w14:solidFill>
              <w14:schemeClr w14:val="tx1"/>
            </w14:solidFill>
          </w14:textFill>
        </w:rPr>
        <w:t>S</w:t>
      </w:r>
      <w:r>
        <w:rPr>
          <w:rFonts w:hint="eastAsia" w:ascii="宋体" w:hAnsi="宋体"/>
          <w:bCs/>
          <w:color w:val="000000" w:themeColor="text1"/>
          <w14:textFill>
            <w14:solidFill>
              <w14:schemeClr w14:val="tx1"/>
            </w14:solidFill>
          </w14:textFill>
        </w:rPr>
        <w:t>—饱和因子，本次评价取淹没装载轮船</w:t>
      </w:r>
      <w:r>
        <w:rPr>
          <w:rFonts w:hint="eastAsia"/>
          <w:bCs/>
          <w:color w:val="000000" w:themeColor="text1"/>
          <w14:textFill>
            <w14:solidFill>
              <w14:schemeClr w14:val="tx1"/>
            </w14:solidFill>
          </w14:textFill>
        </w:rPr>
        <w:t>0.2</w:t>
      </w:r>
      <w:r>
        <w:rPr>
          <w:rFonts w:hint="eastAsia" w:ascii="宋体" w:hAnsi="宋体"/>
          <w:bCs/>
          <w:color w:val="000000" w:themeColor="text1"/>
          <w14:textFill>
            <w14:solidFill>
              <w14:schemeClr w14:val="tx1"/>
            </w14:solidFill>
          </w14:textFill>
        </w:rPr>
        <w:t>；</w:t>
      </w:r>
    </w:p>
    <w:p w14:paraId="3D7CB057">
      <w:pPr>
        <w:autoSpaceDE w:val="0"/>
        <w:ind w:firstLine="720" w:firstLineChars="300"/>
        <w:rPr>
          <w:rFonts w:hint="eastAsia"/>
          <w:bCs/>
          <w:color w:val="000000" w:themeColor="text1"/>
          <w14:textFill>
            <w14:solidFill>
              <w14:schemeClr w14:val="tx1"/>
            </w14:solidFill>
          </w14:textFill>
        </w:rPr>
      </w:pPr>
      <w:r>
        <w:rPr>
          <w:rFonts w:hint="eastAsia"/>
          <w:bCs/>
          <w:color w:val="000000" w:themeColor="text1"/>
          <w14:textFill>
            <w14:solidFill>
              <w14:schemeClr w14:val="tx1"/>
            </w14:solidFill>
          </w14:textFill>
        </w:rPr>
        <w:t>P</w:t>
      </w:r>
      <w:r>
        <w:rPr>
          <w:rFonts w:hint="eastAsia" w:ascii="宋体" w:hAnsi="宋体"/>
          <w:bCs/>
          <w:color w:val="000000" w:themeColor="text1"/>
          <w14:textFill>
            <w14:solidFill>
              <w14:schemeClr w14:val="tx1"/>
            </w14:solidFill>
          </w14:textFill>
        </w:rPr>
        <w:t>—温度</w:t>
      </w:r>
      <w:r>
        <w:rPr>
          <w:rFonts w:hint="eastAsia"/>
          <w:bCs/>
          <w:color w:val="000000" w:themeColor="text1"/>
          <w14:textFill>
            <w14:solidFill>
              <w14:schemeClr w14:val="tx1"/>
            </w14:solidFill>
          </w14:textFill>
        </w:rPr>
        <w:t>T</w:t>
      </w:r>
      <w:r>
        <w:rPr>
          <w:rFonts w:hint="eastAsia" w:ascii="宋体" w:hAnsi="宋体"/>
          <w:bCs/>
          <w:color w:val="000000" w:themeColor="text1"/>
          <w14:textFill>
            <w14:solidFill>
              <w14:schemeClr w14:val="tx1"/>
            </w14:solidFill>
          </w14:textFill>
        </w:rPr>
        <w:t>时装载化工品的饱和蒸气压</w:t>
      </w:r>
      <w:r>
        <w:rPr>
          <w:rFonts w:hint="eastAsia"/>
          <w:bCs/>
          <w:color w:val="000000" w:themeColor="text1"/>
          <w14:textFill>
            <w14:solidFill>
              <w14:schemeClr w14:val="tx1"/>
            </w14:solidFill>
          </w14:textFill>
        </w:rPr>
        <w:t>(kPa)</w:t>
      </w:r>
      <w:r>
        <w:rPr>
          <w:rFonts w:hint="eastAsia" w:ascii="宋体" w:hAnsi="宋体"/>
          <w:bCs/>
          <w:color w:val="000000" w:themeColor="text1"/>
          <w14:textFill>
            <w14:solidFill>
              <w14:schemeClr w14:val="tx1"/>
            </w14:solidFill>
          </w14:textFill>
        </w:rPr>
        <w:t>；</w:t>
      </w:r>
    </w:p>
    <w:p w14:paraId="70D85A35">
      <w:pPr>
        <w:autoSpaceDE w:val="0"/>
        <w:ind w:firstLine="720" w:firstLineChars="300"/>
        <w:rPr>
          <w:rFonts w:hint="eastAsia"/>
          <w:bCs/>
          <w:color w:val="000000" w:themeColor="text1"/>
          <w14:textFill>
            <w14:solidFill>
              <w14:schemeClr w14:val="tx1"/>
            </w14:solidFill>
          </w14:textFill>
        </w:rPr>
      </w:pPr>
      <w:r>
        <w:rPr>
          <w:rFonts w:hint="eastAsia"/>
          <w:bCs/>
          <w:color w:val="000000" w:themeColor="text1"/>
          <w14:textFill>
            <w14:solidFill>
              <w14:schemeClr w14:val="tx1"/>
            </w14:solidFill>
          </w14:textFill>
        </w:rPr>
        <w:t>M</w:t>
      </w:r>
      <w:r>
        <w:rPr>
          <w:rFonts w:hint="eastAsia" w:ascii="宋体" w:hAnsi="宋体"/>
          <w:bCs/>
          <w:color w:val="000000" w:themeColor="text1"/>
          <w14:textFill>
            <w14:solidFill>
              <w14:schemeClr w14:val="tx1"/>
            </w14:solidFill>
          </w14:textFill>
        </w:rPr>
        <w:t>—石油化工品分子量；</w:t>
      </w:r>
    </w:p>
    <w:p w14:paraId="150DB5BF">
      <w:pPr>
        <w:autoSpaceDE w:val="0"/>
        <w:ind w:firstLine="720" w:firstLineChars="300"/>
        <w:rPr>
          <w:rFonts w:hint="eastAsia"/>
          <w:bCs/>
          <w:color w:val="000000" w:themeColor="text1"/>
          <w14:textFill>
            <w14:solidFill>
              <w14:schemeClr w14:val="tx1"/>
            </w14:solidFill>
          </w14:textFill>
        </w:rPr>
      </w:pPr>
      <w:r>
        <w:rPr>
          <w:rFonts w:hint="eastAsia"/>
          <w:bCs/>
          <w:color w:val="000000" w:themeColor="text1"/>
          <w14:textFill>
            <w14:solidFill>
              <w14:schemeClr w14:val="tx1"/>
            </w14:solidFill>
          </w14:textFill>
        </w:rPr>
        <w:t>V</w:t>
      </w:r>
      <w:r>
        <w:rPr>
          <w:rFonts w:hint="eastAsia"/>
          <w:bCs/>
          <w:color w:val="000000" w:themeColor="text1"/>
          <w:vertAlign w:val="subscript"/>
          <w14:textFill>
            <w14:solidFill>
              <w14:schemeClr w14:val="tx1"/>
            </w14:solidFill>
          </w14:textFill>
        </w:rPr>
        <w:t>i</w:t>
      </w:r>
      <w:r>
        <w:rPr>
          <w:rFonts w:hint="eastAsia" w:ascii="宋体" w:hAnsi="宋体"/>
          <w:bCs/>
          <w:color w:val="000000" w:themeColor="text1"/>
          <w14:textFill>
            <w14:solidFill>
              <w14:schemeClr w14:val="tx1"/>
            </w14:solidFill>
          </w14:textFill>
        </w:rPr>
        <w:t>—装船速度</w:t>
      </w:r>
      <w:r>
        <w:rPr>
          <w:rFonts w:hint="eastAsia"/>
          <w:bCs/>
          <w:color w:val="000000" w:themeColor="text1"/>
          <w14:textFill>
            <w14:solidFill>
              <w14:schemeClr w14:val="tx1"/>
            </w14:solidFill>
          </w14:textFill>
        </w:rPr>
        <w:t>(m</w:t>
      </w:r>
      <w:r>
        <w:rPr>
          <w:rFonts w:hint="eastAsia"/>
          <w:bCs/>
          <w:color w:val="000000" w:themeColor="text1"/>
          <w:vertAlign w:val="superscript"/>
          <w14:textFill>
            <w14:solidFill>
              <w14:schemeClr w14:val="tx1"/>
            </w14:solidFill>
          </w14:textFill>
        </w:rPr>
        <w:t>3</w:t>
      </w:r>
      <w:r>
        <w:rPr>
          <w:rFonts w:hint="eastAsia"/>
          <w:bCs/>
          <w:color w:val="000000" w:themeColor="text1"/>
          <w14:textFill>
            <w14:solidFill>
              <w14:schemeClr w14:val="tx1"/>
            </w14:solidFill>
          </w14:textFill>
        </w:rPr>
        <w:t>/h)</w:t>
      </w:r>
      <w:r>
        <w:rPr>
          <w:rFonts w:hint="eastAsia" w:ascii="宋体" w:hAnsi="宋体"/>
          <w:bCs/>
          <w:color w:val="000000" w:themeColor="text1"/>
          <w14:textFill>
            <w14:solidFill>
              <w14:schemeClr w14:val="tx1"/>
            </w14:solidFill>
          </w14:textFill>
        </w:rPr>
        <w:t>；</w:t>
      </w:r>
    </w:p>
    <w:p w14:paraId="5B5765BF">
      <w:pPr>
        <w:autoSpaceDE w:val="0"/>
        <w:ind w:firstLine="720" w:firstLineChars="300"/>
        <w:rPr>
          <w:rFonts w:hint="eastAsia"/>
          <w:bCs/>
          <w:color w:val="000000" w:themeColor="text1"/>
          <w14:textFill>
            <w14:solidFill>
              <w14:schemeClr w14:val="tx1"/>
            </w14:solidFill>
          </w14:textFill>
        </w:rPr>
      </w:pPr>
      <w:r>
        <w:rPr>
          <w:rFonts w:hint="eastAsia"/>
          <w:bCs/>
          <w:color w:val="000000" w:themeColor="text1"/>
          <w14:textFill>
            <w14:solidFill>
              <w14:schemeClr w14:val="tx1"/>
            </w14:solidFill>
          </w14:textFill>
        </w:rPr>
        <w:t>eff</w:t>
      </w:r>
      <w:r>
        <w:rPr>
          <w:rFonts w:hint="eastAsia" w:ascii="宋体" w:hAnsi="宋体"/>
          <w:bCs/>
          <w:color w:val="000000" w:themeColor="text1"/>
          <w14:textFill>
            <w14:solidFill>
              <w14:schemeClr w14:val="tx1"/>
            </w14:solidFill>
          </w14:textFill>
        </w:rPr>
        <w:t>—回收率；</w:t>
      </w:r>
    </w:p>
    <w:p w14:paraId="1893D6C4">
      <w:pPr>
        <w:autoSpaceDE w:val="0"/>
        <w:ind w:firstLine="720" w:firstLineChars="300"/>
        <w:rPr>
          <w:rFonts w:hint="eastAsia"/>
          <w:bCs/>
          <w:color w:val="000000" w:themeColor="text1"/>
          <w14:textFill>
            <w14:solidFill>
              <w14:schemeClr w14:val="tx1"/>
            </w14:solidFill>
          </w14:textFill>
        </w:rPr>
      </w:pPr>
      <w:r>
        <w:rPr>
          <w:rFonts w:hint="eastAsia"/>
          <w:bCs/>
          <w:color w:val="000000" w:themeColor="text1"/>
          <w14:textFill>
            <w14:solidFill>
              <w14:schemeClr w14:val="tx1"/>
            </w14:solidFill>
          </w14:textFill>
        </w:rPr>
        <w:t>T</w:t>
      </w:r>
      <w:r>
        <w:rPr>
          <w:rFonts w:hint="eastAsia" w:ascii="宋体" w:hAnsi="宋体"/>
          <w:bCs/>
          <w:color w:val="000000" w:themeColor="text1"/>
          <w14:textFill>
            <w14:solidFill>
              <w14:schemeClr w14:val="tx1"/>
            </w14:solidFill>
          </w14:textFill>
        </w:rPr>
        <w:t>—蒸气温度</w:t>
      </w:r>
      <w:r>
        <w:rPr>
          <w:rFonts w:hint="eastAsia"/>
          <w:bCs/>
          <w:color w:val="000000" w:themeColor="text1"/>
          <w14:textFill>
            <w14:solidFill>
              <w14:schemeClr w14:val="tx1"/>
            </w14:solidFill>
          </w14:textFill>
        </w:rPr>
        <w:t>(</w:t>
      </w:r>
      <w:r>
        <w:rPr>
          <w:rFonts w:hint="eastAsia" w:ascii="宋体" w:hAnsi="宋体"/>
          <w:bCs/>
          <w:color w:val="000000" w:themeColor="text1"/>
          <w14:textFill>
            <w14:solidFill>
              <w14:schemeClr w14:val="tx1"/>
            </w14:solidFill>
          </w14:textFill>
        </w:rPr>
        <w:t>℃</w:t>
      </w:r>
      <w:r>
        <w:rPr>
          <w:rFonts w:hint="eastAsia"/>
          <w:bCs/>
          <w:color w:val="000000" w:themeColor="text1"/>
          <w14:textFill>
            <w14:solidFill>
              <w14:schemeClr w14:val="tx1"/>
            </w14:solidFill>
          </w14:textFill>
        </w:rPr>
        <w:t>)</w:t>
      </w:r>
      <w:r>
        <w:rPr>
          <w:rFonts w:hint="eastAsia" w:ascii="宋体" w:hAnsi="宋体"/>
          <w:bCs/>
          <w:color w:val="000000" w:themeColor="text1"/>
          <w14:textFill>
            <w14:solidFill>
              <w14:schemeClr w14:val="tx1"/>
            </w14:solidFill>
          </w14:textFill>
        </w:rPr>
        <w:t>。</w:t>
      </w:r>
    </w:p>
    <w:p w14:paraId="1501AD13">
      <w:pPr>
        <w:widowControl/>
        <w:ind w:firstLine="480"/>
        <w:jc w:val="left"/>
        <w:rPr>
          <w:rFonts w:hint="eastAsia" w:ascii="宋体" w:hAnsi="宋体" w:cs="瀹嬩綋"/>
          <w:color w:val="000000" w:themeColor="text1"/>
          <w14:textFill>
            <w14:solidFill>
              <w14:schemeClr w14:val="tx1"/>
            </w14:solidFill>
          </w14:textFill>
        </w:rPr>
      </w:pPr>
      <w:r>
        <w:rPr>
          <w:rFonts w:ascii="宋体" w:hAnsi="宋体" w:cs="瀹嬩綋"/>
          <w:color w:val="000000" w:themeColor="text1"/>
          <w14:textFill>
            <w14:solidFill>
              <w14:schemeClr w14:val="tx1"/>
            </w14:solidFill>
          </w14:textFill>
        </w:rPr>
        <w:t>根据货种运量</w:t>
      </w:r>
      <w:r>
        <w:rPr>
          <w:rFonts w:hint="eastAsia" w:ascii="宋体" w:hAnsi="宋体" w:cs="瀹嬩綋"/>
          <w:color w:val="000000" w:themeColor="text1"/>
          <w14:textFill>
            <w14:solidFill>
              <w14:schemeClr w14:val="tx1"/>
            </w14:solidFill>
          </w14:textFill>
        </w:rPr>
        <w:t>情况</w:t>
      </w:r>
      <w:r>
        <w:rPr>
          <w:rFonts w:ascii="宋体" w:hAnsi="宋体" w:cs="瀹嬩綋"/>
          <w:color w:val="000000" w:themeColor="text1"/>
          <w14:textFill>
            <w14:solidFill>
              <w14:schemeClr w14:val="tx1"/>
            </w14:solidFill>
          </w14:textFill>
        </w:rPr>
        <w:t>，</w:t>
      </w:r>
      <w:r>
        <w:rPr>
          <w:rFonts w:hint="eastAsia" w:ascii="宋体" w:hAnsi="宋体" w:cs="瀹嬩綋"/>
          <w:color w:val="000000" w:themeColor="text1"/>
          <w14:textFill>
            <w14:solidFill>
              <w14:schemeClr w14:val="tx1"/>
            </w14:solidFill>
          </w14:textFill>
        </w:rPr>
        <w:t>扩建项目装船废气</w:t>
      </w:r>
      <w:r>
        <w:rPr>
          <w:rFonts w:ascii="宋体" w:hAnsi="宋体" w:cs="瀹嬩綋"/>
          <w:color w:val="000000" w:themeColor="text1"/>
          <w14:textFill>
            <w14:solidFill>
              <w14:schemeClr w14:val="tx1"/>
            </w14:solidFill>
          </w14:textFill>
        </w:rPr>
        <w:t>排放量详见表</w:t>
      </w:r>
      <w:r>
        <w:rPr>
          <w:rFonts w:hint="eastAsia"/>
          <w:color w:val="000000" w:themeColor="text1"/>
          <w14:textFill>
            <w14:solidFill>
              <w14:schemeClr w14:val="tx1"/>
            </w14:solidFill>
          </w14:textFill>
        </w:rPr>
        <w:t>2.3-9</w:t>
      </w:r>
      <w:r>
        <w:rPr>
          <w:rFonts w:ascii="宋体" w:hAnsi="宋体" w:cs="瀹嬩綋"/>
          <w:color w:val="000000" w:themeColor="text1"/>
          <w14:textFill>
            <w14:solidFill>
              <w14:schemeClr w14:val="tx1"/>
            </w14:solidFill>
          </w14:textFill>
        </w:rPr>
        <w:t>。</w:t>
      </w:r>
    </w:p>
    <w:p w14:paraId="028A8BDA">
      <w:pPr>
        <w:pStyle w:val="7"/>
        <w:rPr>
          <w:color w:val="000000" w:themeColor="text1"/>
          <w14:textFill>
            <w14:solidFill>
              <w14:schemeClr w14:val="tx1"/>
            </w14:solidFill>
          </w14:textFill>
        </w:rPr>
      </w:pPr>
      <w:r>
        <w:rPr>
          <w:rFonts w:hint="eastAsia"/>
          <w:color w:val="000000" w:themeColor="text1"/>
          <w14:textFill>
            <w14:solidFill>
              <w14:schemeClr w14:val="tx1"/>
            </w14:solidFill>
          </w14:textFill>
        </w:rPr>
        <w:t>扩建项目装船废气</w:t>
      </w:r>
      <w:r>
        <w:rPr>
          <w:color w:val="000000" w:themeColor="text1"/>
          <w14:textFill>
            <w14:solidFill>
              <w14:schemeClr w14:val="tx1"/>
            </w14:solidFill>
          </w14:textFill>
        </w:rPr>
        <w:t>排放量</w:t>
      </w:r>
    </w:p>
    <w:tbl>
      <w:tblPr>
        <w:tblStyle w:val="43"/>
        <w:tblW w:w="5044"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0" w:type="dxa"/>
          <w:bottom w:w="0" w:type="dxa"/>
          <w:right w:w="0" w:type="dxa"/>
        </w:tblCellMar>
      </w:tblPr>
      <w:tblGrid>
        <w:gridCol w:w="601"/>
        <w:gridCol w:w="839"/>
        <w:gridCol w:w="662"/>
        <w:gridCol w:w="794"/>
        <w:gridCol w:w="762"/>
        <w:gridCol w:w="838"/>
        <w:gridCol w:w="669"/>
        <w:gridCol w:w="793"/>
        <w:gridCol w:w="1752"/>
        <w:gridCol w:w="699"/>
      </w:tblGrid>
      <w:tr w14:paraId="55AFE3A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jc w:val="center"/>
        </w:trPr>
        <w:tc>
          <w:tcPr>
            <w:tcW w:w="601" w:type="dxa"/>
            <w:vAlign w:val="center"/>
          </w:tcPr>
          <w:p w14:paraId="0651DFB6">
            <w:pPr>
              <w:autoSpaceDE w:val="0"/>
              <w:adjustRightInd w:val="0"/>
              <w:snapToGrid w:val="0"/>
              <w:spacing w:line="240" w:lineRule="exact"/>
              <w:ind w:firstLine="0" w:firstLineChars="0"/>
              <w:rPr>
                <w:color w:val="000000" w:themeColor="text1"/>
                <w:kern w:val="0"/>
                <w:sz w:val="21"/>
                <w:szCs w:val="21"/>
                <w14:textFill>
                  <w14:solidFill>
                    <w14:schemeClr w14:val="tx1"/>
                  </w14:solidFill>
                </w14:textFill>
              </w:rPr>
            </w:pPr>
            <w:r>
              <w:rPr>
                <w:rFonts w:hint="eastAsia" w:ascii="宋体" w:hAnsi="宋体"/>
                <w:color w:val="000000" w:themeColor="text1"/>
                <w:kern w:val="0"/>
                <w:sz w:val="21"/>
                <w:szCs w:val="21"/>
                <w14:textFill>
                  <w14:solidFill>
                    <w14:schemeClr w14:val="tx1"/>
                  </w14:solidFill>
                </w14:textFill>
              </w:rPr>
              <w:t>货种</w:t>
            </w:r>
          </w:p>
        </w:tc>
        <w:tc>
          <w:tcPr>
            <w:tcW w:w="839" w:type="dxa"/>
            <w:vAlign w:val="center"/>
          </w:tcPr>
          <w:p w14:paraId="7386B0C7">
            <w:pPr>
              <w:autoSpaceDE w:val="0"/>
              <w:adjustRightInd w:val="0"/>
              <w:snapToGrid w:val="0"/>
              <w:spacing w:line="240" w:lineRule="exact"/>
              <w:ind w:firstLine="0" w:firstLineChars="0"/>
              <w:jc w:val="center"/>
              <w:rPr>
                <w:color w:val="000000" w:themeColor="text1"/>
                <w:kern w:val="0"/>
                <w:sz w:val="21"/>
                <w:szCs w:val="21"/>
                <w14:textFill>
                  <w14:solidFill>
                    <w14:schemeClr w14:val="tx1"/>
                  </w14:solidFill>
                </w14:textFill>
              </w:rPr>
            </w:pPr>
            <w:r>
              <w:rPr>
                <w:rFonts w:hint="eastAsia" w:ascii="宋体" w:hAnsi="宋体"/>
                <w:bCs/>
                <w:color w:val="000000" w:themeColor="text1"/>
                <w:kern w:val="0"/>
                <w:sz w:val="21"/>
                <w:szCs w:val="21"/>
                <w14:textFill>
                  <w14:solidFill>
                    <w14:schemeClr w14:val="tx1"/>
                  </w14:solidFill>
                </w14:textFill>
              </w:rPr>
              <w:t>饱和蒸气压</w:t>
            </w:r>
            <w:r>
              <w:rPr>
                <w:rFonts w:hint="eastAsia"/>
                <w:color w:val="000000" w:themeColor="text1"/>
                <w:kern w:val="0"/>
                <w:sz w:val="21"/>
                <w:szCs w:val="21"/>
                <w14:textFill>
                  <w14:solidFill>
                    <w14:schemeClr w14:val="tx1"/>
                  </w14:solidFill>
                </w14:textFill>
              </w:rPr>
              <w:t>P</w:t>
            </w:r>
            <w:r>
              <w:rPr>
                <w:rFonts w:hint="eastAsia" w:ascii="宋体" w:hAnsi="宋体"/>
                <w:color w:val="000000" w:themeColor="text1"/>
                <w:kern w:val="0"/>
                <w:sz w:val="21"/>
                <w:szCs w:val="21"/>
                <w14:textFill>
                  <w14:solidFill>
                    <w14:schemeClr w14:val="tx1"/>
                  </w14:solidFill>
                </w14:textFill>
              </w:rPr>
              <w:t>（</w:t>
            </w:r>
            <w:r>
              <w:rPr>
                <w:rFonts w:hint="eastAsia"/>
                <w:bCs/>
                <w:color w:val="000000" w:themeColor="text1"/>
                <w:kern w:val="0"/>
                <w:sz w:val="21"/>
                <w:szCs w:val="21"/>
                <w14:textFill>
                  <w14:solidFill>
                    <w14:schemeClr w14:val="tx1"/>
                  </w14:solidFill>
                </w14:textFill>
              </w:rPr>
              <w:t>kPa</w:t>
            </w:r>
            <w:r>
              <w:rPr>
                <w:rFonts w:hint="eastAsia" w:ascii="宋体" w:hAnsi="宋体"/>
                <w:color w:val="000000" w:themeColor="text1"/>
                <w:kern w:val="0"/>
                <w:sz w:val="21"/>
                <w:szCs w:val="21"/>
                <w14:textFill>
                  <w14:solidFill>
                    <w14:schemeClr w14:val="tx1"/>
                  </w14:solidFill>
                </w14:textFill>
              </w:rPr>
              <w:t>）</w:t>
            </w:r>
          </w:p>
        </w:tc>
        <w:tc>
          <w:tcPr>
            <w:tcW w:w="662" w:type="dxa"/>
            <w:vAlign w:val="center"/>
          </w:tcPr>
          <w:p w14:paraId="2B844017">
            <w:pPr>
              <w:autoSpaceDE w:val="0"/>
              <w:adjustRightInd w:val="0"/>
              <w:snapToGrid w:val="0"/>
              <w:spacing w:line="240" w:lineRule="exact"/>
              <w:ind w:firstLine="0" w:firstLineChars="0"/>
              <w:jc w:val="center"/>
              <w:rPr>
                <w:color w:val="000000" w:themeColor="text1"/>
                <w:kern w:val="0"/>
                <w:sz w:val="21"/>
                <w:szCs w:val="21"/>
                <w14:textFill>
                  <w14:solidFill>
                    <w14:schemeClr w14:val="tx1"/>
                  </w14:solidFill>
                </w14:textFill>
              </w:rPr>
            </w:pPr>
            <w:r>
              <w:rPr>
                <w:rFonts w:hint="eastAsia" w:ascii="宋体" w:hAnsi="宋体"/>
                <w:bCs/>
                <w:color w:val="000000" w:themeColor="text1"/>
                <w:kern w:val="0"/>
                <w:sz w:val="21"/>
                <w:szCs w:val="21"/>
                <w14:textFill>
                  <w14:solidFill>
                    <w14:schemeClr w14:val="tx1"/>
                  </w14:solidFill>
                </w14:textFill>
              </w:rPr>
              <w:t>分子量</w:t>
            </w:r>
            <w:r>
              <w:rPr>
                <w:rFonts w:hint="eastAsia"/>
                <w:bCs/>
                <w:color w:val="000000" w:themeColor="text1"/>
                <w:kern w:val="0"/>
                <w:sz w:val="21"/>
                <w:szCs w:val="21"/>
                <w14:textFill>
                  <w14:solidFill>
                    <w14:schemeClr w14:val="tx1"/>
                  </w14:solidFill>
                </w14:textFill>
              </w:rPr>
              <w:t>M</w:t>
            </w:r>
          </w:p>
        </w:tc>
        <w:tc>
          <w:tcPr>
            <w:tcW w:w="794" w:type="dxa"/>
            <w:vAlign w:val="center"/>
          </w:tcPr>
          <w:p w14:paraId="1BED389F">
            <w:pPr>
              <w:autoSpaceDE w:val="0"/>
              <w:adjustRightInd w:val="0"/>
              <w:snapToGrid w:val="0"/>
              <w:spacing w:line="240" w:lineRule="exact"/>
              <w:ind w:firstLine="0" w:firstLineChars="0"/>
              <w:jc w:val="center"/>
              <w:rPr>
                <w:color w:val="000000" w:themeColor="text1"/>
                <w:kern w:val="0"/>
                <w:sz w:val="21"/>
                <w:szCs w:val="21"/>
                <w14:textFill>
                  <w14:solidFill>
                    <w14:schemeClr w14:val="tx1"/>
                  </w14:solidFill>
                </w14:textFill>
              </w:rPr>
            </w:pPr>
            <w:r>
              <w:rPr>
                <w:rFonts w:ascii="宋体" w:hAnsi="宋体"/>
                <w:color w:val="000000" w:themeColor="text1"/>
                <w:kern w:val="0"/>
                <w:sz w:val="21"/>
                <w:szCs w:val="21"/>
                <w14:textFill>
                  <w14:solidFill>
                    <w14:schemeClr w14:val="tx1"/>
                  </w14:solidFill>
                </w14:textFill>
              </w:rPr>
              <w:t>装船速度</w:t>
            </w:r>
            <w:r>
              <w:rPr>
                <w:color w:val="000000" w:themeColor="text1"/>
                <w:kern w:val="0"/>
                <w:sz w:val="21"/>
                <w:szCs w:val="21"/>
                <w14:textFill>
                  <w14:solidFill>
                    <w14:schemeClr w14:val="tx1"/>
                  </w14:solidFill>
                </w14:textFill>
              </w:rPr>
              <w:t>(m</w:t>
            </w:r>
            <w:r>
              <w:rPr>
                <w:color w:val="000000" w:themeColor="text1"/>
                <w:kern w:val="0"/>
                <w:sz w:val="21"/>
                <w:szCs w:val="21"/>
                <w:vertAlign w:val="superscript"/>
                <w14:textFill>
                  <w14:solidFill>
                    <w14:schemeClr w14:val="tx1"/>
                  </w14:solidFill>
                </w14:textFill>
              </w:rPr>
              <w:t>3</w:t>
            </w:r>
            <w:r>
              <w:rPr>
                <w:color w:val="000000" w:themeColor="text1"/>
                <w:kern w:val="0"/>
                <w:sz w:val="21"/>
                <w:szCs w:val="21"/>
                <w14:textFill>
                  <w14:solidFill>
                    <w14:schemeClr w14:val="tx1"/>
                  </w14:solidFill>
                </w14:textFill>
              </w:rPr>
              <w:t>/h)</w:t>
            </w:r>
          </w:p>
        </w:tc>
        <w:tc>
          <w:tcPr>
            <w:tcW w:w="762" w:type="dxa"/>
            <w:vAlign w:val="center"/>
          </w:tcPr>
          <w:p w14:paraId="50CA75FD">
            <w:pPr>
              <w:autoSpaceDE w:val="0"/>
              <w:adjustRightInd w:val="0"/>
              <w:snapToGrid w:val="0"/>
              <w:spacing w:line="240" w:lineRule="exact"/>
              <w:ind w:firstLine="0" w:firstLineChars="0"/>
              <w:jc w:val="center"/>
              <w:rPr>
                <w:color w:val="000000" w:themeColor="text1"/>
                <w:kern w:val="0"/>
                <w:sz w:val="21"/>
                <w:szCs w:val="21"/>
                <w14:textFill>
                  <w14:solidFill>
                    <w14:schemeClr w14:val="tx1"/>
                  </w14:solidFill>
                </w14:textFill>
              </w:rPr>
            </w:pPr>
            <w:r>
              <w:rPr>
                <w:rFonts w:hint="eastAsia" w:ascii="宋体" w:hAnsi="宋体"/>
                <w:bCs/>
                <w:color w:val="000000" w:themeColor="text1"/>
                <w:kern w:val="0"/>
                <w:sz w:val="21"/>
                <w:szCs w:val="21"/>
                <w14:textFill>
                  <w14:solidFill>
                    <w14:schemeClr w14:val="tx1"/>
                  </w14:solidFill>
                </w14:textFill>
              </w:rPr>
              <w:t>蒸气温度</w:t>
            </w:r>
            <w:r>
              <w:rPr>
                <w:rFonts w:hint="eastAsia"/>
                <w:bCs/>
                <w:color w:val="000000" w:themeColor="text1"/>
                <w:kern w:val="0"/>
                <w:sz w:val="21"/>
                <w:szCs w:val="21"/>
                <w14:textFill>
                  <w14:solidFill>
                    <w14:schemeClr w14:val="tx1"/>
                  </w14:solidFill>
                </w14:textFill>
              </w:rPr>
              <w:t>T(</w:t>
            </w:r>
            <w:r>
              <w:rPr>
                <w:rFonts w:hint="eastAsia" w:ascii="宋体" w:hAnsi="宋体"/>
                <w:bCs/>
                <w:color w:val="000000" w:themeColor="text1"/>
                <w:kern w:val="0"/>
                <w:sz w:val="21"/>
                <w:szCs w:val="21"/>
                <w14:textFill>
                  <w14:solidFill>
                    <w14:schemeClr w14:val="tx1"/>
                  </w14:solidFill>
                </w14:textFill>
              </w:rPr>
              <w:t>℃</w:t>
            </w:r>
            <w:r>
              <w:rPr>
                <w:rFonts w:hint="eastAsia"/>
                <w:bCs/>
                <w:color w:val="000000" w:themeColor="text1"/>
                <w:kern w:val="0"/>
                <w:sz w:val="21"/>
                <w:szCs w:val="21"/>
                <w14:textFill>
                  <w14:solidFill>
                    <w14:schemeClr w14:val="tx1"/>
                  </w14:solidFill>
                </w14:textFill>
              </w:rPr>
              <w:t>)</w:t>
            </w:r>
          </w:p>
        </w:tc>
        <w:tc>
          <w:tcPr>
            <w:tcW w:w="838" w:type="dxa"/>
            <w:vAlign w:val="center"/>
          </w:tcPr>
          <w:p w14:paraId="1F91EA7B">
            <w:pPr>
              <w:autoSpaceDE w:val="0"/>
              <w:adjustRightInd w:val="0"/>
              <w:snapToGrid w:val="0"/>
              <w:spacing w:line="240" w:lineRule="exact"/>
              <w:ind w:firstLine="0" w:firstLineChars="0"/>
              <w:jc w:val="center"/>
              <w:rPr>
                <w:color w:val="000000" w:themeColor="text1"/>
                <w:kern w:val="0"/>
                <w:sz w:val="21"/>
                <w:szCs w:val="21"/>
                <w14:textFill>
                  <w14:solidFill>
                    <w14:schemeClr w14:val="tx1"/>
                  </w14:solidFill>
                </w14:textFill>
              </w:rPr>
            </w:pPr>
            <w:r>
              <w:rPr>
                <w:rFonts w:hint="eastAsia" w:ascii="宋体" w:hAnsi="宋体"/>
                <w:bCs/>
                <w:color w:val="000000" w:themeColor="text1"/>
                <w:kern w:val="0"/>
                <w:sz w:val="21"/>
                <w:szCs w:val="21"/>
                <w14:textFill>
                  <w14:solidFill>
                    <w14:schemeClr w14:val="tx1"/>
                  </w14:solidFill>
                </w14:textFill>
              </w:rPr>
              <w:t>产生速率</w:t>
            </w:r>
            <w:r>
              <w:rPr>
                <w:rFonts w:hint="eastAsia" w:ascii="宋体" w:hAnsi="宋体"/>
                <w:color w:val="000000" w:themeColor="text1"/>
                <w:kern w:val="0"/>
                <w:sz w:val="21"/>
                <w:szCs w:val="21"/>
                <w14:textFill>
                  <w14:solidFill>
                    <w14:schemeClr w14:val="tx1"/>
                  </w14:solidFill>
                </w14:textFill>
              </w:rPr>
              <w:t>（</w:t>
            </w:r>
            <w:r>
              <w:rPr>
                <w:rFonts w:hint="eastAsia"/>
                <w:bCs/>
                <w:color w:val="000000" w:themeColor="text1"/>
                <w:kern w:val="0"/>
                <w:sz w:val="21"/>
                <w:szCs w:val="21"/>
                <w14:textFill>
                  <w14:solidFill>
                    <w14:schemeClr w14:val="tx1"/>
                  </w14:solidFill>
                </w14:textFill>
              </w:rPr>
              <w:t>kg/h</w:t>
            </w:r>
            <w:r>
              <w:rPr>
                <w:rFonts w:hint="eastAsia" w:ascii="宋体" w:hAnsi="宋体"/>
                <w:color w:val="000000" w:themeColor="text1"/>
                <w:kern w:val="0"/>
                <w:sz w:val="21"/>
                <w:szCs w:val="21"/>
                <w14:textFill>
                  <w14:solidFill>
                    <w14:schemeClr w14:val="tx1"/>
                  </w14:solidFill>
                </w14:textFill>
              </w:rPr>
              <w:t>）</w:t>
            </w:r>
          </w:p>
        </w:tc>
        <w:tc>
          <w:tcPr>
            <w:tcW w:w="669" w:type="dxa"/>
            <w:vAlign w:val="center"/>
          </w:tcPr>
          <w:p w14:paraId="77B3DCC9">
            <w:pPr>
              <w:autoSpaceDE w:val="0"/>
              <w:adjustRightInd w:val="0"/>
              <w:snapToGrid w:val="0"/>
              <w:spacing w:line="240" w:lineRule="exact"/>
              <w:ind w:firstLine="0" w:firstLineChars="0"/>
              <w:jc w:val="center"/>
              <w:rPr>
                <w:bCs/>
                <w:color w:val="000000" w:themeColor="text1"/>
                <w:kern w:val="0"/>
                <w:sz w:val="21"/>
                <w:szCs w:val="21"/>
                <w14:textFill>
                  <w14:solidFill>
                    <w14:schemeClr w14:val="tx1"/>
                  </w14:solidFill>
                </w14:textFill>
              </w:rPr>
            </w:pPr>
            <w:r>
              <w:rPr>
                <w:rFonts w:ascii="宋体" w:hAnsi="宋体"/>
                <w:color w:val="000000" w:themeColor="text1"/>
                <w:kern w:val="0"/>
                <w:sz w:val="21"/>
                <w:szCs w:val="21"/>
                <w14:textFill>
                  <w14:solidFill>
                    <w14:schemeClr w14:val="tx1"/>
                  </w14:solidFill>
                </w14:textFill>
              </w:rPr>
              <w:t>在线时间（</w:t>
            </w:r>
            <w:r>
              <w:rPr>
                <w:color w:val="000000" w:themeColor="text1"/>
                <w:kern w:val="0"/>
                <w:sz w:val="21"/>
                <w:szCs w:val="21"/>
                <w14:textFill>
                  <w14:solidFill>
                    <w14:schemeClr w14:val="tx1"/>
                  </w14:solidFill>
                </w14:textFill>
              </w:rPr>
              <w:t>h</w:t>
            </w:r>
            <w:r>
              <w:rPr>
                <w:rFonts w:ascii="宋体" w:hAnsi="宋体"/>
                <w:color w:val="000000" w:themeColor="text1"/>
                <w:kern w:val="0"/>
                <w:sz w:val="21"/>
                <w:szCs w:val="21"/>
                <w14:textFill>
                  <w14:solidFill>
                    <w14:schemeClr w14:val="tx1"/>
                  </w14:solidFill>
                </w14:textFill>
              </w:rPr>
              <w:t>）</w:t>
            </w:r>
          </w:p>
        </w:tc>
        <w:tc>
          <w:tcPr>
            <w:tcW w:w="793" w:type="dxa"/>
            <w:vAlign w:val="center"/>
          </w:tcPr>
          <w:p w14:paraId="2DE8BD5D">
            <w:pPr>
              <w:autoSpaceDE w:val="0"/>
              <w:adjustRightInd w:val="0"/>
              <w:snapToGrid w:val="0"/>
              <w:spacing w:line="240" w:lineRule="exact"/>
              <w:ind w:firstLine="0" w:firstLineChars="0"/>
              <w:jc w:val="center"/>
              <w:rPr>
                <w:color w:val="000000" w:themeColor="text1"/>
                <w:kern w:val="0"/>
                <w:sz w:val="21"/>
                <w:szCs w:val="21"/>
                <w14:textFill>
                  <w14:solidFill>
                    <w14:schemeClr w14:val="tx1"/>
                  </w14:solidFill>
                </w14:textFill>
              </w:rPr>
            </w:pPr>
            <w:r>
              <w:rPr>
                <w:rFonts w:hint="eastAsia" w:ascii="宋体" w:hAnsi="宋体"/>
                <w:color w:val="000000" w:themeColor="text1"/>
                <w:kern w:val="0"/>
                <w:sz w:val="21"/>
                <w:szCs w:val="21"/>
                <w14:textFill>
                  <w14:solidFill>
                    <w14:schemeClr w14:val="tx1"/>
                  </w14:solidFill>
                </w14:textFill>
              </w:rPr>
              <w:t>产生量</w:t>
            </w:r>
          </w:p>
          <w:p w14:paraId="2843B5B7">
            <w:pPr>
              <w:autoSpaceDE w:val="0"/>
              <w:adjustRightInd w:val="0"/>
              <w:snapToGrid w:val="0"/>
              <w:spacing w:line="240" w:lineRule="exact"/>
              <w:ind w:firstLine="0" w:firstLineChars="0"/>
              <w:jc w:val="center"/>
              <w:rPr>
                <w:bCs/>
                <w:color w:val="000000" w:themeColor="text1"/>
                <w:kern w:val="0"/>
                <w:sz w:val="21"/>
                <w:szCs w:val="21"/>
                <w14:textFill>
                  <w14:solidFill>
                    <w14:schemeClr w14:val="tx1"/>
                  </w14:solidFill>
                </w14:textFill>
              </w:rPr>
            </w:pPr>
            <w:r>
              <w:rPr>
                <w:rFonts w:ascii="宋体" w:hAnsi="宋体"/>
                <w:color w:val="000000" w:themeColor="text1"/>
                <w:kern w:val="0"/>
                <w:sz w:val="21"/>
                <w:szCs w:val="21"/>
                <w14:textFill>
                  <w14:solidFill>
                    <w14:schemeClr w14:val="tx1"/>
                  </w14:solidFill>
                </w14:textFill>
              </w:rPr>
              <w:t>（</w:t>
            </w:r>
            <w:r>
              <w:rPr>
                <w:color w:val="000000" w:themeColor="text1"/>
                <w:kern w:val="0"/>
                <w:sz w:val="21"/>
                <w:szCs w:val="21"/>
                <w14:textFill>
                  <w14:solidFill>
                    <w14:schemeClr w14:val="tx1"/>
                  </w14:solidFill>
                </w14:textFill>
              </w:rPr>
              <w:t>kg/a</w:t>
            </w:r>
            <w:r>
              <w:rPr>
                <w:rFonts w:ascii="宋体" w:hAnsi="宋体"/>
                <w:color w:val="000000" w:themeColor="text1"/>
                <w:kern w:val="0"/>
                <w:sz w:val="21"/>
                <w:szCs w:val="21"/>
                <w14:textFill>
                  <w14:solidFill>
                    <w14:schemeClr w14:val="tx1"/>
                  </w14:solidFill>
                </w14:textFill>
              </w:rPr>
              <w:t>）</w:t>
            </w:r>
          </w:p>
        </w:tc>
        <w:tc>
          <w:tcPr>
            <w:tcW w:w="1752" w:type="dxa"/>
            <w:vAlign w:val="center"/>
          </w:tcPr>
          <w:p w14:paraId="648DC865">
            <w:pPr>
              <w:autoSpaceDE w:val="0"/>
              <w:adjustRightInd w:val="0"/>
              <w:snapToGrid w:val="0"/>
              <w:spacing w:line="240" w:lineRule="exact"/>
              <w:ind w:firstLine="0" w:firstLineChars="0"/>
              <w:jc w:val="center"/>
              <w:rPr>
                <w:color w:val="000000" w:themeColor="text1"/>
                <w:kern w:val="0"/>
                <w:sz w:val="21"/>
                <w:szCs w:val="21"/>
                <w14:textFill>
                  <w14:solidFill>
                    <w14:schemeClr w14:val="tx1"/>
                  </w14:solidFill>
                </w14:textFill>
              </w:rPr>
            </w:pPr>
            <w:r>
              <w:rPr>
                <w:rFonts w:hint="eastAsia" w:ascii="宋体" w:hAnsi="宋体"/>
                <w:color w:val="000000" w:themeColor="text1"/>
                <w:kern w:val="0"/>
                <w:sz w:val="21"/>
                <w:szCs w:val="21"/>
                <w14:textFill>
                  <w14:solidFill>
                    <w14:schemeClr w14:val="tx1"/>
                  </w14:solidFill>
                </w14:textFill>
              </w:rPr>
              <w:t>处理措施</w:t>
            </w:r>
          </w:p>
        </w:tc>
        <w:tc>
          <w:tcPr>
            <w:tcW w:w="699" w:type="dxa"/>
            <w:vAlign w:val="center"/>
          </w:tcPr>
          <w:p w14:paraId="50CAD4FB">
            <w:pPr>
              <w:autoSpaceDE w:val="0"/>
              <w:adjustRightInd w:val="0"/>
              <w:snapToGrid w:val="0"/>
              <w:spacing w:line="240" w:lineRule="exact"/>
              <w:ind w:firstLine="0" w:firstLineChars="0"/>
              <w:jc w:val="center"/>
              <w:rPr>
                <w:color w:val="000000" w:themeColor="text1"/>
                <w:kern w:val="0"/>
                <w:sz w:val="21"/>
                <w:szCs w:val="21"/>
                <w14:textFill>
                  <w14:solidFill>
                    <w14:schemeClr w14:val="tx1"/>
                  </w14:solidFill>
                </w14:textFill>
              </w:rPr>
            </w:pPr>
            <w:r>
              <w:rPr>
                <w:rFonts w:hint="eastAsia" w:ascii="宋体" w:hAnsi="宋体"/>
                <w:color w:val="000000" w:themeColor="text1"/>
                <w:kern w:val="0"/>
                <w:sz w:val="21"/>
                <w:szCs w:val="21"/>
                <w14:textFill>
                  <w14:solidFill>
                    <w14:schemeClr w14:val="tx1"/>
                  </w14:solidFill>
                </w14:textFill>
              </w:rPr>
              <w:t>排放量</w:t>
            </w:r>
            <w:r>
              <w:rPr>
                <w:rFonts w:ascii="宋体" w:hAnsi="宋体"/>
                <w:color w:val="000000" w:themeColor="text1"/>
                <w:kern w:val="0"/>
                <w:sz w:val="21"/>
                <w:szCs w:val="21"/>
                <w14:textFill>
                  <w14:solidFill>
                    <w14:schemeClr w14:val="tx1"/>
                  </w14:solidFill>
                </w14:textFill>
              </w:rPr>
              <w:t>（</w:t>
            </w:r>
            <w:r>
              <w:rPr>
                <w:color w:val="000000" w:themeColor="text1"/>
                <w:kern w:val="0"/>
                <w:sz w:val="21"/>
                <w:szCs w:val="21"/>
                <w14:textFill>
                  <w14:solidFill>
                    <w14:schemeClr w14:val="tx1"/>
                  </w14:solidFill>
                </w14:textFill>
              </w:rPr>
              <w:t>kg/a</w:t>
            </w:r>
            <w:r>
              <w:rPr>
                <w:rFonts w:ascii="宋体" w:hAnsi="宋体"/>
                <w:color w:val="000000" w:themeColor="text1"/>
                <w:kern w:val="0"/>
                <w:sz w:val="21"/>
                <w:szCs w:val="21"/>
                <w14:textFill>
                  <w14:solidFill>
                    <w14:schemeClr w14:val="tx1"/>
                  </w14:solidFill>
                </w14:textFill>
              </w:rPr>
              <w:t>）</w:t>
            </w:r>
          </w:p>
        </w:tc>
      </w:tr>
      <w:tr w14:paraId="1A80D13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jc w:val="center"/>
        </w:trPr>
        <w:tc>
          <w:tcPr>
            <w:tcW w:w="601" w:type="dxa"/>
            <w:vAlign w:val="center"/>
          </w:tcPr>
          <w:p w14:paraId="635932E8">
            <w:pPr>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VOCs</w:t>
            </w:r>
          </w:p>
        </w:tc>
        <w:tc>
          <w:tcPr>
            <w:tcW w:w="839" w:type="dxa"/>
            <w:vAlign w:val="center"/>
          </w:tcPr>
          <w:p w14:paraId="1528350B">
            <w:pPr>
              <w:autoSpaceDE w:val="0"/>
              <w:adjustRightInd w:val="0"/>
              <w:snapToGrid w:val="0"/>
              <w:spacing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0.1</w:t>
            </w:r>
          </w:p>
        </w:tc>
        <w:tc>
          <w:tcPr>
            <w:tcW w:w="662" w:type="dxa"/>
            <w:vAlign w:val="center"/>
          </w:tcPr>
          <w:p w14:paraId="7C0C85DF">
            <w:pPr>
              <w:autoSpaceDE w:val="0"/>
              <w:adjustRightInd w:val="0"/>
              <w:snapToGrid w:val="0"/>
              <w:spacing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180</w:t>
            </w:r>
          </w:p>
        </w:tc>
        <w:tc>
          <w:tcPr>
            <w:tcW w:w="794" w:type="dxa"/>
            <w:vAlign w:val="center"/>
          </w:tcPr>
          <w:p w14:paraId="7AE06F24">
            <w:pPr>
              <w:autoSpaceDE w:val="0"/>
              <w:adjustRightInd w:val="0"/>
              <w:snapToGrid w:val="0"/>
              <w:spacing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400</w:t>
            </w:r>
          </w:p>
        </w:tc>
        <w:tc>
          <w:tcPr>
            <w:tcW w:w="762" w:type="dxa"/>
            <w:vAlign w:val="center"/>
          </w:tcPr>
          <w:p w14:paraId="208B580E">
            <w:pPr>
              <w:autoSpaceDE w:val="0"/>
              <w:adjustRightInd w:val="0"/>
              <w:snapToGrid w:val="0"/>
              <w:spacing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25</w:t>
            </w:r>
          </w:p>
        </w:tc>
        <w:tc>
          <w:tcPr>
            <w:tcW w:w="838" w:type="dxa"/>
            <w:vAlign w:val="center"/>
          </w:tcPr>
          <w:p w14:paraId="4471006B">
            <w:pPr>
              <w:autoSpaceDE w:val="0"/>
              <w:adjustRightInd w:val="0"/>
              <w:snapToGrid w:val="0"/>
              <w:spacing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0.000580</w:t>
            </w:r>
          </w:p>
        </w:tc>
        <w:tc>
          <w:tcPr>
            <w:tcW w:w="669" w:type="dxa"/>
            <w:vAlign w:val="center"/>
          </w:tcPr>
          <w:p w14:paraId="12C8C467">
            <w:pPr>
              <w:autoSpaceDE w:val="0"/>
              <w:adjustRightInd w:val="0"/>
              <w:snapToGrid w:val="0"/>
              <w:spacing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425</w:t>
            </w:r>
          </w:p>
        </w:tc>
        <w:tc>
          <w:tcPr>
            <w:tcW w:w="793" w:type="dxa"/>
            <w:vAlign w:val="center"/>
          </w:tcPr>
          <w:p w14:paraId="11A5AD9D">
            <w:pPr>
              <w:autoSpaceDE w:val="0"/>
              <w:adjustRightInd w:val="0"/>
              <w:snapToGrid w:val="0"/>
              <w:spacing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0.2465</w:t>
            </w:r>
          </w:p>
        </w:tc>
        <w:tc>
          <w:tcPr>
            <w:tcW w:w="1752" w:type="dxa"/>
            <w:vAlign w:val="center"/>
          </w:tcPr>
          <w:p w14:paraId="0D287F69">
            <w:pPr>
              <w:autoSpaceDE w:val="0"/>
              <w:adjustRightInd w:val="0"/>
              <w:snapToGrid w:val="0"/>
              <w:spacing w:line="240" w:lineRule="exact"/>
              <w:ind w:firstLine="0" w:firstLineChars="0"/>
              <w:jc w:val="center"/>
              <w:rPr>
                <w:color w:val="000000" w:themeColor="text1"/>
                <w:kern w:val="0"/>
                <w:sz w:val="21"/>
                <w:szCs w:val="21"/>
                <w14:textFill>
                  <w14:solidFill>
                    <w14:schemeClr w14:val="tx1"/>
                  </w14:solidFill>
                </w14:textFill>
              </w:rPr>
            </w:pPr>
            <w:r>
              <w:rPr>
                <w:rFonts w:ascii="宋体" w:hAnsi="宋体"/>
                <w:color w:val="000000" w:themeColor="text1"/>
                <w:kern w:val="0"/>
                <w:sz w:val="21"/>
                <w:szCs w:val="21"/>
                <w14:textFill>
                  <w14:solidFill>
                    <w14:schemeClr w14:val="tx1"/>
                  </w14:solidFill>
                </w14:textFill>
              </w:rPr>
              <w:t>焚烧炉</w:t>
            </w:r>
            <w:r>
              <w:rPr>
                <w:rFonts w:hint="eastAsia" w:ascii="宋体" w:hAnsi="宋体"/>
                <w:color w:val="000000" w:themeColor="text1"/>
                <w:kern w:val="0"/>
                <w:sz w:val="21"/>
                <w:szCs w:val="21"/>
                <w14:textFill>
                  <w14:solidFill>
                    <w14:schemeClr w14:val="tx1"/>
                  </w14:solidFill>
                </w14:textFill>
              </w:rPr>
              <w:t>处理效率取</w:t>
            </w:r>
            <w:r>
              <w:rPr>
                <w:rFonts w:hint="eastAsia"/>
                <w:color w:val="000000" w:themeColor="text1"/>
                <w:kern w:val="0"/>
                <w:sz w:val="21"/>
                <w:szCs w:val="21"/>
                <w14:textFill>
                  <w14:solidFill>
                    <w14:schemeClr w14:val="tx1"/>
                  </w14:solidFill>
                </w14:textFill>
              </w:rPr>
              <w:t>95.96%</w:t>
            </w:r>
          </w:p>
        </w:tc>
        <w:tc>
          <w:tcPr>
            <w:tcW w:w="699" w:type="dxa"/>
            <w:vAlign w:val="center"/>
          </w:tcPr>
          <w:p w14:paraId="2DF9576E">
            <w:pPr>
              <w:autoSpaceDE w:val="0"/>
              <w:adjustRightInd w:val="0"/>
              <w:snapToGrid w:val="0"/>
              <w:spacing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0.001</w:t>
            </w:r>
          </w:p>
        </w:tc>
      </w:tr>
    </w:tbl>
    <w:p w14:paraId="2C5A5A2C">
      <w:pPr>
        <w:spacing w:line="240" w:lineRule="exact"/>
        <w:ind w:firstLine="0" w:firstLineChars="0"/>
        <w:jc w:val="left"/>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备注：裂解C9、工业级混合油、脂肪酸甲酯、纯生物柴油、航空煤油以</w:t>
      </w:r>
      <w:r>
        <w:rPr>
          <w:color w:val="000000" w:themeColor="text1"/>
          <w:sz w:val="18"/>
          <w:szCs w:val="18"/>
          <w14:textFill>
            <w14:solidFill>
              <w14:schemeClr w14:val="tx1"/>
            </w14:solidFill>
          </w14:textFill>
        </w:rPr>
        <w:t>VOCs表征计算。</w:t>
      </w:r>
    </w:p>
    <w:p w14:paraId="1B3EFD21">
      <w:pPr>
        <w:ind w:firstLine="4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上述排放已经纳入广西恒逸新材料有限公司年产120万吨己内酰胺—聚酰胺产业一体化及配套工程项目。</w:t>
      </w:r>
    </w:p>
    <w:p w14:paraId="4F68BEFD">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②扫线废气</w:t>
      </w:r>
    </w:p>
    <w:p w14:paraId="06FF7945">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项目主要用清管器进行扫线，通过氮气推动清管器完成扫线，扫完后氮气留在管中，下次利用输送的物料将管道内的氮气作为一个整体，平稳地推入目标储罐中。扫出氮气用于船舱密封。氮气属于空气组成部分，不属于废气，无扫线废气产生。</w:t>
      </w:r>
    </w:p>
    <w:p w14:paraId="6AD16C71">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装卸作业完毕后，打开装卸臂顶部的真空阀，外臂内的残液自流到船舱内，内臂和立柱内的残液用扫线泵抽吸到切断阀门后的相应管道内。物料为挥发性有毒介质，禁止进行外臂卸空的操作，当装卸臂全部排空、卸压后方可和船舶脱开。</w:t>
      </w:r>
    </w:p>
    <w:p w14:paraId="71F2AB06">
      <w:pPr>
        <w:widowControl/>
        <w:ind w:firstLine="482"/>
        <w:rPr>
          <w:b/>
          <w:bCs/>
          <w:color w:val="000000" w:themeColor="text1"/>
          <w14:textFill>
            <w14:solidFill>
              <w14:schemeClr w14:val="tx1"/>
            </w14:solidFill>
          </w14:textFill>
        </w:rPr>
      </w:pPr>
      <w:r>
        <w:rPr>
          <w:rFonts w:hint="eastAsia"/>
          <w:b/>
          <w:bCs/>
          <w:color w:val="000000" w:themeColor="text1"/>
          <w:kern w:val="0"/>
          <w:lang w:bidi="ar"/>
          <w14:textFill>
            <w14:solidFill>
              <w14:schemeClr w14:val="tx1"/>
            </w14:solidFill>
          </w14:textFill>
        </w:rPr>
        <w:t>2、</w:t>
      </w:r>
      <w:r>
        <w:rPr>
          <w:rFonts w:hint="eastAsia" w:cs="宋体"/>
          <w:b/>
          <w:bCs/>
          <w:color w:val="000000" w:themeColor="text1"/>
          <w:kern w:val="0"/>
          <w:lang w:bidi="ar"/>
          <w14:textFill>
            <w14:solidFill>
              <w14:schemeClr w14:val="tx1"/>
            </w14:solidFill>
          </w14:textFill>
        </w:rPr>
        <w:t>非正常工况废气</w:t>
      </w:r>
    </w:p>
    <w:p w14:paraId="29F08070">
      <w:pPr>
        <w:widowControl/>
        <w:ind w:firstLine="480"/>
        <w:rPr>
          <w:color w:val="000000" w:themeColor="text1"/>
          <w:u w:val="single"/>
          <w14:textFill>
            <w14:solidFill>
              <w14:schemeClr w14:val="tx1"/>
            </w14:solidFill>
          </w14:textFill>
        </w:rPr>
      </w:pPr>
      <w:r>
        <w:rPr>
          <w:rFonts w:hint="eastAsia" w:cs="宋体"/>
          <w:color w:val="000000" w:themeColor="text1"/>
          <w:kern w:val="0"/>
          <w:u w:val="single"/>
          <w:lang w:bidi="ar"/>
          <w14:textFill>
            <w14:solidFill>
              <w14:schemeClr w14:val="tx1"/>
            </w14:solidFill>
          </w14:textFill>
        </w:rPr>
        <w:t>根据《环境影响评价技术导则 大气环境》（</w:t>
      </w:r>
      <w:r>
        <w:rPr>
          <w:color w:val="000000" w:themeColor="text1"/>
          <w:kern w:val="0"/>
          <w:u w:val="single"/>
          <w:lang w:bidi="ar"/>
          <w14:textFill>
            <w14:solidFill>
              <w14:schemeClr w14:val="tx1"/>
            </w14:solidFill>
          </w14:textFill>
        </w:rPr>
        <w:t>HJ2.2-2018</w:t>
      </w:r>
      <w:r>
        <w:rPr>
          <w:rFonts w:hint="eastAsia" w:cs="宋体"/>
          <w:color w:val="000000" w:themeColor="text1"/>
          <w:kern w:val="0"/>
          <w:u w:val="single"/>
          <w:lang w:bidi="ar"/>
          <w14:textFill>
            <w14:solidFill>
              <w14:schemeClr w14:val="tx1"/>
            </w14:solidFill>
          </w14:textFill>
        </w:rPr>
        <w:t>），本项目非正常工况下排放废气主要是指生产过程中设备检修、工艺设备运转异常等非正常工况下的污染物排放，以及污染物排放控制措施达不到应有效率等情况下的排放。</w:t>
      </w:r>
    </w:p>
    <w:p w14:paraId="40578FFD">
      <w:pPr>
        <w:widowControl/>
        <w:ind w:firstLine="480"/>
        <w:rPr>
          <w:rFonts w:hint="eastAsia" w:eastAsia="宋体"/>
          <w:color w:val="000000" w:themeColor="text1"/>
          <w:u w:val="single"/>
          <w:lang w:val="en-US" w:eastAsia="zh-CN"/>
          <w14:textFill>
            <w14:solidFill>
              <w14:schemeClr w14:val="tx1"/>
            </w14:solidFill>
          </w14:textFill>
        </w:rPr>
      </w:pPr>
      <w:r>
        <w:rPr>
          <w:rFonts w:hint="eastAsia"/>
          <w:color w:val="000000" w:themeColor="text1"/>
          <w:u w:val="single"/>
          <w14:textFill>
            <w14:solidFill>
              <w14:schemeClr w14:val="tx1"/>
            </w14:solidFill>
          </w14:textFill>
        </w:rPr>
        <w:t>本扩建项目所在的14号泊位主要服务于码头后方</w:t>
      </w:r>
      <w:r>
        <w:rPr>
          <w:rFonts w:hint="eastAsia" w:ascii="宋体" w:hAnsi="宋体"/>
          <w:color w:val="000000" w:themeColor="text1"/>
          <w:u w:val="single"/>
          <w14:textFill>
            <w14:solidFill>
              <w14:schemeClr w14:val="tx1"/>
            </w14:solidFill>
          </w14:textFill>
        </w:rPr>
        <w:t>钦州港石化园区</w:t>
      </w:r>
      <w:r>
        <w:rPr>
          <w:rFonts w:hint="eastAsia"/>
          <w:color w:val="000000" w:themeColor="text1"/>
          <w:u w:val="single"/>
          <w14:textFill>
            <w14:solidFill>
              <w14:schemeClr w14:val="tx1"/>
            </w14:solidFill>
          </w14:textFill>
        </w:rPr>
        <w:t>，不涉及生产过程，主要功能为物料运输，本扩建项目仅设置尾气管线及接船设施，尾气处理装置均由后方企业考虑，不属于本项目建设内容。项目范围内无导则规定的</w:t>
      </w:r>
      <w:r>
        <w:rPr>
          <w:rFonts w:hint="eastAsia" w:cs="宋体"/>
          <w:color w:val="000000" w:themeColor="text1"/>
          <w:kern w:val="0"/>
          <w:u w:val="single"/>
          <w:lang w:bidi="ar"/>
          <w14:textFill>
            <w14:solidFill>
              <w14:schemeClr w14:val="tx1"/>
            </w14:solidFill>
          </w14:textFill>
        </w:rPr>
        <w:t>非正常工况情景</w:t>
      </w:r>
      <w:r>
        <w:rPr>
          <w:rFonts w:hint="eastAsia" w:cs="宋体"/>
          <w:color w:val="000000" w:themeColor="text1"/>
          <w:kern w:val="0"/>
          <w:u w:val="single"/>
          <w:lang w:eastAsia="zh-CN" w:bidi="ar"/>
          <w14:textFill>
            <w14:solidFill>
              <w14:schemeClr w14:val="tx1"/>
            </w14:solidFill>
          </w14:textFill>
        </w:rPr>
        <w:t>。</w:t>
      </w:r>
    </w:p>
    <w:p w14:paraId="7424C08A">
      <w:pPr>
        <w:widowControl/>
        <w:ind w:firstLine="482"/>
        <w:rPr>
          <w:b/>
          <w:bCs/>
          <w:color w:val="000000" w:themeColor="text1"/>
          <w14:textFill>
            <w14:solidFill>
              <w14:schemeClr w14:val="tx1"/>
            </w14:solidFill>
          </w14:textFill>
        </w:rPr>
      </w:pPr>
      <w:r>
        <w:rPr>
          <w:rFonts w:hint="eastAsia"/>
          <w:b/>
          <w:bCs/>
          <w:color w:val="000000" w:themeColor="text1"/>
          <w:kern w:val="0"/>
          <w:lang w:bidi="ar"/>
          <w14:textFill>
            <w14:solidFill>
              <w14:schemeClr w14:val="tx1"/>
            </w14:solidFill>
          </w14:textFill>
        </w:rPr>
        <w:t>3、</w:t>
      </w:r>
      <w:r>
        <w:rPr>
          <w:rFonts w:hint="eastAsia" w:cs="宋体"/>
          <w:b/>
          <w:bCs/>
          <w:color w:val="000000" w:themeColor="text1"/>
          <w:kern w:val="0"/>
          <w:lang w:bidi="ar"/>
          <w14:textFill>
            <w14:solidFill>
              <w14:schemeClr w14:val="tx1"/>
            </w14:solidFill>
          </w14:textFill>
        </w:rPr>
        <w:t>船舶废气</w:t>
      </w:r>
    </w:p>
    <w:p w14:paraId="5FB0F5FD">
      <w:pPr>
        <w:tabs>
          <w:tab w:val="left" w:pos="425"/>
        </w:tabs>
        <w:ind w:firstLine="480"/>
        <w:rPr>
          <w:color w:val="000000" w:themeColor="text1"/>
          <w14:textFill>
            <w14:solidFill>
              <w14:schemeClr w14:val="tx1"/>
            </w14:solidFill>
          </w14:textFill>
        </w:rPr>
      </w:pPr>
      <w:r>
        <w:rPr>
          <w:rFonts w:hint="eastAsia" w:cs="宋体"/>
          <w:color w:val="000000" w:themeColor="text1"/>
          <w:kern w:val="0"/>
          <w:lang w:bidi="ar"/>
          <w14:textFill>
            <w14:solidFill>
              <w14:schemeClr w14:val="tx1"/>
            </w14:solidFill>
          </w14:textFill>
        </w:rPr>
        <w:t>船舶到港停靠期间主机处于停运状态，发电机仍在工作，船舶废气主要是发电机耗油产生。</w:t>
      </w:r>
      <w:r>
        <w:rPr>
          <w:rFonts w:hint="eastAsia"/>
          <w:color w:val="000000" w:themeColor="text1"/>
          <w14:textFill>
            <w14:solidFill>
              <w14:schemeClr w14:val="tx1"/>
            </w14:solidFill>
          </w14:textFill>
        </w:rPr>
        <w:t>根据建设单位提供资料，货种运输船型，3000-10000吨级。</w:t>
      </w:r>
    </w:p>
    <w:p w14:paraId="35D350B0">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结合吞吐量，扩建项目全年新增到港船舶3000吨船舶为</w:t>
      </w:r>
      <w:r>
        <w:rPr>
          <w:color w:val="000000" w:themeColor="text1"/>
          <w14:textFill>
            <w14:solidFill>
              <w14:schemeClr w14:val="tx1"/>
            </w14:solidFill>
          </w14:textFill>
        </w:rPr>
        <w:t>60</w:t>
      </w:r>
      <w:r>
        <w:rPr>
          <w:rFonts w:hint="eastAsia"/>
          <w:color w:val="000000" w:themeColor="text1"/>
          <w14:textFill>
            <w14:solidFill>
              <w14:schemeClr w14:val="tx1"/>
            </w14:solidFill>
          </w14:textFill>
        </w:rPr>
        <w:t>艘，</w:t>
      </w:r>
      <w:r>
        <w:rPr>
          <w:color w:val="000000" w:themeColor="text1"/>
          <w14:textFill>
            <w14:solidFill>
              <w14:schemeClr w14:val="tx1"/>
            </w14:solidFill>
          </w14:textFill>
        </w:rPr>
        <w:t>10</w:t>
      </w:r>
      <w:r>
        <w:rPr>
          <w:rFonts w:hint="eastAsia"/>
          <w:color w:val="000000" w:themeColor="text1"/>
          <w14:textFill>
            <w14:solidFill>
              <w14:schemeClr w14:val="tx1"/>
            </w14:solidFill>
          </w14:textFill>
        </w:rPr>
        <w:t>000吨船舶为</w:t>
      </w:r>
      <w:r>
        <w:rPr>
          <w:color w:val="000000" w:themeColor="text1"/>
          <w14:textFill>
            <w14:solidFill>
              <w14:schemeClr w14:val="tx1"/>
            </w14:solidFill>
          </w14:textFill>
        </w:rPr>
        <w:t>52</w:t>
      </w:r>
      <w:r>
        <w:rPr>
          <w:rFonts w:hint="eastAsia"/>
          <w:color w:val="000000" w:themeColor="text1"/>
          <w14:textFill>
            <w14:solidFill>
              <w14:schemeClr w14:val="tx1"/>
            </w14:solidFill>
          </w14:textFill>
        </w:rPr>
        <w:t>艘，</w:t>
      </w:r>
      <w:r>
        <w:rPr>
          <w:rFonts w:hint="eastAsia"/>
          <w:color w:val="000000" w:themeColor="text1"/>
          <w:kern w:val="0"/>
          <w:lang w:bidi="ar"/>
          <w14:textFill>
            <w14:solidFill>
              <w14:schemeClr w14:val="tx1"/>
            </w14:solidFill>
          </w14:textFill>
        </w:rPr>
        <w:t>5000</w:t>
      </w:r>
      <w:r>
        <w:rPr>
          <w:rFonts w:hint="eastAsia" w:ascii="宋体" w:hAnsi="宋体" w:cs="宋体"/>
          <w:color w:val="000000" w:themeColor="text1"/>
          <w:kern w:val="0"/>
          <w:lang w:bidi="ar"/>
          <w14:textFill>
            <w14:solidFill>
              <w14:schemeClr w14:val="tx1"/>
            </w14:solidFill>
          </w14:textFill>
        </w:rPr>
        <w:t>吨</w:t>
      </w:r>
      <w:r>
        <w:rPr>
          <w:rFonts w:hint="eastAsia"/>
          <w:color w:val="000000" w:themeColor="text1"/>
          <w14:textFill>
            <w14:solidFill>
              <w14:schemeClr w14:val="tx1"/>
            </w14:solidFill>
          </w14:textFill>
        </w:rPr>
        <w:t>船舶为</w:t>
      </w:r>
      <w:r>
        <w:rPr>
          <w:color w:val="000000" w:themeColor="text1"/>
          <w14:textFill>
            <w14:solidFill>
              <w14:schemeClr w14:val="tx1"/>
            </w14:solidFill>
          </w14:textFill>
        </w:rPr>
        <w:t>20</w:t>
      </w:r>
      <w:r>
        <w:rPr>
          <w:rFonts w:hint="eastAsia"/>
          <w:color w:val="000000" w:themeColor="text1"/>
          <w14:textFill>
            <w14:solidFill>
              <w14:schemeClr w14:val="tx1"/>
            </w14:solidFill>
          </w14:textFill>
        </w:rPr>
        <w:t>艘。</w:t>
      </w:r>
      <w:r>
        <w:rPr>
          <w:rFonts w:hint="eastAsia" w:ascii="宋体" w:hAnsi="宋体" w:cs="宋体"/>
          <w:color w:val="000000" w:themeColor="text1"/>
          <w:kern w:val="0"/>
          <w:lang w:bidi="ar"/>
          <w14:textFill>
            <w14:solidFill>
              <w14:schemeClr w14:val="tx1"/>
            </w14:solidFill>
          </w14:textFill>
        </w:rPr>
        <w:t>发电机功率按</w:t>
      </w:r>
      <w:r>
        <w:rPr>
          <w:rFonts w:hint="eastAsia"/>
          <w:color w:val="000000" w:themeColor="text1"/>
          <w:kern w:val="0"/>
          <w:lang w:bidi="ar"/>
          <w14:textFill>
            <w14:solidFill>
              <w14:schemeClr w14:val="tx1"/>
            </w14:solidFill>
          </w14:textFill>
        </w:rPr>
        <w:t>40</w:t>
      </w:r>
      <w:r>
        <w:rPr>
          <w:color w:val="000000" w:themeColor="text1"/>
          <w:kern w:val="0"/>
          <w:lang w:bidi="ar"/>
          <w14:textFill>
            <w14:solidFill>
              <w14:schemeClr w14:val="tx1"/>
            </w14:solidFill>
          </w14:textFill>
        </w:rPr>
        <w:t>0</w:t>
      </w:r>
      <w:r>
        <w:rPr>
          <w:rFonts w:hint="eastAsia"/>
          <w:color w:val="000000" w:themeColor="text1"/>
          <w:kern w:val="0"/>
          <w:lang w:bidi="ar"/>
          <w14:textFill>
            <w14:solidFill>
              <w14:schemeClr w14:val="tx1"/>
            </w14:solidFill>
          </w14:textFill>
        </w:rPr>
        <w:t>kW</w:t>
      </w:r>
      <w:r>
        <w:rPr>
          <w:rFonts w:hint="eastAsia" w:ascii="宋体" w:hAnsi="宋体" w:cs="宋体"/>
          <w:color w:val="000000" w:themeColor="text1"/>
          <w:kern w:val="0"/>
          <w:lang w:bidi="ar"/>
          <w14:textFill>
            <w14:solidFill>
              <w14:schemeClr w14:val="tx1"/>
            </w14:solidFill>
          </w14:textFill>
        </w:rPr>
        <w:t>，按照船舶耗油量</w:t>
      </w:r>
      <w:r>
        <w:rPr>
          <w:color w:val="000000" w:themeColor="text1"/>
          <w:kern w:val="0"/>
          <w:lang w:bidi="ar"/>
          <w14:textFill>
            <w14:solidFill>
              <w14:schemeClr w14:val="tx1"/>
            </w14:solidFill>
          </w14:textFill>
        </w:rPr>
        <w:t>150g/</w:t>
      </w:r>
      <w:r>
        <w:rPr>
          <w:rFonts w:hint="eastAsia" w:ascii="宋体" w:hAnsi="宋体" w:cs="宋体"/>
          <w:color w:val="000000" w:themeColor="text1"/>
          <w:kern w:val="0"/>
          <w:lang w:bidi="ar"/>
          <w14:textFill>
            <w14:solidFill>
              <w14:schemeClr w14:val="tx1"/>
            </w14:solidFill>
          </w14:textFill>
        </w:rPr>
        <w:t>马力估算，则船舶每小时的耗油量为：</w:t>
      </w:r>
      <w:r>
        <w:rPr>
          <w:color w:val="000000" w:themeColor="text1"/>
          <w:kern w:val="0"/>
          <w:lang w:bidi="ar"/>
          <w14:textFill>
            <w14:solidFill>
              <w14:schemeClr w14:val="tx1"/>
            </w14:solidFill>
          </w14:textFill>
        </w:rPr>
        <w:t>M=150g/</w:t>
      </w:r>
      <w:r>
        <w:rPr>
          <w:rFonts w:hint="eastAsia" w:ascii="宋体" w:hAnsi="宋体" w:cs="宋体"/>
          <w:color w:val="000000" w:themeColor="text1"/>
          <w:kern w:val="0"/>
          <w:lang w:bidi="ar"/>
          <w14:textFill>
            <w14:solidFill>
              <w14:schemeClr w14:val="tx1"/>
            </w14:solidFill>
          </w14:textFill>
        </w:rPr>
        <w:t>马力</w:t>
      </w:r>
      <w:r>
        <w:rPr>
          <w:color w:val="000000" w:themeColor="text1"/>
          <w:kern w:val="0"/>
          <w:lang w:bidi="ar"/>
          <w14:textFill>
            <w14:solidFill>
              <w14:schemeClr w14:val="tx1"/>
            </w14:solidFill>
          </w14:textFill>
        </w:rPr>
        <w:t>×</w:t>
      </w:r>
      <w:r>
        <w:rPr>
          <w:rFonts w:hint="eastAsia" w:ascii="宋体" w:hAnsi="宋体" w:cs="宋体"/>
          <w:color w:val="000000" w:themeColor="text1"/>
          <w:kern w:val="0"/>
          <w:lang w:bidi="ar"/>
          <w14:textFill>
            <w14:solidFill>
              <w14:schemeClr w14:val="tx1"/>
            </w14:solidFill>
          </w14:textFill>
        </w:rPr>
        <w:t>（</w:t>
      </w:r>
      <w:r>
        <w:rPr>
          <w:rFonts w:hint="eastAsia"/>
          <w:color w:val="000000" w:themeColor="text1"/>
          <w:kern w:val="0"/>
          <w:lang w:bidi="ar"/>
          <w14:textFill>
            <w14:solidFill>
              <w14:schemeClr w14:val="tx1"/>
            </w14:solidFill>
          </w14:textFill>
        </w:rPr>
        <w:t>4</w:t>
      </w:r>
      <w:r>
        <w:rPr>
          <w:color w:val="000000" w:themeColor="text1"/>
          <w:kern w:val="0"/>
          <w:lang w:bidi="ar"/>
          <w14:textFill>
            <w14:solidFill>
              <w14:schemeClr w14:val="tx1"/>
            </w14:solidFill>
          </w14:textFill>
        </w:rPr>
        <w:t>00×1.36</w:t>
      </w:r>
      <w:r>
        <w:rPr>
          <w:rFonts w:hint="eastAsia" w:ascii="宋体" w:hAnsi="宋体" w:cs="宋体"/>
          <w:color w:val="000000" w:themeColor="text1"/>
          <w:kern w:val="0"/>
          <w:lang w:bidi="ar"/>
          <w14:textFill>
            <w14:solidFill>
              <w14:schemeClr w14:val="tx1"/>
            </w14:solidFill>
          </w14:textFill>
        </w:rPr>
        <w:t>）马力</w:t>
      </w:r>
      <w:r>
        <w:rPr>
          <w:color w:val="000000" w:themeColor="text1"/>
          <w:kern w:val="0"/>
          <w:lang w:bidi="ar"/>
          <w14:textFill>
            <w14:solidFill>
              <w14:schemeClr w14:val="tx1"/>
            </w14:solidFill>
          </w14:textFill>
        </w:rPr>
        <w:t>/h</w:t>
      </w:r>
      <w:r>
        <w:rPr>
          <w:rFonts w:hint="eastAsia" w:ascii="宋体" w:hAnsi="宋体" w:cs="宋体"/>
          <w:color w:val="000000" w:themeColor="text1"/>
          <w:kern w:val="0"/>
          <w:lang w:bidi="ar"/>
          <w14:textFill>
            <w14:solidFill>
              <w14:schemeClr w14:val="tx1"/>
            </w14:solidFill>
          </w14:textFill>
        </w:rPr>
        <w:t>＝</w:t>
      </w:r>
      <w:r>
        <w:rPr>
          <w:rFonts w:hint="eastAsia"/>
          <w:color w:val="000000" w:themeColor="text1"/>
          <w:kern w:val="0"/>
          <w:lang w:bidi="ar"/>
          <w14:textFill>
            <w14:solidFill>
              <w14:schemeClr w14:val="tx1"/>
            </w14:solidFill>
          </w14:textFill>
        </w:rPr>
        <w:t>81.6</w:t>
      </w:r>
      <w:r>
        <w:rPr>
          <w:color w:val="000000" w:themeColor="text1"/>
          <w:kern w:val="0"/>
          <w:lang w:bidi="ar"/>
          <w14:textFill>
            <w14:solidFill>
              <w14:schemeClr w14:val="tx1"/>
            </w14:solidFill>
          </w14:textFill>
        </w:rPr>
        <w:t>kg/h</w:t>
      </w:r>
      <w:r>
        <w:rPr>
          <w:rFonts w:hint="eastAsia" w:ascii="宋体" w:hAnsi="宋体" w:cs="宋体"/>
          <w:color w:val="000000" w:themeColor="text1"/>
          <w:kern w:val="0"/>
          <w:lang w:bidi="ar"/>
          <w14:textFill>
            <w14:solidFill>
              <w14:schemeClr w14:val="tx1"/>
            </w14:solidFill>
          </w14:textFill>
        </w:rPr>
        <w:t>。</w:t>
      </w:r>
      <w:r>
        <w:rPr>
          <w:rFonts w:hint="eastAsia"/>
          <w:color w:val="000000" w:themeColor="text1"/>
          <w14:textFill>
            <w14:solidFill>
              <w14:schemeClr w14:val="tx1"/>
            </w14:solidFill>
          </w14:textFill>
        </w:rPr>
        <w:t>每艘船平均在港停留按1天计算，则船舶总耗油量为</w:t>
      </w:r>
      <w:r>
        <w:rPr>
          <w:color w:val="000000" w:themeColor="text1"/>
          <w14:textFill>
            <w14:solidFill>
              <w14:schemeClr w14:val="tx1"/>
            </w14:solidFill>
          </w14:textFill>
        </w:rPr>
        <w:t>258.5</w:t>
      </w:r>
      <w:r>
        <w:rPr>
          <w:rFonts w:hint="eastAsia"/>
          <w:color w:val="000000" w:themeColor="text1"/>
          <w14:textFill>
            <w14:solidFill>
              <w14:schemeClr w14:val="tx1"/>
            </w14:solidFill>
          </w14:textFill>
        </w:rPr>
        <w:t>t，根据《中国环境影响评价培训教材》提供燃油的排放系数进行计算。</w:t>
      </w:r>
    </w:p>
    <w:p w14:paraId="7D3855A4">
      <w:pPr>
        <w:pStyle w:val="7"/>
        <w:rPr>
          <w:color w:val="000000" w:themeColor="text1"/>
          <w:sz w:val="22"/>
          <w:szCs w:val="22"/>
          <w:lang w:val="zh-CN" w:bidi="zh-CN"/>
          <w14:textFill>
            <w14:solidFill>
              <w14:schemeClr w14:val="tx1"/>
            </w14:solidFill>
          </w14:textFill>
        </w:rPr>
      </w:pPr>
      <w:r>
        <w:rPr>
          <w:rFonts w:hint="eastAsia"/>
          <w:color w:val="000000" w:themeColor="text1"/>
          <w:sz w:val="22"/>
          <w:szCs w:val="22"/>
          <w:lang w:val="zh-CN" w:bidi="zh-CN"/>
          <w14:textFill>
            <w14:solidFill>
              <w14:schemeClr w14:val="tx1"/>
            </w14:solidFill>
          </w14:textFill>
        </w:rPr>
        <w:t xml:space="preserve"> </w:t>
      </w:r>
      <w:r>
        <w:rPr>
          <w:color w:val="000000" w:themeColor="text1"/>
          <w:sz w:val="22"/>
          <w:szCs w:val="22"/>
          <w:lang w:val="zh-CN" w:bidi="zh-CN"/>
          <w14:textFill>
            <w14:solidFill>
              <w14:schemeClr w14:val="tx1"/>
            </w14:solidFill>
          </w14:textFill>
        </w:rPr>
        <w:t xml:space="preserve"> 船舶废气污染物排放计算结果</w:t>
      </w:r>
    </w:p>
    <w:tbl>
      <w:tblPr>
        <w:tblStyle w:val="43"/>
        <w:tblW w:w="5003" w:type="pct"/>
        <w:tblInd w:w="5"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2843"/>
        <w:gridCol w:w="2840"/>
        <w:gridCol w:w="2844"/>
      </w:tblGrid>
      <w:tr w14:paraId="5DAFE05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exact"/>
        </w:trPr>
        <w:tc>
          <w:tcPr>
            <w:tcW w:w="1667" w:type="pct"/>
            <w:vAlign w:val="center"/>
          </w:tcPr>
          <w:p w14:paraId="2AB05669">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项目</w:t>
            </w:r>
          </w:p>
        </w:tc>
        <w:tc>
          <w:tcPr>
            <w:tcW w:w="1665" w:type="pct"/>
            <w:vAlign w:val="center"/>
          </w:tcPr>
          <w:p w14:paraId="3B520111">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SO</w:t>
            </w:r>
            <w:r>
              <w:rPr>
                <w:color w:val="000000" w:themeColor="text1"/>
                <w:sz w:val="21"/>
                <w:szCs w:val="21"/>
                <w:vertAlign w:val="subscript"/>
                <w14:textFill>
                  <w14:solidFill>
                    <w14:schemeClr w14:val="tx1"/>
                  </w14:solidFill>
                </w14:textFill>
              </w:rPr>
              <w:t>2</w:t>
            </w:r>
          </w:p>
        </w:tc>
        <w:tc>
          <w:tcPr>
            <w:tcW w:w="1667" w:type="pct"/>
            <w:vAlign w:val="center"/>
          </w:tcPr>
          <w:p w14:paraId="3BBEF474">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NO</w:t>
            </w:r>
            <w:r>
              <w:rPr>
                <w:color w:val="000000" w:themeColor="text1"/>
                <w:sz w:val="21"/>
                <w:szCs w:val="21"/>
                <w:vertAlign w:val="subscript"/>
                <w14:textFill>
                  <w14:solidFill>
                    <w14:schemeClr w14:val="tx1"/>
                  </w14:solidFill>
                </w14:textFill>
              </w:rPr>
              <w:t>X</w:t>
            </w:r>
          </w:p>
        </w:tc>
      </w:tr>
      <w:tr w14:paraId="40FD780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exact"/>
        </w:trPr>
        <w:tc>
          <w:tcPr>
            <w:tcW w:w="1667" w:type="pct"/>
            <w:vAlign w:val="center"/>
          </w:tcPr>
          <w:p w14:paraId="218A37DE">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排放系数kg/t</w:t>
            </w:r>
          </w:p>
        </w:tc>
        <w:tc>
          <w:tcPr>
            <w:tcW w:w="1665" w:type="pct"/>
            <w:vAlign w:val="center"/>
          </w:tcPr>
          <w:p w14:paraId="51D21710">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2.6</w:t>
            </w:r>
          </w:p>
        </w:tc>
        <w:tc>
          <w:tcPr>
            <w:tcW w:w="1667" w:type="pct"/>
            <w:vAlign w:val="center"/>
          </w:tcPr>
          <w:p w14:paraId="3EC4EF38">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8.57</w:t>
            </w:r>
          </w:p>
        </w:tc>
      </w:tr>
      <w:tr w14:paraId="454E759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exact"/>
        </w:trPr>
        <w:tc>
          <w:tcPr>
            <w:tcW w:w="1667" w:type="pct"/>
            <w:vAlign w:val="center"/>
          </w:tcPr>
          <w:p w14:paraId="024F7C98">
            <w:pPr>
              <w:spacing w:line="240" w:lineRule="auto"/>
              <w:ind w:firstLine="42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排放量t/a</w:t>
            </w:r>
          </w:p>
        </w:tc>
        <w:tc>
          <w:tcPr>
            <w:tcW w:w="1665" w:type="pct"/>
            <w:vAlign w:val="center"/>
          </w:tcPr>
          <w:p w14:paraId="35E2BBB9">
            <w:pPr>
              <w:spacing w:line="240" w:lineRule="auto"/>
              <w:ind w:firstLine="42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0.672</w:t>
            </w:r>
          </w:p>
        </w:tc>
        <w:tc>
          <w:tcPr>
            <w:tcW w:w="1667" w:type="pct"/>
            <w:vAlign w:val="center"/>
          </w:tcPr>
          <w:p w14:paraId="24266B05">
            <w:pPr>
              <w:spacing w:line="240" w:lineRule="auto"/>
              <w:ind w:firstLine="42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2.215</w:t>
            </w:r>
          </w:p>
        </w:tc>
      </w:tr>
    </w:tbl>
    <w:p w14:paraId="3BFCA6F9">
      <w:pPr>
        <w:ind w:firstLine="480"/>
        <w:rPr>
          <w:color w:val="000000" w:themeColor="text1"/>
          <w:u w:val="single"/>
          <w14:textFill>
            <w14:solidFill>
              <w14:schemeClr w14:val="tx1"/>
            </w14:solidFill>
          </w14:textFill>
        </w:rPr>
      </w:pPr>
      <w:r>
        <w:rPr>
          <w:rFonts w:cs="瀹嬩綋"/>
          <w:color w:val="000000" w:themeColor="text1"/>
          <w:kern w:val="0"/>
          <w:u w:val="single"/>
          <w:lang w:bidi="ar"/>
          <w14:textFill>
            <w14:solidFill>
              <w14:schemeClr w14:val="tx1"/>
            </w14:solidFill>
          </w14:textFill>
        </w:rPr>
        <w:t>根据货种运量</w:t>
      </w:r>
      <w:r>
        <w:rPr>
          <w:rFonts w:hint="eastAsia" w:cs="瀹嬩綋"/>
          <w:color w:val="000000" w:themeColor="text1"/>
          <w:kern w:val="0"/>
          <w:u w:val="single"/>
          <w:lang w:bidi="ar"/>
          <w14:textFill>
            <w14:solidFill>
              <w14:schemeClr w14:val="tx1"/>
            </w14:solidFill>
          </w14:textFill>
        </w:rPr>
        <w:t>，</w:t>
      </w:r>
      <w:r>
        <w:rPr>
          <w:rFonts w:hint="eastAsia"/>
          <w:color w:val="000000" w:themeColor="text1"/>
          <w:u w:val="single"/>
          <w14:textFill>
            <w14:solidFill>
              <w14:schemeClr w14:val="tx1"/>
            </w14:solidFill>
          </w14:textFill>
        </w:rPr>
        <w:t>扩建项目全年新增到港船舶共计</w:t>
      </w:r>
      <w:r>
        <w:rPr>
          <w:color w:val="000000" w:themeColor="text1"/>
          <w:u w:val="single"/>
          <w14:textFill>
            <w14:solidFill>
              <w14:schemeClr w14:val="tx1"/>
            </w14:solidFill>
          </w14:textFill>
        </w:rPr>
        <w:t>152</w:t>
      </w:r>
      <w:r>
        <w:rPr>
          <w:rFonts w:hint="eastAsia"/>
          <w:color w:val="000000" w:themeColor="text1"/>
          <w:u w:val="single"/>
          <w14:textFill>
            <w14:solidFill>
              <w14:schemeClr w14:val="tx1"/>
            </w14:solidFill>
          </w14:textFill>
        </w:rPr>
        <w:t>艘，每艘船平均在港停留按1天计算。因此，SO</w:t>
      </w:r>
      <w:r>
        <w:rPr>
          <w:rFonts w:hint="eastAsia"/>
          <w:color w:val="000000" w:themeColor="text1"/>
          <w:u w:val="single"/>
          <w:vertAlign w:val="subscript"/>
          <w14:textFill>
            <w14:solidFill>
              <w14:schemeClr w14:val="tx1"/>
            </w14:solidFill>
          </w14:textFill>
        </w:rPr>
        <w:t>2</w:t>
      </w:r>
      <w:r>
        <w:rPr>
          <w:rFonts w:hint="eastAsia"/>
          <w:color w:val="000000" w:themeColor="text1"/>
          <w:u w:val="single"/>
          <w14:textFill>
            <w14:solidFill>
              <w14:schemeClr w14:val="tx1"/>
            </w14:solidFill>
          </w14:textFill>
        </w:rPr>
        <w:t>排放量为</w:t>
      </w:r>
      <w:r>
        <w:rPr>
          <w:color w:val="000000" w:themeColor="text1"/>
          <w:u w:val="single"/>
          <w14:textFill>
            <w14:solidFill>
              <w14:schemeClr w14:val="tx1"/>
            </w14:solidFill>
          </w14:textFill>
        </w:rPr>
        <w:t>0.672</w:t>
      </w:r>
      <w:r>
        <w:rPr>
          <w:rFonts w:hint="eastAsia"/>
          <w:color w:val="000000" w:themeColor="text1"/>
          <w:u w:val="single"/>
          <w14:textFill>
            <w14:solidFill>
              <w14:schemeClr w14:val="tx1"/>
            </w14:solidFill>
          </w14:textFill>
        </w:rPr>
        <w:t>t/a，NO</w:t>
      </w:r>
      <w:r>
        <w:rPr>
          <w:rFonts w:hint="eastAsia"/>
          <w:color w:val="000000" w:themeColor="text1"/>
          <w:u w:val="single"/>
          <w:vertAlign w:val="subscript"/>
          <w14:textFill>
            <w14:solidFill>
              <w14:schemeClr w14:val="tx1"/>
            </w14:solidFill>
          </w14:textFill>
        </w:rPr>
        <w:t>x</w:t>
      </w:r>
      <w:r>
        <w:rPr>
          <w:rFonts w:hint="eastAsia"/>
          <w:color w:val="000000" w:themeColor="text1"/>
          <w:u w:val="single"/>
          <w14:textFill>
            <w14:solidFill>
              <w14:schemeClr w14:val="tx1"/>
            </w14:solidFill>
          </w14:textFill>
        </w:rPr>
        <w:t>排放量为2</w:t>
      </w:r>
      <w:r>
        <w:rPr>
          <w:color w:val="000000" w:themeColor="text1"/>
          <w:u w:val="single"/>
          <w14:textFill>
            <w14:solidFill>
              <w14:schemeClr w14:val="tx1"/>
            </w14:solidFill>
          </w14:textFill>
        </w:rPr>
        <w:t>.215</w:t>
      </w:r>
      <w:r>
        <w:rPr>
          <w:rFonts w:hint="eastAsia"/>
          <w:color w:val="000000" w:themeColor="text1"/>
          <w:u w:val="single"/>
          <w14:textFill>
            <w14:solidFill>
              <w14:schemeClr w14:val="tx1"/>
            </w14:solidFill>
          </w14:textFill>
        </w:rPr>
        <w:t>t/a。</w:t>
      </w:r>
    </w:p>
    <w:p w14:paraId="571DAA12">
      <w:pPr>
        <w:ind w:firstLine="480"/>
        <w:rPr>
          <w:snapToGrid w:val="0"/>
          <w:color w:val="000000" w:themeColor="text1"/>
          <w:u w:val="single"/>
          <w14:textFill>
            <w14:solidFill>
              <w14:schemeClr w14:val="tx1"/>
            </w14:solidFill>
          </w14:textFill>
        </w:rPr>
      </w:pPr>
    </w:p>
    <w:p w14:paraId="218BF949">
      <w:pPr>
        <w:ind w:firstLine="480"/>
        <w:rPr>
          <w:snapToGrid w:val="0"/>
          <w:color w:val="000000" w:themeColor="text1"/>
          <w14:textFill>
            <w14:solidFill>
              <w14:schemeClr w14:val="tx1"/>
            </w14:solidFill>
          </w14:textFill>
        </w:rPr>
        <w:sectPr>
          <w:headerReference r:id="rId16" w:type="default"/>
          <w:pgSz w:w="11906" w:h="16838"/>
          <w:pgMar w:top="1440" w:right="1800" w:bottom="1440" w:left="1800" w:header="851" w:footer="992" w:gutter="0"/>
          <w:pgBorders>
            <w:top w:val="none" w:sz="0" w:space="0"/>
            <w:left w:val="none" w:sz="0" w:space="0"/>
            <w:bottom w:val="none" w:sz="0" w:space="0"/>
            <w:right w:val="none" w:sz="0" w:space="0"/>
          </w:pgBorders>
          <w:pgNumType w:fmt="numberInDash"/>
          <w:cols w:space="720" w:num="1"/>
          <w:docGrid w:type="lines" w:linePitch="326" w:charSpace="0"/>
        </w:sectPr>
      </w:pPr>
    </w:p>
    <w:p w14:paraId="0FD9C7A5">
      <w:pPr>
        <w:pStyle w:val="7"/>
        <w:rPr>
          <w:color w:val="000000" w:themeColor="text1"/>
          <w:sz w:val="22"/>
          <w:szCs w:val="22"/>
          <w:lang w:val="zh-CN" w:bidi="zh-CN"/>
          <w14:textFill>
            <w14:solidFill>
              <w14:schemeClr w14:val="tx1"/>
            </w14:solidFill>
          </w14:textFill>
        </w:rPr>
      </w:pPr>
      <w:r>
        <w:rPr>
          <w:color w:val="000000" w:themeColor="text1"/>
          <w:sz w:val="22"/>
          <w:szCs w:val="22"/>
          <w:lang w:val="zh-CN" w:bidi="zh-CN"/>
          <w14:textFill>
            <w14:solidFill>
              <w14:schemeClr w14:val="tx1"/>
            </w14:solidFill>
          </w14:textFill>
        </w:rPr>
        <w:t>废气产生与排放量核算</w:t>
      </w:r>
    </w:p>
    <w:tbl>
      <w:tblPr>
        <w:tblStyle w:val="43"/>
        <w:tblW w:w="12820"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565"/>
        <w:gridCol w:w="696"/>
        <w:gridCol w:w="1134"/>
        <w:gridCol w:w="861"/>
        <w:gridCol w:w="992"/>
        <w:gridCol w:w="1124"/>
        <w:gridCol w:w="567"/>
        <w:gridCol w:w="1134"/>
        <w:gridCol w:w="577"/>
        <w:gridCol w:w="850"/>
        <w:gridCol w:w="993"/>
        <w:gridCol w:w="1158"/>
        <w:gridCol w:w="829"/>
        <w:gridCol w:w="1340"/>
      </w:tblGrid>
      <w:tr w14:paraId="44A7381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65" w:type="dxa"/>
            <w:vMerge w:val="restart"/>
            <w:tcMar>
              <w:left w:w="0" w:type="dxa"/>
              <w:right w:w="0" w:type="dxa"/>
            </w:tcMar>
            <w:vAlign w:val="center"/>
          </w:tcPr>
          <w:p w14:paraId="28F1B5CA">
            <w:pPr>
              <w:spacing w:line="240" w:lineRule="exact"/>
              <w:ind w:firstLine="0" w:firstLineChars="0"/>
              <w:jc w:val="center"/>
              <w:rPr>
                <w:b/>
                <w:bCs/>
                <w:color w:val="000000" w:themeColor="text1"/>
                <w:sz w:val="21"/>
                <w:szCs w:val="21"/>
                <w14:textFill>
                  <w14:solidFill>
                    <w14:schemeClr w14:val="tx1"/>
                  </w14:solidFill>
                </w14:textFill>
              </w:rPr>
            </w:pPr>
            <w:r>
              <w:rPr>
                <w:rFonts w:hint="eastAsia"/>
                <w:b/>
                <w:bCs/>
                <w:color w:val="000000" w:themeColor="text1"/>
                <w:sz w:val="21"/>
                <w:szCs w:val="21"/>
                <w14:textFill>
                  <w14:solidFill>
                    <w14:schemeClr w14:val="tx1"/>
                  </w14:solidFill>
                </w14:textFill>
              </w:rPr>
              <w:t>1</w:t>
            </w:r>
            <w:r>
              <w:rPr>
                <w:b/>
                <w:bCs/>
                <w:color w:val="000000" w:themeColor="text1"/>
                <w:sz w:val="21"/>
                <w:szCs w:val="21"/>
                <w14:textFill>
                  <w14:solidFill>
                    <w14:schemeClr w14:val="tx1"/>
                  </w14:solidFill>
                </w14:textFill>
              </w:rPr>
              <w:t>4</w:t>
            </w:r>
            <w:r>
              <w:rPr>
                <w:rFonts w:hint="eastAsia"/>
                <w:b/>
                <w:bCs/>
                <w:color w:val="000000" w:themeColor="text1"/>
                <w:sz w:val="21"/>
                <w:szCs w:val="21"/>
                <w14:textFill>
                  <w14:solidFill>
                    <w14:schemeClr w14:val="tx1"/>
                  </w14:solidFill>
                </w14:textFill>
              </w:rPr>
              <w:t>号</w:t>
            </w:r>
            <w:r>
              <w:rPr>
                <w:b/>
                <w:bCs/>
                <w:color w:val="000000" w:themeColor="text1"/>
                <w:sz w:val="21"/>
                <w:szCs w:val="21"/>
                <w14:textFill>
                  <w14:solidFill>
                    <w14:schemeClr w14:val="tx1"/>
                  </w14:solidFill>
                </w14:textFill>
              </w:rPr>
              <w:t>泊位</w:t>
            </w:r>
          </w:p>
        </w:tc>
        <w:tc>
          <w:tcPr>
            <w:tcW w:w="696" w:type="dxa"/>
            <w:vMerge w:val="restart"/>
            <w:tcMar>
              <w:left w:w="0" w:type="dxa"/>
              <w:right w:w="0" w:type="dxa"/>
            </w:tcMar>
            <w:vAlign w:val="center"/>
          </w:tcPr>
          <w:p w14:paraId="5C491CB4">
            <w:pPr>
              <w:spacing w:line="240" w:lineRule="exact"/>
              <w:ind w:firstLine="0" w:firstLineChars="0"/>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污染源</w:t>
            </w:r>
          </w:p>
        </w:tc>
        <w:tc>
          <w:tcPr>
            <w:tcW w:w="1134" w:type="dxa"/>
            <w:vMerge w:val="restart"/>
            <w:tcMar>
              <w:left w:w="0" w:type="dxa"/>
              <w:right w:w="0" w:type="dxa"/>
            </w:tcMar>
            <w:vAlign w:val="center"/>
          </w:tcPr>
          <w:p w14:paraId="1115DC5C">
            <w:pPr>
              <w:spacing w:line="240" w:lineRule="exact"/>
              <w:ind w:firstLine="0" w:firstLineChars="0"/>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污染物</w:t>
            </w:r>
          </w:p>
        </w:tc>
        <w:tc>
          <w:tcPr>
            <w:tcW w:w="3544" w:type="dxa"/>
            <w:gridSpan w:val="4"/>
            <w:tcMar>
              <w:left w:w="0" w:type="dxa"/>
              <w:right w:w="0" w:type="dxa"/>
            </w:tcMar>
            <w:vAlign w:val="center"/>
          </w:tcPr>
          <w:p w14:paraId="65E346B3">
            <w:pPr>
              <w:spacing w:line="240" w:lineRule="exact"/>
              <w:ind w:firstLine="0" w:firstLineChars="0"/>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废气产生情况</w:t>
            </w:r>
          </w:p>
        </w:tc>
        <w:tc>
          <w:tcPr>
            <w:tcW w:w="1134" w:type="dxa"/>
            <w:vMerge w:val="restart"/>
            <w:tcMar>
              <w:left w:w="0" w:type="dxa"/>
              <w:right w:w="0" w:type="dxa"/>
            </w:tcMar>
            <w:vAlign w:val="center"/>
          </w:tcPr>
          <w:p w14:paraId="3B3E6EC0">
            <w:pPr>
              <w:spacing w:line="240" w:lineRule="exact"/>
              <w:ind w:firstLine="0" w:firstLineChars="0"/>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处理工艺</w:t>
            </w:r>
          </w:p>
        </w:tc>
        <w:tc>
          <w:tcPr>
            <w:tcW w:w="577" w:type="dxa"/>
            <w:vMerge w:val="restart"/>
            <w:tcMar>
              <w:left w:w="0" w:type="dxa"/>
              <w:right w:w="0" w:type="dxa"/>
            </w:tcMar>
            <w:vAlign w:val="center"/>
          </w:tcPr>
          <w:p w14:paraId="5A8BD286">
            <w:pPr>
              <w:spacing w:line="240" w:lineRule="exact"/>
              <w:ind w:firstLine="0" w:firstLineChars="0"/>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去除率</w:t>
            </w:r>
          </w:p>
          <w:p w14:paraId="3D6FED3D">
            <w:pPr>
              <w:spacing w:line="240" w:lineRule="exact"/>
              <w:ind w:firstLine="0" w:firstLineChars="0"/>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w:t>
            </w:r>
          </w:p>
        </w:tc>
        <w:tc>
          <w:tcPr>
            <w:tcW w:w="3830" w:type="dxa"/>
            <w:gridSpan w:val="4"/>
            <w:tcMar>
              <w:left w:w="0" w:type="dxa"/>
              <w:right w:w="0" w:type="dxa"/>
            </w:tcMar>
            <w:vAlign w:val="center"/>
          </w:tcPr>
          <w:p w14:paraId="392DE2D1">
            <w:pPr>
              <w:spacing w:line="240" w:lineRule="exact"/>
              <w:ind w:firstLine="0" w:firstLineChars="0"/>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废气排放情况</w:t>
            </w:r>
          </w:p>
        </w:tc>
        <w:tc>
          <w:tcPr>
            <w:tcW w:w="1340" w:type="dxa"/>
            <w:vMerge w:val="restart"/>
            <w:tcMar>
              <w:left w:w="0" w:type="dxa"/>
              <w:right w:w="0" w:type="dxa"/>
            </w:tcMar>
            <w:vAlign w:val="center"/>
          </w:tcPr>
          <w:p w14:paraId="304C8303">
            <w:pPr>
              <w:spacing w:line="240" w:lineRule="exact"/>
              <w:ind w:firstLine="0" w:firstLineChars="0"/>
              <w:jc w:val="center"/>
              <w:rPr>
                <w:b/>
                <w:bCs/>
                <w:color w:val="000000" w:themeColor="text1"/>
                <w:sz w:val="21"/>
                <w:szCs w:val="21"/>
                <w14:textFill>
                  <w14:solidFill>
                    <w14:schemeClr w14:val="tx1"/>
                  </w14:solidFill>
                </w14:textFill>
              </w:rPr>
            </w:pPr>
            <w:r>
              <w:rPr>
                <w:b/>
                <w:bCs/>
                <w:color w:val="000000" w:themeColor="text1"/>
                <w:spacing w:val="-9"/>
                <w:sz w:val="21"/>
                <w:szCs w:val="21"/>
                <w14:textFill>
                  <w14:solidFill>
                    <w14:schemeClr w14:val="tx1"/>
                  </w14:solidFill>
                </w14:textFill>
              </w:rPr>
              <w:t>排放</w:t>
            </w:r>
            <w:r>
              <w:rPr>
                <w:b/>
                <w:bCs/>
                <w:color w:val="000000" w:themeColor="text1"/>
                <w:spacing w:val="-9"/>
                <w:w w:val="95"/>
                <w:sz w:val="21"/>
                <w:szCs w:val="21"/>
                <w14:textFill>
                  <w14:solidFill>
                    <w14:schemeClr w14:val="tx1"/>
                  </w14:solidFill>
                </w14:textFill>
              </w:rPr>
              <w:t>时间/h</w:t>
            </w:r>
          </w:p>
        </w:tc>
      </w:tr>
      <w:tr w14:paraId="78E5AC8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65" w:type="dxa"/>
            <w:vMerge w:val="continue"/>
            <w:tcMar>
              <w:left w:w="0" w:type="dxa"/>
              <w:right w:w="0" w:type="dxa"/>
            </w:tcMar>
            <w:vAlign w:val="center"/>
          </w:tcPr>
          <w:p w14:paraId="011FF062">
            <w:pPr>
              <w:spacing w:line="240" w:lineRule="exact"/>
              <w:ind w:firstLine="0" w:firstLineChars="0"/>
              <w:jc w:val="center"/>
              <w:rPr>
                <w:b/>
                <w:bCs/>
                <w:color w:val="000000" w:themeColor="text1"/>
                <w:sz w:val="21"/>
                <w:szCs w:val="21"/>
                <w:lang w:eastAsia="en-US"/>
                <w14:textFill>
                  <w14:solidFill>
                    <w14:schemeClr w14:val="tx1"/>
                  </w14:solidFill>
                </w14:textFill>
              </w:rPr>
            </w:pPr>
          </w:p>
        </w:tc>
        <w:tc>
          <w:tcPr>
            <w:tcW w:w="696" w:type="dxa"/>
            <w:vMerge w:val="continue"/>
            <w:tcMar>
              <w:left w:w="0" w:type="dxa"/>
              <w:right w:w="0" w:type="dxa"/>
            </w:tcMar>
            <w:vAlign w:val="center"/>
          </w:tcPr>
          <w:p w14:paraId="56FC5DE3">
            <w:pPr>
              <w:spacing w:line="240" w:lineRule="exact"/>
              <w:ind w:firstLine="0" w:firstLineChars="0"/>
              <w:jc w:val="center"/>
              <w:rPr>
                <w:b/>
                <w:bCs/>
                <w:color w:val="000000" w:themeColor="text1"/>
                <w:sz w:val="21"/>
                <w:szCs w:val="21"/>
                <w:lang w:eastAsia="en-US"/>
                <w14:textFill>
                  <w14:solidFill>
                    <w14:schemeClr w14:val="tx1"/>
                  </w14:solidFill>
                </w14:textFill>
              </w:rPr>
            </w:pPr>
          </w:p>
        </w:tc>
        <w:tc>
          <w:tcPr>
            <w:tcW w:w="1134" w:type="dxa"/>
            <w:vMerge w:val="continue"/>
            <w:tcMar>
              <w:left w:w="0" w:type="dxa"/>
              <w:right w:w="0" w:type="dxa"/>
            </w:tcMar>
            <w:vAlign w:val="center"/>
          </w:tcPr>
          <w:p w14:paraId="24A88A91">
            <w:pPr>
              <w:spacing w:line="240" w:lineRule="exact"/>
              <w:ind w:firstLine="0" w:firstLineChars="0"/>
              <w:jc w:val="center"/>
              <w:rPr>
                <w:b/>
                <w:bCs/>
                <w:color w:val="000000" w:themeColor="text1"/>
                <w:sz w:val="21"/>
                <w:szCs w:val="21"/>
                <w:lang w:eastAsia="en-US"/>
                <w14:textFill>
                  <w14:solidFill>
                    <w14:schemeClr w14:val="tx1"/>
                  </w14:solidFill>
                </w14:textFill>
              </w:rPr>
            </w:pPr>
          </w:p>
        </w:tc>
        <w:tc>
          <w:tcPr>
            <w:tcW w:w="861" w:type="dxa"/>
            <w:tcMar>
              <w:left w:w="0" w:type="dxa"/>
              <w:right w:w="0" w:type="dxa"/>
            </w:tcMar>
            <w:vAlign w:val="center"/>
          </w:tcPr>
          <w:p w14:paraId="4F31C38B">
            <w:pPr>
              <w:spacing w:line="240" w:lineRule="exact"/>
              <w:ind w:firstLine="0" w:firstLineChars="0"/>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浓度</w:t>
            </w:r>
          </w:p>
          <w:p w14:paraId="5C968FB4">
            <w:pPr>
              <w:spacing w:line="240" w:lineRule="exact"/>
              <w:ind w:firstLine="0" w:firstLineChars="0"/>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(mg/m</w:t>
            </w:r>
            <w:r>
              <w:rPr>
                <w:b/>
                <w:bCs/>
                <w:color w:val="000000" w:themeColor="text1"/>
                <w:sz w:val="21"/>
                <w:szCs w:val="21"/>
                <w:vertAlign w:val="superscript"/>
                <w14:textFill>
                  <w14:solidFill>
                    <w14:schemeClr w14:val="tx1"/>
                  </w14:solidFill>
                </w14:textFill>
              </w:rPr>
              <w:t>3</w:t>
            </w:r>
            <w:r>
              <w:rPr>
                <w:b/>
                <w:bCs/>
                <w:color w:val="000000" w:themeColor="text1"/>
                <w:sz w:val="21"/>
                <w:szCs w:val="21"/>
                <w14:textFill>
                  <w14:solidFill>
                    <w14:schemeClr w14:val="tx1"/>
                  </w14:solidFill>
                </w14:textFill>
              </w:rPr>
              <w:t xml:space="preserve"> )</w:t>
            </w:r>
          </w:p>
        </w:tc>
        <w:tc>
          <w:tcPr>
            <w:tcW w:w="992" w:type="dxa"/>
            <w:tcMar>
              <w:left w:w="0" w:type="dxa"/>
              <w:right w:w="0" w:type="dxa"/>
            </w:tcMar>
            <w:vAlign w:val="center"/>
          </w:tcPr>
          <w:p w14:paraId="12E58EDF">
            <w:pPr>
              <w:spacing w:line="240" w:lineRule="exact"/>
              <w:ind w:firstLine="0" w:firstLineChars="0"/>
              <w:jc w:val="center"/>
              <w:rPr>
                <w:b/>
                <w:bCs/>
                <w:color w:val="000000" w:themeColor="text1"/>
                <w:sz w:val="21"/>
                <w:szCs w:val="21"/>
                <w14:textFill>
                  <w14:solidFill>
                    <w14:schemeClr w14:val="tx1"/>
                  </w14:solidFill>
                </w14:textFill>
              </w:rPr>
            </w:pPr>
            <w:r>
              <w:rPr>
                <w:b/>
                <w:bCs/>
                <w:color w:val="000000" w:themeColor="text1"/>
                <w:w w:val="95"/>
                <w:sz w:val="21"/>
                <w:szCs w:val="21"/>
                <w14:textFill>
                  <w14:solidFill>
                    <w14:schemeClr w14:val="tx1"/>
                  </w14:solidFill>
                </w14:textFill>
              </w:rPr>
              <w:t>速率</w:t>
            </w:r>
          </w:p>
          <w:p w14:paraId="57048A8E">
            <w:pPr>
              <w:spacing w:line="240" w:lineRule="exact"/>
              <w:ind w:firstLine="0" w:firstLineChars="0"/>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(kg/h</w:t>
            </w:r>
            <w:r>
              <w:rPr>
                <w:b/>
                <w:bCs/>
                <w:color w:val="000000" w:themeColor="text1"/>
                <w:spacing w:val="-4"/>
                <w:sz w:val="21"/>
                <w:szCs w:val="21"/>
                <w14:textFill>
                  <w14:solidFill>
                    <w14:schemeClr w14:val="tx1"/>
                  </w14:solidFill>
                </w14:textFill>
              </w:rPr>
              <w:t xml:space="preserve"> </w:t>
            </w:r>
            <w:r>
              <w:rPr>
                <w:b/>
                <w:bCs/>
                <w:color w:val="000000" w:themeColor="text1"/>
                <w:sz w:val="21"/>
                <w:szCs w:val="21"/>
                <w14:textFill>
                  <w14:solidFill>
                    <w14:schemeClr w14:val="tx1"/>
                  </w14:solidFill>
                </w14:textFill>
              </w:rPr>
              <w:t>)</w:t>
            </w:r>
          </w:p>
        </w:tc>
        <w:tc>
          <w:tcPr>
            <w:tcW w:w="1124" w:type="dxa"/>
            <w:tcMar>
              <w:left w:w="0" w:type="dxa"/>
              <w:right w:w="0" w:type="dxa"/>
            </w:tcMar>
            <w:vAlign w:val="center"/>
          </w:tcPr>
          <w:p w14:paraId="3B8BFF82">
            <w:pPr>
              <w:spacing w:line="240" w:lineRule="exact"/>
              <w:ind w:firstLine="0" w:firstLineChars="0"/>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产生量</w:t>
            </w:r>
          </w:p>
          <w:p w14:paraId="597E44FB">
            <w:pPr>
              <w:spacing w:line="240" w:lineRule="exact"/>
              <w:ind w:firstLine="0" w:firstLineChars="0"/>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(t/a)</w:t>
            </w:r>
          </w:p>
        </w:tc>
        <w:tc>
          <w:tcPr>
            <w:tcW w:w="567" w:type="dxa"/>
            <w:tcMar>
              <w:left w:w="0" w:type="dxa"/>
              <w:right w:w="0" w:type="dxa"/>
            </w:tcMar>
            <w:vAlign w:val="center"/>
          </w:tcPr>
          <w:p w14:paraId="4B0FDD78">
            <w:pPr>
              <w:spacing w:line="240" w:lineRule="exact"/>
              <w:ind w:firstLine="0" w:firstLineChars="0"/>
              <w:jc w:val="center"/>
              <w:rPr>
                <w:b/>
                <w:bCs/>
                <w:color w:val="000000" w:themeColor="text1"/>
                <w:sz w:val="21"/>
                <w:szCs w:val="21"/>
                <w14:textFill>
                  <w14:solidFill>
                    <w14:schemeClr w14:val="tx1"/>
                  </w14:solidFill>
                </w14:textFill>
              </w:rPr>
            </w:pPr>
            <w:r>
              <w:rPr>
                <w:b/>
                <w:bCs/>
                <w:color w:val="000000" w:themeColor="text1"/>
                <w:w w:val="95"/>
                <w:sz w:val="21"/>
                <w:szCs w:val="21"/>
                <w14:textFill>
                  <w14:solidFill>
                    <w14:schemeClr w14:val="tx1"/>
                  </w14:solidFill>
                </w14:textFill>
              </w:rPr>
              <w:t>气量</w:t>
            </w:r>
          </w:p>
          <w:p w14:paraId="2783EC6D">
            <w:pPr>
              <w:spacing w:line="240" w:lineRule="exact"/>
              <w:ind w:firstLine="0" w:firstLineChars="0"/>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Nm</w:t>
            </w:r>
            <w:r>
              <w:rPr>
                <w:b/>
                <w:bCs/>
                <w:color w:val="000000" w:themeColor="text1"/>
                <w:sz w:val="21"/>
                <w:szCs w:val="21"/>
                <w:vertAlign w:val="superscript"/>
                <w14:textFill>
                  <w14:solidFill>
                    <w14:schemeClr w14:val="tx1"/>
                  </w14:solidFill>
                </w14:textFill>
              </w:rPr>
              <w:t>3</w:t>
            </w:r>
            <w:r>
              <w:rPr>
                <w:b/>
                <w:bCs/>
                <w:color w:val="000000" w:themeColor="text1"/>
                <w:sz w:val="21"/>
                <w:szCs w:val="21"/>
                <w14:textFill>
                  <w14:solidFill>
                    <w14:schemeClr w14:val="tx1"/>
                  </w14:solidFill>
                </w14:textFill>
              </w:rPr>
              <w:t>/h</w:t>
            </w:r>
          </w:p>
        </w:tc>
        <w:tc>
          <w:tcPr>
            <w:tcW w:w="1134" w:type="dxa"/>
            <w:vMerge w:val="continue"/>
            <w:tcMar>
              <w:left w:w="0" w:type="dxa"/>
              <w:right w:w="0" w:type="dxa"/>
            </w:tcMar>
            <w:vAlign w:val="center"/>
          </w:tcPr>
          <w:p w14:paraId="23E8AA7C">
            <w:pPr>
              <w:spacing w:line="240" w:lineRule="exact"/>
              <w:ind w:firstLine="0" w:firstLineChars="0"/>
              <w:jc w:val="center"/>
              <w:rPr>
                <w:b/>
                <w:bCs/>
                <w:color w:val="000000" w:themeColor="text1"/>
                <w:sz w:val="21"/>
                <w:szCs w:val="21"/>
                <w:lang w:eastAsia="en-US"/>
                <w14:textFill>
                  <w14:solidFill>
                    <w14:schemeClr w14:val="tx1"/>
                  </w14:solidFill>
                </w14:textFill>
              </w:rPr>
            </w:pPr>
          </w:p>
        </w:tc>
        <w:tc>
          <w:tcPr>
            <w:tcW w:w="577" w:type="dxa"/>
            <w:vMerge w:val="continue"/>
            <w:tcMar>
              <w:left w:w="0" w:type="dxa"/>
              <w:right w:w="0" w:type="dxa"/>
            </w:tcMar>
            <w:vAlign w:val="center"/>
          </w:tcPr>
          <w:p w14:paraId="53340F10">
            <w:pPr>
              <w:spacing w:line="240" w:lineRule="exact"/>
              <w:ind w:firstLine="0" w:firstLineChars="0"/>
              <w:jc w:val="center"/>
              <w:rPr>
                <w:b/>
                <w:bCs/>
                <w:color w:val="000000" w:themeColor="text1"/>
                <w:sz w:val="21"/>
                <w:szCs w:val="21"/>
                <w:lang w:eastAsia="en-US"/>
                <w14:textFill>
                  <w14:solidFill>
                    <w14:schemeClr w14:val="tx1"/>
                  </w14:solidFill>
                </w14:textFill>
              </w:rPr>
            </w:pPr>
          </w:p>
        </w:tc>
        <w:tc>
          <w:tcPr>
            <w:tcW w:w="850" w:type="dxa"/>
            <w:tcMar>
              <w:left w:w="0" w:type="dxa"/>
              <w:right w:w="0" w:type="dxa"/>
            </w:tcMar>
            <w:vAlign w:val="center"/>
          </w:tcPr>
          <w:p w14:paraId="5DFAEE2D">
            <w:pPr>
              <w:spacing w:line="240" w:lineRule="exact"/>
              <w:ind w:firstLine="0" w:firstLineChars="0"/>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浓度</w:t>
            </w:r>
          </w:p>
          <w:p w14:paraId="1E55D587">
            <w:pPr>
              <w:spacing w:line="240" w:lineRule="exact"/>
              <w:ind w:firstLine="0" w:firstLineChars="0"/>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(mg/m</w:t>
            </w:r>
            <w:r>
              <w:rPr>
                <w:b/>
                <w:bCs/>
                <w:color w:val="000000" w:themeColor="text1"/>
                <w:sz w:val="21"/>
                <w:szCs w:val="21"/>
                <w:vertAlign w:val="superscript"/>
                <w14:textFill>
                  <w14:solidFill>
                    <w14:schemeClr w14:val="tx1"/>
                  </w14:solidFill>
                </w14:textFill>
              </w:rPr>
              <w:t>3</w:t>
            </w:r>
            <w:r>
              <w:rPr>
                <w:b/>
                <w:bCs/>
                <w:color w:val="000000" w:themeColor="text1"/>
                <w:sz w:val="21"/>
                <w:szCs w:val="21"/>
                <w14:textFill>
                  <w14:solidFill>
                    <w14:schemeClr w14:val="tx1"/>
                  </w14:solidFill>
                </w14:textFill>
              </w:rPr>
              <w:t>)</w:t>
            </w:r>
          </w:p>
        </w:tc>
        <w:tc>
          <w:tcPr>
            <w:tcW w:w="993" w:type="dxa"/>
            <w:tcMar>
              <w:left w:w="0" w:type="dxa"/>
              <w:right w:w="0" w:type="dxa"/>
            </w:tcMar>
            <w:vAlign w:val="center"/>
          </w:tcPr>
          <w:p w14:paraId="6439D286">
            <w:pPr>
              <w:spacing w:line="240" w:lineRule="exact"/>
              <w:ind w:firstLine="0" w:firstLineChars="0"/>
              <w:jc w:val="center"/>
              <w:rPr>
                <w:b/>
                <w:bCs/>
                <w:color w:val="000000" w:themeColor="text1"/>
                <w:sz w:val="21"/>
                <w:szCs w:val="21"/>
                <w14:textFill>
                  <w14:solidFill>
                    <w14:schemeClr w14:val="tx1"/>
                  </w14:solidFill>
                </w14:textFill>
              </w:rPr>
            </w:pPr>
            <w:r>
              <w:rPr>
                <w:b/>
                <w:bCs/>
                <w:color w:val="000000" w:themeColor="text1"/>
                <w:w w:val="95"/>
                <w:sz w:val="21"/>
                <w:szCs w:val="21"/>
                <w14:textFill>
                  <w14:solidFill>
                    <w14:schemeClr w14:val="tx1"/>
                  </w14:solidFill>
                </w14:textFill>
              </w:rPr>
              <w:t>速率</w:t>
            </w:r>
          </w:p>
          <w:p w14:paraId="18E4D672">
            <w:pPr>
              <w:spacing w:line="240" w:lineRule="exact"/>
              <w:ind w:firstLine="0" w:firstLineChars="0"/>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(kg/h)</w:t>
            </w:r>
          </w:p>
        </w:tc>
        <w:tc>
          <w:tcPr>
            <w:tcW w:w="1158" w:type="dxa"/>
            <w:tcMar>
              <w:left w:w="0" w:type="dxa"/>
              <w:right w:w="0" w:type="dxa"/>
            </w:tcMar>
            <w:vAlign w:val="center"/>
          </w:tcPr>
          <w:p w14:paraId="5B4C204A">
            <w:pPr>
              <w:spacing w:line="240" w:lineRule="exact"/>
              <w:ind w:firstLine="0" w:firstLineChars="0"/>
              <w:jc w:val="center"/>
              <w:rPr>
                <w:b/>
                <w:bCs/>
                <w:color w:val="000000" w:themeColor="text1"/>
                <w:sz w:val="21"/>
                <w:szCs w:val="21"/>
                <w14:textFill>
                  <w14:solidFill>
                    <w14:schemeClr w14:val="tx1"/>
                  </w14:solidFill>
                </w14:textFill>
              </w:rPr>
            </w:pPr>
            <w:r>
              <w:rPr>
                <w:b/>
                <w:bCs/>
                <w:color w:val="000000" w:themeColor="text1"/>
                <w:spacing w:val="-8"/>
                <w:sz w:val="21"/>
                <w:szCs w:val="21"/>
                <w14:textFill>
                  <w14:solidFill>
                    <w14:schemeClr w14:val="tx1"/>
                  </w14:solidFill>
                </w14:textFill>
              </w:rPr>
              <w:t>排放</w:t>
            </w:r>
            <w:r>
              <w:rPr>
                <w:b/>
                <w:bCs/>
                <w:color w:val="000000" w:themeColor="text1"/>
                <w:sz w:val="21"/>
                <w:szCs w:val="21"/>
                <w14:textFill>
                  <w14:solidFill>
                    <w14:schemeClr w14:val="tx1"/>
                  </w14:solidFill>
                </w14:textFill>
              </w:rPr>
              <w:t>量</w:t>
            </w:r>
          </w:p>
          <w:p w14:paraId="46DC6AF6">
            <w:pPr>
              <w:spacing w:line="240" w:lineRule="exact"/>
              <w:ind w:firstLine="0" w:firstLineChars="0"/>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(t/a)</w:t>
            </w:r>
          </w:p>
        </w:tc>
        <w:tc>
          <w:tcPr>
            <w:tcW w:w="829" w:type="dxa"/>
            <w:tcMar>
              <w:left w:w="0" w:type="dxa"/>
              <w:right w:w="0" w:type="dxa"/>
            </w:tcMar>
            <w:vAlign w:val="center"/>
          </w:tcPr>
          <w:p w14:paraId="08561ADB">
            <w:pPr>
              <w:spacing w:line="240" w:lineRule="exact"/>
              <w:ind w:firstLine="0" w:firstLineChars="0"/>
              <w:jc w:val="center"/>
              <w:rPr>
                <w:b/>
                <w:bCs/>
                <w:color w:val="000000" w:themeColor="text1"/>
                <w:sz w:val="21"/>
                <w:szCs w:val="21"/>
                <w14:textFill>
                  <w14:solidFill>
                    <w14:schemeClr w14:val="tx1"/>
                  </w14:solidFill>
                </w14:textFill>
              </w:rPr>
            </w:pPr>
            <w:r>
              <w:rPr>
                <w:b/>
                <w:bCs/>
                <w:color w:val="000000" w:themeColor="text1"/>
                <w:w w:val="95"/>
                <w:sz w:val="21"/>
                <w:szCs w:val="21"/>
                <w14:textFill>
                  <w14:solidFill>
                    <w14:schemeClr w14:val="tx1"/>
                  </w14:solidFill>
                </w14:textFill>
              </w:rPr>
              <w:t>气量</w:t>
            </w:r>
          </w:p>
          <w:p w14:paraId="78A651F1">
            <w:pPr>
              <w:spacing w:line="240" w:lineRule="exact"/>
              <w:ind w:firstLine="0" w:firstLineChars="0"/>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Nm</w:t>
            </w:r>
            <w:r>
              <w:rPr>
                <w:b/>
                <w:bCs/>
                <w:color w:val="000000" w:themeColor="text1"/>
                <w:sz w:val="21"/>
                <w:szCs w:val="21"/>
                <w:vertAlign w:val="superscript"/>
                <w14:textFill>
                  <w14:solidFill>
                    <w14:schemeClr w14:val="tx1"/>
                  </w14:solidFill>
                </w14:textFill>
              </w:rPr>
              <w:t>3</w:t>
            </w:r>
            <w:r>
              <w:rPr>
                <w:b/>
                <w:bCs/>
                <w:color w:val="000000" w:themeColor="text1"/>
                <w:sz w:val="21"/>
                <w:szCs w:val="21"/>
                <w14:textFill>
                  <w14:solidFill>
                    <w14:schemeClr w14:val="tx1"/>
                  </w14:solidFill>
                </w14:textFill>
              </w:rPr>
              <w:t>/h</w:t>
            </w:r>
          </w:p>
        </w:tc>
        <w:tc>
          <w:tcPr>
            <w:tcW w:w="1340" w:type="dxa"/>
            <w:vMerge w:val="continue"/>
            <w:tcMar>
              <w:left w:w="0" w:type="dxa"/>
              <w:right w:w="0" w:type="dxa"/>
            </w:tcMar>
            <w:vAlign w:val="center"/>
          </w:tcPr>
          <w:p w14:paraId="381F87F8">
            <w:pPr>
              <w:spacing w:line="240" w:lineRule="exact"/>
              <w:ind w:firstLine="0" w:firstLineChars="0"/>
              <w:jc w:val="center"/>
              <w:rPr>
                <w:b/>
                <w:bCs/>
                <w:color w:val="000000" w:themeColor="text1"/>
                <w:sz w:val="21"/>
                <w:szCs w:val="21"/>
                <w:lang w:eastAsia="en-US"/>
                <w14:textFill>
                  <w14:solidFill>
                    <w14:schemeClr w14:val="tx1"/>
                  </w14:solidFill>
                </w14:textFill>
              </w:rPr>
            </w:pPr>
          </w:p>
        </w:tc>
      </w:tr>
      <w:tr w14:paraId="48FE641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65" w:type="dxa"/>
            <w:vMerge w:val="continue"/>
            <w:tcMar>
              <w:left w:w="0" w:type="dxa"/>
              <w:right w:w="0" w:type="dxa"/>
            </w:tcMar>
            <w:vAlign w:val="center"/>
          </w:tcPr>
          <w:p w14:paraId="0523829F">
            <w:pPr>
              <w:spacing w:line="240" w:lineRule="exact"/>
              <w:ind w:firstLine="0" w:firstLineChars="0"/>
              <w:jc w:val="center"/>
              <w:rPr>
                <w:color w:val="000000" w:themeColor="text1"/>
                <w:sz w:val="21"/>
                <w:szCs w:val="21"/>
                <w14:textFill>
                  <w14:solidFill>
                    <w14:schemeClr w14:val="tx1"/>
                  </w14:solidFill>
                </w14:textFill>
              </w:rPr>
            </w:pPr>
          </w:p>
        </w:tc>
        <w:tc>
          <w:tcPr>
            <w:tcW w:w="696" w:type="dxa"/>
            <w:vMerge w:val="restart"/>
            <w:tcMar>
              <w:left w:w="0" w:type="dxa"/>
              <w:right w:w="0" w:type="dxa"/>
            </w:tcMar>
            <w:vAlign w:val="center"/>
          </w:tcPr>
          <w:p w14:paraId="441F838C">
            <w:pPr>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无组织排放</w:t>
            </w:r>
          </w:p>
        </w:tc>
        <w:tc>
          <w:tcPr>
            <w:tcW w:w="1134" w:type="dxa"/>
            <w:tcMar>
              <w:left w:w="0" w:type="dxa"/>
              <w:right w:w="0" w:type="dxa"/>
            </w:tcMar>
            <w:vAlign w:val="center"/>
          </w:tcPr>
          <w:p w14:paraId="4DFAEB09">
            <w:pPr>
              <w:spacing w:line="240" w:lineRule="exact"/>
              <w:ind w:firstLine="0" w:firstLineChars="0"/>
              <w:jc w:val="center"/>
              <w:rPr>
                <w:color w:val="000000" w:themeColor="text1"/>
                <w:sz w:val="21"/>
                <w:szCs w:val="21"/>
                <w14:textFill>
                  <w14:solidFill>
                    <w14:schemeClr w14:val="tx1"/>
                  </w14:solidFill>
                </w14:textFill>
              </w:rPr>
            </w:pPr>
            <w:r>
              <w:rPr>
                <w:rFonts w:hint="eastAsia"/>
                <w:color w:val="000000" w:themeColor="text1"/>
                <w:w w:val="99"/>
                <w:sz w:val="21"/>
                <w:szCs w:val="21"/>
                <w14:textFill>
                  <w14:solidFill>
                    <w14:schemeClr w14:val="tx1"/>
                  </w14:solidFill>
                </w14:textFill>
              </w:rPr>
              <w:t>苯乙烯</w:t>
            </w:r>
          </w:p>
        </w:tc>
        <w:tc>
          <w:tcPr>
            <w:tcW w:w="861" w:type="dxa"/>
            <w:tcMar>
              <w:left w:w="0" w:type="dxa"/>
              <w:right w:w="0" w:type="dxa"/>
            </w:tcMar>
            <w:vAlign w:val="center"/>
          </w:tcPr>
          <w:p w14:paraId="465E0C71">
            <w:pPr>
              <w:spacing w:line="240" w:lineRule="exact"/>
              <w:ind w:firstLine="0" w:firstLineChars="0"/>
              <w:jc w:val="center"/>
              <w:rPr>
                <w:color w:val="000000" w:themeColor="text1"/>
                <w:sz w:val="21"/>
                <w:szCs w:val="21"/>
                <w14:textFill>
                  <w14:solidFill>
                    <w14:schemeClr w14:val="tx1"/>
                  </w14:solidFill>
                </w14:textFill>
              </w:rPr>
            </w:pPr>
            <w:r>
              <w:rPr>
                <w:color w:val="000000" w:themeColor="text1"/>
                <w:w w:val="99"/>
                <w:sz w:val="21"/>
                <w:szCs w:val="21"/>
                <w14:textFill>
                  <w14:solidFill>
                    <w14:schemeClr w14:val="tx1"/>
                  </w14:solidFill>
                </w14:textFill>
              </w:rPr>
              <w:t>/</w:t>
            </w:r>
          </w:p>
        </w:tc>
        <w:tc>
          <w:tcPr>
            <w:tcW w:w="992" w:type="dxa"/>
            <w:tcMar>
              <w:left w:w="0" w:type="dxa"/>
              <w:right w:w="0" w:type="dxa"/>
            </w:tcMar>
            <w:vAlign w:val="center"/>
          </w:tcPr>
          <w:p w14:paraId="2A72BEF5">
            <w:pPr>
              <w:spacing w:line="240" w:lineRule="exac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0.0023</w:t>
            </w:r>
          </w:p>
        </w:tc>
        <w:tc>
          <w:tcPr>
            <w:tcW w:w="1124" w:type="dxa"/>
            <w:tcMar>
              <w:left w:w="0" w:type="dxa"/>
              <w:right w:w="0" w:type="dxa"/>
            </w:tcMar>
            <w:vAlign w:val="center"/>
          </w:tcPr>
          <w:p w14:paraId="63D58318">
            <w:pPr>
              <w:spacing w:line="240" w:lineRule="exact"/>
              <w:ind w:firstLine="0" w:firstLineChars="0"/>
              <w:jc w:val="center"/>
              <w:rPr>
                <w:color w:val="000000" w:themeColor="text1"/>
                <w:sz w:val="21"/>
                <w:szCs w:val="21"/>
                <w14:textFill>
                  <w14:solidFill>
                    <w14:schemeClr w14:val="tx1"/>
                  </w14:solidFill>
                </w14:textFill>
              </w:rPr>
            </w:pPr>
            <w:r>
              <w:rPr>
                <w:rFonts w:hint="eastAsia" w:eastAsia="等线"/>
                <w:color w:val="000000" w:themeColor="text1"/>
                <w:sz w:val="21"/>
                <w:szCs w:val="21"/>
                <w14:textFill>
                  <w14:solidFill>
                    <w14:schemeClr w14:val="tx1"/>
                  </w14:solidFill>
                </w14:textFill>
              </w:rPr>
              <w:t>0.00024</w:t>
            </w:r>
          </w:p>
        </w:tc>
        <w:tc>
          <w:tcPr>
            <w:tcW w:w="567" w:type="dxa"/>
            <w:vMerge w:val="restart"/>
            <w:tcMar>
              <w:left w:w="0" w:type="dxa"/>
              <w:right w:w="0" w:type="dxa"/>
            </w:tcMar>
            <w:vAlign w:val="center"/>
          </w:tcPr>
          <w:p w14:paraId="150A457E">
            <w:pPr>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1134" w:type="dxa"/>
            <w:vMerge w:val="restart"/>
            <w:tcMar>
              <w:left w:w="0" w:type="dxa"/>
              <w:right w:w="0" w:type="dxa"/>
            </w:tcMar>
            <w:vAlign w:val="center"/>
          </w:tcPr>
          <w:p w14:paraId="2CBF5590">
            <w:pPr>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577" w:type="dxa"/>
            <w:vMerge w:val="restart"/>
            <w:tcMar>
              <w:left w:w="0" w:type="dxa"/>
              <w:right w:w="0" w:type="dxa"/>
            </w:tcMar>
            <w:vAlign w:val="center"/>
          </w:tcPr>
          <w:p w14:paraId="48CF773E">
            <w:pPr>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850" w:type="dxa"/>
            <w:tcMar>
              <w:left w:w="0" w:type="dxa"/>
              <w:right w:w="0" w:type="dxa"/>
            </w:tcMar>
            <w:vAlign w:val="center"/>
          </w:tcPr>
          <w:p w14:paraId="66F2AE9A">
            <w:pPr>
              <w:spacing w:line="240" w:lineRule="exact"/>
              <w:ind w:firstLine="0" w:firstLineChars="0"/>
              <w:jc w:val="center"/>
              <w:rPr>
                <w:color w:val="000000" w:themeColor="text1"/>
                <w:sz w:val="21"/>
                <w:szCs w:val="21"/>
                <w14:textFill>
                  <w14:solidFill>
                    <w14:schemeClr w14:val="tx1"/>
                  </w14:solidFill>
                </w14:textFill>
              </w:rPr>
            </w:pPr>
            <w:r>
              <w:rPr>
                <w:color w:val="000000" w:themeColor="text1"/>
                <w:w w:val="99"/>
                <w:sz w:val="21"/>
                <w:szCs w:val="21"/>
                <w14:textFill>
                  <w14:solidFill>
                    <w14:schemeClr w14:val="tx1"/>
                  </w14:solidFill>
                </w14:textFill>
              </w:rPr>
              <w:t>/</w:t>
            </w:r>
          </w:p>
        </w:tc>
        <w:tc>
          <w:tcPr>
            <w:tcW w:w="993" w:type="dxa"/>
            <w:tcMar>
              <w:left w:w="0" w:type="dxa"/>
              <w:right w:w="0" w:type="dxa"/>
            </w:tcMar>
            <w:vAlign w:val="center"/>
          </w:tcPr>
          <w:p w14:paraId="6CE94F2C">
            <w:pPr>
              <w:spacing w:line="240" w:lineRule="exac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0.0023</w:t>
            </w:r>
          </w:p>
        </w:tc>
        <w:tc>
          <w:tcPr>
            <w:tcW w:w="1158" w:type="dxa"/>
            <w:tcMar>
              <w:left w:w="0" w:type="dxa"/>
              <w:right w:w="0" w:type="dxa"/>
            </w:tcMar>
            <w:vAlign w:val="center"/>
          </w:tcPr>
          <w:p w14:paraId="49A1CCD5">
            <w:pPr>
              <w:spacing w:line="240" w:lineRule="exact"/>
              <w:ind w:firstLine="0" w:firstLineChars="0"/>
              <w:jc w:val="center"/>
              <w:rPr>
                <w:color w:val="000000" w:themeColor="text1"/>
                <w:sz w:val="21"/>
                <w:szCs w:val="21"/>
                <w14:textFill>
                  <w14:solidFill>
                    <w14:schemeClr w14:val="tx1"/>
                  </w14:solidFill>
                </w14:textFill>
              </w:rPr>
            </w:pPr>
            <w:r>
              <w:rPr>
                <w:rFonts w:hint="eastAsia" w:eastAsia="等线"/>
                <w:color w:val="000000" w:themeColor="text1"/>
                <w:sz w:val="21"/>
                <w:szCs w:val="21"/>
                <w14:textFill>
                  <w14:solidFill>
                    <w14:schemeClr w14:val="tx1"/>
                  </w14:solidFill>
                </w14:textFill>
              </w:rPr>
              <w:t>0.00024</w:t>
            </w:r>
          </w:p>
        </w:tc>
        <w:tc>
          <w:tcPr>
            <w:tcW w:w="829" w:type="dxa"/>
            <w:vMerge w:val="restart"/>
            <w:tcMar>
              <w:left w:w="0" w:type="dxa"/>
              <w:right w:w="0" w:type="dxa"/>
            </w:tcMar>
            <w:vAlign w:val="center"/>
          </w:tcPr>
          <w:p w14:paraId="157252D0">
            <w:pPr>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1340" w:type="dxa"/>
            <w:vMerge w:val="restart"/>
            <w:tcMar>
              <w:left w:w="0" w:type="dxa"/>
              <w:right w:w="0" w:type="dxa"/>
            </w:tcMar>
            <w:vAlign w:val="center"/>
          </w:tcPr>
          <w:p w14:paraId="0DC90BD6">
            <w:pPr>
              <w:spacing w:line="240" w:lineRule="exac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3168</w:t>
            </w:r>
          </w:p>
        </w:tc>
      </w:tr>
      <w:tr w14:paraId="00D2785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65" w:type="dxa"/>
            <w:vMerge w:val="continue"/>
            <w:tcMar>
              <w:left w:w="0" w:type="dxa"/>
              <w:right w:w="0" w:type="dxa"/>
            </w:tcMar>
            <w:vAlign w:val="center"/>
          </w:tcPr>
          <w:p w14:paraId="45DE0E41">
            <w:pPr>
              <w:spacing w:line="240" w:lineRule="exact"/>
              <w:ind w:firstLine="0" w:firstLineChars="0"/>
              <w:jc w:val="center"/>
              <w:rPr>
                <w:color w:val="000000" w:themeColor="text1"/>
                <w:sz w:val="21"/>
                <w:szCs w:val="21"/>
                <w14:textFill>
                  <w14:solidFill>
                    <w14:schemeClr w14:val="tx1"/>
                  </w14:solidFill>
                </w14:textFill>
              </w:rPr>
            </w:pPr>
          </w:p>
        </w:tc>
        <w:tc>
          <w:tcPr>
            <w:tcW w:w="696" w:type="dxa"/>
            <w:vMerge w:val="continue"/>
            <w:tcMar>
              <w:left w:w="0" w:type="dxa"/>
              <w:right w:w="0" w:type="dxa"/>
            </w:tcMar>
            <w:vAlign w:val="center"/>
          </w:tcPr>
          <w:p w14:paraId="75E49005">
            <w:pPr>
              <w:spacing w:line="240" w:lineRule="exact"/>
              <w:ind w:firstLine="0" w:firstLineChars="0"/>
              <w:jc w:val="center"/>
              <w:rPr>
                <w:color w:val="000000" w:themeColor="text1"/>
                <w:sz w:val="21"/>
                <w:szCs w:val="21"/>
                <w14:textFill>
                  <w14:solidFill>
                    <w14:schemeClr w14:val="tx1"/>
                  </w14:solidFill>
                </w14:textFill>
              </w:rPr>
            </w:pPr>
          </w:p>
        </w:tc>
        <w:tc>
          <w:tcPr>
            <w:tcW w:w="1134" w:type="dxa"/>
            <w:tcMar>
              <w:left w:w="0" w:type="dxa"/>
              <w:right w:w="0" w:type="dxa"/>
            </w:tcMar>
            <w:vAlign w:val="center"/>
          </w:tcPr>
          <w:p w14:paraId="1753E2D4">
            <w:pPr>
              <w:spacing w:line="240" w:lineRule="exact"/>
              <w:ind w:firstLine="0" w:firstLineChars="0"/>
              <w:jc w:val="center"/>
              <w:rPr>
                <w:color w:val="000000" w:themeColor="text1"/>
                <w:sz w:val="21"/>
                <w:szCs w:val="21"/>
                <w14:textFill>
                  <w14:solidFill>
                    <w14:schemeClr w14:val="tx1"/>
                  </w14:solidFill>
                </w14:textFill>
              </w:rPr>
            </w:pPr>
            <w:r>
              <w:rPr>
                <w:rFonts w:hint="eastAsia"/>
                <w:color w:val="000000" w:themeColor="text1"/>
                <w:w w:val="99"/>
                <w:sz w:val="21"/>
                <w:szCs w:val="21"/>
                <w14:textFill>
                  <w14:solidFill>
                    <w14:schemeClr w14:val="tx1"/>
                  </w14:solidFill>
                </w14:textFill>
              </w:rPr>
              <w:t>硫酸雾</w:t>
            </w:r>
          </w:p>
        </w:tc>
        <w:tc>
          <w:tcPr>
            <w:tcW w:w="861" w:type="dxa"/>
            <w:tcMar>
              <w:left w:w="0" w:type="dxa"/>
              <w:right w:w="0" w:type="dxa"/>
            </w:tcMar>
            <w:vAlign w:val="center"/>
          </w:tcPr>
          <w:p w14:paraId="53EE6EFF">
            <w:pPr>
              <w:spacing w:line="240" w:lineRule="exact"/>
              <w:ind w:firstLine="0" w:firstLineChars="0"/>
              <w:jc w:val="center"/>
              <w:rPr>
                <w:color w:val="000000" w:themeColor="text1"/>
                <w:sz w:val="21"/>
                <w:szCs w:val="21"/>
                <w14:textFill>
                  <w14:solidFill>
                    <w14:schemeClr w14:val="tx1"/>
                  </w14:solidFill>
                </w14:textFill>
              </w:rPr>
            </w:pPr>
            <w:r>
              <w:rPr>
                <w:color w:val="000000" w:themeColor="text1"/>
                <w:w w:val="99"/>
                <w:sz w:val="21"/>
                <w:szCs w:val="21"/>
                <w14:textFill>
                  <w14:solidFill>
                    <w14:schemeClr w14:val="tx1"/>
                  </w14:solidFill>
                </w14:textFill>
              </w:rPr>
              <w:t>/</w:t>
            </w:r>
          </w:p>
        </w:tc>
        <w:tc>
          <w:tcPr>
            <w:tcW w:w="992" w:type="dxa"/>
            <w:tcMar>
              <w:left w:w="0" w:type="dxa"/>
              <w:right w:w="0" w:type="dxa"/>
            </w:tcMar>
            <w:vAlign w:val="center"/>
          </w:tcPr>
          <w:p w14:paraId="3A0FF32C">
            <w:pPr>
              <w:spacing w:line="240" w:lineRule="exact"/>
              <w:ind w:firstLine="0" w:firstLineChars="0"/>
              <w:jc w:val="center"/>
              <w:rPr>
                <w:rFonts w:eastAsia="等线"/>
                <w:color w:val="000000" w:themeColor="text1"/>
                <w:sz w:val="21"/>
                <w:szCs w:val="21"/>
                <w14:textFill>
                  <w14:solidFill>
                    <w14:schemeClr w14:val="tx1"/>
                  </w14:solidFill>
                </w14:textFill>
              </w:rPr>
            </w:pPr>
            <w:r>
              <w:rPr>
                <w:rFonts w:hint="eastAsia" w:eastAsia="等线"/>
                <w:color w:val="000000" w:themeColor="text1"/>
                <w:sz w:val="21"/>
                <w:szCs w:val="21"/>
                <w14:textFill>
                  <w14:solidFill>
                    <w14:schemeClr w14:val="tx1"/>
                  </w14:solidFill>
                </w14:textFill>
              </w:rPr>
              <w:t>0</w:t>
            </w:r>
            <w:r>
              <w:rPr>
                <w:rFonts w:eastAsia="等线"/>
                <w:color w:val="000000" w:themeColor="text1"/>
                <w:sz w:val="21"/>
                <w:szCs w:val="21"/>
                <w14:textFill>
                  <w14:solidFill>
                    <w14:schemeClr w14:val="tx1"/>
                  </w14:solidFill>
                </w14:textFill>
              </w:rPr>
              <w:t>.0311</w:t>
            </w:r>
          </w:p>
        </w:tc>
        <w:tc>
          <w:tcPr>
            <w:tcW w:w="1124" w:type="dxa"/>
            <w:tcMar>
              <w:left w:w="0" w:type="dxa"/>
              <w:right w:w="0" w:type="dxa"/>
            </w:tcMar>
            <w:vAlign w:val="center"/>
          </w:tcPr>
          <w:p w14:paraId="16FF8603">
            <w:pPr>
              <w:spacing w:line="240" w:lineRule="exact"/>
              <w:ind w:firstLine="0" w:firstLineChars="0"/>
              <w:jc w:val="center"/>
              <w:rPr>
                <w:rFonts w:eastAsia="等线"/>
                <w:color w:val="000000" w:themeColor="text1"/>
                <w:sz w:val="21"/>
                <w:szCs w:val="21"/>
                <w14:textFill>
                  <w14:solidFill>
                    <w14:schemeClr w14:val="tx1"/>
                  </w14:solidFill>
                </w14:textFill>
              </w:rPr>
            </w:pPr>
            <w:r>
              <w:rPr>
                <w:rFonts w:hint="eastAsia" w:eastAsia="等线"/>
                <w:color w:val="000000" w:themeColor="text1"/>
                <w:sz w:val="21"/>
                <w:szCs w:val="21"/>
                <w14:textFill>
                  <w14:solidFill>
                    <w14:schemeClr w14:val="tx1"/>
                  </w14:solidFill>
                </w14:textFill>
              </w:rPr>
              <w:t>0</w:t>
            </w:r>
            <w:r>
              <w:rPr>
                <w:rFonts w:eastAsia="等线"/>
                <w:color w:val="000000" w:themeColor="text1"/>
                <w:sz w:val="21"/>
                <w:szCs w:val="21"/>
                <w14:textFill>
                  <w14:solidFill>
                    <w14:schemeClr w14:val="tx1"/>
                  </w14:solidFill>
                </w14:textFill>
              </w:rPr>
              <w:t>.0011</w:t>
            </w:r>
          </w:p>
        </w:tc>
        <w:tc>
          <w:tcPr>
            <w:tcW w:w="567" w:type="dxa"/>
            <w:vMerge w:val="continue"/>
            <w:tcMar>
              <w:left w:w="0" w:type="dxa"/>
              <w:right w:w="0" w:type="dxa"/>
            </w:tcMar>
            <w:vAlign w:val="center"/>
          </w:tcPr>
          <w:p w14:paraId="1851ED7B">
            <w:pPr>
              <w:spacing w:line="240" w:lineRule="exact"/>
              <w:ind w:firstLine="0" w:firstLineChars="0"/>
              <w:jc w:val="center"/>
              <w:rPr>
                <w:color w:val="000000" w:themeColor="text1"/>
                <w:sz w:val="21"/>
                <w:szCs w:val="21"/>
                <w14:textFill>
                  <w14:solidFill>
                    <w14:schemeClr w14:val="tx1"/>
                  </w14:solidFill>
                </w14:textFill>
              </w:rPr>
            </w:pPr>
          </w:p>
        </w:tc>
        <w:tc>
          <w:tcPr>
            <w:tcW w:w="1134" w:type="dxa"/>
            <w:vMerge w:val="continue"/>
            <w:tcMar>
              <w:left w:w="0" w:type="dxa"/>
              <w:right w:w="0" w:type="dxa"/>
            </w:tcMar>
            <w:vAlign w:val="center"/>
          </w:tcPr>
          <w:p w14:paraId="388C6188">
            <w:pPr>
              <w:spacing w:line="240" w:lineRule="exact"/>
              <w:ind w:firstLine="0" w:firstLineChars="0"/>
              <w:jc w:val="center"/>
              <w:rPr>
                <w:color w:val="000000" w:themeColor="text1"/>
                <w:sz w:val="21"/>
                <w:szCs w:val="21"/>
                <w14:textFill>
                  <w14:solidFill>
                    <w14:schemeClr w14:val="tx1"/>
                  </w14:solidFill>
                </w14:textFill>
              </w:rPr>
            </w:pPr>
          </w:p>
        </w:tc>
        <w:tc>
          <w:tcPr>
            <w:tcW w:w="577" w:type="dxa"/>
            <w:vMerge w:val="continue"/>
            <w:tcMar>
              <w:left w:w="0" w:type="dxa"/>
              <w:right w:w="0" w:type="dxa"/>
            </w:tcMar>
            <w:vAlign w:val="center"/>
          </w:tcPr>
          <w:p w14:paraId="6EB6A881">
            <w:pPr>
              <w:spacing w:line="240" w:lineRule="exact"/>
              <w:ind w:firstLine="0" w:firstLineChars="0"/>
              <w:jc w:val="center"/>
              <w:rPr>
                <w:color w:val="000000" w:themeColor="text1"/>
                <w:sz w:val="21"/>
                <w:szCs w:val="21"/>
                <w14:textFill>
                  <w14:solidFill>
                    <w14:schemeClr w14:val="tx1"/>
                  </w14:solidFill>
                </w14:textFill>
              </w:rPr>
            </w:pPr>
          </w:p>
        </w:tc>
        <w:tc>
          <w:tcPr>
            <w:tcW w:w="850" w:type="dxa"/>
            <w:tcMar>
              <w:left w:w="0" w:type="dxa"/>
              <w:right w:w="0" w:type="dxa"/>
            </w:tcMar>
            <w:vAlign w:val="center"/>
          </w:tcPr>
          <w:p w14:paraId="4EC5438A">
            <w:pPr>
              <w:spacing w:line="240" w:lineRule="exact"/>
              <w:ind w:firstLine="0" w:firstLineChars="0"/>
              <w:jc w:val="center"/>
              <w:rPr>
                <w:color w:val="000000" w:themeColor="text1"/>
                <w:sz w:val="21"/>
                <w:szCs w:val="21"/>
                <w14:textFill>
                  <w14:solidFill>
                    <w14:schemeClr w14:val="tx1"/>
                  </w14:solidFill>
                </w14:textFill>
              </w:rPr>
            </w:pPr>
            <w:r>
              <w:rPr>
                <w:color w:val="000000" w:themeColor="text1"/>
                <w:w w:val="99"/>
                <w:sz w:val="21"/>
                <w:szCs w:val="21"/>
                <w14:textFill>
                  <w14:solidFill>
                    <w14:schemeClr w14:val="tx1"/>
                  </w14:solidFill>
                </w14:textFill>
              </w:rPr>
              <w:t>/</w:t>
            </w:r>
          </w:p>
        </w:tc>
        <w:tc>
          <w:tcPr>
            <w:tcW w:w="993" w:type="dxa"/>
            <w:tcMar>
              <w:left w:w="0" w:type="dxa"/>
              <w:right w:w="0" w:type="dxa"/>
            </w:tcMar>
            <w:vAlign w:val="center"/>
          </w:tcPr>
          <w:p w14:paraId="0B512AC5">
            <w:pPr>
              <w:spacing w:line="240" w:lineRule="exact"/>
              <w:ind w:firstLine="0" w:firstLineChars="0"/>
              <w:jc w:val="center"/>
              <w:rPr>
                <w:color w:val="000000" w:themeColor="text1"/>
                <w:sz w:val="21"/>
                <w:szCs w:val="21"/>
                <w14:textFill>
                  <w14:solidFill>
                    <w14:schemeClr w14:val="tx1"/>
                  </w14:solidFill>
                </w14:textFill>
              </w:rPr>
            </w:pPr>
            <w:r>
              <w:rPr>
                <w:rFonts w:hint="eastAsia" w:eastAsia="等线"/>
                <w:color w:val="000000" w:themeColor="text1"/>
                <w:sz w:val="21"/>
                <w:szCs w:val="21"/>
                <w14:textFill>
                  <w14:solidFill>
                    <w14:schemeClr w14:val="tx1"/>
                  </w14:solidFill>
                </w14:textFill>
              </w:rPr>
              <w:t>0</w:t>
            </w:r>
            <w:r>
              <w:rPr>
                <w:rFonts w:eastAsia="等线"/>
                <w:color w:val="000000" w:themeColor="text1"/>
                <w:sz w:val="21"/>
                <w:szCs w:val="21"/>
                <w14:textFill>
                  <w14:solidFill>
                    <w14:schemeClr w14:val="tx1"/>
                  </w14:solidFill>
                </w14:textFill>
              </w:rPr>
              <w:t>.0311</w:t>
            </w:r>
          </w:p>
        </w:tc>
        <w:tc>
          <w:tcPr>
            <w:tcW w:w="1158" w:type="dxa"/>
            <w:tcMar>
              <w:left w:w="0" w:type="dxa"/>
              <w:right w:w="0" w:type="dxa"/>
            </w:tcMar>
            <w:vAlign w:val="center"/>
          </w:tcPr>
          <w:p w14:paraId="6C4F73A8">
            <w:pPr>
              <w:spacing w:line="240" w:lineRule="exact"/>
              <w:ind w:firstLine="0" w:firstLineChars="0"/>
              <w:jc w:val="center"/>
              <w:rPr>
                <w:color w:val="000000" w:themeColor="text1"/>
                <w:sz w:val="21"/>
                <w:szCs w:val="21"/>
                <w14:textFill>
                  <w14:solidFill>
                    <w14:schemeClr w14:val="tx1"/>
                  </w14:solidFill>
                </w14:textFill>
              </w:rPr>
            </w:pPr>
            <w:r>
              <w:rPr>
                <w:rFonts w:hint="eastAsia" w:eastAsia="等线"/>
                <w:color w:val="000000" w:themeColor="text1"/>
                <w:sz w:val="21"/>
                <w:szCs w:val="21"/>
                <w14:textFill>
                  <w14:solidFill>
                    <w14:schemeClr w14:val="tx1"/>
                  </w14:solidFill>
                </w14:textFill>
              </w:rPr>
              <w:t>0</w:t>
            </w:r>
            <w:r>
              <w:rPr>
                <w:rFonts w:eastAsia="等线"/>
                <w:color w:val="000000" w:themeColor="text1"/>
                <w:sz w:val="21"/>
                <w:szCs w:val="21"/>
                <w14:textFill>
                  <w14:solidFill>
                    <w14:schemeClr w14:val="tx1"/>
                  </w14:solidFill>
                </w14:textFill>
              </w:rPr>
              <w:t>.0011</w:t>
            </w:r>
          </w:p>
        </w:tc>
        <w:tc>
          <w:tcPr>
            <w:tcW w:w="829" w:type="dxa"/>
            <w:vMerge w:val="continue"/>
            <w:tcMar>
              <w:left w:w="0" w:type="dxa"/>
              <w:right w:w="0" w:type="dxa"/>
            </w:tcMar>
            <w:vAlign w:val="center"/>
          </w:tcPr>
          <w:p w14:paraId="4702969F">
            <w:pPr>
              <w:spacing w:line="240" w:lineRule="exact"/>
              <w:ind w:firstLine="0" w:firstLineChars="0"/>
              <w:jc w:val="center"/>
              <w:rPr>
                <w:color w:val="000000" w:themeColor="text1"/>
                <w:sz w:val="21"/>
                <w:szCs w:val="21"/>
                <w14:textFill>
                  <w14:solidFill>
                    <w14:schemeClr w14:val="tx1"/>
                  </w14:solidFill>
                </w14:textFill>
              </w:rPr>
            </w:pPr>
          </w:p>
        </w:tc>
        <w:tc>
          <w:tcPr>
            <w:tcW w:w="1340" w:type="dxa"/>
            <w:vMerge w:val="continue"/>
            <w:tcMar>
              <w:left w:w="0" w:type="dxa"/>
              <w:right w:w="0" w:type="dxa"/>
            </w:tcMar>
            <w:vAlign w:val="center"/>
          </w:tcPr>
          <w:p w14:paraId="06A2BFCE">
            <w:pPr>
              <w:spacing w:line="240" w:lineRule="exact"/>
              <w:ind w:firstLine="0" w:firstLineChars="0"/>
              <w:jc w:val="center"/>
              <w:rPr>
                <w:color w:val="000000" w:themeColor="text1"/>
                <w:sz w:val="21"/>
                <w:szCs w:val="21"/>
                <w14:textFill>
                  <w14:solidFill>
                    <w14:schemeClr w14:val="tx1"/>
                  </w14:solidFill>
                </w14:textFill>
              </w:rPr>
            </w:pPr>
          </w:p>
        </w:tc>
      </w:tr>
      <w:tr w14:paraId="1BD637C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65" w:type="dxa"/>
            <w:vMerge w:val="continue"/>
            <w:tcMar>
              <w:left w:w="0" w:type="dxa"/>
              <w:right w:w="0" w:type="dxa"/>
            </w:tcMar>
            <w:vAlign w:val="center"/>
          </w:tcPr>
          <w:p w14:paraId="2A391DD9">
            <w:pPr>
              <w:spacing w:line="240" w:lineRule="exact"/>
              <w:ind w:firstLine="0" w:firstLineChars="0"/>
              <w:jc w:val="center"/>
              <w:rPr>
                <w:color w:val="000000" w:themeColor="text1"/>
                <w:sz w:val="21"/>
                <w:szCs w:val="21"/>
                <w14:textFill>
                  <w14:solidFill>
                    <w14:schemeClr w14:val="tx1"/>
                  </w14:solidFill>
                </w14:textFill>
              </w:rPr>
            </w:pPr>
          </w:p>
        </w:tc>
        <w:tc>
          <w:tcPr>
            <w:tcW w:w="696" w:type="dxa"/>
            <w:vMerge w:val="continue"/>
            <w:tcMar>
              <w:left w:w="0" w:type="dxa"/>
              <w:right w:w="0" w:type="dxa"/>
            </w:tcMar>
            <w:vAlign w:val="center"/>
          </w:tcPr>
          <w:p w14:paraId="10EFD061">
            <w:pPr>
              <w:spacing w:line="240" w:lineRule="exact"/>
              <w:ind w:firstLine="0" w:firstLineChars="0"/>
              <w:jc w:val="center"/>
              <w:rPr>
                <w:color w:val="000000" w:themeColor="text1"/>
                <w:sz w:val="21"/>
                <w:szCs w:val="21"/>
                <w14:textFill>
                  <w14:solidFill>
                    <w14:schemeClr w14:val="tx1"/>
                  </w14:solidFill>
                </w14:textFill>
              </w:rPr>
            </w:pPr>
          </w:p>
        </w:tc>
        <w:tc>
          <w:tcPr>
            <w:tcW w:w="1134" w:type="dxa"/>
            <w:tcMar>
              <w:left w:w="0" w:type="dxa"/>
              <w:right w:w="0" w:type="dxa"/>
            </w:tcMar>
            <w:vAlign w:val="center"/>
          </w:tcPr>
          <w:p w14:paraId="67D72219">
            <w:pPr>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VOCs</w:t>
            </w:r>
          </w:p>
          <w:p w14:paraId="147CA0AC">
            <w:pPr>
              <w:spacing w:line="240" w:lineRule="exac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（根据货种及标准统计）</w:t>
            </w:r>
          </w:p>
        </w:tc>
        <w:tc>
          <w:tcPr>
            <w:tcW w:w="861" w:type="dxa"/>
            <w:tcMar>
              <w:left w:w="0" w:type="dxa"/>
              <w:right w:w="0" w:type="dxa"/>
            </w:tcMar>
            <w:vAlign w:val="center"/>
          </w:tcPr>
          <w:p w14:paraId="5BF0A9AC">
            <w:pPr>
              <w:spacing w:line="240" w:lineRule="exact"/>
              <w:ind w:firstLine="0" w:firstLineChars="0"/>
              <w:jc w:val="center"/>
              <w:rPr>
                <w:color w:val="000000" w:themeColor="text1"/>
                <w:sz w:val="21"/>
                <w:szCs w:val="21"/>
                <w14:textFill>
                  <w14:solidFill>
                    <w14:schemeClr w14:val="tx1"/>
                  </w14:solidFill>
                </w14:textFill>
              </w:rPr>
            </w:pPr>
            <w:r>
              <w:rPr>
                <w:color w:val="000000" w:themeColor="text1"/>
                <w:w w:val="99"/>
                <w:sz w:val="21"/>
                <w:szCs w:val="21"/>
                <w14:textFill>
                  <w14:solidFill>
                    <w14:schemeClr w14:val="tx1"/>
                  </w14:solidFill>
                </w14:textFill>
              </w:rPr>
              <w:t>/</w:t>
            </w:r>
          </w:p>
        </w:tc>
        <w:tc>
          <w:tcPr>
            <w:tcW w:w="992" w:type="dxa"/>
            <w:tcMar>
              <w:left w:w="0" w:type="dxa"/>
              <w:right w:w="0" w:type="dxa"/>
            </w:tcMar>
            <w:vAlign w:val="center"/>
          </w:tcPr>
          <w:p w14:paraId="4C2411DB">
            <w:pPr>
              <w:spacing w:line="240" w:lineRule="exact"/>
              <w:ind w:firstLine="0" w:firstLineChars="0"/>
              <w:jc w:val="center"/>
              <w:rPr>
                <w:color w:val="000000" w:themeColor="text1"/>
                <w:sz w:val="21"/>
                <w:szCs w:val="21"/>
                <w14:textFill>
                  <w14:solidFill>
                    <w14:schemeClr w14:val="tx1"/>
                  </w14:solidFill>
                </w14:textFill>
              </w:rPr>
            </w:pPr>
            <w:r>
              <w:rPr>
                <w:rFonts w:hint="eastAsia" w:eastAsia="等线"/>
                <w:color w:val="000000" w:themeColor="text1"/>
                <w:sz w:val="21"/>
                <w:szCs w:val="21"/>
                <w14:textFill>
                  <w14:solidFill>
                    <w14:schemeClr w14:val="tx1"/>
                  </w14:solidFill>
                </w14:textFill>
              </w:rPr>
              <w:t>0</w:t>
            </w:r>
            <w:r>
              <w:rPr>
                <w:rFonts w:eastAsia="等线"/>
                <w:color w:val="000000" w:themeColor="text1"/>
                <w:sz w:val="21"/>
                <w:szCs w:val="21"/>
                <w14:textFill>
                  <w14:solidFill>
                    <w14:schemeClr w14:val="tx1"/>
                  </w14:solidFill>
                </w14:textFill>
              </w:rPr>
              <w:t>.0293</w:t>
            </w:r>
          </w:p>
        </w:tc>
        <w:tc>
          <w:tcPr>
            <w:tcW w:w="1124" w:type="dxa"/>
            <w:tcMar>
              <w:left w:w="0" w:type="dxa"/>
              <w:right w:w="0" w:type="dxa"/>
            </w:tcMar>
            <w:vAlign w:val="center"/>
          </w:tcPr>
          <w:p w14:paraId="20344A84">
            <w:pPr>
              <w:spacing w:line="240" w:lineRule="exact"/>
              <w:ind w:firstLine="0" w:firstLineChars="0"/>
              <w:jc w:val="center"/>
              <w:rPr>
                <w:color w:val="000000" w:themeColor="text1"/>
                <w:sz w:val="21"/>
                <w:szCs w:val="21"/>
                <w14:textFill>
                  <w14:solidFill>
                    <w14:schemeClr w14:val="tx1"/>
                  </w14:solidFill>
                </w14:textFill>
              </w:rPr>
            </w:pPr>
            <w:r>
              <w:rPr>
                <w:rFonts w:hint="eastAsia" w:eastAsia="等线"/>
                <w:color w:val="000000" w:themeColor="text1"/>
                <w:sz w:val="21"/>
                <w:szCs w:val="21"/>
                <w14:textFill>
                  <w14:solidFill>
                    <w14:schemeClr w14:val="tx1"/>
                  </w14:solidFill>
                </w14:textFill>
              </w:rPr>
              <w:t>0</w:t>
            </w:r>
            <w:r>
              <w:rPr>
                <w:rFonts w:eastAsia="等线"/>
                <w:color w:val="000000" w:themeColor="text1"/>
                <w:sz w:val="21"/>
                <w:szCs w:val="21"/>
                <w14:textFill>
                  <w14:solidFill>
                    <w14:schemeClr w14:val="tx1"/>
                  </w14:solidFill>
                </w14:textFill>
              </w:rPr>
              <w:t>.0141</w:t>
            </w:r>
          </w:p>
        </w:tc>
        <w:tc>
          <w:tcPr>
            <w:tcW w:w="567" w:type="dxa"/>
            <w:vMerge w:val="continue"/>
            <w:tcMar>
              <w:left w:w="0" w:type="dxa"/>
              <w:right w:w="0" w:type="dxa"/>
            </w:tcMar>
            <w:vAlign w:val="center"/>
          </w:tcPr>
          <w:p w14:paraId="30C4291D">
            <w:pPr>
              <w:spacing w:line="240" w:lineRule="exact"/>
              <w:ind w:firstLine="0" w:firstLineChars="0"/>
              <w:jc w:val="center"/>
              <w:rPr>
                <w:color w:val="000000" w:themeColor="text1"/>
                <w:sz w:val="21"/>
                <w:szCs w:val="21"/>
                <w14:textFill>
                  <w14:solidFill>
                    <w14:schemeClr w14:val="tx1"/>
                  </w14:solidFill>
                </w14:textFill>
              </w:rPr>
            </w:pPr>
          </w:p>
        </w:tc>
        <w:tc>
          <w:tcPr>
            <w:tcW w:w="1134" w:type="dxa"/>
            <w:vMerge w:val="continue"/>
            <w:tcMar>
              <w:left w:w="0" w:type="dxa"/>
              <w:right w:w="0" w:type="dxa"/>
            </w:tcMar>
            <w:vAlign w:val="center"/>
          </w:tcPr>
          <w:p w14:paraId="1DD3D8EE">
            <w:pPr>
              <w:spacing w:line="240" w:lineRule="exact"/>
              <w:ind w:firstLine="0" w:firstLineChars="0"/>
              <w:jc w:val="center"/>
              <w:rPr>
                <w:color w:val="000000" w:themeColor="text1"/>
                <w:sz w:val="21"/>
                <w:szCs w:val="21"/>
                <w14:textFill>
                  <w14:solidFill>
                    <w14:schemeClr w14:val="tx1"/>
                  </w14:solidFill>
                </w14:textFill>
              </w:rPr>
            </w:pPr>
          </w:p>
        </w:tc>
        <w:tc>
          <w:tcPr>
            <w:tcW w:w="577" w:type="dxa"/>
            <w:vMerge w:val="continue"/>
            <w:tcMar>
              <w:left w:w="0" w:type="dxa"/>
              <w:right w:w="0" w:type="dxa"/>
            </w:tcMar>
            <w:vAlign w:val="center"/>
          </w:tcPr>
          <w:p w14:paraId="71E4C698">
            <w:pPr>
              <w:spacing w:line="240" w:lineRule="exact"/>
              <w:ind w:firstLine="0" w:firstLineChars="0"/>
              <w:jc w:val="center"/>
              <w:rPr>
                <w:color w:val="000000" w:themeColor="text1"/>
                <w:sz w:val="21"/>
                <w:szCs w:val="21"/>
                <w14:textFill>
                  <w14:solidFill>
                    <w14:schemeClr w14:val="tx1"/>
                  </w14:solidFill>
                </w14:textFill>
              </w:rPr>
            </w:pPr>
          </w:p>
        </w:tc>
        <w:tc>
          <w:tcPr>
            <w:tcW w:w="850" w:type="dxa"/>
            <w:tcMar>
              <w:left w:w="0" w:type="dxa"/>
              <w:right w:w="0" w:type="dxa"/>
            </w:tcMar>
            <w:vAlign w:val="center"/>
          </w:tcPr>
          <w:p w14:paraId="442EC2AC">
            <w:pPr>
              <w:spacing w:line="240" w:lineRule="exact"/>
              <w:ind w:firstLine="0" w:firstLineChars="0"/>
              <w:jc w:val="center"/>
              <w:rPr>
                <w:color w:val="000000" w:themeColor="text1"/>
                <w:sz w:val="21"/>
                <w:szCs w:val="21"/>
                <w14:textFill>
                  <w14:solidFill>
                    <w14:schemeClr w14:val="tx1"/>
                  </w14:solidFill>
                </w14:textFill>
              </w:rPr>
            </w:pPr>
            <w:r>
              <w:rPr>
                <w:color w:val="000000" w:themeColor="text1"/>
                <w:w w:val="99"/>
                <w:sz w:val="21"/>
                <w:szCs w:val="21"/>
                <w14:textFill>
                  <w14:solidFill>
                    <w14:schemeClr w14:val="tx1"/>
                  </w14:solidFill>
                </w14:textFill>
              </w:rPr>
              <w:t>/</w:t>
            </w:r>
          </w:p>
        </w:tc>
        <w:tc>
          <w:tcPr>
            <w:tcW w:w="993" w:type="dxa"/>
            <w:tcMar>
              <w:left w:w="0" w:type="dxa"/>
              <w:right w:w="0" w:type="dxa"/>
            </w:tcMar>
            <w:vAlign w:val="center"/>
          </w:tcPr>
          <w:p w14:paraId="69B14088">
            <w:pPr>
              <w:spacing w:line="240" w:lineRule="exact"/>
              <w:ind w:firstLine="0" w:firstLineChars="0"/>
              <w:jc w:val="center"/>
              <w:rPr>
                <w:color w:val="000000" w:themeColor="text1"/>
                <w:sz w:val="21"/>
                <w:szCs w:val="21"/>
                <w14:textFill>
                  <w14:solidFill>
                    <w14:schemeClr w14:val="tx1"/>
                  </w14:solidFill>
                </w14:textFill>
              </w:rPr>
            </w:pPr>
            <w:r>
              <w:rPr>
                <w:rFonts w:hint="eastAsia" w:eastAsia="等线"/>
                <w:color w:val="000000" w:themeColor="text1"/>
                <w:sz w:val="21"/>
                <w:szCs w:val="21"/>
                <w14:textFill>
                  <w14:solidFill>
                    <w14:schemeClr w14:val="tx1"/>
                  </w14:solidFill>
                </w14:textFill>
              </w:rPr>
              <w:t>0</w:t>
            </w:r>
            <w:r>
              <w:rPr>
                <w:rFonts w:eastAsia="等线"/>
                <w:color w:val="000000" w:themeColor="text1"/>
                <w:sz w:val="21"/>
                <w:szCs w:val="21"/>
                <w14:textFill>
                  <w14:solidFill>
                    <w14:schemeClr w14:val="tx1"/>
                  </w14:solidFill>
                </w14:textFill>
              </w:rPr>
              <w:t>.0293</w:t>
            </w:r>
          </w:p>
        </w:tc>
        <w:tc>
          <w:tcPr>
            <w:tcW w:w="1158" w:type="dxa"/>
            <w:tcMar>
              <w:left w:w="0" w:type="dxa"/>
              <w:right w:w="0" w:type="dxa"/>
            </w:tcMar>
            <w:vAlign w:val="center"/>
          </w:tcPr>
          <w:p w14:paraId="4282F5EC">
            <w:pPr>
              <w:spacing w:line="240" w:lineRule="exact"/>
              <w:ind w:firstLine="0" w:firstLineChars="0"/>
              <w:jc w:val="center"/>
              <w:rPr>
                <w:color w:val="000000" w:themeColor="text1"/>
                <w:sz w:val="21"/>
                <w:szCs w:val="21"/>
                <w14:textFill>
                  <w14:solidFill>
                    <w14:schemeClr w14:val="tx1"/>
                  </w14:solidFill>
                </w14:textFill>
              </w:rPr>
            </w:pPr>
            <w:r>
              <w:rPr>
                <w:rFonts w:hint="eastAsia" w:eastAsia="等线"/>
                <w:color w:val="000000" w:themeColor="text1"/>
                <w:sz w:val="21"/>
                <w:szCs w:val="21"/>
                <w14:textFill>
                  <w14:solidFill>
                    <w14:schemeClr w14:val="tx1"/>
                  </w14:solidFill>
                </w14:textFill>
              </w:rPr>
              <w:t>0</w:t>
            </w:r>
            <w:r>
              <w:rPr>
                <w:rFonts w:eastAsia="等线"/>
                <w:color w:val="000000" w:themeColor="text1"/>
                <w:sz w:val="21"/>
                <w:szCs w:val="21"/>
                <w14:textFill>
                  <w14:solidFill>
                    <w14:schemeClr w14:val="tx1"/>
                  </w14:solidFill>
                </w14:textFill>
              </w:rPr>
              <w:t>.0141</w:t>
            </w:r>
          </w:p>
        </w:tc>
        <w:tc>
          <w:tcPr>
            <w:tcW w:w="829" w:type="dxa"/>
            <w:vMerge w:val="continue"/>
            <w:tcMar>
              <w:left w:w="0" w:type="dxa"/>
              <w:right w:w="0" w:type="dxa"/>
            </w:tcMar>
            <w:vAlign w:val="center"/>
          </w:tcPr>
          <w:p w14:paraId="1E107EAB">
            <w:pPr>
              <w:spacing w:line="240" w:lineRule="exact"/>
              <w:ind w:firstLine="0" w:firstLineChars="0"/>
              <w:jc w:val="center"/>
              <w:rPr>
                <w:color w:val="000000" w:themeColor="text1"/>
                <w:sz w:val="21"/>
                <w:szCs w:val="21"/>
                <w14:textFill>
                  <w14:solidFill>
                    <w14:schemeClr w14:val="tx1"/>
                  </w14:solidFill>
                </w14:textFill>
              </w:rPr>
            </w:pPr>
          </w:p>
        </w:tc>
        <w:tc>
          <w:tcPr>
            <w:tcW w:w="1340" w:type="dxa"/>
            <w:vMerge w:val="continue"/>
            <w:tcMar>
              <w:left w:w="0" w:type="dxa"/>
              <w:right w:w="0" w:type="dxa"/>
            </w:tcMar>
            <w:vAlign w:val="center"/>
          </w:tcPr>
          <w:p w14:paraId="4F24E8FA">
            <w:pPr>
              <w:spacing w:line="240" w:lineRule="exact"/>
              <w:ind w:firstLine="0" w:firstLineChars="0"/>
              <w:jc w:val="center"/>
              <w:rPr>
                <w:color w:val="000000" w:themeColor="text1"/>
                <w:sz w:val="21"/>
                <w:szCs w:val="21"/>
                <w14:textFill>
                  <w14:solidFill>
                    <w14:schemeClr w14:val="tx1"/>
                  </w14:solidFill>
                </w14:textFill>
              </w:rPr>
            </w:pPr>
          </w:p>
        </w:tc>
      </w:tr>
    </w:tbl>
    <w:p w14:paraId="73BB805B">
      <w:pPr>
        <w:ind w:left="480" w:firstLine="0" w:firstLineChars="0"/>
        <w:rPr>
          <w:color w:val="000000" w:themeColor="text1"/>
          <w14:textFill>
            <w14:solidFill>
              <w14:schemeClr w14:val="tx1"/>
            </w14:solidFill>
          </w14:textFill>
        </w:rPr>
        <w:sectPr>
          <w:headerReference r:id="rId17" w:type="default"/>
          <w:pgSz w:w="16838" w:h="11906" w:orient="landscape"/>
          <w:pgMar w:top="1800" w:right="1440" w:bottom="1800" w:left="1440" w:header="851" w:footer="992" w:gutter="0"/>
          <w:pgBorders>
            <w:top w:val="none" w:sz="0" w:space="0"/>
            <w:left w:val="none" w:sz="0" w:space="0"/>
            <w:bottom w:val="none" w:sz="0" w:space="0"/>
            <w:right w:val="none" w:sz="0" w:space="0"/>
          </w:pgBorders>
          <w:pgNumType w:fmt="numberInDash"/>
          <w:cols w:space="720" w:num="1"/>
          <w:docGrid w:type="lines" w:linePitch="326" w:charSpace="0"/>
        </w:sectPr>
      </w:pPr>
    </w:p>
    <w:p w14:paraId="1A582B36">
      <w:pPr>
        <w:pStyle w:val="6"/>
        <w:tabs>
          <w:tab w:val="left" w:pos="561"/>
        </w:tabs>
        <w:ind w:left="141"/>
        <w:rPr>
          <w:color w:val="000000" w:themeColor="text1"/>
          <w14:textFill>
            <w14:solidFill>
              <w14:schemeClr w14:val="tx1"/>
            </w14:solidFill>
          </w14:textFill>
        </w:rPr>
      </w:pPr>
      <w:r>
        <w:rPr>
          <w:color w:val="000000" w:themeColor="text1"/>
          <w14:textFill>
            <w14:solidFill>
              <w14:schemeClr w14:val="tx1"/>
            </w14:solidFill>
          </w14:textFill>
        </w:rPr>
        <w:t>废水源强</w:t>
      </w:r>
    </w:p>
    <w:p w14:paraId="157BE221">
      <w:pPr>
        <w:ind w:firstLine="480"/>
        <w:rPr>
          <w:snapToGrid w:val="0"/>
          <w:color w:val="000000" w:themeColor="text1"/>
          <w14:textFill>
            <w14:solidFill>
              <w14:schemeClr w14:val="tx1"/>
            </w14:solidFill>
          </w14:textFill>
        </w:rPr>
      </w:pPr>
      <w:r>
        <w:rPr>
          <w:snapToGrid w:val="0"/>
          <w:color w:val="000000" w:themeColor="text1"/>
          <w14:textFill>
            <w14:solidFill>
              <w14:schemeClr w14:val="tx1"/>
            </w14:solidFill>
          </w14:textFill>
        </w:rPr>
        <w:t>本工程建成运营后，项目废水分码头生产废水及生活污水。</w:t>
      </w:r>
    </w:p>
    <w:p w14:paraId="3B45A94A">
      <w:pPr>
        <w:ind w:firstLine="480"/>
        <w:rPr>
          <w:snapToGrid w:val="0"/>
          <w:color w:val="000000" w:themeColor="text1"/>
          <w14:textFill>
            <w14:solidFill>
              <w14:schemeClr w14:val="tx1"/>
            </w14:solidFill>
          </w14:textFill>
        </w:rPr>
      </w:pPr>
      <w:r>
        <w:rPr>
          <w:snapToGrid w:val="0"/>
          <w:color w:val="000000" w:themeColor="text1"/>
          <w14:textFill>
            <w14:solidFill>
              <w14:schemeClr w14:val="tx1"/>
            </w14:solidFill>
          </w14:textFill>
        </w:rPr>
        <w:t>码头废水包括码头的船舶机舱油污水、码头冲洗水、码头初期雨水；生活污水包括在港船舶生活污水及港区生活污水</w:t>
      </w:r>
      <w:r>
        <w:rPr>
          <w:snapToGrid w:val="0"/>
          <w:color w:val="000000" w:themeColor="text1"/>
          <w:u w:val="single"/>
          <w14:textFill>
            <w14:solidFill>
              <w14:schemeClr w14:val="tx1"/>
            </w14:solidFill>
          </w14:textFill>
        </w:rPr>
        <w:t>。不对扫线阀球清洗，不产生清洗废水。</w:t>
      </w:r>
    </w:p>
    <w:p w14:paraId="45655A60">
      <w:pPr>
        <w:ind w:firstLine="482"/>
        <w:rPr>
          <w:b/>
          <w:snapToGrid w:val="0"/>
          <w:color w:val="000000" w:themeColor="text1"/>
          <w14:textFill>
            <w14:solidFill>
              <w14:schemeClr w14:val="tx1"/>
            </w14:solidFill>
          </w14:textFill>
        </w:rPr>
      </w:pPr>
      <w:r>
        <w:rPr>
          <w:b/>
          <w:snapToGrid w:val="0"/>
          <w:color w:val="000000" w:themeColor="text1"/>
          <w14:textFill>
            <w14:solidFill>
              <w14:schemeClr w14:val="tx1"/>
            </w14:solidFill>
          </w14:textFill>
        </w:rPr>
        <w:t>1、船舶废水</w:t>
      </w:r>
    </w:p>
    <w:p w14:paraId="7B7C35A3">
      <w:pPr>
        <w:ind w:firstLine="480"/>
        <w:rPr>
          <w:color w:val="000000" w:themeColor="text1"/>
          <w14:textFill>
            <w14:solidFill>
              <w14:schemeClr w14:val="tx1"/>
            </w14:solidFill>
          </w14:textFill>
        </w:rPr>
      </w:pPr>
      <w:r>
        <w:rPr>
          <w:color w:val="000000" w:themeColor="text1"/>
          <w14:textFill>
            <w14:solidFill>
              <w14:schemeClr w14:val="tx1"/>
            </w14:solidFill>
          </w14:textFill>
        </w:rPr>
        <w:t>（1）船舶机舱油污水</w:t>
      </w:r>
    </w:p>
    <w:p w14:paraId="7A8E2A3E">
      <w:pPr>
        <w:ind w:firstLine="480"/>
        <w:rPr>
          <w:color w:val="000000" w:themeColor="text1"/>
          <w:u w:val="single"/>
          <w14:textFill>
            <w14:solidFill>
              <w14:schemeClr w14:val="tx1"/>
            </w14:solidFill>
          </w14:textFill>
        </w:rPr>
      </w:pPr>
      <w:r>
        <w:rPr>
          <w:color w:val="000000" w:themeColor="text1"/>
          <w:u w:val="single"/>
          <w14:textFill>
            <w14:solidFill>
              <w14:schemeClr w14:val="tx1"/>
            </w14:solidFill>
          </w14:textFill>
        </w:rPr>
        <w:t>到港船舶机舱油污水是机舱内各闸阀和管路中漏出的水与机器运转时漏出的润滑油、主辅机燃料油，加油时的溢出油，机舱及机舱板洗刷时产生的油污水等混合在一起的含油污水，主要污染物是石油类。</w:t>
      </w:r>
      <w:r>
        <w:rPr>
          <w:rFonts w:hint="eastAsia"/>
          <w:color w:val="000000" w:themeColor="text1"/>
          <w:u w:val="single"/>
          <w14:textFill>
            <w14:solidFill>
              <w14:schemeClr w14:val="tx1"/>
            </w14:solidFill>
          </w14:textFill>
        </w:rPr>
        <w:t>到港船舶3000吨船舶为</w:t>
      </w:r>
      <w:r>
        <w:rPr>
          <w:color w:val="000000" w:themeColor="text1"/>
          <w:u w:val="single"/>
          <w14:textFill>
            <w14:solidFill>
              <w14:schemeClr w14:val="tx1"/>
            </w14:solidFill>
          </w14:textFill>
        </w:rPr>
        <w:t>60</w:t>
      </w:r>
      <w:r>
        <w:rPr>
          <w:rFonts w:hint="eastAsia"/>
          <w:color w:val="000000" w:themeColor="text1"/>
          <w:u w:val="single"/>
          <w14:textFill>
            <w14:solidFill>
              <w14:schemeClr w14:val="tx1"/>
            </w14:solidFill>
          </w14:textFill>
        </w:rPr>
        <w:t>艘，</w:t>
      </w:r>
      <w:r>
        <w:rPr>
          <w:color w:val="000000" w:themeColor="text1"/>
          <w:u w:val="single"/>
          <w14:textFill>
            <w14:solidFill>
              <w14:schemeClr w14:val="tx1"/>
            </w14:solidFill>
          </w14:textFill>
        </w:rPr>
        <w:t>10</w:t>
      </w:r>
      <w:r>
        <w:rPr>
          <w:rFonts w:hint="eastAsia"/>
          <w:color w:val="000000" w:themeColor="text1"/>
          <w:u w:val="single"/>
          <w14:textFill>
            <w14:solidFill>
              <w14:schemeClr w14:val="tx1"/>
            </w14:solidFill>
          </w14:textFill>
        </w:rPr>
        <w:t>000吨船舶为</w:t>
      </w:r>
      <w:r>
        <w:rPr>
          <w:color w:val="000000" w:themeColor="text1"/>
          <w:u w:val="single"/>
          <w14:textFill>
            <w14:solidFill>
              <w14:schemeClr w14:val="tx1"/>
            </w14:solidFill>
          </w14:textFill>
        </w:rPr>
        <w:t>52</w:t>
      </w:r>
      <w:r>
        <w:rPr>
          <w:rFonts w:hint="eastAsia"/>
          <w:color w:val="000000" w:themeColor="text1"/>
          <w:u w:val="single"/>
          <w14:textFill>
            <w14:solidFill>
              <w14:schemeClr w14:val="tx1"/>
            </w14:solidFill>
          </w14:textFill>
        </w:rPr>
        <w:t>艘，</w:t>
      </w:r>
      <w:r>
        <w:rPr>
          <w:rFonts w:hint="eastAsia"/>
          <w:color w:val="000000" w:themeColor="text1"/>
          <w:kern w:val="0"/>
          <w:u w:val="single"/>
          <w:lang w:bidi="ar"/>
          <w14:textFill>
            <w14:solidFill>
              <w14:schemeClr w14:val="tx1"/>
            </w14:solidFill>
          </w14:textFill>
        </w:rPr>
        <w:t>5000</w:t>
      </w:r>
      <w:r>
        <w:rPr>
          <w:rFonts w:hint="eastAsia" w:ascii="宋体" w:hAnsi="宋体" w:cs="宋体"/>
          <w:color w:val="000000" w:themeColor="text1"/>
          <w:kern w:val="0"/>
          <w:u w:val="single"/>
          <w:lang w:bidi="ar"/>
          <w14:textFill>
            <w14:solidFill>
              <w14:schemeClr w14:val="tx1"/>
            </w14:solidFill>
          </w14:textFill>
        </w:rPr>
        <w:t>吨</w:t>
      </w:r>
      <w:r>
        <w:rPr>
          <w:rFonts w:hint="eastAsia"/>
          <w:color w:val="000000" w:themeColor="text1"/>
          <w:u w:val="single"/>
          <w14:textFill>
            <w14:solidFill>
              <w14:schemeClr w14:val="tx1"/>
            </w14:solidFill>
          </w14:textFill>
        </w:rPr>
        <w:t>船舶为</w:t>
      </w:r>
      <w:r>
        <w:rPr>
          <w:color w:val="000000" w:themeColor="text1"/>
          <w:u w:val="single"/>
          <w14:textFill>
            <w14:solidFill>
              <w14:schemeClr w14:val="tx1"/>
            </w14:solidFill>
          </w14:textFill>
        </w:rPr>
        <w:t>20</w:t>
      </w:r>
      <w:r>
        <w:rPr>
          <w:rFonts w:hint="eastAsia"/>
          <w:color w:val="000000" w:themeColor="text1"/>
          <w:u w:val="single"/>
          <w14:textFill>
            <w14:solidFill>
              <w14:schemeClr w14:val="tx1"/>
            </w14:solidFill>
          </w14:textFill>
        </w:rPr>
        <w:t>艘。《水运工程环境保护设计规范》（JTS149-2018）</w:t>
      </w:r>
      <w:r>
        <w:rPr>
          <w:color w:val="000000" w:themeColor="text1"/>
          <w:u w:val="single"/>
          <w14:textFill>
            <w14:solidFill>
              <w14:schemeClr w14:val="tx1"/>
            </w14:solidFill>
          </w14:textFill>
        </w:rPr>
        <w:t>船舶机舱油污水的发生量</w:t>
      </w:r>
      <w:r>
        <w:rPr>
          <w:rFonts w:hint="eastAsia"/>
          <w:color w:val="000000" w:themeColor="text1"/>
          <w:u w:val="single"/>
          <w14:textFill>
            <w14:solidFill>
              <w14:schemeClr w14:val="tx1"/>
            </w14:solidFill>
          </w14:textFill>
        </w:rPr>
        <w:t>系数，3000吨级船舶船舱油污水的发生量取0.6t/d</w:t>
      </w:r>
      <w:r>
        <w:rPr>
          <w:color w:val="000000" w:themeColor="text1"/>
          <w:u w:val="single"/>
          <w14:textFill>
            <w14:solidFill>
              <w14:schemeClr w14:val="tx1"/>
            </w14:solidFill>
          </w14:textFill>
        </w:rPr>
        <w:t>·</w:t>
      </w:r>
      <w:r>
        <w:rPr>
          <w:rFonts w:hint="eastAsia"/>
          <w:color w:val="000000" w:themeColor="text1"/>
          <w:u w:val="single"/>
          <w14:textFill>
            <w14:solidFill>
              <w14:schemeClr w14:val="tx1"/>
            </w14:solidFill>
          </w14:textFill>
        </w:rPr>
        <w:t>艘</w:t>
      </w:r>
      <w:r>
        <w:rPr>
          <w:color w:val="000000" w:themeColor="text1"/>
          <w:u w:val="single"/>
          <w14:textFill>
            <w14:solidFill>
              <w14:schemeClr w14:val="tx1"/>
            </w14:solidFill>
          </w14:textFill>
        </w:rPr>
        <w:t>，</w:t>
      </w:r>
      <w:r>
        <w:rPr>
          <w:rFonts w:hint="eastAsia"/>
          <w:color w:val="000000" w:themeColor="text1"/>
          <w:kern w:val="0"/>
          <w:u w:val="single"/>
          <w:lang w:bidi="ar"/>
          <w14:textFill>
            <w14:solidFill>
              <w14:schemeClr w14:val="tx1"/>
            </w14:solidFill>
          </w14:textFill>
        </w:rPr>
        <w:t>5000</w:t>
      </w:r>
      <w:r>
        <w:rPr>
          <w:rFonts w:hint="eastAsia" w:ascii="宋体" w:hAnsi="宋体" w:cs="宋体"/>
          <w:color w:val="000000" w:themeColor="text1"/>
          <w:kern w:val="0"/>
          <w:u w:val="single"/>
          <w:lang w:bidi="ar"/>
          <w14:textFill>
            <w14:solidFill>
              <w14:schemeClr w14:val="tx1"/>
            </w14:solidFill>
          </w14:textFill>
        </w:rPr>
        <w:t>吨</w:t>
      </w:r>
      <w:r>
        <w:rPr>
          <w:rFonts w:hint="eastAsia"/>
          <w:color w:val="000000" w:themeColor="text1"/>
          <w:u w:val="single"/>
          <w14:textFill>
            <w14:solidFill>
              <w14:schemeClr w14:val="tx1"/>
            </w14:solidFill>
          </w14:textFill>
        </w:rPr>
        <w:t>船舶船舱油污水的发生量取1.0t/d</w:t>
      </w:r>
      <w:r>
        <w:rPr>
          <w:color w:val="000000" w:themeColor="text1"/>
          <w:u w:val="single"/>
          <w14:textFill>
            <w14:solidFill>
              <w14:schemeClr w14:val="tx1"/>
            </w14:solidFill>
          </w14:textFill>
        </w:rPr>
        <w:t>·</w:t>
      </w:r>
      <w:r>
        <w:rPr>
          <w:rFonts w:hint="eastAsia"/>
          <w:color w:val="000000" w:themeColor="text1"/>
          <w:u w:val="single"/>
          <w14:textFill>
            <w14:solidFill>
              <w14:schemeClr w14:val="tx1"/>
            </w14:solidFill>
          </w14:textFill>
        </w:rPr>
        <w:t>艘，</w:t>
      </w:r>
      <w:r>
        <w:rPr>
          <w:color w:val="000000" w:themeColor="text1"/>
          <w:u w:val="single"/>
          <w14:textFill>
            <w14:solidFill>
              <w14:schemeClr w14:val="tx1"/>
            </w14:solidFill>
          </w14:textFill>
        </w:rPr>
        <w:t xml:space="preserve"> 10</w:t>
      </w:r>
      <w:r>
        <w:rPr>
          <w:rFonts w:hint="eastAsia"/>
          <w:color w:val="000000" w:themeColor="text1"/>
          <w:u w:val="single"/>
          <w14:textFill>
            <w14:solidFill>
              <w14:schemeClr w14:val="tx1"/>
            </w14:solidFill>
          </w14:textFill>
        </w:rPr>
        <w:t>000吨船舶船舱油污水的发生量取3.5t/d</w:t>
      </w:r>
      <w:r>
        <w:rPr>
          <w:color w:val="000000" w:themeColor="text1"/>
          <w:u w:val="single"/>
          <w14:textFill>
            <w14:solidFill>
              <w14:schemeClr w14:val="tx1"/>
            </w14:solidFill>
          </w14:textFill>
        </w:rPr>
        <w:t>·</w:t>
      </w:r>
      <w:r>
        <w:rPr>
          <w:rFonts w:hint="eastAsia"/>
          <w:color w:val="000000" w:themeColor="text1"/>
          <w:u w:val="single"/>
          <w14:textFill>
            <w14:solidFill>
              <w14:schemeClr w14:val="tx1"/>
            </w14:solidFill>
          </w14:textFill>
        </w:rPr>
        <w:t>艘，</w:t>
      </w:r>
      <w:r>
        <w:rPr>
          <w:color w:val="000000" w:themeColor="text1"/>
          <w:u w:val="single"/>
          <w14:textFill>
            <w14:solidFill>
              <w14:schemeClr w14:val="tx1"/>
            </w14:solidFill>
          </w14:textFill>
        </w:rPr>
        <w:t>船舶</w:t>
      </w:r>
      <w:r>
        <w:rPr>
          <w:rFonts w:hint="eastAsia"/>
          <w:color w:val="000000" w:themeColor="text1"/>
          <w:u w:val="single"/>
          <w14:textFill>
            <w14:solidFill>
              <w14:schemeClr w14:val="tx1"/>
            </w14:solidFill>
          </w14:textFill>
        </w:rPr>
        <w:t>停留一</w:t>
      </w:r>
      <w:r>
        <w:rPr>
          <w:color w:val="000000" w:themeColor="text1"/>
          <w:u w:val="single"/>
          <w14:textFill>
            <w14:solidFill>
              <w14:schemeClr w14:val="tx1"/>
            </w14:solidFill>
          </w14:textFill>
        </w:rPr>
        <w:t>天计，到港船舶机舱油污水的发生量为</w:t>
      </w:r>
      <w:r>
        <w:rPr>
          <w:rFonts w:hint="eastAsia"/>
          <w:color w:val="000000" w:themeColor="text1"/>
          <w:u w:val="single"/>
          <w14:textFill>
            <w14:solidFill>
              <w14:schemeClr w14:val="tx1"/>
            </w14:solidFill>
          </w14:textFill>
        </w:rPr>
        <w:t>238</w:t>
      </w:r>
      <w:r>
        <w:rPr>
          <w:color w:val="000000" w:themeColor="text1"/>
          <w:u w:val="single"/>
          <w14:textFill>
            <w14:solidFill>
              <w14:schemeClr w14:val="tx1"/>
            </w14:solidFill>
          </w14:textFill>
        </w:rPr>
        <w:t>t/a。机舱含油污水的平均含油浓度达到5000mg/L，石油类的发生量为</w:t>
      </w:r>
      <w:r>
        <w:rPr>
          <w:rFonts w:hint="eastAsia"/>
          <w:color w:val="000000" w:themeColor="text1"/>
          <w:u w:val="single"/>
          <w14:textFill>
            <w14:solidFill>
              <w14:schemeClr w14:val="tx1"/>
            </w14:solidFill>
          </w14:textFill>
        </w:rPr>
        <w:t>1.19</w:t>
      </w:r>
      <w:r>
        <w:rPr>
          <w:color w:val="000000" w:themeColor="text1"/>
          <w:u w:val="single"/>
          <w14:textFill>
            <w14:solidFill>
              <w14:schemeClr w14:val="tx1"/>
            </w14:solidFill>
          </w14:textFill>
        </w:rPr>
        <w:t>t/a。</w:t>
      </w:r>
    </w:p>
    <w:p w14:paraId="24E5A530">
      <w:pPr>
        <w:ind w:firstLine="480"/>
        <w:rPr>
          <w:color w:val="000000" w:themeColor="text1"/>
          <w14:textFill>
            <w14:solidFill>
              <w14:schemeClr w14:val="tx1"/>
            </w14:solidFill>
          </w14:textFill>
        </w:rPr>
      </w:pPr>
      <w:r>
        <w:rPr>
          <w:color w:val="000000" w:themeColor="text1"/>
          <w14:textFill>
            <w14:solidFill>
              <w14:schemeClr w14:val="tx1"/>
            </w14:solidFill>
          </w14:textFill>
        </w:rPr>
        <w:t>含油污水由具有相关资质的单位接收处理。</w:t>
      </w:r>
    </w:p>
    <w:p w14:paraId="6FA65CC3">
      <w:pPr>
        <w:ind w:firstLine="480"/>
        <w:rPr>
          <w:color w:val="000000" w:themeColor="text1"/>
          <w14:textFill>
            <w14:solidFill>
              <w14:schemeClr w14:val="tx1"/>
            </w14:solidFill>
          </w14:textFill>
        </w:rPr>
      </w:pPr>
      <w:r>
        <w:rPr>
          <w:color w:val="000000" w:themeColor="text1"/>
          <w14:textFill>
            <w14:solidFill>
              <w14:schemeClr w14:val="tx1"/>
            </w14:solidFill>
          </w14:textFill>
        </w:rPr>
        <w:t>（2）船舶压载水</w:t>
      </w:r>
    </w:p>
    <w:p w14:paraId="56E629FB">
      <w:pPr>
        <w:ind w:firstLine="480"/>
        <w:rPr>
          <w:color w:val="000000" w:themeColor="text1"/>
          <w14:textFill>
            <w14:solidFill>
              <w14:schemeClr w14:val="tx1"/>
            </w14:solidFill>
          </w14:textFill>
        </w:rPr>
      </w:pPr>
      <w:r>
        <w:rPr>
          <w:color w:val="000000" w:themeColor="text1"/>
          <w14:textFill>
            <w14:solidFill>
              <w14:schemeClr w14:val="tx1"/>
            </w14:solidFill>
          </w14:textFill>
        </w:rPr>
        <w:t>根据《2004年国际船舶压载水和沉积物控制和管理公约》及《2014年中国船级社压载水公约实施指南》，压载水的管理主要包括压载水置换和压载水处理两种方式。压载水置换是指要求在深海中将在港口内装载的压载水置换成深海中的水，因为深海中的水即使携带某些水生物，被排放到接收港水域内后，水生物一般因生存条件的差异性而不易存活，因而减少了或避免了对当地港口水生环境的不利影响。压载水处理则是指对加装上船的压载水在排放到另一水域内前必须对其中的水生物进行杀灭处理，使得其在压载水中的存活率达到一定的限定标准而不再会对接收港水域造成不利影响。两种管理方式分别对应D-1标准（压载水置换标准）和D-2标准（压载水排放性能标准）。公约B-3条规定2009年之后建造的压载舱容量小于5000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的船舶，或者2012年以后建造的压载舱容量大于5000m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的船舶，应于建造阶段强制实施D-2标准，其余船舶应于2016年强制实施D-2标准。D-2标准的实现途径为船舶安装获得型式认可的压载水处理系统。</w:t>
      </w:r>
    </w:p>
    <w:p w14:paraId="1ED628AA">
      <w:pPr>
        <w:ind w:firstLine="480"/>
        <w:rPr>
          <w:color w:val="000000" w:themeColor="text1"/>
          <w14:textFill>
            <w14:solidFill>
              <w14:schemeClr w14:val="tx1"/>
            </w14:solidFill>
          </w14:textFill>
        </w:rPr>
      </w:pPr>
      <w:r>
        <w:rPr>
          <w:color w:val="000000" w:themeColor="text1"/>
          <w14:textFill>
            <w14:solidFill>
              <w14:schemeClr w14:val="tx1"/>
            </w14:solidFill>
          </w14:textFill>
        </w:rPr>
        <w:t>《2004年船舶压载水及沉积物控制和管理国际公约》已于2017年9月8日起生效，未经处理的压载水不能在港内排放，本项目来港船舶均应强制实施D-2标准，安装获得型式认可的压载水处理系统。因此，本项目来港的外贸船舶压载水排放前必须对其中的水生物进行杀灭处理，不再会对接收港水域造成不利影响。</w:t>
      </w:r>
    </w:p>
    <w:p w14:paraId="06E3741D">
      <w:pPr>
        <w:ind w:firstLine="480"/>
        <w:rPr>
          <w:color w:val="000000" w:themeColor="text1"/>
          <w14:textFill>
            <w14:solidFill>
              <w14:schemeClr w14:val="tx1"/>
            </w14:solidFill>
          </w14:textFill>
        </w:rPr>
      </w:pPr>
      <w:r>
        <w:rPr>
          <w:color w:val="000000" w:themeColor="text1"/>
          <w14:textFill>
            <w14:solidFill>
              <w14:schemeClr w14:val="tx1"/>
            </w14:solidFill>
          </w14:textFill>
        </w:rPr>
        <w:t>此外，本项目运输船舶要求只使用专用压载水舱隔舱型，即船舶压载水舱与货品舱分离，压载水不受所运送的货品物料的污染。</w:t>
      </w:r>
    </w:p>
    <w:p w14:paraId="02BD5835">
      <w:pPr>
        <w:ind w:firstLine="480"/>
        <w:rPr>
          <w:color w:val="000000" w:themeColor="text1"/>
          <w14:textFill>
            <w14:solidFill>
              <w14:schemeClr w14:val="tx1"/>
            </w14:solidFill>
          </w14:textFill>
        </w:rPr>
      </w:pPr>
      <w:r>
        <w:rPr>
          <w:color w:val="000000" w:themeColor="text1"/>
          <w14:textFill>
            <w14:solidFill>
              <w14:schemeClr w14:val="tx1"/>
            </w14:solidFill>
          </w14:textFill>
        </w:rPr>
        <w:t>（3）船舶生活污水</w:t>
      </w:r>
    </w:p>
    <w:p w14:paraId="4E9B0DF2">
      <w:pPr>
        <w:ind w:firstLine="412"/>
        <w:rPr>
          <w:snapToGrid w:val="0"/>
          <w:color w:val="000000" w:themeColor="text1"/>
          <w:kern w:val="0"/>
          <w14:textFill>
            <w14:solidFill>
              <w14:schemeClr w14:val="tx1"/>
            </w14:solidFill>
          </w14:textFill>
        </w:rPr>
      </w:pPr>
      <w:r>
        <w:rPr>
          <w:color w:val="000000" w:themeColor="text1"/>
          <w:spacing w:val="-17"/>
          <w14:textFill>
            <w14:solidFill>
              <w14:schemeClr w14:val="tx1"/>
            </w14:solidFill>
          </w14:textFill>
        </w:rPr>
        <w:t xml:space="preserve">根据 </w:t>
      </w:r>
      <w:r>
        <w:rPr>
          <w:rFonts w:eastAsia="Times New Roman"/>
          <w:color w:val="000000" w:themeColor="text1"/>
          <w14:textFill>
            <w14:solidFill>
              <w14:schemeClr w14:val="tx1"/>
            </w14:solidFill>
          </w14:textFill>
        </w:rPr>
        <w:t xml:space="preserve">73/78 </w:t>
      </w:r>
      <w:r>
        <w:rPr>
          <w:color w:val="000000" w:themeColor="text1"/>
          <w14:textFill>
            <w14:solidFill>
              <w14:schemeClr w14:val="tx1"/>
            </w14:solidFill>
          </w14:textFill>
        </w:rPr>
        <w:t xml:space="preserve">国际海事组织制定的防止船舶污染海洋公约附则Ⅳ第 </w:t>
      </w:r>
      <w:r>
        <w:rPr>
          <w:rFonts w:eastAsia="Times New Roman"/>
          <w:color w:val="000000" w:themeColor="text1"/>
          <w14:textFill>
            <w14:solidFill>
              <w14:schemeClr w14:val="tx1"/>
            </w14:solidFill>
          </w14:textFill>
        </w:rPr>
        <w:t xml:space="preserve">8 </w:t>
      </w:r>
      <w:r>
        <w:rPr>
          <w:color w:val="000000" w:themeColor="text1"/>
          <w:spacing w:val="3"/>
          <w14:textFill>
            <w14:solidFill>
              <w14:schemeClr w14:val="tx1"/>
            </w14:solidFill>
          </w14:textFill>
        </w:rPr>
        <w:t>条的规定，船舶上必须</w:t>
      </w:r>
      <w:r>
        <w:rPr>
          <w:color w:val="000000" w:themeColor="text1"/>
          <w14:textFill>
            <w14:solidFill>
              <w14:schemeClr w14:val="tx1"/>
            </w14:solidFill>
          </w14:textFill>
        </w:rPr>
        <w:t>备有经主管机关认可的生活污水处理装置，且须保证生活污水处理设施的正常运转，达到</w:t>
      </w:r>
      <w:r>
        <w:rPr>
          <w:color w:val="000000" w:themeColor="text1"/>
          <w:spacing w:val="-4"/>
          <w14:textFill>
            <w14:solidFill>
              <w14:schemeClr w14:val="tx1"/>
            </w14:solidFill>
          </w14:textFill>
        </w:rPr>
        <w:t xml:space="preserve">标准后方可在航行中并且在 </w:t>
      </w:r>
      <w:r>
        <w:rPr>
          <w:rFonts w:eastAsia="Times New Roman"/>
          <w:color w:val="000000" w:themeColor="text1"/>
          <w14:textFill>
            <w14:solidFill>
              <w14:schemeClr w14:val="tx1"/>
            </w14:solidFill>
          </w14:textFill>
        </w:rPr>
        <w:t xml:space="preserve">12 </w:t>
      </w:r>
      <w:r>
        <w:rPr>
          <w:color w:val="000000" w:themeColor="text1"/>
          <w:spacing w:val="-1"/>
          <w14:textFill>
            <w14:solidFill>
              <w14:schemeClr w14:val="tx1"/>
            </w14:solidFill>
          </w14:textFill>
        </w:rPr>
        <w:t>海里以外排放，因此，本项目营运</w:t>
      </w:r>
      <w:r>
        <w:rPr>
          <w:color w:val="000000" w:themeColor="text1"/>
          <w14:textFill>
            <w14:solidFill>
              <w14:schemeClr w14:val="tx1"/>
            </w14:solidFill>
          </w14:textFill>
        </w:rPr>
        <w:t>期间船舶生活污水主要为船舶在港期间所产生的生活污水。</w:t>
      </w:r>
    </w:p>
    <w:p w14:paraId="11B84DB7">
      <w:pPr>
        <w:ind w:firstLine="480"/>
        <w:rPr>
          <w:color w:val="000000" w:themeColor="text1"/>
          <w14:textFill>
            <w14:solidFill>
              <w14:schemeClr w14:val="tx1"/>
            </w14:solidFill>
          </w14:textFill>
        </w:rPr>
      </w:pPr>
      <w:r>
        <w:rPr>
          <w:color w:val="000000" w:themeColor="text1"/>
          <w14:textFill>
            <w14:solidFill>
              <w14:schemeClr w14:val="tx1"/>
            </w14:solidFill>
          </w14:textFill>
        </w:rPr>
        <w:t xml:space="preserve">根据估算本项目全年到港船舶最大约 </w:t>
      </w:r>
      <w:r>
        <w:rPr>
          <w:rFonts w:hint="eastAsia"/>
          <w:color w:val="000000" w:themeColor="text1"/>
          <w14:textFill>
            <w14:solidFill>
              <w14:schemeClr w14:val="tx1"/>
            </w14:solidFill>
          </w14:textFill>
        </w:rPr>
        <w:t>132</w:t>
      </w:r>
      <w:r>
        <w:rPr>
          <w:color w:val="000000" w:themeColor="text1"/>
          <w14:textFill>
            <w14:solidFill>
              <w14:schemeClr w14:val="tx1"/>
            </w14:solidFill>
          </w14:textFill>
        </w:rPr>
        <w:t xml:space="preserve"> 艘，每艘船舶工作人员平均按</w:t>
      </w:r>
      <w:r>
        <w:rPr>
          <w:rFonts w:hint="eastAsia"/>
          <w:color w:val="000000" w:themeColor="text1"/>
          <w14:textFill>
            <w14:solidFill>
              <w14:schemeClr w14:val="tx1"/>
            </w14:solidFill>
          </w14:textFill>
        </w:rPr>
        <w:t>15</w:t>
      </w:r>
      <w:r>
        <w:rPr>
          <w:color w:val="000000" w:themeColor="text1"/>
          <w14:textFill>
            <w14:solidFill>
              <w14:schemeClr w14:val="tx1"/>
            </w14:solidFill>
          </w14:textFill>
        </w:rPr>
        <w:t xml:space="preserve"> 人计，生活用水量按 100L/d•人计，产污系数按 0.8 计，每人产生的生活污水量为 80L/d，按每艘船平均在港停留按</w:t>
      </w:r>
      <w:r>
        <w:rPr>
          <w:rFonts w:hint="eastAsia"/>
          <w:color w:val="000000" w:themeColor="text1"/>
          <w14:textFill>
            <w14:solidFill>
              <w14:schemeClr w14:val="tx1"/>
            </w14:solidFill>
          </w14:textFill>
        </w:rPr>
        <w:t>1</w:t>
      </w:r>
      <w:r>
        <w:rPr>
          <w:color w:val="000000" w:themeColor="text1"/>
          <w14:textFill>
            <w14:solidFill>
              <w14:schemeClr w14:val="tx1"/>
            </w14:solidFill>
          </w14:textFill>
        </w:rPr>
        <w:t>d计算，则船舶生活污水的产生量为</w:t>
      </w:r>
      <w:r>
        <w:rPr>
          <w:rFonts w:hint="eastAsia"/>
          <w:color w:val="000000" w:themeColor="text1"/>
          <w14:textFill>
            <w14:solidFill>
              <w14:schemeClr w14:val="tx1"/>
            </w14:solidFill>
          </w14:textFill>
        </w:rPr>
        <w:t>158.4</w:t>
      </w:r>
      <w:r>
        <w:rPr>
          <w:color w:val="000000" w:themeColor="text1"/>
          <w14:textFill>
            <w14:solidFill>
              <w14:schemeClr w14:val="tx1"/>
            </w14:solidFill>
          </w14:textFill>
        </w:rPr>
        <w:t xml:space="preserve"> t/a，类比同类项目，COD、氨氮、总氮、总磷浓度分别按350mg/L、35mg/L、45mg/L、6mg/L 计，则其污染物 COD、氨氮、总氮、总磷产生量分别约为 </w:t>
      </w:r>
      <w:r>
        <w:rPr>
          <w:rFonts w:hint="eastAsia"/>
          <w:color w:val="000000" w:themeColor="text1"/>
          <w14:textFill>
            <w14:solidFill>
              <w14:schemeClr w14:val="tx1"/>
            </w14:solidFill>
          </w14:textFill>
        </w:rPr>
        <w:t>0.055</w:t>
      </w:r>
      <w:r>
        <w:rPr>
          <w:color w:val="000000" w:themeColor="text1"/>
          <w14:textFill>
            <w14:solidFill>
              <w14:schemeClr w14:val="tx1"/>
            </w14:solidFill>
          </w14:textFill>
        </w:rPr>
        <w:t>t/a、0.0</w:t>
      </w:r>
      <w:r>
        <w:rPr>
          <w:rFonts w:hint="eastAsia"/>
          <w:color w:val="000000" w:themeColor="text1"/>
          <w14:textFill>
            <w14:solidFill>
              <w14:schemeClr w14:val="tx1"/>
            </w14:solidFill>
          </w14:textFill>
        </w:rPr>
        <w:t>06</w:t>
      </w:r>
      <w:r>
        <w:rPr>
          <w:color w:val="000000" w:themeColor="text1"/>
          <w14:textFill>
            <w14:solidFill>
              <w14:schemeClr w14:val="tx1"/>
            </w14:solidFill>
          </w14:textFill>
        </w:rPr>
        <w:t>t/a、0.0</w:t>
      </w:r>
      <w:r>
        <w:rPr>
          <w:rFonts w:hint="eastAsia"/>
          <w:color w:val="000000" w:themeColor="text1"/>
          <w14:textFill>
            <w14:solidFill>
              <w14:schemeClr w14:val="tx1"/>
            </w14:solidFill>
          </w14:textFill>
        </w:rPr>
        <w:t>71</w:t>
      </w:r>
      <w:r>
        <w:rPr>
          <w:color w:val="000000" w:themeColor="text1"/>
          <w14:textFill>
            <w14:solidFill>
              <w14:schemeClr w14:val="tx1"/>
            </w14:solidFill>
          </w14:textFill>
        </w:rPr>
        <w:t>t/a、0.00</w:t>
      </w:r>
      <w:r>
        <w:rPr>
          <w:rFonts w:hint="eastAsia"/>
          <w:color w:val="000000" w:themeColor="text1"/>
          <w14:textFill>
            <w14:solidFill>
              <w14:schemeClr w14:val="tx1"/>
            </w14:solidFill>
          </w14:textFill>
        </w:rPr>
        <w:t>1</w:t>
      </w:r>
      <w:r>
        <w:rPr>
          <w:color w:val="000000" w:themeColor="text1"/>
          <w14:textFill>
            <w14:solidFill>
              <w14:schemeClr w14:val="tx1"/>
            </w14:solidFill>
          </w14:textFill>
        </w:rPr>
        <w:t>t/a。</w:t>
      </w:r>
    </w:p>
    <w:p w14:paraId="7C4177ED">
      <w:pPr>
        <w:ind w:firstLine="480"/>
        <w:rPr>
          <w:snapToGrid w:val="0"/>
          <w:color w:val="000000" w:themeColor="text1"/>
          <w:kern w:val="0"/>
          <w14:textFill>
            <w14:solidFill>
              <w14:schemeClr w14:val="tx1"/>
            </w14:solidFill>
          </w14:textFill>
        </w:rPr>
      </w:pPr>
      <w:r>
        <w:rPr>
          <w:snapToGrid w:val="0"/>
          <w:color w:val="000000" w:themeColor="text1"/>
          <w:kern w:val="0"/>
          <w14:textFill>
            <w14:solidFill>
              <w14:schemeClr w14:val="tx1"/>
            </w14:solidFill>
          </w14:textFill>
        </w:rPr>
        <w:t>到港船舶生活污水由船舶公司委托有资质单位接收处置。</w:t>
      </w:r>
    </w:p>
    <w:p w14:paraId="0623A9AD">
      <w:pPr>
        <w:ind w:firstLine="480"/>
        <w:rPr>
          <w:color w:val="000000" w:themeColor="text1"/>
          <w14:textFill>
            <w14:solidFill>
              <w14:schemeClr w14:val="tx1"/>
            </w14:solidFill>
          </w14:textFill>
        </w:rPr>
      </w:pPr>
      <w:r>
        <w:rPr>
          <w:color w:val="000000" w:themeColor="text1"/>
          <w14:textFill>
            <w14:solidFill>
              <w14:schemeClr w14:val="tx1"/>
            </w14:solidFill>
          </w14:textFill>
        </w:rPr>
        <w:t>（4）洗舱废水</w:t>
      </w:r>
    </w:p>
    <w:p w14:paraId="5B1294EC">
      <w:pPr>
        <w:ind w:firstLine="480"/>
        <w:rPr>
          <w:bCs/>
          <w:color w:val="000000" w:themeColor="text1"/>
          <w:u w:val="single"/>
          <w14:textFill>
            <w14:solidFill>
              <w14:schemeClr w14:val="tx1"/>
            </w14:solidFill>
          </w14:textFill>
        </w:rPr>
      </w:pPr>
      <w:r>
        <w:rPr>
          <w:bCs/>
          <w:color w:val="000000" w:themeColor="text1"/>
          <w:u w:val="single"/>
          <w14:textFill>
            <w14:solidFill>
              <w14:schemeClr w14:val="tx1"/>
            </w14:solidFill>
          </w14:textFill>
        </w:rPr>
        <w:t>考虑船舶和码头难以具备洗舱条件，参考国内常规做法，主要考虑货种、航次长期固定避免洗舱作业，对于有洗舱需求的船舶，自行航行至具备洗舱作业能力的码头进行洗舱；对于非强制性预洗货种可不进行洗舱，在船舶航行中进行自然通风。</w:t>
      </w:r>
      <w:r>
        <w:rPr>
          <w:rFonts w:hint="eastAsia"/>
          <w:bCs/>
          <w:color w:val="000000" w:themeColor="text1"/>
          <w:u w:val="single"/>
          <w14:textFill>
            <w14:solidFill>
              <w14:schemeClr w14:val="tx1"/>
            </w14:solidFill>
          </w14:textFill>
        </w:rPr>
        <w:t>本次无需进行强制洗舱作业，码头亦无需接收洗舱水。</w:t>
      </w:r>
    </w:p>
    <w:p w14:paraId="6ABDABAD">
      <w:pPr>
        <w:ind w:firstLine="480"/>
        <w:rPr>
          <w:bCs/>
          <w:color w:val="000000" w:themeColor="text1"/>
          <w14:textFill>
            <w14:solidFill>
              <w14:schemeClr w14:val="tx1"/>
            </w14:solidFill>
          </w14:textFill>
        </w:rPr>
      </w:pPr>
      <w:r>
        <w:rPr>
          <w:bCs/>
          <w:color w:val="000000" w:themeColor="text1"/>
          <w14:textFill>
            <w14:solidFill>
              <w14:schemeClr w14:val="tx1"/>
            </w14:solidFill>
          </w14:textFill>
        </w:rPr>
        <w:t>本码头及靠泊船舶无洗舱废水产生。</w:t>
      </w:r>
    </w:p>
    <w:p w14:paraId="01F8FB8F">
      <w:pPr>
        <w:ind w:firstLine="480"/>
        <w:rPr>
          <w:color w:val="000000" w:themeColor="text1"/>
          <w14:textFill>
            <w14:solidFill>
              <w14:schemeClr w14:val="tx1"/>
            </w14:solidFill>
          </w14:textFill>
        </w:rPr>
      </w:pPr>
      <w:r>
        <w:rPr>
          <w:color w:val="000000" w:themeColor="text1"/>
          <w14:textFill>
            <w14:solidFill>
              <w14:schemeClr w14:val="tx1"/>
            </w14:solidFill>
          </w14:textFill>
        </w:rPr>
        <w:t>2、码头生产废水</w:t>
      </w:r>
    </w:p>
    <w:p w14:paraId="28DB9120">
      <w:pPr>
        <w:ind w:firstLine="480"/>
        <w:rPr>
          <w:color w:val="000000" w:themeColor="text1"/>
          <w14:textFill>
            <w14:solidFill>
              <w14:schemeClr w14:val="tx1"/>
            </w14:solidFill>
          </w14:textFill>
        </w:rPr>
      </w:pPr>
      <w:r>
        <w:rPr>
          <w:color w:val="000000" w:themeColor="text1"/>
          <w14:textFill>
            <w14:solidFill>
              <w14:schemeClr w14:val="tx1"/>
            </w14:solidFill>
          </w14:textFill>
        </w:rPr>
        <w:t>（1）码头冲洗废水</w:t>
      </w:r>
    </w:p>
    <w:p w14:paraId="426E894B">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项目采用密闭管道装卸货物，码头的冲洗依托原来项目，项目建设不新增</w:t>
      </w:r>
      <w:r>
        <w:rPr>
          <w:rFonts w:hint="eastAsia"/>
          <w:color w:val="000000" w:themeColor="text1"/>
          <w:lang w:val="en-US" w:eastAsia="zh-CN"/>
          <w14:textFill>
            <w14:solidFill>
              <w14:schemeClr w14:val="tx1"/>
            </w14:solidFill>
          </w14:textFill>
        </w:rPr>
        <w:t>冲洗</w:t>
      </w:r>
      <w:r>
        <w:rPr>
          <w:rFonts w:hint="eastAsia"/>
          <w:color w:val="000000" w:themeColor="text1"/>
          <w14:textFill>
            <w14:solidFill>
              <w14:schemeClr w14:val="tx1"/>
            </w14:solidFill>
          </w14:textFill>
        </w:rPr>
        <w:t>次数。</w:t>
      </w:r>
    </w:p>
    <w:p w14:paraId="2E99A5D8">
      <w:pPr>
        <w:ind w:firstLine="480"/>
        <w:rPr>
          <w:color w:val="000000" w:themeColor="text1"/>
          <w14:textFill>
            <w14:solidFill>
              <w14:schemeClr w14:val="tx1"/>
            </w14:solidFill>
          </w14:textFill>
        </w:rPr>
      </w:pPr>
      <w:r>
        <w:rPr>
          <w:color w:val="000000" w:themeColor="text1"/>
          <w14:textFill>
            <w14:solidFill>
              <w14:schemeClr w14:val="tx1"/>
            </w14:solidFill>
          </w14:textFill>
        </w:rPr>
        <w:t>（2）初期雨水</w:t>
      </w:r>
    </w:p>
    <w:p w14:paraId="0ABBC649">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项目不新增占地，故不新增初期雨水</w:t>
      </w:r>
    </w:p>
    <w:p w14:paraId="4339122F">
      <w:pPr>
        <w:ind w:firstLine="480"/>
        <w:rPr>
          <w:color w:val="000000" w:themeColor="text1"/>
          <w14:textFill>
            <w14:solidFill>
              <w14:schemeClr w14:val="tx1"/>
            </w14:solidFill>
          </w14:textFill>
        </w:rPr>
      </w:pPr>
      <w:r>
        <w:rPr>
          <w:color w:val="000000" w:themeColor="text1"/>
          <w14:textFill>
            <w14:solidFill>
              <w14:schemeClr w14:val="tx1"/>
            </w14:solidFill>
          </w14:textFill>
        </w:rPr>
        <w:t>3、码头生活污水</w:t>
      </w:r>
    </w:p>
    <w:p w14:paraId="0BE3CB22">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依托项目现有人员，不新增生活污水</w:t>
      </w:r>
      <w:r>
        <w:rPr>
          <w:color w:val="000000" w:themeColor="text1"/>
          <w14:textFill>
            <w14:solidFill>
              <w14:schemeClr w14:val="tx1"/>
            </w14:solidFill>
          </w14:textFill>
        </w:rPr>
        <w:t>。</w:t>
      </w:r>
    </w:p>
    <w:p w14:paraId="1E7F888D">
      <w:pPr>
        <w:pStyle w:val="6"/>
        <w:tabs>
          <w:tab w:val="left" w:pos="561"/>
        </w:tabs>
        <w:ind w:left="141"/>
        <w:rPr>
          <w:color w:val="000000" w:themeColor="text1"/>
          <w14:textFill>
            <w14:solidFill>
              <w14:schemeClr w14:val="tx1"/>
            </w14:solidFill>
          </w14:textFill>
        </w:rPr>
      </w:pPr>
      <w:r>
        <w:rPr>
          <w:color w:val="000000" w:themeColor="text1"/>
          <w14:textFill>
            <w14:solidFill>
              <w14:schemeClr w14:val="tx1"/>
            </w14:solidFill>
          </w14:textFill>
        </w:rPr>
        <w:t>噪声源强</w:t>
      </w:r>
    </w:p>
    <w:p w14:paraId="1A492F66">
      <w:pPr>
        <w:ind w:firstLine="480"/>
        <w:rPr>
          <w:color w:val="000000" w:themeColor="text1"/>
          <w14:textFill>
            <w14:solidFill>
              <w14:schemeClr w14:val="tx1"/>
            </w14:solidFill>
          </w14:textFill>
        </w:rPr>
      </w:pPr>
      <w:r>
        <w:rPr>
          <w:color w:val="000000" w:themeColor="text1"/>
          <w14:textFill>
            <w14:solidFill>
              <w14:schemeClr w14:val="tx1"/>
            </w14:solidFill>
          </w14:textFill>
        </w:rPr>
        <w:t>本工程主要机械设备声级如下表所示。</w:t>
      </w:r>
    </w:p>
    <w:p w14:paraId="03989FE7">
      <w:pPr>
        <w:pStyle w:val="7"/>
        <w:tabs>
          <w:tab w:val="left" w:pos="2127"/>
          <w:tab w:val="left" w:pos="2411"/>
        </w:tabs>
        <w:rPr>
          <w:color w:val="000000" w:themeColor="text1"/>
          <w14:textFill>
            <w14:solidFill>
              <w14:schemeClr w14:val="tx1"/>
            </w14:solidFill>
          </w14:textFill>
        </w:rPr>
      </w:pPr>
      <w:r>
        <w:rPr>
          <w:color w:val="000000" w:themeColor="text1"/>
          <w14:textFill>
            <w14:solidFill>
              <w14:schemeClr w14:val="tx1"/>
            </w14:solidFill>
          </w14:textFill>
        </w:rPr>
        <w:t>码头主要设备噪声值</w:t>
      </w:r>
    </w:p>
    <w:tbl>
      <w:tblPr>
        <w:tblStyle w:val="43"/>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7" w:type="dxa"/>
          <w:bottom w:w="0" w:type="dxa"/>
          <w:right w:w="17" w:type="dxa"/>
        </w:tblCellMar>
      </w:tblPr>
      <w:tblGrid>
        <w:gridCol w:w="417"/>
        <w:gridCol w:w="1394"/>
        <w:gridCol w:w="853"/>
        <w:gridCol w:w="968"/>
        <w:gridCol w:w="1629"/>
        <w:gridCol w:w="1275"/>
        <w:gridCol w:w="1804"/>
      </w:tblGrid>
      <w:tr w14:paraId="3EDD05B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7" w:type="dxa"/>
            <w:bottom w:w="0" w:type="dxa"/>
            <w:right w:w="17" w:type="dxa"/>
          </w:tblCellMar>
        </w:tblPrEx>
        <w:trPr>
          <w:trHeight w:val="340" w:hRule="atLeast"/>
          <w:jc w:val="center"/>
        </w:trPr>
        <w:tc>
          <w:tcPr>
            <w:tcW w:w="250" w:type="pct"/>
            <w:vMerge w:val="restart"/>
            <w:vAlign w:val="center"/>
          </w:tcPr>
          <w:p w14:paraId="333B0E0A">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序号</w:t>
            </w:r>
          </w:p>
        </w:tc>
        <w:tc>
          <w:tcPr>
            <w:tcW w:w="835" w:type="pct"/>
            <w:vMerge w:val="restart"/>
            <w:vAlign w:val="center"/>
          </w:tcPr>
          <w:p w14:paraId="15E14FD9">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噪声源</w:t>
            </w:r>
          </w:p>
        </w:tc>
        <w:tc>
          <w:tcPr>
            <w:tcW w:w="1091" w:type="pct"/>
            <w:gridSpan w:val="2"/>
            <w:vAlign w:val="center"/>
          </w:tcPr>
          <w:p w14:paraId="67DB3CB8">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（声压级/距声源距离）/（dB(A)/m）</w:t>
            </w:r>
          </w:p>
        </w:tc>
        <w:tc>
          <w:tcPr>
            <w:tcW w:w="976" w:type="pct"/>
            <w:vMerge w:val="restart"/>
            <w:vAlign w:val="center"/>
          </w:tcPr>
          <w:p w14:paraId="2CD07E9D">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声源控制措施</w:t>
            </w:r>
          </w:p>
        </w:tc>
        <w:tc>
          <w:tcPr>
            <w:tcW w:w="764" w:type="pct"/>
            <w:vMerge w:val="restart"/>
            <w:vAlign w:val="center"/>
          </w:tcPr>
          <w:p w14:paraId="15B92256">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采取措施后声源源强/</w:t>
            </w:r>
            <w:r>
              <w:rPr>
                <w:color w:val="000000" w:themeColor="text1"/>
                <w:sz w:val="21"/>
                <w:szCs w:val="21"/>
                <w14:textFill>
                  <w14:solidFill>
                    <w14:schemeClr w14:val="tx1"/>
                  </w14:solidFill>
                </w14:textFill>
              </w:rPr>
              <w:t>dB(A)</w:t>
            </w:r>
          </w:p>
        </w:tc>
        <w:tc>
          <w:tcPr>
            <w:tcW w:w="1081" w:type="pct"/>
            <w:vMerge w:val="restart"/>
            <w:vAlign w:val="center"/>
          </w:tcPr>
          <w:p w14:paraId="329D25F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运行时段</w:t>
            </w:r>
          </w:p>
        </w:tc>
      </w:tr>
      <w:tr w14:paraId="796ADBE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7" w:type="dxa"/>
            <w:bottom w:w="0" w:type="dxa"/>
            <w:right w:w="17" w:type="dxa"/>
          </w:tblCellMar>
        </w:tblPrEx>
        <w:trPr>
          <w:trHeight w:val="340" w:hRule="atLeast"/>
          <w:jc w:val="center"/>
        </w:trPr>
        <w:tc>
          <w:tcPr>
            <w:tcW w:w="250" w:type="pct"/>
            <w:vMerge w:val="continue"/>
            <w:vAlign w:val="center"/>
          </w:tcPr>
          <w:p w14:paraId="1E76139F">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835" w:type="pct"/>
            <w:vMerge w:val="continue"/>
            <w:vAlign w:val="center"/>
          </w:tcPr>
          <w:p w14:paraId="26C56C88">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511" w:type="pct"/>
            <w:vAlign w:val="center"/>
          </w:tcPr>
          <w:p w14:paraId="04E31EF5">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声压级dB(A)</w:t>
            </w:r>
          </w:p>
        </w:tc>
        <w:tc>
          <w:tcPr>
            <w:tcW w:w="580" w:type="pct"/>
            <w:vAlign w:val="center"/>
          </w:tcPr>
          <w:p w14:paraId="7A1B9C62">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距声源距离（m）</w:t>
            </w:r>
          </w:p>
        </w:tc>
        <w:tc>
          <w:tcPr>
            <w:tcW w:w="976" w:type="pct"/>
            <w:vMerge w:val="continue"/>
            <w:vAlign w:val="center"/>
          </w:tcPr>
          <w:p w14:paraId="0005A108">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764" w:type="pct"/>
            <w:vMerge w:val="continue"/>
            <w:vAlign w:val="center"/>
          </w:tcPr>
          <w:p w14:paraId="502FEF4F">
            <w:pPr>
              <w:spacing w:line="240" w:lineRule="auto"/>
              <w:ind w:firstLine="0" w:firstLineChars="0"/>
              <w:jc w:val="center"/>
              <w:rPr>
                <w:b/>
                <w:bCs/>
                <w:color w:val="000000" w:themeColor="text1"/>
                <w:sz w:val="21"/>
                <w:szCs w:val="21"/>
                <w14:textFill>
                  <w14:solidFill>
                    <w14:schemeClr w14:val="tx1"/>
                  </w14:solidFill>
                </w14:textFill>
              </w:rPr>
            </w:pPr>
          </w:p>
        </w:tc>
        <w:tc>
          <w:tcPr>
            <w:tcW w:w="1081" w:type="pct"/>
            <w:vMerge w:val="continue"/>
            <w:vAlign w:val="center"/>
          </w:tcPr>
          <w:p w14:paraId="25DE587A">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r>
      <w:tr w14:paraId="6322D18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7" w:type="dxa"/>
            <w:bottom w:w="0" w:type="dxa"/>
            <w:right w:w="17" w:type="dxa"/>
          </w:tblCellMar>
        </w:tblPrEx>
        <w:trPr>
          <w:trHeight w:val="340" w:hRule="atLeast"/>
          <w:jc w:val="center"/>
        </w:trPr>
        <w:tc>
          <w:tcPr>
            <w:tcW w:w="250" w:type="pct"/>
            <w:vAlign w:val="center"/>
          </w:tcPr>
          <w:p w14:paraId="4925B9C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w:t>
            </w:r>
          </w:p>
        </w:tc>
        <w:tc>
          <w:tcPr>
            <w:tcW w:w="835" w:type="pct"/>
            <w:vAlign w:val="center"/>
          </w:tcPr>
          <w:p w14:paraId="22278608">
            <w:pPr>
              <w:adjustRightInd w:val="0"/>
              <w:snapToGrid w:val="0"/>
              <w:spacing w:line="240" w:lineRule="auto"/>
              <w:ind w:firstLine="0" w:firstLineChars="0"/>
              <w:jc w:val="center"/>
              <w:rPr>
                <w:rFonts w:hint="eastAsia" w:eastAsia="宋体"/>
                <w:color w:val="000000" w:themeColor="text1"/>
                <w:sz w:val="21"/>
                <w:szCs w:val="21"/>
                <w:lang w:eastAsia="zh-CN"/>
                <w14:textFill>
                  <w14:solidFill>
                    <w14:schemeClr w14:val="tx1"/>
                  </w14:solidFill>
                </w14:textFill>
              </w:rPr>
            </w:pPr>
            <w:r>
              <w:rPr>
                <w:color w:val="000000" w:themeColor="text1"/>
                <w:sz w:val="21"/>
                <w:szCs w:val="21"/>
                <w14:textFill>
                  <w14:solidFill>
                    <w14:schemeClr w14:val="tx1"/>
                  </w14:solidFill>
                </w14:textFill>
              </w:rPr>
              <w:t>装卸臂</w:t>
            </w:r>
            <w:r>
              <w:rPr>
                <w:rFonts w:hint="eastAsia"/>
                <w:color w:val="000000" w:themeColor="text1"/>
                <w:sz w:val="21"/>
                <w:szCs w:val="21"/>
                <w:lang w:eastAsia="zh-CN"/>
                <w14:textFill>
                  <w14:solidFill>
                    <w14:schemeClr w14:val="tx1"/>
                  </w14:solidFill>
                </w14:textFill>
              </w:rPr>
              <w:t>（</w:t>
            </w:r>
            <w:r>
              <w:rPr>
                <w:rFonts w:hint="eastAsia"/>
                <w:color w:val="000000" w:themeColor="text1"/>
                <w:sz w:val="21"/>
                <w:szCs w:val="21"/>
                <w:lang w:val="en-US" w:eastAsia="zh-CN"/>
                <w14:textFill>
                  <w14:solidFill>
                    <w14:schemeClr w14:val="tx1"/>
                  </w14:solidFill>
                </w14:textFill>
              </w:rPr>
              <w:t>含扫线泵</w:t>
            </w:r>
            <w:r>
              <w:rPr>
                <w:rFonts w:hint="eastAsia"/>
                <w:color w:val="000000" w:themeColor="text1"/>
                <w:sz w:val="21"/>
                <w:szCs w:val="21"/>
                <w:lang w:eastAsia="zh-CN"/>
                <w14:textFill>
                  <w14:solidFill>
                    <w14:schemeClr w14:val="tx1"/>
                  </w14:solidFill>
                </w14:textFill>
              </w:rPr>
              <w:t>）</w:t>
            </w:r>
          </w:p>
        </w:tc>
        <w:tc>
          <w:tcPr>
            <w:tcW w:w="511" w:type="pct"/>
            <w:vAlign w:val="center"/>
          </w:tcPr>
          <w:p w14:paraId="2C087B69">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80</w:t>
            </w:r>
          </w:p>
        </w:tc>
        <w:tc>
          <w:tcPr>
            <w:tcW w:w="580" w:type="pct"/>
            <w:vAlign w:val="center"/>
          </w:tcPr>
          <w:p w14:paraId="6600647F">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w:t>
            </w:r>
          </w:p>
        </w:tc>
        <w:tc>
          <w:tcPr>
            <w:tcW w:w="976" w:type="pct"/>
            <w:vMerge w:val="restart"/>
            <w:vAlign w:val="center"/>
          </w:tcPr>
          <w:p w14:paraId="33F81BA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采取减振措施</w:t>
            </w:r>
          </w:p>
        </w:tc>
        <w:tc>
          <w:tcPr>
            <w:tcW w:w="764" w:type="pct"/>
            <w:vAlign w:val="center"/>
          </w:tcPr>
          <w:p w14:paraId="709648E0">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65</w:t>
            </w:r>
          </w:p>
        </w:tc>
        <w:tc>
          <w:tcPr>
            <w:tcW w:w="1081" w:type="pct"/>
            <w:vMerge w:val="restart"/>
            <w:vAlign w:val="center"/>
          </w:tcPr>
          <w:p w14:paraId="188C7FD4">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00~24</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00</w:t>
            </w:r>
          </w:p>
        </w:tc>
      </w:tr>
      <w:tr w14:paraId="78D8AD6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7" w:type="dxa"/>
            <w:bottom w:w="0" w:type="dxa"/>
            <w:right w:w="17" w:type="dxa"/>
          </w:tblCellMar>
        </w:tblPrEx>
        <w:trPr>
          <w:trHeight w:val="340" w:hRule="atLeast"/>
          <w:jc w:val="center"/>
        </w:trPr>
        <w:tc>
          <w:tcPr>
            <w:tcW w:w="250" w:type="pct"/>
            <w:vAlign w:val="center"/>
          </w:tcPr>
          <w:p w14:paraId="7B879E0F">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w:t>
            </w:r>
          </w:p>
        </w:tc>
        <w:tc>
          <w:tcPr>
            <w:tcW w:w="835" w:type="pct"/>
            <w:vAlign w:val="center"/>
          </w:tcPr>
          <w:p w14:paraId="2B27B7BC">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软管（3根）</w:t>
            </w:r>
          </w:p>
        </w:tc>
        <w:tc>
          <w:tcPr>
            <w:tcW w:w="511" w:type="pct"/>
            <w:vAlign w:val="center"/>
          </w:tcPr>
          <w:p w14:paraId="2136F71D">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70</w:t>
            </w:r>
          </w:p>
        </w:tc>
        <w:tc>
          <w:tcPr>
            <w:tcW w:w="580" w:type="pct"/>
            <w:vAlign w:val="center"/>
          </w:tcPr>
          <w:p w14:paraId="1A27A8E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w:t>
            </w:r>
          </w:p>
        </w:tc>
        <w:tc>
          <w:tcPr>
            <w:tcW w:w="976" w:type="pct"/>
            <w:vMerge w:val="continue"/>
            <w:vAlign w:val="center"/>
          </w:tcPr>
          <w:p w14:paraId="75F2144E">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764" w:type="pct"/>
          </w:tcPr>
          <w:p w14:paraId="638AEB79">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55</w:t>
            </w:r>
          </w:p>
        </w:tc>
        <w:tc>
          <w:tcPr>
            <w:tcW w:w="1081" w:type="pct"/>
            <w:vMerge w:val="continue"/>
            <w:vAlign w:val="center"/>
          </w:tcPr>
          <w:p w14:paraId="362B1409">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r>
    </w:tbl>
    <w:p w14:paraId="75A9E473">
      <w:pPr>
        <w:ind w:firstLine="48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根据噪声监测结果（见附件14），厂界噪声值均满足《工业企业厂界环境噪声排放标准》（GB12348-2008）。</w:t>
      </w:r>
    </w:p>
    <w:p w14:paraId="3A78586A">
      <w:pPr>
        <w:pStyle w:val="6"/>
        <w:rPr>
          <w:color w:val="000000" w:themeColor="text1"/>
          <w14:textFill>
            <w14:solidFill>
              <w14:schemeClr w14:val="tx1"/>
            </w14:solidFill>
          </w14:textFill>
        </w:rPr>
      </w:pPr>
      <w:r>
        <w:rPr>
          <w:color w:val="000000" w:themeColor="text1"/>
          <w14:textFill>
            <w14:solidFill>
              <w14:schemeClr w14:val="tx1"/>
            </w14:solidFill>
          </w14:textFill>
        </w:rPr>
        <w:t>固体废弃物源强</w:t>
      </w:r>
    </w:p>
    <w:p w14:paraId="561EA7D1">
      <w:pPr>
        <w:ind w:firstLine="470" w:firstLineChars="196"/>
        <w:rPr>
          <w:color w:val="000000" w:themeColor="text1"/>
          <w14:textFill>
            <w14:solidFill>
              <w14:schemeClr w14:val="tx1"/>
            </w14:solidFill>
          </w14:textFill>
        </w:rPr>
      </w:pPr>
      <w:r>
        <w:rPr>
          <w:color w:val="000000" w:themeColor="text1"/>
          <w14:textFill>
            <w14:solidFill>
              <w14:schemeClr w14:val="tx1"/>
            </w14:solidFill>
          </w14:textFill>
        </w:rPr>
        <w:t>1、码头</w:t>
      </w:r>
    </w:p>
    <w:p w14:paraId="3196E749">
      <w:pPr>
        <w:ind w:firstLine="480"/>
        <w:rPr>
          <w:color w:val="000000" w:themeColor="text1"/>
          <w14:textFill>
            <w14:solidFill>
              <w14:schemeClr w14:val="tx1"/>
            </w14:solidFill>
          </w14:textFill>
        </w:rPr>
      </w:pPr>
      <w:r>
        <w:rPr>
          <w:color w:val="000000" w:themeColor="text1"/>
          <w14:textFill>
            <w14:solidFill>
              <w14:schemeClr w14:val="tx1"/>
            </w14:solidFill>
          </w14:textFill>
        </w:rPr>
        <w:t>1）生活垃圾</w:t>
      </w:r>
    </w:p>
    <w:p w14:paraId="4A859574">
      <w:pPr>
        <w:ind w:firstLine="480"/>
        <w:rPr>
          <w:color w:val="000000" w:themeColor="text1"/>
          <w14:textFill>
            <w14:solidFill>
              <w14:schemeClr w14:val="tx1"/>
            </w14:solidFill>
          </w14:textFill>
        </w:rPr>
      </w:pPr>
      <w:r>
        <w:rPr>
          <w:color w:val="000000" w:themeColor="text1"/>
          <w14:textFill>
            <w14:solidFill>
              <w14:schemeClr w14:val="tx1"/>
            </w14:solidFill>
          </w14:textFill>
        </w:rPr>
        <w:t>本</w:t>
      </w:r>
      <w:r>
        <w:rPr>
          <w:rFonts w:hint="eastAsia"/>
          <w:color w:val="000000" w:themeColor="text1"/>
          <w14:textFill>
            <w14:solidFill>
              <w14:schemeClr w14:val="tx1"/>
            </w14:solidFill>
          </w14:textFill>
        </w:rPr>
        <w:t>扩建</w:t>
      </w:r>
      <w:r>
        <w:rPr>
          <w:color w:val="000000" w:themeColor="text1"/>
          <w14:textFill>
            <w14:solidFill>
              <w14:schemeClr w14:val="tx1"/>
            </w14:solidFill>
          </w14:textFill>
        </w:rPr>
        <w:t>项目无新增劳动定员，无新增生活垃圾。</w:t>
      </w:r>
    </w:p>
    <w:p w14:paraId="0FFFD6A1">
      <w:pPr>
        <w:ind w:firstLine="480"/>
        <w:rPr>
          <w:color w:val="000000" w:themeColor="text1"/>
          <w14:textFill>
            <w14:solidFill>
              <w14:schemeClr w14:val="tx1"/>
            </w14:solidFill>
          </w14:textFill>
        </w:rPr>
      </w:pPr>
      <w:r>
        <w:rPr>
          <w:color w:val="000000" w:themeColor="text1"/>
          <w14:textFill>
            <w14:solidFill>
              <w14:schemeClr w14:val="tx1"/>
            </w14:solidFill>
          </w14:textFill>
        </w:rPr>
        <w:t>2）船舶固废</w:t>
      </w:r>
    </w:p>
    <w:p w14:paraId="46CB958B">
      <w:pPr>
        <w:ind w:firstLine="480"/>
        <w:rPr>
          <w:color w:val="000000" w:themeColor="text1"/>
          <w14:textFill>
            <w14:solidFill>
              <w14:schemeClr w14:val="tx1"/>
            </w14:solidFill>
          </w14:textFill>
        </w:rPr>
      </w:pPr>
      <w:r>
        <w:rPr>
          <w:color w:val="000000" w:themeColor="text1"/>
          <w14:textFill>
            <w14:solidFill>
              <w14:schemeClr w14:val="tx1"/>
            </w14:solidFill>
          </w14:textFill>
        </w:rPr>
        <w:t>根据设计代表船型，船员生活垃圾发生量按1.5kg/天•人计算，到港船舶生活垃圾发生量约为90kg/d，年发生量为29.7t/a。维修废弃物年发生量为6.0t/a。</w:t>
      </w:r>
    </w:p>
    <w:p w14:paraId="4607BA7E">
      <w:pPr>
        <w:ind w:firstLine="480"/>
        <w:rPr>
          <w:color w:val="000000" w:themeColor="text1"/>
          <w14:textFill>
            <w14:solidFill>
              <w14:schemeClr w14:val="tx1"/>
            </w14:solidFill>
          </w14:textFill>
        </w:rPr>
      </w:pPr>
      <w:r>
        <w:rPr>
          <w:color w:val="000000" w:themeColor="text1"/>
          <w14:textFill>
            <w14:solidFill>
              <w14:schemeClr w14:val="tx1"/>
            </w14:solidFill>
          </w14:textFill>
        </w:rPr>
        <w:t>来自疫情地区的船舶生活垃圾和保养产生的固体废物由具有相应资质的卫生检验检疫部门对其进行检疫之后按相关规定处理；非疫情地区的船舶垃圾由具有相关资质的单位接收处理。</w:t>
      </w:r>
    </w:p>
    <w:p w14:paraId="30BE5194">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3</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危险废物</w:t>
      </w:r>
    </w:p>
    <w:p w14:paraId="265F962E">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新增</w:t>
      </w:r>
      <w:r>
        <w:rPr>
          <w:color w:val="000000" w:themeColor="text1"/>
          <w14:textFill>
            <w14:solidFill>
              <w14:schemeClr w14:val="tx1"/>
            </w14:solidFill>
          </w14:textFill>
        </w:rPr>
        <w:t>管道维修过程中产生的含油或化学品的废布及棉纱属于危险固废，年产生量约0.05t/a，含油废布及棉纱</w:t>
      </w:r>
      <w:r>
        <w:rPr>
          <w:rFonts w:hint="eastAsia" w:cs="宋体"/>
          <w:snapToGrid w:val="0"/>
          <w:color w:val="000000" w:themeColor="text1"/>
          <w:kern w:val="0"/>
          <w:lang w:bidi="ar"/>
          <w14:textFill>
            <w14:solidFill>
              <w14:schemeClr w14:val="tx1"/>
            </w14:solidFill>
          </w14:textFill>
        </w:rPr>
        <w:t>属于《国家危险废物名录》（</w:t>
      </w:r>
      <w:r>
        <w:rPr>
          <w:snapToGrid w:val="0"/>
          <w:color w:val="000000" w:themeColor="text1"/>
          <w:kern w:val="0"/>
          <w:lang w:bidi="ar"/>
          <w14:textFill>
            <w14:solidFill>
              <w14:schemeClr w14:val="tx1"/>
            </w14:solidFill>
          </w14:textFill>
        </w:rPr>
        <w:t>202</w:t>
      </w:r>
      <w:r>
        <w:rPr>
          <w:rFonts w:hint="eastAsia"/>
          <w:snapToGrid w:val="0"/>
          <w:color w:val="000000" w:themeColor="text1"/>
          <w:kern w:val="0"/>
          <w:lang w:bidi="ar"/>
          <w14:textFill>
            <w14:solidFill>
              <w14:schemeClr w14:val="tx1"/>
            </w14:solidFill>
          </w14:textFill>
        </w:rPr>
        <w:t>5</w:t>
      </w:r>
      <w:r>
        <w:rPr>
          <w:rFonts w:hint="eastAsia" w:cs="宋体"/>
          <w:snapToGrid w:val="0"/>
          <w:color w:val="000000" w:themeColor="text1"/>
          <w:kern w:val="0"/>
          <w:lang w:bidi="ar"/>
          <w14:textFill>
            <w14:solidFill>
              <w14:schemeClr w14:val="tx1"/>
            </w14:solidFill>
          </w14:textFill>
        </w:rPr>
        <w:t>年版）</w:t>
      </w:r>
      <w:r>
        <w:rPr>
          <w:rFonts w:hint="eastAsia"/>
          <w:color w:val="000000" w:themeColor="text1"/>
          <w14:textFill>
            <w14:solidFill>
              <w14:schemeClr w14:val="tx1"/>
            </w14:solidFill>
          </w14:textFill>
        </w:rPr>
        <w:t>HW08“废矿物油与含矿物油废物”中“其他生产、销售、使用过程中产生的废矿物油及沾染矿物油的废弃包装物”，废物代码900-249-08。应委托具有相应危废处置资质的单位处理。</w:t>
      </w:r>
    </w:p>
    <w:p w14:paraId="746F5686">
      <w:pPr>
        <w:ind w:firstLine="480"/>
        <w:rPr>
          <w:color w:val="000000" w:themeColor="text1"/>
          <w14:textFill>
            <w14:solidFill>
              <w14:schemeClr w14:val="tx1"/>
            </w14:solidFill>
          </w14:textFill>
        </w:rPr>
        <w:sectPr>
          <w:headerReference r:id="rId18" w:type="default"/>
          <w:pgSz w:w="11906" w:h="16838"/>
          <w:pgMar w:top="1440" w:right="1800" w:bottom="1440" w:left="1800" w:header="851" w:footer="680" w:gutter="0"/>
          <w:pgBorders>
            <w:top w:val="none" w:sz="0" w:space="0"/>
            <w:left w:val="none" w:sz="0" w:space="0"/>
            <w:bottom w:val="none" w:sz="0" w:space="0"/>
            <w:right w:val="none" w:sz="0" w:space="0"/>
          </w:pgBorders>
          <w:pgNumType w:fmt="numberInDash"/>
          <w:cols w:space="720" w:num="1"/>
          <w:docGrid w:type="lines" w:linePitch="326" w:charSpace="0"/>
        </w:sectPr>
      </w:pPr>
    </w:p>
    <w:p w14:paraId="6868630B">
      <w:pPr>
        <w:pStyle w:val="7"/>
        <w:tabs>
          <w:tab w:val="left" w:pos="2127"/>
          <w:tab w:val="left" w:pos="2411"/>
        </w:tabs>
        <w:rPr>
          <w:color w:val="000000" w:themeColor="text1"/>
          <w14:textFill>
            <w14:solidFill>
              <w14:schemeClr w14:val="tx1"/>
            </w14:solidFill>
          </w14:textFill>
        </w:rPr>
      </w:pPr>
      <w:r>
        <w:rPr>
          <w:color w:val="000000" w:themeColor="text1"/>
          <w14:textFill>
            <w14:solidFill>
              <w14:schemeClr w14:val="tx1"/>
            </w14:solidFill>
          </w14:textFill>
        </w:rPr>
        <w:t xml:space="preserve"> 大气污染源源强核算结果汇总表</w:t>
      </w:r>
    </w:p>
    <w:tbl>
      <w:tblPr>
        <w:tblStyle w:val="43"/>
        <w:tblW w:w="5076"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883"/>
        <w:gridCol w:w="1017"/>
        <w:gridCol w:w="1261"/>
        <w:gridCol w:w="1586"/>
        <w:gridCol w:w="1035"/>
        <w:gridCol w:w="1060"/>
        <w:gridCol w:w="959"/>
        <w:gridCol w:w="933"/>
        <w:gridCol w:w="1639"/>
        <w:gridCol w:w="1061"/>
        <w:gridCol w:w="963"/>
        <w:gridCol w:w="992"/>
      </w:tblGrid>
      <w:tr w14:paraId="7442356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656" w:type="pct"/>
            <w:vMerge w:val="restart"/>
            <w:vAlign w:val="center"/>
          </w:tcPr>
          <w:p w14:paraId="3745D4ED">
            <w:pPr>
              <w:pStyle w:val="70"/>
              <w:rPr>
                <w:b/>
                <w:color w:val="000000" w:themeColor="text1"/>
                <w14:textFill>
                  <w14:solidFill>
                    <w14:schemeClr w14:val="tx1"/>
                  </w14:solidFill>
                </w14:textFill>
              </w:rPr>
            </w:pPr>
            <w:r>
              <w:rPr>
                <w:b/>
                <w:color w:val="000000" w:themeColor="text1"/>
                <w14:textFill>
                  <w14:solidFill>
                    <w14:schemeClr w14:val="tx1"/>
                  </w14:solidFill>
                </w14:textFill>
              </w:rPr>
              <w:t>工序</w:t>
            </w:r>
          </w:p>
        </w:tc>
        <w:tc>
          <w:tcPr>
            <w:tcW w:w="355" w:type="pct"/>
            <w:vMerge w:val="restart"/>
            <w:vAlign w:val="center"/>
          </w:tcPr>
          <w:p w14:paraId="0449DD77">
            <w:pPr>
              <w:pStyle w:val="70"/>
              <w:rPr>
                <w:b/>
                <w:color w:val="000000" w:themeColor="text1"/>
                <w14:textFill>
                  <w14:solidFill>
                    <w14:schemeClr w14:val="tx1"/>
                  </w14:solidFill>
                </w14:textFill>
              </w:rPr>
            </w:pPr>
            <w:r>
              <w:rPr>
                <w:b/>
                <w:color w:val="000000" w:themeColor="text1"/>
                <w14:textFill>
                  <w14:solidFill>
                    <w14:schemeClr w14:val="tx1"/>
                  </w14:solidFill>
                </w14:textFill>
              </w:rPr>
              <w:t>污染源</w:t>
            </w:r>
          </w:p>
        </w:tc>
        <w:tc>
          <w:tcPr>
            <w:tcW w:w="440" w:type="pct"/>
            <w:vMerge w:val="restart"/>
            <w:vAlign w:val="center"/>
          </w:tcPr>
          <w:p w14:paraId="35B6570E">
            <w:pPr>
              <w:pStyle w:val="70"/>
              <w:rPr>
                <w:b/>
                <w:color w:val="000000" w:themeColor="text1"/>
                <w14:textFill>
                  <w14:solidFill>
                    <w14:schemeClr w14:val="tx1"/>
                  </w14:solidFill>
                </w14:textFill>
              </w:rPr>
            </w:pPr>
            <w:r>
              <w:rPr>
                <w:b/>
                <w:color w:val="000000" w:themeColor="text1"/>
                <w14:textFill>
                  <w14:solidFill>
                    <w14:schemeClr w14:val="tx1"/>
                  </w14:solidFill>
                </w14:textFill>
              </w:rPr>
              <w:t>污染物</w:t>
            </w:r>
          </w:p>
        </w:tc>
        <w:tc>
          <w:tcPr>
            <w:tcW w:w="1265" w:type="pct"/>
            <w:gridSpan w:val="3"/>
            <w:vAlign w:val="center"/>
          </w:tcPr>
          <w:p w14:paraId="3F9F1E00">
            <w:pPr>
              <w:pStyle w:val="70"/>
              <w:rPr>
                <w:b/>
                <w:color w:val="000000" w:themeColor="text1"/>
                <w14:textFill>
                  <w14:solidFill>
                    <w14:schemeClr w14:val="tx1"/>
                  </w14:solidFill>
                </w14:textFill>
              </w:rPr>
            </w:pPr>
            <w:r>
              <w:rPr>
                <w:b/>
                <w:color w:val="000000" w:themeColor="text1"/>
                <w14:textFill>
                  <w14:solidFill>
                    <w14:schemeClr w14:val="tx1"/>
                  </w14:solidFill>
                </w14:textFill>
              </w:rPr>
              <w:t>污染物产生</w:t>
            </w:r>
          </w:p>
        </w:tc>
        <w:tc>
          <w:tcPr>
            <w:tcW w:w="661" w:type="pct"/>
            <w:gridSpan w:val="2"/>
            <w:vAlign w:val="center"/>
          </w:tcPr>
          <w:p w14:paraId="61C3D6C5">
            <w:pPr>
              <w:pStyle w:val="70"/>
              <w:rPr>
                <w:b/>
                <w:color w:val="000000" w:themeColor="text1"/>
                <w14:textFill>
                  <w14:solidFill>
                    <w14:schemeClr w14:val="tx1"/>
                  </w14:solidFill>
                </w14:textFill>
              </w:rPr>
            </w:pPr>
            <w:r>
              <w:rPr>
                <w:b/>
                <w:color w:val="000000" w:themeColor="text1"/>
                <w14:textFill>
                  <w14:solidFill>
                    <w14:schemeClr w14:val="tx1"/>
                  </w14:solidFill>
                </w14:textFill>
              </w:rPr>
              <w:t>治理措施</w:t>
            </w:r>
          </w:p>
        </w:tc>
        <w:tc>
          <w:tcPr>
            <w:tcW w:w="1277" w:type="pct"/>
            <w:gridSpan w:val="3"/>
            <w:vAlign w:val="center"/>
          </w:tcPr>
          <w:p w14:paraId="0D53AC83">
            <w:pPr>
              <w:pStyle w:val="70"/>
              <w:rPr>
                <w:b/>
                <w:color w:val="000000" w:themeColor="text1"/>
                <w14:textFill>
                  <w14:solidFill>
                    <w14:schemeClr w14:val="tx1"/>
                  </w14:solidFill>
                </w14:textFill>
              </w:rPr>
            </w:pPr>
            <w:r>
              <w:rPr>
                <w:b/>
                <w:color w:val="000000" w:themeColor="text1"/>
                <w14:textFill>
                  <w14:solidFill>
                    <w14:schemeClr w14:val="tx1"/>
                  </w14:solidFill>
                </w14:textFill>
              </w:rPr>
              <w:t>污染物排放</w:t>
            </w:r>
          </w:p>
        </w:tc>
        <w:tc>
          <w:tcPr>
            <w:tcW w:w="346" w:type="pct"/>
            <w:vMerge w:val="restart"/>
            <w:vAlign w:val="center"/>
          </w:tcPr>
          <w:p w14:paraId="3E861303">
            <w:pPr>
              <w:pStyle w:val="70"/>
              <w:rPr>
                <w:b/>
                <w:color w:val="000000" w:themeColor="text1"/>
                <w14:textFill>
                  <w14:solidFill>
                    <w14:schemeClr w14:val="tx1"/>
                  </w14:solidFill>
                </w14:textFill>
              </w:rPr>
            </w:pPr>
            <w:r>
              <w:rPr>
                <w:b/>
                <w:color w:val="000000" w:themeColor="text1"/>
                <w14:textFill>
                  <w14:solidFill>
                    <w14:schemeClr w14:val="tx1"/>
                  </w14:solidFill>
                </w14:textFill>
              </w:rPr>
              <w:t>排放时间</w:t>
            </w:r>
            <w:r>
              <w:rPr>
                <w:rFonts w:hint="eastAsia"/>
                <w:b/>
                <w:color w:val="000000" w:themeColor="text1"/>
                <w14:textFill>
                  <w14:solidFill>
                    <w14:schemeClr w14:val="tx1"/>
                  </w14:solidFill>
                </w14:textFill>
              </w:rPr>
              <w:t>（h）</w:t>
            </w:r>
          </w:p>
        </w:tc>
      </w:tr>
      <w:tr w14:paraId="395A4DA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656" w:type="pct"/>
            <w:vMerge w:val="continue"/>
            <w:vAlign w:val="center"/>
          </w:tcPr>
          <w:p w14:paraId="22B4535C">
            <w:pPr>
              <w:pStyle w:val="70"/>
              <w:rPr>
                <w:b/>
                <w:color w:val="000000" w:themeColor="text1"/>
                <w14:textFill>
                  <w14:solidFill>
                    <w14:schemeClr w14:val="tx1"/>
                  </w14:solidFill>
                </w14:textFill>
              </w:rPr>
            </w:pPr>
          </w:p>
        </w:tc>
        <w:tc>
          <w:tcPr>
            <w:tcW w:w="355" w:type="pct"/>
            <w:vMerge w:val="continue"/>
            <w:vAlign w:val="center"/>
          </w:tcPr>
          <w:p w14:paraId="700FAD39">
            <w:pPr>
              <w:pStyle w:val="70"/>
              <w:rPr>
                <w:b/>
                <w:color w:val="000000" w:themeColor="text1"/>
                <w14:textFill>
                  <w14:solidFill>
                    <w14:schemeClr w14:val="tx1"/>
                  </w14:solidFill>
                </w14:textFill>
              </w:rPr>
            </w:pPr>
          </w:p>
        </w:tc>
        <w:tc>
          <w:tcPr>
            <w:tcW w:w="440" w:type="pct"/>
            <w:vMerge w:val="continue"/>
            <w:vAlign w:val="center"/>
          </w:tcPr>
          <w:p w14:paraId="6FA2A03E">
            <w:pPr>
              <w:pStyle w:val="70"/>
              <w:rPr>
                <w:b/>
                <w:color w:val="000000" w:themeColor="text1"/>
                <w14:textFill>
                  <w14:solidFill>
                    <w14:schemeClr w14:val="tx1"/>
                  </w14:solidFill>
                </w14:textFill>
              </w:rPr>
            </w:pPr>
          </w:p>
        </w:tc>
        <w:tc>
          <w:tcPr>
            <w:tcW w:w="553" w:type="pct"/>
            <w:vAlign w:val="center"/>
          </w:tcPr>
          <w:p w14:paraId="4554B9FA">
            <w:pPr>
              <w:pStyle w:val="70"/>
              <w:rPr>
                <w:b/>
                <w:color w:val="000000" w:themeColor="text1"/>
                <w14:textFill>
                  <w14:solidFill>
                    <w14:schemeClr w14:val="tx1"/>
                  </w14:solidFill>
                </w14:textFill>
              </w:rPr>
            </w:pPr>
            <w:r>
              <w:rPr>
                <w:b/>
                <w:color w:val="000000" w:themeColor="text1"/>
                <w14:textFill>
                  <w14:solidFill>
                    <w14:schemeClr w14:val="tx1"/>
                  </w14:solidFill>
                </w14:textFill>
              </w:rPr>
              <w:t>核算方法</w:t>
            </w:r>
          </w:p>
        </w:tc>
        <w:tc>
          <w:tcPr>
            <w:tcW w:w="342" w:type="pct"/>
            <w:vAlign w:val="center"/>
          </w:tcPr>
          <w:p w14:paraId="5CD24A11">
            <w:pPr>
              <w:pStyle w:val="70"/>
              <w:rPr>
                <w:b/>
                <w:color w:val="000000" w:themeColor="text1"/>
                <w14:textFill>
                  <w14:solidFill>
                    <w14:schemeClr w14:val="tx1"/>
                  </w14:solidFill>
                </w14:textFill>
              </w:rPr>
            </w:pPr>
            <w:r>
              <w:rPr>
                <w:b/>
                <w:color w:val="000000" w:themeColor="text1"/>
                <w14:textFill>
                  <w14:solidFill>
                    <w14:schemeClr w14:val="tx1"/>
                  </w14:solidFill>
                </w14:textFill>
              </w:rPr>
              <w:t>产生速率</w:t>
            </w:r>
          </w:p>
          <w:p w14:paraId="62C58759">
            <w:pPr>
              <w:pStyle w:val="70"/>
              <w:rPr>
                <w:b/>
                <w:color w:val="000000" w:themeColor="text1"/>
                <w14:textFill>
                  <w14:solidFill>
                    <w14:schemeClr w14:val="tx1"/>
                  </w14:solidFill>
                </w14:textFill>
              </w:rPr>
            </w:pPr>
            <w:r>
              <w:rPr>
                <w:b/>
                <w:color w:val="000000" w:themeColor="text1"/>
                <w14:textFill>
                  <w14:solidFill>
                    <w14:schemeClr w14:val="tx1"/>
                  </w14:solidFill>
                </w14:textFill>
              </w:rPr>
              <w:t>（kg/h）</w:t>
            </w:r>
          </w:p>
        </w:tc>
        <w:tc>
          <w:tcPr>
            <w:tcW w:w="370" w:type="pct"/>
            <w:vAlign w:val="center"/>
          </w:tcPr>
          <w:p w14:paraId="23521C54">
            <w:pPr>
              <w:pStyle w:val="70"/>
              <w:rPr>
                <w:b/>
                <w:color w:val="000000" w:themeColor="text1"/>
                <w14:textFill>
                  <w14:solidFill>
                    <w14:schemeClr w14:val="tx1"/>
                  </w14:solidFill>
                </w14:textFill>
              </w:rPr>
            </w:pPr>
            <w:r>
              <w:rPr>
                <w:b/>
                <w:color w:val="000000" w:themeColor="text1"/>
                <w14:textFill>
                  <w14:solidFill>
                    <w14:schemeClr w14:val="tx1"/>
                  </w14:solidFill>
                </w14:textFill>
              </w:rPr>
              <w:t>产生量</w:t>
            </w:r>
          </w:p>
          <w:p w14:paraId="2EAA572C">
            <w:pPr>
              <w:pStyle w:val="70"/>
              <w:rPr>
                <w:b/>
                <w:color w:val="000000" w:themeColor="text1"/>
                <w14:textFill>
                  <w14:solidFill>
                    <w14:schemeClr w14:val="tx1"/>
                  </w14:solidFill>
                </w14:textFill>
              </w:rPr>
            </w:pPr>
            <w:r>
              <w:rPr>
                <w:b/>
                <w:color w:val="000000" w:themeColor="text1"/>
                <w14:textFill>
                  <w14:solidFill>
                    <w14:schemeClr w14:val="tx1"/>
                  </w14:solidFill>
                </w14:textFill>
              </w:rPr>
              <w:t>（t/a）</w:t>
            </w:r>
          </w:p>
        </w:tc>
        <w:tc>
          <w:tcPr>
            <w:tcW w:w="335" w:type="pct"/>
            <w:vAlign w:val="center"/>
          </w:tcPr>
          <w:p w14:paraId="4AC86F20">
            <w:pPr>
              <w:pStyle w:val="70"/>
              <w:rPr>
                <w:b/>
                <w:color w:val="000000" w:themeColor="text1"/>
                <w14:textFill>
                  <w14:solidFill>
                    <w14:schemeClr w14:val="tx1"/>
                  </w14:solidFill>
                </w14:textFill>
              </w:rPr>
            </w:pPr>
            <w:r>
              <w:rPr>
                <w:b/>
                <w:color w:val="000000" w:themeColor="text1"/>
                <w14:textFill>
                  <w14:solidFill>
                    <w14:schemeClr w14:val="tx1"/>
                  </w14:solidFill>
                </w14:textFill>
              </w:rPr>
              <w:t>工艺</w:t>
            </w:r>
          </w:p>
        </w:tc>
        <w:tc>
          <w:tcPr>
            <w:tcW w:w="326" w:type="pct"/>
            <w:vAlign w:val="center"/>
          </w:tcPr>
          <w:p w14:paraId="410B3D5A">
            <w:pPr>
              <w:pStyle w:val="70"/>
              <w:rPr>
                <w:b/>
                <w:color w:val="000000" w:themeColor="text1"/>
                <w14:textFill>
                  <w14:solidFill>
                    <w14:schemeClr w14:val="tx1"/>
                  </w14:solidFill>
                </w14:textFill>
              </w:rPr>
            </w:pPr>
            <w:r>
              <w:rPr>
                <w:b/>
                <w:color w:val="000000" w:themeColor="text1"/>
                <w14:textFill>
                  <w14:solidFill>
                    <w14:schemeClr w14:val="tx1"/>
                  </w14:solidFill>
                </w14:textFill>
              </w:rPr>
              <w:t>效率</w:t>
            </w:r>
          </w:p>
        </w:tc>
        <w:tc>
          <w:tcPr>
            <w:tcW w:w="571" w:type="pct"/>
            <w:vAlign w:val="center"/>
          </w:tcPr>
          <w:p w14:paraId="6B916392">
            <w:pPr>
              <w:pStyle w:val="70"/>
              <w:rPr>
                <w:b/>
                <w:color w:val="000000" w:themeColor="text1"/>
                <w14:textFill>
                  <w14:solidFill>
                    <w14:schemeClr w14:val="tx1"/>
                  </w14:solidFill>
                </w14:textFill>
              </w:rPr>
            </w:pPr>
            <w:r>
              <w:rPr>
                <w:b/>
                <w:color w:val="000000" w:themeColor="text1"/>
                <w14:textFill>
                  <w14:solidFill>
                    <w14:schemeClr w14:val="tx1"/>
                  </w14:solidFill>
                </w14:textFill>
              </w:rPr>
              <w:t>核算方法</w:t>
            </w:r>
          </w:p>
        </w:tc>
        <w:tc>
          <w:tcPr>
            <w:tcW w:w="370" w:type="pct"/>
            <w:vAlign w:val="center"/>
          </w:tcPr>
          <w:p w14:paraId="7E748AE5">
            <w:pPr>
              <w:pStyle w:val="70"/>
              <w:rPr>
                <w:b/>
                <w:color w:val="000000" w:themeColor="text1"/>
                <w14:textFill>
                  <w14:solidFill>
                    <w14:schemeClr w14:val="tx1"/>
                  </w14:solidFill>
                </w14:textFill>
              </w:rPr>
            </w:pPr>
            <w:r>
              <w:rPr>
                <w:b/>
                <w:color w:val="000000" w:themeColor="text1"/>
                <w14:textFill>
                  <w14:solidFill>
                    <w14:schemeClr w14:val="tx1"/>
                  </w14:solidFill>
                </w14:textFill>
              </w:rPr>
              <w:t>排放速率</w:t>
            </w:r>
          </w:p>
          <w:p w14:paraId="7B3A67CE">
            <w:pPr>
              <w:pStyle w:val="70"/>
              <w:rPr>
                <w:b/>
                <w:color w:val="000000" w:themeColor="text1"/>
                <w14:textFill>
                  <w14:solidFill>
                    <w14:schemeClr w14:val="tx1"/>
                  </w14:solidFill>
                </w14:textFill>
              </w:rPr>
            </w:pPr>
            <w:r>
              <w:rPr>
                <w:b/>
                <w:color w:val="000000" w:themeColor="text1"/>
                <w14:textFill>
                  <w14:solidFill>
                    <w14:schemeClr w14:val="tx1"/>
                  </w14:solidFill>
                </w14:textFill>
              </w:rPr>
              <w:t>（kg/h）</w:t>
            </w:r>
          </w:p>
        </w:tc>
        <w:tc>
          <w:tcPr>
            <w:tcW w:w="336" w:type="pct"/>
            <w:vAlign w:val="center"/>
          </w:tcPr>
          <w:p w14:paraId="1B85D4A2">
            <w:pPr>
              <w:pStyle w:val="70"/>
              <w:rPr>
                <w:b/>
                <w:color w:val="000000" w:themeColor="text1"/>
                <w14:textFill>
                  <w14:solidFill>
                    <w14:schemeClr w14:val="tx1"/>
                  </w14:solidFill>
                </w14:textFill>
              </w:rPr>
            </w:pPr>
            <w:r>
              <w:rPr>
                <w:b/>
                <w:color w:val="000000" w:themeColor="text1"/>
                <w14:textFill>
                  <w14:solidFill>
                    <w14:schemeClr w14:val="tx1"/>
                  </w14:solidFill>
                </w14:textFill>
              </w:rPr>
              <w:t>排放量</w:t>
            </w:r>
          </w:p>
          <w:p w14:paraId="3E78F8A4">
            <w:pPr>
              <w:pStyle w:val="70"/>
              <w:rPr>
                <w:b/>
                <w:color w:val="000000" w:themeColor="text1"/>
                <w14:textFill>
                  <w14:solidFill>
                    <w14:schemeClr w14:val="tx1"/>
                  </w14:solidFill>
                </w14:textFill>
              </w:rPr>
            </w:pPr>
            <w:r>
              <w:rPr>
                <w:b/>
                <w:color w:val="000000" w:themeColor="text1"/>
                <w14:textFill>
                  <w14:solidFill>
                    <w14:schemeClr w14:val="tx1"/>
                  </w14:solidFill>
                </w14:textFill>
              </w:rPr>
              <w:t>（t/a）</w:t>
            </w:r>
          </w:p>
        </w:tc>
        <w:tc>
          <w:tcPr>
            <w:tcW w:w="346" w:type="pct"/>
            <w:vMerge w:val="continue"/>
            <w:vAlign w:val="center"/>
          </w:tcPr>
          <w:p w14:paraId="5F535668">
            <w:pPr>
              <w:pStyle w:val="70"/>
              <w:rPr>
                <w:b/>
                <w:color w:val="000000" w:themeColor="text1"/>
                <w14:textFill>
                  <w14:solidFill>
                    <w14:schemeClr w14:val="tx1"/>
                  </w14:solidFill>
                </w14:textFill>
              </w:rPr>
            </w:pPr>
          </w:p>
        </w:tc>
      </w:tr>
      <w:tr w14:paraId="6C89288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656" w:type="pct"/>
            <w:vMerge w:val="restart"/>
            <w:vAlign w:val="center"/>
          </w:tcPr>
          <w:p w14:paraId="39820692">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管线密封点溢出废气</w:t>
            </w:r>
          </w:p>
        </w:tc>
        <w:tc>
          <w:tcPr>
            <w:tcW w:w="355" w:type="pct"/>
            <w:vAlign w:val="center"/>
          </w:tcPr>
          <w:p w14:paraId="6622EB59">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码头前沿</w:t>
            </w:r>
          </w:p>
        </w:tc>
        <w:tc>
          <w:tcPr>
            <w:tcW w:w="440" w:type="pct"/>
            <w:vAlign w:val="center"/>
          </w:tcPr>
          <w:p w14:paraId="6EF7BF57">
            <w:pPr>
              <w:pStyle w:val="70"/>
              <w:rPr>
                <w:color w:val="000000" w:themeColor="text1"/>
                <w14:textFill>
                  <w14:solidFill>
                    <w14:schemeClr w14:val="tx1"/>
                  </w14:solidFill>
                </w14:textFill>
              </w:rPr>
            </w:pPr>
            <w:r>
              <w:rPr>
                <w:rFonts w:hint="eastAsia"/>
                <w:color w:val="000000" w:themeColor="text1"/>
                <w:w w:val="99"/>
                <w14:textFill>
                  <w14:solidFill>
                    <w14:schemeClr w14:val="tx1"/>
                  </w14:solidFill>
                </w14:textFill>
              </w:rPr>
              <w:t>苯乙烯</w:t>
            </w:r>
          </w:p>
        </w:tc>
        <w:tc>
          <w:tcPr>
            <w:tcW w:w="553" w:type="pct"/>
            <w:vAlign w:val="center"/>
          </w:tcPr>
          <w:p w14:paraId="4EA36062">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平均排放系数法</w:t>
            </w:r>
          </w:p>
        </w:tc>
        <w:tc>
          <w:tcPr>
            <w:tcW w:w="342" w:type="pct"/>
            <w:vAlign w:val="center"/>
          </w:tcPr>
          <w:p w14:paraId="19F4E62F">
            <w:pPr>
              <w:spacing w:line="240" w:lineRule="exac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0.0023</w:t>
            </w:r>
          </w:p>
        </w:tc>
        <w:tc>
          <w:tcPr>
            <w:tcW w:w="370" w:type="pct"/>
            <w:vAlign w:val="center"/>
          </w:tcPr>
          <w:p w14:paraId="60DD9C45">
            <w:pPr>
              <w:spacing w:line="240" w:lineRule="exact"/>
              <w:ind w:firstLine="0" w:firstLineChars="0"/>
              <w:jc w:val="center"/>
              <w:rPr>
                <w:rFonts w:eastAsia="等线"/>
                <w:color w:val="000000" w:themeColor="text1"/>
                <w:sz w:val="21"/>
                <w:szCs w:val="21"/>
                <w14:textFill>
                  <w14:solidFill>
                    <w14:schemeClr w14:val="tx1"/>
                  </w14:solidFill>
                </w14:textFill>
              </w:rPr>
            </w:pPr>
            <w:r>
              <w:rPr>
                <w:rFonts w:hint="eastAsia" w:eastAsia="等线"/>
                <w:color w:val="000000" w:themeColor="text1"/>
                <w:sz w:val="21"/>
                <w:szCs w:val="21"/>
                <w14:textFill>
                  <w14:solidFill>
                    <w14:schemeClr w14:val="tx1"/>
                  </w14:solidFill>
                </w14:textFill>
              </w:rPr>
              <w:t>0.00024</w:t>
            </w:r>
          </w:p>
        </w:tc>
        <w:tc>
          <w:tcPr>
            <w:tcW w:w="335" w:type="pct"/>
            <w:vAlign w:val="center"/>
          </w:tcPr>
          <w:p w14:paraId="60CE8E04">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26" w:type="pct"/>
            <w:vAlign w:val="center"/>
          </w:tcPr>
          <w:p w14:paraId="536A8979">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571" w:type="pct"/>
            <w:vAlign w:val="center"/>
          </w:tcPr>
          <w:p w14:paraId="764663CD">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平均排放系数法</w:t>
            </w:r>
          </w:p>
        </w:tc>
        <w:tc>
          <w:tcPr>
            <w:tcW w:w="370" w:type="pct"/>
            <w:vAlign w:val="center"/>
          </w:tcPr>
          <w:p w14:paraId="51080B93">
            <w:pPr>
              <w:spacing w:line="240" w:lineRule="exac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0.0023</w:t>
            </w:r>
          </w:p>
        </w:tc>
        <w:tc>
          <w:tcPr>
            <w:tcW w:w="336" w:type="pct"/>
            <w:vAlign w:val="center"/>
          </w:tcPr>
          <w:p w14:paraId="18D02BC2">
            <w:pPr>
              <w:spacing w:line="240" w:lineRule="exact"/>
              <w:ind w:firstLine="0" w:firstLineChars="0"/>
              <w:jc w:val="center"/>
              <w:rPr>
                <w:rFonts w:eastAsia="等线"/>
                <w:color w:val="000000" w:themeColor="text1"/>
                <w:sz w:val="21"/>
                <w:szCs w:val="21"/>
                <w14:textFill>
                  <w14:solidFill>
                    <w14:schemeClr w14:val="tx1"/>
                  </w14:solidFill>
                </w14:textFill>
              </w:rPr>
            </w:pPr>
            <w:r>
              <w:rPr>
                <w:rFonts w:hint="eastAsia" w:eastAsia="等线"/>
                <w:color w:val="000000" w:themeColor="text1"/>
                <w:sz w:val="21"/>
                <w:szCs w:val="21"/>
                <w14:textFill>
                  <w14:solidFill>
                    <w14:schemeClr w14:val="tx1"/>
                  </w14:solidFill>
                </w14:textFill>
              </w:rPr>
              <w:t>0.00024</w:t>
            </w:r>
          </w:p>
        </w:tc>
        <w:tc>
          <w:tcPr>
            <w:tcW w:w="346" w:type="pct"/>
            <w:vAlign w:val="center"/>
          </w:tcPr>
          <w:p w14:paraId="35F55DBB">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3168</w:t>
            </w:r>
          </w:p>
        </w:tc>
      </w:tr>
      <w:tr w14:paraId="6D38468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656" w:type="pct"/>
            <w:vMerge w:val="continue"/>
            <w:vAlign w:val="center"/>
          </w:tcPr>
          <w:p w14:paraId="1CC1829C">
            <w:pPr>
              <w:pStyle w:val="70"/>
              <w:rPr>
                <w:color w:val="000000" w:themeColor="text1"/>
                <w14:textFill>
                  <w14:solidFill>
                    <w14:schemeClr w14:val="tx1"/>
                  </w14:solidFill>
                </w14:textFill>
              </w:rPr>
            </w:pPr>
          </w:p>
        </w:tc>
        <w:tc>
          <w:tcPr>
            <w:tcW w:w="355" w:type="pct"/>
            <w:vAlign w:val="center"/>
          </w:tcPr>
          <w:p w14:paraId="29F3BD2F">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码头前沿</w:t>
            </w:r>
          </w:p>
        </w:tc>
        <w:tc>
          <w:tcPr>
            <w:tcW w:w="440" w:type="pct"/>
            <w:vAlign w:val="center"/>
          </w:tcPr>
          <w:p w14:paraId="4D38FC47">
            <w:pPr>
              <w:pStyle w:val="70"/>
              <w:rPr>
                <w:color w:val="000000" w:themeColor="text1"/>
                <w14:textFill>
                  <w14:solidFill>
                    <w14:schemeClr w14:val="tx1"/>
                  </w14:solidFill>
                </w14:textFill>
              </w:rPr>
            </w:pPr>
            <w:r>
              <w:rPr>
                <w:rFonts w:hint="eastAsia"/>
                <w:color w:val="000000" w:themeColor="text1"/>
                <w:w w:val="99"/>
                <w14:textFill>
                  <w14:solidFill>
                    <w14:schemeClr w14:val="tx1"/>
                  </w14:solidFill>
                </w14:textFill>
              </w:rPr>
              <w:t>硫酸雾</w:t>
            </w:r>
          </w:p>
        </w:tc>
        <w:tc>
          <w:tcPr>
            <w:tcW w:w="553" w:type="pct"/>
            <w:vAlign w:val="center"/>
          </w:tcPr>
          <w:p w14:paraId="4073D1FC">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平均排放系数法</w:t>
            </w:r>
          </w:p>
        </w:tc>
        <w:tc>
          <w:tcPr>
            <w:tcW w:w="342" w:type="pct"/>
            <w:vAlign w:val="center"/>
          </w:tcPr>
          <w:p w14:paraId="77CA2DC3">
            <w:pPr>
              <w:pStyle w:val="70"/>
              <w:rPr>
                <w:color w:val="000000" w:themeColor="text1"/>
                <w14:textFill>
                  <w14:solidFill>
                    <w14:schemeClr w14:val="tx1"/>
                  </w14:solidFill>
                </w14:textFill>
              </w:rPr>
            </w:pPr>
            <w:r>
              <w:rPr>
                <w:rFonts w:hint="eastAsia" w:eastAsia="等线"/>
                <w:color w:val="000000" w:themeColor="text1"/>
                <w14:textFill>
                  <w14:solidFill>
                    <w14:schemeClr w14:val="tx1"/>
                  </w14:solidFill>
                </w14:textFill>
              </w:rPr>
              <w:t>0</w:t>
            </w:r>
            <w:r>
              <w:rPr>
                <w:rFonts w:eastAsia="等线"/>
                <w:color w:val="000000" w:themeColor="text1"/>
                <w14:textFill>
                  <w14:solidFill>
                    <w14:schemeClr w14:val="tx1"/>
                  </w14:solidFill>
                </w14:textFill>
              </w:rPr>
              <w:t>.0311</w:t>
            </w:r>
          </w:p>
        </w:tc>
        <w:tc>
          <w:tcPr>
            <w:tcW w:w="370" w:type="pct"/>
            <w:vAlign w:val="center"/>
          </w:tcPr>
          <w:p w14:paraId="3E46686F">
            <w:pPr>
              <w:pStyle w:val="70"/>
              <w:rPr>
                <w:color w:val="000000" w:themeColor="text1"/>
                <w14:textFill>
                  <w14:solidFill>
                    <w14:schemeClr w14:val="tx1"/>
                  </w14:solidFill>
                </w14:textFill>
              </w:rPr>
            </w:pPr>
            <w:r>
              <w:rPr>
                <w:rFonts w:hint="eastAsia" w:eastAsia="等线"/>
                <w:color w:val="000000" w:themeColor="text1"/>
                <w14:textFill>
                  <w14:solidFill>
                    <w14:schemeClr w14:val="tx1"/>
                  </w14:solidFill>
                </w14:textFill>
              </w:rPr>
              <w:t>0</w:t>
            </w:r>
            <w:r>
              <w:rPr>
                <w:rFonts w:eastAsia="等线"/>
                <w:color w:val="000000" w:themeColor="text1"/>
                <w14:textFill>
                  <w14:solidFill>
                    <w14:schemeClr w14:val="tx1"/>
                  </w14:solidFill>
                </w14:textFill>
              </w:rPr>
              <w:t>.0011</w:t>
            </w:r>
          </w:p>
        </w:tc>
        <w:tc>
          <w:tcPr>
            <w:tcW w:w="335" w:type="pct"/>
            <w:vAlign w:val="center"/>
          </w:tcPr>
          <w:p w14:paraId="7FAA94E3">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26" w:type="pct"/>
            <w:vAlign w:val="center"/>
          </w:tcPr>
          <w:p w14:paraId="6E82AFA2">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571" w:type="pct"/>
            <w:vAlign w:val="center"/>
          </w:tcPr>
          <w:p w14:paraId="0B29F4F8">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平均排放系数法</w:t>
            </w:r>
          </w:p>
        </w:tc>
        <w:tc>
          <w:tcPr>
            <w:tcW w:w="370" w:type="pct"/>
            <w:vAlign w:val="center"/>
          </w:tcPr>
          <w:p w14:paraId="5F34243B">
            <w:pPr>
              <w:pStyle w:val="70"/>
              <w:rPr>
                <w:rFonts w:eastAsia="等线"/>
                <w:color w:val="000000" w:themeColor="text1"/>
                <w14:textFill>
                  <w14:solidFill>
                    <w14:schemeClr w14:val="tx1"/>
                  </w14:solidFill>
                </w14:textFill>
              </w:rPr>
            </w:pPr>
            <w:r>
              <w:rPr>
                <w:rFonts w:hint="eastAsia" w:eastAsia="等线"/>
                <w:color w:val="000000" w:themeColor="text1"/>
                <w14:textFill>
                  <w14:solidFill>
                    <w14:schemeClr w14:val="tx1"/>
                  </w14:solidFill>
                </w14:textFill>
              </w:rPr>
              <w:t xml:space="preserve">0.0003 </w:t>
            </w:r>
          </w:p>
        </w:tc>
        <w:tc>
          <w:tcPr>
            <w:tcW w:w="336" w:type="pct"/>
            <w:vAlign w:val="center"/>
          </w:tcPr>
          <w:p w14:paraId="5571F2BB">
            <w:pPr>
              <w:pStyle w:val="70"/>
              <w:rPr>
                <w:color w:val="000000" w:themeColor="text1"/>
                <w14:textFill>
                  <w14:solidFill>
                    <w14:schemeClr w14:val="tx1"/>
                  </w14:solidFill>
                </w14:textFill>
              </w:rPr>
            </w:pPr>
            <w:r>
              <w:rPr>
                <w:rFonts w:hint="eastAsia" w:eastAsia="等线"/>
                <w:color w:val="000000" w:themeColor="text1"/>
                <w14:textFill>
                  <w14:solidFill>
                    <w14:schemeClr w14:val="tx1"/>
                  </w14:solidFill>
                </w14:textFill>
              </w:rPr>
              <w:t>0</w:t>
            </w:r>
            <w:r>
              <w:rPr>
                <w:rFonts w:eastAsia="等线"/>
                <w:color w:val="000000" w:themeColor="text1"/>
                <w14:textFill>
                  <w14:solidFill>
                    <w14:schemeClr w14:val="tx1"/>
                  </w14:solidFill>
                </w14:textFill>
              </w:rPr>
              <w:t>.0011</w:t>
            </w:r>
          </w:p>
        </w:tc>
        <w:tc>
          <w:tcPr>
            <w:tcW w:w="346" w:type="pct"/>
            <w:vAlign w:val="center"/>
          </w:tcPr>
          <w:p w14:paraId="668DB7EA">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3168</w:t>
            </w:r>
          </w:p>
        </w:tc>
      </w:tr>
      <w:tr w14:paraId="7917215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656" w:type="pct"/>
            <w:vMerge w:val="continue"/>
            <w:vAlign w:val="center"/>
          </w:tcPr>
          <w:p w14:paraId="3D0156AD">
            <w:pPr>
              <w:pStyle w:val="70"/>
              <w:rPr>
                <w:color w:val="000000" w:themeColor="text1"/>
                <w14:textFill>
                  <w14:solidFill>
                    <w14:schemeClr w14:val="tx1"/>
                  </w14:solidFill>
                </w14:textFill>
              </w:rPr>
            </w:pPr>
          </w:p>
        </w:tc>
        <w:tc>
          <w:tcPr>
            <w:tcW w:w="355" w:type="pct"/>
            <w:vAlign w:val="center"/>
          </w:tcPr>
          <w:p w14:paraId="1D081533">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码头前沿</w:t>
            </w:r>
          </w:p>
        </w:tc>
        <w:tc>
          <w:tcPr>
            <w:tcW w:w="440" w:type="pct"/>
            <w:vAlign w:val="center"/>
          </w:tcPr>
          <w:p w14:paraId="2675621A">
            <w:pPr>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VOCs</w:t>
            </w:r>
          </w:p>
          <w:p w14:paraId="759E163D">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（根据货种及标准统计）</w:t>
            </w:r>
          </w:p>
        </w:tc>
        <w:tc>
          <w:tcPr>
            <w:tcW w:w="553" w:type="pct"/>
            <w:vAlign w:val="center"/>
          </w:tcPr>
          <w:p w14:paraId="14A113DF">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平均排放系数法</w:t>
            </w:r>
          </w:p>
        </w:tc>
        <w:tc>
          <w:tcPr>
            <w:tcW w:w="342" w:type="pct"/>
            <w:vAlign w:val="center"/>
          </w:tcPr>
          <w:p w14:paraId="54EEBDA8">
            <w:pPr>
              <w:pStyle w:val="70"/>
              <w:rPr>
                <w:color w:val="000000" w:themeColor="text1"/>
                <w14:textFill>
                  <w14:solidFill>
                    <w14:schemeClr w14:val="tx1"/>
                  </w14:solidFill>
                </w14:textFill>
              </w:rPr>
            </w:pPr>
            <w:r>
              <w:rPr>
                <w:rFonts w:hint="eastAsia" w:eastAsia="等线"/>
                <w:color w:val="000000" w:themeColor="text1"/>
                <w14:textFill>
                  <w14:solidFill>
                    <w14:schemeClr w14:val="tx1"/>
                  </w14:solidFill>
                </w14:textFill>
              </w:rPr>
              <w:t>0</w:t>
            </w:r>
            <w:r>
              <w:rPr>
                <w:rFonts w:eastAsia="等线"/>
                <w:color w:val="000000" w:themeColor="text1"/>
                <w14:textFill>
                  <w14:solidFill>
                    <w14:schemeClr w14:val="tx1"/>
                  </w14:solidFill>
                </w14:textFill>
              </w:rPr>
              <w:t>.0293</w:t>
            </w:r>
          </w:p>
        </w:tc>
        <w:tc>
          <w:tcPr>
            <w:tcW w:w="370" w:type="pct"/>
            <w:vAlign w:val="center"/>
          </w:tcPr>
          <w:p w14:paraId="1EE85468">
            <w:pPr>
              <w:pStyle w:val="70"/>
              <w:rPr>
                <w:color w:val="000000" w:themeColor="text1"/>
                <w14:textFill>
                  <w14:solidFill>
                    <w14:schemeClr w14:val="tx1"/>
                  </w14:solidFill>
                </w14:textFill>
              </w:rPr>
            </w:pPr>
            <w:r>
              <w:rPr>
                <w:rFonts w:hint="eastAsia" w:eastAsia="等线"/>
                <w:color w:val="000000" w:themeColor="text1"/>
                <w14:textFill>
                  <w14:solidFill>
                    <w14:schemeClr w14:val="tx1"/>
                  </w14:solidFill>
                </w14:textFill>
              </w:rPr>
              <w:t>0</w:t>
            </w:r>
            <w:r>
              <w:rPr>
                <w:rFonts w:eastAsia="等线"/>
                <w:color w:val="000000" w:themeColor="text1"/>
                <w14:textFill>
                  <w14:solidFill>
                    <w14:schemeClr w14:val="tx1"/>
                  </w14:solidFill>
                </w14:textFill>
              </w:rPr>
              <w:t>.0141</w:t>
            </w:r>
          </w:p>
        </w:tc>
        <w:tc>
          <w:tcPr>
            <w:tcW w:w="335" w:type="pct"/>
            <w:vAlign w:val="center"/>
          </w:tcPr>
          <w:p w14:paraId="057C6F81">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26" w:type="pct"/>
            <w:vAlign w:val="center"/>
          </w:tcPr>
          <w:p w14:paraId="5E80CF3D">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571" w:type="pct"/>
            <w:vAlign w:val="center"/>
          </w:tcPr>
          <w:p w14:paraId="37CB3D6B">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平均排放系数法</w:t>
            </w:r>
          </w:p>
        </w:tc>
        <w:tc>
          <w:tcPr>
            <w:tcW w:w="370" w:type="pct"/>
            <w:vAlign w:val="center"/>
          </w:tcPr>
          <w:p w14:paraId="3D77B2CF">
            <w:pPr>
              <w:pStyle w:val="70"/>
              <w:rPr>
                <w:rFonts w:eastAsia="等线"/>
                <w:color w:val="000000" w:themeColor="text1"/>
                <w14:textFill>
                  <w14:solidFill>
                    <w14:schemeClr w14:val="tx1"/>
                  </w14:solidFill>
                </w14:textFill>
              </w:rPr>
            </w:pPr>
            <w:r>
              <w:rPr>
                <w:rFonts w:hint="eastAsia" w:eastAsia="等线"/>
                <w:color w:val="000000" w:themeColor="text1"/>
                <w14:textFill>
                  <w14:solidFill>
                    <w14:schemeClr w14:val="tx1"/>
                  </w14:solidFill>
                </w14:textFill>
              </w:rPr>
              <w:t xml:space="preserve">0.0045 </w:t>
            </w:r>
          </w:p>
        </w:tc>
        <w:tc>
          <w:tcPr>
            <w:tcW w:w="336" w:type="pct"/>
            <w:vAlign w:val="center"/>
          </w:tcPr>
          <w:p w14:paraId="57F5A6D6">
            <w:pPr>
              <w:pStyle w:val="70"/>
              <w:rPr>
                <w:color w:val="000000" w:themeColor="text1"/>
                <w14:textFill>
                  <w14:solidFill>
                    <w14:schemeClr w14:val="tx1"/>
                  </w14:solidFill>
                </w14:textFill>
              </w:rPr>
            </w:pPr>
            <w:r>
              <w:rPr>
                <w:rFonts w:hint="eastAsia" w:eastAsia="等线"/>
                <w:color w:val="000000" w:themeColor="text1"/>
                <w14:textFill>
                  <w14:solidFill>
                    <w14:schemeClr w14:val="tx1"/>
                  </w14:solidFill>
                </w14:textFill>
              </w:rPr>
              <w:t>0</w:t>
            </w:r>
            <w:r>
              <w:rPr>
                <w:rFonts w:eastAsia="等线"/>
                <w:color w:val="000000" w:themeColor="text1"/>
                <w14:textFill>
                  <w14:solidFill>
                    <w14:schemeClr w14:val="tx1"/>
                  </w14:solidFill>
                </w14:textFill>
              </w:rPr>
              <w:t>.0141</w:t>
            </w:r>
          </w:p>
        </w:tc>
        <w:tc>
          <w:tcPr>
            <w:tcW w:w="346" w:type="pct"/>
            <w:vAlign w:val="center"/>
          </w:tcPr>
          <w:p w14:paraId="3AFAE1D1">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3168</w:t>
            </w:r>
          </w:p>
        </w:tc>
      </w:tr>
      <w:tr w14:paraId="671CDC1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656" w:type="pct"/>
            <w:vMerge w:val="restart"/>
            <w:vAlign w:val="center"/>
          </w:tcPr>
          <w:p w14:paraId="14221C1F">
            <w:pPr>
              <w:pStyle w:val="70"/>
              <w:rPr>
                <w:color w:val="000000" w:themeColor="text1"/>
                <w14:textFill>
                  <w14:solidFill>
                    <w14:schemeClr w14:val="tx1"/>
                  </w14:solidFill>
                </w14:textFill>
              </w:rPr>
            </w:pPr>
            <w:r>
              <w:rPr>
                <w:color w:val="000000" w:themeColor="text1"/>
                <w14:textFill>
                  <w14:solidFill>
                    <w14:schemeClr w14:val="tx1"/>
                  </w14:solidFill>
                </w14:textFill>
              </w:rPr>
              <w:t>船舶废气</w:t>
            </w:r>
          </w:p>
        </w:tc>
        <w:tc>
          <w:tcPr>
            <w:tcW w:w="355" w:type="pct"/>
            <w:vMerge w:val="restart"/>
            <w:vAlign w:val="center"/>
          </w:tcPr>
          <w:p w14:paraId="4302EF70">
            <w:pPr>
              <w:pStyle w:val="70"/>
              <w:rPr>
                <w:color w:val="000000" w:themeColor="text1"/>
                <w14:textFill>
                  <w14:solidFill>
                    <w14:schemeClr w14:val="tx1"/>
                  </w14:solidFill>
                </w14:textFill>
              </w:rPr>
            </w:pPr>
            <w:r>
              <w:rPr>
                <w:color w:val="000000" w:themeColor="text1"/>
                <w14:textFill>
                  <w14:solidFill>
                    <w14:schemeClr w14:val="tx1"/>
                  </w14:solidFill>
                </w14:textFill>
              </w:rPr>
              <w:t>码头前沿</w:t>
            </w:r>
          </w:p>
        </w:tc>
        <w:tc>
          <w:tcPr>
            <w:tcW w:w="440" w:type="pct"/>
            <w:vAlign w:val="center"/>
          </w:tcPr>
          <w:p w14:paraId="05FDA890">
            <w:pPr>
              <w:pStyle w:val="70"/>
              <w:rPr>
                <w:color w:val="000000" w:themeColor="text1"/>
                <w14:textFill>
                  <w14:solidFill>
                    <w14:schemeClr w14:val="tx1"/>
                  </w14:solidFill>
                </w14:textFill>
              </w:rPr>
            </w:pPr>
            <w:r>
              <w:rPr>
                <w:color w:val="000000" w:themeColor="text1"/>
                <w14:textFill>
                  <w14:solidFill>
                    <w14:schemeClr w14:val="tx1"/>
                  </w14:solidFill>
                </w14:textFill>
              </w:rPr>
              <w:t>SO</w:t>
            </w:r>
            <w:r>
              <w:rPr>
                <w:color w:val="000000" w:themeColor="text1"/>
                <w:vertAlign w:val="subscript"/>
                <w14:textFill>
                  <w14:solidFill>
                    <w14:schemeClr w14:val="tx1"/>
                  </w14:solidFill>
                </w14:textFill>
              </w:rPr>
              <w:t>2</w:t>
            </w:r>
          </w:p>
        </w:tc>
        <w:tc>
          <w:tcPr>
            <w:tcW w:w="553" w:type="pct"/>
            <w:vAlign w:val="center"/>
          </w:tcPr>
          <w:p w14:paraId="004AB1A1">
            <w:pPr>
              <w:pStyle w:val="70"/>
              <w:rPr>
                <w:color w:val="000000" w:themeColor="text1"/>
                <w14:textFill>
                  <w14:solidFill>
                    <w14:schemeClr w14:val="tx1"/>
                  </w14:solidFill>
                </w14:textFill>
              </w:rPr>
            </w:pPr>
            <w:r>
              <w:rPr>
                <w:color w:val="000000" w:themeColor="text1"/>
                <w14:textFill>
                  <w14:solidFill>
                    <w14:schemeClr w14:val="tx1"/>
                  </w14:solidFill>
                </w14:textFill>
              </w:rPr>
              <w:t>产污系数法</w:t>
            </w:r>
          </w:p>
        </w:tc>
        <w:tc>
          <w:tcPr>
            <w:tcW w:w="342" w:type="pct"/>
            <w:vAlign w:val="center"/>
          </w:tcPr>
          <w:p w14:paraId="5D8E140D">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370" w:type="pct"/>
            <w:vAlign w:val="center"/>
          </w:tcPr>
          <w:p w14:paraId="58C3C4E2">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0.672</w:t>
            </w:r>
          </w:p>
        </w:tc>
        <w:tc>
          <w:tcPr>
            <w:tcW w:w="335" w:type="pct"/>
            <w:vAlign w:val="center"/>
          </w:tcPr>
          <w:p w14:paraId="6B409A94">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26" w:type="pct"/>
            <w:vAlign w:val="center"/>
          </w:tcPr>
          <w:p w14:paraId="7149C081">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571" w:type="pct"/>
            <w:vAlign w:val="center"/>
          </w:tcPr>
          <w:p w14:paraId="54FDF141">
            <w:pPr>
              <w:pStyle w:val="70"/>
              <w:rPr>
                <w:color w:val="000000" w:themeColor="text1"/>
                <w14:textFill>
                  <w14:solidFill>
                    <w14:schemeClr w14:val="tx1"/>
                  </w14:solidFill>
                </w14:textFill>
              </w:rPr>
            </w:pPr>
            <w:r>
              <w:rPr>
                <w:color w:val="000000" w:themeColor="text1"/>
                <w14:textFill>
                  <w14:solidFill>
                    <w14:schemeClr w14:val="tx1"/>
                  </w14:solidFill>
                </w14:textFill>
              </w:rPr>
              <w:t>产污系数法</w:t>
            </w:r>
          </w:p>
        </w:tc>
        <w:tc>
          <w:tcPr>
            <w:tcW w:w="370" w:type="pct"/>
            <w:vAlign w:val="center"/>
          </w:tcPr>
          <w:p w14:paraId="337BB700">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336" w:type="pct"/>
            <w:vAlign w:val="center"/>
          </w:tcPr>
          <w:p w14:paraId="7594A850">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0.672</w:t>
            </w:r>
          </w:p>
        </w:tc>
        <w:tc>
          <w:tcPr>
            <w:tcW w:w="346" w:type="pct"/>
            <w:vAlign w:val="center"/>
          </w:tcPr>
          <w:p w14:paraId="4C9D6C3E">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3168</w:t>
            </w:r>
          </w:p>
        </w:tc>
      </w:tr>
      <w:tr w14:paraId="063E00F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656" w:type="pct"/>
            <w:vMerge w:val="continue"/>
            <w:vAlign w:val="center"/>
          </w:tcPr>
          <w:p w14:paraId="6AB57C7A">
            <w:pPr>
              <w:pStyle w:val="70"/>
              <w:rPr>
                <w:color w:val="000000" w:themeColor="text1"/>
                <w14:textFill>
                  <w14:solidFill>
                    <w14:schemeClr w14:val="tx1"/>
                  </w14:solidFill>
                </w14:textFill>
              </w:rPr>
            </w:pPr>
          </w:p>
        </w:tc>
        <w:tc>
          <w:tcPr>
            <w:tcW w:w="355" w:type="pct"/>
            <w:vMerge w:val="continue"/>
            <w:vAlign w:val="center"/>
          </w:tcPr>
          <w:p w14:paraId="2A038746">
            <w:pPr>
              <w:pStyle w:val="70"/>
              <w:rPr>
                <w:color w:val="000000" w:themeColor="text1"/>
                <w14:textFill>
                  <w14:solidFill>
                    <w14:schemeClr w14:val="tx1"/>
                  </w14:solidFill>
                </w14:textFill>
              </w:rPr>
            </w:pPr>
          </w:p>
        </w:tc>
        <w:tc>
          <w:tcPr>
            <w:tcW w:w="440" w:type="pct"/>
            <w:vAlign w:val="center"/>
          </w:tcPr>
          <w:p w14:paraId="6E32AEC5">
            <w:pPr>
              <w:pStyle w:val="70"/>
              <w:rPr>
                <w:color w:val="000000" w:themeColor="text1"/>
                <w14:textFill>
                  <w14:solidFill>
                    <w14:schemeClr w14:val="tx1"/>
                  </w14:solidFill>
                </w14:textFill>
              </w:rPr>
            </w:pPr>
            <w:r>
              <w:rPr>
                <w:color w:val="000000" w:themeColor="text1"/>
                <w14:textFill>
                  <w14:solidFill>
                    <w14:schemeClr w14:val="tx1"/>
                  </w14:solidFill>
                </w14:textFill>
              </w:rPr>
              <w:t>NO</w:t>
            </w:r>
            <w:r>
              <w:rPr>
                <w:color w:val="000000" w:themeColor="text1"/>
                <w:vertAlign w:val="subscript"/>
                <w14:textFill>
                  <w14:solidFill>
                    <w14:schemeClr w14:val="tx1"/>
                  </w14:solidFill>
                </w14:textFill>
              </w:rPr>
              <w:t>X</w:t>
            </w:r>
          </w:p>
        </w:tc>
        <w:tc>
          <w:tcPr>
            <w:tcW w:w="553" w:type="pct"/>
            <w:vAlign w:val="center"/>
          </w:tcPr>
          <w:p w14:paraId="60C72468">
            <w:pPr>
              <w:pStyle w:val="70"/>
              <w:rPr>
                <w:color w:val="000000" w:themeColor="text1"/>
                <w14:textFill>
                  <w14:solidFill>
                    <w14:schemeClr w14:val="tx1"/>
                  </w14:solidFill>
                </w14:textFill>
              </w:rPr>
            </w:pPr>
            <w:r>
              <w:rPr>
                <w:color w:val="000000" w:themeColor="text1"/>
                <w14:textFill>
                  <w14:solidFill>
                    <w14:schemeClr w14:val="tx1"/>
                  </w14:solidFill>
                </w14:textFill>
              </w:rPr>
              <w:t>产污系数法</w:t>
            </w:r>
          </w:p>
        </w:tc>
        <w:tc>
          <w:tcPr>
            <w:tcW w:w="342" w:type="pct"/>
            <w:vAlign w:val="center"/>
          </w:tcPr>
          <w:p w14:paraId="240CAAAF">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370" w:type="pct"/>
            <w:vAlign w:val="center"/>
          </w:tcPr>
          <w:p w14:paraId="3FC8DA59">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2.215</w:t>
            </w:r>
          </w:p>
        </w:tc>
        <w:tc>
          <w:tcPr>
            <w:tcW w:w="335" w:type="pct"/>
            <w:vAlign w:val="center"/>
          </w:tcPr>
          <w:p w14:paraId="02B35E2D">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326" w:type="pct"/>
            <w:vAlign w:val="center"/>
          </w:tcPr>
          <w:p w14:paraId="720F7E12">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571" w:type="pct"/>
            <w:vAlign w:val="center"/>
          </w:tcPr>
          <w:p w14:paraId="293BB494">
            <w:pPr>
              <w:pStyle w:val="70"/>
              <w:rPr>
                <w:color w:val="000000" w:themeColor="text1"/>
                <w14:textFill>
                  <w14:solidFill>
                    <w14:schemeClr w14:val="tx1"/>
                  </w14:solidFill>
                </w14:textFill>
              </w:rPr>
            </w:pPr>
            <w:r>
              <w:rPr>
                <w:color w:val="000000" w:themeColor="text1"/>
                <w14:textFill>
                  <w14:solidFill>
                    <w14:schemeClr w14:val="tx1"/>
                  </w14:solidFill>
                </w14:textFill>
              </w:rPr>
              <w:t>产污系数法</w:t>
            </w:r>
          </w:p>
        </w:tc>
        <w:tc>
          <w:tcPr>
            <w:tcW w:w="370" w:type="pct"/>
            <w:vAlign w:val="center"/>
          </w:tcPr>
          <w:p w14:paraId="1948ECF1">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336" w:type="pct"/>
            <w:vAlign w:val="center"/>
          </w:tcPr>
          <w:p w14:paraId="001EF68A">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2.215</w:t>
            </w:r>
          </w:p>
        </w:tc>
        <w:tc>
          <w:tcPr>
            <w:tcW w:w="346" w:type="pct"/>
            <w:vAlign w:val="center"/>
          </w:tcPr>
          <w:p w14:paraId="6C659E73">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3168</w:t>
            </w:r>
          </w:p>
        </w:tc>
      </w:tr>
    </w:tbl>
    <w:p w14:paraId="5F2C39E6">
      <w:pPr>
        <w:pStyle w:val="7"/>
        <w:tabs>
          <w:tab w:val="left" w:pos="2127"/>
          <w:tab w:val="left" w:pos="2411"/>
        </w:tabs>
        <w:rPr>
          <w:b w:val="0"/>
          <w:bCs w:val="0"/>
          <w:color w:val="000000" w:themeColor="text1"/>
          <w14:textFill>
            <w14:solidFill>
              <w14:schemeClr w14:val="tx1"/>
            </w14:solidFill>
          </w14:textFill>
        </w:rPr>
      </w:pPr>
      <w:r>
        <w:rPr>
          <w:color w:val="000000" w:themeColor="text1"/>
          <w14:textFill>
            <w14:solidFill>
              <w14:schemeClr w14:val="tx1"/>
            </w14:solidFill>
          </w14:textFill>
        </w:rPr>
        <w:br w:type="page"/>
      </w:r>
      <w:r>
        <w:rPr>
          <w:color w:val="000000" w:themeColor="text1"/>
          <w14:textFill>
            <w14:solidFill>
              <w14:schemeClr w14:val="tx1"/>
            </w14:solidFill>
          </w14:textFill>
        </w:rPr>
        <w:t xml:space="preserve"> 水污染源源强核算结果汇总表</w:t>
      </w:r>
    </w:p>
    <w:tbl>
      <w:tblPr>
        <w:tblStyle w:val="43"/>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663"/>
        <w:gridCol w:w="1031"/>
        <w:gridCol w:w="784"/>
        <w:gridCol w:w="1295"/>
        <w:gridCol w:w="1232"/>
        <w:gridCol w:w="3954"/>
        <w:gridCol w:w="848"/>
        <w:gridCol w:w="821"/>
        <w:gridCol w:w="1212"/>
        <w:gridCol w:w="8"/>
        <w:gridCol w:w="1326"/>
      </w:tblGrid>
      <w:tr w14:paraId="352E0F7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2" w:hRule="atLeast"/>
          <w:tblHeader/>
          <w:jc w:val="center"/>
        </w:trPr>
        <w:tc>
          <w:tcPr>
            <w:tcW w:w="588" w:type="pct"/>
            <w:vMerge w:val="restart"/>
            <w:vAlign w:val="center"/>
          </w:tcPr>
          <w:p w14:paraId="3F6614DE">
            <w:pPr>
              <w:pStyle w:val="70"/>
              <w:rPr>
                <w:b/>
                <w:color w:val="000000" w:themeColor="text1"/>
                <w14:textFill>
                  <w14:solidFill>
                    <w14:schemeClr w14:val="tx1"/>
                  </w14:solidFill>
                </w14:textFill>
              </w:rPr>
            </w:pPr>
            <w:r>
              <w:rPr>
                <w:b/>
                <w:color w:val="000000" w:themeColor="text1"/>
                <w14:textFill>
                  <w14:solidFill>
                    <w14:schemeClr w14:val="tx1"/>
                  </w14:solidFill>
                </w14:textFill>
              </w:rPr>
              <w:t>污染源</w:t>
            </w:r>
          </w:p>
        </w:tc>
        <w:tc>
          <w:tcPr>
            <w:tcW w:w="365" w:type="pct"/>
            <w:vMerge w:val="restart"/>
            <w:vAlign w:val="center"/>
          </w:tcPr>
          <w:p w14:paraId="4D3CFE76">
            <w:pPr>
              <w:pStyle w:val="70"/>
              <w:rPr>
                <w:b/>
                <w:color w:val="000000" w:themeColor="text1"/>
                <w14:textFill>
                  <w14:solidFill>
                    <w14:schemeClr w14:val="tx1"/>
                  </w14:solidFill>
                </w14:textFill>
              </w:rPr>
            </w:pPr>
            <w:r>
              <w:rPr>
                <w:b/>
                <w:color w:val="000000" w:themeColor="text1"/>
                <w14:textFill>
                  <w14:solidFill>
                    <w14:schemeClr w14:val="tx1"/>
                  </w14:solidFill>
                </w14:textFill>
              </w:rPr>
              <w:t>污染物</w:t>
            </w:r>
          </w:p>
        </w:tc>
        <w:tc>
          <w:tcPr>
            <w:tcW w:w="1172" w:type="pct"/>
            <w:gridSpan w:val="3"/>
            <w:vAlign w:val="center"/>
          </w:tcPr>
          <w:p w14:paraId="742BFFC5">
            <w:pPr>
              <w:pStyle w:val="70"/>
              <w:rPr>
                <w:b/>
                <w:color w:val="000000" w:themeColor="text1"/>
                <w14:textFill>
                  <w14:solidFill>
                    <w14:schemeClr w14:val="tx1"/>
                  </w14:solidFill>
                </w14:textFill>
              </w:rPr>
            </w:pPr>
            <w:r>
              <w:rPr>
                <w:b/>
                <w:color w:val="000000" w:themeColor="text1"/>
                <w14:textFill>
                  <w14:solidFill>
                    <w14:schemeClr w14:val="tx1"/>
                  </w14:solidFill>
                </w14:textFill>
              </w:rPr>
              <w:t>污染物产生</w:t>
            </w:r>
          </w:p>
        </w:tc>
        <w:tc>
          <w:tcPr>
            <w:tcW w:w="1681" w:type="pct"/>
            <w:gridSpan w:val="2"/>
            <w:vAlign w:val="center"/>
          </w:tcPr>
          <w:p w14:paraId="7E6C38EB">
            <w:pPr>
              <w:pStyle w:val="70"/>
              <w:rPr>
                <w:b/>
                <w:color w:val="000000" w:themeColor="text1"/>
                <w14:textFill>
                  <w14:solidFill>
                    <w14:schemeClr w14:val="tx1"/>
                  </w14:solidFill>
                </w14:textFill>
              </w:rPr>
            </w:pPr>
            <w:r>
              <w:rPr>
                <w:b/>
                <w:color w:val="000000" w:themeColor="text1"/>
                <w14:textFill>
                  <w14:solidFill>
                    <w14:schemeClr w14:val="tx1"/>
                  </w14:solidFill>
                </w14:textFill>
              </w:rPr>
              <w:t>治理措施</w:t>
            </w:r>
          </w:p>
        </w:tc>
        <w:tc>
          <w:tcPr>
            <w:tcW w:w="1193" w:type="pct"/>
            <w:gridSpan w:val="4"/>
            <w:vAlign w:val="center"/>
          </w:tcPr>
          <w:p w14:paraId="089C034F">
            <w:pPr>
              <w:pStyle w:val="70"/>
              <w:rPr>
                <w:b/>
                <w:color w:val="000000" w:themeColor="text1"/>
                <w14:textFill>
                  <w14:solidFill>
                    <w14:schemeClr w14:val="tx1"/>
                  </w14:solidFill>
                </w14:textFill>
              </w:rPr>
            </w:pPr>
            <w:r>
              <w:rPr>
                <w:b/>
                <w:color w:val="000000" w:themeColor="text1"/>
                <w14:textFill>
                  <w14:solidFill>
                    <w14:schemeClr w14:val="tx1"/>
                  </w14:solidFill>
                </w14:textFill>
              </w:rPr>
              <w:t>污染物排放</w:t>
            </w:r>
          </w:p>
        </w:tc>
      </w:tr>
      <w:tr w14:paraId="0BA88BE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38" w:hRule="atLeast"/>
          <w:tblHeader/>
          <w:jc w:val="center"/>
        </w:trPr>
        <w:tc>
          <w:tcPr>
            <w:tcW w:w="588" w:type="pct"/>
            <w:vMerge w:val="continue"/>
            <w:vAlign w:val="center"/>
          </w:tcPr>
          <w:p w14:paraId="7FF8441F">
            <w:pPr>
              <w:pStyle w:val="70"/>
              <w:rPr>
                <w:b/>
                <w:color w:val="000000" w:themeColor="text1"/>
                <w14:textFill>
                  <w14:solidFill>
                    <w14:schemeClr w14:val="tx1"/>
                  </w14:solidFill>
                </w14:textFill>
              </w:rPr>
            </w:pPr>
          </w:p>
        </w:tc>
        <w:tc>
          <w:tcPr>
            <w:tcW w:w="365" w:type="pct"/>
            <w:vMerge w:val="continue"/>
            <w:vAlign w:val="center"/>
          </w:tcPr>
          <w:p w14:paraId="2168BB10">
            <w:pPr>
              <w:pStyle w:val="70"/>
              <w:rPr>
                <w:b/>
                <w:color w:val="000000" w:themeColor="text1"/>
                <w14:textFill>
                  <w14:solidFill>
                    <w14:schemeClr w14:val="tx1"/>
                  </w14:solidFill>
                </w14:textFill>
              </w:rPr>
            </w:pPr>
          </w:p>
        </w:tc>
        <w:tc>
          <w:tcPr>
            <w:tcW w:w="278" w:type="pct"/>
            <w:vAlign w:val="center"/>
          </w:tcPr>
          <w:p w14:paraId="45F688D5">
            <w:pPr>
              <w:pStyle w:val="70"/>
              <w:rPr>
                <w:b/>
                <w:color w:val="000000" w:themeColor="text1"/>
                <w14:textFill>
                  <w14:solidFill>
                    <w14:schemeClr w14:val="tx1"/>
                  </w14:solidFill>
                </w14:textFill>
              </w:rPr>
            </w:pPr>
            <w:r>
              <w:rPr>
                <w:b/>
                <w:color w:val="000000" w:themeColor="text1"/>
                <w14:textFill>
                  <w14:solidFill>
                    <w14:schemeClr w14:val="tx1"/>
                  </w14:solidFill>
                </w14:textFill>
              </w:rPr>
              <w:t>核算</w:t>
            </w:r>
          </w:p>
          <w:p w14:paraId="01CA1A63">
            <w:pPr>
              <w:pStyle w:val="70"/>
              <w:rPr>
                <w:b/>
                <w:color w:val="000000" w:themeColor="text1"/>
                <w14:textFill>
                  <w14:solidFill>
                    <w14:schemeClr w14:val="tx1"/>
                  </w14:solidFill>
                </w14:textFill>
              </w:rPr>
            </w:pPr>
            <w:r>
              <w:rPr>
                <w:b/>
                <w:color w:val="000000" w:themeColor="text1"/>
                <w14:textFill>
                  <w14:solidFill>
                    <w14:schemeClr w14:val="tx1"/>
                  </w14:solidFill>
                </w14:textFill>
              </w:rPr>
              <w:t>方法</w:t>
            </w:r>
          </w:p>
        </w:tc>
        <w:tc>
          <w:tcPr>
            <w:tcW w:w="458" w:type="pct"/>
            <w:vAlign w:val="center"/>
          </w:tcPr>
          <w:p w14:paraId="7652244A">
            <w:pPr>
              <w:pStyle w:val="70"/>
              <w:rPr>
                <w:b/>
                <w:color w:val="000000" w:themeColor="text1"/>
                <w14:textFill>
                  <w14:solidFill>
                    <w14:schemeClr w14:val="tx1"/>
                  </w14:solidFill>
                </w14:textFill>
              </w:rPr>
            </w:pPr>
            <w:r>
              <w:rPr>
                <w:b/>
                <w:color w:val="000000" w:themeColor="text1"/>
                <w14:textFill>
                  <w14:solidFill>
                    <w14:schemeClr w14:val="tx1"/>
                  </w14:solidFill>
                </w14:textFill>
              </w:rPr>
              <w:t>产生浓度</w:t>
            </w:r>
          </w:p>
          <w:p w14:paraId="43A82E8F">
            <w:pPr>
              <w:pStyle w:val="70"/>
              <w:rPr>
                <w:b/>
                <w:color w:val="000000" w:themeColor="text1"/>
                <w14:textFill>
                  <w14:solidFill>
                    <w14:schemeClr w14:val="tx1"/>
                  </w14:solidFill>
                </w14:textFill>
              </w:rPr>
            </w:pPr>
            <w:r>
              <w:rPr>
                <w:b/>
                <w:color w:val="000000" w:themeColor="text1"/>
                <w14:textFill>
                  <w14:solidFill>
                    <w14:schemeClr w14:val="tx1"/>
                  </w14:solidFill>
                </w14:textFill>
              </w:rPr>
              <w:t>（mg/L）</w:t>
            </w:r>
          </w:p>
        </w:tc>
        <w:tc>
          <w:tcPr>
            <w:tcW w:w="435" w:type="pct"/>
            <w:vAlign w:val="center"/>
          </w:tcPr>
          <w:p w14:paraId="42FCB0AA">
            <w:pPr>
              <w:pStyle w:val="70"/>
              <w:rPr>
                <w:b/>
                <w:color w:val="000000" w:themeColor="text1"/>
                <w14:textFill>
                  <w14:solidFill>
                    <w14:schemeClr w14:val="tx1"/>
                  </w14:solidFill>
                </w14:textFill>
              </w:rPr>
            </w:pPr>
            <w:r>
              <w:rPr>
                <w:b/>
                <w:color w:val="000000" w:themeColor="text1"/>
                <w14:textFill>
                  <w14:solidFill>
                    <w14:schemeClr w14:val="tx1"/>
                  </w14:solidFill>
                </w14:textFill>
              </w:rPr>
              <w:t>产生量</w:t>
            </w:r>
          </w:p>
          <w:p w14:paraId="3531DB6D">
            <w:pPr>
              <w:pStyle w:val="70"/>
              <w:rPr>
                <w:b/>
                <w:color w:val="000000" w:themeColor="text1"/>
                <w14:textFill>
                  <w14:solidFill>
                    <w14:schemeClr w14:val="tx1"/>
                  </w14:solidFill>
                </w14:textFill>
              </w:rPr>
            </w:pPr>
            <w:r>
              <w:rPr>
                <w:b/>
                <w:color w:val="000000" w:themeColor="text1"/>
                <w14:textFill>
                  <w14:solidFill>
                    <w14:schemeClr w14:val="tx1"/>
                  </w14:solidFill>
                </w14:textFill>
              </w:rPr>
              <w:t>（t/a）</w:t>
            </w:r>
          </w:p>
        </w:tc>
        <w:tc>
          <w:tcPr>
            <w:tcW w:w="1396" w:type="pct"/>
            <w:vAlign w:val="center"/>
          </w:tcPr>
          <w:p w14:paraId="5F479E71">
            <w:pPr>
              <w:pStyle w:val="70"/>
              <w:rPr>
                <w:b/>
                <w:color w:val="000000" w:themeColor="text1"/>
                <w14:textFill>
                  <w14:solidFill>
                    <w14:schemeClr w14:val="tx1"/>
                  </w14:solidFill>
                </w14:textFill>
              </w:rPr>
            </w:pPr>
            <w:r>
              <w:rPr>
                <w:b/>
                <w:color w:val="000000" w:themeColor="text1"/>
                <w14:textFill>
                  <w14:solidFill>
                    <w14:schemeClr w14:val="tx1"/>
                  </w14:solidFill>
                </w14:textFill>
              </w:rPr>
              <w:t>工艺/去向</w:t>
            </w:r>
          </w:p>
        </w:tc>
        <w:tc>
          <w:tcPr>
            <w:tcW w:w="285" w:type="pct"/>
            <w:vAlign w:val="center"/>
          </w:tcPr>
          <w:p w14:paraId="38FD7B9D">
            <w:pPr>
              <w:pStyle w:val="70"/>
              <w:rPr>
                <w:b/>
                <w:color w:val="000000" w:themeColor="text1"/>
                <w14:textFill>
                  <w14:solidFill>
                    <w14:schemeClr w14:val="tx1"/>
                  </w14:solidFill>
                </w14:textFill>
              </w:rPr>
            </w:pPr>
            <w:r>
              <w:rPr>
                <w:b/>
                <w:color w:val="000000" w:themeColor="text1"/>
                <w14:textFill>
                  <w14:solidFill>
                    <w14:schemeClr w14:val="tx1"/>
                  </w14:solidFill>
                </w14:textFill>
              </w:rPr>
              <w:t>效率（%）</w:t>
            </w:r>
          </w:p>
        </w:tc>
        <w:tc>
          <w:tcPr>
            <w:tcW w:w="291" w:type="pct"/>
            <w:vAlign w:val="center"/>
          </w:tcPr>
          <w:p w14:paraId="137EE624">
            <w:pPr>
              <w:pStyle w:val="70"/>
              <w:rPr>
                <w:b/>
                <w:color w:val="000000" w:themeColor="text1"/>
                <w14:textFill>
                  <w14:solidFill>
                    <w14:schemeClr w14:val="tx1"/>
                  </w14:solidFill>
                </w14:textFill>
              </w:rPr>
            </w:pPr>
            <w:r>
              <w:rPr>
                <w:b/>
                <w:color w:val="000000" w:themeColor="text1"/>
                <w14:textFill>
                  <w14:solidFill>
                    <w14:schemeClr w14:val="tx1"/>
                  </w14:solidFill>
                </w14:textFill>
              </w:rPr>
              <w:t>核算方法</w:t>
            </w:r>
          </w:p>
        </w:tc>
        <w:tc>
          <w:tcPr>
            <w:tcW w:w="432" w:type="pct"/>
            <w:gridSpan w:val="2"/>
            <w:vAlign w:val="center"/>
          </w:tcPr>
          <w:p w14:paraId="0D8953E1">
            <w:pPr>
              <w:pStyle w:val="70"/>
              <w:rPr>
                <w:b/>
                <w:color w:val="000000" w:themeColor="text1"/>
                <w14:textFill>
                  <w14:solidFill>
                    <w14:schemeClr w14:val="tx1"/>
                  </w14:solidFill>
                </w14:textFill>
              </w:rPr>
            </w:pPr>
            <w:r>
              <w:rPr>
                <w:b/>
                <w:color w:val="000000" w:themeColor="text1"/>
                <w14:textFill>
                  <w14:solidFill>
                    <w14:schemeClr w14:val="tx1"/>
                  </w14:solidFill>
                </w14:textFill>
              </w:rPr>
              <w:t>排放浓度（mg/L）</w:t>
            </w:r>
          </w:p>
        </w:tc>
        <w:tc>
          <w:tcPr>
            <w:tcW w:w="470" w:type="pct"/>
            <w:vAlign w:val="center"/>
          </w:tcPr>
          <w:p w14:paraId="33B74A45">
            <w:pPr>
              <w:pStyle w:val="70"/>
              <w:rPr>
                <w:b/>
                <w:color w:val="000000" w:themeColor="text1"/>
                <w14:textFill>
                  <w14:solidFill>
                    <w14:schemeClr w14:val="tx1"/>
                  </w14:solidFill>
                </w14:textFill>
              </w:rPr>
            </w:pPr>
            <w:r>
              <w:rPr>
                <w:b/>
                <w:color w:val="000000" w:themeColor="text1"/>
                <w14:textFill>
                  <w14:solidFill>
                    <w14:schemeClr w14:val="tx1"/>
                  </w14:solidFill>
                </w14:textFill>
              </w:rPr>
              <w:t>排放量（t/a）</w:t>
            </w:r>
          </w:p>
        </w:tc>
      </w:tr>
      <w:tr w14:paraId="61667F6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2" w:hRule="atLeast"/>
          <w:jc w:val="center"/>
        </w:trPr>
        <w:tc>
          <w:tcPr>
            <w:tcW w:w="588" w:type="pct"/>
            <w:vMerge w:val="restart"/>
            <w:vAlign w:val="center"/>
          </w:tcPr>
          <w:p w14:paraId="620690CF">
            <w:pPr>
              <w:pStyle w:val="70"/>
              <w:rPr>
                <w:color w:val="000000" w:themeColor="text1"/>
                <w14:textFill>
                  <w14:solidFill>
                    <w14:schemeClr w14:val="tx1"/>
                  </w14:solidFill>
                </w14:textFill>
              </w:rPr>
            </w:pPr>
            <w:r>
              <w:rPr>
                <w:color w:val="000000" w:themeColor="text1"/>
                <w14:textFill>
                  <w14:solidFill>
                    <w14:schemeClr w14:val="tx1"/>
                  </w14:solidFill>
                </w14:textFill>
              </w:rPr>
              <w:t>船舱油污水</w:t>
            </w:r>
          </w:p>
        </w:tc>
        <w:tc>
          <w:tcPr>
            <w:tcW w:w="365" w:type="pct"/>
            <w:vAlign w:val="center"/>
          </w:tcPr>
          <w:p w14:paraId="71EF296F">
            <w:pPr>
              <w:pStyle w:val="70"/>
              <w:rPr>
                <w:color w:val="000000" w:themeColor="text1"/>
                <w14:textFill>
                  <w14:solidFill>
                    <w14:schemeClr w14:val="tx1"/>
                  </w14:solidFill>
                </w14:textFill>
              </w:rPr>
            </w:pPr>
            <w:r>
              <w:rPr>
                <w:color w:val="000000" w:themeColor="text1"/>
                <w14:textFill>
                  <w14:solidFill>
                    <w14:schemeClr w14:val="tx1"/>
                  </w14:solidFill>
                </w14:textFill>
              </w:rPr>
              <w:t>废水量</w:t>
            </w:r>
          </w:p>
        </w:tc>
        <w:tc>
          <w:tcPr>
            <w:tcW w:w="278" w:type="pct"/>
            <w:vMerge w:val="restart"/>
            <w:vAlign w:val="center"/>
          </w:tcPr>
          <w:p w14:paraId="40D3ED34">
            <w:pPr>
              <w:pStyle w:val="70"/>
              <w:rPr>
                <w:color w:val="000000" w:themeColor="text1"/>
                <w14:textFill>
                  <w14:solidFill>
                    <w14:schemeClr w14:val="tx1"/>
                  </w14:solidFill>
                </w14:textFill>
              </w:rPr>
            </w:pPr>
            <w:r>
              <w:rPr>
                <w:color w:val="000000" w:themeColor="text1"/>
                <w14:textFill>
                  <w14:solidFill>
                    <w14:schemeClr w14:val="tx1"/>
                  </w14:solidFill>
                </w14:textFill>
              </w:rPr>
              <w:t>产排污系数法</w:t>
            </w:r>
          </w:p>
        </w:tc>
        <w:tc>
          <w:tcPr>
            <w:tcW w:w="894" w:type="pct"/>
            <w:gridSpan w:val="2"/>
            <w:vAlign w:val="center"/>
          </w:tcPr>
          <w:p w14:paraId="01703E3A">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238m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/a</w:t>
            </w:r>
          </w:p>
        </w:tc>
        <w:tc>
          <w:tcPr>
            <w:tcW w:w="1396" w:type="pct"/>
            <w:vMerge w:val="restart"/>
            <w:vAlign w:val="center"/>
          </w:tcPr>
          <w:p w14:paraId="0339DDA5">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委托有资质单位接收处置。</w:t>
            </w:r>
          </w:p>
        </w:tc>
        <w:tc>
          <w:tcPr>
            <w:tcW w:w="285" w:type="pct"/>
            <w:vAlign w:val="center"/>
          </w:tcPr>
          <w:p w14:paraId="2B03EE2D">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291" w:type="pct"/>
            <w:vMerge w:val="restart"/>
            <w:vAlign w:val="center"/>
          </w:tcPr>
          <w:p w14:paraId="4431E481">
            <w:pPr>
              <w:pStyle w:val="70"/>
              <w:rPr>
                <w:color w:val="000000" w:themeColor="text1"/>
                <w14:textFill>
                  <w14:solidFill>
                    <w14:schemeClr w14:val="tx1"/>
                  </w14:solidFill>
                </w14:textFill>
              </w:rPr>
            </w:pPr>
            <w:r>
              <w:rPr>
                <w:color w:val="000000" w:themeColor="text1"/>
                <w14:textFill>
                  <w14:solidFill>
                    <w14:schemeClr w14:val="tx1"/>
                  </w14:solidFill>
                </w14:textFill>
              </w:rPr>
              <w:t>产排污系数法</w:t>
            </w:r>
          </w:p>
        </w:tc>
        <w:tc>
          <w:tcPr>
            <w:tcW w:w="902" w:type="pct"/>
            <w:gridSpan w:val="3"/>
            <w:vAlign w:val="center"/>
          </w:tcPr>
          <w:p w14:paraId="0CADCBED">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r>
      <w:tr w14:paraId="0F2CBB8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8" w:hRule="atLeast"/>
          <w:jc w:val="center"/>
        </w:trPr>
        <w:tc>
          <w:tcPr>
            <w:tcW w:w="588" w:type="pct"/>
            <w:vMerge w:val="continue"/>
            <w:vAlign w:val="center"/>
          </w:tcPr>
          <w:p w14:paraId="7ABC40E1">
            <w:pPr>
              <w:pStyle w:val="70"/>
              <w:rPr>
                <w:color w:val="000000" w:themeColor="text1"/>
                <w14:textFill>
                  <w14:solidFill>
                    <w14:schemeClr w14:val="tx1"/>
                  </w14:solidFill>
                </w14:textFill>
              </w:rPr>
            </w:pPr>
          </w:p>
        </w:tc>
        <w:tc>
          <w:tcPr>
            <w:tcW w:w="365" w:type="pct"/>
            <w:vAlign w:val="center"/>
          </w:tcPr>
          <w:p w14:paraId="27B29578">
            <w:pPr>
              <w:pStyle w:val="70"/>
              <w:rPr>
                <w:color w:val="000000" w:themeColor="text1"/>
                <w14:textFill>
                  <w14:solidFill>
                    <w14:schemeClr w14:val="tx1"/>
                  </w14:solidFill>
                </w14:textFill>
              </w:rPr>
            </w:pPr>
            <w:r>
              <w:rPr>
                <w:color w:val="000000" w:themeColor="text1"/>
                <w14:textFill>
                  <w14:solidFill>
                    <w14:schemeClr w14:val="tx1"/>
                  </w14:solidFill>
                </w14:textFill>
              </w:rPr>
              <w:t>石油类</w:t>
            </w:r>
          </w:p>
        </w:tc>
        <w:tc>
          <w:tcPr>
            <w:tcW w:w="278" w:type="pct"/>
            <w:vMerge w:val="continue"/>
            <w:vAlign w:val="center"/>
          </w:tcPr>
          <w:p w14:paraId="3C09518A">
            <w:pPr>
              <w:pStyle w:val="70"/>
              <w:rPr>
                <w:color w:val="000000" w:themeColor="text1"/>
                <w14:textFill>
                  <w14:solidFill>
                    <w14:schemeClr w14:val="tx1"/>
                  </w14:solidFill>
                </w14:textFill>
              </w:rPr>
            </w:pPr>
          </w:p>
        </w:tc>
        <w:tc>
          <w:tcPr>
            <w:tcW w:w="458" w:type="pct"/>
            <w:vAlign w:val="center"/>
          </w:tcPr>
          <w:p w14:paraId="486C4BC3">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5</w:t>
            </w:r>
            <w:r>
              <w:rPr>
                <w:color w:val="000000" w:themeColor="text1"/>
                <w14:textFill>
                  <w14:solidFill>
                    <w14:schemeClr w14:val="tx1"/>
                  </w14:solidFill>
                </w14:textFill>
              </w:rPr>
              <w:t>000</w:t>
            </w:r>
          </w:p>
        </w:tc>
        <w:tc>
          <w:tcPr>
            <w:tcW w:w="435" w:type="pct"/>
            <w:vAlign w:val="center"/>
          </w:tcPr>
          <w:p w14:paraId="0052A482">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1.19</w:t>
            </w:r>
          </w:p>
        </w:tc>
        <w:tc>
          <w:tcPr>
            <w:tcW w:w="1396" w:type="pct"/>
            <w:vMerge w:val="continue"/>
            <w:vAlign w:val="center"/>
          </w:tcPr>
          <w:p w14:paraId="46AB1039">
            <w:pPr>
              <w:pStyle w:val="70"/>
              <w:rPr>
                <w:color w:val="000000" w:themeColor="text1"/>
                <w14:textFill>
                  <w14:solidFill>
                    <w14:schemeClr w14:val="tx1"/>
                  </w14:solidFill>
                </w14:textFill>
              </w:rPr>
            </w:pPr>
          </w:p>
        </w:tc>
        <w:tc>
          <w:tcPr>
            <w:tcW w:w="285" w:type="pct"/>
            <w:vAlign w:val="center"/>
          </w:tcPr>
          <w:p w14:paraId="5AFE80C2">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291" w:type="pct"/>
            <w:vMerge w:val="continue"/>
            <w:vAlign w:val="center"/>
          </w:tcPr>
          <w:p w14:paraId="590ED543">
            <w:pPr>
              <w:pStyle w:val="70"/>
              <w:rPr>
                <w:color w:val="000000" w:themeColor="text1"/>
                <w14:textFill>
                  <w14:solidFill>
                    <w14:schemeClr w14:val="tx1"/>
                  </w14:solidFill>
                </w14:textFill>
              </w:rPr>
            </w:pPr>
          </w:p>
        </w:tc>
        <w:tc>
          <w:tcPr>
            <w:tcW w:w="429" w:type="pct"/>
            <w:vAlign w:val="center"/>
          </w:tcPr>
          <w:p w14:paraId="43BFF248">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473" w:type="pct"/>
            <w:gridSpan w:val="2"/>
            <w:vAlign w:val="center"/>
          </w:tcPr>
          <w:p w14:paraId="534CBE44">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r>
      <w:tr w14:paraId="1DDE999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5" w:hRule="atLeast"/>
          <w:jc w:val="center"/>
        </w:trPr>
        <w:tc>
          <w:tcPr>
            <w:tcW w:w="588" w:type="pct"/>
            <w:vMerge w:val="restart"/>
            <w:vAlign w:val="center"/>
          </w:tcPr>
          <w:p w14:paraId="0B4BC172">
            <w:pPr>
              <w:pStyle w:val="70"/>
              <w:rPr>
                <w:color w:val="000000" w:themeColor="text1"/>
                <w14:textFill>
                  <w14:solidFill>
                    <w14:schemeClr w14:val="tx1"/>
                  </w14:solidFill>
                </w14:textFill>
              </w:rPr>
            </w:pPr>
            <w:r>
              <w:rPr>
                <w:color w:val="000000" w:themeColor="text1"/>
                <w14:textFill>
                  <w14:solidFill>
                    <w14:schemeClr w14:val="tx1"/>
                  </w14:solidFill>
                </w14:textFill>
              </w:rPr>
              <w:t>船舶生活污水</w:t>
            </w:r>
          </w:p>
        </w:tc>
        <w:tc>
          <w:tcPr>
            <w:tcW w:w="365" w:type="pct"/>
            <w:vAlign w:val="center"/>
          </w:tcPr>
          <w:p w14:paraId="5BEA7216">
            <w:pPr>
              <w:pStyle w:val="70"/>
              <w:rPr>
                <w:color w:val="000000" w:themeColor="text1"/>
                <w14:textFill>
                  <w14:solidFill>
                    <w14:schemeClr w14:val="tx1"/>
                  </w14:solidFill>
                </w14:textFill>
              </w:rPr>
            </w:pPr>
            <w:r>
              <w:rPr>
                <w:color w:val="000000" w:themeColor="text1"/>
                <w14:textFill>
                  <w14:solidFill>
                    <w14:schemeClr w14:val="tx1"/>
                  </w14:solidFill>
                </w14:textFill>
              </w:rPr>
              <w:t>废水量</w:t>
            </w:r>
          </w:p>
        </w:tc>
        <w:tc>
          <w:tcPr>
            <w:tcW w:w="278" w:type="pct"/>
            <w:vMerge w:val="continue"/>
            <w:vAlign w:val="center"/>
          </w:tcPr>
          <w:p w14:paraId="0A56B1B3">
            <w:pPr>
              <w:pStyle w:val="70"/>
              <w:rPr>
                <w:color w:val="000000" w:themeColor="text1"/>
                <w14:textFill>
                  <w14:solidFill>
                    <w14:schemeClr w14:val="tx1"/>
                  </w14:solidFill>
                </w14:textFill>
              </w:rPr>
            </w:pPr>
          </w:p>
        </w:tc>
        <w:tc>
          <w:tcPr>
            <w:tcW w:w="894" w:type="pct"/>
            <w:gridSpan w:val="2"/>
            <w:vAlign w:val="center"/>
          </w:tcPr>
          <w:p w14:paraId="17BC23E5">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158.4m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/a</w:t>
            </w:r>
          </w:p>
        </w:tc>
        <w:tc>
          <w:tcPr>
            <w:tcW w:w="1396" w:type="pct"/>
            <w:vMerge w:val="continue"/>
            <w:vAlign w:val="center"/>
          </w:tcPr>
          <w:p w14:paraId="46CC2236">
            <w:pPr>
              <w:pStyle w:val="70"/>
              <w:rPr>
                <w:color w:val="000000" w:themeColor="text1"/>
                <w14:textFill>
                  <w14:solidFill>
                    <w14:schemeClr w14:val="tx1"/>
                  </w14:solidFill>
                </w14:textFill>
              </w:rPr>
            </w:pPr>
          </w:p>
          <w:p w14:paraId="00951B40">
            <w:pPr>
              <w:pStyle w:val="70"/>
              <w:rPr>
                <w:color w:val="000000" w:themeColor="text1"/>
                <w14:textFill>
                  <w14:solidFill>
                    <w14:schemeClr w14:val="tx1"/>
                  </w14:solidFill>
                </w14:textFill>
              </w:rPr>
            </w:pPr>
            <w:r>
              <w:rPr>
                <w:color w:val="000000" w:themeColor="text1"/>
                <w14:textFill>
                  <w14:solidFill>
                    <w14:schemeClr w14:val="tx1"/>
                  </w14:solidFill>
                </w14:textFill>
              </w:rPr>
              <w:t>/</w:t>
            </w:r>
          </w:p>
          <w:p w14:paraId="140F441A">
            <w:pPr>
              <w:pStyle w:val="70"/>
              <w:rPr>
                <w:color w:val="000000" w:themeColor="text1"/>
                <w14:textFill>
                  <w14:solidFill>
                    <w14:schemeClr w14:val="tx1"/>
                  </w14:solidFill>
                </w14:textFill>
              </w:rPr>
            </w:pPr>
            <w:r>
              <w:rPr>
                <w:color w:val="000000" w:themeColor="text1"/>
                <w14:textFill>
                  <w14:solidFill>
                    <w14:schemeClr w14:val="tx1"/>
                  </w14:solidFill>
                </w14:textFill>
              </w:rPr>
              <w:t>/</w:t>
            </w:r>
          </w:p>
          <w:p w14:paraId="03D39EE0">
            <w:pPr>
              <w:pStyle w:val="70"/>
              <w:rPr>
                <w:color w:val="000000" w:themeColor="text1"/>
                <w14:textFill>
                  <w14:solidFill>
                    <w14:schemeClr w14:val="tx1"/>
                  </w14:solidFill>
                </w14:textFill>
              </w:rPr>
            </w:pPr>
            <w:r>
              <w:rPr>
                <w:color w:val="000000" w:themeColor="text1"/>
                <w14:textFill>
                  <w14:solidFill>
                    <w14:schemeClr w14:val="tx1"/>
                  </w14:solidFill>
                </w14:textFill>
              </w:rPr>
              <w:t>/</w:t>
            </w:r>
          </w:p>
          <w:p w14:paraId="521C7FFE">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285" w:type="pct"/>
            <w:vAlign w:val="center"/>
          </w:tcPr>
          <w:p w14:paraId="6539FCF9">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291" w:type="pct"/>
            <w:vMerge w:val="continue"/>
            <w:vAlign w:val="center"/>
          </w:tcPr>
          <w:p w14:paraId="6F00F121">
            <w:pPr>
              <w:pStyle w:val="70"/>
              <w:rPr>
                <w:color w:val="000000" w:themeColor="text1"/>
                <w14:textFill>
                  <w14:solidFill>
                    <w14:schemeClr w14:val="tx1"/>
                  </w14:solidFill>
                </w14:textFill>
              </w:rPr>
            </w:pPr>
          </w:p>
          <w:p w14:paraId="4B370A59">
            <w:pPr>
              <w:pStyle w:val="70"/>
              <w:rPr>
                <w:color w:val="000000" w:themeColor="text1"/>
                <w14:textFill>
                  <w14:solidFill>
                    <w14:schemeClr w14:val="tx1"/>
                  </w14:solidFill>
                </w14:textFill>
              </w:rPr>
            </w:pPr>
            <w:r>
              <w:rPr>
                <w:color w:val="000000" w:themeColor="text1"/>
                <w14:textFill>
                  <w14:solidFill>
                    <w14:schemeClr w14:val="tx1"/>
                  </w14:solidFill>
                </w14:textFill>
              </w:rPr>
              <w:t>/</w:t>
            </w:r>
          </w:p>
          <w:p w14:paraId="5E0F745C">
            <w:pPr>
              <w:pStyle w:val="70"/>
              <w:rPr>
                <w:color w:val="000000" w:themeColor="text1"/>
                <w14:textFill>
                  <w14:solidFill>
                    <w14:schemeClr w14:val="tx1"/>
                  </w14:solidFill>
                </w14:textFill>
              </w:rPr>
            </w:pPr>
            <w:r>
              <w:rPr>
                <w:color w:val="000000" w:themeColor="text1"/>
                <w14:textFill>
                  <w14:solidFill>
                    <w14:schemeClr w14:val="tx1"/>
                  </w14:solidFill>
                </w14:textFill>
              </w:rPr>
              <w:t>/</w:t>
            </w:r>
          </w:p>
          <w:p w14:paraId="2FAA478F">
            <w:pPr>
              <w:pStyle w:val="70"/>
              <w:rPr>
                <w:color w:val="000000" w:themeColor="text1"/>
                <w14:textFill>
                  <w14:solidFill>
                    <w14:schemeClr w14:val="tx1"/>
                  </w14:solidFill>
                </w14:textFill>
              </w:rPr>
            </w:pPr>
            <w:r>
              <w:rPr>
                <w:color w:val="000000" w:themeColor="text1"/>
                <w14:textFill>
                  <w14:solidFill>
                    <w14:schemeClr w14:val="tx1"/>
                  </w14:solidFill>
                </w14:textFill>
              </w:rPr>
              <w:t>/</w:t>
            </w:r>
          </w:p>
          <w:p w14:paraId="3EC830C8">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902" w:type="pct"/>
            <w:gridSpan w:val="3"/>
            <w:vAlign w:val="center"/>
          </w:tcPr>
          <w:p w14:paraId="38E3E2B5">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r>
      <w:tr w14:paraId="703A484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7" w:hRule="atLeast"/>
          <w:jc w:val="center"/>
        </w:trPr>
        <w:tc>
          <w:tcPr>
            <w:tcW w:w="588" w:type="pct"/>
            <w:vMerge w:val="continue"/>
            <w:vAlign w:val="center"/>
          </w:tcPr>
          <w:p w14:paraId="01EBE2AE">
            <w:pPr>
              <w:pStyle w:val="70"/>
              <w:rPr>
                <w:color w:val="000000" w:themeColor="text1"/>
                <w14:textFill>
                  <w14:solidFill>
                    <w14:schemeClr w14:val="tx1"/>
                  </w14:solidFill>
                </w14:textFill>
              </w:rPr>
            </w:pPr>
          </w:p>
        </w:tc>
        <w:tc>
          <w:tcPr>
            <w:tcW w:w="365" w:type="pct"/>
            <w:vAlign w:val="center"/>
          </w:tcPr>
          <w:p w14:paraId="6770AC63">
            <w:pPr>
              <w:pStyle w:val="70"/>
              <w:rPr>
                <w:color w:val="000000" w:themeColor="text1"/>
                <w14:textFill>
                  <w14:solidFill>
                    <w14:schemeClr w14:val="tx1"/>
                  </w14:solidFill>
                </w14:textFill>
              </w:rPr>
            </w:pPr>
            <w:r>
              <w:rPr>
                <w:color w:val="000000" w:themeColor="text1"/>
                <w14:textFill>
                  <w14:solidFill>
                    <w14:schemeClr w14:val="tx1"/>
                  </w14:solidFill>
                </w14:textFill>
              </w:rPr>
              <w:t>COD</w:t>
            </w:r>
          </w:p>
        </w:tc>
        <w:tc>
          <w:tcPr>
            <w:tcW w:w="278" w:type="pct"/>
            <w:vMerge w:val="continue"/>
            <w:vAlign w:val="center"/>
          </w:tcPr>
          <w:p w14:paraId="73CE5323">
            <w:pPr>
              <w:pStyle w:val="70"/>
              <w:rPr>
                <w:color w:val="000000" w:themeColor="text1"/>
                <w14:textFill>
                  <w14:solidFill>
                    <w14:schemeClr w14:val="tx1"/>
                  </w14:solidFill>
                </w14:textFill>
              </w:rPr>
            </w:pPr>
          </w:p>
        </w:tc>
        <w:tc>
          <w:tcPr>
            <w:tcW w:w="458" w:type="pct"/>
            <w:vAlign w:val="center"/>
          </w:tcPr>
          <w:p w14:paraId="473A83B9">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350</w:t>
            </w:r>
          </w:p>
        </w:tc>
        <w:tc>
          <w:tcPr>
            <w:tcW w:w="435" w:type="pct"/>
            <w:vAlign w:val="center"/>
          </w:tcPr>
          <w:p w14:paraId="310B0FEC">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0.055</w:t>
            </w:r>
          </w:p>
        </w:tc>
        <w:tc>
          <w:tcPr>
            <w:tcW w:w="1396" w:type="pct"/>
            <w:vMerge w:val="continue"/>
            <w:vAlign w:val="center"/>
          </w:tcPr>
          <w:p w14:paraId="06FDE941">
            <w:pPr>
              <w:pStyle w:val="70"/>
              <w:rPr>
                <w:color w:val="000000" w:themeColor="text1"/>
                <w14:textFill>
                  <w14:solidFill>
                    <w14:schemeClr w14:val="tx1"/>
                  </w14:solidFill>
                </w14:textFill>
              </w:rPr>
            </w:pPr>
          </w:p>
        </w:tc>
        <w:tc>
          <w:tcPr>
            <w:tcW w:w="285" w:type="pct"/>
            <w:vAlign w:val="center"/>
          </w:tcPr>
          <w:p w14:paraId="50FA7D8F">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291" w:type="pct"/>
            <w:vMerge w:val="continue"/>
            <w:vAlign w:val="center"/>
          </w:tcPr>
          <w:p w14:paraId="7072657F">
            <w:pPr>
              <w:pStyle w:val="70"/>
              <w:rPr>
                <w:color w:val="000000" w:themeColor="text1"/>
                <w14:textFill>
                  <w14:solidFill>
                    <w14:schemeClr w14:val="tx1"/>
                  </w14:solidFill>
                </w14:textFill>
              </w:rPr>
            </w:pPr>
          </w:p>
        </w:tc>
        <w:tc>
          <w:tcPr>
            <w:tcW w:w="429" w:type="pct"/>
            <w:vAlign w:val="center"/>
          </w:tcPr>
          <w:p w14:paraId="3E95619A">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473" w:type="pct"/>
            <w:gridSpan w:val="2"/>
            <w:vAlign w:val="center"/>
          </w:tcPr>
          <w:p w14:paraId="6A840EBC">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r>
      <w:tr w14:paraId="046E8EB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8" w:hRule="atLeast"/>
          <w:jc w:val="center"/>
        </w:trPr>
        <w:tc>
          <w:tcPr>
            <w:tcW w:w="588" w:type="pct"/>
            <w:vMerge w:val="continue"/>
            <w:vAlign w:val="center"/>
          </w:tcPr>
          <w:p w14:paraId="05411860">
            <w:pPr>
              <w:pStyle w:val="70"/>
              <w:rPr>
                <w:color w:val="000000" w:themeColor="text1"/>
                <w14:textFill>
                  <w14:solidFill>
                    <w14:schemeClr w14:val="tx1"/>
                  </w14:solidFill>
                </w14:textFill>
              </w:rPr>
            </w:pPr>
          </w:p>
        </w:tc>
        <w:tc>
          <w:tcPr>
            <w:tcW w:w="365" w:type="pct"/>
            <w:vAlign w:val="center"/>
          </w:tcPr>
          <w:p w14:paraId="0EE5DBBC">
            <w:pPr>
              <w:pStyle w:val="70"/>
              <w:rPr>
                <w:color w:val="000000" w:themeColor="text1"/>
                <w14:textFill>
                  <w14:solidFill>
                    <w14:schemeClr w14:val="tx1"/>
                  </w14:solidFill>
                </w14:textFill>
              </w:rPr>
            </w:pPr>
            <w:r>
              <w:rPr>
                <w:color w:val="000000" w:themeColor="text1"/>
                <w14:textFill>
                  <w14:solidFill>
                    <w14:schemeClr w14:val="tx1"/>
                  </w14:solidFill>
                </w14:textFill>
              </w:rPr>
              <w:t>氨氮</w:t>
            </w:r>
          </w:p>
        </w:tc>
        <w:tc>
          <w:tcPr>
            <w:tcW w:w="278" w:type="pct"/>
            <w:vMerge w:val="continue"/>
            <w:vAlign w:val="center"/>
          </w:tcPr>
          <w:p w14:paraId="68F3A865">
            <w:pPr>
              <w:pStyle w:val="70"/>
              <w:rPr>
                <w:color w:val="000000" w:themeColor="text1"/>
                <w14:textFill>
                  <w14:solidFill>
                    <w14:schemeClr w14:val="tx1"/>
                  </w14:solidFill>
                </w14:textFill>
              </w:rPr>
            </w:pPr>
          </w:p>
        </w:tc>
        <w:tc>
          <w:tcPr>
            <w:tcW w:w="458" w:type="pct"/>
            <w:vAlign w:val="center"/>
          </w:tcPr>
          <w:p w14:paraId="57041704">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35</w:t>
            </w:r>
          </w:p>
        </w:tc>
        <w:tc>
          <w:tcPr>
            <w:tcW w:w="435" w:type="pct"/>
            <w:vAlign w:val="center"/>
          </w:tcPr>
          <w:p w14:paraId="589BBE9E">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0.006</w:t>
            </w:r>
          </w:p>
        </w:tc>
        <w:tc>
          <w:tcPr>
            <w:tcW w:w="1396" w:type="pct"/>
            <w:vMerge w:val="continue"/>
            <w:vAlign w:val="center"/>
          </w:tcPr>
          <w:p w14:paraId="1EECAC08">
            <w:pPr>
              <w:pStyle w:val="70"/>
              <w:rPr>
                <w:color w:val="000000" w:themeColor="text1"/>
                <w14:textFill>
                  <w14:solidFill>
                    <w14:schemeClr w14:val="tx1"/>
                  </w14:solidFill>
                </w14:textFill>
              </w:rPr>
            </w:pPr>
          </w:p>
        </w:tc>
        <w:tc>
          <w:tcPr>
            <w:tcW w:w="285" w:type="pct"/>
            <w:vAlign w:val="center"/>
          </w:tcPr>
          <w:p w14:paraId="4BDB8228">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291" w:type="pct"/>
            <w:vMerge w:val="continue"/>
            <w:vAlign w:val="center"/>
          </w:tcPr>
          <w:p w14:paraId="12C3F7F6">
            <w:pPr>
              <w:pStyle w:val="70"/>
              <w:rPr>
                <w:color w:val="000000" w:themeColor="text1"/>
                <w14:textFill>
                  <w14:solidFill>
                    <w14:schemeClr w14:val="tx1"/>
                  </w14:solidFill>
                </w14:textFill>
              </w:rPr>
            </w:pPr>
          </w:p>
        </w:tc>
        <w:tc>
          <w:tcPr>
            <w:tcW w:w="429" w:type="pct"/>
            <w:vAlign w:val="center"/>
          </w:tcPr>
          <w:p w14:paraId="36C56401">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473" w:type="pct"/>
            <w:gridSpan w:val="2"/>
            <w:vAlign w:val="center"/>
          </w:tcPr>
          <w:p w14:paraId="053C0BAE">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r>
      <w:tr w14:paraId="1D58DD6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6" w:hRule="atLeast"/>
          <w:jc w:val="center"/>
        </w:trPr>
        <w:tc>
          <w:tcPr>
            <w:tcW w:w="588" w:type="pct"/>
            <w:vMerge w:val="continue"/>
            <w:vAlign w:val="center"/>
          </w:tcPr>
          <w:p w14:paraId="59B688F1">
            <w:pPr>
              <w:pStyle w:val="70"/>
              <w:rPr>
                <w:color w:val="000000" w:themeColor="text1"/>
                <w14:textFill>
                  <w14:solidFill>
                    <w14:schemeClr w14:val="tx1"/>
                  </w14:solidFill>
                </w14:textFill>
              </w:rPr>
            </w:pPr>
          </w:p>
        </w:tc>
        <w:tc>
          <w:tcPr>
            <w:tcW w:w="365" w:type="pct"/>
            <w:vAlign w:val="center"/>
          </w:tcPr>
          <w:p w14:paraId="0DFE046B">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总氮</w:t>
            </w:r>
          </w:p>
        </w:tc>
        <w:tc>
          <w:tcPr>
            <w:tcW w:w="278" w:type="pct"/>
            <w:vMerge w:val="continue"/>
            <w:vAlign w:val="center"/>
          </w:tcPr>
          <w:p w14:paraId="7897CAD8">
            <w:pPr>
              <w:pStyle w:val="70"/>
              <w:rPr>
                <w:color w:val="000000" w:themeColor="text1"/>
                <w14:textFill>
                  <w14:solidFill>
                    <w14:schemeClr w14:val="tx1"/>
                  </w14:solidFill>
                </w14:textFill>
              </w:rPr>
            </w:pPr>
          </w:p>
        </w:tc>
        <w:tc>
          <w:tcPr>
            <w:tcW w:w="458" w:type="pct"/>
            <w:vAlign w:val="center"/>
          </w:tcPr>
          <w:p w14:paraId="610A0204">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45</w:t>
            </w:r>
          </w:p>
        </w:tc>
        <w:tc>
          <w:tcPr>
            <w:tcW w:w="435" w:type="pct"/>
            <w:vAlign w:val="center"/>
          </w:tcPr>
          <w:p w14:paraId="664D36AE">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0.071</w:t>
            </w:r>
          </w:p>
        </w:tc>
        <w:tc>
          <w:tcPr>
            <w:tcW w:w="1396" w:type="pct"/>
            <w:vMerge w:val="continue"/>
            <w:vAlign w:val="center"/>
          </w:tcPr>
          <w:p w14:paraId="087C140A">
            <w:pPr>
              <w:pStyle w:val="70"/>
              <w:rPr>
                <w:color w:val="000000" w:themeColor="text1"/>
                <w14:textFill>
                  <w14:solidFill>
                    <w14:schemeClr w14:val="tx1"/>
                  </w14:solidFill>
                </w14:textFill>
              </w:rPr>
            </w:pPr>
          </w:p>
        </w:tc>
        <w:tc>
          <w:tcPr>
            <w:tcW w:w="285" w:type="pct"/>
            <w:vAlign w:val="center"/>
          </w:tcPr>
          <w:p w14:paraId="11BC785D">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291" w:type="pct"/>
            <w:vMerge w:val="continue"/>
            <w:vAlign w:val="center"/>
          </w:tcPr>
          <w:p w14:paraId="7739E2E9">
            <w:pPr>
              <w:pStyle w:val="70"/>
              <w:rPr>
                <w:color w:val="000000" w:themeColor="text1"/>
                <w14:textFill>
                  <w14:solidFill>
                    <w14:schemeClr w14:val="tx1"/>
                  </w14:solidFill>
                </w14:textFill>
              </w:rPr>
            </w:pPr>
          </w:p>
        </w:tc>
        <w:tc>
          <w:tcPr>
            <w:tcW w:w="429" w:type="pct"/>
            <w:vAlign w:val="center"/>
          </w:tcPr>
          <w:p w14:paraId="02147ED7">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473" w:type="pct"/>
            <w:gridSpan w:val="2"/>
            <w:vAlign w:val="center"/>
          </w:tcPr>
          <w:p w14:paraId="15821F00">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r>
      <w:tr w14:paraId="58198BD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1" w:hRule="atLeast"/>
          <w:jc w:val="center"/>
        </w:trPr>
        <w:tc>
          <w:tcPr>
            <w:tcW w:w="588" w:type="pct"/>
            <w:vMerge w:val="continue"/>
            <w:vAlign w:val="center"/>
          </w:tcPr>
          <w:p w14:paraId="35FE0426">
            <w:pPr>
              <w:pStyle w:val="70"/>
              <w:rPr>
                <w:color w:val="000000" w:themeColor="text1"/>
                <w14:textFill>
                  <w14:solidFill>
                    <w14:schemeClr w14:val="tx1"/>
                  </w14:solidFill>
                </w14:textFill>
              </w:rPr>
            </w:pPr>
          </w:p>
        </w:tc>
        <w:tc>
          <w:tcPr>
            <w:tcW w:w="365" w:type="pct"/>
            <w:vAlign w:val="center"/>
          </w:tcPr>
          <w:p w14:paraId="63A31C58">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总磷</w:t>
            </w:r>
          </w:p>
        </w:tc>
        <w:tc>
          <w:tcPr>
            <w:tcW w:w="278" w:type="pct"/>
            <w:vMerge w:val="continue"/>
            <w:vAlign w:val="center"/>
          </w:tcPr>
          <w:p w14:paraId="7F1DFF2C">
            <w:pPr>
              <w:pStyle w:val="70"/>
              <w:rPr>
                <w:color w:val="000000" w:themeColor="text1"/>
                <w14:textFill>
                  <w14:solidFill>
                    <w14:schemeClr w14:val="tx1"/>
                  </w14:solidFill>
                </w14:textFill>
              </w:rPr>
            </w:pPr>
          </w:p>
        </w:tc>
        <w:tc>
          <w:tcPr>
            <w:tcW w:w="458" w:type="pct"/>
            <w:vAlign w:val="center"/>
          </w:tcPr>
          <w:p w14:paraId="5ADB7ACF">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6</w:t>
            </w:r>
          </w:p>
        </w:tc>
        <w:tc>
          <w:tcPr>
            <w:tcW w:w="435" w:type="pct"/>
            <w:vAlign w:val="center"/>
          </w:tcPr>
          <w:p w14:paraId="07D14D75">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0.001</w:t>
            </w:r>
          </w:p>
        </w:tc>
        <w:tc>
          <w:tcPr>
            <w:tcW w:w="1396" w:type="pct"/>
            <w:vMerge w:val="continue"/>
            <w:vAlign w:val="center"/>
          </w:tcPr>
          <w:p w14:paraId="5179235E">
            <w:pPr>
              <w:pStyle w:val="70"/>
              <w:rPr>
                <w:color w:val="000000" w:themeColor="text1"/>
                <w14:textFill>
                  <w14:solidFill>
                    <w14:schemeClr w14:val="tx1"/>
                  </w14:solidFill>
                </w14:textFill>
              </w:rPr>
            </w:pPr>
          </w:p>
        </w:tc>
        <w:tc>
          <w:tcPr>
            <w:tcW w:w="285" w:type="pct"/>
            <w:vAlign w:val="center"/>
          </w:tcPr>
          <w:p w14:paraId="5FC5D409">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291" w:type="pct"/>
            <w:vMerge w:val="continue"/>
            <w:vAlign w:val="center"/>
          </w:tcPr>
          <w:p w14:paraId="6C7383F3">
            <w:pPr>
              <w:pStyle w:val="70"/>
              <w:rPr>
                <w:color w:val="000000" w:themeColor="text1"/>
                <w14:textFill>
                  <w14:solidFill>
                    <w14:schemeClr w14:val="tx1"/>
                  </w14:solidFill>
                </w14:textFill>
              </w:rPr>
            </w:pPr>
          </w:p>
        </w:tc>
        <w:tc>
          <w:tcPr>
            <w:tcW w:w="429" w:type="pct"/>
            <w:vAlign w:val="center"/>
          </w:tcPr>
          <w:p w14:paraId="6282C074">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473" w:type="pct"/>
            <w:gridSpan w:val="2"/>
            <w:vAlign w:val="center"/>
          </w:tcPr>
          <w:p w14:paraId="104C6E4E">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r>
    </w:tbl>
    <w:p w14:paraId="1DF3B68C">
      <w:pPr>
        <w:pStyle w:val="7"/>
        <w:tabs>
          <w:tab w:val="left" w:pos="2127"/>
          <w:tab w:val="left" w:pos="2411"/>
        </w:tabs>
        <w:rPr>
          <w:color w:val="000000" w:themeColor="text1"/>
          <w14:textFill>
            <w14:solidFill>
              <w14:schemeClr w14:val="tx1"/>
            </w14:solidFill>
          </w14:textFill>
        </w:rPr>
      </w:pPr>
      <w:r>
        <w:rPr>
          <w:color w:val="000000" w:themeColor="text1"/>
          <w14:textFill>
            <w14:solidFill>
              <w14:schemeClr w14:val="tx1"/>
            </w14:solidFill>
          </w14:textFill>
        </w:rPr>
        <w:t>噪声污染源源强核算汇总表</w:t>
      </w:r>
    </w:p>
    <w:tbl>
      <w:tblPr>
        <w:tblStyle w:val="43"/>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961"/>
        <w:gridCol w:w="1702"/>
        <w:gridCol w:w="2195"/>
        <w:gridCol w:w="1435"/>
        <w:gridCol w:w="1580"/>
        <w:gridCol w:w="1571"/>
        <w:gridCol w:w="1577"/>
        <w:gridCol w:w="1571"/>
        <w:gridCol w:w="1582"/>
      </w:tblGrid>
      <w:tr w14:paraId="0760495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0" w:hRule="atLeast"/>
          <w:jc w:val="center"/>
        </w:trPr>
        <w:tc>
          <w:tcPr>
            <w:tcW w:w="339" w:type="pct"/>
            <w:vMerge w:val="restart"/>
            <w:vAlign w:val="center"/>
          </w:tcPr>
          <w:p w14:paraId="04232A23">
            <w:pPr>
              <w:pStyle w:val="70"/>
              <w:rPr>
                <w:b/>
                <w:color w:val="000000" w:themeColor="text1"/>
                <w14:textFill>
                  <w14:solidFill>
                    <w14:schemeClr w14:val="tx1"/>
                  </w14:solidFill>
                </w14:textFill>
              </w:rPr>
            </w:pPr>
            <w:r>
              <w:rPr>
                <w:b/>
                <w:color w:val="000000" w:themeColor="text1"/>
                <w14:textFill>
                  <w14:solidFill>
                    <w14:schemeClr w14:val="tx1"/>
                  </w14:solidFill>
                </w14:textFill>
              </w:rPr>
              <w:t>装置</w:t>
            </w:r>
          </w:p>
        </w:tc>
        <w:tc>
          <w:tcPr>
            <w:tcW w:w="600" w:type="pct"/>
            <w:vMerge w:val="restart"/>
            <w:vAlign w:val="center"/>
          </w:tcPr>
          <w:p w14:paraId="0056D374">
            <w:pPr>
              <w:pStyle w:val="70"/>
              <w:rPr>
                <w:b/>
                <w:color w:val="000000" w:themeColor="text1"/>
                <w14:textFill>
                  <w14:solidFill>
                    <w14:schemeClr w14:val="tx1"/>
                  </w14:solidFill>
                </w14:textFill>
              </w:rPr>
            </w:pPr>
            <w:r>
              <w:rPr>
                <w:b/>
                <w:color w:val="000000" w:themeColor="text1"/>
                <w14:textFill>
                  <w14:solidFill>
                    <w14:schemeClr w14:val="tx1"/>
                  </w14:solidFill>
                </w14:textFill>
              </w:rPr>
              <w:t>噪声源</w:t>
            </w:r>
          </w:p>
        </w:tc>
        <w:tc>
          <w:tcPr>
            <w:tcW w:w="774" w:type="pct"/>
            <w:vMerge w:val="restart"/>
            <w:vAlign w:val="center"/>
          </w:tcPr>
          <w:p w14:paraId="0685D52F">
            <w:pPr>
              <w:pStyle w:val="70"/>
              <w:rPr>
                <w:b/>
                <w:color w:val="000000" w:themeColor="text1"/>
                <w14:textFill>
                  <w14:solidFill>
                    <w14:schemeClr w14:val="tx1"/>
                  </w14:solidFill>
                </w14:textFill>
              </w:rPr>
            </w:pPr>
            <w:r>
              <w:rPr>
                <w:b/>
                <w:color w:val="000000" w:themeColor="text1"/>
                <w14:textFill>
                  <w14:solidFill>
                    <w14:schemeClr w14:val="tx1"/>
                  </w14:solidFill>
                </w14:textFill>
              </w:rPr>
              <w:t>声源类型（频发/偶发）</w:t>
            </w:r>
          </w:p>
        </w:tc>
        <w:tc>
          <w:tcPr>
            <w:tcW w:w="1063" w:type="pct"/>
            <w:gridSpan w:val="2"/>
            <w:vAlign w:val="center"/>
          </w:tcPr>
          <w:p w14:paraId="1CF89348">
            <w:pPr>
              <w:pStyle w:val="70"/>
              <w:rPr>
                <w:b/>
                <w:color w:val="000000" w:themeColor="text1"/>
                <w14:textFill>
                  <w14:solidFill>
                    <w14:schemeClr w14:val="tx1"/>
                  </w14:solidFill>
                </w14:textFill>
              </w:rPr>
            </w:pPr>
            <w:r>
              <w:rPr>
                <w:b/>
                <w:color w:val="000000" w:themeColor="text1"/>
                <w14:textFill>
                  <w14:solidFill>
                    <w14:schemeClr w14:val="tx1"/>
                  </w14:solidFill>
                </w14:textFill>
              </w:rPr>
              <w:t>噪声源强</w:t>
            </w:r>
          </w:p>
        </w:tc>
        <w:tc>
          <w:tcPr>
            <w:tcW w:w="1110" w:type="pct"/>
            <w:gridSpan w:val="2"/>
            <w:vAlign w:val="center"/>
          </w:tcPr>
          <w:p w14:paraId="4578641B">
            <w:pPr>
              <w:pStyle w:val="70"/>
              <w:rPr>
                <w:b/>
                <w:color w:val="000000" w:themeColor="text1"/>
                <w14:textFill>
                  <w14:solidFill>
                    <w14:schemeClr w14:val="tx1"/>
                  </w14:solidFill>
                </w14:textFill>
              </w:rPr>
            </w:pPr>
            <w:r>
              <w:rPr>
                <w:b/>
                <w:color w:val="000000" w:themeColor="text1"/>
                <w14:textFill>
                  <w14:solidFill>
                    <w14:schemeClr w14:val="tx1"/>
                  </w14:solidFill>
                </w14:textFill>
              </w:rPr>
              <w:t>降噪措施</w:t>
            </w:r>
          </w:p>
        </w:tc>
        <w:tc>
          <w:tcPr>
            <w:tcW w:w="1112" w:type="pct"/>
            <w:gridSpan w:val="2"/>
            <w:vAlign w:val="center"/>
          </w:tcPr>
          <w:p w14:paraId="5885448F">
            <w:pPr>
              <w:pStyle w:val="70"/>
              <w:rPr>
                <w:b/>
                <w:color w:val="000000" w:themeColor="text1"/>
                <w14:textFill>
                  <w14:solidFill>
                    <w14:schemeClr w14:val="tx1"/>
                  </w14:solidFill>
                </w14:textFill>
              </w:rPr>
            </w:pPr>
            <w:r>
              <w:rPr>
                <w:b/>
                <w:color w:val="000000" w:themeColor="text1"/>
                <w14:textFill>
                  <w14:solidFill>
                    <w14:schemeClr w14:val="tx1"/>
                  </w14:solidFill>
                </w14:textFill>
              </w:rPr>
              <w:t>噪声排放值</w:t>
            </w:r>
          </w:p>
        </w:tc>
      </w:tr>
      <w:tr w14:paraId="2941ECA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09" w:hRule="atLeast"/>
          <w:jc w:val="center"/>
        </w:trPr>
        <w:tc>
          <w:tcPr>
            <w:tcW w:w="339" w:type="pct"/>
            <w:vMerge w:val="continue"/>
            <w:vAlign w:val="center"/>
          </w:tcPr>
          <w:p w14:paraId="257D32F1">
            <w:pPr>
              <w:pStyle w:val="70"/>
              <w:rPr>
                <w:b/>
                <w:color w:val="000000" w:themeColor="text1"/>
                <w14:textFill>
                  <w14:solidFill>
                    <w14:schemeClr w14:val="tx1"/>
                  </w14:solidFill>
                </w14:textFill>
              </w:rPr>
            </w:pPr>
          </w:p>
        </w:tc>
        <w:tc>
          <w:tcPr>
            <w:tcW w:w="600" w:type="pct"/>
            <w:vMerge w:val="continue"/>
            <w:vAlign w:val="center"/>
          </w:tcPr>
          <w:p w14:paraId="6A63481F">
            <w:pPr>
              <w:pStyle w:val="70"/>
              <w:rPr>
                <w:b/>
                <w:color w:val="000000" w:themeColor="text1"/>
                <w14:textFill>
                  <w14:solidFill>
                    <w14:schemeClr w14:val="tx1"/>
                  </w14:solidFill>
                </w14:textFill>
              </w:rPr>
            </w:pPr>
          </w:p>
        </w:tc>
        <w:tc>
          <w:tcPr>
            <w:tcW w:w="774" w:type="pct"/>
            <w:vMerge w:val="continue"/>
            <w:vAlign w:val="center"/>
          </w:tcPr>
          <w:p w14:paraId="2B31839B">
            <w:pPr>
              <w:pStyle w:val="70"/>
              <w:rPr>
                <w:b/>
                <w:color w:val="000000" w:themeColor="text1"/>
                <w14:textFill>
                  <w14:solidFill>
                    <w14:schemeClr w14:val="tx1"/>
                  </w14:solidFill>
                </w14:textFill>
              </w:rPr>
            </w:pPr>
          </w:p>
        </w:tc>
        <w:tc>
          <w:tcPr>
            <w:tcW w:w="506" w:type="pct"/>
            <w:vAlign w:val="center"/>
          </w:tcPr>
          <w:p w14:paraId="33E3975F">
            <w:pPr>
              <w:pStyle w:val="70"/>
              <w:rPr>
                <w:b/>
                <w:color w:val="000000" w:themeColor="text1"/>
                <w14:textFill>
                  <w14:solidFill>
                    <w14:schemeClr w14:val="tx1"/>
                  </w14:solidFill>
                </w14:textFill>
              </w:rPr>
            </w:pPr>
            <w:r>
              <w:rPr>
                <w:b/>
                <w:color w:val="000000" w:themeColor="text1"/>
                <w14:textFill>
                  <w14:solidFill>
                    <w14:schemeClr w14:val="tx1"/>
                  </w14:solidFill>
                </w14:textFill>
              </w:rPr>
              <w:t>核算方法</w:t>
            </w:r>
          </w:p>
        </w:tc>
        <w:tc>
          <w:tcPr>
            <w:tcW w:w="556" w:type="pct"/>
            <w:vAlign w:val="center"/>
          </w:tcPr>
          <w:p w14:paraId="422552C5">
            <w:pPr>
              <w:pStyle w:val="70"/>
              <w:rPr>
                <w:b/>
                <w:color w:val="000000" w:themeColor="text1"/>
                <w14:textFill>
                  <w14:solidFill>
                    <w14:schemeClr w14:val="tx1"/>
                  </w14:solidFill>
                </w14:textFill>
              </w:rPr>
            </w:pPr>
            <w:r>
              <w:rPr>
                <w:b/>
                <w:color w:val="000000" w:themeColor="text1"/>
                <w14:textFill>
                  <w14:solidFill>
                    <w14:schemeClr w14:val="tx1"/>
                  </w14:solidFill>
                </w14:textFill>
              </w:rPr>
              <w:t>噪声值</w:t>
            </w:r>
          </w:p>
          <w:p w14:paraId="06BEFFB5">
            <w:pPr>
              <w:pStyle w:val="70"/>
              <w:rPr>
                <w:b/>
                <w:color w:val="000000" w:themeColor="text1"/>
                <w14:textFill>
                  <w14:solidFill>
                    <w14:schemeClr w14:val="tx1"/>
                  </w14:solidFill>
                </w14:textFill>
              </w:rPr>
            </w:pPr>
            <w:r>
              <w:rPr>
                <w:b/>
                <w:color w:val="000000" w:themeColor="text1"/>
                <w14:textFill>
                  <w14:solidFill>
                    <w14:schemeClr w14:val="tx1"/>
                  </w14:solidFill>
                </w14:textFill>
              </w:rPr>
              <w:t>[dB(A)]</w:t>
            </w:r>
          </w:p>
        </w:tc>
        <w:tc>
          <w:tcPr>
            <w:tcW w:w="554" w:type="pct"/>
            <w:vAlign w:val="center"/>
          </w:tcPr>
          <w:p w14:paraId="6010C0FF">
            <w:pPr>
              <w:pStyle w:val="70"/>
              <w:rPr>
                <w:b/>
                <w:color w:val="000000" w:themeColor="text1"/>
                <w14:textFill>
                  <w14:solidFill>
                    <w14:schemeClr w14:val="tx1"/>
                  </w14:solidFill>
                </w14:textFill>
              </w:rPr>
            </w:pPr>
            <w:r>
              <w:rPr>
                <w:b/>
                <w:color w:val="000000" w:themeColor="text1"/>
                <w14:textFill>
                  <w14:solidFill>
                    <w14:schemeClr w14:val="tx1"/>
                  </w14:solidFill>
                </w14:textFill>
              </w:rPr>
              <w:t>工艺</w:t>
            </w:r>
          </w:p>
        </w:tc>
        <w:tc>
          <w:tcPr>
            <w:tcW w:w="556" w:type="pct"/>
            <w:vAlign w:val="center"/>
          </w:tcPr>
          <w:p w14:paraId="4A1FA5FE">
            <w:pPr>
              <w:pStyle w:val="70"/>
              <w:rPr>
                <w:b/>
                <w:color w:val="000000" w:themeColor="text1"/>
                <w14:textFill>
                  <w14:solidFill>
                    <w14:schemeClr w14:val="tx1"/>
                  </w14:solidFill>
                </w14:textFill>
              </w:rPr>
            </w:pPr>
            <w:r>
              <w:rPr>
                <w:b/>
                <w:color w:val="000000" w:themeColor="text1"/>
                <w14:textFill>
                  <w14:solidFill>
                    <w14:schemeClr w14:val="tx1"/>
                  </w14:solidFill>
                </w14:textFill>
              </w:rPr>
              <w:t>降噪效果</w:t>
            </w:r>
          </w:p>
          <w:p w14:paraId="48F1988D">
            <w:pPr>
              <w:pStyle w:val="70"/>
              <w:rPr>
                <w:b/>
                <w:color w:val="000000" w:themeColor="text1"/>
                <w14:textFill>
                  <w14:solidFill>
                    <w14:schemeClr w14:val="tx1"/>
                  </w14:solidFill>
                </w14:textFill>
              </w:rPr>
            </w:pPr>
            <w:r>
              <w:rPr>
                <w:b/>
                <w:color w:val="000000" w:themeColor="text1"/>
                <w14:textFill>
                  <w14:solidFill>
                    <w14:schemeClr w14:val="tx1"/>
                  </w14:solidFill>
                </w14:textFill>
              </w:rPr>
              <w:t>[dB(A)]</w:t>
            </w:r>
          </w:p>
        </w:tc>
        <w:tc>
          <w:tcPr>
            <w:tcW w:w="554" w:type="pct"/>
            <w:vAlign w:val="center"/>
          </w:tcPr>
          <w:p w14:paraId="5FC4CCC5">
            <w:pPr>
              <w:pStyle w:val="70"/>
              <w:rPr>
                <w:b/>
                <w:color w:val="000000" w:themeColor="text1"/>
                <w14:textFill>
                  <w14:solidFill>
                    <w14:schemeClr w14:val="tx1"/>
                  </w14:solidFill>
                </w14:textFill>
              </w:rPr>
            </w:pPr>
            <w:r>
              <w:rPr>
                <w:b/>
                <w:color w:val="000000" w:themeColor="text1"/>
                <w14:textFill>
                  <w14:solidFill>
                    <w14:schemeClr w14:val="tx1"/>
                  </w14:solidFill>
                </w14:textFill>
              </w:rPr>
              <w:t>核算方法</w:t>
            </w:r>
          </w:p>
        </w:tc>
        <w:tc>
          <w:tcPr>
            <w:tcW w:w="557" w:type="pct"/>
            <w:vAlign w:val="center"/>
          </w:tcPr>
          <w:p w14:paraId="1FEBC315">
            <w:pPr>
              <w:pStyle w:val="70"/>
              <w:rPr>
                <w:b/>
                <w:color w:val="000000" w:themeColor="text1"/>
                <w14:textFill>
                  <w14:solidFill>
                    <w14:schemeClr w14:val="tx1"/>
                  </w14:solidFill>
                </w14:textFill>
              </w:rPr>
            </w:pPr>
            <w:r>
              <w:rPr>
                <w:b/>
                <w:color w:val="000000" w:themeColor="text1"/>
                <w14:textFill>
                  <w14:solidFill>
                    <w14:schemeClr w14:val="tx1"/>
                  </w14:solidFill>
                </w14:textFill>
              </w:rPr>
              <w:t>噪声值</w:t>
            </w:r>
          </w:p>
          <w:p w14:paraId="1BF83E2E">
            <w:pPr>
              <w:pStyle w:val="70"/>
              <w:rPr>
                <w:b/>
                <w:color w:val="000000" w:themeColor="text1"/>
                <w14:textFill>
                  <w14:solidFill>
                    <w14:schemeClr w14:val="tx1"/>
                  </w14:solidFill>
                </w14:textFill>
              </w:rPr>
            </w:pPr>
            <w:r>
              <w:rPr>
                <w:b/>
                <w:color w:val="000000" w:themeColor="text1"/>
                <w14:textFill>
                  <w14:solidFill>
                    <w14:schemeClr w14:val="tx1"/>
                  </w14:solidFill>
                </w14:textFill>
              </w:rPr>
              <w:t>[dB(A)]</w:t>
            </w:r>
          </w:p>
        </w:tc>
      </w:tr>
      <w:tr w14:paraId="62E4C55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49" w:hRule="atLeast"/>
          <w:jc w:val="center"/>
        </w:trPr>
        <w:tc>
          <w:tcPr>
            <w:tcW w:w="339" w:type="pct"/>
            <w:vAlign w:val="center"/>
          </w:tcPr>
          <w:p w14:paraId="03A506D5">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600" w:type="pct"/>
            <w:vAlign w:val="center"/>
          </w:tcPr>
          <w:p w14:paraId="44BF6A47">
            <w:pPr>
              <w:pStyle w:val="70"/>
              <w:rPr>
                <w:color w:val="000000" w:themeColor="text1"/>
                <w14:textFill>
                  <w14:solidFill>
                    <w14:schemeClr w14:val="tx1"/>
                  </w14:solidFill>
                </w14:textFill>
              </w:rPr>
            </w:pPr>
            <w:r>
              <w:rPr>
                <w:color w:val="000000" w:themeColor="text1"/>
                <w14:textFill>
                  <w14:solidFill>
                    <w14:schemeClr w14:val="tx1"/>
                  </w14:solidFill>
                </w14:textFill>
              </w:rPr>
              <w:t>装卸臂液压站</w:t>
            </w:r>
          </w:p>
        </w:tc>
        <w:tc>
          <w:tcPr>
            <w:tcW w:w="774" w:type="pct"/>
            <w:vAlign w:val="center"/>
          </w:tcPr>
          <w:p w14:paraId="06E94183">
            <w:pPr>
              <w:pStyle w:val="70"/>
              <w:rPr>
                <w:color w:val="000000" w:themeColor="text1"/>
                <w14:textFill>
                  <w14:solidFill>
                    <w14:schemeClr w14:val="tx1"/>
                  </w14:solidFill>
                </w14:textFill>
              </w:rPr>
            </w:pPr>
            <w:r>
              <w:rPr>
                <w:color w:val="000000" w:themeColor="text1"/>
                <w14:textFill>
                  <w14:solidFill>
                    <w14:schemeClr w14:val="tx1"/>
                  </w14:solidFill>
                </w14:textFill>
              </w:rPr>
              <w:t>偶发</w:t>
            </w:r>
          </w:p>
        </w:tc>
        <w:tc>
          <w:tcPr>
            <w:tcW w:w="506" w:type="pct"/>
            <w:vAlign w:val="center"/>
          </w:tcPr>
          <w:p w14:paraId="06CEC4C0">
            <w:pPr>
              <w:pStyle w:val="70"/>
              <w:rPr>
                <w:color w:val="000000" w:themeColor="text1"/>
                <w14:textFill>
                  <w14:solidFill>
                    <w14:schemeClr w14:val="tx1"/>
                  </w14:solidFill>
                </w14:textFill>
              </w:rPr>
            </w:pPr>
            <w:r>
              <w:rPr>
                <w:color w:val="000000" w:themeColor="text1"/>
                <w14:textFill>
                  <w14:solidFill>
                    <w14:schemeClr w14:val="tx1"/>
                  </w14:solidFill>
                </w14:textFill>
              </w:rPr>
              <w:t>类比法</w:t>
            </w:r>
          </w:p>
        </w:tc>
        <w:tc>
          <w:tcPr>
            <w:tcW w:w="556" w:type="pct"/>
            <w:vAlign w:val="center"/>
          </w:tcPr>
          <w:p w14:paraId="7EDA1959">
            <w:pPr>
              <w:pStyle w:val="70"/>
              <w:rPr>
                <w:color w:val="000000" w:themeColor="text1"/>
                <w14:textFill>
                  <w14:solidFill>
                    <w14:schemeClr w14:val="tx1"/>
                  </w14:solidFill>
                </w14:textFill>
              </w:rPr>
            </w:pPr>
            <w:r>
              <w:rPr>
                <w:color w:val="000000" w:themeColor="text1"/>
                <w14:textFill>
                  <w14:solidFill>
                    <w14:schemeClr w14:val="tx1"/>
                  </w14:solidFill>
                </w14:textFill>
              </w:rPr>
              <w:t>80</w:t>
            </w:r>
          </w:p>
        </w:tc>
        <w:tc>
          <w:tcPr>
            <w:tcW w:w="554" w:type="pct"/>
            <w:vAlign w:val="center"/>
          </w:tcPr>
          <w:p w14:paraId="2DA1C426">
            <w:pPr>
              <w:pStyle w:val="70"/>
              <w:rPr>
                <w:color w:val="000000" w:themeColor="text1"/>
                <w14:textFill>
                  <w14:solidFill>
                    <w14:schemeClr w14:val="tx1"/>
                  </w14:solidFill>
                </w14:textFill>
              </w:rPr>
            </w:pPr>
            <w:r>
              <w:rPr>
                <w:color w:val="000000" w:themeColor="text1"/>
                <w14:textFill>
                  <w14:solidFill>
                    <w14:schemeClr w14:val="tx1"/>
                  </w14:solidFill>
                </w14:textFill>
              </w:rPr>
              <w:t>减振降噪</w:t>
            </w:r>
          </w:p>
        </w:tc>
        <w:tc>
          <w:tcPr>
            <w:tcW w:w="556" w:type="pct"/>
            <w:vAlign w:val="center"/>
          </w:tcPr>
          <w:p w14:paraId="3F03C577">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15</w:t>
            </w:r>
          </w:p>
        </w:tc>
        <w:tc>
          <w:tcPr>
            <w:tcW w:w="554" w:type="pct"/>
            <w:vAlign w:val="center"/>
          </w:tcPr>
          <w:p w14:paraId="15FCD8FD">
            <w:pPr>
              <w:pStyle w:val="70"/>
              <w:rPr>
                <w:color w:val="000000" w:themeColor="text1"/>
                <w14:textFill>
                  <w14:solidFill>
                    <w14:schemeClr w14:val="tx1"/>
                  </w14:solidFill>
                </w14:textFill>
              </w:rPr>
            </w:pPr>
            <w:r>
              <w:rPr>
                <w:color w:val="000000" w:themeColor="text1"/>
                <w14:textFill>
                  <w14:solidFill>
                    <w14:schemeClr w14:val="tx1"/>
                  </w14:solidFill>
                </w14:textFill>
              </w:rPr>
              <w:t>类比法</w:t>
            </w:r>
          </w:p>
        </w:tc>
        <w:tc>
          <w:tcPr>
            <w:tcW w:w="557" w:type="pct"/>
            <w:vAlign w:val="center"/>
          </w:tcPr>
          <w:p w14:paraId="002085CB">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65</w:t>
            </w:r>
          </w:p>
        </w:tc>
      </w:tr>
      <w:tr w14:paraId="0BC94CC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49" w:hRule="atLeast"/>
          <w:jc w:val="center"/>
        </w:trPr>
        <w:tc>
          <w:tcPr>
            <w:tcW w:w="339" w:type="pct"/>
            <w:vAlign w:val="center"/>
          </w:tcPr>
          <w:p w14:paraId="50785E30">
            <w:pPr>
              <w:pStyle w:val="70"/>
              <w:rPr>
                <w:color w:val="000000" w:themeColor="text1"/>
                <w14:textFill>
                  <w14:solidFill>
                    <w14:schemeClr w14:val="tx1"/>
                  </w14:solidFill>
                </w14:textFill>
              </w:rPr>
            </w:pPr>
          </w:p>
        </w:tc>
        <w:tc>
          <w:tcPr>
            <w:tcW w:w="600" w:type="pct"/>
            <w:vAlign w:val="center"/>
          </w:tcPr>
          <w:p w14:paraId="099F1CB4">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软管（3根）</w:t>
            </w:r>
          </w:p>
        </w:tc>
        <w:tc>
          <w:tcPr>
            <w:tcW w:w="774" w:type="pct"/>
            <w:vAlign w:val="center"/>
          </w:tcPr>
          <w:p w14:paraId="3482116F">
            <w:pPr>
              <w:pStyle w:val="70"/>
              <w:rPr>
                <w:color w:val="000000" w:themeColor="text1"/>
                <w14:textFill>
                  <w14:solidFill>
                    <w14:schemeClr w14:val="tx1"/>
                  </w14:solidFill>
                </w14:textFill>
              </w:rPr>
            </w:pPr>
            <w:r>
              <w:rPr>
                <w:color w:val="000000" w:themeColor="text1"/>
                <w14:textFill>
                  <w14:solidFill>
                    <w14:schemeClr w14:val="tx1"/>
                  </w14:solidFill>
                </w14:textFill>
              </w:rPr>
              <w:t>偶发</w:t>
            </w:r>
          </w:p>
        </w:tc>
        <w:tc>
          <w:tcPr>
            <w:tcW w:w="506" w:type="pct"/>
            <w:vAlign w:val="center"/>
          </w:tcPr>
          <w:p w14:paraId="44ABE3D2">
            <w:pPr>
              <w:pStyle w:val="70"/>
              <w:rPr>
                <w:color w:val="000000" w:themeColor="text1"/>
                <w14:textFill>
                  <w14:solidFill>
                    <w14:schemeClr w14:val="tx1"/>
                  </w14:solidFill>
                </w14:textFill>
              </w:rPr>
            </w:pPr>
            <w:r>
              <w:rPr>
                <w:color w:val="000000" w:themeColor="text1"/>
                <w14:textFill>
                  <w14:solidFill>
                    <w14:schemeClr w14:val="tx1"/>
                  </w14:solidFill>
                </w14:textFill>
              </w:rPr>
              <w:t>类比法</w:t>
            </w:r>
          </w:p>
        </w:tc>
        <w:tc>
          <w:tcPr>
            <w:tcW w:w="556" w:type="pct"/>
            <w:vAlign w:val="center"/>
          </w:tcPr>
          <w:p w14:paraId="1A6250D2">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70</w:t>
            </w:r>
          </w:p>
        </w:tc>
        <w:tc>
          <w:tcPr>
            <w:tcW w:w="554" w:type="pct"/>
            <w:vAlign w:val="center"/>
          </w:tcPr>
          <w:p w14:paraId="733DA048">
            <w:pPr>
              <w:pStyle w:val="70"/>
              <w:rPr>
                <w:color w:val="000000" w:themeColor="text1"/>
                <w14:textFill>
                  <w14:solidFill>
                    <w14:schemeClr w14:val="tx1"/>
                  </w14:solidFill>
                </w14:textFill>
              </w:rPr>
            </w:pPr>
            <w:r>
              <w:rPr>
                <w:color w:val="000000" w:themeColor="text1"/>
                <w14:textFill>
                  <w14:solidFill>
                    <w14:schemeClr w14:val="tx1"/>
                  </w14:solidFill>
                </w14:textFill>
              </w:rPr>
              <w:t>减振降噪</w:t>
            </w:r>
          </w:p>
        </w:tc>
        <w:tc>
          <w:tcPr>
            <w:tcW w:w="556" w:type="pct"/>
            <w:vAlign w:val="center"/>
          </w:tcPr>
          <w:p w14:paraId="5F3C8F1A">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15</w:t>
            </w:r>
          </w:p>
        </w:tc>
        <w:tc>
          <w:tcPr>
            <w:tcW w:w="554" w:type="pct"/>
            <w:vAlign w:val="center"/>
          </w:tcPr>
          <w:p w14:paraId="531A7582">
            <w:pPr>
              <w:pStyle w:val="70"/>
              <w:rPr>
                <w:color w:val="000000" w:themeColor="text1"/>
                <w14:textFill>
                  <w14:solidFill>
                    <w14:schemeClr w14:val="tx1"/>
                  </w14:solidFill>
                </w14:textFill>
              </w:rPr>
            </w:pPr>
            <w:r>
              <w:rPr>
                <w:color w:val="000000" w:themeColor="text1"/>
                <w14:textFill>
                  <w14:solidFill>
                    <w14:schemeClr w14:val="tx1"/>
                  </w14:solidFill>
                </w14:textFill>
              </w:rPr>
              <w:t>类比法</w:t>
            </w:r>
          </w:p>
        </w:tc>
        <w:tc>
          <w:tcPr>
            <w:tcW w:w="557" w:type="pct"/>
            <w:vAlign w:val="center"/>
          </w:tcPr>
          <w:p w14:paraId="58A6D2FD">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55</w:t>
            </w:r>
          </w:p>
        </w:tc>
      </w:tr>
    </w:tbl>
    <w:p w14:paraId="6FC6CDD6">
      <w:pPr>
        <w:pStyle w:val="7"/>
        <w:tabs>
          <w:tab w:val="left" w:pos="2127"/>
          <w:tab w:val="left" w:pos="2411"/>
        </w:tabs>
        <w:rPr>
          <w:color w:val="000000" w:themeColor="text1"/>
          <w14:textFill>
            <w14:solidFill>
              <w14:schemeClr w14:val="tx1"/>
            </w14:solidFill>
          </w14:textFill>
        </w:rPr>
      </w:pPr>
      <w:r>
        <w:rPr>
          <w:color w:val="000000" w:themeColor="text1"/>
          <w14:textFill>
            <w14:solidFill>
              <w14:schemeClr w14:val="tx1"/>
            </w14:solidFill>
          </w14:textFill>
        </w:rPr>
        <w:t>固体废物污染源源强核算汇总表</w:t>
      </w:r>
    </w:p>
    <w:tbl>
      <w:tblPr>
        <w:tblStyle w:val="43"/>
        <w:tblW w:w="5007"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866"/>
        <w:gridCol w:w="1118"/>
        <w:gridCol w:w="1891"/>
        <w:gridCol w:w="1212"/>
        <w:gridCol w:w="1408"/>
        <w:gridCol w:w="1329"/>
        <w:gridCol w:w="940"/>
        <w:gridCol w:w="1348"/>
        <w:gridCol w:w="4082"/>
      </w:tblGrid>
      <w:tr w14:paraId="264C3B4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05" w:type="pct"/>
            <w:vMerge w:val="restart"/>
            <w:vAlign w:val="center"/>
          </w:tcPr>
          <w:p w14:paraId="23AB2E39">
            <w:pPr>
              <w:pStyle w:val="70"/>
              <w:rPr>
                <w:b/>
                <w:color w:val="000000" w:themeColor="text1"/>
                <w14:textFill>
                  <w14:solidFill>
                    <w14:schemeClr w14:val="tx1"/>
                  </w14:solidFill>
                </w14:textFill>
              </w:rPr>
            </w:pPr>
            <w:r>
              <w:rPr>
                <w:b/>
                <w:color w:val="000000" w:themeColor="text1"/>
                <w14:textFill>
                  <w14:solidFill>
                    <w14:schemeClr w14:val="tx1"/>
                  </w14:solidFill>
                </w14:textFill>
              </w:rPr>
              <w:t>装置</w:t>
            </w:r>
          </w:p>
        </w:tc>
        <w:tc>
          <w:tcPr>
            <w:tcW w:w="1060" w:type="pct"/>
            <w:gridSpan w:val="2"/>
            <w:vMerge w:val="restart"/>
            <w:vAlign w:val="center"/>
          </w:tcPr>
          <w:p w14:paraId="468BA119">
            <w:pPr>
              <w:pStyle w:val="70"/>
              <w:rPr>
                <w:b/>
                <w:color w:val="000000" w:themeColor="text1"/>
                <w14:textFill>
                  <w14:solidFill>
                    <w14:schemeClr w14:val="tx1"/>
                  </w14:solidFill>
                </w14:textFill>
              </w:rPr>
            </w:pPr>
            <w:r>
              <w:rPr>
                <w:b/>
                <w:color w:val="000000" w:themeColor="text1"/>
                <w14:textFill>
                  <w14:solidFill>
                    <w14:schemeClr w14:val="tx1"/>
                  </w14:solidFill>
                </w14:textFill>
              </w:rPr>
              <w:t>固体废物名称</w:t>
            </w:r>
          </w:p>
        </w:tc>
        <w:tc>
          <w:tcPr>
            <w:tcW w:w="427" w:type="pct"/>
            <w:vMerge w:val="restart"/>
            <w:vAlign w:val="center"/>
          </w:tcPr>
          <w:p w14:paraId="564FD6EF">
            <w:pPr>
              <w:pStyle w:val="70"/>
              <w:rPr>
                <w:b/>
                <w:color w:val="000000" w:themeColor="text1"/>
                <w14:textFill>
                  <w14:solidFill>
                    <w14:schemeClr w14:val="tx1"/>
                  </w14:solidFill>
                </w14:textFill>
              </w:rPr>
            </w:pPr>
            <w:r>
              <w:rPr>
                <w:b/>
                <w:color w:val="000000" w:themeColor="text1"/>
                <w14:textFill>
                  <w14:solidFill>
                    <w14:schemeClr w14:val="tx1"/>
                  </w14:solidFill>
                </w14:textFill>
              </w:rPr>
              <w:t>属性</w:t>
            </w:r>
          </w:p>
        </w:tc>
        <w:tc>
          <w:tcPr>
            <w:tcW w:w="964" w:type="pct"/>
            <w:gridSpan w:val="2"/>
            <w:vAlign w:val="center"/>
          </w:tcPr>
          <w:p w14:paraId="4BDEB4D3">
            <w:pPr>
              <w:pStyle w:val="70"/>
              <w:rPr>
                <w:b/>
                <w:color w:val="000000" w:themeColor="text1"/>
                <w14:textFill>
                  <w14:solidFill>
                    <w14:schemeClr w14:val="tx1"/>
                  </w14:solidFill>
                </w14:textFill>
              </w:rPr>
            </w:pPr>
            <w:r>
              <w:rPr>
                <w:b/>
                <w:color w:val="000000" w:themeColor="text1"/>
                <w14:textFill>
                  <w14:solidFill>
                    <w14:schemeClr w14:val="tx1"/>
                  </w14:solidFill>
                </w14:textFill>
              </w:rPr>
              <w:t>产生情况</w:t>
            </w:r>
          </w:p>
        </w:tc>
        <w:tc>
          <w:tcPr>
            <w:tcW w:w="806" w:type="pct"/>
            <w:gridSpan w:val="2"/>
            <w:vAlign w:val="center"/>
          </w:tcPr>
          <w:p w14:paraId="30E8A6AE">
            <w:pPr>
              <w:pStyle w:val="70"/>
              <w:rPr>
                <w:b/>
                <w:color w:val="000000" w:themeColor="text1"/>
                <w14:textFill>
                  <w14:solidFill>
                    <w14:schemeClr w14:val="tx1"/>
                  </w14:solidFill>
                </w14:textFill>
              </w:rPr>
            </w:pPr>
            <w:r>
              <w:rPr>
                <w:b/>
                <w:color w:val="000000" w:themeColor="text1"/>
                <w14:textFill>
                  <w14:solidFill>
                    <w14:schemeClr w14:val="tx1"/>
                  </w14:solidFill>
                </w14:textFill>
              </w:rPr>
              <w:t>处置措施</w:t>
            </w:r>
          </w:p>
        </w:tc>
        <w:tc>
          <w:tcPr>
            <w:tcW w:w="1438" w:type="pct"/>
            <w:vMerge w:val="restart"/>
            <w:vAlign w:val="center"/>
          </w:tcPr>
          <w:p w14:paraId="24F2FE35">
            <w:pPr>
              <w:pStyle w:val="70"/>
              <w:rPr>
                <w:b/>
                <w:color w:val="000000" w:themeColor="text1"/>
                <w14:textFill>
                  <w14:solidFill>
                    <w14:schemeClr w14:val="tx1"/>
                  </w14:solidFill>
                </w14:textFill>
              </w:rPr>
            </w:pPr>
            <w:r>
              <w:rPr>
                <w:b/>
                <w:color w:val="000000" w:themeColor="text1"/>
                <w14:textFill>
                  <w14:solidFill>
                    <w14:schemeClr w14:val="tx1"/>
                  </w14:solidFill>
                </w14:textFill>
              </w:rPr>
              <w:t>最终去向</w:t>
            </w:r>
          </w:p>
        </w:tc>
      </w:tr>
      <w:tr w14:paraId="2AEB215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05" w:type="pct"/>
            <w:vMerge w:val="continue"/>
            <w:vAlign w:val="center"/>
          </w:tcPr>
          <w:p w14:paraId="174F6DFF">
            <w:pPr>
              <w:pStyle w:val="70"/>
              <w:rPr>
                <w:b/>
                <w:color w:val="000000" w:themeColor="text1"/>
                <w14:textFill>
                  <w14:solidFill>
                    <w14:schemeClr w14:val="tx1"/>
                  </w14:solidFill>
                </w14:textFill>
              </w:rPr>
            </w:pPr>
          </w:p>
        </w:tc>
        <w:tc>
          <w:tcPr>
            <w:tcW w:w="1060" w:type="pct"/>
            <w:gridSpan w:val="2"/>
            <w:vMerge w:val="continue"/>
            <w:vAlign w:val="center"/>
          </w:tcPr>
          <w:p w14:paraId="2C844DCC">
            <w:pPr>
              <w:pStyle w:val="70"/>
              <w:rPr>
                <w:b/>
                <w:color w:val="000000" w:themeColor="text1"/>
                <w14:textFill>
                  <w14:solidFill>
                    <w14:schemeClr w14:val="tx1"/>
                  </w14:solidFill>
                </w14:textFill>
              </w:rPr>
            </w:pPr>
          </w:p>
        </w:tc>
        <w:tc>
          <w:tcPr>
            <w:tcW w:w="427" w:type="pct"/>
            <w:vMerge w:val="continue"/>
            <w:vAlign w:val="center"/>
          </w:tcPr>
          <w:p w14:paraId="052D466B">
            <w:pPr>
              <w:pStyle w:val="70"/>
              <w:rPr>
                <w:b/>
                <w:color w:val="000000" w:themeColor="text1"/>
                <w14:textFill>
                  <w14:solidFill>
                    <w14:schemeClr w14:val="tx1"/>
                  </w14:solidFill>
                </w14:textFill>
              </w:rPr>
            </w:pPr>
          </w:p>
        </w:tc>
        <w:tc>
          <w:tcPr>
            <w:tcW w:w="496" w:type="pct"/>
            <w:vAlign w:val="center"/>
          </w:tcPr>
          <w:p w14:paraId="4BC8E1AF">
            <w:pPr>
              <w:pStyle w:val="70"/>
              <w:rPr>
                <w:b/>
                <w:color w:val="000000" w:themeColor="text1"/>
                <w14:textFill>
                  <w14:solidFill>
                    <w14:schemeClr w14:val="tx1"/>
                  </w14:solidFill>
                </w14:textFill>
              </w:rPr>
            </w:pPr>
            <w:r>
              <w:rPr>
                <w:b/>
                <w:color w:val="000000" w:themeColor="text1"/>
                <w14:textFill>
                  <w14:solidFill>
                    <w14:schemeClr w14:val="tx1"/>
                  </w14:solidFill>
                </w14:textFill>
              </w:rPr>
              <w:t>核算方法</w:t>
            </w:r>
          </w:p>
        </w:tc>
        <w:tc>
          <w:tcPr>
            <w:tcW w:w="468" w:type="pct"/>
            <w:vAlign w:val="center"/>
          </w:tcPr>
          <w:p w14:paraId="74B132EC">
            <w:pPr>
              <w:pStyle w:val="70"/>
              <w:rPr>
                <w:b/>
                <w:color w:val="000000" w:themeColor="text1"/>
                <w14:textFill>
                  <w14:solidFill>
                    <w14:schemeClr w14:val="tx1"/>
                  </w14:solidFill>
                </w14:textFill>
              </w:rPr>
            </w:pPr>
            <w:r>
              <w:rPr>
                <w:b/>
                <w:color w:val="000000" w:themeColor="text1"/>
                <w14:textFill>
                  <w14:solidFill>
                    <w14:schemeClr w14:val="tx1"/>
                  </w14:solidFill>
                </w14:textFill>
              </w:rPr>
              <w:t>产生量（t/a）</w:t>
            </w:r>
          </w:p>
        </w:tc>
        <w:tc>
          <w:tcPr>
            <w:tcW w:w="331" w:type="pct"/>
            <w:vAlign w:val="center"/>
          </w:tcPr>
          <w:p w14:paraId="4E7CC484">
            <w:pPr>
              <w:pStyle w:val="70"/>
              <w:rPr>
                <w:b/>
                <w:color w:val="000000" w:themeColor="text1"/>
                <w14:textFill>
                  <w14:solidFill>
                    <w14:schemeClr w14:val="tx1"/>
                  </w14:solidFill>
                </w14:textFill>
              </w:rPr>
            </w:pPr>
            <w:r>
              <w:rPr>
                <w:b/>
                <w:color w:val="000000" w:themeColor="text1"/>
                <w14:textFill>
                  <w14:solidFill>
                    <w14:schemeClr w14:val="tx1"/>
                  </w14:solidFill>
                </w14:textFill>
              </w:rPr>
              <w:t>工艺</w:t>
            </w:r>
          </w:p>
        </w:tc>
        <w:tc>
          <w:tcPr>
            <w:tcW w:w="475" w:type="pct"/>
            <w:vAlign w:val="center"/>
          </w:tcPr>
          <w:p w14:paraId="6675486B">
            <w:pPr>
              <w:pStyle w:val="70"/>
              <w:rPr>
                <w:b/>
                <w:color w:val="000000" w:themeColor="text1"/>
                <w14:textFill>
                  <w14:solidFill>
                    <w14:schemeClr w14:val="tx1"/>
                  </w14:solidFill>
                </w14:textFill>
              </w:rPr>
            </w:pPr>
            <w:r>
              <w:rPr>
                <w:b/>
                <w:color w:val="000000" w:themeColor="text1"/>
                <w14:textFill>
                  <w14:solidFill>
                    <w14:schemeClr w14:val="tx1"/>
                  </w14:solidFill>
                </w14:textFill>
              </w:rPr>
              <w:t>处置量（t/a）</w:t>
            </w:r>
          </w:p>
        </w:tc>
        <w:tc>
          <w:tcPr>
            <w:tcW w:w="1438" w:type="pct"/>
            <w:vMerge w:val="continue"/>
            <w:vAlign w:val="center"/>
          </w:tcPr>
          <w:p w14:paraId="6881A0F2">
            <w:pPr>
              <w:pStyle w:val="70"/>
              <w:rPr>
                <w:b/>
                <w:color w:val="000000" w:themeColor="text1"/>
                <w14:textFill>
                  <w14:solidFill>
                    <w14:schemeClr w14:val="tx1"/>
                  </w14:solidFill>
                </w14:textFill>
              </w:rPr>
            </w:pPr>
          </w:p>
        </w:tc>
      </w:tr>
      <w:tr w14:paraId="070FD1A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05" w:type="pct"/>
            <w:vAlign w:val="center"/>
          </w:tcPr>
          <w:p w14:paraId="05BE7FDF">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394" w:type="pct"/>
            <w:vAlign w:val="center"/>
          </w:tcPr>
          <w:p w14:paraId="0D733091">
            <w:pPr>
              <w:pStyle w:val="70"/>
              <w:rPr>
                <w:color w:val="000000" w:themeColor="text1"/>
                <w14:textFill>
                  <w14:solidFill>
                    <w14:schemeClr w14:val="tx1"/>
                  </w14:solidFill>
                </w14:textFill>
              </w:rPr>
            </w:pPr>
            <w:r>
              <w:rPr>
                <w:color w:val="000000" w:themeColor="text1"/>
                <w14:textFill>
                  <w14:solidFill>
                    <w14:schemeClr w14:val="tx1"/>
                  </w14:solidFill>
                </w14:textFill>
              </w:rPr>
              <w:t>维修废物</w:t>
            </w:r>
          </w:p>
        </w:tc>
        <w:tc>
          <w:tcPr>
            <w:tcW w:w="665" w:type="pct"/>
            <w:vAlign w:val="center"/>
          </w:tcPr>
          <w:p w14:paraId="6F32E0B3">
            <w:pPr>
              <w:pStyle w:val="70"/>
              <w:rPr>
                <w:color w:val="000000" w:themeColor="text1"/>
                <w14:textFill>
                  <w14:solidFill>
                    <w14:schemeClr w14:val="tx1"/>
                  </w14:solidFill>
                </w14:textFill>
              </w:rPr>
            </w:pPr>
            <w:r>
              <w:rPr>
                <w:color w:val="000000" w:themeColor="text1"/>
                <w14:textFill>
                  <w14:solidFill>
                    <w14:schemeClr w14:val="tx1"/>
                  </w14:solidFill>
                </w14:textFill>
              </w:rPr>
              <w:t>含油废布及棉纱</w:t>
            </w:r>
          </w:p>
        </w:tc>
        <w:tc>
          <w:tcPr>
            <w:tcW w:w="427" w:type="pct"/>
            <w:vAlign w:val="center"/>
          </w:tcPr>
          <w:p w14:paraId="49468E22">
            <w:pPr>
              <w:pStyle w:val="70"/>
              <w:rPr>
                <w:color w:val="000000" w:themeColor="text1"/>
                <w14:textFill>
                  <w14:solidFill>
                    <w14:schemeClr w14:val="tx1"/>
                  </w14:solidFill>
                </w14:textFill>
              </w:rPr>
            </w:pPr>
            <w:r>
              <w:rPr>
                <w:color w:val="000000" w:themeColor="text1"/>
                <w14:textFill>
                  <w14:solidFill>
                    <w14:schemeClr w14:val="tx1"/>
                  </w14:solidFill>
                </w14:textFill>
              </w:rPr>
              <w:t>危险废物</w:t>
            </w:r>
          </w:p>
        </w:tc>
        <w:tc>
          <w:tcPr>
            <w:tcW w:w="496" w:type="pct"/>
            <w:vAlign w:val="center"/>
          </w:tcPr>
          <w:p w14:paraId="61887140">
            <w:pPr>
              <w:pStyle w:val="70"/>
              <w:rPr>
                <w:color w:val="000000" w:themeColor="text1"/>
                <w14:textFill>
                  <w14:solidFill>
                    <w14:schemeClr w14:val="tx1"/>
                  </w14:solidFill>
                </w14:textFill>
              </w:rPr>
            </w:pPr>
            <w:r>
              <w:rPr>
                <w:color w:val="000000" w:themeColor="text1"/>
                <w14:textFill>
                  <w14:solidFill>
                    <w14:schemeClr w14:val="tx1"/>
                  </w14:solidFill>
                </w14:textFill>
              </w:rPr>
              <w:t>类比法</w:t>
            </w:r>
          </w:p>
        </w:tc>
        <w:tc>
          <w:tcPr>
            <w:tcW w:w="468" w:type="pct"/>
            <w:vAlign w:val="center"/>
          </w:tcPr>
          <w:p w14:paraId="56387379">
            <w:pPr>
              <w:pStyle w:val="70"/>
              <w:rPr>
                <w:color w:val="000000" w:themeColor="text1"/>
                <w14:textFill>
                  <w14:solidFill>
                    <w14:schemeClr w14:val="tx1"/>
                  </w14:solidFill>
                </w14:textFill>
              </w:rPr>
            </w:pPr>
            <w:r>
              <w:rPr>
                <w:color w:val="000000" w:themeColor="text1"/>
                <w14:textFill>
                  <w14:solidFill>
                    <w14:schemeClr w14:val="tx1"/>
                  </w14:solidFill>
                </w14:textFill>
              </w:rPr>
              <w:t>0.05</w:t>
            </w:r>
          </w:p>
        </w:tc>
        <w:tc>
          <w:tcPr>
            <w:tcW w:w="331" w:type="pct"/>
            <w:vAlign w:val="center"/>
          </w:tcPr>
          <w:p w14:paraId="05A2A22F">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475" w:type="pct"/>
            <w:vAlign w:val="center"/>
          </w:tcPr>
          <w:p w14:paraId="129BC715">
            <w:pPr>
              <w:pStyle w:val="70"/>
              <w:rPr>
                <w:color w:val="000000" w:themeColor="text1"/>
                <w14:textFill>
                  <w14:solidFill>
                    <w14:schemeClr w14:val="tx1"/>
                  </w14:solidFill>
                </w14:textFill>
              </w:rPr>
            </w:pPr>
            <w:r>
              <w:rPr>
                <w:color w:val="000000" w:themeColor="text1"/>
                <w14:textFill>
                  <w14:solidFill>
                    <w14:schemeClr w14:val="tx1"/>
                  </w14:solidFill>
                </w14:textFill>
              </w:rPr>
              <w:t>0.05</w:t>
            </w:r>
          </w:p>
        </w:tc>
        <w:tc>
          <w:tcPr>
            <w:tcW w:w="1438" w:type="pct"/>
            <w:vAlign w:val="center"/>
          </w:tcPr>
          <w:p w14:paraId="5675EF8D">
            <w:pPr>
              <w:pStyle w:val="7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暂存在危废暂存间，定期</w:t>
            </w:r>
            <w:r>
              <w:rPr>
                <w:rFonts w:hint="eastAsia"/>
                <w:color w:val="000000" w:themeColor="text1"/>
                <w14:textFill>
                  <w14:solidFill>
                    <w14:schemeClr w14:val="tx1"/>
                  </w14:solidFill>
                </w14:textFill>
              </w:rPr>
              <w:t>委托有资质的单位处理</w:t>
            </w:r>
          </w:p>
        </w:tc>
      </w:tr>
      <w:tr w14:paraId="29857EC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05" w:type="pct"/>
            <w:vAlign w:val="center"/>
          </w:tcPr>
          <w:p w14:paraId="17260DE7">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394" w:type="pct"/>
            <w:vAlign w:val="center"/>
          </w:tcPr>
          <w:p w14:paraId="2B5606ED">
            <w:pPr>
              <w:pStyle w:val="70"/>
              <w:rPr>
                <w:color w:val="000000" w:themeColor="text1"/>
                <w14:textFill>
                  <w14:solidFill>
                    <w14:schemeClr w14:val="tx1"/>
                  </w14:solidFill>
                </w14:textFill>
              </w:rPr>
            </w:pPr>
            <w:r>
              <w:rPr>
                <w:color w:val="000000" w:themeColor="text1"/>
                <w14:textFill>
                  <w14:solidFill>
                    <w14:schemeClr w14:val="tx1"/>
                  </w14:solidFill>
                </w14:textFill>
              </w:rPr>
              <w:t>船舶垃圾</w:t>
            </w:r>
          </w:p>
        </w:tc>
        <w:tc>
          <w:tcPr>
            <w:tcW w:w="665" w:type="pct"/>
            <w:vAlign w:val="center"/>
          </w:tcPr>
          <w:p w14:paraId="3DB4BAE8">
            <w:pPr>
              <w:pStyle w:val="70"/>
              <w:rPr>
                <w:color w:val="000000" w:themeColor="text1"/>
                <w14:textFill>
                  <w14:solidFill>
                    <w14:schemeClr w14:val="tx1"/>
                  </w14:solidFill>
                </w14:textFill>
              </w:rPr>
            </w:pPr>
            <w:r>
              <w:rPr>
                <w:color w:val="000000" w:themeColor="text1"/>
                <w14:textFill>
                  <w14:solidFill>
                    <w14:schemeClr w14:val="tx1"/>
                  </w14:solidFill>
                </w14:textFill>
              </w:rPr>
              <w:t>船舶生活垃圾</w:t>
            </w:r>
          </w:p>
        </w:tc>
        <w:tc>
          <w:tcPr>
            <w:tcW w:w="427" w:type="pct"/>
            <w:vAlign w:val="center"/>
          </w:tcPr>
          <w:p w14:paraId="0D13C578">
            <w:pPr>
              <w:pStyle w:val="70"/>
              <w:rPr>
                <w:color w:val="000000" w:themeColor="text1"/>
                <w14:textFill>
                  <w14:solidFill>
                    <w14:schemeClr w14:val="tx1"/>
                  </w14:solidFill>
                </w14:textFill>
              </w:rPr>
            </w:pPr>
            <w:r>
              <w:rPr>
                <w:color w:val="000000" w:themeColor="text1"/>
                <w14:textFill>
                  <w14:solidFill>
                    <w14:schemeClr w14:val="tx1"/>
                  </w14:solidFill>
                </w14:textFill>
              </w:rPr>
              <w:t>一般固废</w:t>
            </w:r>
          </w:p>
        </w:tc>
        <w:tc>
          <w:tcPr>
            <w:tcW w:w="496" w:type="pct"/>
            <w:vAlign w:val="center"/>
          </w:tcPr>
          <w:p w14:paraId="3D3AA74A">
            <w:pPr>
              <w:pStyle w:val="70"/>
              <w:rPr>
                <w:color w:val="000000" w:themeColor="text1"/>
                <w14:textFill>
                  <w14:solidFill>
                    <w14:schemeClr w14:val="tx1"/>
                  </w14:solidFill>
                </w14:textFill>
              </w:rPr>
            </w:pPr>
            <w:r>
              <w:rPr>
                <w:color w:val="000000" w:themeColor="text1"/>
                <w14:textFill>
                  <w14:solidFill>
                    <w14:schemeClr w14:val="tx1"/>
                  </w14:solidFill>
                </w14:textFill>
              </w:rPr>
              <w:t>排污系数法</w:t>
            </w:r>
          </w:p>
        </w:tc>
        <w:tc>
          <w:tcPr>
            <w:tcW w:w="468" w:type="pct"/>
            <w:vAlign w:val="center"/>
          </w:tcPr>
          <w:p w14:paraId="5C503D21">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6.0</w:t>
            </w:r>
          </w:p>
        </w:tc>
        <w:tc>
          <w:tcPr>
            <w:tcW w:w="331" w:type="pct"/>
            <w:vAlign w:val="center"/>
          </w:tcPr>
          <w:p w14:paraId="47AE7D6E">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475" w:type="pct"/>
            <w:vAlign w:val="center"/>
          </w:tcPr>
          <w:p w14:paraId="1C1A58CC">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6.0</w:t>
            </w:r>
          </w:p>
        </w:tc>
        <w:tc>
          <w:tcPr>
            <w:tcW w:w="1438" w:type="pct"/>
            <w:vAlign w:val="center"/>
          </w:tcPr>
          <w:p w14:paraId="4883072C">
            <w:pPr>
              <w:pStyle w:val="70"/>
              <w:rPr>
                <w:rFonts w:hint="default" w:eastAsia="宋体"/>
                <w:color w:val="000000" w:themeColor="text1"/>
                <w:lang w:val="en-US" w:eastAsia="zh-CN"/>
                <w14:textFill>
                  <w14:solidFill>
                    <w14:schemeClr w14:val="tx1"/>
                  </w14:solidFill>
                </w14:textFill>
              </w:rPr>
            </w:pPr>
            <w:r>
              <w:rPr>
                <w:color w:val="000000" w:themeColor="text1"/>
                <w14:textFill>
                  <w14:solidFill>
                    <w14:schemeClr w14:val="tx1"/>
                  </w14:solidFill>
                </w14:textFill>
              </w:rPr>
              <w:t>由</w:t>
            </w:r>
            <w:r>
              <w:rPr>
                <w:rFonts w:hint="eastAsia"/>
                <w:color w:val="000000" w:themeColor="text1"/>
                <w:lang w:val="en-US" w:eastAsia="zh-CN"/>
                <w14:textFill>
                  <w14:solidFill>
                    <w14:schemeClr w14:val="tx1"/>
                  </w14:solidFill>
                </w14:textFill>
              </w:rPr>
              <w:t>有资质单位接收</w:t>
            </w:r>
          </w:p>
        </w:tc>
      </w:tr>
    </w:tbl>
    <w:p w14:paraId="7650D367">
      <w:pPr>
        <w:ind w:firstLine="480"/>
        <w:rPr>
          <w:color w:val="000000" w:themeColor="text1"/>
          <w14:textFill>
            <w14:solidFill>
              <w14:schemeClr w14:val="tx1"/>
            </w14:solidFill>
          </w14:textFill>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numberInDash"/>
          <w:cols w:space="720" w:num="1"/>
          <w:docGrid w:type="lines" w:linePitch="326" w:charSpace="0"/>
        </w:sectPr>
      </w:pPr>
    </w:p>
    <w:p w14:paraId="2314DEBA">
      <w:pPr>
        <w:pStyle w:val="6"/>
        <w:rPr>
          <w:color w:val="000000" w:themeColor="text1"/>
          <w14:textFill>
            <w14:solidFill>
              <w14:schemeClr w14:val="tx1"/>
            </w14:solidFill>
          </w14:textFill>
        </w:rPr>
      </w:pPr>
      <w:r>
        <w:rPr>
          <w:color w:val="000000" w:themeColor="text1"/>
          <w14:textFill>
            <w14:solidFill>
              <w14:schemeClr w14:val="tx1"/>
            </w14:solidFill>
          </w14:textFill>
        </w:rPr>
        <w:t>生态环境影响因素分析</w:t>
      </w:r>
    </w:p>
    <w:p w14:paraId="75BB7B48">
      <w:pPr>
        <w:ind w:firstLine="480"/>
        <w:rPr>
          <w:color w:val="000000" w:themeColor="text1"/>
          <w14:textFill>
            <w14:solidFill>
              <w14:schemeClr w14:val="tx1"/>
            </w14:solidFill>
          </w14:textFill>
        </w:rPr>
      </w:pPr>
      <w:r>
        <w:rPr>
          <w:color w:val="000000" w:themeColor="text1"/>
          <w14:textFill>
            <w14:solidFill>
              <w14:schemeClr w14:val="tx1"/>
            </w14:solidFill>
          </w14:textFill>
        </w:rPr>
        <w:t>项目不涉及水中施工，营运期生态环境影响主要来自风险事故发生对生态环境影响。其影响分析见“章节</w:t>
      </w:r>
      <w:r>
        <w:rPr>
          <w:rFonts w:hint="eastAsia"/>
          <w:color w:val="000000" w:themeColor="text1"/>
          <w14:textFill>
            <w14:solidFill>
              <w14:schemeClr w14:val="tx1"/>
            </w14:solidFill>
          </w14:textFill>
        </w:rPr>
        <w:t>5环境风险分析</w:t>
      </w:r>
      <w:r>
        <w:rPr>
          <w:color w:val="000000" w:themeColor="text1"/>
          <w14:textFill>
            <w14:solidFill>
              <w14:schemeClr w14:val="tx1"/>
            </w14:solidFill>
          </w14:textFill>
        </w:rPr>
        <w:t>”</w:t>
      </w:r>
    </w:p>
    <w:p w14:paraId="49755506">
      <w:pPr>
        <w:pStyle w:val="4"/>
        <w:rPr>
          <w:color w:val="000000" w:themeColor="text1"/>
          <w14:textFill>
            <w14:solidFill>
              <w14:schemeClr w14:val="tx1"/>
            </w14:solidFill>
          </w14:textFill>
        </w:rPr>
      </w:pPr>
      <w:bookmarkStart w:id="489" w:name="_Toc135090212"/>
      <w:bookmarkStart w:id="490" w:name="_Toc216103366"/>
      <w:bookmarkStart w:id="491" w:name="_Toc216620525"/>
      <w:bookmarkStart w:id="492" w:name="_Toc29131807"/>
      <w:bookmarkStart w:id="493" w:name="_Toc136878461"/>
      <w:bookmarkStart w:id="494" w:name="_Toc25436947"/>
      <w:bookmarkStart w:id="495" w:name="_Toc26909993"/>
      <w:r>
        <w:rPr>
          <w:color w:val="000000" w:themeColor="text1"/>
          <w14:textFill>
            <w14:solidFill>
              <w14:schemeClr w14:val="tx1"/>
            </w14:solidFill>
          </w14:textFill>
        </w:rPr>
        <w:t>环境风险事故</w:t>
      </w:r>
      <w:bookmarkEnd w:id="489"/>
      <w:bookmarkEnd w:id="490"/>
      <w:bookmarkEnd w:id="491"/>
      <w:bookmarkEnd w:id="492"/>
      <w:bookmarkEnd w:id="493"/>
      <w:bookmarkEnd w:id="494"/>
      <w:bookmarkEnd w:id="495"/>
    </w:p>
    <w:p w14:paraId="278A080A">
      <w:pPr>
        <w:ind w:firstLine="480"/>
        <w:rPr>
          <w:color w:val="000000" w:themeColor="text1"/>
          <w14:textFill>
            <w14:solidFill>
              <w14:schemeClr w14:val="tx1"/>
            </w14:solidFill>
          </w14:textFill>
        </w:rPr>
      </w:pPr>
      <w:r>
        <w:rPr>
          <w:color w:val="000000" w:themeColor="text1"/>
          <w14:textFill>
            <w14:solidFill>
              <w14:schemeClr w14:val="tx1"/>
            </w14:solidFill>
          </w14:textFill>
        </w:rPr>
        <w:t>本工程运营期环境风险主要是进出港船舶交通事故造成的水上溢油风险事故以及因管道及阀门泄漏等造成的装卸船作业液化品泄漏事故。污染源强由事故大小决定。</w:t>
      </w:r>
    </w:p>
    <w:p w14:paraId="3BACD2BF">
      <w:pPr>
        <w:pStyle w:val="4"/>
        <w:rPr>
          <w:color w:val="000000" w:themeColor="text1"/>
          <w14:textFill>
            <w14:solidFill>
              <w14:schemeClr w14:val="tx1"/>
            </w14:solidFill>
          </w14:textFill>
        </w:rPr>
      </w:pPr>
      <w:r>
        <w:rPr>
          <w:rFonts w:hint="eastAsia"/>
          <w:color w:val="000000" w:themeColor="text1"/>
          <w14:textFill>
            <w14:solidFill>
              <w14:schemeClr w14:val="tx1"/>
            </w14:solidFill>
          </w14:textFill>
        </w:rPr>
        <w:t>总体工程“三本账”</w:t>
      </w:r>
    </w:p>
    <w:p w14:paraId="4EB5488B">
      <w:pP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现有项目排放量引用《钦州港金谷港区金鼓江作业区 14 号、15号泊位工程（重大变动）环境影响报告书》（2023.8）章节2.3.3计算结果。</w:t>
      </w:r>
    </w:p>
    <w:p w14:paraId="5037A22C">
      <w:pPr>
        <w:pStyle w:val="7"/>
        <w:tabs>
          <w:tab w:val="left" w:pos="2127"/>
          <w:tab w:val="left" w:pos="2411"/>
        </w:tabs>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项目总体工程三本账</w:t>
      </w:r>
    </w:p>
    <w:tbl>
      <w:tblPr>
        <w:tblStyle w:val="43"/>
        <w:tblW w:w="4864"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1" w:type="dxa"/>
          <w:bottom w:w="0" w:type="dxa"/>
          <w:right w:w="11" w:type="dxa"/>
        </w:tblCellMar>
      </w:tblPr>
      <w:tblGrid>
        <w:gridCol w:w="641"/>
        <w:gridCol w:w="1215"/>
        <w:gridCol w:w="946"/>
        <w:gridCol w:w="1208"/>
        <w:gridCol w:w="1281"/>
        <w:gridCol w:w="1019"/>
        <w:gridCol w:w="1212"/>
        <w:gridCol w:w="1332"/>
      </w:tblGrid>
      <w:tr w14:paraId="407CAAF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1" w:type="dxa"/>
            <w:bottom w:w="0" w:type="dxa"/>
            <w:right w:w="11" w:type="dxa"/>
          </w:tblCellMar>
        </w:tblPrEx>
        <w:trPr>
          <w:tblHeader/>
        </w:trPr>
        <w:tc>
          <w:tcPr>
            <w:tcW w:w="362" w:type="pct"/>
            <w:vAlign w:val="center"/>
          </w:tcPr>
          <w:p w14:paraId="5E23E4F8">
            <w:pPr>
              <w:adjustRightInd w:val="0"/>
              <w:snapToGrid w:val="0"/>
              <w:spacing w:line="240" w:lineRule="auto"/>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类别</w:t>
            </w:r>
          </w:p>
        </w:tc>
        <w:tc>
          <w:tcPr>
            <w:tcW w:w="686" w:type="pct"/>
            <w:vAlign w:val="center"/>
          </w:tcPr>
          <w:p w14:paraId="2E0267EA">
            <w:pPr>
              <w:adjustRightInd w:val="0"/>
              <w:snapToGrid w:val="0"/>
              <w:spacing w:line="240" w:lineRule="auto"/>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污染源</w:t>
            </w:r>
          </w:p>
        </w:tc>
        <w:tc>
          <w:tcPr>
            <w:tcW w:w="534" w:type="pct"/>
            <w:vAlign w:val="center"/>
          </w:tcPr>
          <w:p w14:paraId="7EBBD54C">
            <w:pPr>
              <w:adjustRightInd w:val="0"/>
              <w:snapToGrid w:val="0"/>
              <w:spacing w:line="240" w:lineRule="auto"/>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污染物</w:t>
            </w:r>
          </w:p>
        </w:tc>
        <w:tc>
          <w:tcPr>
            <w:tcW w:w="682" w:type="pct"/>
            <w:vAlign w:val="center"/>
          </w:tcPr>
          <w:p w14:paraId="0376D83B">
            <w:pPr>
              <w:adjustRightInd w:val="0"/>
              <w:snapToGrid w:val="0"/>
              <w:spacing w:line="240" w:lineRule="auto"/>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现有项目排放量t/a</w:t>
            </w:r>
          </w:p>
        </w:tc>
        <w:tc>
          <w:tcPr>
            <w:tcW w:w="723" w:type="pct"/>
            <w:vAlign w:val="center"/>
          </w:tcPr>
          <w:p w14:paraId="5BE8F84E">
            <w:pPr>
              <w:adjustRightInd w:val="0"/>
              <w:snapToGrid w:val="0"/>
              <w:spacing w:line="240" w:lineRule="auto"/>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以新带老削减量t/a</w:t>
            </w:r>
          </w:p>
        </w:tc>
        <w:tc>
          <w:tcPr>
            <w:tcW w:w="575" w:type="pct"/>
            <w:vAlign w:val="center"/>
          </w:tcPr>
          <w:p w14:paraId="35F4753F">
            <w:pPr>
              <w:adjustRightInd w:val="0"/>
              <w:snapToGrid w:val="0"/>
              <w:spacing w:line="240" w:lineRule="auto"/>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扩建工程排放量t/a</w:t>
            </w:r>
          </w:p>
        </w:tc>
        <w:tc>
          <w:tcPr>
            <w:tcW w:w="684" w:type="pct"/>
            <w:vAlign w:val="center"/>
          </w:tcPr>
          <w:p w14:paraId="4B3DDA79">
            <w:pPr>
              <w:adjustRightInd w:val="0"/>
              <w:snapToGrid w:val="0"/>
              <w:spacing w:line="240" w:lineRule="auto"/>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总体工程排放量t/a</w:t>
            </w:r>
          </w:p>
        </w:tc>
        <w:tc>
          <w:tcPr>
            <w:tcW w:w="752" w:type="pct"/>
            <w:vAlign w:val="center"/>
          </w:tcPr>
          <w:p w14:paraId="21188D6D">
            <w:pPr>
              <w:adjustRightInd w:val="0"/>
              <w:snapToGrid w:val="0"/>
              <w:spacing w:line="240" w:lineRule="auto"/>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排放增减量t/a</w:t>
            </w:r>
          </w:p>
        </w:tc>
      </w:tr>
      <w:tr w14:paraId="5741BC3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1" w:type="dxa"/>
            <w:bottom w:w="0" w:type="dxa"/>
            <w:right w:w="11" w:type="dxa"/>
          </w:tblCellMar>
        </w:tblPrEx>
        <w:tc>
          <w:tcPr>
            <w:tcW w:w="362" w:type="pct"/>
            <w:vMerge w:val="restart"/>
            <w:vAlign w:val="center"/>
          </w:tcPr>
          <w:p w14:paraId="0E516FCA">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废气</w:t>
            </w:r>
          </w:p>
        </w:tc>
        <w:tc>
          <w:tcPr>
            <w:tcW w:w="686" w:type="pct"/>
            <w:vMerge w:val="restart"/>
            <w:vAlign w:val="center"/>
          </w:tcPr>
          <w:p w14:paraId="49FA1D1C">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有组织废气</w:t>
            </w:r>
          </w:p>
        </w:tc>
        <w:tc>
          <w:tcPr>
            <w:tcW w:w="534" w:type="pct"/>
            <w:vAlign w:val="center"/>
          </w:tcPr>
          <w:p w14:paraId="785CCC34">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苯</w:t>
            </w:r>
          </w:p>
        </w:tc>
        <w:tc>
          <w:tcPr>
            <w:tcW w:w="682" w:type="pct"/>
          </w:tcPr>
          <w:p w14:paraId="7A48DFD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0.0448</w:t>
            </w:r>
          </w:p>
        </w:tc>
        <w:tc>
          <w:tcPr>
            <w:tcW w:w="723" w:type="pct"/>
            <w:vAlign w:val="center"/>
          </w:tcPr>
          <w:p w14:paraId="7C4AC74A">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75" w:type="pct"/>
            <w:vAlign w:val="center"/>
          </w:tcPr>
          <w:p w14:paraId="793AA1C3">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84" w:type="pct"/>
            <w:shd w:val="clear" w:color="auto" w:fill="auto"/>
          </w:tcPr>
          <w:p w14:paraId="31CB955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0.0448</w:t>
            </w:r>
          </w:p>
        </w:tc>
        <w:tc>
          <w:tcPr>
            <w:tcW w:w="752" w:type="pct"/>
            <w:vAlign w:val="center"/>
          </w:tcPr>
          <w:p w14:paraId="4396A44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r>
      <w:tr w14:paraId="152E43A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1" w:type="dxa"/>
            <w:bottom w:w="0" w:type="dxa"/>
            <w:right w:w="11" w:type="dxa"/>
          </w:tblCellMar>
        </w:tblPrEx>
        <w:tc>
          <w:tcPr>
            <w:tcW w:w="362" w:type="pct"/>
            <w:vMerge w:val="continue"/>
            <w:vAlign w:val="center"/>
          </w:tcPr>
          <w:p w14:paraId="6F1DAA6F">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686" w:type="pct"/>
            <w:vMerge w:val="continue"/>
            <w:vAlign w:val="center"/>
          </w:tcPr>
          <w:p w14:paraId="46F10A7C">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534" w:type="pct"/>
            <w:vAlign w:val="center"/>
          </w:tcPr>
          <w:p w14:paraId="46B7178D">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甲苯</w:t>
            </w:r>
          </w:p>
        </w:tc>
        <w:tc>
          <w:tcPr>
            <w:tcW w:w="682" w:type="pct"/>
          </w:tcPr>
          <w:p w14:paraId="5CE2DC40">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0.0061</w:t>
            </w:r>
          </w:p>
        </w:tc>
        <w:tc>
          <w:tcPr>
            <w:tcW w:w="723" w:type="pct"/>
            <w:vAlign w:val="center"/>
          </w:tcPr>
          <w:p w14:paraId="4FD90382">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75" w:type="pct"/>
            <w:vAlign w:val="center"/>
          </w:tcPr>
          <w:p w14:paraId="18BB0230">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84" w:type="pct"/>
            <w:shd w:val="clear" w:color="auto" w:fill="auto"/>
          </w:tcPr>
          <w:p w14:paraId="08EDBC6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0.0061</w:t>
            </w:r>
          </w:p>
        </w:tc>
        <w:tc>
          <w:tcPr>
            <w:tcW w:w="752" w:type="pct"/>
            <w:vAlign w:val="center"/>
          </w:tcPr>
          <w:p w14:paraId="14F5BA57">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r>
      <w:tr w14:paraId="7AC7247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1" w:type="dxa"/>
            <w:bottom w:w="0" w:type="dxa"/>
            <w:right w:w="11" w:type="dxa"/>
          </w:tblCellMar>
        </w:tblPrEx>
        <w:tc>
          <w:tcPr>
            <w:tcW w:w="362" w:type="pct"/>
            <w:vMerge w:val="continue"/>
            <w:vAlign w:val="center"/>
          </w:tcPr>
          <w:p w14:paraId="1959139B">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686" w:type="pct"/>
            <w:vMerge w:val="continue"/>
            <w:vAlign w:val="center"/>
          </w:tcPr>
          <w:p w14:paraId="0379B164">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534" w:type="pct"/>
            <w:vAlign w:val="center"/>
          </w:tcPr>
          <w:p w14:paraId="788FBE49">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二甲苯</w:t>
            </w:r>
          </w:p>
        </w:tc>
        <w:tc>
          <w:tcPr>
            <w:tcW w:w="682" w:type="pct"/>
          </w:tcPr>
          <w:p w14:paraId="44CFA1CD">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0.0132</w:t>
            </w:r>
          </w:p>
        </w:tc>
        <w:tc>
          <w:tcPr>
            <w:tcW w:w="723" w:type="pct"/>
            <w:vAlign w:val="center"/>
          </w:tcPr>
          <w:p w14:paraId="137E012C">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75" w:type="pct"/>
            <w:vAlign w:val="center"/>
          </w:tcPr>
          <w:p w14:paraId="6215B899">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84" w:type="pct"/>
            <w:shd w:val="clear" w:color="auto" w:fill="auto"/>
          </w:tcPr>
          <w:p w14:paraId="1B025049">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0.0132</w:t>
            </w:r>
          </w:p>
        </w:tc>
        <w:tc>
          <w:tcPr>
            <w:tcW w:w="752" w:type="pct"/>
            <w:vAlign w:val="center"/>
          </w:tcPr>
          <w:p w14:paraId="73B32569">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r>
      <w:tr w14:paraId="22110E5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1" w:type="dxa"/>
            <w:bottom w:w="0" w:type="dxa"/>
            <w:right w:w="11" w:type="dxa"/>
          </w:tblCellMar>
        </w:tblPrEx>
        <w:tc>
          <w:tcPr>
            <w:tcW w:w="362" w:type="pct"/>
            <w:vMerge w:val="continue"/>
            <w:vAlign w:val="center"/>
          </w:tcPr>
          <w:p w14:paraId="55F0E33C">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686" w:type="pct"/>
            <w:vMerge w:val="continue"/>
            <w:vAlign w:val="center"/>
          </w:tcPr>
          <w:p w14:paraId="75EAF889">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534" w:type="pct"/>
            <w:vAlign w:val="center"/>
          </w:tcPr>
          <w:p w14:paraId="57FFA547">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甲醇</w:t>
            </w:r>
          </w:p>
        </w:tc>
        <w:tc>
          <w:tcPr>
            <w:tcW w:w="682" w:type="pct"/>
          </w:tcPr>
          <w:p w14:paraId="73AECE28">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0.0131</w:t>
            </w:r>
          </w:p>
        </w:tc>
        <w:tc>
          <w:tcPr>
            <w:tcW w:w="723" w:type="pct"/>
            <w:vAlign w:val="center"/>
          </w:tcPr>
          <w:p w14:paraId="38F055EF">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75" w:type="pct"/>
            <w:vAlign w:val="center"/>
          </w:tcPr>
          <w:p w14:paraId="79589230">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84" w:type="pct"/>
            <w:shd w:val="clear" w:color="auto" w:fill="auto"/>
          </w:tcPr>
          <w:p w14:paraId="1B3B2C7E">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0.0131</w:t>
            </w:r>
          </w:p>
        </w:tc>
        <w:tc>
          <w:tcPr>
            <w:tcW w:w="752" w:type="pct"/>
            <w:vAlign w:val="center"/>
          </w:tcPr>
          <w:p w14:paraId="1D34C123">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r>
      <w:tr w14:paraId="7960D6D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1" w:type="dxa"/>
            <w:bottom w:w="0" w:type="dxa"/>
            <w:right w:w="11" w:type="dxa"/>
          </w:tblCellMar>
        </w:tblPrEx>
        <w:tc>
          <w:tcPr>
            <w:tcW w:w="362" w:type="pct"/>
            <w:vMerge w:val="continue"/>
            <w:vAlign w:val="center"/>
          </w:tcPr>
          <w:p w14:paraId="23D51A62">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686" w:type="pct"/>
            <w:vMerge w:val="continue"/>
            <w:vAlign w:val="center"/>
          </w:tcPr>
          <w:p w14:paraId="4A7969F2">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534" w:type="pct"/>
            <w:vAlign w:val="center"/>
          </w:tcPr>
          <w:p w14:paraId="0B93911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VOCs</w:t>
            </w:r>
          </w:p>
        </w:tc>
        <w:tc>
          <w:tcPr>
            <w:tcW w:w="682" w:type="pct"/>
          </w:tcPr>
          <w:p w14:paraId="22D7F788">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0.1087</w:t>
            </w:r>
          </w:p>
        </w:tc>
        <w:tc>
          <w:tcPr>
            <w:tcW w:w="723" w:type="pct"/>
            <w:vAlign w:val="center"/>
          </w:tcPr>
          <w:p w14:paraId="7A0AC707">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75" w:type="pct"/>
            <w:vAlign w:val="center"/>
          </w:tcPr>
          <w:p w14:paraId="54EAE79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84" w:type="pct"/>
            <w:shd w:val="clear" w:color="auto" w:fill="auto"/>
          </w:tcPr>
          <w:p w14:paraId="40828779">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0.1087</w:t>
            </w:r>
          </w:p>
        </w:tc>
        <w:tc>
          <w:tcPr>
            <w:tcW w:w="752" w:type="pct"/>
            <w:vAlign w:val="center"/>
          </w:tcPr>
          <w:p w14:paraId="0D97FF72">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r>
      <w:tr w14:paraId="2995E6D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1" w:type="dxa"/>
            <w:bottom w:w="0" w:type="dxa"/>
            <w:right w:w="11" w:type="dxa"/>
          </w:tblCellMar>
        </w:tblPrEx>
        <w:tc>
          <w:tcPr>
            <w:tcW w:w="362" w:type="pct"/>
            <w:vMerge w:val="continue"/>
            <w:vAlign w:val="center"/>
          </w:tcPr>
          <w:p w14:paraId="37482FE1">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686" w:type="pct"/>
            <w:vMerge w:val="restart"/>
            <w:vAlign w:val="center"/>
          </w:tcPr>
          <w:p w14:paraId="43883E68">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无组织废气</w:t>
            </w:r>
          </w:p>
        </w:tc>
        <w:tc>
          <w:tcPr>
            <w:tcW w:w="534" w:type="pct"/>
            <w:vAlign w:val="center"/>
          </w:tcPr>
          <w:p w14:paraId="034B4B2E">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苯</w:t>
            </w:r>
          </w:p>
        </w:tc>
        <w:tc>
          <w:tcPr>
            <w:tcW w:w="682" w:type="pct"/>
          </w:tcPr>
          <w:p w14:paraId="44A857A8">
            <w:pPr>
              <w:adjustRightInd w:val="0"/>
              <w:snapToGrid w:val="0"/>
              <w:spacing w:line="240" w:lineRule="auto"/>
              <w:ind w:firstLine="0" w:firstLineChars="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14:textFill>
                  <w14:solidFill>
                    <w14:schemeClr w14:val="tx1"/>
                  </w14:solidFill>
                </w14:textFill>
              </w:rPr>
              <w:t>0.49</w:t>
            </w:r>
            <w:r>
              <w:rPr>
                <w:rFonts w:hint="eastAsia"/>
                <w:color w:val="000000" w:themeColor="text1"/>
                <w:sz w:val="21"/>
                <w:szCs w:val="21"/>
                <w:lang w:val="en-US" w:eastAsia="zh-CN"/>
                <w14:textFill>
                  <w14:solidFill>
                    <w14:schemeClr w14:val="tx1"/>
                  </w14:solidFill>
                </w14:textFill>
              </w:rPr>
              <w:t>40</w:t>
            </w:r>
          </w:p>
        </w:tc>
        <w:tc>
          <w:tcPr>
            <w:tcW w:w="723" w:type="pct"/>
            <w:vAlign w:val="center"/>
          </w:tcPr>
          <w:p w14:paraId="21496EAE">
            <w:pPr>
              <w:adjustRightInd w:val="0"/>
              <w:snapToGrid w:val="0"/>
              <w:spacing w:line="240" w:lineRule="auto"/>
              <w:ind w:firstLine="0" w:firstLineChars="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0.0823</w:t>
            </w:r>
          </w:p>
        </w:tc>
        <w:tc>
          <w:tcPr>
            <w:tcW w:w="575" w:type="pct"/>
            <w:vAlign w:val="center"/>
          </w:tcPr>
          <w:p w14:paraId="4AEC0BA4">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84" w:type="pct"/>
          </w:tcPr>
          <w:p w14:paraId="40C201E8">
            <w:pPr>
              <w:adjustRightInd w:val="0"/>
              <w:snapToGrid w:val="0"/>
              <w:spacing w:line="240" w:lineRule="auto"/>
              <w:ind w:firstLine="0" w:firstLineChars="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14:textFill>
                  <w14:solidFill>
                    <w14:schemeClr w14:val="tx1"/>
                  </w14:solidFill>
                </w14:textFill>
              </w:rPr>
              <w:t>0.</w:t>
            </w:r>
            <w:r>
              <w:rPr>
                <w:rFonts w:hint="eastAsia"/>
                <w:color w:val="000000" w:themeColor="text1"/>
                <w:sz w:val="21"/>
                <w:szCs w:val="21"/>
                <w:lang w:val="en-US" w:eastAsia="zh-CN"/>
                <w14:textFill>
                  <w14:solidFill>
                    <w14:schemeClr w14:val="tx1"/>
                  </w14:solidFill>
                </w14:textFill>
              </w:rPr>
              <w:t>4117</w:t>
            </w:r>
          </w:p>
        </w:tc>
        <w:tc>
          <w:tcPr>
            <w:tcW w:w="752" w:type="pct"/>
            <w:vAlign w:val="center"/>
          </w:tcPr>
          <w:p w14:paraId="4DFF70C2">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-0.0823</w:t>
            </w:r>
          </w:p>
        </w:tc>
      </w:tr>
      <w:tr w14:paraId="416C2BB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1" w:type="dxa"/>
            <w:bottom w:w="0" w:type="dxa"/>
            <w:right w:w="11" w:type="dxa"/>
          </w:tblCellMar>
        </w:tblPrEx>
        <w:tc>
          <w:tcPr>
            <w:tcW w:w="362" w:type="pct"/>
            <w:vMerge w:val="continue"/>
            <w:vAlign w:val="center"/>
          </w:tcPr>
          <w:p w14:paraId="2FC0CF46">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686" w:type="pct"/>
            <w:vMerge w:val="continue"/>
            <w:vAlign w:val="center"/>
          </w:tcPr>
          <w:p w14:paraId="55A74CA5">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534" w:type="pct"/>
            <w:vAlign w:val="center"/>
          </w:tcPr>
          <w:p w14:paraId="2E8BDAF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甲苯</w:t>
            </w:r>
          </w:p>
        </w:tc>
        <w:tc>
          <w:tcPr>
            <w:tcW w:w="682" w:type="pct"/>
          </w:tcPr>
          <w:p w14:paraId="4EFD7DCA">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0.4335</w:t>
            </w:r>
          </w:p>
        </w:tc>
        <w:tc>
          <w:tcPr>
            <w:tcW w:w="723" w:type="pct"/>
            <w:vAlign w:val="center"/>
          </w:tcPr>
          <w:p w14:paraId="68BED9B3">
            <w:pPr>
              <w:adjustRightInd w:val="0"/>
              <w:snapToGrid w:val="0"/>
              <w:spacing w:line="240" w:lineRule="auto"/>
              <w:ind w:firstLine="0" w:firstLineChars="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0.2167</w:t>
            </w:r>
          </w:p>
        </w:tc>
        <w:tc>
          <w:tcPr>
            <w:tcW w:w="575" w:type="pct"/>
            <w:vAlign w:val="center"/>
          </w:tcPr>
          <w:p w14:paraId="249756A2">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84" w:type="pct"/>
          </w:tcPr>
          <w:p w14:paraId="1E74888A">
            <w:pPr>
              <w:adjustRightInd w:val="0"/>
              <w:snapToGrid w:val="0"/>
              <w:spacing w:line="240" w:lineRule="auto"/>
              <w:ind w:firstLine="0" w:firstLineChars="0"/>
              <w:jc w:val="center"/>
              <w:rPr>
                <w:rFonts w:hint="eastAsia" w:eastAsia="宋体"/>
                <w:color w:val="000000" w:themeColor="text1"/>
                <w:sz w:val="21"/>
                <w:szCs w:val="21"/>
                <w:lang w:val="en-US" w:eastAsia="zh-CN"/>
                <w14:textFill>
                  <w14:solidFill>
                    <w14:schemeClr w14:val="tx1"/>
                  </w14:solidFill>
                </w14:textFill>
              </w:rPr>
            </w:pPr>
            <w:r>
              <w:rPr>
                <w:rFonts w:hint="eastAsia"/>
                <w:color w:val="000000" w:themeColor="text1"/>
                <w:sz w:val="21"/>
                <w:szCs w:val="21"/>
                <w14:textFill>
                  <w14:solidFill>
                    <w14:schemeClr w14:val="tx1"/>
                  </w14:solidFill>
                </w14:textFill>
              </w:rPr>
              <w:t>0.216</w:t>
            </w:r>
            <w:r>
              <w:rPr>
                <w:rFonts w:hint="eastAsia"/>
                <w:color w:val="000000" w:themeColor="text1"/>
                <w:sz w:val="21"/>
                <w:szCs w:val="21"/>
                <w:lang w:val="en-US" w:eastAsia="zh-CN"/>
                <w14:textFill>
                  <w14:solidFill>
                    <w14:schemeClr w14:val="tx1"/>
                  </w14:solidFill>
                </w14:textFill>
              </w:rPr>
              <w:t>8</w:t>
            </w:r>
          </w:p>
        </w:tc>
        <w:tc>
          <w:tcPr>
            <w:tcW w:w="752" w:type="pct"/>
            <w:vAlign w:val="center"/>
          </w:tcPr>
          <w:p w14:paraId="69FED2D4">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w:t>
            </w:r>
            <w:r>
              <w:rPr>
                <w:rFonts w:hint="eastAsia"/>
                <w:color w:val="000000" w:themeColor="text1"/>
                <w:sz w:val="21"/>
                <w:szCs w:val="21"/>
                <w14:textFill>
                  <w14:solidFill>
                    <w14:schemeClr w14:val="tx1"/>
                  </w14:solidFill>
                </w14:textFill>
              </w:rPr>
              <w:t>0.2167</w:t>
            </w:r>
          </w:p>
        </w:tc>
      </w:tr>
      <w:tr w14:paraId="004D39F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1" w:type="dxa"/>
            <w:bottom w:w="0" w:type="dxa"/>
            <w:right w:w="11" w:type="dxa"/>
          </w:tblCellMar>
        </w:tblPrEx>
        <w:tc>
          <w:tcPr>
            <w:tcW w:w="362" w:type="pct"/>
            <w:vMerge w:val="continue"/>
            <w:vAlign w:val="center"/>
          </w:tcPr>
          <w:p w14:paraId="4D8BBE31">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686" w:type="pct"/>
            <w:vMerge w:val="continue"/>
            <w:vAlign w:val="center"/>
          </w:tcPr>
          <w:p w14:paraId="622A9546">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534" w:type="pct"/>
            <w:vAlign w:val="center"/>
          </w:tcPr>
          <w:p w14:paraId="2AF99099">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二甲苯</w:t>
            </w:r>
          </w:p>
        </w:tc>
        <w:tc>
          <w:tcPr>
            <w:tcW w:w="682" w:type="pct"/>
          </w:tcPr>
          <w:p w14:paraId="46E9AFB9">
            <w:pPr>
              <w:adjustRightInd w:val="0"/>
              <w:snapToGrid w:val="0"/>
              <w:spacing w:line="240" w:lineRule="auto"/>
              <w:ind w:firstLine="0" w:firstLineChars="0"/>
              <w:jc w:val="center"/>
              <w:rPr>
                <w:rFonts w:hint="eastAsia" w:eastAsia="宋体"/>
                <w:color w:val="000000" w:themeColor="text1"/>
                <w:sz w:val="21"/>
                <w:szCs w:val="21"/>
                <w:lang w:eastAsia="zh-CN"/>
                <w14:textFill>
                  <w14:solidFill>
                    <w14:schemeClr w14:val="tx1"/>
                  </w14:solidFill>
                </w14:textFill>
              </w:rPr>
            </w:pPr>
            <w:r>
              <w:rPr>
                <w:rFonts w:hint="eastAsia"/>
                <w:color w:val="000000" w:themeColor="text1"/>
                <w:sz w:val="21"/>
                <w:szCs w:val="21"/>
                <w14:textFill>
                  <w14:solidFill>
                    <w14:schemeClr w14:val="tx1"/>
                  </w14:solidFill>
                </w14:textFill>
              </w:rPr>
              <w:t>0.878</w:t>
            </w:r>
            <w:r>
              <w:rPr>
                <w:rFonts w:hint="eastAsia"/>
                <w:color w:val="000000" w:themeColor="text1"/>
                <w:sz w:val="21"/>
                <w:szCs w:val="21"/>
                <w:lang w:val="en-US" w:eastAsia="zh-CN"/>
                <w14:textFill>
                  <w14:solidFill>
                    <w14:schemeClr w14:val="tx1"/>
                  </w14:solidFill>
                </w14:textFill>
              </w:rPr>
              <w:t>6</w:t>
            </w:r>
          </w:p>
        </w:tc>
        <w:tc>
          <w:tcPr>
            <w:tcW w:w="723" w:type="pct"/>
            <w:vAlign w:val="center"/>
          </w:tcPr>
          <w:p w14:paraId="15465C0B">
            <w:pPr>
              <w:adjustRightInd w:val="0"/>
              <w:snapToGrid w:val="0"/>
              <w:spacing w:line="240" w:lineRule="auto"/>
              <w:ind w:firstLine="0" w:firstLineChars="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0.5857</w:t>
            </w:r>
          </w:p>
        </w:tc>
        <w:tc>
          <w:tcPr>
            <w:tcW w:w="575" w:type="pct"/>
            <w:vAlign w:val="center"/>
          </w:tcPr>
          <w:p w14:paraId="1B6E8C1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84" w:type="pct"/>
          </w:tcPr>
          <w:p w14:paraId="302C1D6A">
            <w:pPr>
              <w:adjustRightInd w:val="0"/>
              <w:snapToGrid w:val="0"/>
              <w:spacing w:line="240" w:lineRule="auto"/>
              <w:ind w:firstLine="0" w:firstLineChars="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0.2929</w:t>
            </w:r>
          </w:p>
        </w:tc>
        <w:tc>
          <w:tcPr>
            <w:tcW w:w="752" w:type="pct"/>
            <w:vAlign w:val="center"/>
          </w:tcPr>
          <w:p w14:paraId="027951AC">
            <w:pPr>
              <w:adjustRightInd w:val="0"/>
              <w:snapToGrid w:val="0"/>
              <w:spacing w:line="240" w:lineRule="auto"/>
              <w:ind w:firstLine="0" w:firstLineChars="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-0.5857</w:t>
            </w:r>
          </w:p>
        </w:tc>
      </w:tr>
      <w:tr w14:paraId="7FD2536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1" w:type="dxa"/>
            <w:bottom w:w="0" w:type="dxa"/>
            <w:right w:w="11" w:type="dxa"/>
          </w:tblCellMar>
        </w:tblPrEx>
        <w:tc>
          <w:tcPr>
            <w:tcW w:w="362" w:type="pct"/>
            <w:vMerge w:val="continue"/>
            <w:vAlign w:val="center"/>
          </w:tcPr>
          <w:p w14:paraId="460672C0">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686" w:type="pct"/>
            <w:vMerge w:val="continue"/>
            <w:vAlign w:val="center"/>
          </w:tcPr>
          <w:p w14:paraId="3E042195">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534" w:type="pct"/>
            <w:vAlign w:val="center"/>
          </w:tcPr>
          <w:p w14:paraId="44EBFAB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甲醇</w:t>
            </w:r>
          </w:p>
        </w:tc>
        <w:tc>
          <w:tcPr>
            <w:tcW w:w="682" w:type="pct"/>
          </w:tcPr>
          <w:p w14:paraId="00CCFE1E">
            <w:pPr>
              <w:adjustRightInd w:val="0"/>
              <w:snapToGrid w:val="0"/>
              <w:spacing w:line="240" w:lineRule="auto"/>
              <w:ind w:firstLine="0" w:firstLineChars="0"/>
              <w:jc w:val="center"/>
              <w:rPr>
                <w:rFonts w:hint="eastAsia" w:eastAsia="宋体"/>
                <w:color w:val="000000" w:themeColor="text1"/>
                <w:sz w:val="21"/>
                <w:szCs w:val="21"/>
                <w:lang w:eastAsia="zh-CN"/>
                <w14:textFill>
                  <w14:solidFill>
                    <w14:schemeClr w14:val="tx1"/>
                  </w14:solidFill>
                </w14:textFill>
              </w:rPr>
            </w:pPr>
            <w:r>
              <w:rPr>
                <w:rFonts w:hint="eastAsia"/>
                <w:color w:val="000000" w:themeColor="text1"/>
                <w:sz w:val="21"/>
                <w:szCs w:val="21"/>
                <w14:textFill>
                  <w14:solidFill>
                    <w14:schemeClr w14:val="tx1"/>
                  </w14:solidFill>
                </w14:textFill>
              </w:rPr>
              <w:t>0.444</w:t>
            </w:r>
            <w:r>
              <w:rPr>
                <w:rFonts w:hint="eastAsia"/>
                <w:color w:val="000000" w:themeColor="text1"/>
                <w:sz w:val="21"/>
                <w:szCs w:val="21"/>
                <w:lang w:val="en-US" w:eastAsia="zh-CN"/>
                <w14:textFill>
                  <w14:solidFill>
                    <w14:schemeClr w14:val="tx1"/>
                  </w14:solidFill>
                </w14:textFill>
              </w:rPr>
              <w:t>6</w:t>
            </w:r>
          </w:p>
        </w:tc>
        <w:tc>
          <w:tcPr>
            <w:tcW w:w="723" w:type="pct"/>
            <w:vAlign w:val="center"/>
          </w:tcPr>
          <w:p w14:paraId="4C100F2A">
            <w:pPr>
              <w:adjustRightInd w:val="0"/>
              <w:snapToGrid w:val="0"/>
              <w:spacing w:line="240" w:lineRule="auto"/>
              <w:ind w:firstLine="0" w:firstLineChars="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0.2964</w:t>
            </w:r>
          </w:p>
        </w:tc>
        <w:tc>
          <w:tcPr>
            <w:tcW w:w="575" w:type="pct"/>
            <w:vAlign w:val="center"/>
          </w:tcPr>
          <w:p w14:paraId="6A84B937">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84" w:type="pct"/>
          </w:tcPr>
          <w:p w14:paraId="316295B7">
            <w:pPr>
              <w:adjustRightInd w:val="0"/>
              <w:snapToGrid w:val="0"/>
              <w:spacing w:line="240" w:lineRule="auto"/>
              <w:ind w:firstLine="0" w:firstLineChars="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0.1482</w:t>
            </w:r>
          </w:p>
        </w:tc>
        <w:tc>
          <w:tcPr>
            <w:tcW w:w="752" w:type="pct"/>
            <w:vAlign w:val="center"/>
          </w:tcPr>
          <w:p w14:paraId="3230D928">
            <w:pPr>
              <w:adjustRightInd w:val="0"/>
              <w:snapToGrid w:val="0"/>
              <w:spacing w:line="240" w:lineRule="auto"/>
              <w:ind w:firstLine="0" w:firstLineChars="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-0.2964</w:t>
            </w:r>
          </w:p>
        </w:tc>
      </w:tr>
      <w:tr w14:paraId="337E5E4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1" w:type="dxa"/>
            <w:bottom w:w="0" w:type="dxa"/>
            <w:right w:w="11" w:type="dxa"/>
          </w:tblCellMar>
        </w:tblPrEx>
        <w:tc>
          <w:tcPr>
            <w:tcW w:w="362" w:type="pct"/>
            <w:vMerge w:val="continue"/>
            <w:vAlign w:val="center"/>
          </w:tcPr>
          <w:p w14:paraId="0D1E8643">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686" w:type="pct"/>
            <w:vMerge w:val="continue"/>
            <w:vAlign w:val="center"/>
          </w:tcPr>
          <w:p w14:paraId="7C2B0E55">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534" w:type="pct"/>
            <w:vAlign w:val="center"/>
          </w:tcPr>
          <w:p w14:paraId="146616D8">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氨</w:t>
            </w:r>
          </w:p>
        </w:tc>
        <w:tc>
          <w:tcPr>
            <w:tcW w:w="682" w:type="pct"/>
          </w:tcPr>
          <w:p w14:paraId="52620AE1">
            <w:pPr>
              <w:adjustRightInd w:val="0"/>
              <w:snapToGrid w:val="0"/>
              <w:spacing w:line="240" w:lineRule="auto"/>
              <w:ind w:firstLine="0" w:firstLineChars="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14:textFill>
                  <w14:solidFill>
                    <w14:schemeClr w14:val="tx1"/>
                  </w14:solidFill>
                </w14:textFill>
              </w:rPr>
              <w:t>0.1</w:t>
            </w:r>
            <w:r>
              <w:rPr>
                <w:rFonts w:hint="eastAsia"/>
                <w:color w:val="000000" w:themeColor="text1"/>
                <w:sz w:val="21"/>
                <w:szCs w:val="21"/>
                <w:lang w:val="en-US" w:eastAsia="zh-CN"/>
                <w14:textFill>
                  <w14:solidFill>
                    <w14:schemeClr w14:val="tx1"/>
                  </w14:solidFill>
                </w14:textFill>
              </w:rPr>
              <w:t>200</w:t>
            </w:r>
          </w:p>
        </w:tc>
        <w:tc>
          <w:tcPr>
            <w:tcW w:w="723" w:type="pct"/>
            <w:vAlign w:val="center"/>
          </w:tcPr>
          <w:p w14:paraId="690E6AB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75" w:type="pct"/>
            <w:vAlign w:val="center"/>
          </w:tcPr>
          <w:p w14:paraId="70986A94">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84" w:type="pct"/>
          </w:tcPr>
          <w:p w14:paraId="4C4381FF">
            <w:pPr>
              <w:adjustRightInd w:val="0"/>
              <w:snapToGrid w:val="0"/>
              <w:spacing w:line="240" w:lineRule="auto"/>
              <w:ind w:firstLine="0" w:firstLineChars="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14:textFill>
                  <w14:solidFill>
                    <w14:schemeClr w14:val="tx1"/>
                  </w14:solidFill>
                </w14:textFill>
              </w:rPr>
              <w:t>0.1</w:t>
            </w:r>
            <w:r>
              <w:rPr>
                <w:rFonts w:hint="eastAsia"/>
                <w:color w:val="000000" w:themeColor="text1"/>
                <w:sz w:val="21"/>
                <w:szCs w:val="21"/>
                <w:lang w:val="en-US" w:eastAsia="zh-CN"/>
                <w14:textFill>
                  <w14:solidFill>
                    <w14:schemeClr w14:val="tx1"/>
                  </w14:solidFill>
                </w14:textFill>
              </w:rPr>
              <w:t>200</w:t>
            </w:r>
          </w:p>
        </w:tc>
        <w:tc>
          <w:tcPr>
            <w:tcW w:w="752" w:type="pct"/>
            <w:vAlign w:val="center"/>
          </w:tcPr>
          <w:p w14:paraId="2A18EC5F">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r>
      <w:tr w14:paraId="783B5E8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1" w:type="dxa"/>
            <w:bottom w:w="0" w:type="dxa"/>
            <w:right w:w="11" w:type="dxa"/>
          </w:tblCellMar>
        </w:tblPrEx>
        <w:tc>
          <w:tcPr>
            <w:tcW w:w="362" w:type="pct"/>
            <w:vMerge w:val="continue"/>
            <w:vAlign w:val="center"/>
          </w:tcPr>
          <w:p w14:paraId="67FB49FE">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686" w:type="pct"/>
            <w:vMerge w:val="continue"/>
            <w:vAlign w:val="center"/>
          </w:tcPr>
          <w:p w14:paraId="59351FDF">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534" w:type="pct"/>
            <w:vAlign w:val="center"/>
          </w:tcPr>
          <w:p w14:paraId="2A508A5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苯乙烯</w:t>
            </w:r>
          </w:p>
        </w:tc>
        <w:tc>
          <w:tcPr>
            <w:tcW w:w="682" w:type="pct"/>
            <w:vAlign w:val="center"/>
          </w:tcPr>
          <w:p w14:paraId="447A05F9">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723" w:type="pct"/>
            <w:vAlign w:val="center"/>
          </w:tcPr>
          <w:p w14:paraId="7736A40D">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75" w:type="pct"/>
            <w:vAlign w:val="center"/>
          </w:tcPr>
          <w:p w14:paraId="003A6D28">
            <w:pPr>
              <w:spacing w:line="240" w:lineRule="exact"/>
              <w:ind w:firstLine="0" w:firstLineChars="0"/>
              <w:jc w:val="center"/>
              <w:rPr>
                <w:color w:val="000000" w:themeColor="text1"/>
                <w:sz w:val="21"/>
                <w:szCs w:val="21"/>
                <w14:textFill>
                  <w14:solidFill>
                    <w14:schemeClr w14:val="tx1"/>
                  </w14:solidFill>
                </w14:textFill>
              </w:rPr>
            </w:pPr>
            <w:r>
              <w:rPr>
                <w:rFonts w:hint="eastAsia" w:eastAsia="等线"/>
                <w:color w:val="000000" w:themeColor="text1"/>
                <w:sz w:val="21"/>
                <w:szCs w:val="21"/>
                <w14:textFill>
                  <w14:solidFill>
                    <w14:schemeClr w14:val="tx1"/>
                  </w14:solidFill>
                </w14:textFill>
              </w:rPr>
              <w:t>0.00024</w:t>
            </w:r>
          </w:p>
        </w:tc>
        <w:tc>
          <w:tcPr>
            <w:tcW w:w="684" w:type="pct"/>
            <w:vAlign w:val="center"/>
          </w:tcPr>
          <w:p w14:paraId="6DC01086">
            <w:pPr>
              <w:spacing w:line="240" w:lineRule="exact"/>
              <w:ind w:firstLine="0" w:firstLineChars="0"/>
              <w:jc w:val="center"/>
              <w:rPr>
                <w:rFonts w:eastAsia="等线"/>
                <w:color w:val="000000" w:themeColor="text1"/>
                <w:sz w:val="21"/>
                <w:szCs w:val="21"/>
                <w14:textFill>
                  <w14:solidFill>
                    <w14:schemeClr w14:val="tx1"/>
                  </w14:solidFill>
                </w14:textFill>
              </w:rPr>
            </w:pPr>
            <w:r>
              <w:rPr>
                <w:rFonts w:hint="eastAsia" w:eastAsia="等线"/>
                <w:color w:val="000000" w:themeColor="text1"/>
                <w:sz w:val="21"/>
                <w:szCs w:val="21"/>
                <w14:textFill>
                  <w14:solidFill>
                    <w14:schemeClr w14:val="tx1"/>
                  </w14:solidFill>
                </w14:textFill>
              </w:rPr>
              <w:t>0.00024</w:t>
            </w:r>
          </w:p>
        </w:tc>
        <w:tc>
          <w:tcPr>
            <w:tcW w:w="752" w:type="pct"/>
            <w:vAlign w:val="center"/>
          </w:tcPr>
          <w:p w14:paraId="10ACEE38">
            <w:pPr>
              <w:spacing w:line="240" w:lineRule="exact"/>
              <w:ind w:firstLine="0" w:firstLineChars="0"/>
              <w:jc w:val="center"/>
              <w:rPr>
                <w:rFonts w:eastAsia="等线"/>
                <w:color w:val="000000" w:themeColor="text1"/>
                <w:sz w:val="21"/>
                <w:szCs w:val="21"/>
                <w14:textFill>
                  <w14:solidFill>
                    <w14:schemeClr w14:val="tx1"/>
                  </w14:solidFill>
                </w14:textFill>
              </w:rPr>
            </w:pPr>
            <w:r>
              <w:rPr>
                <w:rFonts w:hint="eastAsia" w:eastAsia="等线"/>
                <w:color w:val="000000" w:themeColor="text1"/>
                <w:sz w:val="21"/>
                <w:szCs w:val="21"/>
                <w14:textFill>
                  <w14:solidFill>
                    <w14:schemeClr w14:val="tx1"/>
                  </w14:solidFill>
                </w14:textFill>
              </w:rPr>
              <w:t>0.00024</w:t>
            </w:r>
          </w:p>
        </w:tc>
      </w:tr>
      <w:tr w14:paraId="053F5B2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1" w:type="dxa"/>
            <w:bottom w:w="0" w:type="dxa"/>
            <w:right w:w="11" w:type="dxa"/>
          </w:tblCellMar>
        </w:tblPrEx>
        <w:tc>
          <w:tcPr>
            <w:tcW w:w="362" w:type="pct"/>
            <w:vMerge w:val="continue"/>
            <w:vAlign w:val="center"/>
          </w:tcPr>
          <w:p w14:paraId="2E1F6F08">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686" w:type="pct"/>
            <w:vMerge w:val="continue"/>
            <w:vAlign w:val="center"/>
          </w:tcPr>
          <w:p w14:paraId="7A0E6038">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534" w:type="pct"/>
            <w:vAlign w:val="center"/>
          </w:tcPr>
          <w:p w14:paraId="49C45A12">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硫酸雾</w:t>
            </w:r>
          </w:p>
        </w:tc>
        <w:tc>
          <w:tcPr>
            <w:tcW w:w="682" w:type="pct"/>
            <w:vAlign w:val="center"/>
          </w:tcPr>
          <w:p w14:paraId="6AA875C8">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723" w:type="pct"/>
            <w:vAlign w:val="center"/>
          </w:tcPr>
          <w:p w14:paraId="701BA119">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75" w:type="pct"/>
            <w:vAlign w:val="center"/>
          </w:tcPr>
          <w:p w14:paraId="2B7B5338">
            <w:pPr>
              <w:pStyle w:val="70"/>
              <w:rPr>
                <w:color w:val="000000" w:themeColor="text1"/>
                <w14:textFill>
                  <w14:solidFill>
                    <w14:schemeClr w14:val="tx1"/>
                  </w14:solidFill>
                </w14:textFill>
              </w:rPr>
            </w:pPr>
            <w:r>
              <w:rPr>
                <w:rFonts w:hint="eastAsia" w:eastAsia="等线"/>
                <w:color w:val="000000" w:themeColor="text1"/>
                <w14:textFill>
                  <w14:solidFill>
                    <w14:schemeClr w14:val="tx1"/>
                  </w14:solidFill>
                </w14:textFill>
              </w:rPr>
              <w:t>0</w:t>
            </w:r>
            <w:r>
              <w:rPr>
                <w:rFonts w:eastAsia="等线"/>
                <w:color w:val="000000" w:themeColor="text1"/>
                <w14:textFill>
                  <w14:solidFill>
                    <w14:schemeClr w14:val="tx1"/>
                  </w14:solidFill>
                </w14:textFill>
              </w:rPr>
              <w:t>.0011</w:t>
            </w:r>
          </w:p>
        </w:tc>
        <w:tc>
          <w:tcPr>
            <w:tcW w:w="684" w:type="pct"/>
            <w:vAlign w:val="center"/>
          </w:tcPr>
          <w:p w14:paraId="5C19A21E">
            <w:pPr>
              <w:pStyle w:val="70"/>
              <w:rPr>
                <w:color w:val="000000" w:themeColor="text1"/>
                <w14:textFill>
                  <w14:solidFill>
                    <w14:schemeClr w14:val="tx1"/>
                  </w14:solidFill>
                </w14:textFill>
              </w:rPr>
            </w:pPr>
            <w:r>
              <w:rPr>
                <w:rFonts w:hint="eastAsia" w:eastAsia="等线"/>
                <w:color w:val="000000" w:themeColor="text1"/>
                <w14:textFill>
                  <w14:solidFill>
                    <w14:schemeClr w14:val="tx1"/>
                  </w14:solidFill>
                </w14:textFill>
              </w:rPr>
              <w:t>0</w:t>
            </w:r>
            <w:r>
              <w:rPr>
                <w:rFonts w:eastAsia="等线"/>
                <w:color w:val="000000" w:themeColor="text1"/>
                <w14:textFill>
                  <w14:solidFill>
                    <w14:schemeClr w14:val="tx1"/>
                  </w14:solidFill>
                </w14:textFill>
              </w:rPr>
              <w:t>.0011</w:t>
            </w:r>
          </w:p>
        </w:tc>
        <w:tc>
          <w:tcPr>
            <w:tcW w:w="752" w:type="pct"/>
            <w:vAlign w:val="center"/>
          </w:tcPr>
          <w:p w14:paraId="139C5C99">
            <w:pPr>
              <w:pStyle w:val="70"/>
              <w:rPr>
                <w:color w:val="000000" w:themeColor="text1"/>
                <w14:textFill>
                  <w14:solidFill>
                    <w14:schemeClr w14:val="tx1"/>
                  </w14:solidFill>
                </w14:textFill>
              </w:rPr>
            </w:pPr>
            <w:r>
              <w:rPr>
                <w:rFonts w:hint="eastAsia" w:eastAsia="等线"/>
                <w:color w:val="000000" w:themeColor="text1"/>
                <w14:textFill>
                  <w14:solidFill>
                    <w14:schemeClr w14:val="tx1"/>
                  </w14:solidFill>
                </w14:textFill>
              </w:rPr>
              <w:t>0</w:t>
            </w:r>
            <w:r>
              <w:rPr>
                <w:rFonts w:eastAsia="等线"/>
                <w:color w:val="000000" w:themeColor="text1"/>
                <w14:textFill>
                  <w14:solidFill>
                    <w14:schemeClr w14:val="tx1"/>
                  </w14:solidFill>
                </w14:textFill>
              </w:rPr>
              <w:t>.0011</w:t>
            </w:r>
          </w:p>
        </w:tc>
      </w:tr>
      <w:tr w14:paraId="49F3CFC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1" w:type="dxa"/>
            <w:bottom w:w="0" w:type="dxa"/>
            <w:right w:w="11" w:type="dxa"/>
          </w:tblCellMar>
        </w:tblPrEx>
        <w:tc>
          <w:tcPr>
            <w:tcW w:w="362" w:type="pct"/>
            <w:vMerge w:val="continue"/>
            <w:vAlign w:val="center"/>
          </w:tcPr>
          <w:p w14:paraId="4B12AAF0">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686" w:type="pct"/>
            <w:vMerge w:val="continue"/>
            <w:vAlign w:val="center"/>
          </w:tcPr>
          <w:p w14:paraId="03040C78">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534" w:type="pct"/>
            <w:vAlign w:val="center"/>
          </w:tcPr>
          <w:p w14:paraId="1486DE67">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VOCs</w:t>
            </w:r>
          </w:p>
        </w:tc>
        <w:tc>
          <w:tcPr>
            <w:tcW w:w="682" w:type="pct"/>
            <w:vAlign w:val="center"/>
          </w:tcPr>
          <w:p w14:paraId="7D68AAAE">
            <w:pPr>
              <w:adjustRightInd w:val="0"/>
              <w:snapToGrid w:val="0"/>
              <w:spacing w:line="240" w:lineRule="auto"/>
              <w:ind w:firstLine="0" w:firstLineChars="0"/>
              <w:jc w:val="center"/>
              <w:rPr>
                <w:rFonts w:hint="default" w:eastAsia="宋体"/>
                <w:color w:val="000000" w:themeColor="text1"/>
                <w:sz w:val="21"/>
                <w:szCs w:val="21"/>
                <w:lang w:val="en-US" w:eastAsia="zh-CN"/>
                <w14:textFill>
                  <w14:solidFill>
                    <w14:schemeClr w14:val="tx1"/>
                  </w14:solidFill>
                </w14:textFill>
              </w:rPr>
            </w:pPr>
            <w:r>
              <w:rPr>
                <w:rFonts w:eastAsia="Times New Roman"/>
                <w:color w:val="000000" w:themeColor="text1"/>
                <w:spacing w:val="-1"/>
                <w:sz w:val="21"/>
                <w:szCs w:val="21"/>
                <w14:textFill>
                  <w14:solidFill>
                    <w14:schemeClr w14:val="tx1"/>
                  </w14:solidFill>
                </w14:textFill>
              </w:rPr>
              <w:t>4.03</w:t>
            </w:r>
            <w:r>
              <w:rPr>
                <w:rFonts w:hint="eastAsia"/>
                <w:color w:val="000000" w:themeColor="text1"/>
                <w:spacing w:val="-1"/>
                <w:sz w:val="21"/>
                <w:szCs w:val="21"/>
                <w:lang w:val="en-US" w:eastAsia="zh-CN"/>
                <w14:textFill>
                  <w14:solidFill>
                    <w14:schemeClr w14:val="tx1"/>
                  </w14:solidFill>
                </w14:textFill>
              </w:rPr>
              <w:t>20</w:t>
            </w:r>
          </w:p>
        </w:tc>
        <w:tc>
          <w:tcPr>
            <w:tcW w:w="723" w:type="pct"/>
            <w:vAlign w:val="center"/>
          </w:tcPr>
          <w:p w14:paraId="7C122D8F">
            <w:pPr>
              <w:adjustRightInd w:val="0"/>
              <w:snapToGrid w:val="0"/>
              <w:spacing w:line="240" w:lineRule="auto"/>
              <w:ind w:firstLine="0" w:firstLineChars="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3.0666</w:t>
            </w:r>
          </w:p>
        </w:tc>
        <w:tc>
          <w:tcPr>
            <w:tcW w:w="575" w:type="pct"/>
            <w:vAlign w:val="center"/>
          </w:tcPr>
          <w:p w14:paraId="40E31ED2">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0.0141</w:t>
            </w:r>
          </w:p>
        </w:tc>
        <w:tc>
          <w:tcPr>
            <w:tcW w:w="684" w:type="pct"/>
            <w:vAlign w:val="center"/>
          </w:tcPr>
          <w:p w14:paraId="3832B197">
            <w:pPr>
              <w:adjustRightInd w:val="0"/>
              <w:snapToGrid w:val="0"/>
              <w:spacing w:line="240" w:lineRule="auto"/>
              <w:ind w:firstLine="0" w:firstLineChars="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0.9795</w:t>
            </w:r>
          </w:p>
        </w:tc>
        <w:tc>
          <w:tcPr>
            <w:tcW w:w="752" w:type="pct"/>
            <w:vAlign w:val="center"/>
          </w:tcPr>
          <w:p w14:paraId="5DECD45A">
            <w:pPr>
              <w:adjustRightInd w:val="0"/>
              <w:snapToGrid w:val="0"/>
              <w:spacing w:line="240" w:lineRule="auto"/>
              <w:ind w:firstLine="0" w:firstLineChars="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-3.0525</w:t>
            </w:r>
          </w:p>
        </w:tc>
      </w:tr>
      <w:tr w14:paraId="11468F6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1" w:type="dxa"/>
            <w:bottom w:w="0" w:type="dxa"/>
            <w:right w:w="11" w:type="dxa"/>
          </w:tblCellMar>
        </w:tblPrEx>
        <w:tc>
          <w:tcPr>
            <w:tcW w:w="362" w:type="pct"/>
            <w:vMerge w:val="restart"/>
            <w:vAlign w:val="center"/>
          </w:tcPr>
          <w:p w14:paraId="04DAD91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废水</w:t>
            </w:r>
          </w:p>
        </w:tc>
        <w:tc>
          <w:tcPr>
            <w:tcW w:w="686" w:type="pct"/>
            <w:vMerge w:val="restart"/>
            <w:vAlign w:val="center"/>
          </w:tcPr>
          <w:p w14:paraId="1194B55A">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生活污水</w:t>
            </w:r>
          </w:p>
        </w:tc>
        <w:tc>
          <w:tcPr>
            <w:tcW w:w="534" w:type="pct"/>
          </w:tcPr>
          <w:p w14:paraId="294E6D4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COD</w:t>
            </w:r>
          </w:p>
        </w:tc>
        <w:tc>
          <w:tcPr>
            <w:tcW w:w="682" w:type="pct"/>
          </w:tcPr>
          <w:p w14:paraId="7DF40E60">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0.177</w:t>
            </w:r>
          </w:p>
        </w:tc>
        <w:tc>
          <w:tcPr>
            <w:tcW w:w="723" w:type="pct"/>
            <w:vAlign w:val="center"/>
          </w:tcPr>
          <w:p w14:paraId="5B06C58D">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75" w:type="pct"/>
            <w:vAlign w:val="center"/>
          </w:tcPr>
          <w:p w14:paraId="7BCFF9B7">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84" w:type="pct"/>
          </w:tcPr>
          <w:p w14:paraId="5D1CAB42">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0.177</w:t>
            </w:r>
          </w:p>
        </w:tc>
        <w:tc>
          <w:tcPr>
            <w:tcW w:w="752" w:type="pct"/>
            <w:vAlign w:val="center"/>
          </w:tcPr>
          <w:p w14:paraId="721D039D">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r>
      <w:tr w14:paraId="7B5A815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1" w:type="dxa"/>
            <w:bottom w:w="0" w:type="dxa"/>
            <w:right w:w="11" w:type="dxa"/>
          </w:tblCellMar>
        </w:tblPrEx>
        <w:tc>
          <w:tcPr>
            <w:tcW w:w="362" w:type="pct"/>
            <w:vMerge w:val="continue"/>
            <w:vAlign w:val="center"/>
          </w:tcPr>
          <w:p w14:paraId="7D5C2313">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686" w:type="pct"/>
            <w:vMerge w:val="continue"/>
            <w:vAlign w:val="center"/>
          </w:tcPr>
          <w:p w14:paraId="760B7677">
            <w:pPr>
              <w:pStyle w:val="70"/>
              <w:rPr>
                <w:color w:val="000000" w:themeColor="text1"/>
                <w14:textFill>
                  <w14:solidFill>
                    <w14:schemeClr w14:val="tx1"/>
                  </w14:solidFill>
                </w14:textFill>
              </w:rPr>
            </w:pPr>
          </w:p>
        </w:tc>
        <w:tc>
          <w:tcPr>
            <w:tcW w:w="534" w:type="pct"/>
          </w:tcPr>
          <w:p w14:paraId="2FA3705C">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氨氮</w:t>
            </w:r>
          </w:p>
        </w:tc>
        <w:tc>
          <w:tcPr>
            <w:tcW w:w="682" w:type="pct"/>
          </w:tcPr>
          <w:p w14:paraId="521E8BA2">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0.018</w:t>
            </w:r>
          </w:p>
        </w:tc>
        <w:tc>
          <w:tcPr>
            <w:tcW w:w="723" w:type="pct"/>
            <w:vAlign w:val="center"/>
          </w:tcPr>
          <w:p w14:paraId="7A869F6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75" w:type="pct"/>
            <w:vAlign w:val="center"/>
          </w:tcPr>
          <w:p w14:paraId="654BA05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84" w:type="pct"/>
          </w:tcPr>
          <w:p w14:paraId="13DD16E9">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0.018</w:t>
            </w:r>
          </w:p>
        </w:tc>
        <w:tc>
          <w:tcPr>
            <w:tcW w:w="752" w:type="pct"/>
            <w:vAlign w:val="center"/>
          </w:tcPr>
          <w:p w14:paraId="391A3F5F">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r>
      <w:tr w14:paraId="3E35EB1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1" w:type="dxa"/>
            <w:bottom w:w="0" w:type="dxa"/>
            <w:right w:w="11" w:type="dxa"/>
          </w:tblCellMar>
        </w:tblPrEx>
        <w:tc>
          <w:tcPr>
            <w:tcW w:w="362" w:type="pct"/>
            <w:vMerge w:val="continue"/>
            <w:vAlign w:val="center"/>
          </w:tcPr>
          <w:p w14:paraId="3A9DAA61">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686" w:type="pct"/>
            <w:vMerge w:val="continue"/>
            <w:vAlign w:val="center"/>
          </w:tcPr>
          <w:p w14:paraId="2CBF16F9">
            <w:pPr>
              <w:pStyle w:val="70"/>
              <w:rPr>
                <w:color w:val="000000" w:themeColor="text1"/>
                <w14:textFill>
                  <w14:solidFill>
                    <w14:schemeClr w14:val="tx1"/>
                  </w14:solidFill>
                </w14:textFill>
              </w:rPr>
            </w:pPr>
          </w:p>
        </w:tc>
        <w:tc>
          <w:tcPr>
            <w:tcW w:w="534" w:type="pct"/>
          </w:tcPr>
          <w:p w14:paraId="7EFDD5F7">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总氮</w:t>
            </w:r>
          </w:p>
        </w:tc>
        <w:tc>
          <w:tcPr>
            <w:tcW w:w="682" w:type="pct"/>
          </w:tcPr>
          <w:p w14:paraId="4511D93A">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0.023</w:t>
            </w:r>
          </w:p>
        </w:tc>
        <w:tc>
          <w:tcPr>
            <w:tcW w:w="723" w:type="pct"/>
            <w:vAlign w:val="center"/>
          </w:tcPr>
          <w:p w14:paraId="5C2F815A">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75" w:type="pct"/>
            <w:vAlign w:val="center"/>
          </w:tcPr>
          <w:p w14:paraId="63810FF8">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84" w:type="pct"/>
          </w:tcPr>
          <w:p w14:paraId="3ABA2D2F">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0.023</w:t>
            </w:r>
          </w:p>
        </w:tc>
        <w:tc>
          <w:tcPr>
            <w:tcW w:w="752" w:type="pct"/>
            <w:vAlign w:val="center"/>
          </w:tcPr>
          <w:p w14:paraId="396FCCA9">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r>
      <w:tr w14:paraId="161FD58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1" w:type="dxa"/>
            <w:bottom w:w="0" w:type="dxa"/>
            <w:right w:w="11" w:type="dxa"/>
          </w:tblCellMar>
        </w:tblPrEx>
        <w:tc>
          <w:tcPr>
            <w:tcW w:w="362" w:type="pct"/>
            <w:vMerge w:val="continue"/>
            <w:vAlign w:val="center"/>
          </w:tcPr>
          <w:p w14:paraId="55D43F6B">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686" w:type="pct"/>
            <w:vMerge w:val="continue"/>
            <w:vAlign w:val="center"/>
          </w:tcPr>
          <w:p w14:paraId="4A5D9E0D">
            <w:pPr>
              <w:pStyle w:val="70"/>
              <w:rPr>
                <w:color w:val="000000" w:themeColor="text1"/>
                <w14:textFill>
                  <w14:solidFill>
                    <w14:schemeClr w14:val="tx1"/>
                  </w14:solidFill>
                </w14:textFill>
              </w:rPr>
            </w:pPr>
          </w:p>
        </w:tc>
        <w:tc>
          <w:tcPr>
            <w:tcW w:w="534" w:type="pct"/>
          </w:tcPr>
          <w:p w14:paraId="0E86C5FC">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总磷</w:t>
            </w:r>
          </w:p>
        </w:tc>
        <w:tc>
          <w:tcPr>
            <w:tcW w:w="682" w:type="pct"/>
          </w:tcPr>
          <w:p w14:paraId="3E66167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0.003</w:t>
            </w:r>
          </w:p>
        </w:tc>
        <w:tc>
          <w:tcPr>
            <w:tcW w:w="723" w:type="pct"/>
            <w:vAlign w:val="center"/>
          </w:tcPr>
          <w:p w14:paraId="4B4C475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75" w:type="pct"/>
            <w:vAlign w:val="center"/>
          </w:tcPr>
          <w:p w14:paraId="74A254FE">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84" w:type="pct"/>
          </w:tcPr>
          <w:p w14:paraId="5350A19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0.003</w:t>
            </w:r>
          </w:p>
        </w:tc>
        <w:tc>
          <w:tcPr>
            <w:tcW w:w="752" w:type="pct"/>
            <w:vAlign w:val="center"/>
          </w:tcPr>
          <w:p w14:paraId="4385AB6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r>
      <w:tr w14:paraId="0B023CE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1" w:type="dxa"/>
            <w:bottom w:w="0" w:type="dxa"/>
            <w:right w:w="11" w:type="dxa"/>
          </w:tblCellMar>
        </w:tblPrEx>
        <w:tc>
          <w:tcPr>
            <w:tcW w:w="362" w:type="pct"/>
            <w:vMerge w:val="continue"/>
            <w:vAlign w:val="center"/>
          </w:tcPr>
          <w:p w14:paraId="3BB654A4">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686" w:type="pct"/>
            <w:vMerge w:val="restart"/>
            <w:vAlign w:val="center"/>
          </w:tcPr>
          <w:p w14:paraId="048CDF88">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初期雨水</w:t>
            </w:r>
          </w:p>
        </w:tc>
        <w:tc>
          <w:tcPr>
            <w:tcW w:w="534" w:type="pct"/>
          </w:tcPr>
          <w:p w14:paraId="5A4E04C3">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COD</w:t>
            </w:r>
          </w:p>
        </w:tc>
        <w:tc>
          <w:tcPr>
            <w:tcW w:w="682" w:type="pct"/>
          </w:tcPr>
          <w:p w14:paraId="32AFB998">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14.95</w:t>
            </w:r>
          </w:p>
        </w:tc>
        <w:tc>
          <w:tcPr>
            <w:tcW w:w="723" w:type="pct"/>
            <w:vAlign w:val="center"/>
          </w:tcPr>
          <w:p w14:paraId="536F936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75" w:type="pct"/>
            <w:vAlign w:val="center"/>
          </w:tcPr>
          <w:p w14:paraId="20B95212">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84" w:type="pct"/>
          </w:tcPr>
          <w:p w14:paraId="45BE9302">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14.95</w:t>
            </w:r>
          </w:p>
        </w:tc>
        <w:tc>
          <w:tcPr>
            <w:tcW w:w="752" w:type="pct"/>
            <w:vAlign w:val="center"/>
          </w:tcPr>
          <w:p w14:paraId="0A8B8143">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r>
      <w:tr w14:paraId="38E385A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1" w:type="dxa"/>
            <w:bottom w:w="0" w:type="dxa"/>
            <w:right w:w="11" w:type="dxa"/>
          </w:tblCellMar>
        </w:tblPrEx>
        <w:tc>
          <w:tcPr>
            <w:tcW w:w="362" w:type="pct"/>
            <w:vMerge w:val="continue"/>
            <w:vAlign w:val="center"/>
          </w:tcPr>
          <w:p w14:paraId="271850B7">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686" w:type="pct"/>
            <w:vMerge w:val="continue"/>
            <w:vAlign w:val="center"/>
          </w:tcPr>
          <w:p w14:paraId="0024D736">
            <w:pPr>
              <w:pStyle w:val="70"/>
              <w:rPr>
                <w:color w:val="000000" w:themeColor="text1"/>
                <w14:textFill>
                  <w14:solidFill>
                    <w14:schemeClr w14:val="tx1"/>
                  </w14:solidFill>
                </w14:textFill>
              </w:rPr>
            </w:pPr>
          </w:p>
        </w:tc>
        <w:tc>
          <w:tcPr>
            <w:tcW w:w="534" w:type="pct"/>
          </w:tcPr>
          <w:p w14:paraId="0B4A1F64">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SS</w:t>
            </w:r>
          </w:p>
        </w:tc>
        <w:tc>
          <w:tcPr>
            <w:tcW w:w="682" w:type="pct"/>
          </w:tcPr>
          <w:p w14:paraId="43908404">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5.98</w:t>
            </w:r>
          </w:p>
        </w:tc>
        <w:tc>
          <w:tcPr>
            <w:tcW w:w="723" w:type="pct"/>
            <w:vAlign w:val="center"/>
          </w:tcPr>
          <w:p w14:paraId="6C992E38">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75" w:type="pct"/>
            <w:vAlign w:val="center"/>
          </w:tcPr>
          <w:p w14:paraId="069A9A54">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84" w:type="pct"/>
          </w:tcPr>
          <w:p w14:paraId="4BD42649">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5.98</w:t>
            </w:r>
          </w:p>
        </w:tc>
        <w:tc>
          <w:tcPr>
            <w:tcW w:w="752" w:type="pct"/>
            <w:vAlign w:val="center"/>
          </w:tcPr>
          <w:p w14:paraId="2DD7D947">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r>
      <w:tr w14:paraId="21D8E3E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1" w:type="dxa"/>
            <w:bottom w:w="0" w:type="dxa"/>
            <w:right w:w="11" w:type="dxa"/>
          </w:tblCellMar>
        </w:tblPrEx>
        <w:tc>
          <w:tcPr>
            <w:tcW w:w="362" w:type="pct"/>
            <w:vMerge w:val="continue"/>
            <w:vAlign w:val="center"/>
          </w:tcPr>
          <w:p w14:paraId="47E1F2D0">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686" w:type="pct"/>
            <w:vMerge w:val="continue"/>
            <w:vAlign w:val="center"/>
          </w:tcPr>
          <w:p w14:paraId="69646AC4">
            <w:pPr>
              <w:pStyle w:val="70"/>
              <w:rPr>
                <w:color w:val="000000" w:themeColor="text1"/>
                <w14:textFill>
                  <w14:solidFill>
                    <w14:schemeClr w14:val="tx1"/>
                  </w14:solidFill>
                </w14:textFill>
              </w:rPr>
            </w:pPr>
          </w:p>
        </w:tc>
        <w:tc>
          <w:tcPr>
            <w:tcW w:w="534" w:type="pct"/>
          </w:tcPr>
          <w:p w14:paraId="5238D053">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有机碳</w:t>
            </w:r>
          </w:p>
        </w:tc>
        <w:tc>
          <w:tcPr>
            <w:tcW w:w="682" w:type="pct"/>
          </w:tcPr>
          <w:p w14:paraId="49C3A58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2.99</w:t>
            </w:r>
          </w:p>
        </w:tc>
        <w:tc>
          <w:tcPr>
            <w:tcW w:w="723" w:type="pct"/>
            <w:vAlign w:val="center"/>
          </w:tcPr>
          <w:p w14:paraId="70ACD42A">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75" w:type="pct"/>
            <w:vAlign w:val="center"/>
          </w:tcPr>
          <w:p w14:paraId="5C4CCA94">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84" w:type="pct"/>
          </w:tcPr>
          <w:p w14:paraId="4D568548">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2.99</w:t>
            </w:r>
          </w:p>
        </w:tc>
        <w:tc>
          <w:tcPr>
            <w:tcW w:w="752" w:type="pct"/>
            <w:vAlign w:val="center"/>
          </w:tcPr>
          <w:p w14:paraId="5B2CE7B2">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r>
      <w:tr w14:paraId="58FF259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1" w:type="dxa"/>
            <w:bottom w:w="0" w:type="dxa"/>
            <w:right w:w="11" w:type="dxa"/>
          </w:tblCellMar>
        </w:tblPrEx>
        <w:tc>
          <w:tcPr>
            <w:tcW w:w="362" w:type="pct"/>
            <w:vMerge w:val="continue"/>
            <w:vAlign w:val="center"/>
          </w:tcPr>
          <w:p w14:paraId="0E8E2E01">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686" w:type="pct"/>
            <w:vMerge w:val="restart"/>
            <w:vAlign w:val="center"/>
          </w:tcPr>
          <w:p w14:paraId="3DD22CCA">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冲洗废水</w:t>
            </w:r>
          </w:p>
        </w:tc>
        <w:tc>
          <w:tcPr>
            <w:tcW w:w="534" w:type="pct"/>
          </w:tcPr>
          <w:p w14:paraId="76F8B8BD">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COD</w:t>
            </w:r>
          </w:p>
        </w:tc>
        <w:tc>
          <w:tcPr>
            <w:tcW w:w="682" w:type="pct"/>
          </w:tcPr>
          <w:p w14:paraId="10FCE254">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0.31</w:t>
            </w:r>
          </w:p>
        </w:tc>
        <w:tc>
          <w:tcPr>
            <w:tcW w:w="723" w:type="pct"/>
            <w:vAlign w:val="center"/>
          </w:tcPr>
          <w:p w14:paraId="497174B0">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75" w:type="pct"/>
            <w:vAlign w:val="center"/>
          </w:tcPr>
          <w:p w14:paraId="3216351F">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84" w:type="pct"/>
          </w:tcPr>
          <w:p w14:paraId="44A9FD0C">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0.31</w:t>
            </w:r>
          </w:p>
        </w:tc>
        <w:tc>
          <w:tcPr>
            <w:tcW w:w="752" w:type="pct"/>
            <w:vAlign w:val="center"/>
          </w:tcPr>
          <w:p w14:paraId="41F26048">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r>
      <w:tr w14:paraId="69CF920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1" w:type="dxa"/>
            <w:bottom w:w="0" w:type="dxa"/>
            <w:right w:w="11" w:type="dxa"/>
          </w:tblCellMar>
        </w:tblPrEx>
        <w:tc>
          <w:tcPr>
            <w:tcW w:w="362" w:type="pct"/>
            <w:vMerge w:val="continue"/>
            <w:vAlign w:val="center"/>
          </w:tcPr>
          <w:p w14:paraId="0F7EBA9B">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686" w:type="pct"/>
            <w:vMerge w:val="continue"/>
            <w:vAlign w:val="center"/>
          </w:tcPr>
          <w:p w14:paraId="2D6BB3B8">
            <w:pPr>
              <w:pStyle w:val="70"/>
              <w:rPr>
                <w:color w:val="000000" w:themeColor="text1"/>
                <w14:textFill>
                  <w14:solidFill>
                    <w14:schemeClr w14:val="tx1"/>
                  </w14:solidFill>
                </w14:textFill>
              </w:rPr>
            </w:pPr>
          </w:p>
        </w:tc>
        <w:tc>
          <w:tcPr>
            <w:tcW w:w="534" w:type="pct"/>
          </w:tcPr>
          <w:p w14:paraId="517FF9AA">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SS</w:t>
            </w:r>
          </w:p>
        </w:tc>
        <w:tc>
          <w:tcPr>
            <w:tcW w:w="682" w:type="pct"/>
          </w:tcPr>
          <w:p w14:paraId="609C4D17">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0.13</w:t>
            </w:r>
          </w:p>
        </w:tc>
        <w:tc>
          <w:tcPr>
            <w:tcW w:w="723" w:type="pct"/>
            <w:vAlign w:val="center"/>
          </w:tcPr>
          <w:p w14:paraId="01F99F58">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75" w:type="pct"/>
            <w:vAlign w:val="center"/>
          </w:tcPr>
          <w:p w14:paraId="4617B473">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84" w:type="pct"/>
          </w:tcPr>
          <w:p w14:paraId="7019528A">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0.13</w:t>
            </w:r>
          </w:p>
        </w:tc>
        <w:tc>
          <w:tcPr>
            <w:tcW w:w="752" w:type="pct"/>
            <w:vAlign w:val="center"/>
          </w:tcPr>
          <w:p w14:paraId="32E471E3">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r>
      <w:tr w14:paraId="140F961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1" w:type="dxa"/>
            <w:bottom w:w="0" w:type="dxa"/>
            <w:right w:w="11" w:type="dxa"/>
          </w:tblCellMar>
        </w:tblPrEx>
        <w:tc>
          <w:tcPr>
            <w:tcW w:w="362" w:type="pct"/>
            <w:vMerge w:val="continue"/>
            <w:vAlign w:val="center"/>
          </w:tcPr>
          <w:p w14:paraId="39A9A0E1">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686" w:type="pct"/>
            <w:vMerge w:val="continue"/>
            <w:vAlign w:val="center"/>
          </w:tcPr>
          <w:p w14:paraId="48105FB6">
            <w:pPr>
              <w:pStyle w:val="70"/>
              <w:rPr>
                <w:color w:val="000000" w:themeColor="text1"/>
                <w14:textFill>
                  <w14:solidFill>
                    <w14:schemeClr w14:val="tx1"/>
                  </w14:solidFill>
                </w14:textFill>
              </w:rPr>
            </w:pPr>
          </w:p>
        </w:tc>
        <w:tc>
          <w:tcPr>
            <w:tcW w:w="534" w:type="pct"/>
          </w:tcPr>
          <w:p w14:paraId="76179ED9">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有机碳</w:t>
            </w:r>
          </w:p>
        </w:tc>
        <w:tc>
          <w:tcPr>
            <w:tcW w:w="682" w:type="pct"/>
          </w:tcPr>
          <w:p w14:paraId="023A5E7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0.06</w:t>
            </w:r>
          </w:p>
        </w:tc>
        <w:tc>
          <w:tcPr>
            <w:tcW w:w="723" w:type="pct"/>
            <w:vAlign w:val="center"/>
          </w:tcPr>
          <w:p w14:paraId="65C19937">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75" w:type="pct"/>
            <w:vAlign w:val="center"/>
          </w:tcPr>
          <w:p w14:paraId="724AFD17">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84" w:type="pct"/>
          </w:tcPr>
          <w:p w14:paraId="2521FCE3">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0.06</w:t>
            </w:r>
          </w:p>
        </w:tc>
        <w:tc>
          <w:tcPr>
            <w:tcW w:w="752" w:type="pct"/>
            <w:vAlign w:val="center"/>
          </w:tcPr>
          <w:p w14:paraId="496E4113">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r>
      <w:tr w14:paraId="2A158FA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1" w:type="dxa"/>
            <w:bottom w:w="0" w:type="dxa"/>
            <w:right w:w="11" w:type="dxa"/>
          </w:tblCellMar>
        </w:tblPrEx>
        <w:tc>
          <w:tcPr>
            <w:tcW w:w="362" w:type="pct"/>
            <w:vMerge w:val="continue"/>
            <w:vAlign w:val="center"/>
          </w:tcPr>
          <w:p w14:paraId="38C98061">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686" w:type="pct"/>
            <w:vAlign w:val="center"/>
          </w:tcPr>
          <w:p w14:paraId="4B01C8D0">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洗罐废水</w:t>
            </w:r>
          </w:p>
        </w:tc>
        <w:tc>
          <w:tcPr>
            <w:tcW w:w="534" w:type="pct"/>
          </w:tcPr>
          <w:p w14:paraId="000B0AD7">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石油类</w:t>
            </w:r>
          </w:p>
        </w:tc>
        <w:tc>
          <w:tcPr>
            <w:tcW w:w="682" w:type="pct"/>
          </w:tcPr>
          <w:p w14:paraId="67021833">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723" w:type="pct"/>
            <w:vAlign w:val="center"/>
          </w:tcPr>
          <w:p w14:paraId="4CCB48E2">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575" w:type="pct"/>
            <w:vAlign w:val="center"/>
          </w:tcPr>
          <w:p w14:paraId="7F278313">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684" w:type="pct"/>
            <w:vAlign w:val="center"/>
          </w:tcPr>
          <w:p w14:paraId="2FA5425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752" w:type="pct"/>
            <w:vAlign w:val="center"/>
          </w:tcPr>
          <w:p w14:paraId="0D07A7C2">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r>
      <w:tr w14:paraId="47B96FA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1" w:type="dxa"/>
            <w:bottom w:w="0" w:type="dxa"/>
            <w:right w:w="11" w:type="dxa"/>
          </w:tblCellMar>
        </w:tblPrEx>
        <w:tc>
          <w:tcPr>
            <w:tcW w:w="362" w:type="pct"/>
            <w:vMerge w:val="continue"/>
            <w:vAlign w:val="center"/>
          </w:tcPr>
          <w:p w14:paraId="07380EE7">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686" w:type="pct"/>
            <w:vMerge w:val="restart"/>
            <w:vAlign w:val="center"/>
          </w:tcPr>
          <w:p w14:paraId="1245CC2F">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碱洗废水</w:t>
            </w:r>
          </w:p>
        </w:tc>
        <w:tc>
          <w:tcPr>
            <w:tcW w:w="534" w:type="pct"/>
          </w:tcPr>
          <w:p w14:paraId="2AFAADFF">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pH</w:t>
            </w:r>
          </w:p>
        </w:tc>
        <w:tc>
          <w:tcPr>
            <w:tcW w:w="682" w:type="pct"/>
          </w:tcPr>
          <w:p w14:paraId="6241F05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723" w:type="pct"/>
            <w:vAlign w:val="center"/>
          </w:tcPr>
          <w:p w14:paraId="68484D5A">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575" w:type="pct"/>
            <w:vAlign w:val="center"/>
          </w:tcPr>
          <w:p w14:paraId="421FA684">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684" w:type="pct"/>
            <w:vAlign w:val="center"/>
          </w:tcPr>
          <w:p w14:paraId="75E06808">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752" w:type="pct"/>
            <w:vAlign w:val="center"/>
          </w:tcPr>
          <w:p w14:paraId="10BAC1B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r>
      <w:tr w14:paraId="4D7101C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1" w:type="dxa"/>
            <w:bottom w:w="0" w:type="dxa"/>
            <w:right w:w="11" w:type="dxa"/>
          </w:tblCellMar>
        </w:tblPrEx>
        <w:tc>
          <w:tcPr>
            <w:tcW w:w="362" w:type="pct"/>
            <w:vMerge w:val="continue"/>
            <w:vAlign w:val="center"/>
          </w:tcPr>
          <w:p w14:paraId="3F8289F0">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686" w:type="pct"/>
            <w:vMerge w:val="continue"/>
            <w:vAlign w:val="center"/>
          </w:tcPr>
          <w:p w14:paraId="30ADE68D">
            <w:pPr>
              <w:pStyle w:val="70"/>
              <w:rPr>
                <w:color w:val="000000" w:themeColor="text1"/>
                <w14:textFill>
                  <w14:solidFill>
                    <w14:schemeClr w14:val="tx1"/>
                  </w14:solidFill>
                </w14:textFill>
              </w:rPr>
            </w:pPr>
          </w:p>
        </w:tc>
        <w:tc>
          <w:tcPr>
            <w:tcW w:w="534" w:type="pct"/>
          </w:tcPr>
          <w:p w14:paraId="790EAFCA">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TDS</w:t>
            </w:r>
          </w:p>
        </w:tc>
        <w:tc>
          <w:tcPr>
            <w:tcW w:w="682" w:type="pct"/>
          </w:tcPr>
          <w:p w14:paraId="031A4EAF">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723" w:type="pct"/>
            <w:vAlign w:val="center"/>
          </w:tcPr>
          <w:p w14:paraId="73225D9E">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575" w:type="pct"/>
            <w:vAlign w:val="center"/>
          </w:tcPr>
          <w:p w14:paraId="76CC0660">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684" w:type="pct"/>
            <w:vAlign w:val="center"/>
          </w:tcPr>
          <w:p w14:paraId="4570770A">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752" w:type="pct"/>
            <w:vAlign w:val="center"/>
          </w:tcPr>
          <w:p w14:paraId="091949D0">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r>
      <w:tr w14:paraId="3C2DC89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1" w:type="dxa"/>
            <w:bottom w:w="0" w:type="dxa"/>
            <w:right w:w="11" w:type="dxa"/>
          </w:tblCellMar>
        </w:tblPrEx>
        <w:tc>
          <w:tcPr>
            <w:tcW w:w="362" w:type="pct"/>
            <w:vMerge w:val="continue"/>
            <w:vAlign w:val="center"/>
          </w:tcPr>
          <w:p w14:paraId="0608BA64">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686" w:type="pct"/>
            <w:vMerge w:val="restart"/>
            <w:vAlign w:val="center"/>
          </w:tcPr>
          <w:p w14:paraId="2257CFC1">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船舶生活污水</w:t>
            </w:r>
          </w:p>
        </w:tc>
        <w:tc>
          <w:tcPr>
            <w:tcW w:w="534" w:type="pct"/>
          </w:tcPr>
          <w:p w14:paraId="59D0A239">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COD</w:t>
            </w:r>
          </w:p>
        </w:tc>
        <w:tc>
          <w:tcPr>
            <w:tcW w:w="682" w:type="pct"/>
          </w:tcPr>
          <w:p w14:paraId="4389CD03">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0.457</w:t>
            </w:r>
          </w:p>
        </w:tc>
        <w:tc>
          <w:tcPr>
            <w:tcW w:w="723" w:type="pct"/>
            <w:vAlign w:val="center"/>
          </w:tcPr>
          <w:p w14:paraId="43E71CA0">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75" w:type="pct"/>
            <w:vAlign w:val="center"/>
          </w:tcPr>
          <w:p w14:paraId="3A5C9B47">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0.055</w:t>
            </w:r>
          </w:p>
        </w:tc>
        <w:tc>
          <w:tcPr>
            <w:tcW w:w="684" w:type="pct"/>
            <w:vAlign w:val="center"/>
          </w:tcPr>
          <w:p w14:paraId="12280A40">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0.512</w:t>
            </w:r>
          </w:p>
        </w:tc>
        <w:tc>
          <w:tcPr>
            <w:tcW w:w="752" w:type="pct"/>
            <w:vAlign w:val="center"/>
          </w:tcPr>
          <w:p w14:paraId="3C0CA4C4">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0.055</w:t>
            </w:r>
          </w:p>
        </w:tc>
      </w:tr>
      <w:tr w14:paraId="77F5268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1" w:type="dxa"/>
            <w:bottom w:w="0" w:type="dxa"/>
            <w:right w:w="11" w:type="dxa"/>
          </w:tblCellMar>
        </w:tblPrEx>
        <w:tc>
          <w:tcPr>
            <w:tcW w:w="362" w:type="pct"/>
            <w:vMerge w:val="continue"/>
            <w:vAlign w:val="center"/>
          </w:tcPr>
          <w:p w14:paraId="25E8B236">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686" w:type="pct"/>
            <w:vMerge w:val="continue"/>
            <w:vAlign w:val="center"/>
          </w:tcPr>
          <w:p w14:paraId="21CDD32E">
            <w:pPr>
              <w:pStyle w:val="70"/>
              <w:rPr>
                <w:color w:val="000000" w:themeColor="text1"/>
                <w14:textFill>
                  <w14:solidFill>
                    <w14:schemeClr w14:val="tx1"/>
                  </w14:solidFill>
                </w14:textFill>
              </w:rPr>
            </w:pPr>
          </w:p>
        </w:tc>
        <w:tc>
          <w:tcPr>
            <w:tcW w:w="534" w:type="pct"/>
          </w:tcPr>
          <w:p w14:paraId="1B3D56ED">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氨氮</w:t>
            </w:r>
          </w:p>
        </w:tc>
        <w:tc>
          <w:tcPr>
            <w:tcW w:w="682" w:type="pct"/>
          </w:tcPr>
          <w:p w14:paraId="26B06B42">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0.046</w:t>
            </w:r>
          </w:p>
        </w:tc>
        <w:tc>
          <w:tcPr>
            <w:tcW w:w="723" w:type="pct"/>
            <w:vAlign w:val="center"/>
          </w:tcPr>
          <w:p w14:paraId="64446F3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75" w:type="pct"/>
            <w:vAlign w:val="center"/>
          </w:tcPr>
          <w:p w14:paraId="42A74E3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0.006</w:t>
            </w:r>
          </w:p>
        </w:tc>
        <w:tc>
          <w:tcPr>
            <w:tcW w:w="684" w:type="pct"/>
            <w:vAlign w:val="center"/>
          </w:tcPr>
          <w:p w14:paraId="62464FBE">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0.052</w:t>
            </w:r>
          </w:p>
        </w:tc>
        <w:tc>
          <w:tcPr>
            <w:tcW w:w="752" w:type="pct"/>
            <w:vAlign w:val="center"/>
          </w:tcPr>
          <w:p w14:paraId="2181D60A">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0.006</w:t>
            </w:r>
          </w:p>
        </w:tc>
      </w:tr>
      <w:tr w14:paraId="0A71363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1" w:type="dxa"/>
            <w:bottom w:w="0" w:type="dxa"/>
            <w:right w:w="11" w:type="dxa"/>
          </w:tblCellMar>
        </w:tblPrEx>
        <w:tc>
          <w:tcPr>
            <w:tcW w:w="362" w:type="pct"/>
            <w:vMerge w:val="continue"/>
            <w:vAlign w:val="center"/>
          </w:tcPr>
          <w:p w14:paraId="2530DD09">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686" w:type="pct"/>
            <w:vMerge w:val="continue"/>
            <w:vAlign w:val="center"/>
          </w:tcPr>
          <w:p w14:paraId="2B6F7D8E">
            <w:pPr>
              <w:pStyle w:val="70"/>
              <w:rPr>
                <w:color w:val="000000" w:themeColor="text1"/>
                <w14:textFill>
                  <w14:solidFill>
                    <w14:schemeClr w14:val="tx1"/>
                  </w14:solidFill>
                </w14:textFill>
              </w:rPr>
            </w:pPr>
          </w:p>
        </w:tc>
        <w:tc>
          <w:tcPr>
            <w:tcW w:w="534" w:type="pct"/>
          </w:tcPr>
          <w:p w14:paraId="19A7EF4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总氮</w:t>
            </w:r>
          </w:p>
        </w:tc>
        <w:tc>
          <w:tcPr>
            <w:tcW w:w="682" w:type="pct"/>
          </w:tcPr>
          <w:p w14:paraId="1F71903A">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0.059</w:t>
            </w:r>
          </w:p>
        </w:tc>
        <w:tc>
          <w:tcPr>
            <w:tcW w:w="723" w:type="pct"/>
            <w:vAlign w:val="center"/>
          </w:tcPr>
          <w:p w14:paraId="101873B3">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75" w:type="pct"/>
            <w:vAlign w:val="center"/>
          </w:tcPr>
          <w:p w14:paraId="58B4988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0.071</w:t>
            </w:r>
          </w:p>
        </w:tc>
        <w:tc>
          <w:tcPr>
            <w:tcW w:w="684" w:type="pct"/>
            <w:vAlign w:val="center"/>
          </w:tcPr>
          <w:p w14:paraId="63A75AE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0.13</w:t>
            </w:r>
          </w:p>
        </w:tc>
        <w:tc>
          <w:tcPr>
            <w:tcW w:w="752" w:type="pct"/>
            <w:vAlign w:val="center"/>
          </w:tcPr>
          <w:p w14:paraId="62E4BEE9">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0.071</w:t>
            </w:r>
          </w:p>
        </w:tc>
      </w:tr>
      <w:tr w14:paraId="0343680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1" w:type="dxa"/>
            <w:bottom w:w="0" w:type="dxa"/>
            <w:right w:w="11" w:type="dxa"/>
          </w:tblCellMar>
        </w:tblPrEx>
        <w:tc>
          <w:tcPr>
            <w:tcW w:w="362" w:type="pct"/>
            <w:vMerge w:val="continue"/>
            <w:vAlign w:val="center"/>
          </w:tcPr>
          <w:p w14:paraId="7857EC23">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686" w:type="pct"/>
            <w:vMerge w:val="continue"/>
            <w:vAlign w:val="center"/>
          </w:tcPr>
          <w:p w14:paraId="7D51BFC0">
            <w:pPr>
              <w:pStyle w:val="70"/>
              <w:rPr>
                <w:color w:val="000000" w:themeColor="text1"/>
                <w14:textFill>
                  <w14:solidFill>
                    <w14:schemeClr w14:val="tx1"/>
                  </w14:solidFill>
                </w14:textFill>
              </w:rPr>
            </w:pPr>
          </w:p>
        </w:tc>
        <w:tc>
          <w:tcPr>
            <w:tcW w:w="534" w:type="pct"/>
          </w:tcPr>
          <w:p w14:paraId="2556E9F0">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总磷</w:t>
            </w:r>
          </w:p>
        </w:tc>
        <w:tc>
          <w:tcPr>
            <w:tcW w:w="682" w:type="pct"/>
          </w:tcPr>
          <w:p w14:paraId="4D2846A9">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0.008</w:t>
            </w:r>
          </w:p>
        </w:tc>
        <w:tc>
          <w:tcPr>
            <w:tcW w:w="723" w:type="pct"/>
            <w:vAlign w:val="center"/>
          </w:tcPr>
          <w:p w14:paraId="316AFFD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75" w:type="pct"/>
            <w:vAlign w:val="center"/>
          </w:tcPr>
          <w:p w14:paraId="1E57E71E">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0.001</w:t>
            </w:r>
          </w:p>
        </w:tc>
        <w:tc>
          <w:tcPr>
            <w:tcW w:w="684" w:type="pct"/>
            <w:vAlign w:val="center"/>
          </w:tcPr>
          <w:p w14:paraId="29A0EDF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0.009</w:t>
            </w:r>
          </w:p>
        </w:tc>
        <w:tc>
          <w:tcPr>
            <w:tcW w:w="752" w:type="pct"/>
            <w:vAlign w:val="center"/>
          </w:tcPr>
          <w:p w14:paraId="033EC032">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0.001</w:t>
            </w:r>
          </w:p>
        </w:tc>
      </w:tr>
      <w:tr w14:paraId="64484A5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1" w:type="dxa"/>
            <w:bottom w:w="0" w:type="dxa"/>
            <w:right w:w="11" w:type="dxa"/>
          </w:tblCellMar>
        </w:tblPrEx>
        <w:tc>
          <w:tcPr>
            <w:tcW w:w="362" w:type="pct"/>
            <w:vMerge w:val="continue"/>
            <w:vAlign w:val="center"/>
          </w:tcPr>
          <w:p w14:paraId="7BF5596A">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686" w:type="pct"/>
            <w:vAlign w:val="center"/>
          </w:tcPr>
          <w:p w14:paraId="61D4B0F6">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船舶含油污水</w:t>
            </w:r>
          </w:p>
        </w:tc>
        <w:tc>
          <w:tcPr>
            <w:tcW w:w="534" w:type="pct"/>
          </w:tcPr>
          <w:p w14:paraId="037611F4">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石油类</w:t>
            </w:r>
          </w:p>
        </w:tc>
        <w:tc>
          <w:tcPr>
            <w:tcW w:w="682" w:type="pct"/>
          </w:tcPr>
          <w:p w14:paraId="7FB9BB4E">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41.63</w:t>
            </w:r>
          </w:p>
        </w:tc>
        <w:tc>
          <w:tcPr>
            <w:tcW w:w="723" w:type="pct"/>
            <w:vAlign w:val="center"/>
          </w:tcPr>
          <w:p w14:paraId="7D0243A0">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75" w:type="pct"/>
            <w:vAlign w:val="center"/>
          </w:tcPr>
          <w:p w14:paraId="4284ACEA">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1.19</w:t>
            </w:r>
          </w:p>
        </w:tc>
        <w:tc>
          <w:tcPr>
            <w:tcW w:w="684" w:type="pct"/>
            <w:vAlign w:val="center"/>
          </w:tcPr>
          <w:p w14:paraId="484583C4">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42.82</w:t>
            </w:r>
          </w:p>
        </w:tc>
        <w:tc>
          <w:tcPr>
            <w:tcW w:w="752" w:type="pct"/>
            <w:vAlign w:val="center"/>
          </w:tcPr>
          <w:p w14:paraId="43A1B37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1.19</w:t>
            </w:r>
          </w:p>
        </w:tc>
      </w:tr>
      <w:tr w14:paraId="305C0D0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1" w:type="dxa"/>
            <w:bottom w:w="0" w:type="dxa"/>
            <w:right w:w="11" w:type="dxa"/>
          </w:tblCellMar>
        </w:tblPrEx>
        <w:tc>
          <w:tcPr>
            <w:tcW w:w="362" w:type="pct"/>
            <w:vMerge w:val="restart"/>
            <w:vAlign w:val="center"/>
          </w:tcPr>
          <w:p w14:paraId="5CD6DB9F">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固体废物</w:t>
            </w:r>
          </w:p>
        </w:tc>
        <w:tc>
          <w:tcPr>
            <w:tcW w:w="686" w:type="pct"/>
            <w:vMerge w:val="restart"/>
            <w:vAlign w:val="center"/>
          </w:tcPr>
          <w:p w14:paraId="5BCEEA69">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一般固废</w:t>
            </w:r>
          </w:p>
        </w:tc>
        <w:tc>
          <w:tcPr>
            <w:tcW w:w="534" w:type="pct"/>
            <w:shd w:val="clear" w:color="auto" w:fill="auto"/>
            <w:vAlign w:val="center"/>
          </w:tcPr>
          <w:p w14:paraId="21CA6890">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生活垃圾</w:t>
            </w:r>
          </w:p>
        </w:tc>
        <w:tc>
          <w:tcPr>
            <w:tcW w:w="682" w:type="pct"/>
            <w:vAlign w:val="center"/>
          </w:tcPr>
          <w:p w14:paraId="3DD9C08D">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10.5</w:t>
            </w:r>
          </w:p>
        </w:tc>
        <w:tc>
          <w:tcPr>
            <w:tcW w:w="723" w:type="pct"/>
            <w:vAlign w:val="center"/>
          </w:tcPr>
          <w:p w14:paraId="35885E81">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0</w:t>
            </w:r>
          </w:p>
        </w:tc>
        <w:tc>
          <w:tcPr>
            <w:tcW w:w="575" w:type="pct"/>
            <w:vAlign w:val="center"/>
          </w:tcPr>
          <w:p w14:paraId="7D3E2F6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84" w:type="pct"/>
            <w:vAlign w:val="center"/>
          </w:tcPr>
          <w:p w14:paraId="4D153FFE">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10.5</w:t>
            </w:r>
          </w:p>
        </w:tc>
        <w:tc>
          <w:tcPr>
            <w:tcW w:w="752" w:type="pct"/>
            <w:vAlign w:val="center"/>
          </w:tcPr>
          <w:p w14:paraId="64C27688">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r>
      <w:tr w14:paraId="193F709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1" w:type="dxa"/>
            <w:bottom w:w="0" w:type="dxa"/>
            <w:right w:w="11" w:type="dxa"/>
          </w:tblCellMar>
        </w:tblPrEx>
        <w:tc>
          <w:tcPr>
            <w:tcW w:w="362" w:type="pct"/>
            <w:vMerge w:val="continue"/>
            <w:vAlign w:val="center"/>
          </w:tcPr>
          <w:p w14:paraId="4545B33F">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686" w:type="pct"/>
            <w:vMerge w:val="continue"/>
            <w:vAlign w:val="center"/>
          </w:tcPr>
          <w:p w14:paraId="1DB83982">
            <w:pPr>
              <w:pStyle w:val="70"/>
              <w:rPr>
                <w:color w:val="000000" w:themeColor="text1"/>
                <w14:textFill>
                  <w14:solidFill>
                    <w14:schemeClr w14:val="tx1"/>
                  </w14:solidFill>
                </w14:textFill>
              </w:rPr>
            </w:pPr>
          </w:p>
        </w:tc>
        <w:tc>
          <w:tcPr>
            <w:tcW w:w="534" w:type="pct"/>
            <w:shd w:val="clear" w:color="auto" w:fill="auto"/>
            <w:vAlign w:val="center"/>
          </w:tcPr>
          <w:p w14:paraId="43F45173">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船舶生活垃圾</w:t>
            </w:r>
          </w:p>
        </w:tc>
        <w:tc>
          <w:tcPr>
            <w:tcW w:w="682" w:type="pct"/>
            <w:vAlign w:val="center"/>
          </w:tcPr>
          <w:p w14:paraId="489AF652">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29.7</w:t>
            </w:r>
          </w:p>
        </w:tc>
        <w:tc>
          <w:tcPr>
            <w:tcW w:w="723" w:type="pct"/>
            <w:vAlign w:val="center"/>
          </w:tcPr>
          <w:p w14:paraId="03436057">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75" w:type="pct"/>
            <w:vAlign w:val="center"/>
          </w:tcPr>
          <w:p w14:paraId="5F2F8384">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6</w:t>
            </w:r>
          </w:p>
        </w:tc>
        <w:tc>
          <w:tcPr>
            <w:tcW w:w="684" w:type="pct"/>
            <w:vAlign w:val="center"/>
          </w:tcPr>
          <w:p w14:paraId="0284CF0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35.7</w:t>
            </w:r>
          </w:p>
        </w:tc>
        <w:tc>
          <w:tcPr>
            <w:tcW w:w="752" w:type="pct"/>
            <w:vAlign w:val="center"/>
          </w:tcPr>
          <w:p w14:paraId="02BA624F">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6</w:t>
            </w:r>
          </w:p>
        </w:tc>
      </w:tr>
      <w:tr w14:paraId="33232EC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1" w:type="dxa"/>
            <w:bottom w:w="0" w:type="dxa"/>
            <w:right w:w="11" w:type="dxa"/>
          </w:tblCellMar>
        </w:tblPrEx>
        <w:tc>
          <w:tcPr>
            <w:tcW w:w="362" w:type="pct"/>
            <w:vMerge w:val="continue"/>
            <w:vAlign w:val="center"/>
          </w:tcPr>
          <w:p w14:paraId="629CAE1D">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686" w:type="pct"/>
            <w:vMerge w:val="restart"/>
            <w:vAlign w:val="center"/>
          </w:tcPr>
          <w:p w14:paraId="1D7E7817">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危险废物</w:t>
            </w:r>
          </w:p>
        </w:tc>
        <w:tc>
          <w:tcPr>
            <w:tcW w:w="534" w:type="pct"/>
            <w:shd w:val="clear" w:color="auto" w:fill="auto"/>
            <w:vAlign w:val="center"/>
          </w:tcPr>
          <w:p w14:paraId="4E201043">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清罐固废</w:t>
            </w:r>
          </w:p>
        </w:tc>
        <w:tc>
          <w:tcPr>
            <w:tcW w:w="682" w:type="pct"/>
            <w:vAlign w:val="center"/>
          </w:tcPr>
          <w:p w14:paraId="07FC38EF">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4.15</w:t>
            </w:r>
          </w:p>
        </w:tc>
        <w:tc>
          <w:tcPr>
            <w:tcW w:w="723" w:type="pct"/>
            <w:vAlign w:val="center"/>
          </w:tcPr>
          <w:p w14:paraId="0F2B3BF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75" w:type="pct"/>
            <w:vAlign w:val="center"/>
          </w:tcPr>
          <w:p w14:paraId="4D868F0F">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84" w:type="pct"/>
            <w:vAlign w:val="center"/>
          </w:tcPr>
          <w:p w14:paraId="1D507930">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4.15</w:t>
            </w:r>
          </w:p>
        </w:tc>
        <w:tc>
          <w:tcPr>
            <w:tcW w:w="752" w:type="pct"/>
            <w:vAlign w:val="center"/>
          </w:tcPr>
          <w:p w14:paraId="76F58604">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r>
      <w:tr w14:paraId="5B17212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1" w:type="dxa"/>
            <w:bottom w:w="0" w:type="dxa"/>
            <w:right w:w="11" w:type="dxa"/>
          </w:tblCellMar>
        </w:tblPrEx>
        <w:tc>
          <w:tcPr>
            <w:tcW w:w="362" w:type="pct"/>
            <w:vMerge w:val="continue"/>
            <w:vAlign w:val="center"/>
          </w:tcPr>
          <w:p w14:paraId="3D13708B">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686" w:type="pct"/>
            <w:vMerge w:val="continue"/>
            <w:vAlign w:val="center"/>
          </w:tcPr>
          <w:p w14:paraId="335C4EE9">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534" w:type="pct"/>
            <w:shd w:val="clear" w:color="auto" w:fill="auto"/>
            <w:vAlign w:val="center"/>
          </w:tcPr>
          <w:p w14:paraId="729F2367">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含油废布及棉纱</w:t>
            </w:r>
          </w:p>
        </w:tc>
        <w:tc>
          <w:tcPr>
            <w:tcW w:w="682" w:type="pct"/>
            <w:vAlign w:val="center"/>
          </w:tcPr>
          <w:p w14:paraId="6F590234">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w:t>
            </w:r>
          </w:p>
        </w:tc>
        <w:tc>
          <w:tcPr>
            <w:tcW w:w="723" w:type="pct"/>
            <w:vAlign w:val="center"/>
          </w:tcPr>
          <w:p w14:paraId="42DCD71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75" w:type="pct"/>
            <w:vAlign w:val="center"/>
          </w:tcPr>
          <w:p w14:paraId="5E53237F">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0.05</w:t>
            </w:r>
          </w:p>
        </w:tc>
        <w:tc>
          <w:tcPr>
            <w:tcW w:w="684" w:type="pct"/>
            <w:vAlign w:val="center"/>
          </w:tcPr>
          <w:p w14:paraId="11F3901F">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2.05</w:t>
            </w:r>
          </w:p>
        </w:tc>
        <w:tc>
          <w:tcPr>
            <w:tcW w:w="752" w:type="pct"/>
            <w:vAlign w:val="center"/>
          </w:tcPr>
          <w:p w14:paraId="642C4D04">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0.05</w:t>
            </w:r>
          </w:p>
        </w:tc>
      </w:tr>
      <w:tr w14:paraId="1D66643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1" w:type="dxa"/>
            <w:bottom w:w="0" w:type="dxa"/>
            <w:right w:w="11" w:type="dxa"/>
          </w:tblCellMar>
        </w:tblPrEx>
        <w:tc>
          <w:tcPr>
            <w:tcW w:w="362" w:type="pct"/>
            <w:vMerge w:val="continue"/>
            <w:vAlign w:val="center"/>
          </w:tcPr>
          <w:p w14:paraId="0562B3C5">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686" w:type="pct"/>
            <w:vMerge w:val="continue"/>
            <w:vAlign w:val="center"/>
          </w:tcPr>
          <w:p w14:paraId="02C54895">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534" w:type="pct"/>
            <w:shd w:val="clear" w:color="auto" w:fill="auto"/>
            <w:vAlign w:val="center"/>
          </w:tcPr>
          <w:p w14:paraId="0E03105E">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废机油</w:t>
            </w:r>
          </w:p>
        </w:tc>
        <w:tc>
          <w:tcPr>
            <w:tcW w:w="682" w:type="pct"/>
            <w:vAlign w:val="center"/>
          </w:tcPr>
          <w:p w14:paraId="446396F4">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w:t>
            </w:r>
          </w:p>
        </w:tc>
        <w:tc>
          <w:tcPr>
            <w:tcW w:w="723" w:type="pct"/>
            <w:vAlign w:val="center"/>
          </w:tcPr>
          <w:p w14:paraId="31CDB747">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75" w:type="pct"/>
            <w:vAlign w:val="center"/>
          </w:tcPr>
          <w:p w14:paraId="2FF9D1FA">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84" w:type="pct"/>
            <w:vAlign w:val="center"/>
          </w:tcPr>
          <w:p w14:paraId="7ED7B67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w:t>
            </w:r>
          </w:p>
        </w:tc>
        <w:tc>
          <w:tcPr>
            <w:tcW w:w="752" w:type="pct"/>
            <w:vAlign w:val="center"/>
          </w:tcPr>
          <w:p w14:paraId="68CB0660">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r>
    </w:tbl>
    <w:p w14:paraId="1F4A5118">
      <w:pPr>
        <w:ind w:firstLine="480"/>
        <w:rPr>
          <w:color w:val="000000" w:themeColor="text1"/>
          <w14:textFill>
            <w14:solidFill>
              <w14:schemeClr w14:val="tx1"/>
            </w14:solidFill>
          </w14:textFill>
        </w:rPr>
        <w:sectPr>
          <w:headerReference r:id="rId20" w:type="first"/>
          <w:footerReference r:id="rId22" w:type="first"/>
          <w:headerReference r:id="rId19" w:type="even"/>
          <w:footerReference r:id="rId21" w:type="even"/>
          <w:pgSz w:w="11906" w:h="16838"/>
          <w:pgMar w:top="1417" w:right="1417" w:bottom="1417" w:left="1417" w:header="720" w:footer="720" w:gutter="0"/>
          <w:pgBorders>
            <w:top w:val="none" w:sz="0" w:space="0"/>
            <w:left w:val="none" w:sz="0" w:space="0"/>
            <w:bottom w:val="none" w:sz="0" w:space="0"/>
            <w:right w:val="none" w:sz="0" w:space="0"/>
          </w:pgBorders>
          <w:pgNumType w:fmt="numberInDash"/>
          <w:cols w:space="720" w:num="1"/>
        </w:sectPr>
      </w:pPr>
    </w:p>
    <w:p w14:paraId="01E701B2">
      <w:pPr>
        <w:pStyle w:val="3"/>
        <w:rPr>
          <w:color w:val="000000" w:themeColor="text1"/>
          <w14:textFill>
            <w14:solidFill>
              <w14:schemeClr w14:val="tx1"/>
            </w14:solidFill>
          </w14:textFill>
        </w:rPr>
      </w:pPr>
      <w:bookmarkStart w:id="496" w:name="_Toc216620526"/>
      <w:r>
        <w:rPr>
          <w:color w:val="000000" w:themeColor="text1"/>
          <w14:textFill>
            <w14:solidFill>
              <w14:schemeClr w14:val="tx1"/>
            </w14:solidFill>
          </w14:textFill>
        </w:rPr>
        <w:t>环境现状调查与评价</w:t>
      </w:r>
      <w:bookmarkEnd w:id="496"/>
    </w:p>
    <w:p w14:paraId="0F270CE6">
      <w:pPr>
        <w:pStyle w:val="5"/>
        <w:rPr>
          <w:color w:val="000000" w:themeColor="text1"/>
          <w14:textFill>
            <w14:solidFill>
              <w14:schemeClr w14:val="tx1"/>
            </w14:solidFill>
          </w14:textFill>
        </w:rPr>
      </w:pPr>
      <w:bookmarkStart w:id="497" w:name="_Toc25436951"/>
      <w:bookmarkEnd w:id="497"/>
      <w:bookmarkStart w:id="498" w:name="_Toc216620527"/>
      <w:r>
        <w:rPr>
          <w:color w:val="000000" w:themeColor="text1"/>
          <w14:textFill>
            <w14:solidFill>
              <w14:schemeClr w14:val="tx1"/>
            </w14:solidFill>
          </w14:textFill>
        </w:rPr>
        <w:t>自然环境概况</w:t>
      </w:r>
      <w:bookmarkEnd w:id="498"/>
    </w:p>
    <w:p w14:paraId="60D91474">
      <w:pPr>
        <w:pStyle w:val="4"/>
        <w:rPr>
          <w:color w:val="000000" w:themeColor="text1"/>
          <w14:textFill>
            <w14:solidFill>
              <w14:schemeClr w14:val="tx1"/>
            </w14:solidFill>
          </w14:textFill>
        </w:rPr>
      </w:pPr>
      <w:bookmarkStart w:id="499" w:name="_Toc216620528"/>
      <w:bookmarkStart w:id="500" w:name="_Toc29131812"/>
      <w:bookmarkStart w:id="501" w:name="_Toc136878464"/>
      <w:bookmarkStart w:id="502" w:name="_Toc25436955"/>
      <w:bookmarkStart w:id="503" w:name="_Toc26909998"/>
      <w:bookmarkStart w:id="504" w:name="_Toc216103369"/>
      <w:bookmarkStart w:id="505" w:name="_Toc135090215"/>
      <w:r>
        <w:rPr>
          <w:color w:val="000000" w:themeColor="text1"/>
          <w14:textFill>
            <w14:solidFill>
              <w14:schemeClr w14:val="tx1"/>
            </w14:solidFill>
          </w14:textFill>
        </w:rPr>
        <w:t>地理位置</w:t>
      </w:r>
      <w:bookmarkEnd w:id="499"/>
      <w:bookmarkEnd w:id="500"/>
      <w:bookmarkEnd w:id="501"/>
      <w:bookmarkEnd w:id="502"/>
      <w:bookmarkEnd w:id="503"/>
      <w:bookmarkEnd w:id="504"/>
      <w:bookmarkEnd w:id="505"/>
    </w:p>
    <w:p w14:paraId="31F9CE5F">
      <w:pPr>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本项目拟建厂址位于广西钦州港经济技术开发区内的石化产业园区。钦州市东与北海市、玉林市相连，西与防城港市毗邻，北与南宁市接壤，位于北纬20°54′至22°41′，东经107°27′至109°56′之间。钦州市区距南宁市、北海市、防城港市的距离分别约为119km、99km 和63km。钦州地处广西沿海地区中心位置，是华南经济圈、西南经济圈与东盟经济圈的结合部，是连接中国西南、华南、中南与东盟大市场的重要枢纽。</w:t>
      </w:r>
    </w:p>
    <w:p w14:paraId="660724FF">
      <w:pPr>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钦州港经济技术开发区距钦州市中心城区约30km，面向钦州湾和北部湾，距北海港48海里，防城港35海里，海口港150海里，湛江港250海里，香港430海里，越南海防港155海里，是我国大西南最便捷的出海通道之一。</w:t>
      </w:r>
    </w:p>
    <w:p w14:paraId="2F863502">
      <w:pPr>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钦州石化产业园位于钦州港经济技术开发区内，其西面为港口生活区与七十二泾旅游区，东面为大榄坪工业区、大榄坪作业区及大环作业区、犀牛脚旅游度假区（三娘湾旅游度假区），南面为港口作业区，北面为对坎龙、碰龙江水库。</w:t>
      </w:r>
    </w:p>
    <w:p w14:paraId="42349DFA">
      <w:pPr>
        <w:pStyle w:val="4"/>
        <w:rPr>
          <w:color w:val="000000" w:themeColor="text1"/>
          <w14:textFill>
            <w14:solidFill>
              <w14:schemeClr w14:val="tx1"/>
            </w14:solidFill>
          </w14:textFill>
        </w:rPr>
      </w:pPr>
      <w:bookmarkStart w:id="506" w:name="_Toc136878465"/>
      <w:bookmarkStart w:id="507" w:name="_Toc135090216"/>
      <w:bookmarkStart w:id="508" w:name="_Toc25436956"/>
      <w:bookmarkStart w:id="509" w:name="_Toc26909999"/>
      <w:bookmarkStart w:id="510" w:name="_Toc216620529"/>
      <w:bookmarkStart w:id="511" w:name="_Toc29131813"/>
      <w:bookmarkStart w:id="512" w:name="_Toc216103370"/>
      <w:r>
        <w:rPr>
          <w:color w:val="000000" w:themeColor="text1"/>
          <w14:textFill>
            <w14:solidFill>
              <w14:schemeClr w14:val="tx1"/>
            </w14:solidFill>
          </w14:textFill>
        </w:rPr>
        <w:t>地形地貌</w:t>
      </w:r>
      <w:bookmarkEnd w:id="506"/>
      <w:bookmarkEnd w:id="507"/>
      <w:bookmarkEnd w:id="508"/>
      <w:bookmarkEnd w:id="509"/>
      <w:bookmarkEnd w:id="510"/>
      <w:bookmarkEnd w:id="511"/>
      <w:bookmarkEnd w:id="512"/>
    </w:p>
    <w:p w14:paraId="07EF5668">
      <w:pPr>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（1）钦州市地形、地貌</w:t>
      </w:r>
    </w:p>
    <w:p w14:paraId="7E4742A0">
      <w:pPr>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钦州市正处于广西中部钦江和茅岭江入海口，有相对较多的沿海平原。钦州全市地势北高南低，地貌类型多样，由北往南有规律地分布山地、丘陵、台地、平原。茅尾海北部接纳钦江与茅岭江入海，南部散落众多岛屿。</w:t>
      </w:r>
    </w:p>
    <w:p w14:paraId="42A59DB0">
      <w:pPr>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（2）钦州湾地形、地貌</w:t>
      </w:r>
    </w:p>
    <w:p w14:paraId="03268494">
      <w:pPr>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钦州湾湾口朝南，东、北、西三面丘陵环抱，是一个半封闭的天然海湾。该湾由内湾（茅尾海）、龙门水道和外湾（狭义的钦州湾）构成，其特点是，中间狭窄、两端宽阔。整个海湾呈低山丘陵、微斜平原及海漫滩地貌。钦州湾由于受地质构造影响以及海水长期</w:t>
      </w:r>
      <w:r>
        <w:rPr>
          <w:rFonts w:hint="eastAsia"/>
          <w:color w:val="000000" w:themeColor="text1"/>
          <w:kern w:val="0"/>
          <w:szCs w:val="22"/>
          <w:lang w:eastAsia="zh-CN"/>
          <w14:textFill>
            <w14:solidFill>
              <w14:schemeClr w14:val="tx1"/>
            </w14:solidFill>
          </w14:textFill>
        </w:rPr>
        <w:t>侵蚀</w:t>
      </w:r>
      <w:r>
        <w:rPr>
          <w:color w:val="000000" w:themeColor="text1"/>
          <w:kern w:val="0"/>
          <w:szCs w:val="22"/>
          <w14:textFill>
            <w14:solidFill>
              <w14:schemeClr w14:val="tx1"/>
            </w14:solidFill>
          </w14:textFill>
        </w:rPr>
        <w:t>，基本上没有大片宽阔平坦陆域，湾内大多为砂砾质岩岸。从青菜头至亚公山一带（即内湾南段）礁岛星罗棋布，港汊繁多，蜿蜒曲折，成为典型的台地溺谷。总的来说，该湾段分成东、西两汊，东汊为主，贯通全段，其陆岸为众多弯弯曲曲的小海汊分隔的低丘小岛，从岸线至钦州市约 33km，多为低丘地貌，其间除零星散落一些村庄以外，尚无</w:t>
      </w:r>
      <w:r>
        <w:rPr>
          <w:rFonts w:hint="eastAsia"/>
          <w:color w:val="000000" w:themeColor="text1"/>
          <w:kern w:val="0"/>
          <w:szCs w:val="22"/>
          <w:lang w:eastAsia="zh-CN"/>
          <w14:textFill>
            <w14:solidFill>
              <w14:schemeClr w14:val="tx1"/>
            </w14:solidFill>
          </w14:textFill>
        </w:rPr>
        <w:t>其他重要</w:t>
      </w:r>
      <w:r>
        <w:rPr>
          <w:color w:val="000000" w:themeColor="text1"/>
          <w:kern w:val="0"/>
          <w:szCs w:val="22"/>
          <w14:textFill>
            <w14:solidFill>
              <w14:schemeClr w14:val="tx1"/>
            </w14:solidFill>
          </w14:textFill>
        </w:rPr>
        <w:t>建筑。</w:t>
      </w:r>
    </w:p>
    <w:p w14:paraId="5DDCB136">
      <w:pPr>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（3）海岸及海岸类型、海底地貌</w:t>
      </w:r>
    </w:p>
    <w:p w14:paraId="3394E298">
      <w:pPr>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钦州湾的地貌类型比较复杂。按照地貌成因类型和形态特征，钦州湾沿岸地貌和海底地貌，可划分为：侵蚀-剥蚀构造地貌、古洪积-冲积地貌、河流冲积地貌、河海混合堆积地貌~三角洲、海蚀地貌、海积地貌和海底地貌等7种类型。</w:t>
      </w:r>
    </w:p>
    <w:p w14:paraId="3AAC5693">
      <w:pPr>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（4）岸线与陆域</w:t>
      </w:r>
    </w:p>
    <w:p w14:paraId="3AA89FE4">
      <w:pPr>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钦州湾内自青菜头至亚公山一带，海阔水深，具有良好的建港条件。陆域边缘滩地平坦，港汊发育，形态蜿蜒曲折，弱谷型的低丘岛屿星罗棋布，分布纵深达3km，其高度20~50m。岸线以内，丘陵起伏，绵延数十公里，田地较少，村落稀疏，可开发潜力很大，是建设大型海港和工业区的理想之地。厂址附近均为填海造地区域，地势平坦开阔。</w:t>
      </w:r>
    </w:p>
    <w:p w14:paraId="3C2371FD">
      <w:pPr>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（5）钦州石化产业园地形地貌</w:t>
      </w:r>
    </w:p>
    <w:p w14:paraId="386C8A25">
      <w:pPr>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项目所在的钦州石化产业园区域地貌上原属海叉丘陵地貌，大部分区域为低山丘陵谷和浅滩，北高南低。丘陵山体不大，多为孤丘，坡度较小，平均海拔15~20m，其中以对坎龙水库周围的山体较为密集，平均高度60~70m，最高的山体高达140m。东部临金鼓江，南部为沿海滩涂，地势低洼。经过多年地开发建设，钦州石化产业园区南面已形成港口作业区，路网已基本完善。</w:t>
      </w:r>
    </w:p>
    <w:p w14:paraId="4996D2CA">
      <w:pPr>
        <w:pStyle w:val="4"/>
        <w:rPr>
          <w:color w:val="000000" w:themeColor="text1"/>
          <w14:textFill>
            <w14:solidFill>
              <w14:schemeClr w14:val="tx1"/>
            </w14:solidFill>
          </w14:textFill>
        </w:rPr>
      </w:pPr>
      <w:bookmarkStart w:id="513" w:name="_Toc216103371"/>
      <w:bookmarkStart w:id="514" w:name="_Toc25436957"/>
      <w:bookmarkStart w:id="515" w:name="_Toc29131814"/>
      <w:bookmarkStart w:id="516" w:name="_Toc26910000"/>
      <w:bookmarkStart w:id="517" w:name="_Toc136878466"/>
      <w:bookmarkStart w:id="518" w:name="_Toc135090217"/>
      <w:bookmarkStart w:id="519" w:name="_Toc216620530"/>
      <w:r>
        <w:rPr>
          <w:color w:val="000000" w:themeColor="text1"/>
          <w14:textFill>
            <w14:solidFill>
              <w14:schemeClr w14:val="tx1"/>
            </w14:solidFill>
          </w14:textFill>
        </w:rPr>
        <w:t>地质概况</w:t>
      </w:r>
      <w:bookmarkEnd w:id="513"/>
      <w:bookmarkEnd w:id="514"/>
      <w:bookmarkEnd w:id="515"/>
      <w:bookmarkEnd w:id="516"/>
      <w:bookmarkEnd w:id="517"/>
      <w:bookmarkEnd w:id="518"/>
      <w:bookmarkEnd w:id="519"/>
    </w:p>
    <w:p w14:paraId="16C41A7D">
      <w:pPr>
        <w:pStyle w:val="6"/>
        <w:rPr>
          <w:color w:val="000000" w:themeColor="text1"/>
          <w14:textFill>
            <w14:solidFill>
              <w14:schemeClr w14:val="tx1"/>
            </w14:solidFill>
          </w14:textFill>
        </w:rPr>
      </w:pPr>
      <w:r>
        <w:rPr>
          <w:color w:val="000000" w:themeColor="text1"/>
          <w14:textFill>
            <w14:solidFill>
              <w14:schemeClr w14:val="tx1"/>
            </w14:solidFill>
          </w14:textFill>
        </w:rPr>
        <w:t>地层岩性</w:t>
      </w:r>
    </w:p>
    <w:p w14:paraId="4601BFFF">
      <w:pPr>
        <w:adjustRightInd w:val="0"/>
        <w:snapToGrid w:val="0"/>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评价区主要地层有：下志留统连滩群第五组（S</w:t>
      </w:r>
      <w:r>
        <w:rPr>
          <w:color w:val="000000" w:themeColor="text1"/>
          <w:kern w:val="0"/>
          <w:szCs w:val="22"/>
          <w:vertAlign w:val="subscript"/>
          <w14:textFill>
            <w14:solidFill>
              <w14:schemeClr w14:val="tx1"/>
            </w14:solidFill>
          </w14:textFill>
        </w:rPr>
        <w:t>1ln</w:t>
      </w:r>
      <w:r>
        <w:rPr>
          <w:color w:val="000000" w:themeColor="text1"/>
          <w:kern w:val="0"/>
          <w:szCs w:val="22"/>
          <w:vertAlign w:val="superscript"/>
          <w14:textFill>
            <w14:solidFill>
              <w14:schemeClr w14:val="tx1"/>
            </w14:solidFill>
          </w14:textFill>
        </w:rPr>
        <w:t>e</w:t>
      </w:r>
      <w:r>
        <w:rPr>
          <w:color w:val="000000" w:themeColor="text1"/>
          <w:kern w:val="0"/>
          <w:szCs w:val="22"/>
          <w14:textFill>
            <w14:solidFill>
              <w14:schemeClr w14:val="tx1"/>
            </w14:solidFill>
          </w14:textFill>
        </w:rPr>
        <w:t>）、现代海相沉积（Q</w:t>
      </w:r>
      <w:r>
        <w:rPr>
          <w:color w:val="000000" w:themeColor="text1"/>
          <w:kern w:val="0"/>
          <w:szCs w:val="22"/>
          <w:vertAlign w:val="subscript"/>
          <w14:textFill>
            <w14:solidFill>
              <w14:schemeClr w14:val="tx1"/>
            </w14:solidFill>
          </w14:textFill>
        </w:rPr>
        <w:t>4－2</w:t>
      </w:r>
      <w:r>
        <w:rPr>
          <w:color w:val="000000" w:themeColor="text1"/>
          <w:kern w:val="0"/>
          <w:szCs w:val="22"/>
          <w:vertAlign w:val="superscript"/>
          <w14:textFill>
            <w14:solidFill>
              <w14:schemeClr w14:val="tx1"/>
            </w14:solidFill>
          </w14:textFill>
        </w:rPr>
        <w:t>m</w:t>
      </w:r>
      <w:r>
        <w:rPr>
          <w:color w:val="000000" w:themeColor="text1"/>
          <w:kern w:val="0"/>
          <w:szCs w:val="22"/>
          <w14:textFill>
            <w14:solidFill>
              <w14:schemeClr w14:val="tx1"/>
            </w14:solidFill>
          </w14:textFill>
        </w:rPr>
        <w:t>）和人工填海堆积（Q</w:t>
      </w:r>
      <w:r>
        <w:rPr>
          <w:color w:val="000000" w:themeColor="text1"/>
          <w:kern w:val="0"/>
          <w:szCs w:val="22"/>
          <w:vertAlign w:val="subscript"/>
          <w14:textFill>
            <w14:solidFill>
              <w14:schemeClr w14:val="tx1"/>
            </w14:solidFill>
          </w14:textFill>
        </w:rPr>
        <w:t>4</w:t>
      </w:r>
      <w:r>
        <w:rPr>
          <w:color w:val="000000" w:themeColor="text1"/>
          <w:kern w:val="0"/>
          <w:szCs w:val="22"/>
          <w:vertAlign w:val="superscript"/>
          <w14:textFill>
            <w14:solidFill>
              <w14:schemeClr w14:val="tx1"/>
            </w14:solidFill>
          </w14:textFill>
        </w:rPr>
        <w:t>ml</w:t>
      </w:r>
      <w:r>
        <w:rPr>
          <w:color w:val="000000" w:themeColor="text1"/>
          <w:kern w:val="0"/>
          <w:szCs w:val="22"/>
          <w14:textFill>
            <w14:solidFill>
              <w14:schemeClr w14:val="tx1"/>
            </w14:solidFill>
          </w14:textFill>
        </w:rPr>
        <w:t>），岩性由老到新描述如下：</w:t>
      </w:r>
    </w:p>
    <w:p w14:paraId="27AA476D">
      <w:pPr>
        <w:adjustRightInd w:val="0"/>
        <w:snapToGrid w:val="0"/>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（1）下志留统连滩群第五组（S</w:t>
      </w:r>
      <w:r>
        <w:rPr>
          <w:color w:val="000000" w:themeColor="text1"/>
          <w:kern w:val="0"/>
          <w:szCs w:val="22"/>
          <w:vertAlign w:val="subscript"/>
          <w14:textFill>
            <w14:solidFill>
              <w14:schemeClr w14:val="tx1"/>
            </w14:solidFill>
          </w14:textFill>
        </w:rPr>
        <w:t>1ln</w:t>
      </w:r>
      <w:r>
        <w:rPr>
          <w:color w:val="000000" w:themeColor="text1"/>
          <w:kern w:val="0"/>
          <w:szCs w:val="22"/>
          <w:vertAlign w:val="superscript"/>
          <w14:textFill>
            <w14:solidFill>
              <w14:schemeClr w14:val="tx1"/>
            </w14:solidFill>
          </w14:textFill>
        </w:rPr>
        <w:t>e</w:t>
      </w:r>
      <w:r>
        <w:rPr>
          <w:color w:val="000000" w:themeColor="text1"/>
          <w:kern w:val="0"/>
          <w:szCs w:val="22"/>
          <w14:textFill>
            <w14:solidFill>
              <w14:schemeClr w14:val="tx1"/>
            </w14:solidFill>
          </w14:textFill>
        </w:rPr>
        <w:t>）</w:t>
      </w:r>
    </w:p>
    <w:p w14:paraId="7A7EC117">
      <w:pPr>
        <w:adjustRightInd w:val="0"/>
        <w:snapToGrid w:val="0"/>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出露于那丁断裂以南，旧营盘以上一带，岩性为中至厚层状细（中细）粒岩屑质砂岩夹泥质粉砂岩、粉砂质页岩、页岩及少量石英砂岩。厚度为1837~1993m。</w:t>
      </w:r>
    </w:p>
    <w:p w14:paraId="16C8F8B5">
      <w:pPr>
        <w:adjustRightInd w:val="0"/>
        <w:snapToGrid w:val="0"/>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（2）现代海相沉积（Q</w:t>
      </w:r>
      <w:r>
        <w:rPr>
          <w:color w:val="000000" w:themeColor="text1"/>
          <w:kern w:val="0"/>
          <w:szCs w:val="22"/>
          <w:vertAlign w:val="subscript"/>
          <w14:textFill>
            <w14:solidFill>
              <w14:schemeClr w14:val="tx1"/>
            </w14:solidFill>
          </w14:textFill>
        </w:rPr>
        <w:t>4－2</w:t>
      </w:r>
      <w:r>
        <w:rPr>
          <w:color w:val="000000" w:themeColor="text1"/>
          <w:kern w:val="0"/>
          <w:szCs w:val="22"/>
          <w:vertAlign w:val="superscript"/>
          <w14:textFill>
            <w14:solidFill>
              <w14:schemeClr w14:val="tx1"/>
            </w14:solidFill>
          </w14:textFill>
        </w:rPr>
        <w:t>m</w:t>
      </w:r>
      <w:r>
        <w:rPr>
          <w:color w:val="000000" w:themeColor="text1"/>
          <w:kern w:val="0"/>
          <w:szCs w:val="22"/>
          <w14:textFill>
            <w14:solidFill>
              <w14:schemeClr w14:val="tx1"/>
            </w14:solidFill>
          </w14:textFill>
        </w:rPr>
        <w:t>）</w:t>
      </w:r>
    </w:p>
    <w:p w14:paraId="678CC8E7">
      <w:pPr>
        <w:adjustRightInd w:val="0"/>
        <w:snapToGrid w:val="0"/>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分布于评价区南部淡水湾、钦州湾一带沿海滩涂，主要为潮间带沉积，岩性为砂质淤泥或淤泥质砂层，厚度为2~5m。</w:t>
      </w:r>
    </w:p>
    <w:p w14:paraId="34E88CFB">
      <w:pPr>
        <w:adjustRightInd w:val="0"/>
        <w:snapToGrid w:val="0"/>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（3）人工填海堆积（Q</w:t>
      </w:r>
      <w:r>
        <w:rPr>
          <w:color w:val="000000" w:themeColor="text1"/>
          <w:kern w:val="0"/>
          <w:szCs w:val="22"/>
          <w:vertAlign w:val="subscript"/>
          <w14:textFill>
            <w14:solidFill>
              <w14:schemeClr w14:val="tx1"/>
            </w14:solidFill>
          </w14:textFill>
        </w:rPr>
        <w:t>4</w:t>
      </w:r>
      <w:r>
        <w:rPr>
          <w:color w:val="000000" w:themeColor="text1"/>
          <w:kern w:val="0"/>
          <w:szCs w:val="22"/>
          <w:vertAlign w:val="superscript"/>
          <w14:textFill>
            <w14:solidFill>
              <w14:schemeClr w14:val="tx1"/>
            </w14:solidFill>
          </w14:textFill>
        </w:rPr>
        <w:t>ml</w:t>
      </w:r>
      <w:r>
        <w:rPr>
          <w:color w:val="000000" w:themeColor="text1"/>
          <w:kern w:val="0"/>
          <w:szCs w:val="22"/>
          <w14:textFill>
            <w14:solidFill>
              <w14:schemeClr w14:val="tx1"/>
            </w14:solidFill>
          </w14:textFill>
        </w:rPr>
        <w:t>）</w:t>
      </w:r>
    </w:p>
    <w:p w14:paraId="21730370">
      <w:pPr>
        <w:adjustRightInd w:val="0"/>
        <w:snapToGrid w:val="0"/>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分布于旧营盘以东及以南一带，主要岩性为素填土，杂色，以粉质粘土为主，含少量粉砂岩碎块，松散，回填时间10年左右，厚度为1.80~7.90m。</w:t>
      </w:r>
    </w:p>
    <w:p w14:paraId="2511FECD">
      <w:pPr>
        <w:pStyle w:val="6"/>
        <w:rPr>
          <w:color w:val="000000" w:themeColor="text1"/>
          <w14:textFill>
            <w14:solidFill>
              <w14:schemeClr w14:val="tx1"/>
            </w14:solidFill>
          </w14:textFill>
        </w:rPr>
      </w:pPr>
      <w:r>
        <w:rPr>
          <w:color w:val="000000" w:themeColor="text1"/>
          <w14:textFill>
            <w14:solidFill>
              <w14:schemeClr w14:val="tx1"/>
            </w14:solidFill>
          </w14:textFill>
        </w:rPr>
        <w:t>地质构造</w:t>
      </w:r>
    </w:p>
    <w:p w14:paraId="19A4EFD4">
      <w:pPr>
        <w:adjustRightInd w:val="0"/>
        <w:snapToGrid w:val="0"/>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根据区域地质资料，钦州位于新华夏系第二巨型沉降带的西南端与南岭纬向构造带的复合地带，按照各类构造形迹的性质、规模和组合排列关系，项目场地则位属东西向构造体系。主要出露那丽背斜和那丁断裂。</w:t>
      </w:r>
    </w:p>
    <w:p w14:paraId="4BCDDEEB">
      <w:pPr>
        <w:adjustRightInd w:val="0"/>
        <w:snapToGrid w:val="0"/>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根据区域地质资料，钦州位于新华夏系第二巨型沉降带的西南端与南岭纬向构造带的复合地带，按照各类构造形迹的性质、规模和组合排列关系，项目场地则位属东西向构造体系。主要出露那丽背斜(15)和那丁断裂</w:t>
      </w:r>
      <w:r>
        <w:rPr>
          <w:color w:val="000000" w:themeColor="text1"/>
          <w:kern w:val="0"/>
          <w:szCs w:val="22"/>
          <w14:textFill>
            <w14:solidFill>
              <w14:schemeClr w14:val="tx1"/>
            </w14:solidFill>
          </w14:textFill>
        </w:rPr>
        <w:fldChar w:fldCharType="begin"/>
      </w:r>
      <w:r>
        <w:rPr>
          <w:color w:val="000000" w:themeColor="text1"/>
          <w:kern w:val="0"/>
          <w:szCs w:val="22"/>
          <w14:textFill>
            <w14:solidFill>
              <w14:schemeClr w14:val="tx1"/>
            </w14:solidFill>
          </w14:textFill>
        </w:rPr>
        <w:instrText xml:space="preserve">eq \o\ac(</w:instrText>
      </w:r>
      <w:r>
        <w:rPr>
          <w:color w:val="000000" w:themeColor="text1"/>
          <w:kern w:val="0"/>
          <w:position w:val="-4"/>
          <w:sz w:val="36"/>
          <w:szCs w:val="22"/>
          <w14:textFill>
            <w14:solidFill>
              <w14:schemeClr w14:val="tx1"/>
            </w14:solidFill>
          </w14:textFill>
        </w:rPr>
        <w:instrText xml:space="preserve">○</w:instrText>
      </w:r>
      <w:r>
        <w:rPr>
          <w:color w:val="000000" w:themeColor="text1"/>
          <w:kern w:val="0"/>
          <w:szCs w:val="22"/>
          <w14:textFill>
            <w14:solidFill>
              <w14:schemeClr w14:val="tx1"/>
            </w14:solidFill>
          </w14:textFill>
        </w:rPr>
        <w:instrText xml:space="preserve">,41)</w:instrText>
      </w:r>
      <w:r>
        <w:rPr>
          <w:color w:val="000000" w:themeColor="text1"/>
          <w:kern w:val="0"/>
          <w:szCs w:val="22"/>
          <w14:textFill>
            <w14:solidFill>
              <w14:schemeClr w14:val="tx1"/>
            </w14:solidFill>
          </w14:textFill>
        </w:rPr>
        <w:fldChar w:fldCharType="end"/>
      </w:r>
      <w:r>
        <w:rPr>
          <w:color w:val="000000" w:themeColor="text1"/>
          <w:kern w:val="0"/>
          <w:szCs w:val="22"/>
          <w14:textFill>
            <w14:solidFill>
              <w14:schemeClr w14:val="tx1"/>
            </w14:solidFill>
          </w14:textFill>
        </w:rPr>
        <w:t>。</w:t>
      </w:r>
    </w:p>
    <w:p w14:paraId="2E8A9A36">
      <w:pPr>
        <w:adjustRightInd w:val="0"/>
        <w:snapToGrid w:val="0"/>
        <w:ind w:firstLine="482"/>
        <w:rPr>
          <w:b/>
          <w:color w:val="000000" w:themeColor="text1"/>
          <w:kern w:val="0"/>
          <w:szCs w:val="22"/>
          <w14:textFill>
            <w14:solidFill>
              <w14:schemeClr w14:val="tx1"/>
            </w14:solidFill>
          </w14:textFill>
        </w:rPr>
      </w:pPr>
      <w:r>
        <w:rPr>
          <w:b/>
          <w:color w:val="000000" w:themeColor="text1"/>
          <w:kern w:val="0"/>
          <w:szCs w:val="22"/>
          <w14:textFill>
            <w14:solidFill>
              <w14:schemeClr w14:val="tx1"/>
            </w14:solidFill>
          </w14:textFill>
        </w:rPr>
        <w:t>（1）褶皱构造</w:t>
      </w:r>
    </w:p>
    <w:p w14:paraId="772C6905">
      <w:pPr>
        <w:adjustRightInd w:val="0"/>
        <w:snapToGrid w:val="0"/>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区域主要分布有那丽背斜(15)，属加里东期构造，分布于那丽－大番坡一带，长76km，宽4－13km，轴向略呈反“S”形东北－西南向展布，次级褶皱发育，呈紧密线状，倾角较陡，局部倒转。轴部受那丁断层</w:t>
      </w:r>
      <w:r>
        <w:rPr>
          <w:color w:val="000000" w:themeColor="text1"/>
          <w:kern w:val="0"/>
          <w:szCs w:val="22"/>
          <w14:textFill>
            <w14:solidFill>
              <w14:schemeClr w14:val="tx1"/>
            </w14:solidFill>
          </w14:textFill>
        </w:rPr>
        <w:fldChar w:fldCharType="begin"/>
      </w:r>
      <w:r>
        <w:rPr>
          <w:color w:val="000000" w:themeColor="text1"/>
          <w:kern w:val="0"/>
          <w:szCs w:val="22"/>
          <w14:textFill>
            <w14:solidFill>
              <w14:schemeClr w14:val="tx1"/>
            </w14:solidFill>
          </w14:textFill>
        </w:rPr>
        <w:instrText xml:space="preserve">eq \o\ac(</w:instrText>
      </w:r>
      <w:r>
        <w:rPr>
          <w:color w:val="000000" w:themeColor="text1"/>
          <w:kern w:val="0"/>
          <w:position w:val="-4"/>
          <w:sz w:val="36"/>
          <w:szCs w:val="22"/>
          <w14:textFill>
            <w14:solidFill>
              <w14:schemeClr w14:val="tx1"/>
            </w14:solidFill>
          </w14:textFill>
        </w:rPr>
        <w:instrText xml:space="preserve">○</w:instrText>
      </w:r>
      <w:r>
        <w:rPr>
          <w:color w:val="000000" w:themeColor="text1"/>
          <w:kern w:val="0"/>
          <w:szCs w:val="22"/>
          <w14:textFill>
            <w14:solidFill>
              <w14:schemeClr w14:val="tx1"/>
            </w14:solidFill>
          </w14:textFill>
        </w:rPr>
        <w:instrText xml:space="preserve">,41)</w:instrText>
      </w:r>
      <w:r>
        <w:rPr>
          <w:color w:val="000000" w:themeColor="text1"/>
          <w:kern w:val="0"/>
          <w:szCs w:val="22"/>
          <w14:textFill>
            <w14:solidFill>
              <w14:schemeClr w14:val="tx1"/>
            </w14:solidFill>
          </w14:textFill>
        </w:rPr>
        <w:fldChar w:fldCharType="end"/>
      </w:r>
      <w:r>
        <w:rPr>
          <w:color w:val="000000" w:themeColor="text1"/>
          <w:kern w:val="0"/>
          <w:szCs w:val="22"/>
          <w14:textFill>
            <w14:solidFill>
              <w14:schemeClr w14:val="tx1"/>
            </w14:solidFill>
          </w14:textFill>
        </w:rPr>
        <w:t>所切，南翼全未出露。核部由下志留统连滩群第二组（S</w:t>
      </w:r>
      <w:r>
        <w:rPr>
          <w:color w:val="000000" w:themeColor="text1"/>
          <w:kern w:val="0"/>
          <w:szCs w:val="22"/>
          <w:vertAlign w:val="subscript"/>
          <w14:textFill>
            <w14:solidFill>
              <w14:schemeClr w14:val="tx1"/>
            </w14:solidFill>
          </w14:textFill>
        </w:rPr>
        <w:t>1ln</w:t>
      </w:r>
      <w:r>
        <w:rPr>
          <w:color w:val="000000" w:themeColor="text1"/>
          <w:kern w:val="0"/>
          <w:szCs w:val="22"/>
          <w:vertAlign w:val="superscript"/>
          <w14:textFill>
            <w14:solidFill>
              <w14:schemeClr w14:val="tx1"/>
            </w14:solidFill>
          </w14:textFill>
        </w:rPr>
        <w:t>b</w:t>
      </w:r>
      <w:r>
        <w:rPr>
          <w:color w:val="000000" w:themeColor="text1"/>
          <w:kern w:val="0"/>
          <w:szCs w:val="22"/>
          <w14:textFill>
            <w14:solidFill>
              <w14:schemeClr w14:val="tx1"/>
            </w14:solidFill>
          </w14:textFill>
        </w:rPr>
        <w:t>）组成、倾角40~70度，翼部由下志留统连滩群第三组（S</w:t>
      </w:r>
      <w:r>
        <w:rPr>
          <w:color w:val="000000" w:themeColor="text1"/>
          <w:kern w:val="0"/>
          <w:szCs w:val="22"/>
          <w:vertAlign w:val="subscript"/>
          <w14:textFill>
            <w14:solidFill>
              <w14:schemeClr w14:val="tx1"/>
            </w14:solidFill>
          </w14:textFill>
        </w:rPr>
        <w:t>1ln</w:t>
      </w:r>
      <w:r>
        <w:rPr>
          <w:color w:val="000000" w:themeColor="text1"/>
          <w:kern w:val="0"/>
          <w:szCs w:val="22"/>
          <w:vertAlign w:val="superscript"/>
          <w14:textFill>
            <w14:solidFill>
              <w14:schemeClr w14:val="tx1"/>
            </w14:solidFill>
          </w14:textFill>
        </w:rPr>
        <w:t>c</w:t>
      </w:r>
      <w:r>
        <w:rPr>
          <w:color w:val="000000" w:themeColor="text1"/>
          <w:kern w:val="0"/>
          <w:szCs w:val="22"/>
          <w14:textFill>
            <w14:solidFill>
              <w14:schemeClr w14:val="tx1"/>
            </w14:solidFill>
          </w14:textFill>
        </w:rPr>
        <w:t>）组成、倾角35－75度。后期被4条北西向断层所切割产生错移。但是那丽背斜由于离项目场地距离大于10km，对项目场地的影响甚微。</w:t>
      </w:r>
    </w:p>
    <w:p w14:paraId="50D1A120">
      <w:pPr>
        <w:adjustRightInd w:val="0"/>
        <w:snapToGrid w:val="0"/>
        <w:ind w:firstLine="482"/>
        <w:rPr>
          <w:b/>
          <w:color w:val="000000" w:themeColor="text1"/>
          <w:kern w:val="0"/>
          <w:szCs w:val="22"/>
          <w14:textFill>
            <w14:solidFill>
              <w14:schemeClr w14:val="tx1"/>
            </w14:solidFill>
          </w14:textFill>
        </w:rPr>
      </w:pPr>
      <w:r>
        <w:rPr>
          <w:b/>
          <w:color w:val="000000" w:themeColor="text1"/>
          <w:kern w:val="0"/>
          <w:szCs w:val="22"/>
          <w14:textFill>
            <w14:solidFill>
              <w14:schemeClr w14:val="tx1"/>
            </w14:solidFill>
          </w14:textFill>
        </w:rPr>
        <w:t>（2）断裂构造</w:t>
      </w:r>
    </w:p>
    <w:p w14:paraId="14D5D5FB">
      <w:pPr>
        <w:adjustRightInd w:val="0"/>
        <w:snapToGrid w:val="0"/>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区域主要分布有那丁断裂</w:t>
      </w:r>
      <w:r>
        <w:rPr>
          <w:color w:val="000000" w:themeColor="text1"/>
          <w:kern w:val="0"/>
          <w:szCs w:val="22"/>
          <w14:textFill>
            <w14:solidFill>
              <w14:schemeClr w14:val="tx1"/>
            </w14:solidFill>
          </w14:textFill>
        </w:rPr>
        <w:fldChar w:fldCharType="begin"/>
      </w:r>
      <w:r>
        <w:rPr>
          <w:color w:val="000000" w:themeColor="text1"/>
          <w:kern w:val="0"/>
          <w:szCs w:val="22"/>
          <w14:textFill>
            <w14:solidFill>
              <w14:schemeClr w14:val="tx1"/>
            </w14:solidFill>
          </w14:textFill>
        </w:rPr>
        <w:instrText xml:space="preserve">eq \o\ac(</w:instrText>
      </w:r>
      <w:r>
        <w:rPr>
          <w:color w:val="000000" w:themeColor="text1"/>
          <w:kern w:val="0"/>
          <w:position w:val="-4"/>
          <w:sz w:val="36"/>
          <w:szCs w:val="22"/>
          <w14:textFill>
            <w14:solidFill>
              <w14:schemeClr w14:val="tx1"/>
            </w14:solidFill>
          </w14:textFill>
        </w:rPr>
        <w:instrText xml:space="preserve">○</w:instrText>
      </w:r>
      <w:r>
        <w:rPr>
          <w:color w:val="000000" w:themeColor="text1"/>
          <w:kern w:val="0"/>
          <w:szCs w:val="22"/>
          <w14:textFill>
            <w14:solidFill>
              <w14:schemeClr w14:val="tx1"/>
            </w14:solidFill>
          </w14:textFill>
        </w:rPr>
        <w:instrText xml:space="preserve">,41)</w:instrText>
      </w:r>
      <w:r>
        <w:rPr>
          <w:color w:val="000000" w:themeColor="text1"/>
          <w:kern w:val="0"/>
          <w:szCs w:val="22"/>
          <w14:textFill>
            <w14:solidFill>
              <w14:schemeClr w14:val="tx1"/>
            </w14:solidFill>
          </w14:textFill>
        </w:rPr>
        <w:fldChar w:fldCharType="end"/>
      </w:r>
      <w:r>
        <w:rPr>
          <w:color w:val="000000" w:themeColor="text1"/>
          <w:kern w:val="0"/>
          <w:szCs w:val="22"/>
          <w14:textFill>
            <w14:solidFill>
              <w14:schemeClr w14:val="tx1"/>
            </w14:solidFill>
          </w14:textFill>
        </w:rPr>
        <w:t>，分布于那丽背斜南侧，与背斜轴线平行延伸，是褶皱发展强度达到极限的破裂形变，断面舒缓挠曲，西南段倾向南东，倾角35度；东北段倾向北或北北西，倾角46~80度；切割S~D</w:t>
      </w:r>
      <w:r>
        <w:rPr>
          <w:color w:val="000000" w:themeColor="text1"/>
          <w:kern w:val="0"/>
          <w:szCs w:val="22"/>
          <w:vertAlign w:val="subscript"/>
          <w14:textFill>
            <w14:solidFill>
              <w14:schemeClr w14:val="tx1"/>
            </w14:solidFill>
          </w14:textFill>
        </w:rPr>
        <w:t>1</w:t>
      </w:r>
      <w:r>
        <w:rPr>
          <w:color w:val="000000" w:themeColor="text1"/>
          <w:kern w:val="0"/>
          <w:szCs w:val="22"/>
          <w14:textFill>
            <w14:solidFill>
              <w14:schemeClr w14:val="tx1"/>
            </w14:solidFill>
          </w14:textFill>
        </w:rPr>
        <w:t>地层，断距5.7~8.4km，属压性逆断层，断裂带岩石挤压破碎、硅化，强烈拖褶，具斜冲擦痕。由于那丁断裂</w:t>
      </w:r>
      <w:r>
        <w:rPr>
          <w:color w:val="000000" w:themeColor="text1"/>
          <w:kern w:val="0"/>
          <w:szCs w:val="22"/>
          <w14:textFill>
            <w14:solidFill>
              <w14:schemeClr w14:val="tx1"/>
            </w14:solidFill>
          </w14:textFill>
        </w:rPr>
        <w:fldChar w:fldCharType="begin"/>
      </w:r>
      <w:r>
        <w:rPr>
          <w:color w:val="000000" w:themeColor="text1"/>
          <w:kern w:val="0"/>
          <w:szCs w:val="22"/>
          <w14:textFill>
            <w14:solidFill>
              <w14:schemeClr w14:val="tx1"/>
            </w14:solidFill>
          </w14:textFill>
        </w:rPr>
        <w:instrText xml:space="preserve">eq \o\ac(</w:instrText>
      </w:r>
      <w:r>
        <w:rPr>
          <w:color w:val="000000" w:themeColor="text1"/>
          <w:kern w:val="0"/>
          <w:position w:val="-4"/>
          <w:sz w:val="36"/>
          <w:szCs w:val="22"/>
          <w14:textFill>
            <w14:solidFill>
              <w14:schemeClr w14:val="tx1"/>
            </w14:solidFill>
          </w14:textFill>
        </w:rPr>
        <w:instrText xml:space="preserve">○</w:instrText>
      </w:r>
      <w:r>
        <w:rPr>
          <w:color w:val="000000" w:themeColor="text1"/>
          <w:kern w:val="0"/>
          <w:szCs w:val="22"/>
          <w14:textFill>
            <w14:solidFill>
              <w14:schemeClr w14:val="tx1"/>
            </w14:solidFill>
          </w14:textFill>
        </w:rPr>
        <w:instrText xml:space="preserve">,41)</w:instrText>
      </w:r>
      <w:r>
        <w:rPr>
          <w:color w:val="000000" w:themeColor="text1"/>
          <w:kern w:val="0"/>
          <w:szCs w:val="22"/>
          <w14:textFill>
            <w14:solidFill>
              <w14:schemeClr w14:val="tx1"/>
            </w14:solidFill>
          </w14:textFill>
        </w:rPr>
        <w:fldChar w:fldCharType="end"/>
      </w:r>
      <w:r>
        <w:rPr>
          <w:color w:val="000000" w:themeColor="text1"/>
          <w:kern w:val="0"/>
          <w:szCs w:val="22"/>
          <w14:textFill>
            <w14:solidFill>
              <w14:schemeClr w14:val="tx1"/>
            </w14:solidFill>
          </w14:textFill>
        </w:rPr>
        <w:t>离项目场地距离大于15km，所以对项目场地的影响甚微。</w:t>
      </w:r>
    </w:p>
    <w:p w14:paraId="4A98C324">
      <w:pPr>
        <w:spacing w:line="240" w:lineRule="atLeast"/>
        <w:ind w:firstLine="480"/>
        <w:rPr>
          <w:color w:val="000000" w:themeColor="text1"/>
          <w:kern w:val="0"/>
          <w:sz w:val="28"/>
          <w:szCs w:val="28"/>
          <w14:textFill>
            <w14:solidFill>
              <w14:schemeClr w14:val="tx1"/>
            </w14:solidFill>
          </w14:textFill>
        </w:rPr>
      </w:pPr>
      <w:r>
        <w:rPr>
          <w:color w:val="000000" w:themeColor="text1"/>
          <w:szCs w:val="22"/>
          <w14:textFill>
            <w14:solidFill>
              <w14:schemeClr w14:val="tx1"/>
            </w14:solidFill>
          </w14:textFill>
        </w:rPr>
        <mc:AlternateContent>
          <mc:Choice Requires="wps">
            <w:drawing>
              <wp:anchor distT="0" distB="0" distL="114300" distR="114300" simplePos="0" relativeHeight="251661312" behindDoc="0" locked="0" layoutInCell="1" allowOverlap="1">
                <wp:simplePos x="0" y="0"/>
                <wp:positionH relativeFrom="column">
                  <wp:posOffset>3783965</wp:posOffset>
                </wp:positionH>
                <wp:positionV relativeFrom="paragraph">
                  <wp:posOffset>5365750</wp:posOffset>
                </wp:positionV>
                <wp:extent cx="118745" cy="118745"/>
                <wp:effectExtent l="0" t="0" r="14605" b="14605"/>
                <wp:wrapNone/>
                <wp:docPr id="28" name="矩形 85"/>
                <wp:cNvGraphicFramePr/>
                <a:graphic xmlns:a="http://schemas.openxmlformats.org/drawingml/2006/main">
                  <a:graphicData uri="http://schemas.microsoft.com/office/word/2010/wordprocessingShape">
                    <wps:wsp>
                      <wps:cNvSpPr>
                        <a:spLocks noChangeArrowheads="1"/>
                      </wps:cNvSpPr>
                      <wps:spPr bwMode="auto">
                        <a:xfrm>
                          <a:off x="0" y="0"/>
                          <a:ext cx="118745" cy="118745"/>
                        </a:xfrm>
                        <a:prstGeom prst="rect">
                          <a:avLst/>
                        </a:prstGeom>
                        <a:solidFill>
                          <a:srgbClr val="FF0000"/>
                        </a:solidFill>
                        <a:ln w="9525" algn="ctr">
                          <a:solidFill>
                            <a:srgbClr val="FF0000"/>
                          </a:solidFill>
                          <a:miter lim="800000"/>
                        </a:ln>
                        <a:effectLst/>
                      </wps:spPr>
                      <wps:bodyPr rot="0" vert="horz" wrap="square" lIns="91440" tIns="45720" rIns="91440" bIns="45720" anchor="t" anchorCtr="0" upright="1">
                        <a:noAutofit/>
                      </wps:bodyPr>
                    </wps:wsp>
                  </a:graphicData>
                </a:graphic>
              </wp:anchor>
            </w:drawing>
          </mc:Choice>
          <mc:Fallback>
            <w:pict>
              <v:rect id="矩形 85" o:spid="_x0000_s1026" o:spt="1" style="position:absolute;left:0pt;margin-left:297.95pt;margin-top:422.5pt;height:9.35pt;width:9.35pt;z-index:251661312;mso-width-relative:page;mso-height-relative:page;" fillcolor="#FF0000" filled="t" stroked="t" coordsize="21600,21600" o:gfxdata="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GWMAU3bAAAACwEAAA8AAAAAAAAAAQAgAAAAIgAAAGRy&#10;cy9kb3ducmV2LnhtbFBLAQIUABQAAAAIAIdO4kBBdIzOOwIAAIkEAAAOAAAAAAAAAAEAIAAAACoB&#10;AABkcnMvZTJvRG9jLnhtbFBLBQYAAAAABgAGAFkBAADXBQAAAAA=&#10;">
                <v:fill on="t" focussize="0,0"/>
                <v:stroke color="#FF0000" miterlimit="8" joinstyle="miter"/>
                <v:imagedata o:title=""/>
                <o:lock v:ext="edit" aspectratio="f"/>
              </v:rect>
            </w:pict>
          </mc:Fallback>
        </mc:AlternateContent>
      </w:r>
      <w:r>
        <w:rPr>
          <w:color w:val="000000" w:themeColor="text1"/>
          <w:szCs w:val="22"/>
          <w14:textFill>
            <w14:solidFill>
              <w14:schemeClr w14:val="tx1"/>
            </w14:solidFill>
          </w14:textFill>
        </w:rPr>
        <mc:AlternateContent>
          <mc:Choice Requires="wps">
            <w:drawing>
              <wp:anchor distT="0" distB="0" distL="114300" distR="114300" simplePos="0" relativeHeight="251659264" behindDoc="0" locked="0" layoutInCell="1" allowOverlap="1">
                <wp:simplePos x="0" y="0"/>
                <wp:positionH relativeFrom="column">
                  <wp:posOffset>3730625</wp:posOffset>
                </wp:positionH>
                <wp:positionV relativeFrom="paragraph">
                  <wp:posOffset>5923280</wp:posOffset>
                </wp:positionV>
                <wp:extent cx="607060" cy="280035"/>
                <wp:effectExtent l="0" t="552450" r="21590" b="24765"/>
                <wp:wrapNone/>
                <wp:docPr id="29" name="圆角矩形标注 84"/>
                <wp:cNvGraphicFramePr/>
                <a:graphic xmlns:a="http://schemas.openxmlformats.org/drawingml/2006/main">
                  <a:graphicData uri="http://schemas.microsoft.com/office/word/2010/wordprocessingShape">
                    <wps:wsp>
                      <wps:cNvSpPr>
                        <a:spLocks noChangeArrowheads="1"/>
                      </wps:cNvSpPr>
                      <wps:spPr bwMode="auto">
                        <a:xfrm>
                          <a:off x="0" y="0"/>
                          <a:ext cx="607060" cy="280035"/>
                        </a:xfrm>
                        <a:prstGeom prst="wedgeRoundRectCallout">
                          <a:avLst>
                            <a:gd name="adj1" fmla="val -32319"/>
                            <a:gd name="adj2" fmla="val -228921"/>
                            <a:gd name="adj3" fmla="val 16667"/>
                          </a:avLst>
                        </a:prstGeom>
                        <a:solidFill>
                          <a:srgbClr val="FFFFFF">
                            <a:alpha val="52000"/>
                          </a:srgbClr>
                        </a:solidFill>
                        <a:ln w="9525" algn="ctr">
                          <a:solidFill>
                            <a:srgbClr val="FF0000"/>
                          </a:solidFill>
                          <a:miter lim="800000"/>
                        </a:ln>
                        <a:effectLst/>
                      </wps:spPr>
                      <wps:txbx>
                        <w:txbxContent>
                          <w:p w14:paraId="17286264">
                            <w:pPr>
                              <w:spacing w:line="240" w:lineRule="auto"/>
                              <w:ind w:firstLine="0" w:firstLineChars="0"/>
                              <w:rPr>
                                <w:color w:val="FF0000"/>
                                <w:spacing w:val="-10"/>
                                <w:sz w:val="21"/>
                              </w:rPr>
                            </w:pPr>
                            <w:r>
                              <w:rPr>
                                <w:rFonts w:hint="eastAsia"/>
                                <w:color w:val="FF0000"/>
                                <w:spacing w:val="-10"/>
                                <w:sz w:val="21"/>
                              </w:rPr>
                              <w:t>项目位置</w:t>
                            </w:r>
                          </w:p>
                        </w:txbxContent>
                      </wps:txbx>
                      <wps:bodyPr rot="0" vert="horz" wrap="square" lIns="0" tIns="45720" rIns="0" bIns="45720" anchor="t" anchorCtr="0" upright="1">
                        <a:noAutofit/>
                      </wps:bodyPr>
                    </wps:wsp>
                  </a:graphicData>
                </a:graphic>
              </wp:anchor>
            </w:drawing>
          </mc:Choice>
          <mc:Fallback>
            <w:pict>
              <v:shape id="圆角矩形标注 84" o:spid="_x0000_s1026" o:spt="62" type="#_x0000_t62" style="position:absolute;left:0pt;margin-left:293.75pt;margin-top:466.4pt;height:22.05pt;width:47.8pt;z-index:251659264;mso-width-relative:page;mso-height-relative:page;" fillcolor="#FFFFFF" filled="t" stroked="t" coordsize="21600,21600" o:gfxdata="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" adj="3819,-38647,14400">
                <v:fill on="t" opacity="34078f" focussize="0,0"/>
                <v:stroke color="#FF0000" miterlimit="8" joinstyle="miter"/>
                <v:imagedata o:title=""/>
                <o:lock v:ext="edit" aspectratio="f"/>
                <v:textbox inset="0mm,1.27mm,0mm,1.27mm">
                  <w:txbxContent>
                    <w:p w14:paraId="17286264">
                      <w:pPr>
                        <w:spacing w:line="240" w:lineRule="auto"/>
                        <w:ind w:firstLine="0" w:firstLineChars="0"/>
                        <w:rPr>
                          <w:color w:val="FF0000"/>
                          <w:spacing w:val="-10"/>
                          <w:sz w:val="21"/>
                        </w:rPr>
                      </w:pPr>
                      <w:r>
                        <w:rPr>
                          <w:rFonts w:hint="eastAsia"/>
                          <w:color w:val="FF0000"/>
                          <w:spacing w:val="-10"/>
                          <w:sz w:val="21"/>
                        </w:rPr>
                        <w:t>项目位置</w:t>
                      </w:r>
                    </w:p>
                  </w:txbxContent>
                </v:textbox>
              </v:shape>
            </w:pict>
          </mc:Fallback>
        </mc:AlternateContent>
      </w:r>
      <w:r>
        <w:rPr>
          <w:color w:val="000000" w:themeColor="text1"/>
          <w:kern w:val="0"/>
          <w:sz w:val="28"/>
          <w:szCs w:val="28"/>
          <w14:textFill>
            <w14:solidFill>
              <w14:schemeClr w14:val="tx1"/>
            </w14:solidFill>
          </w14:textFill>
        </w:rPr>
        <w:drawing>
          <wp:inline distT="0" distB="0" distL="0" distR="0">
            <wp:extent cx="5505450" cy="8515350"/>
            <wp:effectExtent l="0" t="0" r="0" b="0"/>
            <wp:docPr id="39" name="图片 8" descr="构造纲要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8" descr="构造纲要图"/>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a:xfrm>
                      <a:off x="0" y="0"/>
                      <a:ext cx="5505450" cy="8515350"/>
                    </a:xfrm>
                    <a:prstGeom prst="rect">
                      <a:avLst/>
                    </a:prstGeom>
                    <a:solidFill>
                      <a:srgbClr val="FFFFFF"/>
                    </a:solidFill>
                    <a:ln>
                      <a:noFill/>
                    </a:ln>
                  </pic:spPr>
                </pic:pic>
              </a:graphicData>
            </a:graphic>
          </wp:inline>
        </w:drawing>
      </w:r>
      <w:r>
        <w:rPr>
          <w:color w:val="000000" w:themeColor="text1"/>
          <w:szCs w:val="22"/>
          <w14:textFill>
            <w14:solidFill>
              <w14:schemeClr w14:val="tx1"/>
            </w14:solidFill>
          </w14:textFill>
        </w:rPr>
        <mc:AlternateContent>
          <mc:Choice Requires="wps">
            <w:drawing>
              <wp:anchor distT="0" distB="0" distL="114300" distR="114300" simplePos="0" relativeHeight="251660288" behindDoc="0" locked="0" layoutInCell="1" allowOverlap="1">
                <wp:simplePos x="0" y="0"/>
                <wp:positionH relativeFrom="column">
                  <wp:posOffset>2210435</wp:posOffset>
                </wp:positionH>
                <wp:positionV relativeFrom="paragraph">
                  <wp:posOffset>7613015</wp:posOffset>
                </wp:positionV>
                <wp:extent cx="1400175" cy="99060"/>
                <wp:effectExtent l="0" t="0" r="9525" b="0"/>
                <wp:wrapNone/>
                <wp:docPr id="27" name="矩形 79"/>
                <wp:cNvGraphicFramePr/>
                <a:graphic xmlns:a="http://schemas.openxmlformats.org/drawingml/2006/main">
                  <a:graphicData uri="http://schemas.microsoft.com/office/word/2010/wordprocessingShape">
                    <wps:wsp>
                      <wps:cNvSpPr>
                        <a:spLocks noChangeArrowheads="1"/>
                      </wps:cNvSpPr>
                      <wps:spPr bwMode="auto">
                        <a:xfrm>
                          <a:off x="0" y="0"/>
                          <a:ext cx="1400175" cy="99060"/>
                        </a:xfrm>
                        <a:prstGeom prst="rect">
                          <a:avLst/>
                        </a:prstGeom>
                        <a:solidFill>
                          <a:srgbClr val="FFFFFF"/>
                        </a:solidFill>
                        <a:ln>
                          <a:noFill/>
                        </a:ln>
                        <a:effectLst/>
                      </wps:spPr>
                      <wps:bodyPr rot="0" vert="horz" wrap="square" lIns="91440" tIns="45720" rIns="91440" bIns="45720" anchor="t" anchorCtr="0" upright="1">
                        <a:noAutofit/>
                      </wps:bodyPr>
                    </wps:wsp>
                  </a:graphicData>
                </a:graphic>
              </wp:anchor>
            </w:drawing>
          </mc:Choice>
          <mc:Fallback>
            <w:pict>
              <v:rect id="矩形 79" o:spid="_x0000_s1026" o:spt="1" style="position:absolute;left:0pt;margin-left:174.05pt;margin-top:599.45pt;height:7.8pt;width:110.25pt;z-index:251660288;mso-width-relative:page;mso-height-relative:page;" fillcolor="#FFFFFF" filled="t" stroked="f" coordsize="21600,21600" o:gfxdata="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IZF&#10;g/vaAAAADQEAAA8AAAAAAAAAAQAgAAAAIgAAAGRycy9kb3ducmV2LnhtbFBLAQIUABQAAAAIAIdO&#10;4kDqh7NdIQIAADUEAAAOAAAAAAAAAAEAIAAAACkBAABkcnMvZTJvRG9jLnhtbFBLBQYAAAAABgAG&#10;AFkBAAC8BQAAAAA=&#10;">
                <v:fill on="t" focussize="0,0"/>
                <v:stroke on="f"/>
                <v:imagedata o:title=""/>
                <o:lock v:ext="edit" aspectratio="f"/>
              </v:rect>
            </w:pict>
          </mc:Fallback>
        </mc:AlternateContent>
      </w:r>
    </w:p>
    <w:p w14:paraId="3356781E">
      <w:pPr>
        <w:pStyle w:val="8"/>
        <w:rPr>
          <w:color w:val="000000" w:themeColor="text1"/>
          <w14:textFill>
            <w14:solidFill>
              <w14:schemeClr w14:val="tx1"/>
            </w14:solidFill>
          </w14:textFill>
        </w:rPr>
      </w:pPr>
      <w:r>
        <w:rPr>
          <w:color w:val="000000" w:themeColor="text1"/>
          <w14:textFill>
            <w14:solidFill>
              <w14:schemeClr w14:val="tx1"/>
            </w14:solidFill>
          </w14:textFill>
        </w:rPr>
        <w:t>区域地质构造图</w:t>
      </w:r>
    </w:p>
    <w:p w14:paraId="6B657F45">
      <w:pPr>
        <w:pStyle w:val="6"/>
        <w:rPr>
          <w:color w:val="000000" w:themeColor="text1"/>
          <w14:textFill>
            <w14:solidFill>
              <w14:schemeClr w14:val="tx1"/>
            </w14:solidFill>
          </w14:textFill>
        </w:rPr>
      </w:pPr>
      <w:r>
        <w:rPr>
          <w:color w:val="000000" w:themeColor="text1"/>
          <w14:textFill>
            <w14:solidFill>
              <w14:schemeClr w14:val="tx1"/>
            </w14:solidFill>
          </w14:textFill>
        </w:rPr>
        <w:t>区域水文地质条件</w:t>
      </w:r>
    </w:p>
    <w:p w14:paraId="6815CBDD">
      <w:pPr>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（1）水文地质单元</w:t>
      </w:r>
    </w:p>
    <w:p w14:paraId="7F2733DD">
      <w:pPr>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评价区位于金鼓江流域的入海口处，金鼓江是评价区的主要排泄基准面；评价区东部、西部和南部均以钦州湾海域为界，北部被碎屑岩所包围，地下分水岭与地表分水岭一致，形成一个相对独立的水文地质单元，汇水面积约40km</w:t>
      </w:r>
      <w:r>
        <w:rPr>
          <w:color w:val="000000" w:themeColor="text1"/>
          <w:kern w:val="0"/>
          <w:szCs w:val="22"/>
          <w:vertAlign w:val="superscript"/>
          <w14:textFill>
            <w14:solidFill>
              <w14:schemeClr w14:val="tx1"/>
            </w14:solidFill>
          </w14:textFill>
        </w:rPr>
        <w:t>2</w:t>
      </w:r>
      <w:r>
        <w:rPr>
          <w:color w:val="000000" w:themeColor="text1"/>
          <w:kern w:val="0"/>
          <w:szCs w:val="22"/>
          <w14:textFill>
            <w14:solidFill>
              <w14:schemeClr w14:val="tx1"/>
            </w14:solidFill>
          </w14:textFill>
        </w:rPr>
        <w:t>。</w:t>
      </w:r>
    </w:p>
    <w:p w14:paraId="2F1E55A2">
      <w:pPr>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（2）含水岩组及分布特征</w:t>
      </w:r>
    </w:p>
    <w:p w14:paraId="313DE177">
      <w:pPr>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将含水介质、储水空间相同或相近的地层，进行归并组合，评价区含水岩组划分为松散岩类含水岩组、碎屑岩类含水岩组</w:t>
      </w:r>
      <w:r>
        <w:rPr>
          <w:rFonts w:hint="eastAsia"/>
          <w:color w:val="000000" w:themeColor="text1"/>
          <w:kern w:val="0"/>
          <w:szCs w:val="22"/>
          <w:lang w:eastAsia="zh-CN"/>
          <w14:textFill>
            <w14:solidFill>
              <w14:schemeClr w14:val="tx1"/>
            </w14:solidFill>
          </w14:textFill>
        </w:rPr>
        <w:t>两大类</w:t>
      </w:r>
      <w:r>
        <w:rPr>
          <w:color w:val="000000" w:themeColor="text1"/>
          <w:kern w:val="0"/>
          <w:szCs w:val="22"/>
          <w14:textFill>
            <w14:solidFill>
              <w14:schemeClr w14:val="tx1"/>
            </w14:solidFill>
          </w14:textFill>
        </w:rPr>
        <w:t>。</w:t>
      </w:r>
    </w:p>
    <w:p w14:paraId="3483316B">
      <w:pPr>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松散岩类含水岩组为现代海相沉积（Q</w:t>
      </w:r>
      <w:r>
        <w:rPr>
          <w:color w:val="000000" w:themeColor="text1"/>
          <w:kern w:val="0"/>
          <w:szCs w:val="22"/>
          <w:vertAlign w:val="subscript"/>
          <w14:textFill>
            <w14:solidFill>
              <w14:schemeClr w14:val="tx1"/>
            </w14:solidFill>
          </w14:textFill>
        </w:rPr>
        <w:t>4－2</w:t>
      </w:r>
      <w:r>
        <w:rPr>
          <w:color w:val="000000" w:themeColor="text1"/>
          <w:kern w:val="0"/>
          <w:szCs w:val="22"/>
          <w:vertAlign w:val="superscript"/>
          <w14:textFill>
            <w14:solidFill>
              <w14:schemeClr w14:val="tx1"/>
            </w14:solidFill>
          </w14:textFill>
        </w:rPr>
        <w:t>m</w:t>
      </w:r>
      <w:r>
        <w:rPr>
          <w:color w:val="000000" w:themeColor="text1"/>
          <w:kern w:val="0"/>
          <w:szCs w:val="22"/>
          <w14:textFill>
            <w14:solidFill>
              <w14:schemeClr w14:val="tx1"/>
            </w14:solidFill>
          </w14:textFill>
        </w:rPr>
        <w:t>）和人工填海堆积（Q</w:t>
      </w:r>
      <w:r>
        <w:rPr>
          <w:color w:val="000000" w:themeColor="text1"/>
          <w:kern w:val="0"/>
          <w:szCs w:val="22"/>
          <w:vertAlign w:val="subscript"/>
          <w14:textFill>
            <w14:solidFill>
              <w14:schemeClr w14:val="tx1"/>
            </w14:solidFill>
          </w14:textFill>
        </w:rPr>
        <w:t>4</w:t>
      </w:r>
      <w:r>
        <w:rPr>
          <w:color w:val="000000" w:themeColor="text1"/>
          <w:kern w:val="0"/>
          <w:szCs w:val="22"/>
          <w:vertAlign w:val="superscript"/>
          <w14:textFill>
            <w14:solidFill>
              <w14:schemeClr w14:val="tx1"/>
            </w14:solidFill>
          </w14:textFill>
        </w:rPr>
        <w:t>ml</w:t>
      </w:r>
      <w:r>
        <w:rPr>
          <w:color w:val="000000" w:themeColor="text1"/>
          <w:kern w:val="0"/>
          <w:szCs w:val="22"/>
          <w14:textFill>
            <w14:solidFill>
              <w14:schemeClr w14:val="tx1"/>
            </w14:solidFill>
          </w14:textFill>
        </w:rPr>
        <w:t>），岩性为砂质淤泥或淤泥质砂层、含砾粉质粘土，主要分布于旧营盘以东及以南一带，底部主要为潮间带沉积，上部为人工填土，分布面积较广。</w:t>
      </w:r>
    </w:p>
    <w:p w14:paraId="1F5891E9">
      <w:pPr>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粉砂岩、泥岩、页岩含水岩组为下志留统连滩群第五组（S</w:t>
      </w:r>
      <w:r>
        <w:rPr>
          <w:color w:val="000000" w:themeColor="text1"/>
          <w:kern w:val="0"/>
          <w:szCs w:val="22"/>
          <w:vertAlign w:val="subscript"/>
          <w14:textFill>
            <w14:solidFill>
              <w14:schemeClr w14:val="tx1"/>
            </w14:solidFill>
          </w14:textFill>
        </w:rPr>
        <w:t>1</w:t>
      </w:r>
      <w:r>
        <w:rPr>
          <w:color w:val="000000" w:themeColor="text1"/>
          <w:kern w:val="0"/>
          <w:szCs w:val="22"/>
          <w14:textFill>
            <w14:solidFill>
              <w14:schemeClr w14:val="tx1"/>
            </w14:solidFill>
          </w14:textFill>
        </w:rPr>
        <w:t>ln</w:t>
      </w:r>
      <w:r>
        <w:rPr>
          <w:color w:val="000000" w:themeColor="text1"/>
          <w:kern w:val="0"/>
          <w:szCs w:val="22"/>
          <w:vertAlign w:val="superscript"/>
          <w14:textFill>
            <w14:solidFill>
              <w14:schemeClr w14:val="tx1"/>
            </w14:solidFill>
          </w14:textFill>
        </w:rPr>
        <w:t>e</w:t>
      </w:r>
      <w:r>
        <w:rPr>
          <w:color w:val="000000" w:themeColor="text1"/>
          <w:kern w:val="0"/>
          <w:szCs w:val="22"/>
          <w14:textFill>
            <w14:solidFill>
              <w14:schemeClr w14:val="tx1"/>
            </w14:solidFill>
          </w14:textFill>
        </w:rPr>
        <w:t>），岩性主要为细粒岩屑质砂岩、粉砂岩夹泥质粉砂岩、页岩、泥岩，分布在评价区中部及北部分地区，分布面积广。</w:t>
      </w:r>
    </w:p>
    <w:p w14:paraId="5B3D300B">
      <w:pPr>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（3）地下水类型及富水性</w:t>
      </w:r>
    </w:p>
    <w:p w14:paraId="7ACD9A8E">
      <w:pPr>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项目所在区域地下水主要为松散层孔隙潜水和基岩裂隙水。由于松散层孔隙含水层分布面积小，基岩裂隙含水层补给及储存条件较差，含水层富水性极不均匀，本地区地下水不能作为城市集中供水水源。地下水主要为裂隙孔隙承压水，地下水的补给主要是降雨的垂直补给和地表水(山塘、水库)侧向补给，其径流排泄总体上是由北向南，由东西两侧向中部钦江河径流排泄。目前，钦州市主要的生活和工业用水以地表水为主，地下水开采量约占总用水量的20%。区域评价内无集中式地下水水源保护区。</w:t>
      </w:r>
    </w:p>
    <w:p w14:paraId="129030D3">
      <w:pPr>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根据岩性及含水介质特征，评价区可划分松散岩类含水岩组、碎屑岩类含水岩组</w:t>
      </w:r>
      <w:r>
        <w:rPr>
          <w:rFonts w:hint="eastAsia"/>
          <w:color w:val="000000" w:themeColor="text1"/>
          <w:kern w:val="0"/>
          <w:szCs w:val="22"/>
          <w:lang w:eastAsia="zh-CN"/>
          <w14:textFill>
            <w14:solidFill>
              <w14:schemeClr w14:val="tx1"/>
            </w14:solidFill>
          </w14:textFill>
        </w:rPr>
        <w:t>两大类</w:t>
      </w:r>
      <w:r>
        <w:rPr>
          <w:color w:val="000000" w:themeColor="text1"/>
          <w:kern w:val="0"/>
          <w:szCs w:val="22"/>
          <w14:textFill>
            <w14:solidFill>
              <w14:schemeClr w14:val="tx1"/>
            </w14:solidFill>
          </w14:textFill>
        </w:rPr>
        <w:t>。根据含水岩组及地下水赋存条件，相应的评价区地下水类型可划分为松散岩类孔隙水、基岩构造裂隙水两大类。</w:t>
      </w:r>
    </w:p>
    <w:p w14:paraId="0F20E14E">
      <w:pPr>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根据1:20万钦州合浦幅区域水文地质普查报告（广西地质矿产局广西水文工程地质队，1986年）资料，结合本次调查结果，评价区各类地下水的富水性如下：</w:t>
      </w:r>
    </w:p>
    <w:p w14:paraId="52937FD7">
      <w:pPr>
        <w:ind w:firstLine="480"/>
        <w:rPr>
          <w:color w:val="000000" w:themeColor="text1"/>
          <w:kern w:val="0"/>
          <w:szCs w:val="22"/>
          <w14:textFill>
            <w14:solidFill>
              <w14:schemeClr w14:val="tx1"/>
            </w14:solidFill>
          </w14:textFill>
        </w:rPr>
      </w:pPr>
      <w:r>
        <w:rPr>
          <w:rFonts w:hint="eastAsia" w:ascii="宋体" w:hAnsi="宋体" w:cs="宋体"/>
          <w:color w:val="000000" w:themeColor="text1"/>
          <w:kern w:val="0"/>
          <w:szCs w:val="22"/>
          <w14:textFill>
            <w14:solidFill>
              <w14:schemeClr w14:val="tx1"/>
            </w14:solidFill>
          </w14:textFill>
        </w:rPr>
        <w:t>①</w:t>
      </w:r>
      <w:r>
        <w:rPr>
          <w:color w:val="000000" w:themeColor="text1"/>
          <w:kern w:val="0"/>
          <w:szCs w:val="22"/>
          <w14:textFill>
            <w14:solidFill>
              <w14:schemeClr w14:val="tx1"/>
            </w14:solidFill>
          </w14:textFill>
        </w:rPr>
        <w:t>松散岩类孔隙水的富水性</w:t>
      </w:r>
    </w:p>
    <w:p w14:paraId="5F1BC552">
      <w:pPr>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该类型地下水赋存于评价区南部现代海相沉积（Q</w:t>
      </w:r>
      <w:r>
        <w:rPr>
          <w:color w:val="000000" w:themeColor="text1"/>
          <w:kern w:val="0"/>
          <w:szCs w:val="22"/>
          <w:vertAlign w:val="subscript"/>
          <w14:textFill>
            <w14:solidFill>
              <w14:schemeClr w14:val="tx1"/>
            </w14:solidFill>
          </w14:textFill>
        </w:rPr>
        <w:t>4－2</w:t>
      </w:r>
      <w:r>
        <w:rPr>
          <w:color w:val="000000" w:themeColor="text1"/>
          <w:kern w:val="0"/>
          <w:szCs w:val="22"/>
          <w:vertAlign w:val="superscript"/>
          <w14:textFill>
            <w14:solidFill>
              <w14:schemeClr w14:val="tx1"/>
            </w14:solidFill>
          </w14:textFill>
        </w:rPr>
        <w:t>m</w:t>
      </w:r>
      <w:r>
        <w:rPr>
          <w:color w:val="000000" w:themeColor="text1"/>
          <w:kern w:val="0"/>
          <w:szCs w:val="22"/>
          <w14:textFill>
            <w14:solidFill>
              <w14:schemeClr w14:val="tx1"/>
            </w14:solidFill>
          </w14:textFill>
        </w:rPr>
        <w:t>）地层及人工填海地层的孔隙中，单孔涌水量区间值为2.04~167.0t/d，平均47.57 t/d；泉流量区间值为0.079~3.59 L/s，平均0.861 L/s；富水性等级为贫乏。</w:t>
      </w:r>
    </w:p>
    <w:p w14:paraId="393696D7">
      <w:pPr>
        <w:ind w:firstLine="480"/>
        <w:rPr>
          <w:color w:val="000000" w:themeColor="text1"/>
          <w:kern w:val="0"/>
          <w:szCs w:val="22"/>
          <w14:textFill>
            <w14:solidFill>
              <w14:schemeClr w14:val="tx1"/>
            </w14:solidFill>
          </w14:textFill>
        </w:rPr>
      </w:pPr>
      <w:r>
        <w:rPr>
          <w:rFonts w:hint="eastAsia" w:ascii="宋体" w:hAnsi="宋体" w:cs="宋体"/>
          <w:color w:val="000000" w:themeColor="text1"/>
          <w:kern w:val="0"/>
          <w:szCs w:val="22"/>
          <w14:textFill>
            <w14:solidFill>
              <w14:schemeClr w14:val="tx1"/>
            </w14:solidFill>
          </w14:textFill>
        </w:rPr>
        <w:t>②</w:t>
      </w:r>
      <w:r>
        <w:rPr>
          <w:color w:val="000000" w:themeColor="text1"/>
          <w:kern w:val="0"/>
          <w:szCs w:val="22"/>
          <w14:textFill>
            <w14:solidFill>
              <w14:schemeClr w14:val="tx1"/>
            </w14:solidFill>
          </w14:textFill>
        </w:rPr>
        <w:t>基岩构造裂隙水的富水性</w:t>
      </w:r>
    </w:p>
    <w:p w14:paraId="31388849">
      <w:pPr>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该类型地下水赋存于下志留统连滩群第五组（S</w:t>
      </w:r>
      <w:r>
        <w:rPr>
          <w:color w:val="000000" w:themeColor="text1"/>
          <w:kern w:val="0"/>
          <w:szCs w:val="22"/>
          <w:vertAlign w:val="subscript"/>
          <w14:textFill>
            <w14:solidFill>
              <w14:schemeClr w14:val="tx1"/>
            </w14:solidFill>
          </w14:textFill>
        </w:rPr>
        <w:t>1</w:t>
      </w:r>
      <w:r>
        <w:rPr>
          <w:color w:val="000000" w:themeColor="text1"/>
          <w:kern w:val="0"/>
          <w:szCs w:val="22"/>
          <w14:textFill>
            <w14:solidFill>
              <w14:schemeClr w14:val="tx1"/>
            </w14:solidFill>
          </w14:textFill>
        </w:rPr>
        <w:t>ln</w:t>
      </w:r>
      <w:r>
        <w:rPr>
          <w:color w:val="000000" w:themeColor="text1"/>
          <w:kern w:val="0"/>
          <w:szCs w:val="22"/>
          <w:vertAlign w:val="superscript"/>
          <w14:textFill>
            <w14:solidFill>
              <w14:schemeClr w14:val="tx1"/>
            </w14:solidFill>
          </w14:textFill>
        </w:rPr>
        <w:t>e</w:t>
      </w:r>
      <w:r>
        <w:rPr>
          <w:color w:val="000000" w:themeColor="text1"/>
          <w:kern w:val="0"/>
          <w:szCs w:val="22"/>
          <w14:textFill>
            <w14:solidFill>
              <w14:schemeClr w14:val="tx1"/>
            </w14:solidFill>
          </w14:textFill>
        </w:rPr>
        <w:t>）地层构造裂隙中，岩性主要为细粒岩屑质砂岩、粉砂岩夹泥质粉砂岩、页岩、泥岩，受断裂、褶皱的影响和风化作用，构造、风化裂隙比较发育，但区内残坡积覆盖层较厚，植被稀疏，补给条件差，泉流量区间值为0.007~1.094 L/s，常见值为0.069~0.369L/s，平均0.183 L/s；枯季径流模数值区间修值为0.079~15.00 L/s·km</w:t>
      </w:r>
      <w:r>
        <w:rPr>
          <w:color w:val="000000" w:themeColor="text1"/>
          <w:kern w:val="0"/>
          <w:szCs w:val="22"/>
          <w:vertAlign w:val="superscript"/>
          <w14:textFill>
            <w14:solidFill>
              <w14:schemeClr w14:val="tx1"/>
            </w14:solidFill>
          </w14:textFill>
        </w:rPr>
        <w:t>2</w:t>
      </w:r>
      <w:r>
        <w:rPr>
          <w:color w:val="000000" w:themeColor="text1"/>
          <w:kern w:val="0"/>
          <w:szCs w:val="22"/>
          <w14:textFill>
            <w14:solidFill>
              <w14:schemeClr w14:val="tx1"/>
            </w14:solidFill>
          </w14:textFill>
        </w:rPr>
        <w:t>，常见值为3.409~13.14 L/s·km</w:t>
      </w:r>
      <w:r>
        <w:rPr>
          <w:color w:val="000000" w:themeColor="text1"/>
          <w:kern w:val="0"/>
          <w:szCs w:val="22"/>
          <w:vertAlign w:val="superscript"/>
          <w14:textFill>
            <w14:solidFill>
              <w14:schemeClr w14:val="tx1"/>
            </w14:solidFill>
          </w14:textFill>
        </w:rPr>
        <w:t>2</w:t>
      </w:r>
      <w:r>
        <w:rPr>
          <w:color w:val="000000" w:themeColor="text1"/>
          <w:kern w:val="0"/>
          <w:szCs w:val="22"/>
          <w14:textFill>
            <w14:solidFill>
              <w14:schemeClr w14:val="tx1"/>
            </w14:solidFill>
          </w14:textFill>
        </w:rPr>
        <w:t>，平均5.933 L/s·km</w:t>
      </w:r>
      <w:r>
        <w:rPr>
          <w:color w:val="000000" w:themeColor="text1"/>
          <w:kern w:val="0"/>
          <w:szCs w:val="22"/>
          <w:vertAlign w:val="superscript"/>
          <w14:textFill>
            <w14:solidFill>
              <w14:schemeClr w14:val="tx1"/>
            </w14:solidFill>
          </w14:textFill>
        </w:rPr>
        <w:t>2</w:t>
      </w:r>
      <w:r>
        <w:rPr>
          <w:color w:val="000000" w:themeColor="text1"/>
          <w:kern w:val="0"/>
          <w:szCs w:val="22"/>
          <w14:textFill>
            <w14:solidFill>
              <w14:schemeClr w14:val="tx1"/>
            </w14:solidFill>
          </w14:textFill>
        </w:rPr>
        <w:t>；富水性等级为贫乏。</w:t>
      </w:r>
    </w:p>
    <w:p w14:paraId="470EDC29">
      <w:pPr>
        <w:snapToGrid w:val="0"/>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（4）地下水补径排特征</w:t>
      </w:r>
    </w:p>
    <w:p w14:paraId="53B8C0C8">
      <w:pPr>
        <w:snapToGrid w:val="0"/>
        <w:ind w:firstLine="480"/>
        <w:rPr>
          <w:color w:val="000000" w:themeColor="text1"/>
          <w:kern w:val="0"/>
          <w:szCs w:val="22"/>
          <w14:textFill>
            <w14:solidFill>
              <w14:schemeClr w14:val="tx1"/>
            </w14:solidFill>
          </w14:textFill>
        </w:rPr>
      </w:pPr>
      <w:r>
        <w:rPr>
          <w:rFonts w:hint="eastAsia" w:ascii="宋体" w:hAnsi="宋体" w:cs="宋体"/>
          <w:color w:val="000000" w:themeColor="text1"/>
          <w:kern w:val="0"/>
          <w:szCs w:val="22"/>
          <w14:textFill>
            <w14:solidFill>
              <w14:schemeClr w14:val="tx1"/>
            </w14:solidFill>
          </w14:textFill>
        </w:rPr>
        <w:t>①</w:t>
      </w:r>
      <w:r>
        <w:rPr>
          <w:color w:val="000000" w:themeColor="text1"/>
          <w:kern w:val="0"/>
          <w:szCs w:val="22"/>
          <w14:textFill>
            <w14:solidFill>
              <w14:schemeClr w14:val="tx1"/>
            </w14:solidFill>
          </w14:textFill>
        </w:rPr>
        <w:t>补给条件</w:t>
      </w:r>
    </w:p>
    <w:p w14:paraId="5E871497">
      <w:pPr>
        <w:snapToGrid w:val="0"/>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a.松散岩类孔隙水</w:t>
      </w:r>
    </w:p>
    <w:p w14:paraId="4671CD9D">
      <w:pPr>
        <w:snapToGrid w:val="0"/>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主要赋存于人工填海区及滨海沿岸地带的松散岩类含水岩组中，直接受降水的垂向入渗补给由于地势平坦，补给条件良好，据1：20万钦州合浦幅区域水文地质普查报告观测资料，大气降水入渗系数达到0.26。</w:t>
      </w:r>
    </w:p>
    <w:p w14:paraId="73009885">
      <w:pPr>
        <w:snapToGrid w:val="0"/>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b.基岩构造裂隙水</w:t>
      </w:r>
    </w:p>
    <w:p w14:paraId="62C1A916">
      <w:pPr>
        <w:snapToGrid w:val="0"/>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主要赋存于下志留统连滩群第五组（S</w:t>
      </w:r>
      <w:r>
        <w:rPr>
          <w:color w:val="000000" w:themeColor="text1"/>
          <w:kern w:val="0"/>
          <w:szCs w:val="22"/>
          <w:vertAlign w:val="subscript"/>
          <w14:textFill>
            <w14:solidFill>
              <w14:schemeClr w14:val="tx1"/>
            </w14:solidFill>
          </w14:textFill>
        </w:rPr>
        <w:t>1</w:t>
      </w:r>
      <w:r>
        <w:rPr>
          <w:color w:val="000000" w:themeColor="text1"/>
          <w:kern w:val="0"/>
          <w:szCs w:val="22"/>
          <w14:textFill>
            <w14:solidFill>
              <w14:schemeClr w14:val="tx1"/>
            </w14:solidFill>
          </w14:textFill>
        </w:rPr>
        <w:t>ln</w:t>
      </w:r>
      <w:r>
        <w:rPr>
          <w:color w:val="000000" w:themeColor="text1"/>
          <w:kern w:val="0"/>
          <w:szCs w:val="22"/>
          <w:vertAlign w:val="superscript"/>
          <w14:textFill>
            <w14:solidFill>
              <w14:schemeClr w14:val="tx1"/>
            </w14:solidFill>
          </w14:textFill>
        </w:rPr>
        <w:t>e</w:t>
      </w:r>
      <w:r>
        <w:rPr>
          <w:color w:val="000000" w:themeColor="text1"/>
          <w:kern w:val="0"/>
          <w:szCs w:val="22"/>
          <w14:textFill>
            <w14:solidFill>
              <w14:schemeClr w14:val="tx1"/>
            </w14:solidFill>
          </w14:textFill>
        </w:rPr>
        <w:t>）粉砂岩、泥岩、页岩含水岩组中，主要受降水补给，由于评价区主要为陇状低丘地貌为主，地势平坦，风化残坡积层一般较厚，植被发育差，不利于地下水的补给，据1：20万钦州合浦幅区域水文地质普查报告观测资料，大气降水入渗系数达到0.16。</w:t>
      </w:r>
    </w:p>
    <w:p w14:paraId="245DBE71">
      <w:pPr>
        <w:snapToGrid w:val="0"/>
        <w:ind w:firstLine="480"/>
        <w:rPr>
          <w:color w:val="000000" w:themeColor="text1"/>
          <w:kern w:val="0"/>
          <w:szCs w:val="22"/>
          <w14:textFill>
            <w14:solidFill>
              <w14:schemeClr w14:val="tx1"/>
            </w14:solidFill>
          </w14:textFill>
        </w:rPr>
      </w:pPr>
      <w:r>
        <w:rPr>
          <w:rFonts w:hint="eastAsia" w:ascii="宋体" w:hAnsi="宋体" w:cs="宋体"/>
          <w:color w:val="000000" w:themeColor="text1"/>
          <w:kern w:val="0"/>
          <w:szCs w:val="22"/>
          <w14:textFill>
            <w14:solidFill>
              <w14:schemeClr w14:val="tx1"/>
            </w14:solidFill>
          </w14:textFill>
        </w:rPr>
        <w:t>②</w:t>
      </w:r>
      <w:r>
        <w:rPr>
          <w:color w:val="000000" w:themeColor="text1"/>
          <w:kern w:val="0"/>
          <w:szCs w:val="22"/>
          <w14:textFill>
            <w14:solidFill>
              <w14:schemeClr w14:val="tx1"/>
            </w14:solidFill>
          </w14:textFill>
        </w:rPr>
        <w:t>径流、排泄特征</w:t>
      </w:r>
    </w:p>
    <w:p w14:paraId="7D09901E">
      <w:pPr>
        <w:snapToGrid w:val="0"/>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整个评价区地下水主要为基岩构造裂隙水，少量分布松散岩类孔隙水，多为分散式排泄，以散流形式排泄于沟谷、漫滩，具有循环深度浅，径流途径短特点。</w:t>
      </w:r>
    </w:p>
    <w:p w14:paraId="47B4B40C">
      <w:pPr>
        <w:snapToGrid w:val="0"/>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a. 松散岩类孔隙水</w:t>
      </w:r>
    </w:p>
    <w:p w14:paraId="29BA9C97">
      <w:pPr>
        <w:snapToGrid w:val="0"/>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场地松散岩类孔隙水仅分布旧营盘以南及以东的人工填海区和钦州湾一带沿海滩涂，范围较广，地下水通常在含水层中作层状渗流运动，水流受钦州湾潮汐影响显著，涨潮时受海水入侵形成回流，由河口上溯到内河漫滩中，落潮时顺潮流流向由内河漫滩流向海滩，流向大致与海岸线或河口湾内水槽的走向平行，通常直接排泄入海，部分在沙堤两侧成泉出露。</w:t>
      </w:r>
    </w:p>
    <w:p w14:paraId="723CA49A">
      <w:pPr>
        <w:snapToGrid w:val="0"/>
        <w:ind w:firstLine="480"/>
        <w:rPr>
          <w:color w:val="000000" w:themeColor="text1"/>
          <w:kern w:val="0"/>
          <w14:textFill>
            <w14:solidFill>
              <w14:schemeClr w14:val="tx1"/>
            </w14:solidFill>
          </w14:textFill>
        </w:rPr>
      </w:pPr>
      <w:r>
        <w:rPr>
          <w:color w:val="000000" w:themeColor="text1"/>
          <w:kern w:val="0"/>
          <w:szCs w:val="22"/>
          <w14:textFill>
            <w14:solidFill>
              <w14:schemeClr w14:val="tx1"/>
            </w14:solidFill>
          </w14:textFill>
        </w:rPr>
        <w:t>b.</w:t>
      </w:r>
      <w:r>
        <w:rPr>
          <w:rFonts w:eastAsia="仿宋_GB2312"/>
          <w:b/>
          <w:color w:val="000000" w:themeColor="text1"/>
          <w:kern w:val="0"/>
          <w14:textFill>
            <w14:solidFill>
              <w14:schemeClr w14:val="tx1"/>
            </w14:solidFill>
          </w14:textFill>
        </w:rPr>
        <w:t xml:space="preserve"> </w:t>
      </w:r>
      <w:r>
        <w:rPr>
          <w:color w:val="000000" w:themeColor="text1"/>
          <w:kern w:val="0"/>
          <w14:textFill>
            <w14:solidFill>
              <w14:schemeClr w14:val="tx1"/>
            </w14:solidFill>
          </w14:textFill>
        </w:rPr>
        <w:t>基岩构造裂隙水</w:t>
      </w:r>
    </w:p>
    <w:p w14:paraId="76A0235C">
      <w:pPr>
        <w:snapToGrid w:val="0"/>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基岩构造裂隙水是场地的主要含水层，地下水在含水层中通常作隙流运动，其分水岭与地形分水岭基本一致，通常由陇状低丘中间高地以散流形式分别就近排入两侧的溪沟，大部分地下水最终汇入金鼓江或者侧向补给松散岩类孔隙水，主流方向与金鼓江一致。</w:t>
      </w:r>
    </w:p>
    <w:p w14:paraId="6AAACC03">
      <w:pPr>
        <w:spacing w:line="240" w:lineRule="atLeast"/>
        <w:ind w:firstLine="0" w:firstLineChars="0"/>
        <w:jc w:val="center"/>
        <w:rPr>
          <w:rFonts w:eastAsia="仿宋_GB2312"/>
          <w:color w:val="000000" w:themeColor="text1"/>
          <w:kern w:val="0"/>
          <w:szCs w:val="22"/>
          <w14:textFill>
            <w14:solidFill>
              <w14:schemeClr w14:val="tx1"/>
            </w14:solidFill>
          </w14:textFill>
        </w:rPr>
      </w:pPr>
      <w:r>
        <w:rPr>
          <w:rFonts w:eastAsia="仿宋_GB2312"/>
          <w:color w:val="000000" w:themeColor="text1"/>
          <w:kern w:val="0"/>
          <w:szCs w:val="22"/>
          <w14:textFill>
            <w14:solidFill>
              <w14:schemeClr w14:val="tx1"/>
            </w14:solidFill>
          </w14:textFill>
        </w:rPr>
        <w:drawing>
          <wp:inline distT="0" distB="0" distL="0" distR="0">
            <wp:extent cx="5410200" cy="4267200"/>
            <wp:effectExtent l="0" t="0" r="0" b="0"/>
            <wp:docPr id="4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3"/>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a:xfrm>
                      <a:off x="0" y="0"/>
                      <a:ext cx="5410200" cy="4267200"/>
                    </a:xfrm>
                    <a:prstGeom prst="rect">
                      <a:avLst/>
                    </a:prstGeom>
                    <a:noFill/>
                    <a:ln>
                      <a:noFill/>
                    </a:ln>
                  </pic:spPr>
                </pic:pic>
              </a:graphicData>
            </a:graphic>
          </wp:inline>
        </w:drawing>
      </w:r>
    </w:p>
    <w:p w14:paraId="268159A4">
      <w:pPr>
        <w:pStyle w:val="8"/>
        <w:rPr>
          <w:color w:val="000000" w:themeColor="text1"/>
          <w14:textFill>
            <w14:solidFill>
              <w14:schemeClr w14:val="tx1"/>
            </w14:solidFill>
          </w14:textFill>
        </w:rPr>
      </w:pPr>
      <w:r>
        <w:rPr>
          <w:color w:val="000000" w:themeColor="text1"/>
          <w14:textFill>
            <w14:solidFill>
              <w14:schemeClr w14:val="tx1"/>
            </w14:solidFill>
          </w14:textFill>
        </w:rPr>
        <w:t>地下水类型分布示意图</w:t>
      </w:r>
    </w:p>
    <w:p w14:paraId="595A95C4">
      <w:pPr>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（5）地下水动态变化特征</w:t>
      </w:r>
    </w:p>
    <w:p w14:paraId="70767062">
      <w:pPr>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松散岩类孔隙水分布于滨海沿岸潮间带，主要受降水及基岩构造裂隙水的侧向补给，其动态明显地受潮汐影响，涨落潮时水位变幅可达2－3米。</w:t>
      </w:r>
    </w:p>
    <w:p w14:paraId="6D0BA574">
      <w:pPr>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基岩构造裂隙水主要受降水补给，具有季节性动态变化特征，枯水期泉流量和溪沟流量小，丰水期泉流量和溪沟排泄的地下水量增大，年变化系数2.1－7倍，民井的水位变化幅度，因其所处地貌位置不同，具有很大差异，水位变幅可在1－3米之间。</w:t>
      </w:r>
    </w:p>
    <w:p w14:paraId="589D41A3">
      <w:pPr>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（6）地下水化学特征</w:t>
      </w:r>
    </w:p>
    <w:p w14:paraId="634308BD">
      <w:pPr>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地下水的化学特征，取决于含水层的岩性和地下水循环交替的速度，测区地下水主要为矿化度极低的中性－弱酸性极软水。</w:t>
      </w:r>
    </w:p>
    <w:p w14:paraId="4B274A83">
      <w:pPr>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基岩构造裂隙水一般为中性－弱酸性极软水。由于测区雨量丰沛，地下水具有就近补排的特点，循环交替极为活跃，所以其矿化度甚低，通常小于0.05克/升。基岩构造裂隙水的化学类型以HCO</w:t>
      </w:r>
      <w:r>
        <w:rPr>
          <w:color w:val="000000" w:themeColor="text1"/>
          <w:kern w:val="0"/>
          <w:szCs w:val="22"/>
          <w:vertAlign w:val="subscript"/>
          <w14:textFill>
            <w14:solidFill>
              <w14:schemeClr w14:val="tx1"/>
            </w14:solidFill>
          </w14:textFill>
        </w:rPr>
        <w:t>3</w:t>
      </w:r>
      <w:r>
        <w:rPr>
          <w:color w:val="000000" w:themeColor="text1"/>
          <w:kern w:val="0"/>
          <w:szCs w:val="22"/>
          <w14:textFill>
            <w14:solidFill>
              <w14:schemeClr w14:val="tx1"/>
            </w14:solidFill>
          </w14:textFill>
        </w:rPr>
        <w:t>∙Cl－Ca∙Na型居多，次为HCO</w:t>
      </w:r>
      <w:r>
        <w:rPr>
          <w:color w:val="000000" w:themeColor="text1"/>
          <w:kern w:val="0"/>
          <w:szCs w:val="22"/>
          <w:vertAlign w:val="subscript"/>
          <w14:textFill>
            <w14:solidFill>
              <w14:schemeClr w14:val="tx1"/>
            </w14:solidFill>
          </w14:textFill>
        </w:rPr>
        <w:t>3</w:t>
      </w:r>
      <w:r>
        <w:rPr>
          <w:color w:val="000000" w:themeColor="text1"/>
          <w:kern w:val="0"/>
          <w:szCs w:val="22"/>
          <w14:textFill>
            <w14:solidFill>
              <w14:schemeClr w14:val="tx1"/>
            </w14:solidFill>
          </w14:textFill>
        </w:rPr>
        <w:t>－Ca（Ca∙Na）型，濒海地带分布有Cl－Na型。</w:t>
      </w:r>
    </w:p>
    <w:p w14:paraId="5114A441">
      <w:pPr>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松散岩类孔隙水主要为弱酸性－中性极软水，地下水化学类型通常属HCO</w:t>
      </w:r>
      <w:r>
        <w:rPr>
          <w:color w:val="000000" w:themeColor="text1"/>
          <w:kern w:val="0"/>
          <w:szCs w:val="22"/>
          <w:vertAlign w:val="subscript"/>
          <w14:textFill>
            <w14:solidFill>
              <w14:schemeClr w14:val="tx1"/>
            </w14:solidFill>
          </w14:textFill>
        </w:rPr>
        <w:t>3</w:t>
      </w:r>
      <w:r>
        <w:rPr>
          <w:color w:val="000000" w:themeColor="text1"/>
          <w:kern w:val="0"/>
          <w:szCs w:val="22"/>
          <w14:textFill>
            <w14:solidFill>
              <w14:schemeClr w14:val="tx1"/>
            </w14:solidFill>
          </w14:textFill>
        </w:rPr>
        <w:t>－Cl(或Cl－HCO</w:t>
      </w:r>
      <w:r>
        <w:rPr>
          <w:color w:val="000000" w:themeColor="text1"/>
          <w:kern w:val="0"/>
          <w:szCs w:val="22"/>
          <w:vertAlign w:val="subscript"/>
          <w14:textFill>
            <w14:solidFill>
              <w14:schemeClr w14:val="tx1"/>
            </w14:solidFill>
          </w14:textFill>
        </w:rPr>
        <w:t>3</w:t>
      </w:r>
      <w:r>
        <w:rPr>
          <w:color w:val="000000" w:themeColor="text1"/>
          <w:kern w:val="0"/>
          <w:szCs w:val="22"/>
          <w14:textFill>
            <w14:solidFill>
              <w14:schemeClr w14:val="tx1"/>
            </w14:solidFill>
          </w14:textFill>
        </w:rPr>
        <w:t>)－Na∙Ca(或Ca∙Na)型和Cl－Na型。由于含水层底板低于海平面，受海水入侵影响，含水层下部咸化。</w:t>
      </w:r>
    </w:p>
    <w:p w14:paraId="70885A23">
      <w:pPr>
        <w:pStyle w:val="4"/>
        <w:rPr>
          <w:color w:val="000000" w:themeColor="text1"/>
          <w14:textFill>
            <w14:solidFill>
              <w14:schemeClr w14:val="tx1"/>
            </w14:solidFill>
          </w14:textFill>
        </w:rPr>
      </w:pPr>
      <w:bookmarkStart w:id="520" w:name="_Toc26910001"/>
      <w:bookmarkStart w:id="521" w:name="_Toc25436958"/>
      <w:bookmarkStart w:id="522" w:name="_Toc216103372"/>
      <w:bookmarkStart w:id="523" w:name="_Toc135090218"/>
      <w:bookmarkStart w:id="524" w:name="_Toc29131815"/>
      <w:bookmarkStart w:id="525" w:name="_Toc216620531"/>
      <w:bookmarkStart w:id="526" w:name="_Toc136878467"/>
      <w:r>
        <w:rPr>
          <w:color w:val="000000" w:themeColor="text1"/>
          <w14:textFill>
            <w14:solidFill>
              <w14:schemeClr w14:val="tx1"/>
            </w14:solidFill>
          </w14:textFill>
        </w:rPr>
        <w:t>气候特征</w:t>
      </w:r>
      <w:bookmarkEnd w:id="520"/>
      <w:bookmarkEnd w:id="521"/>
      <w:bookmarkEnd w:id="522"/>
      <w:bookmarkEnd w:id="523"/>
      <w:bookmarkEnd w:id="524"/>
      <w:bookmarkEnd w:id="525"/>
      <w:bookmarkEnd w:id="526"/>
    </w:p>
    <w:p w14:paraId="273ABA6A">
      <w:pPr>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本项目所在的钦州市地处北回归线以南，属亚热带气候区。该区域气候，主要受季风环流的影响；其次还受北部十万大山地形屏障的作用。由于季风环流作用和特定的海陆位置及青藏高原的影响，本地的季节变化明显。</w:t>
      </w:r>
    </w:p>
    <w:p w14:paraId="3633085A">
      <w:pPr>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冬季，受北方干冷的大陆气团控制，干燥且寒冷的气流盛行，形成东北季风，常带来降温、寒潮、冷阴雨和霜冻和偏北大风等天气。夏季，受暖湿的海洋气团控制，高温高湿的偏南气流盛行，形成西南或东南季风，常出现阵风、雷电、暴雨、台风等天气。春、秋季，为季风转换的过渡季节。春季，北方干冷的大陆气团减弱而北退，海洋气团增强北伸，使调查区域雨水渐增，气温回升。秋季，海洋气团开始减弱而南缩，北方冷气团又增强南伸，使气温下降，雨水减少。此外，干湿分明、冬暖夏凉明显。冬半年(10 月－翌年 3 月)，温度低而湿度小，雨水稀少，相对湿度有时可低于 5～10％，此即为干季。夏半年(4 月～9 月)，温度高湿度大，雨水较多，相对湿度有时高达 93—98％，甚至可达 100％，此即为湿季。</w:t>
      </w:r>
    </w:p>
    <w:p w14:paraId="50799C96">
      <w:pPr>
        <w:pStyle w:val="6"/>
        <w:rPr>
          <w:color w:val="000000" w:themeColor="text1"/>
          <w14:textFill>
            <w14:solidFill>
              <w14:schemeClr w14:val="tx1"/>
            </w14:solidFill>
          </w14:textFill>
        </w:rPr>
      </w:pPr>
      <w:r>
        <w:rPr>
          <w:color w:val="000000" w:themeColor="text1"/>
          <w14:textFill>
            <w14:solidFill>
              <w14:schemeClr w14:val="tx1"/>
            </w14:solidFill>
          </w14:textFill>
        </w:rPr>
        <w:t>气温</w:t>
      </w:r>
    </w:p>
    <w:p w14:paraId="26230C4E">
      <w:pPr>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根据钦州气象站的统计资料（1998年至2017年），钦州气象站累年月平均气温7月气温最高（28.84℃），1月气温最低（14.07℃）。累年极端最高气温为36.8℃，极值出现在2005年7月19日（37.9℃），累年极端最低气温为5.0℃，极值出现在2016年1月24日（1.6℃）。近20年气温无明显变化趋势，2015年年平均气温最高（23.80℃），2011年年平均气温最低（22.20℃），周期为5年。</w:t>
      </w:r>
    </w:p>
    <w:p w14:paraId="6EC4EED6">
      <w:pPr>
        <w:pStyle w:val="6"/>
        <w:rPr>
          <w:color w:val="000000" w:themeColor="text1"/>
          <w14:textFill>
            <w14:solidFill>
              <w14:schemeClr w14:val="tx1"/>
            </w14:solidFill>
          </w14:textFill>
        </w:rPr>
      </w:pPr>
      <w:r>
        <w:rPr>
          <w:color w:val="000000" w:themeColor="text1"/>
          <w14:textFill>
            <w14:solidFill>
              <w14:schemeClr w14:val="tx1"/>
            </w14:solidFill>
          </w14:textFill>
        </w:rPr>
        <w:t>降水</w:t>
      </w:r>
    </w:p>
    <w:p w14:paraId="0A23B3FF">
      <w:pPr>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本项目所在的区域雨量充沛，多年平均降水量为 2057.7 mm，平均降水日数在169.8 d 至135.5 d。降水量的季节变化很大，全年降水量多集中在4～10月份，约占全年雨量的90%，雨量高峰期相对集中在6～8月，这三个月的雨量占全年雨量的57%。据多年钦州市气象站降水资料统计可知，历史年最大降水量为 2807.7 mm（1970年），月最大降雨量为848.7 mm，一日最大降雨量为313 mm（出现在1985年8月28日），一小时降水量最大达99.6 mm（1962年6月7日）。年最小降水量为1255.2 mm（1977年）。犀牛脚最大年降雨量为2824.7 mm（1987年），最少年降雨量为1232.6 mm（1962年）。</w:t>
      </w:r>
    </w:p>
    <w:p w14:paraId="749CD186">
      <w:pPr>
        <w:pStyle w:val="6"/>
        <w:rPr>
          <w:color w:val="000000" w:themeColor="text1"/>
          <w14:textFill>
            <w14:solidFill>
              <w14:schemeClr w14:val="tx1"/>
            </w14:solidFill>
          </w14:textFill>
        </w:rPr>
      </w:pPr>
      <w:r>
        <w:rPr>
          <w:color w:val="000000" w:themeColor="text1"/>
          <w14:textFill>
            <w14:solidFill>
              <w14:schemeClr w14:val="tx1"/>
            </w14:solidFill>
          </w14:textFill>
        </w:rPr>
        <w:t>风况</w:t>
      </w:r>
    </w:p>
    <w:p w14:paraId="7B6DC510">
      <w:pPr>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根据钦州气象站常规气象统计（1998~2017），区域季风分布特征比较明显，每年5~8月多偏S向风，尤以6~7月最多，9月至翌年3月多偏N向风，4月为偏N向气旋和偏S向气旋交替时期。</w:t>
      </w:r>
    </w:p>
    <w:p w14:paraId="6733666B">
      <w:pPr>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多年主导风向为N向，频率为16.5%，次常风向为NNE向，频率为10%；强风向为N向，多年平均风速2.2m/s，2016年年平均风速最大（3.07 米/秒），2014年年平均风速最小（1.80 米/秒）。</w:t>
      </w:r>
    </w:p>
    <w:p w14:paraId="5CAB22E4">
      <w:pPr>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区域每年5~11月份受台风影响，其中7、8、9三月较为严重，据历史资料统计，影响本地区的台风平均每年为2~4次，最多为5次。</w:t>
      </w:r>
      <w:r>
        <w:rPr>
          <w:color w:val="000000" w:themeColor="text1"/>
          <w14:textFill>
            <w14:solidFill>
              <w14:schemeClr w14:val="tx1"/>
            </w14:solidFill>
          </w14:textFill>
        </w:rPr>
        <w:t>钦州气象站年风向频率</w:t>
      </w:r>
      <w:r>
        <w:rPr>
          <w:color w:val="000000" w:themeColor="text1"/>
          <w:kern w:val="0"/>
          <w:szCs w:val="22"/>
          <w14:textFill>
            <w14:solidFill>
              <w14:schemeClr w14:val="tx1"/>
            </w14:solidFill>
          </w14:textFill>
        </w:rPr>
        <w:t>见表3.1-1。</w:t>
      </w:r>
    </w:p>
    <w:p w14:paraId="649CAE1A">
      <w:pPr>
        <w:pStyle w:val="7"/>
        <w:rPr>
          <w:color w:val="000000" w:themeColor="text1"/>
          <w14:textFill>
            <w14:solidFill>
              <w14:schemeClr w14:val="tx1"/>
            </w14:solidFill>
          </w14:textFill>
        </w:rPr>
      </w:pPr>
      <w:r>
        <w:rPr>
          <w:color w:val="000000" w:themeColor="text1"/>
          <w14:textFill>
            <w14:solidFill>
              <w14:schemeClr w14:val="tx1"/>
            </w14:solidFill>
          </w14:textFill>
        </w:rPr>
        <w:t>钦州气象站年风向频率统计</w:t>
      </w:r>
    </w:p>
    <w:tbl>
      <w:tblPr>
        <w:tblStyle w:val="43"/>
        <w:tblW w:w="9042"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6" w:type="dxa"/>
          <w:bottom w:w="0" w:type="dxa"/>
          <w:right w:w="6" w:type="dxa"/>
        </w:tblCellMar>
      </w:tblPr>
      <w:tblGrid>
        <w:gridCol w:w="839"/>
        <w:gridCol w:w="439"/>
        <w:gridCol w:w="535"/>
        <w:gridCol w:w="360"/>
        <w:gridCol w:w="473"/>
        <w:gridCol w:w="472"/>
        <w:gridCol w:w="472"/>
        <w:gridCol w:w="472"/>
        <w:gridCol w:w="472"/>
        <w:gridCol w:w="472"/>
        <w:gridCol w:w="472"/>
        <w:gridCol w:w="472"/>
        <w:gridCol w:w="585"/>
        <w:gridCol w:w="359"/>
        <w:gridCol w:w="637"/>
        <w:gridCol w:w="589"/>
        <w:gridCol w:w="589"/>
        <w:gridCol w:w="333"/>
      </w:tblGrid>
      <w:tr w14:paraId="1AED803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6" w:type="dxa"/>
            <w:bottom w:w="0" w:type="dxa"/>
            <w:right w:w="6" w:type="dxa"/>
          </w:tblCellMar>
        </w:tblPrEx>
        <w:trPr>
          <w:trHeight w:val="23" w:hRule="atLeast"/>
          <w:jc w:val="center"/>
        </w:trPr>
        <w:tc>
          <w:tcPr>
            <w:tcW w:w="839" w:type="dxa"/>
            <w:tcBorders>
              <w:bottom w:val="single" w:color="auto" w:sz="4" w:space="0"/>
              <w:right w:val="single" w:color="auto" w:sz="4" w:space="0"/>
            </w:tcBorders>
            <w:tcMar>
              <w:top w:w="0" w:type="dxa"/>
              <w:left w:w="11" w:type="dxa"/>
              <w:bottom w:w="0" w:type="dxa"/>
              <w:right w:w="11" w:type="dxa"/>
            </w:tcMar>
            <w:vAlign w:val="center"/>
          </w:tcPr>
          <w:p w14:paraId="2A3C6CB7">
            <w:pPr>
              <w:widowControl/>
              <w:adjustRightInd w:val="0"/>
              <w:snapToGrid w:val="0"/>
              <w:spacing w:line="300" w:lineRule="exact"/>
              <w:ind w:firstLine="0" w:firstLineChars="0"/>
              <w:jc w:val="center"/>
              <w:rPr>
                <w:b/>
                <w:color w:val="000000" w:themeColor="text1"/>
                <w:sz w:val="21"/>
                <w:szCs w:val="21"/>
                <w:lang w:val="zh-CN"/>
                <w14:textFill>
                  <w14:solidFill>
                    <w14:schemeClr w14:val="tx1"/>
                  </w14:solidFill>
                </w14:textFill>
              </w:rPr>
            </w:pPr>
            <w:r>
              <w:rPr>
                <w:b/>
                <w:color w:val="000000" w:themeColor="text1"/>
                <w:sz w:val="21"/>
                <w:szCs w:val="21"/>
                <w:lang w:val="zh-CN"/>
                <w14:textFill>
                  <w14:solidFill>
                    <w14:schemeClr w14:val="tx1"/>
                  </w14:solidFill>
                </w14:textFill>
              </w:rPr>
              <w:t>风向</w:t>
            </w:r>
          </w:p>
        </w:tc>
        <w:tc>
          <w:tcPr>
            <w:tcW w:w="439" w:type="dxa"/>
            <w:tcBorders>
              <w:left w:val="single" w:color="auto" w:sz="4" w:space="0"/>
              <w:bottom w:val="single" w:color="auto" w:sz="4" w:space="0"/>
              <w:right w:val="single" w:color="auto" w:sz="4" w:space="0"/>
            </w:tcBorders>
            <w:vAlign w:val="center"/>
          </w:tcPr>
          <w:p w14:paraId="52B51484">
            <w:pPr>
              <w:widowControl/>
              <w:adjustRightInd w:val="0"/>
              <w:snapToGrid w:val="0"/>
              <w:spacing w:line="300" w:lineRule="exact"/>
              <w:ind w:firstLine="0" w:firstLineChars="0"/>
              <w:jc w:val="center"/>
              <w:rPr>
                <w:b/>
                <w:color w:val="000000" w:themeColor="text1"/>
                <w:sz w:val="21"/>
                <w:szCs w:val="21"/>
                <w:lang w:val="zh-CN"/>
                <w14:textFill>
                  <w14:solidFill>
                    <w14:schemeClr w14:val="tx1"/>
                  </w14:solidFill>
                </w14:textFill>
              </w:rPr>
            </w:pPr>
            <w:r>
              <w:rPr>
                <w:b/>
                <w:color w:val="000000" w:themeColor="text1"/>
                <w:sz w:val="21"/>
                <w:szCs w:val="21"/>
                <w:lang w:val="zh-CN"/>
                <w14:textFill>
                  <w14:solidFill>
                    <w14:schemeClr w14:val="tx1"/>
                  </w14:solidFill>
                </w14:textFill>
              </w:rPr>
              <w:t>N</w:t>
            </w:r>
          </w:p>
        </w:tc>
        <w:tc>
          <w:tcPr>
            <w:tcW w:w="535" w:type="dxa"/>
            <w:tcBorders>
              <w:left w:val="single" w:color="auto" w:sz="4" w:space="0"/>
              <w:bottom w:val="single" w:color="auto" w:sz="4" w:space="0"/>
              <w:right w:val="single" w:color="auto" w:sz="4" w:space="0"/>
            </w:tcBorders>
            <w:vAlign w:val="center"/>
          </w:tcPr>
          <w:p w14:paraId="0F626BEF">
            <w:pPr>
              <w:widowControl/>
              <w:adjustRightInd w:val="0"/>
              <w:snapToGrid w:val="0"/>
              <w:spacing w:line="300" w:lineRule="exact"/>
              <w:ind w:firstLine="0" w:firstLineChars="0"/>
              <w:jc w:val="center"/>
              <w:rPr>
                <w:b/>
                <w:color w:val="000000" w:themeColor="text1"/>
                <w:sz w:val="21"/>
                <w:szCs w:val="21"/>
                <w:lang w:val="zh-CN"/>
                <w14:textFill>
                  <w14:solidFill>
                    <w14:schemeClr w14:val="tx1"/>
                  </w14:solidFill>
                </w14:textFill>
              </w:rPr>
            </w:pPr>
            <w:r>
              <w:rPr>
                <w:b/>
                <w:color w:val="000000" w:themeColor="text1"/>
                <w:sz w:val="21"/>
                <w:szCs w:val="21"/>
                <w:lang w:val="zh-CN"/>
                <w14:textFill>
                  <w14:solidFill>
                    <w14:schemeClr w14:val="tx1"/>
                  </w14:solidFill>
                </w14:textFill>
              </w:rPr>
              <w:t>NNE</w:t>
            </w:r>
          </w:p>
        </w:tc>
        <w:tc>
          <w:tcPr>
            <w:tcW w:w="360" w:type="dxa"/>
            <w:tcBorders>
              <w:left w:val="single" w:color="auto" w:sz="4" w:space="0"/>
              <w:bottom w:val="single" w:color="auto" w:sz="4" w:space="0"/>
              <w:right w:val="single" w:color="auto" w:sz="4" w:space="0"/>
            </w:tcBorders>
            <w:vAlign w:val="center"/>
          </w:tcPr>
          <w:p w14:paraId="3B942C19">
            <w:pPr>
              <w:widowControl/>
              <w:adjustRightInd w:val="0"/>
              <w:snapToGrid w:val="0"/>
              <w:spacing w:line="300" w:lineRule="exact"/>
              <w:ind w:firstLine="0" w:firstLineChars="0"/>
              <w:jc w:val="center"/>
              <w:rPr>
                <w:b/>
                <w:color w:val="000000" w:themeColor="text1"/>
                <w:sz w:val="21"/>
                <w:szCs w:val="21"/>
                <w:lang w:val="zh-CN"/>
                <w14:textFill>
                  <w14:solidFill>
                    <w14:schemeClr w14:val="tx1"/>
                  </w14:solidFill>
                </w14:textFill>
              </w:rPr>
            </w:pPr>
            <w:r>
              <w:rPr>
                <w:b/>
                <w:color w:val="000000" w:themeColor="text1"/>
                <w:sz w:val="21"/>
                <w:szCs w:val="21"/>
                <w:lang w:val="zh-CN"/>
                <w14:textFill>
                  <w14:solidFill>
                    <w14:schemeClr w14:val="tx1"/>
                  </w14:solidFill>
                </w14:textFill>
              </w:rPr>
              <w:t>NE</w:t>
            </w:r>
          </w:p>
        </w:tc>
        <w:tc>
          <w:tcPr>
            <w:tcW w:w="473" w:type="dxa"/>
            <w:tcBorders>
              <w:left w:val="single" w:color="auto" w:sz="4" w:space="0"/>
              <w:bottom w:val="single" w:color="auto" w:sz="4" w:space="0"/>
              <w:right w:val="single" w:color="auto" w:sz="4" w:space="0"/>
            </w:tcBorders>
            <w:vAlign w:val="center"/>
          </w:tcPr>
          <w:p w14:paraId="0AB422EA">
            <w:pPr>
              <w:widowControl/>
              <w:adjustRightInd w:val="0"/>
              <w:snapToGrid w:val="0"/>
              <w:spacing w:line="300" w:lineRule="exact"/>
              <w:ind w:firstLine="0" w:firstLineChars="0"/>
              <w:jc w:val="center"/>
              <w:rPr>
                <w:b/>
                <w:color w:val="000000" w:themeColor="text1"/>
                <w:sz w:val="21"/>
                <w:szCs w:val="21"/>
                <w:lang w:val="zh-CN"/>
                <w14:textFill>
                  <w14:solidFill>
                    <w14:schemeClr w14:val="tx1"/>
                  </w14:solidFill>
                </w14:textFill>
              </w:rPr>
            </w:pPr>
            <w:r>
              <w:rPr>
                <w:b/>
                <w:color w:val="000000" w:themeColor="text1"/>
                <w:sz w:val="21"/>
                <w:szCs w:val="21"/>
                <w:lang w:val="zh-CN"/>
                <w14:textFill>
                  <w14:solidFill>
                    <w14:schemeClr w14:val="tx1"/>
                  </w14:solidFill>
                </w14:textFill>
              </w:rPr>
              <w:t>ENE</w:t>
            </w:r>
          </w:p>
        </w:tc>
        <w:tc>
          <w:tcPr>
            <w:tcW w:w="472" w:type="dxa"/>
            <w:tcBorders>
              <w:left w:val="single" w:color="auto" w:sz="4" w:space="0"/>
              <w:bottom w:val="single" w:color="auto" w:sz="4" w:space="0"/>
              <w:right w:val="single" w:color="auto" w:sz="4" w:space="0"/>
            </w:tcBorders>
            <w:vAlign w:val="center"/>
          </w:tcPr>
          <w:p w14:paraId="2FE81C40">
            <w:pPr>
              <w:widowControl/>
              <w:adjustRightInd w:val="0"/>
              <w:snapToGrid w:val="0"/>
              <w:spacing w:line="300" w:lineRule="exact"/>
              <w:ind w:firstLine="0" w:firstLineChars="0"/>
              <w:jc w:val="center"/>
              <w:rPr>
                <w:b/>
                <w:color w:val="000000" w:themeColor="text1"/>
                <w:sz w:val="21"/>
                <w:szCs w:val="21"/>
                <w:lang w:val="zh-CN"/>
                <w14:textFill>
                  <w14:solidFill>
                    <w14:schemeClr w14:val="tx1"/>
                  </w14:solidFill>
                </w14:textFill>
              </w:rPr>
            </w:pPr>
            <w:r>
              <w:rPr>
                <w:b/>
                <w:color w:val="000000" w:themeColor="text1"/>
                <w:sz w:val="21"/>
                <w:szCs w:val="21"/>
                <w:lang w:val="zh-CN"/>
                <w14:textFill>
                  <w14:solidFill>
                    <w14:schemeClr w14:val="tx1"/>
                  </w14:solidFill>
                </w14:textFill>
              </w:rPr>
              <w:t>E</w:t>
            </w:r>
          </w:p>
        </w:tc>
        <w:tc>
          <w:tcPr>
            <w:tcW w:w="472" w:type="dxa"/>
            <w:tcBorders>
              <w:left w:val="single" w:color="auto" w:sz="4" w:space="0"/>
              <w:bottom w:val="single" w:color="auto" w:sz="4" w:space="0"/>
              <w:right w:val="single" w:color="auto" w:sz="4" w:space="0"/>
            </w:tcBorders>
            <w:vAlign w:val="center"/>
          </w:tcPr>
          <w:p w14:paraId="687FB5D5">
            <w:pPr>
              <w:widowControl/>
              <w:adjustRightInd w:val="0"/>
              <w:snapToGrid w:val="0"/>
              <w:spacing w:line="300" w:lineRule="exact"/>
              <w:ind w:firstLine="0" w:firstLineChars="0"/>
              <w:jc w:val="center"/>
              <w:rPr>
                <w:b/>
                <w:color w:val="000000" w:themeColor="text1"/>
                <w:sz w:val="21"/>
                <w:szCs w:val="21"/>
                <w:lang w:val="zh-CN"/>
                <w14:textFill>
                  <w14:solidFill>
                    <w14:schemeClr w14:val="tx1"/>
                  </w14:solidFill>
                </w14:textFill>
              </w:rPr>
            </w:pPr>
            <w:r>
              <w:rPr>
                <w:b/>
                <w:color w:val="000000" w:themeColor="text1"/>
                <w:sz w:val="21"/>
                <w:szCs w:val="21"/>
                <w:lang w:val="zh-CN"/>
                <w14:textFill>
                  <w14:solidFill>
                    <w14:schemeClr w14:val="tx1"/>
                  </w14:solidFill>
                </w14:textFill>
              </w:rPr>
              <w:t>ESE</w:t>
            </w:r>
          </w:p>
        </w:tc>
        <w:tc>
          <w:tcPr>
            <w:tcW w:w="472" w:type="dxa"/>
            <w:tcBorders>
              <w:left w:val="single" w:color="auto" w:sz="4" w:space="0"/>
              <w:bottom w:val="single" w:color="auto" w:sz="4" w:space="0"/>
              <w:right w:val="single" w:color="auto" w:sz="4" w:space="0"/>
            </w:tcBorders>
            <w:vAlign w:val="center"/>
          </w:tcPr>
          <w:p w14:paraId="272C38A0">
            <w:pPr>
              <w:widowControl/>
              <w:adjustRightInd w:val="0"/>
              <w:snapToGrid w:val="0"/>
              <w:spacing w:line="300" w:lineRule="exact"/>
              <w:ind w:firstLine="0" w:firstLineChars="0"/>
              <w:jc w:val="center"/>
              <w:rPr>
                <w:b/>
                <w:color w:val="000000" w:themeColor="text1"/>
                <w:sz w:val="21"/>
                <w:szCs w:val="21"/>
                <w:lang w:val="zh-CN"/>
                <w14:textFill>
                  <w14:solidFill>
                    <w14:schemeClr w14:val="tx1"/>
                  </w14:solidFill>
                </w14:textFill>
              </w:rPr>
            </w:pPr>
            <w:r>
              <w:rPr>
                <w:b/>
                <w:color w:val="000000" w:themeColor="text1"/>
                <w:sz w:val="21"/>
                <w:szCs w:val="21"/>
                <w:lang w:val="zh-CN"/>
                <w14:textFill>
                  <w14:solidFill>
                    <w14:schemeClr w14:val="tx1"/>
                  </w14:solidFill>
                </w14:textFill>
              </w:rPr>
              <w:t>SE</w:t>
            </w:r>
          </w:p>
        </w:tc>
        <w:tc>
          <w:tcPr>
            <w:tcW w:w="472" w:type="dxa"/>
            <w:tcBorders>
              <w:left w:val="single" w:color="auto" w:sz="4" w:space="0"/>
              <w:bottom w:val="single" w:color="auto" w:sz="4" w:space="0"/>
              <w:right w:val="single" w:color="auto" w:sz="4" w:space="0"/>
            </w:tcBorders>
            <w:vAlign w:val="center"/>
          </w:tcPr>
          <w:p w14:paraId="3E6272DA">
            <w:pPr>
              <w:widowControl/>
              <w:adjustRightInd w:val="0"/>
              <w:snapToGrid w:val="0"/>
              <w:spacing w:line="300" w:lineRule="exact"/>
              <w:ind w:firstLine="0" w:firstLineChars="0"/>
              <w:jc w:val="center"/>
              <w:rPr>
                <w:b/>
                <w:color w:val="000000" w:themeColor="text1"/>
                <w:sz w:val="21"/>
                <w:szCs w:val="21"/>
                <w:lang w:val="zh-CN"/>
                <w14:textFill>
                  <w14:solidFill>
                    <w14:schemeClr w14:val="tx1"/>
                  </w14:solidFill>
                </w14:textFill>
              </w:rPr>
            </w:pPr>
            <w:r>
              <w:rPr>
                <w:b/>
                <w:color w:val="000000" w:themeColor="text1"/>
                <w:sz w:val="21"/>
                <w:szCs w:val="21"/>
                <w:lang w:val="zh-CN"/>
                <w14:textFill>
                  <w14:solidFill>
                    <w14:schemeClr w14:val="tx1"/>
                  </w14:solidFill>
                </w14:textFill>
              </w:rPr>
              <w:t>SSE</w:t>
            </w:r>
          </w:p>
        </w:tc>
        <w:tc>
          <w:tcPr>
            <w:tcW w:w="472" w:type="dxa"/>
            <w:tcBorders>
              <w:left w:val="single" w:color="auto" w:sz="4" w:space="0"/>
              <w:bottom w:val="single" w:color="auto" w:sz="4" w:space="0"/>
              <w:right w:val="single" w:color="auto" w:sz="4" w:space="0"/>
            </w:tcBorders>
            <w:vAlign w:val="center"/>
          </w:tcPr>
          <w:p w14:paraId="363A0DDE">
            <w:pPr>
              <w:widowControl/>
              <w:adjustRightInd w:val="0"/>
              <w:snapToGrid w:val="0"/>
              <w:spacing w:line="300" w:lineRule="exact"/>
              <w:ind w:firstLine="0" w:firstLineChars="0"/>
              <w:jc w:val="center"/>
              <w:rPr>
                <w:b/>
                <w:color w:val="000000" w:themeColor="text1"/>
                <w:sz w:val="21"/>
                <w:szCs w:val="21"/>
                <w:lang w:val="zh-CN"/>
                <w14:textFill>
                  <w14:solidFill>
                    <w14:schemeClr w14:val="tx1"/>
                  </w14:solidFill>
                </w14:textFill>
              </w:rPr>
            </w:pPr>
            <w:r>
              <w:rPr>
                <w:b/>
                <w:color w:val="000000" w:themeColor="text1"/>
                <w:sz w:val="21"/>
                <w:szCs w:val="21"/>
                <w:lang w:val="zh-CN"/>
                <w14:textFill>
                  <w14:solidFill>
                    <w14:schemeClr w14:val="tx1"/>
                  </w14:solidFill>
                </w14:textFill>
              </w:rPr>
              <w:t>S</w:t>
            </w:r>
          </w:p>
        </w:tc>
        <w:tc>
          <w:tcPr>
            <w:tcW w:w="472" w:type="dxa"/>
            <w:tcBorders>
              <w:left w:val="single" w:color="auto" w:sz="4" w:space="0"/>
              <w:bottom w:val="single" w:color="auto" w:sz="4" w:space="0"/>
              <w:right w:val="single" w:color="auto" w:sz="4" w:space="0"/>
            </w:tcBorders>
            <w:vAlign w:val="center"/>
          </w:tcPr>
          <w:p w14:paraId="14FF6D93">
            <w:pPr>
              <w:widowControl/>
              <w:adjustRightInd w:val="0"/>
              <w:snapToGrid w:val="0"/>
              <w:spacing w:line="300" w:lineRule="exact"/>
              <w:ind w:firstLine="0" w:firstLineChars="0"/>
              <w:jc w:val="center"/>
              <w:rPr>
                <w:b/>
                <w:color w:val="000000" w:themeColor="text1"/>
                <w:sz w:val="21"/>
                <w:szCs w:val="21"/>
                <w:lang w:val="zh-CN"/>
                <w14:textFill>
                  <w14:solidFill>
                    <w14:schemeClr w14:val="tx1"/>
                  </w14:solidFill>
                </w14:textFill>
              </w:rPr>
            </w:pPr>
            <w:r>
              <w:rPr>
                <w:b/>
                <w:color w:val="000000" w:themeColor="text1"/>
                <w:sz w:val="21"/>
                <w:szCs w:val="21"/>
                <w:lang w:val="zh-CN"/>
                <w14:textFill>
                  <w14:solidFill>
                    <w14:schemeClr w14:val="tx1"/>
                  </w14:solidFill>
                </w14:textFill>
              </w:rPr>
              <w:t>SSW</w:t>
            </w:r>
          </w:p>
        </w:tc>
        <w:tc>
          <w:tcPr>
            <w:tcW w:w="472" w:type="dxa"/>
            <w:tcBorders>
              <w:left w:val="single" w:color="auto" w:sz="4" w:space="0"/>
              <w:bottom w:val="single" w:color="auto" w:sz="4" w:space="0"/>
              <w:right w:val="single" w:color="auto" w:sz="4" w:space="0"/>
            </w:tcBorders>
            <w:vAlign w:val="center"/>
          </w:tcPr>
          <w:p w14:paraId="07848DA5">
            <w:pPr>
              <w:widowControl/>
              <w:adjustRightInd w:val="0"/>
              <w:snapToGrid w:val="0"/>
              <w:spacing w:line="300" w:lineRule="exact"/>
              <w:ind w:firstLine="0" w:firstLineChars="0"/>
              <w:jc w:val="center"/>
              <w:rPr>
                <w:b/>
                <w:color w:val="000000" w:themeColor="text1"/>
                <w:sz w:val="21"/>
                <w:szCs w:val="21"/>
                <w:lang w:val="zh-CN"/>
                <w14:textFill>
                  <w14:solidFill>
                    <w14:schemeClr w14:val="tx1"/>
                  </w14:solidFill>
                </w14:textFill>
              </w:rPr>
            </w:pPr>
            <w:r>
              <w:rPr>
                <w:b/>
                <w:color w:val="000000" w:themeColor="text1"/>
                <w:sz w:val="21"/>
                <w:szCs w:val="21"/>
                <w:lang w:val="zh-CN"/>
                <w14:textFill>
                  <w14:solidFill>
                    <w14:schemeClr w14:val="tx1"/>
                  </w14:solidFill>
                </w14:textFill>
              </w:rPr>
              <w:t>SW</w:t>
            </w:r>
          </w:p>
        </w:tc>
        <w:tc>
          <w:tcPr>
            <w:tcW w:w="585" w:type="dxa"/>
            <w:tcBorders>
              <w:left w:val="single" w:color="auto" w:sz="4" w:space="0"/>
              <w:bottom w:val="single" w:color="auto" w:sz="4" w:space="0"/>
              <w:right w:val="single" w:color="auto" w:sz="4" w:space="0"/>
            </w:tcBorders>
            <w:vAlign w:val="center"/>
          </w:tcPr>
          <w:p w14:paraId="03FB1945">
            <w:pPr>
              <w:widowControl/>
              <w:adjustRightInd w:val="0"/>
              <w:snapToGrid w:val="0"/>
              <w:spacing w:line="300" w:lineRule="exact"/>
              <w:ind w:firstLine="0" w:firstLineChars="0"/>
              <w:jc w:val="center"/>
              <w:rPr>
                <w:b/>
                <w:color w:val="000000" w:themeColor="text1"/>
                <w:sz w:val="21"/>
                <w:szCs w:val="21"/>
                <w:lang w:val="zh-CN"/>
                <w14:textFill>
                  <w14:solidFill>
                    <w14:schemeClr w14:val="tx1"/>
                  </w14:solidFill>
                </w14:textFill>
              </w:rPr>
            </w:pPr>
            <w:r>
              <w:rPr>
                <w:b/>
                <w:color w:val="000000" w:themeColor="text1"/>
                <w:sz w:val="21"/>
                <w:szCs w:val="21"/>
                <w:lang w:val="zh-CN"/>
                <w14:textFill>
                  <w14:solidFill>
                    <w14:schemeClr w14:val="tx1"/>
                  </w14:solidFill>
                </w14:textFill>
              </w:rPr>
              <w:t>WSW</w:t>
            </w:r>
          </w:p>
        </w:tc>
        <w:tc>
          <w:tcPr>
            <w:tcW w:w="359" w:type="dxa"/>
            <w:tcBorders>
              <w:left w:val="single" w:color="auto" w:sz="4" w:space="0"/>
              <w:bottom w:val="single" w:color="auto" w:sz="4" w:space="0"/>
              <w:right w:val="single" w:color="auto" w:sz="4" w:space="0"/>
            </w:tcBorders>
            <w:vAlign w:val="center"/>
          </w:tcPr>
          <w:p w14:paraId="7E4DCC31">
            <w:pPr>
              <w:widowControl/>
              <w:adjustRightInd w:val="0"/>
              <w:snapToGrid w:val="0"/>
              <w:spacing w:line="300" w:lineRule="exact"/>
              <w:ind w:firstLine="0" w:firstLineChars="0"/>
              <w:jc w:val="center"/>
              <w:rPr>
                <w:b/>
                <w:color w:val="000000" w:themeColor="text1"/>
                <w:sz w:val="21"/>
                <w:szCs w:val="21"/>
                <w:lang w:val="zh-CN"/>
                <w14:textFill>
                  <w14:solidFill>
                    <w14:schemeClr w14:val="tx1"/>
                  </w14:solidFill>
                </w14:textFill>
              </w:rPr>
            </w:pPr>
            <w:r>
              <w:rPr>
                <w:b/>
                <w:color w:val="000000" w:themeColor="text1"/>
                <w:sz w:val="21"/>
                <w:szCs w:val="21"/>
                <w:lang w:val="zh-CN"/>
                <w14:textFill>
                  <w14:solidFill>
                    <w14:schemeClr w14:val="tx1"/>
                  </w14:solidFill>
                </w14:textFill>
              </w:rPr>
              <w:t>W</w:t>
            </w:r>
          </w:p>
        </w:tc>
        <w:tc>
          <w:tcPr>
            <w:tcW w:w="637" w:type="dxa"/>
            <w:tcBorders>
              <w:left w:val="single" w:color="auto" w:sz="4" w:space="0"/>
              <w:bottom w:val="single" w:color="auto" w:sz="4" w:space="0"/>
              <w:right w:val="single" w:color="auto" w:sz="4" w:space="0"/>
            </w:tcBorders>
            <w:vAlign w:val="center"/>
          </w:tcPr>
          <w:p w14:paraId="6A37EC84">
            <w:pPr>
              <w:widowControl/>
              <w:adjustRightInd w:val="0"/>
              <w:snapToGrid w:val="0"/>
              <w:spacing w:line="300" w:lineRule="exact"/>
              <w:ind w:firstLine="0" w:firstLineChars="0"/>
              <w:jc w:val="center"/>
              <w:rPr>
                <w:b/>
                <w:color w:val="000000" w:themeColor="text1"/>
                <w:sz w:val="21"/>
                <w:szCs w:val="21"/>
                <w:lang w:val="zh-CN"/>
                <w14:textFill>
                  <w14:solidFill>
                    <w14:schemeClr w14:val="tx1"/>
                  </w14:solidFill>
                </w14:textFill>
              </w:rPr>
            </w:pPr>
            <w:r>
              <w:rPr>
                <w:b/>
                <w:color w:val="000000" w:themeColor="text1"/>
                <w:sz w:val="21"/>
                <w:szCs w:val="21"/>
                <w:lang w:val="zh-CN"/>
                <w14:textFill>
                  <w14:solidFill>
                    <w14:schemeClr w14:val="tx1"/>
                  </w14:solidFill>
                </w14:textFill>
              </w:rPr>
              <w:t>WNW</w:t>
            </w:r>
          </w:p>
        </w:tc>
        <w:tc>
          <w:tcPr>
            <w:tcW w:w="589" w:type="dxa"/>
            <w:tcBorders>
              <w:left w:val="single" w:color="auto" w:sz="4" w:space="0"/>
              <w:bottom w:val="single" w:color="auto" w:sz="4" w:space="0"/>
              <w:right w:val="single" w:color="auto" w:sz="4" w:space="0"/>
            </w:tcBorders>
            <w:vAlign w:val="center"/>
          </w:tcPr>
          <w:p w14:paraId="4604D53E">
            <w:pPr>
              <w:widowControl/>
              <w:adjustRightInd w:val="0"/>
              <w:snapToGrid w:val="0"/>
              <w:spacing w:line="300" w:lineRule="exact"/>
              <w:ind w:firstLine="0" w:firstLineChars="0"/>
              <w:jc w:val="center"/>
              <w:rPr>
                <w:b/>
                <w:color w:val="000000" w:themeColor="text1"/>
                <w:sz w:val="21"/>
                <w:szCs w:val="21"/>
                <w:lang w:val="zh-CN"/>
                <w14:textFill>
                  <w14:solidFill>
                    <w14:schemeClr w14:val="tx1"/>
                  </w14:solidFill>
                </w14:textFill>
              </w:rPr>
            </w:pPr>
            <w:r>
              <w:rPr>
                <w:b/>
                <w:color w:val="000000" w:themeColor="text1"/>
                <w:sz w:val="21"/>
                <w:szCs w:val="21"/>
                <w:lang w:val="zh-CN"/>
                <w14:textFill>
                  <w14:solidFill>
                    <w14:schemeClr w14:val="tx1"/>
                  </w14:solidFill>
                </w14:textFill>
              </w:rPr>
              <w:t>NW</w:t>
            </w:r>
          </w:p>
        </w:tc>
        <w:tc>
          <w:tcPr>
            <w:tcW w:w="589" w:type="dxa"/>
            <w:tcBorders>
              <w:left w:val="single" w:color="auto" w:sz="4" w:space="0"/>
              <w:bottom w:val="single" w:color="auto" w:sz="4" w:space="0"/>
              <w:right w:val="single" w:color="auto" w:sz="4" w:space="0"/>
            </w:tcBorders>
            <w:vAlign w:val="center"/>
          </w:tcPr>
          <w:p w14:paraId="7CB7B66B">
            <w:pPr>
              <w:widowControl/>
              <w:adjustRightInd w:val="0"/>
              <w:snapToGrid w:val="0"/>
              <w:spacing w:line="300" w:lineRule="exact"/>
              <w:ind w:firstLine="0" w:firstLineChars="0"/>
              <w:jc w:val="center"/>
              <w:rPr>
                <w:b/>
                <w:color w:val="000000" w:themeColor="text1"/>
                <w:sz w:val="21"/>
                <w:szCs w:val="21"/>
                <w:lang w:val="zh-CN"/>
                <w14:textFill>
                  <w14:solidFill>
                    <w14:schemeClr w14:val="tx1"/>
                  </w14:solidFill>
                </w14:textFill>
              </w:rPr>
            </w:pPr>
            <w:r>
              <w:rPr>
                <w:b/>
                <w:color w:val="000000" w:themeColor="text1"/>
                <w:sz w:val="21"/>
                <w:szCs w:val="21"/>
                <w:lang w:val="zh-CN"/>
                <w14:textFill>
                  <w14:solidFill>
                    <w14:schemeClr w14:val="tx1"/>
                  </w14:solidFill>
                </w14:textFill>
              </w:rPr>
              <w:t>NNW</w:t>
            </w:r>
          </w:p>
        </w:tc>
        <w:tc>
          <w:tcPr>
            <w:tcW w:w="333" w:type="dxa"/>
            <w:tcBorders>
              <w:left w:val="single" w:color="auto" w:sz="4" w:space="0"/>
              <w:bottom w:val="single" w:color="auto" w:sz="4" w:space="0"/>
            </w:tcBorders>
            <w:vAlign w:val="center"/>
          </w:tcPr>
          <w:p w14:paraId="4DBF5031">
            <w:pPr>
              <w:widowControl/>
              <w:adjustRightInd w:val="0"/>
              <w:snapToGrid w:val="0"/>
              <w:spacing w:line="300" w:lineRule="exact"/>
              <w:ind w:firstLine="0" w:firstLineChars="0"/>
              <w:jc w:val="center"/>
              <w:rPr>
                <w:b/>
                <w:color w:val="000000" w:themeColor="text1"/>
                <w:sz w:val="21"/>
                <w:szCs w:val="21"/>
                <w:lang w:val="zh-CN"/>
                <w14:textFill>
                  <w14:solidFill>
                    <w14:schemeClr w14:val="tx1"/>
                  </w14:solidFill>
                </w14:textFill>
              </w:rPr>
            </w:pPr>
            <w:r>
              <w:rPr>
                <w:b/>
                <w:color w:val="000000" w:themeColor="text1"/>
                <w:sz w:val="21"/>
                <w:szCs w:val="21"/>
                <w:lang w:val="zh-CN"/>
                <w14:textFill>
                  <w14:solidFill>
                    <w14:schemeClr w14:val="tx1"/>
                  </w14:solidFill>
                </w14:textFill>
              </w:rPr>
              <w:t>C</w:t>
            </w:r>
          </w:p>
        </w:tc>
      </w:tr>
      <w:tr w14:paraId="5448D4B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6" w:type="dxa"/>
            <w:bottom w:w="0" w:type="dxa"/>
            <w:right w:w="6" w:type="dxa"/>
          </w:tblCellMar>
        </w:tblPrEx>
        <w:trPr>
          <w:trHeight w:val="23" w:hRule="atLeast"/>
          <w:jc w:val="center"/>
        </w:trPr>
        <w:tc>
          <w:tcPr>
            <w:tcW w:w="839" w:type="dxa"/>
            <w:tcBorders>
              <w:top w:val="single" w:color="auto" w:sz="4" w:space="0"/>
              <w:right w:val="single" w:color="auto" w:sz="4" w:space="0"/>
            </w:tcBorders>
            <w:tcMar>
              <w:top w:w="0" w:type="dxa"/>
              <w:left w:w="11" w:type="dxa"/>
              <w:bottom w:w="0" w:type="dxa"/>
              <w:right w:w="11" w:type="dxa"/>
            </w:tcMar>
            <w:vAlign w:val="center"/>
          </w:tcPr>
          <w:p w14:paraId="3A90B989">
            <w:pPr>
              <w:widowControl/>
              <w:adjustRightInd w:val="0"/>
              <w:snapToGrid w:val="0"/>
              <w:spacing w:line="300" w:lineRule="exact"/>
              <w:ind w:firstLine="0" w:firstLineChars="0"/>
              <w:jc w:val="center"/>
              <w:rPr>
                <w:b/>
                <w:color w:val="000000" w:themeColor="text1"/>
                <w:sz w:val="21"/>
                <w:szCs w:val="21"/>
                <w:lang w:val="zh-CN"/>
                <w14:textFill>
                  <w14:solidFill>
                    <w14:schemeClr w14:val="tx1"/>
                  </w14:solidFill>
                </w14:textFill>
              </w:rPr>
            </w:pPr>
            <w:r>
              <w:rPr>
                <w:b/>
                <w:color w:val="000000" w:themeColor="text1"/>
                <w:sz w:val="21"/>
                <w:szCs w:val="21"/>
                <w:lang w:val="zh-CN"/>
                <w14:textFill>
                  <w14:solidFill>
                    <w14:schemeClr w14:val="tx1"/>
                  </w14:solidFill>
                </w14:textFill>
              </w:rPr>
              <w:t>频率%</w:t>
            </w:r>
          </w:p>
        </w:tc>
        <w:tc>
          <w:tcPr>
            <w:tcW w:w="439" w:type="dxa"/>
            <w:tcBorders>
              <w:top w:val="single" w:color="auto" w:sz="4" w:space="0"/>
              <w:left w:val="single" w:color="auto" w:sz="4" w:space="0"/>
              <w:right w:val="single" w:color="auto" w:sz="4" w:space="0"/>
            </w:tcBorders>
            <w:vAlign w:val="center"/>
          </w:tcPr>
          <w:p w14:paraId="0AB9237C">
            <w:pPr>
              <w:widowControl/>
              <w:adjustRightInd w:val="0"/>
              <w:snapToGrid w:val="0"/>
              <w:spacing w:line="300" w:lineRule="exact"/>
              <w:ind w:firstLine="0" w:firstLineChars="0"/>
              <w:jc w:val="center"/>
              <w:rPr>
                <w:color w:val="000000" w:themeColor="text1"/>
                <w:sz w:val="21"/>
                <w:szCs w:val="21"/>
                <w:lang w:val="zh-CN"/>
                <w14:textFill>
                  <w14:solidFill>
                    <w14:schemeClr w14:val="tx1"/>
                  </w14:solidFill>
                </w14:textFill>
              </w:rPr>
            </w:pPr>
            <w:r>
              <w:rPr>
                <w:color w:val="000000" w:themeColor="text1"/>
                <w:sz w:val="21"/>
                <w:szCs w:val="21"/>
                <w:lang w:val="zh-CN"/>
                <w14:textFill>
                  <w14:solidFill>
                    <w14:schemeClr w14:val="tx1"/>
                  </w14:solidFill>
                </w14:textFill>
              </w:rPr>
              <w:t>16.5</w:t>
            </w:r>
          </w:p>
        </w:tc>
        <w:tc>
          <w:tcPr>
            <w:tcW w:w="535" w:type="dxa"/>
            <w:tcBorders>
              <w:top w:val="single" w:color="auto" w:sz="4" w:space="0"/>
              <w:left w:val="single" w:color="auto" w:sz="4" w:space="0"/>
              <w:right w:val="single" w:color="auto" w:sz="4" w:space="0"/>
            </w:tcBorders>
            <w:vAlign w:val="center"/>
          </w:tcPr>
          <w:p w14:paraId="047D0F7C">
            <w:pPr>
              <w:widowControl/>
              <w:adjustRightInd w:val="0"/>
              <w:snapToGrid w:val="0"/>
              <w:spacing w:line="300" w:lineRule="exact"/>
              <w:ind w:firstLine="0" w:firstLineChars="0"/>
              <w:jc w:val="center"/>
              <w:rPr>
                <w:color w:val="000000" w:themeColor="text1"/>
                <w:sz w:val="21"/>
                <w:szCs w:val="21"/>
                <w:lang w:val="zh-CN"/>
                <w14:textFill>
                  <w14:solidFill>
                    <w14:schemeClr w14:val="tx1"/>
                  </w14:solidFill>
                </w14:textFill>
              </w:rPr>
            </w:pPr>
            <w:r>
              <w:rPr>
                <w:color w:val="000000" w:themeColor="text1"/>
                <w:sz w:val="21"/>
                <w:szCs w:val="21"/>
                <w:lang w:val="zh-CN"/>
                <w14:textFill>
                  <w14:solidFill>
                    <w14:schemeClr w14:val="tx1"/>
                  </w14:solidFill>
                </w14:textFill>
              </w:rPr>
              <w:t>10.0</w:t>
            </w:r>
          </w:p>
        </w:tc>
        <w:tc>
          <w:tcPr>
            <w:tcW w:w="360" w:type="dxa"/>
            <w:tcBorders>
              <w:top w:val="single" w:color="auto" w:sz="4" w:space="0"/>
              <w:left w:val="single" w:color="auto" w:sz="4" w:space="0"/>
              <w:right w:val="single" w:color="auto" w:sz="4" w:space="0"/>
            </w:tcBorders>
            <w:vAlign w:val="center"/>
          </w:tcPr>
          <w:p w14:paraId="66DA0225">
            <w:pPr>
              <w:widowControl/>
              <w:adjustRightInd w:val="0"/>
              <w:snapToGrid w:val="0"/>
              <w:spacing w:line="300" w:lineRule="exact"/>
              <w:ind w:firstLine="0" w:firstLineChars="0"/>
              <w:jc w:val="center"/>
              <w:rPr>
                <w:color w:val="000000" w:themeColor="text1"/>
                <w:sz w:val="21"/>
                <w:szCs w:val="21"/>
                <w:lang w:val="zh-CN"/>
                <w14:textFill>
                  <w14:solidFill>
                    <w14:schemeClr w14:val="tx1"/>
                  </w14:solidFill>
                </w14:textFill>
              </w:rPr>
            </w:pPr>
            <w:r>
              <w:rPr>
                <w:color w:val="000000" w:themeColor="text1"/>
                <w:sz w:val="21"/>
                <w:szCs w:val="21"/>
                <w:lang w:val="zh-CN"/>
                <w14:textFill>
                  <w14:solidFill>
                    <w14:schemeClr w14:val="tx1"/>
                  </w14:solidFill>
                </w14:textFill>
              </w:rPr>
              <w:t>5.8</w:t>
            </w:r>
          </w:p>
        </w:tc>
        <w:tc>
          <w:tcPr>
            <w:tcW w:w="473" w:type="dxa"/>
            <w:tcBorders>
              <w:top w:val="single" w:color="auto" w:sz="4" w:space="0"/>
              <w:left w:val="single" w:color="auto" w:sz="4" w:space="0"/>
              <w:right w:val="single" w:color="auto" w:sz="4" w:space="0"/>
            </w:tcBorders>
            <w:vAlign w:val="center"/>
          </w:tcPr>
          <w:p w14:paraId="3B8F1F5B">
            <w:pPr>
              <w:widowControl/>
              <w:adjustRightInd w:val="0"/>
              <w:snapToGrid w:val="0"/>
              <w:spacing w:line="300" w:lineRule="exact"/>
              <w:ind w:firstLine="0" w:firstLineChars="0"/>
              <w:jc w:val="center"/>
              <w:rPr>
                <w:color w:val="000000" w:themeColor="text1"/>
                <w:sz w:val="21"/>
                <w:szCs w:val="21"/>
                <w:lang w:val="zh-CN"/>
                <w14:textFill>
                  <w14:solidFill>
                    <w14:schemeClr w14:val="tx1"/>
                  </w14:solidFill>
                </w14:textFill>
              </w:rPr>
            </w:pPr>
            <w:r>
              <w:rPr>
                <w:color w:val="000000" w:themeColor="text1"/>
                <w:sz w:val="21"/>
                <w:szCs w:val="21"/>
                <w:lang w:val="zh-CN"/>
                <w14:textFill>
                  <w14:solidFill>
                    <w14:schemeClr w14:val="tx1"/>
                  </w14:solidFill>
                </w14:textFill>
              </w:rPr>
              <w:t>3.4</w:t>
            </w:r>
          </w:p>
        </w:tc>
        <w:tc>
          <w:tcPr>
            <w:tcW w:w="472" w:type="dxa"/>
            <w:tcBorders>
              <w:top w:val="single" w:color="auto" w:sz="4" w:space="0"/>
              <w:left w:val="single" w:color="auto" w:sz="4" w:space="0"/>
              <w:right w:val="single" w:color="auto" w:sz="4" w:space="0"/>
            </w:tcBorders>
            <w:vAlign w:val="center"/>
          </w:tcPr>
          <w:p w14:paraId="5194C1D9">
            <w:pPr>
              <w:widowControl/>
              <w:adjustRightInd w:val="0"/>
              <w:snapToGrid w:val="0"/>
              <w:spacing w:line="300" w:lineRule="exact"/>
              <w:ind w:firstLine="0" w:firstLineChars="0"/>
              <w:jc w:val="center"/>
              <w:rPr>
                <w:color w:val="000000" w:themeColor="text1"/>
                <w:sz w:val="21"/>
                <w:szCs w:val="21"/>
                <w:lang w:val="zh-CN"/>
                <w14:textFill>
                  <w14:solidFill>
                    <w14:schemeClr w14:val="tx1"/>
                  </w14:solidFill>
                </w14:textFill>
              </w:rPr>
            </w:pPr>
            <w:r>
              <w:rPr>
                <w:color w:val="000000" w:themeColor="text1"/>
                <w:sz w:val="21"/>
                <w:szCs w:val="21"/>
                <w:lang w:val="zh-CN"/>
                <w14:textFill>
                  <w14:solidFill>
                    <w14:schemeClr w14:val="tx1"/>
                  </w14:solidFill>
                </w14:textFill>
              </w:rPr>
              <w:t>3.7</w:t>
            </w:r>
          </w:p>
        </w:tc>
        <w:tc>
          <w:tcPr>
            <w:tcW w:w="472" w:type="dxa"/>
            <w:tcBorders>
              <w:top w:val="single" w:color="auto" w:sz="4" w:space="0"/>
              <w:left w:val="single" w:color="auto" w:sz="4" w:space="0"/>
              <w:right w:val="single" w:color="auto" w:sz="4" w:space="0"/>
            </w:tcBorders>
            <w:vAlign w:val="center"/>
          </w:tcPr>
          <w:p w14:paraId="21A4EB7E">
            <w:pPr>
              <w:widowControl/>
              <w:adjustRightInd w:val="0"/>
              <w:snapToGrid w:val="0"/>
              <w:spacing w:line="300" w:lineRule="exact"/>
              <w:ind w:firstLine="0" w:firstLineChars="0"/>
              <w:jc w:val="center"/>
              <w:rPr>
                <w:color w:val="000000" w:themeColor="text1"/>
                <w:sz w:val="21"/>
                <w:szCs w:val="21"/>
                <w:lang w:val="zh-CN"/>
                <w14:textFill>
                  <w14:solidFill>
                    <w14:schemeClr w14:val="tx1"/>
                  </w14:solidFill>
                </w14:textFill>
              </w:rPr>
            </w:pPr>
            <w:r>
              <w:rPr>
                <w:color w:val="000000" w:themeColor="text1"/>
                <w:sz w:val="21"/>
                <w:szCs w:val="21"/>
                <w:lang w:val="zh-CN"/>
                <w14:textFill>
                  <w14:solidFill>
                    <w14:schemeClr w14:val="tx1"/>
                  </w14:solidFill>
                </w14:textFill>
              </w:rPr>
              <w:t>4.6</w:t>
            </w:r>
          </w:p>
        </w:tc>
        <w:tc>
          <w:tcPr>
            <w:tcW w:w="472" w:type="dxa"/>
            <w:tcBorders>
              <w:top w:val="single" w:color="auto" w:sz="4" w:space="0"/>
              <w:left w:val="single" w:color="auto" w:sz="4" w:space="0"/>
              <w:right w:val="single" w:color="auto" w:sz="4" w:space="0"/>
            </w:tcBorders>
            <w:vAlign w:val="center"/>
          </w:tcPr>
          <w:p w14:paraId="6A1E027C">
            <w:pPr>
              <w:widowControl/>
              <w:adjustRightInd w:val="0"/>
              <w:snapToGrid w:val="0"/>
              <w:spacing w:line="300" w:lineRule="exact"/>
              <w:ind w:firstLine="0" w:firstLineChars="0"/>
              <w:jc w:val="center"/>
              <w:rPr>
                <w:color w:val="000000" w:themeColor="text1"/>
                <w:sz w:val="21"/>
                <w:szCs w:val="21"/>
                <w:lang w:val="zh-CN"/>
                <w14:textFill>
                  <w14:solidFill>
                    <w14:schemeClr w14:val="tx1"/>
                  </w14:solidFill>
                </w14:textFill>
              </w:rPr>
            </w:pPr>
            <w:r>
              <w:rPr>
                <w:color w:val="000000" w:themeColor="text1"/>
                <w:sz w:val="21"/>
                <w:szCs w:val="21"/>
                <w:lang w:val="zh-CN"/>
                <w14:textFill>
                  <w14:solidFill>
                    <w14:schemeClr w14:val="tx1"/>
                  </w14:solidFill>
                </w14:textFill>
              </w:rPr>
              <w:t>4.6</w:t>
            </w:r>
          </w:p>
        </w:tc>
        <w:tc>
          <w:tcPr>
            <w:tcW w:w="472" w:type="dxa"/>
            <w:tcBorders>
              <w:top w:val="single" w:color="auto" w:sz="4" w:space="0"/>
              <w:left w:val="single" w:color="auto" w:sz="4" w:space="0"/>
              <w:right w:val="single" w:color="auto" w:sz="4" w:space="0"/>
            </w:tcBorders>
            <w:vAlign w:val="center"/>
          </w:tcPr>
          <w:p w14:paraId="22134E7B">
            <w:pPr>
              <w:widowControl/>
              <w:adjustRightInd w:val="0"/>
              <w:snapToGrid w:val="0"/>
              <w:spacing w:line="300" w:lineRule="exact"/>
              <w:ind w:firstLine="0" w:firstLineChars="0"/>
              <w:jc w:val="center"/>
              <w:rPr>
                <w:color w:val="000000" w:themeColor="text1"/>
                <w:sz w:val="21"/>
                <w:szCs w:val="21"/>
                <w:lang w:val="zh-CN"/>
                <w14:textFill>
                  <w14:solidFill>
                    <w14:schemeClr w14:val="tx1"/>
                  </w14:solidFill>
                </w14:textFill>
              </w:rPr>
            </w:pPr>
            <w:r>
              <w:rPr>
                <w:color w:val="000000" w:themeColor="text1"/>
                <w:sz w:val="21"/>
                <w:szCs w:val="21"/>
                <w:lang w:val="zh-CN"/>
                <w14:textFill>
                  <w14:solidFill>
                    <w14:schemeClr w14:val="tx1"/>
                  </w14:solidFill>
                </w14:textFill>
              </w:rPr>
              <w:t>6.3</w:t>
            </w:r>
          </w:p>
        </w:tc>
        <w:tc>
          <w:tcPr>
            <w:tcW w:w="472" w:type="dxa"/>
            <w:tcBorders>
              <w:top w:val="single" w:color="auto" w:sz="4" w:space="0"/>
              <w:left w:val="single" w:color="auto" w:sz="4" w:space="0"/>
              <w:right w:val="single" w:color="auto" w:sz="4" w:space="0"/>
            </w:tcBorders>
            <w:vAlign w:val="center"/>
          </w:tcPr>
          <w:p w14:paraId="7A50D714">
            <w:pPr>
              <w:widowControl/>
              <w:adjustRightInd w:val="0"/>
              <w:snapToGrid w:val="0"/>
              <w:spacing w:line="300" w:lineRule="exact"/>
              <w:ind w:firstLine="0" w:firstLineChars="0"/>
              <w:jc w:val="center"/>
              <w:rPr>
                <w:color w:val="000000" w:themeColor="text1"/>
                <w:sz w:val="21"/>
                <w:szCs w:val="21"/>
                <w:lang w:val="zh-CN"/>
                <w14:textFill>
                  <w14:solidFill>
                    <w14:schemeClr w14:val="tx1"/>
                  </w14:solidFill>
                </w14:textFill>
              </w:rPr>
            </w:pPr>
            <w:r>
              <w:rPr>
                <w:color w:val="000000" w:themeColor="text1"/>
                <w:sz w:val="21"/>
                <w:szCs w:val="21"/>
                <w:lang w:val="zh-CN"/>
                <w14:textFill>
                  <w14:solidFill>
                    <w14:schemeClr w14:val="tx1"/>
                  </w14:solidFill>
                </w14:textFill>
              </w:rPr>
              <w:t>7.9</w:t>
            </w:r>
          </w:p>
        </w:tc>
        <w:tc>
          <w:tcPr>
            <w:tcW w:w="472" w:type="dxa"/>
            <w:tcBorders>
              <w:top w:val="single" w:color="auto" w:sz="4" w:space="0"/>
              <w:left w:val="single" w:color="auto" w:sz="4" w:space="0"/>
              <w:right w:val="single" w:color="auto" w:sz="4" w:space="0"/>
            </w:tcBorders>
            <w:vAlign w:val="center"/>
          </w:tcPr>
          <w:p w14:paraId="783DD8E6">
            <w:pPr>
              <w:widowControl/>
              <w:adjustRightInd w:val="0"/>
              <w:snapToGrid w:val="0"/>
              <w:spacing w:line="300" w:lineRule="exact"/>
              <w:ind w:firstLine="0" w:firstLineChars="0"/>
              <w:jc w:val="center"/>
              <w:rPr>
                <w:color w:val="000000" w:themeColor="text1"/>
                <w:sz w:val="21"/>
                <w:szCs w:val="21"/>
                <w:lang w:val="zh-CN"/>
                <w14:textFill>
                  <w14:solidFill>
                    <w14:schemeClr w14:val="tx1"/>
                  </w14:solidFill>
                </w14:textFill>
              </w:rPr>
            </w:pPr>
            <w:r>
              <w:rPr>
                <w:color w:val="000000" w:themeColor="text1"/>
                <w:sz w:val="21"/>
                <w:szCs w:val="21"/>
                <w:lang w:val="zh-CN"/>
                <w14:textFill>
                  <w14:solidFill>
                    <w14:schemeClr w14:val="tx1"/>
                  </w14:solidFill>
                </w14:textFill>
              </w:rPr>
              <w:t>8.0</w:t>
            </w:r>
          </w:p>
        </w:tc>
        <w:tc>
          <w:tcPr>
            <w:tcW w:w="472" w:type="dxa"/>
            <w:tcBorders>
              <w:top w:val="single" w:color="auto" w:sz="4" w:space="0"/>
              <w:left w:val="single" w:color="auto" w:sz="4" w:space="0"/>
              <w:right w:val="single" w:color="auto" w:sz="4" w:space="0"/>
            </w:tcBorders>
            <w:vAlign w:val="center"/>
          </w:tcPr>
          <w:p w14:paraId="136F2D49">
            <w:pPr>
              <w:widowControl/>
              <w:adjustRightInd w:val="0"/>
              <w:snapToGrid w:val="0"/>
              <w:spacing w:line="300" w:lineRule="exact"/>
              <w:ind w:firstLine="0" w:firstLineChars="0"/>
              <w:jc w:val="center"/>
              <w:rPr>
                <w:color w:val="000000" w:themeColor="text1"/>
                <w:sz w:val="21"/>
                <w:szCs w:val="21"/>
                <w:lang w:val="zh-CN"/>
                <w14:textFill>
                  <w14:solidFill>
                    <w14:schemeClr w14:val="tx1"/>
                  </w14:solidFill>
                </w14:textFill>
              </w:rPr>
            </w:pPr>
            <w:r>
              <w:rPr>
                <w:color w:val="000000" w:themeColor="text1"/>
                <w:sz w:val="21"/>
                <w:szCs w:val="21"/>
                <w:lang w:val="zh-CN"/>
                <w14:textFill>
                  <w14:solidFill>
                    <w14:schemeClr w14:val="tx1"/>
                  </w14:solidFill>
                </w14:textFill>
              </w:rPr>
              <w:t>2.8</w:t>
            </w:r>
          </w:p>
        </w:tc>
        <w:tc>
          <w:tcPr>
            <w:tcW w:w="585" w:type="dxa"/>
            <w:tcBorders>
              <w:top w:val="single" w:color="auto" w:sz="4" w:space="0"/>
              <w:left w:val="single" w:color="auto" w:sz="4" w:space="0"/>
              <w:right w:val="single" w:color="auto" w:sz="4" w:space="0"/>
            </w:tcBorders>
            <w:vAlign w:val="center"/>
          </w:tcPr>
          <w:p w14:paraId="6BBF20FF">
            <w:pPr>
              <w:widowControl/>
              <w:adjustRightInd w:val="0"/>
              <w:snapToGrid w:val="0"/>
              <w:spacing w:line="300" w:lineRule="exact"/>
              <w:ind w:firstLine="0" w:firstLineChars="0"/>
              <w:jc w:val="center"/>
              <w:rPr>
                <w:color w:val="000000" w:themeColor="text1"/>
                <w:sz w:val="21"/>
                <w:szCs w:val="21"/>
                <w:lang w:val="zh-CN"/>
                <w14:textFill>
                  <w14:solidFill>
                    <w14:schemeClr w14:val="tx1"/>
                  </w14:solidFill>
                </w14:textFill>
              </w:rPr>
            </w:pPr>
            <w:r>
              <w:rPr>
                <w:color w:val="000000" w:themeColor="text1"/>
                <w:sz w:val="21"/>
                <w:szCs w:val="21"/>
                <w:lang w:val="zh-CN"/>
                <w14:textFill>
                  <w14:solidFill>
                    <w14:schemeClr w14:val="tx1"/>
                  </w14:solidFill>
                </w14:textFill>
              </w:rPr>
              <w:t>1.8</w:t>
            </w:r>
          </w:p>
        </w:tc>
        <w:tc>
          <w:tcPr>
            <w:tcW w:w="359" w:type="dxa"/>
            <w:tcBorders>
              <w:top w:val="single" w:color="auto" w:sz="4" w:space="0"/>
              <w:left w:val="single" w:color="auto" w:sz="4" w:space="0"/>
              <w:right w:val="single" w:color="auto" w:sz="4" w:space="0"/>
            </w:tcBorders>
            <w:vAlign w:val="center"/>
          </w:tcPr>
          <w:p w14:paraId="4E7261D8">
            <w:pPr>
              <w:widowControl/>
              <w:adjustRightInd w:val="0"/>
              <w:snapToGrid w:val="0"/>
              <w:spacing w:line="300" w:lineRule="exact"/>
              <w:ind w:firstLine="0" w:firstLineChars="0"/>
              <w:jc w:val="center"/>
              <w:rPr>
                <w:color w:val="000000" w:themeColor="text1"/>
                <w:sz w:val="21"/>
                <w:szCs w:val="21"/>
                <w:lang w:val="zh-CN"/>
                <w14:textFill>
                  <w14:solidFill>
                    <w14:schemeClr w14:val="tx1"/>
                  </w14:solidFill>
                </w14:textFill>
              </w:rPr>
            </w:pPr>
            <w:r>
              <w:rPr>
                <w:color w:val="000000" w:themeColor="text1"/>
                <w:sz w:val="21"/>
                <w:szCs w:val="21"/>
                <w:lang w:val="zh-CN"/>
                <w14:textFill>
                  <w14:solidFill>
                    <w14:schemeClr w14:val="tx1"/>
                  </w14:solidFill>
                </w14:textFill>
              </w:rPr>
              <w:t>1.2</w:t>
            </w:r>
          </w:p>
        </w:tc>
        <w:tc>
          <w:tcPr>
            <w:tcW w:w="637" w:type="dxa"/>
            <w:tcBorders>
              <w:top w:val="single" w:color="auto" w:sz="4" w:space="0"/>
              <w:left w:val="single" w:color="auto" w:sz="4" w:space="0"/>
              <w:right w:val="single" w:color="auto" w:sz="4" w:space="0"/>
            </w:tcBorders>
            <w:vAlign w:val="center"/>
          </w:tcPr>
          <w:p w14:paraId="1B0CC420">
            <w:pPr>
              <w:widowControl/>
              <w:adjustRightInd w:val="0"/>
              <w:snapToGrid w:val="0"/>
              <w:spacing w:line="300" w:lineRule="exact"/>
              <w:ind w:firstLine="0" w:firstLineChars="0"/>
              <w:jc w:val="center"/>
              <w:rPr>
                <w:color w:val="000000" w:themeColor="text1"/>
                <w:sz w:val="21"/>
                <w:szCs w:val="21"/>
                <w:lang w:val="zh-CN"/>
                <w14:textFill>
                  <w14:solidFill>
                    <w14:schemeClr w14:val="tx1"/>
                  </w14:solidFill>
                </w14:textFill>
              </w:rPr>
            </w:pPr>
            <w:r>
              <w:rPr>
                <w:color w:val="000000" w:themeColor="text1"/>
                <w:sz w:val="21"/>
                <w:szCs w:val="21"/>
                <w:lang w:val="zh-CN"/>
                <w14:textFill>
                  <w14:solidFill>
                    <w14:schemeClr w14:val="tx1"/>
                  </w14:solidFill>
                </w14:textFill>
              </w:rPr>
              <w:t>1.5</w:t>
            </w:r>
          </w:p>
        </w:tc>
        <w:tc>
          <w:tcPr>
            <w:tcW w:w="589" w:type="dxa"/>
            <w:tcBorders>
              <w:top w:val="single" w:color="auto" w:sz="4" w:space="0"/>
              <w:left w:val="single" w:color="auto" w:sz="4" w:space="0"/>
              <w:right w:val="single" w:color="auto" w:sz="4" w:space="0"/>
            </w:tcBorders>
            <w:vAlign w:val="center"/>
          </w:tcPr>
          <w:p w14:paraId="46CCAA1E">
            <w:pPr>
              <w:widowControl/>
              <w:adjustRightInd w:val="0"/>
              <w:snapToGrid w:val="0"/>
              <w:spacing w:line="300" w:lineRule="exact"/>
              <w:ind w:firstLine="0" w:firstLineChars="0"/>
              <w:jc w:val="center"/>
              <w:rPr>
                <w:color w:val="000000" w:themeColor="text1"/>
                <w:sz w:val="21"/>
                <w:szCs w:val="21"/>
                <w:lang w:val="zh-CN"/>
                <w14:textFill>
                  <w14:solidFill>
                    <w14:schemeClr w14:val="tx1"/>
                  </w14:solidFill>
                </w14:textFill>
              </w:rPr>
            </w:pPr>
            <w:r>
              <w:rPr>
                <w:color w:val="000000" w:themeColor="text1"/>
                <w:sz w:val="21"/>
                <w:szCs w:val="21"/>
                <w:lang w:val="zh-CN"/>
                <w14:textFill>
                  <w14:solidFill>
                    <w14:schemeClr w14:val="tx1"/>
                  </w14:solidFill>
                </w14:textFill>
              </w:rPr>
              <w:t>3.3</w:t>
            </w:r>
          </w:p>
        </w:tc>
        <w:tc>
          <w:tcPr>
            <w:tcW w:w="589" w:type="dxa"/>
            <w:tcBorders>
              <w:top w:val="single" w:color="auto" w:sz="4" w:space="0"/>
              <w:left w:val="single" w:color="auto" w:sz="4" w:space="0"/>
              <w:right w:val="single" w:color="auto" w:sz="4" w:space="0"/>
            </w:tcBorders>
            <w:vAlign w:val="center"/>
          </w:tcPr>
          <w:p w14:paraId="395D4B9C">
            <w:pPr>
              <w:widowControl/>
              <w:adjustRightInd w:val="0"/>
              <w:snapToGrid w:val="0"/>
              <w:spacing w:line="300" w:lineRule="exact"/>
              <w:ind w:firstLine="0" w:firstLineChars="0"/>
              <w:jc w:val="center"/>
              <w:rPr>
                <w:color w:val="000000" w:themeColor="text1"/>
                <w:sz w:val="21"/>
                <w:szCs w:val="21"/>
                <w:lang w:val="zh-CN"/>
                <w14:textFill>
                  <w14:solidFill>
                    <w14:schemeClr w14:val="tx1"/>
                  </w14:solidFill>
                </w14:textFill>
              </w:rPr>
            </w:pPr>
            <w:r>
              <w:rPr>
                <w:color w:val="000000" w:themeColor="text1"/>
                <w:sz w:val="21"/>
                <w:szCs w:val="21"/>
                <w:lang w:val="zh-CN"/>
                <w14:textFill>
                  <w14:solidFill>
                    <w14:schemeClr w14:val="tx1"/>
                  </w14:solidFill>
                </w14:textFill>
              </w:rPr>
              <w:t>11.0</w:t>
            </w:r>
          </w:p>
        </w:tc>
        <w:tc>
          <w:tcPr>
            <w:tcW w:w="333" w:type="dxa"/>
            <w:tcBorders>
              <w:top w:val="single" w:color="auto" w:sz="4" w:space="0"/>
              <w:left w:val="single" w:color="auto" w:sz="4" w:space="0"/>
            </w:tcBorders>
            <w:vAlign w:val="center"/>
          </w:tcPr>
          <w:p w14:paraId="302604FF">
            <w:pPr>
              <w:widowControl/>
              <w:adjustRightInd w:val="0"/>
              <w:snapToGrid w:val="0"/>
              <w:spacing w:line="300" w:lineRule="exact"/>
              <w:ind w:firstLine="0" w:firstLineChars="0"/>
              <w:jc w:val="center"/>
              <w:rPr>
                <w:color w:val="000000" w:themeColor="text1"/>
                <w:sz w:val="21"/>
                <w:szCs w:val="21"/>
                <w:lang w:val="zh-CN"/>
                <w14:textFill>
                  <w14:solidFill>
                    <w14:schemeClr w14:val="tx1"/>
                  </w14:solidFill>
                </w14:textFill>
              </w:rPr>
            </w:pPr>
            <w:r>
              <w:rPr>
                <w:color w:val="000000" w:themeColor="text1"/>
                <w:sz w:val="21"/>
                <w:szCs w:val="21"/>
                <w:lang w:val="zh-CN"/>
                <w14:textFill>
                  <w14:solidFill>
                    <w14:schemeClr w14:val="tx1"/>
                  </w14:solidFill>
                </w14:textFill>
              </w:rPr>
              <w:t>7.6</w:t>
            </w:r>
          </w:p>
        </w:tc>
      </w:tr>
    </w:tbl>
    <w:p w14:paraId="3555A4FF">
      <w:pPr>
        <w:pStyle w:val="6"/>
        <w:rPr>
          <w:color w:val="000000" w:themeColor="text1"/>
          <w14:textFill>
            <w14:solidFill>
              <w14:schemeClr w14:val="tx1"/>
            </w14:solidFill>
          </w14:textFill>
        </w:rPr>
      </w:pPr>
      <w:r>
        <w:rPr>
          <w:color w:val="000000" w:themeColor="text1"/>
          <w14:textFill>
            <w14:solidFill>
              <w14:schemeClr w14:val="tx1"/>
            </w14:solidFill>
          </w14:textFill>
        </w:rPr>
        <w:t>雾、相对湿度及蒸发量</w:t>
      </w:r>
    </w:p>
    <w:p w14:paraId="4CBEB082">
      <w:pPr>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钦州湾的雾以锋面雾和平流雾为主，辐射雾次之。钦州湾的雾日与廉州湾相近，多年平均为13.4d，历年最多雾日达30d，最少为6d。一年中多雾日时段为12月至翌年3月，在此期间月平均雾日为2d至3d。一天中雾主要出现在傍晚至次日清晨。冬春季节，大雾常出现在冷空气南下之前。</w:t>
      </w:r>
    </w:p>
    <w:p w14:paraId="253C44FE">
      <w:pPr>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区域相对湿度以春季3月和雨季6~8月为最大，10月到次年1月为相对湿度低值期。多年平均相对湿度为82%，历史最大相对湿度达100%，历史最小相对湿度为22%。</w:t>
      </w:r>
    </w:p>
    <w:p w14:paraId="5D35223E">
      <w:pPr>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钦州湾历年平均年蒸发量：1502.9mm，极端最低年蒸发量：1260.5mm。</w:t>
      </w:r>
    </w:p>
    <w:p w14:paraId="60630E13">
      <w:pPr>
        <w:pStyle w:val="4"/>
        <w:rPr>
          <w:color w:val="000000" w:themeColor="text1"/>
          <w14:textFill>
            <w14:solidFill>
              <w14:schemeClr w14:val="tx1"/>
            </w14:solidFill>
          </w14:textFill>
        </w:rPr>
      </w:pPr>
      <w:bookmarkStart w:id="527" w:name="_Toc25436959"/>
      <w:bookmarkStart w:id="528" w:name="_Toc136878468"/>
      <w:bookmarkStart w:id="529" w:name="_Toc216620532"/>
      <w:bookmarkStart w:id="530" w:name="_Toc26910002"/>
      <w:bookmarkStart w:id="531" w:name="_Toc135090219"/>
      <w:bookmarkStart w:id="532" w:name="_Toc29131816"/>
      <w:bookmarkStart w:id="533" w:name="_Toc216103373"/>
      <w:r>
        <w:rPr>
          <w:color w:val="000000" w:themeColor="text1"/>
          <w14:textFill>
            <w14:solidFill>
              <w14:schemeClr w14:val="tx1"/>
            </w14:solidFill>
          </w14:textFill>
        </w:rPr>
        <w:t>自然资源</w:t>
      </w:r>
      <w:bookmarkEnd w:id="527"/>
      <w:bookmarkEnd w:id="528"/>
      <w:bookmarkEnd w:id="529"/>
      <w:bookmarkEnd w:id="530"/>
      <w:bookmarkEnd w:id="531"/>
      <w:bookmarkEnd w:id="532"/>
      <w:bookmarkEnd w:id="533"/>
    </w:p>
    <w:p w14:paraId="496F15A5">
      <w:pPr>
        <w:pStyle w:val="6"/>
        <w:rPr>
          <w:color w:val="000000" w:themeColor="text1"/>
          <w14:textFill>
            <w14:solidFill>
              <w14:schemeClr w14:val="tx1"/>
            </w14:solidFill>
          </w14:textFill>
        </w:rPr>
      </w:pPr>
      <w:r>
        <w:rPr>
          <w:color w:val="000000" w:themeColor="text1"/>
          <w14:textFill>
            <w14:solidFill>
              <w14:schemeClr w14:val="tx1"/>
            </w14:solidFill>
          </w14:textFill>
        </w:rPr>
        <w:t>土壤资源</w:t>
      </w:r>
    </w:p>
    <w:p w14:paraId="22A2B6B0">
      <w:pPr>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钦州市土壤的成土母岩和母质主要有砂页岩、花岗岩、砂岩、紫色岩系、浅海沉积物、第四纪红土和河流冲积物等七种，此外还有页岩、粉砂岩、灰岩、石灰岩等。由于成土母质较多，形成的土壤种类也较多。成土母质主要是沙页岩与花岗岩，呈带状相间分布。地势平缓，大部分已垦殖为耕作土壤。其分布规律是：从垌田到丘陵依次为沙页岩或花岗岩母质潴育性水稻土‐淹育性水稻土‐耕型砂页岩或花岗岩赤（砖）红壤‐沙页岩或花岗岩赤（砖）红岩（林业土壤）。山间有较多的潜底田。</w:t>
      </w:r>
    </w:p>
    <w:p w14:paraId="195B96D6">
      <w:pPr>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拟建项目所在地的旱地土壤以耕型砖红壤、耕型滨海沙土为主；自然土土质以风沙土及沼泽土为主。</w:t>
      </w:r>
    </w:p>
    <w:p w14:paraId="5B3D9A06">
      <w:pPr>
        <w:pStyle w:val="6"/>
        <w:rPr>
          <w:color w:val="000000" w:themeColor="text1"/>
          <w14:textFill>
            <w14:solidFill>
              <w14:schemeClr w14:val="tx1"/>
            </w14:solidFill>
          </w14:textFill>
        </w:rPr>
      </w:pPr>
      <w:r>
        <w:rPr>
          <w:color w:val="000000" w:themeColor="text1"/>
          <w14:textFill>
            <w14:solidFill>
              <w14:schemeClr w14:val="tx1"/>
            </w14:solidFill>
          </w14:textFill>
        </w:rPr>
        <w:t>动物资源</w:t>
      </w:r>
    </w:p>
    <w:p w14:paraId="7DE95462">
      <w:pPr>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钦州市自然分布的陆生野生脊椎动物76科271种。其中，两栖类7种，主要有青蛙、山蛙、沼蛙、蟾蜍等；爬行类21种，主要有眼镜蛇、金环蛇、银环蛇、百步蛇、三素锦蛇、水律蛇、蛤蚧、龟等；鸟类186种，主要有画眉、鹧鸪、鹩哥、鹦鹉、山雀、白鹭、大白鹭、牛背鹭等；哺乳类62种，主要有野猪、豪猪、果子狸、猪獾、抓鸡虎、松鼠、竹鼠等。钦州湾及其邻近海域的多毛类、软体动物、甲壳动物、棘皮动物、底栖鱼类等底栖动物共有800余种，隶属 212 科 478 属。本海区的经济底栖生物种有马氏珠母贝、杂色鲃、近江牡蛎（大蚝）、花刺参、长助日月贝、花日本日月贝、文蛤和毛蚶等。国家公布的一级、二级陆生野生动物主要分布在浦北县的六万山、钦北区的王岗山及广西茅尾海红树林自治区级自然保护区。</w:t>
      </w:r>
    </w:p>
    <w:p w14:paraId="7F2E7041">
      <w:pPr>
        <w:topLinePunct/>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据调查，本项目东面约16.4km处的三娘湾海域分布有中华白海豚，未设置中华白海豚自然保护区，但距离较近。白海豚是我国I级保护动物，属于暖水性鲸豚类，隶属于鲸目齿鲸亚目海豚科，现存北部湾白海豚的主要分布区域为大风江口南部海域（共约350平方千米），其中三墩沙一线以东至钦州-北海交界一线以西水深不超过8m的海域为其密集分布区（共约180平方千米）。</w:t>
      </w:r>
    </w:p>
    <w:p w14:paraId="1E44FB48">
      <w:pPr>
        <w:pStyle w:val="6"/>
        <w:rPr>
          <w:color w:val="000000" w:themeColor="text1"/>
          <w14:textFill>
            <w14:solidFill>
              <w14:schemeClr w14:val="tx1"/>
            </w14:solidFill>
          </w14:textFill>
        </w:rPr>
      </w:pPr>
      <w:r>
        <w:rPr>
          <w:color w:val="000000" w:themeColor="text1"/>
          <w14:textFill>
            <w14:solidFill>
              <w14:schemeClr w14:val="tx1"/>
            </w14:solidFill>
          </w14:textFill>
        </w:rPr>
        <w:t>植物资源</w:t>
      </w:r>
    </w:p>
    <w:p w14:paraId="39CC5B8D">
      <w:pPr>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钦州市植被茂盛，天然植被分区属桂南热带雨林和亚热带季雨林区。植被类型和植物群落多种多样，大致分为季雨林、常绿阔叶林、针叶林、针阔叶混交林和稀树矮草等5 大类植被类型。植被分布极不平衡，在西部、北部及东部部分地区，原生植被大部分已受</w:t>
      </w:r>
      <w:r>
        <w:rPr>
          <w:rFonts w:hint="eastAsia"/>
          <w:color w:val="000000" w:themeColor="text1"/>
          <w:kern w:val="0"/>
          <w:szCs w:val="22"/>
          <w:lang w:eastAsia="zh-CN"/>
          <w14:textFill>
            <w14:solidFill>
              <w14:schemeClr w14:val="tx1"/>
            </w14:solidFill>
          </w14:textFill>
        </w:rPr>
        <w:t>破坏</w:t>
      </w:r>
      <w:r>
        <w:rPr>
          <w:color w:val="000000" w:themeColor="text1"/>
          <w:kern w:val="0"/>
          <w:szCs w:val="22"/>
          <w14:textFill>
            <w14:solidFill>
              <w14:schemeClr w14:val="tx1"/>
            </w14:solidFill>
          </w14:textFill>
        </w:rPr>
        <w:t>，现有森林是以松、杉树为主的次生杂木林，杂木有椎、樟、楠、荷、格、紫荆等。地表以桃金娘、芒箕群落为主。中南部地区属灌木低草群落，灌木以岗松为主，低草以鸭咀草为主，其次也有桃金娘、芒箕、鹧鸪草等。另在海河交汇处及浅海滩涂分布有热带海岸特有的植被——红树林。</w:t>
      </w:r>
    </w:p>
    <w:p w14:paraId="68F213A3">
      <w:pPr>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项目评价区域森林植被以松杉和天然阔叶林为主。由于土壤、气候、地形条件的不同，植被分布有区域性差异：东、西北部地区以桃金娘芒箕群落为主，草类以绒草为主，覆盖率 80～90%，乔木以松杉为主；南部、中部地区以灌木、岗松及低草群落的鸭嘴草为主，覆盖率 50～60%，乔木以松为主；沿海地区以矮生鹧鸪草群落为主，覆盖率 30～40%，乔木以松为主。</w:t>
      </w:r>
    </w:p>
    <w:p w14:paraId="585B940B">
      <w:pPr>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据调查，距离拟建项目西北5.4km处的七十二泾风景区内分布着大片野生红树林，目前已经被列为自治区级红树林自然保护区。</w:t>
      </w:r>
    </w:p>
    <w:p w14:paraId="51FEF4B9">
      <w:pPr>
        <w:pStyle w:val="6"/>
        <w:rPr>
          <w:color w:val="000000" w:themeColor="text1"/>
          <w14:textFill>
            <w14:solidFill>
              <w14:schemeClr w14:val="tx1"/>
            </w14:solidFill>
          </w14:textFill>
        </w:rPr>
      </w:pPr>
      <w:r>
        <w:rPr>
          <w:color w:val="000000" w:themeColor="text1"/>
          <w14:textFill>
            <w14:solidFill>
              <w14:schemeClr w14:val="tx1"/>
            </w14:solidFill>
          </w14:textFill>
        </w:rPr>
        <w:t>矿产资源</w:t>
      </w:r>
    </w:p>
    <w:p w14:paraId="539EF6A5">
      <w:pPr>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钦州市有46种矿产，矿床及矿点共176处，小型规模以上有46处，其中大型石膏矿床一处（钦灵石膏矿床），中型铅锌矿床和稀土矿床各1处，煤、陶瓷土、油页岩、锰、铁、钛、磷、高岭土、水泥用灰岩、水泥配料用页岩、建筑材料用灰岩、建筑材料用花岗岩等矿床130处。已经开发利用的主要矿种有铅锌矿、煤矿、锰矿（氧化锰）、陶瓷土、石膏矿、钛铁砂矿、石灰岩、花岗岩及建筑用砂等。</w:t>
      </w:r>
    </w:p>
    <w:p w14:paraId="166CA0A0">
      <w:pPr>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据调查，拟建项目评价区域内未发现可供利用矿床和采矿点。</w:t>
      </w:r>
    </w:p>
    <w:p w14:paraId="26C6BF3D">
      <w:pPr>
        <w:pStyle w:val="6"/>
        <w:rPr>
          <w:color w:val="000000" w:themeColor="text1"/>
          <w14:textFill>
            <w14:solidFill>
              <w14:schemeClr w14:val="tx1"/>
            </w14:solidFill>
          </w14:textFill>
        </w:rPr>
      </w:pPr>
      <w:r>
        <w:rPr>
          <w:color w:val="000000" w:themeColor="text1"/>
          <w14:textFill>
            <w14:solidFill>
              <w14:schemeClr w14:val="tx1"/>
            </w14:solidFill>
          </w14:textFill>
        </w:rPr>
        <w:t>自然保护区、风景名胜区及文物古迹</w:t>
      </w:r>
    </w:p>
    <w:p w14:paraId="4A8EDD31">
      <w:pPr>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钦州市旅游资源丰富，具有独特的人文景观和自然景观。三娘湾旅游景区在北部湾最具发展潜力的旅游胜地，国家AAAA景区；尾茅海的“七十二泾”被誉为“南国蓬莱”；坐落在钦州市城区的民族英雄刘永福、冯子材故居是国家级重点保护文物单位，国家AAAA景区。评价区域内未发现国家保护珍稀野生动植物。</w:t>
      </w:r>
    </w:p>
    <w:p w14:paraId="1559839B">
      <w:pPr>
        <w:pStyle w:val="4"/>
        <w:rPr>
          <w:color w:val="000000" w:themeColor="text1"/>
          <w14:textFill>
            <w14:solidFill>
              <w14:schemeClr w14:val="tx1"/>
            </w14:solidFill>
          </w14:textFill>
        </w:rPr>
      </w:pPr>
      <w:bookmarkStart w:id="534" w:name="_Toc136878469"/>
      <w:bookmarkStart w:id="535" w:name="_Toc135090220"/>
      <w:bookmarkStart w:id="536" w:name="_Toc216103374"/>
      <w:bookmarkStart w:id="537" w:name="_Toc216620533"/>
      <w:r>
        <w:rPr>
          <w:color w:val="000000" w:themeColor="text1"/>
          <w14:textFill>
            <w14:solidFill>
              <w14:schemeClr w14:val="tx1"/>
            </w14:solidFill>
          </w14:textFill>
        </w:rPr>
        <w:t>水文</w:t>
      </w:r>
      <w:bookmarkEnd w:id="534"/>
      <w:bookmarkEnd w:id="535"/>
      <w:bookmarkEnd w:id="536"/>
      <w:bookmarkEnd w:id="537"/>
    </w:p>
    <w:p w14:paraId="57EBB925">
      <w:pPr>
        <w:pStyle w:val="6"/>
        <w:rPr>
          <w:color w:val="000000" w:themeColor="text1"/>
          <w14:textFill>
            <w14:solidFill>
              <w14:schemeClr w14:val="tx1"/>
            </w14:solidFill>
          </w14:textFill>
        </w:rPr>
      </w:pPr>
      <w:r>
        <w:rPr>
          <w:color w:val="000000" w:themeColor="text1"/>
          <w14:textFill>
            <w14:solidFill>
              <w14:schemeClr w14:val="tx1"/>
            </w14:solidFill>
          </w14:textFill>
        </w:rPr>
        <w:t>地表水</w:t>
      </w:r>
    </w:p>
    <w:p w14:paraId="719F861E">
      <w:pPr>
        <w:ind w:firstLine="480"/>
        <w:rPr>
          <w:bCs/>
          <w:color w:val="000000" w:themeColor="text1"/>
          <w14:textFill>
            <w14:solidFill>
              <w14:schemeClr w14:val="tx1"/>
            </w14:solidFill>
          </w14:textFill>
        </w:rPr>
      </w:pPr>
      <w:r>
        <w:rPr>
          <w:color w:val="000000" w:themeColor="text1"/>
          <w14:textFill>
            <w14:solidFill>
              <w14:schemeClr w14:val="tx1"/>
            </w14:solidFill>
          </w14:textFill>
        </w:rPr>
        <w:t>钦州境内河流众多，计有大小独流入海河流32条，河流总长2794km，河网密度为0.6 km/km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。流域面积在1800km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以上的河流主要有钦江、茅岭江和大风江，均属桂南沿海独流入海水系。三江在市境内干流总长307.4km，市内流域面积4164km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，年径流总量64.8亿m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/年。</w:t>
      </w:r>
    </w:p>
    <w:p w14:paraId="402FDC5B">
      <w:pPr>
        <w:ind w:firstLine="480"/>
        <w:rPr>
          <w:color w:val="000000" w:themeColor="text1"/>
          <w14:textFill>
            <w14:solidFill>
              <w14:schemeClr w14:val="tx1"/>
            </w14:solidFill>
          </w14:textFill>
        </w:rPr>
      </w:pPr>
      <w:r>
        <w:rPr>
          <w:color w:val="000000" w:themeColor="text1"/>
          <w14:textFill>
            <w14:solidFill>
              <w14:schemeClr w14:val="tx1"/>
            </w14:solidFill>
          </w14:textFill>
        </w:rPr>
        <w:t>流入钦州湾的河流有钦江、茅岭江、金鼓江、鹿耳环江等。其中，钦江、茅岭江为流入钦州湾的主要河流，且为常年性河流，它们分别从东北、西北向汇入钦州湾海域，对钦州湾及其邻近水域的泥沙来源、航道、污染和水文环境等都有重要影响。金鼓江、鹿耳环江为海岔，其水文状况受海洋潮汐影响极大。</w:t>
      </w:r>
    </w:p>
    <w:p w14:paraId="55C05B1E">
      <w:pPr>
        <w:pStyle w:val="6"/>
        <w:rPr>
          <w:color w:val="000000" w:themeColor="text1"/>
          <w14:textFill>
            <w14:solidFill>
              <w14:schemeClr w14:val="tx1"/>
            </w14:solidFill>
          </w14:textFill>
        </w:rPr>
      </w:pPr>
      <w:r>
        <w:rPr>
          <w:color w:val="000000" w:themeColor="text1"/>
          <w14:textFill>
            <w14:solidFill>
              <w14:schemeClr w14:val="tx1"/>
            </w14:solidFill>
          </w14:textFill>
        </w:rPr>
        <w:t>地下水</w:t>
      </w:r>
    </w:p>
    <w:p w14:paraId="11320E0A">
      <w:pPr>
        <w:ind w:firstLine="480"/>
        <w:rPr>
          <w:color w:val="000000" w:themeColor="text1"/>
          <w14:textFill>
            <w14:solidFill>
              <w14:schemeClr w14:val="tx1"/>
            </w14:solidFill>
          </w14:textFill>
        </w:rPr>
      </w:pPr>
      <w:r>
        <w:rPr>
          <w:color w:val="000000" w:themeColor="text1"/>
          <w14:textFill>
            <w14:solidFill>
              <w14:schemeClr w14:val="tx1"/>
            </w14:solidFill>
          </w14:textFill>
        </w:rPr>
        <w:t>根据区域1/20万钦州幅水文地图分析，钦州市地下水类型主要为松散岩类孔隙水、碎屑岩类裂隙孔隙水、泥质粉砂岩类构造裂隙水和基岩裂隙水等四大类型。区域地下水主要为裂隙孔隙承压水，地下水补给主要是降雨的垂直补给和地表水(山塘、水库)侧向补给，其径流排泄总体上是由北向南，由东西两侧向中部钦江河径流排泄。目前，钦州市主要的生活和工业用水以地表水为主，地下水开采量约占总用水量的20%。</w:t>
      </w:r>
    </w:p>
    <w:p w14:paraId="7D342CA9">
      <w:pPr>
        <w:pStyle w:val="6"/>
        <w:rPr>
          <w:color w:val="000000" w:themeColor="text1"/>
          <w14:textFill>
            <w14:solidFill>
              <w14:schemeClr w14:val="tx1"/>
            </w14:solidFill>
          </w14:textFill>
        </w:rPr>
      </w:pPr>
      <w:r>
        <w:rPr>
          <w:color w:val="000000" w:themeColor="text1"/>
          <w14:textFill>
            <w14:solidFill>
              <w14:schemeClr w14:val="tx1"/>
            </w14:solidFill>
          </w14:textFill>
        </w:rPr>
        <w:t>海洋</w:t>
      </w:r>
    </w:p>
    <w:p w14:paraId="4EE6E373">
      <w:pPr>
        <w:ind w:firstLine="480"/>
        <w:rPr>
          <w:color w:val="000000" w:themeColor="text1"/>
          <w14:textFill>
            <w14:solidFill>
              <w14:schemeClr w14:val="tx1"/>
            </w14:solidFill>
          </w14:textFill>
        </w:rPr>
      </w:pPr>
      <w:r>
        <w:rPr>
          <w:color w:val="000000" w:themeColor="text1"/>
          <w14:textFill>
            <w14:solidFill>
              <w14:schemeClr w14:val="tx1"/>
            </w14:solidFill>
          </w14:textFill>
        </w:rPr>
        <w:t>（1）潮汐</w:t>
      </w:r>
    </w:p>
    <w:p w14:paraId="4BF27453">
      <w:pPr>
        <w:ind w:firstLine="480"/>
        <w:rPr>
          <w:color w:val="000000" w:themeColor="text1"/>
          <w14:textFill>
            <w14:solidFill>
              <w14:schemeClr w14:val="tx1"/>
            </w14:solidFill>
          </w14:textFill>
        </w:rPr>
      </w:pPr>
      <w:r>
        <w:rPr>
          <w:color w:val="000000" w:themeColor="text1"/>
          <w14:textFill>
            <w14:solidFill>
              <w14:schemeClr w14:val="tx1"/>
            </w14:solidFill>
          </w14:textFill>
        </w:rPr>
        <w:t>钦州湾潮汐类型属不正规全日潮型。钦州湾自1966年起在龙门港设有潮汐站，根据该站多年实测潮汐资料统计，钦州湾潮位特征见下表。</w:t>
      </w:r>
    </w:p>
    <w:p w14:paraId="313C8B3A">
      <w:pPr>
        <w:pStyle w:val="7"/>
        <w:rPr>
          <w:color w:val="000000" w:themeColor="text1"/>
          <w14:textFill>
            <w14:solidFill>
              <w14:schemeClr w14:val="tx1"/>
            </w14:solidFill>
          </w14:textFill>
        </w:rPr>
      </w:pPr>
      <w:r>
        <w:rPr>
          <w:color w:val="000000" w:themeColor="text1"/>
          <w14:textFill>
            <w14:solidFill>
              <w14:schemeClr w14:val="tx1"/>
            </w14:solidFill>
          </w14:textFill>
        </w:rPr>
        <w:t>钦州湾潮位特征表</w:t>
      </w:r>
    </w:p>
    <w:tbl>
      <w:tblPr>
        <w:tblStyle w:val="43"/>
        <w:tblW w:w="8533"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382"/>
        <w:gridCol w:w="1278"/>
        <w:gridCol w:w="1280"/>
        <w:gridCol w:w="1168"/>
        <w:gridCol w:w="1104"/>
        <w:gridCol w:w="1134"/>
        <w:gridCol w:w="1187"/>
      </w:tblGrid>
      <w:tr w14:paraId="2E42879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397" w:hRule="atLeast"/>
          <w:jc w:val="center"/>
        </w:trPr>
        <w:tc>
          <w:tcPr>
            <w:tcW w:w="1382" w:type="dxa"/>
            <w:tcBorders>
              <w:bottom w:val="single" w:color="auto" w:sz="4" w:space="0"/>
              <w:right w:val="single" w:color="auto" w:sz="4" w:space="0"/>
            </w:tcBorders>
            <w:vAlign w:val="center"/>
          </w:tcPr>
          <w:p w14:paraId="1D83EC86">
            <w:pPr>
              <w:snapToGrid w:val="0"/>
              <w:spacing w:line="240" w:lineRule="exact"/>
              <w:ind w:firstLine="0" w:firstLineChars="0"/>
              <w:jc w:val="center"/>
              <w:rPr>
                <w:rFonts w:eastAsia="Times New Roman"/>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最高高潮位</w:t>
            </w:r>
          </w:p>
        </w:tc>
        <w:tc>
          <w:tcPr>
            <w:tcW w:w="1278" w:type="dxa"/>
            <w:tcBorders>
              <w:left w:val="single" w:color="auto" w:sz="4" w:space="0"/>
              <w:bottom w:val="single" w:color="auto" w:sz="4" w:space="0"/>
              <w:right w:val="single" w:color="auto" w:sz="4" w:space="0"/>
            </w:tcBorders>
            <w:vAlign w:val="center"/>
          </w:tcPr>
          <w:p w14:paraId="14D5E33E">
            <w:pPr>
              <w:snapToGrid w:val="0"/>
              <w:spacing w:line="240" w:lineRule="exact"/>
              <w:ind w:firstLine="0" w:firstLineChars="0"/>
              <w:jc w:val="center"/>
              <w:rPr>
                <w:rFonts w:eastAsia="Times New Roman"/>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最低低潮位</w:t>
            </w:r>
          </w:p>
        </w:tc>
        <w:tc>
          <w:tcPr>
            <w:tcW w:w="1280" w:type="dxa"/>
            <w:tcBorders>
              <w:left w:val="single" w:color="auto" w:sz="4" w:space="0"/>
              <w:bottom w:val="single" w:color="auto" w:sz="4" w:space="0"/>
              <w:right w:val="single" w:color="auto" w:sz="4" w:space="0"/>
            </w:tcBorders>
            <w:vAlign w:val="center"/>
          </w:tcPr>
          <w:p w14:paraId="528A9817">
            <w:pPr>
              <w:snapToGrid w:val="0"/>
              <w:spacing w:line="240" w:lineRule="exact"/>
              <w:ind w:firstLine="0" w:firstLineChars="0"/>
              <w:jc w:val="center"/>
              <w:rPr>
                <w:rFonts w:eastAsia="Times New Roman"/>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多年平均潮位</w:t>
            </w:r>
          </w:p>
        </w:tc>
        <w:tc>
          <w:tcPr>
            <w:tcW w:w="1168" w:type="dxa"/>
            <w:tcBorders>
              <w:left w:val="single" w:color="auto" w:sz="4" w:space="0"/>
              <w:bottom w:val="single" w:color="auto" w:sz="4" w:space="0"/>
              <w:right w:val="single" w:color="auto" w:sz="4" w:space="0"/>
            </w:tcBorders>
            <w:vAlign w:val="center"/>
          </w:tcPr>
          <w:p w14:paraId="7289B16D">
            <w:pPr>
              <w:snapToGrid w:val="0"/>
              <w:spacing w:line="240" w:lineRule="exact"/>
              <w:ind w:firstLine="0" w:firstLineChars="0"/>
              <w:jc w:val="center"/>
              <w:rPr>
                <w:rFonts w:eastAsia="Times New Roman"/>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多年平均高潮位</w:t>
            </w:r>
          </w:p>
        </w:tc>
        <w:tc>
          <w:tcPr>
            <w:tcW w:w="1104" w:type="dxa"/>
            <w:tcBorders>
              <w:left w:val="single" w:color="auto" w:sz="4" w:space="0"/>
              <w:bottom w:val="single" w:color="auto" w:sz="4" w:space="0"/>
              <w:right w:val="single" w:color="auto" w:sz="4" w:space="0"/>
            </w:tcBorders>
            <w:vAlign w:val="center"/>
          </w:tcPr>
          <w:p w14:paraId="7B38348D">
            <w:pPr>
              <w:snapToGrid w:val="0"/>
              <w:spacing w:line="240" w:lineRule="exact"/>
              <w:ind w:firstLine="0" w:firstLineChars="0"/>
              <w:jc w:val="center"/>
              <w:rPr>
                <w:rFonts w:eastAsia="Times New Roman"/>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多年平均低潮位</w:t>
            </w:r>
          </w:p>
        </w:tc>
        <w:tc>
          <w:tcPr>
            <w:tcW w:w="1134" w:type="dxa"/>
            <w:tcBorders>
              <w:left w:val="single" w:color="auto" w:sz="4" w:space="0"/>
              <w:bottom w:val="single" w:color="auto" w:sz="4" w:space="0"/>
              <w:right w:val="single" w:color="auto" w:sz="4" w:space="0"/>
            </w:tcBorders>
            <w:vAlign w:val="center"/>
          </w:tcPr>
          <w:p w14:paraId="6CF5087C">
            <w:pPr>
              <w:snapToGrid w:val="0"/>
              <w:spacing w:line="240" w:lineRule="exact"/>
              <w:ind w:firstLine="0" w:firstLineChars="0"/>
              <w:jc w:val="center"/>
              <w:rPr>
                <w:rFonts w:eastAsia="Times New Roman"/>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最大潮差</w:t>
            </w:r>
          </w:p>
        </w:tc>
        <w:tc>
          <w:tcPr>
            <w:tcW w:w="1187" w:type="dxa"/>
            <w:tcBorders>
              <w:left w:val="single" w:color="auto" w:sz="4" w:space="0"/>
              <w:bottom w:val="single" w:color="auto" w:sz="4" w:space="0"/>
            </w:tcBorders>
            <w:vAlign w:val="center"/>
          </w:tcPr>
          <w:p w14:paraId="4EC5C388">
            <w:pPr>
              <w:snapToGrid w:val="0"/>
              <w:spacing w:line="240" w:lineRule="exact"/>
              <w:ind w:firstLine="0" w:firstLineChars="0"/>
              <w:jc w:val="center"/>
              <w:rPr>
                <w:rFonts w:eastAsia="Times New Roman"/>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平均潮差</w:t>
            </w:r>
          </w:p>
        </w:tc>
      </w:tr>
      <w:tr w14:paraId="7101C30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382" w:type="dxa"/>
            <w:tcBorders>
              <w:top w:val="single" w:color="auto" w:sz="4" w:space="0"/>
              <w:right w:val="single" w:color="auto" w:sz="4" w:space="0"/>
            </w:tcBorders>
            <w:vAlign w:val="center"/>
          </w:tcPr>
          <w:p w14:paraId="10240D9B">
            <w:pPr>
              <w:snapToGrid w:val="0"/>
              <w:spacing w:line="240" w:lineRule="exact"/>
              <w:ind w:firstLine="0" w:firstLineChars="0"/>
              <w:jc w:val="center"/>
              <w:rPr>
                <w:rFonts w:eastAsia="Times New Roman"/>
                <w:color w:val="000000" w:themeColor="text1"/>
                <w:sz w:val="21"/>
                <w:szCs w:val="21"/>
                <w14:textFill>
                  <w14:solidFill>
                    <w14:schemeClr w14:val="tx1"/>
                  </w14:solidFill>
                </w14:textFill>
              </w:rPr>
            </w:pPr>
            <w:r>
              <w:rPr>
                <w:rFonts w:eastAsia="Times New Roman"/>
                <w:color w:val="000000" w:themeColor="text1"/>
                <w:sz w:val="21"/>
                <w:szCs w:val="21"/>
                <w14:textFill>
                  <w14:solidFill>
                    <w14:schemeClr w14:val="tx1"/>
                  </w14:solidFill>
                </w14:textFill>
              </w:rPr>
              <w:t>+5.83m</w:t>
            </w:r>
          </w:p>
        </w:tc>
        <w:tc>
          <w:tcPr>
            <w:tcW w:w="1278" w:type="dxa"/>
            <w:tcBorders>
              <w:top w:val="single" w:color="auto" w:sz="4" w:space="0"/>
              <w:left w:val="single" w:color="auto" w:sz="4" w:space="0"/>
              <w:right w:val="single" w:color="auto" w:sz="4" w:space="0"/>
            </w:tcBorders>
            <w:vAlign w:val="center"/>
          </w:tcPr>
          <w:p w14:paraId="343C8619">
            <w:pPr>
              <w:snapToGrid w:val="0"/>
              <w:spacing w:line="240" w:lineRule="exact"/>
              <w:ind w:firstLine="0" w:firstLineChars="0"/>
              <w:jc w:val="center"/>
              <w:rPr>
                <w:rFonts w:eastAsia="Times New Roman"/>
                <w:color w:val="000000" w:themeColor="text1"/>
                <w:sz w:val="21"/>
                <w:szCs w:val="21"/>
                <w14:textFill>
                  <w14:solidFill>
                    <w14:schemeClr w14:val="tx1"/>
                  </w14:solidFill>
                </w14:textFill>
              </w:rPr>
            </w:pPr>
            <w:r>
              <w:rPr>
                <w:rFonts w:eastAsia="Times New Roman"/>
                <w:color w:val="000000" w:themeColor="text1"/>
                <w:sz w:val="21"/>
                <w:szCs w:val="21"/>
                <w14:textFill>
                  <w14:solidFill>
                    <w14:schemeClr w14:val="tx1"/>
                  </w14:solidFill>
                </w14:textFill>
              </w:rPr>
              <w:t>-0.69m</w:t>
            </w:r>
          </w:p>
        </w:tc>
        <w:tc>
          <w:tcPr>
            <w:tcW w:w="1280" w:type="dxa"/>
            <w:tcBorders>
              <w:top w:val="single" w:color="auto" w:sz="4" w:space="0"/>
              <w:left w:val="single" w:color="auto" w:sz="4" w:space="0"/>
              <w:right w:val="single" w:color="auto" w:sz="4" w:space="0"/>
            </w:tcBorders>
            <w:vAlign w:val="center"/>
          </w:tcPr>
          <w:p w14:paraId="7CEB9C56">
            <w:pPr>
              <w:snapToGrid w:val="0"/>
              <w:spacing w:line="240" w:lineRule="exact"/>
              <w:ind w:firstLine="0" w:firstLineChars="0"/>
              <w:jc w:val="center"/>
              <w:rPr>
                <w:rFonts w:eastAsia="Times New Roman"/>
                <w:color w:val="000000" w:themeColor="text1"/>
                <w:sz w:val="21"/>
                <w:szCs w:val="21"/>
                <w14:textFill>
                  <w14:solidFill>
                    <w14:schemeClr w14:val="tx1"/>
                  </w14:solidFill>
                </w14:textFill>
              </w:rPr>
            </w:pPr>
            <w:r>
              <w:rPr>
                <w:rFonts w:eastAsia="Times New Roman"/>
                <w:color w:val="000000" w:themeColor="text1"/>
                <w:sz w:val="21"/>
                <w:szCs w:val="21"/>
                <w14:textFill>
                  <w14:solidFill>
                    <w14:schemeClr w14:val="tx1"/>
                  </w14:solidFill>
                </w14:textFill>
              </w:rPr>
              <w:t>+2.39m</w:t>
            </w:r>
          </w:p>
        </w:tc>
        <w:tc>
          <w:tcPr>
            <w:tcW w:w="1168" w:type="dxa"/>
            <w:tcBorders>
              <w:top w:val="single" w:color="auto" w:sz="4" w:space="0"/>
              <w:left w:val="single" w:color="auto" w:sz="4" w:space="0"/>
              <w:right w:val="single" w:color="auto" w:sz="4" w:space="0"/>
            </w:tcBorders>
            <w:vAlign w:val="center"/>
          </w:tcPr>
          <w:p w14:paraId="03416040">
            <w:pPr>
              <w:snapToGrid w:val="0"/>
              <w:spacing w:line="240" w:lineRule="exact"/>
              <w:ind w:firstLine="0" w:firstLineChars="0"/>
              <w:jc w:val="center"/>
              <w:rPr>
                <w:rFonts w:eastAsia="Times New Roman"/>
                <w:color w:val="000000" w:themeColor="text1"/>
                <w:sz w:val="21"/>
                <w:szCs w:val="21"/>
                <w14:textFill>
                  <w14:solidFill>
                    <w14:schemeClr w14:val="tx1"/>
                  </w14:solidFill>
                </w14:textFill>
              </w:rPr>
            </w:pPr>
            <w:r>
              <w:rPr>
                <w:rFonts w:eastAsia="Times New Roman"/>
                <w:color w:val="000000" w:themeColor="text1"/>
                <w:sz w:val="21"/>
                <w:szCs w:val="21"/>
                <w14:textFill>
                  <w14:solidFill>
                    <w14:schemeClr w14:val="tx1"/>
                  </w14:solidFill>
                </w14:textFill>
              </w:rPr>
              <w:t>+3.66m</w:t>
            </w:r>
          </w:p>
        </w:tc>
        <w:tc>
          <w:tcPr>
            <w:tcW w:w="1104" w:type="dxa"/>
            <w:tcBorders>
              <w:top w:val="single" w:color="auto" w:sz="4" w:space="0"/>
              <w:left w:val="single" w:color="auto" w:sz="4" w:space="0"/>
              <w:right w:val="single" w:color="auto" w:sz="4" w:space="0"/>
            </w:tcBorders>
            <w:vAlign w:val="center"/>
          </w:tcPr>
          <w:p w14:paraId="39AE0941">
            <w:pPr>
              <w:snapToGrid w:val="0"/>
              <w:spacing w:line="240" w:lineRule="exact"/>
              <w:ind w:firstLine="0" w:firstLineChars="0"/>
              <w:jc w:val="center"/>
              <w:rPr>
                <w:rFonts w:eastAsia="Times New Roman"/>
                <w:color w:val="000000" w:themeColor="text1"/>
                <w:sz w:val="21"/>
                <w:szCs w:val="21"/>
                <w14:textFill>
                  <w14:solidFill>
                    <w14:schemeClr w14:val="tx1"/>
                  </w14:solidFill>
                </w14:textFill>
              </w:rPr>
            </w:pPr>
            <w:r>
              <w:rPr>
                <w:rFonts w:eastAsia="Times New Roman"/>
                <w:color w:val="000000" w:themeColor="text1"/>
                <w:sz w:val="21"/>
                <w:szCs w:val="21"/>
                <w14:textFill>
                  <w14:solidFill>
                    <w14:schemeClr w14:val="tx1"/>
                  </w14:solidFill>
                </w14:textFill>
              </w:rPr>
              <w:t>+1.15m</w:t>
            </w:r>
          </w:p>
        </w:tc>
        <w:tc>
          <w:tcPr>
            <w:tcW w:w="1134" w:type="dxa"/>
            <w:tcBorders>
              <w:top w:val="single" w:color="auto" w:sz="4" w:space="0"/>
              <w:left w:val="single" w:color="auto" w:sz="4" w:space="0"/>
              <w:right w:val="single" w:color="auto" w:sz="4" w:space="0"/>
            </w:tcBorders>
            <w:vAlign w:val="center"/>
          </w:tcPr>
          <w:p w14:paraId="73757B0D">
            <w:pPr>
              <w:snapToGrid w:val="0"/>
              <w:spacing w:line="240" w:lineRule="exact"/>
              <w:ind w:firstLine="0" w:firstLineChars="0"/>
              <w:jc w:val="center"/>
              <w:rPr>
                <w:rFonts w:eastAsia="Times New Roman"/>
                <w:color w:val="000000" w:themeColor="text1"/>
                <w:sz w:val="21"/>
                <w:szCs w:val="21"/>
                <w14:textFill>
                  <w14:solidFill>
                    <w14:schemeClr w14:val="tx1"/>
                  </w14:solidFill>
                </w14:textFill>
              </w:rPr>
            </w:pPr>
            <w:r>
              <w:rPr>
                <w:rFonts w:eastAsia="Times New Roman"/>
                <w:color w:val="000000" w:themeColor="text1"/>
                <w:sz w:val="21"/>
                <w:szCs w:val="21"/>
                <w14:textFill>
                  <w14:solidFill>
                    <w14:schemeClr w14:val="tx1"/>
                  </w14:solidFill>
                </w14:textFill>
              </w:rPr>
              <w:t>5.52m</w:t>
            </w:r>
          </w:p>
        </w:tc>
        <w:tc>
          <w:tcPr>
            <w:tcW w:w="1187" w:type="dxa"/>
            <w:tcBorders>
              <w:top w:val="single" w:color="auto" w:sz="4" w:space="0"/>
              <w:left w:val="single" w:color="auto" w:sz="4" w:space="0"/>
            </w:tcBorders>
            <w:vAlign w:val="center"/>
          </w:tcPr>
          <w:p w14:paraId="44F56746">
            <w:pPr>
              <w:snapToGrid w:val="0"/>
              <w:spacing w:line="240" w:lineRule="exact"/>
              <w:ind w:firstLine="0" w:firstLineChars="0"/>
              <w:jc w:val="center"/>
              <w:rPr>
                <w:rFonts w:eastAsia="Times New Roman"/>
                <w:color w:val="000000" w:themeColor="text1"/>
                <w:sz w:val="21"/>
                <w:szCs w:val="21"/>
                <w14:textFill>
                  <w14:solidFill>
                    <w14:schemeClr w14:val="tx1"/>
                  </w14:solidFill>
                </w14:textFill>
              </w:rPr>
            </w:pPr>
            <w:r>
              <w:rPr>
                <w:rFonts w:eastAsia="Times New Roman"/>
                <w:color w:val="000000" w:themeColor="text1"/>
                <w:sz w:val="21"/>
                <w:szCs w:val="21"/>
                <w14:textFill>
                  <w14:solidFill>
                    <w14:schemeClr w14:val="tx1"/>
                  </w14:solidFill>
                </w14:textFill>
              </w:rPr>
              <w:t>2.51m</w:t>
            </w:r>
          </w:p>
        </w:tc>
      </w:tr>
    </w:tbl>
    <w:p w14:paraId="001240B9">
      <w:pPr>
        <w:spacing w:line="240" w:lineRule="exact"/>
        <w:ind w:firstLine="360"/>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注：以果子山理论深度基面为潮位起算面，该基面比国家 85 黄海高程基面低1.86m。</w:t>
      </w:r>
    </w:p>
    <w:p w14:paraId="509CC8A9">
      <w:pPr>
        <w:ind w:firstLine="480"/>
        <w:rPr>
          <w:color w:val="000000" w:themeColor="text1"/>
          <w14:textFill>
            <w14:solidFill>
              <w14:schemeClr w14:val="tx1"/>
            </w14:solidFill>
          </w14:textFill>
        </w:rPr>
      </w:pPr>
      <w:r>
        <w:rPr>
          <w:color w:val="000000" w:themeColor="text1"/>
          <w14:textFill>
            <w14:solidFill>
              <w14:schemeClr w14:val="tx1"/>
            </w14:solidFill>
          </w14:textFill>
        </w:rPr>
        <w:t>（2）潮流</w:t>
      </w:r>
    </w:p>
    <w:p w14:paraId="7255D787">
      <w:pPr>
        <w:ind w:firstLine="480"/>
        <w:rPr>
          <w:color w:val="000000" w:themeColor="text1"/>
          <w14:textFill>
            <w14:solidFill>
              <w14:schemeClr w14:val="tx1"/>
            </w14:solidFill>
          </w14:textFill>
        </w:rPr>
      </w:pPr>
      <w:r>
        <w:rPr>
          <w:color w:val="000000" w:themeColor="text1"/>
          <w14:textFill>
            <w14:solidFill>
              <w14:schemeClr w14:val="tx1"/>
            </w14:solidFill>
          </w14:textFill>
        </w:rPr>
        <w:t>钦州湾为不正规全日潮型，系由太平洋潮传入南海后进入北部湾，受北部湾反射波的干涉及地理条件影响而形成。其主要特征表现为：大潮汛时潮汐一天一次涨落，小潮汛时一天两次涨落，据资料统计，一个月一天一次涨落时间约为19～25天。</w:t>
      </w:r>
    </w:p>
    <w:p w14:paraId="06BCCBE3">
      <w:pPr>
        <w:ind w:firstLine="480"/>
        <w:rPr>
          <w:color w:val="000000" w:themeColor="text1"/>
          <w14:textFill>
            <w14:solidFill>
              <w14:schemeClr w14:val="tx1"/>
            </w14:solidFill>
          </w14:textFill>
        </w:rPr>
      </w:pPr>
      <w:r>
        <w:rPr>
          <w:color w:val="000000" w:themeColor="text1"/>
          <w14:textFill>
            <w14:solidFill>
              <w14:schemeClr w14:val="tx1"/>
            </w14:solidFill>
          </w14:textFill>
        </w:rPr>
        <w:t>潮流</w:t>
      </w:r>
      <w:r>
        <w:rPr>
          <w:color w:val="000000" w:themeColor="text1"/>
          <w:szCs w:val="21"/>
          <w14:textFill>
            <w14:solidFill>
              <w14:schemeClr w14:val="tx1"/>
            </w14:solidFill>
          </w14:textFill>
        </w:rPr>
        <w:t>具有往复流性质，流向基本与深槽一致，退潮快，涨潮慢，</w:t>
      </w:r>
      <w:r>
        <w:rPr>
          <w:color w:val="000000" w:themeColor="text1"/>
          <w14:textFill>
            <w14:solidFill>
              <w14:schemeClr w14:val="tx1"/>
            </w14:solidFill>
          </w14:textFill>
        </w:rPr>
        <w:t>流以全日潮为主，仍存在半日不等现象，</w:t>
      </w:r>
      <w:r>
        <w:rPr>
          <w:color w:val="000000" w:themeColor="text1"/>
          <w:szCs w:val="21"/>
          <w14:textFill>
            <w14:solidFill>
              <w14:schemeClr w14:val="tx1"/>
            </w14:solidFill>
          </w14:textFill>
        </w:rPr>
        <w:t>退潮历时4</w:t>
      </w:r>
      <w:r>
        <w:rPr>
          <w:color w:val="000000" w:themeColor="text1"/>
          <w14:textFill>
            <w14:solidFill>
              <w14:schemeClr w14:val="tx1"/>
            </w14:solidFill>
          </w14:textFill>
        </w:rPr>
        <w:t>～</w:t>
      </w:r>
      <w:r>
        <w:rPr>
          <w:color w:val="000000" w:themeColor="text1"/>
          <w:szCs w:val="21"/>
          <w14:textFill>
            <w14:solidFill>
              <w14:schemeClr w14:val="tx1"/>
            </w14:solidFill>
          </w14:textFill>
        </w:rPr>
        <w:t>12h，平均8h，涨潮6</w:t>
      </w:r>
      <w:r>
        <w:rPr>
          <w:color w:val="000000" w:themeColor="text1"/>
          <w14:textFill>
            <w14:solidFill>
              <w14:schemeClr w14:val="tx1"/>
            </w14:solidFill>
          </w14:textFill>
        </w:rPr>
        <w:t>～</w:t>
      </w:r>
      <w:r>
        <w:rPr>
          <w:color w:val="000000" w:themeColor="text1"/>
          <w:szCs w:val="21"/>
          <w14:textFill>
            <w14:solidFill>
              <w14:schemeClr w14:val="tx1"/>
            </w14:solidFill>
          </w14:textFill>
        </w:rPr>
        <w:t>18h，平均 9h</w:t>
      </w:r>
      <w:r>
        <w:rPr>
          <w:color w:val="000000" w:themeColor="text1"/>
          <w14:textFill>
            <w14:solidFill>
              <w14:schemeClr w14:val="tx1"/>
            </w14:solidFill>
          </w14:textFill>
        </w:rPr>
        <w:t>；流速的分布为西部大于东部，近岸大于外海，表层大于底层。钦州湾内涨潮平均流速为0.08～0.28m/s，最大流速为0.54m/s；落潮平均流速为0.09～0.55m/s，最大流速为0.95m/s。本码头处涨潮最大流速0.54m/s，落潮最大流速为0.7m/s。</w:t>
      </w:r>
    </w:p>
    <w:p w14:paraId="20292DAF">
      <w:pPr>
        <w:ind w:firstLine="480"/>
        <w:rPr>
          <w:color w:val="000000" w:themeColor="text1"/>
          <w14:textFill>
            <w14:solidFill>
              <w14:schemeClr w14:val="tx1"/>
            </w14:solidFill>
          </w14:textFill>
        </w:rPr>
      </w:pPr>
      <w:r>
        <w:rPr>
          <w:color w:val="000000" w:themeColor="text1"/>
          <w14:textFill>
            <w14:solidFill>
              <w14:schemeClr w14:val="tx1"/>
            </w14:solidFill>
          </w14:textFill>
        </w:rPr>
        <w:t>（3）乘潮水位</w:t>
      </w:r>
    </w:p>
    <w:p w14:paraId="57D3C358">
      <w:pPr>
        <w:ind w:firstLine="480"/>
        <w:rPr>
          <w:color w:val="000000" w:themeColor="text1"/>
          <w14:textFill>
            <w14:solidFill>
              <w14:schemeClr w14:val="tx1"/>
            </w14:solidFill>
          </w14:textFill>
        </w:rPr>
      </w:pPr>
      <w:r>
        <w:rPr>
          <w:color w:val="000000" w:themeColor="text1"/>
          <w14:textFill>
            <w14:solidFill>
              <w14:schemeClr w14:val="tx1"/>
            </w14:solidFill>
          </w14:textFill>
        </w:rPr>
        <w:t>钦州港极端高水位为5.77m（50年一遇高潮位），极端低水位为-0.89m（50年一遇低潮位），各乘潮历时不同保证率乘潮水位如下表。</w:t>
      </w:r>
    </w:p>
    <w:p w14:paraId="4A0EF25B">
      <w:pPr>
        <w:pStyle w:val="7"/>
        <w:rPr>
          <w:color w:val="000000" w:themeColor="text1"/>
          <w14:textFill>
            <w14:solidFill>
              <w14:schemeClr w14:val="tx1"/>
            </w14:solidFill>
          </w14:textFill>
        </w:rPr>
      </w:pPr>
      <w:r>
        <w:rPr>
          <w:color w:val="000000" w:themeColor="text1"/>
          <w14:textFill>
            <w14:solidFill>
              <w14:schemeClr w14:val="tx1"/>
            </w14:solidFill>
          </w14:textFill>
        </w:rPr>
        <w:t>乘潮水位表（果子山理论深度基准面）</w:t>
      </w:r>
    </w:p>
    <w:tbl>
      <w:tblPr>
        <w:tblStyle w:val="43"/>
        <w:tblW w:w="8522"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2496"/>
        <w:gridCol w:w="1687"/>
        <w:gridCol w:w="1571"/>
        <w:gridCol w:w="1454"/>
        <w:gridCol w:w="1314"/>
      </w:tblGrid>
      <w:tr w14:paraId="51F6D3F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886" w:hRule="atLeast"/>
          <w:tblHeader/>
          <w:jc w:val="center"/>
        </w:trPr>
        <w:tc>
          <w:tcPr>
            <w:tcW w:w="2496" w:type="dxa"/>
            <w:vAlign w:val="center"/>
          </w:tcPr>
          <w:p w14:paraId="59AC0B7A">
            <w:pPr>
              <w:snapToGrid w:val="0"/>
              <w:spacing w:line="240" w:lineRule="exact"/>
              <w:ind w:firstLine="420"/>
              <w:rPr>
                <w:b/>
                <w:bCs/>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mc:AlternateContent>
                <mc:Choice Requires="wps">
                  <w:drawing>
                    <wp:anchor distT="0" distB="0" distL="114300" distR="114300" simplePos="0" relativeHeight="251667456" behindDoc="0" locked="0" layoutInCell="1" allowOverlap="1">
                      <wp:simplePos x="0" y="0"/>
                      <wp:positionH relativeFrom="column">
                        <wp:posOffset>-57150</wp:posOffset>
                      </wp:positionH>
                      <wp:positionV relativeFrom="paragraph">
                        <wp:posOffset>15240</wp:posOffset>
                      </wp:positionV>
                      <wp:extent cx="916305" cy="546100"/>
                      <wp:effectExtent l="0" t="0" r="36195" b="25400"/>
                      <wp:wrapNone/>
                      <wp:docPr id="148" name="直接连接符 148"/>
                      <wp:cNvGraphicFramePr/>
                      <a:graphic xmlns:a="http://schemas.openxmlformats.org/drawingml/2006/main">
                        <a:graphicData uri="http://schemas.microsoft.com/office/word/2010/wordprocessingShape">
                          <wps:wsp>
                            <wps:cNvCnPr>
                              <a:cxnSpLocks noChangeShapeType="1"/>
                            </wps:cNvCnPr>
                            <wps:spPr bwMode="auto">
                              <a:xfrm>
                                <a:off x="0" y="0"/>
                                <a:ext cx="916305" cy="546100"/>
                              </a:xfrm>
                              <a:prstGeom prst="line">
                                <a:avLst/>
                              </a:prstGeom>
                              <a:noFill/>
                              <a:ln w="9525">
                                <a:solidFill>
                                  <a:srgbClr val="000000"/>
                                </a:solidFill>
                                <a:round/>
                              </a:ln>
                              <a:effectLst/>
                            </wps:spPr>
                            <wps:bodyPr/>
                          </wps:wsp>
                        </a:graphicData>
                      </a:graphic>
                    </wp:anchor>
                  </w:drawing>
                </mc:Choice>
                <mc:Fallback>
                  <w:pict>
                    <v:line id="_x0000_s1026" o:spid="_x0000_s1026" o:spt="20" style="position:absolute;left:0pt;margin-left:-4.5pt;margin-top:1.2pt;height:43pt;width:72.15pt;z-index:251667456;mso-width-relative:page;mso-height-relative:page;" filled="f" stroked="t" coordsize="21600,21600" o:gfxdata="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A3KRVo1gAAAAcBAAAPAAAAAAAAAAEAIAAAACIAAABkcnMvZG93bnJldi54bWxQSwECFAAUAAAA&#10;CACHTuJAXSPyrfABAADAAwAADgAAAAAAAAABACAAAAAlAQAAZHJzL2Uyb0RvYy54bWxQSwUGAAAA&#10;AAYABgBZAQAAhwUAAAAA&#10;">
                      <v:fill on="f" focussize="0,0"/>
                      <v:stroke color="#000000" joinstyle="round"/>
                      <v:imagedata o:title=""/>
                      <o:lock v:ext="edit" aspectratio="f"/>
                    </v:line>
                  </w:pict>
                </mc:Fallback>
              </mc:AlternateContent>
            </w:r>
            <w:r>
              <w:rPr>
                <w:color w:val="000000" w:themeColor="text1"/>
                <w:sz w:val="21"/>
                <w:szCs w:val="21"/>
                <w14:textFill>
                  <w14:solidFill>
                    <w14:schemeClr w14:val="tx1"/>
                  </w14:solidFill>
                </w14:textFill>
              </w:rPr>
              <mc:AlternateContent>
                <mc:Choice Requires="wps">
                  <w:drawing>
                    <wp:anchor distT="0" distB="0" distL="114300" distR="114300" simplePos="0" relativeHeight="251666432" behindDoc="0" locked="0" layoutInCell="1" allowOverlap="1">
                      <wp:simplePos x="0" y="0"/>
                      <wp:positionH relativeFrom="column">
                        <wp:posOffset>-69215</wp:posOffset>
                      </wp:positionH>
                      <wp:positionV relativeFrom="paragraph">
                        <wp:posOffset>16510</wp:posOffset>
                      </wp:positionV>
                      <wp:extent cx="1593215" cy="466725"/>
                      <wp:effectExtent l="0" t="0" r="26035" b="28575"/>
                      <wp:wrapNone/>
                      <wp:docPr id="147" name="直接连接符 147"/>
                      <wp:cNvGraphicFramePr/>
                      <a:graphic xmlns:a="http://schemas.openxmlformats.org/drawingml/2006/main">
                        <a:graphicData uri="http://schemas.microsoft.com/office/word/2010/wordprocessingShape">
                          <wps:wsp>
                            <wps:cNvCnPr>
                              <a:cxnSpLocks noChangeShapeType="1"/>
                            </wps:cNvCnPr>
                            <wps:spPr bwMode="auto">
                              <a:xfrm>
                                <a:off x="0" y="0"/>
                                <a:ext cx="1593215" cy="466725"/>
                              </a:xfrm>
                              <a:prstGeom prst="line">
                                <a:avLst/>
                              </a:prstGeom>
                              <a:noFill/>
                              <a:ln w="9525">
                                <a:solidFill>
                                  <a:srgbClr val="000000"/>
                                </a:solidFill>
                                <a:round/>
                              </a:ln>
                            </wps:spPr>
                            <wps:bodyPr/>
                          </wps:wsp>
                        </a:graphicData>
                      </a:graphic>
                    </wp:anchor>
                  </w:drawing>
                </mc:Choice>
                <mc:Fallback>
                  <w:pict>
                    <v:line id="_x0000_s1026" o:spid="_x0000_s1026" o:spt="20" style="position:absolute;left:0pt;margin-left:-5.45pt;margin-top:1.3pt;height:36.75pt;width:125.45pt;z-index:251666432;mso-width-relative:page;mso-height-relative:page;" filled="f" stroked="t" coordsize="21600,21600" o:gfxdata="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Jwb&#10;uuXXAAAACAEAAA8AAAAAAAAAAQAgAAAAIgAAAGRycy9kb3ducmV2LnhtbFBLAQIUABQAAAAIAIdO&#10;4kBshqnx6wEAALMDAAAOAAAAAAAAAAEAIAAAACYBAABkcnMvZTJvRG9jLnhtbFBLBQYAAAAABgAG&#10;AFkBAACDBQAAAAA=&#10;">
                      <v:fill on="f" focussize="0,0"/>
                      <v:stroke color="#000000" joinstyle="round"/>
                      <v:imagedata o:title=""/>
                      <o:lock v:ext="edit" aspectratio="f"/>
                    </v:line>
                  </w:pict>
                </mc:Fallback>
              </mc:AlternateContent>
            </w:r>
            <w:r>
              <w:rPr>
                <w:b/>
                <w:bCs/>
                <w:color w:val="000000" w:themeColor="text1"/>
                <w:sz w:val="21"/>
                <w:szCs w:val="21"/>
                <w14:textFill>
                  <w14:solidFill>
                    <w14:schemeClr w14:val="tx1"/>
                  </w14:solidFill>
                </w14:textFill>
              </w:rPr>
              <w:t xml:space="preserve">     乘潮历时（h）</w:t>
            </w:r>
          </w:p>
          <w:p w14:paraId="75F09A5F">
            <w:pPr>
              <w:snapToGrid w:val="0"/>
              <w:spacing w:line="240" w:lineRule="exact"/>
              <w:ind w:firstLine="422"/>
              <w:jc w:val="left"/>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 xml:space="preserve"> 频率(%)</w:t>
            </w:r>
          </w:p>
          <w:p w14:paraId="7957C969">
            <w:pPr>
              <w:snapToGrid w:val="0"/>
              <w:spacing w:line="240" w:lineRule="exact"/>
              <w:ind w:firstLine="0" w:firstLineChars="0"/>
              <w:jc w:val="left"/>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水位（m）</w:t>
            </w:r>
          </w:p>
        </w:tc>
        <w:tc>
          <w:tcPr>
            <w:tcW w:w="1687" w:type="dxa"/>
            <w:vAlign w:val="center"/>
          </w:tcPr>
          <w:p w14:paraId="3E1132CB">
            <w:pPr>
              <w:snapToGrid w:val="0"/>
              <w:spacing w:line="240" w:lineRule="exact"/>
              <w:ind w:firstLine="0" w:firstLineChars="0"/>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1</w:t>
            </w:r>
          </w:p>
        </w:tc>
        <w:tc>
          <w:tcPr>
            <w:tcW w:w="1571" w:type="dxa"/>
            <w:vAlign w:val="center"/>
          </w:tcPr>
          <w:p w14:paraId="55A3A753">
            <w:pPr>
              <w:snapToGrid w:val="0"/>
              <w:spacing w:line="240" w:lineRule="exact"/>
              <w:ind w:firstLine="0" w:firstLineChars="0"/>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2</w:t>
            </w:r>
          </w:p>
        </w:tc>
        <w:tc>
          <w:tcPr>
            <w:tcW w:w="1454" w:type="dxa"/>
            <w:vAlign w:val="center"/>
          </w:tcPr>
          <w:p w14:paraId="4AA54427">
            <w:pPr>
              <w:snapToGrid w:val="0"/>
              <w:spacing w:line="240" w:lineRule="exact"/>
              <w:ind w:firstLine="0" w:firstLineChars="0"/>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3</w:t>
            </w:r>
          </w:p>
        </w:tc>
        <w:tc>
          <w:tcPr>
            <w:tcW w:w="1314" w:type="dxa"/>
            <w:vAlign w:val="center"/>
          </w:tcPr>
          <w:p w14:paraId="3B5AFEFC">
            <w:pPr>
              <w:snapToGrid w:val="0"/>
              <w:spacing w:line="240" w:lineRule="exact"/>
              <w:ind w:firstLine="0" w:firstLineChars="0"/>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4</w:t>
            </w:r>
          </w:p>
        </w:tc>
      </w:tr>
      <w:tr w14:paraId="79DDA2D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70" w:hRule="atLeast"/>
          <w:jc w:val="center"/>
        </w:trPr>
        <w:tc>
          <w:tcPr>
            <w:tcW w:w="2496" w:type="dxa"/>
            <w:vAlign w:val="center"/>
          </w:tcPr>
          <w:p w14:paraId="2926907C">
            <w:pPr>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10</w:t>
            </w:r>
          </w:p>
        </w:tc>
        <w:tc>
          <w:tcPr>
            <w:tcW w:w="1687" w:type="dxa"/>
            <w:vAlign w:val="center"/>
          </w:tcPr>
          <w:p w14:paraId="5F1C1896">
            <w:pPr>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pacing w:val="-1"/>
                <w:sz w:val="21"/>
                <w:szCs w:val="21"/>
                <w14:textFill>
                  <w14:solidFill>
                    <w14:schemeClr w14:val="tx1"/>
                  </w14:solidFill>
                </w14:textFill>
              </w:rPr>
              <w:t>5.13</w:t>
            </w:r>
          </w:p>
        </w:tc>
        <w:tc>
          <w:tcPr>
            <w:tcW w:w="1571" w:type="dxa"/>
            <w:vAlign w:val="center"/>
          </w:tcPr>
          <w:p w14:paraId="5CDC067B">
            <w:pPr>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pacing w:val="-1"/>
                <w:sz w:val="21"/>
                <w:szCs w:val="21"/>
                <w14:textFill>
                  <w14:solidFill>
                    <w14:schemeClr w14:val="tx1"/>
                  </w14:solidFill>
                </w14:textFill>
              </w:rPr>
              <w:t>5.03</w:t>
            </w:r>
          </w:p>
        </w:tc>
        <w:tc>
          <w:tcPr>
            <w:tcW w:w="1454" w:type="dxa"/>
            <w:vAlign w:val="center"/>
          </w:tcPr>
          <w:p w14:paraId="54464B7C">
            <w:pPr>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pacing w:val="-1"/>
                <w:sz w:val="21"/>
                <w:szCs w:val="21"/>
                <w14:textFill>
                  <w14:solidFill>
                    <w14:schemeClr w14:val="tx1"/>
                  </w14:solidFill>
                </w14:textFill>
              </w:rPr>
              <w:t>4.90</w:t>
            </w:r>
          </w:p>
        </w:tc>
        <w:tc>
          <w:tcPr>
            <w:tcW w:w="1314" w:type="dxa"/>
            <w:vAlign w:val="center"/>
          </w:tcPr>
          <w:p w14:paraId="7482658A">
            <w:pPr>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pacing w:val="-1"/>
                <w:sz w:val="21"/>
                <w:szCs w:val="21"/>
                <w14:textFill>
                  <w14:solidFill>
                    <w14:schemeClr w14:val="tx1"/>
                  </w14:solidFill>
                </w14:textFill>
              </w:rPr>
              <w:t>4.71</w:t>
            </w:r>
          </w:p>
        </w:tc>
      </w:tr>
      <w:tr w14:paraId="3CAF685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70" w:hRule="atLeast"/>
          <w:jc w:val="center"/>
        </w:trPr>
        <w:tc>
          <w:tcPr>
            <w:tcW w:w="2496" w:type="dxa"/>
            <w:vAlign w:val="center"/>
          </w:tcPr>
          <w:p w14:paraId="66AE2073">
            <w:pPr>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20</w:t>
            </w:r>
          </w:p>
        </w:tc>
        <w:tc>
          <w:tcPr>
            <w:tcW w:w="1687" w:type="dxa"/>
            <w:vAlign w:val="center"/>
          </w:tcPr>
          <w:p w14:paraId="0A215B5C">
            <w:pPr>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pacing w:val="-1"/>
                <w:sz w:val="21"/>
                <w:szCs w:val="21"/>
                <w14:textFill>
                  <w14:solidFill>
                    <w14:schemeClr w14:val="tx1"/>
                  </w14:solidFill>
                </w14:textFill>
              </w:rPr>
              <w:t>4.92</w:t>
            </w:r>
          </w:p>
        </w:tc>
        <w:tc>
          <w:tcPr>
            <w:tcW w:w="1571" w:type="dxa"/>
            <w:vAlign w:val="center"/>
          </w:tcPr>
          <w:p w14:paraId="40DFC880">
            <w:pPr>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pacing w:val="-1"/>
                <w:sz w:val="21"/>
                <w:szCs w:val="21"/>
                <w14:textFill>
                  <w14:solidFill>
                    <w14:schemeClr w14:val="tx1"/>
                  </w14:solidFill>
                </w14:textFill>
              </w:rPr>
              <w:t>4.84</w:t>
            </w:r>
          </w:p>
        </w:tc>
        <w:tc>
          <w:tcPr>
            <w:tcW w:w="1454" w:type="dxa"/>
            <w:vAlign w:val="center"/>
          </w:tcPr>
          <w:p w14:paraId="62B6B7E5">
            <w:pPr>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pacing w:val="-1"/>
                <w:sz w:val="21"/>
                <w:szCs w:val="21"/>
                <w14:textFill>
                  <w14:solidFill>
                    <w14:schemeClr w14:val="tx1"/>
                  </w14:solidFill>
                </w14:textFill>
              </w:rPr>
              <w:t>4.70</w:t>
            </w:r>
          </w:p>
        </w:tc>
        <w:tc>
          <w:tcPr>
            <w:tcW w:w="1314" w:type="dxa"/>
            <w:vAlign w:val="center"/>
          </w:tcPr>
          <w:p w14:paraId="0B9F0368">
            <w:pPr>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pacing w:val="-1"/>
                <w:sz w:val="21"/>
                <w:szCs w:val="21"/>
                <w14:textFill>
                  <w14:solidFill>
                    <w14:schemeClr w14:val="tx1"/>
                  </w14:solidFill>
                </w14:textFill>
              </w:rPr>
              <w:t>4.52</w:t>
            </w:r>
          </w:p>
        </w:tc>
      </w:tr>
      <w:tr w14:paraId="6FBCC1A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70" w:hRule="atLeast"/>
          <w:jc w:val="center"/>
        </w:trPr>
        <w:tc>
          <w:tcPr>
            <w:tcW w:w="2496" w:type="dxa"/>
            <w:vAlign w:val="center"/>
          </w:tcPr>
          <w:p w14:paraId="6625500F">
            <w:pPr>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30</w:t>
            </w:r>
          </w:p>
        </w:tc>
        <w:tc>
          <w:tcPr>
            <w:tcW w:w="1687" w:type="dxa"/>
            <w:vAlign w:val="center"/>
          </w:tcPr>
          <w:p w14:paraId="4A20510E">
            <w:pPr>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pacing w:val="-1"/>
                <w:sz w:val="21"/>
                <w:szCs w:val="21"/>
                <w14:textFill>
                  <w14:solidFill>
                    <w14:schemeClr w14:val="tx1"/>
                  </w14:solidFill>
                </w14:textFill>
              </w:rPr>
              <w:t>4.77</w:t>
            </w:r>
          </w:p>
        </w:tc>
        <w:tc>
          <w:tcPr>
            <w:tcW w:w="1571" w:type="dxa"/>
            <w:vAlign w:val="center"/>
          </w:tcPr>
          <w:p w14:paraId="2C7D210B">
            <w:pPr>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pacing w:val="-1"/>
                <w:sz w:val="21"/>
                <w:szCs w:val="21"/>
                <w14:textFill>
                  <w14:solidFill>
                    <w14:schemeClr w14:val="tx1"/>
                  </w14:solidFill>
                </w14:textFill>
              </w:rPr>
              <w:t>4.70</w:t>
            </w:r>
          </w:p>
        </w:tc>
        <w:tc>
          <w:tcPr>
            <w:tcW w:w="1454" w:type="dxa"/>
            <w:vAlign w:val="center"/>
          </w:tcPr>
          <w:p w14:paraId="60CFF68D">
            <w:pPr>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pacing w:val="-1"/>
                <w:sz w:val="21"/>
                <w:szCs w:val="21"/>
                <w14:textFill>
                  <w14:solidFill>
                    <w14:schemeClr w14:val="tx1"/>
                  </w14:solidFill>
                </w14:textFill>
              </w:rPr>
              <w:t>4.57</w:t>
            </w:r>
          </w:p>
        </w:tc>
        <w:tc>
          <w:tcPr>
            <w:tcW w:w="1314" w:type="dxa"/>
            <w:vAlign w:val="center"/>
          </w:tcPr>
          <w:p w14:paraId="513D287F">
            <w:pPr>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pacing w:val="-1"/>
                <w:sz w:val="21"/>
                <w:szCs w:val="21"/>
                <w14:textFill>
                  <w14:solidFill>
                    <w14:schemeClr w14:val="tx1"/>
                  </w14:solidFill>
                </w14:textFill>
              </w:rPr>
              <w:t>4.40</w:t>
            </w:r>
          </w:p>
        </w:tc>
      </w:tr>
      <w:tr w14:paraId="7A03466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70" w:hRule="atLeast"/>
          <w:jc w:val="center"/>
        </w:trPr>
        <w:tc>
          <w:tcPr>
            <w:tcW w:w="2496" w:type="dxa"/>
            <w:vAlign w:val="center"/>
          </w:tcPr>
          <w:p w14:paraId="277EF909">
            <w:pPr>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40</w:t>
            </w:r>
          </w:p>
        </w:tc>
        <w:tc>
          <w:tcPr>
            <w:tcW w:w="1687" w:type="dxa"/>
            <w:vAlign w:val="center"/>
          </w:tcPr>
          <w:p w14:paraId="5118C7F4">
            <w:pPr>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pacing w:val="-1"/>
                <w:sz w:val="21"/>
                <w:szCs w:val="21"/>
                <w14:textFill>
                  <w14:solidFill>
                    <w14:schemeClr w14:val="tx1"/>
                  </w14:solidFill>
                </w14:textFill>
              </w:rPr>
              <w:t>4.64</w:t>
            </w:r>
          </w:p>
        </w:tc>
        <w:tc>
          <w:tcPr>
            <w:tcW w:w="1571" w:type="dxa"/>
            <w:vAlign w:val="center"/>
          </w:tcPr>
          <w:p w14:paraId="5B21AD43">
            <w:pPr>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pacing w:val="-1"/>
                <w:sz w:val="21"/>
                <w:szCs w:val="21"/>
                <w14:textFill>
                  <w14:solidFill>
                    <w14:schemeClr w14:val="tx1"/>
                  </w14:solidFill>
                </w14:textFill>
              </w:rPr>
              <w:t>4.57</w:t>
            </w:r>
          </w:p>
        </w:tc>
        <w:tc>
          <w:tcPr>
            <w:tcW w:w="1454" w:type="dxa"/>
            <w:vAlign w:val="center"/>
          </w:tcPr>
          <w:p w14:paraId="4B118BFB">
            <w:pPr>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pacing w:val="-1"/>
                <w:sz w:val="21"/>
                <w:szCs w:val="21"/>
                <w14:textFill>
                  <w14:solidFill>
                    <w14:schemeClr w14:val="tx1"/>
                  </w14:solidFill>
                </w14:textFill>
              </w:rPr>
              <w:t>4.45</w:t>
            </w:r>
          </w:p>
        </w:tc>
        <w:tc>
          <w:tcPr>
            <w:tcW w:w="1314" w:type="dxa"/>
            <w:vAlign w:val="center"/>
          </w:tcPr>
          <w:p w14:paraId="025D1BDD">
            <w:pPr>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pacing w:val="-1"/>
                <w:sz w:val="21"/>
                <w:szCs w:val="21"/>
                <w14:textFill>
                  <w14:solidFill>
                    <w14:schemeClr w14:val="tx1"/>
                  </w14:solidFill>
                </w14:textFill>
              </w:rPr>
              <w:t>4.29</w:t>
            </w:r>
          </w:p>
        </w:tc>
      </w:tr>
      <w:tr w14:paraId="6841B81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70" w:hRule="atLeast"/>
          <w:jc w:val="center"/>
        </w:trPr>
        <w:tc>
          <w:tcPr>
            <w:tcW w:w="2496" w:type="dxa"/>
            <w:vAlign w:val="center"/>
          </w:tcPr>
          <w:p w14:paraId="1F15D91C">
            <w:pPr>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50</w:t>
            </w:r>
          </w:p>
        </w:tc>
        <w:tc>
          <w:tcPr>
            <w:tcW w:w="1687" w:type="dxa"/>
            <w:vAlign w:val="center"/>
          </w:tcPr>
          <w:p w14:paraId="0B61A4BC">
            <w:pPr>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pacing w:val="-1"/>
                <w:sz w:val="21"/>
                <w:szCs w:val="21"/>
                <w14:textFill>
                  <w14:solidFill>
                    <w14:schemeClr w14:val="tx1"/>
                  </w14:solidFill>
                </w14:textFill>
              </w:rPr>
              <w:t>4.50</w:t>
            </w:r>
          </w:p>
        </w:tc>
        <w:tc>
          <w:tcPr>
            <w:tcW w:w="1571" w:type="dxa"/>
            <w:vAlign w:val="center"/>
          </w:tcPr>
          <w:p w14:paraId="5F5F71E4">
            <w:pPr>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pacing w:val="-1"/>
                <w:sz w:val="21"/>
                <w:szCs w:val="21"/>
                <w14:textFill>
                  <w14:solidFill>
                    <w14:schemeClr w14:val="tx1"/>
                  </w14:solidFill>
                </w14:textFill>
              </w:rPr>
              <w:t>4.42</w:t>
            </w:r>
          </w:p>
        </w:tc>
        <w:tc>
          <w:tcPr>
            <w:tcW w:w="1454" w:type="dxa"/>
            <w:vAlign w:val="center"/>
          </w:tcPr>
          <w:p w14:paraId="0A812CDB">
            <w:pPr>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pacing w:val="-1"/>
                <w:sz w:val="21"/>
                <w:szCs w:val="21"/>
                <w14:textFill>
                  <w14:solidFill>
                    <w14:schemeClr w14:val="tx1"/>
                  </w14:solidFill>
                </w14:textFill>
              </w:rPr>
              <w:t>4.32</w:t>
            </w:r>
          </w:p>
        </w:tc>
        <w:tc>
          <w:tcPr>
            <w:tcW w:w="1314" w:type="dxa"/>
            <w:vAlign w:val="center"/>
          </w:tcPr>
          <w:p w14:paraId="08405E12">
            <w:pPr>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pacing w:val="-1"/>
                <w:sz w:val="21"/>
                <w:szCs w:val="21"/>
                <w14:textFill>
                  <w14:solidFill>
                    <w14:schemeClr w14:val="tx1"/>
                  </w14:solidFill>
                </w14:textFill>
              </w:rPr>
              <w:t>4.15</w:t>
            </w:r>
          </w:p>
        </w:tc>
      </w:tr>
      <w:tr w14:paraId="5141651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70" w:hRule="atLeast"/>
          <w:jc w:val="center"/>
        </w:trPr>
        <w:tc>
          <w:tcPr>
            <w:tcW w:w="2496" w:type="dxa"/>
            <w:vAlign w:val="center"/>
          </w:tcPr>
          <w:p w14:paraId="5519A3AD">
            <w:pPr>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60</w:t>
            </w:r>
          </w:p>
        </w:tc>
        <w:tc>
          <w:tcPr>
            <w:tcW w:w="1687" w:type="dxa"/>
            <w:vAlign w:val="center"/>
          </w:tcPr>
          <w:p w14:paraId="4A9E8099">
            <w:pPr>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pacing w:val="-1"/>
                <w:sz w:val="21"/>
                <w:szCs w:val="21"/>
                <w14:textFill>
                  <w14:solidFill>
                    <w14:schemeClr w14:val="tx1"/>
                  </w14:solidFill>
                </w14:textFill>
              </w:rPr>
              <w:t>4.32</w:t>
            </w:r>
          </w:p>
        </w:tc>
        <w:tc>
          <w:tcPr>
            <w:tcW w:w="1571" w:type="dxa"/>
            <w:vAlign w:val="center"/>
          </w:tcPr>
          <w:p w14:paraId="61EFABD6">
            <w:pPr>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pacing w:val="-1"/>
                <w:sz w:val="21"/>
                <w:szCs w:val="21"/>
                <w14:textFill>
                  <w14:solidFill>
                    <w14:schemeClr w14:val="tx1"/>
                  </w14:solidFill>
                </w14:textFill>
              </w:rPr>
              <w:t>4.25</w:t>
            </w:r>
          </w:p>
        </w:tc>
        <w:tc>
          <w:tcPr>
            <w:tcW w:w="1454" w:type="dxa"/>
            <w:vAlign w:val="center"/>
          </w:tcPr>
          <w:p w14:paraId="18AB854A">
            <w:pPr>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pacing w:val="-1"/>
                <w:sz w:val="21"/>
                <w:szCs w:val="21"/>
                <w14:textFill>
                  <w14:solidFill>
                    <w14:schemeClr w14:val="tx1"/>
                  </w14:solidFill>
                </w14:textFill>
              </w:rPr>
              <w:t>4.14</w:t>
            </w:r>
          </w:p>
        </w:tc>
        <w:tc>
          <w:tcPr>
            <w:tcW w:w="1314" w:type="dxa"/>
            <w:vAlign w:val="center"/>
          </w:tcPr>
          <w:p w14:paraId="42DC3F57">
            <w:pPr>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pacing w:val="-1"/>
                <w:sz w:val="21"/>
                <w:szCs w:val="21"/>
                <w14:textFill>
                  <w14:solidFill>
                    <w14:schemeClr w14:val="tx1"/>
                  </w14:solidFill>
                </w14:textFill>
              </w:rPr>
              <w:t>4.00</w:t>
            </w:r>
          </w:p>
        </w:tc>
      </w:tr>
      <w:tr w14:paraId="75E0EB8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70" w:hRule="atLeast"/>
          <w:jc w:val="center"/>
        </w:trPr>
        <w:tc>
          <w:tcPr>
            <w:tcW w:w="2496" w:type="dxa"/>
            <w:vAlign w:val="center"/>
          </w:tcPr>
          <w:p w14:paraId="07C46060">
            <w:pPr>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70</w:t>
            </w:r>
          </w:p>
        </w:tc>
        <w:tc>
          <w:tcPr>
            <w:tcW w:w="1687" w:type="dxa"/>
            <w:vAlign w:val="center"/>
          </w:tcPr>
          <w:p w14:paraId="610E8716">
            <w:pPr>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pacing w:val="-1"/>
                <w:sz w:val="21"/>
                <w:szCs w:val="21"/>
                <w14:textFill>
                  <w14:solidFill>
                    <w14:schemeClr w14:val="tx1"/>
                  </w14:solidFill>
                </w14:textFill>
              </w:rPr>
              <w:t>4.12</w:t>
            </w:r>
          </w:p>
        </w:tc>
        <w:tc>
          <w:tcPr>
            <w:tcW w:w="1571" w:type="dxa"/>
            <w:vAlign w:val="center"/>
          </w:tcPr>
          <w:p w14:paraId="3A37D5CE">
            <w:pPr>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pacing w:val="-1"/>
                <w:sz w:val="21"/>
                <w:szCs w:val="21"/>
                <w14:textFill>
                  <w14:solidFill>
                    <w14:schemeClr w14:val="tx1"/>
                  </w14:solidFill>
                </w14:textFill>
              </w:rPr>
              <w:t>4.05</w:t>
            </w:r>
          </w:p>
        </w:tc>
        <w:tc>
          <w:tcPr>
            <w:tcW w:w="1454" w:type="dxa"/>
            <w:vAlign w:val="center"/>
          </w:tcPr>
          <w:p w14:paraId="1CB7E2EF">
            <w:pPr>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pacing w:val="-1"/>
                <w:sz w:val="21"/>
                <w:szCs w:val="21"/>
                <w14:textFill>
                  <w14:solidFill>
                    <w14:schemeClr w14:val="tx1"/>
                  </w14:solidFill>
                </w14:textFill>
              </w:rPr>
              <w:t>3.95</w:t>
            </w:r>
          </w:p>
        </w:tc>
        <w:tc>
          <w:tcPr>
            <w:tcW w:w="1314" w:type="dxa"/>
            <w:vAlign w:val="center"/>
          </w:tcPr>
          <w:p w14:paraId="21A57EF6">
            <w:pPr>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pacing w:val="-1"/>
                <w:sz w:val="21"/>
                <w:szCs w:val="21"/>
                <w14:textFill>
                  <w14:solidFill>
                    <w14:schemeClr w14:val="tx1"/>
                  </w14:solidFill>
                </w14:textFill>
              </w:rPr>
              <w:t>3.81</w:t>
            </w:r>
          </w:p>
        </w:tc>
      </w:tr>
      <w:tr w14:paraId="4456A33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70" w:hRule="atLeast"/>
          <w:jc w:val="center"/>
        </w:trPr>
        <w:tc>
          <w:tcPr>
            <w:tcW w:w="2496" w:type="dxa"/>
            <w:vAlign w:val="center"/>
          </w:tcPr>
          <w:p w14:paraId="5BC4B7A8">
            <w:pPr>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80</w:t>
            </w:r>
          </w:p>
        </w:tc>
        <w:tc>
          <w:tcPr>
            <w:tcW w:w="1687" w:type="dxa"/>
            <w:vAlign w:val="center"/>
          </w:tcPr>
          <w:p w14:paraId="36EF7649">
            <w:pPr>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pacing w:val="-1"/>
                <w:sz w:val="21"/>
                <w:szCs w:val="21"/>
                <w14:textFill>
                  <w14:solidFill>
                    <w14:schemeClr w14:val="tx1"/>
                  </w14:solidFill>
                </w14:textFill>
              </w:rPr>
              <w:t>3.87</w:t>
            </w:r>
          </w:p>
        </w:tc>
        <w:tc>
          <w:tcPr>
            <w:tcW w:w="1571" w:type="dxa"/>
            <w:vAlign w:val="center"/>
          </w:tcPr>
          <w:p w14:paraId="2154AD58">
            <w:pPr>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pacing w:val="-1"/>
                <w:sz w:val="21"/>
                <w:szCs w:val="21"/>
                <w14:textFill>
                  <w14:solidFill>
                    <w14:schemeClr w14:val="tx1"/>
                  </w14:solidFill>
                </w14:textFill>
              </w:rPr>
              <w:t>3.82</w:t>
            </w:r>
          </w:p>
        </w:tc>
        <w:tc>
          <w:tcPr>
            <w:tcW w:w="1454" w:type="dxa"/>
            <w:vAlign w:val="center"/>
          </w:tcPr>
          <w:p w14:paraId="6B6C2DDF">
            <w:pPr>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pacing w:val="-1"/>
                <w:sz w:val="21"/>
                <w:szCs w:val="21"/>
                <w14:textFill>
                  <w14:solidFill>
                    <w14:schemeClr w14:val="tx1"/>
                  </w14:solidFill>
                </w14:textFill>
              </w:rPr>
              <w:t>3.72</w:t>
            </w:r>
          </w:p>
        </w:tc>
        <w:tc>
          <w:tcPr>
            <w:tcW w:w="1314" w:type="dxa"/>
            <w:vAlign w:val="center"/>
          </w:tcPr>
          <w:p w14:paraId="48E43610">
            <w:pPr>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pacing w:val="-1"/>
                <w:sz w:val="21"/>
                <w:szCs w:val="21"/>
                <w14:textFill>
                  <w14:solidFill>
                    <w14:schemeClr w14:val="tx1"/>
                  </w14:solidFill>
                </w14:textFill>
              </w:rPr>
              <w:t>3.59</w:t>
            </w:r>
          </w:p>
        </w:tc>
      </w:tr>
      <w:tr w14:paraId="570081A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70" w:hRule="atLeast"/>
          <w:jc w:val="center"/>
        </w:trPr>
        <w:tc>
          <w:tcPr>
            <w:tcW w:w="2496" w:type="dxa"/>
            <w:vAlign w:val="center"/>
          </w:tcPr>
          <w:p w14:paraId="53BA6BA0">
            <w:pPr>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90</w:t>
            </w:r>
          </w:p>
        </w:tc>
        <w:tc>
          <w:tcPr>
            <w:tcW w:w="1687" w:type="dxa"/>
            <w:vAlign w:val="center"/>
          </w:tcPr>
          <w:p w14:paraId="7A9725CB">
            <w:pPr>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pacing w:val="-1"/>
                <w:sz w:val="21"/>
                <w:szCs w:val="21"/>
                <w14:textFill>
                  <w14:solidFill>
                    <w14:schemeClr w14:val="tx1"/>
                  </w14:solidFill>
                </w14:textFill>
              </w:rPr>
              <w:t>3.55</w:t>
            </w:r>
          </w:p>
        </w:tc>
        <w:tc>
          <w:tcPr>
            <w:tcW w:w="1571" w:type="dxa"/>
            <w:vAlign w:val="center"/>
          </w:tcPr>
          <w:p w14:paraId="5002A606">
            <w:pPr>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pacing w:val="-1"/>
                <w:sz w:val="21"/>
                <w:szCs w:val="21"/>
                <w14:textFill>
                  <w14:solidFill>
                    <w14:schemeClr w14:val="tx1"/>
                  </w14:solidFill>
                </w14:textFill>
              </w:rPr>
              <w:t>3.51</w:t>
            </w:r>
          </w:p>
        </w:tc>
        <w:tc>
          <w:tcPr>
            <w:tcW w:w="1454" w:type="dxa"/>
            <w:vAlign w:val="center"/>
          </w:tcPr>
          <w:p w14:paraId="4A96A3FE">
            <w:pPr>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pacing w:val="-1"/>
                <w:sz w:val="21"/>
                <w:szCs w:val="21"/>
                <w14:textFill>
                  <w14:solidFill>
                    <w14:schemeClr w14:val="tx1"/>
                  </w14:solidFill>
                </w14:textFill>
              </w:rPr>
              <w:t>3.43</w:t>
            </w:r>
          </w:p>
        </w:tc>
        <w:tc>
          <w:tcPr>
            <w:tcW w:w="1314" w:type="dxa"/>
            <w:vAlign w:val="center"/>
          </w:tcPr>
          <w:p w14:paraId="313E40DB">
            <w:pPr>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pacing w:val="-1"/>
                <w:sz w:val="21"/>
                <w:szCs w:val="21"/>
                <w14:textFill>
                  <w14:solidFill>
                    <w14:schemeClr w14:val="tx1"/>
                  </w14:solidFill>
                </w14:textFill>
              </w:rPr>
              <w:t>3.30</w:t>
            </w:r>
          </w:p>
        </w:tc>
      </w:tr>
    </w:tbl>
    <w:p w14:paraId="539C9712">
      <w:pPr>
        <w:ind w:firstLine="480"/>
        <w:rPr>
          <w:color w:val="000000" w:themeColor="text1"/>
          <w14:textFill>
            <w14:solidFill>
              <w14:schemeClr w14:val="tx1"/>
            </w14:solidFill>
          </w14:textFill>
        </w:rPr>
      </w:pPr>
      <w:r>
        <w:rPr>
          <w:color w:val="000000" w:themeColor="text1"/>
          <w14:textFill>
            <w14:solidFill>
              <w14:schemeClr w14:val="tx1"/>
            </w14:solidFill>
          </w14:textFill>
        </w:rPr>
        <w:t>（4）波浪</w:t>
      </w:r>
    </w:p>
    <w:p w14:paraId="7DBBD319">
      <w:pPr>
        <w:ind w:firstLine="480"/>
        <w:rPr>
          <w:color w:val="000000" w:themeColor="text1"/>
          <w14:textFill>
            <w14:solidFill>
              <w14:schemeClr w14:val="tx1"/>
            </w14:solidFill>
          </w14:textFill>
        </w:rPr>
      </w:pPr>
      <w:r>
        <w:rPr>
          <w:color w:val="000000" w:themeColor="text1"/>
          <w14:textFill>
            <w14:solidFill>
              <w14:schemeClr w14:val="tx1"/>
            </w14:solidFill>
          </w14:textFill>
        </w:rPr>
        <w:t>钦州港位于钦州湾内，水域掩护条件较好，比较平静。据三娘湾海洋站 1991～2002年测波资料统计，本海区波浪以风浪为主，常浪向SSW向、频率占17.67％，其次NNE向、频率为17.2％；强浪向为ESE向，次强浪向为 SSW向和NE向；本海区实测最大波高为3.4m，实测最大周期为6.8s。据统计本区H</w:t>
      </w:r>
      <w:r>
        <w:rPr>
          <w:color w:val="000000" w:themeColor="text1"/>
          <w:vertAlign w:val="subscript"/>
          <w14:textFill>
            <w14:solidFill>
              <w14:schemeClr w14:val="tx1"/>
            </w14:solidFill>
          </w14:textFill>
        </w:rPr>
        <w:t>1/10</w:t>
      </w:r>
      <w:r>
        <w:rPr>
          <w:color w:val="000000" w:themeColor="text1"/>
          <w14:textFill>
            <w14:solidFill>
              <w14:schemeClr w14:val="tx1"/>
            </w14:solidFill>
          </w14:textFill>
        </w:rPr>
        <w:t>小于0.5m发生频率为66.37％，小于1.0m发生频率为96.21％，大于 1.5m波高出现频率仅为 1.1%。</w:t>
      </w:r>
    </w:p>
    <w:p w14:paraId="0309F66E">
      <w:pPr>
        <w:ind w:firstLine="480"/>
        <w:rPr>
          <w:color w:val="000000" w:themeColor="text1"/>
          <w14:textFill>
            <w14:solidFill>
              <w14:schemeClr w14:val="tx1"/>
            </w14:solidFill>
          </w14:textFill>
        </w:rPr>
      </w:pPr>
      <w:r>
        <w:rPr>
          <w:color w:val="000000" w:themeColor="text1"/>
          <w14:textFill>
            <w14:solidFill>
              <w14:schemeClr w14:val="tx1"/>
            </w14:solidFill>
          </w14:textFill>
        </w:rPr>
        <w:t>（5）泥沙</w:t>
      </w:r>
    </w:p>
    <w:p w14:paraId="2D4F7E9F">
      <w:pPr>
        <w:ind w:firstLine="480"/>
        <w:rPr>
          <w:color w:val="000000" w:themeColor="text1"/>
          <w14:textFill>
            <w14:solidFill>
              <w14:schemeClr w14:val="tx1"/>
            </w14:solidFill>
          </w14:textFill>
        </w:rPr>
      </w:pPr>
      <w:r>
        <w:rPr>
          <w:color w:val="000000" w:themeColor="text1"/>
          <w14:textFill>
            <w14:solidFill>
              <w14:schemeClr w14:val="tx1"/>
            </w14:solidFill>
          </w14:textFill>
        </w:rPr>
        <w:t>钦州湾泥沙主要来自北部的茅尾海，而且多以悬移式进入港内。钦州湾海区含沙量较小，平均含沙量仅为0.029kg/m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，实测瞬时最大含沙量出现于夏季，茅尾海内为0.35kg/m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，拦门沙段为0.08kg/m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，而冬季含沙量几乎为零。</w:t>
      </w:r>
    </w:p>
    <w:p w14:paraId="03B10EC3">
      <w:pPr>
        <w:snapToGrid w:val="0"/>
        <w:ind w:firstLine="480"/>
        <w:rPr>
          <w:color w:val="000000" w:themeColor="text1"/>
          <w14:textFill>
            <w14:solidFill>
              <w14:schemeClr w14:val="tx1"/>
            </w14:solidFill>
          </w14:textFill>
        </w:rPr>
      </w:pPr>
      <w:r>
        <w:rPr>
          <w:color w:val="000000" w:themeColor="text1"/>
          <w14:textFill>
            <w14:solidFill>
              <w14:schemeClr w14:val="tx1"/>
            </w14:solidFill>
          </w14:textFill>
        </w:rPr>
        <w:t>（6）盐度和水温</w:t>
      </w:r>
    </w:p>
    <w:p w14:paraId="50F94DF0">
      <w:pPr>
        <w:ind w:firstLine="480"/>
        <w:rPr>
          <w:color w:val="000000" w:themeColor="text1"/>
          <w14:textFill>
            <w14:solidFill>
              <w14:schemeClr w14:val="tx1"/>
            </w14:solidFill>
          </w14:textFill>
        </w:rPr>
      </w:pPr>
      <w:r>
        <w:rPr>
          <w:color w:val="000000" w:themeColor="text1"/>
          <w14:textFill>
            <w14:solidFill>
              <w14:schemeClr w14:val="tx1"/>
            </w14:solidFill>
          </w14:textFill>
        </w:rPr>
        <w:t>钦州湾海域盐度分布规律为河口低、海高，等值线与等深线几乎平行。年平均盐度为1.93%。（龙门）最高为3.23%，最低为2.63%。</w:t>
      </w:r>
    </w:p>
    <w:p w14:paraId="327C9FCD">
      <w:pPr>
        <w:ind w:firstLine="480"/>
        <w:rPr>
          <w:color w:val="000000" w:themeColor="text1"/>
          <w14:textFill>
            <w14:solidFill>
              <w14:schemeClr w14:val="tx1"/>
            </w14:solidFill>
          </w14:textFill>
        </w:rPr>
      </w:pPr>
      <w:r>
        <w:rPr>
          <w:color w:val="000000" w:themeColor="text1"/>
          <w14:textFill>
            <w14:solidFill>
              <w14:schemeClr w14:val="tx1"/>
            </w14:solidFill>
          </w14:textFill>
        </w:rPr>
        <w:t>水温变化特征分为夏季型、冬季型和过渡型三种。夏季沿岸水温高，外海低，冬季水温则是外海高沿岸低；春夏分层稳定，上层高，下层低。水温的升降则以春季和秋季为过渡季节。最高水温32.75℃，平均水温21.90℃。</w:t>
      </w:r>
    </w:p>
    <w:p w14:paraId="7E46E9C9">
      <w:pPr>
        <w:pStyle w:val="4"/>
        <w:rPr>
          <w:color w:val="000000" w:themeColor="text1"/>
          <w14:textFill>
            <w14:solidFill>
              <w14:schemeClr w14:val="tx1"/>
            </w14:solidFill>
          </w14:textFill>
        </w:rPr>
      </w:pPr>
      <w:bookmarkStart w:id="538" w:name="_Toc136878470"/>
      <w:bookmarkStart w:id="539" w:name="_Toc26910007"/>
      <w:bookmarkStart w:id="540" w:name="_Toc216620534"/>
      <w:bookmarkStart w:id="541" w:name="_Toc216103375"/>
      <w:bookmarkStart w:id="542" w:name="_Toc29131821"/>
      <w:bookmarkStart w:id="543" w:name="_Toc135090221"/>
      <w:bookmarkStart w:id="544" w:name="_Toc25436963"/>
      <w:r>
        <w:rPr>
          <w:color w:val="000000" w:themeColor="text1"/>
          <w14:textFill>
            <w14:solidFill>
              <w14:schemeClr w14:val="tx1"/>
            </w14:solidFill>
          </w14:textFill>
        </w:rPr>
        <w:t>海洋生物资源</w:t>
      </w:r>
      <w:bookmarkEnd w:id="538"/>
      <w:bookmarkEnd w:id="539"/>
      <w:bookmarkEnd w:id="540"/>
      <w:bookmarkEnd w:id="541"/>
      <w:bookmarkEnd w:id="542"/>
      <w:bookmarkEnd w:id="543"/>
    </w:p>
    <w:p w14:paraId="6BBB1943">
      <w:pPr>
        <w:ind w:firstLine="480"/>
        <w:rPr>
          <w:color w:val="000000" w:themeColor="text1"/>
          <w14:textFill>
            <w14:solidFill>
              <w14:schemeClr w14:val="tx1"/>
            </w14:solidFill>
          </w14:textFill>
        </w:rPr>
      </w:pPr>
      <w:r>
        <w:rPr>
          <w:color w:val="000000" w:themeColor="text1"/>
          <w14:textFill>
            <w14:solidFill>
              <w14:schemeClr w14:val="tx1"/>
            </w14:solidFill>
          </w14:textFill>
        </w:rPr>
        <w:t>钦州湾主要有钦江、茅岭江注入，生物饵料和营养盐丰富，水温、盐度适中，水质较为洁净，适宜于海洋生物的生长和繁殖，生物种类繁多，资源丰富。据调查2017年海洋生物现状调查，近岸海域浮游植物有36种，浮游动物42种，潮间带生物68种，底栖生物50种，鱼类35种，海区初级生产力相对较高。</w:t>
      </w:r>
    </w:p>
    <w:p w14:paraId="7F83CD07">
      <w:pPr>
        <w:ind w:firstLine="480"/>
        <w:rPr>
          <w:color w:val="000000" w:themeColor="text1"/>
          <w14:textFill>
            <w14:solidFill>
              <w14:schemeClr w14:val="tx1"/>
            </w14:solidFill>
          </w14:textFill>
        </w:rPr>
      </w:pPr>
      <w:r>
        <w:rPr>
          <w:color w:val="000000" w:themeColor="text1"/>
          <w14:textFill>
            <w14:solidFill>
              <w14:schemeClr w14:val="tx1"/>
            </w14:solidFill>
          </w14:textFill>
        </w:rPr>
        <w:t>据调查，钦州市20m水深以内的浅海有虾类35种，蟹类191种，贝类178种，头足类17种，鱼类326种。其中主要捕捞的鱼类有二长棘鲷、圆腹鲱、棕斑兔头鱼、短吻鱼、斑点马鲛、丽叶参、斑鲚、宝刀鱼、鲐鱼、真鲷、白姑鱼、金钱鱼等20余种主要经济鱼类；虾类有须赤虾、刀额新对虾、长中鹰爪虾、日本对虾、长毛对虾、墨吉对虾等10多种经济虾类；还有火枪乌贼、拟目乌贼等3种头足类。此外，近江蛎、文蛤毛蚶、方格星虫、锯缘青蟹和江蓠等主要浅海滩涂经济生物分布广泛，资源最大。钦州市浅海鱼类资源量估计为4200t/a，可捕捞量约为2100t/a。</w:t>
      </w:r>
    </w:p>
    <w:p w14:paraId="6BC65CBC">
      <w:pPr>
        <w:ind w:firstLine="480"/>
        <w:rPr>
          <w:color w:val="000000" w:themeColor="text1"/>
          <w14:textFill>
            <w14:solidFill>
              <w14:schemeClr w14:val="tx1"/>
            </w14:solidFill>
          </w14:textFill>
        </w:rPr>
      </w:pPr>
      <w:r>
        <w:rPr>
          <w:color w:val="000000" w:themeColor="text1"/>
          <w14:textFill>
            <w14:solidFill>
              <w14:schemeClr w14:val="tx1"/>
            </w14:solidFill>
          </w14:textFill>
        </w:rPr>
        <w:t>钦州湾沿海有大小岛屿337个，这些岛屿较为集中连片地分布在茅尾海出海口的亚公山至鹰岭一带，由于海岸滩涂土壤肥沃，盐度适中，比较适宜红树林生长，各岛屿岸边广泛生长着红树林，有红树科的木榄、秋茄；大蕺科的海漆；紫金牛科的桐花树；马鞭草科的白骨壤等。</w:t>
      </w:r>
    </w:p>
    <w:bookmarkEnd w:id="544"/>
    <w:p w14:paraId="125CC6EA">
      <w:pPr>
        <w:pStyle w:val="5"/>
        <w:rPr>
          <w:color w:val="000000" w:themeColor="text1"/>
          <w14:textFill>
            <w14:solidFill>
              <w14:schemeClr w14:val="tx1"/>
            </w14:solidFill>
          </w14:textFill>
        </w:rPr>
      </w:pPr>
      <w:bookmarkStart w:id="545" w:name="_Toc66193989"/>
      <w:bookmarkStart w:id="546" w:name="_Toc118748556"/>
      <w:bookmarkStart w:id="547" w:name="_Toc216620535"/>
      <w:bookmarkStart w:id="548" w:name="_Toc66194188"/>
      <w:r>
        <w:rPr>
          <w:color w:val="000000" w:themeColor="text1"/>
          <w14:textFill>
            <w14:solidFill>
              <w14:schemeClr w14:val="tx1"/>
            </w14:solidFill>
          </w14:textFill>
        </w:rPr>
        <w:t>生态敏感区及珍稀濒危物种调查</w:t>
      </w:r>
      <w:bookmarkEnd w:id="545"/>
      <w:bookmarkEnd w:id="546"/>
      <w:bookmarkEnd w:id="547"/>
      <w:bookmarkEnd w:id="548"/>
    </w:p>
    <w:p w14:paraId="276389DD">
      <w:pPr>
        <w:pStyle w:val="4"/>
        <w:rPr>
          <w:color w:val="000000" w:themeColor="text1"/>
          <w14:textFill>
            <w14:solidFill>
              <w14:schemeClr w14:val="tx1"/>
            </w14:solidFill>
          </w14:textFill>
        </w:rPr>
      </w:pPr>
      <w:bookmarkStart w:id="549" w:name="_Toc216103377"/>
      <w:bookmarkStart w:id="550" w:name="_Toc216620536"/>
      <w:bookmarkStart w:id="551" w:name="_Toc66194190"/>
      <w:bookmarkStart w:id="552" w:name="_Toc136878472"/>
      <w:bookmarkStart w:id="553" w:name="_Toc66193991"/>
      <w:bookmarkStart w:id="554" w:name="_Toc135090223"/>
      <w:r>
        <w:rPr>
          <w:color w:val="000000" w:themeColor="text1"/>
          <w14:textFill>
            <w14:solidFill>
              <w14:schemeClr w14:val="tx1"/>
            </w14:solidFill>
          </w14:textFill>
        </w:rPr>
        <w:t>广西茅尾海红树林自治区级自然保护区</w:t>
      </w:r>
      <w:bookmarkEnd w:id="549"/>
      <w:bookmarkEnd w:id="550"/>
      <w:bookmarkEnd w:id="551"/>
      <w:bookmarkEnd w:id="552"/>
      <w:bookmarkEnd w:id="553"/>
      <w:bookmarkEnd w:id="554"/>
    </w:p>
    <w:p w14:paraId="6A144C38">
      <w:pPr>
        <w:ind w:firstLine="480"/>
        <w:rPr>
          <w:color w:val="000000" w:themeColor="text1"/>
          <w14:textFill>
            <w14:solidFill>
              <w14:schemeClr w14:val="tx1"/>
            </w14:solidFill>
          </w14:textFill>
        </w:rPr>
      </w:pPr>
      <w:r>
        <w:rPr>
          <w:color w:val="000000" w:themeColor="text1"/>
          <w14:textFill>
            <w14:solidFill>
              <w14:schemeClr w14:val="tx1"/>
            </w14:solidFill>
          </w14:textFill>
        </w:rPr>
        <w:t>（一）保护区概况</w:t>
      </w:r>
    </w:p>
    <w:p w14:paraId="37088620">
      <w:pPr>
        <w:ind w:firstLine="480"/>
        <w:rPr>
          <w:color w:val="000000" w:themeColor="text1"/>
          <w14:textFill>
            <w14:solidFill>
              <w14:schemeClr w14:val="tx1"/>
            </w14:solidFill>
          </w14:textFill>
        </w:rPr>
      </w:pPr>
      <w:r>
        <w:rPr>
          <w:color w:val="000000" w:themeColor="text1"/>
          <w14:textFill>
            <w14:solidFill>
              <w14:schemeClr w14:val="tx1"/>
            </w14:solidFill>
          </w14:textFill>
        </w:rPr>
        <w:t>2020年02月，广西壮族自治区人民政府以《广西壮族自治区人民政府关于同意广西茅尾海红树林自治区级自然保护区范围与功能区调整的批复》（桂政函〔2020〕14号）同意调整广西茅尾海红树林自治区级自然保护区范围与功能区。调整后，保护区范围涉及康熙岭片、坚心围片、七十二泾片和大风江片4个片区，地理坐标为东经 108°28′35″—108°54′26″、北纬21°44′13″—21°53′49″。保护区总面积5010.05公顷，其中核心区面积2153.2公顷、缓冲区面积1386.13公顷、实验区面积1470.72公顷。</w:t>
      </w:r>
    </w:p>
    <w:p w14:paraId="18512827">
      <w:pPr>
        <w:ind w:firstLine="480"/>
        <w:rPr>
          <w:color w:val="000000" w:themeColor="text1"/>
          <w14:textFill>
            <w14:solidFill>
              <w14:schemeClr w14:val="tx1"/>
            </w14:solidFill>
          </w14:textFill>
        </w:rPr>
      </w:pPr>
      <w:r>
        <w:rPr>
          <w:color w:val="000000" w:themeColor="text1"/>
          <w14:textFill>
            <w14:solidFill>
              <w14:schemeClr w14:val="tx1"/>
            </w14:solidFill>
          </w14:textFill>
        </w:rPr>
        <w:t>保护区主要红树林植被类型有秋茄林、桐花树林、白骨壤林、海漆林、黄槿林、无瓣海桑林、老鼠簕群。保护区资源十分丰富，目前已知有维管束植物有82 科228 属294 种。其中：蕨类植物9 科10 属13 种，裸子植物1 科1 属2 种，被子植物72 科217 属279 种。没有发现有国家重点保护的野生植物。</w:t>
      </w:r>
    </w:p>
    <w:p w14:paraId="45E35D93">
      <w:pPr>
        <w:ind w:firstLine="480"/>
        <w:rPr>
          <w:color w:val="000000" w:themeColor="text1"/>
          <w14:textFill>
            <w14:solidFill>
              <w14:schemeClr w14:val="tx1"/>
            </w14:solidFill>
          </w14:textFill>
        </w:rPr>
      </w:pPr>
      <w:r>
        <w:rPr>
          <w:color w:val="000000" w:themeColor="text1"/>
          <w14:textFill>
            <w14:solidFill>
              <w14:schemeClr w14:val="tx1"/>
            </w14:solidFill>
          </w14:textFill>
        </w:rPr>
        <w:t>保护区有红树植物13 科17 种，占全国红树植物种类的45.9%，其中真红树植物8 科10 种，半红树植物6 科7 种。在真红树植物中，乡土红树植物6 科7 种，分别为红树科的木榄、秋茄、红海榄；卤蕨科的卤蕨；使君子科的榄李；紫金牛科的桐花树；马鞭草科的白骨壤；大戟科的海漆；爵床科的老鼠簕。引种的红树植物1 科1 种，即海桑科的无瓣海桑。半红树植物为锦葵科的黄槿；夹竹桃科的海芒果；马鞭草科的钝叶臭黄荆和苦榔树、草海桐科的草海桐、蝶形花科的水黄皮和菊科的阔苞菊。</w:t>
      </w:r>
    </w:p>
    <w:p w14:paraId="2483FD4B">
      <w:pPr>
        <w:ind w:firstLine="480"/>
        <w:rPr>
          <w:color w:val="000000" w:themeColor="text1"/>
          <w14:textFill>
            <w14:solidFill>
              <w14:schemeClr w14:val="tx1"/>
            </w14:solidFill>
          </w14:textFill>
        </w:rPr>
      </w:pPr>
      <w:r>
        <w:rPr>
          <w:color w:val="000000" w:themeColor="text1"/>
          <w14:textFill>
            <w14:solidFill>
              <w14:schemeClr w14:val="tx1"/>
            </w14:solidFill>
          </w14:textFill>
        </w:rPr>
        <w:t>保护区有脊椎动物216 种，其中鱼类资源计有11 目39 科87 种；两栖类动物有7 种，隶属于1目5 科5 属；爬行类动物16 种，隶属于1 目7 科15 属；鸟类动物有15 目31 科103种；哺乳动物有3 种，隶属于2 目2 科3 属。</w:t>
      </w:r>
    </w:p>
    <w:p w14:paraId="72C44EA5">
      <w:pPr>
        <w:spacing w:line="336" w:lineRule="auto"/>
        <w:ind w:firstLine="0" w:firstLineChars="0"/>
        <w:rPr>
          <w:color w:val="000000" w:themeColor="text1"/>
          <w14:textFill>
            <w14:solidFill>
              <w14:schemeClr w14:val="tx1"/>
            </w14:solidFill>
          </w14:textFill>
        </w:rPr>
      </w:pPr>
      <w:r>
        <w:rPr>
          <w:color w:val="000000" w:themeColor="text1"/>
          <w14:textFill>
            <w14:solidFill>
              <w14:schemeClr w14:val="tx1"/>
            </w14:solidFill>
          </w14:textFill>
        </w:rPr>
        <mc:AlternateContent>
          <mc:Choice Requires="wps">
            <w:drawing>
              <wp:anchor distT="0" distB="0" distL="114300" distR="114300" simplePos="0" relativeHeight="251668480" behindDoc="0" locked="0" layoutInCell="1" allowOverlap="1">
                <wp:simplePos x="0" y="0"/>
                <wp:positionH relativeFrom="column">
                  <wp:posOffset>2414270</wp:posOffset>
                </wp:positionH>
                <wp:positionV relativeFrom="paragraph">
                  <wp:posOffset>2593975</wp:posOffset>
                </wp:positionV>
                <wp:extent cx="977265" cy="291465"/>
                <wp:effectExtent l="0" t="0" r="146685" b="356235"/>
                <wp:wrapNone/>
                <wp:docPr id="3427" name="对话气泡: 矩形 3427"/>
                <wp:cNvGraphicFramePr/>
                <a:graphic xmlns:a="http://schemas.openxmlformats.org/drawingml/2006/main">
                  <a:graphicData uri="http://schemas.microsoft.com/office/word/2010/wordprocessingShape">
                    <wps:wsp>
                      <wps:cNvSpPr>
                        <a:spLocks noChangeArrowheads="1"/>
                      </wps:cNvSpPr>
                      <wps:spPr bwMode="auto">
                        <a:xfrm>
                          <a:off x="0" y="0"/>
                          <a:ext cx="977265" cy="291465"/>
                        </a:xfrm>
                        <a:prstGeom prst="wedgeRectCallout">
                          <a:avLst>
                            <a:gd name="adj1" fmla="val 59014"/>
                            <a:gd name="adj2" fmla="val 155407"/>
                          </a:avLst>
                        </a:prstGeom>
                        <a:solidFill>
                          <a:srgbClr val="FFFFFF"/>
                        </a:solidFill>
                        <a:ln w="9525">
                          <a:solidFill>
                            <a:srgbClr val="000000"/>
                          </a:solidFill>
                          <a:miter lim="800000"/>
                        </a:ln>
                      </wps:spPr>
                      <wps:txbx>
                        <w:txbxContent>
                          <w:p w14:paraId="3FAAA43F">
                            <w:pPr>
                              <w:spacing w:line="240" w:lineRule="atLeast"/>
                              <w:ind w:firstLine="0" w:firstLineChars="0"/>
                              <w:rPr>
                                <w:b/>
                                <w:sz w:val="21"/>
                                <w:szCs w:val="21"/>
                              </w:rPr>
                            </w:pPr>
                            <w:r>
                              <w:rPr>
                                <w:rFonts w:hint="eastAsia"/>
                                <w:b/>
                                <w:sz w:val="21"/>
                                <w:szCs w:val="21"/>
                              </w:rPr>
                              <w:t>七十二泾片</w:t>
                            </w:r>
                          </w:p>
                        </w:txbxContent>
                      </wps:txbx>
                      <wps:bodyPr rot="0" vert="horz" wrap="square" lIns="91440" tIns="45720" rIns="91440" bIns="45720" anchor="t" anchorCtr="0" upright="1">
                        <a:noAutofit/>
                      </wps:bodyPr>
                    </wps:wsp>
                  </a:graphicData>
                </a:graphic>
              </wp:anchor>
            </w:drawing>
          </mc:Choice>
          <mc:Fallback>
            <w:pict>
              <v:shape id="对话气泡: 矩形 3427" o:spid="_x0000_s1026" o:spt="61" type="#_x0000_t61" style="position:absolute;left:0pt;margin-left:190.1pt;margin-top:204.25pt;height:22.95pt;width:76.95pt;z-index:251668480;mso-width-relative:page;mso-height-relative:page;" fillcolor="#FFFFFF" filled="t" stroked="t" coordsize="21600,21600" o:gfxdata="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" adj="23547,44368">
                <v:fill on="t" focussize="0,0"/>
                <v:stroke color="#000000" miterlimit="8" joinstyle="miter"/>
                <v:imagedata o:title=""/>
                <o:lock v:ext="edit" aspectratio="f"/>
                <v:textbox>
                  <w:txbxContent>
                    <w:p w14:paraId="3FAAA43F">
                      <w:pPr>
                        <w:spacing w:line="240" w:lineRule="atLeast"/>
                        <w:ind w:firstLine="0" w:firstLineChars="0"/>
                        <w:rPr>
                          <w:b/>
                          <w:sz w:val="21"/>
                          <w:szCs w:val="21"/>
                        </w:rPr>
                      </w:pPr>
                      <w:r>
                        <w:rPr>
                          <w:rFonts w:hint="eastAsia"/>
                          <w:b/>
                          <w:sz w:val="21"/>
                          <w:szCs w:val="21"/>
                        </w:rPr>
                        <w:t>七十二泾片</w:t>
                      </w:r>
                    </w:p>
                  </w:txbxContent>
                </v:textbox>
              </v:shape>
            </w:pict>
          </mc:Fallback>
        </mc:AlternateContent>
      </w:r>
      <w:r>
        <w:rPr>
          <w:color w:val="000000" w:themeColor="text1"/>
          <w14:textFill>
            <w14:solidFill>
              <w14:schemeClr w14:val="tx1"/>
            </w14:solidFill>
          </w14:textFill>
        </w:rPr>
        <w:drawing>
          <wp:inline distT="0" distB="0" distL="0" distR="0">
            <wp:extent cx="5274310" cy="3660140"/>
            <wp:effectExtent l="0" t="0" r="2540" b="0"/>
            <wp:docPr id="152"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a:xfrm>
                      <a:off x="0" y="0"/>
                      <a:ext cx="5274310" cy="3660140"/>
                    </a:xfrm>
                    <a:prstGeom prst="rect">
                      <a:avLst/>
                    </a:prstGeom>
                    <a:noFill/>
                    <a:ln>
                      <a:noFill/>
                    </a:ln>
                  </pic:spPr>
                </pic:pic>
              </a:graphicData>
            </a:graphic>
          </wp:inline>
        </w:drawing>
      </w:r>
    </w:p>
    <w:p w14:paraId="0E694069">
      <w:pPr>
        <w:pStyle w:val="8"/>
        <w:rPr>
          <w:color w:val="000000" w:themeColor="text1"/>
          <w14:textFill>
            <w14:solidFill>
              <w14:schemeClr w14:val="tx1"/>
            </w14:solidFill>
          </w14:textFill>
        </w:rPr>
      </w:pPr>
      <w:r>
        <w:rPr>
          <w:color w:val="000000" w:themeColor="text1"/>
          <w14:textFill>
            <w14:solidFill>
              <w14:schemeClr w14:val="tx1"/>
            </w14:solidFill>
          </w14:textFill>
        </w:rPr>
        <w:t>茅尾海红树林自然保护区位置示意图</w:t>
      </w:r>
    </w:p>
    <w:p w14:paraId="49CDC78F">
      <w:pPr>
        <w:ind w:firstLine="480"/>
        <w:rPr>
          <w:color w:val="000000" w:themeColor="text1"/>
          <w14:textFill>
            <w14:solidFill>
              <w14:schemeClr w14:val="tx1"/>
            </w14:solidFill>
          </w14:textFill>
        </w:rPr>
      </w:pPr>
      <w:r>
        <w:rPr>
          <w:color w:val="000000" w:themeColor="text1"/>
          <w14:textFill>
            <w14:solidFill>
              <w14:schemeClr w14:val="tx1"/>
            </w14:solidFill>
          </w14:textFill>
        </w:rPr>
        <w:t>（二）项目与保护区位置关系</w:t>
      </w:r>
    </w:p>
    <w:p w14:paraId="7D1A2BE7">
      <w:pPr>
        <w:ind w:firstLine="480"/>
        <w:rPr>
          <w:color w:val="000000" w:themeColor="text1"/>
          <w14:textFill>
            <w14:solidFill>
              <w14:schemeClr w14:val="tx1"/>
            </w14:solidFill>
          </w14:textFill>
        </w:rPr>
      </w:pPr>
      <w:r>
        <w:rPr>
          <w:color w:val="000000" w:themeColor="text1"/>
          <w14:textFill>
            <w14:solidFill>
              <w14:schemeClr w14:val="tx1"/>
            </w14:solidFill>
          </w14:textFill>
        </w:rPr>
        <w:t>广西茅尾海红树林自治区级自然保护区位于本项目西北面约3.8km处。</w:t>
      </w:r>
    </w:p>
    <w:p w14:paraId="4FF612A9">
      <w:pPr>
        <w:pStyle w:val="4"/>
        <w:rPr>
          <w:color w:val="000000" w:themeColor="text1"/>
          <w14:textFill>
            <w14:solidFill>
              <w14:schemeClr w14:val="tx1"/>
            </w14:solidFill>
          </w14:textFill>
        </w:rPr>
      </w:pPr>
      <w:bookmarkStart w:id="555" w:name="_Toc66193994"/>
      <w:bookmarkStart w:id="556" w:name="_Toc216103378"/>
      <w:bookmarkStart w:id="557" w:name="_Toc136878473"/>
      <w:bookmarkStart w:id="558" w:name="_Toc135090225"/>
      <w:bookmarkStart w:id="559" w:name="_Toc216620537"/>
      <w:bookmarkStart w:id="560" w:name="_Toc66194193"/>
      <w:r>
        <w:rPr>
          <w:color w:val="000000" w:themeColor="text1"/>
          <w14:textFill>
            <w14:solidFill>
              <w14:schemeClr w14:val="tx1"/>
            </w14:solidFill>
          </w14:textFill>
        </w:rPr>
        <w:t>养殖区</w:t>
      </w:r>
      <w:bookmarkEnd w:id="555"/>
      <w:bookmarkEnd w:id="556"/>
      <w:bookmarkEnd w:id="557"/>
      <w:bookmarkEnd w:id="558"/>
      <w:bookmarkEnd w:id="559"/>
      <w:bookmarkEnd w:id="560"/>
    </w:p>
    <w:p w14:paraId="143231B8">
      <w:pPr>
        <w:ind w:firstLine="480"/>
        <w:rPr>
          <w:color w:val="000000" w:themeColor="text1"/>
          <w14:textFill>
            <w14:solidFill>
              <w14:schemeClr w14:val="tx1"/>
            </w14:solidFill>
          </w14:textFill>
        </w:rPr>
      </w:pPr>
      <w:r>
        <w:rPr>
          <w:color w:val="000000" w:themeColor="text1"/>
          <w14:textFill>
            <w14:solidFill>
              <w14:schemeClr w14:val="tx1"/>
            </w14:solidFill>
          </w14:textFill>
        </w:rPr>
        <w:t>本项目评价范围内涉及《钦州市养殖水域滩涂规划（2019-2030）》中划定的钦州港青菜头南浅海滩涂养殖区。此外，根据现场调查结果，在本项目西面约3.6km外分布有较大面积的规模化蚝排养殖区，主要为沿线渔民集中养殖而形成的大面积养殖区域。</w:t>
      </w:r>
    </w:p>
    <w:p w14:paraId="0FED7EA8">
      <w:pPr>
        <w:pStyle w:val="7"/>
        <w:rPr>
          <w:color w:val="000000" w:themeColor="text1"/>
          <w14:textFill>
            <w14:solidFill>
              <w14:schemeClr w14:val="tx1"/>
            </w14:solidFill>
          </w14:textFill>
        </w:rPr>
      </w:pPr>
      <w:r>
        <w:rPr>
          <w:color w:val="000000" w:themeColor="text1"/>
          <w14:textFill>
            <w14:solidFill>
              <w14:schemeClr w14:val="tx1"/>
            </w14:solidFill>
          </w14:textFill>
        </w:rPr>
        <w:t>项目周边养殖区划分情况及与项目位置关系一览表</w:t>
      </w:r>
    </w:p>
    <w:tbl>
      <w:tblPr>
        <w:tblStyle w:val="43"/>
        <w:tblW w:w="8946" w:type="dxa"/>
        <w:tblInd w:w="0" w:type="dxa"/>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Layout w:type="fixed"/>
        <w:tblCellMar>
          <w:top w:w="0" w:type="dxa"/>
          <w:left w:w="108" w:type="dxa"/>
          <w:bottom w:w="0" w:type="dxa"/>
          <w:right w:w="108" w:type="dxa"/>
        </w:tblCellMar>
      </w:tblPr>
      <w:tblGrid>
        <w:gridCol w:w="772"/>
        <w:gridCol w:w="1290"/>
        <w:gridCol w:w="2460"/>
        <w:gridCol w:w="912"/>
        <w:gridCol w:w="2304"/>
        <w:gridCol w:w="1208"/>
      </w:tblGrid>
      <w:tr w14:paraId="068C436A">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255" w:hRule="atLeast"/>
          <w:tblHeader/>
        </w:trPr>
        <w:tc>
          <w:tcPr>
            <w:tcW w:w="772" w:type="dxa"/>
            <w:vAlign w:val="center"/>
          </w:tcPr>
          <w:p w14:paraId="24F9D1BC">
            <w:pPr>
              <w:spacing w:line="260" w:lineRule="exact"/>
              <w:ind w:firstLine="0" w:firstLineChars="0"/>
              <w:jc w:val="center"/>
              <w:rPr>
                <w:b/>
                <w:bCs/>
                <w:snapToGrid w:val="0"/>
                <w:color w:val="000000" w:themeColor="text1"/>
                <w:sz w:val="21"/>
                <w:szCs w:val="21"/>
                <w14:textFill>
                  <w14:solidFill>
                    <w14:schemeClr w14:val="tx1"/>
                  </w14:solidFill>
                </w14:textFill>
              </w:rPr>
            </w:pPr>
            <w:r>
              <w:rPr>
                <w:b/>
                <w:bCs/>
                <w:snapToGrid w:val="0"/>
                <w:color w:val="000000" w:themeColor="text1"/>
                <w:sz w:val="21"/>
                <w:szCs w:val="21"/>
                <w14:textFill>
                  <w14:solidFill>
                    <w14:schemeClr w14:val="tx1"/>
                  </w14:solidFill>
                </w14:textFill>
              </w:rPr>
              <w:t>代码</w:t>
            </w:r>
          </w:p>
        </w:tc>
        <w:tc>
          <w:tcPr>
            <w:tcW w:w="1290" w:type="dxa"/>
            <w:vAlign w:val="center"/>
          </w:tcPr>
          <w:p w14:paraId="776DFA64">
            <w:pPr>
              <w:spacing w:line="260" w:lineRule="exact"/>
              <w:ind w:firstLine="0" w:firstLineChars="0"/>
              <w:jc w:val="center"/>
              <w:rPr>
                <w:b/>
                <w:bCs/>
                <w:snapToGrid w:val="0"/>
                <w:color w:val="000000" w:themeColor="text1"/>
                <w:sz w:val="21"/>
                <w:szCs w:val="21"/>
                <w14:textFill>
                  <w14:solidFill>
                    <w14:schemeClr w14:val="tx1"/>
                  </w14:solidFill>
                </w14:textFill>
              </w:rPr>
            </w:pPr>
            <w:r>
              <w:rPr>
                <w:b/>
                <w:bCs/>
                <w:snapToGrid w:val="0"/>
                <w:color w:val="000000" w:themeColor="text1"/>
                <w:sz w:val="21"/>
                <w:szCs w:val="21"/>
                <w14:textFill>
                  <w14:solidFill>
                    <w14:schemeClr w14:val="tx1"/>
                  </w14:solidFill>
                </w14:textFill>
              </w:rPr>
              <w:t>功能区名称</w:t>
            </w:r>
          </w:p>
        </w:tc>
        <w:tc>
          <w:tcPr>
            <w:tcW w:w="2460" w:type="dxa"/>
            <w:vAlign w:val="center"/>
          </w:tcPr>
          <w:p w14:paraId="5C461468">
            <w:pPr>
              <w:spacing w:line="260" w:lineRule="exact"/>
              <w:ind w:firstLine="0" w:firstLineChars="0"/>
              <w:jc w:val="center"/>
              <w:rPr>
                <w:b/>
                <w:bCs/>
                <w:snapToGrid w:val="0"/>
                <w:color w:val="000000" w:themeColor="text1"/>
                <w:sz w:val="21"/>
                <w:szCs w:val="21"/>
                <w14:textFill>
                  <w14:solidFill>
                    <w14:schemeClr w14:val="tx1"/>
                  </w14:solidFill>
                </w14:textFill>
              </w:rPr>
            </w:pPr>
            <w:r>
              <w:rPr>
                <w:b/>
                <w:bCs/>
                <w:snapToGrid w:val="0"/>
                <w:color w:val="000000" w:themeColor="text1"/>
                <w:sz w:val="21"/>
                <w:szCs w:val="21"/>
                <w14:textFill>
                  <w14:solidFill>
                    <w14:schemeClr w14:val="tx1"/>
                  </w14:solidFill>
                </w14:textFill>
              </w:rPr>
              <w:t>地理范围</w:t>
            </w:r>
          </w:p>
        </w:tc>
        <w:tc>
          <w:tcPr>
            <w:tcW w:w="912" w:type="dxa"/>
            <w:vAlign w:val="center"/>
          </w:tcPr>
          <w:p w14:paraId="76BEBAC7">
            <w:pPr>
              <w:spacing w:line="260" w:lineRule="exact"/>
              <w:ind w:firstLine="0" w:firstLineChars="0"/>
              <w:jc w:val="center"/>
              <w:rPr>
                <w:b/>
                <w:bCs/>
                <w:snapToGrid w:val="0"/>
                <w:color w:val="000000" w:themeColor="text1"/>
                <w:sz w:val="21"/>
                <w:szCs w:val="21"/>
                <w14:textFill>
                  <w14:solidFill>
                    <w14:schemeClr w14:val="tx1"/>
                  </w14:solidFill>
                </w14:textFill>
              </w:rPr>
            </w:pPr>
            <w:r>
              <w:rPr>
                <w:b/>
                <w:bCs/>
                <w:snapToGrid w:val="0"/>
                <w:color w:val="000000" w:themeColor="text1"/>
                <w:sz w:val="21"/>
                <w:szCs w:val="21"/>
                <w14:textFill>
                  <w14:solidFill>
                    <w14:schemeClr w14:val="tx1"/>
                  </w14:solidFill>
                </w14:textFill>
              </w:rPr>
              <w:t>面积</w:t>
            </w:r>
          </w:p>
          <w:p w14:paraId="208A7A0C">
            <w:pPr>
              <w:spacing w:line="260" w:lineRule="exact"/>
              <w:ind w:firstLine="0" w:firstLineChars="0"/>
              <w:jc w:val="center"/>
              <w:rPr>
                <w:b/>
                <w:bCs/>
                <w:snapToGrid w:val="0"/>
                <w:color w:val="000000" w:themeColor="text1"/>
                <w:sz w:val="21"/>
                <w:szCs w:val="21"/>
                <w14:textFill>
                  <w14:solidFill>
                    <w14:schemeClr w14:val="tx1"/>
                  </w14:solidFill>
                </w14:textFill>
              </w:rPr>
            </w:pPr>
            <w:r>
              <w:rPr>
                <w:b/>
                <w:bCs/>
                <w:snapToGrid w:val="0"/>
                <w:color w:val="000000" w:themeColor="text1"/>
                <w:sz w:val="21"/>
                <w:szCs w:val="21"/>
                <w14:textFill>
                  <w14:solidFill>
                    <w14:schemeClr w14:val="tx1"/>
                  </w14:solidFill>
                </w14:textFill>
              </w:rPr>
              <w:t>(公顷)</w:t>
            </w:r>
          </w:p>
        </w:tc>
        <w:tc>
          <w:tcPr>
            <w:tcW w:w="2304" w:type="dxa"/>
            <w:vAlign w:val="center"/>
          </w:tcPr>
          <w:p w14:paraId="006BF95F">
            <w:pPr>
              <w:spacing w:line="260" w:lineRule="exact"/>
              <w:ind w:firstLine="0" w:firstLineChars="0"/>
              <w:jc w:val="center"/>
              <w:rPr>
                <w:b/>
                <w:bCs/>
                <w:snapToGrid w:val="0"/>
                <w:color w:val="000000" w:themeColor="text1"/>
                <w:sz w:val="21"/>
                <w:szCs w:val="21"/>
                <w14:textFill>
                  <w14:solidFill>
                    <w14:schemeClr w14:val="tx1"/>
                  </w14:solidFill>
                </w14:textFill>
              </w:rPr>
            </w:pPr>
            <w:r>
              <w:rPr>
                <w:b/>
                <w:bCs/>
                <w:snapToGrid w:val="0"/>
                <w:color w:val="000000" w:themeColor="text1"/>
                <w:sz w:val="21"/>
                <w:szCs w:val="21"/>
                <w14:textFill>
                  <w14:solidFill>
                    <w14:schemeClr w14:val="tx1"/>
                  </w14:solidFill>
                </w14:textFill>
              </w:rPr>
              <w:t>管理要求</w:t>
            </w:r>
          </w:p>
        </w:tc>
        <w:tc>
          <w:tcPr>
            <w:tcW w:w="1208" w:type="dxa"/>
            <w:vAlign w:val="center"/>
          </w:tcPr>
          <w:p w14:paraId="6FEBE956">
            <w:pPr>
              <w:spacing w:line="260" w:lineRule="exact"/>
              <w:ind w:firstLine="0" w:firstLineChars="0"/>
              <w:jc w:val="center"/>
              <w:rPr>
                <w:b/>
                <w:bCs/>
                <w:snapToGrid w:val="0"/>
                <w:color w:val="000000" w:themeColor="text1"/>
                <w:sz w:val="21"/>
                <w:szCs w:val="21"/>
                <w14:textFill>
                  <w14:solidFill>
                    <w14:schemeClr w14:val="tx1"/>
                  </w14:solidFill>
                </w14:textFill>
              </w:rPr>
            </w:pPr>
            <w:r>
              <w:rPr>
                <w:b/>
                <w:bCs/>
                <w:snapToGrid w:val="0"/>
                <w:color w:val="000000" w:themeColor="text1"/>
                <w:sz w:val="21"/>
                <w:szCs w:val="21"/>
                <w14:textFill>
                  <w14:solidFill>
                    <w14:schemeClr w14:val="tx1"/>
                  </w14:solidFill>
                </w14:textFill>
              </w:rPr>
              <w:t>与项目位置关系</w:t>
            </w:r>
          </w:p>
        </w:tc>
      </w:tr>
      <w:tr w14:paraId="15C7900F">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569" w:hRule="atLeast"/>
        </w:trPr>
        <w:tc>
          <w:tcPr>
            <w:tcW w:w="772" w:type="dxa"/>
            <w:vAlign w:val="center"/>
          </w:tcPr>
          <w:p w14:paraId="479F94BA">
            <w:pPr>
              <w:spacing w:line="260" w:lineRule="exact"/>
              <w:ind w:firstLine="0" w:firstLineChars="0"/>
              <w:jc w:val="center"/>
              <w:rPr>
                <w:snapToGrid w:val="0"/>
                <w:color w:val="000000" w:themeColor="text1"/>
                <w:sz w:val="21"/>
                <w:szCs w:val="21"/>
                <w14:textFill>
                  <w14:solidFill>
                    <w14:schemeClr w14:val="tx1"/>
                  </w14:solidFill>
                </w14:textFill>
              </w:rPr>
            </w:pPr>
            <w:r>
              <w:rPr>
                <w:snapToGrid w:val="0"/>
                <w:color w:val="000000" w:themeColor="text1"/>
                <w:sz w:val="21"/>
                <w:szCs w:val="21"/>
                <w14:textFill>
                  <w14:solidFill>
                    <w14:schemeClr w14:val="tx1"/>
                  </w14:solidFill>
                </w14:textFill>
              </w:rPr>
              <w:t>3.1.1-3</w:t>
            </w:r>
          </w:p>
        </w:tc>
        <w:tc>
          <w:tcPr>
            <w:tcW w:w="1290" w:type="dxa"/>
            <w:vAlign w:val="center"/>
          </w:tcPr>
          <w:p w14:paraId="784D0614">
            <w:pPr>
              <w:spacing w:line="26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钦州港青菜头南</w:t>
            </w:r>
            <w:r>
              <w:rPr>
                <w:color w:val="000000" w:themeColor="text1"/>
                <w:spacing w:val="-95"/>
                <w:sz w:val="21"/>
                <w:szCs w:val="21"/>
                <w14:textFill>
                  <w14:solidFill>
                    <w14:schemeClr w14:val="tx1"/>
                  </w14:solidFill>
                </w14:textFill>
              </w:rPr>
              <w:t xml:space="preserve"> </w:t>
            </w:r>
            <w:r>
              <w:rPr>
                <w:color w:val="000000" w:themeColor="text1"/>
                <w:sz w:val="21"/>
                <w:szCs w:val="21"/>
                <w14:textFill>
                  <w14:solidFill>
                    <w14:schemeClr w14:val="tx1"/>
                  </w14:solidFill>
                </w14:textFill>
              </w:rPr>
              <w:t>浅海滩涂养殖区</w:t>
            </w:r>
          </w:p>
        </w:tc>
        <w:tc>
          <w:tcPr>
            <w:tcW w:w="2460" w:type="dxa"/>
            <w:vAlign w:val="center"/>
          </w:tcPr>
          <w:p w14:paraId="393B1C48">
            <w:pPr>
              <w:spacing w:line="26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西航道以东，传统中航道以西，北至青菜头，南至伞沙尾海域</w:t>
            </w:r>
          </w:p>
          <w:p w14:paraId="6182B5AF">
            <w:pPr>
              <w:spacing w:line="26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r>
              <w:rPr>
                <w:rFonts w:eastAsia="Times New Roman"/>
                <w:color w:val="000000" w:themeColor="text1"/>
                <w:sz w:val="21"/>
                <w:szCs w:val="21"/>
                <w14:textFill>
                  <w14:solidFill>
                    <w14:schemeClr w14:val="tx1"/>
                  </w14:solidFill>
                </w14:textFill>
              </w:rPr>
              <w:t>108°35′24″</w:t>
            </w:r>
            <w:r>
              <w:rPr>
                <w:color w:val="000000" w:themeColor="text1"/>
                <w:sz w:val="21"/>
                <w:szCs w:val="21"/>
                <w14:textFill>
                  <w14:solidFill>
                    <w14:schemeClr w14:val="tx1"/>
                  </w14:solidFill>
                </w14:textFill>
              </w:rPr>
              <w:t>；</w:t>
            </w:r>
            <w:r>
              <w:rPr>
                <w:rFonts w:eastAsia="Times New Roman"/>
                <w:color w:val="000000" w:themeColor="text1"/>
                <w:sz w:val="21"/>
                <w:szCs w:val="21"/>
                <w14:textFill>
                  <w14:solidFill>
                    <w14:schemeClr w14:val="tx1"/>
                  </w14:solidFill>
                </w14:textFill>
              </w:rPr>
              <w:t>108°37′56″</w:t>
            </w:r>
            <w:r>
              <w:rPr>
                <w:color w:val="000000" w:themeColor="text1"/>
                <w:sz w:val="21"/>
                <w:szCs w:val="21"/>
                <w14:textFill>
                  <w14:solidFill>
                    <w14:schemeClr w14:val="tx1"/>
                  </w14:solidFill>
                </w14:textFill>
              </w:rPr>
              <w:t>；</w:t>
            </w:r>
            <w:r>
              <w:rPr>
                <w:rFonts w:eastAsia="Times New Roman"/>
                <w:color w:val="000000" w:themeColor="text1"/>
                <w:sz w:val="21"/>
                <w:szCs w:val="21"/>
                <w14:textFill>
                  <w14:solidFill>
                    <w14:schemeClr w14:val="tx1"/>
                  </w14:solidFill>
                </w14:textFill>
              </w:rPr>
              <w:t>21°34′09″</w:t>
            </w:r>
            <w:r>
              <w:rPr>
                <w:color w:val="000000" w:themeColor="text1"/>
                <w:sz w:val="21"/>
                <w:szCs w:val="21"/>
                <w14:textFill>
                  <w14:solidFill>
                    <w14:schemeClr w14:val="tx1"/>
                  </w14:solidFill>
                </w14:textFill>
              </w:rPr>
              <w:t>；</w:t>
            </w:r>
            <w:r>
              <w:rPr>
                <w:rFonts w:eastAsia="Times New Roman"/>
                <w:color w:val="000000" w:themeColor="text1"/>
                <w:sz w:val="21"/>
                <w:szCs w:val="21"/>
                <w14:textFill>
                  <w14:solidFill>
                    <w14:schemeClr w14:val="tx1"/>
                  </w14:solidFill>
                </w14:textFill>
              </w:rPr>
              <w:t>21°40′32″</w:t>
            </w:r>
            <w:r>
              <w:rPr>
                <w:color w:val="000000" w:themeColor="text1"/>
                <w:sz w:val="21"/>
                <w:szCs w:val="21"/>
                <w14:textFill>
                  <w14:solidFill>
                    <w14:schemeClr w14:val="tx1"/>
                  </w14:solidFill>
                </w14:textFill>
              </w:rPr>
              <w:t>）</w:t>
            </w:r>
          </w:p>
        </w:tc>
        <w:tc>
          <w:tcPr>
            <w:tcW w:w="912" w:type="dxa"/>
            <w:vAlign w:val="center"/>
          </w:tcPr>
          <w:p w14:paraId="2494765E">
            <w:pPr>
              <w:spacing w:line="260" w:lineRule="exact"/>
              <w:ind w:firstLine="0" w:firstLineChars="0"/>
              <w:jc w:val="center"/>
              <w:rPr>
                <w:rFonts w:eastAsia="Times New Roman"/>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3649</w:t>
            </w:r>
          </w:p>
        </w:tc>
        <w:tc>
          <w:tcPr>
            <w:tcW w:w="2304" w:type="dxa"/>
            <w:vAlign w:val="center"/>
          </w:tcPr>
          <w:p w14:paraId="6F466A6A">
            <w:pPr>
              <w:spacing w:line="260" w:lineRule="exact"/>
              <w:ind w:firstLine="0" w:firstLineChars="0"/>
              <w:jc w:val="center"/>
              <w:rPr>
                <w:color w:val="000000" w:themeColor="text1"/>
                <w:sz w:val="21"/>
                <w:szCs w:val="21"/>
                <w14:textFill>
                  <w14:solidFill>
                    <w14:schemeClr w14:val="tx1"/>
                  </w14:solidFill>
                </w14:textFill>
              </w:rPr>
            </w:pPr>
            <w:r>
              <w:rPr>
                <w:color w:val="000000" w:themeColor="text1"/>
                <w:spacing w:val="2"/>
                <w:sz w:val="21"/>
                <w:szCs w:val="21"/>
                <w14:textFill>
                  <w14:solidFill>
                    <w14:schemeClr w14:val="tx1"/>
                  </w14:solidFill>
                </w14:textFill>
              </w:rPr>
              <w:t>贝类（大蚝）浮筏吊养殖。海水水质执</w:t>
            </w:r>
            <w:r>
              <w:rPr>
                <w:color w:val="000000" w:themeColor="text1"/>
                <w:spacing w:val="-71"/>
                <w:sz w:val="21"/>
                <w:szCs w:val="21"/>
                <w14:textFill>
                  <w14:solidFill>
                    <w14:schemeClr w14:val="tx1"/>
                  </w14:solidFill>
                </w14:textFill>
              </w:rPr>
              <w:t xml:space="preserve"> </w:t>
            </w:r>
            <w:r>
              <w:rPr>
                <w:color w:val="000000" w:themeColor="text1"/>
                <w:spacing w:val="2"/>
                <w:sz w:val="21"/>
                <w:szCs w:val="21"/>
                <w14:textFill>
                  <w14:solidFill>
                    <w14:schemeClr w14:val="tx1"/>
                  </w14:solidFill>
                </w14:textFill>
              </w:rPr>
              <w:t>行不劣于二类标准，海洋沉积物和海洋</w:t>
            </w:r>
            <w:r>
              <w:rPr>
                <w:color w:val="000000" w:themeColor="text1"/>
                <w:spacing w:val="-70"/>
                <w:sz w:val="21"/>
                <w:szCs w:val="21"/>
                <w14:textFill>
                  <w14:solidFill>
                    <w14:schemeClr w14:val="tx1"/>
                  </w14:solidFill>
                </w14:textFill>
              </w:rPr>
              <w:t xml:space="preserve"> </w:t>
            </w:r>
            <w:r>
              <w:rPr>
                <w:color w:val="000000" w:themeColor="text1"/>
                <w:sz w:val="21"/>
                <w:szCs w:val="21"/>
                <w14:textFill>
                  <w14:solidFill>
                    <w14:schemeClr w14:val="tx1"/>
                  </w14:solidFill>
                </w14:textFill>
              </w:rPr>
              <w:t>生物执行一类标准。</w:t>
            </w:r>
          </w:p>
        </w:tc>
        <w:tc>
          <w:tcPr>
            <w:tcW w:w="1208" w:type="dxa"/>
            <w:vAlign w:val="center"/>
          </w:tcPr>
          <w:p w14:paraId="5653D4BF">
            <w:pPr>
              <w:spacing w:line="260" w:lineRule="exact"/>
              <w:ind w:firstLine="0" w:firstLineChars="0"/>
              <w:jc w:val="center"/>
              <w:rPr>
                <w:snapToGrid w:val="0"/>
                <w:color w:val="000000" w:themeColor="text1"/>
                <w:sz w:val="21"/>
                <w:szCs w:val="21"/>
                <w14:textFill>
                  <w14:solidFill>
                    <w14:schemeClr w14:val="tx1"/>
                  </w14:solidFill>
                </w14:textFill>
              </w:rPr>
            </w:pPr>
            <w:r>
              <w:rPr>
                <w:snapToGrid w:val="0"/>
                <w:color w:val="000000" w:themeColor="text1"/>
                <w:sz w:val="21"/>
                <w:szCs w:val="21"/>
                <w14:textFill>
                  <w14:solidFill>
                    <w14:schemeClr w14:val="tx1"/>
                  </w14:solidFill>
                </w14:textFill>
              </w:rPr>
              <w:t>S,5.9km</w:t>
            </w:r>
          </w:p>
        </w:tc>
      </w:tr>
      <w:tr w14:paraId="0466A818">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569" w:hRule="atLeast"/>
        </w:trPr>
        <w:tc>
          <w:tcPr>
            <w:tcW w:w="772" w:type="dxa"/>
            <w:vAlign w:val="center"/>
          </w:tcPr>
          <w:p w14:paraId="35E6E07C">
            <w:pPr>
              <w:spacing w:line="260" w:lineRule="exact"/>
              <w:ind w:firstLine="0" w:firstLineChars="0"/>
              <w:jc w:val="center"/>
              <w:rPr>
                <w:snapToGrid w:val="0"/>
                <w:color w:val="000000" w:themeColor="text1"/>
                <w:sz w:val="21"/>
                <w:szCs w:val="21"/>
                <w14:textFill>
                  <w14:solidFill>
                    <w14:schemeClr w14:val="tx1"/>
                  </w14:solidFill>
                </w14:textFill>
              </w:rPr>
            </w:pPr>
            <w:r>
              <w:rPr>
                <w:snapToGrid w:val="0"/>
                <w:color w:val="000000" w:themeColor="text1"/>
                <w:sz w:val="21"/>
                <w:szCs w:val="21"/>
                <w14:textFill>
                  <w14:solidFill>
                    <w14:schemeClr w14:val="tx1"/>
                  </w14:solidFill>
                </w14:textFill>
              </w:rPr>
              <w:t>/</w:t>
            </w:r>
          </w:p>
        </w:tc>
        <w:tc>
          <w:tcPr>
            <w:tcW w:w="1290" w:type="dxa"/>
            <w:vAlign w:val="center"/>
          </w:tcPr>
          <w:p w14:paraId="03042F65">
            <w:pPr>
              <w:spacing w:line="26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2460" w:type="dxa"/>
            <w:vAlign w:val="center"/>
          </w:tcPr>
          <w:p w14:paraId="1F398FD3">
            <w:pPr>
              <w:spacing w:line="26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茅尾海湾口海域</w:t>
            </w:r>
          </w:p>
        </w:tc>
        <w:tc>
          <w:tcPr>
            <w:tcW w:w="912" w:type="dxa"/>
            <w:vAlign w:val="center"/>
          </w:tcPr>
          <w:p w14:paraId="00989D3D">
            <w:pPr>
              <w:spacing w:line="26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2304" w:type="dxa"/>
            <w:vAlign w:val="center"/>
          </w:tcPr>
          <w:p w14:paraId="15752D03">
            <w:pPr>
              <w:spacing w:line="260" w:lineRule="exact"/>
              <w:ind w:firstLine="0" w:firstLineChars="0"/>
              <w:jc w:val="center"/>
              <w:rPr>
                <w:color w:val="000000" w:themeColor="text1"/>
                <w:spacing w:val="2"/>
                <w:sz w:val="21"/>
                <w:szCs w:val="21"/>
                <w14:textFill>
                  <w14:solidFill>
                    <w14:schemeClr w14:val="tx1"/>
                  </w14:solidFill>
                </w14:textFill>
              </w:rPr>
            </w:pPr>
            <w:r>
              <w:rPr>
                <w:color w:val="000000" w:themeColor="text1"/>
                <w:spacing w:val="2"/>
                <w:sz w:val="21"/>
                <w:szCs w:val="21"/>
                <w14:textFill>
                  <w14:solidFill>
                    <w14:schemeClr w14:val="tx1"/>
                  </w14:solidFill>
                </w14:textFill>
              </w:rPr>
              <w:t>主要位于茅尾海渔业用海区，海水水质执</w:t>
            </w:r>
            <w:r>
              <w:rPr>
                <w:color w:val="000000" w:themeColor="text1"/>
                <w:spacing w:val="-71"/>
                <w:sz w:val="21"/>
                <w:szCs w:val="21"/>
                <w14:textFill>
                  <w14:solidFill>
                    <w14:schemeClr w14:val="tx1"/>
                  </w14:solidFill>
                </w14:textFill>
              </w:rPr>
              <w:t xml:space="preserve"> </w:t>
            </w:r>
            <w:r>
              <w:rPr>
                <w:color w:val="000000" w:themeColor="text1"/>
                <w:spacing w:val="2"/>
                <w:sz w:val="21"/>
                <w:szCs w:val="21"/>
                <w14:textFill>
                  <w14:solidFill>
                    <w14:schemeClr w14:val="tx1"/>
                  </w14:solidFill>
                </w14:textFill>
              </w:rPr>
              <w:t>行不劣于二类标准，海洋沉积物和海洋</w:t>
            </w:r>
            <w:r>
              <w:rPr>
                <w:color w:val="000000" w:themeColor="text1"/>
                <w:spacing w:val="-70"/>
                <w:sz w:val="21"/>
                <w:szCs w:val="21"/>
                <w14:textFill>
                  <w14:solidFill>
                    <w14:schemeClr w14:val="tx1"/>
                  </w14:solidFill>
                </w14:textFill>
              </w:rPr>
              <w:t xml:space="preserve"> </w:t>
            </w:r>
            <w:r>
              <w:rPr>
                <w:color w:val="000000" w:themeColor="text1"/>
                <w:sz w:val="21"/>
                <w:szCs w:val="21"/>
                <w14:textFill>
                  <w14:solidFill>
                    <w14:schemeClr w14:val="tx1"/>
                  </w14:solidFill>
                </w14:textFill>
              </w:rPr>
              <w:t>生物执行一类标准。</w:t>
            </w:r>
          </w:p>
        </w:tc>
        <w:tc>
          <w:tcPr>
            <w:tcW w:w="1208" w:type="dxa"/>
            <w:vAlign w:val="center"/>
          </w:tcPr>
          <w:p w14:paraId="44787581">
            <w:pPr>
              <w:spacing w:line="260" w:lineRule="exact"/>
              <w:ind w:firstLine="0" w:firstLineChars="0"/>
              <w:jc w:val="center"/>
              <w:rPr>
                <w:snapToGrid w:val="0"/>
                <w:color w:val="000000" w:themeColor="text1"/>
                <w:sz w:val="21"/>
                <w:szCs w:val="21"/>
                <w14:textFill>
                  <w14:solidFill>
                    <w14:schemeClr w14:val="tx1"/>
                  </w14:solidFill>
                </w14:textFill>
              </w:rPr>
            </w:pPr>
            <w:r>
              <w:rPr>
                <w:snapToGrid w:val="0"/>
                <w:color w:val="000000" w:themeColor="text1"/>
                <w:sz w:val="21"/>
                <w:szCs w:val="21"/>
                <w:u w:val="single"/>
                <w14:textFill>
                  <w14:solidFill>
                    <w14:schemeClr w14:val="tx1"/>
                  </w14:solidFill>
                </w14:textFill>
              </w:rPr>
              <w:t>W</w:t>
            </w:r>
            <w:r>
              <w:rPr>
                <w:snapToGrid w:val="0"/>
                <w:color w:val="000000" w:themeColor="text1"/>
                <w:sz w:val="21"/>
                <w:szCs w:val="21"/>
                <w14:textFill>
                  <w14:solidFill>
                    <w14:schemeClr w14:val="tx1"/>
                  </w14:solidFill>
                </w14:textFill>
              </w:rPr>
              <w:t>，3.6km</w:t>
            </w:r>
          </w:p>
        </w:tc>
      </w:tr>
    </w:tbl>
    <w:p w14:paraId="359F5B8E">
      <w:pPr>
        <w:pStyle w:val="4"/>
        <w:rPr>
          <w:color w:val="000000" w:themeColor="text1"/>
          <w14:textFill>
            <w14:solidFill>
              <w14:schemeClr w14:val="tx1"/>
            </w14:solidFill>
          </w14:textFill>
        </w:rPr>
      </w:pPr>
      <w:bookmarkStart w:id="561" w:name="_Toc135090226"/>
      <w:bookmarkStart w:id="562" w:name="_Toc216103379"/>
      <w:bookmarkStart w:id="563" w:name="_Toc66194194"/>
      <w:bookmarkStart w:id="564" w:name="_Toc216620538"/>
      <w:bookmarkStart w:id="565" w:name="_Toc136878474"/>
      <w:bookmarkStart w:id="566" w:name="_Toc66193995"/>
      <w:r>
        <w:rPr>
          <w:color w:val="000000" w:themeColor="text1"/>
          <w14:textFill>
            <w14:solidFill>
              <w14:schemeClr w14:val="tx1"/>
            </w14:solidFill>
          </w14:textFill>
        </w:rPr>
        <w:t>红树林</w:t>
      </w:r>
      <w:bookmarkEnd w:id="561"/>
      <w:bookmarkEnd w:id="562"/>
      <w:bookmarkEnd w:id="563"/>
      <w:bookmarkEnd w:id="564"/>
      <w:bookmarkEnd w:id="565"/>
      <w:bookmarkEnd w:id="566"/>
    </w:p>
    <w:p w14:paraId="0A1E2E5F">
      <w:pPr>
        <w:ind w:firstLine="480"/>
        <w:rPr>
          <w:color w:val="000000" w:themeColor="text1"/>
          <w14:textFill>
            <w14:solidFill>
              <w14:schemeClr w14:val="tx1"/>
            </w14:solidFill>
          </w14:textFill>
        </w:rPr>
      </w:pPr>
      <w:r>
        <w:rPr>
          <w:color w:val="000000" w:themeColor="text1"/>
          <w14:textFill>
            <w14:solidFill>
              <w14:schemeClr w14:val="tx1"/>
            </w14:solidFill>
          </w14:textFill>
        </w:rPr>
        <w:t>红树林是位于热带、亚热带海陆交错带的常绿阔叶林，是河口海岸生态系统中最重要的初级生产者。广西红树林海岸是广西海岸中重要的生物海岸类型，在全国也占有重要的位置，其基本特征是在潮间带上部生长着称为红树林的耐盐常绿乔木或灌木。</w:t>
      </w:r>
    </w:p>
    <w:p w14:paraId="41850D55">
      <w:pPr>
        <w:ind w:firstLine="480"/>
        <w:rPr>
          <w:color w:val="000000" w:themeColor="text1"/>
          <w14:textFill>
            <w14:solidFill>
              <w14:schemeClr w14:val="tx1"/>
            </w14:solidFill>
          </w14:textFill>
        </w:rPr>
      </w:pPr>
    </w:p>
    <w:p w14:paraId="18AD7AD4">
      <w:pPr>
        <w:ind w:firstLine="482"/>
        <w:rPr>
          <w:b/>
          <w:bCs/>
          <w:color w:val="000000" w:themeColor="text1"/>
          <w14:textFill>
            <w14:solidFill>
              <w14:schemeClr w14:val="tx1"/>
            </w14:solidFill>
          </w14:textFill>
        </w:rPr>
      </w:pPr>
      <w:r>
        <w:rPr>
          <w:b/>
          <w:bCs/>
          <w:color w:val="000000" w:themeColor="text1"/>
          <w14:textFill>
            <w14:solidFill>
              <w14:schemeClr w14:val="tx1"/>
            </w14:solidFill>
          </w14:textFill>
        </w:rPr>
        <w:t>1、钦州海岸带红树林分布状况调查</w:t>
      </w:r>
    </w:p>
    <w:p w14:paraId="3EB48433">
      <w:pPr>
        <w:ind w:firstLine="480"/>
        <w:rPr>
          <w:color w:val="000000" w:themeColor="text1"/>
          <w14:textFill>
            <w14:solidFill>
              <w14:schemeClr w14:val="tx1"/>
            </w14:solidFill>
          </w14:textFill>
        </w:rPr>
      </w:pPr>
      <w:r>
        <w:rPr>
          <w:color w:val="000000" w:themeColor="text1"/>
          <w14:textFill>
            <w14:solidFill>
              <w14:schemeClr w14:val="tx1"/>
            </w14:solidFill>
          </w14:textFill>
        </w:rPr>
        <w:t>根据自治区林业局于2019年的调查结果，目前，钦州市红树林面积3078.74hm²，斑块1259个，占广西全区红树林面积（8309.19hm²）的37%，分布于茅尾海、七十二泾、金鼓江、钦州湾及大风江，全部属于钦南区。</w:t>
      </w:r>
    </w:p>
    <w:p w14:paraId="101AC45F">
      <w:pPr>
        <w:ind w:firstLine="480"/>
        <w:rPr>
          <w:color w:val="000000" w:themeColor="text1"/>
          <w14:textFill>
            <w14:solidFill>
              <w14:schemeClr w14:val="tx1"/>
            </w14:solidFill>
          </w14:textFill>
        </w:rPr>
      </w:pPr>
      <w:r>
        <w:rPr>
          <w:color w:val="000000" w:themeColor="text1"/>
          <w14:textFill>
            <w14:solidFill>
              <w14:schemeClr w14:val="tx1"/>
            </w14:solidFill>
          </w14:textFill>
        </w:rPr>
        <w:t>目前，钦州沿海大部分成片红树林已经划为保护区，钦州湾内以红树林生态系统为主要保护对象的自然保护区有1个，为广西茅尾海红树林自治区级自然保护区。</w:t>
      </w:r>
    </w:p>
    <w:p w14:paraId="28E9EA2F">
      <w:pPr>
        <w:ind w:firstLine="482"/>
        <w:rPr>
          <w:b/>
          <w:bCs/>
          <w:color w:val="000000" w:themeColor="text1"/>
          <w14:textFill>
            <w14:solidFill>
              <w14:schemeClr w14:val="tx1"/>
            </w14:solidFill>
          </w14:textFill>
        </w:rPr>
      </w:pPr>
      <w:r>
        <w:rPr>
          <w:b/>
          <w:bCs/>
          <w:color w:val="000000" w:themeColor="text1"/>
          <w14:textFill>
            <w14:solidFill>
              <w14:schemeClr w14:val="tx1"/>
            </w14:solidFill>
          </w14:textFill>
        </w:rPr>
        <w:t>2、钦州沿海红树林群落分布状况</w:t>
      </w:r>
    </w:p>
    <w:p w14:paraId="1AA3A1F0">
      <w:pPr>
        <w:ind w:firstLine="480"/>
        <w:rPr>
          <w:color w:val="000000" w:themeColor="text1"/>
          <w14:textFill>
            <w14:solidFill>
              <w14:schemeClr w14:val="tx1"/>
            </w14:solidFill>
          </w14:textFill>
        </w:rPr>
      </w:pPr>
      <w:r>
        <w:rPr>
          <w:color w:val="000000" w:themeColor="text1"/>
          <w14:textFill>
            <w14:solidFill>
              <w14:schemeClr w14:val="tx1"/>
            </w14:solidFill>
          </w14:textFill>
        </w:rPr>
        <w:t>广西沿海红树植物主要群系有木榄林、秋茄林、红海榄林、海漆林、桐花树林、白骨壤林。对钦州市沿海红树林群落分布类型、群系统计结果见下表。</w:t>
      </w:r>
    </w:p>
    <w:p w14:paraId="529BD4C5">
      <w:pPr>
        <w:pStyle w:val="7"/>
        <w:rPr>
          <w:color w:val="000000" w:themeColor="text1"/>
          <w14:textFill>
            <w14:solidFill>
              <w14:schemeClr w14:val="tx1"/>
            </w14:solidFill>
          </w14:textFill>
        </w:rPr>
      </w:pPr>
      <w:r>
        <w:rPr>
          <w:color w:val="000000" w:themeColor="text1"/>
          <w14:textFill>
            <w14:solidFill>
              <w14:schemeClr w14:val="tx1"/>
            </w14:solidFill>
          </w14:textFill>
        </w:rPr>
        <w:t>钦州近岸海域红树林群落分布一览表</w:t>
      </w:r>
    </w:p>
    <w:tbl>
      <w:tblPr>
        <w:tblStyle w:val="43"/>
        <w:tblW w:w="8845" w:type="dxa"/>
        <w:jc w:val="center"/>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Layout w:type="fixed"/>
        <w:tblCellMar>
          <w:top w:w="0" w:type="dxa"/>
          <w:left w:w="108" w:type="dxa"/>
          <w:bottom w:w="0" w:type="dxa"/>
          <w:right w:w="108" w:type="dxa"/>
        </w:tblCellMar>
      </w:tblPr>
      <w:tblGrid>
        <w:gridCol w:w="666"/>
        <w:gridCol w:w="1285"/>
        <w:gridCol w:w="1418"/>
        <w:gridCol w:w="1000"/>
        <w:gridCol w:w="1134"/>
        <w:gridCol w:w="1276"/>
        <w:gridCol w:w="1000"/>
        <w:gridCol w:w="1066"/>
      </w:tblGrid>
      <w:tr w14:paraId="47C32080">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jc w:val="center"/>
        </w:trPr>
        <w:tc>
          <w:tcPr>
            <w:tcW w:w="666" w:type="dxa"/>
            <w:vMerge w:val="restart"/>
            <w:vAlign w:val="center"/>
          </w:tcPr>
          <w:p w14:paraId="6755177B">
            <w:pPr>
              <w:adjustRightInd w:val="0"/>
              <w:snapToGrid w:val="0"/>
              <w:spacing w:line="260" w:lineRule="exact"/>
              <w:ind w:firstLine="0" w:firstLineChars="0"/>
              <w:jc w:val="center"/>
              <w:rPr>
                <w:b/>
                <w:bCs/>
                <w:snapToGrid w:val="0"/>
                <w:color w:val="000000" w:themeColor="text1"/>
                <w:kern w:val="0"/>
                <w:sz w:val="21"/>
                <w:szCs w:val="21"/>
                <w14:textFill>
                  <w14:solidFill>
                    <w14:schemeClr w14:val="tx1"/>
                  </w14:solidFill>
                </w14:textFill>
              </w:rPr>
            </w:pPr>
            <w:r>
              <w:rPr>
                <w:b/>
                <w:bCs/>
                <w:snapToGrid w:val="0"/>
                <w:color w:val="000000" w:themeColor="text1"/>
                <w:kern w:val="0"/>
                <w:sz w:val="21"/>
                <w:szCs w:val="21"/>
                <w14:textFill>
                  <w14:solidFill>
                    <w14:schemeClr w14:val="tx1"/>
                  </w14:solidFill>
                </w14:textFill>
              </w:rPr>
              <w:t>地市</w:t>
            </w:r>
          </w:p>
        </w:tc>
        <w:tc>
          <w:tcPr>
            <w:tcW w:w="1285" w:type="dxa"/>
            <w:vMerge w:val="restart"/>
            <w:vAlign w:val="center"/>
          </w:tcPr>
          <w:p w14:paraId="3A0DB925">
            <w:pPr>
              <w:adjustRightInd w:val="0"/>
              <w:snapToGrid w:val="0"/>
              <w:spacing w:line="260" w:lineRule="exact"/>
              <w:ind w:firstLine="0" w:firstLineChars="0"/>
              <w:jc w:val="center"/>
              <w:rPr>
                <w:b/>
                <w:bCs/>
                <w:snapToGrid w:val="0"/>
                <w:color w:val="000000" w:themeColor="text1"/>
                <w:kern w:val="0"/>
                <w:sz w:val="21"/>
                <w:szCs w:val="21"/>
                <w14:textFill>
                  <w14:solidFill>
                    <w14:schemeClr w14:val="tx1"/>
                  </w14:solidFill>
                </w14:textFill>
              </w:rPr>
            </w:pPr>
            <w:r>
              <w:rPr>
                <w:b/>
                <w:bCs/>
                <w:snapToGrid w:val="0"/>
                <w:color w:val="000000" w:themeColor="text1"/>
                <w:kern w:val="0"/>
                <w:sz w:val="21"/>
                <w:szCs w:val="21"/>
                <w14:textFill>
                  <w14:solidFill>
                    <w14:schemeClr w14:val="tx1"/>
                  </w14:solidFill>
                </w14:textFill>
              </w:rPr>
              <w:t>港湾区域</w:t>
            </w:r>
          </w:p>
        </w:tc>
        <w:tc>
          <w:tcPr>
            <w:tcW w:w="3552" w:type="dxa"/>
            <w:gridSpan w:val="3"/>
            <w:vAlign w:val="center"/>
          </w:tcPr>
          <w:p w14:paraId="4C7391D8">
            <w:pPr>
              <w:adjustRightInd w:val="0"/>
              <w:snapToGrid w:val="0"/>
              <w:spacing w:line="260" w:lineRule="exact"/>
              <w:ind w:firstLine="0" w:firstLineChars="0"/>
              <w:jc w:val="center"/>
              <w:rPr>
                <w:b/>
                <w:bCs/>
                <w:snapToGrid w:val="0"/>
                <w:color w:val="000000" w:themeColor="text1"/>
                <w:kern w:val="0"/>
                <w:sz w:val="21"/>
                <w:szCs w:val="21"/>
                <w14:textFill>
                  <w14:solidFill>
                    <w14:schemeClr w14:val="tx1"/>
                  </w14:solidFill>
                </w14:textFill>
              </w:rPr>
            </w:pPr>
            <w:r>
              <w:rPr>
                <w:b/>
                <w:bCs/>
                <w:snapToGrid w:val="0"/>
                <w:color w:val="000000" w:themeColor="text1"/>
                <w:kern w:val="0"/>
                <w:sz w:val="21"/>
                <w:szCs w:val="21"/>
                <w14:textFill>
                  <w14:solidFill>
                    <w14:schemeClr w14:val="tx1"/>
                  </w14:solidFill>
                </w14:textFill>
              </w:rPr>
              <w:t>主要群落类型</w:t>
            </w:r>
          </w:p>
        </w:tc>
        <w:tc>
          <w:tcPr>
            <w:tcW w:w="3342" w:type="dxa"/>
            <w:gridSpan w:val="3"/>
            <w:vAlign w:val="center"/>
          </w:tcPr>
          <w:p w14:paraId="6E34E20A">
            <w:pPr>
              <w:adjustRightInd w:val="0"/>
              <w:snapToGrid w:val="0"/>
              <w:spacing w:line="260" w:lineRule="exact"/>
              <w:ind w:firstLine="0" w:firstLineChars="0"/>
              <w:jc w:val="center"/>
              <w:rPr>
                <w:b/>
                <w:bCs/>
                <w:snapToGrid w:val="0"/>
                <w:color w:val="000000" w:themeColor="text1"/>
                <w:kern w:val="0"/>
                <w:sz w:val="21"/>
                <w:szCs w:val="21"/>
                <w14:textFill>
                  <w14:solidFill>
                    <w14:schemeClr w14:val="tx1"/>
                  </w14:solidFill>
                </w14:textFill>
              </w:rPr>
            </w:pPr>
            <w:r>
              <w:rPr>
                <w:b/>
                <w:bCs/>
                <w:snapToGrid w:val="0"/>
                <w:color w:val="000000" w:themeColor="text1"/>
                <w:kern w:val="0"/>
                <w:sz w:val="21"/>
                <w:szCs w:val="21"/>
                <w14:textFill>
                  <w14:solidFill>
                    <w14:schemeClr w14:val="tx1"/>
                  </w14:solidFill>
                </w14:textFill>
              </w:rPr>
              <w:t>主要群系</w:t>
            </w:r>
          </w:p>
        </w:tc>
      </w:tr>
      <w:tr w14:paraId="6F48CCA3">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jc w:val="center"/>
        </w:trPr>
        <w:tc>
          <w:tcPr>
            <w:tcW w:w="666" w:type="dxa"/>
            <w:vMerge w:val="continue"/>
            <w:vAlign w:val="center"/>
          </w:tcPr>
          <w:p w14:paraId="7CE53128">
            <w:pPr>
              <w:adjustRightInd w:val="0"/>
              <w:snapToGrid w:val="0"/>
              <w:spacing w:line="260" w:lineRule="exact"/>
              <w:ind w:firstLine="0" w:firstLineChars="0"/>
              <w:jc w:val="center"/>
              <w:rPr>
                <w:b/>
                <w:bCs/>
                <w:snapToGrid w:val="0"/>
                <w:color w:val="000000" w:themeColor="text1"/>
                <w:kern w:val="0"/>
                <w:sz w:val="21"/>
                <w:szCs w:val="21"/>
                <w14:textFill>
                  <w14:solidFill>
                    <w14:schemeClr w14:val="tx1"/>
                  </w14:solidFill>
                </w14:textFill>
              </w:rPr>
            </w:pPr>
          </w:p>
        </w:tc>
        <w:tc>
          <w:tcPr>
            <w:tcW w:w="1285" w:type="dxa"/>
            <w:vMerge w:val="continue"/>
            <w:vAlign w:val="center"/>
          </w:tcPr>
          <w:p w14:paraId="0027AC41">
            <w:pPr>
              <w:adjustRightInd w:val="0"/>
              <w:snapToGrid w:val="0"/>
              <w:spacing w:line="260" w:lineRule="exact"/>
              <w:ind w:firstLine="0" w:firstLineChars="0"/>
              <w:jc w:val="center"/>
              <w:rPr>
                <w:b/>
                <w:bCs/>
                <w:snapToGrid w:val="0"/>
                <w:color w:val="000000" w:themeColor="text1"/>
                <w:kern w:val="0"/>
                <w:sz w:val="21"/>
                <w:szCs w:val="21"/>
                <w14:textFill>
                  <w14:solidFill>
                    <w14:schemeClr w14:val="tx1"/>
                  </w14:solidFill>
                </w14:textFill>
              </w:rPr>
            </w:pPr>
          </w:p>
        </w:tc>
        <w:tc>
          <w:tcPr>
            <w:tcW w:w="1418" w:type="dxa"/>
            <w:vAlign w:val="center"/>
          </w:tcPr>
          <w:p w14:paraId="34105349">
            <w:pPr>
              <w:adjustRightInd w:val="0"/>
              <w:snapToGrid w:val="0"/>
              <w:spacing w:line="260" w:lineRule="exact"/>
              <w:ind w:firstLine="0" w:firstLineChars="0"/>
              <w:jc w:val="center"/>
              <w:rPr>
                <w:b/>
                <w:bCs/>
                <w:snapToGrid w:val="0"/>
                <w:color w:val="000000" w:themeColor="text1"/>
                <w:kern w:val="0"/>
                <w:sz w:val="21"/>
                <w:szCs w:val="21"/>
                <w14:textFill>
                  <w14:solidFill>
                    <w14:schemeClr w14:val="tx1"/>
                  </w14:solidFill>
                </w14:textFill>
              </w:rPr>
            </w:pPr>
            <w:r>
              <w:rPr>
                <w:b/>
                <w:bCs/>
                <w:snapToGrid w:val="0"/>
                <w:color w:val="000000" w:themeColor="text1"/>
                <w:kern w:val="0"/>
                <w:sz w:val="21"/>
                <w:szCs w:val="21"/>
                <w14:textFill>
                  <w14:solidFill>
                    <w14:schemeClr w14:val="tx1"/>
                  </w14:solidFill>
                </w14:textFill>
              </w:rPr>
              <w:t>群落类型</w:t>
            </w:r>
          </w:p>
        </w:tc>
        <w:tc>
          <w:tcPr>
            <w:tcW w:w="1000" w:type="dxa"/>
            <w:vAlign w:val="center"/>
          </w:tcPr>
          <w:p w14:paraId="59BF5A39">
            <w:pPr>
              <w:adjustRightInd w:val="0"/>
              <w:snapToGrid w:val="0"/>
              <w:spacing w:line="260" w:lineRule="exact"/>
              <w:ind w:firstLine="0" w:firstLineChars="0"/>
              <w:jc w:val="center"/>
              <w:rPr>
                <w:b/>
                <w:bCs/>
                <w:snapToGrid w:val="0"/>
                <w:color w:val="000000" w:themeColor="text1"/>
                <w:kern w:val="0"/>
                <w:sz w:val="21"/>
                <w:szCs w:val="21"/>
                <w14:textFill>
                  <w14:solidFill>
                    <w14:schemeClr w14:val="tx1"/>
                  </w14:solidFill>
                </w14:textFill>
              </w:rPr>
            </w:pPr>
            <w:r>
              <w:rPr>
                <w:b/>
                <w:bCs/>
                <w:snapToGrid w:val="0"/>
                <w:color w:val="000000" w:themeColor="text1"/>
                <w:kern w:val="0"/>
                <w:sz w:val="21"/>
                <w:szCs w:val="21"/>
                <w14:textFill>
                  <w14:solidFill>
                    <w14:schemeClr w14:val="tx1"/>
                  </w14:solidFill>
                </w14:textFill>
              </w:rPr>
              <w:t>面积（hm</w:t>
            </w:r>
            <w:r>
              <w:rPr>
                <w:b/>
                <w:bCs/>
                <w:snapToGrid w:val="0"/>
                <w:color w:val="000000" w:themeColor="text1"/>
                <w:kern w:val="0"/>
                <w:sz w:val="21"/>
                <w:szCs w:val="21"/>
                <w:vertAlign w:val="superscript"/>
                <w14:textFill>
                  <w14:solidFill>
                    <w14:schemeClr w14:val="tx1"/>
                  </w14:solidFill>
                </w14:textFill>
              </w:rPr>
              <w:t>2</w:t>
            </w:r>
            <w:r>
              <w:rPr>
                <w:b/>
                <w:bCs/>
                <w:snapToGrid w:val="0"/>
                <w:color w:val="000000" w:themeColor="text1"/>
                <w:kern w:val="0"/>
                <w:sz w:val="21"/>
                <w:szCs w:val="21"/>
                <w14:textFill>
                  <w14:solidFill>
                    <w14:schemeClr w14:val="tx1"/>
                  </w14:solidFill>
                </w14:textFill>
              </w:rPr>
              <w:t>）</w:t>
            </w:r>
          </w:p>
        </w:tc>
        <w:tc>
          <w:tcPr>
            <w:tcW w:w="1134" w:type="dxa"/>
            <w:vAlign w:val="center"/>
          </w:tcPr>
          <w:p w14:paraId="43D5B273">
            <w:pPr>
              <w:adjustRightInd w:val="0"/>
              <w:snapToGrid w:val="0"/>
              <w:spacing w:line="260" w:lineRule="exact"/>
              <w:ind w:firstLine="0" w:firstLineChars="0"/>
              <w:jc w:val="center"/>
              <w:rPr>
                <w:b/>
                <w:bCs/>
                <w:snapToGrid w:val="0"/>
                <w:color w:val="000000" w:themeColor="text1"/>
                <w:kern w:val="0"/>
                <w:sz w:val="21"/>
                <w:szCs w:val="21"/>
                <w14:textFill>
                  <w14:solidFill>
                    <w14:schemeClr w14:val="tx1"/>
                  </w14:solidFill>
                </w14:textFill>
              </w:rPr>
            </w:pPr>
            <w:r>
              <w:rPr>
                <w:b/>
                <w:bCs/>
                <w:snapToGrid w:val="0"/>
                <w:color w:val="000000" w:themeColor="text1"/>
                <w:kern w:val="0"/>
                <w:sz w:val="21"/>
                <w:szCs w:val="21"/>
                <w14:textFill>
                  <w14:solidFill>
                    <w14:schemeClr w14:val="tx1"/>
                  </w14:solidFill>
                </w14:textFill>
              </w:rPr>
              <w:t>占所在港湾红树林面积比例</w:t>
            </w:r>
          </w:p>
        </w:tc>
        <w:tc>
          <w:tcPr>
            <w:tcW w:w="1276" w:type="dxa"/>
            <w:vAlign w:val="center"/>
          </w:tcPr>
          <w:p w14:paraId="4A71D6EF">
            <w:pPr>
              <w:adjustRightInd w:val="0"/>
              <w:snapToGrid w:val="0"/>
              <w:spacing w:line="260" w:lineRule="exact"/>
              <w:ind w:firstLine="0" w:firstLineChars="0"/>
              <w:jc w:val="center"/>
              <w:rPr>
                <w:b/>
                <w:bCs/>
                <w:snapToGrid w:val="0"/>
                <w:color w:val="000000" w:themeColor="text1"/>
                <w:kern w:val="0"/>
                <w:sz w:val="21"/>
                <w:szCs w:val="21"/>
                <w14:textFill>
                  <w14:solidFill>
                    <w14:schemeClr w14:val="tx1"/>
                  </w14:solidFill>
                </w14:textFill>
              </w:rPr>
            </w:pPr>
            <w:r>
              <w:rPr>
                <w:b/>
                <w:bCs/>
                <w:snapToGrid w:val="0"/>
                <w:color w:val="000000" w:themeColor="text1"/>
                <w:kern w:val="0"/>
                <w:sz w:val="21"/>
                <w:szCs w:val="21"/>
                <w14:textFill>
                  <w14:solidFill>
                    <w14:schemeClr w14:val="tx1"/>
                  </w14:solidFill>
                </w14:textFill>
              </w:rPr>
              <w:t>群系类型</w:t>
            </w:r>
          </w:p>
        </w:tc>
        <w:tc>
          <w:tcPr>
            <w:tcW w:w="1000" w:type="dxa"/>
            <w:vAlign w:val="center"/>
          </w:tcPr>
          <w:p w14:paraId="034FB563">
            <w:pPr>
              <w:adjustRightInd w:val="0"/>
              <w:snapToGrid w:val="0"/>
              <w:spacing w:line="260" w:lineRule="exact"/>
              <w:ind w:firstLine="0" w:firstLineChars="0"/>
              <w:jc w:val="center"/>
              <w:rPr>
                <w:b/>
                <w:bCs/>
                <w:snapToGrid w:val="0"/>
                <w:color w:val="000000" w:themeColor="text1"/>
                <w:kern w:val="0"/>
                <w:sz w:val="21"/>
                <w:szCs w:val="21"/>
                <w14:textFill>
                  <w14:solidFill>
                    <w14:schemeClr w14:val="tx1"/>
                  </w14:solidFill>
                </w14:textFill>
              </w:rPr>
            </w:pPr>
            <w:r>
              <w:rPr>
                <w:b/>
                <w:bCs/>
                <w:snapToGrid w:val="0"/>
                <w:color w:val="000000" w:themeColor="text1"/>
                <w:kern w:val="0"/>
                <w:sz w:val="21"/>
                <w:szCs w:val="21"/>
                <w14:textFill>
                  <w14:solidFill>
                    <w14:schemeClr w14:val="tx1"/>
                  </w14:solidFill>
                </w14:textFill>
              </w:rPr>
              <w:t>面积（hm</w:t>
            </w:r>
            <w:r>
              <w:rPr>
                <w:b/>
                <w:bCs/>
                <w:snapToGrid w:val="0"/>
                <w:color w:val="000000" w:themeColor="text1"/>
                <w:kern w:val="0"/>
                <w:sz w:val="21"/>
                <w:szCs w:val="21"/>
                <w:vertAlign w:val="superscript"/>
                <w14:textFill>
                  <w14:solidFill>
                    <w14:schemeClr w14:val="tx1"/>
                  </w14:solidFill>
                </w14:textFill>
              </w:rPr>
              <w:t>2</w:t>
            </w:r>
            <w:r>
              <w:rPr>
                <w:b/>
                <w:bCs/>
                <w:snapToGrid w:val="0"/>
                <w:color w:val="000000" w:themeColor="text1"/>
                <w:kern w:val="0"/>
                <w:sz w:val="21"/>
                <w:szCs w:val="21"/>
                <w14:textFill>
                  <w14:solidFill>
                    <w14:schemeClr w14:val="tx1"/>
                  </w14:solidFill>
                </w14:textFill>
              </w:rPr>
              <w:t>）</w:t>
            </w:r>
          </w:p>
        </w:tc>
        <w:tc>
          <w:tcPr>
            <w:tcW w:w="1066" w:type="dxa"/>
            <w:vAlign w:val="center"/>
          </w:tcPr>
          <w:p w14:paraId="22BB3CC2">
            <w:pPr>
              <w:adjustRightInd w:val="0"/>
              <w:snapToGrid w:val="0"/>
              <w:spacing w:line="260" w:lineRule="exact"/>
              <w:ind w:firstLine="0" w:firstLineChars="0"/>
              <w:jc w:val="center"/>
              <w:rPr>
                <w:b/>
                <w:bCs/>
                <w:snapToGrid w:val="0"/>
                <w:color w:val="000000" w:themeColor="text1"/>
                <w:kern w:val="0"/>
                <w:sz w:val="21"/>
                <w:szCs w:val="21"/>
                <w14:textFill>
                  <w14:solidFill>
                    <w14:schemeClr w14:val="tx1"/>
                  </w14:solidFill>
                </w14:textFill>
              </w:rPr>
            </w:pPr>
            <w:r>
              <w:rPr>
                <w:b/>
                <w:bCs/>
                <w:snapToGrid w:val="0"/>
                <w:color w:val="000000" w:themeColor="text1"/>
                <w:kern w:val="0"/>
                <w:sz w:val="21"/>
                <w:szCs w:val="21"/>
                <w14:textFill>
                  <w14:solidFill>
                    <w14:schemeClr w14:val="tx1"/>
                  </w14:solidFill>
                </w14:textFill>
              </w:rPr>
              <w:t>占所在港湾红树林面积比例</w:t>
            </w:r>
          </w:p>
        </w:tc>
      </w:tr>
      <w:tr w14:paraId="14D17558">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jc w:val="center"/>
        </w:trPr>
        <w:tc>
          <w:tcPr>
            <w:tcW w:w="666" w:type="dxa"/>
            <w:vMerge w:val="restart"/>
            <w:vAlign w:val="center"/>
          </w:tcPr>
          <w:p w14:paraId="4B7AD41C">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钦州市</w:t>
            </w:r>
          </w:p>
        </w:tc>
        <w:tc>
          <w:tcPr>
            <w:tcW w:w="1285" w:type="dxa"/>
            <w:vMerge w:val="restart"/>
            <w:vAlign w:val="center"/>
          </w:tcPr>
          <w:p w14:paraId="08457643">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茅尾海</w:t>
            </w:r>
          </w:p>
        </w:tc>
        <w:tc>
          <w:tcPr>
            <w:tcW w:w="1418" w:type="dxa"/>
            <w:vAlign w:val="center"/>
          </w:tcPr>
          <w:p w14:paraId="3A70C174">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桐花树群落</w:t>
            </w:r>
          </w:p>
        </w:tc>
        <w:tc>
          <w:tcPr>
            <w:tcW w:w="1000" w:type="dxa"/>
            <w:vAlign w:val="center"/>
          </w:tcPr>
          <w:p w14:paraId="544E0AA7">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743.70</w:t>
            </w:r>
          </w:p>
        </w:tc>
        <w:tc>
          <w:tcPr>
            <w:tcW w:w="1134" w:type="dxa"/>
            <w:vAlign w:val="center"/>
          </w:tcPr>
          <w:p w14:paraId="64969E9E">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61.08%</w:t>
            </w:r>
          </w:p>
        </w:tc>
        <w:tc>
          <w:tcPr>
            <w:tcW w:w="1276" w:type="dxa"/>
            <w:vAlign w:val="center"/>
          </w:tcPr>
          <w:p w14:paraId="302A9127">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桐花树群系</w:t>
            </w:r>
          </w:p>
        </w:tc>
        <w:tc>
          <w:tcPr>
            <w:tcW w:w="1000" w:type="dxa"/>
            <w:vAlign w:val="center"/>
          </w:tcPr>
          <w:p w14:paraId="47EC79B3">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886.52</w:t>
            </w:r>
          </w:p>
        </w:tc>
        <w:tc>
          <w:tcPr>
            <w:tcW w:w="1066" w:type="dxa"/>
            <w:vAlign w:val="center"/>
          </w:tcPr>
          <w:p w14:paraId="3CA9B029">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72.81%</w:t>
            </w:r>
          </w:p>
        </w:tc>
      </w:tr>
      <w:tr w14:paraId="31EA319D">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jc w:val="center"/>
        </w:trPr>
        <w:tc>
          <w:tcPr>
            <w:tcW w:w="666" w:type="dxa"/>
            <w:vMerge w:val="continue"/>
            <w:vAlign w:val="center"/>
          </w:tcPr>
          <w:p w14:paraId="795BC0C2">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p>
        </w:tc>
        <w:tc>
          <w:tcPr>
            <w:tcW w:w="1285" w:type="dxa"/>
            <w:vMerge w:val="continue"/>
            <w:vAlign w:val="center"/>
          </w:tcPr>
          <w:p w14:paraId="5F07FE2E">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p>
        </w:tc>
        <w:tc>
          <w:tcPr>
            <w:tcW w:w="1418" w:type="dxa"/>
            <w:vAlign w:val="center"/>
          </w:tcPr>
          <w:p w14:paraId="500C4F43">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无瓣海桑-桐花树群落</w:t>
            </w:r>
          </w:p>
        </w:tc>
        <w:tc>
          <w:tcPr>
            <w:tcW w:w="1000" w:type="dxa"/>
            <w:vAlign w:val="center"/>
          </w:tcPr>
          <w:p w14:paraId="03FD7050">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137.78</w:t>
            </w:r>
          </w:p>
        </w:tc>
        <w:tc>
          <w:tcPr>
            <w:tcW w:w="1134" w:type="dxa"/>
            <w:vAlign w:val="center"/>
          </w:tcPr>
          <w:p w14:paraId="46318A55">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11.31%</w:t>
            </w:r>
          </w:p>
        </w:tc>
        <w:tc>
          <w:tcPr>
            <w:tcW w:w="1276" w:type="dxa"/>
            <w:vAlign w:val="center"/>
          </w:tcPr>
          <w:p w14:paraId="290C3731">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w:t>
            </w:r>
          </w:p>
        </w:tc>
        <w:tc>
          <w:tcPr>
            <w:tcW w:w="1000" w:type="dxa"/>
            <w:vAlign w:val="center"/>
          </w:tcPr>
          <w:p w14:paraId="471D8BFB">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w:t>
            </w:r>
          </w:p>
        </w:tc>
        <w:tc>
          <w:tcPr>
            <w:tcW w:w="1066" w:type="dxa"/>
            <w:vAlign w:val="center"/>
          </w:tcPr>
          <w:p w14:paraId="5E6FE125">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w:t>
            </w:r>
          </w:p>
        </w:tc>
      </w:tr>
      <w:tr w14:paraId="717BC9C8">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jc w:val="center"/>
        </w:trPr>
        <w:tc>
          <w:tcPr>
            <w:tcW w:w="666" w:type="dxa"/>
            <w:vMerge w:val="continue"/>
            <w:vAlign w:val="center"/>
          </w:tcPr>
          <w:p w14:paraId="68A75349">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p>
        </w:tc>
        <w:tc>
          <w:tcPr>
            <w:tcW w:w="1285" w:type="dxa"/>
            <w:vMerge w:val="restart"/>
            <w:vAlign w:val="center"/>
          </w:tcPr>
          <w:p w14:paraId="1557D49E">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七十二泾</w:t>
            </w:r>
          </w:p>
        </w:tc>
        <w:tc>
          <w:tcPr>
            <w:tcW w:w="1418" w:type="dxa"/>
            <w:vAlign w:val="center"/>
          </w:tcPr>
          <w:p w14:paraId="3B28467D">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白骨壤群落</w:t>
            </w:r>
          </w:p>
        </w:tc>
        <w:tc>
          <w:tcPr>
            <w:tcW w:w="1000" w:type="dxa"/>
            <w:vAlign w:val="center"/>
          </w:tcPr>
          <w:p w14:paraId="304E3DE7">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171.08</w:t>
            </w:r>
          </w:p>
        </w:tc>
        <w:tc>
          <w:tcPr>
            <w:tcW w:w="1134" w:type="dxa"/>
            <w:vAlign w:val="center"/>
          </w:tcPr>
          <w:p w14:paraId="6B2FA83A">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60.18%</w:t>
            </w:r>
          </w:p>
        </w:tc>
        <w:tc>
          <w:tcPr>
            <w:tcW w:w="1276" w:type="dxa"/>
            <w:vAlign w:val="center"/>
          </w:tcPr>
          <w:p w14:paraId="2C40D78E">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白骨壤群系</w:t>
            </w:r>
          </w:p>
        </w:tc>
        <w:tc>
          <w:tcPr>
            <w:tcW w:w="1000" w:type="dxa"/>
            <w:vAlign w:val="center"/>
          </w:tcPr>
          <w:p w14:paraId="071DA762">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228.13</w:t>
            </w:r>
          </w:p>
        </w:tc>
        <w:tc>
          <w:tcPr>
            <w:tcW w:w="1066" w:type="dxa"/>
            <w:vAlign w:val="center"/>
          </w:tcPr>
          <w:p w14:paraId="1DA93A87">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80.25%</w:t>
            </w:r>
          </w:p>
        </w:tc>
      </w:tr>
      <w:tr w14:paraId="4DC6DBF1">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jc w:val="center"/>
        </w:trPr>
        <w:tc>
          <w:tcPr>
            <w:tcW w:w="666" w:type="dxa"/>
            <w:vMerge w:val="continue"/>
            <w:vAlign w:val="center"/>
          </w:tcPr>
          <w:p w14:paraId="692708C2">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p>
        </w:tc>
        <w:tc>
          <w:tcPr>
            <w:tcW w:w="1285" w:type="dxa"/>
            <w:vMerge w:val="continue"/>
            <w:vAlign w:val="center"/>
          </w:tcPr>
          <w:p w14:paraId="738CD7EA">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p>
        </w:tc>
        <w:tc>
          <w:tcPr>
            <w:tcW w:w="1418" w:type="dxa"/>
            <w:vAlign w:val="center"/>
          </w:tcPr>
          <w:p w14:paraId="5E322C75">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白骨壤+桐花树群落</w:t>
            </w:r>
          </w:p>
        </w:tc>
        <w:tc>
          <w:tcPr>
            <w:tcW w:w="1000" w:type="dxa"/>
            <w:vAlign w:val="center"/>
          </w:tcPr>
          <w:p w14:paraId="2E45DD96">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57.05</w:t>
            </w:r>
          </w:p>
        </w:tc>
        <w:tc>
          <w:tcPr>
            <w:tcW w:w="1134" w:type="dxa"/>
            <w:vAlign w:val="center"/>
          </w:tcPr>
          <w:p w14:paraId="0CFC6BA1">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20.07%</w:t>
            </w:r>
          </w:p>
        </w:tc>
        <w:tc>
          <w:tcPr>
            <w:tcW w:w="1276" w:type="dxa"/>
            <w:vAlign w:val="center"/>
          </w:tcPr>
          <w:p w14:paraId="07C4B3CE">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w:t>
            </w:r>
          </w:p>
        </w:tc>
        <w:tc>
          <w:tcPr>
            <w:tcW w:w="1000" w:type="dxa"/>
            <w:vAlign w:val="center"/>
          </w:tcPr>
          <w:p w14:paraId="193DB4B1">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w:t>
            </w:r>
          </w:p>
        </w:tc>
        <w:tc>
          <w:tcPr>
            <w:tcW w:w="1066" w:type="dxa"/>
            <w:vAlign w:val="center"/>
          </w:tcPr>
          <w:p w14:paraId="2394A158">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w:t>
            </w:r>
          </w:p>
        </w:tc>
      </w:tr>
      <w:tr w14:paraId="17C45A22">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jc w:val="center"/>
        </w:trPr>
        <w:tc>
          <w:tcPr>
            <w:tcW w:w="666" w:type="dxa"/>
            <w:vMerge w:val="continue"/>
            <w:vAlign w:val="center"/>
          </w:tcPr>
          <w:p w14:paraId="784B64D9">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p>
        </w:tc>
        <w:tc>
          <w:tcPr>
            <w:tcW w:w="1285" w:type="dxa"/>
            <w:vAlign w:val="center"/>
          </w:tcPr>
          <w:p w14:paraId="61555170">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金鼓江</w:t>
            </w:r>
          </w:p>
        </w:tc>
        <w:tc>
          <w:tcPr>
            <w:tcW w:w="1418" w:type="dxa"/>
            <w:vAlign w:val="center"/>
          </w:tcPr>
          <w:p w14:paraId="54C4F60D">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白骨壤群落</w:t>
            </w:r>
          </w:p>
        </w:tc>
        <w:tc>
          <w:tcPr>
            <w:tcW w:w="1000" w:type="dxa"/>
            <w:vAlign w:val="center"/>
          </w:tcPr>
          <w:p w14:paraId="13A6EC7A">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126.99</w:t>
            </w:r>
          </w:p>
        </w:tc>
        <w:tc>
          <w:tcPr>
            <w:tcW w:w="1134" w:type="dxa"/>
            <w:vAlign w:val="center"/>
          </w:tcPr>
          <w:p w14:paraId="1A74FFA1">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92.42%</w:t>
            </w:r>
          </w:p>
        </w:tc>
        <w:tc>
          <w:tcPr>
            <w:tcW w:w="1276" w:type="dxa"/>
            <w:vAlign w:val="center"/>
          </w:tcPr>
          <w:p w14:paraId="3B9952E3">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白骨壤群系</w:t>
            </w:r>
          </w:p>
        </w:tc>
        <w:tc>
          <w:tcPr>
            <w:tcW w:w="1000" w:type="dxa"/>
            <w:vAlign w:val="center"/>
          </w:tcPr>
          <w:p w14:paraId="050094A6">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129.31</w:t>
            </w:r>
          </w:p>
        </w:tc>
        <w:tc>
          <w:tcPr>
            <w:tcW w:w="1066" w:type="dxa"/>
            <w:vAlign w:val="center"/>
          </w:tcPr>
          <w:p w14:paraId="48FC52F1">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94.11%</w:t>
            </w:r>
          </w:p>
        </w:tc>
      </w:tr>
      <w:tr w14:paraId="714F297E">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jc w:val="center"/>
        </w:trPr>
        <w:tc>
          <w:tcPr>
            <w:tcW w:w="666" w:type="dxa"/>
            <w:vMerge w:val="continue"/>
            <w:vAlign w:val="center"/>
          </w:tcPr>
          <w:p w14:paraId="4BF12B01">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p>
        </w:tc>
        <w:tc>
          <w:tcPr>
            <w:tcW w:w="1285" w:type="dxa"/>
            <w:vAlign w:val="center"/>
          </w:tcPr>
          <w:p w14:paraId="0A535FDE">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钦州湾</w:t>
            </w:r>
          </w:p>
        </w:tc>
        <w:tc>
          <w:tcPr>
            <w:tcW w:w="1418" w:type="dxa"/>
            <w:vAlign w:val="center"/>
          </w:tcPr>
          <w:p w14:paraId="6905DCE3">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白骨壤群落</w:t>
            </w:r>
          </w:p>
        </w:tc>
        <w:tc>
          <w:tcPr>
            <w:tcW w:w="1000" w:type="dxa"/>
            <w:vAlign w:val="center"/>
          </w:tcPr>
          <w:p w14:paraId="01C9AD77">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205.02</w:t>
            </w:r>
          </w:p>
        </w:tc>
        <w:tc>
          <w:tcPr>
            <w:tcW w:w="1134" w:type="dxa"/>
            <w:vAlign w:val="center"/>
          </w:tcPr>
          <w:p w14:paraId="32319E04">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91.41%</w:t>
            </w:r>
          </w:p>
        </w:tc>
        <w:tc>
          <w:tcPr>
            <w:tcW w:w="1276" w:type="dxa"/>
            <w:vAlign w:val="center"/>
          </w:tcPr>
          <w:p w14:paraId="3AC93B68">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白骨壤群系</w:t>
            </w:r>
          </w:p>
        </w:tc>
        <w:tc>
          <w:tcPr>
            <w:tcW w:w="1000" w:type="dxa"/>
            <w:vAlign w:val="center"/>
          </w:tcPr>
          <w:p w14:paraId="044B36AF">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224.28</w:t>
            </w:r>
          </w:p>
        </w:tc>
        <w:tc>
          <w:tcPr>
            <w:tcW w:w="1066" w:type="dxa"/>
            <w:vAlign w:val="center"/>
          </w:tcPr>
          <w:p w14:paraId="6CC8CA92">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100%</w:t>
            </w:r>
          </w:p>
        </w:tc>
      </w:tr>
      <w:tr w14:paraId="2FCFCB37">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jc w:val="center"/>
        </w:trPr>
        <w:tc>
          <w:tcPr>
            <w:tcW w:w="666" w:type="dxa"/>
            <w:vMerge w:val="continue"/>
            <w:vAlign w:val="center"/>
          </w:tcPr>
          <w:p w14:paraId="2F1F652F">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p>
        </w:tc>
        <w:tc>
          <w:tcPr>
            <w:tcW w:w="1285" w:type="dxa"/>
            <w:vMerge w:val="restart"/>
            <w:vAlign w:val="center"/>
          </w:tcPr>
          <w:p w14:paraId="1FD4A21D">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大风江</w:t>
            </w:r>
          </w:p>
        </w:tc>
        <w:tc>
          <w:tcPr>
            <w:tcW w:w="1418" w:type="dxa"/>
            <w:vAlign w:val="center"/>
          </w:tcPr>
          <w:p w14:paraId="0A134075">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桐花树群落</w:t>
            </w:r>
          </w:p>
        </w:tc>
        <w:tc>
          <w:tcPr>
            <w:tcW w:w="1000" w:type="dxa"/>
            <w:vAlign w:val="center"/>
          </w:tcPr>
          <w:p w14:paraId="3E9646F7">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326.89</w:t>
            </w:r>
          </w:p>
        </w:tc>
        <w:tc>
          <w:tcPr>
            <w:tcW w:w="1134" w:type="dxa"/>
            <w:vAlign w:val="center"/>
          </w:tcPr>
          <w:p w14:paraId="24246CBC">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50.64%</w:t>
            </w:r>
          </w:p>
        </w:tc>
        <w:tc>
          <w:tcPr>
            <w:tcW w:w="1276" w:type="dxa"/>
            <w:vAlign w:val="center"/>
          </w:tcPr>
          <w:p w14:paraId="0EE273FD">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桐花树群系</w:t>
            </w:r>
          </w:p>
        </w:tc>
        <w:tc>
          <w:tcPr>
            <w:tcW w:w="1000" w:type="dxa"/>
            <w:vAlign w:val="center"/>
          </w:tcPr>
          <w:p w14:paraId="101DA546">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326.89</w:t>
            </w:r>
          </w:p>
        </w:tc>
        <w:tc>
          <w:tcPr>
            <w:tcW w:w="1066" w:type="dxa"/>
            <w:vAlign w:val="center"/>
          </w:tcPr>
          <w:p w14:paraId="5966A84C">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50.64%</w:t>
            </w:r>
          </w:p>
        </w:tc>
      </w:tr>
      <w:tr w14:paraId="22B7CA18">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jc w:val="center"/>
        </w:trPr>
        <w:tc>
          <w:tcPr>
            <w:tcW w:w="666" w:type="dxa"/>
            <w:vMerge w:val="continue"/>
            <w:vAlign w:val="center"/>
          </w:tcPr>
          <w:p w14:paraId="4D8FC084">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p>
        </w:tc>
        <w:tc>
          <w:tcPr>
            <w:tcW w:w="1285" w:type="dxa"/>
            <w:vMerge w:val="continue"/>
            <w:vAlign w:val="center"/>
          </w:tcPr>
          <w:p w14:paraId="01F96458">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p>
        </w:tc>
        <w:tc>
          <w:tcPr>
            <w:tcW w:w="1418" w:type="dxa"/>
            <w:vAlign w:val="center"/>
          </w:tcPr>
          <w:p w14:paraId="019DE949">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白骨壤群落</w:t>
            </w:r>
          </w:p>
        </w:tc>
        <w:tc>
          <w:tcPr>
            <w:tcW w:w="1000" w:type="dxa"/>
            <w:vAlign w:val="center"/>
          </w:tcPr>
          <w:p w14:paraId="08FB8D4B">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318.65</w:t>
            </w:r>
          </w:p>
        </w:tc>
        <w:tc>
          <w:tcPr>
            <w:tcW w:w="1134" w:type="dxa"/>
            <w:vAlign w:val="center"/>
          </w:tcPr>
          <w:p w14:paraId="41234EB2">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49.36%</w:t>
            </w:r>
          </w:p>
        </w:tc>
        <w:tc>
          <w:tcPr>
            <w:tcW w:w="1276" w:type="dxa"/>
            <w:vAlign w:val="center"/>
          </w:tcPr>
          <w:p w14:paraId="72A56256">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白骨壤群系</w:t>
            </w:r>
          </w:p>
        </w:tc>
        <w:tc>
          <w:tcPr>
            <w:tcW w:w="1000" w:type="dxa"/>
            <w:vAlign w:val="center"/>
          </w:tcPr>
          <w:p w14:paraId="29E7080E">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318.65</w:t>
            </w:r>
          </w:p>
        </w:tc>
        <w:tc>
          <w:tcPr>
            <w:tcW w:w="1066" w:type="dxa"/>
            <w:vAlign w:val="center"/>
          </w:tcPr>
          <w:p w14:paraId="1E53E1DF">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49.36%</w:t>
            </w:r>
          </w:p>
        </w:tc>
      </w:tr>
    </w:tbl>
    <w:p w14:paraId="4972E45E">
      <w:pPr>
        <w:ind w:firstLine="482"/>
        <w:rPr>
          <w:b/>
          <w:bCs/>
          <w:color w:val="000000" w:themeColor="text1"/>
          <w14:textFill>
            <w14:solidFill>
              <w14:schemeClr w14:val="tx1"/>
            </w14:solidFill>
          </w14:textFill>
        </w:rPr>
      </w:pPr>
      <w:r>
        <w:rPr>
          <w:b/>
          <w:bCs/>
          <w:color w:val="000000" w:themeColor="text1"/>
          <w14:textFill>
            <w14:solidFill>
              <w14:schemeClr w14:val="tx1"/>
            </w14:solidFill>
          </w14:textFill>
        </w:rPr>
        <w:t>3、项目与红树林斑块关系调查</w:t>
      </w:r>
    </w:p>
    <w:p w14:paraId="2D9F6DDE">
      <w:pPr>
        <w:ind w:firstLine="480"/>
        <w:rPr>
          <w:color w:val="000000" w:themeColor="text1"/>
          <w14:textFill>
            <w14:solidFill>
              <w14:schemeClr w14:val="tx1"/>
            </w14:solidFill>
          </w14:textFill>
        </w:rPr>
      </w:pPr>
      <w:r>
        <w:rPr>
          <w:color w:val="000000" w:themeColor="text1"/>
          <w14:textFill>
            <w14:solidFill>
              <w14:schemeClr w14:val="tx1"/>
            </w14:solidFill>
          </w14:textFill>
        </w:rPr>
        <w:t>项目选址区及周边邻近海域无红树林分布，距项目较近的红树林集中分布斑块为项目北面约3.8km外的金鼓江红树林集中分布斑块。</w:t>
      </w:r>
    </w:p>
    <w:p w14:paraId="157BAA0B">
      <w:pPr>
        <w:spacing w:line="240" w:lineRule="auto"/>
        <w:ind w:firstLine="0" w:firstLineChars="0"/>
        <w:jc w:val="center"/>
        <w:rPr>
          <w:color w:val="000000" w:themeColor="text1"/>
          <w14:textFill>
            <w14:solidFill>
              <w14:schemeClr w14:val="tx1"/>
            </w14:solidFill>
          </w14:textFill>
        </w:rPr>
      </w:pPr>
      <w:r>
        <w:rPr>
          <w:color w:val="000000" w:themeColor="text1"/>
          <w14:textFill>
            <w14:solidFill>
              <w14:schemeClr w14:val="tx1"/>
            </w14:solidFill>
          </w14:textFill>
        </w:rPr>
        <mc:AlternateContent>
          <mc:Choice Requires="wps">
            <w:drawing>
              <wp:anchor distT="0" distB="0" distL="114300" distR="114300" simplePos="0" relativeHeight="251676672" behindDoc="0" locked="0" layoutInCell="1" allowOverlap="1">
                <wp:simplePos x="0" y="0"/>
                <wp:positionH relativeFrom="column">
                  <wp:posOffset>2348865</wp:posOffset>
                </wp:positionH>
                <wp:positionV relativeFrom="paragraph">
                  <wp:posOffset>2526665</wp:posOffset>
                </wp:positionV>
                <wp:extent cx="769620" cy="266700"/>
                <wp:effectExtent l="0" t="685800" r="11430" b="19050"/>
                <wp:wrapNone/>
                <wp:docPr id="3267" name="对话气泡: 矩形 3267"/>
                <wp:cNvGraphicFramePr/>
                <a:graphic xmlns:a="http://schemas.openxmlformats.org/drawingml/2006/main">
                  <a:graphicData uri="http://schemas.microsoft.com/office/word/2010/wordprocessingShape">
                    <wps:wsp>
                      <wps:cNvSpPr>
                        <a:spLocks noChangeArrowheads="1"/>
                      </wps:cNvSpPr>
                      <wps:spPr bwMode="auto">
                        <a:xfrm>
                          <a:off x="0" y="0"/>
                          <a:ext cx="769620" cy="266700"/>
                        </a:xfrm>
                        <a:prstGeom prst="wedgeRectCallout">
                          <a:avLst>
                            <a:gd name="adj1" fmla="val 28134"/>
                            <a:gd name="adj2" fmla="val -290236"/>
                          </a:avLst>
                        </a:prstGeom>
                        <a:solidFill>
                          <a:srgbClr val="FFFFFF"/>
                        </a:solidFill>
                        <a:ln w="12700" algn="ctr">
                          <a:solidFill>
                            <a:srgbClr val="000000"/>
                          </a:solidFill>
                          <a:miter lim="800000"/>
                        </a:ln>
                      </wps:spPr>
                      <wps:txbx>
                        <w:txbxContent>
                          <w:p w14:paraId="075EB095">
                            <w:pPr>
                              <w:spacing w:line="240" w:lineRule="atLeast"/>
                              <w:ind w:firstLine="0" w:firstLineChars="0"/>
                              <w:jc w:val="center"/>
                            </w:pPr>
                            <w:r>
                              <w:rPr>
                                <w:rFonts w:hint="eastAsia"/>
                                <w:color w:val="000000"/>
                                <w:sz w:val="21"/>
                                <w:szCs w:val="21"/>
                              </w:rPr>
                              <w:t>项目选址</w:t>
                            </w:r>
                          </w:p>
                        </w:txbxContent>
                      </wps:txbx>
                      <wps:bodyPr rot="0" vert="horz" wrap="square" lIns="91440" tIns="45720" rIns="91440" bIns="45720" anchor="ctr" anchorCtr="0" upright="1">
                        <a:noAutofit/>
                      </wps:bodyPr>
                    </wps:wsp>
                  </a:graphicData>
                </a:graphic>
              </wp:anchor>
            </w:drawing>
          </mc:Choice>
          <mc:Fallback>
            <w:pict>
              <v:shape id="对话气泡: 矩形 3267" o:spid="_x0000_s1026" o:spt="61" type="#_x0000_t61" style="position:absolute;left:0pt;margin-left:184.95pt;margin-top:198.95pt;height:21pt;width:60.6pt;z-index:251676672;v-text-anchor:middle;mso-width-relative:page;mso-height-relative:page;" fillcolor="#FFFFFF" filled="t" stroked="t" coordsize="21600,21600" o:gfxdata="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" adj="16877,-51891">
                <v:fill on="t" focussize="0,0"/>
                <v:stroke weight="1pt" color="#000000" miterlimit="8" joinstyle="miter"/>
                <v:imagedata o:title=""/>
                <o:lock v:ext="edit" aspectratio="f"/>
                <v:textbox>
                  <w:txbxContent>
                    <w:p w14:paraId="075EB095">
                      <w:pPr>
                        <w:spacing w:line="240" w:lineRule="atLeast"/>
                        <w:ind w:firstLine="0" w:firstLineChars="0"/>
                        <w:jc w:val="center"/>
                      </w:pPr>
                      <w:r>
                        <w:rPr>
                          <w:rFonts w:hint="eastAsia"/>
                          <w:color w:val="000000"/>
                          <w:sz w:val="21"/>
                          <w:szCs w:val="21"/>
                        </w:rPr>
                        <w:t>项目选址</w:t>
                      </w:r>
                    </w:p>
                  </w:txbxContent>
                </v:textbox>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75648" behindDoc="0" locked="0" layoutInCell="1" allowOverlap="1">
                <wp:simplePos x="0" y="0"/>
                <wp:positionH relativeFrom="column">
                  <wp:posOffset>2875280</wp:posOffset>
                </wp:positionH>
                <wp:positionV relativeFrom="paragraph">
                  <wp:posOffset>1762760</wp:posOffset>
                </wp:positionV>
                <wp:extent cx="152400" cy="140970"/>
                <wp:effectExtent l="27305" t="20955" r="20320" b="19050"/>
                <wp:wrapNone/>
                <wp:docPr id="3266" name="任意多边形: 形状 3266"/>
                <wp:cNvGraphicFramePr/>
                <a:graphic xmlns:a="http://schemas.openxmlformats.org/drawingml/2006/main">
                  <a:graphicData uri="http://schemas.microsoft.com/office/word/2010/wordprocessingShape">
                    <wps:wsp>
                      <wps:cNvSpPr/>
                      <wps:spPr bwMode="auto">
                        <a:xfrm>
                          <a:off x="0" y="0"/>
                          <a:ext cx="152400" cy="140970"/>
                        </a:xfrm>
                        <a:custGeom>
                          <a:avLst/>
                          <a:gdLst>
                            <a:gd name="T0" fmla="*/ 0 w 152400"/>
                            <a:gd name="T1" fmla="*/ 53846 h 140970"/>
                            <a:gd name="T2" fmla="*/ 58212 w 152400"/>
                            <a:gd name="T3" fmla="*/ 53846 h 140970"/>
                            <a:gd name="T4" fmla="*/ 76200 w 152400"/>
                            <a:gd name="T5" fmla="*/ 0 h 140970"/>
                            <a:gd name="T6" fmla="*/ 94188 w 152400"/>
                            <a:gd name="T7" fmla="*/ 53846 h 140970"/>
                            <a:gd name="T8" fmla="*/ 152400 w 152400"/>
                            <a:gd name="T9" fmla="*/ 53846 h 140970"/>
                            <a:gd name="T10" fmla="*/ 105305 w 152400"/>
                            <a:gd name="T11" fmla="*/ 87124 h 140970"/>
                            <a:gd name="T12" fmla="*/ 123294 w 152400"/>
                            <a:gd name="T13" fmla="*/ 140970 h 140970"/>
                            <a:gd name="T14" fmla="*/ 76200 w 152400"/>
                            <a:gd name="T15" fmla="*/ 107691 h 140970"/>
                            <a:gd name="T16" fmla="*/ 29106 w 152400"/>
                            <a:gd name="T17" fmla="*/ 140970 h 140970"/>
                            <a:gd name="T18" fmla="*/ 47095 w 152400"/>
                            <a:gd name="T19" fmla="*/ 87124 h 140970"/>
                            <a:gd name="T20" fmla="*/ 0 w 152400"/>
                            <a:gd name="T21" fmla="*/ 53846 h 140970"/>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152400" h="140970">
                              <a:moveTo>
                                <a:pt x="0" y="53846"/>
                              </a:moveTo>
                              <a:lnTo>
                                <a:pt x="58212" y="53846"/>
                              </a:lnTo>
                              <a:lnTo>
                                <a:pt x="76200" y="0"/>
                              </a:lnTo>
                              <a:lnTo>
                                <a:pt x="94188" y="53846"/>
                              </a:lnTo>
                              <a:lnTo>
                                <a:pt x="152400" y="53846"/>
                              </a:lnTo>
                              <a:lnTo>
                                <a:pt x="105305" y="87124"/>
                              </a:lnTo>
                              <a:lnTo>
                                <a:pt x="123294" y="140970"/>
                              </a:lnTo>
                              <a:lnTo>
                                <a:pt x="76200" y="107691"/>
                              </a:lnTo>
                              <a:lnTo>
                                <a:pt x="29106" y="140970"/>
                              </a:lnTo>
                              <a:lnTo>
                                <a:pt x="47095" y="87124"/>
                              </a:lnTo>
                              <a:lnTo>
                                <a:pt x="0" y="53846"/>
                              </a:lnTo>
                              <a:close/>
                            </a:path>
                          </a:pathLst>
                        </a:custGeom>
                        <a:solidFill>
                          <a:srgbClr val="FF0000"/>
                        </a:solidFill>
                        <a:ln w="6350" cap="flat" cmpd="sng" algn="ctr">
                          <a:solidFill>
                            <a:srgbClr val="000000"/>
                          </a:solidFill>
                          <a:prstDash val="solid"/>
                          <a:miter lim="800000"/>
                        </a:ln>
                      </wps:spPr>
                      <wps:bodyPr rot="0" vert="horz" wrap="square" lIns="91440" tIns="45720" rIns="91440" bIns="45720" anchor="ctr" anchorCtr="0" upright="1">
                        <a:noAutofit/>
                      </wps:bodyPr>
                    </wps:wsp>
                  </a:graphicData>
                </a:graphic>
              </wp:anchor>
            </w:drawing>
          </mc:Choice>
          <mc:Fallback>
            <w:pict>
              <v:shape id="任意多边形: 形状 3266" o:spid="_x0000_s1026" o:spt="100" style="position:absolute;left:0pt;margin-left:226.4pt;margin-top:138.8pt;height:11.1pt;width:12pt;z-index:251675648;v-text-anchor:middle;mso-width-relative:page;mso-height-relative:page;" fillcolor="#FF0000" filled="t" stroked="t" coordsize="152400,140970" o:gfxdata="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" path="m0,53846l58212,53846,76200,0,94188,53846,152400,53846,105305,87124,123294,140970,76200,107691,29106,140970,47095,87124,0,53846xe">
                <v:path o:connectlocs="0,53846;58212,53846;76200,0;94188,53846;152400,53846;105305,87124;123294,140970;76200,107691;29106,140970;47095,87124;0,53846" o:connectangles="0,0,0,0,0,0,0,0,0,0,0"/>
                <v:fill on="t" focussize="0,0"/>
                <v:stroke weight="0.5pt" color="#000000" miterlimit="8" joinstyle="miter"/>
                <v:imagedata o:title=""/>
                <o:lock v:ext="edit" aspectratio="f"/>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71552" behindDoc="0" locked="0" layoutInCell="1" allowOverlap="1">
                <wp:simplePos x="0" y="0"/>
                <wp:positionH relativeFrom="column">
                  <wp:posOffset>1309370</wp:posOffset>
                </wp:positionH>
                <wp:positionV relativeFrom="paragraph">
                  <wp:posOffset>1081405</wp:posOffset>
                </wp:positionV>
                <wp:extent cx="1287780" cy="369570"/>
                <wp:effectExtent l="13970" t="338455" r="50800" b="15875"/>
                <wp:wrapNone/>
                <wp:docPr id="3265" name="对话气泡: 矩形 3265"/>
                <wp:cNvGraphicFramePr/>
                <a:graphic xmlns:a="http://schemas.openxmlformats.org/drawingml/2006/main">
                  <a:graphicData uri="http://schemas.microsoft.com/office/word/2010/wordprocessingShape">
                    <wps:wsp>
                      <wps:cNvSpPr/>
                      <wps:spPr bwMode="auto">
                        <a:xfrm>
                          <a:off x="0" y="0"/>
                          <a:ext cx="1287780" cy="369570"/>
                        </a:xfrm>
                        <a:prstGeom prst="wedgeRectCallout">
                          <a:avLst>
                            <a:gd name="adj1" fmla="val 51097"/>
                            <a:gd name="adj2" fmla="val -131940"/>
                          </a:avLst>
                        </a:prstGeom>
                        <a:solidFill>
                          <a:srgbClr val="6D6D6D"/>
                        </a:solidFill>
                        <a:ln w="12700" algn="ctr">
                          <a:solidFill>
                            <a:srgbClr val="FF0000"/>
                          </a:solidFill>
                          <a:miter lim="800000"/>
                        </a:ln>
                      </wps:spPr>
                      <wps:txbx>
                        <w:txbxContent>
                          <w:p w14:paraId="2EAAFEE6">
                            <w:pPr>
                              <w:spacing w:line="220" w:lineRule="exact"/>
                              <w:ind w:firstLine="0" w:firstLineChars="0"/>
                              <w:jc w:val="center"/>
                            </w:pPr>
                            <w:r>
                              <w:rPr>
                                <w:rFonts w:hint="eastAsia"/>
                                <w:color w:val="000000"/>
                                <w:sz w:val="21"/>
                                <w:szCs w:val="21"/>
                              </w:rPr>
                              <w:t>金鼓江红树林集中分布斑块</w:t>
                            </w:r>
                          </w:p>
                        </w:txbxContent>
                      </wps:txbx>
                      <wps:bodyPr rot="0" vert="horz" wrap="square" lIns="91440" tIns="45720" rIns="91440" bIns="45720" anchor="ctr" anchorCtr="0" upright="1">
                        <a:noAutofit/>
                      </wps:bodyPr>
                    </wps:wsp>
                  </a:graphicData>
                </a:graphic>
              </wp:anchor>
            </w:drawing>
          </mc:Choice>
          <mc:Fallback>
            <w:pict>
              <v:shape id="对话气泡: 矩形 3265" o:spid="_x0000_s1026" o:spt="61" type="#_x0000_t61" style="position:absolute;left:0pt;margin-left:103.1pt;margin-top:85.15pt;height:29.1pt;width:101.4pt;z-index:251671552;v-text-anchor:middle;mso-width-relative:page;mso-height-relative:page;" fillcolor="#6D6D6D" filled="t" stroked="t" coordsize="21600,21600" o:gfxdata="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An5RgL2gAAAAsBAAAPAAAAAAAAAAEAIAAAACIAAABkcnMvZG93&#10;bnJldi54bWxQSwECFAAUAAAACACHTuJAJXCP9nACAADLBAAADgAAAAAAAAABACAAAAApAQAAZHJz&#10;L2Uyb0RvYy54bWxQSwUGAAAAAAYABgBZAQAACwYAAAAA&#10;" adj="21837,-17699">
                <v:fill on="t" focussize="0,0"/>
                <v:stroke weight="1pt" color="#FF0000" miterlimit="8" joinstyle="miter"/>
                <v:imagedata o:title=""/>
                <o:lock v:ext="edit" aspectratio="f"/>
                <v:textbox>
                  <w:txbxContent>
                    <w:p w14:paraId="2EAAFEE6">
                      <w:pPr>
                        <w:spacing w:line="220" w:lineRule="exact"/>
                        <w:ind w:firstLine="0" w:firstLineChars="0"/>
                        <w:jc w:val="center"/>
                      </w:pPr>
                      <w:r>
                        <w:rPr>
                          <w:rFonts w:hint="eastAsia"/>
                          <w:color w:val="000000"/>
                          <w:sz w:val="21"/>
                          <w:szCs w:val="21"/>
                        </w:rPr>
                        <w:t>金鼓江红树林集中分布斑块</w:t>
                      </w:r>
                    </w:p>
                  </w:txbxContent>
                </v:textbox>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70528" behindDoc="0" locked="0" layoutInCell="1" allowOverlap="1">
                <wp:simplePos x="0" y="0"/>
                <wp:positionH relativeFrom="column">
                  <wp:posOffset>2650490</wp:posOffset>
                </wp:positionH>
                <wp:positionV relativeFrom="paragraph">
                  <wp:posOffset>19685</wp:posOffset>
                </wp:positionV>
                <wp:extent cx="982980" cy="1291590"/>
                <wp:effectExtent l="38100" t="0" r="45720" b="3810"/>
                <wp:wrapNone/>
                <wp:docPr id="3264" name="椭圆 3264"/>
                <wp:cNvGraphicFramePr/>
                <a:graphic xmlns:a="http://schemas.openxmlformats.org/drawingml/2006/main">
                  <a:graphicData uri="http://schemas.microsoft.com/office/word/2010/wordprocessingShape">
                    <wps:wsp>
                      <wps:cNvSpPr/>
                      <wps:spPr>
                        <a:xfrm rot="1303281">
                          <a:off x="0" y="0"/>
                          <a:ext cx="982980" cy="1291590"/>
                        </a:xfrm>
                        <a:prstGeom prst="ellipse">
                          <a:avLst/>
                        </a:prstGeom>
                        <a:noFill/>
                        <a:ln w="19050" cap="flat" cmpd="sng" algn="ctr">
                          <a:solidFill>
                            <a:srgbClr val="FF0000"/>
                          </a:solidFill>
                          <a:prstDash val="dash"/>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08.7pt;margin-top:1.55pt;height:101.7pt;width:77.4pt;rotation:1423530f;z-index:251670528;v-text-anchor:middle;mso-width-relative:page;mso-height-relative:page;" filled="f" stroked="t" coordsize="21600,21600" o:gfxdata="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">
                <v:fill on="f" focussize="0,0"/>
                <v:stroke weight="1.5pt" color="#FF0000" miterlimit="8" joinstyle="miter" dashstyle="dash"/>
                <v:imagedata o:title=""/>
                <o:lock v:ext="edit" aspectratio="f"/>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69504" behindDoc="0" locked="0" layoutInCell="1" allowOverlap="1">
                <wp:simplePos x="0" y="0"/>
                <wp:positionH relativeFrom="column">
                  <wp:posOffset>966470</wp:posOffset>
                </wp:positionH>
                <wp:positionV relativeFrom="paragraph">
                  <wp:posOffset>3855085</wp:posOffset>
                </wp:positionV>
                <wp:extent cx="1287780" cy="369570"/>
                <wp:effectExtent l="13970" t="578485" r="12700" b="13970"/>
                <wp:wrapNone/>
                <wp:docPr id="159" name="对话气泡: 矩形 159"/>
                <wp:cNvGraphicFramePr/>
                <a:graphic xmlns:a="http://schemas.openxmlformats.org/drawingml/2006/main">
                  <a:graphicData uri="http://schemas.microsoft.com/office/word/2010/wordprocessingShape">
                    <wps:wsp>
                      <wps:cNvSpPr/>
                      <wps:spPr bwMode="auto">
                        <a:xfrm>
                          <a:off x="0" y="0"/>
                          <a:ext cx="1287780" cy="369570"/>
                        </a:xfrm>
                        <a:prstGeom prst="wedgeRectCallout">
                          <a:avLst>
                            <a:gd name="adj1" fmla="val -12806"/>
                            <a:gd name="adj2" fmla="val -197921"/>
                          </a:avLst>
                        </a:prstGeom>
                        <a:solidFill>
                          <a:srgbClr val="6D6D6D"/>
                        </a:solidFill>
                        <a:ln w="12700" algn="ctr">
                          <a:solidFill>
                            <a:srgbClr val="FF0000"/>
                          </a:solidFill>
                          <a:miter lim="800000"/>
                        </a:ln>
                      </wps:spPr>
                      <wps:txbx>
                        <w:txbxContent>
                          <w:p w14:paraId="5B76419A">
                            <w:pPr>
                              <w:spacing w:line="220" w:lineRule="exact"/>
                              <w:ind w:firstLine="0" w:firstLineChars="0"/>
                              <w:jc w:val="center"/>
                            </w:pPr>
                            <w:r>
                              <w:rPr>
                                <w:rFonts w:hint="eastAsia"/>
                                <w:color w:val="000000"/>
                                <w:sz w:val="21"/>
                                <w:szCs w:val="21"/>
                              </w:rPr>
                              <w:t>茅尾海西岸红树林集中分布斑块</w:t>
                            </w:r>
                          </w:p>
                        </w:txbxContent>
                      </wps:txbx>
                      <wps:bodyPr rot="0" vert="horz" wrap="square" lIns="91440" tIns="45720" rIns="91440" bIns="45720" anchor="ctr" anchorCtr="0" upright="1">
                        <a:noAutofit/>
                      </wps:bodyPr>
                    </wps:wsp>
                  </a:graphicData>
                </a:graphic>
              </wp:anchor>
            </w:drawing>
          </mc:Choice>
          <mc:Fallback>
            <w:pict>
              <v:shape id="对话气泡: 矩形 159" o:spid="_x0000_s1026" o:spt="61" type="#_x0000_t61" style="position:absolute;left:0pt;margin-left:76.1pt;margin-top:303.55pt;height:29.1pt;width:101.4pt;z-index:251669504;v-text-anchor:middle;mso-width-relative:page;mso-height-relative:page;" fillcolor="#6D6D6D" filled="t" stroked="t" coordsize="21600,21600" o:gfxdata="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AAAAAGRy&#10;cy9QSwECFAAUAAAACACHTuJA2m1aX9kAAAALAQAADwAAAAAAAAABACAAAAAiAAAAZHJzL2Rvd25y&#10;ZXYueG1sUEsBAhQAFAAAAAgAh07iQLHgEIdvAgAAygQAAA4AAAAAAAAAAQAgAAAAKAEAAGRycy9l&#10;Mm9Eb2MueG1sUEsFBgAAAAAGAAYAWQEAAAkGAAAAAA==&#10;" adj="8034,-31951">
                <v:fill on="t" focussize="0,0"/>
                <v:stroke weight="1pt" color="#FF0000" miterlimit="8" joinstyle="miter"/>
                <v:imagedata o:title=""/>
                <o:lock v:ext="edit" aspectratio="f"/>
                <v:textbox>
                  <w:txbxContent>
                    <w:p w14:paraId="5B76419A">
                      <w:pPr>
                        <w:spacing w:line="220" w:lineRule="exact"/>
                        <w:ind w:firstLine="0" w:firstLineChars="0"/>
                        <w:jc w:val="center"/>
                      </w:pPr>
                      <w:r>
                        <w:rPr>
                          <w:rFonts w:hint="eastAsia"/>
                          <w:color w:val="000000"/>
                          <w:sz w:val="21"/>
                          <w:szCs w:val="21"/>
                        </w:rPr>
                        <w:t>茅尾海西岸红树林集中分布斑块</w:t>
                      </w:r>
                    </w:p>
                  </w:txbxContent>
                </v:textbox>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74624" behindDoc="0" locked="0" layoutInCell="1" allowOverlap="1">
                <wp:simplePos x="0" y="0"/>
                <wp:positionH relativeFrom="column">
                  <wp:posOffset>631190</wp:posOffset>
                </wp:positionH>
                <wp:positionV relativeFrom="paragraph">
                  <wp:posOffset>1904365</wp:posOffset>
                </wp:positionV>
                <wp:extent cx="1112520" cy="1470660"/>
                <wp:effectExtent l="0" t="0" r="11430" b="15240"/>
                <wp:wrapNone/>
                <wp:docPr id="3282" name="椭圆 3282"/>
                <wp:cNvGraphicFramePr/>
                <a:graphic xmlns:a="http://schemas.openxmlformats.org/drawingml/2006/main">
                  <a:graphicData uri="http://schemas.microsoft.com/office/word/2010/wordprocessingShape">
                    <wps:wsp>
                      <wps:cNvSpPr/>
                      <wps:spPr>
                        <a:xfrm>
                          <a:off x="0" y="0"/>
                          <a:ext cx="1112520" cy="1470660"/>
                        </a:xfrm>
                        <a:prstGeom prst="ellipse">
                          <a:avLst/>
                        </a:prstGeom>
                        <a:noFill/>
                        <a:ln w="19050" cap="flat" cmpd="sng" algn="ctr">
                          <a:solidFill>
                            <a:srgbClr val="FF0000"/>
                          </a:solidFill>
                          <a:prstDash val="dash"/>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49.7pt;margin-top:149.95pt;height:115.8pt;width:87.6pt;z-index:251674624;v-text-anchor:middle;mso-width-relative:page;mso-height-relative:page;" filled="f" stroked="t" coordsize="21600,21600" o:gfxdata="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">
                <v:fill on="f" focussize="0,0"/>
                <v:stroke weight="1.5pt" color="#FF0000" miterlimit="8" joinstyle="miter" dashstyle="dash"/>
                <v:imagedata o:title=""/>
                <o:lock v:ext="edit" aspectratio="f"/>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73600" behindDoc="0" locked="0" layoutInCell="1" allowOverlap="1">
                <wp:simplePos x="0" y="0"/>
                <wp:positionH relativeFrom="column">
                  <wp:posOffset>3435350</wp:posOffset>
                </wp:positionH>
                <wp:positionV relativeFrom="paragraph">
                  <wp:posOffset>845185</wp:posOffset>
                </wp:positionV>
                <wp:extent cx="1287780" cy="369570"/>
                <wp:effectExtent l="6350" t="6985" r="10795" b="261620"/>
                <wp:wrapNone/>
                <wp:docPr id="158" name="对话气泡: 矩形 158"/>
                <wp:cNvGraphicFramePr/>
                <a:graphic xmlns:a="http://schemas.openxmlformats.org/drawingml/2006/main">
                  <a:graphicData uri="http://schemas.microsoft.com/office/word/2010/wordprocessingShape">
                    <wps:wsp>
                      <wps:cNvSpPr/>
                      <wps:spPr bwMode="auto">
                        <a:xfrm>
                          <a:off x="0" y="0"/>
                          <a:ext cx="1287780" cy="369570"/>
                        </a:xfrm>
                        <a:prstGeom prst="wedgeRectCallout">
                          <a:avLst>
                            <a:gd name="adj1" fmla="val 31574"/>
                            <a:gd name="adj2" fmla="val 115481"/>
                          </a:avLst>
                        </a:prstGeom>
                        <a:solidFill>
                          <a:srgbClr val="6D6D6D"/>
                        </a:solidFill>
                        <a:ln w="12700" algn="ctr">
                          <a:solidFill>
                            <a:srgbClr val="FF0000"/>
                          </a:solidFill>
                          <a:miter lim="800000"/>
                        </a:ln>
                      </wps:spPr>
                      <wps:txbx>
                        <w:txbxContent>
                          <w:p w14:paraId="5793580A">
                            <w:pPr>
                              <w:spacing w:line="220" w:lineRule="exact"/>
                              <w:ind w:firstLine="0" w:firstLineChars="0"/>
                              <w:jc w:val="center"/>
                            </w:pPr>
                            <w:r>
                              <w:rPr>
                                <w:rFonts w:hint="eastAsia"/>
                                <w:color w:val="000000"/>
                                <w:sz w:val="21"/>
                                <w:szCs w:val="21"/>
                              </w:rPr>
                              <w:t>鹿耳环江红树林集中分布斑块</w:t>
                            </w:r>
                          </w:p>
                        </w:txbxContent>
                      </wps:txbx>
                      <wps:bodyPr rot="0" vert="horz" wrap="square" lIns="91440" tIns="45720" rIns="91440" bIns="45720" anchor="ctr" anchorCtr="0" upright="1">
                        <a:noAutofit/>
                      </wps:bodyPr>
                    </wps:wsp>
                  </a:graphicData>
                </a:graphic>
              </wp:anchor>
            </w:drawing>
          </mc:Choice>
          <mc:Fallback>
            <w:pict>
              <v:shape id="对话气泡: 矩形 158" o:spid="_x0000_s1026" o:spt="61" type="#_x0000_t61" style="position:absolute;left:0pt;margin-left:270.5pt;margin-top:66.55pt;height:29.1pt;width:101.4pt;z-index:251673600;v-text-anchor:middle;mso-width-relative:page;mso-height-relative:page;" fillcolor="#6D6D6D" filled="t" stroked="t" coordsize="21600,21600" o:gfxdata="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Gh/dT7bAAAACwEAAA8AAAAAAAAAAQAgAAAAIgAAAGRycy9kb3du&#10;cmV2LnhtbFBLAQIUABQAAAAIAIdO4kBEcwIkbgIAAMgEAAAOAAAAAAAAAAEAIAAAACoBAABkcnMv&#10;ZTJvRG9jLnhtbFBLBQYAAAAABgAGAFkBAAAKBgAAAAA=&#10;" adj="17620,35744">
                <v:fill on="t" focussize="0,0"/>
                <v:stroke weight="1pt" color="#FF0000" miterlimit="8" joinstyle="miter"/>
                <v:imagedata o:title=""/>
                <o:lock v:ext="edit" aspectratio="f"/>
                <v:textbox>
                  <w:txbxContent>
                    <w:p w14:paraId="5793580A">
                      <w:pPr>
                        <w:spacing w:line="220" w:lineRule="exact"/>
                        <w:ind w:firstLine="0" w:firstLineChars="0"/>
                        <w:jc w:val="center"/>
                      </w:pPr>
                      <w:r>
                        <w:rPr>
                          <w:rFonts w:hint="eastAsia"/>
                          <w:color w:val="000000"/>
                          <w:sz w:val="21"/>
                          <w:szCs w:val="21"/>
                        </w:rPr>
                        <w:t>鹿耳环江红树林集中分布斑块</w:t>
                      </w:r>
                    </w:p>
                  </w:txbxContent>
                </v:textbox>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72576" behindDoc="0" locked="0" layoutInCell="1" allowOverlap="1">
                <wp:simplePos x="0" y="0"/>
                <wp:positionH relativeFrom="column">
                  <wp:posOffset>4083050</wp:posOffset>
                </wp:positionH>
                <wp:positionV relativeFrom="paragraph">
                  <wp:posOffset>1447165</wp:posOffset>
                </wp:positionV>
                <wp:extent cx="845820" cy="982980"/>
                <wp:effectExtent l="0" t="0" r="11430" b="26670"/>
                <wp:wrapNone/>
                <wp:docPr id="3280" name="椭圆 3280"/>
                <wp:cNvGraphicFramePr/>
                <a:graphic xmlns:a="http://schemas.openxmlformats.org/drawingml/2006/main">
                  <a:graphicData uri="http://schemas.microsoft.com/office/word/2010/wordprocessingShape">
                    <wps:wsp>
                      <wps:cNvSpPr/>
                      <wps:spPr>
                        <a:xfrm>
                          <a:off x="0" y="0"/>
                          <a:ext cx="845820" cy="982980"/>
                        </a:xfrm>
                        <a:prstGeom prst="ellipse">
                          <a:avLst/>
                        </a:prstGeom>
                        <a:noFill/>
                        <a:ln w="19050" cap="flat" cmpd="sng" algn="ctr">
                          <a:solidFill>
                            <a:srgbClr val="FF0000"/>
                          </a:solidFill>
                          <a:prstDash val="dash"/>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21.5pt;margin-top:113.95pt;height:77.4pt;width:66.6pt;z-index:251672576;v-text-anchor:middle;mso-width-relative:page;mso-height-relative:page;" filled="f" stroked="t" coordsize="21600,21600" o:gfxdata="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HiXuw3cAAAACwEAAA8AAAAAAAAAAQAgAAAAIgAAAGRy&#10;cy9kb3ducmV2LnhtbFBLAQIUABQAAAAIAIdO4kDXB3ZOcwIAAOAEAAAOAAAAAAAAAAEAIAAAACsB&#10;AABkcnMvZTJvRG9jLnhtbFBLBQYAAAAABgAGAFkBAAAQBgAAAAA=&#10;">
                <v:fill on="f" focussize="0,0"/>
                <v:stroke weight="1.5pt" color="#FF0000" miterlimit="8" joinstyle="miter" dashstyle="dash"/>
                <v:imagedata o:title=""/>
                <o:lock v:ext="edit" aspectratio="f"/>
              </v:shape>
            </w:pict>
          </mc:Fallback>
        </mc:AlternateContent>
      </w:r>
      <w:r>
        <w:rPr>
          <w:color w:val="000000" w:themeColor="text1"/>
          <w14:textFill>
            <w14:solidFill>
              <w14:schemeClr w14:val="tx1"/>
            </w14:solidFill>
          </w14:textFill>
        </w:rPr>
        <w:drawing>
          <wp:inline distT="0" distB="0" distL="0" distR="0">
            <wp:extent cx="5274310" cy="4799965"/>
            <wp:effectExtent l="19050" t="19050" r="21590" b="19685"/>
            <wp:docPr id="149"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a:xfrm>
                      <a:off x="0" y="0"/>
                      <a:ext cx="5274310" cy="4799965"/>
                    </a:xfrm>
                    <a:prstGeom prst="rect">
                      <a:avLst/>
                    </a:prstGeom>
                    <a:noFill/>
                    <a:ln w="19050">
                      <a:solidFill>
                        <a:schemeClr val="tx1"/>
                      </a:solidFill>
                    </a:ln>
                  </pic:spPr>
                </pic:pic>
              </a:graphicData>
            </a:graphic>
          </wp:inline>
        </w:drawing>
      </w:r>
    </w:p>
    <w:p w14:paraId="016D7AE7">
      <w:pPr>
        <w:pStyle w:val="8"/>
        <w:rPr>
          <w:color w:val="000000" w:themeColor="text1"/>
          <w14:textFill>
            <w14:solidFill>
              <w14:schemeClr w14:val="tx1"/>
            </w14:solidFill>
          </w14:textFill>
        </w:rPr>
      </w:pPr>
      <w:r>
        <w:rPr>
          <w:color w:val="000000" w:themeColor="text1"/>
          <w14:textFill>
            <w14:solidFill>
              <w14:schemeClr w14:val="tx1"/>
            </w14:solidFill>
          </w14:textFill>
        </w:rPr>
        <w:t>项目周边红树林斑块分布示意图</w:t>
      </w:r>
    </w:p>
    <w:p w14:paraId="25492376">
      <w:pPr>
        <w:pStyle w:val="5"/>
        <w:rPr>
          <w:color w:val="000000" w:themeColor="text1"/>
          <w14:textFill>
            <w14:solidFill>
              <w14:schemeClr w14:val="tx1"/>
            </w14:solidFill>
          </w14:textFill>
        </w:rPr>
      </w:pPr>
      <w:bookmarkStart w:id="567" w:name="_Toc136878475"/>
      <w:bookmarkStart w:id="568" w:name="_Toc29131832"/>
      <w:bookmarkStart w:id="569" w:name="_Toc216620539"/>
      <w:r>
        <w:rPr>
          <w:color w:val="000000" w:themeColor="text1"/>
          <w14:textFill>
            <w14:solidFill>
              <w14:schemeClr w14:val="tx1"/>
            </w14:solidFill>
          </w14:textFill>
        </w:rPr>
        <w:t>空气环境质量现状调查与评价</w:t>
      </w:r>
      <w:bookmarkEnd w:id="567"/>
      <w:bookmarkEnd w:id="568"/>
      <w:bookmarkEnd w:id="569"/>
      <w:r>
        <w:rPr>
          <w:color w:val="000000" w:themeColor="text1"/>
          <w14:textFill>
            <w14:solidFill>
              <w14:schemeClr w14:val="tx1"/>
            </w14:solidFill>
          </w14:textFill>
        </w:rPr>
        <w:t xml:space="preserve"> </w:t>
      </w:r>
    </w:p>
    <w:p w14:paraId="06F3FE96">
      <w:pPr>
        <w:pStyle w:val="4"/>
        <w:rPr>
          <w:color w:val="000000" w:themeColor="text1"/>
          <w14:textFill>
            <w14:solidFill>
              <w14:schemeClr w14:val="tx1"/>
            </w14:solidFill>
          </w14:textFill>
        </w:rPr>
      </w:pPr>
      <w:bookmarkStart w:id="570" w:name="_Toc136878476"/>
      <w:bookmarkStart w:id="571" w:name="_Toc216620540"/>
      <w:bookmarkStart w:id="572" w:name="_Toc135090228"/>
      <w:r>
        <w:rPr>
          <w:color w:val="000000" w:themeColor="text1"/>
          <w14:textFill>
            <w14:solidFill>
              <w14:schemeClr w14:val="tx1"/>
            </w14:solidFill>
          </w14:textFill>
        </w:rPr>
        <w:t>空气质量达标区判定</w:t>
      </w:r>
      <w:bookmarkEnd w:id="570"/>
      <w:bookmarkEnd w:id="571"/>
      <w:bookmarkEnd w:id="572"/>
    </w:p>
    <w:p w14:paraId="3603EC34">
      <w:pPr>
        <w:ind w:firstLine="480"/>
        <w:rPr>
          <w:color w:val="000000" w:themeColor="text1"/>
          <w14:textFill>
            <w14:solidFill>
              <w14:schemeClr w14:val="tx1"/>
            </w14:solidFill>
          </w14:textFill>
        </w:rPr>
      </w:pPr>
      <w:r>
        <w:rPr>
          <w:color w:val="000000" w:themeColor="text1"/>
          <w14:textFill>
            <w14:solidFill>
              <w14:schemeClr w14:val="tx1"/>
            </w14:solidFill>
          </w14:textFill>
        </w:rPr>
        <w:t>根据《自治区生态环境厅关于通报202</w:t>
      </w:r>
      <w:r>
        <w:rPr>
          <w:rFonts w:hint="eastAsia"/>
          <w:color w:val="000000" w:themeColor="text1"/>
          <w:lang w:val="en-US" w:eastAsia="zh-CN"/>
          <w14:textFill>
            <w14:solidFill>
              <w14:schemeClr w14:val="tx1"/>
            </w14:solidFill>
          </w14:textFill>
        </w:rPr>
        <w:t>4</w:t>
      </w:r>
      <w:r>
        <w:rPr>
          <w:color w:val="000000" w:themeColor="text1"/>
          <w14:textFill>
            <w14:solidFill>
              <w14:schemeClr w14:val="tx1"/>
            </w14:solidFill>
          </w14:textFill>
        </w:rPr>
        <w:t>年设区城市及各县（市、区）环境空气质量的函》（桂环函〔202</w:t>
      </w:r>
      <w:r>
        <w:rPr>
          <w:rFonts w:hint="eastAsia"/>
          <w:color w:val="000000" w:themeColor="text1"/>
          <w:lang w:val="en-US" w:eastAsia="zh-CN"/>
          <w14:textFill>
            <w14:solidFill>
              <w14:schemeClr w14:val="tx1"/>
            </w14:solidFill>
          </w14:textFill>
        </w:rPr>
        <w:t>5</w:t>
      </w:r>
      <w:r>
        <w:rPr>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66</w:t>
      </w:r>
      <w:r>
        <w:rPr>
          <w:color w:val="000000" w:themeColor="text1"/>
          <w14:textFill>
            <w14:solidFill>
              <w14:schemeClr w14:val="tx1"/>
            </w14:solidFill>
          </w14:textFill>
        </w:rPr>
        <w:t>号）中，</w:t>
      </w:r>
      <w:r>
        <w:rPr>
          <w:rFonts w:hint="eastAsia"/>
          <w:color w:val="000000" w:themeColor="text1"/>
          <w:lang w:bidi="zh-CN"/>
          <w14:textFill>
            <w14:solidFill>
              <w14:schemeClr w14:val="tx1"/>
            </w14:solidFill>
          </w14:textFill>
        </w:rPr>
        <w:t>项目所在区域钦州市 SO</w:t>
      </w:r>
      <w:r>
        <w:rPr>
          <w:rFonts w:hint="eastAsia"/>
          <w:color w:val="000000" w:themeColor="text1"/>
          <w:vertAlign w:val="subscript"/>
          <w:lang w:bidi="zh-CN"/>
          <w14:textFill>
            <w14:solidFill>
              <w14:schemeClr w14:val="tx1"/>
            </w14:solidFill>
          </w14:textFill>
        </w:rPr>
        <w:t>2</w:t>
      </w:r>
      <w:r>
        <w:rPr>
          <w:rFonts w:hint="eastAsia"/>
          <w:color w:val="000000" w:themeColor="text1"/>
          <w:lang w:bidi="zh-CN"/>
          <w14:textFill>
            <w14:solidFill>
              <w14:schemeClr w14:val="tx1"/>
            </w14:solidFill>
          </w14:textFill>
        </w:rPr>
        <w:t>、NO</w:t>
      </w:r>
      <w:r>
        <w:rPr>
          <w:rFonts w:hint="eastAsia"/>
          <w:color w:val="000000" w:themeColor="text1"/>
          <w:vertAlign w:val="subscript"/>
          <w:lang w:bidi="zh-CN"/>
          <w14:textFill>
            <w14:solidFill>
              <w14:schemeClr w14:val="tx1"/>
            </w14:solidFill>
          </w14:textFill>
        </w:rPr>
        <w:t>2</w:t>
      </w:r>
      <w:r>
        <w:rPr>
          <w:rFonts w:hint="eastAsia"/>
          <w:color w:val="000000" w:themeColor="text1"/>
          <w:lang w:bidi="zh-CN"/>
          <w14:textFill>
            <w14:solidFill>
              <w14:schemeClr w14:val="tx1"/>
            </w14:solidFill>
          </w14:textFill>
        </w:rPr>
        <w:t>、PM</w:t>
      </w:r>
      <w:r>
        <w:rPr>
          <w:rFonts w:hint="eastAsia"/>
          <w:color w:val="000000" w:themeColor="text1"/>
          <w:vertAlign w:val="subscript"/>
          <w:lang w:val="en-US" w:bidi="zh-CN"/>
          <w14:textFill>
            <w14:solidFill>
              <w14:schemeClr w14:val="tx1"/>
            </w14:solidFill>
          </w14:textFill>
        </w:rPr>
        <w:t>10</w:t>
      </w:r>
      <w:r>
        <w:rPr>
          <w:rFonts w:hint="eastAsia"/>
          <w:color w:val="000000" w:themeColor="text1"/>
          <w:lang w:bidi="zh-CN"/>
          <w14:textFill>
            <w14:solidFill>
              <w14:schemeClr w14:val="tx1"/>
            </w14:solidFill>
          </w14:textFill>
        </w:rPr>
        <w:t>、PM</w:t>
      </w:r>
      <w:r>
        <w:rPr>
          <w:rFonts w:hint="eastAsia"/>
          <w:color w:val="000000" w:themeColor="text1"/>
          <w:vertAlign w:val="subscript"/>
          <w:lang w:val="en-US" w:bidi="zh-CN"/>
          <w14:textFill>
            <w14:solidFill>
              <w14:schemeClr w14:val="tx1"/>
            </w14:solidFill>
          </w14:textFill>
        </w:rPr>
        <w:t>2.5</w:t>
      </w:r>
      <w:r>
        <w:rPr>
          <w:rFonts w:hint="eastAsia"/>
          <w:color w:val="000000" w:themeColor="text1"/>
          <w:lang w:bidi="zh-CN"/>
          <w14:textFill>
            <w14:solidFill>
              <w14:schemeClr w14:val="tx1"/>
            </w14:solidFill>
          </w14:textFill>
        </w:rPr>
        <w:t>、</w:t>
      </w:r>
      <w:r>
        <w:rPr>
          <w:rFonts w:hint="eastAsia"/>
          <w:color w:val="000000" w:themeColor="text1"/>
          <w:lang w:val="en-US" w:bidi="zh-CN"/>
          <w14:textFill>
            <w14:solidFill>
              <w14:schemeClr w14:val="tx1"/>
            </w14:solidFill>
          </w14:textFill>
        </w:rPr>
        <w:t>CO</w:t>
      </w:r>
      <w:r>
        <w:rPr>
          <w:rFonts w:hint="eastAsia"/>
          <w:color w:val="000000" w:themeColor="text1"/>
          <w:lang w:bidi="zh-CN"/>
          <w14:textFill>
            <w14:solidFill>
              <w14:schemeClr w14:val="tx1"/>
            </w14:solidFill>
          </w14:textFill>
        </w:rPr>
        <w:t>、</w:t>
      </w:r>
      <w:r>
        <w:rPr>
          <w:rFonts w:hint="eastAsia"/>
          <w:color w:val="000000" w:themeColor="text1"/>
          <w:lang w:val="en-US" w:bidi="zh-CN"/>
          <w14:textFill>
            <w14:solidFill>
              <w14:schemeClr w14:val="tx1"/>
            </w14:solidFill>
          </w14:textFill>
        </w:rPr>
        <w:t>O</w:t>
      </w:r>
      <w:r>
        <w:rPr>
          <w:rFonts w:hint="eastAsia"/>
          <w:color w:val="000000" w:themeColor="text1"/>
          <w:vertAlign w:val="subscript"/>
          <w:lang w:val="en-US" w:bidi="zh-CN"/>
          <w14:textFill>
            <w14:solidFill>
              <w14:schemeClr w14:val="tx1"/>
            </w14:solidFill>
          </w14:textFill>
        </w:rPr>
        <w:t>3</w:t>
      </w:r>
      <w:r>
        <w:rPr>
          <w:rFonts w:hint="eastAsia"/>
          <w:color w:val="000000" w:themeColor="text1"/>
          <w:lang w:bidi="zh-CN"/>
          <w14:textFill>
            <w14:solidFill>
              <w14:schemeClr w14:val="tx1"/>
            </w14:solidFill>
          </w14:textFill>
        </w:rPr>
        <w:t>环境质量现状均满足《环境空气质量标准》(GB3095-2012)中的二级标准，项目区域环境空气质量为达标区，区域空气质量见下表</w:t>
      </w:r>
      <w:r>
        <w:rPr>
          <w:color w:val="000000" w:themeColor="text1"/>
          <w:lang w:bidi="zh-CN"/>
          <w14:textFill>
            <w14:solidFill>
              <w14:schemeClr w14:val="tx1"/>
            </w14:solidFill>
          </w14:textFill>
        </w:rPr>
        <w:t>。</w:t>
      </w:r>
    </w:p>
    <w:p w14:paraId="21508E01">
      <w:pPr>
        <w:pStyle w:val="7"/>
        <w:rPr>
          <w:color w:val="000000" w:themeColor="text1"/>
          <w14:textFill>
            <w14:solidFill>
              <w14:schemeClr w14:val="tx1"/>
            </w14:solidFill>
          </w14:textFill>
        </w:rPr>
      </w:pPr>
      <w:r>
        <w:rPr>
          <w:color w:val="000000" w:themeColor="text1"/>
          <w14:textFill>
            <w14:solidFill>
              <w14:schemeClr w14:val="tx1"/>
            </w14:solidFill>
          </w14:textFill>
        </w:rPr>
        <w:t>区域空气质量现状评价表</w:t>
      </w:r>
    </w:p>
    <w:tbl>
      <w:tblPr>
        <w:tblStyle w:val="43"/>
        <w:tblW w:w="5000" w:type="pct"/>
        <w:tblInd w:w="0"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autofit"/>
        <w:tblCellMar>
          <w:top w:w="0" w:type="dxa"/>
          <w:left w:w="108" w:type="dxa"/>
          <w:bottom w:w="0" w:type="dxa"/>
          <w:right w:w="108" w:type="dxa"/>
        </w:tblCellMar>
      </w:tblPr>
      <w:tblGrid>
        <w:gridCol w:w="995"/>
        <w:gridCol w:w="2637"/>
        <w:gridCol w:w="1207"/>
        <w:gridCol w:w="1198"/>
        <w:gridCol w:w="1014"/>
        <w:gridCol w:w="1079"/>
        <w:gridCol w:w="1170"/>
      </w:tblGrid>
      <w:tr w14:paraId="4AAFB0CF">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85" w:hRule="atLeast"/>
          <w:tblHeader/>
        </w:trPr>
        <w:tc>
          <w:tcPr>
            <w:tcW w:w="535" w:type="pct"/>
            <w:vMerge w:val="restart"/>
            <w:tcBorders>
              <w:bottom w:val="single" w:color="000000" w:sz="4" w:space="0"/>
              <w:right w:val="single" w:color="000000" w:sz="4" w:space="0"/>
            </w:tcBorders>
            <w:vAlign w:val="center"/>
          </w:tcPr>
          <w:p w14:paraId="0CA4F15D">
            <w:pPr>
              <w:adjustRightInd w:val="0"/>
              <w:snapToGrid w:val="0"/>
              <w:spacing w:line="260" w:lineRule="exact"/>
              <w:ind w:firstLine="0" w:firstLineChars="0"/>
              <w:jc w:val="center"/>
              <w:rPr>
                <w:b/>
                <w:bCs/>
                <w:snapToGrid w:val="0"/>
                <w:color w:val="000000" w:themeColor="text1"/>
                <w:kern w:val="0"/>
                <w:sz w:val="21"/>
                <w:szCs w:val="21"/>
                <w14:textFill>
                  <w14:solidFill>
                    <w14:schemeClr w14:val="tx1"/>
                  </w14:solidFill>
                </w14:textFill>
              </w:rPr>
            </w:pPr>
            <w:r>
              <w:rPr>
                <w:b/>
                <w:bCs/>
                <w:snapToGrid w:val="0"/>
                <w:color w:val="000000" w:themeColor="text1"/>
                <w:kern w:val="0"/>
                <w:sz w:val="21"/>
                <w:szCs w:val="21"/>
                <w14:textFill>
                  <w14:solidFill>
                    <w14:schemeClr w14:val="tx1"/>
                  </w14:solidFill>
                </w14:textFill>
              </w:rPr>
              <w:t>污染物</w:t>
            </w:r>
          </w:p>
        </w:tc>
        <w:tc>
          <w:tcPr>
            <w:tcW w:w="1418" w:type="pct"/>
            <w:vMerge w:val="restart"/>
            <w:tcBorders>
              <w:left w:val="single" w:color="000000" w:sz="4" w:space="0"/>
              <w:bottom w:val="single" w:color="000000" w:sz="4" w:space="0"/>
              <w:right w:val="single" w:color="000000" w:sz="4" w:space="0"/>
            </w:tcBorders>
            <w:vAlign w:val="center"/>
          </w:tcPr>
          <w:p w14:paraId="1F0124F9">
            <w:pPr>
              <w:adjustRightInd w:val="0"/>
              <w:snapToGrid w:val="0"/>
              <w:spacing w:line="260" w:lineRule="exact"/>
              <w:ind w:firstLine="0" w:firstLineChars="0"/>
              <w:jc w:val="center"/>
              <w:rPr>
                <w:b/>
                <w:bCs/>
                <w:snapToGrid w:val="0"/>
                <w:color w:val="000000" w:themeColor="text1"/>
                <w:kern w:val="0"/>
                <w:sz w:val="21"/>
                <w:szCs w:val="21"/>
                <w14:textFill>
                  <w14:solidFill>
                    <w14:schemeClr w14:val="tx1"/>
                  </w14:solidFill>
                </w14:textFill>
              </w:rPr>
            </w:pPr>
            <w:r>
              <w:rPr>
                <w:b/>
                <w:bCs/>
                <w:snapToGrid w:val="0"/>
                <w:color w:val="000000" w:themeColor="text1"/>
                <w:kern w:val="0"/>
                <w:sz w:val="21"/>
                <w:szCs w:val="21"/>
                <w14:textFill>
                  <w14:solidFill>
                    <w14:schemeClr w14:val="tx1"/>
                  </w14:solidFill>
                </w14:textFill>
              </w:rPr>
              <w:t>年平均指标</w:t>
            </w:r>
          </w:p>
        </w:tc>
        <w:tc>
          <w:tcPr>
            <w:tcW w:w="649" w:type="pct"/>
            <w:tcBorders>
              <w:left w:val="single" w:color="000000" w:sz="4" w:space="0"/>
              <w:bottom w:val="single" w:color="000000" w:sz="4" w:space="0"/>
              <w:right w:val="single" w:color="000000" w:sz="4" w:space="0"/>
            </w:tcBorders>
            <w:vAlign w:val="center"/>
          </w:tcPr>
          <w:p w14:paraId="23BEDB58">
            <w:pPr>
              <w:adjustRightInd w:val="0"/>
              <w:snapToGrid w:val="0"/>
              <w:spacing w:line="260" w:lineRule="exact"/>
              <w:ind w:firstLine="0" w:firstLineChars="0"/>
              <w:jc w:val="center"/>
              <w:rPr>
                <w:b/>
                <w:bCs/>
                <w:snapToGrid w:val="0"/>
                <w:color w:val="000000" w:themeColor="text1"/>
                <w:kern w:val="0"/>
                <w:sz w:val="21"/>
                <w:szCs w:val="21"/>
                <w14:textFill>
                  <w14:solidFill>
                    <w14:schemeClr w14:val="tx1"/>
                  </w14:solidFill>
                </w14:textFill>
              </w:rPr>
            </w:pPr>
            <w:r>
              <w:rPr>
                <w:b/>
                <w:bCs/>
                <w:snapToGrid w:val="0"/>
                <w:color w:val="000000" w:themeColor="text1"/>
                <w:kern w:val="0"/>
                <w:sz w:val="21"/>
                <w:szCs w:val="21"/>
                <w14:textFill>
                  <w14:solidFill>
                    <w14:schemeClr w14:val="tx1"/>
                  </w14:solidFill>
                </w14:textFill>
              </w:rPr>
              <w:t>评价标准</w:t>
            </w:r>
          </w:p>
        </w:tc>
        <w:tc>
          <w:tcPr>
            <w:tcW w:w="644" w:type="pct"/>
            <w:tcBorders>
              <w:left w:val="single" w:color="000000" w:sz="4" w:space="0"/>
              <w:bottom w:val="single" w:color="000000" w:sz="4" w:space="0"/>
              <w:right w:val="single" w:color="000000" w:sz="4" w:space="0"/>
            </w:tcBorders>
            <w:vAlign w:val="center"/>
          </w:tcPr>
          <w:p w14:paraId="2F9564A6">
            <w:pPr>
              <w:adjustRightInd w:val="0"/>
              <w:snapToGrid w:val="0"/>
              <w:spacing w:line="260" w:lineRule="exact"/>
              <w:ind w:firstLine="0" w:firstLineChars="0"/>
              <w:jc w:val="center"/>
              <w:rPr>
                <w:b/>
                <w:bCs/>
                <w:snapToGrid w:val="0"/>
                <w:color w:val="000000" w:themeColor="text1"/>
                <w:kern w:val="0"/>
                <w:sz w:val="21"/>
                <w:szCs w:val="21"/>
                <w14:textFill>
                  <w14:solidFill>
                    <w14:schemeClr w14:val="tx1"/>
                  </w14:solidFill>
                </w14:textFill>
              </w:rPr>
            </w:pPr>
            <w:r>
              <w:rPr>
                <w:b/>
                <w:bCs/>
                <w:snapToGrid w:val="0"/>
                <w:color w:val="000000" w:themeColor="text1"/>
                <w:kern w:val="0"/>
                <w:sz w:val="21"/>
                <w:szCs w:val="21"/>
                <w14:textFill>
                  <w14:solidFill>
                    <w14:schemeClr w14:val="tx1"/>
                  </w14:solidFill>
                </w14:textFill>
              </w:rPr>
              <w:t>现状浓度</w:t>
            </w:r>
          </w:p>
        </w:tc>
        <w:tc>
          <w:tcPr>
            <w:tcW w:w="545" w:type="pct"/>
            <w:vMerge w:val="restart"/>
            <w:tcBorders>
              <w:left w:val="single" w:color="000000" w:sz="4" w:space="0"/>
              <w:bottom w:val="single" w:color="000000" w:sz="4" w:space="0"/>
              <w:right w:val="single" w:color="000000" w:sz="4" w:space="0"/>
            </w:tcBorders>
            <w:vAlign w:val="center"/>
          </w:tcPr>
          <w:p w14:paraId="1C0CAED5">
            <w:pPr>
              <w:adjustRightInd w:val="0"/>
              <w:snapToGrid w:val="0"/>
              <w:spacing w:line="260" w:lineRule="exact"/>
              <w:ind w:firstLine="0" w:firstLineChars="0"/>
              <w:jc w:val="center"/>
              <w:rPr>
                <w:b/>
                <w:bCs/>
                <w:snapToGrid w:val="0"/>
                <w:color w:val="000000" w:themeColor="text1"/>
                <w:kern w:val="0"/>
                <w:sz w:val="21"/>
                <w:szCs w:val="21"/>
                <w14:textFill>
                  <w14:solidFill>
                    <w14:schemeClr w14:val="tx1"/>
                  </w14:solidFill>
                </w14:textFill>
              </w:rPr>
            </w:pPr>
            <w:r>
              <w:rPr>
                <w:b/>
                <w:bCs/>
                <w:snapToGrid w:val="0"/>
                <w:color w:val="000000" w:themeColor="text1"/>
                <w:kern w:val="0"/>
                <w:sz w:val="21"/>
                <w:szCs w:val="21"/>
                <w14:textFill>
                  <w14:solidFill>
                    <w14:schemeClr w14:val="tx1"/>
                  </w14:solidFill>
                </w14:textFill>
              </w:rPr>
              <w:t>占标率</w:t>
            </w:r>
          </w:p>
          <w:p w14:paraId="6D0D808B">
            <w:pPr>
              <w:adjustRightInd w:val="0"/>
              <w:snapToGrid w:val="0"/>
              <w:spacing w:line="260" w:lineRule="exact"/>
              <w:ind w:firstLine="0" w:firstLineChars="0"/>
              <w:jc w:val="center"/>
              <w:rPr>
                <w:b/>
                <w:bCs/>
                <w:snapToGrid w:val="0"/>
                <w:color w:val="000000" w:themeColor="text1"/>
                <w:kern w:val="0"/>
                <w:sz w:val="21"/>
                <w:szCs w:val="21"/>
                <w14:textFill>
                  <w14:solidFill>
                    <w14:schemeClr w14:val="tx1"/>
                  </w14:solidFill>
                </w14:textFill>
              </w:rPr>
            </w:pPr>
            <w:r>
              <w:rPr>
                <w:b/>
                <w:bCs/>
                <w:snapToGrid w:val="0"/>
                <w:color w:val="000000" w:themeColor="text1"/>
                <w:kern w:val="0"/>
                <w:sz w:val="21"/>
                <w:szCs w:val="21"/>
                <w14:textFill>
                  <w14:solidFill>
                    <w14:schemeClr w14:val="tx1"/>
                  </w14:solidFill>
                </w14:textFill>
              </w:rPr>
              <w:t>(%)</w:t>
            </w:r>
          </w:p>
        </w:tc>
        <w:tc>
          <w:tcPr>
            <w:tcW w:w="580" w:type="pct"/>
            <w:vMerge w:val="restart"/>
            <w:tcBorders>
              <w:left w:val="single" w:color="000000" w:sz="4" w:space="0"/>
              <w:bottom w:val="single" w:color="000000" w:sz="4" w:space="0"/>
              <w:right w:val="single" w:color="000000" w:sz="4" w:space="0"/>
            </w:tcBorders>
            <w:vAlign w:val="center"/>
          </w:tcPr>
          <w:p w14:paraId="7EC4A061">
            <w:pPr>
              <w:adjustRightInd w:val="0"/>
              <w:snapToGrid w:val="0"/>
              <w:spacing w:line="260" w:lineRule="exact"/>
              <w:ind w:firstLine="0" w:firstLineChars="0"/>
              <w:jc w:val="center"/>
              <w:rPr>
                <w:b/>
                <w:bCs/>
                <w:snapToGrid w:val="0"/>
                <w:color w:val="000000" w:themeColor="text1"/>
                <w:kern w:val="0"/>
                <w:sz w:val="21"/>
                <w:szCs w:val="21"/>
                <w14:textFill>
                  <w14:solidFill>
                    <w14:schemeClr w14:val="tx1"/>
                  </w14:solidFill>
                </w14:textFill>
              </w:rPr>
            </w:pPr>
            <w:r>
              <w:rPr>
                <w:b/>
                <w:bCs/>
                <w:snapToGrid w:val="0"/>
                <w:color w:val="000000" w:themeColor="text1"/>
                <w:kern w:val="0"/>
                <w:sz w:val="21"/>
                <w:szCs w:val="21"/>
                <w14:textFill>
                  <w14:solidFill>
                    <w14:schemeClr w14:val="tx1"/>
                  </w14:solidFill>
                </w14:textFill>
              </w:rPr>
              <w:t>超标倍数</w:t>
            </w:r>
          </w:p>
        </w:tc>
        <w:tc>
          <w:tcPr>
            <w:tcW w:w="629" w:type="pct"/>
            <w:vMerge w:val="restart"/>
            <w:tcBorders>
              <w:left w:val="single" w:color="000000" w:sz="4" w:space="0"/>
              <w:bottom w:val="single" w:color="000000" w:sz="4" w:space="0"/>
            </w:tcBorders>
            <w:vAlign w:val="center"/>
          </w:tcPr>
          <w:p w14:paraId="11849C60">
            <w:pPr>
              <w:adjustRightInd w:val="0"/>
              <w:snapToGrid w:val="0"/>
              <w:spacing w:line="260" w:lineRule="exact"/>
              <w:ind w:firstLine="0" w:firstLineChars="0"/>
              <w:jc w:val="center"/>
              <w:rPr>
                <w:b/>
                <w:bCs/>
                <w:snapToGrid w:val="0"/>
                <w:color w:val="000000" w:themeColor="text1"/>
                <w:kern w:val="0"/>
                <w:sz w:val="21"/>
                <w:szCs w:val="21"/>
                <w14:textFill>
                  <w14:solidFill>
                    <w14:schemeClr w14:val="tx1"/>
                  </w14:solidFill>
                </w14:textFill>
              </w:rPr>
            </w:pPr>
            <w:r>
              <w:rPr>
                <w:b/>
                <w:bCs/>
                <w:snapToGrid w:val="0"/>
                <w:color w:val="000000" w:themeColor="text1"/>
                <w:kern w:val="0"/>
                <w:sz w:val="21"/>
                <w:szCs w:val="21"/>
                <w14:textFill>
                  <w14:solidFill>
                    <w14:schemeClr w14:val="tx1"/>
                  </w14:solidFill>
                </w14:textFill>
              </w:rPr>
              <w:t>达标情况</w:t>
            </w:r>
          </w:p>
        </w:tc>
      </w:tr>
      <w:tr w14:paraId="5D1B5F84">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15" w:hRule="atLeast"/>
          <w:tblHeader/>
        </w:trPr>
        <w:tc>
          <w:tcPr>
            <w:tcW w:w="535" w:type="pct"/>
            <w:vMerge w:val="continue"/>
            <w:tcBorders>
              <w:top w:val="single" w:color="000000" w:sz="4" w:space="0"/>
              <w:bottom w:val="single" w:color="000000" w:sz="4" w:space="0"/>
              <w:right w:val="single" w:color="000000" w:sz="4" w:space="0"/>
            </w:tcBorders>
            <w:vAlign w:val="center"/>
          </w:tcPr>
          <w:p w14:paraId="3418808A">
            <w:pPr>
              <w:adjustRightInd w:val="0"/>
              <w:snapToGrid w:val="0"/>
              <w:spacing w:line="260" w:lineRule="exact"/>
              <w:ind w:firstLine="0" w:firstLineChars="0"/>
              <w:jc w:val="center"/>
              <w:rPr>
                <w:b/>
                <w:bCs/>
                <w:snapToGrid w:val="0"/>
                <w:color w:val="000000" w:themeColor="text1"/>
                <w:kern w:val="0"/>
                <w:sz w:val="21"/>
                <w:szCs w:val="21"/>
                <w14:textFill>
                  <w14:solidFill>
                    <w14:schemeClr w14:val="tx1"/>
                  </w14:solidFill>
                </w14:textFill>
              </w:rPr>
            </w:pPr>
          </w:p>
        </w:tc>
        <w:tc>
          <w:tcPr>
            <w:tcW w:w="1418" w:type="pct"/>
            <w:vMerge w:val="continue"/>
            <w:tcBorders>
              <w:top w:val="single" w:color="000000" w:sz="4" w:space="0"/>
              <w:left w:val="single" w:color="000000" w:sz="4" w:space="0"/>
              <w:bottom w:val="single" w:color="000000" w:sz="4" w:space="0"/>
              <w:right w:val="single" w:color="000000" w:sz="4" w:space="0"/>
            </w:tcBorders>
            <w:vAlign w:val="center"/>
          </w:tcPr>
          <w:p w14:paraId="5FAC1A24">
            <w:pPr>
              <w:adjustRightInd w:val="0"/>
              <w:snapToGrid w:val="0"/>
              <w:spacing w:line="260" w:lineRule="exact"/>
              <w:ind w:firstLine="0" w:firstLineChars="0"/>
              <w:jc w:val="center"/>
              <w:rPr>
                <w:b/>
                <w:bCs/>
                <w:snapToGrid w:val="0"/>
                <w:color w:val="000000" w:themeColor="text1"/>
                <w:kern w:val="0"/>
                <w:sz w:val="21"/>
                <w:szCs w:val="21"/>
                <w14:textFill>
                  <w14:solidFill>
                    <w14:schemeClr w14:val="tx1"/>
                  </w14:solidFill>
                </w14:textFill>
              </w:rPr>
            </w:pPr>
          </w:p>
        </w:tc>
        <w:tc>
          <w:tcPr>
            <w:tcW w:w="649" w:type="pct"/>
            <w:tcBorders>
              <w:top w:val="single" w:color="000000" w:sz="4" w:space="0"/>
              <w:left w:val="single" w:color="000000" w:sz="4" w:space="0"/>
              <w:bottom w:val="single" w:color="000000" w:sz="4" w:space="0"/>
              <w:right w:val="single" w:color="000000" w:sz="4" w:space="0"/>
            </w:tcBorders>
            <w:vAlign w:val="center"/>
          </w:tcPr>
          <w:p w14:paraId="29A9E765">
            <w:pPr>
              <w:adjustRightInd w:val="0"/>
              <w:snapToGrid w:val="0"/>
              <w:spacing w:line="260" w:lineRule="exact"/>
              <w:ind w:firstLine="0" w:firstLineChars="0"/>
              <w:jc w:val="center"/>
              <w:rPr>
                <w:b/>
                <w:bCs/>
                <w:snapToGrid w:val="0"/>
                <w:color w:val="000000" w:themeColor="text1"/>
                <w:kern w:val="0"/>
                <w:sz w:val="21"/>
                <w:szCs w:val="21"/>
                <w14:textFill>
                  <w14:solidFill>
                    <w14:schemeClr w14:val="tx1"/>
                  </w14:solidFill>
                </w14:textFill>
              </w:rPr>
            </w:pPr>
            <w:r>
              <w:rPr>
                <w:b/>
                <w:bCs/>
                <w:snapToGrid w:val="0"/>
                <w:color w:val="000000" w:themeColor="text1"/>
                <w:kern w:val="0"/>
                <w:sz w:val="21"/>
                <w:szCs w:val="21"/>
                <w14:textFill>
                  <w14:solidFill>
                    <w14:schemeClr w14:val="tx1"/>
                  </w14:solidFill>
                </w14:textFill>
              </w:rPr>
              <w:t>（µg/m</w:t>
            </w:r>
            <w:r>
              <w:rPr>
                <w:b/>
                <w:bCs/>
                <w:snapToGrid w:val="0"/>
                <w:color w:val="000000" w:themeColor="text1"/>
                <w:kern w:val="0"/>
                <w:sz w:val="21"/>
                <w:szCs w:val="21"/>
                <w:vertAlign w:val="superscript"/>
                <w14:textFill>
                  <w14:solidFill>
                    <w14:schemeClr w14:val="tx1"/>
                  </w14:solidFill>
                </w14:textFill>
              </w:rPr>
              <w:t>3</w:t>
            </w:r>
            <w:r>
              <w:rPr>
                <w:b/>
                <w:bCs/>
                <w:snapToGrid w:val="0"/>
                <w:color w:val="000000" w:themeColor="text1"/>
                <w:kern w:val="0"/>
                <w:sz w:val="21"/>
                <w:szCs w:val="21"/>
                <w14:textFill>
                  <w14:solidFill>
                    <w14:schemeClr w14:val="tx1"/>
                  </w14:solidFill>
                </w14:textFill>
              </w:rPr>
              <w:t>）</w:t>
            </w:r>
          </w:p>
        </w:tc>
        <w:tc>
          <w:tcPr>
            <w:tcW w:w="644" w:type="pct"/>
            <w:tcBorders>
              <w:top w:val="single" w:color="000000" w:sz="4" w:space="0"/>
              <w:left w:val="single" w:color="000000" w:sz="4" w:space="0"/>
              <w:bottom w:val="single" w:color="000000" w:sz="4" w:space="0"/>
              <w:right w:val="single" w:color="000000" w:sz="4" w:space="0"/>
            </w:tcBorders>
            <w:vAlign w:val="center"/>
          </w:tcPr>
          <w:p w14:paraId="01E3D47E">
            <w:pPr>
              <w:adjustRightInd w:val="0"/>
              <w:snapToGrid w:val="0"/>
              <w:spacing w:line="260" w:lineRule="exact"/>
              <w:ind w:firstLine="0" w:firstLineChars="0"/>
              <w:jc w:val="center"/>
              <w:rPr>
                <w:b/>
                <w:bCs/>
                <w:snapToGrid w:val="0"/>
                <w:color w:val="000000" w:themeColor="text1"/>
                <w:kern w:val="0"/>
                <w:sz w:val="21"/>
                <w:szCs w:val="21"/>
                <w14:textFill>
                  <w14:solidFill>
                    <w14:schemeClr w14:val="tx1"/>
                  </w14:solidFill>
                </w14:textFill>
              </w:rPr>
            </w:pPr>
            <w:r>
              <w:rPr>
                <w:b/>
                <w:bCs/>
                <w:snapToGrid w:val="0"/>
                <w:color w:val="000000" w:themeColor="text1"/>
                <w:kern w:val="0"/>
                <w:sz w:val="21"/>
                <w:szCs w:val="21"/>
                <w14:textFill>
                  <w14:solidFill>
                    <w14:schemeClr w14:val="tx1"/>
                  </w14:solidFill>
                </w14:textFill>
              </w:rPr>
              <w:t>（µg/m</w:t>
            </w:r>
            <w:r>
              <w:rPr>
                <w:b/>
                <w:bCs/>
                <w:snapToGrid w:val="0"/>
                <w:color w:val="000000" w:themeColor="text1"/>
                <w:kern w:val="0"/>
                <w:sz w:val="21"/>
                <w:szCs w:val="21"/>
                <w:vertAlign w:val="superscript"/>
                <w14:textFill>
                  <w14:solidFill>
                    <w14:schemeClr w14:val="tx1"/>
                  </w14:solidFill>
                </w14:textFill>
              </w:rPr>
              <w:t>3</w:t>
            </w:r>
            <w:r>
              <w:rPr>
                <w:b/>
                <w:bCs/>
                <w:snapToGrid w:val="0"/>
                <w:color w:val="000000" w:themeColor="text1"/>
                <w:kern w:val="0"/>
                <w:sz w:val="21"/>
                <w:szCs w:val="21"/>
                <w14:textFill>
                  <w14:solidFill>
                    <w14:schemeClr w14:val="tx1"/>
                  </w14:solidFill>
                </w14:textFill>
              </w:rPr>
              <w:t>）</w:t>
            </w:r>
          </w:p>
        </w:tc>
        <w:tc>
          <w:tcPr>
            <w:tcW w:w="545" w:type="pct"/>
            <w:vMerge w:val="continue"/>
            <w:tcBorders>
              <w:top w:val="single" w:color="000000" w:sz="4" w:space="0"/>
              <w:left w:val="single" w:color="000000" w:sz="4" w:space="0"/>
              <w:bottom w:val="single" w:color="000000" w:sz="4" w:space="0"/>
              <w:right w:val="single" w:color="000000" w:sz="4" w:space="0"/>
            </w:tcBorders>
            <w:vAlign w:val="center"/>
          </w:tcPr>
          <w:p w14:paraId="1DDF6E17">
            <w:pPr>
              <w:adjustRightInd w:val="0"/>
              <w:snapToGrid w:val="0"/>
              <w:spacing w:line="260" w:lineRule="exact"/>
              <w:ind w:firstLine="0" w:firstLineChars="0"/>
              <w:jc w:val="center"/>
              <w:rPr>
                <w:b/>
                <w:bCs/>
                <w:snapToGrid w:val="0"/>
                <w:color w:val="000000" w:themeColor="text1"/>
                <w:kern w:val="0"/>
                <w:sz w:val="21"/>
                <w:szCs w:val="21"/>
                <w14:textFill>
                  <w14:solidFill>
                    <w14:schemeClr w14:val="tx1"/>
                  </w14:solidFill>
                </w14:textFill>
              </w:rPr>
            </w:pPr>
          </w:p>
        </w:tc>
        <w:tc>
          <w:tcPr>
            <w:tcW w:w="580" w:type="pct"/>
            <w:vMerge w:val="continue"/>
            <w:tcBorders>
              <w:top w:val="single" w:color="000000" w:sz="4" w:space="0"/>
              <w:left w:val="single" w:color="000000" w:sz="4" w:space="0"/>
              <w:bottom w:val="single" w:color="000000" w:sz="4" w:space="0"/>
              <w:right w:val="single" w:color="000000" w:sz="4" w:space="0"/>
            </w:tcBorders>
            <w:vAlign w:val="center"/>
          </w:tcPr>
          <w:p w14:paraId="5354AE88">
            <w:pPr>
              <w:adjustRightInd w:val="0"/>
              <w:snapToGrid w:val="0"/>
              <w:spacing w:line="260" w:lineRule="exact"/>
              <w:ind w:firstLine="0" w:firstLineChars="0"/>
              <w:jc w:val="center"/>
              <w:rPr>
                <w:b/>
                <w:bCs/>
                <w:snapToGrid w:val="0"/>
                <w:color w:val="000000" w:themeColor="text1"/>
                <w:kern w:val="0"/>
                <w:sz w:val="21"/>
                <w:szCs w:val="21"/>
                <w14:textFill>
                  <w14:solidFill>
                    <w14:schemeClr w14:val="tx1"/>
                  </w14:solidFill>
                </w14:textFill>
              </w:rPr>
            </w:pPr>
          </w:p>
        </w:tc>
        <w:tc>
          <w:tcPr>
            <w:tcW w:w="629" w:type="pct"/>
            <w:vMerge w:val="continue"/>
            <w:tcBorders>
              <w:top w:val="single" w:color="000000" w:sz="4" w:space="0"/>
              <w:left w:val="single" w:color="000000" w:sz="4" w:space="0"/>
              <w:bottom w:val="single" w:color="000000" w:sz="4" w:space="0"/>
            </w:tcBorders>
            <w:vAlign w:val="center"/>
          </w:tcPr>
          <w:p w14:paraId="278B1B76">
            <w:pPr>
              <w:adjustRightInd w:val="0"/>
              <w:snapToGrid w:val="0"/>
              <w:spacing w:line="260" w:lineRule="exact"/>
              <w:ind w:firstLine="0" w:firstLineChars="0"/>
              <w:jc w:val="center"/>
              <w:rPr>
                <w:b/>
                <w:bCs/>
                <w:snapToGrid w:val="0"/>
                <w:color w:val="000000" w:themeColor="text1"/>
                <w:kern w:val="0"/>
                <w:sz w:val="21"/>
                <w:szCs w:val="21"/>
                <w14:textFill>
                  <w14:solidFill>
                    <w14:schemeClr w14:val="tx1"/>
                  </w14:solidFill>
                </w14:textFill>
              </w:rPr>
            </w:pPr>
          </w:p>
        </w:tc>
      </w:tr>
      <w:tr w14:paraId="71806638">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00" w:hRule="atLeast"/>
        </w:trPr>
        <w:tc>
          <w:tcPr>
            <w:tcW w:w="535" w:type="pct"/>
            <w:tcBorders>
              <w:top w:val="single" w:color="000000" w:sz="4" w:space="0"/>
              <w:bottom w:val="single" w:color="000000" w:sz="4" w:space="0"/>
              <w:right w:val="single" w:color="000000" w:sz="4" w:space="0"/>
            </w:tcBorders>
            <w:vAlign w:val="center"/>
          </w:tcPr>
          <w:p w14:paraId="43C5D04B">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SO</w:t>
            </w:r>
            <w:r>
              <w:rPr>
                <w:snapToGrid w:val="0"/>
                <w:color w:val="000000" w:themeColor="text1"/>
                <w:kern w:val="0"/>
                <w:sz w:val="21"/>
                <w:szCs w:val="21"/>
                <w:vertAlign w:val="subscript"/>
                <w14:textFill>
                  <w14:solidFill>
                    <w14:schemeClr w14:val="tx1"/>
                  </w14:solidFill>
                </w14:textFill>
              </w:rPr>
              <w:t>2</w:t>
            </w:r>
          </w:p>
        </w:tc>
        <w:tc>
          <w:tcPr>
            <w:tcW w:w="1418" w:type="pct"/>
            <w:tcBorders>
              <w:top w:val="single" w:color="000000" w:sz="4" w:space="0"/>
              <w:left w:val="single" w:color="000000" w:sz="4" w:space="0"/>
              <w:bottom w:val="single" w:color="000000" w:sz="4" w:space="0"/>
              <w:right w:val="single" w:color="000000" w:sz="4" w:space="0"/>
            </w:tcBorders>
            <w:vAlign w:val="center"/>
          </w:tcPr>
          <w:p w14:paraId="7F6AA377">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年平均质量浓度</w:t>
            </w:r>
          </w:p>
        </w:tc>
        <w:tc>
          <w:tcPr>
            <w:tcW w:w="649" w:type="pct"/>
            <w:tcBorders>
              <w:top w:val="single" w:color="000000" w:sz="4" w:space="0"/>
              <w:left w:val="single" w:color="000000" w:sz="4" w:space="0"/>
              <w:bottom w:val="single" w:color="000000" w:sz="4" w:space="0"/>
              <w:right w:val="single" w:color="000000" w:sz="4" w:space="0"/>
            </w:tcBorders>
            <w:vAlign w:val="center"/>
          </w:tcPr>
          <w:p w14:paraId="2594943A">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60</w:t>
            </w:r>
          </w:p>
        </w:tc>
        <w:tc>
          <w:tcPr>
            <w:tcW w:w="644" w:type="pct"/>
            <w:tcBorders>
              <w:top w:val="single" w:color="000000" w:sz="4" w:space="0"/>
              <w:left w:val="single" w:color="000000" w:sz="4" w:space="0"/>
              <w:bottom w:val="single" w:color="000000" w:sz="4" w:space="0"/>
              <w:right w:val="single" w:color="000000" w:sz="4" w:space="0"/>
            </w:tcBorders>
            <w:vAlign w:val="center"/>
          </w:tcPr>
          <w:p w14:paraId="221367F3">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p>
        </w:tc>
        <w:tc>
          <w:tcPr>
            <w:tcW w:w="545" w:type="pct"/>
            <w:tcBorders>
              <w:top w:val="single" w:color="000000" w:sz="4" w:space="0"/>
              <w:left w:val="single" w:color="000000" w:sz="4" w:space="0"/>
              <w:bottom w:val="single" w:color="000000" w:sz="4" w:space="0"/>
              <w:right w:val="single" w:color="000000" w:sz="4" w:space="0"/>
            </w:tcBorders>
            <w:vAlign w:val="center"/>
          </w:tcPr>
          <w:p w14:paraId="6CDCED44">
            <w:pPr>
              <w:adjustRightInd w:val="0"/>
              <w:snapToGrid w:val="0"/>
              <w:spacing w:line="260" w:lineRule="exact"/>
              <w:ind w:firstLine="0" w:firstLineChars="0"/>
              <w:jc w:val="center"/>
              <w:rPr>
                <w:rFonts w:hint="default" w:eastAsia="宋体"/>
                <w:snapToGrid w:val="0"/>
                <w:color w:val="000000" w:themeColor="text1"/>
                <w:kern w:val="0"/>
                <w:sz w:val="21"/>
                <w:szCs w:val="21"/>
                <w:lang w:val="en-US" w:eastAsia="zh-CN"/>
                <w14:textFill>
                  <w14:solidFill>
                    <w14:schemeClr w14:val="tx1"/>
                  </w14:solidFill>
                </w14:textFill>
              </w:rPr>
            </w:pPr>
          </w:p>
        </w:tc>
        <w:tc>
          <w:tcPr>
            <w:tcW w:w="580" w:type="pct"/>
            <w:tcBorders>
              <w:top w:val="single" w:color="000000" w:sz="4" w:space="0"/>
              <w:left w:val="single" w:color="000000" w:sz="4" w:space="0"/>
              <w:bottom w:val="single" w:color="000000" w:sz="4" w:space="0"/>
              <w:right w:val="single" w:color="000000" w:sz="4" w:space="0"/>
            </w:tcBorders>
            <w:vAlign w:val="center"/>
          </w:tcPr>
          <w:p w14:paraId="129C3EBE">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0</w:t>
            </w:r>
          </w:p>
        </w:tc>
        <w:tc>
          <w:tcPr>
            <w:tcW w:w="629" w:type="pct"/>
            <w:tcBorders>
              <w:top w:val="single" w:color="000000" w:sz="4" w:space="0"/>
              <w:left w:val="single" w:color="000000" w:sz="4" w:space="0"/>
              <w:bottom w:val="single" w:color="000000" w:sz="4" w:space="0"/>
            </w:tcBorders>
            <w:vAlign w:val="center"/>
          </w:tcPr>
          <w:p w14:paraId="6812A84C">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达标</w:t>
            </w:r>
          </w:p>
        </w:tc>
      </w:tr>
      <w:tr w14:paraId="345F7E03">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00" w:hRule="atLeast"/>
        </w:trPr>
        <w:tc>
          <w:tcPr>
            <w:tcW w:w="535" w:type="pct"/>
            <w:tcBorders>
              <w:top w:val="single" w:color="000000" w:sz="4" w:space="0"/>
              <w:bottom w:val="single" w:color="000000" w:sz="4" w:space="0"/>
              <w:right w:val="single" w:color="000000" w:sz="4" w:space="0"/>
            </w:tcBorders>
            <w:vAlign w:val="center"/>
          </w:tcPr>
          <w:p w14:paraId="348A04BD">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NO</w:t>
            </w:r>
            <w:r>
              <w:rPr>
                <w:snapToGrid w:val="0"/>
                <w:color w:val="000000" w:themeColor="text1"/>
                <w:kern w:val="0"/>
                <w:sz w:val="21"/>
                <w:szCs w:val="21"/>
                <w:vertAlign w:val="subscript"/>
                <w14:textFill>
                  <w14:solidFill>
                    <w14:schemeClr w14:val="tx1"/>
                  </w14:solidFill>
                </w14:textFill>
              </w:rPr>
              <w:t>2</w:t>
            </w:r>
          </w:p>
        </w:tc>
        <w:tc>
          <w:tcPr>
            <w:tcW w:w="1418" w:type="pct"/>
            <w:tcBorders>
              <w:top w:val="single" w:color="000000" w:sz="4" w:space="0"/>
              <w:left w:val="single" w:color="000000" w:sz="4" w:space="0"/>
              <w:bottom w:val="single" w:color="000000" w:sz="4" w:space="0"/>
              <w:right w:val="single" w:color="000000" w:sz="4" w:space="0"/>
            </w:tcBorders>
            <w:vAlign w:val="center"/>
          </w:tcPr>
          <w:p w14:paraId="520286AF">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年平均质量浓度</w:t>
            </w:r>
          </w:p>
        </w:tc>
        <w:tc>
          <w:tcPr>
            <w:tcW w:w="649" w:type="pct"/>
            <w:tcBorders>
              <w:top w:val="single" w:color="000000" w:sz="4" w:space="0"/>
              <w:left w:val="single" w:color="000000" w:sz="4" w:space="0"/>
              <w:bottom w:val="single" w:color="000000" w:sz="4" w:space="0"/>
              <w:right w:val="single" w:color="000000" w:sz="4" w:space="0"/>
            </w:tcBorders>
            <w:vAlign w:val="center"/>
          </w:tcPr>
          <w:p w14:paraId="5ED2F0B3">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40</w:t>
            </w:r>
          </w:p>
        </w:tc>
        <w:tc>
          <w:tcPr>
            <w:tcW w:w="644" w:type="pct"/>
            <w:tcBorders>
              <w:top w:val="single" w:color="000000" w:sz="4" w:space="0"/>
              <w:left w:val="single" w:color="000000" w:sz="4" w:space="0"/>
              <w:bottom w:val="single" w:color="000000" w:sz="4" w:space="0"/>
              <w:right w:val="single" w:color="000000" w:sz="4" w:space="0"/>
            </w:tcBorders>
            <w:vAlign w:val="center"/>
          </w:tcPr>
          <w:p w14:paraId="32553B42">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p>
        </w:tc>
        <w:tc>
          <w:tcPr>
            <w:tcW w:w="545" w:type="pct"/>
            <w:tcBorders>
              <w:top w:val="single" w:color="000000" w:sz="4" w:space="0"/>
              <w:left w:val="single" w:color="000000" w:sz="4" w:space="0"/>
              <w:bottom w:val="single" w:color="000000" w:sz="4" w:space="0"/>
              <w:right w:val="single" w:color="000000" w:sz="4" w:space="0"/>
            </w:tcBorders>
            <w:vAlign w:val="center"/>
          </w:tcPr>
          <w:p w14:paraId="33E64D38">
            <w:pPr>
              <w:adjustRightInd w:val="0"/>
              <w:snapToGrid w:val="0"/>
              <w:spacing w:line="260" w:lineRule="exact"/>
              <w:ind w:firstLine="0" w:firstLineChars="0"/>
              <w:jc w:val="center"/>
              <w:rPr>
                <w:rFonts w:hint="default" w:eastAsia="宋体"/>
                <w:snapToGrid w:val="0"/>
                <w:color w:val="000000" w:themeColor="text1"/>
                <w:kern w:val="0"/>
                <w:sz w:val="21"/>
                <w:szCs w:val="21"/>
                <w:lang w:val="en-US" w:eastAsia="zh-CN"/>
                <w14:textFill>
                  <w14:solidFill>
                    <w14:schemeClr w14:val="tx1"/>
                  </w14:solidFill>
                </w14:textFill>
              </w:rPr>
            </w:pPr>
          </w:p>
        </w:tc>
        <w:tc>
          <w:tcPr>
            <w:tcW w:w="580" w:type="pct"/>
            <w:tcBorders>
              <w:top w:val="single" w:color="000000" w:sz="4" w:space="0"/>
              <w:left w:val="single" w:color="000000" w:sz="4" w:space="0"/>
              <w:bottom w:val="single" w:color="000000" w:sz="4" w:space="0"/>
              <w:right w:val="single" w:color="000000" w:sz="4" w:space="0"/>
            </w:tcBorders>
            <w:vAlign w:val="center"/>
          </w:tcPr>
          <w:p w14:paraId="29D567B4">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0</w:t>
            </w:r>
          </w:p>
        </w:tc>
        <w:tc>
          <w:tcPr>
            <w:tcW w:w="629" w:type="pct"/>
            <w:tcBorders>
              <w:top w:val="single" w:color="000000" w:sz="4" w:space="0"/>
              <w:left w:val="single" w:color="000000" w:sz="4" w:space="0"/>
              <w:bottom w:val="single" w:color="000000" w:sz="4" w:space="0"/>
            </w:tcBorders>
            <w:vAlign w:val="center"/>
          </w:tcPr>
          <w:p w14:paraId="2DEF9769">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达标</w:t>
            </w:r>
          </w:p>
        </w:tc>
      </w:tr>
      <w:tr w14:paraId="19F68D8C">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00" w:hRule="atLeast"/>
        </w:trPr>
        <w:tc>
          <w:tcPr>
            <w:tcW w:w="535" w:type="pct"/>
            <w:tcBorders>
              <w:top w:val="single" w:color="000000" w:sz="4" w:space="0"/>
              <w:bottom w:val="single" w:color="000000" w:sz="4" w:space="0"/>
              <w:right w:val="single" w:color="000000" w:sz="4" w:space="0"/>
            </w:tcBorders>
            <w:vAlign w:val="center"/>
          </w:tcPr>
          <w:p w14:paraId="30736BAC">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PM</w:t>
            </w:r>
            <w:r>
              <w:rPr>
                <w:snapToGrid w:val="0"/>
                <w:color w:val="000000" w:themeColor="text1"/>
                <w:kern w:val="0"/>
                <w:sz w:val="21"/>
                <w:szCs w:val="21"/>
                <w:vertAlign w:val="subscript"/>
                <w14:textFill>
                  <w14:solidFill>
                    <w14:schemeClr w14:val="tx1"/>
                  </w14:solidFill>
                </w14:textFill>
              </w:rPr>
              <w:t>10</w:t>
            </w:r>
          </w:p>
        </w:tc>
        <w:tc>
          <w:tcPr>
            <w:tcW w:w="1418" w:type="pct"/>
            <w:tcBorders>
              <w:top w:val="single" w:color="000000" w:sz="4" w:space="0"/>
              <w:left w:val="single" w:color="000000" w:sz="4" w:space="0"/>
              <w:bottom w:val="single" w:color="000000" w:sz="4" w:space="0"/>
              <w:right w:val="single" w:color="000000" w:sz="4" w:space="0"/>
            </w:tcBorders>
            <w:vAlign w:val="center"/>
          </w:tcPr>
          <w:p w14:paraId="5F00C54F">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年平均质量浓度</w:t>
            </w:r>
          </w:p>
        </w:tc>
        <w:tc>
          <w:tcPr>
            <w:tcW w:w="649" w:type="pct"/>
            <w:tcBorders>
              <w:top w:val="single" w:color="000000" w:sz="4" w:space="0"/>
              <w:left w:val="single" w:color="000000" w:sz="4" w:space="0"/>
              <w:bottom w:val="single" w:color="000000" w:sz="4" w:space="0"/>
              <w:right w:val="single" w:color="000000" w:sz="4" w:space="0"/>
            </w:tcBorders>
            <w:vAlign w:val="center"/>
          </w:tcPr>
          <w:p w14:paraId="7F66AEB0">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70</w:t>
            </w:r>
          </w:p>
        </w:tc>
        <w:tc>
          <w:tcPr>
            <w:tcW w:w="644" w:type="pct"/>
            <w:tcBorders>
              <w:top w:val="single" w:color="000000" w:sz="4" w:space="0"/>
              <w:left w:val="single" w:color="000000" w:sz="4" w:space="0"/>
              <w:bottom w:val="single" w:color="000000" w:sz="4" w:space="0"/>
              <w:right w:val="single" w:color="000000" w:sz="4" w:space="0"/>
            </w:tcBorders>
            <w:vAlign w:val="center"/>
          </w:tcPr>
          <w:p w14:paraId="1CEBF0CF">
            <w:pPr>
              <w:adjustRightInd w:val="0"/>
              <w:snapToGrid w:val="0"/>
              <w:spacing w:line="260" w:lineRule="exact"/>
              <w:ind w:firstLine="0" w:firstLineChars="0"/>
              <w:jc w:val="center"/>
              <w:rPr>
                <w:rFonts w:hint="eastAsia" w:eastAsia="宋体"/>
                <w:snapToGrid w:val="0"/>
                <w:color w:val="000000" w:themeColor="text1"/>
                <w:kern w:val="0"/>
                <w:sz w:val="21"/>
                <w:szCs w:val="21"/>
                <w:lang w:eastAsia="zh-CN"/>
                <w14:textFill>
                  <w14:solidFill>
                    <w14:schemeClr w14:val="tx1"/>
                  </w14:solidFill>
                </w14:textFill>
              </w:rPr>
            </w:pPr>
          </w:p>
        </w:tc>
        <w:tc>
          <w:tcPr>
            <w:tcW w:w="545" w:type="pct"/>
            <w:tcBorders>
              <w:top w:val="single" w:color="000000" w:sz="4" w:space="0"/>
              <w:left w:val="single" w:color="000000" w:sz="4" w:space="0"/>
              <w:bottom w:val="single" w:color="000000" w:sz="4" w:space="0"/>
              <w:right w:val="single" w:color="000000" w:sz="4" w:space="0"/>
            </w:tcBorders>
            <w:vAlign w:val="center"/>
          </w:tcPr>
          <w:p w14:paraId="5521A794">
            <w:pPr>
              <w:adjustRightInd w:val="0"/>
              <w:snapToGrid w:val="0"/>
              <w:spacing w:line="260" w:lineRule="exact"/>
              <w:ind w:firstLine="0" w:firstLineChars="0"/>
              <w:jc w:val="center"/>
              <w:rPr>
                <w:rFonts w:hint="default" w:eastAsia="宋体"/>
                <w:snapToGrid w:val="0"/>
                <w:color w:val="000000" w:themeColor="text1"/>
                <w:kern w:val="0"/>
                <w:sz w:val="21"/>
                <w:szCs w:val="21"/>
                <w:lang w:val="en-US" w:eastAsia="zh-CN"/>
                <w14:textFill>
                  <w14:solidFill>
                    <w14:schemeClr w14:val="tx1"/>
                  </w14:solidFill>
                </w14:textFill>
              </w:rPr>
            </w:pPr>
          </w:p>
        </w:tc>
        <w:tc>
          <w:tcPr>
            <w:tcW w:w="580" w:type="pct"/>
            <w:tcBorders>
              <w:top w:val="single" w:color="000000" w:sz="4" w:space="0"/>
              <w:left w:val="single" w:color="000000" w:sz="4" w:space="0"/>
              <w:bottom w:val="single" w:color="000000" w:sz="4" w:space="0"/>
              <w:right w:val="single" w:color="000000" w:sz="4" w:space="0"/>
            </w:tcBorders>
            <w:vAlign w:val="center"/>
          </w:tcPr>
          <w:p w14:paraId="08B6E412">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0</w:t>
            </w:r>
          </w:p>
        </w:tc>
        <w:tc>
          <w:tcPr>
            <w:tcW w:w="629" w:type="pct"/>
            <w:tcBorders>
              <w:top w:val="single" w:color="000000" w:sz="4" w:space="0"/>
              <w:left w:val="single" w:color="000000" w:sz="4" w:space="0"/>
              <w:bottom w:val="single" w:color="000000" w:sz="4" w:space="0"/>
            </w:tcBorders>
            <w:vAlign w:val="center"/>
          </w:tcPr>
          <w:p w14:paraId="13A78C43">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达标</w:t>
            </w:r>
          </w:p>
        </w:tc>
      </w:tr>
      <w:tr w14:paraId="46D3BCA4">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00" w:hRule="atLeast"/>
        </w:trPr>
        <w:tc>
          <w:tcPr>
            <w:tcW w:w="535" w:type="pct"/>
            <w:tcBorders>
              <w:top w:val="single" w:color="000000" w:sz="4" w:space="0"/>
              <w:bottom w:val="single" w:color="000000" w:sz="4" w:space="0"/>
              <w:right w:val="single" w:color="000000" w:sz="4" w:space="0"/>
            </w:tcBorders>
            <w:vAlign w:val="center"/>
          </w:tcPr>
          <w:p w14:paraId="53469761">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PM</w:t>
            </w:r>
            <w:r>
              <w:rPr>
                <w:snapToGrid w:val="0"/>
                <w:color w:val="000000" w:themeColor="text1"/>
                <w:kern w:val="0"/>
                <w:sz w:val="21"/>
                <w:szCs w:val="21"/>
                <w:vertAlign w:val="subscript"/>
                <w14:textFill>
                  <w14:solidFill>
                    <w14:schemeClr w14:val="tx1"/>
                  </w14:solidFill>
                </w14:textFill>
              </w:rPr>
              <w:t>2.5</w:t>
            </w:r>
          </w:p>
        </w:tc>
        <w:tc>
          <w:tcPr>
            <w:tcW w:w="1418" w:type="pct"/>
            <w:tcBorders>
              <w:top w:val="single" w:color="000000" w:sz="4" w:space="0"/>
              <w:left w:val="single" w:color="000000" w:sz="4" w:space="0"/>
              <w:bottom w:val="single" w:color="000000" w:sz="4" w:space="0"/>
              <w:right w:val="single" w:color="000000" w:sz="4" w:space="0"/>
            </w:tcBorders>
            <w:vAlign w:val="center"/>
          </w:tcPr>
          <w:p w14:paraId="49180DA0">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年平均质量浓度</w:t>
            </w:r>
          </w:p>
        </w:tc>
        <w:tc>
          <w:tcPr>
            <w:tcW w:w="649" w:type="pct"/>
            <w:tcBorders>
              <w:top w:val="single" w:color="000000" w:sz="4" w:space="0"/>
              <w:left w:val="single" w:color="000000" w:sz="4" w:space="0"/>
              <w:bottom w:val="single" w:color="000000" w:sz="4" w:space="0"/>
              <w:right w:val="single" w:color="000000" w:sz="4" w:space="0"/>
            </w:tcBorders>
            <w:vAlign w:val="center"/>
          </w:tcPr>
          <w:p w14:paraId="69A9187F">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35</w:t>
            </w:r>
          </w:p>
        </w:tc>
        <w:tc>
          <w:tcPr>
            <w:tcW w:w="644" w:type="pct"/>
            <w:tcBorders>
              <w:top w:val="single" w:color="000000" w:sz="4" w:space="0"/>
              <w:left w:val="single" w:color="000000" w:sz="4" w:space="0"/>
              <w:bottom w:val="single" w:color="000000" w:sz="4" w:space="0"/>
              <w:right w:val="single" w:color="000000" w:sz="4" w:space="0"/>
            </w:tcBorders>
            <w:vAlign w:val="center"/>
          </w:tcPr>
          <w:p w14:paraId="00EC9014">
            <w:pPr>
              <w:adjustRightInd w:val="0"/>
              <w:snapToGrid w:val="0"/>
              <w:spacing w:line="260" w:lineRule="exact"/>
              <w:ind w:firstLine="0" w:firstLineChars="0"/>
              <w:jc w:val="center"/>
              <w:rPr>
                <w:rFonts w:hint="eastAsia" w:eastAsia="宋体"/>
                <w:snapToGrid w:val="0"/>
                <w:color w:val="000000" w:themeColor="text1"/>
                <w:kern w:val="0"/>
                <w:sz w:val="21"/>
                <w:szCs w:val="21"/>
                <w:lang w:eastAsia="zh-CN"/>
                <w14:textFill>
                  <w14:solidFill>
                    <w14:schemeClr w14:val="tx1"/>
                  </w14:solidFill>
                </w14:textFill>
              </w:rPr>
            </w:pPr>
          </w:p>
        </w:tc>
        <w:tc>
          <w:tcPr>
            <w:tcW w:w="545" w:type="pct"/>
            <w:tcBorders>
              <w:top w:val="single" w:color="000000" w:sz="4" w:space="0"/>
              <w:left w:val="single" w:color="000000" w:sz="4" w:space="0"/>
              <w:bottom w:val="single" w:color="000000" w:sz="4" w:space="0"/>
              <w:right w:val="single" w:color="000000" w:sz="4" w:space="0"/>
            </w:tcBorders>
            <w:vAlign w:val="center"/>
          </w:tcPr>
          <w:p w14:paraId="0D2A055C">
            <w:pPr>
              <w:adjustRightInd w:val="0"/>
              <w:snapToGrid w:val="0"/>
              <w:spacing w:line="260" w:lineRule="exact"/>
              <w:ind w:firstLine="0" w:firstLineChars="0"/>
              <w:jc w:val="center"/>
              <w:rPr>
                <w:rFonts w:hint="default" w:eastAsia="宋体"/>
                <w:snapToGrid w:val="0"/>
                <w:color w:val="000000" w:themeColor="text1"/>
                <w:kern w:val="0"/>
                <w:sz w:val="21"/>
                <w:szCs w:val="21"/>
                <w:lang w:val="en-US" w:eastAsia="zh-CN"/>
                <w14:textFill>
                  <w14:solidFill>
                    <w14:schemeClr w14:val="tx1"/>
                  </w14:solidFill>
                </w14:textFill>
              </w:rPr>
            </w:pPr>
          </w:p>
        </w:tc>
        <w:tc>
          <w:tcPr>
            <w:tcW w:w="580" w:type="pct"/>
            <w:tcBorders>
              <w:top w:val="single" w:color="000000" w:sz="4" w:space="0"/>
              <w:left w:val="single" w:color="000000" w:sz="4" w:space="0"/>
              <w:bottom w:val="single" w:color="000000" w:sz="4" w:space="0"/>
              <w:right w:val="single" w:color="000000" w:sz="4" w:space="0"/>
            </w:tcBorders>
            <w:vAlign w:val="center"/>
          </w:tcPr>
          <w:p w14:paraId="4184989F">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0</w:t>
            </w:r>
          </w:p>
        </w:tc>
        <w:tc>
          <w:tcPr>
            <w:tcW w:w="629" w:type="pct"/>
            <w:tcBorders>
              <w:top w:val="single" w:color="000000" w:sz="4" w:space="0"/>
              <w:left w:val="single" w:color="000000" w:sz="4" w:space="0"/>
              <w:bottom w:val="single" w:color="000000" w:sz="4" w:space="0"/>
            </w:tcBorders>
            <w:vAlign w:val="center"/>
          </w:tcPr>
          <w:p w14:paraId="39FF2FDF">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达标</w:t>
            </w:r>
          </w:p>
        </w:tc>
      </w:tr>
      <w:tr w14:paraId="652AC447">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85" w:hRule="atLeast"/>
        </w:trPr>
        <w:tc>
          <w:tcPr>
            <w:tcW w:w="535" w:type="pct"/>
            <w:tcBorders>
              <w:top w:val="single" w:color="000000" w:sz="4" w:space="0"/>
              <w:bottom w:val="single" w:color="000000" w:sz="4" w:space="0"/>
              <w:right w:val="single" w:color="000000" w:sz="4" w:space="0"/>
            </w:tcBorders>
            <w:vAlign w:val="center"/>
          </w:tcPr>
          <w:p w14:paraId="4191F230">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CO</w:t>
            </w:r>
          </w:p>
        </w:tc>
        <w:tc>
          <w:tcPr>
            <w:tcW w:w="1418" w:type="pct"/>
            <w:tcBorders>
              <w:top w:val="single" w:color="000000" w:sz="4" w:space="0"/>
              <w:left w:val="single" w:color="000000" w:sz="4" w:space="0"/>
              <w:bottom w:val="single" w:color="000000" w:sz="4" w:space="0"/>
              <w:right w:val="single" w:color="000000" w:sz="4" w:space="0"/>
            </w:tcBorders>
            <w:vAlign w:val="center"/>
          </w:tcPr>
          <w:p w14:paraId="272A8121">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24小时平均第95百分数</w:t>
            </w:r>
          </w:p>
        </w:tc>
        <w:tc>
          <w:tcPr>
            <w:tcW w:w="649" w:type="pct"/>
            <w:tcBorders>
              <w:top w:val="single" w:color="000000" w:sz="4" w:space="0"/>
              <w:left w:val="single" w:color="000000" w:sz="4" w:space="0"/>
              <w:bottom w:val="single" w:color="000000" w:sz="4" w:space="0"/>
              <w:right w:val="single" w:color="000000" w:sz="4" w:space="0"/>
            </w:tcBorders>
            <w:vAlign w:val="center"/>
          </w:tcPr>
          <w:p w14:paraId="487D767C">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4000</w:t>
            </w:r>
          </w:p>
        </w:tc>
        <w:tc>
          <w:tcPr>
            <w:tcW w:w="644" w:type="pct"/>
            <w:tcBorders>
              <w:top w:val="single" w:color="000000" w:sz="4" w:space="0"/>
              <w:left w:val="single" w:color="000000" w:sz="4" w:space="0"/>
              <w:bottom w:val="single" w:color="000000" w:sz="4" w:space="0"/>
              <w:right w:val="single" w:color="000000" w:sz="4" w:space="0"/>
            </w:tcBorders>
            <w:vAlign w:val="center"/>
          </w:tcPr>
          <w:p w14:paraId="7D7AF793">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p>
        </w:tc>
        <w:tc>
          <w:tcPr>
            <w:tcW w:w="545" w:type="pct"/>
            <w:tcBorders>
              <w:top w:val="single" w:color="000000" w:sz="4" w:space="0"/>
              <w:left w:val="single" w:color="000000" w:sz="4" w:space="0"/>
              <w:bottom w:val="single" w:color="000000" w:sz="4" w:space="0"/>
              <w:right w:val="single" w:color="000000" w:sz="4" w:space="0"/>
            </w:tcBorders>
            <w:vAlign w:val="center"/>
          </w:tcPr>
          <w:p w14:paraId="2FDCC350">
            <w:pPr>
              <w:adjustRightInd w:val="0"/>
              <w:snapToGrid w:val="0"/>
              <w:spacing w:line="260" w:lineRule="exact"/>
              <w:ind w:firstLine="0" w:firstLineChars="0"/>
              <w:jc w:val="center"/>
              <w:rPr>
                <w:rFonts w:hint="default" w:eastAsia="宋体"/>
                <w:snapToGrid w:val="0"/>
                <w:color w:val="000000" w:themeColor="text1"/>
                <w:kern w:val="0"/>
                <w:sz w:val="21"/>
                <w:szCs w:val="21"/>
                <w:lang w:val="en-US" w:eastAsia="zh-CN"/>
                <w14:textFill>
                  <w14:solidFill>
                    <w14:schemeClr w14:val="tx1"/>
                  </w14:solidFill>
                </w14:textFill>
              </w:rPr>
            </w:pPr>
          </w:p>
        </w:tc>
        <w:tc>
          <w:tcPr>
            <w:tcW w:w="580" w:type="pct"/>
            <w:tcBorders>
              <w:top w:val="single" w:color="000000" w:sz="4" w:space="0"/>
              <w:left w:val="single" w:color="000000" w:sz="4" w:space="0"/>
              <w:bottom w:val="single" w:color="000000" w:sz="4" w:space="0"/>
              <w:right w:val="single" w:color="000000" w:sz="4" w:space="0"/>
            </w:tcBorders>
            <w:vAlign w:val="center"/>
          </w:tcPr>
          <w:p w14:paraId="4755E1E9">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0</w:t>
            </w:r>
          </w:p>
        </w:tc>
        <w:tc>
          <w:tcPr>
            <w:tcW w:w="629" w:type="pct"/>
            <w:tcBorders>
              <w:top w:val="single" w:color="000000" w:sz="4" w:space="0"/>
              <w:left w:val="single" w:color="000000" w:sz="4" w:space="0"/>
              <w:bottom w:val="single" w:color="000000" w:sz="4" w:space="0"/>
            </w:tcBorders>
            <w:vAlign w:val="center"/>
          </w:tcPr>
          <w:p w14:paraId="6E542067">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达标</w:t>
            </w:r>
          </w:p>
        </w:tc>
      </w:tr>
      <w:tr w14:paraId="1E6E638E">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00" w:hRule="atLeast"/>
        </w:trPr>
        <w:tc>
          <w:tcPr>
            <w:tcW w:w="535" w:type="pct"/>
            <w:tcBorders>
              <w:top w:val="single" w:color="000000" w:sz="4" w:space="0"/>
              <w:right w:val="single" w:color="000000" w:sz="4" w:space="0"/>
            </w:tcBorders>
            <w:vAlign w:val="center"/>
          </w:tcPr>
          <w:p w14:paraId="1642D61B">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O</w:t>
            </w:r>
            <w:r>
              <w:rPr>
                <w:snapToGrid w:val="0"/>
                <w:color w:val="000000" w:themeColor="text1"/>
                <w:kern w:val="0"/>
                <w:sz w:val="21"/>
                <w:szCs w:val="21"/>
                <w:vertAlign w:val="subscript"/>
                <w14:textFill>
                  <w14:solidFill>
                    <w14:schemeClr w14:val="tx1"/>
                  </w14:solidFill>
                </w14:textFill>
              </w:rPr>
              <w:t>3</w:t>
            </w:r>
          </w:p>
        </w:tc>
        <w:tc>
          <w:tcPr>
            <w:tcW w:w="1418" w:type="pct"/>
            <w:tcBorders>
              <w:top w:val="single" w:color="000000" w:sz="4" w:space="0"/>
              <w:left w:val="single" w:color="000000" w:sz="4" w:space="0"/>
              <w:right w:val="single" w:color="000000" w:sz="4" w:space="0"/>
            </w:tcBorders>
            <w:vAlign w:val="center"/>
          </w:tcPr>
          <w:p w14:paraId="7BA6E82A">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日最大8小时平均第90百分数</w:t>
            </w:r>
          </w:p>
        </w:tc>
        <w:tc>
          <w:tcPr>
            <w:tcW w:w="649" w:type="pct"/>
            <w:tcBorders>
              <w:top w:val="single" w:color="000000" w:sz="4" w:space="0"/>
              <w:left w:val="single" w:color="000000" w:sz="4" w:space="0"/>
              <w:right w:val="single" w:color="000000" w:sz="4" w:space="0"/>
            </w:tcBorders>
            <w:vAlign w:val="center"/>
          </w:tcPr>
          <w:p w14:paraId="26E38C5F">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160</w:t>
            </w:r>
          </w:p>
        </w:tc>
        <w:tc>
          <w:tcPr>
            <w:tcW w:w="644" w:type="pct"/>
            <w:tcBorders>
              <w:top w:val="single" w:color="000000" w:sz="4" w:space="0"/>
              <w:left w:val="single" w:color="000000" w:sz="4" w:space="0"/>
              <w:right w:val="single" w:color="000000" w:sz="4" w:space="0"/>
            </w:tcBorders>
            <w:vAlign w:val="center"/>
          </w:tcPr>
          <w:p w14:paraId="1B9E4151">
            <w:pPr>
              <w:adjustRightInd w:val="0"/>
              <w:snapToGrid w:val="0"/>
              <w:spacing w:line="260" w:lineRule="exact"/>
              <w:ind w:firstLine="0" w:firstLineChars="0"/>
              <w:jc w:val="center"/>
              <w:rPr>
                <w:rFonts w:hint="default" w:eastAsia="宋体"/>
                <w:snapToGrid w:val="0"/>
                <w:color w:val="000000" w:themeColor="text1"/>
                <w:kern w:val="0"/>
                <w:sz w:val="21"/>
                <w:szCs w:val="21"/>
                <w:lang w:val="en-US" w:eastAsia="zh-CN"/>
                <w14:textFill>
                  <w14:solidFill>
                    <w14:schemeClr w14:val="tx1"/>
                  </w14:solidFill>
                </w14:textFill>
              </w:rPr>
            </w:pPr>
          </w:p>
        </w:tc>
        <w:tc>
          <w:tcPr>
            <w:tcW w:w="545" w:type="pct"/>
            <w:tcBorders>
              <w:top w:val="single" w:color="000000" w:sz="4" w:space="0"/>
              <w:left w:val="single" w:color="000000" w:sz="4" w:space="0"/>
              <w:right w:val="single" w:color="000000" w:sz="4" w:space="0"/>
            </w:tcBorders>
            <w:vAlign w:val="center"/>
          </w:tcPr>
          <w:p w14:paraId="1E8DBA27">
            <w:pPr>
              <w:adjustRightInd w:val="0"/>
              <w:snapToGrid w:val="0"/>
              <w:spacing w:line="260" w:lineRule="exact"/>
              <w:ind w:firstLine="0" w:firstLineChars="0"/>
              <w:jc w:val="center"/>
              <w:rPr>
                <w:rFonts w:hint="default" w:eastAsia="宋体"/>
                <w:snapToGrid w:val="0"/>
                <w:color w:val="000000" w:themeColor="text1"/>
                <w:kern w:val="0"/>
                <w:sz w:val="21"/>
                <w:szCs w:val="21"/>
                <w:lang w:val="en-US" w:eastAsia="zh-CN"/>
                <w14:textFill>
                  <w14:solidFill>
                    <w14:schemeClr w14:val="tx1"/>
                  </w14:solidFill>
                </w14:textFill>
              </w:rPr>
            </w:pPr>
          </w:p>
        </w:tc>
        <w:tc>
          <w:tcPr>
            <w:tcW w:w="580" w:type="pct"/>
            <w:tcBorders>
              <w:top w:val="single" w:color="000000" w:sz="4" w:space="0"/>
              <w:left w:val="single" w:color="000000" w:sz="4" w:space="0"/>
              <w:right w:val="single" w:color="000000" w:sz="4" w:space="0"/>
            </w:tcBorders>
            <w:vAlign w:val="center"/>
          </w:tcPr>
          <w:p w14:paraId="408F8220">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0</w:t>
            </w:r>
          </w:p>
        </w:tc>
        <w:tc>
          <w:tcPr>
            <w:tcW w:w="629" w:type="pct"/>
            <w:tcBorders>
              <w:top w:val="single" w:color="000000" w:sz="4" w:space="0"/>
              <w:left w:val="single" w:color="000000" w:sz="4" w:space="0"/>
            </w:tcBorders>
            <w:vAlign w:val="center"/>
          </w:tcPr>
          <w:p w14:paraId="66605C1D">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达标</w:t>
            </w:r>
          </w:p>
        </w:tc>
      </w:tr>
    </w:tbl>
    <w:p w14:paraId="30CFCE45">
      <w:pPr>
        <w:ind w:firstLine="480"/>
        <w:rPr>
          <w:color w:val="000000" w:themeColor="text1"/>
          <w14:textFill>
            <w14:solidFill>
              <w14:schemeClr w14:val="tx1"/>
            </w14:solidFill>
          </w14:textFill>
        </w:rPr>
      </w:pPr>
      <w:r>
        <w:rPr>
          <w:color w:val="000000" w:themeColor="text1"/>
          <w:lang w:bidi="zh-CN"/>
          <w14:textFill>
            <w14:solidFill>
              <w14:schemeClr w14:val="tx1"/>
            </w14:solidFill>
          </w14:textFill>
        </w:rPr>
        <w:t>由上表可知，本项目所在区域202</w:t>
      </w:r>
      <w:r>
        <w:rPr>
          <w:rFonts w:hint="eastAsia"/>
          <w:color w:val="000000" w:themeColor="text1"/>
          <w:lang w:val="en-US" w:bidi="zh-CN"/>
          <w14:textFill>
            <w14:solidFill>
              <w14:schemeClr w14:val="tx1"/>
            </w14:solidFill>
          </w14:textFill>
        </w:rPr>
        <w:t>4</w:t>
      </w:r>
      <w:r>
        <w:rPr>
          <w:color w:val="000000" w:themeColor="text1"/>
          <w:lang w:bidi="zh-CN"/>
          <w14:textFill>
            <w14:solidFill>
              <w14:schemeClr w14:val="tx1"/>
            </w14:solidFill>
          </w14:textFill>
        </w:rPr>
        <w:t>年基本污染物SO</w:t>
      </w:r>
      <w:r>
        <w:rPr>
          <w:color w:val="000000" w:themeColor="text1"/>
          <w:vertAlign w:val="subscript"/>
          <w:lang w:bidi="zh-CN"/>
          <w14:textFill>
            <w14:solidFill>
              <w14:schemeClr w14:val="tx1"/>
            </w14:solidFill>
          </w14:textFill>
        </w:rPr>
        <w:t>2</w:t>
      </w:r>
      <w:r>
        <w:rPr>
          <w:color w:val="000000" w:themeColor="text1"/>
          <w:lang w:bidi="zh-CN"/>
          <w14:textFill>
            <w14:solidFill>
              <w14:schemeClr w14:val="tx1"/>
            </w14:solidFill>
          </w14:textFill>
        </w:rPr>
        <w:t>、NO</w:t>
      </w:r>
      <w:r>
        <w:rPr>
          <w:color w:val="000000" w:themeColor="text1"/>
          <w:vertAlign w:val="subscript"/>
          <w:lang w:bidi="zh-CN"/>
          <w14:textFill>
            <w14:solidFill>
              <w14:schemeClr w14:val="tx1"/>
            </w14:solidFill>
          </w14:textFill>
        </w:rPr>
        <w:t>2</w:t>
      </w:r>
      <w:r>
        <w:rPr>
          <w:color w:val="000000" w:themeColor="text1"/>
          <w:lang w:bidi="zh-CN"/>
          <w14:textFill>
            <w14:solidFill>
              <w14:schemeClr w14:val="tx1"/>
            </w14:solidFill>
          </w14:textFill>
        </w:rPr>
        <w:t>年平均及24小时平均第98百分位数浓度达到《环境空气质量标准》（GB3095-2012）二级标准；PM</w:t>
      </w:r>
      <w:r>
        <w:rPr>
          <w:color w:val="000000" w:themeColor="text1"/>
          <w:vertAlign w:val="subscript"/>
          <w:lang w:bidi="zh-CN"/>
          <w14:textFill>
            <w14:solidFill>
              <w14:schemeClr w14:val="tx1"/>
            </w14:solidFill>
          </w14:textFill>
        </w:rPr>
        <w:t>10</w:t>
      </w:r>
      <w:r>
        <w:rPr>
          <w:color w:val="000000" w:themeColor="text1"/>
          <w:lang w:bidi="zh-CN"/>
          <w14:textFill>
            <w14:solidFill>
              <w14:schemeClr w14:val="tx1"/>
            </w14:solidFill>
          </w14:textFill>
        </w:rPr>
        <w:t>、PM</w:t>
      </w:r>
      <w:r>
        <w:rPr>
          <w:color w:val="000000" w:themeColor="text1"/>
          <w:vertAlign w:val="subscript"/>
          <w:lang w:bidi="zh-CN"/>
          <w14:textFill>
            <w14:solidFill>
              <w14:schemeClr w14:val="tx1"/>
            </w14:solidFill>
          </w14:textFill>
        </w:rPr>
        <w:t>2.5</w:t>
      </w:r>
      <w:r>
        <w:rPr>
          <w:color w:val="000000" w:themeColor="text1"/>
          <w:lang w:bidi="zh-CN"/>
          <w14:textFill>
            <w14:solidFill>
              <w14:schemeClr w14:val="tx1"/>
            </w14:solidFill>
          </w14:textFill>
        </w:rPr>
        <w:t>年平均及24小时平均第95百分位数浓度达到《环境空气质量标准》（GB3095-2012）二级标准；CO24小时平均第95百分位数、O</w:t>
      </w:r>
      <w:r>
        <w:rPr>
          <w:color w:val="000000" w:themeColor="text1"/>
          <w:vertAlign w:val="subscript"/>
          <w:lang w:bidi="zh-CN"/>
          <w14:textFill>
            <w14:solidFill>
              <w14:schemeClr w14:val="tx1"/>
            </w14:solidFill>
          </w14:textFill>
        </w:rPr>
        <w:t>3</w:t>
      </w:r>
      <w:r>
        <w:rPr>
          <w:color w:val="000000" w:themeColor="text1"/>
          <w:lang w:bidi="zh-CN"/>
          <w14:textFill>
            <w14:solidFill>
              <w14:schemeClr w14:val="tx1"/>
            </w14:solidFill>
          </w14:textFill>
        </w:rPr>
        <w:t>日最大8小时平均第90百分位数浓度均达到《环境空气质量标准》（GB3095-2012）二级标准。</w:t>
      </w:r>
    </w:p>
    <w:p w14:paraId="7DF43548">
      <w:pPr>
        <w:pStyle w:val="4"/>
        <w:rPr>
          <w:color w:val="000000" w:themeColor="text1"/>
          <w14:textFill>
            <w14:solidFill>
              <w14:schemeClr w14:val="tx1"/>
            </w14:solidFill>
          </w14:textFill>
        </w:rPr>
      </w:pPr>
      <w:bookmarkStart w:id="573" w:name="_Toc136878477"/>
      <w:bookmarkStart w:id="574" w:name="_Toc216620541"/>
      <w:bookmarkStart w:id="575" w:name="_Toc135090229"/>
      <w:r>
        <w:rPr>
          <w:color w:val="000000" w:themeColor="text1"/>
          <w14:textFill>
            <w14:solidFill>
              <w14:schemeClr w14:val="tx1"/>
            </w14:solidFill>
          </w14:textFill>
        </w:rPr>
        <w:t>补充特征污染物环境质量现状评价</w:t>
      </w:r>
      <w:bookmarkEnd w:id="573"/>
      <w:bookmarkEnd w:id="574"/>
      <w:bookmarkEnd w:id="575"/>
    </w:p>
    <w:p w14:paraId="735E81D9">
      <w:pPr>
        <w:ind w:firstLine="480"/>
        <w:rPr>
          <w:color w:val="000000" w:themeColor="text1"/>
          <w14:textFill>
            <w14:solidFill>
              <w14:schemeClr w14:val="tx1"/>
            </w14:solidFill>
          </w14:textFill>
        </w:rPr>
      </w:pPr>
      <w:r>
        <w:rPr>
          <w:color w:val="000000" w:themeColor="text1"/>
          <w14:textFill>
            <w14:solidFill>
              <w14:schemeClr w14:val="tx1"/>
            </w14:solidFill>
          </w14:textFill>
        </w:rPr>
        <w:t>1、监测点布设</w:t>
      </w:r>
    </w:p>
    <w:p w14:paraId="0598910D">
      <w:pPr>
        <w:ind w:firstLine="480"/>
        <w:rPr>
          <w:color w:val="000000" w:themeColor="text1"/>
          <w14:textFill>
            <w14:solidFill>
              <w14:schemeClr w14:val="tx1"/>
            </w14:solidFill>
          </w14:textFill>
        </w:rPr>
      </w:pPr>
      <w:r>
        <w:rPr>
          <w:color w:val="000000" w:themeColor="text1"/>
          <w14:textFill>
            <w14:solidFill>
              <w14:schemeClr w14:val="tx1"/>
            </w14:solidFill>
          </w14:textFill>
        </w:rPr>
        <w:t>本次评价于202</w:t>
      </w:r>
      <w:r>
        <w:rPr>
          <w:rFonts w:hint="eastAsia"/>
          <w:color w:val="000000" w:themeColor="text1"/>
          <w14:textFill>
            <w14:solidFill>
              <w14:schemeClr w14:val="tx1"/>
            </w14:solidFill>
          </w14:textFill>
        </w:rPr>
        <w:t>5</w:t>
      </w:r>
      <w:r>
        <w:rPr>
          <w:color w:val="000000" w:themeColor="text1"/>
          <w14:textFill>
            <w14:solidFill>
              <w14:schemeClr w14:val="tx1"/>
            </w14:solidFill>
          </w14:textFill>
        </w:rPr>
        <w:t>年1</w:t>
      </w:r>
      <w:r>
        <w:rPr>
          <w:rFonts w:hint="eastAsia"/>
          <w:color w:val="000000" w:themeColor="text1"/>
          <w14:textFill>
            <w14:solidFill>
              <w14:schemeClr w14:val="tx1"/>
            </w14:solidFill>
          </w14:textFill>
        </w:rPr>
        <w:t>0</w:t>
      </w:r>
      <w:r>
        <w:rPr>
          <w:color w:val="000000" w:themeColor="text1"/>
          <w14:textFill>
            <w14:solidFill>
              <w14:schemeClr w14:val="tx1"/>
            </w14:solidFill>
          </w14:textFill>
        </w:rPr>
        <w:t>月在项目</w:t>
      </w:r>
      <w:r>
        <w:rPr>
          <w:rFonts w:hint="eastAsia"/>
          <w:color w:val="000000" w:themeColor="text1"/>
          <w14:textFill>
            <w14:solidFill>
              <w14:schemeClr w14:val="tx1"/>
            </w14:solidFill>
          </w14:textFill>
        </w:rPr>
        <w:t>码头前沿</w:t>
      </w:r>
      <w:r>
        <w:rPr>
          <w:color w:val="000000" w:themeColor="text1"/>
          <w14:textFill>
            <w14:solidFill>
              <w14:schemeClr w14:val="tx1"/>
            </w14:solidFill>
          </w14:textFill>
        </w:rPr>
        <w:t>设置</w:t>
      </w:r>
      <w:r>
        <w:rPr>
          <w:rFonts w:hint="eastAsia"/>
          <w:color w:val="000000" w:themeColor="text1"/>
          <w14:textFill>
            <w14:solidFill>
              <w14:schemeClr w14:val="tx1"/>
            </w14:solidFill>
          </w14:textFill>
        </w:rPr>
        <w:t>1</w:t>
      </w:r>
      <w:r>
        <w:rPr>
          <w:color w:val="000000" w:themeColor="text1"/>
          <w14:textFill>
            <w14:solidFill>
              <w14:schemeClr w14:val="tx1"/>
            </w14:solidFill>
          </w14:textFill>
        </w:rPr>
        <w:t>个大气环境质量现状监测点，反映项目所在区域现状特征污染物环境质量情况，各监测点基本情况见表3.3-2。</w:t>
      </w:r>
    </w:p>
    <w:p w14:paraId="24999EE9">
      <w:pPr>
        <w:pStyle w:val="7"/>
        <w:rPr>
          <w:color w:val="000000" w:themeColor="text1"/>
          <w14:textFill>
            <w14:solidFill>
              <w14:schemeClr w14:val="tx1"/>
            </w14:solidFill>
          </w14:textFill>
        </w:rPr>
      </w:pPr>
      <w:r>
        <w:rPr>
          <w:color w:val="000000" w:themeColor="text1"/>
          <w14:textFill>
            <w14:solidFill>
              <w14:schemeClr w14:val="tx1"/>
            </w14:solidFill>
          </w14:textFill>
        </w:rPr>
        <w:t>空气质量现状监测点</w:t>
      </w:r>
    </w:p>
    <w:tbl>
      <w:tblPr>
        <w:tblStyle w:val="43"/>
        <w:tblW w:w="9042"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126"/>
        <w:gridCol w:w="923"/>
        <w:gridCol w:w="1340"/>
        <w:gridCol w:w="3678"/>
        <w:gridCol w:w="1975"/>
      </w:tblGrid>
      <w:tr w14:paraId="0658B6C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126" w:type="dxa"/>
            <w:tcBorders>
              <w:bottom w:val="single" w:color="auto" w:sz="4" w:space="0"/>
              <w:right w:val="single" w:color="auto" w:sz="4" w:space="0"/>
            </w:tcBorders>
            <w:tcMar>
              <w:left w:w="0" w:type="dxa"/>
              <w:right w:w="0" w:type="dxa"/>
            </w:tcMar>
            <w:vAlign w:val="center"/>
          </w:tcPr>
          <w:p w14:paraId="355AEEB2">
            <w:pPr>
              <w:adjustRightInd w:val="0"/>
              <w:snapToGrid w:val="0"/>
              <w:spacing w:line="260" w:lineRule="exact"/>
              <w:ind w:firstLine="0" w:firstLineChars="0"/>
              <w:jc w:val="center"/>
              <w:rPr>
                <w:b/>
                <w:bCs/>
                <w:snapToGrid w:val="0"/>
                <w:color w:val="000000" w:themeColor="text1"/>
                <w:kern w:val="0"/>
                <w:sz w:val="21"/>
                <w:szCs w:val="21"/>
                <w14:textFill>
                  <w14:solidFill>
                    <w14:schemeClr w14:val="tx1"/>
                  </w14:solidFill>
                </w14:textFill>
              </w:rPr>
            </w:pPr>
            <w:r>
              <w:rPr>
                <w:b/>
                <w:bCs/>
                <w:snapToGrid w:val="0"/>
                <w:color w:val="000000" w:themeColor="text1"/>
                <w:kern w:val="0"/>
                <w:sz w:val="21"/>
                <w:szCs w:val="21"/>
                <w14:textFill>
                  <w14:solidFill>
                    <w14:schemeClr w14:val="tx1"/>
                  </w14:solidFill>
                </w14:textFill>
              </w:rPr>
              <w:t>点位名称</w:t>
            </w:r>
          </w:p>
        </w:tc>
        <w:tc>
          <w:tcPr>
            <w:tcW w:w="923" w:type="dxa"/>
            <w:tcBorders>
              <w:left w:val="single" w:color="auto" w:sz="4" w:space="0"/>
              <w:bottom w:val="single" w:color="auto" w:sz="4" w:space="0"/>
              <w:right w:val="single" w:color="auto" w:sz="4" w:space="0"/>
            </w:tcBorders>
            <w:tcMar>
              <w:left w:w="0" w:type="dxa"/>
              <w:right w:w="0" w:type="dxa"/>
            </w:tcMar>
            <w:vAlign w:val="center"/>
          </w:tcPr>
          <w:p w14:paraId="54D06A73">
            <w:pPr>
              <w:adjustRightInd w:val="0"/>
              <w:snapToGrid w:val="0"/>
              <w:spacing w:line="260" w:lineRule="exact"/>
              <w:ind w:firstLine="0" w:firstLineChars="0"/>
              <w:jc w:val="center"/>
              <w:rPr>
                <w:b/>
                <w:bCs/>
                <w:snapToGrid w:val="0"/>
                <w:color w:val="000000" w:themeColor="text1"/>
                <w:kern w:val="0"/>
                <w:sz w:val="21"/>
                <w:szCs w:val="21"/>
                <w14:textFill>
                  <w14:solidFill>
                    <w14:schemeClr w14:val="tx1"/>
                  </w14:solidFill>
                </w14:textFill>
              </w:rPr>
            </w:pPr>
            <w:r>
              <w:rPr>
                <w:b/>
                <w:bCs/>
                <w:snapToGrid w:val="0"/>
                <w:color w:val="000000" w:themeColor="text1"/>
                <w:kern w:val="0"/>
                <w:sz w:val="21"/>
                <w:szCs w:val="21"/>
                <w14:textFill>
                  <w14:solidFill>
                    <w14:schemeClr w14:val="tx1"/>
                  </w14:solidFill>
                </w14:textFill>
              </w:rPr>
              <w:t>位置关系</w:t>
            </w:r>
          </w:p>
        </w:tc>
        <w:tc>
          <w:tcPr>
            <w:tcW w:w="1340" w:type="dxa"/>
            <w:tcBorders>
              <w:left w:val="single" w:color="auto" w:sz="4" w:space="0"/>
              <w:bottom w:val="single" w:color="auto" w:sz="4" w:space="0"/>
              <w:right w:val="single" w:color="auto" w:sz="4" w:space="0"/>
            </w:tcBorders>
            <w:tcMar>
              <w:left w:w="0" w:type="dxa"/>
              <w:right w:w="0" w:type="dxa"/>
            </w:tcMar>
            <w:vAlign w:val="center"/>
          </w:tcPr>
          <w:p w14:paraId="32613D51">
            <w:pPr>
              <w:adjustRightInd w:val="0"/>
              <w:snapToGrid w:val="0"/>
              <w:spacing w:line="260" w:lineRule="exact"/>
              <w:ind w:firstLine="0" w:firstLineChars="0"/>
              <w:jc w:val="center"/>
              <w:rPr>
                <w:b/>
                <w:bCs/>
                <w:snapToGrid w:val="0"/>
                <w:color w:val="000000" w:themeColor="text1"/>
                <w:kern w:val="0"/>
                <w:sz w:val="21"/>
                <w:szCs w:val="21"/>
                <w14:textFill>
                  <w14:solidFill>
                    <w14:schemeClr w14:val="tx1"/>
                  </w14:solidFill>
                </w14:textFill>
              </w:rPr>
            </w:pPr>
            <w:r>
              <w:rPr>
                <w:b/>
                <w:bCs/>
                <w:snapToGrid w:val="0"/>
                <w:color w:val="000000" w:themeColor="text1"/>
                <w:kern w:val="0"/>
                <w:sz w:val="21"/>
                <w:szCs w:val="21"/>
                <w14:textFill>
                  <w14:solidFill>
                    <w14:schemeClr w14:val="tx1"/>
                  </w14:solidFill>
                </w14:textFill>
              </w:rPr>
              <w:t>环境功能区划</w:t>
            </w:r>
          </w:p>
        </w:tc>
        <w:tc>
          <w:tcPr>
            <w:tcW w:w="3678" w:type="dxa"/>
            <w:tcBorders>
              <w:left w:val="single" w:color="auto" w:sz="4" w:space="0"/>
              <w:bottom w:val="single" w:color="auto" w:sz="4" w:space="0"/>
              <w:right w:val="single" w:color="auto" w:sz="4" w:space="0"/>
            </w:tcBorders>
            <w:tcMar>
              <w:left w:w="0" w:type="dxa"/>
              <w:right w:w="0" w:type="dxa"/>
            </w:tcMar>
            <w:vAlign w:val="center"/>
          </w:tcPr>
          <w:p w14:paraId="7D432B63">
            <w:pPr>
              <w:adjustRightInd w:val="0"/>
              <w:snapToGrid w:val="0"/>
              <w:spacing w:line="260" w:lineRule="exact"/>
              <w:ind w:firstLine="0" w:firstLineChars="0"/>
              <w:jc w:val="center"/>
              <w:rPr>
                <w:b/>
                <w:bCs/>
                <w:snapToGrid w:val="0"/>
                <w:color w:val="000000" w:themeColor="text1"/>
                <w:kern w:val="0"/>
                <w:sz w:val="21"/>
                <w:szCs w:val="21"/>
                <w14:textFill>
                  <w14:solidFill>
                    <w14:schemeClr w14:val="tx1"/>
                  </w14:solidFill>
                </w14:textFill>
              </w:rPr>
            </w:pPr>
            <w:r>
              <w:rPr>
                <w:b/>
                <w:bCs/>
                <w:snapToGrid w:val="0"/>
                <w:color w:val="000000" w:themeColor="text1"/>
                <w:kern w:val="0"/>
                <w:sz w:val="21"/>
                <w:szCs w:val="21"/>
                <w14:textFill>
                  <w14:solidFill>
                    <w14:schemeClr w14:val="tx1"/>
                  </w14:solidFill>
                </w14:textFill>
              </w:rPr>
              <w:t>监测因子</w:t>
            </w:r>
          </w:p>
        </w:tc>
        <w:tc>
          <w:tcPr>
            <w:tcW w:w="1975" w:type="dxa"/>
            <w:tcBorders>
              <w:left w:val="single" w:color="auto" w:sz="4" w:space="0"/>
              <w:bottom w:val="single" w:color="auto" w:sz="4" w:space="0"/>
            </w:tcBorders>
            <w:vAlign w:val="center"/>
          </w:tcPr>
          <w:p w14:paraId="1AD11C54">
            <w:pPr>
              <w:adjustRightInd w:val="0"/>
              <w:snapToGrid w:val="0"/>
              <w:spacing w:line="260" w:lineRule="exact"/>
              <w:ind w:firstLine="0" w:firstLineChars="0"/>
              <w:jc w:val="center"/>
              <w:rPr>
                <w:b/>
                <w:bCs/>
                <w:snapToGrid w:val="0"/>
                <w:color w:val="000000" w:themeColor="text1"/>
                <w:kern w:val="0"/>
                <w:sz w:val="21"/>
                <w:szCs w:val="21"/>
                <w14:textFill>
                  <w14:solidFill>
                    <w14:schemeClr w14:val="tx1"/>
                  </w14:solidFill>
                </w14:textFill>
              </w:rPr>
            </w:pPr>
            <w:r>
              <w:rPr>
                <w:b/>
                <w:bCs/>
                <w:snapToGrid w:val="0"/>
                <w:color w:val="000000" w:themeColor="text1"/>
                <w:kern w:val="0"/>
                <w:sz w:val="21"/>
                <w:szCs w:val="21"/>
                <w14:textFill>
                  <w14:solidFill>
                    <w14:schemeClr w14:val="tx1"/>
                  </w14:solidFill>
                </w14:textFill>
              </w:rPr>
              <w:t>监测时间</w:t>
            </w:r>
          </w:p>
        </w:tc>
      </w:tr>
      <w:tr w14:paraId="4C6BD0D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126" w:type="dxa"/>
            <w:tcBorders>
              <w:top w:val="single" w:color="auto" w:sz="4" w:space="0"/>
              <w:right w:val="single" w:color="auto" w:sz="4" w:space="0"/>
            </w:tcBorders>
            <w:tcMar>
              <w:left w:w="0" w:type="dxa"/>
              <w:right w:w="0" w:type="dxa"/>
            </w:tcMar>
            <w:vAlign w:val="center"/>
          </w:tcPr>
          <w:p w14:paraId="20EB6F94">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rFonts w:hint="eastAsia"/>
                <w:snapToGrid w:val="0"/>
                <w:color w:val="000000" w:themeColor="text1"/>
                <w:kern w:val="0"/>
                <w:sz w:val="21"/>
                <w:szCs w:val="21"/>
                <w14:textFill>
                  <w14:solidFill>
                    <w14:schemeClr w14:val="tx1"/>
                  </w14:solidFill>
                </w14:textFill>
              </w:rPr>
              <w:t>G1</w:t>
            </w:r>
          </w:p>
        </w:tc>
        <w:tc>
          <w:tcPr>
            <w:tcW w:w="923" w:type="dxa"/>
            <w:tcBorders>
              <w:top w:val="single" w:color="auto" w:sz="4" w:space="0"/>
              <w:left w:val="single" w:color="auto" w:sz="4" w:space="0"/>
              <w:right w:val="single" w:color="auto" w:sz="4" w:space="0"/>
            </w:tcBorders>
            <w:tcMar>
              <w:left w:w="0" w:type="dxa"/>
              <w:right w:w="0" w:type="dxa"/>
            </w:tcMar>
            <w:vAlign w:val="center"/>
          </w:tcPr>
          <w:p w14:paraId="742A1F38">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rFonts w:hint="eastAsia"/>
                <w:snapToGrid w:val="0"/>
                <w:color w:val="000000" w:themeColor="text1"/>
                <w:kern w:val="0"/>
                <w:sz w:val="21"/>
                <w:szCs w:val="21"/>
                <w14:textFill>
                  <w14:solidFill>
                    <w14:schemeClr w14:val="tx1"/>
                  </w14:solidFill>
                </w14:textFill>
              </w:rPr>
              <w:t>码头前沿</w:t>
            </w:r>
          </w:p>
        </w:tc>
        <w:tc>
          <w:tcPr>
            <w:tcW w:w="1340" w:type="dxa"/>
            <w:tcBorders>
              <w:top w:val="single" w:color="auto" w:sz="4" w:space="0"/>
              <w:left w:val="single" w:color="auto" w:sz="4" w:space="0"/>
              <w:right w:val="single" w:color="auto" w:sz="4" w:space="0"/>
            </w:tcBorders>
            <w:tcMar>
              <w:left w:w="0" w:type="dxa"/>
              <w:right w:w="0" w:type="dxa"/>
            </w:tcMar>
            <w:vAlign w:val="center"/>
          </w:tcPr>
          <w:p w14:paraId="7D70DF72">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二类区</w:t>
            </w:r>
          </w:p>
        </w:tc>
        <w:tc>
          <w:tcPr>
            <w:tcW w:w="3678" w:type="dxa"/>
            <w:tcBorders>
              <w:top w:val="single" w:color="auto" w:sz="4" w:space="0"/>
              <w:left w:val="single" w:color="auto" w:sz="4" w:space="0"/>
              <w:right w:val="single" w:color="auto" w:sz="4" w:space="0"/>
            </w:tcBorders>
            <w:tcMar>
              <w:left w:w="0" w:type="dxa"/>
              <w:right w:w="0" w:type="dxa"/>
            </w:tcMar>
            <w:vAlign w:val="center"/>
          </w:tcPr>
          <w:p w14:paraId="732919CD">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rFonts w:hint="eastAsia"/>
                <w:snapToGrid w:val="0"/>
                <w:color w:val="000000" w:themeColor="text1"/>
                <w:kern w:val="0"/>
                <w:sz w:val="21"/>
                <w:szCs w:val="21"/>
                <w14:textFill>
                  <w14:solidFill>
                    <w14:schemeClr w14:val="tx1"/>
                  </w14:solidFill>
                </w14:textFill>
              </w:rPr>
              <w:t>苯乙烯</w:t>
            </w:r>
            <w:r>
              <w:rPr>
                <w:snapToGrid w:val="0"/>
                <w:color w:val="000000" w:themeColor="text1"/>
                <w:kern w:val="0"/>
                <w:sz w:val="21"/>
                <w:szCs w:val="21"/>
                <w14:textFill>
                  <w14:solidFill>
                    <w14:schemeClr w14:val="tx1"/>
                  </w14:solidFill>
                </w14:textFill>
              </w:rPr>
              <w:t>、非甲烷总烃</w:t>
            </w:r>
            <w:r>
              <w:rPr>
                <w:rFonts w:hint="eastAsia"/>
                <w:snapToGrid w:val="0"/>
                <w:color w:val="000000" w:themeColor="text1"/>
                <w:kern w:val="0"/>
                <w:sz w:val="21"/>
                <w:szCs w:val="21"/>
                <w14:textFill>
                  <w14:solidFill>
                    <w14:schemeClr w14:val="tx1"/>
                  </w14:solidFill>
                </w14:textFill>
              </w:rPr>
              <w:t>、硫酸雾</w:t>
            </w:r>
          </w:p>
        </w:tc>
        <w:tc>
          <w:tcPr>
            <w:tcW w:w="1975" w:type="dxa"/>
            <w:tcBorders>
              <w:top w:val="single" w:color="auto" w:sz="4" w:space="0"/>
              <w:left w:val="single" w:color="auto" w:sz="4" w:space="0"/>
            </w:tcBorders>
            <w:vAlign w:val="center"/>
          </w:tcPr>
          <w:p w14:paraId="06E1F973">
            <w:pPr>
              <w:adjustRightInd w:val="0"/>
              <w:snapToGrid w:val="0"/>
              <w:spacing w:line="260" w:lineRule="exact"/>
              <w:ind w:firstLine="0" w:firstLineChars="0"/>
              <w:jc w:val="center"/>
              <w:rPr>
                <w:snapToGrid w:val="0"/>
                <w:color w:val="000000" w:themeColor="text1"/>
                <w:kern w:val="0"/>
                <w:sz w:val="21"/>
                <w:szCs w:val="21"/>
                <w14:textFill>
                  <w14:solidFill>
                    <w14:schemeClr w14:val="tx1"/>
                  </w14:solidFill>
                </w14:textFill>
              </w:rPr>
            </w:pPr>
            <w:r>
              <w:rPr>
                <w:rFonts w:hint="eastAsia"/>
                <w:snapToGrid w:val="0"/>
                <w:color w:val="000000" w:themeColor="text1"/>
                <w:kern w:val="0"/>
                <w:sz w:val="21"/>
                <w:szCs w:val="21"/>
                <w14:textFill>
                  <w14:solidFill>
                    <w14:schemeClr w14:val="tx1"/>
                  </w14:solidFill>
                </w14:textFill>
              </w:rPr>
              <w:t>连续采样7天，每天采样4次 ，2025年11月27日至12月03日</w:t>
            </w:r>
          </w:p>
        </w:tc>
      </w:tr>
    </w:tbl>
    <w:p w14:paraId="1A1EF2B9">
      <w:pPr>
        <w:ind w:firstLine="480"/>
        <w:rPr>
          <w:color w:val="000000" w:themeColor="text1"/>
          <w14:textFill>
            <w14:solidFill>
              <w14:schemeClr w14:val="tx1"/>
            </w14:solidFill>
          </w14:textFill>
        </w:rPr>
      </w:pPr>
      <w:r>
        <w:rPr>
          <w:color w:val="000000" w:themeColor="text1"/>
          <w14:textFill>
            <w14:solidFill>
              <w14:schemeClr w14:val="tx1"/>
            </w14:solidFill>
          </w14:textFill>
        </w:rPr>
        <w:t>2、监测方法</w:t>
      </w:r>
    </w:p>
    <w:p w14:paraId="51EC581A">
      <w:pPr>
        <w:pStyle w:val="7"/>
        <w:rPr>
          <w:color w:val="000000" w:themeColor="text1"/>
          <w14:textFill>
            <w14:solidFill>
              <w14:schemeClr w14:val="tx1"/>
            </w14:solidFill>
          </w14:textFill>
        </w:rPr>
      </w:pPr>
      <w:r>
        <w:rPr>
          <w:color w:val="000000" w:themeColor="text1"/>
          <w14:textFill>
            <w14:solidFill>
              <w14:schemeClr w14:val="tx1"/>
            </w14:solidFill>
          </w14:textFill>
        </w:rPr>
        <w:t>大气污染物监测方法一览表</w:t>
      </w:r>
    </w:p>
    <w:tbl>
      <w:tblPr>
        <w:tblStyle w:val="72"/>
        <w:tblW w:w="9042"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0" w:type="dxa"/>
          <w:bottom w:w="0" w:type="dxa"/>
          <w:right w:w="0" w:type="dxa"/>
        </w:tblCellMar>
      </w:tblPr>
      <w:tblGrid>
        <w:gridCol w:w="2175"/>
        <w:gridCol w:w="4976"/>
        <w:gridCol w:w="1891"/>
      </w:tblGrid>
      <w:tr w14:paraId="5C41EAF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2175" w:type="dxa"/>
            <w:vMerge w:val="restart"/>
            <w:tcBorders>
              <w:bottom w:val="single" w:color="auto" w:sz="4" w:space="0"/>
              <w:right w:val="single" w:color="auto" w:sz="4" w:space="0"/>
            </w:tcBorders>
            <w:vAlign w:val="center"/>
          </w:tcPr>
          <w:p w14:paraId="778D77E2">
            <w:pPr>
              <w:pStyle w:val="70"/>
              <w:autoSpaceDE w:val="0"/>
              <w:autoSpaceDN w:val="0"/>
              <w:spacing w:line="300" w:lineRule="exact"/>
              <w:rPr>
                <w:rFonts w:asciiTheme="minorHAnsi" w:hAnsiTheme="minorHAnsi" w:eastAsiaTheme="minorEastAsia" w:cstheme="minorBidi"/>
                <w:b/>
                <w:bCs/>
                <w:color w:val="000000" w:themeColor="text1"/>
                <w:lang w:eastAsia="en-US"/>
                <w14:textFill>
                  <w14:solidFill>
                    <w14:schemeClr w14:val="tx1"/>
                  </w14:solidFill>
                </w14:textFill>
              </w:rPr>
            </w:pPr>
            <w:r>
              <w:rPr>
                <w:rFonts w:asciiTheme="minorHAnsi" w:hAnsiTheme="minorHAnsi" w:eastAsiaTheme="minorEastAsia" w:cstheme="minorBidi"/>
                <w:b/>
                <w:bCs/>
                <w:color w:val="000000" w:themeColor="text1"/>
                <w:lang w:eastAsia="en-US"/>
                <w14:textFill>
                  <w14:solidFill>
                    <w14:schemeClr w14:val="tx1"/>
                  </w14:solidFill>
                </w14:textFill>
              </w:rPr>
              <w:t>检测项目</w:t>
            </w:r>
          </w:p>
        </w:tc>
        <w:tc>
          <w:tcPr>
            <w:tcW w:w="6867" w:type="dxa"/>
            <w:gridSpan w:val="2"/>
            <w:tcBorders>
              <w:left w:val="single" w:color="auto" w:sz="4" w:space="0"/>
              <w:bottom w:val="single" w:color="auto" w:sz="4" w:space="0"/>
            </w:tcBorders>
            <w:vAlign w:val="center"/>
          </w:tcPr>
          <w:p w14:paraId="0670D113">
            <w:pPr>
              <w:pStyle w:val="70"/>
              <w:autoSpaceDE w:val="0"/>
              <w:autoSpaceDN w:val="0"/>
              <w:spacing w:line="300" w:lineRule="exact"/>
              <w:rPr>
                <w:rFonts w:asciiTheme="minorHAnsi" w:hAnsiTheme="minorHAnsi" w:eastAsiaTheme="minorEastAsia" w:cstheme="minorBidi"/>
                <w:b/>
                <w:bCs/>
                <w:color w:val="000000" w:themeColor="text1"/>
                <w:lang w:eastAsia="en-US"/>
                <w14:textFill>
                  <w14:solidFill>
                    <w14:schemeClr w14:val="tx1"/>
                  </w14:solidFill>
                </w14:textFill>
              </w:rPr>
            </w:pPr>
            <w:r>
              <w:rPr>
                <w:rFonts w:asciiTheme="minorHAnsi" w:hAnsiTheme="minorHAnsi" w:eastAsiaTheme="minorEastAsia" w:cstheme="minorBidi"/>
                <w:b/>
                <w:bCs/>
                <w:color w:val="000000" w:themeColor="text1"/>
                <w:lang w:eastAsia="en-US"/>
                <w14:textFill>
                  <w14:solidFill>
                    <w14:schemeClr w14:val="tx1"/>
                  </w14:solidFill>
                </w14:textFill>
              </w:rPr>
              <w:t>检测依据</w:t>
            </w:r>
          </w:p>
        </w:tc>
      </w:tr>
      <w:tr w14:paraId="0522132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2175" w:type="dxa"/>
            <w:vMerge w:val="continue"/>
            <w:tcBorders>
              <w:top w:val="single" w:color="auto" w:sz="4" w:space="0"/>
              <w:bottom w:val="single" w:color="auto" w:sz="4" w:space="0"/>
              <w:right w:val="single" w:color="auto" w:sz="4" w:space="0"/>
            </w:tcBorders>
            <w:vAlign w:val="center"/>
          </w:tcPr>
          <w:p w14:paraId="367507C1">
            <w:pPr>
              <w:pStyle w:val="70"/>
              <w:autoSpaceDE w:val="0"/>
              <w:autoSpaceDN w:val="0"/>
              <w:spacing w:line="300" w:lineRule="exact"/>
              <w:rPr>
                <w:rFonts w:asciiTheme="minorHAnsi" w:hAnsiTheme="minorHAnsi" w:eastAsiaTheme="minorEastAsia" w:cstheme="minorBidi"/>
                <w:b/>
                <w:bCs/>
                <w:color w:val="000000" w:themeColor="text1"/>
                <w:lang w:val="zh-CN" w:eastAsia="en-US" w:bidi="zh-CN"/>
                <w14:textFill>
                  <w14:solidFill>
                    <w14:schemeClr w14:val="tx1"/>
                  </w14:solidFill>
                </w14:textFill>
              </w:rPr>
            </w:pPr>
          </w:p>
        </w:tc>
        <w:tc>
          <w:tcPr>
            <w:tcW w:w="4976" w:type="dxa"/>
            <w:tcBorders>
              <w:top w:val="single" w:color="auto" w:sz="4" w:space="0"/>
              <w:left w:val="single" w:color="auto" w:sz="4" w:space="0"/>
              <w:bottom w:val="single" w:color="auto" w:sz="4" w:space="0"/>
              <w:right w:val="single" w:color="auto" w:sz="4" w:space="0"/>
            </w:tcBorders>
            <w:vAlign w:val="center"/>
          </w:tcPr>
          <w:p w14:paraId="74343EE7">
            <w:pPr>
              <w:pStyle w:val="70"/>
              <w:autoSpaceDE w:val="0"/>
              <w:autoSpaceDN w:val="0"/>
              <w:spacing w:line="300" w:lineRule="exact"/>
              <w:rPr>
                <w:rFonts w:asciiTheme="minorHAnsi" w:hAnsiTheme="minorHAnsi" w:eastAsiaTheme="minorEastAsia" w:cstheme="minorBidi"/>
                <w:b/>
                <w:bCs/>
                <w:color w:val="000000" w:themeColor="text1"/>
                <w:lang w:eastAsia="en-US"/>
                <w14:textFill>
                  <w14:solidFill>
                    <w14:schemeClr w14:val="tx1"/>
                  </w14:solidFill>
                </w14:textFill>
              </w:rPr>
            </w:pPr>
            <w:r>
              <w:rPr>
                <w:rFonts w:asciiTheme="minorHAnsi" w:hAnsiTheme="minorHAnsi" w:eastAsiaTheme="minorEastAsia" w:cstheme="minorBidi"/>
                <w:b/>
                <w:bCs/>
                <w:color w:val="000000" w:themeColor="text1"/>
                <w:lang w:eastAsia="en-US"/>
                <w14:textFill>
                  <w14:solidFill>
                    <w14:schemeClr w14:val="tx1"/>
                  </w14:solidFill>
                </w14:textFill>
              </w:rPr>
              <w:t>方法来源</w:t>
            </w:r>
          </w:p>
        </w:tc>
        <w:tc>
          <w:tcPr>
            <w:tcW w:w="1891" w:type="dxa"/>
            <w:tcBorders>
              <w:top w:val="single" w:color="auto" w:sz="4" w:space="0"/>
              <w:left w:val="single" w:color="auto" w:sz="4" w:space="0"/>
              <w:bottom w:val="single" w:color="auto" w:sz="4" w:space="0"/>
            </w:tcBorders>
            <w:vAlign w:val="center"/>
          </w:tcPr>
          <w:p w14:paraId="12410EFE">
            <w:pPr>
              <w:pStyle w:val="70"/>
              <w:autoSpaceDE w:val="0"/>
              <w:autoSpaceDN w:val="0"/>
              <w:spacing w:line="300" w:lineRule="exact"/>
              <w:rPr>
                <w:rFonts w:asciiTheme="minorHAnsi" w:hAnsiTheme="minorHAnsi" w:eastAsiaTheme="minorEastAsia" w:cstheme="minorBidi"/>
                <w:b/>
                <w:bCs/>
                <w:color w:val="000000" w:themeColor="text1"/>
                <w:lang w:eastAsia="en-US"/>
                <w14:textFill>
                  <w14:solidFill>
                    <w14:schemeClr w14:val="tx1"/>
                  </w14:solidFill>
                </w14:textFill>
              </w:rPr>
            </w:pPr>
            <w:r>
              <w:rPr>
                <w:rFonts w:asciiTheme="minorHAnsi" w:hAnsiTheme="minorHAnsi" w:eastAsiaTheme="minorEastAsia" w:cstheme="minorBidi"/>
                <w:b/>
                <w:bCs/>
                <w:color w:val="000000" w:themeColor="text1"/>
                <w:lang w:eastAsia="en-US"/>
                <w14:textFill>
                  <w14:solidFill>
                    <w14:schemeClr w14:val="tx1"/>
                  </w14:solidFill>
                </w14:textFill>
              </w:rPr>
              <w:t>检出限</w:t>
            </w:r>
          </w:p>
        </w:tc>
      </w:tr>
      <w:tr w14:paraId="2D9BC6D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2175" w:type="dxa"/>
            <w:tcBorders>
              <w:top w:val="single" w:color="auto" w:sz="4" w:space="0"/>
              <w:bottom w:val="single" w:color="auto" w:sz="4" w:space="0"/>
              <w:right w:val="single" w:color="auto" w:sz="4" w:space="0"/>
            </w:tcBorders>
            <w:vAlign w:val="center"/>
          </w:tcPr>
          <w:p w14:paraId="6E56FD3B">
            <w:pPr>
              <w:pStyle w:val="70"/>
              <w:autoSpaceDE w:val="0"/>
              <w:autoSpaceDN w:val="0"/>
              <w:spacing w:line="300" w:lineRule="exact"/>
              <w:rPr>
                <w:rFonts w:asciiTheme="minorHAnsi" w:hAnsiTheme="minorHAnsi" w:eastAsiaTheme="minorEastAsia" w:cstheme="minorBidi"/>
                <w:color w:val="000000" w:themeColor="text1"/>
                <w:lang w:eastAsia="en-US"/>
                <w14:textFill>
                  <w14:solidFill>
                    <w14:schemeClr w14:val="tx1"/>
                  </w14:solidFill>
                </w14:textFill>
              </w:rPr>
            </w:pPr>
            <w:r>
              <w:rPr>
                <w:rFonts w:hint="eastAsia" w:asciiTheme="minorHAnsi" w:hAnsiTheme="minorHAnsi" w:eastAsiaTheme="minorEastAsia" w:cstheme="minorBidi"/>
                <w:color w:val="000000" w:themeColor="text1"/>
                <w:lang w:eastAsia="en-US"/>
                <w14:textFill>
                  <w14:solidFill>
                    <w14:schemeClr w14:val="tx1"/>
                  </w14:solidFill>
                </w14:textFill>
              </w:rPr>
              <w:t>苯乙烯</w:t>
            </w:r>
          </w:p>
        </w:tc>
        <w:tc>
          <w:tcPr>
            <w:tcW w:w="4976" w:type="dxa"/>
            <w:tcBorders>
              <w:top w:val="single" w:color="auto" w:sz="4" w:space="0"/>
              <w:left w:val="single" w:color="auto" w:sz="4" w:space="0"/>
              <w:bottom w:val="single" w:color="auto" w:sz="4" w:space="0"/>
              <w:right w:val="single" w:color="auto" w:sz="4" w:space="0"/>
            </w:tcBorders>
            <w:vAlign w:val="center"/>
          </w:tcPr>
          <w:p w14:paraId="66A1EB3B">
            <w:pPr>
              <w:pStyle w:val="70"/>
              <w:autoSpaceDE w:val="0"/>
              <w:autoSpaceDN w:val="0"/>
              <w:spacing w:line="300" w:lineRule="exact"/>
              <w:rPr>
                <w:rFonts w:asciiTheme="minorHAnsi" w:hAnsiTheme="minorHAnsi" w:eastAsiaTheme="minorEastAsia" w:cstheme="minorBidi"/>
                <w:color w:val="000000" w:themeColor="text1"/>
                <w:spacing w:val="-10"/>
                <w:lang w:eastAsia="zh-CN"/>
                <w14:textFill>
                  <w14:solidFill>
                    <w14:schemeClr w14:val="tx1"/>
                  </w14:solidFill>
                </w14:textFill>
              </w:rPr>
            </w:pPr>
            <w:r>
              <w:rPr>
                <w:rFonts w:hint="eastAsia" w:asciiTheme="minorHAnsi" w:hAnsiTheme="minorHAnsi" w:eastAsiaTheme="minorEastAsia" w:cstheme="minorBidi"/>
                <w:color w:val="000000" w:themeColor="text1"/>
                <w:spacing w:val="-10"/>
                <w:lang w:eastAsia="zh-CN"/>
                <w14:textFill>
                  <w14:solidFill>
                    <w14:schemeClr w14:val="tx1"/>
                  </w14:solidFill>
                </w14:textFill>
              </w:rPr>
              <w:t>环境空气</w:t>
            </w:r>
            <w:r>
              <w:rPr>
                <w:rFonts w:asciiTheme="minorHAnsi" w:hAnsiTheme="minorHAnsi" w:eastAsiaTheme="minorEastAsia" w:cstheme="minorBidi"/>
                <w:color w:val="000000" w:themeColor="text1"/>
                <w:spacing w:val="-10"/>
                <w:lang w:eastAsia="zh-CN"/>
                <w14:textFill>
                  <w14:solidFill>
                    <w14:schemeClr w14:val="tx1"/>
                  </w14:solidFill>
                </w14:textFill>
              </w:rPr>
              <w:t xml:space="preserve">  </w:t>
            </w:r>
            <w:r>
              <w:rPr>
                <w:rFonts w:hint="eastAsia" w:asciiTheme="minorHAnsi" w:hAnsiTheme="minorHAnsi" w:eastAsiaTheme="minorEastAsia" w:cstheme="minorBidi"/>
                <w:color w:val="000000" w:themeColor="text1"/>
                <w:spacing w:val="-10"/>
                <w:lang w:eastAsia="zh-CN"/>
                <w14:textFill>
                  <w14:solidFill>
                    <w14:schemeClr w14:val="tx1"/>
                  </w14:solidFill>
                </w14:textFill>
              </w:rPr>
              <w:t>苯系物的测定</w:t>
            </w:r>
            <w:r>
              <w:rPr>
                <w:rFonts w:asciiTheme="minorHAnsi" w:hAnsiTheme="minorHAnsi" w:eastAsiaTheme="minorEastAsia" w:cstheme="minorBidi"/>
                <w:color w:val="000000" w:themeColor="text1"/>
                <w:spacing w:val="-10"/>
                <w:lang w:eastAsia="zh-CN"/>
                <w14:textFill>
                  <w14:solidFill>
                    <w14:schemeClr w14:val="tx1"/>
                  </w14:solidFill>
                </w14:textFill>
              </w:rPr>
              <w:t xml:space="preserve">  </w:t>
            </w:r>
            <w:r>
              <w:rPr>
                <w:rFonts w:hint="eastAsia" w:asciiTheme="minorHAnsi" w:hAnsiTheme="minorHAnsi" w:eastAsiaTheme="minorEastAsia" w:cstheme="minorBidi"/>
                <w:color w:val="000000" w:themeColor="text1"/>
                <w:spacing w:val="-10"/>
                <w:lang w:eastAsia="zh-CN"/>
                <w14:textFill>
                  <w14:solidFill>
                    <w14:schemeClr w14:val="tx1"/>
                  </w14:solidFill>
                </w14:textFill>
              </w:rPr>
              <w:t>活性炭吸附</w:t>
            </w:r>
            <w:r>
              <w:rPr>
                <w:rFonts w:asciiTheme="minorHAnsi" w:hAnsiTheme="minorHAnsi" w:eastAsiaTheme="minorEastAsia" w:cstheme="minorBidi"/>
                <w:color w:val="000000" w:themeColor="text1"/>
                <w:spacing w:val="-10"/>
                <w:lang w:eastAsia="zh-CN"/>
                <w14:textFill>
                  <w14:solidFill>
                    <w14:schemeClr w14:val="tx1"/>
                  </w14:solidFill>
                </w14:textFill>
              </w:rPr>
              <w:t>/</w:t>
            </w:r>
            <w:r>
              <w:rPr>
                <w:rFonts w:hint="eastAsia" w:asciiTheme="minorHAnsi" w:hAnsiTheme="minorHAnsi" w:eastAsiaTheme="minorEastAsia" w:cstheme="minorBidi"/>
                <w:color w:val="000000" w:themeColor="text1"/>
                <w:spacing w:val="-10"/>
                <w:lang w:eastAsia="zh-CN"/>
                <w14:textFill>
                  <w14:solidFill>
                    <w14:schemeClr w14:val="tx1"/>
                  </w14:solidFill>
                </w14:textFill>
              </w:rPr>
              <w:t>二硫化碳解吸</w:t>
            </w:r>
            <w:r>
              <w:rPr>
                <w:rFonts w:asciiTheme="minorHAnsi" w:hAnsiTheme="minorHAnsi" w:eastAsiaTheme="minorEastAsia" w:cstheme="minorBidi"/>
                <w:color w:val="000000" w:themeColor="text1"/>
                <w:spacing w:val="-10"/>
                <w:lang w:eastAsia="zh-CN"/>
                <w14:textFill>
                  <w14:solidFill>
                    <w14:schemeClr w14:val="tx1"/>
                  </w14:solidFill>
                </w14:textFill>
              </w:rPr>
              <w:t>-</w:t>
            </w:r>
            <w:r>
              <w:rPr>
                <w:rFonts w:hint="eastAsia" w:asciiTheme="minorHAnsi" w:hAnsiTheme="minorHAnsi" w:eastAsiaTheme="minorEastAsia" w:cstheme="minorBidi"/>
                <w:color w:val="000000" w:themeColor="text1"/>
                <w:spacing w:val="-10"/>
                <w:lang w:eastAsia="zh-CN"/>
                <w14:textFill>
                  <w14:solidFill>
                    <w14:schemeClr w14:val="tx1"/>
                  </w14:solidFill>
                </w14:textFill>
              </w:rPr>
              <w:t>气相色谱法（</w:t>
            </w:r>
            <w:r>
              <w:rPr>
                <w:rFonts w:asciiTheme="minorHAnsi" w:hAnsiTheme="minorHAnsi" w:eastAsiaTheme="minorEastAsia" w:cstheme="minorBidi"/>
                <w:color w:val="000000" w:themeColor="text1"/>
                <w:spacing w:val="-10"/>
                <w:lang w:eastAsia="zh-CN"/>
                <w14:textFill>
                  <w14:solidFill>
                    <w14:schemeClr w14:val="tx1"/>
                  </w14:solidFill>
                </w14:textFill>
              </w:rPr>
              <w:t>HJ 584-2010</w:t>
            </w:r>
            <w:r>
              <w:rPr>
                <w:rFonts w:hint="eastAsia" w:asciiTheme="minorHAnsi" w:hAnsiTheme="minorHAnsi" w:eastAsiaTheme="minorEastAsia" w:cstheme="minorBidi"/>
                <w:color w:val="000000" w:themeColor="text1"/>
                <w:spacing w:val="-10"/>
                <w:lang w:eastAsia="zh-CN"/>
                <w14:textFill>
                  <w14:solidFill>
                    <w14:schemeClr w14:val="tx1"/>
                  </w14:solidFill>
                </w14:textFill>
              </w:rPr>
              <w:t>）</w:t>
            </w:r>
          </w:p>
        </w:tc>
        <w:tc>
          <w:tcPr>
            <w:tcW w:w="1891" w:type="dxa"/>
            <w:tcBorders>
              <w:top w:val="single" w:color="auto" w:sz="4" w:space="0"/>
              <w:left w:val="single" w:color="auto" w:sz="4" w:space="0"/>
              <w:bottom w:val="single" w:color="auto" w:sz="4" w:space="0"/>
            </w:tcBorders>
            <w:vAlign w:val="center"/>
          </w:tcPr>
          <w:p w14:paraId="6F0CA30C">
            <w:pPr>
              <w:pStyle w:val="70"/>
              <w:autoSpaceDE w:val="0"/>
              <w:autoSpaceDN w:val="0"/>
              <w:spacing w:line="300" w:lineRule="exact"/>
              <w:rPr>
                <w:rFonts w:asciiTheme="minorHAnsi" w:hAnsiTheme="minorHAnsi" w:eastAsiaTheme="minorEastAsia" w:cstheme="minorBidi"/>
                <w:color w:val="000000" w:themeColor="text1"/>
                <w:lang w:eastAsia="en-US"/>
                <w14:textFill>
                  <w14:solidFill>
                    <w14:schemeClr w14:val="tx1"/>
                  </w14:solidFill>
                </w14:textFill>
              </w:rPr>
            </w:pPr>
            <w:r>
              <w:rPr>
                <w:rFonts w:asciiTheme="minorHAnsi" w:hAnsiTheme="minorHAnsi" w:eastAsiaTheme="minorEastAsia" w:cstheme="minorBidi"/>
                <w:color w:val="000000" w:themeColor="text1"/>
                <w:lang w:eastAsia="en-US"/>
                <w14:textFill>
                  <w14:solidFill>
                    <w14:schemeClr w14:val="tx1"/>
                  </w14:solidFill>
                </w14:textFill>
              </w:rPr>
              <w:t>1.5×10</w:t>
            </w:r>
            <w:r>
              <w:rPr>
                <w:rFonts w:asciiTheme="minorHAnsi" w:hAnsiTheme="minorHAnsi" w:eastAsiaTheme="minorEastAsia" w:cstheme="minorBidi"/>
                <w:color w:val="000000" w:themeColor="text1"/>
                <w:vertAlign w:val="superscript"/>
                <w:lang w:eastAsia="en-US"/>
                <w14:textFill>
                  <w14:solidFill>
                    <w14:schemeClr w14:val="tx1"/>
                  </w14:solidFill>
                </w14:textFill>
              </w:rPr>
              <w:t>-3</w:t>
            </w:r>
            <w:r>
              <w:rPr>
                <w:rFonts w:asciiTheme="minorHAnsi" w:hAnsiTheme="minorHAnsi" w:eastAsiaTheme="minorEastAsia" w:cstheme="minorBidi"/>
                <w:color w:val="000000" w:themeColor="text1"/>
                <w:lang w:eastAsia="en-US"/>
                <w14:textFill>
                  <w14:solidFill>
                    <w14:schemeClr w14:val="tx1"/>
                  </w14:solidFill>
                </w14:textFill>
              </w:rPr>
              <w:t>mg/m</w:t>
            </w:r>
            <w:r>
              <w:rPr>
                <w:rFonts w:asciiTheme="minorHAnsi" w:hAnsiTheme="minorHAnsi" w:eastAsiaTheme="minorEastAsia" w:cstheme="minorBidi"/>
                <w:color w:val="000000" w:themeColor="text1"/>
                <w:vertAlign w:val="superscript"/>
                <w:lang w:eastAsia="en-US"/>
                <w14:textFill>
                  <w14:solidFill>
                    <w14:schemeClr w14:val="tx1"/>
                  </w14:solidFill>
                </w14:textFill>
              </w:rPr>
              <w:t>3</w:t>
            </w:r>
          </w:p>
        </w:tc>
      </w:tr>
      <w:tr w14:paraId="224E2C6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2175" w:type="dxa"/>
            <w:tcBorders>
              <w:top w:val="single" w:color="auto" w:sz="4" w:space="0"/>
              <w:bottom w:val="single" w:color="auto" w:sz="4" w:space="0"/>
              <w:right w:val="single" w:color="auto" w:sz="4" w:space="0"/>
            </w:tcBorders>
            <w:vAlign w:val="center"/>
          </w:tcPr>
          <w:p w14:paraId="22DE930B">
            <w:pPr>
              <w:pStyle w:val="70"/>
              <w:autoSpaceDE w:val="0"/>
              <w:autoSpaceDN w:val="0"/>
              <w:spacing w:line="300" w:lineRule="exact"/>
              <w:rPr>
                <w:rFonts w:asciiTheme="minorHAnsi" w:hAnsiTheme="minorHAnsi" w:eastAsiaTheme="minorEastAsia" w:cstheme="minorBidi"/>
                <w:color w:val="000000" w:themeColor="text1"/>
                <w:lang w:eastAsia="en-US"/>
                <w14:textFill>
                  <w14:solidFill>
                    <w14:schemeClr w14:val="tx1"/>
                  </w14:solidFill>
                </w14:textFill>
              </w:rPr>
            </w:pPr>
            <w:r>
              <w:rPr>
                <w:rFonts w:asciiTheme="minorHAnsi" w:hAnsiTheme="minorHAnsi" w:eastAsiaTheme="minorEastAsia" w:cstheme="minorBidi"/>
                <w:color w:val="000000" w:themeColor="text1"/>
                <w:lang w:eastAsia="en-US"/>
                <w14:textFill>
                  <w14:solidFill>
                    <w14:schemeClr w14:val="tx1"/>
                  </w14:solidFill>
                </w14:textFill>
              </w:rPr>
              <w:t>非甲烷总烃</w:t>
            </w:r>
          </w:p>
        </w:tc>
        <w:tc>
          <w:tcPr>
            <w:tcW w:w="4976" w:type="dxa"/>
            <w:tcBorders>
              <w:top w:val="single" w:color="auto" w:sz="4" w:space="0"/>
              <w:left w:val="single" w:color="auto" w:sz="4" w:space="0"/>
              <w:bottom w:val="single" w:color="auto" w:sz="4" w:space="0"/>
              <w:right w:val="single" w:color="auto" w:sz="4" w:space="0"/>
            </w:tcBorders>
            <w:vAlign w:val="center"/>
          </w:tcPr>
          <w:p w14:paraId="29D8CADF">
            <w:pPr>
              <w:pStyle w:val="70"/>
              <w:autoSpaceDE w:val="0"/>
              <w:autoSpaceDN w:val="0"/>
              <w:spacing w:line="300" w:lineRule="exact"/>
              <w:rPr>
                <w:rFonts w:asciiTheme="minorHAnsi" w:hAnsiTheme="minorHAnsi" w:eastAsiaTheme="minorEastAsia" w:cstheme="minorBidi"/>
                <w:color w:val="000000" w:themeColor="text1"/>
                <w:spacing w:val="-10"/>
                <w:lang w:eastAsia="zh-CN"/>
                <w14:textFill>
                  <w14:solidFill>
                    <w14:schemeClr w14:val="tx1"/>
                  </w14:solidFill>
                </w14:textFill>
              </w:rPr>
            </w:pPr>
            <w:r>
              <w:rPr>
                <w:rFonts w:asciiTheme="minorHAnsi" w:hAnsiTheme="minorHAnsi" w:eastAsiaTheme="minorEastAsia" w:cstheme="minorBidi"/>
                <w:color w:val="000000" w:themeColor="text1"/>
                <w:spacing w:val="-10"/>
                <w:lang w:eastAsia="zh-CN"/>
                <w14:textFill>
                  <w14:solidFill>
                    <w14:schemeClr w14:val="tx1"/>
                  </w14:solidFill>
                </w14:textFill>
              </w:rPr>
              <w:t>环境空气 总烃、甲烷和非甲烷总烃的测定 直接进样-气相色谱法HJ 604-2017</w:t>
            </w:r>
          </w:p>
        </w:tc>
        <w:tc>
          <w:tcPr>
            <w:tcW w:w="1891" w:type="dxa"/>
            <w:tcBorders>
              <w:top w:val="single" w:color="auto" w:sz="4" w:space="0"/>
              <w:left w:val="single" w:color="auto" w:sz="4" w:space="0"/>
              <w:bottom w:val="single" w:color="auto" w:sz="4" w:space="0"/>
            </w:tcBorders>
            <w:vAlign w:val="center"/>
          </w:tcPr>
          <w:p w14:paraId="49321DFF">
            <w:pPr>
              <w:pStyle w:val="70"/>
              <w:autoSpaceDE w:val="0"/>
              <w:autoSpaceDN w:val="0"/>
              <w:spacing w:line="300" w:lineRule="exact"/>
              <w:rPr>
                <w:rFonts w:asciiTheme="minorHAnsi" w:hAnsiTheme="minorHAnsi" w:eastAsiaTheme="minorEastAsia" w:cstheme="minorBidi"/>
                <w:color w:val="000000" w:themeColor="text1"/>
                <w:lang w:eastAsia="zh-CN"/>
                <w14:textFill>
                  <w14:solidFill>
                    <w14:schemeClr w14:val="tx1"/>
                  </w14:solidFill>
                </w14:textFill>
              </w:rPr>
            </w:pPr>
          </w:p>
          <w:p w14:paraId="417913EC">
            <w:pPr>
              <w:pStyle w:val="70"/>
              <w:autoSpaceDE w:val="0"/>
              <w:autoSpaceDN w:val="0"/>
              <w:spacing w:line="300" w:lineRule="exact"/>
              <w:rPr>
                <w:rFonts w:asciiTheme="minorHAnsi" w:hAnsiTheme="minorHAnsi" w:eastAsiaTheme="minorEastAsia" w:cstheme="minorBidi"/>
                <w:color w:val="000000" w:themeColor="text1"/>
                <w:lang w:eastAsia="en-US"/>
                <w14:textFill>
                  <w14:solidFill>
                    <w14:schemeClr w14:val="tx1"/>
                  </w14:solidFill>
                </w14:textFill>
              </w:rPr>
            </w:pPr>
            <w:r>
              <w:rPr>
                <w:rFonts w:asciiTheme="minorHAnsi" w:hAnsiTheme="minorHAnsi" w:eastAsiaTheme="minorEastAsia" w:cstheme="minorBidi"/>
                <w:color w:val="000000" w:themeColor="text1"/>
                <w:lang w:eastAsia="en-US"/>
                <w14:textFill>
                  <w14:solidFill>
                    <w14:schemeClr w14:val="tx1"/>
                  </w14:solidFill>
                </w14:textFill>
              </w:rPr>
              <w:t>0.07 mg/m3</w:t>
            </w:r>
          </w:p>
        </w:tc>
      </w:tr>
      <w:tr w14:paraId="3ED795B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2175" w:type="dxa"/>
            <w:tcBorders>
              <w:top w:val="single" w:color="auto" w:sz="4" w:space="0"/>
              <w:right w:val="single" w:color="auto" w:sz="4" w:space="0"/>
            </w:tcBorders>
            <w:vAlign w:val="center"/>
          </w:tcPr>
          <w:p w14:paraId="6C39DA65">
            <w:pPr>
              <w:pStyle w:val="70"/>
              <w:autoSpaceDE w:val="0"/>
              <w:autoSpaceDN w:val="0"/>
              <w:spacing w:line="300" w:lineRule="exact"/>
              <w:rPr>
                <w:rFonts w:asciiTheme="minorHAnsi" w:hAnsiTheme="minorHAnsi" w:eastAsiaTheme="minorEastAsia" w:cstheme="minorBidi"/>
                <w:color w:val="000000" w:themeColor="text1"/>
                <w:lang w:eastAsia="en-US"/>
                <w14:textFill>
                  <w14:solidFill>
                    <w14:schemeClr w14:val="tx1"/>
                  </w14:solidFill>
                </w14:textFill>
              </w:rPr>
            </w:pPr>
            <w:r>
              <w:rPr>
                <w:rFonts w:hint="eastAsia" w:asciiTheme="minorHAnsi" w:hAnsiTheme="minorHAnsi" w:eastAsiaTheme="minorEastAsia" w:cstheme="minorBidi"/>
                <w:color w:val="000000" w:themeColor="text1"/>
                <w:lang w:eastAsia="en-US"/>
                <w14:textFill>
                  <w14:solidFill>
                    <w14:schemeClr w14:val="tx1"/>
                  </w14:solidFill>
                </w14:textFill>
              </w:rPr>
              <w:t>硫酸雾</w:t>
            </w:r>
          </w:p>
        </w:tc>
        <w:tc>
          <w:tcPr>
            <w:tcW w:w="4976" w:type="dxa"/>
            <w:tcBorders>
              <w:top w:val="single" w:color="auto" w:sz="4" w:space="0"/>
              <w:left w:val="single" w:color="auto" w:sz="4" w:space="0"/>
              <w:right w:val="single" w:color="auto" w:sz="4" w:space="0"/>
            </w:tcBorders>
            <w:vAlign w:val="center"/>
          </w:tcPr>
          <w:p w14:paraId="6A748FED">
            <w:pPr>
              <w:pStyle w:val="70"/>
              <w:autoSpaceDE w:val="0"/>
              <w:autoSpaceDN w:val="0"/>
              <w:spacing w:line="300" w:lineRule="exact"/>
              <w:rPr>
                <w:rFonts w:asciiTheme="minorHAnsi" w:hAnsiTheme="minorHAnsi" w:eastAsiaTheme="minorEastAsia" w:cstheme="minorBidi"/>
                <w:color w:val="000000" w:themeColor="text1"/>
                <w:spacing w:val="-10"/>
                <w:lang w:eastAsia="zh-CN"/>
                <w14:textFill>
                  <w14:solidFill>
                    <w14:schemeClr w14:val="tx1"/>
                  </w14:solidFill>
                </w14:textFill>
              </w:rPr>
            </w:pPr>
            <w:r>
              <w:rPr>
                <w:rFonts w:asciiTheme="minorHAnsi" w:hAnsiTheme="minorHAnsi" w:eastAsiaTheme="minorEastAsia" w:cstheme="minorBidi"/>
                <w:color w:val="000000" w:themeColor="text1"/>
                <w:spacing w:val="-10"/>
                <w:lang w:eastAsia="zh-CN"/>
                <w14:textFill>
                  <w14:solidFill>
                    <w14:schemeClr w14:val="tx1"/>
                  </w14:solidFill>
                </w14:textFill>
              </w:rPr>
              <w:t>固定污染源废气 硫酸雾的测定 离子色谱法（HJ 544-2016）</w:t>
            </w:r>
          </w:p>
        </w:tc>
        <w:tc>
          <w:tcPr>
            <w:tcW w:w="1891" w:type="dxa"/>
            <w:tcBorders>
              <w:top w:val="single" w:color="auto" w:sz="4" w:space="0"/>
              <w:left w:val="single" w:color="auto" w:sz="4" w:space="0"/>
            </w:tcBorders>
            <w:vAlign w:val="center"/>
          </w:tcPr>
          <w:p w14:paraId="44A6C8C3">
            <w:pPr>
              <w:pStyle w:val="70"/>
              <w:autoSpaceDE w:val="0"/>
              <w:autoSpaceDN w:val="0"/>
              <w:spacing w:line="300" w:lineRule="exact"/>
              <w:rPr>
                <w:rFonts w:asciiTheme="minorHAnsi" w:hAnsiTheme="minorHAnsi" w:eastAsiaTheme="minorEastAsia" w:cstheme="minorBidi"/>
                <w:color w:val="000000" w:themeColor="text1"/>
                <w:lang w:eastAsia="en-US"/>
                <w14:textFill>
                  <w14:solidFill>
                    <w14:schemeClr w14:val="tx1"/>
                  </w14:solidFill>
                </w14:textFill>
              </w:rPr>
            </w:pPr>
            <w:r>
              <w:rPr>
                <w:rFonts w:asciiTheme="minorHAnsi" w:hAnsiTheme="minorHAnsi" w:eastAsiaTheme="minorEastAsia" w:cstheme="minorBidi"/>
                <w:color w:val="000000" w:themeColor="text1"/>
                <w:lang w:eastAsia="en-US"/>
                <w14:textFill>
                  <w14:solidFill>
                    <w14:schemeClr w14:val="tx1"/>
                  </w14:solidFill>
                </w14:textFill>
              </w:rPr>
              <w:t>0.005mg/m3</w:t>
            </w:r>
          </w:p>
        </w:tc>
      </w:tr>
    </w:tbl>
    <w:p w14:paraId="3EDEE943">
      <w:pPr>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3、评价标准</w:t>
      </w:r>
    </w:p>
    <w:p w14:paraId="74A0F9AE">
      <w:pPr>
        <w:ind w:firstLine="464"/>
        <w:rPr>
          <w:color w:val="000000" w:themeColor="text1"/>
          <w:spacing w:val="-4"/>
          <w:kern w:val="0"/>
          <w:szCs w:val="22"/>
          <w14:textFill>
            <w14:solidFill>
              <w14:schemeClr w14:val="tx1"/>
            </w14:solidFill>
          </w14:textFill>
        </w:rPr>
      </w:pPr>
      <w:r>
        <w:rPr>
          <w:color w:val="000000" w:themeColor="text1"/>
          <w:spacing w:val="-4"/>
          <w:kern w:val="0"/>
          <w:szCs w:val="22"/>
          <w14:textFill>
            <w14:solidFill>
              <w14:schemeClr w14:val="tx1"/>
            </w14:solidFill>
          </w14:textFill>
        </w:rPr>
        <w:t>执行</w:t>
      </w:r>
      <w:r>
        <w:rPr>
          <w:color w:val="000000" w:themeColor="text1"/>
          <w:kern w:val="0"/>
          <w:szCs w:val="22"/>
          <w14:textFill>
            <w14:solidFill>
              <w14:schemeClr w14:val="tx1"/>
            </w14:solidFill>
          </w14:textFill>
        </w:rPr>
        <w:t>《环境空气质</w:t>
      </w:r>
      <w:r>
        <w:rPr>
          <w:color w:val="000000" w:themeColor="text1"/>
          <w:spacing w:val="-4"/>
          <w:kern w:val="0"/>
          <w:szCs w:val="22"/>
          <w14:textFill>
            <w14:solidFill>
              <w14:schemeClr w14:val="tx1"/>
            </w14:solidFill>
          </w14:textFill>
        </w:rPr>
        <w:t>量标准》（</w:t>
      </w:r>
      <w:r>
        <w:rPr>
          <w:color w:val="000000" w:themeColor="text1"/>
          <w:kern w:val="0"/>
          <w:szCs w:val="22"/>
          <w14:textFill>
            <w14:solidFill>
              <w14:schemeClr w14:val="tx1"/>
            </w14:solidFill>
          </w14:textFill>
        </w:rPr>
        <w:t>GB3095-2012）</w:t>
      </w:r>
      <w:r>
        <w:rPr>
          <w:color w:val="000000" w:themeColor="text1"/>
          <w:spacing w:val="-4"/>
          <w:kern w:val="0"/>
          <w:szCs w:val="22"/>
          <w14:textFill>
            <w14:solidFill>
              <w14:schemeClr w14:val="tx1"/>
            </w14:solidFill>
          </w14:textFill>
        </w:rPr>
        <w:t>中的二级标准</w:t>
      </w:r>
      <w:r>
        <w:rPr>
          <w:rFonts w:hint="eastAsia"/>
          <w:color w:val="000000" w:themeColor="text1"/>
          <w:spacing w:val="-4"/>
          <w:kern w:val="0"/>
          <w:szCs w:val="22"/>
          <w14:textFill>
            <w14:solidFill>
              <w14:schemeClr w14:val="tx1"/>
            </w14:solidFill>
          </w14:textFill>
        </w:rPr>
        <w:t>，</w:t>
      </w:r>
      <w:r>
        <w:rPr>
          <w:color w:val="000000" w:themeColor="text1"/>
          <w:spacing w:val="-4"/>
          <w:kern w:val="0"/>
          <w:szCs w:val="22"/>
          <w14:textFill>
            <w14:solidFill>
              <w14:schemeClr w14:val="tx1"/>
            </w14:solidFill>
          </w14:textFill>
        </w:rPr>
        <w:t>详见表1.4-</w:t>
      </w:r>
      <w:r>
        <w:rPr>
          <w:rFonts w:hint="eastAsia"/>
          <w:color w:val="000000" w:themeColor="text1"/>
          <w:spacing w:val="-4"/>
          <w:kern w:val="0"/>
          <w:szCs w:val="22"/>
          <w14:textFill>
            <w14:solidFill>
              <w14:schemeClr w14:val="tx1"/>
            </w14:solidFill>
          </w14:textFill>
        </w:rPr>
        <w:t>1</w:t>
      </w:r>
      <w:r>
        <w:rPr>
          <w:color w:val="000000" w:themeColor="text1"/>
          <w:spacing w:val="-4"/>
          <w:kern w:val="0"/>
          <w:szCs w:val="22"/>
          <w14:textFill>
            <w14:solidFill>
              <w14:schemeClr w14:val="tx1"/>
            </w14:solidFill>
          </w14:textFill>
        </w:rPr>
        <w:t>。</w:t>
      </w:r>
    </w:p>
    <w:p w14:paraId="271CE224">
      <w:pPr>
        <w:ind w:firstLine="480"/>
        <w:rPr>
          <w:color w:val="000000" w:themeColor="text1"/>
          <w:kern w:val="0"/>
          <w14:textFill>
            <w14:solidFill>
              <w14:schemeClr w14:val="tx1"/>
            </w14:solidFill>
          </w14:textFill>
        </w:rPr>
      </w:pPr>
      <w:r>
        <w:rPr>
          <w:color w:val="000000" w:themeColor="text1"/>
          <w:kern w:val="0"/>
          <w:szCs w:val="22"/>
          <w14:textFill>
            <w14:solidFill>
              <w14:schemeClr w14:val="tx1"/>
            </w14:solidFill>
          </w14:textFill>
        </w:rPr>
        <w:t>4、评价方法</w:t>
      </w:r>
    </w:p>
    <w:p w14:paraId="0D6DD1FF">
      <w:pPr>
        <w:ind w:firstLine="480"/>
        <w:rPr>
          <w:color w:val="000000" w:themeColor="text1"/>
          <w14:textFill>
            <w14:solidFill>
              <w14:schemeClr w14:val="tx1"/>
            </w14:solidFill>
          </w14:textFill>
        </w:rPr>
      </w:pPr>
      <w:r>
        <w:rPr>
          <w:color w:val="000000" w:themeColor="text1"/>
          <w14:textFill>
            <w14:solidFill>
              <w14:schemeClr w14:val="tx1"/>
            </w14:solidFill>
          </w14:textFill>
        </w:rPr>
        <w:t>采用单因子指数法。</w:t>
      </w:r>
    </w:p>
    <w:p w14:paraId="247459AC">
      <w:pPr>
        <w:ind w:firstLine="480"/>
        <w:rPr>
          <w:color w:val="000000" w:themeColor="text1"/>
          <w14:textFill>
            <w14:solidFill>
              <w14:schemeClr w14:val="tx1"/>
            </w14:solidFill>
          </w14:textFill>
        </w:rPr>
      </w:pPr>
      <w:r>
        <w:rPr>
          <w:color w:val="000000" w:themeColor="text1"/>
          <w14:textFill>
            <w14:solidFill>
              <w14:schemeClr w14:val="tx1"/>
            </w14:solidFill>
          </w14:textFill>
        </w:rPr>
        <w:t>公式为：</w:t>
      </w:r>
      <w:r>
        <w:rPr>
          <w:i/>
          <w:color w:val="000000" w:themeColor="text1"/>
          <w14:textFill>
            <w14:solidFill>
              <w14:schemeClr w14:val="tx1"/>
            </w14:solidFill>
          </w14:textFill>
        </w:rPr>
        <w:t>P</w:t>
      </w:r>
      <w:r>
        <w:rPr>
          <w:i/>
          <w:color w:val="000000" w:themeColor="text1"/>
          <w:vertAlign w:val="subscript"/>
          <w14:textFill>
            <w14:solidFill>
              <w14:schemeClr w14:val="tx1"/>
            </w14:solidFill>
          </w14:textFill>
        </w:rPr>
        <w:t>i</w:t>
      </w:r>
      <w:r>
        <w:rPr>
          <w:color w:val="000000" w:themeColor="text1"/>
          <w14:textFill>
            <w14:solidFill>
              <w14:schemeClr w14:val="tx1"/>
            </w14:solidFill>
          </w14:textFill>
        </w:rPr>
        <w:t>＝</w:t>
      </w:r>
      <w:r>
        <w:rPr>
          <w:i/>
          <w:color w:val="000000" w:themeColor="text1"/>
          <w14:textFill>
            <w14:solidFill>
              <w14:schemeClr w14:val="tx1"/>
            </w14:solidFill>
          </w14:textFill>
        </w:rPr>
        <w:t>C</w:t>
      </w:r>
      <w:r>
        <w:rPr>
          <w:i/>
          <w:color w:val="000000" w:themeColor="text1"/>
          <w:vertAlign w:val="subscript"/>
          <w14:textFill>
            <w14:solidFill>
              <w14:schemeClr w14:val="tx1"/>
            </w14:solidFill>
          </w14:textFill>
        </w:rPr>
        <w:t>i</w:t>
      </w:r>
      <w:r>
        <w:rPr>
          <w:i/>
          <w:color w:val="000000" w:themeColor="text1"/>
          <w14:textFill>
            <w14:solidFill>
              <w14:schemeClr w14:val="tx1"/>
            </w14:solidFill>
          </w14:textFill>
        </w:rPr>
        <w:t>／S</w:t>
      </w:r>
      <w:r>
        <w:rPr>
          <w:i/>
          <w:color w:val="000000" w:themeColor="text1"/>
          <w:vertAlign w:val="subscript"/>
          <w14:textFill>
            <w14:solidFill>
              <w14:schemeClr w14:val="tx1"/>
            </w14:solidFill>
          </w14:textFill>
        </w:rPr>
        <w:t>i</w:t>
      </w:r>
    </w:p>
    <w:p w14:paraId="0AA65F35">
      <w:pPr>
        <w:ind w:firstLine="480"/>
        <w:rPr>
          <w:color w:val="000000" w:themeColor="text1"/>
          <w14:textFill>
            <w14:solidFill>
              <w14:schemeClr w14:val="tx1"/>
            </w14:solidFill>
          </w14:textFill>
        </w:rPr>
      </w:pPr>
      <w:r>
        <w:rPr>
          <w:color w:val="000000" w:themeColor="text1"/>
          <w14:textFill>
            <w14:solidFill>
              <w14:schemeClr w14:val="tx1"/>
            </w14:solidFill>
          </w14:textFill>
        </w:rPr>
        <w:t>式中：</w:t>
      </w:r>
      <w:r>
        <w:rPr>
          <w:i/>
          <w:iCs/>
          <w:color w:val="000000" w:themeColor="text1"/>
          <w14:textFill>
            <w14:solidFill>
              <w14:schemeClr w14:val="tx1"/>
            </w14:solidFill>
          </w14:textFill>
        </w:rPr>
        <w:t>P</w:t>
      </w:r>
      <w:r>
        <w:rPr>
          <w:i/>
          <w:iCs/>
          <w:color w:val="000000" w:themeColor="text1"/>
          <w:vertAlign w:val="subscript"/>
          <w14:textFill>
            <w14:solidFill>
              <w14:schemeClr w14:val="tx1"/>
            </w14:solidFill>
          </w14:textFill>
        </w:rPr>
        <w:t>i</w:t>
      </w:r>
      <w:r>
        <w:rPr>
          <w:color w:val="000000" w:themeColor="text1"/>
          <w14:textFill>
            <w14:solidFill>
              <w14:schemeClr w14:val="tx1"/>
            </w14:solidFill>
          </w14:textFill>
        </w:rPr>
        <w:t>——某污染物的单项质量指数；</w:t>
      </w:r>
    </w:p>
    <w:p w14:paraId="6BF66250">
      <w:pPr>
        <w:ind w:firstLine="480"/>
        <w:rPr>
          <w:color w:val="000000" w:themeColor="text1"/>
          <w14:textFill>
            <w14:solidFill>
              <w14:schemeClr w14:val="tx1"/>
            </w14:solidFill>
          </w14:textFill>
        </w:rPr>
      </w:pPr>
      <w:r>
        <w:rPr>
          <w:color w:val="000000" w:themeColor="text1"/>
          <w14:textFill>
            <w14:solidFill>
              <w14:schemeClr w14:val="tx1"/>
            </w14:solidFill>
          </w14:textFill>
        </w:rPr>
        <w:t xml:space="preserve">      </w:t>
      </w:r>
      <w:r>
        <w:rPr>
          <w:i/>
          <w:iCs/>
          <w:color w:val="000000" w:themeColor="text1"/>
          <w14:textFill>
            <w14:solidFill>
              <w14:schemeClr w14:val="tx1"/>
            </w14:solidFill>
          </w14:textFill>
        </w:rPr>
        <w:t>C</w:t>
      </w:r>
      <w:r>
        <w:rPr>
          <w:i/>
          <w:iCs/>
          <w:color w:val="000000" w:themeColor="text1"/>
          <w:vertAlign w:val="subscript"/>
          <w14:textFill>
            <w14:solidFill>
              <w14:schemeClr w14:val="tx1"/>
            </w14:solidFill>
          </w14:textFill>
        </w:rPr>
        <w:t>i</w:t>
      </w:r>
      <w:r>
        <w:rPr>
          <w:color w:val="000000" w:themeColor="text1"/>
          <w14:textFill>
            <w14:solidFill>
              <w14:schemeClr w14:val="tx1"/>
            </w14:solidFill>
          </w14:textFill>
        </w:rPr>
        <w:t>——某污染物的实测浓度，mg/m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w:t>
      </w:r>
    </w:p>
    <w:p w14:paraId="43A284A9">
      <w:pPr>
        <w:ind w:firstLine="480"/>
        <w:rPr>
          <w:color w:val="000000" w:themeColor="text1"/>
          <w14:textFill>
            <w14:solidFill>
              <w14:schemeClr w14:val="tx1"/>
            </w14:solidFill>
          </w14:textFill>
        </w:rPr>
      </w:pPr>
      <w:r>
        <w:rPr>
          <w:color w:val="000000" w:themeColor="text1"/>
          <w14:textFill>
            <w14:solidFill>
              <w14:schemeClr w14:val="tx1"/>
            </w14:solidFill>
          </w14:textFill>
        </w:rPr>
        <w:t xml:space="preserve">      </w:t>
      </w:r>
      <w:r>
        <w:rPr>
          <w:i/>
          <w:iCs/>
          <w:color w:val="000000" w:themeColor="text1"/>
          <w14:textFill>
            <w14:solidFill>
              <w14:schemeClr w14:val="tx1"/>
            </w14:solidFill>
          </w14:textFill>
        </w:rPr>
        <w:t>S</w:t>
      </w:r>
      <w:r>
        <w:rPr>
          <w:i/>
          <w:iCs/>
          <w:color w:val="000000" w:themeColor="text1"/>
          <w:vertAlign w:val="subscript"/>
          <w14:textFill>
            <w14:solidFill>
              <w14:schemeClr w14:val="tx1"/>
            </w14:solidFill>
          </w14:textFill>
        </w:rPr>
        <w:t>i</w:t>
      </w:r>
      <w:r>
        <w:rPr>
          <w:color w:val="000000" w:themeColor="text1"/>
          <w14:textFill>
            <w14:solidFill>
              <w14:schemeClr w14:val="tx1"/>
            </w14:solidFill>
          </w14:textFill>
        </w:rPr>
        <w:t>——某污染物的评价标准限值，mg/m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w:t>
      </w:r>
    </w:p>
    <w:p w14:paraId="68CB0E9C">
      <w:pPr>
        <w:ind w:firstLine="480"/>
        <w:rPr>
          <w:color w:val="000000" w:themeColor="text1"/>
          <w14:textFill>
            <w14:solidFill>
              <w14:schemeClr w14:val="tx1"/>
            </w14:solidFill>
          </w14:textFill>
        </w:rPr>
      </w:pPr>
      <w:r>
        <w:rPr>
          <w:color w:val="000000" w:themeColor="text1"/>
          <w14:textFill>
            <w14:solidFill>
              <w14:schemeClr w14:val="tx1"/>
            </w14:solidFill>
          </w14:textFill>
        </w:rPr>
        <w:t>5、监测结果及评价</w:t>
      </w:r>
    </w:p>
    <w:p w14:paraId="1AB7125C">
      <w:pPr>
        <w:ind w:firstLine="480"/>
        <w:rPr>
          <w:color w:val="000000" w:themeColor="text1"/>
          <w14:textFill>
            <w14:solidFill>
              <w14:schemeClr w14:val="tx1"/>
            </w14:solidFill>
          </w14:textFill>
        </w:rPr>
      </w:pPr>
      <w:r>
        <w:rPr>
          <w:color w:val="000000" w:themeColor="text1"/>
          <w14:textFill>
            <w14:solidFill>
              <w14:schemeClr w14:val="tx1"/>
            </w14:solidFill>
          </w14:textFill>
        </w:rPr>
        <w:t>项目补充监测环境空气质量监测结果及评价见表3.3-</w:t>
      </w:r>
      <w:r>
        <w:rPr>
          <w:rFonts w:hint="eastAsia"/>
          <w:color w:val="000000" w:themeColor="text1"/>
          <w14:textFill>
            <w14:solidFill>
              <w14:schemeClr w14:val="tx1"/>
            </w14:solidFill>
          </w14:textFill>
        </w:rPr>
        <w:t>4</w:t>
      </w:r>
      <w:r>
        <w:rPr>
          <w:color w:val="000000" w:themeColor="text1"/>
          <w14:textFill>
            <w14:solidFill>
              <w14:schemeClr w14:val="tx1"/>
            </w14:solidFill>
          </w14:textFill>
        </w:rPr>
        <w:t>和附件</w:t>
      </w:r>
      <w:r>
        <w:rPr>
          <w:rFonts w:hint="eastAsia"/>
          <w:color w:val="000000" w:themeColor="text1"/>
          <w14:textFill>
            <w14:solidFill>
              <w14:schemeClr w14:val="tx1"/>
            </w14:solidFill>
          </w14:textFill>
        </w:rPr>
        <w:t>7、8</w:t>
      </w:r>
      <w:r>
        <w:rPr>
          <w:color w:val="000000" w:themeColor="text1"/>
          <w14:textFill>
            <w14:solidFill>
              <w14:schemeClr w14:val="tx1"/>
            </w14:solidFill>
          </w14:textFill>
        </w:rPr>
        <w:t>。根据补充监测结果，各特征因子均能满足《环境影响评价技术导则 大气环境》（HJ2.2-2018）中附录D空气质量浓度参考限值和《大气污染物综合排放标准详解》相关要求。</w:t>
      </w:r>
    </w:p>
    <w:p w14:paraId="691D9C00">
      <w:pPr>
        <w:pStyle w:val="7"/>
        <w:rPr>
          <w:color w:val="000000" w:themeColor="text1"/>
          <w14:textFill>
            <w14:solidFill>
              <w14:schemeClr w14:val="tx1"/>
            </w14:solidFill>
          </w14:textFill>
        </w:rPr>
      </w:pPr>
      <w:r>
        <w:rPr>
          <w:rFonts w:hint="eastAsia"/>
          <w:color w:val="000000" w:themeColor="text1"/>
          <w14:textFill>
            <w14:solidFill>
              <w14:schemeClr w14:val="tx1"/>
            </w14:solidFill>
          </w14:textFill>
        </w:rPr>
        <w:t>现状监测结果一览表</w:t>
      </w:r>
    </w:p>
    <w:tbl>
      <w:tblPr>
        <w:tblStyle w:val="43"/>
        <w:tblpPr w:leftFromText="180" w:rightFromText="180" w:vertAnchor="text" w:tblpXSpec="center" w:tblpY="1"/>
        <w:tblOverlap w:val="never"/>
        <w:tblW w:w="4996"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338"/>
        <w:gridCol w:w="1169"/>
        <w:gridCol w:w="1305"/>
        <w:gridCol w:w="1825"/>
        <w:gridCol w:w="1825"/>
        <w:gridCol w:w="1831"/>
      </w:tblGrid>
      <w:tr w14:paraId="27BB9BD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3" w:hRule="atLeast"/>
          <w:tblHeader/>
          <w:jc w:val="center"/>
        </w:trPr>
        <w:tc>
          <w:tcPr>
            <w:tcW w:w="720" w:type="pct"/>
            <w:vMerge w:val="restart"/>
            <w:vAlign w:val="center"/>
          </w:tcPr>
          <w:p w14:paraId="5BE635E6">
            <w:pPr>
              <w:pStyle w:val="70"/>
              <w:autoSpaceDE w:val="0"/>
              <w:autoSpaceDN w:val="0"/>
              <w:rPr>
                <w:rFonts w:eastAsiaTheme="minorEastAsia"/>
                <w:b/>
                <w:bCs/>
                <w:color w:val="000000" w:themeColor="text1"/>
                <w:spacing w:val="-10"/>
                <w14:textFill>
                  <w14:solidFill>
                    <w14:schemeClr w14:val="tx1"/>
                  </w14:solidFill>
                </w14:textFill>
              </w:rPr>
            </w:pPr>
            <w:bookmarkStart w:id="576" w:name="_Toc25436975"/>
            <w:bookmarkStart w:id="577" w:name="_Toc135090230"/>
            <w:bookmarkStart w:id="578" w:name="_Toc136878478"/>
            <w:bookmarkStart w:id="579" w:name="_Toc29131833"/>
            <w:bookmarkStart w:id="580" w:name="_Toc26910020"/>
            <w:r>
              <w:rPr>
                <w:rFonts w:hint="eastAsia" w:eastAsiaTheme="minorEastAsia"/>
                <w:b/>
                <w:bCs/>
                <w:color w:val="000000" w:themeColor="text1"/>
                <w:spacing w:val="-10"/>
                <w14:textFill>
                  <w14:solidFill>
                    <w14:schemeClr w14:val="tx1"/>
                  </w14:solidFill>
                </w14:textFill>
              </w:rPr>
              <w:t>检测点位</w:t>
            </w:r>
          </w:p>
        </w:tc>
        <w:tc>
          <w:tcPr>
            <w:tcW w:w="1331" w:type="pct"/>
            <w:gridSpan w:val="2"/>
            <w:vMerge w:val="restart"/>
            <w:vAlign w:val="center"/>
          </w:tcPr>
          <w:p w14:paraId="7A3105D9">
            <w:pPr>
              <w:pStyle w:val="70"/>
              <w:autoSpaceDE w:val="0"/>
              <w:autoSpaceDN w:val="0"/>
              <w:rPr>
                <w:rFonts w:eastAsiaTheme="minorEastAsia"/>
                <w:b/>
                <w:bCs/>
                <w:color w:val="000000" w:themeColor="text1"/>
                <w:spacing w:val="-10"/>
                <w14:textFill>
                  <w14:solidFill>
                    <w14:schemeClr w14:val="tx1"/>
                  </w14:solidFill>
                </w14:textFill>
              </w:rPr>
            </w:pPr>
            <w:r>
              <w:rPr>
                <w:rFonts w:eastAsiaTheme="minorEastAsia"/>
                <w:b/>
                <w:bCs/>
                <w:color w:val="000000" w:themeColor="text1"/>
                <w:spacing w:val="-10"/>
                <w14:textFill>
                  <w14:solidFill>
                    <w14:schemeClr w14:val="tx1"/>
                  </w14:solidFill>
                </w14:textFill>
              </w:rPr>
              <w:t>采样时间</w:t>
            </w:r>
          </w:p>
        </w:tc>
        <w:tc>
          <w:tcPr>
            <w:tcW w:w="2949" w:type="pct"/>
            <w:gridSpan w:val="3"/>
            <w:vAlign w:val="center"/>
          </w:tcPr>
          <w:p w14:paraId="405B68D7">
            <w:pPr>
              <w:pStyle w:val="70"/>
              <w:autoSpaceDE w:val="0"/>
              <w:autoSpaceDN w:val="0"/>
              <w:rPr>
                <w:rFonts w:eastAsiaTheme="minorEastAsia"/>
                <w:b/>
                <w:bCs/>
                <w:color w:val="000000" w:themeColor="text1"/>
                <w:spacing w:val="-10"/>
                <w14:textFill>
                  <w14:solidFill>
                    <w14:schemeClr w14:val="tx1"/>
                  </w14:solidFill>
                </w14:textFill>
              </w:rPr>
            </w:pPr>
            <w:r>
              <w:rPr>
                <w:rFonts w:hint="eastAsia" w:eastAsiaTheme="minorEastAsia"/>
                <w:b/>
                <w:bCs/>
                <w:color w:val="000000" w:themeColor="text1"/>
                <w:spacing w:val="-10"/>
                <w14:textFill>
                  <w14:solidFill>
                    <w14:schemeClr w14:val="tx1"/>
                  </w14:solidFill>
                </w14:textFill>
              </w:rPr>
              <w:t>检测结果</w:t>
            </w:r>
            <w:r>
              <w:rPr>
                <w:rFonts w:eastAsiaTheme="minorEastAsia"/>
                <w:b/>
                <w:bCs/>
                <w:color w:val="000000" w:themeColor="text1"/>
                <w:spacing w:val="-10"/>
                <w14:textFill>
                  <w14:solidFill>
                    <w14:schemeClr w14:val="tx1"/>
                  </w14:solidFill>
                </w14:textFill>
              </w:rPr>
              <w:t>（单位：</w:t>
            </w:r>
            <w:r>
              <w:rPr>
                <w:rFonts w:hint="eastAsia" w:eastAsiaTheme="minorEastAsia"/>
                <w:b/>
                <w:bCs/>
                <w:color w:val="000000" w:themeColor="text1"/>
                <w:spacing w:val="-10"/>
                <w14:textFill>
                  <w14:solidFill>
                    <w14:schemeClr w14:val="tx1"/>
                  </w14:solidFill>
                </w14:textFill>
              </w:rPr>
              <w:t>m</w:t>
            </w:r>
            <w:r>
              <w:rPr>
                <w:rFonts w:eastAsiaTheme="minorEastAsia"/>
                <w:b/>
                <w:bCs/>
                <w:color w:val="000000" w:themeColor="text1"/>
                <w:spacing w:val="-10"/>
                <w14:textFill>
                  <w14:solidFill>
                    <w14:schemeClr w14:val="tx1"/>
                  </w14:solidFill>
                </w14:textFill>
              </w:rPr>
              <w:t>g/m</w:t>
            </w:r>
            <w:r>
              <w:rPr>
                <w:rFonts w:eastAsiaTheme="minorEastAsia"/>
                <w:b/>
                <w:bCs/>
                <w:color w:val="000000" w:themeColor="text1"/>
                <w:spacing w:val="-10"/>
                <w:vertAlign w:val="superscript"/>
                <w14:textFill>
                  <w14:solidFill>
                    <w14:schemeClr w14:val="tx1"/>
                  </w14:solidFill>
                </w14:textFill>
              </w:rPr>
              <w:t>3</w:t>
            </w:r>
            <w:r>
              <w:rPr>
                <w:rFonts w:eastAsiaTheme="minorEastAsia"/>
                <w:b/>
                <w:bCs/>
                <w:color w:val="000000" w:themeColor="text1"/>
                <w:spacing w:val="-10"/>
                <w14:textFill>
                  <w14:solidFill>
                    <w14:schemeClr w14:val="tx1"/>
                  </w14:solidFill>
                </w14:textFill>
              </w:rPr>
              <w:t>）</w:t>
            </w:r>
          </w:p>
        </w:tc>
      </w:tr>
      <w:tr w14:paraId="3878B4E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3" w:hRule="atLeast"/>
          <w:tblHeader/>
          <w:jc w:val="center"/>
        </w:trPr>
        <w:tc>
          <w:tcPr>
            <w:tcW w:w="720" w:type="pct"/>
            <w:vMerge w:val="continue"/>
            <w:vAlign w:val="center"/>
          </w:tcPr>
          <w:p w14:paraId="7D3C8E69">
            <w:pPr>
              <w:pStyle w:val="70"/>
              <w:autoSpaceDE w:val="0"/>
              <w:autoSpaceDN w:val="0"/>
              <w:rPr>
                <w:rFonts w:eastAsiaTheme="minorEastAsia"/>
                <w:b/>
                <w:bCs/>
                <w:color w:val="000000" w:themeColor="text1"/>
                <w:spacing w:val="-10"/>
                <w14:textFill>
                  <w14:solidFill>
                    <w14:schemeClr w14:val="tx1"/>
                  </w14:solidFill>
                </w14:textFill>
              </w:rPr>
            </w:pPr>
          </w:p>
        </w:tc>
        <w:tc>
          <w:tcPr>
            <w:tcW w:w="1331" w:type="pct"/>
            <w:gridSpan w:val="2"/>
            <w:vMerge w:val="continue"/>
            <w:vAlign w:val="center"/>
          </w:tcPr>
          <w:p w14:paraId="54B08E80">
            <w:pPr>
              <w:pStyle w:val="70"/>
              <w:autoSpaceDE w:val="0"/>
              <w:autoSpaceDN w:val="0"/>
              <w:rPr>
                <w:rFonts w:eastAsiaTheme="minorEastAsia"/>
                <w:b/>
                <w:bCs/>
                <w:color w:val="000000" w:themeColor="text1"/>
                <w:spacing w:val="-10"/>
                <w14:textFill>
                  <w14:solidFill>
                    <w14:schemeClr w14:val="tx1"/>
                  </w14:solidFill>
                </w14:textFill>
              </w:rPr>
            </w:pPr>
          </w:p>
        </w:tc>
        <w:tc>
          <w:tcPr>
            <w:tcW w:w="982" w:type="pct"/>
            <w:vAlign w:val="center"/>
          </w:tcPr>
          <w:p w14:paraId="32C3AD16">
            <w:pPr>
              <w:pStyle w:val="70"/>
              <w:autoSpaceDE w:val="0"/>
              <w:autoSpaceDN w:val="0"/>
              <w:rPr>
                <w:rFonts w:eastAsiaTheme="minorEastAsia"/>
                <w:b/>
                <w:bCs/>
                <w:color w:val="000000" w:themeColor="text1"/>
                <w:spacing w:val="-10"/>
                <w14:textFill>
                  <w14:solidFill>
                    <w14:schemeClr w14:val="tx1"/>
                  </w14:solidFill>
                </w14:textFill>
              </w:rPr>
            </w:pPr>
            <w:r>
              <w:rPr>
                <w:rFonts w:eastAsiaTheme="minorEastAsia"/>
                <w:b/>
                <w:bCs/>
                <w:color w:val="000000" w:themeColor="text1"/>
                <w:spacing w:val="-10"/>
                <w14:textFill>
                  <w14:solidFill>
                    <w14:schemeClr w14:val="tx1"/>
                  </w14:solidFill>
                </w14:textFill>
              </w:rPr>
              <w:t>非甲烷总烃</w:t>
            </w:r>
          </w:p>
        </w:tc>
        <w:tc>
          <w:tcPr>
            <w:tcW w:w="982" w:type="pct"/>
            <w:vAlign w:val="center"/>
          </w:tcPr>
          <w:p w14:paraId="21EC3578">
            <w:pPr>
              <w:pStyle w:val="70"/>
              <w:autoSpaceDE w:val="0"/>
              <w:autoSpaceDN w:val="0"/>
              <w:rPr>
                <w:rFonts w:eastAsiaTheme="minorEastAsia"/>
                <w:b/>
                <w:bCs/>
                <w:color w:val="000000" w:themeColor="text1"/>
                <w:spacing w:val="-10"/>
                <w14:textFill>
                  <w14:solidFill>
                    <w14:schemeClr w14:val="tx1"/>
                  </w14:solidFill>
                </w14:textFill>
              </w:rPr>
            </w:pPr>
            <w:r>
              <w:rPr>
                <w:rFonts w:eastAsiaTheme="minorEastAsia"/>
                <w:b/>
                <w:bCs/>
                <w:color w:val="000000" w:themeColor="text1"/>
                <w:spacing w:val="-10"/>
                <w14:textFill>
                  <w14:solidFill>
                    <w14:schemeClr w14:val="tx1"/>
                  </w14:solidFill>
                </w14:textFill>
              </w:rPr>
              <w:t>苯乙烯</w:t>
            </w:r>
          </w:p>
        </w:tc>
        <w:tc>
          <w:tcPr>
            <w:tcW w:w="985" w:type="pct"/>
            <w:vAlign w:val="center"/>
          </w:tcPr>
          <w:p w14:paraId="10B77A0A">
            <w:pPr>
              <w:pStyle w:val="70"/>
              <w:autoSpaceDE w:val="0"/>
              <w:autoSpaceDN w:val="0"/>
              <w:rPr>
                <w:rFonts w:eastAsiaTheme="minorEastAsia"/>
                <w:b/>
                <w:bCs/>
                <w:color w:val="000000" w:themeColor="text1"/>
                <w:spacing w:val="-10"/>
                <w14:textFill>
                  <w14:solidFill>
                    <w14:schemeClr w14:val="tx1"/>
                  </w14:solidFill>
                </w14:textFill>
              </w:rPr>
            </w:pPr>
            <w:r>
              <w:rPr>
                <w:rFonts w:hint="eastAsia" w:eastAsiaTheme="minorEastAsia"/>
                <w:b/>
                <w:bCs/>
                <w:color w:val="000000" w:themeColor="text1"/>
                <w:spacing w:val="-10"/>
                <w14:textFill>
                  <w14:solidFill>
                    <w14:schemeClr w14:val="tx1"/>
                  </w14:solidFill>
                </w14:textFill>
              </w:rPr>
              <w:t>硫酸雾</w:t>
            </w:r>
          </w:p>
        </w:tc>
      </w:tr>
      <w:tr w14:paraId="237C8FA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3" w:hRule="atLeast"/>
          <w:tblHeader/>
          <w:jc w:val="center"/>
        </w:trPr>
        <w:tc>
          <w:tcPr>
            <w:tcW w:w="720" w:type="pct"/>
            <w:vMerge w:val="continue"/>
            <w:vAlign w:val="center"/>
          </w:tcPr>
          <w:p w14:paraId="6F96A54D">
            <w:pPr>
              <w:pStyle w:val="70"/>
              <w:autoSpaceDE w:val="0"/>
              <w:autoSpaceDN w:val="0"/>
              <w:rPr>
                <w:rFonts w:eastAsiaTheme="minorEastAsia"/>
                <w:b/>
                <w:bCs/>
                <w:color w:val="000000" w:themeColor="text1"/>
                <w:spacing w:val="-10"/>
                <w14:textFill>
                  <w14:solidFill>
                    <w14:schemeClr w14:val="tx1"/>
                  </w14:solidFill>
                </w14:textFill>
              </w:rPr>
            </w:pPr>
          </w:p>
        </w:tc>
        <w:tc>
          <w:tcPr>
            <w:tcW w:w="1331" w:type="pct"/>
            <w:gridSpan w:val="2"/>
            <w:vMerge w:val="continue"/>
            <w:vAlign w:val="center"/>
          </w:tcPr>
          <w:p w14:paraId="44EA42C7">
            <w:pPr>
              <w:pStyle w:val="70"/>
              <w:autoSpaceDE w:val="0"/>
              <w:autoSpaceDN w:val="0"/>
              <w:rPr>
                <w:rFonts w:eastAsiaTheme="minorEastAsia"/>
                <w:b/>
                <w:bCs/>
                <w:color w:val="000000" w:themeColor="text1"/>
                <w:spacing w:val="-10"/>
                <w14:textFill>
                  <w14:solidFill>
                    <w14:schemeClr w14:val="tx1"/>
                  </w14:solidFill>
                </w14:textFill>
              </w:rPr>
            </w:pPr>
          </w:p>
        </w:tc>
        <w:tc>
          <w:tcPr>
            <w:tcW w:w="982" w:type="pct"/>
            <w:shd w:val="clear" w:color="auto" w:fill="auto"/>
            <w:vAlign w:val="center"/>
          </w:tcPr>
          <w:p w14:paraId="004A038B">
            <w:pPr>
              <w:pStyle w:val="70"/>
              <w:autoSpaceDE w:val="0"/>
              <w:autoSpaceDN w:val="0"/>
              <w:rPr>
                <w:rFonts w:eastAsiaTheme="minorEastAsia"/>
                <w:b/>
                <w:bCs/>
                <w:color w:val="000000" w:themeColor="text1"/>
                <w:spacing w:val="-10"/>
                <w14:textFill>
                  <w14:solidFill>
                    <w14:schemeClr w14:val="tx1"/>
                  </w14:solidFill>
                </w14:textFill>
              </w:rPr>
            </w:pPr>
            <w:r>
              <w:rPr>
                <w:rFonts w:hint="eastAsia" w:eastAsiaTheme="minorEastAsia"/>
                <w:b/>
                <w:bCs/>
                <w:color w:val="000000" w:themeColor="text1"/>
                <w:spacing w:val="-10"/>
                <w14:textFill>
                  <w14:solidFill>
                    <w14:schemeClr w14:val="tx1"/>
                  </w14:solidFill>
                </w14:textFill>
              </w:rPr>
              <w:t>小时值</w:t>
            </w:r>
          </w:p>
        </w:tc>
        <w:tc>
          <w:tcPr>
            <w:tcW w:w="982" w:type="pct"/>
            <w:shd w:val="clear" w:color="auto" w:fill="auto"/>
            <w:vAlign w:val="center"/>
          </w:tcPr>
          <w:p w14:paraId="7C22F5AC">
            <w:pPr>
              <w:pStyle w:val="70"/>
              <w:autoSpaceDE w:val="0"/>
              <w:autoSpaceDN w:val="0"/>
              <w:rPr>
                <w:rFonts w:eastAsiaTheme="minorEastAsia"/>
                <w:b/>
                <w:bCs/>
                <w:color w:val="000000" w:themeColor="text1"/>
                <w:spacing w:val="-10"/>
                <w14:textFill>
                  <w14:solidFill>
                    <w14:schemeClr w14:val="tx1"/>
                  </w14:solidFill>
                </w14:textFill>
              </w:rPr>
            </w:pPr>
            <w:r>
              <w:rPr>
                <w:rFonts w:hint="eastAsia" w:eastAsiaTheme="minorEastAsia"/>
                <w:b/>
                <w:bCs/>
                <w:color w:val="000000" w:themeColor="text1"/>
                <w:spacing w:val="-10"/>
                <w14:textFill>
                  <w14:solidFill>
                    <w14:schemeClr w14:val="tx1"/>
                  </w14:solidFill>
                </w14:textFill>
              </w:rPr>
              <w:t>小时值</w:t>
            </w:r>
          </w:p>
        </w:tc>
        <w:tc>
          <w:tcPr>
            <w:tcW w:w="983" w:type="pct"/>
            <w:shd w:val="clear" w:color="auto" w:fill="auto"/>
            <w:vAlign w:val="center"/>
          </w:tcPr>
          <w:p w14:paraId="45D4014E">
            <w:pPr>
              <w:pStyle w:val="70"/>
              <w:autoSpaceDE w:val="0"/>
              <w:autoSpaceDN w:val="0"/>
              <w:rPr>
                <w:rFonts w:eastAsiaTheme="minorEastAsia"/>
                <w:b/>
                <w:bCs/>
                <w:color w:val="000000" w:themeColor="text1"/>
                <w:spacing w:val="-10"/>
                <w14:textFill>
                  <w14:solidFill>
                    <w14:schemeClr w14:val="tx1"/>
                  </w14:solidFill>
                </w14:textFill>
              </w:rPr>
            </w:pPr>
            <w:r>
              <w:rPr>
                <w:rFonts w:hint="eastAsia" w:eastAsiaTheme="minorEastAsia"/>
                <w:b/>
                <w:bCs/>
                <w:color w:val="000000" w:themeColor="text1"/>
                <w:spacing w:val="-10"/>
                <w14:textFill>
                  <w14:solidFill>
                    <w14:schemeClr w14:val="tx1"/>
                  </w14:solidFill>
                </w14:textFill>
              </w:rPr>
              <w:t>小时值</w:t>
            </w:r>
          </w:p>
        </w:tc>
      </w:tr>
      <w:tr w14:paraId="1A5DABC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3" w:hRule="atLeast"/>
          <w:tblHeader/>
          <w:jc w:val="center"/>
        </w:trPr>
        <w:tc>
          <w:tcPr>
            <w:tcW w:w="720" w:type="pct"/>
            <w:vMerge w:val="restart"/>
            <w:vAlign w:val="center"/>
          </w:tcPr>
          <w:p w14:paraId="54CC6C52">
            <w:pPr>
              <w:pStyle w:val="70"/>
              <w:autoSpaceDE w:val="0"/>
              <w:autoSpaceDN w:val="0"/>
              <w:rPr>
                <w:rFonts w:eastAsiaTheme="minorEastAsia"/>
                <w:color w:val="000000" w:themeColor="text1"/>
                <w:spacing w:val="-10"/>
                <w14:textFill>
                  <w14:solidFill>
                    <w14:schemeClr w14:val="tx1"/>
                  </w14:solidFill>
                </w14:textFill>
              </w:rPr>
            </w:pPr>
            <w:r>
              <w:rPr>
                <w:rFonts w:eastAsiaTheme="minorEastAsia"/>
                <w:color w:val="000000" w:themeColor="text1"/>
                <w:spacing w:val="-10"/>
                <w14:textFill>
                  <w14:solidFill>
                    <w14:schemeClr w14:val="tx1"/>
                  </w14:solidFill>
                </w14:textFill>
              </w:rPr>
              <w:t>G1码头前沿</w:t>
            </w:r>
          </w:p>
        </w:tc>
        <w:tc>
          <w:tcPr>
            <w:tcW w:w="629" w:type="pct"/>
            <w:vMerge w:val="restart"/>
            <w:vAlign w:val="center"/>
          </w:tcPr>
          <w:p w14:paraId="744C9E4C">
            <w:pPr>
              <w:pStyle w:val="70"/>
              <w:autoSpaceDE w:val="0"/>
              <w:autoSpaceDN w:val="0"/>
              <w:rPr>
                <w:rFonts w:eastAsiaTheme="minorEastAsia"/>
                <w:color w:val="000000" w:themeColor="text1"/>
                <w:spacing w:val="-10"/>
                <w14:textFill>
                  <w14:solidFill>
                    <w14:schemeClr w14:val="tx1"/>
                  </w14:solidFill>
                </w14:textFill>
              </w:rPr>
            </w:pPr>
            <w:r>
              <w:rPr>
                <w:rFonts w:hint="eastAsia" w:eastAsiaTheme="minorEastAsia"/>
                <w:color w:val="000000" w:themeColor="text1"/>
                <w:spacing w:val="-10"/>
                <w14:textFill>
                  <w14:solidFill>
                    <w14:schemeClr w14:val="tx1"/>
                  </w14:solidFill>
                </w14:textFill>
              </w:rPr>
              <w:t>2025.11.27</w:t>
            </w:r>
          </w:p>
        </w:tc>
        <w:tc>
          <w:tcPr>
            <w:tcW w:w="701" w:type="pct"/>
            <w:vAlign w:val="center"/>
          </w:tcPr>
          <w:p w14:paraId="7E092FF2">
            <w:pPr>
              <w:pStyle w:val="70"/>
              <w:autoSpaceDE w:val="0"/>
              <w:autoSpaceDN w:val="0"/>
              <w:rPr>
                <w:rFonts w:eastAsiaTheme="minorEastAsia"/>
                <w:color w:val="000000" w:themeColor="text1"/>
                <w:spacing w:val="-10"/>
                <w14:textFill>
                  <w14:solidFill>
                    <w14:schemeClr w14:val="tx1"/>
                  </w14:solidFill>
                </w14:textFill>
              </w:rPr>
            </w:pPr>
            <w:r>
              <w:rPr>
                <w:rFonts w:eastAsiaTheme="minorEastAsia"/>
                <w:color w:val="000000" w:themeColor="text1"/>
                <w:spacing w:val="-10"/>
                <w14:textFill>
                  <w14:solidFill>
                    <w14:schemeClr w14:val="tx1"/>
                  </w14:solidFill>
                </w14:textFill>
              </w:rPr>
              <w:t>02:00~03:00</w:t>
            </w:r>
          </w:p>
        </w:tc>
        <w:tc>
          <w:tcPr>
            <w:tcW w:w="982" w:type="pct"/>
            <w:vAlign w:val="center"/>
          </w:tcPr>
          <w:p w14:paraId="3F036ED7">
            <w:pPr>
              <w:pStyle w:val="70"/>
              <w:autoSpaceDE w:val="0"/>
              <w:autoSpaceDN w:val="0"/>
              <w:rPr>
                <w:rFonts w:eastAsiaTheme="minorEastAsia"/>
                <w:color w:val="000000" w:themeColor="text1"/>
                <w:spacing w:val="-10"/>
                <w14:textFill>
                  <w14:solidFill>
                    <w14:schemeClr w14:val="tx1"/>
                  </w14:solidFill>
                </w14:textFill>
              </w:rPr>
            </w:pPr>
          </w:p>
        </w:tc>
        <w:tc>
          <w:tcPr>
            <w:tcW w:w="982" w:type="pct"/>
            <w:vAlign w:val="center"/>
          </w:tcPr>
          <w:p w14:paraId="659D362A">
            <w:pPr>
              <w:pStyle w:val="70"/>
              <w:autoSpaceDE w:val="0"/>
              <w:autoSpaceDN w:val="0"/>
              <w:rPr>
                <w:rFonts w:eastAsiaTheme="minorEastAsia"/>
                <w:color w:val="000000" w:themeColor="text1"/>
                <w:spacing w:val="-10"/>
                <w14:textFill>
                  <w14:solidFill>
                    <w14:schemeClr w14:val="tx1"/>
                  </w14:solidFill>
                </w14:textFill>
              </w:rPr>
            </w:pPr>
          </w:p>
        </w:tc>
        <w:tc>
          <w:tcPr>
            <w:tcW w:w="983" w:type="pct"/>
            <w:vAlign w:val="center"/>
          </w:tcPr>
          <w:p w14:paraId="03FFC60A">
            <w:pPr>
              <w:pStyle w:val="70"/>
              <w:autoSpaceDE w:val="0"/>
              <w:autoSpaceDN w:val="0"/>
              <w:rPr>
                <w:rFonts w:eastAsiaTheme="minorEastAsia"/>
                <w:color w:val="000000" w:themeColor="text1"/>
                <w:spacing w:val="-10"/>
                <w14:textFill>
                  <w14:solidFill>
                    <w14:schemeClr w14:val="tx1"/>
                  </w14:solidFill>
                </w14:textFill>
              </w:rPr>
            </w:pPr>
          </w:p>
        </w:tc>
      </w:tr>
      <w:tr w14:paraId="60BA8FF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3" w:hRule="atLeast"/>
          <w:tblHeader/>
          <w:jc w:val="center"/>
        </w:trPr>
        <w:tc>
          <w:tcPr>
            <w:tcW w:w="720" w:type="pct"/>
            <w:vMerge w:val="continue"/>
            <w:vAlign w:val="center"/>
          </w:tcPr>
          <w:p w14:paraId="1296B1EC">
            <w:pPr>
              <w:pStyle w:val="70"/>
              <w:autoSpaceDE w:val="0"/>
              <w:autoSpaceDN w:val="0"/>
              <w:rPr>
                <w:rFonts w:eastAsiaTheme="minorEastAsia"/>
                <w:color w:val="000000" w:themeColor="text1"/>
                <w:spacing w:val="-10"/>
                <w14:textFill>
                  <w14:solidFill>
                    <w14:schemeClr w14:val="tx1"/>
                  </w14:solidFill>
                </w14:textFill>
              </w:rPr>
            </w:pPr>
          </w:p>
        </w:tc>
        <w:tc>
          <w:tcPr>
            <w:tcW w:w="629" w:type="pct"/>
            <w:vMerge w:val="continue"/>
            <w:vAlign w:val="center"/>
          </w:tcPr>
          <w:p w14:paraId="5E6E5AF4">
            <w:pPr>
              <w:pStyle w:val="70"/>
              <w:autoSpaceDE w:val="0"/>
              <w:autoSpaceDN w:val="0"/>
              <w:rPr>
                <w:rFonts w:eastAsiaTheme="minorEastAsia"/>
                <w:color w:val="000000" w:themeColor="text1"/>
                <w:spacing w:val="-10"/>
                <w14:textFill>
                  <w14:solidFill>
                    <w14:schemeClr w14:val="tx1"/>
                  </w14:solidFill>
                </w14:textFill>
              </w:rPr>
            </w:pPr>
          </w:p>
        </w:tc>
        <w:tc>
          <w:tcPr>
            <w:tcW w:w="701" w:type="pct"/>
            <w:vAlign w:val="center"/>
          </w:tcPr>
          <w:p w14:paraId="26B489C3">
            <w:pPr>
              <w:pStyle w:val="70"/>
              <w:autoSpaceDE w:val="0"/>
              <w:autoSpaceDN w:val="0"/>
              <w:rPr>
                <w:rFonts w:eastAsiaTheme="minorEastAsia"/>
                <w:color w:val="000000" w:themeColor="text1"/>
                <w:spacing w:val="-10"/>
                <w14:textFill>
                  <w14:solidFill>
                    <w14:schemeClr w14:val="tx1"/>
                  </w14:solidFill>
                </w14:textFill>
              </w:rPr>
            </w:pPr>
            <w:r>
              <w:rPr>
                <w:rFonts w:eastAsiaTheme="minorEastAsia"/>
                <w:color w:val="000000" w:themeColor="text1"/>
                <w:spacing w:val="-10"/>
                <w14:textFill>
                  <w14:solidFill>
                    <w14:schemeClr w14:val="tx1"/>
                  </w14:solidFill>
                </w14:textFill>
              </w:rPr>
              <w:t>08:00~09:00</w:t>
            </w:r>
          </w:p>
        </w:tc>
        <w:tc>
          <w:tcPr>
            <w:tcW w:w="982" w:type="pct"/>
            <w:vAlign w:val="center"/>
          </w:tcPr>
          <w:p w14:paraId="59FCAB93">
            <w:pPr>
              <w:pStyle w:val="70"/>
              <w:autoSpaceDE w:val="0"/>
              <w:autoSpaceDN w:val="0"/>
              <w:rPr>
                <w:rFonts w:eastAsiaTheme="minorEastAsia"/>
                <w:color w:val="000000" w:themeColor="text1"/>
                <w:spacing w:val="-10"/>
                <w14:textFill>
                  <w14:solidFill>
                    <w14:schemeClr w14:val="tx1"/>
                  </w14:solidFill>
                </w14:textFill>
              </w:rPr>
            </w:pPr>
          </w:p>
        </w:tc>
        <w:tc>
          <w:tcPr>
            <w:tcW w:w="982" w:type="pct"/>
            <w:vAlign w:val="center"/>
          </w:tcPr>
          <w:p w14:paraId="1FF8612F">
            <w:pPr>
              <w:pStyle w:val="70"/>
              <w:autoSpaceDE w:val="0"/>
              <w:autoSpaceDN w:val="0"/>
              <w:rPr>
                <w:rFonts w:eastAsiaTheme="minorEastAsia"/>
                <w:color w:val="000000" w:themeColor="text1"/>
                <w:spacing w:val="-10"/>
                <w14:textFill>
                  <w14:solidFill>
                    <w14:schemeClr w14:val="tx1"/>
                  </w14:solidFill>
                </w14:textFill>
              </w:rPr>
            </w:pPr>
          </w:p>
        </w:tc>
        <w:tc>
          <w:tcPr>
            <w:tcW w:w="983" w:type="pct"/>
            <w:vAlign w:val="center"/>
          </w:tcPr>
          <w:p w14:paraId="501FDC7D">
            <w:pPr>
              <w:pStyle w:val="70"/>
              <w:autoSpaceDE w:val="0"/>
              <w:autoSpaceDN w:val="0"/>
              <w:rPr>
                <w:rFonts w:eastAsiaTheme="minorEastAsia"/>
                <w:color w:val="000000" w:themeColor="text1"/>
                <w:spacing w:val="-10"/>
                <w14:textFill>
                  <w14:solidFill>
                    <w14:schemeClr w14:val="tx1"/>
                  </w14:solidFill>
                </w14:textFill>
              </w:rPr>
            </w:pPr>
          </w:p>
        </w:tc>
      </w:tr>
      <w:tr w14:paraId="3B109F8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3" w:hRule="atLeast"/>
          <w:tblHeader/>
          <w:jc w:val="center"/>
        </w:trPr>
        <w:tc>
          <w:tcPr>
            <w:tcW w:w="720" w:type="pct"/>
            <w:vMerge w:val="continue"/>
            <w:vAlign w:val="center"/>
          </w:tcPr>
          <w:p w14:paraId="00BDFC1C">
            <w:pPr>
              <w:pStyle w:val="70"/>
              <w:autoSpaceDE w:val="0"/>
              <w:autoSpaceDN w:val="0"/>
              <w:rPr>
                <w:rFonts w:eastAsiaTheme="minorEastAsia"/>
                <w:color w:val="000000" w:themeColor="text1"/>
                <w:spacing w:val="-10"/>
                <w14:textFill>
                  <w14:solidFill>
                    <w14:schemeClr w14:val="tx1"/>
                  </w14:solidFill>
                </w14:textFill>
              </w:rPr>
            </w:pPr>
          </w:p>
        </w:tc>
        <w:tc>
          <w:tcPr>
            <w:tcW w:w="629" w:type="pct"/>
            <w:vMerge w:val="continue"/>
            <w:vAlign w:val="center"/>
          </w:tcPr>
          <w:p w14:paraId="67C6E716">
            <w:pPr>
              <w:pStyle w:val="70"/>
              <w:autoSpaceDE w:val="0"/>
              <w:autoSpaceDN w:val="0"/>
              <w:rPr>
                <w:rFonts w:eastAsiaTheme="minorEastAsia"/>
                <w:color w:val="000000" w:themeColor="text1"/>
                <w:spacing w:val="-10"/>
                <w14:textFill>
                  <w14:solidFill>
                    <w14:schemeClr w14:val="tx1"/>
                  </w14:solidFill>
                </w14:textFill>
              </w:rPr>
            </w:pPr>
          </w:p>
        </w:tc>
        <w:tc>
          <w:tcPr>
            <w:tcW w:w="701" w:type="pct"/>
            <w:vAlign w:val="center"/>
          </w:tcPr>
          <w:p w14:paraId="55657C0A">
            <w:pPr>
              <w:pStyle w:val="70"/>
              <w:autoSpaceDE w:val="0"/>
              <w:autoSpaceDN w:val="0"/>
              <w:rPr>
                <w:rFonts w:eastAsiaTheme="minorEastAsia"/>
                <w:color w:val="000000" w:themeColor="text1"/>
                <w:spacing w:val="-10"/>
                <w14:textFill>
                  <w14:solidFill>
                    <w14:schemeClr w14:val="tx1"/>
                  </w14:solidFill>
                </w14:textFill>
              </w:rPr>
            </w:pPr>
            <w:r>
              <w:rPr>
                <w:rFonts w:eastAsiaTheme="minorEastAsia"/>
                <w:color w:val="000000" w:themeColor="text1"/>
                <w:spacing w:val="-10"/>
                <w14:textFill>
                  <w14:solidFill>
                    <w14:schemeClr w14:val="tx1"/>
                  </w14:solidFill>
                </w14:textFill>
              </w:rPr>
              <w:t>14:00~15:00</w:t>
            </w:r>
          </w:p>
        </w:tc>
        <w:tc>
          <w:tcPr>
            <w:tcW w:w="982" w:type="pct"/>
            <w:vAlign w:val="center"/>
          </w:tcPr>
          <w:p w14:paraId="31F0C411">
            <w:pPr>
              <w:pStyle w:val="70"/>
              <w:autoSpaceDE w:val="0"/>
              <w:autoSpaceDN w:val="0"/>
              <w:rPr>
                <w:rFonts w:eastAsiaTheme="minorEastAsia"/>
                <w:color w:val="000000" w:themeColor="text1"/>
                <w:spacing w:val="-10"/>
                <w14:textFill>
                  <w14:solidFill>
                    <w14:schemeClr w14:val="tx1"/>
                  </w14:solidFill>
                </w14:textFill>
              </w:rPr>
            </w:pPr>
          </w:p>
        </w:tc>
        <w:tc>
          <w:tcPr>
            <w:tcW w:w="982" w:type="pct"/>
            <w:vAlign w:val="center"/>
          </w:tcPr>
          <w:p w14:paraId="1BF98179">
            <w:pPr>
              <w:pStyle w:val="70"/>
              <w:autoSpaceDE w:val="0"/>
              <w:autoSpaceDN w:val="0"/>
              <w:rPr>
                <w:rFonts w:eastAsiaTheme="minorEastAsia"/>
                <w:color w:val="000000" w:themeColor="text1"/>
                <w:spacing w:val="-10"/>
                <w14:textFill>
                  <w14:solidFill>
                    <w14:schemeClr w14:val="tx1"/>
                  </w14:solidFill>
                </w14:textFill>
              </w:rPr>
            </w:pPr>
          </w:p>
        </w:tc>
        <w:tc>
          <w:tcPr>
            <w:tcW w:w="983" w:type="pct"/>
            <w:vAlign w:val="center"/>
          </w:tcPr>
          <w:p w14:paraId="4038D999">
            <w:pPr>
              <w:pStyle w:val="70"/>
              <w:autoSpaceDE w:val="0"/>
              <w:autoSpaceDN w:val="0"/>
              <w:rPr>
                <w:rFonts w:eastAsiaTheme="minorEastAsia"/>
                <w:color w:val="000000" w:themeColor="text1"/>
                <w:spacing w:val="-10"/>
                <w14:textFill>
                  <w14:solidFill>
                    <w14:schemeClr w14:val="tx1"/>
                  </w14:solidFill>
                </w14:textFill>
              </w:rPr>
            </w:pPr>
          </w:p>
        </w:tc>
      </w:tr>
      <w:tr w14:paraId="0E5F5AA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3" w:hRule="atLeast"/>
          <w:tblHeader/>
          <w:jc w:val="center"/>
        </w:trPr>
        <w:tc>
          <w:tcPr>
            <w:tcW w:w="720" w:type="pct"/>
            <w:vMerge w:val="continue"/>
            <w:vAlign w:val="center"/>
          </w:tcPr>
          <w:p w14:paraId="4B6E232B">
            <w:pPr>
              <w:pStyle w:val="70"/>
              <w:autoSpaceDE w:val="0"/>
              <w:autoSpaceDN w:val="0"/>
              <w:rPr>
                <w:rFonts w:eastAsiaTheme="minorEastAsia"/>
                <w:color w:val="000000" w:themeColor="text1"/>
                <w:spacing w:val="-10"/>
                <w14:textFill>
                  <w14:solidFill>
                    <w14:schemeClr w14:val="tx1"/>
                  </w14:solidFill>
                </w14:textFill>
              </w:rPr>
            </w:pPr>
          </w:p>
        </w:tc>
        <w:tc>
          <w:tcPr>
            <w:tcW w:w="629" w:type="pct"/>
            <w:vMerge w:val="continue"/>
            <w:vAlign w:val="center"/>
          </w:tcPr>
          <w:p w14:paraId="2262299B">
            <w:pPr>
              <w:pStyle w:val="70"/>
              <w:autoSpaceDE w:val="0"/>
              <w:autoSpaceDN w:val="0"/>
              <w:rPr>
                <w:rFonts w:eastAsiaTheme="minorEastAsia"/>
                <w:color w:val="000000" w:themeColor="text1"/>
                <w:spacing w:val="-10"/>
                <w14:textFill>
                  <w14:solidFill>
                    <w14:schemeClr w14:val="tx1"/>
                  </w14:solidFill>
                </w14:textFill>
              </w:rPr>
            </w:pPr>
          </w:p>
        </w:tc>
        <w:tc>
          <w:tcPr>
            <w:tcW w:w="701" w:type="pct"/>
            <w:vAlign w:val="center"/>
          </w:tcPr>
          <w:p w14:paraId="035F64DD">
            <w:pPr>
              <w:pStyle w:val="70"/>
              <w:autoSpaceDE w:val="0"/>
              <w:autoSpaceDN w:val="0"/>
              <w:rPr>
                <w:rFonts w:eastAsiaTheme="minorEastAsia"/>
                <w:color w:val="000000" w:themeColor="text1"/>
                <w:spacing w:val="-10"/>
                <w14:textFill>
                  <w14:solidFill>
                    <w14:schemeClr w14:val="tx1"/>
                  </w14:solidFill>
                </w14:textFill>
              </w:rPr>
            </w:pPr>
            <w:r>
              <w:rPr>
                <w:rFonts w:eastAsiaTheme="minorEastAsia"/>
                <w:color w:val="000000" w:themeColor="text1"/>
                <w:spacing w:val="-10"/>
                <w14:textFill>
                  <w14:solidFill>
                    <w14:schemeClr w14:val="tx1"/>
                  </w14:solidFill>
                </w14:textFill>
              </w:rPr>
              <w:t>20:00~21:00</w:t>
            </w:r>
          </w:p>
        </w:tc>
        <w:tc>
          <w:tcPr>
            <w:tcW w:w="982" w:type="pct"/>
            <w:vAlign w:val="center"/>
          </w:tcPr>
          <w:p w14:paraId="191646B9">
            <w:pPr>
              <w:pStyle w:val="70"/>
              <w:autoSpaceDE w:val="0"/>
              <w:autoSpaceDN w:val="0"/>
              <w:rPr>
                <w:rFonts w:eastAsiaTheme="minorEastAsia"/>
                <w:color w:val="000000" w:themeColor="text1"/>
                <w:spacing w:val="-10"/>
                <w14:textFill>
                  <w14:solidFill>
                    <w14:schemeClr w14:val="tx1"/>
                  </w14:solidFill>
                </w14:textFill>
              </w:rPr>
            </w:pPr>
          </w:p>
        </w:tc>
        <w:tc>
          <w:tcPr>
            <w:tcW w:w="982" w:type="pct"/>
            <w:vAlign w:val="center"/>
          </w:tcPr>
          <w:p w14:paraId="48896160">
            <w:pPr>
              <w:pStyle w:val="70"/>
              <w:autoSpaceDE w:val="0"/>
              <w:autoSpaceDN w:val="0"/>
              <w:rPr>
                <w:rFonts w:eastAsiaTheme="minorEastAsia"/>
                <w:color w:val="000000" w:themeColor="text1"/>
                <w:spacing w:val="-10"/>
                <w14:textFill>
                  <w14:solidFill>
                    <w14:schemeClr w14:val="tx1"/>
                  </w14:solidFill>
                </w14:textFill>
              </w:rPr>
            </w:pPr>
          </w:p>
        </w:tc>
        <w:tc>
          <w:tcPr>
            <w:tcW w:w="983" w:type="pct"/>
            <w:vAlign w:val="center"/>
          </w:tcPr>
          <w:p w14:paraId="68724015">
            <w:pPr>
              <w:pStyle w:val="70"/>
              <w:autoSpaceDE w:val="0"/>
              <w:autoSpaceDN w:val="0"/>
              <w:rPr>
                <w:rFonts w:eastAsiaTheme="minorEastAsia"/>
                <w:color w:val="000000" w:themeColor="text1"/>
                <w:spacing w:val="-10"/>
                <w14:textFill>
                  <w14:solidFill>
                    <w14:schemeClr w14:val="tx1"/>
                  </w14:solidFill>
                </w14:textFill>
              </w:rPr>
            </w:pPr>
          </w:p>
        </w:tc>
      </w:tr>
      <w:tr w14:paraId="4DCEF1F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3" w:hRule="atLeast"/>
          <w:tblHeader/>
          <w:jc w:val="center"/>
        </w:trPr>
        <w:tc>
          <w:tcPr>
            <w:tcW w:w="720" w:type="pct"/>
            <w:vMerge w:val="continue"/>
            <w:vAlign w:val="center"/>
          </w:tcPr>
          <w:p w14:paraId="0A8B3FF6">
            <w:pPr>
              <w:pStyle w:val="70"/>
              <w:autoSpaceDE w:val="0"/>
              <w:autoSpaceDN w:val="0"/>
              <w:rPr>
                <w:rFonts w:eastAsiaTheme="minorEastAsia"/>
                <w:color w:val="000000" w:themeColor="text1"/>
                <w:spacing w:val="-10"/>
                <w14:textFill>
                  <w14:solidFill>
                    <w14:schemeClr w14:val="tx1"/>
                  </w14:solidFill>
                </w14:textFill>
              </w:rPr>
            </w:pPr>
          </w:p>
        </w:tc>
        <w:tc>
          <w:tcPr>
            <w:tcW w:w="629" w:type="pct"/>
            <w:vMerge w:val="restart"/>
            <w:vAlign w:val="center"/>
          </w:tcPr>
          <w:p w14:paraId="233478A3">
            <w:pPr>
              <w:pStyle w:val="70"/>
              <w:autoSpaceDE w:val="0"/>
              <w:autoSpaceDN w:val="0"/>
              <w:rPr>
                <w:rFonts w:eastAsiaTheme="minorEastAsia"/>
                <w:color w:val="000000" w:themeColor="text1"/>
                <w:spacing w:val="-10"/>
                <w14:textFill>
                  <w14:solidFill>
                    <w14:schemeClr w14:val="tx1"/>
                  </w14:solidFill>
                </w14:textFill>
              </w:rPr>
            </w:pPr>
            <w:r>
              <w:rPr>
                <w:rFonts w:hint="eastAsia" w:eastAsiaTheme="minorEastAsia"/>
                <w:color w:val="000000" w:themeColor="text1"/>
                <w:spacing w:val="-10"/>
                <w14:textFill>
                  <w14:solidFill>
                    <w14:schemeClr w14:val="tx1"/>
                  </w14:solidFill>
                </w14:textFill>
              </w:rPr>
              <w:t>2025.11.28</w:t>
            </w:r>
          </w:p>
        </w:tc>
        <w:tc>
          <w:tcPr>
            <w:tcW w:w="701" w:type="pct"/>
            <w:vAlign w:val="center"/>
          </w:tcPr>
          <w:p w14:paraId="243F0B54">
            <w:pPr>
              <w:pStyle w:val="70"/>
              <w:autoSpaceDE w:val="0"/>
              <w:autoSpaceDN w:val="0"/>
              <w:rPr>
                <w:rFonts w:eastAsiaTheme="minorEastAsia"/>
                <w:color w:val="000000" w:themeColor="text1"/>
                <w:spacing w:val="-10"/>
                <w14:textFill>
                  <w14:solidFill>
                    <w14:schemeClr w14:val="tx1"/>
                  </w14:solidFill>
                </w14:textFill>
              </w:rPr>
            </w:pPr>
            <w:r>
              <w:rPr>
                <w:rFonts w:eastAsiaTheme="minorEastAsia"/>
                <w:color w:val="000000" w:themeColor="text1"/>
                <w:spacing w:val="-10"/>
                <w14:textFill>
                  <w14:solidFill>
                    <w14:schemeClr w14:val="tx1"/>
                  </w14:solidFill>
                </w14:textFill>
              </w:rPr>
              <w:t>02:00~03:00</w:t>
            </w:r>
          </w:p>
        </w:tc>
        <w:tc>
          <w:tcPr>
            <w:tcW w:w="982" w:type="pct"/>
            <w:vAlign w:val="center"/>
          </w:tcPr>
          <w:p w14:paraId="182F68F1">
            <w:pPr>
              <w:pStyle w:val="70"/>
              <w:autoSpaceDE w:val="0"/>
              <w:autoSpaceDN w:val="0"/>
              <w:rPr>
                <w:rFonts w:eastAsiaTheme="minorEastAsia"/>
                <w:color w:val="000000" w:themeColor="text1"/>
                <w:spacing w:val="-10"/>
                <w14:textFill>
                  <w14:solidFill>
                    <w14:schemeClr w14:val="tx1"/>
                  </w14:solidFill>
                </w14:textFill>
              </w:rPr>
            </w:pPr>
          </w:p>
        </w:tc>
        <w:tc>
          <w:tcPr>
            <w:tcW w:w="982" w:type="pct"/>
            <w:vAlign w:val="center"/>
          </w:tcPr>
          <w:p w14:paraId="6EFC4610">
            <w:pPr>
              <w:pStyle w:val="70"/>
              <w:autoSpaceDE w:val="0"/>
              <w:autoSpaceDN w:val="0"/>
              <w:rPr>
                <w:rFonts w:eastAsiaTheme="minorEastAsia"/>
                <w:color w:val="000000" w:themeColor="text1"/>
                <w:spacing w:val="-10"/>
                <w14:textFill>
                  <w14:solidFill>
                    <w14:schemeClr w14:val="tx1"/>
                  </w14:solidFill>
                </w14:textFill>
              </w:rPr>
            </w:pPr>
          </w:p>
        </w:tc>
        <w:tc>
          <w:tcPr>
            <w:tcW w:w="983" w:type="pct"/>
            <w:vAlign w:val="center"/>
          </w:tcPr>
          <w:p w14:paraId="6D425228">
            <w:pPr>
              <w:pStyle w:val="70"/>
              <w:autoSpaceDE w:val="0"/>
              <w:autoSpaceDN w:val="0"/>
              <w:rPr>
                <w:rFonts w:eastAsiaTheme="minorEastAsia"/>
                <w:color w:val="000000" w:themeColor="text1"/>
                <w:spacing w:val="-10"/>
                <w14:textFill>
                  <w14:solidFill>
                    <w14:schemeClr w14:val="tx1"/>
                  </w14:solidFill>
                </w14:textFill>
              </w:rPr>
            </w:pPr>
          </w:p>
        </w:tc>
      </w:tr>
      <w:tr w14:paraId="3CD3FE5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3" w:hRule="atLeast"/>
          <w:tblHeader/>
          <w:jc w:val="center"/>
        </w:trPr>
        <w:tc>
          <w:tcPr>
            <w:tcW w:w="720" w:type="pct"/>
            <w:vMerge w:val="continue"/>
            <w:vAlign w:val="center"/>
          </w:tcPr>
          <w:p w14:paraId="4FAAC725">
            <w:pPr>
              <w:pStyle w:val="70"/>
              <w:autoSpaceDE w:val="0"/>
              <w:autoSpaceDN w:val="0"/>
              <w:rPr>
                <w:rFonts w:eastAsiaTheme="minorEastAsia"/>
                <w:color w:val="000000" w:themeColor="text1"/>
                <w:spacing w:val="-10"/>
                <w14:textFill>
                  <w14:solidFill>
                    <w14:schemeClr w14:val="tx1"/>
                  </w14:solidFill>
                </w14:textFill>
              </w:rPr>
            </w:pPr>
          </w:p>
        </w:tc>
        <w:tc>
          <w:tcPr>
            <w:tcW w:w="629" w:type="pct"/>
            <w:vMerge w:val="continue"/>
            <w:vAlign w:val="center"/>
          </w:tcPr>
          <w:p w14:paraId="2F0E9A42">
            <w:pPr>
              <w:pStyle w:val="70"/>
              <w:autoSpaceDE w:val="0"/>
              <w:autoSpaceDN w:val="0"/>
              <w:rPr>
                <w:rFonts w:eastAsiaTheme="minorEastAsia"/>
                <w:color w:val="000000" w:themeColor="text1"/>
                <w:spacing w:val="-10"/>
                <w14:textFill>
                  <w14:solidFill>
                    <w14:schemeClr w14:val="tx1"/>
                  </w14:solidFill>
                </w14:textFill>
              </w:rPr>
            </w:pPr>
          </w:p>
        </w:tc>
        <w:tc>
          <w:tcPr>
            <w:tcW w:w="701" w:type="pct"/>
            <w:vAlign w:val="center"/>
          </w:tcPr>
          <w:p w14:paraId="5857BE18">
            <w:pPr>
              <w:pStyle w:val="70"/>
              <w:autoSpaceDE w:val="0"/>
              <w:autoSpaceDN w:val="0"/>
              <w:rPr>
                <w:rFonts w:eastAsiaTheme="minorEastAsia"/>
                <w:color w:val="000000" w:themeColor="text1"/>
                <w:spacing w:val="-10"/>
                <w14:textFill>
                  <w14:solidFill>
                    <w14:schemeClr w14:val="tx1"/>
                  </w14:solidFill>
                </w14:textFill>
              </w:rPr>
            </w:pPr>
            <w:r>
              <w:rPr>
                <w:rFonts w:eastAsiaTheme="minorEastAsia"/>
                <w:color w:val="000000" w:themeColor="text1"/>
                <w:spacing w:val="-10"/>
                <w14:textFill>
                  <w14:solidFill>
                    <w14:schemeClr w14:val="tx1"/>
                  </w14:solidFill>
                </w14:textFill>
              </w:rPr>
              <w:t>08:00~09:00</w:t>
            </w:r>
          </w:p>
        </w:tc>
        <w:tc>
          <w:tcPr>
            <w:tcW w:w="982" w:type="pct"/>
            <w:vAlign w:val="center"/>
          </w:tcPr>
          <w:p w14:paraId="7C9162F6">
            <w:pPr>
              <w:pStyle w:val="70"/>
              <w:autoSpaceDE w:val="0"/>
              <w:autoSpaceDN w:val="0"/>
              <w:rPr>
                <w:rFonts w:eastAsiaTheme="minorEastAsia"/>
                <w:color w:val="000000" w:themeColor="text1"/>
                <w:spacing w:val="-10"/>
                <w14:textFill>
                  <w14:solidFill>
                    <w14:schemeClr w14:val="tx1"/>
                  </w14:solidFill>
                </w14:textFill>
              </w:rPr>
            </w:pPr>
          </w:p>
        </w:tc>
        <w:tc>
          <w:tcPr>
            <w:tcW w:w="982" w:type="pct"/>
            <w:vAlign w:val="center"/>
          </w:tcPr>
          <w:p w14:paraId="29034DA5">
            <w:pPr>
              <w:pStyle w:val="70"/>
              <w:autoSpaceDE w:val="0"/>
              <w:autoSpaceDN w:val="0"/>
              <w:rPr>
                <w:rFonts w:eastAsiaTheme="minorEastAsia"/>
                <w:color w:val="000000" w:themeColor="text1"/>
                <w:spacing w:val="-10"/>
                <w14:textFill>
                  <w14:solidFill>
                    <w14:schemeClr w14:val="tx1"/>
                  </w14:solidFill>
                </w14:textFill>
              </w:rPr>
            </w:pPr>
          </w:p>
        </w:tc>
        <w:tc>
          <w:tcPr>
            <w:tcW w:w="983" w:type="pct"/>
            <w:vAlign w:val="center"/>
          </w:tcPr>
          <w:p w14:paraId="3D987DEC">
            <w:pPr>
              <w:pStyle w:val="70"/>
              <w:autoSpaceDE w:val="0"/>
              <w:autoSpaceDN w:val="0"/>
              <w:rPr>
                <w:rFonts w:eastAsiaTheme="minorEastAsia"/>
                <w:color w:val="000000" w:themeColor="text1"/>
                <w:spacing w:val="-10"/>
                <w14:textFill>
                  <w14:solidFill>
                    <w14:schemeClr w14:val="tx1"/>
                  </w14:solidFill>
                </w14:textFill>
              </w:rPr>
            </w:pPr>
          </w:p>
        </w:tc>
      </w:tr>
      <w:tr w14:paraId="5E1A4A8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3" w:hRule="atLeast"/>
          <w:tblHeader/>
          <w:jc w:val="center"/>
        </w:trPr>
        <w:tc>
          <w:tcPr>
            <w:tcW w:w="720" w:type="pct"/>
            <w:vMerge w:val="continue"/>
            <w:vAlign w:val="center"/>
          </w:tcPr>
          <w:p w14:paraId="2F726151">
            <w:pPr>
              <w:pStyle w:val="70"/>
              <w:autoSpaceDE w:val="0"/>
              <w:autoSpaceDN w:val="0"/>
              <w:rPr>
                <w:rFonts w:eastAsiaTheme="minorEastAsia"/>
                <w:color w:val="000000" w:themeColor="text1"/>
                <w:spacing w:val="-10"/>
                <w14:textFill>
                  <w14:solidFill>
                    <w14:schemeClr w14:val="tx1"/>
                  </w14:solidFill>
                </w14:textFill>
              </w:rPr>
            </w:pPr>
          </w:p>
        </w:tc>
        <w:tc>
          <w:tcPr>
            <w:tcW w:w="629" w:type="pct"/>
            <w:vMerge w:val="continue"/>
            <w:vAlign w:val="center"/>
          </w:tcPr>
          <w:p w14:paraId="49313147">
            <w:pPr>
              <w:pStyle w:val="70"/>
              <w:autoSpaceDE w:val="0"/>
              <w:autoSpaceDN w:val="0"/>
              <w:rPr>
                <w:rFonts w:eastAsiaTheme="minorEastAsia"/>
                <w:color w:val="000000" w:themeColor="text1"/>
                <w:spacing w:val="-10"/>
                <w14:textFill>
                  <w14:solidFill>
                    <w14:schemeClr w14:val="tx1"/>
                  </w14:solidFill>
                </w14:textFill>
              </w:rPr>
            </w:pPr>
          </w:p>
        </w:tc>
        <w:tc>
          <w:tcPr>
            <w:tcW w:w="701" w:type="pct"/>
            <w:vAlign w:val="center"/>
          </w:tcPr>
          <w:p w14:paraId="5407E2F7">
            <w:pPr>
              <w:pStyle w:val="70"/>
              <w:autoSpaceDE w:val="0"/>
              <w:autoSpaceDN w:val="0"/>
              <w:rPr>
                <w:rFonts w:eastAsiaTheme="minorEastAsia"/>
                <w:color w:val="000000" w:themeColor="text1"/>
                <w:spacing w:val="-10"/>
                <w14:textFill>
                  <w14:solidFill>
                    <w14:schemeClr w14:val="tx1"/>
                  </w14:solidFill>
                </w14:textFill>
              </w:rPr>
            </w:pPr>
            <w:r>
              <w:rPr>
                <w:rFonts w:eastAsiaTheme="minorEastAsia"/>
                <w:color w:val="000000" w:themeColor="text1"/>
                <w:spacing w:val="-10"/>
                <w14:textFill>
                  <w14:solidFill>
                    <w14:schemeClr w14:val="tx1"/>
                  </w14:solidFill>
                </w14:textFill>
              </w:rPr>
              <w:t>14:00~15:00</w:t>
            </w:r>
          </w:p>
        </w:tc>
        <w:tc>
          <w:tcPr>
            <w:tcW w:w="982" w:type="pct"/>
            <w:vAlign w:val="center"/>
          </w:tcPr>
          <w:p w14:paraId="11B3B698">
            <w:pPr>
              <w:pStyle w:val="70"/>
              <w:autoSpaceDE w:val="0"/>
              <w:autoSpaceDN w:val="0"/>
              <w:rPr>
                <w:rFonts w:eastAsiaTheme="minorEastAsia"/>
                <w:color w:val="000000" w:themeColor="text1"/>
                <w:spacing w:val="-10"/>
                <w14:textFill>
                  <w14:solidFill>
                    <w14:schemeClr w14:val="tx1"/>
                  </w14:solidFill>
                </w14:textFill>
              </w:rPr>
            </w:pPr>
          </w:p>
        </w:tc>
        <w:tc>
          <w:tcPr>
            <w:tcW w:w="982" w:type="pct"/>
            <w:vAlign w:val="center"/>
          </w:tcPr>
          <w:p w14:paraId="3ECCA3C7">
            <w:pPr>
              <w:pStyle w:val="70"/>
              <w:autoSpaceDE w:val="0"/>
              <w:autoSpaceDN w:val="0"/>
              <w:rPr>
                <w:rFonts w:eastAsiaTheme="minorEastAsia"/>
                <w:color w:val="000000" w:themeColor="text1"/>
                <w:spacing w:val="-10"/>
                <w14:textFill>
                  <w14:solidFill>
                    <w14:schemeClr w14:val="tx1"/>
                  </w14:solidFill>
                </w14:textFill>
              </w:rPr>
            </w:pPr>
          </w:p>
        </w:tc>
        <w:tc>
          <w:tcPr>
            <w:tcW w:w="983" w:type="pct"/>
            <w:vAlign w:val="center"/>
          </w:tcPr>
          <w:p w14:paraId="21133307">
            <w:pPr>
              <w:pStyle w:val="70"/>
              <w:autoSpaceDE w:val="0"/>
              <w:autoSpaceDN w:val="0"/>
              <w:rPr>
                <w:rFonts w:eastAsiaTheme="minorEastAsia"/>
                <w:color w:val="000000" w:themeColor="text1"/>
                <w:spacing w:val="-10"/>
                <w14:textFill>
                  <w14:solidFill>
                    <w14:schemeClr w14:val="tx1"/>
                  </w14:solidFill>
                </w14:textFill>
              </w:rPr>
            </w:pPr>
          </w:p>
        </w:tc>
      </w:tr>
      <w:tr w14:paraId="1DE7DBE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3" w:hRule="atLeast"/>
          <w:tblHeader/>
          <w:jc w:val="center"/>
        </w:trPr>
        <w:tc>
          <w:tcPr>
            <w:tcW w:w="720" w:type="pct"/>
            <w:vMerge w:val="continue"/>
            <w:vAlign w:val="center"/>
          </w:tcPr>
          <w:p w14:paraId="65AC0DA5">
            <w:pPr>
              <w:pStyle w:val="70"/>
              <w:autoSpaceDE w:val="0"/>
              <w:autoSpaceDN w:val="0"/>
              <w:rPr>
                <w:rFonts w:eastAsiaTheme="minorEastAsia"/>
                <w:color w:val="000000" w:themeColor="text1"/>
                <w:spacing w:val="-10"/>
                <w14:textFill>
                  <w14:solidFill>
                    <w14:schemeClr w14:val="tx1"/>
                  </w14:solidFill>
                </w14:textFill>
              </w:rPr>
            </w:pPr>
          </w:p>
        </w:tc>
        <w:tc>
          <w:tcPr>
            <w:tcW w:w="629" w:type="pct"/>
            <w:vMerge w:val="continue"/>
            <w:vAlign w:val="center"/>
          </w:tcPr>
          <w:p w14:paraId="06EED860">
            <w:pPr>
              <w:pStyle w:val="70"/>
              <w:autoSpaceDE w:val="0"/>
              <w:autoSpaceDN w:val="0"/>
              <w:rPr>
                <w:rFonts w:eastAsiaTheme="minorEastAsia"/>
                <w:color w:val="000000" w:themeColor="text1"/>
                <w:spacing w:val="-10"/>
                <w14:textFill>
                  <w14:solidFill>
                    <w14:schemeClr w14:val="tx1"/>
                  </w14:solidFill>
                </w14:textFill>
              </w:rPr>
            </w:pPr>
          </w:p>
        </w:tc>
        <w:tc>
          <w:tcPr>
            <w:tcW w:w="701" w:type="pct"/>
            <w:vAlign w:val="center"/>
          </w:tcPr>
          <w:p w14:paraId="669B6416">
            <w:pPr>
              <w:pStyle w:val="70"/>
              <w:autoSpaceDE w:val="0"/>
              <w:autoSpaceDN w:val="0"/>
              <w:rPr>
                <w:rFonts w:eastAsiaTheme="minorEastAsia"/>
                <w:color w:val="000000" w:themeColor="text1"/>
                <w:spacing w:val="-10"/>
                <w14:textFill>
                  <w14:solidFill>
                    <w14:schemeClr w14:val="tx1"/>
                  </w14:solidFill>
                </w14:textFill>
              </w:rPr>
            </w:pPr>
            <w:r>
              <w:rPr>
                <w:rFonts w:eastAsiaTheme="minorEastAsia"/>
                <w:color w:val="000000" w:themeColor="text1"/>
                <w:spacing w:val="-10"/>
                <w14:textFill>
                  <w14:solidFill>
                    <w14:schemeClr w14:val="tx1"/>
                  </w14:solidFill>
                </w14:textFill>
              </w:rPr>
              <w:t>20:00~21:00</w:t>
            </w:r>
          </w:p>
        </w:tc>
        <w:tc>
          <w:tcPr>
            <w:tcW w:w="982" w:type="pct"/>
            <w:vAlign w:val="center"/>
          </w:tcPr>
          <w:p w14:paraId="4396A7D1">
            <w:pPr>
              <w:pStyle w:val="70"/>
              <w:autoSpaceDE w:val="0"/>
              <w:autoSpaceDN w:val="0"/>
              <w:rPr>
                <w:rFonts w:eastAsiaTheme="minorEastAsia"/>
                <w:color w:val="000000" w:themeColor="text1"/>
                <w:spacing w:val="-10"/>
                <w14:textFill>
                  <w14:solidFill>
                    <w14:schemeClr w14:val="tx1"/>
                  </w14:solidFill>
                </w14:textFill>
              </w:rPr>
            </w:pPr>
          </w:p>
        </w:tc>
        <w:tc>
          <w:tcPr>
            <w:tcW w:w="982" w:type="pct"/>
            <w:vAlign w:val="center"/>
          </w:tcPr>
          <w:p w14:paraId="35C2C505">
            <w:pPr>
              <w:pStyle w:val="70"/>
              <w:autoSpaceDE w:val="0"/>
              <w:autoSpaceDN w:val="0"/>
              <w:rPr>
                <w:rFonts w:eastAsiaTheme="minorEastAsia"/>
                <w:color w:val="000000" w:themeColor="text1"/>
                <w:spacing w:val="-10"/>
                <w14:textFill>
                  <w14:solidFill>
                    <w14:schemeClr w14:val="tx1"/>
                  </w14:solidFill>
                </w14:textFill>
              </w:rPr>
            </w:pPr>
          </w:p>
        </w:tc>
        <w:tc>
          <w:tcPr>
            <w:tcW w:w="983" w:type="pct"/>
            <w:vAlign w:val="center"/>
          </w:tcPr>
          <w:p w14:paraId="14C138A5">
            <w:pPr>
              <w:pStyle w:val="70"/>
              <w:autoSpaceDE w:val="0"/>
              <w:autoSpaceDN w:val="0"/>
              <w:rPr>
                <w:rFonts w:eastAsiaTheme="minorEastAsia"/>
                <w:color w:val="000000" w:themeColor="text1"/>
                <w:spacing w:val="-10"/>
                <w14:textFill>
                  <w14:solidFill>
                    <w14:schemeClr w14:val="tx1"/>
                  </w14:solidFill>
                </w14:textFill>
              </w:rPr>
            </w:pPr>
          </w:p>
        </w:tc>
      </w:tr>
      <w:tr w14:paraId="2971335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3" w:hRule="atLeast"/>
          <w:tblHeader/>
          <w:jc w:val="center"/>
        </w:trPr>
        <w:tc>
          <w:tcPr>
            <w:tcW w:w="720" w:type="pct"/>
            <w:vMerge w:val="continue"/>
            <w:vAlign w:val="center"/>
          </w:tcPr>
          <w:p w14:paraId="5EE58382">
            <w:pPr>
              <w:pStyle w:val="70"/>
              <w:autoSpaceDE w:val="0"/>
              <w:autoSpaceDN w:val="0"/>
              <w:rPr>
                <w:rFonts w:eastAsiaTheme="minorEastAsia"/>
                <w:color w:val="000000" w:themeColor="text1"/>
                <w:spacing w:val="-10"/>
                <w14:textFill>
                  <w14:solidFill>
                    <w14:schemeClr w14:val="tx1"/>
                  </w14:solidFill>
                </w14:textFill>
              </w:rPr>
            </w:pPr>
          </w:p>
        </w:tc>
        <w:tc>
          <w:tcPr>
            <w:tcW w:w="629" w:type="pct"/>
            <w:vMerge w:val="restart"/>
            <w:vAlign w:val="center"/>
          </w:tcPr>
          <w:p w14:paraId="0CFD8B27">
            <w:pPr>
              <w:pStyle w:val="70"/>
              <w:autoSpaceDE w:val="0"/>
              <w:autoSpaceDN w:val="0"/>
              <w:rPr>
                <w:rFonts w:eastAsiaTheme="minorEastAsia"/>
                <w:color w:val="000000" w:themeColor="text1"/>
                <w:spacing w:val="-10"/>
                <w14:textFill>
                  <w14:solidFill>
                    <w14:schemeClr w14:val="tx1"/>
                  </w14:solidFill>
                </w14:textFill>
              </w:rPr>
            </w:pPr>
            <w:r>
              <w:rPr>
                <w:rFonts w:hint="eastAsia" w:eastAsiaTheme="minorEastAsia"/>
                <w:color w:val="000000" w:themeColor="text1"/>
                <w:spacing w:val="-10"/>
                <w14:textFill>
                  <w14:solidFill>
                    <w14:schemeClr w14:val="tx1"/>
                  </w14:solidFill>
                </w14:textFill>
              </w:rPr>
              <w:t>2025.11.29</w:t>
            </w:r>
          </w:p>
        </w:tc>
        <w:tc>
          <w:tcPr>
            <w:tcW w:w="701" w:type="pct"/>
            <w:vAlign w:val="center"/>
          </w:tcPr>
          <w:p w14:paraId="668A9855">
            <w:pPr>
              <w:pStyle w:val="70"/>
              <w:autoSpaceDE w:val="0"/>
              <w:autoSpaceDN w:val="0"/>
              <w:rPr>
                <w:rFonts w:eastAsiaTheme="minorEastAsia"/>
                <w:color w:val="000000" w:themeColor="text1"/>
                <w:spacing w:val="-10"/>
                <w14:textFill>
                  <w14:solidFill>
                    <w14:schemeClr w14:val="tx1"/>
                  </w14:solidFill>
                </w14:textFill>
              </w:rPr>
            </w:pPr>
            <w:r>
              <w:rPr>
                <w:rFonts w:eastAsiaTheme="minorEastAsia"/>
                <w:color w:val="000000" w:themeColor="text1"/>
                <w:spacing w:val="-10"/>
                <w14:textFill>
                  <w14:solidFill>
                    <w14:schemeClr w14:val="tx1"/>
                  </w14:solidFill>
                </w14:textFill>
              </w:rPr>
              <w:t>02:00~03:00</w:t>
            </w:r>
          </w:p>
        </w:tc>
        <w:tc>
          <w:tcPr>
            <w:tcW w:w="982" w:type="pct"/>
            <w:vAlign w:val="center"/>
          </w:tcPr>
          <w:p w14:paraId="7FC3B3DB">
            <w:pPr>
              <w:pStyle w:val="70"/>
              <w:autoSpaceDE w:val="0"/>
              <w:autoSpaceDN w:val="0"/>
              <w:rPr>
                <w:rFonts w:eastAsiaTheme="minorEastAsia"/>
                <w:color w:val="000000" w:themeColor="text1"/>
                <w:spacing w:val="-10"/>
                <w14:textFill>
                  <w14:solidFill>
                    <w14:schemeClr w14:val="tx1"/>
                  </w14:solidFill>
                </w14:textFill>
              </w:rPr>
            </w:pPr>
          </w:p>
        </w:tc>
        <w:tc>
          <w:tcPr>
            <w:tcW w:w="982" w:type="pct"/>
            <w:vAlign w:val="center"/>
          </w:tcPr>
          <w:p w14:paraId="6140DF40">
            <w:pPr>
              <w:pStyle w:val="70"/>
              <w:autoSpaceDE w:val="0"/>
              <w:autoSpaceDN w:val="0"/>
              <w:rPr>
                <w:rFonts w:eastAsiaTheme="minorEastAsia"/>
                <w:color w:val="000000" w:themeColor="text1"/>
                <w:spacing w:val="-10"/>
                <w14:textFill>
                  <w14:solidFill>
                    <w14:schemeClr w14:val="tx1"/>
                  </w14:solidFill>
                </w14:textFill>
              </w:rPr>
            </w:pPr>
          </w:p>
        </w:tc>
        <w:tc>
          <w:tcPr>
            <w:tcW w:w="983" w:type="pct"/>
            <w:vAlign w:val="center"/>
          </w:tcPr>
          <w:p w14:paraId="2E08C7A4">
            <w:pPr>
              <w:pStyle w:val="70"/>
              <w:autoSpaceDE w:val="0"/>
              <w:autoSpaceDN w:val="0"/>
              <w:rPr>
                <w:rFonts w:eastAsiaTheme="minorEastAsia"/>
                <w:color w:val="000000" w:themeColor="text1"/>
                <w:spacing w:val="-10"/>
                <w14:textFill>
                  <w14:solidFill>
                    <w14:schemeClr w14:val="tx1"/>
                  </w14:solidFill>
                </w14:textFill>
              </w:rPr>
            </w:pPr>
          </w:p>
        </w:tc>
      </w:tr>
      <w:tr w14:paraId="0782390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3" w:hRule="atLeast"/>
          <w:tblHeader/>
          <w:jc w:val="center"/>
        </w:trPr>
        <w:tc>
          <w:tcPr>
            <w:tcW w:w="720" w:type="pct"/>
            <w:vMerge w:val="continue"/>
            <w:vAlign w:val="center"/>
          </w:tcPr>
          <w:p w14:paraId="6654CD6E">
            <w:pPr>
              <w:pStyle w:val="70"/>
              <w:autoSpaceDE w:val="0"/>
              <w:autoSpaceDN w:val="0"/>
              <w:rPr>
                <w:rFonts w:eastAsiaTheme="minorEastAsia"/>
                <w:color w:val="000000" w:themeColor="text1"/>
                <w:spacing w:val="-10"/>
                <w14:textFill>
                  <w14:solidFill>
                    <w14:schemeClr w14:val="tx1"/>
                  </w14:solidFill>
                </w14:textFill>
              </w:rPr>
            </w:pPr>
          </w:p>
        </w:tc>
        <w:tc>
          <w:tcPr>
            <w:tcW w:w="629" w:type="pct"/>
            <w:vMerge w:val="continue"/>
            <w:vAlign w:val="center"/>
          </w:tcPr>
          <w:p w14:paraId="2D84E2F9">
            <w:pPr>
              <w:pStyle w:val="70"/>
              <w:autoSpaceDE w:val="0"/>
              <w:autoSpaceDN w:val="0"/>
              <w:rPr>
                <w:rFonts w:eastAsiaTheme="minorEastAsia"/>
                <w:color w:val="000000" w:themeColor="text1"/>
                <w:spacing w:val="-10"/>
                <w14:textFill>
                  <w14:solidFill>
                    <w14:schemeClr w14:val="tx1"/>
                  </w14:solidFill>
                </w14:textFill>
              </w:rPr>
            </w:pPr>
          </w:p>
        </w:tc>
        <w:tc>
          <w:tcPr>
            <w:tcW w:w="701" w:type="pct"/>
            <w:vAlign w:val="center"/>
          </w:tcPr>
          <w:p w14:paraId="63B26EDC">
            <w:pPr>
              <w:pStyle w:val="70"/>
              <w:autoSpaceDE w:val="0"/>
              <w:autoSpaceDN w:val="0"/>
              <w:rPr>
                <w:rFonts w:eastAsiaTheme="minorEastAsia"/>
                <w:color w:val="000000" w:themeColor="text1"/>
                <w:spacing w:val="-10"/>
                <w14:textFill>
                  <w14:solidFill>
                    <w14:schemeClr w14:val="tx1"/>
                  </w14:solidFill>
                </w14:textFill>
              </w:rPr>
            </w:pPr>
            <w:r>
              <w:rPr>
                <w:rFonts w:eastAsiaTheme="minorEastAsia"/>
                <w:color w:val="000000" w:themeColor="text1"/>
                <w:spacing w:val="-10"/>
                <w14:textFill>
                  <w14:solidFill>
                    <w14:schemeClr w14:val="tx1"/>
                  </w14:solidFill>
                </w14:textFill>
              </w:rPr>
              <w:t>08:00~09:00</w:t>
            </w:r>
          </w:p>
        </w:tc>
        <w:tc>
          <w:tcPr>
            <w:tcW w:w="982" w:type="pct"/>
            <w:vAlign w:val="center"/>
          </w:tcPr>
          <w:p w14:paraId="15BF3691">
            <w:pPr>
              <w:pStyle w:val="70"/>
              <w:autoSpaceDE w:val="0"/>
              <w:autoSpaceDN w:val="0"/>
              <w:rPr>
                <w:rFonts w:eastAsiaTheme="minorEastAsia"/>
                <w:color w:val="000000" w:themeColor="text1"/>
                <w:spacing w:val="-10"/>
                <w14:textFill>
                  <w14:solidFill>
                    <w14:schemeClr w14:val="tx1"/>
                  </w14:solidFill>
                </w14:textFill>
              </w:rPr>
            </w:pPr>
          </w:p>
        </w:tc>
        <w:tc>
          <w:tcPr>
            <w:tcW w:w="982" w:type="pct"/>
            <w:vAlign w:val="center"/>
          </w:tcPr>
          <w:p w14:paraId="2265A7D8">
            <w:pPr>
              <w:pStyle w:val="70"/>
              <w:autoSpaceDE w:val="0"/>
              <w:autoSpaceDN w:val="0"/>
              <w:rPr>
                <w:rFonts w:eastAsiaTheme="minorEastAsia"/>
                <w:color w:val="000000" w:themeColor="text1"/>
                <w:spacing w:val="-10"/>
                <w14:textFill>
                  <w14:solidFill>
                    <w14:schemeClr w14:val="tx1"/>
                  </w14:solidFill>
                </w14:textFill>
              </w:rPr>
            </w:pPr>
          </w:p>
        </w:tc>
        <w:tc>
          <w:tcPr>
            <w:tcW w:w="983" w:type="pct"/>
            <w:vAlign w:val="center"/>
          </w:tcPr>
          <w:p w14:paraId="4C79368C">
            <w:pPr>
              <w:pStyle w:val="70"/>
              <w:autoSpaceDE w:val="0"/>
              <w:autoSpaceDN w:val="0"/>
              <w:rPr>
                <w:rFonts w:eastAsiaTheme="minorEastAsia"/>
                <w:color w:val="000000" w:themeColor="text1"/>
                <w:spacing w:val="-10"/>
                <w14:textFill>
                  <w14:solidFill>
                    <w14:schemeClr w14:val="tx1"/>
                  </w14:solidFill>
                </w14:textFill>
              </w:rPr>
            </w:pPr>
          </w:p>
        </w:tc>
      </w:tr>
      <w:tr w14:paraId="2E84708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3" w:hRule="atLeast"/>
          <w:tblHeader/>
          <w:jc w:val="center"/>
        </w:trPr>
        <w:tc>
          <w:tcPr>
            <w:tcW w:w="720" w:type="pct"/>
            <w:vMerge w:val="continue"/>
            <w:vAlign w:val="center"/>
          </w:tcPr>
          <w:p w14:paraId="683453B2">
            <w:pPr>
              <w:pStyle w:val="70"/>
              <w:autoSpaceDE w:val="0"/>
              <w:autoSpaceDN w:val="0"/>
              <w:rPr>
                <w:rFonts w:eastAsiaTheme="minorEastAsia"/>
                <w:color w:val="000000" w:themeColor="text1"/>
                <w:spacing w:val="-10"/>
                <w14:textFill>
                  <w14:solidFill>
                    <w14:schemeClr w14:val="tx1"/>
                  </w14:solidFill>
                </w14:textFill>
              </w:rPr>
            </w:pPr>
          </w:p>
        </w:tc>
        <w:tc>
          <w:tcPr>
            <w:tcW w:w="629" w:type="pct"/>
            <w:vMerge w:val="continue"/>
            <w:vAlign w:val="center"/>
          </w:tcPr>
          <w:p w14:paraId="6C0C1260">
            <w:pPr>
              <w:pStyle w:val="70"/>
              <w:autoSpaceDE w:val="0"/>
              <w:autoSpaceDN w:val="0"/>
              <w:rPr>
                <w:rFonts w:eastAsiaTheme="minorEastAsia"/>
                <w:color w:val="000000" w:themeColor="text1"/>
                <w:spacing w:val="-10"/>
                <w14:textFill>
                  <w14:solidFill>
                    <w14:schemeClr w14:val="tx1"/>
                  </w14:solidFill>
                </w14:textFill>
              </w:rPr>
            </w:pPr>
          </w:p>
        </w:tc>
        <w:tc>
          <w:tcPr>
            <w:tcW w:w="701" w:type="pct"/>
            <w:vAlign w:val="center"/>
          </w:tcPr>
          <w:p w14:paraId="35AFBD93">
            <w:pPr>
              <w:pStyle w:val="70"/>
              <w:autoSpaceDE w:val="0"/>
              <w:autoSpaceDN w:val="0"/>
              <w:rPr>
                <w:rFonts w:eastAsiaTheme="minorEastAsia"/>
                <w:color w:val="000000" w:themeColor="text1"/>
                <w:spacing w:val="-10"/>
                <w14:textFill>
                  <w14:solidFill>
                    <w14:schemeClr w14:val="tx1"/>
                  </w14:solidFill>
                </w14:textFill>
              </w:rPr>
            </w:pPr>
            <w:r>
              <w:rPr>
                <w:rFonts w:eastAsiaTheme="minorEastAsia"/>
                <w:color w:val="000000" w:themeColor="text1"/>
                <w:spacing w:val="-10"/>
                <w14:textFill>
                  <w14:solidFill>
                    <w14:schemeClr w14:val="tx1"/>
                  </w14:solidFill>
                </w14:textFill>
              </w:rPr>
              <w:t>14:00~15:00</w:t>
            </w:r>
          </w:p>
        </w:tc>
        <w:tc>
          <w:tcPr>
            <w:tcW w:w="982" w:type="pct"/>
            <w:vAlign w:val="center"/>
          </w:tcPr>
          <w:p w14:paraId="37A83B6F">
            <w:pPr>
              <w:pStyle w:val="70"/>
              <w:autoSpaceDE w:val="0"/>
              <w:autoSpaceDN w:val="0"/>
              <w:rPr>
                <w:rFonts w:eastAsiaTheme="minorEastAsia"/>
                <w:color w:val="000000" w:themeColor="text1"/>
                <w:spacing w:val="-10"/>
                <w14:textFill>
                  <w14:solidFill>
                    <w14:schemeClr w14:val="tx1"/>
                  </w14:solidFill>
                </w14:textFill>
              </w:rPr>
            </w:pPr>
          </w:p>
        </w:tc>
        <w:tc>
          <w:tcPr>
            <w:tcW w:w="982" w:type="pct"/>
            <w:vAlign w:val="center"/>
          </w:tcPr>
          <w:p w14:paraId="1B182F00">
            <w:pPr>
              <w:pStyle w:val="70"/>
              <w:autoSpaceDE w:val="0"/>
              <w:autoSpaceDN w:val="0"/>
              <w:rPr>
                <w:rFonts w:eastAsiaTheme="minorEastAsia"/>
                <w:color w:val="000000" w:themeColor="text1"/>
                <w:spacing w:val="-10"/>
                <w14:textFill>
                  <w14:solidFill>
                    <w14:schemeClr w14:val="tx1"/>
                  </w14:solidFill>
                </w14:textFill>
              </w:rPr>
            </w:pPr>
          </w:p>
        </w:tc>
        <w:tc>
          <w:tcPr>
            <w:tcW w:w="983" w:type="pct"/>
            <w:vAlign w:val="center"/>
          </w:tcPr>
          <w:p w14:paraId="68C0D685">
            <w:pPr>
              <w:pStyle w:val="70"/>
              <w:autoSpaceDE w:val="0"/>
              <w:autoSpaceDN w:val="0"/>
              <w:rPr>
                <w:rFonts w:eastAsiaTheme="minorEastAsia"/>
                <w:color w:val="000000" w:themeColor="text1"/>
                <w:spacing w:val="-10"/>
                <w14:textFill>
                  <w14:solidFill>
                    <w14:schemeClr w14:val="tx1"/>
                  </w14:solidFill>
                </w14:textFill>
              </w:rPr>
            </w:pPr>
          </w:p>
        </w:tc>
      </w:tr>
      <w:tr w14:paraId="01AD6F2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3" w:hRule="atLeast"/>
          <w:tblHeader/>
          <w:jc w:val="center"/>
        </w:trPr>
        <w:tc>
          <w:tcPr>
            <w:tcW w:w="720" w:type="pct"/>
            <w:vMerge w:val="continue"/>
            <w:vAlign w:val="center"/>
          </w:tcPr>
          <w:p w14:paraId="71DE644F">
            <w:pPr>
              <w:pStyle w:val="70"/>
              <w:autoSpaceDE w:val="0"/>
              <w:autoSpaceDN w:val="0"/>
              <w:rPr>
                <w:rFonts w:eastAsiaTheme="minorEastAsia"/>
                <w:color w:val="000000" w:themeColor="text1"/>
                <w:spacing w:val="-10"/>
                <w14:textFill>
                  <w14:solidFill>
                    <w14:schemeClr w14:val="tx1"/>
                  </w14:solidFill>
                </w14:textFill>
              </w:rPr>
            </w:pPr>
          </w:p>
        </w:tc>
        <w:tc>
          <w:tcPr>
            <w:tcW w:w="629" w:type="pct"/>
            <w:vMerge w:val="continue"/>
            <w:vAlign w:val="center"/>
          </w:tcPr>
          <w:p w14:paraId="661E2C14">
            <w:pPr>
              <w:pStyle w:val="70"/>
              <w:autoSpaceDE w:val="0"/>
              <w:autoSpaceDN w:val="0"/>
              <w:rPr>
                <w:rFonts w:eastAsiaTheme="minorEastAsia"/>
                <w:color w:val="000000" w:themeColor="text1"/>
                <w:spacing w:val="-10"/>
                <w14:textFill>
                  <w14:solidFill>
                    <w14:schemeClr w14:val="tx1"/>
                  </w14:solidFill>
                </w14:textFill>
              </w:rPr>
            </w:pPr>
          </w:p>
        </w:tc>
        <w:tc>
          <w:tcPr>
            <w:tcW w:w="701" w:type="pct"/>
            <w:vAlign w:val="center"/>
          </w:tcPr>
          <w:p w14:paraId="36F3BEE0">
            <w:pPr>
              <w:pStyle w:val="70"/>
              <w:autoSpaceDE w:val="0"/>
              <w:autoSpaceDN w:val="0"/>
              <w:rPr>
                <w:rFonts w:eastAsiaTheme="minorEastAsia"/>
                <w:color w:val="000000" w:themeColor="text1"/>
                <w:spacing w:val="-10"/>
                <w14:textFill>
                  <w14:solidFill>
                    <w14:schemeClr w14:val="tx1"/>
                  </w14:solidFill>
                </w14:textFill>
              </w:rPr>
            </w:pPr>
            <w:r>
              <w:rPr>
                <w:rFonts w:eastAsiaTheme="minorEastAsia"/>
                <w:color w:val="000000" w:themeColor="text1"/>
                <w:spacing w:val="-10"/>
                <w14:textFill>
                  <w14:solidFill>
                    <w14:schemeClr w14:val="tx1"/>
                  </w14:solidFill>
                </w14:textFill>
              </w:rPr>
              <w:t>20:00~21:00</w:t>
            </w:r>
          </w:p>
        </w:tc>
        <w:tc>
          <w:tcPr>
            <w:tcW w:w="982" w:type="pct"/>
            <w:vAlign w:val="center"/>
          </w:tcPr>
          <w:p w14:paraId="486FFC66">
            <w:pPr>
              <w:pStyle w:val="70"/>
              <w:autoSpaceDE w:val="0"/>
              <w:autoSpaceDN w:val="0"/>
              <w:rPr>
                <w:rFonts w:eastAsiaTheme="minorEastAsia"/>
                <w:color w:val="000000" w:themeColor="text1"/>
                <w:spacing w:val="-10"/>
                <w14:textFill>
                  <w14:solidFill>
                    <w14:schemeClr w14:val="tx1"/>
                  </w14:solidFill>
                </w14:textFill>
              </w:rPr>
            </w:pPr>
          </w:p>
        </w:tc>
        <w:tc>
          <w:tcPr>
            <w:tcW w:w="982" w:type="pct"/>
            <w:vAlign w:val="center"/>
          </w:tcPr>
          <w:p w14:paraId="44894ED3">
            <w:pPr>
              <w:pStyle w:val="70"/>
              <w:autoSpaceDE w:val="0"/>
              <w:autoSpaceDN w:val="0"/>
              <w:rPr>
                <w:rFonts w:eastAsiaTheme="minorEastAsia"/>
                <w:color w:val="000000" w:themeColor="text1"/>
                <w:spacing w:val="-10"/>
                <w14:textFill>
                  <w14:solidFill>
                    <w14:schemeClr w14:val="tx1"/>
                  </w14:solidFill>
                </w14:textFill>
              </w:rPr>
            </w:pPr>
          </w:p>
        </w:tc>
        <w:tc>
          <w:tcPr>
            <w:tcW w:w="983" w:type="pct"/>
            <w:vAlign w:val="center"/>
          </w:tcPr>
          <w:p w14:paraId="13009018">
            <w:pPr>
              <w:pStyle w:val="70"/>
              <w:autoSpaceDE w:val="0"/>
              <w:autoSpaceDN w:val="0"/>
              <w:rPr>
                <w:rFonts w:eastAsiaTheme="minorEastAsia"/>
                <w:color w:val="000000" w:themeColor="text1"/>
                <w:spacing w:val="-10"/>
                <w14:textFill>
                  <w14:solidFill>
                    <w14:schemeClr w14:val="tx1"/>
                  </w14:solidFill>
                </w14:textFill>
              </w:rPr>
            </w:pPr>
          </w:p>
        </w:tc>
      </w:tr>
      <w:tr w14:paraId="69710E7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3" w:hRule="atLeast"/>
          <w:tblHeader/>
          <w:jc w:val="center"/>
        </w:trPr>
        <w:tc>
          <w:tcPr>
            <w:tcW w:w="720" w:type="pct"/>
            <w:vMerge w:val="continue"/>
            <w:vAlign w:val="center"/>
          </w:tcPr>
          <w:p w14:paraId="241A5E47">
            <w:pPr>
              <w:pStyle w:val="70"/>
              <w:autoSpaceDE w:val="0"/>
              <w:autoSpaceDN w:val="0"/>
              <w:rPr>
                <w:rFonts w:eastAsiaTheme="minorEastAsia"/>
                <w:color w:val="000000" w:themeColor="text1"/>
                <w:spacing w:val="-10"/>
                <w14:textFill>
                  <w14:solidFill>
                    <w14:schemeClr w14:val="tx1"/>
                  </w14:solidFill>
                </w14:textFill>
              </w:rPr>
            </w:pPr>
          </w:p>
        </w:tc>
        <w:tc>
          <w:tcPr>
            <w:tcW w:w="629" w:type="pct"/>
            <w:vMerge w:val="restart"/>
            <w:vAlign w:val="center"/>
          </w:tcPr>
          <w:p w14:paraId="61B6C3E2">
            <w:pPr>
              <w:pStyle w:val="70"/>
              <w:autoSpaceDE w:val="0"/>
              <w:autoSpaceDN w:val="0"/>
              <w:rPr>
                <w:rFonts w:eastAsiaTheme="minorEastAsia"/>
                <w:color w:val="000000" w:themeColor="text1"/>
                <w:spacing w:val="-10"/>
                <w14:textFill>
                  <w14:solidFill>
                    <w14:schemeClr w14:val="tx1"/>
                  </w14:solidFill>
                </w14:textFill>
              </w:rPr>
            </w:pPr>
            <w:r>
              <w:rPr>
                <w:rFonts w:hint="eastAsia" w:eastAsiaTheme="minorEastAsia"/>
                <w:color w:val="000000" w:themeColor="text1"/>
                <w:spacing w:val="-10"/>
                <w14:textFill>
                  <w14:solidFill>
                    <w14:schemeClr w14:val="tx1"/>
                  </w14:solidFill>
                </w14:textFill>
              </w:rPr>
              <w:t>2025.11.30</w:t>
            </w:r>
          </w:p>
        </w:tc>
        <w:tc>
          <w:tcPr>
            <w:tcW w:w="701" w:type="pct"/>
            <w:vAlign w:val="center"/>
          </w:tcPr>
          <w:p w14:paraId="16671F79">
            <w:pPr>
              <w:pStyle w:val="70"/>
              <w:autoSpaceDE w:val="0"/>
              <w:autoSpaceDN w:val="0"/>
              <w:rPr>
                <w:rFonts w:eastAsiaTheme="minorEastAsia"/>
                <w:color w:val="000000" w:themeColor="text1"/>
                <w:spacing w:val="-10"/>
                <w14:textFill>
                  <w14:solidFill>
                    <w14:schemeClr w14:val="tx1"/>
                  </w14:solidFill>
                </w14:textFill>
              </w:rPr>
            </w:pPr>
            <w:r>
              <w:rPr>
                <w:rFonts w:eastAsiaTheme="minorEastAsia"/>
                <w:color w:val="000000" w:themeColor="text1"/>
                <w:spacing w:val="-10"/>
                <w14:textFill>
                  <w14:solidFill>
                    <w14:schemeClr w14:val="tx1"/>
                  </w14:solidFill>
                </w14:textFill>
              </w:rPr>
              <w:t>02:00~03:00</w:t>
            </w:r>
          </w:p>
        </w:tc>
        <w:tc>
          <w:tcPr>
            <w:tcW w:w="982" w:type="pct"/>
            <w:vAlign w:val="center"/>
          </w:tcPr>
          <w:p w14:paraId="4C6C6DC2">
            <w:pPr>
              <w:pStyle w:val="70"/>
              <w:autoSpaceDE w:val="0"/>
              <w:autoSpaceDN w:val="0"/>
              <w:rPr>
                <w:rFonts w:eastAsiaTheme="minorEastAsia"/>
                <w:color w:val="000000" w:themeColor="text1"/>
                <w:spacing w:val="-10"/>
                <w14:textFill>
                  <w14:solidFill>
                    <w14:schemeClr w14:val="tx1"/>
                  </w14:solidFill>
                </w14:textFill>
              </w:rPr>
            </w:pPr>
          </w:p>
        </w:tc>
        <w:tc>
          <w:tcPr>
            <w:tcW w:w="982" w:type="pct"/>
            <w:vAlign w:val="center"/>
          </w:tcPr>
          <w:p w14:paraId="54BB8EFF">
            <w:pPr>
              <w:pStyle w:val="70"/>
              <w:autoSpaceDE w:val="0"/>
              <w:autoSpaceDN w:val="0"/>
              <w:rPr>
                <w:rFonts w:eastAsiaTheme="minorEastAsia"/>
                <w:color w:val="000000" w:themeColor="text1"/>
                <w:spacing w:val="-10"/>
                <w14:textFill>
                  <w14:solidFill>
                    <w14:schemeClr w14:val="tx1"/>
                  </w14:solidFill>
                </w14:textFill>
              </w:rPr>
            </w:pPr>
          </w:p>
        </w:tc>
        <w:tc>
          <w:tcPr>
            <w:tcW w:w="983" w:type="pct"/>
            <w:vAlign w:val="center"/>
          </w:tcPr>
          <w:p w14:paraId="78D2D4DB">
            <w:pPr>
              <w:pStyle w:val="70"/>
              <w:autoSpaceDE w:val="0"/>
              <w:autoSpaceDN w:val="0"/>
              <w:rPr>
                <w:rFonts w:eastAsiaTheme="minorEastAsia"/>
                <w:color w:val="000000" w:themeColor="text1"/>
                <w:spacing w:val="-10"/>
                <w14:textFill>
                  <w14:solidFill>
                    <w14:schemeClr w14:val="tx1"/>
                  </w14:solidFill>
                </w14:textFill>
              </w:rPr>
            </w:pPr>
          </w:p>
        </w:tc>
      </w:tr>
      <w:tr w14:paraId="7254CB4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3" w:hRule="atLeast"/>
          <w:tblHeader/>
          <w:jc w:val="center"/>
        </w:trPr>
        <w:tc>
          <w:tcPr>
            <w:tcW w:w="720" w:type="pct"/>
            <w:vMerge w:val="continue"/>
            <w:vAlign w:val="center"/>
          </w:tcPr>
          <w:p w14:paraId="78F9472D">
            <w:pPr>
              <w:pStyle w:val="70"/>
              <w:autoSpaceDE w:val="0"/>
              <w:autoSpaceDN w:val="0"/>
              <w:rPr>
                <w:rFonts w:eastAsiaTheme="minorEastAsia"/>
                <w:color w:val="000000" w:themeColor="text1"/>
                <w:spacing w:val="-10"/>
                <w14:textFill>
                  <w14:solidFill>
                    <w14:schemeClr w14:val="tx1"/>
                  </w14:solidFill>
                </w14:textFill>
              </w:rPr>
            </w:pPr>
          </w:p>
        </w:tc>
        <w:tc>
          <w:tcPr>
            <w:tcW w:w="629" w:type="pct"/>
            <w:vMerge w:val="continue"/>
            <w:vAlign w:val="center"/>
          </w:tcPr>
          <w:p w14:paraId="7E0F4807">
            <w:pPr>
              <w:pStyle w:val="70"/>
              <w:autoSpaceDE w:val="0"/>
              <w:autoSpaceDN w:val="0"/>
              <w:rPr>
                <w:rFonts w:eastAsiaTheme="minorEastAsia"/>
                <w:color w:val="000000" w:themeColor="text1"/>
                <w:spacing w:val="-10"/>
                <w14:textFill>
                  <w14:solidFill>
                    <w14:schemeClr w14:val="tx1"/>
                  </w14:solidFill>
                </w14:textFill>
              </w:rPr>
            </w:pPr>
          </w:p>
        </w:tc>
        <w:tc>
          <w:tcPr>
            <w:tcW w:w="701" w:type="pct"/>
            <w:vAlign w:val="center"/>
          </w:tcPr>
          <w:p w14:paraId="691E29CF">
            <w:pPr>
              <w:pStyle w:val="70"/>
              <w:autoSpaceDE w:val="0"/>
              <w:autoSpaceDN w:val="0"/>
              <w:rPr>
                <w:rFonts w:eastAsiaTheme="minorEastAsia"/>
                <w:color w:val="000000" w:themeColor="text1"/>
                <w:spacing w:val="-10"/>
                <w14:textFill>
                  <w14:solidFill>
                    <w14:schemeClr w14:val="tx1"/>
                  </w14:solidFill>
                </w14:textFill>
              </w:rPr>
            </w:pPr>
            <w:r>
              <w:rPr>
                <w:rFonts w:eastAsiaTheme="minorEastAsia"/>
                <w:color w:val="000000" w:themeColor="text1"/>
                <w:spacing w:val="-10"/>
                <w14:textFill>
                  <w14:solidFill>
                    <w14:schemeClr w14:val="tx1"/>
                  </w14:solidFill>
                </w14:textFill>
              </w:rPr>
              <w:t>08:00~09:00</w:t>
            </w:r>
          </w:p>
        </w:tc>
        <w:tc>
          <w:tcPr>
            <w:tcW w:w="982" w:type="pct"/>
            <w:vAlign w:val="center"/>
          </w:tcPr>
          <w:p w14:paraId="6B7E2807">
            <w:pPr>
              <w:pStyle w:val="70"/>
              <w:autoSpaceDE w:val="0"/>
              <w:autoSpaceDN w:val="0"/>
              <w:rPr>
                <w:rFonts w:eastAsiaTheme="minorEastAsia"/>
                <w:color w:val="000000" w:themeColor="text1"/>
                <w:spacing w:val="-10"/>
                <w14:textFill>
                  <w14:solidFill>
                    <w14:schemeClr w14:val="tx1"/>
                  </w14:solidFill>
                </w14:textFill>
              </w:rPr>
            </w:pPr>
          </w:p>
        </w:tc>
        <w:tc>
          <w:tcPr>
            <w:tcW w:w="982" w:type="pct"/>
            <w:vAlign w:val="center"/>
          </w:tcPr>
          <w:p w14:paraId="0612E2CD">
            <w:pPr>
              <w:pStyle w:val="70"/>
              <w:autoSpaceDE w:val="0"/>
              <w:autoSpaceDN w:val="0"/>
              <w:rPr>
                <w:rFonts w:eastAsiaTheme="minorEastAsia"/>
                <w:color w:val="000000" w:themeColor="text1"/>
                <w:spacing w:val="-10"/>
                <w14:textFill>
                  <w14:solidFill>
                    <w14:schemeClr w14:val="tx1"/>
                  </w14:solidFill>
                </w14:textFill>
              </w:rPr>
            </w:pPr>
          </w:p>
        </w:tc>
        <w:tc>
          <w:tcPr>
            <w:tcW w:w="983" w:type="pct"/>
            <w:vAlign w:val="center"/>
          </w:tcPr>
          <w:p w14:paraId="6DA6F47A">
            <w:pPr>
              <w:pStyle w:val="70"/>
              <w:autoSpaceDE w:val="0"/>
              <w:autoSpaceDN w:val="0"/>
              <w:rPr>
                <w:rFonts w:eastAsiaTheme="minorEastAsia"/>
                <w:color w:val="000000" w:themeColor="text1"/>
                <w:spacing w:val="-10"/>
                <w14:textFill>
                  <w14:solidFill>
                    <w14:schemeClr w14:val="tx1"/>
                  </w14:solidFill>
                </w14:textFill>
              </w:rPr>
            </w:pPr>
          </w:p>
        </w:tc>
      </w:tr>
      <w:tr w14:paraId="03C2DC2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3" w:hRule="atLeast"/>
          <w:tblHeader/>
          <w:jc w:val="center"/>
        </w:trPr>
        <w:tc>
          <w:tcPr>
            <w:tcW w:w="720" w:type="pct"/>
            <w:vMerge w:val="continue"/>
            <w:vAlign w:val="center"/>
          </w:tcPr>
          <w:p w14:paraId="1A1EADF6">
            <w:pPr>
              <w:pStyle w:val="70"/>
              <w:autoSpaceDE w:val="0"/>
              <w:autoSpaceDN w:val="0"/>
              <w:rPr>
                <w:rFonts w:eastAsiaTheme="minorEastAsia"/>
                <w:color w:val="000000" w:themeColor="text1"/>
                <w:spacing w:val="-10"/>
                <w14:textFill>
                  <w14:solidFill>
                    <w14:schemeClr w14:val="tx1"/>
                  </w14:solidFill>
                </w14:textFill>
              </w:rPr>
            </w:pPr>
          </w:p>
        </w:tc>
        <w:tc>
          <w:tcPr>
            <w:tcW w:w="629" w:type="pct"/>
            <w:vMerge w:val="continue"/>
            <w:vAlign w:val="center"/>
          </w:tcPr>
          <w:p w14:paraId="5BC081C1">
            <w:pPr>
              <w:pStyle w:val="70"/>
              <w:autoSpaceDE w:val="0"/>
              <w:autoSpaceDN w:val="0"/>
              <w:rPr>
                <w:rFonts w:eastAsiaTheme="minorEastAsia"/>
                <w:color w:val="000000" w:themeColor="text1"/>
                <w:spacing w:val="-10"/>
                <w14:textFill>
                  <w14:solidFill>
                    <w14:schemeClr w14:val="tx1"/>
                  </w14:solidFill>
                </w14:textFill>
              </w:rPr>
            </w:pPr>
          </w:p>
        </w:tc>
        <w:tc>
          <w:tcPr>
            <w:tcW w:w="701" w:type="pct"/>
            <w:vAlign w:val="center"/>
          </w:tcPr>
          <w:p w14:paraId="46EEE55F">
            <w:pPr>
              <w:pStyle w:val="70"/>
              <w:autoSpaceDE w:val="0"/>
              <w:autoSpaceDN w:val="0"/>
              <w:rPr>
                <w:rFonts w:eastAsiaTheme="minorEastAsia"/>
                <w:color w:val="000000" w:themeColor="text1"/>
                <w:spacing w:val="-10"/>
                <w14:textFill>
                  <w14:solidFill>
                    <w14:schemeClr w14:val="tx1"/>
                  </w14:solidFill>
                </w14:textFill>
              </w:rPr>
            </w:pPr>
            <w:r>
              <w:rPr>
                <w:rFonts w:eastAsiaTheme="minorEastAsia"/>
                <w:color w:val="000000" w:themeColor="text1"/>
                <w:spacing w:val="-10"/>
                <w14:textFill>
                  <w14:solidFill>
                    <w14:schemeClr w14:val="tx1"/>
                  </w14:solidFill>
                </w14:textFill>
              </w:rPr>
              <w:t>14:00~15:00</w:t>
            </w:r>
          </w:p>
        </w:tc>
        <w:tc>
          <w:tcPr>
            <w:tcW w:w="982" w:type="pct"/>
            <w:vAlign w:val="center"/>
          </w:tcPr>
          <w:p w14:paraId="4FA5A05D">
            <w:pPr>
              <w:pStyle w:val="70"/>
              <w:autoSpaceDE w:val="0"/>
              <w:autoSpaceDN w:val="0"/>
              <w:rPr>
                <w:rFonts w:eastAsiaTheme="minorEastAsia"/>
                <w:color w:val="000000" w:themeColor="text1"/>
                <w:spacing w:val="-10"/>
                <w14:textFill>
                  <w14:solidFill>
                    <w14:schemeClr w14:val="tx1"/>
                  </w14:solidFill>
                </w14:textFill>
              </w:rPr>
            </w:pPr>
          </w:p>
        </w:tc>
        <w:tc>
          <w:tcPr>
            <w:tcW w:w="982" w:type="pct"/>
            <w:vAlign w:val="center"/>
          </w:tcPr>
          <w:p w14:paraId="6BC145DA">
            <w:pPr>
              <w:pStyle w:val="70"/>
              <w:autoSpaceDE w:val="0"/>
              <w:autoSpaceDN w:val="0"/>
              <w:rPr>
                <w:rFonts w:eastAsiaTheme="minorEastAsia"/>
                <w:color w:val="000000" w:themeColor="text1"/>
                <w:spacing w:val="-10"/>
                <w14:textFill>
                  <w14:solidFill>
                    <w14:schemeClr w14:val="tx1"/>
                  </w14:solidFill>
                </w14:textFill>
              </w:rPr>
            </w:pPr>
          </w:p>
        </w:tc>
        <w:tc>
          <w:tcPr>
            <w:tcW w:w="983" w:type="pct"/>
            <w:vAlign w:val="center"/>
          </w:tcPr>
          <w:p w14:paraId="265FDE37">
            <w:pPr>
              <w:pStyle w:val="70"/>
              <w:autoSpaceDE w:val="0"/>
              <w:autoSpaceDN w:val="0"/>
              <w:rPr>
                <w:rFonts w:eastAsiaTheme="minorEastAsia"/>
                <w:color w:val="000000" w:themeColor="text1"/>
                <w:spacing w:val="-10"/>
                <w14:textFill>
                  <w14:solidFill>
                    <w14:schemeClr w14:val="tx1"/>
                  </w14:solidFill>
                </w14:textFill>
              </w:rPr>
            </w:pPr>
          </w:p>
        </w:tc>
      </w:tr>
      <w:tr w14:paraId="7249F43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3" w:hRule="atLeast"/>
          <w:tblHeader/>
          <w:jc w:val="center"/>
        </w:trPr>
        <w:tc>
          <w:tcPr>
            <w:tcW w:w="720" w:type="pct"/>
            <w:vMerge w:val="continue"/>
            <w:vAlign w:val="center"/>
          </w:tcPr>
          <w:p w14:paraId="53C02D7A">
            <w:pPr>
              <w:pStyle w:val="70"/>
              <w:autoSpaceDE w:val="0"/>
              <w:autoSpaceDN w:val="0"/>
              <w:rPr>
                <w:rFonts w:eastAsiaTheme="minorEastAsia"/>
                <w:color w:val="000000" w:themeColor="text1"/>
                <w:spacing w:val="-10"/>
                <w14:textFill>
                  <w14:solidFill>
                    <w14:schemeClr w14:val="tx1"/>
                  </w14:solidFill>
                </w14:textFill>
              </w:rPr>
            </w:pPr>
          </w:p>
        </w:tc>
        <w:tc>
          <w:tcPr>
            <w:tcW w:w="629" w:type="pct"/>
            <w:vMerge w:val="continue"/>
            <w:vAlign w:val="center"/>
          </w:tcPr>
          <w:p w14:paraId="27532ED7">
            <w:pPr>
              <w:pStyle w:val="70"/>
              <w:autoSpaceDE w:val="0"/>
              <w:autoSpaceDN w:val="0"/>
              <w:rPr>
                <w:rFonts w:eastAsiaTheme="minorEastAsia"/>
                <w:color w:val="000000" w:themeColor="text1"/>
                <w:spacing w:val="-10"/>
                <w14:textFill>
                  <w14:solidFill>
                    <w14:schemeClr w14:val="tx1"/>
                  </w14:solidFill>
                </w14:textFill>
              </w:rPr>
            </w:pPr>
          </w:p>
        </w:tc>
        <w:tc>
          <w:tcPr>
            <w:tcW w:w="701" w:type="pct"/>
            <w:vAlign w:val="center"/>
          </w:tcPr>
          <w:p w14:paraId="6B7E6185">
            <w:pPr>
              <w:pStyle w:val="70"/>
              <w:autoSpaceDE w:val="0"/>
              <w:autoSpaceDN w:val="0"/>
              <w:rPr>
                <w:rFonts w:eastAsiaTheme="minorEastAsia"/>
                <w:color w:val="000000" w:themeColor="text1"/>
                <w:spacing w:val="-10"/>
                <w14:textFill>
                  <w14:solidFill>
                    <w14:schemeClr w14:val="tx1"/>
                  </w14:solidFill>
                </w14:textFill>
              </w:rPr>
            </w:pPr>
            <w:r>
              <w:rPr>
                <w:rFonts w:eastAsiaTheme="minorEastAsia"/>
                <w:color w:val="000000" w:themeColor="text1"/>
                <w:spacing w:val="-10"/>
                <w14:textFill>
                  <w14:solidFill>
                    <w14:schemeClr w14:val="tx1"/>
                  </w14:solidFill>
                </w14:textFill>
              </w:rPr>
              <w:t>20:00~21:00</w:t>
            </w:r>
          </w:p>
        </w:tc>
        <w:tc>
          <w:tcPr>
            <w:tcW w:w="982" w:type="pct"/>
            <w:vAlign w:val="center"/>
          </w:tcPr>
          <w:p w14:paraId="6DA7ED0F">
            <w:pPr>
              <w:pStyle w:val="70"/>
              <w:autoSpaceDE w:val="0"/>
              <w:autoSpaceDN w:val="0"/>
              <w:rPr>
                <w:rFonts w:eastAsiaTheme="minorEastAsia"/>
                <w:color w:val="000000" w:themeColor="text1"/>
                <w:spacing w:val="-10"/>
                <w14:textFill>
                  <w14:solidFill>
                    <w14:schemeClr w14:val="tx1"/>
                  </w14:solidFill>
                </w14:textFill>
              </w:rPr>
            </w:pPr>
          </w:p>
        </w:tc>
        <w:tc>
          <w:tcPr>
            <w:tcW w:w="982" w:type="pct"/>
            <w:vAlign w:val="center"/>
          </w:tcPr>
          <w:p w14:paraId="2879FE59">
            <w:pPr>
              <w:pStyle w:val="70"/>
              <w:autoSpaceDE w:val="0"/>
              <w:autoSpaceDN w:val="0"/>
              <w:rPr>
                <w:rFonts w:eastAsiaTheme="minorEastAsia"/>
                <w:color w:val="000000" w:themeColor="text1"/>
                <w:spacing w:val="-10"/>
                <w14:textFill>
                  <w14:solidFill>
                    <w14:schemeClr w14:val="tx1"/>
                  </w14:solidFill>
                </w14:textFill>
              </w:rPr>
            </w:pPr>
          </w:p>
        </w:tc>
        <w:tc>
          <w:tcPr>
            <w:tcW w:w="983" w:type="pct"/>
            <w:vAlign w:val="center"/>
          </w:tcPr>
          <w:p w14:paraId="61D015A4">
            <w:pPr>
              <w:pStyle w:val="70"/>
              <w:autoSpaceDE w:val="0"/>
              <w:autoSpaceDN w:val="0"/>
              <w:rPr>
                <w:rFonts w:eastAsiaTheme="minorEastAsia"/>
                <w:color w:val="000000" w:themeColor="text1"/>
                <w:spacing w:val="-10"/>
                <w14:textFill>
                  <w14:solidFill>
                    <w14:schemeClr w14:val="tx1"/>
                  </w14:solidFill>
                </w14:textFill>
              </w:rPr>
            </w:pPr>
          </w:p>
        </w:tc>
      </w:tr>
      <w:tr w14:paraId="7103380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3" w:hRule="atLeast"/>
          <w:tblHeader/>
          <w:jc w:val="center"/>
        </w:trPr>
        <w:tc>
          <w:tcPr>
            <w:tcW w:w="720" w:type="pct"/>
            <w:vMerge w:val="continue"/>
            <w:vAlign w:val="center"/>
          </w:tcPr>
          <w:p w14:paraId="56D753BE">
            <w:pPr>
              <w:pStyle w:val="70"/>
              <w:autoSpaceDE w:val="0"/>
              <w:autoSpaceDN w:val="0"/>
              <w:rPr>
                <w:rFonts w:eastAsiaTheme="minorEastAsia"/>
                <w:color w:val="000000" w:themeColor="text1"/>
                <w:spacing w:val="-10"/>
                <w14:textFill>
                  <w14:solidFill>
                    <w14:schemeClr w14:val="tx1"/>
                  </w14:solidFill>
                </w14:textFill>
              </w:rPr>
            </w:pPr>
          </w:p>
        </w:tc>
        <w:tc>
          <w:tcPr>
            <w:tcW w:w="629" w:type="pct"/>
            <w:vMerge w:val="restart"/>
            <w:vAlign w:val="center"/>
          </w:tcPr>
          <w:p w14:paraId="1DC9E94F">
            <w:pPr>
              <w:pStyle w:val="70"/>
              <w:autoSpaceDE w:val="0"/>
              <w:autoSpaceDN w:val="0"/>
              <w:rPr>
                <w:rFonts w:eastAsiaTheme="minorEastAsia"/>
                <w:color w:val="000000" w:themeColor="text1"/>
                <w:spacing w:val="-10"/>
                <w14:textFill>
                  <w14:solidFill>
                    <w14:schemeClr w14:val="tx1"/>
                  </w14:solidFill>
                </w14:textFill>
              </w:rPr>
            </w:pPr>
            <w:r>
              <w:rPr>
                <w:rFonts w:hint="eastAsia" w:eastAsiaTheme="minorEastAsia"/>
                <w:color w:val="000000" w:themeColor="text1"/>
                <w:spacing w:val="-10"/>
                <w14:textFill>
                  <w14:solidFill>
                    <w14:schemeClr w14:val="tx1"/>
                  </w14:solidFill>
                </w14:textFill>
              </w:rPr>
              <w:t>2025.12.01</w:t>
            </w:r>
          </w:p>
        </w:tc>
        <w:tc>
          <w:tcPr>
            <w:tcW w:w="701" w:type="pct"/>
            <w:vAlign w:val="center"/>
          </w:tcPr>
          <w:p w14:paraId="0AA44C96">
            <w:pPr>
              <w:pStyle w:val="70"/>
              <w:autoSpaceDE w:val="0"/>
              <w:autoSpaceDN w:val="0"/>
              <w:rPr>
                <w:rFonts w:eastAsiaTheme="minorEastAsia"/>
                <w:color w:val="000000" w:themeColor="text1"/>
                <w:spacing w:val="-10"/>
                <w14:textFill>
                  <w14:solidFill>
                    <w14:schemeClr w14:val="tx1"/>
                  </w14:solidFill>
                </w14:textFill>
              </w:rPr>
            </w:pPr>
            <w:r>
              <w:rPr>
                <w:rFonts w:eastAsiaTheme="minorEastAsia"/>
                <w:color w:val="000000" w:themeColor="text1"/>
                <w:spacing w:val="-10"/>
                <w14:textFill>
                  <w14:solidFill>
                    <w14:schemeClr w14:val="tx1"/>
                  </w14:solidFill>
                </w14:textFill>
              </w:rPr>
              <w:t>02:00~03:00</w:t>
            </w:r>
          </w:p>
        </w:tc>
        <w:tc>
          <w:tcPr>
            <w:tcW w:w="982" w:type="pct"/>
            <w:vAlign w:val="center"/>
          </w:tcPr>
          <w:p w14:paraId="21D2540F">
            <w:pPr>
              <w:pStyle w:val="70"/>
              <w:autoSpaceDE w:val="0"/>
              <w:autoSpaceDN w:val="0"/>
              <w:rPr>
                <w:rFonts w:eastAsiaTheme="minorEastAsia"/>
                <w:color w:val="000000" w:themeColor="text1"/>
                <w:spacing w:val="-10"/>
                <w14:textFill>
                  <w14:solidFill>
                    <w14:schemeClr w14:val="tx1"/>
                  </w14:solidFill>
                </w14:textFill>
              </w:rPr>
            </w:pPr>
          </w:p>
        </w:tc>
        <w:tc>
          <w:tcPr>
            <w:tcW w:w="982" w:type="pct"/>
            <w:vAlign w:val="center"/>
          </w:tcPr>
          <w:p w14:paraId="3AC0532C">
            <w:pPr>
              <w:pStyle w:val="70"/>
              <w:autoSpaceDE w:val="0"/>
              <w:autoSpaceDN w:val="0"/>
              <w:rPr>
                <w:rFonts w:eastAsiaTheme="minorEastAsia"/>
                <w:color w:val="000000" w:themeColor="text1"/>
                <w:spacing w:val="-10"/>
                <w14:textFill>
                  <w14:solidFill>
                    <w14:schemeClr w14:val="tx1"/>
                  </w14:solidFill>
                </w14:textFill>
              </w:rPr>
            </w:pPr>
          </w:p>
        </w:tc>
        <w:tc>
          <w:tcPr>
            <w:tcW w:w="983" w:type="pct"/>
            <w:vAlign w:val="center"/>
          </w:tcPr>
          <w:p w14:paraId="03B266DE">
            <w:pPr>
              <w:pStyle w:val="70"/>
              <w:autoSpaceDE w:val="0"/>
              <w:autoSpaceDN w:val="0"/>
              <w:rPr>
                <w:rFonts w:eastAsiaTheme="minorEastAsia"/>
                <w:color w:val="000000" w:themeColor="text1"/>
                <w:spacing w:val="-10"/>
                <w14:textFill>
                  <w14:solidFill>
                    <w14:schemeClr w14:val="tx1"/>
                  </w14:solidFill>
                </w14:textFill>
              </w:rPr>
            </w:pPr>
          </w:p>
        </w:tc>
      </w:tr>
      <w:tr w14:paraId="4997D05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3" w:hRule="atLeast"/>
          <w:tblHeader/>
          <w:jc w:val="center"/>
        </w:trPr>
        <w:tc>
          <w:tcPr>
            <w:tcW w:w="720" w:type="pct"/>
            <w:vMerge w:val="continue"/>
            <w:vAlign w:val="center"/>
          </w:tcPr>
          <w:p w14:paraId="31F4BC3D">
            <w:pPr>
              <w:pStyle w:val="70"/>
              <w:autoSpaceDE w:val="0"/>
              <w:autoSpaceDN w:val="0"/>
              <w:rPr>
                <w:rFonts w:eastAsiaTheme="minorEastAsia"/>
                <w:color w:val="000000" w:themeColor="text1"/>
                <w:spacing w:val="-10"/>
                <w14:textFill>
                  <w14:solidFill>
                    <w14:schemeClr w14:val="tx1"/>
                  </w14:solidFill>
                </w14:textFill>
              </w:rPr>
            </w:pPr>
          </w:p>
        </w:tc>
        <w:tc>
          <w:tcPr>
            <w:tcW w:w="629" w:type="pct"/>
            <w:vMerge w:val="continue"/>
            <w:vAlign w:val="center"/>
          </w:tcPr>
          <w:p w14:paraId="41DDA756">
            <w:pPr>
              <w:pStyle w:val="70"/>
              <w:autoSpaceDE w:val="0"/>
              <w:autoSpaceDN w:val="0"/>
              <w:rPr>
                <w:rFonts w:eastAsiaTheme="minorEastAsia"/>
                <w:color w:val="000000" w:themeColor="text1"/>
                <w:spacing w:val="-10"/>
                <w14:textFill>
                  <w14:solidFill>
                    <w14:schemeClr w14:val="tx1"/>
                  </w14:solidFill>
                </w14:textFill>
              </w:rPr>
            </w:pPr>
          </w:p>
        </w:tc>
        <w:tc>
          <w:tcPr>
            <w:tcW w:w="701" w:type="pct"/>
            <w:vAlign w:val="center"/>
          </w:tcPr>
          <w:p w14:paraId="6C5DAECB">
            <w:pPr>
              <w:pStyle w:val="70"/>
              <w:autoSpaceDE w:val="0"/>
              <w:autoSpaceDN w:val="0"/>
              <w:rPr>
                <w:rFonts w:eastAsiaTheme="minorEastAsia"/>
                <w:color w:val="000000" w:themeColor="text1"/>
                <w:spacing w:val="-10"/>
                <w14:textFill>
                  <w14:solidFill>
                    <w14:schemeClr w14:val="tx1"/>
                  </w14:solidFill>
                </w14:textFill>
              </w:rPr>
            </w:pPr>
            <w:r>
              <w:rPr>
                <w:rFonts w:eastAsiaTheme="minorEastAsia"/>
                <w:color w:val="000000" w:themeColor="text1"/>
                <w:spacing w:val="-10"/>
                <w14:textFill>
                  <w14:solidFill>
                    <w14:schemeClr w14:val="tx1"/>
                  </w14:solidFill>
                </w14:textFill>
              </w:rPr>
              <w:t>08:00~09:00</w:t>
            </w:r>
          </w:p>
        </w:tc>
        <w:tc>
          <w:tcPr>
            <w:tcW w:w="982" w:type="pct"/>
            <w:vAlign w:val="center"/>
          </w:tcPr>
          <w:p w14:paraId="7C4D606F">
            <w:pPr>
              <w:pStyle w:val="70"/>
              <w:autoSpaceDE w:val="0"/>
              <w:autoSpaceDN w:val="0"/>
              <w:rPr>
                <w:rFonts w:eastAsiaTheme="minorEastAsia"/>
                <w:color w:val="000000" w:themeColor="text1"/>
                <w:spacing w:val="-10"/>
                <w14:textFill>
                  <w14:solidFill>
                    <w14:schemeClr w14:val="tx1"/>
                  </w14:solidFill>
                </w14:textFill>
              </w:rPr>
            </w:pPr>
          </w:p>
        </w:tc>
        <w:tc>
          <w:tcPr>
            <w:tcW w:w="982" w:type="pct"/>
            <w:vAlign w:val="center"/>
          </w:tcPr>
          <w:p w14:paraId="4CED02E0">
            <w:pPr>
              <w:pStyle w:val="70"/>
              <w:autoSpaceDE w:val="0"/>
              <w:autoSpaceDN w:val="0"/>
              <w:rPr>
                <w:rFonts w:eastAsiaTheme="minorEastAsia"/>
                <w:color w:val="000000" w:themeColor="text1"/>
                <w:spacing w:val="-10"/>
                <w14:textFill>
                  <w14:solidFill>
                    <w14:schemeClr w14:val="tx1"/>
                  </w14:solidFill>
                </w14:textFill>
              </w:rPr>
            </w:pPr>
          </w:p>
        </w:tc>
        <w:tc>
          <w:tcPr>
            <w:tcW w:w="983" w:type="pct"/>
            <w:vAlign w:val="center"/>
          </w:tcPr>
          <w:p w14:paraId="720177A3">
            <w:pPr>
              <w:pStyle w:val="70"/>
              <w:autoSpaceDE w:val="0"/>
              <w:autoSpaceDN w:val="0"/>
              <w:rPr>
                <w:rFonts w:eastAsiaTheme="minorEastAsia"/>
                <w:color w:val="000000" w:themeColor="text1"/>
                <w:spacing w:val="-10"/>
                <w14:textFill>
                  <w14:solidFill>
                    <w14:schemeClr w14:val="tx1"/>
                  </w14:solidFill>
                </w14:textFill>
              </w:rPr>
            </w:pPr>
          </w:p>
        </w:tc>
      </w:tr>
      <w:tr w14:paraId="511A2B8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3" w:hRule="atLeast"/>
          <w:tblHeader/>
          <w:jc w:val="center"/>
        </w:trPr>
        <w:tc>
          <w:tcPr>
            <w:tcW w:w="720" w:type="pct"/>
            <w:vMerge w:val="continue"/>
            <w:vAlign w:val="center"/>
          </w:tcPr>
          <w:p w14:paraId="5D19B036">
            <w:pPr>
              <w:pStyle w:val="70"/>
              <w:autoSpaceDE w:val="0"/>
              <w:autoSpaceDN w:val="0"/>
              <w:rPr>
                <w:rFonts w:eastAsiaTheme="minorEastAsia"/>
                <w:color w:val="000000" w:themeColor="text1"/>
                <w:spacing w:val="-10"/>
                <w14:textFill>
                  <w14:solidFill>
                    <w14:schemeClr w14:val="tx1"/>
                  </w14:solidFill>
                </w14:textFill>
              </w:rPr>
            </w:pPr>
          </w:p>
        </w:tc>
        <w:tc>
          <w:tcPr>
            <w:tcW w:w="629" w:type="pct"/>
            <w:vMerge w:val="continue"/>
            <w:vAlign w:val="center"/>
          </w:tcPr>
          <w:p w14:paraId="34932D72">
            <w:pPr>
              <w:pStyle w:val="70"/>
              <w:autoSpaceDE w:val="0"/>
              <w:autoSpaceDN w:val="0"/>
              <w:rPr>
                <w:rFonts w:eastAsiaTheme="minorEastAsia"/>
                <w:color w:val="000000" w:themeColor="text1"/>
                <w:spacing w:val="-10"/>
                <w14:textFill>
                  <w14:solidFill>
                    <w14:schemeClr w14:val="tx1"/>
                  </w14:solidFill>
                </w14:textFill>
              </w:rPr>
            </w:pPr>
          </w:p>
        </w:tc>
        <w:tc>
          <w:tcPr>
            <w:tcW w:w="701" w:type="pct"/>
            <w:vAlign w:val="center"/>
          </w:tcPr>
          <w:p w14:paraId="03628544">
            <w:pPr>
              <w:pStyle w:val="70"/>
              <w:autoSpaceDE w:val="0"/>
              <w:autoSpaceDN w:val="0"/>
              <w:rPr>
                <w:rFonts w:eastAsiaTheme="minorEastAsia"/>
                <w:color w:val="000000" w:themeColor="text1"/>
                <w:spacing w:val="-10"/>
                <w14:textFill>
                  <w14:solidFill>
                    <w14:schemeClr w14:val="tx1"/>
                  </w14:solidFill>
                </w14:textFill>
              </w:rPr>
            </w:pPr>
            <w:r>
              <w:rPr>
                <w:rFonts w:eastAsiaTheme="minorEastAsia"/>
                <w:color w:val="000000" w:themeColor="text1"/>
                <w:spacing w:val="-10"/>
                <w14:textFill>
                  <w14:solidFill>
                    <w14:schemeClr w14:val="tx1"/>
                  </w14:solidFill>
                </w14:textFill>
              </w:rPr>
              <w:t>14:00~15:00</w:t>
            </w:r>
          </w:p>
        </w:tc>
        <w:tc>
          <w:tcPr>
            <w:tcW w:w="982" w:type="pct"/>
            <w:vAlign w:val="center"/>
          </w:tcPr>
          <w:p w14:paraId="1370DB0B">
            <w:pPr>
              <w:pStyle w:val="70"/>
              <w:autoSpaceDE w:val="0"/>
              <w:autoSpaceDN w:val="0"/>
              <w:rPr>
                <w:rFonts w:eastAsiaTheme="minorEastAsia"/>
                <w:color w:val="000000" w:themeColor="text1"/>
                <w:spacing w:val="-10"/>
                <w14:textFill>
                  <w14:solidFill>
                    <w14:schemeClr w14:val="tx1"/>
                  </w14:solidFill>
                </w14:textFill>
              </w:rPr>
            </w:pPr>
          </w:p>
        </w:tc>
        <w:tc>
          <w:tcPr>
            <w:tcW w:w="982" w:type="pct"/>
            <w:vAlign w:val="center"/>
          </w:tcPr>
          <w:p w14:paraId="7FBC5B07">
            <w:pPr>
              <w:pStyle w:val="70"/>
              <w:autoSpaceDE w:val="0"/>
              <w:autoSpaceDN w:val="0"/>
              <w:rPr>
                <w:rFonts w:eastAsiaTheme="minorEastAsia"/>
                <w:color w:val="000000" w:themeColor="text1"/>
                <w:spacing w:val="-10"/>
                <w14:textFill>
                  <w14:solidFill>
                    <w14:schemeClr w14:val="tx1"/>
                  </w14:solidFill>
                </w14:textFill>
              </w:rPr>
            </w:pPr>
          </w:p>
        </w:tc>
        <w:tc>
          <w:tcPr>
            <w:tcW w:w="983" w:type="pct"/>
            <w:vAlign w:val="center"/>
          </w:tcPr>
          <w:p w14:paraId="60F46A8E">
            <w:pPr>
              <w:pStyle w:val="70"/>
              <w:autoSpaceDE w:val="0"/>
              <w:autoSpaceDN w:val="0"/>
              <w:rPr>
                <w:rFonts w:eastAsiaTheme="minorEastAsia"/>
                <w:color w:val="000000" w:themeColor="text1"/>
                <w:spacing w:val="-10"/>
                <w14:textFill>
                  <w14:solidFill>
                    <w14:schemeClr w14:val="tx1"/>
                  </w14:solidFill>
                </w14:textFill>
              </w:rPr>
            </w:pPr>
          </w:p>
        </w:tc>
      </w:tr>
      <w:tr w14:paraId="67ED1E2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3" w:hRule="atLeast"/>
          <w:tblHeader/>
          <w:jc w:val="center"/>
        </w:trPr>
        <w:tc>
          <w:tcPr>
            <w:tcW w:w="720" w:type="pct"/>
            <w:vMerge w:val="continue"/>
            <w:vAlign w:val="center"/>
          </w:tcPr>
          <w:p w14:paraId="4C0F9327">
            <w:pPr>
              <w:pStyle w:val="70"/>
              <w:autoSpaceDE w:val="0"/>
              <w:autoSpaceDN w:val="0"/>
              <w:rPr>
                <w:rFonts w:eastAsiaTheme="minorEastAsia"/>
                <w:color w:val="000000" w:themeColor="text1"/>
                <w:spacing w:val="-10"/>
                <w14:textFill>
                  <w14:solidFill>
                    <w14:schemeClr w14:val="tx1"/>
                  </w14:solidFill>
                </w14:textFill>
              </w:rPr>
            </w:pPr>
          </w:p>
        </w:tc>
        <w:tc>
          <w:tcPr>
            <w:tcW w:w="629" w:type="pct"/>
            <w:vMerge w:val="continue"/>
            <w:vAlign w:val="center"/>
          </w:tcPr>
          <w:p w14:paraId="61074403">
            <w:pPr>
              <w:pStyle w:val="70"/>
              <w:autoSpaceDE w:val="0"/>
              <w:autoSpaceDN w:val="0"/>
              <w:rPr>
                <w:rFonts w:eastAsiaTheme="minorEastAsia"/>
                <w:color w:val="000000" w:themeColor="text1"/>
                <w:spacing w:val="-10"/>
                <w14:textFill>
                  <w14:solidFill>
                    <w14:schemeClr w14:val="tx1"/>
                  </w14:solidFill>
                </w14:textFill>
              </w:rPr>
            </w:pPr>
          </w:p>
        </w:tc>
        <w:tc>
          <w:tcPr>
            <w:tcW w:w="701" w:type="pct"/>
            <w:vAlign w:val="center"/>
          </w:tcPr>
          <w:p w14:paraId="3976F4D9">
            <w:pPr>
              <w:pStyle w:val="70"/>
              <w:autoSpaceDE w:val="0"/>
              <w:autoSpaceDN w:val="0"/>
              <w:rPr>
                <w:rFonts w:eastAsiaTheme="minorEastAsia"/>
                <w:color w:val="000000" w:themeColor="text1"/>
                <w:spacing w:val="-10"/>
                <w14:textFill>
                  <w14:solidFill>
                    <w14:schemeClr w14:val="tx1"/>
                  </w14:solidFill>
                </w14:textFill>
              </w:rPr>
            </w:pPr>
            <w:r>
              <w:rPr>
                <w:rFonts w:eastAsiaTheme="minorEastAsia"/>
                <w:color w:val="000000" w:themeColor="text1"/>
                <w:spacing w:val="-10"/>
                <w14:textFill>
                  <w14:solidFill>
                    <w14:schemeClr w14:val="tx1"/>
                  </w14:solidFill>
                </w14:textFill>
              </w:rPr>
              <w:t>20:00~21:00</w:t>
            </w:r>
          </w:p>
        </w:tc>
        <w:tc>
          <w:tcPr>
            <w:tcW w:w="982" w:type="pct"/>
            <w:vAlign w:val="center"/>
          </w:tcPr>
          <w:p w14:paraId="3EABDA6C">
            <w:pPr>
              <w:pStyle w:val="70"/>
              <w:autoSpaceDE w:val="0"/>
              <w:autoSpaceDN w:val="0"/>
              <w:rPr>
                <w:rFonts w:eastAsiaTheme="minorEastAsia"/>
                <w:color w:val="000000" w:themeColor="text1"/>
                <w:spacing w:val="-10"/>
                <w14:textFill>
                  <w14:solidFill>
                    <w14:schemeClr w14:val="tx1"/>
                  </w14:solidFill>
                </w14:textFill>
              </w:rPr>
            </w:pPr>
          </w:p>
        </w:tc>
        <w:tc>
          <w:tcPr>
            <w:tcW w:w="982" w:type="pct"/>
            <w:vAlign w:val="center"/>
          </w:tcPr>
          <w:p w14:paraId="3721C61D">
            <w:pPr>
              <w:pStyle w:val="70"/>
              <w:autoSpaceDE w:val="0"/>
              <w:autoSpaceDN w:val="0"/>
              <w:rPr>
                <w:rFonts w:eastAsiaTheme="minorEastAsia"/>
                <w:color w:val="000000" w:themeColor="text1"/>
                <w:spacing w:val="-10"/>
                <w14:textFill>
                  <w14:solidFill>
                    <w14:schemeClr w14:val="tx1"/>
                  </w14:solidFill>
                </w14:textFill>
              </w:rPr>
            </w:pPr>
          </w:p>
        </w:tc>
        <w:tc>
          <w:tcPr>
            <w:tcW w:w="983" w:type="pct"/>
            <w:vAlign w:val="center"/>
          </w:tcPr>
          <w:p w14:paraId="347A3009">
            <w:pPr>
              <w:pStyle w:val="70"/>
              <w:autoSpaceDE w:val="0"/>
              <w:autoSpaceDN w:val="0"/>
              <w:rPr>
                <w:rFonts w:eastAsiaTheme="minorEastAsia"/>
                <w:color w:val="000000" w:themeColor="text1"/>
                <w:spacing w:val="-10"/>
                <w14:textFill>
                  <w14:solidFill>
                    <w14:schemeClr w14:val="tx1"/>
                  </w14:solidFill>
                </w14:textFill>
              </w:rPr>
            </w:pPr>
          </w:p>
        </w:tc>
      </w:tr>
      <w:tr w14:paraId="1D0775E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3" w:hRule="atLeast"/>
          <w:tblHeader/>
          <w:jc w:val="center"/>
        </w:trPr>
        <w:tc>
          <w:tcPr>
            <w:tcW w:w="720" w:type="pct"/>
            <w:vMerge w:val="continue"/>
            <w:vAlign w:val="center"/>
          </w:tcPr>
          <w:p w14:paraId="3030ED08">
            <w:pPr>
              <w:pStyle w:val="70"/>
              <w:autoSpaceDE w:val="0"/>
              <w:autoSpaceDN w:val="0"/>
              <w:rPr>
                <w:rFonts w:eastAsiaTheme="minorEastAsia"/>
                <w:color w:val="000000" w:themeColor="text1"/>
                <w:spacing w:val="-10"/>
                <w14:textFill>
                  <w14:solidFill>
                    <w14:schemeClr w14:val="tx1"/>
                  </w14:solidFill>
                </w14:textFill>
              </w:rPr>
            </w:pPr>
          </w:p>
        </w:tc>
        <w:tc>
          <w:tcPr>
            <w:tcW w:w="629" w:type="pct"/>
            <w:vMerge w:val="restart"/>
            <w:vAlign w:val="center"/>
          </w:tcPr>
          <w:p w14:paraId="776C24EC">
            <w:pPr>
              <w:pStyle w:val="70"/>
              <w:autoSpaceDE w:val="0"/>
              <w:autoSpaceDN w:val="0"/>
              <w:rPr>
                <w:rFonts w:eastAsiaTheme="minorEastAsia"/>
                <w:color w:val="000000" w:themeColor="text1"/>
                <w:spacing w:val="-10"/>
                <w14:textFill>
                  <w14:solidFill>
                    <w14:schemeClr w14:val="tx1"/>
                  </w14:solidFill>
                </w14:textFill>
              </w:rPr>
            </w:pPr>
            <w:r>
              <w:rPr>
                <w:rFonts w:hint="eastAsia" w:eastAsiaTheme="minorEastAsia"/>
                <w:color w:val="000000" w:themeColor="text1"/>
                <w:spacing w:val="-10"/>
                <w14:textFill>
                  <w14:solidFill>
                    <w14:schemeClr w14:val="tx1"/>
                  </w14:solidFill>
                </w14:textFill>
              </w:rPr>
              <w:t>2025.12.02</w:t>
            </w:r>
          </w:p>
        </w:tc>
        <w:tc>
          <w:tcPr>
            <w:tcW w:w="701" w:type="pct"/>
            <w:vAlign w:val="center"/>
          </w:tcPr>
          <w:p w14:paraId="039650CE">
            <w:pPr>
              <w:pStyle w:val="70"/>
              <w:autoSpaceDE w:val="0"/>
              <w:autoSpaceDN w:val="0"/>
              <w:rPr>
                <w:rFonts w:eastAsiaTheme="minorEastAsia"/>
                <w:color w:val="000000" w:themeColor="text1"/>
                <w:spacing w:val="-10"/>
                <w14:textFill>
                  <w14:solidFill>
                    <w14:schemeClr w14:val="tx1"/>
                  </w14:solidFill>
                </w14:textFill>
              </w:rPr>
            </w:pPr>
            <w:r>
              <w:rPr>
                <w:rFonts w:eastAsiaTheme="minorEastAsia"/>
                <w:color w:val="000000" w:themeColor="text1"/>
                <w:spacing w:val="-10"/>
                <w14:textFill>
                  <w14:solidFill>
                    <w14:schemeClr w14:val="tx1"/>
                  </w14:solidFill>
                </w14:textFill>
              </w:rPr>
              <w:t>02:00~03:00</w:t>
            </w:r>
          </w:p>
        </w:tc>
        <w:tc>
          <w:tcPr>
            <w:tcW w:w="982" w:type="pct"/>
            <w:vAlign w:val="center"/>
          </w:tcPr>
          <w:p w14:paraId="6D20BF27">
            <w:pPr>
              <w:pStyle w:val="70"/>
              <w:autoSpaceDE w:val="0"/>
              <w:autoSpaceDN w:val="0"/>
              <w:rPr>
                <w:rFonts w:eastAsiaTheme="minorEastAsia"/>
                <w:color w:val="000000" w:themeColor="text1"/>
                <w:spacing w:val="-10"/>
                <w14:textFill>
                  <w14:solidFill>
                    <w14:schemeClr w14:val="tx1"/>
                  </w14:solidFill>
                </w14:textFill>
              </w:rPr>
            </w:pPr>
          </w:p>
        </w:tc>
        <w:tc>
          <w:tcPr>
            <w:tcW w:w="982" w:type="pct"/>
            <w:vAlign w:val="center"/>
          </w:tcPr>
          <w:p w14:paraId="083779A6">
            <w:pPr>
              <w:pStyle w:val="70"/>
              <w:autoSpaceDE w:val="0"/>
              <w:autoSpaceDN w:val="0"/>
              <w:rPr>
                <w:rFonts w:eastAsiaTheme="minorEastAsia"/>
                <w:color w:val="000000" w:themeColor="text1"/>
                <w:spacing w:val="-10"/>
                <w14:textFill>
                  <w14:solidFill>
                    <w14:schemeClr w14:val="tx1"/>
                  </w14:solidFill>
                </w14:textFill>
              </w:rPr>
            </w:pPr>
          </w:p>
        </w:tc>
        <w:tc>
          <w:tcPr>
            <w:tcW w:w="983" w:type="pct"/>
            <w:vAlign w:val="center"/>
          </w:tcPr>
          <w:p w14:paraId="1EEE2DC3">
            <w:pPr>
              <w:pStyle w:val="70"/>
              <w:autoSpaceDE w:val="0"/>
              <w:autoSpaceDN w:val="0"/>
              <w:rPr>
                <w:rFonts w:eastAsiaTheme="minorEastAsia"/>
                <w:color w:val="000000" w:themeColor="text1"/>
                <w:spacing w:val="-10"/>
                <w14:textFill>
                  <w14:solidFill>
                    <w14:schemeClr w14:val="tx1"/>
                  </w14:solidFill>
                </w14:textFill>
              </w:rPr>
            </w:pPr>
          </w:p>
        </w:tc>
      </w:tr>
      <w:tr w14:paraId="5722D04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3" w:hRule="atLeast"/>
          <w:tblHeader/>
          <w:jc w:val="center"/>
        </w:trPr>
        <w:tc>
          <w:tcPr>
            <w:tcW w:w="720" w:type="pct"/>
            <w:vMerge w:val="continue"/>
            <w:vAlign w:val="center"/>
          </w:tcPr>
          <w:p w14:paraId="7BB04AF4">
            <w:pPr>
              <w:pStyle w:val="70"/>
              <w:autoSpaceDE w:val="0"/>
              <w:autoSpaceDN w:val="0"/>
              <w:rPr>
                <w:rFonts w:eastAsiaTheme="minorEastAsia"/>
                <w:color w:val="000000" w:themeColor="text1"/>
                <w:spacing w:val="-10"/>
                <w14:textFill>
                  <w14:solidFill>
                    <w14:schemeClr w14:val="tx1"/>
                  </w14:solidFill>
                </w14:textFill>
              </w:rPr>
            </w:pPr>
          </w:p>
        </w:tc>
        <w:tc>
          <w:tcPr>
            <w:tcW w:w="629" w:type="pct"/>
            <w:vMerge w:val="continue"/>
            <w:vAlign w:val="center"/>
          </w:tcPr>
          <w:p w14:paraId="37789798">
            <w:pPr>
              <w:pStyle w:val="70"/>
              <w:autoSpaceDE w:val="0"/>
              <w:autoSpaceDN w:val="0"/>
              <w:rPr>
                <w:rFonts w:eastAsiaTheme="minorEastAsia"/>
                <w:color w:val="000000" w:themeColor="text1"/>
                <w:spacing w:val="-10"/>
                <w14:textFill>
                  <w14:solidFill>
                    <w14:schemeClr w14:val="tx1"/>
                  </w14:solidFill>
                </w14:textFill>
              </w:rPr>
            </w:pPr>
          </w:p>
        </w:tc>
        <w:tc>
          <w:tcPr>
            <w:tcW w:w="701" w:type="pct"/>
            <w:vAlign w:val="center"/>
          </w:tcPr>
          <w:p w14:paraId="602E3435">
            <w:pPr>
              <w:pStyle w:val="70"/>
              <w:autoSpaceDE w:val="0"/>
              <w:autoSpaceDN w:val="0"/>
              <w:rPr>
                <w:rFonts w:eastAsiaTheme="minorEastAsia"/>
                <w:color w:val="000000" w:themeColor="text1"/>
                <w:spacing w:val="-10"/>
                <w14:textFill>
                  <w14:solidFill>
                    <w14:schemeClr w14:val="tx1"/>
                  </w14:solidFill>
                </w14:textFill>
              </w:rPr>
            </w:pPr>
            <w:r>
              <w:rPr>
                <w:rFonts w:eastAsiaTheme="minorEastAsia"/>
                <w:color w:val="000000" w:themeColor="text1"/>
                <w:spacing w:val="-10"/>
                <w14:textFill>
                  <w14:solidFill>
                    <w14:schemeClr w14:val="tx1"/>
                  </w14:solidFill>
                </w14:textFill>
              </w:rPr>
              <w:t>08:00~09:00</w:t>
            </w:r>
          </w:p>
        </w:tc>
        <w:tc>
          <w:tcPr>
            <w:tcW w:w="982" w:type="pct"/>
            <w:vAlign w:val="center"/>
          </w:tcPr>
          <w:p w14:paraId="5C330B16">
            <w:pPr>
              <w:pStyle w:val="70"/>
              <w:autoSpaceDE w:val="0"/>
              <w:autoSpaceDN w:val="0"/>
              <w:rPr>
                <w:rFonts w:eastAsiaTheme="minorEastAsia"/>
                <w:color w:val="000000" w:themeColor="text1"/>
                <w:spacing w:val="-10"/>
                <w14:textFill>
                  <w14:solidFill>
                    <w14:schemeClr w14:val="tx1"/>
                  </w14:solidFill>
                </w14:textFill>
              </w:rPr>
            </w:pPr>
          </w:p>
        </w:tc>
        <w:tc>
          <w:tcPr>
            <w:tcW w:w="982" w:type="pct"/>
            <w:vAlign w:val="center"/>
          </w:tcPr>
          <w:p w14:paraId="7C20C7AF">
            <w:pPr>
              <w:pStyle w:val="70"/>
              <w:autoSpaceDE w:val="0"/>
              <w:autoSpaceDN w:val="0"/>
              <w:rPr>
                <w:rFonts w:eastAsiaTheme="minorEastAsia"/>
                <w:color w:val="000000" w:themeColor="text1"/>
                <w:spacing w:val="-10"/>
                <w14:textFill>
                  <w14:solidFill>
                    <w14:schemeClr w14:val="tx1"/>
                  </w14:solidFill>
                </w14:textFill>
              </w:rPr>
            </w:pPr>
          </w:p>
        </w:tc>
        <w:tc>
          <w:tcPr>
            <w:tcW w:w="983" w:type="pct"/>
            <w:vAlign w:val="center"/>
          </w:tcPr>
          <w:p w14:paraId="4F0B3F0F">
            <w:pPr>
              <w:pStyle w:val="70"/>
              <w:autoSpaceDE w:val="0"/>
              <w:autoSpaceDN w:val="0"/>
              <w:rPr>
                <w:rFonts w:eastAsiaTheme="minorEastAsia"/>
                <w:color w:val="000000" w:themeColor="text1"/>
                <w:spacing w:val="-10"/>
                <w14:textFill>
                  <w14:solidFill>
                    <w14:schemeClr w14:val="tx1"/>
                  </w14:solidFill>
                </w14:textFill>
              </w:rPr>
            </w:pPr>
          </w:p>
        </w:tc>
      </w:tr>
      <w:tr w14:paraId="255A8B6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3" w:hRule="atLeast"/>
          <w:tblHeader/>
          <w:jc w:val="center"/>
        </w:trPr>
        <w:tc>
          <w:tcPr>
            <w:tcW w:w="720" w:type="pct"/>
            <w:vMerge w:val="continue"/>
            <w:vAlign w:val="center"/>
          </w:tcPr>
          <w:p w14:paraId="284CFDB5">
            <w:pPr>
              <w:pStyle w:val="70"/>
              <w:autoSpaceDE w:val="0"/>
              <w:autoSpaceDN w:val="0"/>
              <w:rPr>
                <w:rFonts w:eastAsiaTheme="minorEastAsia"/>
                <w:color w:val="000000" w:themeColor="text1"/>
                <w:spacing w:val="-10"/>
                <w14:textFill>
                  <w14:solidFill>
                    <w14:schemeClr w14:val="tx1"/>
                  </w14:solidFill>
                </w14:textFill>
              </w:rPr>
            </w:pPr>
          </w:p>
        </w:tc>
        <w:tc>
          <w:tcPr>
            <w:tcW w:w="629" w:type="pct"/>
            <w:vMerge w:val="continue"/>
            <w:vAlign w:val="center"/>
          </w:tcPr>
          <w:p w14:paraId="5B479A5F">
            <w:pPr>
              <w:pStyle w:val="70"/>
              <w:autoSpaceDE w:val="0"/>
              <w:autoSpaceDN w:val="0"/>
              <w:rPr>
                <w:rFonts w:eastAsiaTheme="minorEastAsia"/>
                <w:color w:val="000000" w:themeColor="text1"/>
                <w:spacing w:val="-10"/>
                <w14:textFill>
                  <w14:solidFill>
                    <w14:schemeClr w14:val="tx1"/>
                  </w14:solidFill>
                </w14:textFill>
              </w:rPr>
            </w:pPr>
          </w:p>
        </w:tc>
        <w:tc>
          <w:tcPr>
            <w:tcW w:w="701" w:type="pct"/>
            <w:vAlign w:val="center"/>
          </w:tcPr>
          <w:p w14:paraId="1282E5F4">
            <w:pPr>
              <w:pStyle w:val="70"/>
              <w:autoSpaceDE w:val="0"/>
              <w:autoSpaceDN w:val="0"/>
              <w:rPr>
                <w:rFonts w:eastAsiaTheme="minorEastAsia"/>
                <w:color w:val="000000" w:themeColor="text1"/>
                <w:spacing w:val="-10"/>
                <w14:textFill>
                  <w14:solidFill>
                    <w14:schemeClr w14:val="tx1"/>
                  </w14:solidFill>
                </w14:textFill>
              </w:rPr>
            </w:pPr>
            <w:r>
              <w:rPr>
                <w:rFonts w:eastAsiaTheme="minorEastAsia"/>
                <w:color w:val="000000" w:themeColor="text1"/>
                <w:spacing w:val="-10"/>
                <w14:textFill>
                  <w14:solidFill>
                    <w14:schemeClr w14:val="tx1"/>
                  </w14:solidFill>
                </w14:textFill>
              </w:rPr>
              <w:t>14:00~15:00</w:t>
            </w:r>
          </w:p>
        </w:tc>
        <w:tc>
          <w:tcPr>
            <w:tcW w:w="982" w:type="pct"/>
            <w:vAlign w:val="center"/>
          </w:tcPr>
          <w:p w14:paraId="5BE68A18">
            <w:pPr>
              <w:pStyle w:val="70"/>
              <w:autoSpaceDE w:val="0"/>
              <w:autoSpaceDN w:val="0"/>
              <w:rPr>
                <w:rFonts w:eastAsiaTheme="minorEastAsia"/>
                <w:color w:val="000000" w:themeColor="text1"/>
                <w:spacing w:val="-10"/>
                <w14:textFill>
                  <w14:solidFill>
                    <w14:schemeClr w14:val="tx1"/>
                  </w14:solidFill>
                </w14:textFill>
              </w:rPr>
            </w:pPr>
          </w:p>
        </w:tc>
        <w:tc>
          <w:tcPr>
            <w:tcW w:w="982" w:type="pct"/>
            <w:vAlign w:val="center"/>
          </w:tcPr>
          <w:p w14:paraId="5C27988F">
            <w:pPr>
              <w:pStyle w:val="70"/>
              <w:autoSpaceDE w:val="0"/>
              <w:autoSpaceDN w:val="0"/>
              <w:rPr>
                <w:rFonts w:eastAsiaTheme="minorEastAsia"/>
                <w:color w:val="000000" w:themeColor="text1"/>
                <w:spacing w:val="-10"/>
                <w14:textFill>
                  <w14:solidFill>
                    <w14:schemeClr w14:val="tx1"/>
                  </w14:solidFill>
                </w14:textFill>
              </w:rPr>
            </w:pPr>
          </w:p>
        </w:tc>
        <w:tc>
          <w:tcPr>
            <w:tcW w:w="983" w:type="pct"/>
            <w:vAlign w:val="center"/>
          </w:tcPr>
          <w:p w14:paraId="009DC8BA">
            <w:pPr>
              <w:pStyle w:val="70"/>
              <w:autoSpaceDE w:val="0"/>
              <w:autoSpaceDN w:val="0"/>
              <w:rPr>
                <w:rFonts w:eastAsiaTheme="minorEastAsia"/>
                <w:color w:val="000000" w:themeColor="text1"/>
                <w:spacing w:val="-10"/>
                <w14:textFill>
                  <w14:solidFill>
                    <w14:schemeClr w14:val="tx1"/>
                  </w14:solidFill>
                </w14:textFill>
              </w:rPr>
            </w:pPr>
          </w:p>
        </w:tc>
      </w:tr>
      <w:tr w14:paraId="3BE6A54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3" w:hRule="atLeast"/>
          <w:tblHeader/>
          <w:jc w:val="center"/>
        </w:trPr>
        <w:tc>
          <w:tcPr>
            <w:tcW w:w="720" w:type="pct"/>
            <w:vMerge w:val="continue"/>
            <w:vAlign w:val="center"/>
          </w:tcPr>
          <w:p w14:paraId="0EBC8482">
            <w:pPr>
              <w:pStyle w:val="70"/>
              <w:autoSpaceDE w:val="0"/>
              <w:autoSpaceDN w:val="0"/>
              <w:rPr>
                <w:rFonts w:eastAsiaTheme="minorEastAsia"/>
                <w:color w:val="000000" w:themeColor="text1"/>
                <w:spacing w:val="-10"/>
                <w14:textFill>
                  <w14:solidFill>
                    <w14:schemeClr w14:val="tx1"/>
                  </w14:solidFill>
                </w14:textFill>
              </w:rPr>
            </w:pPr>
          </w:p>
        </w:tc>
        <w:tc>
          <w:tcPr>
            <w:tcW w:w="629" w:type="pct"/>
            <w:vMerge w:val="continue"/>
            <w:vAlign w:val="center"/>
          </w:tcPr>
          <w:p w14:paraId="1685BB6C">
            <w:pPr>
              <w:pStyle w:val="70"/>
              <w:autoSpaceDE w:val="0"/>
              <w:autoSpaceDN w:val="0"/>
              <w:rPr>
                <w:rFonts w:eastAsiaTheme="minorEastAsia"/>
                <w:color w:val="000000" w:themeColor="text1"/>
                <w:spacing w:val="-10"/>
                <w14:textFill>
                  <w14:solidFill>
                    <w14:schemeClr w14:val="tx1"/>
                  </w14:solidFill>
                </w14:textFill>
              </w:rPr>
            </w:pPr>
          </w:p>
        </w:tc>
        <w:tc>
          <w:tcPr>
            <w:tcW w:w="701" w:type="pct"/>
            <w:vAlign w:val="center"/>
          </w:tcPr>
          <w:p w14:paraId="6BD59759">
            <w:pPr>
              <w:pStyle w:val="70"/>
              <w:autoSpaceDE w:val="0"/>
              <w:autoSpaceDN w:val="0"/>
              <w:rPr>
                <w:rFonts w:eastAsiaTheme="minorEastAsia"/>
                <w:color w:val="000000" w:themeColor="text1"/>
                <w:spacing w:val="-10"/>
                <w14:textFill>
                  <w14:solidFill>
                    <w14:schemeClr w14:val="tx1"/>
                  </w14:solidFill>
                </w14:textFill>
              </w:rPr>
            </w:pPr>
            <w:r>
              <w:rPr>
                <w:rFonts w:eastAsiaTheme="minorEastAsia"/>
                <w:color w:val="000000" w:themeColor="text1"/>
                <w:spacing w:val="-10"/>
                <w14:textFill>
                  <w14:solidFill>
                    <w14:schemeClr w14:val="tx1"/>
                  </w14:solidFill>
                </w14:textFill>
              </w:rPr>
              <w:t>20:00~21:00</w:t>
            </w:r>
          </w:p>
        </w:tc>
        <w:tc>
          <w:tcPr>
            <w:tcW w:w="982" w:type="pct"/>
            <w:vAlign w:val="center"/>
          </w:tcPr>
          <w:p w14:paraId="70955EA1">
            <w:pPr>
              <w:pStyle w:val="70"/>
              <w:autoSpaceDE w:val="0"/>
              <w:autoSpaceDN w:val="0"/>
              <w:rPr>
                <w:rFonts w:eastAsiaTheme="minorEastAsia"/>
                <w:color w:val="000000" w:themeColor="text1"/>
                <w:spacing w:val="-10"/>
                <w14:textFill>
                  <w14:solidFill>
                    <w14:schemeClr w14:val="tx1"/>
                  </w14:solidFill>
                </w14:textFill>
              </w:rPr>
            </w:pPr>
          </w:p>
        </w:tc>
        <w:tc>
          <w:tcPr>
            <w:tcW w:w="982" w:type="pct"/>
            <w:vAlign w:val="center"/>
          </w:tcPr>
          <w:p w14:paraId="4859CDC7">
            <w:pPr>
              <w:pStyle w:val="70"/>
              <w:autoSpaceDE w:val="0"/>
              <w:autoSpaceDN w:val="0"/>
              <w:rPr>
                <w:rFonts w:eastAsiaTheme="minorEastAsia"/>
                <w:color w:val="000000" w:themeColor="text1"/>
                <w:spacing w:val="-10"/>
                <w14:textFill>
                  <w14:solidFill>
                    <w14:schemeClr w14:val="tx1"/>
                  </w14:solidFill>
                </w14:textFill>
              </w:rPr>
            </w:pPr>
          </w:p>
        </w:tc>
        <w:tc>
          <w:tcPr>
            <w:tcW w:w="983" w:type="pct"/>
            <w:vAlign w:val="center"/>
          </w:tcPr>
          <w:p w14:paraId="471F9CCB">
            <w:pPr>
              <w:pStyle w:val="70"/>
              <w:autoSpaceDE w:val="0"/>
              <w:autoSpaceDN w:val="0"/>
              <w:rPr>
                <w:rFonts w:eastAsiaTheme="minorEastAsia"/>
                <w:color w:val="000000" w:themeColor="text1"/>
                <w:spacing w:val="-10"/>
                <w14:textFill>
                  <w14:solidFill>
                    <w14:schemeClr w14:val="tx1"/>
                  </w14:solidFill>
                </w14:textFill>
              </w:rPr>
            </w:pPr>
          </w:p>
        </w:tc>
      </w:tr>
      <w:tr w14:paraId="6BB9FF3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3" w:hRule="atLeast"/>
          <w:tblHeader/>
          <w:jc w:val="center"/>
        </w:trPr>
        <w:tc>
          <w:tcPr>
            <w:tcW w:w="720" w:type="pct"/>
            <w:vMerge w:val="continue"/>
            <w:vAlign w:val="center"/>
          </w:tcPr>
          <w:p w14:paraId="5A8A08BC">
            <w:pPr>
              <w:pStyle w:val="70"/>
              <w:autoSpaceDE w:val="0"/>
              <w:autoSpaceDN w:val="0"/>
              <w:rPr>
                <w:rFonts w:eastAsiaTheme="minorEastAsia"/>
                <w:color w:val="000000" w:themeColor="text1"/>
                <w:spacing w:val="-10"/>
                <w14:textFill>
                  <w14:solidFill>
                    <w14:schemeClr w14:val="tx1"/>
                  </w14:solidFill>
                </w14:textFill>
              </w:rPr>
            </w:pPr>
          </w:p>
        </w:tc>
        <w:tc>
          <w:tcPr>
            <w:tcW w:w="629" w:type="pct"/>
            <w:vMerge w:val="restart"/>
            <w:vAlign w:val="center"/>
          </w:tcPr>
          <w:p w14:paraId="2A59EED0">
            <w:pPr>
              <w:pStyle w:val="70"/>
              <w:autoSpaceDE w:val="0"/>
              <w:autoSpaceDN w:val="0"/>
              <w:rPr>
                <w:rFonts w:eastAsiaTheme="minorEastAsia"/>
                <w:color w:val="000000" w:themeColor="text1"/>
                <w:spacing w:val="-10"/>
                <w14:textFill>
                  <w14:solidFill>
                    <w14:schemeClr w14:val="tx1"/>
                  </w14:solidFill>
                </w14:textFill>
              </w:rPr>
            </w:pPr>
            <w:r>
              <w:rPr>
                <w:rFonts w:hint="eastAsia" w:eastAsiaTheme="minorEastAsia"/>
                <w:color w:val="000000" w:themeColor="text1"/>
                <w:spacing w:val="-10"/>
                <w14:textFill>
                  <w14:solidFill>
                    <w14:schemeClr w14:val="tx1"/>
                  </w14:solidFill>
                </w14:textFill>
              </w:rPr>
              <w:t>2025.12.03</w:t>
            </w:r>
          </w:p>
        </w:tc>
        <w:tc>
          <w:tcPr>
            <w:tcW w:w="701" w:type="pct"/>
            <w:shd w:val="clear" w:color="auto" w:fill="auto"/>
            <w:vAlign w:val="center"/>
          </w:tcPr>
          <w:p w14:paraId="0BD23474">
            <w:pPr>
              <w:pStyle w:val="70"/>
              <w:autoSpaceDE w:val="0"/>
              <w:autoSpaceDN w:val="0"/>
              <w:rPr>
                <w:rFonts w:eastAsiaTheme="minorEastAsia"/>
                <w:color w:val="000000" w:themeColor="text1"/>
                <w:spacing w:val="-10"/>
                <w14:textFill>
                  <w14:solidFill>
                    <w14:schemeClr w14:val="tx1"/>
                  </w14:solidFill>
                </w14:textFill>
              </w:rPr>
            </w:pPr>
            <w:r>
              <w:rPr>
                <w:rFonts w:eastAsiaTheme="minorEastAsia"/>
                <w:color w:val="000000" w:themeColor="text1"/>
                <w:spacing w:val="-10"/>
                <w14:textFill>
                  <w14:solidFill>
                    <w14:schemeClr w14:val="tx1"/>
                  </w14:solidFill>
                </w14:textFill>
              </w:rPr>
              <w:t>02:00~03:00</w:t>
            </w:r>
          </w:p>
        </w:tc>
        <w:tc>
          <w:tcPr>
            <w:tcW w:w="982" w:type="pct"/>
            <w:vAlign w:val="center"/>
          </w:tcPr>
          <w:p w14:paraId="48378071">
            <w:pPr>
              <w:pStyle w:val="70"/>
              <w:autoSpaceDE w:val="0"/>
              <w:autoSpaceDN w:val="0"/>
              <w:rPr>
                <w:rFonts w:eastAsiaTheme="minorEastAsia"/>
                <w:color w:val="000000" w:themeColor="text1"/>
                <w:spacing w:val="-10"/>
                <w14:textFill>
                  <w14:solidFill>
                    <w14:schemeClr w14:val="tx1"/>
                  </w14:solidFill>
                </w14:textFill>
              </w:rPr>
            </w:pPr>
          </w:p>
        </w:tc>
        <w:tc>
          <w:tcPr>
            <w:tcW w:w="982" w:type="pct"/>
            <w:vAlign w:val="center"/>
          </w:tcPr>
          <w:p w14:paraId="16CE7CDF">
            <w:pPr>
              <w:pStyle w:val="70"/>
              <w:autoSpaceDE w:val="0"/>
              <w:autoSpaceDN w:val="0"/>
              <w:rPr>
                <w:rFonts w:eastAsiaTheme="minorEastAsia"/>
                <w:color w:val="000000" w:themeColor="text1"/>
                <w:spacing w:val="-10"/>
                <w14:textFill>
                  <w14:solidFill>
                    <w14:schemeClr w14:val="tx1"/>
                  </w14:solidFill>
                </w14:textFill>
              </w:rPr>
            </w:pPr>
          </w:p>
        </w:tc>
        <w:tc>
          <w:tcPr>
            <w:tcW w:w="983" w:type="pct"/>
            <w:vAlign w:val="center"/>
          </w:tcPr>
          <w:p w14:paraId="5C65468F">
            <w:pPr>
              <w:pStyle w:val="70"/>
              <w:autoSpaceDE w:val="0"/>
              <w:autoSpaceDN w:val="0"/>
              <w:rPr>
                <w:rFonts w:eastAsiaTheme="minorEastAsia"/>
                <w:color w:val="000000" w:themeColor="text1"/>
                <w:spacing w:val="-10"/>
                <w14:textFill>
                  <w14:solidFill>
                    <w14:schemeClr w14:val="tx1"/>
                  </w14:solidFill>
                </w14:textFill>
              </w:rPr>
            </w:pPr>
          </w:p>
        </w:tc>
      </w:tr>
      <w:tr w14:paraId="16F89CF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3" w:hRule="atLeast"/>
          <w:tblHeader/>
          <w:jc w:val="center"/>
        </w:trPr>
        <w:tc>
          <w:tcPr>
            <w:tcW w:w="720" w:type="pct"/>
            <w:vMerge w:val="continue"/>
            <w:vAlign w:val="center"/>
          </w:tcPr>
          <w:p w14:paraId="25C98435">
            <w:pPr>
              <w:pStyle w:val="70"/>
              <w:autoSpaceDE w:val="0"/>
              <w:autoSpaceDN w:val="0"/>
              <w:rPr>
                <w:rFonts w:eastAsiaTheme="minorEastAsia"/>
                <w:color w:val="000000" w:themeColor="text1"/>
                <w:spacing w:val="-10"/>
                <w14:textFill>
                  <w14:solidFill>
                    <w14:schemeClr w14:val="tx1"/>
                  </w14:solidFill>
                </w14:textFill>
              </w:rPr>
            </w:pPr>
          </w:p>
        </w:tc>
        <w:tc>
          <w:tcPr>
            <w:tcW w:w="629" w:type="pct"/>
            <w:vMerge w:val="continue"/>
            <w:vAlign w:val="center"/>
          </w:tcPr>
          <w:p w14:paraId="69C556F5">
            <w:pPr>
              <w:pStyle w:val="70"/>
              <w:autoSpaceDE w:val="0"/>
              <w:autoSpaceDN w:val="0"/>
              <w:rPr>
                <w:rFonts w:eastAsiaTheme="minorEastAsia"/>
                <w:color w:val="000000" w:themeColor="text1"/>
                <w:spacing w:val="-10"/>
                <w14:textFill>
                  <w14:solidFill>
                    <w14:schemeClr w14:val="tx1"/>
                  </w14:solidFill>
                </w14:textFill>
              </w:rPr>
            </w:pPr>
          </w:p>
        </w:tc>
        <w:tc>
          <w:tcPr>
            <w:tcW w:w="701" w:type="pct"/>
            <w:shd w:val="clear" w:color="auto" w:fill="auto"/>
            <w:vAlign w:val="center"/>
          </w:tcPr>
          <w:p w14:paraId="02214227">
            <w:pPr>
              <w:pStyle w:val="70"/>
              <w:autoSpaceDE w:val="0"/>
              <w:autoSpaceDN w:val="0"/>
              <w:rPr>
                <w:rFonts w:eastAsiaTheme="minorEastAsia"/>
                <w:color w:val="000000" w:themeColor="text1"/>
                <w:spacing w:val="-10"/>
                <w14:textFill>
                  <w14:solidFill>
                    <w14:schemeClr w14:val="tx1"/>
                  </w14:solidFill>
                </w14:textFill>
              </w:rPr>
            </w:pPr>
            <w:r>
              <w:rPr>
                <w:rFonts w:eastAsiaTheme="minorEastAsia"/>
                <w:color w:val="000000" w:themeColor="text1"/>
                <w:spacing w:val="-10"/>
                <w14:textFill>
                  <w14:solidFill>
                    <w14:schemeClr w14:val="tx1"/>
                  </w14:solidFill>
                </w14:textFill>
              </w:rPr>
              <w:t>08:00~09:00</w:t>
            </w:r>
          </w:p>
        </w:tc>
        <w:tc>
          <w:tcPr>
            <w:tcW w:w="982" w:type="pct"/>
            <w:vAlign w:val="center"/>
          </w:tcPr>
          <w:p w14:paraId="34F1CCA1">
            <w:pPr>
              <w:pStyle w:val="70"/>
              <w:autoSpaceDE w:val="0"/>
              <w:autoSpaceDN w:val="0"/>
              <w:rPr>
                <w:rFonts w:eastAsiaTheme="minorEastAsia"/>
                <w:color w:val="000000" w:themeColor="text1"/>
                <w:spacing w:val="-10"/>
                <w14:textFill>
                  <w14:solidFill>
                    <w14:schemeClr w14:val="tx1"/>
                  </w14:solidFill>
                </w14:textFill>
              </w:rPr>
            </w:pPr>
          </w:p>
        </w:tc>
        <w:tc>
          <w:tcPr>
            <w:tcW w:w="982" w:type="pct"/>
            <w:vAlign w:val="center"/>
          </w:tcPr>
          <w:p w14:paraId="68179907">
            <w:pPr>
              <w:pStyle w:val="70"/>
              <w:autoSpaceDE w:val="0"/>
              <w:autoSpaceDN w:val="0"/>
              <w:rPr>
                <w:rFonts w:eastAsiaTheme="minorEastAsia"/>
                <w:color w:val="000000" w:themeColor="text1"/>
                <w:spacing w:val="-10"/>
                <w14:textFill>
                  <w14:solidFill>
                    <w14:schemeClr w14:val="tx1"/>
                  </w14:solidFill>
                </w14:textFill>
              </w:rPr>
            </w:pPr>
          </w:p>
        </w:tc>
        <w:tc>
          <w:tcPr>
            <w:tcW w:w="983" w:type="pct"/>
            <w:vAlign w:val="center"/>
          </w:tcPr>
          <w:p w14:paraId="34E282D6">
            <w:pPr>
              <w:pStyle w:val="70"/>
              <w:autoSpaceDE w:val="0"/>
              <w:autoSpaceDN w:val="0"/>
              <w:rPr>
                <w:rFonts w:eastAsiaTheme="minorEastAsia"/>
                <w:color w:val="000000" w:themeColor="text1"/>
                <w:spacing w:val="-10"/>
                <w14:textFill>
                  <w14:solidFill>
                    <w14:schemeClr w14:val="tx1"/>
                  </w14:solidFill>
                </w14:textFill>
              </w:rPr>
            </w:pPr>
          </w:p>
        </w:tc>
      </w:tr>
      <w:tr w14:paraId="53AD46F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3" w:hRule="atLeast"/>
          <w:tblHeader/>
          <w:jc w:val="center"/>
        </w:trPr>
        <w:tc>
          <w:tcPr>
            <w:tcW w:w="720" w:type="pct"/>
            <w:vMerge w:val="continue"/>
            <w:vAlign w:val="center"/>
          </w:tcPr>
          <w:p w14:paraId="07431778">
            <w:pPr>
              <w:pStyle w:val="70"/>
              <w:autoSpaceDE w:val="0"/>
              <w:autoSpaceDN w:val="0"/>
              <w:rPr>
                <w:rFonts w:eastAsiaTheme="minorEastAsia"/>
                <w:color w:val="000000" w:themeColor="text1"/>
                <w:spacing w:val="-10"/>
                <w14:textFill>
                  <w14:solidFill>
                    <w14:schemeClr w14:val="tx1"/>
                  </w14:solidFill>
                </w14:textFill>
              </w:rPr>
            </w:pPr>
          </w:p>
        </w:tc>
        <w:tc>
          <w:tcPr>
            <w:tcW w:w="629" w:type="pct"/>
            <w:vMerge w:val="continue"/>
            <w:vAlign w:val="center"/>
          </w:tcPr>
          <w:p w14:paraId="3E3E92D8">
            <w:pPr>
              <w:pStyle w:val="70"/>
              <w:autoSpaceDE w:val="0"/>
              <w:autoSpaceDN w:val="0"/>
              <w:rPr>
                <w:rFonts w:eastAsiaTheme="minorEastAsia"/>
                <w:color w:val="000000" w:themeColor="text1"/>
                <w:spacing w:val="-10"/>
                <w14:textFill>
                  <w14:solidFill>
                    <w14:schemeClr w14:val="tx1"/>
                  </w14:solidFill>
                </w14:textFill>
              </w:rPr>
            </w:pPr>
          </w:p>
        </w:tc>
        <w:tc>
          <w:tcPr>
            <w:tcW w:w="701" w:type="pct"/>
            <w:shd w:val="clear" w:color="auto" w:fill="auto"/>
            <w:vAlign w:val="center"/>
          </w:tcPr>
          <w:p w14:paraId="1CB1CA8F">
            <w:pPr>
              <w:pStyle w:val="70"/>
              <w:autoSpaceDE w:val="0"/>
              <w:autoSpaceDN w:val="0"/>
              <w:rPr>
                <w:rFonts w:eastAsiaTheme="minorEastAsia"/>
                <w:color w:val="000000" w:themeColor="text1"/>
                <w:spacing w:val="-10"/>
                <w14:textFill>
                  <w14:solidFill>
                    <w14:schemeClr w14:val="tx1"/>
                  </w14:solidFill>
                </w14:textFill>
              </w:rPr>
            </w:pPr>
            <w:r>
              <w:rPr>
                <w:rFonts w:eastAsiaTheme="minorEastAsia"/>
                <w:color w:val="000000" w:themeColor="text1"/>
                <w:spacing w:val="-10"/>
                <w14:textFill>
                  <w14:solidFill>
                    <w14:schemeClr w14:val="tx1"/>
                  </w14:solidFill>
                </w14:textFill>
              </w:rPr>
              <w:t>14:00~15:00</w:t>
            </w:r>
          </w:p>
        </w:tc>
        <w:tc>
          <w:tcPr>
            <w:tcW w:w="982" w:type="pct"/>
            <w:vAlign w:val="center"/>
          </w:tcPr>
          <w:p w14:paraId="03FF2A96">
            <w:pPr>
              <w:pStyle w:val="70"/>
              <w:autoSpaceDE w:val="0"/>
              <w:autoSpaceDN w:val="0"/>
              <w:rPr>
                <w:rFonts w:eastAsiaTheme="minorEastAsia"/>
                <w:color w:val="000000" w:themeColor="text1"/>
                <w:spacing w:val="-10"/>
                <w14:textFill>
                  <w14:solidFill>
                    <w14:schemeClr w14:val="tx1"/>
                  </w14:solidFill>
                </w14:textFill>
              </w:rPr>
            </w:pPr>
          </w:p>
        </w:tc>
        <w:tc>
          <w:tcPr>
            <w:tcW w:w="982" w:type="pct"/>
            <w:vAlign w:val="center"/>
          </w:tcPr>
          <w:p w14:paraId="269ECF78">
            <w:pPr>
              <w:pStyle w:val="70"/>
              <w:autoSpaceDE w:val="0"/>
              <w:autoSpaceDN w:val="0"/>
              <w:rPr>
                <w:rFonts w:eastAsiaTheme="minorEastAsia"/>
                <w:color w:val="000000" w:themeColor="text1"/>
                <w:spacing w:val="-10"/>
                <w14:textFill>
                  <w14:solidFill>
                    <w14:schemeClr w14:val="tx1"/>
                  </w14:solidFill>
                </w14:textFill>
              </w:rPr>
            </w:pPr>
          </w:p>
        </w:tc>
        <w:tc>
          <w:tcPr>
            <w:tcW w:w="983" w:type="pct"/>
            <w:vAlign w:val="center"/>
          </w:tcPr>
          <w:p w14:paraId="1F0DA94A">
            <w:pPr>
              <w:pStyle w:val="70"/>
              <w:autoSpaceDE w:val="0"/>
              <w:autoSpaceDN w:val="0"/>
              <w:rPr>
                <w:rFonts w:eastAsiaTheme="minorEastAsia"/>
                <w:color w:val="000000" w:themeColor="text1"/>
                <w:spacing w:val="-10"/>
                <w14:textFill>
                  <w14:solidFill>
                    <w14:schemeClr w14:val="tx1"/>
                  </w14:solidFill>
                </w14:textFill>
              </w:rPr>
            </w:pPr>
          </w:p>
        </w:tc>
      </w:tr>
      <w:tr w14:paraId="4586AAA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3" w:hRule="atLeast"/>
          <w:tblHeader/>
          <w:jc w:val="center"/>
        </w:trPr>
        <w:tc>
          <w:tcPr>
            <w:tcW w:w="720" w:type="pct"/>
            <w:vMerge w:val="continue"/>
            <w:vAlign w:val="center"/>
          </w:tcPr>
          <w:p w14:paraId="68F10C77">
            <w:pPr>
              <w:pStyle w:val="70"/>
              <w:autoSpaceDE w:val="0"/>
              <w:autoSpaceDN w:val="0"/>
              <w:rPr>
                <w:rFonts w:eastAsiaTheme="minorEastAsia"/>
                <w:color w:val="000000" w:themeColor="text1"/>
                <w:spacing w:val="-10"/>
                <w14:textFill>
                  <w14:solidFill>
                    <w14:schemeClr w14:val="tx1"/>
                  </w14:solidFill>
                </w14:textFill>
              </w:rPr>
            </w:pPr>
          </w:p>
        </w:tc>
        <w:tc>
          <w:tcPr>
            <w:tcW w:w="629" w:type="pct"/>
            <w:vMerge w:val="continue"/>
            <w:vAlign w:val="center"/>
          </w:tcPr>
          <w:p w14:paraId="1C95ADFA">
            <w:pPr>
              <w:pStyle w:val="70"/>
              <w:autoSpaceDE w:val="0"/>
              <w:autoSpaceDN w:val="0"/>
              <w:rPr>
                <w:rFonts w:eastAsiaTheme="minorEastAsia"/>
                <w:color w:val="000000" w:themeColor="text1"/>
                <w:spacing w:val="-10"/>
                <w14:textFill>
                  <w14:solidFill>
                    <w14:schemeClr w14:val="tx1"/>
                  </w14:solidFill>
                </w14:textFill>
              </w:rPr>
            </w:pPr>
          </w:p>
        </w:tc>
        <w:tc>
          <w:tcPr>
            <w:tcW w:w="701" w:type="pct"/>
            <w:shd w:val="clear" w:color="auto" w:fill="auto"/>
            <w:vAlign w:val="center"/>
          </w:tcPr>
          <w:p w14:paraId="37EC6B05">
            <w:pPr>
              <w:pStyle w:val="70"/>
              <w:autoSpaceDE w:val="0"/>
              <w:autoSpaceDN w:val="0"/>
              <w:rPr>
                <w:rFonts w:eastAsiaTheme="minorEastAsia"/>
                <w:color w:val="000000" w:themeColor="text1"/>
                <w:spacing w:val="-10"/>
                <w14:textFill>
                  <w14:solidFill>
                    <w14:schemeClr w14:val="tx1"/>
                  </w14:solidFill>
                </w14:textFill>
              </w:rPr>
            </w:pPr>
            <w:r>
              <w:rPr>
                <w:rFonts w:eastAsiaTheme="minorEastAsia"/>
                <w:color w:val="000000" w:themeColor="text1"/>
                <w:spacing w:val="-10"/>
                <w14:textFill>
                  <w14:solidFill>
                    <w14:schemeClr w14:val="tx1"/>
                  </w14:solidFill>
                </w14:textFill>
              </w:rPr>
              <w:t>20:00~21:00</w:t>
            </w:r>
          </w:p>
        </w:tc>
        <w:tc>
          <w:tcPr>
            <w:tcW w:w="982" w:type="pct"/>
            <w:vAlign w:val="center"/>
          </w:tcPr>
          <w:p w14:paraId="76599DCB">
            <w:pPr>
              <w:pStyle w:val="70"/>
              <w:autoSpaceDE w:val="0"/>
              <w:autoSpaceDN w:val="0"/>
              <w:rPr>
                <w:rFonts w:eastAsiaTheme="minorEastAsia"/>
                <w:color w:val="000000" w:themeColor="text1"/>
                <w:spacing w:val="-10"/>
                <w14:textFill>
                  <w14:solidFill>
                    <w14:schemeClr w14:val="tx1"/>
                  </w14:solidFill>
                </w14:textFill>
              </w:rPr>
            </w:pPr>
          </w:p>
        </w:tc>
        <w:tc>
          <w:tcPr>
            <w:tcW w:w="982" w:type="pct"/>
            <w:vAlign w:val="center"/>
          </w:tcPr>
          <w:p w14:paraId="3484D0AA">
            <w:pPr>
              <w:pStyle w:val="70"/>
              <w:autoSpaceDE w:val="0"/>
              <w:autoSpaceDN w:val="0"/>
              <w:rPr>
                <w:rFonts w:eastAsiaTheme="minorEastAsia"/>
                <w:color w:val="000000" w:themeColor="text1"/>
                <w:spacing w:val="-10"/>
                <w14:textFill>
                  <w14:solidFill>
                    <w14:schemeClr w14:val="tx1"/>
                  </w14:solidFill>
                </w14:textFill>
              </w:rPr>
            </w:pPr>
          </w:p>
        </w:tc>
        <w:tc>
          <w:tcPr>
            <w:tcW w:w="983" w:type="pct"/>
            <w:vAlign w:val="center"/>
          </w:tcPr>
          <w:p w14:paraId="104D4825">
            <w:pPr>
              <w:pStyle w:val="70"/>
              <w:autoSpaceDE w:val="0"/>
              <w:autoSpaceDN w:val="0"/>
              <w:rPr>
                <w:rFonts w:eastAsiaTheme="minorEastAsia"/>
                <w:color w:val="000000" w:themeColor="text1"/>
                <w:spacing w:val="-10"/>
                <w14:textFill>
                  <w14:solidFill>
                    <w14:schemeClr w14:val="tx1"/>
                  </w14:solidFill>
                </w14:textFill>
              </w:rPr>
            </w:pPr>
          </w:p>
        </w:tc>
      </w:tr>
      <w:tr w14:paraId="5279B15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3" w:hRule="atLeast"/>
          <w:tblHeader/>
          <w:jc w:val="center"/>
        </w:trPr>
        <w:tc>
          <w:tcPr>
            <w:tcW w:w="1" w:type="pct"/>
            <w:gridSpan w:val="3"/>
            <w:vAlign w:val="center"/>
          </w:tcPr>
          <w:p w14:paraId="19363DFA">
            <w:pPr>
              <w:pStyle w:val="70"/>
              <w:autoSpaceDE w:val="0"/>
              <w:autoSpaceDN w:val="0"/>
              <w:rPr>
                <w:rFonts w:eastAsiaTheme="minorEastAsia"/>
                <w:color w:val="000000" w:themeColor="text1"/>
                <w:spacing w:val="-10"/>
                <w14:textFill>
                  <w14:solidFill>
                    <w14:schemeClr w14:val="tx1"/>
                  </w14:solidFill>
                </w14:textFill>
              </w:rPr>
            </w:pPr>
            <w:r>
              <w:rPr>
                <w:rFonts w:eastAsiaTheme="minorEastAsia"/>
                <w:color w:val="000000" w:themeColor="text1"/>
                <w:spacing w:val="-10"/>
                <w14:textFill>
                  <w14:solidFill>
                    <w14:schemeClr w14:val="tx1"/>
                  </w14:solidFill>
                </w14:textFill>
              </w:rPr>
              <w:t>标准值</w:t>
            </w:r>
            <w:r>
              <w:rPr>
                <w:rFonts w:hint="eastAsia" w:eastAsiaTheme="minorEastAsia"/>
                <w:color w:val="000000" w:themeColor="text1"/>
                <w:spacing w:val="-10"/>
                <w14:textFill>
                  <w14:solidFill>
                    <w14:schemeClr w14:val="tx1"/>
                  </w14:solidFill>
                </w14:textFill>
              </w:rPr>
              <w:t>μ</w:t>
            </w:r>
            <w:r>
              <w:rPr>
                <w:rFonts w:eastAsiaTheme="minorEastAsia"/>
                <w:color w:val="000000" w:themeColor="text1"/>
                <w:spacing w:val="-10"/>
                <w14:textFill>
                  <w14:solidFill>
                    <w14:schemeClr w14:val="tx1"/>
                  </w14:solidFill>
                </w14:textFill>
              </w:rPr>
              <w:t>g/m</w:t>
            </w:r>
            <w:r>
              <w:rPr>
                <w:rFonts w:eastAsiaTheme="minorEastAsia"/>
                <w:color w:val="000000" w:themeColor="text1"/>
                <w:spacing w:val="-10"/>
                <w:vertAlign w:val="superscript"/>
                <w14:textFill>
                  <w14:solidFill>
                    <w14:schemeClr w14:val="tx1"/>
                  </w14:solidFill>
                </w14:textFill>
              </w:rPr>
              <w:t>3</w:t>
            </w:r>
          </w:p>
        </w:tc>
        <w:tc>
          <w:tcPr>
            <w:tcW w:w="982" w:type="pct"/>
            <w:vAlign w:val="center"/>
          </w:tcPr>
          <w:p w14:paraId="2166D33F">
            <w:pPr>
              <w:pStyle w:val="70"/>
              <w:autoSpaceDE w:val="0"/>
              <w:autoSpaceDN w:val="0"/>
              <w:rPr>
                <w:rFonts w:eastAsiaTheme="minorEastAsia"/>
                <w:color w:val="000000" w:themeColor="text1"/>
                <w:spacing w:val="-10"/>
                <w14:textFill>
                  <w14:solidFill>
                    <w14:schemeClr w14:val="tx1"/>
                  </w14:solidFill>
                </w14:textFill>
              </w:rPr>
            </w:pPr>
          </w:p>
        </w:tc>
        <w:tc>
          <w:tcPr>
            <w:tcW w:w="982" w:type="pct"/>
            <w:vAlign w:val="center"/>
          </w:tcPr>
          <w:p w14:paraId="2CE35A7C">
            <w:pPr>
              <w:pStyle w:val="70"/>
              <w:autoSpaceDE w:val="0"/>
              <w:autoSpaceDN w:val="0"/>
              <w:rPr>
                <w:rFonts w:eastAsiaTheme="minorEastAsia"/>
                <w:color w:val="000000" w:themeColor="text1"/>
                <w:spacing w:val="-10"/>
                <w14:textFill>
                  <w14:solidFill>
                    <w14:schemeClr w14:val="tx1"/>
                  </w14:solidFill>
                </w14:textFill>
              </w:rPr>
            </w:pPr>
          </w:p>
        </w:tc>
        <w:tc>
          <w:tcPr>
            <w:tcW w:w="983" w:type="pct"/>
            <w:vAlign w:val="center"/>
          </w:tcPr>
          <w:p w14:paraId="0A2A3C8E">
            <w:pPr>
              <w:pStyle w:val="70"/>
              <w:autoSpaceDE w:val="0"/>
              <w:autoSpaceDN w:val="0"/>
              <w:rPr>
                <w:rFonts w:eastAsiaTheme="minorEastAsia"/>
                <w:color w:val="000000" w:themeColor="text1"/>
                <w:spacing w:val="-10"/>
                <w14:textFill>
                  <w14:solidFill>
                    <w14:schemeClr w14:val="tx1"/>
                  </w14:solidFill>
                </w14:textFill>
              </w:rPr>
            </w:pPr>
          </w:p>
        </w:tc>
      </w:tr>
      <w:tr w14:paraId="33188A5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3" w:hRule="atLeast"/>
          <w:tblHeader/>
          <w:jc w:val="center"/>
        </w:trPr>
        <w:tc>
          <w:tcPr>
            <w:tcW w:w="1" w:type="pct"/>
            <w:gridSpan w:val="3"/>
            <w:vAlign w:val="center"/>
          </w:tcPr>
          <w:p w14:paraId="29412487">
            <w:pPr>
              <w:pStyle w:val="70"/>
              <w:autoSpaceDE w:val="0"/>
              <w:autoSpaceDN w:val="0"/>
              <w:rPr>
                <w:rFonts w:eastAsiaTheme="minorEastAsia"/>
                <w:color w:val="000000" w:themeColor="text1"/>
                <w:spacing w:val="-10"/>
                <w14:textFill>
                  <w14:solidFill>
                    <w14:schemeClr w14:val="tx1"/>
                  </w14:solidFill>
                </w14:textFill>
              </w:rPr>
            </w:pPr>
            <w:r>
              <w:rPr>
                <w:rFonts w:eastAsiaTheme="minorEastAsia"/>
                <w:color w:val="000000" w:themeColor="text1"/>
                <w:spacing w:val="-10"/>
                <w14:textFill>
                  <w14:solidFill>
                    <w14:schemeClr w14:val="tx1"/>
                  </w14:solidFill>
                </w14:textFill>
              </w:rPr>
              <w:t>占标率</w:t>
            </w:r>
            <w:r>
              <w:rPr>
                <w:rFonts w:hint="eastAsia" w:eastAsiaTheme="minorEastAsia"/>
                <w:color w:val="000000" w:themeColor="text1"/>
                <w:spacing w:val="-10"/>
                <w14:textFill>
                  <w14:solidFill>
                    <w14:schemeClr w14:val="tx1"/>
                  </w14:solidFill>
                </w14:textFill>
              </w:rPr>
              <w:t>%</w:t>
            </w:r>
          </w:p>
        </w:tc>
        <w:tc>
          <w:tcPr>
            <w:tcW w:w="982" w:type="pct"/>
            <w:vAlign w:val="center"/>
          </w:tcPr>
          <w:p w14:paraId="6781EA06">
            <w:pPr>
              <w:pStyle w:val="70"/>
              <w:autoSpaceDE w:val="0"/>
              <w:autoSpaceDN w:val="0"/>
              <w:rPr>
                <w:rFonts w:eastAsiaTheme="minorEastAsia"/>
                <w:color w:val="000000" w:themeColor="text1"/>
                <w:spacing w:val="-10"/>
                <w14:textFill>
                  <w14:solidFill>
                    <w14:schemeClr w14:val="tx1"/>
                  </w14:solidFill>
                </w14:textFill>
              </w:rPr>
            </w:pPr>
          </w:p>
        </w:tc>
        <w:tc>
          <w:tcPr>
            <w:tcW w:w="982" w:type="pct"/>
            <w:vAlign w:val="center"/>
          </w:tcPr>
          <w:p w14:paraId="5E747A81">
            <w:pPr>
              <w:pStyle w:val="70"/>
              <w:autoSpaceDE w:val="0"/>
              <w:autoSpaceDN w:val="0"/>
              <w:rPr>
                <w:rFonts w:eastAsiaTheme="minorEastAsia"/>
                <w:color w:val="000000" w:themeColor="text1"/>
                <w:spacing w:val="-10"/>
                <w14:textFill>
                  <w14:solidFill>
                    <w14:schemeClr w14:val="tx1"/>
                  </w14:solidFill>
                </w14:textFill>
              </w:rPr>
            </w:pPr>
          </w:p>
        </w:tc>
        <w:tc>
          <w:tcPr>
            <w:tcW w:w="985" w:type="pct"/>
            <w:vAlign w:val="center"/>
          </w:tcPr>
          <w:p w14:paraId="7033F0C7">
            <w:pPr>
              <w:pStyle w:val="70"/>
              <w:autoSpaceDE w:val="0"/>
              <w:autoSpaceDN w:val="0"/>
              <w:rPr>
                <w:rFonts w:eastAsiaTheme="minorEastAsia"/>
                <w:color w:val="000000" w:themeColor="text1"/>
                <w:spacing w:val="-10"/>
                <w14:textFill>
                  <w14:solidFill>
                    <w14:schemeClr w14:val="tx1"/>
                  </w14:solidFill>
                </w14:textFill>
              </w:rPr>
            </w:pPr>
          </w:p>
        </w:tc>
      </w:tr>
      <w:tr w14:paraId="3D3E48D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3" w:hRule="atLeast"/>
          <w:tblHeader/>
          <w:jc w:val="center"/>
        </w:trPr>
        <w:tc>
          <w:tcPr>
            <w:tcW w:w="5000" w:type="pct"/>
            <w:gridSpan w:val="6"/>
            <w:vAlign w:val="center"/>
          </w:tcPr>
          <w:p w14:paraId="6C4CA37C">
            <w:pPr>
              <w:pStyle w:val="70"/>
              <w:autoSpaceDE w:val="0"/>
              <w:autoSpaceDN w:val="0"/>
              <w:rPr>
                <w:rFonts w:eastAsiaTheme="minorEastAsia"/>
                <w:color w:val="000000" w:themeColor="text1"/>
                <w:spacing w:val="-10"/>
                <w14:textFill>
                  <w14:solidFill>
                    <w14:schemeClr w14:val="tx1"/>
                  </w14:solidFill>
                </w14:textFill>
              </w:rPr>
            </w:pPr>
            <w:r>
              <w:rPr>
                <w:rFonts w:hint="eastAsia" w:eastAsiaTheme="minorEastAsia"/>
                <w:color w:val="000000" w:themeColor="text1"/>
                <w:spacing w:val="-10"/>
                <w14:textFill>
                  <w14:solidFill>
                    <w14:schemeClr w14:val="tx1"/>
                  </w14:solidFill>
                </w14:textFill>
              </w:rPr>
              <w:t>注：“ND”表示检测结果低于方法检出限。</w:t>
            </w:r>
          </w:p>
        </w:tc>
      </w:tr>
      <w:bookmarkEnd w:id="576"/>
      <w:bookmarkEnd w:id="577"/>
      <w:bookmarkEnd w:id="578"/>
      <w:bookmarkEnd w:id="579"/>
      <w:bookmarkEnd w:id="580"/>
    </w:tbl>
    <w:p w14:paraId="02DC141C">
      <w:pPr>
        <w:ind w:firstLine="480"/>
        <w:rPr>
          <w:color w:val="000000" w:themeColor="text1"/>
          <w14:textFill>
            <w14:solidFill>
              <w14:schemeClr w14:val="tx1"/>
            </w14:solidFill>
          </w14:textFill>
        </w:rPr>
      </w:pPr>
    </w:p>
    <w:p w14:paraId="53BF16EF">
      <w:pPr>
        <w:pStyle w:val="4"/>
        <w:rPr>
          <w:color w:val="000000" w:themeColor="text1"/>
          <w14:textFill>
            <w14:solidFill>
              <w14:schemeClr w14:val="tx1"/>
            </w14:solidFill>
          </w14:textFill>
        </w:rPr>
      </w:pPr>
      <w:r>
        <w:rPr>
          <w:color w:val="000000" w:themeColor="text1"/>
          <w14:textFill>
            <w14:solidFill>
              <w14:schemeClr w14:val="tx1"/>
            </w14:solidFill>
          </w14:textFill>
        </w:rPr>
        <w:t>补充因子恶臭环境质量现状评价</w:t>
      </w:r>
    </w:p>
    <w:p w14:paraId="03D66D07">
      <w:pPr>
        <w:ind w:firstLine="48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根据《欧德年产 30 万吨生物柴油生产线项目环境影响报告书》（报批稿），广西恒沁检测科技有限公司于2024 年 11 月 28 日~2024 年 12 月 4 日对欧德年产 30 万吨生物柴油生产线项目场区开展非甲烷总烃、TVOC、 甲醇、NH3、H2S 和臭气浓度的环境质量现状监测；厂区距离项目1.3km（附图4）。臭气监测值均小于10，属于未</w:t>
      </w:r>
      <w:r>
        <w:rPr>
          <w:rFonts w:hint="eastAsia"/>
          <w:color w:val="000000" w:themeColor="text1"/>
          <w:u w:val="single"/>
          <w:lang w:val="en-US" w:eastAsia="zh-CN"/>
          <w14:textFill>
            <w14:solidFill>
              <w14:schemeClr w14:val="tx1"/>
            </w14:solidFill>
          </w14:textFill>
        </w:rPr>
        <w:t>检出</w:t>
      </w:r>
      <w:r>
        <w:rPr>
          <w:rFonts w:hint="eastAsia"/>
          <w:color w:val="000000" w:themeColor="text1"/>
          <w:u w:val="single"/>
          <w14:textFill>
            <w14:solidFill>
              <w14:schemeClr w14:val="tx1"/>
            </w14:solidFill>
          </w14:textFill>
        </w:rPr>
        <w:t>状态，具体见附件（21）。</w:t>
      </w:r>
    </w:p>
    <w:p w14:paraId="142E8A21">
      <w:pPr>
        <w:ind w:firstLine="48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结合现场踏勘可见，区域未见明显异味。</w:t>
      </w:r>
    </w:p>
    <w:p w14:paraId="1EA16628">
      <w:pPr>
        <w:pStyle w:val="5"/>
        <w:rPr>
          <w:color w:val="000000" w:themeColor="text1"/>
          <w14:textFill>
            <w14:solidFill>
              <w14:schemeClr w14:val="tx1"/>
            </w14:solidFill>
          </w14:textFill>
        </w:rPr>
      </w:pPr>
      <w:bookmarkStart w:id="581" w:name="_Toc216620542"/>
      <w:r>
        <w:rPr>
          <w:color w:val="000000" w:themeColor="text1"/>
          <w14:textFill>
            <w14:solidFill>
              <w14:schemeClr w14:val="tx1"/>
            </w14:solidFill>
          </w14:textFill>
        </w:rPr>
        <w:t>地下水环境质量现状调查与评价</w:t>
      </w:r>
      <w:bookmarkEnd w:id="581"/>
    </w:p>
    <w:p w14:paraId="4182E05C">
      <w:pPr>
        <w:pStyle w:val="4"/>
        <w:rPr>
          <w:color w:val="000000" w:themeColor="text1"/>
          <w14:textFill>
            <w14:solidFill>
              <w14:schemeClr w14:val="tx1"/>
            </w14:solidFill>
          </w14:textFill>
        </w:rPr>
      </w:pPr>
      <w:bookmarkStart w:id="582" w:name="_Toc136878479"/>
      <w:bookmarkStart w:id="583" w:name="_Toc216620543"/>
      <w:r>
        <w:rPr>
          <w:color w:val="000000" w:themeColor="text1"/>
          <w14:textFill>
            <w14:solidFill>
              <w14:schemeClr w14:val="tx1"/>
            </w14:solidFill>
          </w14:textFill>
        </w:rPr>
        <w:t>监测布点</w:t>
      </w:r>
      <w:bookmarkEnd w:id="582"/>
      <w:bookmarkEnd w:id="583"/>
    </w:p>
    <w:p w14:paraId="024B1080">
      <w:pPr>
        <w:ind w:firstLine="480"/>
        <w:rPr>
          <w:color w:val="000000" w:themeColor="text1"/>
          <w14:textFill>
            <w14:solidFill>
              <w14:schemeClr w14:val="tx1"/>
            </w14:solidFill>
          </w14:textFill>
        </w:rPr>
      </w:pPr>
      <w:r>
        <w:rPr>
          <w:color w:val="000000" w:themeColor="text1"/>
          <w14:textFill>
            <w14:solidFill>
              <w14:schemeClr w14:val="tx1"/>
            </w14:solidFill>
          </w14:textFill>
        </w:rPr>
        <w:t>根据《环境影响评价技术导则 地下水环境》（HJ 610-2016）8.3.3.6环境现状监测频率要求，评价工作等级为三级的建设项目，若掌握近3年至少一期水质监测数据，基本水质因子可在评价期补充开展一期现状监测，特征因子在评价期内需至少开展一期现状值监测。本次评价设置3处水质监测点位（附件</w:t>
      </w:r>
      <w:r>
        <w:rPr>
          <w:rFonts w:hint="eastAsia"/>
          <w:color w:val="000000" w:themeColor="text1"/>
          <w14:textFill>
            <w14:solidFill>
              <w14:schemeClr w14:val="tx1"/>
            </w14:solidFill>
          </w14:textFill>
        </w:rPr>
        <w:t>7</w:t>
      </w:r>
      <w:r>
        <w:rPr>
          <w:color w:val="000000" w:themeColor="text1"/>
          <w14:textFill>
            <w14:solidFill>
              <w14:schemeClr w14:val="tx1"/>
            </w14:solidFill>
          </w14:textFill>
        </w:rPr>
        <w:t>）。</w:t>
      </w:r>
    </w:p>
    <w:p w14:paraId="33F2A3A9">
      <w:pPr>
        <w:pStyle w:val="7"/>
        <w:rPr>
          <w:color w:val="000000" w:themeColor="text1"/>
          <w14:textFill>
            <w14:solidFill>
              <w14:schemeClr w14:val="tx1"/>
            </w14:solidFill>
          </w14:textFill>
        </w:rPr>
      </w:pPr>
      <w:r>
        <w:rPr>
          <w:color w:val="000000" w:themeColor="text1"/>
          <w14:textFill>
            <w14:solidFill>
              <w14:schemeClr w14:val="tx1"/>
            </w14:solidFill>
          </w14:textFill>
        </w:rPr>
        <w:t>地下水监测井基本情况</w:t>
      </w:r>
    </w:p>
    <w:tbl>
      <w:tblPr>
        <w:tblStyle w:val="43"/>
        <w:tblW w:w="9042"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664"/>
        <w:gridCol w:w="1595"/>
        <w:gridCol w:w="4611"/>
        <w:gridCol w:w="2172"/>
      </w:tblGrid>
      <w:tr w14:paraId="31253A0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jc w:val="center"/>
        </w:trPr>
        <w:tc>
          <w:tcPr>
            <w:tcW w:w="664" w:type="dxa"/>
            <w:vAlign w:val="center"/>
          </w:tcPr>
          <w:p w14:paraId="318F4E13">
            <w:pPr>
              <w:pStyle w:val="70"/>
              <w:spacing w:line="300" w:lineRule="exact"/>
              <w:rPr>
                <w:b/>
                <w:bCs/>
                <w:color w:val="000000" w:themeColor="text1"/>
                <w:lang w:val="zh-CN"/>
                <w14:textFill>
                  <w14:solidFill>
                    <w14:schemeClr w14:val="tx1"/>
                  </w14:solidFill>
                </w14:textFill>
              </w:rPr>
            </w:pPr>
            <w:r>
              <w:rPr>
                <w:b/>
                <w:bCs/>
                <w:color w:val="000000" w:themeColor="text1"/>
                <w:lang w:val="zh-CN"/>
                <w14:textFill>
                  <w14:solidFill>
                    <w14:schemeClr w14:val="tx1"/>
                  </w14:solidFill>
                </w14:textFill>
              </w:rPr>
              <w:t>编号</w:t>
            </w:r>
          </w:p>
        </w:tc>
        <w:tc>
          <w:tcPr>
            <w:tcW w:w="1595" w:type="dxa"/>
            <w:vAlign w:val="center"/>
          </w:tcPr>
          <w:p w14:paraId="6AAEABA1">
            <w:pPr>
              <w:pStyle w:val="70"/>
              <w:spacing w:line="300" w:lineRule="exact"/>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检测点位</w:t>
            </w:r>
          </w:p>
        </w:tc>
        <w:tc>
          <w:tcPr>
            <w:tcW w:w="4611" w:type="dxa"/>
            <w:vAlign w:val="center"/>
          </w:tcPr>
          <w:p w14:paraId="2D2E8309">
            <w:pPr>
              <w:pStyle w:val="70"/>
              <w:spacing w:line="300" w:lineRule="exact"/>
              <w:rPr>
                <w:b/>
                <w:bCs/>
                <w:color w:val="000000" w:themeColor="text1"/>
                <w:lang w:val="zh-CN"/>
                <w14:textFill>
                  <w14:solidFill>
                    <w14:schemeClr w14:val="tx1"/>
                  </w14:solidFill>
                </w14:textFill>
              </w:rPr>
            </w:pPr>
            <w:r>
              <w:rPr>
                <w:b/>
                <w:bCs/>
                <w:color w:val="000000" w:themeColor="text1"/>
                <w:lang w:val="zh-CN"/>
                <w14:textFill>
                  <w14:solidFill>
                    <w14:schemeClr w14:val="tx1"/>
                  </w14:solidFill>
                </w14:textFill>
              </w:rPr>
              <w:t>监测因子</w:t>
            </w:r>
          </w:p>
        </w:tc>
        <w:tc>
          <w:tcPr>
            <w:tcW w:w="2172" w:type="dxa"/>
            <w:vAlign w:val="center"/>
          </w:tcPr>
          <w:p w14:paraId="7B8CDFCE">
            <w:pPr>
              <w:pStyle w:val="70"/>
              <w:spacing w:line="300" w:lineRule="exact"/>
              <w:rPr>
                <w:b/>
                <w:bCs/>
                <w:color w:val="000000" w:themeColor="text1"/>
                <w:lang w:val="zh-CN"/>
                <w14:textFill>
                  <w14:solidFill>
                    <w14:schemeClr w14:val="tx1"/>
                  </w14:solidFill>
                </w14:textFill>
              </w:rPr>
            </w:pPr>
            <w:r>
              <w:rPr>
                <w:b/>
                <w:bCs/>
                <w:color w:val="000000" w:themeColor="text1"/>
                <w:lang w:val="zh-CN"/>
                <w14:textFill>
                  <w14:solidFill>
                    <w14:schemeClr w14:val="tx1"/>
                  </w14:solidFill>
                </w14:textFill>
              </w:rPr>
              <w:t>水位/m</w:t>
            </w:r>
          </w:p>
        </w:tc>
      </w:tr>
      <w:tr w14:paraId="302DA6B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664" w:type="dxa"/>
            <w:vAlign w:val="center"/>
          </w:tcPr>
          <w:p w14:paraId="4B808354">
            <w:pPr>
              <w:pStyle w:val="70"/>
              <w:spacing w:line="300" w:lineRule="exact"/>
              <w:rPr>
                <w:color w:val="000000" w:themeColor="text1"/>
                <w14:textFill>
                  <w14:solidFill>
                    <w14:schemeClr w14:val="tx1"/>
                  </w14:solidFill>
                </w14:textFill>
              </w:rPr>
            </w:pPr>
            <w:r>
              <w:rPr>
                <w:color w:val="000000" w:themeColor="text1"/>
                <w14:textFill>
                  <w14:solidFill>
                    <w14:schemeClr w14:val="tx1"/>
                  </w14:solidFill>
                </w14:textFill>
              </w:rPr>
              <w:t>D1</w:t>
            </w:r>
          </w:p>
        </w:tc>
        <w:tc>
          <w:tcPr>
            <w:tcW w:w="1595" w:type="dxa"/>
            <w:vAlign w:val="center"/>
          </w:tcPr>
          <w:p w14:paraId="49745912">
            <w:pPr>
              <w:pStyle w:val="70"/>
              <w:spacing w:line="300" w:lineRule="exact"/>
              <w:rPr>
                <w:color w:val="000000" w:themeColor="text1"/>
                <w14:textFill>
                  <w14:solidFill>
                    <w14:schemeClr w14:val="tx1"/>
                  </w14:solidFill>
                </w14:textFill>
              </w:rPr>
            </w:pPr>
            <w:r>
              <w:rPr>
                <w:color w:val="000000" w:themeColor="text1"/>
                <w14:textFill>
                  <w14:solidFill>
                    <w14:schemeClr w14:val="tx1"/>
                  </w14:solidFill>
                </w14:textFill>
              </w:rPr>
              <w:t>广西华谊新材料有限公司罐区</w:t>
            </w:r>
          </w:p>
        </w:tc>
        <w:tc>
          <w:tcPr>
            <w:tcW w:w="4611" w:type="dxa"/>
            <w:vMerge w:val="restart"/>
            <w:vAlign w:val="center"/>
          </w:tcPr>
          <w:p w14:paraId="0BB73885">
            <w:pPr>
              <w:pStyle w:val="70"/>
              <w:spacing w:line="300" w:lineRule="exact"/>
              <w:rPr>
                <w:color w:val="000000" w:themeColor="text1"/>
                <w:lang w:val="zh-CN"/>
                <w14:textFill>
                  <w14:solidFill>
                    <w14:schemeClr w14:val="tx1"/>
                  </w14:solidFill>
                </w14:textFill>
              </w:rPr>
            </w:pPr>
            <w:r>
              <w:rPr>
                <w:color w:val="000000" w:themeColor="text1"/>
                <w14:textFill>
                  <w14:solidFill>
                    <w14:schemeClr w14:val="tx1"/>
                  </w14:solidFill>
                </w14:textFill>
              </w:rPr>
              <w:t>pH、总硬度、溶解性总固体、SO</w:t>
            </w:r>
            <w:r>
              <w:rPr>
                <w:color w:val="000000" w:themeColor="text1"/>
                <w:vertAlign w:val="subscript"/>
                <w14:textFill>
                  <w14:solidFill>
                    <w14:schemeClr w14:val="tx1"/>
                  </w14:solidFill>
                </w14:textFill>
              </w:rPr>
              <w:t>4</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、Cl</w:t>
            </w:r>
            <w:r>
              <w:rPr>
                <w:color w:val="000000" w:themeColor="text1"/>
                <w:vertAlign w:val="superscript"/>
                <w14:textFill>
                  <w14:solidFill>
                    <w14:schemeClr w14:val="tx1"/>
                  </w14:solidFill>
                </w14:textFill>
              </w:rPr>
              <w:t>-</w:t>
            </w:r>
            <w:r>
              <w:rPr>
                <w:color w:val="000000" w:themeColor="text1"/>
                <w14:textFill>
                  <w14:solidFill>
                    <w14:schemeClr w14:val="tx1"/>
                  </w14:solidFill>
                </w14:textFill>
              </w:rPr>
              <w:t>、挥发酚、高锰酸盐指数（以O2计）、氨氮、硫化物、NO</w:t>
            </w:r>
            <w:r>
              <w:rPr>
                <w:color w:val="000000" w:themeColor="text1"/>
                <w:vertAlign w:val="subscript"/>
                <w14:textFill>
                  <w14:solidFill>
                    <w14:schemeClr w14:val="tx1"/>
                  </w14:solidFill>
                </w14:textFill>
              </w:rPr>
              <w:t>3</w:t>
            </w:r>
            <w:r>
              <w:rPr>
                <w:color w:val="000000" w:themeColor="text1"/>
                <w:vertAlign w:val="superscript"/>
                <w14:textFill>
                  <w14:solidFill>
                    <w14:schemeClr w14:val="tx1"/>
                  </w14:solidFill>
                </w14:textFill>
              </w:rPr>
              <w:t>-</w:t>
            </w:r>
            <w:r>
              <w:rPr>
                <w:color w:val="000000" w:themeColor="text1"/>
                <w14:textFill>
                  <w14:solidFill>
                    <w14:schemeClr w14:val="tx1"/>
                  </w14:solidFill>
                </w14:textFill>
              </w:rPr>
              <w:t>、NO</w:t>
            </w:r>
            <w:r>
              <w:rPr>
                <w:color w:val="000000" w:themeColor="text1"/>
                <w:vertAlign w:val="subscript"/>
                <w14:textFill>
                  <w14:solidFill>
                    <w14:schemeClr w14:val="tx1"/>
                  </w14:solidFill>
                </w14:textFill>
              </w:rPr>
              <w:t>2</w:t>
            </w:r>
            <w:r>
              <w:rPr>
                <w:color w:val="000000" w:themeColor="text1"/>
                <w:vertAlign w:val="superscript"/>
                <w14:textFill>
                  <w14:solidFill>
                    <w14:schemeClr w14:val="tx1"/>
                  </w14:solidFill>
                </w14:textFill>
              </w:rPr>
              <w:t>-</w:t>
            </w:r>
            <w:r>
              <w:rPr>
                <w:color w:val="000000" w:themeColor="text1"/>
                <w14:textFill>
                  <w14:solidFill>
                    <w14:schemeClr w14:val="tx1"/>
                  </w14:solidFill>
                </w14:textFill>
              </w:rPr>
              <w:t>、F</w:t>
            </w:r>
            <w:r>
              <w:rPr>
                <w:color w:val="000000" w:themeColor="text1"/>
                <w:vertAlign w:val="superscript"/>
                <w14:textFill>
                  <w14:solidFill>
                    <w14:schemeClr w14:val="tx1"/>
                  </w14:solidFill>
                </w14:textFill>
              </w:rPr>
              <w:t>-</w:t>
            </w:r>
            <w:r>
              <w:rPr>
                <w:color w:val="000000" w:themeColor="text1"/>
                <w14:textFill>
                  <w14:solidFill>
                    <w14:schemeClr w14:val="tx1"/>
                  </w14:solidFill>
                </w14:textFill>
              </w:rPr>
              <w:t>、氰化物、砷、汞、铅、铬（六价）、镉、苯乙烯记录井深、埋深、水位</w:t>
            </w:r>
          </w:p>
        </w:tc>
        <w:tc>
          <w:tcPr>
            <w:tcW w:w="2172" w:type="dxa"/>
            <w:vAlign w:val="center"/>
          </w:tcPr>
          <w:p w14:paraId="144A800E">
            <w:pPr>
              <w:pStyle w:val="70"/>
              <w:spacing w:line="300" w:lineRule="exact"/>
              <w:rPr>
                <w:color w:val="000000" w:themeColor="text1"/>
                <w14:textFill>
                  <w14:solidFill>
                    <w14:schemeClr w14:val="tx1"/>
                  </w14:solidFill>
                </w14:textFill>
              </w:rPr>
            </w:pPr>
            <w:r>
              <w:rPr>
                <w:color w:val="000000" w:themeColor="text1"/>
                <w14:textFill>
                  <w14:solidFill>
                    <w14:schemeClr w14:val="tx1"/>
                  </w14:solidFill>
                </w14:textFill>
              </w:rPr>
              <w:t>2.67</w:t>
            </w:r>
          </w:p>
        </w:tc>
      </w:tr>
      <w:tr w14:paraId="25635EB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664" w:type="dxa"/>
            <w:vAlign w:val="center"/>
          </w:tcPr>
          <w:p w14:paraId="22686D1A">
            <w:pPr>
              <w:pStyle w:val="70"/>
              <w:spacing w:line="300" w:lineRule="exact"/>
              <w:rPr>
                <w:color w:val="000000" w:themeColor="text1"/>
                <w14:textFill>
                  <w14:solidFill>
                    <w14:schemeClr w14:val="tx1"/>
                  </w14:solidFill>
                </w14:textFill>
              </w:rPr>
            </w:pPr>
            <w:r>
              <w:rPr>
                <w:color w:val="000000" w:themeColor="text1"/>
                <w14:textFill>
                  <w14:solidFill>
                    <w14:schemeClr w14:val="tx1"/>
                  </w14:solidFill>
                </w14:textFill>
              </w:rPr>
              <w:t>D2</w:t>
            </w:r>
          </w:p>
        </w:tc>
        <w:tc>
          <w:tcPr>
            <w:tcW w:w="1595" w:type="dxa"/>
            <w:vAlign w:val="center"/>
          </w:tcPr>
          <w:p w14:paraId="67CB899E">
            <w:pPr>
              <w:pStyle w:val="70"/>
              <w:spacing w:line="300" w:lineRule="exact"/>
              <w:rPr>
                <w:color w:val="000000" w:themeColor="text1"/>
                <w14:textFill>
                  <w14:solidFill>
                    <w14:schemeClr w14:val="tx1"/>
                  </w14:solidFill>
                </w14:textFill>
              </w:rPr>
            </w:pPr>
            <w:r>
              <w:rPr>
                <w:color w:val="000000" w:themeColor="text1"/>
                <w14:textFill>
                  <w14:solidFill>
                    <w14:schemeClr w14:val="tx1"/>
                  </w14:solidFill>
                </w14:textFill>
              </w:rPr>
              <w:t>高沙头村</w:t>
            </w:r>
          </w:p>
        </w:tc>
        <w:tc>
          <w:tcPr>
            <w:tcW w:w="4611" w:type="dxa"/>
            <w:vMerge w:val="continue"/>
            <w:vAlign w:val="center"/>
          </w:tcPr>
          <w:p w14:paraId="65A3692E">
            <w:pPr>
              <w:pStyle w:val="70"/>
              <w:spacing w:line="300" w:lineRule="exact"/>
              <w:rPr>
                <w:color w:val="000000" w:themeColor="text1"/>
                <w:lang w:val="zh-CN"/>
                <w14:textFill>
                  <w14:solidFill>
                    <w14:schemeClr w14:val="tx1"/>
                  </w14:solidFill>
                </w14:textFill>
              </w:rPr>
            </w:pPr>
          </w:p>
        </w:tc>
        <w:tc>
          <w:tcPr>
            <w:tcW w:w="2172" w:type="dxa"/>
            <w:vAlign w:val="center"/>
          </w:tcPr>
          <w:p w14:paraId="488DB47D">
            <w:pPr>
              <w:pStyle w:val="70"/>
              <w:spacing w:line="300" w:lineRule="exact"/>
              <w:rPr>
                <w:color w:val="000000" w:themeColor="text1"/>
                <w14:textFill>
                  <w14:solidFill>
                    <w14:schemeClr w14:val="tx1"/>
                  </w14:solidFill>
                </w14:textFill>
              </w:rPr>
            </w:pPr>
            <w:r>
              <w:rPr>
                <w:color w:val="000000" w:themeColor="text1"/>
                <w14:textFill>
                  <w14:solidFill>
                    <w14:schemeClr w14:val="tx1"/>
                  </w14:solidFill>
                </w14:textFill>
              </w:rPr>
              <w:t>7.62</w:t>
            </w:r>
          </w:p>
        </w:tc>
      </w:tr>
      <w:tr w14:paraId="0229B75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664" w:type="dxa"/>
            <w:vAlign w:val="center"/>
          </w:tcPr>
          <w:p w14:paraId="2874FF55">
            <w:pPr>
              <w:pStyle w:val="70"/>
              <w:spacing w:line="300" w:lineRule="exact"/>
              <w:rPr>
                <w:color w:val="000000" w:themeColor="text1"/>
                <w14:textFill>
                  <w14:solidFill>
                    <w14:schemeClr w14:val="tx1"/>
                  </w14:solidFill>
                </w14:textFill>
              </w:rPr>
            </w:pPr>
            <w:r>
              <w:rPr>
                <w:color w:val="000000" w:themeColor="text1"/>
                <w14:textFill>
                  <w14:solidFill>
                    <w14:schemeClr w14:val="tx1"/>
                  </w14:solidFill>
                </w14:textFill>
              </w:rPr>
              <w:t>D3</w:t>
            </w:r>
          </w:p>
        </w:tc>
        <w:tc>
          <w:tcPr>
            <w:tcW w:w="1595" w:type="dxa"/>
            <w:vAlign w:val="center"/>
          </w:tcPr>
          <w:p w14:paraId="4CBD9B70">
            <w:pPr>
              <w:pStyle w:val="70"/>
              <w:spacing w:line="300" w:lineRule="exact"/>
              <w:rPr>
                <w:color w:val="000000" w:themeColor="text1"/>
                <w14:textFill>
                  <w14:solidFill>
                    <w14:schemeClr w14:val="tx1"/>
                  </w14:solidFill>
                </w14:textFill>
              </w:rPr>
            </w:pPr>
            <w:r>
              <w:rPr>
                <w:color w:val="000000" w:themeColor="text1"/>
                <w14:textFill>
                  <w14:solidFill>
                    <w14:schemeClr w14:val="tx1"/>
                  </w14:solidFill>
                </w14:textFill>
              </w:rPr>
              <w:t>尖岭</w:t>
            </w:r>
          </w:p>
        </w:tc>
        <w:tc>
          <w:tcPr>
            <w:tcW w:w="4611" w:type="dxa"/>
            <w:vMerge w:val="continue"/>
            <w:vAlign w:val="center"/>
          </w:tcPr>
          <w:p w14:paraId="3C710224">
            <w:pPr>
              <w:pStyle w:val="70"/>
              <w:spacing w:line="300" w:lineRule="exact"/>
              <w:rPr>
                <w:color w:val="000000" w:themeColor="text1"/>
                <w:lang w:val="zh-CN"/>
                <w14:textFill>
                  <w14:solidFill>
                    <w14:schemeClr w14:val="tx1"/>
                  </w14:solidFill>
                </w14:textFill>
              </w:rPr>
            </w:pPr>
          </w:p>
        </w:tc>
        <w:tc>
          <w:tcPr>
            <w:tcW w:w="2172" w:type="dxa"/>
            <w:vAlign w:val="center"/>
          </w:tcPr>
          <w:p w14:paraId="4B413471">
            <w:pPr>
              <w:pStyle w:val="70"/>
              <w:spacing w:line="300" w:lineRule="exact"/>
              <w:rPr>
                <w:color w:val="000000" w:themeColor="text1"/>
                <w14:textFill>
                  <w14:solidFill>
                    <w14:schemeClr w14:val="tx1"/>
                  </w14:solidFill>
                </w14:textFill>
              </w:rPr>
            </w:pPr>
            <w:r>
              <w:rPr>
                <w:color w:val="000000" w:themeColor="text1"/>
                <w14:textFill>
                  <w14:solidFill>
                    <w14:schemeClr w14:val="tx1"/>
                  </w14:solidFill>
                </w14:textFill>
              </w:rPr>
              <w:t>5.00</w:t>
            </w:r>
          </w:p>
        </w:tc>
      </w:tr>
    </w:tbl>
    <w:p w14:paraId="208B0121">
      <w:pPr>
        <w:spacing w:line="240" w:lineRule="atLeast"/>
        <w:ind w:firstLine="199" w:firstLineChars="83"/>
        <w:rPr>
          <w:color w:val="000000" w:themeColor="text1"/>
          <w:sz w:val="18"/>
          <w:szCs w:val="18"/>
          <w14:textFill>
            <w14:solidFill>
              <w14:schemeClr w14:val="tx1"/>
            </w14:solidFill>
          </w14:textFill>
        </w:rPr>
      </w:pPr>
      <w:r>
        <w:rPr>
          <w:color w:val="000000" w:themeColor="text1"/>
          <w14:textFill>
            <w14:solidFill>
              <w14:schemeClr w14:val="tx1"/>
            </w14:solidFill>
          </w14:textFill>
        </w:rPr>
        <w:drawing>
          <wp:inline distT="0" distB="0" distL="114300" distR="114300">
            <wp:extent cx="5768340" cy="3477260"/>
            <wp:effectExtent l="19050" t="19050" r="22860" b="27940"/>
            <wp:docPr id="8" name="图片 2"/>
            <wp:cNvGraphicFramePr/>
            <a:graphic xmlns:a="http://schemas.openxmlformats.org/drawingml/2006/main">
              <a:graphicData uri="http://schemas.openxmlformats.org/drawingml/2006/picture">
                <pic:pic xmlns:pic="http://schemas.openxmlformats.org/drawingml/2006/picture">
                  <pic:nvPicPr>
                    <pic:cNvPr id="8" name="图片 2"/>
                    <pic:cNvPicPr/>
                  </pic:nvPicPr>
                  <pic:blipFill>
                    <a:blip r:embed="rId69"/>
                    <a:stretch>
                      <a:fillRect/>
                    </a:stretch>
                  </pic:blipFill>
                  <pic:spPr>
                    <a:xfrm>
                      <a:off x="0" y="0"/>
                      <a:ext cx="5768340" cy="3477320"/>
                    </a:xfrm>
                    <a:prstGeom prst="rect">
                      <a:avLst/>
                    </a:prstGeom>
                    <a:noFill/>
                    <a:ln w="19050">
                      <a:solidFill>
                        <a:schemeClr val="tx1"/>
                      </a:solidFill>
                    </a:ln>
                  </pic:spPr>
                </pic:pic>
              </a:graphicData>
            </a:graphic>
          </wp:inline>
        </w:drawing>
      </w:r>
    </w:p>
    <w:p w14:paraId="3B2A6DFB">
      <w:pPr>
        <w:pStyle w:val="8"/>
        <w:spacing w:line="240" w:lineRule="exact"/>
        <w:ind w:firstLine="480"/>
        <w:rPr>
          <w:color w:val="000000" w:themeColor="text1"/>
          <w:sz w:val="18"/>
          <w:szCs w:val="18"/>
          <w14:textFill>
            <w14:solidFill>
              <w14:schemeClr w14:val="tx1"/>
            </w14:solidFill>
          </w14:textFill>
        </w:rPr>
      </w:pPr>
      <w:r>
        <w:rPr>
          <w:color w:val="000000" w:themeColor="text1"/>
          <w14:textFill>
            <w14:solidFill>
              <w14:schemeClr w14:val="tx1"/>
            </w14:solidFill>
          </w14:textFill>
        </w:rPr>
        <w:t>监测点位与区域水文地质示意图</w:t>
      </w:r>
    </w:p>
    <w:p w14:paraId="0148C3F5">
      <w:pPr>
        <w:pStyle w:val="4"/>
        <w:rPr>
          <w:color w:val="000000" w:themeColor="text1"/>
          <w14:textFill>
            <w14:solidFill>
              <w14:schemeClr w14:val="tx1"/>
            </w14:solidFill>
          </w14:textFill>
        </w:rPr>
      </w:pPr>
      <w:bookmarkStart w:id="584" w:name="_Toc216620544"/>
      <w:bookmarkStart w:id="585" w:name="_Toc136878480"/>
      <w:r>
        <w:rPr>
          <w:color w:val="000000" w:themeColor="text1"/>
          <w14:textFill>
            <w14:solidFill>
              <w14:schemeClr w14:val="tx1"/>
            </w14:solidFill>
          </w14:textFill>
        </w:rPr>
        <w:t>监测与分析方法</w:t>
      </w:r>
      <w:bookmarkEnd w:id="584"/>
      <w:bookmarkEnd w:id="585"/>
    </w:p>
    <w:p w14:paraId="5237BAD9">
      <w:pPr>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监测分析方法如下：</w:t>
      </w:r>
    </w:p>
    <w:p w14:paraId="60526E07">
      <w:pPr>
        <w:pStyle w:val="7"/>
        <w:rPr>
          <w:color w:val="000000" w:themeColor="text1"/>
          <w14:textFill>
            <w14:solidFill>
              <w14:schemeClr w14:val="tx1"/>
            </w14:solidFill>
          </w14:textFill>
        </w:rPr>
      </w:pPr>
      <w:r>
        <w:rPr>
          <w:color w:val="000000" w:themeColor="text1"/>
          <w14:textFill>
            <w14:solidFill>
              <w14:schemeClr w14:val="tx1"/>
            </w14:solidFill>
          </w14:textFill>
        </w:rPr>
        <w:t>地下水监测方法一览表</w:t>
      </w:r>
    </w:p>
    <w:tbl>
      <w:tblPr>
        <w:tblStyle w:val="43"/>
        <w:tblW w:w="9042"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2078"/>
        <w:gridCol w:w="4644"/>
        <w:gridCol w:w="2320"/>
      </w:tblGrid>
      <w:tr w14:paraId="19BC022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20" w:hRule="atLeast"/>
          <w:tblHeader/>
          <w:jc w:val="center"/>
        </w:trPr>
        <w:tc>
          <w:tcPr>
            <w:tcW w:w="2078" w:type="dxa"/>
            <w:vMerge w:val="restart"/>
            <w:tcMar>
              <w:top w:w="0" w:type="dxa"/>
              <w:left w:w="28" w:type="dxa"/>
              <w:bottom w:w="0" w:type="dxa"/>
              <w:right w:w="28" w:type="dxa"/>
            </w:tcMar>
            <w:vAlign w:val="center"/>
          </w:tcPr>
          <w:p w14:paraId="2A0323F1">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检测项目</w:t>
            </w:r>
          </w:p>
        </w:tc>
        <w:tc>
          <w:tcPr>
            <w:tcW w:w="6964" w:type="dxa"/>
            <w:gridSpan w:val="2"/>
            <w:tcMar>
              <w:top w:w="0" w:type="dxa"/>
              <w:left w:w="28" w:type="dxa"/>
              <w:bottom w:w="0" w:type="dxa"/>
              <w:right w:w="28" w:type="dxa"/>
            </w:tcMar>
            <w:vAlign w:val="center"/>
          </w:tcPr>
          <w:p w14:paraId="456311A0">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检测依据</w:t>
            </w:r>
          </w:p>
        </w:tc>
      </w:tr>
      <w:tr w14:paraId="4839461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20" w:hRule="atLeast"/>
          <w:tblHeader/>
          <w:jc w:val="center"/>
        </w:trPr>
        <w:tc>
          <w:tcPr>
            <w:tcW w:w="2078" w:type="dxa"/>
            <w:vMerge w:val="continue"/>
            <w:vAlign w:val="center"/>
          </w:tcPr>
          <w:p w14:paraId="08065FDA">
            <w:pPr>
              <w:pStyle w:val="70"/>
              <w:rPr>
                <w:b/>
                <w:bCs/>
                <w:color w:val="000000" w:themeColor="text1"/>
                <w14:textFill>
                  <w14:solidFill>
                    <w14:schemeClr w14:val="tx1"/>
                  </w14:solidFill>
                </w14:textFill>
              </w:rPr>
            </w:pPr>
          </w:p>
        </w:tc>
        <w:tc>
          <w:tcPr>
            <w:tcW w:w="4644" w:type="dxa"/>
            <w:tcMar>
              <w:top w:w="0" w:type="dxa"/>
              <w:left w:w="28" w:type="dxa"/>
              <w:bottom w:w="0" w:type="dxa"/>
              <w:right w:w="28" w:type="dxa"/>
            </w:tcMar>
            <w:vAlign w:val="center"/>
          </w:tcPr>
          <w:p w14:paraId="670EABFD">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方法来源</w:t>
            </w:r>
          </w:p>
        </w:tc>
        <w:tc>
          <w:tcPr>
            <w:tcW w:w="2320" w:type="dxa"/>
            <w:tcMar>
              <w:top w:w="0" w:type="dxa"/>
              <w:left w:w="28" w:type="dxa"/>
              <w:bottom w:w="0" w:type="dxa"/>
              <w:right w:w="28" w:type="dxa"/>
            </w:tcMar>
            <w:vAlign w:val="center"/>
          </w:tcPr>
          <w:p w14:paraId="10E7A3C2">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检出限</w:t>
            </w:r>
          </w:p>
        </w:tc>
      </w:tr>
      <w:tr w14:paraId="6DD7FD7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2078" w:type="dxa"/>
            <w:vAlign w:val="center"/>
          </w:tcPr>
          <w:p w14:paraId="182BC7BD">
            <w:pPr>
              <w:pStyle w:val="70"/>
              <w:rPr>
                <w:color w:val="000000" w:themeColor="text1"/>
                <w14:textFill>
                  <w14:solidFill>
                    <w14:schemeClr w14:val="tx1"/>
                  </w14:solidFill>
                </w14:textFill>
              </w:rPr>
            </w:pPr>
            <w:r>
              <w:rPr>
                <w:color w:val="000000" w:themeColor="text1"/>
                <w14:textFill>
                  <w14:solidFill>
                    <w14:schemeClr w14:val="tx1"/>
                  </w14:solidFill>
                </w14:textFill>
              </w:rPr>
              <w:t>pH值</w:t>
            </w:r>
          </w:p>
        </w:tc>
        <w:tc>
          <w:tcPr>
            <w:tcW w:w="4644" w:type="dxa"/>
            <w:vAlign w:val="center"/>
          </w:tcPr>
          <w:p w14:paraId="2B5841EF">
            <w:pPr>
              <w:pStyle w:val="70"/>
              <w:rPr>
                <w:color w:val="000000" w:themeColor="text1"/>
                <w14:textFill>
                  <w14:solidFill>
                    <w14:schemeClr w14:val="tx1"/>
                  </w14:solidFill>
                </w14:textFill>
              </w:rPr>
            </w:pPr>
            <w:r>
              <w:rPr>
                <w:color w:val="000000" w:themeColor="text1"/>
                <w14:textFill>
                  <w14:solidFill>
                    <w14:schemeClr w14:val="tx1"/>
                  </w14:solidFill>
                </w14:textFill>
              </w:rPr>
              <w:t>水质 pH值的测定 电极法（HJ 1147-2020）</w:t>
            </w:r>
          </w:p>
        </w:tc>
        <w:tc>
          <w:tcPr>
            <w:tcW w:w="2320" w:type="dxa"/>
            <w:vAlign w:val="center"/>
          </w:tcPr>
          <w:p w14:paraId="114975B7">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152F6F1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2078" w:type="dxa"/>
            <w:vAlign w:val="center"/>
          </w:tcPr>
          <w:p w14:paraId="4F35F372">
            <w:pPr>
              <w:pStyle w:val="70"/>
              <w:rPr>
                <w:color w:val="000000" w:themeColor="text1"/>
                <w14:textFill>
                  <w14:solidFill>
                    <w14:schemeClr w14:val="tx1"/>
                  </w14:solidFill>
                </w14:textFill>
              </w:rPr>
            </w:pPr>
            <w:r>
              <w:rPr>
                <w:color w:val="000000" w:themeColor="text1"/>
                <w14:textFill>
                  <w14:solidFill>
                    <w14:schemeClr w14:val="tx1"/>
                  </w14:solidFill>
                </w14:textFill>
              </w:rPr>
              <w:t>Cl</w:t>
            </w:r>
            <w:r>
              <w:rPr>
                <w:color w:val="000000" w:themeColor="text1"/>
                <w:vertAlign w:val="superscript"/>
                <w14:textFill>
                  <w14:solidFill>
                    <w14:schemeClr w14:val="tx1"/>
                  </w14:solidFill>
                </w14:textFill>
              </w:rPr>
              <w:t>-</w:t>
            </w:r>
          </w:p>
        </w:tc>
        <w:tc>
          <w:tcPr>
            <w:tcW w:w="4644" w:type="dxa"/>
            <w:vMerge w:val="restart"/>
            <w:vAlign w:val="center"/>
          </w:tcPr>
          <w:p w14:paraId="2F53CA5D">
            <w:pPr>
              <w:pStyle w:val="70"/>
              <w:rPr>
                <w:color w:val="000000" w:themeColor="text1"/>
                <w14:textFill>
                  <w14:solidFill>
                    <w14:schemeClr w14:val="tx1"/>
                  </w14:solidFill>
                </w14:textFill>
              </w:rPr>
            </w:pPr>
            <w:r>
              <w:rPr>
                <w:color w:val="000000" w:themeColor="text1"/>
                <w14:textFill>
                  <w14:solidFill>
                    <w14:schemeClr w14:val="tx1"/>
                  </w14:solidFill>
                </w14:textFill>
              </w:rPr>
              <w:t>水质 无机阴子（F</w:t>
            </w:r>
            <w:r>
              <w:rPr>
                <w:color w:val="000000" w:themeColor="text1"/>
                <w:vertAlign w:val="superscript"/>
                <w14:textFill>
                  <w14:solidFill>
                    <w14:schemeClr w14:val="tx1"/>
                  </w14:solidFill>
                </w14:textFill>
              </w:rPr>
              <w:t>-</w:t>
            </w:r>
            <w:r>
              <w:rPr>
                <w:color w:val="000000" w:themeColor="text1"/>
                <w14:textFill>
                  <w14:solidFill>
                    <w14:schemeClr w14:val="tx1"/>
                  </w14:solidFill>
                </w14:textFill>
              </w:rPr>
              <w:t>、Cl</w:t>
            </w:r>
            <w:r>
              <w:rPr>
                <w:color w:val="000000" w:themeColor="text1"/>
                <w:vertAlign w:val="superscript"/>
                <w14:textFill>
                  <w14:solidFill>
                    <w14:schemeClr w14:val="tx1"/>
                  </w14:solidFill>
                </w14:textFill>
              </w:rPr>
              <w:t>-</w:t>
            </w:r>
            <w:r>
              <w:rPr>
                <w:color w:val="000000" w:themeColor="text1"/>
                <w14:textFill>
                  <w14:solidFill>
                    <w14:schemeClr w14:val="tx1"/>
                  </w14:solidFill>
                </w14:textFill>
              </w:rPr>
              <w:t>、NO</w:t>
            </w:r>
            <w:r>
              <w:rPr>
                <w:color w:val="000000" w:themeColor="text1"/>
                <w:vertAlign w:val="subscript"/>
                <w14:textFill>
                  <w14:solidFill>
                    <w14:schemeClr w14:val="tx1"/>
                  </w14:solidFill>
                </w14:textFill>
              </w:rPr>
              <w:t>2</w:t>
            </w:r>
            <w:r>
              <w:rPr>
                <w:color w:val="000000" w:themeColor="text1"/>
                <w:vertAlign w:val="superscript"/>
                <w14:textFill>
                  <w14:solidFill>
                    <w14:schemeClr w14:val="tx1"/>
                  </w14:solidFill>
                </w14:textFill>
              </w:rPr>
              <w:t>-</w:t>
            </w:r>
            <w:r>
              <w:rPr>
                <w:color w:val="000000" w:themeColor="text1"/>
                <w14:textFill>
                  <w14:solidFill>
                    <w14:schemeClr w14:val="tx1"/>
                  </w14:solidFill>
                </w14:textFill>
              </w:rPr>
              <w:t>、Br</w:t>
            </w:r>
            <w:r>
              <w:rPr>
                <w:color w:val="000000" w:themeColor="text1"/>
                <w:vertAlign w:val="superscript"/>
                <w14:textFill>
                  <w14:solidFill>
                    <w14:schemeClr w14:val="tx1"/>
                  </w14:solidFill>
                </w14:textFill>
              </w:rPr>
              <w:t>-</w:t>
            </w:r>
            <w:r>
              <w:rPr>
                <w:color w:val="000000" w:themeColor="text1"/>
                <w14:textFill>
                  <w14:solidFill>
                    <w14:schemeClr w14:val="tx1"/>
                  </w14:solidFill>
                </w14:textFill>
              </w:rPr>
              <w:t>、NO</w:t>
            </w:r>
            <w:r>
              <w:rPr>
                <w:color w:val="000000" w:themeColor="text1"/>
                <w:vertAlign w:val="subscript"/>
                <w14:textFill>
                  <w14:solidFill>
                    <w14:schemeClr w14:val="tx1"/>
                  </w14:solidFill>
                </w14:textFill>
              </w:rPr>
              <w:t>3</w:t>
            </w:r>
            <w:r>
              <w:rPr>
                <w:color w:val="000000" w:themeColor="text1"/>
                <w:vertAlign w:val="superscript"/>
                <w14:textFill>
                  <w14:solidFill>
                    <w14:schemeClr w14:val="tx1"/>
                  </w14:solidFill>
                </w14:textFill>
              </w:rPr>
              <w:t>-</w:t>
            </w:r>
            <w:r>
              <w:rPr>
                <w:color w:val="000000" w:themeColor="text1"/>
                <w14:textFill>
                  <w14:solidFill>
                    <w14:schemeClr w14:val="tx1"/>
                  </w14:solidFill>
                </w14:textFill>
              </w:rPr>
              <w:t>、PO</w:t>
            </w:r>
            <w:r>
              <w:rPr>
                <w:color w:val="000000" w:themeColor="text1"/>
                <w:vertAlign w:val="subscript"/>
                <w14:textFill>
                  <w14:solidFill>
                    <w14:schemeClr w14:val="tx1"/>
                  </w14:solidFill>
                </w14:textFill>
              </w:rPr>
              <w:t>4</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、SO</w:t>
            </w:r>
            <w:r>
              <w:rPr>
                <w:color w:val="000000" w:themeColor="text1"/>
                <w:vertAlign w:val="subscript"/>
                <w14:textFill>
                  <w14:solidFill>
                    <w14:schemeClr w14:val="tx1"/>
                  </w14:solidFill>
                </w14:textFill>
              </w:rPr>
              <w:t>3</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、SO</w:t>
            </w:r>
            <w:r>
              <w:rPr>
                <w:color w:val="000000" w:themeColor="text1"/>
                <w:vertAlign w:val="subscript"/>
                <w14:textFill>
                  <w14:solidFill>
                    <w14:schemeClr w14:val="tx1"/>
                  </w14:solidFill>
                </w14:textFill>
              </w:rPr>
              <w:t>4</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）的测定 离子色谱法（HJ 84-2016）</w:t>
            </w:r>
            <w:r>
              <w:rPr>
                <w:rFonts w:hint="eastAsia"/>
                <w:color w:val="000000" w:themeColor="text1"/>
                <w14:textFill>
                  <w14:solidFill>
                    <w14:schemeClr w14:val="tx1"/>
                  </w14:solidFill>
                </w14:textFill>
              </w:rPr>
              <w:t xml:space="preserve"> </w:t>
            </w:r>
          </w:p>
        </w:tc>
        <w:tc>
          <w:tcPr>
            <w:tcW w:w="2320" w:type="dxa"/>
            <w:vAlign w:val="center"/>
          </w:tcPr>
          <w:p w14:paraId="4D49C9AA">
            <w:pPr>
              <w:pStyle w:val="70"/>
              <w:rPr>
                <w:color w:val="000000" w:themeColor="text1"/>
                <w14:textFill>
                  <w14:solidFill>
                    <w14:schemeClr w14:val="tx1"/>
                  </w14:solidFill>
                </w14:textFill>
              </w:rPr>
            </w:pPr>
            <w:r>
              <w:rPr>
                <w:color w:val="000000" w:themeColor="text1"/>
                <w14:textFill>
                  <w14:solidFill>
                    <w14:schemeClr w14:val="tx1"/>
                  </w14:solidFill>
                </w14:textFill>
              </w:rPr>
              <w:t>0.007mg/L</w:t>
            </w:r>
          </w:p>
        </w:tc>
      </w:tr>
      <w:tr w14:paraId="710C9FB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2078" w:type="dxa"/>
            <w:vAlign w:val="center"/>
          </w:tcPr>
          <w:p w14:paraId="3550D314">
            <w:pPr>
              <w:pStyle w:val="70"/>
              <w:rPr>
                <w:color w:val="000000" w:themeColor="text1"/>
                <w14:textFill>
                  <w14:solidFill>
                    <w14:schemeClr w14:val="tx1"/>
                  </w14:solidFill>
                </w14:textFill>
              </w:rPr>
            </w:pPr>
            <w:r>
              <w:rPr>
                <w:color w:val="000000" w:themeColor="text1"/>
                <w14:textFill>
                  <w14:solidFill>
                    <w14:schemeClr w14:val="tx1"/>
                  </w14:solidFill>
                </w14:textFill>
              </w:rPr>
              <w:t>SO</w:t>
            </w:r>
            <w:r>
              <w:rPr>
                <w:color w:val="000000" w:themeColor="text1"/>
                <w:vertAlign w:val="subscript"/>
                <w14:textFill>
                  <w14:solidFill>
                    <w14:schemeClr w14:val="tx1"/>
                  </w14:solidFill>
                </w14:textFill>
              </w:rPr>
              <w:t>4</w:t>
            </w:r>
            <w:r>
              <w:rPr>
                <w:color w:val="000000" w:themeColor="text1"/>
                <w:vertAlign w:val="superscript"/>
                <w14:textFill>
                  <w14:solidFill>
                    <w14:schemeClr w14:val="tx1"/>
                  </w14:solidFill>
                </w14:textFill>
              </w:rPr>
              <w:t>2-</w:t>
            </w:r>
          </w:p>
        </w:tc>
        <w:tc>
          <w:tcPr>
            <w:tcW w:w="4644" w:type="dxa"/>
            <w:vMerge w:val="continue"/>
            <w:vAlign w:val="center"/>
          </w:tcPr>
          <w:p w14:paraId="622B9202">
            <w:pPr>
              <w:pStyle w:val="70"/>
              <w:rPr>
                <w:color w:val="000000" w:themeColor="text1"/>
                <w:lang w:val="zh-CN"/>
                <w14:textFill>
                  <w14:solidFill>
                    <w14:schemeClr w14:val="tx1"/>
                  </w14:solidFill>
                </w14:textFill>
              </w:rPr>
            </w:pPr>
          </w:p>
        </w:tc>
        <w:tc>
          <w:tcPr>
            <w:tcW w:w="2320" w:type="dxa"/>
            <w:vAlign w:val="center"/>
          </w:tcPr>
          <w:p w14:paraId="7A11CB61">
            <w:pPr>
              <w:pStyle w:val="70"/>
              <w:rPr>
                <w:color w:val="000000" w:themeColor="text1"/>
                <w:lang w:val="zh-CN"/>
                <w14:textFill>
                  <w14:solidFill>
                    <w14:schemeClr w14:val="tx1"/>
                  </w14:solidFill>
                </w14:textFill>
              </w:rPr>
            </w:pPr>
            <w:r>
              <w:rPr>
                <w:color w:val="000000" w:themeColor="text1"/>
                <w14:textFill>
                  <w14:solidFill>
                    <w14:schemeClr w14:val="tx1"/>
                  </w14:solidFill>
                </w14:textFill>
              </w:rPr>
              <w:t>0.018mg/L</w:t>
            </w:r>
          </w:p>
        </w:tc>
      </w:tr>
      <w:tr w14:paraId="31B7DF2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2078" w:type="dxa"/>
            <w:vAlign w:val="center"/>
          </w:tcPr>
          <w:p w14:paraId="6E0DE101">
            <w:pPr>
              <w:pStyle w:val="70"/>
              <w:rPr>
                <w:color w:val="000000" w:themeColor="text1"/>
                <w14:textFill>
                  <w14:solidFill>
                    <w14:schemeClr w14:val="tx1"/>
                  </w14:solidFill>
                </w14:textFill>
              </w:rPr>
            </w:pPr>
            <w:r>
              <w:rPr>
                <w:color w:val="000000" w:themeColor="text1"/>
                <w14:textFill>
                  <w14:solidFill>
                    <w14:schemeClr w14:val="tx1"/>
                  </w14:solidFill>
                </w14:textFill>
              </w:rPr>
              <w:t>NO</w:t>
            </w:r>
            <w:r>
              <w:rPr>
                <w:color w:val="000000" w:themeColor="text1"/>
                <w:vertAlign w:val="subscript"/>
                <w14:textFill>
                  <w14:solidFill>
                    <w14:schemeClr w14:val="tx1"/>
                  </w14:solidFill>
                </w14:textFill>
              </w:rPr>
              <w:t>3</w:t>
            </w:r>
            <w:r>
              <w:rPr>
                <w:color w:val="000000" w:themeColor="text1"/>
                <w:vertAlign w:val="superscript"/>
                <w14:textFill>
                  <w14:solidFill>
                    <w14:schemeClr w14:val="tx1"/>
                  </w14:solidFill>
                </w14:textFill>
              </w:rPr>
              <w:t>-</w:t>
            </w:r>
          </w:p>
        </w:tc>
        <w:tc>
          <w:tcPr>
            <w:tcW w:w="4644" w:type="dxa"/>
            <w:vMerge w:val="continue"/>
            <w:vAlign w:val="center"/>
          </w:tcPr>
          <w:p w14:paraId="7E9CE59C">
            <w:pPr>
              <w:pStyle w:val="70"/>
              <w:rPr>
                <w:color w:val="000000" w:themeColor="text1"/>
                <w14:textFill>
                  <w14:solidFill>
                    <w14:schemeClr w14:val="tx1"/>
                  </w14:solidFill>
                </w14:textFill>
              </w:rPr>
            </w:pPr>
          </w:p>
        </w:tc>
        <w:tc>
          <w:tcPr>
            <w:tcW w:w="2320" w:type="dxa"/>
            <w:vAlign w:val="center"/>
          </w:tcPr>
          <w:p w14:paraId="32B284E2">
            <w:pPr>
              <w:pStyle w:val="70"/>
              <w:rPr>
                <w:color w:val="000000" w:themeColor="text1"/>
                <w14:textFill>
                  <w14:solidFill>
                    <w14:schemeClr w14:val="tx1"/>
                  </w14:solidFill>
                </w14:textFill>
              </w:rPr>
            </w:pPr>
            <w:r>
              <w:rPr>
                <w:color w:val="000000" w:themeColor="text1"/>
                <w14:textFill>
                  <w14:solidFill>
                    <w14:schemeClr w14:val="tx1"/>
                  </w14:solidFill>
                </w14:textFill>
              </w:rPr>
              <w:t>0.016mg/L</w:t>
            </w:r>
          </w:p>
        </w:tc>
      </w:tr>
      <w:tr w14:paraId="067F0D3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2078" w:type="dxa"/>
            <w:vAlign w:val="center"/>
          </w:tcPr>
          <w:p w14:paraId="63DA2FE2">
            <w:pPr>
              <w:pStyle w:val="70"/>
              <w:rPr>
                <w:color w:val="000000" w:themeColor="text1"/>
                <w14:textFill>
                  <w14:solidFill>
                    <w14:schemeClr w14:val="tx1"/>
                  </w14:solidFill>
                </w14:textFill>
              </w:rPr>
            </w:pPr>
            <w:r>
              <w:rPr>
                <w:color w:val="000000" w:themeColor="text1"/>
                <w14:textFill>
                  <w14:solidFill>
                    <w14:schemeClr w14:val="tx1"/>
                  </w14:solidFill>
                </w14:textFill>
              </w:rPr>
              <w:t>NO</w:t>
            </w:r>
            <w:r>
              <w:rPr>
                <w:color w:val="000000" w:themeColor="text1"/>
                <w:vertAlign w:val="subscript"/>
                <w14:textFill>
                  <w14:solidFill>
                    <w14:schemeClr w14:val="tx1"/>
                  </w14:solidFill>
                </w14:textFill>
              </w:rPr>
              <w:t>2</w:t>
            </w:r>
            <w:r>
              <w:rPr>
                <w:color w:val="000000" w:themeColor="text1"/>
                <w:vertAlign w:val="superscript"/>
                <w14:textFill>
                  <w14:solidFill>
                    <w14:schemeClr w14:val="tx1"/>
                  </w14:solidFill>
                </w14:textFill>
              </w:rPr>
              <w:t>-</w:t>
            </w:r>
          </w:p>
        </w:tc>
        <w:tc>
          <w:tcPr>
            <w:tcW w:w="4644" w:type="dxa"/>
            <w:vMerge w:val="continue"/>
            <w:vAlign w:val="center"/>
          </w:tcPr>
          <w:p w14:paraId="7EDC7612">
            <w:pPr>
              <w:pStyle w:val="70"/>
              <w:rPr>
                <w:color w:val="000000" w:themeColor="text1"/>
                <w14:textFill>
                  <w14:solidFill>
                    <w14:schemeClr w14:val="tx1"/>
                  </w14:solidFill>
                </w14:textFill>
              </w:rPr>
            </w:pPr>
          </w:p>
        </w:tc>
        <w:tc>
          <w:tcPr>
            <w:tcW w:w="2320" w:type="dxa"/>
            <w:vAlign w:val="center"/>
          </w:tcPr>
          <w:p w14:paraId="141E4C98">
            <w:pPr>
              <w:pStyle w:val="70"/>
              <w:rPr>
                <w:color w:val="000000" w:themeColor="text1"/>
                <w:lang w:val="zh-CN"/>
                <w14:textFill>
                  <w14:solidFill>
                    <w14:schemeClr w14:val="tx1"/>
                  </w14:solidFill>
                </w14:textFill>
              </w:rPr>
            </w:pPr>
            <w:r>
              <w:rPr>
                <w:color w:val="000000" w:themeColor="text1"/>
                <w14:textFill>
                  <w14:solidFill>
                    <w14:schemeClr w14:val="tx1"/>
                  </w14:solidFill>
                </w14:textFill>
              </w:rPr>
              <w:t>0.016mg/L</w:t>
            </w:r>
          </w:p>
        </w:tc>
      </w:tr>
      <w:tr w14:paraId="2E62D97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2078" w:type="dxa"/>
            <w:vAlign w:val="center"/>
          </w:tcPr>
          <w:p w14:paraId="0B099776">
            <w:pPr>
              <w:pStyle w:val="70"/>
              <w:rPr>
                <w:color w:val="000000" w:themeColor="text1"/>
                <w14:textFill>
                  <w14:solidFill>
                    <w14:schemeClr w14:val="tx1"/>
                  </w14:solidFill>
                </w14:textFill>
              </w:rPr>
            </w:pPr>
            <w:r>
              <w:rPr>
                <w:color w:val="000000" w:themeColor="text1"/>
                <w14:textFill>
                  <w14:solidFill>
                    <w14:schemeClr w14:val="tx1"/>
                  </w14:solidFill>
                </w14:textFill>
              </w:rPr>
              <w:t>F</w:t>
            </w:r>
            <w:r>
              <w:rPr>
                <w:color w:val="000000" w:themeColor="text1"/>
                <w:vertAlign w:val="superscript"/>
                <w14:textFill>
                  <w14:solidFill>
                    <w14:schemeClr w14:val="tx1"/>
                  </w14:solidFill>
                </w14:textFill>
              </w:rPr>
              <w:t>-</w:t>
            </w:r>
          </w:p>
        </w:tc>
        <w:tc>
          <w:tcPr>
            <w:tcW w:w="4644" w:type="dxa"/>
            <w:vMerge w:val="continue"/>
            <w:vAlign w:val="center"/>
          </w:tcPr>
          <w:p w14:paraId="357FDC5B">
            <w:pPr>
              <w:pStyle w:val="70"/>
              <w:rPr>
                <w:color w:val="000000" w:themeColor="text1"/>
                <w14:textFill>
                  <w14:solidFill>
                    <w14:schemeClr w14:val="tx1"/>
                  </w14:solidFill>
                </w14:textFill>
              </w:rPr>
            </w:pPr>
          </w:p>
        </w:tc>
        <w:tc>
          <w:tcPr>
            <w:tcW w:w="2320" w:type="dxa"/>
            <w:vAlign w:val="center"/>
          </w:tcPr>
          <w:p w14:paraId="0B9D711A">
            <w:pPr>
              <w:pStyle w:val="70"/>
              <w:rPr>
                <w:color w:val="000000" w:themeColor="text1"/>
                <w14:textFill>
                  <w14:solidFill>
                    <w14:schemeClr w14:val="tx1"/>
                  </w14:solidFill>
                </w14:textFill>
              </w:rPr>
            </w:pPr>
            <w:r>
              <w:rPr>
                <w:color w:val="000000" w:themeColor="text1"/>
                <w14:textFill>
                  <w14:solidFill>
                    <w14:schemeClr w14:val="tx1"/>
                  </w14:solidFill>
                </w14:textFill>
              </w:rPr>
              <w:t>0.006mg/L</w:t>
            </w:r>
          </w:p>
        </w:tc>
      </w:tr>
      <w:tr w14:paraId="032D68A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2078" w:type="dxa"/>
            <w:vAlign w:val="center"/>
          </w:tcPr>
          <w:p w14:paraId="271B3F47">
            <w:pPr>
              <w:pStyle w:val="70"/>
              <w:rPr>
                <w:color w:val="000000" w:themeColor="text1"/>
                <w14:textFill>
                  <w14:solidFill>
                    <w14:schemeClr w14:val="tx1"/>
                  </w14:solidFill>
                </w14:textFill>
              </w:rPr>
            </w:pPr>
            <w:r>
              <w:rPr>
                <w:color w:val="000000" w:themeColor="text1"/>
                <w14:textFill>
                  <w14:solidFill>
                    <w14:schemeClr w14:val="tx1"/>
                  </w14:solidFill>
                </w14:textFill>
              </w:rPr>
              <w:t>总硬度</w:t>
            </w:r>
          </w:p>
        </w:tc>
        <w:tc>
          <w:tcPr>
            <w:tcW w:w="4644" w:type="dxa"/>
            <w:vAlign w:val="center"/>
          </w:tcPr>
          <w:p w14:paraId="1DA22855">
            <w:pPr>
              <w:pStyle w:val="70"/>
              <w:rPr>
                <w:color w:val="000000" w:themeColor="text1"/>
                <w:lang w:val="zh-CN"/>
                <w14:textFill>
                  <w14:solidFill>
                    <w14:schemeClr w14:val="tx1"/>
                  </w14:solidFill>
                </w14:textFill>
              </w:rPr>
            </w:pPr>
            <w:r>
              <w:rPr>
                <w:rFonts w:hint="eastAsia"/>
                <w:color w:val="000000" w:themeColor="text1"/>
                <w14:textFill>
                  <w14:solidFill>
                    <w14:schemeClr w14:val="tx1"/>
                  </w14:solidFill>
                </w14:textFill>
              </w:rPr>
              <w:t>水质</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钙和镁总量的测定</w:t>
            </w:r>
            <w:r>
              <w:rPr>
                <w:color w:val="000000" w:themeColor="text1"/>
                <w14:textFill>
                  <w14:solidFill>
                    <w14:schemeClr w14:val="tx1"/>
                  </w14:solidFill>
                </w14:textFill>
              </w:rPr>
              <w:t xml:space="preserve"> EDTA</w:t>
            </w:r>
            <w:r>
              <w:rPr>
                <w:rFonts w:hint="eastAsia"/>
                <w:color w:val="000000" w:themeColor="text1"/>
                <w14:textFill>
                  <w14:solidFill>
                    <w14:schemeClr w14:val="tx1"/>
                  </w14:solidFill>
                </w14:textFill>
              </w:rPr>
              <w:t>滴定法（</w:t>
            </w:r>
            <w:r>
              <w:rPr>
                <w:color w:val="000000" w:themeColor="text1"/>
                <w14:textFill>
                  <w14:solidFill>
                    <w14:schemeClr w14:val="tx1"/>
                  </w14:solidFill>
                </w14:textFill>
              </w:rPr>
              <w:t>GB 7477-87</w:t>
            </w:r>
            <w:r>
              <w:rPr>
                <w:rFonts w:hint="eastAsia"/>
                <w:color w:val="000000" w:themeColor="text1"/>
                <w14:textFill>
                  <w14:solidFill>
                    <w14:schemeClr w14:val="tx1"/>
                  </w14:solidFill>
                </w14:textFill>
              </w:rPr>
              <w:t>）</w:t>
            </w:r>
          </w:p>
        </w:tc>
        <w:tc>
          <w:tcPr>
            <w:tcW w:w="2320" w:type="dxa"/>
            <w:vAlign w:val="center"/>
          </w:tcPr>
          <w:p w14:paraId="339134F4">
            <w:pPr>
              <w:pStyle w:val="70"/>
              <w:rPr>
                <w:color w:val="000000" w:themeColor="text1"/>
                <w:lang w:val="zh-CN"/>
                <w14:textFill>
                  <w14:solidFill>
                    <w14:schemeClr w14:val="tx1"/>
                  </w14:solidFill>
                </w14:textFill>
              </w:rPr>
            </w:pPr>
            <w:r>
              <w:rPr>
                <w:color w:val="000000" w:themeColor="text1"/>
                <w14:textFill>
                  <w14:solidFill>
                    <w14:schemeClr w14:val="tx1"/>
                  </w14:solidFill>
                </w14:textFill>
              </w:rPr>
              <w:t>5mg/L</w:t>
            </w:r>
          </w:p>
        </w:tc>
      </w:tr>
      <w:tr w14:paraId="6BBD9BB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2078" w:type="dxa"/>
            <w:vAlign w:val="center"/>
          </w:tcPr>
          <w:p w14:paraId="22DDC4D9">
            <w:pPr>
              <w:pStyle w:val="70"/>
              <w:rPr>
                <w:color w:val="000000" w:themeColor="text1"/>
                <w14:textFill>
                  <w14:solidFill>
                    <w14:schemeClr w14:val="tx1"/>
                  </w14:solidFill>
                </w14:textFill>
              </w:rPr>
            </w:pPr>
            <w:r>
              <w:rPr>
                <w:color w:val="000000" w:themeColor="text1"/>
                <w14:textFill>
                  <w14:solidFill>
                    <w14:schemeClr w14:val="tx1"/>
                  </w14:solidFill>
                </w14:textFill>
              </w:rPr>
              <w:t>溶解性总固体</w:t>
            </w:r>
          </w:p>
        </w:tc>
        <w:tc>
          <w:tcPr>
            <w:tcW w:w="4644" w:type="dxa"/>
            <w:vAlign w:val="center"/>
          </w:tcPr>
          <w:p w14:paraId="0AAC770A">
            <w:pPr>
              <w:pStyle w:val="70"/>
              <w:rPr>
                <w:color w:val="000000" w:themeColor="text1"/>
                <w14:textFill>
                  <w14:solidFill>
                    <w14:schemeClr w14:val="tx1"/>
                  </w14:solidFill>
                </w14:textFill>
              </w:rPr>
            </w:pPr>
            <w:r>
              <w:rPr>
                <w:color w:val="000000" w:themeColor="text1"/>
                <w14:textFill>
                  <w14:solidFill>
                    <w14:schemeClr w14:val="tx1"/>
                  </w14:solidFill>
                </w14:textFill>
              </w:rPr>
              <w:t>生活饮用水标准检验方法 第4部分： 感官性状和物理指标</w:t>
            </w:r>
          </w:p>
          <w:p w14:paraId="26A495D0">
            <w:pPr>
              <w:pStyle w:val="70"/>
              <w:rPr>
                <w:color w:val="000000" w:themeColor="text1"/>
                <w14:textFill>
                  <w14:solidFill>
                    <w14:schemeClr w14:val="tx1"/>
                  </w14:solidFill>
                </w14:textFill>
              </w:rPr>
            </w:pPr>
            <w:r>
              <w:rPr>
                <w:color w:val="000000" w:themeColor="text1"/>
                <w14:textFill>
                  <w14:solidFill>
                    <w14:schemeClr w14:val="tx1"/>
                  </w14:solidFill>
                </w14:textFill>
              </w:rPr>
              <w:t>（11.1称量法）（GB/T 5750.4-2023）</w:t>
            </w:r>
          </w:p>
        </w:tc>
        <w:tc>
          <w:tcPr>
            <w:tcW w:w="2320" w:type="dxa"/>
            <w:vAlign w:val="center"/>
          </w:tcPr>
          <w:p w14:paraId="2C4D99B3">
            <w:pPr>
              <w:pStyle w:val="70"/>
              <w:rPr>
                <w:color w:val="000000" w:themeColor="text1"/>
                <w14:textFill>
                  <w14:solidFill>
                    <w14:schemeClr w14:val="tx1"/>
                  </w14:solidFill>
                </w14:textFill>
              </w:rPr>
            </w:pPr>
            <w:r>
              <w:rPr>
                <w:color w:val="000000" w:themeColor="text1"/>
                <w14:textFill>
                  <w14:solidFill>
                    <w14:schemeClr w14:val="tx1"/>
                  </w14:solidFill>
                </w14:textFill>
              </w:rPr>
              <w:t>4mg/L</w:t>
            </w:r>
          </w:p>
        </w:tc>
      </w:tr>
      <w:tr w14:paraId="69DEC1A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2078" w:type="dxa"/>
            <w:vAlign w:val="center"/>
          </w:tcPr>
          <w:p w14:paraId="7A48A225">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挥发酚</w:t>
            </w:r>
          </w:p>
        </w:tc>
        <w:tc>
          <w:tcPr>
            <w:tcW w:w="4644" w:type="dxa"/>
            <w:vAlign w:val="center"/>
          </w:tcPr>
          <w:p w14:paraId="3095C42B">
            <w:pPr>
              <w:pStyle w:val="70"/>
              <w:rPr>
                <w:color w:val="000000" w:themeColor="text1"/>
                <w:lang w:val="zh-CN"/>
                <w14:textFill>
                  <w14:solidFill>
                    <w14:schemeClr w14:val="tx1"/>
                  </w14:solidFill>
                </w14:textFill>
              </w:rPr>
            </w:pPr>
            <w:r>
              <w:rPr>
                <w:rFonts w:hint="eastAsia"/>
                <w:color w:val="000000" w:themeColor="text1"/>
                <w14:textFill>
                  <w14:solidFill>
                    <w14:schemeClr w14:val="tx1"/>
                  </w14:solidFill>
                </w14:textFill>
              </w:rPr>
              <w:t>水质</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挥发酚的测定</w:t>
            </w:r>
            <w:r>
              <w:rPr>
                <w:color w:val="000000" w:themeColor="text1"/>
                <w14:textFill>
                  <w14:solidFill>
                    <w14:schemeClr w14:val="tx1"/>
                  </w14:solidFill>
                </w14:textFill>
              </w:rPr>
              <w:t xml:space="preserve"> 4-</w:t>
            </w:r>
            <w:r>
              <w:rPr>
                <w:rFonts w:hint="eastAsia"/>
                <w:color w:val="000000" w:themeColor="text1"/>
                <w14:textFill>
                  <w14:solidFill>
                    <w14:schemeClr w14:val="tx1"/>
                  </w14:solidFill>
                </w14:textFill>
              </w:rPr>
              <w:t>氨基安替比林分光光度法（方法</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萃取分光光度法）（</w:t>
            </w:r>
            <w:r>
              <w:rPr>
                <w:color w:val="000000" w:themeColor="text1"/>
                <w14:textFill>
                  <w14:solidFill>
                    <w14:schemeClr w14:val="tx1"/>
                  </w14:solidFill>
                </w14:textFill>
              </w:rPr>
              <w:t>HJ 503-2009</w:t>
            </w:r>
            <w:r>
              <w:rPr>
                <w:rFonts w:hint="eastAsia"/>
                <w:color w:val="000000" w:themeColor="text1"/>
                <w14:textFill>
                  <w14:solidFill>
                    <w14:schemeClr w14:val="tx1"/>
                  </w14:solidFill>
                </w14:textFill>
              </w:rPr>
              <w:t>）</w:t>
            </w:r>
          </w:p>
        </w:tc>
        <w:tc>
          <w:tcPr>
            <w:tcW w:w="2320" w:type="dxa"/>
            <w:vAlign w:val="center"/>
          </w:tcPr>
          <w:p w14:paraId="6585896B">
            <w:pPr>
              <w:pStyle w:val="70"/>
              <w:rPr>
                <w:color w:val="000000" w:themeColor="text1"/>
                <w:lang w:val="zh-CN"/>
                <w14:textFill>
                  <w14:solidFill>
                    <w14:schemeClr w14:val="tx1"/>
                  </w14:solidFill>
                </w14:textFill>
              </w:rPr>
            </w:pPr>
            <w:r>
              <w:rPr>
                <w:color w:val="000000" w:themeColor="text1"/>
                <w14:textFill>
                  <w14:solidFill>
                    <w14:schemeClr w14:val="tx1"/>
                  </w14:solidFill>
                </w14:textFill>
              </w:rPr>
              <w:t>0.0003mg/L</w:t>
            </w:r>
          </w:p>
        </w:tc>
      </w:tr>
      <w:tr w14:paraId="1CF8CB8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2078" w:type="dxa"/>
            <w:vAlign w:val="center"/>
          </w:tcPr>
          <w:p w14:paraId="7F452028">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高锰酸盐指数（以O</w:t>
            </w:r>
            <w:r>
              <w:rPr>
                <w:rFonts w:hint="eastAsia"/>
                <w:color w:val="000000" w:themeColor="text1"/>
                <w:vertAlign w:val="subscript"/>
                <w14:textFill>
                  <w14:solidFill>
                    <w14:schemeClr w14:val="tx1"/>
                  </w14:solidFill>
                </w14:textFill>
              </w:rPr>
              <w:t>2</w:t>
            </w:r>
            <w:r>
              <w:rPr>
                <w:rFonts w:hint="eastAsia"/>
                <w:color w:val="000000" w:themeColor="text1"/>
                <w14:textFill>
                  <w14:solidFill>
                    <w14:schemeClr w14:val="tx1"/>
                  </w14:solidFill>
                </w14:textFill>
              </w:rPr>
              <w:t>计）</w:t>
            </w:r>
          </w:p>
        </w:tc>
        <w:tc>
          <w:tcPr>
            <w:tcW w:w="4644" w:type="dxa"/>
            <w:vAlign w:val="center"/>
          </w:tcPr>
          <w:p w14:paraId="5132DD13">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生活饮用水标准检验方法</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第</w:t>
            </w:r>
            <w:r>
              <w:rPr>
                <w:color w:val="000000" w:themeColor="text1"/>
                <w14:textFill>
                  <w14:solidFill>
                    <w14:schemeClr w14:val="tx1"/>
                  </w14:solidFill>
                </w14:textFill>
              </w:rPr>
              <w:t>7</w:t>
            </w:r>
            <w:r>
              <w:rPr>
                <w:rFonts w:hint="eastAsia"/>
                <w:color w:val="000000" w:themeColor="text1"/>
                <w14:textFill>
                  <w14:solidFill>
                    <w14:schemeClr w14:val="tx1"/>
                  </w14:solidFill>
                </w14:textFill>
              </w:rPr>
              <w:t>部分：</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有机物综合指标（</w:t>
            </w:r>
            <w:r>
              <w:rPr>
                <w:color w:val="000000" w:themeColor="text1"/>
                <w14:textFill>
                  <w14:solidFill>
                    <w14:schemeClr w14:val="tx1"/>
                  </w14:solidFill>
                </w14:textFill>
              </w:rPr>
              <w:t xml:space="preserve">4.1 </w:t>
            </w:r>
            <w:r>
              <w:rPr>
                <w:rFonts w:hint="eastAsia"/>
                <w:color w:val="000000" w:themeColor="text1"/>
                <w14:textFill>
                  <w14:solidFill>
                    <w14:schemeClr w14:val="tx1"/>
                  </w14:solidFill>
                </w14:textFill>
              </w:rPr>
              <w:t>酸性高锰酸钾滴定法）（</w:t>
            </w:r>
            <w:r>
              <w:rPr>
                <w:color w:val="000000" w:themeColor="text1"/>
                <w14:textFill>
                  <w14:solidFill>
                    <w14:schemeClr w14:val="tx1"/>
                  </w14:solidFill>
                </w14:textFill>
              </w:rPr>
              <w:t>GB/T 5750.7-2023</w:t>
            </w:r>
            <w:r>
              <w:rPr>
                <w:rFonts w:hint="eastAsia"/>
                <w:color w:val="000000" w:themeColor="text1"/>
                <w14:textFill>
                  <w14:solidFill>
                    <w14:schemeClr w14:val="tx1"/>
                  </w14:solidFill>
                </w14:textFill>
              </w:rPr>
              <w:t>）</w:t>
            </w:r>
          </w:p>
        </w:tc>
        <w:tc>
          <w:tcPr>
            <w:tcW w:w="2320" w:type="dxa"/>
            <w:vAlign w:val="center"/>
          </w:tcPr>
          <w:p w14:paraId="43EF27B5">
            <w:pPr>
              <w:pStyle w:val="70"/>
              <w:rPr>
                <w:color w:val="000000" w:themeColor="text1"/>
                <w14:textFill>
                  <w14:solidFill>
                    <w14:schemeClr w14:val="tx1"/>
                  </w14:solidFill>
                </w14:textFill>
              </w:rPr>
            </w:pPr>
            <w:r>
              <w:rPr>
                <w:color w:val="000000" w:themeColor="text1"/>
                <w14:textFill>
                  <w14:solidFill>
                    <w14:schemeClr w14:val="tx1"/>
                  </w14:solidFill>
                </w14:textFill>
              </w:rPr>
              <w:t>0.05mg/L</w:t>
            </w:r>
          </w:p>
        </w:tc>
      </w:tr>
      <w:tr w14:paraId="5DD1F4B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2078" w:type="dxa"/>
            <w:vAlign w:val="center"/>
          </w:tcPr>
          <w:p w14:paraId="0D28915B">
            <w:pPr>
              <w:pStyle w:val="70"/>
              <w:rPr>
                <w:color w:val="000000" w:themeColor="text1"/>
                <w14:textFill>
                  <w14:solidFill>
                    <w14:schemeClr w14:val="tx1"/>
                  </w14:solidFill>
                </w14:textFill>
              </w:rPr>
            </w:pPr>
            <w:r>
              <w:rPr>
                <w:color w:val="000000" w:themeColor="text1"/>
                <w14:textFill>
                  <w14:solidFill>
                    <w14:schemeClr w14:val="tx1"/>
                  </w14:solidFill>
                </w14:textFill>
              </w:rPr>
              <w:t>氨氮</w:t>
            </w:r>
          </w:p>
        </w:tc>
        <w:tc>
          <w:tcPr>
            <w:tcW w:w="4644" w:type="dxa"/>
            <w:vAlign w:val="center"/>
          </w:tcPr>
          <w:p w14:paraId="7D479082">
            <w:pPr>
              <w:pStyle w:val="70"/>
              <w:rPr>
                <w:color w:val="000000" w:themeColor="text1"/>
                <w14:textFill>
                  <w14:solidFill>
                    <w14:schemeClr w14:val="tx1"/>
                  </w14:solidFill>
                </w14:textFill>
              </w:rPr>
            </w:pPr>
            <w:r>
              <w:rPr>
                <w:color w:val="000000" w:themeColor="text1"/>
                <w14:textFill>
                  <w14:solidFill>
                    <w14:schemeClr w14:val="tx1"/>
                  </w14:solidFill>
                </w14:textFill>
              </w:rPr>
              <w:t>水质 氨氮的测定 纳氏试剂分光光度法（HJ 535-2009）</w:t>
            </w:r>
          </w:p>
        </w:tc>
        <w:tc>
          <w:tcPr>
            <w:tcW w:w="2320" w:type="dxa"/>
            <w:vAlign w:val="center"/>
          </w:tcPr>
          <w:p w14:paraId="533257F5">
            <w:pPr>
              <w:pStyle w:val="70"/>
              <w:rPr>
                <w:color w:val="000000" w:themeColor="text1"/>
                <w14:textFill>
                  <w14:solidFill>
                    <w14:schemeClr w14:val="tx1"/>
                  </w14:solidFill>
                </w14:textFill>
              </w:rPr>
            </w:pPr>
            <w:r>
              <w:rPr>
                <w:color w:val="000000" w:themeColor="text1"/>
                <w14:textFill>
                  <w14:solidFill>
                    <w14:schemeClr w14:val="tx1"/>
                  </w14:solidFill>
                </w14:textFill>
              </w:rPr>
              <w:t>0.025mg/L</w:t>
            </w:r>
          </w:p>
        </w:tc>
      </w:tr>
      <w:tr w14:paraId="0C4CFA1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2078" w:type="dxa"/>
            <w:vAlign w:val="center"/>
          </w:tcPr>
          <w:p w14:paraId="160E48C1">
            <w:pPr>
              <w:pStyle w:val="70"/>
              <w:rPr>
                <w:color w:val="000000" w:themeColor="text1"/>
                <w14:textFill>
                  <w14:solidFill>
                    <w14:schemeClr w14:val="tx1"/>
                  </w14:solidFill>
                </w14:textFill>
              </w:rPr>
            </w:pPr>
            <w:r>
              <w:rPr>
                <w:color w:val="000000" w:themeColor="text1"/>
                <w14:textFill>
                  <w14:solidFill>
                    <w14:schemeClr w14:val="tx1"/>
                  </w14:solidFill>
                </w14:textFill>
              </w:rPr>
              <w:t>硫化物</w:t>
            </w:r>
          </w:p>
        </w:tc>
        <w:tc>
          <w:tcPr>
            <w:tcW w:w="4644" w:type="dxa"/>
            <w:vAlign w:val="center"/>
          </w:tcPr>
          <w:p w14:paraId="3804C59B">
            <w:pPr>
              <w:pStyle w:val="70"/>
              <w:rPr>
                <w:color w:val="000000" w:themeColor="text1"/>
                <w14:textFill>
                  <w14:solidFill>
                    <w14:schemeClr w14:val="tx1"/>
                  </w14:solidFill>
                </w14:textFill>
              </w:rPr>
            </w:pPr>
            <w:r>
              <w:rPr>
                <w:color w:val="000000" w:themeColor="text1"/>
                <w14:textFill>
                  <w14:solidFill>
                    <w14:schemeClr w14:val="tx1"/>
                  </w14:solidFill>
                </w14:textFill>
              </w:rPr>
              <w:t>水质 硫化物的测定 亚甲基蓝分光光度法（HJ 1226-2021）</w:t>
            </w:r>
          </w:p>
        </w:tc>
        <w:tc>
          <w:tcPr>
            <w:tcW w:w="2320" w:type="dxa"/>
            <w:vAlign w:val="center"/>
          </w:tcPr>
          <w:p w14:paraId="6AF34411">
            <w:pPr>
              <w:pStyle w:val="70"/>
              <w:rPr>
                <w:color w:val="000000" w:themeColor="text1"/>
                <w14:textFill>
                  <w14:solidFill>
                    <w14:schemeClr w14:val="tx1"/>
                  </w14:solidFill>
                </w14:textFill>
              </w:rPr>
            </w:pPr>
            <w:r>
              <w:rPr>
                <w:color w:val="000000" w:themeColor="text1"/>
                <w14:textFill>
                  <w14:solidFill>
                    <w14:schemeClr w14:val="tx1"/>
                  </w14:solidFill>
                </w14:textFill>
              </w:rPr>
              <w:t>0.003mg/L</w:t>
            </w:r>
          </w:p>
        </w:tc>
      </w:tr>
      <w:tr w14:paraId="6CD97E7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2078" w:type="dxa"/>
            <w:vAlign w:val="center"/>
          </w:tcPr>
          <w:p w14:paraId="70D2E35E">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氰化物</w:t>
            </w:r>
          </w:p>
        </w:tc>
        <w:tc>
          <w:tcPr>
            <w:tcW w:w="4644" w:type="dxa"/>
            <w:vAlign w:val="center"/>
          </w:tcPr>
          <w:p w14:paraId="4431E935">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生活饮用水标准检验方法</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第</w:t>
            </w:r>
            <w:r>
              <w:rPr>
                <w:color w:val="000000" w:themeColor="text1"/>
                <w14:textFill>
                  <w14:solidFill>
                    <w14:schemeClr w14:val="tx1"/>
                  </w14:solidFill>
                </w14:textFill>
              </w:rPr>
              <w:t>5</w:t>
            </w:r>
            <w:r>
              <w:rPr>
                <w:rFonts w:hint="eastAsia"/>
                <w:color w:val="000000" w:themeColor="text1"/>
                <w14:textFill>
                  <w14:solidFill>
                    <w14:schemeClr w14:val="tx1"/>
                  </w14:solidFill>
                </w14:textFill>
              </w:rPr>
              <w:t>部分：</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无机非金属指标</w:t>
            </w:r>
          </w:p>
          <w:p w14:paraId="6B6C365A">
            <w:pPr>
              <w:pStyle w:val="70"/>
              <w:rPr>
                <w:color w:val="000000" w:themeColor="text1"/>
                <w:lang w:val="zh-CN"/>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 xml:space="preserve">7.1 </w:t>
            </w:r>
            <w:r>
              <w:rPr>
                <w:rFonts w:hint="eastAsia"/>
                <w:color w:val="000000" w:themeColor="text1"/>
                <w14:textFill>
                  <w14:solidFill>
                    <w14:schemeClr w14:val="tx1"/>
                  </w14:solidFill>
                </w14:textFill>
              </w:rPr>
              <w:t>异烟酸</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吡唑啉酮分光光度法）（</w:t>
            </w:r>
            <w:r>
              <w:rPr>
                <w:color w:val="000000" w:themeColor="text1"/>
                <w14:textFill>
                  <w14:solidFill>
                    <w14:schemeClr w14:val="tx1"/>
                  </w14:solidFill>
                </w14:textFill>
              </w:rPr>
              <w:t>GB/T 5750.5-2023</w:t>
            </w:r>
            <w:r>
              <w:rPr>
                <w:rFonts w:hint="eastAsia"/>
                <w:color w:val="000000" w:themeColor="text1"/>
                <w14:textFill>
                  <w14:solidFill>
                    <w14:schemeClr w14:val="tx1"/>
                  </w14:solidFill>
                </w14:textFill>
              </w:rPr>
              <w:t>）</w:t>
            </w:r>
          </w:p>
        </w:tc>
        <w:tc>
          <w:tcPr>
            <w:tcW w:w="2320" w:type="dxa"/>
            <w:vAlign w:val="center"/>
          </w:tcPr>
          <w:p w14:paraId="3C105B02">
            <w:pPr>
              <w:pStyle w:val="70"/>
              <w:rPr>
                <w:color w:val="000000" w:themeColor="text1"/>
                <w14:textFill>
                  <w14:solidFill>
                    <w14:schemeClr w14:val="tx1"/>
                  </w14:solidFill>
                </w14:textFill>
              </w:rPr>
            </w:pPr>
            <w:r>
              <w:rPr>
                <w:color w:val="000000" w:themeColor="text1"/>
                <w14:textFill>
                  <w14:solidFill>
                    <w14:schemeClr w14:val="tx1"/>
                  </w14:solidFill>
                </w14:textFill>
              </w:rPr>
              <w:t>0.002mg/L</w:t>
            </w:r>
          </w:p>
        </w:tc>
      </w:tr>
      <w:tr w14:paraId="204EB0A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2078" w:type="dxa"/>
            <w:vAlign w:val="center"/>
          </w:tcPr>
          <w:p w14:paraId="61679F66">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汞</w:t>
            </w:r>
          </w:p>
        </w:tc>
        <w:tc>
          <w:tcPr>
            <w:tcW w:w="4644" w:type="dxa"/>
            <w:vMerge w:val="restart"/>
            <w:vAlign w:val="center"/>
          </w:tcPr>
          <w:p w14:paraId="06096C47">
            <w:pPr>
              <w:pStyle w:val="70"/>
              <w:rPr>
                <w:color w:val="000000" w:themeColor="text1"/>
                <w:lang w:val="zh-CN"/>
                <w14:textFill>
                  <w14:solidFill>
                    <w14:schemeClr w14:val="tx1"/>
                  </w14:solidFill>
                </w14:textFill>
              </w:rPr>
            </w:pPr>
            <w:r>
              <w:rPr>
                <w:rFonts w:hint="eastAsia"/>
                <w:color w:val="000000" w:themeColor="text1"/>
                <w14:textFill>
                  <w14:solidFill>
                    <w14:schemeClr w14:val="tx1"/>
                  </w14:solidFill>
                </w14:textFill>
              </w:rPr>
              <w:t>水质</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汞、砷、硒、铋和锑的测定</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原子荧光法（</w:t>
            </w:r>
            <w:r>
              <w:rPr>
                <w:color w:val="000000" w:themeColor="text1"/>
                <w14:textFill>
                  <w14:solidFill>
                    <w14:schemeClr w14:val="tx1"/>
                  </w14:solidFill>
                </w14:textFill>
              </w:rPr>
              <w:t>HJ 694-2014</w:t>
            </w:r>
            <w:r>
              <w:rPr>
                <w:rFonts w:hint="eastAsia"/>
                <w:color w:val="000000" w:themeColor="text1"/>
                <w14:textFill>
                  <w14:solidFill>
                    <w14:schemeClr w14:val="tx1"/>
                  </w14:solidFill>
                </w14:textFill>
              </w:rPr>
              <w:t>）</w:t>
            </w:r>
          </w:p>
        </w:tc>
        <w:tc>
          <w:tcPr>
            <w:tcW w:w="2320" w:type="dxa"/>
            <w:vAlign w:val="center"/>
          </w:tcPr>
          <w:p w14:paraId="7E074C0F">
            <w:pPr>
              <w:pStyle w:val="70"/>
              <w:rPr>
                <w:color w:val="000000" w:themeColor="text1"/>
                <w14:textFill>
                  <w14:solidFill>
                    <w14:schemeClr w14:val="tx1"/>
                  </w14:solidFill>
                </w14:textFill>
              </w:rPr>
            </w:pPr>
            <w:r>
              <w:rPr>
                <w:color w:val="000000" w:themeColor="text1"/>
                <w14:textFill>
                  <w14:solidFill>
                    <w14:schemeClr w14:val="tx1"/>
                  </w14:solidFill>
                </w14:textFill>
              </w:rPr>
              <w:t>0.04μg/L</w:t>
            </w:r>
          </w:p>
        </w:tc>
      </w:tr>
      <w:tr w14:paraId="64D65FB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2078" w:type="dxa"/>
            <w:vAlign w:val="center"/>
          </w:tcPr>
          <w:p w14:paraId="42FF1CFD">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砷</w:t>
            </w:r>
          </w:p>
        </w:tc>
        <w:tc>
          <w:tcPr>
            <w:tcW w:w="4644" w:type="dxa"/>
            <w:vMerge w:val="continue"/>
            <w:vAlign w:val="center"/>
          </w:tcPr>
          <w:p w14:paraId="784AA4E4">
            <w:pPr>
              <w:pStyle w:val="70"/>
              <w:rPr>
                <w:color w:val="000000" w:themeColor="text1"/>
                <w:lang w:val="zh-CN"/>
                <w14:textFill>
                  <w14:solidFill>
                    <w14:schemeClr w14:val="tx1"/>
                  </w14:solidFill>
                </w14:textFill>
              </w:rPr>
            </w:pPr>
          </w:p>
        </w:tc>
        <w:tc>
          <w:tcPr>
            <w:tcW w:w="2320" w:type="dxa"/>
            <w:vAlign w:val="center"/>
          </w:tcPr>
          <w:p w14:paraId="02E63BF5">
            <w:pPr>
              <w:pStyle w:val="70"/>
              <w:rPr>
                <w:color w:val="000000" w:themeColor="text1"/>
                <w14:textFill>
                  <w14:solidFill>
                    <w14:schemeClr w14:val="tx1"/>
                  </w14:solidFill>
                </w14:textFill>
              </w:rPr>
            </w:pPr>
            <w:r>
              <w:rPr>
                <w:color w:val="000000" w:themeColor="text1"/>
                <w14:textFill>
                  <w14:solidFill>
                    <w14:schemeClr w14:val="tx1"/>
                  </w14:solidFill>
                </w14:textFill>
              </w:rPr>
              <w:t>0.3μg/L</w:t>
            </w:r>
          </w:p>
        </w:tc>
      </w:tr>
      <w:tr w14:paraId="7700734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2078" w:type="dxa"/>
            <w:vAlign w:val="center"/>
          </w:tcPr>
          <w:p w14:paraId="2F2F239E">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铅</w:t>
            </w:r>
          </w:p>
        </w:tc>
        <w:tc>
          <w:tcPr>
            <w:tcW w:w="4644" w:type="dxa"/>
            <w:vMerge w:val="restart"/>
            <w:vAlign w:val="center"/>
          </w:tcPr>
          <w:p w14:paraId="4A6416B5">
            <w:pPr>
              <w:pStyle w:val="70"/>
              <w:rPr>
                <w:color w:val="000000" w:themeColor="text1"/>
                <w:lang w:val="zh-CN"/>
                <w14:textFill>
                  <w14:solidFill>
                    <w14:schemeClr w14:val="tx1"/>
                  </w14:solidFill>
                </w14:textFill>
              </w:rPr>
            </w:pPr>
            <w:r>
              <w:rPr>
                <w:rFonts w:hint="eastAsia"/>
                <w:color w:val="000000" w:themeColor="text1"/>
                <w14:textFill>
                  <w14:solidFill>
                    <w14:schemeClr w14:val="tx1"/>
                  </w14:solidFill>
                </w14:textFill>
              </w:rPr>
              <w:t>石墨炉原子吸收分光光度法《水和废水监测分析方法》（第四版）国家环境保护总局（</w:t>
            </w:r>
            <w:r>
              <w:rPr>
                <w:color w:val="000000" w:themeColor="text1"/>
                <w14:textFill>
                  <w14:solidFill>
                    <w14:schemeClr w14:val="tx1"/>
                  </w14:solidFill>
                </w14:textFill>
              </w:rPr>
              <w:t>2002</w:t>
            </w:r>
            <w:r>
              <w:rPr>
                <w:rFonts w:hint="eastAsia"/>
                <w:color w:val="000000" w:themeColor="text1"/>
                <w14:textFill>
                  <w14:solidFill>
                    <w14:schemeClr w14:val="tx1"/>
                  </w14:solidFill>
                </w14:textFill>
              </w:rPr>
              <w:t>年）</w:t>
            </w:r>
          </w:p>
        </w:tc>
        <w:tc>
          <w:tcPr>
            <w:tcW w:w="2320" w:type="dxa"/>
            <w:vAlign w:val="center"/>
          </w:tcPr>
          <w:p w14:paraId="3DF692E7">
            <w:pPr>
              <w:pStyle w:val="70"/>
              <w:rPr>
                <w:color w:val="000000" w:themeColor="text1"/>
                <w:lang w:val="zh-CN"/>
                <w14:textFill>
                  <w14:solidFill>
                    <w14:schemeClr w14:val="tx1"/>
                  </w14:solidFill>
                </w14:textFill>
              </w:rPr>
            </w:pPr>
            <w:r>
              <w:rPr>
                <w:color w:val="000000" w:themeColor="text1"/>
                <w14:textFill>
                  <w14:solidFill>
                    <w14:schemeClr w14:val="tx1"/>
                  </w14:solidFill>
                </w14:textFill>
              </w:rPr>
              <w:t>1μg/L</w:t>
            </w:r>
          </w:p>
        </w:tc>
      </w:tr>
      <w:tr w14:paraId="107E598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2078" w:type="dxa"/>
            <w:vAlign w:val="center"/>
          </w:tcPr>
          <w:p w14:paraId="0ADA2184">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镉</w:t>
            </w:r>
          </w:p>
        </w:tc>
        <w:tc>
          <w:tcPr>
            <w:tcW w:w="4644" w:type="dxa"/>
            <w:vMerge w:val="continue"/>
            <w:vAlign w:val="center"/>
          </w:tcPr>
          <w:p w14:paraId="5ED71F0F">
            <w:pPr>
              <w:pStyle w:val="70"/>
              <w:rPr>
                <w:color w:val="000000" w:themeColor="text1"/>
                <w:lang w:val="zh-CN"/>
                <w14:textFill>
                  <w14:solidFill>
                    <w14:schemeClr w14:val="tx1"/>
                  </w14:solidFill>
                </w14:textFill>
              </w:rPr>
            </w:pPr>
          </w:p>
        </w:tc>
        <w:tc>
          <w:tcPr>
            <w:tcW w:w="2320" w:type="dxa"/>
            <w:vAlign w:val="center"/>
          </w:tcPr>
          <w:p w14:paraId="5D4D2F4B">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0.</w:t>
            </w:r>
            <w:r>
              <w:rPr>
                <w:color w:val="000000" w:themeColor="text1"/>
                <w14:textFill>
                  <w14:solidFill>
                    <w14:schemeClr w14:val="tx1"/>
                  </w14:solidFill>
                </w14:textFill>
              </w:rPr>
              <w:t>1μg/L</w:t>
            </w:r>
          </w:p>
        </w:tc>
      </w:tr>
      <w:tr w14:paraId="73EF99F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2078" w:type="dxa"/>
            <w:vAlign w:val="center"/>
          </w:tcPr>
          <w:p w14:paraId="3195BB71">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铬（六价）</w:t>
            </w:r>
          </w:p>
        </w:tc>
        <w:tc>
          <w:tcPr>
            <w:tcW w:w="4644" w:type="dxa"/>
            <w:vAlign w:val="center"/>
          </w:tcPr>
          <w:p w14:paraId="02C1271E">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生活饮用水标准检验方法</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第</w:t>
            </w:r>
            <w:r>
              <w:rPr>
                <w:color w:val="000000" w:themeColor="text1"/>
                <w14:textFill>
                  <w14:solidFill>
                    <w14:schemeClr w14:val="tx1"/>
                  </w14:solidFill>
                </w14:textFill>
              </w:rPr>
              <w:t>6</w:t>
            </w:r>
            <w:r>
              <w:rPr>
                <w:rFonts w:hint="eastAsia"/>
                <w:color w:val="000000" w:themeColor="text1"/>
                <w14:textFill>
                  <w14:solidFill>
                    <w14:schemeClr w14:val="tx1"/>
                  </w14:solidFill>
                </w14:textFill>
              </w:rPr>
              <w:t>部分：</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金属和类金属指标</w:t>
            </w:r>
          </w:p>
          <w:p w14:paraId="68BDB9BC">
            <w:pPr>
              <w:pStyle w:val="70"/>
              <w:rPr>
                <w:color w:val="000000" w:themeColor="text1"/>
                <w:lang w:val="zh-CN"/>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 xml:space="preserve">13.1 </w:t>
            </w:r>
            <w:r>
              <w:rPr>
                <w:rFonts w:hint="eastAsia"/>
                <w:color w:val="000000" w:themeColor="text1"/>
                <w14:textFill>
                  <w14:solidFill>
                    <w14:schemeClr w14:val="tx1"/>
                  </w14:solidFill>
                </w14:textFill>
              </w:rPr>
              <w:t>二苯碳酰二肼分光光度法）（</w:t>
            </w:r>
            <w:r>
              <w:rPr>
                <w:color w:val="000000" w:themeColor="text1"/>
                <w14:textFill>
                  <w14:solidFill>
                    <w14:schemeClr w14:val="tx1"/>
                  </w14:solidFill>
                </w14:textFill>
              </w:rPr>
              <w:t>GB/T 5750.6-2023</w:t>
            </w:r>
            <w:r>
              <w:rPr>
                <w:rFonts w:hint="eastAsia"/>
                <w:color w:val="000000" w:themeColor="text1"/>
                <w14:textFill>
                  <w14:solidFill>
                    <w14:schemeClr w14:val="tx1"/>
                  </w14:solidFill>
                </w14:textFill>
              </w:rPr>
              <w:t>）</w:t>
            </w:r>
          </w:p>
        </w:tc>
        <w:tc>
          <w:tcPr>
            <w:tcW w:w="2320" w:type="dxa"/>
            <w:vAlign w:val="center"/>
          </w:tcPr>
          <w:p w14:paraId="6D8DC91B">
            <w:pPr>
              <w:pStyle w:val="70"/>
              <w:rPr>
                <w:color w:val="000000" w:themeColor="text1"/>
                <w14:textFill>
                  <w14:solidFill>
                    <w14:schemeClr w14:val="tx1"/>
                  </w14:solidFill>
                </w14:textFill>
              </w:rPr>
            </w:pPr>
            <w:r>
              <w:rPr>
                <w:color w:val="000000" w:themeColor="text1"/>
                <w14:textFill>
                  <w14:solidFill>
                    <w14:schemeClr w14:val="tx1"/>
                  </w14:solidFill>
                </w14:textFill>
              </w:rPr>
              <w:t>0.004mg/L</w:t>
            </w:r>
          </w:p>
        </w:tc>
      </w:tr>
      <w:tr w14:paraId="39E188E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2078" w:type="dxa"/>
            <w:vAlign w:val="center"/>
          </w:tcPr>
          <w:p w14:paraId="0A665C74">
            <w:pPr>
              <w:pStyle w:val="70"/>
              <w:rPr>
                <w:color w:val="000000" w:themeColor="text1"/>
                <w14:textFill>
                  <w14:solidFill>
                    <w14:schemeClr w14:val="tx1"/>
                  </w14:solidFill>
                </w14:textFill>
              </w:rPr>
            </w:pPr>
            <w:r>
              <w:rPr>
                <w:color w:val="000000" w:themeColor="text1"/>
                <w14:textFill>
                  <w14:solidFill>
                    <w14:schemeClr w14:val="tx1"/>
                  </w14:solidFill>
                </w14:textFill>
              </w:rPr>
              <w:t>苯乙烯</w:t>
            </w:r>
          </w:p>
        </w:tc>
        <w:tc>
          <w:tcPr>
            <w:tcW w:w="4644" w:type="dxa"/>
            <w:vAlign w:val="center"/>
          </w:tcPr>
          <w:p w14:paraId="1DD71DAA">
            <w:pPr>
              <w:pStyle w:val="70"/>
              <w:rPr>
                <w:color w:val="000000" w:themeColor="text1"/>
                <w:lang w:val="zh-CN"/>
                <w14:textFill>
                  <w14:solidFill>
                    <w14:schemeClr w14:val="tx1"/>
                  </w14:solidFill>
                </w14:textFill>
              </w:rPr>
            </w:pPr>
            <w:r>
              <w:rPr>
                <w:rFonts w:hint="eastAsia"/>
                <w:color w:val="000000" w:themeColor="text1"/>
                <w14:textFill>
                  <w14:solidFill>
                    <w14:schemeClr w14:val="tx1"/>
                  </w14:solidFill>
                </w14:textFill>
              </w:rPr>
              <w:t>水质 苯系物的测定 顶空/气相色谱法（HJ 1067-2019）</w:t>
            </w:r>
          </w:p>
        </w:tc>
        <w:tc>
          <w:tcPr>
            <w:tcW w:w="2320" w:type="dxa"/>
            <w:vAlign w:val="center"/>
          </w:tcPr>
          <w:p w14:paraId="535FDC8D">
            <w:pPr>
              <w:pStyle w:val="70"/>
              <w:rPr>
                <w:color w:val="000000" w:themeColor="text1"/>
                <w14:textFill>
                  <w14:solidFill>
                    <w14:schemeClr w14:val="tx1"/>
                  </w14:solidFill>
                </w14:textFill>
              </w:rPr>
            </w:pPr>
            <w:r>
              <w:rPr>
                <w:color w:val="000000" w:themeColor="text1"/>
                <w14:textFill>
                  <w14:solidFill>
                    <w14:schemeClr w14:val="tx1"/>
                  </w14:solidFill>
                </w14:textFill>
              </w:rPr>
              <w:t>3</w:t>
            </w:r>
            <w:r>
              <w:rPr>
                <w:color w:val="000000" w:themeColor="text1"/>
                <w14:textFill>
                  <w14:solidFill>
                    <w14:schemeClr w14:val="tx1"/>
                  </w14:solidFill>
                </w14:textFill>
              </w:rPr>
              <w:sym w:font="Symbol" w:char="006D"/>
            </w:r>
            <w:r>
              <w:rPr>
                <w:color w:val="000000" w:themeColor="text1"/>
                <w14:textFill>
                  <w14:solidFill>
                    <w14:schemeClr w14:val="tx1"/>
                  </w14:solidFill>
                </w14:textFill>
              </w:rPr>
              <w:t>g/L</w:t>
            </w:r>
          </w:p>
        </w:tc>
      </w:tr>
    </w:tbl>
    <w:p w14:paraId="44CFD98E">
      <w:pPr>
        <w:pStyle w:val="4"/>
        <w:rPr>
          <w:color w:val="000000" w:themeColor="text1"/>
          <w14:textFill>
            <w14:solidFill>
              <w14:schemeClr w14:val="tx1"/>
            </w14:solidFill>
          </w14:textFill>
        </w:rPr>
      </w:pPr>
      <w:bookmarkStart w:id="586" w:name="_Toc136878481"/>
      <w:bookmarkStart w:id="587" w:name="_Toc216620545"/>
      <w:r>
        <w:rPr>
          <w:color w:val="000000" w:themeColor="text1"/>
          <w14:textFill>
            <w14:solidFill>
              <w14:schemeClr w14:val="tx1"/>
            </w14:solidFill>
          </w14:textFill>
        </w:rPr>
        <w:t>监测时间和监测频次</w:t>
      </w:r>
      <w:bookmarkEnd w:id="586"/>
      <w:bookmarkEnd w:id="587"/>
    </w:p>
    <w:p w14:paraId="535F4418">
      <w:pPr>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本次监测采样时间为202</w:t>
      </w:r>
      <w:r>
        <w:rPr>
          <w:rFonts w:hint="eastAsia"/>
          <w:color w:val="000000" w:themeColor="text1"/>
          <w:kern w:val="0"/>
          <w:szCs w:val="22"/>
          <w14:textFill>
            <w14:solidFill>
              <w14:schemeClr w14:val="tx1"/>
            </w14:solidFill>
          </w14:textFill>
        </w:rPr>
        <w:t>5</w:t>
      </w:r>
      <w:r>
        <w:rPr>
          <w:color w:val="000000" w:themeColor="text1"/>
          <w:kern w:val="0"/>
          <w:szCs w:val="22"/>
          <w14:textFill>
            <w14:solidFill>
              <w14:schemeClr w14:val="tx1"/>
            </w14:solidFill>
          </w14:textFill>
        </w:rPr>
        <w:t>年</w:t>
      </w:r>
      <w:r>
        <w:rPr>
          <w:rFonts w:hint="eastAsia"/>
          <w:color w:val="000000" w:themeColor="text1"/>
          <w:kern w:val="0"/>
          <w:szCs w:val="22"/>
          <w14:textFill>
            <w14:solidFill>
              <w14:schemeClr w14:val="tx1"/>
            </w14:solidFill>
          </w14:textFill>
        </w:rPr>
        <w:t>12</w:t>
      </w:r>
      <w:r>
        <w:rPr>
          <w:color w:val="000000" w:themeColor="text1"/>
          <w:kern w:val="0"/>
          <w:szCs w:val="22"/>
          <w14:textFill>
            <w14:solidFill>
              <w14:schemeClr w14:val="tx1"/>
            </w14:solidFill>
          </w14:textFill>
        </w:rPr>
        <w:t>月</w:t>
      </w:r>
      <w:r>
        <w:rPr>
          <w:rFonts w:hint="eastAsia"/>
          <w:color w:val="000000" w:themeColor="text1"/>
          <w:kern w:val="0"/>
          <w:szCs w:val="22"/>
          <w14:textFill>
            <w14:solidFill>
              <w14:schemeClr w14:val="tx1"/>
            </w14:solidFill>
          </w14:textFill>
        </w:rPr>
        <w:t>2</w:t>
      </w:r>
      <w:r>
        <w:rPr>
          <w:color w:val="000000" w:themeColor="text1"/>
          <w:kern w:val="0"/>
          <w:szCs w:val="22"/>
          <w14:textFill>
            <w14:solidFill>
              <w14:schemeClr w14:val="tx1"/>
            </w14:solidFill>
          </w14:textFill>
        </w:rPr>
        <w:t>日，以上各监测点采集1次水样进行测定。</w:t>
      </w:r>
    </w:p>
    <w:p w14:paraId="7A4787D9">
      <w:pPr>
        <w:pStyle w:val="4"/>
        <w:rPr>
          <w:color w:val="000000" w:themeColor="text1"/>
          <w14:textFill>
            <w14:solidFill>
              <w14:schemeClr w14:val="tx1"/>
            </w14:solidFill>
          </w14:textFill>
        </w:rPr>
      </w:pPr>
      <w:bookmarkStart w:id="588" w:name="_Toc136878482"/>
      <w:bookmarkStart w:id="589" w:name="_Toc216620546"/>
      <w:r>
        <w:rPr>
          <w:color w:val="000000" w:themeColor="text1"/>
          <w14:textFill>
            <w14:solidFill>
              <w14:schemeClr w14:val="tx1"/>
            </w14:solidFill>
          </w14:textFill>
        </w:rPr>
        <w:t>评价标准</w:t>
      </w:r>
      <w:bookmarkEnd w:id="588"/>
      <w:bookmarkEnd w:id="589"/>
    </w:p>
    <w:p w14:paraId="2EB4C39E">
      <w:pPr>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地下水按《地下水质量标准》（GB/T14848-2017）III类标准进行评价。</w:t>
      </w:r>
    </w:p>
    <w:p w14:paraId="67B3B325">
      <w:pPr>
        <w:pStyle w:val="4"/>
        <w:rPr>
          <w:color w:val="000000" w:themeColor="text1"/>
          <w14:textFill>
            <w14:solidFill>
              <w14:schemeClr w14:val="tx1"/>
            </w14:solidFill>
          </w14:textFill>
        </w:rPr>
      </w:pPr>
      <w:bookmarkStart w:id="590" w:name="_Toc216620547"/>
      <w:bookmarkStart w:id="591" w:name="_Toc136878483"/>
      <w:r>
        <w:rPr>
          <w:color w:val="000000" w:themeColor="text1"/>
          <w14:textFill>
            <w14:solidFill>
              <w14:schemeClr w14:val="tx1"/>
            </w14:solidFill>
          </w14:textFill>
        </w:rPr>
        <w:t>评价方法</w:t>
      </w:r>
      <w:bookmarkEnd w:id="590"/>
      <w:bookmarkEnd w:id="591"/>
    </w:p>
    <w:p w14:paraId="566B563C">
      <w:pPr>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单项评价采用标准指数法，即实测浓度值与评价标准限值之比。评价计算公式如下：</w:t>
      </w:r>
    </w:p>
    <w:p w14:paraId="280FC20B">
      <w:pPr>
        <w:ind w:firstLine="480"/>
        <w:jc w:val="center"/>
        <w:rPr>
          <w:color w:val="000000" w:themeColor="text1"/>
          <w:kern w:val="0"/>
          <w:szCs w:val="22"/>
          <w14:textFill>
            <w14:solidFill>
              <w14:schemeClr w14:val="tx1"/>
            </w14:solidFill>
          </w14:textFill>
        </w:rPr>
      </w:pPr>
      <w:r>
        <w:rPr>
          <w:i/>
          <w:color w:val="000000" w:themeColor="text1"/>
          <w:kern w:val="0"/>
          <w:szCs w:val="22"/>
          <w14:textFill>
            <w14:solidFill>
              <w14:schemeClr w14:val="tx1"/>
            </w14:solidFill>
          </w14:textFill>
        </w:rPr>
        <w:t>P</w:t>
      </w:r>
      <w:r>
        <w:rPr>
          <w:i/>
          <w:color w:val="000000" w:themeColor="text1"/>
          <w:kern w:val="0"/>
          <w:szCs w:val="22"/>
          <w:vertAlign w:val="subscript"/>
          <w14:textFill>
            <w14:solidFill>
              <w14:schemeClr w14:val="tx1"/>
            </w14:solidFill>
          </w14:textFill>
        </w:rPr>
        <w:t>i</w:t>
      </w:r>
      <w:r>
        <w:rPr>
          <w:color w:val="000000" w:themeColor="text1"/>
          <w:kern w:val="0"/>
          <w:szCs w:val="22"/>
          <w14:textFill>
            <w14:solidFill>
              <w14:schemeClr w14:val="tx1"/>
            </w14:solidFill>
          </w14:textFill>
        </w:rPr>
        <w:t>=</w:t>
      </w:r>
      <w:r>
        <w:rPr>
          <w:i/>
          <w:color w:val="000000" w:themeColor="text1"/>
          <w:kern w:val="0"/>
          <w:szCs w:val="22"/>
          <w14:textFill>
            <w14:solidFill>
              <w14:schemeClr w14:val="tx1"/>
            </w14:solidFill>
          </w14:textFill>
        </w:rPr>
        <w:t>C</w:t>
      </w:r>
      <w:r>
        <w:rPr>
          <w:i/>
          <w:color w:val="000000" w:themeColor="text1"/>
          <w:kern w:val="0"/>
          <w:szCs w:val="22"/>
          <w:vertAlign w:val="subscript"/>
          <w14:textFill>
            <w14:solidFill>
              <w14:schemeClr w14:val="tx1"/>
            </w14:solidFill>
          </w14:textFill>
        </w:rPr>
        <w:t>i</w:t>
      </w:r>
      <w:r>
        <w:rPr>
          <w:color w:val="000000" w:themeColor="text1"/>
          <w:kern w:val="0"/>
          <w:szCs w:val="22"/>
          <w14:textFill>
            <w14:solidFill>
              <w14:schemeClr w14:val="tx1"/>
            </w14:solidFill>
          </w14:textFill>
        </w:rPr>
        <w:t>/</w:t>
      </w:r>
      <w:r>
        <w:rPr>
          <w:i/>
          <w:color w:val="000000" w:themeColor="text1"/>
          <w:kern w:val="0"/>
          <w:szCs w:val="22"/>
          <w14:textFill>
            <w14:solidFill>
              <w14:schemeClr w14:val="tx1"/>
            </w14:solidFill>
          </w14:textFill>
        </w:rPr>
        <w:t>C</w:t>
      </w:r>
      <w:r>
        <w:rPr>
          <w:i/>
          <w:color w:val="000000" w:themeColor="text1"/>
          <w:kern w:val="0"/>
          <w:szCs w:val="22"/>
          <w:vertAlign w:val="subscript"/>
          <w14:textFill>
            <w14:solidFill>
              <w14:schemeClr w14:val="tx1"/>
            </w14:solidFill>
          </w14:textFill>
        </w:rPr>
        <w:t>si</w:t>
      </w:r>
    </w:p>
    <w:p w14:paraId="5BBD20D3">
      <w:pPr>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式中：</w:t>
      </w:r>
    </w:p>
    <w:p w14:paraId="50ECDF3E">
      <w:pPr>
        <w:ind w:firstLine="480"/>
        <w:rPr>
          <w:color w:val="000000" w:themeColor="text1"/>
          <w:kern w:val="0"/>
          <w:szCs w:val="22"/>
          <w14:textFill>
            <w14:solidFill>
              <w14:schemeClr w14:val="tx1"/>
            </w14:solidFill>
          </w14:textFill>
        </w:rPr>
      </w:pPr>
      <w:r>
        <w:rPr>
          <w:i/>
          <w:color w:val="000000" w:themeColor="text1"/>
          <w:kern w:val="0"/>
          <w:szCs w:val="22"/>
          <w14:textFill>
            <w14:solidFill>
              <w14:schemeClr w14:val="tx1"/>
            </w14:solidFill>
          </w14:textFill>
        </w:rPr>
        <w:t>P</w:t>
      </w:r>
      <w:r>
        <w:rPr>
          <w:i/>
          <w:color w:val="000000" w:themeColor="text1"/>
          <w:kern w:val="0"/>
          <w:szCs w:val="22"/>
          <w:vertAlign w:val="subscript"/>
          <w14:textFill>
            <w14:solidFill>
              <w14:schemeClr w14:val="tx1"/>
            </w14:solidFill>
          </w14:textFill>
        </w:rPr>
        <w:t>i</w:t>
      </w:r>
      <w:r>
        <w:rPr>
          <w:i/>
          <w:color w:val="000000" w:themeColor="text1"/>
          <w:kern w:val="0"/>
          <w:szCs w:val="22"/>
          <w14:textFill>
            <w14:solidFill>
              <w14:schemeClr w14:val="tx1"/>
            </w14:solidFill>
          </w14:textFill>
        </w:rPr>
        <w:t>—</w:t>
      </w:r>
      <w:r>
        <w:rPr>
          <w:color w:val="000000" w:themeColor="text1"/>
          <w:kern w:val="0"/>
          <w:szCs w:val="22"/>
          <w14:textFill>
            <w14:solidFill>
              <w14:schemeClr w14:val="tx1"/>
            </w14:solidFill>
          </w14:textFill>
        </w:rPr>
        <w:t>第i个水质因子的标准指数，无量纲；</w:t>
      </w:r>
    </w:p>
    <w:p w14:paraId="0CCC512D">
      <w:pPr>
        <w:ind w:firstLine="480"/>
        <w:rPr>
          <w:color w:val="000000" w:themeColor="text1"/>
          <w:kern w:val="0"/>
          <w:szCs w:val="22"/>
          <w14:textFill>
            <w14:solidFill>
              <w14:schemeClr w14:val="tx1"/>
            </w14:solidFill>
          </w14:textFill>
        </w:rPr>
      </w:pPr>
      <w:r>
        <w:rPr>
          <w:i/>
          <w:color w:val="000000" w:themeColor="text1"/>
          <w:kern w:val="0"/>
          <w:szCs w:val="22"/>
          <w14:textFill>
            <w14:solidFill>
              <w14:schemeClr w14:val="tx1"/>
            </w14:solidFill>
          </w14:textFill>
        </w:rPr>
        <w:t>C</w:t>
      </w:r>
      <w:r>
        <w:rPr>
          <w:i/>
          <w:color w:val="000000" w:themeColor="text1"/>
          <w:kern w:val="0"/>
          <w:szCs w:val="22"/>
          <w:vertAlign w:val="subscript"/>
          <w14:textFill>
            <w14:solidFill>
              <w14:schemeClr w14:val="tx1"/>
            </w14:solidFill>
          </w14:textFill>
        </w:rPr>
        <w:t>i</w:t>
      </w:r>
      <w:r>
        <w:rPr>
          <w:i/>
          <w:color w:val="000000" w:themeColor="text1"/>
          <w:kern w:val="0"/>
          <w:szCs w:val="22"/>
          <w14:textFill>
            <w14:solidFill>
              <w14:schemeClr w14:val="tx1"/>
            </w14:solidFill>
          </w14:textFill>
        </w:rPr>
        <w:t>—</w:t>
      </w:r>
      <w:r>
        <w:rPr>
          <w:color w:val="000000" w:themeColor="text1"/>
          <w:kern w:val="0"/>
          <w:szCs w:val="22"/>
          <w14:textFill>
            <w14:solidFill>
              <w14:schemeClr w14:val="tx1"/>
            </w14:solidFill>
          </w14:textFill>
        </w:rPr>
        <w:t>第i个水质因子的监测浓度值，mg/L；</w:t>
      </w:r>
    </w:p>
    <w:p w14:paraId="207C1380">
      <w:pPr>
        <w:ind w:firstLine="480"/>
        <w:rPr>
          <w:color w:val="000000" w:themeColor="text1"/>
          <w:kern w:val="0"/>
          <w:szCs w:val="22"/>
          <w14:textFill>
            <w14:solidFill>
              <w14:schemeClr w14:val="tx1"/>
            </w14:solidFill>
          </w14:textFill>
        </w:rPr>
      </w:pPr>
      <w:r>
        <w:rPr>
          <w:i/>
          <w:color w:val="000000" w:themeColor="text1"/>
          <w:kern w:val="0"/>
          <w:szCs w:val="22"/>
          <w14:textFill>
            <w14:solidFill>
              <w14:schemeClr w14:val="tx1"/>
            </w14:solidFill>
          </w14:textFill>
        </w:rPr>
        <w:t>C</w:t>
      </w:r>
      <w:r>
        <w:rPr>
          <w:i/>
          <w:color w:val="000000" w:themeColor="text1"/>
          <w:kern w:val="0"/>
          <w:szCs w:val="22"/>
          <w:vertAlign w:val="subscript"/>
          <w14:textFill>
            <w14:solidFill>
              <w14:schemeClr w14:val="tx1"/>
            </w14:solidFill>
          </w14:textFill>
        </w:rPr>
        <w:t>si</w:t>
      </w:r>
      <w:r>
        <w:rPr>
          <w:i/>
          <w:color w:val="000000" w:themeColor="text1"/>
          <w:kern w:val="0"/>
          <w:szCs w:val="22"/>
          <w14:textFill>
            <w14:solidFill>
              <w14:schemeClr w14:val="tx1"/>
            </w14:solidFill>
          </w14:textFill>
        </w:rPr>
        <w:t>—</w:t>
      </w:r>
      <w:r>
        <w:rPr>
          <w:color w:val="000000" w:themeColor="text1"/>
          <w:kern w:val="0"/>
          <w:szCs w:val="22"/>
          <w14:textFill>
            <w14:solidFill>
              <w14:schemeClr w14:val="tx1"/>
            </w14:solidFill>
          </w14:textFill>
        </w:rPr>
        <w:t>第i个水质因子的标准浓度值，mg/L。</w:t>
      </w:r>
    </w:p>
    <w:p w14:paraId="0F3D0533">
      <w:pPr>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pH值按以下公式计算和评价：</w:t>
      </w:r>
    </w:p>
    <w:p w14:paraId="7A0463A6">
      <w:pPr>
        <w:ind w:firstLine="480"/>
        <w:jc w:val="center"/>
        <w:rPr>
          <w:color w:val="000000" w:themeColor="text1"/>
          <w:kern w:val="0"/>
          <w:szCs w:val="22"/>
          <w14:textFill>
            <w14:solidFill>
              <w14:schemeClr w14:val="tx1"/>
            </w14:solidFill>
          </w14:textFill>
        </w:rPr>
      </w:pPr>
      <w:r>
        <w:rPr>
          <w:i/>
          <w:color w:val="000000" w:themeColor="text1"/>
          <w:kern w:val="0"/>
          <w:szCs w:val="22"/>
          <w14:textFill>
            <w14:solidFill>
              <w14:schemeClr w14:val="tx1"/>
            </w14:solidFill>
          </w14:textFill>
        </w:rPr>
        <w:t>P</w:t>
      </w:r>
      <w:r>
        <w:rPr>
          <w:i/>
          <w:color w:val="000000" w:themeColor="text1"/>
          <w:kern w:val="0"/>
          <w:szCs w:val="22"/>
          <w:vertAlign w:val="subscript"/>
          <w14:textFill>
            <w14:solidFill>
              <w14:schemeClr w14:val="tx1"/>
            </w14:solidFill>
          </w14:textFill>
        </w:rPr>
        <w:t>pH</w:t>
      </w:r>
      <w:r>
        <w:rPr>
          <w:color w:val="000000" w:themeColor="text1"/>
          <w:kern w:val="0"/>
          <w:szCs w:val="22"/>
          <w14:textFill>
            <w14:solidFill>
              <w14:schemeClr w14:val="tx1"/>
            </w14:solidFill>
          </w14:textFill>
        </w:rPr>
        <w:t>=（7.0－</w:t>
      </w:r>
      <w:r>
        <w:rPr>
          <w:i/>
          <w:color w:val="000000" w:themeColor="text1"/>
          <w:kern w:val="0"/>
          <w:szCs w:val="22"/>
          <w14:textFill>
            <w14:solidFill>
              <w14:schemeClr w14:val="tx1"/>
            </w14:solidFill>
          </w14:textFill>
        </w:rPr>
        <w:t>pH</w:t>
      </w:r>
      <w:r>
        <w:rPr>
          <w:color w:val="000000" w:themeColor="text1"/>
          <w:kern w:val="0"/>
          <w:szCs w:val="22"/>
          <w14:textFill>
            <w14:solidFill>
              <w14:schemeClr w14:val="tx1"/>
            </w14:solidFill>
          </w14:textFill>
        </w:rPr>
        <w:t>）/（7.0－</w:t>
      </w:r>
      <w:r>
        <w:rPr>
          <w:i/>
          <w:color w:val="000000" w:themeColor="text1"/>
          <w:kern w:val="0"/>
          <w:szCs w:val="22"/>
          <w14:textFill>
            <w14:solidFill>
              <w14:schemeClr w14:val="tx1"/>
            </w14:solidFill>
          </w14:textFill>
        </w:rPr>
        <w:t>pH</w:t>
      </w:r>
      <w:r>
        <w:rPr>
          <w:i/>
          <w:color w:val="000000" w:themeColor="text1"/>
          <w:kern w:val="0"/>
          <w:szCs w:val="22"/>
          <w:vertAlign w:val="subscript"/>
          <w14:textFill>
            <w14:solidFill>
              <w14:schemeClr w14:val="tx1"/>
            </w14:solidFill>
          </w14:textFill>
        </w:rPr>
        <w:t>sd</w:t>
      </w:r>
      <w:r>
        <w:rPr>
          <w:color w:val="000000" w:themeColor="text1"/>
          <w:kern w:val="0"/>
          <w:szCs w:val="22"/>
          <w14:textFill>
            <w14:solidFill>
              <w14:schemeClr w14:val="tx1"/>
            </w14:solidFill>
          </w14:textFill>
        </w:rPr>
        <w:t>）   pH≤7时</w:t>
      </w:r>
    </w:p>
    <w:p w14:paraId="1B4FA4D7">
      <w:pPr>
        <w:ind w:firstLine="480"/>
        <w:jc w:val="center"/>
        <w:rPr>
          <w:color w:val="000000" w:themeColor="text1"/>
          <w:kern w:val="0"/>
          <w:szCs w:val="22"/>
          <w14:textFill>
            <w14:solidFill>
              <w14:schemeClr w14:val="tx1"/>
            </w14:solidFill>
          </w14:textFill>
        </w:rPr>
      </w:pPr>
      <w:r>
        <w:rPr>
          <w:i/>
          <w:color w:val="000000" w:themeColor="text1"/>
          <w:kern w:val="0"/>
          <w:szCs w:val="22"/>
          <w14:textFill>
            <w14:solidFill>
              <w14:schemeClr w14:val="tx1"/>
            </w14:solidFill>
          </w14:textFill>
        </w:rPr>
        <w:t>P</w:t>
      </w:r>
      <w:r>
        <w:rPr>
          <w:i/>
          <w:color w:val="000000" w:themeColor="text1"/>
          <w:kern w:val="0"/>
          <w:szCs w:val="22"/>
          <w:vertAlign w:val="subscript"/>
          <w14:textFill>
            <w14:solidFill>
              <w14:schemeClr w14:val="tx1"/>
            </w14:solidFill>
          </w14:textFill>
        </w:rPr>
        <w:t>pH</w:t>
      </w:r>
      <w:r>
        <w:rPr>
          <w:color w:val="000000" w:themeColor="text1"/>
          <w:kern w:val="0"/>
          <w:szCs w:val="22"/>
          <w14:textFill>
            <w14:solidFill>
              <w14:schemeClr w14:val="tx1"/>
            </w14:solidFill>
          </w14:textFill>
        </w:rPr>
        <w:t>=（</w:t>
      </w:r>
      <w:r>
        <w:rPr>
          <w:i/>
          <w:color w:val="000000" w:themeColor="text1"/>
          <w:kern w:val="0"/>
          <w:szCs w:val="22"/>
          <w14:textFill>
            <w14:solidFill>
              <w14:schemeClr w14:val="tx1"/>
            </w14:solidFill>
          </w14:textFill>
        </w:rPr>
        <w:t>pH</w:t>
      </w:r>
      <w:r>
        <w:rPr>
          <w:color w:val="000000" w:themeColor="text1"/>
          <w:kern w:val="0"/>
          <w:szCs w:val="22"/>
          <w14:textFill>
            <w14:solidFill>
              <w14:schemeClr w14:val="tx1"/>
            </w14:solidFill>
          </w14:textFill>
        </w:rPr>
        <w:t>－7.0）/（</w:t>
      </w:r>
      <w:r>
        <w:rPr>
          <w:i/>
          <w:color w:val="000000" w:themeColor="text1"/>
          <w:kern w:val="0"/>
          <w:szCs w:val="22"/>
          <w14:textFill>
            <w14:solidFill>
              <w14:schemeClr w14:val="tx1"/>
            </w14:solidFill>
          </w14:textFill>
        </w:rPr>
        <w:t>pH</w:t>
      </w:r>
      <w:r>
        <w:rPr>
          <w:i/>
          <w:color w:val="000000" w:themeColor="text1"/>
          <w:kern w:val="0"/>
          <w:szCs w:val="22"/>
          <w:vertAlign w:val="subscript"/>
          <w14:textFill>
            <w14:solidFill>
              <w14:schemeClr w14:val="tx1"/>
            </w14:solidFill>
          </w14:textFill>
        </w:rPr>
        <w:t>Su</w:t>
      </w:r>
      <w:r>
        <w:rPr>
          <w:color w:val="000000" w:themeColor="text1"/>
          <w:kern w:val="0"/>
          <w:szCs w:val="22"/>
          <w14:textFill>
            <w14:solidFill>
              <w14:schemeClr w14:val="tx1"/>
            </w14:solidFill>
          </w14:textFill>
        </w:rPr>
        <w:t>－7.0）   pH＞7时</w:t>
      </w:r>
    </w:p>
    <w:p w14:paraId="6BF8DEB1">
      <w:pPr>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式中：</w:t>
      </w:r>
    </w:p>
    <w:p w14:paraId="6F7ABF51">
      <w:pPr>
        <w:ind w:firstLine="480"/>
        <w:rPr>
          <w:color w:val="000000" w:themeColor="text1"/>
          <w:kern w:val="0"/>
          <w:szCs w:val="22"/>
          <w14:textFill>
            <w14:solidFill>
              <w14:schemeClr w14:val="tx1"/>
            </w14:solidFill>
          </w14:textFill>
        </w:rPr>
      </w:pPr>
      <w:r>
        <w:rPr>
          <w:i/>
          <w:color w:val="000000" w:themeColor="text1"/>
          <w:kern w:val="0"/>
          <w:szCs w:val="22"/>
          <w14:textFill>
            <w14:solidFill>
              <w14:schemeClr w14:val="tx1"/>
            </w14:solidFill>
          </w14:textFill>
        </w:rPr>
        <w:t>P</w:t>
      </w:r>
      <w:r>
        <w:rPr>
          <w:i/>
          <w:color w:val="000000" w:themeColor="text1"/>
          <w:kern w:val="0"/>
          <w:szCs w:val="22"/>
          <w:vertAlign w:val="subscript"/>
          <w14:textFill>
            <w14:solidFill>
              <w14:schemeClr w14:val="tx1"/>
            </w14:solidFill>
          </w14:textFill>
        </w:rPr>
        <w:t>pH</w:t>
      </w:r>
      <w:r>
        <w:rPr>
          <w:i/>
          <w:color w:val="000000" w:themeColor="text1"/>
          <w:kern w:val="0"/>
          <w:szCs w:val="22"/>
          <w14:textFill>
            <w14:solidFill>
              <w14:schemeClr w14:val="tx1"/>
            </w14:solidFill>
          </w14:textFill>
        </w:rPr>
        <w:t>—</w:t>
      </w:r>
      <w:r>
        <w:rPr>
          <w:color w:val="000000" w:themeColor="text1"/>
          <w:kern w:val="0"/>
          <w:szCs w:val="22"/>
          <w14:textFill>
            <w14:solidFill>
              <w14:schemeClr w14:val="tx1"/>
            </w14:solidFill>
          </w14:textFill>
        </w:rPr>
        <w:t>pH的标准指数，无量纲；</w:t>
      </w:r>
    </w:p>
    <w:p w14:paraId="6BED5ADC">
      <w:pPr>
        <w:ind w:firstLine="480"/>
        <w:rPr>
          <w:color w:val="000000" w:themeColor="text1"/>
          <w:kern w:val="0"/>
          <w:szCs w:val="22"/>
          <w14:textFill>
            <w14:solidFill>
              <w14:schemeClr w14:val="tx1"/>
            </w14:solidFill>
          </w14:textFill>
        </w:rPr>
      </w:pPr>
      <w:r>
        <w:rPr>
          <w:i/>
          <w:color w:val="000000" w:themeColor="text1"/>
          <w:kern w:val="0"/>
          <w:szCs w:val="22"/>
          <w14:textFill>
            <w14:solidFill>
              <w14:schemeClr w14:val="tx1"/>
            </w14:solidFill>
          </w14:textFill>
        </w:rPr>
        <w:t>pH—</w:t>
      </w:r>
      <w:r>
        <w:rPr>
          <w:color w:val="000000" w:themeColor="text1"/>
          <w:kern w:val="0"/>
          <w:szCs w:val="22"/>
          <w14:textFill>
            <w14:solidFill>
              <w14:schemeClr w14:val="tx1"/>
            </w14:solidFill>
          </w14:textFill>
        </w:rPr>
        <w:t>pH监测值；</w:t>
      </w:r>
    </w:p>
    <w:p w14:paraId="7604A7EB">
      <w:pPr>
        <w:ind w:firstLine="480"/>
        <w:rPr>
          <w:color w:val="000000" w:themeColor="text1"/>
          <w:kern w:val="0"/>
          <w:szCs w:val="22"/>
          <w14:textFill>
            <w14:solidFill>
              <w14:schemeClr w14:val="tx1"/>
            </w14:solidFill>
          </w14:textFill>
        </w:rPr>
      </w:pPr>
      <w:r>
        <w:rPr>
          <w:i/>
          <w:color w:val="000000" w:themeColor="text1"/>
          <w:kern w:val="0"/>
          <w:szCs w:val="22"/>
          <w14:textFill>
            <w14:solidFill>
              <w14:schemeClr w14:val="tx1"/>
            </w14:solidFill>
          </w14:textFill>
        </w:rPr>
        <w:t>pH</w:t>
      </w:r>
      <w:r>
        <w:rPr>
          <w:i/>
          <w:color w:val="000000" w:themeColor="text1"/>
          <w:kern w:val="0"/>
          <w:szCs w:val="22"/>
          <w:vertAlign w:val="subscript"/>
          <w14:textFill>
            <w14:solidFill>
              <w14:schemeClr w14:val="tx1"/>
            </w14:solidFill>
          </w14:textFill>
        </w:rPr>
        <w:t>Su</w:t>
      </w:r>
      <w:r>
        <w:rPr>
          <w:i/>
          <w:color w:val="000000" w:themeColor="text1"/>
          <w:kern w:val="0"/>
          <w:szCs w:val="22"/>
          <w14:textFill>
            <w14:solidFill>
              <w14:schemeClr w14:val="tx1"/>
            </w14:solidFill>
          </w14:textFill>
        </w:rPr>
        <w:t>—</w:t>
      </w:r>
      <w:r>
        <w:rPr>
          <w:color w:val="000000" w:themeColor="text1"/>
          <w:kern w:val="0"/>
          <w:szCs w:val="22"/>
          <w14:textFill>
            <w14:solidFill>
              <w14:schemeClr w14:val="tx1"/>
            </w14:solidFill>
          </w14:textFill>
        </w:rPr>
        <w:t>标准中pH的上限值；</w:t>
      </w:r>
    </w:p>
    <w:p w14:paraId="73A84A09">
      <w:pPr>
        <w:ind w:firstLine="480"/>
        <w:rPr>
          <w:color w:val="000000" w:themeColor="text1"/>
          <w:kern w:val="0"/>
          <w:szCs w:val="22"/>
          <w14:textFill>
            <w14:solidFill>
              <w14:schemeClr w14:val="tx1"/>
            </w14:solidFill>
          </w14:textFill>
        </w:rPr>
      </w:pPr>
      <w:r>
        <w:rPr>
          <w:i/>
          <w:color w:val="000000" w:themeColor="text1"/>
          <w:kern w:val="0"/>
          <w:szCs w:val="22"/>
          <w14:textFill>
            <w14:solidFill>
              <w14:schemeClr w14:val="tx1"/>
            </w14:solidFill>
          </w14:textFill>
        </w:rPr>
        <w:t>pH</w:t>
      </w:r>
      <w:r>
        <w:rPr>
          <w:i/>
          <w:color w:val="000000" w:themeColor="text1"/>
          <w:kern w:val="0"/>
          <w:szCs w:val="22"/>
          <w:vertAlign w:val="subscript"/>
          <w14:textFill>
            <w14:solidFill>
              <w14:schemeClr w14:val="tx1"/>
            </w14:solidFill>
          </w14:textFill>
        </w:rPr>
        <w:t>sd</w:t>
      </w:r>
      <w:r>
        <w:rPr>
          <w:i/>
          <w:color w:val="000000" w:themeColor="text1"/>
          <w:kern w:val="0"/>
          <w:szCs w:val="22"/>
          <w14:textFill>
            <w14:solidFill>
              <w14:schemeClr w14:val="tx1"/>
            </w14:solidFill>
          </w14:textFill>
        </w:rPr>
        <w:t>—</w:t>
      </w:r>
      <w:r>
        <w:rPr>
          <w:color w:val="000000" w:themeColor="text1"/>
          <w:kern w:val="0"/>
          <w:szCs w:val="22"/>
          <w14:textFill>
            <w14:solidFill>
              <w14:schemeClr w14:val="tx1"/>
            </w14:solidFill>
          </w14:textFill>
        </w:rPr>
        <w:t>标准中pH的下限值。</w:t>
      </w:r>
    </w:p>
    <w:p w14:paraId="525E46FF">
      <w:pPr>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水质参数的标准指数＞1，表明该水质参数超过了规定的水质标准限值，水质参数标准指数越大，说明水质参数超标越严重。</w:t>
      </w:r>
    </w:p>
    <w:p w14:paraId="0E6D7BF3">
      <w:pPr>
        <w:pStyle w:val="4"/>
        <w:rPr>
          <w:color w:val="000000" w:themeColor="text1"/>
          <w14:textFill>
            <w14:solidFill>
              <w14:schemeClr w14:val="tx1"/>
            </w14:solidFill>
          </w14:textFill>
        </w:rPr>
      </w:pPr>
      <w:bookmarkStart w:id="592" w:name="_Toc216620548"/>
      <w:bookmarkStart w:id="593" w:name="_Toc136878484"/>
      <w:r>
        <w:rPr>
          <w:color w:val="000000" w:themeColor="text1"/>
          <w14:textFill>
            <w14:solidFill>
              <w14:schemeClr w14:val="tx1"/>
            </w14:solidFill>
          </w14:textFill>
        </w:rPr>
        <w:t>评价结果</w:t>
      </w:r>
      <w:bookmarkEnd w:id="592"/>
      <w:bookmarkEnd w:id="593"/>
    </w:p>
    <w:p w14:paraId="2802D7D5">
      <w:pPr>
        <w:ind w:firstLine="480"/>
        <w:rPr>
          <w:color w:val="000000" w:themeColor="text1"/>
          <w:u w:val="single"/>
          <w14:textFill>
            <w14:solidFill>
              <w14:schemeClr w14:val="tx1"/>
            </w14:solidFill>
          </w14:textFill>
        </w:rPr>
      </w:pPr>
      <w:r>
        <w:rPr>
          <w:color w:val="000000" w:themeColor="text1"/>
          <w:kern w:val="0"/>
          <w:szCs w:val="22"/>
          <w14:textFill>
            <w14:solidFill>
              <w14:schemeClr w14:val="tx1"/>
            </w14:solidFill>
          </w14:textFill>
        </w:rPr>
        <w:t>根据监测数据</w:t>
      </w:r>
      <w:r>
        <w:rPr>
          <w:color w:val="000000" w:themeColor="text1"/>
          <w:kern w:val="0"/>
          <w:szCs w:val="22"/>
          <w:u w:val="single"/>
          <w14:textFill>
            <w14:solidFill>
              <w14:schemeClr w14:val="tx1"/>
            </w14:solidFill>
          </w14:textFill>
        </w:rPr>
        <w:t>统计分析，</w:t>
      </w:r>
      <w:r>
        <w:rPr>
          <w:rFonts w:hint="eastAsia"/>
          <w:color w:val="000000" w:themeColor="text1"/>
          <w:kern w:val="0"/>
          <w:szCs w:val="22"/>
          <w:u w:val="single"/>
          <w14:textFill>
            <w14:solidFill>
              <w14:schemeClr w14:val="tx1"/>
            </w14:solidFill>
          </w14:textFill>
        </w:rPr>
        <w:t>D1</w:t>
      </w:r>
      <w:r>
        <w:rPr>
          <w:color w:val="000000" w:themeColor="text1"/>
          <w:kern w:val="0"/>
          <w:szCs w:val="22"/>
          <w:u w:val="single"/>
          <w14:textFill>
            <w14:solidFill>
              <w14:schemeClr w14:val="tx1"/>
            </w14:solidFill>
          </w14:textFill>
        </w:rPr>
        <w:t>监测点出现</w:t>
      </w:r>
      <w:r>
        <w:rPr>
          <w:rFonts w:hint="eastAsia"/>
          <w:color w:val="000000" w:themeColor="text1"/>
          <w:kern w:val="0"/>
          <w:szCs w:val="22"/>
          <w:u w:val="single"/>
          <w14:textFill>
            <w14:solidFill>
              <w14:schemeClr w14:val="tx1"/>
            </w14:solidFill>
          </w14:textFill>
        </w:rPr>
        <w:t>氟化物</w:t>
      </w:r>
      <w:r>
        <w:rPr>
          <w:color w:val="000000" w:themeColor="text1"/>
          <w:kern w:val="0"/>
          <w:szCs w:val="22"/>
          <w:u w:val="single"/>
          <w14:textFill>
            <w14:solidFill>
              <w14:schemeClr w14:val="tx1"/>
            </w14:solidFill>
          </w14:textFill>
        </w:rPr>
        <w:t>超标现象</w:t>
      </w:r>
      <w:r>
        <w:rPr>
          <w:rFonts w:hint="eastAsia"/>
          <w:color w:val="000000" w:themeColor="text1"/>
          <w:kern w:val="0"/>
          <w:szCs w:val="22"/>
          <w:u w:val="single"/>
          <w14:textFill>
            <w14:solidFill>
              <w14:schemeClr w14:val="tx1"/>
            </w14:solidFill>
          </w14:textFill>
        </w:rPr>
        <w:t>，</w:t>
      </w:r>
      <w:r>
        <w:rPr>
          <w:rFonts w:hint="eastAsia"/>
          <w:color w:val="000000" w:themeColor="text1"/>
          <w:kern w:val="0"/>
          <w:szCs w:val="22"/>
          <w:u w:val="single"/>
          <w:lang w:val="en-US" w:eastAsia="zh-CN"/>
          <w14:textFill>
            <w14:solidFill>
              <w14:schemeClr w14:val="tx1"/>
            </w14:solidFill>
          </w14:textFill>
        </w:rPr>
        <w:t>初步推断为上游企业撒漏，随地表径流下渗引起的氟化物浓度超标</w:t>
      </w:r>
      <w:r>
        <w:rPr>
          <w:rFonts w:hint="eastAsia"/>
          <w:color w:val="000000" w:themeColor="text1"/>
          <w:kern w:val="0"/>
          <w:szCs w:val="22"/>
          <w:u w:val="single"/>
          <w14:textFill>
            <w14:solidFill>
              <w14:schemeClr w14:val="tx1"/>
            </w14:solidFill>
          </w14:textFill>
        </w:rPr>
        <w:t>。</w:t>
      </w:r>
      <w:r>
        <w:rPr>
          <w:color w:val="000000" w:themeColor="text1"/>
          <w:kern w:val="0"/>
          <w:szCs w:val="22"/>
          <w:u w:val="single"/>
          <w14:textFill>
            <w14:solidFill>
              <w14:schemeClr w14:val="tx1"/>
            </w14:solidFill>
          </w14:textFill>
        </w:rPr>
        <w:t>其余监测指标均能满足《地下水质量标准》（GB/T14848-2017）Ⅲ类标准要求。</w:t>
      </w:r>
      <w:r>
        <w:rPr>
          <w:color w:val="000000" w:themeColor="text1"/>
          <w:u w:val="single"/>
          <w14:textFill>
            <w14:solidFill>
              <w14:schemeClr w14:val="tx1"/>
            </w14:solidFill>
          </w14:textFill>
        </w:rPr>
        <w:t>地下水水质调查与评价结果（单位：mg/L，pH除外）</w:t>
      </w:r>
    </w:p>
    <w:p w14:paraId="5122889A">
      <w:pPr>
        <w:pStyle w:val="7"/>
        <w:rPr>
          <w:color w:val="000000" w:themeColor="text1"/>
          <w14:textFill>
            <w14:solidFill>
              <w14:schemeClr w14:val="tx1"/>
            </w14:solidFill>
          </w14:textFill>
        </w:rPr>
      </w:pPr>
      <w:r>
        <w:rPr>
          <w:rFonts w:hint="eastAsia"/>
          <w:color w:val="000000" w:themeColor="text1"/>
          <w14:textFill>
            <w14:solidFill>
              <w14:schemeClr w14:val="tx1"/>
            </w14:solidFill>
          </w14:textFill>
        </w:rPr>
        <w:t>地下水水质调查与评价结果（单位：mg/L，pH除外）</w:t>
      </w:r>
    </w:p>
    <w:tbl>
      <w:tblPr>
        <w:tblStyle w:val="43"/>
        <w:tblW w:w="9638"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51" w:type="dxa"/>
          <w:bottom w:w="0" w:type="dxa"/>
          <w:right w:w="51" w:type="dxa"/>
        </w:tblCellMar>
      </w:tblPr>
      <w:tblGrid>
        <w:gridCol w:w="986"/>
        <w:gridCol w:w="1701"/>
        <w:gridCol w:w="1370"/>
        <w:gridCol w:w="1370"/>
        <w:gridCol w:w="1371"/>
        <w:gridCol w:w="1134"/>
        <w:gridCol w:w="992"/>
        <w:gridCol w:w="714"/>
      </w:tblGrid>
      <w:tr w14:paraId="6EE85DE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397" w:hRule="atLeast"/>
          <w:jc w:val="center"/>
        </w:trPr>
        <w:tc>
          <w:tcPr>
            <w:tcW w:w="986" w:type="dxa"/>
            <w:vMerge w:val="restart"/>
            <w:vAlign w:val="center"/>
          </w:tcPr>
          <w:p w14:paraId="08DDBE19">
            <w:pPr>
              <w:pStyle w:val="70"/>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采样日期</w:t>
            </w:r>
          </w:p>
        </w:tc>
        <w:tc>
          <w:tcPr>
            <w:tcW w:w="1701" w:type="dxa"/>
            <w:vMerge w:val="restart"/>
            <w:vAlign w:val="center"/>
          </w:tcPr>
          <w:p w14:paraId="50597562">
            <w:pPr>
              <w:pStyle w:val="70"/>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检测</w:t>
            </w:r>
            <w:r>
              <w:rPr>
                <w:b/>
                <w:bCs/>
                <w:color w:val="000000" w:themeColor="text1"/>
                <w14:textFill>
                  <w14:solidFill>
                    <w14:schemeClr w14:val="tx1"/>
                  </w14:solidFill>
                </w14:textFill>
              </w:rPr>
              <w:t>项目</w:t>
            </w:r>
          </w:p>
        </w:tc>
        <w:tc>
          <w:tcPr>
            <w:tcW w:w="4111" w:type="dxa"/>
            <w:gridSpan w:val="3"/>
            <w:vAlign w:val="center"/>
          </w:tcPr>
          <w:p w14:paraId="05F797B6">
            <w:pPr>
              <w:pStyle w:val="70"/>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检测点位</w:t>
            </w:r>
            <w:r>
              <w:rPr>
                <w:b/>
                <w:bCs/>
                <w:color w:val="000000" w:themeColor="text1"/>
                <w14:textFill>
                  <w14:solidFill>
                    <w14:schemeClr w14:val="tx1"/>
                  </w14:solidFill>
                </w14:textFill>
              </w:rPr>
              <w:t>及检测结果</w:t>
            </w:r>
          </w:p>
        </w:tc>
        <w:tc>
          <w:tcPr>
            <w:tcW w:w="1134" w:type="dxa"/>
            <w:vMerge w:val="restart"/>
            <w:vAlign w:val="center"/>
          </w:tcPr>
          <w:p w14:paraId="630433EF">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标准值</w:t>
            </w:r>
          </w:p>
        </w:tc>
        <w:tc>
          <w:tcPr>
            <w:tcW w:w="992" w:type="dxa"/>
            <w:vMerge w:val="restart"/>
            <w:vAlign w:val="center"/>
          </w:tcPr>
          <w:p w14:paraId="19A3B354">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Sij</w:t>
            </w:r>
          </w:p>
        </w:tc>
        <w:tc>
          <w:tcPr>
            <w:tcW w:w="714" w:type="dxa"/>
            <w:vMerge w:val="restart"/>
            <w:vAlign w:val="center"/>
          </w:tcPr>
          <w:p w14:paraId="0CBCE99A">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是否达标</w:t>
            </w:r>
          </w:p>
        </w:tc>
      </w:tr>
      <w:tr w14:paraId="6748DB0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397" w:hRule="atLeast"/>
          <w:jc w:val="center"/>
        </w:trPr>
        <w:tc>
          <w:tcPr>
            <w:tcW w:w="986" w:type="dxa"/>
            <w:vMerge w:val="continue"/>
            <w:vAlign w:val="center"/>
          </w:tcPr>
          <w:p w14:paraId="62913605">
            <w:pPr>
              <w:pStyle w:val="70"/>
              <w:rPr>
                <w:b/>
                <w:bCs/>
                <w:color w:val="000000" w:themeColor="text1"/>
                <w14:textFill>
                  <w14:solidFill>
                    <w14:schemeClr w14:val="tx1"/>
                  </w14:solidFill>
                </w14:textFill>
              </w:rPr>
            </w:pPr>
          </w:p>
        </w:tc>
        <w:tc>
          <w:tcPr>
            <w:tcW w:w="1701" w:type="dxa"/>
            <w:vMerge w:val="continue"/>
            <w:vAlign w:val="center"/>
          </w:tcPr>
          <w:p w14:paraId="013E4827">
            <w:pPr>
              <w:pStyle w:val="70"/>
              <w:rPr>
                <w:b/>
                <w:bCs/>
                <w:color w:val="000000" w:themeColor="text1"/>
                <w14:textFill>
                  <w14:solidFill>
                    <w14:schemeClr w14:val="tx1"/>
                  </w14:solidFill>
                </w14:textFill>
              </w:rPr>
            </w:pPr>
          </w:p>
        </w:tc>
        <w:tc>
          <w:tcPr>
            <w:tcW w:w="1370" w:type="dxa"/>
            <w:vAlign w:val="center"/>
          </w:tcPr>
          <w:p w14:paraId="7471FB57">
            <w:pPr>
              <w:pStyle w:val="70"/>
              <w:rPr>
                <w:rFonts w:hint="eastAsia" w:eastAsia="宋体"/>
                <w:b/>
                <w:bCs/>
                <w:color w:val="000000" w:themeColor="text1"/>
                <w:lang w:eastAsia="zh-CN"/>
                <w14:textFill>
                  <w14:solidFill>
                    <w14:schemeClr w14:val="tx1"/>
                  </w14:solidFill>
                </w14:textFill>
              </w:rPr>
            </w:pPr>
            <w:r>
              <w:rPr>
                <w:b/>
                <w:bCs/>
                <w:color w:val="000000" w:themeColor="text1"/>
                <w14:textFill>
                  <w14:solidFill>
                    <w14:schemeClr w14:val="tx1"/>
                  </w14:solidFill>
                </w14:textFill>
              </w:rPr>
              <w:t>D1广西华谊新材料有限公司罐区</w:t>
            </w:r>
            <w:r>
              <w:rPr>
                <w:rFonts w:hint="eastAsia"/>
                <w:b/>
                <w:bCs/>
                <w:color w:val="000000" w:themeColor="text1"/>
                <w:lang w:eastAsia="zh-CN"/>
                <w14:textFill>
                  <w14:solidFill>
                    <w14:schemeClr w14:val="tx1"/>
                  </w14:solidFill>
                </w14:textFill>
              </w:rPr>
              <w:t>（</w:t>
            </w:r>
            <w:r>
              <w:rPr>
                <w:rFonts w:hint="eastAsia"/>
                <w:b/>
                <w:bCs/>
                <w:color w:val="000000" w:themeColor="text1"/>
                <w:lang w:val="en-US" w:eastAsia="zh-CN"/>
                <w14:textFill>
                  <w14:solidFill>
                    <w14:schemeClr w14:val="tx1"/>
                  </w14:solidFill>
                </w14:textFill>
              </w:rPr>
              <w:t>氯苯</w:t>
            </w:r>
            <w:r>
              <w:rPr>
                <w:rFonts w:hint="eastAsia"/>
                <w:b/>
                <w:bCs/>
                <w:color w:val="000000" w:themeColor="text1"/>
                <w:lang w:eastAsia="zh-CN"/>
                <w14:textFill>
                  <w14:solidFill>
                    <w14:schemeClr w14:val="tx1"/>
                  </w14:solidFill>
                </w14:textFill>
              </w:rPr>
              <w:t>）</w:t>
            </w:r>
          </w:p>
        </w:tc>
        <w:tc>
          <w:tcPr>
            <w:tcW w:w="1370" w:type="dxa"/>
            <w:vAlign w:val="center"/>
          </w:tcPr>
          <w:p w14:paraId="1F60A659">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D2高沙头村</w:t>
            </w:r>
          </w:p>
        </w:tc>
        <w:tc>
          <w:tcPr>
            <w:tcW w:w="1371" w:type="dxa"/>
            <w:vAlign w:val="center"/>
          </w:tcPr>
          <w:p w14:paraId="3AAE4A51">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D3尖岭</w:t>
            </w:r>
          </w:p>
        </w:tc>
        <w:tc>
          <w:tcPr>
            <w:tcW w:w="1134" w:type="dxa"/>
            <w:vMerge w:val="continue"/>
            <w:vAlign w:val="center"/>
          </w:tcPr>
          <w:p w14:paraId="6BDFC588">
            <w:pPr>
              <w:pStyle w:val="70"/>
              <w:rPr>
                <w:b/>
                <w:bCs/>
                <w:color w:val="000000" w:themeColor="text1"/>
                <w14:textFill>
                  <w14:solidFill>
                    <w14:schemeClr w14:val="tx1"/>
                  </w14:solidFill>
                </w14:textFill>
              </w:rPr>
            </w:pPr>
          </w:p>
        </w:tc>
        <w:tc>
          <w:tcPr>
            <w:tcW w:w="992" w:type="dxa"/>
            <w:vMerge w:val="continue"/>
            <w:vAlign w:val="center"/>
          </w:tcPr>
          <w:p w14:paraId="20798325">
            <w:pPr>
              <w:pStyle w:val="70"/>
              <w:rPr>
                <w:b/>
                <w:bCs/>
                <w:color w:val="000000" w:themeColor="text1"/>
                <w14:textFill>
                  <w14:solidFill>
                    <w14:schemeClr w14:val="tx1"/>
                  </w14:solidFill>
                </w14:textFill>
              </w:rPr>
            </w:pPr>
          </w:p>
        </w:tc>
        <w:tc>
          <w:tcPr>
            <w:tcW w:w="714" w:type="dxa"/>
            <w:vMerge w:val="continue"/>
            <w:vAlign w:val="center"/>
          </w:tcPr>
          <w:p w14:paraId="4A0583EB">
            <w:pPr>
              <w:pStyle w:val="70"/>
              <w:rPr>
                <w:b/>
                <w:bCs/>
                <w:color w:val="000000" w:themeColor="text1"/>
                <w14:textFill>
                  <w14:solidFill>
                    <w14:schemeClr w14:val="tx1"/>
                  </w14:solidFill>
                </w14:textFill>
              </w:rPr>
            </w:pPr>
          </w:p>
        </w:tc>
      </w:tr>
      <w:tr w14:paraId="2EE7DAD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397" w:hRule="atLeast"/>
          <w:jc w:val="center"/>
        </w:trPr>
        <w:tc>
          <w:tcPr>
            <w:tcW w:w="986" w:type="dxa"/>
            <w:vMerge w:val="restart"/>
            <w:vAlign w:val="center"/>
          </w:tcPr>
          <w:p w14:paraId="7C6ED32B">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2025.12.02</w:t>
            </w:r>
          </w:p>
        </w:tc>
        <w:tc>
          <w:tcPr>
            <w:tcW w:w="1701" w:type="dxa"/>
            <w:shd w:val="clear" w:color="auto" w:fill="auto"/>
            <w:vAlign w:val="center"/>
          </w:tcPr>
          <w:p w14:paraId="1966E613">
            <w:pPr>
              <w:pStyle w:val="70"/>
              <w:rPr>
                <w:color w:val="000000" w:themeColor="text1"/>
                <w14:textFill>
                  <w14:solidFill>
                    <w14:schemeClr w14:val="tx1"/>
                  </w14:solidFill>
                </w14:textFill>
              </w:rPr>
            </w:pPr>
            <w:r>
              <w:rPr>
                <w:color w:val="000000" w:themeColor="text1"/>
                <w14:textFill>
                  <w14:solidFill>
                    <w14:schemeClr w14:val="tx1"/>
                  </w14:solidFill>
                </w14:textFill>
              </w:rPr>
              <w:t>pH值</w:t>
            </w:r>
          </w:p>
        </w:tc>
        <w:tc>
          <w:tcPr>
            <w:tcW w:w="1370" w:type="dxa"/>
            <w:shd w:val="clear" w:color="auto" w:fill="auto"/>
            <w:vAlign w:val="center"/>
          </w:tcPr>
          <w:p w14:paraId="50548F01">
            <w:pPr>
              <w:pStyle w:val="70"/>
              <w:rPr>
                <w:color w:val="000000" w:themeColor="text1"/>
                <w14:textFill>
                  <w14:solidFill>
                    <w14:schemeClr w14:val="tx1"/>
                  </w14:solidFill>
                </w14:textFill>
              </w:rPr>
            </w:pPr>
          </w:p>
        </w:tc>
        <w:tc>
          <w:tcPr>
            <w:tcW w:w="1370" w:type="dxa"/>
            <w:vAlign w:val="center"/>
          </w:tcPr>
          <w:p w14:paraId="3FBF507F">
            <w:pPr>
              <w:pStyle w:val="70"/>
              <w:rPr>
                <w:color w:val="000000" w:themeColor="text1"/>
                <w14:textFill>
                  <w14:solidFill>
                    <w14:schemeClr w14:val="tx1"/>
                  </w14:solidFill>
                </w14:textFill>
              </w:rPr>
            </w:pPr>
          </w:p>
        </w:tc>
        <w:tc>
          <w:tcPr>
            <w:tcW w:w="1371" w:type="dxa"/>
            <w:vAlign w:val="center"/>
          </w:tcPr>
          <w:p w14:paraId="61E09AA1">
            <w:pPr>
              <w:pStyle w:val="70"/>
              <w:rPr>
                <w:color w:val="000000" w:themeColor="text1"/>
                <w14:textFill>
                  <w14:solidFill>
                    <w14:schemeClr w14:val="tx1"/>
                  </w14:solidFill>
                </w14:textFill>
              </w:rPr>
            </w:pPr>
          </w:p>
        </w:tc>
        <w:tc>
          <w:tcPr>
            <w:tcW w:w="1134" w:type="dxa"/>
            <w:vAlign w:val="center"/>
          </w:tcPr>
          <w:p w14:paraId="31D0BB74">
            <w:pPr>
              <w:pStyle w:val="70"/>
              <w:rPr>
                <w:color w:val="000000" w:themeColor="text1"/>
                <w14:textFill>
                  <w14:solidFill>
                    <w14:schemeClr w14:val="tx1"/>
                  </w14:solidFill>
                </w14:textFill>
              </w:rPr>
            </w:pPr>
            <w:r>
              <w:rPr>
                <w:color w:val="000000" w:themeColor="text1"/>
                <w14:textFill>
                  <w14:solidFill>
                    <w14:schemeClr w14:val="tx1"/>
                  </w14:solidFill>
                </w14:textFill>
              </w:rPr>
              <w:t>6.5≤pH≤8.5</w:t>
            </w:r>
          </w:p>
        </w:tc>
        <w:tc>
          <w:tcPr>
            <w:tcW w:w="992" w:type="dxa"/>
            <w:vAlign w:val="center"/>
          </w:tcPr>
          <w:p w14:paraId="137B24F5">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0.07</w:t>
            </w:r>
          </w:p>
        </w:tc>
        <w:tc>
          <w:tcPr>
            <w:tcW w:w="714" w:type="dxa"/>
            <w:vAlign w:val="center"/>
          </w:tcPr>
          <w:p w14:paraId="31E985B3">
            <w:pPr>
              <w:pStyle w:val="70"/>
              <w:rPr>
                <w:color w:val="000000" w:themeColor="text1"/>
                <w14:textFill>
                  <w14:solidFill>
                    <w14:schemeClr w14:val="tx1"/>
                  </w14:solidFill>
                </w14:textFill>
              </w:rPr>
            </w:pPr>
            <w:r>
              <w:rPr>
                <w:color w:val="000000" w:themeColor="text1"/>
                <w14:textFill>
                  <w14:solidFill>
                    <w14:schemeClr w14:val="tx1"/>
                  </w14:solidFill>
                </w14:textFill>
              </w:rPr>
              <w:t>是</w:t>
            </w:r>
          </w:p>
        </w:tc>
      </w:tr>
      <w:tr w14:paraId="770BF24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397" w:hRule="atLeast"/>
          <w:jc w:val="center"/>
        </w:trPr>
        <w:tc>
          <w:tcPr>
            <w:tcW w:w="986" w:type="dxa"/>
            <w:vMerge w:val="continue"/>
            <w:vAlign w:val="center"/>
          </w:tcPr>
          <w:p w14:paraId="092852AE">
            <w:pPr>
              <w:pStyle w:val="70"/>
              <w:rPr>
                <w:color w:val="000000" w:themeColor="text1"/>
                <w14:textFill>
                  <w14:solidFill>
                    <w14:schemeClr w14:val="tx1"/>
                  </w14:solidFill>
                </w14:textFill>
              </w:rPr>
            </w:pPr>
          </w:p>
        </w:tc>
        <w:tc>
          <w:tcPr>
            <w:tcW w:w="1701" w:type="dxa"/>
            <w:shd w:val="clear" w:color="auto" w:fill="auto"/>
            <w:vAlign w:val="center"/>
          </w:tcPr>
          <w:p w14:paraId="51E100CD">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镉</w:t>
            </w:r>
          </w:p>
        </w:tc>
        <w:tc>
          <w:tcPr>
            <w:tcW w:w="1370" w:type="dxa"/>
            <w:shd w:val="clear" w:color="auto" w:fill="auto"/>
            <w:vAlign w:val="center"/>
          </w:tcPr>
          <w:p w14:paraId="76359FF0">
            <w:pPr>
              <w:pStyle w:val="70"/>
              <w:rPr>
                <w:color w:val="000000" w:themeColor="text1"/>
                <w14:textFill>
                  <w14:solidFill>
                    <w14:schemeClr w14:val="tx1"/>
                  </w14:solidFill>
                </w14:textFill>
              </w:rPr>
            </w:pPr>
          </w:p>
        </w:tc>
        <w:tc>
          <w:tcPr>
            <w:tcW w:w="1370" w:type="dxa"/>
            <w:vAlign w:val="center"/>
          </w:tcPr>
          <w:p w14:paraId="3CC13F58">
            <w:pPr>
              <w:pStyle w:val="70"/>
              <w:rPr>
                <w:color w:val="000000" w:themeColor="text1"/>
                <w14:textFill>
                  <w14:solidFill>
                    <w14:schemeClr w14:val="tx1"/>
                  </w14:solidFill>
                </w14:textFill>
              </w:rPr>
            </w:pPr>
          </w:p>
        </w:tc>
        <w:tc>
          <w:tcPr>
            <w:tcW w:w="1371" w:type="dxa"/>
            <w:vAlign w:val="center"/>
          </w:tcPr>
          <w:p w14:paraId="57EAC3A9">
            <w:pPr>
              <w:pStyle w:val="70"/>
              <w:rPr>
                <w:color w:val="000000" w:themeColor="text1"/>
                <w14:textFill>
                  <w14:solidFill>
                    <w14:schemeClr w14:val="tx1"/>
                  </w14:solidFill>
                </w14:textFill>
              </w:rPr>
            </w:pPr>
          </w:p>
        </w:tc>
        <w:tc>
          <w:tcPr>
            <w:tcW w:w="1134" w:type="dxa"/>
            <w:vAlign w:val="center"/>
          </w:tcPr>
          <w:p w14:paraId="6803E821">
            <w:pPr>
              <w:pStyle w:val="70"/>
              <w:rPr>
                <w:color w:val="000000" w:themeColor="text1"/>
                <w14:textFill>
                  <w14:solidFill>
                    <w14:schemeClr w14:val="tx1"/>
                  </w14:solidFill>
                </w14:textFill>
              </w:rPr>
            </w:pPr>
            <w:r>
              <w:rPr>
                <w:color w:val="000000" w:themeColor="text1"/>
                <w14:textFill>
                  <w14:solidFill>
                    <w14:schemeClr w14:val="tx1"/>
                  </w14:solidFill>
                </w14:textFill>
              </w:rPr>
              <w:t>≤0.005</w:t>
            </w:r>
          </w:p>
        </w:tc>
        <w:tc>
          <w:tcPr>
            <w:tcW w:w="992" w:type="dxa"/>
            <w:vAlign w:val="center"/>
          </w:tcPr>
          <w:p w14:paraId="349C000E">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714" w:type="dxa"/>
            <w:vAlign w:val="center"/>
          </w:tcPr>
          <w:p w14:paraId="12F38CB4">
            <w:pPr>
              <w:pStyle w:val="70"/>
              <w:rPr>
                <w:color w:val="000000" w:themeColor="text1"/>
                <w14:textFill>
                  <w14:solidFill>
                    <w14:schemeClr w14:val="tx1"/>
                  </w14:solidFill>
                </w14:textFill>
              </w:rPr>
            </w:pPr>
            <w:r>
              <w:rPr>
                <w:color w:val="000000" w:themeColor="text1"/>
                <w14:textFill>
                  <w14:solidFill>
                    <w14:schemeClr w14:val="tx1"/>
                  </w14:solidFill>
                </w14:textFill>
              </w:rPr>
              <w:t>是</w:t>
            </w:r>
          </w:p>
        </w:tc>
      </w:tr>
      <w:tr w14:paraId="0614BB2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397" w:hRule="atLeast"/>
          <w:jc w:val="center"/>
        </w:trPr>
        <w:tc>
          <w:tcPr>
            <w:tcW w:w="986" w:type="dxa"/>
            <w:vMerge w:val="continue"/>
            <w:vAlign w:val="center"/>
          </w:tcPr>
          <w:p w14:paraId="1678E367">
            <w:pPr>
              <w:pStyle w:val="70"/>
              <w:rPr>
                <w:color w:val="000000" w:themeColor="text1"/>
                <w14:textFill>
                  <w14:solidFill>
                    <w14:schemeClr w14:val="tx1"/>
                  </w14:solidFill>
                </w14:textFill>
              </w:rPr>
            </w:pPr>
          </w:p>
        </w:tc>
        <w:tc>
          <w:tcPr>
            <w:tcW w:w="1701" w:type="dxa"/>
            <w:shd w:val="clear" w:color="auto" w:fill="auto"/>
            <w:vAlign w:val="center"/>
          </w:tcPr>
          <w:p w14:paraId="2D2E6118">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铅</w:t>
            </w:r>
          </w:p>
        </w:tc>
        <w:tc>
          <w:tcPr>
            <w:tcW w:w="1370" w:type="dxa"/>
            <w:shd w:val="clear" w:color="auto" w:fill="auto"/>
            <w:vAlign w:val="center"/>
          </w:tcPr>
          <w:p w14:paraId="4BC2949F">
            <w:pPr>
              <w:pStyle w:val="70"/>
              <w:rPr>
                <w:color w:val="000000" w:themeColor="text1"/>
                <w14:textFill>
                  <w14:solidFill>
                    <w14:schemeClr w14:val="tx1"/>
                  </w14:solidFill>
                </w14:textFill>
              </w:rPr>
            </w:pPr>
          </w:p>
        </w:tc>
        <w:tc>
          <w:tcPr>
            <w:tcW w:w="1370" w:type="dxa"/>
            <w:shd w:val="clear" w:color="auto" w:fill="auto"/>
            <w:vAlign w:val="center"/>
          </w:tcPr>
          <w:p w14:paraId="299F8F4A">
            <w:pPr>
              <w:pStyle w:val="70"/>
              <w:rPr>
                <w:color w:val="000000" w:themeColor="text1"/>
                <w14:textFill>
                  <w14:solidFill>
                    <w14:schemeClr w14:val="tx1"/>
                  </w14:solidFill>
                </w14:textFill>
              </w:rPr>
            </w:pPr>
          </w:p>
        </w:tc>
        <w:tc>
          <w:tcPr>
            <w:tcW w:w="1371" w:type="dxa"/>
            <w:shd w:val="clear" w:color="auto" w:fill="auto"/>
            <w:vAlign w:val="center"/>
          </w:tcPr>
          <w:p w14:paraId="1231B227">
            <w:pPr>
              <w:pStyle w:val="70"/>
              <w:rPr>
                <w:color w:val="000000" w:themeColor="text1"/>
                <w14:textFill>
                  <w14:solidFill>
                    <w14:schemeClr w14:val="tx1"/>
                  </w14:solidFill>
                </w14:textFill>
              </w:rPr>
            </w:pPr>
          </w:p>
        </w:tc>
        <w:tc>
          <w:tcPr>
            <w:tcW w:w="1134" w:type="dxa"/>
            <w:vAlign w:val="center"/>
          </w:tcPr>
          <w:p w14:paraId="134E5C88">
            <w:pPr>
              <w:pStyle w:val="70"/>
              <w:rPr>
                <w:color w:val="000000" w:themeColor="text1"/>
                <w14:textFill>
                  <w14:solidFill>
                    <w14:schemeClr w14:val="tx1"/>
                  </w14:solidFill>
                </w14:textFill>
              </w:rPr>
            </w:pPr>
            <w:r>
              <w:rPr>
                <w:color w:val="000000" w:themeColor="text1"/>
                <w14:textFill>
                  <w14:solidFill>
                    <w14:schemeClr w14:val="tx1"/>
                  </w14:solidFill>
                </w14:textFill>
              </w:rPr>
              <w:t>≤0.01</w:t>
            </w:r>
          </w:p>
        </w:tc>
        <w:tc>
          <w:tcPr>
            <w:tcW w:w="992" w:type="dxa"/>
            <w:vAlign w:val="center"/>
          </w:tcPr>
          <w:p w14:paraId="71474960">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714" w:type="dxa"/>
            <w:vAlign w:val="center"/>
          </w:tcPr>
          <w:p w14:paraId="4E82C608">
            <w:pPr>
              <w:pStyle w:val="70"/>
              <w:rPr>
                <w:color w:val="000000" w:themeColor="text1"/>
                <w14:textFill>
                  <w14:solidFill>
                    <w14:schemeClr w14:val="tx1"/>
                  </w14:solidFill>
                </w14:textFill>
              </w:rPr>
            </w:pPr>
            <w:r>
              <w:rPr>
                <w:color w:val="000000" w:themeColor="text1"/>
                <w14:textFill>
                  <w14:solidFill>
                    <w14:schemeClr w14:val="tx1"/>
                  </w14:solidFill>
                </w14:textFill>
              </w:rPr>
              <w:t>是</w:t>
            </w:r>
          </w:p>
        </w:tc>
      </w:tr>
      <w:tr w14:paraId="035D8BA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397" w:hRule="atLeast"/>
          <w:jc w:val="center"/>
        </w:trPr>
        <w:tc>
          <w:tcPr>
            <w:tcW w:w="986" w:type="dxa"/>
            <w:vMerge w:val="continue"/>
            <w:vAlign w:val="center"/>
          </w:tcPr>
          <w:p w14:paraId="0D7F836A">
            <w:pPr>
              <w:pStyle w:val="70"/>
              <w:rPr>
                <w:color w:val="000000" w:themeColor="text1"/>
                <w14:textFill>
                  <w14:solidFill>
                    <w14:schemeClr w14:val="tx1"/>
                  </w14:solidFill>
                </w14:textFill>
              </w:rPr>
            </w:pPr>
          </w:p>
        </w:tc>
        <w:tc>
          <w:tcPr>
            <w:tcW w:w="1701" w:type="dxa"/>
            <w:shd w:val="clear" w:color="auto" w:fill="auto"/>
            <w:vAlign w:val="center"/>
          </w:tcPr>
          <w:p w14:paraId="38C05FB7">
            <w:pPr>
              <w:pStyle w:val="70"/>
              <w:rPr>
                <w:color w:val="000000" w:themeColor="text1"/>
                <w14:textFill>
                  <w14:solidFill>
                    <w14:schemeClr w14:val="tx1"/>
                  </w14:solidFill>
                </w14:textFill>
              </w:rPr>
            </w:pPr>
            <w:r>
              <w:rPr>
                <w:color w:val="000000" w:themeColor="text1"/>
                <w14:textFill>
                  <w14:solidFill>
                    <w14:schemeClr w14:val="tx1"/>
                  </w14:solidFill>
                </w14:textFill>
              </w:rPr>
              <w:t>苯乙烯</w:t>
            </w:r>
          </w:p>
        </w:tc>
        <w:tc>
          <w:tcPr>
            <w:tcW w:w="1370" w:type="dxa"/>
            <w:shd w:val="clear" w:color="auto" w:fill="auto"/>
            <w:vAlign w:val="center"/>
          </w:tcPr>
          <w:p w14:paraId="49FE477B">
            <w:pPr>
              <w:pStyle w:val="70"/>
              <w:rPr>
                <w:color w:val="000000" w:themeColor="text1"/>
                <w14:textFill>
                  <w14:solidFill>
                    <w14:schemeClr w14:val="tx1"/>
                  </w14:solidFill>
                </w14:textFill>
              </w:rPr>
            </w:pPr>
          </w:p>
        </w:tc>
        <w:tc>
          <w:tcPr>
            <w:tcW w:w="1370" w:type="dxa"/>
            <w:vAlign w:val="center"/>
          </w:tcPr>
          <w:p w14:paraId="312F6136">
            <w:pPr>
              <w:pStyle w:val="70"/>
              <w:rPr>
                <w:color w:val="000000" w:themeColor="text1"/>
                <w14:textFill>
                  <w14:solidFill>
                    <w14:schemeClr w14:val="tx1"/>
                  </w14:solidFill>
                </w14:textFill>
              </w:rPr>
            </w:pPr>
          </w:p>
        </w:tc>
        <w:tc>
          <w:tcPr>
            <w:tcW w:w="1371" w:type="dxa"/>
            <w:vAlign w:val="center"/>
          </w:tcPr>
          <w:p w14:paraId="2A35D4FC">
            <w:pPr>
              <w:pStyle w:val="70"/>
              <w:rPr>
                <w:color w:val="000000" w:themeColor="text1"/>
                <w14:textFill>
                  <w14:solidFill>
                    <w14:schemeClr w14:val="tx1"/>
                  </w14:solidFill>
                </w14:textFill>
              </w:rPr>
            </w:pPr>
          </w:p>
        </w:tc>
        <w:tc>
          <w:tcPr>
            <w:tcW w:w="1134" w:type="dxa"/>
            <w:vAlign w:val="center"/>
          </w:tcPr>
          <w:p w14:paraId="3B7A2B13">
            <w:pPr>
              <w:pStyle w:val="70"/>
              <w:rPr>
                <w:color w:val="000000" w:themeColor="text1"/>
                <w14:textFill>
                  <w14:solidFill>
                    <w14:schemeClr w14:val="tx1"/>
                  </w14:solidFill>
                </w14:textFill>
              </w:rPr>
            </w:pPr>
            <w:r>
              <w:rPr>
                <w:color w:val="000000" w:themeColor="text1"/>
                <w14:textFill>
                  <w14:solidFill>
                    <w14:schemeClr w14:val="tx1"/>
                  </w14:solidFill>
                </w14:textFill>
              </w:rPr>
              <w:t>≤0.02</w:t>
            </w:r>
          </w:p>
        </w:tc>
        <w:tc>
          <w:tcPr>
            <w:tcW w:w="992" w:type="dxa"/>
            <w:vAlign w:val="center"/>
          </w:tcPr>
          <w:p w14:paraId="4647C5A2">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714" w:type="dxa"/>
            <w:vAlign w:val="center"/>
          </w:tcPr>
          <w:p w14:paraId="1B1E4518">
            <w:pPr>
              <w:pStyle w:val="70"/>
              <w:rPr>
                <w:color w:val="000000" w:themeColor="text1"/>
                <w14:textFill>
                  <w14:solidFill>
                    <w14:schemeClr w14:val="tx1"/>
                  </w14:solidFill>
                </w14:textFill>
              </w:rPr>
            </w:pPr>
            <w:r>
              <w:rPr>
                <w:color w:val="000000" w:themeColor="text1"/>
                <w14:textFill>
                  <w14:solidFill>
                    <w14:schemeClr w14:val="tx1"/>
                  </w14:solidFill>
                </w14:textFill>
              </w:rPr>
              <w:t>是</w:t>
            </w:r>
          </w:p>
        </w:tc>
      </w:tr>
      <w:tr w14:paraId="3D4CB3B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397" w:hRule="atLeast"/>
          <w:jc w:val="center"/>
        </w:trPr>
        <w:tc>
          <w:tcPr>
            <w:tcW w:w="986" w:type="dxa"/>
            <w:vMerge w:val="continue"/>
            <w:vAlign w:val="center"/>
          </w:tcPr>
          <w:p w14:paraId="28DEAF65">
            <w:pPr>
              <w:pStyle w:val="70"/>
              <w:rPr>
                <w:color w:val="000000" w:themeColor="text1"/>
                <w14:textFill>
                  <w14:solidFill>
                    <w14:schemeClr w14:val="tx1"/>
                  </w14:solidFill>
                </w14:textFill>
              </w:rPr>
            </w:pPr>
          </w:p>
        </w:tc>
        <w:tc>
          <w:tcPr>
            <w:tcW w:w="1701" w:type="dxa"/>
            <w:shd w:val="clear" w:color="auto" w:fill="auto"/>
            <w:vAlign w:val="center"/>
          </w:tcPr>
          <w:p w14:paraId="4A72F819">
            <w:pPr>
              <w:pStyle w:val="70"/>
              <w:rPr>
                <w:color w:val="000000" w:themeColor="text1"/>
                <w14:textFill>
                  <w14:solidFill>
                    <w14:schemeClr w14:val="tx1"/>
                  </w14:solidFill>
                </w14:textFill>
              </w:rPr>
            </w:pPr>
            <w:r>
              <w:rPr>
                <w:color w:val="000000" w:themeColor="text1"/>
                <w14:textFill>
                  <w14:solidFill>
                    <w14:schemeClr w14:val="tx1"/>
                  </w14:solidFill>
                </w14:textFill>
              </w:rPr>
              <w:t>硫化物</w:t>
            </w:r>
          </w:p>
        </w:tc>
        <w:tc>
          <w:tcPr>
            <w:tcW w:w="1370" w:type="dxa"/>
            <w:shd w:val="clear" w:color="auto" w:fill="auto"/>
            <w:vAlign w:val="center"/>
          </w:tcPr>
          <w:p w14:paraId="2B656D56">
            <w:pPr>
              <w:pStyle w:val="70"/>
              <w:rPr>
                <w:color w:val="000000" w:themeColor="text1"/>
                <w14:textFill>
                  <w14:solidFill>
                    <w14:schemeClr w14:val="tx1"/>
                  </w14:solidFill>
                </w14:textFill>
              </w:rPr>
            </w:pPr>
          </w:p>
        </w:tc>
        <w:tc>
          <w:tcPr>
            <w:tcW w:w="1370" w:type="dxa"/>
            <w:vAlign w:val="center"/>
          </w:tcPr>
          <w:p w14:paraId="4084F527">
            <w:pPr>
              <w:pStyle w:val="70"/>
              <w:rPr>
                <w:color w:val="000000" w:themeColor="text1"/>
                <w14:textFill>
                  <w14:solidFill>
                    <w14:schemeClr w14:val="tx1"/>
                  </w14:solidFill>
                </w14:textFill>
              </w:rPr>
            </w:pPr>
          </w:p>
        </w:tc>
        <w:tc>
          <w:tcPr>
            <w:tcW w:w="1371" w:type="dxa"/>
            <w:vAlign w:val="center"/>
          </w:tcPr>
          <w:p w14:paraId="3179DA25">
            <w:pPr>
              <w:pStyle w:val="70"/>
              <w:rPr>
                <w:color w:val="000000" w:themeColor="text1"/>
                <w14:textFill>
                  <w14:solidFill>
                    <w14:schemeClr w14:val="tx1"/>
                  </w14:solidFill>
                </w14:textFill>
              </w:rPr>
            </w:pPr>
          </w:p>
        </w:tc>
        <w:tc>
          <w:tcPr>
            <w:tcW w:w="1134" w:type="dxa"/>
            <w:vAlign w:val="center"/>
          </w:tcPr>
          <w:p w14:paraId="21423D50">
            <w:pPr>
              <w:pStyle w:val="70"/>
              <w:rPr>
                <w:color w:val="000000" w:themeColor="text1"/>
                <w14:textFill>
                  <w14:solidFill>
                    <w14:schemeClr w14:val="tx1"/>
                  </w14:solidFill>
                </w14:textFill>
              </w:rPr>
            </w:pPr>
            <w:r>
              <w:rPr>
                <w:color w:val="000000" w:themeColor="text1"/>
                <w14:textFill>
                  <w14:solidFill>
                    <w14:schemeClr w14:val="tx1"/>
                  </w14:solidFill>
                </w14:textFill>
              </w:rPr>
              <w:t>≤0.02</w:t>
            </w:r>
          </w:p>
        </w:tc>
        <w:tc>
          <w:tcPr>
            <w:tcW w:w="992" w:type="dxa"/>
            <w:vAlign w:val="center"/>
          </w:tcPr>
          <w:p w14:paraId="1A65A468">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714" w:type="dxa"/>
            <w:vAlign w:val="center"/>
          </w:tcPr>
          <w:p w14:paraId="4269FC1E">
            <w:pPr>
              <w:pStyle w:val="70"/>
              <w:rPr>
                <w:color w:val="000000" w:themeColor="text1"/>
                <w14:textFill>
                  <w14:solidFill>
                    <w14:schemeClr w14:val="tx1"/>
                  </w14:solidFill>
                </w14:textFill>
              </w:rPr>
            </w:pPr>
            <w:r>
              <w:rPr>
                <w:color w:val="000000" w:themeColor="text1"/>
                <w14:textFill>
                  <w14:solidFill>
                    <w14:schemeClr w14:val="tx1"/>
                  </w14:solidFill>
                </w14:textFill>
              </w:rPr>
              <w:t>是</w:t>
            </w:r>
          </w:p>
        </w:tc>
      </w:tr>
      <w:tr w14:paraId="0070EBC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397" w:hRule="atLeast"/>
          <w:jc w:val="center"/>
        </w:trPr>
        <w:tc>
          <w:tcPr>
            <w:tcW w:w="986" w:type="dxa"/>
            <w:vMerge w:val="continue"/>
            <w:vAlign w:val="center"/>
          </w:tcPr>
          <w:p w14:paraId="7FF6372D">
            <w:pPr>
              <w:pStyle w:val="70"/>
              <w:rPr>
                <w:color w:val="000000" w:themeColor="text1"/>
                <w14:textFill>
                  <w14:solidFill>
                    <w14:schemeClr w14:val="tx1"/>
                  </w14:solidFill>
                </w14:textFill>
              </w:rPr>
            </w:pPr>
          </w:p>
        </w:tc>
        <w:tc>
          <w:tcPr>
            <w:tcW w:w="1701" w:type="dxa"/>
            <w:shd w:val="clear" w:color="auto" w:fill="auto"/>
            <w:vAlign w:val="center"/>
          </w:tcPr>
          <w:p w14:paraId="72338187">
            <w:pPr>
              <w:pStyle w:val="70"/>
              <w:rPr>
                <w:color w:val="000000" w:themeColor="text1"/>
                <w14:textFill>
                  <w14:solidFill>
                    <w14:schemeClr w14:val="tx1"/>
                  </w14:solidFill>
                </w14:textFill>
              </w:rPr>
            </w:pPr>
            <w:r>
              <w:rPr>
                <w:color w:val="000000" w:themeColor="text1"/>
                <w14:textFill>
                  <w14:solidFill>
                    <w14:schemeClr w14:val="tx1"/>
                  </w14:solidFill>
                </w14:textFill>
              </w:rPr>
              <w:t>总硬度</w:t>
            </w:r>
          </w:p>
        </w:tc>
        <w:tc>
          <w:tcPr>
            <w:tcW w:w="1370" w:type="dxa"/>
            <w:shd w:val="clear" w:color="auto" w:fill="auto"/>
            <w:vAlign w:val="center"/>
          </w:tcPr>
          <w:p w14:paraId="1F6899C5">
            <w:pPr>
              <w:pStyle w:val="70"/>
              <w:rPr>
                <w:color w:val="000000" w:themeColor="text1"/>
                <w14:textFill>
                  <w14:solidFill>
                    <w14:schemeClr w14:val="tx1"/>
                  </w14:solidFill>
                </w14:textFill>
              </w:rPr>
            </w:pPr>
          </w:p>
        </w:tc>
        <w:tc>
          <w:tcPr>
            <w:tcW w:w="1370" w:type="dxa"/>
            <w:vAlign w:val="center"/>
          </w:tcPr>
          <w:p w14:paraId="5C2B4B82">
            <w:pPr>
              <w:pStyle w:val="70"/>
              <w:rPr>
                <w:color w:val="000000" w:themeColor="text1"/>
                <w14:textFill>
                  <w14:solidFill>
                    <w14:schemeClr w14:val="tx1"/>
                  </w14:solidFill>
                </w14:textFill>
              </w:rPr>
            </w:pPr>
          </w:p>
        </w:tc>
        <w:tc>
          <w:tcPr>
            <w:tcW w:w="1371" w:type="dxa"/>
            <w:vAlign w:val="center"/>
          </w:tcPr>
          <w:p w14:paraId="0BF67C50">
            <w:pPr>
              <w:pStyle w:val="70"/>
              <w:rPr>
                <w:color w:val="000000" w:themeColor="text1"/>
                <w14:textFill>
                  <w14:solidFill>
                    <w14:schemeClr w14:val="tx1"/>
                  </w14:solidFill>
                </w14:textFill>
              </w:rPr>
            </w:pPr>
          </w:p>
        </w:tc>
        <w:tc>
          <w:tcPr>
            <w:tcW w:w="1134" w:type="dxa"/>
            <w:vAlign w:val="center"/>
          </w:tcPr>
          <w:p w14:paraId="7A9CE104">
            <w:pPr>
              <w:pStyle w:val="70"/>
              <w:rPr>
                <w:color w:val="000000" w:themeColor="text1"/>
                <w14:textFill>
                  <w14:solidFill>
                    <w14:schemeClr w14:val="tx1"/>
                  </w14:solidFill>
                </w14:textFill>
              </w:rPr>
            </w:pPr>
            <w:r>
              <w:rPr>
                <w:color w:val="000000" w:themeColor="text1"/>
                <w14:textFill>
                  <w14:solidFill>
                    <w14:schemeClr w14:val="tx1"/>
                  </w14:solidFill>
                </w14:textFill>
              </w:rPr>
              <w:t>≤450</w:t>
            </w:r>
          </w:p>
        </w:tc>
        <w:tc>
          <w:tcPr>
            <w:tcW w:w="992" w:type="dxa"/>
            <w:vAlign w:val="center"/>
          </w:tcPr>
          <w:p w14:paraId="2BC4FD56">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0.2~0.41</w:t>
            </w:r>
          </w:p>
        </w:tc>
        <w:tc>
          <w:tcPr>
            <w:tcW w:w="714" w:type="dxa"/>
            <w:vAlign w:val="center"/>
          </w:tcPr>
          <w:p w14:paraId="2843C403">
            <w:pPr>
              <w:pStyle w:val="70"/>
              <w:rPr>
                <w:color w:val="000000" w:themeColor="text1"/>
                <w14:textFill>
                  <w14:solidFill>
                    <w14:schemeClr w14:val="tx1"/>
                  </w14:solidFill>
                </w14:textFill>
              </w:rPr>
            </w:pPr>
            <w:r>
              <w:rPr>
                <w:color w:val="000000" w:themeColor="text1"/>
                <w14:textFill>
                  <w14:solidFill>
                    <w14:schemeClr w14:val="tx1"/>
                  </w14:solidFill>
                </w14:textFill>
              </w:rPr>
              <w:t>是</w:t>
            </w:r>
          </w:p>
        </w:tc>
      </w:tr>
      <w:tr w14:paraId="6228D28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397" w:hRule="atLeast"/>
          <w:jc w:val="center"/>
        </w:trPr>
        <w:tc>
          <w:tcPr>
            <w:tcW w:w="986" w:type="dxa"/>
            <w:vMerge w:val="continue"/>
            <w:vAlign w:val="center"/>
          </w:tcPr>
          <w:p w14:paraId="0BC26A12">
            <w:pPr>
              <w:pStyle w:val="70"/>
              <w:rPr>
                <w:color w:val="000000" w:themeColor="text1"/>
                <w14:textFill>
                  <w14:solidFill>
                    <w14:schemeClr w14:val="tx1"/>
                  </w14:solidFill>
                </w14:textFill>
              </w:rPr>
            </w:pPr>
          </w:p>
        </w:tc>
        <w:tc>
          <w:tcPr>
            <w:tcW w:w="1701" w:type="dxa"/>
            <w:shd w:val="clear" w:color="auto" w:fill="auto"/>
            <w:vAlign w:val="center"/>
          </w:tcPr>
          <w:p w14:paraId="1166DAF7">
            <w:pPr>
              <w:pStyle w:val="70"/>
              <w:rPr>
                <w:color w:val="000000" w:themeColor="text1"/>
                <w14:textFill>
                  <w14:solidFill>
                    <w14:schemeClr w14:val="tx1"/>
                  </w14:solidFill>
                </w14:textFill>
              </w:rPr>
            </w:pPr>
            <w:r>
              <w:rPr>
                <w:color w:val="000000" w:themeColor="text1"/>
                <w14:textFill>
                  <w14:solidFill>
                    <w14:schemeClr w14:val="tx1"/>
                  </w14:solidFill>
                </w14:textFill>
              </w:rPr>
              <w:t>氨氮</w:t>
            </w:r>
          </w:p>
        </w:tc>
        <w:tc>
          <w:tcPr>
            <w:tcW w:w="1370" w:type="dxa"/>
            <w:shd w:val="clear" w:color="auto" w:fill="auto"/>
            <w:vAlign w:val="center"/>
          </w:tcPr>
          <w:p w14:paraId="361E2414">
            <w:pPr>
              <w:pStyle w:val="70"/>
              <w:rPr>
                <w:color w:val="000000" w:themeColor="text1"/>
                <w14:textFill>
                  <w14:solidFill>
                    <w14:schemeClr w14:val="tx1"/>
                  </w14:solidFill>
                </w14:textFill>
              </w:rPr>
            </w:pPr>
          </w:p>
        </w:tc>
        <w:tc>
          <w:tcPr>
            <w:tcW w:w="1370" w:type="dxa"/>
            <w:vAlign w:val="center"/>
          </w:tcPr>
          <w:p w14:paraId="3B9988AD">
            <w:pPr>
              <w:pStyle w:val="70"/>
              <w:rPr>
                <w:color w:val="000000" w:themeColor="text1"/>
                <w14:textFill>
                  <w14:solidFill>
                    <w14:schemeClr w14:val="tx1"/>
                  </w14:solidFill>
                </w14:textFill>
              </w:rPr>
            </w:pPr>
          </w:p>
        </w:tc>
        <w:tc>
          <w:tcPr>
            <w:tcW w:w="1371" w:type="dxa"/>
            <w:vAlign w:val="center"/>
          </w:tcPr>
          <w:p w14:paraId="50D9F209">
            <w:pPr>
              <w:pStyle w:val="70"/>
              <w:rPr>
                <w:color w:val="000000" w:themeColor="text1"/>
                <w14:textFill>
                  <w14:solidFill>
                    <w14:schemeClr w14:val="tx1"/>
                  </w14:solidFill>
                </w14:textFill>
              </w:rPr>
            </w:pPr>
          </w:p>
        </w:tc>
        <w:tc>
          <w:tcPr>
            <w:tcW w:w="1134" w:type="dxa"/>
            <w:vAlign w:val="center"/>
          </w:tcPr>
          <w:p w14:paraId="7CB7B2B7">
            <w:pPr>
              <w:pStyle w:val="70"/>
              <w:rPr>
                <w:color w:val="000000" w:themeColor="text1"/>
                <w14:textFill>
                  <w14:solidFill>
                    <w14:schemeClr w14:val="tx1"/>
                  </w14:solidFill>
                </w14:textFill>
              </w:rPr>
            </w:pPr>
            <w:r>
              <w:rPr>
                <w:color w:val="000000" w:themeColor="text1"/>
                <w14:textFill>
                  <w14:solidFill>
                    <w14:schemeClr w14:val="tx1"/>
                  </w14:solidFill>
                </w14:textFill>
              </w:rPr>
              <w:t>≤0.5</w:t>
            </w:r>
          </w:p>
        </w:tc>
        <w:tc>
          <w:tcPr>
            <w:tcW w:w="992" w:type="dxa"/>
            <w:vAlign w:val="center"/>
          </w:tcPr>
          <w:p w14:paraId="5F8322DC">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0.07~0.92</w:t>
            </w:r>
          </w:p>
        </w:tc>
        <w:tc>
          <w:tcPr>
            <w:tcW w:w="714" w:type="dxa"/>
            <w:vAlign w:val="center"/>
          </w:tcPr>
          <w:p w14:paraId="04DF6749">
            <w:pPr>
              <w:pStyle w:val="70"/>
              <w:rPr>
                <w:color w:val="000000" w:themeColor="text1"/>
                <w14:textFill>
                  <w14:solidFill>
                    <w14:schemeClr w14:val="tx1"/>
                  </w14:solidFill>
                </w14:textFill>
              </w:rPr>
            </w:pPr>
            <w:r>
              <w:rPr>
                <w:color w:val="000000" w:themeColor="text1"/>
                <w14:textFill>
                  <w14:solidFill>
                    <w14:schemeClr w14:val="tx1"/>
                  </w14:solidFill>
                </w14:textFill>
              </w:rPr>
              <w:t>是</w:t>
            </w:r>
          </w:p>
        </w:tc>
      </w:tr>
      <w:tr w14:paraId="06597AA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397" w:hRule="atLeast"/>
          <w:jc w:val="center"/>
        </w:trPr>
        <w:tc>
          <w:tcPr>
            <w:tcW w:w="986" w:type="dxa"/>
            <w:vMerge w:val="continue"/>
            <w:vAlign w:val="center"/>
          </w:tcPr>
          <w:p w14:paraId="61EAC43F">
            <w:pPr>
              <w:pStyle w:val="70"/>
              <w:rPr>
                <w:color w:val="000000" w:themeColor="text1"/>
                <w14:textFill>
                  <w14:solidFill>
                    <w14:schemeClr w14:val="tx1"/>
                  </w14:solidFill>
                </w14:textFill>
              </w:rPr>
            </w:pPr>
          </w:p>
        </w:tc>
        <w:tc>
          <w:tcPr>
            <w:tcW w:w="1701" w:type="dxa"/>
            <w:shd w:val="clear" w:color="auto" w:fill="auto"/>
            <w:vAlign w:val="center"/>
          </w:tcPr>
          <w:p w14:paraId="2C74B876">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高锰酸盐指数（以O</w:t>
            </w:r>
            <w:r>
              <w:rPr>
                <w:rFonts w:hint="eastAsia"/>
                <w:color w:val="000000" w:themeColor="text1"/>
                <w:vertAlign w:val="subscript"/>
                <w14:textFill>
                  <w14:solidFill>
                    <w14:schemeClr w14:val="tx1"/>
                  </w14:solidFill>
                </w14:textFill>
              </w:rPr>
              <w:t>2</w:t>
            </w:r>
            <w:r>
              <w:rPr>
                <w:rFonts w:hint="eastAsia"/>
                <w:color w:val="000000" w:themeColor="text1"/>
                <w14:textFill>
                  <w14:solidFill>
                    <w14:schemeClr w14:val="tx1"/>
                  </w14:solidFill>
                </w14:textFill>
              </w:rPr>
              <w:t>计）</w:t>
            </w:r>
          </w:p>
        </w:tc>
        <w:tc>
          <w:tcPr>
            <w:tcW w:w="1370" w:type="dxa"/>
            <w:shd w:val="clear" w:color="auto" w:fill="auto"/>
            <w:vAlign w:val="center"/>
          </w:tcPr>
          <w:p w14:paraId="024781A7">
            <w:pPr>
              <w:pStyle w:val="70"/>
              <w:rPr>
                <w:color w:val="000000" w:themeColor="text1"/>
                <w14:textFill>
                  <w14:solidFill>
                    <w14:schemeClr w14:val="tx1"/>
                  </w14:solidFill>
                </w14:textFill>
              </w:rPr>
            </w:pPr>
          </w:p>
        </w:tc>
        <w:tc>
          <w:tcPr>
            <w:tcW w:w="1370" w:type="dxa"/>
            <w:vAlign w:val="center"/>
          </w:tcPr>
          <w:p w14:paraId="63DA8283">
            <w:pPr>
              <w:pStyle w:val="70"/>
              <w:rPr>
                <w:color w:val="000000" w:themeColor="text1"/>
                <w14:textFill>
                  <w14:solidFill>
                    <w14:schemeClr w14:val="tx1"/>
                  </w14:solidFill>
                </w14:textFill>
              </w:rPr>
            </w:pPr>
          </w:p>
        </w:tc>
        <w:tc>
          <w:tcPr>
            <w:tcW w:w="1371" w:type="dxa"/>
            <w:vAlign w:val="center"/>
          </w:tcPr>
          <w:p w14:paraId="75AA332F">
            <w:pPr>
              <w:pStyle w:val="70"/>
              <w:rPr>
                <w:color w:val="000000" w:themeColor="text1"/>
                <w14:textFill>
                  <w14:solidFill>
                    <w14:schemeClr w14:val="tx1"/>
                  </w14:solidFill>
                </w14:textFill>
              </w:rPr>
            </w:pPr>
          </w:p>
        </w:tc>
        <w:tc>
          <w:tcPr>
            <w:tcW w:w="1134" w:type="dxa"/>
            <w:vAlign w:val="center"/>
          </w:tcPr>
          <w:p w14:paraId="75B874CF">
            <w:pPr>
              <w:pStyle w:val="70"/>
              <w:rPr>
                <w:color w:val="000000" w:themeColor="text1"/>
                <w14:textFill>
                  <w14:solidFill>
                    <w14:schemeClr w14:val="tx1"/>
                  </w14:solidFill>
                </w14:textFill>
              </w:rPr>
            </w:pPr>
            <w:r>
              <w:rPr>
                <w:color w:val="000000" w:themeColor="text1"/>
                <w14:textFill>
                  <w14:solidFill>
                    <w14:schemeClr w14:val="tx1"/>
                  </w14:solidFill>
                </w14:textFill>
              </w:rPr>
              <w:t>≤</w:t>
            </w:r>
            <w:r>
              <w:rPr>
                <w:rFonts w:hint="eastAsia"/>
                <w:color w:val="000000" w:themeColor="text1"/>
                <w14:textFill>
                  <w14:solidFill>
                    <w14:schemeClr w14:val="tx1"/>
                  </w14:solidFill>
                </w14:textFill>
              </w:rPr>
              <w:t>3.0</w:t>
            </w:r>
          </w:p>
        </w:tc>
        <w:tc>
          <w:tcPr>
            <w:tcW w:w="992" w:type="dxa"/>
            <w:vAlign w:val="center"/>
          </w:tcPr>
          <w:p w14:paraId="7F6A5D8C">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0.17~0.60</w:t>
            </w:r>
          </w:p>
        </w:tc>
        <w:tc>
          <w:tcPr>
            <w:tcW w:w="714" w:type="dxa"/>
            <w:vAlign w:val="center"/>
          </w:tcPr>
          <w:p w14:paraId="1F069DB3">
            <w:pPr>
              <w:pStyle w:val="70"/>
              <w:rPr>
                <w:color w:val="000000" w:themeColor="text1"/>
                <w14:textFill>
                  <w14:solidFill>
                    <w14:schemeClr w14:val="tx1"/>
                  </w14:solidFill>
                </w14:textFill>
              </w:rPr>
            </w:pPr>
            <w:r>
              <w:rPr>
                <w:color w:val="000000" w:themeColor="text1"/>
                <w14:textFill>
                  <w14:solidFill>
                    <w14:schemeClr w14:val="tx1"/>
                  </w14:solidFill>
                </w14:textFill>
              </w:rPr>
              <w:t>是</w:t>
            </w:r>
          </w:p>
        </w:tc>
      </w:tr>
      <w:tr w14:paraId="3785FF4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397" w:hRule="atLeast"/>
          <w:jc w:val="center"/>
        </w:trPr>
        <w:tc>
          <w:tcPr>
            <w:tcW w:w="986" w:type="dxa"/>
            <w:vMerge w:val="continue"/>
            <w:vAlign w:val="center"/>
          </w:tcPr>
          <w:p w14:paraId="5FEC072E">
            <w:pPr>
              <w:pStyle w:val="70"/>
              <w:rPr>
                <w:color w:val="000000" w:themeColor="text1"/>
                <w14:textFill>
                  <w14:solidFill>
                    <w14:schemeClr w14:val="tx1"/>
                  </w14:solidFill>
                </w14:textFill>
              </w:rPr>
            </w:pPr>
          </w:p>
        </w:tc>
        <w:tc>
          <w:tcPr>
            <w:tcW w:w="1701" w:type="dxa"/>
            <w:shd w:val="clear" w:color="auto" w:fill="auto"/>
            <w:vAlign w:val="center"/>
          </w:tcPr>
          <w:p w14:paraId="627ECFB9">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铬（六价）</w:t>
            </w:r>
          </w:p>
        </w:tc>
        <w:tc>
          <w:tcPr>
            <w:tcW w:w="1370" w:type="dxa"/>
            <w:shd w:val="clear" w:color="auto" w:fill="auto"/>
            <w:vAlign w:val="center"/>
          </w:tcPr>
          <w:p w14:paraId="512DD2D6">
            <w:pPr>
              <w:pStyle w:val="70"/>
              <w:rPr>
                <w:color w:val="000000" w:themeColor="text1"/>
                <w14:textFill>
                  <w14:solidFill>
                    <w14:schemeClr w14:val="tx1"/>
                  </w14:solidFill>
                </w14:textFill>
              </w:rPr>
            </w:pPr>
          </w:p>
        </w:tc>
        <w:tc>
          <w:tcPr>
            <w:tcW w:w="1370" w:type="dxa"/>
            <w:vAlign w:val="center"/>
          </w:tcPr>
          <w:p w14:paraId="0C71B174">
            <w:pPr>
              <w:pStyle w:val="70"/>
              <w:rPr>
                <w:color w:val="000000" w:themeColor="text1"/>
                <w14:textFill>
                  <w14:solidFill>
                    <w14:schemeClr w14:val="tx1"/>
                  </w14:solidFill>
                </w14:textFill>
              </w:rPr>
            </w:pPr>
          </w:p>
        </w:tc>
        <w:tc>
          <w:tcPr>
            <w:tcW w:w="1371" w:type="dxa"/>
            <w:vAlign w:val="center"/>
          </w:tcPr>
          <w:p w14:paraId="650B6013">
            <w:pPr>
              <w:pStyle w:val="70"/>
              <w:rPr>
                <w:color w:val="000000" w:themeColor="text1"/>
                <w14:textFill>
                  <w14:solidFill>
                    <w14:schemeClr w14:val="tx1"/>
                  </w14:solidFill>
                </w14:textFill>
              </w:rPr>
            </w:pPr>
          </w:p>
        </w:tc>
        <w:tc>
          <w:tcPr>
            <w:tcW w:w="1134" w:type="dxa"/>
            <w:vAlign w:val="center"/>
          </w:tcPr>
          <w:p w14:paraId="1AA2569C">
            <w:pPr>
              <w:pStyle w:val="70"/>
              <w:rPr>
                <w:color w:val="000000" w:themeColor="text1"/>
                <w14:textFill>
                  <w14:solidFill>
                    <w14:schemeClr w14:val="tx1"/>
                  </w14:solidFill>
                </w14:textFill>
              </w:rPr>
            </w:pPr>
            <w:r>
              <w:rPr>
                <w:color w:val="000000" w:themeColor="text1"/>
                <w14:textFill>
                  <w14:solidFill>
                    <w14:schemeClr w14:val="tx1"/>
                  </w14:solidFill>
                </w14:textFill>
              </w:rPr>
              <w:t>≤0.05</w:t>
            </w:r>
          </w:p>
        </w:tc>
        <w:tc>
          <w:tcPr>
            <w:tcW w:w="992" w:type="dxa"/>
            <w:vAlign w:val="center"/>
          </w:tcPr>
          <w:p w14:paraId="52A7055C">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714" w:type="dxa"/>
            <w:vAlign w:val="center"/>
          </w:tcPr>
          <w:p w14:paraId="17EDDD60">
            <w:pPr>
              <w:pStyle w:val="70"/>
              <w:rPr>
                <w:color w:val="000000" w:themeColor="text1"/>
                <w14:textFill>
                  <w14:solidFill>
                    <w14:schemeClr w14:val="tx1"/>
                  </w14:solidFill>
                </w14:textFill>
              </w:rPr>
            </w:pPr>
            <w:r>
              <w:rPr>
                <w:color w:val="000000" w:themeColor="text1"/>
                <w14:textFill>
                  <w14:solidFill>
                    <w14:schemeClr w14:val="tx1"/>
                  </w14:solidFill>
                </w14:textFill>
              </w:rPr>
              <w:t>是</w:t>
            </w:r>
          </w:p>
        </w:tc>
      </w:tr>
      <w:tr w14:paraId="7A550B5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397" w:hRule="atLeast"/>
          <w:jc w:val="center"/>
        </w:trPr>
        <w:tc>
          <w:tcPr>
            <w:tcW w:w="986" w:type="dxa"/>
            <w:vMerge w:val="continue"/>
            <w:vAlign w:val="center"/>
          </w:tcPr>
          <w:p w14:paraId="0812CE3C">
            <w:pPr>
              <w:pStyle w:val="70"/>
              <w:rPr>
                <w:color w:val="000000" w:themeColor="text1"/>
                <w14:textFill>
                  <w14:solidFill>
                    <w14:schemeClr w14:val="tx1"/>
                  </w14:solidFill>
                </w14:textFill>
              </w:rPr>
            </w:pPr>
          </w:p>
        </w:tc>
        <w:tc>
          <w:tcPr>
            <w:tcW w:w="1701" w:type="dxa"/>
            <w:shd w:val="clear" w:color="auto" w:fill="auto"/>
            <w:vAlign w:val="center"/>
          </w:tcPr>
          <w:p w14:paraId="38CDD9DD">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汞</w:t>
            </w:r>
          </w:p>
        </w:tc>
        <w:tc>
          <w:tcPr>
            <w:tcW w:w="1370" w:type="dxa"/>
            <w:shd w:val="clear" w:color="auto" w:fill="auto"/>
            <w:vAlign w:val="center"/>
          </w:tcPr>
          <w:p w14:paraId="6D850F29">
            <w:pPr>
              <w:pStyle w:val="70"/>
              <w:rPr>
                <w:color w:val="000000" w:themeColor="text1"/>
                <w14:textFill>
                  <w14:solidFill>
                    <w14:schemeClr w14:val="tx1"/>
                  </w14:solidFill>
                </w14:textFill>
              </w:rPr>
            </w:pPr>
          </w:p>
        </w:tc>
        <w:tc>
          <w:tcPr>
            <w:tcW w:w="1370" w:type="dxa"/>
            <w:vAlign w:val="center"/>
          </w:tcPr>
          <w:p w14:paraId="6FAFA2C0">
            <w:pPr>
              <w:pStyle w:val="70"/>
              <w:rPr>
                <w:color w:val="000000" w:themeColor="text1"/>
                <w14:textFill>
                  <w14:solidFill>
                    <w14:schemeClr w14:val="tx1"/>
                  </w14:solidFill>
                </w14:textFill>
              </w:rPr>
            </w:pPr>
          </w:p>
        </w:tc>
        <w:tc>
          <w:tcPr>
            <w:tcW w:w="1371" w:type="dxa"/>
            <w:vAlign w:val="center"/>
          </w:tcPr>
          <w:p w14:paraId="0CF5E793">
            <w:pPr>
              <w:pStyle w:val="70"/>
              <w:rPr>
                <w:color w:val="000000" w:themeColor="text1"/>
                <w14:textFill>
                  <w14:solidFill>
                    <w14:schemeClr w14:val="tx1"/>
                  </w14:solidFill>
                </w14:textFill>
              </w:rPr>
            </w:pPr>
          </w:p>
        </w:tc>
        <w:tc>
          <w:tcPr>
            <w:tcW w:w="1134" w:type="dxa"/>
            <w:vAlign w:val="center"/>
          </w:tcPr>
          <w:p w14:paraId="7FDFFF10">
            <w:pPr>
              <w:pStyle w:val="70"/>
              <w:rPr>
                <w:color w:val="000000" w:themeColor="text1"/>
                <w14:textFill>
                  <w14:solidFill>
                    <w14:schemeClr w14:val="tx1"/>
                  </w14:solidFill>
                </w14:textFill>
              </w:rPr>
            </w:pPr>
            <w:r>
              <w:rPr>
                <w:color w:val="000000" w:themeColor="text1"/>
                <w14:textFill>
                  <w14:solidFill>
                    <w14:schemeClr w14:val="tx1"/>
                  </w14:solidFill>
                </w14:textFill>
              </w:rPr>
              <w:t>≤0.001</w:t>
            </w:r>
          </w:p>
        </w:tc>
        <w:tc>
          <w:tcPr>
            <w:tcW w:w="992" w:type="dxa"/>
            <w:vAlign w:val="center"/>
          </w:tcPr>
          <w:p w14:paraId="0A49EAD5">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714" w:type="dxa"/>
            <w:vAlign w:val="center"/>
          </w:tcPr>
          <w:p w14:paraId="7D2C50AD">
            <w:pPr>
              <w:pStyle w:val="70"/>
              <w:rPr>
                <w:color w:val="000000" w:themeColor="text1"/>
                <w14:textFill>
                  <w14:solidFill>
                    <w14:schemeClr w14:val="tx1"/>
                  </w14:solidFill>
                </w14:textFill>
              </w:rPr>
            </w:pPr>
            <w:r>
              <w:rPr>
                <w:color w:val="000000" w:themeColor="text1"/>
                <w14:textFill>
                  <w14:solidFill>
                    <w14:schemeClr w14:val="tx1"/>
                  </w14:solidFill>
                </w14:textFill>
              </w:rPr>
              <w:t>是</w:t>
            </w:r>
          </w:p>
        </w:tc>
      </w:tr>
      <w:tr w14:paraId="1D24601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397" w:hRule="atLeast"/>
          <w:jc w:val="center"/>
        </w:trPr>
        <w:tc>
          <w:tcPr>
            <w:tcW w:w="986" w:type="dxa"/>
            <w:vMerge w:val="continue"/>
            <w:vAlign w:val="center"/>
          </w:tcPr>
          <w:p w14:paraId="6A34DC08">
            <w:pPr>
              <w:pStyle w:val="70"/>
              <w:rPr>
                <w:color w:val="000000" w:themeColor="text1"/>
                <w14:textFill>
                  <w14:solidFill>
                    <w14:schemeClr w14:val="tx1"/>
                  </w14:solidFill>
                </w14:textFill>
              </w:rPr>
            </w:pPr>
          </w:p>
        </w:tc>
        <w:tc>
          <w:tcPr>
            <w:tcW w:w="1701" w:type="dxa"/>
            <w:shd w:val="clear" w:color="auto" w:fill="auto"/>
            <w:vAlign w:val="center"/>
          </w:tcPr>
          <w:p w14:paraId="6C4C9B5D">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砷</w:t>
            </w:r>
          </w:p>
        </w:tc>
        <w:tc>
          <w:tcPr>
            <w:tcW w:w="1370" w:type="dxa"/>
            <w:shd w:val="clear" w:color="auto" w:fill="auto"/>
            <w:vAlign w:val="center"/>
          </w:tcPr>
          <w:p w14:paraId="4385EB18">
            <w:pPr>
              <w:pStyle w:val="70"/>
              <w:rPr>
                <w:color w:val="000000" w:themeColor="text1"/>
                <w14:textFill>
                  <w14:solidFill>
                    <w14:schemeClr w14:val="tx1"/>
                  </w14:solidFill>
                </w14:textFill>
              </w:rPr>
            </w:pPr>
          </w:p>
        </w:tc>
        <w:tc>
          <w:tcPr>
            <w:tcW w:w="1370" w:type="dxa"/>
            <w:vAlign w:val="center"/>
          </w:tcPr>
          <w:p w14:paraId="66048F9C">
            <w:pPr>
              <w:pStyle w:val="70"/>
              <w:rPr>
                <w:color w:val="000000" w:themeColor="text1"/>
                <w14:textFill>
                  <w14:solidFill>
                    <w14:schemeClr w14:val="tx1"/>
                  </w14:solidFill>
                </w14:textFill>
              </w:rPr>
            </w:pPr>
          </w:p>
        </w:tc>
        <w:tc>
          <w:tcPr>
            <w:tcW w:w="1371" w:type="dxa"/>
            <w:vAlign w:val="center"/>
          </w:tcPr>
          <w:p w14:paraId="0616A803">
            <w:pPr>
              <w:pStyle w:val="70"/>
              <w:rPr>
                <w:color w:val="000000" w:themeColor="text1"/>
                <w14:textFill>
                  <w14:solidFill>
                    <w14:schemeClr w14:val="tx1"/>
                  </w14:solidFill>
                </w14:textFill>
              </w:rPr>
            </w:pPr>
          </w:p>
        </w:tc>
        <w:tc>
          <w:tcPr>
            <w:tcW w:w="1134" w:type="dxa"/>
            <w:vAlign w:val="center"/>
          </w:tcPr>
          <w:p w14:paraId="0006B3A5">
            <w:pPr>
              <w:pStyle w:val="70"/>
              <w:rPr>
                <w:color w:val="000000" w:themeColor="text1"/>
                <w14:textFill>
                  <w14:solidFill>
                    <w14:schemeClr w14:val="tx1"/>
                  </w14:solidFill>
                </w14:textFill>
              </w:rPr>
            </w:pPr>
            <w:r>
              <w:rPr>
                <w:color w:val="000000" w:themeColor="text1"/>
                <w14:textFill>
                  <w14:solidFill>
                    <w14:schemeClr w14:val="tx1"/>
                  </w14:solidFill>
                </w14:textFill>
              </w:rPr>
              <w:t>≤0.01</w:t>
            </w:r>
          </w:p>
        </w:tc>
        <w:tc>
          <w:tcPr>
            <w:tcW w:w="992" w:type="dxa"/>
            <w:vAlign w:val="center"/>
          </w:tcPr>
          <w:p w14:paraId="788F7267">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0.04~0.16</w:t>
            </w:r>
          </w:p>
        </w:tc>
        <w:tc>
          <w:tcPr>
            <w:tcW w:w="714" w:type="dxa"/>
            <w:vAlign w:val="center"/>
          </w:tcPr>
          <w:p w14:paraId="199A38D6">
            <w:pPr>
              <w:pStyle w:val="70"/>
              <w:rPr>
                <w:color w:val="000000" w:themeColor="text1"/>
                <w14:textFill>
                  <w14:solidFill>
                    <w14:schemeClr w14:val="tx1"/>
                  </w14:solidFill>
                </w14:textFill>
              </w:rPr>
            </w:pPr>
            <w:r>
              <w:rPr>
                <w:color w:val="000000" w:themeColor="text1"/>
                <w14:textFill>
                  <w14:solidFill>
                    <w14:schemeClr w14:val="tx1"/>
                  </w14:solidFill>
                </w14:textFill>
              </w:rPr>
              <w:t>是</w:t>
            </w:r>
          </w:p>
        </w:tc>
      </w:tr>
      <w:tr w14:paraId="2CBD83E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397" w:hRule="atLeast"/>
          <w:jc w:val="center"/>
        </w:trPr>
        <w:tc>
          <w:tcPr>
            <w:tcW w:w="986" w:type="dxa"/>
            <w:vMerge w:val="continue"/>
            <w:vAlign w:val="center"/>
          </w:tcPr>
          <w:p w14:paraId="3AFB42BE">
            <w:pPr>
              <w:pStyle w:val="70"/>
              <w:rPr>
                <w:color w:val="000000" w:themeColor="text1"/>
                <w14:textFill>
                  <w14:solidFill>
                    <w14:schemeClr w14:val="tx1"/>
                  </w14:solidFill>
                </w14:textFill>
              </w:rPr>
            </w:pPr>
          </w:p>
        </w:tc>
        <w:tc>
          <w:tcPr>
            <w:tcW w:w="1701" w:type="dxa"/>
            <w:shd w:val="clear" w:color="auto" w:fill="auto"/>
            <w:vAlign w:val="center"/>
          </w:tcPr>
          <w:p w14:paraId="4AD313C0">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氰化物</w:t>
            </w:r>
          </w:p>
        </w:tc>
        <w:tc>
          <w:tcPr>
            <w:tcW w:w="1370" w:type="dxa"/>
            <w:shd w:val="clear" w:color="auto" w:fill="auto"/>
            <w:vAlign w:val="center"/>
          </w:tcPr>
          <w:p w14:paraId="6111DF6A">
            <w:pPr>
              <w:pStyle w:val="70"/>
              <w:rPr>
                <w:color w:val="000000" w:themeColor="text1"/>
                <w14:textFill>
                  <w14:solidFill>
                    <w14:schemeClr w14:val="tx1"/>
                  </w14:solidFill>
                </w14:textFill>
              </w:rPr>
            </w:pPr>
          </w:p>
        </w:tc>
        <w:tc>
          <w:tcPr>
            <w:tcW w:w="1370" w:type="dxa"/>
            <w:vAlign w:val="center"/>
          </w:tcPr>
          <w:p w14:paraId="61AB9886">
            <w:pPr>
              <w:pStyle w:val="70"/>
              <w:rPr>
                <w:color w:val="000000" w:themeColor="text1"/>
                <w14:textFill>
                  <w14:solidFill>
                    <w14:schemeClr w14:val="tx1"/>
                  </w14:solidFill>
                </w14:textFill>
              </w:rPr>
            </w:pPr>
          </w:p>
        </w:tc>
        <w:tc>
          <w:tcPr>
            <w:tcW w:w="1371" w:type="dxa"/>
            <w:vAlign w:val="center"/>
          </w:tcPr>
          <w:p w14:paraId="3C05DA66">
            <w:pPr>
              <w:pStyle w:val="70"/>
              <w:rPr>
                <w:color w:val="000000" w:themeColor="text1"/>
                <w14:textFill>
                  <w14:solidFill>
                    <w14:schemeClr w14:val="tx1"/>
                  </w14:solidFill>
                </w14:textFill>
              </w:rPr>
            </w:pPr>
          </w:p>
        </w:tc>
        <w:tc>
          <w:tcPr>
            <w:tcW w:w="1134" w:type="dxa"/>
            <w:vAlign w:val="center"/>
          </w:tcPr>
          <w:p w14:paraId="73D8BF93">
            <w:pPr>
              <w:pStyle w:val="70"/>
              <w:rPr>
                <w:color w:val="000000" w:themeColor="text1"/>
                <w14:textFill>
                  <w14:solidFill>
                    <w14:schemeClr w14:val="tx1"/>
                  </w14:solidFill>
                </w14:textFill>
              </w:rPr>
            </w:pPr>
            <w:r>
              <w:rPr>
                <w:color w:val="000000" w:themeColor="text1"/>
                <w14:textFill>
                  <w14:solidFill>
                    <w14:schemeClr w14:val="tx1"/>
                  </w14:solidFill>
                </w14:textFill>
              </w:rPr>
              <w:t>≤1</w:t>
            </w:r>
          </w:p>
        </w:tc>
        <w:tc>
          <w:tcPr>
            <w:tcW w:w="992" w:type="dxa"/>
            <w:vAlign w:val="center"/>
          </w:tcPr>
          <w:p w14:paraId="6AEBD630">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714" w:type="dxa"/>
            <w:vAlign w:val="center"/>
          </w:tcPr>
          <w:p w14:paraId="1A2CC04D">
            <w:pPr>
              <w:pStyle w:val="70"/>
              <w:rPr>
                <w:color w:val="000000" w:themeColor="text1"/>
                <w14:textFill>
                  <w14:solidFill>
                    <w14:schemeClr w14:val="tx1"/>
                  </w14:solidFill>
                </w14:textFill>
              </w:rPr>
            </w:pPr>
            <w:r>
              <w:rPr>
                <w:color w:val="000000" w:themeColor="text1"/>
                <w14:textFill>
                  <w14:solidFill>
                    <w14:schemeClr w14:val="tx1"/>
                  </w14:solidFill>
                </w14:textFill>
              </w:rPr>
              <w:t>是</w:t>
            </w:r>
          </w:p>
        </w:tc>
      </w:tr>
      <w:tr w14:paraId="720868C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397" w:hRule="atLeast"/>
          <w:jc w:val="center"/>
        </w:trPr>
        <w:tc>
          <w:tcPr>
            <w:tcW w:w="986" w:type="dxa"/>
            <w:vMerge w:val="continue"/>
            <w:vAlign w:val="center"/>
          </w:tcPr>
          <w:p w14:paraId="60D6F56A">
            <w:pPr>
              <w:pStyle w:val="70"/>
              <w:rPr>
                <w:color w:val="000000" w:themeColor="text1"/>
                <w14:textFill>
                  <w14:solidFill>
                    <w14:schemeClr w14:val="tx1"/>
                  </w14:solidFill>
                </w14:textFill>
              </w:rPr>
            </w:pPr>
          </w:p>
        </w:tc>
        <w:tc>
          <w:tcPr>
            <w:tcW w:w="1701" w:type="dxa"/>
            <w:shd w:val="clear" w:color="auto" w:fill="auto"/>
            <w:vAlign w:val="center"/>
          </w:tcPr>
          <w:p w14:paraId="47B8CBC2">
            <w:pPr>
              <w:pStyle w:val="70"/>
              <w:rPr>
                <w:color w:val="000000" w:themeColor="text1"/>
                <w14:textFill>
                  <w14:solidFill>
                    <w14:schemeClr w14:val="tx1"/>
                  </w14:solidFill>
                </w14:textFill>
              </w:rPr>
            </w:pPr>
            <w:r>
              <w:rPr>
                <w:color w:val="000000" w:themeColor="text1"/>
                <w14:textFill>
                  <w14:solidFill>
                    <w14:schemeClr w14:val="tx1"/>
                  </w14:solidFill>
                </w14:textFill>
              </w:rPr>
              <w:t>SO</w:t>
            </w:r>
            <w:r>
              <w:rPr>
                <w:color w:val="000000" w:themeColor="text1"/>
                <w:vertAlign w:val="subscript"/>
                <w14:textFill>
                  <w14:solidFill>
                    <w14:schemeClr w14:val="tx1"/>
                  </w14:solidFill>
                </w14:textFill>
              </w:rPr>
              <w:t>4</w:t>
            </w:r>
            <w:r>
              <w:rPr>
                <w:color w:val="000000" w:themeColor="text1"/>
                <w:vertAlign w:val="superscript"/>
                <w14:textFill>
                  <w14:solidFill>
                    <w14:schemeClr w14:val="tx1"/>
                  </w14:solidFill>
                </w14:textFill>
              </w:rPr>
              <w:t>2-</w:t>
            </w:r>
          </w:p>
        </w:tc>
        <w:tc>
          <w:tcPr>
            <w:tcW w:w="1370" w:type="dxa"/>
            <w:shd w:val="clear" w:color="auto" w:fill="auto"/>
            <w:vAlign w:val="center"/>
          </w:tcPr>
          <w:p w14:paraId="542617E3">
            <w:pPr>
              <w:pStyle w:val="70"/>
              <w:rPr>
                <w:color w:val="000000" w:themeColor="text1"/>
                <w14:textFill>
                  <w14:solidFill>
                    <w14:schemeClr w14:val="tx1"/>
                  </w14:solidFill>
                </w14:textFill>
              </w:rPr>
            </w:pPr>
          </w:p>
        </w:tc>
        <w:tc>
          <w:tcPr>
            <w:tcW w:w="1370" w:type="dxa"/>
            <w:vAlign w:val="center"/>
          </w:tcPr>
          <w:p w14:paraId="02811959">
            <w:pPr>
              <w:pStyle w:val="70"/>
              <w:rPr>
                <w:color w:val="000000" w:themeColor="text1"/>
                <w14:textFill>
                  <w14:solidFill>
                    <w14:schemeClr w14:val="tx1"/>
                  </w14:solidFill>
                </w14:textFill>
              </w:rPr>
            </w:pPr>
          </w:p>
        </w:tc>
        <w:tc>
          <w:tcPr>
            <w:tcW w:w="1371" w:type="dxa"/>
            <w:vAlign w:val="center"/>
          </w:tcPr>
          <w:p w14:paraId="2E85A4DE">
            <w:pPr>
              <w:pStyle w:val="70"/>
              <w:rPr>
                <w:color w:val="000000" w:themeColor="text1"/>
                <w14:textFill>
                  <w14:solidFill>
                    <w14:schemeClr w14:val="tx1"/>
                  </w14:solidFill>
                </w14:textFill>
              </w:rPr>
            </w:pPr>
          </w:p>
        </w:tc>
        <w:tc>
          <w:tcPr>
            <w:tcW w:w="1134" w:type="dxa"/>
            <w:vAlign w:val="center"/>
          </w:tcPr>
          <w:p w14:paraId="15254700">
            <w:pPr>
              <w:pStyle w:val="70"/>
              <w:rPr>
                <w:color w:val="000000" w:themeColor="text1"/>
                <w14:textFill>
                  <w14:solidFill>
                    <w14:schemeClr w14:val="tx1"/>
                  </w14:solidFill>
                </w14:textFill>
              </w:rPr>
            </w:pPr>
            <w:r>
              <w:rPr>
                <w:color w:val="000000" w:themeColor="text1"/>
                <w14:textFill>
                  <w14:solidFill>
                    <w14:schemeClr w14:val="tx1"/>
                  </w14:solidFill>
                </w14:textFill>
              </w:rPr>
              <w:t>≤</w:t>
            </w:r>
            <w:r>
              <w:rPr>
                <w:rFonts w:hint="eastAsia"/>
                <w:color w:val="000000" w:themeColor="text1"/>
                <w14:textFill>
                  <w14:solidFill>
                    <w14:schemeClr w14:val="tx1"/>
                  </w14:solidFill>
                </w14:textFill>
              </w:rPr>
              <w:t>250</w:t>
            </w:r>
          </w:p>
        </w:tc>
        <w:tc>
          <w:tcPr>
            <w:tcW w:w="992" w:type="dxa"/>
            <w:vAlign w:val="center"/>
          </w:tcPr>
          <w:p w14:paraId="6071AE19">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0.07~0.68</w:t>
            </w:r>
          </w:p>
        </w:tc>
        <w:tc>
          <w:tcPr>
            <w:tcW w:w="714" w:type="dxa"/>
            <w:vAlign w:val="center"/>
          </w:tcPr>
          <w:p w14:paraId="79080640">
            <w:pPr>
              <w:pStyle w:val="70"/>
              <w:rPr>
                <w:color w:val="000000" w:themeColor="text1"/>
                <w14:textFill>
                  <w14:solidFill>
                    <w14:schemeClr w14:val="tx1"/>
                  </w14:solidFill>
                </w14:textFill>
              </w:rPr>
            </w:pPr>
            <w:r>
              <w:rPr>
                <w:color w:val="000000" w:themeColor="text1"/>
                <w14:textFill>
                  <w14:solidFill>
                    <w14:schemeClr w14:val="tx1"/>
                  </w14:solidFill>
                </w14:textFill>
              </w:rPr>
              <w:t>是</w:t>
            </w:r>
          </w:p>
        </w:tc>
      </w:tr>
      <w:tr w14:paraId="23979F0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397" w:hRule="atLeast"/>
          <w:jc w:val="center"/>
        </w:trPr>
        <w:tc>
          <w:tcPr>
            <w:tcW w:w="986" w:type="dxa"/>
            <w:vMerge w:val="continue"/>
            <w:vAlign w:val="center"/>
          </w:tcPr>
          <w:p w14:paraId="77AA3D6C">
            <w:pPr>
              <w:pStyle w:val="70"/>
              <w:rPr>
                <w:color w:val="000000" w:themeColor="text1"/>
                <w14:textFill>
                  <w14:solidFill>
                    <w14:schemeClr w14:val="tx1"/>
                  </w14:solidFill>
                </w14:textFill>
              </w:rPr>
            </w:pPr>
          </w:p>
        </w:tc>
        <w:tc>
          <w:tcPr>
            <w:tcW w:w="1701" w:type="dxa"/>
            <w:vAlign w:val="center"/>
          </w:tcPr>
          <w:p w14:paraId="696A6BAC">
            <w:pPr>
              <w:pStyle w:val="70"/>
              <w:rPr>
                <w:color w:val="000000" w:themeColor="text1"/>
                <w14:textFill>
                  <w14:solidFill>
                    <w14:schemeClr w14:val="tx1"/>
                  </w14:solidFill>
                </w14:textFill>
              </w:rPr>
            </w:pPr>
            <w:r>
              <w:rPr>
                <w:color w:val="000000" w:themeColor="text1"/>
                <w14:textFill>
                  <w14:solidFill>
                    <w14:schemeClr w14:val="tx1"/>
                  </w14:solidFill>
                </w14:textFill>
              </w:rPr>
              <w:t>Cl</w:t>
            </w:r>
            <w:r>
              <w:rPr>
                <w:color w:val="000000" w:themeColor="text1"/>
                <w:vertAlign w:val="superscript"/>
                <w14:textFill>
                  <w14:solidFill>
                    <w14:schemeClr w14:val="tx1"/>
                  </w14:solidFill>
                </w14:textFill>
              </w:rPr>
              <w:t>-</w:t>
            </w:r>
          </w:p>
        </w:tc>
        <w:tc>
          <w:tcPr>
            <w:tcW w:w="1370" w:type="dxa"/>
            <w:shd w:val="clear" w:color="auto" w:fill="auto"/>
            <w:vAlign w:val="center"/>
          </w:tcPr>
          <w:p w14:paraId="7DB37582">
            <w:pPr>
              <w:pStyle w:val="70"/>
              <w:rPr>
                <w:color w:val="000000" w:themeColor="text1"/>
                <w14:textFill>
                  <w14:solidFill>
                    <w14:schemeClr w14:val="tx1"/>
                  </w14:solidFill>
                </w14:textFill>
              </w:rPr>
            </w:pPr>
          </w:p>
        </w:tc>
        <w:tc>
          <w:tcPr>
            <w:tcW w:w="1370" w:type="dxa"/>
            <w:vAlign w:val="center"/>
          </w:tcPr>
          <w:p w14:paraId="0DE24F73">
            <w:pPr>
              <w:pStyle w:val="70"/>
              <w:rPr>
                <w:color w:val="000000" w:themeColor="text1"/>
                <w14:textFill>
                  <w14:solidFill>
                    <w14:schemeClr w14:val="tx1"/>
                  </w14:solidFill>
                </w14:textFill>
              </w:rPr>
            </w:pPr>
          </w:p>
        </w:tc>
        <w:tc>
          <w:tcPr>
            <w:tcW w:w="1371" w:type="dxa"/>
            <w:vAlign w:val="center"/>
          </w:tcPr>
          <w:p w14:paraId="6B9913AA">
            <w:pPr>
              <w:pStyle w:val="70"/>
              <w:rPr>
                <w:color w:val="000000" w:themeColor="text1"/>
                <w14:textFill>
                  <w14:solidFill>
                    <w14:schemeClr w14:val="tx1"/>
                  </w14:solidFill>
                </w14:textFill>
              </w:rPr>
            </w:pPr>
          </w:p>
        </w:tc>
        <w:tc>
          <w:tcPr>
            <w:tcW w:w="1134" w:type="dxa"/>
            <w:vAlign w:val="center"/>
          </w:tcPr>
          <w:p w14:paraId="7D906C15">
            <w:pPr>
              <w:pStyle w:val="70"/>
              <w:rPr>
                <w:color w:val="000000" w:themeColor="text1"/>
                <w14:textFill>
                  <w14:solidFill>
                    <w14:schemeClr w14:val="tx1"/>
                  </w14:solidFill>
                </w14:textFill>
              </w:rPr>
            </w:pPr>
            <w:r>
              <w:rPr>
                <w:color w:val="000000" w:themeColor="text1"/>
                <w14:textFill>
                  <w14:solidFill>
                    <w14:schemeClr w14:val="tx1"/>
                  </w14:solidFill>
                </w14:textFill>
              </w:rPr>
              <w:t>≤</w:t>
            </w:r>
            <w:r>
              <w:rPr>
                <w:rFonts w:hint="eastAsia"/>
                <w:color w:val="000000" w:themeColor="text1"/>
                <w14:textFill>
                  <w14:solidFill>
                    <w14:schemeClr w14:val="tx1"/>
                  </w14:solidFill>
                </w14:textFill>
              </w:rPr>
              <w:t>250</w:t>
            </w:r>
          </w:p>
        </w:tc>
        <w:tc>
          <w:tcPr>
            <w:tcW w:w="992" w:type="dxa"/>
            <w:vAlign w:val="center"/>
          </w:tcPr>
          <w:p w14:paraId="4BDD1AB2">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0.03~0.39</w:t>
            </w:r>
          </w:p>
        </w:tc>
        <w:tc>
          <w:tcPr>
            <w:tcW w:w="714" w:type="dxa"/>
            <w:vAlign w:val="center"/>
          </w:tcPr>
          <w:p w14:paraId="203E028A">
            <w:pPr>
              <w:pStyle w:val="70"/>
              <w:rPr>
                <w:color w:val="000000" w:themeColor="text1"/>
                <w14:textFill>
                  <w14:solidFill>
                    <w14:schemeClr w14:val="tx1"/>
                  </w14:solidFill>
                </w14:textFill>
              </w:rPr>
            </w:pPr>
            <w:r>
              <w:rPr>
                <w:color w:val="000000" w:themeColor="text1"/>
                <w14:textFill>
                  <w14:solidFill>
                    <w14:schemeClr w14:val="tx1"/>
                  </w14:solidFill>
                </w14:textFill>
              </w:rPr>
              <w:t>是</w:t>
            </w:r>
          </w:p>
        </w:tc>
      </w:tr>
      <w:tr w14:paraId="04BE8E2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397" w:hRule="atLeast"/>
          <w:jc w:val="center"/>
        </w:trPr>
        <w:tc>
          <w:tcPr>
            <w:tcW w:w="986" w:type="dxa"/>
            <w:vMerge w:val="continue"/>
            <w:vAlign w:val="center"/>
          </w:tcPr>
          <w:p w14:paraId="07CBF182">
            <w:pPr>
              <w:pStyle w:val="70"/>
              <w:rPr>
                <w:color w:val="000000" w:themeColor="text1"/>
                <w14:textFill>
                  <w14:solidFill>
                    <w14:schemeClr w14:val="tx1"/>
                  </w14:solidFill>
                </w14:textFill>
              </w:rPr>
            </w:pPr>
          </w:p>
        </w:tc>
        <w:tc>
          <w:tcPr>
            <w:tcW w:w="1701" w:type="dxa"/>
            <w:shd w:val="clear" w:color="auto" w:fill="auto"/>
            <w:vAlign w:val="center"/>
          </w:tcPr>
          <w:p w14:paraId="1C1F939E">
            <w:pPr>
              <w:pStyle w:val="70"/>
              <w:rPr>
                <w:color w:val="000000" w:themeColor="text1"/>
                <w14:textFill>
                  <w14:solidFill>
                    <w14:schemeClr w14:val="tx1"/>
                  </w14:solidFill>
                </w14:textFill>
              </w:rPr>
            </w:pPr>
            <w:r>
              <w:rPr>
                <w:color w:val="000000" w:themeColor="text1"/>
                <w14:textFill>
                  <w14:solidFill>
                    <w14:schemeClr w14:val="tx1"/>
                  </w14:solidFill>
                </w14:textFill>
              </w:rPr>
              <w:t>NO</w:t>
            </w:r>
            <w:r>
              <w:rPr>
                <w:color w:val="000000" w:themeColor="text1"/>
                <w:vertAlign w:val="subscript"/>
                <w14:textFill>
                  <w14:solidFill>
                    <w14:schemeClr w14:val="tx1"/>
                  </w14:solidFill>
                </w14:textFill>
              </w:rPr>
              <w:t>3</w:t>
            </w:r>
            <w:r>
              <w:rPr>
                <w:color w:val="000000" w:themeColor="text1"/>
                <w:vertAlign w:val="superscript"/>
                <w14:textFill>
                  <w14:solidFill>
                    <w14:schemeClr w14:val="tx1"/>
                  </w14:solidFill>
                </w14:textFill>
              </w:rPr>
              <w:t>-</w:t>
            </w:r>
          </w:p>
        </w:tc>
        <w:tc>
          <w:tcPr>
            <w:tcW w:w="1370" w:type="dxa"/>
            <w:shd w:val="clear" w:color="auto" w:fill="auto"/>
            <w:vAlign w:val="center"/>
          </w:tcPr>
          <w:p w14:paraId="703B624C">
            <w:pPr>
              <w:pStyle w:val="70"/>
              <w:rPr>
                <w:color w:val="000000" w:themeColor="text1"/>
                <w14:textFill>
                  <w14:solidFill>
                    <w14:schemeClr w14:val="tx1"/>
                  </w14:solidFill>
                </w14:textFill>
              </w:rPr>
            </w:pPr>
          </w:p>
        </w:tc>
        <w:tc>
          <w:tcPr>
            <w:tcW w:w="1370" w:type="dxa"/>
            <w:vAlign w:val="center"/>
          </w:tcPr>
          <w:p w14:paraId="239A1C36">
            <w:pPr>
              <w:pStyle w:val="70"/>
              <w:rPr>
                <w:color w:val="000000" w:themeColor="text1"/>
                <w14:textFill>
                  <w14:solidFill>
                    <w14:schemeClr w14:val="tx1"/>
                  </w14:solidFill>
                </w14:textFill>
              </w:rPr>
            </w:pPr>
          </w:p>
        </w:tc>
        <w:tc>
          <w:tcPr>
            <w:tcW w:w="1371" w:type="dxa"/>
            <w:vAlign w:val="center"/>
          </w:tcPr>
          <w:p w14:paraId="4C08FAA7">
            <w:pPr>
              <w:pStyle w:val="70"/>
              <w:rPr>
                <w:color w:val="000000" w:themeColor="text1"/>
                <w14:textFill>
                  <w14:solidFill>
                    <w14:schemeClr w14:val="tx1"/>
                  </w14:solidFill>
                </w14:textFill>
              </w:rPr>
            </w:pPr>
          </w:p>
        </w:tc>
        <w:tc>
          <w:tcPr>
            <w:tcW w:w="1134" w:type="dxa"/>
            <w:vAlign w:val="center"/>
          </w:tcPr>
          <w:p w14:paraId="1CE28BBD">
            <w:pPr>
              <w:pStyle w:val="70"/>
              <w:rPr>
                <w:color w:val="000000" w:themeColor="text1"/>
                <w14:textFill>
                  <w14:solidFill>
                    <w14:schemeClr w14:val="tx1"/>
                  </w14:solidFill>
                </w14:textFill>
              </w:rPr>
            </w:pPr>
            <w:r>
              <w:rPr>
                <w:color w:val="000000" w:themeColor="text1"/>
                <w14:textFill>
                  <w14:solidFill>
                    <w14:schemeClr w14:val="tx1"/>
                  </w14:solidFill>
                </w14:textFill>
              </w:rPr>
              <w:t>≤</w:t>
            </w:r>
            <w:r>
              <w:rPr>
                <w:rFonts w:hint="eastAsia"/>
                <w:color w:val="000000" w:themeColor="text1"/>
                <w14:textFill>
                  <w14:solidFill>
                    <w14:schemeClr w14:val="tx1"/>
                  </w14:solidFill>
                </w14:textFill>
              </w:rPr>
              <w:t>20.0</w:t>
            </w:r>
          </w:p>
        </w:tc>
        <w:tc>
          <w:tcPr>
            <w:tcW w:w="992" w:type="dxa"/>
            <w:vAlign w:val="center"/>
          </w:tcPr>
          <w:p w14:paraId="53AB3CB1">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0.01~0.15</w:t>
            </w:r>
          </w:p>
        </w:tc>
        <w:tc>
          <w:tcPr>
            <w:tcW w:w="714" w:type="dxa"/>
            <w:vAlign w:val="center"/>
          </w:tcPr>
          <w:p w14:paraId="79BA858C">
            <w:pPr>
              <w:pStyle w:val="70"/>
              <w:rPr>
                <w:color w:val="000000" w:themeColor="text1"/>
                <w14:textFill>
                  <w14:solidFill>
                    <w14:schemeClr w14:val="tx1"/>
                  </w14:solidFill>
                </w14:textFill>
              </w:rPr>
            </w:pPr>
            <w:r>
              <w:rPr>
                <w:color w:val="000000" w:themeColor="text1"/>
                <w14:textFill>
                  <w14:solidFill>
                    <w14:schemeClr w14:val="tx1"/>
                  </w14:solidFill>
                </w14:textFill>
              </w:rPr>
              <w:t>是</w:t>
            </w:r>
          </w:p>
        </w:tc>
      </w:tr>
      <w:tr w14:paraId="4C69563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397" w:hRule="atLeast"/>
          <w:jc w:val="center"/>
        </w:trPr>
        <w:tc>
          <w:tcPr>
            <w:tcW w:w="986" w:type="dxa"/>
            <w:vMerge w:val="continue"/>
            <w:vAlign w:val="center"/>
          </w:tcPr>
          <w:p w14:paraId="143067CA">
            <w:pPr>
              <w:pStyle w:val="70"/>
              <w:rPr>
                <w:color w:val="000000" w:themeColor="text1"/>
                <w14:textFill>
                  <w14:solidFill>
                    <w14:schemeClr w14:val="tx1"/>
                  </w14:solidFill>
                </w14:textFill>
              </w:rPr>
            </w:pPr>
          </w:p>
        </w:tc>
        <w:tc>
          <w:tcPr>
            <w:tcW w:w="1701" w:type="dxa"/>
            <w:shd w:val="clear" w:color="auto" w:fill="auto"/>
            <w:vAlign w:val="center"/>
          </w:tcPr>
          <w:p w14:paraId="2931063B">
            <w:pPr>
              <w:pStyle w:val="70"/>
              <w:rPr>
                <w:color w:val="000000" w:themeColor="text1"/>
                <w14:textFill>
                  <w14:solidFill>
                    <w14:schemeClr w14:val="tx1"/>
                  </w14:solidFill>
                </w14:textFill>
              </w:rPr>
            </w:pPr>
            <w:r>
              <w:rPr>
                <w:color w:val="000000" w:themeColor="text1"/>
                <w14:textFill>
                  <w14:solidFill>
                    <w14:schemeClr w14:val="tx1"/>
                  </w14:solidFill>
                </w14:textFill>
              </w:rPr>
              <w:t>NO</w:t>
            </w:r>
            <w:r>
              <w:rPr>
                <w:color w:val="000000" w:themeColor="text1"/>
                <w:vertAlign w:val="subscript"/>
                <w14:textFill>
                  <w14:solidFill>
                    <w14:schemeClr w14:val="tx1"/>
                  </w14:solidFill>
                </w14:textFill>
              </w:rPr>
              <w:t>2</w:t>
            </w:r>
            <w:r>
              <w:rPr>
                <w:color w:val="000000" w:themeColor="text1"/>
                <w:vertAlign w:val="superscript"/>
                <w14:textFill>
                  <w14:solidFill>
                    <w14:schemeClr w14:val="tx1"/>
                  </w14:solidFill>
                </w14:textFill>
              </w:rPr>
              <w:t>-</w:t>
            </w:r>
          </w:p>
        </w:tc>
        <w:tc>
          <w:tcPr>
            <w:tcW w:w="1370" w:type="dxa"/>
            <w:shd w:val="clear" w:color="auto" w:fill="auto"/>
            <w:vAlign w:val="center"/>
          </w:tcPr>
          <w:p w14:paraId="33E31C26">
            <w:pPr>
              <w:pStyle w:val="70"/>
              <w:rPr>
                <w:color w:val="000000" w:themeColor="text1"/>
                <w14:textFill>
                  <w14:solidFill>
                    <w14:schemeClr w14:val="tx1"/>
                  </w14:solidFill>
                </w14:textFill>
              </w:rPr>
            </w:pPr>
          </w:p>
        </w:tc>
        <w:tc>
          <w:tcPr>
            <w:tcW w:w="1370" w:type="dxa"/>
            <w:vAlign w:val="center"/>
          </w:tcPr>
          <w:p w14:paraId="4CE09F93">
            <w:pPr>
              <w:pStyle w:val="70"/>
              <w:rPr>
                <w:color w:val="000000" w:themeColor="text1"/>
                <w14:textFill>
                  <w14:solidFill>
                    <w14:schemeClr w14:val="tx1"/>
                  </w14:solidFill>
                </w14:textFill>
              </w:rPr>
            </w:pPr>
          </w:p>
        </w:tc>
        <w:tc>
          <w:tcPr>
            <w:tcW w:w="1371" w:type="dxa"/>
            <w:vAlign w:val="center"/>
          </w:tcPr>
          <w:p w14:paraId="7B183F9D">
            <w:pPr>
              <w:pStyle w:val="70"/>
              <w:rPr>
                <w:color w:val="000000" w:themeColor="text1"/>
                <w14:textFill>
                  <w14:solidFill>
                    <w14:schemeClr w14:val="tx1"/>
                  </w14:solidFill>
                </w14:textFill>
              </w:rPr>
            </w:pPr>
          </w:p>
        </w:tc>
        <w:tc>
          <w:tcPr>
            <w:tcW w:w="1134" w:type="dxa"/>
            <w:vAlign w:val="center"/>
          </w:tcPr>
          <w:p w14:paraId="6BBEFAE0">
            <w:pPr>
              <w:pStyle w:val="70"/>
              <w:rPr>
                <w:color w:val="000000" w:themeColor="text1"/>
                <w14:textFill>
                  <w14:solidFill>
                    <w14:schemeClr w14:val="tx1"/>
                  </w14:solidFill>
                </w14:textFill>
              </w:rPr>
            </w:pPr>
            <w:r>
              <w:rPr>
                <w:color w:val="000000" w:themeColor="text1"/>
                <w14:textFill>
                  <w14:solidFill>
                    <w14:schemeClr w14:val="tx1"/>
                  </w14:solidFill>
                </w14:textFill>
              </w:rPr>
              <w:t>≤1</w:t>
            </w:r>
            <w:r>
              <w:rPr>
                <w:rFonts w:hint="eastAsia"/>
                <w:color w:val="000000" w:themeColor="text1"/>
                <w14:textFill>
                  <w14:solidFill>
                    <w14:schemeClr w14:val="tx1"/>
                  </w14:solidFill>
                </w14:textFill>
              </w:rPr>
              <w:t>.00</w:t>
            </w:r>
          </w:p>
        </w:tc>
        <w:tc>
          <w:tcPr>
            <w:tcW w:w="992" w:type="dxa"/>
            <w:vAlign w:val="center"/>
          </w:tcPr>
          <w:p w14:paraId="5F109AC4">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714" w:type="dxa"/>
            <w:vAlign w:val="center"/>
          </w:tcPr>
          <w:p w14:paraId="563373E7">
            <w:pPr>
              <w:pStyle w:val="70"/>
              <w:rPr>
                <w:color w:val="000000" w:themeColor="text1"/>
                <w14:textFill>
                  <w14:solidFill>
                    <w14:schemeClr w14:val="tx1"/>
                  </w14:solidFill>
                </w14:textFill>
              </w:rPr>
            </w:pPr>
            <w:r>
              <w:rPr>
                <w:color w:val="000000" w:themeColor="text1"/>
                <w14:textFill>
                  <w14:solidFill>
                    <w14:schemeClr w14:val="tx1"/>
                  </w14:solidFill>
                </w14:textFill>
              </w:rPr>
              <w:t>是</w:t>
            </w:r>
          </w:p>
        </w:tc>
      </w:tr>
      <w:tr w14:paraId="1025BD9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397" w:hRule="atLeast"/>
          <w:jc w:val="center"/>
        </w:trPr>
        <w:tc>
          <w:tcPr>
            <w:tcW w:w="986" w:type="dxa"/>
            <w:vMerge w:val="continue"/>
            <w:vAlign w:val="center"/>
          </w:tcPr>
          <w:p w14:paraId="336BEEFD">
            <w:pPr>
              <w:pStyle w:val="70"/>
              <w:rPr>
                <w:color w:val="000000" w:themeColor="text1"/>
                <w14:textFill>
                  <w14:solidFill>
                    <w14:schemeClr w14:val="tx1"/>
                  </w14:solidFill>
                </w14:textFill>
              </w:rPr>
            </w:pPr>
          </w:p>
        </w:tc>
        <w:tc>
          <w:tcPr>
            <w:tcW w:w="1701" w:type="dxa"/>
            <w:shd w:val="clear" w:color="auto" w:fill="auto"/>
            <w:vAlign w:val="center"/>
          </w:tcPr>
          <w:p w14:paraId="799CD142">
            <w:pPr>
              <w:pStyle w:val="70"/>
              <w:rPr>
                <w:color w:val="000000" w:themeColor="text1"/>
                <w14:textFill>
                  <w14:solidFill>
                    <w14:schemeClr w14:val="tx1"/>
                  </w14:solidFill>
                </w14:textFill>
              </w:rPr>
            </w:pPr>
            <w:r>
              <w:rPr>
                <w:color w:val="000000" w:themeColor="text1"/>
                <w14:textFill>
                  <w14:solidFill>
                    <w14:schemeClr w14:val="tx1"/>
                  </w14:solidFill>
                </w14:textFill>
              </w:rPr>
              <w:t>F</w:t>
            </w:r>
            <w:r>
              <w:rPr>
                <w:color w:val="000000" w:themeColor="text1"/>
                <w:vertAlign w:val="superscript"/>
                <w14:textFill>
                  <w14:solidFill>
                    <w14:schemeClr w14:val="tx1"/>
                  </w14:solidFill>
                </w14:textFill>
              </w:rPr>
              <w:t>-</w:t>
            </w:r>
          </w:p>
        </w:tc>
        <w:tc>
          <w:tcPr>
            <w:tcW w:w="1370" w:type="dxa"/>
            <w:shd w:val="clear" w:color="auto" w:fill="auto"/>
            <w:vAlign w:val="center"/>
          </w:tcPr>
          <w:p w14:paraId="2277FA25">
            <w:pPr>
              <w:pStyle w:val="70"/>
              <w:rPr>
                <w:color w:val="000000" w:themeColor="text1"/>
                <w14:textFill>
                  <w14:solidFill>
                    <w14:schemeClr w14:val="tx1"/>
                  </w14:solidFill>
                </w14:textFill>
              </w:rPr>
            </w:pPr>
          </w:p>
        </w:tc>
        <w:tc>
          <w:tcPr>
            <w:tcW w:w="1370" w:type="dxa"/>
            <w:vAlign w:val="center"/>
          </w:tcPr>
          <w:p w14:paraId="3AC5AB31">
            <w:pPr>
              <w:pStyle w:val="70"/>
              <w:rPr>
                <w:color w:val="000000" w:themeColor="text1"/>
                <w14:textFill>
                  <w14:solidFill>
                    <w14:schemeClr w14:val="tx1"/>
                  </w14:solidFill>
                </w14:textFill>
              </w:rPr>
            </w:pPr>
          </w:p>
        </w:tc>
        <w:tc>
          <w:tcPr>
            <w:tcW w:w="1371" w:type="dxa"/>
            <w:vAlign w:val="center"/>
          </w:tcPr>
          <w:p w14:paraId="78A62B94">
            <w:pPr>
              <w:pStyle w:val="70"/>
              <w:rPr>
                <w:color w:val="000000" w:themeColor="text1"/>
                <w14:textFill>
                  <w14:solidFill>
                    <w14:schemeClr w14:val="tx1"/>
                  </w14:solidFill>
                </w14:textFill>
              </w:rPr>
            </w:pPr>
          </w:p>
        </w:tc>
        <w:tc>
          <w:tcPr>
            <w:tcW w:w="1134" w:type="dxa"/>
            <w:vAlign w:val="center"/>
          </w:tcPr>
          <w:p w14:paraId="065D730F">
            <w:pPr>
              <w:pStyle w:val="70"/>
              <w:rPr>
                <w:color w:val="000000" w:themeColor="text1"/>
                <w14:textFill>
                  <w14:solidFill>
                    <w14:schemeClr w14:val="tx1"/>
                  </w14:solidFill>
                </w14:textFill>
              </w:rPr>
            </w:pPr>
            <w:r>
              <w:rPr>
                <w:color w:val="000000" w:themeColor="text1"/>
                <w14:textFill>
                  <w14:solidFill>
                    <w14:schemeClr w14:val="tx1"/>
                  </w14:solidFill>
                </w14:textFill>
              </w:rPr>
              <w:t>≤1</w:t>
            </w:r>
            <w:r>
              <w:rPr>
                <w:rFonts w:hint="eastAsia"/>
                <w:color w:val="000000" w:themeColor="text1"/>
                <w14:textFill>
                  <w14:solidFill>
                    <w14:schemeClr w14:val="tx1"/>
                  </w14:solidFill>
                </w14:textFill>
              </w:rPr>
              <w:t>.0</w:t>
            </w:r>
          </w:p>
        </w:tc>
        <w:tc>
          <w:tcPr>
            <w:tcW w:w="992" w:type="dxa"/>
            <w:vAlign w:val="center"/>
          </w:tcPr>
          <w:p w14:paraId="4C9B5FED">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0.05~2.13</w:t>
            </w:r>
          </w:p>
        </w:tc>
        <w:tc>
          <w:tcPr>
            <w:tcW w:w="714" w:type="dxa"/>
            <w:vAlign w:val="center"/>
          </w:tcPr>
          <w:p w14:paraId="69140F15">
            <w:pPr>
              <w:pStyle w:val="70"/>
              <w:rPr>
                <w:color w:val="000000" w:themeColor="text1"/>
                <w14:textFill>
                  <w14:solidFill>
                    <w14:schemeClr w14:val="tx1"/>
                  </w14:solidFill>
                </w14:textFill>
              </w:rPr>
            </w:pPr>
            <w:r>
              <w:rPr>
                <w:color w:val="000000" w:themeColor="text1"/>
                <w14:textFill>
                  <w14:solidFill>
                    <w14:schemeClr w14:val="tx1"/>
                  </w14:solidFill>
                </w14:textFill>
              </w:rPr>
              <w:t>否</w:t>
            </w:r>
          </w:p>
        </w:tc>
      </w:tr>
      <w:tr w14:paraId="274F2C5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397" w:hRule="atLeast"/>
          <w:jc w:val="center"/>
        </w:trPr>
        <w:tc>
          <w:tcPr>
            <w:tcW w:w="986" w:type="dxa"/>
            <w:vMerge w:val="continue"/>
            <w:vAlign w:val="center"/>
          </w:tcPr>
          <w:p w14:paraId="7AB262D4">
            <w:pPr>
              <w:pStyle w:val="70"/>
              <w:rPr>
                <w:color w:val="000000" w:themeColor="text1"/>
                <w14:textFill>
                  <w14:solidFill>
                    <w14:schemeClr w14:val="tx1"/>
                  </w14:solidFill>
                </w14:textFill>
              </w:rPr>
            </w:pPr>
          </w:p>
        </w:tc>
        <w:tc>
          <w:tcPr>
            <w:tcW w:w="1701" w:type="dxa"/>
            <w:shd w:val="clear" w:color="auto" w:fill="auto"/>
            <w:vAlign w:val="center"/>
          </w:tcPr>
          <w:p w14:paraId="3E8BEFE5">
            <w:pPr>
              <w:pStyle w:val="70"/>
              <w:rPr>
                <w:color w:val="000000" w:themeColor="text1"/>
                <w14:textFill>
                  <w14:solidFill>
                    <w14:schemeClr w14:val="tx1"/>
                  </w14:solidFill>
                </w14:textFill>
              </w:rPr>
            </w:pPr>
            <w:r>
              <w:rPr>
                <w:color w:val="000000" w:themeColor="text1"/>
                <w14:textFill>
                  <w14:solidFill>
                    <w14:schemeClr w14:val="tx1"/>
                  </w14:solidFill>
                </w14:textFill>
              </w:rPr>
              <w:t>溶解性总固体</w:t>
            </w:r>
          </w:p>
        </w:tc>
        <w:tc>
          <w:tcPr>
            <w:tcW w:w="1370" w:type="dxa"/>
            <w:shd w:val="clear" w:color="auto" w:fill="auto"/>
            <w:vAlign w:val="center"/>
          </w:tcPr>
          <w:p w14:paraId="0115FD26">
            <w:pPr>
              <w:pStyle w:val="70"/>
              <w:rPr>
                <w:color w:val="000000" w:themeColor="text1"/>
                <w14:textFill>
                  <w14:solidFill>
                    <w14:schemeClr w14:val="tx1"/>
                  </w14:solidFill>
                </w14:textFill>
              </w:rPr>
            </w:pPr>
          </w:p>
        </w:tc>
        <w:tc>
          <w:tcPr>
            <w:tcW w:w="1370" w:type="dxa"/>
            <w:vAlign w:val="center"/>
          </w:tcPr>
          <w:p w14:paraId="14C2EEE0">
            <w:pPr>
              <w:pStyle w:val="70"/>
              <w:rPr>
                <w:color w:val="000000" w:themeColor="text1"/>
                <w14:textFill>
                  <w14:solidFill>
                    <w14:schemeClr w14:val="tx1"/>
                  </w14:solidFill>
                </w14:textFill>
              </w:rPr>
            </w:pPr>
          </w:p>
        </w:tc>
        <w:tc>
          <w:tcPr>
            <w:tcW w:w="1371" w:type="dxa"/>
            <w:vAlign w:val="center"/>
          </w:tcPr>
          <w:p w14:paraId="60DA6F31">
            <w:pPr>
              <w:pStyle w:val="70"/>
              <w:rPr>
                <w:color w:val="000000" w:themeColor="text1"/>
                <w14:textFill>
                  <w14:solidFill>
                    <w14:schemeClr w14:val="tx1"/>
                  </w14:solidFill>
                </w14:textFill>
              </w:rPr>
            </w:pPr>
          </w:p>
        </w:tc>
        <w:tc>
          <w:tcPr>
            <w:tcW w:w="1134" w:type="dxa"/>
            <w:vAlign w:val="center"/>
          </w:tcPr>
          <w:p w14:paraId="7E9BF41E">
            <w:pPr>
              <w:pStyle w:val="70"/>
              <w:rPr>
                <w:color w:val="000000" w:themeColor="text1"/>
                <w14:textFill>
                  <w14:solidFill>
                    <w14:schemeClr w14:val="tx1"/>
                  </w14:solidFill>
                </w14:textFill>
              </w:rPr>
            </w:pPr>
            <w:r>
              <w:rPr>
                <w:color w:val="000000" w:themeColor="text1"/>
                <w14:textFill>
                  <w14:solidFill>
                    <w14:schemeClr w14:val="tx1"/>
                  </w14:solidFill>
                </w14:textFill>
              </w:rPr>
              <w:t>≤1</w:t>
            </w:r>
            <w:r>
              <w:rPr>
                <w:rFonts w:hint="eastAsia"/>
                <w:color w:val="000000" w:themeColor="text1"/>
                <w14:textFill>
                  <w14:solidFill>
                    <w14:schemeClr w14:val="tx1"/>
                  </w14:solidFill>
                </w14:textFill>
              </w:rPr>
              <w:t>000</w:t>
            </w:r>
          </w:p>
        </w:tc>
        <w:tc>
          <w:tcPr>
            <w:tcW w:w="992" w:type="dxa"/>
            <w:vAlign w:val="center"/>
          </w:tcPr>
          <w:p w14:paraId="4ED840A9">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0.18~0.37</w:t>
            </w:r>
          </w:p>
        </w:tc>
        <w:tc>
          <w:tcPr>
            <w:tcW w:w="714" w:type="dxa"/>
            <w:vAlign w:val="center"/>
          </w:tcPr>
          <w:p w14:paraId="5E491321">
            <w:pPr>
              <w:pStyle w:val="70"/>
              <w:rPr>
                <w:color w:val="000000" w:themeColor="text1"/>
                <w14:textFill>
                  <w14:solidFill>
                    <w14:schemeClr w14:val="tx1"/>
                  </w14:solidFill>
                </w14:textFill>
              </w:rPr>
            </w:pPr>
            <w:r>
              <w:rPr>
                <w:color w:val="000000" w:themeColor="text1"/>
                <w14:textFill>
                  <w14:solidFill>
                    <w14:schemeClr w14:val="tx1"/>
                  </w14:solidFill>
                </w14:textFill>
              </w:rPr>
              <w:t>是</w:t>
            </w:r>
          </w:p>
        </w:tc>
      </w:tr>
      <w:tr w14:paraId="5035E0C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397" w:hRule="atLeast"/>
          <w:jc w:val="center"/>
        </w:trPr>
        <w:tc>
          <w:tcPr>
            <w:tcW w:w="986" w:type="dxa"/>
            <w:vMerge w:val="continue"/>
            <w:vAlign w:val="center"/>
          </w:tcPr>
          <w:p w14:paraId="43F7DDE0">
            <w:pPr>
              <w:pStyle w:val="70"/>
              <w:rPr>
                <w:color w:val="000000" w:themeColor="text1"/>
                <w14:textFill>
                  <w14:solidFill>
                    <w14:schemeClr w14:val="tx1"/>
                  </w14:solidFill>
                </w14:textFill>
              </w:rPr>
            </w:pPr>
          </w:p>
        </w:tc>
        <w:tc>
          <w:tcPr>
            <w:tcW w:w="1701" w:type="dxa"/>
            <w:shd w:val="clear" w:color="auto" w:fill="auto"/>
            <w:vAlign w:val="center"/>
          </w:tcPr>
          <w:p w14:paraId="5A411C2E">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挥发酚</w:t>
            </w:r>
          </w:p>
        </w:tc>
        <w:tc>
          <w:tcPr>
            <w:tcW w:w="1370" w:type="dxa"/>
            <w:shd w:val="clear" w:color="auto" w:fill="auto"/>
            <w:vAlign w:val="center"/>
          </w:tcPr>
          <w:p w14:paraId="5AA48C1C">
            <w:pPr>
              <w:pStyle w:val="70"/>
              <w:rPr>
                <w:color w:val="000000" w:themeColor="text1"/>
                <w14:textFill>
                  <w14:solidFill>
                    <w14:schemeClr w14:val="tx1"/>
                  </w14:solidFill>
                </w14:textFill>
              </w:rPr>
            </w:pPr>
          </w:p>
        </w:tc>
        <w:tc>
          <w:tcPr>
            <w:tcW w:w="1370" w:type="dxa"/>
            <w:vAlign w:val="center"/>
          </w:tcPr>
          <w:p w14:paraId="72F20D92">
            <w:pPr>
              <w:pStyle w:val="70"/>
              <w:rPr>
                <w:color w:val="000000" w:themeColor="text1"/>
                <w14:textFill>
                  <w14:solidFill>
                    <w14:schemeClr w14:val="tx1"/>
                  </w14:solidFill>
                </w14:textFill>
              </w:rPr>
            </w:pPr>
          </w:p>
        </w:tc>
        <w:tc>
          <w:tcPr>
            <w:tcW w:w="1371" w:type="dxa"/>
            <w:vAlign w:val="center"/>
          </w:tcPr>
          <w:p w14:paraId="5B1A1D34">
            <w:pPr>
              <w:pStyle w:val="70"/>
              <w:rPr>
                <w:color w:val="000000" w:themeColor="text1"/>
                <w14:textFill>
                  <w14:solidFill>
                    <w14:schemeClr w14:val="tx1"/>
                  </w14:solidFill>
                </w14:textFill>
              </w:rPr>
            </w:pPr>
          </w:p>
        </w:tc>
        <w:tc>
          <w:tcPr>
            <w:tcW w:w="1134" w:type="dxa"/>
            <w:vAlign w:val="center"/>
          </w:tcPr>
          <w:p w14:paraId="09EE97CC">
            <w:pPr>
              <w:pStyle w:val="70"/>
              <w:rPr>
                <w:color w:val="000000" w:themeColor="text1"/>
                <w14:textFill>
                  <w14:solidFill>
                    <w14:schemeClr w14:val="tx1"/>
                  </w14:solidFill>
                </w14:textFill>
              </w:rPr>
            </w:pPr>
            <w:r>
              <w:rPr>
                <w:color w:val="000000" w:themeColor="text1"/>
                <w14:textFill>
                  <w14:solidFill>
                    <w14:schemeClr w14:val="tx1"/>
                  </w14:solidFill>
                </w14:textFill>
              </w:rPr>
              <w:t>≤</w:t>
            </w:r>
            <w:r>
              <w:rPr>
                <w:rFonts w:hint="eastAsia"/>
                <w:color w:val="000000" w:themeColor="text1"/>
                <w14:textFill>
                  <w14:solidFill>
                    <w14:schemeClr w14:val="tx1"/>
                  </w14:solidFill>
                </w14:textFill>
              </w:rPr>
              <w:t>0.002</w:t>
            </w:r>
          </w:p>
        </w:tc>
        <w:tc>
          <w:tcPr>
            <w:tcW w:w="992" w:type="dxa"/>
            <w:vAlign w:val="center"/>
          </w:tcPr>
          <w:p w14:paraId="53B2CEC8">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714" w:type="dxa"/>
            <w:vAlign w:val="center"/>
          </w:tcPr>
          <w:p w14:paraId="5C8B9F06">
            <w:pPr>
              <w:pStyle w:val="70"/>
              <w:rPr>
                <w:color w:val="000000" w:themeColor="text1"/>
                <w14:textFill>
                  <w14:solidFill>
                    <w14:schemeClr w14:val="tx1"/>
                  </w14:solidFill>
                </w14:textFill>
              </w:rPr>
            </w:pPr>
            <w:r>
              <w:rPr>
                <w:color w:val="000000" w:themeColor="text1"/>
                <w14:textFill>
                  <w14:solidFill>
                    <w14:schemeClr w14:val="tx1"/>
                  </w14:solidFill>
                </w14:textFill>
              </w:rPr>
              <w:t>是</w:t>
            </w:r>
          </w:p>
        </w:tc>
      </w:tr>
    </w:tbl>
    <w:p w14:paraId="08A774F9">
      <w:pPr>
        <w:widowControl/>
        <w:adjustRightInd w:val="0"/>
        <w:snapToGrid w:val="0"/>
        <w:spacing w:line="0" w:lineRule="atLeast"/>
        <w:ind w:firstLine="0" w:firstLineChars="0"/>
        <w:jc w:val="center"/>
        <w:rPr>
          <w:color w:val="000000" w:themeColor="text1"/>
          <w:sz w:val="21"/>
          <w:szCs w:val="21"/>
          <w:lang w:val="zh-CN"/>
          <w14:textFill>
            <w14:solidFill>
              <w14:schemeClr w14:val="tx1"/>
            </w14:solidFill>
          </w14:textFill>
        </w:rPr>
      </w:pPr>
    </w:p>
    <w:p w14:paraId="78C7F6EC">
      <w:pPr>
        <w:widowControl/>
        <w:adjustRightInd w:val="0"/>
        <w:snapToGrid w:val="0"/>
        <w:spacing w:line="0" w:lineRule="atLeast"/>
        <w:ind w:firstLine="0" w:firstLineChars="0"/>
        <w:jc w:val="center"/>
        <w:rPr>
          <w:color w:val="000000" w:themeColor="text1"/>
          <w:sz w:val="21"/>
          <w:szCs w:val="21"/>
          <w:lang w:val="zh-CN"/>
          <w14:textFill>
            <w14:solidFill>
              <w14:schemeClr w14:val="tx1"/>
            </w14:solidFill>
          </w14:textFill>
        </w:rPr>
      </w:pPr>
    </w:p>
    <w:p w14:paraId="162159CD">
      <w:pPr>
        <w:widowControl/>
        <w:ind w:firstLine="0" w:firstLineChars="0"/>
        <w:jc w:val="left"/>
        <w:rPr>
          <w:b/>
          <w:color w:val="000000" w:themeColor="text1"/>
          <w:sz w:val="21"/>
          <w:szCs w:val="20"/>
          <w14:textFill>
            <w14:solidFill>
              <w14:schemeClr w14:val="tx1"/>
            </w14:solidFill>
          </w14:textFill>
        </w:rPr>
        <w:sectPr>
          <w:headerReference r:id="rId23" w:type="default"/>
          <w:pgSz w:w="11906" w:h="16838"/>
          <w:pgMar w:top="1411" w:right="1411" w:bottom="1411" w:left="1411" w:header="720" w:footer="720" w:gutter="0"/>
          <w:pgBorders>
            <w:top w:val="none" w:sz="0" w:space="0"/>
            <w:left w:val="none" w:sz="0" w:space="0"/>
            <w:bottom w:val="none" w:sz="0" w:space="0"/>
            <w:right w:val="none" w:sz="0" w:space="0"/>
          </w:pgBorders>
          <w:pgNumType w:fmt="numberInDash"/>
          <w:cols w:space="720" w:num="1"/>
        </w:sectPr>
      </w:pPr>
    </w:p>
    <w:p w14:paraId="5A4EB25A">
      <w:pPr>
        <w:pStyle w:val="5"/>
        <w:rPr>
          <w:color w:val="000000" w:themeColor="text1"/>
          <w14:textFill>
            <w14:solidFill>
              <w14:schemeClr w14:val="tx1"/>
            </w14:solidFill>
          </w14:textFill>
        </w:rPr>
      </w:pPr>
      <w:bookmarkStart w:id="594" w:name="_Toc135090231"/>
      <w:bookmarkStart w:id="595" w:name="_Toc216620549"/>
      <w:bookmarkStart w:id="596" w:name="_Toc29131834"/>
      <w:bookmarkStart w:id="597" w:name="_Toc25436976"/>
      <w:bookmarkStart w:id="598" w:name="_Toc26910021"/>
      <w:bookmarkStart w:id="599" w:name="_Toc136878485"/>
      <w:r>
        <w:rPr>
          <w:color w:val="000000" w:themeColor="text1"/>
          <w14:textFill>
            <w14:solidFill>
              <w14:schemeClr w14:val="tx1"/>
            </w14:solidFill>
          </w14:textFill>
        </w:rPr>
        <w:t>声环境质量现状调查与评价</w:t>
      </w:r>
      <w:bookmarkEnd w:id="594"/>
      <w:bookmarkEnd w:id="595"/>
      <w:bookmarkEnd w:id="596"/>
      <w:bookmarkEnd w:id="597"/>
      <w:bookmarkEnd w:id="598"/>
      <w:bookmarkEnd w:id="599"/>
    </w:p>
    <w:p w14:paraId="659EEEA7">
      <w:pPr>
        <w:pStyle w:val="4"/>
        <w:rPr>
          <w:color w:val="000000" w:themeColor="text1"/>
          <w14:textFill>
            <w14:solidFill>
              <w14:schemeClr w14:val="tx1"/>
            </w14:solidFill>
          </w14:textFill>
        </w:rPr>
      </w:pPr>
      <w:bookmarkStart w:id="600" w:name="_Toc136878486"/>
      <w:bookmarkStart w:id="601" w:name="_Toc216620550"/>
      <w:r>
        <w:rPr>
          <w:color w:val="000000" w:themeColor="text1"/>
          <w14:textFill>
            <w14:solidFill>
              <w14:schemeClr w14:val="tx1"/>
            </w14:solidFill>
          </w14:textFill>
        </w:rPr>
        <w:t>监测点布设</w:t>
      </w:r>
      <w:bookmarkEnd w:id="600"/>
      <w:bookmarkEnd w:id="601"/>
    </w:p>
    <w:p w14:paraId="3DD2AA5D">
      <w:pPr>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本次评价在拟建项目厂界设置4个厂界噪声监测点，点位信息见表3.5-1。</w:t>
      </w:r>
    </w:p>
    <w:p w14:paraId="5547D30E">
      <w:pPr>
        <w:pStyle w:val="7"/>
        <w:rPr>
          <w:color w:val="000000" w:themeColor="text1"/>
          <w14:textFill>
            <w14:solidFill>
              <w14:schemeClr w14:val="tx1"/>
            </w14:solidFill>
          </w14:textFill>
        </w:rPr>
      </w:pPr>
      <w:r>
        <w:rPr>
          <w:color w:val="000000" w:themeColor="text1"/>
          <w14:textFill>
            <w14:solidFill>
              <w14:schemeClr w14:val="tx1"/>
            </w14:solidFill>
          </w14:textFill>
        </w:rPr>
        <w:t>声环境监测点布设</w:t>
      </w:r>
    </w:p>
    <w:tbl>
      <w:tblPr>
        <w:tblStyle w:val="43"/>
        <w:tblW w:w="8740"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071"/>
        <w:gridCol w:w="3608"/>
        <w:gridCol w:w="1874"/>
        <w:gridCol w:w="2187"/>
      </w:tblGrid>
      <w:tr w14:paraId="5984990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jc w:val="center"/>
        </w:trPr>
        <w:tc>
          <w:tcPr>
            <w:tcW w:w="1071" w:type="dxa"/>
            <w:vAlign w:val="center"/>
          </w:tcPr>
          <w:p w14:paraId="3B4C87EE">
            <w:pPr>
              <w:adjustRightInd w:val="0"/>
              <w:snapToGrid w:val="0"/>
              <w:spacing w:line="240" w:lineRule="auto"/>
              <w:ind w:firstLine="0" w:firstLineChars="0"/>
              <w:jc w:val="center"/>
              <w:rPr>
                <w:b/>
                <w:color w:val="000000" w:themeColor="text1"/>
                <w:kern w:val="0"/>
                <w:sz w:val="21"/>
                <w:szCs w:val="21"/>
                <w14:textFill>
                  <w14:solidFill>
                    <w14:schemeClr w14:val="tx1"/>
                  </w14:solidFill>
                </w14:textFill>
              </w:rPr>
            </w:pPr>
            <w:r>
              <w:rPr>
                <w:b/>
                <w:color w:val="000000" w:themeColor="text1"/>
                <w:kern w:val="0"/>
                <w:sz w:val="21"/>
                <w:szCs w:val="21"/>
                <w14:textFill>
                  <w14:solidFill>
                    <w14:schemeClr w14:val="tx1"/>
                  </w14:solidFill>
                </w14:textFill>
              </w:rPr>
              <w:t>编号</w:t>
            </w:r>
          </w:p>
        </w:tc>
        <w:tc>
          <w:tcPr>
            <w:tcW w:w="3608" w:type="dxa"/>
            <w:vAlign w:val="center"/>
          </w:tcPr>
          <w:p w14:paraId="475C8D82">
            <w:pPr>
              <w:adjustRightInd w:val="0"/>
              <w:snapToGrid w:val="0"/>
              <w:spacing w:line="240" w:lineRule="auto"/>
              <w:ind w:firstLine="0" w:firstLineChars="0"/>
              <w:jc w:val="center"/>
              <w:rPr>
                <w:b/>
                <w:color w:val="000000" w:themeColor="text1"/>
                <w:kern w:val="0"/>
                <w:sz w:val="21"/>
                <w:szCs w:val="21"/>
                <w14:textFill>
                  <w14:solidFill>
                    <w14:schemeClr w14:val="tx1"/>
                  </w14:solidFill>
                </w14:textFill>
              </w:rPr>
            </w:pPr>
            <w:r>
              <w:rPr>
                <w:b/>
                <w:color w:val="000000" w:themeColor="text1"/>
                <w:kern w:val="0"/>
                <w:sz w:val="21"/>
                <w:szCs w:val="21"/>
                <w14:textFill>
                  <w14:solidFill>
                    <w14:schemeClr w14:val="tx1"/>
                  </w14:solidFill>
                </w14:textFill>
              </w:rPr>
              <w:t>点位名称</w:t>
            </w:r>
          </w:p>
        </w:tc>
        <w:tc>
          <w:tcPr>
            <w:tcW w:w="1874" w:type="dxa"/>
            <w:vAlign w:val="center"/>
          </w:tcPr>
          <w:p w14:paraId="41F90FED">
            <w:pPr>
              <w:adjustRightInd w:val="0"/>
              <w:snapToGrid w:val="0"/>
              <w:spacing w:line="240" w:lineRule="auto"/>
              <w:ind w:firstLine="0" w:firstLineChars="0"/>
              <w:jc w:val="center"/>
              <w:rPr>
                <w:b/>
                <w:color w:val="000000" w:themeColor="text1"/>
                <w:kern w:val="0"/>
                <w:sz w:val="21"/>
                <w:szCs w:val="21"/>
                <w14:textFill>
                  <w14:solidFill>
                    <w14:schemeClr w14:val="tx1"/>
                  </w14:solidFill>
                </w14:textFill>
              </w:rPr>
            </w:pPr>
            <w:r>
              <w:rPr>
                <w:b/>
                <w:color w:val="000000" w:themeColor="text1"/>
                <w:kern w:val="0"/>
                <w:sz w:val="21"/>
                <w:szCs w:val="21"/>
                <w14:textFill>
                  <w14:solidFill>
                    <w14:schemeClr w14:val="tx1"/>
                  </w14:solidFill>
                </w14:textFill>
              </w:rPr>
              <w:t>点位位置</w:t>
            </w:r>
          </w:p>
        </w:tc>
        <w:tc>
          <w:tcPr>
            <w:tcW w:w="2187" w:type="dxa"/>
            <w:vAlign w:val="center"/>
          </w:tcPr>
          <w:p w14:paraId="101B99F2">
            <w:pPr>
              <w:adjustRightInd w:val="0"/>
              <w:snapToGrid w:val="0"/>
              <w:spacing w:line="240" w:lineRule="auto"/>
              <w:ind w:firstLine="0" w:firstLineChars="0"/>
              <w:jc w:val="center"/>
              <w:rPr>
                <w:b/>
                <w:color w:val="000000" w:themeColor="text1"/>
                <w:kern w:val="0"/>
                <w:sz w:val="21"/>
                <w:szCs w:val="21"/>
                <w14:textFill>
                  <w14:solidFill>
                    <w14:schemeClr w14:val="tx1"/>
                  </w14:solidFill>
                </w14:textFill>
              </w:rPr>
            </w:pPr>
            <w:r>
              <w:rPr>
                <w:b/>
                <w:color w:val="000000" w:themeColor="text1"/>
                <w:kern w:val="0"/>
                <w:sz w:val="21"/>
                <w:szCs w:val="21"/>
                <w14:textFill>
                  <w14:solidFill>
                    <w14:schemeClr w14:val="tx1"/>
                  </w14:solidFill>
                </w14:textFill>
              </w:rPr>
              <w:t>点位性质</w:t>
            </w:r>
          </w:p>
        </w:tc>
      </w:tr>
      <w:tr w14:paraId="5DF0187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jc w:val="center"/>
        </w:trPr>
        <w:tc>
          <w:tcPr>
            <w:tcW w:w="1071" w:type="dxa"/>
            <w:vAlign w:val="center"/>
          </w:tcPr>
          <w:p w14:paraId="484BBF12">
            <w:pPr>
              <w:adjustRightInd w:val="0"/>
              <w:snapToGrid w:val="0"/>
              <w:spacing w:line="240" w:lineRule="auto"/>
              <w:ind w:firstLine="0" w:firstLineChars="0"/>
              <w:jc w:val="center"/>
              <w:rPr>
                <w:color w:val="000000" w:themeColor="text1"/>
                <w:kern w:val="0"/>
                <w:sz w:val="21"/>
                <w:szCs w:val="22"/>
                <w14:textFill>
                  <w14:solidFill>
                    <w14:schemeClr w14:val="tx1"/>
                  </w14:solidFill>
                </w14:textFill>
              </w:rPr>
            </w:pPr>
            <w:r>
              <w:rPr>
                <w:color w:val="000000" w:themeColor="text1"/>
                <w:kern w:val="0"/>
                <w:sz w:val="21"/>
                <w:szCs w:val="22"/>
                <w14:textFill>
                  <w14:solidFill>
                    <w14:schemeClr w14:val="tx1"/>
                  </w14:solidFill>
                </w14:textFill>
              </w:rPr>
              <w:t>N1</w:t>
            </w:r>
          </w:p>
        </w:tc>
        <w:tc>
          <w:tcPr>
            <w:tcW w:w="3608" w:type="dxa"/>
            <w:vAlign w:val="center"/>
          </w:tcPr>
          <w:p w14:paraId="66622320">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shd w:val="clear" w:color="auto" w:fill="FFFFFF"/>
                <w14:textFill>
                  <w14:solidFill>
                    <w14:schemeClr w14:val="tx1"/>
                  </w14:solidFill>
                </w14:textFill>
              </w:rPr>
              <w:t>厂界东面</w:t>
            </w:r>
          </w:p>
        </w:tc>
        <w:tc>
          <w:tcPr>
            <w:tcW w:w="1874" w:type="dxa"/>
            <w:vAlign w:val="center"/>
          </w:tcPr>
          <w:p w14:paraId="46812859">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shd w:val="clear" w:color="auto" w:fill="FFFFFF"/>
                <w14:textFill>
                  <w14:solidFill>
                    <w14:schemeClr w14:val="tx1"/>
                  </w14:solidFill>
                </w14:textFill>
              </w:rPr>
              <w:t>厂界</w:t>
            </w:r>
          </w:p>
        </w:tc>
        <w:tc>
          <w:tcPr>
            <w:tcW w:w="2187" w:type="dxa"/>
            <w:vAlign w:val="center"/>
          </w:tcPr>
          <w:p w14:paraId="21F737EA">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厂界噪声</w:t>
            </w:r>
          </w:p>
        </w:tc>
      </w:tr>
      <w:tr w14:paraId="11CF927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jc w:val="center"/>
        </w:trPr>
        <w:tc>
          <w:tcPr>
            <w:tcW w:w="1071" w:type="dxa"/>
            <w:vAlign w:val="center"/>
          </w:tcPr>
          <w:p w14:paraId="37FCF1F1">
            <w:pPr>
              <w:adjustRightInd w:val="0"/>
              <w:snapToGrid w:val="0"/>
              <w:spacing w:line="240" w:lineRule="auto"/>
              <w:ind w:firstLine="0" w:firstLineChars="0"/>
              <w:jc w:val="center"/>
              <w:rPr>
                <w:color w:val="000000" w:themeColor="text1"/>
                <w:kern w:val="0"/>
                <w:sz w:val="21"/>
                <w:szCs w:val="22"/>
                <w14:textFill>
                  <w14:solidFill>
                    <w14:schemeClr w14:val="tx1"/>
                  </w14:solidFill>
                </w14:textFill>
              </w:rPr>
            </w:pPr>
            <w:r>
              <w:rPr>
                <w:color w:val="000000" w:themeColor="text1"/>
                <w:kern w:val="0"/>
                <w:sz w:val="21"/>
                <w:szCs w:val="22"/>
                <w14:textFill>
                  <w14:solidFill>
                    <w14:schemeClr w14:val="tx1"/>
                  </w14:solidFill>
                </w14:textFill>
              </w:rPr>
              <w:t>N2</w:t>
            </w:r>
          </w:p>
        </w:tc>
        <w:tc>
          <w:tcPr>
            <w:tcW w:w="3608" w:type="dxa"/>
            <w:vAlign w:val="center"/>
          </w:tcPr>
          <w:p w14:paraId="3161EADA">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shd w:val="clear" w:color="auto" w:fill="FFFFFF"/>
                <w14:textFill>
                  <w14:solidFill>
                    <w14:schemeClr w14:val="tx1"/>
                  </w14:solidFill>
                </w14:textFill>
              </w:rPr>
              <w:t>厂界南面</w:t>
            </w:r>
          </w:p>
        </w:tc>
        <w:tc>
          <w:tcPr>
            <w:tcW w:w="1874" w:type="dxa"/>
            <w:vAlign w:val="center"/>
          </w:tcPr>
          <w:p w14:paraId="4326AC44">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shd w:val="clear" w:color="auto" w:fill="FFFFFF"/>
                <w14:textFill>
                  <w14:solidFill>
                    <w14:schemeClr w14:val="tx1"/>
                  </w14:solidFill>
                </w14:textFill>
              </w:rPr>
              <w:t>厂界</w:t>
            </w:r>
          </w:p>
        </w:tc>
        <w:tc>
          <w:tcPr>
            <w:tcW w:w="2187" w:type="dxa"/>
            <w:vAlign w:val="center"/>
          </w:tcPr>
          <w:p w14:paraId="362ADEDE">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厂界噪声</w:t>
            </w:r>
          </w:p>
        </w:tc>
      </w:tr>
      <w:tr w14:paraId="630C316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jc w:val="center"/>
        </w:trPr>
        <w:tc>
          <w:tcPr>
            <w:tcW w:w="1071" w:type="dxa"/>
            <w:vAlign w:val="center"/>
          </w:tcPr>
          <w:p w14:paraId="372EA4BE">
            <w:pPr>
              <w:adjustRightInd w:val="0"/>
              <w:snapToGrid w:val="0"/>
              <w:spacing w:line="240" w:lineRule="auto"/>
              <w:ind w:firstLine="0" w:firstLineChars="0"/>
              <w:jc w:val="center"/>
              <w:rPr>
                <w:color w:val="000000" w:themeColor="text1"/>
                <w:kern w:val="0"/>
                <w:sz w:val="21"/>
                <w:szCs w:val="22"/>
                <w14:textFill>
                  <w14:solidFill>
                    <w14:schemeClr w14:val="tx1"/>
                  </w14:solidFill>
                </w14:textFill>
              </w:rPr>
            </w:pPr>
            <w:r>
              <w:rPr>
                <w:color w:val="000000" w:themeColor="text1"/>
                <w:kern w:val="0"/>
                <w:sz w:val="21"/>
                <w:szCs w:val="22"/>
                <w14:textFill>
                  <w14:solidFill>
                    <w14:schemeClr w14:val="tx1"/>
                  </w14:solidFill>
                </w14:textFill>
              </w:rPr>
              <w:t>N3</w:t>
            </w:r>
          </w:p>
        </w:tc>
        <w:tc>
          <w:tcPr>
            <w:tcW w:w="3608" w:type="dxa"/>
            <w:vAlign w:val="center"/>
          </w:tcPr>
          <w:p w14:paraId="727DEBD8">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shd w:val="clear" w:color="auto" w:fill="FFFFFF"/>
                <w14:textFill>
                  <w14:solidFill>
                    <w14:schemeClr w14:val="tx1"/>
                  </w14:solidFill>
                </w14:textFill>
              </w:rPr>
              <w:t>厂界西面</w:t>
            </w:r>
          </w:p>
        </w:tc>
        <w:tc>
          <w:tcPr>
            <w:tcW w:w="1874" w:type="dxa"/>
            <w:vAlign w:val="center"/>
          </w:tcPr>
          <w:p w14:paraId="088100CA">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shd w:val="clear" w:color="auto" w:fill="FFFFFF"/>
                <w14:textFill>
                  <w14:solidFill>
                    <w14:schemeClr w14:val="tx1"/>
                  </w14:solidFill>
                </w14:textFill>
              </w:rPr>
              <w:t>厂界</w:t>
            </w:r>
          </w:p>
        </w:tc>
        <w:tc>
          <w:tcPr>
            <w:tcW w:w="2187" w:type="dxa"/>
            <w:vAlign w:val="center"/>
          </w:tcPr>
          <w:p w14:paraId="5D148E9A">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厂界噪声</w:t>
            </w:r>
          </w:p>
        </w:tc>
      </w:tr>
      <w:tr w14:paraId="0C5429F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jc w:val="center"/>
        </w:trPr>
        <w:tc>
          <w:tcPr>
            <w:tcW w:w="1071" w:type="dxa"/>
            <w:vAlign w:val="center"/>
          </w:tcPr>
          <w:p w14:paraId="55491395">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N4</w:t>
            </w:r>
          </w:p>
        </w:tc>
        <w:tc>
          <w:tcPr>
            <w:tcW w:w="3608" w:type="dxa"/>
            <w:vAlign w:val="center"/>
          </w:tcPr>
          <w:p w14:paraId="08C14548">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shd w:val="clear" w:color="auto" w:fill="FFFFFF"/>
                <w14:textFill>
                  <w14:solidFill>
                    <w14:schemeClr w14:val="tx1"/>
                  </w14:solidFill>
                </w14:textFill>
              </w:rPr>
              <w:t>厂界北面</w:t>
            </w:r>
          </w:p>
        </w:tc>
        <w:tc>
          <w:tcPr>
            <w:tcW w:w="1874" w:type="dxa"/>
            <w:vAlign w:val="center"/>
          </w:tcPr>
          <w:p w14:paraId="6D8EC311">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shd w:val="clear" w:color="auto" w:fill="FFFFFF"/>
                <w14:textFill>
                  <w14:solidFill>
                    <w14:schemeClr w14:val="tx1"/>
                  </w14:solidFill>
                </w14:textFill>
              </w:rPr>
              <w:t>厂界</w:t>
            </w:r>
          </w:p>
        </w:tc>
        <w:tc>
          <w:tcPr>
            <w:tcW w:w="2187" w:type="dxa"/>
            <w:vAlign w:val="center"/>
          </w:tcPr>
          <w:p w14:paraId="45AC2477">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厂界噪声</w:t>
            </w:r>
          </w:p>
        </w:tc>
      </w:tr>
    </w:tbl>
    <w:p w14:paraId="28256183">
      <w:pPr>
        <w:pStyle w:val="4"/>
        <w:rPr>
          <w:color w:val="000000" w:themeColor="text1"/>
          <w14:textFill>
            <w14:solidFill>
              <w14:schemeClr w14:val="tx1"/>
            </w14:solidFill>
          </w14:textFill>
        </w:rPr>
      </w:pPr>
      <w:bookmarkStart w:id="602" w:name="_Toc216620551"/>
      <w:bookmarkStart w:id="603" w:name="_Toc136878487"/>
      <w:r>
        <w:rPr>
          <w:color w:val="000000" w:themeColor="text1"/>
          <w14:textFill>
            <w14:solidFill>
              <w14:schemeClr w14:val="tx1"/>
            </w14:solidFill>
          </w14:textFill>
        </w:rPr>
        <w:t>监测因子与监测方法</w:t>
      </w:r>
      <w:bookmarkEnd w:id="602"/>
      <w:bookmarkEnd w:id="603"/>
    </w:p>
    <w:p w14:paraId="40C5FA53">
      <w:pPr>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监测因子：等效连续A声级。</w:t>
      </w:r>
    </w:p>
    <w:p w14:paraId="0B01B27F">
      <w:pPr>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监测方法：按照</w:t>
      </w:r>
      <w:r>
        <w:rPr>
          <w:color w:val="000000" w:themeColor="text1"/>
          <w:u w:val="none"/>
          <w14:textFill>
            <w14:solidFill>
              <w14:schemeClr w14:val="tx1"/>
            </w14:solidFill>
          </w14:textFill>
        </w:rPr>
        <w:t>《</w:t>
      </w:r>
      <w:r>
        <w:rPr>
          <w:rFonts w:hint="eastAsia"/>
          <w:color w:val="000000" w:themeColor="text1"/>
          <w:u w:val="none"/>
          <w:lang w:val="en-US" w:eastAsia="zh-CN"/>
          <w14:textFill>
            <w14:solidFill>
              <w14:schemeClr w14:val="tx1"/>
            </w14:solidFill>
          </w14:textFill>
        </w:rPr>
        <w:t>声环境质量</w:t>
      </w:r>
      <w:r>
        <w:rPr>
          <w:color w:val="000000" w:themeColor="text1"/>
          <w:u w:val="none"/>
          <w14:textFill>
            <w14:solidFill>
              <w14:schemeClr w14:val="tx1"/>
            </w14:solidFill>
          </w14:textFill>
        </w:rPr>
        <w:t>标准》（GB</w:t>
      </w:r>
      <w:r>
        <w:rPr>
          <w:rFonts w:hint="eastAsia"/>
          <w:color w:val="000000" w:themeColor="text1"/>
          <w:u w:val="none"/>
          <w:lang w:val="en-US" w:eastAsia="zh-CN"/>
          <w14:textFill>
            <w14:solidFill>
              <w14:schemeClr w14:val="tx1"/>
            </w14:solidFill>
          </w14:textFill>
        </w:rPr>
        <w:t>/T15190</w:t>
      </w:r>
      <w:r>
        <w:rPr>
          <w:color w:val="000000" w:themeColor="text1"/>
          <w:u w:val="none"/>
          <w14:textFill>
            <w14:solidFill>
              <w14:schemeClr w14:val="tx1"/>
            </w14:solidFill>
          </w14:textFill>
        </w:rPr>
        <w:t>-20</w:t>
      </w:r>
      <w:r>
        <w:rPr>
          <w:rFonts w:hint="eastAsia"/>
          <w:color w:val="000000" w:themeColor="text1"/>
          <w:u w:val="none"/>
          <w:lang w:val="en-US" w:eastAsia="zh-CN"/>
          <w14:textFill>
            <w14:solidFill>
              <w14:schemeClr w14:val="tx1"/>
            </w14:solidFill>
          </w14:textFill>
        </w:rPr>
        <w:t>14</w:t>
      </w:r>
      <w:r>
        <w:rPr>
          <w:color w:val="000000" w:themeColor="text1"/>
          <w:u w:val="none"/>
          <w14:textFill>
            <w14:solidFill>
              <w14:schemeClr w14:val="tx1"/>
            </w14:solidFill>
          </w14:textFill>
        </w:rPr>
        <w:t>）</w:t>
      </w:r>
      <w:r>
        <w:rPr>
          <w:color w:val="000000" w:themeColor="text1"/>
          <w:kern w:val="0"/>
          <w:szCs w:val="22"/>
          <w14:textFill>
            <w14:solidFill>
              <w14:schemeClr w14:val="tx1"/>
            </w14:solidFill>
          </w14:textFill>
        </w:rPr>
        <w:t>进行。</w:t>
      </w:r>
    </w:p>
    <w:p w14:paraId="23FACBF3">
      <w:pPr>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监测环境及条件：监测时无雨、无雷电、风速小于5m/s，以避开突发噪声源。</w:t>
      </w:r>
    </w:p>
    <w:p w14:paraId="3B6F231B">
      <w:pPr>
        <w:pStyle w:val="4"/>
        <w:rPr>
          <w:color w:val="000000" w:themeColor="text1"/>
          <w14:textFill>
            <w14:solidFill>
              <w14:schemeClr w14:val="tx1"/>
            </w14:solidFill>
          </w14:textFill>
        </w:rPr>
      </w:pPr>
      <w:bookmarkStart w:id="604" w:name="_Toc216620552"/>
      <w:bookmarkStart w:id="605" w:name="_Toc136878488"/>
      <w:r>
        <w:rPr>
          <w:color w:val="000000" w:themeColor="text1"/>
          <w14:textFill>
            <w14:solidFill>
              <w14:schemeClr w14:val="tx1"/>
            </w14:solidFill>
          </w14:textFill>
        </w:rPr>
        <w:t>监测时间和监测频次</w:t>
      </w:r>
      <w:bookmarkEnd w:id="604"/>
      <w:bookmarkEnd w:id="605"/>
    </w:p>
    <w:p w14:paraId="1DF5270E">
      <w:pPr>
        <w:ind w:firstLine="480"/>
        <w:rPr>
          <w:color w:val="000000" w:themeColor="text1"/>
          <w:kern w:val="0"/>
          <w:szCs w:val="22"/>
          <w14:textFill>
            <w14:solidFill>
              <w14:schemeClr w14:val="tx1"/>
            </w14:solidFill>
          </w14:textFill>
        </w:rPr>
      </w:pPr>
      <w:bookmarkStart w:id="606" w:name="_Toc136878489"/>
      <w:r>
        <w:rPr>
          <w:rFonts w:hint="eastAsia"/>
          <w:color w:val="000000" w:themeColor="text1"/>
          <w:kern w:val="0"/>
          <w:szCs w:val="22"/>
          <w14:textFill>
            <w14:solidFill>
              <w14:schemeClr w14:val="tx1"/>
            </w14:solidFill>
          </w14:textFill>
        </w:rPr>
        <w:t>监测时间为2025年1</w:t>
      </w:r>
      <w:r>
        <w:rPr>
          <w:rFonts w:hint="eastAsia"/>
          <w:color w:val="000000" w:themeColor="text1"/>
          <w:kern w:val="0"/>
          <w:szCs w:val="22"/>
          <w:lang w:val="en-US" w:eastAsia="zh-CN"/>
          <w14:textFill>
            <w14:solidFill>
              <w14:schemeClr w14:val="tx1"/>
            </w14:solidFill>
          </w14:textFill>
        </w:rPr>
        <w:t>0</w:t>
      </w:r>
      <w:r>
        <w:rPr>
          <w:rFonts w:hint="eastAsia"/>
          <w:color w:val="000000" w:themeColor="text1"/>
          <w:kern w:val="0"/>
          <w:szCs w:val="22"/>
          <w14:textFill>
            <w14:solidFill>
              <w14:schemeClr w14:val="tx1"/>
            </w14:solidFill>
          </w14:textFill>
        </w:rPr>
        <w:t>月</w:t>
      </w:r>
      <w:r>
        <w:rPr>
          <w:rFonts w:hint="eastAsia"/>
          <w:color w:val="000000" w:themeColor="text1"/>
          <w:kern w:val="0"/>
          <w:szCs w:val="22"/>
          <w:lang w:val="en-US" w:eastAsia="zh-CN"/>
          <w14:textFill>
            <w14:solidFill>
              <w14:schemeClr w14:val="tx1"/>
            </w14:solidFill>
          </w14:textFill>
        </w:rPr>
        <w:t>15</w:t>
      </w:r>
      <w:r>
        <w:rPr>
          <w:rFonts w:hint="eastAsia"/>
          <w:color w:val="000000" w:themeColor="text1"/>
          <w:kern w:val="0"/>
          <w:szCs w:val="22"/>
          <w14:textFill>
            <w14:solidFill>
              <w14:schemeClr w14:val="tx1"/>
            </w14:solidFill>
          </w14:textFill>
        </w:rPr>
        <w:t>日~</w:t>
      </w:r>
      <w:r>
        <w:rPr>
          <w:rFonts w:hint="eastAsia"/>
          <w:color w:val="000000" w:themeColor="text1"/>
          <w:kern w:val="0"/>
          <w:szCs w:val="22"/>
          <w:lang w:val="en-US" w:eastAsia="zh-CN"/>
          <w14:textFill>
            <w14:solidFill>
              <w14:schemeClr w14:val="tx1"/>
            </w14:solidFill>
          </w14:textFill>
        </w:rPr>
        <w:t>16</w:t>
      </w:r>
      <w:r>
        <w:rPr>
          <w:rFonts w:hint="eastAsia"/>
          <w:color w:val="000000" w:themeColor="text1"/>
          <w:kern w:val="0"/>
          <w:szCs w:val="22"/>
          <w14:textFill>
            <w14:solidFill>
              <w14:schemeClr w14:val="tx1"/>
            </w14:solidFill>
          </w14:textFill>
        </w:rPr>
        <w:t>日，</w:t>
      </w:r>
      <w:r>
        <w:rPr>
          <w:color w:val="000000" w:themeColor="text1"/>
          <w:kern w:val="0"/>
          <w:szCs w:val="22"/>
          <w14:textFill>
            <w14:solidFill>
              <w14:schemeClr w14:val="tx1"/>
            </w14:solidFill>
          </w14:textFill>
        </w:rPr>
        <w:t>连续监测2天，每天昼间（6:00-22:00）和夜间（22:00-6:00）各1次。</w:t>
      </w:r>
    </w:p>
    <w:p w14:paraId="766A4837">
      <w:pPr>
        <w:pStyle w:val="4"/>
        <w:rPr>
          <w:color w:val="000000" w:themeColor="text1"/>
          <w14:textFill>
            <w14:solidFill>
              <w14:schemeClr w14:val="tx1"/>
            </w14:solidFill>
          </w14:textFill>
        </w:rPr>
      </w:pPr>
      <w:bookmarkStart w:id="607" w:name="_Toc216620553"/>
      <w:r>
        <w:rPr>
          <w:color w:val="000000" w:themeColor="text1"/>
          <w14:textFill>
            <w14:solidFill>
              <w14:schemeClr w14:val="tx1"/>
            </w14:solidFill>
          </w14:textFill>
        </w:rPr>
        <w:t>评价标准</w:t>
      </w:r>
      <w:bookmarkEnd w:id="606"/>
      <w:bookmarkEnd w:id="607"/>
    </w:p>
    <w:p w14:paraId="2B241945">
      <w:pPr>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本项目位于工业区内，根据</w:t>
      </w:r>
      <w:r>
        <w:rPr>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钦州市中心城区声环境功能区划</w:t>
      </w:r>
      <w:r>
        <w:rPr>
          <w:color w:val="000000" w:themeColor="text1"/>
          <w14:textFill>
            <w14:solidFill>
              <w14:schemeClr w14:val="tx1"/>
            </w14:solidFill>
          </w14:textFill>
        </w:rPr>
        <w:t>》</w:t>
      </w:r>
      <w:r>
        <w:rPr>
          <w:color w:val="000000" w:themeColor="text1"/>
          <w:kern w:val="0"/>
          <w:szCs w:val="22"/>
          <w14:textFill>
            <w14:solidFill>
              <w14:schemeClr w14:val="tx1"/>
            </w14:solidFill>
          </w14:textFill>
        </w:rPr>
        <w:t>划分为3类声功能区，执行</w:t>
      </w:r>
      <w:r>
        <w:rPr>
          <w:color w:val="000000" w:themeColor="text1"/>
          <w:u w:val="none"/>
          <w14:textFill>
            <w14:solidFill>
              <w14:schemeClr w14:val="tx1"/>
            </w14:solidFill>
          </w14:textFill>
        </w:rPr>
        <w:t>《</w:t>
      </w:r>
      <w:r>
        <w:rPr>
          <w:rFonts w:hint="eastAsia"/>
          <w:color w:val="000000" w:themeColor="text1"/>
          <w:u w:val="none"/>
          <w:lang w:val="en-US" w:eastAsia="zh-CN"/>
          <w14:textFill>
            <w14:solidFill>
              <w14:schemeClr w14:val="tx1"/>
            </w14:solidFill>
          </w14:textFill>
        </w:rPr>
        <w:t>声环境质量</w:t>
      </w:r>
      <w:r>
        <w:rPr>
          <w:color w:val="000000" w:themeColor="text1"/>
          <w:u w:val="none"/>
          <w14:textFill>
            <w14:solidFill>
              <w14:schemeClr w14:val="tx1"/>
            </w14:solidFill>
          </w14:textFill>
        </w:rPr>
        <w:t>标准》（GB</w:t>
      </w:r>
      <w:r>
        <w:rPr>
          <w:rFonts w:hint="eastAsia"/>
          <w:color w:val="000000" w:themeColor="text1"/>
          <w:u w:val="none"/>
          <w:lang w:val="en-US" w:eastAsia="zh-CN"/>
          <w14:textFill>
            <w14:solidFill>
              <w14:schemeClr w14:val="tx1"/>
            </w14:solidFill>
          </w14:textFill>
        </w:rPr>
        <w:t>/T15190</w:t>
      </w:r>
      <w:r>
        <w:rPr>
          <w:color w:val="000000" w:themeColor="text1"/>
          <w:u w:val="none"/>
          <w14:textFill>
            <w14:solidFill>
              <w14:schemeClr w14:val="tx1"/>
            </w14:solidFill>
          </w14:textFill>
        </w:rPr>
        <w:t>-20</w:t>
      </w:r>
      <w:r>
        <w:rPr>
          <w:rFonts w:hint="eastAsia"/>
          <w:color w:val="000000" w:themeColor="text1"/>
          <w:u w:val="none"/>
          <w:lang w:val="en-US" w:eastAsia="zh-CN"/>
          <w14:textFill>
            <w14:solidFill>
              <w14:schemeClr w14:val="tx1"/>
            </w14:solidFill>
          </w14:textFill>
        </w:rPr>
        <w:t>14</w:t>
      </w:r>
      <w:r>
        <w:rPr>
          <w:color w:val="000000" w:themeColor="text1"/>
          <w:u w:val="none"/>
          <w14:textFill>
            <w14:solidFill>
              <w14:schemeClr w14:val="tx1"/>
            </w14:solidFill>
          </w14:textFill>
        </w:rPr>
        <w:t>）</w:t>
      </w:r>
      <w:r>
        <w:rPr>
          <w:color w:val="000000" w:themeColor="text1"/>
          <w:kern w:val="0"/>
          <w:szCs w:val="22"/>
          <w14:textFill>
            <w14:solidFill>
              <w14:schemeClr w14:val="tx1"/>
            </w14:solidFill>
          </w14:textFill>
        </w:rPr>
        <w:t>3类标准（昼间65 dB(A)，夜间55 dB(A)）。</w:t>
      </w:r>
    </w:p>
    <w:p w14:paraId="450BDBC8">
      <w:pPr>
        <w:pStyle w:val="4"/>
        <w:rPr>
          <w:color w:val="000000" w:themeColor="text1"/>
          <w14:textFill>
            <w14:solidFill>
              <w14:schemeClr w14:val="tx1"/>
            </w14:solidFill>
          </w14:textFill>
        </w:rPr>
      </w:pPr>
      <w:bookmarkStart w:id="608" w:name="_Toc216620554"/>
      <w:bookmarkStart w:id="609" w:name="_Toc136878490"/>
      <w:r>
        <w:rPr>
          <w:color w:val="000000" w:themeColor="text1"/>
          <w14:textFill>
            <w14:solidFill>
              <w14:schemeClr w14:val="tx1"/>
            </w14:solidFill>
          </w14:textFill>
        </w:rPr>
        <w:t>监测结果及评价</w:t>
      </w:r>
      <w:bookmarkEnd w:id="608"/>
      <w:bookmarkEnd w:id="609"/>
    </w:p>
    <w:p w14:paraId="6A6FF725">
      <w:pPr>
        <w:ind w:firstLine="480" w:firstLineChars="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噪声监测与评价结果见表3.5-2。</w:t>
      </w:r>
    </w:p>
    <w:p w14:paraId="7BC21483">
      <w:pPr>
        <w:ind w:firstLine="480"/>
        <w:rPr>
          <w:color w:val="000000" w:themeColor="text1"/>
          <w:kern w:val="0"/>
          <w:szCs w:val="22"/>
          <w14:textFill>
            <w14:solidFill>
              <w14:schemeClr w14:val="tx1"/>
            </w14:solidFill>
          </w14:textFill>
        </w:rPr>
      </w:pPr>
      <w:r>
        <w:rPr>
          <w:color w:val="000000" w:themeColor="text1"/>
          <w:kern w:val="0"/>
          <w:szCs w:val="22"/>
          <w14:textFill>
            <w14:solidFill>
              <w14:schemeClr w14:val="tx1"/>
            </w14:solidFill>
          </w14:textFill>
        </w:rPr>
        <w:t>由表3.5-2可知，本项目厂界噪声监测点的昼间、夜间监测值均达到</w:t>
      </w:r>
      <w:r>
        <w:rPr>
          <w:color w:val="000000" w:themeColor="text1"/>
          <w:u w:val="none"/>
          <w14:textFill>
            <w14:solidFill>
              <w14:schemeClr w14:val="tx1"/>
            </w14:solidFill>
          </w14:textFill>
        </w:rPr>
        <w:t>《</w:t>
      </w:r>
      <w:r>
        <w:rPr>
          <w:rFonts w:hint="eastAsia"/>
          <w:color w:val="000000" w:themeColor="text1"/>
          <w:u w:val="none"/>
          <w:lang w:val="en-US" w:eastAsia="zh-CN"/>
          <w14:textFill>
            <w14:solidFill>
              <w14:schemeClr w14:val="tx1"/>
            </w14:solidFill>
          </w14:textFill>
        </w:rPr>
        <w:t>声环境质量</w:t>
      </w:r>
      <w:r>
        <w:rPr>
          <w:color w:val="000000" w:themeColor="text1"/>
          <w:u w:val="none"/>
          <w14:textFill>
            <w14:solidFill>
              <w14:schemeClr w14:val="tx1"/>
            </w14:solidFill>
          </w14:textFill>
        </w:rPr>
        <w:t>标准》（GB</w:t>
      </w:r>
      <w:r>
        <w:rPr>
          <w:rFonts w:hint="eastAsia"/>
          <w:color w:val="000000" w:themeColor="text1"/>
          <w:u w:val="none"/>
          <w:lang w:val="en-US" w:eastAsia="zh-CN"/>
          <w14:textFill>
            <w14:solidFill>
              <w14:schemeClr w14:val="tx1"/>
            </w14:solidFill>
          </w14:textFill>
        </w:rPr>
        <w:t>/T15190</w:t>
      </w:r>
      <w:r>
        <w:rPr>
          <w:color w:val="000000" w:themeColor="text1"/>
          <w:u w:val="none"/>
          <w14:textFill>
            <w14:solidFill>
              <w14:schemeClr w14:val="tx1"/>
            </w14:solidFill>
          </w14:textFill>
        </w:rPr>
        <w:t>-20</w:t>
      </w:r>
      <w:r>
        <w:rPr>
          <w:rFonts w:hint="eastAsia"/>
          <w:color w:val="000000" w:themeColor="text1"/>
          <w:u w:val="none"/>
          <w:lang w:val="en-US" w:eastAsia="zh-CN"/>
          <w14:textFill>
            <w14:solidFill>
              <w14:schemeClr w14:val="tx1"/>
            </w14:solidFill>
          </w14:textFill>
        </w:rPr>
        <w:t>14</w:t>
      </w:r>
      <w:r>
        <w:rPr>
          <w:color w:val="000000" w:themeColor="text1"/>
          <w:u w:val="none"/>
          <w14:textFill>
            <w14:solidFill>
              <w14:schemeClr w14:val="tx1"/>
            </w14:solidFill>
          </w14:textFill>
        </w:rPr>
        <w:t>）</w:t>
      </w:r>
      <w:r>
        <w:rPr>
          <w:color w:val="000000" w:themeColor="text1"/>
          <w:kern w:val="0"/>
          <w:szCs w:val="22"/>
          <w14:textFill>
            <w14:solidFill>
              <w14:schemeClr w14:val="tx1"/>
            </w14:solidFill>
          </w14:textFill>
        </w:rPr>
        <w:t>中3类标准，无超标现象。</w:t>
      </w:r>
    </w:p>
    <w:p w14:paraId="36CFB52F">
      <w:pPr>
        <w:pStyle w:val="41"/>
        <w:ind w:firstLine="240"/>
        <w:rPr>
          <w:color w:val="000000" w:themeColor="text1"/>
          <w14:textFill>
            <w14:solidFill>
              <w14:schemeClr w14:val="tx1"/>
            </w14:solidFill>
          </w14:textFill>
        </w:rPr>
      </w:pPr>
    </w:p>
    <w:p w14:paraId="7242329C">
      <w:pPr>
        <w:pStyle w:val="42"/>
        <w:ind w:left="480" w:firstLine="480"/>
        <w:rPr>
          <w:color w:val="000000" w:themeColor="text1"/>
          <w14:textFill>
            <w14:solidFill>
              <w14:schemeClr w14:val="tx1"/>
            </w14:solidFill>
          </w14:textFill>
        </w:rPr>
      </w:pPr>
    </w:p>
    <w:p w14:paraId="11817C12">
      <w:pPr>
        <w:ind w:firstLine="480"/>
        <w:rPr>
          <w:color w:val="000000" w:themeColor="text1"/>
          <w14:textFill>
            <w14:solidFill>
              <w14:schemeClr w14:val="tx1"/>
            </w14:solidFill>
          </w14:textFill>
        </w:rPr>
      </w:pPr>
    </w:p>
    <w:p w14:paraId="623D24EE">
      <w:pPr>
        <w:pStyle w:val="7"/>
        <w:rPr>
          <w:color w:val="000000" w:themeColor="text1"/>
          <w14:textFill>
            <w14:solidFill>
              <w14:schemeClr w14:val="tx1"/>
            </w14:solidFill>
          </w14:textFill>
        </w:rPr>
      </w:pPr>
      <w:r>
        <w:rPr>
          <w:color w:val="000000" w:themeColor="text1"/>
          <w14:textFill>
            <w14:solidFill>
              <w14:schemeClr w14:val="tx1"/>
            </w14:solidFill>
          </w14:textFill>
        </w:rPr>
        <w:t>噪声监测结果及评价（单位：dB(A)）</w:t>
      </w:r>
    </w:p>
    <w:tbl>
      <w:tblPr>
        <w:tblStyle w:val="72"/>
        <w:tblW w:w="5012"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515"/>
        <w:gridCol w:w="1018"/>
        <w:gridCol w:w="506"/>
        <w:gridCol w:w="508"/>
        <w:gridCol w:w="637"/>
        <w:gridCol w:w="889"/>
        <w:gridCol w:w="506"/>
        <w:gridCol w:w="766"/>
        <w:gridCol w:w="506"/>
        <w:gridCol w:w="891"/>
        <w:gridCol w:w="759"/>
        <w:gridCol w:w="855"/>
      </w:tblGrid>
      <w:tr w14:paraId="2475CE8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48" w:hRule="atLeast"/>
        </w:trPr>
        <w:tc>
          <w:tcPr>
            <w:tcW w:w="308" w:type="pct"/>
            <w:vMerge w:val="restart"/>
            <w:tcBorders>
              <w:top w:val="single" w:color="000000" w:sz="12" w:space="0"/>
              <w:left w:val="single" w:color="000000" w:sz="12" w:space="0"/>
              <w:bottom w:val="single" w:color="000000" w:sz="4" w:space="0"/>
            </w:tcBorders>
          </w:tcPr>
          <w:p w14:paraId="0DE37203">
            <w:pPr>
              <w:autoSpaceDE w:val="0"/>
              <w:autoSpaceDN w:val="0"/>
              <w:adjustRightInd w:val="0"/>
              <w:snapToGrid w:val="0"/>
              <w:spacing w:line="300" w:lineRule="exact"/>
              <w:ind w:firstLine="0" w:firstLineChars="0"/>
              <w:jc w:val="center"/>
              <w:rPr>
                <w:rFonts w:asciiTheme="minorHAnsi" w:hAnsiTheme="minorHAnsi" w:eastAsiaTheme="minorEastAsia" w:cstheme="minorBidi"/>
                <w:b/>
                <w:bCs/>
                <w:color w:val="000000" w:themeColor="text1"/>
                <w:kern w:val="0"/>
                <w:sz w:val="21"/>
                <w:szCs w:val="22"/>
                <w:lang w:eastAsia="zh-CN"/>
                <w14:textFill>
                  <w14:solidFill>
                    <w14:schemeClr w14:val="tx1"/>
                  </w14:solidFill>
                </w14:textFill>
              </w:rPr>
            </w:pPr>
            <w:bookmarkStart w:id="610" w:name="_Toc136878491"/>
            <w:bookmarkStart w:id="611" w:name="_Toc135090232"/>
            <w:bookmarkStart w:id="612" w:name="_Toc25436977"/>
            <w:bookmarkStart w:id="613" w:name="_Toc29131835"/>
            <w:bookmarkStart w:id="614" w:name="_Toc26910022"/>
          </w:p>
          <w:p w14:paraId="009D4BB9">
            <w:pPr>
              <w:autoSpaceDE w:val="0"/>
              <w:autoSpaceDN w:val="0"/>
              <w:adjustRightInd w:val="0"/>
              <w:snapToGrid w:val="0"/>
              <w:spacing w:line="300" w:lineRule="exact"/>
              <w:ind w:firstLine="0" w:firstLineChars="0"/>
              <w:jc w:val="center"/>
              <w:rPr>
                <w:rFonts w:asciiTheme="minorHAnsi" w:hAnsiTheme="minorHAnsi" w:eastAsiaTheme="minorEastAsia" w:cstheme="minorBidi"/>
                <w:b/>
                <w:bCs/>
                <w:color w:val="000000" w:themeColor="text1"/>
                <w:kern w:val="0"/>
                <w:sz w:val="21"/>
                <w:szCs w:val="22"/>
                <w:lang w:eastAsia="en-US"/>
                <w14:textFill>
                  <w14:solidFill>
                    <w14:schemeClr w14:val="tx1"/>
                  </w14:solidFill>
                </w14:textFill>
              </w:rPr>
            </w:pPr>
            <w:r>
              <w:rPr>
                <w:rFonts w:asciiTheme="minorHAnsi" w:hAnsiTheme="minorHAnsi" w:eastAsiaTheme="minorEastAsia" w:cstheme="minorBidi"/>
                <w:b/>
                <w:bCs/>
                <w:color w:val="000000" w:themeColor="text1"/>
                <w:kern w:val="0"/>
                <w:sz w:val="21"/>
                <w:szCs w:val="22"/>
                <w:lang w:eastAsia="en-US"/>
                <w14:textFill>
                  <w14:solidFill>
                    <w14:schemeClr w14:val="tx1"/>
                  </w14:solidFill>
                </w14:textFill>
              </w:rPr>
              <w:t>编号</w:t>
            </w:r>
          </w:p>
        </w:tc>
        <w:tc>
          <w:tcPr>
            <w:tcW w:w="609" w:type="pct"/>
            <w:vMerge w:val="restart"/>
            <w:tcBorders>
              <w:top w:val="single" w:color="000000" w:sz="12" w:space="0"/>
              <w:bottom w:val="single" w:color="000000" w:sz="4" w:space="0"/>
            </w:tcBorders>
          </w:tcPr>
          <w:p w14:paraId="2B346071">
            <w:pPr>
              <w:autoSpaceDE w:val="0"/>
              <w:autoSpaceDN w:val="0"/>
              <w:adjustRightInd w:val="0"/>
              <w:snapToGrid w:val="0"/>
              <w:spacing w:line="300" w:lineRule="exact"/>
              <w:ind w:firstLine="0" w:firstLineChars="0"/>
              <w:jc w:val="center"/>
              <w:rPr>
                <w:rFonts w:asciiTheme="minorHAnsi" w:hAnsiTheme="minorHAnsi" w:eastAsiaTheme="minorEastAsia" w:cstheme="minorBidi"/>
                <w:b/>
                <w:bCs/>
                <w:color w:val="000000" w:themeColor="text1"/>
                <w:kern w:val="0"/>
                <w:sz w:val="21"/>
                <w:szCs w:val="22"/>
                <w:lang w:eastAsia="en-US"/>
                <w14:textFill>
                  <w14:solidFill>
                    <w14:schemeClr w14:val="tx1"/>
                  </w14:solidFill>
                </w14:textFill>
              </w:rPr>
            </w:pPr>
          </w:p>
          <w:p w14:paraId="2C1FA9A4">
            <w:pPr>
              <w:autoSpaceDE w:val="0"/>
              <w:autoSpaceDN w:val="0"/>
              <w:adjustRightInd w:val="0"/>
              <w:snapToGrid w:val="0"/>
              <w:spacing w:line="300" w:lineRule="exact"/>
              <w:ind w:firstLine="0" w:firstLineChars="0"/>
              <w:jc w:val="center"/>
              <w:rPr>
                <w:rFonts w:asciiTheme="minorHAnsi" w:hAnsiTheme="minorHAnsi" w:eastAsiaTheme="minorEastAsia" w:cstheme="minorBidi"/>
                <w:b/>
                <w:bCs/>
                <w:color w:val="000000" w:themeColor="text1"/>
                <w:kern w:val="0"/>
                <w:sz w:val="21"/>
                <w:szCs w:val="22"/>
                <w:lang w:eastAsia="en-US"/>
                <w14:textFill>
                  <w14:solidFill>
                    <w14:schemeClr w14:val="tx1"/>
                  </w14:solidFill>
                </w14:textFill>
              </w:rPr>
            </w:pPr>
            <w:r>
              <w:rPr>
                <w:rFonts w:asciiTheme="minorHAnsi" w:hAnsiTheme="minorHAnsi" w:eastAsiaTheme="minorEastAsia" w:cstheme="minorBidi"/>
                <w:b/>
                <w:bCs/>
                <w:color w:val="000000" w:themeColor="text1"/>
                <w:kern w:val="0"/>
                <w:sz w:val="21"/>
                <w:szCs w:val="22"/>
                <w:lang w:eastAsia="en-US"/>
                <w14:textFill>
                  <w14:solidFill>
                    <w14:schemeClr w14:val="tx1"/>
                  </w14:solidFill>
                </w14:textFill>
              </w:rPr>
              <w:t>监测点位</w:t>
            </w:r>
          </w:p>
        </w:tc>
        <w:tc>
          <w:tcPr>
            <w:tcW w:w="607" w:type="pct"/>
            <w:gridSpan w:val="2"/>
            <w:vMerge w:val="restart"/>
            <w:tcBorders>
              <w:top w:val="single" w:color="000000" w:sz="12" w:space="0"/>
              <w:bottom w:val="single" w:color="000000" w:sz="4" w:space="0"/>
            </w:tcBorders>
          </w:tcPr>
          <w:p w14:paraId="2E93E087">
            <w:pPr>
              <w:autoSpaceDE w:val="0"/>
              <w:autoSpaceDN w:val="0"/>
              <w:adjustRightInd w:val="0"/>
              <w:snapToGrid w:val="0"/>
              <w:spacing w:line="300" w:lineRule="exact"/>
              <w:ind w:firstLine="0" w:firstLineChars="0"/>
              <w:jc w:val="center"/>
              <w:rPr>
                <w:rFonts w:asciiTheme="minorHAnsi" w:hAnsiTheme="minorHAnsi" w:eastAsiaTheme="minorEastAsia" w:cstheme="minorBidi"/>
                <w:b/>
                <w:bCs/>
                <w:color w:val="000000" w:themeColor="text1"/>
                <w:kern w:val="0"/>
                <w:sz w:val="21"/>
                <w:szCs w:val="22"/>
                <w:lang w:eastAsia="en-US"/>
                <w14:textFill>
                  <w14:solidFill>
                    <w14:schemeClr w14:val="tx1"/>
                  </w14:solidFill>
                </w14:textFill>
              </w:rPr>
            </w:pPr>
            <w:r>
              <w:rPr>
                <w:rFonts w:asciiTheme="minorHAnsi" w:hAnsiTheme="minorHAnsi" w:eastAsiaTheme="minorEastAsia" w:cstheme="minorBidi"/>
                <w:b/>
                <w:bCs/>
                <w:color w:val="000000" w:themeColor="text1"/>
                <w:kern w:val="0"/>
                <w:sz w:val="21"/>
                <w:szCs w:val="22"/>
                <w:lang w:eastAsia="en-US"/>
                <w14:textFill>
                  <w14:solidFill>
                    <w14:schemeClr w14:val="tx1"/>
                  </w14:solidFill>
                </w14:textFill>
              </w:rPr>
              <w:t>标准</w:t>
            </w:r>
          </w:p>
        </w:tc>
        <w:tc>
          <w:tcPr>
            <w:tcW w:w="3475" w:type="pct"/>
            <w:gridSpan w:val="8"/>
            <w:tcBorders>
              <w:top w:val="single" w:color="000000" w:sz="12" w:space="0"/>
              <w:bottom w:val="single" w:color="000000" w:sz="4" w:space="0"/>
              <w:right w:val="single" w:color="000000" w:sz="12" w:space="0"/>
            </w:tcBorders>
          </w:tcPr>
          <w:p w14:paraId="48E73B32">
            <w:pPr>
              <w:autoSpaceDE w:val="0"/>
              <w:autoSpaceDN w:val="0"/>
              <w:adjustRightInd w:val="0"/>
              <w:snapToGrid w:val="0"/>
              <w:spacing w:line="300" w:lineRule="exact"/>
              <w:ind w:firstLine="0" w:firstLineChars="0"/>
              <w:jc w:val="center"/>
              <w:rPr>
                <w:rFonts w:asciiTheme="minorHAnsi" w:hAnsiTheme="minorHAnsi" w:eastAsiaTheme="minorEastAsia" w:cstheme="minorBidi"/>
                <w:b/>
                <w:bCs/>
                <w:color w:val="000000" w:themeColor="text1"/>
                <w:kern w:val="0"/>
                <w:sz w:val="21"/>
                <w:szCs w:val="22"/>
                <w:lang w:eastAsia="en-US"/>
                <w14:textFill>
                  <w14:solidFill>
                    <w14:schemeClr w14:val="tx1"/>
                  </w14:solidFill>
                </w14:textFill>
              </w:rPr>
            </w:pPr>
            <w:r>
              <w:rPr>
                <w:rFonts w:asciiTheme="minorHAnsi" w:hAnsiTheme="minorHAnsi" w:eastAsiaTheme="minorEastAsia" w:cstheme="minorBidi"/>
                <w:b/>
                <w:bCs/>
                <w:color w:val="000000" w:themeColor="text1"/>
                <w:kern w:val="0"/>
                <w:sz w:val="21"/>
                <w:szCs w:val="22"/>
                <w:lang w:eastAsia="en-US"/>
                <w14:textFill>
                  <w14:solidFill>
                    <w14:schemeClr w14:val="tx1"/>
                  </w14:solidFill>
                </w14:textFill>
              </w:rPr>
              <w:t>监测时间</w:t>
            </w:r>
          </w:p>
        </w:tc>
      </w:tr>
      <w:tr w14:paraId="08438ED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44" w:hRule="atLeast"/>
        </w:trPr>
        <w:tc>
          <w:tcPr>
            <w:tcW w:w="308" w:type="pct"/>
            <w:vMerge w:val="continue"/>
            <w:tcBorders>
              <w:top w:val="single" w:color="000000" w:sz="4" w:space="0"/>
              <w:left w:val="single" w:color="000000" w:sz="12" w:space="0"/>
              <w:bottom w:val="single" w:color="000000" w:sz="4" w:space="0"/>
            </w:tcBorders>
          </w:tcPr>
          <w:p w14:paraId="5137B2CA">
            <w:pPr>
              <w:autoSpaceDE w:val="0"/>
              <w:autoSpaceDN w:val="0"/>
              <w:adjustRightInd w:val="0"/>
              <w:snapToGrid w:val="0"/>
              <w:spacing w:line="300" w:lineRule="exact"/>
              <w:ind w:firstLine="0" w:firstLineChars="0"/>
              <w:jc w:val="center"/>
              <w:rPr>
                <w:rFonts w:asciiTheme="minorHAnsi" w:hAnsiTheme="minorHAnsi" w:eastAsiaTheme="minorEastAsia" w:cstheme="minorBidi"/>
                <w:b/>
                <w:bCs/>
                <w:color w:val="000000" w:themeColor="text1"/>
                <w:kern w:val="0"/>
                <w:sz w:val="21"/>
                <w:szCs w:val="22"/>
                <w:lang w:eastAsia="en-US"/>
                <w14:textFill>
                  <w14:solidFill>
                    <w14:schemeClr w14:val="tx1"/>
                  </w14:solidFill>
                </w14:textFill>
              </w:rPr>
            </w:pPr>
          </w:p>
        </w:tc>
        <w:tc>
          <w:tcPr>
            <w:tcW w:w="609" w:type="pct"/>
            <w:vMerge w:val="continue"/>
            <w:tcBorders>
              <w:top w:val="single" w:color="000000" w:sz="4" w:space="0"/>
              <w:bottom w:val="single" w:color="000000" w:sz="4" w:space="0"/>
            </w:tcBorders>
          </w:tcPr>
          <w:p w14:paraId="68949992">
            <w:pPr>
              <w:autoSpaceDE w:val="0"/>
              <w:autoSpaceDN w:val="0"/>
              <w:adjustRightInd w:val="0"/>
              <w:snapToGrid w:val="0"/>
              <w:spacing w:line="300" w:lineRule="exact"/>
              <w:ind w:firstLine="0" w:firstLineChars="0"/>
              <w:jc w:val="center"/>
              <w:rPr>
                <w:rFonts w:asciiTheme="minorHAnsi" w:hAnsiTheme="minorHAnsi" w:eastAsiaTheme="minorEastAsia" w:cstheme="minorBidi"/>
                <w:b/>
                <w:bCs/>
                <w:color w:val="000000" w:themeColor="text1"/>
                <w:kern w:val="0"/>
                <w:sz w:val="21"/>
                <w:szCs w:val="22"/>
                <w:lang w:eastAsia="en-US"/>
                <w14:textFill>
                  <w14:solidFill>
                    <w14:schemeClr w14:val="tx1"/>
                  </w14:solidFill>
                </w14:textFill>
              </w:rPr>
            </w:pPr>
          </w:p>
        </w:tc>
        <w:tc>
          <w:tcPr>
            <w:tcW w:w="607" w:type="pct"/>
            <w:gridSpan w:val="2"/>
            <w:vMerge w:val="continue"/>
            <w:tcBorders>
              <w:top w:val="single" w:color="000000" w:sz="4" w:space="0"/>
              <w:bottom w:val="single" w:color="000000" w:sz="4" w:space="0"/>
            </w:tcBorders>
          </w:tcPr>
          <w:p w14:paraId="5307D197">
            <w:pPr>
              <w:autoSpaceDE w:val="0"/>
              <w:autoSpaceDN w:val="0"/>
              <w:adjustRightInd w:val="0"/>
              <w:snapToGrid w:val="0"/>
              <w:spacing w:line="300" w:lineRule="exact"/>
              <w:ind w:firstLine="0" w:firstLineChars="0"/>
              <w:jc w:val="center"/>
              <w:rPr>
                <w:rFonts w:asciiTheme="minorHAnsi" w:hAnsiTheme="minorHAnsi" w:eastAsiaTheme="minorEastAsia" w:cstheme="minorBidi"/>
                <w:b/>
                <w:bCs/>
                <w:color w:val="000000" w:themeColor="text1"/>
                <w:kern w:val="0"/>
                <w:sz w:val="21"/>
                <w:szCs w:val="22"/>
                <w:lang w:eastAsia="en-US"/>
                <w14:textFill>
                  <w14:solidFill>
                    <w14:schemeClr w14:val="tx1"/>
                  </w14:solidFill>
                </w14:textFill>
              </w:rPr>
            </w:pPr>
          </w:p>
        </w:tc>
        <w:tc>
          <w:tcPr>
            <w:tcW w:w="1674" w:type="pct"/>
            <w:gridSpan w:val="4"/>
            <w:tcBorders>
              <w:top w:val="single" w:color="000000" w:sz="4" w:space="0"/>
              <w:bottom w:val="single" w:color="000000" w:sz="4" w:space="0"/>
            </w:tcBorders>
          </w:tcPr>
          <w:p w14:paraId="24102BB7">
            <w:pPr>
              <w:autoSpaceDE w:val="0"/>
              <w:autoSpaceDN w:val="0"/>
              <w:adjustRightInd w:val="0"/>
              <w:snapToGrid w:val="0"/>
              <w:spacing w:line="300" w:lineRule="exact"/>
              <w:ind w:firstLine="0" w:firstLineChars="0"/>
              <w:jc w:val="center"/>
              <w:rPr>
                <w:rFonts w:asciiTheme="minorHAnsi" w:hAnsiTheme="minorHAnsi" w:eastAsiaTheme="minorEastAsia" w:cstheme="minorBidi"/>
                <w:b/>
                <w:bCs/>
                <w:color w:val="000000" w:themeColor="text1"/>
                <w:kern w:val="0"/>
                <w:sz w:val="21"/>
                <w:szCs w:val="22"/>
                <w:lang w:eastAsia="en-US"/>
                <w14:textFill>
                  <w14:solidFill>
                    <w14:schemeClr w14:val="tx1"/>
                  </w14:solidFill>
                </w14:textFill>
              </w:rPr>
            </w:pPr>
            <w:r>
              <w:rPr>
                <w:rFonts w:asciiTheme="minorHAnsi" w:hAnsiTheme="minorHAnsi" w:eastAsiaTheme="minorEastAsia" w:cstheme="minorBidi"/>
                <w:b/>
                <w:bCs/>
                <w:color w:val="000000" w:themeColor="text1"/>
                <w:kern w:val="0"/>
                <w:sz w:val="21"/>
                <w:szCs w:val="22"/>
                <w:lang w:eastAsia="en-US"/>
                <w14:textFill>
                  <w14:solidFill>
                    <w14:schemeClr w14:val="tx1"/>
                  </w14:solidFill>
                </w14:textFill>
              </w:rPr>
              <w:t>202</w:t>
            </w:r>
            <w:r>
              <w:rPr>
                <w:rFonts w:hint="eastAsia" w:asciiTheme="minorHAnsi" w:hAnsiTheme="minorHAnsi" w:eastAsiaTheme="minorEastAsia" w:cstheme="minorBidi"/>
                <w:b/>
                <w:bCs/>
                <w:color w:val="000000" w:themeColor="text1"/>
                <w:kern w:val="0"/>
                <w:sz w:val="21"/>
                <w:szCs w:val="22"/>
                <w:lang w:eastAsia="en-US"/>
                <w14:textFill>
                  <w14:solidFill>
                    <w14:schemeClr w14:val="tx1"/>
                  </w14:solidFill>
                </w14:textFill>
              </w:rPr>
              <w:t>5</w:t>
            </w:r>
            <w:r>
              <w:rPr>
                <w:rFonts w:asciiTheme="minorHAnsi" w:hAnsiTheme="minorHAnsi" w:eastAsiaTheme="minorEastAsia" w:cstheme="minorBidi"/>
                <w:b/>
                <w:bCs/>
                <w:color w:val="000000" w:themeColor="text1"/>
                <w:kern w:val="0"/>
                <w:sz w:val="21"/>
                <w:szCs w:val="22"/>
                <w:lang w:eastAsia="en-US"/>
                <w14:textFill>
                  <w14:solidFill>
                    <w14:schemeClr w14:val="tx1"/>
                  </w14:solidFill>
                </w14:textFill>
              </w:rPr>
              <w:t>年</w:t>
            </w:r>
            <w:r>
              <w:rPr>
                <w:rFonts w:hint="eastAsia" w:asciiTheme="minorHAnsi" w:hAnsiTheme="minorHAnsi" w:eastAsiaTheme="minorEastAsia" w:cstheme="minorBidi"/>
                <w:b/>
                <w:bCs/>
                <w:color w:val="000000" w:themeColor="text1"/>
                <w:kern w:val="0"/>
                <w:sz w:val="21"/>
                <w:szCs w:val="22"/>
                <w:lang w:eastAsia="en-US"/>
                <w14:textFill>
                  <w14:solidFill>
                    <w14:schemeClr w14:val="tx1"/>
                  </w14:solidFill>
                </w14:textFill>
              </w:rPr>
              <w:t>1</w:t>
            </w:r>
            <w:r>
              <w:rPr>
                <w:rFonts w:hint="eastAsia" w:asciiTheme="minorHAnsi" w:hAnsiTheme="minorHAnsi" w:eastAsiaTheme="minorEastAsia" w:cstheme="minorBidi"/>
                <w:b/>
                <w:bCs/>
                <w:color w:val="000000" w:themeColor="text1"/>
                <w:kern w:val="0"/>
                <w:sz w:val="21"/>
                <w:szCs w:val="22"/>
                <w:lang w:val="en-US" w:eastAsia="zh-CN"/>
                <w14:textFill>
                  <w14:solidFill>
                    <w14:schemeClr w14:val="tx1"/>
                  </w14:solidFill>
                </w14:textFill>
              </w:rPr>
              <w:t>0</w:t>
            </w:r>
            <w:r>
              <w:rPr>
                <w:rFonts w:asciiTheme="minorHAnsi" w:hAnsiTheme="minorHAnsi" w:eastAsiaTheme="minorEastAsia" w:cstheme="minorBidi"/>
                <w:b/>
                <w:bCs/>
                <w:color w:val="000000" w:themeColor="text1"/>
                <w:kern w:val="0"/>
                <w:sz w:val="21"/>
                <w:szCs w:val="22"/>
                <w:lang w:eastAsia="en-US"/>
                <w14:textFill>
                  <w14:solidFill>
                    <w14:schemeClr w14:val="tx1"/>
                  </w14:solidFill>
                </w14:textFill>
              </w:rPr>
              <w:t>月</w:t>
            </w:r>
            <w:r>
              <w:rPr>
                <w:rFonts w:hint="eastAsia" w:asciiTheme="minorHAnsi" w:hAnsiTheme="minorHAnsi" w:eastAsiaTheme="minorEastAsia" w:cstheme="minorBidi"/>
                <w:b/>
                <w:bCs/>
                <w:color w:val="000000" w:themeColor="text1"/>
                <w:kern w:val="0"/>
                <w:sz w:val="21"/>
                <w:szCs w:val="22"/>
                <w:lang w:val="en-US" w:eastAsia="zh-CN"/>
                <w14:textFill>
                  <w14:solidFill>
                    <w14:schemeClr w14:val="tx1"/>
                  </w14:solidFill>
                </w14:textFill>
              </w:rPr>
              <w:t>15</w:t>
            </w:r>
            <w:r>
              <w:rPr>
                <w:rFonts w:asciiTheme="minorHAnsi" w:hAnsiTheme="minorHAnsi" w:eastAsiaTheme="minorEastAsia" w:cstheme="minorBidi"/>
                <w:b/>
                <w:bCs/>
                <w:color w:val="000000" w:themeColor="text1"/>
                <w:kern w:val="0"/>
                <w:sz w:val="21"/>
                <w:szCs w:val="22"/>
                <w:lang w:eastAsia="en-US"/>
                <w14:textFill>
                  <w14:solidFill>
                    <w14:schemeClr w14:val="tx1"/>
                  </w14:solidFill>
                </w14:textFill>
              </w:rPr>
              <w:t>日</w:t>
            </w:r>
          </w:p>
        </w:tc>
        <w:tc>
          <w:tcPr>
            <w:tcW w:w="1800" w:type="pct"/>
            <w:gridSpan w:val="4"/>
            <w:tcBorders>
              <w:top w:val="single" w:color="000000" w:sz="4" w:space="0"/>
              <w:bottom w:val="single" w:color="000000" w:sz="4" w:space="0"/>
              <w:right w:val="single" w:color="000000" w:sz="12" w:space="0"/>
            </w:tcBorders>
          </w:tcPr>
          <w:p w14:paraId="663C3DDD">
            <w:pPr>
              <w:autoSpaceDE w:val="0"/>
              <w:autoSpaceDN w:val="0"/>
              <w:adjustRightInd w:val="0"/>
              <w:snapToGrid w:val="0"/>
              <w:spacing w:line="300" w:lineRule="exact"/>
              <w:ind w:firstLine="0" w:firstLineChars="0"/>
              <w:jc w:val="center"/>
              <w:rPr>
                <w:rFonts w:asciiTheme="minorHAnsi" w:hAnsiTheme="minorHAnsi" w:eastAsiaTheme="minorEastAsia" w:cstheme="minorBidi"/>
                <w:b/>
                <w:bCs/>
                <w:color w:val="000000" w:themeColor="text1"/>
                <w:kern w:val="0"/>
                <w:sz w:val="21"/>
                <w:szCs w:val="22"/>
                <w:lang w:eastAsia="en-US"/>
                <w14:textFill>
                  <w14:solidFill>
                    <w14:schemeClr w14:val="tx1"/>
                  </w14:solidFill>
                </w14:textFill>
              </w:rPr>
            </w:pPr>
            <w:r>
              <w:rPr>
                <w:rFonts w:asciiTheme="minorHAnsi" w:hAnsiTheme="minorHAnsi" w:eastAsiaTheme="minorEastAsia" w:cstheme="minorBidi"/>
                <w:b/>
                <w:bCs/>
                <w:color w:val="000000" w:themeColor="text1"/>
                <w:kern w:val="0"/>
                <w:sz w:val="21"/>
                <w:szCs w:val="22"/>
                <w:lang w:eastAsia="en-US"/>
                <w14:textFill>
                  <w14:solidFill>
                    <w14:schemeClr w14:val="tx1"/>
                  </w14:solidFill>
                </w14:textFill>
              </w:rPr>
              <w:t>202</w:t>
            </w:r>
            <w:r>
              <w:rPr>
                <w:rFonts w:hint="eastAsia" w:asciiTheme="minorHAnsi" w:hAnsiTheme="minorHAnsi" w:eastAsiaTheme="minorEastAsia" w:cstheme="minorBidi"/>
                <w:b/>
                <w:bCs/>
                <w:color w:val="000000" w:themeColor="text1"/>
                <w:kern w:val="0"/>
                <w:sz w:val="21"/>
                <w:szCs w:val="22"/>
                <w:lang w:eastAsia="en-US"/>
                <w14:textFill>
                  <w14:solidFill>
                    <w14:schemeClr w14:val="tx1"/>
                  </w14:solidFill>
                </w14:textFill>
              </w:rPr>
              <w:t>5</w:t>
            </w:r>
            <w:r>
              <w:rPr>
                <w:rFonts w:asciiTheme="minorHAnsi" w:hAnsiTheme="minorHAnsi" w:eastAsiaTheme="minorEastAsia" w:cstheme="minorBidi"/>
                <w:b/>
                <w:bCs/>
                <w:color w:val="000000" w:themeColor="text1"/>
                <w:kern w:val="0"/>
                <w:sz w:val="21"/>
                <w:szCs w:val="22"/>
                <w:lang w:eastAsia="en-US"/>
                <w14:textFill>
                  <w14:solidFill>
                    <w14:schemeClr w14:val="tx1"/>
                  </w14:solidFill>
                </w14:textFill>
              </w:rPr>
              <w:t>年</w:t>
            </w:r>
            <w:r>
              <w:rPr>
                <w:rFonts w:hint="eastAsia" w:asciiTheme="minorHAnsi" w:hAnsiTheme="minorHAnsi" w:eastAsiaTheme="minorEastAsia" w:cstheme="minorBidi"/>
                <w:b/>
                <w:bCs/>
                <w:color w:val="000000" w:themeColor="text1"/>
                <w:kern w:val="0"/>
                <w:sz w:val="21"/>
                <w:szCs w:val="22"/>
                <w:lang w:eastAsia="en-US"/>
                <w14:textFill>
                  <w14:solidFill>
                    <w14:schemeClr w14:val="tx1"/>
                  </w14:solidFill>
                </w14:textFill>
              </w:rPr>
              <w:t>1</w:t>
            </w:r>
            <w:r>
              <w:rPr>
                <w:rFonts w:hint="eastAsia" w:asciiTheme="minorHAnsi" w:hAnsiTheme="minorHAnsi" w:eastAsiaTheme="minorEastAsia" w:cstheme="minorBidi"/>
                <w:b/>
                <w:bCs/>
                <w:color w:val="000000" w:themeColor="text1"/>
                <w:kern w:val="0"/>
                <w:sz w:val="21"/>
                <w:szCs w:val="22"/>
                <w:lang w:val="en-US" w:eastAsia="zh-CN"/>
                <w14:textFill>
                  <w14:solidFill>
                    <w14:schemeClr w14:val="tx1"/>
                  </w14:solidFill>
                </w14:textFill>
              </w:rPr>
              <w:t>0</w:t>
            </w:r>
            <w:r>
              <w:rPr>
                <w:rFonts w:asciiTheme="minorHAnsi" w:hAnsiTheme="minorHAnsi" w:eastAsiaTheme="minorEastAsia" w:cstheme="minorBidi"/>
                <w:b/>
                <w:bCs/>
                <w:color w:val="000000" w:themeColor="text1"/>
                <w:kern w:val="0"/>
                <w:sz w:val="21"/>
                <w:szCs w:val="22"/>
                <w:lang w:eastAsia="en-US"/>
                <w14:textFill>
                  <w14:solidFill>
                    <w14:schemeClr w14:val="tx1"/>
                  </w14:solidFill>
                </w14:textFill>
              </w:rPr>
              <w:t>月</w:t>
            </w:r>
            <w:r>
              <w:rPr>
                <w:rFonts w:hint="eastAsia" w:asciiTheme="minorHAnsi" w:hAnsiTheme="minorHAnsi" w:eastAsiaTheme="minorEastAsia" w:cstheme="minorBidi"/>
                <w:b/>
                <w:bCs/>
                <w:color w:val="000000" w:themeColor="text1"/>
                <w:kern w:val="0"/>
                <w:sz w:val="21"/>
                <w:szCs w:val="22"/>
                <w:lang w:val="en-US" w:eastAsia="zh-CN"/>
                <w14:textFill>
                  <w14:solidFill>
                    <w14:schemeClr w14:val="tx1"/>
                  </w14:solidFill>
                </w14:textFill>
              </w:rPr>
              <w:t>16</w:t>
            </w:r>
            <w:r>
              <w:rPr>
                <w:rFonts w:asciiTheme="minorHAnsi" w:hAnsiTheme="minorHAnsi" w:eastAsiaTheme="minorEastAsia" w:cstheme="minorBidi"/>
                <w:b/>
                <w:bCs/>
                <w:color w:val="000000" w:themeColor="text1"/>
                <w:kern w:val="0"/>
                <w:sz w:val="21"/>
                <w:szCs w:val="22"/>
                <w:lang w:eastAsia="en-US"/>
                <w14:textFill>
                  <w14:solidFill>
                    <w14:schemeClr w14:val="tx1"/>
                  </w14:solidFill>
                </w14:textFill>
              </w:rPr>
              <w:t>日</w:t>
            </w:r>
          </w:p>
        </w:tc>
      </w:tr>
      <w:tr w14:paraId="2FD216D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78" w:hRule="atLeast"/>
        </w:trPr>
        <w:tc>
          <w:tcPr>
            <w:tcW w:w="308" w:type="pct"/>
            <w:vMerge w:val="continue"/>
            <w:tcBorders>
              <w:top w:val="single" w:color="000000" w:sz="4" w:space="0"/>
              <w:left w:val="single" w:color="000000" w:sz="12" w:space="0"/>
              <w:bottom w:val="single" w:color="000000" w:sz="4" w:space="0"/>
            </w:tcBorders>
          </w:tcPr>
          <w:p w14:paraId="78965337">
            <w:pPr>
              <w:autoSpaceDE w:val="0"/>
              <w:autoSpaceDN w:val="0"/>
              <w:adjustRightInd w:val="0"/>
              <w:snapToGrid w:val="0"/>
              <w:spacing w:line="300" w:lineRule="exact"/>
              <w:ind w:firstLine="0" w:firstLineChars="0"/>
              <w:jc w:val="center"/>
              <w:rPr>
                <w:rFonts w:asciiTheme="minorHAnsi" w:hAnsiTheme="minorHAnsi" w:eastAsiaTheme="minorEastAsia" w:cstheme="minorBidi"/>
                <w:b/>
                <w:bCs/>
                <w:color w:val="000000" w:themeColor="text1"/>
                <w:kern w:val="0"/>
                <w:sz w:val="21"/>
                <w:szCs w:val="22"/>
                <w:lang w:eastAsia="en-US"/>
                <w14:textFill>
                  <w14:solidFill>
                    <w14:schemeClr w14:val="tx1"/>
                  </w14:solidFill>
                </w14:textFill>
              </w:rPr>
            </w:pPr>
          </w:p>
        </w:tc>
        <w:tc>
          <w:tcPr>
            <w:tcW w:w="609" w:type="pct"/>
            <w:vMerge w:val="continue"/>
            <w:tcBorders>
              <w:top w:val="single" w:color="000000" w:sz="4" w:space="0"/>
              <w:bottom w:val="single" w:color="000000" w:sz="4" w:space="0"/>
            </w:tcBorders>
          </w:tcPr>
          <w:p w14:paraId="7100235B">
            <w:pPr>
              <w:autoSpaceDE w:val="0"/>
              <w:autoSpaceDN w:val="0"/>
              <w:adjustRightInd w:val="0"/>
              <w:snapToGrid w:val="0"/>
              <w:spacing w:line="300" w:lineRule="exact"/>
              <w:ind w:firstLine="0" w:firstLineChars="0"/>
              <w:jc w:val="center"/>
              <w:rPr>
                <w:rFonts w:asciiTheme="minorHAnsi" w:hAnsiTheme="minorHAnsi" w:eastAsiaTheme="minorEastAsia" w:cstheme="minorBidi"/>
                <w:b/>
                <w:bCs/>
                <w:color w:val="000000" w:themeColor="text1"/>
                <w:kern w:val="0"/>
                <w:sz w:val="21"/>
                <w:szCs w:val="22"/>
                <w:lang w:eastAsia="en-US"/>
                <w14:textFill>
                  <w14:solidFill>
                    <w14:schemeClr w14:val="tx1"/>
                  </w14:solidFill>
                </w14:textFill>
              </w:rPr>
            </w:pPr>
          </w:p>
        </w:tc>
        <w:tc>
          <w:tcPr>
            <w:tcW w:w="303" w:type="pct"/>
            <w:tcBorders>
              <w:top w:val="single" w:color="000000" w:sz="4" w:space="0"/>
              <w:bottom w:val="single" w:color="000000" w:sz="4" w:space="0"/>
            </w:tcBorders>
          </w:tcPr>
          <w:p w14:paraId="14ED2DF2">
            <w:pPr>
              <w:autoSpaceDE w:val="0"/>
              <w:autoSpaceDN w:val="0"/>
              <w:adjustRightInd w:val="0"/>
              <w:snapToGrid w:val="0"/>
              <w:spacing w:line="300" w:lineRule="exact"/>
              <w:ind w:firstLine="0" w:firstLineChars="0"/>
              <w:jc w:val="center"/>
              <w:rPr>
                <w:rFonts w:asciiTheme="minorHAnsi" w:hAnsiTheme="minorHAnsi" w:eastAsiaTheme="minorEastAsia" w:cstheme="minorBidi"/>
                <w:b/>
                <w:bCs/>
                <w:color w:val="000000" w:themeColor="text1"/>
                <w:kern w:val="0"/>
                <w:sz w:val="21"/>
                <w:szCs w:val="22"/>
                <w:lang w:eastAsia="en-US"/>
                <w14:textFill>
                  <w14:solidFill>
                    <w14:schemeClr w14:val="tx1"/>
                  </w14:solidFill>
                </w14:textFill>
              </w:rPr>
            </w:pPr>
            <w:r>
              <w:rPr>
                <w:rFonts w:asciiTheme="minorHAnsi" w:hAnsiTheme="minorHAnsi" w:eastAsiaTheme="minorEastAsia" w:cstheme="minorBidi"/>
                <w:b/>
                <w:bCs/>
                <w:color w:val="000000" w:themeColor="text1"/>
                <w:kern w:val="0"/>
                <w:sz w:val="21"/>
                <w:szCs w:val="22"/>
                <w:lang w:eastAsia="en-US"/>
                <w14:textFill>
                  <w14:solidFill>
                    <w14:schemeClr w14:val="tx1"/>
                  </w14:solidFill>
                </w14:textFill>
              </w:rPr>
              <w:t>昼间</w:t>
            </w:r>
          </w:p>
        </w:tc>
        <w:tc>
          <w:tcPr>
            <w:tcW w:w="304" w:type="pct"/>
            <w:tcBorders>
              <w:top w:val="single" w:color="000000" w:sz="4" w:space="0"/>
              <w:bottom w:val="single" w:color="000000" w:sz="4" w:space="0"/>
            </w:tcBorders>
          </w:tcPr>
          <w:p w14:paraId="6EAE0CF0">
            <w:pPr>
              <w:autoSpaceDE w:val="0"/>
              <w:autoSpaceDN w:val="0"/>
              <w:adjustRightInd w:val="0"/>
              <w:snapToGrid w:val="0"/>
              <w:spacing w:line="300" w:lineRule="exact"/>
              <w:ind w:firstLine="0" w:firstLineChars="0"/>
              <w:jc w:val="center"/>
              <w:rPr>
                <w:rFonts w:asciiTheme="minorHAnsi" w:hAnsiTheme="minorHAnsi" w:eastAsiaTheme="minorEastAsia" w:cstheme="minorBidi"/>
                <w:b/>
                <w:bCs/>
                <w:color w:val="000000" w:themeColor="text1"/>
                <w:kern w:val="0"/>
                <w:sz w:val="21"/>
                <w:szCs w:val="22"/>
                <w:lang w:eastAsia="en-US"/>
                <w14:textFill>
                  <w14:solidFill>
                    <w14:schemeClr w14:val="tx1"/>
                  </w14:solidFill>
                </w14:textFill>
              </w:rPr>
            </w:pPr>
            <w:r>
              <w:rPr>
                <w:rFonts w:asciiTheme="minorHAnsi" w:hAnsiTheme="minorHAnsi" w:eastAsiaTheme="minorEastAsia" w:cstheme="minorBidi"/>
                <w:b/>
                <w:bCs/>
                <w:color w:val="000000" w:themeColor="text1"/>
                <w:kern w:val="0"/>
                <w:sz w:val="21"/>
                <w:szCs w:val="22"/>
                <w:lang w:eastAsia="en-US"/>
                <w14:textFill>
                  <w14:solidFill>
                    <w14:schemeClr w14:val="tx1"/>
                  </w14:solidFill>
                </w14:textFill>
              </w:rPr>
              <w:t>夜间</w:t>
            </w:r>
          </w:p>
        </w:tc>
        <w:tc>
          <w:tcPr>
            <w:tcW w:w="381" w:type="pct"/>
            <w:tcBorders>
              <w:top w:val="single" w:color="000000" w:sz="4" w:space="0"/>
              <w:bottom w:val="single" w:color="000000" w:sz="4" w:space="0"/>
            </w:tcBorders>
          </w:tcPr>
          <w:p w14:paraId="38F78238">
            <w:pPr>
              <w:autoSpaceDE w:val="0"/>
              <w:autoSpaceDN w:val="0"/>
              <w:adjustRightInd w:val="0"/>
              <w:snapToGrid w:val="0"/>
              <w:spacing w:line="300" w:lineRule="exact"/>
              <w:ind w:firstLine="0" w:firstLineChars="0"/>
              <w:jc w:val="center"/>
              <w:rPr>
                <w:rFonts w:asciiTheme="minorHAnsi" w:hAnsiTheme="minorHAnsi" w:eastAsiaTheme="minorEastAsia" w:cstheme="minorBidi"/>
                <w:b/>
                <w:bCs/>
                <w:color w:val="000000" w:themeColor="text1"/>
                <w:kern w:val="0"/>
                <w:sz w:val="21"/>
                <w:szCs w:val="22"/>
                <w:lang w:eastAsia="en-US"/>
                <w14:textFill>
                  <w14:solidFill>
                    <w14:schemeClr w14:val="tx1"/>
                  </w14:solidFill>
                </w14:textFill>
              </w:rPr>
            </w:pPr>
            <w:r>
              <w:rPr>
                <w:rFonts w:asciiTheme="minorHAnsi" w:hAnsiTheme="minorHAnsi" w:eastAsiaTheme="minorEastAsia" w:cstheme="minorBidi"/>
                <w:b/>
                <w:bCs/>
                <w:color w:val="000000" w:themeColor="text1"/>
                <w:kern w:val="0"/>
                <w:sz w:val="21"/>
                <w:szCs w:val="22"/>
                <w:lang w:eastAsia="en-US"/>
                <w14:textFill>
                  <w14:solidFill>
                    <w14:schemeClr w14:val="tx1"/>
                  </w14:solidFill>
                </w14:textFill>
              </w:rPr>
              <w:t>昼间</w:t>
            </w:r>
          </w:p>
        </w:tc>
        <w:tc>
          <w:tcPr>
            <w:tcW w:w="532" w:type="pct"/>
            <w:tcBorders>
              <w:top w:val="single" w:color="000000" w:sz="4" w:space="0"/>
              <w:bottom w:val="single" w:color="000000" w:sz="4" w:space="0"/>
            </w:tcBorders>
          </w:tcPr>
          <w:p w14:paraId="18B8CDF9">
            <w:pPr>
              <w:autoSpaceDE w:val="0"/>
              <w:autoSpaceDN w:val="0"/>
              <w:adjustRightInd w:val="0"/>
              <w:snapToGrid w:val="0"/>
              <w:spacing w:line="300" w:lineRule="exact"/>
              <w:ind w:firstLine="0" w:firstLineChars="0"/>
              <w:jc w:val="center"/>
              <w:rPr>
                <w:rFonts w:asciiTheme="minorHAnsi" w:hAnsiTheme="minorHAnsi" w:eastAsiaTheme="minorEastAsia" w:cstheme="minorBidi"/>
                <w:b/>
                <w:bCs/>
                <w:color w:val="000000" w:themeColor="text1"/>
                <w:kern w:val="0"/>
                <w:sz w:val="21"/>
                <w:szCs w:val="22"/>
                <w:lang w:eastAsia="en-US"/>
                <w14:textFill>
                  <w14:solidFill>
                    <w14:schemeClr w14:val="tx1"/>
                  </w14:solidFill>
                </w14:textFill>
              </w:rPr>
            </w:pPr>
            <w:r>
              <w:rPr>
                <w:rFonts w:asciiTheme="minorHAnsi" w:hAnsiTheme="minorHAnsi" w:eastAsiaTheme="minorEastAsia" w:cstheme="minorBidi"/>
                <w:b/>
                <w:bCs/>
                <w:color w:val="000000" w:themeColor="text1"/>
                <w:kern w:val="0"/>
                <w:sz w:val="21"/>
                <w:szCs w:val="22"/>
                <w:lang w:eastAsia="en-US"/>
                <w14:textFill>
                  <w14:solidFill>
                    <w14:schemeClr w14:val="tx1"/>
                  </w14:solidFill>
                </w14:textFill>
              </w:rPr>
              <w:t>达标情况</w:t>
            </w:r>
          </w:p>
        </w:tc>
        <w:tc>
          <w:tcPr>
            <w:tcW w:w="303" w:type="pct"/>
            <w:tcBorders>
              <w:top w:val="single" w:color="000000" w:sz="4" w:space="0"/>
              <w:bottom w:val="single" w:color="000000" w:sz="4" w:space="0"/>
            </w:tcBorders>
          </w:tcPr>
          <w:p w14:paraId="23754436">
            <w:pPr>
              <w:autoSpaceDE w:val="0"/>
              <w:autoSpaceDN w:val="0"/>
              <w:adjustRightInd w:val="0"/>
              <w:snapToGrid w:val="0"/>
              <w:spacing w:line="300" w:lineRule="exact"/>
              <w:ind w:firstLine="0" w:firstLineChars="0"/>
              <w:jc w:val="center"/>
              <w:rPr>
                <w:rFonts w:asciiTheme="minorHAnsi" w:hAnsiTheme="minorHAnsi" w:eastAsiaTheme="minorEastAsia" w:cstheme="minorBidi"/>
                <w:b/>
                <w:bCs/>
                <w:color w:val="000000" w:themeColor="text1"/>
                <w:kern w:val="0"/>
                <w:sz w:val="21"/>
                <w:szCs w:val="22"/>
                <w:lang w:eastAsia="en-US"/>
                <w14:textFill>
                  <w14:solidFill>
                    <w14:schemeClr w14:val="tx1"/>
                  </w14:solidFill>
                </w14:textFill>
              </w:rPr>
            </w:pPr>
            <w:r>
              <w:rPr>
                <w:rFonts w:asciiTheme="minorHAnsi" w:hAnsiTheme="minorHAnsi" w:eastAsiaTheme="minorEastAsia" w:cstheme="minorBidi"/>
                <w:b/>
                <w:bCs/>
                <w:color w:val="000000" w:themeColor="text1"/>
                <w:kern w:val="0"/>
                <w:sz w:val="21"/>
                <w:szCs w:val="22"/>
                <w:lang w:eastAsia="en-US"/>
                <w14:textFill>
                  <w14:solidFill>
                    <w14:schemeClr w14:val="tx1"/>
                  </w14:solidFill>
                </w14:textFill>
              </w:rPr>
              <w:t>夜间</w:t>
            </w:r>
          </w:p>
        </w:tc>
        <w:tc>
          <w:tcPr>
            <w:tcW w:w="458" w:type="pct"/>
            <w:tcBorders>
              <w:top w:val="single" w:color="000000" w:sz="4" w:space="0"/>
              <w:bottom w:val="single" w:color="000000" w:sz="4" w:space="0"/>
            </w:tcBorders>
          </w:tcPr>
          <w:p w14:paraId="14AA2ACB">
            <w:pPr>
              <w:autoSpaceDE w:val="0"/>
              <w:autoSpaceDN w:val="0"/>
              <w:adjustRightInd w:val="0"/>
              <w:snapToGrid w:val="0"/>
              <w:spacing w:line="300" w:lineRule="exact"/>
              <w:ind w:firstLine="0" w:firstLineChars="0"/>
              <w:jc w:val="center"/>
              <w:rPr>
                <w:rFonts w:asciiTheme="minorHAnsi" w:hAnsiTheme="minorHAnsi" w:eastAsiaTheme="minorEastAsia" w:cstheme="minorBidi"/>
                <w:b/>
                <w:bCs/>
                <w:color w:val="000000" w:themeColor="text1"/>
                <w:kern w:val="0"/>
                <w:sz w:val="21"/>
                <w:szCs w:val="22"/>
                <w:lang w:eastAsia="en-US"/>
                <w14:textFill>
                  <w14:solidFill>
                    <w14:schemeClr w14:val="tx1"/>
                  </w14:solidFill>
                </w14:textFill>
              </w:rPr>
            </w:pPr>
            <w:r>
              <w:rPr>
                <w:rFonts w:asciiTheme="minorHAnsi" w:hAnsiTheme="minorHAnsi" w:eastAsiaTheme="minorEastAsia" w:cstheme="minorBidi"/>
                <w:b/>
                <w:bCs/>
                <w:color w:val="000000" w:themeColor="text1"/>
                <w:kern w:val="0"/>
                <w:sz w:val="21"/>
                <w:szCs w:val="22"/>
                <w:lang w:eastAsia="en-US"/>
                <w14:textFill>
                  <w14:solidFill>
                    <w14:schemeClr w14:val="tx1"/>
                  </w14:solidFill>
                </w14:textFill>
              </w:rPr>
              <w:t>达标情况</w:t>
            </w:r>
          </w:p>
        </w:tc>
        <w:tc>
          <w:tcPr>
            <w:tcW w:w="303" w:type="pct"/>
            <w:tcBorders>
              <w:top w:val="single" w:color="000000" w:sz="4" w:space="0"/>
              <w:bottom w:val="single" w:color="000000" w:sz="4" w:space="0"/>
            </w:tcBorders>
          </w:tcPr>
          <w:p w14:paraId="1E369CCF">
            <w:pPr>
              <w:autoSpaceDE w:val="0"/>
              <w:autoSpaceDN w:val="0"/>
              <w:adjustRightInd w:val="0"/>
              <w:snapToGrid w:val="0"/>
              <w:spacing w:line="300" w:lineRule="exact"/>
              <w:ind w:firstLine="0" w:firstLineChars="0"/>
              <w:jc w:val="center"/>
              <w:rPr>
                <w:rFonts w:asciiTheme="minorHAnsi" w:hAnsiTheme="minorHAnsi" w:eastAsiaTheme="minorEastAsia" w:cstheme="minorBidi"/>
                <w:b/>
                <w:bCs/>
                <w:color w:val="000000" w:themeColor="text1"/>
                <w:kern w:val="0"/>
                <w:sz w:val="21"/>
                <w:szCs w:val="22"/>
                <w:lang w:eastAsia="en-US"/>
                <w14:textFill>
                  <w14:solidFill>
                    <w14:schemeClr w14:val="tx1"/>
                  </w14:solidFill>
                </w14:textFill>
              </w:rPr>
            </w:pPr>
            <w:r>
              <w:rPr>
                <w:rFonts w:asciiTheme="minorHAnsi" w:hAnsiTheme="minorHAnsi" w:eastAsiaTheme="minorEastAsia" w:cstheme="minorBidi"/>
                <w:b/>
                <w:bCs/>
                <w:color w:val="000000" w:themeColor="text1"/>
                <w:kern w:val="0"/>
                <w:sz w:val="21"/>
                <w:szCs w:val="22"/>
                <w:lang w:eastAsia="en-US"/>
                <w14:textFill>
                  <w14:solidFill>
                    <w14:schemeClr w14:val="tx1"/>
                  </w14:solidFill>
                </w14:textFill>
              </w:rPr>
              <w:t>昼间</w:t>
            </w:r>
          </w:p>
        </w:tc>
        <w:tc>
          <w:tcPr>
            <w:tcW w:w="533" w:type="pct"/>
            <w:tcBorders>
              <w:top w:val="single" w:color="000000" w:sz="4" w:space="0"/>
              <w:bottom w:val="single" w:color="000000" w:sz="4" w:space="0"/>
            </w:tcBorders>
          </w:tcPr>
          <w:p w14:paraId="3DC05154">
            <w:pPr>
              <w:autoSpaceDE w:val="0"/>
              <w:autoSpaceDN w:val="0"/>
              <w:adjustRightInd w:val="0"/>
              <w:snapToGrid w:val="0"/>
              <w:spacing w:line="300" w:lineRule="exact"/>
              <w:ind w:firstLine="0" w:firstLineChars="0"/>
              <w:jc w:val="center"/>
              <w:rPr>
                <w:rFonts w:asciiTheme="minorHAnsi" w:hAnsiTheme="minorHAnsi" w:eastAsiaTheme="minorEastAsia" w:cstheme="minorBidi"/>
                <w:b/>
                <w:bCs/>
                <w:color w:val="000000" w:themeColor="text1"/>
                <w:kern w:val="0"/>
                <w:sz w:val="21"/>
                <w:szCs w:val="22"/>
                <w:lang w:eastAsia="en-US"/>
                <w14:textFill>
                  <w14:solidFill>
                    <w14:schemeClr w14:val="tx1"/>
                  </w14:solidFill>
                </w14:textFill>
              </w:rPr>
            </w:pPr>
            <w:r>
              <w:rPr>
                <w:rFonts w:asciiTheme="minorHAnsi" w:hAnsiTheme="minorHAnsi" w:eastAsiaTheme="minorEastAsia" w:cstheme="minorBidi"/>
                <w:b/>
                <w:bCs/>
                <w:color w:val="000000" w:themeColor="text1"/>
                <w:kern w:val="0"/>
                <w:sz w:val="21"/>
                <w:szCs w:val="22"/>
                <w:lang w:eastAsia="en-US"/>
                <w14:textFill>
                  <w14:solidFill>
                    <w14:schemeClr w14:val="tx1"/>
                  </w14:solidFill>
                </w14:textFill>
              </w:rPr>
              <w:t>达标情况</w:t>
            </w:r>
          </w:p>
        </w:tc>
        <w:tc>
          <w:tcPr>
            <w:tcW w:w="454" w:type="pct"/>
            <w:tcBorders>
              <w:top w:val="single" w:color="000000" w:sz="4" w:space="0"/>
              <w:bottom w:val="single" w:color="000000" w:sz="4" w:space="0"/>
            </w:tcBorders>
          </w:tcPr>
          <w:p w14:paraId="61769740">
            <w:pPr>
              <w:autoSpaceDE w:val="0"/>
              <w:autoSpaceDN w:val="0"/>
              <w:adjustRightInd w:val="0"/>
              <w:snapToGrid w:val="0"/>
              <w:spacing w:line="300" w:lineRule="exact"/>
              <w:ind w:firstLine="0" w:firstLineChars="0"/>
              <w:jc w:val="center"/>
              <w:rPr>
                <w:rFonts w:asciiTheme="minorHAnsi" w:hAnsiTheme="minorHAnsi" w:eastAsiaTheme="minorEastAsia" w:cstheme="minorBidi"/>
                <w:b/>
                <w:bCs/>
                <w:color w:val="000000" w:themeColor="text1"/>
                <w:kern w:val="0"/>
                <w:sz w:val="21"/>
                <w:szCs w:val="22"/>
                <w:lang w:eastAsia="en-US"/>
                <w14:textFill>
                  <w14:solidFill>
                    <w14:schemeClr w14:val="tx1"/>
                  </w14:solidFill>
                </w14:textFill>
              </w:rPr>
            </w:pPr>
            <w:r>
              <w:rPr>
                <w:rFonts w:asciiTheme="minorHAnsi" w:hAnsiTheme="minorHAnsi" w:eastAsiaTheme="minorEastAsia" w:cstheme="minorBidi"/>
                <w:b/>
                <w:bCs/>
                <w:color w:val="000000" w:themeColor="text1"/>
                <w:kern w:val="0"/>
                <w:sz w:val="21"/>
                <w:szCs w:val="22"/>
                <w:lang w:eastAsia="en-US"/>
                <w14:textFill>
                  <w14:solidFill>
                    <w14:schemeClr w14:val="tx1"/>
                  </w14:solidFill>
                </w14:textFill>
              </w:rPr>
              <w:t>夜间</w:t>
            </w:r>
          </w:p>
        </w:tc>
        <w:tc>
          <w:tcPr>
            <w:tcW w:w="508" w:type="pct"/>
            <w:tcBorders>
              <w:top w:val="single" w:color="000000" w:sz="4" w:space="0"/>
              <w:bottom w:val="single" w:color="000000" w:sz="4" w:space="0"/>
              <w:right w:val="single" w:color="000000" w:sz="12" w:space="0"/>
            </w:tcBorders>
          </w:tcPr>
          <w:p w14:paraId="710C82A1">
            <w:pPr>
              <w:autoSpaceDE w:val="0"/>
              <w:autoSpaceDN w:val="0"/>
              <w:adjustRightInd w:val="0"/>
              <w:snapToGrid w:val="0"/>
              <w:spacing w:line="300" w:lineRule="exact"/>
              <w:ind w:firstLine="0" w:firstLineChars="0"/>
              <w:jc w:val="center"/>
              <w:rPr>
                <w:rFonts w:asciiTheme="minorHAnsi" w:hAnsiTheme="minorHAnsi" w:eastAsiaTheme="minorEastAsia" w:cstheme="minorBidi"/>
                <w:b/>
                <w:bCs/>
                <w:color w:val="000000" w:themeColor="text1"/>
                <w:kern w:val="0"/>
                <w:sz w:val="21"/>
                <w:szCs w:val="22"/>
                <w:lang w:eastAsia="en-US"/>
                <w14:textFill>
                  <w14:solidFill>
                    <w14:schemeClr w14:val="tx1"/>
                  </w14:solidFill>
                </w14:textFill>
              </w:rPr>
            </w:pPr>
            <w:r>
              <w:rPr>
                <w:rFonts w:asciiTheme="minorHAnsi" w:hAnsiTheme="minorHAnsi" w:eastAsiaTheme="minorEastAsia" w:cstheme="minorBidi"/>
                <w:b/>
                <w:bCs/>
                <w:color w:val="000000" w:themeColor="text1"/>
                <w:kern w:val="0"/>
                <w:sz w:val="21"/>
                <w:szCs w:val="22"/>
                <w:lang w:eastAsia="en-US"/>
                <w14:textFill>
                  <w14:solidFill>
                    <w14:schemeClr w14:val="tx1"/>
                  </w14:solidFill>
                </w14:textFill>
              </w:rPr>
              <w:t>达标情况</w:t>
            </w:r>
          </w:p>
        </w:tc>
      </w:tr>
      <w:tr w14:paraId="4D2D39F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41" w:hRule="atLeast"/>
        </w:trPr>
        <w:tc>
          <w:tcPr>
            <w:tcW w:w="308" w:type="pct"/>
            <w:tcBorders>
              <w:top w:val="single" w:color="000000" w:sz="4" w:space="0"/>
              <w:left w:val="single" w:color="000000" w:sz="12" w:space="0"/>
              <w:bottom w:val="single" w:color="000000" w:sz="4" w:space="0"/>
            </w:tcBorders>
          </w:tcPr>
          <w:p w14:paraId="4B808778">
            <w:pPr>
              <w:autoSpaceDE w:val="0"/>
              <w:autoSpaceDN w:val="0"/>
              <w:adjustRightInd w:val="0"/>
              <w:snapToGrid w:val="0"/>
              <w:spacing w:line="300" w:lineRule="exact"/>
              <w:ind w:firstLine="0" w:firstLineChars="0"/>
              <w:jc w:val="center"/>
              <w:rPr>
                <w:rFonts w:asciiTheme="minorHAnsi" w:hAnsiTheme="minorHAnsi" w:eastAsiaTheme="minorEastAsia" w:cstheme="minorBidi"/>
                <w:color w:val="000000" w:themeColor="text1"/>
                <w:kern w:val="0"/>
                <w:sz w:val="21"/>
                <w:szCs w:val="22"/>
                <w:lang w:eastAsia="en-US"/>
                <w14:textFill>
                  <w14:solidFill>
                    <w14:schemeClr w14:val="tx1"/>
                  </w14:solidFill>
                </w14:textFill>
              </w:rPr>
            </w:pPr>
            <w:r>
              <w:rPr>
                <w:rFonts w:asciiTheme="minorHAnsi" w:hAnsiTheme="minorHAnsi" w:eastAsiaTheme="minorEastAsia" w:cstheme="minorBidi"/>
                <w:color w:val="000000" w:themeColor="text1"/>
                <w:kern w:val="0"/>
                <w:sz w:val="21"/>
                <w:szCs w:val="22"/>
                <w:lang w:eastAsia="en-US"/>
                <w14:textFill>
                  <w14:solidFill>
                    <w14:schemeClr w14:val="tx1"/>
                  </w14:solidFill>
                </w14:textFill>
              </w:rPr>
              <w:t>N1</w:t>
            </w:r>
          </w:p>
        </w:tc>
        <w:tc>
          <w:tcPr>
            <w:tcW w:w="609" w:type="pct"/>
            <w:tcBorders>
              <w:top w:val="single" w:color="000000" w:sz="4" w:space="0"/>
              <w:bottom w:val="single" w:color="000000" w:sz="4" w:space="0"/>
            </w:tcBorders>
          </w:tcPr>
          <w:p w14:paraId="74E2C852">
            <w:pPr>
              <w:autoSpaceDE w:val="0"/>
              <w:autoSpaceDN w:val="0"/>
              <w:adjustRightInd w:val="0"/>
              <w:snapToGrid w:val="0"/>
              <w:spacing w:line="300" w:lineRule="exact"/>
              <w:ind w:firstLine="0" w:firstLineChars="0"/>
              <w:jc w:val="center"/>
              <w:rPr>
                <w:rFonts w:asciiTheme="minorHAnsi" w:hAnsiTheme="minorHAnsi" w:eastAsiaTheme="minorEastAsia" w:cstheme="minorBidi"/>
                <w:color w:val="000000" w:themeColor="text1"/>
                <w:kern w:val="0"/>
                <w:sz w:val="21"/>
                <w:szCs w:val="22"/>
                <w:lang w:eastAsia="en-US"/>
                <w14:textFill>
                  <w14:solidFill>
                    <w14:schemeClr w14:val="tx1"/>
                  </w14:solidFill>
                </w14:textFill>
              </w:rPr>
            </w:pPr>
            <w:r>
              <w:rPr>
                <w:rFonts w:asciiTheme="minorHAnsi" w:hAnsiTheme="minorHAnsi" w:eastAsiaTheme="minorEastAsia" w:cstheme="minorBidi"/>
                <w:color w:val="000000" w:themeColor="text1"/>
                <w:kern w:val="0"/>
                <w:sz w:val="21"/>
                <w:szCs w:val="22"/>
                <w:lang w:eastAsia="en-US"/>
                <w14:textFill>
                  <w14:solidFill>
                    <w14:schemeClr w14:val="tx1"/>
                  </w14:solidFill>
                </w14:textFill>
              </w:rPr>
              <w:t>厂界东面</w:t>
            </w:r>
          </w:p>
        </w:tc>
        <w:tc>
          <w:tcPr>
            <w:tcW w:w="506" w:type="dxa"/>
            <w:tcBorders>
              <w:top w:val="single" w:color="000000" w:sz="4" w:space="0"/>
              <w:bottom w:val="single" w:color="000000" w:sz="4" w:space="0"/>
            </w:tcBorders>
            <w:vAlign w:val="top"/>
          </w:tcPr>
          <w:p w14:paraId="1AD4FC7D">
            <w:pPr>
              <w:autoSpaceDE w:val="0"/>
              <w:autoSpaceDN w:val="0"/>
              <w:adjustRightInd w:val="0"/>
              <w:snapToGrid w:val="0"/>
              <w:spacing w:line="300" w:lineRule="exact"/>
              <w:ind w:firstLine="0" w:firstLineChars="0"/>
              <w:jc w:val="center"/>
              <w:rPr>
                <w:rFonts w:hint="default" w:ascii="Times New Roman" w:hAnsi="Times New Roman" w:cs="Times New Roman" w:eastAsiaTheme="minorEastAsia"/>
                <w:color w:val="000000" w:themeColor="text1"/>
                <w:kern w:val="0"/>
                <w:sz w:val="21"/>
                <w:szCs w:val="22"/>
                <w:lang w:eastAsia="en-US"/>
                <w14:textFill>
                  <w14:solidFill>
                    <w14:schemeClr w14:val="tx1"/>
                  </w14:solidFill>
                </w14:textFill>
              </w:rPr>
            </w:pPr>
            <w:r>
              <w:rPr>
                <w:rFonts w:hint="default" w:ascii="Times New Roman" w:hAnsi="Times New Roman" w:cs="Times New Roman" w:eastAsiaTheme="minorEastAsia"/>
                <w:color w:val="000000" w:themeColor="text1"/>
                <w:kern w:val="0"/>
                <w:sz w:val="21"/>
                <w:szCs w:val="22"/>
                <w:lang w:eastAsia="en-US"/>
                <w14:textFill>
                  <w14:solidFill>
                    <w14:schemeClr w14:val="tx1"/>
                  </w14:solidFill>
                </w14:textFill>
              </w:rPr>
              <w:t>65</w:t>
            </w:r>
          </w:p>
        </w:tc>
        <w:tc>
          <w:tcPr>
            <w:tcW w:w="508" w:type="dxa"/>
            <w:tcBorders>
              <w:top w:val="single" w:color="000000" w:sz="4" w:space="0"/>
              <w:bottom w:val="single" w:color="000000" w:sz="4" w:space="0"/>
            </w:tcBorders>
            <w:vAlign w:val="top"/>
          </w:tcPr>
          <w:p w14:paraId="0333B8C0">
            <w:pPr>
              <w:autoSpaceDE w:val="0"/>
              <w:autoSpaceDN w:val="0"/>
              <w:adjustRightInd w:val="0"/>
              <w:snapToGrid w:val="0"/>
              <w:spacing w:line="300" w:lineRule="exact"/>
              <w:ind w:firstLine="0" w:firstLineChars="0"/>
              <w:jc w:val="center"/>
              <w:rPr>
                <w:rFonts w:hint="default" w:ascii="Times New Roman" w:hAnsi="Times New Roman" w:cs="Times New Roman" w:eastAsiaTheme="minorEastAsia"/>
                <w:color w:val="000000" w:themeColor="text1"/>
                <w:kern w:val="0"/>
                <w:sz w:val="21"/>
                <w:szCs w:val="22"/>
                <w:lang w:eastAsia="en-US"/>
                <w14:textFill>
                  <w14:solidFill>
                    <w14:schemeClr w14:val="tx1"/>
                  </w14:solidFill>
                </w14:textFill>
              </w:rPr>
            </w:pPr>
            <w:r>
              <w:rPr>
                <w:rFonts w:hint="default" w:ascii="Times New Roman" w:hAnsi="Times New Roman" w:cs="Times New Roman" w:eastAsiaTheme="minorEastAsia"/>
                <w:color w:val="000000" w:themeColor="text1"/>
                <w:kern w:val="0"/>
                <w:sz w:val="21"/>
                <w:szCs w:val="22"/>
                <w:lang w:eastAsia="en-US"/>
                <w14:textFill>
                  <w14:solidFill>
                    <w14:schemeClr w14:val="tx1"/>
                  </w14:solidFill>
                </w14:textFill>
              </w:rPr>
              <w:t>55</w:t>
            </w:r>
          </w:p>
        </w:tc>
        <w:tc>
          <w:tcPr>
            <w:tcW w:w="637" w:type="dxa"/>
            <w:tcBorders>
              <w:top w:val="single" w:color="000000" w:sz="4" w:space="0"/>
              <w:bottom w:val="single" w:color="000000" w:sz="4" w:space="0"/>
            </w:tcBorders>
            <w:vAlign w:val="top"/>
          </w:tcPr>
          <w:p w14:paraId="13EEBF46">
            <w:pPr>
              <w:autoSpaceDE w:val="0"/>
              <w:autoSpaceDN w:val="0"/>
              <w:adjustRightInd w:val="0"/>
              <w:snapToGrid w:val="0"/>
              <w:spacing w:line="300" w:lineRule="exact"/>
              <w:ind w:firstLine="0" w:firstLineChars="0"/>
              <w:jc w:val="center"/>
              <w:rPr>
                <w:rFonts w:hint="default" w:ascii="Times New Roman" w:hAnsi="Times New Roman" w:cs="Times New Roman" w:eastAsiaTheme="minorEastAsia"/>
                <w:color w:val="000000" w:themeColor="text1"/>
                <w:kern w:val="0"/>
                <w:sz w:val="21"/>
                <w:szCs w:val="22"/>
                <w:lang w:val="en-US" w:eastAsia="zh-CN"/>
                <w14:textFill>
                  <w14:solidFill>
                    <w14:schemeClr w14:val="tx1"/>
                  </w14:solidFill>
                </w14:textFill>
              </w:rPr>
            </w:pPr>
          </w:p>
        </w:tc>
        <w:tc>
          <w:tcPr>
            <w:tcW w:w="889" w:type="dxa"/>
            <w:tcBorders>
              <w:top w:val="single" w:color="000000" w:sz="4" w:space="0"/>
              <w:bottom w:val="single" w:color="000000" w:sz="4" w:space="0"/>
            </w:tcBorders>
            <w:vAlign w:val="top"/>
          </w:tcPr>
          <w:p w14:paraId="3739251D">
            <w:pPr>
              <w:autoSpaceDE w:val="0"/>
              <w:autoSpaceDN w:val="0"/>
              <w:adjustRightInd w:val="0"/>
              <w:snapToGrid w:val="0"/>
              <w:spacing w:line="300" w:lineRule="exact"/>
              <w:ind w:firstLine="0" w:firstLineChars="0"/>
              <w:jc w:val="center"/>
              <w:rPr>
                <w:rFonts w:hint="default" w:ascii="Times New Roman" w:hAnsi="Times New Roman" w:cs="Times New Roman" w:eastAsiaTheme="minorEastAsia"/>
                <w:color w:val="000000" w:themeColor="text1"/>
                <w:kern w:val="0"/>
                <w:sz w:val="21"/>
                <w:szCs w:val="22"/>
                <w:lang w:eastAsia="en-US"/>
                <w14:textFill>
                  <w14:solidFill>
                    <w14:schemeClr w14:val="tx1"/>
                  </w14:solidFill>
                </w14:textFill>
              </w:rPr>
            </w:pPr>
            <w:r>
              <w:rPr>
                <w:rFonts w:hint="default" w:ascii="Times New Roman" w:hAnsi="Times New Roman" w:cs="Times New Roman" w:eastAsiaTheme="minorEastAsia"/>
                <w:color w:val="000000" w:themeColor="text1"/>
                <w:kern w:val="0"/>
                <w:sz w:val="21"/>
                <w:szCs w:val="22"/>
                <w:lang w:eastAsia="en-US"/>
                <w14:textFill>
                  <w14:solidFill>
                    <w14:schemeClr w14:val="tx1"/>
                  </w14:solidFill>
                </w14:textFill>
              </w:rPr>
              <w:t>达标</w:t>
            </w:r>
          </w:p>
        </w:tc>
        <w:tc>
          <w:tcPr>
            <w:tcW w:w="506" w:type="dxa"/>
            <w:tcBorders>
              <w:top w:val="single" w:color="000000" w:sz="4" w:space="0"/>
              <w:bottom w:val="single" w:color="000000" w:sz="4" w:space="0"/>
            </w:tcBorders>
            <w:vAlign w:val="top"/>
          </w:tcPr>
          <w:p w14:paraId="767C4B30">
            <w:pPr>
              <w:autoSpaceDE w:val="0"/>
              <w:autoSpaceDN w:val="0"/>
              <w:adjustRightInd w:val="0"/>
              <w:snapToGrid w:val="0"/>
              <w:spacing w:line="300" w:lineRule="exact"/>
              <w:ind w:firstLine="0" w:firstLineChars="0"/>
              <w:jc w:val="center"/>
              <w:rPr>
                <w:rFonts w:hint="default" w:ascii="Times New Roman" w:hAnsi="Times New Roman" w:cs="Times New Roman" w:eastAsiaTheme="minorEastAsia"/>
                <w:color w:val="000000" w:themeColor="text1"/>
                <w:kern w:val="0"/>
                <w:sz w:val="21"/>
                <w:szCs w:val="22"/>
                <w:lang w:val="en-US" w:eastAsia="zh-CN"/>
                <w14:textFill>
                  <w14:solidFill>
                    <w14:schemeClr w14:val="tx1"/>
                  </w14:solidFill>
                </w14:textFill>
              </w:rPr>
            </w:pPr>
          </w:p>
        </w:tc>
        <w:tc>
          <w:tcPr>
            <w:tcW w:w="766" w:type="dxa"/>
            <w:tcBorders>
              <w:top w:val="single" w:color="000000" w:sz="4" w:space="0"/>
              <w:bottom w:val="single" w:color="000000" w:sz="4" w:space="0"/>
            </w:tcBorders>
            <w:vAlign w:val="top"/>
          </w:tcPr>
          <w:p w14:paraId="4C5350D1">
            <w:pPr>
              <w:autoSpaceDE w:val="0"/>
              <w:autoSpaceDN w:val="0"/>
              <w:adjustRightInd w:val="0"/>
              <w:snapToGrid w:val="0"/>
              <w:spacing w:line="300" w:lineRule="exact"/>
              <w:ind w:firstLine="0" w:firstLineChars="0"/>
              <w:jc w:val="center"/>
              <w:rPr>
                <w:rFonts w:hint="default" w:ascii="Times New Roman" w:hAnsi="Times New Roman" w:cs="Times New Roman" w:eastAsiaTheme="minorEastAsia"/>
                <w:color w:val="000000" w:themeColor="text1"/>
                <w:kern w:val="0"/>
                <w:sz w:val="21"/>
                <w:szCs w:val="22"/>
                <w:lang w:eastAsia="en-US"/>
                <w14:textFill>
                  <w14:solidFill>
                    <w14:schemeClr w14:val="tx1"/>
                  </w14:solidFill>
                </w14:textFill>
              </w:rPr>
            </w:pPr>
            <w:r>
              <w:rPr>
                <w:rFonts w:hint="default" w:ascii="Times New Roman" w:hAnsi="Times New Roman" w:cs="Times New Roman" w:eastAsiaTheme="minorEastAsia"/>
                <w:color w:val="000000" w:themeColor="text1"/>
                <w:kern w:val="0"/>
                <w:sz w:val="21"/>
                <w:szCs w:val="22"/>
                <w:lang w:eastAsia="en-US"/>
                <w14:textFill>
                  <w14:solidFill>
                    <w14:schemeClr w14:val="tx1"/>
                  </w14:solidFill>
                </w14:textFill>
              </w:rPr>
              <w:t>达标</w:t>
            </w:r>
          </w:p>
        </w:tc>
        <w:tc>
          <w:tcPr>
            <w:tcW w:w="506" w:type="dxa"/>
            <w:tcBorders>
              <w:top w:val="single" w:color="000000" w:sz="4" w:space="0"/>
              <w:bottom w:val="single" w:color="000000" w:sz="4" w:space="0"/>
            </w:tcBorders>
            <w:vAlign w:val="top"/>
          </w:tcPr>
          <w:p w14:paraId="585DE7B5">
            <w:pPr>
              <w:autoSpaceDE w:val="0"/>
              <w:autoSpaceDN w:val="0"/>
              <w:adjustRightInd w:val="0"/>
              <w:snapToGrid w:val="0"/>
              <w:spacing w:line="300" w:lineRule="exact"/>
              <w:ind w:firstLine="0" w:firstLineChars="0"/>
              <w:jc w:val="center"/>
              <w:rPr>
                <w:rFonts w:hint="default" w:ascii="Times New Roman" w:hAnsi="Times New Roman" w:cs="Times New Roman" w:eastAsiaTheme="minorEastAsia"/>
                <w:color w:val="000000" w:themeColor="text1"/>
                <w:kern w:val="0"/>
                <w:sz w:val="21"/>
                <w:szCs w:val="22"/>
                <w:lang w:val="en-US" w:eastAsia="zh-CN"/>
                <w14:textFill>
                  <w14:solidFill>
                    <w14:schemeClr w14:val="tx1"/>
                  </w14:solidFill>
                </w14:textFill>
              </w:rPr>
            </w:pPr>
          </w:p>
        </w:tc>
        <w:tc>
          <w:tcPr>
            <w:tcW w:w="891" w:type="dxa"/>
            <w:tcBorders>
              <w:top w:val="single" w:color="000000" w:sz="4" w:space="0"/>
              <w:bottom w:val="single" w:color="000000" w:sz="4" w:space="0"/>
            </w:tcBorders>
            <w:vAlign w:val="top"/>
          </w:tcPr>
          <w:p w14:paraId="5EAE68C7">
            <w:pPr>
              <w:autoSpaceDE w:val="0"/>
              <w:autoSpaceDN w:val="0"/>
              <w:adjustRightInd w:val="0"/>
              <w:snapToGrid w:val="0"/>
              <w:spacing w:line="300" w:lineRule="exact"/>
              <w:ind w:firstLine="0" w:firstLineChars="0"/>
              <w:jc w:val="center"/>
              <w:rPr>
                <w:rFonts w:hint="default" w:ascii="Times New Roman" w:hAnsi="Times New Roman" w:cs="Times New Roman" w:eastAsiaTheme="minorEastAsia"/>
                <w:color w:val="000000" w:themeColor="text1"/>
                <w:kern w:val="0"/>
                <w:sz w:val="21"/>
                <w:szCs w:val="22"/>
                <w:lang w:eastAsia="en-US"/>
                <w14:textFill>
                  <w14:solidFill>
                    <w14:schemeClr w14:val="tx1"/>
                  </w14:solidFill>
                </w14:textFill>
              </w:rPr>
            </w:pPr>
            <w:r>
              <w:rPr>
                <w:rFonts w:hint="default" w:ascii="Times New Roman" w:hAnsi="Times New Roman" w:cs="Times New Roman" w:eastAsiaTheme="minorEastAsia"/>
                <w:color w:val="000000" w:themeColor="text1"/>
                <w:kern w:val="0"/>
                <w:sz w:val="21"/>
                <w:szCs w:val="22"/>
                <w:lang w:eastAsia="en-US"/>
                <w14:textFill>
                  <w14:solidFill>
                    <w14:schemeClr w14:val="tx1"/>
                  </w14:solidFill>
                </w14:textFill>
              </w:rPr>
              <w:t>达标</w:t>
            </w:r>
          </w:p>
        </w:tc>
        <w:tc>
          <w:tcPr>
            <w:tcW w:w="759" w:type="dxa"/>
            <w:tcBorders>
              <w:top w:val="single" w:color="000000" w:sz="4" w:space="0"/>
              <w:bottom w:val="single" w:color="000000" w:sz="4" w:space="0"/>
            </w:tcBorders>
            <w:vAlign w:val="top"/>
          </w:tcPr>
          <w:p w14:paraId="0817D75B">
            <w:pPr>
              <w:autoSpaceDE w:val="0"/>
              <w:autoSpaceDN w:val="0"/>
              <w:adjustRightInd w:val="0"/>
              <w:snapToGrid w:val="0"/>
              <w:spacing w:line="300" w:lineRule="exact"/>
              <w:ind w:firstLine="0" w:firstLineChars="0"/>
              <w:jc w:val="center"/>
              <w:rPr>
                <w:rFonts w:hint="default" w:ascii="Times New Roman" w:hAnsi="Times New Roman" w:cs="Times New Roman" w:eastAsiaTheme="minorEastAsia"/>
                <w:color w:val="000000" w:themeColor="text1"/>
                <w:kern w:val="0"/>
                <w:sz w:val="21"/>
                <w:szCs w:val="22"/>
                <w:lang w:val="en-US" w:eastAsia="zh-CN"/>
                <w14:textFill>
                  <w14:solidFill>
                    <w14:schemeClr w14:val="tx1"/>
                  </w14:solidFill>
                </w14:textFill>
              </w:rPr>
            </w:pPr>
          </w:p>
        </w:tc>
        <w:tc>
          <w:tcPr>
            <w:tcW w:w="855" w:type="dxa"/>
            <w:tcBorders>
              <w:top w:val="single" w:color="000000" w:sz="4" w:space="0"/>
              <w:bottom w:val="single" w:color="000000" w:sz="4" w:space="0"/>
              <w:right w:val="single" w:color="000000" w:sz="12" w:space="0"/>
            </w:tcBorders>
            <w:vAlign w:val="top"/>
          </w:tcPr>
          <w:p w14:paraId="3012CAD8">
            <w:pPr>
              <w:autoSpaceDE w:val="0"/>
              <w:autoSpaceDN w:val="0"/>
              <w:adjustRightInd w:val="0"/>
              <w:snapToGrid w:val="0"/>
              <w:spacing w:line="300" w:lineRule="exact"/>
              <w:ind w:firstLine="0" w:firstLineChars="0"/>
              <w:jc w:val="center"/>
              <w:rPr>
                <w:rFonts w:hint="default" w:ascii="Times New Roman" w:hAnsi="Times New Roman" w:cs="Times New Roman" w:eastAsiaTheme="minorEastAsia"/>
                <w:color w:val="000000" w:themeColor="text1"/>
                <w:kern w:val="0"/>
                <w:sz w:val="21"/>
                <w:szCs w:val="22"/>
                <w:lang w:eastAsia="en-US"/>
                <w14:textFill>
                  <w14:solidFill>
                    <w14:schemeClr w14:val="tx1"/>
                  </w14:solidFill>
                </w14:textFill>
              </w:rPr>
            </w:pPr>
            <w:r>
              <w:rPr>
                <w:rFonts w:hint="default" w:ascii="Times New Roman" w:hAnsi="Times New Roman" w:cs="Times New Roman" w:eastAsiaTheme="minorEastAsia"/>
                <w:color w:val="000000" w:themeColor="text1"/>
                <w:kern w:val="0"/>
                <w:sz w:val="21"/>
                <w:szCs w:val="22"/>
                <w:lang w:eastAsia="en-US"/>
                <w14:textFill>
                  <w14:solidFill>
                    <w14:schemeClr w14:val="tx1"/>
                  </w14:solidFill>
                </w14:textFill>
              </w:rPr>
              <w:t>达标</w:t>
            </w:r>
          </w:p>
        </w:tc>
      </w:tr>
      <w:tr w14:paraId="7E152C8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41" w:hRule="atLeast"/>
        </w:trPr>
        <w:tc>
          <w:tcPr>
            <w:tcW w:w="308" w:type="pct"/>
            <w:tcBorders>
              <w:top w:val="single" w:color="000000" w:sz="4" w:space="0"/>
              <w:left w:val="single" w:color="000000" w:sz="12" w:space="0"/>
              <w:bottom w:val="single" w:color="000000" w:sz="4" w:space="0"/>
            </w:tcBorders>
          </w:tcPr>
          <w:p w14:paraId="45020629">
            <w:pPr>
              <w:autoSpaceDE w:val="0"/>
              <w:autoSpaceDN w:val="0"/>
              <w:adjustRightInd w:val="0"/>
              <w:snapToGrid w:val="0"/>
              <w:spacing w:line="300" w:lineRule="exact"/>
              <w:ind w:firstLine="0" w:firstLineChars="0"/>
              <w:jc w:val="center"/>
              <w:rPr>
                <w:rFonts w:asciiTheme="minorHAnsi" w:hAnsiTheme="minorHAnsi" w:eastAsiaTheme="minorEastAsia" w:cstheme="minorBidi"/>
                <w:color w:val="000000" w:themeColor="text1"/>
                <w:kern w:val="0"/>
                <w:sz w:val="21"/>
                <w:szCs w:val="22"/>
                <w:lang w:eastAsia="en-US"/>
                <w14:textFill>
                  <w14:solidFill>
                    <w14:schemeClr w14:val="tx1"/>
                  </w14:solidFill>
                </w14:textFill>
              </w:rPr>
            </w:pPr>
            <w:r>
              <w:rPr>
                <w:rFonts w:asciiTheme="minorHAnsi" w:hAnsiTheme="minorHAnsi" w:eastAsiaTheme="minorEastAsia" w:cstheme="minorBidi"/>
                <w:color w:val="000000" w:themeColor="text1"/>
                <w:kern w:val="0"/>
                <w:sz w:val="21"/>
                <w:szCs w:val="22"/>
                <w:lang w:eastAsia="en-US"/>
                <w14:textFill>
                  <w14:solidFill>
                    <w14:schemeClr w14:val="tx1"/>
                  </w14:solidFill>
                </w14:textFill>
              </w:rPr>
              <w:t>N2</w:t>
            </w:r>
          </w:p>
        </w:tc>
        <w:tc>
          <w:tcPr>
            <w:tcW w:w="609" w:type="pct"/>
            <w:tcBorders>
              <w:top w:val="single" w:color="000000" w:sz="4" w:space="0"/>
              <w:bottom w:val="single" w:color="000000" w:sz="4" w:space="0"/>
            </w:tcBorders>
          </w:tcPr>
          <w:p w14:paraId="36FED142">
            <w:pPr>
              <w:autoSpaceDE w:val="0"/>
              <w:autoSpaceDN w:val="0"/>
              <w:adjustRightInd w:val="0"/>
              <w:snapToGrid w:val="0"/>
              <w:spacing w:line="300" w:lineRule="exact"/>
              <w:ind w:firstLine="0" w:firstLineChars="0"/>
              <w:jc w:val="center"/>
              <w:rPr>
                <w:rFonts w:asciiTheme="minorHAnsi" w:hAnsiTheme="minorHAnsi" w:eastAsiaTheme="minorEastAsia" w:cstheme="minorBidi"/>
                <w:color w:val="000000" w:themeColor="text1"/>
                <w:kern w:val="0"/>
                <w:sz w:val="21"/>
                <w:szCs w:val="22"/>
                <w:lang w:eastAsia="en-US"/>
                <w14:textFill>
                  <w14:solidFill>
                    <w14:schemeClr w14:val="tx1"/>
                  </w14:solidFill>
                </w14:textFill>
              </w:rPr>
            </w:pPr>
            <w:r>
              <w:rPr>
                <w:rFonts w:asciiTheme="minorHAnsi" w:hAnsiTheme="minorHAnsi" w:eastAsiaTheme="minorEastAsia" w:cstheme="minorBidi"/>
                <w:color w:val="000000" w:themeColor="text1"/>
                <w:kern w:val="0"/>
                <w:sz w:val="21"/>
                <w:szCs w:val="22"/>
                <w:lang w:eastAsia="en-US"/>
                <w14:textFill>
                  <w14:solidFill>
                    <w14:schemeClr w14:val="tx1"/>
                  </w14:solidFill>
                </w14:textFill>
              </w:rPr>
              <w:t>厂界南面</w:t>
            </w:r>
          </w:p>
        </w:tc>
        <w:tc>
          <w:tcPr>
            <w:tcW w:w="506" w:type="dxa"/>
            <w:tcBorders>
              <w:top w:val="single" w:color="000000" w:sz="4" w:space="0"/>
              <w:bottom w:val="single" w:color="000000" w:sz="4" w:space="0"/>
            </w:tcBorders>
            <w:vAlign w:val="top"/>
          </w:tcPr>
          <w:p w14:paraId="2F506A0A">
            <w:pPr>
              <w:autoSpaceDE w:val="0"/>
              <w:autoSpaceDN w:val="0"/>
              <w:adjustRightInd w:val="0"/>
              <w:snapToGrid w:val="0"/>
              <w:spacing w:line="300" w:lineRule="exact"/>
              <w:ind w:firstLine="0" w:firstLineChars="0"/>
              <w:jc w:val="center"/>
              <w:rPr>
                <w:rFonts w:hint="default" w:ascii="Times New Roman" w:hAnsi="Times New Roman" w:cs="Times New Roman" w:eastAsiaTheme="minorEastAsia"/>
                <w:color w:val="000000" w:themeColor="text1"/>
                <w:kern w:val="0"/>
                <w:sz w:val="21"/>
                <w:szCs w:val="22"/>
                <w:lang w:eastAsia="en-US"/>
                <w14:textFill>
                  <w14:solidFill>
                    <w14:schemeClr w14:val="tx1"/>
                  </w14:solidFill>
                </w14:textFill>
              </w:rPr>
            </w:pPr>
            <w:r>
              <w:rPr>
                <w:rFonts w:hint="default" w:ascii="Times New Roman" w:hAnsi="Times New Roman" w:cs="Times New Roman" w:eastAsiaTheme="minorEastAsia"/>
                <w:color w:val="000000" w:themeColor="text1"/>
                <w:kern w:val="0"/>
                <w:sz w:val="21"/>
                <w:szCs w:val="22"/>
                <w:lang w:eastAsia="en-US"/>
                <w14:textFill>
                  <w14:solidFill>
                    <w14:schemeClr w14:val="tx1"/>
                  </w14:solidFill>
                </w14:textFill>
              </w:rPr>
              <w:t>65</w:t>
            </w:r>
          </w:p>
        </w:tc>
        <w:tc>
          <w:tcPr>
            <w:tcW w:w="508" w:type="dxa"/>
            <w:tcBorders>
              <w:top w:val="single" w:color="000000" w:sz="4" w:space="0"/>
              <w:bottom w:val="single" w:color="000000" w:sz="4" w:space="0"/>
            </w:tcBorders>
            <w:vAlign w:val="top"/>
          </w:tcPr>
          <w:p w14:paraId="4E7D0F8B">
            <w:pPr>
              <w:autoSpaceDE w:val="0"/>
              <w:autoSpaceDN w:val="0"/>
              <w:adjustRightInd w:val="0"/>
              <w:snapToGrid w:val="0"/>
              <w:spacing w:line="300" w:lineRule="exact"/>
              <w:ind w:firstLine="0" w:firstLineChars="0"/>
              <w:jc w:val="center"/>
              <w:rPr>
                <w:rFonts w:hint="default" w:ascii="Times New Roman" w:hAnsi="Times New Roman" w:cs="Times New Roman" w:eastAsiaTheme="minorEastAsia"/>
                <w:color w:val="000000" w:themeColor="text1"/>
                <w:kern w:val="0"/>
                <w:sz w:val="21"/>
                <w:szCs w:val="22"/>
                <w:lang w:eastAsia="en-US"/>
                <w14:textFill>
                  <w14:solidFill>
                    <w14:schemeClr w14:val="tx1"/>
                  </w14:solidFill>
                </w14:textFill>
              </w:rPr>
            </w:pPr>
            <w:r>
              <w:rPr>
                <w:rFonts w:hint="default" w:ascii="Times New Roman" w:hAnsi="Times New Roman" w:cs="Times New Roman" w:eastAsiaTheme="minorEastAsia"/>
                <w:color w:val="000000" w:themeColor="text1"/>
                <w:kern w:val="0"/>
                <w:sz w:val="21"/>
                <w:szCs w:val="22"/>
                <w:lang w:eastAsia="en-US"/>
                <w14:textFill>
                  <w14:solidFill>
                    <w14:schemeClr w14:val="tx1"/>
                  </w14:solidFill>
                </w14:textFill>
              </w:rPr>
              <w:t>55</w:t>
            </w:r>
          </w:p>
        </w:tc>
        <w:tc>
          <w:tcPr>
            <w:tcW w:w="637" w:type="dxa"/>
            <w:tcBorders>
              <w:top w:val="single" w:color="000000" w:sz="4" w:space="0"/>
              <w:bottom w:val="single" w:color="000000" w:sz="4" w:space="0"/>
            </w:tcBorders>
            <w:vAlign w:val="top"/>
          </w:tcPr>
          <w:p w14:paraId="5E1D7D26">
            <w:pPr>
              <w:autoSpaceDE w:val="0"/>
              <w:autoSpaceDN w:val="0"/>
              <w:adjustRightInd w:val="0"/>
              <w:snapToGrid w:val="0"/>
              <w:spacing w:line="300" w:lineRule="exact"/>
              <w:ind w:firstLine="0" w:firstLineChars="0"/>
              <w:jc w:val="center"/>
              <w:rPr>
                <w:rFonts w:hint="default" w:ascii="Times New Roman" w:hAnsi="Times New Roman" w:cs="Times New Roman" w:eastAsiaTheme="minorEastAsia"/>
                <w:color w:val="000000" w:themeColor="text1"/>
                <w:kern w:val="0"/>
                <w:sz w:val="21"/>
                <w:szCs w:val="22"/>
                <w:lang w:val="en-US" w:eastAsia="zh-CN"/>
                <w14:textFill>
                  <w14:solidFill>
                    <w14:schemeClr w14:val="tx1"/>
                  </w14:solidFill>
                </w14:textFill>
              </w:rPr>
            </w:pPr>
          </w:p>
        </w:tc>
        <w:tc>
          <w:tcPr>
            <w:tcW w:w="889" w:type="dxa"/>
            <w:tcBorders>
              <w:top w:val="single" w:color="000000" w:sz="4" w:space="0"/>
              <w:bottom w:val="single" w:color="000000" w:sz="4" w:space="0"/>
            </w:tcBorders>
            <w:vAlign w:val="top"/>
          </w:tcPr>
          <w:p w14:paraId="64A22B76">
            <w:pPr>
              <w:autoSpaceDE w:val="0"/>
              <w:autoSpaceDN w:val="0"/>
              <w:adjustRightInd w:val="0"/>
              <w:snapToGrid w:val="0"/>
              <w:spacing w:line="300" w:lineRule="exact"/>
              <w:ind w:firstLine="0" w:firstLineChars="0"/>
              <w:jc w:val="center"/>
              <w:rPr>
                <w:rFonts w:hint="default" w:ascii="Times New Roman" w:hAnsi="Times New Roman" w:cs="Times New Roman" w:eastAsiaTheme="minorEastAsia"/>
                <w:color w:val="000000" w:themeColor="text1"/>
                <w:kern w:val="0"/>
                <w:sz w:val="21"/>
                <w:szCs w:val="22"/>
                <w:lang w:eastAsia="en-US"/>
                <w14:textFill>
                  <w14:solidFill>
                    <w14:schemeClr w14:val="tx1"/>
                  </w14:solidFill>
                </w14:textFill>
              </w:rPr>
            </w:pPr>
            <w:r>
              <w:rPr>
                <w:rFonts w:hint="default" w:ascii="Times New Roman" w:hAnsi="Times New Roman" w:cs="Times New Roman" w:eastAsiaTheme="minorEastAsia"/>
                <w:color w:val="000000" w:themeColor="text1"/>
                <w:kern w:val="0"/>
                <w:sz w:val="21"/>
                <w:szCs w:val="22"/>
                <w:lang w:eastAsia="en-US"/>
                <w14:textFill>
                  <w14:solidFill>
                    <w14:schemeClr w14:val="tx1"/>
                  </w14:solidFill>
                </w14:textFill>
              </w:rPr>
              <w:t>达标</w:t>
            </w:r>
          </w:p>
        </w:tc>
        <w:tc>
          <w:tcPr>
            <w:tcW w:w="506" w:type="dxa"/>
            <w:tcBorders>
              <w:top w:val="single" w:color="000000" w:sz="4" w:space="0"/>
              <w:bottom w:val="single" w:color="000000" w:sz="4" w:space="0"/>
            </w:tcBorders>
            <w:vAlign w:val="top"/>
          </w:tcPr>
          <w:p w14:paraId="6B68B641">
            <w:pPr>
              <w:autoSpaceDE w:val="0"/>
              <w:autoSpaceDN w:val="0"/>
              <w:adjustRightInd w:val="0"/>
              <w:snapToGrid w:val="0"/>
              <w:spacing w:line="300" w:lineRule="exact"/>
              <w:ind w:firstLine="0" w:firstLineChars="0"/>
              <w:jc w:val="center"/>
              <w:rPr>
                <w:rFonts w:hint="default" w:ascii="Times New Roman" w:hAnsi="Times New Roman" w:cs="Times New Roman" w:eastAsiaTheme="minorEastAsia"/>
                <w:color w:val="000000" w:themeColor="text1"/>
                <w:kern w:val="0"/>
                <w:sz w:val="21"/>
                <w:szCs w:val="22"/>
                <w:lang w:val="en-US" w:eastAsia="zh-CN"/>
                <w14:textFill>
                  <w14:solidFill>
                    <w14:schemeClr w14:val="tx1"/>
                  </w14:solidFill>
                </w14:textFill>
              </w:rPr>
            </w:pPr>
          </w:p>
        </w:tc>
        <w:tc>
          <w:tcPr>
            <w:tcW w:w="766" w:type="dxa"/>
            <w:tcBorders>
              <w:top w:val="single" w:color="000000" w:sz="4" w:space="0"/>
              <w:bottom w:val="single" w:color="000000" w:sz="4" w:space="0"/>
            </w:tcBorders>
            <w:vAlign w:val="top"/>
          </w:tcPr>
          <w:p w14:paraId="3B4C2817">
            <w:pPr>
              <w:autoSpaceDE w:val="0"/>
              <w:autoSpaceDN w:val="0"/>
              <w:adjustRightInd w:val="0"/>
              <w:snapToGrid w:val="0"/>
              <w:spacing w:line="300" w:lineRule="exact"/>
              <w:ind w:firstLine="0" w:firstLineChars="0"/>
              <w:jc w:val="center"/>
              <w:rPr>
                <w:rFonts w:hint="default" w:ascii="Times New Roman" w:hAnsi="Times New Roman" w:cs="Times New Roman" w:eastAsiaTheme="minorEastAsia"/>
                <w:color w:val="000000" w:themeColor="text1"/>
                <w:kern w:val="0"/>
                <w:sz w:val="21"/>
                <w:szCs w:val="22"/>
                <w:lang w:eastAsia="en-US"/>
                <w14:textFill>
                  <w14:solidFill>
                    <w14:schemeClr w14:val="tx1"/>
                  </w14:solidFill>
                </w14:textFill>
              </w:rPr>
            </w:pPr>
            <w:r>
              <w:rPr>
                <w:rFonts w:hint="default" w:ascii="Times New Roman" w:hAnsi="Times New Roman" w:cs="Times New Roman" w:eastAsiaTheme="minorEastAsia"/>
                <w:color w:val="000000" w:themeColor="text1"/>
                <w:kern w:val="0"/>
                <w:sz w:val="21"/>
                <w:szCs w:val="22"/>
                <w:lang w:eastAsia="en-US"/>
                <w14:textFill>
                  <w14:solidFill>
                    <w14:schemeClr w14:val="tx1"/>
                  </w14:solidFill>
                </w14:textFill>
              </w:rPr>
              <w:t>达标</w:t>
            </w:r>
          </w:p>
        </w:tc>
        <w:tc>
          <w:tcPr>
            <w:tcW w:w="506" w:type="dxa"/>
            <w:tcBorders>
              <w:top w:val="single" w:color="000000" w:sz="4" w:space="0"/>
              <w:bottom w:val="single" w:color="000000" w:sz="4" w:space="0"/>
            </w:tcBorders>
            <w:vAlign w:val="top"/>
          </w:tcPr>
          <w:p w14:paraId="7EFB963E">
            <w:pPr>
              <w:autoSpaceDE w:val="0"/>
              <w:autoSpaceDN w:val="0"/>
              <w:adjustRightInd w:val="0"/>
              <w:snapToGrid w:val="0"/>
              <w:spacing w:line="300" w:lineRule="exact"/>
              <w:ind w:firstLine="0" w:firstLineChars="0"/>
              <w:jc w:val="center"/>
              <w:rPr>
                <w:rFonts w:hint="default" w:ascii="Times New Roman" w:hAnsi="Times New Roman" w:cs="Times New Roman" w:eastAsiaTheme="minorEastAsia"/>
                <w:color w:val="000000" w:themeColor="text1"/>
                <w:kern w:val="0"/>
                <w:sz w:val="21"/>
                <w:szCs w:val="22"/>
                <w:lang w:val="en-US" w:eastAsia="zh-CN"/>
                <w14:textFill>
                  <w14:solidFill>
                    <w14:schemeClr w14:val="tx1"/>
                  </w14:solidFill>
                </w14:textFill>
              </w:rPr>
            </w:pPr>
          </w:p>
        </w:tc>
        <w:tc>
          <w:tcPr>
            <w:tcW w:w="891" w:type="dxa"/>
            <w:tcBorders>
              <w:top w:val="single" w:color="000000" w:sz="4" w:space="0"/>
              <w:bottom w:val="single" w:color="000000" w:sz="4" w:space="0"/>
            </w:tcBorders>
            <w:vAlign w:val="top"/>
          </w:tcPr>
          <w:p w14:paraId="77870218">
            <w:pPr>
              <w:autoSpaceDE w:val="0"/>
              <w:autoSpaceDN w:val="0"/>
              <w:adjustRightInd w:val="0"/>
              <w:snapToGrid w:val="0"/>
              <w:spacing w:line="300" w:lineRule="exact"/>
              <w:ind w:firstLine="0" w:firstLineChars="0"/>
              <w:jc w:val="center"/>
              <w:rPr>
                <w:rFonts w:hint="default" w:ascii="Times New Roman" w:hAnsi="Times New Roman" w:cs="Times New Roman" w:eastAsiaTheme="minorEastAsia"/>
                <w:color w:val="000000" w:themeColor="text1"/>
                <w:kern w:val="0"/>
                <w:sz w:val="21"/>
                <w:szCs w:val="22"/>
                <w:lang w:eastAsia="en-US"/>
                <w14:textFill>
                  <w14:solidFill>
                    <w14:schemeClr w14:val="tx1"/>
                  </w14:solidFill>
                </w14:textFill>
              </w:rPr>
            </w:pPr>
            <w:r>
              <w:rPr>
                <w:rFonts w:hint="default" w:ascii="Times New Roman" w:hAnsi="Times New Roman" w:cs="Times New Roman" w:eastAsiaTheme="minorEastAsia"/>
                <w:color w:val="000000" w:themeColor="text1"/>
                <w:kern w:val="0"/>
                <w:sz w:val="21"/>
                <w:szCs w:val="22"/>
                <w:lang w:eastAsia="en-US"/>
                <w14:textFill>
                  <w14:solidFill>
                    <w14:schemeClr w14:val="tx1"/>
                  </w14:solidFill>
                </w14:textFill>
              </w:rPr>
              <w:t>达标</w:t>
            </w:r>
          </w:p>
        </w:tc>
        <w:tc>
          <w:tcPr>
            <w:tcW w:w="759" w:type="dxa"/>
            <w:tcBorders>
              <w:top w:val="single" w:color="000000" w:sz="4" w:space="0"/>
              <w:bottom w:val="single" w:color="000000" w:sz="4" w:space="0"/>
            </w:tcBorders>
            <w:vAlign w:val="top"/>
          </w:tcPr>
          <w:p w14:paraId="3F39D259">
            <w:pPr>
              <w:autoSpaceDE w:val="0"/>
              <w:autoSpaceDN w:val="0"/>
              <w:adjustRightInd w:val="0"/>
              <w:snapToGrid w:val="0"/>
              <w:spacing w:line="300" w:lineRule="exact"/>
              <w:ind w:firstLine="0" w:firstLineChars="0"/>
              <w:jc w:val="center"/>
              <w:rPr>
                <w:rFonts w:hint="default" w:ascii="Times New Roman" w:hAnsi="Times New Roman" w:cs="Times New Roman" w:eastAsiaTheme="minorEastAsia"/>
                <w:color w:val="000000" w:themeColor="text1"/>
                <w:kern w:val="0"/>
                <w:sz w:val="21"/>
                <w:szCs w:val="22"/>
                <w:lang w:val="en-US" w:eastAsia="zh-CN"/>
                <w14:textFill>
                  <w14:solidFill>
                    <w14:schemeClr w14:val="tx1"/>
                  </w14:solidFill>
                </w14:textFill>
              </w:rPr>
            </w:pPr>
          </w:p>
        </w:tc>
        <w:tc>
          <w:tcPr>
            <w:tcW w:w="855" w:type="dxa"/>
            <w:tcBorders>
              <w:top w:val="single" w:color="000000" w:sz="4" w:space="0"/>
              <w:bottom w:val="single" w:color="000000" w:sz="4" w:space="0"/>
              <w:right w:val="single" w:color="000000" w:sz="12" w:space="0"/>
            </w:tcBorders>
            <w:vAlign w:val="top"/>
          </w:tcPr>
          <w:p w14:paraId="561B1CD8">
            <w:pPr>
              <w:autoSpaceDE w:val="0"/>
              <w:autoSpaceDN w:val="0"/>
              <w:adjustRightInd w:val="0"/>
              <w:snapToGrid w:val="0"/>
              <w:spacing w:line="300" w:lineRule="exact"/>
              <w:ind w:firstLine="0" w:firstLineChars="0"/>
              <w:jc w:val="center"/>
              <w:rPr>
                <w:rFonts w:hint="default" w:ascii="Times New Roman" w:hAnsi="Times New Roman" w:cs="Times New Roman" w:eastAsiaTheme="minorEastAsia"/>
                <w:color w:val="000000" w:themeColor="text1"/>
                <w:kern w:val="0"/>
                <w:sz w:val="21"/>
                <w:szCs w:val="22"/>
                <w:lang w:eastAsia="en-US"/>
                <w14:textFill>
                  <w14:solidFill>
                    <w14:schemeClr w14:val="tx1"/>
                  </w14:solidFill>
                </w14:textFill>
              </w:rPr>
            </w:pPr>
            <w:r>
              <w:rPr>
                <w:rFonts w:hint="default" w:ascii="Times New Roman" w:hAnsi="Times New Roman" w:cs="Times New Roman" w:eastAsiaTheme="minorEastAsia"/>
                <w:color w:val="000000" w:themeColor="text1"/>
                <w:kern w:val="0"/>
                <w:sz w:val="21"/>
                <w:szCs w:val="22"/>
                <w:lang w:eastAsia="en-US"/>
                <w14:textFill>
                  <w14:solidFill>
                    <w14:schemeClr w14:val="tx1"/>
                  </w14:solidFill>
                </w14:textFill>
              </w:rPr>
              <w:t>达标</w:t>
            </w:r>
          </w:p>
        </w:tc>
      </w:tr>
      <w:tr w14:paraId="392FBD7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44" w:hRule="atLeast"/>
        </w:trPr>
        <w:tc>
          <w:tcPr>
            <w:tcW w:w="308" w:type="pct"/>
            <w:tcBorders>
              <w:top w:val="single" w:color="000000" w:sz="4" w:space="0"/>
              <w:left w:val="single" w:color="000000" w:sz="12" w:space="0"/>
              <w:bottom w:val="single" w:color="000000" w:sz="4" w:space="0"/>
            </w:tcBorders>
          </w:tcPr>
          <w:p w14:paraId="73FD06EC">
            <w:pPr>
              <w:autoSpaceDE w:val="0"/>
              <w:autoSpaceDN w:val="0"/>
              <w:adjustRightInd w:val="0"/>
              <w:snapToGrid w:val="0"/>
              <w:spacing w:line="300" w:lineRule="exact"/>
              <w:ind w:firstLine="0" w:firstLineChars="0"/>
              <w:jc w:val="center"/>
              <w:rPr>
                <w:rFonts w:asciiTheme="minorHAnsi" w:hAnsiTheme="minorHAnsi" w:eastAsiaTheme="minorEastAsia" w:cstheme="minorBidi"/>
                <w:color w:val="000000" w:themeColor="text1"/>
                <w:kern w:val="0"/>
                <w:sz w:val="21"/>
                <w:szCs w:val="22"/>
                <w:lang w:eastAsia="en-US"/>
                <w14:textFill>
                  <w14:solidFill>
                    <w14:schemeClr w14:val="tx1"/>
                  </w14:solidFill>
                </w14:textFill>
              </w:rPr>
            </w:pPr>
            <w:r>
              <w:rPr>
                <w:rFonts w:asciiTheme="minorHAnsi" w:hAnsiTheme="minorHAnsi" w:eastAsiaTheme="minorEastAsia" w:cstheme="minorBidi"/>
                <w:color w:val="000000" w:themeColor="text1"/>
                <w:kern w:val="0"/>
                <w:sz w:val="21"/>
                <w:szCs w:val="22"/>
                <w:lang w:eastAsia="en-US"/>
                <w14:textFill>
                  <w14:solidFill>
                    <w14:schemeClr w14:val="tx1"/>
                  </w14:solidFill>
                </w14:textFill>
              </w:rPr>
              <w:t>N3</w:t>
            </w:r>
          </w:p>
        </w:tc>
        <w:tc>
          <w:tcPr>
            <w:tcW w:w="609" w:type="pct"/>
            <w:tcBorders>
              <w:top w:val="single" w:color="000000" w:sz="4" w:space="0"/>
              <w:bottom w:val="single" w:color="000000" w:sz="4" w:space="0"/>
            </w:tcBorders>
          </w:tcPr>
          <w:p w14:paraId="548429FA">
            <w:pPr>
              <w:autoSpaceDE w:val="0"/>
              <w:autoSpaceDN w:val="0"/>
              <w:adjustRightInd w:val="0"/>
              <w:snapToGrid w:val="0"/>
              <w:spacing w:line="300" w:lineRule="exact"/>
              <w:ind w:firstLine="0" w:firstLineChars="0"/>
              <w:jc w:val="center"/>
              <w:rPr>
                <w:rFonts w:asciiTheme="minorHAnsi" w:hAnsiTheme="minorHAnsi" w:eastAsiaTheme="minorEastAsia" w:cstheme="minorBidi"/>
                <w:color w:val="000000" w:themeColor="text1"/>
                <w:kern w:val="0"/>
                <w:sz w:val="21"/>
                <w:szCs w:val="22"/>
                <w:lang w:eastAsia="en-US"/>
                <w14:textFill>
                  <w14:solidFill>
                    <w14:schemeClr w14:val="tx1"/>
                  </w14:solidFill>
                </w14:textFill>
              </w:rPr>
            </w:pPr>
            <w:r>
              <w:rPr>
                <w:rFonts w:asciiTheme="minorHAnsi" w:hAnsiTheme="minorHAnsi" w:eastAsiaTheme="minorEastAsia" w:cstheme="minorBidi"/>
                <w:color w:val="000000" w:themeColor="text1"/>
                <w:kern w:val="0"/>
                <w:sz w:val="21"/>
                <w:szCs w:val="22"/>
                <w:lang w:eastAsia="en-US"/>
                <w14:textFill>
                  <w14:solidFill>
                    <w14:schemeClr w14:val="tx1"/>
                  </w14:solidFill>
                </w14:textFill>
              </w:rPr>
              <w:t>厂界西面</w:t>
            </w:r>
          </w:p>
        </w:tc>
        <w:tc>
          <w:tcPr>
            <w:tcW w:w="506" w:type="dxa"/>
            <w:tcBorders>
              <w:top w:val="single" w:color="000000" w:sz="4" w:space="0"/>
              <w:bottom w:val="single" w:color="000000" w:sz="4" w:space="0"/>
            </w:tcBorders>
            <w:vAlign w:val="top"/>
          </w:tcPr>
          <w:p w14:paraId="657AEE94">
            <w:pPr>
              <w:autoSpaceDE w:val="0"/>
              <w:autoSpaceDN w:val="0"/>
              <w:adjustRightInd w:val="0"/>
              <w:snapToGrid w:val="0"/>
              <w:spacing w:line="300" w:lineRule="exact"/>
              <w:ind w:firstLine="0" w:firstLineChars="0"/>
              <w:jc w:val="center"/>
              <w:rPr>
                <w:rFonts w:hint="default" w:ascii="Times New Roman" w:hAnsi="Times New Roman" w:cs="Times New Roman" w:eastAsiaTheme="minorEastAsia"/>
                <w:color w:val="000000" w:themeColor="text1"/>
                <w:kern w:val="0"/>
                <w:sz w:val="21"/>
                <w:szCs w:val="22"/>
                <w:lang w:eastAsia="en-US"/>
                <w14:textFill>
                  <w14:solidFill>
                    <w14:schemeClr w14:val="tx1"/>
                  </w14:solidFill>
                </w14:textFill>
              </w:rPr>
            </w:pPr>
            <w:r>
              <w:rPr>
                <w:rFonts w:hint="default" w:ascii="Times New Roman" w:hAnsi="Times New Roman" w:cs="Times New Roman" w:eastAsiaTheme="minorEastAsia"/>
                <w:color w:val="000000" w:themeColor="text1"/>
                <w:kern w:val="0"/>
                <w:sz w:val="21"/>
                <w:szCs w:val="22"/>
                <w:lang w:eastAsia="en-US"/>
                <w14:textFill>
                  <w14:solidFill>
                    <w14:schemeClr w14:val="tx1"/>
                  </w14:solidFill>
                </w14:textFill>
              </w:rPr>
              <w:t>65</w:t>
            </w:r>
          </w:p>
        </w:tc>
        <w:tc>
          <w:tcPr>
            <w:tcW w:w="508" w:type="dxa"/>
            <w:tcBorders>
              <w:top w:val="single" w:color="000000" w:sz="4" w:space="0"/>
              <w:bottom w:val="single" w:color="000000" w:sz="4" w:space="0"/>
            </w:tcBorders>
            <w:vAlign w:val="top"/>
          </w:tcPr>
          <w:p w14:paraId="4E9F7878">
            <w:pPr>
              <w:autoSpaceDE w:val="0"/>
              <w:autoSpaceDN w:val="0"/>
              <w:adjustRightInd w:val="0"/>
              <w:snapToGrid w:val="0"/>
              <w:spacing w:line="300" w:lineRule="exact"/>
              <w:ind w:firstLine="0" w:firstLineChars="0"/>
              <w:jc w:val="center"/>
              <w:rPr>
                <w:rFonts w:hint="default" w:ascii="Times New Roman" w:hAnsi="Times New Roman" w:cs="Times New Roman" w:eastAsiaTheme="minorEastAsia"/>
                <w:color w:val="000000" w:themeColor="text1"/>
                <w:kern w:val="0"/>
                <w:sz w:val="21"/>
                <w:szCs w:val="22"/>
                <w:lang w:eastAsia="en-US"/>
                <w14:textFill>
                  <w14:solidFill>
                    <w14:schemeClr w14:val="tx1"/>
                  </w14:solidFill>
                </w14:textFill>
              </w:rPr>
            </w:pPr>
            <w:r>
              <w:rPr>
                <w:rFonts w:hint="default" w:ascii="Times New Roman" w:hAnsi="Times New Roman" w:cs="Times New Roman" w:eastAsiaTheme="minorEastAsia"/>
                <w:color w:val="000000" w:themeColor="text1"/>
                <w:kern w:val="0"/>
                <w:sz w:val="21"/>
                <w:szCs w:val="22"/>
                <w:lang w:eastAsia="en-US"/>
                <w14:textFill>
                  <w14:solidFill>
                    <w14:schemeClr w14:val="tx1"/>
                  </w14:solidFill>
                </w14:textFill>
              </w:rPr>
              <w:t>55</w:t>
            </w:r>
          </w:p>
        </w:tc>
        <w:tc>
          <w:tcPr>
            <w:tcW w:w="637" w:type="dxa"/>
            <w:tcBorders>
              <w:top w:val="single" w:color="000000" w:sz="4" w:space="0"/>
              <w:bottom w:val="single" w:color="000000" w:sz="4" w:space="0"/>
            </w:tcBorders>
            <w:vAlign w:val="top"/>
          </w:tcPr>
          <w:p w14:paraId="7A542C7A">
            <w:pPr>
              <w:autoSpaceDE w:val="0"/>
              <w:autoSpaceDN w:val="0"/>
              <w:adjustRightInd w:val="0"/>
              <w:snapToGrid w:val="0"/>
              <w:spacing w:line="300" w:lineRule="exact"/>
              <w:ind w:firstLine="0" w:firstLineChars="0"/>
              <w:jc w:val="center"/>
              <w:rPr>
                <w:rFonts w:hint="default" w:ascii="Times New Roman" w:hAnsi="Times New Roman" w:cs="Times New Roman" w:eastAsiaTheme="minorEastAsia"/>
                <w:color w:val="000000" w:themeColor="text1"/>
                <w:kern w:val="0"/>
                <w:sz w:val="21"/>
                <w:szCs w:val="22"/>
                <w:lang w:val="en-US" w:eastAsia="zh-CN"/>
                <w14:textFill>
                  <w14:solidFill>
                    <w14:schemeClr w14:val="tx1"/>
                  </w14:solidFill>
                </w14:textFill>
              </w:rPr>
            </w:pPr>
          </w:p>
        </w:tc>
        <w:tc>
          <w:tcPr>
            <w:tcW w:w="889" w:type="dxa"/>
            <w:tcBorders>
              <w:top w:val="single" w:color="000000" w:sz="4" w:space="0"/>
              <w:bottom w:val="single" w:color="000000" w:sz="4" w:space="0"/>
            </w:tcBorders>
            <w:vAlign w:val="top"/>
          </w:tcPr>
          <w:p w14:paraId="1A95B1A7">
            <w:pPr>
              <w:autoSpaceDE w:val="0"/>
              <w:autoSpaceDN w:val="0"/>
              <w:adjustRightInd w:val="0"/>
              <w:snapToGrid w:val="0"/>
              <w:spacing w:line="300" w:lineRule="exact"/>
              <w:ind w:firstLine="0" w:firstLineChars="0"/>
              <w:jc w:val="center"/>
              <w:rPr>
                <w:rFonts w:hint="default" w:ascii="Times New Roman" w:hAnsi="Times New Roman" w:cs="Times New Roman" w:eastAsiaTheme="minorEastAsia"/>
                <w:color w:val="000000" w:themeColor="text1"/>
                <w:kern w:val="0"/>
                <w:sz w:val="21"/>
                <w:szCs w:val="22"/>
                <w:lang w:eastAsia="en-US"/>
                <w14:textFill>
                  <w14:solidFill>
                    <w14:schemeClr w14:val="tx1"/>
                  </w14:solidFill>
                </w14:textFill>
              </w:rPr>
            </w:pPr>
            <w:r>
              <w:rPr>
                <w:rFonts w:hint="default" w:ascii="Times New Roman" w:hAnsi="Times New Roman" w:cs="Times New Roman" w:eastAsiaTheme="minorEastAsia"/>
                <w:color w:val="000000" w:themeColor="text1"/>
                <w:kern w:val="0"/>
                <w:sz w:val="21"/>
                <w:szCs w:val="22"/>
                <w:lang w:eastAsia="en-US"/>
                <w14:textFill>
                  <w14:solidFill>
                    <w14:schemeClr w14:val="tx1"/>
                  </w14:solidFill>
                </w14:textFill>
              </w:rPr>
              <w:t>达标</w:t>
            </w:r>
          </w:p>
        </w:tc>
        <w:tc>
          <w:tcPr>
            <w:tcW w:w="506" w:type="dxa"/>
            <w:tcBorders>
              <w:top w:val="single" w:color="000000" w:sz="4" w:space="0"/>
              <w:bottom w:val="single" w:color="000000" w:sz="4" w:space="0"/>
            </w:tcBorders>
            <w:vAlign w:val="top"/>
          </w:tcPr>
          <w:p w14:paraId="294CEC7C">
            <w:pPr>
              <w:autoSpaceDE w:val="0"/>
              <w:autoSpaceDN w:val="0"/>
              <w:adjustRightInd w:val="0"/>
              <w:snapToGrid w:val="0"/>
              <w:spacing w:line="300" w:lineRule="exact"/>
              <w:ind w:firstLine="0" w:firstLineChars="0"/>
              <w:jc w:val="center"/>
              <w:rPr>
                <w:rFonts w:hint="default" w:ascii="Times New Roman" w:hAnsi="Times New Roman" w:cs="Times New Roman" w:eastAsiaTheme="minorEastAsia"/>
                <w:color w:val="000000" w:themeColor="text1"/>
                <w:kern w:val="0"/>
                <w:sz w:val="21"/>
                <w:szCs w:val="22"/>
                <w:lang w:val="en-US" w:eastAsia="zh-CN"/>
                <w14:textFill>
                  <w14:solidFill>
                    <w14:schemeClr w14:val="tx1"/>
                  </w14:solidFill>
                </w14:textFill>
              </w:rPr>
            </w:pPr>
          </w:p>
        </w:tc>
        <w:tc>
          <w:tcPr>
            <w:tcW w:w="766" w:type="dxa"/>
            <w:tcBorders>
              <w:top w:val="single" w:color="000000" w:sz="4" w:space="0"/>
              <w:bottom w:val="single" w:color="000000" w:sz="4" w:space="0"/>
            </w:tcBorders>
            <w:vAlign w:val="top"/>
          </w:tcPr>
          <w:p w14:paraId="2D68DFED">
            <w:pPr>
              <w:autoSpaceDE w:val="0"/>
              <w:autoSpaceDN w:val="0"/>
              <w:adjustRightInd w:val="0"/>
              <w:snapToGrid w:val="0"/>
              <w:spacing w:line="300" w:lineRule="exact"/>
              <w:ind w:firstLine="0" w:firstLineChars="0"/>
              <w:jc w:val="center"/>
              <w:rPr>
                <w:rFonts w:hint="default" w:ascii="Times New Roman" w:hAnsi="Times New Roman" w:cs="Times New Roman" w:eastAsiaTheme="minorEastAsia"/>
                <w:color w:val="000000" w:themeColor="text1"/>
                <w:kern w:val="0"/>
                <w:sz w:val="21"/>
                <w:szCs w:val="22"/>
                <w:lang w:eastAsia="en-US"/>
                <w14:textFill>
                  <w14:solidFill>
                    <w14:schemeClr w14:val="tx1"/>
                  </w14:solidFill>
                </w14:textFill>
              </w:rPr>
            </w:pPr>
            <w:r>
              <w:rPr>
                <w:rFonts w:hint="default" w:ascii="Times New Roman" w:hAnsi="Times New Roman" w:cs="Times New Roman" w:eastAsiaTheme="minorEastAsia"/>
                <w:color w:val="000000" w:themeColor="text1"/>
                <w:kern w:val="0"/>
                <w:sz w:val="21"/>
                <w:szCs w:val="22"/>
                <w:lang w:eastAsia="en-US"/>
                <w14:textFill>
                  <w14:solidFill>
                    <w14:schemeClr w14:val="tx1"/>
                  </w14:solidFill>
                </w14:textFill>
              </w:rPr>
              <w:t>达标</w:t>
            </w:r>
          </w:p>
        </w:tc>
        <w:tc>
          <w:tcPr>
            <w:tcW w:w="506" w:type="dxa"/>
            <w:tcBorders>
              <w:top w:val="single" w:color="000000" w:sz="4" w:space="0"/>
              <w:bottom w:val="single" w:color="000000" w:sz="4" w:space="0"/>
            </w:tcBorders>
            <w:vAlign w:val="top"/>
          </w:tcPr>
          <w:p w14:paraId="61806915">
            <w:pPr>
              <w:autoSpaceDE w:val="0"/>
              <w:autoSpaceDN w:val="0"/>
              <w:adjustRightInd w:val="0"/>
              <w:snapToGrid w:val="0"/>
              <w:spacing w:line="300" w:lineRule="exact"/>
              <w:ind w:firstLine="0" w:firstLineChars="0"/>
              <w:jc w:val="center"/>
              <w:rPr>
                <w:rFonts w:hint="default" w:ascii="Times New Roman" w:hAnsi="Times New Roman" w:cs="Times New Roman" w:eastAsiaTheme="minorEastAsia"/>
                <w:color w:val="000000" w:themeColor="text1"/>
                <w:kern w:val="0"/>
                <w:sz w:val="21"/>
                <w:szCs w:val="22"/>
                <w:lang w:val="en-US" w:eastAsia="zh-CN"/>
                <w14:textFill>
                  <w14:solidFill>
                    <w14:schemeClr w14:val="tx1"/>
                  </w14:solidFill>
                </w14:textFill>
              </w:rPr>
            </w:pPr>
          </w:p>
        </w:tc>
        <w:tc>
          <w:tcPr>
            <w:tcW w:w="891" w:type="dxa"/>
            <w:tcBorders>
              <w:top w:val="single" w:color="000000" w:sz="4" w:space="0"/>
              <w:bottom w:val="single" w:color="000000" w:sz="4" w:space="0"/>
            </w:tcBorders>
            <w:vAlign w:val="top"/>
          </w:tcPr>
          <w:p w14:paraId="17826C34">
            <w:pPr>
              <w:autoSpaceDE w:val="0"/>
              <w:autoSpaceDN w:val="0"/>
              <w:adjustRightInd w:val="0"/>
              <w:snapToGrid w:val="0"/>
              <w:spacing w:line="300" w:lineRule="exact"/>
              <w:ind w:firstLine="0" w:firstLineChars="0"/>
              <w:jc w:val="center"/>
              <w:rPr>
                <w:rFonts w:hint="default" w:ascii="Times New Roman" w:hAnsi="Times New Roman" w:cs="Times New Roman" w:eastAsiaTheme="minorEastAsia"/>
                <w:color w:val="000000" w:themeColor="text1"/>
                <w:kern w:val="0"/>
                <w:sz w:val="21"/>
                <w:szCs w:val="22"/>
                <w:lang w:eastAsia="en-US"/>
                <w14:textFill>
                  <w14:solidFill>
                    <w14:schemeClr w14:val="tx1"/>
                  </w14:solidFill>
                </w14:textFill>
              </w:rPr>
            </w:pPr>
            <w:r>
              <w:rPr>
                <w:rFonts w:hint="default" w:ascii="Times New Roman" w:hAnsi="Times New Roman" w:cs="Times New Roman" w:eastAsiaTheme="minorEastAsia"/>
                <w:color w:val="000000" w:themeColor="text1"/>
                <w:kern w:val="0"/>
                <w:sz w:val="21"/>
                <w:szCs w:val="22"/>
                <w:lang w:eastAsia="en-US"/>
                <w14:textFill>
                  <w14:solidFill>
                    <w14:schemeClr w14:val="tx1"/>
                  </w14:solidFill>
                </w14:textFill>
              </w:rPr>
              <w:t>达标</w:t>
            </w:r>
          </w:p>
        </w:tc>
        <w:tc>
          <w:tcPr>
            <w:tcW w:w="759" w:type="dxa"/>
            <w:tcBorders>
              <w:top w:val="single" w:color="000000" w:sz="4" w:space="0"/>
              <w:bottom w:val="single" w:color="000000" w:sz="4" w:space="0"/>
            </w:tcBorders>
            <w:vAlign w:val="top"/>
          </w:tcPr>
          <w:p w14:paraId="34B7FB7A">
            <w:pPr>
              <w:autoSpaceDE w:val="0"/>
              <w:autoSpaceDN w:val="0"/>
              <w:adjustRightInd w:val="0"/>
              <w:snapToGrid w:val="0"/>
              <w:spacing w:line="300" w:lineRule="exact"/>
              <w:ind w:firstLine="0" w:firstLineChars="0"/>
              <w:jc w:val="center"/>
              <w:rPr>
                <w:rFonts w:hint="default" w:ascii="Times New Roman" w:hAnsi="Times New Roman" w:cs="Times New Roman" w:eastAsiaTheme="minorEastAsia"/>
                <w:color w:val="000000" w:themeColor="text1"/>
                <w:kern w:val="0"/>
                <w:sz w:val="21"/>
                <w:szCs w:val="22"/>
                <w:lang w:val="en-US" w:eastAsia="zh-CN"/>
                <w14:textFill>
                  <w14:solidFill>
                    <w14:schemeClr w14:val="tx1"/>
                  </w14:solidFill>
                </w14:textFill>
              </w:rPr>
            </w:pPr>
          </w:p>
        </w:tc>
        <w:tc>
          <w:tcPr>
            <w:tcW w:w="855" w:type="dxa"/>
            <w:tcBorders>
              <w:top w:val="single" w:color="000000" w:sz="4" w:space="0"/>
              <w:bottom w:val="single" w:color="000000" w:sz="4" w:space="0"/>
              <w:right w:val="single" w:color="000000" w:sz="12" w:space="0"/>
            </w:tcBorders>
            <w:vAlign w:val="top"/>
          </w:tcPr>
          <w:p w14:paraId="2294686E">
            <w:pPr>
              <w:autoSpaceDE w:val="0"/>
              <w:autoSpaceDN w:val="0"/>
              <w:adjustRightInd w:val="0"/>
              <w:snapToGrid w:val="0"/>
              <w:spacing w:line="300" w:lineRule="exact"/>
              <w:ind w:firstLine="0" w:firstLineChars="0"/>
              <w:jc w:val="center"/>
              <w:rPr>
                <w:rFonts w:hint="default" w:ascii="Times New Roman" w:hAnsi="Times New Roman" w:cs="Times New Roman" w:eastAsiaTheme="minorEastAsia"/>
                <w:color w:val="000000" w:themeColor="text1"/>
                <w:kern w:val="0"/>
                <w:sz w:val="21"/>
                <w:szCs w:val="22"/>
                <w:lang w:eastAsia="en-US"/>
                <w14:textFill>
                  <w14:solidFill>
                    <w14:schemeClr w14:val="tx1"/>
                  </w14:solidFill>
                </w14:textFill>
              </w:rPr>
            </w:pPr>
            <w:r>
              <w:rPr>
                <w:rFonts w:hint="default" w:ascii="Times New Roman" w:hAnsi="Times New Roman" w:cs="Times New Roman" w:eastAsiaTheme="minorEastAsia"/>
                <w:color w:val="000000" w:themeColor="text1"/>
                <w:kern w:val="0"/>
                <w:sz w:val="21"/>
                <w:szCs w:val="22"/>
                <w:lang w:eastAsia="en-US"/>
                <w14:textFill>
                  <w14:solidFill>
                    <w14:schemeClr w14:val="tx1"/>
                  </w14:solidFill>
                </w14:textFill>
              </w:rPr>
              <w:t>达标</w:t>
            </w:r>
          </w:p>
        </w:tc>
      </w:tr>
      <w:tr w14:paraId="479B416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0" w:hRule="atLeast"/>
        </w:trPr>
        <w:tc>
          <w:tcPr>
            <w:tcW w:w="308" w:type="pct"/>
            <w:tcBorders>
              <w:top w:val="single" w:color="000000" w:sz="4" w:space="0"/>
              <w:left w:val="single" w:color="000000" w:sz="12" w:space="0"/>
              <w:bottom w:val="single" w:color="000000" w:sz="12" w:space="0"/>
            </w:tcBorders>
          </w:tcPr>
          <w:p w14:paraId="50BCB456">
            <w:pPr>
              <w:autoSpaceDE w:val="0"/>
              <w:autoSpaceDN w:val="0"/>
              <w:adjustRightInd w:val="0"/>
              <w:snapToGrid w:val="0"/>
              <w:spacing w:line="300" w:lineRule="exact"/>
              <w:ind w:firstLine="0" w:firstLineChars="0"/>
              <w:jc w:val="center"/>
              <w:rPr>
                <w:rFonts w:asciiTheme="minorHAnsi" w:hAnsiTheme="minorHAnsi" w:eastAsiaTheme="minorEastAsia" w:cstheme="minorBidi"/>
                <w:color w:val="000000" w:themeColor="text1"/>
                <w:kern w:val="0"/>
                <w:sz w:val="21"/>
                <w:szCs w:val="22"/>
                <w:lang w:eastAsia="en-US"/>
                <w14:textFill>
                  <w14:solidFill>
                    <w14:schemeClr w14:val="tx1"/>
                  </w14:solidFill>
                </w14:textFill>
              </w:rPr>
            </w:pPr>
            <w:r>
              <w:rPr>
                <w:rFonts w:asciiTheme="minorHAnsi" w:hAnsiTheme="minorHAnsi" w:eastAsiaTheme="minorEastAsia" w:cstheme="minorBidi"/>
                <w:color w:val="000000" w:themeColor="text1"/>
                <w:kern w:val="0"/>
                <w:sz w:val="21"/>
                <w:szCs w:val="22"/>
                <w:lang w:eastAsia="en-US"/>
                <w14:textFill>
                  <w14:solidFill>
                    <w14:schemeClr w14:val="tx1"/>
                  </w14:solidFill>
                </w14:textFill>
              </w:rPr>
              <w:t>N4</w:t>
            </w:r>
          </w:p>
        </w:tc>
        <w:tc>
          <w:tcPr>
            <w:tcW w:w="609" w:type="pct"/>
            <w:tcBorders>
              <w:top w:val="single" w:color="000000" w:sz="4" w:space="0"/>
              <w:bottom w:val="single" w:color="000000" w:sz="12" w:space="0"/>
            </w:tcBorders>
          </w:tcPr>
          <w:p w14:paraId="19F4DE3A">
            <w:pPr>
              <w:autoSpaceDE w:val="0"/>
              <w:autoSpaceDN w:val="0"/>
              <w:adjustRightInd w:val="0"/>
              <w:snapToGrid w:val="0"/>
              <w:spacing w:line="300" w:lineRule="exact"/>
              <w:ind w:firstLine="0" w:firstLineChars="0"/>
              <w:jc w:val="center"/>
              <w:rPr>
                <w:rFonts w:asciiTheme="minorHAnsi" w:hAnsiTheme="minorHAnsi" w:eastAsiaTheme="minorEastAsia" w:cstheme="minorBidi"/>
                <w:color w:val="000000" w:themeColor="text1"/>
                <w:kern w:val="0"/>
                <w:sz w:val="21"/>
                <w:szCs w:val="22"/>
                <w:lang w:eastAsia="en-US"/>
                <w14:textFill>
                  <w14:solidFill>
                    <w14:schemeClr w14:val="tx1"/>
                  </w14:solidFill>
                </w14:textFill>
              </w:rPr>
            </w:pPr>
            <w:r>
              <w:rPr>
                <w:rFonts w:asciiTheme="minorHAnsi" w:hAnsiTheme="minorHAnsi" w:eastAsiaTheme="minorEastAsia" w:cstheme="minorBidi"/>
                <w:color w:val="000000" w:themeColor="text1"/>
                <w:kern w:val="0"/>
                <w:sz w:val="21"/>
                <w:szCs w:val="22"/>
                <w:lang w:eastAsia="en-US"/>
                <w14:textFill>
                  <w14:solidFill>
                    <w14:schemeClr w14:val="tx1"/>
                  </w14:solidFill>
                </w14:textFill>
              </w:rPr>
              <w:t>厂界北面</w:t>
            </w:r>
          </w:p>
        </w:tc>
        <w:tc>
          <w:tcPr>
            <w:tcW w:w="506" w:type="dxa"/>
            <w:tcBorders>
              <w:top w:val="single" w:color="000000" w:sz="4" w:space="0"/>
              <w:bottom w:val="single" w:color="000000" w:sz="12" w:space="0"/>
            </w:tcBorders>
            <w:vAlign w:val="top"/>
          </w:tcPr>
          <w:p w14:paraId="16EA8F45">
            <w:pPr>
              <w:autoSpaceDE w:val="0"/>
              <w:autoSpaceDN w:val="0"/>
              <w:adjustRightInd w:val="0"/>
              <w:snapToGrid w:val="0"/>
              <w:spacing w:line="300" w:lineRule="exact"/>
              <w:ind w:firstLine="0" w:firstLineChars="0"/>
              <w:jc w:val="center"/>
              <w:rPr>
                <w:rFonts w:hint="default" w:ascii="Times New Roman" w:hAnsi="Times New Roman" w:cs="Times New Roman" w:eastAsiaTheme="minorEastAsia"/>
                <w:color w:val="000000" w:themeColor="text1"/>
                <w:kern w:val="0"/>
                <w:sz w:val="21"/>
                <w:szCs w:val="22"/>
                <w:lang w:eastAsia="en-US"/>
                <w14:textFill>
                  <w14:solidFill>
                    <w14:schemeClr w14:val="tx1"/>
                  </w14:solidFill>
                </w14:textFill>
              </w:rPr>
            </w:pPr>
            <w:r>
              <w:rPr>
                <w:rFonts w:hint="default" w:ascii="Times New Roman" w:hAnsi="Times New Roman" w:cs="Times New Roman" w:eastAsiaTheme="minorEastAsia"/>
                <w:color w:val="000000" w:themeColor="text1"/>
                <w:kern w:val="0"/>
                <w:sz w:val="21"/>
                <w:szCs w:val="22"/>
                <w:lang w:eastAsia="en-US"/>
                <w14:textFill>
                  <w14:solidFill>
                    <w14:schemeClr w14:val="tx1"/>
                  </w14:solidFill>
                </w14:textFill>
              </w:rPr>
              <w:t>65</w:t>
            </w:r>
          </w:p>
        </w:tc>
        <w:tc>
          <w:tcPr>
            <w:tcW w:w="508" w:type="dxa"/>
            <w:tcBorders>
              <w:top w:val="single" w:color="000000" w:sz="4" w:space="0"/>
              <w:bottom w:val="single" w:color="000000" w:sz="12" w:space="0"/>
            </w:tcBorders>
            <w:vAlign w:val="top"/>
          </w:tcPr>
          <w:p w14:paraId="1EEB7A86">
            <w:pPr>
              <w:autoSpaceDE w:val="0"/>
              <w:autoSpaceDN w:val="0"/>
              <w:adjustRightInd w:val="0"/>
              <w:snapToGrid w:val="0"/>
              <w:spacing w:line="300" w:lineRule="exact"/>
              <w:ind w:firstLine="0" w:firstLineChars="0"/>
              <w:jc w:val="center"/>
              <w:rPr>
                <w:rFonts w:hint="default" w:ascii="Times New Roman" w:hAnsi="Times New Roman" w:cs="Times New Roman" w:eastAsiaTheme="minorEastAsia"/>
                <w:color w:val="000000" w:themeColor="text1"/>
                <w:kern w:val="0"/>
                <w:sz w:val="21"/>
                <w:szCs w:val="22"/>
                <w:lang w:eastAsia="en-US"/>
                <w14:textFill>
                  <w14:solidFill>
                    <w14:schemeClr w14:val="tx1"/>
                  </w14:solidFill>
                </w14:textFill>
              </w:rPr>
            </w:pPr>
            <w:r>
              <w:rPr>
                <w:rFonts w:hint="default" w:ascii="Times New Roman" w:hAnsi="Times New Roman" w:cs="Times New Roman" w:eastAsiaTheme="minorEastAsia"/>
                <w:color w:val="000000" w:themeColor="text1"/>
                <w:kern w:val="0"/>
                <w:sz w:val="21"/>
                <w:szCs w:val="22"/>
                <w:lang w:eastAsia="en-US"/>
                <w14:textFill>
                  <w14:solidFill>
                    <w14:schemeClr w14:val="tx1"/>
                  </w14:solidFill>
                </w14:textFill>
              </w:rPr>
              <w:t>55</w:t>
            </w:r>
          </w:p>
        </w:tc>
        <w:tc>
          <w:tcPr>
            <w:tcW w:w="637" w:type="dxa"/>
            <w:tcBorders>
              <w:top w:val="single" w:color="000000" w:sz="4" w:space="0"/>
              <w:bottom w:val="single" w:color="000000" w:sz="12" w:space="0"/>
            </w:tcBorders>
            <w:vAlign w:val="top"/>
          </w:tcPr>
          <w:p w14:paraId="3A50816E">
            <w:pPr>
              <w:autoSpaceDE w:val="0"/>
              <w:autoSpaceDN w:val="0"/>
              <w:adjustRightInd w:val="0"/>
              <w:snapToGrid w:val="0"/>
              <w:spacing w:line="300" w:lineRule="exact"/>
              <w:ind w:firstLine="0" w:firstLineChars="0"/>
              <w:jc w:val="center"/>
              <w:rPr>
                <w:rFonts w:hint="default" w:ascii="Times New Roman" w:hAnsi="Times New Roman" w:cs="Times New Roman" w:eastAsiaTheme="minorEastAsia"/>
                <w:color w:val="000000" w:themeColor="text1"/>
                <w:kern w:val="0"/>
                <w:sz w:val="21"/>
                <w:szCs w:val="22"/>
                <w:lang w:val="en-US" w:eastAsia="zh-CN"/>
                <w14:textFill>
                  <w14:solidFill>
                    <w14:schemeClr w14:val="tx1"/>
                  </w14:solidFill>
                </w14:textFill>
              </w:rPr>
            </w:pPr>
          </w:p>
        </w:tc>
        <w:tc>
          <w:tcPr>
            <w:tcW w:w="889" w:type="dxa"/>
            <w:tcBorders>
              <w:top w:val="single" w:color="000000" w:sz="4" w:space="0"/>
              <w:bottom w:val="single" w:color="000000" w:sz="12" w:space="0"/>
            </w:tcBorders>
            <w:vAlign w:val="top"/>
          </w:tcPr>
          <w:p w14:paraId="1F31DEB2">
            <w:pPr>
              <w:autoSpaceDE w:val="0"/>
              <w:autoSpaceDN w:val="0"/>
              <w:adjustRightInd w:val="0"/>
              <w:snapToGrid w:val="0"/>
              <w:spacing w:line="300" w:lineRule="exact"/>
              <w:ind w:firstLine="0" w:firstLineChars="0"/>
              <w:jc w:val="center"/>
              <w:rPr>
                <w:rFonts w:hint="default" w:ascii="Times New Roman" w:hAnsi="Times New Roman" w:cs="Times New Roman" w:eastAsiaTheme="minorEastAsia"/>
                <w:color w:val="000000" w:themeColor="text1"/>
                <w:kern w:val="0"/>
                <w:sz w:val="21"/>
                <w:szCs w:val="22"/>
                <w:lang w:eastAsia="en-US"/>
                <w14:textFill>
                  <w14:solidFill>
                    <w14:schemeClr w14:val="tx1"/>
                  </w14:solidFill>
                </w14:textFill>
              </w:rPr>
            </w:pPr>
            <w:r>
              <w:rPr>
                <w:rFonts w:hint="default" w:ascii="Times New Roman" w:hAnsi="Times New Roman" w:cs="Times New Roman" w:eastAsiaTheme="minorEastAsia"/>
                <w:color w:val="000000" w:themeColor="text1"/>
                <w:kern w:val="0"/>
                <w:sz w:val="21"/>
                <w:szCs w:val="22"/>
                <w:lang w:eastAsia="en-US"/>
                <w14:textFill>
                  <w14:solidFill>
                    <w14:schemeClr w14:val="tx1"/>
                  </w14:solidFill>
                </w14:textFill>
              </w:rPr>
              <w:t>达标</w:t>
            </w:r>
          </w:p>
        </w:tc>
        <w:tc>
          <w:tcPr>
            <w:tcW w:w="506" w:type="dxa"/>
            <w:tcBorders>
              <w:top w:val="single" w:color="000000" w:sz="4" w:space="0"/>
              <w:bottom w:val="single" w:color="000000" w:sz="12" w:space="0"/>
            </w:tcBorders>
            <w:vAlign w:val="top"/>
          </w:tcPr>
          <w:p w14:paraId="78E05995">
            <w:pPr>
              <w:autoSpaceDE w:val="0"/>
              <w:autoSpaceDN w:val="0"/>
              <w:adjustRightInd w:val="0"/>
              <w:snapToGrid w:val="0"/>
              <w:spacing w:line="300" w:lineRule="exact"/>
              <w:ind w:firstLine="0" w:firstLineChars="0"/>
              <w:jc w:val="center"/>
              <w:rPr>
                <w:rFonts w:hint="default" w:ascii="Times New Roman" w:hAnsi="Times New Roman" w:cs="Times New Roman" w:eastAsiaTheme="minorEastAsia"/>
                <w:color w:val="000000" w:themeColor="text1"/>
                <w:kern w:val="0"/>
                <w:sz w:val="21"/>
                <w:szCs w:val="22"/>
                <w:lang w:val="en-US" w:eastAsia="zh-CN"/>
                <w14:textFill>
                  <w14:solidFill>
                    <w14:schemeClr w14:val="tx1"/>
                  </w14:solidFill>
                </w14:textFill>
              </w:rPr>
            </w:pPr>
          </w:p>
        </w:tc>
        <w:tc>
          <w:tcPr>
            <w:tcW w:w="766" w:type="dxa"/>
            <w:tcBorders>
              <w:top w:val="single" w:color="000000" w:sz="4" w:space="0"/>
              <w:bottom w:val="single" w:color="000000" w:sz="12" w:space="0"/>
            </w:tcBorders>
            <w:vAlign w:val="top"/>
          </w:tcPr>
          <w:p w14:paraId="12A41A40">
            <w:pPr>
              <w:autoSpaceDE w:val="0"/>
              <w:autoSpaceDN w:val="0"/>
              <w:adjustRightInd w:val="0"/>
              <w:snapToGrid w:val="0"/>
              <w:spacing w:line="300" w:lineRule="exact"/>
              <w:ind w:firstLine="0" w:firstLineChars="0"/>
              <w:jc w:val="center"/>
              <w:rPr>
                <w:rFonts w:hint="default" w:ascii="Times New Roman" w:hAnsi="Times New Roman" w:cs="Times New Roman" w:eastAsiaTheme="minorEastAsia"/>
                <w:color w:val="000000" w:themeColor="text1"/>
                <w:kern w:val="0"/>
                <w:sz w:val="21"/>
                <w:szCs w:val="22"/>
                <w:lang w:eastAsia="en-US"/>
                <w14:textFill>
                  <w14:solidFill>
                    <w14:schemeClr w14:val="tx1"/>
                  </w14:solidFill>
                </w14:textFill>
              </w:rPr>
            </w:pPr>
            <w:r>
              <w:rPr>
                <w:rFonts w:hint="default" w:ascii="Times New Roman" w:hAnsi="Times New Roman" w:cs="Times New Roman" w:eastAsiaTheme="minorEastAsia"/>
                <w:color w:val="000000" w:themeColor="text1"/>
                <w:kern w:val="0"/>
                <w:sz w:val="21"/>
                <w:szCs w:val="22"/>
                <w:lang w:eastAsia="en-US"/>
                <w14:textFill>
                  <w14:solidFill>
                    <w14:schemeClr w14:val="tx1"/>
                  </w14:solidFill>
                </w14:textFill>
              </w:rPr>
              <w:t>达标</w:t>
            </w:r>
          </w:p>
        </w:tc>
        <w:tc>
          <w:tcPr>
            <w:tcW w:w="506" w:type="dxa"/>
            <w:tcBorders>
              <w:top w:val="single" w:color="000000" w:sz="4" w:space="0"/>
              <w:bottom w:val="single" w:color="000000" w:sz="12" w:space="0"/>
            </w:tcBorders>
            <w:vAlign w:val="top"/>
          </w:tcPr>
          <w:p w14:paraId="09B8395F">
            <w:pPr>
              <w:autoSpaceDE w:val="0"/>
              <w:autoSpaceDN w:val="0"/>
              <w:adjustRightInd w:val="0"/>
              <w:snapToGrid w:val="0"/>
              <w:spacing w:line="300" w:lineRule="exact"/>
              <w:ind w:firstLine="0" w:firstLineChars="0"/>
              <w:jc w:val="center"/>
              <w:rPr>
                <w:rFonts w:hint="default" w:ascii="Times New Roman" w:hAnsi="Times New Roman" w:cs="Times New Roman" w:eastAsiaTheme="minorEastAsia"/>
                <w:color w:val="000000" w:themeColor="text1"/>
                <w:kern w:val="0"/>
                <w:sz w:val="21"/>
                <w:szCs w:val="22"/>
                <w:lang w:val="en-US" w:eastAsia="zh-CN"/>
                <w14:textFill>
                  <w14:solidFill>
                    <w14:schemeClr w14:val="tx1"/>
                  </w14:solidFill>
                </w14:textFill>
              </w:rPr>
            </w:pPr>
          </w:p>
        </w:tc>
        <w:tc>
          <w:tcPr>
            <w:tcW w:w="891" w:type="dxa"/>
            <w:tcBorders>
              <w:top w:val="single" w:color="000000" w:sz="4" w:space="0"/>
              <w:bottom w:val="single" w:color="000000" w:sz="12" w:space="0"/>
            </w:tcBorders>
            <w:vAlign w:val="top"/>
          </w:tcPr>
          <w:p w14:paraId="5E65880E">
            <w:pPr>
              <w:autoSpaceDE w:val="0"/>
              <w:autoSpaceDN w:val="0"/>
              <w:adjustRightInd w:val="0"/>
              <w:snapToGrid w:val="0"/>
              <w:spacing w:line="300" w:lineRule="exact"/>
              <w:ind w:firstLine="0" w:firstLineChars="0"/>
              <w:jc w:val="center"/>
              <w:rPr>
                <w:rFonts w:hint="default" w:ascii="Times New Roman" w:hAnsi="Times New Roman" w:cs="Times New Roman" w:eastAsiaTheme="minorEastAsia"/>
                <w:color w:val="000000" w:themeColor="text1"/>
                <w:kern w:val="0"/>
                <w:sz w:val="21"/>
                <w:szCs w:val="22"/>
                <w:lang w:eastAsia="en-US"/>
                <w14:textFill>
                  <w14:solidFill>
                    <w14:schemeClr w14:val="tx1"/>
                  </w14:solidFill>
                </w14:textFill>
              </w:rPr>
            </w:pPr>
            <w:r>
              <w:rPr>
                <w:rFonts w:hint="default" w:ascii="Times New Roman" w:hAnsi="Times New Roman" w:cs="Times New Roman" w:eastAsiaTheme="minorEastAsia"/>
                <w:color w:val="000000" w:themeColor="text1"/>
                <w:kern w:val="0"/>
                <w:sz w:val="21"/>
                <w:szCs w:val="22"/>
                <w:lang w:eastAsia="en-US"/>
                <w14:textFill>
                  <w14:solidFill>
                    <w14:schemeClr w14:val="tx1"/>
                  </w14:solidFill>
                </w14:textFill>
              </w:rPr>
              <w:t>达标</w:t>
            </w:r>
          </w:p>
        </w:tc>
        <w:tc>
          <w:tcPr>
            <w:tcW w:w="759" w:type="dxa"/>
            <w:tcBorders>
              <w:top w:val="single" w:color="000000" w:sz="4" w:space="0"/>
              <w:bottom w:val="single" w:color="000000" w:sz="12" w:space="0"/>
            </w:tcBorders>
            <w:vAlign w:val="top"/>
          </w:tcPr>
          <w:p w14:paraId="4554D2B0">
            <w:pPr>
              <w:autoSpaceDE w:val="0"/>
              <w:autoSpaceDN w:val="0"/>
              <w:adjustRightInd w:val="0"/>
              <w:snapToGrid w:val="0"/>
              <w:spacing w:line="300" w:lineRule="exact"/>
              <w:ind w:firstLine="0" w:firstLineChars="0"/>
              <w:jc w:val="center"/>
              <w:rPr>
                <w:rFonts w:hint="default" w:ascii="Times New Roman" w:hAnsi="Times New Roman" w:cs="Times New Roman" w:eastAsiaTheme="minorEastAsia"/>
                <w:color w:val="000000" w:themeColor="text1"/>
                <w:kern w:val="0"/>
                <w:sz w:val="21"/>
                <w:szCs w:val="22"/>
                <w:lang w:val="en-US" w:eastAsia="zh-CN"/>
                <w14:textFill>
                  <w14:solidFill>
                    <w14:schemeClr w14:val="tx1"/>
                  </w14:solidFill>
                </w14:textFill>
              </w:rPr>
            </w:pPr>
          </w:p>
        </w:tc>
        <w:tc>
          <w:tcPr>
            <w:tcW w:w="855" w:type="dxa"/>
            <w:tcBorders>
              <w:top w:val="single" w:color="000000" w:sz="4" w:space="0"/>
              <w:bottom w:val="single" w:color="000000" w:sz="12" w:space="0"/>
              <w:right w:val="single" w:color="000000" w:sz="12" w:space="0"/>
            </w:tcBorders>
            <w:vAlign w:val="top"/>
          </w:tcPr>
          <w:p w14:paraId="5C6BE551">
            <w:pPr>
              <w:autoSpaceDE w:val="0"/>
              <w:autoSpaceDN w:val="0"/>
              <w:adjustRightInd w:val="0"/>
              <w:snapToGrid w:val="0"/>
              <w:spacing w:line="300" w:lineRule="exact"/>
              <w:ind w:firstLine="0" w:firstLineChars="0"/>
              <w:jc w:val="center"/>
              <w:rPr>
                <w:rFonts w:hint="default" w:ascii="Times New Roman" w:hAnsi="Times New Roman" w:cs="Times New Roman" w:eastAsiaTheme="minorEastAsia"/>
                <w:color w:val="000000" w:themeColor="text1"/>
                <w:kern w:val="0"/>
                <w:sz w:val="21"/>
                <w:szCs w:val="22"/>
                <w:lang w:eastAsia="en-US"/>
                <w14:textFill>
                  <w14:solidFill>
                    <w14:schemeClr w14:val="tx1"/>
                  </w14:solidFill>
                </w14:textFill>
              </w:rPr>
            </w:pPr>
            <w:r>
              <w:rPr>
                <w:rFonts w:hint="default" w:ascii="Times New Roman" w:hAnsi="Times New Roman" w:cs="Times New Roman" w:eastAsiaTheme="minorEastAsia"/>
                <w:color w:val="000000" w:themeColor="text1"/>
                <w:kern w:val="0"/>
                <w:sz w:val="21"/>
                <w:szCs w:val="22"/>
                <w:lang w:eastAsia="en-US"/>
                <w14:textFill>
                  <w14:solidFill>
                    <w14:schemeClr w14:val="tx1"/>
                  </w14:solidFill>
                </w14:textFill>
              </w:rPr>
              <w:t>达标</w:t>
            </w:r>
          </w:p>
        </w:tc>
      </w:tr>
    </w:tbl>
    <w:p w14:paraId="2FDEFDA2">
      <w:pPr>
        <w:pStyle w:val="5"/>
        <w:rPr>
          <w:color w:val="000000" w:themeColor="text1"/>
          <w14:textFill>
            <w14:solidFill>
              <w14:schemeClr w14:val="tx1"/>
            </w14:solidFill>
          </w14:textFill>
        </w:rPr>
      </w:pPr>
      <w:bookmarkStart w:id="615" w:name="_Toc216620555"/>
      <w:r>
        <w:rPr>
          <w:color w:val="000000" w:themeColor="text1"/>
          <w14:textFill>
            <w14:solidFill>
              <w14:schemeClr w14:val="tx1"/>
            </w14:solidFill>
          </w14:textFill>
        </w:rPr>
        <w:t>土壤环境</w:t>
      </w:r>
      <w:bookmarkEnd w:id="610"/>
      <w:bookmarkEnd w:id="611"/>
      <w:bookmarkEnd w:id="615"/>
    </w:p>
    <w:p w14:paraId="114739DA">
      <w:pPr>
        <w:pStyle w:val="4"/>
        <w:rPr>
          <w:color w:val="000000" w:themeColor="text1"/>
          <w14:textFill>
            <w14:solidFill>
              <w14:schemeClr w14:val="tx1"/>
            </w14:solidFill>
          </w14:textFill>
        </w:rPr>
      </w:pPr>
      <w:bookmarkStart w:id="616" w:name="_Toc216620556"/>
      <w:bookmarkStart w:id="617" w:name="_Toc136878492"/>
      <w:r>
        <w:rPr>
          <w:color w:val="000000" w:themeColor="text1"/>
          <w14:textFill>
            <w14:solidFill>
              <w14:schemeClr w14:val="tx1"/>
            </w14:solidFill>
          </w14:textFill>
        </w:rPr>
        <w:t>监测点位及监测因子</w:t>
      </w:r>
      <w:bookmarkEnd w:id="616"/>
      <w:bookmarkEnd w:id="617"/>
    </w:p>
    <w:p w14:paraId="0CB3ADB3">
      <w:pPr>
        <w:ind w:firstLine="480"/>
        <w:rPr>
          <w:color w:val="000000" w:themeColor="text1"/>
          <w14:textFill>
            <w14:solidFill>
              <w14:schemeClr w14:val="tx1"/>
            </w14:solidFill>
          </w14:textFill>
        </w:rPr>
      </w:pPr>
      <w:r>
        <w:rPr>
          <w:color w:val="000000" w:themeColor="text1"/>
          <w14:textFill>
            <w14:solidFill>
              <w14:schemeClr w14:val="tx1"/>
            </w14:solidFill>
          </w14:textFill>
        </w:rPr>
        <w:t>项目土壤监测布点设置3个表层样点。土壤质量现状监测点位、监测因子见表3.6-1。</w:t>
      </w:r>
    </w:p>
    <w:p w14:paraId="53445D9F">
      <w:pPr>
        <w:pStyle w:val="7"/>
        <w:rPr>
          <w:color w:val="000000" w:themeColor="text1"/>
          <w14:textFill>
            <w14:solidFill>
              <w14:schemeClr w14:val="tx1"/>
            </w14:solidFill>
          </w14:textFill>
        </w:rPr>
      </w:pPr>
      <w:r>
        <w:rPr>
          <w:color w:val="000000" w:themeColor="text1"/>
          <w14:textFill>
            <w14:solidFill>
              <w14:schemeClr w14:val="tx1"/>
            </w14:solidFill>
          </w14:textFill>
        </w:rPr>
        <w:t>土壤监测点位</w:t>
      </w:r>
    </w:p>
    <w:tbl>
      <w:tblPr>
        <w:tblStyle w:val="43"/>
        <w:tblW w:w="8740"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2219"/>
        <w:gridCol w:w="6521"/>
      </w:tblGrid>
      <w:tr w14:paraId="639F278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219" w:type="dxa"/>
            <w:vAlign w:val="center"/>
          </w:tcPr>
          <w:p w14:paraId="5909817C">
            <w:pPr>
              <w:spacing w:line="240" w:lineRule="exact"/>
              <w:ind w:firstLine="0" w:firstLineChars="0"/>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监测点位</w:t>
            </w:r>
          </w:p>
        </w:tc>
        <w:tc>
          <w:tcPr>
            <w:tcW w:w="6521" w:type="dxa"/>
            <w:vAlign w:val="center"/>
          </w:tcPr>
          <w:p w14:paraId="28931AB2">
            <w:pPr>
              <w:spacing w:line="240" w:lineRule="exact"/>
              <w:ind w:firstLine="0" w:firstLineChars="0"/>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监测因子</w:t>
            </w:r>
          </w:p>
        </w:tc>
      </w:tr>
      <w:tr w14:paraId="1CDC92C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415" w:hRule="atLeast"/>
          <w:jc w:val="center"/>
        </w:trPr>
        <w:tc>
          <w:tcPr>
            <w:tcW w:w="2219" w:type="dxa"/>
            <w:vAlign w:val="center"/>
          </w:tcPr>
          <w:p w14:paraId="31CBA007">
            <w:pPr>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T1</w:t>
            </w:r>
            <w:r>
              <w:rPr>
                <w:rFonts w:hint="eastAsia"/>
                <w:color w:val="000000" w:themeColor="text1"/>
                <w:sz w:val="21"/>
                <w:szCs w:val="21"/>
                <w14:textFill>
                  <w14:solidFill>
                    <w14:schemeClr w14:val="tx1"/>
                  </w14:solidFill>
                </w14:textFill>
              </w:rPr>
              <w:t>码头西南侧罐区</w:t>
            </w:r>
          </w:p>
        </w:tc>
        <w:tc>
          <w:tcPr>
            <w:tcW w:w="6521" w:type="dxa"/>
            <w:vAlign w:val="center"/>
          </w:tcPr>
          <w:p w14:paraId="2FC2AB37">
            <w:pPr>
              <w:spacing w:line="240" w:lineRule="exac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石油烃</w:t>
            </w:r>
            <w:r>
              <w:rPr>
                <w:color w:val="000000" w:themeColor="text1"/>
                <w:sz w:val="21"/>
                <w:szCs w:val="21"/>
                <w14:textFill>
                  <w14:solidFill>
                    <w14:schemeClr w14:val="tx1"/>
                  </w14:solidFill>
                </w14:textFill>
              </w:rPr>
              <w:t>(C10-C40)*</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pH</w:t>
            </w:r>
            <w:r>
              <w:rPr>
                <w:rFonts w:hint="eastAsia"/>
                <w:color w:val="000000" w:themeColor="text1"/>
                <w:sz w:val="21"/>
                <w:szCs w:val="21"/>
                <w14:textFill>
                  <w14:solidFill>
                    <w14:schemeClr w14:val="tx1"/>
                  </w14:solidFill>
                </w14:textFill>
              </w:rPr>
              <w:t>、镉、汞、砷、铅、铜、镍、六价铬、四氯化碳</w:t>
            </w:r>
            <w:r>
              <w:rPr>
                <w:color w:val="000000" w:themeColor="text1"/>
                <w:sz w:val="21"/>
                <w:szCs w:val="21"/>
                <w14:textFill>
                  <w14:solidFill>
                    <w14:schemeClr w14:val="tx1"/>
                  </w14:solidFill>
                </w14:textFill>
              </w:rPr>
              <w:t>*</w:t>
            </w:r>
            <w:r>
              <w:rPr>
                <w:rFonts w:hint="eastAsia"/>
                <w:color w:val="000000" w:themeColor="text1"/>
                <w:sz w:val="21"/>
                <w:szCs w:val="21"/>
                <w14:textFill>
                  <w14:solidFill>
                    <w14:schemeClr w14:val="tx1"/>
                  </w14:solidFill>
                </w14:textFill>
              </w:rPr>
              <w:t>、氯仿</w:t>
            </w:r>
            <w:r>
              <w:rPr>
                <w:color w:val="000000" w:themeColor="text1"/>
                <w:sz w:val="21"/>
                <w:szCs w:val="21"/>
                <w14:textFill>
                  <w14:solidFill>
                    <w14:schemeClr w14:val="tx1"/>
                  </w14:solidFill>
                </w14:textFill>
              </w:rPr>
              <w:t>*</w:t>
            </w:r>
            <w:r>
              <w:rPr>
                <w:rFonts w:hint="eastAsia"/>
                <w:color w:val="000000" w:themeColor="text1"/>
                <w:sz w:val="21"/>
                <w:szCs w:val="21"/>
                <w14:textFill>
                  <w14:solidFill>
                    <w14:schemeClr w14:val="tx1"/>
                  </w14:solidFill>
                </w14:textFill>
              </w:rPr>
              <w:t>、氯甲烷</w:t>
            </w:r>
            <w:r>
              <w:rPr>
                <w:color w:val="000000" w:themeColor="text1"/>
                <w:sz w:val="21"/>
                <w:szCs w:val="21"/>
                <w14:textFill>
                  <w14:solidFill>
                    <w14:schemeClr w14:val="tx1"/>
                  </w14:solidFill>
                </w14:textFill>
              </w:rPr>
              <w:t>*</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1</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1-</w:t>
            </w:r>
            <w:r>
              <w:rPr>
                <w:rFonts w:hint="eastAsia"/>
                <w:color w:val="000000" w:themeColor="text1"/>
                <w:sz w:val="21"/>
                <w:szCs w:val="21"/>
                <w14:textFill>
                  <w14:solidFill>
                    <w14:schemeClr w14:val="tx1"/>
                  </w14:solidFill>
                </w14:textFill>
              </w:rPr>
              <w:t>二氯乙烷</w:t>
            </w:r>
            <w:r>
              <w:rPr>
                <w:color w:val="000000" w:themeColor="text1"/>
                <w:sz w:val="21"/>
                <w:szCs w:val="21"/>
                <w14:textFill>
                  <w14:solidFill>
                    <w14:schemeClr w14:val="tx1"/>
                  </w14:solidFill>
                </w14:textFill>
              </w:rPr>
              <w:t>*</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1</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2-</w:t>
            </w:r>
            <w:r>
              <w:rPr>
                <w:rFonts w:hint="eastAsia"/>
                <w:color w:val="000000" w:themeColor="text1"/>
                <w:sz w:val="21"/>
                <w:szCs w:val="21"/>
                <w14:textFill>
                  <w14:solidFill>
                    <w14:schemeClr w14:val="tx1"/>
                  </w14:solidFill>
                </w14:textFill>
              </w:rPr>
              <w:t>二氯乙烷</w:t>
            </w:r>
            <w:r>
              <w:rPr>
                <w:color w:val="000000" w:themeColor="text1"/>
                <w:sz w:val="21"/>
                <w:szCs w:val="21"/>
                <w14:textFill>
                  <w14:solidFill>
                    <w14:schemeClr w14:val="tx1"/>
                  </w14:solidFill>
                </w14:textFill>
              </w:rPr>
              <w:t>*</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1</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1-</w:t>
            </w:r>
            <w:r>
              <w:rPr>
                <w:rFonts w:hint="eastAsia"/>
                <w:color w:val="000000" w:themeColor="text1"/>
                <w:sz w:val="21"/>
                <w:szCs w:val="21"/>
                <w14:textFill>
                  <w14:solidFill>
                    <w14:schemeClr w14:val="tx1"/>
                  </w14:solidFill>
                </w14:textFill>
              </w:rPr>
              <w:t>二氯乙烯</w:t>
            </w:r>
            <w:r>
              <w:rPr>
                <w:color w:val="000000" w:themeColor="text1"/>
                <w:sz w:val="21"/>
                <w:szCs w:val="21"/>
                <w14:textFill>
                  <w14:solidFill>
                    <w14:schemeClr w14:val="tx1"/>
                  </w14:solidFill>
                </w14:textFill>
              </w:rPr>
              <w:t>*</w:t>
            </w:r>
            <w:r>
              <w:rPr>
                <w:rFonts w:hint="eastAsia"/>
                <w:color w:val="000000" w:themeColor="text1"/>
                <w:sz w:val="21"/>
                <w:szCs w:val="21"/>
                <w14:textFill>
                  <w14:solidFill>
                    <w14:schemeClr w14:val="tx1"/>
                  </w14:solidFill>
                </w14:textFill>
              </w:rPr>
              <w:t>、顺</w:t>
            </w:r>
            <w:r>
              <w:rPr>
                <w:color w:val="000000" w:themeColor="text1"/>
                <w:sz w:val="21"/>
                <w:szCs w:val="21"/>
                <w14:textFill>
                  <w14:solidFill>
                    <w14:schemeClr w14:val="tx1"/>
                  </w14:solidFill>
                </w14:textFill>
              </w:rPr>
              <w:t>-1</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2-</w:t>
            </w:r>
            <w:r>
              <w:rPr>
                <w:rFonts w:hint="eastAsia"/>
                <w:color w:val="000000" w:themeColor="text1"/>
                <w:sz w:val="21"/>
                <w:szCs w:val="21"/>
                <w14:textFill>
                  <w14:solidFill>
                    <w14:schemeClr w14:val="tx1"/>
                  </w14:solidFill>
                </w14:textFill>
              </w:rPr>
              <w:t>二氯乙烯</w:t>
            </w:r>
            <w:r>
              <w:rPr>
                <w:color w:val="000000" w:themeColor="text1"/>
                <w:sz w:val="21"/>
                <w:szCs w:val="21"/>
                <w14:textFill>
                  <w14:solidFill>
                    <w14:schemeClr w14:val="tx1"/>
                  </w14:solidFill>
                </w14:textFill>
              </w:rPr>
              <w:t>*</w:t>
            </w:r>
            <w:r>
              <w:rPr>
                <w:rFonts w:hint="eastAsia"/>
                <w:color w:val="000000" w:themeColor="text1"/>
                <w:sz w:val="21"/>
                <w:szCs w:val="21"/>
                <w14:textFill>
                  <w14:solidFill>
                    <w14:schemeClr w14:val="tx1"/>
                  </w14:solidFill>
                </w14:textFill>
              </w:rPr>
              <w:t>、反</w:t>
            </w:r>
            <w:r>
              <w:rPr>
                <w:color w:val="000000" w:themeColor="text1"/>
                <w:sz w:val="21"/>
                <w:szCs w:val="21"/>
                <w14:textFill>
                  <w14:solidFill>
                    <w14:schemeClr w14:val="tx1"/>
                  </w14:solidFill>
                </w14:textFill>
              </w:rPr>
              <w:t>-1</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2-</w:t>
            </w:r>
            <w:r>
              <w:rPr>
                <w:rFonts w:hint="eastAsia"/>
                <w:color w:val="000000" w:themeColor="text1"/>
                <w:sz w:val="21"/>
                <w:szCs w:val="21"/>
                <w14:textFill>
                  <w14:solidFill>
                    <w14:schemeClr w14:val="tx1"/>
                  </w14:solidFill>
                </w14:textFill>
              </w:rPr>
              <w:t>二氯乙烯</w:t>
            </w:r>
            <w:r>
              <w:rPr>
                <w:color w:val="000000" w:themeColor="text1"/>
                <w:sz w:val="21"/>
                <w:szCs w:val="21"/>
                <w14:textFill>
                  <w14:solidFill>
                    <w14:schemeClr w14:val="tx1"/>
                  </w14:solidFill>
                </w14:textFill>
              </w:rPr>
              <w:t>*</w:t>
            </w:r>
            <w:r>
              <w:rPr>
                <w:rFonts w:hint="eastAsia"/>
                <w:color w:val="000000" w:themeColor="text1"/>
                <w:sz w:val="21"/>
                <w:szCs w:val="21"/>
                <w14:textFill>
                  <w14:solidFill>
                    <w14:schemeClr w14:val="tx1"/>
                  </w14:solidFill>
                </w14:textFill>
              </w:rPr>
              <w:t>、二氯甲烷</w:t>
            </w:r>
            <w:r>
              <w:rPr>
                <w:color w:val="000000" w:themeColor="text1"/>
                <w:sz w:val="21"/>
                <w:szCs w:val="21"/>
                <w14:textFill>
                  <w14:solidFill>
                    <w14:schemeClr w14:val="tx1"/>
                  </w14:solidFill>
                </w14:textFill>
              </w:rPr>
              <w:t>*</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1</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2-</w:t>
            </w:r>
            <w:r>
              <w:rPr>
                <w:rFonts w:hint="eastAsia"/>
                <w:color w:val="000000" w:themeColor="text1"/>
                <w:sz w:val="21"/>
                <w:szCs w:val="21"/>
                <w14:textFill>
                  <w14:solidFill>
                    <w14:schemeClr w14:val="tx1"/>
                  </w14:solidFill>
                </w14:textFill>
              </w:rPr>
              <w:t>二氯丙烷</w:t>
            </w:r>
            <w:r>
              <w:rPr>
                <w:color w:val="000000" w:themeColor="text1"/>
                <w:sz w:val="21"/>
                <w:szCs w:val="21"/>
                <w14:textFill>
                  <w14:solidFill>
                    <w14:schemeClr w14:val="tx1"/>
                  </w14:solidFill>
                </w14:textFill>
              </w:rPr>
              <w:t>*</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1</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1</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1</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2-</w:t>
            </w:r>
            <w:r>
              <w:rPr>
                <w:rFonts w:hint="eastAsia"/>
                <w:color w:val="000000" w:themeColor="text1"/>
                <w:sz w:val="21"/>
                <w:szCs w:val="21"/>
                <w14:textFill>
                  <w14:solidFill>
                    <w14:schemeClr w14:val="tx1"/>
                  </w14:solidFill>
                </w14:textFill>
              </w:rPr>
              <w:t>四氯乙烷</w:t>
            </w:r>
            <w:r>
              <w:rPr>
                <w:color w:val="000000" w:themeColor="text1"/>
                <w:sz w:val="21"/>
                <w:szCs w:val="21"/>
                <w14:textFill>
                  <w14:solidFill>
                    <w14:schemeClr w14:val="tx1"/>
                  </w14:solidFill>
                </w14:textFill>
              </w:rPr>
              <w:t>*</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1</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1</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2</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2-</w:t>
            </w:r>
            <w:r>
              <w:rPr>
                <w:rFonts w:hint="eastAsia"/>
                <w:color w:val="000000" w:themeColor="text1"/>
                <w:sz w:val="21"/>
                <w:szCs w:val="21"/>
                <w14:textFill>
                  <w14:solidFill>
                    <w14:schemeClr w14:val="tx1"/>
                  </w14:solidFill>
                </w14:textFill>
              </w:rPr>
              <w:t>四氯乙烷</w:t>
            </w:r>
            <w:r>
              <w:rPr>
                <w:color w:val="000000" w:themeColor="text1"/>
                <w:sz w:val="21"/>
                <w:szCs w:val="21"/>
                <w14:textFill>
                  <w14:solidFill>
                    <w14:schemeClr w14:val="tx1"/>
                  </w14:solidFill>
                </w14:textFill>
              </w:rPr>
              <w:t>*</w:t>
            </w:r>
            <w:r>
              <w:rPr>
                <w:rFonts w:hint="eastAsia"/>
                <w:color w:val="000000" w:themeColor="text1"/>
                <w:sz w:val="21"/>
                <w:szCs w:val="21"/>
                <w14:textFill>
                  <w14:solidFill>
                    <w14:schemeClr w14:val="tx1"/>
                  </w14:solidFill>
                </w14:textFill>
              </w:rPr>
              <w:t>、四氯乙烯</w:t>
            </w:r>
            <w:r>
              <w:rPr>
                <w:color w:val="000000" w:themeColor="text1"/>
                <w:sz w:val="21"/>
                <w:szCs w:val="21"/>
                <w14:textFill>
                  <w14:solidFill>
                    <w14:schemeClr w14:val="tx1"/>
                  </w14:solidFill>
                </w14:textFill>
              </w:rPr>
              <w:t>*</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1</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1</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1-</w:t>
            </w:r>
            <w:r>
              <w:rPr>
                <w:rFonts w:hint="eastAsia"/>
                <w:color w:val="000000" w:themeColor="text1"/>
                <w:sz w:val="21"/>
                <w:szCs w:val="21"/>
                <w14:textFill>
                  <w14:solidFill>
                    <w14:schemeClr w14:val="tx1"/>
                  </w14:solidFill>
                </w14:textFill>
              </w:rPr>
              <w:t>三氯乙烷</w:t>
            </w:r>
            <w:r>
              <w:rPr>
                <w:color w:val="000000" w:themeColor="text1"/>
                <w:sz w:val="21"/>
                <w:szCs w:val="21"/>
                <w14:textFill>
                  <w14:solidFill>
                    <w14:schemeClr w14:val="tx1"/>
                  </w14:solidFill>
                </w14:textFill>
              </w:rPr>
              <w:t>*</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1</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1</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2-</w:t>
            </w:r>
            <w:r>
              <w:rPr>
                <w:rFonts w:hint="eastAsia"/>
                <w:color w:val="000000" w:themeColor="text1"/>
                <w:sz w:val="21"/>
                <w:szCs w:val="21"/>
                <w14:textFill>
                  <w14:solidFill>
                    <w14:schemeClr w14:val="tx1"/>
                  </w14:solidFill>
                </w14:textFill>
              </w:rPr>
              <w:t>三氯乙烷</w:t>
            </w:r>
            <w:r>
              <w:rPr>
                <w:color w:val="000000" w:themeColor="text1"/>
                <w:sz w:val="21"/>
                <w:szCs w:val="21"/>
                <w14:textFill>
                  <w14:solidFill>
                    <w14:schemeClr w14:val="tx1"/>
                  </w14:solidFill>
                </w14:textFill>
              </w:rPr>
              <w:t>*</w:t>
            </w:r>
            <w:r>
              <w:rPr>
                <w:rFonts w:hint="eastAsia"/>
                <w:color w:val="000000" w:themeColor="text1"/>
                <w:sz w:val="21"/>
                <w:szCs w:val="21"/>
                <w14:textFill>
                  <w14:solidFill>
                    <w14:schemeClr w14:val="tx1"/>
                  </w14:solidFill>
                </w14:textFill>
              </w:rPr>
              <w:t>、三氯乙烯</w:t>
            </w:r>
            <w:r>
              <w:rPr>
                <w:color w:val="000000" w:themeColor="text1"/>
                <w:sz w:val="21"/>
                <w:szCs w:val="21"/>
                <w14:textFill>
                  <w14:solidFill>
                    <w14:schemeClr w14:val="tx1"/>
                  </w14:solidFill>
                </w14:textFill>
              </w:rPr>
              <w:t>*</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1</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2</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3-</w:t>
            </w:r>
            <w:r>
              <w:rPr>
                <w:rFonts w:hint="eastAsia"/>
                <w:color w:val="000000" w:themeColor="text1"/>
                <w:sz w:val="21"/>
                <w:szCs w:val="21"/>
                <w14:textFill>
                  <w14:solidFill>
                    <w14:schemeClr w14:val="tx1"/>
                  </w14:solidFill>
                </w14:textFill>
              </w:rPr>
              <w:t>三氯丙烷</w:t>
            </w:r>
            <w:r>
              <w:rPr>
                <w:color w:val="000000" w:themeColor="text1"/>
                <w:sz w:val="21"/>
                <w:szCs w:val="21"/>
                <w14:textFill>
                  <w14:solidFill>
                    <w14:schemeClr w14:val="tx1"/>
                  </w14:solidFill>
                </w14:textFill>
              </w:rPr>
              <w:t>*</w:t>
            </w:r>
            <w:r>
              <w:rPr>
                <w:rFonts w:hint="eastAsia"/>
                <w:color w:val="000000" w:themeColor="text1"/>
                <w:sz w:val="21"/>
                <w:szCs w:val="21"/>
                <w14:textFill>
                  <w14:solidFill>
                    <w14:schemeClr w14:val="tx1"/>
                  </w14:solidFill>
                </w14:textFill>
              </w:rPr>
              <w:t>、氯乙烯</w:t>
            </w:r>
            <w:r>
              <w:rPr>
                <w:color w:val="000000" w:themeColor="text1"/>
                <w:sz w:val="21"/>
                <w:szCs w:val="21"/>
                <w14:textFill>
                  <w14:solidFill>
                    <w14:schemeClr w14:val="tx1"/>
                  </w14:solidFill>
                </w14:textFill>
              </w:rPr>
              <w:t>*</w:t>
            </w:r>
            <w:r>
              <w:rPr>
                <w:rFonts w:hint="eastAsia"/>
                <w:color w:val="000000" w:themeColor="text1"/>
                <w:sz w:val="21"/>
                <w:szCs w:val="21"/>
                <w14:textFill>
                  <w14:solidFill>
                    <w14:schemeClr w14:val="tx1"/>
                  </w14:solidFill>
                </w14:textFill>
              </w:rPr>
              <w:t>、苯</w:t>
            </w:r>
            <w:r>
              <w:rPr>
                <w:color w:val="000000" w:themeColor="text1"/>
                <w:sz w:val="21"/>
                <w:szCs w:val="21"/>
                <w14:textFill>
                  <w14:solidFill>
                    <w14:schemeClr w14:val="tx1"/>
                  </w14:solidFill>
                </w14:textFill>
              </w:rPr>
              <w:t>*</w:t>
            </w:r>
            <w:r>
              <w:rPr>
                <w:rFonts w:hint="eastAsia"/>
                <w:color w:val="000000" w:themeColor="text1"/>
                <w:sz w:val="21"/>
                <w:szCs w:val="21"/>
                <w14:textFill>
                  <w14:solidFill>
                    <w14:schemeClr w14:val="tx1"/>
                  </w14:solidFill>
                </w14:textFill>
              </w:rPr>
              <w:t>、氯苯</w:t>
            </w:r>
            <w:r>
              <w:rPr>
                <w:color w:val="000000" w:themeColor="text1"/>
                <w:sz w:val="21"/>
                <w:szCs w:val="21"/>
                <w14:textFill>
                  <w14:solidFill>
                    <w14:schemeClr w14:val="tx1"/>
                  </w14:solidFill>
                </w14:textFill>
              </w:rPr>
              <w:t>*</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1</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2-</w:t>
            </w:r>
            <w:r>
              <w:rPr>
                <w:rFonts w:hint="eastAsia"/>
                <w:color w:val="000000" w:themeColor="text1"/>
                <w:sz w:val="21"/>
                <w:szCs w:val="21"/>
                <w14:textFill>
                  <w14:solidFill>
                    <w14:schemeClr w14:val="tx1"/>
                  </w14:solidFill>
                </w14:textFill>
              </w:rPr>
              <w:t>二氯苯</w:t>
            </w:r>
            <w:r>
              <w:rPr>
                <w:color w:val="000000" w:themeColor="text1"/>
                <w:sz w:val="21"/>
                <w:szCs w:val="21"/>
                <w14:textFill>
                  <w14:solidFill>
                    <w14:schemeClr w14:val="tx1"/>
                  </w14:solidFill>
                </w14:textFill>
              </w:rPr>
              <w:t>*</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1</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4-</w:t>
            </w:r>
            <w:r>
              <w:rPr>
                <w:rFonts w:hint="eastAsia"/>
                <w:color w:val="000000" w:themeColor="text1"/>
                <w:sz w:val="21"/>
                <w:szCs w:val="21"/>
                <w14:textFill>
                  <w14:solidFill>
                    <w14:schemeClr w14:val="tx1"/>
                  </w14:solidFill>
                </w14:textFill>
              </w:rPr>
              <w:t>二氯苯</w:t>
            </w:r>
            <w:r>
              <w:rPr>
                <w:color w:val="000000" w:themeColor="text1"/>
                <w:sz w:val="21"/>
                <w:szCs w:val="21"/>
                <w14:textFill>
                  <w14:solidFill>
                    <w14:schemeClr w14:val="tx1"/>
                  </w14:solidFill>
                </w14:textFill>
              </w:rPr>
              <w:t>*</w:t>
            </w:r>
            <w:r>
              <w:rPr>
                <w:rFonts w:hint="eastAsia"/>
                <w:color w:val="000000" w:themeColor="text1"/>
                <w:sz w:val="21"/>
                <w:szCs w:val="21"/>
                <w14:textFill>
                  <w14:solidFill>
                    <w14:schemeClr w14:val="tx1"/>
                  </w14:solidFill>
                </w14:textFill>
              </w:rPr>
              <w:t>、乙苯</w:t>
            </w:r>
            <w:r>
              <w:rPr>
                <w:color w:val="000000" w:themeColor="text1"/>
                <w:sz w:val="21"/>
                <w:szCs w:val="21"/>
                <w14:textFill>
                  <w14:solidFill>
                    <w14:schemeClr w14:val="tx1"/>
                  </w14:solidFill>
                </w14:textFill>
              </w:rPr>
              <w:t>*</w:t>
            </w:r>
            <w:r>
              <w:rPr>
                <w:rFonts w:hint="eastAsia"/>
                <w:color w:val="000000" w:themeColor="text1"/>
                <w:sz w:val="21"/>
                <w:szCs w:val="21"/>
                <w14:textFill>
                  <w14:solidFill>
                    <w14:schemeClr w14:val="tx1"/>
                  </w14:solidFill>
                </w14:textFill>
              </w:rPr>
              <w:t>、苯乙烯</w:t>
            </w:r>
            <w:r>
              <w:rPr>
                <w:color w:val="000000" w:themeColor="text1"/>
                <w:sz w:val="21"/>
                <w:szCs w:val="21"/>
                <w14:textFill>
                  <w14:solidFill>
                    <w14:schemeClr w14:val="tx1"/>
                  </w14:solidFill>
                </w14:textFill>
              </w:rPr>
              <w:t>*</w:t>
            </w:r>
            <w:r>
              <w:rPr>
                <w:rFonts w:hint="eastAsia"/>
                <w:color w:val="000000" w:themeColor="text1"/>
                <w:sz w:val="21"/>
                <w:szCs w:val="21"/>
                <w14:textFill>
                  <w14:solidFill>
                    <w14:schemeClr w14:val="tx1"/>
                  </w14:solidFill>
                </w14:textFill>
              </w:rPr>
              <w:t>、甲苯</w:t>
            </w:r>
            <w:r>
              <w:rPr>
                <w:color w:val="000000" w:themeColor="text1"/>
                <w:sz w:val="21"/>
                <w:szCs w:val="21"/>
                <w14:textFill>
                  <w14:solidFill>
                    <w14:schemeClr w14:val="tx1"/>
                  </w14:solidFill>
                </w14:textFill>
              </w:rPr>
              <w:t>*</w:t>
            </w:r>
            <w:r>
              <w:rPr>
                <w:rFonts w:hint="eastAsia"/>
                <w:color w:val="000000" w:themeColor="text1"/>
                <w:sz w:val="21"/>
                <w:szCs w:val="21"/>
                <w14:textFill>
                  <w14:solidFill>
                    <w14:schemeClr w14:val="tx1"/>
                  </w14:solidFill>
                </w14:textFill>
              </w:rPr>
              <w:t>、间二甲苯</w:t>
            </w:r>
            <w:r>
              <w:rPr>
                <w:color w:val="000000" w:themeColor="text1"/>
                <w:sz w:val="21"/>
                <w:szCs w:val="21"/>
                <w14:textFill>
                  <w14:solidFill>
                    <w14:schemeClr w14:val="tx1"/>
                  </w14:solidFill>
                </w14:textFill>
              </w:rPr>
              <w:t>+</w:t>
            </w:r>
            <w:r>
              <w:rPr>
                <w:rFonts w:hint="eastAsia"/>
                <w:color w:val="000000" w:themeColor="text1"/>
                <w:sz w:val="21"/>
                <w:szCs w:val="21"/>
                <w14:textFill>
                  <w14:solidFill>
                    <w14:schemeClr w14:val="tx1"/>
                  </w14:solidFill>
                </w14:textFill>
              </w:rPr>
              <w:t>对二甲苯</w:t>
            </w:r>
            <w:r>
              <w:rPr>
                <w:color w:val="000000" w:themeColor="text1"/>
                <w:sz w:val="21"/>
                <w:szCs w:val="21"/>
                <w14:textFill>
                  <w14:solidFill>
                    <w14:schemeClr w14:val="tx1"/>
                  </w14:solidFill>
                </w14:textFill>
              </w:rPr>
              <w:t>*</w:t>
            </w:r>
            <w:r>
              <w:rPr>
                <w:rFonts w:hint="eastAsia"/>
                <w:color w:val="000000" w:themeColor="text1"/>
                <w:sz w:val="21"/>
                <w:szCs w:val="21"/>
                <w14:textFill>
                  <w14:solidFill>
                    <w14:schemeClr w14:val="tx1"/>
                  </w14:solidFill>
                </w14:textFill>
              </w:rPr>
              <w:t>、邻二甲苯</w:t>
            </w:r>
            <w:r>
              <w:rPr>
                <w:color w:val="000000" w:themeColor="text1"/>
                <w:sz w:val="21"/>
                <w:szCs w:val="21"/>
                <w14:textFill>
                  <w14:solidFill>
                    <w14:schemeClr w14:val="tx1"/>
                  </w14:solidFill>
                </w14:textFill>
              </w:rPr>
              <w:t>*</w:t>
            </w:r>
            <w:r>
              <w:rPr>
                <w:rFonts w:hint="eastAsia"/>
                <w:color w:val="000000" w:themeColor="text1"/>
                <w:sz w:val="21"/>
                <w:szCs w:val="21"/>
                <w14:textFill>
                  <w14:solidFill>
                    <w14:schemeClr w14:val="tx1"/>
                  </w14:solidFill>
                </w14:textFill>
              </w:rPr>
              <w:t>、硝基苯</w:t>
            </w:r>
            <w:r>
              <w:rPr>
                <w:color w:val="000000" w:themeColor="text1"/>
                <w:sz w:val="21"/>
                <w:szCs w:val="21"/>
                <w14:textFill>
                  <w14:solidFill>
                    <w14:schemeClr w14:val="tx1"/>
                  </w14:solidFill>
                </w14:textFill>
              </w:rPr>
              <w:t>*</w:t>
            </w:r>
            <w:r>
              <w:rPr>
                <w:rFonts w:hint="eastAsia"/>
                <w:color w:val="000000" w:themeColor="text1"/>
                <w:sz w:val="21"/>
                <w:szCs w:val="21"/>
                <w14:textFill>
                  <w14:solidFill>
                    <w14:schemeClr w14:val="tx1"/>
                  </w14:solidFill>
                </w14:textFill>
              </w:rPr>
              <w:t>、苯胺</w:t>
            </w:r>
            <w:r>
              <w:rPr>
                <w:color w:val="000000" w:themeColor="text1"/>
                <w:sz w:val="21"/>
                <w:szCs w:val="21"/>
                <w14:textFill>
                  <w14:solidFill>
                    <w14:schemeClr w14:val="tx1"/>
                  </w14:solidFill>
                </w14:textFill>
              </w:rPr>
              <w:t>*</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2-</w:t>
            </w:r>
            <w:r>
              <w:rPr>
                <w:rFonts w:hint="eastAsia"/>
                <w:color w:val="000000" w:themeColor="text1"/>
                <w:sz w:val="21"/>
                <w:szCs w:val="21"/>
                <w14:textFill>
                  <w14:solidFill>
                    <w14:schemeClr w14:val="tx1"/>
                  </w14:solidFill>
                </w14:textFill>
              </w:rPr>
              <w:t>氯酚</w:t>
            </w:r>
            <w:r>
              <w:rPr>
                <w:color w:val="000000" w:themeColor="text1"/>
                <w:sz w:val="21"/>
                <w:szCs w:val="21"/>
                <w14:textFill>
                  <w14:solidFill>
                    <w14:schemeClr w14:val="tx1"/>
                  </w14:solidFill>
                </w14:textFill>
              </w:rPr>
              <w:t>*</w:t>
            </w:r>
            <w:r>
              <w:rPr>
                <w:rFonts w:hint="eastAsia"/>
                <w:color w:val="000000" w:themeColor="text1"/>
                <w:sz w:val="21"/>
                <w:szCs w:val="21"/>
                <w14:textFill>
                  <w14:solidFill>
                    <w14:schemeClr w14:val="tx1"/>
                  </w14:solidFill>
                </w14:textFill>
              </w:rPr>
              <w:t>、苯并［</w:t>
            </w:r>
            <w:r>
              <w:rPr>
                <w:color w:val="000000" w:themeColor="text1"/>
                <w:sz w:val="21"/>
                <w:szCs w:val="21"/>
                <w14:textFill>
                  <w14:solidFill>
                    <w14:schemeClr w14:val="tx1"/>
                  </w14:solidFill>
                </w14:textFill>
              </w:rPr>
              <w:t>a</w:t>
            </w:r>
            <w:r>
              <w:rPr>
                <w:rFonts w:hint="eastAsia"/>
                <w:color w:val="000000" w:themeColor="text1"/>
                <w:sz w:val="21"/>
                <w:szCs w:val="21"/>
                <w14:textFill>
                  <w14:solidFill>
                    <w14:schemeClr w14:val="tx1"/>
                  </w14:solidFill>
                </w14:textFill>
              </w:rPr>
              <w:t>］蒽</w:t>
            </w:r>
            <w:r>
              <w:rPr>
                <w:color w:val="000000" w:themeColor="text1"/>
                <w:sz w:val="21"/>
                <w:szCs w:val="21"/>
                <w14:textFill>
                  <w14:solidFill>
                    <w14:schemeClr w14:val="tx1"/>
                  </w14:solidFill>
                </w14:textFill>
              </w:rPr>
              <w:t>*</w:t>
            </w:r>
            <w:r>
              <w:rPr>
                <w:rFonts w:hint="eastAsia"/>
                <w:color w:val="000000" w:themeColor="text1"/>
                <w:sz w:val="21"/>
                <w:szCs w:val="21"/>
                <w14:textFill>
                  <w14:solidFill>
                    <w14:schemeClr w14:val="tx1"/>
                  </w14:solidFill>
                </w14:textFill>
              </w:rPr>
              <w:t>、苯并［</w:t>
            </w:r>
            <w:r>
              <w:rPr>
                <w:color w:val="000000" w:themeColor="text1"/>
                <w:sz w:val="21"/>
                <w:szCs w:val="21"/>
                <w14:textFill>
                  <w14:solidFill>
                    <w14:schemeClr w14:val="tx1"/>
                  </w14:solidFill>
                </w14:textFill>
              </w:rPr>
              <w:t>a</w:t>
            </w:r>
            <w:r>
              <w:rPr>
                <w:rFonts w:hint="eastAsia"/>
                <w:color w:val="000000" w:themeColor="text1"/>
                <w:sz w:val="21"/>
                <w:szCs w:val="21"/>
                <w14:textFill>
                  <w14:solidFill>
                    <w14:schemeClr w14:val="tx1"/>
                  </w14:solidFill>
                </w14:textFill>
              </w:rPr>
              <w:t>］芘</w:t>
            </w:r>
            <w:r>
              <w:rPr>
                <w:color w:val="000000" w:themeColor="text1"/>
                <w:sz w:val="21"/>
                <w:szCs w:val="21"/>
                <w14:textFill>
                  <w14:solidFill>
                    <w14:schemeClr w14:val="tx1"/>
                  </w14:solidFill>
                </w14:textFill>
              </w:rPr>
              <w:t>*</w:t>
            </w:r>
            <w:r>
              <w:rPr>
                <w:rFonts w:hint="eastAsia"/>
                <w:color w:val="000000" w:themeColor="text1"/>
                <w:sz w:val="21"/>
                <w:szCs w:val="21"/>
                <w14:textFill>
                  <w14:solidFill>
                    <w14:schemeClr w14:val="tx1"/>
                  </w14:solidFill>
                </w14:textFill>
              </w:rPr>
              <w:t>、苯并［</w:t>
            </w:r>
            <w:r>
              <w:rPr>
                <w:color w:val="000000" w:themeColor="text1"/>
                <w:sz w:val="21"/>
                <w:szCs w:val="21"/>
                <w14:textFill>
                  <w14:solidFill>
                    <w14:schemeClr w14:val="tx1"/>
                  </w14:solidFill>
                </w14:textFill>
              </w:rPr>
              <w:t>b</w:t>
            </w:r>
            <w:r>
              <w:rPr>
                <w:rFonts w:hint="eastAsia"/>
                <w:color w:val="000000" w:themeColor="text1"/>
                <w:sz w:val="21"/>
                <w:szCs w:val="21"/>
                <w14:textFill>
                  <w14:solidFill>
                    <w14:schemeClr w14:val="tx1"/>
                  </w14:solidFill>
                </w14:textFill>
              </w:rPr>
              <w:t>］荧蒽</w:t>
            </w:r>
            <w:r>
              <w:rPr>
                <w:color w:val="000000" w:themeColor="text1"/>
                <w:sz w:val="21"/>
                <w:szCs w:val="21"/>
                <w14:textFill>
                  <w14:solidFill>
                    <w14:schemeClr w14:val="tx1"/>
                  </w14:solidFill>
                </w14:textFill>
              </w:rPr>
              <w:t>*</w:t>
            </w:r>
            <w:r>
              <w:rPr>
                <w:rFonts w:hint="eastAsia"/>
                <w:color w:val="000000" w:themeColor="text1"/>
                <w:sz w:val="21"/>
                <w:szCs w:val="21"/>
                <w14:textFill>
                  <w14:solidFill>
                    <w14:schemeClr w14:val="tx1"/>
                  </w14:solidFill>
                </w14:textFill>
              </w:rPr>
              <w:t>、苯并［</w:t>
            </w:r>
            <w:r>
              <w:rPr>
                <w:color w:val="000000" w:themeColor="text1"/>
                <w:sz w:val="21"/>
                <w:szCs w:val="21"/>
                <w14:textFill>
                  <w14:solidFill>
                    <w14:schemeClr w14:val="tx1"/>
                  </w14:solidFill>
                </w14:textFill>
              </w:rPr>
              <w:t>k</w:t>
            </w:r>
            <w:r>
              <w:rPr>
                <w:rFonts w:hint="eastAsia"/>
                <w:color w:val="000000" w:themeColor="text1"/>
                <w:sz w:val="21"/>
                <w:szCs w:val="21"/>
                <w14:textFill>
                  <w14:solidFill>
                    <w14:schemeClr w14:val="tx1"/>
                  </w14:solidFill>
                </w14:textFill>
              </w:rPr>
              <w:t>］荧蒽</w:t>
            </w:r>
            <w:r>
              <w:rPr>
                <w:color w:val="000000" w:themeColor="text1"/>
                <w:sz w:val="21"/>
                <w:szCs w:val="21"/>
                <w14:textFill>
                  <w14:solidFill>
                    <w14:schemeClr w14:val="tx1"/>
                  </w14:solidFill>
                </w14:textFill>
              </w:rPr>
              <w:t>*</w:t>
            </w:r>
            <w:r>
              <w:rPr>
                <w:rFonts w:hint="eastAsia"/>
                <w:color w:val="000000" w:themeColor="text1"/>
                <w:sz w:val="21"/>
                <w:szCs w:val="21"/>
                <w14:textFill>
                  <w14:solidFill>
                    <w14:schemeClr w14:val="tx1"/>
                  </w14:solidFill>
                </w14:textFill>
              </w:rPr>
              <w:t>、䓛</w:t>
            </w:r>
            <w:r>
              <w:rPr>
                <w:color w:val="000000" w:themeColor="text1"/>
                <w:sz w:val="21"/>
                <w:szCs w:val="21"/>
                <w14:textFill>
                  <w14:solidFill>
                    <w14:schemeClr w14:val="tx1"/>
                  </w14:solidFill>
                </w14:textFill>
              </w:rPr>
              <w:t>*</w:t>
            </w:r>
            <w:r>
              <w:rPr>
                <w:rFonts w:hint="eastAsia"/>
                <w:color w:val="000000" w:themeColor="text1"/>
                <w:sz w:val="21"/>
                <w:szCs w:val="21"/>
                <w14:textFill>
                  <w14:solidFill>
                    <w14:schemeClr w14:val="tx1"/>
                  </w14:solidFill>
                </w14:textFill>
              </w:rPr>
              <w:t>、二苯并</w:t>
            </w:r>
            <w:r>
              <w:rPr>
                <w:color w:val="000000" w:themeColor="text1"/>
                <w:sz w:val="21"/>
                <w:szCs w:val="21"/>
                <w14:textFill>
                  <w14:solidFill>
                    <w14:schemeClr w14:val="tx1"/>
                  </w14:solidFill>
                </w14:textFill>
              </w:rPr>
              <w:t>[a,h]</w:t>
            </w:r>
            <w:r>
              <w:rPr>
                <w:rFonts w:hint="eastAsia"/>
                <w:color w:val="000000" w:themeColor="text1"/>
                <w:sz w:val="21"/>
                <w:szCs w:val="21"/>
                <w14:textFill>
                  <w14:solidFill>
                    <w14:schemeClr w14:val="tx1"/>
                  </w14:solidFill>
                </w14:textFill>
              </w:rPr>
              <w:t>蒽</w:t>
            </w:r>
            <w:r>
              <w:rPr>
                <w:color w:val="000000" w:themeColor="text1"/>
                <w:sz w:val="21"/>
                <w:szCs w:val="21"/>
                <w14:textFill>
                  <w14:solidFill>
                    <w14:schemeClr w14:val="tx1"/>
                  </w14:solidFill>
                </w14:textFill>
              </w:rPr>
              <w:t>*</w:t>
            </w:r>
            <w:r>
              <w:rPr>
                <w:rFonts w:hint="eastAsia"/>
                <w:color w:val="000000" w:themeColor="text1"/>
                <w:sz w:val="21"/>
                <w:szCs w:val="21"/>
                <w14:textFill>
                  <w14:solidFill>
                    <w14:schemeClr w14:val="tx1"/>
                  </w14:solidFill>
                </w14:textFill>
              </w:rPr>
              <w:t>、茚并</w:t>
            </w:r>
            <w:r>
              <w:rPr>
                <w:color w:val="000000" w:themeColor="text1"/>
                <w:sz w:val="21"/>
                <w:szCs w:val="21"/>
                <w14:textFill>
                  <w14:solidFill>
                    <w14:schemeClr w14:val="tx1"/>
                  </w14:solidFill>
                </w14:textFill>
              </w:rPr>
              <w:t>[1</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2</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3-cd]</w:t>
            </w:r>
            <w:r>
              <w:rPr>
                <w:rFonts w:hint="eastAsia"/>
                <w:color w:val="000000" w:themeColor="text1"/>
                <w:sz w:val="21"/>
                <w:szCs w:val="21"/>
                <w14:textFill>
                  <w14:solidFill>
                    <w14:schemeClr w14:val="tx1"/>
                  </w14:solidFill>
                </w14:textFill>
              </w:rPr>
              <w:t>芘</w:t>
            </w:r>
            <w:r>
              <w:rPr>
                <w:color w:val="000000" w:themeColor="text1"/>
                <w:sz w:val="21"/>
                <w:szCs w:val="21"/>
                <w14:textFill>
                  <w14:solidFill>
                    <w14:schemeClr w14:val="tx1"/>
                  </w14:solidFill>
                </w14:textFill>
              </w:rPr>
              <w:t>*</w:t>
            </w:r>
            <w:r>
              <w:rPr>
                <w:rFonts w:hint="eastAsia"/>
                <w:color w:val="000000" w:themeColor="text1"/>
                <w:sz w:val="21"/>
                <w:szCs w:val="21"/>
                <w14:textFill>
                  <w14:solidFill>
                    <w14:schemeClr w14:val="tx1"/>
                  </w14:solidFill>
                </w14:textFill>
              </w:rPr>
              <w:t>、萘</w:t>
            </w:r>
            <w:r>
              <w:rPr>
                <w:color w:val="000000" w:themeColor="text1"/>
                <w:sz w:val="21"/>
                <w:szCs w:val="21"/>
                <w14:textFill>
                  <w14:solidFill>
                    <w14:schemeClr w14:val="tx1"/>
                  </w14:solidFill>
                </w14:textFill>
              </w:rPr>
              <w:t>*</w:t>
            </w:r>
            <w:r>
              <w:rPr>
                <w:rFonts w:hint="eastAsia"/>
                <w:color w:val="000000" w:themeColor="text1"/>
                <w:sz w:val="21"/>
                <w:szCs w:val="21"/>
                <w14:textFill>
                  <w14:solidFill>
                    <w14:schemeClr w14:val="tx1"/>
                  </w14:solidFill>
                </w14:textFill>
              </w:rPr>
              <w:t>、阳离子交换量、氧化还原电位、饱和导水率、土壤容重、孔隙度</w:t>
            </w:r>
            <w:r>
              <w:rPr>
                <w:rFonts w:hint="eastAsia"/>
                <w:color w:val="000000" w:themeColor="text1"/>
                <w:sz w:val="21"/>
                <w:szCs w:val="21"/>
                <w:lang w:eastAsia="zh-CN"/>
                <w14:textFill>
                  <w14:solidFill>
                    <w14:schemeClr w14:val="tx1"/>
                  </w14:solidFill>
                </w14:textFill>
              </w:rPr>
              <w:t>记录</w:t>
            </w:r>
            <w:r>
              <w:rPr>
                <w:color w:val="000000" w:themeColor="text1"/>
                <w:sz w:val="21"/>
                <w:szCs w:val="21"/>
                <w14:textFill>
                  <w14:solidFill>
                    <w14:schemeClr w14:val="tx1"/>
                  </w14:solidFill>
                </w14:textFill>
              </w:rPr>
              <w:t>颜色、结构、质地、砂砾含量、其他异物</w:t>
            </w:r>
          </w:p>
        </w:tc>
      </w:tr>
      <w:tr w14:paraId="7140EDA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219" w:type="dxa"/>
            <w:vAlign w:val="center"/>
          </w:tcPr>
          <w:p w14:paraId="2F715FDD">
            <w:pPr>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T2</w:t>
            </w:r>
            <w:r>
              <w:rPr>
                <w:rFonts w:hint="eastAsia"/>
                <w:color w:val="000000" w:themeColor="text1"/>
                <w:sz w:val="21"/>
                <w:szCs w:val="21"/>
                <w14:textFill>
                  <w14:solidFill>
                    <w14:schemeClr w14:val="tx1"/>
                  </w14:solidFill>
                </w14:textFill>
              </w:rPr>
              <w:t>码头西北面绿化带</w:t>
            </w:r>
          </w:p>
        </w:tc>
        <w:tc>
          <w:tcPr>
            <w:tcW w:w="6521" w:type="dxa"/>
            <w:vMerge w:val="restart"/>
            <w:vAlign w:val="center"/>
          </w:tcPr>
          <w:p w14:paraId="74C8D187">
            <w:pPr>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pH、镉、汞、砷、铅、铜、镍、六价铬、苯乙烯阳离子交换量、氧化还原电位、饱和导水率、土壤容重、孔隙度</w:t>
            </w:r>
            <w:r>
              <w:rPr>
                <w:rFonts w:hint="eastAsia"/>
                <w:color w:val="000000" w:themeColor="text1"/>
                <w:sz w:val="21"/>
                <w:szCs w:val="21"/>
                <w:lang w:eastAsia="zh-CN"/>
                <w14:textFill>
                  <w14:solidFill>
                    <w14:schemeClr w14:val="tx1"/>
                  </w14:solidFill>
                </w14:textFill>
              </w:rPr>
              <w:t>记录</w:t>
            </w:r>
            <w:r>
              <w:rPr>
                <w:color w:val="000000" w:themeColor="text1"/>
                <w:sz w:val="21"/>
                <w:szCs w:val="21"/>
                <w14:textFill>
                  <w14:solidFill>
                    <w14:schemeClr w14:val="tx1"/>
                  </w14:solidFill>
                </w14:textFill>
              </w:rPr>
              <w:t>颜色、结构、质地、砂砾含量、其他异物</w:t>
            </w:r>
          </w:p>
        </w:tc>
      </w:tr>
      <w:tr w14:paraId="75DDF34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219" w:type="dxa"/>
            <w:vAlign w:val="center"/>
          </w:tcPr>
          <w:p w14:paraId="77CDEA59">
            <w:pPr>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T3</w:t>
            </w:r>
            <w:r>
              <w:rPr>
                <w:rFonts w:hint="eastAsia"/>
                <w:color w:val="000000" w:themeColor="text1"/>
                <w:sz w:val="21"/>
                <w:szCs w:val="21"/>
                <w14:textFill>
                  <w14:solidFill>
                    <w14:schemeClr w14:val="tx1"/>
                  </w14:solidFill>
                </w14:textFill>
              </w:rPr>
              <w:t>码头西侧罐区</w:t>
            </w:r>
          </w:p>
        </w:tc>
        <w:tc>
          <w:tcPr>
            <w:tcW w:w="6521" w:type="dxa"/>
            <w:vMerge w:val="continue"/>
            <w:vAlign w:val="center"/>
          </w:tcPr>
          <w:p w14:paraId="5E80F7E8">
            <w:pPr>
              <w:spacing w:line="240" w:lineRule="exact"/>
              <w:ind w:firstLine="0" w:firstLineChars="0"/>
              <w:jc w:val="center"/>
              <w:rPr>
                <w:color w:val="000000" w:themeColor="text1"/>
                <w:sz w:val="21"/>
                <w:szCs w:val="21"/>
                <w14:textFill>
                  <w14:solidFill>
                    <w14:schemeClr w14:val="tx1"/>
                  </w14:solidFill>
                </w14:textFill>
              </w:rPr>
            </w:pPr>
          </w:p>
        </w:tc>
      </w:tr>
    </w:tbl>
    <w:p w14:paraId="4D60FB5F">
      <w:pPr>
        <w:pStyle w:val="4"/>
        <w:rPr>
          <w:color w:val="000000" w:themeColor="text1"/>
          <w14:textFill>
            <w14:solidFill>
              <w14:schemeClr w14:val="tx1"/>
            </w14:solidFill>
          </w14:textFill>
        </w:rPr>
      </w:pPr>
      <w:bookmarkStart w:id="618" w:name="_Toc216620557"/>
      <w:bookmarkStart w:id="619" w:name="_Toc136878493"/>
      <w:r>
        <w:rPr>
          <w:color w:val="000000" w:themeColor="text1"/>
          <w14:textFill>
            <w14:solidFill>
              <w14:schemeClr w14:val="tx1"/>
            </w14:solidFill>
          </w14:textFill>
        </w:rPr>
        <w:t>评价标准</w:t>
      </w:r>
      <w:bookmarkEnd w:id="618"/>
      <w:bookmarkEnd w:id="619"/>
    </w:p>
    <w:p w14:paraId="13A7AC1B">
      <w:pPr>
        <w:ind w:firstLine="480"/>
        <w:rPr>
          <w:color w:val="000000" w:themeColor="text1"/>
          <w14:textFill>
            <w14:solidFill>
              <w14:schemeClr w14:val="tx1"/>
            </w14:solidFill>
          </w14:textFill>
        </w:rPr>
      </w:pPr>
      <w:r>
        <w:rPr>
          <w:color w:val="000000" w:themeColor="text1"/>
          <w14:textFill>
            <w14:solidFill>
              <w14:schemeClr w14:val="tx1"/>
            </w14:solidFill>
          </w14:textFill>
        </w:rPr>
        <w:t>评价范围内的土地利用类型主要为建设用地，选取《土壤环境质量建设用地土壤污染风险管控标准（试行）》（GB36600-2018）中筛选值进行评价。</w:t>
      </w:r>
    </w:p>
    <w:p w14:paraId="1C1A8C28">
      <w:pPr>
        <w:pStyle w:val="4"/>
        <w:rPr>
          <w:color w:val="000000" w:themeColor="text1"/>
          <w14:textFill>
            <w14:solidFill>
              <w14:schemeClr w14:val="tx1"/>
            </w14:solidFill>
          </w14:textFill>
        </w:rPr>
      </w:pPr>
      <w:bookmarkStart w:id="620" w:name="_Toc136878494"/>
      <w:bookmarkStart w:id="621" w:name="_Toc216620558"/>
      <w:r>
        <w:rPr>
          <w:color w:val="000000" w:themeColor="text1"/>
          <w14:textFill>
            <w14:solidFill>
              <w14:schemeClr w14:val="tx1"/>
            </w14:solidFill>
          </w14:textFill>
        </w:rPr>
        <w:t>监测结果及评价</w:t>
      </w:r>
      <w:bookmarkEnd w:id="620"/>
      <w:bookmarkEnd w:id="621"/>
    </w:p>
    <w:p w14:paraId="3F59B2F3">
      <w:pPr>
        <w:ind w:firstLine="480"/>
        <w:rPr>
          <w:color w:val="000000" w:themeColor="text1"/>
          <w14:textFill>
            <w14:solidFill>
              <w14:schemeClr w14:val="tx1"/>
            </w14:solidFill>
          </w14:textFill>
        </w:rPr>
      </w:pPr>
      <w:r>
        <w:rPr>
          <w:color w:val="000000" w:themeColor="text1"/>
          <w14:textFill>
            <w14:solidFill>
              <w14:schemeClr w14:val="tx1"/>
            </w14:solidFill>
          </w14:textFill>
        </w:rPr>
        <w:t>项目土壤环境现状监测统计结果见表3.6-2。项目土壤现状各指标均满足《土壤环境质量建设用地土壤污染风险管控标准（试行）》（GB36600-2018）中第二类用地筛选值限制要求。</w:t>
      </w:r>
    </w:p>
    <w:p w14:paraId="7E95FF1F">
      <w:pPr>
        <w:pStyle w:val="41"/>
        <w:ind w:firstLine="240"/>
        <w:rPr>
          <w:color w:val="000000" w:themeColor="text1"/>
          <w14:textFill>
            <w14:solidFill>
              <w14:schemeClr w14:val="tx1"/>
            </w14:solidFill>
          </w14:textFill>
        </w:rPr>
      </w:pPr>
    </w:p>
    <w:p w14:paraId="7878755C">
      <w:pPr>
        <w:pStyle w:val="42"/>
        <w:ind w:left="480" w:firstLine="480"/>
        <w:rPr>
          <w:color w:val="000000" w:themeColor="text1"/>
          <w14:textFill>
            <w14:solidFill>
              <w14:schemeClr w14:val="tx1"/>
            </w14:solidFill>
          </w14:textFill>
        </w:rPr>
      </w:pPr>
    </w:p>
    <w:p w14:paraId="50F68D7C">
      <w:pPr>
        <w:pStyle w:val="7"/>
        <w:rPr>
          <w:color w:val="000000" w:themeColor="text1"/>
          <w14:textFill>
            <w14:solidFill>
              <w14:schemeClr w14:val="tx1"/>
            </w14:solidFill>
          </w14:textFill>
        </w:rPr>
      </w:pPr>
      <w:r>
        <w:rPr>
          <w:color w:val="000000" w:themeColor="text1"/>
          <w14:textFill>
            <w14:solidFill>
              <w14:schemeClr w14:val="tx1"/>
            </w14:solidFill>
          </w14:textFill>
        </w:rPr>
        <w:t xml:space="preserve">土壤环境现状监测结果及评价  </w:t>
      </w:r>
      <w:r>
        <w:rPr>
          <w:color w:val="000000" w:themeColor="text1"/>
          <w:sz w:val="18"/>
          <w:szCs w:val="18"/>
          <w14:textFill>
            <w14:solidFill>
              <w14:schemeClr w14:val="tx1"/>
            </w14:solidFill>
          </w14:textFill>
        </w:rPr>
        <w:t>单位：mg/kg</w:t>
      </w:r>
    </w:p>
    <w:tbl>
      <w:tblPr>
        <w:tblStyle w:val="43"/>
        <w:tblW w:w="8740"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2822"/>
        <w:gridCol w:w="1415"/>
        <w:gridCol w:w="1132"/>
        <w:gridCol w:w="1321"/>
        <w:gridCol w:w="942"/>
        <w:gridCol w:w="1108"/>
      </w:tblGrid>
      <w:tr w14:paraId="1D4B2EB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2822" w:type="dxa"/>
            <w:vMerge w:val="restart"/>
            <w:vAlign w:val="center"/>
          </w:tcPr>
          <w:p w14:paraId="56F8712F">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检测项目</w:t>
            </w:r>
          </w:p>
        </w:tc>
        <w:tc>
          <w:tcPr>
            <w:tcW w:w="3868" w:type="dxa"/>
            <w:gridSpan w:val="3"/>
            <w:vAlign w:val="center"/>
          </w:tcPr>
          <w:p w14:paraId="5F54CFF4">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检测结果及采样点位</w:t>
            </w:r>
          </w:p>
        </w:tc>
        <w:tc>
          <w:tcPr>
            <w:tcW w:w="942" w:type="dxa"/>
            <w:vMerge w:val="restart"/>
            <w:vAlign w:val="center"/>
          </w:tcPr>
          <w:p w14:paraId="6DAB753B">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标准值</w:t>
            </w:r>
          </w:p>
        </w:tc>
        <w:tc>
          <w:tcPr>
            <w:tcW w:w="1108" w:type="dxa"/>
            <w:vMerge w:val="restart"/>
            <w:vAlign w:val="center"/>
          </w:tcPr>
          <w:p w14:paraId="38994026">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达标情况</w:t>
            </w:r>
          </w:p>
        </w:tc>
      </w:tr>
      <w:tr w14:paraId="7D8C95C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2822" w:type="dxa"/>
            <w:vMerge w:val="continue"/>
            <w:vAlign w:val="center"/>
          </w:tcPr>
          <w:p w14:paraId="025E60F5">
            <w:pPr>
              <w:pStyle w:val="70"/>
              <w:rPr>
                <w:b/>
                <w:bCs/>
                <w:color w:val="000000" w:themeColor="text1"/>
                <w14:textFill>
                  <w14:solidFill>
                    <w14:schemeClr w14:val="tx1"/>
                  </w14:solidFill>
                </w14:textFill>
              </w:rPr>
            </w:pPr>
          </w:p>
        </w:tc>
        <w:tc>
          <w:tcPr>
            <w:tcW w:w="1415" w:type="dxa"/>
            <w:vAlign w:val="center"/>
          </w:tcPr>
          <w:p w14:paraId="1D3A9145">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 xml:space="preserve">T1 </w:t>
            </w:r>
          </w:p>
        </w:tc>
        <w:tc>
          <w:tcPr>
            <w:tcW w:w="1132" w:type="dxa"/>
            <w:vAlign w:val="center"/>
          </w:tcPr>
          <w:p w14:paraId="462E2BB6">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T2</w:t>
            </w:r>
          </w:p>
        </w:tc>
        <w:tc>
          <w:tcPr>
            <w:tcW w:w="1321" w:type="dxa"/>
            <w:vAlign w:val="center"/>
          </w:tcPr>
          <w:p w14:paraId="23D389E3">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T3</w:t>
            </w:r>
          </w:p>
        </w:tc>
        <w:tc>
          <w:tcPr>
            <w:tcW w:w="942" w:type="dxa"/>
            <w:vMerge w:val="continue"/>
            <w:vAlign w:val="center"/>
          </w:tcPr>
          <w:p w14:paraId="0523F366">
            <w:pPr>
              <w:pStyle w:val="70"/>
              <w:rPr>
                <w:b/>
                <w:bCs/>
                <w:color w:val="000000" w:themeColor="text1"/>
                <w14:textFill>
                  <w14:solidFill>
                    <w14:schemeClr w14:val="tx1"/>
                  </w14:solidFill>
                </w14:textFill>
              </w:rPr>
            </w:pPr>
          </w:p>
        </w:tc>
        <w:tc>
          <w:tcPr>
            <w:tcW w:w="1108" w:type="dxa"/>
            <w:vMerge w:val="continue"/>
            <w:vAlign w:val="center"/>
          </w:tcPr>
          <w:p w14:paraId="1033D34A">
            <w:pPr>
              <w:pStyle w:val="70"/>
              <w:rPr>
                <w:b/>
                <w:bCs/>
                <w:color w:val="000000" w:themeColor="text1"/>
                <w14:textFill>
                  <w14:solidFill>
                    <w14:schemeClr w14:val="tx1"/>
                  </w14:solidFill>
                </w14:textFill>
              </w:rPr>
            </w:pPr>
          </w:p>
        </w:tc>
      </w:tr>
      <w:tr w14:paraId="5147264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822" w:type="dxa"/>
            <w:vAlign w:val="center"/>
          </w:tcPr>
          <w:p w14:paraId="347A921B">
            <w:pPr>
              <w:pStyle w:val="70"/>
              <w:rPr>
                <w:color w:val="000000" w:themeColor="text1"/>
                <w14:textFill>
                  <w14:solidFill>
                    <w14:schemeClr w14:val="tx1"/>
                  </w14:solidFill>
                </w14:textFill>
              </w:rPr>
            </w:pPr>
            <w:r>
              <w:rPr>
                <w:color w:val="000000" w:themeColor="text1"/>
                <w14:textFill>
                  <w14:solidFill>
                    <w14:schemeClr w14:val="tx1"/>
                  </w14:solidFill>
                </w14:textFill>
              </w:rPr>
              <w:t>土壤性状</w:t>
            </w:r>
          </w:p>
        </w:tc>
        <w:tc>
          <w:tcPr>
            <w:tcW w:w="1415" w:type="dxa"/>
            <w:vAlign w:val="center"/>
          </w:tcPr>
          <w:p w14:paraId="326CE1DD">
            <w:pPr>
              <w:pStyle w:val="70"/>
              <w:rPr>
                <w:color w:val="000000" w:themeColor="text1"/>
                <w14:textFill>
                  <w14:solidFill>
                    <w14:schemeClr w14:val="tx1"/>
                  </w14:solidFill>
                </w14:textFill>
              </w:rPr>
            </w:pPr>
          </w:p>
        </w:tc>
        <w:tc>
          <w:tcPr>
            <w:tcW w:w="1132" w:type="dxa"/>
            <w:vAlign w:val="center"/>
          </w:tcPr>
          <w:p w14:paraId="78BE0341">
            <w:pPr>
              <w:pStyle w:val="70"/>
              <w:rPr>
                <w:color w:val="000000" w:themeColor="text1"/>
                <w14:textFill>
                  <w14:solidFill>
                    <w14:schemeClr w14:val="tx1"/>
                  </w14:solidFill>
                </w14:textFill>
              </w:rPr>
            </w:pPr>
          </w:p>
        </w:tc>
        <w:tc>
          <w:tcPr>
            <w:tcW w:w="1321" w:type="dxa"/>
            <w:vAlign w:val="center"/>
          </w:tcPr>
          <w:p w14:paraId="2D897765">
            <w:pPr>
              <w:pStyle w:val="70"/>
              <w:rPr>
                <w:color w:val="000000" w:themeColor="text1"/>
                <w14:textFill>
                  <w14:solidFill>
                    <w14:schemeClr w14:val="tx1"/>
                  </w14:solidFill>
                </w14:textFill>
              </w:rPr>
            </w:pPr>
          </w:p>
        </w:tc>
        <w:tc>
          <w:tcPr>
            <w:tcW w:w="942" w:type="dxa"/>
            <w:vAlign w:val="center"/>
          </w:tcPr>
          <w:p w14:paraId="73FC06BB">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1108" w:type="dxa"/>
            <w:vAlign w:val="center"/>
          </w:tcPr>
          <w:p w14:paraId="44FF5B8F">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r>
      <w:tr w14:paraId="2BF5035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822" w:type="dxa"/>
            <w:vAlign w:val="center"/>
          </w:tcPr>
          <w:p w14:paraId="4D07BCFC">
            <w:pPr>
              <w:pStyle w:val="70"/>
              <w:rPr>
                <w:color w:val="000000" w:themeColor="text1"/>
                <w14:textFill>
                  <w14:solidFill>
                    <w14:schemeClr w14:val="tx1"/>
                  </w14:solidFill>
                </w14:textFill>
              </w:rPr>
            </w:pPr>
            <w:r>
              <w:rPr>
                <w:color w:val="000000" w:themeColor="text1"/>
                <w:kern w:val="0"/>
                <w14:textFill>
                  <w14:solidFill>
                    <w14:schemeClr w14:val="tx1"/>
                  </w14:solidFill>
                </w14:textFill>
              </w:rPr>
              <w:t>氧化还原电位（mV）</w:t>
            </w:r>
          </w:p>
        </w:tc>
        <w:tc>
          <w:tcPr>
            <w:tcW w:w="1415" w:type="dxa"/>
            <w:vAlign w:val="center"/>
          </w:tcPr>
          <w:p w14:paraId="57EFD838">
            <w:pPr>
              <w:pStyle w:val="70"/>
              <w:rPr>
                <w:color w:val="000000" w:themeColor="text1"/>
                <w14:textFill>
                  <w14:solidFill>
                    <w14:schemeClr w14:val="tx1"/>
                  </w14:solidFill>
                </w14:textFill>
              </w:rPr>
            </w:pPr>
          </w:p>
        </w:tc>
        <w:tc>
          <w:tcPr>
            <w:tcW w:w="1132" w:type="dxa"/>
            <w:vAlign w:val="center"/>
          </w:tcPr>
          <w:p w14:paraId="1FDDF31D">
            <w:pPr>
              <w:pStyle w:val="70"/>
              <w:rPr>
                <w:color w:val="000000" w:themeColor="text1"/>
                <w14:textFill>
                  <w14:solidFill>
                    <w14:schemeClr w14:val="tx1"/>
                  </w14:solidFill>
                </w14:textFill>
              </w:rPr>
            </w:pPr>
          </w:p>
        </w:tc>
        <w:tc>
          <w:tcPr>
            <w:tcW w:w="1321" w:type="dxa"/>
            <w:vAlign w:val="center"/>
          </w:tcPr>
          <w:p w14:paraId="7D10A3C6">
            <w:pPr>
              <w:pStyle w:val="70"/>
              <w:rPr>
                <w:color w:val="000000" w:themeColor="text1"/>
                <w14:textFill>
                  <w14:solidFill>
                    <w14:schemeClr w14:val="tx1"/>
                  </w14:solidFill>
                </w14:textFill>
              </w:rPr>
            </w:pPr>
          </w:p>
        </w:tc>
        <w:tc>
          <w:tcPr>
            <w:tcW w:w="942" w:type="dxa"/>
            <w:vAlign w:val="center"/>
          </w:tcPr>
          <w:p w14:paraId="3871D284">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1108" w:type="dxa"/>
            <w:vAlign w:val="center"/>
          </w:tcPr>
          <w:p w14:paraId="18430450">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r>
      <w:tr w14:paraId="2F2287A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822" w:type="dxa"/>
            <w:vAlign w:val="center"/>
          </w:tcPr>
          <w:p w14:paraId="70530E4B">
            <w:pPr>
              <w:pStyle w:val="70"/>
              <w:rPr>
                <w:color w:val="000000" w:themeColor="text1"/>
                <w14:textFill>
                  <w14:solidFill>
                    <w14:schemeClr w14:val="tx1"/>
                  </w14:solidFill>
                </w14:textFill>
              </w:rPr>
            </w:pPr>
            <w:r>
              <w:rPr>
                <w:color w:val="000000" w:themeColor="text1"/>
                <w:kern w:val="0"/>
                <w14:textFill>
                  <w14:solidFill>
                    <w14:schemeClr w14:val="tx1"/>
                  </w14:solidFill>
                </w14:textFill>
              </w:rPr>
              <w:t>砷（mg/kg）</w:t>
            </w:r>
          </w:p>
        </w:tc>
        <w:tc>
          <w:tcPr>
            <w:tcW w:w="1415" w:type="dxa"/>
            <w:vAlign w:val="center"/>
          </w:tcPr>
          <w:p w14:paraId="04151D8C">
            <w:pPr>
              <w:pStyle w:val="70"/>
              <w:rPr>
                <w:color w:val="000000" w:themeColor="text1"/>
                <w14:textFill>
                  <w14:solidFill>
                    <w14:schemeClr w14:val="tx1"/>
                  </w14:solidFill>
                </w14:textFill>
              </w:rPr>
            </w:pPr>
          </w:p>
        </w:tc>
        <w:tc>
          <w:tcPr>
            <w:tcW w:w="1132" w:type="dxa"/>
            <w:vAlign w:val="center"/>
          </w:tcPr>
          <w:p w14:paraId="7242AEE0">
            <w:pPr>
              <w:pStyle w:val="70"/>
              <w:rPr>
                <w:color w:val="000000" w:themeColor="text1"/>
                <w14:textFill>
                  <w14:solidFill>
                    <w14:schemeClr w14:val="tx1"/>
                  </w14:solidFill>
                </w14:textFill>
              </w:rPr>
            </w:pPr>
          </w:p>
        </w:tc>
        <w:tc>
          <w:tcPr>
            <w:tcW w:w="1321" w:type="dxa"/>
            <w:vAlign w:val="center"/>
          </w:tcPr>
          <w:p w14:paraId="6D500906">
            <w:pPr>
              <w:pStyle w:val="70"/>
              <w:rPr>
                <w:color w:val="000000" w:themeColor="text1"/>
                <w14:textFill>
                  <w14:solidFill>
                    <w14:schemeClr w14:val="tx1"/>
                  </w14:solidFill>
                </w14:textFill>
              </w:rPr>
            </w:pPr>
          </w:p>
        </w:tc>
        <w:tc>
          <w:tcPr>
            <w:tcW w:w="942" w:type="dxa"/>
            <w:vAlign w:val="center"/>
          </w:tcPr>
          <w:p w14:paraId="05F7AC64">
            <w:pPr>
              <w:pStyle w:val="70"/>
              <w:rPr>
                <w:color w:val="000000" w:themeColor="text1"/>
                <w14:textFill>
                  <w14:solidFill>
                    <w14:schemeClr w14:val="tx1"/>
                  </w14:solidFill>
                </w14:textFill>
              </w:rPr>
            </w:pPr>
            <w:r>
              <w:rPr>
                <w:color w:val="000000" w:themeColor="text1"/>
                <w14:textFill>
                  <w14:solidFill>
                    <w14:schemeClr w14:val="tx1"/>
                  </w14:solidFill>
                </w14:textFill>
              </w:rPr>
              <w:t>60</w:t>
            </w:r>
          </w:p>
        </w:tc>
        <w:tc>
          <w:tcPr>
            <w:tcW w:w="1108" w:type="dxa"/>
            <w:vAlign w:val="center"/>
          </w:tcPr>
          <w:p w14:paraId="4F2E3054">
            <w:pPr>
              <w:pStyle w:val="70"/>
              <w:rPr>
                <w:color w:val="000000" w:themeColor="text1"/>
                <w14:textFill>
                  <w14:solidFill>
                    <w14:schemeClr w14:val="tx1"/>
                  </w14:solidFill>
                </w14:textFill>
              </w:rPr>
            </w:pPr>
            <w:r>
              <w:rPr>
                <w:color w:val="000000" w:themeColor="text1"/>
                <w14:textFill>
                  <w14:solidFill>
                    <w14:schemeClr w14:val="tx1"/>
                  </w14:solidFill>
                </w14:textFill>
              </w:rPr>
              <w:t>达标</w:t>
            </w:r>
          </w:p>
        </w:tc>
      </w:tr>
      <w:tr w14:paraId="1D309D2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822" w:type="dxa"/>
            <w:vAlign w:val="center"/>
          </w:tcPr>
          <w:p w14:paraId="09E89860">
            <w:pPr>
              <w:pStyle w:val="70"/>
              <w:rPr>
                <w:color w:val="000000" w:themeColor="text1"/>
                <w14:textFill>
                  <w14:solidFill>
                    <w14:schemeClr w14:val="tx1"/>
                  </w14:solidFill>
                </w14:textFill>
              </w:rPr>
            </w:pPr>
            <w:r>
              <w:rPr>
                <w:color w:val="000000" w:themeColor="text1"/>
                <w:kern w:val="0"/>
                <w14:textFill>
                  <w14:solidFill>
                    <w14:schemeClr w14:val="tx1"/>
                  </w14:solidFill>
                </w14:textFill>
              </w:rPr>
              <w:t>六价铬（mg/kg）</w:t>
            </w:r>
          </w:p>
        </w:tc>
        <w:tc>
          <w:tcPr>
            <w:tcW w:w="1415" w:type="dxa"/>
            <w:vAlign w:val="center"/>
          </w:tcPr>
          <w:p w14:paraId="44169F16">
            <w:pPr>
              <w:pStyle w:val="70"/>
              <w:rPr>
                <w:color w:val="000000" w:themeColor="text1"/>
                <w14:textFill>
                  <w14:solidFill>
                    <w14:schemeClr w14:val="tx1"/>
                  </w14:solidFill>
                </w14:textFill>
              </w:rPr>
            </w:pPr>
          </w:p>
        </w:tc>
        <w:tc>
          <w:tcPr>
            <w:tcW w:w="1132" w:type="dxa"/>
            <w:vAlign w:val="center"/>
          </w:tcPr>
          <w:p w14:paraId="3CF54E0D">
            <w:pPr>
              <w:pStyle w:val="70"/>
              <w:rPr>
                <w:color w:val="000000" w:themeColor="text1"/>
                <w14:textFill>
                  <w14:solidFill>
                    <w14:schemeClr w14:val="tx1"/>
                  </w14:solidFill>
                </w14:textFill>
              </w:rPr>
            </w:pPr>
          </w:p>
        </w:tc>
        <w:tc>
          <w:tcPr>
            <w:tcW w:w="1321" w:type="dxa"/>
            <w:vAlign w:val="center"/>
          </w:tcPr>
          <w:p w14:paraId="2E8CA376">
            <w:pPr>
              <w:pStyle w:val="70"/>
              <w:rPr>
                <w:color w:val="000000" w:themeColor="text1"/>
                <w14:textFill>
                  <w14:solidFill>
                    <w14:schemeClr w14:val="tx1"/>
                  </w14:solidFill>
                </w14:textFill>
              </w:rPr>
            </w:pPr>
          </w:p>
        </w:tc>
        <w:tc>
          <w:tcPr>
            <w:tcW w:w="942" w:type="dxa"/>
            <w:vAlign w:val="center"/>
          </w:tcPr>
          <w:p w14:paraId="5F2D81E4">
            <w:pPr>
              <w:pStyle w:val="70"/>
              <w:rPr>
                <w:color w:val="000000" w:themeColor="text1"/>
                <w14:textFill>
                  <w14:solidFill>
                    <w14:schemeClr w14:val="tx1"/>
                  </w14:solidFill>
                </w14:textFill>
              </w:rPr>
            </w:pPr>
            <w:r>
              <w:rPr>
                <w:color w:val="000000" w:themeColor="text1"/>
                <w14:textFill>
                  <w14:solidFill>
                    <w14:schemeClr w14:val="tx1"/>
                  </w14:solidFill>
                </w14:textFill>
              </w:rPr>
              <w:t>5.7</w:t>
            </w:r>
          </w:p>
        </w:tc>
        <w:tc>
          <w:tcPr>
            <w:tcW w:w="1108" w:type="dxa"/>
            <w:vAlign w:val="center"/>
          </w:tcPr>
          <w:p w14:paraId="01C40B1C">
            <w:pPr>
              <w:pStyle w:val="70"/>
              <w:rPr>
                <w:color w:val="000000" w:themeColor="text1"/>
                <w14:textFill>
                  <w14:solidFill>
                    <w14:schemeClr w14:val="tx1"/>
                  </w14:solidFill>
                </w14:textFill>
              </w:rPr>
            </w:pPr>
            <w:r>
              <w:rPr>
                <w:color w:val="000000" w:themeColor="text1"/>
                <w14:textFill>
                  <w14:solidFill>
                    <w14:schemeClr w14:val="tx1"/>
                  </w14:solidFill>
                </w14:textFill>
              </w:rPr>
              <w:t>达标</w:t>
            </w:r>
          </w:p>
        </w:tc>
      </w:tr>
      <w:tr w14:paraId="4733B46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822" w:type="dxa"/>
            <w:vAlign w:val="center"/>
          </w:tcPr>
          <w:p w14:paraId="1827198A">
            <w:pPr>
              <w:pStyle w:val="70"/>
              <w:rPr>
                <w:color w:val="000000" w:themeColor="text1"/>
                <w14:textFill>
                  <w14:solidFill>
                    <w14:schemeClr w14:val="tx1"/>
                  </w14:solidFill>
                </w14:textFill>
              </w:rPr>
            </w:pPr>
            <w:r>
              <w:rPr>
                <w:color w:val="000000" w:themeColor="text1"/>
                <w:kern w:val="0"/>
                <w14:textFill>
                  <w14:solidFill>
                    <w14:schemeClr w14:val="tx1"/>
                  </w14:solidFill>
                </w14:textFill>
              </w:rPr>
              <w:t>铜（mg/kg）</w:t>
            </w:r>
          </w:p>
        </w:tc>
        <w:tc>
          <w:tcPr>
            <w:tcW w:w="1415" w:type="dxa"/>
            <w:vAlign w:val="center"/>
          </w:tcPr>
          <w:p w14:paraId="7996C3F3">
            <w:pPr>
              <w:pStyle w:val="70"/>
              <w:rPr>
                <w:color w:val="000000" w:themeColor="text1"/>
                <w14:textFill>
                  <w14:solidFill>
                    <w14:schemeClr w14:val="tx1"/>
                  </w14:solidFill>
                </w14:textFill>
              </w:rPr>
            </w:pPr>
          </w:p>
        </w:tc>
        <w:tc>
          <w:tcPr>
            <w:tcW w:w="1132" w:type="dxa"/>
            <w:vAlign w:val="center"/>
          </w:tcPr>
          <w:p w14:paraId="74A88A7C">
            <w:pPr>
              <w:pStyle w:val="70"/>
              <w:rPr>
                <w:color w:val="000000" w:themeColor="text1"/>
                <w14:textFill>
                  <w14:solidFill>
                    <w14:schemeClr w14:val="tx1"/>
                  </w14:solidFill>
                </w14:textFill>
              </w:rPr>
            </w:pPr>
          </w:p>
        </w:tc>
        <w:tc>
          <w:tcPr>
            <w:tcW w:w="1321" w:type="dxa"/>
            <w:vAlign w:val="center"/>
          </w:tcPr>
          <w:p w14:paraId="129161F6">
            <w:pPr>
              <w:pStyle w:val="70"/>
              <w:rPr>
                <w:color w:val="000000" w:themeColor="text1"/>
                <w14:textFill>
                  <w14:solidFill>
                    <w14:schemeClr w14:val="tx1"/>
                  </w14:solidFill>
                </w14:textFill>
              </w:rPr>
            </w:pPr>
          </w:p>
        </w:tc>
        <w:tc>
          <w:tcPr>
            <w:tcW w:w="942" w:type="dxa"/>
            <w:vAlign w:val="center"/>
          </w:tcPr>
          <w:p w14:paraId="4B989B63">
            <w:pPr>
              <w:pStyle w:val="70"/>
              <w:rPr>
                <w:color w:val="000000" w:themeColor="text1"/>
                <w14:textFill>
                  <w14:solidFill>
                    <w14:schemeClr w14:val="tx1"/>
                  </w14:solidFill>
                </w14:textFill>
              </w:rPr>
            </w:pPr>
            <w:r>
              <w:rPr>
                <w:color w:val="000000" w:themeColor="text1"/>
                <w14:textFill>
                  <w14:solidFill>
                    <w14:schemeClr w14:val="tx1"/>
                  </w14:solidFill>
                </w14:textFill>
              </w:rPr>
              <w:t>18000</w:t>
            </w:r>
          </w:p>
        </w:tc>
        <w:tc>
          <w:tcPr>
            <w:tcW w:w="1108" w:type="dxa"/>
            <w:vAlign w:val="center"/>
          </w:tcPr>
          <w:p w14:paraId="45AAFED2">
            <w:pPr>
              <w:pStyle w:val="70"/>
              <w:rPr>
                <w:color w:val="000000" w:themeColor="text1"/>
                <w14:textFill>
                  <w14:solidFill>
                    <w14:schemeClr w14:val="tx1"/>
                  </w14:solidFill>
                </w14:textFill>
              </w:rPr>
            </w:pPr>
            <w:r>
              <w:rPr>
                <w:color w:val="000000" w:themeColor="text1"/>
                <w14:textFill>
                  <w14:solidFill>
                    <w14:schemeClr w14:val="tx1"/>
                  </w14:solidFill>
                </w14:textFill>
              </w:rPr>
              <w:t>达标</w:t>
            </w:r>
          </w:p>
        </w:tc>
      </w:tr>
      <w:tr w14:paraId="1CA9A6D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822" w:type="dxa"/>
            <w:vAlign w:val="center"/>
          </w:tcPr>
          <w:p w14:paraId="62B17271">
            <w:pPr>
              <w:pStyle w:val="70"/>
              <w:rPr>
                <w:color w:val="000000" w:themeColor="text1"/>
                <w14:textFill>
                  <w14:solidFill>
                    <w14:schemeClr w14:val="tx1"/>
                  </w14:solidFill>
                </w14:textFill>
              </w:rPr>
            </w:pPr>
            <w:r>
              <w:rPr>
                <w:color w:val="000000" w:themeColor="text1"/>
                <w:kern w:val="0"/>
                <w14:textFill>
                  <w14:solidFill>
                    <w14:schemeClr w14:val="tx1"/>
                  </w14:solidFill>
                </w14:textFill>
              </w:rPr>
              <w:t>镍（mg/kg）</w:t>
            </w:r>
          </w:p>
        </w:tc>
        <w:tc>
          <w:tcPr>
            <w:tcW w:w="1415" w:type="dxa"/>
            <w:vAlign w:val="center"/>
          </w:tcPr>
          <w:p w14:paraId="4B18FC48">
            <w:pPr>
              <w:pStyle w:val="70"/>
              <w:rPr>
                <w:color w:val="000000" w:themeColor="text1"/>
                <w14:textFill>
                  <w14:solidFill>
                    <w14:schemeClr w14:val="tx1"/>
                  </w14:solidFill>
                </w14:textFill>
              </w:rPr>
            </w:pPr>
          </w:p>
        </w:tc>
        <w:tc>
          <w:tcPr>
            <w:tcW w:w="1132" w:type="dxa"/>
            <w:vAlign w:val="center"/>
          </w:tcPr>
          <w:p w14:paraId="03A1B89A">
            <w:pPr>
              <w:pStyle w:val="70"/>
              <w:rPr>
                <w:color w:val="000000" w:themeColor="text1"/>
                <w14:textFill>
                  <w14:solidFill>
                    <w14:schemeClr w14:val="tx1"/>
                  </w14:solidFill>
                </w14:textFill>
              </w:rPr>
            </w:pPr>
          </w:p>
        </w:tc>
        <w:tc>
          <w:tcPr>
            <w:tcW w:w="1321" w:type="dxa"/>
            <w:vAlign w:val="center"/>
          </w:tcPr>
          <w:p w14:paraId="4EAEB2DA">
            <w:pPr>
              <w:pStyle w:val="70"/>
              <w:rPr>
                <w:color w:val="000000" w:themeColor="text1"/>
                <w14:textFill>
                  <w14:solidFill>
                    <w14:schemeClr w14:val="tx1"/>
                  </w14:solidFill>
                </w14:textFill>
              </w:rPr>
            </w:pPr>
          </w:p>
        </w:tc>
        <w:tc>
          <w:tcPr>
            <w:tcW w:w="942" w:type="dxa"/>
            <w:vAlign w:val="center"/>
          </w:tcPr>
          <w:p w14:paraId="29873611">
            <w:pPr>
              <w:pStyle w:val="70"/>
              <w:rPr>
                <w:color w:val="000000" w:themeColor="text1"/>
                <w14:textFill>
                  <w14:solidFill>
                    <w14:schemeClr w14:val="tx1"/>
                  </w14:solidFill>
                </w14:textFill>
              </w:rPr>
            </w:pPr>
            <w:r>
              <w:rPr>
                <w:color w:val="000000" w:themeColor="text1"/>
                <w14:textFill>
                  <w14:solidFill>
                    <w14:schemeClr w14:val="tx1"/>
                  </w14:solidFill>
                </w14:textFill>
              </w:rPr>
              <w:t>900</w:t>
            </w:r>
          </w:p>
        </w:tc>
        <w:tc>
          <w:tcPr>
            <w:tcW w:w="1108" w:type="dxa"/>
            <w:vAlign w:val="center"/>
          </w:tcPr>
          <w:p w14:paraId="7A06E20A">
            <w:pPr>
              <w:pStyle w:val="70"/>
              <w:rPr>
                <w:color w:val="000000" w:themeColor="text1"/>
                <w14:textFill>
                  <w14:solidFill>
                    <w14:schemeClr w14:val="tx1"/>
                  </w14:solidFill>
                </w14:textFill>
              </w:rPr>
            </w:pPr>
            <w:r>
              <w:rPr>
                <w:color w:val="000000" w:themeColor="text1"/>
                <w14:textFill>
                  <w14:solidFill>
                    <w14:schemeClr w14:val="tx1"/>
                  </w14:solidFill>
                </w14:textFill>
              </w:rPr>
              <w:t>达标</w:t>
            </w:r>
          </w:p>
        </w:tc>
      </w:tr>
      <w:tr w14:paraId="07C83DA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822" w:type="dxa"/>
            <w:vAlign w:val="center"/>
          </w:tcPr>
          <w:p w14:paraId="335C4034">
            <w:pPr>
              <w:pStyle w:val="70"/>
              <w:rPr>
                <w:color w:val="000000" w:themeColor="text1"/>
                <w14:textFill>
                  <w14:solidFill>
                    <w14:schemeClr w14:val="tx1"/>
                  </w14:solidFill>
                </w14:textFill>
              </w:rPr>
            </w:pPr>
            <w:r>
              <w:rPr>
                <w:color w:val="000000" w:themeColor="text1"/>
                <w:kern w:val="0"/>
                <w14:textFill>
                  <w14:solidFill>
                    <w14:schemeClr w14:val="tx1"/>
                  </w14:solidFill>
                </w14:textFill>
              </w:rPr>
              <w:t>铅（mg/kg）</w:t>
            </w:r>
          </w:p>
        </w:tc>
        <w:tc>
          <w:tcPr>
            <w:tcW w:w="1415" w:type="dxa"/>
            <w:vAlign w:val="center"/>
          </w:tcPr>
          <w:p w14:paraId="5CACC932">
            <w:pPr>
              <w:pStyle w:val="70"/>
              <w:rPr>
                <w:color w:val="000000" w:themeColor="text1"/>
                <w14:textFill>
                  <w14:solidFill>
                    <w14:schemeClr w14:val="tx1"/>
                  </w14:solidFill>
                </w14:textFill>
              </w:rPr>
            </w:pPr>
          </w:p>
        </w:tc>
        <w:tc>
          <w:tcPr>
            <w:tcW w:w="1132" w:type="dxa"/>
            <w:vAlign w:val="center"/>
          </w:tcPr>
          <w:p w14:paraId="2C2C8425">
            <w:pPr>
              <w:pStyle w:val="70"/>
              <w:rPr>
                <w:color w:val="000000" w:themeColor="text1"/>
                <w14:textFill>
                  <w14:solidFill>
                    <w14:schemeClr w14:val="tx1"/>
                  </w14:solidFill>
                </w14:textFill>
              </w:rPr>
            </w:pPr>
          </w:p>
        </w:tc>
        <w:tc>
          <w:tcPr>
            <w:tcW w:w="1321" w:type="dxa"/>
            <w:vAlign w:val="center"/>
          </w:tcPr>
          <w:p w14:paraId="07B07BA4">
            <w:pPr>
              <w:pStyle w:val="70"/>
              <w:rPr>
                <w:color w:val="000000" w:themeColor="text1"/>
                <w14:textFill>
                  <w14:solidFill>
                    <w14:schemeClr w14:val="tx1"/>
                  </w14:solidFill>
                </w14:textFill>
              </w:rPr>
            </w:pPr>
          </w:p>
        </w:tc>
        <w:tc>
          <w:tcPr>
            <w:tcW w:w="942" w:type="dxa"/>
            <w:vAlign w:val="center"/>
          </w:tcPr>
          <w:p w14:paraId="1DD854A8">
            <w:pPr>
              <w:pStyle w:val="70"/>
              <w:rPr>
                <w:color w:val="000000" w:themeColor="text1"/>
                <w14:textFill>
                  <w14:solidFill>
                    <w14:schemeClr w14:val="tx1"/>
                  </w14:solidFill>
                </w14:textFill>
              </w:rPr>
            </w:pPr>
            <w:r>
              <w:rPr>
                <w:color w:val="000000" w:themeColor="text1"/>
                <w14:textFill>
                  <w14:solidFill>
                    <w14:schemeClr w14:val="tx1"/>
                  </w14:solidFill>
                </w14:textFill>
              </w:rPr>
              <w:t>800</w:t>
            </w:r>
          </w:p>
        </w:tc>
        <w:tc>
          <w:tcPr>
            <w:tcW w:w="1108" w:type="dxa"/>
            <w:vAlign w:val="center"/>
          </w:tcPr>
          <w:p w14:paraId="0506B284">
            <w:pPr>
              <w:pStyle w:val="70"/>
              <w:rPr>
                <w:color w:val="000000" w:themeColor="text1"/>
                <w14:textFill>
                  <w14:solidFill>
                    <w14:schemeClr w14:val="tx1"/>
                  </w14:solidFill>
                </w14:textFill>
              </w:rPr>
            </w:pPr>
            <w:r>
              <w:rPr>
                <w:color w:val="000000" w:themeColor="text1"/>
                <w14:textFill>
                  <w14:solidFill>
                    <w14:schemeClr w14:val="tx1"/>
                  </w14:solidFill>
                </w14:textFill>
              </w:rPr>
              <w:t>达标</w:t>
            </w:r>
          </w:p>
        </w:tc>
      </w:tr>
      <w:tr w14:paraId="24D1334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822" w:type="dxa"/>
            <w:vAlign w:val="center"/>
          </w:tcPr>
          <w:p w14:paraId="4639E4C6">
            <w:pPr>
              <w:pStyle w:val="70"/>
              <w:rPr>
                <w:color w:val="000000" w:themeColor="text1"/>
                <w14:textFill>
                  <w14:solidFill>
                    <w14:schemeClr w14:val="tx1"/>
                  </w14:solidFill>
                </w14:textFill>
              </w:rPr>
            </w:pPr>
            <w:r>
              <w:rPr>
                <w:color w:val="000000" w:themeColor="text1"/>
                <w:kern w:val="0"/>
                <w14:textFill>
                  <w14:solidFill>
                    <w14:schemeClr w14:val="tx1"/>
                  </w14:solidFill>
                </w14:textFill>
              </w:rPr>
              <w:t>镉（mg/kg）</w:t>
            </w:r>
          </w:p>
        </w:tc>
        <w:tc>
          <w:tcPr>
            <w:tcW w:w="1415" w:type="dxa"/>
            <w:vAlign w:val="center"/>
          </w:tcPr>
          <w:p w14:paraId="1C2A2427">
            <w:pPr>
              <w:pStyle w:val="70"/>
              <w:rPr>
                <w:color w:val="000000" w:themeColor="text1"/>
                <w14:textFill>
                  <w14:solidFill>
                    <w14:schemeClr w14:val="tx1"/>
                  </w14:solidFill>
                </w14:textFill>
              </w:rPr>
            </w:pPr>
          </w:p>
        </w:tc>
        <w:tc>
          <w:tcPr>
            <w:tcW w:w="1132" w:type="dxa"/>
            <w:vAlign w:val="center"/>
          </w:tcPr>
          <w:p w14:paraId="09F1F0AF">
            <w:pPr>
              <w:pStyle w:val="70"/>
              <w:rPr>
                <w:color w:val="000000" w:themeColor="text1"/>
                <w14:textFill>
                  <w14:solidFill>
                    <w14:schemeClr w14:val="tx1"/>
                  </w14:solidFill>
                </w14:textFill>
              </w:rPr>
            </w:pPr>
          </w:p>
        </w:tc>
        <w:tc>
          <w:tcPr>
            <w:tcW w:w="1321" w:type="dxa"/>
            <w:vAlign w:val="center"/>
          </w:tcPr>
          <w:p w14:paraId="2096AC0C">
            <w:pPr>
              <w:pStyle w:val="70"/>
              <w:rPr>
                <w:color w:val="000000" w:themeColor="text1"/>
                <w14:textFill>
                  <w14:solidFill>
                    <w14:schemeClr w14:val="tx1"/>
                  </w14:solidFill>
                </w14:textFill>
              </w:rPr>
            </w:pPr>
          </w:p>
        </w:tc>
        <w:tc>
          <w:tcPr>
            <w:tcW w:w="942" w:type="dxa"/>
            <w:vAlign w:val="center"/>
          </w:tcPr>
          <w:p w14:paraId="4309442A">
            <w:pPr>
              <w:pStyle w:val="70"/>
              <w:rPr>
                <w:color w:val="000000" w:themeColor="text1"/>
                <w14:textFill>
                  <w14:solidFill>
                    <w14:schemeClr w14:val="tx1"/>
                  </w14:solidFill>
                </w14:textFill>
              </w:rPr>
            </w:pPr>
            <w:r>
              <w:rPr>
                <w:color w:val="000000" w:themeColor="text1"/>
                <w14:textFill>
                  <w14:solidFill>
                    <w14:schemeClr w14:val="tx1"/>
                  </w14:solidFill>
                </w14:textFill>
              </w:rPr>
              <w:t>65</w:t>
            </w:r>
          </w:p>
        </w:tc>
        <w:tc>
          <w:tcPr>
            <w:tcW w:w="1108" w:type="dxa"/>
            <w:vAlign w:val="center"/>
          </w:tcPr>
          <w:p w14:paraId="045E3E94">
            <w:pPr>
              <w:pStyle w:val="70"/>
              <w:rPr>
                <w:color w:val="000000" w:themeColor="text1"/>
                <w14:textFill>
                  <w14:solidFill>
                    <w14:schemeClr w14:val="tx1"/>
                  </w14:solidFill>
                </w14:textFill>
              </w:rPr>
            </w:pPr>
            <w:r>
              <w:rPr>
                <w:color w:val="000000" w:themeColor="text1"/>
                <w14:textFill>
                  <w14:solidFill>
                    <w14:schemeClr w14:val="tx1"/>
                  </w14:solidFill>
                </w14:textFill>
              </w:rPr>
              <w:t>达标</w:t>
            </w:r>
          </w:p>
        </w:tc>
      </w:tr>
      <w:tr w14:paraId="5DFB7DF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822" w:type="dxa"/>
            <w:vAlign w:val="center"/>
          </w:tcPr>
          <w:p w14:paraId="4A606553">
            <w:pPr>
              <w:pStyle w:val="70"/>
              <w:rPr>
                <w:color w:val="000000" w:themeColor="text1"/>
                <w14:textFill>
                  <w14:solidFill>
                    <w14:schemeClr w14:val="tx1"/>
                  </w14:solidFill>
                </w14:textFill>
              </w:rPr>
            </w:pPr>
            <w:r>
              <w:rPr>
                <w:color w:val="000000" w:themeColor="text1"/>
                <w:kern w:val="0"/>
                <w14:textFill>
                  <w14:solidFill>
                    <w14:schemeClr w14:val="tx1"/>
                  </w14:solidFill>
                </w14:textFill>
              </w:rPr>
              <w:t>汞（mg/kg）</w:t>
            </w:r>
          </w:p>
        </w:tc>
        <w:tc>
          <w:tcPr>
            <w:tcW w:w="1415" w:type="dxa"/>
            <w:vAlign w:val="center"/>
          </w:tcPr>
          <w:p w14:paraId="4B25DF77">
            <w:pPr>
              <w:pStyle w:val="70"/>
              <w:rPr>
                <w:color w:val="000000" w:themeColor="text1"/>
                <w14:textFill>
                  <w14:solidFill>
                    <w14:schemeClr w14:val="tx1"/>
                  </w14:solidFill>
                </w14:textFill>
              </w:rPr>
            </w:pPr>
          </w:p>
        </w:tc>
        <w:tc>
          <w:tcPr>
            <w:tcW w:w="1132" w:type="dxa"/>
            <w:vAlign w:val="center"/>
          </w:tcPr>
          <w:p w14:paraId="0ADBD799">
            <w:pPr>
              <w:pStyle w:val="70"/>
              <w:rPr>
                <w:color w:val="000000" w:themeColor="text1"/>
                <w14:textFill>
                  <w14:solidFill>
                    <w14:schemeClr w14:val="tx1"/>
                  </w14:solidFill>
                </w14:textFill>
              </w:rPr>
            </w:pPr>
          </w:p>
        </w:tc>
        <w:tc>
          <w:tcPr>
            <w:tcW w:w="1321" w:type="dxa"/>
            <w:vAlign w:val="center"/>
          </w:tcPr>
          <w:p w14:paraId="1F4BF9B3">
            <w:pPr>
              <w:pStyle w:val="70"/>
              <w:rPr>
                <w:color w:val="000000" w:themeColor="text1"/>
                <w14:textFill>
                  <w14:solidFill>
                    <w14:schemeClr w14:val="tx1"/>
                  </w14:solidFill>
                </w14:textFill>
              </w:rPr>
            </w:pPr>
          </w:p>
        </w:tc>
        <w:tc>
          <w:tcPr>
            <w:tcW w:w="942" w:type="dxa"/>
            <w:vAlign w:val="center"/>
          </w:tcPr>
          <w:p w14:paraId="19474E91">
            <w:pPr>
              <w:pStyle w:val="70"/>
              <w:rPr>
                <w:color w:val="000000" w:themeColor="text1"/>
                <w14:textFill>
                  <w14:solidFill>
                    <w14:schemeClr w14:val="tx1"/>
                  </w14:solidFill>
                </w14:textFill>
              </w:rPr>
            </w:pPr>
            <w:r>
              <w:rPr>
                <w:color w:val="000000" w:themeColor="text1"/>
                <w14:textFill>
                  <w14:solidFill>
                    <w14:schemeClr w14:val="tx1"/>
                  </w14:solidFill>
                </w14:textFill>
              </w:rPr>
              <w:t>38</w:t>
            </w:r>
          </w:p>
        </w:tc>
        <w:tc>
          <w:tcPr>
            <w:tcW w:w="1108" w:type="dxa"/>
            <w:vAlign w:val="center"/>
          </w:tcPr>
          <w:p w14:paraId="4A2F9927">
            <w:pPr>
              <w:pStyle w:val="70"/>
              <w:rPr>
                <w:color w:val="000000" w:themeColor="text1"/>
                <w14:textFill>
                  <w14:solidFill>
                    <w14:schemeClr w14:val="tx1"/>
                  </w14:solidFill>
                </w14:textFill>
              </w:rPr>
            </w:pPr>
            <w:r>
              <w:rPr>
                <w:color w:val="000000" w:themeColor="text1"/>
                <w14:textFill>
                  <w14:solidFill>
                    <w14:schemeClr w14:val="tx1"/>
                  </w14:solidFill>
                </w14:textFill>
              </w:rPr>
              <w:t>达标</w:t>
            </w:r>
          </w:p>
        </w:tc>
      </w:tr>
      <w:tr w14:paraId="7E728CB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822" w:type="dxa"/>
            <w:vAlign w:val="center"/>
          </w:tcPr>
          <w:p w14:paraId="4C33233B">
            <w:pPr>
              <w:pStyle w:val="70"/>
              <w:rPr>
                <w:color w:val="000000" w:themeColor="text1"/>
                <w14:textFill>
                  <w14:solidFill>
                    <w14:schemeClr w14:val="tx1"/>
                  </w14:solidFill>
                </w14:textFill>
              </w:rPr>
            </w:pPr>
            <w:r>
              <w:rPr>
                <w:color w:val="000000" w:themeColor="text1"/>
                <w14:textFill>
                  <w14:solidFill>
                    <w14:schemeClr w14:val="tx1"/>
                  </w14:solidFill>
                </w14:textFill>
              </w:rPr>
              <w:t>pH值（无量纲）</w:t>
            </w:r>
          </w:p>
        </w:tc>
        <w:tc>
          <w:tcPr>
            <w:tcW w:w="1415" w:type="dxa"/>
            <w:vAlign w:val="center"/>
          </w:tcPr>
          <w:p w14:paraId="19586587">
            <w:pPr>
              <w:pStyle w:val="70"/>
              <w:rPr>
                <w:color w:val="000000" w:themeColor="text1"/>
                <w14:textFill>
                  <w14:solidFill>
                    <w14:schemeClr w14:val="tx1"/>
                  </w14:solidFill>
                </w14:textFill>
              </w:rPr>
            </w:pPr>
          </w:p>
        </w:tc>
        <w:tc>
          <w:tcPr>
            <w:tcW w:w="1132" w:type="dxa"/>
            <w:vAlign w:val="center"/>
          </w:tcPr>
          <w:p w14:paraId="2B174B9F">
            <w:pPr>
              <w:pStyle w:val="70"/>
              <w:rPr>
                <w:color w:val="000000" w:themeColor="text1"/>
                <w14:textFill>
                  <w14:solidFill>
                    <w14:schemeClr w14:val="tx1"/>
                  </w14:solidFill>
                </w14:textFill>
              </w:rPr>
            </w:pPr>
          </w:p>
        </w:tc>
        <w:tc>
          <w:tcPr>
            <w:tcW w:w="1321" w:type="dxa"/>
            <w:vAlign w:val="center"/>
          </w:tcPr>
          <w:p w14:paraId="1B7C2E29">
            <w:pPr>
              <w:pStyle w:val="70"/>
              <w:rPr>
                <w:color w:val="000000" w:themeColor="text1"/>
                <w14:textFill>
                  <w14:solidFill>
                    <w14:schemeClr w14:val="tx1"/>
                  </w14:solidFill>
                </w14:textFill>
              </w:rPr>
            </w:pPr>
          </w:p>
        </w:tc>
        <w:tc>
          <w:tcPr>
            <w:tcW w:w="942" w:type="dxa"/>
            <w:vAlign w:val="center"/>
          </w:tcPr>
          <w:p w14:paraId="1CC26A7B">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1108" w:type="dxa"/>
            <w:vAlign w:val="center"/>
          </w:tcPr>
          <w:p w14:paraId="7D6A8A63">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r>
      <w:tr w14:paraId="3787F4E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822" w:type="dxa"/>
            <w:vAlign w:val="center"/>
          </w:tcPr>
          <w:p w14:paraId="75EE532D">
            <w:pPr>
              <w:pStyle w:val="70"/>
              <w:rPr>
                <w:color w:val="000000" w:themeColor="text1"/>
                <w14:textFill>
                  <w14:solidFill>
                    <w14:schemeClr w14:val="tx1"/>
                  </w14:solidFill>
                </w14:textFill>
              </w:rPr>
            </w:pPr>
            <w:r>
              <w:rPr>
                <w:color w:val="000000" w:themeColor="text1"/>
                <w14:textFill>
                  <w14:solidFill>
                    <w14:schemeClr w14:val="tx1"/>
                  </w14:solidFill>
                </w14:textFill>
              </w:rPr>
              <w:t>阳离子交换量（cmol</w:t>
            </w:r>
            <w:r>
              <w:rPr>
                <w:color w:val="000000" w:themeColor="text1"/>
                <w:vertAlign w:val="superscript"/>
                <w14:textFill>
                  <w14:solidFill>
                    <w14:schemeClr w14:val="tx1"/>
                  </w14:solidFill>
                </w14:textFill>
              </w:rPr>
              <w:t>+</w:t>
            </w:r>
            <w:r>
              <w:rPr>
                <w:color w:val="000000" w:themeColor="text1"/>
                <w14:textFill>
                  <w14:solidFill>
                    <w14:schemeClr w14:val="tx1"/>
                  </w14:solidFill>
                </w14:textFill>
              </w:rPr>
              <w:t>/kg）</w:t>
            </w:r>
          </w:p>
        </w:tc>
        <w:tc>
          <w:tcPr>
            <w:tcW w:w="1415" w:type="dxa"/>
            <w:vAlign w:val="center"/>
          </w:tcPr>
          <w:p w14:paraId="27B732C6">
            <w:pPr>
              <w:pStyle w:val="70"/>
              <w:rPr>
                <w:color w:val="000000" w:themeColor="text1"/>
                <w14:textFill>
                  <w14:solidFill>
                    <w14:schemeClr w14:val="tx1"/>
                  </w14:solidFill>
                </w14:textFill>
              </w:rPr>
            </w:pPr>
          </w:p>
        </w:tc>
        <w:tc>
          <w:tcPr>
            <w:tcW w:w="1132" w:type="dxa"/>
            <w:vAlign w:val="center"/>
          </w:tcPr>
          <w:p w14:paraId="37C5D423">
            <w:pPr>
              <w:pStyle w:val="70"/>
              <w:rPr>
                <w:color w:val="000000" w:themeColor="text1"/>
                <w14:textFill>
                  <w14:solidFill>
                    <w14:schemeClr w14:val="tx1"/>
                  </w14:solidFill>
                </w14:textFill>
              </w:rPr>
            </w:pPr>
          </w:p>
        </w:tc>
        <w:tc>
          <w:tcPr>
            <w:tcW w:w="1321" w:type="dxa"/>
            <w:vAlign w:val="center"/>
          </w:tcPr>
          <w:p w14:paraId="5935377E">
            <w:pPr>
              <w:pStyle w:val="70"/>
              <w:rPr>
                <w:color w:val="000000" w:themeColor="text1"/>
                <w14:textFill>
                  <w14:solidFill>
                    <w14:schemeClr w14:val="tx1"/>
                  </w14:solidFill>
                </w14:textFill>
              </w:rPr>
            </w:pPr>
          </w:p>
        </w:tc>
        <w:tc>
          <w:tcPr>
            <w:tcW w:w="942" w:type="dxa"/>
            <w:vAlign w:val="center"/>
          </w:tcPr>
          <w:p w14:paraId="2E280C24">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1108" w:type="dxa"/>
            <w:vAlign w:val="center"/>
          </w:tcPr>
          <w:p w14:paraId="2416E43B">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r>
      <w:tr w14:paraId="67E11A7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822" w:type="dxa"/>
            <w:vAlign w:val="center"/>
          </w:tcPr>
          <w:p w14:paraId="6B481A9A">
            <w:pPr>
              <w:pStyle w:val="70"/>
              <w:rPr>
                <w:color w:val="000000" w:themeColor="text1"/>
                <w14:textFill>
                  <w14:solidFill>
                    <w14:schemeClr w14:val="tx1"/>
                  </w14:solidFill>
                </w14:textFill>
              </w:rPr>
            </w:pPr>
            <w:r>
              <w:rPr>
                <w:color w:val="000000" w:themeColor="text1"/>
                <w14:textFill>
                  <w14:solidFill>
                    <w14:schemeClr w14:val="tx1"/>
                  </w14:solidFill>
                </w14:textFill>
              </w:rPr>
              <w:t>饱和导水率（mm/min）</w:t>
            </w:r>
          </w:p>
        </w:tc>
        <w:tc>
          <w:tcPr>
            <w:tcW w:w="1415" w:type="dxa"/>
            <w:vAlign w:val="center"/>
          </w:tcPr>
          <w:p w14:paraId="4C4D47B8">
            <w:pPr>
              <w:pStyle w:val="70"/>
              <w:rPr>
                <w:color w:val="000000" w:themeColor="text1"/>
                <w14:textFill>
                  <w14:solidFill>
                    <w14:schemeClr w14:val="tx1"/>
                  </w14:solidFill>
                </w14:textFill>
              </w:rPr>
            </w:pPr>
          </w:p>
        </w:tc>
        <w:tc>
          <w:tcPr>
            <w:tcW w:w="1132" w:type="dxa"/>
            <w:vAlign w:val="center"/>
          </w:tcPr>
          <w:p w14:paraId="552A7482">
            <w:pPr>
              <w:pStyle w:val="70"/>
              <w:rPr>
                <w:color w:val="000000" w:themeColor="text1"/>
                <w14:textFill>
                  <w14:solidFill>
                    <w14:schemeClr w14:val="tx1"/>
                  </w14:solidFill>
                </w14:textFill>
              </w:rPr>
            </w:pPr>
          </w:p>
        </w:tc>
        <w:tc>
          <w:tcPr>
            <w:tcW w:w="1321" w:type="dxa"/>
            <w:vAlign w:val="center"/>
          </w:tcPr>
          <w:p w14:paraId="10D90809">
            <w:pPr>
              <w:pStyle w:val="70"/>
              <w:rPr>
                <w:color w:val="000000" w:themeColor="text1"/>
                <w14:textFill>
                  <w14:solidFill>
                    <w14:schemeClr w14:val="tx1"/>
                  </w14:solidFill>
                </w14:textFill>
              </w:rPr>
            </w:pPr>
          </w:p>
        </w:tc>
        <w:tc>
          <w:tcPr>
            <w:tcW w:w="942" w:type="dxa"/>
            <w:vAlign w:val="center"/>
          </w:tcPr>
          <w:p w14:paraId="2E693037">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1108" w:type="dxa"/>
            <w:vAlign w:val="center"/>
          </w:tcPr>
          <w:p w14:paraId="4AEDC478">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r>
      <w:tr w14:paraId="1AAB16A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822" w:type="dxa"/>
            <w:vAlign w:val="center"/>
          </w:tcPr>
          <w:p w14:paraId="506AE9D1">
            <w:pPr>
              <w:pStyle w:val="70"/>
              <w:rPr>
                <w:color w:val="000000" w:themeColor="text1"/>
                <w14:textFill>
                  <w14:solidFill>
                    <w14:schemeClr w14:val="tx1"/>
                  </w14:solidFill>
                </w14:textFill>
              </w:rPr>
            </w:pPr>
            <w:r>
              <w:rPr>
                <w:color w:val="000000" w:themeColor="text1"/>
                <w14:textFill>
                  <w14:solidFill>
                    <w14:schemeClr w14:val="tx1"/>
                  </w14:solidFill>
                </w14:textFill>
              </w:rPr>
              <w:t>容重（g/cm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w:t>
            </w:r>
          </w:p>
        </w:tc>
        <w:tc>
          <w:tcPr>
            <w:tcW w:w="1415" w:type="dxa"/>
            <w:vAlign w:val="center"/>
          </w:tcPr>
          <w:p w14:paraId="72343B37">
            <w:pPr>
              <w:pStyle w:val="70"/>
              <w:rPr>
                <w:color w:val="000000" w:themeColor="text1"/>
                <w14:textFill>
                  <w14:solidFill>
                    <w14:schemeClr w14:val="tx1"/>
                  </w14:solidFill>
                </w14:textFill>
              </w:rPr>
            </w:pPr>
          </w:p>
        </w:tc>
        <w:tc>
          <w:tcPr>
            <w:tcW w:w="1132" w:type="dxa"/>
            <w:vAlign w:val="center"/>
          </w:tcPr>
          <w:p w14:paraId="4EAB213A">
            <w:pPr>
              <w:pStyle w:val="70"/>
              <w:rPr>
                <w:color w:val="000000" w:themeColor="text1"/>
                <w14:textFill>
                  <w14:solidFill>
                    <w14:schemeClr w14:val="tx1"/>
                  </w14:solidFill>
                </w14:textFill>
              </w:rPr>
            </w:pPr>
          </w:p>
        </w:tc>
        <w:tc>
          <w:tcPr>
            <w:tcW w:w="1321" w:type="dxa"/>
            <w:vAlign w:val="center"/>
          </w:tcPr>
          <w:p w14:paraId="6A473598">
            <w:pPr>
              <w:pStyle w:val="70"/>
              <w:rPr>
                <w:color w:val="000000" w:themeColor="text1"/>
                <w14:textFill>
                  <w14:solidFill>
                    <w14:schemeClr w14:val="tx1"/>
                  </w14:solidFill>
                </w14:textFill>
              </w:rPr>
            </w:pPr>
          </w:p>
        </w:tc>
        <w:tc>
          <w:tcPr>
            <w:tcW w:w="942" w:type="dxa"/>
            <w:vAlign w:val="center"/>
          </w:tcPr>
          <w:p w14:paraId="46435BB7">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1108" w:type="dxa"/>
            <w:vAlign w:val="center"/>
          </w:tcPr>
          <w:p w14:paraId="7839A8AF">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r>
      <w:tr w14:paraId="611A24B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822" w:type="dxa"/>
            <w:vAlign w:val="center"/>
          </w:tcPr>
          <w:p w14:paraId="5A8E31B4">
            <w:pPr>
              <w:pStyle w:val="70"/>
              <w:rPr>
                <w:color w:val="000000" w:themeColor="text1"/>
                <w14:textFill>
                  <w14:solidFill>
                    <w14:schemeClr w14:val="tx1"/>
                  </w14:solidFill>
                </w14:textFill>
              </w:rPr>
            </w:pPr>
            <w:r>
              <w:rPr>
                <w:color w:val="000000" w:themeColor="text1"/>
                <w14:textFill>
                  <w14:solidFill>
                    <w14:schemeClr w14:val="tx1"/>
                  </w14:solidFill>
                </w14:textFill>
              </w:rPr>
              <w:t>总孔隙度（体积%）</w:t>
            </w:r>
          </w:p>
        </w:tc>
        <w:tc>
          <w:tcPr>
            <w:tcW w:w="1415" w:type="dxa"/>
            <w:vAlign w:val="center"/>
          </w:tcPr>
          <w:p w14:paraId="0D0E459F">
            <w:pPr>
              <w:pStyle w:val="70"/>
              <w:rPr>
                <w:color w:val="000000" w:themeColor="text1"/>
                <w14:textFill>
                  <w14:solidFill>
                    <w14:schemeClr w14:val="tx1"/>
                  </w14:solidFill>
                </w14:textFill>
              </w:rPr>
            </w:pPr>
          </w:p>
        </w:tc>
        <w:tc>
          <w:tcPr>
            <w:tcW w:w="1132" w:type="dxa"/>
            <w:vAlign w:val="center"/>
          </w:tcPr>
          <w:p w14:paraId="491C84DC">
            <w:pPr>
              <w:pStyle w:val="70"/>
              <w:rPr>
                <w:color w:val="000000" w:themeColor="text1"/>
                <w14:textFill>
                  <w14:solidFill>
                    <w14:schemeClr w14:val="tx1"/>
                  </w14:solidFill>
                </w14:textFill>
              </w:rPr>
            </w:pPr>
          </w:p>
        </w:tc>
        <w:tc>
          <w:tcPr>
            <w:tcW w:w="1321" w:type="dxa"/>
            <w:vAlign w:val="center"/>
          </w:tcPr>
          <w:p w14:paraId="14962EAF">
            <w:pPr>
              <w:pStyle w:val="70"/>
              <w:rPr>
                <w:color w:val="000000" w:themeColor="text1"/>
                <w14:textFill>
                  <w14:solidFill>
                    <w14:schemeClr w14:val="tx1"/>
                  </w14:solidFill>
                </w14:textFill>
              </w:rPr>
            </w:pPr>
          </w:p>
        </w:tc>
        <w:tc>
          <w:tcPr>
            <w:tcW w:w="942" w:type="dxa"/>
            <w:vAlign w:val="center"/>
          </w:tcPr>
          <w:p w14:paraId="1F0272DE">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1108" w:type="dxa"/>
            <w:vAlign w:val="center"/>
          </w:tcPr>
          <w:p w14:paraId="6F1B28E6">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r>
      <w:tr w14:paraId="7D5034E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822" w:type="dxa"/>
            <w:vAlign w:val="center"/>
          </w:tcPr>
          <w:p w14:paraId="2E5D4B81">
            <w:pPr>
              <w:pStyle w:val="70"/>
              <w:rPr>
                <w:color w:val="000000" w:themeColor="text1"/>
                <w14:textFill>
                  <w14:solidFill>
                    <w14:schemeClr w14:val="tx1"/>
                  </w14:solidFill>
                </w14:textFill>
              </w:rPr>
            </w:pPr>
            <w:r>
              <w:rPr>
                <w:color w:val="000000" w:themeColor="text1"/>
                <w14:textFill>
                  <w14:solidFill>
                    <w14:schemeClr w14:val="tx1"/>
                  </w14:solidFill>
                </w14:textFill>
              </w:rPr>
              <w:t>2-氯</w:t>
            </w:r>
            <w:r>
              <w:rPr>
                <w:rFonts w:hint="eastAsia"/>
                <w:color w:val="000000" w:themeColor="text1"/>
                <w14:textFill>
                  <w14:solidFill>
                    <w14:schemeClr w14:val="tx1"/>
                  </w14:solidFill>
                </w14:textFill>
              </w:rPr>
              <w:t>苯</w:t>
            </w:r>
            <w:r>
              <w:rPr>
                <w:color w:val="000000" w:themeColor="text1"/>
                <w14:textFill>
                  <w14:solidFill>
                    <w14:schemeClr w14:val="tx1"/>
                  </w14:solidFill>
                </w14:textFill>
              </w:rPr>
              <w:t>酚</w:t>
            </w:r>
            <w:r>
              <w:rPr>
                <w:color w:val="000000" w:themeColor="text1"/>
                <w:kern w:val="0"/>
                <w14:textFill>
                  <w14:solidFill>
                    <w14:schemeClr w14:val="tx1"/>
                  </w14:solidFill>
                </w14:textFill>
              </w:rPr>
              <w:t>（mg/kg）</w:t>
            </w:r>
          </w:p>
        </w:tc>
        <w:tc>
          <w:tcPr>
            <w:tcW w:w="1415" w:type="dxa"/>
            <w:vAlign w:val="center"/>
          </w:tcPr>
          <w:p w14:paraId="0F4049E2">
            <w:pPr>
              <w:pStyle w:val="70"/>
              <w:rPr>
                <w:color w:val="000000" w:themeColor="text1"/>
                <w14:textFill>
                  <w14:solidFill>
                    <w14:schemeClr w14:val="tx1"/>
                  </w14:solidFill>
                </w14:textFill>
              </w:rPr>
            </w:pPr>
          </w:p>
        </w:tc>
        <w:tc>
          <w:tcPr>
            <w:tcW w:w="1132" w:type="dxa"/>
            <w:vAlign w:val="center"/>
          </w:tcPr>
          <w:p w14:paraId="41C91E3E">
            <w:pPr>
              <w:pStyle w:val="70"/>
              <w:rPr>
                <w:color w:val="000000" w:themeColor="text1"/>
                <w14:textFill>
                  <w14:solidFill>
                    <w14:schemeClr w14:val="tx1"/>
                  </w14:solidFill>
                </w14:textFill>
              </w:rPr>
            </w:pPr>
          </w:p>
        </w:tc>
        <w:tc>
          <w:tcPr>
            <w:tcW w:w="1321" w:type="dxa"/>
            <w:vAlign w:val="center"/>
          </w:tcPr>
          <w:p w14:paraId="589F7E55">
            <w:pPr>
              <w:pStyle w:val="70"/>
              <w:rPr>
                <w:color w:val="000000" w:themeColor="text1"/>
                <w14:textFill>
                  <w14:solidFill>
                    <w14:schemeClr w14:val="tx1"/>
                  </w14:solidFill>
                </w14:textFill>
              </w:rPr>
            </w:pPr>
          </w:p>
        </w:tc>
        <w:tc>
          <w:tcPr>
            <w:tcW w:w="942" w:type="dxa"/>
            <w:vAlign w:val="center"/>
          </w:tcPr>
          <w:p w14:paraId="624B0FEE">
            <w:pPr>
              <w:pStyle w:val="70"/>
              <w:rPr>
                <w:color w:val="000000" w:themeColor="text1"/>
                <w14:textFill>
                  <w14:solidFill>
                    <w14:schemeClr w14:val="tx1"/>
                  </w14:solidFill>
                </w14:textFill>
              </w:rPr>
            </w:pPr>
            <w:r>
              <w:rPr>
                <w:color w:val="000000" w:themeColor="text1"/>
                <w14:textFill>
                  <w14:solidFill>
                    <w14:schemeClr w14:val="tx1"/>
                  </w14:solidFill>
                </w14:textFill>
              </w:rPr>
              <w:t>2256</w:t>
            </w:r>
          </w:p>
        </w:tc>
        <w:tc>
          <w:tcPr>
            <w:tcW w:w="1108" w:type="dxa"/>
            <w:vAlign w:val="center"/>
          </w:tcPr>
          <w:p w14:paraId="3B304D5A">
            <w:pPr>
              <w:pStyle w:val="70"/>
              <w:rPr>
                <w:color w:val="000000" w:themeColor="text1"/>
                <w14:textFill>
                  <w14:solidFill>
                    <w14:schemeClr w14:val="tx1"/>
                  </w14:solidFill>
                </w14:textFill>
              </w:rPr>
            </w:pPr>
            <w:r>
              <w:rPr>
                <w:color w:val="000000" w:themeColor="text1"/>
                <w14:textFill>
                  <w14:solidFill>
                    <w14:schemeClr w14:val="tx1"/>
                  </w14:solidFill>
                </w14:textFill>
              </w:rPr>
              <w:t>达标</w:t>
            </w:r>
          </w:p>
        </w:tc>
      </w:tr>
      <w:tr w14:paraId="13E9BF0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822" w:type="dxa"/>
            <w:vAlign w:val="center"/>
          </w:tcPr>
          <w:p w14:paraId="5E313304">
            <w:pPr>
              <w:pStyle w:val="70"/>
              <w:rPr>
                <w:color w:val="000000" w:themeColor="text1"/>
                <w14:textFill>
                  <w14:solidFill>
                    <w14:schemeClr w14:val="tx1"/>
                  </w14:solidFill>
                </w14:textFill>
              </w:rPr>
            </w:pPr>
            <w:r>
              <w:rPr>
                <w:color w:val="000000" w:themeColor="text1"/>
                <w14:textFill>
                  <w14:solidFill>
                    <w14:schemeClr w14:val="tx1"/>
                  </w14:solidFill>
                </w14:textFill>
              </w:rPr>
              <w:t>苯（mg/kg）</w:t>
            </w:r>
          </w:p>
        </w:tc>
        <w:tc>
          <w:tcPr>
            <w:tcW w:w="1415" w:type="dxa"/>
            <w:vAlign w:val="center"/>
          </w:tcPr>
          <w:p w14:paraId="7FEBABBE">
            <w:pPr>
              <w:pStyle w:val="70"/>
              <w:rPr>
                <w:color w:val="000000" w:themeColor="text1"/>
                <w14:textFill>
                  <w14:solidFill>
                    <w14:schemeClr w14:val="tx1"/>
                  </w14:solidFill>
                </w14:textFill>
              </w:rPr>
            </w:pPr>
          </w:p>
        </w:tc>
        <w:tc>
          <w:tcPr>
            <w:tcW w:w="1132" w:type="dxa"/>
            <w:vAlign w:val="center"/>
          </w:tcPr>
          <w:p w14:paraId="64120CDA">
            <w:pPr>
              <w:pStyle w:val="70"/>
              <w:rPr>
                <w:color w:val="000000" w:themeColor="text1"/>
                <w14:textFill>
                  <w14:solidFill>
                    <w14:schemeClr w14:val="tx1"/>
                  </w14:solidFill>
                </w14:textFill>
              </w:rPr>
            </w:pPr>
          </w:p>
        </w:tc>
        <w:tc>
          <w:tcPr>
            <w:tcW w:w="1321" w:type="dxa"/>
            <w:vAlign w:val="center"/>
          </w:tcPr>
          <w:p w14:paraId="288ADB44">
            <w:pPr>
              <w:pStyle w:val="70"/>
              <w:rPr>
                <w:color w:val="000000" w:themeColor="text1"/>
                <w14:textFill>
                  <w14:solidFill>
                    <w14:schemeClr w14:val="tx1"/>
                  </w14:solidFill>
                </w14:textFill>
              </w:rPr>
            </w:pPr>
          </w:p>
        </w:tc>
        <w:tc>
          <w:tcPr>
            <w:tcW w:w="942" w:type="dxa"/>
            <w:vAlign w:val="center"/>
          </w:tcPr>
          <w:p w14:paraId="5DB32A86">
            <w:pPr>
              <w:pStyle w:val="70"/>
              <w:rPr>
                <w:color w:val="000000" w:themeColor="text1"/>
                <w14:textFill>
                  <w14:solidFill>
                    <w14:schemeClr w14:val="tx1"/>
                  </w14:solidFill>
                </w14:textFill>
              </w:rPr>
            </w:pPr>
            <w:r>
              <w:rPr>
                <w:color w:val="000000" w:themeColor="text1"/>
                <w14:textFill>
                  <w14:solidFill>
                    <w14:schemeClr w14:val="tx1"/>
                  </w14:solidFill>
                </w14:textFill>
              </w:rPr>
              <w:t>4</w:t>
            </w:r>
          </w:p>
        </w:tc>
        <w:tc>
          <w:tcPr>
            <w:tcW w:w="1108" w:type="dxa"/>
            <w:vAlign w:val="center"/>
          </w:tcPr>
          <w:p w14:paraId="7D0ED6A2">
            <w:pPr>
              <w:pStyle w:val="70"/>
              <w:rPr>
                <w:color w:val="000000" w:themeColor="text1"/>
                <w14:textFill>
                  <w14:solidFill>
                    <w14:schemeClr w14:val="tx1"/>
                  </w14:solidFill>
                </w14:textFill>
              </w:rPr>
            </w:pPr>
            <w:r>
              <w:rPr>
                <w:color w:val="000000" w:themeColor="text1"/>
                <w14:textFill>
                  <w14:solidFill>
                    <w14:schemeClr w14:val="tx1"/>
                  </w14:solidFill>
                </w14:textFill>
              </w:rPr>
              <w:t>达标</w:t>
            </w:r>
          </w:p>
        </w:tc>
      </w:tr>
      <w:tr w14:paraId="432748E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822" w:type="dxa"/>
            <w:vAlign w:val="center"/>
          </w:tcPr>
          <w:p w14:paraId="16272558">
            <w:pPr>
              <w:pStyle w:val="70"/>
              <w:rPr>
                <w:color w:val="000000" w:themeColor="text1"/>
                <w14:textFill>
                  <w14:solidFill>
                    <w14:schemeClr w14:val="tx1"/>
                  </w14:solidFill>
                </w14:textFill>
              </w:rPr>
            </w:pPr>
            <w:r>
              <w:rPr>
                <w:color w:val="000000" w:themeColor="text1"/>
                <w14:textFill>
                  <w14:solidFill>
                    <w14:schemeClr w14:val="tx1"/>
                  </w14:solidFill>
                </w14:textFill>
              </w:rPr>
              <w:t>苯乙烯（mg/kg）</w:t>
            </w:r>
          </w:p>
        </w:tc>
        <w:tc>
          <w:tcPr>
            <w:tcW w:w="1415" w:type="dxa"/>
            <w:vAlign w:val="center"/>
          </w:tcPr>
          <w:p w14:paraId="2A1D352C">
            <w:pPr>
              <w:pStyle w:val="70"/>
              <w:rPr>
                <w:color w:val="000000" w:themeColor="text1"/>
                <w14:textFill>
                  <w14:solidFill>
                    <w14:schemeClr w14:val="tx1"/>
                  </w14:solidFill>
                </w14:textFill>
              </w:rPr>
            </w:pPr>
          </w:p>
        </w:tc>
        <w:tc>
          <w:tcPr>
            <w:tcW w:w="1132" w:type="dxa"/>
            <w:vAlign w:val="center"/>
          </w:tcPr>
          <w:p w14:paraId="3E09D2B0">
            <w:pPr>
              <w:pStyle w:val="70"/>
              <w:rPr>
                <w:color w:val="000000" w:themeColor="text1"/>
                <w14:textFill>
                  <w14:solidFill>
                    <w14:schemeClr w14:val="tx1"/>
                  </w14:solidFill>
                </w14:textFill>
              </w:rPr>
            </w:pPr>
          </w:p>
        </w:tc>
        <w:tc>
          <w:tcPr>
            <w:tcW w:w="1321" w:type="dxa"/>
            <w:vAlign w:val="center"/>
          </w:tcPr>
          <w:p w14:paraId="0C68125F">
            <w:pPr>
              <w:pStyle w:val="70"/>
              <w:rPr>
                <w:color w:val="000000" w:themeColor="text1"/>
                <w14:textFill>
                  <w14:solidFill>
                    <w14:schemeClr w14:val="tx1"/>
                  </w14:solidFill>
                </w14:textFill>
              </w:rPr>
            </w:pPr>
          </w:p>
        </w:tc>
        <w:tc>
          <w:tcPr>
            <w:tcW w:w="942" w:type="dxa"/>
            <w:vAlign w:val="center"/>
          </w:tcPr>
          <w:p w14:paraId="6AC799E2">
            <w:pPr>
              <w:pStyle w:val="70"/>
              <w:rPr>
                <w:color w:val="000000" w:themeColor="text1"/>
                <w14:textFill>
                  <w14:solidFill>
                    <w14:schemeClr w14:val="tx1"/>
                  </w14:solidFill>
                </w14:textFill>
              </w:rPr>
            </w:pPr>
            <w:r>
              <w:rPr>
                <w:color w:val="000000" w:themeColor="text1"/>
                <w14:textFill>
                  <w14:solidFill>
                    <w14:schemeClr w14:val="tx1"/>
                  </w14:solidFill>
                </w14:textFill>
              </w:rPr>
              <w:t>1290</w:t>
            </w:r>
          </w:p>
        </w:tc>
        <w:tc>
          <w:tcPr>
            <w:tcW w:w="1108" w:type="dxa"/>
            <w:vAlign w:val="center"/>
          </w:tcPr>
          <w:p w14:paraId="61D112E2">
            <w:pPr>
              <w:pStyle w:val="70"/>
              <w:rPr>
                <w:color w:val="000000" w:themeColor="text1"/>
                <w14:textFill>
                  <w14:solidFill>
                    <w14:schemeClr w14:val="tx1"/>
                  </w14:solidFill>
                </w14:textFill>
              </w:rPr>
            </w:pPr>
            <w:r>
              <w:rPr>
                <w:color w:val="000000" w:themeColor="text1"/>
                <w14:textFill>
                  <w14:solidFill>
                    <w14:schemeClr w14:val="tx1"/>
                  </w14:solidFill>
                </w14:textFill>
              </w:rPr>
              <w:t>达标</w:t>
            </w:r>
          </w:p>
        </w:tc>
      </w:tr>
      <w:tr w14:paraId="6C61165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822" w:type="dxa"/>
            <w:vAlign w:val="center"/>
          </w:tcPr>
          <w:p w14:paraId="2427FD64">
            <w:pPr>
              <w:pStyle w:val="70"/>
              <w:rPr>
                <w:color w:val="000000" w:themeColor="text1"/>
                <w14:textFill>
                  <w14:solidFill>
                    <w14:schemeClr w14:val="tx1"/>
                  </w14:solidFill>
                </w14:textFill>
              </w:rPr>
            </w:pPr>
            <w:r>
              <w:rPr>
                <w:color w:val="000000" w:themeColor="text1"/>
                <w14:textFill>
                  <w14:solidFill>
                    <w14:schemeClr w14:val="tx1"/>
                  </w14:solidFill>
                </w14:textFill>
              </w:rPr>
              <w:t>甲苯（mg/kg）</w:t>
            </w:r>
          </w:p>
        </w:tc>
        <w:tc>
          <w:tcPr>
            <w:tcW w:w="1415" w:type="dxa"/>
            <w:vAlign w:val="center"/>
          </w:tcPr>
          <w:p w14:paraId="314FCB07">
            <w:pPr>
              <w:pStyle w:val="70"/>
              <w:rPr>
                <w:color w:val="000000" w:themeColor="text1"/>
                <w14:textFill>
                  <w14:solidFill>
                    <w14:schemeClr w14:val="tx1"/>
                  </w14:solidFill>
                </w14:textFill>
              </w:rPr>
            </w:pPr>
          </w:p>
        </w:tc>
        <w:tc>
          <w:tcPr>
            <w:tcW w:w="1132" w:type="dxa"/>
            <w:vAlign w:val="center"/>
          </w:tcPr>
          <w:p w14:paraId="064B8593">
            <w:pPr>
              <w:pStyle w:val="70"/>
              <w:rPr>
                <w:color w:val="000000" w:themeColor="text1"/>
                <w14:textFill>
                  <w14:solidFill>
                    <w14:schemeClr w14:val="tx1"/>
                  </w14:solidFill>
                </w14:textFill>
              </w:rPr>
            </w:pPr>
          </w:p>
        </w:tc>
        <w:tc>
          <w:tcPr>
            <w:tcW w:w="1321" w:type="dxa"/>
            <w:vAlign w:val="center"/>
          </w:tcPr>
          <w:p w14:paraId="08B60566">
            <w:pPr>
              <w:pStyle w:val="70"/>
              <w:rPr>
                <w:color w:val="000000" w:themeColor="text1"/>
                <w14:textFill>
                  <w14:solidFill>
                    <w14:schemeClr w14:val="tx1"/>
                  </w14:solidFill>
                </w14:textFill>
              </w:rPr>
            </w:pPr>
          </w:p>
        </w:tc>
        <w:tc>
          <w:tcPr>
            <w:tcW w:w="942" w:type="dxa"/>
            <w:vAlign w:val="center"/>
          </w:tcPr>
          <w:p w14:paraId="59517F23">
            <w:pPr>
              <w:pStyle w:val="70"/>
              <w:rPr>
                <w:color w:val="000000" w:themeColor="text1"/>
                <w14:textFill>
                  <w14:solidFill>
                    <w14:schemeClr w14:val="tx1"/>
                  </w14:solidFill>
                </w14:textFill>
              </w:rPr>
            </w:pPr>
            <w:r>
              <w:rPr>
                <w:color w:val="000000" w:themeColor="text1"/>
                <w14:textFill>
                  <w14:solidFill>
                    <w14:schemeClr w14:val="tx1"/>
                  </w14:solidFill>
                </w14:textFill>
              </w:rPr>
              <w:t>1200</w:t>
            </w:r>
          </w:p>
        </w:tc>
        <w:tc>
          <w:tcPr>
            <w:tcW w:w="1108" w:type="dxa"/>
            <w:vAlign w:val="center"/>
          </w:tcPr>
          <w:p w14:paraId="519AC378">
            <w:pPr>
              <w:pStyle w:val="70"/>
              <w:rPr>
                <w:color w:val="000000" w:themeColor="text1"/>
                <w14:textFill>
                  <w14:solidFill>
                    <w14:schemeClr w14:val="tx1"/>
                  </w14:solidFill>
                </w14:textFill>
              </w:rPr>
            </w:pPr>
            <w:r>
              <w:rPr>
                <w:color w:val="000000" w:themeColor="text1"/>
                <w14:textFill>
                  <w14:solidFill>
                    <w14:schemeClr w14:val="tx1"/>
                  </w14:solidFill>
                </w14:textFill>
              </w:rPr>
              <w:t>达标</w:t>
            </w:r>
          </w:p>
        </w:tc>
      </w:tr>
      <w:tr w14:paraId="0416590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822" w:type="dxa"/>
            <w:vAlign w:val="center"/>
          </w:tcPr>
          <w:p w14:paraId="605D0C48">
            <w:pPr>
              <w:pStyle w:val="70"/>
              <w:rPr>
                <w:color w:val="000000" w:themeColor="text1"/>
                <w14:textFill>
                  <w14:solidFill>
                    <w14:schemeClr w14:val="tx1"/>
                  </w14:solidFill>
                </w14:textFill>
              </w:rPr>
            </w:pPr>
            <w:r>
              <w:rPr>
                <w:color w:val="000000" w:themeColor="text1"/>
                <w14:textFill>
                  <w14:solidFill>
                    <w14:schemeClr w14:val="tx1"/>
                  </w14:solidFill>
                </w14:textFill>
              </w:rPr>
              <w:t>间/对-二甲苯（mg/kg）</w:t>
            </w:r>
          </w:p>
        </w:tc>
        <w:tc>
          <w:tcPr>
            <w:tcW w:w="1415" w:type="dxa"/>
            <w:vAlign w:val="center"/>
          </w:tcPr>
          <w:p w14:paraId="68ED11EA">
            <w:pPr>
              <w:pStyle w:val="70"/>
              <w:rPr>
                <w:color w:val="000000" w:themeColor="text1"/>
                <w14:textFill>
                  <w14:solidFill>
                    <w14:schemeClr w14:val="tx1"/>
                  </w14:solidFill>
                </w14:textFill>
              </w:rPr>
            </w:pPr>
          </w:p>
        </w:tc>
        <w:tc>
          <w:tcPr>
            <w:tcW w:w="1132" w:type="dxa"/>
            <w:vAlign w:val="center"/>
          </w:tcPr>
          <w:p w14:paraId="2A4C8078">
            <w:pPr>
              <w:pStyle w:val="70"/>
              <w:rPr>
                <w:color w:val="000000" w:themeColor="text1"/>
                <w14:textFill>
                  <w14:solidFill>
                    <w14:schemeClr w14:val="tx1"/>
                  </w14:solidFill>
                </w14:textFill>
              </w:rPr>
            </w:pPr>
          </w:p>
        </w:tc>
        <w:tc>
          <w:tcPr>
            <w:tcW w:w="1321" w:type="dxa"/>
            <w:vAlign w:val="center"/>
          </w:tcPr>
          <w:p w14:paraId="31198651">
            <w:pPr>
              <w:pStyle w:val="70"/>
              <w:rPr>
                <w:color w:val="000000" w:themeColor="text1"/>
                <w14:textFill>
                  <w14:solidFill>
                    <w14:schemeClr w14:val="tx1"/>
                  </w14:solidFill>
                </w14:textFill>
              </w:rPr>
            </w:pPr>
          </w:p>
        </w:tc>
        <w:tc>
          <w:tcPr>
            <w:tcW w:w="942" w:type="dxa"/>
            <w:vAlign w:val="center"/>
          </w:tcPr>
          <w:p w14:paraId="62BD0653">
            <w:pPr>
              <w:pStyle w:val="70"/>
              <w:rPr>
                <w:color w:val="000000" w:themeColor="text1"/>
                <w14:textFill>
                  <w14:solidFill>
                    <w14:schemeClr w14:val="tx1"/>
                  </w14:solidFill>
                </w14:textFill>
              </w:rPr>
            </w:pPr>
            <w:r>
              <w:rPr>
                <w:color w:val="000000" w:themeColor="text1"/>
                <w14:textFill>
                  <w14:solidFill>
                    <w14:schemeClr w14:val="tx1"/>
                  </w14:solidFill>
                </w14:textFill>
              </w:rPr>
              <w:t>570</w:t>
            </w:r>
          </w:p>
        </w:tc>
        <w:tc>
          <w:tcPr>
            <w:tcW w:w="1108" w:type="dxa"/>
            <w:vAlign w:val="center"/>
          </w:tcPr>
          <w:p w14:paraId="419B8275">
            <w:pPr>
              <w:pStyle w:val="70"/>
              <w:rPr>
                <w:color w:val="000000" w:themeColor="text1"/>
                <w14:textFill>
                  <w14:solidFill>
                    <w14:schemeClr w14:val="tx1"/>
                  </w14:solidFill>
                </w14:textFill>
              </w:rPr>
            </w:pPr>
            <w:r>
              <w:rPr>
                <w:color w:val="000000" w:themeColor="text1"/>
                <w14:textFill>
                  <w14:solidFill>
                    <w14:schemeClr w14:val="tx1"/>
                  </w14:solidFill>
                </w14:textFill>
              </w:rPr>
              <w:t>达标</w:t>
            </w:r>
          </w:p>
        </w:tc>
      </w:tr>
      <w:tr w14:paraId="7CD0DE5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822" w:type="dxa"/>
            <w:vAlign w:val="center"/>
          </w:tcPr>
          <w:p w14:paraId="5C1C9366">
            <w:pPr>
              <w:pStyle w:val="70"/>
              <w:rPr>
                <w:color w:val="000000" w:themeColor="text1"/>
                <w14:textFill>
                  <w14:solidFill>
                    <w14:schemeClr w14:val="tx1"/>
                  </w14:solidFill>
                </w14:textFill>
              </w:rPr>
            </w:pPr>
            <w:r>
              <w:rPr>
                <w:color w:val="000000" w:themeColor="text1"/>
                <w14:textFill>
                  <w14:solidFill>
                    <w14:schemeClr w14:val="tx1"/>
                  </w14:solidFill>
                </w14:textFill>
              </w:rPr>
              <w:t>邻-二甲苯（mg /kg）</w:t>
            </w:r>
          </w:p>
        </w:tc>
        <w:tc>
          <w:tcPr>
            <w:tcW w:w="1415" w:type="dxa"/>
            <w:vAlign w:val="center"/>
          </w:tcPr>
          <w:p w14:paraId="1D258A77">
            <w:pPr>
              <w:pStyle w:val="70"/>
              <w:rPr>
                <w:color w:val="000000" w:themeColor="text1"/>
                <w14:textFill>
                  <w14:solidFill>
                    <w14:schemeClr w14:val="tx1"/>
                  </w14:solidFill>
                </w14:textFill>
              </w:rPr>
            </w:pPr>
          </w:p>
        </w:tc>
        <w:tc>
          <w:tcPr>
            <w:tcW w:w="1132" w:type="dxa"/>
            <w:vAlign w:val="center"/>
          </w:tcPr>
          <w:p w14:paraId="62724C2B">
            <w:pPr>
              <w:pStyle w:val="70"/>
              <w:rPr>
                <w:color w:val="000000" w:themeColor="text1"/>
                <w14:textFill>
                  <w14:solidFill>
                    <w14:schemeClr w14:val="tx1"/>
                  </w14:solidFill>
                </w14:textFill>
              </w:rPr>
            </w:pPr>
          </w:p>
        </w:tc>
        <w:tc>
          <w:tcPr>
            <w:tcW w:w="1321" w:type="dxa"/>
            <w:vAlign w:val="center"/>
          </w:tcPr>
          <w:p w14:paraId="16639C3C">
            <w:pPr>
              <w:pStyle w:val="70"/>
              <w:rPr>
                <w:color w:val="000000" w:themeColor="text1"/>
                <w14:textFill>
                  <w14:solidFill>
                    <w14:schemeClr w14:val="tx1"/>
                  </w14:solidFill>
                </w14:textFill>
              </w:rPr>
            </w:pPr>
          </w:p>
        </w:tc>
        <w:tc>
          <w:tcPr>
            <w:tcW w:w="942" w:type="dxa"/>
            <w:vAlign w:val="center"/>
          </w:tcPr>
          <w:p w14:paraId="614AD288">
            <w:pPr>
              <w:pStyle w:val="70"/>
              <w:rPr>
                <w:color w:val="000000" w:themeColor="text1"/>
                <w14:textFill>
                  <w14:solidFill>
                    <w14:schemeClr w14:val="tx1"/>
                  </w14:solidFill>
                </w14:textFill>
              </w:rPr>
            </w:pPr>
            <w:r>
              <w:rPr>
                <w:color w:val="000000" w:themeColor="text1"/>
                <w14:textFill>
                  <w14:solidFill>
                    <w14:schemeClr w14:val="tx1"/>
                  </w14:solidFill>
                </w14:textFill>
              </w:rPr>
              <w:t>640</w:t>
            </w:r>
          </w:p>
        </w:tc>
        <w:tc>
          <w:tcPr>
            <w:tcW w:w="1108" w:type="dxa"/>
            <w:vAlign w:val="center"/>
          </w:tcPr>
          <w:p w14:paraId="1FFC01CF">
            <w:pPr>
              <w:pStyle w:val="70"/>
              <w:rPr>
                <w:color w:val="000000" w:themeColor="text1"/>
                <w14:textFill>
                  <w14:solidFill>
                    <w14:schemeClr w14:val="tx1"/>
                  </w14:solidFill>
                </w14:textFill>
              </w:rPr>
            </w:pPr>
            <w:r>
              <w:rPr>
                <w:color w:val="000000" w:themeColor="text1"/>
                <w14:textFill>
                  <w14:solidFill>
                    <w14:schemeClr w14:val="tx1"/>
                  </w14:solidFill>
                </w14:textFill>
              </w:rPr>
              <w:t>达标</w:t>
            </w:r>
          </w:p>
        </w:tc>
      </w:tr>
      <w:tr w14:paraId="246A35E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822" w:type="dxa"/>
            <w:vAlign w:val="center"/>
          </w:tcPr>
          <w:p w14:paraId="54053872">
            <w:pPr>
              <w:pStyle w:val="70"/>
              <w:rPr>
                <w:color w:val="000000" w:themeColor="text1"/>
                <w14:textFill>
                  <w14:solidFill>
                    <w14:schemeClr w14:val="tx1"/>
                  </w14:solidFill>
                </w14:textFill>
              </w:rPr>
            </w:pPr>
            <w:r>
              <w:rPr>
                <w:color w:val="000000" w:themeColor="text1"/>
                <w14:textFill>
                  <w14:solidFill>
                    <w14:schemeClr w14:val="tx1"/>
                  </w14:solidFill>
                </w14:textFill>
              </w:rPr>
              <w:t>苯并[a]芘</w:t>
            </w:r>
            <w:r>
              <w:rPr>
                <w:color w:val="000000" w:themeColor="text1"/>
                <w:kern w:val="0"/>
                <w14:textFill>
                  <w14:solidFill>
                    <w14:schemeClr w14:val="tx1"/>
                  </w14:solidFill>
                </w14:textFill>
              </w:rPr>
              <w:t>（mg/kg）</w:t>
            </w:r>
          </w:p>
        </w:tc>
        <w:tc>
          <w:tcPr>
            <w:tcW w:w="1415" w:type="dxa"/>
            <w:vAlign w:val="center"/>
          </w:tcPr>
          <w:p w14:paraId="171370C1">
            <w:pPr>
              <w:pStyle w:val="70"/>
              <w:rPr>
                <w:color w:val="000000" w:themeColor="text1"/>
                <w14:textFill>
                  <w14:solidFill>
                    <w14:schemeClr w14:val="tx1"/>
                  </w14:solidFill>
                </w14:textFill>
              </w:rPr>
            </w:pPr>
          </w:p>
        </w:tc>
        <w:tc>
          <w:tcPr>
            <w:tcW w:w="1132" w:type="dxa"/>
            <w:vAlign w:val="center"/>
          </w:tcPr>
          <w:p w14:paraId="09DE4336">
            <w:pPr>
              <w:pStyle w:val="70"/>
              <w:rPr>
                <w:color w:val="000000" w:themeColor="text1"/>
                <w14:textFill>
                  <w14:solidFill>
                    <w14:schemeClr w14:val="tx1"/>
                  </w14:solidFill>
                </w14:textFill>
              </w:rPr>
            </w:pPr>
          </w:p>
        </w:tc>
        <w:tc>
          <w:tcPr>
            <w:tcW w:w="1321" w:type="dxa"/>
            <w:vAlign w:val="center"/>
          </w:tcPr>
          <w:p w14:paraId="60575914">
            <w:pPr>
              <w:pStyle w:val="70"/>
              <w:rPr>
                <w:color w:val="000000" w:themeColor="text1"/>
                <w14:textFill>
                  <w14:solidFill>
                    <w14:schemeClr w14:val="tx1"/>
                  </w14:solidFill>
                </w14:textFill>
              </w:rPr>
            </w:pPr>
          </w:p>
        </w:tc>
        <w:tc>
          <w:tcPr>
            <w:tcW w:w="942" w:type="dxa"/>
            <w:vAlign w:val="center"/>
          </w:tcPr>
          <w:p w14:paraId="0160A701">
            <w:pPr>
              <w:pStyle w:val="70"/>
              <w:rPr>
                <w:color w:val="000000" w:themeColor="text1"/>
                <w14:textFill>
                  <w14:solidFill>
                    <w14:schemeClr w14:val="tx1"/>
                  </w14:solidFill>
                </w14:textFill>
              </w:rPr>
            </w:pPr>
            <w:r>
              <w:rPr>
                <w:color w:val="000000" w:themeColor="text1"/>
                <w14:textFill>
                  <w14:solidFill>
                    <w14:schemeClr w14:val="tx1"/>
                  </w14:solidFill>
                </w14:textFill>
              </w:rPr>
              <w:t>1.5</w:t>
            </w:r>
          </w:p>
        </w:tc>
        <w:tc>
          <w:tcPr>
            <w:tcW w:w="1108" w:type="dxa"/>
            <w:vAlign w:val="center"/>
          </w:tcPr>
          <w:p w14:paraId="518B2CD3">
            <w:pPr>
              <w:pStyle w:val="70"/>
              <w:rPr>
                <w:color w:val="000000" w:themeColor="text1"/>
                <w14:textFill>
                  <w14:solidFill>
                    <w14:schemeClr w14:val="tx1"/>
                  </w14:solidFill>
                </w14:textFill>
              </w:rPr>
            </w:pPr>
            <w:r>
              <w:rPr>
                <w:color w:val="000000" w:themeColor="text1"/>
                <w14:textFill>
                  <w14:solidFill>
                    <w14:schemeClr w14:val="tx1"/>
                  </w14:solidFill>
                </w14:textFill>
              </w:rPr>
              <w:t>达标</w:t>
            </w:r>
          </w:p>
        </w:tc>
      </w:tr>
      <w:tr w14:paraId="35F58E9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822" w:type="dxa"/>
            <w:vAlign w:val="center"/>
          </w:tcPr>
          <w:p w14:paraId="0C4E7F6A">
            <w:pPr>
              <w:pStyle w:val="70"/>
              <w:rPr>
                <w:color w:val="000000" w:themeColor="text1"/>
                <w14:textFill>
                  <w14:solidFill>
                    <w14:schemeClr w14:val="tx1"/>
                  </w14:solidFill>
                </w14:textFill>
              </w:rPr>
            </w:pPr>
            <w:r>
              <w:rPr>
                <w:color w:val="000000" w:themeColor="text1"/>
                <w14:textFill>
                  <w14:solidFill>
                    <w14:schemeClr w14:val="tx1"/>
                  </w14:solidFill>
                </w14:textFill>
              </w:rPr>
              <w:t>苯并[a]蒽</w:t>
            </w:r>
            <w:r>
              <w:rPr>
                <w:color w:val="000000" w:themeColor="text1"/>
                <w:kern w:val="0"/>
                <w14:textFill>
                  <w14:solidFill>
                    <w14:schemeClr w14:val="tx1"/>
                  </w14:solidFill>
                </w14:textFill>
              </w:rPr>
              <w:t>（mg/kg）</w:t>
            </w:r>
          </w:p>
        </w:tc>
        <w:tc>
          <w:tcPr>
            <w:tcW w:w="1415" w:type="dxa"/>
            <w:vAlign w:val="center"/>
          </w:tcPr>
          <w:p w14:paraId="55102D99">
            <w:pPr>
              <w:pStyle w:val="70"/>
              <w:rPr>
                <w:color w:val="000000" w:themeColor="text1"/>
                <w14:textFill>
                  <w14:solidFill>
                    <w14:schemeClr w14:val="tx1"/>
                  </w14:solidFill>
                </w14:textFill>
              </w:rPr>
            </w:pPr>
          </w:p>
        </w:tc>
        <w:tc>
          <w:tcPr>
            <w:tcW w:w="1132" w:type="dxa"/>
            <w:vAlign w:val="center"/>
          </w:tcPr>
          <w:p w14:paraId="04650695">
            <w:pPr>
              <w:pStyle w:val="70"/>
              <w:rPr>
                <w:color w:val="000000" w:themeColor="text1"/>
                <w14:textFill>
                  <w14:solidFill>
                    <w14:schemeClr w14:val="tx1"/>
                  </w14:solidFill>
                </w14:textFill>
              </w:rPr>
            </w:pPr>
          </w:p>
        </w:tc>
        <w:tc>
          <w:tcPr>
            <w:tcW w:w="1321" w:type="dxa"/>
            <w:vAlign w:val="center"/>
          </w:tcPr>
          <w:p w14:paraId="4FEEA346">
            <w:pPr>
              <w:pStyle w:val="70"/>
              <w:rPr>
                <w:color w:val="000000" w:themeColor="text1"/>
                <w14:textFill>
                  <w14:solidFill>
                    <w14:schemeClr w14:val="tx1"/>
                  </w14:solidFill>
                </w14:textFill>
              </w:rPr>
            </w:pPr>
          </w:p>
        </w:tc>
        <w:tc>
          <w:tcPr>
            <w:tcW w:w="942" w:type="dxa"/>
            <w:vAlign w:val="center"/>
          </w:tcPr>
          <w:p w14:paraId="29988055">
            <w:pPr>
              <w:pStyle w:val="70"/>
              <w:rPr>
                <w:color w:val="000000" w:themeColor="text1"/>
                <w14:textFill>
                  <w14:solidFill>
                    <w14:schemeClr w14:val="tx1"/>
                  </w14:solidFill>
                </w14:textFill>
              </w:rPr>
            </w:pPr>
            <w:r>
              <w:rPr>
                <w:color w:val="000000" w:themeColor="text1"/>
                <w14:textFill>
                  <w14:solidFill>
                    <w14:schemeClr w14:val="tx1"/>
                  </w14:solidFill>
                </w14:textFill>
              </w:rPr>
              <w:t>15</w:t>
            </w:r>
          </w:p>
        </w:tc>
        <w:tc>
          <w:tcPr>
            <w:tcW w:w="1108" w:type="dxa"/>
            <w:vAlign w:val="center"/>
          </w:tcPr>
          <w:p w14:paraId="27A78FEA">
            <w:pPr>
              <w:pStyle w:val="70"/>
              <w:rPr>
                <w:color w:val="000000" w:themeColor="text1"/>
                <w14:textFill>
                  <w14:solidFill>
                    <w14:schemeClr w14:val="tx1"/>
                  </w14:solidFill>
                </w14:textFill>
              </w:rPr>
            </w:pPr>
            <w:r>
              <w:rPr>
                <w:color w:val="000000" w:themeColor="text1"/>
                <w14:textFill>
                  <w14:solidFill>
                    <w14:schemeClr w14:val="tx1"/>
                  </w14:solidFill>
                </w14:textFill>
              </w:rPr>
              <w:t>达标</w:t>
            </w:r>
          </w:p>
        </w:tc>
      </w:tr>
      <w:tr w14:paraId="60E4E03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822" w:type="dxa"/>
            <w:vAlign w:val="center"/>
          </w:tcPr>
          <w:p w14:paraId="2D81192F">
            <w:pPr>
              <w:pStyle w:val="70"/>
              <w:rPr>
                <w:color w:val="000000" w:themeColor="text1"/>
                <w14:textFill>
                  <w14:solidFill>
                    <w14:schemeClr w14:val="tx1"/>
                  </w14:solidFill>
                </w14:textFill>
              </w:rPr>
            </w:pPr>
            <w:r>
              <w:rPr>
                <w:color w:val="000000" w:themeColor="text1"/>
                <w14:textFill>
                  <w14:solidFill>
                    <w14:schemeClr w14:val="tx1"/>
                  </w14:solidFill>
                </w14:textFill>
              </w:rPr>
              <w:t>苯并[b]荧蒽</w:t>
            </w:r>
            <w:r>
              <w:rPr>
                <w:color w:val="000000" w:themeColor="text1"/>
                <w:kern w:val="0"/>
                <w14:textFill>
                  <w14:solidFill>
                    <w14:schemeClr w14:val="tx1"/>
                  </w14:solidFill>
                </w14:textFill>
              </w:rPr>
              <w:t>（mg/kg）</w:t>
            </w:r>
          </w:p>
        </w:tc>
        <w:tc>
          <w:tcPr>
            <w:tcW w:w="1415" w:type="dxa"/>
            <w:vAlign w:val="center"/>
          </w:tcPr>
          <w:p w14:paraId="1BE75158">
            <w:pPr>
              <w:pStyle w:val="70"/>
              <w:rPr>
                <w:color w:val="000000" w:themeColor="text1"/>
                <w14:textFill>
                  <w14:solidFill>
                    <w14:schemeClr w14:val="tx1"/>
                  </w14:solidFill>
                </w14:textFill>
              </w:rPr>
            </w:pPr>
          </w:p>
        </w:tc>
        <w:tc>
          <w:tcPr>
            <w:tcW w:w="1132" w:type="dxa"/>
            <w:vAlign w:val="center"/>
          </w:tcPr>
          <w:p w14:paraId="26CB8574">
            <w:pPr>
              <w:pStyle w:val="70"/>
              <w:rPr>
                <w:color w:val="000000" w:themeColor="text1"/>
                <w14:textFill>
                  <w14:solidFill>
                    <w14:schemeClr w14:val="tx1"/>
                  </w14:solidFill>
                </w14:textFill>
              </w:rPr>
            </w:pPr>
          </w:p>
        </w:tc>
        <w:tc>
          <w:tcPr>
            <w:tcW w:w="1321" w:type="dxa"/>
            <w:vAlign w:val="center"/>
          </w:tcPr>
          <w:p w14:paraId="295E0002">
            <w:pPr>
              <w:pStyle w:val="70"/>
              <w:rPr>
                <w:color w:val="000000" w:themeColor="text1"/>
                <w14:textFill>
                  <w14:solidFill>
                    <w14:schemeClr w14:val="tx1"/>
                  </w14:solidFill>
                </w14:textFill>
              </w:rPr>
            </w:pPr>
          </w:p>
        </w:tc>
        <w:tc>
          <w:tcPr>
            <w:tcW w:w="942" w:type="dxa"/>
            <w:vAlign w:val="center"/>
          </w:tcPr>
          <w:p w14:paraId="47E87B54">
            <w:pPr>
              <w:pStyle w:val="70"/>
              <w:rPr>
                <w:color w:val="000000" w:themeColor="text1"/>
                <w14:textFill>
                  <w14:solidFill>
                    <w14:schemeClr w14:val="tx1"/>
                  </w14:solidFill>
                </w14:textFill>
              </w:rPr>
            </w:pPr>
            <w:r>
              <w:rPr>
                <w:color w:val="000000" w:themeColor="text1"/>
                <w14:textFill>
                  <w14:solidFill>
                    <w14:schemeClr w14:val="tx1"/>
                  </w14:solidFill>
                </w14:textFill>
              </w:rPr>
              <w:t>15</w:t>
            </w:r>
          </w:p>
        </w:tc>
        <w:tc>
          <w:tcPr>
            <w:tcW w:w="1108" w:type="dxa"/>
            <w:vAlign w:val="center"/>
          </w:tcPr>
          <w:p w14:paraId="78AB62F3">
            <w:pPr>
              <w:pStyle w:val="70"/>
              <w:rPr>
                <w:color w:val="000000" w:themeColor="text1"/>
                <w14:textFill>
                  <w14:solidFill>
                    <w14:schemeClr w14:val="tx1"/>
                  </w14:solidFill>
                </w14:textFill>
              </w:rPr>
            </w:pPr>
            <w:r>
              <w:rPr>
                <w:color w:val="000000" w:themeColor="text1"/>
                <w14:textFill>
                  <w14:solidFill>
                    <w14:schemeClr w14:val="tx1"/>
                  </w14:solidFill>
                </w14:textFill>
              </w:rPr>
              <w:t>达标</w:t>
            </w:r>
          </w:p>
        </w:tc>
      </w:tr>
      <w:tr w14:paraId="7515742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822" w:type="dxa"/>
            <w:vAlign w:val="center"/>
          </w:tcPr>
          <w:p w14:paraId="42B662C3">
            <w:pPr>
              <w:pStyle w:val="70"/>
              <w:rPr>
                <w:color w:val="000000" w:themeColor="text1"/>
                <w14:textFill>
                  <w14:solidFill>
                    <w14:schemeClr w14:val="tx1"/>
                  </w14:solidFill>
                </w14:textFill>
              </w:rPr>
            </w:pPr>
            <w:r>
              <w:rPr>
                <w:color w:val="000000" w:themeColor="text1"/>
                <w14:textFill>
                  <w14:solidFill>
                    <w14:schemeClr w14:val="tx1"/>
                  </w14:solidFill>
                </w14:textFill>
              </w:rPr>
              <w:t>苯并[k]荧蒽</w:t>
            </w:r>
            <w:r>
              <w:rPr>
                <w:color w:val="000000" w:themeColor="text1"/>
                <w:kern w:val="0"/>
                <w14:textFill>
                  <w14:solidFill>
                    <w14:schemeClr w14:val="tx1"/>
                  </w14:solidFill>
                </w14:textFill>
              </w:rPr>
              <w:t>（mg/kg）</w:t>
            </w:r>
          </w:p>
        </w:tc>
        <w:tc>
          <w:tcPr>
            <w:tcW w:w="1415" w:type="dxa"/>
            <w:vAlign w:val="center"/>
          </w:tcPr>
          <w:p w14:paraId="207713B6">
            <w:pPr>
              <w:pStyle w:val="70"/>
              <w:rPr>
                <w:color w:val="000000" w:themeColor="text1"/>
                <w14:textFill>
                  <w14:solidFill>
                    <w14:schemeClr w14:val="tx1"/>
                  </w14:solidFill>
                </w14:textFill>
              </w:rPr>
            </w:pPr>
          </w:p>
        </w:tc>
        <w:tc>
          <w:tcPr>
            <w:tcW w:w="1132" w:type="dxa"/>
            <w:vAlign w:val="center"/>
          </w:tcPr>
          <w:p w14:paraId="6286A682">
            <w:pPr>
              <w:pStyle w:val="70"/>
              <w:rPr>
                <w:color w:val="000000" w:themeColor="text1"/>
                <w14:textFill>
                  <w14:solidFill>
                    <w14:schemeClr w14:val="tx1"/>
                  </w14:solidFill>
                </w14:textFill>
              </w:rPr>
            </w:pPr>
          </w:p>
        </w:tc>
        <w:tc>
          <w:tcPr>
            <w:tcW w:w="1321" w:type="dxa"/>
            <w:vAlign w:val="center"/>
          </w:tcPr>
          <w:p w14:paraId="56D6615C">
            <w:pPr>
              <w:pStyle w:val="70"/>
              <w:rPr>
                <w:color w:val="000000" w:themeColor="text1"/>
                <w14:textFill>
                  <w14:solidFill>
                    <w14:schemeClr w14:val="tx1"/>
                  </w14:solidFill>
                </w14:textFill>
              </w:rPr>
            </w:pPr>
          </w:p>
        </w:tc>
        <w:tc>
          <w:tcPr>
            <w:tcW w:w="942" w:type="dxa"/>
            <w:vAlign w:val="center"/>
          </w:tcPr>
          <w:p w14:paraId="4F89D120">
            <w:pPr>
              <w:pStyle w:val="70"/>
              <w:rPr>
                <w:color w:val="000000" w:themeColor="text1"/>
                <w14:textFill>
                  <w14:solidFill>
                    <w14:schemeClr w14:val="tx1"/>
                  </w14:solidFill>
                </w14:textFill>
              </w:rPr>
            </w:pPr>
            <w:r>
              <w:rPr>
                <w:color w:val="000000" w:themeColor="text1"/>
                <w14:textFill>
                  <w14:solidFill>
                    <w14:schemeClr w14:val="tx1"/>
                  </w14:solidFill>
                </w14:textFill>
              </w:rPr>
              <w:t>151</w:t>
            </w:r>
          </w:p>
        </w:tc>
        <w:tc>
          <w:tcPr>
            <w:tcW w:w="1108" w:type="dxa"/>
            <w:vAlign w:val="center"/>
          </w:tcPr>
          <w:p w14:paraId="19E22B92">
            <w:pPr>
              <w:pStyle w:val="70"/>
              <w:rPr>
                <w:color w:val="000000" w:themeColor="text1"/>
                <w14:textFill>
                  <w14:solidFill>
                    <w14:schemeClr w14:val="tx1"/>
                  </w14:solidFill>
                </w14:textFill>
              </w:rPr>
            </w:pPr>
            <w:r>
              <w:rPr>
                <w:color w:val="000000" w:themeColor="text1"/>
                <w14:textFill>
                  <w14:solidFill>
                    <w14:schemeClr w14:val="tx1"/>
                  </w14:solidFill>
                </w14:textFill>
              </w:rPr>
              <w:t>达标</w:t>
            </w:r>
          </w:p>
        </w:tc>
      </w:tr>
      <w:tr w14:paraId="05894CF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822" w:type="dxa"/>
            <w:vAlign w:val="center"/>
          </w:tcPr>
          <w:p w14:paraId="66D38DD6">
            <w:pPr>
              <w:pStyle w:val="70"/>
              <w:rPr>
                <w:color w:val="000000" w:themeColor="text1"/>
                <w14:textFill>
                  <w14:solidFill>
                    <w14:schemeClr w14:val="tx1"/>
                  </w14:solidFill>
                </w14:textFill>
              </w:rPr>
            </w:pPr>
            <w:r>
              <w:rPr>
                <w:color w:val="000000" w:themeColor="text1"/>
                <w14:textFill>
                  <w14:solidFill>
                    <w14:schemeClr w14:val="tx1"/>
                  </w14:solidFill>
                </w14:textFill>
              </w:rPr>
              <w:t>䓛</w:t>
            </w:r>
            <w:r>
              <w:rPr>
                <w:color w:val="000000" w:themeColor="text1"/>
                <w:kern w:val="0"/>
                <w14:textFill>
                  <w14:solidFill>
                    <w14:schemeClr w14:val="tx1"/>
                  </w14:solidFill>
                </w14:textFill>
              </w:rPr>
              <w:t>（mg/kg）</w:t>
            </w:r>
          </w:p>
        </w:tc>
        <w:tc>
          <w:tcPr>
            <w:tcW w:w="1415" w:type="dxa"/>
            <w:vAlign w:val="center"/>
          </w:tcPr>
          <w:p w14:paraId="1C6ADDEF">
            <w:pPr>
              <w:pStyle w:val="70"/>
              <w:rPr>
                <w:color w:val="000000" w:themeColor="text1"/>
                <w14:textFill>
                  <w14:solidFill>
                    <w14:schemeClr w14:val="tx1"/>
                  </w14:solidFill>
                </w14:textFill>
              </w:rPr>
            </w:pPr>
          </w:p>
        </w:tc>
        <w:tc>
          <w:tcPr>
            <w:tcW w:w="1132" w:type="dxa"/>
            <w:vAlign w:val="center"/>
          </w:tcPr>
          <w:p w14:paraId="1C5357C6">
            <w:pPr>
              <w:pStyle w:val="70"/>
              <w:rPr>
                <w:color w:val="000000" w:themeColor="text1"/>
                <w14:textFill>
                  <w14:solidFill>
                    <w14:schemeClr w14:val="tx1"/>
                  </w14:solidFill>
                </w14:textFill>
              </w:rPr>
            </w:pPr>
          </w:p>
        </w:tc>
        <w:tc>
          <w:tcPr>
            <w:tcW w:w="1321" w:type="dxa"/>
            <w:vAlign w:val="center"/>
          </w:tcPr>
          <w:p w14:paraId="69066BF0">
            <w:pPr>
              <w:pStyle w:val="70"/>
              <w:rPr>
                <w:color w:val="000000" w:themeColor="text1"/>
                <w14:textFill>
                  <w14:solidFill>
                    <w14:schemeClr w14:val="tx1"/>
                  </w14:solidFill>
                </w14:textFill>
              </w:rPr>
            </w:pPr>
          </w:p>
        </w:tc>
        <w:tc>
          <w:tcPr>
            <w:tcW w:w="942" w:type="dxa"/>
            <w:vAlign w:val="center"/>
          </w:tcPr>
          <w:p w14:paraId="0A1EDE93">
            <w:pPr>
              <w:pStyle w:val="70"/>
              <w:rPr>
                <w:color w:val="000000" w:themeColor="text1"/>
                <w14:textFill>
                  <w14:solidFill>
                    <w14:schemeClr w14:val="tx1"/>
                  </w14:solidFill>
                </w14:textFill>
              </w:rPr>
            </w:pPr>
            <w:r>
              <w:rPr>
                <w:color w:val="000000" w:themeColor="text1"/>
                <w14:textFill>
                  <w14:solidFill>
                    <w14:schemeClr w14:val="tx1"/>
                  </w14:solidFill>
                </w14:textFill>
              </w:rPr>
              <w:t>1293</w:t>
            </w:r>
          </w:p>
        </w:tc>
        <w:tc>
          <w:tcPr>
            <w:tcW w:w="1108" w:type="dxa"/>
            <w:vAlign w:val="center"/>
          </w:tcPr>
          <w:p w14:paraId="146DF617">
            <w:pPr>
              <w:pStyle w:val="70"/>
              <w:rPr>
                <w:color w:val="000000" w:themeColor="text1"/>
                <w14:textFill>
                  <w14:solidFill>
                    <w14:schemeClr w14:val="tx1"/>
                  </w14:solidFill>
                </w14:textFill>
              </w:rPr>
            </w:pPr>
            <w:r>
              <w:rPr>
                <w:color w:val="000000" w:themeColor="text1"/>
                <w14:textFill>
                  <w14:solidFill>
                    <w14:schemeClr w14:val="tx1"/>
                  </w14:solidFill>
                </w14:textFill>
              </w:rPr>
              <w:t>达标</w:t>
            </w:r>
          </w:p>
        </w:tc>
      </w:tr>
      <w:tr w14:paraId="0A4BFC1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822" w:type="dxa"/>
            <w:vAlign w:val="center"/>
          </w:tcPr>
          <w:p w14:paraId="4C905B31">
            <w:pPr>
              <w:pStyle w:val="70"/>
              <w:rPr>
                <w:color w:val="000000" w:themeColor="text1"/>
                <w14:textFill>
                  <w14:solidFill>
                    <w14:schemeClr w14:val="tx1"/>
                  </w14:solidFill>
                </w14:textFill>
              </w:rPr>
            </w:pPr>
            <w:r>
              <w:rPr>
                <w:color w:val="000000" w:themeColor="text1"/>
                <w14:textFill>
                  <w14:solidFill>
                    <w14:schemeClr w14:val="tx1"/>
                  </w14:solidFill>
                </w14:textFill>
              </w:rPr>
              <w:t>二苯并[a, h]蒽</w:t>
            </w:r>
            <w:r>
              <w:rPr>
                <w:color w:val="000000" w:themeColor="text1"/>
                <w:kern w:val="0"/>
                <w14:textFill>
                  <w14:solidFill>
                    <w14:schemeClr w14:val="tx1"/>
                  </w14:solidFill>
                </w14:textFill>
              </w:rPr>
              <w:t>（mg/kg）</w:t>
            </w:r>
          </w:p>
        </w:tc>
        <w:tc>
          <w:tcPr>
            <w:tcW w:w="1415" w:type="dxa"/>
            <w:vAlign w:val="center"/>
          </w:tcPr>
          <w:p w14:paraId="52AAC53B">
            <w:pPr>
              <w:pStyle w:val="70"/>
              <w:rPr>
                <w:color w:val="000000" w:themeColor="text1"/>
                <w14:textFill>
                  <w14:solidFill>
                    <w14:schemeClr w14:val="tx1"/>
                  </w14:solidFill>
                </w14:textFill>
              </w:rPr>
            </w:pPr>
          </w:p>
        </w:tc>
        <w:tc>
          <w:tcPr>
            <w:tcW w:w="1132" w:type="dxa"/>
            <w:vAlign w:val="center"/>
          </w:tcPr>
          <w:p w14:paraId="4C2C598E">
            <w:pPr>
              <w:pStyle w:val="70"/>
              <w:rPr>
                <w:color w:val="000000" w:themeColor="text1"/>
                <w14:textFill>
                  <w14:solidFill>
                    <w14:schemeClr w14:val="tx1"/>
                  </w14:solidFill>
                </w14:textFill>
              </w:rPr>
            </w:pPr>
          </w:p>
        </w:tc>
        <w:tc>
          <w:tcPr>
            <w:tcW w:w="1321" w:type="dxa"/>
            <w:vAlign w:val="center"/>
          </w:tcPr>
          <w:p w14:paraId="2BF4A75C">
            <w:pPr>
              <w:pStyle w:val="70"/>
              <w:rPr>
                <w:color w:val="000000" w:themeColor="text1"/>
                <w14:textFill>
                  <w14:solidFill>
                    <w14:schemeClr w14:val="tx1"/>
                  </w14:solidFill>
                </w14:textFill>
              </w:rPr>
            </w:pPr>
          </w:p>
        </w:tc>
        <w:tc>
          <w:tcPr>
            <w:tcW w:w="942" w:type="dxa"/>
            <w:vAlign w:val="center"/>
          </w:tcPr>
          <w:p w14:paraId="7C0F1588">
            <w:pPr>
              <w:pStyle w:val="70"/>
              <w:rPr>
                <w:color w:val="000000" w:themeColor="text1"/>
                <w14:textFill>
                  <w14:solidFill>
                    <w14:schemeClr w14:val="tx1"/>
                  </w14:solidFill>
                </w14:textFill>
              </w:rPr>
            </w:pPr>
            <w:r>
              <w:rPr>
                <w:color w:val="000000" w:themeColor="text1"/>
                <w14:textFill>
                  <w14:solidFill>
                    <w14:schemeClr w14:val="tx1"/>
                  </w14:solidFill>
                </w14:textFill>
              </w:rPr>
              <w:t>1.5</w:t>
            </w:r>
          </w:p>
        </w:tc>
        <w:tc>
          <w:tcPr>
            <w:tcW w:w="1108" w:type="dxa"/>
            <w:vAlign w:val="center"/>
          </w:tcPr>
          <w:p w14:paraId="099AA78C">
            <w:pPr>
              <w:pStyle w:val="70"/>
              <w:rPr>
                <w:color w:val="000000" w:themeColor="text1"/>
                <w14:textFill>
                  <w14:solidFill>
                    <w14:schemeClr w14:val="tx1"/>
                  </w14:solidFill>
                </w14:textFill>
              </w:rPr>
            </w:pPr>
            <w:r>
              <w:rPr>
                <w:color w:val="000000" w:themeColor="text1"/>
                <w14:textFill>
                  <w14:solidFill>
                    <w14:schemeClr w14:val="tx1"/>
                  </w14:solidFill>
                </w14:textFill>
              </w:rPr>
              <w:t>达标</w:t>
            </w:r>
          </w:p>
        </w:tc>
      </w:tr>
      <w:tr w14:paraId="29EC388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822" w:type="dxa"/>
            <w:vAlign w:val="center"/>
          </w:tcPr>
          <w:p w14:paraId="66E4D7A6">
            <w:pPr>
              <w:pStyle w:val="70"/>
              <w:rPr>
                <w:color w:val="000000" w:themeColor="text1"/>
                <w14:textFill>
                  <w14:solidFill>
                    <w14:schemeClr w14:val="tx1"/>
                  </w14:solidFill>
                </w14:textFill>
              </w:rPr>
            </w:pPr>
            <w:r>
              <w:rPr>
                <w:color w:val="000000" w:themeColor="text1"/>
                <w14:textFill>
                  <w14:solidFill>
                    <w14:schemeClr w14:val="tx1"/>
                  </w14:solidFill>
                </w14:textFill>
              </w:rPr>
              <w:t>茚并[1,2,3-cd]芘</w:t>
            </w:r>
            <w:r>
              <w:rPr>
                <w:color w:val="000000" w:themeColor="text1"/>
                <w:kern w:val="0"/>
                <w14:textFill>
                  <w14:solidFill>
                    <w14:schemeClr w14:val="tx1"/>
                  </w14:solidFill>
                </w14:textFill>
              </w:rPr>
              <w:t>（mg/kg）</w:t>
            </w:r>
          </w:p>
        </w:tc>
        <w:tc>
          <w:tcPr>
            <w:tcW w:w="1415" w:type="dxa"/>
            <w:vAlign w:val="center"/>
          </w:tcPr>
          <w:p w14:paraId="28EFA5AE">
            <w:pPr>
              <w:pStyle w:val="70"/>
              <w:rPr>
                <w:color w:val="000000" w:themeColor="text1"/>
                <w14:textFill>
                  <w14:solidFill>
                    <w14:schemeClr w14:val="tx1"/>
                  </w14:solidFill>
                </w14:textFill>
              </w:rPr>
            </w:pPr>
          </w:p>
        </w:tc>
        <w:tc>
          <w:tcPr>
            <w:tcW w:w="1132" w:type="dxa"/>
            <w:vAlign w:val="center"/>
          </w:tcPr>
          <w:p w14:paraId="68615E5F">
            <w:pPr>
              <w:pStyle w:val="70"/>
              <w:rPr>
                <w:color w:val="000000" w:themeColor="text1"/>
                <w14:textFill>
                  <w14:solidFill>
                    <w14:schemeClr w14:val="tx1"/>
                  </w14:solidFill>
                </w14:textFill>
              </w:rPr>
            </w:pPr>
          </w:p>
        </w:tc>
        <w:tc>
          <w:tcPr>
            <w:tcW w:w="1321" w:type="dxa"/>
            <w:vAlign w:val="center"/>
          </w:tcPr>
          <w:p w14:paraId="125C1D7B">
            <w:pPr>
              <w:pStyle w:val="70"/>
              <w:rPr>
                <w:color w:val="000000" w:themeColor="text1"/>
                <w14:textFill>
                  <w14:solidFill>
                    <w14:schemeClr w14:val="tx1"/>
                  </w14:solidFill>
                </w14:textFill>
              </w:rPr>
            </w:pPr>
          </w:p>
        </w:tc>
        <w:tc>
          <w:tcPr>
            <w:tcW w:w="942" w:type="dxa"/>
            <w:vAlign w:val="center"/>
          </w:tcPr>
          <w:p w14:paraId="15229202">
            <w:pPr>
              <w:pStyle w:val="70"/>
              <w:rPr>
                <w:color w:val="000000" w:themeColor="text1"/>
                <w14:textFill>
                  <w14:solidFill>
                    <w14:schemeClr w14:val="tx1"/>
                  </w14:solidFill>
                </w14:textFill>
              </w:rPr>
            </w:pPr>
            <w:r>
              <w:rPr>
                <w:color w:val="000000" w:themeColor="text1"/>
                <w14:textFill>
                  <w14:solidFill>
                    <w14:schemeClr w14:val="tx1"/>
                  </w14:solidFill>
                </w14:textFill>
              </w:rPr>
              <w:t>15</w:t>
            </w:r>
          </w:p>
        </w:tc>
        <w:tc>
          <w:tcPr>
            <w:tcW w:w="1108" w:type="dxa"/>
            <w:vAlign w:val="center"/>
          </w:tcPr>
          <w:p w14:paraId="4E160B94">
            <w:pPr>
              <w:pStyle w:val="70"/>
              <w:rPr>
                <w:color w:val="000000" w:themeColor="text1"/>
                <w14:textFill>
                  <w14:solidFill>
                    <w14:schemeClr w14:val="tx1"/>
                  </w14:solidFill>
                </w14:textFill>
              </w:rPr>
            </w:pPr>
            <w:r>
              <w:rPr>
                <w:color w:val="000000" w:themeColor="text1"/>
                <w14:textFill>
                  <w14:solidFill>
                    <w14:schemeClr w14:val="tx1"/>
                  </w14:solidFill>
                </w14:textFill>
              </w:rPr>
              <w:t>达标</w:t>
            </w:r>
          </w:p>
        </w:tc>
      </w:tr>
      <w:tr w14:paraId="0AFB84B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822" w:type="dxa"/>
            <w:vAlign w:val="center"/>
          </w:tcPr>
          <w:p w14:paraId="6805DD9C">
            <w:pPr>
              <w:pStyle w:val="70"/>
              <w:rPr>
                <w:color w:val="000000" w:themeColor="text1"/>
                <w14:textFill>
                  <w14:solidFill>
                    <w14:schemeClr w14:val="tx1"/>
                  </w14:solidFill>
                </w14:textFill>
              </w:rPr>
            </w:pPr>
            <w:r>
              <w:rPr>
                <w:color w:val="000000" w:themeColor="text1"/>
                <w14:textFill>
                  <w14:solidFill>
                    <w14:schemeClr w14:val="tx1"/>
                  </w14:solidFill>
                </w14:textFill>
              </w:rPr>
              <w:t>萘</w:t>
            </w:r>
            <w:r>
              <w:rPr>
                <w:color w:val="000000" w:themeColor="text1"/>
                <w:kern w:val="0"/>
                <w14:textFill>
                  <w14:solidFill>
                    <w14:schemeClr w14:val="tx1"/>
                  </w14:solidFill>
                </w14:textFill>
              </w:rPr>
              <w:t>（mg/kg）</w:t>
            </w:r>
          </w:p>
        </w:tc>
        <w:tc>
          <w:tcPr>
            <w:tcW w:w="1415" w:type="dxa"/>
            <w:vAlign w:val="center"/>
          </w:tcPr>
          <w:p w14:paraId="352AE57D">
            <w:pPr>
              <w:pStyle w:val="70"/>
              <w:rPr>
                <w:color w:val="000000" w:themeColor="text1"/>
                <w14:textFill>
                  <w14:solidFill>
                    <w14:schemeClr w14:val="tx1"/>
                  </w14:solidFill>
                </w14:textFill>
              </w:rPr>
            </w:pPr>
          </w:p>
        </w:tc>
        <w:tc>
          <w:tcPr>
            <w:tcW w:w="1132" w:type="dxa"/>
            <w:vAlign w:val="center"/>
          </w:tcPr>
          <w:p w14:paraId="51963C00">
            <w:pPr>
              <w:pStyle w:val="70"/>
              <w:rPr>
                <w:color w:val="000000" w:themeColor="text1"/>
                <w14:textFill>
                  <w14:solidFill>
                    <w14:schemeClr w14:val="tx1"/>
                  </w14:solidFill>
                </w14:textFill>
              </w:rPr>
            </w:pPr>
          </w:p>
        </w:tc>
        <w:tc>
          <w:tcPr>
            <w:tcW w:w="1321" w:type="dxa"/>
            <w:vAlign w:val="center"/>
          </w:tcPr>
          <w:p w14:paraId="7CE538B3">
            <w:pPr>
              <w:pStyle w:val="70"/>
              <w:rPr>
                <w:color w:val="000000" w:themeColor="text1"/>
                <w14:textFill>
                  <w14:solidFill>
                    <w14:schemeClr w14:val="tx1"/>
                  </w14:solidFill>
                </w14:textFill>
              </w:rPr>
            </w:pPr>
          </w:p>
        </w:tc>
        <w:tc>
          <w:tcPr>
            <w:tcW w:w="942" w:type="dxa"/>
            <w:vAlign w:val="center"/>
          </w:tcPr>
          <w:p w14:paraId="0510E8F9">
            <w:pPr>
              <w:pStyle w:val="70"/>
              <w:rPr>
                <w:color w:val="000000" w:themeColor="text1"/>
                <w14:textFill>
                  <w14:solidFill>
                    <w14:schemeClr w14:val="tx1"/>
                  </w14:solidFill>
                </w14:textFill>
              </w:rPr>
            </w:pPr>
            <w:r>
              <w:rPr>
                <w:color w:val="000000" w:themeColor="text1"/>
                <w14:textFill>
                  <w14:solidFill>
                    <w14:schemeClr w14:val="tx1"/>
                  </w14:solidFill>
                </w14:textFill>
              </w:rPr>
              <w:t>70</w:t>
            </w:r>
          </w:p>
        </w:tc>
        <w:tc>
          <w:tcPr>
            <w:tcW w:w="1108" w:type="dxa"/>
            <w:vAlign w:val="center"/>
          </w:tcPr>
          <w:p w14:paraId="12D48162">
            <w:pPr>
              <w:pStyle w:val="70"/>
              <w:rPr>
                <w:color w:val="000000" w:themeColor="text1"/>
                <w14:textFill>
                  <w14:solidFill>
                    <w14:schemeClr w14:val="tx1"/>
                  </w14:solidFill>
                </w14:textFill>
              </w:rPr>
            </w:pPr>
            <w:r>
              <w:rPr>
                <w:color w:val="000000" w:themeColor="text1"/>
                <w14:textFill>
                  <w14:solidFill>
                    <w14:schemeClr w14:val="tx1"/>
                  </w14:solidFill>
                </w14:textFill>
              </w:rPr>
              <w:t>达标</w:t>
            </w:r>
          </w:p>
        </w:tc>
      </w:tr>
      <w:tr w14:paraId="653E388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822" w:type="dxa"/>
            <w:vAlign w:val="center"/>
          </w:tcPr>
          <w:p w14:paraId="269B76A4">
            <w:pPr>
              <w:pStyle w:val="70"/>
              <w:rPr>
                <w:color w:val="000000" w:themeColor="text1"/>
                <w14:textFill>
                  <w14:solidFill>
                    <w14:schemeClr w14:val="tx1"/>
                  </w14:solidFill>
                </w14:textFill>
              </w:rPr>
            </w:pPr>
            <w:r>
              <w:rPr>
                <w:color w:val="000000" w:themeColor="text1"/>
                <w14:textFill>
                  <w14:solidFill>
                    <w14:schemeClr w14:val="tx1"/>
                  </w14:solidFill>
                </w14:textFill>
              </w:rPr>
              <w:t>苯胺</w:t>
            </w:r>
            <w:r>
              <w:rPr>
                <w:color w:val="000000" w:themeColor="text1"/>
                <w:kern w:val="0"/>
                <w14:textFill>
                  <w14:solidFill>
                    <w14:schemeClr w14:val="tx1"/>
                  </w14:solidFill>
                </w14:textFill>
              </w:rPr>
              <w:t>（mg/kg）</w:t>
            </w:r>
          </w:p>
        </w:tc>
        <w:tc>
          <w:tcPr>
            <w:tcW w:w="1415" w:type="dxa"/>
            <w:vAlign w:val="center"/>
          </w:tcPr>
          <w:p w14:paraId="497658AC">
            <w:pPr>
              <w:pStyle w:val="70"/>
              <w:rPr>
                <w:color w:val="000000" w:themeColor="text1"/>
                <w14:textFill>
                  <w14:solidFill>
                    <w14:schemeClr w14:val="tx1"/>
                  </w14:solidFill>
                </w14:textFill>
              </w:rPr>
            </w:pPr>
          </w:p>
        </w:tc>
        <w:tc>
          <w:tcPr>
            <w:tcW w:w="1132" w:type="dxa"/>
            <w:vAlign w:val="center"/>
          </w:tcPr>
          <w:p w14:paraId="3D874A11">
            <w:pPr>
              <w:pStyle w:val="70"/>
              <w:rPr>
                <w:color w:val="000000" w:themeColor="text1"/>
                <w14:textFill>
                  <w14:solidFill>
                    <w14:schemeClr w14:val="tx1"/>
                  </w14:solidFill>
                </w14:textFill>
              </w:rPr>
            </w:pPr>
          </w:p>
        </w:tc>
        <w:tc>
          <w:tcPr>
            <w:tcW w:w="1321" w:type="dxa"/>
            <w:vAlign w:val="center"/>
          </w:tcPr>
          <w:p w14:paraId="65ED9790">
            <w:pPr>
              <w:pStyle w:val="70"/>
              <w:rPr>
                <w:color w:val="000000" w:themeColor="text1"/>
                <w14:textFill>
                  <w14:solidFill>
                    <w14:schemeClr w14:val="tx1"/>
                  </w14:solidFill>
                </w14:textFill>
              </w:rPr>
            </w:pPr>
          </w:p>
        </w:tc>
        <w:tc>
          <w:tcPr>
            <w:tcW w:w="942" w:type="dxa"/>
            <w:vAlign w:val="center"/>
          </w:tcPr>
          <w:p w14:paraId="4B890EC5">
            <w:pPr>
              <w:pStyle w:val="70"/>
              <w:rPr>
                <w:color w:val="000000" w:themeColor="text1"/>
                <w14:textFill>
                  <w14:solidFill>
                    <w14:schemeClr w14:val="tx1"/>
                  </w14:solidFill>
                </w14:textFill>
              </w:rPr>
            </w:pPr>
            <w:r>
              <w:rPr>
                <w:color w:val="000000" w:themeColor="text1"/>
                <w14:textFill>
                  <w14:solidFill>
                    <w14:schemeClr w14:val="tx1"/>
                  </w14:solidFill>
                </w14:textFill>
              </w:rPr>
              <w:t>260</w:t>
            </w:r>
          </w:p>
        </w:tc>
        <w:tc>
          <w:tcPr>
            <w:tcW w:w="1108" w:type="dxa"/>
            <w:vAlign w:val="center"/>
          </w:tcPr>
          <w:p w14:paraId="4430D4DE">
            <w:pPr>
              <w:pStyle w:val="70"/>
              <w:rPr>
                <w:color w:val="000000" w:themeColor="text1"/>
                <w14:textFill>
                  <w14:solidFill>
                    <w14:schemeClr w14:val="tx1"/>
                  </w14:solidFill>
                </w14:textFill>
              </w:rPr>
            </w:pPr>
            <w:r>
              <w:rPr>
                <w:color w:val="000000" w:themeColor="text1"/>
                <w14:textFill>
                  <w14:solidFill>
                    <w14:schemeClr w14:val="tx1"/>
                  </w14:solidFill>
                </w14:textFill>
              </w:rPr>
              <w:t>达标</w:t>
            </w:r>
          </w:p>
        </w:tc>
      </w:tr>
      <w:tr w14:paraId="07B8558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822" w:type="dxa"/>
            <w:vAlign w:val="center"/>
          </w:tcPr>
          <w:p w14:paraId="5D41D35A">
            <w:pPr>
              <w:pStyle w:val="70"/>
              <w:rPr>
                <w:color w:val="000000" w:themeColor="text1"/>
                <w14:textFill>
                  <w14:solidFill>
                    <w14:schemeClr w14:val="tx1"/>
                  </w14:solidFill>
                </w14:textFill>
              </w:rPr>
            </w:pPr>
            <w:r>
              <w:rPr>
                <w:color w:val="000000" w:themeColor="text1"/>
                <w14:textFill>
                  <w14:solidFill>
                    <w14:schemeClr w14:val="tx1"/>
                  </w14:solidFill>
                </w14:textFill>
              </w:rPr>
              <w:t>硝基苯</w:t>
            </w:r>
            <w:r>
              <w:rPr>
                <w:color w:val="000000" w:themeColor="text1"/>
                <w:kern w:val="0"/>
                <w14:textFill>
                  <w14:solidFill>
                    <w14:schemeClr w14:val="tx1"/>
                  </w14:solidFill>
                </w14:textFill>
              </w:rPr>
              <w:t>（mg/kg）</w:t>
            </w:r>
          </w:p>
        </w:tc>
        <w:tc>
          <w:tcPr>
            <w:tcW w:w="1415" w:type="dxa"/>
            <w:vAlign w:val="center"/>
          </w:tcPr>
          <w:p w14:paraId="1B91BC75">
            <w:pPr>
              <w:pStyle w:val="70"/>
              <w:rPr>
                <w:color w:val="000000" w:themeColor="text1"/>
                <w14:textFill>
                  <w14:solidFill>
                    <w14:schemeClr w14:val="tx1"/>
                  </w14:solidFill>
                </w14:textFill>
              </w:rPr>
            </w:pPr>
          </w:p>
        </w:tc>
        <w:tc>
          <w:tcPr>
            <w:tcW w:w="1132" w:type="dxa"/>
            <w:vAlign w:val="center"/>
          </w:tcPr>
          <w:p w14:paraId="79B1B1F8">
            <w:pPr>
              <w:pStyle w:val="70"/>
              <w:rPr>
                <w:color w:val="000000" w:themeColor="text1"/>
                <w14:textFill>
                  <w14:solidFill>
                    <w14:schemeClr w14:val="tx1"/>
                  </w14:solidFill>
                </w14:textFill>
              </w:rPr>
            </w:pPr>
          </w:p>
        </w:tc>
        <w:tc>
          <w:tcPr>
            <w:tcW w:w="1321" w:type="dxa"/>
            <w:vAlign w:val="center"/>
          </w:tcPr>
          <w:p w14:paraId="441BE54B">
            <w:pPr>
              <w:pStyle w:val="70"/>
              <w:rPr>
                <w:color w:val="000000" w:themeColor="text1"/>
                <w14:textFill>
                  <w14:solidFill>
                    <w14:schemeClr w14:val="tx1"/>
                  </w14:solidFill>
                </w14:textFill>
              </w:rPr>
            </w:pPr>
          </w:p>
        </w:tc>
        <w:tc>
          <w:tcPr>
            <w:tcW w:w="942" w:type="dxa"/>
            <w:vAlign w:val="center"/>
          </w:tcPr>
          <w:p w14:paraId="13437CAD">
            <w:pPr>
              <w:pStyle w:val="70"/>
              <w:rPr>
                <w:color w:val="000000" w:themeColor="text1"/>
                <w14:textFill>
                  <w14:solidFill>
                    <w14:schemeClr w14:val="tx1"/>
                  </w14:solidFill>
                </w14:textFill>
              </w:rPr>
            </w:pPr>
            <w:r>
              <w:rPr>
                <w:color w:val="000000" w:themeColor="text1"/>
                <w14:textFill>
                  <w14:solidFill>
                    <w14:schemeClr w14:val="tx1"/>
                  </w14:solidFill>
                </w14:textFill>
              </w:rPr>
              <w:t>76</w:t>
            </w:r>
          </w:p>
        </w:tc>
        <w:tc>
          <w:tcPr>
            <w:tcW w:w="1108" w:type="dxa"/>
            <w:vAlign w:val="center"/>
          </w:tcPr>
          <w:p w14:paraId="27E04E16">
            <w:pPr>
              <w:pStyle w:val="70"/>
              <w:rPr>
                <w:color w:val="000000" w:themeColor="text1"/>
                <w14:textFill>
                  <w14:solidFill>
                    <w14:schemeClr w14:val="tx1"/>
                  </w14:solidFill>
                </w14:textFill>
              </w:rPr>
            </w:pPr>
            <w:r>
              <w:rPr>
                <w:color w:val="000000" w:themeColor="text1"/>
                <w14:textFill>
                  <w14:solidFill>
                    <w14:schemeClr w14:val="tx1"/>
                  </w14:solidFill>
                </w14:textFill>
              </w:rPr>
              <w:t>达标</w:t>
            </w:r>
          </w:p>
        </w:tc>
      </w:tr>
      <w:tr w14:paraId="131826C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822" w:type="dxa"/>
            <w:vAlign w:val="center"/>
          </w:tcPr>
          <w:p w14:paraId="50CAE681">
            <w:pPr>
              <w:pStyle w:val="70"/>
              <w:rPr>
                <w:color w:val="000000" w:themeColor="text1"/>
                <w14:textFill>
                  <w14:solidFill>
                    <w14:schemeClr w14:val="tx1"/>
                  </w14:solidFill>
                </w14:textFill>
              </w:rPr>
            </w:pPr>
            <w:r>
              <w:rPr>
                <w:color w:val="000000" w:themeColor="text1"/>
                <w14:textFill>
                  <w14:solidFill>
                    <w14:schemeClr w14:val="tx1"/>
                  </w14:solidFill>
                </w14:textFill>
              </w:rPr>
              <w:t>多氯联苯总量（μg/kg）</w:t>
            </w:r>
          </w:p>
        </w:tc>
        <w:tc>
          <w:tcPr>
            <w:tcW w:w="1415" w:type="dxa"/>
            <w:vAlign w:val="center"/>
          </w:tcPr>
          <w:p w14:paraId="773C7D3D">
            <w:pPr>
              <w:pStyle w:val="70"/>
              <w:rPr>
                <w:color w:val="000000" w:themeColor="text1"/>
                <w14:textFill>
                  <w14:solidFill>
                    <w14:schemeClr w14:val="tx1"/>
                  </w14:solidFill>
                </w14:textFill>
              </w:rPr>
            </w:pPr>
          </w:p>
        </w:tc>
        <w:tc>
          <w:tcPr>
            <w:tcW w:w="1132" w:type="dxa"/>
            <w:vAlign w:val="center"/>
          </w:tcPr>
          <w:p w14:paraId="4055F4E3">
            <w:pPr>
              <w:pStyle w:val="70"/>
              <w:rPr>
                <w:color w:val="000000" w:themeColor="text1"/>
                <w14:textFill>
                  <w14:solidFill>
                    <w14:schemeClr w14:val="tx1"/>
                  </w14:solidFill>
                </w14:textFill>
              </w:rPr>
            </w:pPr>
          </w:p>
        </w:tc>
        <w:tc>
          <w:tcPr>
            <w:tcW w:w="1321" w:type="dxa"/>
            <w:vAlign w:val="center"/>
          </w:tcPr>
          <w:p w14:paraId="5408F15E">
            <w:pPr>
              <w:pStyle w:val="70"/>
              <w:rPr>
                <w:color w:val="000000" w:themeColor="text1"/>
                <w14:textFill>
                  <w14:solidFill>
                    <w14:schemeClr w14:val="tx1"/>
                  </w14:solidFill>
                </w14:textFill>
              </w:rPr>
            </w:pPr>
          </w:p>
        </w:tc>
        <w:tc>
          <w:tcPr>
            <w:tcW w:w="942" w:type="dxa"/>
            <w:vAlign w:val="center"/>
          </w:tcPr>
          <w:p w14:paraId="60101873">
            <w:pPr>
              <w:pStyle w:val="70"/>
              <w:rPr>
                <w:color w:val="000000" w:themeColor="text1"/>
                <w14:textFill>
                  <w14:solidFill>
                    <w14:schemeClr w14:val="tx1"/>
                  </w14:solidFill>
                </w14:textFill>
              </w:rPr>
            </w:pPr>
            <w:r>
              <w:rPr>
                <w:color w:val="000000" w:themeColor="text1"/>
                <w14:textFill>
                  <w14:solidFill>
                    <w14:schemeClr w14:val="tx1"/>
                  </w14:solidFill>
                </w14:textFill>
              </w:rPr>
              <w:t>0.38</w:t>
            </w:r>
          </w:p>
        </w:tc>
        <w:tc>
          <w:tcPr>
            <w:tcW w:w="1108" w:type="dxa"/>
            <w:vAlign w:val="center"/>
          </w:tcPr>
          <w:p w14:paraId="0254477B">
            <w:pPr>
              <w:pStyle w:val="70"/>
              <w:rPr>
                <w:color w:val="000000" w:themeColor="text1"/>
                <w14:textFill>
                  <w14:solidFill>
                    <w14:schemeClr w14:val="tx1"/>
                  </w14:solidFill>
                </w14:textFill>
              </w:rPr>
            </w:pPr>
            <w:r>
              <w:rPr>
                <w:color w:val="000000" w:themeColor="text1"/>
                <w14:textFill>
                  <w14:solidFill>
                    <w14:schemeClr w14:val="tx1"/>
                  </w14:solidFill>
                </w14:textFill>
              </w:rPr>
              <w:t>达标</w:t>
            </w:r>
          </w:p>
        </w:tc>
      </w:tr>
      <w:tr w14:paraId="1D60D88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822" w:type="dxa"/>
            <w:vAlign w:val="center"/>
          </w:tcPr>
          <w:p w14:paraId="1606BAFA">
            <w:pPr>
              <w:pStyle w:val="70"/>
              <w:rPr>
                <w:color w:val="000000" w:themeColor="text1"/>
                <w14:textFill>
                  <w14:solidFill>
                    <w14:schemeClr w14:val="tx1"/>
                  </w14:solidFill>
                </w14:textFill>
              </w:rPr>
            </w:pPr>
            <w:r>
              <w:rPr>
                <w:color w:val="000000" w:themeColor="text1"/>
                <w14:textFill>
                  <w14:solidFill>
                    <w14:schemeClr w14:val="tx1"/>
                  </w14:solidFill>
                </w14:textFill>
              </w:rPr>
              <w:t>氯甲烷（μg/kg）</w:t>
            </w:r>
          </w:p>
        </w:tc>
        <w:tc>
          <w:tcPr>
            <w:tcW w:w="1415" w:type="dxa"/>
            <w:vAlign w:val="center"/>
          </w:tcPr>
          <w:p w14:paraId="3735A2D0">
            <w:pPr>
              <w:pStyle w:val="70"/>
              <w:rPr>
                <w:color w:val="000000" w:themeColor="text1"/>
                <w14:textFill>
                  <w14:solidFill>
                    <w14:schemeClr w14:val="tx1"/>
                  </w14:solidFill>
                </w14:textFill>
              </w:rPr>
            </w:pPr>
          </w:p>
        </w:tc>
        <w:tc>
          <w:tcPr>
            <w:tcW w:w="1132" w:type="dxa"/>
            <w:vAlign w:val="center"/>
          </w:tcPr>
          <w:p w14:paraId="7CD288A7">
            <w:pPr>
              <w:pStyle w:val="70"/>
              <w:rPr>
                <w:color w:val="000000" w:themeColor="text1"/>
                <w14:textFill>
                  <w14:solidFill>
                    <w14:schemeClr w14:val="tx1"/>
                  </w14:solidFill>
                </w14:textFill>
              </w:rPr>
            </w:pPr>
          </w:p>
        </w:tc>
        <w:tc>
          <w:tcPr>
            <w:tcW w:w="1321" w:type="dxa"/>
            <w:vAlign w:val="center"/>
          </w:tcPr>
          <w:p w14:paraId="769BAF69">
            <w:pPr>
              <w:pStyle w:val="70"/>
              <w:rPr>
                <w:color w:val="000000" w:themeColor="text1"/>
                <w14:textFill>
                  <w14:solidFill>
                    <w14:schemeClr w14:val="tx1"/>
                  </w14:solidFill>
                </w14:textFill>
              </w:rPr>
            </w:pPr>
          </w:p>
        </w:tc>
        <w:tc>
          <w:tcPr>
            <w:tcW w:w="942" w:type="dxa"/>
            <w:vAlign w:val="center"/>
          </w:tcPr>
          <w:p w14:paraId="44FF1D6A">
            <w:pPr>
              <w:pStyle w:val="70"/>
              <w:rPr>
                <w:color w:val="000000" w:themeColor="text1"/>
                <w14:textFill>
                  <w14:solidFill>
                    <w14:schemeClr w14:val="tx1"/>
                  </w14:solidFill>
                </w14:textFill>
              </w:rPr>
            </w:pPr>
            <w:r>
              <w:rPr>
                <w:color w:val="000000" w:themeColor="text1"/>
                <w14:textFill>
                  <w14:solidFill>
                    <w14:schemeClr w14:val="tx1"/>
                  </w14:solidFill>
                </w14:textFill>
              </w:rPr>
              <w:t>37</w:t>
            </w:r>
          </w:p>
        </w:tc>
        <w:tc>
          <w:tcPr>
            <w:tcW w:w="1108" w:type="dxa"/>
            <w:vAlign w:val="center"/>
          </w:tcPr>
          <w:p w14:paraId="5C740E6D">
            <w:pPr>
              <w:pStyle w:val="70"/>
              <w:rPr>
                <w:color w:val="000000" w:themeColor="text1"/>
                <w14:textFill>
                  <w14:solidFill>
                    <w14:schemeClr w14:val="tx1"/>
                  </w14:solidFill>
                </w14:textFill>
              </w:rPr>
            </w:pPr>
            <w:r>
              <w:rPr>
                <w:color w:val="000000" w:themeColor="text1"/>
                <w14:textFill>
                  <w14:solidFill>
                    <w14:schemeClr w14:val="tx1"/>
                  </w14:solidFill>
                </w14:textFill>
              </w:rPr>
              <w:t>达标</w:t>
            </w:r>
          </w:p>
        </w:tc>
      </w:tr>
      <w:tr w14:paraId="3475ABC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822" w:type="dxa"/>
            <w:vAlign w:val="center"/>
          </w:tcPr>
          <w:p w14:paraId="5D128E41">
            <w:pPr>
              <w:pStyle w:val="70"/>
              <w:rPr>
                <w:color w:val="000000" w:themeColor="text1"/>
                <w14:textFill>
                  <w14:solidFill>
                    <w14:schemeClr w14:val="tx1"/>
                  </w14:solidFill>
                </w14:textFill>
              </w:rPr>
            </w:pPr>
            <w:r>
              <w:rPr>
                <w:color w:val="000000" w:themeColor="text1"/>
                <w14:textFill>
                  <w14:solidFill>
                    <w14:schemeClr w14:val="tx1"/>
                  </w14:solidFill>
                </w14:textFill>
              </w:rPr>
              <w:t>四氯化碳（μg/kg）</w:t>
            </w:r>
          </w:p>
        </w:tc>
        <w:tc>
          <w:tcPr>
            <w:tcW w:w="1415" w:type="dxa"/>
            <w:vAlign w:val="center"/>
          </w:tcPr>
          <w:p w14:paraId="65872975">
            <w:pPr>
              <w:pStyle w:val="70"/>
              <w:rPr>
                <w:color w:val="000000" w:themeColor="text1"/>
                <w14:textFill>
                  <w14:solidFill>
                    <w14:schemeClr w14:val="tx1"/>
                  </w14:solidFill>
                </w14:textFill>
              </w:rPr>
            </w:pPr>
          </w:p>
        </w:tc>
        <w:tc>
          <w:tcPr>
            <w:tcW w:w="1132" w:type="dxa"/>
            <w:vAlign w:val="center"/>
          </w:tcPr>
          <w:p w14:paraId="7563ADC9">
            <w:pPr>
              <w:pStyle w:val="70"/>
              <w:rPr>
                <w:color w:val="000000" w:themeColor="text1"/>
                <w14:textFill>
                  <w14:solidFill>
                    <w14:schemeClr w14:val="tx1"/>
                  </w14:solidFill>
                </w14:textFill>
              </w:rPr>
            </w:pPr>
          </w:p>
        </w:tc>
        <w:tc>
          <w:tcPr>
            <w:tcW w:w="1321" w:type="dxa"/>
            <w:vAlign w:val="center"/>
          </w:tcPr>
          <w:p w14:paraId="12C60E72">
            <w:pPr>
              <w:pStyle w:val="70"/>
              <w:rPr>
                <w:color w:val="000000" w:themeColor="text1"/>
                <w14:textFill>
                  <w14:solidFill>
                    <w14:schemeClr w14:val="tx1"/>
                  </w14:solidFill>
                </w14:textFill>
              </w:rPr>
            </w:pPr>
          </w:p>
        </w:tc>
        <w:tc>
          <w:tcPr>
            <w:tcW w:w="942" w:type="dxa"/>
            <w:vAlign w:val="center"/>
          </w:tcPr>
          <w:p w14:paraId="7C2C50EE">
            <w:pPr>
              <w:pStyle w:val="70"/>
              <w:rPr>
                <w:color w:val="000000" w:themeColor="text1"/>
                <w14:textFill>
                  <w14:solidFill>
                    <w14:schemeClr w14:val="tx1"/>
                  </w14:solidFill>
                </w14:textFill>
              </w:rPr>
            </w:pPr>
            <w:r>
              <w:rPr>
                <w:color w:val="000000" w:themeColor="text1"/>
                <w14:textFill>
                  <w14:solidFill>
                    <w14:schemeClr w14:val="tx1"/>
                  </w14:solidFill>
                </w14:textFill>
              </w:rPr>
              <w:t>2.8</w:t>
            </w:r>
          </w:p>
        </w:tc>
        <w:tc>
          <w:tcPr>
            <w:tcW w:w="1108" w:type="dxa"/>
            <w:vAlign w:val="center"/>
          </w:tcPr>
          <w:p w14:paraId="3B484EC9">
            <w:pPr>
              <w:pStyle w:val="70"/>
              <w:rPr>
                <w:color w:val="000000" w:themeColor="text1"/>
                <w14:textFill>
                  <w14:solidFill>
                    <w14:schemeClr w14:val="tx1"/>
                  </w14:solidFill>
                </w14:textFill>
              </w:rPr>
            </w:pPr>
            <w:r>
              <w:rPr>
                <w:color w:val="000000" w:themeColor="text1"/>
                <w14:textFill>
                  <w14:solidFill>
                    <w14:schemeClr w14:val="tx1"/>
                  </w14:solidFill>
                </w14:textFill>
              </w:rPr>
              <w:t>达标</w:t>
            </w:r>
          </w:p>
        </w:tc>
      </w:tr>
      <w:tr w14:paraId="2DDD5BF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822" w:type="dxa"/>
            <w:vAlign w:val="center"/>
          </w:tcPr>
          <w:p w14:paraId="2DCB08A7">
            <w:pPr>
              <w:pStyle w:val="70"/>
              <w:rPr>
                <w:color w:val="000000" w:themeColor="text1"/>
                <w14:textFill>
                  <w14:solidFill>
                    <w14:schemeClr w14:val="tx1"/>
                  </w14:solidFill>
                </w14:textFill>
              </w:rPr>
            </w:pPr>
            <w:r>
              <w:rPr>
                <w:color w:val="000000" w:themeColor="text1"/>
                <w14:textFill>
                  <w14:solidFill>
                    <w14:schemeClr w14:val="tx1"/>
                  </w14:solidFill>
                </w14:textFill>
              </w:rPr>
              <w:t>氯仿（μg/kg）</w:t>
            </w:r>
          </w:p>
        </w:tc>
        <w:tc>
          <w:tcPr>
            <w:tcW w:w="1415" w:type="dxa"/>
            <w:vAlign w:val="center"/>
          </w:tcPr>
          <w:p w14:paraId="787F4677">
            <w:pPr>
              <w:pStyle w:val="70"/>
              <w:rPr>
                <w:color w:val="000000" w:themeColor="text1"/>
                <w14:textFill>
                  <w14:solidFill>
                    <w14:schemeClr w14:val="tx1"/>
                  </w14:solidFill>
                </w14:textFill>
              </w:rPr>
            </w:pPr>
          </w:p>
        </w:tc>
        <w:tc>
          <w:tcPr>
            <w:tcW w:w="1132" w:type="dxa"/>
            <w:vAlign w:val="center"/>
          </w:tcPr>
          <w:p w14:paraId="20D2909E">
            <w:pPr>
              <w:pStyle w:val="70"/>
              <w:rPr>
                <w:color w:val="000000" w:themeColor="text1"/>
                <w14:textFill>
                  <w14:solidFill>
                    <w14:schemeClr w14:val="tx1"/>
                  </w14:solidFill>
                </w14:textFill>
              </w:rPr>
            </w:pPr>
          </w:p>
        </w:tc>
        <w:tc>
          <w:tcPr>
            <w:tcW w:w="1321" w:type="dxa"/>
            <w:vAlign w:val="center"/>
          </w:tcPr>
          <w:p w14:paraId="7F05AC25">
            <w:pPr>
              <w:pStyle w:val="70"/>
              <w:rPr>
                <w:color w:val="000000" w:themeColor="text1"/>
                <w14:textFill>
                  <w14:solidFill>
                    <w14:schemeClr w14:val="tx1"/>
                  </w14:solidFill>
                </w14:textFill>
              </w:rPr>
            </w:pPr>
          </w:p>
        </w:tc>
        <w:tc>
          <w:tcPr>
            <w:tcW w:w="942" w:type="dxa"/>
            <w:vAlign w:val="center"/>
          </w:tcPr>
          <w:p w14:paraId="5AE34C87">
            <w:pPr>
              <w:pStyle w:val="70"/>
              <w:rPr>
                <w:color w:val="000000" w:themeColor="text1"/>
                <w14:textFill>
                  <w14:solidFill>
                    <w14:schemeClr w14:val="tx1"/>
                  </w14:solidFill>
                </w14:textFill>
              </w:rPr>
            </w:pPr>
            <w:r>
              <w:rPr>
                <w:color w:val="000000" w:themeColor="text1"/>
                <w14:textFill>
                  <w14:solidFill>
                    <w14:schemeClr w14:val="tx1"/>
                  </w14:solidFill>
                </w14:textFill>
              </w:rPr>
              <w:t>0.9</w:t>
            </w:r>
          </w:p>
        </w:tc>
        <w:tc>
          <w:tcPr>
            <w:tcW w:w="1108" w:type="dxa"/>
            <w:vAlign w:val="center"/>
          </w:tcPr>
          <w:p w14:paraId="1CF24400">
            <w:pPr>
              <w:pStyle w:val="70"/>
              <w:rPr>
                <w:color w:val="000000" w:themeColor="text1"/>
                <w14:textFill>
                  <w14:solidFill>
                    <w14:schemeClr w14:val="tx1"/>
                  </w14:solidFill>
                </w14:textFill>
              </w:rPr>
            </w:pPr>
            <w:r>
              <w:rPr>
                <w:color w:val="000000" w:themeColor="text1"/>
                <w14:textFill>
                  <w14:solidFill>
                    <w14:schemeClr w14:val="tx1"/>
                  </w14:solidFill>
                </w14:textFill>
              </w:rPr>
              <w:t>达标</w:t>
            </w:r>
          </w:p>
        </w:tc>
      </w:tr>
      <w:tr w14:paraId="28F3E85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822" w:type="dxa"/>
            <w:vAlign w:val="center"/>
          </w:tcPr>
          <w:p w14:paraId="649D67FE">
            <w:pPr>
              <w:pStyle w:val="70"/>
              <w:rPr>
                <w:color w:val="000000" w:themeColor="text1"/>
                <w14:textFill>
                  <w14:solidFill>
                    <w14:schemeClr w14:val="tx1"/>
                  </w14:solidFill>
                </w14:textFill>
              </w:rPr>
            </w:pPr>
            <w:r>
              <w:rPr>
                <w:color w:val="000000" w:themeColor="text1"/>
                <w14:textFill>
                  <w14:solidFill>
                    <w14:schemeClr w14:val="tx1"/>
                  </w14:solidFill>
                </w14:textFill>
              </w:rPr>
              <w:t>1,1-二氯乙烷（μg/kg）</w:t>
            </w:r>
          </w:p>
        </w:tc>
        <w:tc>
          <w:tcPr>
            <w:tcW w:w="1415" w:type="dxa"/>
            <w:vAlign w:val="center"/>
          </w:tcPr>
          <w:p w14:paraId="289400DE">
            <w:pPr>
              <w:pStyle w:val="70"/>
              <w:rPr>
                <w:color w:val="000000" w:themeColor="text1"/>
                <w14:textFill>
                  <w14:solidFill>
                    <w14:schemeClr w14:val="tx1"/>
                  </w14:solidFill>
                </w14:textFill>
              </w:rPr>
            </w:pPr>
          </w:p>
        </w:tc>
        <w:tc>
          <w:tcPr>
            <w:tcW w:w="1132" w:type="dxa"/>
            <w:vAlign w:val="center"/>
          </w:tcPr>
          <w:p w14:paraId="5D472451">
            <w:pPr>
              <w:pStyle w:val="70"/>
              <w:rPr>
                <w:color w:val="000000" w:themeColor="text1"/>
                <w14:textFill>
                  <w14:solidFill>
                    <w14:schemeClr w14:val="tx1"/>
                  </w14:solidFill>
                </w14:textFill>
              </w:rPr>
            </w:pPr>
          </w:p>
        </w:tc>
        <w:tc>
          <w:tcPr>
            <w:tcW w:w="1321" w:type="dxa"/>
            <w:vAlign w:val="center"/>
          </w:tcPr>
          <w:p w14:paraId="79B44965">
            <w:pPr>
              <w:pStyle w:val="70"/>
              <w:rPr>
                <w:color w:val="000000" w:themeColor="text1"/>
                <w14:textFill>
                  <w14:solidFill>
                    <w14:schemeClr w14:val="tx1"/>
                  </w14:solidFill>
                </w14:textFill>
              </w:rPr>
            </w:pPr>
          </w:p>
        </w:tc>
        <w:tc>
          <w:tcPr>
            <w:tcW w:w="942" w:type="dxa"/>
            <w:vAlign w:val="center"/>
          </w:tcPr>
          <w:p w14:paraId="6CF054A4">
            <w:pPr>
              <w:pStyle w:val="70"/>
              <w:rPr>
                <w:color w:val="000000" w:themeColor="text1"/>
                <w14:textFill>
                  <w14:solidFill>
                    <w14:schemeClr w14:val="tx1"/>
                  </w14:solidFill>
                </w14:textFill>
              </w:rPr>
            </w:pPr>
            <w:r>
              <w:rPr>
                <w:color w:val="000000" w:themeColor="text1"/>
                <w14:textFill>
                  <w14:solidFill>
                    <w14:schemeClr w14:val="tx1"/>
                  </w14:solidFill>
                </w14:textFill>
              </w:rPr>
              <w:t>9</w:t>
            </w:r>
          </w:p>
        </w:tc>
        <w:tc>
          <w:tcPr>
            <w:tcW w:w="1108" w:type="dxa"/>
            <w:vAlign w:val="center"/>
          </w:tcPr>
          <w:p w14:paraId="772DFEF6">
            <w:pPr>
              <w:pStyle w:val="70"/>
              <w:rPr>
                <w:color w:val="000000" w:themeColor="text1"/>
                <w14:textFill>
                  <w14:solidFill>
                    <w14:schemeClr w14:val="tx1"/>
                  </w14:solidFill>
                </w14:textFill>
              </w:rPr>
            </w:pPr>
            <w:r>
              <w:rPr>
                <w:color w:val="000000" w:themeColor="text1"/>
                <w14:textFill>
                  <w14:solidFill>
                    <w14:schemeClr w14:val="tx1"/>
                  </w14:solidFill>
                </w14:textFill>
              </w:rPr>
              <w:t>达标</w:t>
            </w:r>
          </w:p>
        </w:tc>
      </w:tr>
      <w:tr w14:paraId="25BC341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822" w:type="dxa"/>
            <w:vAlign w:val="center"/>
          </w:tcPr>
          <w:p w14:paraId="5FC1F41D">
            <w:pPr>
              <w:pStyle w:val="70"/>
              <w:rPr>
                <w:color w:val="000000" w:themeColor="text1"/>
                <w14:textFill>
                  <w14:solidFill>
                    <w14:schemeClr w14:val="tx1"/>
                  </w14:solidFill>
                </w14:textFill>
              </w:rPr>
            </w:pPr>
            <w:r>
              <w:rPr>
                <w:color w:val="000000" w:themeColor="text1"/>
                <w14:textFill>
                  <w14:solidFill>
                    <w14:schemeClr w14:val="tx1"/>
                  </w14:solidFill>
                </w14:textFill>
              </w:rPr>
              <w:t>1,2-二氯乙烷（μg/kg）</w:t>
            </w:r>
          </w:p>
        </w:tc>
        <w:tc>
          <w:tcPr>
            <w:tcW w:w="1415" w:type="dxa"/>
            <w:vAlign w:val="center"/>
          </w:tcPr>
          <w:p w14:paraId="029F683E">
            <w:pPr>
              <w:pStyle w:val="70"/>
              <w:rPr>
                <w:color w:val="000000" w:themeColor="text1"/>
                <w14:textFill>
                  <w14:solidFill>
                    <w14:schemeClr w14:val="tx1"/>
                  </w14:solidFill>
                </w14:textFill>
              </w:rPr>
            </w:pPr>
          </w:p>
        </w:tc>
        <w:tc>
          <w:tcPr>
            <w:tcW w:w="1132" w:type="dxa"/>
            <w:vAlign w:val="center"/>
          </w:tcPr>
          <w:p w14:paraId="2A14A168">
            <w:pPr>
              <w:pStyle w:val="70"/>
              <w:rPr>
                <w:color w:val="000000" w:themeColor="text1"/>
                <w14:textFill>
                  <w14:solidFill>
                    <w14:schemeClr w14:val="tx1"/>
                  </w14:solidFill>
                </w14:textFill>
              </w:rPr>
            </w:pPr>
          </w:p>
        </w:tc>
        <w:tc>
          <w:tcPr>
            <w:tcW w:w="1321" w:type="dxa"/>
            <w:vAlign w:val="center"/>
          </w:tcPr>
          <w:p w14:paraId="20A627D0">
            <w:pPr>
              <w:pStyle w:val="70"/>
              <w:rPr>
                <w:color w:val="000000" w:themeColor="text1"/>
                <w14:textFill>
                  <w14:solidFill>
                    <w14:schemeClr w14:val="tx1"/>
                  </w14:solidFill>
                </w14:textFill>
              </w:rPr>
            </w:pPr>
          </w:p>
        </w:tc>
        <w:tc>
          <w:tcPr>
            <w:tcW w:w="942" w:type="dxa"/>
            <w:vAlign w:val="center"/>
          </w:tcPr>
          <w:p w14:paraId="5C1A3C8F">
            <w:pPr>
              <w:pStyle w:val="70"/>
              <w:rPr>
                <w:color w:val="000000" w:themeColor="text1"/>
                <w14:textFill>
                  <w14:solidFill>
                    <w14:schemeClr w14:val="tx1"/>
                  </w14:solidFill>
                </w14:textFill>
              </w:rPr>
            </w:pPr>
            <w:r>
              <w:rPr>
                <w:color w:val="000000" w:themeColor="text1"/>
                <w14:textFill>
                  <w14:solidFill>
                    <w14:schemeClr w14:val="tx1"/>
                  </w14:solidFill>
                </w14:textFill>
              </w:rPr>
              <w:t>5</w:t>
            </w:r>
          </w:p>
        </w:tc>
        <w:tc>
          <w:tcPr>
            <w:tcW w:w="1108" w:type="dxa"/>
            <w:vAlign w:val="center"/>
          </w:tcPr>
          <w:p w14:paraId="52194F77">
            <w:pPr>
              <w:pStyle w:val="70"/>
              <w:rPr>
                <w:color w:val="000000" w:themeColor="text1"/>
                <w14:textFill>
                  <w14:solidFill>
                    <w14:schemeClr w14:val="tx1"/>
                  </w14:solidFill>
                </w14:textFill>
              </w:rPr>
            </w:pPr>
            <w:r>
              <w:rPr>
                <w:color w:val="000000" w:themeColor="text1"/>
                <w14:textFill>
                  <w14:solidFill>
                    <w14:schemeClr w14:val="tx1"/>
                  </w14:solidFill>
                </w14:textFill>
              </w:rPr>
              <w:t>达标</w:t>
            </w:r>
          </w:p>
        </w:tc>
      </w:tr>
      <w:tr w14:paraId="263885D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822" w:type="dxa"/>
            <w:vAlign w:val="center"/>
          </w:tcPr>
          <w:p w14:paraId="0ECA9C98">
            <w:pPr>
              <w:pStyle w:val="70"/>
              <w:rPr>
                <w:color w:val="000000" w:themeColor="text1"/>
                <w14:textFill>
                  <w14:solidFill>
                    <w14:schemeClr w14:val="tx1"/>
                  </w14:solidFill>
                </w14:textFill>
              </w:rPr>
            </w:pPr>
            <w:r>
              <w:rPr>
                <w:color w:val="000000" w:themeColor="text1"/>
                <w14:textFill>
                  <w14:solidFill>
                    <w14:schemeClr w14:val="tx1"/>
                  </w14:solidFill>
                </w14:textFill>
              </w:rPr>
              <w:t>1,1-二氯乙烯（μg/kg）</w:t>
            </w:r>
          </w:p>
        </w:tc>
        <w:tc>
          <w:tcPr>
            <w:tcW w:w="1415" w:type="dxa"/>
            <w:vAlign w:val="center"/>
          </w:tcPr>
          <w:p w14:paraId="64AABDC2">
            <w:pPr>
              <w:pStyle w:val="70"/>
              <w:rPr>
                <w:color w:val="000000" w:themeColor="text1"/>
                <w14:textFill>
                  <w14:solidFill>
                    <w14:schemeClr w14:val="tx1"/>
                  </w14:solidFill>
                </w14:textFill>
              </w:rPr>
            </w:pPr>
          </w:p>
        </w:tc>
        <w:tc>
          <w:tcPr>
            <w:tcW w:w="1132" w:type="dxa"/>
            <w:vAlign w:val="center"/>
          </w:tcPr>
          <w:p w14:paraId="6E3035F0">
            <w:pPr>
              <w:pStyle w:val="70"/>
              <w:rPr>
                <w:color w:val="000000" w:themeColor="text1"/>
                <w14:textFill>
                  <w14:solidFill>
                    <w14:schemeClr w14:val="tx1"/>
                  </w14:solidFill>
                </w14:textFill>
              </w:rPr>
            </w:pPr>
          </w:p>
        </w:tc>
        <w:tc>
          <w:tcPr>
            <w:tcW w:w="1321" w:type="dxa"/>
            <w:vAlign w:val="center"/>
          </w:tcPr>
          <w:p w14:paraId="0F4C7D39">
            <w:pPr>
              <w:pStyle w:val="70"/>
              <w:rPr>
                <w:color w:val="000000" w:themeColor="text1"/>
                <w14:textFill>
                  <w14:solidFill>
                    <w14:schemeClr w14:val="tx1"/>
                  </w14:solidFill>
                </w14:textFill>
              </w:rPr>
            </w:pPr>
          </w:p>
        </w:tc>
        <w:tc>
          <w:tcPr>
            <w:tcW w:w="942" w:type="dxa"/>
            <w:vAlign w:val="center"/>
          </w:tcPr>
          <w:p w14:paraId="08BAB5B8">
            <w:pPr>
              <w:pStyle w:val="70"/>
              <w:rPr>
                <w:color w:val="000000" w:themeColor="text1"/>
                <w14:textFill>
                  <w14:solidFill>
                    <w14:schemeClr w14:val="tx1"/>
                  </w14:solidFill>
                </w14:textFill>
              </w:rPr>
            </w:pPr>
            <w:r>
              <w:rPr>
                <w:color w:val="000000" w:themeColor="text1"/>
                <w14:textFill>
                  <w14:solidFill>
                    <w14:schemeClr w14:val="tx1"/>
                  </w14:solidFill>
                </w14:textFill>
              </w:rPr>
              <w:t>66</w:t>
            </w:r>
          </w:p>
        </w:tc>
        <w:tc>
          <w:tcPr>
            <w:tcW w:w="1108" w:type="dxa"/>
            <w:vAlign w:val="center"/>
          </w:tcPr>
          <w:p w14:paraId="18F71BE3">
            <w:pPr>
              <w:pStyle w:val="70"/>
              <w:rPr>
                <w:color w:val="000000" w:themeColor="text1"/>
                <w14:textFill>
                  <w14:solidFill>
                    <w14:schemeClr w14:val="tx1"/>
                  </w14:solidFill>
                </w14:textFill>
              </w:rPr>
            </w:pPr>
            <w:r>
              <w:rPr>
                <w:color w:val="000000" w:themeColor="text1"/>
                <w14:textFill>
                  <w14:solidFill>
                    <w14:schemeClr w14:val="tx1"/>
                  </w14:solidFill>
                </w14:textFill>
              </w:rPr>
              <w:t>达标</w:t>
            </w:r>
          </w:p>
        </w:tc>
      </w:tr>
      <w:tr w14:paraId="0194F24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822" w:type="dxa"/>
            <w:vAlign w:val="center"/>
          </w:tcPr>
          <w:p w14:paraId="45690C50">
            <w:pPr>
              <w:pStyle w:val="70"/>
              <w:rPr>
                <w:color w:val="000000" w:themeColor="text1"/>
                <w14:textFill>
                  <w14:solidFill>
                    <w14:schemeClr w14:val="tx1"/>
                  </w14:solidFill>
                </w14:textFill>
              </w:rPr>
            </w:pPr>
            <w:r>
              <w:rPr>
                <w:color w:val="000000" w:themeColor="text1"/>
                <w14:textFill>
                  <w14:solidFill>
                    <w14:schemeClr w14:val="tx1"/>
                  </w14:solidFill>
                </w14:textFill>
              </w:rPr>
              <w:t>顺-1,2-二氯乙烯（μg/kg）</w:t>
            </w:r>
          </w:p>
        </w:tc>
        <w:tc>
          <w:tcPr>
            <w:tcW w:w="1415" w:type="dxa"/>
            <w:vAlign w:val="center"/>
          </w:tcPr>
          <w:p w14:paraId="16878A92">
            <w:pPr>
              <w:pStyle w:val="70"/>
              <w:rPr>
                <w:color w:val="000000" w:themeColor="text1"/>
                <w14:textFill>
                  <w14:solidFill>
                    <w14:schemeClr w14:val="tx1"/>
                  </w14:solidFill>
                </w14:textFill>
              </w:rPr>
            </w:pPr>
          </w:p>
        </w:tc>
        <w:tc>
          <w:tcPr>
            <w:tcW w:w="1132" w:type="dxa"/>
            <w:vAlign w:val="center"/>
          </w:tcPr>
          <w:p w14:paraId="347FA40B">
            <w:pPr>
              <w:pStyle w:val="70"/>
              <w:rPr>
                <w:color w:val="000000" w:themeColor="text1"/>
                <w14:textFill>
                  <w14:solidFill>
                    <w14:schemeClr w14:val="tx1"/>
                  </w14:solidFill>
                </w14:textFill>
              </w:rPr>
            </w:pPr>
          </w:p>
        </w:tc>
        <w:tc>
          <w:tcPr>
            <w:tcW w:w="1321" w:type="dxa"/>
            <w:vAlign w:val="center"/>
          </w:tcPr>
          <w:p w14:paraId="075C1ECE">
            <w:pPr>
              <w:pStyle w:val="70"/>
              <w:rPr>
                <w:color w:val="000000" w:themeColor="text1"/>
                <w14:textFill>
                  <w14:solidFill>
                    <w14:schemeClr w14:val="tx1"/>
                  </w14:solidFill>
                </w14:textFill>
              </w:rPr>
            </w:pPr>
          </w:p>
        </w:tc>
        <w:tc>
          <w:tcPr>
            <w:tcW w:w="942" w:type="dxa"/>
            <w:vAlign w:val="center"/>
          </w:tcPr>
          <w:p w14:paraId="2AC3BAEA">
            <w:pPr>
              <w:pStyle w:val="70"/>
              <w:rPr>
                <w:color w:val="000000" w:themeColor="text1"/>
                <w14:textFill>
                  <w14:solidFill>
                    <w14:schemeClr w14:val="tx1"/>
                  </w14:solidFill>
                </w14:textFill>
              </w:rPr>
            </w:pPr>
            <w:r>
              <w:rPr>
                <w:color w:val="000000" w:themeColor="text1"/>
                <w14:textFill>
                  <w14:solidFill>
                    <w14:schemeClr w14:val="tx1"/>
                  </w14:solidFill>
                </w14:textFill>
              </w:rPr>
              <w:t>596</w:t>
            </w:r>
          </w:p>
        </w:tc>
        <w:tc>
          <w:tcPr>
            <w:tcW w:w="1108" w:type="dxa"/>
            <w:vAlign w:val="center"/>
          </w:tcPr>
          <w:p w14:paraId="37AFA423">
            <w:pPr>
              <w:pStyle w:val="70"/>
              <w:rPr>
                <w:color w:val="000000" w:themeColor="text1"/>
                <w14:textFill>
                  <w14:solidFill>
                    <w14:schemeClr w14:val="tx1"/>
                  </w14:solidFill>
                </w14:textFill>
              </w:rPr>
            </w:pPr>
            <w:r>
              <w:rPr>
                <w:color w:val="000000" w:themeColor="text1"/>
                <w14:textFill>
                  <w14:solidFill>
                    <w14:schemeClr w14:val="tx1"/>
                  </w14:solidFill>
                </w14:textFill>
              </w:rPr>
              <w:t>达标</w:t>
            </w:r>
          </w:p>
        </w:tc>
      </w:tr>
      <w:tr w14:paraId="002B3D1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822" w:type="dxa"/>
            <w:vAlign w:val="center"/>
          </w:tcPr>
          <w:p w14:paraId="64A944FC">
            <w:pPr>
              <w:pStyle w:val="70"/>
              <w:rPr>
                <w:color w:val="000000" w:themeColor="text1"/>
                <w14:textFill>
                  <w14:solidFill>
                    <w14:schemeClr w14:val="tx1"/>
                  </w14:solidFill>
                </w14:textFill>
              </w:rPr>
            </w:pPr>
            <w:r>
              <w:rPr>
                <w:color w:val="000000" w:themeColor="text1"/>
                <w14:textFill>
                  <w14:solidFill>
                    <w14:schemeClr w14:val="tx1"/>
                  </w14:solidFill>
                </w14:textFill>
              </w:rPr>
              <w:t>反-1,2-二氯乙烯（μg/kg）</w:t>
            </w:r>
          </w:p>
        </w:tc>
        <w:tc>
          <w:tcPr>
            <w:tcW w:w="1415" w:type="dxa"/>
            <w:vAlign w:val="center"/>
          </w:tcPr>
          <w:p w14:paraId="2758A61A">
            <w:pPr>
              <w:pStyle w:val="70"/>
              <w:rPr>
                <w:color w:val="000000" w:themeColor="text1"/>
                <w14:textFill>
                  <w14:solidFill>
                    <w14:schemeClr w14:val="tx1"/>
                  </w14:solidFill>
                </w14:textFill>
              </w:rPr>
            </w:pPr>
          </w:p>
        </w:tc>
        <w:tc>
          <w:tcPr>
            <w:tcW w:w="1132" w:type="dxa"/>
            <w:vAlign w:val="center"/>
          </w:tcPr>
          <w:p w14:paraId="66BD3C1B">
            <w:pPr>
              <w:pStyle w:val="70"/>
              <w:rPr>
                <w:color w:val="000000" w:themeColor="text1"/>
                <w14:textFill>
                  <w14:solidFill>
                    <w14:schemeClr w14:val="tx1"/>
                  </w14:solidFill>
                </w14:textFill>
              </w:rPr>
            </w:pPr>
          </w:p>
        </w:tc>
        <w:tc>
          <w:tcPr>
            <w:tcW w:w="1321" w:type="dxa"/>
            <w:vAlign w:val="center"/>
          </w:tcPr>
          <w:p w14:paraId="71203620">
            <w:pPr>
              <w:pStyle w:val="70"/>
              <w:rPr>
                <w:color w:val="000000" w:themeColor="text1"/>
                <w14:textFill>
                  <w14:solidFill>
                    <w14:schemeClr w14:val="tx1"/>
                  </w14:solidFill>
                </w14:textFill>
              </w:rPr>
            </w:pPr>
          </w:p>
        </w:tc>
        <w:tc>
          <w:tcPr>
            <w:tcW w:w="942" w:type="dxa"/>
            <w:vAlign w:val="center"/>
          </w:tcPr>
          <w:p w14:paraId="6510D202">
            <w:pPr>
              <w:pStyle w:val="70"/>
              <w:rPr>
                <w:color w:val="000000" w:themeColor="text1"/>
                <w14:textFill>
                  <w14:solidFill>
                    <w14:schemeClr w14:val="tx1"/>
                  </w14:solidFill>
                </w14:textFill>
              </w:rPr>
            </w:pPr>
            <w:r>
              <w:rPr>
                <w:color w:val="000000" w:themeColor="text1"/>
                <w14:textFill>
                  <w14:solidFill>
                    <w14:schemeClr w14:val="tx1"/>
                  </w14:solidFill>
                </w14:textFill>
              </w:rPr>
              <w:t>54</w:t>
            </w:r>
          </w:p>
        </w:tc>
        <w:tc>
          <w:tcPr>
            <w:tcW w:w="1108" w:type="dxa"/>
            <w:vAlign w:val="center"/>
          </w:tcPr>
          <w:p w14:paraId="5CEE65C6">
            <w:pPr>
              <w:pStyle w:val="70"/>
              <w:rPr>
                <w:color w:val="000000" w:themeColor="text1"/>
                <w14:textFill>
                  <w14:solidFill>
                    <w14:schemeClr w14:val="tx1"/>
                  </w14:solidFill>
                </w14:textFill>
              </w:rPr>
            </w:pPr>
            <w:r>
              <w:rPr>
                <w:color w:val="000000" w:themeColor="text1"/>
                <w14:textFill>
                  <w14:solidFill>
                    <w14:schemeClr w14:val="tx1"/>
                  </w14:solidFill>
                </w14:textFill>
              </w:rPr>
              <w:t>达标</w:t>
            </w:r>
          </w:p>
        </w:tc>
      </w:tr>
      <w:tr w14:paraId="5EE8EEB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822" w:type="dxa"/>
            <w:vAlign w:val="center"/>
          </w:tcPr>
          <w:p w14:paraId="6B39BAEB">
            <w:pPr>
              <w:pStyle w:val="70"/>
              <w:rPr>
                <w:color w:val="000000" w:themeColor="text1"/>
                <w14:textFill>
                  <w14:solidFill>
                    <w14:schemeClr w14:val="tx1"/>
                  </w14:solidFill>
                </w14:textFill>
              </w:rPr>
            </w:pPr>
            <w:r>
              <w:rPr>
                <w:color w:val="000000" w:themeColor="text1"/>
                <w14:textFill>
                  <w14:solidFill>
                    <w14:schemeClr w14:val="tx1"/>
                  </w14:solidFill>
                </w14:textFill>
              </w:rPr>
              <w:t>二氯甲烷（μg/kg）</w:t>
            </w:r>
          </w:p>
        </w:tc>
        <w:tc>
          <w:tcPr>
            <w:tcW w:w="1415" w:type="dxa"/>
            <w:vAlign w:val="center"/>
          </w:tcPr>
          <w:p w14:paraId="14BD8C94">
            <w:pPr>
              <w:pStyle w:val="70"/>
              <w:rPr>
                <w:color w:val="000000" w:themeColor="text1"/>
                <w14:textFill>
                  <w14:solidFill>
                    <w14:schemeClr w14:val="tx1"/>
                  </w14:solidFill>
                </w14:textFill>
              </w:rPr>
            </w:pPr>
          </w:p>
        </w:tc>
        <w:tc>
          <w:tcPr>
            <w:tcW w:w="1132" w:type="dxa"/>
            <w:vAlign w:val="center"/>
          </w:tcPr>
          <w:p w14:paraId="1B3226EC">
            <w:pPr>
              <w:pStyle w:val="70"/>
              <w:rPr>
                <w:color w:val="000000" w:themeColor="text1"/>
                <w14:textFill>
                  <w14:solidFill>
                    <w14:schemeClr w14:val="tx1"/>
                  </w14:solidFill>
                </w14:textFill>
              </w:rPr>
            </w:pPr>
          </w:p>
        </w:tc>
        <w:tc>
          <w:tcPr>
            <w:tcW w:w="1321" w:type="dxa"/>
            <w:vAlign w:val="center"/>
          </w:tcPr>
          <w:p w14:paraId="58DF1FB6">
            <w:pPr>
              <w:pStyle w:val="70"/>
              <w:rPr>
                <w:color w:val="000000" w:themeColor="text1"/>
                <w14:textFill>
                  <w14:solidFill>
                    <w14:schemeClr w14:val="tx1"/>
                  </w14:solidFill>
                </w14:textFill>
              </w:rPr>
            </w:pPr>
          </w:p>
        </w:tc>
        <w:tc>
          <w:tcPr>
            <w:tcW w:w="942" w:type="dxa"/>
            <w:vAlign w:val="center"/>
          </w:tcPr>
          <w:p w14:paraId="261DCED2">
            <w:pPr>
              <w:pStyle w:val="70"/>
              <w:rPr>
                <w:color w:val="000000" w:themeColor="text1"/>
                <w14:textFill>
                  <w14:solidFill>
                    <w14:schemeClr w14:val="tx1"/>
                  </w14:solidFill>
                </w14:textFill>
              </w:rPr>
            </w:pPr>
            <w:r>
              <w:rPr>
                <w:color w:val="000000" w:themeColor="text1"/>
                <w14:textFill>
                  <w14:solidFill>
                    <w14:schemeClr w14:val="tx1"/>
                  </w14:solidFill>
                </w14:textFill>
              </w:rPr>
              <w:t>616</w:t>
            </w:r>
          </w:p>
        </w:tc>
        <w:tc>
          <w:tcPr>
            <w:tcW w:w="1108" w:type="dxa"/>
            <w:vAlign w:val="center"/>
          </w:tcPr>
          <w:p w14:paraId="2A30CC67">
            <w:pPr>
              <w:pStyle w:val="70"/>
              <w:rPr>
                <w:color w:val="000000" w:themeColor="text1"/>
                <w14:textFill>
                  <w14:solidFill>
                    <w14:schemeClr w14:val="tx1"/>
                  </w14:solidFill>
                </w14:textFill>
              </w:rPr>
            </w:pPr>
            <w:r>
              <w:rPr>
                <w:color w:val="000000" w:themeColor="text1"/>
                <w14:textFill>
                  <w14:solidFill>
                    <w14:schemeClr w14:val="tx1"/>
                  </w14:solidFill>
                </w14:textFill>
              </w:rPr>
              <w:t>达标</w:t>
            </w:r>
          </w:p>
        </w:tc>
      </w:tr>
      <w:tr w14:paraId="3F1B203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822" w:type="dxa"/>
            <w:vAlign w:val="center"/>
          </w:tcPr>
          <w:p w14:paraId="73D5180A">
            <w:pPr>
              <w:pStyle w:val="70"/>
              <w:rPr>
                <w:color w:val="000000" w:themeColor="text1"/>
                <w14:textFill>
                  <w14:solidFill>
                    <w14:schemeClr w14:val="tx1"/>
                  </w14:solidFill>
                </w14:textFill>
              </w:rPr>
            </w:pPr>
            <w:r>
              <w:rPr>
                <w:color w:val="000000" w:themeColor="text1"/>
                <w14:textFill>
                  <w14:solidFill>
                    <w14:schemeClr w14:val="tx1"/>
                  </w14:solidFill>
                </w14:textFill>
              </w:rPr>
              <w:t>1,2-二氯丙烷（μg/kg）</w:t>
            </w:r>
          </w:p>
        </w:tc>
        <w:tc>
          <w:tcPr>
            <w:tcW w:w="1415" w:type="dxa"/>
            <w:vAlign w:val="center"/>
          </w:tcPr>
          <w:p w14:paraId="57C55AFC">
            <w:pPr>
              <w:pStyle w:val="70"/>
              <w:rPr>
                <w:color w:val="000000" w:themeColor="text1"/>
                <w14:textFill>
                  <w14:solidFill>
                    <w14:schemeClr w14:val="tx1"/>
                  </w14:solidFill>
                </w14:textFill>
              </w:rPr>
            </w:pPr>
          </w:p>
        </w:tc>
        <w:tc>
          <w:tcPr>
            <w:tcW w:w="1132" w:type="dxa"/>
            <w:vAlign w:val="center"/>
          </w:tcPr>
          <w:p w14:paraId="1F5D21FA">
            <w:pPr>
              <w:pStyle w:val="70"/>
              <w:rPr>
                <w:color w:val="000000" w:themeColor="text1"/>
                <w14:textFill>
                  <w14:solidFill>
                    <w14:schemeClr w14:val="tx1"/>
                  </w14:solidFill>
                </w14:textFill>
              </w:rPr>
            </w:pPr>
          </w:p>
        </w:tc>
        <w:tc>
          <w:tcPr>
            <w:tcW w:w="1321" w:type="dxa"/>
            <w:vAlign w:val="center"/>
          </w:tcPr>
          <w:p w14:paraId="5410D96F">
            <w:pPr>
              <w:pStyle w:val="70"/>
              <w:rPr>
                <w:color w:val="000000" w:themeColor="text1"/>
                <w14:textFill>
                  <w14:solidFill>
                    <w14:schemeClr w14:val="tx1"/>
                  </w14:solidFill>
                </w14:textFill>
              </w:rPr>
            </w:pPr>
          </w:p>
        </w:tc>
        <w:tc>
          <w:tcPr>
            <w:tcW w:w="942" w:type="dxa"/>
            <w:vAlign w:val="center"/>
          </w:tcPr>
          <w:p w14:paraId="23517EAA">
            <w:pPr>
              <w:pStyle w:val="70"/>
              <w:rPr>
                <w:color w:val="000000" w:themeColor="text1"/>
                <w14:textFill>
                  <w14:solidFill>
                    <w14:schemeClr w14:val="tx1"/>
                  </w14:solidFill>
                </w14:textFill>
              </w:rPr>
            </w:pPr>
            <w:r>
              <w:rPr>
                <w:color w:val="000000" w:themeColor="text1"/>
                <w14:textFill>
                  <w14:solidFill>
                    <w14:schemeClr w14:val="tx1"/>
                  </w14:solidFill>
                </w14:textFill>
              </w:rPr>
              <w:t>5</w:t>
            </w:r>
          </w:p>
        </w:tc>
        <w:tc>
          <w:tcPr>
            <w:tcW w:w="1108" w:type="dxa"/>
            <w:vAlign w:val="center"/>
          </w:tcPr>
          <w:p w14:paraId="35BBB34D">
            <w:pPr>
              <w:pStyle w:val="70"/>
              <w:rPr>
                <w:color w:val="000000" w:themeColor="text1"/>
                <w14:textFill>
                  <w14:solidFill>
                    <w14:schemeClr w14:val="tx1"/>
                  </w14:solidFill>
                </w14:textFill>
              </w:rPr>
            </w:pPr>
            <w:r>
              <w:rPr>
                <w:color w:val="000000" w:themeColor="text1"/>
                <w14:textFill>
                  <w14:solidFill>
                    <w14:schemeClr w14:val="tx1"/>
                  </w14:solidFill>
                </w14:textFill>
              </w:rPr>
              <w:t>达标</w:t>
            </w:r>
          </w:p>
        </w:tc>
      </w:tr>
      <w:tr w14:paraId="09FDB1F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822" w:type="dxa"/>
            <w:vAlign w:val="center"/>
          </w:tcPr>
          <w:p w14:paraId="2F17BDF0">
            <w:pPr>
              <w:pStyle w:val="70"/>
              <w:rPr>
                <w:color w:val="000000" w:themeColor="text1"/>
                <w14:textFill>
                  <w14:solidFill>
                    <w14:schemeClr w14:val="tx1"/>
                  </w14:solidFill>
                </w14:textFill>
              </w:rPr>
            </w:pPr>
            <w:r>
              <w:rPr>
                <w:color w:val="000000" w:themeColor="text1"/>
                <w14:textFill>
                  <w14:solidFill>
                    <w14:schemeClr w14:val="tx1"/>
                  </w14:solidFill>
                </w14:textFill>
              </w:rPr>
              <w:t>1,1,1,2-四氯乙烷（μg/kg）</w:t>
            </w:r>
          </w:p>
        </w:tc>
        <w:tc>
          <w:tcPr>
            <w:tcW w:w="1415" w:type="dxa"/>
            <w:vAlign w:val="center"/>
          </w:tcPr>
          <w:p w14:paraId="3EB9C293">
            <w:pPr>
              <w:pStyle w:val="70"/>
              <w:rPr>
                <w:color w:val="000000" w:themeColor="text1"/>
                <w14:textFill>
                  <w14:solidFill>
                    <w14:schemeClr w14:val="tx1"/>
                  </w14:solidFill>
                </w14:textFill>
              </w:rPr>
            </w:pPr>
          </w:p>
        </w:tc>
        <w:tc>
          <w:tcPr>
            <w:tcW w:w="1132" w:type="dxa"/>
            <w:vAlign w:val="center"/>
          </w:tcPr>
          <w:p w14:paraId="23C930D8">
            <w:pPr>
              <w:pStyle w:val="70"/>
              <w:rPr>
                <w:color w:val="000000" w:themeColor="text1"/>
                <w14:textFill>
                  <w14:solidFill>
                    <w14:schemeClr w14:val="tx1"/>
                  </w14:solidFill>
                </w14:textFill>
              </w:rPr>
            </w:pPr>
          </w:p>
        </w:tc>
        <w:tc>
          <w:tcPr>
            <w:tcW w:w="1321" w:type="dxa"/>
            <w:vAlign w:val="center"/>
          </w:tcPr>
          <w:p w14:paraId="37ADE2E1">
            <w:pPr>
              <w:pStyle w:val="70"/>
              <w:rPr>
                <w:color w:val="000000" w:themeColor="text1"/>
                <w14:textFill>
                  <w14:solidFill>
                    <w14:schemeClr w14:val="tx1"/>
                  </w14:solidFill>
                </w14:textFill>
              </w:rPr>
            </w:pPr>
          </w:p>
        </w:tc>
        <w:tc>
          <w:tcPr>
            <w:tcW w:w="942" w:type="dxa"/>
            <w:vAlign w:val="center"/>
          </w:tcPr>
          <w:p w14:paraId="2B80B5A1">
            <w:pPr>
              <w:pStyle w:val="70"/>
              <w:rPr>
                <w:color w:val="000000" w:themeColor="text1"/>
                <w14:textFill>
                  <w14:solidFill>
                    <w14:schemeClr w14:val="tx1"/>
                  </w14:solidFill>
                </w14:textFill>
              </w:rPr>
            </w:pPr>
            <w:r>
              <w:rPr>
                <w:color w:val="000000" w:themeColor="text1"/>
                <w14:textFill>
                  <w14:solidFill>
                    <w14:schemeClr w14:val="tx1"/>
                  </w14:solidFill>
                </w14:textFill>
              </w:rPr>
              <w:t>10</w:t>
            </w:r>
          </w:p>
        </w:tc>
        <w:tc>
          <w:tcPr>
            <w:tcW w:w="1108" w:type="dxa"/>
            <w:vAlign w:val="center"/>
          </w:tcPr>
          <w:p w14:paraId="6E8A622A">
            <w:pPr>
              <w:pStyle w:val="70"/>
              <w:rPr>
                <w:color w:val="000000" w:themeColor="text1"/>
                <w14:textFill>
                  <w14:solidFill>
                    <w14:schemeClr w14:val="tx1"/>
                  </w14:solidFill>
                </w14:textFill>
              </w:rPr>
            </w:pPr>
            <w:r>
              <w:rPr>
                <w:color w:val="000000" w:themeColor="text1"/>
                <w14:textFill>
                  <w14:solidFill>
                    <w14:schemeClr w14:val="tx1"/>
                  </w14:solidFill>
                </w14:textFill>
              </w:rPr>
              <w:t>达标</w:t>
            </w:r>
          </w:p>
        </w:tc>
      </w:tr>
      <w:tr w14:paraId="2D28664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822" w:type="dxa"/>
            <w:vAlign w:val="center"/>
          </w:tcPr>
          <w:p w14:paraId="6293318A">
            <w:pPr>
              <w:pStyle w:val="70"/>
              <w:rPr>
                <w:color w:val="000000" w:themeColor="text1"/>
                <w14:textFill>
                  <w14:solidFill>
                    <w14:schemeClr w14:val="tx1"/>
                  </w14:solidFill>
                </w14:textFill>
              </w:rPr>
            </w:pPr>
            <w:r>
              <w:rPr>
                <w:color w:val="000000" w:themeColor="text1"/>
                <w14:textFill>
                  <w14:solidFill>
                    <w14:schemeClr w14:val="tx1"/>
                  </w14:solidFill>
                </w14:textFill>
              </w:rPr>
              <w:t>1,1,2,2-四氯乙烷（μg/kg）</w:t>
            </w:r>
          </w:p>
        </w:tc>
        <w:tc>
          <w:tcPr>
            <w:tcW w:w="1415" w:type="dxa"/>
            <w:vAlign w:val="center"/>
          </w:tcPr>
          <w:p w14:paraId="0BEFEBE5">
            <w:pPr>
              <w:pStyle w:val="70"/>
              <w:rPr>
                <w:color w:val="000000" w:themeColor="text1"/>
                <w14:textFill>
                  <w14:solidFill>
                    <w14:schemeClr w14:val="tx1"/>
                  </w14:solidFill>
                </w14:textFill>
              </w:rPr>
            </w:pPr>
          </w:p>
        </w:tc>
        <w:tc>
          <w:tcPr>
            <w:tcW w:w="1132" w:type="dxa"/>
            <w:vAlign w:val="center"/>
          </w:tcPr>
          <w:p w14:paraId="07DE8BB7">
            <w:pPr>
              <w:pStyle w:val="70"/>
              <w:rPr>
                <w:color w:val="000000" w:themeColor="text1"/>
                <w14:textFill>
                  <w14:solidFill>
                    <w14:schemeClr w14:val="tx1"/>
                  </w14:solidFill>
                </w14:textFill>
              </w:rPr>
            </w:pPr>
          </w:p>
        </w:tc>
        <w:tc>
          <w:tcPr>
            <w:tcW w:w="1321" w:type="dxa"/>
            <w:vAlign w:val="center"/>
          </w:tcPr>
          <w:p w14:paraId="53630FBA">
            <w:pPr>
              <w:pStyle w:val="70"/>
              <w:rPr>
                <w:color w:val="000000" w:themeColor="text1"/>
                <w14:textFill>
                  <w14:solidFill>
                    <w14:schemeClr w14:val="tx1"/>
                  </w14:solidFill>
                </w14:textFill>
              </w:rPr>
            </w:pPr>
          </w:p>
        </w:tc>
        <w:tc>
          <w:tcPr>
            <w:tcW w:w="942" w:type="dxa"/>
            <w:vAlign w:val="center"/>
          </w:tcPr>
          <w:p w14:paraId="3DBE0B33">
            <w:pPr>
              <w:pStyle w:val="70"/>
              <w:rPr>
                <w:color w:val="000000" w:themeColor="text1"/>
                <w14:textFill>
                  <w14:solidFill>
                    <w14:schemeClr w14:val="tx1"/>
                  </w14:solidFill>
                </w14:textFill>
              </w:rPr>
            </w:pPr>
            <w:r>
              <w:rPr>
                <w:color w:val="000000" w:themeColor="text1"/>
                <w14:textFill>
                  <w14:solidFill>
                    <w14:schemeClr w14:val="tx1"/>
                  </w14:solidFill>
                </w14:textFill>
              </w:rPr>
              <w:t>6.8</w:t>
            </w:r>
          </w:p>
        </w:tc>
        <w:tc>
          <w:tcPr>
            <w:tcW w:w="1108" w:type="dxa"/>
            <w:vAlign w:val="center"/>
          </w:tcPr>
          <w:p w14:paraId="664839A6">
            <w:pPr>
              <w:pStyle w:val="70"/>
              <w:rPr>
                <w:color w:val="000000" w:themeColor="text1"/>
                <w14:textFill>
                  <w14:solidFill>
                    <w14:schemeClr w14:val="tx1"/>
                  </w14:solidFill>
                </w14:textFill>
              </w:rPr>
            </w:pPr>
            <w:r>
              <w:rPr>
                <w:color w:val="000000" w:themeColor="text1"/>
                <w14:textFill>
                  <w14:solidFill>
                    <w14:schemeClr w14:val="tx1"/>
                  </w14:solidFill>
                </w14:textFill>
              </w:rPr>
              <w:t>达标</w:t>
            </w:r>
          </w:p>
        </w:tc>
      </w:tr>
      <w:tr w14:paraId="78EE3EF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822" w:type="dxa"/>
            <w:vAlign w:val="center"/>
          </w:tcPr>
          <w:p w14:paraId="1D4D28E9">
            <w:pPr>
              <w:pStyle w:val="70"/>
              <w:rPr>
                <w:color w:val="000000" w:themeColor="text1"/>
                <w14:textFill>
                  <w14:solidFill>
                    <w14:schemeClr w14:val="tx1"/>
                  </w14:solidFill>
                </w14:textFill>
              </w:rPr>
            </w:pPr>
            <w:r>
              <w:rPr>
                <w:color w:val="000000" w:themeColor="text1"/>
                <w14:textFill>
                  <w14:solidFill>
                    <w14:schemeClr w14:val="tx1"/>
                  </w14:solidFill>
                </w14:textFill>
              </w:rPr>
              <w:t>四氯乙烯（μg/kg）</w:t>
            </w:r>
          </w:p>
        </w:tc>
        <w:tc>
          <w:tcPr>
            <w:tcW w:w="1415" w:type="dxa"/>
            <w:vAlign w:val="center"/>
          </w:tcPr>
          <w:p w14:paraId="57E0632A">
            <w:pPr>
              <w:pStyle w:val="70"/>
              <w:rPr>
                <w:color w:val="000000" w:themeColor="text1"/>
                <w14:textFill>
                  <w14:solidFill>
                    <w14:schemeClr w14:val="tx1"/>
                  </w14:solidFill>
                </w14:textFill>
              </w:rPr>
            </w:pPr>
          </w:p>
        </w:tc>
        <w:tc>
          <w:tcPr>
            <w:tcW w:w="1132" w:type="dxa"/>
            <w:vAlign w:val="center"/>
          </w:tcPr>
          <w:p w14:paraId="25A5AC37">
            <w:pPr>
              <w:pStyle w:val="70"/>
              <w:rPr>
                <w:color w:val="000000" w:themeColor="text1"/>
                <w14:textFill>
                  <w14:solidFill>
                    <w14:schemeClr w14:val="tx1"/>
                  </w14:solidFill>
                </w14:textFill>
              </w:rPr>
            </w:pPr>
          </w:p>
        </w:tc>
        <w:tc>
          <w:tcPr>
            <w:tcW w:w="1321" w:type="dxa"/>
            <w:vAlign w:val="center"/>
          </w:tcPr>
          <w:p w14:paraId="7D349E86">
            <w:pPr>
              <w:pStyle w:val="70"/>
              <w:rPr>
                <w:color w:val="000000" w:themeColor="text1"/>
                <w14:textFill>
                  <w14:solidFill>
                    <w14:schemeClr w14:val="tx1"/>
                  </w14:solidFill>
                </w14:textFill>
              </w:rPr>
            </w:pPr>
          </w:p>
        </w:tc>
        <w:tc>
          <w:tcPr>
            <w:tcW w:w="942" w:type="dxa"/>
            <w:vAlign w:val="center"/>
          </w:tcPr>
          <w:p w14:paraId="433793A9">
            <w:pPr>
              <w:pStyle w:val="70"/>
              <w:rPr>
                <w:color w:val="000000" w:themeColor="text1"/>
                <w14:textFill>
                  <w14:solidFill>
                    <w14:schemeClr w14:val="tx1"/>
                  </w14:solidFill>
                </w14:textFill>
              </w:rPr>
            </w:pPr>
            <w:r>
              <w:rPr>
                <w:color w:val="000000" w:themeColor="text1"/>
                <w14:textFill>
                  <w14:solidFill>
                    <w14:schemeClr w14:val="tx1"/>
                  </w14:solidFill>
                </w14:textFill>
              </w:rPr>
              <w:t>53</w:t>
            </w:r>
          </w:p>
        </w:tc>
        <w:tc>
          <w:tcPr>
            <w:tcW w:w="1108" w:type="dxa"/>
            <w:vAlign w:val="center"/>
          </w:tcPr>
          <w:p w14:paraId="6EC1F0BB">
            <w:pPr>
              <w:pStyle w:val="70"/>
              <w:rPr>
                <w:color w:val="000000" w:themeColor="text1"/>
                <w14:textFill>
                  <w14:solidFill>
                    <w14:schemeClr w14:val="tx1"/>
                  </w14:solidFill>
                </w14:textFill>
              </w:rPr>
            </w:pPr>
            <w:r>
              <w:rPr>
                <w:color w:val="000000" w:themeColor="text1"/>
                <w14:textFill>
                  <w14:solidFill>
                    <w14:schemeClr w14:val="tx1"/>
                  </w14:solidFill>
                </w14:textFill>
              </w:rPr>
              <w:t>达标</w:t>
            </w:r>
          </w:p>
        </w:tc>
      </w:tr>
      <w:tr w14:paraId="4AE733D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822" w:type="dxa"/>
            <w:vAlign w:val="center"/>
          </w:tcPr>
          <w:p w14:paraId="0DFFB0FD">
            <w:pPr>
              <w:pStyle w:val="70"/>
              <w:rPr>
                <w:color w:val="000000" w:themeColor="text1"/>
                <w14:textFill>
                  <w14:solidFill>
                    <w14:schemeClr w14:val="tx1"/>
                  </w14:solidFill>
                </w14:textFill>
              </w:rPr>
            </w:pPr>
            <w:r>
              <w:rPr>
                <w:color w:val="000000" w:themeColor="text1"/>
                <w14:textFill>
                  <w14:solidFill>
                    <w14:schemeClr w14:val="tx1"/>
                  </w14:solidFill>
                </w14:textFill>
              </w:rPr>
              <w:t>1,1,1-三氯乙烷（μg/kg）</w:t>
            </w:r>
          </w:p>
        </w:tc>
        <w:tc>
          <w:tcPr>
            <w:tcW w:w="1415" w:type="dxa"/>
            <w:vAlign w:val="center"/>
          </w:tcPr>
          <w:p w14:paraId="19DDA9EB">
            <w:pPr>
              <w:pStyle w:val="70"/>
              <w:rPr>
                <w:color w:val="000000" w:themeColor="text1"/>
                <w14:textFill>
                  <w14:solidFill>
                    <w14:schemeClr w14:val="tx1"/>
                  </w14:solidFill>
                </w14:textFill>
              </w:rPr>
            </w:pPr>
          </w:p>
        </w:tc>
        <w:tc>
          <w:tcPr>
            <w:tcW w:w="1132" w:type="dxa"/>
            <w:vAlign w:val="center"/>
          </w:tcPr>
          <w:p w14:paraId="3B35B4D5">
            <w:pPr>
              <w:pStyle w:val="70"/>
              <w:rPr>
                <w:color w:val="000000" w:themeColor="text1"/>
                <w14:textFill>
                  <w14:solidFill>
                    <w14:schemeClr w14:val="tx1"/>
                  </w14:solidFill>
                </w14:textFill>
              </w:rPr>
            </w:pPr>
          </w:p>
        </w:tc>
        <w:tc>
          <w:tcPr>
            <w:tcW w:w="1321" w:type="dxa"/>
            <w:vAlign w:val="center"/>
          </w:tcPr>
          <w:p w14:paraId="57969187">
            <w:pPr>
              <w:pStyle w:val="70"/>
              <w:rPr>
                <w:color w:val="000000" w:themeColor="text1"/>
                <w14:textFill>
                  <w14:solidFill>
                    <w14:schemeClr w14:val="tx1"/>
                  </w14:solidFill>
                </w14:textFill>
              </w:rPr>
            </w:pPr>
          </w:p>
        </w:tc>
        <w:tc>
          <w:tcPr>
            <w:tcW w:w="942" w:type="dxa"/>
            <w:vAlign w:val="center"/>
          </w:tcPr>
          <w:p w14:paraId="7351D930">
            <w:pPr>
              <w:pStyle w:val="70"/>
              <w:rPr>
                <w:color w:val="000000" w:themeColor="text1"/>
                <w14:textFill>
                  <w14:solidFill>
                    <w14:schemeClr w14:val="tx1"/>
                  </w14:solidFill>
                </w14:textFill>
              </w:rPr>
            </w:pPr>
            <w:r>
              <w:rPr>
                <w:color w:val="000000" w:themeColor="text1"/>
                <w14:textFill>
                  <w14:solidFill>
                    <w14:schemeClr w14:val="tx1"/>
                  </w14:solidFill>
                </w14:textFill>
              </w:rPr>
              <w:t>840</w:t>
            </w:r>
          </w:p>
        </w:tc>
        <w:tc>
          <w:tcPr>
            <w:tcW w:w="1108" w:type="dxa"/>
            <w:vAlign w:val="center"/>
          </w:tcPr>
          <w:p w14:paraId="75230C44">
            <w:pPr>
              <w:pStyle w:val="70"/>
              <w:rPr>
                <w:color w:val="000000" w:themeColor="text1"/>
                <w14:textFill>
                  <w14:solidFill>
                    <w14:schemeClr w14:val="tx1"/>
                  </w14:solidFill>
                </w14:textFill>
              </w:rPr>
            </w:pPr>
            <w:r>
              <w:rPr>
                <w:color w:val="000000" w:themeColor="text1"/>
                <w14:textFill>
                  <w14:solidFill>
                    <w14:schemeClr w14:val="tx1"/>
                  </w14:solidFill>
                </w14:textFill>
              </w:rPr>
              <w:t>达标</w:t>
            </w:r>
          </w:p>
        </w:tc>
      </w:tr>
      <w:tr w14:paraId="1F5E069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822" w:type="dxa"/>
            <w:vAlign w:val="center"/>
          </w:tcPr>
          <w:p w14:paraId="2FD1B28C">
            <w:pPr>
              <w:pStyle w:val="70"/>
              <w:rPr>
                <w:color w:val="000000" w:themeColor="text1"/>
                <w14:textFill>
                  <w14:solidFill>
                    <w14:schemeClr w14:val="tx1"/>
                  </w14:solidFill>
                </w14:textFill>
              </w:rPr>
            </w:pPr>
            <w:r>
              <w:rPr>
                <w:color w:val="000000" w:themeColor="text1"/>
                <w14:textFill>
                  <w14:solidFill>
                    <w14:schemeClr w14:val="tx1"/>
                  </w14:solidFill>
                </w14:textFill>
              </w:rPr>
              <w:t>1,1,2-三氯乙烷（μg/kg）</w:t>
            </w:r>
          </w:p>
        </w:tc>
        <w:tc>
          <w:tcPr>
            <w:tcW w:w="1415" w:type="dxa"/>
            <w:vAlign w:val="center"/>
          </w:tcPr>
          <w:p w14:paraId="381E9F08">
            <w:pPr>
              <w:pStyle w:val="70"/>
              <w:rPr>
                <w:color w:val="000000" w:themeColor="text1"/>
                <w14:textFill>
                  <w14:solidFill>
                    <w14:schemeClr w14:val="tx1"/>
                  </w14:solidFill>
                </w14:textFill>
              </w:rPr>
            </w:pPr>
          </w:p>
        </w:tc>
        <w:tc>
          <w:tcPr>
            <w:tcW w:w="1132" w:type="dxa"/>
            <w:vAlign w:val="center"/>
          </w:tcPr>
          <w:p w14:paraId="414558AD">
            <w:pPr>
              <w:pStyle w:val="70"/>
              <w:rPr>
                <w:color w:val="000000" w:themeColor="text1"/>
                <w14:textFill>
                  <w14:solidFill>
                    <w14:schemeClr w14:val="tx1"/>
                  </w14:solidFill>
                </w14:textFill>
              </w:rPr>
            </w:pPr>
          </w:p>
        </w:tc>
        <w:tc>
          <w:tcPr>
            <w:tcW w:w="1321" w:type="dxa"/>
            <w:vAlign w:val="center"/>
          </w:tcPr>
          <w:p w14:paraId="7E8CCD1B">
            <w:pPr>
              <w:pStyle w:val="70"/>
              <w:rPr>
                <w:color w:val="000000" w:themeColor="text1"/>
                <w14:textFill>
                  <w14:solidFill>
                    <w14:schemeClr w14:val="tx1"/>
                  </w14:solidFill>
                </w14:textFill>
              </w:rPr>
            </w:pPr>
          </w:p>
        </w:tc>
        <w:tc>
          <w:tcPr>
            <w:tcW w:w="942" w:type="dxa"/>
            <w:vAlign w:val="center"/>
          </w:tcPr>
          <w:p w14:paraId="11F41B7F">
            <w:pPr>
              <w:pStyle w:val="70"/>
              <w:rPr>
                <w:color w:val="000000" w:themeColor="text1"/>
                <w14:textFill>
                  <w14:solidFill>
                    <w14:schemeClr w14:val="tx1"/>
                  </w14:solidFill>
                </w14:textFill>
              </w:rPr>
            </w:pPr>
            <w:r>
              <w:rPr>
                <w:color w:val="000000" w:themeColor="text1"/>
                <w14:textFill>
                  <w14:solidFill>
                    <w14:schemeClr w14:val="tx1"/>
                  </w14:solidFill>
                </w14:textFill>
              </w:rPr>
              <w:t>2.8</w:t>
            </w:r>
          </w:p>
        </w:tc>
        <w:tc>
          <w:tcPr>
            <w:tcW w:w="1108" w:type="dxa"/>
            <w:vAlign w:val="center"/>
          </w:tcPr>
          <w:p w14:paraId="1486C5AE">
            <w:pPr>
              <w:pStyle w:val="70"/>
              <w:rPr>
                <w:color w:val="000000" w:themeColor="text1"/>
                <w14:textFill>
                  <w14:solidFill>
                    <w14:schemeClr w14:val="tx1"/>
                  </w14:solidFill>
                </w14:textFill>
              </w:rPr>
            </w:pPr>
            <w:r>
              <w:rPr>
                <w:color w:val="000000" w:themeColor="text1"/>
                <w14:textFill>
                  <w14:solidFill>
                    <w14:schemeClr w14:val="tx1"/>
                  </w14:solidFill>
                </w14:textFill>
              </w:rPr>
              <w:t>达标</w:t>
            </w:r>
          </w:p>
        </w:tc>
      </w:tr>
      <w:tr w14:paraId="7353E13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822" w:type="dxa"/>
            <w:vAlign w:val="center"/>
          </w:tcPr>
          <w:p w14:paraId="5EF46DA3">
            <w:pPr>
              <w:pStyle w:val="70"/>
              <w:rPr>
                <w:color w:val="000000" w:themeColor="text1"/>
                <w14:textFill>
                  <w14:solidFill>
                    <w14:schemeClr w14:val="tx1"/>
                  </w14:solidFill>
                </w14:textFill>
              </w:rPr>
            </w:pPr>
            <w:r>
              <w:rPr>
                <w:color w:val="000000" w:themeColor="text1"/>
                <w14:textFill>
                  <w14:solidFill>
                    <w14:schemeClr w14:val="tx1"/>
                  </w14:solidFill>
                </w14:textFill>
              </w:rPr>
              <w:t>三氯乙烯（μg/kg）</w:t>
            </w:r>
          </w:p>
        </w:tc>
        <w:tc>
          <w:tcPr>
            <w:tcW w:w="1415" w:type="dxa"/>
            <w:vAlign w:val="center"/>
          </w:tcPr>
          <w:p w14:paraId="6FE1609A">
            <w:pPr>
              <w:pStyle w:val="70"/>
              <w:rPr>
                <w:color w:val="000000" w:themeColor="text1"/>
                <w14:textFill>
                  <w14:solidFill>
                    <w14:schemeClr w14:val="tx1"/>
                  </w14:solidFill>
                </w14:textFill>
              </w:rPr>
            </w:pPr>
          </w:p>
        </w:tc>
        <w:tc>
          <w:tcPr>
            <w:tcW w:w="1132" w:type="dxa"/>
            <w:vAlign w:val="center"/>
          </w:tcPr>
          <w:p w14:paraId="396F686E">
            <w:pPr>
              <w:pStyle w:val="70"/>
              <w:rPr>
                <w:color w:val="000000" w:themeColor="text1"/>
                <w14:textFill>
                  <w14:solidFill>
                    <w14:schemeClr w14:val="tx1"/>
                  </w14:solidFill>
                </w14:textFill>
              </w:rPr>
            </w:pPr>
          </w:p>
        </w:tc>
        <w:tc>
          <w:tcPr>
            <w:tcW w:w="1321" w:type="dxa"/>
            <w:vAlign w:val="center"/>
          </w:tcPr>
          <w:p w14:paraId="191A924B">
            <w:pPr>
              <w:pStyle w:val="70"/>
              <w:rPr>
                <w:color w:val="000000" w:themeColor="text1"/>
                <w14:textFill>
                  <w14:solidFill>
                    <w14:schemeClr w14:val="tx1"/>
                  </w14:solidFill>
                </w14:textFill>
              </w:rPr>
            </w:pPr>
          </w:p>
        </w:tc>
        <w:tc>
          <w:tcPr>
            <w:tcW w:w="942" w:type="dxa"/>
            <w:vAlign w:val="center"/>
          </w:tcPr>
          <w:p w14:paraId="102E4F23">
            <w:pPr>
              <w:pStyle w:val="70"/>
              <w:rPr>
                <w:color w:val="000000" w:themeColor="text1"/>
                <w14:textFill>
                  <w14:solidFill>
                    <w14:schemeClr w14:val="tx1"/>
                  </w14:solidFill>
                </w14:textFill>
              </w:rPr>
            </w:pPr>
            <w:r>
              <w:rPr>
                <w:color w:val="000000" w:themeColor="text1"/>
                <w14:textFill>
                  <w14:solidFill>
                    <w14:schemeClr w14:val="tx1"/>
                  </w14:solidFill>
                </w14:textFill>
              </w:rPr>
              <w:t>2.8</w:t>
            </w:r>
          </w:p>
        </w:tc>
        <w:tc>
          <w:tcPr>
            <w:tcW w:w="1108" w:type="dxa"/>
            <w:vAlign w:val="center"/>
          </w:tcPr>
          <w:p w14:paraId="22F1098B">
            <w:pPr>
              <w:pStyle w:val="70"/>
              <w:rPr>
                <w:color w:val="000000" w:themeColor="text1"/>
                <w14:textFill>
                  <w14:solidFill>
                    <w14:schemeClr w14:val="tx1"/>
                  </w14:solidFill>
                </w14:textFill>
              </w:rPr>
            </w:pPr>
            <w:r>
              <w:rPr>
                <w:color w:val="000000" w:themeColor="text1"/>
                <w14:textFill>
                  <w14:solidFill>
                    <w14:schemeClr w14:val="tx1"/>
                  </w14:solidFill>
                </w14:textFill>
              </w:rPr>
              <w:t>达标</w:t>
            </w:r>
          </w:p>
        </w:tc>
      </w:tr>
      <w:tr w14:paraId="6050219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822" w:type="dxa"/>
            <w:vAlign w:val="center"/>
          </w:tcPr>
          <w:p w14:paraId="15442A53">
            <w:pPr>
              <w:pStyle w:val="70"/>
              <w:rPr>
                <w:color w:val="000000" w:themeColor="text1"/>
                <w14:textFill>
                  <w14:solidFill>
                    <w14:schemeClr w14:val="tx1"/>
                  </w14:solidFill>
                </w14:textFill>
              </w:rPr>
            </w:pPr>
            <w:r>
              <w:rPr>
                <w:color w:val="000000" w:themeColor="text1"/>
                <w14:textFill>
                  <w14:solidFill>
                    <w14:schemeClr w14:val="tx1"/>
                  </w14:solidFill>
                </w14:textFill>
              </w:rPr>
              <w:t>1,2,3-三氯丙烷（μg/kg）</w:t>
            </w:r>
          </w:p>
        </w:tc>
        <w:tc>
          <w:tcPr>
            <w:tcW w:w="1415" w:type="dxa"/>
            <w:vAlign w:val="center"/>
          </w:tcPr>
          <w:p w14:paraId="30086951">
            <w:pPr>
              <w:pStyle w:val="70"/>
              <w:rPr>
                <w:color w:val="000000" w:themeColor="text1"/>
                <w14:textFill>
                  <w14:solidFill>
                    <w14:schemeClr w14:val="tx1"/>
                  </w14:solidFill>
                </w14:textFill>
              </w:rPr>
            </w:pPr>
          </w:p>
        </w:tc>
        <w:tc>
          <w:tcPr>
            <w:tcW w:w="1132" w:type="dxa"/>
            <w:vAlign w:val="center"/>
          </w:tcPr>
          <w:p w14:paraId="66D836D3">
            <w:pPr>
              <w:pStyle w:val="70"/>
              <w:rPr>
                <w:color w:val="000000" w:themeColor="text1"/>
                <w14:textFill>
                  <w14:solidFill>
                    <w14:schemeClr w14:val="tx1"/>
                  </w14:solidFill>
                </w14:textFill>
              </w:rPr>
            </w:pPr>
          </w:p>
        </w:tc>
        <w:tc>
          <w:tcPr>
            <w:tcW w:w="1321" w:type="dxa"/>
            <w:vAlign w:val="center"/>
          </w:tcPr>
          <w:p w14:paraId="31C9714A">
            <w:pPr>
              <w:pStyle w:val="70"/>
              <w:rPr>
                <w:color w:val="000000" w:themeColor="text1"/>
                <w14:textFill>
                  <w14:solidFill>
                    <w14:schemeClr w14:val="tx1"/>
                  </w14:solidFill>
                </w14:textFill>
              </w:rPr>
            </w:pPr>
          </w:p>
        </w:tc>
        <w:tc>
          <w:tcPr>
            <w:tcW w:w="942" w:type="dxa"/>
            <w:vAlign w:val="center"/>
          </w:tcPr>
          <w:p w14:paraId="4E5434AE">
            <w:pPr>
              <w:pStyle w:val="70"/>
              <w:rPr>
                <w:color w:val="000000" w:themeColor="text1"/>
                <w14:textFill>
                  <w14:solidFill>
                    <w14:schemeClr w14:val="tx1"/>
                  </w14:solidFill>
                </w14:textFill>
              </w:rPr>
            </w:pPr>
            <w:r>
              <w:rPr>
                <w:color w:val="000000" w:themeColor="text1"/>
                <w14:textFill>
                  <w14:solidFill>
                    <w14:schemeClr w14:val="tx1"/>
                  </w14:solidFill>
                </w14:textFill>
              </w:rPr>
              <w:t>0.5</w:t>
            </w:r>
          </w:p>
        </w:tc>
        <w:tc>
          <w:tcPr>
            <w:tcW w:w="1108" w:type="dxa"/>
            <w:vAlign w:val="center"/>
          </w:tcPr>
          <w:p w14:paraId="504C1F21">
            <w:pPr>
              <w:pStyle w:val="70"/>
              <w:rPr>
                <w:color w:val="000000" w:themeColor="text1"/>
                <w14:textFill>
                  <w14:solidFill>
                    <w14:schemeClr w14:val="tx1"/>
                  </w14:solidFill>
                </w14:textFill>
              </w:rPr>
            </w:pPr>
            <w:r>
              <w:rPr>
                <w:color w:val="000000" w:themeColor="text1"/>
                <w14:textFill>
                  <w14:solidFill>
                    <w14:schemeClr w14:val="tx1"/>
                  </w14:solidFill>
                </w14:textFill>
              </w:rPr>
              <w:t>达标</w:t>
            </w:r>
          </w:p>
        </w:tc>
      </w:tr>
      <w:tr w14:paraId="4357646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822" w:type="dxa"/>
            <w:vAlign w:val="center"/>
          </w:tcPr>
          <w:p w14:paraId="497EDC69">
            <w:pPr>
              <w:pStyle w:val="70"/>
              <w:rPr>
                <w:color w:val="000000" w:themeColor="text1"/>
                <w14:textFill>
                  <w14:solidFill>
                    <w14:schemeClr w14:val="tx1"/>
                  </w14:solidFill>
                </w14:textFill>
              </w:rPr>
            </w:pPr>
            <w:r>
              <w:rPr>
                <w:color w:val="000000" w:themeColor="text1"/>
                <w14:textFill>
                  <w14:solidFill>
                    <w14:schemeClr w14:val="tx1"/>
                  </w14:solidFill>
                </w14:textFill>
              </w:rPr>
              <w:t>氯乙烯（μg/kg）</w:t>
            </w:r>
          </w:p>
        </w:tc>
        <w:tc>
          <w:tcPr>
            <w:tcW w:w="1415" w:type="dxa"/>
            <w:vAlign w:val="center"/>
          </w:tcPr>
          <w:p w14:paraId="2AF62298">
            <w:pPr>
              <w:pStyle w:val="70"/>
              <w:rPr>
                <w:color w:val="000000" w:themeColor="text1"/>
                <w14:textFill>
                  <w14:solidFill>
                    <w14:schemeClr w14:val="tx1"/>
                  </w14:solidFill>
                </w14:textFill>
              </w:rPr>
            </w:pPr>
          </w:p>
        </w:tc>
        <w:tc>
          <w:tcPr>
            <w:tcW w:w="1132" w:type="dxa"/>
            <w:vAlign w:val="center"/>
          </w:tcPr>
          <w:p w14:paraId="7A132829">
            <w:pPr>
              <w:pStyle w:val="70"/>
              <w:rPr>
                <w:color w:val="000000" w:themeColor="text1"/>
                <w14:textFill>
                  <w14:solidFill>
                    <w14:schemeClr w14:val="tx1"/>
                  </w14:solidFill>
                </w14:textFill>
              </w:rPr>
            </w:pPr>
          </w:p>
        </w:tc>
        <w:tc>
          <w:tcPr>
            <w:tcW w:w="1321" w:type="dxa"/>
            <w:vAlign w:val="center"/>
          </w:tcPr>
          <w:p w14:paraId="079FB8EC">
            <w:pPr>
              <w:pStyle w:val="70"/>
              <w:rPr>
                <w:color w:val="000000" w:themeColor="text1"/>
                <w14:textFill>
                  <w14:solidFill>
                    <w14:schemeClr w14:val="tx1"/>
                  </w14:solidFill>
                </w14:textFill>
              </w:rPr>
            </w:pPr>
          </w:p>
        </w:tc>
        <w:tc>
          <w:tcPr>
            <w:tcW w:w="942" w:type="dxa"/>
            <w:vAlign w:val="center"/>
          </w:tcPr>
          <w:p w14:paraId="141D9654">
            <w:pPr>
              <w:pStyle w:val="70"/>
              <w:rPr>
                <w:color w:val="000000" w:themeColor="text1"/>
                <w14:textFill>
                  <w14:solidFill>
                    <w14:schemeClr w14:val="tx1"/>
                  </w14:solidFill>
                </w14:textFill>
              </w:rPr>
            </w:pPr>
            <w:r>
              <w:rPr>
                <w:color w:val="000000" w:themeColor="text1"/>
                <w14:textFill>
                  <w14:solidFill>
                    <w14:schemeClr w14:val="tx1"/>
                  </w14:solidFill>
                </w14:textFill>
              </w:rPr>
              <w:t>0.43</w:t>
            </w:r>
          </w:p>
        </w:tc>
        <w:tc>
          <w:tcPr>
            <w:tcW w:w="1108" w:type="dxa"/>
            <w:vAlign w:val="center"/>
          </w:tcPr>
          <w:p w14:paraId="4351A6AB">
            <w:pPr>
              <w:pStyle w:val="70"/>
              <w:rPr>
                <w:color w:val="000000" w:themeColor="text1"/>
                <w14:textFill>
                  <w14:solidFill>
                    <w14:schemeClr w14:val="tx1"/>
                  </w14:solidFill>
                </w14:textFill>
              </w:rPr>
            </w:pPr>
            <w:r>
              <w:rPr>
                <w:color w:val="000000" w:themeColor="text1"/>
                <w14:textFill>
                  <w14:solidFill>
                    <w14:schemeClr w14:val="tx1"/>
                  </w14:solidFill>
                </w14:textFill>
              </w:rPr>
              <w:t>达标</w:t>
            </w:r>
          </w:p>
        </w:tc>
      </w:tr>
      <w:tr w14:paraId="12B31EC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822" w:type="dxa"/>
            <w:vAlign w:val="center"/>
          </w:tcPr>
          <w:p w14:paraId="2F506484">
            <w:pPr>
              <w:pStyle w:val="70"/>
              <w:rPr>
                <w:color w:val="000000" w:themeColor="text1"/>
                <w14:textFill>
                  <w14:solidFill>
                    <w14:schemeClr w14:val="tx1"/>
                  </w14:solidFill>
                </w14:textFill>
              </w:rPr>
            </w:pPr>
            <w:r>
              <w:rPr>
                <w:color w:val="000000" w:themeColor="text1"/>
                <w14:textFill>
                  <w14:solidFill>
                    <w14:schemeClr w14:val="tx1"/>
                  </w14:solidFill>
                </w14:textFill>
              </w:rPr>
              <w:t>氯苯（μg/kg）</w:t>
            </w:r>
          </w:p>
        </w:tc>
        <w:tc>
          <w:tcPr>
            <w:tcW w:w="1415" w:type="dxa"/>
            <w:vAlign w:val="center"/>
          </w:tcPr>
          <w:p w14:paraId="01B5B400">
            <w:pPr>
              <w:pStyle w:val="70"/>
              <w:rPr>
                <w:color w:val="000000" w:themeColor="text1"/>
                <w14:textFill>
                  <w14:solidFill>
                    <w14:schemeClr w14:val="tx1"/>
                  </w14:solidFill>
                </w14:textFill>
              </w:rPr>
            </w:pPr>
          </w:p>
        </w:tc>
        <w:tc>
          <w:tcPr>
            <w:tcW w:w="1132" w:type="dxa"/>
            <w:vAlign w:val="center"/>
          </w:tcPr>
          <w:p w14:paraId="32A7D94A">
            <w:pPr>
              <w:pStyle w:val="70"/>
              <w:rPr>
                <w:color w:val="000000" w:themeColor="text1"/>
                <w14:textFill>
                  <w14:solidFill>
                    <w14:schemeClr w14:val="tx1"/>
                  </w14:solidFill>
                </w14:textFill>
              </w:rPr>
            </w:pPr>
          </w:p>
        </w:tc>
        <w:tc>
          <w:tcPr>
            <w:tcW w:w="1321" w:type="dxa"/>
            <w:vAlign w:val="center"/>
          </w:tcPr>
          <w:p w14:paraId="7ACAEB05">
            <w:pPr>
              <w:pStyle w:val="70"/>
              <w:rPr>
                <w:color w:val="000000" w:themeColor="text1"/>
                <w14:textFill>
                  <w14:solidFill>
                    <w14:schemeClr w14:val="tx1"/>
                  </w14:solidFill>
                </w14:textFill>
              </w:rPr>
            </w:pPr>
          </w:p>
        </w:tc>
        <w:tc>
          <w:tcPr>
            <w:tcW w:w="942" w:type="dxa"/>
            <w:vAlign w:val="center"/>
          </w:tcPr>
          <w:p w14:paraId="7ECEDA78">
            <w:pPr>
              <w:pStyle w:val="70"/>
              <w:rPr>
                <w:color w:val="000000" w:themeColor="text1"/>
                <w14:textFill>
                  <w14:solidFill>
                    <w14:schemeClr w14:val="tx1"/>
                  </w14:solidFill>
                </w14:textFill>
              </w:rPr>
            </w:pPr>
            <w:r>
              <w:rPr>
                <w:color w:val="000000" w:themeColor="text1"/>
                <w14:textFill>
                  <w14:solidFill>
                    <w14:schemeClr w14:val="tx1"/>
                  </w14:solidFill>
                </w14:textFill>
              </w:rPr>
              <w:t>270</w:t>
            </w:r>
          </w:p>
        </w:tc>
        <w:tc>
          <w:tcPr>
            <w:tcW w:w="1108" w:type="dxa"/>
            <w:vAlign w:val="center"/>
          </w:tcPr>
          <w:p w14:paraId="23777C97">
            <w:pPr>
              <w:pStyle w:val="70"/>
              <w:rPr>
                <w:color w:val="000000" w:themeColor="text1"/>
                <w14:textFill>
                  <w14:solidFill>
                    <w14:schemeClr w14:val="tx1"/>
                  </w14:solidFill>
                </w14:textFill>
              </w:rPr>
            </w:pPr>
            <w:r>
              <w:rPr>
                <w:color w:val="000000" w:themeColor="text1"/>
                <w14:textFill>
                  <w14:solidFill>
                    <w14:schemeClr w14:val="tx1"/>
                  </w14:solidFill>
                </w14:textFill>
              </w:rPr>
              <w:t>达标</w:t>
            </w:r>
          </w:p>
        </w:tc>
      </w:tr>
      <w:tr w14:paraId="39F4041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822" w:type="dxa"/>
            <w:vAlign w:val="center"/>
          </w:tcPr>
          <w:p w14:paraId="183E141B">
            <w:pPr>
              <w:pStyle w:val="70"/>
              <w:rPr>
                <w:color w:val="000000" w:themeColor="text1"/>
                <w14:textFill>
                  <w14:solidFill>
                    <w14:schemeClr w14:val="tx1"/>
                  </w14:solidFill>
                </w14:textFill>
              </w:rPr>
            </w:pPr>
            <w:r>
              <w:rPr>
                <w:color w:val="000000" w:themeColor="text1"/>
                <w14:textFill>
                  <w14:solidFill>
                    <w14:schemeClr w14:val="tx1"/>
                  </w14:solidFill>
                </w14:textFill>
              </w:rPr>
              <w:t>1,2-二氯苯（μg/kg）</w:t>
            </w:r>
          </w:p>
        </w:tc>
        <w:tc>
          <w:tcPr>
            <w:tcW w:w="1415" w:type="dxa"/>
            <w:vAlign w:val="center"/>
          </w:tcPr>
          <w:p w14:paraId="3DBB557A">
            <w:pPr>
              <w:pStyle w:val="70"/>
              <w:rPr>
                <w:color w:val="000000" w:themeColor="text1"/>
                <w14:textFill>
                  <w14:solidFill>
                    <w14:schemeClr w14:val="tx1"/>
                  </w14:solidFill>
                </w14:textFill>
              </w:rPr>
            </w:pPr>
          </w:p>
        </w:tc>
        <w:tc>
          <w:tcPr>
            <w:tcW w:w="1132" w:type="dxa"/>
            <w:vAlign w:val="center"/>
          </w:tcPr>
          <w:p w14:paraId="618C7AC3">
            <w:pPr>
              <w:pStyle w:val="70"/>
              <w:rPr>
                <w:color w:val="000000" w:themeColor="text1"/>
                <w14:textFill>
                  <w14:solidFill>
                    <w14:schemeClr w14:val="tx1"/>
                  </w14:solidFill>
                </w14:textFill>
              </w:rPr>
            </w:pPr>
          </w:p>
        </w:tc>
        <w:tc>
          <w:tcPr>
            <w:tcW w:w="1321" w:type="dxa"/>
            <w:vAlign w:val="center"/>
          </w:tcPr>
          <w:p w14:paraId="050CDE75">
            <w:pPr>
              <w:pStyle w:val="70"/>
              <w:rPr>
                <w:color w:val="000000" w:themeColor="text1"/>
                <w14:textFill>
                  <w14:solidFill>
                    <w14:schemeClr w14:val="tx1"/>
                  </w14:solidFill>
                </w14:textFill>
              </w:rPr>
            </w:pPr>
          </w:p>
        </w:tc>
        <w:tc>
          <w:tcPr>
            <w:tcW w:w="942" w:type="dxa"/>
            <w:vAlign w:val="center"/>
          </w:tcPr>
          <w:p w14:paraId="1A2E9949">
            <w:pPr>
              <w:pStyle w:val="70"/>
              <w:rPr>
                <w:color w:val="000000" w:themeColor="text1"/>
                <w14:textFill>
                  <w14:solidFill>
                    <w14:schemeClr w14:val="tx1"/>
                  </w14:solidFill>
                </w14:textFill>
              </w:rPr>
            </w:pPr>
            <w:r>
              <w:rPr>
                <w:color w:val="000000" w:themeColor="text1"/>
                <w14:textFill>
                  <w14:solidFill>
                    <w14:schemeClr w14:val="tx1"/>
                  </w14:solidFill>
                </w14:textFill>
              </w:rPr>
              <w:t>560</w:t>
            </w:r>
          </w:p>
        </w:tc>
        <w:tc>
          <w:tcPr>
            <w:tcW w:w="1108" w:type="dxa"/>
            <w:vAlign w:val="center"/>
          </w:tcPr>
          <w:p w14:paraId="16256814">
            <w:pPr>
              <w:pStyle w:val="70"/>
              <w:rPr>
                <w:color w:val="000000" w:themeColor="text1"/>
                <w14:textFill>
                  <w14:solidFill>
                    <w14:schemeClr w14:val="tx1"/>
                  </w14:solidFill>
                </w14:textFill>
              </w:rPr>
            </w:pPr>
            <w:r>
              <w:rPr>
                <w:color w:val="000000" w:themeColor="text1"/>
                <w14:textFill>
                  <w14:solidFill>
                    <w14:schemeClr w14:val="tx1"/>
                  </w14:solidFill>
                </w14:textFill>
              </w:rPr>
              <w:t>达标</w:t>
            </w:r>
          </w:p>
        </w:tc>
      </w:tr>
      <w:tr w14:paraId="3D67AFA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822" w:type="dxa"/>
            <w:vAlign w:val="center"/>
          </w:tcPr>
          <w:p w14:paraId="43DCEA48">
            <w:pPr>
              <w:pStyle w:val="70"/>
              <w:rPr>
                <w:color w:val="000000" w:themeColor="text1"/>
                <w14:textFill>
                  <w14:solidFill>
                    <w14:schemeClr w14:val="tx1"/>
                  </w14:solidFill>
                </w14:textFill>
              </w:rPr>
            </w:pPr>
            <w:r>
              <w:rPr>
                <w:color w:val="000000" w:themeColor="text1"/>
                <w14:textFill>
                  <w14:solidFill>
                    <w14:schemeClr w14:val="tx1"/>
                  </w14:solidFill>
                </w14:textFill>
              </w:rPr>
              <w:t>1,4-二氯苯（μg/kg）</w:t>
            </w:r>
          </w:p>
        </w:tc>
        <w:tc>
          <w:tcPr>
            <w:tcW w:w="1415" w:type="dxa"/>
            <w:vAlign w:val="center"/>
          </w:tcPr>
          <w:p w14:paraId="6AEBB53D">
            <w:pPr>
              <w:pStyle w:val="70"/>
              <w:rPr>
                <w:color w:val="000000" w:themeColor="text1"/>
                <w14:textFill>
                  <w14:solidFill>
                    <w14:schemeClr w14:val="tx1"/>
                  </w14:solidFill>
                </w14:textFill>
              </w:rPr>
            </w:pPr>
          </w:p>
        </w:tc>
        <w:tc>
          <w:tcPr>
            <w:tcW w:w="1132" w:type="dxa"/>
            <w:vAlign w:val="center"/>
          </w:tcPr>
          <w:p w14:paraId="38F7402B">
            <w:pPr>
              <w:pStyle w:val="70"/>
              <w:rPr>
                <w:color w:val="000000" w:themeColor="text1"/>
                <w14:textFill>
                  <w14:solidFill>
                    <w14:schemeClr w14:val="tx1"/>
                  </w14:solidFill>
                </w14:textFill>
              </w:rPr>
            </w:pPr>
          </w:p>
        </w:tc>
        <w:tc>
          <w:tcPr>
            <w:tcW w:w="1321" w:type="dxa"/>
            <w:vAlign w:val="center"/>
          </w:tcPr>
          <w:p w14:paraId="49CE776A">
            <w:pPr>
              <w:pStyle w:val="70"/>
              <w:rPr>
                <w:color w:val="000000" w:themeColor="text1"/>
                <w14:textFill>
                  <w14:solidFill>
                    <w14:schemeClr w14:val="tx1"/>
                  </w14:solidFill>
                </w14:textFill>
              </w:rPr>
            </w:pPr>
          </w:p>
        </w:tc>
        <w:tc>
          <w:tcPr>
            <w:tcW w:w="942" w:type="dxa"/>
            <w:vAlign w:val="center"/>
          </w:tcPr>
          <w:p w14:paraId="7307A0E7">
            <w:pPr>
              <w:pStyle w:val="70"/>
              <w:rPr>
                <w:color w:val="000000" w:themeColor="text1"/>
                <w14:textFill>
                  <w14:solidFill>
                    <w14:schemeClr w14:val="tx1"/>
                  </w14:solidFill>
                </w14:textFill>
              </w:rPr>
            </w:pPr>
            <w:r>
              <w:rPr>
                <w:color w:val="000000" w:themeColor="text1"/>
                <w14:textFill>
                  <w14:solidFill>
                    <w14:schemeClr w14:val="tx1"/>
                  </w14:solidFill>
                </w14:textFill>
              </w:rPr>
              <w:t>20</w:t>
            </w:r>
          </w:p>
        </w:tc>
        <w:tc>
          <w:tcPr>
            <w:tcW w:w="1108" w:type="dxa"/>
            <w:vAlign w:val="center"/>
          </w:tcPr>
          <w:p w14:paraId="4F304C09">
            <w:pPr>
              <w:pStyle w:val="70"/>
              <w:rPr>
                <w:color w:val="000000" w:themeColor="text1"/>
                <w14:textFill>
                  <w14:solidFill>
                    <w14:schemeClr w14:val="tx1"/>
                  </w14:solidFill>
                </w14:textFill>
              </w:rPr>
            </w:pPr>
            <w:r>
              <w:rPr>
                <w:color w:val="000000" w:themeColor="text1"/>
                <w14:textFill>
                  <w14:solidFill>
                    <w14:schemeClr w14:val="tx1"/>
                  </w14:solidFill>
                </w14:textFill>
              </w:rPr>
              <w:t>达标</w:t>
            </w:r>
          </w:p>
        </w:tc>
      </w:tr>
      <w:tr w14:paraId="15E052A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822" w:type="dxa"/>
            <w:vAlign w:val="center"/>
          </w:tcPr>
          <w:p w14:paraId="6D92C7AF">
            <w:pPr>
              <w:pStyle w:val="70"/>
              <w:rPr>
                <w:color w:val="000000" w:themeColor="text1"/>
                <w14:textFill>
                  <w14:solidFill>
                    <w14:schemeClr w14:val="tx1"/>
                  </w14:solidFill>
                </w14:textFill>
              </w:rPr>
            </w:pPr>
            <w:r>
              <w:rPr>
                <w:color w:val="000000" w:themeColor="text1"/>
                <w14:textFill>
                  <w14:solidFill>
                    <w14:schemeClr w14:val="tx1"/>
                  </w14:solidFill>
                </w14:textFill>
              </w:rPr>
              <w:t>乙苯（μg/kg）</w:t>
            </w:r>
          </w:p>
        </w:tc>
        <w:tc>
          <w:tcPr>
            <w:tcW w:w="1415" w:type="dxa"/>
            <w:vAlign w:val="center"/>
          </w:tcPr>
          <w:p w14:paraId="5D828C69">
            <w:pPr>
              <w:pStyle w:val="70"/>
              <w:rPr>
                <w:color w:val="000000" w:themeColor="text1"/>
                <w14:textFill>
                  <w14:solidFill>
                    <w14:schemeClr w14:val="tx1"/>
                  </w14:solidFill>
                </w14:textFill>
              </w:rPr>
            </w:pPr>
          </w:p>
        </w:tc>
        <w:tc>
          <w:tcPr>
            <w:tcW w:w="1132" w:type="dxa"/>
            <w:vAlign w:val="center"/>
          </w:tcPr>
          <w:p w14:paraId="6D8C32B4">
            <w:pPr>
              <w:pStyle w:val="70"/>
              <w:rPr>
                <w:color w:val="000000" w:themeColor="text1"/>
                <w14:textFill>
                  <w14:solidFill>
                    <w14:schemeClr w14:val="tx1"/>
                  </w14:solidFill>
                </w14:textFill>
              </w:rPr>
            </w:pPr>
          </w:p>
        </w:tc>
        <w:tc>
          <w:tcPr>
            <w:tcW w:w="1321" w:type="dxa"/>
            <w:vAlign w:val="center"/>
          </w:tcPr>
          <w:p w14:paraId="57A52FED">
            <w:pPr>
              <w:pStyle w:val="70"/>
              <w:rPr>
                <w:color w:val="000000" w:themeColor="text1"/>
                <w14:textFill>
                  <w14:solidFill>
                    <w14:schemeClr w14:val="tx1"/>
                  </w14:solidFill>
                </w14:textFill>
              </w:rPr>
            </w:pPr>
          </w:p>
        </w:tc>
        <w:tc>
          <w:tcPr>
            <w:tcW w:w="942" w:type="dxa"/>
            <w:vAlign w:val="center"/>
          </w:tcPr>
          <w:p w14:paraId="61EDF4BD">
            <w:pPr>
              <w:pStyle w:val="70"/>
              <w:rPr>
                <w:color w:val="000000" w:themeColor="text1"/>
                <w14:textFill>
                  <w14:solidFill>
                    <w14:schemeClr w14:val="tx1"/>
                  </w14:solidFill>
                </w14:textFill>
              </w:rPr>
            </w:pPr>
            <w:r>
              <w:rPr>
                <w:color w:val="000000" w:themeColor="text1"/>
                <w14:textFill>
                  <w14:solidFill>
                    <w14:schemeClr w14:val="tx1"/>
                  </w14:solidFill>
                </w14:textFill>
              </w:rPr>
              <w:t>28</w:t>
            </w:r>
          </w:p>
        </w:tc>
        <w:tc>
          <w:tcPr>
            <w:tcW w:w="1108" w:type="dxa"/>
            <w:vAlign w:val="center"/>
          </w:tcPr>
          <w:p w14:paraId="7E995B0B">
            <w:pPr>
              <w:pStyle w:val="70"/>
              <w:rPr>
                <w:color w:val="000000" w:themeColor="text1"/>
                <w14:textFill>
                  <w14:solidFill>
                    <w14:schemeClr w14:val="tx1"/>
                  </w14:solidFill>
                </w14:textFill>
              </w:rPr>
            </w:pPr>
            <w:r>
              <w:rPr>
                <w:color w:val="000000" w:themeColor="text1"/>
                <w14:textFill>
                  <w14:solidFill>
                    <w14:schemeClr w14:val="tx1"/>
                  </w14:solidFill>
                </w14:textFill>
              </w:rPr>
              <w:t>达标</w:t>
            </w:r>
          </w:p>
        </w:tc>
      </w:tr>
    </w:tbl>
    <w:p w14:paraId="2506CA6D">
      <w:pPr>
        <w:pStyle w:val="5"/>
        <w:rPr>
          <w:color w:val="000000" w:themeColor="text1"/>
          <w14:textFill>
            <w14:solidFill>
              <w14:schemeClr w14:val="tx1"/>
            </w14:solidFill>
          </w14:textFill>
        </w:rPr>
      </w:pPr>
      <w:bookmarkStart w:id="622" w:name="_Toc216620559"/>
      <w:bookmarkStart w:id="623" w:name="_Toc136878495"/>
      <w:bookmarkStart w:id="624" w:name="_Toc135090233"/>
      <w:r>
        <w:rPr>
          <w:color w:val="000000" w:themeColor="text1"/>
          <w14:textFill>
            <w14:solidFill>
              <w14:schemeClr w14:val="tx1"/>
            </w14:solidFill>
          </w14:textFill>
        </w:rPr>
        <w:t>海洋环境质量现状调查与评价</w:t>
      </w:r>
      <w:bookmarkEnd w:id="612"/>
      <w:bookmarkEnd w:id="613"/>
      <w:bookmarkEnd w:id="614"/>
      <w:bookmarkEnd w:id="622"/>
      <w:bookmarkEnd w:id="623"/>
      <w:bookmarkEnd w:id="624"/>
    </w:p>
    <w:p w14:paraId="11CAE17F">
      <w:pPr>
        <w:pStyle w:val="4"/>
        <w:rPr>
          <w:color w:val="000000" w:themeColor="text1"/>
          <w14:textFill>
            <w14:solidFill>
              <w14:schemeClr w14:val="tx1"/>
            </w14:solidFill>
          </w14:textFill>
        </w:rPr>
      </w:pPr>
      <w:bookmarkStart w:id="625" w:name="_Toc216620560"/>
      <w:bookmarkStart w:id="626" w:name="_Toc136878496"/>
      <w:r>
        <w:rPr>
          <w:color w:val="000000" w:themeColor="text1"/>
          <w14:textFill>
            <w14:solidFill>
              <w14:schemeClr w14:val="tx1"/>
            </w14:solidFill>
          </w14:textFill>
        </w:rPr>
        <w:t>调查时间及调查站位</w:t>
      </w:r>
      <w:bookmarkEnd w:id="625"/>
      <w:bookmarkEnd w:id="626"/>
    </w:p>
    <w:p w14:paraId="5B5F43DF">
      <w:pPr>
        <w:ind w:firstLine="480"/>
        <w:rPr>
          <w:color w:val="000000" w:themeColor="text1"/>
          <w14:textFill>
            <w14:solidFill>
              <w14:schemeClr w14:val="tx1"/>
            </w14:solidFill>
          </w14:textFill>
        </w:rPr>
      </w:pPr>
      <w:r>
        <w:rPr>
          <w:color w:val="000000" w:themeColor="text1"/>
          <w14:textFill>
            <w14:solidFill>
              <w14:schemeClr w14:val="tx1"/>
            </w14:solidFill>
          </w14:textFill>
        </w:rPr>
        <w:t>本次评价海洋环境调查资料引用《</w:t>
      </w:r>
      <w:r>
        <w:rPr>
          <w:rFonts w:hint="eastAsia"/>
          <w:color w:val="000000" w:themeColor="text1"/>
          <w14:textFill>
            <w14:solidFill>
              <w14:schemeClr w14:val="tx1"/>
            </w14:solidFill>
          </w14:textFill>
        </w:rPr>
        <w:t>广西自贸区逸海港务有限责任公司2025年环境委托监测项目监测报告》（2025年11月19日 ）</w:t>
      </w:r>
      <w:r>
        <w:rPr>
          <w:color w:val="000000" w:themeColor="text1"/>
          <w14:textFill>
            <w14:solidFill>
              <w14:schemeClr w14:val="tx1"/>
            </w14:solidFill>
          </w14:textFill>
        </w:rPr>
        <w:t>的调查监测结果，调查站位</w:t>
      </w:r>
      <w:r>
        <w:rPr>
          <w:rFonts w:hint="eastAsia"/>
          <w:color w:val="000000" w:themeColor="text1"/>
          <w14:textFill>
            <w14:solidFill>
              <w14:schemeClr w14:val="tx1"/>
            </w14:solidFill>
          </w14:textFill>
        </w:rPr>
        <w:t>图见附图5，监测报告见附件6</w:t>
      </w:r>
      <w:r>
        <w:rPr>
          <w:color w:val="000000" w:themeColor="text1"/>
          <w14:textFill>
            <w14:solidFill>
              <w14:schemeClr w14:val="tx1"/>
            </w14:solidFill>
          </w14:textFill>
        </w:rPr>
        <w:t>：</w:t>
      </w:r>
    </w:p>
    <w:p w14:paraId="55BAFFB2">
      <w:pPr>
        <w:pStyle w:val="7"/>
        <w:rPr>
          <w:color w:val="000000" w:themeColor="text1"/>
          <w14:textFill>
            <w14:solidFill>
              <w14:schemeClr w14:val="tx1"/>
            </w14:solidFill>
          </w14:textFill>
        </w:rPr>
      </w:pPr>
      <w:r>
        <w:rPr>
          <w:color w:val="000000" w:themeColor="text1"/>
          <w14:textFill>
            <w14:solidFill>
              <w14:schemeClr w14:val="tx1"/>
            </w14:solidFill>
          </w14:textFill>
        </w:rPr>
        <w:t>202</w:t>
      </w:r>
      <w:r>
        <w:rPr>
          <w:rFonts w:hint="eastAsia"/>
          <w:color w:val="000000" w:themeColor="text1"/>
          <w14:textFill>
            <w14:solidFill>
              <w14:schemeClr w14:val="tx1"/>
            </w14:solidFill>
          </w14:textFill>
        </w:rPr>
        <w:t>5</w:t>
      </w:r>
      <w:r>
        <w:rPr>
          <w:color w:val="000000" w:themeColor="text1"/>
          <w14:textFill>
            <w14:solidFill>
              <w14:schemeClr w14:val="tx1"/>
            </w14:solidFill>
          </w14:textFill>
        </w:rPr>
        <w:t>年</w:t>
      </w:r>
      <w:r>
        <w:rPr>
          <w:rFonts w:hint="eastAsia"/>
          <w:color w:val="000000" w:themeColor="text1"/>
          <w14:textFill>
            <w14:solidFill>
              <w14:schemeClr w14:val="tx1"/>
            </w14:solidFill>
          </w14:textFill>
        </w:rPr>
        <w:t>11</w:t>
      </w:r>
      <w:r>
        <w:rPr>
          <w:color w:val="000000" w:themeColor="text1"/>
          <w14:textFill>
            <w14:solidFill>
              <w14:schemeClr w14:val="tx1"/>
            </w14:solidFill>
          </w14:textFill>
        </w:rPr>
        <w:t>月海洋生态环境调查站位坐标及监测项目</w:t>
      </w:r>
    </w:p>
    <w:tbl>
      <w:tblPr>
        <w:tblStyle w:val="44"/>
        <w:tblW w:w="0" w:type="auto"/>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4254"/>
        <w:gridCol w:w="4268"/>
      </w:tblGrid>
      <w:tr w14:paraId="6B33931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3" w:hRule="atLeast"/>
        </w:trPr>
        <w:tc>
          <w:tcPr>
            <w:tcW w:w="4493" w:type="dxa"/>
          </w:tcPr>
          <w:p w14:paraId="33D70AA8">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监测点位</w:t>
            </w:r>
          </w:p>
        </w:tc>
        <w:tc>
          <w:tcPr>
            <w:tcW w:w="4493" w:type="dxa"/>
          </w:tcPr>
          <w:p w14:paraId="5BBD70AD">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监测项目</w:t>
            </w:r>
          </w:p>
        </w:tc>
      </w:tr>
      <w:tr w14:paraId="2F671BF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493" w:type="dxa"/>
          </w:tcPr>
          <w:p w14:paraId="49261FAD">
            <w:pPr>
              <w:pStyle w:val="70"/>
              <w:rPr>
                <w:color w:val="000000" w:themeColor="text1"/>
                <w14:textFill>
                  <w14:solidFill>
                    <w14:schemeClr w14:val="tx1"/>
                  </w14:solidFill>
                </w14:textFill>
              </w:rPr>
            </w:pPr>
          </w:p>
          <w:p w14:paraId="5D4B268D">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S1、S2、S3、S4、S5</w:t>
            </w:r>
          </w:p>
        </w:tc>
        <w:tc>
          <w:tcPr>
            <w:tcW w:w="4493" w:type="dxa"/>
          </w:tcPr>
          <w:p w14:paraId="75D6CBE5">
            <w:pPr>
              <w:pStyle w:val="70"/>
              <w:rPr>
                <w:color w:val="000000" w:themeColor="text1"/>
                <w14:textFill>
                  <w14:solidFill>
                    <w14:schemeClr w14:val="tx1"/>
                  </w14:solidFill>
                </w14:textFill>
              </w:rPr>
            </w:pPr>
            <w:r>
              <w:rPr>
                <w:color w:val="000000" w:themeColor="text1"/>
                <w14:textFill>
                  <w14:solidFill>
                    <w14:schemeClr w14:val="tx1"/>
                  </w14:solidFill>
                </w14:textFill>
              </w:rPr>
              <w:t>水温、盐度、pH、悬浮物、COD、溶解氧、BOD、活性磷酸盐、油类、</w:t>
            </w:r>
            <w:r>
              <w:rPr>
                <w:color w:val="000000" w:themeColor="text1"/>
                <w:lang w:val="zh-CN"/>
                <w14:textFill>
                  <w14:solidFill>
                    <w14:schemeClr w14:val="tx1"/>
                  </w14:solidFill>
                </w14:textFill>
              </w:rPr>
              <w:t>硫化物、</w:t>
            </w:r>
            <w:r>
              <w:rPr>
                <w:rFonts w:hint="eastAsia"/>
                <w:color w:val="000000" w:themeColor="text1"/>
                <w14:textFill>
                  <w14:solidFill>
                    <w14:schemeClr w14:val="tx1"/>
                  </w14:solidFill>
                </w14:textFill>
              </w:rPr>
              <w:t>无机氮、</w:t>
            </w:r>
            <w:r>
              <w:rPr>
                <w:color w:val="000000" w:themeColor="text1"/>
                <w:lang w:val="zh-CN"/>
                <w14:textFill>
                  <w14:solidFill>
                    <w14:schemeClr w14:val="tx1"/>
                  </w14:solidFill>
                </w14:textFill>
              </w:rPr>
              <w:t>铜</w:t>
            </w:r>
            <w:r>
              <w:rPr>
                <w:color w:val="000000" w:themeColor="text1"/>
                <w14:textFill>
                  <w14:solidFill>
                    <w14:schemeClr w14:val="tx1"/>
                  </w14:solidFill>
                </w14:textFill>
              </w:rPr>
              <w:t>、铅、锌、镉</w:t>
            </w:r>
            <w:r>
              <w:rPr>
                <w:color w:val="000000" w:themeColor="text1"/>
                <w:lang w:val="zh-CN"/>
                <w14:textFill>
                  <w14:solidFill>
                    <w14:schemeClr w14:val="tx1"/>
                  </w14:solidFill>
                </w14:textFill>
              </w:rPr>
              <w:t>、总铬、汞、砷</w:t>
            </w:r>
          </w:p>
        </w:tc>
      </w:tr>
    </w:tbl>
    <w:p w14:paraId="5BE59DC5">
      <w:pPr>
        <w:pStyle w:val="4"/>
        <w:rPr>
          <w:color w:val="000000" w:themeColor="text1"/>
          <w:lang w:val="zh-CN"/>
          <w14:textFill>
            <w14:solidFill>
              <w14:schemeClr w14:val="tx1"/>
            </w14:solidFill>
          </w14:textFill>
        </w:rPr>
      </w:pPr>
      <w:bookmarkStart w:id="627" w:name="8.3.1水质环境质量状况"/>
      <w:bookmarkEnd w:id="627"/>
      <w:bookmarkStart w:id="628" w:name="_Toc216620561"/>
      <w:bookmarkStart w:id="629" w:name="_Toc136878497"/>
      <w:r>
        <w:rPr>
          <w:color w:val="000000" w:themeColor="text1"/>
          <w:lang w:val="zh-CN"/>
          <w14:textFill>
            <w14:solidFill>
              <w14:schemeClr w14:val="tx1"/>
            </w14:solidFill>
          </w14:textFill>
        </w:rPr>
        <w:t>水质环境质量调查</w:t>
      </w:r>
      <w:bookmarkEnd w:id="628"/>
      <w:bookmarkEnd w:id="629"/>
    </w:p>
    <w:p w14:paraId="6B43C7F9">
      <w:pPr>
        <w:ind w:firstLine="480"/>
        <w:rPr>
          <w:color w:val="000000" w:themeColor="text1"/>
          <w:lang w:val="zh-CN" w:bidi="zh-CN"/>
          <w14:textFill>
            <w14:solidFill>
              <w14:schemeClr w14:val="tx1"/>
            </w14:solidFill>
          </w14:textFill>
        </w:rPr>
      </w:pPr>
      <w:r>
        <w:rPr>
          <w:color w:val="000000" w:themeColor="text1"/>
          <w:lang w:val="zh-CN" w:bidi="zh-CN"/>
          <w14:textFill>
            <w14:solidFill>
              <w14:schemeClr w14:val="tx1"/>
            </w14:solidFill>
          </w14:textFill>
        </w:rPr>
        <w:t>1、监测项目和调查分析方法</w:t>
      </w:r>
    </w:p>
    <w:p w14:paraId="532656FC">
      <w:pPr>
        <w:ind w:firstLine="480"/>
        <w:rPr>
          <w:color w:val="000000" w:themeColor="text1"/>
          <w14:textFill>
            <w14:solidFill>
              <w14:schemeClr w14:val="tx1"/>
            </w14:solidFill>
          </w14:textFill>
        </w:rPr>
      </w:pPr>
      <w:r>
        <w:rPr>
          <w:color w:val="000000" w:themeColor="text1"/>
          <w14:textFill>
            <w14:solidFill>
              <w14:schemeClr w14:val="tx1"/>
            </w14:solidFill>
          </w14:textFill>
        </w:rPr>
        <w:t>监测项目主要有水温、盐度、pH、悬浮物、COD、溶解氧、BOD、活性磷酸盐、油类、</w:t>
      </w:r>
      <w:r>
        <w:rPr>
          <w:color w:val="000000" w:themeColor="text1"/>
          <w:spacing w:val="-17"/>
          <w:lang w:val="zh-CN" w:bidi="zh-CN"/>
          <w14:textFill>
            <w14:solidFill>
              <w14:schemeClr w14:val="tx1"/>
            </w14:solidFill>
          </w14:textFill>
        </w:rPr>
        <w:t>硫化物、</w:t>
      </w:r>
      <w:r>
        <w:rPr>
          <w:rFonts w:hint="eastAsia"/>
          <w:color w:val="000000" w:themeColor="text1"/>
          <w:spacing w:val="-17"/>
          <w:lang w:bidi="zh-CN"/>
          <w14:textFill>
            <w14:solidFill>
              <w14:schemeClr w14:val="tx1"/>
            </w14:solidFill>
          </w14:textFill>
        </w:rPr>
        <w:t>无机氮、</w:t>
      </w:r>
      <w:r>
        <w:rPr>
          <w:color w:val="000000" w:themeColor="text1"/>
          <w:spacing w:val="-17"/>
          <w:lang w:val="zh-CN" w:bidi="zh-CN"/>
          <w14:textFill>
            <w14:solidFill>
              <w14:schemeClr w14:val="tx1"/>
            </w14:solidFill>
          </w14:textFill>
        </w:rPr>
        <w:t>铜</w:t>
      </w:r>
      <w:r>
        <w:rPr>
          <w:color w:val="000000" w:themeColor="text1"/>
          <w14:textFill>
            <w14:solidFill>
              <w14:schemeClr w14:val="tx1"/>
            </w14:solidFill>
          </w14:textFill>
        </w:rPr>
        <w:t>、铅、锌、镉</w:t>
      </w:r>
      <w:r>
        <w:rPr>
          <w:color w:val="000000" w:themeColor="text1"/>
          <w:spacing w:val="-1"/>
          <w:lang w:val="zh-CN" w:bidi="zh-CN"/>
          <w14:textFill>
            <w14:solidFill>
              <w14:schemeClr w14:val="tx1"/>
            </w14:solidFill>
          </w14:textFill>
        </w:rPr>
        <w:t>、总铬、汞、砷</w:t>
      </w:r>
      <w:r>
        <w:rPr>
          <w:color w:val="000000" w:themeColor="text1"/>
          <w:spacing w:val="-17"/>
          <w:lang w:val="zh-CN" w:bidi="zh-CN"/>
          <w14:textFill>
            <w14:solidFill>
              <w14:schemeClr w14:val="tx1"/>
            </w14:solidFill>
          </w14:textFill>
        </w:rPr>
        <w:t>共</w:t>
      </w:r>
      <w:r>
        <w:rPr>
          <w:rFonts w:hint="eastAsia" w:eastAsiaTheme="minorEastAsia"/>
          <w:color w:val="000000" w:themeColor="text1"/>
          <w:spacing w:val="-3"/>
          <w:lang w:bidi="zh-CN"/>
          <w14:textFill>
            <w14:solidFill>
              <w14:schemeClr w14:val="tx1"/>
            </w14:solidFill>
          </w14:textFill>
        </w:rPr>
        <w:t>18</w:t>
      </w:r>
      <w:r>
        <w:rPr>
          <w:color w:val="000000" w:themeColor="text1"/>
          <w:spacing w:val="-20"/>
          <w:lang w:val="zh-CN" w:bidi="zh-CN"/>
          <w14:textFill>
            <w14:solidFill>
              <w14:schemeClr w14:val="tx1"/>
            </w14:solidFill>
          </w14:textFill>
        </w:rPr>
        <w:t>项。</w:t>
      </w:r>
    </w:p>
    <w:p w14:paraId="256B49B6">
      <w:pPr>
        <w:ind w:firstLine="480"/>
        <w:rPr>
          <w:color w:val="000000" w:themeColor="text1"/>
          <w14:textFill>
            <w14:solidFill>
              <w14:schemeClr w14:val="tx1"/>
            </w14:solidFill>
          </w14:textFill>
        </w:rPr>
      </w:pPr>
      <w:r>
        <w:rPr>
          <w:color w:val="000000" w:themeColor="text1"/>
          <w14:textFill>
            <w14:solidFill>
              <w14:schemeClr w14:val="tx1"/>
            </w14:solidFill>
          </w14:textFill>
        </w:rPr>
        <w:t>水质调查和分析方法按《海洋监测规范》（GB17378-2007）进行。</w:t>
      </w:r>
    </w:p>
    <w:p w14:paraId="5BD29429">
      <w:pPr>
        <w:ind w:firstLine="480"/>
        <w:rPr>
          <w:color w:val="000000" w:themeColor="text1"/>
          <w:lang w:val="zh-CN" w:bidi="zh-CN"/>
          <w14:textFill>
            <w14:solidFill>
              <w14:schemeClr w14:val="tx1"/>
            </w14:solidFill>
          </w14:textFill>
        </w:rPr>
      </w:pPr>
      <w:bookmarkStart w:id="630" w:name="8.3.1.2水质现状调查结果"/>
      <w:bookmarkEnd w:id="630"/>
      <w:r>
        <w:rPr>
          <w:color w:val="000000" w:themeColor="text1"/>
          <w:lang w:val="zh-CN" w:bidi="zh-CN"/>
          <w14:textFill>
            <w14:solidFill>
              <w14:schemeClr w14:val="tx1"/>
            </w14:solidFill>
          </w14:textFill>
        </w:rPr>
        <w:t>2、评价方法和标准</w:t>
      </w:r>
    </w:p>
    <w:p w14:paraId="076089D2">
      <w:pPr>
        <w:ind w:firstLine="480"/>
        <w:rPr>
          <w:color w:val="000000" w:themeColor="text1"/>
          <w:lang w:val="zh-CN" w:bidi="zh-CN"/>
          <w14:textFill>
            <w14:solidFill>
              <w14:schemeClr w14:val="tx1"/>
            </w14:solidFill>
          </w14:textFill>
        </w:rPr>
      </w:pPr>
      <w:r>
        <w:rPr>
          <w:color w:val="000000" w:themeColor="text1"/>
          <w:lang w:val="zh-CN" w:bidi="zh-CN"/>
          <w14:textFill>
            <w14:solidFill>
              <w14:schemeClr w14:val="tx1"/>
            </w14:solidFill>
          </w14:textFill>
        </w:rPr>
        <w:t>水质评价方法为单项指数超标分类法。</w:t>
      </w:r>
    </w:p>
    <w:p w14:paraId="6D633431">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海水水质：根据《广西壮族自治区近岸海域环境功能区划调整方案》（桂环发〔2023〕9号），S1、S2、S4点位执行海水水质执行《海水水质标准》（GB3097-1997）第二类标准；S3点位执行海水水质执行《海水水质标准》（GB3097-1997）第四类标准；S5点位位于茅尾海红树林自然保护区（七十二泾片区），执行海水水质执行《海水水质标准》（GB3097-1997）第一类标准。</w:t>
      </w:r>
    </w:p>
    <w:p w14:paraId="191C1EFF">
      <w:pPr>
        <w:ind w:firstLine="480"/>
        <w:rPr>
          <w:color w:val="000000" w:themeColor="text1"/>
          <w:lang w:val="zh-CN" w:bidi="zh-CN"/>
          <w14:textFill>
            <w14:solidFill>
              <w14:schemeClr w14:val="tx1"/>
            </w14:solidFill>
          </w14:textFill>
        </w:rPr>
      </w:pPr>
      <w:r>
        <w:rPr>
          <w:color w:val="000000" w:themeColor="text1"/>
          <w:lang w:val="zh-CN" w:bidi="zh-CN"/>
          <w14:textFill>
            <w14:solidFill>
              <w14:schemeClr w14:val="tx1"/>
            </w14:solidFill>
          </w14:textFill>
        </w:rPr>
        <w:t>3、水质现状调查结果</w:t>
      </w:r>
    </w:p>
    <w:p w14:paraId="6CCD3423">
      <w:pPr>
        <w:ind w:firstLine="480"/>
        <w:rPr>
          <w:color w:val="000000" w:themeColor="text1"/>
          <w:lang w:val="zh-CN" w:bidi="zh-CN"/>
          <w14:textFill>
            <w14:solidFill>
              <w14:schemeClr w14:val="tx1"/>
            </w14:solidFill>
          </w14:textFill>
        </w:rPr>
      </w:pPr>
      <w:r>
        <w:rPr>
          <w:color w:val="000000" w:themeColor="text1"/>
          <w:lang w:val="zh-CN" w:bidi="zh-CN"/>
          <w14:textFill>
            <w14:solidFill>
              <w14:schemeClr w14:val="tx1"/>
            </w14:solidFill>
          </w14:textFill>
        </w:rPr>
        <w:t>海水水质调查结果见如下表</w:t>
      </w:r>
      <w:r>
        <w:rPr>
          <w:rFonts w:hint="eastAsia"/>
          <w:color w:val="000000" w:themeColor="text1"/>
          <w:lang w:val="zh-CN" w:bidi="zh-CN"/>
          <w14:textFill>
            <w14:solidFill>
              <w14:schemeClr w14:val="tx1"/>
            </w14:solidFill>
          </w14:textFill>
        </w:rPr>
        <w:t>3.7-2</w:t>
      </w:r>
      <w:r>
        <w:rPr>
          <w:color w:val="000000" w:themeColor="text1"/>
          <w:lang w:val="zh-CN" w:bidi="zh-CN"/>
          <w14:textFill>
            <w14:solidFill>
              <w14:schemeClr w14:val="tx1"/>
            </w14:solidFill>
          </w14:textFill>
        </w:rPr>
        <w:t>。</w:t>
      </w:r>
    </w:p>
    <w:p w14:paraId="4D6455D7">
      <w:pPr>
        <w:pStyle w:val="177"/>
        <w:ind w:firstLine="480"/>
        <w:rPr>
          <w:rFonts w:hint="default" w:ascii="Times New Roman" w:hAnsi="Times New Roman" w:eastAsia="宋体"/>
          <w:color w:val="000000" w:themeColor="text1"/>
          <w:position w:val="0"/>
          <w:highlight w:val="none"/>
          <w:u w:val="none" w:color="auto"/>
          <w:lang w:val="en-US" w:eastAsia="zh-CN"/>
          <w14:textFill>
            <w14:solidFill>
              <w14:schemeClr w14:val="tx1"/>
            </w14:solidFill>
          </w14:textFill>
        </w:rPr>
      </w:pPr>
      <w:r>
        <w:rPr>
          <w:rFonts w:hint="eastAsia"/>
          <w:color w:val="000000" w:themeColor="text1"/>
          <w:u w:val="single"/>
          <w14:textFill>
            <w14:solidFill>
              <w14:schemeClr w14:val="tx1"/>
            </w14:solidFill>
          </w14:textFill>
        </w:rPr>
        <w:t>根据海水水质监测结果，区域海水水质除S1、S2、S5点位的活性磷酸盐，S5点位的无机氮指标超标外，其余指标均能满足《海水水质标准》（GB3097-1997）相应标准限值。区域海洋环境中的无机氮、活性磷酸盐指标本底值已存在不同程度的超标情况，主要由于内陆河流带入污染物及沿海排污口排污导致。</w:t>
      </w:r>
    </w:p>
    <w:p w14:paraId="2C66D7FC">
      <w:pPr>
        <w:ind w:firstLine="480"/>
        <w:rPr>
          <w:color w:val="000000" w:themeColor="text1"/>
          <w:u w:val="single"/>
          <w14:textFill>
            <w14:solidFill>
              <w14:schemeClr w14:val="tx1"/>
            </w14:solidFill>
          </w14:textFill>
        </w:rPr>
        <w:sectPr>
          <w:headerReference r:id="rId26" w:type="first"/>
          <w:footerReference r:id="rId28" w:type="first"/>
          <w:headerReference r:id="rId24" w:type="default"/>
          <w:headerReference r:id="rId25" w:type="even"/>
          <w:footerReference r:id="rId27" w:type="even"/>
          <w:pgSz w:w="11906" w:h="16838"/>
          <w:pgMar w:top="1440" w:right="1800" w:bottom="1440" w:left="1800" w:header="851" w:footer="680" w:gutter="0"/>
          <w:pgBorders>
            <w:top w:val="none" w:sz="0" w:space="0"/>
            <w:left w:val="none" w:sz="0" w:space="0"/>
            <w:bottom w:val="none" w:sz="0" w:space="0"/>
            <w:right w:val="none" w:sz="0" w:space="0"/>
          </w:pgBorders>
          <w:pgNumType w:fmt="numberInDash"/>
          <w:cols w:space="720" w:num="1"/>
          <w:docGrid w:type="lines" w:linePitch="312" w:charSpace="0"/>
        </w:sectPr>
      </w:pPr>
    </w:p>
    <w:p w14:paraId="7D636EFB">
      <w:pPr>
        <w:pStyle w:val="7"/>
        <w:rPr>
          <w:color w:val="000000" w:themeColor="text1"/>
          <w14:textFill>
            <w14:solidFill>
              <w14:schemeClr w14:val="tx1"/>
            </w14:solidFill>
          </w14:textFill>
        </w:rPr>
      </w:pPr>
      <w:bookmarkStart w:id="631" w:name="8.3.1.3水质现状评价"/>
      <w:bookmarkEnd w:id="631"/>
      <w:r>
        <w:rPr>
          <w:rFonts w:hint="eastAsia"/>
          <w:color w:val="000000" w:themeColor="text1"/>
          <w14:textFill>
            <w14:solidFill>
              <w14:schemeClr w14:val="tx1"/>
            </w14:solidFill>
          </w14:textFill>
        </w:rPr>
        <w:t>海水水质检测结果一览表</w:t>
      </w:r>
    </w:p>
    <w:tbl>
      <w:tblPr>
        <w:tblStyle w:val="72"/>
        <w:tblW w:w="5006" w:type="pct"/>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
      <w:tblGrid>
        <w:gridCol w:w="1010"/>
        <w:gridCol w:w="721"/>
        <w:gridCol w:w="721"/>
        <w:gridCol w:w="721"/>
        <w:gridCol w:w="721"/>
        <w:gridCol w:w="721"/>
        <w:gridCol w:w="721"/>
        <w:gridCol w:w="722"/>
        <w:gridCol w:w="722"/>
        <w:gridCol w:w="722"/>
        <w:gridCol w:w="722"/>
        <w:gridCol w:w="722"/>
        <w:gridCol w:w="722"/>
        <w:gridCol w:w="722"/>
        <w:gridCol w:w="722"/>
        <w:gridCol w:w="722"/>
        <w:gridCol w:w="722"/>
        <w:gridCol w:w="722"/>
        <w:gridCol w:w="727"/>
      </w:tblGrid>
      <w:tr w14:paraId="5EDE9FCB">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601" w:type="dxa"/>
            <w:vMerge w:val="restart"/>
            <w:vAlign w:val="center"/>
          </w:tcPr>
          <w:p w14:paraId="17159B5E">
            <w:pPr>
              <w:autoSpaceDE w:val="0"/>
              <w:autoSpaceDN w:val="0"/>
              <w:spacing w:line="240" w:lineRule="auto"/>
              <w:ind w:firstLine="0" w:firstLineChars="0"/>
              <w:jc w:val="center"/>
              <w:rPr>
                <w:rFonts w:asciiTheme="minorHAnsi" w:hAnsiTheme="minorHAnsi" w:eastAsiaTheme="minorEastAsia" w:cstheme="minorBidi"/>
                <w:b/>
                <w:bCs/>
                <w:color w:val="000000" w:themeColor="text1"/>
                <w:sz w:val="21"/>
                <w:lang w:eastAsia="en-US"/>
                <w14:textFill>
                  <w14:solidFill>
                    <w14:schemeClr w14:val="tx1"/>
                  </w14:solidFill>
                </w14:textFill>
              </w:rPr>
            </w:pPr>
            <w:r>
              <w:rPr>
                <w:rFonts w:asciiTheme="minorHAnsi" w:hAnsiTheme="minorHAnsi" w:eastAsiaTheme="minorEastAsia" w:cstheme="minorBidi"/>
                <w:b/>
                <w:bCs/>
                <w:color w:val="000000" w:themeColor="text1"/>
                <w:spacing w:val="7"/>
                <w:sz w:val="21"/>
                <w:lang w:eastAsia="en-US"/>
                <w14:textFill>
                  <w14:solidFill>
                    <w14:schemeClr w14:val="tx1"/>
                  </w14:solidFill>
                </w14:textFill>
              </w:rPr>
              <w:t>监测站位</w:t>
            </w:r>
          </w:p>
        </w:tc>
        <w:tc>
          <w:tcPr>
            <w:tcW w:w="429" w:type="dxa"/>
            <w:vAlign w:val="center"/>
          </w:tcPr>
          <w:p w14:paraId="5DAED6F0">
            <w:pPr>
              <w:autoSpaceDE w:val="0"/>
              <w:autoSpaceDN w:val="0"/>
              <w:spacing w:line="240" w:lineRule="auto"/>
              <w:ind w:firstLine="0" w:firstLineChars="0"/>
              <w:jc w:val="center"/>
              <w:rPr>
                <w:rFonts w:asciiTheme="minorHAnsi" w:hAnsiTheme="minorHAnsi" w:eastAsiaTheme="minorEastAsia" w:cstheme="minorBidi"/>
                <w:b/>
                <w:bCs/>
                <w:color w:val="000000" w:themeColor="text1"/>
                <w:sz w:val="21"/>
                <w:lang w:eastAsia="en-US"/>
                <w14:textFill>
                  <w14:solidFill>
                    <w14:schemeClr w14:val="tx1"/>
                  </w14:solidFill>
                </w14:textFill>
              </w:rPr>
            </w:pPr>
            <w:r>
              <w:rPr>
                <w:rFonts w:asciiTheme="minorHAnsi" w:hAnsiTheme="minorHAnsi" w:eastAsiaTheme="minorEastAsia" w:cstheme="minorBidi"/>
                <w:b/>
                <w:bCs/>
                <w:color w:val="000000" w:themeColor="text1"/>
                <w:sz w:val="21"/>
                <w:lang w:eastAsia="en-US"/>
                <w14:textFill>
                  <w14:solidFill>
                    <w14:schemeClr w14:val="tx1"/>
                  </w14:solidFill>
                </w14:textFill>
              </w:rPr>
              <w:t>水温</w:t>
            </w:r>
          </w:p>
        </w:tc>
        <w:tc>
          <w:tcPr>
            <w:tcW w:w="429" w:type="dxa"/>
            <w:vAlign w:val="center"/>
          </w:tcPr>
          <w:p w14:paraId="613ADF9B">
            <w:pPr>
              <w:autoSpaceDE w:val="0"/>
              <w:autoSpaceDN w:val="0"/>
              <w:spacing w:line="240" w:lineRule="auto"/>
              <w:ind w:firstLine="0" w:firstLineChars="0"/>
              <w:jc w:val="center"/>
              <w:rPr>
                <w:rFonts w:asciiTheme="minorHAnsi" w:hAnsiTheme="minorHAnsi" w:eastAsiaTheme="minorEastAsia" w:cstheme="minorBidi"/>
                <w:b/>
                <w:bCs/>
                <w:color w:val="000000" w:themeColor="text1"/>
                <w:sz w:val="21"/>
                <w:lang w:eastAsia="en-US"/>
                <w14:textFill>
                  <w14:solidFill>
                    <w14:schemeClr w14:val="tx1"/>
                  </w14:solidFill>
                </w14:textFill>
              </w:rPr>
            </w:pPr>
            <w:r>
              <w:rPr>
                <w:rFonts w:asciiTheme="minorHAnsi" w:hAnsiTheme="minorHAnsi" w:eastAsiaTheme="minorEastAsia" w:cstheme="minorBidi"/>
                <w:b/>
                <w:bCs/>
                <w:color w:val="000000" w:themeColor="text1"/>
                <w:sz w:val="21"/>
                <w:lang w:eastAsia="en-US"/>
                <w14:textFill>
                  <w14:solidFill>
                    <w14:schemeClr w14:val="tx1"/>
                  </w14:solidFill>
                </w14:textFill>
              </w:rPr>
              <w:t>盐度</w:t>
            </w:r>
          </w:p>
        </w:tc>
        <w:tc>
          <w:tcPr>
            <w:tcW w:w="429" w:type="dxa"/>
            <w:vAlign w:val="center"/>
          </w:tcPr>
          <w:p w14:paraId="6EC87CDF">
            <w:pPr>
              <w:autoSpaceDE w:val="0"/>
              <w:autoSpaceDN w:val="0"/>
              <w:spacing w:line="240" w:lineRule="auto"/>
              <w:ind w:firstLine="0" w:firstLineChars="0"/>
              <w:jc w:val="center"/>
              <w:rPr>
                <w:rFonts w:asciiTheme="minorHAnsi" w:hAnsiTheme="minorHAnsi" w:eastAsiaTheme="minorEastAsia" w:cstheme="minorBidi"/>
                <w:b/>
                <w:bCs/>
                <w:color w:val="000000" w:themeColor="text1"/>
                <w:sz w:val="21"/>
                <w:lang w:eastAsia="en-US"/>
                <w14:textFill>
                  <w14:solidFill>
                    <w14:schemeClr w14:val="tx1"/>
                  </w14:solidFill>
                </w14:textFill>
              </w:rPr>
            </w:pPr>
            <w:r>
              <w:rPr>
                <w:rFonts w:asciiTheme="minorHAnsi" w:hAnsiTheme="minorHAnsi" w:eastAsiaTheme="minorEastAsia" w:cstheme="minorBidi"/>
                <w:b/>
                <w:bCs/>
                <w:color w:val="000000" w:themeColor="text1"/>
                <w:sz w:val="21"/>
                <w:lang w:eastAsia="en-US"/>
                <w14:textFill>
                  <w14:solidFill>
                    <w14:schemeClr w14:val="tx1"/>
                  </w14:solidFill>
                </w14:textFill>
              </w:rPr>
              <w:t>PH值</w:t>
            </w:r>
          </w:p>
        </w:tc>
        <w:tc>
          <w:tcPr>
            <w:tcW w:w="429" w:type="dxa"/>
            <w:vAlign w:val="center"/>
          </w:tcPr>
          <w:p w14:paraId="356E51F2">
            <w:pPr>
              <w:autoSpaceDE w:val="0"/>
              <w:autoSpaceDN w:val="0"/>
              <w:spacing w:line="240" w:lineRule="auto"/>
              <w:ind w:firstLine="0" w:firstLineChars="0"/>
              <w:jc w:val="center"/>
              <w:rPr>
                <w:rFonts w:asciiTheme="minorHAnsi" w:hAnsiTheme="minorHAnsi" w:eastAsiaTheme="minorEastAsia" w:cstheme="minorBidi"/>
                <w:b/>
                <w:bCs/>
                <w:color w:val="000000" w:themeColor="text1"/>
                <w:sz w:val="21"/>
                <w:lang w:eastAsia="en-US"/>
                <w14:textFill>
                  <w14:solidFill>
                    <w14:schemeClr w14:val="tx1"/>
                  </w14:solidFill>
                </w14:textFill>
              </w:rPr>
            </w:pPr>
            <w:r>
              <w:rPr>
                <w:rFonts w:asciiTheme="minorHAnsi" w:hAnsiTheme="minorHAnsi" w:eastAsiaTheme="minorEastAsia" w:cstheme="minorBidi"/>
                <w:b/>
                <w:bCs/>
                <w:color w:val="000000" w:themeColor="text1"/>
                <w:sz w:val="21"/>
                <w:lang w:eastAsia="en-US"/>
                <w14:textFill>
                  <w14:solidFill>
                    <w14:schemeClr w14:val="tx1"/>
                  </w14:solidFill>
                </w14:textFill>
              </w:rPr>
              <w:t>悬浮物</w:t>
            </w:r>
          </w:p>
        </w:tc>
        <w:tc>
          <w:tcPr>
            <w:tcW w:w="429" w:type="dxa"/>
            <w:vAlign w:val="center"/>
          </w:tcPr>
          <w:p w14:paraId="1043D8B3">
            <w:pPr>
              <w:autoSpaceDE w:val="0"/>
              <w:autoSpaceDN w:val="0"/>
              <w:spacing w:line="240" w:lineRule="auto"/>
              <w:ind w:firstLine="0" w:firstLineChars="0"/>
              <w:jc w:val="center"/>
              <w:rPr>
                <w:rFonts w:asciiTheme="minorHAnsi" w:hAnsiTheme="minorHAnsi" w:eastAsiaTheme="minorEastAsia" w:cstheme="minorBidi"/>
                <w:b/>
                <w:bCs/>
                <w:color w:val="000000" w:themeColor="text1"/>
                <w:sz w:val="21"/>
                <w:lang w:eastAsia="en-US"/>
                <w14:textFill>
                  <w14:solidFill>
                    <w14:schemeClr w14:val="tx1"/>
                  </w14:solidFill>
                </w14:textFill>
              </w:rPr>
            </w:pPr>
            <w:r>
              <w:rPr>
                <w:rFonts w:asciiTheme="minorHAnsi" w:hAnsiTheme="minorHAnsi" w:eastAsiaTheme="minorEastAsia" w:cstheme="minorBidi"/>
                <w:b/>
                <w:bCs/>
                <w:color w:val="000000" w:themeColor="text1"/>
                <w:sz w:val="21"/>
                <w:lang w:eastAsia="en-US"/>
                <w14:textFill>
                  <w14:solidFill>
                    <w14:schemeClr w14:val="tx1"/>
                  </w14:solidFill>
                </w14:textFill>
              </w:rPr>
              <w:t>溶解氧</w:t>
            </w:r>
          </w:p>
        </w:tc>
        <w:tc>
          <w:tcPr>
            <w:tcW w:w="429" w:type="dxa"/>
            <w:vAlign w:val="center"/>
          </w:tcPr>
          <w:p w14:paraId="0CC874D0">
            <w:pPr>
              <w:autoSpaceDE w:val="0"/>
              <w:autoSpaceDN w:val="0"/>
              <w:spacing w:line="240" w:lineRule="auto"/>
              <w:ind w:firstLine="0" w:firstLineChars="0"/>
              <w:jc w:val="center"/>
              <w:rPr>
                <w:rFonts w:asciiTheme="minorHAnsi" w:hAnsiTheme="minorHAnsi" w:eastAsiaTheme="minorEastAsia" w:cstheme="minorBidi"/>
                <w:b/>
                <w:bCs/>
                <w:color w:val="000000" w:themeColor="text1"/>
                <w:sz w:val="21"/>
                <w:lang w:eastAsia="en-US"/>
                <w14:textFill>
                  <w14:solidFill>
                    <w14:schemeClr w14:val="tx1"/>
                  </w14:solidFill>
                </w14:textFill>
              </w:rPr>
            </w:pPr>
            <w:r>
              <w:rPr>
                <w:rFonts w:asciiTheme="minorHAnsi" w:hAnsiTheme="minorHAnsi" w:eastAsiaTheme="minorEastAsia" w:cstheme="minorBidi"/>
                <w:b/>
                <w:bCs/>
                <w:color w:val="000000" w:themeColor="text1"/>
                <w:sz w:val="21"/>
                <w:lang w:eastAsia="en-US"/>
                <w14:textFill>
                  <w14:solidFill>
                    <w14:schemeClr w14:val="tx1"/>
                  </w14:solidFill>
                </w14:textFill>
              </w:rPr>
              <w:t>化学需氧量</w:t>
            </w:r>
          </w:p>
        </w:tc>
        <w:tc>
          <w:tcPr>
            <w:tcW w:w="429" w:type="dxa"/>
            <w:vAlign w:val="center"/>
          </w:tcPr>
          <w:p w14:paraId="30412FDC">
            <w:pPr>
              <w:autoSpaceDE w:val="0"/>
              <w:autoSpaceDN w:val="0"/>
              <w:spacing w:line="240" w:lineRule="auto"/>
              <w:ind w:firstLine="0" w:firstLineChars="0"/>
              <w:jc w:val="center"/>
              <w:rPr>
                <w:rFonts w:asciiTheme="minorHAnsi" w:hAnsiTheme="minorHAnsi" w:eastAsiaTheme="minorEastAsia" w:cstheme="minorBidi"/>
                <w:b/>
                <w:bCs/>
                <w:color w:val="000000" w:themeColor="text1"/>
                <w:sz w:val="21"/>
                <w:lang w:eastAsia="en-US"/>
                <w14:textFill>
                  <w14:solidFill>
                    <w14:schemeClr w14:val="tx1"/>
                  </w14:solidFill>
                </w14:textFill>
              </w:rPr>
            </w:pPr>
            <w:r>
              <w:rPr>
                <w:rFonts w:asciiTheme="minorHAnsi" w:hAnsiTheme="minorHAnsi" w:eastAsiaTheme="minorEastAsia" w:cstheme="minorBidi"/>
                <w:b/>
                <w:bCs/>
                <w:color w:val="000000" w:themeColor="text1"/>
                <w:sz w:val="21"/>
                <w:lang w:eastAsia="en-US"/>
                <w14:textFill>
                  <w14:solidFill>
                    <w14:schemeClr w14:val="tx1"/>
                  </w14:solidFill>
                </w14:textFill>
              </w:rPr>
              <w:t>生化需氧量</w:t>
            </w:r>
          </w:p>
        </w:tc>
        <w:tc>
          <w:tcPr>
            <w:tcW w:w="429" w:type="dxa"/>
            <w:vAlign w:val="center"/>
          </w:tcPr>
          <w:p w14:paraId="3FFC95B5">
            <w:pPr>
              <w:autoSpaceDE w:val="0"/>
              <w:autoSpaceDN w:val="0"/>
              <w:spacing w:line="240" w:lineRule="auto"/>
              <w:ind w:firstLine="0" w:firstLineChars="0"/>
              <w:jc w:val="center"/>
              <w:rPr>
                <w:rFonts w:asciiTheme="minorHAnsi" w:hAnsiTheme="minorHAnsi" w:eastAsiaTheme="minorEastAsia" w:cstheme="minorBidi"/>
                <w:b/>
                <w:bCs/>
                <w:color w:val="000000" w:themeColor="text1"/>
                <w:sz w:val="21"/>
                <w:lang w:eastAsia="en-US"/>
                <w14:textFill>
                  <w14:solidFill>
                    <w14:schemeClr w14:val="tx1"/>
                  </w14:solidFill>
                </w14:textFill>
              </w:rPr>
            </w:pPr>
            <w:r>
              <w:rPr>
                <w:rFonts w:asciiTheme="minorHAnsi" w:hAnsiTheme="minorHAnsi" w:eastAsiaTheme="minorEastAsia" w:cstheme="minorBidi"/>
                <w:b/>
                <w:bCs/>
                <w:color w:val="000000" w:themeColor="text1"/>
                <w:sz w:val="21"/>
                <w:lang w:eastAsia="en-US"/>
                <w14:textFill>
                  <w14:solidFill>
                    <w14:schemeClr w14:val="tx1"/>
                  </w14:solidFill>
                </w14:textFill>
              </w:rPr>
              <w:t>活性磷酸盐</w:t>
            </w:r>
          </w:p>
        </w:tc>
        <w:tc>
          <w:tcPr>
            <w:tcW w:w="429" w:type="dxa"/>
            <w:vAlign w:val="center"/>
          </w:tcPr>
          <w:p w14:paraId="33607B99">
            <w:pPr>
              <w:autoSpaceDE w:val="0"/>
              <w:autoSpaceDN w:val="0"/>
              <w:spacing w:line="240" w:lineRule="auto"/>
              <w:ind w:firstLine="0" w:firstLineChars="0"/>
              <w:jc w:val="center"/>
              <w:rPr>
                <w:rFonts w:asciiTheme="minorHAnsi" w:hAnsiTheme="minorHAnsi" w:eastAsiaTheme="minorEastAsia" w:cstheme="minorBidi"/>
                <w:b/>
                <w:bCs/>
                <w:color w:val="000000" w:themeColor="text1"/>
                <w:sz w:val="21"/>
                <w:lang w:eastAsia="en-US"/>
                <w14:textFill>
                  <w14:solidFill>
                    <w14:schemeClr w14:val="tx1"/>
                  </w14:solidFill>
                </w14:textFill>
              </w:rPr>
            </w:pPr>
            <w:r>
              <w:rPr>
                <w:rFonts w:asciiTheme="minorHAnsi" w:hAnsiTheme="minorHAnsi" w:eastAsiaTheme="minorEastAsia" w:cstheme="minorBidi"/>
                <w:b/>
                <w:bCs/>
                <w:color w:val="000000" w:themeColor="text1"/>
                <w:sz w:val="21"/>
                <w:lang w:eastAsia="en-US"/>
                <w14:textFill>
                  <w14:solidFill>
                    <w14:schemeClr w14:val="tx1"/>
                  </w14:solidFill>
                </w14:textFill>
              </w:rPr>
              <w:t>无机氮</w:t>
            </w:r>
          </w:p>
        </w:tc>
        <w:tc>
          <w:tcPr>
            <w:tcW w:w="429" w:type="dxa"/>
            <w:vAlign w:val="center"/>
          </w:tcPr>
          <w:p w14:paraId="5E429F66">
            <w:pPr>
              <w:autoSpaceDE w:val="0"/>
              <w:autoSpaceDN w:val="0"/>
              <w:spacing w:line="240" w:lineRule="auto"/>
              <w:ind w:firstLine="0" w:firstLineChars="0"/>
              <w:jc w:val="center"/>
              <w:rPr>
                <w:rFonts w:asciiTheme="minorHAnsi" w:hAnsiTheme="minorHAnsi" w:eastAsiaTheme="minorEastAsia" w:cstheme="minorBidi"/>
                <w:b/>
                <w:bCs/>
                <w:color w:val="000000" w:themeColor="text1"/>
                <w:spacing w:val="1"/>
                <w:sz w:val="21"/>
                <w:lang w:eastAsia="en-US"/>
                <w14:textFill>
                  <w14:solidFill>
                    <w14:schemeClr w14:val="tx1"/>
                  </w14:solidFill>
                </w14:textFill>
              </w:rPr>
            </w:pPr>
            <w:r>
              <w:rPr>
                <w:rFonts w:asciiTheme="minorHAnsi" w:hAnsiTheme="minorHAnsi" w:eastAsiaTheme="minorEastAsia" w:cstheme="minorBidi"/>
                <w:b/>
                <w:bCs/>
                <w:color w:val="000000" w:themeColor="text1"/>
                <w:spacing w:val="1"/>
                <w:sz w:val="21"/>
                <w:lang w:eastAsia="en-US"/>
                <w14:textFill>
                  <w14:solidFill>
                    <w14:schemeClr w14:val="tx1"/>
                  </w14:solidFill>
                </w14:textFill>
              </w:rPr>
              <w:t>油类</w:t>
            </w:r>
          </w:p>
        </w:tc>
        <w:tc>
          <w:tcPr>
            <w:tcW w:w="429" w:type="dxa"/>
            <w:vAlign w:val="center"/>
          </w:tcPr>
          <w:p w14:paraId="38AF48C7">
            <w:pPr>
              <w:autoSpaceDE w:val="0"/>
              <w:autoSpaceDN w:val="0"/>
              <w:spacing w:line="240" w:lineRule="auto"/>
              <w:ind w:firstLine="0" w:firstLineChars="0"/>
              <w:jc w:val="center"/>
              <w:rPr>
                <w:rFonts w:asciiTheme="minorHAnsi" w:hAnsiTheme="minorHAnsi" w:eastAsiaTheme="minorEastAsia" w:cstheme="minorBidi"/>
                <w:b/>
                <w:bCs/>
                <w:color w:val="000000" w:themeColor="text1"/>
                <w:spacing w:val="1"/>
                <w:sz w:val="21"/>
                <w:lang w:eastAsia="en-US"/>
                <w14:textFill>
                  <w14:solidFill>
                    <w14:schemeClr w14:val="tx1"/>
                  </w14:solidFill>
                </w14:textFill>
              </w:rPr>
            </w:pPr>
            <w:r>
              <w:rPr>
                <w:rFonts w:asciiTheme="minorHAnsi" w:hAnsiTheme="minorHAnsi" w:eastAsiaTheme="minorEastAsia" w:cstheme="minorBidi"/>
                <w:b/>
                <w:bCs/>
                <w:color w:val="000000" w:themeColor="text1"/>
                <w:spacing w:val="1"/>
                <w:sz w:val="21"/>
                <w:lang w:eastAsia="en-US"/>
                <w14:textFill>
                  <w14:solidFill>
                    <w14:schemeClr w14:val="tx1"/>
                  </w14:solidFill>
                </w14:textFill>
              </w:rPr>
              <w:t>硫化物</w:t>
            </w:r>
          </w:p>
        </w:tc>
        <w:tc>
          <w:tcPr>
            <w:tcW w:w="429" w:type="dxa"/>
            <w:vAlign w:val="center"/>
          </w:tcPr>
          <w:p w14:paraId="1965931D">
            <w:pPr>
              <w:autoSpaceDE w:val="0"/>
              <w:autoSpaceDN w:val="0"/>
              <w:spacing w:line="240" w:lineRule="auto"/>
              <w:ind w:firstLine="0" w:firstLineChars="0"/>
              <w:jc w:val="center"/>
              <w:rPr>
                <w:rFonts w:asciiTheme="minorHAnsi" w:hAnsiTheme="minorHAnsi" w:eastAsiaTheme="minorEastAsia" w:cstheme="minorBidi"/>
                <w:b/>
                <w:bCs/>
                <w:color w:val="000000" w:themeColor="text1"/>
                <w:sz w:val="21"/>
                <w:lang w:eastAsia="en-US"/>
                <w14:textFill>
                  <w14:solidFill>
                    <w14:schemeClr w14:val="tx1"/>
                  </w14:solidFill>
                </w14:textFill>
              </w:rPr>
            </w:pPr>
            <w:r>
              <w:rPr>
                <w:rFonts w:asciiTheme="minorHAnsi" w:hAnsiTheme="minorHAnsi" w:eastAsiaTheme="minorEastAsia" w:cstheme="minorBidi"/>
                <w:b/>
                <w:bCs/>
                <w:color w:val="000000" w:themeColor="text1"/>
                <w:sz w:val="21"/>
                <w:lang w:eastAsia="en-US"/>
                <w14:textFill>
                  <w14:solidFill>
                    <w14:schemeClr w14:val="tx1"/>
                  </w14:solidFill>
                </w14:textFill>
              </w:rPr>
              <w:t>铜</w:t>
            </w:r>
          </w:p>
        </w:tc>
        <w:tc>
          <w:tcPr>
            <w:tcW w:w="429" w:type="dxa"/>
            <w:vAlign w:val="center"/>
          </w:tcPr>
          <w:p w14:paraId="4E2CA4EE">
            <w:pPr>
              <w:autoSpaceDE w:val="0"/>
              <w:autoSpaceDN w:val="0"/>
              <w:spacing w:line="240" w:lineRule="auto"/>
              <w:ind w:firstLine="0" w:firstLineChars="0"/>
              <w:jc w:val="center"/>
              <w:rPr>
                <w:rFonts w:asciiTheme="minorHAnsi" w:hAnsiTheme="minorHAnsi" w:eastAsiaTheme="minorEastAsia" w:cstheme="minorBidi"/>
                <w:b/>
                <w:bCs/>
                <w:color w:val="000000" w:themeColor="text1"/>
                <w:sz w:val="21"/>
                <w:lang w:eastAsia="en-US"/>
                <w14:textFill>
                  <w14:solidFill>
                    <w14:schemeClr w14:val="tx1"/>
                  </w14:solidFill>
                </w14:textFill>
              </w:rPr>
            </w:pPr>
            <w:r>
              <w:rPr>
                <w:rFonts w:asciiTheme="minorHAnsi" w:hAnsiTheme="minorHAnsi" w:eastAsiaTheme="minorEastAsia" w:cstheme="minorBidi"/>
                <w:b/>
                <w:bCs/>
                <w:color w:val="000000" w:themeColor="text1"/>
                <w:sz w:val="21"/>
                <w:lang w:eastAsia="en-US"/>
                <w14:textFill>
                  <w14:solidFill>
                    <w14:schemeClr w14:val="tx1"/>
                  </w14:solidFill>
                </w14:textFill>
              </w:rPr>
              <w:t>铅</w:t>
            </w:r>
          </w:p>
        </w:tc>
        <w:tc>
          <w:tcPr>
            <w:tcW w:w="429" w:type="dxa"/>
            <w:vAlign w:val="center"/>
          </w:tcPr>
          <w:p w14:paraId="086C31FB">
            <w:pPr>
              <w:autoSpaceDE w:val="0"/>
              <w:autoSpaceDN w:val="0"/>
              <w:spacing w:line="240" w:lineRule="auto"/>
              <w:ind w:firstLine="0" w:firstLineChars="0"/>
              <w:jc w:val="center"/>
              <w:rPr>
                <w:rFonts w:asciiTheme="minorHAnsi" w:hAnsiTheme="minorHAnsi" w:eastAsiaTheme="minorEastAsia" w:cstheme="minorBidi"/>
                <w:b/>
                <w:bCs/>
                <w:color w:val="000000" w:themeColor="text1"/>
                <w:sz w:val="21"/>
                <w:lang w:eastAsia="en-US"/>
                <w14:textFill>
                  <w14:solidFill>
                    <w14:schemeClr w14:val="tx1"/>
                  </w14:solidFill>
                </w14:textFill>
              </w:rPr>
            </w:pPr>
            <w:r>
              <w:rPr>
                <w:rFonts w:asciiTheme="minorHAnsi" w:hAnsiTheme="minorHAnsi" w:eastAsiaTheme="minorEastAsia" w:cstheme="minorBidi"/>
                <w:b/>
                <w:bCs/>
                <w:color w:val="000000" w:themeColor="text1"/>
                <w:sz w:val="21"/>
                <w:lang w:eastAsia="en-US"/>
                <w14:textFill>
                  <w14:solidFill>
                    <w14:schemeClr w14:val="tx1"/>
                  </w14:solidFill>
                </w14:textFill>
              </w:rPr>
              <w:t>锌</w:t>
            </w:r>
          </w:p>
        </w:tc>
        <w:tc>
          <w:tcPr>
            <w:tcW w:w="429" w:type="dxa"/>
            <w:vAlign w:val="center"/>
          </w:tcPr>
          <w:p w14:paraId="14F44F46">
            <w:pPr>
              <w:autoSpaceDE w:val="0"/>
              <w:autoSpaceDN w:val="0"/>
              <w:spacing w:line="240" w:lineRule="auto"/>
              <w:ind w:firstLine="0" w:firstLineChars="0"/>
              <w:jc w:val="center"/>
              <w:rPr>
                <w:rFonts w:asciiTheme="minorHAnsi" w:hAnsiTheme="minorHAnsi" w:eastAsiaTheme="minorEastAsia" w:cstheme="minorBidi"/>
                <w:b/>
                <w:bCs/>
                <w:color w:val="000000" w:themeColor="text1"/>
                <w:sz w:val="21"/>
                <w:lang w:eastAsia="en-US"/>
                <w14:textFill>
                  <w14:solidFill>
                    <w14:schemeClr w14:val="tx1"/>
                  </w14:solidFill>
                </w14:textFill>
              </w:rPr>
            </w:pPr>
            <w:r>
              <w:rPr>
                <w:rFonts w:asciiTheme="minorHAnsi" w:hAnsiTheme="minorHAnsi" w:eastAsiaTheme="minorEastAsia" w:cstheme="minorBidi"/>
                <w:b/>
                <w:bCs/>
                <w:color w:val="000000" w:themeColor="text1"/>
                <w:sz w:val="21"/>
                <w:lang w:eastAsia="en-US"/>
                <w14:textFill>
                  <w14:solidFill>
                    <w14:schemeClr w14:val="tx1"/>
                  </w14:solidFill>
                </w14:textFill>
              </w:rPr>
              <w:t>镉</w:t>
            </w:r>
          </w:p>
        </w:tc>
        <w:tc>
          <w:tcPr>
            <w:tcW w:w="429" w:type="dxa"/>
            <w:vAlign w:val="center"/>
          </w:tcPr>
          <w:p w14:paraId="0ACAE1F8">
            <w:pPr>
              <w:autoSpaceDE w:val="0"/>
              <w:autoSpaceDN w:val="0"/>
              <w:spacing w:line="240" w:lineRule="auto"/>
              <w:ind w:firstLine="0" w:firstLineChars="0"/>
              <w:jc w:val="center"/>
              <w:rPr>
                <w:rFonts w:asciiTheme="minorHAnsi" w:hAnsiTheme="minorHAnsi" w:eastAsiaTheme="minorEastAsia" w:cstheme="minorBidi"/>
                <w:b/>
                <w:bCs/>
                <w:color w:val="000000" w:themeColor="text1"/>
                <w:sz w:val="21"/>
                <w:lang w:eastAsia="en-US"/>
                <w14:textFill>
                  <w14:solidFill>
                    <w14:schemeClr w14:val="tx1"/>
                  </w14:solidFill>
                </w14:textFill>
              </w:rPr>
            </w:pPr>
            <w:r>
              <w:rPr>
                <w:rFonts w:asciiTheme="minorHAnsi" w:hAnsiTheme="minorHAnsi" w:eastAsiaTheme="minorEastAsia" w:cstheme="minorBidi"/>
                <w:b/>
                <w:bCs/>
                <w:color w:val="000000" w:themeColor="text1"/>
                <w:sz w:val="21"/>
                <w:lang w:eastAsia="en-US"/>
                <w14:textFill>
                  <w14:solidFill>
                    <w14:schemeClr w14:val="tx1"/>
                  </w14:solidFill>
                </w14:textFill>
              </w:rPr>
              <w:t>总铬</w:t>
            </w:r>
          </w:p>
        </w:tc>
        <w:tc>
          <w:tcPr>
            <w:tcW w:w="429" w:type="dxa"/>
            <w:vAlign w:val="center"/>
          </w:tcPr>
          <w:p w14:paraId="49315393">
            <w:pPr>
              <w:autoSpaceDE w:val="0"/>
              <w:autoSpaceDN w:val="0"/>
              <w:spacing w:line="240" w:lineRule="auto"/>
              <w:ind w:firstLine="0" w:firstLineChars="0"/>
              <w:jc w:val="center"/>
              <w:rPr>
                <w:rFonts w:asciiTheme="minorHAnsi" w:hAnsiTheme="minorHAnsi" w:eastAsiaTheme="minorEastAsia" w:cstheme="minorBidi"/>
                <w:b/>
                <w:bCs/>
                <w:color w:val="000000" w:themeColor="text1"/>
                <w:sz w:val="21"/>
                <w:lang w:eastAsia="en-US"/>
                <w14:textFill>
                  <w14:solidFill>
                    <w14:schemeClr w14:val="tx1"/>
                  </w14:solidFill>
                </w14:textFill>
              </w:rPr>
            </w:pPr>
            <w:r>
              <w:rPr>
                <w:rFonts w:asciiTheme="minorHAnsi" w:hAnsiTheme="minorHAnsi" w:eastAsiaTheme="minorEastAsia" w:cstheme="minorBidi"/>
                <w:b/>
                <w:bCs/>
                <w:color w:val="000000" w:themeColor="text1"/>
                <w:sz w:val="21"/>
                <w:lang w:eastAsia="en-US"/>
                <w14:textFill>
                  <w14:solidFill>
                    <w14:schemeClr w14:val="tx1"/>
                  </w14:solidFill>
                </w14:textFill>
              </w:rPr>
              <w:t>汞</w:t>
            </w:r>
          </w:p>
        </w:tc>
        <w:tc>
          <w:tcPr>
            <w:tcW w:w="432" w:type="dxa"/>
            <w:vAlign w:val="center"/>
          </w:tcPr>
          <w:p w14:paraId="6499928A">
            <w:pPr>
              <w:autoSpaceDE w:val="0"/>
              <w:autoSpaceDN w:val="0"/>
              <w:spacing w:line="240" w:lineRule="auto"/>
              <w:ind w:firstLine="0" w:firstLineChars="0"/>
              <w:jc w:val="center"/>
              <w:rPr>
                <w:rFonts w:asciiTheme="minorHAnsi" w:hAnsiTheme="minorHAnsi" w:eastAsiaTheme="minorEastAsia" w:cstheme="minorBidi"/>
                <w:b/>
                <w:bCs/>
                <w:color w:val="000000" w:themeColor="text1"/>
                <w:sz w:val="21"/>
                <w:lang w:eastAsia="en-US"/>
                <w14:textFill>
                  <w14:solidFill>
                    <w14:schemeClr w14:val="tx1"/>
                  </w14:solidFill>
                </w14:textFill>
              </w:rPr>
            </w:pPr>
            <w:r>
              <w:rPr>
                <w:rFonts w:asciiTheme="minorHAnsi" w:hAnsiTheme="minorHAnsi" w:eastAsiaTheme="minorEastAsia" w:cstheme="minorBidi"/>
                <w:b/>
                <w:bCs/>
                <w:color w:val="000000" w:themeColor="text1"/>
                <w:sz w:val="21"/>
                <w:lang w:eastAsia="en-US"/>
                <w14:textFill>
                  <w14:solidFill>
                    <w14:schemeClr w14:val="tx1"/>
                  </w14:solidFill>
                </w14:textFill>
              </w:rPr>
              <w:t>砷</w:t>
            </w:r>
          </w:p>
        </w:tc>
      </w:tr>
      <w:tr w14:paraId="6EDC03CD">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601" w:type="dxa"/>
            <w:vMerge w:val="continue"/>
            <w:vAlign w:val="center"/>
          </w:tcPr>
          <w:p w14:paraId="0549A3A5">
            <w:pPr>
              <w:autoSpaceDE w:val="0"/>
              <w:autoSpaceDN w:val="0"/>
              <w:spacing w:line="240" w:lineRule="auto"/>
              <w:ind w:firstLine="0" w:firstLineChars="0"/>
              <w:jc w:val="center"/>
              <w:rPr>
                <w:rFonts w:asciiTheme="minorHAnsi" w:hAnsiTheme="minorHAnsi" w:eastAsiaTheme="minorEastAsia" w:cstheme="minorBidi"/>
                <w:b/>
                <w:bCs/>
                <w:color w:val="000000" w:themeColor="text1"/>
                <w:sz w:val="21"/>
                <w:lang w:eastAsia="en-US"/>
                <w14:textFill>
                  <w14:solidFill>
                    <w14:schemeClr w14:val="tx1"/>
                  </w14:solidFill>
                </w14:textFill>
              </w:rPr>
            </w:pPr>
          </w:p>
        </w:tc>
        <w:tc>
          <w:tcPr>
            <w:tcW w:w="429" w:type="dxa"/>
            <w:vAlign w:val="center"/>
          </w:tcPr>
          <w:p w14:paraId="43AC30AC">
            <w:pPr>
              <w:autoSpaceDE w:val="0"/>
              <w:autoSpaceDN w:val="0"/>
              <w:spacing w:line="240" w:lineRule="auto"/>
              <w:ind w:firstLine="0" w:firstLineChars="0"/>
              <w:jc w:val="center"/>
              <w:rPr>
                <w:rFonts w:asciiTheme="minorHAnsi" w:hAnsiTheme="minorHAnsi" w:eastAsiaTheme="minorEastAsia" w:cstheme="minorBidi"/>
                <w:b/>
                <w:bCs/>
                <w:color w:val="000000" w:themeColor="text1"/>
                <w:sz w:val="21"/>
                <w:lang w:eastAsia="en-US"/>
                <w14:textFill>
                  <w14:solidFill>
                    <w14:schemeClr w14:val="tx1"/>
                  </w14:solidFill>
                </w14:textFill>
              </w:rPr>
            </w:pPr>
            <w:r>
              <w:rPr>
                <w:rFonts w:asciiTheme="minorHAnsi" w:hAnsiTheme="minorHAnsi" w:eastAsiaTheme="minorEastAsia" w:cstheme="minorBidi"/>
                <w:b/>
                <w:bCs/>
                <w:color w:val="000000" w:themeColor="text1"/>
                <w:sz w:val="21"/>
                <w:lang w:eastAsia="en-US"/>
                <w14:textFill>
                  <w14:solidFill>
                    <w14:schemeClr w14:val="tx1"/>
                  </w14:solidFill>
                </w14:textFill>
              </w:rPr>
              <w:t>℃</w:t>
            </w:r>
          </w:p>
        </w:tc>
        <w:tc>
          <w:tcPr>
            <w:tcW w:w="429" w:type="dxa"/>
            <w:vAlign w:val="center"/>
          </w:tcPr>
          <w:p w14:paraId="13544784">
            <w:pPr>
              <w:autoSpaceDE w:val="0"/>
              <w:autoSpaceDN w:val="0"/>
              <w:spacing w:line="240" w:lineRule="auto"/>
              <w:ind w:firstLine="0" w:firstLineChars="0"/>
              <w:jc w:val="center"/>
              <w:rPr>
                <w:rFonts w:asciiTheme="minorHAnsi" w:hAnsiTheme="minorHAnsi" w:eastAsiaTheme="minorEastAsia" w:cstheme="minorBidi"/>
                <w:b/>
                <w:bCs/>
                <w:color w:val="000000" w:themeColor="text1"/>
                <w:sz w:val="21"/>
                <w:lang w:eastAsia="en-US"/>
                <w14:textFill>
                  <w14:solidFill>
                    <w14:schemeClr w14:val="tx1"/>
                  </w14:solidFill>
                </w14:textFill>
              </w:rPr>
            </w:pPr>
            <w:r>
              <w:rPr>
                <w:rFonts w:asciiTheme="minorHAnsi" w:hAnsiTheme="minorHAnsi" w:eastAsiaTheme="minorEastAsia" w:cstheme="minorBidi"/>
                <w:b/>
                <w:bCs/>
                <w:color w:val="000000" w:themeColor="text1"/>
                <w:sz w:val="21"/>
                <w:lang w:eastAsia="en-US"/>
                <w14:textFill>
                  <w14:solidFill>
                    <w14:schemeClr w14:val="tx1"/>
                  </w14:solidFill>
                </w14:textFill>
              </w:rPr>
              <w:t>%</w:t>
            </w:r>
          </w:p>
        </w:tc>
        <w:tc>
          <w:tcPr>
            <w:tcW w:w="429" w:type="dxa"/>
            <w:vAlign w:val="center"/>
          </w:tcPr>
          <w:p w14:paraId="6ACBD376">
            <w:pPr>
              <w:autoSpaceDE w:val="0"/>
              <w:autoSpaceDN w:val="0"/>
              <w:spacing w:line="240" w:lineRule="auto"/>
              <w:ind w:firstLine="0" w:firstLineChars="0"/>
              <w:jc w:val="center"/>
              <w:rPr>
                <w:rFonts w:asciiTheme="minorHAnsi" w:hAnsiTheme="minorHAnsi" w:eastAsiaTheme="minorEastAsia" w:cstheme="minorBidi"/>
                <w:b/>
                <w:bCs/>
                <w:color w:val="000000" w:themeColor="text1"/>
                <w:sz w:val="21"/>
                <w:lang w:eastAsia="en-US"/>
                <w14:textFill>
                  <w14:solidFill>
                    <w14:schemeClr w14:val="tx1"/>
                  </w14:solidFill>
                </w14:textFill>
              </w:rPr>
            </w:pPr>
            <w:r>
              <w:rPr>
                <w:rFonts w:asciiTheme="minorHAnsi" w:hAnsiTheme="minorHAnsi" w:eastAsiaTheme="minorEastAsia" w:cstheme="minorBidi"/>
                <w:b/>
                <w:bCs/>
                <w:color w:val="000000" w:themeColor="text1"/>
                <w:sz w:val="21"/>
                <w:lang w:eastAsia="en-US"/>
                <w14:textFill>
                  <w14:solidFill>
                    <w14:schemeClr w14:val="tx1"/>
                  </w14:solidFill>
                </w14:textFill>
              </w:rPr>
              <w:t>无量纲</w:t>
            </w:r>
          </w:p>
        </w:tc>
        <w:tc>
          <w:tcPr>
            <w:tcW w:w="429" w:type="dxa"/>
            <w:vAlign w:val="center"/>
          </w:tcPr>
          <w:p w14:paraId="361CE651">
            <w:pPr>
              <w:autoSpaceDE w:val="0"/>
              <w:autoSpaceDN w:val="0"/>
              <w:spacing w:line="240" w:lineRule="auto"/>
              <w:ind w:firstLine="0" w:firstLineChars="0"/>
              <w:jc w:val="center"/>
              <w:rPr>
                <w:rFonts w:asciiTheme="minorHAnsi" w:hAnsiTheme="minorHAnsi" w:eastAsiaTheme="minorEastAsia" w:cstheme="minorBidi"/>
                <w:b/>
                <w:bCs/>
                <w:color w:val="000000" w:themeColor="text1"/>
                <w:sz w:val="21"/>
                <w:lang w:eastAsia="en-US"/>
                <w14:textFill>
                  <w14:solidFill>
                    <w14:schemeClr w14:val="tx1"/>
                  </w14:solidFill>
                </w14:textFill>
              </w:rPr>
            </w:pPr>
            <w:r>
              <w:rPr>
                <w:rFonts w:asciiTheme="minorHAnsi" w:hAnsiTheme="minorHAnsi" w:eastAsiaTheme="minorEastAsia" w:cstheme="minorBidi"/>
                <w:b/>
                <w:bCs/>
                <w:color w:val="000000" w:themeColor="text1"/>
                <w:sz w:val="21"/>
                <w:lang w:eastAsia="en-US"/>
                <w14:textFill>
                  <w14:solidFill>
                    <w14:schemeClr w14:val="tx1"/>
                  </w14:solidFill>
                </w14:textFill>
              </w:rPr>
              <w:t>mg/L</w:t>
            </w:r>
          </w:p>
        </w:tc>
        <w:tc>
          <w:tcPr>
            <w:tcW w:w="429" w:type="dxa"/>
            <w:vAlign w:val="center"/>
          </w:tcPr>
          <w:p w14:paraId="5A434F94">
            <w:pPr>
              <w:autoSpaceDE w:val="0"/>
              <w:autoSpaceDN w:val="0"/>
              <w:spacing w:line="240" w:lineRule="auto"/>
              <w:ind w:firstLine="0" w:firstLineChars="0"/>
              <w:jc w:val="center"/>
              <w:rPr>
                <w:rFonts w:asciiTheme="minorHAnsi" w:hAnsiTheme="minorHAnsi" w:eastAsiaTheme="minorEastAsia" w:cstheme="minorBidi"/>
                <w:b/>
                <w:bCs/>
                <w:color w:val="000000" w:themeColor="text1"/>
                <w:sz w:val="21"/>
                <w:lang w:eastAsia="en-US"/>
                <w14:textFill>
                  <w14:solidFill>
                    <w14:schemeClr w14:val="tx1"/>
                  </w14:solidFill>
                </w14:textFill>
              </w:rPr>
            </w:pPr>
            <w:r>
              <w:rPr>
                <w:rFonts w:asciiTheme="minorHAnsi" w:hAnsiTheme="minorHAnsi" w:eastAsiaTheme="minorEastAsia" w:cstheme="minorBidi"/>
                <w:b/>
                <w:bCs/>
                <w:color w:val="000000" w:themeColor="text1"/>
                <w:sz w:val="21"/>
                <w:lang w:eastAsia="en-US"/>
                <w14:textFill>
                  <w14:solidFill>
                    <w14:schemeClr w14:val="tx1"/>
                  </w14:solidFill>
                </w14:textFill>
              </w:rPr>
              <w:t>mg/L</w:t>
            </w:r>
          </w:p>
        </w:tc>
        <w:tc>
          <w:tcPr>
            <w:tcW w:w="429" w:type="dxa"/>
            <w:vAlign w:val="center"/>
          </w:tcPr>
          <w:p w14:paraId="74F20BFB">
            <w:pPr>
              <w:autoSpaceDE w:val="0"/>
              <w:autoSpaceDN w:val="0"/>
              <w:spacing w:line="240" w:lineRule="auto"/>
              <w:ind w:firstLine="0" w:firstLineChars="0"/>
              <w:jc w:val="center"/>
              <w:rPr>
                <w:rFonts w:asciiTheme="minorHAnsi" w:hAnsiTheme="minorHAnsi" w:eastAsiaTheme="minorEastAsia" w:cstheme="minorBidi"/>
                <w:b/>
                <w:bCs/>
                <w:color w:val="000000" w:themeColor="text1"/>
                <w:sz w:val="21"/>
                <w:lang w:eastAsia="en-US"/>
                <w14:textFill>
                  <w14:solidFill>
                    <w14:schemeClr w14:val="tx1"/>
                  </w14:solidFill>
                </w14:textFill>
              </w:rPr>
            </w:pPr>
            <w:r>
              <w:rPr>
                <w:rFonts w:asciiTheme="minorHAnsi" w:hAnsiTheme="minorHAnsi" w:eastAsiaTheme="minorEastAsia" w:cstheme="minorBidi"/>
                <w:b/>
                <w:bCs/>
                <w:color w:val="000000" w:themeColor="text1"/>
                <w:sz w:val="21"/>
                <w:lang w:eastAsia="en-US"/>
                <w14:textFill>
                  <w14:solidFill>
                    <w14:schemeClr w14:val="tx1"/>
                  </w14:solidFill>
                </w14:textFill>
              </w:rPr>
              <w:t>mg/L</w:t>
            </w:r>
          </w:p>
        </w:tc>
        <w:tc>
          <w:tcPr>
            <w:tcW w:w="429" w:type="dxa"/>
            <w:vAlign w:val="center"/>
          </w:tcPr>
          <w:p w14:paraId="568061DD">
            <w:pPr>
              <w:autoSpaceDE w:val="0"/>
              <w:autoSpaceDN w:val="0"/>
              <w:spacing w:line="240" w:lineRule="auto"/>
              <w:ind w:firstLine="0" w:firstLineChars="0"/>
              <w:jc w:val="center"/>
              <w:rPr>
                <w:rFonts w:asciiTheme="minorHAnsi" w:hAnsiTheme="minorHAnsi" w:eastAsiaTheme="minorEastAsia" w:cstheme="minorBidi"/>
                <w:b/>
                <w:bCs/>
                <w:color w:val="000000" w:themeColor="text1"/>
                <w:sz w:val="21"/>
                <w:lang w:eastAsia="en-US"/>
                <w14:textFill>
                  <w14:solidFill>
                    <w14:schemeClr w14:val="tx1"/>
                  </w14:solidFill>
                </w14:textFill>
              </w:rPr>
            </w:pPr>
            <w:r>
              <w:rPr>
                <w:rFonts w:asciiTheme="minorHAnsi" w:hAnsiTheme="minorHAnsi" w:eastAsiaTheme="minorEastAsia" w:cstheme="minorBidi"/>
                <w:b/>
                <w:bCs/>
                <w:color w:val="000000" w:themeColor="text1"/>
                <w:sz w:val="21"/>
                <w:lang w:eastAsia="en-US"/>
                <w14:textFill>
                  <w14:solidFill>
                    <w14:schemeClr w14:val="tx1"/>
                  </w14:solidFill>
                </w14:textFill>
              </w:rPr>
              <w:t>mg</w:t>
            </w:r>
            <w:r>
              <w:rPr>
                <w:rFonts w:asciiTheme="minorHAnsi" w:hAnsiTheme="minorHAnsi" w:eastAsiaTheme="minorEastAsia" w:cstheme="minorBidi"/>
                <w:b/>
                <w:bCs/>
                <w:color w:val="000000" w:themeColor="text1"/>
                <w:spacing w:val="8"/>
                <w:sz w:val="21"/>
                <w:lang w:eastAsia="en-US"/>
                <w14:textFill>
                  <w14:solidFill>
                    <w14:schemeClr w14:val="tx1"/>
                  </w14:solidFill>
                </w14:textFill>
              </w:rPr>
              <w:t>/L</w:t>
            </w:r>
          </w:p>
        </w:tc>
        <w:tc>
          <w:tcPr>
            <w:tcW w:w="429" w:type="dxa"/>
            <w:vAlign w:val="center"/>
          </w:tcPr>
          <w:p w14:paraId="4251FE13">
            <w:pPr>
              <w:autoSpaceDE w:val="0"/>
              <w:autoSpaceDN w:val="0"/>
              <w:spacing w:line="240" w:lineRule="auto"/>
              <w:ind w:firstLine="0" w:firstLineChars="0"/>
              <w:jc w:val="center"/>
              <w:rPr>
                <w:rFonts w:asciiTheme="minorHAnsi" w:hAnsiTheme="minorHAnsi" w:eastAsiaTheme="minorEastAsia" w:cstheme="minorBidi"/>
                <w:b/>
                <w:bCs/>
                <w:color w:val="000000" w:themeColor="text1"/>
                <w:sz w:val="21"/>
                <w:lang w:eastAsia="en-US"/>
                <w14:textFill>
                  <w14:solidFill>
                    <w14:schemeClr w14:val="tx1"/>
                  </w14:solidFill>
                </w14:textFill>
              </w:rPr>
            </w:pPr>
            <w:r>
              <w:rPr>
                <w:rFonts w:asciiTheme="minorHAnsi" w:hAnsiTheme="minorHAnsi" w:eastAsiaTheme="minorEastAsia" w:cstheme="minorBidi"/>
                <w:b/>
                <w:bCs/>
                <w:color w:val="000000" w:themeColor="text1"/>
                <w:sz w:val="21"/>
                <w:lang w:eastAsia="en-US"/>
                <w14:textFill>
                  <w14:solidFill>
                    <w14:schemeClr w14:val="tx1"/>
                  </w14:solidFill>
                </w14:textFill>
              </w:rPr>
              <w:t>mg/L</w:t>
            </w:r>
          </w:p>
        </w:tc>
        <w:tc>
          <w:tcPr>
            <w:tcW w:w="429" w:type="dxa"/>
            <w:vAlign w:val="center"/>
          </w:tcPr>
          <w:p w14:paraId="4602494B">
            <w:pPr>
              <w:autoSpaceDE w:val="0"/>
              <w:autoSpaceDN w:val="0"/>
              <w:spacing w:line="240" w:lineRule="auto"/>
              <w:ind w:firstLine="0" w:firstLineChars="0"/>
              <w:jc w:val="center"/>
              <w:rPr>
                <w:rFonts w:asciiTheme="minorHAnsi" w:hAnsiTheme="minorHAnsi" w:eastAsiaTheme="minorEastAsia" w:cstheme="minorBidi"/>
                <w:b/>
                <w:bCs/>
                <w:color w:val="000000" w:themeColor="text1"/>
                <w:sz w:val="21"/>
                <w:lang w:eastAsia="en-US"/>
                <w14:textFill>
                  <w14:solidFill>
                    <w14:schemeClr w14:val="tx1"/>
                  </w14:solidFill>
                </w14:textFill>
              </w:rPr>
            </w:pPr>
            <w:r>
              <w:rPr>
                <w:rFonts w:asciiTheme="minorHAnsi" w:hAnsiTheme="minorHAnsi" w:eastAsiaTheme="minorEastAsia" w:cstheme="minorBidi"/>
                <w:b/>
                <w:bCs/>
                <w:color w:val="000000" w:themeColor="text1"/>
                <w:sz w:val="21"/>
                <w:lang w:eastAsia="en-US"/>
                <w14:textFill>
                  <w14:solidFill>
                    <w14:schemeClr w14:val="tx1"/>
                  </w14:solidFill>
                </w14:textFill>
              </w:rPr>
              <w:t>mg</w:t>
            </w:r>
            <w:r>
              <w:rPr>
                <w:rFonts w:asciiTheme="minorHAnsi" w:hAnsiTheme="minorHAnsi" w:eastAsiaTheme="minorEastAsia" w:cstheme="minorBidi"/>
                <w:b/>
                <w:bCs/>
                <w:color w:val="000000" w:themeColor="text1"/>
                <w:spacing w:val="8"/>
                <w:sz w:val="21"/>
                <w:lang w:eastAsia="en-US"/>
                <w14:textFill>
                  <w14:solidFill>
                    <w14:schemeClr w14:val="tx1"/>
                  </w14:solidFill>
                </w14:textFill>
              </w:rPr>
              <w:t>/L</w:t>
            </w:r>
          </w:p>
        </w:tc>
        <w:tc>
          <w:tcPr>
            <w:tcW w:w="429" w:type="dxa"/>
            <w:vAlign w:val="center"/>
          </w:tcPr>
          <w:p w14:paraId="1C9FDCE1">
            <w:pPr>
              <w:autoSpaceDE w:val="0"/>
              <w:autoSpaceDN w:val="0"/>
              <w:spacing w:line="240" w:lineRule="auto"/>
              <w:ind w:firstLine="0" w:firstLineChars="0"/>
              <w:jc w:val="center"/>
              <w:rPr>
                <w:rFonts w:asciiTheme="minorHAnsi" w:hAnsiTheme="minorHAnsi" w:eastAsiaTheme="minorEastAsia" w:cstheme="minorBidi"/>
                <w:b/>
                <w:bCs/>
                <w:color w:val="000000" w:themeColor="text1"/>
                <w:sz w:val="21"/>
                <w:lang w:eastAsia="en-US"/>
                <w14:textFill>
                  <w14:solidFill>
                    <w14:schemeClr w14:val="tx1"/>
                  </w14:solidFill>
                </w14:textFill>
              </w:rPr>
            </w:pPr>
            <w:r>
              <w:rPr>
                <w:rFonts w:asciiTheme="minorHAnsi" w:hAnsiTheme="minorHAnsi" w:eastAsiaTheme="minorEastAsia" w:cstheme="minorBidi"/>
                <w:b/>
                <w:bCs/>
                <w:color w:val="000000" w:themeColor="text1"/>
                <w:sz w:val="21"/>
                <w:lang w:eastAsia="en-US"/>
                <w14:textFill>
                  <w14:solidFill>
                    <w14:schemeClr w14:val="tx1"/>
                  </w14:solidFill>
                </w14:textFill>
              </w:rPr>
              <w:t>mg</w:t>
            </w:r>
            <w:r>
              <w:rPr>
                <w:rFonts w:asciiTheme="minorHAnsi" w:hAnsiTheme="minorHAnsi" w:eastAsiaTheme="minorEastAsia" w:cstheme="minorBidi"/>
                <w:b/>
                <w:bCs/>
                <w:color w:val="000000" w:themeColor="text1"/>
                <w:spacing w:val="8"/>
                <w:sz w:val="21"/>
                <w:lang w:eastAsia="en-US"/>
                <w14:textFill>
                  <w14:solidFill>
                    <w14:schemeClr w14:val="tx1"/>
                  </w14:solidFill>
                </w14:textFill>
              </w:rPr>
              <w:t>/L</w:t>
            </w:r>
          </w:p>
        </w:tc>
        <w:tc>
          <w:tcPr>
            <w:tcW w:w="429" w:type="dxa"/>
            <w:vAlign w:val="center"/>
          </w:tcPr>
          <w:p w14:paraId="76EE17E8">
            <w:pPr>
              <w:autoSpaceDE w:val="0"/>
              <w:autoSpaceDN w:val="0"/>
              <w:spacing w:line="240" w:lineRule="auto"/>
              <w:ind w:firstLine="0" w:firstLineChars="0"/>
              <w:jc w:val="center"/>
              <w:rPr>
                <w:rFonts w:asciiTheme="minorHAnsi" w:hAnsiTheme="minorHAnsi" w:eastAsiaTheme="minorEastAsia" w:cstheme="minorBidi"/>
                <w:b/>
                <w:bCs/>
                <w:color w:val="000000" w:themeColor="text1"/>
                <w:sz w:val="21"/>
                <w:lang w:eastAsia="en-US"/>
                <w14:textFill>
                  <w14:solidFill>
                    <w14:schemeClr w14:val="tx1"/>
                  </w14:solidFill>
                </w14:textFill>
              </w:rPr>
            </w:pPr>
            <w:r>
              <w:rPr>
                <w:rFonts w:asciiTheme="minorHAnsi" w:hAnsiTheme="minorHAnsi" w:eastAsiaTheme="minorEastAsia" w:cstheme="minorBidi"/>
                <w:b/>
                <w:bCs/>
                <w:color w:val="000000" w:themeColor="text1"/>
                <w:sz w:val="21"/>
                <w:lang w:eastAsia="en-US"/>
                <w14:textFill>
                  <w14:solidFill>
                    <w14:schemeClr w14:val="tx1"/>
                  </w14:solidFill>
                </w14:textFill>
              </w:rPr>
              <w:t>mg</w:t>
            </w:r>
            <w:r>
              <w:rPr>
                <w:rFonts w:asciiTheme="minorHAnsi" w:hAnsiTheme="minorHAnsi" w:eastAsiaTheme="minorEastAsia" w:cstheme="minorBidi"/>
                <w:b/>
                <w:bCs/>
                <w:color w:val="000000" w:themeColor="text1"/>
                <w:spacing w:val="8"/>
                <w:sz w:val="21"/>
                <w:lang w:eastAsia="en-US"/>
                <w14:textFill>
                  <w14:solidFill>
                    <w14:schemeClr w14:val="tx1"/>
                  </w14:solidFill>
                </w14:textFill>
              </w:rPr>
              <w:t>/L</w:t>
            </w:r>
          </w:p>
        </w:tc>
        <w:tc>
          <w:tcPr>
            <w:tcW w:w="429" w:type="dxa"/>
            <w:vAlign w:val="center"/>
          </w:tcPr>
          <w:p w14:paraId="0382B414">
            <w:pPr>
              <w:autoSpaceDE w:val="0"/>
              <w:autoSpaceDN w:val="0"/>
              <w:spacing w:line="240" w:lineRule="auto"/>
              <w:ind w:firstLine="0" w:firstLineChars="0"/>
              <w:jc w:val="center"/>
              <w:rPr>
                <w:rFonts w:asciiTheme="minorHAnsi" w:hAnsiTheme="minorHAnsi" w:eastAsiaTheme="minorEastAsia" w:cstheme="minorBidi"/>
                <w:b/>
                <w:bCs/>
                <w:color w:val="000000" w:themeColor="text1"/>
                <w:sz w:val="21"/>
                <w:lang w:eastAsia="en-US"/>
                <w14:textFill>
                  <w14:solidFill>
                    <w14:schemeClr w14:val="tx1"/>
                  </w14:solidFill>
                </w14:textFill>
              </w:rPr>
            </w:pPr>
            <w:r>
              <w:rPr>
                <w:rFonts w:asciiTheme="minorHAnsi" w:hAnsiTheme="minorHAnsi" w:eastAsiaTheme="minorEastAsia" w:cstheme="minorBidi"/>
                <w:b/>
                <w:bCs/>
                <w:color w:val="000000" w:themeColor="text1"/>
                <w:sz w:val="21"/>
                <w:lang w:eastAsia="en-US"/>
                <w14:textFill>
                  <w14:solidFill>
                    <w14:schemeClr w14:val="tx1"/>
                  </w14:solidFill>
                </w14:textFill>
              </w:rPr>
              <w:t>μg</w:t>
            </w:r>
            <w:r>
              <w:rPr>
                <w:rFonts w:asciiTheme="minorHAnsi" w:hAnsiTheme="minorHAnsi" w:eastAsiaTheme="minorEastAsia" w:cstheme="minorBidi"/>
                <w:b/>
                <w:bCs/>
                <w:color w:val="000000" w:themeColor="text1"/>
                <w:spacing w:val="9"/>
                <w:sz w:val="21"/>
                <w:lang w:eastAsia="en-US"/>
                <w14:textFill>
                  <w14:solidFill>
                    <w14:schemeClr w14:val="tx1"/>
                  </w14:solidFill>
                </w14:textFill>
              </w:rPr>
              <w:t>/L</w:t>
            </w:r>
          </w:p>
        </w:tc>
        <w:tc>
          <w:tcPr>
            <w:tcW w:w="429" w:type="dxa"/>
            <w:vAlign w:val="center"/>
          </w:tcPr>
          <w:p w14:paraId="25E2D597">
            <w:pPr>
              <w:autoSpaceDE w:val="0"/>
              <w:autoSpaceDN w:val="0"/>
              <w:spacing w:line="240" w:lineRule="auto"/>
              <w:ind w:firstLine="0" w:firstLineChars="0"/>
              <w:jc w:val="center"/>
              <w:rPr>
                <w:rFonts w:asciiTheme="minorHAnsi" w:hAnsiTheme="minorHAnsi" w:eastAsiaTheme="minorEastAsia" w:cstheme="minorBidi"/>
                <w:b/>
                <w:bCs/>
                <w:color w:val="000000" w:themeColor="text1"/>
                <w:sz w:val="21"/>
                <w:lang w:eastAsia="en-US"/>
                <w14:textFill>
                  <w14:solidFill>
                    <w14:schemeClr w14:val="tx1"/>
                  </w14:solidFill>
                </w14:textFill>
              </w:rPr>
            </w:pPr>
            <w:r>
              <w:rPr>
                <w:rFonts w:asciiTheme="minorHAnsi" w:hAnsiTheme="minorHAnsi" w:eastAsiaTheme="minorEastAsia" w:cstheme="minorBidi"/>
                <w:b/>
                <w:bCs/>
                <w:color w:val="000000" w:themeColor="text1"/>
                <w:sz w:val="21"/>
                <w:lang w:eastAsia="en-US"/>
                <w14:textFill>
                  <w14:solidFill>
                    <w14:schemeClr w14:val="tx1"/>
                  </w14:solidFill>
                </w14:textFill>
              </w:rPr>
              <w:t>μg</w:t>
            </w:r>
            <w:r>
              <w:rPr>
                <w:rFonts w:asciiTheme="minorHAnsi" w:hAnsiTheme="minorHAnsi" w:eastAsiaTheme="minorEastAsia" w:cstheme="minorBidi"/>
                <w:b/>
                <w:bCs/>
                <w:color w:val="000000" w:themeColor="text1"/>
                <w:spacing w:val="9"/>
                <w:sz w:val="21"/>
                <w:lang w:eastAsia="en-US"/>
                <w14:textFill>
                  <w14:solidFill>
                    <w14:schemeClr w14:val="tx1"/>
                  </w14:solidFill>
                </w14:textFill>
              </w:rPr>
              <w:t>/L</w:t>
            </w:r>
          </w:p>
        </w:tc>
        <w:tc>
          <w:tcPr>
            <w:tcW w:w="429" w:type="dxa"/>
            <w:vAlign w:val="center"/>
          </w:tcPr>
          <w:p w14:paraId="1D1ACFAF">
            <w:pPr>
              <w:autoSpaceDE w:val="0"/>
              <w:autoSpaceDN w:val="0"/>
              <w:spacing w:line="240" w:lineRule="auto"/>
              <w:ind w:firstLine="0" w:firstLineChars="0"/>
              <w:jc w:val="center"/>
              <w:rPr>
                <w:rFonts w:asciiTheme="minorHAnsi" w:hAnsiTheme="minorHAnsi" w:eastAsiaTheme="minorEastAsia" w:cstheme="minorBidi"/>
                <w:b/>
                <w:bCs/>
                <w:color w:val="000000" w:themeColor="text1"/>
                <w:sz w:val="21"/>
                <w:lang w:eastAsia="en-US"/>
                <w14:textFill>
                  <w14:solidFill>
                    <w14:schemeClr w14:val="tx1"/>
                  </w14:solidFill>
                </w14:textFill>
              </w:rPr>
            </w:pPr>
            <w:r>
              <w:rPr>
                <w:rFonts w:asciiTheme="minorHAnsi" w:hAnsiTheme="minorHAnsi" w:eastAsiaTheme="minorEastAsia" w:cstheme="minorBidi"/>
                <w:b/>
                <w:bCs/>
                <w:color w:val="000000" w:themeColor="text1"/>
                <w:sz w:val="21"/>
                <w:lang w:eastAsia="en-US"/>
                <w14:textFill>
                  <w14:solidFill>
                    <w14:schemeClr w14:val="tx1"/>
                  </w14:solidFill>
                </w14:textFill>
              </w:rPr>
              <w:t>μg</w:t>
            </w:r>
            <w:r>
              <w:rPr>
                <w:rFonts w:asciiTheme="minorHAnsi" w:hAnsiTheme="minorHAnsi" w:eastAsiaTheme="minorEastAsia" w:cstheme="minorBidi"/>
                <w:b/>
                <w:bCs/>
                <w:color w:val="000000" w:themeColor="text1"/>
                <w:spacing w:val="9"/>
                <w:sz w:val="21"/>
                <w:lang w:eastAsia="en-US"/>
                <w14:textFill>
                  <w14:solidFill>
                    <w14:schemeClr w14:val="tx1"/>
                  </w14:solidFill>
                </w14:textFill>
              </w:rPr>
              <w:t>/L</w:t>
            </w:r>
          </w:p>
        </w:tc>
        <w:tc>
          <w:tcPr>
            <w:tcW w:w="429" w:type="dxa"/>
            <w:vAlign w:val="center"/>
          </w:tcPr>
          <w:p w14:paraId="1428D8AF">
            <w:pPr>
              <w:autoSpaceDE w:val="0"/>
              <w:autoSpaceDN w:val="0"/>
              <w:spacing w:line="240" w:lineRule="auto"/>
              <w:ind w:firstLine="0" w:firstLineChars="0"/>
              <w:jc w:val="center"/>
              <w:rPr>
                <w:rFonts w:asciiTheme="minorHAnsi" w:hAnsiTheme="minorHAnsi" w:eastAsiaTheme="minorEastAsia" w:cstheme="minorBidi"/>
                <w:b/>
                <w:bCs/>
                <w:color w:val="000000" w:themeColor="text1"/>
                <w:sz w:val="21"/>
                <w:lang w:eastAsia="en-US"/>
                <w14:textFill>
                  <w14:solidFill>
                    <w14:schemeClr w14:val="tx1"/>
                  </w14:solidFill>
                </w14:textFill>
              </w:rPr>
            </w:pPr>
            <w:r>
              <w:rPr>
                <w:rFonts w:asciiTheme="minorHAnsi" w:hAnsiTheme="minorHAnsi" w:eastAsiaTheme="minorEastAsia" w:cstheme="minorBidi"/>
                <w:b/>
                <w:bCs/>
                <w:color w:val="000000" w:themeColor="text1"/>
                <w:sz w:val="21"/>
                <w:lang w:eastAsia="en-US"/>
                <w14:textFill>
                  <w14:solidFill>
                    <w14:schemeClr w14:val="tx1"/>
                  </w14:solidFill>
                </w14:textFill>
              </w:rPr>
              <w:t>μg</w:t>
            </w:r>
            <w:r>
              <w:rPr>
                <w:rFonts w:asciiTheme="minorHAnsi" w:hAnsiTheme="minorHAnsi" w:eastAsiaTheme="minorEastAsia" w:cstheme="minorBidi"/>
                <w:b/>
                <w:bCs/>
                <w:color w:val="000000" w:themeColor="text1"/>
                <w:spacing w:val="9"/>
                <w:sz w:val="21"/>
                <w:lang w:eastAsia="en-US"/>
                <w14:textFill>
                  <w14:solidFill>
                    <w14:schemeClr w14:val="tx1"/>
                  </w14:solidFill>
                </w14:textFill>
              </w:rPr>
              <w:t>/L</w:t>
            </w:r>
          </w:p>
        </w:tc>
        <w:tc>
          <w:tcPr>
            <w:tcW w:w="429" w:type="dxa"/>
            <w:vAlign w:val="center"/>
          </w:tcPr>
          <w:p w14:paraId="0F297717">
            <w:pPr>
              <w:autoSpaceDE w:val="0"/>
              <w:autoSpaceDN w:val="0"/>
              <w:spacing w:line="240" w:lineRule="auto"/>
              <w:ind w:firstLine="0" w:firstLineChars="0"/>
              <w:jc w:val="center"/>
              <w:rPr>
                <w:rFonts w:asciiTheme="minorHAnsi" w:hAnsiTheme="minorHAnsi" w:eastAsiaTheme="minorEastAsia" w:cstheme="minorBidi"/>
                <w:b/>
                <w:bCs/>
                <w:color w:val="000000" w:themeColor="text1"/>
                <w:sz w:val="21"/>
                <w:lang w:eastAsia="en-US"/>
                <w14:textFill>
                  <w14:solidFill>
                    <w14:schemeClr w14:val="tx1"/>
                  </w14:solidFill>
                </w14:textFill>
              </w:rPr>
            </w:pPr>
            <w:r>
              <w:rPr>
                <w:rFonts w:asciiTheme="minorHAnsi" w:hAnsiTheme="minorHAnsi" w:eastAsiaTheme="minorEastAsia" w:cstheme="minorBidi"/>
                <w:b/>
                <w:bCs/>
                <w:color w:val="000000" w:themeColor="text1"/>
                <w:sz w:val="21"/>
                <w:lang w:eastAsia="en-US"/>
                <w14:textFill>
                  <w14:solidFill>
                    <w14:schemeClr w14:val="tx1"/>
                  </w14:solidFill>
                </w14:textFill>
              </w:rPr>
              <w:t>μg</w:t>
            </w:r>
            <w:r>
              <w:rPr>
                <w:rFonts w:asciiTheme="minorHAnsi" w:hAnsiTheme="minorHAnsi" w:eastAsiaTheme="minorEastAsia" w:cstheme="minorBidi"/>
                <w:b/>
                <w:bCs/>
                <w:color w:val="000000" w:themeColor="text1"/>
                <w:spacing w:val="9"/>
                <w:sz w:val="21"/>
                <w:lang w:eastAsia="en-US"/>
                <w14:textFill>
                  <w14:solidFill>
                    <w14:schemeClr w14:val="tx1"/>
                  </w14:solidFill>
                </w14:textFill>
              </w:rPr>
              <w:t>/L</w:t>
            </w:r>
          </w:p>
        </w:tc>
        <w:tc>
          <w:tcPr>
            <w:tcW w:w="429" w:type="dxa"/>
            <w:vAlign w:val="center"/>
          </w:tcPr>
          <w:p w14:paraId="32C21BCE">
            <w:pPr>
              <w:autoSpaceDE w:val="0"/>
              <w:autoSpaceDN w:val="0"/>
              <w:spacing w:line="240" w:lineRule="auto"/>
              <w:ind w:firstLine="0" w:firstLineChars="0"/>
              <w:jc w:val="center"/>
              <w:rPr>
                <w:rFonts w:asciiTheme="minorHAnsi" w:hAnsiTheme="minorHAnsi" w:eastAsiaTheme="minorEastAsia" w:cstheme="minorBidi"/>
                <w:b/>
                <w:bCs/>
                <w:color w:val="000000" w:themeColor="text1"/>
                <w:sz w:val="21"/>
                <w:lang w:eastAsia="en-US"/>
                <w14:textFill>
                  <w14:solidFill>
                    <w14:schemeClr w14:val="tx1"/>
                  </w14:solidFill>
                </w14:textFill>
              </w:rPr>
            </w:pPr>
            <w:r>
              <w:rPr>
                <w:rFonts w:asciiTheme="minorHAnsi" w:hAnsiTheme="minorHAnsi" w:eastAsiaTheme="minorEastAsia" w:cstheme="minorBidi"/>
                <w:b/>
                <w:bCs/>
                <w:color w:val="000000" w:themeColor="text1"/>
                <w:sz w:val="21"/>
                <w:lang w:eastAsia="en-US"/>
                <w14:textFill>
                  <w14:solidFill>
                    <w14:schemeClr w14:val="tx1"/>
                  </w14:solidFill>
                </w14:textFill>
              </w:rPr>
              <w:t>μg</w:t>
            </w:r>
            <w:r>
              <w:rPr>
                <w:rFonts w:asciiTheme="minorHAnsi" w:hAnsiTheme="minorHAnsi" w:eastAsiaTheme="minorEastAsia" w:cstheme="minorBidi"/>
                <w:b/>
                <w:bCs/>
                <w:color w:val="000000" w:themeColor="text1"/>
                <w:spacing w:val="9"/>
                <w:sz w:val="21"/>
                <w:lang w:eastAsia="en-US"/>
                <w14:textFill>
                  <w14:solidFill>
                    <w14:schemeClr w14:val="tx1"/>
                  </w14:solidFill>
                </w14:textFill>
              </w:rPr>
              <w:t>/L</w:t>
            </w:r>
          </w:p>
        </w:tc>
        <w:tc>
          <w:tcPr>
            <w:tcW w:w="432" w:type="dxa"/>
            <w:vAlign w:val="center"/>
          </w:tcPr>
          <w:p w14:paraId="75FA191E">
            <w:pPr>
              <w:autoSpaceDE w:val="0"/>
              <w:autoSpaceDN w:val="0"/>
              <w:spacing w:line="240" w:lineRule="auto"/>
              <w:ind w:firstLine="0" w:firstLineChars="0"/>
              <w:jc w:val="center"/>
              <w:rPr>
                <w:rFonts w:asciiTheme="minorHAnsi" w:hAnsiTheme="minorHAnsi" w:eastAsiaTheme="minorEastAsia" w:cstheme="minorBidi"/>
                <w:b/>
                <w:bCs/>
                <w:color w:val="000000" w:themeColor="text1"/>
                <w:sz w:val="21"/>
                <w:lang w:eastAsia="en-US"/>
                <w14:textFill>
                  <w14:solidFill>
                    <w14:schemeClr w14:val="tx1"/>
                  </w14:solidFill>
                </w14:textFill>
              </w:rPr>
            </w:pPr>
            <w:r>
              <w:rPr>
                <w:rFonts w:asciiTheme="minorHAnsi" w:hAnsiTheme="minorHAnsi" w:eastAsiaTheme="minorEastAsia" w:cstheme="minorBidi"/>
                <w:b/>
                <w:bCs/>
                <w:color w:val="000000" w:themeColor="text1"/>
                <w:sz w:val="21"/>
                <w:lang w:eastAsia="en-US"/>
                <w14:textFill>
                  <w14:solidFill>
                    <w14:schemeClr w14:val="tx1"/>
                  </w14:solidFill>
                </w14:textFill>
              </w:rPr>
              <w:t>μg</w:t>
            </w:r>
            <w:r>
              <w:rPr>
                <w:rFonts w:asciiTheme="minorHAnsi" w:hAnsiTheme="minorHAnsi" w:eastAsiaTheme="minorEastAsia" w:cstheme="minorBidi"/>
                <w:b/>
                <w:bCs/>
                <w:color w:val="000000" w:themeColor="text1"/>
                <w:spacing w:val="9"/>
                <w:sz w:val="21"/>
                <w:lang w:eastAsia="en-US"/>
                <w14:textFill>
                  <w14:solidFill>
                    <w14:schemeClr w14:val="tx1"/>
                  </w14:solidFill>
                </w14:textFill>
              </w:rPr>
              <w:t>/L</w:t>
            </w:r>
          </w:p>
        </w:tc>
      </w:tr>
      <w:tr w14:paraId="1D6FF068">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601" w:type="dxa"/>
            <w:vAlign w:val="center"/>
          </w:tcPr>
          <w:p w14:paraId="5D731849">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r>
              <w:rPr>
                <w:rFonts w:asciiTheme="minorHAnsi" w:hAnsiTheme="minorHAnsi" w:eastAsiaTheme="minorEastAsia" w:cstheme="minorBidi"/>
                <w:color w:val="000000" w:themeColor="text1"/>
                <w:sz w:val="21"/>
                <w:lang w:eastAsia="en-US"/>
                <w14:textFill>
                  <w14:solidFill>
                    <w14:schemeClr w14:val="tx1"/>
                  </w14:solidFill>
                </w14:textFill>
              </w:rPr>
              <w:t>S1</w:t>
            </w:r>
          </w:p>
        </w:tc>
        <w:tc>
          <w:tcPr>
            <w:tcW w:w="429" w:type="dxa"/>
            <w:vAlign w:val="center"/>
          </w:tcPr>
          <w:p w14:paraId="662444E9">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37DA1A27">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03F22E7E">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0B1AF07F">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6F1069BA">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455881BD">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2C58E965">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3B41D4AB">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31B7CD0C">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55531688">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47098318">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26D7FD9F">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6C0F169B">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02913A3E">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45301635">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168CBD30">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2C761520">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32" w:type="dxa"/>
            <w:vAlign w:val="center"/>
          </w:tcPr>
          <w:p w14:paraId="704A3D28">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r>
      <w:tr w14:paraId="4C6D6990">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601" w:type="dxa"/>
            <w:vAlign w:val="center"/>
          </w:tcPr>
          <w:p w14:paraId="67F981C1">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r>
              <w:rPr>
                <w:rFonts w:asciiTheme="minorHAnsi" w:hAnsiTheme="minorHAnsi" w:eastAsiaTheme="minorEastAsia" w:cstheme="minorBidi"/>
                <w:color w:val="000000" w:themeColor="text1"/>
                <w:spacing w:val="7"/>
                <w:sz w:val="21"/>
                <w:lang w:eastAsia="en-US"/>
                <w14:textFill>
                  <w14:solidFill>
                    <w14:schemeClr w14:val="tx1"/>
                  </w14:solidFill>
                </w14:textFill>
              </w:rPr>
              <w:t>评价标准（二类）</w:t>
            </w:r>
          </w:p>
        </w:tc>
        <w:tc>
          <w:tcPr>
            <w:tcW w:w="429" w:type="dxa"/>
            <w:vAlign w:val="center"/>
          </w:tcPr>
          <w:p w14:paraId="050B2146">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3D86E83A">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4B89A756">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78C4C34F">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5E9B3785">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6480EB5B">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7FB78D7F">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622718D7">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5EE63522">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07ACED56">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685B4532">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3C2AE454">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46F3A43E">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5AAC7C8D">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34C5A1B3">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31DF093D">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29E0B52B">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32" w:type="dxa"/>
            <w:vAlign w:val="center"/>
          </w:tcPr>
          <w:p w14:paraId="1A3D8209">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r>
      <w:tr w14:paraId="77BBB268">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601" w:type="dxa"/>
            <w:vAlign w:val="center"/>
          </w:tcPr>
          <w:p w14:paraId="03FF69A2">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r>
              <w:rPr>
                <w:rFonts w:asciiTheme="minorHAnsi" w:hAnsiTheme="minorHAnsi" w:eastAsiaTheme="minorEastAsia" w:cstheme="minorBidi"/>
                <w:color w:val="000000" w:themeColor="text1"/>
                <w:spacing w:val="6"/>
                <w:sz w:val="21"/>
                <w:lang w:eastAsia="en-US"/>
                <w14:textFill>
                  <w14:solidFill>
                    <w14:schemeClr w14:val="tx1"/>
                  </w14:solidFill>
                </w14:textFill>
              </w:rPr>
              <w:t>标准</w:t>
            </w:r>
            <w:r>
              <w:rPr>
                <w:rFonts w:asciiTheme="minorHAnsi" w:hAnsiTheme="minorHAnsi" w:eastAsiaTheme="minorEastAsia" w:cstheme="minorBidi"/>
                <w:color w:val="000000" w:themeColor="text1"/>
                <w:spacing w:val="3"/>
                <w:sz w:val="21"/>
                <w:lang w:eastAsia="en-US"/>
                <w14:textFill>
                  <w14:solidFill>
                    <w14:schemeClr w14:val="tx1"/>
                  </w14:solidFill>
                </w14:textFill>
              </w:rPr>
              <w:t>指数</w:t>
            </w:r>
          </w:p>
        </w:tc>
        <w:tc>
          <w:tcPr>
            <w:tcW w:w="429" w:type="dxa"/>
            <w:vAlign w:val="center"/>
          </w:tcPr>
          <w:p w14:paraId="08B328A5">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1F950655">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53058C51">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76563307">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6B391F31">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67D56450">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3B0A4658">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6648F3F8">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61FB4B81">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68E3C133">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1CC59BA8">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55F3DE3A">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2B183431">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007911A9">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3ED18FA5">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32ED3861">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7B040D87">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32" w:type="dxa"/>
            <w:vAlign w:val="center"/>
          </w:tcPr>
          <w:p w14:paraId="2BCE711E">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r>
      <w:tr w14:paraId="30F500C9">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601" w:type="dxa"/>
            <w:vAlign w:val="center"/>
          </w:tcPr>
          <w:p w14:paraId="52174D39">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r>
              <w:rPr>
                <w:rFonts w:asciiTheme="minorHAnsi" w:hAnsiTheme="minorHAnsi" w:eastAsiaTheme="minorEastAsia" w:cstheme="minorBidi"/>
                <w:color w:val="000000" w:themeColor="text1"/>
                <w:spacing w:val="2"/>
                <w:sz w:val="21"/>
                <w:lang w:eastAsia="en-US"/>
                <w14:textFill>
                  <w14:solidFill>
                    <w14:schemeClr w14:val="tx1"/>
                  </w14:solidFill>
                </w14:textFill>
              </w:rPr>
              <w:t>S2</w:t>
            </w:r>
          </w:p>
        </w:tc>
        <w:tc>
          <w:tcPr>
            <w:tcW w:w="429" w:type="dxa"/>
            <w:vAlign w:val="center"/>
          </w:tcPr>
          <w:p w14:paraId="385D495C">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1B8905B7">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3BBD1E81">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2CD76F9B">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01058947">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18FFFA77">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3DC7E21C">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2FEFAF05">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0D025592">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7384D64F">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32855A9F">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053B95EE">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66F2E6F8">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5364184B">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25DC9147">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078A85B0">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0BF82A59">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32" w:type="dxa"/>
            <w:vAlign w:val="center"/>
          </w:tcPr>
          <w:p w14:paraId="2AE34E73">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r>
      <w:tr w14:paraId="6B25452D">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601" w:type="dxa"/>
            <w:vAlign w:val="center"/>
          </w:tcPr>
          <w:p w14:paraId="29E3D950">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r>
              <w:rPr>
                <w:rFonts w:asciiTheme="minorHAnsi" w:hAnsiTheme="minorHAnsi" w:eastAsiaTheme="minorEastAsia" w:cstheme="minorBidi"/>
                <w:color w:val="000000" w:themeColor="text1"/>
                <w:spacing w:val="7"/>
                <w:sz w:val="21"/>
                <w:lang w:eastAsia="en-US"/>
                <w14:textFill>
                  <w14:solidFill>
                    <w14:schemeClr w14:val="tx1"/>
                  </w14:solidFill>
                </w14:textFill>
              </w:rPr>
              <w:t>评价标准（二类）</w:t>
            </w:r>
          </w:p>
        </w:tc>
        <w:tc>
          <w:tcPr>
            <w:tcW w:w="429" w:type="dxa"/>
            <w:vAlign w:val="center"/>
          </w:tcPr>
          <w:p w14:paraId="75D67924">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506DD4DF">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3AB6475B">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46E94731">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102F88BC">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2823F2A9">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1DD46ED8">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5BFC6661">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069F628D">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5F735F29">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097E185B">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67A3E647">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1C57C955">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4D3E1247">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1C786D35">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1508287D">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05D73420">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32" w:type="dxa"/>
            <w:vAlign w:val="center"/>
          </w:tcPr>
          <w:p w14:paraId="40B3E055">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r>
      <w:tr w14:paraId="7B0EC860">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601" w:type="dxa"/>
            <w:vAlign w:val="center"/>
          </w:tcPr>
          <w:p w14:paraId="35F36F24">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r>
              <w:rPr>
                <w:rFonts w:asciiTheme="minorHAnsi" w:hAnsiTheme="minorHAnsi" w:eastAsiaTheme="minorEastAsia" w:cstheme="minorBidi"/>
                <w:color w:val="000000" w:themeColor="text1"/>
                <w:spacing w:val="6"/>
                <w:sz w:val="21"/>
                <w:lang w:eastAsia="en-US"/>
                <w14:textFill>
                  <w14:solidFill>
                    <w14:schemeClr w14:val="tx1"/>
                  </w14:solidFill>
                </w14:textFill>
              </w:rPr>
              <w:t>标准</w:t>
            </w:r>
            <w:r>
              <w:rPr>
                <w:rFonts w:asciiTheme="minorHAnsi" w:hAnsiTheme="minorHAnsi" w:eastAsiaTheme="minorEastAsia" w:cstheme="minorBidi"/>
                <w:color w:val="000000" w:themeColor="text1"/>
                <w:spacing w:val="3"/>
                <w:sz w:val="21"/>
                <w:lang w:eastAsia="en-US"/>
                <w14:textFill>
                  <w14:solidFill>
                    <w14:schemeClr w14:val="tx1"/>
                  </w14:solidFill>
                </w14:textFill>
              </w:rPr>
              <w:t>指数</w:t>
            </w:r>
          </w:p>
        </w:tc>
        <w:tc>
          <w:tcPr>
            <w:tcW w:w="429" w:type="dxa"/>
            <w:vAlign w:val="center"/>
          </w:tcPr>
          <w:p w14:paraId="78307493">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36D2701D">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2362FD08">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01B3087F">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61C7FE45">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26BDEA26">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072F922B">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1BE94B1B">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291F0DBC">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442A8E09">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5F236036">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3A0DDA32">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03707D7D">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499C8135">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52DFC32A">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64B581F0">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44333FDB">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32" w:type="dxa"/>
            <w:vAlign w:val="center"/>
          </w:tcPr>
          <w:p w14:paraId="17F52C50">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r>
      <w:tr w14:paraId="1349AF62">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601" w:type="dxa"/>
            <w:vAlign w:val="center"/>
          </w:tcPr>
          <w:p w14:paraId="3DA1E4DE">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r>
              <w:rPr>
                <w:rFonts w:asciiTheme="minorHAnsi" w:hAnsiTheme="minorHAnsi" w:eastAsiaTheme="minorEastAsia" w:cstheme="minorBidi"/>
                <w:color w:val="000000" w:themeColor="text1"/>
                <w:sz w:val="21"/>
                <w:lang w:eastAsia="en-US"/>
                <w14:textFill>
                  <w14:solidFill>
                    <w14:schemeClr w14:val="tx1"/>
                  </w14:solidFill>
                </w14:textFill>
              </w:rPr>
              <w:t>S3</w:t>
            </w:r>
          </w:p>
        </w:tc>
        <w:tc>
          <w:tcPr>
            <w:tcW w:w="429" w:type="dxa"/>
            <w:vAlign w:val="center"/>
          </w:tcPr>
          <w:p w14:paraId="5D5E6D20">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75D1EC1F">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11F69D6E">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0A9ADF8A">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5D0E6CF2">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40F82E3F">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2168A8C6">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645C6433">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3E605ADA">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268895AB">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72F63F61">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3ABCC77E">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094B96F9">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59FF1D2C">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369AB1A3">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6DA2C9CA">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2045F31B">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32" w:type="dxa"/>
            <w:vAlign w:val="center"/>
          </w:tcPr>
          <w:p w14:paraId="4CB93AAD">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r>
      <w:tr w14:paraId="4CC2B22E">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601" w:type="dxa"/>
            <w:vAlign w:val="center"/>
          </w:tcPr>
          <w:p w14:paraId="1D55C189">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r>
              <w:rPr>
                <w:rFonts w:asciiTheme="minorHAnsi" w:hAnsiTheme="minorHAnsi" w:eastAsiaTheme="minorEastAsia" w:cstheme="minorBidi"/>
                <w:color w:val="000000" w:themeColor="text1"/>
                <w:spacing w:val="7"/>
                <w:sz w:val="21"/>
                <w:lang w:eastAsia="en-US"/>
                <w14:textFill>
                  <w14:solidFill>
                    <w14:schemeClr w14:val="tx1"/>
                  </w14:solidFill>
                </w14:textFill>
              </w:rPr>
              <w:t>评价标准（四类）</w:t>
            </w:r>
          </w:p>
        </w:tc>
        <w:tc>
          <w:tcPr>
            <w:tcW w:w="429" w:type="dxa"/>
            <w:vAlign w:val="center"/>
          </w:tcPr>
          <w:p w14:paraId="542A63C8">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751B63CC">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44440633">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5130F27B">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46534033">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0F4F34F3">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70C41E0C">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040B43A4">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49BFA468">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472BC6EE">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522A2C51">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54CE760D">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683691DB">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66C9D23C">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00F4FBB4">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46CB3087">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63D09060">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32" w:type="dxa"/>
            <w:vAlign w:val="center"/>
          </w:tcPr>
          <w:p w14:paraId="6BBFADE6">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r>
      <w:tr w14:paraId="219C6701">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601" w:type="dxa"/>
            <w:vAlign w:val="center"/>
          </w:tcPr>
          <w:p w14:paraId="6BD8F1D0">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r>
              <w:rPr>
                <w:rFonts w:asciiTheme="minorHAnsi" w:hAnsiTheme="minorHAnsi" w:eastAsiaTheme="minorEastAsia" w:cstheme="minorBidi"/>
                <w:color w:val="000000" w:themeColor="text1"/>
                <w:spacing w:val="6"/>
                <w:sz w:val="21"/>
                <w:lang w:eastAsia="en-US"/>
                <w14:textFill>
                  <w14:solidFill>
                    <w14:schemeClr w14:val="tx1"/>
                  </w14:solidFill>
                </w14:textFill>
              </w:rPr>
              <w:t>标准</w:t>
            </w:r>
            <w:r>
              <w:rPr>
                <w:rFonts w:asciiTheme="minorHAnsi" w:hAnsiTheme="minorHAnsi" w:eastAsiaTheme="minorEastAsia" w:cstheme="minorBidi"/>
                <w:color w:val="000000" w:themeColor="text1"/>
                <w:spacing w:val="3"/>
                <w:sz w:val="21"/>
                <w:lang w:eastAsia="en-US"/>
                <w14:textFill>
                  <w14:solidFill>
                    <w14:schemeClr w14:val="tx1"/>
                  </w14:solidFill>
                </w14:textFill>
              </w:rPr>
              <w:t>指数</w:t>
            </w:r>
          </w:p>
        </w:tc>
        <w:tc>
          <w:tcPr>
            <w:tcW w:w="429" w:type="dxa"/>
            <w:vAlign w:val="center"/>
          </w:tcPr>
          <w:p w14:paraId="4DB06023">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1DBB7D80">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48515188">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791D3678">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3B2C6901">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15D049A5">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7B8C3AD1">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377E8719">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03B228C6">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31B6531D">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222F1E0E">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11158CD7">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7FBB3C6A">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21DC7509">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5103596A">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597E4DC9">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647E2498">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32" w:type="dxa"/>
            <w:vAlign w:val="center"/>
          </w:tcPr>
          <w:p w14:paraId="1F39ACCE">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r>
      <w:tr w14:paraId="6028AF20">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601" w:type="dxa"/>
            <w:vAlign w:val="center"/>
          </w:tcPr>
          <w:p w14:paraId="605F964A">
            <w:pPr>
              <w:autoSpaceDE w:val="0"/>
              <w:autoSpaceDN w:val="0"/>
              <w:spacing w:line="240" w:lineRule="auto"/>
              <w:ind w:firstLine="0" w:firstLineChars="0"/>
              <w:jc w:val="center"/>
              <w:rPr>
                <w:rFonts w:asciiTheme="minorHAnsi" w:hAnsiTheme="minorHAnsi" w:eastAsiaTheme="minorEastAsia" w:cstheme="minorBidi"/>
                <w:color w:val="000000" w:themeColor="text1"/>
                <w:spacing w:val="2"/>
                <w:sz w:val="21"/>
                <w:lang w:eastAsia="en-US"/>
                <w14:textFill>
                  <w14:solidFill>
                    <w14:schemeClr w14:val="tx1"/>
                  </w14:solidFill>
                </w14:textFill>
              </w:rPr>
            </w:pPr>
            <w:r>
              <w:rPr>
                <w:rFonts w:asciiTheme="minorHAnsi" w:hAnsiTheme="minorHAnsi" w:eastAsiaTheme="minorEastAsia" w:cstheme="minorBidi"/>
                <w:color w:val="000000" w:themeColor="text1"/>
                <w:spacing w:val="2"/>
                <w:sz w:val="21"/>
                <w:lang w:eastAsia="en-US"/>
                <w14:textFill>
                  <w14:solidFill>
                    <w14:schemeClr w14:val="tx1"/>
                  </w14:solidFill>
                </w14:textFill>
              </w:rPr>
              <w:t>S4</w:t>
            </w:r>
          </w:p>
        </w:tc>
        <w:tc>
          <w:tcPr>
            <w:tcW w:w="429" w:type="dxa"/>
            <w:vAlign w:val="center"/>
          </w:tcPr>
          <w:p w14:paraId="6209682A">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35C70002">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1430CA82">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20063F66">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69BBEF7B">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03155F9E">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473E8F1D">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2E18AD71">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4E5EFD9E">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7DBCA888">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3B62A4A1">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703CEB10">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1111FEC0">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232E9C13">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3FED67B2">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1ED8F7C9">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743AA41A">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32" w:type="dxa"/>
            <w:vAlign w:val="center"/>
          </w:tcPr>
          <w:p w14:paraId="0E099131">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r>
      <w:tr w14:paraId="05255CBD">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601" w:type="dxa"/>
            <w:vAlign w:val="center"/>
          </w:tcPr>
          <w:p w14:paraId="72677C2D">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r>
              <w:rPr>
                <w:rFonts w:asciiTheme="minorHAnsi" w:hAnsiTheme="minorHAnsi" w:eastAsiaTheme="minorEastAsia" w:cstheme="minorBidi"/>
                <w:color w:val="000000" w:themeColor="text1"/>
                <w:spacing w:val="7"/>
                <w:sz w:val="21"/>
                <w:lang w:eastAsia="en-US"/>
                <w14:textFill>
                  <w14:solidFill>
                    <w14:schemeClr w14:val="tx1"/>
                  </w14:solidFill>
                </w14:textFill>
              </w:rPr>
              <w:t>评价标准（二类）</w:t>
            </w:r>
          </w:p>
        </w:tc>
        <w:tc>
          <w:tcPr>
            <w:tcW w:w="429" w:type="dxa"/>
            <w:vAlign w:val="center"/>
          </w:tcPr>
          <w:p w14:paraId="1BDC85EA">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694AB077">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2BF73797">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2CB67ECC">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7B1FB3F9">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3102A972">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02AE118D">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67B4D6FA">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74126EDD">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45456ACD">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581DCC3E">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648B048D">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47C81EE5">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64850226">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4CA342D4">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600FB0AA">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3B1EB548">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32" w:type="dxa"/>
            <w:vAlign w:val="center"/>
          </w:tcPr>
          <w:p w14:paraId="1EAFAE08">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r>
      <w:tr w14:paraId="250271D8">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601" w:type="dxa"/>
            <w:vAlign w:val="center"/>
          </w:tcPr>
          <w:p w14:paraId="00BD2181">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r>
              <w:rPr>
                <w:rFonts w:asciiTheme="minorHAnsi" w:hAnsiTheme="minorHAnsi" w:eastAsiaTheme="minorEastAsia" w:cstheme="minorBidi"/>
                <w:color w:val="000000" w:themeColor="text1"/>
                <w:spacing w:val="6"/>
                <w:sz w:val="21"/>
                <w:lang w:eastAsia="en-US"/>
                <w14:textFill>
                  <w14:solidFill>
                    <w14:schemeClr w14:val="tx1"/>
                  </w14:solidFill>
                </w14:textFill>
              </w:rPr>
              <w:t>标准</w:t>
            </w:r>
            <w:r>
              <w:rPr>
                <w:rFonts w:asciiTheme="minorHAnsi" w:hAnsiTheme="minorHAnsi" w:eastAsiaTheme="minorEastAsia" w:cstheme="minorBidi"/>
                <w:color w:val="000000" w:themeColor="text1"/>
                <w:spacing w:val="3"/>
                <w:sz w:val="21"/>
                <w:lang w:eastAsia="en-US"/>
                <w14:textFill>
                  <w14:solidFill>
                    <w14:schemeClr w14:val="tx1"/>
                  </w14:solidFill>
                </w14:textFill>
              </w:rPr>
              <w:t>指数</w:t>
            </w:r>
          </w:p>
        </w:tc>
        <w:tc>
          <w:tcPr>
            <w:tcW w:w="429" w:type="dxa"/>
            <w:vAlign w:val="center"/>
          </w:tcPr>
          <w:p w14:paraId="2DEAA803">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0305116C">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5A060E38">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7DBC21CF">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308AFE4F">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586D85A8">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66AF6780">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14938102">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7CBBEEBE">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040EC535">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706758BF">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1630A41E">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7B163B9C">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505DD948">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75634B55">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1556EB62">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6BA3FEBE">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32" w:type="dxa"/>
            <w:vAlign w:val="center"/>
          </w:tcPr>
          <w:p w14:paraId="5B07263A">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r>
      <w:tr w14:paraId="72DE8531">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601" w:type="dxa"/>
            <w:vAlign w:val="center"/>
          </w:tcPr>
          <w:p w14:paraId="0E2A58DD">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r>
              <w:rPr>
                <w:rFonts w:asciiTheme="minorHAnsi" w:hAnsiTheme="minorHAnsi" w:eastAsiaTheme="minorEastAsia" w:cstheme="minorBidi"/>
                <w:color w:val="000000" w:themeColor="text1"/>
                <w:sz w:val="21"/>
                <w:lang w:eastAsia="en-US"/>
                <w14:textFill>
                  <w14:solidFill>
                    <w14:schemeClr w14:val="tx1"/>
                  </w14:solidFill>
                </w14:textFill>
              </w:rPr>
              <w:t>S5</w:t>
            </w:r>
          </w:p>
        </w:tc>
        <w:tc>
          <w:tcPr>
            <w:tcW w:w="429" w:type="dxa"/>
            <w:vAlign w:val="center"/>
          </w:tcPr>
          <w:p w14:paraId="692A732A">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4A1571FF">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7F66217F">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07BD304F">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7A17C43B">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58AB4ED9">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10A56283">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6FCD20AC">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66F2262F">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61B123E8">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77CE4B5F">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2D528386">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2C2D3F6C">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65717978">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262FF195">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3B6A7376">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3D34E5FC">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32" w:type="dxa"/>
            <w:vAlign w:val="center"/>
          </w:tcPr>
          <w:p w14:paraId="71988EF9">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r>
      <w:tr w14:paraId="3EA8B033">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601" w:type="dxa"/>
            <w:vAlign w:val="center"/>
          </w:tcPr>
          <w:p w14:paraId="24598FC0">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r>
              <w:rPr>
                <w:rFonts w:asciiTheme="minorHAnsi" w:hAnsiTheme="minorHAnsi" w:eastAsiaTheme="minorEastAsia" w:cstheme="minorBidi"/>
                <w:color w:val="000000" w:themeColor="text1"/>
                <w:spacing w:val="7"/>
                <w:sz w:val="21"/>
                <w:lang w:eastAsia="en-US"/>
                <w14:textFill>
                  <w14:solidFill>
                    <w14:schemeClr w14:val="tx1"/>
                  </w14:solidFill>
                </w14:textFill>
              </w:rPr>
              <w:t>评价标准（一类）</w:t>
            </w:r>
          </w:p>
        </w:tc>
        <w:tc>
          <w:tcPr>
            <w:tcW w:w="429" w:type="dxa"/>
            <w:vAlign w:val="center"/>
          </w:tcPr>
          <w:p w14:paraId="78E613CC">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4C3D8DB1">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017E06C6">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1040E95C">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2B85F855">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6F6B74E1">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767C9059">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22C8C82D">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19190D43">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5F42B56B">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51CE9C8E">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65046CDC">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1BBBB08B">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5A50B4EB">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23F6BD9A">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3FE0B65A">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1BFEF863">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32" w:type="dxa"/>
            <w:vAlign w:val="center"/>
          </w:tcPr>
          <w:p w14:paraId="78500C7E">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r>
      <w:tr w14:paraId="7DD588CE">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601" w:type="dxa"/>
            <w:vAlign w:val="center"/>
          </w:tcPr>
          <w:p w14:paraId="62CBFAE1">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r>
              <w:rPr>
                <w:rFonts w:asciiTheme="minorHAnsi" w:hAnsiTheme="minorHAnsi" w:eastAsiaTheme="minorEastAsia" w:cstheme="minorBidi"/>
                <w:color w:val="000000" w:themeColor="text1"/>
                <w:spacing w:val="6"/>
                <w:sz w:val="21"/>
                <w:lang w:eastAsia="en-US"/>
                <w14:textFill>
                  <w14:solidFill>
                    <w14:schemeClr w14:val="tx1"/>
                  </w14:solidFill>
                </w14:textFill>
              </w:rPr>
              <w:t>标准</w:t>
            </w:r>
            <w:r>
              <w:rPr>
                <w:rFonts w:asciiTheme="minorHAnsi" w:hAnsiTheme="minorHAnsi" w:eastAsiaTheme="minorEastAsia" w:cstheme="minorBidi"/>
                <w:color w:val="000000" w:themeColor="text1"/>
                <w:spacing w:val="3"/>
                <w:sz w:val="21"/>
                <w:lang w:eastAsia="en-US"/>
                <w14:textFill>
                  <w14:solidFill>
                    <w14:schemeClr w14:val="tx1"/>
                  </w14:solidFill>
                </w14:textFill>
              </w:rPr>
              <w:t>指数</w:t>
            </w:r>
          </w:p>
        </w:tc>
        <w:tc>
          <w:tcPr>
            <w:tcW w:w="429" w:type="dxa"/>
            <w:vAlign w:val="center"/>
          </w:tcPr>
          <w:p w14:paraId="569166CD">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1A717099">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3AD8D5DA">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1B8E14A3">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4A371716">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7E927A92">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142EF9ED">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211F36A3">
            <w:pPr>
              <w:widowControl/>
              <w:autoSpaceDE w:val="0"/>
              <w:autoSpaceDN w:val="0"/>
              <w:spacing w:line="240" w:lineRule="auto"/>
              <w:ind w:firstLine="0" w:firstLineChars="0"/>
              <w:jc w:val="center"/>
              <w:textAlignment w:val="center"/>
              <w:rPr>
                <w:rFonts w:asciiTheme="minorHAnsi" w:hAnsiTheme="minorHAnsi" w:eastAsiaTheme="minorEastAsia" w:cstheme="minorBidi"/>
                <w:b/>
                <w:bCs/>
                <w:color w:val="000000" w:themeColor="text1"/>
                <w:sz w:val="21"/>
                <w:lang w:eastAsia="en-US"/>
                <w14:textFill>
                  <w14:solidFill>
                    <w14:schemeClr w14:val="tx1"/>
                  </w14:solidFill>
                </w14:textFill>
              </w:rPr>
            </w:pPr>
          </w:p>
        </w:tc>
        <w:tc>
          <w:tcPr>
            <w:tcW w:w="429" w:type="dxa"/>
            <w:vAlign w:val="center"/>
          </w:tcPr>
          <w:p w14:paraId="4D9F4E98">
            <w:pPr>
              <w:widowControl/>
              <w:autoSpaceDE w:val="0"/>
              <w:autoSpaceDN w:val="0"/>
              <w:spacing w:line="240" w:lineRule="auto"/>
              <w:ind w:firstLine="0" w:firstLineChars="0"/>
              <w:jc w:val="center"/>
              <w:textAlignment w:val="center"/>
              <w:rPr>
                <w:rFonts w:asciiTheme="minorHAnsi" w:hAnsiTheme="minorHAnsi" w:eastAsiaTheme="minorEastAsia" w:cstheme="minorBidi"/>
                <w:b/>
                <w:bCs/>
                <w:color w:val="000000" w:themeColor="text1"/>
                <w:sz w:val="21"/>
                <w:lang w:eastAsia="en-US"/>
                <w14:textFill>
                  <w14:solidFill>
                    <w14:schemeClr w14:val="tx1"/>
                  </w14:solidFill>
                </w14:textFill>
              </w:rPr>
            </w:pPr>
          </w:p>
        </w:tc>
        <w:tc>
          <w:tcPr>
            <w:tcW w:w="429" w:type="dxa"/>
            <w:vAlign w:val="center"/>
          </w:tcPr>
          <w:p w14:paraId="0A43CC20">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206D70D5">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4C4F04B9">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549974F6">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464AC5C5">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4BECC1F1">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43AF48A3">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29" w:type="dxa"/>
            <w:vAlign w:val="center"/>
          </w:tcPr>
          <w:p w14:paraId="245B2226">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432" w:type="dxa"/>
            <w:vAlign w:val="center"/>
          </w:tcPr>
          <w:p w14:paraId="40FEE00E">
            <w:pPr>
              <w:widowControl/>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r>
    </w:tbl>
    <w:p w14:paraId="616C734A">
      <w:pPr>
        <w:pStyle w:val="42"/>
        <w:ind w:left="480" w:firstLine="480"/>
        <w:rPr>
          <w:color w:val="000000" w:themeColor="text1"/>
          <w:lang w:val="zh-CN" w:bidi="zh-CN"/>
          <w14:textFill>
            <w14:solidFill>
              <w14:schemeClr w14:val="tx1"/>
            </w14:solidFill>
          </w14:textFill>
        </w:rPr>
        <w:sectPr>
          <w:pgSz w:w="16838" w:h="11906" w:orient="landscape"/>
          <w:pgMar w:top="1797" w:right="1440" w:bottom="1797" w:left="1440" w:header="851" w:footer="680" w:gutter="0"/>
          <w:pgBorders>
            <w:top w:val="none" w:sz="0" w:space="0"/>
            <w:left w:val="none" w:sz="0" w:space="0"/>
            <w:bottom w:val="none" w:sz="0" w:space="0"/>
            <w:right w:val="none" w:sz="0" w:space="0"/>
          </w:pgBorders>
          <w:pgNumType w:fmt="numberInDash"/>
          <w:cols w:space="720" w:num="1"/>
          <w:docGrid w:type="lines" w:linePitch="312" w:charSpace="0"/>
        </w:sectPr>
      </w:pPr>
    </w:p>
    <w:p w14:paraId="1B27CEC2">
      <w:pPr>
        <w:pStyle w:val="4"/>
        <w:rPr>
          <w:color w:val="000000" w:themeColor="text1"/>
          <w:lang w:val="zh-CN"/>
          <w14:textFill>
            <w14:solidFill>
              <w14:schemeClr w14:val="tx1"/>
            </w14:solidFill>
          </w14:textFill>
        </w:rPr>
      </w:pPr>
      <w:bookmarkStart w:id="632" w:name="_Toc136878498"/>
      <w:bookmarkStart w:id="633" w:name="_Toc216620562"/>
      <w:r>
        <w:rPr>
          <w:color w:val="000000" w:themeColor="text1"/>
          <w:lang w:val="zh-CN"/>
          <w14:textFill>
            <w14:solidFill>
              <w14:schemeClr w14:val="tx1"/>
            </w14:solidFill>
          </w14:textFill>
        </w:rPr>
        <w:t>海洋沉积物质量状况</w:t>
      </w:r>
      <w:bookmarkEnd w:id="632"/>
      <w:bookmarkEnd w:id="633"/>
    </w:p>
    <w:p w14:paraId="762BA5FA">
      <w:pPr>
        <w:ind w:firstLine="480"/>
        <w:rPr>
          <w:color w:val="000000" w:themeColor="text1"/>
          <w:lang w:val="zh-CN" w:bidi="zh-CN"/>
          <w14:textFill>
            <w14:solidFill>
              <w14:schemeClr w14:val="tx1"/>
            </w14:solidFill>
          </w14:textFill>
        </w:rPr>
      </w:pPr>
      <w:bookmarkStart w:id="634" w:name="8.3.2.1沉积物环境质量现状调查与结果"/>
      <w:bookmarkEnd w:id="634"/>
      <w:r>
        <w:rPr>
          <w:color w:val="000000" w:themeColor="text1"/>
          <w:lang w:val="zh-CN" w:bidi="zh-CN"/>
          <w14:textFill>
            <w14:solidFill>
              <w14:schemeClr w14:val="tx1"/>
            </w14:solidFill>
          </w14:textFill>
        </w:rPr>
        <w:t>1、监测项目和调查分析方法</w:t>
      </w:r>
    </w:p>
    <w:p w14:paraId="7A6DF71D">
      <w:pPr>
        <w:adjustRightInd w:val="0"/>
        <w:snapToGrid w:val="0"/>
        <w:ind w:firstLine="480"/>
        <w:rPr>
          <w:color w:val="000000" w:themeColor="text1"/>
          <w:lang w:val="zh-CN" w:bidi="zh-CN"/>
          <w14:textFill>
            <w14:solidFill>
              <w14:schemeClr w14:val="tx1"/>
            </w14:solidFill>
          </w14:textFill>
        </w:rPr>
      </w:pPr>
      <w:r>
        <w:rPr>
          <w:color w:val="000000" w:themeColor="text1"/>
          <w:szCs w:val="22"/>
          <w14:textFill>
            <w14:solidFill>
              <w14:schemeClr w14:val="tx1"/>
            </w14:solidFill>
          </w14:textFill>
        </w:rPr>
        <w:t>沉积物调查项目包括铜、铅、锌、镉、铬、汞、砷、石油类、硫化物以及有机碳共 10项。样品的采集、贮存、运输及分析均按《海洋监测规范》（GB17378－2007）和《海洋调查规范》（GB12763-2007）执行。沉积物调查项目及测定方法、检出限见下表。监测报告见附件</w:t>
      </w:r>
      <w:r>
        <w:rPr>
          <w:rFonts w:hint="eastAsia"/>
          <w:color w:val="000000" w:themeColor="text1"/>
          <w:szCs w:val="22"/>
          <w14:textFill>
            <w14:solidFill>
              <w14:schemeClr w14:val="tx1"/>
            </w14:solidFill>
          </w14:textFill>
        </w:rPr>
        <w:t>6。</w:t>
      </w:r>
    </w:p>
    <w:p w14:paraId="58828E05">
      <w:pPr>
        <w:pStyle w:val="7"/>
        <w:rPr>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沉积物调查项目及分析方法、检出限</w:t>
      </w:r>
    </w:p>
    <w:tbl>
      <w:tblPr>
        <w:tblStyle w:val="43"/>
        <w:tblW w:w="8779" w:type="dxa"/>
        <w:tblInd w:w="-5"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1212"/>
        <w:gridCol w:w="1499"/>
        <w:gridCol w:w="4360"/>
        <w:gridCol w:w="1708"/>
      </w:tblGrid>
      <w:tr w14:paraId="13793344">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75" w:hRule="atLeast"/>
        </w:trPr>
        <w:tc>
          <w:tcPr>
            <w:tcW w:w="1212" w:type="dxa"/>
            <w:vAlign w:val="center"/>
          </w:tcPr>
          <w:p w14:paraId="55AF086B">
            <w:pPr>
              <w:widowControl/>
              <w:adjustRightInd w:val="0"/>
              <w:snapToGrid w:val="0"/>
              <w:spacing w:line="0" w:lineRule="atLeast"/>
              <w:ind w:firstLine="0" w:firstLineChars="0"/>
              <w:jc w:val="center"/>
              <w:rPr>
                <w:rFonts w:eastAsiaTheme="minorEastAsia"/>
                <w:b/>
                <w:color w:val="000000" w:themeColor="text1"/>
                <w:sz w:val="21"/>
                <w:szCs w:val="21"/>
                <w:lang w:val="zh-CN" w:eastAsia="en-US" w:bidi="zh-CN"/>
                <w14:textFill>
                  <w14:solidFill>
                    <w14:schemeClr w14:val="tx1"/>
                  </w14:solidFill>
                </w14:textFill>
              </w:rPr>
            </w:pPr>
            <w:r>
              <w:rPr>
                <w:rFonts w:eastAsiaTheme="minorEastAsia"/>
                <w:b/>
                <w:color w:val="000000" w:themeColor="text1"/>
                <w:sz w:val="21"/>
                <w:szCs w:val="21"/>
                <w:lang w:val="zh-CN" w:eastAsia="en-US" w:bidi="zh-CN"/>
                <w14:textFill>
                  <w14:solidFill>
                    <w14:schemeClr w14:val="tx1"/>
                  </w14:solidFill>
                </w14:textFill>
              </w:rPr>
              <w:t>序号</w:t>
            </w:r>
          </w:p>
        </w:tc>
        <w:tc>
          <w:tcPr>
            <w:tcW w:w="1499" w:type="dxa"/>
            <w:vAlign w:val="center"/>
          </w:tcPr>
          <w:p w14:paraId="7ED6544F">
            <w:pPr>
              <w:widowControl/>
              <w:adjustRightInd w:val="0"/>
              <w:snapToGrid w:val="0"/>
              <w:spacing w:line="0" w:lineRule="atLeast"/>
              <w:ind w:firstLine="0" w:firstLineChars="0"/>
              <w:jc w:val="center"/>
              <w:rPr>
                <w:rFonts w:eastAsia="Times New Roman"/>
                <w:b/>
                <w:color w:val="000000" w:themeColor="text1"/>
                <w:sz w:val="21"/>
                <w:szCs w:val="21"/>
                <w:lang w:val="zh-CN" w:eastAsia="en-US" w:bidi="zh-CN"/>
                <w14:textFill>
                  <w14:solidFill>
                    <w14:schemeClr w14:val="tx1"/>
                  </w14:solidFill>
                </w14:textFill>
              </w:rPr>
            </w:pPr>
            <w:r>
              <w:rPr>
                <w:b/>
                <w:color w:val="000000" w:themeColor="text1"/>
                <w:sz w:val="21"/>
                <w:szCs w:val="21"/>
                <w:lang w:val="zh-CN" w:eastAsia="en-US" w:bidi="zh-CN"/>
                <w14:textFill>
                  <w14:solidFill>
                    <w14:schemeClr w14:val="tx1"/>
                  </w14:solidFill>
                </w14:textFill>
              </w:rPr>
              <w:t>项目</w:t>
            </w:r>
          </w:p>
        </w:tc>
        <w:tc>
          <w:tcPr>
            <w:tcW w:w="4360" w:type="dxa"/>
            <w:vAlign w:val="center"/>
          </w:tcPr>
          <w:p w14:paraId="37E0DE24">
            <w:pPr>
              <w:widowControl/>
              <w:adjustRightInd w:val="0"/>
              <w:snapToGrid w:val="0"/>
              <w:spacing w:line="0" w:lineRule="atLeast"/>
              <w:ind w:firstLine="0" w:firstLineChars="0"/>
              <w:jc w:val="center"/>
              <w:rPr>
                <w:rFonts w:eastAsia="Times New Roman"/>
                <w:b/>
                <w:color w:val="000000" w:themeColor="text1"/>
                <w:sz w:val="21"/>
                <w:szCs w:val="21"/>
                <w:lang w:val="zh-CN" w:eastAsia="en-US" w:bidi="zh-CN"/>
                <w14:textFill>
                  <w14:solidFill>
                    <w14:schemeClr w14:val="tx1"/>
                  </w14:solidFill>
                </w14:textFill>
              </w:rPr>
            </w:pPr>
            <w:r>
              <w:rPr>
                <w:b/>
                <w:color w:val="000000" w:themeColor="text1"/>
                <w:sz w:val="21"/>
                <w:szCs w:val="21"/>
                <w:lang w:val="zh-CN" w:eastAsia="en-US" w:bidi="zh-CN"/>
                <w14:textFill>
                  <w14:solidFill>
                    <w14:schemeClr w14:val="tx1"/>
                  </w14:solidFill>
                </w14:textFill>
              </w:rPr>
              <w:t>分析方法</w:t>
            </w:r>
          </w:p>
        </w:tc>
        <w:tc>
          <w:tcPr>
            <w:tcW w:w="1708" w:type="dxa"/>
            <w:vAlign w:val="center"/>
          </w:tcPr>
          <w:p w14:paraId="6A20F4C3">
            <w:pPr>
              <w:widowControl/>
              <w:adjustRightInd w:val="0"/>
              <w:snapToGrid w:val="0"/>
              <w:spacing w:line="0" w:lineRule="atLeast"/>
              <w:ind w:firstLine="0" w:firstLineChars="0"/>
              <w:jc w:val="center"/>
              <w:rPr>
                <w:rFonts w:eastAsia="Times New Roman"/>
                <w:b/>
                <w:color w:val="000000" w:themeColor="text1"/>
                <w:sz w:val="21"/>
                <w:szCs w:val="21"/>
                <w:lang w:val="zh-CN" w:eastAsia="en-US" w:bidi="zh-CN"/>
                <w14:textFill>
                  <w14:solidFill>
                    <w14:schemeClr w14:val="tx1"/>
                  </w14:solidFill>
                </w14:textFill>
              </w:rPr>
            </w:pPr>
            <w:r>
              <w:rPr>
                <w:b/>
                <w:color w:val="000000" w:themeColor="text1"/>
                <w:sz w:val="21"/>
                <w:szCs w:val="21"/>
                <w:lang w:val="zh-CN" w:eastAsia="en-US" w:bidi="zh-CN"/>
                <w14:textFill>
                  <w14:solidFill>
                    <w14:schemeClr w14:val="tx1"/>
                  </w14:solidFill>
                </w14:textFill>
              </w:rPr>
              <w:t>检出限</w:t>
            </w:r>
          </w:p>
        </w:tc>
      </w:tr>
      <w:tr w14:paraId="37304151">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24" w:hRule="atLeast"/>
        </w:trPr>
        <w:tc>
          <w:tcPr>
            <w:tcW w:w="1212" w:type="dxa"/>
            <w:vAlign w:val="center"/>
          </w:tcPr>
          <w:p w14:paraId="32FE509B">
            <w:pPr>
              <w:widowControl/>
              <w:adjustRightInd w:val="0"/>
              <w:snapToGrid w:val="0"/>
              <w:spacing w:line="0" w:lineRule="atLeast"/>
              <w:ind w:firstLine="0" w:firstLineChars="0"/>
              <w:jc w:val="center"/>
              <w:rPr>
                <w:rFonts w:eastAsiaTheme="minorEastAsia"/>
                <w:color w:val="000000" w:themeColor="text1"/>
                <w:sz w:val="21"/>
                <w:szCs w:val="21"/>
                <w:lang w:val="zh-CN" w:eastAsia="en-US" w:bidi="zh-CN"/>
                <w14:textFill>
                  <w14:solidFill>
                    <w14:schemeClr w14:val="tx1"/>
                  </w14:solidFill>
                </w14:textFill>
              </w:rPr>
            </w:pPr>
            <w:r>
              <w:rPr>
                <w:rFonts w:eastAsiaTheme="minorEastAsia"/>
                <w:color w:val="000000" w:themeColor="text1"/>
                <w:sz w:val="21"/>
                <w:szCs w:val="21"/>
                <w:lang w:val="zh-CN" w:eastAsia="en-US" w:bidi="zh-CN"/>
                <w14:textFill>
                  <w14:solidFill>
                    <w14:schemeClr w14:val="tx1"/>
                  </w14:solidFill>
                </w14:textFill>
              </w:rPr>
              <w:t>1</w:t>
            </w:r>
          </w:p>
        </w:tc>
        <w:tc>
          <w:tcPr>
            <w:tcW w:w="1499" w:type="dxa"/>
            <w:vAlign w:val="center"/>
          </w:tcPr>
          <w:p w14:paraId="6483098A">
            <w:pPr>
              <w:widowControl/>
              <w:adjustRightInd w:val="0"/>
              <w:snapToGrid w:val="0"/>
              <w:spacing w:line="0" w:lineRule="atLeast"/>
              <w:ind w:firstLine="0" w:firstLineChars="0"/>
              <w:jc w:val="center"/>
              <w:rPr>
                <w:rFonts w:eastAsia="Times New Roman"/>
                <w:color w:val="000000" w:themeColor="text1"/>
                <w:sz w:val="21"/>
                <w:szCs w:val="21"/>
                <w:lang w:val="zh-CN" w:eastAsia="en-US" w:bidi="zh-CN"/>
                <w14:textFill>
                  <w14:solidFill>
                    <w14:schemeClr w14:val="tx1"/>
                  </w14:solidFill>
                </w14:textFill>
              </w:rPr>
            </w:pPr>
            <w:r>
              <w:rPr>
                <w:color w:val="000000" w:themeColor="text1"/>
                <w:sz w:val="21"/>
                <w:szCs w:val="21"/>
                <w:lang w:val="zh-CN" w:eastAsia="en-US" w:bidi="zh-CN"/>
                <w14:textFill>
                  <w14:solidFill>
                    <w14:schemeClr w14:val="tx1"/>
                  </w14:solidFill>
                </w14:textFill>
              </w:rPr>
              <w:t>铜</w:t>
            </w:r>
          </w:p>
        </w:tc>
        <w:tc>
          <w:tcPr>
            <w:tcW w:w="4360" w:type="dxa"/>
            <w:vAlign w:val="center"/>
          </w:tcPr>
          <w:p w14:paraId="7333845B">
            <w:pPr>
              <w:widowControl/>
              <w:adjustRightInd w:val="0"/>
              <w:snapToGrid w:val="0"/>
              <w:spacing w:line="0" w:lineRule="atLeast"/>
              <w:ind w:firstLine="0" w:firstLineChars="0"/>
              <w:jc w:val="center"/>
              <w:rPr>
                <w:rFonts w:eastAsia="Times New Roman"/>
                <w:color w:val="000000" w:themeColor="text1"/>
                <w:sz w:val="21"/>
                <w:szCs w:val="21"/>
                <w:lang w:val="zh-CN" w:bidi="zh-CN"/>
                <w14:textFill>
                  <w14:solidFill>
                    <w14:schemeClr w14:val="tx1"/>
                  </w14:solidFill>
                </w14:textFill>
              </w:rPr>
            </w:pPr>
            <w:r>
              <w:rPr>
                <w:color w:val="000000" w:themeColor="text1"/>
                <w:sz w:val="21"/>
                <w:szCs w:val="21"/>
                <w:lang w:val="zh-CN" w:bidi="zh-CN"/>
                <w14:textFill>
                  <w14:solidFill>
                    <w14:schemeClr w14:val="tx1"/>
                  </w14:solidFill>
                </w14:textFill>
              </w:rPr>
              <w:t>火焰原子吸收分光光度法</w:t>
            </w:r>
          </w:p>
        </w:tc>
        <w:tc>
          <w:tcPr>
            <w:tcW w:w="1708" w:type="dxa"/>
            <w:vAlign w:val="center"/>
          </w:tcPr>
          <w:p w14:paraId="50185266">
            <w:pPr>
              <w:widowControl/>
              <w:adjustRightInd w:val="0"/>
              <w:snapToGrid w:val="0"/>
              <w:spacing w:line="0" w:lineRule="atLeast"/>
              <w:ind w:firstLine="0" w:firstLineChars="0"/>
              <w:jc w:val="center"/>
              <w:rPr>
                <w:rFonts w:eastAsia="Times New Roman"/>
                <w:color w:val="000000" w:themeColor="text1"/>
                <w:sz w:val="21"/>
                <w:szCs w:val="21"/>
                <w:lang w:val="zh-CN" w:eastAsia="en-US" w:bidi="zh-CN"/>
                <w14:textFill>
                  <w14:solidFill>
                    <w14:schemeClr w14:val="tx1"/>
                  </w14:solidFill>
                </w14:textFill>
              </w:rPr>
            </w:pPr>
            <w:r>
              <w:rPr>
                <w:rFonts w:eastAsia="Times New Roman"/>
                <w:color w:val="000000" w:themeColor="text1"/>
                <w:sz w:val="21"/>
                <w:szCs w:val="21"/>
                <w:lang w:val="zh-CN" w:eastAsia="en-US" w:bidi="zh-CN"/>
                <w14:textFill>
                  <w14:solidFill>
                    <w14:schemeClr w14:val="tx1"/>
                  </w14:solidFill>
                </w14:textFill>
              </w:rPr>
              <w:t>0.5×10</w:t>
            </w:r>
            <w:r>
              <w:rPr>
                <w:rFonts w:eastAsia="Times New Roman"/>
                <w:color w:val="000000" w:themeColor="text1"/>
                <w:sz w:val="21"/>
                <w:szCs w:val="21"/>
                <w:vertAlign w:val="superscript"/>
                <w:lang w:val="zh-CN" w:eastAsia="en-US" w:bidi="zh-CN"/>
                <w14:textFill>
                  <w14:solidFill>
                    <w14:schemeClr w14:val="tx1"/>
                  </w14:solidFill>
                </w14:textFill>
              </w:rPr>
              <w:t>-6</w:t>
            </w:r>
          </w:p>
        </w:tc>
      </w:tr>
      <w:tr w14:paraId="5E29A132">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71" w:hRule="atLeast"/>
        </w:trPr>
        <w:tc>
          <w:tcPr>
            <w:tcW w:w="1212" w:type="dxa"/>
            <w:vAlign w:val="center"/>
          </w:tcPr>
          <w:p w14:paraId="1F48DED0">
            <w:pPr>
              <w:widowControl/>
              <w:adjustRightInd w:val="0"/>
              <w:snapToGrid w:val="0"/>
              <w:spacing w:line="0" w:lineRule="atLeast"/>
              <w:ind w:firstLine="0" w:firstLineChars="0"/>
              <w:jc w:val="center"/>
              <w:rPr>
                <w:rFonts w:eastAsiaTheme="minorEastAsia"/>
                <w:color w:val="000000" w:themeColor="text1"/>
                <w:sz w:val="21"/>
                <w:szCs w:val="21"/>
                <w:lang w:val="zh-CN" w:eastAsia="en-US" w:bidi="zh-CN"/>
                <w14:textFill>
                  <w14:solidFill>
                    <w14:schemeClr w14:val="tx1"/>
                  </w14:solidFill>
                </w14:textFill>
              </w:rPr>
            </w:pPr>
            <w:r>
              <w:rPr>
                <w:rFonts w:eastAsiaTheme="minorEastAsia"/>
                <w:color w:val="000000" w:themeColor="text1"/>
                <w:sz w:val="21"/>
                <w:szCs w:val="21"/>
                <w:lang w:val="zh-CN" w:eastAsia="en-US" w:bidi="zh-CN"/>
                <w14:textFill>
                  <w14:solidFill>
                    <w14:schemeClr w14:val="tx1"/>
                  </w14:solidFill>
                </w14:textFill>
              </w:rPr>
              <w:t>2</w:t>
            </w:r>
          </w:p>
        </w:tc>
        <w:tc>
          <w:tcPr>
            <w:tcW w:w="1499" w:type="dxa"/>
            <w:vAlign w:val="center"/>
          </w:tcPr>
          <w:p w14:paraId="0FE0E483">
            <w:pPr>
              <w:widowControl/>
              <w:adjustRightInd w:val="0"/>
              <w:snapToGrid w:val="0"/>
              <w:spacing w:line="0" w:lineRule="atLeast"/>
              <w:ind w:firstLine="0" w:firstLineChars="0"/>
              <w:jc w:val="center"/>
              <w:rPr>
                <w:rFonts w:eastAsia="Times New Roman"/>
                <w:color w:val="000000" w:themeColor="text1"/>
                <w:sz w:val="21"/>
                <w:szCs w:val="21"/>
                <w:lang w:val="zh-CN" w:eastAsia="en-US" w:bidi="zh-CN"/>
                <w14:textFill>
                  <w14:solidFill>
                    <w14:schemeClr w14:val="tx1"/>
                  </w14:solidFill>
                </w14:textFill>
              </w:rPr>
            </w:pPr>
            <w:r>
              <w:rPr>
                <w:color w:val="000000" w:themeColor="text1"/>
                <w:sz w:val="21"/>
                <w:szCs w:val="21"/>
                <w:lang w:val="zh-CN" w:eastAsia="en-US" w:bidi="zh-CN"/>
                <w14:textFill>
                  <w14:solidFill>
                    <w14:schemeClr w14:val="tx1"/>
                  </w14:solidFill>
                </w14:textFill>
              </w:rPr>
              <w:t>铅</w:t>
            </w:r>
          </w:p>
        </w:tc>
        <w:tc>
          <w:tcPr>
            <w:tcW w:w="4360" w:type="dxa"/>
            <w:vAlign w:val="center"/>
          </w:tcPr>
          <w:p w14:paraId="570F1E0E">
            <w:pPr>
              <w:widowControl/>
              <w:adjustRightInd w:val="0"/>
              <w:snapToGrid w:val="0"/>
              <w:spacing w:line="0" w:lineRule="atLeast"/>
              <w:ind w:firstLine="0" w:firstLineChars="0"/>
              <w:jc w:val="center"/>
              <w:rPr>
                <w:rFonts w:eastAsia="Times New Roman"/>
                <w:color w:val="000000" w:themeColor="text1"/>
                <w:sz w:val="21"/>
                <w:szCs w:val="21"/>
                <w:lang w:val="zh-CN" w:bidi="zh-CN"/>
                <w14:textFill>
                  <w14:solidFill>
                    <w14:schemeClr w14:val="tx1"/>
                  </w14:solidFill>
                </w14:textFill>
              </w:rPr>
            </w:pPr>
            <w:r>
              <w:rPr>
                <w:color w:val="000000" w:themeColor="text1"/>
                <w:sz w:val="21"/>
                <w:szCs w:val="21"/>
                <w:lang w:val="zh-CN" w:bidi="zh-CN"/>
                <w14:textFill>
                  <w14:solidFill>
                    <w14:schemeClr w14:val="tx1"/>
                  </w14:solidFill>
                </w14:textFill>
              </w:rPr>
              <w:t>火焰原子吸收分光光度法</w:t>
            </w:r>
          </w:p>
        </w:tc>
        <w:tc>
          <w:tcPr>
            <w:tcW w:w="1708" w:type="dxa"/>
            <w:vAlign w:val="center"/>
          </w:tcPr>
          <w:p w14:paraId="5EB3AB97">
            <w:pPr>
              <w:widowControl/>
              <w:adjustRightInd w:val="0"/>
              <w:snapToGrid w:val="0"/>
              <w:spacing w:line="0" w:lineRule="atLeast"/>
              <w:ind w:firstLine="0" w:firstLineChars="0"/>
              <w:jc w:val="center"/>
              <w:rPr>
                <w:rFonts w:eastAsia="Times New Roman"/>
                <w:color w:val="000000" w:themeColor="text1"/>
                <w:sz w:val="21"/>
                <w:szCs w:val="21"/>
                <w:lang w:val="zh-CN" w:eastAsia="en-US" w:bidi="zh-CN"/>
                <w14:textFill>
                  <w14:solidFill>
                    <w14:schemeClr w14:val="tx1"/>
                  </w14:solidFill>
                </w14:textFill>
              </w:rPr>
            </w:pPr>
            <w:r>
              <w:rPr>
                <w:rFonts w:eastAsia="Times New Roman"/>
                <w:color w:val="000000" w:themeColor="text1"/>
                <w:sz w:val="21"/>
                <w:szCs w:val="21"/>
                <w:lang w:val="zh-CN" w:eastAsia="en-US" w:bidi="zh-CN"/>
                <w14:textFill>
                  <w14:solidFill>
                    <w14:schemeClr w14:val="tx1"/>
                  </w14:solidFill>
                </w14:textFill>
              </w:rPr>
              <w:t>1×10</w:t>
            </w:r>
            <w:r>
              <w:rPr>
                <w:rFonts w:eastAsia="Times New Roman"/>
                <w:color w:val="000000" w:themeColor="text1"/>
                <w:sz w:val="21"/>
                <w:szCs w:val="21"/>
                <w:vertAlign w:val="superscript"/>
                <w:lang w:val="zh-CN" w:eastAsia="en-US" w:bidi="zh-CN"/>
                <w14:textFill>
                  <w14:solidFill>
                    <w14:schemeClr w14:val="tx1"/>
                  </w14:solidFill>
                </w14:textFill>
              </w:rPr>
              <w:t>-6</w:t>
            </w:r>
          </w:p>
        </w:tc>
      </w:tr>
      <w:tr w14:paraId="4FF3A9F1">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86" w:hRule="atLeast"/>
        </w:trPr>
        <w:tc>
          <w:tcPr>
            <w:tcW w:w="1212" w:type="dxa"/>
            <w:vAlign w:val="center"/>
          </w:tcPr>
          <w:p w14:paraId="619C0E5E">
            <w:pPr>
              <w:widowControl/>
              <w:adjustRightInd w:val="0"/>
              <w:snapToGrid w:val="0"/>
              <w:spacing w:line="0" w:lineRule="atLeast"/>
              <w:ind w:firstLine="0" w:firstLineChars="0"/>
              <w:jc w:val="center"/>
              <w:rPr>
                <w:rFonts w:eastAsiaTheme="minorEastAsia"/>
                <w:color w:val="000000" w:themeColor="text1"/>
                <w:sz w:val="21"/>
                <w:szCs w:val="21"/>
                <w:lang w:val="zh-CN" w:eastAsia="en-US" w:bidi="zh-CN"/>
                <w14:textFill>
                  <w14:solidFill>
                    <w14:schemeClr w14:val="tx1"/>
                  </w14:solidFill>
                </w14:textFill>
              </w:rPr>
            </w:pPr>
            <w:r>
              <w:rPr>
                <w:rFonts w:eastAsiaTheme="minorEastAsia"/>
                <w:color w:val="000000" w:themeColor="text1"/>
                <w:sz w:val="21"/>
                <w:szCs w:val="21"/>
                <w:lang w:val="zh-CN" w:eastAsia="en-US" w:bidi="zh-CN"/>
                <w14:textFill>
                  <w14:solidFill>
                    <w14:schemeClr w14:val="tx1"/>
                  </w14:solidFill>
                </w14:textFill>
              </w:rPr>
              <w:t>3</w:t>
            </w:r>
          </w:p>
        </w:tc>
        <w:tc>
          <w:tcPr>
            <w:tcW w:w="1499" w:type="dxa"/>
            <w:vAlign w:val="center"/>
          </w:tcPr>
          <w:p w14:paraId="119CEED3">
            <w:pPr>
              <w:widowControl/>
              <w:adjustRightInd w:val="0"/>
              <w:snapToGrid w:val="0"/>
              <w:spacing w:line="0" w:lineRule="atLeast"/>
              <w:ind w:firstLine="0" w:firstLineChars="0"/>
              <w:jc w:val="center"/>
              <w:rPr>
                <w:rFonts w:eastAsia="Times New Roman"/>
                <w:color w:val="000000" w:themeColor="text1"/>
                <w:sz w:val="21"/>
                <w:szCs w:val="21"/>
                <w:lang w:val="zh-CN" w:eastAsia="en-US" w:bidi="zh-CN"/>
                <w14:textFill>
                  <w14:solidFill>
                    <w14:schemeClr w14:val="tx1"/>
                  </w14:solidFill>
                </w14:textFill>
              </w:rPr>
            </w:pPr>
            <w:r>
              <w:rPr>
                <w:color w:val="000000" w:themeColor="text1"/>
                <w:sz w:val="21"/>
                <w:szCs w:val="21"/>
                <w:lang w:val="zh-CN" w:eastAsia="en-US" w:bidi="zh-CN"/>
                <w14:textFill>
                  <w14:solidFill>
                    <w14:schemeClr w14:val="tx1"/>
                  </w14:solidFill>
                </w14:textFill>
              </w:rPr>
              <w:t>锌</w:t>
            </w:r>
          </w:p>
        </w:tc>
        <w:tc>
          <w:tcPr>
            <w:tcW w:w="4360" w:type="dxa"/>
            <w:vAlign w:val="center"/>
          </w:tcPr>
          <w:p w14:paraId="6816451E">
            <w:pPr>
              <w:widowControl/>
              <w:adjustRightInd w:val="0"/>
              <w:snapToGrid w:val="0"/>
              <w:spacing w:line="0" w:lineRule="atLeast"/>
              <w:ind w:firstLine="0" w:firstLineChars="0"/>
              <w:jc w:val="center"/>
              <w:rPr>
                <w:rFonts w:eastAsia="Times New Roman"/>
                <w:color w:val="000000" w:themeColor="text1"/>
                <w:sz w:val="21"/>
                <w:szCs w:val="21"/>
                <w:lang w:val="zh-CN" w:bidi="zh-CN"/>
                <w14:textFill>
                  <w14:solidFill>
                    <w14:schemeClr w14:val="tx1"/>
                  </w14:solidFill>
                </w14:textFill>
              </w:rPr>
            </w:pPr>
            <w:r>
              <w:rPr>
                <w:color w:val="000000" w:themeColor="text1"/>
                <w:sz w:val="21"/>
                <w:szCs w:val="21"/>
                <w:lang w:val="zh-CN" w:bidi="zh-CN"/>
                <w14:textFill>
                  <w14:solidFill>
                    <w14:schemeClr w14:val="tx1"/>
                  </w14:solidFill>
                </w14:textFill>
              </w:rPr>
              <w:t>火焰原子吸收分光光度法</w:t>
            </w:r>
          </w:p>
        </w:tc>
        <w:tc>
          <w:tcPr>
            <w:tcW w:w="1708" w:type="dxa"/>
            <w:vAlign w:val="center"/>
          </w:tcPr>
          <w:p w14:paraId="38A99485">
            <w:pPr>
              <w:widowControl/>
              <w:adjustRightInd w:val="0"/>
              <w:snapToGrid w:val="0"/>
              <w:spacing w:line="0" w:lineRule="atLeast"/>
              <w:ind w:firstLine="0" w:firstLineChars="0"/>
              <w:jc w:val="center"/>
              <w:rPr>
                <w:rFonts w:eastAsia="Times New Roman"/>
                <w:color w:val="000000" w:themeColor="text1"/>
                <w:sz w:val="21"/>
                <w:szCs w:val="21"/>
                <w:lang w:val="zh-CN" w:eastAsia="en-US" w:bidi="zh-CN"/>
                <w14:textFill>
                  <w14:solidFill>
                    <w14:schemeClr w14:val="tx1"/>
                  </w14:solidFill>
                </w14:textFill>
              </w:rPr>
            </w:pPr>
            <w:r>
              <w:rPr>
                <w:rFonts w:eastAsia="Times New Roman"/>
                <w:color w:val="000000" w:themeColor="text1"/>
                <w:sz w:val="21"/>
                <w:szCs w:val="21"/>
                <w:lang w:val="zh-CN" w:eastAsia="en-US" w:bidi="zh-CN"/>
                <w14:textFill>
                  <w14:solidFill>
                    <w14:schemeClr w14:val="tx1"/>
                  </w14:solidFill>
                </w14:textFill>
              </w:rPr>
              <w:t>6×10</w:t>
            </w:r>
            <w:r>
              <w:rPr>
                <w:rFonts w:eastAsia="Times New Roman"/>
                <w:color w:val="000000" w:themeColor="text1"/>
                <w:sz w:val="21"/>
                <w:szCs w:val="21"/>
                <w:vertAlign w:val="superscript"/>
                <w:lang w:val="zh-CN" w:eastAsia="en-US" w:bidi="zh-CN"/>
                <w14:textFill>
                  <w14:solidFill>
                    <w14:schemeClr w14:val="tx1"/>
                  </w14:solidFill>
                </w14:textFill>
              </w:rPr>
              <w:t>-6</w:t>
            </w:r>
          </w:p>
        </w:tc>
      </w:tr>
      <w:tr w14:paraId="7ACDA30D">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77" w:hRule="atLeast"/>
        </w:trPr>
        <w:tc>
          <w:tcPr>
            <w:tcW w:w="1212" w:type="dxa"/>
            <w:vAlign w:val="center"/>
          </w:tcPr>
          <w:p w14:paraId="5E7B1AA8">
            <w:pPr>
              <w:widowControl/>
              <w:adjustRightInd w:val="0"/>
              <w:snapToGrid w:val="0"/>
              <w:spacing w:line="0" w:lineRule="atLeast"/>
              <w:ind w:firstLine="0" w:firstLineChars="0"/>
              <w:jc w:val="center"/>
              <w:rPr>
                <w:rFonts w:eastAsiaTheme="minorEastAsia"/>
                <w:color w:val="000000" w:themeColor="text1"/>
                <w:sz w:val="21"/>
                <w:szCs w:val="21"/>
                <w:lang w:val="zh-CN" w:eastAsia="en-US" w:bidi="zh-CN"/>
                <w14:textFill>
                  <w14:solidFill>
                    <w14:schemeClr w14:val="tx1"/>
                  </w14:solidFill>
                </w14:textFill>
              </w:rPr>
            </w:pPr>
            <w:r>
              <w:rPr>
                <w:rFonts w:eastAsiaTheme="minorEastAsia"/>
                <w:color w:val="000000" w:themeColor="text1"/>
                <w:sz w:val="21"/>
                <w:szCs w:val="21"/>
                <w:lang w:val="zh-CN" w:eastAsia="en-US" w:bidi="zh-CN"/>
                <w14:textFill>
                  <w14:solidFill>
                    <w14:schemeClr w14:val="tx1"/>
                  </w14:solidFill>
                </w14:textFill>
              </w:rPr>
              <w:t>4</w:t>
            </w:r>
          </w:p>
        </w:tc>
        <w:tc>
          <w:tcPr>
            <w:tcW w:w="1499" w:type="dxa"/>
            <w:vAlign w:val="center"/>
          </w:tcPr>
          <w:p w14:paraId="244D783F">
            <w:pPr>
              <w:widowControl/>
              <w:adjustRightInd w:val="0"/>
              <w:snapToGrid w:val="0"/>
              <w:spacing w:line="0" w:lineRule="atLeast"/>
              <w:ind w:firstLine="0" w:firstLineChars="0"/>
              <w:jc w:val="center"/>
              <w:rPr>
                <w:rFonts w:eastAsia="Times New Roman"/>
                <w:color w:val="000000" w:themeColor="text1"/>
                <w:sz w:val="21"/>
                <w:szCs w:val="21"/>
                <w:lang w:val="zh-CN" w:eastAsia="en-US" w:bidi="zh-CN"/>
                <w14:textFill>
                  <w14:solidFill>
                    <w14:schemeClr w14:val="tx1"/>
                  </w14:solidFill>
                </w14:textFill>
              </w:rPr>
            </w:pPr>
            <w:r>
              <w:rPr>
                <w:color w:val="000000" w:themeColor="text1"/>
                <w:sz w:val="21"/>
                <w:szCs w:val="21"/>
                <w:lang w:val="zh-CN" w:eastAsia="en-US" w:bidi="zh-CN"/>
                <w14:textFill>
                  <w14:solidFill>
                    <w14:schemeClr w14:val="tx1"/>
                  </w14:solidFill>
                </w14:textFill>
              </w:rPr>
              <w:t>镉</w:t>
            </w:r>
          </w:p>
        </w:tc>
        <w:tc>
          <w:tcPr>
            <w:tcW w:w="4360" w:type="dxa"/>
            <w:vAlign w:val="center"/>
          </w:tcPr>
          <w:p w14:paraId="0E530EC5">
            <w:pPr>
              <w:widowControl/>
              <w:adjustRightInd w:val="0"/>
              <w:snapToGrid w:val="0"/>
              <w:spacing w:line="0" w:lineRule="atLeast"/>
              <w:ind w:firstLine="0" w:firstLineChars="0"/>
              <w:jc w:val="center"/>
              <w:rPr>
                <w:rFonts w:eastAsia="Times New Roman"/>
                <w:color w:val="000000" w:themeColor="text1"/>
                <w:sz w:val="21"/>
                <w:szCs w:val="21"/>
                <w:lang w:val="zh-CN" w:bidi="zh-CN"/>
                <w14:textFill>
                  <w14:solidFill>
                    <w14:schemeClr w14:val="tx1"/>
                  </w14:solidFill>
                </w14:textFill>
              </w:rPr>
            </w:pPr>
            <w:r>
              <w:rPr>
                <w:color w:val="000000" w:themeColor="text1"/>
                <w:sz w:val="21"/>
                <w:szCs w:val="21"/>
                <w:lang w:val="zh-CN" w:bidi="zh-CN"/>
                <w14:textFill>
                  <w14:solidFill>
                    <w14:schemeClr w14:val="tx1"/>
                  </w14:solidFill>
                </w14:textFill>
              </w:rPr>
              <w:t>火焰原子吸收分光光度法</w:t>
            </w:r>
          </w:p>
        </w:tc>
        <w:tc>
          <w:tcPr>
            <w:tcW w:w="1708" w:type="dxa"/>
            <w:vAlign w:val="center"/>
          </w:tcPr>
          <w:p w14:paraId="2B28DFA1">
            <w:pPr>
              <w:widowControl/>
              <w:adjustRightInd w:val="0"/>
              <w:snapToGrid w:val="0"/>
              <w:spacing w:line="0" w:lineRule="atLeast"/>
              <w:ind w:firstLine="0" w:firstLineChars="0"/>
              <w:jc w:val="center"/>
              <w:rPr>
                <w:rFonts w:eastAsia="Times New Roman"/>
                <w:color w:val="000000" w:themeColor="text1"/>
                <w:sz w:val="21"/>
                <w:szCs w:val="21"/>
                <w:lang w:val="zh-CN" w:eastAsia="en-US" w:bidi="zh-CN"/>
                <w14:textFill>
                  <w14:solidFill>
                    <w14:schemeClr w14:val="tx1"/>
                  </w14:solidFill>
                </w14:textFill>
              </w:rPr>
            </w:pPr>
            <w:r>
              <w:rPr>
                <w:rFonts w:eastAsia="Times New Roman"/>
                <w:color w:val="000000" w:themeColor="text1"/>
                <w:sz w:val="21"/>
                <w:szCs w:val="21"/>
                <w:lang w:val="zh-CN" w:eastAsia="en-US" w:bidi="zh-CN"/>
                <w14:textFill>
                  <w14:solidFill>
                    <w14:schemeClr w14:val="tx1"/>
                  </w14:solidFill>
                </w14:textFill>
              </w:rPr>
              <w:t>0.04×10</w:t>
            </w:r>
            <w:r>
              <w:rPr>
                <w:rFonts w:eastAsia="Times New Roman"/>
                <w:color w:val="000000" w:themeColor="text1"/>
                <w:sz w:val="21"/>
                <w:szCs w:val="21"/>
                <w:vertAlign w:val="superscript"/>
                <w:lang w:val="zh-CN" w:eastAsia="en-US" w:bidi="zh-CN"/>
                <w14:textFill>
                  <w14:solidFill>
                    <w14:schemeClr w14:val="tx1"/>
                  </w14:solidFill>
                </w14:textFill>
              </w:rPr>
              <w:t>-6</w:t>
            </w:r>
          </w:p>
        </w:tc>
      </w:tr>
      <w:tr w14:paraId="43C5527C">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80" w:hRule="atLeast"/>
        </w:trPr>
        <w:tc>
          <w:tcPr>
            <w:tcW w:w="1212" w:type="dxa"/>
            <w:vAlign w:val="center"/>
          </w:tcPr>
          <w:p w14:paraId="680C6874">
            <w:pPr>
              <w:widowControl/>
              <w:adjustRightInd w:val="0"/>
              <w:snapToGrid w:val="0"/>
              <w:spacing w:line="0" w:lineRule="atLeast"/>
              <w:ind w:firstLine="0" w:firstLineChars="0"/>
              <w:jc w:val="center"/>
              <w:rPr>
                <w:rFonts w:eastAsiaTheme="minorEastAsia"/>
                <w:color w:val="000000" w:themeColor="text1"/>
                <w:sz w:val="21"/>
                <w:szCs w:val="21"/>
                <w:lang w:val="zh-CN" w:eastAsia="en-US" w:bidi="zh-CN"/>
                <w14:textFill>
                  <w14:solidFill>
                    <w14:schemeClr w14:val="tx1"/>
                  </w14:solidFill>
                </w14:textFill>
              </w:rPr>
            </w:pPr>
            <w:r>
              <w:rPr>
                <w:rFonts w:eastAsiaTheme="minorEastAsia"/>
                <w:color w:val="000000" w:themeColor="text1"/>
                <w:sz w:val="21"/>
                <w:szCs w:val="21"/>
                <w:lang w:val="zh-CN" w:eastAsia="en-US" w:bidi="zh-CN"/>
                <w14:textFill>
                  <w14:solidFill>
                    <w14:schemeClr w14:val="tx1"/>
                  </w14:solidFill>
                </w14:textFill>
              </w:rPr>
              <w:t>5</w:t>
            </w:r>
          </w:p>
        </w:tc>
        <w:tc>
          <w:tcPr>
            <w:tcW w:w="1499" w:type="dxa"/>
            <w:vAlign w:val="center"/>
          </w:tcPr>
          <w:p w14:paraId="327912B9">
            <w:pPr>
              <w:widowControl/>
              <w:adjustRightInd w:val="0"/>
              <w:snapToGrid w:val="0"/>
              <w:spacing w:line="0" w:lineRule="atLeast"/>
              <w:ind w:firstLine="0" w:firstLineChars="0"/>
              <w:jc w:val="center"/>
              <w:rPr>
                <w:rFonts w:eastAsia="Times New Roman"/>
                <w:color w:val="000000" w:themeColor="text1"/>
                <w:sz w:val="21"/>
                <w:szCs w:val="21"/>
                <w:lang w:val="zh-CN" w:eastAsia="en-US" w:bidi="zh-CN"/>
                <w14:textFill>
                  <w14:solidFill>
                    <w14:schemeClr w14:val="tx1"/>
                  </w14:solidFill>
                </w14:textFill>
              </w:rPr>
            </w:pPr>
            <w:r>
              <w:rPr>
                <w:color w:val="000000" w:themeColor="text1"/>
                <w:sz w:val="21"/>
                <w:szCs w:val="21"/>
                <w:lang w:val="zh-CN" w:eastAsia="en-US" w:bidi="zh-CN"/>
                <w14:textFill>
                  <w14:solidFill>
                    <w14:schemeClr w14:val="tx1"/>
                  </w14:solidFill>
                </w14:textFill>
              </w:rPr>
              <w:t>铬</w:t>
            </w:r>
          </w:p>
        </w:tc>
        <w:tc>
          <w:tcPr>
            <w:tcW w:w="4360" w:type="dxa"/>
            <w:vAlign w:val="center"/>
          </w:tcPr>
          <w:p w14:paraId="600160DA">
            <w:pPr>
              <w:widowControl/>
              <w:adjustRightInd w:val="0"/>
              <w:snapToGrid w:val="0"/>
              <w:spacing w:line="0" w:lineRule="atLeast"/>
              <w:ind w:firstLine="0" w:firstLineChars="0"/>
              <w:jc w:val="center"/>
              <w:rPr>
                <w:rFonts w:eastAsia="Times New Roman"/>
                <w:color w:val="000000" w:themeColor="text1"/>
                <w:sz w:val="21"/>
                <w:szCs w:val="21"/>
                <w:lang w:val="zh-CN" w:bidi="zh-CN"/>
                <w14:textFill>
                  <w14:solidFill>
                    <w14:schemeClr w14:val="tx1"/>
                  </w14:solidFill>
                </w14:textFill>
              </w:rPr>
            </w:pPr>
            <w:r>
              <w:rPr>
                <w:color w:val="000000" w:themeColor="text1"/>
                <w:sz w:val="21"/>
                <w:szCs w:val="21"/>
                <w14:textFill>
                  <w14:solidFill>
                    <w14:schemeClr w14:val="tx1"/>
                  </w14:solidFill>
                </w14:textFill>
              </w:rPr>
              <w:t>二苯碳酰二肼分光光度法</w:t>
            </w:r>
          </w:p>
        </w:tc>
        <w:tc>
          <w:tcPr>
            <w:tcW w:w="1708" w:type="dxa"/>
            <w:vAlign w:val="center"/>
          </w:tcPr>
          <w:p w14:paraId="464C23F7">
            <w:pPr>
              <w:widowControl/>
              <w:adjustRightInd w:val="0"/>
              <w:snapToGrid w:val="0"/>
              <w:spacing w:line="0" w:lineRule="atLeast"/>
              <w:ind w:firstLine="0" w:firstLineChars="0"/>
              <w:jc w:val="center"/>
              <w:rPr>
                <w:rFonts w:eastAsia="Times New Roman"/>
                <w:color w:val="000000" w:themeColor="text1"/>
                <w:sz w:val="21"/>
                <w:szCs w:val="21"/>
                <w:lang w:val="zh-CN" w:eastAsia="en-US" w:bidi="zh-CN"/>
                <w14:textFill>
                  <w14:solidFill>
                    <w14:schemeClr w14:val="tx1"/>
                  </w14:solidFill>
                </w14:textFill>
              </w:rPr>
            </w:pPr>
            <w:r>
              <w:rPr>
                <w:rFonts w:eastAsia="Times New Roman"/>
                <w:color w:val="000000" w:themeColor="text1"/>
                <w:sz w:val="21"/>
                <w:szCs w:val="21"/>
                <w:lang w:val="zh-CN" w:eastAsia="en-US" w:bidi="zh-CN"/>
                <w14:textFill>
                  <w14:solidFill>
                    <w14:schemeClr w14:val="tx1"/>
                  </w14:solidFill>
                </w14:textFill>
              </w:rPr>
              <w:t>2×10</w:t>
            </w:r>
            <w:r>
              <w:rPr>
                <w:rFonts w:eastAsia="Times New Roman"/>
                <w:color w:val="000000" w:themeColor="text1"/>
                <w:sz w:val="21"/>
                <w:szCs w:val="21"/>
                <w:vertAlign w:val="superscript"/>
                <w:lang w:val="zh-CN" w:eastAsia="en-US" w:bidi="zh-CN"/>
                <w14:textFill>
                  <w14:solidFill>
                    <w14:schemeClr w14:val="tx1"/>
                  </w14:solidFill>
                </w14:textFill>
              </w:rPr>
              <w:t>-6</w:t>
            </w:r>
          </w:p>
        </w:tc>
      </w:tr>
      <w:tr w14:paraId="731DE446">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85" w:hRule="atLeast"/>
        </w:trPr>
        <w:tc>
          <w:tcPr>
            <w:tcW w:w="1212" w:type="dxa"/>
            <w:vAlign w:val="center"/>
          </w:tcPr>
          <w:p w14:paraId="6D2A21EE">
            <w:pPr>
              <w:widowControl/>
              <w:adjustRightInd w:val="0"/>
              <w:snapToGrid w:val="0"/>
              <w:spacing w:line="0" w:lineRule="atLeast"/>
              <w:ind w:firstLine="0" w:firstLineChars="0"/>
              <w:jc w:val="center"/>
              <w:rPr>
                <w:rFonts w:eastAsiaTheme="minorEastAsia"/>
                <w:color w:val="000000" w:themeColor="text1"/>
                <w:sz w:val="21"/>
                <w:szCs w:val="21"/>
                <w:lang w:val="zh-CN" w:eastAsia="en-US" w:bidi="zh-CN"/>
                <w14:textFill>
                  <w14:solidFill>
                    <w14:schemeClr w14:val="tx1"/>
                  </w14:solidFill>
                </w14:textFill>
              </w:rPr>
            </w:pPr>
            <w:r>
              <w:rPr>
                <w:rFonts w:eastAsiaTheme="minorEastAsia"/>
                <w:color w:val="000000" w:themeColor="text1"/>
                <w:sz w:val="21"/>
                <w:szCs w:val="21"/>
                <w:lang w:val="zh-CN" w:eastAsia="en-US" w:bidi="zh-CN"/>
                <w14:textFill>
                  <w14:solidFill>
                    <w14:schemeClr w14:val="tx1"/>
                  </w14:solidFill>
                </w14:textFill>
              </w:rPr>
              <w:t>6</w:t>
            </w:r>
          </w:p>
        </w:tc>
        <w:tc>
          <w:tcPr>
            <w:tcW w:w="1499" w:type="dxa"/>
            <w:vAlign w:val="center"/>
          </w:tcPr>
          <w:p w14:paraId="71EA496C">
            <w:pPr>
              <w:widowControl/>
              <w:adjustRightInd w:val="0"/>
              <w:snapToGrid w:val="0"/>
              <w:spacing w:line="0" w:lineRule="atLeast"/>
              <w:ind w:firstLine="0" w:firstLineChars="0"/>
              <w:jc w:val="center"/>
              <w:rPr>
                <w:rFonts w:eastAsia="Times New Roman"/>
                <w:color w:val="000000" w:themeColor="text1"/>
                <w:sz w:val="21"/>
                <w:szCs w:val="21"/>
                <w:lang w:val="zh-CN" w:eastAsia="en-US" w:bidi="zh-CN"/>
                <w14:textFill>
                  <w14:solidFill>
                    <w14:schemeClr w14:val="tx1"/>
                  </w14:solidFill>
                </w14:textFill>
              </w:rPr>
            </w:pPr>
            <w:r>
              <w:rPr>
                <w:color w:val="000000" w:themeColor="text1"/>
                <w:sz w:val="21"/>
                <w:szCs w:val="21"/>
                <w:lang w:val="zh-CN" w:eastAsia="en-US" w:bidi="zh-CN"/>
                <w14:textFill>
                  <w14:solidFill>
                    <w14:schemeClr w14:val="tx1"/>
                  </w14:solidFill>
                </w14:textFill>
              </w:rPr>
              <w:t>汞</w:t>
            </w:r>
          </w:p>
        </w:tc>
        <w:tc>
          <w:tcPr>
            <w:tcW w:w="4360" w:type="dxa"/>
            <w:vAlign w:val="center"/>
          </w:tcPr>
          <w:p w14:paraId="16E0B3BA">
            <w:pPr>
              <w:widowControl/>
              <w:adjustRightInd w:val="0"/>
              <w:snapToGrid w:val="0"/>
              <w:spacing w:line="0" w:lineRule="atLeast"/>
              <w:ind w:firstLine="0" w:firstLineChars="0"/>
              <w:jc w:val="center"/>
              <w:rPr>
                <w:rFonts w:eastAsia="Times New Roman"/>
                <w:color w:val="000000" w:themeColor="text1"/>
                <w:sz w:val="21"/>
                <w:szCs w:val="21"/>
                <w:lang w:val="zh-CN" w:eastAsia="en-US" w:bidi="zh-CN"/>
                <w14:textFill>
                  <w14:solidFill>
                    <w14:schemeClr w14:val="tx1"/>
                  </w14:solidFill>
                </w14:textFill>
              </w:rPr>
            </w:pPr>
            <w:r>
              <w:rPr>
                <w:color w:val="000000" w:themeColor="text1"/>
                <w:sz w:val="21"/>
                <w:szCs w:val="21"/>
                <w:lang w:val="zh-CN" w:eastAsia="en-US" w:bidi="zh-CN"/>
                <w14:textFill>
                  <w14:solidFill>
                    <w14:schemeClr w14:val="tx1"/>
                  </w14:solidFill>
                </w14:textFill>
              </w:rPr>
              <w:t>原子荧光法</w:t>
            </w:r>
          </w:p>
        </w:tc>
        <w:tc>
          <w:tcPr>
            <w:tcW w:w="1708" w:type="dxa"/>
            <w:vAlign w:val="center"/>
          </w:tcPr>
          <w:p w14:paraId="4319ABAC">
            <w:pPr>
              <w:widowControl/>
              <w:adjustRightInd w:val="0"/>
              <w:snapToGrid w:val="0"/>
              <w:spacing w:line="0" w:lineRule="atLeast"/>
              <w:ind w:firstLine="0" w:firstLineChars="0"/>
              <w:jc w:val="center"/>
              <w:rPr>
                <w:rFonts w:eastAsia="Times New Roman"/>
                <w:color w:val="000000" w:themeColor="text1"/>
                <w:sz w:val="21"/>
                <w:szCs w:val="21"/>
                <w:lang w:val="zh-CN" w:eastAsia="en-US" w:bidi="zh-CN"/>
                <w14:textFill>
                  <w14:solidFill>
                    <w14:schemeClr w14:val="tx1"/>
                  </w14:solidFill>
                </w14:textFill>
              </w:rPr>
            </w:pPr>
            <w:r>
              <w:rPr>
                <w:rFonts w:eastAsia="Times New Roman"/>
                <w:color w:val="000000" w:themeColor="text1"/>
                <w:sz w:val="21"/>
                <w:szCs w:val="21"/>
                <w:lang w:val="zh-CN" w:eastAsia="en-US" w:bidi="zh-CN"/>
                <w14:textFill>
                  <w14:solidFill>
                    <w14:schemeClr w14:val="tx1"/>
                  </w14:solidFill>
                </w14:textFill>
              </w:rPr>
              <w:t>0.002×10</w:t>
            </w:r>
            <w:r>
              <w:rPr>
                <w:rFonts w:eastAsia="Times New Roman"/>
                <w:color w:val="000000" w:themeColor="text1"/>
                <w:sz w:val="21"/>
                <w:szCs w:val="21"/>
                <w:vertAlign w:val="superscript"/>
                <w:lang w:val="zh-CN" w:eastAsia="en-US" w:bidi="zh-CN"/>
                <w14:textFill>
                  <w14:solidFill>
                    <w14:schemeClr w14:val="tx1"/>
                  </w14:solidFill>
                </w14:textFill>
              </w:rPr>
              <w:t>-6</w:t>
            </w:r>
          </w:p>
        </w:tc>
      </w:tr>
      <w:tr w14:paraId="33C61A80">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75" w:hRule="atLeast"/>
        </w:trPr>
        <w:tc>
          <w:tcPr>
            <w:tcW w:w="1212" w:type="dxa"/>
            <w:vAlign w:val="center"/>
          </w:tcPr>
          <w:p w14:paraId="5E7A4D34">
            <w:pPr>
              <w:widowControl/>
              <w:adjustRightInd w:val="0"/>
              <w:snapToGrid w:val="0"/>
              <w:spacing w:line="0" w:lineRule="atLeast"/>
              <w:ind w:firstLine="0" w:firstLineChars="0"/>
              <w:jc w:val="center"/>
              <w:rPr>
                <w:rFonts w:eastAsiaTheme="minorEastAsia"/>
                <w:color w:val="000000" w:themeColor="text1"/>
                <w:sz w:val="21"/>
                <w:szCs w:val="21"/>
                <w:lang w:val="zh-CN" w:eastAsia="en-US" w:bidi="zh-CN"/>
                <w14:textFill>
                  <w14:solidFill>
                    <w14:schemeClr w14:val="tx1"/>
                  </w14:solidFill>
                </w14:textFill>
              </w:rPr>
            </w:pPr>
            <w:r>
              <w:rPr>
                <w:rFonts w:eastAsiaTheme="minorEastAsia"/>
                <w:color w:val="000000" w:themeColor="text1"/>
                <w:sz w:val="21"/>
                <w:szCs w:val="21"/>
                <w:lang w:val="zh-CN" w:eastAsia="en-US" w:bidi="zh-CN"/>
                <w14:textFill>
                  <w14:solidFill>
                    <w14:schemeClr w14:val="tx1"/>
                  </w14:solidFill>
                </w14:textFill>
              </w:rPr>
              <w:t>7</w:t>
            </w:r>
          </w:p>
        </w:tc>
        <w:tc>
          <w:tcPr>
            <w:tcW w:w="1499" w:type="dxa"/>
            <w:vAlign w:val="center"/>
          </w:tcPr>
          <w:p w14:paraId="22FAF8BC">
            <w:pPr>
              <w:widowControl/>
              <w:adjustRightInd w:val="0"/>
              <w:snapToGrid w:val="0"/>
              <w:spacing w:line="0" w:lineRule="atLeast"/>
              <w:ind w:firstLine="0" w:firstLineChars="0"/>
              <w:jc w:val="center"/>
              <w:rPr>
                <w:rFonts w:eastAsia="Times New Roman"/>
                <w:color w:val="000000" w:themeColor="text1"/>
                <w:sz w:val="21"/>
                <w:szCs w:val="21"/>
                <w:lang w:val="zh-CN" w:eastAsia="en-US" w:bidi="zh-CN"/>
                <w14:textFill>
                  <w14:solidFill>
                    <w14:schemeClr w14:val="tx1"/>
                  </w14:solidFill>
                </w14:textFill>
              </w:rPr>
            </w:pPr>
            <w:r>
              <w:rPr>
                <w:color w:val="000000" w:themeColor="text1"/>
                <w:sz w:val="21"/>
                <w:szCs w:val="21"/>
                <w:lang w:val="zh-CN" w:eastAsia="en-US" w:bidi="zh-CN"/>
                <w14:textFill>
                  <w14:solidFill>
                    <w14:schemeClr w14:val="tx1"/>
                  </w14:solidFill>
                </w14:textFill>
              </w:rPr>
              <w:t>砷</w:t>
            </w:r>
          </w:p>
        </w:tc>
        <w:tc>
          <w:tcPr>
            <w:tcW w:w="4360" w:type="dxa"/>
            <w:vAlign w:val="center"/>
          </w:tcPr>
          <w:p w14:paraId="13FCE385">
            <w:pPr>
              <w:widowControl/>
              <w:adjustRightInd w:val="0"/>
              <w:snapToGrid w:val="0"/>
              <w:spacing w:line="0" w:lineRule="atLeast"/>
              <w:ind w:firstLine="0" w:firstLineChars="0"/>
              <w:jc w:val="center"/>
              <w:rPr>
                <w:rFonts w:eastAsia="Times New Roman"/>
                <w:color w:val="000000" w:themeColor="text1"/>
                <w:sz w:val="21"/>
                <w:szCs w:val="21"/>
                <w:lang w:val="zh-CN" w:eastAsia="en-US" w:bidi="zh-CN"/>
                <w14:textFill>
                  <w14:solidFill>
                    <w14:schemeClr w14:val="tx1"/>
                  </w14:solidFill>
                </w14:textFill>
              </w:rPr>
            </w:pPr>
            <w:r>
              <w:rPr>
                <w:color w:val="000000" w:themeColor="text1"/>
                <w:sz w:val="21"/>
                <w:szCs w:val="21"/>
                <w:lang w:val="zh-CN" w:eastAsia="en-US" w:bidi="zh-CN"/>
                <w14:textFill>
                  <w14:solidFill>
                    <w14:schemeClr w14:val="tx1"/>
                  </w14:solidFill>
                </w14:textFill>
              </w:rPr>
              <w:t>原子荧光法</w:t>
            </w:r>
          </w:p>
        </w:tc>
        <w:tc>
          <w:tcPr>
            <w:tcW w:w="1708" w:type="dxa"/>
            <w:vAlign w:val="center"/>
          </w:tcPr>
          <w:p w14:paraId="1A511947">
            <w:pPr>
              <w:widowControl/>
              <w:adjustRightInd w:val="0"/>
              <w:snapToGrid w:val="0"/>
              <w:spacing w:line="0" w:lineRule="atLeast"/>
              <w:ind w:firstLine="0" w:firstLineChars="0"/>
              <w:jc w:val="center"/>
              <w:rPr>
                <w:rFonts w:eastAsia="Times New Roman"/>
                <w:color w:val="000000" w:themeColor="text1"/>
                <w:sz w:val="21"/>
                <w:szCs w:val="21"/>
                <w:lang w:val="zh-CN" w:eastAsia="en-US" w:bidi="zh-CN"/>
                <w14:textFill>
                  <w14:solidFill>
                    <w14:schemeClr w14:val="tx1"/>
                  </w14:solidFill>
                </w14:textFill>
              </w:rPr>
            </w:pPr>
            <w:r>
              <w:rPr>
                <w:rFonts w:eastAsia="Times New Roman"/>
                <w:color w:val="000000" w:themeColor="text1"/>
                <w:sz w:val="21"/>
                <w:szCs w:val="21"/>
                <w:lang w:val="zh-CN" w:eastAsia="en-US" w:bidi="zh-CN"/>
                <w14:textFill>
                  <w14:solidFill>
                    <w14:schemeClr w14:val="tx1"/>
                  </w14:solidFill>
                </w14:textFill>
              </w:rPr>
              <w:t>0.06×10</w:t>
            </w:r>
            <w:r>
              <w:rPr>
                <w:rFonts w:eastAsia="Times New Roman"/>
                <w:color w:val="000000" w:themeColor="text1"/>
                <w:sz w:val="21"/>
                <w:szCs w:val="21"/>
                <w:vertAlign w:val="superscript"/>
                <w:lang w:val="zh-CN" w:eastAsia="en-US" w:bidi="zh-CN"/>
                <w14:textFill>
                  <w14:solidFill>
                    <w14:schemeClr w14:val="tx1"/>
                  </w14:solidFill>
                </w14:textFill>
              </w:rPr>
              <w:t>-6</w:t>
            </w:r>
          </w:p>
        </w:tc>
      </w:tr>
      <w:tr w14:paraId="57E51CA2">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79" w:hRule="atLeast"/>
        </w:trPr>
        <w:tc>
          <w:tcPr>
            <w:tcW w:w="1212" w:type="dxa"/>
            <w:vAlign w:val="center"/>
          </w:tcPr>
          <w:p w14:paraId="7FD2750F">
            <w:pPr>
              <w:widowControl/>
              <w:adjustRightInd w:val="0"/>
              <w:snapToGrid w:val="0"/>
              <w:spacing w:line="0" w:lineRule="atLeast"/>
              <w:ind w:firstLine="0" w:firstLineChars="0"/>
              <w:jc w:val="center"/>
              <w:rPr>
                <w:rFonts w:eastAsiaTheme="minorEastAsia"/>
                <w:color w:val="000000" w:themeColor="text1"/>
                <w:sz w:val="21"/>
                <w:szCs w:val="21"/>
                <w:lang w:val="zh-CN" w:eastAsia="en-US" w:bidi="zh-CN"/>
                <w14:textFill>
                  <w14:solidFill>
                    <w14:schemeClr w14:val="tx1"/>
                  </w14:solidFill>
                </w14:textFill>
              </w:rPr>
            </w:pPr>
            <w:r>
              <w:rPr>
                <w:rFonts w:eastAsiaTheme="minorEastAsia"/>
                <w:color w:val="000000" w:themeColor="text1"/>
                <w:sz w:val="21"/>
                <w:szCs w:val="21"/>
                <w:lang w:val="zh-CN" w:eastAsia="en-US" w:bidi="zh-CN"/>
                <w14:textFill>
                  <w14:solidFill>
                    <w14:schemeClr w14:val="tx1"/>
                  </w14:solidFill>
                </w14:textFill>
              </w:rPr>
              <w:t>8</w:t>
            </w:r>
          </w:p>
        </w:tc>
        <w:tc>
          <w:tcPr>
            <w:tcW w:w="1499" w:type="dxa"/>
            <w:vAlign w:val="center"/>
          </w:tcPr>
          <w:p w14:paraId="386E9A08">
            <w:pPr>
              <w:widowControl/>
              <w:adjustRightInd w:val="0"/>
              <w:snapToGrid w:val="0"/>
              <w:spacing w:line="0" w:lineRule="atLeast"/>
              <w:ind w:firstLine="0" w:firstLineChars="0"/>
              <w:jc w:val="center"/>
              <w:rPr>
                <w:rFonts w:eastAsia="Times New Roman"/>
                <w:color w:val="000000" w:themeColor="text1"/>
                <w:sz w:val="21"/>
                <w:szCs w:val="21"/>
                <w:lang w:val="zh-CN" w:eastAsia="en-US" w:bidi="zh-CN"/>
                <w14:textFill>
                  <w14:solidFill>
                    <w14:schemeClr w14:val="tx1"/>
                  </w14:solidFill>
                </w14:textFill>
              </w:rPr>
            </w:pPr>
            <w:r>
              <w:rPr>
                <w:color w:val="000000" w:themeColor="text1"/>
                <w:sz w:val="21"/>
                <w:szCs w:val="21"/>
                <w:lang w:val="zh-CN" w:eastAsia="en-US" w:bidi="zh-CN"/>
                <w14:textFill>
                  <w14:solidFill>
                    <w14:schemeClr w14:val="tx1"/>
                  </w14:solidFill>
                </w14:textFill>
              </w:rPr>
              <w:t>石油类</w:t>
            </w:r>
          </w:p>
        </w:tc>
        <w:tc>
          <w:tcPr>
            <w:tcW w:w="4360" w:type="dxa"/>
            <w:vAlign w:val="center"/>
          </w:tcPr>
          <w:p w14:paraId="500E7EAB">
            <w:pPr>
              <w:widowControl/>
              <w:adjustRightInd w:val="0"/>
              <w:snapToGrid w:val="0"/>
              <w:spacing w:line="0" w:lineRule="atLeast"/>
              <w:ind w:firstLine="0" w:firstLineChars="0"/>
              <w:jc w:val="center"/>
              <w:rPr>
                <w:rFonts w:eastAsia="Times New Roman"/>
                <w:color w:val="000000" w:themeColor="text1"/>
                <w:sz w:val="21"/>
                <w:szCs w:val="21"/>
                <w:lang w:val="zh-CN" w:eastAsia="en-US" w:bidi="zh-CN"/>
                <w14:textFill>
                  <w14:solidFill>
                    <w14:schemeClr w14:val="tx1"/>
                  </w14:solidFill>
                </w14:textFill>
              </w:rPr>
            </w:pPr>
            <w:r>
              <w:rPr>
                <w:color w:val="000000" w:themeColor="text1"/>
                <w:sz w:val="21"/>
                <w:szCs w:val="21"/>
                <w:lang w:val="zh-CN" w:eastAsia="en-US" w:bidi="zh-CN"/>
                <w14:textFill>
                  <w14:solidFill>
                    <w14:schemeClr w14:val="tx1"/>
                  </w14:solidFill>
                </w14:textFill>
              </w:rPr>
              <w:t>紫外分光光度法</w:t>
            </w:r>
          </w:p>
        </w:tc>
        <w:tc>
          <w:tcPr>
            <w:tcW w:w="1708" w:type="dxa"/>
            <w:vAlign w:val="center"/>
          </w:tcPr>
          <w:p w14:paraId="6FDCADDC">
            <w:pPr>
              <w:widowControl/>
              <w:adjustRightInd w:val="0"/>
              <w:snapToGrid w:val="0"/>
              <w:spacing w:line="0" w:lineRule="atLeast"/>
              <w:ind w:firstLine="0" w:firstLineChars="0"/>
              <w:jc w:val="center"/>
              <w:rPr>
                <w:rFonts w:eastAsia="Times New Roman"/>
                <w:color w:val="000000" w:themeColor="text1"/>
                <w:sz w:val="21"/>
                <w:szCs w:val="21"/>
                <w:lang w:val="zh-CN" w:eastAsia="en-US" w:bidi="zh-CN"/>
                <w14:textFill>
                  <w14:solidFill>
                    <w14:schemeClr w14:val="tx1"/>
                  </w14:solidFill>
                </w14:textFill>
              </w:rPr>
            </w:pPr>
            <w:r>
              <w:rPr>
                <w:rFonts w:eastAsia="Times New Roman"/>
                <w:color w:val="000000" w:themeColor="text1"/>
                <w:sz w:val="21"/>
                <w:szCs w:val="21"/>
                <w:lang w:val="zh-CN" w:eastAsia="en-US" w:bidi="zh-CN"/>
                <w14:textFill>
                  <w14:solidFill>
                    <w14:schemeClr w14:val="tx1"/>
                  </w14:solidFill>
                </w14:textFill>
              </w:rPr>
              <w:t>3×10</w:t>
            </w:r>
            <w:r>
              <w:rPr>
                <w:rFonts w:eastAsia="Times New Roman"/>
                <w:color w:val="000000" w:themeColor="text1"/>
                <w:sz w:val="21"/>
                <w:szCs w:val="21"/>
                <w:vertAlign w:val="superscript"/>
                <w:lang w:val="zh-CN" w:eastAsia="en-US" w:bidi="zh-CN"/>
                <w14:textFill>
                  <w14:solidFill>
                    <w14:schemeClr w14:val="tx1"/>
                  </w14:solidFill>
                </w14:textFill>
              </w:rPr>
              <w:t>-6</w:t>
            </w:r>
          </w:p>
        </w:tc>
      </w:tr>
      <w:tr w14:paraId="1FFBF4C0">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97" w:hRule="atLeast"/>
        </w:trPr>
        <w:tc>
          <w:tcPr>
            <w:tcW w:w="1212" w:type="dxa"/>
            <w:vAlign w:val="center"/>
          </w:tcPr>
          <w:p w14:paraId="40920372">
            <w:pPr>
              <w:widowControl/>
              <w:adjustRightInd w:val="0"/>
              <w:snapToGrid w:val="0"/>
              <w:spacing w:line="0" w:lineRule="atLeast"/>
              <w:ind w:firstLine="0" w:firstLineChars="0"/>
              <w:jc w:val="center"/>
              <w:rPr>
                <w:rFonts w:eastAsiaTheme="minorEastAsia"/>
                <w:color w:val="000000" w:themeColor="text1"/>
                <w:sz w:val="21"/>
                <w:szCs w:val="21"/>
                <w:lang w:val="zh-CN" w:eastAsia="en-US" w:bidi="zh-CN"/>
                <w14:textFill>
                  <w14:solidFill>
                    <w14:schemeClr w14:val="tx1"/>
                  </w14:solidFill>
                </w14:textFill>
              </w:rPr>
            </w:pPr>
            <w:r>
              <w:rPr>
                <w:rFonts w:eastAsiaTheme="minorEastAsia"/>
                <w:color w:val="000000" w:themeColor="text1"/>
                <w:sz w:val="21"/>
                <w:szCs w:val="21"/>
                <w:lang w:val="zh-CN" w:eastAsia="en-US" w:bidi="zh-CN"/>
                <w14:textFill>
                  <w14:solidFill>
                    <w14:schemeClr w14:val="tx1"/>
                  </w14:solidFill>
                </w14:textFill>
              </w:rPr>
              <w:t>9</w:t>
            </w:r>
          </w:p>
        </w:tc>
        <w:tc>
          <w:tcPr>
            <w:tcW w:w="1499" w:type="dxa"/>
            <w:vAlign w:val="center"/>
          </w:tcPr>
          <w:p w14:paraId="6D24F099">
            <w:pPr>
              <w:widowControl/>
              <w:adjustRightInd w:val="0"/>
              <w:snapToGrid w:val="0"/>
              <w:spacing w:line="0" w:lineRule="atLeast"/>
              <w:ind w:firstLine="0" w:firstLineChars="0"/>
              <w:jc w:val="center"/>
              <w:rPr>
                <w:rFonts w:eastAsia="Times New Roman"/>
                <w:color w:val="000000" w:themeColor="text1"/>
                <w:sz w:val="21"/>
                <w:szCs w:val="21"/>
                <w:lang w:val="zh-CN" w:eastAsia="en-US" w:bidi="zh-CN"/>
                <w14:textFill>
                  <w14:solidFill>
                    <w14:schemeClr w14:val="tx1"/>
                  </w14:solidFill>
                </w14:textFill>
              </w:rPr>
            </w:pPr>
            <w:r>
              <w:rPr>
                <w:color w:val="000000" w:themeColor="text1"/>
                <w:sz w:val="21"/>
                <w:szCs w:val="21"/>
                <w:lang w:val="zh-CN" w:eastAsia="en-US" w:bidi="zh-CN"/>
                <w14:textFill>
                  <w14:solidFill>
                    <w14:schemeClr w14:val="tx1"/>
                  </w14:solidFill>
                </w14:textFill>
              </w:rPr>
              <w:t>有机碳</w:t>
            </w:r>
          </w:p>
        </w:tc>
        <w:tc>
          <w:tcPr>
            <w:tcW w:w="4360" w:type="dxa"/>
            <w:vAlign w:val="center"/>
          </w:tcPr>
          <w:p w14:paraId="25425093">
            <w:pPr>
              <w:widowControl/>
              <w:adjustRightInd w:val="0"/>
              <w:snapToGrid w:val="0"/>
              <w:spacing w:line="0" w:lineRule="atLeast"/>
              <w:ind w:firstLine="0" w:firstLineChars="0"/>
              <w:jc w:val="center"/>
              <w:rPr>
                <w:rFonts w:eastAsia="Times New Roman"/>
                <w:color w:val="000000" w:themeColor="text1"/>
                <w:sz w:val="21"/>
                <w:szCs w:val="21"/>
                <w:lang w:val="zh-CN" w:bidi="zh-CN"/>
                <w14:textFill>
                  <w14:solidFill>
                    <w14:schemeClr w14:val="tx1"/>
                  </w14:solidFill>
                </w14:textFill>
              </w:rPr>
            </w:pPr>
            <w:r>
              <w:rPr>
                <w:color w:val="000000" w:themeColor="text1"/>
                <w:sz w:val="21"/>
                <w:szCs w:val="21"/>
                <w:lang w:val="zh-CN" w:bidi="zh-CN"/>
                <w14:textFill>
                  <w14:solidFill>
                    <w14:schemeClr w14:val="tx1"/>
                  </w14:solidFill>
                </w14:textFill>
              </w:rPr>
              <w:t>重铬酸钾氧化－还原容量法</w:t>
            </w:r>
          </w:p>
        </w:tc>
        <w:tc>
          <w:tcPr>
            <w:tcW w:w="1708" w:type="dxa"/>
            <w:vAlign w:val="center"/>
          </w:tcPr>
          <w:p w14:paraId="265E6812">
            <w:pPr>
              <w:widowControl/>
              <w:adjustRightInd w:val="0"/>
              <w:snapToGrid w:val="0"/>
              <w:spacing w:line="0" w:lineRule="atLeast"/>
              <w:ind w:firstLine="0" w:firstLineChars="0"/>
              <w:jc w:val="center"/>
              <w:rPr>
                <w:rFonts w:eastAsia="Times New Roman"/>
                <w:color w:val="000000" w:themeColor="text1"/>
                <w:sz w:val="21"/>
                <w:szCs w:val="21"/>
                <w:lang w:val="zh-CN" w:eastAsia="en-US" w:bidi="zh-CN"/>
                <w14:textFill>
                  <w14:solidFill>
                    <w14:schemeClr w14:val="tx1"/>
                  </w14:solidFill>
                </w14:textFill>
              </w:rPr>
            </w:pPr>
            <w:r>
              <w:rPr>
                <w:rFonts w:eastAsia="Times New Roman"/>
                <w:color w:val="000000" w:themeColor="text1"/>
                <w:sz w:val="21"/>
                <w:szCs w:val="21"/>
                <w:lang w:val="zh-CN" w:eastAsia="en-US" w:bidi="zh-CN"/>
                <w14:textFill>
                  <w14:solidFill>
                    <w14:schemeClr w14:val="tx1"/>
                  </w14:solidFill>
                </w14:textFill>
              </w:rPr>
              <w:t>0.03×10</w:t>
            </w:r>
            <w:r>
              <w:rPr>
                <w:rFonts w:eastAsia="Times New Roman"/>
                <w:color w:val="000000" w:themeColor="text1"/>
                <w:sz w:val="21"/>
                <w:szCs w:val="21"/>
                <w:vertAlign w:val="superscript"/>
                <w:lang w:val="zh-CN" w:eastAsia="en-US" w:bidi="zh-CN"/>
                <w14:textFill>
                  <w14:solidFill>
                    <w14:schemeClr w14:val="tx1"/>
                  </w14:solidFill>
                </w14:textFill>
              </w:rPr>
              <w:t>-2</w:t>
            </w:r>
          </w:p>
        </w:tc>
      </w:tr>
      <w:tr w14:paraId="69EE9BB7">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87" w:hRule="atLeast"/>
        </w:trPr>
        <w:tc>
          <w:tcPr>
            <w:tcW w:w="1212" w:type="dxa"/>
            <w:vAlign w:val="center"/>
          </w:tcPr>
          <w:p w14:paraId="2200A106">
            <w:pPr>
              <w:widowControl/>
              <w:adjustRightInd w:val="0"/>
              <w:snapToGrid w:val="0"/>
              <w:spacing w:line="0" w:lineRule="atLeast"/>
              <w:ind w:firstLine="0" w:firstLineChars="0"/>
              <w:jc w:val="center"/>
              <w:rPr>
                <w:rFonts w:eastAsiaTheme="minorEastAsia"/>
                <w:color w:val="000000" w:themeColor="text1"/>
                <w:sz w:val="21"/>
                <w:szCs w:val="21"/>
                <w:lang w:val="zh-CN" w:eastAsia="en-US" w:bidi="zh-CN"/>
                <w14:textFill>
                  <w14:solidFill>
                    <w14:schemeClr w14:val="tx1"/>
                  </w14:solidFill>
                </w14:textFill>
              </w:rPr>
            </w:pPr>
            <w:r>
              <w:rPr>
                <w:rFonts w:eastAsiaTheme="minorEastAsia"/>
                <w:color w:val="000000" w:themeColor="text1"/>
                <w:sz w:val="21"/>
                <w:szCs w:val="21"/>
                <w:lang w:val="zh-CN" w:eastAsia="en-US" w:bidi="zh-CN"/>
                <w14:textFill>
                  <w14:solidFill>
                    <w14:schemeClr w14:val="tx1"/>
                  </w14:solidFill>
                </w14:textFill>
              </w:rPr>
              <w:t>10</w:t>
            </w:r>
          </w:p>
        </w:tc>
        <w:tc>
          <w:tcPr>
            <w:tcW w:w="1499" w:type="dxa"/>
            <w:vAlign w:val="center"/>
          </w:tcPr>
          <w:p w14:paraId="3C4540FE">
            <w:pPr>
              <w:widowControl/>
              <w:adjustRightInd w:val="0"/>
              <w:snapToGrid w:val="0"/>
              <w:spacing w:line="0" w:lineRule="atLeast"/>
              <w:ind w:firstLine="0" w:firstLineChars="0"/>
              <w:jc w:val="center"/>
              <w:rPr>
                <w:rFonts w:eastAsia="Times New Roman"/>
                <w:color w:val="000000" w:themeColor="text1"/>
                <w:sz w:val="21"/>
                <w:szCs w:val="21"/>
                <w:lang w:val="zh-CN" w:eastAsia="en-US" w:bidi="zh-CN"/>
                <w14:textFill>
                  <w14:solidFill>
                    <w14:schemeClr w14:val="tx1"/>
                  </w14:solidFill>
                </w14:textFill>
              </w:rPr>
            </w:pPr>
            <w:r>
              <w:rPr>
                <w:color w:val="000000" w:themeColor="text1"/>
                <w:sz w:val="21"/>
                <w:szCs w:val="21"/>
                <w:lang w:val="zh-CN" w:eastAsia="en-US" w:bidi="zh-CN"/>
                <w14:textFill>
                  <w14:solidFill>
                    <w14:schemeClr w14:val="tx1"/>
                  </w14:solidFill>
                </w14:textFill>
              </w:rPr>
              <w:t>硫化物</w:t>
            </w:r>
          </w:p>
        </w:tc>
        <w:tc>
          <w:tcPr>
            <w:tcW w:w="4360" w:type="dxa"/>
            <w:vAlign w:val="center"/>
          </w:tcPr>
          <w:p w14:paraId="3BB514B0">
            <w:pPr>
              <w:widowControl/>
              <w:adjustRightInd w:val="0"/>
              <w:snapToGrid w:val="0"/>
              <w:spacing w:line="0" w:lineRule="atLeast"/>
              <w:ind w:firstLine="0" w:firstLineChars="0"/>
              <w:jc w:val="center"/>
              <w:rPr>
                <w:rFonts w:eastAsia="Times New Roman"/>
                <w:color w:val="000000" w:themeColor="text1"/>
                <w:sz w:val="21"/>
                <w:szCs w:val="21"/>
                <w:lang w:val="zh-CN" w:eastAsia="en-US" w:bidi="zh-CN"/>
                <w14:textFill>
                  <w14:solidFill>
                    <w14:schemeClr w14:val="tx1"/>
                  </w14:solidFill>
                </w14:textFill>
              </w:rPr>
            </w:pPr>
            <w:r>
              <w:rPr>
                <w:color w:val="000000" w:themeColor="text1"/>
                <w:sz w:val="21"/>
                <w:szCs w:val="21"/>
                <w:lang w:val="zh-CN" w:eastAsia="en-US" w:bidi="zh-CN"/>
                <w14:textFill>
                  <w14:solidFill>
                    <w14:schemeClr w14:val="tx1"/>
                  </w14:solidFill>
                </w14:textFill>
              </w:rPr>
              <w:t>亚甲基蓝分光光度法</w:t>
            </w:r>
          </w:p>
        </w:tc>
        <w:tc>
          <w:tcPr>
            <w:tcW w:w="1708" w:type="dxa"/>
            <w:vAlign w:val="center"/>
          </w:tcPr>
          <w:p w14:paraId="0F5AC92E">
            <w:pPr>
              <w:widowControl/>
              <w:adjustRightInd w:val="0"/>
              <w:snapToGrid w:val="0"/>
              <w:spacing w:line="0" w:lineRule="atLeast"/>
              <w:ind w:firstLine="0" w:firstLineChars="0"/>
              <w:jc w:val="center"/>
              <w:rPr>
                <w:rFonts w:eastAsia="Times New Roman"/>
                <w:color w:val="000000" w:themeColor="text1"/>
                <w:sz w:val="21"/>
                <w:szCs w:val="21"/>
                <w:lang w:val="zh-CN" w:eastAsia="en-US" w:bidi="zh-CN"/>
                <w14:textFill>
                  <w14:solidFill>
                    <w14:schemeClr w14:val="tx1"/>
                  </w14:solidFill>
                </w14:textFill>
              </w:rPr>
            </w:pPr>
            <w:r>
              <w:rPr>
                <w:rFonts w:eastAsia="Times New Roman"/>
                <w:color w:val="000000" w:themeColor="text1"/>
                <w:sz w:val="21"/>
                <w:szCs w:val="21"/>
                <w:lang w:val="zh-CN" w:eastAsia="en-US" w:bidi="zh-CN"/>
                <w14:textFill>
                  <w14:solidFill>
                    <w14:schemeClr w14:val="tx1"/>
                  </w14:solidFill>
                </w14:textFill>
              </w:rPr>
              <w:t>0.3×10</w:t>
            </w:r>
            <w:r>
              <w:rPr>
                <w:rFonts w:eastAsia="Times New Roman"/>
                <w:color w:val="000000" w:themeColor="text1"/>
                <w:sz w:val="21"/>
                <w:szCs w:val="21"/>
                <w:vertAlign w:val="superscript"/>
                <w:lang w:val="zh-CN" w:eastAsia="en-US" w:bidi="zh-CN"/>
                <w14:textFill>
                  <w14:solidFill>
                    <w14:schemeClr w14:val="tx1"/>
                  </w14:solidFill>
                </w14:textFill>
              </w:rPr>
              <w:t>-6</w:t>
            </w:r>
          </w:p>
        </w:tc>
      </w:tr>
    </w:tbl>
    <w:p w14:paraId="530A0864">
      <w:pPr>
        <w:ind w:firstLine="480"/>
        <w:rPr>
          <w:color w:val="000000" w:themeColor="text1"/>
          <w:lang w:val="zh-CN" w:bidi="zh-CN"/>
          <w14:textFill>
            <w14:solidFill>
              <w14:schemeClr w14:val="tx1"/>
            </w14:solidFill>
          </w14:textFill>
        </w:rPr>
      </w:pPr>
      <w:bookmarkStart w:id="635" w:name="8.3.2.2沉积物质量现状调查结果"/>
      <w:bookmarkEnd w:id="635"/>
      <w:r>
        <w:rPr>
          <w:color w:val="000000" w:themeColor="text1"/>
          <w:lang w:val="zh-CN" w:bidi="zh-CN"/>
          <w14:textFill>
            <w14:solidFill>
              <w14:schemeClr w14:val="tx1"/>
            </w14:solidFill>
          </w14:textFill>
        </w:rPr>
        <w:t>2、评价方法和标准</w:t>
      </w:r>
    </w:p>
    <w:p w14:paraId="679097A4">
      <w:pPr>
        <w:pStyle w:val="74"/>
        <w:rPr>
          <w:color w:val="000000" w:themeColor="text1"/>
          <w14:textFill>
            <w14:solidFill>
              <w14:schemeClr w14:val="tx1"/>
            </w14:solidFill>
          </w14:textFill>
        </w:rPr>
      </w:pPr>
      <w:r>
        <w:rPr>
          <w:color w:val="000000" w:themeColor="text1"/>
          <w:szCs w:val="22"/>
          <w:lang w:val="zh-CN" w:bidi="zh-CN"/>
          <w14:textFill>
            <w14:solidFill>
              <w14:schemeClr w14:val="tx1"/>
            </w14:solidFill>
          </w14:textFill>
        </w:rPr>
        <w:t>评价方法为单项指数超标分类法。</w:t>
      </w:r>
      <w:r>
        <w:rPr>
          <w:rFonts w:hint="eastAsia"/>
          <w:color w:val="000000" w:themeColor="text1"/>
          <w14:textFill>
            <w14:solidFill>
              <w14:schemeClr w14:val="tx1"/>
            </w14:solidFill>
          </w14:textFill>
        </w:rPr>
        <w:t>根据《广西壮族自治区海洋功能区划》（2011-2020），S1、S2、S3点位位于港口航运区，执行《海洋沉积物质量》（GB18668-2002）第三类标准；S4点位位于农渔业区，S5点位位于茅尾海红树林自然保护区（七十二泾片区），执行《海洋沉积物质量》（GB18668-2002）第一类标准。</w:t>
      </w:r>
      <w:r>
        <w:rPr>
          <w:color w:val="000000" w:themeColor="text1"/>
          <w14:textFill>
            <w14:solidFill>
              <w14:schemeClr w14:val="tx1"/>
            </w14:solidFill>
          </w14:textFill>
        </w:rPr>
        <w:t>详见表3.7-</w:t>
      </w:r>
      <w:r>
        <w:rPr>
          <w:rFonts w:hint="eastAsia"/>
          <w:color w:val="000000" w:themeColor="text1"/>
          <w14:textFill>
            <w14:solidFill>
              <w14:schemeClr w14:val="tx1"/>
            </w14:solidFill>
          </w14:textFill>
        </w:rPr>
        <w:t>6</w:t>
      </w:r>
      <w:r>
        <w:rPr>
          <w:color w:val="000000" w:themeColor="text1"/>
          <w14:textFill>
            <w14:solidFill>
              <w14:schemeClr w14:val="tx1"/>
            </w14:solidFill>
          </w14:textFill>
        </w:rPr>
        <w:t>。</w:t>
      </w:r>
    </w:p>
    <w:p w14:paraId="525073E7">
      <w:pPr>
        <w:pStyle w:val="74"/>
        <w:rPr>
          <w:color w:val="000000" w:themeColor="text1"/>
          <w:lang w:val="zh-CN" w:bidi="zh-CN"/>
          <w14:textFill>
            <w14:solidFill>
              <w14:schemeClr w14:val="tx1"/>
            </w14:solidFill>
          </w14:textFill>
        </w:rPr>
      </w:pPr>
      <w:r>
        <w:rPr>
          <w:color w:val="000000" w:themeColor="text1"/>
          <w:lang w:val="zh-CN" w:bidi="zh-CN"/>
          <w14:textFill>
            <w14:solidFill>
              <w14:schemeClr w14:val="tx1"/>
            </w14:solidFill>
          </w14:textFill>
        </w:rPr>
        <w:t>3、沉积物质量现状调查结果</w:t>
      </w:r>
    </w:p>
    <w:p w14:paraId="66BE2C46">
      <w:pPr>
        <w:pStyle w:val="74"/>
        <w:rPr>
          <w:color w:val="000000" w:themeColor="text1"/>
          <w:szCs w:val="22"/>
          <w:lang w:val="zh-CN" w:bidi="zh-CN"/>
          <w14:textFill>
            <w14:solidFill>
              <w14:schemeClr w14:val="tx1"/>
            </w14:solidFill>
          </w14:textFill>
        </w:rPr>
      </w:pPr>
      <w:r>
        <w:rPr>
          <w:color w:val="000000" w:themeColor="text1"/>
          <w:szCs w:val="22"/>
          <w:lang w:val="zh-CN" w:bidi="zh-CN"/>
          <w14:textFill>
            <w14:solidFill>
              <w14:schemeClr w14:val="tx1"/>
            </w14:solidFill>
          </w14:textFill>
        </w:rPr>
        <w:t>沉积物质量现状调查结果见如下表：</w:t>
      </w:r>
    </w:p>
    <w:p w14:paraId="2BD6B9B7">
      <w:pPr>
        <w:pStyle w:val="7"/>
        <w:rPr>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沉积物质量现状调查结果表</w:t>
      </w:r>
    </w:p>
    <w:tbl>
      <w:tblPr>
        <w:tblStyle w:val="72"/>
        <w:tblW w:w="5092" w:type="pct"/>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
      <w:tblGrid>
        <w:gridCol w:w="1040"/>
        <w:gridCol w:w="689"/>
        <w:gridCol w:w="750"/>
        <w:gridCol w:w="751"/>
        <w:gridCol w:w="751"/>
        <w:gridCol w:w="751"/>
        <w:gridCol w:w="751"/>
        <w:gridCol w:w="751"/>
        <w:gridCol w:w="751"/>
        <w:gridCol w:w="751"/>
        <w:gridCol w:w="753"/>
      </w:tblGrid>
      <w:tr w14:paraId="7E89C289">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tblHeader/>
          <w:jc w:val="center"/>
        </w:trPr>
        <w:tc>
          <w:tcPr>
            <w:tcW w:w="1037" w:type="dxa"/>
            <w:vAlign w:val="center"/>
          </w:tcPr>
          <w:p w14:paraId="01303728">
            <w:pPr>
              <w:autoSpaceDE w:val="0"/>
              <w:autoSpaceDN w:val="0"/>
              <w:spacing w:line="240" w:lineRule="auto"/>
              <w:ind w:firstLine="0" w:firstLineChars="0"/>
              <w:jc w:val="center"/>
              <w:rPr>
                <w:rFonts w:asciiTheme="minorHAnsi" w:hAnsiTheme="minorHAnsi" w:eastAsiaTheme="minorEastAsia" w:cstheme="minorBidi"/>
                <w:b/>
                <w:bCs/>
                <w:color w:val="000000" w:themeColor="text1"/>
                <w:sz w:val="21"/>
                <w:lang w:eastAsia="en-US"/>
                <w14:textFill>
                  <w14:solidFill>
                    <w14:schemeClr w14:val="tx1"/>
                  </w14:solidFill>
                </w14:textFill>
              </w:rPr>
            </w:pPr>
            <w:bookmarkStart w:id="636" w:name="8.3.2.3沉积物质量现状评价"/>
            <w:bookmarkEnd w:id="636"/>
            <w:r>
              <w:rPr>
                <w:rFonts w:asciiTheme="minorHAnsi" w:hAnsiTheme="minorHAnsi" w:eastAsiaTheme="minorEastAsia" w:cstheme="minorBidi"/>
                <w:b/>
                <w:bCs/>
                <w:color w:val="000000" w:themeColor="text1"/>
                <w:spacing w:val="7"/>
                <w:sz w:val="21"/>
                <w:lang w:eastAsia="en-US"/>
                <w14:textFill>
                  <w14:solidFill>
                    <w14:schemeClr w14:val="tx1"/>
                  </w14:solidFill>
                </w14:textFill>
              </w:rPr>
              <w:t>监测站位</w:t>
            </w:r>
          </w:p>
        </w:tc>
        <w:tc>
          <w:tcPr>
            <w:tcW w:w="688" w:type="dxa"/>
            <w:vAlign w:val="center"/>
          </w:tcPr>
          <w:p w14:paraId="0C0DD477">
            <w:pPr>
              <w:autoSpaceDE w:val="0"/>
              <w:autoSpaceDN w:val="0"/>
              <w:spacing w:line="240" w:lineRule="auto"/>
              <w:ind w:firstLine="0" w:firstLineChars="0"/>
              <w:jc w:val="center"/>
              <w:rPr>
                <w:rFonts w:asciiTheme="minorHAnsi" w:hAnsiTheme="minorHAnsi" w:eastAsiaTheme="minorEastAsia" w:cstheme="minorBidi"/>
                <w:b/>
                <w:bCs/>
                <w:color w:val="000000" w:themeColor="text1"/>
                <w:spacing w:val="-8"/>
                <w:sz w:val="21"/>
                <w:lang w:eastAsia="en-US"/>
                <w14:textFill>
                  <w14:solidFill>
                    <w14:schemeClr w14:val="tx1"/>
                  </w14:solidFill>
                </w14:textFill>
              </w:rPr>
            </w:pPr>
            <w:r>
              <w:rPr>
                <w:rFonts w:asciiTheme="minorHAnsi" w:hAnsiTheme="minorHAnsi" w:eastAsiaTheme="minorEastAsia" w:cstheme="minorBidi"/>
                <w:b/>
                <w:bCs/>
                <w:color w:val="000000" w:themeColor="text1"/>
                <w:spacing w:val="-8"/>
                <w:sz w:val="21"/>
                <w:lang w:eastAsia="en-US"/>
                <w14:textFill>
                  <w14:solidFill>
                    <w14:schemeClr w14:val="tx1"/>
                  </w14:solidFill>
                </w14:textFill>
              </w:rPr>
              <w:t>有机碳</w:t>
            </w:r>
          </w:p>
          <w:p w14:paraId="16C90767">
            <w:pPr>
              <w:autoSpaceDE w:val="0"/>
              <w:autoSpaceDN w:val="0"/>
              <w:spacing w:line="240" w:lineRule="auto"/>
              <w:ind w:firstLine="0" w:firstLineChars="0"/>
              <w:jc w:val="center"/>
              <w:rPr>
                <w:rFonts w:asciiTheme="minorHAnsi" w:hAnsiTheme="minorHAnsi" w:eastAsiaTheme="minorEastAsia" w:cstheme="minorBidi"/>
                <w:b/>
                <w:bCs/>
                <w:color w:val="000000" w:themeColor="text1"/>
                <w:sz w:val="21"/>
                <w:lang w:eastAsia="en-US"/>
                <w14:textFill>
                  <w14:solidFill>
                    <w14:schemeClr w14:val="tx1"/>
                  </w14:solidFill>
                </w14:textFill>
              </w:rPr>
            </w:pPr>
            <w:r>
              <w:rPr>
                <w:rFonts w:asciiTheme="minorHAnsi" w:hAnsiTheme="minorHAnsi" w:eastAsiaTheme="minorEastAsia" w:cstheme="minorBidi"/>
                <w:b/>
                <w:bCs/>
                <w:color w:val="000000" w:themeColor="text1"/>
                <w:spacing w:val="-8"/>
                <w:sz w:val="21"/>
                <w:lang w:eastAsia="en-US"/>
                <w14:textFill>
                  <w14:solidFill>
                    <w14:schemeClr w14:val="tx1"/>
                  </w14:solidFill>
                </w14:textFill>
              </w:rPr>
              <w:t>（%）</w:t>
            </w:r>
          </w:p>
        </w:tc>
        <w:tc>
          <w:tcPr>
            <w:tcW w:w="748" w:type="dxa"/>
            <w:vAlign w:val="center"/>
          </w:tcPr>
          <w:p w14:paraId="33DDD596">
            <w:pPr>
              <w:autoSpaceDE w:val="0"/>
              <w:autoSpaceDN w:val="0"/>
              <w:spacing w:line="240" w:lineRule="auto"/>
              <w:ind w:firstLine="0" w:firstLineChars="0"/>
              <w:jc w:val="center"/>
              <w:rPr>
                <w:rFonts w:asciiTheme="minorHAnsi" w:hAnsiTheme="minorHAnsi" w:eastAsiaTheme="minorEastAsia" w:cstheme="minorBidi"/>
                <w:b/>
                <w:bCs/>
                <w:color w:val="000000" w:themeColor="text1"/>
                <w:spacing w:val="-10"/>
                <w:sz w:val="21"/>
                <w:lang w:eastAsia="en-US"/>
                <w14:textFill>
                  <w14:solidFill>
                    <w14:schemeClr w14:val="tx1"/>
                  </w14:solidFill>
                </w14:textFill>
              </w:rPr>
            </w:pPr>
            <w:r>
              <w:rPr>
                <w:rFonts w:asciiTheme="minorHAnsi" w:hAnsiTheme="minorHAnsi" w:eastAsiaTheme="minorEastAsia" w:cstheme="minorBidi"/>
                <w:b/>
                <w:bCs/>
                <w:color w:val="000000" w:themeColor="text1"/>
                <w:spacing w:val="-10"/>
                <w:sz w:val="21"/>
                <w:lang w:eastAsia="en-US"/>
                <w14:textFill>
                  <w14:solidFill>
                    <w14:schemeClr w14:val="tx1"/>
                  </w14:solidFill>
                </w14:textFill>
              </w:rPr>
              <w:t>硫化物</w:t>
            </w:r>
          </w:p>
          <w:p w14:paraId="523BC443">
            <w:pPr>
              <w:autoSpaceDE w:val="0"/>
              <w:autoSpaceDN w:val="0"/>
              <w:spacing w:line="240" w:lineRule="auto"/>
              <w:ind w:firstLine="0" w:firstLineChars="0"/>
              <w:jc w:val="center"/>
              <w:rPr>
                <w:rFonts w:asciiTheme="minorHAnsi" w:hAnsiTheme="minorHAnsi" w:eastAsiaTheme="minorEastAsia" w:cstheme="minorBidi"/>
                <w:b/>
                <w:bCs/>
                <w:color w:val="000000" w:themeColor="text1"/>
                <w:spacing w:val="-10"/>
                <w:sz w:val="21"/>
                <w:lang w:eastAsia="en-US"/>
                <w14:textFill>
                  <w14:solidFill>
                    <w14:schemeClr w14:val="tx1"/>
                  </w14:solidFill>
                </w14:textFill>
              </w:rPr>
            </w:pPr>
            <w:r>
              <w:rPr>
                <w:rFonts w:asciiTheme="minorHAnsi" w:hAnsiTheme="minorHAnsi" w:eastAsiaTheme="minorEastAsia" w:cstheme="minorBidi"/>
                <w:b/>
                <w:bCs/>
                <w:color w:val="000000" w:themeColor="text1"/>
                <w:spacing w:val="-10"/>
                <w:sz w:val="21"/>
                <w:lang w:eastAsia="en-US"/>
                <w14:textFill>
                  <w14:solidFill>
                    <w14:schemeClr w14:val="tx1"/>
                  </w14:solidFill>
                </w14:textFill>
              </w:rPr>
              <w:t>（×10</w:t>
            </w:r>
            <w:r>
              <w:rPr>
                <w:rFonts w:asciiTheme="minorHAnsi" w:hAnsiTheme="minorHAnsi" w:eastAsiaTheme="minorEastAsia" w:cstheme="minorBidi"/>
                <w:b/>
                <w:bCs/>
                <w:color w:val="000000" w:themeColor="text1"/>
                <w:spacing w:val="-10"/>
                <w:sz w:val="21"/>
                <w:vertAlign w:val="superscript"/>
                <w:lang w:eastAsia="en-US"/>
                <w14:textFill>
                  <w14:solidFill>
                    <w14:schemeClr w14:val="tx1"/>
                  </w14:solidFill>
                </w14:textFill>
              </w:rPr>
              <w:t>-6</w:t>
            </w:r>
            <w:r>
              <w:rPr>
                <w:rFonts w:asciiTheme="minorHAnsi" w:hAnsiTheme="minorHAnsi" w:eastAsiaTheme="minorEastAsia" w:cstheme="minorBidi"/>
                <w:b/>
                <w:bCs/>
                <w:color w:val="000000" w:themeColor="text1"/>
                <w:spacing w:val="-10"/>
                <w:sz w:val="21"/>
                <w:lang w:eastAsia="en-US"/>
                <w14:textFill>
                  <w14:solidFill>
                    <w14:schemeClr w14:val="tx1"/>
                  </w14:solidFill>
                </w14:textFill>
              </w:rPr>
              <w:t>）</w:t>
            </w:r>
          </w:p>
        </w:tc>
        <w:tc>
          <w:tcPr>
            <w:tcW w:w="748" w:type="dxa"/>
            <w:vAlign w:val="center"/>
          </w:tcPr>
          <w:p w14:paraId="4538E81E">
            <w:pPr>
              <w:autoSpaceDE w:val="0"/>
              <w:autoSpaceDN w:val="0"/>
              <w:spacing w:line="240" w:lineRule="auto"/>
              <w:ind w:firstLine="0" w:firstLineChars="0"/>
              <w:jc w:val="center"/>
              <w:rPr>
                <w:rFonts w:asciiTheme="minorHAnsi" w:hAnsiTheme="minorHAnsi" w:eastAsiaTheme="minorEastAsia" w:cstheme="minorBidi"/>
                <w:b/>
                <w:bCs/>
                <w:color w:val="000000" w:themeColor="text1"/>
                <w:spacing w:val="-10"/>
                <w:sz w:val="21"/>
                <w:lang w:eastAsia="en-US"/>
                <w14:textFill>
                  <w14:solidFill>
                    <w14:schemeClr w14:val="tx1"/>
                  </w14:solidFill>
                </w14:textFill>
              </w:rPr>
            </w:pPr>
            <w:r>
              <w:rPr>
                <w:rFonts w:asciiTheme="minorHAnsi" w:hAnsiTheme="minorHAnsi" w:eastAsiaTheme="minorEastAsia" w:cstheme="minorBidi"/>
                <w:b/>
                <w:bCs/>
                <w:color w:val="000000" w:themeColor="text1"/>
                <w:spacing w:val="-10"/>
                <w:sz w:val="21"/>
                <w:lang w:eastAsia="en-US"/>
                <w14:textFill>
                  <w14:solidFill>
                    <w14:schemeClr w14:val="tx1"/>
                  </w14:solidFill>
                </w14:textFill>
              </w:rPr>
              <w:t>油类</w:t>
            </w:r>
          </w:p>
          <w:p w14:paraId="616DAC51">
            <w:pPr>
              <w:autoSpaceDE w:val="0"/>
              <w:autoSpaceDN w:val="0"/>
              <w:spacing w:line="240" w:lineRule="auto"/>
              <w:ind w:firstLine="0" w:firstLineChars="0"/>
              <w:jc w:val="center"/>
              <w:rPr>
                <w:rFonts w:asciiTheme="minorHAnsi" w:hAnsiTheme="minorHAnsi" w:eastAsiaTheme="minorEastAsia" w:cstheme="minorBidi"/>
                <w:b/>
                <w:bCs/>
                <w:color w:val="000000" w:themeColor="text1"/>
                <w:spacing w:val="-10"/>
                <w:sz w:val="21"/>
                <w:lang w:eastAsia="en-US"/>
                <w14:textFill>
                  <w14:solidFill>
                    <w14:schemeClr w14:val="tx1"/>
                  </w14:solidFill>
                </w14:textFill>
              </w:rPr>
            </w:pPr>
            <w:r>
              <w:rPr>
                <w:rFonts w:asciiTheme="minorHAnsi" w:hAnsiTheme="minorHAnsi" w:eastAsiaTheme="minorEastAsia" w:cstheme="minorBidi"/>
                <w:b/>
                <w:bCs/>
                <w:color w:val="000000" w:themeColor="text1"/>
                <w:spacing w:val="-10"/>
                <w:sz w:val="21"/>
                <w:lang w:eastAsia="en-US"/>
                <w14:textFill>
                  <w14:solidFill>
                    <w14:schemeClr w14:val="tx1"/>
                  </w14:solidFill>
                </w14:textFill>
              </w:rPr>
              <w:t>（×10</w:t>
            </w:r>
            <w:r>
              <w:rPr>
                <w:rFonts w:asciiTheme="minorHAnsi" w:hAnsiTheme="minorHAnsi" w:eastAsiaTheme="minorEastAsia" w:cstheme="minorBidi"/>
                <w:b/>
                <w:bCs/>
                <w:color w:val="000000" w:themeColor="text1"/>
                <w:spacing w:val="-10"/>
                <w:sz w:val="21"/>
                <w:vertAlign w:val="superscript"/>
                <w:lang w:eastAsia="en-US"/>
                <w14:textFill>
                  <w14:solidFill>
                    <w14:schemeClr w14:val="tx1"/>
                  </w14:solidFill>
                </w14:textFill>
              </w:rPr>
              <w:t>-6</w:t>
            </w:r>
            <w:r>
              <w:rPr>
                <w:rFonts w:asciiTheme="minorHAnsi" w:hAnsiTheme="minorHAnsi" w:eastAsiaTheme="minorEastAsia" w:cstheme="minorBidi"/>
                <w:b/>
                <w:bCs/>
                <w:color w:val="000000" w:themeColor="text1"/>
                <w:spacing w:val="-10"/>
                <w:sz w:val="21"/>
                <w:lang w:eastAsia="en-US"/>
                <w14:textFill>
                  <w14:solidFill>
                    <w14:schemeClr w14:val="tx1"/>
                  </w14:solidFill>
                </w14:textFill>
              </w:rPr>
              <w:t>）</w:t>
            </w:r>
          </w:p>
        </w:tc>
        <w:tc>
          <w:tcPr>
            <w:tcW w:w="748" w:type="dxa"/>
            <w:vAlign w:val="center"/>
          </w:tcPr>
          <w:p w14:paraId="253CA3F8">
            <w:pPr>
              <w:autoSpaceDE w:val="0"/>
              <w:autoSpaceDN w:val="0"/>
              <w:spacing w:line="240" w:lineRule="auto"/>
              <w:ind w:firstLine="0" w:firstLineChars="0"/>
              <w:jc w:val="center"/>
              <w:rPr>
                <w:rFonts w:asciiTheme="minorHAnsi" w:hAnsiTheme="minorHAnsi" w:eastAsiaTheme="minorEastAsia" w:cstheme="minorBidi"/>
                <w:b/>
                <w:bCs/>
                <w:color w:val="000000" w:themeColor="text1"/>
                <w:spacing w:val="-10"/>
                <w:sz w:val="21"/>
                <w:lang w:eastAsia="en-US"/>
                <w14:textFill>
                  <w14:solidFill>
                    <w14:schemeClr w14:val="tx1"/>
                  </w14:solidFill>
                </w14:textFill>
              </w:rPr>
            </w:pPr>
            <w:r>
              <w:rPr>
                <w:rFonts w:asciiTheme="minorHAnsi" w:hAnsiTheme="minorHAnsi" w:eastAsiaTheme="minorEastAsia" w:cstheme="minorBidi"/>
                <w:b/>
                <w:bCs/>
                <w:color w:val="000000" w:themeColor="text1"/>
                <w:spacing w:val="-10"/>
                <w:sz w:val="21"/>
                <w:lang w:eastAsia="en-US"/>
                <w14:textFill>
                  <w14:solidFill>
                    <w14:schemeClr w14:val="tx1"/>
                  </w14:solidFill>
                </w14:textFill>
              </w:rPr>
              <w:t>汞</w:t>
            </w:r>
          </w:p>
          <w:p w14:paraId="2663D689">
            <w:pPr>
              <w:autoSpaceDE w:val="0"/>
              <w:autoSpaceDN w:val="0"/>
              <w:spacing w:line="240" w:lineRule="auto"/>
              <w:ind w:firstLine="0" w:firstLineChars="0"/>
              <w:jc w:val="center"/>
              <w:rPr>
                <w:rFonts w:asciiTheme="minorHAnsi" w:hAnsiTheme="minorHAnsi" w:eastAsiaTheme="minorEastAsia" w:cstheme="minorBidi"/>
                <w:b/>
                <w:bCs/>
                <w:color w:val="000000" w:themeColor="text1"/>
                <w:spacing w:val="-10"/>
                <w:sz w:val="21"/>
                <w:lang w:eastAsia="en-US"/>
                <w14:textFill>
                  <w14:solidFill>
                    <w14:schemeClr w14:val="tx1"/>
                  </w14:solidFill>
                </w14:textFill>
              </w:rPr>
            </w:pPr>
            <w:r>
              <w:rPr>
                <w:rFonts w:asciiTheme="minorHAnsi" w:hAnsiTheme="minorHAnsi" w:eastAsiaTheme="minorEastAsia" w:cstheme="minorBidi"/>
                <w:b/>
                <w:bCs/>
                <w:color w:val="000000" w:themeColor="text1"/>
                <w:spacing w:val="-10"/>
                <w:sz w:val="21"/>
                <w:lang w:eastAsia="en-US"/>
                <w14:textFill>
                  <w14:solidFill>
                    <w14:schemeClr w14:val="tx1"/>
                  </w14:solidFill>
                </w14:textFill>
              </w:rPr>
              <w:t>（×10</w:t>
            </w:r>
            <w:r>
              <w:rPr>
                <w:rFonts w:asciiTheme="minorHAnsi" w:hAnsiTheme="minorHAnsi" w:eastAsiaTheme="minorEastAsia" w:cstheme="minorBidi"/>
                <w:b/>
                <w:bCs/>
                <w:color w:val="000000" w:themeColor="text1"/>
                <w:spacing w:val="-10"/>
                <w:sz w:val="21"/>
                <w:vertAlign w:val="superscript"/>
                <w:lang w:eastAsia="en-US"/>
                <w14:textFill>
                  <w14:solidFill>
                    <w14:schemeClr w14:val="tx1"/>
                  </w14:solidFill>
                </w14:textFill>
              </w:rPr>
              <w:t>-6</w:t>
            </w:r>
            <w:r>
              <w:rPr>
                <w:rFonts w:asciiTheme="minorHAnsi" w:hAnsiTheme="minorHAnsi" w:eastAsiaTheme="minorEastAsia" w:cstheme="minorBidi"/>
                <w:b/>
                <w:bCs/>
                <w:color w:val="000000" w:themeColor="text1"/>
                <w:spacing w:val="-10"/>
                <w:sz w:val="21"/>
                <w:lang w:eastAsia="en-US"/>
                <w14:textFill>
                  <w14:solidFill>
                    <w14:schemeClr w14:val="tx1"/>
                  </w14:solidFill>
                </w14:textFill>
              </w:rPr>
              <w:t>）</w:t>
            </w:r>
          </w:p>
        </w:tc>
        <w:tc>
          <w:tcPr>
            <w:tcW w:w="748" w:type="dxa"/>
            <w:vAlign w:val="center"/>
          </w:tcPr>
          <w:p w14:paraId="657584B1">
            <w:pPr>
              <w:autoSpaceDE w:val="0"/>
              <w:autoSpaceDN w:val="0"/>
              <w:spacing w:line="240" w:lineRule="auto"/>
              <w:ind w:firstLine="0" w:firstLineChars="0"/>
              <w:jc w:val="center"/>
              <w:rPr>
                <w:rFonts w:asciiTheme="minorHAnsi" w:hAnsiTheme="minorHAnsi" w:eastAsiaTheme="minorEastAsia" w:cstheme="minorBidi"/>
                <w:b/>
                <w:bCs/>
                <w:color w:val="000000" w:themeColor="text1"/>
                <w:spacing w:val="-10"/>
                <w:sz w:val="21"/>
                <w:lang w:eastAsia="en-US"/>
                <w14:textFill>
                  <w14:solidFill>
                    <w14:schemeClr w14:val="tx1"/>
                  </w14:solidFill>
                </w14:textFill>
              </w:rPr>
            </w:pPr>
            <w:r>
              <w:rPr>
                <w:rFonts w:asciiTheme="minorHAnsi" w:hAnsiTheme="minorHAnsi" w:eastAsiaTheme="minorEastAsia" w:cstheme="minorBidi"/>
                <w:b/>
                <w:bCs/>
                <w:color w:val="000000" w:themeColor="text1"/>
                <w:spacing w:val="-10"/>
                <w:sz w:val="21"/>
                <w:lang w:eastAsia="en-US"/>
                <w14:textFill>
                  <w14:solidFill>
                    <w14:schemeClr w14:val="tx1"/>
                  </w14:solidFill>
                </w14:textFill>
              </w:rPr>
              <w:t>砷</w:t>
            </w:r>
          </w:p>
          <w:p w14:paraId="01DEA44C">
            <w:pPr>
              <w:autoSpaceDE w:val="0"/>
              <w:autoSpaceDN w:val="0"/>
              <w:spacing w:line="240" w:lineRule="auto"/>
              <w:ind w:firstLine="0" w:firstLineChars="0"/>
              <w:jc w:val="center"/>
              <w:rPr>
                <w:rFonts w:asciiTheme="minorHAnsi" w:hAnsiTheme="minorHAnsi" w:eastAsiaTheme="minorEastAsia" w:cstheme="minorBidi"/>
                <w:b/>
                <w:bCs/>
                <w:color w:val="000000" w:themeColor="text1"/>
                <w:spacing w:val="-10"/>
                <w:sz w:val="21"/>
                <w:lang w:eastAsia="en-US"/>
                <w14:textFill>
                  <w14:solidFill>
                    <w14:schemeClr w14:val="tx1"/>
                  </w14:solidFill>
                </w14:textFill>
              </w:rPr>
            </w:pPr>
            <w:r>
              <w:rPr>
                <w:rFonts w:asciiTheme="minorHAnsi" w:hAnsiTheme="minorHAnsi" w:eastAsiaTheme="minorEastAsia" w:cstheme="minorBidi"/>
                <w:b/>
                <w:bCs/>
                <w:color w:val="000000" w:themeColor="text1"/>
                <w:spacing w:val="-10"/>
                <w:sz w:val="21"/>
                <w:lang w:eastAsia="en-US"/>
                <w14:textFill>
                  <w14:solidFill>
                    <w14:schemeClr w14:val="tx1"/>
                  </w14:solidFill>
                </w14:textFill>
              </w:rPr>
              <w:t>（×10</w:t>
            </w:r>
            <w:r>
              <w:rPr>
                <w:rFonts w:asciiTheme="minorHAnsi" w:hAnsiTheme="minorHAnsi" w:eastAsiaTheme="minorEastAsia" w:cstheme="minorBidi"/>
                <w:b/>
                <w:bCs/>
                <w:color w:val="000000" w:themeColor="text1"/>
                <w:spacing w:val="-10"/>
                <w:sz w:val="21"/>
                <w:vertAlign w:val="superscript"/>
                <w:lang w:eastAsia="en-US"/>
                <w14:textFill>
                  <w14:solidFill>
                    <w14:schemeClr w14:val="tx1"/>
                  </w14:solidFill>
                </w14:textFill>
              </w:rPr>
              <w:t>-6</w:t>
            </w:r>
            <w:r>
              <w:rPr>
                <w:rFonts w:asciiTheme="minorHAnsi" w:hAnsiTheme="minorHAnsi" w:eastAsiaTheme="minorEastAsia" w:cstheme="minorBidi"/>
                <w:b/>
                <w:bCs/>
                <w:color w:val="000000" w:themeColor="text1"/>
                <w:spacing w:val="-10"/>
                <w:sz w:val="21"/>
                <w:lang w:eastAsia="en-US"/>
                <w14:textFill>
                  <w14:solidFill>
                    <w14:schemeClr w14:val="tx1"/>
                  </w14:solidFill>
                </w14:textFill>
              </w:rPr>
              <w:t>）</w:t>
            </w:r>
          </w:p>
        </w:tc>
        <w:tc>
          <w:tcPr>
            <w:tcW w:w="748" w:type="dxa"/>
            <w:vAlign w:val="center"/>
          </w:tcPr>
          <w:p w14:paraId="5354F6E7">
            <w:pPr>
              <w:autoSpaceDE w:val="0"/>
              <w:autoSpaceDN w:val="0"/>
              <w:spacing w:line="240" w:lineRule="auto"/>
              <w:ind w:firstLine="0" w:firstLineChars="0"/>
              <w:jc w:val="center"/>
              <w:rPr>
                <w:rFonts w:asciiTheme="minorHAnsi" w:hAnsiTheme="minorHAnsi" w:eastAsiaTheme="minorEastAsia" w:cstheme="minorBidi"/>
                <w:b/>
                <w:bCs/>
                <w:color w:val="000000" w:themeColor="text1"/>
                <w:spacing w:val="-10"/>
                <w:sz w:val="21"/>
                <w:lang w:eastAsia="en-US"/>
                <w14:textFill>
                  <w14:solidFill>
                    <w14:schemeClr w14:val="tx1"/>
                  </w14:solidFill>
                </w14:textFill>
              </w:rPr>
            </w:pPr>
            <w:r>
              <w:rPr>
                <w:rFonts w:asciiTheme="minorHAnsi" w:hAnsiTheme="minorHAnsi" w:eastAsiaTheme="minorEastAsia" w:cstheme="minorBidi"/>
                <w:b/>
                <w:bCs/>
                <w:color w:val="000000" w:themeColor="text1"/>
                <w:spacing w:val="-10"/>
                <w:sz w:val="21"/>
                <w:lang w:eastAsia="en-US"/>
                <w14:textFill>
                  <w14:solidFill>
                    <w14:schemeClr w14:val="tx1"/>
                  </w14:solidFill>
                </w14:textFill>
              </w:rPr>
              <w:t>铜</w:t>
            </w:r>
          </w:p>
          <w:p w14:paraId="266355FA">
            <w:pPr>
              <w:autoSpaceDE w:val="0"/>
              <w:autoSpaceDN w:val="0"/>
              <w:spacing w:line="240" w:lineRule="auto"/>
              <w:ind w:firstLine="0" w:firstLineChars="0"/>
              <w:jc w:val="center"/>
              <w:rPr>
                <w:rFonts w:asciiTheme="minorHAnsi" w:hAnsiTheme="minorHAnsi" w:eastAsiaTheme="minorEastAsia" w:cstheme="minorBidi"/>
                <w:b/>
                <w:bCs/>
                <w:color w:val="000000" w:themeColor="text1"/>
                <w:spacing w:val="-10"/>
                <w:sz w:val="21"/>
                <w:lang w:eastAsia="en-US"/>
                <w14:textFill>
                  <w14:solidFill>
                    <w14:schemeClr w14:val="tx1"/>
                  </w14:solidFill>
                </w14:textFill>
              </w:rPr>
            </w:pPr>
            <w:r>
              <w:rPr>
                <w:rFonts w:asciiTheme="minorHAnsi" w:hAnsiTheme="minorHAnsi" w:eastAsiaTheme="minorEastAsia" w:cstheme="minorBidi"/>
                <w:b/>
                <w:bCs/>
                <w:color w:val="000000" w:themeColor="text1"/>
                <w:spacing w:val="-10"/>
                <w:sz w:val="21"/>
                <w:lang w:eastAsia="en-US"/>
                <w14:textFill>
                  <w14:solidFill>
                    <w14:schemeClr w14:val="tx1"/>
                  </w14:solidFill>
                </w14:textFill>
              </w:rPr>
              <w:t>（×10</w:t>
            </w:r>
            <w:r>
              <w:rPr>
                <w:rFonts w:asciiTheme="minorHAnsi" w:hAnsiTheme="minorHAnsi" w:eastAsiaTheme="minorEastAsia" w:cstheme="minorBidi"/>
                <w:b/>
                <w:bCs/>
                <w:color w:val="000000" w:themeColor="text1"/>
                <w:spacing w:val="-10"/>
                <w:sz w:val="21"/>
                <w:vertAlign w:val="superscript"/>
                <w:lang w:eastAsia="en-US"/>
                <w14:textFill>
                  <w14:solidFill>
                    <w14:schemeClr w14:val="tx1"/>
                  </w14:solidFill>
                </w14:textFill>
              </w:rPr>
              <w:t>-6</w:t>
            </w:r>
            <w:r>
              <w:rPr>
                <w:rFonts w:asciiTheme="minorHAnsi" w:hAnsiTheme="minorHAnsi" w:eastAsiaTheme="minorEastAsia" w:cstheme="minorBidi"/>
                <w:b/>
                <w:bCs/>
                <w:color w:val="000000" w:themeColor="text1"/>
                <w:spacing w:val="-10"/>
                <w:sz w:val="21"/>
                <w:lang w:eastAsia="en-US"/>
                <w14:textFill>
                  <w14:solidFill>
                    <w14:schemeClr w14:val="tx1"/>
                  </w14:solidFill>
                </w14:textFill>
              </w:rPr>
              <w:t>）</w:t>
            </w:r>
          </w:p>
        </w:tc>
        <w:tc>
          <w:tcPr>
            <w:tcW w:w="748" w:type="dxa"/>
            <w:vAlign w:val="center"/>
          </w:tcPr>
          <w:p w14:paraId="19D2B044">
            <w:pPr>
              <w:autoSpaceDE w:val="0"/>
              <w:autoSpaceDN w:val="0"/>
              <w:spacing w:line="240" w:lineRule="auto"/>
              <w:ind w:firstLine="0" w:firstLineChars="0"/>
              <w:jc w:val="center"/>
              <w:rPr>
                <w:rFonts w:asciiTheme="minorHAnsi" w:hAnsiTheme="minorHAnsi" w:eastAsiaTheme="minorEastAsia" w:cstheme="minorBidi"/>
                <w:b/>
                <w:bCs/>
                <w:color w:val="000000" w:themeColor="text1"/>
                <w:spacing w:val="-10"/>
                <w:sz w:val="21"/>
                <w:lang w:eastAsia="en-US"/>
                <w14:textFill>
                  <w14:solidFill>
                    <w14:schemeClr w14:val="tx1"/>
                  </w14:solidFill>
                </w14:textFill>
              </w:rPr>
            </w:pPr>
            <w:r>
              <w:rPr>
                <w:rFonts w:asciiTheme="minorHAnsi" w:hAnsiTheme="minorHAnsi" w:eastAsiaTheme="minorEastAsia" w:cstheme="minorBidi"/>
                <w:b/>
                <w:bCs/>
                <w:color w:val="000000" w:themeColor="text1"/>
                <w:spacing w:val="-10"/>
                <w:sz w:val="21"/>
                <w:lang w:eastAsia="en-US"/>
                <w14:textFill>
                  <w14:solidFill>
                    <w14:schemeClr w14:val="tx1"/>
                  </w14:solidFill>
                </w14:textFill>
              </w:rPr>
              <w:t>铅</w:t>
            </w:r>
          </w:p>
          <w:p w14:paraId="0E2B970B">
            <w:pPr>
              <w:autoSpaceDE w:val="0"/>
              <w:autoSpaceDN w:val="0"/>
              <w:spacing w:line="240" w:lineRule="auto"/>
              <w:ind w:firstLine="0" w:firstLineChars="0"/>
              <w:jc w:val="center"/>
              <w:rPr>
                <w:rFonts w:asciiTheme="minorHAnsi" w:hAnsiTheme="minorHAnsi" w:eastAsiaTheme="minorEastAsia" w:cstheme="minorBidi"/>
                <w:b/>
                <w:bCs/>
                <w:color w:val="000000" w:themeColor="text1"/>
                <w:spacing w:val="-10"/>
                <w:sz w:val="21"/>
                <w:lang w:eastAsia="en-US"/>
                <w14:textFill>
                  <w14:solidFill>
                    <w14:schemeClr w14:val="tx1"/>
                  </w14:solidFill>
                </w14:textFill>
              </w:rPr>
            </w:pPr>
            <w:r>
              <w:rPr>
                <w:rFonts w:asciiTheme="minorHAnsi" w:hAnsiTheme="minorHAnsi" w:eastAsiaTheme="minorEastAsia" w:cstheme="minorBidi"/>
                <w:b/>
                <w:bCs/>
                <w:color w:val="000000" w:themeColor="text1"/>
                <w:spacing w:val="-10"/>
                <w:sz w:val="21"/>
                <w:lang w:eastAsia="en-US"/>
                <w14:textFill>
                  <w14:solidFill>
                    <w14:schemeClr w14:val="tx1"/>
                  </w14:solidFill>
                </w14:textFill>
              </w:rPr>
              <w:t>（×10</w:t>
            </w:r>
            <w:r>
              <w:rPr>
                <w:rFonts w:asciiTheme="minorHAnsi" w:hAnsiTheme="minorHAnsi" w:eastAsiaTheme="minorEastAsia" w:cstheme="minorBidi"/>
                <w:b/>
                <w:bCs/>
                <w:color w:val="000000" w:themeColor="text1"/>
                <w:spacing w:val="-10"/>
                <w:sz w:val="21"/>
                <w:vertAlign w:val="superscript"/>
                <w:lang w:eastAsia="en-US"/>
                <w14:textFill>
                  <w14:solidFill>
                    <w14:schemeClr w14:val="tx1"/>
                  </w14:solidFill>
                </w14:textFill>
              </w:rPr>
              <w:t>-6</w:t>
            </w:r>
            <w:r>
              <w:rPr>
                <w:rFonts w:asciiTheme="minorHAnsi" w:hAnsiTheme="minorHAnsi" w:eastAsiaTheme="minorEastAsia" w:cstheme="minorBidi"/>
                <w:b/>
                <w:bCs/>
                <w:color w:val="000000" w:themeColor="text1"/>
                <w:spacing w:val="-10"/>
                <w:sz w:val="21"/>
                <w:lang w:eastAsia="en-US"/>
                <w14:textFill>
                  <w14:solidFill>
                    <w14:schemeClr w14:val="tx1"/>
                  </w14:solidFill>
                </w14:textFill>
              </w:rPr>
              <w:t>）</w:t>
            </w:r>
          </w:p>
        </w:tc>
        <w:tc>
          <w:tcPr>
            <w:tcW w:w="748" w:type="dxa"/>
            <w:vAlign w:val="center"/>
          </w:tcPr>
          <w:p w14:paraId="49043919">
            <w:pPr>
              <w:autoSpaceDE w:val="0"/>
              <w:autoSpaceDN w:val="0"/>
              <w:spacing w:line="240" w:lineRule="auto"/>
              <w:ind w:firstLine="0" w:firstLineChars="0"/>
              <w:jc w:val="center"/>
              <w:rPr>
                <w:rFonts w:asciiTheme="minorHAnsi" w:hAnsiTheme="minorHAnsi" w:eastAsiaTheme="minorEastAsia" w:cstheme="minorBidi"/>
                <w:b/>
                <w:bCs/>
                <w:color w:val="000000" w:themeColor="text1"/>
                <w:spacing w:val="-10"/>
                <w:sz w:val="21"/>
                <w:lang w:eastAsia="en-US"/>
                <w14:textFill>
                  <w14:solidFill>
                    <w14:schemeClr w14:val="tx1"/>
                  </w14:solidFill>
                </w14:textFill>
              </w:rPr>
            </w:pPr>
            <w:r>
              <w:rPr>
                <w:rFonts w:asciiTheme="minorHAnsi" w:hAnsiTheme="minorHAnsi" w:eastAsiaTheme="minorEastAsia" w:cstheme="minorBidi"/>
                <w:b/>
                <w:bCs/>
                <w:color w:val="000000" w:themeColor="text1"/>
                <w:spacing w:val="-10"/>
                <w:sz w:val="21"/>
                <w:lang w:eastAsia="en-US"/>
                <w14:textFill>
                  <w14:solidFill>
                    <w14:schemeClr w14:val="tx1"/>
                  </w14:solidFill>
                </w14:textFill>
              </w:rPr>
              <w:t>锌</w:t>
            </w:r>
          </w:p>
          <w:p w14:paraId="5A448012">
            <w:pPr>
              <w:autoSpaceDE w:val="0"/>
              <w:autoSpaceDN w:val="0"/>
              <w:spacing w:line="240" w:lineRule="auto"/>
              <w:ind w:firstLine="0" w:firstLineChars="0"/>
              <w:jc w:val="center"/>
              <w:rPr>
                <w:rFonts w:asciiTheme="minorHAnsi" w:hAnsiTheme="minorHAnsi" w:eastAsiaTheme="minorEastAsia" w:cstheme="minorBidi"/>
                <w:b/>
                <w:bCs/>
                <w:color w:val="000000" w:themeColor="text1"/>
                <w:spacing w:val="-10"/>
                <w:sz w:val="21"/>
                <w:lang w:eastAsia="en-US"/>
                <w14:textFill>
                  <w14:solidFill>
                    <w14:schemeClr w14:val="tx1"/>
                  </w14:solidFill>
                </w14:textFill>
              </w:rPr>
            </w:pPr>
            <w:r>
              <w:rPr>
                <w:rFonts w:asciiTheme="minorHAnsi" w:hAnsiTheme="minorHAnsi" w:eastAsiaTheme="minorEastAsia" w:cstheme="minorBidi"/>
                <w:b/>
                <w:bCs/>
                <w:color w:val="000000" w:themeColor="text1"/>
                <w:spacing w:val="-10"/>
                <w:sz w:val="21"/>
                <w:lang w:eastAsia="en-US"/>
                <w14:textFill>
                  <w14:solidFill>
                    <w14:schemeClr w14:val="tx1"/>
                  </w14:solidFill>
                </w14:textFill>
              </w:rPr>
              <w:t>（×10</w:t>
            </w:r>
            <w:r>
              <w:rPr>
                <w:rFonts w:asciiTheme="minorHAnsi" w:hAnsiTheme="minorHAnsi" w:eastAsiaTheme="minorEastAsia" w:cstheme="minorBidi"/>
                <w:b/>
                <w:bCs/>
                <w:color w:val="000000" w:themeColor="text1"/>
                <w:spacing w:val="-10"/>
                <w:sz w:val="21"/>
                <w:vertAlign w:val="superscript"/>
                <w:lang w:eastAsia="en-US"/>
                <w14:textFill>
                  <w14:solidFill>
                    <w14:schemeClr w14:val="tx1"/>
                  </w14:solidFill>
                </w14:textFill>
              </w:rPr>
              <w:t>-6</w:t>
            </w:r>
            <w:r>
              <w:rPr>
                <w:rFonts w:asciiTheme="minorHAnsi" w:hAnsiTheme="minorHAnsi" w:eastAsiaTheme="minorEastAsia" w:cstheme="minorBidi"/>
                <w:b/>
                <w:bCs/>
                <w:color w:val="000000" w:themeColor="text1"/>
                <w:spacing w:val="-10"/>
                <w:sz w:val="21"/>
                <w:lang w:eastAsia="en-US"/>
                <w14:textFill>
                  <w14:solidFill>
                    <w14:schemeClr w14:val="tx1"/>
                  </w14:solidFill>
                </w14:textFill>
              </w:rPr>
              <w:t>）</w:t>
            </w:r>
          </w:p>
        </w:tc>
        <w:tc>
          <w:tcPr>
            <w:tcW w:w="748" w:type="dxa"/>
            <w:vAlign w:val="center"/>
          </w:tcPr>
          <w:p w14:paraId="02891672">
            <w:pPr>
              <w:autoSpaceDE w:val="0"/>
              <w:autoSpaceDN w:val="0"/>
              <w:spacing w:line="240" w:lineRule="auto"/>
              <w:ind w:firstLine="0" w:firstLineChars="0"/>
              <w:jc w:val="center"/>
              <w:rPr>
                <w:rFonts w:asciiTheme="minorHAnsi" w:hAnsiTheme="minorHAnsi" w:eastAsiaTheme="minorEastAsia" w:cstheme="minorBidi"/>
                <w:b/>
                <w:bCs/>
                <w:color w:val="000000" w:themeColor="text1"/>
                <w:spacing w:val="-10"/>
                <w:sz w:val="21"/>
                <w:lang w:eastAsia="en-US"/>
                <w14:textFill>
                  <w14:solidFill>
                    <w14:schemeClr w14:val="tx1"/>
                  </w14:solidFill>
                </w14:textFill>
              </w:rPr>
            </w:pPr>
            <w:r>
              <w:rPr>
                <w:rFonts w:asciiTheme="minorHAnsi" w:hAnsiTheme="minorHAnsi" w:eastAsiaTheme="minorEastAsia" w:cstheme="minorBidi"/>
                <w:b/>
                <w:bCs/>
                <w:color w:val="000000" w:themeColor="text1"/>
                <w:spacing w:val="-10"/>
                <w:sz w:val="21"/>
                <w:lang w:eastAsia="en-US"/>
                <w14:textFill>
                  <w14:solidFill>
                    <w14:schemeClr w14:val="tx1"/>
                  </w14:solidFill>
                </w14:textFill>
              </w:rPr>
              <w:t>镉</w:t>
            </w:r>
          </w:p>
          <w:p w14:paraId="4D3ADB14">
            <w:pPr>
              <w:autoSpaceDE w:val="0"/>
              <w:autoSpaceDN w:val="0"/>
              <w:spacing w:line="240" w:lineRule="auto"/>
              <w:ind w:firstLine="0" w:firstLineChars="0"/>
              <w:jc w:val="center"/>
              <w:rPr>
                <w:rFonts w:asciiTheme="minorHAnsi" w:hAnsiTheme="minorHAnsi" w:eastAsiaTheme="minorEastAsia" w:cstheme="minorBidi"/>
                <w:b/>
                <w:bCs/>
                <w:color w:val="000000" w:themeColor="text1"/>
                <w:spacing w:val="-10"/>
                <w:sz w:val="21"/>
                <w:lang w:eastAsia="en-US"/>
                <w14:textFill>
                  <w14:solidFill>
                    <w14:schemeClr w14:val="tx1"/>
                  </w14:solidFill>
                </w14:textFill>
              </w:rPr>
            </w:pPr>
            <w:r>
              <w:rPr>
                <w:rFonts w:asciiTheme="minorHAnsi" w:hAnsiTheme="minorHAnsi" w:eastAsiaTheme="minorEastAsia" w:cstheme="minorBidi"/>
                <w:b/>
                <w:bCs/>
                <w:color w:val="000000" w:themeColor="text1"/>
                <w:spacing w:val="-10"/>
                <w:sz w:val="21"/>
                <w:lang w:eastAsia="en-US"/>
                <w14:textFill>
                  <w14:solidFill>
                    <w14:schemeClr w14:val="tx1"/>
                  </w14:solidFill>
                </w14:textFill>
              </w:rPr>
              <w:t>（×10</w:t>
            </w:r>
            <w:r>
              <w:rPr>
                <w:rFonts w:asciiTheme="minorHAnsi" w:hAnsiTheme="minorHAnsi" w:eastAsiaTheme="minorEastAsia" w:cstheme="minorBidi"/>
                <w:b/>
                <w:bCs/>
                <w:color w:val="000000" w:themeColor="text1"/>
                <w:spacing w:val="-10"/>
                <w:sz w:val="21"/>
                <w:vertAlign w:val="superscript"/>
                <w:lang w:eastAsia="en-US"/>
                <w14:textFill>
                  <w14:solidFill>
                    <w14:schemeClr w14:val="tx1"/>
                  </w14:solidFill>
                </w14:textFill>
              </w:rPr>
              <w:t>-6</w:t>
            </w:r>
            <w:r>
              <w:rPr>
                <w:rFonts w:asciiTheme="minorHAnsi" w:hAnsiTheme="minorHAnsi" w:eastAsiaTheme="minorEastAsia" w:cstheme="minorBidi"/>
                <w:b/>
                <w:bCs/>
                <w:color w:val="000000" w:themeColor="text1"/>
                <w:spacing w:val="-10"/>
                <w:sz w:val="21"/>
                <w:lang w:eastAsia="en-US"/>
                <w14:textFill>
                  <w14:solidFill>
                    <w14:schemeClr w14:val="tx1"/>
                  </w14:solidFill>
                </w14:textFill>
              </w:rPr>
              <w:t>）</w:t>
            </w:r>
          </w:p>
        </w:tc>
        <w:tc>
          <w:tcPr>
            <w:tcW w:w="750" w:type="dxa"/>
            <w:vAlign w:val="center"/>
          </w:tcPr>
          <w:p w14:paraId="711B224C">
            <w:pPr>
              <w:autoSpaceDE w:val="0"/>
              <w:autoSpaceDN w:val="0"/>
              <w:spacing w:line="240" w:lineRule="auto"/>
              <w:ind w:firstLine="0" w:firstLineChars="0"/>
              <w:jc w:val="center"/>
              <w:rPr>
                <w:rFonts w:asciiTheme="minorHAnsi" w:hAnsiTheme="minorHAnsi" w:eastAsiaTheme="minorEastAsia" w:cstheme="minorBidi"/>
                <w:b/>
                <w:bCs/>
                <w:color w:val="000000" w:themeColor="text1"/>
                <w:spacing w:val="-10"/>
                <w:sz w:val="21"/>
                <w:lang w:eastAsia="en-US"/>
                <w14:textFill>
                  <w14:solidFill>
                    <w14:schemeClr w14:val="tx1"/>
                  </w14:solidFill>
                </w14:textFill>
              </w:rPr>
            </w:pPr>
            <w:r>
              <w:rPr>
                <w:rFonts w:asciiTheme="minorHAnsi" w:hAnsiTheme="minorHAnsi" w:eastAsiaTheme="minorEastAsia" w:cstheme="minorBidi"/>
                <w:b/>
                <w:bCs/>
                <w:color w:val="000000" w:themeColor="text1"/>
                <w:spacing w:val="-10"/>
                <w:sz w:val="21"/>
                <w:lang w:eastAsia="en-US"/>
                <w14:textFill>
                  <w14:solidFill>
                    <w14:schemeClr w14:val="tx1"/>
                  </w14:solidFill>
                </w14:textFill>
              </w:rPr>
              <w:t>铬</w:t>
            </w:r>
          </w:p>
          <w:p w14:paraId="1BD79F97">
            <w:pPr>
              <w:autoSpaceDE w:val="0"/>
              <w:autoSpaceDN w:val="0"/>
              <w:spacing w:line="240" w:lineRule="auto"/>
              <w:ind w:firstLine="0" w:firstLineChars="0"/>
              <w:jc w:val="center"/>
              <w:rPr>
                <w:rFonts w:asciiTheme="minorHAnsi" w:hAnsiTheme="minorHAnsi" w:eastAsiaTheme="minorEastAsia" w:cstheme="minorBidi"/>
                <w:b/>
                <w:bCs/>
                <w:color w:val="000000" w:themeColor="text1"/>
                <w:spacing w:val="-10"/>
                <w:sz w:val="21"/>
                <w:lang w:eastAsia="en-US"/>
                <w14:textFill>
                  <w14:solidFill>
                    <w14:schemeClr w14:val="tx1"/>
                  </w14:solidFill>
                </w14:textFill>
              </w:rPr>
            </w:pPr>
            <w:r>
              <w:rPr>
                <w:rFonts w:asciiTheme="minorHAnsi" w:hAnsiTheme="minorHAnsi" w:eastAsiaTheme="minorEastAsia" w:cstheme="minorBidi"/>
                <w:b/>
                <w:bCs/>
                <w:color w:val="000000" w:themeColor="text1"/>
                <w:spacing w:val="-10"/>
                <w:sz w:val="21"/>
                <w:lang w:eastAsia="en-US"/>
                <w14:textFill>
                  <w14:solidFill>
                    <w14:schemeClr w14:val="tx1"/>
                  </w14:solidFill>
                </w14:textFill>
              </w:rPr>
              <w:t>（×10</w:t>
            </w:r>
            <w:r>
              <w:rPr>
                <w:rFonts w:asciiTheme="minorHAnsi" w:hAnsiTheme="minorHAnsi" w:eastAsiaTheme="minorEastAsia" w:cstheme="minorBidi"/>
                <w:b/>
                <w:bCs/>
                <w:color w:val="000000" w:themeColor="text1"/>
                <w:spacing w:val="-10"/>
                <w:sz w:val="21"/>
                <w:vertAlign w:val="superscript"/>
                <w:lang w:eastAsia="en-US"/>
                <w14:textFill>
                  <w14:solidFill>
                    <w14:schemeClr w14:val="tx1"/>
                  </w14:solidFill>
                </w14:textFill>
              </w:rPr>
              <w:t>-6</w:t>
            </w:r>
            <w:r>
              <w:rPr>
                <w:rFonts w:asciiTheme="minorHAnsi" w:hAnsiTheme="minorHAnsi" w:eastAsiaTheme="minorEastAsia" w:cstheme="minorBidi"/>
                <w:b/>
                <w:bCs/>
                <w:color w:val="000000" w:themeColor="text1"/>
                <w:spacing w:val="-10"/>
                <w:sz w:val="21"/>
                <w:lang w:eastAsia="en-US"/>
                <w14:textFill>
                  <w14:solidFill>
                    <w14:schemeClr w14:val="tx1"/>
                  </w14:solidFill>
                </w14:textFill>
              </w:rPr>
              <w:t>）</w:t>
            </w:r>
          </w:p>
        </w:tc>
      </w:tr>
      <w:tr w14:paraId="1B843C9F">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1037" w:type="dxa"/>
            <w:vAlign w:val="center"/>
          </w:tcPr>
          <w:p w14:paraId="38937FEA">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r>
              <w:rPr>
                <w:rFonts w:asciiTheme="minorHAnsi" w:hAnsiTheme="minorHAnsi" w:eastAsiaTheme="minorEastAsia" w:cstheme="minorBidi"/>
                <w:color w:val="000000" w:themeColor="text1"/>
                <w:sz w:val="21"/>
                <w:lang w:eastAsia="en-US"/>
                <w14:textFill>
                  <w14:solidFill>
                    <w14:schemeClr w14:val="tx1"/>
                  </w14:solidFill>
                </w14:textFill>
              </w:rPr>
              <w:t>S1</w:t>
            </w:r>
          </w:p>
        </w:tc>
        <w:tc>
          <w:tcPr>
            <w:tcW w:w="688" w:type="dxa"/>
            <w:vAlign w:val="center"/>
          </w:tcPr>
          <w:p w14:paraId="44A22400">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6C1A0CBD">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7A7A268A">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2BC904D2">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35A690D3">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1D7C02D7">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5C6F920D">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7D64C5C6">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3AD048F1">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50" w:type="dxa"/>
            <w:vAlign w:val="center"/>
          </w:tcPr>
          <w:p w14:paraId="65C52F73">
            <w:pPr>
              <w:autoSpaceDE w:val="0"/>
              <w:autoSpaceDN w:val="0"/>
              <w:spacing w:line="240" w:lineRule="auto"/>
              <w:ind w:firstLine="0" w:firstLineChars="0"/>
              <w:jc w:val="center"/>
              <w:rPr>
                <w:rFonts w:asciiTheme="minorHAnsi" w:hAnsiTheme="minorHAnsi" w:eastAsiaTheme="minorEastAsia" w:cstheme="minorBidi"/>
                <w:color w:val="000000" w:themeColor="text1"/>
                <w:spacing w:val="2"/>
                <w:sz w:val="21"/>
                <w:lang w:eastAsia="en-US"/>
                <w14:textFill>
                  <w14:solidFill>
                    <w14:schemeClr w14:val="tx1"/>
                  </w14:solidFill>
                </w14:textFill>
              </w:rPr>
            </w:pPr>
          </w:p>
        </w:tc>
      </w:tr>
      <w:tr w14:paraId="620F225C">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1037" w:type="dxa"/>
            <w:vAlign w:val="center"/>
          </w:tcPr>
          <w:p w14:paraId="7470CD9B">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r>
              <w:rPr>
                <w:rFonts w:asciiTheme="minorHAnsi" w:hAnsiTheme="minorHAnsi" w:eastAsiaTheme="minorEastAsia" w:cstheme="minorBidi"/>
                <w:color w:val="000000" w:themeColor="text1"/>
                <w:spacing w:val="6"/>
                <w:sz w:val="21"/>
                <w:lang w:eastAsia="en-US"/>
                <w14:textFill>
                  <w14:solidFill>
                    <w14:schemeClr w14:val="tx1"/>
                  </w14:solidFill>
                </w14:textFill>
              </w:rPr>
              <w:t>标准值（第三类）</w:t>
            </w:r>
          </w:p>
        </w:tc>
        <w:tc>
          <w:tcPr>
            <w:tcW w:w="688" w:type="dxa"/>
            <w:vAlign w:val="center"/>
          </w:tcPr>
          <w:p w14:paraId="30D864AF">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2F4AA789">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577AB2EA">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31BB49E4">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1A16C97E">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4E4BE46A">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0255AF74">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4673FF33">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1965EDD0">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50" w:type="dxa"/>
            <w:vAlign w:val="center"/>
          </w:tcPr>
          <w:p w14:paraId="6588CE86">
            <w:pPr>
              <w:autoSpaceDE w:val="0"/>
              <w:autoSpaceDN w:val="0"/>
              <w:spacing w:line="240" w:lineRule="auto"/>
              <w:ind w:firstLine="0" w:firstLineChars="0"/>
              <w:jc w:val="center"/>
              <w:rPr>
                <w:rFonts w:asciiTheme="minorHAnsi" w:hAnsiTheme="minorHAnsi" w:eastAsiaTheme="minorEastAsia" w:cstheme="minorBidi"/>
                <w:color w:val="000000" w:themeColor="text1"/>
                <w:spacing w:val="2"/>
                <w:sz w:val="21"/>
                <w:lang w:eastAsia="en-US"/>
                <w14:textFill>
                  <w14:solidFill>
                    <w14:schemeClr w14:val="tx1"/>
                  </w14:solidFill>
                </w14:textFill>
              </w:rPr>
            </w:pPr>
          </w:p>
        </w:tc>
      </w:tr>
      <w:tr w14:paraId="781CC319">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1037" w:type="dxa"/>
            <w:vAlign w:val="center"/>
          </w:tcPr>
          <w:p w14:paraId="5B62DBCD">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r>
              <w:rPr>
                <w:rFonts w:asciiTheme="minorHAnsi" w:hAnsiTheme="minorHAnsi" w:eastAsiaTheme="minorEastAsia" w:cstheme="minorBidi"/>
                <w:color w:val="000000" w:themeColor="text1"/>
                <w:spacing w:val="7"/>
                <w:sz w:val="21"/>
                <w:lang w:eastAsia="en-US"/>
                <w14:textFill>
                  <w14:solidFill>
                    <w14:schemeClr w14:val="tx1"/>
                  </w14:solidFill>
                </w14:textFill>
              </w:rPr>
              <w:t>标准指数</w:t>
            </w:r>
          </w:p>
        </w:tc>
        <w:tc>
          <w:tcPr>
            <w:tcW w:w="688" w:type="dxa"/>
            <w:vAlign w:val="center"/>
          </w:tcPr>
          <w:p w14:paraId="7451FBAF">
            <w:pPr>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182F4007">
            <w:pPr>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2FE9D518">
            <w:pPr>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7A63D49A">
            <w:pPr>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586FDD42">
            <w:pPr>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7F0AAE6F">
            <w:pPr>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742024AC">
            <w:pPr>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24E07BAF">
            <w:pPr>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7F7983B6">
            <w:pPr>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50" w:type="dxa"/>
            <w:vAlign w:val="center"/>
          </w:tcPr>
          <w:p w14:paraId="7A39D478">
            <w:pPr>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pacing w:val="2"/>
                <w:sz w:val="21"/>
                <w:lang w:eastAsia="en-US"/>
                <w14:textFill>
                  <w14:solidFill>
                    <w14:schemeClr w14:val="tx1"/>
                  </w14:solidFill>
                </w14:textFill>
              </w:rPr>
            </w:pPr>
          </w:p>
        </w:tc>
      </w:tr>
      <w:tr w14:paraId="32CFF5BB">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1037" w:type="dxa"/>
            <w:vAlign w:val="center"/>
          </w:tcPr>
          <w:p w14:paraId="697401B4">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r>
              <w:rPr>
                <w:rFonts w:asciiTheme="minorHAnsi" w:hAnsiTheme="minorHAnsi" w:eastAsiaTheme="minorEastAsia" w:cstheme="minorBidi"/>
                <w:color w:val="000000" w:themeColor="text1"/>
                <w:sz w:val="21"/>
                <w:lang w:eastAsia="en-US"/>
                <w14:textFill>
                  <w14:solidFill>
                    <w14:schemeClr w14:val="tx1"/>
                  </w14:solidFill>
                </w14:textFill>
              </w:rPr>
              <w:t>S2</w:t>
            </w:r>
          </w:p>
        </w:tc>
        <w:tc>
          <w:tcPr>
            <w:tcW w:w="688" w:type="dxa"/>
            <w:vAlign w:val="center"/>
          </w:tcPr>
          <w:p w14:paraId="00EDECD3">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75B1C355">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0795852E">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6F292AC7">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0094B79D">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7F21EC1F">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65396796">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4699DEDA">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31596ABB">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50" w:type="dxa"/>
            <w:vAlign w:val="center"/>
          </w:tcPr>
          <w:p w14:paraId="7BA23F81">
            <w:pPr>
              <w:autoSpaceDE w:val="0"/>
              <w:autoSpaceDN w:val="0"/>
              <w:spacing w:line="240" w:lineRule="auto"/>
              <w:ind w:firstLine="0" w:firstLineChars="0"/>
              <w:jc w:val="center"/>
              <w:rPr>
                <w:rFonts w:asciiTheme="minorHAnsi" w:hAnsiTheme="minorHAnsi" w:eastAsiaTheme="minorEastAsia" w:cstheme="minorBidi"/>
                <w:color w:val="000000" w:themeColor="text1"/>
                <w:spacing w:val="2"/>
                <w:sz w:val="21"/>
                <w:lang w:eastAsia="en-US"/>
                <w14:textFill>
                  <w14:solidFill>
                    <w14:schemeClr w14:val="tx1"/>
                  </w14:solidFill>
                </w14:textFill>
              </w:rPr>
            </w:pPr>
          </w:p>
        </w:tc>
      </w:tr>
      <w:tr w14:paraId="6B261968">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1037" w:type="dxa"/>
            <w:vAlign w:val="center"/>
          </w:tcPr>
          <w:p w14:paraId="1C84ACC7">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r>
              <w:rPr>
                <w:rFonts w:asciiTheme="minorHAnsi" w:hAnsiTheme="minorHAnsi" w:eastAsiaTheme="minorEastAsia" w:cstheme="minorBidi"/>
                <w:color w:val="000000" w:themeColor="text1"/>
                <w:spacing w:val="6"/>
                <w:sz w:val="21"/>
                <w:lang w:eastAsia="en-US"/>
                <w14:textFill>
                  <w14:solidFill>
                    <w14:schemeClr w14:val="tx1"/>
                  </w14:solidFill>
                </w14:textFill>
              </w:rPr>
              <w:t>标准值（第三类）</w:t>
            </w:r>
          </w:p>
        </w:tc>
        <w:tc>
          <w:tcPr>
            <w:tcW w:w="688" w:type="dxa"/>
            <w:vAlign w:val="center"/>
          </w:tcPr>
          <w:p w14:paraId="29D96BAD">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7FD25F97">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319E9C9A">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2C975021">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5BF0D7C7">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43BC529A">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33570C8E">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58008CF7">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4DA4A8D9">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50" w:type="dxa"/>
            <w:vAlign w:val="center"/>
          </w:tcPr>
          <w:p w14:paraId="75E6E9A9">
            <w:pPr>
              <w:autoSpaceDE w:val="0"/>
              <w:autoSpaceDN w:val="0"/>
              <w:spacing w:line="240" w:lineRule="auto"/>
              <w:ind w:firstLine="0" w:firstLineChars="0"/>
              <w:jc w:val="center"/>
              <w:rPr>
                <w:rFonts w:asciiTheme="minorHAnsi" w:hAnsiTheme="minorHAnsi" w:eastAsiaTheme="minorEastAsia" w:cstheme="minorBidi"/>
                <w:color w:val="000000" w:themeColor="text1"/>
                <w:spacing w:val="2"/>
                <w:sz w:val="21"/>
                <w:lang w:eastAsia="en-US"/>
                <w14:textFill>
                  <w14:solidFill>
                    <w14:schemeClr w14:val="tx1"/>
                  </w14:solidFill>
                </w14:textFill>
              </w:rPr>
            </w:pPr>
          </w:p>
        </w:tc>
      </w:tr>
      <w:tr w14:paraId="5AD99860">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1037" w:type="dxa"/>
            <w:vAlign w:val="center"/>
          </w:tcPr>
          <w:p w14:paraId="4CCC1344">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r>
              <w:rPr>
                <w:rFonts w:asciiTheme="minorHAnsi" w:hAnsiTheme="minorHAnsi" w:eastAsiaTheme="minorEastAsia" w:cstheme="minorBidi"/>
                <w:color w:val="000000" w:themeColor="text1"/>
                <w:spacing w:val="7"/>
                <w:sz w:val="21"/>
                <w:lang w:eastAsia="en-US"/>
                <w14:textFill>
                  <w14:solidFill>
                    <w14:schemeClr w14:val="tx1"/>
                  </w14:solidFill>
                </w14:textFill>
              </w:rPr>
              <w:t>标准指数</w:t>
            </w:r>
          </w:p>
        </w:tc>
        <w:tc>
          <w:tcPr>
            <w:tcW w:w="688" w:type="dxa"/>
            <w:vAlign w:val="center"/>
          </w:tcPr>
          <w:p w14:paraId="32FF1B86">
            <w:pPr>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53E8C2FC">
            <w:pPr>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7EEEA70F">
            <w:pPr>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7017A027">
            <w:pPr>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31AF1ADB">
            <w:pPr>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72AEA55D">
            <w:pPr>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32DBA67A">
            <w:pPr>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7B872E81">
            <w:pPr>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6D3685E5">
            <w:pPr>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50" w:type="dxa"/>
            <w:vAlign w:val="center"/>
          </w:tcPr>
          <w:p w14:paraId="5BDE5B30">
            <w:pPr>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pacing w:val="2"/>
                <w:sz w:val="21"/>
                <w:lang w:eastAsia="en-US"/>
                <w14:textFill>
                  <w14:solidFill>
                    <w14:schemeClr w14:val="tx1"/>
                  </w14:solidFill>
                </w14:textFill>
              </w:rPr>
            </w:pPr>
          </w:p>
        </w:tc>
      </w:tr>
      <w:tr w14:paraId="6B813375">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1037" w:type="dxa"/>
            <w:vAlign w:val="center"/>
          </w:tcPr>
          <w:p w14:paraId="2E7F165F">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r>
              <w:rPr>
                <w:rFonts w:asciiTheme="minorHAnsi" w:hAnsiTheme="minorHAnsi" w:eastAsiaTheme="minorEastAsia" w:cstheme="minorBidi"/>
                <w:color w:val="000000" w:themeColor="text1"/>
                <w:sz w:val="21"/>
                <w:lang w:eastAsia="en-US"/>
                <w14:textFill>
                  <w14:solidFill>
                    <w14:schemeClr w14:val="tx1"/>
                  </w14:solidFill>
                </w14:textFill>
              </w:rPr>
              <w:t>S3</w:t>
            </w:r>
          </w:p>
        </w:tc>
        <w:tc>
          <w:tcPr>
            <w:tcW w:w="688" w:type="dxa"/>
            <w:vAlign w:val="center"/>
          </w:tcPr>
          <w:p w14:paraId="7820D1B3">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5F88370C">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2DDD4200">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309458C4">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6FB270FF">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4FD399B4">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74BB43AE">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2C587988">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32B4E167">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50" w:type="dxa"/>
            <w:vAlign w:val="center"/>
          </w:tcPr>
          <w:p w14:paraId="01D8CF31">
            <w:pPr>
              <w:autoSpaceDE w:val="0"/>
              <w:autoSpaceDN w:val="0"/>
              <w:spacing w:line="240" w:lineRule="auto"/>
              <w:ind w:firstLine="0" w:firstLineChars="0"/>
              <w:jc w:val="center"/>
              <w:rPr>
                <w:rFonts w:asciiTheme="minorHAnsi" w:hAnsiTheme="minorHAnsi" w:eastAsiaTheme="minorEastAsia" w:cstheme="minorBidi"/>
                <w:color w:val="000000" w:themeColor="text1"/>
                <w:spacing w:val="-4"/>
                <w:sz w:val="21"/>
                <w:lang w:eastAsia="en-US"/>
                <w14:textFill>
                  <w14:solidFill>
                    <w14:schemeClr w14:val="tx1"/>
                  </w14:solidFill>
                </w14:textFill>
              </w:rPr>
            </w:pPr>
          </w:p>
        </w:tc>
      </w:tr>
      <w:tr w14:paraId="08AFD082">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1037" w:type="dxa"/>
            <w:vAlign w:val="center"/>
          </w:tcPr>
          <w:p w14:paraId="5C9E46BB">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r>
              <w:rPr>
                <w:rFonts w:asciiTheme="minorHAnsi" w:hAnsiTheme="minorHAnsi" w:eastAsiaTheme="minorEastAsia" w:cstheme="minorBidi"/>
                <w:color w:val="000000" w:themeColor="text1"/>
                <w:spacing w:val="6"/>
                <w:sz w:val="21"/>
                <w:lang w:eastAsia="en-US"/>
                <w14:textFill>
                  <w14:solidFill>
                    <w14:schemeClr w14:val="tx1"/>
                  </w14:solidFill>
                </w14:textFill>
              </w:rPr>
              <w:t>标准值（第三类）</w:t>
            </w:r>
          </w:p>
        </w:tc>
        <w:tc>
          <w:tcPr>
            <w:tcW w:w="688" w:type="dxa"/>
            <w:vAlign w:val="center"/>
          </w:tcPr>
          <w:p w14:paraId="5ACA8F39">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5275DBD8">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44FB97D8">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4CFDEA10">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1C9FC607">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7AA7A435">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15772058">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784ABE42">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23489BC3">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50" w:type="dxa"/>
            <w:vAlign w:val="center"/>
          </w:tcPr>
          <w:p w14:paraId="7AEFBBD5">
            <w:pPr>
              <w:autoSpaceDE w:val="0"/>
              <w:autoSpaceDN w:val="0"/>
              <w:spacing w:line="240" w:lineRule="auto"/>
              <w:ind w:firstLine="0" w:firstLineChars="0"/>
              <w:jc w:val="center"/>
              <w:rPr>
                <w:rFonts w:asciiTheme="minorHAnsi" w:hAnsiTheme="minorHAnsi" w:eastAsiaTheme="minorEastAsia" w:cstheme="minorBidi"/>
                <w:color w:val="000000" w:themeColor="text1"/>
                <w:spacing w:val="2"/>
                <w:sz w:val="21"/>
                <w:lang w:eastAsia="en-US"/>
                <w14:textFill>
                  <w14:solidFill>
                    <w14:schemeClr w14:val="tx1"/>
                  </w14:solidFill>
                </w14:textFill>
              </w:rPr>
            </w:pPr>
          </w:p>
        </w:tc>
      </w:tr>
      <w:tr w14:paraId="1B07B8D8">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1037" w:type="dxa"/>
            <w:vAlign w:val="center"/>
          </w:tcPr>
          <w:p w14:paraId="1A6CA313">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r>
              <w:rPr>
                <w:rFonts w:asciiTheme="minorHAnsi" w:hAnsiTheme="minorHAnsi" w:eastAsiaTheme="minorEastAsia" w:cstheme="minorBidi"/>
                <w:color w:val="000000" w:themeColor="text1"/>
                <w:spacing w:val="7"/>
                <w:sz w:val="21"/>
                <w:lang w:eastAsia="en-US"/>
                <w14:textFill>
                  <w14:solidFill>
                    <w14:schemeClr w14:val="tx1"/>
                  </w14:solidFill>
                </w14:textFill>
              </w:rPr>
              <w:t>标准指数</w:t>
            </w:r>
          </w:p>
        </w:tc>
        <w:tc>
          <w:tcPr>
            <w:tcW w:w="688" w:type="dxa"/>
            <w:vAlign w:val="center"/>
          </w:tcPr>
          <w:p w14:paraId="6B26FDB1">
            <w:pPr>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09924B19">
            <w:pPr>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12B70A1B">
            <w:pPr>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0E5BD9D2">
            <w:pPr>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36B50DA5">
            <w:pPr>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1E3825CF">
            <w:pPr>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56124688">
            <w:pPr>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69D4779D">
            <w:pPr>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336739D8">
            <w:pPr>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50" w:type="dxa"/>
            <w:vAlign w:val="center"/>
          </w:tcPr>
          <w:p w14:paraId="2AF92738">
            <w:pPr>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pacing w:val="-4"/>
                <w:sz w:val="21"/>
                <w:lang w:eastAsia="en-US"/>
                <w14:textFill>
                  <w14:solidFill>
                    <w14:schemeClr w14:val="tx1"/>
                  </w14:solidFill>
                </w14:textFill>
              </w:rPr>
            </w:pPr>
          </w:p>
        </w:tc>
      </w:tr>
      <w:tr w14:paraId="0907A65F">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1037" w:type="dxa"/>
            <w:vAlign w:val="center"/>
          </w:tcPr>
          <w:p w14:paraId="4D71B742">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r>
              <w:rPr>
                <w:rFonts w:asciiTheme="minorHAnsi" w:hAnsiTheme="minorHAnsi" w:eastAsiaTheme="minorEastAsia" w:cstheme="minorBidi"/>
                <w:color w:val="000000" w:themeColor="text1"/>
                <w:sz w:val="21"/>
                <w:lang w:eastAsia="en-US"/>
                <w14:textFill>
                  <w14:solidFill>
                    <w14:schemeClr w14:val="tx1"/>
                  </w14:solidFill>
                </w14:textFill>
              </w:rPr>
              <w:t>S4</w:t>
            </w:r>
          </w:p>
        </w:tc>
        <w:tc>
          <w:tcPr>
            <w:tcW w:w="688" w:type="dxa"/>
            <w:vAlign w:val="center"/>
          </w:tcPr>
          <w:p w14:paraId="2B615667">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57909F90">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544F2310">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1399261A">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7DB0FAEF">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06A15213">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1BE4A152">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04339984">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24CC37E7">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50" w:type="dxa"/>
            <w:vAlign w:val="center"/>
          </w:tcPr>
          <w:p w14:paraId="1EF63D93">
            <w:pPr>
              <w:autoSpaceDE w:val="0"/>
              <w:autoSpaceDN w:val="0"/>
              <w:spacing w:line="240" w:lineRule="auto"/>
              <w:ind w:firstLine="0" w:firstLineChars="0"/>
              <w:jc w:val="center"/>
              <w:rPr>
                <w:rFonts w:asciiTheme="minorHAnsi" w:hAnsiTheme="minorHAnsi" w:eastAsiaTheme="minorEastAsia" w:cstheme="minorBidi"/>
                <w:color w:val="000000" w:themeColor="text1"/>
                <w:spacing w:val="2"/>
                <w:sz w:val="21"/>
                <w:lang w:eastAsia="en-US"/>
                <w14:textFill>
                  <w14:solidFill>
                    <w14:schemeClr w14:val="tx1"/>
                  </w14:solidFill>
                </w14:textFill>
              </w:rPr>
            </w:pPr>
          </w:p>
        </w:tc>
      </w:tr>
      <w:tr w14:paraId="74078BE5">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1037" w:type="dxa"/>
            <w:vAlign w:val="center"/>
          </w:tcPr>
          <w:p w14:paraId="442D11BB">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r>
              <w:rPr>
                <w:rFonts w:asciiTheme="minorHAnsi" w:hAnsiTheme="minorHAnsi" w:eastAsiaTheme="minorEastAsia" w:cstheme="minorBidi"/>
                <w:color w:val="000000" w:themeColor="text1"/>
                <w:spacing w:val="6"/>
                <w:sz w:val="21"/>
                <w:lang w:eastAsia="en-US"/>
                <w14:textFill>
                  <w14:solidFill>
                    <w14:schemeClr w14:val="tx1"/>
                  </w14:solidFill>
                </w14:textFill>
              </w:rPr>
              <w:t>标准值（第一类）</w:t>
            </w:r>
          </w:p>
        </w:tc>
        <w:tc>
          <w:tcPr>
            <w:tcW w:w="688" w:type="dxa"/>
            <w:vAlign w:val="center"/>
          </w:tcPr>
          <w:p w14:paraId="1EEAC192">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031B20FC">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1E10822C">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68A9D480">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14120C13">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71E5A4A7">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3707B03C">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42C7A4EF">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4B73B989">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50" w:type="dxa"/>
            <w:vAlign w:val="center"/>
          </w:tcPr>
          <w:p w14:paraId="1A8B02CB">
            <w:pPr>
              <w:autoSpaceDE w:val="0"/>
              <w:autoSpaceDN w:val="0"/>
              <w:spacing w:line="240" w:lineRule="auto"/>
              <w:ind w:firstLine="0" w:firstLineChars="0"/>
              <w:jc w:val="center"/>
              <w:rPr>
                <w:rFonts w:asciiTheme="minorHAnsi" w:hAnsiTheme="minorHAnsi" w:eastAsiaTheme="minorEastAsia" w:cstheme="minorBidi"/>
                <w:color w:val="000000" w:themeColor="text1"/>
                <w:spacing w:val="2"/>
                <w:sz w:val="21"/>
                <w:lang w:eastAsia="en-US"/>
                <w14:textFill>
                  <w14:solidFill>
                    <w14:schemeClr w14:val="tx1"/>
                  </w14:solidFill>
                </w14:textFill>
              </w:rPr>
            </w:pPr>
          </w:p>
        </w:tc>
      </w:tr>
      <w:tr w14:paraId="2B3B7C29">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1037" w:type="dxa"/>
            <w:vAlign w:val="center"/>
          </w:tcPr>
          <w:p w14:paraId="1124E408">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r>
              <w:rPr>
                <w:rFonts w:asciiTheme="minorHAnsi" w:hAnsiTheme="minorHAnsi" w:eastAsiaTheme="minorEastAsia" w:cstheme="minorBidi"/>
                <w:color w:val="000000" w:themeColor="text1"/>
                <w:spacing w:val="7"/>
                <w:sz w:val="21"/>
                <w:lang w:eastAsia="en-US"/>
                <w14:textFill>
                  <w14:solidFill>
                    <w14:schemeClr w14:val="tx1"/>
                  </w14:solidFill>
                </w14:textFill>
              </w:rPr>
              <w:t>标准指数</w:t>
            </w:r>
          </w:p>
        </w:tc>
        <w:tc>
          <w:tcPr>
            <w:tcW w:w="688" w:type="dxa"/>
            <w:vAlign w:val="center"/>
          </w:tcPr>
          <w:p w14:paraId="5125FB0C">
            <w:pPr>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53BCD69A">
            <w:pPr>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10B88AAA">
            <w:pPr>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31362837">
            <w:pPr>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74C249CC">
            <w:pPr>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4AA19F01">
            <w:pPr>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4043C1A4">
            <w:pPr>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381FDEB0">
            <w:pPr>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4C239F7E">
            <w:pPr>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50" w:type="dxa"/>
            <w:vAlign w:val="center"/>
          </w:tcPr>
          <w:p w14:paraId="525C4836">
            <w:pPr>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pacing w:val="2"/>
                <w:sz w:val="21"/>
                <w:lang w:eastAsia="en-US"/>
                <w14:textFill>
                  <w14:solidFill>
                    <w14:schemeClr w14:val="tx1"/>
                  </w14:solidFill>
                </w14:textFill>
              </w:rPr>
            </w:pPr>
          </w:p>
        </w:tc>
      </w:tr>
      <w:tr w14:paraId="757243A2">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1037" w:type="dxa"/>
            <w:vAlign w:val="center"/>
          </w:tcPr>
          <w:p w14:paraId="2DC87100">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r>
              <w:rPr>
                <w:rFonts w:asciiTheme="minorHAnsi" w:hAnsiTheme="minorHAnsi" w:eastAsiaTheme="minorEastAsia" w:cstheme="minorBidi"/>
                <w:color w:val="000000" w:themeColor="text1"/>
                <w:sz w:val="21"/>
                <w:lang w:eastAsia="en-US"/>
                <w14:textFill>
                  <w14:solidFill>
                    <w14:schemeClr w14:val="tx1"/>
                  </w14:solidFill>
                </w14:textFill>
              </w:rPr>
              <w:t>S5</w:t>
            </w:r>
          </w:p>
        </w:tc>
        <w:tc>
          <w:tcPr>
            <w:tcW w:w="688" w:type="dxa"/>
            <w:vAlign w:val="center"/>
          </w:tcPr>
          <w:p w14:paraId="00197F76">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6D70CF9B">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4B38A3AB">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12687348">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59E915BD">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73BA5959">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0FFA207D">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4C53C485">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23822996">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50" w:type="dxa"/>
            <w:vAlign w:val="center"/>
          </w:tcPr>
          <w:p w14:paraId="1B7C1515">
            <w:pPr>
              <w:autoSpaceDE w:val="0"/>
              <w:autoSpaceDN w:val="0"/>
              <w:spacing w:line="240" w:lineRule="auto"/>
              <w:ind w:firstLine="0" w:firstLineChars="0"/>
              <w:jc w:val="center"/>
              <w:rPr>
                <w:rFonts w:asciiTheme="minorHAnsi" w:hAnsiTheme="minorHAnsi" w:eastAsiaTheme="minorEastAsia" w:cstheme="minorBidi"/>
                <w:color w:val="000000" w:themeColor="text1"/>
                <w:spacing w:val="2"/>
                <w:sz w:val="21"/>
                <w:lang w:eastAsia="en-US"/>
                <w14:textFill>
                  <w14:solidFill>
                    <w14:schemeClr w14:val="tx1"/>
                  </w14:solidFill>
                </w14:textFill>
              </w:rPr>
            </w:pPr>
          </w:p>
        </w:tc>
      </w:tr>
      <w:tr w14:paraId="7837D03E">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1037" w:type="dxa"/>
            <w:vAlign w:val="center"/>
          </w:tcPr>
          <w:p w14:paraId="18E90B3D">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r>
              <w:rPr>
                <w:rFonts w:asciiTheme="minorHAnsi" w:hAnsiTheme="minorHAnsi" w:eastAsiaTheme="minorEastAsia" w:cstheme="minorBidi"/>
                <w:color w:val="000000" w:themeColor="text1"/>
                <w:spacing w:val="6"/>
                <w:sz w:val="21"/>
                <w:lang w:eastAsia="en-US"/>
                <w14:textFill>
                  <w14:solidFill>
                    <w14:schemeClr w14:val="tx1"/>
                  </w14:solidFill>
                </w14:textFill>
              </w:rPr>
              <w:t>标准值（第一类）</w:t>
            </w:r>
          </w:p>
        </w:tc>
        <w:tc>
          <w:tcPr>
            <w:tcW w:w="688" w:type="dxa"/>
            <w:vAlign w:val="center"/>
          </w:tcPr>
          <w:p w14:paraId="77267F21">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02C7AC5E">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41231F9D">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4D281BDA">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0E0BC074">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0E5BDBA9">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1059BA2F">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700C811E">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05EF1CDD">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50" w:type="dxa"/>
            <w:vAlign w:val="center"/>
          </w:tcPr>
          <w:p w14:paraId="1F890309">
            <w:pPr>
              <w:autoSpaceDE w:val="0"/>
              <w:autoSpaceDN w:val="0"/>
              <w:spacing w:line="240" w:lineRule="auto"/>
              <w:ind w:firstLine="0" w:firstLineChars="0"/>
              <w:jc w:val="center"/>
              <w:rPr>
                <w:rFonts w:asciiTheme="minorHAnsi" w:hAnsiTheme="minorHAnsi" w:eastAsiaTheme="minorEastAsia" w:cstheme="minorBidi"/>
                <w:color w:val="000000" w:themeColor="text1"/>
                <w:spacing w:val="2"/>
                <w:sz w:val="21"/>
                <w:lang w:eastAsia="en-US"/>
                <w14:textFill>
                  <w14:solidFill>
                    <w14:schemeClr w14:val="tx1"/>
                  </w14:solidFill>
                </w14:textFill>
              </w:rPr>
            </w:pPr>
          </w:p>
        </w:tc>
      </w:tr>
      <w:tr w14:paraId="3D22BF75">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1037" w:type="dxa"/>
            <w:vAlign w:val="center"/>
          </w:tcPr>
          <w:p w14:paraId="662078D7">
            <w:pPr>
              <w:autoSpaceDE w:val="0"/>
              <w:autoSpaceDN w:val="0"/>
              <w:spacing w:line="240" w:lineRule="auto"/>
              <w:ind w:firstLine="0" w:firstLineChars="0"/>
              <w:jc w:val="center"/>
              <w:rPr>
                <w:rFonts w:asciiTheme="minorHAnsi" w:hAnsiTheme="minorHAnsi" w:eastAsiaTheme="minorEastAsia" w:cstheme="minorBidi"/>
                <w:color w:val="000000" w:themeColor="text1"/>
                <w:sz w:val="21"/>
                <w:lang w:eastAsia="en-US"/>
                <w14:textFill>
                  <w14:solidFill>
                    <w14:schemeClr w14:val="tx1"/>
                  </w14:solidFill>
                </w14:textFill>
              </w:rPr>
            </w:pPr>
            <w:r>
              <w:rPr>
                <w:rFonts w:asciiTheme="minorHAnsi" w:hAnsiTheme="minorHAnsi" w:eastAsiaTheme="minorEastAsia" w:cstheme="minorBidi"/>
                <w:color w:val="000000" w:themeColor="text1"/>
                <w:spacing w:val="7"/>
                <w:sz w:val="21"/>
                <w:lang w:eastAsia="en-US"/>
                <w14:textFill>
                  <w14:solidFill>
                    <w14:schemeClr w14:val="tx1"/>
                  </w14:solidFill>
                </w14:textFill>
              </w:rPr>
              <w:t>标准指数</w:t>
            </w:r>
          </w:p>
        </w:tc>
        <w:tc>
          <w:tcPr>
            <w:tcW w:w="688" w:type="dxa"/>
            <w:vAlign w:val="center"/>
          </w:tcPr>
          <w:p w14:paraId="05501FF0">
            <w:pPr>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6E5880DB">
            <w:pPr>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51297005">
            <w:pPr>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3BE89733">
            <w:pPr>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1903796A">
            <w:pPr>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10064B62">
            <w:pPr>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00ADD533">
            <w:pPr>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4EC59266">
            <w:pPr>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48" w:type="dxa"/>
            <w:vAlign w:val="center"/>
          </w:tcPr>
          <w:p w14:paraId="7F94176C">
            <w:pPr>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c>
          <w:tcPr>
            <w:tcW w:w="750" w:type="dxa"/>
            <w:vAlign w:val="center"/>
          </w:tcPr>
          <w:p w14:paraId="6F68661C">
            <w:pPr>
              <w:autoSpaceDE w:val="0"/>
              <w:autoSpaceDN w:val="0"/>
              <w:spacing w:line="240" w:lineRule="auto"/>
              <w:ind w:firstLine="0" w:firstLineChars="0"/>
              <w:jc w:val="center"/>
              <w:textAlignment w:val="center"/>
              <w:rPr>
                <w:rFonts w:asciiTheme="minorHAnsi" w:hAnsiTheme="minorHAnsi" w:eastAsiaTheme="minorEastAsia" w:cstheme="minorBidi"/>
                <w:color w:val="000000" w:themeColor="text1"/>
                <w:sz w:val="21"/>
                <w:lang w:eastAsia="en-US"/>
                <w14:textFill>
                  <w14:solidFill>
                    <w14:schemeClr w14:val="tx1"/>
                  </w14:solidFill>
                </w14:textFill>
              </w:rPr>
            </w:pPr>
          </w:p>
        </w:tc>
      </w:tr>
    </w:tbl>
    <w:p w14:paraId="2B232B6A">
      <w:pPr>
        <w:ind w:firstLine="480"/>
        <w:rPr>
          <w:color w:val="000000" w:themeColor="text1"/>
          <w:lang w:val="zh-CN" w:bidi="zh-CN"/>
          <w14:textFill>
            <w14:solidFill>
              <w14:schemeClr w14:val="tx1"/>
            </w14:solidFill>
          </w14:textFill>
        </w:rPr>
      </w:pPr>
      <w:r>
        <w:rPr>
          <w:color w:val="000000" w:themeColor="text1"/>
          <w:lang w:val="zh-CN" w:bidi="zh-CN"/>
          <w14:textFill>
            <w14:solidFill>
              <w14:schemeClr w14:val="tx1"/>
            </w14:solidFill>
          </w14:textFill>
        </w:rPr>
        <w:t>4、沉积物质量现状评价</w:t>
      </w:r>
    </w:p>
    <w:p w14:paraId="173572FE">
      <w:pPr>
        <w:ind w:firstLine="480"/>
        <w:rPr>
          <w:rFonts w:hint="eastAsia" w:eastAsia="宋体"/>
          <w:color w:val="000000" w:themeColor="text1"/>
          <w:u w:val="single"/>
          <w:lang w:eastAsia="zh-CN"/>
          <w14:textFill>
            <w14:solidFill>
              <w14:schemeClr w14:val="tx1"/>
            </w14:solidFill>
          </w14:textFill>
        </w:rPr>
      </w:pPr>
      <w:bookmarkStart w:id="637" w:name="_Toc136878499"/>
      <w:r>
        <w:rPr>
          <w:rFonts w:hint="eastAsia"/>
          <w:color w:val="000000" w:themeColor="text1"/>
          <w:u w:val="single"/>
          <w14:textFill>
            <w14:solidFill>
              <w14:schemeClr w14:val="tx1"/>
            </w14:solidFill>
          </w14:textFill>
        </w:rPr>
        <w:t>区域海洋沉积物质量处S4、S5点位的汞指标超标外，其余指标均能满足《海洋沉积物质量标准》（GB18668-2002）中相应标准限值。汞超标站位</w:t>
      </w:r>
      <w:r>
        <w:rPr>
          <w:rFonts w:hint="eastAsia"/>
          <w:color w:val="000000" w:themeColor="text1"/>
          <w:u w:val="single"/>
          <w:lang w:val="en-US" w:eastAsia="zh-CN"/>
          <w14:textFill>
            <w14:solidFill>
              <w14:schemeClr w14:val="tx1"/>
            </w14:solidFill>
          </w14:textFill>
        </w:rPr>
        <w:t>均</w:t>
      </w:r>
      <w:r>
        <w:rPr>
          <w:rFonts w:hint="eastAsia"/>
          <w:color w:val="000000" w:themeColor="text1"/>
          <w:u w:val="single"/>
          <w14:textFill>
            <w14:solidFill>
              <w14:schemeClr w14:val="tx1"/>
            </w14:solidFill>
          </w14:textFill>
        </w:rPr>
        <w:t>为一类海域，其水质要求较高，受内陆河流带入污染物后容易出现超标现象。同时根据本次海洋沉积物监测数据对比，S1~S5汞指标监测值范围为0.302~0.472，总体波动不大</w:t>
      </w:r>
      <w:r>
        <w:rPr>
          <w:rFonts w:hint="eastAsia"/>
          <w:color w:val="000000" w:themeColor="text1"/>
          <w:u w:val="single"/>
          <w:lang w:eastAsia="zh-CN"/>
          <w14:textFill>
            <w14:solidFill>
              <w14:schemeClr w14:val="tx1"/>
            </w14:solidFill>
          </w14:textFill>
        </w:rPr>
        <w:t>。</w:t>
      </w:r>
    </w:p>
    <w:p w14:paraId="18917DD2">
      <w:pPr>
        <w:pStyle w:val="4"/>
        <w:rPr>
          <w:color w:val="000000" w:themeColor="text1"/>
          <w:lang w:val="zh-CN"/>
          <w14:textFill>
            <w14:solidFill>
              <w14:schemeClr w14:val="tx1"/>
            </w14:solidFill>
          </w14:textFill>
        </w:rPr>
      </w:pPr>
      <w:bookmarkStart w:id="638" w:name="_Toc216620563"/>
      <w:r>
        <w:rPr>
          <w:color w:val="000000" w:themeColor="text1"/>
          <w:lang w:val="zh-CN"/>
          <w14:textFill>
            <w14:solidFill>
              <w14:schemeClr w14:val="tx1"/>
            </w14:solidFill>
          </w14:textFill>
        </w:rPr>
        <w:t>海洋生态和生物资源环境状况</w:t>
      </w:r>
      <w:bookmarkEnd w:id="637"/>
      <w:bookmarkEnd w:id="638"/>
    </w:p>
    <w:p w14:paraId="5A2398C3">
      <w:pPr>
        <w:ind w:firstLine="480"/>
        <w:rPr>
          <w:color w:val="000000" w:themeColor="text1"/>
          <w14:textFill>
            <w14:solidFill>
              <w14:schemeClr w14:val="tx1"/>
            </w14:solidFill>
          </w14:textFill>
        </w:rPr>
      </w:pPr>
      <w:bookmarkStart w:id="639" w:name="_Hlk122343852"/>
      <w:r>
        <w:rPr>
          <w:color w:val="000000" w:themeColor="text1"/>
          <w14:textFill>
            <w14:solidFill>
              <w14:schemeClr w14:val="tx1"/>
            </w14:solidFill>
          </w14:textFill>
        </w:rPr>
        <w:t>本次评价海洋环境调查资料引用《</w:t>
      </w:r>
      <w:r>
        <w:rPr>
          <w:rFonts w:hint="eastAsia"/>
          <w:color w:val="000000" w:themeColor="text1"/>
          <w14:textFill>
            <w14:solidFill>
              <w14:schemeClr w14:val="tx1"/>
            </w14:solidFill>
          </w14:textFill>
        </w:rPr>
        <w:t>广西自贸区逸海港务有限责任公司2025年环境委托监测项目监测报告》（2025年11月19日 ）</w:t>
      </w:r>
      <w:r>
        <w:rPr>
          <w:color w:val="000000" w:themeColor="text1"/>
          <w14:textFill>
            <w14:solidFill>
              <w14:schemeClr w14:val="tx1"/>
            </w14:solidFill>
          </w14:textFill>
        </w:rPr>
        <w:t>的调查监测结果，调查站位</w:t>
      </w:r>
      <w:r>
        <w:rPr>
          <w:rFonts w:hint="eastAsia"/>
          <w:color w:val="000000" w:themeColor="text1"/>
          <w14:textFill>
            <w14:solidFill>
              <w14:schemeClr w14:val="tx1"/>
            </w14:solidFill>
          </w14:textFill>
        </w:rPr>
        <w:t>图见附图5，监测报告见附件6</w:t>
      </w:r>
      <w:r>
        <w:rPr>
          <w:color w:val="000000" w:themeColor="text1"/>
          <w14:textFill>
            <w14:solidFill>
              <w14:schemeClr w14:val="tx1"/>
            </w14:solidFill>
          </w14:textFill>
        </w:rPr>
        <w:t>：</w:t>
      </w:r>
    </w:p>
    <w:p w14:paraId="1A454651">
      <w:pPr>
        <w:pStyle w:val="6"/>
        <w:rPr>
          <w:color w:val="000000" w:themeColor="text1"/>
          <w:lang w:val="zh-CN" w:bidi="zh-CN"/>
          <w14:textFill>
            <w14:solidFill>
              <w14:schemeClr w14:val="tx1"/>
            </w14:solidFill>
          </w14:textFill>
        </w:rPr>
      </w:pPr>
      <w:r>
        <w:rPr>
          <w:color w:val="000000" w:themeColor="text1"/>
          <w:lang w:val="zh-CN" w:bidi="zh-CN"/>
          <w14:textFill>
            <w14:solidFill>
              <w14:schemeClr w14:val="tx1"/>
            </w14:solidFill>
          </w14:textFill>
        </w:rPr>
        <w:t>海洋生态调查结果</w:t>
      </w:r>
    </w:p>
    <w:p w14:paraId="49937439">
      <w:pPr>
        <w:ind w:firstLine="482"/>
        <w:rPr>
          <w:b/>
          <w:color w:val="000000" w:themeColor="text1"/>
          <w:lang w:bidi="zh-CN"/>
          <w14:textFill>
            <w14:solidFill>
              <w14:schemeClr w14:val="tx1"/>
            </w14:solidFill>
          </w14:textFill>
        </w:rPr>
      </w:pPr>
      <w:r>
        <w:rPr>
          <w:b/>
          <w:color w:val="000000" w:themeColor="text1"/>
          <w:lang w:bidi="zh-CN"/>
          <w14:textFill>
            <w14:solidFill>
              <w14:schemeClr w14:val="tx1"/>
            </w14:solidFill>
          </w14:textFill>
        </w:rPr>
        <w:t>1、调查结果</w:t>
      </w:r>
      <w:bookmarkEnd w:id="639"/>
      <w:r>
        <w:rPr>
          <w:b/>
          <w:color w:val="000000" w:themeColor="text1"/>
          <w:lang w:bidi="zh-CN"/>
          <w14:textFill>
            <w14:solidFill>
              <w14:schemeClr w14:val="tx1"/>
            </w14:solidFill>
          </w14:textFill>
        </w:rPr>
        <w:t xml:space="preserve"> </w:t>
      </w:r>
    </w:p>
    <w:p w14:paraId="0378C743">
      <w:pPr>
        <w:ind w:firstLine="480"/>
        <w:rPr>
          <w:bCs/>
          <w:color w:val="000000" w:themeColor="text1"/>
          <w:lang w:bidi="zh-CN"/>
          <w14:textFill>
            <w14:solidFill>
              <w14:schemeClr w14:val="tx1"/>
            </w14:solidFill>
          </w14:textFill>
        </w:rPr>
      </w:pPr>
      <w:r>
        <w:rPr>
          <w:bCs/>
          <w:color w:val="000000" w:themeColor="text1"/>
          <w:lang w:bidi="zh-CN"/>
          <w14:textFill>
            <w14:solidFill>
              <w14:schemeClr w14:val="tx1"/>
            </w14:solidFill>
          </w14:textFill>
        </w:rPr>
        <w:t xml:space="preserve">1）叶绿素 a </w:t>
      </w:r>
    </w:p>
    <w:p w14:paraId="7907CA62">
      <w:pPr>
        <w:ind w:firstLine="480"/>
        <w:rPr>
          <w:bCs/>
          <w:color w:val="000000" w:themeColor="text1"/>
          <w:lang w:bidi="zh-CN"/>
          <w14:textFill>
            <w14:solidFill>
              <w14:schemeClr w14:val="tx1"/>
            </w14:solidFill>
          </w14:textFill>
        </w:rPr>
      </w:pPr>
      <w:r>
        <w:rPr>
          <w:bCs/>
          <w:color w:val="000000" w:themeColor="text1"/>
          <w:lang w:bidi="zh-CN"/>
          <w14:textFill>
            <w14:solidFill>
              <w14:schemeClr w14:val="tx1"/>
            </w14:solidFill>
          </w14:textFill>
        </w:rPr>
        <w:t>叶绿素a调查结果见表3.7-</w:t>
      </w:r>
      <w:r>
        <w:rPr>
          <w:rFonts w:hint="eastAsia"/>
          <w:bCs/>
          <w:color w:val="000000" w:themeColor="text1"/>
          <w:lang w:bidi="zh-CN"/>
          <w14:textFill>
            <w14:solidFill>
              <w14:schemeClr w14:val="tx1"/>
            </w14:solidFill>
          </w14:textFill>
        </w:rPr>
        <w:t>5，</w:t>
      </w:r>
      <w:r>
        <w:rPr>
          <w:rFonts w:hint="eastAsia"/>
          <w:color w:val="000000" w:themeColor="text1"/>
          <w14:textFill>
            <w14:solidFill>
              <w14:schemeClr w14:val="tx1"/>
            </w14:solidFill>
          </w14:textFill>
        </w:rPr>
        <w:t>叶绿素a含量范围为2</w:t>
      </w:r>
      <w:r>
        <w:rPr>
          <w:color w:val="000000" w:themeColor="text1"/>
          <w14:textFill>
            <w14:solidFill>
              <w14:schemeClr w14:val="tx1"/>
            </w14:solidFill>
          </w14:textFill>
        </w:rPr>
        <w:t>~4μg/L，平均值为2.8μg/L</w:t>
      </w:r>
      <w:r>
        <w:rPr>
          <w:bCs/>
          <w:color w:val="000000" w:themeColor="text1"/>
          <w:lang w:bidi="zh-CN"/>
          <w14:textFill>
            <w14:solidFill>
              <w14:schemeClr w14:val="tx1"/>
            </w14:solidFill>
          </w14:textFill>
        </w:rPr>
        <w:t>。</w:t>
      </w:r>
    </w:p>
    <w:p w14:paraId="13426997">
      <w:pPr>
        <w:pStyle w:val="7"/>
        <w:rPr>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叶绿素a调查结果汇总表</w:t>
      </w:r>
    </w:p>
    <w:tbl>
      <w:tblPr>
        <w:tblStyle w:val="72"/>
        <w:tblW w:w="4997"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1937"/>
        <w:gridCol w:w="1274"/>
        <w:gridCol w:w="1291"/>
        <w:gridCol w:w="1284"/>
        <w:gridCol w:w="1274"/>
        <w:gridCol w:w="1271"/>
      </w:tblGrid>
      <w:tr w14:paraId="732088F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162" w:type="pct"/>
            <w:tcBorders>
              <w:top w:val="single" w:color="000000" w:sz="12" w:space="0"/>
              <w:left w:val="single" w:color="000000" w:sz="12" w:space="0"/>
            </w:tcBorders>
          </w:tcPr>
          <w:p w14:paraId="68378658">
            <w:pPr>
              <w:pStyle w:val="70"/>
              <w:autoSpaceDE/>
              <w:autoSpaceDN/>
              <w:spacing w:line="300" w:lineRule="exact"/>
              <w:rPr>
                <w:rFonts w:asciiTheme="minorHAnsi" w:hAnsiTheme="minorHAnsi" w:eastAsiaTheme="minorEastAsia" w:cstheme="minorBidi"/>
                <w:b/>
                <w:bCs/>
                <w:color w:val="000000" w:themeColor="text1"/>
                <w:lang w:val="zh-CN" w:eastAsia="en-US"/>
                <w14:textFill>
                  <w14:solidFill>
                    <w14:schemeClr w14:val="tx1"/>
                  </w14:solidFill>
                </w14:textFill>
              </w:rPr>
            </w:pPr>
            <w:r>
              <w:rPr>
                <w:rFonts w:asciiTheme="minorHAnsi" w:hAnsiTheme="minorHAnsi" w:eastAsiaTheme="minorEastAsia" w:cstheme="minorBidi"/>
                <w:b/>
                <w:bCs/>
                <w:color w:val="000000" w:themeColor="text1"/>
                <w:lang w:eastAsia="en-US"/>
                <w14:textFill>
                  <w14:solidFill>
                    <w14:schemeClr w14:val="tx1"/>
                  </w14:solidFill>
                </w14:textFill>
              </w:rPr>
              <mc:AlternateContent>
                <mc:Choice Requires="wps">
                  <w:drawing>
                    <wp:anchor distT="0" distB="0" distL="114300" distR="114300" simplePos="0" relativeHeight="251705344" behindDoc="0" locked="0" layoutInCell="1" allowOverlap="1">
                      <wp:simplePos x="0" y="0"/>
                      <wp:positionH relativeFrom="column">
                        <wp:posOffset>1270</wp:posOffset>
                      </wp:positionH>
                      <wp:positionV relativeFrom="paragraph">
                        <wp:posOffset>-12700</wp:posOffset>
                      </wp:positionV>
                      <wp:extent cx="1228725" cy="390525"/>
                      <wp:effectExtent l="1270" t="4445" r="4445" b="16510"/>
                      <wp:wrapNone/>
                      <wp:docPr id="4" name="直接连接符 4"/>
                      <wp:cNvGraphicFramePr/>
                      <a:graphic xmlns:a="http://schemas.openxmlformats.org/drawingml/2006/main">
                        <a:graphicData uri="http://schemas.microsoft.com/office/word/2010/wordprocessingShape">
                          <wps:wsp>
                            <wps:cNvCnPr/>
                            <wps:spPr>
                              <a:xfrm>
                                <a:off x="1153795" y="5073650"/>
                                <a:ext cx="1228725" cy="390525"/>
                              </a:xfrm>
                              <a:prstGeom prst="line">
                                <a:avLst/>
                              </a:prstGeom>
                              <a:ln w="2540">
                                <a:solidFill>
                                  <a:schemeClr val="tx1"/>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0.1pt;margin-top:-1pt;height:30.75pt;width:96.75pt;z-index:251705344;mso-width-relative:page;mso-height-relative:page;" filled="f" stroked="t" coordsize="21600,21600" o:gfxdata="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iiNbtNUA&#10;AAAGAQAADwAAAAAAAAABACAAAAAiAAAAZHJzL2Rvd25yZXYueG1sUEsBAhQAFAAAAAgAh07iQDbR&#10;DrPpAQAAqwMAAA4AAAAAAAAAAQAgAAAAJAEAAGRycy9lMm9Eb2MueG1sUEsFBgAAAAAGAAYAWQEA&#10;AH8FAAAAAA==&#10;">
                      <v:fill on="f" focussize="0,0"/>
                      <v:stroke weight="0.2pt" color="#000000 [3213]" joinstyle="round"/>
                      <v:imagedata o:title=""/>
                      <o:lock v:ext="edit" aspectratio="f"/>
                    </v:line>
                  </w:pict>
                </mc:Fallback>
              </mc:AlternateContent>
            </w:r>
            <w:r>
              <w:rPr>
                <w:rFonts w:asciiTheme="minorHAnsi" w:hAnsiTheme="minorHAnsi" w:eastAsiaTheme="minorEastAsia" w:cstheme="minorBidi"/>
                <w:b/>
                <w:bCs/>
                <w:color w:val="000000" w:themeColor="text1"/>
                <w:lang w:eastAsia="zh-CN"/>
                <w14:textFill>
                  <w14:solidFill>
                    <w14:schemeClr w14:val="tx1"/>
                  </w14:solidFill>
                </w14:textFill>
              </w:rPr>
              <w:t xml:space="preserve">          </w:t>
            </w:r>
            <w:r>
              <w:rPr>
                <w:rFonts w:asciiTheme="minorHAnsi" w:hAnsiTheme="minorHAnsi" w:eastAsiaTheme="minorEastAsia" w:cstheme="minorBidi"/>
                <w:b/>
                <w:bCs/>
                <w:color w:val="000000" w:themeColor="text1"/>
                <w:lang w:val="zh-CN" w:eastAsia="en-US"/>
                <w14:textFill>
                  <w14:solidFill>
                    <w14:schemeClr w14:val="tx1"/>
                  </w14:solidFill>
                </w14:textFill>
              </w:rPr>
              <w:t xml:space="preserve">监测点位 </w:t>
            </w:r>
          </w:p>
          <w:p w14:paraId="6F369856">
            <w:pPr>
              <w:pStyle w:val="70"/>
              <w:autoSpaceDE/>
              <w:autoSpaceDN/>
              <w:spacing w:line="300" w:lineRule="exact"/>
              <w:jc w:val="both"/>
              <w:rPr>
                <w:rFonts w:asciiTheme="minorHAnsi" w:hAnsiTheme="minorHAnsi" w:eastAsiaTheme="minorEastAsia" w:cstheme="minorBidi"/>
                <w:b/>
                <w:bCs/>
                <w:color w:val="000000" w:themeColor="text1"/>
                <w:lang w:val="zh-CN" w:eastAsia="en-US"/>
                <w14:textFill>
                  <w14:solidFill>
                    <w14:schemeClr w14:val="tx1"/>
                  </w14:solidFill>
                </w14:textFill>
              </w:rPr>
            </w:pPr>
            <w:r>
              <w:rPr>
                <w:rFonts w:asciiTheme="minorHAnsi" w:hAnsiTheme="minorHAnsi" w:eastAsiaTheme="minorEastAsia" w:cstheme="minorBidi"/>
                <w:b/>
                <w:bCs/>
                <w:color w:val="000000" w:themeColor="text1"/>
                <w:lang w:val="zh-CN" w:eastAsia="en-US"/>
                <w14:textFill>
                  <w14:solidFill>
                    <w14:schemeClr w14:val="tx1"/>
                  </w14:solidFill>
                </w14:textFill>
              </w:rPr>
              <w:t>监测项目</w:t>
            </w:r>
          </w:p>
        </w:tc>
        <w:tc>
          <w:tcPr>
            <w:tcW w:w="764" w:type="pct"/>
            <w:tcBorders>
              <w:top w:val="single" w:color="000000" w:sz="12" w:space="0"/>
            </w:tcBorders>
          </w:tcPr>
          <w:p w14:paraId="45F642C8">
            <w:pPr>
              <w:pStyle w:val="70"/>
              <w:autoSpaceDE/>
              <w:autoSpaceDN/>
              <w:spacing w:line="300" w:lineRule="exact"/>
              <w:rPr>
                <w:rFonts w:asciiTheme="minorHAnsi" w:hAnsiTheme="minorHAnsi" w:eastAsiaTheme="minorEastAsia" w:cstheme="minorBidi"/>
                <w:b/>
                <w:bCs/>
                <w:color w:val="000000" w:themeColor="text1"/>
                <w:lang w:val="zh-CN" w:eastAsia="en-US"/>
                <w14:textFill>
                  <w14:solidFill>
                    <w14:schemeClr w14:val="tx1"/>
                  </w14:solidFill>
                </w14:textFill>
              </w:rPr>
            </w:pPr>
            <w:r>
              <w:rPr>
                <w:rFonts w:asciiTheme="minorHAnsi" w:hAnsiTheme="minorHAnsi" w:eastAsiaTheme="minorEastAsia" w:cstheme="minorBidi"/>
                <w:b/>
                <w:bCs/>
                <w:color w:val="000000" w:themeColor="text1"/>
                <w:lang w:val="zh-CN" w:eastAsia="en-US"/>
                <w14:textFill>
                  <w14:solidFill>
                    <w14:schemeClr w14:val="tx1"/>
                  </w14:solidFill>
                </w14:textFill>
              </w:rPr>
              <w:t>S1</w:t>
            </w:r>
          </w:p>
        </w:tc>
        <w:tc>
          <w:tcPr>
            <w:tcW w:w="774" w:type="pct"/>
            <w:tcBorders>
              <w:top w:val="single" w:color="000000" w:sz="12" w:space="0"/>
            </w:tcBorders>
          </w:tcPr>
          <w:p w14:paraId="7F9D6D76">
            <w:pPr>
              <w:pStyle w:val="70"/>
              <w:autoSpaceDE/>
              <w:autoSpaceDN/>
              <w:spacing w:line="300" w:lineRule="exact"/>
              <w:rPr>
                <w:rFonts w:asciiTheme="minorHAnsi" w:hAnsiTheme="minorHAnsi" w:eastAsiaTheme="minorEastAsia" w:cstheme="minorBidi"/>
                <w:b/>
                <w:bCs/>
                <w:color w:val="000000" w:themeColor="text1"/>
                <w:lang w:val="zh-CN" w:eastAsia="en-US"/>
                <w14:textFill>
                  <w14:solidFill>
                    <w14:schemeClr w14:val="tx1"/>
                  </w14:solidFill>
                </w14:textFill>
              </w:rPr>
            </w:pPr>
            <w:r>
              <w:rPr>
                <w:rFonts w:asciiTheme="minorHAnsi" w:hAnsiTheme="minorHAnsi" w:eastAsiaTheme="minorEastAsia" w:cstheme="minorBidi"/>
                <w:b/>
                <w:bCs/>
                <w:color w:val="000000" w:themeColor="text1"/>
                <w:lang w:val="zh-CN" w:eastAsia="en-US"/>
                <w14:textFill>
                  <w14:solidFill>
                    <w14:schemeClr w14:val="tx1"/>
                  </w14:solidFill>
                </w14:textFill>
              </w:rPr>
              <w:t>S2</w:t>
            </w:r>
          </w:p>
        </w:tc>
        <w:tc>
          <w:tcPr>
            <w:tcW w:w="770" w:type="pct"/>
            <w:tcBorders>
              <w:top w:val="single" w:color="000000" w:sz="12" w:space="0"/>
            </w:tcBorders>
          </w:tcPr>
          <w:p w14:paraId="3B5F2A19">
            <w:pPr>
              <w:pStyle w:val="70"/>
              <w:autoSpaceDE/>
              <w:autoSpaceDN/>
              <w:spacing w:line="300" w:lineRule="exact"/>
              <w:rPr>
                <w:rFonts w:asciiTheme="minorHAnsi" w:hAnsiTheme="minorHAnsi" w:eastAsiaTheme="minorEastAsia" w:cstheme="minorBidi"/>
                <w:b/>
                <w:bCs/>
                <w:color w:val="000000" w:themeColor="text1"/>
                <w:lang w:val="zh-CN" w:eastAsia="en-US"/>
                <w14:textFill>
                  <w14:solidFill>
                    <w14:schemeClr w14:val="tx1"/>
                  </w14:solidFill>
                </w14:textFill>
              </w:rPr>
            </w:pPr>
            <w:r>
              <w:rPr>
                <w:rFonts w:asciiTheme="minorHAnsi" w:hAnsiTheme="minorHAnsi" w:eastAsiaTheme="minorEastAsia" w:cstheme="minorBidi"/>
                <w:b/>
                <w:bCs/>
                <w:color w:val="000000" w:themeColor="text1"/>
                <w:lang w:val="zh-CN" w:eastAsia="en-US"/>
                <w14:textFill>
                  <w14:solidFill>
                    <w14:schemeClr w14:val="tx1"/>
                  </w14:solidFill>
                </w14:textFill>
              </w:rPr>
              <w:t>S3</w:t>
            </w:r>
          </w:p>
        </w:tc>
        <w:tc>
          <w:tcPr>
            <w:tcW w:w="764" w:type="pct"/>
            <w:tcBorders>
              <w:top w:val="single" w:color="000000" w:sz="12" w:space="0"/>
            </w:tcBorders>
          </w:tcPr>
          <w:p w14:paraId="720D0669">
            <w:pPr>
              <w:pStyle w:val="70"/>
              <w:autoSpaceDE/>
              <w:autoSpaceDN/>
              <w:spacing w:line="300" w:lineRule="exact"/>
              <w:rPr>
                <w:rFonts w:asciiTheme="minorHAnsi" w:hAnsiTheme="minorHAnsi" w:eastAsiaTheme="minorEastAsia" w:cstheme="minorBidi"/>
                <w:b/>
                <w:bCs/>
                <w:color w:val="000000" w:themeColor="text1"/>
                <w:lang w:val="zh-CN" w:eastAsia="en-US"/>
                <w14:textFill>
                  <w14:solidFill>
                    <w14:schemeClr w14:val="tx1"/>
                  </w14:solidFill>
                </w14:textFill>
              </w:rPr>
            </w:pPr>
            <w:r>
              <w:rPr>
                <w:rFonts w:asciiTheme="minorHAnsi" w:hAnsiTheme="minorHAnsi" w:eastAsiaTheme="minorEastAsia" w:cstheme="minorBidi"/>
                <w:b/>
                <w:bCs/>
                <w:color w:val="000000" w:themeColor="text1"/>
                <w:lang w:val="zh-CN" w:eastAsia="en-US"/>
                <w14:textFill>
                  <w14:solidFill>
                    <w14:schemeClr w14:val="tx1"/>
                  </w14:solidFill>
                </w14:textFill>
              </w:rPr>
              <w:t>S4</w:t>
            </w:r>
          </w:p>
        </w:tc>
        <w:tc>
          <w:tcPr>
            <w:tcW w:w="762" w:type="pct"/>
            <w:tcBorders>
              <w:top w:val="single" w:color="000000" w:sz="12" w:space="0"/>
              <w:right w:val="single" w:color="000000" w:sz="12" w:space="0"/>
            </w:tcBorders>
          </w:tcPr>
          <w:p w14:paraId="699CFCD3">
            <w:pPr>
              <w:pStyle w:val="70"/>
              <w:autoSpaceDE/>
              <w:autoSpaceDN/>
              <w:spacing w:line="300" w:lineRule="exact"/>
              <w:rPr>
                <w:rFonts w:asciiTheme="minorHAnsi" w:hAnsiTheme="minorHAnsi" w:eastAsiaTheme="minorEastAsia" w:cstheme="minorBidi"/>
                <w:b/>
                <w:bCs/>
                <w:color w:val="000000" w:themeColor="text1"/>
                <w:lang w:val="zh-CN" w:eastAsia="en-US"/>
                <w14:textFill>
                  <w14:solidFill>
                    <w14:schemeClr w14:val="tx1"/>
                  </w14:solidFill>
                </w14:textFill>
              </w:rPr>
            </w:pPr>
            <w:r>
              <w:rPr>
                <w:rFonts w:asciiTheme="minorHAnsi" w:hAnsiTheme="minorHAnsi" w:eastAsiaTheme="minorEastAsia" w:cstheme="minorBidi"/>
                <w:b/>
                <w:bCs/>
                <w:color w:val="000000" w:themeColor="text1"/>
                <w:lang w:val="zh-CN" w:eastAsia="en-US"/>
                <w14:textFill>
                  <w14:solidFill>
                    <w14:schemeClr w14:val="tx1"/>
                  </w14:solidFill>
                </w14:textFill>
              </w:rPr>
              <w:t>S5</w:t>
            </w:r>
          </w:p>
        </w:tc>
      </w:tr>
      <w:tr w14:paraId="03343B1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2" w:hRule="atLeast"/>
        </w:trPr>
        <w:tc>
          <w:tcPr>
            <w:tcW w:w="1162" w:type="pct"/>
            <w:tcBorders>
              <w:left w:val="single" w:color="000000" w:sz="12" w:space="0"/>
              <w:bottom w:val="single" w:color="000000" w:sz="12" w:space="0"/>
            </w:tcBorders>
          </w:tcPr>
          <w:p w14:paraId="64F9F431">
            <w:pPr>
              <w:pStyle w:val="70"/>
              <w:autoSpaceDE/>
              <w:autoSpaceDN/>
              <w:spacing w:line="300" w:lineRule="exact"/>
              <w:rPr>
                <w:rFonts w:asciiTheme="minorHAnsi" w:hAnsiTheme="minorHAnsi" w:eastAsiaTheme="minorEastAsia" w:cstheme="minorBidi"/>
                <w:color w:val="000000" w:themeColor="text1"/>
                <w:lang w:val="zh-CN" w:eastAsia="en-US"/>
                <w14:textFill>
                  <w14:solidFill>
                    <w14:schemeClr w14:val="tx1"/>
                  </w14:solidFill>
                </w14:textFill>
              </w:rPr>
            </w:pPr>
            <w:r>
              <w:rPr>
                <w:rFonts w:asciiTheme="minorHAnsi" w:hAnsiTheme="minorHAnsi" w:eastAsiaTheme="minorEastAsia" w:cstheme="minorBidi"/>
                <w:color w:val="000000" w:themeColor="text1"/>
                <w:lang w:val="zh-CN" w:eastAsia="en-US"/>
                <w14:textFill>
                  <w14:solidFill>
                    <w14:schemeClr w14:val="tx1"/>
                  </w14:solidFill>
                </w14:textFill>
              </w:rPr>
              <w:t>叶绿素a(μg/L)</w:t>
            </w:r>
          </w:p>
        </w:tc>
        <w:tc>
          <w:tcPr>
            <w:tcW w:w="764" w:type="pct"/>
            <w:tcBorders>
              <w:bottom w:val="single" w:color="000000" w:sz="12" w:space="0"/>
            </w:tcBorders>
          </w:tcPr>
          <w:p w14:paraId="6B475EF2">
            <w:pPr>
              <w:pStyle w:val="70"/>
              <w:autoSpaceDE/>
              <w:autoSpaceDN/>
              <w:spacing w:line="300" w:lineRule="exact"/>
              <w:rPr>
                <w:rFonts w:asciiTheme="minorHAnsi" w:hAnsiTheme="minorHAnsi" w:eastAsiaTheme="minorEastAsia" w:cstheme="minorBidi"/>
                <w:color w:val="000000" w:themeColor="text1"/>
                <w:lang w:val="zh-CN" w:eastAsia="en-US"/>
                <w14:textFill>
                  <w14:solidFill>
                    <w14:schemeClr w14:val="tx1"/>
                  </w14:solidFill>
                </w14:textFill>
              </w:rPr>
            </w:pPr>
          </w:p>
        </w:tc>
        <w:tc>
          <w:tcPr>
            <w:tcW w:w="774" w:type="pct"/>
            <w:tcBorders>
              <w:bottom w:val="single" w:color="000000" w:sz="12" w:space="0"/>
            </w:tcBorders>
          </w:tcPr>
          <w:p w14:paraId="0FBCE71F">
            <w:pPr>
              <w:pStyle w:val="70"/>
              <w:autoSpaceDE/>
              <w:autoSpaceDN/>
              <w:spacing w:line="300" w:lineRule="exact"/>
              <w:rPr>
                <w:rFonts w:asciiTheme="minorHAnsi" w:hAnsiTheme="minorHAnsi" w:eastAsiaTheme="minorEastAsia" w:cstheme="minorBidi"/>
                <w:color w:val="000000" w:themeColor="text1"/>
                <w:lang w:val="zh-CN" w:eastAsia="en-US"/>
                <w14:textFill>
                  <w14:solidFill>
                    <w14:schemeClr w14:val="tx1"/>
                  </w14:solidFill>
                </w14:textFill>
              </w:rPr>
            </w:pPr>
          </w:p>
        </w:tc>
        <w:tc>
          <w:tcPr>
            <w:tcW w:w="770" w:type="pct"/>
            <w:tcBorders>
              <w:bottom w:val="single" w:color="000000" w:sz="12" w:space="0"/>
            </w:tcBorders>
          </w:tcPr>
          <w:p w14:paraId="03B268D8">
            <w:pPr>
              <w:pStyle w:val="70"/>
              <w:autoSpaceDE/>
              <w:autoSpaceDN/>
              <w:spacing w:line="300" w:lineRule="exact"/>
              <w:rPr>
                <w:rFonts w:asciiTheme="minorHAnsi" w:hAnsiTheme="minorHAnsi" w:eastAsiaTheme="minorEastAsia" w:cstheme="minorBidi"/>
                <w:color w:val="000000" w:themeColor="text1"/>
                <w:lang w:val="zh-CN" w:eastAsia="en-US"/>
                <w14:textFill>
                  <w14:solidFill>
                    <w14:schemeClr w14:val="tx1"/>
                  </w14:solidFill>
                </w14:textFill>
              </w:rPr>
            </w:pPr>
          </w:p>
        </w:tc>
        <w:tc>
          <w:tcPr>
            <w:tcW w:w="764" w:type="pct"/>
            <w:tcBorders>
              <w:bottom w:val="single" w:color="000000" w:sz="12" w:space="0"/>
            </w:tcBorders>
          </w:tcPr>
          <w:p w14:paraId="1B85B92D">
            <w:pPr>
              <w:pStyle w:val="70"/>
              <w:autoSpaceDE/>
              <w:autoSpaceDN/>
              <w:spacing w:line="300" w:lineRule="exact"/>
              <w:rPr>
                <w:rFonts w:asciiTheme="minorHAnsi" w:hAnsiTheme="minorHAnsi" w:eastAsiaTheme="minorEastAsia" w:cstheme="minorBidi"/>
                <w:color w:val="000000" w:themeColor="text1"/>
                <w:lang w:val="zh-CN" w:eastAsia="en-US"/>
                <w14:textFill>
                  <w14:solidFill>
                    <w14:schemeClr w14:val="tx1"/>
                  </w14:solidFill>
                </w14:textFill>
              </w:rPr>
            </w:pPr>
          </w:p>
        </w:tc>
        <w:tc>
          <w:tcPr>
            <w:tcW w:w="762" w:type="pct"/>
            <w:tcBorders>
              <w:bottom w:val="single" w:color="000000" w:sz="12" w:space="0"/>
              <w:right w:val="single" w:color="000000" w:sz="12" w:space="0"/>
            </w:tcBorders>
          </w:tcPr>
          <w:p w14:paraId="1C28A9CD">
            <w:pPr>
              <w:pStyle w:val="70"/>
              <w:autoSpaceDE/>
              <w:autoSpaceDN/>
              <w:spacing w:line="300" w:lineRule="exact"/>
              <w:rPr>
                <w:rFonts w:asciiTheme="minorHAnsi" w:hAnsiTheme="minorHAnsi" w:eastAsiaTheme="minorEastAsia" w:cstheme="minorBidi"/>
                <w:color w:val="000000" w:themeColor="text1"/>
                <w:lang w:val="zh-CN" w:eastAsia="en-US"/>
                <w14:textFill>
                  <w14:solidFill>
                    <w14:schemeClr w14:val="tx1"/>
                  </w14:solidFill>
                </w14:textFill>
              </w:rPr>
            </w:pPr>
          </w:p>
        </w:tc>
      </w:tr>
    </w:tbl>
    <w:p w14:paraId="5F2F17F1">
      <w:pPr>
        <w:ind w:firstLine="480"/>
        <w:rPr>
          <w:bCs/>
          <w:color w:val="000000" w:themeColor="text1"/>
          <w:lang w:bidi="zh-CN"/>
          <w14:textFill>
            <w14:solidFill>
              <w14:schemeClr w14:val="tx1"/>
            </w14:solidFill>
          </w14:textFill>
        </w:rPr>
      </w:pPr>
      <w:r>
        <w:rPr>
          <w:bCs/>
          <w:color w:val="000000" w:themeColor="text1"/>
          <w:lang w:bidi="zh-CN"/>
          <w14:textFill>
            <w14:solidFill>
              <w14:schemeClr w14:val="tx1"/>
            </w14:solidFill>
          </w14:textFill>
        </w:rPr>
        <w:t xml:space="preserve">2）浮游植物调查结果 </w:t>
      </w:r>
    </w:p>
    <w:p w14:paraId="64C5C798">
      <w:pPr>
        <w:overflowPunct w:val="0"/>
        <w:spacing w:after="160"/>
        <w:ind w:firstLine="480"/>
        <w:rPr>
          <w:color w:val="000000" w:themeColor="text1"/>
          <w:szCs w:val="22"/>
          <w:u w:val="single"/>
          <w:lang w:val="zh-CN" w:bidi="zh-CN"/>
          <w14:textFill>
            <w14:solidFill>
              <w14:schemeClr w14:val="tx1"/>
            </w14:solidFill>
          </w14:textFill>
        </w:rPr>
      </w:pPr>
      <w:r>
        <w:rPr>
          <w:rFonts w:hint="eastAsia"/>
          <w:color w:val="000000" w:themeColor="text1"/>
          <w:szCs w:val="22"/>
          <w:u w:val="single"/>
          <w:lang w:val="zh-CN" w:bidi="zh-CN"/>
          <w14:textFill>
            <w14:solidFill>
              <w14:schemeClr w14:val="tx1"/>
            </w14:solidFill>
          </w14:textFill>
        </w:rPr>
        <w:t>本次调查记录浮游植物2门（硅藻门、甲藻门），其中硅藻门占总种数绝对优势。在所有站位中，甲藻门仅出现少量，其余绝大多数为硅藻。</w:t>
      </w:r>
    </w:p>
    <w:p w14:paraId="6925C4C3">
      <w:pPr>
        <w:overflowPunct w:val="0"/>
        <w:spacing w:after="160"/>
        <w:ind w:firstLine="480"/>
        <w:rPr>
          <w:color w:val="000000" w:themeColor="text1"/>
          <w:szCs w:val="22"/>
          <w:u w:val="single"/>
          <w:lang w:val="zh-CN" w:bidi="zh-CN"/>
          <w14:textFill>
            <w14:solidFill>
              <w14:schemeClr w14:val="tx1"/>
            </w14:solidFill>
          </w14:textFill>
        </w:rPr>
      </w:pPr>
      <w:r>
        <w:rPr>
          <w:rFonts w:hint="eastAsia"/>
          <w:color w:val="000000" w:themeColor="text1"/>
          <w:szCs w:val="22"/>
          <w:u w:val="single"/>
          <w:lang w:val="zh-CN" w:bidi="zh-CN"/>
          <w14:textFill>
            <w14:solidFill>
              <w14:schemeClr w14:val="tx1"/>
            </w14:solidFill>
          </w14:textFill>
        </w:rPr>
        <w:t>调查海域的5个站位中，浮游植物的种数最多的是 S3 站，为 34 种；S1 站和 S4 站次之，均为 32 种；最少的是 S2 站和 S5 站，均为 26 种。</w:t>
      </w:r>
    </w:p>
    <w:p w14:paraId="266CD83D">
      <w:pPr>
        <w:overflowPunct w:val="0"/>
        <w:spacing w:after="160"/>
        <w:ind w:firstLine="480"/>
        <w:rPr>
          <w:color w:val="000000" w:themeColor="text1"/>
          <w:szCs w:val="22"/>
          <w:u w:val="single"/>
          <w:lang w:val="zh-CN" w:bidi="zh-CN"/>
          <w14:textFill>
            <w14:solidFill>
              <w14:schemeClr w14:val="tx1"/>
            </w14:solidFill>
          </w14:textFill>
        </w:rPr>
      </w:pPr>
      <w:r>
        <w:rPr>
          <w:rFonts w:hint="eastAsia"/>
          <w:color w:val="000000" w:themeColor="text1"/>
          <w:szCs w:val="22"/>
          <w:u w:val="single"/>
          <w:lang w:val="zh-CN" w:bidi="zh-CN"/>
          <w14:textFill>
            <w14:solidFill>
              <w14:schemeClr w14:val="tx1"/>
            </w14:solidFill>
          </w14:textFill>
        </w:rPr>
        <w:t>根据各站位物种密度累加计算，调查海域5个站位的浮游植物平均密度为 172,983.4 个/L。最高密度站位：S4 站密度最高，总密度达 705,400 个/L（主要由旋链角毛藻 和柔弱管藻</w:t>
      </w:r>
      <w:r>
        <w:rPr>
          <w:rFonts w:hint="eastAsia"/>
          <w:color w:val="000000" w:themeColor="text1"/>
          <w:szCs w:val="22"/>
          <w:u w:val="single"/>
          <w:lang w:bidi="zh-CN"/>
          <w14:textFill>
            <w14:solidFill>
              <w14:schemeClr w14:val="tx1"/>
            </w14:solidFill>
          </w14:textFill>
        </w:rPr>
        <w:t>贡</w:t>
      </w:r>
      <w:r>
        <w:rPr>
          <w:rFonts w:hint="eastAsia"/>
          <w:color w:val="000000" w:themeColor="text1"/>
          <w:szCs w:val="22"/>
          <w:u w:val="single"/>
          <w:lang w:val="zh-CN" w:bidi="zh-CN"/>
          <w14:textFill>
            <w14:solidFill>
              <w14:schemeClr w14:val="tx1"/>
            </w14:solidFill>
          </w14:textFill>
        </w:rPr>
        <w:t>献）。</w:t>
      </w:r>
    </w:p>
    <w:p w14:paraId="40B54AAF">
      <w:pPr>
        <w:overflowPunct w:val="0"/>
        <w:spacing w:after="160"/>
        <w:ind w:firstLine="480"/>
        <w:rPr>
          <w:color w:val="000000" w:themeColor="text1"/>
          <w:szCs w:val="22"/>
          <w:u w:val="single"/>
          <w:lang w:val="zh-CN" w:bidi="zh-CN"/>
          <w14:textFill>
            <w14:solidFill>
              <w14:schemeClr w14:val="tx1"/>
            </w14:solidFill>
          </w14:textFill>
        </w:rPr>
      </w:pPr>
      <w:r>
        <w:rPr>
          <w:rFonts w:hint="eastAsia"/>
          <w:color w:val="000000" w:themeColor="text1"/>
          <w:szCs w:val="22"/>
          <w:u w:val="single"/>
          <w:lang w:val="zh-CN" w:bidi="zh-CN"/>
          <w14:textFill>
            <w14:solidFill>
              <w14:schemeClr w14:val="tx1"/>
            </w14:solidFill>
          </w14:textFill>
        </w:rPr>
        <w:t>S5 站密度最低，总密度为 20,339 个/L。S1站为 57,560 个/L，S3站为 52,618 个/L，S2站为 29,000 个/L。单个物种的密度变化范围为 175 个/L（如S5站的多个物种）至 284,000 个/L（S4站的旋链角毛藻）。</w:t>
      </w:r>
    </w:p>
    <w:p w14:paraId="30C93C31">
      <w:pPr>
        <w:pStyle w:val="7"/>
        <w:rPr>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浮游植物数量统计表</w:t>
      </w:r>
    </w:p>
    <w:tbl>
      <w:tblPr>
        <w:tblStyle w:val="43"/>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612"/>
        <w:gridCol w:w="687"/>
        <w:gridCol w:w="1849"/>
        <w:gridCol w:w="1827"/>
        <w:gridCol w:w="2383"/>
        <w:gridCol w:w="1164"/>
      </w:tblGrid>
      <w:tr w14:paraId="6F116F5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noWrap/>
            <w:vAlign w:val="center"/>
          </w:tcPr>
          <w:p w14:paraId="34BC4039">
            <w:pPr>
              <w:spacing w:after="160" w:line="240" w:lineRule="exact"/>
              <w:ind w:firstLine="0" w:firstLineChars="0"/>
              <w:jc w:val="center"/>
              <w:rPr>
                <w:b/>
                <w:bCs/>
                <w:color w:val="000000" w:themeColor="text1"/>
                <w:sz w:val="21"/>
                <w:szCs w:val="21"/>
                <w14:textFill>
                  <w14:solidFill>
                    <w14:schemeClr w14:val="tx1"/>
                  </w14:solidFill>
                </w14:textFill>
              </w:rPr>
            </w:pPr>
            <w:r>
              <w:rPr>
                <w:rFonts w:hint="eastAsia"/>
                <w:b/>
                <w:bCs/>
                <w:color w:val="000000" w:themeColor="text1"/>
                <w:sz w:val="21"/>
                <w:szCs w:val="21"/>
                <w14:textFill>
                  <w14:solidFill>
                    <w14:schemeClr w14:val="tx1"/>
                  </w14:solidFill>
                </w14:textFill>
              </w:rPr>
              <w:t>站号</w:t>
            </w:r>
          </w:p>
        </w:tc>
        <w:tc>
          <w:tcPr>
            <w:tcW w:w="403" w:type="pct"/>
            <w:noWrap/>
            <w:vAlign w:val="center"/>
          </w:tcPr>
          <w:p w14:paraId="6FC4F740">
            <w:pPr>
              <w:spacing w:after="160" w:line="240" w:lineRule="exact"/>
              <w:ind w:firstLine="0" w:firstLineChars="0"/>
              <w:jc w:val="center"/>
              <w:rPr>
                <w:b/>
                <w:bCs/>
                <w:color w:val="000000" w:themeColor="text1"/>
                <w:kern w:val="0"/>
                <w:sz w:val="21"/>
                <w:szCs w:val="21"/>
                <w14:textFill>
                  <w14:solidFill>
                    <w14:schemeClr w14:val="tx1"/>
                  </w14:solidFill>
                </w14:textFill>
              </w:rPr>
            </w:pPr>
            <w:r>
              <w:rPr>
                <w:rFonts w:hint="eastAsia"/>
                <w:b/>
                <w:bCs/>
                <w:color w:val="000000" w:themeColor="text1"/>
                <w:kern w:val="0"/>
                <w:sz w:val="21"/>
                <w:szCs w:val="21"/>
                <w14:textFill>
                  <w14:solidFill>
                    <w14:schemeClr w14:val="tx1"/>
                  </w14:solidFill>
                </w14:textFill>
              </w:rPr>
              <w:t>序号</w:t>
            </w:r>
          </w:p>
        </w:tc>
        <w:tc>
          <w:tcPr>
            <w:tcW w:w="1085" w:type="pct"/>
            <w:vAlign w:val="center"/>
          </w:tcPr>
          <w:p w14:paraId="0B59E6A8">
            <w:pPr>
              <w:spacing w:after="160" w:line="240" w:lineRule="exact"/>
              <w:ind w:firstLine="0" w:firstLineChars="0"/>
              <w:jc w:val="center"/>
              <w:rPr>
                <w:b/>
                <w:bCs/>
                <w:color w:val="000000" w:themeColor="text1"/>
                <w:kern w:val="0"/>
                <w:sz w:val="21"/>
                <w:szCs w:val="21"/>
                <w14:textFill>
                  <w14:solidFill>
                    <w14:schemeClr w14:val="tx1"/>
                  </w14:solidFill>
                </w14:textFill>
              </w:rPr>
            </w:pPr>
            <w:r>
              <w:rPr>
                <w:rFonts w:hint="eastAsia"/>
                <w:b/>
                <w:bCs/>
                <w:color w:val="000000" w:themeColor="text1"/>
                <w:kern w:val="0"/>
                <w:sz w:val="21"/>
                <w:szCs w:val="21"/>
                <w14:textFill>
                  <w14:solidFill>
                    <w14:schemeClr w14:val="tx1"/>
                  </w14:solidFill>
                </w14:textFill>
              </w:rPr>
              <w:t>类群</w:t>
            </w:r>
          </w:p>
        </w:tc>
        <w:tc>
          <w:tcPr>
            <w:tcW w:w="1072" w:type="pct"/>
            <w:noWrap/>
            <w:vAlign w:val="center"/>
          </w:tcPr>
          <w:p w14:paraId="732B4316">
            <w:pPr>
              <w:spacing w:after="160" w:line="240" w:lineRule="exact"/>
              <w:ind w:firstLine="0" w:firstLineChars="0"/>
              <w:jc w:val="center"/>
              <w:rPr>
                <w:b/>
                <w:bCs/>
                <w:color w:val="000000" w:themeColor="text1"/>
                <w:kern w:val="0"/>
                <w:sz w:val="21"/>
                <w:szCs w:val="21"/>
                <w14:textFill>
                  <w14:solidFill>
                    <w14:schemeClr w14:val="tx1"/>
                  </w14:solidFill>
                </w14:textFill>
              </w:rPr>
            </w:pPr>
            <w:r>
              <w:rPr>
                <w:rFonts w:hint="eastAsia"/>
                <w:b/>
                <w:bCs/>
                <w:color w:val="000000" w:themeColor="text1"/>
                <w:kern w:val="0"/>
                <w:sz w:val="21"/>
                <w:szCs w:val="21"/>
                <w14:textFill>
                  <w14:solidFill>
                    <w14:schemeClr w14:val="tx1"/>
                  </w14:solidFill>
                </w14:textFill>
              </w:rPr>
              <w:t>种名</w:t>
            </w:r>
          </w:p>
        </w:tc>
        <w:tc>
          <w:tcPr>
            <w:tcW w:w="1398" w:type="pct"/>
            <w:noWrap/>
            <w:vAlign w:val="center"/>
          </w:tcPr>
          <w:p w14:paraId="1277EA35">
            <w:pPr>
              <w:spacing w:after="160" w:line="240" w:lineRule="exact"/>
              <w:ind w:firstLine="0" w:firstLineChars="0"/>
              <w:jc w:val="center"/>
              <w:rPr>
                <w:b/>
                <w:bCs/>
                <w:color w:val="000000" w:themeColor="text1"/>
                <w:kern w:val="0"/>
                <w:sz w:val="21"/>
                <w:szCs w:val="21"/>
                <w14:textFill>
                  <w14:solidFill>
                    <w14:schemeClr w14:val="tx1"/>
                  </w14:solidFill>
                </w14:textFill>
              </w:rPr>
            </w:pPr>
            <w:r>
              <w:rPr>
                <w:rFonts w:hint="eastAsia"/>
                <w:b/>
                <w:bCs/>
                <w:color w:val="000000" w:themeColor="text1"/>
                <w:kern w:val="0"/>
                <w:sz w:val="21"/>
                <w:szCs w:val="21"/>
                <w14:textFill>
                  <w14:solidFill>
                    <w14:schemeClr w14:val="tx1"/>
                  </w14:solidFill>
                </w14:textFill>
              </w:rPr>
              <w:t>拉丁文名</w:t>
            </w:r>
          </w:p>
        </w:tc>
        <w:tc>
          <w:tcPr>
            <w:tcW w:w="683" w:type="pct"/>
            <w:noWrap/>
            <w:vAlign w:val="center"/>
          </w:tcPr>
          <w:p w14:paraId="7480DC5E">
            <w:pPr>
              <w:spacing w:after="160" w:line="240" w:lineRule="exact"/>
              <w:ind w:firstLine="0" w:firstLineChars="0"/>
              <w:jc w:val="center"/>
              <w:rPr>
                <w:b/>
                <w:bCs/>
                <w:color w:val="000000" w:themeColor="text1"/>
                <w:kern w:val="0"/>
                <w:sz w:val="21"/>
                <w:szCs w:val="21"/>
                <w14:textFill>
                  <w14:solidFill>
                    <w14:schemeClr w14:val="tx1"/>
                  </w14:solidFill>
                </w14:textFill>
              </w:rPr>
            </w:pPr>
            <w:r>
              <w:rPr>
                <w:b/>
                <w:bCs/>
                <w:color w:val="000000" w:themeColor="text1"/>
                <w:kern w:val="0"/>
                <w:sz w:val="21"/>
                <w:szCs w:val="21"/>
                <w14:textFill>
                  <w14:solidFill>
                    <w14:schemeClr w14:val="tx1"/>
                  </w14:solidFill>
                </w14:textFill>
              </w:rPr>
              <w:t>密度</w:t>
            </w:r>
          </w:p>
          <w:p w14:paraId="2407DDDE">
            <w:pPr>
              <w:spacing w:after="160" w:line="240" w:lineRule="exact"/>
              <w:ind w:firstLine="0" w:firstLineChars="0"/>
              <w:jc w:val="center"/>
              <w:rPr>
                <w:b/>
                <w:bCs/>
                <w:color w:val="000000" w:themeColor="text1"/>
                <w:kern w:val="0"/>
                <w:sz w:val="21"/>
                <w:szCs w:val="21"/>
                <w14:textFill>
                  <w14:solidFill>
                    <w14:schemeClr w14:val="tx1"/>
                  </w14:solidFill>
                </w14:textFill>
              </w:rPr>
            </w:pPr>
            <w:r>
              <w:rPr>
                <w:b/>
                <w:bCs/>
                <w:color w:val="000000" w:themeColor="text1"/>
                <w:kern w:val="0"/>
                <w:sz w:val="21"/>
                <w:szCs w:val="21"/>
                <w14:textFill>
                  <w14:solidFill>
                    <w14:schemeClr w14:val="tx1"/>
                  </w14:solidFill>
                </w14:textFill>
              </w:rPr>
              <w:t>（个/L）</w:t>
            </w:r>
          </w:p>
        </w:tc>
      </w:tr>
      <w:tr w14:paraId="7396DA3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restart"/>
            <w:noWrap/>
            <w:vAlign w:val="center"/>
          </w:tcPr>
          <w:p w14:paraId="76C18339">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S1</w:t>
            </w:r>
          </w:p>
        </w:tc>
        <w:tc>
          <w:tcPr>
            <w:tcW w:w="403" w:type="pct"/>
            <w:noWrap/>
            <w:vAlign w:val="center"/>
          </w:tcPr>
          <w:p w14:paraId="6794E45B">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w:t>
            </w:r>
          </w:p>
        </w:tc>
        <w:tc>
          <w:tcPr>
            <w:tcW w:w="1085" w:type="pct"/>
            <w:vAlign w:val="center"/>
          </w:tcPr>
          <w:p w14:paraId="651A5277">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硅藻门星杆藻属</w:t>
            </w:r>
          </w:p>
        </w:tc>
        <w:tc>
          <w:tcPr>
            <w:tcW w:w="1072" w:type="pct"/>
            <w:noWrap/>
            <w:vAlign w:val="center"/>
          </w:tcPr>
          <w:p w14:paraId="0721E595">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冰河拟星杆藻</w:t>
            </w:r>
          </w:p>
        </w:tc>
        <w:tc>
          <w:tcPr>
            <w:tcW w:w="1398" w:type="pct"/>
            <w:noWrap/>
            <w:vAlign w:val="center"/>
          </w:tcPr>
          <w:p w14:paraId="5409C022">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Amphora coffeaeformis</w:t>
            </w:r>
          </w:p>
        </w:tc>
        <w:tc>
          <w:tcPr>
            <w:tcW w:w="683" w:type="pct"/>
            <w:noWrap/>
            <w:vAlign w:val="center"/>
          </w:tcPr>
          <w:p w14:paraId="1469F651">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759D23E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2FBD033B">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7C568FF1">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w:t>
            </w:r>
          </w:p>
        </w:tc>
        <w:tc>
          <w:tcPr>
            <w:tcW w:w="1085" w:type="pct"/>
            <w:vAlign w:val="center"/>
          </w:tcPr>
          <w:p w14:paraId="3DDE22E7">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硅藻门盒形藻属</w:t>
            </w:r>
          </w:p>
        </w:tc>
        <w:tc>
          <w:tcPr>
            <w:tcW w:w="1072" w:type="pct"/>
            <w:noWrap/>
            <w:vAlign w:val="center"/>
          </w:tcPr>
          <w:p w14:paraId="690C8D67">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中华盒形藻</w:t>
            </w:r>
          </w:p>
        </w:tc>
        <w:tc>
          <w:tcPr>
            <w:tcW w:w="1398" w:type="pct"/>
            <w:noWrap/>
            <w:vAlign w:val="center"/>
          </w:tcPr>
          <w:p w14:paraId="45A2E814">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Biddulphia sinensis</w:t>
            </w:r>
          </w:p>
        </w:tc>
        <w:tc>
          <w:tcPr>
            <w:tcW w:w="683" w:type="pct"/>
            <w:noWrap/>
            <w:vAlign w:val="center"/>
          </w:tcPr>
          <w:p w14:paraId="0F56A71E">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279161E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0DED94EB">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4B5A3C83">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w:t>
            </w:r>
          </w:p>
        </w:tc>
        <w:tc>
          <w:tcPr>
            <w:tcW w:w="1085" w:type="pct"/>
            <w:vAlign w:val="center"/>
          </w:tcPr>
          <w:p w14:paraId="1693E927">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硅藻门角毛藻属</w:t>
            </w:r>
          </w:p>
        </w:tc>
        <w:tc>
          <w:tcPr>
            <w:tcW w:w="1072" w:type="pct"/>
            <w:noWrap/>
            <w:vAlign w:val="center"/>
          </w:tcPr>
          <w:p w14:paraId="68B41285">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范氏角毛藻</w:t>
            </w:r>
          </w:p>
        </w:tc>
        <w:tc>
          <w:tcPr>
            <w:tcW w:w="1398" w:type="pct"/>
            <w:noWrap/>
            <w:vAlign w:val="center"/>
          </w:tcPr>
          <w:p w14:paraId="7C0BD99D">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Chaetoceros van-heurckii</w:t>
            </w:r>
          </w:p>
        </w:tc>
        <w:tc>
          <w:tcPr>
            <w:tcW w:w="683" w:type="pct"/>
            <w:noWrap/>
            <w:vAlign w:val="center"/>
          </w:tcPr>
          <w:p w14:paraId="6D4A0981">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2A03055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569CB8FB">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58C9950D">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4</w:t>
            </w:r>
          </w:p>
        </w:tc>
        <w:tc>
          <w:tcPr>
            <w:tcW w:w="1085" w:type="pct"/>
            <w:vAlign w:val="center"/>
          </w:tcPr>
          <w:p w14:paraId="2E69A5CE">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硅藻门角毛藻属</w:t>
            </w:r>
          </w:p>
        </w:tc>
        <w:tc>
          <w:tcPr>
            <w:tcW w:w="1072" w:type="pct"/>
            <w:noWrap/>
            <w:vAlign w:val="center"/>
          </w:tcPr>
          <w:p w14:paraId="3B1A0BC0">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旋链角毛藻</w:t>
            </w:r>
          </w:p>
        </w:tc>
        <w:tc>
          <w:tcPr>
            <w:tcW w:w="1398" w:type="pct"/>
            <w:noWrap/>
            <w:vAlign w:val="center"/>
          </w:tcPr>
          <w:p w14:paraId="0E6CEAC0">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Chaetoceros curvisetus</w:t>
            </w:r>
          </w:p>
        </w:tc>
        <w:tc>
          <w:tcPr>
            <w:tcW w:w="683" w:type="pct"/>
            <w:noWrap/>
            <w:vAlign w:val="center"/>
          </w:tcPr>
          <w:p w14:paraId="646F6C9B">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6721E1B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145F1D40">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5EE6E3AA">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5</w:t>
            </w:r>
          </w:p>
        </w:tc>
        <w:tc>
          <w:tcPr>
            <w:tcW w:w="1085" w:type="pct"/>
            <w:vAlign w:val="center"/>
          </w:tcPr>
          <w:p w14:paraId="54192F6F">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硅藻门角毛藻属</w:t>
            </w:r>
          </w:p>
        </w:tc>
        <w:tc>
          <w:tcPr>
            <w:tcW w:w="1072" w:type="pct"/>
            <w:noWrap/>
            <w:vAlign w:val="center"/>
          </w:tcPr>
          <w:p w14:paraId="56C7843A">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柔弱角毛藻</w:t>
            </w:r>
          </w:p>
        </w:tc>
        <w:tc>
          <w:tcPr>
            <w:tcW w:w="1398" w:type="pct"/>
            <w:noWrap/>
            <w:vAlign w:val="center"/>
          </w:tcPr>
          <w:p w14:paraId="36686AE4">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Chaetoceros debilis</w:t>
            </w:r>
          </w:p>
        </w:tc>
        <w:tc>
          <w:tcPr>
            <w:tcW w:w="683" w:type="pct"/>
            <w:noWrap/>
            <w:vAlign w:val="center"/>
          </w:tcPr>
          <w:p w14:paraId="2022D418">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66A1E4D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5DDA7D42">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00D74860">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6</w:t>
            </w:r>
          </w:p>
        </w:tc>
        <w:tc>
          <w:tcPr>
            <w:tcW w:w="1085" w:type="pct"/>
            <w:vAlign w:val="center"/>
          </w:tcPr>
          <w:p w14:paraId="4C342F85">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硅藻门角毛藻属</w:t>
            </w:r>
          </w:p>
        </w:tc>
        <w:tc>
          <w:tcPr>
            <w:tcW w:w="1072" w:type="pct"/>
            <w:noWrap/>
            <w:vAlign w:val="center"/>
          </w:tcPr>
          <w:p w14:paraId="7BE58696">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北方角毛藻</w:t>
            </w:r>
          </w:p>
        </w:tc>
        <w:tc>
          <w:tcPr>
            <w:tcW w:w="1398" w:type="pct"/>
            <w:noWrap/>
            <w:vAlign w:val="center"/>
          </w:tcPr>
          <w:p w14:paraId="32CFB8A0">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Chaetoceros borealis</w:t>
            </w:r>
          </w:p>
        </w:tc>
        <w:tc>
          <w:tcPr>
            <w:tcW w:w="683" w:type="pct"/>
            <w:noWrap/>
            <w:vAlign w:val="center"/>
          </w:tcPr>
          <w:p w14:paraId="7A5D99C3">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2960240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266A0E88">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1EDDD958">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7</w:t>
            </w:r>
          </w:p>
        </w:tc>
        <w:tc>
          <w:tcPr>
            <w:tcW w:w="1085" w:type="pct"/>
            <w:vAlign w:val="center"/>
          </w:tcPr>
          <w:p w14:paraId="4670F7B6">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硅藻门角毛藻属</w:t>
            </w:r>
          </w:p>
        </w:tc>
        <w:tc>
          <w:tcPr>
            <w:tcW w:w="1072" w:type="pct"/>
            <w:noWrap/>
            <w:vAlign w:val="center"/>
          </w:tcPr>
          <w:p w14:paraId="52548A84">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暹罗角毛藻</w:t>
            </w:r>
          </w:p>
        </w:tc>
        <w:tc>
          <w:tcPr>
            <w:tcW w:w="1398" w:type="pct"/>
            <w:noWrap/>
            <w:vAlign w:val="center"/>
          </w:tcPr>
          <w:p w14:paraId="4F54A257">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Chaetoceros siamense</w:t>
            </w:r>
          </w:p>
        </w:tc>
        <w:tc>
          <w:tcPr>
            <w:tcW w:w="683" w:type="pct"/>
            <w:noWrap/>
            <w:vAlign w:val="center"/>
          </w:tcPr>
          <w:p w14:paraId="57FF3F6A">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140B2DE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15D622E4">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7F5C7917">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8</w:t>
            </w:r>
          </w:p>
        </w:tc>
        <w:tc>
          <w:tcPr>
            <w:tcW w:w="1085" w:type="pct"/>
            <w:vAlign w:val="center"/>
          </w:tcPr>
          <w:p w14:paraId="1B989B09">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硅藻门圆筛藻属</w:t>
            </w:r>
          </w:p>
        </w:tc>
        <w:tc>
          <w:tcPr>
            <w:tcW w:w="1072" w:type="pct"/>
            <w:noWrap/>
            <w:vAlign w:val="center"/>
          </w:tcPr>
          <w:p w14:paraId="60FDF483">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具边线型圆筛藻</w:t>
            </w:r>
          </w:p>
        </w:tc>
        <w:tc>
          <w:tcPr>
            <w:tcW w:w="1398" w:type="pct"/>
            <w:noWrap/>
            <w:vAlign w:val="center"/>
          </w:tcPr>
          <w:p w14:paraId="5DFF8D67">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Coscinodiscus marginato-lineatus</w:t>
            </w:r>
          </w:p>
        </w:tc>
        <w:tc>
          <w:tcPr>
            <w:tcW w:w="683" w:type="pct"/>
            <w:noWrap/>
            <w:vAlign w:val="center"/>
          </w:tcPr>
          <w:p w14:paraId="61315C3F">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72375A5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7540A69F">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5E8FE616">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9</w:t>
            </w:r>
          </w:p>
        </w:tc>
        <w:tc>
          <w:tcPr>
            <w:tcW w:w="1085" w:type="pct"/>
            <w:vAlign w:val="center"/>
          </w:tcPr>
          <w:p w14:paraId="1EC63D83">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硅藻门圆筛藻属</w:t>
            </w:r>
          </w:p>
        </w:tc>
        <w:tc>
          <w:tcPr>
            <w:tcW w:w="1072" w:type="pct"/>
            <w:noWrap/>
            <w:vAlign w:val="center"/>
          </w:tcPr>
          <w:p w14:paraId="7E45C450">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虹彩圆筛藻</w:t>
            </w:r>
          </w:p>
        </w:tc>
        <w:tc>
          <w:tcPr>
            <w:tcW w:w="1398" w:type="pct"/>
            <w:noWrap/>
            <w:vAlign w:val="center"/>
          </w:tcPr>
          <w:p w14:paraId="41CC42F2">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Coscinodiscus oculus-iridis</w:t>
            </w:r>
          </w:p>
        </w:tc>
        <w:tc>
          <w:tcPr>
            <w:tcW w:w="683" w:type="pct"/>
            <w:noWrap/>
            <w:vAlign w:val="center"/>
          </w:tcPr>
          <w:p w14:paraId="365D65E5">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2646161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48E3FA96">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1018523A">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10</w:t>
            </w:r>
          </w:p>
        </w:tc>
        <w:tc>
          <w:tcPr>
            <w:tcW w:w="1085" w:type="pct"/>
            <w:vAlign w:val="center"/>
          </w:tcPr>
          <w:p w14:paraId="6EBE05FF">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硅藻门小环藻属</w:t>
            </w:r>
          </w:p>
        </w:tc>
        <w:tc>
          <w:tcPr>
            <w:tcW w:w="1072" w:type="pct"/>
            <w:noWrap/>
            <w:vAlign w:val="center"/>
          </w:tcPr>
          <w:p w14:paraId="2CA36227">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条纹小环藻</w:t>
            </w:r>
          </w:p>
        </w:tc>
        <w:tc>
          <w:tcPr>
            <w:tcW w:w="1398" w:type="pct"/>
            <w:noWrap/>
            <w:vAlign w:val="center"/>
          </w:tcPr>
          <w:p w14:paraId="309E7AB8">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Cyclotella striata</w:t>
            </w:r>
          </w:p>
        </w:tc>
        <w:tc>
          <w:tcPr>
            <w:tcW w:w="683" w:type="pct"/>
            <w:noWrap/>
            <w:vAlign w:val="center"/>
          </w:tcPr>
          <w:p w14:paraId="498CE2E0">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75200C1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35783122">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2EC41B12">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11</w:t>
            </w:r>
          </w:p>
        </w:tc>
        <w:tc>
          <w:tcPr>
            <w:tcW w:w="1085" w:type="pct"/>
            <w:vAlign w:val="center"/>
          </w:tcPr>
          <w:p w14:paraId="7040FD05">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硅藻门筒柱藻属</w:t>
            </w:r>
          </w:p>
        </w:tc>
        <w:tc>
          <w:tcPr>
            <w:tcW w:w="1072" w:type="pct"/>
            <w:noWrap/>
            <w:vAlign w:val="center"/>
          </w:tcPr>
          <w:p w14:paraId="009D476B">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新月筒柱藻</w:t>
            </w:r>
          </w:p>
        </w:tc>
        <w:tc>
          <w:tcPr>
            <w:tcW w:w="1398" w:type="pct"/>
            <w:noWrap/>
            <w:vAlign w:val="center"/>
          </w:tcPr>
          <w:p w14:paraId="1B11B802">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Cylindrotheca closterium</w:t>
            </w:r>
          </w:p>
        </w:tc>
        <w:tc>
          <w:tcPr>
            <w:tcW w:w="683" w:type="pct"/>
            <w:noWrap/>
            <w:vAlign w:val="center"/>
          </w:tcPr>
          <w:p w14:paraId="1F46078A">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448C8D4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5392D2C3">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37EBBB7B">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12</w:t>
            </w:r>
          </w:p>
        </w:tc>
        <w:tc>
          <w:tcPr>
            <w:tcW w:w="1085" w:type="pct"/>
            <w:vAlign w:val="center"/>
          </w:tcPr>
          <w:p w14:paraId="35ECF86F">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硅藻门弯角藻属</w:t>
            </w:r>
          </w:p>
        </w:tc>
        <w:tc>
          <w:tcPr>
            <w:tcW w:w="1072" w:type="pct"/>
            <w:noWrap/>
            <w:vAlign w:val="center"/>
          </w:tcPr>
          <w:p w14:paraId="28265538">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短角弯角藻</w:t>
            </w:r>
          </w:p>
        </w:tc>
        <w:tc>
          <w:tcPr>
            <w:tcW w:w="1398" w:type="pct"/>
            <w:noWrap/>
            <w:vAlign w:val="center"/>
          </w:tcPr>
          <w:p w14:paraId="7FE8BE83">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Eucampia zodiacus</w:t>
            </w:r>
          </w:p>
        </w:tc>
        <w:tc>
          <w:tcPr>
            <w:tcW w:w="683" w:type="pct"/>
            <w:noWrap/>
            <w:vAlign w:val="center"/>
          </w:tcPr>
          <w:p w14:paraId="3CB5BB16">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2B16508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6F85C81F">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3FDBFD1F">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13</w:t>
            </w:r>
          </w:p>
        </w:tc>
        <w:tc>
          <w:tcPr>
            <w:tcW w:w="1085" w:type="pct"/>
            <w:vAlign w:val="center"/>
          </w:tcPr>
          <w:p w14:paraId="73D9E34C">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硅藻门几内亚藻属</w:t>
            </w:r>
          </w:p>
        </w:tc>
        <w:tc>
          <w:tcPr>
            <w:tcW w:w="1072" w:type="pct"/>
            <w:noWrap/>
            <w:vAlign w:val="center"/>
          </w:tcPr>
          <w:p w14:paraId="40147378">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薄壁几内亚藻</w:t>
            </w:r>
          </w:p>
        </w:tc>
        <w:tc>
          <w:tcPr>
            <w:tcW w:w="1398" w:type="pct"/>
            <w:noWrap/>
            <w:vAlign w:val="center"/>
          </w:tcPr>
          <w:p w14:paraId="5BDD6162">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Guinardia flaccida</w:t>
            </w:r>
          </w:p>
        </w:tc>
        <w:tc>
          <w:tcPr>
            <w:tcW w:w="683" w:type="pct"/>
            <w:noWrap/>
            <w:vAlign w:val="center"/>
          </w:tcPr>
          <w:p w14:paraId="1DBA88BC">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499F224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34D79EE3">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12F72807">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14</w:t>
            </w:r>
          </w:p>
        </w:tc>
        <w:tc>
          <w:tcPr>
            <w:tcW w:w="1085" w:type="pct"/>
            <w:vAlign w:val="center"/>
          </w:tcPr>
          <w:p w14:paraId="5A39F80A">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硅藻门几内亚藻属</w:t>
            </w:r>
          </w:p>
        </w:tc>
        <w:tc>
          <w:tcPr>
            <w:tcW w:w="1072" w:type="pct"/>
            <w:noWrap/>
            <w:vAlign w:val="center"/>
          </w:tcPr>
          <w:p w14:paraId="654B0B8A">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条纹几内亚藻</w:t>
            </w:r>
          </w:p>
        </w:tc>
        <w:tc>
          <w:tcPr>
            <w:tcW w:w="1398" w:type="pct"/>
            <w:noWrap/>
            <w:vAlign w:val="center"/>
          </w:tcPr>
          <w:p w14:paraId="7A8EAFAE">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Guinardia  striata</w:t>
            </w:r>
          </w:p>
        </w:tc>
        <w:tc>
          <w:tcPr>
            <w:tcW w:w="683" w:type="pct"/>
            <w:noWrap/>
            <w:vAlign w:val="center"/>
          </w:tcPr>
          <w:p w14:paraId="566A9EB9">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5D2897A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2C462E83">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151C583A">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15</w:t>
            </w:r>
          </w:p>
        </w:tc>
        <w:tc>
          <w:tcPr>
            <w:tcW w:w="1085" w:type="pct"/>
            <w:vAlign w:val="center"/>
          </w:tcPr>
          <w:p w14:paraId="6D7AF00C">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硅藻门半管藻属</w:t>
            </w:r>
          </w:p>
        </w:tc>
        <w:tc>
          <w:tcPr>
            <w:tcW w:w="1072" w:type="pct"/>
            <w:noWrap/>
            <w:vAlign w:val="center"/>
          </w:tcPr>
          <w:p w14:paraId="22BC6977">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膜质半管藻</w:t>
            </w:r>
          </w:p>
        </w:tc>
        <w:tc>
          <w:tcPr>
            <w:tcW w:w="1398" w:type="pct"/>
            <w:noWrap/>
            <w:vAlign w:val="center"/>
          </w:tcPr>
          <w:p w14:paraId="287181F5">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Hemiaulus membranacus</w:t>
            </w:r>
          </w:p>
        </w:tc>
        <w:tc>
          <w:tcPr>
            <w:tcW w:w="683" w:type="pct"/>
            <w:noWrap/>
            <w:vAlign w:val="center"/>
          </w:tcPr>
          <w:p w14:paraId="270F6C42">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374ECD0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2F20C6F2">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5D63D81E">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16</w:t>
            </w:r>
          </w:p>
        </w:tc>
        <w:tc>
          <w:tcPr>
            <w:tcW w:w="1085" w:type="pct"/>
            <w:vAlign w:val="center"/>
          </w:tcPr>
          <w:p w14:paraId="502BC68C">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硅藻门娄氏藻属</w:t>
            </w:r>
          </w:p>
        </w:tc>
        <w:tc>
          <w:tcPr>
            <w:tcW w:w="1072" w:type="pct"/>
            <w:noWrap/>
            <w:vAlign w:val="center"/>
          </w:tcPr>
          <w:p w14:paraId="1F35EC63">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环纹娄氏藻</w:t>
            </w:r>
          </w:p>
        </w:tc>
        <w:tc>
          <w:tcPr>
            <w:tcW w:w="1398" w:type="pct"/>
            <w:noWrap/>
            <w:vAlign w:val="center"/>
          </w:tcPr>
          <w:p w14:paraId="30AECEBA">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Lauderia annulata</w:t>
            </w:r>
          </w:p>
        </w:tc>
        <w:tc>
          <w:tcPr>
            <w:tcW w:w="683" w:type="pct"/>
            <w:noWrap/>
            <w:vAlign w:val="center"/>
          </w:tcPr>
          <w:p w14:paraId="2A70463C">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44D3818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18DE27AF">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40867698">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17</w:t>
            </w:r>
          </w:p>
        </w:tc>
        <w:tc>
          <w:tcPr>
            <w:tcW w:w="1085" w:type="pct"/>
            <w:vAlign w:val="center"/>
          </w:tcPr>
          <w:p w14:paraId="5EF286EF">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硅藻门细柱藻属</w:t>
            </w:r>
          </w:p>
        </w:tc>
        <w:tc>
          <w:tcPr>
            <w:tcW w:w="1072" w:type="pct"/>
            <w:noWrap/>
            <w:vAlign w:val="center"/>
          </w:tcPr>
          <w:p w14:paraId="117B58E1">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丹麦细柱藻</w:t>
            </w:r>
          </w:p>
        </w:tc>
        <w:tc>
          <w:tcPr>
            <w:tcW w:w="1398" w:type="pct"/>
            <w:noWrap/>
            <w:vAlign w:val="center"/>
          </w:tcPr>
          <w:p w14:paraId="6396B539">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Leptocylindrus danicus</w:t>
            </w:r>
          </w:p>
        </w:tc>
        <w:tc>
          <w:tcPr>
            <w:tcW w:w="683" w:type="pct"/>
            <w:noWrap/>
            <w:vAlign w:val="center"/>
          </w:tcPr>
          <w:p w14:paraId="1DC9F511">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6792BD1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7C54B781">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26260C11">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18</w:t>
            </w:r>
          </w:p>
        </w:tc>
        <w:tc>
          <w:tcPr>
            <w:tcW w:w="1085" w:type="pct"/>
            <w:vAlign w:val="center"/>
          </w:tcPr>
          <w:p w14:paraId="601733E9">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硅藻门直链藻属</w:t>
            </w:r>
          </w:p>
        </w:tc>
        <w:tc>
          <w:tcPr>
            <w:tcW w:w="1072" w:type="pct"/>
            <w:noWrap/>
            <w:vAlign w:val="center"/>
          </w:tcPr>
          <w:p w14:paraId="2F8F5836">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念珠直链藻</w:t>
            </w:r>
          </w:p>
        </w:tc>
        <w:tc>
          <w:tcPr>
            <w:tcW w:w="1398" w:type="pct"/>
            <w:noWrap/>
            <w:vAlign w:val="center"/>
          </w:tcPr>
          <w:p w14:paraId="624C2729">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Melosira moniliformis</w:t>
            </w:r>
          </w:p>
        </w:tc>
        <w:tc>
          <w:tcPr>
            <w:tcW w:w="683" w:type="pct"/>
            <w:noWrap/>
            <w:vAlign w:val="center"/>
          </w:tcPr>
          <w:p w14:paraId="2C8DEECF">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78FE9C5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7514F485">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546D3942">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19</w:t>
            </w:r>
          </w:p>
        </w:tc>
        <w:tc>
          <w:tcPr>
            <w:tcW w:w="1085" w:type="pct"/>
            <w:vAlign w:val="center"/>
          </w:tcPr>
          <w:p w14:paraId="4C1A7F4B">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硅藻门缪氏藻属</w:t>
            </w:r>
          </w:p>
        </w:tc>
        <w:tc>
          <w:tcPr>
            <w:tcW w:w="1072" w:type="pct"/>
            <w:noWrap/>
            <w:vAlign w:val="center"/>
          </w:tcPr>
          <w:p w14:paraId="3EBDB11C">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膜状缪氏藻</w:t>
            </w:r>
          </w:p>
        </w:tc>
        <w:tc>
          <w:tcPr>
            <w:tcW w:w="1398" w:type="pct"/>
            <w:noWrap/>
            <w:vAlign w:val="center"/>
          </w:tcPr>
          <w:p w14:paraId="0EE6E403">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Meuniera membranacea</w:t>
            </w:r>
          </w:p>
        </w:tc>
        <w:tc>
          <w:tcPr>
            <w:tcW w:w="683" w:type="pct"/>
            <w:noWrap/>
            <w:vAlign w:val="center"/>
          </w:tcPr>
          <w:p w14:paraId="37B872D8">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6FE9481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48A18014">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679861D3">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20</w:t>
            </w:r>
          </w:p>
        </w:tc>
        <w:tc>
          <w:tcPr>
            <w:tcW w:w="1085" w:type="pct"/>
            <w:vAlign w:val="center"/>
          </w:tcPr>
          <w:p w14:paraId="15FB6C6A">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硅藻门斜纹藻属</w:t>
            </w:r>
          </w:p>
        </w:tc>
        <w:tc>
          <w:tcPr>
            <w:tcW w:w="1072" w:type="pct"/>
            <w:noWrap/>
            <w:vAlign w:val="center"/>
          </w:tcPr>
          <w:p w14:paraId="2F884E3A">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艾希斜纹藻</w:t>
            </w:r>
          </w:p>
        </w:tc>
        <w:tc>
          <w:tcPr>
            <w:tcW w:w="1398" w:type="pct"/>
            <w:noWrap/>
            <w:vAlign w:val="center"/>
          </w:tcPr>
          <w:p w14:paraId="29CFA0D6">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Pieurosigma aestuarii</w:t>
            </w:r>
          </w:p>
        </w:tc>
        <w:tc>
          <w:tcPr>
            <w:tcW w:w="683" w:type="pct"/>
            <w:noWrap/>
            <w:vAlign w:val="center"/>
          </w:tcPr>
          <w:p w14:paraId="0325D7AF">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1CEA3A9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438DC15E">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61514ED2">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21</w:t>
            </w:r>
          </w:p>
        </w:tc>
        <w:tc>
          <w:tcPr>
            <w:tcW w:w="1085" w:type="pct"/>
            <w:vAlign w:val="center"/>
          </w:tcPr>
          <w:p w14:paraId="25A4D98D">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硅藻门拟菱形藻属</w:t>
            </w:r>
          </w:p>
        </w:tc>
        <w:tc>
          <w:tcPr>
            <w:tcW w:w="1072" w:type="pct"/>
            <w:noWrap/>
            <w:vAlign w:val="center"/>
          </w:tcPr>
          <w:p w14:paraId="42CC0E4F">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柔弱拟菱形藻</w:t>
            </w:r>
          </w:p>
        </w:tc>
        <w:tc>
          <w:tcPr>
            <w:tcW w:w="1398" w:type="pct"/>
            <w:noWrap/>
            <w:vAlign w:val="center"/>
          </w:tcPr>
          <w:p w14:paraId="6DD70882">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Pseudo-nitzschia delicatissima</w:t>
            </w:r>
          </w:p>
        </w:tc>
        <w:tc>
          <w:tcPr>
            <w:tcW w:w="683" w:type="pct"/>
            <w:noWrap/>
            <w:vAlign w:val="center"/>
          </w:tcPr>
          <w:p w14:paraId="56AF0E82">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3A00FBD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569D465B">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3397EDCF">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22</w:t>
            </w:r>
          </w:p>
        </w:tc>
        <w:tc>
          <w:tcPr>
            <w:tcW w:w="1085" w:type="pct"/>
            <w:vAlign w:val="center"/>
          </w:tcPr>
          <w:p w14:paraId="659FC8E2">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硅藻门拟菱形藻属</w:t>
            </w:r>
          </w:p>
        </w:tc>
        <w:tc>
          <w:tcPr>
            <w:tcW w:w="1072" w:type="pct"/>
            <w:noWrap/>
            <w:vAlign w:val="center"/>
          </w:tcPr>
          <w:p w14:paraId="091BE5F7">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尖刺拟菱形藻</w:t>
            </w:r>
          </w:p>
        </w:tc>
        <w:tc>
          <w:tcPr>
            <w:tcW w:w="1398" w:type="pct"/>
            <w:noWrap/>
            <w:vAlign w:val="center"/>
          </w:tcPr>
          <w:p w14:paraId="05CEF223">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Pseudo-nitzschia pungens</w:t>
            </w:r>
          </w:p>
        </w:tc>
        <w:tc>
          <w:tcPr>
            <w:tcW w:w="683" w:type="pct"/>
            <w:noWrap/>
            <w:vAlign w:val="center"/>
          </w:tcPr>
          <w:p w14:paraId="3037152D">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6C62D8F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281A652C">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18BAECEE">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23</w:t>
            </w:r>
          </w:p>
        </w:tc>
        <w:tc>
          <w:tcPr>
            <w:tcW w:w="1085" w:type="pct"/>
            <w:vAlign w:val="center"/>
          </w:tcPr>
          <w:p w14:paraId="0EC94334">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硅藻门根管藻属</w:t>
            </w:r>
          </w:p>
        </w:tc>
        <w:tc>
          <w:tcPr>
            <w:tcW w:w="1072" w:type="pct"/>
            <w:noWrap/>
            <w:vAlign w:val="center"/>
          </w:tcPr>
          <w:p w14:paraId="51A75D0A">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翼根管藻纤细变型</w:t>
            </w:r>
          </w:p>
        </w:tc>
        <w:tc>
          <w:tcPr>
            <w:tcW w:w="1398" w:type="pct"/>
            <w:noWrap/>
            <w:vAlign w:val="center"/>
          </w:tcPr>
          <w:p w14:paraId="5330156D">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Rhizosolenia alata</w:t>
            </w:r>
            <w:r>
              <w:rPr>
                <w:color w:val="000000" w:themeColor="text1"/>
                <w:kern w:val="0"/>
                <w:sz w:val="21"/>
                <w:szCs w:val="21"/>
                <w14:textFill>
                  <w14:solidFill>
                    <w14:schemeClr w14:val="tx1"/>
                  </w14:solidFill>
                </w14:textFill>
              </w:rPr>
              <w:t xml:space="preserve"> f. </w:t>
            </w:r>
            <w:r>
              <w:rPr>
                <w:i/>
                <w:iCs/>
                <w:color w:val="000000" w:themeColor="text1"/>
                <w:kern w:val="0"/>
                <w:sz w:val="21"/>
                <w:szCs w:val="21"/>
                <w14:textFill>
                  <w14:solidFill>
                    <w14:schemeClr w14:val="tx1"/>
                  </w14:solidFill>
                </w14:textFill>
              </w:rPr>
              <w:t>gracillima</w:t>
            </w:r>
          </w:p>
        </w:tc>
        <w:tc>
          <w:tcPr>
            <w:tcW w:w="683" w:type="pct"/>
            <w:noWrap/>
            <w:vAlign w:val="center"/>
          </w:tcPr>
          <w:p w14:paraId="27C484CE">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4E94169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6F209B6A">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55B10021">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24</w:t>
            </w:r>
          </w:p>
        </w:tc>
        <w:tc>
          <w:tcPr>
            <w:tcW w:w="1085" w:type="pct"/>
            <w:vAlign w:val="center"/>
          </w:tcPr>
          <w:p w14:paraId="7F83F357">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硅藻门根管藻属</w:t>
            </w:r>
          </w:p>
        </w:tc>
        <w:tc>
          <w:tcPr>
            <w:tcW w:w="1072" w:type="pct"/>
            <w:noWrap/>
            <w:vAlign w:val="center"/>
          </w:tcPr>
          <w:p w14:paraId="1CC8AFC6">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柔弱根管藻</w:t>
            </w:r>
          </w:p>
        </w:tc>
        <w:tc>
          <w:tcPr>
            <w:tcW w:w="1398" w:type="pct"/>
            <w:noWrap/>
            <w:vAlign w:val="center"/>
          </w:tcPr>
          <w:p w14:paraId="53F4E005">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Rhizosolenia delicatula</w:t>
            </w:r>
          </w:p>
        </w:tc>
        <w:tc>
          <w:tcPr>
            <w:tcW w:w="683" w:type="pct"/>
            <w:noWrap/>
            <w:vAlign w:val="center"/>
          </w:tcPr>
          <w:p w14:paraId="75DB016D">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3146825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7221E1EC">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73198859">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25</w:t>
            </w:r>
          </w:p>
        </w:tc>
        <w:tc>
          <w:tcPr>
            <w:tcW w:w="1085" w:type="pct"/>
            <w:vAlign w:val="center"/>
          </w:tcPr>
          <w:p w14:paraId="05D3663A">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硅藻门根管藻属</w:t>
            </w:r>
          </w:p>
        </w:tc>
        <w:tc>
          <w:tcPr>
            <w:tcW w:w="1072" w:type="pct"/>
            <w:noWrap/>
            <w:vAlign w:val="center"/>
          </w:tcPr>
          <w:p w14:paraId="1E2D8536">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脆根管藻</w:t>
            </w:r>
          </w:p>
        </w:tc>
        <w:tc>
          <w:tcPr>
            <w:tcW w:w="1398" w:type="pct"/>
            <w:noWrap/>
            <w:vAlign w:val="center"/>
          </w:tcPr>
          <w:p w14:paraId="531C66C1">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Rhizosolenia fragilissima</w:t>
            </w:r>
          </w:p>
        </w:tc>
        <w:tc>
          <w:tcPr>
            <w:tcW w:w="683" w:type="pct"/>
            <w:noWrap/>
            <w:vAlign w:val="center"/>
          </w:tcPr>
          <w:p w14:paraId="3A6B0A87">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6AF6EAB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3096EBDF">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7CF36D51">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26</w:t>
            </w:r>
          </w:p>
        </w:tc>
        <w:tc>
          <w:tcPr>
            <w:tcW w:w="1085" w:type="pct"/>
            <w:vAlign w:val="center"/>
          </w:tcPr>
          <w:p w14:paraId="6284CE59">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硅藻门根管藻属</w:t>
            </w:r>
          </w:p>
        </w:tc>
        <w:tc>
          <w:tcPr>
            <w:tcW w:w="1072" w:type="pct"/>
            <w:noWrap/>
            <w:vAlign w:val="center"/>
          </w:tcPr>
          <w:p w14:paraId="73254C69">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中华根管藻</w:t>
            </w:r>
          </w:p>
        </w:tc>
        <w:tc>
          <w:tcPr>
            <w:tcW w:w="1398" w:type="pct"/>
            <w:noWrap/>
            <w:vAlign w:val="center"/>
          </w:tcPr>
          <w:p w14:paraId="3ABCDE53">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Rhizosolenia sinensis</w:t>
            </w:r>
          </w:p>
        </w:tc>
        <w:tc>
          <w:tcPr>
            <w:tcW w:w="683" w:type="pct"/>
            <w:noWrap/>
            <w:vAlign w:val="center"/>
          </w:tcPr>
          <w:p w14:paraId="386845EF">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7094011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5DA9C4D6">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738DE777">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27</w:t>
            </w:r>
          </w:p>
        </w:tc>
        <w:tc>
          <w:tcPr>
            <w:tcW w:w="1085" w:type="pct"/>
            <w:vAlign w:val="center"/>
          </w:tcPr>
          <w:p w14:paraId="2EE0E8C5">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硅藻门根管藻属</w:t>
            </w:r>
          </w:p>
        </w:tc>
        <w:tc>
          <w:tcPr>
            <w:tcW w:w="1072" w:type="pct"/>
            <w:noWrap/>
            <w:vAlign w:val="center"/>
          </w:tcPr>
          <w:p w14:paraId="0FD352B0">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刚毛根管藻</w:t>
            </w:r>
          </w:p>
        </w:tc>
        <w:tc>
          <w:tcPr>
            <w:tcW w:w="1398" w:type="pct"/>
            <w:noWrap/>
            <w:vAlign w:val="center"/>
          </w:tcPr>
          <w:p w14:paraId="570CA4B9">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Rhizosolenia setigera</w:t>
            </w:r>
          </w:p>
        </w:tc>
        <w:tc>
          <w:tcPr>
            <w:tcW w:w="683" w:type="pct"/>
            <w:noWrap/>
            <w:vAlign w:val="center"/>
          </w:tcPr>
          <w:p w14:paraId="114788EF">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428F3E1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5C697B12">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3F49E39F">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28</w:t>
            </w:r>
          </w:p>
        </w:tc>
        <w:tc>
          <w:tcPr>
            <w:tcW w:w="1085" w:type="pct"/>
            <w:vAlign w:val="center"/>
          </w:tcPr>
          <w:p w14:paraId="02C565C8">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硅藻门骨条藻属</w:t>
            </w:r>
          </w:p>
        </w:tc>
        <w:tc>
          <w:tcPr>
            <w:tcW w:w="1072" w:type="pct"/>
            <w:noWrap/>
            <w:vAlign w:val="center"/>
          </w:tcPr>
          <w:p w14:paraId="5B0F7C6C">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中肋骨条藻</w:t>
            </w:r>
          </w:p>
        </w:tc>
        <w:tc>
          <w:tcPr>
            <w:tcW w:w="1398" w:type="pct"/>
            <w:noWrap/>
            <w:vAlign w:val="center"/>
          </w:tcPr>
          <w:p w14:paraId="054AB325">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Skeletonema costatum</w:t>
            </w:r>
          </w:p>
        </w:tc>
        <w:tc>
          <w:tcPr>
            <w:tcW w:w="683" w:type="pct"/>
            <w:noWrap/>
            <w:vAlign w:val="center"/>
          </w:tcPr>
          <w:p w14:paraId="4DE93613">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5FECF13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5FFA5DF7">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56637904">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29</w:t>
            </w:r>
          </w:p>
        </w:tc>
        <w:tc>
          <w:tcPr>
            <w:tcW w:w="1085" w:type="pct"/>
            <w:vAlign w:val="center"/>
          </w:tcPr>
          <w:p w14:paraId="73209C90">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硅藻门海线藻属</w:t>
            </w:r>
          </w:p>
        </w:tc>
        <w:tc>
          <w:tcPr>
            <w:tcW w:w="1072" w:type="pct"/>
            <w:noWrap/>
            <w:vAlign w:val="center"/>
          </w:tcPr>
          <w:p w14:paraId="6BC61CD8">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菱形海线藻</w:t>
            </w:r>
          </w:p>
        </w:tc>
        <w:tc>
          <w:tcPr>
            <w:tcW w:w="1398" w:type="pct"/>
            <w:noWrap/>
            <w:vAlign w:val="center"/>
          </w:tcPr>
          <w:p w14:paraId="169EF0E2">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Thalassionema nitzschioides</w:t>
            </w:r>
          </w:p>
        </w:tc>
        <w:tc>
          <w:tcPr>
            <w:tcW w:w="683" w:type="pct"/>
            <w:noWrap/>
            <w:vAlign w:val="center"/>
          </w:tcPr>
          <w:p w14:paraId="266179C2">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071B226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1C45A0AA">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1CB68DD2">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30</w:t>
            </w:r>
          </w:p>
        </w:tc>
        <w:tc>
          <w:tcPr>
            <w:tcW w:w="1085" w:type="pct"/>
            <w:vAlign w:val="center"/>
          </w:tcPr>
          <w:p w14:paraId="404947C0">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硅藻门海毛藻属</w:t>
            </w:r>
          </w:p>
        </w:tc>
        <w:tc>
          <w:tcPr>
            <w:tcW w:w="1072" w:type="pct"/>
            <w:noWrap/>
            <w:vAlign w:val="center"/>
          </w:tcPr>
          <w:p w14:paraId="6AF6F092">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佛氏海毛藻</w:t>
            </w:r>
          </w:p>
        </w:tc>
        <w:tc>
          <w:tcPr>
            <w:tcW w:w="1398" w:type="pct"/>
            <w:noWrap/>
            <w:vAlign w:val="center"/>
          </w:tcPr>
          <w:p w14:paraId="3296285C">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Thalassiothrix frauenfeldii</w:t>
            </w:r>
          </w:p>
        </w:tc>
        <w:tc>
          <w:tcPr>
            <w:tcW w:w="683" w:type="pct"/>
            <w:noWrap/>
            <w:vAlign w:val="center"/>
          </w:tcPr>
          <w:p w14:paraId="33D69D1B">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1A3DFF2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06A118A8">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5A3DACF5">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31</w:t>
            </w:r>
          </w:p>
        </w:tc>
        <w:tc>
          <w:tcPr>
            <w:tcW w:w="1085" w:type="pct"/>
            <w:vAlign w:val="center"/>
          </w:tcPr>
          <w:p w14:paraId="3AB481F7">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硅藻门海链藻属</w:t>
            </w:r>
          </w:p>
        </w:tc>
        <w:tc>
          <w:tcPr>
            <w:tcW w:w="1072" w:type="pct"/>
            <w:noWrap/>
            <w:vAlign w:val="center"/>
          </w:tcPr>
          <w:p w14:paraId="675436FA">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圆海链藻</w:t>
            </w:r>
          </w:p>
        </w:tc>
        <w:tc>
          <w:tcPr>
            <w:tcW w:w="1398" w:type="pct"/>
            <w:noWrap/>
            <w:vAlign w:val="center"/>
          </w:tcPr>
          <w:p w14:paraId="4D3D8757">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Thalassiosira rotula</w:t>
            </w:r>
          </w:p>
        </w:tc>
        <w:tc>
          <w:tcPr>
            <w:tcW w:w="683" w:type="pct"/>
            <w:noWrap/>
            <w:vAlign w:val="center"/>
          </w:tcPr>
          <w:p w14:paraId="027FBC7A">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4B7A841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0BFDFDD9">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69579256">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32</w:t>
            </w:r>
          </w:p>
        </w:tc>
        <w:tc>
          <w:tcPr>
            <w:tcW w:w="1085" w:type="pct"/>
            <w:vAlign w:val="center"/>
          </w:tcPr>
          <w:p w14:paraId="67549BFA">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甲藻门原甲藻属</w:t>
            </w:r>
          </w:p>
        </w:tc>
        <w:tc>
          <w:tcPr>
            <w:tcW w:w="1072" w:type="pct"/>
            <w:noWrap/>
            <w:vAlign w:val="center"/>
          </w:tcPr>
          <w:p w14:paraId="78A5FE00">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海洋原甲藻</w:t>
            </w:r>
          </w:p>
        </w:tc>
        <w:tc>
          <w:tcPr>
            <w:tcW w:w="1398" w:type="pct"/>
            <w:noWrap/>
            <w:vAlign w:val="center"/>
          </w:tcPr>
          <w:p w14:paraId="53436E47">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Prorocentium micans</w:t>
            </w:r>
          </w:p>
        </w:tc>
        <w:tc>
          <w:tcPr>
            <w:tcW w:w="683" w:type="pct"/>
            <w:noWrap/>
            <w:vAlign w:val="center"/>
          </w:tcPr>
          <w:p w14:paraId="6055A6E4">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783AA3C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restart"/>
            <w:noWrap/>
            <w:vAlign w:val="center"/>
          </w:tcPr>
          <w:p w14:paraId="41967F5B">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S2</w:t>
            </w:r>
          </w:p>
        </w:tc>
        <w:tc>
          <w:tcPr>
            <w:tcW w:w="403" w:type="pct"/>
            <w:noWrap/>
            <w:vAlign w:val="center"/>
          </w:tcPr>
          <w:p w14:paraId="58F82F15">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w:t>
            </w:r>
          </w:p>
        </w:tc>
        <w:tc>
          <w:tcPr>
            <w:tcW w:w="1085" w:type="pct"/>
            <w:vAlign w:val="center"/>
          </w:tcPr>
          <w:p w14:paraId="10FCCD0B">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硅藻门角毛藻属</w:t>
            </w:r>
          </w:p>
        </w:tc>
        <w:tc>
          <w:tcPr>
            <w:tcW w:w="1072" w:type="pct"/>
            <w:noWrap/>
            <w:vAlign w:val="center"/>
          </w:tcPr>
          <w:p w14:paraId="7A237EAB">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旋链角毛藻</w:t>
            </w:r>
          </w:p>
        </w:tc>
        <w:tc>
          <w:tcPr>
            <w:tcW w:w="1398" w:type="pct"/>
            <w:noWrap/>
            <w:vAlign w:val="center"/>
          </w:tcPr>
          <w:p w14:paraId="30FF6AAA">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Chaetoceros curvisetus</w:t>
            </w:r>
          </w:p>
        </w:tc>
        <w:tc>
          <w:tcPr>
            <w:tcW w:w="683" w:type="pct"/>
            <w:noWrap/>
            <w:vAlign w:val="center"/>
          </w:tcPr>
          <w:p w14:paraId="42BFF366">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33675F9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0A1947E1">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39F35811">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w:t>
            </w:r>
          </w:p>
        </w:tc>
        <w:tc>
          <w:tcPr>
            <w:tcW w:w="1085" w:type="pct"/>
            <w:vAlign w:val="center"/>
          </w:tcPr>
          <w:p w14:paraId="125D0F52">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硅藻门角毛藻属</w:t>
            </w:r>
          </w:p>
        </w:tc>
        <w:tc>
          <w:tcPr>
            <w:tcW w:w="1072" w:type="pct"/>
            <w:noWrap/>
            <w:vAlign w:val="center"/>
          </w:tcPr>
          <w:p w14:paraId="0637E746">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垂缘角毛藻</w:t>
            </w:r>
          </w:p>
        </w:tc>
        <w:tc>
          <w:tcPr>
            <w:tcW w:w="1398" w:type="pct"/>
            <w:noWrap/>
            <w:vAlign w:val="center"/>
          </w:tcPr>
          <w:p w14:paraId="34985C54">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Chaetoceros laciniosus</w:t>
            </w:r>
          </w:p>
        </w:tc>
        <w:tc>
          <w:tcPr>
            <w:tcW w:w="683" w:type="pct"/>
            <w:noWrap/>
            <w:vAlign w:val="center"/>
          </w:tcPr>
          <w:p w14:paraId="221A0419">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34FC0B3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3F5484F2">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3C4C7575">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w:t>
            </w:r>
          </w:p>
        </w:tc>
        <w:tc>
          <w:tcPr>
            <w:tcW w:w="1085" w:type="pct"/>
            <w:vAlign w:val="center"/>
          </w:tcPr>
          <w:p w14:paraId="05E17F93">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硅藻门角管藻属</w:t>
            </w:r>
          </w:p>
        </w:tc>
        <w:tc>
          <w:tcPr>
            <w:tcW w:w="1072" w:type="pct"/>
            <w:noWrap/>
            <w:vAlign w:val="center"/>
          </w:tcPr>
          <w:p w14:paraId="656F7719">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大洋角管藻</w:t>
            </w:r>
          </w:p>
        </w:tc>
        <w:tc>
          <w:tcPr>
            <w:tcW w:w="1398" w:type="pct"/>
            <w:noWrap/>
            <w:vAlign w:val="center"/>
          </w:tcPr>
          <w:p w14:paraId="195C5434">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Cerataulina pelagica</w:t>
            </w:r>
          </w:p>
        </w:tc>
        <w:tc>
          <w:tcPr>
            <w:tcW w:w="683" w:type="pct"/>
            <w:noWrap/>
            <w:vAlign w:val="center"/>
          </w:tcPr>
          <w:p w14:paraId="230F3AE6">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3B6BE1F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62E67C33">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6348A1F2">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4</w:t>
            </w:r>
          </w:p>
        </w:tc>
        <w:tc>
          <w:tcPr>
            <w:tcW w:w="1085" w:type="pct"/>
            <w:vAlign w:val="center"/>
          </w:tcPr>
          <w:p w14:paraId="6FF86B01">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硅藻门小环藻属</w:t>
            </w:r>
          </w:p>
        </w:tc>
        <w:tc>
          <w:tcPr>
            <w:tcW w:w="1072" w:type="pct"/>
            <w:noWrap/>
            <w:vAlign w:val="center"/>
          </w:tcPr>
          <w:p w14:paraId="31D99A80">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条纹小环藻</w:t>
            </w:r>
          </w:p>
        </w:tc>
        <w:tc>
          <w:tcPr>
            <w:tcW w:w="1398" w:type="pct"/>
            <w:noWrap/>
            <w:vAlign w:val="center"/>
          </w:tcPr>
          <w:p w14:paraId="24612448">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Cyclotella striata</w:t>
            </w:r>
          </w:p>
        </w:tc>
        <w:tc>
          <w:tcPr>
            <w:tcW w:w="683" w:type="pct"/>
            <w:noWrap/>
            <w:vAlign w:val="center"/>
          </w:tcPr>
          <w:p w14:paraId="01207570">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446BF39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2592B882">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68862140">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5</w:t>
            </w:r>
          </w:p>
        </w:tc>
        <w:tc>
          <w:tcPr>
            <w:tcW w:w="1085" w:type="pct"/>
            <w:vAlign w:val="center"/>
          </w:tcPr>
          <w:p w14:paraId="7BF4FFFB">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硅藻门筒柱藻属</w:t>
            </w:r>
          </w:p>
        </w:tc>
        <w:tc>
          <w:tcPr>
            <w:tcW w:w="1072" w:type="pct"/>
            <w:noWrap/>
            <w:vAlign w:val="center"/>
          </w:tcPr>
          <w:p w14:paraId="5B1FCCF4">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新月筒柱藻</w:t>
            </w:r>
          </w:p>
        </w:tc>
        <w:tc>
          <w:tcPr>
            <w:tcW w:w="1398" w:type="pct"/>
            <w:noWrap/>
            <w:vAlign w:val="center"/>
          </w:tcPr>
          <w:p w14:paraId="081BA35B">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Cylindrotheca closterium</w:t>
            </w:r>
          </w:p>
        </w:tc>
        <w:tc>
          <w:tcPr>
            <w:tcW w:w="683" w:type="pct"/>
            <w:noWrap/>
            <w:vAlign w:val="center"/>
          </w:tcPr>
          <w:p w14:paraId="19B4495D">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54AC16C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2A2CE137">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7E8D3A92">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6</w:t>
            </w:r>
          </w:p>
        </w:tc>
        <w:tc>
          <w:tcPr>
            <w:tcW w:w="1085" w:type="pct"/>
            <w:vAlign w:val="center"/>
          </w:tcPr>
          <w:p w14:paraId="5BEFFF71">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硅藻门双尾藻属</w:t>
            </w:r>
          </w:p>
        </w:tc>
        <w:tc>
          <w:tcPr>
            <w:tcW w:w="1072" w:type="pct"/>
            <w:noWrap/>
            <w:vAlign w:val="center"/>
          </w:tcPr>
          <w:p w14:paraId="02EC48FC">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布氏双尾藻</w:t>
            </w:r>
          </w:p>
        </w:tc>
        <w:tc>
          <w:tcPr>
            <w:tcW w:w="1398" w:type="pct"/>
            <w:noWrap/>
            <w:vAlign w:val="center"/>
          </w:tcPr>
          <w:p w14:paraId="0B7F2AD6">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Ditylum brightwellii</w:t>
            </w:r>
          </w:p>
        </w:tc>
        <w:tc>
          <w:tcPr>
            <w:tcW w:w="683" w:type="pct"/>
            <w:noWrap/>
            <w:vAlign w:val="center"/>
          </w:tcPr>
          <w:p w14:paraId="4BE3B2AD">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4E8290F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38FDA6D2">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3B83A5B1">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7</w:t>
            </w:r>
          </w:p>
        </w:tc>
        <w:tc>
          <w:tcPr>
            <w:tcW w:w="1085" w:type="pct"/>
            <w:vAlign w:val="center"/>
          </w:tcPr>
          <w:p w14:paraId="7BC035AA">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硅藻门几内亚藻属</w:t>
            </w:r>
          </w:p>
        </w:tc>
        <w:tc>
          <w:tcPr>
            <w:tcW w:w="1072" w:type="pct"/>
            <w:noWrap/>
            <w:vAlign w:val="center"/>
          </w:tcPr>
          <w:p w14:paraId="008DEF73">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条纹几内亚藻</w:t>
            </w:r>
          </w:p>
        </w:tc>
        <w:tc>
          <w:tcPr>
            <w:tcW w:w="1398" w:type="pct"/>
            <w:noWrap/>
            <w:vAlign w:val="center"/>
          </w:tcPr>
          <w:p w14:paraId="24D4ED6A">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Guinardia  striata</w:t>
            </w:r>
          </w:p>
        </w:tc>
        <w:tc>
          <w:tcPr>
            <w:tcW w:w="683" w:type="pct"/>
            <w:noWrap/>
            <w:vAlign w:val="center"/>
          </w:tcPr>
          <w:p w14:paraId="0A1CEB4F">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28963B0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157D4447">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49261D5D">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8</w:t>
            </w:r>
          </w:p>
        </w:tc>
        <w:tc>
          <w:tcPr>
            <w:tcW w:w="1085" w:type="pct"/>
            <w:vAlign w:val="center"/>
          </w:tcPr>
          <w:p w14:paraId="728EB36D">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硅藻门半管藻属</w:t>
            </w:r>
          </w:p>
        </w:tc>
        <w:tc>
          <w:tcPr>
            <w:tcW w:w="1072" w:type="pct"/>
            <w:noWrap/>
            <w:vAlign w:val="center"/>
          </w:tcPr>
          <w:p w14:paraId="669F4287">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中华半管藻</w:t>
            </w:r>
          </w:p>
        </w:tc>
        <w:tc>
          <w:tcPr>
            <w:tcW w:w="1398" w:type="pct"/>
            <w:noWrap/>
            <w:vAlign w:val="center"/>
          </w:tcPr>
          <w:p w14:paraId="1740F6F3">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Hemiaulus sinensis</w:t>
            </w:r>
          </w:p>
        </w:tc>
        <w:tc>
          <w:tcPr>
            <w:tcW w:w="683" w:type="pct"/>
            <w:noWrap/>
            <w:vAlign w:val="center"/>
          </w:tcPr>
          <w:p w14:paraId="11F732A3">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11A0CFE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3D4DF386">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173E15FF">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9</w:t>
            </w:r>
          </w:p>
        </w:tc>
        <w:tc>
          <w:tcPr>
            <w:tcW w:w="1085" w:type="pct"/>
            <w:vAlign w:val="center"/>
          </w:tcPr>
          <w:p w14:paraId="6291F46F">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硅藻门半管藻属</w:t>
            </w:r>
          </w:p>
        </w:tc>
        <w:tc>
          <w:tcPr>
            <w:tcW w:w="1072" w:type="pct"/>
            <w:noWrap/>
            <w:vAlign w:val="center"/>
          </w:tcPr>
          <w:p w14:paraId="722765CB">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膜质半管藻</w:t>
            </w:r>
          </w:p>
        </w:tc>
        <w:tc>
          <w:tcPr>
            <w:tcW w:w="1398" w:type="pct"/>
            <w:noWrap/>
            <w:vAlign w:val="center"/>
          </w:tcPr>
          <w:p w14:paraId="006D2769">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Hemiaulus membranacus</w:t>
            </w:r>
          </w:p>
        </w:tc>
        <w:tc>
          <w:tcPr>
            <w:tcW w:w="683" w:type="pct"/>
            <w:noWrap/>
            <w:vAlign w:val="center"/>
          </w:tcPr>
          <w:p w14:paraId="5F40C4DD">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171D9C1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40BBD6AE">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10368D9E">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10</w:t>
            </w:r>
          </w:p>
        </w:tc>
        <w:tc>
          <w:tcPr>
            <w:tcW w:w="1085" w:type="pct"/>
            <w:vAlign w:val="center"/>
          </w:tcPr>
          <w:p w14:paraId="3A203FCF">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硅藻门娄氏藻属</w:t>
            </w:r>
          </w:p>
        </w:tc>
        <w:tc>
          <w:tcPr>
            <w:tcW w:w="1072" w:type="pct"/>
            <w:noWrap/>
            <w:vAlign w:val="center"/>
          </w:tcPr>
          <w:p w14:paraId="7BB50CFC">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环纹娄氏藻</w:t>
            </w:r>
          </w:p>
        </w:tc>
        <w:tc>
          <w:tcPr>
            <w:tcW w:w="1398" w:type="pct"/>
            <w:noWrap/>
            <w:vAlign w:val="center"/>
          </w:tcPr>
          <w:p w14:paraId="45C7CCAD">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Lauderia annulata</w:t>
            </w:r>
          </w:p>
        </w:tc>
        <w:tc>
          <w:tcPr>
            <w:tcW w:w="683" w:type="pct"/>
            <w:noWrap/>
            <w:vAlign w:val="center"/>
          </w:tcPr>
          <w:p w14:paraId="05098459">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36ED4F7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230CB2FE">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0F579F99">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11</w:t>
            </w:r>
          </w:p>
        </w:tc>
        <w:tc>
          <w:tcPr>
            <w:tcW w:w="1085" w:type="pct"/>
            <w:vAlign w:val="center"/>
          </w:tcPr>
          <w:p w14:paraId="45A8C38E">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硅藻门细柱藻属</w:t>
            </w:r>
          </w:p>
        </w:tc>
        <w:tc>
          <w:tcPr>
            <w:tcW w:w="1072" w:type="pct"/>
            <w:noWrap/>
            <w:vAlign w:val="center"/>
          </w:tcPr>
          <w:p w14:paraId="39311FFF">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丹麦细柱藻</w:t>
            </w:r>
          </w:p>
        </w:tc>
        <w:tc>
          <w:tcPr>
            <w:tcW w:w="1398" w:type="pct"/>
            <w:noWrap/>
            <w:vAlign w:val="center"/>
          </w:tcPr>
          <w:p w14:paraId="23697EAB">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Leptocylindrus danicus</w:t>
            </w:r>
          </w:p>
        </w:tc>
        <w:tc>
          <w:tcPr>
            <w:tcW w:w="683" w:type="pct"/>
            <w:noWrap/>
            <w:vAlign w:val="center"/>
          </w:tcPr>
          <w:p w14:paraId="100FDE15">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39EB9E6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1D4BA25A">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0DE2BC1F">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12</w:t>
            </w:r>
          </w:p>
        </w:tc>
        <w:tc>
          <w:tcPr>
            <w:tcW w:w="1085" w:type="pct"/>
            <w:vAlign w:val="center"/>
          </w:tcPr>
          <w:p w14:paraId="251D5CCB">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硅藻门直链藻属</w:t>
            </w:r>
          </w:p>
        </w:tc>
        <w:tc>
          <w:tcPr>
            <w:tcW w:w="1072" w:type="pct"/>
            <w:noWrap/>
            <w:vAlign w:val="center"/>
          </w:tcPr>
          <w:p w14:paraId="01500A71">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念珠直链藻</w:t>
            </w:r>
          </w:p>
        </w:tc>
        <w:tc>
          <w:tcPr>
            <w:tcW w:w="1398" w:type="pct"/>
            <w:noWrap/>
            <w:vAlign w:val="center"/>
          </w:tcPr>
          <w:p w14:paraId="079920A1">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Melosira moniliformis</w:t>
            </w:r>
          </w:p>
        </w:tc>
        <w:tc>
          <w:tcPr>
            <w:tcW w:w="683" w:type="pct"/>
            <w:noWrap/>
            <w:vAlign w:val="center"/>
          </w:tcPr>
          <w:p w14:paraId="21A0CF89">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10288FF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177346B7">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78A45D81">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13</w:t>
            </w:r>
          </w:p>
        </w:tc>
        <w:tc>
          <w:tcPr>
            <w:tcW w:w="1085" w:type="pct"/>
            <w:vAlign w:val="center"/>
          </w:tcPr>
          <w:p w14:paraId="01B9C1C0">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硅藻门菱形藻属</w:t>
            </w:r>
          </w:p>
        </w:tc>
        <w:tc>
          <w:tcPr>
            <w:tcW w:w="1072" w:type="pct"/>
            <w:noWrap/>
            <w:vAlign w:val="center"/>
          </w:tcPr>
          <w:p w14:paraId="5B0491EC">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菱形藻未定种</w:t>
            </w:r>
          </w:p>
        </w:tc>
        <w:tc>
          <w:tcPr>
            <w:tcW w:w="1398" w:type="pct"/>
            <w:noWrap/>
            <w:vAlign w:val="center"/>
          </w:tcPr>
          <w:p w14:paraId="693486AE">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 xml:space="preserve">Nitzschia </w:t>
            </w:r>
            <w:r>
              <w:rPr>
                <w:color w:val="000000" w:themeColor="text1"/>
                <w:kern w:val="0"/>
                <w:sz w:val="21"/>
                <w:szCs w:val="21"/>
                <w14:textFill>
                  <w14:solidFill>
                    <w14:schemeClr w14:val="tx1"/>
                  </w14:solidFill>
                </w14:textFill>
              </w:rPr>
              <w:t>sp.</w:t>
            </w:r>
          </w:p>
        </w:tc>
        <w:tc>
          <w:tcPr>
            <w:tcW w:w="683" w:type="pct"/>
            <w:noWrap/>
            <w:vAlign w:val="center"/>
          </w:tcPr>
          <w:p w14:paraId="00AFD236">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15D1655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38B047AF">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52E94950">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14</w:t>
            </w:r>
          </w:p>
        </w:tc>
        <w:tc>
          <w:tcPr>
            <w:tcW w:w="1085" w:type="pct"/>
            <w:vAlign w:val="center"/>
          </w:tcPr>
          <w:p w14:paraId="4199B522">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硅藻门菱形藻属</w:t>
            </w:r>
          </w:p>
        </w:tc>
        <w:tc>
          <w:tcPr>
            <w:tcW w:w="1072" w:type="pct"/>
            <w:noWrap/>
            <w:vAlign w:val="center"/>
          </w:tcPr>
          <w:p w14:paraId="790C9715">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洛伦菱形藻</w:t>
            </w:r>
          </w:p>
        </w:tc>
        <w:tc>
          <w:tcPr>
            <w:tcW w:w="1398" w:type="pct"/>
            <w:noWrap/>
            <w:vAlign w:val="center"/>
          </w:tcPr>
          <w:p w14:paraId="4E7DF626">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Nitzschia lorenziana</w:t>
            </w:r>
          </w:p>
        </w:tc>
        <w:tc>
          <w:tcPr>
            <w:tcW w:w="683" w:type="pct"/>
            <w:noWrap/>
            <w:vAlign w:val="center"/>
          </w:tcPr>
          <w:p w14:paraId="2F28A4E6">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2C09CCE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3A7232EB">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75AA255E">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15</w:t>
            </w:r>
          </w:p>
        </w:tc>
        <w:tc>
          <w:tcPr>
            <w:tcW w:w="1085" w:type="pct"/>
            <w:vAlign w:val="center"/>
          </w:tcPr>
          <w:p w14:paraId="446686AE">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硅藻门斜纹藻属</w:t>
            </w:r>
          </w:p>
        </w:tc>
        <w:tc>
          <w:tcPr>
            <w:tcW w:w="1072" w:type="pct"/>
            <w:noWrap/>
            <w:vAlign w:val="center"/>
          </w:tcPr>
          <w:p w14:paraId="73378E83">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端尖斜纹藻</w:t>
            </w:r>
          </w:p>
        </w:tc>
        <w:tc>
          <w:tcPr>
            <w:tcW w:w="1398" w:type="pct"/>
            <w:noWrap/>
            <w:vAlign w:val="center"/>
          </w:tcPr>
          <w:p w14:paraId="04AEEDA4">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Pleurosigma acautum</w:t>
            </w:r>
          </w:p>
        </w:tc>
        <w:tc>
          <w:tcPr>
            <w:tcW w:w="683" w:type="pct"/>
            <w:noWrap/>
            <w:vAlign w:val="center"/>
          </w:tcPr>
          <w:p w14:paraId="762ACCF0">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1239919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52F7F287">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1809418D">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16</w:t>
            </w:r>
          </w:p>
        </w:tc>
        <w:tc>
          <w:tcPr>
            <w:tcW w:w="1085" w:type="pct"/>
            <w:vAlign w:val="center"/>
          </w:tcPr>
          <w:p w14:paraId="519C620A">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硅藻门斜纹藻属</w:t>
            </w:r>
          </w:p>
        </w:tc>
        <w:tc>
          <w:tcPr>
            <w:tcW w:w="1072" w:type="pct"/>
            <w:noWrap/>
            <w:vAlign w:val="center"/>
          </w:tcPr>
          <w:p w14:paraId="20014427">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艾希斜纹藻</w:t>
            </w:r>
          </w:p>
        </w:tc>
        <w:tc>
          <w:tcPr>
            <w:tcW w:w="1398" w:type="pct"/>
            <w:noWrap/>
            <w:vAlign w:val="center"/>
          </w:tcPr>
          <w:p w14:paraId="07F862F3">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Pieurosigma aestuarii</w:t>
            </w:r>
          </w:p>
        </w:tc>
        <w:tc>
          <w:tcPr>
            <w:tcW w:w="683" w:type="pct"/>
            <w:noWrap/>
            <w:vAlign w:val="center"/>
          </w:tcPr>
          <w:p w14:paraId="66B49CD2">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1B287EC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6679EEF1">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7E71EAF9">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17</w:t>
            </w:r>
          </w:p>
        </w:tc>
        <w:tc>
          <w:tcPr>
            <w:tcW w:w="1085" w:type="pct"/>
            <w:vAlign w:val="center"/>
          </w:tcPr>
          <w:p w14:paraId="39281C83">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硅藻门拟菱形藻属</w:t>
            </w:r>
          </w:p>
        </w:tc>
        <w:tc>
          <w:tcPr>
            <w:tcW w:w="1072" w:type="pct"/>
            <w:noWrap/>
            <w:vAlign w:val="center"/>
          </w:tcPr>
          <w:p w14:paraId="48348B2F">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柔弱拟菱形藻</w:t>
            </w:r>
          </w:p>
        </w:tc>
        <w:tc>
          <w:tcPr>
            <w:tcW w:w="1398" w:type="pct"/>
            <w:noWrap/>
            <w:vAlign w:val="center"/>
          </w:tcPr>
          <w:p w14:paraId="276D28EA">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Pseudo-nitzschia delicatissima</w:t>
            </w:r>
          </w:p>
        </w:tc>
        <w:tc>
          <w:tcPr>
            <w:tcW w:w="683" w:type="pct"/>
            <w:noWrap/>
            <w:vAlign w:val="center"/>
          </w:tcPr>
          <w:p w14:paraId="4EFBF6A3">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557523C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75FA9040">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0A1F8E20">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18</w:t>
            </w:r>
          </w:p>
        </w:tc>
        <w:tc>
          <w:tcPr>
            <w:tcW w:w="1085" w:type="pct"/>
            <w:vAlign w:val="center"/>
          </w:tcPr>
          <w:p w14:paraId="00FA64AA">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硅藻门拟菱形藻属</w:t>
            </w:r>
          </w:p>
        </w:tc>
        <w:tc>
          <w:tcPr>
            <w:tcW w:w="1072" w:type="pct"/>
            <w:noWrap/>
            <w:vAlign w:val="center"/>
          </w:tcPr>
          <w:p w14:paraId="66F55150">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尖刺拟菱形藻</w:t>
            </w:r>
          </w:p>
        </w:tc>
        <w:tc>
          <w:tcPr>
            <w:tcW w:w="1398" w:type="pct"/>
            <w:noWrap/>
            <w:vAlign w:val="center"/>
          </w:tcPr>
          <w:p w14:paraId="12AB7BE5">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Pseudo-nitzschia pungens</w:t>
            </w:r>
          </w:p>
        </w:tc>
        <w:tc>
          <w:tcPr>
            <w:tcW w:w="683" w:type="pct"/>
            <w:noWrap/>
            <w:vAlign w:val="center"/>
          </w:tcPr>
          <w:p w14:paraId="559F72B2">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041EEC1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3EF82822">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2BF65811">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19</w:t>
            </w:r>
          </w:p>
        </w:tc>
        <w:tc>
          <w:tcPr>
            <w:tcW w:w="1085" w:type="pct"/>
            <w:vAlign w:val="center"/>
          </w:tcPr>
          <w:p w14:paraId="0A31341F">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硅藻门根管藻属</w:t>
            </w:r>
          </w:p>
        </w:tc>
        <w:tc>
          <w:tcPr>
            <w:tcW w:w="1072" w:type="pct"/>
            <w:noWrap/>
            <w:vAlign w:val="center"/>
          </w:tcPr>
          <w:p w14:paraId="37C6AB12">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翼根管藻纤细变型</w:t>
            </w:r>
          </w:p>
        </w:tc>
        <w:tc>
          <w:tcPr>
            <w:tcW w:w="1398" w:type="pct"/>
            <w:noWrap/>
            <w:vAlign w:val="center"/>
          </w:tcPr>
          <w:p w14:paraId="701D3F54">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Rhizosolenia alata</w:t>
            </w:r>
            <w:r>
              <w:rPr>
                <w:color w:val="000000" w:themeColor="text1"/>
                <w:kern w:val="0"/>
                <w:sz w:val="21"/>
                <w:szCs w:val="21"/>
                <w14:textFill>
                  <w14:solidFill>
                    <w14:schemeClr w14:val="tx1"/>
                  </w14:solidFill>
                </w14:textFill>
              </w:rPr>
              <w:t xml:space="preserve"> f. </w:t>
            </w:r>
            <w:r>
              <w:rPr>
                <w:i/>
                <w:iCs/>
                <w:color w:val="000000" w:themeColor="text1"/>
                <w:kern w:val="0"/>
                <w:sz w:val="21"/>
                <w:szCs w:val="21"/>
                <w14:textFill>
                  <w14:solidFill>
                    <w14:schemeClr w14:val="tx1"/>
                  </w14:solidFill>
                </w14:textFill>
              </w:rPr>
              <w:t>gracillima</w:t>
            </w:r>
          </w:p>
        </w:tc>
        <w:tc>
          <w:tcPr>
            <w:tcW w:w="683" w:type="pct"/>
            <w:noWrap/>
            <w:vAlign w:val="center"/>
          </w:tcPr>
          <w:p w14:paraId="06E86CED">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42FE144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33F03C0F">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20AC042B">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20</w:t>
            </w:r>
          </w:p>
        </w:tc>
        <w:tc>
          <w:tcPr>
            <w:tcW w:w="1085" w:type="pct"/>
            <w:vAlign w:val="center"/>
          </w:tcPr>
          <w:p w14:paraId="29D11784">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硅藻门根管藻属</w:t>
            </w:r>
          </w:p>
        </w:tc>
        <w:tc>
          <w:tcPr>
            <w:tcW w:w="1072" w:type="pct"/>
            <w:noWrap/>
            <w:vAlign w:val="center"/>
          </w:tcPr>
          <w:p w14:paraId="0484100E">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柔弱根管藻</w:t>
            </w:r>
          </w:p>
        </w:tc>
        <w:tc>
          <w:tcPr>
            <w:tcW w:w="1398" w:type="pct"/>
            <w:noWrap/>
            <w:vAlign w:val="center"/>
          </w:tcPr>
          <w:p w14:paraId="7F570706">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Rhizosolenia delicatula</w:t>
            </w:r>
          </w:p>
        </w:tc>
        <w:tc>
          <w:tcPr>
            <w:tcW w:w="683" w:type="pct"/>
            <w:noWrap/>
            <w:vAlign w:val="center"/>
          </w:tcPr>
          <w:p w14:paraId="0C2F0B20">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359EAC8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663B6CE1">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5EE3040C">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21</w:t>
            </w:r>
          </w:p>
        </w:tc>
        <w:tc>
          <w:tcPr>
            <w:tcW w:w="1085" w:type="pct"/>
            <w:vAlign w:val="center"/>
          </w:tcPr>
          <w:p w14:paraId="05A4EBD3">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硅藻门根管藻属</w:t>
            </w:r>
          </w:p>
        </w:tc>
        <w:tc>
          <w:tcPr>
            <w:tcW w:w="1072" w:type="pct"/>
            <w:noWrap/>
            <w:vAlign w:val="center"/>
          </w:tcPr>
          <w:p w14:paraId="2CCE4C9A">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中华根管藻</w:t>
            </w:r>
          </w:p>
        </w:tc>
        <w:tc>
          <w:tcPr>
            <w:tcW w:w="1398" w:type="pct"/>
            <w:noWrap/>
            <w:vAlign w:val="center"/>
          </w:tcPr>
          <w:p w14:paraId="3E584805">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Rhizosolenia sinensis</w:t>
            </w:r>
          </w:p>
        </w:tc>
        <w:tc>
          <w:tcPr>
            <w:tcW w:w="683" w:type="pct"/>
            <w:noWrap/>
            <w:vAlign w:val="center"/>
          </w:tcPr>
          <w:p w14:paraId="7EA40CF6">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0DA71C0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6634B070">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5B0C63D9">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22</w:t>
            </w:r>
          </w:p>
        </w:tc>
        <w:tc>
          <w:tcPr>
            <w:tcW w:w="1085" w:type="pct"/>
            <w:vAlign w:val="center"/>
          </w:tcPr>
          <w:p w14:paraId="69C9BF0F">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硅藻门根管藻属</w:t>
            </w:r>
          </w:p>
        </w:tc>
        <w:tc>
          <w:tcPr>
            <w:tcW w:w="1072" w:type="pct"/>
            <w:noWrap/>
            <w:vAlign w:val="center"/>
          </w:tcPr>
          <w:p w14:paraId="4DE156ED">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刚毛根管藻</w:t>
            </w:r>
          </w:p>
        </w:tc>
        <w:tc>
          <w:tcPr>
            <w:tcW w:w="1398" w:type="pct"/>
            <w:noWrap/>
            <w:vAlign w:val="center"/>
          </w:tcPr>
          <w:p w14:paraId="4BC8E6CA">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Rhizosolenia setigera</w:t>
            </w:r>
          </w:p>
        </w:tc>
        <w:tc>
          <w:tcPr>
            <w:tcW w:w="683" w:type="pct"/>
            <w:noWrap/>
            <w:vAlign w:val="center"/>
          </w:tcPr>
          <w:p w14:paraId="750AB138">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07FE25F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342B37BB">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65673192">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23</w:t>
            </w:r>
          </w:p>
        </w:tc>
        <w:tc>
          <w:tcPr>
            <w:tcW w:w="1085" w:type="pct"/>
            <w:vAlign w:val="center"/>
          </w:tcPr>
          <w:p w14:paraId="42770725">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硅藻门骨条藻属</w:t>
            </w:r>
          </w:p>
        </w:tc>
        <w:tc>
          <w:tcPr>
            <w:tcW w:w="1072" w:type="pct"/>
            <w:noWrap/>
            <w:vAlign w:val="center"/>
          </w:tcPr>
          <w:p w14:paraId="70F11B86">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中肋骨条藻</w:t>
            </w:r>
          </w:p>
        </w:tc>
        <w:tc>
          <w:tcPr>
            <w:tcW w:w="1398" w:type="pct"/>
            <w:noWrap/>
            <w:vAlign w:val="center"/>
          </w:tcPr>
          <w:p w14:paraId="700E8712">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Skeletonema costatum</w:t>
            </w:r>
          </w:p>
        </w:tc>
        <w:tc>
          <w:tcPr>
            <w:tcW w:w="683" w:type="pct"/>
            <w:noWrap/>
            <w:vAlign w:val="center"/>
          </w:tcPr>
          <w:p w14:paraId="74ECB35C">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049ABFA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30DB6C0F">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5CF4E38A">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24</w:t>
            </w:r>
          </w:p>
        </w:tc>
        <w:tc>
          <w:tcPr>
            <w:tcW w:w="1085" w:type="pct"/>
            <w:vAlign w:val="center"/>
          </w:tcPr>
          <w:p w14:paraId="25CA4C0F">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硅藻门海线藻属</w:t>
            </w:r>
          </w:p>
        </w:tc>
        <w:tc>
          <w:tcPr>
            <w:tcW w:w="1072" w:type="pct"/>
            <w:noWrap/>
            <w:vAlign w:val="center"/>
          </w:tcPr>
          <w:p w14:paraId="6002F7C2">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菱形海线藻</w:t>
            </w:r>
          </w:p>
        </w:tc>
        <w:tc>
          <w:tcPr>
            <w:tcW w:w="1398" w:type="pct"/>
            <w:noWrap/>
            <w:vAlign w:val="center"/>
          </w:tcPr>
          <w:p w14:paraId="4A11A1ED">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Thalassionema nitzschioides</w:t>
            </w:r>
          </w:p>
        </w:tc>
        <w:tc>
          <w:tcPr>
            <w:tcW w:w="683" w:type="pct"/>
            <w:noWrap/>
            <w:vAlign w:val="center"/>
          </w:tcPr>
          <w:p w14:paraId="3580CC74">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6B88969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226EEDDE">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0D513C4D">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25</w:t>
            </w:r>
          </w:p>
        </w:tc>
        <w:tc>
          <w:tcPr>
            <w:tcW w:w="1085" w:type="pct"/>
            <w:vAlign w:val="center"/>
          </w:tcPr>
          <w:p w14:paraId="543E8518">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硅藻门海毛藻属</w:t>
            </w:r>
          </w:p>
        </w:tc>
        <w:tc>
          <w:tcPr>
            <w:tcW w:w="1072" w:type="pct"/>
            <w:noWrap/>
            <w:vAlign w:val="center"/>
          </w:tcPr>
          <w:p w14:paraId="6421D11C">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佛氏海毛藻</w:t>
            </w:r>
          </w:p>
        </w:tc>
        <w:tc>
          <w:tcPr>
            <w:tcW w:w="1398" w:type="pct"/>
            <w:noWrap/>
            <w:vAlign w:val="center"/>
          </w:tcPr>
          <w:p w14:paraId="50EA3626">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Thalassiothrix frauenfeldii</w:t>
            </w:r>
          </w:p>
        </w:tc>
        <w:tc>
          <w:tcPr>
            <w:tcW w:w="683" w:type="pct"/>
            <w:noWrap/>
            <w:vAlign w:val="center"/>
          </w:tcPr>
          <w:p w14:paraId="2DBFF8C1">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06FEB01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2CC77C6D">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4A83787C">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26</w:t>
            </w:r>
          </w:p>
        </w:tc>
        <w:tc>
          <w:tcPr>
            <w:tcW w:w="1085" w:type="pct"/>
            <w:vAlign w:val="center"/>
          </w:tcPr>
          <w:p w14:paraId="6BAFCD3A">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硅藻门海链藻属</w:t>
            </w:r>
          </w:p>
        </w:tc>
        <w:tc>
          <w:tcPr>
            <w:tcW w:w="1072" w:type="pct"/>
            <w:noWrap/>
            <w:vAlign w:val="center"/>
          </w:tcPr>
          <w:p w14:paraId="1095D75B">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圆海链藻</w:t>
            </w:r>
          </w:p>
        </w:tc>
        <w:tc>
          <w:tcPr>
            <w:tcW w:w="1398" w:type="pct"/>
            <w:noWrap/>
            <w:vAlign w:val="center"/>
          </w:tcPr>
          <w:p w14:paraId="14501FAE">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Thalassiosira rotula</w:t>
            </w:r>
          </w:p>
        </w:tc>
        <w:tc>
          <w:tcPr>
            <w:tcW w:w="683" w:type="pct"/>
            <w:noWrap/>
            <w:vAlign w:val="center"/>
          </w:tcPr>
          <w:p w14:paraId="645C42B3">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447C89B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restart"/>
            <w:noWrap/>
            <w:vAlign w:val="center"/>
          </w:tcPr>
          <w:p w14:paraId="15FC0B1F">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S3</w:t>
            </w:r>
          </w:p>
        </w:tc>
        <w:tc>
          <w:tcPr>
            <w:tcW w:w="403" w:type="pct"/>
            <w:noWrap/>
            <w:vAlign w:val="center"/>
          </w:tcPr>
          <w:p w14:paraId="3F6B3D6C">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w:t>
            </w:r>
          </w:p>
        </w:tc>
        <w:tc>
          <w:tcPr>
            <w:tcW w:w="1085" w:type="pct"/>
            <w:vAlign w:val="center"/>
          </w:tcPr>
          <w:p w14:paraId="2CEFA8B9">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硅藻门星杆藻属</w:t>
            </w:r>
          </w:p>
        </w:tc>
        <w:tc>
          <w:tcPr>
            <w:tcW w:w="1072" w:type="pct"/>
            <w:noWrap/>
            <w:vAlign w:val="center"/>
          </w:tcPr>
          <w:p w14:paraId="663D6AE7">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冰河拟星杆藻</w:t>
            </w:r>
          </w:p>
        </w:tc>
        <w:tc>
          <w:tcPr>
            <w:tcW w:w="1398" w:type="pct"/>
            <w:noWrap/>
            <w:vAlign w:val="center"/>
          </w:tcPr>
          <w:p w14:paraId="093C7CCE">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Amphora coffeaeformis</w:t>
            </w:r>
          </w:p>
        </w:tc>
        <w:tc>
          <w:tcPr>
            <w:tcW w:w="683" w:type="pct"/>
            <w:noWrap/>
            <w:vAlign w:val="center"/>
          </w:tcPr>
          <w:p w14:paraId="73F721EB">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1B6C655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43CBEF3B">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434B2FB9">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w:t>
            </w:r>
          </w:p>
        </w:tc>
        <w:tc>
          <w:tcPr>
            <w:tcW w:w="1085" w:type="pct"/>
            <w:vAlign w:val="center"/>
          </w:tcPr>
          <w:p w14:paraId="5EE92FC7">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硅藻门辐杆藻属</w:t>
            </w:r>
          </w:p>
        </w:tc>
        <w:tc>
          <w:tcPr>
            <w:tcW w:w="1072" w:type="pct"/>
            <w:noWrap/>
            <w:vAlign w:val="center"/>
          </w:tcPr>
          <w:p w14:paraId="55C0865F">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透明辐杆藻</w:t>
            </w:r>
          </w:p>
        </w:tc>
        <w:tc>
          <w:tcPr>
            <w:tcW w:w="1398" w:type="pct"/>
            <w:noWrap/>
            <w:vAlign w:val="center"/>
          </w:tcPr>
          <w:p w14:paraId="63FF18D9">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Bacteriastrum hyalinum</w:t>
            </w:r>
          </w:p>
        </w:tc>
        <w:tc>
          <w:tcPr>
            <w:tcW w:w="683" w:type="pct"/>
            <w:noWrap/>
            <w:vAlign w:val="center"/>
          </w:tcPr>
          <w:p w14:paraId="5DA81407">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161CADB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563BAA29">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7A353018">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w:t>
            </w:r>
          </w:p>
        </w:tc>
        <w:tc>
          <w:tcPr>
            <w:tcW w:w="1085" w:type="pct"/>
            <w:vAlign w:val="center"/>
          </w:tcPr>
          <w:p w14:paraId="703A45A2">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硅藻门盒形藻属</w:t>
            </w:r>
          </w:p>
        </w:tc>
        <w:tc>
          <w:tcPr>
            <w:tcW w:w="1072" w:type="pct"/>
            <w:noWrap/>
            <w:vAlign w:val="center"/>
          </w:tcPr>
          <w:p w14:paraId="6D032986">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中华盒形藻</w:t>
            </w:r>
          </w:p>
        </w:tc>
        <w:tc>
          <w:tcPr>
            <w:tcW w:w="1398" w:type="pct"/>
            <w:noWrap/>
            <w:vAlign w:val="center"/>
          </w:tcPr>
          <w:p w14:paraId="1BD5A5CA">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Biddulphia sinensis</w:t>
            </w:r>
          </w:p>
        </w:tc>
        <w:tc>
          <w:tcPr>
            <w:tcW w:w="683" w:type="pct"/>
            <w:noWrap/>
            <w:vAlign w:val="center"/>
          </w:tcPr>
          <w:p w14:paraId="6A1D07E0">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5D6E0B7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6D490F3C">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67B466EB">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4</w:t>
            </w:r>
          </w:p>
        </w:tc>
        <w:tc>
          <w:tcPr>
            <w:tcW w:w="1085" w:type="pct"/>
            <w:vAlign w:val="center"/>
          </w:tcPr>
          <w:p w14:paraId="544AABC6">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硅藻门角毛藻属</w:t>
            </w:r>
          </w:p>
        </w:tc>
        <w:tc>
          <w:tcPr>
            <w:tcW w:w="1072" w:type="pct"/>
            <w:noWrap/>
            <w:vAlign w:val="center"/>
          </w:tcPr>
          <w:p w14:paraId="7131612D">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旋链角毛藻</w:t>
            </w:r>
          </w:p>
        </w:tc>
        <w:tc>
          <w:tcPr>
            <w:tcW w:w="1398" w:type="pct"/>
            <w:noWrap/>
            <w:vAlign w:val="center"/>
          </w:tcPr>
          <w:p w14:paraId="3E363DF2">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Chaetoceros curvisetus</w:t>
            </w:r>
          </w:p>
        </w:tc>
        <w:tc>
          <w:tcPr>
            <w:tcW w:w="683" w:type="pct"/>
            <w:noWrap/>
            <w:vAlign w:val="center"/>
          </w:tcPr>
          <w:p w14:paraId="68833046">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43F367A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44BEEAE2">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7D756887">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5</w:t>
            </w:r>
          </w:p>
        </w:tc>
        <w:tc>
          <w:tcPr>
            <w:tcW w:w="1085" w:type="pct"/>
            <w:vAlign w:val="center"/>
          </w:tcPr>
          <w:p w14:paraId="720A6D1D">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硅藻门角毛藻属</w:t>
            </w:r>
          </w:p>
        </w:tc>
        <w:tc>
          <w:tcPr>
            <w:tcW w:w="1072" w:type="pct"/>
            <w:noWrap/>
            <w:vAlign w:val="center"/>
          </w:tcPr>
          <w:p w14:paraId="5BDAA77C">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中肋角毛藻</w:t>
            </w:r>
          </w:p>
        </w:tc>
        <w:tc>
          <w:tcPr>
            <w:tcW w:w="1398" w:type="pct"/>
            <w:noWrap/>
            <w:vAlign w:val="center"/>
          </w:tcPr>
          <w:p w14:paraId="4BF9F40A">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Chaetoceros costatus</w:t>
            </w:r>
          </w:p>
        </w:tc>
        <w:tc>
          <w:tcPr>
            <w:tcW w:w="683" w:type="pct"/>
            <w:noWrap/>
            <w:vAlign w:val="center"/>
          </w:tcPr>
          <w:p w14:paraId="1CEBBAB5">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2407DF0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51A334E7">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344ECBFE">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6</w:t>
            </w:r>
          </w:p>
        </w:tc>
        <w:tc>
          <w:tcPr>
            <w:tcW w:w="1085" w:type="pct"/>
            <w:vAlign w:val="center"/>
          </w:tcPr>
          <w:p w14:paraId="71B12F9E">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硅藻门角毛藻属</w:t>
            </w:r>
          </w:p>
        </w:tc>
        <w:tc>
          <w:tcPr>
            <w:tcW w:w="1072" w:type="pct"/>
            <w:noWrap/>
            <w:vAlign w:val="center"/>
          </w:tcPr>
          <w:p w14:paraId="7445F4D8">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垂缘角毛藻</w:t>
            </w:r>
          </w:p>
        </w:tc>
        <w:tc>
          <w:tcPr>
            <w:tcW w:w="1398" w:type="pct"/>
            <w:noWrap/>
            <w:vAlign w:val="center"/>
          </w:tcPr>
          <w:p w14:paraId="654A334E">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Chaetoceros laciniosus</w:t>
            </w:r>
          </w:p>
        </w:tc>
        <w:tc>
          <w:tcPr>
            <w:tcW w:w="683" w:type="pct"/>
            <w:noWrap/>
            <w:vAlign w:val="center"/>
          </w:tcPr>
          <w:p w14:paraId="033FE193">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508DBD2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44D55EC7">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5D5A0EAB">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7</w:t>
            </w:r>
          </w:p>
        </w:tc>
        <w:tc>
          <w:tcPr>
            <w:tcW w:w="1085" w:type="pct"/>
            <w:vAlign w:val="center"/>
          </w:tcPr>
          <w:p w14:paraId="475D4360">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硅藻门角毛藻属</w:t>
            </w:r>
          </w:p>
        </w:tc>
        <w:tc>
          <w:tcPr>
            <w:tcW w:w="1072" w:type="pct"/>
            <w:noWrap/>
            <w:vAlign w:val="center"/>
          </w:tcPr>
          <w:p w14:paraId="11A20F13">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北方角毛藻</w:t>
            </w:r>
          </w:p>
        </w:tc>
        <w:tc>
          <w:tcPr>
            <w:tcW w:w="1398" w:type="pct"/>
            <w:noWrap/>
            <w:vAlign w:val="center"/>
          </w:tcPr>
          <w:p w14:paraId="4AD96C53">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Chaetoceros borealis</w:t>
            </w:r>
          </w:p>
        </w:tc>
        <w:tc>
          <w:tcPr>
            <w:tcW w:w="683" w:type="pct"/>
            <w:noWrap/>
            <w:vAlign w:val="center"/>
          </w:tcPr>
          <w:p w14:paraId="6D78D55E">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178E3A9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61582AD2">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459FA4D3">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8</w:t>
            </w:r>
          </w:p>
        </w:tc>
        <w:tc>
          <w:tcPr>
            <w:tcW w:w="1085" w:type="pct"/>
            <w:vAlign w:val="center"/>
          </w:tcPr>
          <w:p w14:paraId="03F2E01A">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硅藻门角毛藻属</w:t>
            </w:r>
          </w:p>
        </w:tc>
        <w:tc>
          <w:tcPr>
            <w:tcW w:w="1072" w:type="pct"/>
            <w:noWrap/>
            <w:vAlign w:val="center"/>
          </w:tcPr>
          <w:p w14:paraId="6A785FC9">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暹罗角毛藻</w:t>
            </w:r>
          </w:p>
        </w:tc>
        <w:tc>
          <w:tcPr>
            <w:tcW w:w="1398" w:type="pct"/>
            <w:noWrap/>
            <w:vAlign w:val="center"/>
          </w:tcPr>
          <w:p w14:paraId="0B3E6494">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Chaetoceros siamense</w:t>
            </w:r>
          </w:p>
        </w:tc>
        <w:tc>
          <w:tcPr>
            <w:tcW w:w="683" w:type="pct"/>
            <w:noWrap/>
            <w:vAlign w:val="center"/>
          </w:tcPr>
          <w:p w14:paraId="6A8C3E87">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3CD56D6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6134C22A">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5D50224B">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9</w:t>
            </w:r>
          </w:p>
        </w:tc>
        <w:tc>
          <w:tcPr>
            <w:tcW w:w="1085" w:type="pct"/>
            <w:vAlign w:val="center"/>
          </w:tcPr>
          <w:p w14:paraId="0B00453D">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硅藻门角管藻属</w:t>
            </w:r>
          </w:p>
        </w:tc>
        <w:tc>
          <w:tcPr>
            <w:tcW w:w="1072" w:type="pct"/>
            <w:noWrap/>
            <w:vAlign w:val="center"/>
          </w:tcPr>
          <w:p w14:paraId="1FF7012C">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大洋角管藻</w:t>
            </w:r>
          </w:p>
        </w:tc>
        <w:tc>
          <w:tcPr>
            <w:tcW w:w="1398" w:type="pct"/>
            <w:noWrap/>
            <w:vAlign w:val="center"/>
          </w:tcPr>
          <w:p w14:paraId="34118AAE">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Cerataulina pelagica</w:t>
            </w:r>
          </w:p>
        </w:tc>
        <w:tc>
          <w:tcPr>
            <w:tcW w:w="683" w:type="pct"/>
            <w:noWrap/>
            <w:vAlign w:val="center"/>
          </w:tcPr>
          <w:p w14:paraId="4FCDDCF4">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6D1F811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77930B47">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2F8F0A1B">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10</w:t>
            </w:r>
          </w:p>
        </w:tc>
        <w:tc>
          <w:tcPr>
            <w:tcW w:w="1085" w:type="pct"/>
            <w:vAlign w:val="center"/>
          </w:tcPr>
          <w:p w14:paraId="5D67768D">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硅藻门圆筛藻属</w:t>
            </w:r>
          </w:p>
        </w:tc>
        <w:tc>
          <w:tcPr>
            <w:tcW w:w="1072" w:type="pct"/>
            <w:noWrap/>
            <w:vAlign w:val="center"/>
          </w:tcPr>
          <w:p w14:paraId="3FF5F528">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圆筛藻</w:t>
            </w:r>
          </w:p>
        </w:tc>
        <w:tc>
          <w:tcPr>
            <w:tcW w:w="1398" w:type="pct"/>
            <w:noWrap/>
            <w:vAlign w:val="center"/>
          </w:tcPr>
          <w:p w14:paraId="4674B3DD">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 xml:space="preserve">Coscinodiscus </w:t>
            </w:r>
            <w:r>
              <w:rPr>
                <w:color w:val="000000" w:themeColor="text1"/>
                <w:kern w:val="0"/>
                <w:sz w:val="21"/>
                <w:szCs w:val="21"/>
                <w14:textFill>
                  <w14:solidFill>
                    <w14:schemeClr w14:val="tx1"/>
                  </w14:solidFill>
                </w14:textFill>
              </w:rPr>
              <w:t>sp.</w:t>
            </w:r>
          </w:p>
        </w:tc>
        <w:tc>
          <w:tcPr>
            <w:tcW w:w="683" w:type="pct"/>
            <w:noWrap/>
            <w:vAlign w:val="center"/>
          </w:tcPr>
          <w:p w14:paraId="7552E544">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32621D0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1B5DCADD">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6AECE964">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11</w:t>
            </w:r>
          </w:p>
        </w:tc>
        <w:tc>
          <w:tcPr>
            <w:tcW w:w="1085" w:type="pct"/>
            <w:vAlign w:val="center"/>
          </w:tcPr>
          <w:p w14:paraId="2C1974A6">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硅藻门圆筛藻属</w:t>
            </w:r>
          </w:p>
        </w:tc>
        <w:tc>
          <w:tcPr>
            <w:tcW w:w="1072" w:type="pct"/>
            <w:noWrap/>
            <w:vAlign w:val="center"/>
          </w:tcPr>
          <w:p w14:paraId="0D55962C">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具边线型圆筛藻</w:t>
            </w:r>
          </w:p>
        </w:tc>
        <w:tc>
          <w:tcPr>
            <w:tcW w:w="1398" w:type="pct"/>
            <w:noWrap/>
            <w:vAlign w:val="center"/>
          </w:tcPr>
          <w:p w14:paraId="495E78A1">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Coscinodiscus marginato-lineatus</w:t>
            </w:r>
          </w:p>
        </w:tc>
        <w:tc>
          <w:tcPr>
            <w:tcW w:w="683" w:type="pct"/>
            <w:noWrap/>
            <w:vAlign w:val="center"/>
          </w:tcPr>
          <w:p w14:paraId="62E224B8">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503ACD6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32D04F35">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2127CE74">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12</w:t>
            </w:r>
          </w:p>
        </w:tc>
        <w:tc>
          <w:tcPr>
            <w:tcW w:w="1085" w:type="pct"/>
            <w:vAlign w:val="center"/>
          </w:tcPr>
          <w:p w14:paraId="24B39E93">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硅藻门圆筛藻属</w:t>
            </w:r>
          </w:p>
        </w:tc>
        <w:tc>
          <w:tcPr>
            <w:tcW w:w="1072" w:type="pct"/>
            <w:noWrap/>
            <w:vAlign w:val="center"/>
          </w:tcPr>
          <w:p w14:paraId="38D6C1D8">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有翼圆筛藻</w:t>
            </w:r>
          </w:p>
        </w:tc>
        <w:tc>
          <w:tcPr>
            <w:tcW w:w="1398" w:type="pct"/>
            <w:noWrap/>
            <w:vAlign w:val="center"/>
          </w:tcPr>
          <w:p w14:paraId="6869468B">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Coscinodiscus bipartitus</w:t>
            </w:r>
          </w:p>
        </w:tc>
        <w:tc>
          <w:tcPr>
            <w:tcW w:w="683" w:type="pct"/>
            <w:noWrap/>
            <w:vAlign w:val="center"/>
          </w:tcPr>
          <w:p w14:paraId="65D68C56">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5C0DEA3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6900088D">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323B5DCF">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13</w:t>
            </w:r>
          </w:p>
        </w:tc>
        <w:tc>
          <w:tcPr>
            <w:tcW w:w="1085" w:type="pct"/>
            <w:vAlign w:val="center"/>
          </w:tcPr>
          <w:p w14:paraId="20AADB32">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硅藻门小环藻属</w:t>
            </w:r>
          </w:p>
        </w:tc>
        <w:tc>
          <w:tcPr>
            <w:tcW w:w="1072" w:type="pct"/>
            <w:noWrap/>
            <w:vAlign w:val="center"/>
          </w:tcPr>
          <w:p w14:paraId="33F7910A">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条纹小环藻</w:t>
            </w:r>
          </w:p>
        </w:tc>
        <w:tc>
          <w:tcPr>
            <w:tcW w:w="1398" w:type="pct"/>
            <w:noWrap/>
            <w:vAlign w:val="center"/>
          </w:tcPr>
          <w:p w14:paraId="0931CA7D">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Cyclotella striata</w:t>
            </w:r>
          </w:p>
        </w:tc>
        <w:tc>
          <w:tcPr>
            <w:tcW w:w="683" w:type="pct"/>
            <w:noWrap/>
            <w:vAlign w:val="center"/>
          </w:tcPr>
          <w:p w14:paraId="1598A869">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5A1FC9A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03DBAF93">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676DFDE6">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14</w:t>
            </w:r>
          </w:p>
        </w:tc>
        <w:tc>
          <w:tcPr>
            <w:tcW w:w="1085" w:type="pct"/>
            <w:vAlign w:val="center"/>
          </w:tcPr>
          <w:p w14:paraId="090FA39E">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硅藻门双尾藻属</w:t>
            </w:r>
          </w:p>
        </w:tc>
        <w:tc>
          <w:tcPr>
            <w:tcW w:w="1072" w:type="pct"/>
            <w:noWrap/>
            <w:vAlign w:val="center"/>
          </w:tcPr>
          <w:p w14:paraId="772D3E4E">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布氏双尾藻</w:t>
            </w:r>
          </w:p>
        </w:tc>
        <w:tc>
          <w:tcPr>
            <w:tcW w:w="1398" w:type="pct"/>
            <w:noWrap/>
            <w:vAlign w:val="center"/>
          </w:tcPr>
          <w:p w14:paraId="46A00286">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Ditylum brightwellii</w:t>
            </w:r>
          </w:p>
        </w:tc>
        <w:tc>
          <w:tcPr>
            <w:tcW w:w="683" w:type="pct"/>
            <w:noWrap/>
            <w:vAlign w:val="center"/>
          </w:tcPr>
          <w:p w14:paraId="35DBBD9E">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0341802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1D0BD961">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774A1311">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15</w:t>
            </w:r>
          </w:p>
        </w:tc>
        <w:tc>
          <w:tcPr>
            <w:tcW w:w="1085" w:type="pct"/>
            <w:vAlign w:val="center"/>
          </w:tcPr>
          <w:p w14:paraId="05A301A5">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硅藻门几内亚藻属</w:t>
            </w:r>
          </w:p>
        </w:tc>
        <w:tc>
          <w:tcPr>
            <w:tcW w:w="1072" w:type="pct"/>
            <w:noWrap/>
            <w:vAlign w:val="center"/>
          </w:tcPr>
          <w:p w14:paraId="4FC99680">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条纹几内亚藻</w:t>
            </w:r>
          </w:p>
        </w:tc>
        <w:tc>
          <w:tcPr>
            <w:tcW w:w="1398" w:type="pct"/>
            <w:noWrap/>
            <w:vAlign w:val="center"/>
          </w:tcPr>
          <w:p w14:paraId="608FA20F">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Guinardia  striata</w:t>
            </w:r>
          </w:p>
        </w:tc>
        <w:tc>
          <w:tcPr>
            <w:tcW w:w="683" w:type="pct"/>
            <w:noWrap/>
            <w:vAlign w:val="center"/>
          </w:tcPr>
          <w:p w14:paraId="5C3FA533">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22E020A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422519AA">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00F6AE74">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16</w:t>
            </w:r>
          </w:p>
        </w:tc>
        <w:tc>
          <w:tcPr>
            <w:tcW w:w="1085" w:type="pct"/>
            <w:vAlign w:val="center"/>
          </w:tcPr>
          <w:p w14:paraId="70076919">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硅藻门半管藻属</w:t>
            </w:r>
          </w:p>
        </w:tc>
        <w:tc>
          <w:tcPr>
            <w:tcW w:w="1072" w:type="pct"/>
            <w:noWrap/>
            <w:vAlign w:val="center"/>
          </w:tcPr>
          <w:p w14:paraId="6E4A87B4">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中华半管藻</w:t>
            </w:r>
          </w:p>
        </w:tc>
        <w:tc>
          <w:tcPr>
            <w:tcW w:w="1398" w:type="pct"/>
            <w:noWrap/>
            <w:vAlign w:val="center"/>
          </w:tcPr>
          <w:p w14:paraId="50332E3E">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Hemiaulus sinensis</w:t>
            </w:r>
          </w:p>
        </w:tc>
        <w:tc>
          <w:tcPr>
            <w:tcW w:w="683" w:type="pct"/>
            <w:noWrap/>
            <w:vAlign w:val="center"/>
          </w:tcPr>
          <w:p w14:paraId="0C1EE1E0">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3603C17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0BDF77BA">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675F659D">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17</w:t>
            </w:r>
          </w:p>
        </w:tc>
        <w:tc>
          <w:tcPr>
            <w:tcW w:w="1085" w:type="pct"/>
            <w:vAlign w:val="center"/>
          </w:tcPr>
          <w:p w14:paraId="236175B4">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硅藻门半管藻属</w:t>
            </w:r>
          </w:p>
        </w:tc>
        <w:tc>
          <w:tcPr>
            <w:tcW w:w="1072" w:type="pct"/>
            <w:noWrap/>
            <w:vAlign w:val="center"/>
          </w:tcPr>
          <w:p w14:paraId="13A041D5">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膜质半管藻</w:t>
            </w:r>
          </w:p>
        </w:tc>
        <w:tc>
          <w:tcPr>
            <w:tcW w:w="1398" w:type="pct"/>
            <w:noWrap/>
            <w:vAlign w:val="center"/>
          </w:tcPr>
          <w:p w14:paraId="472C93AA">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Hemiaulus membranacus</w:t>
            </w:r>
          </w:p>
        </w:tc>
        <w:tc>
          <w:tcPr>
            <w:tcW w:w="683" w:type="pct"/>
            <w:noWrap/>
            <w:vAlign w:val="center"/>
          </w:tcPr>
          <w:p w14:paraId="4DF9BF61">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38C27FC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46348562">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696E2685">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18</w:t>
            </w:r>
          </w:p>
        </w:tc>
        <w:tc>
          <w:tcPr>
            <w:tcW w:w="1085" w:type="pct"/>
            <w:vAlign w:val="center"/>
          </w:tcPr>
          <w:p w14:paraId="3C91918C">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硅藻门娄氏藻属</w:t>
            </w:r>
          </w:p>
        </w:tc>
        <w:tc>
          <w:tcPr>
            <w:tcW w:w="1072" w:type="pct"/>
            <w:noWrap/>
            <w:vAlign w:val="center"/>
          </w:tcPr>
          <w:p w14:paraId="06DC5746">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环纹娄氏藻</w:t>
            </w:r>
          </w:p>
        </w:tc>
        <w:tc>
          <w:tcPr>
            <w:tcW w:w="1398" w:type="pct"/>
            <w:noWrap/>
            <w:vAlign w:val="center"/>
          </w:tcPr>
          <w:p w14:paraId="6C11BC5D">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Lauderia annulata</w:t>
            </w:r>
          </w:p>
        </w:tc>
        <w:tc>
          <w:tcPr>
            <w:tcW w:w="683" w:type="pct"/>
            <w:noWrap/>
            <w:vAlign w:val="center"/>
          </w:tcPr>
          <w:p w14:paraId="1D02A611">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361E6EE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41488E63">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4DAFAC47">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19</w:t>
            </w:r>
          </w:p>
        </w:tc>
        <w:tc>
          <w:tcPr>
            <w:tcW w:w="1085" w:type="pct"/>
            <w:vAlign w:val="center"/>
          </w:tcPr>
          <w:p w14:paraId="05DEF270">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硅藻门细柱藻属</w:t>
            </w:r>
          </w:p>
        </w:tc>
        <w:tc>
          <w:tcPr>
            <w:tcW w:w="1072" w:type="pct"/>
            <w:noWrap/>
            <w:vAlign w:val="center"/>
          </w:tcPr>
          <w:p w14:paraId="359D84B0">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丹麦细柱藻</w:t>
            </w:r>
          </w:p>
        </w:tc>
        <w:tc>
          <w:tcPr>
            <w:tcW w:w="1398" w:type="pct"/>
            <w:noWrap/>
            <w:vAlign w:val="center"/>
          </w:tcPr>
          <w:p w14:paraId="472A1B48">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Leptocylindrus danicus</w:t>
            </w:r>
          </w:p>
        </w:tc>
        <w:tc>
          <w:tcPr>
            <w:tcW w:w="683" w:type="pct"/>
            <w:noWrap/>
            <w:vAlign w:val="center"/>
          </w:tcPr>
          <w:p w14:paraId="67316162">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759EFD4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54DA7110">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26AB5012">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20</w:t>
            </w:r>
          </w:p>
        </w:tc>
        <w:tc>
          <w:tcPr>
            <w:tcW w:w="1085" w:type="pct"/>
            <w:vAlign w:val="center"/>
          </w:tcPr>
          <w:p w14:paraId="00F5B8B3">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硅藻门缪氏藻属</w:t>
            </w:r>
          </w:p>
        </w:tc>
        <w:tc>
          <w:tcPr>
            <w:tcW w:w="1072" w:type="pct"/>
            <w:noWrap/>
            <w:vAlign w:val="center"/>
          </w:tcPr>
          <w:p w14:paraId="2039999F">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膜状缪氏藻</w:t>
            </w:r>
          </w:p>
        </w:tc>
        <w:tc>
          <w:tcPr>
            <w:tcW w:w="1398" w:type="pct"/>
            <w:noWrap/>
            <w:vAlign w:val="center"/>
          </w:tcPr>
          <w:p w14:paraId="24DABF35">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Meuniera membranacea</w:t>
            </w:r>
          </w:p>
        </w:tc>
        <w:tc>
          <w:tcPr>
            <w:tcW w:w="683" w:type="pct"/>
            <w:noWrap/>
            <w:vAlign w:val="center"/>
          </w:tcPr>
          <w:p w14:paraId="4A9A2666">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2C4DC19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19D51BC4">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5A6066CF">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21</w:t>
            </w:r>
          </w:p>
        </w:tc>
        <w:tc>
          <w:tcPr>
            <w:tcW w:w="1085" w:type="pct"/>
            <w:vAlign w:val="center"/>
          </w:tcPr>
          <w:p w14:paraId="60D238B6">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硅藻门斜纹藻属</w:t>
            </w:r>
          </w:p>
        </w:tc>
        <w:tc>
          <w:tcPr>
            <w:tcW w:w="1072" w:type="pct"/>
            <w:noWrap/>
            <w:vAlign w:val="center"/>
          </w:tcPr>
          <w:p w14:paraId="3CFB1E79">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端尖斜纹藻</w:t>
            </w:r>
          </w:p>
        </w:tc>
        <w:tc>
          <w:tcPr>
            <w:tcW w:w="1398" w:type="pct"/>
            <w:noWrap/>
            <w:vAlign w:val="center"/>
          </w:tcPr>
          <w:p w14:paraId="57453346">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Pleurosigma acautum</w:t>
            </w:r>
          </w:p>
        </w:tc>
        <w:tc>
          <w:tcPr>
            <w:tcW w:w="683" w:type="pct"/>
            <w:noWrap/>
            <w:vAlign w:val="center"/>
          </w:tcPr>
          <w:p w14:paraId="7BAFAD99">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2DF2694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4EBF213F">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2371EC3F">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22</w:t>
            </w:r>
          </w:p>
        </w:tc>
        <w:tc>
          <w:tcPr>
            <w:tcW w:w="1085" w:type="pct"/>
            <w:vAlign w:val="center"/>
          </w:tcPr>
          <w:p w14:paraId="2FE10696">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硅藻门拟菱形藻属</w:t>
            </w:r>
          </w:p>
        </w:tc>
        <w:tc>
          <w:tcPr>
            <w:tcW w:w="1072" w:type="pct"/>
            <w:noWrap/>
            <w:vAlign w:val="center"/>
          </w:tcPr>
          <w:p w14:paraId="16D5698F">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尖刺拟菱形藻</w:t>
            </w:r>
          </w:p>
        </w:tc>
        <w:tc>
          <w:tcPr>
            <w:tcW w:w="1398" w:type="pct"/>
            <w:noWrap/>
            <w:vAlign w:val="center"/>
          </w:tcPr>
          <w:p w14:paraId="524CE2AB">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Pseudo-nitzschia pungens</w:t>
            </w:r>
          </w:p>
        </w:tc>
        <w:tc>
          <w:tcPr>
            <w:tcW w:w="683" w:type="pct"/>
            <w:noWrap/>
            <w:vAlign w:val="center"/>
          </w:tcPr>
          <w:p w14:paraId="33A4CDF0">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78C0952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6F292A57">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36BB9080">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23</w:t>
            </w:r>
          </w:p>
        </w:tc>
        <w:tc>
          <w:tcPr>
            <w:tcW w:w="1085" w:type="pct"/>
            <w:vAlign w:val="center"/>
          </w:tcPr>
          <w:p w14:paraId="479A9C20">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硅藻门根管藻属</w:t>
            </w:r>
          </w:p>
        </w:tc>
        <w:tc>
          <w:tcPr>
            <w:tcW w:w="1072" w:type="pct"/>
            <w:noWrap/>
            <w:vAlign w:val="center"/>
          </w:tcPr>
          <w:p w14:paraId="0A349D85">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翼根管藻纤细变型</w:t>
            </w:r>
          </w:p>
        </w:tc>
        <w:tc>
          <w:tcPr>
            <w:tcW w:w="1398" w:type="pct"/>
            <w:noWrap/>
            <w:vAlign w:val="center"/>
          </w:tcPr>
          <w:p w14:paraId="617DA32B">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Rhizosolenia alata</w:t>
            </w:r>
            <w:r>
              <w:rPr>
                <w:color w:val="000000" w:themeColor="text1"/>
                <w:kern w:val="0"/>
                <w:sz w:val="21"/>
                <w:szCs w:val="21"/>
                <w14:textFill>
                  <w14:solidFill>
                    <w14:schemeClr w14:val="tx1"/>
                  </w14:solidFill>
                </w14:textFill>
              </w:rPr>
              <w:t xml:space="preserve"> f. </w:t>
            </w:r>
            <w:r>
              <w:rPr>
                <w:i/>
                <w:iCs/>
                <w:color w:val="000000" w:themeColor="text1"/>
                <w:kern w:val="0"/>
                <w:sz w:val="21"/>
                <w:szCs w:val="21"/>
                <w14:textFill>
                  <w14:solidFill>
                    <w14:schemeClr w14:val="tx1"/>
                  </w14:solidFill>
                </w14:textFill>
              </w:rPr>
              <w:t>gracillima</w:t>
            </w:r>
          </w:p>
        </w:tc>
        <w:tc>
          <w:tcPr>
            <w:tcW w:w="683" w:type="pct"/>
            <w:noWrap/>
            <w:vAlign w:val="center"/>
          </w:tcPr>
          <w:p w14:paraId="1E9B68E6">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1D11AAA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2FAD07D8">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44C2E0A5">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24</w:t>
            </w:r>
          </w:p>
        </w:tc>
        <w:tc>
          <w:tcPr>
            <w:tcW w:w="1085" w:type="pct"/>
            <w:vAlign w:val="center"/>
          </w:tcPr>
          <w:p w14:paraId="5194E8FA">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硅藻门根管藻属</w:t>
            </w:r>
          </w:p>
        </w:tc>
        <w:tc>
          <w:tcPr>
            <w:tcW w:w="1072" w:type="pct"/>
            <w:noWrap/>
            <w:vAlign w:val="center"/>
          </w:tcPr>
          <w:p w14:paraId="7296D4F4">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柔弱根管藻</w:t>
            </w:r>
          </w:p>
        </w:tc>
        <w:tc>
          <w:tcPr>
            <w:tcW w:w="1398" w:type="pct"/>
            <w:noWrap/>
            <w:vAlign w:val="center"/>
          </w:tcPr>
          <w:p w14:paraId="33EB52FE">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Rhizosolenia delicatula</w:t>
            </w:r>
          </w:p>
        </w:tc>
        <w:tc>
          <w:tcPr>
            <w:tcW w:w="683" w:type="pct"/>
            <w:noWrap/>
            <w:vAlign w:val="center"/>
          </w:tcPr>
          <w:p w14:paraId="6EAC9921">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33EDE4C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464D56CA">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74EB3BDA">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25</w:t>
            </w:r>
          </w:p>
        </w:tc>
        <w:tc>
          <w:tcPr>
            <w:tcW w:w="1085" w:type="pct"/>
            <w:vAlign w:val="center"/>
          </w:tcPr>
          <w:p w14:paraId="4F808D39">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硅藻门根管藻属</w:t>
            </w:r>
          </w:p>
        </w:tc>
        <w:tc>
          <w:tcPr>
            <w:tcW w:w="1072" w:type="pct"/>
            <w:noWrap/>
            <w:vAlign w:val="center"/>
          </w:tcPr>
          <w:p w14:paraId="1D49ACF8">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脆根管藻</w:t>
            </w:r>
          </w:p>
        </w:tc>
        <w:tc>
          <w:tcPr>
            <w:tcW w:w="1398" w:type="pct"/>
            <w:noWrap/>
            <w:vAlign w:val="center"/>
          </w:tcPr>
          <w:p w14:paraId="4F08A457">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Rhizosolenia fragilissima</w:t>
            </w:r>
          </w:p>
        </w:tc>
        <w:tc>
          <w:tcPr>
            <w:tcW w:w="683" w:type="pct"/>
            <w:noWrap/>
            <w:vAlign w:val="center"/>
          </w:tcPr>
          <w:p w14:paraId="13E1DB2F">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789563F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327A9169">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57DCD010">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26</w:t>
            </w:r>
          </w:p>
        </w:tc>
        <w:tc>
          <w:tcPr>
            <w:tcW w:w="1085" w:type="pct"/>
            <w:vAlign w:val="center"/>
          </w:tcPr>
          <w:p w14:paraId="518924F8">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硅藻门根管藻属</w:t>
            </w:r>
          </w:p>
        </w:tc>
        <w:tc>
          <w:tcPr>
            <w:tcW w:w="1072" w:type="pct"/>
            <w:noWrap/>
            <w:vAlign w:val="center"/>
          </w:tcPr>
          <w:p w14:paraId="6CD75F83">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中华根管藻</w:t>
            </w:r>
          </w:p>
        </w:tc>
        <w:tc>
          <w:tcPr>
            <w:tcW w:w="1398" w:type="pct"/>
            <w:noWrap/>
            <w:vAlign w:val="center"/>
          </w:tcPr>
          <w:p w14:paraId="5296E790">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Rhizosolenia sinensis</w:t>
            </w:r>
          </w:p>
        </w:tc>
        <w:tc>
          <w:tcPr>
            <w:tcW w:w="683" w:type="pct"/>
            <w:noWrap/>
            <w:vAlign w:val="center"/>
          </w:tcPr>
          <w:p w14:paraId="4366679F">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6967112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52C660CA">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1B5800CC">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27</w:t>
            </w:r>
          </w:p>
        </w:tc>
        <w:tc>
          <w:tcPr>
            <w:tcW w:w="1085" w:type="pct"/>
            <w:vAlign w:val="center"/>
          </w:tcPr>
          <w:p w14:paraId="6BF94DA2">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硅藻门根管藻属</w:t>
            </w:r>
          </w:p>
        </w:tc>
        <w:tc>
          <w:tcPr>
            <w:tcW w:w="1072" w:type="pct"/>
            <w:noWrap/>
            <w:vAlign w:val="center"/>
          </w:tcPr>
          <w:p w14:paraId="71DC8FB1">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刚毛根管藻</w:t>
            </w:r>
          </w:p>
        </w:tc>
        <w:tc>
          <w:tcPr>
            <w:tcW w:w="1398" w:type="pct"/>
            <w:noWrap/>
            <w:vAlign w:val="center"/>
          </w:tcPr>
          <w:p w14:paraId="06B82F09">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Rhizosolenia setigera</w:t>
            </w:r>
          </w:p>
        </w:tc>
        <w:tc>
          <w:tcPr>
            <w:tcW w:w="683" w:type="pct"/>
            <w:noWrap/>
            <w:vAlign w:val="center"/>
          </w:tcPr>
          <w:p w14:paraId="2B69845A">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563C14B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6239F816">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6E45CE30">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28</w:t>
            </w:r>
          </w:p>
        </w:tc>
        <w:tc>
          <w:tcPr>
            <w:tcW w:w="1085" w:type="pct"/>
            <w:vAlign w:val="center"/>
          </w:tcPr>
          <w:p w14:paraId="53CCA6A0">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硅藻门骨条藻属</w:t>
            </w:r>
          </w:p>
        </w:tc>
        <w:tc>
          <w:tcPr>
            <w:tcW w:w="1072" w:type="pct"/>
            <w:noWrap/>
            <w:vAlign w:val="center"/>
          </w:tcPr>
          <w:p w14:paraId="639F8B20">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中肋骨条藻</w:t>
            </w:r>
          </w:p>
        </w:tc>
        <w:tc>
          <w:tcPr>
            <w:tcW w:w="1398" w:type="pct"/>
            <w:noWrap/>
            <w:vAlign w:val="center"/>
          </w:tcPr>
          <w:p w14:paraId="4E289D4C">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Skeletonema costatum</w:t>
            </w:r>
          </w:p>
        </w:tc>
        <w:tc>
          <w:tcPr>
            <w:tcW w:w="683" w:type="pct"/>
            <w:noWrap/>
            <w:vAlign w:val="center"/>
          </w:tcPr>
          <w:p w14:paraId="789F99A3">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3ECFCAE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7A0CD508">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4C6F0FA6">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29</w:t>
            </w:r>
          </w:p>
        </w:tc>
        <w:tc>
          <w:tcPr>
            <w:tcW w:w="1085" w:type="pct"/>
            <w:vAlign w:val="center"/>
          </w:tcPr>
          <w:p w14:paraId="5D57A23E">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硅藻门海线藻属</w:t>
            </w:r>
          </w:p>
        </w:tc>
        <w:tc>
          <w:tcPr>
            <w:tcW w:w="1072" w:type="pct"/>
            <w:noWrap/>
            <w:vAlign w:val="center"/>
          </w:tcPr>
          <w:p w14:paraId="0E63B0ED">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菱形海线藻</w:t>
            </w:r>
          </w:p>
        </w:tc>
        <w:tc>
          <w:tcPr>
            <w:tcW w:w="1398" w:type="pct"/>
            <w:noWrap/>
            <w:vAlign w:val="center"/>
          </w:tcPr>
          <w:p w14:paraId="226BE5E0">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Thalassionema nitzschioides</w:t>
            </w:r>
          </w:p>
        </w:tc>
        <w:tc>
          <w:tcPr>
            <w:tcW w:w="683" w:type="pct"/>
            <w:noWrap/>
            <w:vAlign w:val="center"/>
          </w:tcPr>
          <w:p w14:paraId="184D1915">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6B67873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25E602A2">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01D7941E">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30</w:t>
            </w:r>
          </w:p>
        </w:tc>
        <w:tc>
          <w:tcPr>
            <w:tcW w:w="1085" w:type="pct"/>
            <w:vAlign w:val="center"/>
          </w:tcPr>
          <w:p w14:paraId="4BC84FA4">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硅藻门海毛藻属</w:t>
            </w:r>
          </w:p>
        </w:tc>
        <w:tc>
          <w:tcPr>
            <w:tcW w:w="1072" w:type="pct"/>
            <w:noWrap/>
            <w:vAlign w:val="center"/>
          </w:tcPr>
          <w:p w14:paraId="29032796">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佛氏海毛藻</w:t>
            </w:r>
          </w:p>
        </w:tc>
        <w:tc>
          <w:tcPr>
            <w:tcW w:w="1398" w:type="pct"/>
            <w:noWrap/>
            <w:vAlign w:val="center"/>
          </w:tcPr>
          <w:p w14:paraId="0EA81490">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Thalassiothrix frauenfeldii</w:t>
            </w:r>
          </w:p>
        </w:tc>
        <w:tc>
          <w:tcPr>
            <w:tcW w:w="683" w:type="pct"/>
            <w:noWrap/>
            <w:vAlign w:val="center"/>
          </w:tcPr>
          <w:p w14:paraId="654B5C9C">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4B6BEA7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65FB777A">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4FEAEDED">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31</w:t>
            </w:r>
          </w:p>
        </w:tc>
        <w:tc>
          <w:tcPr>
            <w:tcW w:w="1085" w:type="pct"/>
            <w:vAlign w:val="center"/>
          </w:tcPr>
          <w:p w14:paraId="26E369E1">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硅藻门海毛藻属</w:t>
            </w:r>
          </w:p>
        </w:tc>
        <w:tc>
          <w:tcPr>
            <w:tcW w:w="1072" w:type="pct"/>
            <w:noWrap/>
            <w:vAlign w:val="center"/>
          </w:tcPr>
          <w:p w14:paraId="4592C64E">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长海毛藻</w:t>
            </w:r>
          </w:p>
        </w:tc>
        <w:tc>
          <w:tcPr>
            <w:tcW w:w="1398" w:type="pct"/>
            <w:noWrap/>
            <w:vAlign w:val="center"/>
          </w:tcPr>
          <w:p w14:paraId="341442A8">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Thalassiothrix longissima</w:t>
            </w:r>
          </w:p>
        </w:tc>
        <w:tc>
          <w:tcPr>
            <w:tcW w:w="683" w:type="pct"/>
            <w:noWrap/>
            <w:vAlign w:val="center"/>
          </w:tcPr>
          <w:p w14:paraId="767090CD">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4F38395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0811008C">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7D012DC9">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32</w:t>
            </w:r>
          </w:p>
        </w:tc>
        <w:tc>
          <w:tcPr>
            <w:tcW w:w="1085" w:type="pct"/>
            <w:vAlign w:val="center"/>
          </w:tcPr>
          <w:p w14:paraId="11E42F2F">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硅藻门海链藻属</w:t>
            </w:r>
          </w:p>
        </w:tc>
        <w:tc>
          <w:tcPr>
            <w:tcW w:w="1072" w:type="pct"/>
            <w:noWrap/>
            <w:vAlign w:val="center"/>
          </w:tcPr>
          <w:p w14:paraId="34C7770B">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细弱海链藻</w:t>
            </w:r>
          </w:p>
        </w:tc>
        <w:tc>
          <w:tcPr>
            <w:tcW w:w="1398" w:type="pct"/>
            <w:noWrap/>
            <w:vAlign w:val="center"/>
          </w:tcPr>
          <w:p w14:paraId="41558DBB">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Thalassiosira subtilis</w:t>
            </w:r>
          </w:p>
        </w:tc>
        <w:tc>
          <w:tcPr>
            <w:tcW w:w="683" w:type="pct"/>
            <w:noWrap/>
            <w:vAlign w:val="center"/>
          </w:tcPr>
          <w:p w14:paraId="772EE7C6">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0AFFCAA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266970C3">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5C0CE233">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33</w:t>
            </w:r>
          </w:p>
        </w:tc>
        <w:tc>
          <w:tcPr>
            <w:tcW w:w="1085" w:type="pct"/>
            <w:vAlign w:val="center"/>
          </w:tcPr>
          <w:p w14:paraId="2CD14C32">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硅藻门海链藻属</w:t>
            </w:r>
          </w:p>
        </w:tc>
        <w:tc>
          <w:tcPr>
            <w:tcW w:w="1072" w:type="pct"/>
            <w:noWrap/>
            <w:vAlign w:val="center"/>
          </w:tcPr>
          <w:p w14:paraId="6A28E506">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圆海链藻</w:t>
            </w:r>
          </w:p>
        </w:tc>
        <w:tc>
          <w:tcPr>
            <w:tcW w:w="1398" w:type="pct"/>
            <w:noWrap/>
            <w:vAlign w:val="center"/>
          </w:tcPr>
          <w:p w14:paraId="7BA47CF0">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Thalassiosira rotula</w:t>
            </w:r>
          </w:p>
        </w:tc>
        <w:tc>
          <w:tcPr>
            <w:tcW w:w="683" w:type="pct"/>
            <w:noWrap/>
            <w:vAlign w:val="center"/>
          </w:tcPr>
          <w:p w14:paraId="63E8CEE8">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34A5431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0BC807BC">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6477581F">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34</w:t>
            </w:r>
          </w:p>
        </w:tc>
        <w:tc>
          <w:tcPr>
            <w:tcW w:w="1085" w:type="pct"/>
            <w:vAlign w:val="center"/>
          </w:tcPr>
          <w:p w14:paraId="61CD3E61">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甲藻门多甲藻属</w:t>
            </w:r>
          </w:p>
        </w:tc>
        <w:tc>
          <w:tcPr>
            <w:tcW w:w="1072" w:type="pct"/>
            <w:noWrap/>
            <w:vAlign w:val="center"/>
          </w:tcPr>
          <w:p w14:paraId="2E1F55AC">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叉分多甲藻</w:t>
            </w:r>
          </w:p>
        </w:tc>
        <w:tc>
          <w:tcPr>
            <w:tcW w:w="1398" w:type="pct"/>
            <w:noWrap/>
            <w:vAlign w:val="center"/>
          </w:tcPr>
          <w:p w14:paraId="6D36D708">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Peridinium divergens</w:t>
            </w:r>
          </w:p>
        </w:tc>
        <w:tc>
          <w:tcPr>
            <w:tcW w:w="683" w:type="pct"/>
            <w:noWrap/>
            <w:vAlign w:val="center"/>
          </w:tcPr>
          <w:p w14:paraId="52F62445">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6A7D780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restart"/>
            <w:noWrap/>
            <w:vAlign w:val="center"/>
          </w:tcPr>
          <w:p w14:paraId="69A0954F">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S4</w:t>
            </w:r>
          </w:p>
        </w:tc>
        <w:tc>
          <w:tcPr>
            <w:tcW w:w="403" w:type="pct"/>
            <w:noWrap/>
            <w:vAlign w:val="center"/>
          </w:tcPr>
          <w:p w14:paraId="1FA46E34">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w:t>
            </w:r>
          </w:p>
        </w:tc>
        <w:tc>
          <w:tcPr>
            <w:tcW w:w="1085" w:type="pct"/>
            <w:vAlign w:val="center"/>
          </w:tcPr>
          <w:p w14:paraId="790172C1">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硅藻门星杆藻属</w:t>
            </w:r>
          </w:p>
        </w:tc>
        <w:tc>
          <w:tcPr>
            <w:tcW w:w="1072" w:type="pct"/>
            <w:noWrap/>
            <w:vAlign w:val="center"/>
          </w:tcPr>
          <w:p w14:paraId="153C0624">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冰河拟星杆藻</w:t>
            </w:r>
          </w:p>
        </w:tc>
        <w:tc>
          <w:tcPr>
            <w:tcW w:w="1398" w:type="pct"/>
            <w:noWrap/>
            <w:vAlign w:val="center"/>
          </w:tcPr>
          <w:p w14:paraId="12D89D1D">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Amphora coffeaeformis</w:t>
            </w:r>
          </w:p>
        </w:tc>
        <w:tc>
          <w:tcPr>
            <w:tcW w:w="683" w:type="pct"/>
            <w:noWrap/>
            <w:vAlign w:val="center"/>
          </w:tcPr>
          <w:p w14:paraId="26690A85">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2EF7320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24D34469">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0F4903CD">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w:t>
            </w:r>
          </w:p>
        </w:tc>
        <w:tc>
          <w:tcPr>
            <w:tcW w:w="1085" w:type="pct"/>
            <w:vAlign w:val="center"/>
          </w:tcPr>
          <w:p w14:paraId="2F338734">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硅藻门盒形藻属</w:t>
            </w:r>
          </w:p>
        </w:tc>
        <w:tc>
          <w:tcPr>
            <w:tcW w:w="1072" w:type="pct"/>
            <w:noWrap/>
            <w:vAlign w:val="center"/>
          </w:tcPr>
          <w:p w14:paraId="528647BE">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中华盒形藻</w:t>
            </w:r>
          </w:p>
        </w:tc>
        <w:tc>
          <w:tcPr>
            <w:tcW w:w="1398" w:type="pct"/>
            <w:noWrap/>
            <w:vAlign w:val="center"/>
          </w:tcPr>
          <w:p w14:paraId="45E82DAE">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Biddulphia sinensis</w:t>
            </w:r>
          </w:p>
        </w:tc>
        <w:tc>
          <w:tcPr>
            <w:tcW w:w="683" w:type="pct"/>
            <w:noWrap/>
            <w:vAlign w:val="center"/>
          </w:tcPr>
          <w:p w14:paraId="3D4783EA">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2786A15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169BFDA4">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7F76A8E6">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w:t>
            </w:r>
          </w:p>
        </w:tc>
        <w:tc>
          <w:tcPr>
            <w:tcW w:w="1085" w:type="pct"/>
            <w:vAlign w:val="center"/>
          </w:tcPr>
          <w:p w14:paraId="342D2FD8">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硅藻门角毛藻属</w:t>
            </w:r>
          </w:p>
        </w:tc>
        <w:tc>
          <w:tcPr>
            <w:tcW w:w="1072" w:type="pct"/>
            <w:noWrap/>
            <w:vAlign w:val="center"/>
          </w:tcPr>
          <w:p w14:paraId="6B9C74A4">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范氏角毛藻</w:t>
            </w:r>
          </w:p>
        </w:tc>
        <w:tc>
          <w:tcPr>
            <w:tcW w:w="1398" w:type="pct"/>
            <w:noWrap/>
            <w:vAlign w:val="center"/>
          </w:tcPr>
          <w:p w14:paraId="4FB2C24E">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Chaetoceros van-heurckii</w:t>
            </w:r>
          </w:p>
        </w:tc>
        <w:tc>
          <w:tcPr>
            <w:tcW w:w="683" w:type="pct"/>
            <w:noWrap/>
            <w:vAlign w:val="center"/>
          </w:tcPr>
          <w:p w14:paraId="6089AFF0">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074BC54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26F63B1A">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29FEBFE4">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4</w:t>
            </w:r>
          </w:p>
        </w:tc>
        <w:tc>
          <w:tcPr>
            <w:tcW w:w="1085" w:type="pct"/>
            <w:vAlign w:val="center"/>
          </w:tcPr>
          <w:p w14:paraId="37D53AE3">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硅藻门角毛藻属</w:t>
            </w:r>
          </w:p>
        </w:tc>
        <w:tc>
          <w:tcPr>
            <w:tcW w:w="1072" w:type="pct"/>
            <w:noWrap/>
            <w:vAlign w:val="center"/>
          </w:tcPr>
          <w:p w14:paraId="2A7F3ACF">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旋链角毛藻</w:t>
            </w:r>
          </w:p>
        </w:tc>
        <w:tc>
          <w:tcPr>
            <w:tcW w:w="1398" w:type="pct"/>
            <w:noWrap/>
            <w:vAlign w:val="center"/>
          </w:tcPr>
          <w:p w14:paraId="54D5BA70">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Chaetoceros curvisetus</w:t>
            </w:r>
          </w:p>
        </w:tc>
        <w:tc>
          <w:tcPr>
            <w:tcW w:w="683" w:type="pct"/>
            <w:noWrap/>
            <w:vAlign w:val="center"/>
          </w:tcPr>
          <w:p w14:paraId="73CAAE42">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0831E63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048B34E7">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5FE4C0AB">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5</w:t>
            </w:r>
          </w:p>
        </w:tc>
        <w:tc>
          <w:tcPr>
            <w:tcW w:w="1085" w:type="pct"/>
            <w:vAlign w:val="center"/>
          </w:tcPr>
          <w:p w14:paraId="2BE1FEF2">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硅藻门角毛藻属</w:t>
            </w:r>
          </w:p>
        </w:tc>
        <w:tc>
          <w:tcPr>
            <w:tcW w:w="1072" w:type="pct"/>
            <w:noWrap/>
            <w:vAlign w:val="center"/>
          </w:tcPr>
          <w:p w14:paraId="278ABB0F">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柔弱角毛藻</w:t>
            </w:r>
          </w:p>
        </w:tc>
        <w:tc>
          <w:tcPr>
            <w:tcW w:w="1398" w:type="pct"/>
            <w:noWrap/>
            <w:vAlign w:val="center"/>
          </w:tcPr>
          <w:p w14:paraId="293262C7">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Chaetoceros debilis</w:t>
            </w:r>
          </w:p>
        </w:tc>
        <w:tc>
          <w:tcPr>
            <w:tcW w:w="683" w:type="pct"/>
            <w:noWrap/>
            <w:vAlign w:val="center"/>
          </w:tcPr>
          <w:p w14:paraId="39033487">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457B129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6E825CE7">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58C05E7E">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6</w:t>
            </w:r>
          </w:p>
        </w:tc>
        <w:tc>
          <w:tcPr>
            <w:tcW w:w="1085" w:type="pct"/>
            <w:vAlign w:val="center"/>
          </w:tcPr>
          <w:p w14:paraId="4385440B">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硅藻门角毛藻属</w:t>
            </w:r>
          </w:p>
        </w:tc>
        <w:tc>
          <w:tcPr>
            <w:tcW w:w="1072" w:type="pct"/>
            <w:noWrap/>
            <w:vAlign w:val="center"/>
          </w:tcPr>
          <w:p w14:paraId="5394FF29">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暹罗角毛藻</w:t>
            </w:r>
          </w:p>
        </w:tc>
        <w:tc>
          <w:tcPr>
            <w:tcW w:w="1398" w:type="pct"/>
            <w:noWrap/>
            <w:vAlign w:val="center"/>
          </w:tcPr>
          <w:p w14:paraId="12D08E17">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Chaetoceros siamense</w:t>
            </w:r>
          </w:p>
        </w:tc>
        <w:tc>
          <w:tcPr>
            <w:tcW w:w="683" w:type="pct"/>
            <w:noWrap/>
            <w:vAlign w:val="center"/>
          </w:tcPr>
          <w:p w14:paraId="25262E95">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66BD20F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05DC55F7">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505377BA">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7</w:t>
            </w:r>
          </w:p>
        </w:tc>
        <w:tc>
          <w:tcPr>
            <w:tcW w:w="1085" w:type="pct"/>
            <w:vAlign w:val="center"/>
          </w:tcPr>
          <w:p w14:paraId="34FB917B">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硅藻门角管藻属</w:t>
            </w:r>
          </w:p>
        </w:tc>
        <w:tc>
          <w:tcPr>
            <w:tcW w:w="1072" w:type="pct"/>
            <w:noWrap/>
            <w:vAlign w:val="center"/>
          </w:tcPr>
          <w:p w14:paraId="45130BB6">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大洋角管藻</w:t>
            </w:r>
          </w:p>
        </w:tc>
        <w:tc>
          <w:tcPr>
            <w:tcW w:w="1398" w:type="pct"/>
            <w:noWrap/>
            <w:vAlign w:val="center"/>
          </w:tcPr>
          <w:p w14:paraId="0002C9E4">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Cerataulina pelagica</w:t>
            </w:r>
          </w:p>
        </w:tc>
        <w:tc>
          <w:tcPr>
            <w:tcW w:w="683" w:type="pct"/>
            <w:noWrap/>
            <w:vAlign w:val="center"/>
          </w:tcPr>
          <w:p w14:paraId="759FE359">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5F8F84C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0F11276C">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4E582304">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8</w:t>
            </w:r>
          </w:p>
        </w:tc>
        <w:tc>
          <w:tcPr>
            <w:tcW w:w="1085" w:type="pct"/>
            <w:vAlign w:val="center"/>
          </w:tcPr>
          <w:p w14:paraId="6F5B4DFE">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硅藻门圆筛藻属</w:t>
            </w:r>
          </w:p>
        </w:tc>
        <w:tc>
          <w:tcPr>
            <w:tcW w:w="1072" w:type="pct"/>
            <w:noWrap/>
            <w:vAlign w:val="center"/>
          </w:tcPr>
          <w:p w14:paraId="448F4E84">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细弱圆筛藻</w:t>
            </w:r>
          </w:p>
        </w:tc>
        <w:tc>
          <w:tcPr>
            <w:tcW w:w="1398" w:type="pct"/>
            <w:noWrap/>
            <w:vAlign w:val="center"/>
          </w:tcPr>
          <w:p w14:paraId="6382A4F2">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Coscinodiscus subtilis</w:t>
            </w:r>
          </w:p>
        </w:tc>
        <w:tc>
          <w:tcPr>
            <w:tcW w:w="683" w:type="pct"/>
            <w:noWrap/>
            <w:vAlign w:val="center"/>
          </w:tcPr>
          <w:p w14:paraId="6FC0C08A">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65C885D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16954F29">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43E251C5">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9</w:t>
            </w:r>
          </w:p>
        </w:tc>
        <w:tc>
          <w:tcPr>
            <w:tcW w:w="1085" w:type="pct"/>
            <w:vAlign w:val="center"/>
          </w:tcPr>
          <w:p w14:paraId="7B5B4E8B">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硅藻门小环藻属</w:t>
            </w:r>
          </w:p>
        </w:tc>
        <w:tc>
          <w:tcPr>
            <w:tcW w:w="1072" w:type="pct"/>
            <w:noWrap/>
            <w:vAlign w:val="center"/>
          </w:tcPr>
          <w:p w14:paraId="773A2BCD">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条纹小环藻</w:t>
            </w:r>
          </w:p>
        </w:tc>
        <w:tc>
          <w:tcPr>
            <w:tcW w:w="1398" w:type="pct"/>
            <w:noWrap/>
            <w:vAlign w:val="center"/>
          </w:tcPr>
          <w:p w14:paraId="3B07F390">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Cyclotella striata</w:t>
            </w:r>
          </w:p>
        </w:tc>
        <w:tc>
          <w:tcPr>
            <w:tcW w:w="683" w:type="pct"/>
            <w:noWrap/>
            <w:vAlign w:val="center"/>
          </w:tcPr>
          <w:p w14:paraId="1090B0B4">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0620BDE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51FD6517">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3E9EB927">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10</w:t>
            </w:r>
          </w:p>
        </w:tc>
        <w:tc>
          <w:tcPr>
            <w:tcW w:w="1085" w:type="pct"/>
            <w:vAlign w:val="center"/>
          </w:tcPr>
          <w:p w14:paraId="46CAEB7E">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硅藻门筒柱藻属</w:t>
            </w:r>
          </w:p>
        </w:tc>
        <w:tc>
          <w:tcPr>
            <w:tcW w:w="1072" w:type="pct"/>
            <w:noWrap/>
            <w:vAlign w:val="center"/>
          </w:tcPr>
          <w:p w14:paraId="4578BD35">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新月筒柱藻</w:t>
            </w:r>
          </w:p>
        </w:tc>
        <w:tc>
          <w:tcPr>
            <w:tcW w:w="1398" w:type="pct"/>
            <w:noWrap/>
            <w:vAlign w:val="center"/>
          </w:tcPr>
          <w:p w14:paraId="209BC6D0">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Cylindrotheca closterium</w:t>
            </w:r>
          </w:p>
        </w:tc>
        <w:tc>
          <w:tcPr>
            <w:tcW w:w="683" w:type="pct"/>
            <w:noWrap/>
            <w:vAlign w:val="center"/>
          </w:tcPr>
          <w:p w14:paraId="1AA7EF05">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2888444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43D5F890">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30FB3C37">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11</w:t>
            </w:r>
          </w:p>
        </w:tc>
        <w:tc>
          <w:tcPr>
            <w:tcW w:w="1085" w:type="pct"/>
            <w:vAlign w:val="center"/>
          </w:tcPr>
          <w:p w14:paraId="2D7B5A4F">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硅藻门双尾藻属</w:t>
            </w:r>
          </w:p>
        </w:tc>
        <w:tc>
          <w:tcPr>
            <w:tcW w:w="1072" w:type="pct"/>
            <w:noWrap/>
            <w:vAlign w:val="center"/>
          </w:tcPr>
          <w:p w14:paraId="78FC7E24">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布氏双尾藻</w:t>
            </w:r>
          </w:p>
        </w:tc>
        <w:tc>
          <w:tcPr>
            <w:tcW w:w="1398" w:type="pct"/>
            <w:noWrap/>
            <w:vAlign w:val="center"/>
          </w:tcPr>
          <w:p w14:paraId="68BCCB37">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Ditylum brightwellii</w:t>
            </w:r>
          </w:p>
        </w:tc>
        <w:tc>
          <w:tcPr>
            <w:tcW w:w="683" w:type="pct"/>
            <w:noWrap/>
            <w:vAlign w:val="center"/>
          </w:tcPr>
          <w:p w14:paraId="5B3A330C">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3630B77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2E5365AB">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547166E5">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12</w:t>
            </w:r>
          </w:p>
        </w:tc>
        <w:tc>
          <w:tcPr>
            <w:tcW w:w="1085" w:type="pct"/>
            <w:vAlign w:val="center"/>
          </w:tcPr>
          <w:p w14:paraId="1A7ECD34">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硅藻门几内亚藻属</w:t>
            </w:r>
          </w:p>
        </w:tc>
        <w:tc>
          <w:tcPr>
            <w:tcW w:w="1072" w:type="pct"/>
            <w:noWrap/>
            <w:vAlign w:val="center"/>
          </w:tcPr>
          <w:p w14:paraId="5766149B">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条纹几内亚藻</w:t>
            </w:r>
          </w:p>
        </w:tc>
        <w:tc>
          <w:tcPr>
            <w:tcW w:w="1398" w:type="pct"/>
            <w:noWrap/>
            <w:vAlign w:val="center"/>
          </w:tcPr>
          <w:p w14:paraId="7316FE50">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Guinardia  striata</w:t>
            </w:r>
          </w:p>
        </w:tc>
        <w:tc>
          <w:tcPr>
            <w:tcW w:w="683" w:type="pct"/>
            <w:noWrap/>
            <w:vAlign w:val="center"/>
          </w:tcPr>
          <w:p w14:paraId="541606C7">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7FB257D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77A8E5A5">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0C42E827">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13</w:t>
            </w:r>
          </w:p>
        </w:tc>
        <w:tc>
          <w:tcPr>
            <w:tcW w:w="1085" w:type="pct"/>
            <w:vAlign w:val="center"/>
          </w:tcPr>
          <w:p w14:paraId="6BCBA1F6">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硅藻门半管藻属</w:t>
            </w:r>
          </w:p>
        </w:tc>
        <w:tc>
          <w:tcPr>
            <w:tcW w:w="1072" w:type="pct"/>
            <w:noWrap/>
            <w:vAlign w:val="center"/>
          </w:tcPr>
          <w:p w14:paraId="37A6416D">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中华半管藻</w:t>
            </w:r>
          </w:p>
        </w:tc>
        <w:tc>
          <w:tcPr>
            <w:tcW w:w="1398" w:type="pct"/>
            <w:noWrap/>
            <w:vAlign w:val="center"/>
          </w:tcPr>
          <w:p w14:paraId="4E43EE29">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Hemiaulus sinensis</w:t>
            </w:r>
          </w:p>
        </w:tc>
        <w:tc>
          <w:tcPr>
            <w:tcW w:w="683" w:type="pct"/>
            <w:noWrap/>
            <w:vAlign w:val="center"/>
          </w:tcPr>
          <w:p w14:paraId="3E70128B">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13F94B8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27FF3BC3">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0F19D18D">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14</w:t>
            </w:r>
          </w:p>
        </w:tc>
        <w:tc>
          <w:tcPr>
            <w:tcW w:w="1085" w:type="pct"/>
            <w:vAlign w:val="center"/>
          </w:tcPr>
          <w:p w14:paraId="6729D2E3">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硅藻门半管藻属</w:t>
            </w:r>
          </w:p>
        </w:tc>
        <w:tc>
          <w:tcPr>
            <w:tcW w:w="1072" w:type="pct"/>
            <w:noWrap/>
            <w:vAlign w:val="center"/>
          </w:tcPr>
          <w:p w14:paraId="4550EFC4">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霍氏半管藻</w:t>
            </w:r>
          </w:p>
        </w:tc>
        <w:tc>
          <w:tcPr>
            <w:tcW w:w="1398" w:type="pct"/>
            <w:noWrap/>
            <w:vAlign w:val="center"/>
          </w:tcPr>
          <w:p w14:paraId="5F31B3AB">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Hemiaulus heurckii</w:t>
            </w:r>
          </w:p>
        </w:tc>
        <w:tc>
          <w:tcPr>
            <w:tcW w:w="683" w:type="pct"/>
            <w:noWrap/>
            <w:vAlign w:val="center"/>
          </w:tcPr>
          <w:p w14:paraId="43009A39">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32572FB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79928436">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1A9A8851">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15</w:t>
            </w:r>
          </w:p>
        </w:tc>
        <w:tc>
          <w:tcPr>
            <w:tcW w:w="1085" w:type="pct"/>
            <w:vAlign w:val="center"/>
          </w:tcPr>
          <w:p w14:paraId="1D6B09F9">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硅藻门半管藻属</w:t>
            </w:r>
          </w:p>
        </w:tc>
        <w:tc>
          <w:tcPr>
            <w:tcW w:w="1072" w:type="pct"/>
            <w:noWrap/>
            <w:vAlign w:val="center"/>
          </w:tcPr>
          <w:p w14:paraId="37F2A509">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膜质半管藻</w:t>
            </w:r>
          </w:p>
        </w:tc>
        <w:tc>
          <w:tcPr>
            <w:tcW w:w="1398" w:type="pct"/>
            <w:noWrap/>
            <w:vAlign w:val="center"/>
          </w:tcPr>
          <w:p w14:paraId="13A63F85">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Hemiaulus membranacus</w:t>
            </w:r>
          </w:p>
        </w:tc>
        <w:tc>
          <w:tcPr>
            <w:tcW w:w="683" w:type="pct"/>
            <w:noWrap/>
            <w:vAlign w:val="center"/>
          </w:tcPr>
          <w:p w14:paraId="06F362D3">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2814BE6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2BD1E662">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4915A52F">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16</w:t>
            </w:r>
          </w:p>
        </w:tc>
        <w:tc>
          <w:tcPr>
            <w:tcW w:w="1085" w:type="pct"/>
            <w:vAlign w:val="center"/>
          </w:tcPr>
          <w:p w14:paraId="6B6A6504">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硅藻门娄氏藻属</w:t>
            </w:r>
          </w:p>
        </w:tc>
        <w:tc>
          <w:tcPr>
            <w:tcW w:w="1072" w:type="pct"/>
            <w:noWrap/>
            <w:vAlign w:val="center"/>
          </w:tcPr>
          <w:p w14:paraId="690DC25D">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环纹娄氏藻</w:t>
            </w:r>
          </w:p>
        </w:tc>
        <w:tc>
          <w:tcPr>
            <w:tcW w:w="1398" w:type="pct"/>
            <w:noWrap/>
            <w:vAlign w:val="center"/>
          </w:tcPr>
          <w:p w14:paraId="2E2C0CC8">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Lauderia annulata</w:t>
            </w:r>
          </w:p>
        </w:tc>
        <w:tc>
          <w:tcPr>
            <w:tcW w:w="683" w:type="pct"/>
            <w:noWrap/>
            <w:vAlign w:val="center"/>
          </w:tcPr>
          <w:p w14:paraId="34F68CBA">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38E58FA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733F30F3">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75FC4F93">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17</w:t>
            </w:r>
          </w:p>
        </w:tc>
        <w:tc>
          <w:tcPr>
            <w:tcW w:w="1085" w:type="pct"/>
            <w:vAlign w:val="center"/>
          </w:tcPr>
          <w:p w14:paraId="59EB1985">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硅藻门细柱藻属</w:t>
            </w:r>
          </w:p>
        </w:tc>
        <w:tc>
          <w:tcPr>
            <w:tcW w:w="1072" w:type="pct"/>
            <w:noWrap/>
            <w:vAlign w:val="center"/>
          </w:tcPr>
          <w:p w14:paraId="4CA397F8">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丹麦细柱藻</w:t>
            </w:r>
          </w:p>
        </w:tc>
        <w:tc>
          <w:tcPr>
            <w:tcW w:w="1398" w:type="pct"/>
            <w:noWrap/>
            <w:vAlign w:val="center"/>
          </w:tcPr>
          <w:p w14:paraId="0174CBCA">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Leptocylindrus danicus</w:t>
            </w:r>
          </w:p>
        </w:tc>
        <w:tc>
          <w:tcPr>
            <w:tcW w:w="683" w:type="pct"/>
            <w:noWrap/>
            <w:vAlign w:val="center"/>
          </w:tcPr>
          <w:p w14:paraId="75E7DDCF">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274B247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0BB816ED">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2EE4C502">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18</w:t>
            </w:r>
          </w:p>
        </w:tc>
        <w:tc>
          <w:tcPr>
            <w:tcW w:w="1085" w:type="pct"/>
            <w:vAlign w:val="center"/>
          </w:tcPr>
          <w:p w14:paraId="03F918FF">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硅藻门楔形藻属</w:t>
            </w:r>
          </w:p>
        </w:tc>
        <w:tc>
          <w:tcPr>
            <w:tcW w:w="1072" w:type="pct"/>
            <w:noWrap/>
            <w:vAlign w:val="center"/>
          </w:tcPr>
          <w:p w14:paraId="5618D794">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纤细楔形藻</w:t>
            </w:r>
          </w:p>
        </w:tc>
        <w:tc>
          <w:tcPr>
            <w:tcW w:w="1398" w:type="pct"/>
            <w:noWrap/>
            <w:vAlign w:val="center"/>
          </w:tcPr>
          <w:p w14:paraId="148ACB8B">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Licmophora gracilis</w:t>
            </w:r>
          </w:p>
        </w:tc>
        <w:tc>
          <w:tcPr>
            <w:tcW w:w="683" w:type="pct"/>
            <w:noWrap/>
            <w:vAlign w:val="center"/>
          </w:tcPr>
          <w:p w14:paraId="4F1B1EBB">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5972F70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63D6BE89">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3015DD03">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19</w:t>
            </w:r>
          </w:p>
        </w:tc>
        <w:tc>
          <w:tcPr>
            <w:tcW w:w="1085" w:type="pct"/>
            <w:vAlign w:val="center"/>
          </w:tcPr>
          <w:p w14:paraId="70886810">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硅藻门缪氏藻属</w:t>
            </w:r>
          </w:p>
        </w:tc>
        <w:tc>
          <w:tcPr>
            <w:tcW w:w="1072" w:type="pct"/>
            <w:noWrap/>
            <w:vAlign w:val="center"/>
          </w:tcPr>
          <w:p w14:paraId="786A41D3">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膜状缪氏藻</w:t>
            </w:r>
          </w:p>
        </w:tc>
        <w:tc>
          <w:tcPr>
            <w:tcW w:w="1398" w:type="pct"/>
            <w:noWrap/>
            <w:vAlign w:val="center"/>
          </w:tcPr>
          <w:p w14:paraId="4940DDC5">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Meuniera membranacea</w:t>
            </w:r>
          </w:p>
        </w:tc>
        <w:tc>
          <w:tcPr>
            <w:tcW w:w="683" w:type="pct"/>
            <w:noWrap/>
            <w:vAlign w:val="center"/>
          </w:tcPr>
          <w:p w14:paraId="4E2C6F52">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74999E3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3186D73D">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3664FDE2">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20</w:t>
            </w:r>
          </w:p>
        </w:tc>
        <w:tc>
          <w:tcPr>
            <w:tcW w:w="1085" w:type="pct"/>
            <w:vAlign w:val="center"/>
          </w:tcPr>
          <w:p w14:paraId="1F9676AE">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硅藻门斜纹藻属</w:t>
            </w:r>
          </w:p>
        </w:tc>
        <w:tc>
          <w:tcPr>
            <w:tcW w:w="1072" w:type="pct"/>
            <w:noWrap/>
            <w:vAlign w:val="center"/>
          </w:tcPr>
          <w:p w14:paraId="414B532A">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端尖斜纹藻</w:t>
            </w:r>
          </w:p>
        </w:tc>
        <w:tc>
          <w:tcPr>
            <w:tcW w:w="1398" w:type="pct"/>
            <w:noWrap/>
            <w:vAlign w:val="center"/>
          </w:tcPr>
          <w:p w14:paraId="1751847A">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Pleurosigma acautum</w:t>
            </w:r>
          </w:p>
        </w:tc>
        <w:tc>
          <w:tcPr>
            <w:tcW w:w="683" w:type="pct"/>
            <w:noWrap/>
            <w:vAlign w:val="center"/>
          </w:tcPr>
          <w:p w14:paraId="7EFFB0C8">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6374984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5EF58638">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19533039">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21</w:t>
            </w:r>
          </w:p>
        </w:tc>
        <w:tc>
          <w:tcPr>
            <w:tcW w:w="1085" w:type="pct"/>
            <w:vAlign w:val="center"/>
          </w:tcPr>
          <w:p w14:paraId="10A21523">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硅藻门斜纹藻属</w:t>
            </w:r>
          </w:p>
        </w:tc>
        <w:tc>
          <w:tcPr>
            <w:tcW w:w="1072" w:type="pct"/>
            <w:noWrap/>
            <w:vAlign w:val="center"/>
          </w:tcPr>
          <w:p w14:paraId="78885227">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海洋斜纹藻</w:t>
            </w:r>
          </w:p>
        </w:tc>
        <w:tc>
          <w:tcPr>
            <w:tcW w:w="1398" w:type="pct"/>
            <w:noWrap/>
            <w:vAlign w:val="center"/>
          </w:tcPr>
          <w:p w14:paraId="4E0ED6A8">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Pleurosigma pelagicum</w:t>
            </w:r>
          </w:p>
        </w:tc>
        <w:tc>
          <w:tcPr>
            <w:tcW w:w="683" w:type="pct"/>
            <w:noWrap/>
            <w:vAlign w:val="center"/>
          </w:tcPr>
          <w:p w14:paraId="6FBE6AD7">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6009954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638FDB1E">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558C618F">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22</w:t>
            </w:r>
          </w:p>
        </w:tc>
        <w:tc>
          <w:tcPr>
            <w:tcW w:w="1085" w:type="pct"/>
            <w:vAlign w:val="center"/>
          </w:tcPr>
          <w:p w14:paraId="74849B40">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硅藻门拟菱形藻属</w:t>
            </w:r>
          </w:p>
        </w:tc>
        <w:tc>
          <w:tcPr>
            <w:tcW w:w="1072" w:type="pct"/>
            <w:noWrap/>
            <w:vAlign w:val="center"/>
          </w:tcPr>
          <w:p w14:paraId="3E6BF6DF">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柔弱拟菱形藻</w:t>
            </w:r>
          </w:p>
        </w:tc>
        <w:tc>
          <w:tcPr>
            <w:tcW w:w="1398" w:type="pct"/>
            <w:noWrap/>
            <w:vAlign w:val="center"/>
          </w:tcPr>
          <w:p w14:paraId="11B255B8">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Pseudo-nitzschia delicatissima</w:t>
            </w:r>
          </w:p>
        </w:tc>
        <w:tc>
          <w:tcPr>
            <w:tcW w:w="683" w:type="pct"/>
            <w:noWrap/>
            <w:vAlign w:val="center"/>
          </w:tcPr>
          <w:p w14:paraId="554253D0">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0993404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210467D2">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7E88BA8F">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23</w:t>
            </w:r>
          </w:p>
        </w:tc>
        <w:tc>
          <w:tcPr>
            <w:tcW w:w="1085" w:type="pct"/>
            <w:vAlign w:val="center"/>
          </w:tcPr>
          <w:p w14:paraId="25177EF1">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硅藻门拟菱形藻属</w:t>
            </w:r>
          </w:p>
        </w:tc>
        <w:tc>
          <w:tcPr>
            <w:tcW w:w="1072" w:type="pct"/>
            <w:noWrap/>
            <w:vAlign w:val="center"/>
          </w:tcPr>
          <w:p w14:paraId="1F1B5E07">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尖刺拟菱形藻</w:t>
            </w:r>
          </w:p>
        </w:tc>
        <w:tc>
          <w:tcPr>
            <w:tcW w:w="1398" w:type="pct"/>
            <w:noWrap/>
            <w:vAlign w:val="center"/>
          </w:tcPr>
          <w:p w14:paraId="7ED06855">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Pseudo-nitzschia pungens</w:t>
            </w:r>
          </w:p>
        </w:tc>
        <w:tc>
          <w:tcPr>
            <w:tcW w:w="683" w:type="pct"/>
            <w:noWrap/>
            <w:vAlign w:val="center"/>
          </w:tcPr>
          <w:p w14:paraId="68A3A291">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257A6EC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4346D6ED">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1D4707C4">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24</w:t>
            </w:r>
          </w:p>
        </w:tc>
        <w:tc>
          <w:tcPr>
            <w:tcW w:w="1085" w:type="pct"/>
            <w:vAlign w:val="center"/>
          </w:tcPr>
          <w:p w14:paraId="5A0F0B00">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硅藻门根管藻属</w:t>
            </w:r>
          </w:p>
        </w:tc>
        <w:tc>
          <w:tcPr>
            <w:tcW w:w="1072" w:type="pct"/>
            <w:noWrap/>
            <w:vAlign w:val="center"/>
          </w:tcPr>
          <w:p w14:paraId="46412DB4">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翼根管藻纤细变型</w:t>
            </w:r>
          </w:p>
        </w:tc>
        <w:tc>
          <w:tcPr>
            <w:tcW w:w="1398" w:type="pct"/>
            <w:noWrap/>
            <w:vAlign w:val="center"/>
          </w:tcPr>
          <w:p w14:paraId="11AA151A">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Rhizosolenia alata</w:t>
            </w:r>
            <w:r>
              <w:rPr>
                <w:color w:val="000000" w:themeColor="text1"/>
                <w:kern w:val="0"/>
                <w:sz w:val="21"/>
                <w:szCs w:val="21"/>
                <w14:textFill>
                  <w14:solidFill>
                    <w14:schemeClr w14:val="tx1"/>
                  </w14:solidFill>
                </w14:textFill>
              </w:rPr>
              <w:t xml:space="preserve"> f. </w:t>
            </w:r>
            <w:r>
              <w:rPr>
                <w:i/>
                <w:iCs/>
                <w:color w:val="000000" w:themeColor="text1"/>
                <w:kern w:val="0"/>
                <w:sz w:val="21"/>
                <w:szCs w:val="21"/>
                <w14:textFill>
                  <w14:solidFill>
                    <w14:schemeClr w14:val="tx1"/>
                  </w14:solidFill>
                </w14:textFill>
              </w:rPr>
              <w:t>gracillima</w:t>
            </w:r>
          </w:p>
        </w:tc>
        <w:tc>
          <w:tcPr>
            <w:tcW w:w="683" w:type="pct"/>
            <w:noWrap/>
            <w:vAlign w:val="center"/>
          </w:tcPr>
          <w:p w14:paraId="17025496">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2DE5166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683211D6">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62AE297D">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25</w:t>
            </w:r>
          </w:p>
        </w:tc>
        <w:tc>
          <w:tcPr>
            <w:tcW w:w="1085" w:type="pct"/>
            <w:vAlign w:val="center"/>
          </w:tcPr>
          <w:p w14:paraId="68FA4159">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硅藻门根管藻属</w:t>
            </w:r>
          </w:p>
        </w:tc>
        <w:tc>
          <w:tcPr>
            <w:tcW w:w="1072" w:type="pct"/>
            <w:noWrap/>
            <w:vAlign w:val="center"/>
          </w:tcPr>
          <w:p w14:paraId="341D917E">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柔弱根管藻</w:t>
            </w:r>
          </w:p>
        </w:tc>
        <w:tc>
          <w:tcPr>
            <w:tcW w:w="1398" w:type="pct"/>
            <w:noWrap/>
            <w:vAlign w:val="center"/>
          </w:tcPr>
          <w:p w14:paraId="4020AED8">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Rhizosolenia delicatula</w:t>
            </w:r>
          </w:p>
        </w:tc>
        <w:tc>
          <w:tcPr>
            <w:tcW w:w="683" w:type="pct"/>
            <w:noWrap/>
            <w:vAlign w:val="center"/>
          </w:tcPr>
          <w:p w14:paraId="3FD10F83">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7537123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78B32ED6">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169ABE92">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26</w:t>
            </w:r>
          </w:p>
        </w:tc>
        <w:tc>
          <w:tcPr>
            <w:tcW w:w="1085" w:type="pct"/>
            <w:vAlign w:val="center"/>
          </w:tcPr>
          <w:p w14:paraId="7D89EF5E">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硅藻门根管藻属</w:t>
            </w:r>
          </w:p>
        </w:tc>
        <w:tc>
          <w:tcPr>
            <w:tcW w:w="1072" w:type="pct"/>
            <w:noWrap/>
            <w:vAlign w:val="center"/>
          </w:tcPr>
          <w:p w14:paraId="136483F9">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脆根管藻</w:t>
            </w:r>
          </w:p>
        </w:tc>
        <w:tc>
          <w:tcPr>
            <w:tcW w:w="1398" w:type="pct"/>
            <w:noWrap/>
            <w:vAlign w:val="center"/>
          </w:tcPr>
          <w:p w14:paraId="1A88710B">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Rhizosolenia fragilissima</w:t>
            </w:r>
          </w:p>
        </w:tc>
        <w:tc>
          <w:tcPr>
            <w:tcW w:w="683" w:type="pct"/>
            <w:noWrap/>
            <w:vAlign w:val="center"/>
          </w:tcPr>
          <w:p w14:paraId="35A3B5DA">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2D4E16B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429E7B0E">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7800B1AE">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27</w:t>
            </w:r>
          </w:p>
        </w:tc>
        <w:tc>
          <w:tcPr>
            <w:tcW w:w="1085" w:type="pct"/>
            <w:vAlign w:val="center"/>
          </w:tcPr>
          <w:p w14:paraId="2EFCEEF8">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硅藻门根管藻属</w:t>
            </w:r>
          </w:p>
        </w:tc>
        <w:tc>
          <w:tcPr>
            <w:tcW w:w="1072" w:type="pct"/>
            <w:noWrap/>
            <w:vAlign w:val="center"/>
          </w:tcPr>
          <w:p w14:paraId="228A689C">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中华根管藻</w:t>
            </w:r>
          </w:p>
        </w:tc>
        <w:tc>
          <w:tcPr>
            <w:tcW w:w="1398" w:type="pct"/>
            <w:noWrap/>
            <w:vAlign w:val="center"/>
          </w:tcPr>
          <w:p w14:paraId="7A340202">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Rhizosolenia sinensis</w:t>
            </w:r>
          </w:p>
        </w:tc>
        <w:tc>
          <w:tcPr>
            <w:tcW w:w="683" w:type="pct"/>
            <w:noWrap/>
            <w:vAlign w:val="center"/>
          </w:tcPr>
          <w:p w14:paraId="6A10F658">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12C9A82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3913FD91">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73E3C947">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28</w:t>
            </w:r>
          </w:p>
        </w:tc>
        <w:tc>
          <w:tcPr>
            <w:tcW w:w="1085" w:type="pct"/>
            <w:vAlign w:val="center"/>
          </w:tcPr>
          <w:p w14:paraId="20E340F5">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硅藻门根管藻属</w:t>
            </w:r>
          </w:p>
        </w:tc>
        <w:tc>
          <w:tcPr>
            <w:tcW w:w="1072" w:type="pct"/>
            <w:noWrap/>
            <w:vAlign w:val="center"/>
          </w:tcPr>
          <w:p w14:paraId="3CF2E138">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刚毛根管藻</w:t>
            </w:r>
          </w:p>
        </w:tc>
        <w:tc>
          <w:tcPr>
            <w:tcW w:w="1398" w:type="pct"/>
            <w:noWrap/>
            <w:vAlign w:val="center"/>
          </w:tcPr>
          <w:p w14:paraId="7E9CEFD7">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Rhizosolenia setigera</w:t>
            </w:r>
          </w:p>
        </w:tc>
        <w:tc>
          <w:tcPr>
            <w:tcW w:w="683" w:type="pct"/>
            <w:noWrap/>
            <w:vAlign w:val="center"/>
          </w:tcPr>
          <w:p w14:paraId="79176631">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6E5DF63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4699B784">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5A81F187">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29</w:t>
            </w:r>
          </w:p>
        </w:tc>
        <w:tc>
          <w:tcPr>
            <w:tcW w:w="1085" w:type="pct"/>
            <w:vAlign w:val="center"/>
          </w:tcPr>
          <w:p w14:paraId="72DB26F1">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硅藻门骨条藻属</w:t>
            </w:r>
          </w:p>
        </w:tc>
        <w:tc>
          <w:tcPr>
            <w:tcW w:w="1072" w:type="pct"/>
            <w:noWrap/>
            <w:vAlign w:val="center"/>
          </w:tcPr>
          <w:p w14:paraId="43F21E58">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中肋骨条藻</w:t>
            </w:r>
          </w:p>
        </w:tc>
        <w:tc>
          <w:tcPr>
            <w:tcW w:w="1398" w:type="pct"/>
            <w:noWrap/>
            <w:vAlign w:val="center"/>
          </w:tcPr>
          <w:p w14:paraId="38F797E6">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Skeletonema costatum</w:t>
            </w:r>
          </w:p>
        </w:tc>
        <w:tc>
          <w:tcPr>
            <w:tcW w:w="683" w:type="pct"/>
            <w:noWrap/>
            <w:vAlign w:val="center"/>
          </w:tcPr>
          <w:p w14:paraId="045BA425">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720574A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6F1F70E3">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28A4A9FC">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30</w:t>
            </w:r>
          </w:p>
        </w:tc>
        <w:tc>
          <w:tcPr>
            <w:tcW w:w="1085" w:type="pct"/>
            <w:vAlign w:val="center"/>
          </w:tcPr>
          <w:p w14:paraId="158D6E46">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硅藻门海线藻属</w:t>
            </w:r>
          </w:p>
        </w:tc>
        <w:tc>
          <w:tcPr>
            <w:tcW w:w="1072" w:type="pct"/>
            <w:noWrap/>
            <w:vAlign w:val="center"/>
          </w:tcPr>
          <w:p w14:paraId="3BF97338">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菱形海线藻</w:t>
            </w:r>
          </w:p>
        </w:tc>
        <w:tc>
          <w:tcPr>
            <w:tcW w:w="1398" w:type="pct"/>
            <w:noWrap/>
            <w:vAlign w:val="center"/>
          </w:tcPr>
          <w:p w14:paraId="5DCC123D">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Thalassionema nitzschioides</w:t>
            </w:r>
          </w:p>
        </w:tc>
        <w:tc>
          <w:tcPr>
            <w:tcW w:w="683" w:type="pct"/>
            <w:noWrap/>
            <w:vAlign w:val="center"/>
          </w:tcPr>
          <w:p w14:paraId="60F0B1C7">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5D4C74A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0AE933E2">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3713AE8B">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31</w:t>
            </w:r>
          </w:p>
        </w:tc>
        <w:tc>
          <w:tcPr>
            <w:tcW w:w="1085" w:type="pct"/>
            <w:vAlign w:val="center"/>
          </w:tcPr>
          <w:p w14:paraId="0B44D6EA">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硅藻门海毛藻属</w:t>
            </w:r>
          </w:p>
        </w:tc>
        <w:tc>
          <w:tcPr>
            <w:tcW w:w="1072" w:type="pct"/>
            <w:noWrap/>
            <w:vAlign w:val="center"/>
          </w:tcPr>
          <w:p w14:paraId="74B4E91C">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佛氏海毛藻</w:t>
            </w:r>
          </w:p>
        </w:tc>
        <w:tc>
          <w:tcPr>
            <w:tcW w:w="1398" w:type="pct"/>
            <w:noWrap/>
            <w:vAlign w:val="center"/>
          </w:tcPr>
          <w:p w14:paraId="3AD3A508">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Thalassiothrix frauenfeldii</w:t>
            </w:r>
          </w:p>
        </w:tc>
        <w:tc>
          <w:tcPr>
            <w:tcW w:w="683" w:type="pct"/>
            <w:noWrap/>
            <w:vAlign w:val="center"/>
          </w:tcPr>
          <w:p w14:paraId="6ABB4133">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428BA68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7EB29F71">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19B185C0">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32</w:t>
            </w:r>
          </w:p>
        </w:tc>
        <w:tc>
          <w:tcPr>
            <w:tcW w:w="1085" w:type="pct"/>
            <w:vAlign w:val="center"/>
          </w:tcPr>
          <w:p w14:paraId="05E8A69D">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硅藻门海链藻属</w:t>
            </w:r>
          </w:p>
        </w:tc>
        <w:tc>
          <w:tcPr>
            <w:tcW w:w="1072" w:type="pct"/>
            <w:noWrap/>
            <w:vAlign w:val="center"/>
          </w:tcPr>
          <w:p w14:paraId="67FFEC1F">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圆海链藻</w:t>
            </w:r>
          </w:p>
        </w:tc>
        <w:tc>
          <w:tcPr>
            <w:tcW w:w="1398" w:type="pct"/>
            <w:noWrap/>
            <w:vAlign w:val="center"/>
          </w:tcPr>
          <w:p w14:paraId="1F8CD17B">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Thalassiosira rotula</w:t>
            </w:r>
          </w:p>
        </w:tc>
        <w:tc>
          <w:tcPr>
            <w:tcW w:w="683" w:type="pct"/>
            <w:noWrap/>
            <w:vAlign w:val="center"/>
          </w:tcPr>
          <w:p w14:paraId="3D2B6470">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37FDB06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restart"/>
            <w:noWrap/>
            <w:vAlign w:val="center"/>
          </w:tcPr>
          <w:p w14:paraId="247173CC">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S5</w:t>
            </w:r>
          </w:p>
        </w:tc>
        <w:tc>
          <w:tcPr>
            <w:tcW w:w="403" w:type="pct"/>
            <w:noWrap/>
            <w:vAlign w:val="center"/>
          </w:tcPr>
          <w:p w14:paraId="70059363">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w:t>
            </w:r>
          </w:p>
        </w:tc>
        <w:tc>
          <w:tcPr>
            <w:tcW w:w="1085" w:type="pct"/>
            <w:vAlign w:val="center"/>
          </w:tcPr>
          <w:p w14:paraId="7FBA65CD">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硅藻门星杆藻属</w:t>
            </w:r>
          </w:p>
        </w:tc>
        <w:tc>
          <w:tcPr>
            <w:tcW w:w="1072" w:type="pct"/>
            <w:noWrap/>
            <w:vAlign w:val="center"/>
          </w:tcPr>
          <w:p w14:paraId="2DA5E84E">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冰河拟星杆藻</w:t>
            </w:r>
          </w:p>
        </w:tc>
        <w:tc>
          <w:tcPr>
            <w:tcW w:w="1398" w:type="pct"/>
            <w:noWrap/>
            <w:vAlign w:val="center"/>
          </w:tcPr>
          <w:p w14:paraId="515DBE53">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Amphora coffeaeformis</w:t>
            </w:r>
          </w:p>
        </w:tc>
        <w:tc>
          <w:tcPr>
            <w:tcW w:w="683" w:type="pct"/>
            <w:noWrap/>
            <w:vAlign w:val="center"/>
          </w:tcPr>
          <w:p w14:paraId="507FE08E">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31E6660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6962544B">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63493FD9">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w:t>
            </w:r>
          </w:p>
        </w:tc>
        <w:tc>
          <w:tcPr>
            <w:tcW w:w="1085" w:type="pct"/>
            <w:vAlign w:val="center"/>
          </w:tcPr>
          <w:p w14:paraId="47BF1660">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硅藻门盒形藻属</w:t>
            </w:r>
          </w:p>
        </w:tc>
        <w:tc>
          <w:tcPr>
            <w:tcW w:w="1072" w:type="pct"/>
            <w:noWrap/>
            <w:vAlign w:val="center"/>
          </w:tcPr>
          <w:p w14:paraId="21751259">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中华盒形藻</w:t>
            </w:r>
          </w:p>
        </w:tc>
        <w:tc>
          <w:tcPr>
            <w:tcW w:w="1398" w:type="pct"/>
            <w:noWrap/>
            <w:vAlign w:val="center"/>
          </w:tcPr>
          <w:p w14:paraId="4914F5B3">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Biddulphia sinensis</w:t>
            </w:r>
          </w:p>
        </w:tc>
        <w:tc>
          <w:tcPr>
            <w:tcW w:w="683" w:type="pct"/>
            <w:noWrap/>
            <w:vAlign w:val="center"/>
          </w:tcPr>
          <w:p w14:paraId="48C83A42">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75C4645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3587FBC0">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3601601C">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w:t>
            </w:r>
          </w:p>
        </w:tc>
        <w:tc>
          <w:tcPr>
            <w:tcW w:w="1085" w:type="pct"/>
            <w:vAlign w:val="center"/>
          </w:tcPr>
          <w:p w14:paraId="079B5481">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硅藻门角毛藻属</w:t>
            </w:r>
          </w:p>
        </w:tc>
        <w:tc>
          <w:tcPr>
            <w:tcW w:w="1072" w:type="pct"/>
            <w:noWrap/>
            <w:vAlign w:val="center"/>
          </w:tcPr>
          <w:p w14:paraId="46B15E99">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旋链角毛藻</w:t>
            </w:r>
          </w:p>
        </w:tc>
        <w:tc>
          <w:tcPr>
            <w:tcW w:w="1398" w:type="pct"/>
            <w:noWrap/>
            <w:vAlign w:val="center"/>
          </w:tcPr>
          <w:p w14:paraId="7CF0033F">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Chaetoceros curvisetus</w:t>
            </w:r>
          </w:p>
        </w:tc>
        <w:tc>
          <w:tcPr>
            <w:tcW w:w="683" w:type="pct"/>
            <w:noWrap/>
            <w:vAlign w:val="center"/>
          </w:tcPr>
          <w:p w14:paraId="270C207E">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0ED0E6D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2A08BEE6">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0208E2F4">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4</w:t>
            </w:r>
          </w:p>
        </w:tc>
        <w:tc>
          <w:tcPr>
            <w:tcW w:w="1085" w:type="pct"/>
            <w:vAlign w:val="center"/>
          </w:tcPr>
          <w:p w14:paraId="341808C7">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硅藻门角毛藻属</w:t>
            </w:r>
          </w:p>
        </w:tc>
        <w:tc>
          <w:tcPr>
            <w:tcW w:w="1072" w:type="pct"/>
            <w:noWrap/>
            <w:vAlign w:val="center"/>
          </w:tcPr>
          <w:p w14:paraId="00AAC325">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中肋角毛藻</w:t>
            </w:r>
          </w:p>
        </w:tc>
        <w:tc>
          <w:tcPr>
            <w:tcW w:w="1398" w:type="pct"/>
            <w:noWrap/>
            <w:vAlign w:val="center"/>
          </w:tcPr>
          <w:p w14:paraId="1217122B">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Chaetoceros costatus</w:t>
            </w:r>
          </w:p>
        </w:tc>
        <w:tc>
          <w:tcPr>
            <w:tcW w:w="683" w:type="pct"/>
            <w:noWrap/>
            <w:vAlign w:val="center"/>
          </w:tcPr>
          <w:p w14:paraId="7778A91E">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10D3C9D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56DFE640">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7501C77F">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5</w:t>
            </w:r>
          </w:p>
        </w:tc>
        <w:tc>
          <w:tcPr>
            <w:tcW w:w="1085" w:type="pct"/>
            <w:vAlign w:val="center"/>
          </w:tcPr>
          <w:p w14:paraId="24C8B91B">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硅藻门小环藻属</w:t>
            </w:r>
          </w:p>
        </w:tc>
        <w:tc>
          <w:tcPr>
            <w:tcW w:w="1072" w:type="pct"/>
            <w:noWrap/>
            <w:vAlign w:val="center"/>
          </w:tcPr>
          <w:p w14:paraId="4E6099B1">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条纹小环藻</w:t>
            </w:r>
          </w:p>
        </w:tc>
        <w:tc>
          <w:tcPr>
            <w:tcW w:w="1398" w:type="pct"/>
            <w:noWrap/>
            <w:vAlign w:val="center"/>
          </w:tcPr>
          <w:p w14:paraId="6413571A">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Cyclotella striata</w:t>
            </w:r>
          </w:p>
        </w:tc>
        <w:tc>
          <w:tcPr>
            <w:tcW w:w="683" w:type="pct"/>
            <w:noWrap/>
            <w:vAlign w:val="center"/>
          </w:tcPr>
          <w:p w14:paraId="6A8EC490">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24F1B3C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38980AF9">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1122AD0A">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6</w:t>
            </w:r>
          </w:p>
        </w:tc>
        <w:tc>
          <w:tcPr>
            <w:tcW w:w="1085" w:type="pct"/>
            <w:vAlign w:val="center"/>
          </w:tcPr>
          <w:p w14:paraId="6F45884B">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硅藻门筒柱藻属</w:t>
            </w:r>
          </w:p>
        </w:tc>
        <w:tc>
          <w:tcPr>
            <w:tcW w:w="1072" w:type="pct"/>
            <w:noWrap/>
            <w:vAlign w:val="center"/>
          </w:tcPr>
          <w:p w14:paraId="265E34FE">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新月筒柱藻</w:t>
            </w:r>
          </w:p>
        </w:tc>
        <w:tc>
          <w:tcPr>
            <w:tcW w:w="1398" w:type="pct"/>
            <w:noWrap/>
            <w:vAlign w:val="center"/>
          </w:tcPr>
          <w:p w14:paraId="36D1DE6C">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Cylindrotheca closterium</w:t>
            </w:r>
          </w:p>
        </w:tc>
        <w:tc>
          <w:tcPr>
            <w:tcW w:w="683" w:type="pct"/>
            <w:noWrap/>
            <w:vAlign w:val="center"/>
          </w:tcPr>
          <w:p w14:paraId="27DFE378">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5E1A677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66D15AC5">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33559F57">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7</w:t>
            </w:r>
          </w:p>
        </w:tc>
        <w:tc>
          <w:tcPr>
            <w:tcW w:w="1085" w:type="pct"/>
            <w:vAlign w:val="center"/>
          </w:tcPr>
          <w:p w14:paraId="08E78460">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硅藻门双壁藻属</w:t>
            </w:r>
          </w:p>
        </w:tc>
        <w:tc>
          <w:tcPr>
            <w:tcW w:w="1072" w:type="pct"/>
            <w:noWrap/>
            <w:vAlign w:val="center"/>
          </w:tcPr>
          <w:p w14:paraId="468249B6">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双壁藻</w:t>
            </w:r>
          </w:p>
        </w:tc>
        <w:tc>
          <w:tcPr>
            <w:tcW w:w="1398" w:type="pct"/>
            <w:noWrap/>
            <w:vAlign w:val="center"/>
          </w:tcPr>
          <w:p w14:paraId="5092ED5C">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Diploneis</w:t>
            </w:r>
            <w:r>
              <w:rPr>
                <w:color w:val="000000" w:themeColor="text1"/>
                <w:kern w:val="0"/>
                <w:sz w:val="21"/>
                <w:szCs w:val="21"/>
                <w14:textFill>
                  <w14:solidFill>
                    <w14:schemeClr w14:val="tx1"/>
                  </w14:solidFill>
                </w14:textFill>
              </w:rPr>
              <w:t xml:space="preserve"> sp.</w:t>
            </w:r>
          </w:p>
        </w:tc>
        <w:tc>
          <w:tcPr>
            <w:tcW w:w="683" w:type="pct"/>
            <w:noWrap/>
            <w:vAlign w:val="center"/>
          </w:tcPr>
          <w:p w14:paraId="4BB391D9">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428F37A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32450805">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0135AEB5">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8</w:t>
            </w:r>
          </w:p>
        </w:tc>
        <w:tc>
          <w:tcPr>
            <w:tcW w:w="1085" w:type="pct"/>
            <w:vAlign w:val="center"/>
          </w:tcPr>
          <w:p w14:paraId="0F7B161C">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硅藻门双尾藻属</w:t>
            </w:r>
          </w:p>
        </w:tc>
        <w:tc>
          <w:tcPr>
            <w:tcW w:w="1072" w:type="pct"/>
            <w:noWrap/>
            <w:vAlign w:val="center"/>
          </w:tcPr>
          <w:p w14:paraId="1E6D0EFB">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布氏双尾藻</w:t>
            </w:r>
          </w:p>
        </w:tc>
        <w:tc>
          <w:tcPr>
            <w:tcW w:w="1398" w:type="pct"/>
            <w:noWrap/>
            <w:vAlign w:val="center"/>
          </w:tcPr>
          <w:p w14:paraId="60EB3517">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Ditylum brightwellii</w:t>
            </w:r>
          </w:p>
        </w:tc>
        <w:tc>
          <w:tcPr>
            <w:tcW w:w="683" w:type="pct"/>
            <w:noWrap/>
            <w:vAlign w:val="center"/>
          </w:tcPr>
          <w:p w14:paraId="7ACE273C">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3866FBC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217F8929">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31E95182">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9</w:t>
            </w:r>
          </w:p>
        </w:tc>
        <w:tc>
          <w:tcPr>
            <w:tcW w:w="1085" w:type="pct"/>
            <w:vAlign w:val="center"/>
          </w:tcPr>
          <w:p w14:paraId="20022262">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硅藻门双尾藻属</w:t>
            </w:r>
          </w:p>
        </w:tc>
        <w:tc>
          <w:tcPr>
            <w:tcW w:w="1072" w:type="pct"/>
            <w:noWrap/>
            <w:vAlign w:val="center"/>
          </w:tcPr>
          <w:p w14:paraId="7B76ED53">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太阳双尾藻</w:t>
            </w:r>
          </w:p>
        </w:tc>
        <w:tc>
          <w:tcPr>
            <w:tcW w:w="1398" w:type="pct"/>
            <w:noWrap/>
            <w:vAlign w:val="center"/>
          </w:tcPr>
          <w:p w14:paraId="791E31C7">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Ditylum sol</w:t>
            </w:r>
          </w:p>
        </w:tc>
        <w:tc>
          <w:tcPr>
            <w:tcW w:w="683" w:type="pct"/>
            <w:noWrap/>
            <w:vAlign w:val="center"/>
          </w:tcPr>
          <w:p w14:paraId="7A839DAE">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3F689E5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3D0B9DC7">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504EFF58">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10</w:t>
            </w:r>
          </w:p>
        </w:tc>
        <w:tc>
          <w:tcPr>
            <w:tcW w:w="1085" w:type="pct"/>
            <w:vAlign w:val="center"/>
          </w:tcPr>
          <w:p w14:paraId="1EE7FF84">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硅藻门几内亚藻属</w:t>
            </w:r>
          </w:p>
        </w:tc>
        <w:tc>
          <w:tcPr>
            <w:tcW w:w="1072" w:type="pct"/>
            <w:noWrap/>
            <w:vAlign w:val="center"/>
          </w:tcPr>
          <w:p w14:paraId="31678413">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条纹几内亚藻</w:t>
            </w:r>
          </w:p>
        </w:tc>
        <w:tc>
          <w:tcPr>
            <w:tcW w:w="1398" w:type="pct"/>
            <w:noWrap/>
            <w:vAlign w:val="center"/>
          </w:tcPr>
          <w:p w14:paraId="2615BB31">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Guinardia  striata</w:t>
            </w:r>
          </w:p>
        </w:tc>
        <w:tc>
          <w:tcPr>
            <w:tcW w:w="683" w:type="pct"/>
            <w:noWrap/>
            <w:vAlign w:val="center"/>
          </w:tcPr>
          <w:p w14:paraId="08A1342F">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78784BB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64B4BEBC">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16840A32">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11</w:t>
            </w:r>
          </w:p>
        </w:tc>
        <w:tc>
          <w:tcPr>
            <w:tcW w:w="1085" w:type="pct"/>
            <w:vAlign w:val="center"/>
          </w:tcPr>
          <w:p w14:paraId="5E7BE528">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硅藻门半管藻属</w:t>
            </w:r>
          </w:p>
        </w:tc>
        <w:tc>
          <w:tcPr>
            <w:tcW w:w="1072" w:type="pct"/>
            <w:noWrap/>
            <w:vAlign w:val="center"/>
          </w:tcPr>
          <w:p w14:paraId="0AEB4DCE">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中华半管藻</w:t>
            </w:r>
          </w:p>
        </w:tc>
        <w:tc>
          <w:tcPr>
            <w:tcW w:w="1398" w:type="pct"/>
            <w:noWrap/>
            <w:vAlign w:val="center"/>
          </w:tcPr>
          <w:p w14:paraId="4F8A75CC">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Hemiaulus sinensis</w:t>
            </w:r>
          </w:p>
        </w:tc>
        <w:tc>
          <w:tcPr>
            <w:tcW w:w="683" w:type="pct"/>
            <w:noWrap/>
            <w:vAlign w:val="center"/>
          </w:tcPr>
          <w:p w14:paraId="78FBD218">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0ABEC52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5D646DC6">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631945D1">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12</w:t>
            </w:r>
          </w:p>
        </w:tc>
        <w:tc>
          <w:tcPr>
            <w:tcW w:w="1085" w:type="pct"/>
            <w:vAlign w:val="center"/>
          </w:tcPr>
          <w:p w14:paraId="7D6EC582">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硅藻门娄氏藻属</w:t>
            </w:r>
          </w:p>
        </w:tc>
        <w:tc>
          <w:tcPr>
            <w:tcW w:w="1072" w:type="pct"/>
            <w:noWrap/>
            <w:vAlign w:val="center"/>
          </w:tcPr>
          <w:p w14:paraId="7B090512">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环纹娄氏藻</w:t>
            </w:r>
          </w:p>
        </w:tc>
        <w:tc>
          <w:tcPr>
            <w:tcW w:w="1398" w:type="pct"/>
            <w:noWrap/>
            <w:vAlign w:val="center"/>
          </w:tcPr>
          <w:p w14:paraId="2962CEBA">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Lauderia annulata</w:t>
            </w:r>
          </w:p>
        </w:tc>
        <w:tc>
          <w:tcPr>
            <w:tcW w:w="683" w:type="pct"/>
            <w:noWrap/>
            <w:vAlign w:val="center"/>
          </w:tcPr>
          <w:p w14:paraId="20AAA616">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6CAEB8D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0E526F33">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2DBFF0B5">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13</w:t>
            </w:r>
          </w:p>
        </w:tc>
        <w:tc>
          <w:tcPr>
            <w:tcW w:w="1085" w:type="pct"/>
            <w:vAlign w:val="center"/>
          </w:tcPr>
          <w:p w14:paraId="3EB54EAB">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硅藻门细柱藻属</w:t>
            </w:r>
          </w:p>
        </w:tc>
        <w:tc>
          <w:tcPr>
            <w:tcW w:w="1072" w:type="pct"/>
            <w:noWrap/>
            <w:vAlign w:val="center"/>
          </w:tcPr>
          <w:p w14:paraId="2FB4D3CF">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丹麦细柱藻</w:t>
            </w:r>
          </w:p>
        </w:tc>
        <w:tc>
          <w:tcPr>
            <w:tcW w:w="1398" w:type="pct"/>
            <w:noWrap/>
            <w:vAlign w:val="center"/>
          </w:tcPr>
          <w:p w14:paraId="08DDAA4E">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Leptocylindrus danicus</w:t>
            </w:r>
          </w:p>
        </w:tc>
        <w:tc>
          <w:tcPr>
            <w:tcW w:w="683" w:type="pct"/>
            <w:noWrap/>
            <w:vAlign w:val="center"/>
          </w:tcPr>
          <w:p w14:paraId="17D1A6FB">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51FB210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7FC8459F">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27DD0504">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14</w:t>
            </w:r>
          </w:p>
        </w:tc>
        <w:tc>
          <w:tcPr>
            <w:tcW w:w="1085" w:type="pct"/>
            <w:vAlign w:val="center"/>
          </w:tcPr>
          <w:p w14:paraId="5ED81A92">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硅藻门缪氏藻属</w:t>
            </w:r>
          </w:p>
        </w:tc>
        <w:tc>
          <w:tcPr>
            <w:tcW w:w="1072" w:type="pct"/>
            <w:noWrap/>
            <w:vAlign w:val="center"/>
          </w:tcPr>
          <w:p w14:paraId="3F98A00D">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膜状缪氏藻</w:t>
            </w:r>
          </w:p>
        </w:tc>
        <w:tc>
          <w:tcPr>
            <w:tcW w:w="1398" w:type="pct"/>
            <w:noWrap/>
            <w:vAlign w:val="center"/>
          </w:tcPr>
          <w:p w14:paraId="41A8A7D2">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Meuniera membranacea</w:t>
            </w:r>
          </w:p>
        </w:tc>
        <w:tc>
          <w:tcPr>
            <w:tcW w:w="683" w:type="pct"/>
            <w:noWrap/>
            <w:vAlign w:val="center"/>
          </w:tcPr>
          <w:p w14:paraId="32523C3A">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1085165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6ABDD2AD">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24121D04">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15</w:t>
            </w:r>
          </w:p>
        </w:tc>
        <w:tc>
          <w:tcPr>
            <w:tcW w:w="1085" w:type="pct"/>
            <w:vAlign w:val="center"/>
          </w:tcPr>
          <w:p w14:paraId="6F0B6E9E">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硅藻门菱形藻属</w:t>
            </w:r>
          </w:p>
        </w:tc>
        <w:tc>
          <w:tcPr>
            <w:tcW w:w="1072" w:type="pct"/>
            <w:noWrap/>
            <w:vAlign w:val="center"/>
          </w:tcPr>
          <w:p w14:paraId="2424F801">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菱形藻未定种</w:t>
            </w:r>
          </w:p>
        </w:tc>
        <w:tc>
          <w:tcPr>
            <w:tcW w:w="1398" w:type="pct"/>
            <w:noWrap/>
            <w:vAlign w:val="center"/>
          </w:tcPr>
          <w:p w14:paraId="7FBCFA59">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 xml:space="preserve">Nitzschia </w:t>
            </w:r>
            <w:r>
              <w:rPr>
                <w:color w:val="000000" w:themeColor="text1"/>
                <w:kern w:val="0"/>
                <w:sz w:val="21"/>
                <w:szCs w:val="21"/>
                <w14:textFill>
                  <w14:solidFill>
                    <w14:schemeClr w14:val="tx1"/>
                  </w14:solidFill>
                </w14:textFill>
              </w:rPr>
              <w:t>sp.</w:t>
            </w:r>
          </w:p>
        </w:tc>
        <w:tc>
          <w:tcPr>
            <w:tcW w:w="683" w:type="pct"/>
            <w:noWrap/>
            <w:vAlign w:val="center"/>
          </w:tcPr>
          <w:p w14:paraId="07DCB98C">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336DEF3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48347A92">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5768FDDB">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16</w:t>
            </w:r>
          </w:p>
        </w:tc>
        <w:tc>
          <w:tcPr>
            <w:tcW w:w="1085" w:type="pct"/>
            <w:vAlign w:val="center"/>
          </w:tcPr>
          <w:p w14:paraId="64531679">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硅藻门斜纹藻属</w:t>
            </w:r>
          </w:p>
        </w:tc>
        <w:tc>
          <w:tcPr>
            <w:tcW w:w="1072" w:type="pct"/>
            <w:noWrap/>
            <w:vAlign w:val="center"/>
          </w:tcPr>
          <w:p w14:paraId="2CAA8FC6">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端尖斜纹藻</w:t>
            </w:r>
          </w:p>
        </w:tc>
        <w:tc>
          <w:tcPr>
            <w:tcW w:w="1398" w:type="pct"/>
            <w:noWrap/>
            <w:vAlign w:val="center"/>
          </w:tcPr>
          <w:p w14:paraId="754D56A1">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Pleurosigma acautum</w:t>
            </w:r>
          </w:p>
        </w:tc>
        <w:tc>
          <w:tcPr>
            <w:tcW w:w="683" w:type="pct"/>
            <w:noWrap/>
            <w:vAlign w:val="center"/>
          </w:tcPr>
          <w:p w14:paraId="285DD971">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6425E2E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427F308F">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1745A0EF">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17</w:t>
            </w:r>
          </w:p>
        </w:tc>
        <w:tc>
          <w:tcPr>
            <w:tcW w:w="1085" w:type="pct"/>
            <w:vAlign w:val="center"/>
          </w:tcPr>
          <w:p w14:paraId="3DC5C179">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硅藻门斜纹藻属</w:t>
            </w:r>
          </w:p>
        </w:tc>
        <w:tc>
          <w:tcPr>
            <w:tcW w:w="1072" w:type="pct"/>
            <w:noWrap/>
            <w:vAlign w:val="center"/>
          </w:tcPr>
          <w:p w14:paraId="2AA05EC3">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海洋斜纹藻</w:t>
            </w:r>
          </w:p>
        </w:tc>
        <w:tc>
          <w:tcPr>
            <w:tcW w:w="1398" w:type="pct"/>
            <w:noWrap/>
            <w:vAlign w:val="center"/>
          </w:tcPr>
          <w:p w14:paraId="38C9450C">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Pleurosigma pelagicum</w:t>
            </w:r>
          </w:p>
        </w:tc>
        <w:tc>
          <w:tcPr>
            <w:tcW w:w="683" w:type="pct"/>
            <w:noWrap/>
            <w:vAlign w:val="center"/>
          </w:tcPr>
          <w:p w14:paraId="79644DC6">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1C5F9B9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3D0B8622">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2F4AF63F">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18</w:t>
            </w:r>
          </w:p>
        </w:tc>
        <w:tc>
          <w:tcPr>
            <w:tcW w:w="1085" w:type="pct"/>
            <w:vAlign w:val="center"/>
          </w:tcPr>
          <w:p w14:paraId="771A67AF">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硅藻门根管藻属</w:t>
            </w:r>
          </w:p>
        </w:tc>
        <w:tc>
          <w:tcPr>
            <w:tcW w:w="1072" w:type="pct"/>
            <w:noWrap/>
            <w:vAlign w:val="center"/>
          </w:tcPr>
          <w:p w14:paraId="64C3F328">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翼根管藻纤细变型</w:t>
            </w:r>
          </w:p>
        </w:tc>
        <w:tc>
          <w:tcPr>
            <w:tcW w:w="1398" w:type="pct"/>
            <w:noWrap/>
            <w:vAlign w:val="center"/>
          </w:tcPr>
          <w:p w14:paraId="1F9A5D64">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Rhizosolenia alata</w:t>
            </w:r>
            <w:r>
              <w:rPr>
                <w:color w:val="000000" w:themeColor="text1"/>
                <w:kern w:val="0"/>
                <w:sz w:val="21"/>
                <w:szCs w:val="21"/>
                <w14:textFill>
                  <w14:solidFill>
                    <w14:schemeClr w14:val="tx1"/>
                  </w14:solidFill>
                </w14:textFill>
              </w:rPr>
              <w:t xml:space="preserve"> f. </w:t>
            </w:r>
            <w:r>
              <w:rPr>
                <w:i/>
                <w:iCs/>
                <w:color w:val="000000" w:themeColor="text1"/>
                <w:kern w:val="0"/>
                <w:sz w:val="21"/>
                <w:szCs w:val="21"/>
                <w14:textFill>
                  <w14:solidFill>
                    <w14:schemeClr w14:val="tx1"/>
                  </w14:solidFill>
                </w14:textFill>
              </w:rPr>
              <w:t>gracillima</w:t>
            </w:r>
          </w:p>
        </w:tc>
        <w:tc>
          <w:tcPr>
            <w:tcW w:w="683" w:type="pct"/>
            <w:noWrap/>
            <w:vAlign w:val="center"/>
          </w:tcPr>
          <w:p w14:paraId="2479623A">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4E81EE5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3BADB71D">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2C29ECB5">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19</w:t>
            </w:r>
          </w:p>
        </w:tc>
        <w:tc>
          <w:tcPr>
            <w:tcW w:w="1085" w:type="pct"/>
            <w:vAlign w:val="center"/>
          </w:tcPr>
          <w:p w14:paraId="337BAEE3">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硅藻门根管藻属</w:t>
            </w:r>
          </w:p>
        </w:tc>
        <w:tc>
          <w:tcPr>
            <w:tcW w:w="1072" w:type="pct"/>
            <w:noWrap/>
            <w:vAlign w:val="center"/>
          </w:tcPr>
          <w:p w14:paraId="033357FB">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柔弱根管藻</w:t>
            </w:r>
          </w:p>
        </w:tc>
        <w:tc>
          <w:tcPr>
            <w:tcW w:w="1398" w:type="pct"/>
            <w:noWrap/>
            <w:vAlign w:val="center"/>
          </w:tcPr>
          <w:p w14:paraId="37546B4C">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Rhizosolenia delicatula</w:t>
            </w:r>
          </w:p>
        </w:tc>
        <w:tc>
          <w:tcPr>
            <w:tcW w:w="683" w:type="pct"/>
            <w:noWrap/>
            <w:vAlign w:val="center"/>
          </w:tcPr>
          <w:p w14:paraId="2201CFD3">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1126824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667BAFD3">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0B096609">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20</w:t>
            </w:r>
          </w:p>
        </w:tc>
        <w:tc>
          <w:tcPr>
            <w:tcW w:w="1085" w:type="pct"/>
            <w:vAlign w:val="center"/>
          </w:tcPr>
          <w:p w14:paraId="226DA2CD">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硅藻门根管藻属</w:t>
            </w:r>
          </w:p>
        </w:tc>
        <w:tc>
          <w:tcPr>
            <w:tcW w:w="1072" w:type="pct"/>
            <w:noWrap/>
            <w:vAlign w:val="center"/>
          </w:tcPr>
          <w:p w14:paraId="4B8828D6">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脆根管藻</w:t>
            </w:r>
          </w:p>
        </w:tc>
        <w:tc>
          <w:tcPr>
            <w:tcW w:w="1398" w:type="pct"/>
            <w:noWrap/>
            <w:vAlign w:val="center"/>
          </w:tcPr>
          <w:p w14:paraId="0D924F3E">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Rhizosolenia fragilissima</w:t>
            </w:r>
          </w:p>
        </w:tc>
        <w:tc>
          <w:tcPr>
            <w:tcW w:w="683" w:type="pct"/>
            <w:noWrap/>
            <w:vAlign w:val="center"/>
          </w:tcPr>
          <w:p w14:paraId="093CB993">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0D74D75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6C7C4DA1">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4A7A2EFD">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21</w:t>
            </w:r>
          </w:p>
        </w:tc>
        <w:tc>
          <w:tcPr>
            <w:tcW w:w="1085" w:type="pct"/>
            <w:vAlign w:val="center"/>
          </w:tcPr>
          <w:p w14:paraId="7764B494">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硅藻门根管藻属</w:t>
            </w:r>
          </w:p>
        </w:tc>
        <w:tc>
          <w:tcPr>
            <w:tcW w:w="1072" w:type="pct"/>
            <w:noWrap/>
            <w:vAlign w:val="center"/>
          </w:tcPr>
          <w:p w14:paraId="28AD919D">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中华根管藻</w:t>
            </w:r>
          </w:p>
        </w:tc>
        <w:tc>
          <w:tcPr>
            <w:tcW w:w="1398" w:type="pct"/>
            <w:noWrap/>
            <w:vAlign w:val="center"/>
          </w:tcPr>
          <w:p w14:paraId="0CC49E6D">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Rhizosolenia sinensis</w:t>
            </w:r>
          </w:p>
        </w:tc>
        <w:tc>
          <w:tcPr>
            <w:tcW w:w="683" w:type="pct"/>
            <w:noWrap/>
            <w:vAlign w:val="center"/>
          </w:tcPr>
          <w:p w14:paraId="4CB11ACD">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7C96C74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560BE66F">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79164DAB">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22</w:t>
            </w:r>
          </w:p>
        </w:tc>
        <w:tc>
          <w:tcPr>
            <w:tcW w:w="1085" w:type="pct"/>
            <w:vAlign w:val="center"/>
          </w:tcPr>
          <w:p w14:paraId="2393F750">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硅藻门根管藻属</w:t>
            </w:r>
          </w:p>
        </w:tc>
        <w:tc>
          <w:tcPr>
            <w:tcW w:w="1072" w:type="pct"/>
            <w:noWrap/>
            <w:vAlign w:val="center"/>
          </w:tcPr>
          <w:p w14:paraId="62E16DE2">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刚毛根管藻</w:t>
            </w:r>
          </w:p>
        </w:tc>
        <w:tc>
          <w:tcPr>
            <w:tcW w:w="1398" w:type="pct"/>
            <w:noWrap/>
            <w:vAlign w:val="center"/>
          </w:tcPr>
          <w:p w14:paraId="3FB2B38C">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Rhizosolenia setigera</w:t>
            </w:r>
          </w:p>
        </w:tc>
        <w:tc>
          <w:tcPr>
            <w:tcW w:w="683" w:type="pct"/>
            <w:noWrap/>
            <w:vAlign w:val="center"/>
          </w:tcPr>
          <w:p w14:paraId="415CC585">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2B3CA5C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45985080">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64137711">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23</w:t>
            </w:r>
          </w:p>
        </w:tc>
        <w:tc>
          <w:tcPr>
            <w:tcW w:w="1085" w:type="pct"/>
            <w:vAlign w:val="center"/>
          </w:tcPr>
          <w:p w14:paraId="0E3D297E">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硅藻门扭鞘藻属</w:t>
            </w:r>
          </w:p>
        </w:tc>
        <w:tc>
          <w:tcPr>
            <w:tcW w:w="1072" w:type="pct"/>
            <w:noWrap/>
            <w:vAlign w:val="center"/>
          </w:tcPr>
          <w:p w14:paraId="5E8A7DEF">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泰晤士扭鞘藻</w:t>
            </w:r>
          </w:p>
        </w:tc>
        <w:tc>
          <w:tcPr>
            <w:tcW w:w="1398" w:type="pct"/>
            <w:noWrap/>
            <w:vAlign w:val="center"/>
          </w:tcPr>
          <w:p w14:paraId="03BB0A2E">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Streptotheca tamesis</w:t>
            </w:r>
          </w:p>
        </w:tc>
        <w:tc>
          <w:tcPr>
            <w:tcW w:w="683" w:type="pct"/>
            <w:noWrap/>
            <w:vAlign w:val="center"/>
          </w:tcPr>
          <w:p w14:paraId="118B7717">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70C7CB0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797B4B91">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1F170502">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24</w:t>
            </w:r>
          </w:p>
        </w:tc>
        <w:tc>
          <w:tcPr>
            <w:tcW w:w="1085" w:type="pct"/>
            <w:vAlign w:val="center"/>
          </w:tcPr>
          <w:p w14:paraId="6481A866">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硅藻门骨条藻属</w:t>
            </w:r>
          </w:p>
        </w:tc>
        <w:tc>
          <w:tcPr>
            <w:tcW w:w="1072" w:type="pct"/>
            <w:noWrap/>
            <w:vAlign w:val="center"/>
          </w:tcPr>
          <w:p w14:paraId="311CBDA5">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中肋骨条藻</w:t>
            </w:r>
          </w:p>
        </w:tc>
        <w:tc>
          <w:tcPr>
            <w:tcW w:w="1398" w:type="pct"/>
            <w:noWrap/>
            <w:vAlign w:val="center"/>
          </w:tcPr>
          <w:p w14:paraId="3FA97028">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Skeletonema costatum</w:t>
            </w:r>
          </w:p>
        </w:tc>
        <w:tc>
          <w:tcPr>
            <w:tcW w:w="683" w:type="pct"/>
            <w:noWrap/>
            <w:vAlign w:val="center"/>
          </w:tcPr>
          <w:p w14:paraId="5B8C8CFA">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4C24C2E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79E450A1">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099BF3DE">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25</w:t>
            </w:r>
          </w:p>
        </w:tc>
        <w:tc>
          <w:tcPr>
            <w:tcW w:w="1085" w:type="pct"/>
            <w:vAlign w:val="center"/>
          </w:tcPr>
          <w:p w14:paraId="2BDC65DF">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硅藻门海线藻属</w:t>
            </w:r>
          </w:p>
        </w:tc>
        <w:tc>
          <w:tcPr>
            <w:tcW w:w="1072" w:type="pct"/>
            <w:noWrap/>
            <w:vAlign w:val="center"/>
          </w:tcPr>
          <w:p w14:paraId="636AE946">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菱形海线藻</w:t>
            </w:r>
          </w:p>
        </w:tc>
        <w:tc>
          <w:tcPr>
            <w:tcW w:w="1398" w:type="pct"/>
            <w:noWrap/>
            <w:vAlign w:val="center"/>
          </w:tcPr>
          <w:p w14:paraId="2255CFEA">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Thalassionema</w:t>
            </w:r>
            <w:r>
              <w:rPr>
                <w:rFonts w:hint="eastAsia"/>
                <w:i/>
                <w:iCs/>
                <w:color w:val="000000" w:themeColor="text1"/>
                <w:kern w:val="0"/>
                <w:sz w:val="21"/>
                <w:szCs w:val="21"/>
                <w14:textFill>
                  <w14:solidFill>
                    <w14:schemeClr w14:val="tx1"/>
                  </w14:solidFill>
                </w14:textFill>
              </w:rPr>
              <w:t xml:space="preserve"> </w:t>
            </w:r>
            <w:r>
              <w:rPr>
                <w:i/>
                <w:iCs/>
                <w:color w:val="000000" w:themeColor="text1"/>
                <w:kern w:val="0"/>
                <w:sz w:val="21"/>
                <w:szCs w:val="21"/>
                <w14:textFill>
                  <w14:solidFill>
                    <w14:schemeClr w14:val="tx1"/>
                  </w14:solidFill>
                </w14:textFill>
              </w:rPr>
              <w:t>itzschioides</w:t>
            </w:r>
          </w:p>
        </w:tc>
        <w:tc>
          <w:tcPr>
            <w:tcW w:w="683" w:type="pct"/>
            <w:noWrap/>
            <w:vAlign w:val="center"/>
          </w:tcPr>
          <w:p w14:paraId="3A8CA7BE">
            <w:pPr>
              <w:spacing w:after="160" w:line="240" w:lineRule="exact"/>
              <w:ind w:firstLine="0" w:firstLineChars="0"/>
              <w:jc w:val="center"/>
              <w:rPr>
                <w:color w:val="000000" w:themeColor="text1"/>
                <w:kern w:val="0"/>
                <w:sz w:val="21"/>
                <w:szCs w:val="21"/>
                <w14:textFill>
                  <w14:solidFill>
                    <w14:schemeClr w14:val="tx1"/>
                  </w14:solidFill>
                </w14:textFill>
              </w:rPr>
            </w:pPr>
          </w:p>
        </w:tc>
      </w:tr>
      <w:tr w14:paraId="3589EEF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9" w:type="pct"/>
            <w:vMerge w:val="continue"/>
            <w:vAlign w:val="center"/>
          </w:tcPr>
          <w:p w14:paraId="1CF02835">
            <w:pPr>
              <w:spacing w:after="160" w:line="240" w:lineRule="exact"/>
              <w:ind w:firstLine="0" w:firstLineChars="0"/>
              <w:jc w:val="center"/>
              <w:rPr>
                <w:color w:val="000000" w:themeColor="text1"/>
                <w:kern w:val="0"/>
                <w:sz w:val="21"/>
                <w:szCs w:val="21"/>
                <w14:textFill>
                  <w14:solidFill>
                    <w14:schemeClr w14:val="tx1"/>
                  </w14:solidFill>
                </w14:textFill>
              </w:rPr>
            </w:pPr>
          </w:p>
        </w:tc>
        <w:tc>
          <w:tcPr>
            <w:tcW w:w="403" w:type="pct"/>
            <w:noWrap/>
            <w:vAlign w:val="center"/>
          </w:tcPr>
          <w:p w14:paraId="0F0DF387">
            <w:pPr>
              <w:spacing w:after="160"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26</w:t>
            </w:r>
          </w:p>
        </w:tc>
        <w:tc>
          <w:tcPr>
            <w:tcW w:w="1085" w:type="pct"/>
            <w:vAlign w:val="center"/>
          </w:tcPr>
          <w:p w14:paraId="182BF044">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硅藻门海毛藻属</w:t>
            </w:r>
          </w:p>
        </w:tc>
        <w:tc>
          <w:tcPr>
            <w:tcW w:w="1072" w:type="pct"/>
            <w:noWrap/>
            <w:vAlign w:val="center"/>
          </w:tcPr>
          <w:p w14:paraId="4672BD92">
            <w:pPr>
              <w:spacing w:after="160"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佛氏海毛藻</w:t>
            </w:r>
          </w:p>
        </w:tc>
        <w:tc>
          <w:tcPr>
            <w:tcW w:w="1398" w:type="pct"/>
            <w:noWrap/>
            <w:vAlign w:val="center"/>
          </w:tcPr>
          <w:p w14:paraId="2590B39D">
            <w:pPr>
              <w:spacing w:after="160" w:line="240" w:lineRule="exact"/>
              <w:ind w:firstLine="0" w:firstLineChars="0"/>
              <w:jc w:val="center"/>
              <w:rPr>
                <w:i/>
                <w:iCs/>
                <w:color w:val="000000" w:themeColor="text1"/>
                <w:kern w:val="0"/>
                <w:sz w:val="21"/>
                <w:szCs w:val="21"/>
                <w14:textFill>
                  <w14:solidFill>
                    <w14:schemeClr w14:val="tx1"/>
                  </w14:solidFill>
                </w14:textFill>
              </w:rPr>
            </w:pPr>
            <w:r>
              <w:rPr>
                <w:i/>
                <w:iCs/>
                <w:color w:val="000000" w:themeColor="text1"/>
                <w:kern w:val="0"/>
                <w:sz w:val="21"/>
                <w:szCs w:val="21"/>
                <w14:textFill>
                  <w14:solidFill>
                    <w14:schemeClr w14:val="tx1"/>
                  </w14:solidFill>
                </w14:textFill>
              </w:rPr>
              <w:t>Thalassiothrix frauenfeldii</w:t>
            </w:r>
          </w:p>
        </w:tc>
        <w:tc>
          <w:tcPr>
            <w:tcW w:w="683" w:type="pct"/>
            <w:noWrap/>
            <w:vAlign w:val="center"/>
          </w:tcPr>
          <w:p w14:paraId="5F9ABCB8">
            <w:pPr>
              <w:spacing w:after="160" w:line="240" w:lineRule="exact"/>
              <w:ind w:firstLine="0" w:firstLineChars="0"/>
              <w:jc w:val="center"/>
              <w:rPr>
                <w:color w:val="000000" w:themeColor="text1"/>
                <w:kern w:val="0"/>
                <w:sz w:val="21"/>
                <w:szCs w:val="21"/>
                <w14:textFill>
                  <w14:solidFill>
                    <w14:schemeClr w14:val="tx1"/>
                  </w14:solidFill>
                </w14:textFill>
              </w:rPr>
            </w:pPr>
          </w:p>
        </w:tc>
      </w:tr>
    </w:tbl>
    <w:p w14:paraId="54A6F7E5">
      <w:pPr>
        <w:ind w:firstLine="480"/>
        <w:rPr>
          <w:bCs/>
          <w:color w:val="000000" w:themeColor="text1"/>
          <w:lang w:bidi="zh-CN"/>
          <w14:textFill>
            <w14:solidFill>
              <w14:schemeClr w14:val="tx1"/>
            </w14:solidFill>
          </w14:textFill>
        </w:rPr>
      </w:pPr>
      <w:r>
        <w:rPr>
          <w:bCs/>
          <w:color w:val="000000" w:themeColor="text1"/>
          <w:lang w:bidi="zh-CN"/>
          <w14:textFill>
            <w14:solidFill>
              <w14:schemeClr w14:val="tx1"/>
            </w14:solidFill>
          </w14:textFill>
        </w:rPr>
        <w:t xml:space="preserve">3）浮游动物 </w:t>
      </w:r>
    </w:p>
    <w:p w14:paraId="00E019FF">
      <w:pPr>
        <w:pStyle w:val="41"/>
        <w:ind w:firstLine="24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本次调查共鉴定出浮游动物成体 16种，浮游幼体 3类，其中桡足类种类最多（10种），其次为毛颚类（2种）。</w:t>
      </w:r>
    </w:p>
    <w:p w14:paraId="70204F5E">
      <w:pPr>
        <w:pStyle w:val="41"/>
        <w:ind w:firstLine="24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各测站浮游动物种类数在 6～15种 之间。其中 S4站 种类数最多，为 15 种；S1站次之，为 14 种；S2、S5站 种类数最少，均为 6 种。</w:t>
      </w:r>
    </w:p>
    <w:p w14:paraId="342C0023">
      <w:pPr>
        <w:pStyle w:val="41"/>
        <w:ind w:firstLine="24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调查期间，各测站浮游动物的总密度介于 935.9 ~ 2067.2 个/m³ 之间，总体平均密度为 1355.2 个/m³。最高密度出现在 S4站，为 2067.2 个/m³；最低密度出现在 S2站，为 935.9 个/m³。</w:t>
      </w:r>
    </w:p>
    <w:p w14:paraId="636649DE">
      <w:pPr>
        <w:pStyle w:val="41"/>
        <w:ind w:firstLine="24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调查期间，各测站浮游动物生物量变化范围为 95.8 ~ 345 mg/m³，平均值为 188.76 mg/m³。最大值出现在 S4站（345 mg/m³）；最小值出现在 S2站（95.8 mg/m³）。</w:t>
      </w:r>
    </w:p>
    <w:p w14:paraId="6BAD5B8F">
      <w:pPr>
        <w:pStyle w:val="7"/>
        <w:rPr>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浮游动物丰度和生物量统计表</w:t>
      </w:r>
    </w:p>
    <w:tbl>
      <w:tblPr>
        <w:tblStyle w:val="44"/>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848"/>
        <w:gridCol w:w="1010"/>
        <w:gridCol w:w="1847"/>
        <w:gridCol w:w="2438"/>
        <w:gridCol w:w="1158"/>
        <w:gridCol w:w="1221"/>
      </w:tblGrid>
      <w:tr w14:paraId="2FA09D5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848" w:type="dxa"/>
            <w:vAlign w:val="center"/>
          </w:tcPr>
          <w:p w14:paraId="5AA944EB">
            <w:pPr>
              <w:spacing w:line="240" w:lineRule="auto"/>
              <w:ind w:firstLine="0" w:firstLineChars="0"/>
              <w:jc w:val="center"/>
              <w:rPr>
                <w:b/>
                <w:bCs/>
                <w:color w:val="000000" w:themeColor="text1"/>
                <w:sz w:val="21"/>
                <w14:textFill>
                  <w14:solidFill>
                    <w14:schemeClr w14:val="tx1"/>
                  </w14:solidFill>
                </w14:textFill>
              </w:rPr>
            </w:pPr>
            <w:r>
              <w:rPr>
                <w:rFonts w:hint="eastAsia"/>
                <w:b/>
                <w:bCs/>
                <w:color w:val="000000" w:themeColor="text1"/>
                <w:sz w:val="21"/>
                <w14:textFill>
                  <w14:solidFill>
                    <w14:schemeClr w14:val="tx1"/>
                  </w14:solidFill>
                </w14:textFill>
              </w:rPr>
              <w:t>站号</w:t>
            </w:r>
          </w:p>
        </w:tc>
        <w:tc>
          <w:tcPr>
            <w:tcW w:w="1010" w:type="dxa"/>
            <w:vAlign w:val="center"/>
          </w:tcPr>
          <w:p w14:paraId="3D231824">
            <w:pPr>
              <w:spacing w:line="240" w:lineRule="auto"/>
              <w:ind w:firstLine="0" w:firstLineChars="0"/>
              <w:jc w:val="center"/>
              <w:rPr>
                <w:b/>
                <w:bCs/>
                <w:color w:val="000000" w:themeColor="text1"/>
                <w:sz w:val="21"/>
                <w14:textFill>
                  <w14:solidFill>
                    <w14:schemeClr w14:val="tx1"/>
                  </w14:solidFill>
                </w14:textFill>
              </w:rPr>
            </w:pPr>
            <w:r>
              <w:rPr>
                <w:rFonts w:hint="eastAsia"/>
                <w:b/>
                <w:bCs/>
                <w:color w:val="000000" w:themeColor="text1"/>
                <w:sz w:val="21"/>
                <w14:textFill>
                  <w14:solidFill>
                    <w14:schemeClr w14:val="tx1"/>
                  </w14:solidFill>
                </w14:textFill>
              </w:rPr>
              <w:t>类群</w:t>
            </w:r>
          </w:p>
        </w:tc>
        <w:tc>
          <w:tcPr>
            <w:tcW w:w="1847" w:type="dxa"/>
            <w:vAlign w:val="center"/>
          </w:tcPr>
          <w:p w14:paraId="2C08BACD">
            <w:pPr>
              <w:spacing w:line="240" w:lineRule="auto"/>
              <w:ind w:firstLine="0" w:firstLineChars="0"/>
              <w:jc w:val="center"/>
              <w:rPr>
                <w:b/>
                <w:bCs/>
                <w:color w:val="000000" w:themeColor="text1"/>
                <w:sz w:val="21"/>
                <w14:textFill>
                  <w14:solidFill>
                    <w14:schemeClr w14:val="tx1"/>
                  </w14:solidFill>
                </w14:textFill>
              </w:rPr>
            </w:pPr>
            <w:r>
              <w:rPr>
                <w:b/>
                <w:bCs/>
                <w:color w:val="000000" w:themeColor="text1"/>
                <w:kern w:val="0"/>
                <w:sz w:val="21"/>
                <w14:textFill>
                  <w14:solidFill>
                    <w14:schemeClr w14:val="tx1"/>
                  </w14:solidFill>
                </w14:textFill>
              </w:rPr>
              <w:t>种</w:t>
            </w:r>
            <w:r>
              <w:rPr>
                <w:rFonts w:hint="eastAsia"/>
                <w:b/>
                <w:bCs/>
                <w:color w:val="000000" w:themeColor="text1"/>
                <w:kern w:val="0"/>
                <w:sz w:val="21"/>
                <w14:textFill>
                  <w14:solidFill>
                    <w14:schemeClr w14:val="tx1"/>
                  </w14:solidFill>
                </w14:textFill>
              </w:rPr>
              <w:t>名</w:t>
            </w:r>
          </w:p>
        </w:tc>
        <w:tc>
          <w:tcPr>
            <w:tcW w:w="2438" w:type="dxa"/>
            <w:vAlign w:val="center"/>
          </w:tcPr>
          <w:p w14:paraId="3048FACE">
            <w:pPr>
              <w:spacing w:line="240" w:lineRule="auto"/>
              <w:ind w:firstLine="0" w:firstLineChars="0"/>
              <w:jc w:val="center"/>
              <w:rPr>
                <w:b/>
                <w:bCs/>
                <w:color w:val="000000" w:themeColor="text1"/>
                <w:sz w:val="21"/>
                <w14:textFill>
                  <w14:solidFill>
                    <w14:schemeClr w14:val="tx1"/>
                  </w14:solidFill>
                </w14:textFill>
              </w:rPr>
            </w:pPr>
            <w:r>
              <w:rPr>
                <w:rFonts w:hint="eastAsia"/>
                <w:b/>
                <w:bCs/>
                <w:color w:val="000000" w:themeColor="text1"/>
                <w:sz w:val="21"/>
                <w14:textFill>
                  <w14:solidFill>
                    <w14:schemeClr w14:val="tx1"/>
                  </w14:solidFill>
                </w14:textFill>
              </w:rPr>
              <w:t>拉丁名</w:t>
            </w:r>
          </w:p>
        </w:tc>
        <w:tc>
          <w:tcPr>
            <w:tcW w:w="1158" w:type="dxa"/>
            <w:vAlign w:val="center"/>
          </w:tcPr>
          <w:p w14:paraId="1FA617AA">
            <w:pPr>
              <w:spacing w:line="240" w:lineRule="auto"/>
              <w:ind w:firstLine="0" w:firstLineChars="0"/>
              <w:jc w:val="center"/>
              <w:rPr>
                <w:b/>
                <w:bCs/>
                <w:color w:val="000000" w:themeColor="text1"/>
                <w:sz w:val="21"/>
                <w14:textFill>
                  <w14:solidFill>
                    <w14:schemeClr w14:val="tx1"/>
                  </w14:solidFill>
                </w14:textFill>
              </w:rPr>
            </w:pPr>
            <w:r>
              <w:rPr>
                <w:rFonts w:hint="eastAsia"/>
                <w:b/>
                <w:bCs/>
                <w:color w:val="000000" w:themeColor="text1"/>
                <w:sz w:val="21"/>
                <w14:textFill>
                  <w14:solidFill>
                    <w14:schemeClr w14:val="tx1"/>
                  </w14:solidFill>
                </w14:textFill>
              </w:rPr>
              <w:t>密度</w:t>
            </w:r>
          </w:p>
          <w:p w14:paraId="0B9E5D25">
            <w:pPr>
              <w:spacing w:line="240" w:lineRule="auto"/>
              <w:ind w:firstLine="0" w:firstLineChars="0"/>
              <w:jc w:val="center"/>
              <w:rPr>
                <w:b/>
                <w:bCs/>
                <w:color w:val="000000" w:themeColor="text1"/>
                <w:sz w:val="21"/>
                <w14:textFill>
                  <w14:solidFill>
                    <w14:schemeClr w14:val="tx1"/>
                  </w14:solidFill>
                </w14:textFill>
              </w:rPr>
            </w:pPr>
            <w:r>
              <w:rPr>
                <w:b/>
                <w:bCs/>
                <w:color w:val="000000" w:themeColor="text1"/>
                <w:sz w:val="21"/>
                <w14:textFill>
                  <w14:solidFill>
                    <w14:schemeClr w14:val="tx1"/>
                  </w14:solidFill>
                </w14:textFill>
              </w:rPr>
              <w:t>（</w:t>
            </w:r>
            <w:r>
              <w:rPr>
                <w:rFonts w:hint="eastAsia"/>
                <w:b/>
                <w:bCs/>
                <w:color w:val="000000" w:themeColor="text1"/>
                <w:kern w:val="0"/>
                <w:sz w:val="21"/>
                <w14:textFill>
                  <w14:solidFill>
                    <w14:schemeClr w14:val="tx1"/>
                  </w14:solidFill>
                </w14:textFill>
              </w:rPr>
              <w:t>个</w:t>
            </w:r>
            <w:r>
              <w:rPr>
                <w:b/>
                <w:bCs/>
                <w:color w:val="000000" w:themeColor="text1"/>
                <w:kern w:val="0"/>
                <w:sz w:val="21"/>
                <w14:textFill>
                  <w14:solidFill>
                    <w14:schemeClr w14:val="tx1"/>
                  </w14:solidFill>
                </w14:textFill>
              </w:rPr>
              <w:t>/</w:t>
            </w:r>
            <w:r>
              <w:rPr>
                <w:rFonts w:hint="eastAsia"/>
                <w:b/>
                <w:bCs/>
                <w:color w:val="000000" w:themeColor="text1"/>
                <w:kern w:val="0"/>
                <w:sz w:val="21"/>
                <w14:textFill>
                  <w14:solidFill>
                    <w14:schemeClr w14:val="tx1"/>
                  </w14:solidFill>
                </w14:textFill>
              </w:rPr>
              <w:t>m</w:t>
            </w:r>
            <w:r>
              <w:rPr>
                <w:b/>
                <w:bCs/>
                <w:color w:val="000000" w:themeColor="text1"/>
                <w:kern w:val="0"/>
                <w:sz w:val="21"/>
                <w:vertAlign w:val="superscript"/>
                <w14:textFill>
                  <w14:solidFill>
                    <w14:schemeClr w14:val="tx1"/>
                  </w14:solidFill>
                </w14:textFill>
              </w:rPr>
              <w:t>3</w:t>
            </w:r>
            <w:r>
              <w:rPr>
                <w:b/>
                <w:bCs/>
                <w:color w:val="000000" w:themeColor="text1"/>
                <w:sz w:val="21"/>
                <w14:textFill>
                  <w14:solidFill>
                    <w14:schemeClr w14:val="tx1"/>
                  </w14:solidFill>
                </w14:textFill>
              </w:rPr>
              <w:t>）</w:t>
            </w:r>
          </w:p>
        </w:tc>
        <w:tc>
          <w:tcPr>
            <w:tcW w:w="1221" w:type="dxa"/>
            <w:vAlign w:val="center"/>
          </w:tcPr>
          <w:p w14:paraId="5D05C860">
            <w:pPr>
              <w:spacing w:line="240" w:lineRule="auto"/>
              <w:ind w:firstLine="0" w:firstLineChars="0"/>
              <w:jc w:val="center"/>
              <w:rPr>
                <w:b/>
                <w:bCs/>
                <w:color w:val="000000" w:themeColor="text1"/>
                <w:sz w:val="21"/>
                <w14:textFill>
                  <w14:solidFill>
                    <w14:schemeClr w14:val="tx1"/>
                  </w14:solidFill>
                </w14:textFill>
              </w:rPr>
            </w:pPr>
            <w:r>
              <w:rPr>
                <w:rFonts w:hint="eastAsia"/>
                <w:b/>
                <w:bCs/>
                <w:color w:val="000000" w:themeColor="text1"/>
                <w:sz w:val="21"/>
                <w14:textFill>
                  <w14:solidFill>
                    <w14:schemeClr w14:val="tx1"/>
                  </w14:solidFill>
                </w14:textFill>
              </w:rPr>
              <w:t>生物量</w:t>
            </w:r>
          </w:p>
          <w:p w14:paraId="288A4A6F">
            <w:pPr>
              <w:spacing w:line="240" w:lineRule="auto"/>
              <w:ind w:firstLine="0" w:firstLineChars="0"/>
              <w:jc w:val="center"/>
              <w:rPr>
                <w:b/>
                <w:bCs/>
                <w:color w:val="000000" w:themeColor="text1"/>
                <w:sz w:val="21"/>
                <w14:textFill>
                  <w14:solidFill>
                    <w14:schemeClr w14:val="tx1"/>
                  </w14:solidFill>
                </w14:textFill>
              </w:rPr>
            </w:pPr>
            <w:r>
              <w:rPr>
                <w:rFonts w:hint="eastAsia"/>
                <w:b/>
                <w:bCs/>
                <w:color w:val="000000" w:themeColor="text1"/>
                <w:sz w:val="21"/>
                <w14:textFill>
                  <w14:solidFill>
                    <w14:schemeClr w14:val="tx1"/>
                  </w14:solidFill>
                </w14:textFill>
              </w:rPr>
              <w:t>（mg/m</w:t>
            </w:r>
            <w:r>
              <w:rPr>
                <w:b/>
                <w:bCs/>
                <w:color w:val="000000" w:themeColor="text1"/>
                <w:sz w:val="21"/>
                <w:vertAlign w:val="superscript"/>
                <w14:textFill>
                  <w14:solidFill>
                    <w14:schemeClr w14:val="tx1"/>
                  </w14:solidFill>
                </w14:textFill>
              </w:rPr>
              <w:t>3</w:t>
            </w:r>
            <w:r>
              <w:rPr>
                <w:rFonts w:hint="eastAsia"/>
                <w:b/>
                <w:bCs/>
                <w:color w:val="000000" w:themeColor="text1"/>
                <w:sz w:val="21"/>
                <w14:textFill>
                  <w14:solidFill>
                    <w14:schemeClr w14:val="tx1"/>
                  </w14:solidFill>
                </w14:textFill>
              </w:rPr>
              <w:t>）</w:t>
            </w:r>
          </w:p>
        </w:tc>
      </w:tr>
      <w:tr w14:paraId="20D9B4E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48" w:type="dxa"/>
            <w:vMerge w:val="restart"/>
            <w:vAlign w:val="center"/>
          </w:tcPr>
          <w:p w14:paraId="36952DC3">
            <w:pPr>
              <w:spacing w:line="240" w:lineRule="auto"/>
              <w:ind w:firstLine="0" w:firstLineChars="0"/>
              <w:jc w:val="center"/>
              <w:rPr>
                <w:color w:val="000000" w:themeColor="text1"/>
                <w:sz w:val="21"/>
                <w14:textFill>
                  <w14:solidFill>
                    <w14:schemeClr w14:val="tx1"/>
                  </w14:solidFill>
                </w14:textFill>
              </w:rPr>
            </w:pPr>
            <w:r>
              <w:rPr>
                <w:color w:val="000000" w:themeColor="text1"/>
                <w:kern w:val="0"/>
                <w:sz w:val="21"/>
                <w14:textFill>
                  <w14:solidFill>
                    <w14:schemeClr w14:val="tx1"/>
                  </w14:solidFill>
                </w14:textFill>
              </w:rPr>
              <w:t>S</w:t>
            </w:r>
            <w:r>
              <w:rPr>
                <w:rFonts w:hint="eastAsia"/>
                <w:color w:val="000000" w:themeColor="text1"/>
                <w:kern w:val="0"/>
                <w:sz w:val="21"/>
                <w14:textFill>
                  <w14:solidFill>
                    <w14:schemeClr w14:val="tx1"/>
                  </w14:solidFill>
                </w14:textFill>
              </w:rPr>
              <w:t>1</w:t>
            </w:r>
          </w:p>
        </w:tc>
        <w:tc>
          <w:tcPr>
            <w:tcW w:w="1010" w:type="dxa"/>
            <w:vAlign w:val="center"/>
          </w:tcPr>
          <w:p w14:paraId="7C096799">
            <w:pPr>
              <w:spacing w:line="240" w:lineRule="auto"/>
              <w:ind w:firstLine="0" w:firstLineChars="0"/>
              <w:jc w:val="center"/>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毛颚类</w:t>
            </w:r>
          </w:p>
        </w:tc>
        <w:tc>
          <w:tcPr>
            <w:tcW w:w="1847" w:type="dxa"/>
            <w:vAlign w:val="center"/>
          </w:tcPr>
          <w:p w14:paraId="4E4AAD3B">
            <w:pPr>
              <w:spacing w:line="240" w:lineRule="auto"/>
              <w:ind w:firstLine="0" w:firstLineChars="0"/>
              <w:jc w:val="center"/>
              <w:rPr>
                <w:color w:val="000000" w:themeColor="text1"/>
                <w:kern w:val="0"/>
                <w:sz w:val="21"/>
                <w14:textFill>
                  <w14:solidFill>
                    <w14:schemeClr w14:val="tx1"/>
                  </w14:solidFill>
                </w14:textFill>
              </w:rPr>
            </w:pPr>
            <w:r>
              <w:rPr>
                <w:rFonts w:hint="eastAsia"/>
                <w:color w:val="000000" w:themeColor="text1"/>
                <w:sz w:val="21"/>
                <w14:textFill>
                  <w14:solidFill>
                    <w14:schemeClr w14:val="tx1"/>
                  </w14:solidFill>
                </w14:textFill>
              </w:rPr>
              <w:t>百陶带箭虫</w:t>
            </w:r>
          </w:p>
        </w:tc>
        <w:tc>
          <w:tcPr>
            <w:tcW w:w="2438" w:type="dxa"/>
            <w:vAlign w:val="center"/>
          </w:tcPr>
          <w:p w14:paraId="21C7CEF6">
            <w:pPr>
              <w:spacing w:line="240" w:lineRule="auto"/>
              <w:ind w:firstLine="0" w:firstLineChars="0"/>
              <w:jc w:val="center"/>
              <w:rPr>
                <w:i/>
                <w:iCs/>
                <w:color w:val="000000" w:themeColor="text1"/>
                <w:sz w:val="21"/>
                <w14:textFill>
                  <w14:solidFill>
                    <w14:schemeClr w14:val="tx1"/>
                  </w14:solidFill>
                </w14:textFill>
              </w:rPr>
            </w:pPr>
            <w:r>
              <w:rPr>
                <w:rFonts w:hint="eastAsia"/>
                <w:i/>
                <w:iCs/>
                <w:color w:val="000000" w:themeColor="text1"/>
                <w:sz w:val="21"/>
                <w14:textFill>
                  <w14:solidFill>
                    <w14:schemeClr w14:val="tx1"/>
                  </w14:solidFill>
                </w14:textFill>
              </w:rPr>
              <w:t>Sagitta bedoti</w:t>
            </w:r>
          </w:p>
        </w:tc>
        <w:tc>
          <w:tcPr>
            <w:tcW w:w="1158" w:type="dxa"/>
            <w:vAlign w:val="center"/>
          </w:tcPr>
          <w:p w14:paraId="25B3671A">
            <w:pPr>
              <w:spacing w:line="240" w:lineRule="auto"/>
              <w:ind w:firstLine="0" w:firstLineChars="0"/>
              <w:jc w:val="center"/>
              <w:rPr>
                <w:color w:val="000000" w:themeColor="text1"/>
                <w:kern w:val="0"/>
                <w:sz w:val="21"/>
                <w14:textFill>
                  <w14:solidFill>
                    <w14:schemeClr w14:val="tx1"/>
                  </w14:solidFill>
                </w14:textFill>
              </w:rPr>
            </w:pPr>
          </w:p>
        </w:tc>
        <w:tc>
          <w:tcPr>
            <w:tcW w:w="1221" w:type="dxa"/>
            <w:vMerge w:val="restart"/>
            <w:vAlign w:val="center"/>
          </w:tcPr>
          <w:p w14:paraId="4BDC829B">
            <w:pPr>
              <w:spacing w:line="240" w:lineRule="auto"/>
              <w:ind w:firstLine="0" w:firstLineChars="0"/>
              <w:jc w:val="center"/>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268</w:t>
            </w:r>
          </w:p>
        </w:tc>
      </w:tr>
      <w:tr w14:paraId="250A194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48" w:type="dxa"/>
            <w:vMerge w:val="continue"/>
            <w:vAlign w:val="center"/>
          </w:tcPr>
          <w:p w14:paraId="6E53A7C7">
            <w:pPr>
              <w:spacing w:line="240" w:lineRule="auto"/>
              <w:ind w:firstLine="0" w:firstLineChars="0"/>
              <w:jc w:val="center"/>
              <w:rPr>
                <w:color w:val="000000" w:themeColor="text1"/>
                <w:sz w:val="21"/>
                <w14:textFill>
                  <w14:solidFill>
                    <w14:schemeClr w14:val="tx1"/>
                  </w14:solidFill>
                </w14:textFill>
              </w:rPr>
            </w:pPr>
          </w:p>
        </w:tc>
        <w:tc>
          <w:tcPr>
            <w:tcW w:w="1010" w:type="dxa"/>
            <w:vAlign w:val="center"/>
          </w:tcPr>
          <w:p w14:paraId="29356136">
            <w:pPr>
              <w:spacing w:line="240" w:lineRule="auto"/>
              <w:ind w:firstLine="0" w:firstLineChars="0"/>
              <w:jc w:val="center"/>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被囊类</w:t>
            </w:r>
          </w:p>
        </w:tc>
        <w:tc>
          <w:tcPr>
            <w:tcW w:w="1847" w:type="dxa"/>
            <w:vAlign w:val="center"/>
          </w:tcPr>
          <w:p w14:paraId="7AA21C8D">
            <w:pPr>
              <w:spacing w:line="240" w:lineRule="auto"/>
              <w:ind w:firstLine="0" w:firstLineChars="0"/>
              <w:jc w:val="center"/>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异体住囊虫</w:t>
            </w:r>
          </w:p>
        </w:tc>
        <w:tc>
          <w:tcPr>
            <w:tcW w:w="2438" w:type="dxa"/>
            <w:vAlign w:val="center"/>
          </w:tcPr>
          <w:p w14:paraId="58329881">
            <w:pPr>
              <w:spacing w:line="240" w:lineRule="auto"/>
              <w:ind w:firstLine="0" w:firstLineChars="0"/>
              <w:jc w:val="center"/>
              <w:rPr>
                <w:i/>
                <w:iCs/>
                <w:color w:val="000000" w:themeColor="text1"/>
                <w:sz w:val="21"/>
                <w14:textFill>
                  <w14:solidFill>
                    <w14:schemeClr w14:val="tx1"/>
                  </w14:solidFill>
                </w14:textFill>
              </w:rPr>
            </w:pPr>
            <w:r>
              <w:rPr>
                <w:rFonts w:hint="eastAsia"/>
                <w:i/>
                <w:iCs/>
                <w:color w:val="000000" w:themeColor="text1"/>
                <w:sz w:val="21"/>
                <w14:textFill>
                  <w14:solidFill>
                    <w14:schemeClr w14:val="tx1"/>
                  </w14:solidFill>
                </w14:textFill>
              </w:rPr>
              <w:t>Oikopleura dioica</w:t>
            </w:r>
          </w:p>
        </w:tc>
        <w:tc>
          <w:tcPr>
            <w:tcW w:w="1158" w:type="dxa"/>
            <w:vAlign w:val="center"/>
          </w:tcPr>
          <w:p w14:paraId="721AC26F">
            <w:pPr>
              <w:spacing w:line="240" w:lineRule="auto"/>
              <w:ind w:firstLine="0" w:firstLineChars="0"/>
              <w:jc w:val="center"/>
              <w:rPr>
                <w:color w:val="000000" w:themeColor="text1"/>
                <w:sz w:val="21"/>
                <w14:textFill>
                  <w14:solidFill>
                    <w14:schemeClr w14:val="tx1"/>
                  </w14:solidFill>
                </w14:textFill>
              </w:rPr>
            </w:pPr>
          </w:p>
        </w:tc>
        <w:tc>
          <w:tcPr>
            <w:tcW w:w="1221" w:type="dxa"/>
            <w:vMerge w:val="continue"/>
            <w:vAlign w:val="center"/>
          </w:tcPr>
          <w:p w14:paraId="6B712848">
            <w:pPr>
              <w:spacing w:line="240" w:lineRule="auto"/>
              <w:ind w:firstLine="0" w:firstLineChars="0"/>
              <w:jc w:val="center"/>
              <w:rPr>
                <w:color w:val="000000" w:themeColor="text1"/>
                <w:sz w:val="21"/>
                <w14:textFill>
                  <w14:solidFill>
                    <w14:schemeClr w14:val="tx1"/>
                  </w14:solidFill>
                </w14:textFill>
              </w:rPr>
            </w:pPr>
          </w:p>
        </w:tc>
      </w:tr>
      <w:tr w14:paraId="5D37663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48" w:type="dxa"/>
            <w:vMerge w:val="continue"/>
            <w:vAlign w:val="center"/>
          </w:tcPr>
          <w:p w14:paraId="0875DB4B">
            <w:pPr>
              <w:spacing w:line="240" w:lineRule="auto"/>
              <w:ind w:firstLine="0" w:firstLineChars="0"/>
              <w:jc w:val="center"/>
              <w:rPr>
                <w:color w:val="000000" w:themeColor="text1"/>
                <w:sz w:val="21"/>
                <w14:textFill>
                  <w14:solidFill>
                    <w14:schemeClr w14:val="tx1"/>
                  </w14:solidFill>
                </w14:textFill>
              </w:rPr>
            </w:pPr>
          </w:p>
        </w:tc>
        <w:tc>
          <w:tcPr>
            <w:tcW w:w="1010" w:type="dxa"/>
            <w:vMerge w:val="restart"/>
            <w:vAlign w:val="center"/>
          </w:tcPr>
          <w:p w14:paraId="5C2AD5A5">
            <w:pPr>
              <w:spacing w:line="240" w:lineRule="auto"/>
              <w:ind w:firstLine="0" w:firstLineChars="0"/>
              <w:jc w:val="center"/>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桡足类</w:t>
            </w:r>
          </w:p>
        </w:tc>
        <w:tc>
          <w:tcPr>
            <w:tcW w:w="1847" w:type="dxa"/>
            <w:vAlign w:val="center"/>
          </w:tcPr>
          <w:p w14:paraId="4227BD0D">
            <w:pPr>
              <w:spacing w:line="240" w:lineRule="auto"/>
              <w:ind w:firstLine="0" w:firstLineChars="0"/>
              <w:jc w:val="center"/>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近缘大眼水蚤</w:t>
            </w:r>
          </w:p>
        </w:tc>
        <w:tc>
          <w:tcPr>
            <w:tcW w:w="2438" w:type="dxa"/>
            <w:vAlign w:val="center"/>
          </w:tcPr>
          <w:p w14:paraId="3C9A8413">
            <w:pPr>
              <w:spacing w:line="240" w:lineRule="auto"/>
              <w:ind w:firstLine="0" w:firstLineChars="0"/>
              <w:jc w:val="center"/>
              <w:rPr>
                <w:i/>
                <w:iCs/>
                <w:color w:val="000000" w:themeColor="text1"/>
                <w:sz w:val="21"/>
                <w14:textFill>
                  <w14:solidFill>
                    <w14:schemeClr w14:val="tx1"/>
                  </w14:solidFill>
                </w14:textFill>
              </w:rPr>
            </w:pPr>
            <w:r>
              <w:rPr>
                <w:rFonts w:hint="eastAsia"/>
                <w:i/>
                <w:iCs/>
                <w:color w:val="000000" w:themeColor="text1"/>
                <w:sz w:val="21"/>
                <w14:textFill>
                  <w14:solidFill>
                    <w14:schemeClr w14:val="tx1"/>
                  </w14:solidFill>
                </w14:textFill>
              </w:rPr>
              <w:t>Corycaeus affinis</w:t>
            </w:r>
          </w:p>
        </w:tc>
        <w:tc>
          <w:tcPr>
            <w:tcW w:w="1158" w:type="dxa"/>
            <w:vAlign w:val="center"/>
          </w:tcPr>
          <w:p w14:paraId="3B765384">
            <w:pPr>
              <w:spacing w:line="240" w:lineRule="auto"/>
              <w:ind w:firstLine="0" w:firstLineChars="0"/>
              <w:jc w:val="center"/>
              <w:rPr>
                <w:color w:val="000000" w:themeColor="text1"/>
                <w:sz w:val="21"/>
                <w14:textFill>
                  <w14:solidFill>
                    <w14:schemeClr w14:val="tx1"/>
                  </w14:solidFill>
                </w14:textFill>
              </w:rPr>
            </w:pPr>
          </w:p>
        </w:tc>
        <w:tc>
          <w:tcPr>
            <w:tcW w:w="1221" w:type="dxa"/>
            <w:vMerge w:val="continue"/>
            <w:vAlign w:val="center"/>
          </w:tcPr>
          <w:p w14:paraId="60645FE6">
            <w:pPr>
              <w:spacing w:line="240" w:lineRule="auto"/>
              <w:ind w:firstLine="0" w:firstLineChars="0"/>
              <w:jc w:val="center"/>
              <w:rPr>
                <w:color w:val="000000" w:themeColor="text1"/>
                <w:sz w:val="21"/>
                <w14:textFill>
                  <w14:solidFill>
                    <w14:schemeClr w14:val="tx1"/>
                  </w14:solidFill>
                </w14:textFill>
              </w:rPr>
            </w:pPr>
          </w:p>
        </w:tc>
      </w:tr>
      <w:tr w14:paraId="7FD79B4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48" w:type="dxa"/>
            <w:vMerge w:val="continue"/>
            <w:vAlign w:val="center"/>
          </w:tcPr>
          <w:p w14:paraId="143F1FB7">
            <w:pPr>
              <w:spacing w:line="240" w:lineRule="auto"/>
              <w:ind w:firstLine="0" w:firstLineChars="0"/>
              <w:jc w:val="center"/>
              <w:rPr>
                <w:color w:val="000000" w:themeColor="text1"/>
                <w:sz w:val="21"/>
                <w14:textFill>
                  <w14:solidFill>
                    <w14:schemeClr w14:val="tx1"/>
                  </w14:solidFill>
                </w14:textFill>
              </w:rPr>
            </w:pPr>
          </w:p>
        </w:tc>
        <w:tc>
          <w:tcPr>
            <w:tcW w:w="1010" w:type="dxa"/>
            <w:vMerge w:val="continue"/>
            <w:vAlign w:val="center"/>
          </w:tcPr>
          <w:p w14:paraId="1ECEDF61">
            <w:pPr>
              <w:spacing w:line="240" w:lineRule="auto"/>
              <w:ind w:firstLine="0" w:firstLineChars="0"/>
              <w:jc w:val="center"/>
              <w:rPr>
                <w:color w:val="000000" w:themeColor="text1"/>
                <w:sz w:val="21"/>
                <w14:textFill>
                  <w14:solidFill>
                    <w14:schemeClr w14:val="tx1"/>
                  </w14:solidFill>
                </w14:textFill>
              </w:rPr>
            </w:pPr>
          </w:p>
        </w:tc>
        <w:tc>
          <w:tcPr>
            <w:tcW w:w="1847" w:type="dxa"/>
            <w:vAlign w:val="center"/>
          </w:tcPr>
          <w:p w14:paraId="3CF8B2FC">
            <w:pPr>
              <w:spacing w:line="240" w:lineRule="auto"/>
              <w:ind w:firstLine="0" w:firstLineChars="0"/>
              <w:jc w:val="center"/>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尖额谐猛水蚤</w:t>
            </w:r>
          </w:p>
        </w:tc>
        <w:tc>
          <w:tcPr>
            <w:tcW w:w="2438" w:type="dxa"/>
            <w:vAlign w:val="center"/>
          </w:tcPr>
          <w:p w14:paraId="0C1D82D3">
            <w:pPr>
              <w:spacing w:line="240" w:lineRule="auto"/>
              <w:ind w:firstLine="0" w:firstLineChars="0"/>
              <w:jc w:val="center"/>
              <w:rPr>
                <w:i/>
                <w:iCs/>
                <w:color w:val="000000" w:themeColor="text1"/>
                <w:sz w:val="21"/>
                <w14:textFill>
                  <w14:solidFill>
                    <w14:schemeClr w14:val="tx1"/>
                  </w14:solidFill>
                </w14:textFill>
              </w:rPr>
            </w:pPr>
            <w:r>
              <w:rPr>
                <w:rFonts w:hint="eastAsia"/>
                <w:i/>
                <w:iCs/>
                <w:color w:val="000000" w:themeColor="text1"/>
                <w:sz w:val="21"/>
                <w14:textFill>
                  <w14:solidFill>
                    <w14:schemeClr w14:val="tx1"/>
                  </w14:solidFill>
                </w14:textFill>
              </w:rPr>
              <w:t>Euterpina acutifrons</w:t>
            </w:r>
          </w:p>
        </w:tc>
        <w:tc>
          <w:tcPr>
            <w:tcW w:w="1158" w:type="dxa"/>
            <w:vAlign w:val="center"/>
          </w:tcPr>
          <w:p w14:paraId="58CE48B6">
            <w:pPr>
              <w:spacing w:line="240" w:lineRule="auto"/>
              <w:ind w:firstLine="0" w:firstLineChars="0"/>
              <w:jc w:val="center"/>
              <w:rPr>
                <w:color w:val="000000" w:themeColor="text1"/>
                <w:sz w:val="21"/>
                <w14:textFill>
                  <w14:solidFill>
                    <w14:schemeClr w14:val="tx1"/>
                  </w14:solidFill>
                </w14:textFill>
              </w:rPr>
            </w:pPr>
          </w:p>
        </w:tc>
        <w:tc>
          <w:tcPr>
            <w:tcW w:w="1221" w:type="dxa"/>
            <w:vMerge w:val="continue"/>
            <w:vAlign w:val="center"/>
          </w:tcPr>
          <w:p w14:paraId="2C4987B1">
            <w:pPr>
              <w:spacing w:line="240" w:lineRule="auto"/>
              <w:ind w:firstLine="0" w:firstLineChars="0"/>
              <w:jc w:val="center"/>
              <w:rPr>
                <w:color w:val="000000" w:themeColor="text1"/>
                <w:sz w:val="21"/>
                <w14:textFill>
                  <w14:solidFill>
                    <w14:schemeClr w14:val="tx1"/>
                  </w14:solidFill>
                </w14:textFill>
              </w:rPr>
            </w:pPr>
          </w:p>
        </w:tc>
      </w:tr>
      <w:tr w14:paraId="1825635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48" w:type="dxa"/>
            <w:vMerge w:val="continue"/>
            <w:vAlign w:val="center"/>
          </w:tcPr>
          <w:p w14:paraId="23652F2C">
            <w:pPr>
              <w:spacing w:line="240" w:lineRule="auto"/>
              <w:ind w:firstLine="0" w:firstLineChars="0"/>
              <w:jc w:val="center"/>
              <w:rPr>
                <w:color w:val="000000" w:themeColor="text1"/>
                <w:sz w:val="21"/>
                <w14:textFill>
                  <w14:solidFill>
                    <w14:schemeClr w14:val="tx1"/>
                  </w14:solidFill>
                </w14:textFill>
              </w:rPr>
            </w:pPr>
          </w:p>
        </w:tc>
        <w:tc>
          <w:tcPr>
            <w:tcW w:w="1010" w:type="dxa"/>
            <w:vMerge w:val="continue"/>
            <w:vAlign w:val="center"/>
          </w:tcPr>
          <w:p w14:paraId="78E913B3">
            <w:pPr>
              <w:spacing w:line="240" w:lineRule="auto"/>
              <w:ind w:firstLine="0" w:firstLineChars="0"/>
              <w:jc w:val="center"/>
              <w:rPr>
                <w:color w:val="000000" w:themeColor="text1"/>
                <w:sz w:val="21"/>
                <w14:textFill>
                  <w14:solidFill>
                    <w14:schemeClr w14:val="tx1"/>
                  </w14:solidFill>
                </w14:textFill>
              </w:rPr>
            </w:pPr>
          </w:p>
        </w:tc>
        <w:tc>
          <w:tcPr>
            <w:tcW w:w="1847" w:type="dxa"/>
            <w:vAlign w:val="center"/>
          </w:tcPr>
          <w:p w14:paraId="30B75647">
            <w:pPr>
              <w:spacing w:line="240" w:lineRule="auto"/>
              <w:ind w:firstLine="0" w:firstLineChars="0"/>
              <w:jc w:val="center"/>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克氏纺锤水蚤</w:t>
            </w:r>
          </w:p>
        </w:tc>
        <w:tc>
          <w:tcPr>
            <w:tcW w:w="2438" w:type="dxa"/>
            <w:vAlign w:val="center"/>
          </w:tcPr>
          <w:p w14:paraId="4FD2CB61">
            <w:pPr>
              <w:spacing w:line="240" w:lineRule="auto"/>
              <w:ind w:firstLine="0" w:firstLineChars="0"/>
              <w:jc w:val="center"/>
              <w:rPr>
                <w:i/>
                <w:iCs/>
                <w:color w:val="000000" w:themeColor="text1"/>
                <w:sz w:val="21"/>
                <w14:textFill>
                  <w14:solidFill>
                    <w14:schemeClr w14:val="tx1"/>
                  </w14:solidFill>
                </w14:textFill>
              </w:rPr>
            </w:pPr>
            <w:r>
              <w:rPr>
                <w:rFonts w:hint="eastAsia"/>
                <w:i/>
                <w:iCs/>
                <w:color w:val="000000" w:themeColor="text1"/>
                <w:sz w:val="21"/>
                <w14:textFill>
                  <w14:solidFill>
                    <w14:schemeClr w14:val="tx1"/>
                  </w14:solidFill>
                </w14:textFill>
              </w:rPr>
              <w:t>Acartia clausi</w:t>
            </w:r>
          </w:p>
        </w:tc>
        <w:tc>
          <w:tcPr>
            <w:tcW w:w="1158" w:type="dxa"/>
            <w:vAlign w:val="center"/>
          </w:tcPr>
          <w:p w14:paraId="328D6BA6">
            <w:pPr>
              <w:spacing w:line="240" w:lineRule="auto"/>
              <w:ind w:firstLine="0" w:firstLineChars="0"/>
              <w:jc w:val="center"/>
              <w:rPr>
                <w:color w:val="000000" w:themeColor="text1"/>
                <w:sz w:val="21"/>
                <w14:textFill>
                  <w14:solidFill>
                    <w14:schemeClr w14:val="tx1"/>
                  </w14:solidFill>
                </w14:textFill>
              </w:rPr>
            </w:pPr>
          </w:p>
        </w:tc>
        <w:tc>
          <w:tcPr>
            <w:tcW w:w="1221" w:type="dxa"/>
            <w:vMerge w:val="continue"/>
            <w:vAlign w:val="center"/>
          </w:tcPr>
          <w:p w14:paraId="77C185C9">
            <w:pPr>
              <w:spacing w:line="240" w:lineRule="auto"/>
              <w:ind w:firstLine="0" w:firstLineChars="0"/>
              <w:jc w:val="center"/>
              <w:rPr>
                <w:color w:val="000000" w:themeColor="text1"/>
                <w:sz w:val="21"/>
                <w14:textFill>
                  <w14:solidFill>
                    <w14:schemeClr w14:val="tx1"/>
                  </w14:solidFill>
                </w14:textFill>
              </w:rPr>
            </w:pPr>
          </w:p>
        </w:tc>
      </w:tr>
      <w:tr w14:paraId="3308D4F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48" w:type="dxa"/>
            <w:vMerge w:val="continue"/>
            <w:vAlign w:val="center"/>
          </w:tcPr>
          <w:p w14:paraId="76B6B7B1">
            <w:pPr>
              <w:spacing w:line="240" w:lineRule="auto"/>
              <w:ind w:firstLine="0" w:firstLineChars="0"/>
              <w:jc w:val="center"/>
              <w:rPr>
                <w:color w:val="000000" w:themeColor="text1"/>
                <w:sz w:val="21"/>
                <w14:textFill>
                  <w14:solidFill>
                    <w14:schemeClr w14:val="tx1"/>
                  </w14:solidFill>
                </w14:textFill>
              </w:rPr>
            </w:pPr>
          </w:p>
        </w:tc>
        <w:tc>
          <w:tcPr>
            <w:tcW w:w="1010" w:type="dxa"/>
            <w:vMerge w:val="continue"/>
            <w:vAlign w:val="center"/>
          </w:tcPr>
          <w:p w14:paraId="063DD7F6">
            <w:pPr>
              <w:spacing w:line="240" w:lineRule="auto"/>
              <w:ind w:firstLine="0" w:firstLineChars="0"/>
              <w:jc w:val="center"/>
              <w:rPr>
                <w:color w:val="000000" w:themeColor="text1"/>
                <w:sz w:val="21"/>
                <w14:textFill>
                  <w14:solidFill>
                    <w14:schemeClr w14:val="tx1"/>
                  </w14:solidFill>
                </w14:textFill>
              </w:rPr>
            </w:pPr>
          </w:p>
        </w:tc>
        <w:tc>
          <w:tcPr>
            <w:tcW w:w="1847" w:type="dxa"/>
            <w:vAlign w:val="center"/>
          </w:tcPr>
          <w:p w14:paraId="46A23054">
            <w:pPr>
              <w:spacing w:line="240" w:lineRule="auto"/>
              <w:ind w:firstLine="0" w:firstLineChars="0"/>
              <w:jc w:val="center"/>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双毛纺锤水蚤</w:t>
            </w:r>
          </w:p>
        </w:tc>
        <w:tc>
          <w:tcPr>
            <w:tcW w:w="2438" w:type="dxa"/>
            <w:vAlign w:val="center"/>
          </w:tcPr>
          <w:p w14:paraId="0C6A7649">
            <w:pPr>
              <w:spacing w:line="240" w:lineRule="auto"/>
              <w:ind w:firstLine="0" w:firstLineChars="0"/>
              <w:jc w:val="center"/>
              <w:rPr>
                <w:i/>
                <w:iCs/>
                <w:color w:val="000000" w:themeColor="text1"/>
                <w:sz w:val="21"/>
                <w14:textFill>
                  <w14:solidFill>
                    <w14:schemeClr w14:val="tx1"/>
                  </w14:solidFill>
                </w14:textFill>
              </w:rPr>
            </w:pPr>
            <w:r>
              <w:rPr>
                <w:rFonts w:hint="eastAsia"/>
                <w:i/>
                <w:iCs/>
                <w:color w:val="000000" w:themeColor="text1"/>
                <w:sz w:val="21"/>
                <w14:textFill>
                  <w14:solidFill>
                    <w14:schemeClr w14:val="tx1"/>
                  </w14:solidFill>
                </w14:textFill>
              </w:rPr>
              <w:t>Acartia bifilosa</w:t>
            </w:r>
          </w:p>
        </w:tc>
        <w:tc>
          <w:tcPr>
            <w:tcW w:w="1158" w:type="dxa"/>
            <w:vAlign w:val="center"/>
          </w:tcPr>
          <w:p w14:paraId="060D5FCF">
            <w:pPr>
              <w:spacing w:line="240" w:lineRule="auto"/>
              <w:ind w:firstLine="0" w:firstLineChars="0"/>
              <w:jc w:val="center"/>
              <w:rPr>
                <w:color w:val="000000" w:themeColor="text1"/>
                <w:sz w:val="21"/>
                <w14:textFill>
                  <w14:solidFill>
                    <w14:schemeClr w14:val="tx1"/>
                  </w14:solidFill>
                </w14:textFill>
              </w:rPr>
            </w:pPr>
          </w:p>
        </w:tc>
        <w:tc>
          <w:tcPr>
            <w:tcW w:w="1221" w:type="dxa"/>
            <w:vMerge w:val="continue"/>
            <w:vAlign w:val="center"/>
          </w:tcPr>
          <w:p w14:paraId="598CE0B5">
            <w:pPr>
              <w:spacing w:line="240" w:lineRule="auto"/>
              <w:ind w:firstLine="0" w:firstLineChars="0"/>
              <w:jc w:val="center"/>
              <w:rPr>
                <w:color w:val="000000" w:themeColor="text1"/>
                <w:sz w:val="21"/>
                <w14:textFill>
                  <w14:solidFill>
                    <w14:schemeClr w14:val="tx1"/>
                  </w14:solidFill>
                </w14:textFill>
              </w:rPr>
            </w:pPr>
          </w:p>
        </w:tc>
      </w:tr>
      <w:tr w14:paraId="0134239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48" w:type="dxa"/>
            <w:vMerge w:val="continue"/>
            <w:vAlign w:val="center"/>
          </w:tcPr>
          <w:p w14:paraId="4B94EABB">
            <w:pPr>
              <w:spacing w:line="240" w:lineRule="auto"/>
              <w:ind w:firstLine="0" w:firstLineChars="0"/>
              <w:jc w:val="center"/>
              <w:rPr>
                <w:color w:val="000000" w:themeColor="text1"/>
                <w:sz w:val="21"/>
                <w14:textFill>
                  <w14:solidFill>
                    <w14:schemeClr w14:val="tx1"/>
                  </w14:solidFill>
                </w14:textFill>
              </w:rPr>
            </w:pPr>
          </w:p>
        </w:tc>
        <w:tc>
          <w:tcPr>
            <w:tcW w:w="1010" w:type="dxa"/>
            <w:vMerge w:val="continue"/>
            <w:vAlign w:val="center"/>
          </w:tcPr>
          <w:p w14:paraId="1A75C325">
            <w:pPr>
              <w:spacing w:line="240" w:lineRule="auto"/>
              <w:ind w:firstLine="0" w:firstLineChars="0"/>
              <w:jc w:val="center"/>
              <w:rPr>
                <w:color w:val="000000" w:themeColor="text1"/>
                <w:sz w:val="21"/>
                <w14:textFill>
                  <w14:solidFill>
                    <w14:schemeClr w14:val="tx1"/>
                  </w14:solidFill>
                </w14:textFill>
              </w:rPr>
            </w:pPr>
          </w:p>
        </w:tc>
        <w:tc>
          <w:tcPr>
            <w:tcW w:w="1847" w:type="dxa"/>
            <w:vAlign w:val="center"/>
          </w:tcPr>
          <w:p w14:paraId="14408B80">
            <w:pPr>
              <w:spacing w:line="240" w:lineRule="auto"/>
              <w:ind w:firstLine="0" w:firstLineChars="0"/>
              <w:jc w:val="center"/>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小长腹剑水蚤</w:t>
            </w:r>
          </w:p>
        </w:tc>
        <w:tc>
          <w:tcPr>
            <w:tcW w:w="2438" w:type="dxa"/>
            <w:vAlign w:val="center"/>
          </w:tcPr>
          <w:p w14:paraId="46EAB195">
            <w:pPr>
              <w:spacing w:line="240" w:lineRule="auto"/>
              <w:ind w:firstLine="0" w:firstLineChars="0"/>
              <w:jc w:val="center"/>
              <w:rPr>
                <w:i/>
                <w:iCs/>
                <w:color w:val="000000" w:themeColor="text1"/>
                <w:sz w:val="21"/>
                <w14:textFill>
                  <w14:solidFill>
                    <w14:schemeClr w14:val="tx1"/>
                  </w14:solidFill>
                </w14:textFill>
              </w:rPr>
            </w:pPr>
            <w:r>
              <w:rPr>
                <w:rFonts w:hint="eastAsia"/>
                <w:i/>
                <w:iCs/>
                <w:color w:val="000000" w:themeColor="text1"/>
                <w:sz w:val="21"/>
                <w14:textFill>
                  <w14:solidFill>
                    <w14:schemeClr w14:val="tx1"/>
                  </w14:solidFill>
                </w14:textFill>
              </w:rPr>
              <w:t>Oithona nana</w:t>
            </w:r>
          </w:p>
        </w:tc>
        <w:tc>
          <w:tcPr>
            <w:tcW w:w="1158" w:type="dxa"/>
            <w:vAlign w:val="center"/>
          </w:tcPr>
          <w:p w14:paraId="05273CB2">
            <w:pPr>
              <w:spacing w:line="240" w:lineRule="auto"/>
              <w:ind w:firstLine="0" w:firstLineChars="0"/>
              <w:jc w:val="center"/>
              <w:rPr>
                <w:color w:val="000000" w:themeColor="text1"/>
                <w:sz w:val="21"/>
                <w14:textFill>
                  <w14:solidFill>
                    <w14:schemeClr w14:val="tx1"/>
                  </w14:solidFill>
                </w14:textFill>
              </w:rPr>
            </w:pPr>
          </w:p>
        </w:tc>
        <w:tc>
          <w:tcPr>
            <w:tcW w:w="1221" w:type="dxa"/>
            <w:vMerge w:val="continue"/>
            <w:vAlign w:val="center"/>
          </w:tcPr>
          <w:p w14:paraId="50F42E0E">
            <w:pPr>
              <w:spacing w:line="240" w:lineRule="auto"/>
              <w:ind w:firstLine="0" w:firstLineChars="0"/>
              <w:jc w:val="center"/>
              <w:rPr>
                <w:color w:val="000000" w:themeColor="text1"/>
                <w:sz w:val="21"/>
                <w14:textFill>
                  <w14:solidFill>
                    <w14:schemeClr w14:val="tx1"/>
                  </w14:solidFill>
                </w14:textFill>
              </w:rPr>
            </w:pPr>
          </w:p>
        </w:tc>
      </w:tr>
      <w:tr w14:paraId="232C6FC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48" w:type="dxa"/>
            <w:vMerge w:val="continue"/>
            <w:vAlign w:val="center"/>
          </w:tcPr>
          <w:p w14:paraId="0057D26E">
            <w:pPr>
              <w:spacing w:line="240" w:lineRule="auto"/>
              <w:ind w:firstLine="0" w:firstLineChars="0"/>
              <w:jc w:val="center"/>
              <w:rPr>
                <w:color w:val="000000" w:themeColor="text1"/>
                <w:sz w:val="21"/>
                <w14:textFill>
                  <w14:solidFill>
                    <w14:schemeClr w14:val="tx1"/>
                  </w14:solidFill>
                </w14:textFill>
              </w:rPr>
            </w:pPr>
          </w:p>
        </w:tc>
        <w:tc>
          <w:tcPr>
            <w:tcW w:w="1010" w:type="dxa"/>
            <w:vMerge w:val="continue"/>
            <w:vAlign w:val="center"/>
          </w:tcPr>
          <w:p w14:paraId="7E84DB4C">
            <w:pPr>
              <w:spacing w:line="240" w:lineRule="auto"/>
              <w:ind w:firstLine="0" w:firstLineChars="0"/>
              <w:jc w:val="center"/>
              <w:rPr>
                <w:color w:val="000000" w:themeColor="text1"/>
                <w:sz w:val="21"/>
                <w14:textFill>
                  <w14:solidFill>
                    <w14:schemeClr w14:val="tx1"/>
                  </w14:solidFill>
                </w14:textFill>
              </w:rPr>
            </w:pPr>
          </w:p>
        </w:tc>
        <w:tc>
          <w:tcPr>
            <w:tcW w:w="1847" w:type="dxa"/>
            <w:vAlign w:val="center"/>
          </w:tcPr>
          <w:p w14:paraId="2F08B84A">
            <w:pPr>
              <w:spacing w:line="240" w:lineRule="auto"/>
              <w:ind w:firstLine="0" w:firstLineChars="0"/>
              <w:jc w:val="center"/>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拟长腹剑水蚤</w:t>
            </w:r>
          </w:p>
        </w:tc>
        <w:tc>
          <w:tcPr>
            <w:tcW w:w="2438" w:type="dxa"/>
            <w:vAlign w:val="center"/>
          </w:tcPr>
          <w:p w14:paraId="5692FC7B">
            <w:pPr>
              <w:spacing w:line="240" w:lineRule="auto"/>
              <w:ind w:firstLine="0" w:firstLineChars="0"/>
              <w:jc w:val="center"/>
              <w:rPr>
                <w:i/>
                <w:iCs/>
                <w:color w:val="000000" w:themeColor="text1"/>
                <w:sz w:val="21"/>
                <w14:textFill>
                  <w14:solidFill>
                    <w14:schemeClr w14:val="tx1"/>
                  </w14:solidFill>
                </w14:textFill>
              </w:rPr>
            </w:pPr>
            <w:r>
              <w:rPr>
                <w:rFonts w:hint="eastAsia"/>
                <w:i/>
                <w:iCs/>
                <w:color w:val="000000" w:themeColor="text1"/>
                <w:sz w:val="21"/>
                <w14:textFill>
                  <w14:solidFill>
                    <w14:schemeClr w14:val="tx1"/>
                  </w14:solidFill>
                </w14:textFill>
              </w:rPr>
              <w:t>Oithona similis</w:t>
            </w:r>
          </w:p>
        </w:tc>
        <w:tc>
          <w:tcPr>
            <w:tcW w:w="1158" w:type="dxa"/>
            <w:vAlign w:val="center"/>
          </w:tcPr>
          <w:p w14:paraId="7D169061">
            <w:pPr>
              <w:spacing w:line="240" w:lineRule="auto"/>
              <w:ind w:firstLine="0" w:firstLineChars="0"/>
              <w:jc w:val="center"/>
              <w:rPr>
                <w:color w:val="000000" w:themeColor="text1"/>
                <w:sz w:val="21"/>
                <w14:textFill>
                  <w14:solidFill>
                    <w14:schemeClr w14:val="tx1"/>
                  </w14:solidFill>
                </w14:textFill>
              </w:rPr>
            </w:pPr>
          </w:p>
        </w:tc>
        <w:tc>
          <w:tcPr>
            <w:tcW w:w="1221" w:type="dxa"/>
            <w:vMerge w:val="continue"/>
            <w:vAlign w:val="center"/>
          </w:tcPr>
          <w:p w14:paraId="12B041AF">
            <w:pPr>
              <w:spacing w:line="240" w:lineRule="auto"/>
              <w:ind w:firstLine="0" w:firstLineChars="0"/>
              <w:jc w:val="center"/>
              <w:rPr>
                <w:color w:val="000000" w:themeColor="text1"/>
                <w:sz w:val="21"/>
                <w14:textFill>
                  <w14:solidFill>
                    <w14:schemeClr w14:val="tx1"/>
                  </w14:solidFill>
                </w14:textFill>
              </w:rPr>
            </w:pPr>
          </w:p>
        </w:tc>
      </w:tr>
      <w:tr w14:paraId="447A094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48" w:type="dxa"/>
            <w:vMerge w:val="continue"/>
            <w:vAlign w:val="center"/>
          </w:tcPr>
          <w:p w14:paraId="7AC96312">
            <w:pPr>
              <w:spacing w:line="240" w:lineRule="auto"/>
              <w:ind w:firstLine="0" w:firstLineChars="0"/>
              <w:jc w:val="center"/>
              <w:rPr>
                <w:color w:val="000000" w:themeColor="text1"/>
                <w:sz w:val="21"/>
                <w14:textFill>
                  <w14:solidFill>
                    <w14:schemeClr w14:val="tx1"/>
                  </w14:solidFill>
                </w14:textFill>
              </w:rPr>
            </w:pPr>
          </w:p>
        </w:tc>
        <w:tc>
          <w:tcPr>
            <w:tcW w:w="1010" w:type="dxa"/>
            <w:vMerge w:val="continue"/>
            <w:vAlign w:val="center"/>
          </w:tcPr>
          <w:p w14:paraId="525DD473">
            <w:pPr>
              <w:spacing w:line="240" w:lineRule="auto"/>
              <w:ind w:firstLine="0" w:firstLineChars="0"/>
              <w:jc w:val="center"/>
              <w:rPr>
                <w:color w:val="000000" w:themeColor="text1"/>
                <w:sz w:val="21"/>
                <w14:textFill>
                  <w14:solidFill>
                    <w14:schemeClr w14:val="tx1"/>
                  </w14:solidFill>
                </w14:textFill>
              </w:rPr>
            </w:pPr>
          </w:p>
        </w:tc>
        <w:tc>
          <w:tcPr>
            <w:tcW w:w="1847" w:type="dxa"/>
            <w:vAlign w:val="center"/>
          </w:tcPr>
          <w:p w14:paraId="51E4990E">
            <w:pPr>
              <w:spacing w:line="240" w:lineRule="auto"/>
              <w:ind w:firstLine="0" w:firstLineChars="0"/>
              <w:jc w:val="center"/>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小拟哲水蚤</w:t>
            </w:r>
          </w:p>
        </w:tc>
        <w:tc>
          <w:tcPr>
            <w:tcW w:w="2438" w:type="dxa"/>
            <w:vAlign w:val="center"/>
          </w:tcPr>
          <w:p w14:paraId="4FEB5F6A">
            <w:pPr>
              <w:spacing w:line="240" w:lineRule="auto"/>
              <w:ind w:firstLine="0" w:firstLineChars="0"/>
              <w:jc w:val="center"/>
              <w:rPr>
                <w:i/>
                <w:iCs/>
                <w:color w:val="000000" w:themeColor="text1"/>
                <w:sz w:val="21"/>
                <w14:textFill>
                  <w14:solidFill>
                    <w14:schemeClr w14:val="tx1"/>
                  </w14:solidFill>
                </w14:textFill>
              </w:rPr>
            </w:pPr>
            <w:r>
              <w:rPr>
                <w:rFonts w:hint="eastAsia"/>
                <w:i/>
                <w:iCs/>
                <w:color w:val="000000" w:themeColor="text1"/>
                <w:sz w:val="21"/>
                <w14:textFill>
                  <w14:solidFill>
                    <w14:schemeClr w14:val="tx1"/>
                  </w14:solidFill>
                </w14:textFill>
              </w:rPr>
              <w:t>Paracalanus parvus</w:t>
            </w:r>
          </w:p>
        </w:tc>
        <w:tc>
          <w:tcPr>
            <w:tcW w:w="1158" w:type="dxa"/>
            <w:vAlign w:val="center"/>
          </w:tcPr>
          <w:p w14:paraId="662808B5">
            <w:pPr>
              <w:spacing w:line="240" w:lineRule="auto"/>
              <w:ind w:firstLine="0" w:firstLineChars="0"/>
              <w:jc w:val="center"/>
              <w:rPr>
                <w:color w:val="000000" w:themeColor="text1"/>
                <w:sz w:val="21"/>
                <w14:textFill>
                  <w14:solidFill>
                    <w14:schemeClr w14:val="tx1"/>
                  </w14:solidFill>
                </w14:textFill>
              </w:rPr>
            </w:pPr>
          </w:p>
        </w:tc>
        <w:tc>
          <w:tcPr>
            <w:tcW w:w="1221" w:type="dxa"/>
            <w:vMerge w:val="continue"/>
            <w:vAlign w:val="center"/>
          </w:tcPr>
          <w:p w14:paraId="1E1197A6">
            <w:pPr>
              <w:spacing w:line="240" w:lineRule="auto"/>
              <w:ind w:firstLine="0" w:firstLineChars="0"/>
              <w:jc w:val="center"/>
              <w:rPr>
                <w:color w:val="000000" w:themeColor="text1"/>
                <w:sz w:val="21"/>
                <w14:textFill>
                  <w14:solidFill>
                    <w14:schemeClr w14:val="tx1"/>
                  </w14:solidFill>
                </w14:textFill>
              </w:rPr>
            </w:pPr>
          </w:p>
        </w:tc>
      </w:tr>
      <w:tr w14:paraId="4DCDC02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48" w:type="dxa"/>
            <w:vMerge w:val="continue"/>
            <w:vAlign w:val="center"/>
          </w:tcPr>
          <w:p w14:paraId="140539BD">
            <w:pPr>
              <w:spacing w:line="240" w:lineRule="auto"/>
              <w:ind w:firstLine="0" w:firstLineChars="0"/>
              <w:jc w:val="center"/>
              <w:rPr>
                <w:color w:val="000000" w:themeColor="text1"/>
                <w:sz w:val="21"/>
                <w14:textFill>
                  <w14:solidFill>
                    <w14:schemeClr w14:val="tx1"/>
                  </w14:solidFill>
                </w14:textFill>
              </w:rPr>
            </w:pPr>
          </w:p>
        </w:tc>
        <w:tc>
          <w:tcPr>
            <w:tcW w:w="1010" w:type="dxa"/>
            <w:vMerge w:val="continue"/>
            <w:vAlign w:val="center"/>
          </w:tcPr>
          <w:p w14:paraId="1032D7E5">
            <w:pPr>
              <w:spacing w:line="240" w:lineRule="auto"/>
              <w:ind w:firstLine="0" w:firstLineChars="0"/>
              <w:jc w:val="center"/>
              <w:rPr>
                <w:color w:val="000000" w:themeColor="text1"/>
                <w:sz w:val="21"/>
                <w14:textFill>
                  <w14:solidFill>
                    <w14:schemeClr w14:val="tx1"/>
                  </w14:solidFill>
                </w14:textFill>
              </w:rPr>
            </w:pPr>
          </w:p>
        </w:tc>
        <w:tc>
          <w:tcPr>
            <w:tcW w:w="1847" w:type="dxa"/>
            <w:vAlign w:val="center"/>
          </w:tcPr>
          <w:p w14:paraId="582948BF">
            <w:pPr>
              <w:spacing w:line="240" w:lineRule="auto"/>
              <w:ind w:firstLine="0" w:firstLineChars="0"/>
              <w:jc w:val="center"/>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强额孔雀水蚤</w:t>
            </w:r>
          </w:p>
        </w:tc>
        <w:tc>
          <w:tcPr>
            <w:tcW w:w="2438" w:type="dxa"/>
            <w:vAlign w:val="center"/>
          </w:tcPr>
          <w:p w14:paraId="7B083591">
            <w:pPr>
              <w:spacing w:line="240" w:lineRule="auto"/>
              <w:ind w:firstLine="0" w:firstLineChars="0"/>
              <w:jc w:val="center"/>
              <w:rPr>
                <w:i/>
                <w:iCs/>
                <w:color w:val="000000" w:themeColor="text1"/>
                <w:sz w:val="21"/>
                <w14:textFill>
                  <w14:solidFill>
                    <w14:schemeClr w14:val="tx1"/>
                  </w14:solidFill>
                </w14:textFill>
              </w:rPr>
            </w:pPr>
            <w:r>
              <w:rPr>
                <w:rFonts w:hint="eastAsia"/>
                <w:i/>
                <w:iCs/>
                <w:color w:val="000000" w:themeColor="text1"/>
                <w:sz w:val="21"/>
                <w14:textFill>
                  <w14:solidFill>
                    <w14:schemeClr w14:val="tx1"/>
                  </w14:solidFill>
                </w14:textFill>
              </w:rPr>
              <w:t>Pavocalanus crassirostris</w:t>
            </w:r>
          </w:p>
        </w:tc>
        <w:tc>
          <w:tcPr>
            <w:tcW w:w="1158" w:type="dxa"/>
            <w:vAlign w:val="center"/>
          </w:tcPr>
          <w:p w14:paraId="297FBA91">
            <w:pPr>
              <w:spacing w:line="240" w:lineRule="auto"/>
              <w:ind w:firstLine="0" w:firstLineChars="0"/>
              <w:jc w:val="center"/>
              <w:rPr>
                <w:color w:val="000000" w:themeColor="text1"/>
                <w:sz w:val="21"/>
                <w14:textFill>
                  <w14:solidFill>
                    <w14:schemeClr w14:val="tx1"/>
                  </w14:solidFill>
                </w14:textFill>
              </w:rPr>
            </w:pPr>
          </w:p>
        </w:tc>
        <w:tc>
          <w:tcPr>
            <w:tcW w:w="1221" w:type="dxa"/>
            <w:vMerge w:val="continue"/>
            <w:vAlign w:val="center"/>
          </w:tcPr>
          <w:p w14:paraId="5BF59E36">
            <w:pPr>
              <w:spacing w:line="240" w:lineRule="auto"/>
              <w:ind w:firstLine="0" w:firstLineChars="0"/>
              <w:jc w:val="center"/>
              <w:rPr>
                <w:color w:val="000000" w:themeColor="text1"/>
                <w:sz w:val="21"/>
                <w14:textFill>
                  <w14:solidFill>
                    <w14:schemeClr w14:val="tx1"/>
                  </w14:solidFill>
                </w14:textFill>
              </w:rPr>
            </w:pPr>
          </w:p>
        </w:tc>
      </w:tr>
      <w:tr w14:paraId="0990F93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48" w:type="dxa"/>
            <w:vMerge w:val="continue"/>
            <w:vAlign w:val="center"/>
          </w:tcPr>
          <w:p w14:paraId="52C9B191">
            <w:pPr>
              <w:spacing w:line="240" w:lineRule="auto"/>
              <w:ind w:firstLine="0" w:firstLineChars="0"/>
              <w:jc w:val="center"/>
              <w:rPr>
                <w:color w:val="000000" w:themeColor="text1"/>
                <w:sz w:val="21"/>
                <w14:textFill>
                  <w14:solidFill>
                    <w14:schemeClr w14:val="tx1"/>
                  </w14:solidFill>
                </w14:textFill>
              </w:rPr>
            </w:pPr>
          </w:p>
        </w:tc>
        <w:tc>
          <w:tcPr>
            <w:tcW w:w="1010" w:type="dxa"/>
            <w:vAlign w:val="center"/>
          </w:tcPr>
          <w:p w14:paraId="6BE33A93">
            <w:pPr>
              <w:spacing w:line="240" w:lineRule="auto"/>
              <w:ind w:firstLine="0" w:firstLineChars="0"/>
              <w:jc w:val="center"/>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水母类</w:t>
            </w:r>
          </w:p>
        </w:tc>
        <w:tc>
          <w:tcPr>
            <w:tcW w:w="1847" w:type="dxa"/>
            <w:vAlign w:val="center"/>
          </w:tcPr>
          <w:p w14:paraId="735FBCCF">
            <w:pPr>
              <w:spacing w:line="240" w:lineRule="auto"/>
              <w:ind w:firstLine="0" w:firstLineChars="0"/>
              <w:jc w:val="center"/>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杜氏外肋水母</w:t>
            </w:r>
          </w:p>
        </w:tc>
        <w:tc>
          <w:tcPr>
            <w:tcW w:w="2438" w:type="dxa"/>
            <w:vAlign w:val="center"/>
          </w:tcPr>
          <w:p w14:paraId="2C089A8E">
            <w:pPr>
              <w:spacing w:line="240" w:lineRule="auto"/>
              <w:ind w:firstLine="0" w:firstLineChars="0"/>
              <w:jc w:val="center"/>
              <w:rPr>
                <w:i/>
                <w:iCs/>
                <w:color w:val="000000" w:themeColor="text1"/>
                <w:sz w:val="21"/>
                <w14:textFill>
                  <w14:solidFill>
                    <w14:schemeClr w14:val="tx1"/>
                  </w14:solidFill>
                </w14:textFill>
              </w:rPr>
            </w:pPr>
            <w:r>
              <w:rPr>
                <w:rFonts w:hint="eastAsia"/>
                <w:i/>
                <w:iCs/>
                <w:color w:val="000000" w:themeColor="text1"/>
                <w:sz w:val="21"/>
                <w14:textFill>
                  <w14:solidFill>
                    <w14:schemeClr w14:val="tx1"/>
                  </w14:solidFill>
                </w14:textFill>
              </w:rPr>
              <w:t>Ectopleura dumortieri</w:t>
            </w:r>
          </w:p>
        </w:tc>
        <w:tc>
          <w:tcPr>
            <w:tcW w:w="1158" w:type="dxa"/>
            <w:vAlign w:val="center"/>
          </w:tcPr>
          <w:p w14:paraId="2D17729F">
            <w:pPr>
              <w:spacing w:line="240" w:lineRule="auto"/>
              <w:ind w:firstLine="0" w:firstLineChars="0"/>
              <w:jc w:val="center"/>
              <w:rPr>
                <w:color w:val="000000" w:themeColor="text1"/>
                <w:sz w:val="21"/>
                <w14:textFill>
                  <w14:solidFill>
                    <w14:schemeClr w14:val="tx1"/>
                  </w14:solidFill>
                </w14:textFill>
              </w:rPr>
            </w:pPr>
          </w:p>
        </w:tc>
        <w:tc>
          <w:tcPr>
            <w:tcW w:w="1221" w:type="dxa"/>
            <w:vMerge w:val="continue"/>
            <w:vAlign w:val="center"/>
          </w:tcPr>
          <w:p w14:paraId="49416304">
            <w:pPr>
              <w:spacing w:line="240" w:lineRule="auto"/>
              <w:ind w:firstLine="0" w:firstLineChars="0"/>
              <w:jc w:val="center"/>
              <w:rPr>
                <w:color w:val="000000" w:themeColor="text1"/>
                <w:sz w:val="21"/>
                <w14:textFill>
                  <w14:solidFill>
                    <w14:schemeClr w14:val="tx1"/>
                  </w14:solidFill>
                </w14:textFill>
              </w:rPr>
            </w:pPr>
          </w:p>
        </w:tc>
      </w:tr>
      <w:tr w14:paraId="79B9250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48" w:type="dxa"/>
            <w:vMerge w:val="continue"/>
            <w:vAlign w:val="center"/>
          </w:tcPr>
          <w:p w14:paraId="02CA1959">
            <w:pPr>
              <w:spacing w:line="240" w:lineRule="auto"/>
              <w:ind w:firstLine="0" w:firstLineChars="0"/>
              <w:jc w:val="center"/>
              <w:rPr>
                <w:color w:val="000000" w:themeColor="text1"/>
                <w:sz w:val="21"/>
                <w14:textFill>
                  <w14:solidFill>
                    <w14:schemeClr w14:val="tx1"/>
                  </w14:solidFill>
                </w14:textFill>
              </w:rPr>
            </w:pPr>
          </w:p>
        </w:tc>
        <w:tc>
          <w:tcPr>
            <w:tcW w:w="1010" w:type="dxa"/>
            <w:vAlign w:val="center"/>
          </w:tcPr>
          <w:p w14:paraId="7C3BB33D">
            <w:pPr>
              <w:spacing w:line="240" w:lineRule="auto"/>
              <w:ind w:firstLine="0" w:firstLineChars="0"/>
              <w:jc w:val="center"/>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介形类</w:t>
            </w:r>
          </w:p>
        </w:tc>
        <w:tc>
          <w:tcPr>
            <w:tcW w:w="1847" w:type="dxa"/>
            <w:vAlign w:val="center"/>
          </w:tcPr>
          <w:p w14:paraId="1EFA13D2">
            <w:pPr>
              <w:spacing w:line="240" w:lineRule="auto"/>
              <w:ind w:firstLine="0" w:firstLineChars="0"/>
              <w:jc w:val="center"/>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针刺真浮萤</w:t>
            </w:r>
          </w:p>
        </w:tc>
        <w:tc>
          <w:tcPr>
            <w:tcW w:w="2438" w:type="dxa"/>
            <w:vAlign w:val="center"/>
          </w:tcPr>
          <w:p w14:paraId="7D83EB74">
            <w:pPr>
              <w:spacing w:line="240" w:lineRule="auto"/>
              <w:ind w:firstLine="0" w:firstLineChars="0"/>
              <w:jc w:val="center"/>
              <w:rPr>
                <w:i/>
                <w:iCs/>
                <w:color w:val="000000" w:themeColor="text1"/>
                <w:sz w:val="21"/>
                <w14:textFill>
                  <w14:solidFill>
                    <w14:schemeClr w14:val="tx1"/>
                  </w14:solidFill>
                </w14:textFill>
              </w:rPr>
            </w:pPr>
            <w:r>
              <w:rPr>
                <w:rFonts w:hint="eastAsia"/>
                <w:i/>
                <w:iCs/>
                <w:color w:val="000000" w:themeColor="text1"/>
                <w:sz w:val="21"/>
                <w14:textFill>
                  <w14:solidFill>
                    <w14:schemeClr w14:val="tx1"/>
                  </w14:solidFill>
                </w14:textFill>
              </w:rPr>
              <w:t>Euconchoecia aculeata</w:t>
            </w:r>
          </w:p>
        </w:tc>
        <w:tc>
          <w:tcPr>
            <w:tcW w:w="1158" w:type="dxa"/>
            <w:vAlign w:val="center"/>
          </w:tcPr>
          <w:p w14:paraId="5662DD01">
            <w:pPr>
              <w:spacing w:line="240" w:lineRule="auto"/>
              <w:ind w:firstLine="0" w:firstLineChars="0"/>
              <w:jc w:val="center"/>
              <w:rPr>
                <w:color w:val="000000" w:themeColor="text1"/>
                <w:sz w:val="21"/>
                <w14:textFill>
                  <w14:solidFill>
                    <w14:schemeClr w14:val="tx1"/>
                  </w14:solidFill>
                </w14:textFill>
              </w:rPr>
            </w:pPr>
          </w:p>
        </w:tc>
        <w:tc>
          <w:tcPr>
            <w:tcW w:w="1221" w:type="dxa"/>
            <w:vMerge w:val="continue"/>
            <w:vAlign w:val="center"/>
          </w:tcPr>
          <w:p w14:paraId="0D77C382">
            <w:pPr>
              <w:spacing w:line="240" w:lineRule="auto"/>
              <w:ind w:firstLine="0" w:firstLineChars="0"/>
              <w:jc w:val="center"/>
              <w:rPr>
                <w:color w:val="000000" w:themeColor="text1"/>
                <w:sz w:val="21"/>
                <w14:textFill>
                  <w14:solidFill>
                    <w14:schemeClr w14:val="tx1"/>
                  </w14:solidFill>
                </w14:textFill>
              </w:rPr>
            </w:pPr>
          </w:p>
        </w:tc>
      </w:tr>
      <w:tr w14:paraId="12AA1A4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48" w:type="dxa"/>
            <w:vMerge w:val="continue"/>
            <w:vAlign w:val="center"/>
          </w:tcPr>
          <w:p w14:paraId="6573377F">
            <w:pPr>
              <w:spacing w:line="240" w:lineRule="auto"/>
              <w:ind w:firstLine="0" w:firstLineChars="0"/>
              <w:jc w:val="center"/>
              <w:rPr>
                <w:color w:val="000000" w:themeColor="text1"/>
                <w:sz w:val="21"/>
                <w14:textFill>
                  <w14:solidFill>
                    <w14:schemeClr w14:val="tx1"/>
                  </w14:solidFill>
                </w14:textFill>
              </w:rPr>
            </w:pPr>
          </w:p>
        </w:tc>
        <w:tc>
          <w:tcPr>
            <w:tcW w:w="1010" w:type="dxa"/>
            <w:vMerge w:val="restart"/>
            <w:vAlign w:val="center"/>
          </w:tcPr>
          <w:p w14:paraId="5C260482">
            <w:pPr>
              <w:spacing w:line="240" w:lineRule="auto"/>
              <w:ind w:firstLine="0" w:firstLineChars="0"/>
              <w:jc w:val="center"/>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浮游幼虫</w:t>
            </w:r>
          </w:p>
        </w:tc>
        <w:tc>
          <w:tcPr>
            <w:tcW w:w="1847" w:type="dxa"/>
            <w:vAlign w:val="center"/>
          </w:tcPr>
          <w:p w14:paraId="5ABDC0AE">
            <w:pPr>
              <w:spacing w:line="240" w:lineRule="auto"/>
              <w:ind w:firstLine="0" w:firstLineChars="0"/>
              <w:jc w:val="center"/>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短尾类溞状幼体</w:t>
            </w:r>
          </w:p>
        </w:tc>
        <w:tc>
          <w:tcPr>
            <w:tcW w:w="2438" w:type="dxa"/>
            <w:vAlign w:val="center"/>
          </w:tcPr>
          <w:p w14:paraId="6936007A">
            <w:pPr>
              <w:spacing w:line="240" w:lineRule="auto"/>
              <w:ind w:firstLine="0" w:firstLineChars="0"/>
              <w:jc w:val="center"/>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Brachyura zoea</w:t>
            </w:r>
          </w:p>
        </w:tc>
        <w:tc>
          <w:tcPr>
            <w:tcW w:w="1158" w:type="dxa"/>
            <w:vAlign w:val="center"/>
          </w:tcPr>
          <w:p w14:paraId="2329D7BB">
            <w:pPr>
              <w:spacing w:line="240" w:lineRule="auto"/>
              <w:ind w:firstLine="0" w:firstLineChars="0"/>
              <w:jc w:val="center"/>
              <w:rPr>
                <w:color w:val="000000" w:themeColor="text1"/>
                <w:sz w:val="21"/>
                <w14:textFill>
                  <w14:solidFill>
                    <w14:schemeClr w14:val="tx1"/>
                  </w14:solidFill>
                </w14:textFill>
              </w:rPr>
            </w:pPr>
          </w:p>
        </w:tc>
        <w:tc>
          <w:tcPr>
            <w:tcW w:w="1221" w:type="dxa"/>
            <w:vMerge w:val="continue"/>
            <w:vAlign w:val="center"/>
          </w:tcPr>
          <w:p w14:paraId="5A3A8682">
            <w:pPr>
              <w:spacing w:line="240" w:lineRule="auto"/>
              <w:ind w:firstLine="0" w:firstLineChars="0"/>
              <w:jc w:val="center"/>
              <w:rPr>
                <w:color w:val="000000" w:themeColor="text1"/>
                <w:sz w:val="21"/>
                <w14:textFill>
                  <w14:solidFill>
                    <w14:schemeClr w14:val="tx1"/>
                  </w14:solidFill>
                </w14:textFill>
              </w:rPr>
            </w:pPr>
          </w:p>
        </w:tc>
      </w:tr>
      <w:tr w14:paraId="24E34E4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48" w:type="dxa"/>
            <w:vMerge w:val="continue"/>
            <w:vAlign w:val="center"/>
          </w:tcPr>
          <w:p w14:paraId="5F9442E6">
            <w:pPr>
              <w:spacing w:line="240" w:lineRule="auto"/>
              <w:ind w:firstLine="0" w:firstLineChars="0"/>
              <w:jc w:val="center"/>
              <w:rPr>
                <w:color w:val="000000" w:themeColor="text1"/>
                <w:sz w:val="21"/>
                <w14:textFill>
                  <w14:solidFill>
                    <w14:schemeClr w14:val="tx1"/>
                  </w14:solidFill>
                </w14:textFill>
              </w:rPr>
            </w:pPr>
          </w:p>
        </w:tc>
        <w:tc>
          <w:tcPr>
            <w:tcW w:w="1010" w:type="dxa"/>
            <w:vMerge w:val="continue"/>
            <w:vAlign w:val="center"/>
          </w:tcPr>
          <w:p w14:paraId="1118BF6F">
            <w:pPr>
              <w:spacing w:line="240" w:lineRule="auto"/>
              <w:ind w:firstLine="0" w:firstLineChars="0"/>
              <w:jc w:val="center"/>
              <w:rPr>
                <w:color w:val="000000" w:themeColor="text1"/>
                <w:sz w:val="21"/>
                <w14:textFill>
                  <w14:solidFill>
                    <w14:schemeClr w14:val="tx1"/>
                  </w14:solidFill>
                </w14:textFill>
              </w:rPr>
            </w:pPr>
          </w:p>
        </w:tc>
        <w:tc>
          <w:tcPr>
            <w:tcW w:w="1847" w:type="dxa"/>
            <w:vAlign w:val="center"/>
          </w:tcPr>
          <w:p w14:paraId="41BC1498">
            <w:pPr>
              <w:spacing w:line="240" w:lineRule="auto"/>
              <w:ind w:firstLine="0" w:firstLineChars="0"/>
              <w:jc w:val="center"/>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曼足类幼体</w:t>
            </w:r>
          </w:p>
        </w:tc>
        <w:tc>
          <w:tcPr>
            <w:tcW w:w="2438" w:type="dxa"/>
            <w:vAlign w:val="center"/>
          </w:tcPr>
          <w:p w14:paraId="1F4DA4EA">
            <w:pPr>
              <w:spacing w:line="240" w:lineRule="auto"/>
              <w:ind w:firstLine="0" w:firstLineChars="0"/>
              <w:jc w:val="center"/>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Balanus larva</w:t>
            </w:r>
          </w:p>
        </w:tc>
        <w:tc>
          <w:tcPr>
            <w:tcW w:w="1158" w:type="dxa"/>
            <w:vAlign w:val="center"/>
          </w:tcPr>
          <w:p w14:paraId="35E89B9D">
            <w:pPr>
              <w:spacing w:line="240" w:lineRule="auto"/>
              <w:ind w:firstLine="0" w:firstLineChars="0"/>
              <w:jc w:val="center"/>
              <w:rPr>
                <w:color w:val="000000" w:themeColor="text1"/>
                <w:sz w:val="21"/>
                <w14:textFill>
                  <w14:solidFill>
                    <w14:schemeClr w14:val="tx1"/>
                  </w14:solidFill>
                </w14:textFill>
              </w:rPr>
            </w:pPr>
          </w:p>
        </w:tc>
        <w:tc>
          <w:tcPr>
            <w:tcW w:w="1221" w:type="dxa"/>
            <w:vMerge w:val="continue"/>
            <w:vAlign w:val="center"/>
          </w:tcPr>
          <w:p w14:paraId="4E030B8D">
            <w:pPr>
              <w:spacing w:line="240" w:lineRule="auto"/>
              <w:ind w:firstLine="0" w:firstLineChars="0"/>
              <w:jc w:val="center"/>
              <w:rPr>
                <w:color w:val="000000" w:themeColor="text1"/>
                <w:sz w:val="21"/>
                <w14:textFill>
                  <w14:solidFill>
                    <w14:schemeClr w14:val="tx1"/>
                  </w14:solidFill>
                </w14:textFill>
              </w:rPr>
            </w:pPr>
          </w:p>
        </w:tc>
      </w:tr>
      <w:tr w14:paraId="4535D92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48" w:type="dxa"/>
            <w:vMerge w:val="restart"/>
            <w:vAlign w:val="center"/>
          </w:tcPr>
          <w:p w14:paraId="04652035">
            <w:pPr>
              <w:spacing w:line="240" w:lineRule="auto"/>
              <w:ind w:firstLine="0" w:firstLineChars="0"/>
              <w:jc w:val="center"/>
              <w:rPr>
                <w:color w:val="000000" w:themeColor="text1"/>
                <w:sz w:val="21"/>
                <w14:textFill>
                  <w14:solidFill>
                    <w14:schemeClr w14:val="tx1"/>
                  </w14:solidFill>
                </w14:textFill>
              </w:rPr>
            </w:pPr>
            <w:r>
              <w:rPr>
                <w:color w:val="000000" w:themeColor="text1"/>
                <w:kern w:val="0"/>
                <w:sz w:val="21"/>
                <w14:textFill>
                  <w14:solidFill>
                    <w14:schemeClr w14:val="tx1"/>
                  </w14:solidFill>
                </w14:textFill>
              </w:rPr>
              <w:t>S</w:t>
            </w:r>
            <w:r>
              <w:rPr>
                <w:rFonts w:hint="eastAsia"/>
                <w:color w:val="000000" w:themeColor="text1"/>
                <w:kern w:val="0"/>
                <w:sz w:val="21"/>
                <w14:textFill>
                  <w14:solidFill>
                    <w14:schemeClr w14:val="tx1"/>
                  </w14:solidFill>
                </w14:textFill>
              </w:rPr>
              <w:t>2</w:t>
            </w:r>
          </w:p>
        </w:tc>
        <w:tc>
          <w:tcPr>
            <w:tcW w:w="1010" w:type="dxa"/>
            <w:vMerge w:val="restart"/>
            <w:vAlign w:val="center"/>
          </w:tcPr>
          <w:p w14:paraId="665C07DF">
            <w:pPr>
              <w:spacing w:line="240" w:lineRule="auto"/>
              <w:ind w:firstLine="0" w:firstLineChars="0"/>
              <w:jc w:val="center"/>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桡足类</w:t>
            </w:r>
          </w:p>
        </w:tc>
        <w:tc>
          <w:tcPr>
            <w:tcW w:w="1847" w:type="dxa"/>
            <w:vAlign w:val="center"/>
          </w:tcPr>
          <w:p w14:paraId="7EA3F4E5">
            <w:pPr>
              <w:spacing w:line="240" w:lineRule="auto"/>
              <w:ind w:firstLine="0" w:firstLineChars="0"/>
              <w:jc w:val="center"/>
              <w:rPr>
                <w:color w:val="000000" w:themeColor="text1"/>
                <w:kern w:val="0"/>
                <w:sz w:val="21"/>
                <w14:textFill>
                  <w14:solidFill>
                    <w14:schemeClr w14:val="tx1"/>
                  </w14:solidFill>
                </w14:textFill>
              </w:rPr>
            </w:pPr>
            <w:r>
              <w:rPr>
                <w:rFonts w:hint="eastAsia"/>
                <w:color w:val="000000" w:themeColor="text1"/>
                <w:sz w:val="21"/>
                <w14:textFill>
                  <w14:solidFill>
                    <w14:schemeClr w14:val="tx1"/>
                  </w14:solidFill>
                </w14:textFill>
              </w:rPr>
              <w:t>尖额谐猛水蚤</w:t>
            </w:r>
          </w:p>
        </w:tc>
        <w:tc>
          <w:tcPr>
            <w:tcW w:w="2438" w:type="dxa"/>
            <w:vAlign w:val="center"/>
          </w:tcPr>
          <w:p w14:paraId="03283A8E">
            <w:pPr>
              <w:spacing w:line="240" w:lineRule="auto"/>
              <w:ind w:firstLine="0" w:firstLineChars="0"/>
              <w:jc w:val="center"/>
              <w:rPr>
                <w:i/>
                <w:iCs/>
                <w:color w:val="000000" w:themeColor="text1"/>
                <w:sz w:val="21"/>
                <w14:textFill>
                  <w14:solidFill>
                    <w14:schemeClr w14:val="tx1"/>
                  </w14:solidFill>
                </w14:textFill>
              </w:rPr>
            </w:pPr>
            <w:r>
              <w:rPr>
                <w:rFonts w:hint="eastAsia"/>
                <w:i/>
                <w:iCs/>
                <w:color w:val="000000" w:themeColor="text1"/>
                <w:sz w:val="21"/>
                <w14:textFill>
                  <w14:solidFill>
                    <w14:schemeClr w14:val="tx1"/>
                  </w14:solidFill>
                </w14:textFill>
              </w:rPr>
              <w:t>Euterpina acutifrons</w:t>
            </w:r>
          </w:p>
        </w:tc>
        <w:tc>
          <w:tcPr>
            <w:tcW w:w="1158" w:type="dxa"/>
            <w:vAlign w:val="center"/>
          </w:tcPr>
          <w:p w14:paraId="38589E55">
            <w:pPr>
              <w:spacing w:line="240" w:lineRule="auto"/>
              <w:ind w:firstLine="0" w:firstLineChars="0"/>
              <w:jc w:val="center"/>
              <w:rPr>
                <w:color w:val="000000" w:themeColor="text1"/>
                <w:kern w:val="0"/>
                <w:sz w:val="21"/>
                <w14:textFill>
                  <w14:solidFill>
                    <w14:schemeClr w14:val="tx1"/>
                  </w14:solidFill>
                </w14:textFill>
              </w:rPr>
            </w:pPr>
          </w:p>
        </w:tc>
        <w:tc>
          <w:tcPr>
            <w:tcW w:w="1221" w:type="dxa"/>
            <w:vMerge w:val="restart"/>
            <w:vAlign w:val="center"/>
          </w:tcPr>
          <w:p w14:paraId="62CA2F53">
            <w:pPr>
              <w:spacing w:line="240" w:lineRule="auto"/>
              <w:ind w:firstLine="0" w:firstLineChars="0"/>
              <w:jc w:val="center"/>
              <w:rPr>
                <w:color w:val="000000" w:themeColor="text1"/>
                <w:kern w:val="0"/>
                <w:sz w:val="21"/>
                <w14:textFill>
                  <w14:solidFill>
                    <w14:schemeClr w14:val="tx1"/>
                  </w14:solidFill>
                </w14:textFill>
              </w:rPr>
            </w:pPr>
            <w:r>
              <w:rPr>
                <w:rFonts w:hint="eastAsia"/>
                <w:color w:val="000000" w:themeColor="text1"/>
                <w:kern w:val="0"/>
                <w:sz w:val="21"/>
                <w14:textFill>
                  <w14:solidFill>
                    <w14:schemeClr w14:val="tx1"/>
                  </w14:solidFill>
                </w14:textFill>
              </w:rPr>
              <w:t>95.8</w:t>
            </w:r>
          </w:p>
        </w:tc>
      </w:tr>
      <w:tr w14:paraId="21BF04E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48" w:type="dxa"/>
            <w:vMerge w:val="continue"/>
            <w:vAlign w:val="center"/>
          </w:tcPr>
          <w:p w14:paraId="06B8B55E">
            <w:pPr>
              <w:spacing w:line="240" w:lineRule="auto"/>
              <w:ind w:firstLine="0" w:firstLineChars="0"/>
              <w:jc w:val="center"/>
              <w:rPr>
                <w:color w:val="000000" w:themeColor="text1"/>
                <w:sz w:val="21"/>
                <w14:textFill>
                  <w14:solidFill>
                    <w14:schemeClr w14:val="tx1"/>
                  </w14:solidFill>
                </w14:textFill>
              </w:rPr>
            </w:pPr>
          </w:p>
        </w:tc>
        <w:tc>
          <w:tcPr>
            <w:tcW w:w="1010" w:type="dxa"/>
            <w:vMerge w:val="continue"/>
            <w:vAlign w:val="center"/>
          </w:tcPr>
          <w:p w14:paraId="3BAF13FA">
            <w:pPr>
              <w:spacing w:line="240" w:lineRule="auto"/>
              <w:ind w:firstLine="0" w:firstLineChars="0"/>
              <w:jc w:val="center"/>
              <w:rPr>
                <w:color w:val="000000" w:themeColor="text1"/>
                <w:sz w:val="21"/>
                <w14:textFill>
                  <w14:solidFill>
                    <w14:schemeClr w14:val="tx1"/>
                  </w14:solidFill>
                </w14:textFill>
              </w:rPr>
            </w:pPr>
          </w:p>
        </w:tc>
        <w:tc>
          <w:tcPr>
            <w:tcW w:w="1847" w:type="dxa"/>
            <w:vAlign w:val="center"/>
          </w:tcPr>
          <w:p w14:paraId="6CA77E18">
            <w:pPr>
              <w:spacing w:line="240" w:lineRule="auto"/>
              <w:ind w:firstLine="0" w:firstLineChars="0"/>
              <w:jc w:val="center"/>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细长腹剑水蚤</w:t>
            </w:r>
          </w:p>
        </w:tc>
        <w:tc>
          <w:tcPr>
            <w:tcW w:w="2438" w:type="dxa"/>
            <w:vAlign w:val="center"/>
          </w:tcPr>
          <w:p w14:paraId="75283535">
            <w:pPr>
              <w:spacing w:line="240" w:lineRule="auto"/>
              <w:ind w:firstLine="0" w:firstLineChars="0"/>
              <w:jc w:val="center"/>
              <w:rPr>
                <w:i/>
                <w:iCs/>
                <w:color w:val="000000" w:themeColor="text1"/>
                <w:sz w:val="21"/>
                <w14:textFill>
                  <w14:solidFill>
                    <w14:schemeClr w14:val="tx1"/>
                  </w14:solidFill>
                </w14:textFill>
              </w:rPr>
            </w:pPr>
            <w:r>
              <w:rPr>
                <w:rFonts w:hint="eastAsia"/>
                <w:i/>
                <w:iCs/>
                <w:color w:val="000000" w:themeColor="text1"/>
                <w:sz w:val="21"/>
                <w14:textFill>
                  <w14:solidFill>
                    <w14:schemeClr w14:val="tx1"/>
                  </w14:solidFill>
                </w14:textFill>
              </w:rPr>
              <w:t>Oithona attenuata</w:t>
            </w:r>
          </w:p>
        </w:tc>
        <w:tc>
          <w:tcPr>
            <w:tcW w:w="1158" w:type="dxa"/>
            <w:vAlign w:val="center"/>
          </w:tcPr>
          <w:p w14:paraId="5D7CFB29">
            <w:pPr>
              <w:spacing w:line="240" w:lineRule="auto"/>
              <w:ind w:firstLine="0" w:firstLineChars="0"/>
              <w:jc w:val="center"/>
              <w:rPr>
                <w:color w:val="000000" w:themeColor="text1"/>
                <w:sz w:val="21"/>
                <w14:textFill>
                  <w14:solidFill>
                    <w14:schemeClr w14:val="tx1"/>
                  </w14:solidFill>
                </w14:textFill>
              </w:rPr>
            </w:pPr>
          </w:p>
        </w:tc>
        <w:tc>
          <w:tcPr>
            <w:tcW w:w="1221" w:type="dxa"/>
            <w:vMerge w:val="continue"/>
            <w:vAlign w:val="center"/>
          </w:tcPr>
          <w:p w14:paraId="2A2BAA2E">
            <w:pPr>
              <w:spacing w:line="240" w:lineRule="auto"/>
              <w:ind w:firstLine="0" w:firstLineChars="0"/>
              <w:jc w:val="center"/>
              <w:rPr>
                <w:color w:val="000000" w:themeColor="text1"/>
                <w:sz w:val="21"/>
                <w14:textFill>
                  <w14:solidFill>
                    <w14:schemeClr w14:val="tx1"/>
                  </w14:solidFill>
                </w14:textFill>
              </w:rPr>
            </w:pPr>
          </w:p>
        </w:tc>
      </w:tr>
      <w:tr w14:paraId="025D90B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48" w:type="dxa"/>
            <w:vMerge w:val="continue"/>
            <w:vAlign w:val="center"/>
          </w:tcPr>
          <w:p w14:paraId="11E925D8">
            <w:pPr>
              <w:spacing w:line="240" w:lineRule="auto"/>
              <w:ind w:firstLine="0" w:firstLineChars="0"/>
              <w:jc w:val="center"/>
              <w:rPr>
                <w:color w:val="000000" w:themeColor="text1"/>
                <w:sz w:val="21"/>
                <w14:textFill>
                  <w14:solidFill>
                    <w14:schemeClr w14:val="tx1"/>
                  </w14:solidFill>
                </w14:textFill>
              </w:rPr>
            </w:pPr>
          </w:p>
        </w:tc>
        <w:tc>
          <w:tcPr>
            <w:tcW w:w="1010" w:type="dxa"/>
            <w:vMerge w:val="continue"/>
            <w:vAlign w:val="center"/>
          </w:tcPr>
          <w:p w14:paraId="1DC2E8F8">
            <w:pPr>
              <w:spacing w:line="240" w:lineRule="auto"/>
              <w:ind w:firstLine="0" w:firstLineChars="0"/>
              <w:jc w:val="center"/>
              <w:rPr>
                <w:color w:val="000000" w:themeColor="text1"/>
                <w:sz w:val="21"/>
                <w14:textFill>
                  <w14:solidFill>
                    <w14:schemeClr w14:val="tx1"/>
                  </w14:solidFill>
                </w14:textFill>
              </w:rPr>
            </w:pPr>
          </w:p>
        </w:tc>
        <w:tc>
          <w:tcPr>
            <w:tcW w:w="1847" w:type="dxa"/>
            <w:vAlign w:val="center"/>
          </w:tcPr>
          <w:p w14:paraId="77F1042D">
            <w:pPr>
              <w:spacing w:line="240" w:lineRule="auto"/>
              <w:ind w:firstLine="0" w:firstLineChars="0"/>
              <w:jc w:val="center"/>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强额孔雀水蚤</w:t>
            </w:r>
          </w:p>
        </w:tc>
        <w:tc>
          <w:tcPr>
            <w:tcW w:w="2438" w:type="dxa"/>
            <w:vAlign w:val="center"/>
          </w:tcPr>
          <w:p w14:paraId="6B3BFE65">
            <w:pPr>
              <w:spacing w:line="240" w:lineRule="auto"/>
              <w:ind w:firstLine="0" w:firstLineChars="0"/>
              <w:jc w:val="center"/>
              <w:rPr>
                <w:i/>
                <w:iCs/>
                <w:color w:val="000000" w:themeColor="text1"/>
                <w:sz w:val="21"/>
                <w14:textFill>
                  <w14:solidFill>
                    <w14:schemeClr w14:val="tx1"/>
                  </w14:solidFill>
                </w14:textFill>
              </w:rPr>
            </w:pPr>
            <w:r>
              <w:rPr>
                <w:rFonts w:hint="eastAsia"/>
                <w:i/>
                <w:iCs/>
                <w:color w:val="000000" w:themeColor="text1"/>
                <w:sz w:val="21"/>
                <w14:textFill>
                  <w14:solidFill>
                    <w14:schemeClr w14:val="tx1"/>
                  </w14:solidFill>
                </w14:textFill>
              </w:rPr>
              <w:t>Pavocalanus crassirostris</w:t>
            </w:r>
          </w:p>
        </w:tc>
        <w:tc>
          <w:tcPr>
            <w:tcW w:w="1158" w:type="dxa"/>
            <w:vAlign w:val="center"/>
          </w:tcPr>
          <w:p w14:paraId="04F5856A">
            <w:pPr>
              <w:spacing w:line="240" w:lineRule="auto"/>
              <w:ind w:firstLine="0" w:firstLineChars="0"/>
              <w:jc w:val="center"/>
              <w:rPr>
                <w:color w:val="000000" w:themeColor="text1"/>
                <w:sz w:val="21"/>
                <w14:textFill>
                  <w14:solidFill>
                    <w14:schemeClr w14:val="tx1"/>
                  </w14:solidFill>
                </w14:textFill>
              </w:rPr>
            </w:pPr>
          </w:p>
        </w:tc>
        <w:tc>
          <w:tcPr>
            <w:tcW w:w="1221" w:type="dxa"/>
            <w:vMerge w:val="continue"/>
            <w:vAlign w:val="center"/>
          </w:tcPr>
          <w:p w14:paraId="4EA448A1">
            <w:pPr>
              <w:spacing w:line="240" w:lineRule="auto"/>
              <w:ind w:firstLine="0" w:firstLineChars="0"/>
              <w:jc w:val="center"/>
              <w:rPr>
                <w:color w:val="000000" w:themeColor="text1"/>
                <w:sz w:val="21"/>
                <w14:textFill>
                  <w14:solidFill>
                    <w14:schemeClr w14:val="tx1"/>
                  </w14:solidFill>
                </w14:textFill>
              </w:rPr>
            </w:pPr>
          </w:p>
        </w:tc>
      </w:tr>
      <w:tr w14:paraId="6DE3927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48" w:type="dxa"/>
            <w:vMerge w:val="continue"/>
            <w:vAlign w:val="center"/>
          </w:tcPr>
          <w:p w14:paraId="7852DF91">
            <w:pPr>
              <w:spacing w:line="240" w:lineRule="auto"/>
              <w:ind w:firstLine="0" w:firstLineChars="0"/>
              <w:jc w:val="center"/>
              <w:rPr>
                <w:color w:val="000000" w:themeColor="text1"/>
                <w:sz w:val="21"/>
                <w14:textFill>
                  <w14:solidFill>
                    <w14:schemeClr w14:val="tx1"/>
                  </w14:solidFill>
                </w14:textFill>
              </w:rPr>
            </w:pPr>
          </w:p>
        </w:tc>
        <w:tc>
          <w:tcPr>
            <w:tcW w:w="1010" w:type="dxa"/>
            <w:vMerge w:val="continue"/>
            <w:vAlign w:val="center"/>
          </w:tcPr>
          <w:p w14:paraId="57E99A3A">
            <w:pPr>
              <w:spacing w:line="240" w:lineRule="auto"/>
              <w:ind w:firstLine="0" w:firstLineChars="0"/>
              <w:jc w:val="center"/>
              <w:rPr>
                <w:color w:val="000000" w:themeColor="text1"/>
                <w:sz w:val="21"/>
                <w14:textFill>
                  <w14:solidFill>
                    <w14:schemeClr w14:val="tx1"/>
                  </w14:solidFill>
                </w14:textFill>
              </w:rPr>
            </w:pPr>
          </w:p>
        </w:tc>
        <w:tc>
          <w:tcPr>
            <w:tcW w:w="1847" w:type="dxa"/>
            <w:vAlign w:val="center"/>
          </w:tcPr>
          <w:p w14:paraId="7719991C">
            <w:pPr>
              <w:spacing w:line="240" w:lineRule="auto"/>
              <w:ind w:firstLine="0" w:firstLineChars="0"/>
              <w:jc w:val="center"/>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小拟哲水蚤</w:t>
            </w:r>
          </w:p>
        </w:tc>
        <w:tc>
          <w:tcPr>
            <w:tcW w:w="2438" w:type="dxa"/>
            <w:vAlign w:val="center"/>
          </w:tcPr>
          <w:p w14:paraId="344FD49D">
            <w:pPr>
              <w:spacing w:line="240" w:lineRule="auto"/>
              <w:ind w:firstLine="0" w:firstLineChars="0"/>
              <w:jc w:val="center"/>
              <w:rPr>
                <w:i/>
                <w:iCs/>
                <w:color w:val="000000" w:themeColor="text1"/>
                <w:sz w:val="21"/>
                <w14:textFill>
                  <w14:solidFill>
                    <w14:schemeClr w14:val="tx1"/>
                  </w14:solidFill>
                </w14:textFill>
              </w:rPr>
            </w:pPr>
            <w:r>
              <w:rPr>
                <w:rFonts w:hint="eastAsia"/>
                <w:i/>
                <w:iCs/>
                <w:color w:val="000000" w:themeColor="text1"/>
                <w:sz w:val="21"/>
                <w14:textFill>
                  <w14:solidFill>
                    <w14:schemeClr w14:val="tx1"/>
                  </w14:solidFill>
                </w14:textFill>
              </w:rPr>
              <w:t>Paracalanus parvus</w:t>
            </w:r>
          </w:p>
        </w:tc>
        <w:tc>
          <w:tcPr>
            <w:tcW w:w="1158" w:type="dxa"/>
            <w:vAlign w:val="center"/>
          </w:tcPr>
          <w:p w14:paraId="5B441569">
            <w:pPr>
              <w:spacing w:line="240" w:lineRule="auto"/>
              <w:ind w:firstLine="0" w:firstLineChars="0"/>
              <w:jc w:val="center"/>
              <w:rPr>
                <w:color w:val="000000" w:themeColor="text1"/>
                <w:sz w:val="21"/>
                <w14:textFill>
                  <w14:solidFill>
                    <w14:schemeClr w14:val="tx1"/>
                  </w14:solidFill>
                </w14:textFill>
              </w:rPr>
            </w:pPr>
          </w:p>
        </w:tc>
        <w:tc>
          <w:tcPr>
            <w:tcW w:w="1221" w:type="dxa"/>
            <w:vMerge w:val="continue"/>
            <w:vAlign w:val="center"/>
          </w:tcPr>
          <w:p w14:paraId="18968F64">
            <w:pPr>
              <w:spacing w:line="240" w:lineRule="auto"/>
              <w:ind w:firstLine="0" w:firstLineChars="0"/>
              <w:jc w:val="center"/>
              <w:rPr>
                <w:color w:val="000000" w:themeColor="text1"/>
                <w:sz w:val="21"/>
                <w14:textFill>
                  <w14:solidFill>
                    <w14:schemeClr w14:val="tx1"/>
                  </w14:solidFill>
                </w14:textFill>
              </w:rPr>
            </w:pPr>
          </w:p>
        </w:tc>
      </w:tr>
      <w:tr w14:paraId="5D50F80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48" w:type="dxa"/>
            <w:vMerge w:val="continue"/>
            <w:vAlign w:val="center"/>
          </w:tcPr>
          <w:p w14:paraId="1853E2C5">
            <w:pPr>
              <w:spacing w:line="240" w:lineRule="auto"/>
              <w:ind w:firstLine="0" w:firstLineChars="0"/>
              <w:jc w:val="center"/>
              <w:rPr>
                <w:color w:val="000000" w:themeColor="text1"/>
                <w:sz w:val="21"/>
                <w14:textFill>
                  <w14:solidFill>
                    <w14:schemeClr w14:val="tx1"/>
                  </w14:solidFill>
                </w14:textFill>
              </w:rPr>
            </w:pPr>
          </w:p>
        </w:tc>
        <w:tc>
          <w:tcPr>
            <w:tcW w:w="1010" w:type="dxa"/>
            <w:vMerge w:val="continue"/>
            <w:vAlign w:val="center"/>
          </w:tcPr>
          <w:p w14:paraId="7CFC5DF0">
            <w:pPr>
              <w:spacing w:line="240" w:lineRule="auto"/>
              <w:ind w:firstLine="0" w:firstLineChars="0"/>
              <w:jc w:val="center"/>
              <w:rPr>
                <w:color w:val="000000" w:themeColor="text1"/>
                <w:sz w:val="21"/>
                <w14:textFill>
                  <w14:solidFill>
                    <w14:schemeClr w14:val="tx1"/>
                  </w14:solidFill>
                </w14:textFill>
              </w:rPr>
            </w:pPr>
          </w:p>
        </w:tc>
        <w:tc>
          <w:tcPr>
            <w:tcW w:w="1847" w:type="dxa"/>
            <w:vAlign w:val="center"/>
          </w:tcPr>
          <w:p w14:paraId="00119276">
            <w:pPr>
              <w:spacing w:line="240" w:lineRule="auto"/>
              <w:ind w:firstLine="0" w:firstLineChars="0"/>
              <w:jc w:val="center"/>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短尾类溞状幼体</w:t>
            </w:r>
          </w:p>
        </w:tc>
        <w:tc>
          <w:tcPr>
            <w:tcW w:w="2438" w:type="dxa"/>
            <w:vAlign w:val="center"/>
          </w:tcPr>
          <w:p w14:paraId="00BB1BFF">
            <w:pPr>
              <w:spacing w:line="240" w:lineRule="auto"/>
              <w:ind w:firstLine="0" w:firstLineChars="0"/>
              <w:jc w:val="center"/>
              <w:rPr>
                <w:i/>
                <w:iCs/>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Brachyura zoea</w:t>
            </w:r>
          </w:p>
        </w:tc>
        <w:tc>
          <w:tcPr>
            <w:tcW w:w="1158" w:type="dxa"/>
            <w:vAlign w:val="center"/>
          </w:tcPr>
          <w:p w14:paraId="21B353E7">
            <w:pPr>
              <w:spacing w:line="240" w:lineRule="auto"/>
              <w:ind w:firstLine="0" w:firstLineChars="0"/>
              <w:jc w:val="center"/>
              <w:rPr>
                <w:color w:val="000000" w:themeColor="text1"/>
                <w:sz w:val="21"/>
                <w14:textFill>
                  <w14:solidFill>
                    <w14:schemeClr w14:val="tx1"/>
                  </w14:solidFill>
                </w14:textFill>
              </w:rPr>
            </w:pPr>
          </w:p>
        </w:tc>
        <w:tc>
          <w:tcPr>
            <w:tcW w:w="1221" w:type="dxa"/>
            <w:vMerge w:val="continue"/>
            <w:vAlign w:val="center"/>
          </w:tcPr>
          <w:p w14:paraId="5E5BA376">
            <w:pPr>
              <w:spacing w:line="240" w:lineRule="auto"/>
              <w:ind w:firstLine="0" w:firstLineChars="0"/>
              <w:jc w:val="center"/>
              <w:rPr>
                <w:color w:val="000000" w:themeColor="text1"/>
                <w:sz w:val="21"/>
                <w14:textFill>
                  <w14:solidFill>
                    <w14:schemeClr w14:val="tx1"/>
                  </w14:solidFill>
                </w14:textFill>
              </w:rPr>
            </w:pPr>
          </w:p>
        </w:tc>
      </w:tr>
      <w:tr w14:paraId="53BF299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48" w:type="dxa"/>
            <w:vMerge w:val="continue"/>
            <w:vAlign w:val="center"/>
          </w:tcPr>
          <w:p w14:paraId="21E8F8FE">
            <w:pPr>
              <w:spacing w:line="240" w:lineRule="auto"/>
              <w:ind w:firstLine="0" w:firstLineChars="0"/>
              <w:jc w:val="center"/>
              <w:rPr>
                <w:color w:val="000000" w:themeColor="text1"/>
                <w:sz w:val="21"/>
                <w14:textFill>
                  <w14:solidFill>
                    <w14:schemeClr w14:val="tx1"/>
                  </w14:solidFill>
                </w14:textFill>
              </w:rPr>
            </w:pPr>
          </w:p>
        </w:tc>
        <w:tc>
          <w:tcPr>
            <w:tcW w:w="1010" w:type="dxa"/>
            <w:vMerge w:val="continue"/>
            <w:vAlign w:val="center"/>
          </w:tcPr>
          <w:p w14:paraId="03914323">
            <w:pPr>
              <w:spacing w:line="240" w:lineRule="auto"/>
              <w:ind w:firstLine="0" w:firstLineChars="0"/>
              <w:jc w:val="center"/>
              <w:rPr>
                <w:color w:val="000000" w:themeColor="text1"/>
                <w:sz w:val="21"/>
                <w14:textFill>
                  <w14:solidFill>
                    <w14:schemeClr w14:val="tx1"/>
                  </w14:solidFill>
                </w14:textFill>
              </w:rPr>
            </w:pPr>
          </w:p>
        </w:tc>
        <w:tc>
          <w:tcPr>
            <w:tcW w:w="1847" w:type="dxa"/>
            <w:vAlign w:val="center"/>
          </w:tcPr>
          <w:p w14:paraId="7164D1F6">
            <w:pPr>
              <w:spacing w:line="240" w:lineRule="auto"/>
              <w:ind w:firstLine="0" w:firstLineChars="0"/>
              <w:jc w:val="center"/>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曼足类幼体</w:t>
            </w:r>
          </w:p>
        </w:tc>
        <w:tc>
          <w:tcPr>
            <w:tcW w:w="2438" w:type="dxa"/>
            <w:vAlign w:val="center"/>
          </w:tcPr>
          <w:p w14:paraId="13D42F56">
            <w:pPr>
              <w:spacing w:line="240" w:lineRule="auto"/>
              <w:ind w:firstLine="0" w:firstLineChars="0"/>
              <w:jc w:val="center"/>
              <w:rPr>
                <w:i/>
                <w:iCs/>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Balanus larva</w:t>
            </w:r>
          </w:p>
        </w:tc>
        <w:tc>
          <w:tcPr>
            <w:tcW w:w="1158" w:type="dxa"/>
            <w:vAlign w:val="center"/>
          </w:tcPr>
          <w:p w14:paraId="34FF7221">
            <w:pPr>
              <w:spacing w:line="240" w:lineRule="auto"/>
              <w:ind w:firstLine="0" w:firstLineChars="0"/>
              <w:jc w:val="center"/>
              <w:rPr>
                <w:color w:val="000000" w:themeColor="text1"/>
                <w:sz w:val="21"/>
                <w14:textFill>
                  <w14:solidFill>
                    <w14:schemeClr w14:val="tx1"/>
                  </w14:solidFill>
                </w14:textFill>
              </w:rPr>
            </w:pPr>
          </w:p>
        </w:tc>
        <w:tc>
          <w:tcPr>
            <w:tcW w:w="1221" w:type="dxa"/>
            <w:vMerge w:val="continue"/>
            <w:vAlign w:val="center"/>
          </w:tcPr>
          <w:p w14:paraId="44F61FE0">
            <w:pPr>
              <w:spacing w:line="240" w:lineRule="auto"/>
              <w:ind w:firstLine="0" w:firstLineChars="0"/>
              <w:jc w:val="center"/>
              <w:rPr>
                <w:color w:val="000000" w:themeColor="text1"/>
                <w:sz w:val="21"/>
                <w14:textFill>
                  <w14:solidFill>
                    <w14:schemeClr w14:val="tx1"/>
                  </w14:solidFill>
                </w14:textFill>
              </w:rPr>
            </w:pPr>
          </w:p>
        </w:tc>
      </w:tr>
      <w:tr w14:paraId="112B7A3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48" w:type="dxa"/>
            <w:vMerge w:val="restart"/>
            <w:vAlign w:val="center"/>
          </w:tcPr>
          <w:p w14:paraId="62E45B5C">
            <w:pPr>
              <w:spacing w:line="240" w:lineRule="auto"/>
              <w:ind w:firstLine="0" w:firstLineChars="0"/>
              <w:jc w:val="center"/>
              <w:rPr>
                <w:color w:val="000000" w:themeColor="text1"/>
                <w:sz w:val="21"/>
                <w14:textFill>
                  <w14:solidFill>
                    <w14:schemeClr w14:val="tx1"/>
                  </w14:solidFill>
                </w14:textFill>
              </w:rPr>
            </w:pPr>
            <w:r>
              <w:rPr>
                <w:rFonts w:hint="eastAsia"/>
                <w:color w:val="000000" w:themeColor="text1"/>
                <w:kern w:val="0"/>
                <w:sz w:val="21"/>
                <w14:textFill>
                  <w14:solidFill>
                    <w14:schemeClr w14:val="tx1"/>
                  </w14:solidFill>
                </w14:textFill>
              </w:rPr>
              <w:t>S3</w:t>
            </w:r>
          </w:p>
        </w:tc>
        <w:tc>
          <w:tcPr>
            <w:tcW w:w="1010" w:type="dxa"/>
            <w:vMerge w:val="restart"/>
            <w:vAlign w:val="center"/>
          </w:tcPr>
          <w:p w14:paraId="64A748DD">
            <w:pPr>
              <w:spacing w:line="240" w:lineRule="auto"/>
              <w:ind w:firstLine="0" w:firstLineChars="0"/>
              <w:jc w:val="center"/>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桡足类</w:t>
            </w:r>
          </w:p>
        </w:tc>
        <w:tc>
          <w:tcPr>
            <w:tcW w:w="1847" w:type="dxa"/>
            <w:vAlign w:val="center"/>
          </w:tcPr>
          <w:p w14:paraId="545751B2">
            <w:pPr>
              <w:spacing w:line="240" w:lineRule="auto"/>
              <w:ind w:firstLine="0" w:firstLineChars="0"/>
              <w:jc w:val="center"/>
              <w:rPr>
                <w:color w:val="000000" w:themeColor="text1"/>
                <w:kern w:val="0"/>
                <w:sz w:val="21"/>
                <w14:textFill>
                  <w14:solidFill>
                    <w14:schemeClr w14:val="tx1"/>
                  </w14:solidFill>
                </w14:textFill>
              </w:rPr>
            </w:pPr>
            <w:r>
              <w:rPr>
                <w:rFonts w:hint="eastAsia"/>
                <w:color w:val="000000" w:themeColor="text1"/>
                <w:sz w:val="21"/>
                <w14:textFill>
                  <w14:solidFill>
                    <w14:schemeClr w14:val="tx1"/>
                  </w14:solidFill>
                </w14:textFill>
              </w:rPr>
              <w:t>小拟哲水蚤</w:t>
            </w:r>
          </w:p>
        </w:tc>
        <w:tc>
          <w:tcPr>
            <w:tcW w:w="2438" w:type="dxa"/>
            <w:vAlign w:val="center"/>
          </w:tcPr>
          <w:p w14:paraId="483F17BA">
            <w:pPr>
              <w:spacing w:line="240" w:lineRule="auto"/>
              <w:ind w:firstLine="0" w:firstLineChars="0"/>
              <w:jc w:val="center"/>
              <w:rPr>
                <w:i/>
                <w:iCs/>
                <w:color w:val="000000" w:themeColor="text1"/>
                <w:sz w:val="21"/>
                <w14:textFill>
                  <w14:solidFill>
                    <w14:schemeClr w14:val="tx1"/>
                  </w14:solidFill>
                </w14:textFill>
              </w:rPr>
            </w:pPr>
            <w:r>
              <w:rPr>
                <w:rFonts w:hint="eastAsia"/>
                <w:i/>
                <w:iCs/>
                <w:color w:val="000000" w:themeColor="text1"/>
                <w:sz w:val="21"/>
                <w14:textFill>
                  <w14:solidFill>
                    <w14:schemeClr w14:val="tx1"/>
                  </w14:solidFill>
                </w14:textFill>
              </w:rPr>
              <w:t>Paracalanus parvus</w:t>
            </w:r>
          </w:p>
        </w:tc>
        <w:tc>
          <w:tcPr>
            <w:tcW w:w="1158" w:type="dxa"/>
            <w:vAlign w:val="center"/>
          </w:tcPr>
          <w:p w14:paraId="318FDB35">
            <w:pPr>
              <w:spacing w:line="240" w:lineRule="auto"/>
              <w:ind w:firstLine="0" w:firstLineChars="0"/>
              <w:jc w:val="center"/>
              <w:rPr>
                <w:color w:val="000000" w:themeColor="text1"/>
                <w:kern w:val="0"/>
                <w:sz w:val="21"/>
                <w14:textFill>
                  <w14:solidFill>
                    <w14:schemeClr w14:val="tx1"/>
                  </w14:solidFill>
                </w14:textFill>
              </w:rPr>
            </w:pPr>
          </w:p>
        </w:tc>
        <w:tc>
          <w:tcPr>
            <w:tcW w:w="1221" w:type="dxa"/>
            <w:vMerge w:val="restart"/>
            <w:vAlign w:val="center"/>
          </w:tcPr>
          <w:p w14:paraId="20C0CE37">
            <w:pPr>
              <w:spacing w:line="240" w:lineRule="auto"/>
              <w:ind w:firstLine="0" w:firstLineChars="0"/>
              <w:jc w:val="center"/>
              <w:rPr>
                <w:color w:val="000000" w:themeColor="text1"/>
                <w:kern w:val="0"/>
                <w:sz w:val="21"/>
                <w14:textFill>
                  <w14:solidFill>
                    <w14:schemeClr w14:val="tx1"/>
                  </w14:solidFill>
                </w14:textFill>
              </w:rPr>
            </w:pPr>
            <w:r>
              <w:rPr>
                <w:rFonts w:hint="eastAsia"/>
                <w:color w:val="000000" w:themeColor="text1"/>
                <w:kern w:val="0"/>
                <w:sz w:val="21"/>
                <w14:textFill>
                  <w14:solidFill>
                    <w14:schemeClr w14:val="tx1"/>
                  </w14:solidFill>
                </w14:textFill>
              </w:rPr>
              <w:t>120</w:t>
            </w:r>
          </w:p>
        </w:tc>
      </w:tr>
      <w:tr w14:paraId="527A280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48" w:type="dxa"/>
            <w:vMerge w:val="continue"/>
            <w:vAlign w:val="center"/>
          </w:tcPr>
          <w:p w14:paraId="1EE96CA2">
            <w:pPr>
              <w:spacing w:line="240" w:lineRule="auto"/>
              <w:ind w:firstLine="0" w:firstLineChars="0"/>
              <w:jc w:val="center"/>
              <w:rPr>
                <w:color w:val="000000" w:themeColor="text1"/>
                <w:sz w:val="21"/>
                <w14:textFill>
                  <w14:solidFill>
                    <w14:schemeClr w14:val="tx1"/>
                  </w14:solidFill>
                </w14:textFill>
              </w:rPr>
            </w:pPr>
          </w:p>
        </w:tc>
        <w:tc>
          <w:tcPr>
            <w:tcW w:w="1010" w:type="dxa"/>
            <w:vMerge w:val="continue"/>
            <w:vAlign w:val="center"/>
          </w:tcPr>
          <w:p w14:paraId="09CE404C">
            <w:pPr>
              <w:spacing w:line="240" w:lineRule="auto"/>
              <w:ind w:firstLine="0" w:firstLineChars="0"/>
              <w:jc w:val="center"/>
              <w:rPr>
                <w:color w:val="000000" w:themeColor="text1"/>
                <w:sz w:val="21"/>
                <w14:textFill>
                  <w14:solidFill>
                    <w14:schemeClr w14:val="tx1"/>
                  </w14:solidFill>
                </w14:textFill>
              </w:rPr>
            </w:pPr>
          </w:p>
        </w:tc>
        <w:tc>
          <w:tcPr>
            <w:tcW w:w="1847" w:type="dxa"/>
            <w:vAlign w:val="center"/>
          </w:tcPr>
          <w:p w14:paraId="7CFC22D3">
            <w:pPr>
              <w:spacing w:line="240" w:lineRule="auto"/>
              <w:ind w:firstLine="0" w:firstLineChars="0"/>
              <w:jc w:val="center"/>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强额孔雀水蚤</w:t>
            </w:r>
          </w:p>
        </w:tc>
        <w:tc>
          <w:tcPr>
            <w:tcW w:w="2438" w:type="dxa"/>
            <w:vAlign w:val="center"/>
          </w:tcPr>
          <w:p w14:paraId="045A3228">
            <w:pPr>
              <w:spacing w:line="240" w:lineRule="auto"/>
              <w:ind w:firstLine="0" w:firstLineChars="0"/>
              <w:jc w:val="center"/>
              <w:rPr>
                <w:i/>
                <w:iCs/>
                <w:color w:val="000000" w:themeColor="text1"/>
                <w:sz w:val="21"/>
                <w14:textFill>
                  <w14:solidFill>
                    <w14:schemeClr w14:val="tx1"/>
                  </w14:solidFill>
                </w14:textFill>
              </w:rPr>
            </w:pPr>
            <w:r>
              <w:rPr>
                <w:rFonts w:hint="eastAsia"/>
                <w:i/>
                <w:iCs/>
                <w:color w:val="000000" w:themeColor="text1"/>
                <w:sz w:val="21"/>
                <w14:textFill>
                  <w14:solidFill>
                    <w14:schemeClr w14:val="tx1"/>
                  </w14:solidFill>
                </w14:textFill>
              </w:rPr>
              <w:t>Pavocalanus crassirostris</w:t>
            </w:r>
          </w:p>
        </w:tc>
        <w:tc>
          <w:tcPr>
            <w:tcW w:w="1158" w:type="dxa"/>
            <w:vAlign w:val="center"/>
          </w:tcPr>
          <w:p w14:paraId="29DDFD08">
            <w:pPr>
              <w:spacing w:line="240" w:lineRule="auto"/>
              <w:ind w:firstLine="0" w:firstLineChars="0"/>
              <w:jc w:val="center"/>
              <w:rPr>
                <w:color w:val="000000" w:themeColor="text1"/>
                <w:sz w:val="21"/>
                <w14:textFill>
                  <w14:solidFill>
                    <w14:schemeClr w14:val="tx1"/>
                  </w14:solidFill>
                </w14:textFill>
              </w:rPr>
            </w:pPr>
          </w:p>
        </w:tc>
        <w:tc>
          <w:tcPr>
            <w:tcW w:w="1221" w:type="dxa"/>
            <w:vMerge w:val="continue"/>
            <w:vAlign w:val="center"/>
          </w:tcPr>
          <w:p w14:paraId="40965134">
            <w:pPr>
              <w:spacing w:line="240" w:lineRule="auto"/>
              <w:ind w:firstLine="0" w:firstLineChars="0"/>
              <w:jc w:val="center"/>
              <w:rPr>
                <w:color w:val="000000" w:themeColor="text1"/>
                <w:sz w:val="21"/>
                <w14:textFill>
                  <w14:solidFill>
                    <w14:schemeClr w14:val="tx1"/>
                  </w14:solidFill>
                </w14:textFill>
              </w:rPr>
            </w:pPr>
          </w:p>
        </w:tc>
      </w:tr>
      <w:tr w14:paraId="6506783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48" w:type="dxa"/>
            <w:vMerge w:val="continue"/>
            <w:vAlign w:val="center"/>
          </w:tcPr>
          <w:p w14:paraId="061182EA">
            <w:pPr>
              <w:spacing w:line="240" w:lineRule="auto"/>
              <w:ind w:firstLine="0" w:firstLineChars="0"/>
              <w:jc w:val="center"/>
              <w:rPr>
                <w:color w:val="000000" w:themeColor="text1"/>
                <w:sz w:val="21"/>
                <w14:textFill>
                  <w14:solidFill>
                    <w14:schemeClr w14:val="tx1"/>
                  </w14:solidFill>
                </w14:textFill>
              </w:rPr>
            </w:pPr>
          </w:p>
        </w:tc>
        <w:tc>
          <w:tcPr>
            <w:tcW w:w="1010" w:type="dxa"/>
            <w:vMerge w:val="continue"/>
            <w:vAlign w:val="center"/>
          </w:tcPr>
          <w:p w14:paraId="3B8A79AE">
            <w:pPr>
              <w:spacing w:line="240" w:lineRule="auto"/>
              <w:ind w:firstLine="0" w:firstLineChars="0"/>
              <w:jc w:val="center"/>
              <w:rPr>
                <w:color w:val="000000" w:themeColor="text1"/>
                <w:sz w:val="21"/>
                <w14:textFill>
                  <w14:solidFill>
                    <w14:schemeClr w14:val="tx1"/>
                  </w14:solidFill>
                </w14:textFill>
              </w:rPr>
            </w:pPr>
          </w:p>
        </w:tc>
        <w:tc>
          <w:tcPr>
            <w:tcW w:w="1847" w:type="dxa"/>
            <w:vAlign w:val="center"/>
          </w:tcPr>
          <w:p w14:paraId="7D3BB6C5">
            <w:pPr>
              <w:spacing w:line="240" w:lineRule="auto"/>
              <w:ind w:firstLine="0" w:firstLineChars="0"/>
              <w:jc w:val="center"/>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拟长腹剑水蚤</w:t>
            </w:r>
          </w:p>
        </w:tc>
        <w:tc>
          <w:tcPr>
            <w:tcW w:w="2438" w:type="dxa"/>
            <w:vAlign w:val="center"/>
          </w:tcPr>
          <w:p w14:paraId="755FD920">
            <w:pPr>
              <w:spacing w:line="240" w:lineRule="auto"/>
              <w:ind w:firstLine="0" w:firstLineChars="0"/>
              <w:jc w:val="center"/>
              <w:rPr>
                <w:i/>
                <w:iCs/>
                <w:color w:val="000000" w:themeColor="text1"/>
                <w:sz w:val="21"/>
                <w14:textFill>
                  <w14:solidFill>
                    <w14:schemeClr w14:val="tx1"/>
                  </w14:solidFill>
                </w14:textFill>
              </w:rPr>
            </w:pPr>
            <w:r>
              <w:rPr>
                <w:rFonts w:hint="eastAsia"/>
                <w:i/>
                <w:iCs/>
                <w:color w:val="000000" w:themeColor="text1"/>
                <w:sz w:val="21"/>
                <w14:textFill>
                  <w14:solidFill>
                    <w14:schemeClr w14:val="tx1"/>
                  </w14:solidFill>
                </w14:textFill>
              </w:rPr>
              <w:t>Oithona similis</w:t>
            </w:r>
          </w:p>
        </w:tc>
        <w:tc>
          <w:tcPr>
            <w:tcW w:w="1158" w:type="dxa"/>
            <w:vAlign w:val="center"/>
          </w:tcPr>
          <w:p w14:paraId="04F6AA75">
            <w:pPr>
              <w:spacing w:line="240" w:lineRule="auto"/>
              <w:ind w:firstLine="0" w:firstLineChars="0"/>
              <w:jc w:val="center"/>
              <w:rPr>
                <w:color w:val="000000" w:themeColor="text1"/>
                <w:sz w:val="21"/>
                <w14:textFill>
                  <w14:solidFill>
                    <w14:schemeClr w14:val="tx1"/>
                  </w14:solidFill>
                </w14:textFill>
              </w:rPr>
            </w:pPr>
          </w:p>
        </w:tc>
        <w:tc>
          <w:tcPr>
            <w:tcW w:w="1221" w:type="dxa"/>
            <w:vMerge w:val="continue"/>
            <w:vAlign w:val="center"/>
          </w:tcPr>
          <w:p w14:paraId="71D535CB">
            <w:pPr>
              <w:spacing w:line="240" w:lineRule="auto"/>
              <w:ind w:firstLine="0" w:firstLineChars="0"/>
              <w:jc w:val="center"/>
              <w:rPr>
                <w:color w:val="000000" w:themeColor="text1"/>
                <w:sz w:val="21"/>
                <w14:textFill>
                  <w14:solidFill>
                    <w14:schemeClr w14:val="tx1"/>
                  </w14:solidFill>
                </w14:textFill>
              </w:rPr>
            </w:pPr>
          </w:p>
        </w:tc>
      </w:tr>
      <w:tr w14:paraId="72D610A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48" w:type="dxa"/>
            <w:vMerge w:val="continue"/>
            <w:vAlign w:val="center"/>
          </w:tcPr>
          <w:p w14:paraId="757C29D3">
            <w:pPr>
              <w:spacing w:line="240" w:lineRule="auto"/>
              <w:ind w:firstLine="0" w:firstLineChars="0"/>
              <w:jc w:val="center"/>
              <w:rPr>
                <w:color w:val="000000" w:themeColor="text1"/>
                <w:sz w:val="21"/>
                <w14:textFill>
                  <w14:solidFill>
                    <w14:schemeClr w14:val="tx1"/>
                  </w14:solidFill>
                </w14:textFill>
              </w:rPr>
            </w:pPr>
          </w:p>
        </w:tc>
        <w:tc>
          <w:tcPr>
            <w:tcW w:w="1010" w:type="dxa"/>
            <w:vMerge w:val="continue"/>
            <w:vAlign w:val="center"/>
          </w:tcPr>
          <w:p w14:paraId="60EC2FFC">
            <w:pPr>
              <w:spacing w:line="240" w:lineRule="auto"/>
              <w:ind w:firstLine="0" w:firstLineChars="0"/>
              <w:jc w:val="center"/>
              <w:rPr>
                <w:color w:val="000000" w:themeColor="text1"/>
                <w:sz w:val="21"/>
                <w14:textFill>
                  <w14:solidFill>
                    <w14:schemeClr w14:val="tx1"/>
                  </w14:solidFill>
                </w14:textFill>
              </w:rPr>
            </w:pPr>
          </w:p>
        </w:tc>
        <w:tc>
          <w:tcPr>
            <w:tcW w:w="1847" w:type="dxa"/>
            <w:vAlign w:val="center"/>
          </w:tcPr>
          <w:p w14:paraId="459A4923">
            <w:pPr>
              <w:spacing w:line="240" w:lineRule="auto"/>
              <w:ind w:firstLine="0" w:firstLineChars="0"/>
              <w:jc w:val="center"/>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小长腹剑水蚤</w:t>
            </w:r>
          </w:p>
        </w:tc>
        <w:tc>
          <w:tcPr>
            <w:tcW w:w="2438" w:type="dxa"/>
            <w:vAlign w:val="center"/>
          </w:tcPr>
          <w:p w14:paraId="3151B090">
            <w:pPr>
              <w:spacing w:line="240" w:lineRule="auto"/>
              <w:ind w:firstLine="0" w:firstLineChars="0"/>
              <w:jc w:val="center"/>
              <w:rPr>
                <w:i/>
                <w:iCs/>
                <w:color w:val="000000" w:themeColor="text1"/>
                <w:sz w:val="21"/>
                <w14:textFill>
                  <w14:solidFill>
                    <w14:schemeClr w14:val="tx1"/>
                  </w14:solidFill>
                </w14:textFill>
              </w:rPr>
            </w:pPr>
            <w:r>
              <w:rPr>
                <w:rFonts w:hint="eastAsia"/>
                <w:i/>
                <w:iCs/>
                <w:color w:val="000000" w:themeColor="text1"/>
                <w:sz w:val="21"/>
                <w14:textFill>
                  <w14:solidFill>
                    <w14:schemeClr w14:val="tx1"/>
                  </w14:solidFill>
                </w14:textFill>
              </w:rPr>
              <w:t>Oithona nana</w:t>
            </w:r>
          </w:p>
        </w:tc>
        <w:tc>
          <w:tcPr>
            <w:tcW w:w="1158" w:type="dxa"/>
            <w:vAlign w:val="center"/>
          </w:tcPr>
          <w:p w14:paraId="51EC7412">
            <w:pPr>
              <w:spacing w:line="240" w:lineRule="auto"/>
              <w:ind w:firstLine="0" w:firstLineChars="0"/>
              <w:jc w:val="center"/>
              <w:rPr>
                <w:color w:val="000000" w:themeColor="text1"/>
                <w:sz w:val="21"/>
                <w14:textFill>
                  <w14:solidFill>
                    <w14:schemeClr w14:val="tx1"/>
                  </w14:solidFill>
                </w14:textFill>
              </w:rPr>
            </w:pPr>
          </w:p>
        </w:tc>
        <w:tc>
          <w:tcPr>
            <w:tcW w:w="1221" w:type="dxa"/>
            <w:vMerge w:val="continue"/>
            <w:vAlign w:val="center"/>
          </w:tcPr>
          <w:p w14:paraId="2BD4BEFE">
            <w:pPr>
              <w:spacing w:line="240" w:lineRule="auto"/>
              <w:ind w:firstLine="0" w:firstLineChars="0"/>
              <w:jc w:val="center"/>
              <w:rPr>
                <w:color w:val="000000" w:themeColor="text1"/>
                <w:sz w:val="21"/>
                <w14:textFill>
                  <w14:solidFill>
                    <w14:schemeClr w14:val="tx1"/>
                  </w14:solidFill>
                </w14:textFill>
              </w:rPr>
            </w:pPr>
          </w:p>
        </w:tc>
      </w:tr>
      <w:tr w14:paraId="490C1D6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48" w:type="dxa"/>
            <w:vMerge w:val="continue"/>
            <w:vAlign w:val="center"/>
          </w:tcPr>
          <w:p w14:paraId="6018A183">
            <w:pPr>
              <w:spacing w:line="240" w:lineRule="auto"/>
              <w:ind w:firstLine="0" w:firstLineChars="0"/>
              <w:jc w:val="center"/>
              <w:rPr>
                <w:color w:val="000000" w:themeColor="text1"/>
                <w:sz w:val="21"/>
                <w14:textFill>
                  <w14:solidFill>
                    <w14:schemeClr w14:val="tx1"/>
                  </w14:solidFill>
                </w14:textFill>
              </w:rPr>
            </w:pPr>
          </w:p>
        </w:tc>
        <w:tc>
          <w:tcPr>
            <w:tcW w:w="1010" w:type="dxa"/>
            <w:vMerge w:val="continue"/>
            <w:vAlign w:val="center"/>
          </w:tcPr>
          <w:p w14:paraId="22015112">
            <w:pPr>
              <w:spacing w:line="240" w:lineRule="auto"/>
              <w:ind w:firstLine="0" w:firstLineChars="0"/>
              <w:jc w:val="center"/>
              <w:rPr>
                <w:color w:val="000000" w:themeColor="text1"/>
                <w:sz w:val="21"/>
                <w14:textFill>
                  <w14:solidFill>
                    <w14:schemeClr w14:val="tx1"/>
                  </w14:solidFill>
                </w14:textFill>
              </w:rPr>
            </w:pPr>
          </w:p>
        </w:tc>
        <w:tc>
          <w:tcPr>
            <w:tcW w:w="1847" w:type="dxa"/>
            <w:vAlign w:val="center"/>
          </w:tcPr>
          <w:p w14:paraId="72E80A23">
            <w:pPr>
              <w:spacing w:line="240" w:lineRule="auto"/>
              <w:ind w:firstLine="0" w:firstLineChars="0"/>
              <w:jc w:val="center"/>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锥形宽水蚤</w:t>
            </w:r>
          </w:p>
        </w:tc>
        <w:tc>
          <w:tcPr>
            <w:tcW w:w="2438" w:type="dxa"/>
            <w:vAlign w:val="center"/>
          </w:tcPr>
          <w:p w14:paraId="115CBC03">
            <w:pPr>
              <w:spacing w:line="240" w:lineRule="auto"/>
              <w:ind w:firstLine="0" w:firstLineChars="0"/>
              <w:jc w:val="center"/>
              <w:rPr>
                <w:i/>
                <w:iCs/>
                <w:color w:val="000000" w:themeColor="text1"/>
                <w:sz w:val="21"/>
                <w14:textFill>
                  <w14:solidFill>
                    <w14:schemeClr w14:val="tx1"/>
                  </w14:solidFill>
                </w14:textFill>
              </w:rPr>
            </w:pPr>
            <w:r>
              <w:rPr>
                <w:rFonts w:hint="eastAsia"/>
                <w:i/>
                <w:iCs/>
                <w:color w:val="000000" w:themeColor="text1"/>
                <w:sz w:val="21"/>
                <w14:textFill>
                  <w14:solidFill>
                    <w14:schemeClr w14:val="tx1"/>
                  </w14:solidFill>
                </w14:textFill>
              </w:rPr>
              <w:t>Temora discaudata</w:t>
            </w:r>
          </w:p>
        </w:tc>
        <w:tc>
          <w:tcPr>
            <w:tcW w:w="1158" w:type="dxa"/>
            <w:vAlign w:val="center"/>
          </w:tcPr>
          <w:p w14:paraId="60D597F8">
            <w:pPr>
              <w:spacing w:line="240" w:lineRule="auto"/>
              <w:ind w:firstLine="0" w:firstLineChars="0"/>
              <w:jc w:val="center"/>
              <w:rPr>
                <w:color w:val="000000" w:themeColor="text1"/>
                <w:sz w:val="21"/>
                <w14:textFill>
                  <w14:solidFill>
                    <w14:schemeClr w14:val="tx1"/>
                  </w14:solidFill>
                </w14:textFill>
              </w:rPr>
            </w:pPr>
          </w:p>
        </w:tc>
        <w:tc>
          <w:tcPr>
            <w:tcW w:w="1221" w:type="dxa"/>
            <w:vMerge w:val="continue"/>
            <w:vAlign w:val="center"/>
          </w:tcPr>
          <w:p w14:paraId="5106958D">
            <w:pPr>
              <w:spacing w:line="240" w:lineRule="auto"/>
              <w:ind w:firstLine="0" w:firstLineChars="0"/>
              <w:jc w:val="center"/>
              <w:rPr>
                <w:color w:val="000000" w:themeColor="text1"/>
                <w:kern w:val="0"/>
                <w:sz w:val="21"/>
                <w14:textFill>
                  <w14:solidFill>
                    <w14:schemeClr w14:val="tx1"/>
                  </w14:solidFill>
                </w14:textFill>
              </w:rPr>
            </w:pPr>
          </w:p>
        </w:tc>
      </w:tr>
      <w:tr w14:paraId="134A516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48" w:type="dxa"/>
            <w:vMerge w:val="continue"/>
            <w:vAlign w:val="center"/>
          </w:tcPr>
          <w:p w14:paraId="4B944D62">
            <w:pPr>
              <w:spacing w:line="240" w:lineRule="auto"/>
              <w:ind w:firstLine="0" w:firstLineChars="0"/>
              <w:jc w:val="center"/>
              <w:rPr>
                <w:color w:val="000000" w:themeColor="text1"/>
                <w:sz w:val="21"/>
                <w14:textFill>
                  <w14:solidFill>
                    <w14:schemeClr w14:val="tx1"/>
                  </w14:solidFill>
                </w14:textFill>
              </w:rPr>
            </w:pPr>
          </w:p>
        </w:tc>
        <w:tc>
          <w:tcPr>
            <w:tcW w:w="1010" w:type="dxa"/>
            <w:vMerge w:val="continue"/>
            <w:vAlign w:val="center"/>
          </w:tcPr>
          <w:p w14:paraId="074C339B">
            <w:pPr>
              <w:spacing w:line="240" w:lineRule="auto"/>
              <w:ind w:firstLine="0" w:firstLineChars="0"/>
              <w:jc w:val="center"/>
              <w:rPr>
                <w:color w:val="000000" w:themeColor="text1"/>
                <w:sz w:val="21"/>
                <w14:textFill>
                  <w14:solidFill>
                    <w14:schemeClr w14:val="tx1"/>
                  </w14:solidFill>
                </w14:textFill>
              </w:rPr>
            </w:pPr>
          </w:p>
        </w:tc>
        <w:tc>
          <w:tcPr>
            <w:tcW w:w="1847" w:type="dxa"/>
            <w:vAlign w:val="center"/>
          </w:tcPr>
          <w:p w14:paraId="113CF077">
            <w:pPr>
              <w:spacing w:line="240" w:lineRule="auto"/>
              <w:ind w:firstLine="0" w:firstLineChars="0"/>
              <w:jc w:val="center"/>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细长腹剑水蚤</w:t>
            </w:r>
          </w:p>
        </w:tc>
        <w:tc>
          <w:tcPr>
            <w:tcW w:w="2438" w:type="dxa"/>
            <w:vAlign w:val="center"/>
          </w:tcPr>
          <w:p w14:paraId="650DD681">
            <w:pPr>
              <w:spacing w:line="240" w:lineRule="auto"/>
              <w:ind w:firstLine="0" w:firstLineChars="0"/>
              <w:jc w:val="center"/>
              <w:rPr>
                <w:i/>
                <w:iCs/>
                <w:color w:val="000000" w:themeColor="text1"/>
                <w:sz w:val="21"/>
                <w14:textFill>
                  <w14:solidFill>
                    <w14:schemeClr w14:val="tx1"/>
                  </w14:solidFill>
                </w14:textFill>
              </w:rPr>
            </w:pPr>
            <w:r>
              <w:rPr>
                <w:rFonts w:hint="eastAsia"/>
                <w:i/>
                <w:iCs/>
                <w:color w:val="000000" w:themeColor="text1"/>
                <w:sz w:val="21"/>
                <w14:textFill>
                  <w14:solidFill>
                    <w14:schemeClr w14:val="tx1"/>
                  </w14:solidFill>
                </w14:textFill>
              </w:rPr>
              <w:t>Oithona attenuata</w:t>
            </w:r>
          </w:p>
        </w:tc>
        <w:tc>
          <w:tcPr>
            <w:tcW w:w="1158" w:type="dxa"/>
            <w:vAlign w:val="center"/>
          </w:tcPr>
          <w:p w14:paraId="1CBA4305">
            <w:pPr>
              <w:spacing w:line="240" w:lineRule="auto"/>
              <w:ind w:firstLine="0" w:firstLineChars="0"/>
              <w:jc w:val="center"/>
              <w:rPr>
                <w:color w:val="000000" w:themeColor="text1"/>
                <w:sz w:val="21"/>
                <w14:textFill>
                  <w14:solidFill>
                    <w14:schemeClr w14:val="tx1"/>
                  </w14:solidFill>
                </w14:textFill>
              </w:rPr>
            </w:pPr>
          </w:p>
        </w:tc>
        <w:tc>
          <w:tcPr>
            <w:tcW w:w="1221" w:type="dxa"/>
            <w:vMerge w:val="continue"/>
            <w:vAlign w:val="center"/>
          </w:tcPr>
          <w:p w14:paraId="41FE1AF2">
            <w:pPr>
              <w:spacing w:line="240" w:lineRule="auto"/>
              <w:ind w:firstLine="0" w:firstLineChars="0"/>
              <w:jc w:val="center"/>
              <w:rPr>
                <w:color w:val="000000" w:themeColor="text1"/>
                <w:kern w:val="0"/>
                <w:sz w:val="21"/>
                <w14:textFill>
                  <w14:solidFill>
                    <w14:schemeClr w14:val="tx1"/>
                  </w14:solidFill>
                </w14:textFill>
              </w:rPr>
            </w:pPr>
          </w:p>
        </w:tc>
      </w:tr>
      <w:tr w14:paraId="280986C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48" w:type="dxa"/>
            <w:vMerge w:val="continue"/>
            <w:vAlign w:val="center"/>
          </w:tcPr>
          <w:p w14:paraId="2367E253">
            <w:pPr>
              <w:spacing w:line="240" w:lineRule="auto"/>
              <w:ind w:firstLine="0" w:firstLineChars="0"/>
              <w:jc w:val="center"/>
              <w:rPr>
                <w:color w:val="000000" w:themeColor="text1"/>
                <w:sz w:val="21"/>
                <w14:textFill>
                  <w14:solidFill>
                    <w14:schemeClr w14:val="tx1"/>
                  </w14:solidFill>
                </w14:textFill>
              </w:rPr>
            </w:pPr>
          </w:p>
        </w:tc>
        <w:tc>
          <w:tcPr>
            <w:tcW w:w="1010" w:type="dxa"/>
            <w:vMerge w:val="continue"/>
            <w:vAlign w:val="center"/>
          </w:tcPr>
          <w:p w14:paraId="644916B1">
            <w:pPr>
              <w:spacing w:line="240" w:lineRule="auto"/>
              <w:ind w:firstLine="0" w:firstLineChars="0"/>
              <w:jc w:val="center"/>
              <w:rPr>
                <w:color w:val="000000" w:themeColor="text1"/>
                <w:sz w:val="21"/>
                <w14:textFill>
                  <w14:solidFill>
                    <w14:schemeClr w14:val="tx1"/>
                  </w14:solidFill>
                </w14:textFill>
              </w:rPr>
            </w:pPr>
          </w:p>
        </w:tc>
        <w:tc>
          <w:tcPr>
            <w:tcW w:w="1847" w:type="dxa"/>
            <w:vAlign w:val="center"/>
          </w:tcPr>
          <w:p w14:paraId="133C8728">
            <w:pPr>
              <w:spacing w:line="240" w:lineRule="auto"/>
              <w:ind w:firstLine="0" w:firstLineChars="0"/>
              <w:jc w:val="center"/>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尖额谐猛水蚤</w:t>
            </w:r>
          </w:p>
        </w:tc>
        <w:tc>
          <w:tcPr>
            <w:tcW w:w="2438" w:type="dxa"/>
            <w:vAlign w:val="center"/>
          </w:tcPr>
          <w:p w14:paraId="35030F7E">
            <w:pPr>
              <w:spacing w:line="240" w:lineRule="auto"/>
              <w:ind w:firstLine="0" w:firstLineChars="0"/>
              <w:jc w:val="center"/>
              <w:rPr>
                <w:i/>
                <w:iCs/>
                <w:color w:val="000000" w:themeColor="text1"/>
                <w:sz w:val="21"/>
                <w14:textFill>
                  <w14:solidFill>
                    <w14:schemeClr w14:val="tx1"/>
                  </w14:solidFill>
                </w14:textFill>
              </w:rPr>
            </w:pPr>
            <w:r>
              <w:rPr>
                <w:rFonts w:hint="eastAsia"/>
                <w:i/>
                <w:iCs/>
                <w:color w:val="000000" w:themeColor="text1"/>
                <w:sz w:val="21"/>
                <w14:textFill>
                  <w14:solidFill>
                    <w14:schemeClr w14:val="tx1"/>
                  </w14:solidFill>
                </w14:textFill>
              </w:rPr>
              <w:t>Euterpina acutifrons</w:t>
            </w:r>
          </w:p>
        </w:tc>
        <w:tc>
          <w:tcPr>
            <w:tcW w:w="1158" w:type="dxa"/>
            <w:vAlign w:val="center"/>
          </w:tcPr>
          <w:p w14:paraId="14831C24">
            <w:pPr>
              <w:spacing w:line="240" w:lineRule="auto"/>
              <w:ind w:firstLine="0" w:firstLineChars="0"/>
              <w:jc w:val="center"/>
              <w:rPr>
                <w:color w:val="000000" w:themeColor="text1"/>
                <w:sz w:val="21"/>
                <w14:textFill>
                  <w14:solidFill>
                    <w14:schemeClr w14:val="tx1"/>
                  </w14:solidFill>
                </w14:textFill>
              </w:rPr>
            </w:pPr>
          </w:p>
        </w:tc>
        <w:tc>
          <w:tcPr>
            <w:tcW w:w="1221" w:type="dxa"/>
            <w:vMerge w:val="continue"/>
            <w:vAlign w:val="center"/>
          </w:tcPr>
          <w:p w14:paraId="67664139">
            <w:pPr>
              <w:spacing w:line="240" w:lineRule="auto"/>
              <w:ind w:firstLine="0" w:firstLineChars="0"/>
              <w:jc w:val="center"/>
              <w:rPr>
                <w:color w:val="000000" w:themeColor="text1"/>
                <w:kern w:val="0"/>
                <w:sz w:val="21"/>
                <w14:textFill>
                  <w14:solidFill>
                    <w14:schemeClr w14:val="tx1"/>
                  </w14:solidFill>
                </w14:textFill>
              </w:rPr>
            </w:pPr>
          </w:p>
        </w:tc>
      </w:tr>
      <w:tr w14:paraId="35BFE12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48" w:type="dxa"/>
            <w:vMerge w:val="restart"/>
            <w:vAlign w:val="center"/>
          </w:tcPr>
          <w:p w14:paraId="01E02012">
            <w:pPr>
              <w:spacing w:line="240" w:lineRule="auto"/>
              <w:ind w:firstLine="0" w:firstLineChars="0"/>
              <w:jc w:val="center"/>
              <w:rPr>
                <w:color w:val="000000" w:themeColor="text1"/>
                <w:sz w:val="21"/>
                <w14:textFill>
                  <w14:solidFill>
                    <w14:schemeClr w14:val="tx1"/>
                  </w14:solidFill>
                </w14:textFill>
              </w:rPr>
            </w:pPr>
            <w:r>
              <w:rPr>
                <w:color w:val="000000" w:themeColor="text1"/>
                <w:kern w:val="0"/>
                <w:sz w:val="21"/>
                <w14:textFill>
                  <w14:solidFill>
                    <w14:schemeClr w14:val="tx1"/>
                  </w14:solidFill>
                </w14:textFill>
              </w:rPr>
              <w:t>S</w:t>
            </w:r>
            <w:r>
              <w:rPr>
                <w:rFonts w:hint="eastAsia"/>
                <w:color w:val="000000" w:themeColor="text1"/>
                <w:kern w:val="0"/>
                <w:sz w:val="21"/>
                <w14:textFill>
                  <w14:solidFill>
                    <w14:schemeClr w14:val="tx1"/>
                  </w14:solidFill>
                </w14:textFill>
              </w:rPr>
              <w:t>4</w:t>
            </w:r>
          </w:p>
        </w:tc>
        <w:tc>
          <w:tcPr>
            <w:tcW w:w="1010" w:type="dxa"/>
            <w:vAlign w:val="center"/>
          </w:tcPr>
          <w:p w14:paraId="50B7C020">
            <w:pPr>
              <w:spacing w:line="240" w:lineRule="auto"/>
              <w:ind w:firstLine="0" w:firstLineChars="0"/>
              <w:jc w:val="center"/>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被囊类</w:t>
            </w:r>
          </w:p>
        </w:tc>
        <w:tc>
          <w:tcPr>
            <w:tcW w:w="1847" w:type="dxa"/>
            <w:vAlign w:val="center"/>
          </w:tcPr>
          <w:p w14:paraId="44BB7669">
            <w:pPr>
              <w:spacing w:line="240" w:lineRule="auto"/>
              <w:ind w:firstLine="0" w:firstLineChars="0"/>
              <w:jc w:val="center"/>
              <w:rPr>
                <w:color w:val="000000" w:themeColor="text1"/>
                <w:kern w:val="0"/>
                <w:sz w:val="21"/>
                <w14:textFill>
                  <w14:solidFill>
                    <w14:schemeClr w14:val="tx1"/>
                  </w14:solidFill>
                </w14:textFill>
              </w:rPr>
            </w:pPr>
            <w:r>
              <w:rPr>
                <w:rFonts w:hint="eastAsia"/>
                <w:color w:val="000000" w:themeColor="text1"/>
                <w:sz w:val="21"/>
                <w14:textFill>
                  <w14:solidFill>
                    <w14:schemeClr w14:val="tx1"/>
                  </w14:solidFill>
                </w14:textFill>
              </w:rPr>
              <w:t>异体住囊虫</w:t>
            </w:r>
          </w:p>
        </w:tc>
        <w:tc>
          <w:tcPr>
            <w:tcW w:w="2438" w:type="dxa"/>
            <w:vAlign w:val="center"/>
          </w:tcPr>
          <w:p w14:paraId="5AC2A0F2">
            <w:pPr>
              <w:spacing w:line="240" w:lineRule="auto"/>
              <w:ind w:firstLine="0" w:firstLineChars="0"/>
              <w:jc w:val="center"/>
              <w:rPr>
                <w:i/>
                <w:iCs/>
                <w:color w:val="000000" w:themeColor="text1"/>
                <w:sz w:val="21"/>
                <w14:textFill>
                  <w14:solidFill>
                    <w14:schemeClr w14:val="tx1"/>
                  </w14:solidFill>
                </w14:textFill>
              </w:rPr>
            </w:pPr>
            <w:r>
              <w:rPr>
                <w:rFonts w:hint="eastAsia"/>
                <w:i/>
                <w:iCs/>
                <w:color w:val="000000" w:themeColor="text1"/>
                <w:sz w:val="21"/>
                <w14:textFill>
                  <w14:solidFill>
                    <w14:schemeClr w14:val="tx1"/>
                  </w14:solidFill>
                </w14:textFill>
              </w:rPr>
              <w:t>Oikopleura dioica</w:t>
            </w:r>
          </w:p>
        </w:tc>
        <w:tc>
          <w:tcPr>
            <w:tcW w:w="1158" w:type="dxa"/>
            <w:vAlign w:val="center"/>
          </w:tcPr>
          <w:p w14:paraId="17056FB3">
            <w:pPr>
              <w:spacing w:line="240" w:lineRule="auto"/>
              <w:ind w:firstLine="0" w:firstLineChars="0"/>
              <w:jc w:val="center"/>
              <w:rPr>
                <w:color w:val="000000" w:themeColor="text1"/>
                <w:kern w:val="0"/>
                <w:sz w:val="21"/>
                <w14:textFill>
                  <w14:solidFill>
                    <w14:schemeClr w14:val="tx1"/>
                  </w14:solidFill>
                </w14:textFill>
              </w:rPr>
            </w:pPr>
          </w:p>
        </w:tc>
        <w:tc>
          <w:tcPr>
            <w:tcW w:w="1221" w:type="dxa"/>
            <w:vMerge w:val="restart"/>
            <w:vAlign w:val="center"/>
          </w:tcPr>
          <w:p w14:paraId="2B63C6B4">
            <w:pPr>
              <w:spacing w:line="240" w:lineRule="auto"/>
              <w:ind w:firstLine="0" w:firstLineChars="0"/>
              <w:jc w:val="center"/>
              <w:rPr>
                <w:color w:val="000000" w:themeColor="text1"/>
                <w:kern w:val="0"/>
                <w:sz w:val="21"/>
                <w14:textFill>
                  <w14:solidFill>
                    <w14:schemeClr w14:val="tx1"/>
                  </w14:solidFill>
                </w14:textFill>
              </w:rPr>
            </w:pPr>
            <w:r>
              <w:rPr>
                <w:rFonts w:hint="eastAsia"/>
                <w:color w:val="000000" w:themeColor="text1"/>
                <w:kern w:val="0"/>
                <w:sz w:val="21"/>
                <w14:textFill>
                  <w14:solidFill>
                    <w14:schemeClr w14:val="tx1"/>
                  </w14:solidFill>
                </w14:textFill>
              </w:rPr>
              <w:t>345</w:t>
            </w:r>
          </w:p>
        </w:tc>
      </w:tr>
      <w:tr w14:paraId="69E6C52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48" w:type="dxa"/>
            <w:vMerge w:val="continue"/>
            <w:vAlign w:val="center"/>
          </w:tcPr>
          <w:p w14:paraId="6082F528">
            <w:pPr>
              <w:spacing w:line="240" w:lineRule="auto"/>
              <w:ind w:firstLine="0" w:firstLineChars="0"/>
              <w:jc w:val="center"/>
              <w:rPr>
                <w:color w:val="000000" w:themeColor="text1"/>
                <w:sz w:val="21"/>
                <w14:textFill>
                  <w14:solidFill>
                    <w14:schemeClr w14:val="tx1"/>
                  </w14:solidFill>
                </w14:textFill>
              </w:rPr>
            </w:pPr>
          </w:p>
        </w:tc>
        <w:tc>
          <w:tcPr>
            <w:tcW w:w="1010" w:type="dxa"/>
            <w:vMerge w:val="restart"/>
            <w:vAlign w:val="center"/>
          </w:tcPr>
          <w:p w14:paraId="5932FD58">
            <w:pPr>
              <w:spacing w:line="240" w:lineRule="auto"/>
              <w:ind w:firstLine="0" w:firstLineChars="0"/>
              <w:jc w:val="center"/>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毛颚类</w:t>
            </w:r>
          </w:p>
        </w:tc>
        <w:tc>
          <w:tcPr>
            <w:tcW w:w="1847" w:type="dxa"/>
            <w:vAlign w:val="center"/>
          </w:tcPr>
          <w:p w14:paraId="7AB37913">
            <w:pPr>
              <w:spacing w:line="240" w:lineRule="auto"/>
              <w:ind w:firstLine="0" w:firstLineChars="0"/>
              <w:jc w:val="center"/>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百陶带箭虫</w:t>
            </w:r>
          </w:p>
        </w:tc>
        <w:tc>
          <w:tcPr>
            <w:tcW w:w="2438" w:type="dxa"/>
            <w:vAlign w:val="center"/>
          </w:tcPr>
          <w:p w14:paraId="3F3506B0">
            <w:pPr>
              <w:spacing w:line="240" w:lineRule="auto"/>
              <w:ind w:firstLine="0" w:firstLineChars="0"/>
              <w:jc w:val="center"/>
              <w:rPr>
                <w:i/>
                <w:iCs/>
                <w:color w:val="000000" w:themeColor="text1"/>
                <w:sz w:val="21"/>
                <w14:textFill>
                  <w14:solidFill>
                    <w14:schemeClr w14:val="tx1"/>
                  </w14:solidFill>
                </w14:textFill>
              </w:rPr>
            </w:pPr>
            <w:r>
              <w:rPr>
                <w:rFonts w:hint="eastAsia"/>
                <w:i/>
                <w:iCs/>
                <w:color w:val="000000" w:themeColor="text1"/>
                <w:sz w:val="21"/>
                <w14:textFill>
                  <w14:solidFill>
                    <w14:schemeClr w14:val="tx1"/>
                  </w14:solidFill>
                </w14:textFill>
              </w:rPr>
              <w:t>Sagitta bedoti</w:t>
            </w:r>
          </w:p>
        </w:tc>
        <w:tc>
          <w:tcPr>
            <w:tcW w:w="1158" w:type="dxa"/>
            <w:vAlign w:val="center"/>
          </w:tcPr>
          <w:p w14:paraId="125D2364">
            <w:pPr>
              <w:spacing w:line="240" w:lineRule="auto"/>
              <w:ind w:firstLine="0" w:firstLineChars="0"/>
              <w:jc w:val="center"/>
              <w:rPr>
                <w:color w:val="000000" w:themeColor="text1"/>
                <w:sz w:val="21"/>
                <w14:textFill>
                  <w14:solidFill>
                    <w14:schemeClr w14:val="tx1"/>
                  </w14:solidFill>
                </w14:textFill>
              </w:rPr>
            </w:pPr>
          </w:p>
        </w:tc>
        <w:tc>
          <w:tcPr>
            <w:tcW w:w="1221" w:type="dxa"/>
            <w:vMerge w:val="continue"/>
            <w:vAlign w:val="center"/>
          </w:tcPr>
          <w:p w14:paraId="241DE4A5">
            <w:pPr>
              <w:spacing w:line="240" w:lineRule="auto"/>
              <w:ind w:firstLine="0" w:firstLineChars="0"/>
              <w:jc w:val="center"/>
              <w:rPr>
                <w:color w:val="000000" w:themeColor="text1"/>
                <w:sz w:val="21"/>
                <w14:textFill>
                  <w14:solidFill>
                    <w14:schemeClr w14:val="tx1"/>
                  </w14:solidFill>
                </w14:textFill>
              </w:rPr>
            </w:pPr>
          </w:p>
        </w:tc>
      </w:tr>
      <w:tr w14:paraId="604EC1E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48" w:type="dxa"/>
            <w:vMerge w:val="continue"/>
            <w:vAlign w:val="center"/>
          </w:tcPr>
          <w:p w14:paraId="7373D57D">
            <w:pPr>
              <w:spacing w:line="240" w:lineRule="auto"/>
              <w:ind w:firstLine="0" w:firstLineChars="0"/>
              <w:jc w:val="center"/>
              <w:rPr>
                <w:color w:val="000000" w:themeColor="text1"/>
                <w:sz w:val="21"/>
                <w14:textFill>
                  <w14:solidFill>
                    <w14:schemeClr w14:val="tx1"/>
                  </w14:solidFill>
                </w14:textFill>
              </w:rPr>
            </w:pPr>
          </w:p>
        </w:tc>
        <w:tc>
          <w:tcPr>
            <w:tcW w:w="1010" w:type="dxa"/>
            <w:vMerge w:val="continue"/>
            <w:vAlign w:val="center"/>
          </w:tcPr>
          <w:p w14:paraId="6A99D14C">
            <w:pPr>
              <w:spacing w:line="240" w:lineRule="auto"/>
              <w:ind w:firstLine="0" w:firstLineChars="0"/>
              <w:jc w:val="center"/>
              <w:rPr>
                <w:color w:val="000000" w:themeColor="text1"/>
                <w:sz w:val="21"/>
                <w14:textFill>
                  <w14:solidFill>
                    <w14:schemeClr w14:val="tx1"/>
                  </w14:solidFill>
                </w14:textFill>
              </w:rPr>
            </w:pPr>
          </w:p>
        </w:tc>
        <w:tc>
          <w:tcPr>
            <w:tcW w:w="1847" w:type="dxa"/>
            <w:vAlign w:val="center"/>
          </w:tcPr>
          <w:p w14:paraId="03C801B7">
            <w:pPr>
              <w:spacing w:line="240" w:lineRule="auto"/>
              <w:ind w:firstLine="0" w:firstLineChars="0"/>
              <w:jc w:val="center"/>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凶型猛箭虫</w:t>
            </w:r>
          </w:p>
        </w:tc>
        <w:tc>
          <w:tcPr>
            <w:tcW w:w="2438" w:type="dxa"/>
            <w:vAlign w:val="center"/>
          </w:tcPr>
          <w:p w14:paraId="79C32438">
            <w:pPr>
              <w:spacing w:line="240" w:lineRule="auto"/>
              <w:ind w:firstLine="0" w:firstLineChars="0"/>
              <w:jc w:val="center"/>
              <w:rPr>
                <w:i/>
                <w:iCs/>
                <w:color w:val="000000" w:themeColor="text1"/>
                <w:sz w:val="21"/>
                <w14:textFill>
                  <w14:solidFill>
                    <w14:schemeClr w14:val="tx1"/>
                  </w14:solidFill>
                </w14:textFill>
              </w:rPr>
            </w:pPr>
            <w:r>
              <w:rPr>
                <w:rFonts w:hint="eastAsia"/>
                <w:i/>
                <w:iCs/>
                <w:color w:val="000000" w:themeColor="text1"/>
                <w:sz w:val="21"/>
                <w14:textFill>
                  <w14:solidFill>
                    <w14:schemeClr w14:val="tx1"/>
                  </w14:solidFill>
                </w14:textFill>
              </w:rPr>
              <w:t>Ferosagitta ferox</w:t>
            </w:r>
          </w:p>
        </w:tc>
        <w:tc>
          <w:tcPr>
            <w:tcW w:w="1158" w:type="dxa"/>
            <w:vAlign w:val="center"/>
          </w:tcPr>
          <w:p w14:paraId="5BF6F81B">
            <w:pPr>
              <w:spacing w:line="240" w:lineRule="auto"/>
              <w:ind w:firstLine="0" w:firstLineChars="0"/>
              <w:jc w:val="center"/>
              <w:rPr>
                <w:color w:val="000000" w:themeColor="text1"/>
                <w:sz w:val="21"/>
                <w14:textFill>
                  <w14:solidFill>
                    <w14:schemeClr w14:val="tx1"/>
                  </w14:solidFill>
                </w14:textFill>
              </w:rPr>
            </w:pPr>
          </w:p>
        </w:tc>
        <w:tc>
          <w:tcPr>
            <w:tcW w:w="1221" w:type="dxa"/>
            <w:vMerge w:val="continue"/>
            <w:vAlign w:val="center"/>
          </w:tcPr>
          <w:p w14:paraId="01D397AD">
            <w:pPr>
              <w:spacing w:line="240" w:lineRule="auto"/>
              <w:ind w:firstLine="0" w:firstLineChars="0"/>
              <w:jc w:val="center"/>
              <w:rPr>
                <w:color w:val="000000" w:themeColor="text1"/>
                <w:sz w:val="21"/>
                <w14:textFill>
                  <w14:solidFill>
                    <w14:schemeClr w14:val="tx1"/>
                  </w14:solidFill>
                </w14:textFill>
              </w:rPr>
            </w:pPr>
          </w:p>
        </w:tc>
      </w:tr>
      <w:tr w14:paraId="4446D83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48" w:type="dxa"/>
            <w:vMerge w:val="continue"/>
            <w:vAlign w:val="center"/>
          </w:tcPr>
          <w:p w14:paraId="21448EED">
            <w:pPr>
              <w:spacing w:line="240" w:lineRule="auto"/>
              <w:ind w:firstLine="0" w:firstLineChars="0"/>
              <w:jc w:val="center"/>
              <w:rPr>
                <w:color w:val="000000" w:themeColor="text1"/>
                <w:sz w:val="21"/>
                <w14:textFill>
                  <w14:solidFill>
                    <w14:schemeClr w14:val="tx1"/>
                  </w14:solidFill>
                </w14:textFill>
              </w:rPr>
            </w:pPr>
          </w:p>
        </w:tc>
        <w:tc>
          <w:tcPr>
            <w:tcW w:w="1010" w:type="dxa"/>
            <w:vMerge w:val="restart"/>
            <w:vAlign w:val="center"/>
          </w:tcPr>
          <w:p w14:paraId="594ED2DF">
            <w:pPr>
              <w:spacing w:line="240" w:lineRule="auto"/>
              <w:ind w:firstLine="0" w:firstLineChars="0"/>
              <w:jc w:val="center"/>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桡足类</w:t>
            </w:r>
          </w:p>
        </w:tc>
        <w:tc>
          <w:tcPr>
            <w:tcW w:w="1847" w:type="dxa"/>
            <w:vAlign w:val="center"/>
          </w:tcPr>
          <w:p w14:paraId="1290C9DD">
            <w:pPr>
              <w:spacing w:line="240" w:lineRule="auto"/>
              <w:ind w:firstLine="0" w:firstLineChars="0"/>
              <w:jc w:val="center"/>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克氏纺锤水蚤</w:t>
            </w:r>
          </w:p>
        </w:tc>
        <w:tc>
          <w:tcPr>
            <w:tcW w:w="2438" w:type="dxa"/>
            <w:vAlign w:val="center"/>
          </w:tcPr>
          <w:p w14:paraId="51859E2C">
            <w:pPr>
              <w:spacing w:line="240" w:lineRule="auto"/>
              <w:ind w:firstLine="0" w:firstLineChars="0"/>
              <w:jc w:val="center"/>
              <w:rPr>
                <w:i/>
                <w:iCs/>
                <w:color w:val="000000" w:themeColor="text1"/>
                <w:sz w:val="21"/>
                <w14:textFill>
                  <w14:solidFill>
                    <w14:schemeClr w14:val="tx1"/>
                  </w14:solidFill>
                </w14:textFill>
              </w:rPr>
            </w:pPr>
            <w:r>
              <w:rPr>
                <w:rFonts w:hint="eastAsia"/>
                <w:i/>
                <w:iCs/>
                <w:color w:val="000000" w:themeColor="text1"/>
                <w:sz w:val="21"/>
                <w14:textFill>
                  <w14:solidFill>
                    <w14:schemeClr w14:val="tx1"/>
                  </w14:solidFill>
                </w14:textFill>
              </w:rPr>
              <w:t>Acartia clausi</w:t>
            </w:r>
          </w:p>
        </w:tc>
        <w:tc>
          <w:tcPr>
            <w:tcW w:w="1158" w:type="dxa"/>
            <w:vAlign w:val="center"/>
          </w:tcPr>
          <w:p w14:paraId="7142A771">
            <w:pPr>
              <w:spacing w:line="240" w:lineRule="auto"/>
              <w:ind w:firstLine="0" w:firstLineChars="0"/>
              <w:jc w:val="center"/>
              <w:rPr>
                <w:color w:val="000000" w:themeColor="text1"/>
                <w:sz w:val="21"/>
                <w14:textFill>
                  <w14:solidFill>
                    <w14:schemeClr w14:val="tx1"/>
                  </w14:solidFill>
                </w14:textFill>
              </w:rPr>
            </w:pPr>
          </w:p>
        </w:tc>
        <w:tc>
          <w:tcPr>
            <w:tcW w:w="1221" w:type="dxa"/>
            <w:vMerge w:val="continue"/>
            <w:vAlign w:val="center"/>
          </w:tcPr>
          <w:p w14:paraId="0E083225">
            <w:pPr>
              <w:spacing w:line="240" w:lineRule="auto"/>
              <w:ind w:firstLine="0" w:firstLineChars="0"/>
              <w:jc w:val="center"/>
              <w:rPr>
                <w:color w:val="000000" w:themeColor="text1"/>
                <w:sz w:val="21"/>
                <w14:textFill>
                  <w14:solidFill>
                    <w14:schemeClr w14:val="tx1"/>
                  </w14:solidFill>
                </w14:textFill>
              </w:rPr>
            </w:pPr>
          </w:p>
        </w:tc>
      </w:tr>
      <w:tr w14:paraId="6A7C163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48" w:type="dxa"/>
            <w:vMerge w:val="continue"/>
            <w:vAlign w:val="center"/>
          </w:tcPr>
          <w:p w14:paraId="594D598A">
            <w:pPr>
              <w:spacing w:line="240" w:lineRule="auto"/>
              <w:ind w:firstLine="0" w:firstLineChars="0"/>
              <w:jc w:val="center"/>
              <w:rPr>
                <w:color w:val="000000" w:themeColor="text1"/>
                <w:sz w:val="21"/>
                <w14:textFill>
                  <w14:solidFill>
                    <w14:schemeClr w14:val="tx1"/>
                  </w14:solidFill>
                </w14:textFill>
              </w:rPr>
            </w:pPr>
          </w:p>
        </w:tc>
        <w:tc>
          <w:tcPr>
            <w:tcW w:w="1010" w:type="dxa"/>
            <w:vMerge w:val="continue"/>
            <w:vAlign w:val="center"/>
          </w:tcPr>
          <w:p w14:paraId="1D8C4AC3">
            <w:pPr>
              <w:spacing w:line="240" w:lineRule="auto"/>
              <w:ind w:firstLine="0" w:firstLineChars="0"/>
              <w:jc w:val="center"/>
              <w:rPr>
                <w:color w:val="000000" w:themeColor="text1"/>
                <w:sz w:val="21"/>
                <w14:textFill>
                  <w14:solidFill>
                    <w14:schemeClr w14:val="tx1"/>
                  </w14:solidFill>
                </w14:textFill>
              </w:rPr>
            </w:pPr>
          </w:p>
        </w:tc>
        <w:tc>
          <w:tcPr>
            <w:tcW w:w="1847" w:type="dxa"/>
            <w:vAlign w:val="center"/>
          </w:tcPr>
          <w:p w14:paraId="302AC326">
            <w:pPr>
              <w:spacing w:line="240" w:lineRule="auto"/>
              <w:ind w:firstLine="0" w:firstLineChars="0"/>
              <w:jc w:val="center"/>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细长腹剑水蚤</w:t>
            </w:r>
          </w:p>
        </w:tc>
        <w:tc>
          <w:tcPr>
            <w:tcW w:w="2438" w:type="dxa"/>
            <w:vAlign w:val="center"/>
          </w:tcPr>
          <w:p w14:paraId="1E5B4D01">
            <w:pPr>
              <w:spacing w:line="240" w:lineRule="auto"/>
              <w:ind w:firstLine="0" w:firstLineChars="0"/>
              <w:jc w:val="center"/>
              <w:rPr>
                <w:i/>
                <w:iCs/>
                <w:color w:val="000000" w:themeColor="text1"/>
                <w:sz w:val="21"/>
                <w14:textFill>
                  <w14:solidFill>
                    <w14:schemeClr w14:val="tx1"/>
                  </w14:solidFill>
                </w14:textFill>
              </w:rPr>
            </w:pPr>
            <w:r>
              <w:rPr>
                <w:rFonts w:hint="eastAsia"/>
                <w:i/>
                <w:iCs/>
                <w:color w:val="000000" w:themeColor="text1"/>
                <w:sz w:val="21"/>
                <w14:textFill>
                  <w14:solidFill>
                    <w14:schemeClr w14:val="tx1"/>
                  </w14:solidFill>
                </w14:textFill>
              </w:rPr>
              <w:t>Oithona attenuata</w:t>
            </w:r>
          </w:p>
        </w:tc>
        <w:tc>
          <w:tcPr>
            <w:tcW w:w="1158" w:type="dxa"/>
            <w:vAlign w:val="center"/>
          </w:tcPr>
          <w:p w14:paraId="1D5C6E15">
            <w:pPr>
              <w:spacing w:line="240" w:lineRule="auto"/>
              <w:ind w:firstLine="0" w:firstLineChars="0"/>
              <w:jc w:val="center"/>
              <w:rPr>
                <w:color w:val="000000" w:themeColor="text1"/>
                <w:sz w:val="21"/>
                <w14:textFill>
                  <w14:solidFill>
                    <w14:schemeClr w14:val="tx1"/>
                  </w14:solidFill>
                </w14:textFill>
              </w:rPr>
            </w:pPr>
          </w:p>
        </w:tc>
        <w:tc>
          <w:tcPr>
            <w:tcW w:w="1221" w:type="dxa"/>
            <w:vMerge w:val="continue"/>
            <w:vAlign w:val="center"/>
          </w:tcPr>
          <w:p w14:paraId="53BDBD18">
            <w:pPr>
              <w:spacing w:line="240" w:lineRule="auto"/>
              <w:ind w:firstLine="0" w:firstLineChars="0"/>
              <w:jc w:val="center"/>
              <w:rPr>
                <w:color w:val="000000" w:themeColor="text1"/>
                <w:sz w:val="21"/>
                <w14:textFill>
                  <w14:solidFill>
                    <w14:schemeClr w14:val="tx1"/>
                  </w14:solidFill>
                </w14:textFill>
              </w:rPr>
            </w:pPr>
          </w:p>
        </w:tc>
      </w:tr>
      <w:tr w14:paraId="497B362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48" w:type="dxa"/>
            <w:vMerge w:val="continue"/>
            <w:vAlign w:val="center"/>
          </w:tcPr>
          <w:p w14:paraId="79D13E28">
            <w:pPr>
              <w:spacing w:line="240" w:lineRule="auto"/>
              <w:ind w:firstLine="0" w:firstLineChars="0"/>
              <w:jc w:val="center"/>
              <w:rPr>
                <w:color w:val="000000" w:themeColor="text1"/>
                <w:sz w:val="21"/>
                <w14:textFill>
                  <w14:solidFill>
                    <w14:schemeClr w14:val="tx1"/>
                  </w14:solidFill>
                </w14:textFill>
              </w:rPr>
            </w:pPr>
          </w:p>
        </w:tc>
        <w:tc>
          <w:tcPr>
            <w:tcW w:w="1010" w:type="dxa"/>
            <w:vMerge w:val="continue"/>
            <w:vAlign w:val="center"/>
          </w:tcPr>
          <w:p w14:paraId="6BF1362E">
            <w:pPr>
              <w:spacing w:line="240" w:lineRule="auto"/>
              <w:ind w:firstLine="0" w:firstLineChars="0"/>
              <w:jc w:val="center"/>
              <w:rPr>
                <w:color w:val="000000" w:themeColor="text1"/>
                <w:sz w:val="21"/>
                <w14:textFill>
                  <w14:solidFill>
                    <w14:schemeClr w14:val="tx1"/>
                  </w14:solidFill>
                </w14:textFill>
              </w:rPr>
            </w:pPr>
          </w:p>
        </w:tc>
        <w:tc>
          <w:tcPr>
            <w:tcW w:w="1847" w:type="dxa"/>
            <w:vAlign w:val="center"/>
          </w:tcPr>
          <w:p w14:paraId="7AEAF28C">
            <w:pPr>
              <w:spacing w:line="240" w:lineRule="auto"/>
              <w:ind w:firstLine="0" w:firstLineChars="0"/>
              <w:jc w:val="center"/>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小长腹剑水蚤</w:t>
            </w:r>
          </w:p>
        </w:tc>
        <w:tc>
          <w:tcPr>
            <w:tcW w:w="2438" w:type="dxa"/>
            <w:vAlign w:val="center"/>
          </w:tcPr>
          <w:p w14:paraId="36DFD0BE">
            <w:pPr>
              <w:spacing w:line="240" w:lineRule="auto"/>
              <w:ind w:firstLine="0" w:firstLineChars="0"/>
              <w:jc w:val="center"/>
              <w:rPr>
                <w:i/>
                <w:iCs/>
                <w:color w:val="000000" w:themeColor="text1"/>
                <w:sz w:val="21"/>
                <w14:textFill>
                  <w14:solidFill>
                    <w14:schemeClr w14:val="tx1"/>
                  </w14:solidFill>
                </w14:textFill>
              </w:rPr>
            </w:pPr>
            <w:r>
              <w:rPr>
                <w:rFonts w:hint="eastAsia"/>
                <w:i/>
                <w:iCs/>
                <w:color w:val="000000" w:themeColor="text1"/>
                <w:sz w:val="21"/>
                <w14:textFill>
                  <w14:solidFill>
                    <w14:schemeClr w14:val="tx1"/>
                  </w14:solidFill>
                </w14:textFill>
              </w:rPr>
              <w:t>Oithona nana</w:t>
            </w:r>
          </w:p>
        </w:tc>
        <w:tc>
          <w:tcPr>
            <w:tcW w:w="1158" w:type="dxa"/>
            <w:vAlign w:val="center"/>
          </w:tcPr>
          <w:p w14:paraId="381943A7">
            <w:pPr>
              <w:spacing w:line="240" w:lineRule="auto"/>
              <w:ind w:firstLine="0" w:firstLineChars="0"/>
              <w:jc w:val="center"/>
              <w:rPr>
                <w:color w:val="000000" w:themeColor="text1"/>
                <w:sz w:val="21"/>
                <w14:textFill>
                  <w14:solidFill>
                    <w14:schemeClr w14:val="tx1"/>
                  </w14:solidFill>
                </w14:textFill>
              </w:rPr>
            </w:pPr>
          </w:p>
        </w:tc>
        <w:tc>
          <w:tcPr>
            <w:tcW w:w="1221" w:type="dxa"/>
            <w:vMerge w:val="continue"/>
            <w:vAlign w:val="center"/>
          </w:tcPr>
          <w:p w14:paraId="25CD7FBE">
            <w:pPr>
              <w:spacing w:line="240" w:lineRule="auto"/>
              <w:ind w:firstLine="0" w:firstLineChars="0"/>
              <w:jc w:val="center"/>
              <w:rPr>
                <w:color w:val="000000" w:themeColor="text1"/>
                <w:sz w:val="21"/>
                <w14:textFill>
                  <w14:solidFill>
                    <w14:schemeClr w14:val="tx1"/>
                  </w14:solidFill>
                </w14:textFill>
              </w:rPr>
            </w:pPr>
          </w:p>
        </w:tc>
      </w:tr>
      <w:tr w14:paraId="4441CB6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48" w:type="dxa"/>
            <w:vMerge w:val="continue"/>
            <w:vAlign w:val="center"/>
          </w:tcPr>
          <w:p w14:paraId="1DFD6292">
            <w:pPr>
              <w:spacing w:line="240" w:lineRule="auto"/>
              <w:ind w:firstLine="0" w:firstLineChars="0"/>
              <w:jc w:val="center"/>
              <w:rPr>
                <w:color w:val="000000" w:themeColor="text1"/>
                <w:sz w:val="21"/>
                <w14:textFill>
                  <w14:solidFill>
                    <w14:schemeClr w14:val="tx1"/>
                  </w14:solidFill>
                </w14:textFill>
              </w:rPr>
            </w:pPr>
          </w:p>
        </w:tc>
        <w:tc>
          <w:tcPr>
            <w:tcW w:w="1010" w:type="dxa"/>
            <w:vMerge w:val="continue"/>
            <w:vAlign w:val="center"/>
          </w:tcPr>
          <w:p w14:paraId="61EFDE4D">
            <w:pPr>
              <w:spacing w:line="240" w:lineRule="auto"/>
              <w:ind w:firstLine="0" w:firstLineChars="0"/>
              <w:jc w:val="center"/>
              <w:rPr>
                <w:color w:val="000000" w:themeColor="text1"/>
                <w:sz w:val="21"/>
                <w14:textFill>
                  <w14:solidFill>
                    <w14:schemeClr w14:val="tx1"/>
                  </w14:solidFill>
                </w14:textFill>
              </w:rPr>
            </w:pPr>
          </w:p>
        </w:tc>
        <w:tc>
          <w:tcPr>
            <w:tcW w:w="1847" w:type="dxa"/>
            <w:vAlign w:val="center"/>
          </w:tcPr>
          <w:p w14:paraId="4ACB50F6">
            <w:pPr>
              <w:spacing w:line="240" w:lineRule="auto"/>
              <w:ind w:firstLine="0" w:firstLineChars="0"/>
              <w:jc w:val="center"/>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尖额谐猛水蚤</w:t>
            </w:r>
          </w:p>
        </w:tc>
        <w:tc>
          <w:tcPr>
            <w:tcW w:w="2438" w:type="dxa"/>
            <w:vAlign w:val="center"/>
          </w:tcPr>
          <w:p w14:paraId="10F130CC">
            <w:pPr>
              <w:spacing w:line="240" w:lineRule="auto"/>
              <w:ind w:firstLine="0" w:firstLineChars="0"/>
              <w:jc w:val="center"/>
              <w:rPr>
                <w:i/>
                <w:iCs/>
                <w:color w:val="000000" w:themeColor="text1"/>
                <w:sz w:val="21"/>
                <w14:textFill>
                  <w14:solidFill>
                    <w14:schemeClr w14:val="tx1"/>
                  </w14:solidFill>
                </w14:textFill>
              </w:rPr>
            </w:pPr>
            <w:r>
              <w:rPr>
                <w:rFonts w:hint="eastAsia"/>
                <w:i/>
                <w:iCs/>
                <w:color w:val="000000" w:themeColor="text1"/>
                <w:sz w:val="21"/>
                <w14:textFill>
                  <w14:solidFill>
                    <w14:schemeClr w14:val="tx1"/>
                  </w14:solidFill>
                </w14:textFill>
              </w:rPr>
              <w:t>Euterpina acutifrons</w:t>
            </w:r>
          </w:p>
        </w:tc>
        <w:tc>
          <w:tcPr>
            <w:tcW w:w="1158" w:type="dxa"/>
            <w:vAlign w:val="center"/>
          </w:tcPr>
          <w:p w14:paraId="78B86E8A">
            <w:pPr>
              <w:spacing w:line="240" w:lineRule="auto"/>
              <w:ind w:firstLine="0" w:firstLineChars="0"/>
              <w:jc w:val="center"/>
              <w:rPr>
                <w:color w:val="000000" w:themeColor="text1"/>
                <w:sz w:val="21"/>
                <w14:textFill>
                  <w14:solidFill>
                    <w14:schemeClr w14:val="tx1"/>
                  </w14:solidFill>
                </w14:textFill>
              </w:rPr>
            </w:pPr>
          </w:p>
        </w:tc>
        <w:tc>
          <w:tcPr>
            <w:tcW w:w="1221" w:type="dxa"/>
            <w:vMerge w:val="continue"/>
            <w:vAlign w:val="center"/>
          </w:tcPr>
          <w:p w14:paraId="2404E986">
            <w:pPr>
              <w:spacing w:line="240" w:lineRule="auto"/>
              <w:ind w:firstLine="0" w:firstLineChars="0"/>
              <w:jc w:val="center"/>
              <w:rPr>
                <w:color w:val="000000" w:themeColor="text1"/>
                <w:sz w:val="21"/>
                <w14:textFill>
                  <w14:solidFill>
                    <w14:schemeClr w14:val="tx1"/>
                  </w14:solidFill>
                </w14:textFill>
              </w:rPr>
            </w:pPr>
          </w:p>
        </w:tc>
      </w:tr>
      <w:tr w14:paraId="1259857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48" w:type="dxa"/>
            <w:vMerge w:val="continue"/>
            <w:vAlign w:val="center"/>
          </w:tcPr>
          <w:p w14:paraId="1127ACDD">
            <w:pPr>
              <w:spacing w:line="240" w:lineRule="auto"/>
              <w:ind w:firstLine="0" w:firstLineChars="0"/>
              <w:jc w:val="center"/>
              <w:rPr>
                <w:color w:val="000000" w:themeColor="text1"/>
                <w:sz w:val="21"/>
                <w14:textFill>
                  <w14:solidFill>
                    <w14:schemeClr w14:val="tx1"/>
                  </w14:solidFill>
                </w14:textFill>
              </w:rPr>
            </w:pPr>
          </w:p>
        </w:tc>
        <w:tc>
          <w:tcPr>
            <w:tcW w:w="1010" w:type="dxa"/>
            <w:vMerge w:val="continue"/>
            <w:vAlign w:val="center"/>
          </w:tcPr>
          <w:p w14:paraId="1EB18D8E">
            <w:pPr>
              <w:spacing w:line="240" w:lineRule="auto"/>
              <w:ind w:firstLine="0" w:firstLineChars="0"/>
              <w:jc w:val="center"/>
              <w:rPr>
                <w:color w:val="000000" w:themeColor="text1"/>
                <w:sz w:val="21"/>
                <w14:textFill>
                  <w14:solidFill>
                    <w14:schemeClr w14:val="tx1"/>
                  </w14:solidFill>
                </w14:textFill>
              </w:rPr>
            </w:pPr>
          </w:p>
        </w:tc>
        <w:tc>
          <w:tcPr>
            <w:tcW w:w="1847" w:type="dxa"/>
            <w:vAlign w:val="center"/>
          </w:tcPr>
          <w:p w14:paraId="38A16914">
            <w:pPr>
              <w:spacing w:line="240" w:lineRule="auto"/>
              <w:ind w:firstLine="0" w:firstLineChars="0"/>
              <w:jc w:val="center"/>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锥形宽水蚤</w:t>
            </w:r>
          </w:p>
        </w:tc>
        <w:tc>
          <w:tcPr>
            <w:tcW w:w="2438" w:type="dxa"/>
            <w:vAlign w:val="center"/>
          </w:tcPr>
          <w:p w14:paraId="5AF697B2">
            <w:pPr>
              <w:spacing w:line="240" w:lineRule="auto"/>
              <w:ind w:firstLine="0" w:firstLineChars="0"/>
              <w:jc w:val="center"/>
              <w:rPr>
                <w:i/>
                <w:iCs/>
                <w:color w:val="000000" w:themeColor="text1"/>
                <w:sz w:val="21"/>
                <w14:textFill>
                  <w14:solidFill>
                    <w14:schemeClr w14:val="tx1"/>
                  </w14:solidFill>
                </w14:textFill>
              </w:rPr>
            </w:pPr>
            <w:r>
              <w:rPr>
                <w:rFonts w:hint="eastAsia"/>
                <w:i/>
                <w:iCs/>
                <w:color w:val="000000" w:themeColor="text1"/>
                <w:sz w:val="21"/>
                <w14:textFill>
                  <w14:solidFill>
                    <w14:schemeClr w14:val="tx1"/>
                  </w14:solidFill>
                </w14:textFill>
              </w:rPr>
              <w:t>Temora discaudata</w:t>
            </w:r>
          </w:p>
        </w:tc>
        <w:tc>
          <w:tcPr>
            <w:tcW w:w="1158" w:type="dxa"/>
            <w:vAlign w:val="center"/>
          </w:tcPr>
          <w:p w14:paraId="382AAFC3">
            <w:pPr>
              <w:spacing w:line="240" w:lineRule="auto"/>
              <w:ind w:firstLine="0" w:firstLineChars="0"/>
              <w:jc w:val="center"/>
              <w:rPr>
                <w:color w:val="000000" w:themeColor="text1"/>
                <w:sz w:val="21"/>
                <w14:textFill>
                  <w14:solidFill>
                    <w14:schemeClr w14:val="tx1"/>
                  </w14:solidFill>
                </w14:textFill>
              </w:rPr>
            </w:pPr>
          </w:p>
        </w:tc>
        <w:tc>
          <w:tcPr>
            <w:tcW w:w="1221" w:type="dxa"/>
            <w:vMerge w:val="continue"/>
            <w:vAlign w:val="center"/>
          </w:tcPr>
          <w:p w14:paraId="2E8BC14A">
            <w:pPr>
              <w:spacing w:line="240" w:lineRule="auto"/>
              <w:ind w:firstLine="0" w:firstLineChars="0"/>
              <w:jc w:val="center"/>
              <w:rPr>
                <w:color w:val="000000" w:themeColor="text1"/>
                <w:sz w:val="21"/>
                <w14:textFill>
                  <w14:solidFill>
                    <w14:schemeClr w14:val="tx1"/>
                  </w14:solidFill>
                </w14:textFill>
              </w:rPr>
            </w:pPr>
          </w:p>
        </w:tc>
      </w:tr>
      <w:tr w14:paraId="773B992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48" w:type="dxa"/>
            <w:vMerge w:val="continue"/>
            <w:vAlign w:val="center"/>
          </w:tcPr>
          <w:p w14:paraId="5D312FF5">
            <w:pPr>
              <w:spacing w:line="240" w:lineRule="auto"/>
              <w:ind w:firstLine="0" w:firstLineChars="0"/>
              <w:jc w:val="center"/>
              <w:rPr>
                <w:color w:val="000000" w:themeColor="text1"/>
                <w:sz w:val="21"/>
                <w14:textFill>
                  <w14:solidFill>
                    <w14:schemeClr w14:val="tx1"/>
                  </w14:solidFill>
                </w14:textFill>
              </w:rPr>
            </w:pPr>
          </w:p>
        </w:tc>
        <w:tc>
          <w:tcPr>
            <w:tcW w:w="1010" w:type="dxa"/>
            <w:vMerge w:val="continue"/>
            <w:vAlign w:val="center"/>
          </w:tcPr>
          <w:p w14:paraId="57B8485B">
            <w:pPr>
              <w:spacing w:line="240" w:lineRule="auto"/>
              <w:ind w:firstLine="0" w:firstLineChars="0"/>
              <w:jc w:val="center"/>
              <w:rPr>
                <w:color w:val="000000" w:themeColor="text1"/>
                <w:sz w:val="21"/>
                <w14:textFill>
                  <w14:solidFill>
                    <w14:schemeClr w14:val="tx1"/>
                  </w14:solidFill>
                </w14:textFill>
              </w:rPr>
            </w:pPr>
          </w:p>
        </w:tc>
        <w:tc>
          <w:tcPr>
            <w:tcW w:w="1847" w:type="dxa"/>
            <w:vAlign w:val="center"/>
          </w:tcPr>
          <w:p w14:paraId="3D10590F">
            <w:pPr>
              <w:spacing w:line="240" w:lineRule="auto"/>
              <w:ind w:firstLine="0" w:firstLineChars="0"/>
              <w:jc w:val="center"/>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小拟哲水蚤</w:t>
            </w:r>
          </w:p>
        </w:tc>
        <w:tc>
          <w:tcPr>
            <w:tcW w:w="2438" w:type="dxa"/>
            <w:vAlign w:val="center"/>
          </w:tcPr>
          <w:p w14:paraId="09095BBF">
            <w:pPr>
              <w:spacing w:line="240" w:lineRule="auto"/>
              <w:ind w:firstLine="0" w:firstLineChars="0"/>
              <w:jc w:val="center"/>
              <w:rPr>
                <w:i/>
                <w:iCs/>
                <w:color w:val="000000" w:themeColor="text1"/>
                <w:sz w:val="21"/>
                <w14:textFill>
                  <w14:solidFill>
                    <w14:schemeClr w14:val="tx1"/>
                  </w14:solidFill>
                </w14:textFill>
              </w:rPr>
            </w:pPr>
            <w:r>
              <w:rPr>
                <w:rFonts w:hint="eastAsia"/>
                <w:i/>
                <w:iCs/>
                <w:color w:val="000000" w:themeColor="text1"/>
                <w:sz w:val="21"/>
                <w14:textFill>
                  <w14:solidFill>
                    <w14:schemeClr w14:val="tx1"/>
                  </w14:solidFill>
                </w14:textFill>
              </w:rPr>
              <w:t>Paracalanus parvus</w:t>
            </w:r>
          </w:p>
        </w:tc>
        <w:tc>
          <w:tcPr>
            <w:tcW w:w="1158" w:type="dxa"/>
            <w:vAlign w:val="center"/>
          </w:tcPr>
          <w:p w14:paraId="2DD62FD6">
            <w:pPr>
              <w:spacing w:line="240" w:lineRule="auto"/>
              <w:ind w:firstLine="0" w:firstLineChars="0"/>
              <w:jc w:val="center"/>
              <w:rPr>
                <w:color w:val="000000" w:themeColor="text1"/>
                <w:sz w:val="21"/>
                <w14:textFill>
                  <w14:solidFill>
                    <w14:schemeClr w14:val="tx1"/>
                  </w14:solidFill>
                </w14:textFill>
              </w:rPr>
            </w:pPr>
          </w:p>
        </w:tc>
        <w:tc>
          <w:tcPr>
            <w:tcW w:w="1221" w:type="dxa"/>
            <w:vMerge w:val="continue"/>
            <w:vAlign w:val="center"/>
          </w:tcPr>
          <w:p w14:paraId="0AAA74B5">
            <w:pPr>
              <w:spacing w:line="240" w:lineRule="auto"/>
              <w:ind w:firstLine="0" w:firstLineChars="0"/>
              <w:jc w:val="center"/>
              <w:rPr>
                <w:color w:val="000000" w:themeColor="text1"/>
                <w:sz w:val="21"/>
                <w14:textFill>
                  <w14:solidFill>
                    <w14:schemeClr w14:val="tx1"/>
                  </w14:solidFill>
                </w14:textFill>
              </w:rPr>
            </w:pPr>
          </w:p>
        </w:tc>
      </w:tr>
      <w:tr w14:paraId="1D18856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48" w:type="dxa"/>
            <w:vMerge w:val="continue"/>
            <w:vAlign w:val="center"/>
          </w:tcPr>
          <w:p w14:paraId="53C0037F">
            <w:pPr>
              <w:spacing w:line="240" w:lineRule="auto"/>
              <w:ind w:firstLine="0" w:firstLineChars="0"/>
              <w:jc w:val="center"/>
              <w:rPr>
                <w:color w:val="000000" w:themeColor="text1"/>
                <w:sz w:val="21"/>
                <w14:textFill>
                  <w14:solidFill>
                    <w14:schemeClr w14:val="tx1"/>
                  </w14:solidFill>
                </w14:textFill>
              </w:rPr>
            </w:pPr>
          </w:p>
        </w:tc>
        <w:tc>
          <w:tcPr>
            <w:tcW w:w="1010" w:type="dxa"/>
            <w:vMerge w:val="continue"/>
            <w:vAlign w:val="center"/>
          </w:tcPr>
          <w:p w14:paraId="01739D22">
            <w:pPr>
              <w:spacing w:line="240" w:lineRule="auto"/>
              <w:ind w:firstLine="0" w:firstLineChars="0"/>
              <w:jc w:val="center"/>
              <w:rPr>
                <w:color w:val="000000" w:themeColor="text1"/>
                <w:sz w:val="21"/>
                <w14:textFill>
                  <w14:solidFill>
                    <w14:schemeClr w14:val="tx1"/>
                  </w14:solidFill>
                </w14:textFill>
              </w:rPr>
            </w:pPr>
          </w:p>
        </w:tc>
        <w:tc>
          <w:tcPr>
            <w:tcW w:w="1847" w:type="dxa"/>
            <w:vAlign w:val="center"/>
          </w:tcPr>
          <w:p w14:paraId="61967FE3">
            <w:pPr>
              <w:spacing w:line="240" w:lineRule="auto"/>
              <w:ind w:firstLine="0" w:firstLineChars="0"/>
              <w:jc w:val="center"/>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强额孔雀水蚤</w:t>
            </w:r>
          </w:p>
        </w:tc>
        <w:tc>
          <w:tcPr>
            <w:tcW w:w="2438" w:type="dxa"/>
            <w:vAlign w:val="center"/>
          </w:tcPr>
          <w:p w14:paraId="10E8D260">
            <w:pPr>
              <w:spacing w:line="240" w:lineRule="auto"/>
              <w:ind w:firstLine="0" w:firstLineChars="0"/>
              <w:jc w:val="center"/>
              <w:rPr>
                <w:i/>
                <w:iCs/>
                <w:color w:val="000000" w:themeColor="text1"/>
                <w:sz w:val="21"/>
                <w14:textFill>
                  <w14:solidFill>
                    <w14:schemeClr w14:val="tx1"/>
                  </w14:solidFill>
                </w14:textFill>
              </w:rPr>
            </w:pPr>
            <w:r>
              <w:rPr>
                <w:rFonts w:hint="eastAsia"/>
                <w:i/>
                <w:iCs/>
                <w:color w:val="000000" w:themeColor="text1"/>
                <w:sz w:val="21"/>
                <w14:textFill>
                  <w14:solidFill>
                    <w14:schemeClr w14:val="tx1"/>
                  </w14:solidFill>
                </w14:textFill>
              </w:rPr>
              <w:t>Pavocalanus crassirostris</w:t>
            </w:r>
          </w:p>
        </w:tc>
        <w:tc>
          <w:tcPr>
            <w:tcW w:w="1158" w:type="dxa"/>
            <w:vAlign w:val="center"/>
          </w:tcPr>
          <w:p w14:paraId="76F98D72">
            <w:pPr>
              <w:spacing w:line="240" w:lineRule="auto"/>
              <w:ind w:firstLine="0" w:firstLineChars="0"/>
              <w:jc w:val="center"/>
              <w:rPr>
                <w:color w:val="000000" w:themeColor="text1"/>
                <w:sz w:val="21"/>
                <w14:textFill>
                  <w14:solidFill>
                    <w14:schemeClr w14:val="tx1"/>
                  </w14:solidFill>
                </w14:textFill>
              </w:rPr>
            </w:pPr>
          </w:p>
        </w:tc>
        <w:tc>
          <w:tcPr>
            <w:tcW w:w="1221" w:type="dxa"/>
            <w:vMerge w:val="continue"/>
            <w:vAlign w:val="center"/>
          </w:tcPr>
          <w:p w14:paraId="0E3E1F23">
            <w:pPr>
              <w:spacing w:line="240" w:lineRule="auto"/>
              <w:ind w:firstLine="0" w:firstLineChars="0"/>
              <w:jc w:val="center"/>
              <w:rPr>
                <w:color w:val="000000" w:themeColor="text1"/>
                <w:sz w:val="21"/>
                <w14:textFill>
                  <w14:solidFill>
                    <w14:schemeClr w14:val="tx1"/>
                  </w14:solidFill>
                </w14:textFill>
              </w:rPr>
            </w:pPr>
          </w:p>
        </w:tc>
      </w:tr>
      <w:tr w14:paraId="793B228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48" w:type="dxa"/>
            <w:vMerge w:val="continue"/>
            <w:vAlign w:val="center"/>
          </w:tcPr>
          <w:p w14:paraId="3B26AD0F">
            <w:pPr>
              <w:spacing w:line="240" w:lineRule="auto"/>
              <w:ind w:firstLine="0" w:firstLineChars="0"/>
              <w:jc w:val="center"/>
              <w:rPr>
                <w:color w:val="000000" w:themeColor="text1"/>
                <w:sz w:val="21"/>
                <w14:textFill>
                  <w14:solidFill>
                    <w14:schemeClr w14:val="tx1"/>
                  </w14:solidFill>
                </w14:textFill>
              </w:rPr>
            </w:pPr>
          </w:p>
        </w:tc>
        <w:tc>
          <w:tcPr>
            <w:tcW w:w="1010" w:type="dxa"/>
            <w:vAlign w:val="center"/>
          </w:tcPr>
          <w:p w14:paraId="6A57D518">
            <w:pPr>
              <w:spacing w:line="240" w:lineRule="auto"/>
              <w:ind w:firstLine="0" w:firstLineChars="0"/>
              <w:jc w:val="center"/>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多毛类</w:t>
            </w:r>
          </w:p>
        </w:tc>
        <w:tc>
          <w:tcPr>
            <w:tcW w:w="1847" w:type="dxa"/>
            <w:vAlign w:val="center"/>
          </w:tcPr>
          <w:p w14:paraId="2B44E006">
            <w:pPr>
              <w:spacing w:line="240" w:lineRule="auto"/>
              <w:ind w:firstLine="0" w:firstLineChars="0"/>
              <w:jc w:val="center"/>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眼蚕</w:t>
            </w:r>
          </w:p>
        </w:tc>
        <w:tc>
          <w:tcPr>
            <w:tcW w:w="2438" w:type="dxa"/>
            <w:vAlign w:val="center"/>
          </w:tcPr>
          <w:p w14:paraId="112E5252">
            <w:pPr>
              <w:spacing w:line="240" w:lineRule="auto"/>
              <w:ind w:firstLine="0" w:firstLineChars="0"/>
              <w:jc w:val="center"/>
              <w:rPr>
                <w:i/>
                <w:iCs/>
                <w:color w:val="000000" w:themeColor="text1"/>
                <w:sz w:val="21"/>
                <w14:textFill>
                  <w14:solidFill>
                    <w14:schemeClr w14:val="tx1"/>
                  </w14:solidFill>
                </w14:textFill>
              </w:rPr>
            </w:pPr>
            <w:r>
              <w:rPr>
                <w:rFonts w:hint="eastAsia"/>
                <w:i/>
                <w:iCs/>
                <w:color w:val="000000" w:themeColor="text1"/>
                <w:sz w:val="21"/>
                <w14:textFill>
                  <w14:solidFill>
                    <w14:schemeClr w14:val="tx1"/>
                  </w14:solidFill>
                </w14:textFill>
              </w:rPr>
              <w:t>Alciopina parasitica</w:t>
            </w:r>
          </w:p>
        </w:tc>
        <w:tc>
          <w:tcPr>
            <w:tcW w:w="1158" w:type="dxa"/>
            <w:vAlign w:val="center"/>
          </w:tcPr>
          <w:p w14:paraId="751DA321">
            <w:pPr>
              <w:spacing w:line="240" w:lineRule="auto"/>
              <w:ind w:firstLine="0" w:firstLineChars="0"/>
              <w:jc w:val="center"/>
              <w:rPr>
                <w:color w:val="000000" w:themeColor="text1"/>
                <w:sz w:val="21"/>
                <w14:textFill>
                  <w14:solidFill>
                    <w14:schemeClr w14:val="tx1"/>
                  </w14:solidFill>
                </w14:textFill>
              </w:rPr>
            </w:pPr>
          </w:p>
        </w:tc>
        <w:tc>
          <w:tcPr>
            <w:tcW w:w="1221" w:type="dxa"/>
            <w:vMerge w:val="continue"/>
            <w:vAlign w:val="center"/>
          </w:tcPr>
          <w:p w14:paraId="6D805176">
            <w:pPr>
              <w:spacing w:line="240" w:lineRule="auto"/>
              <w:ind w:firstLine="0" w:firstLineChars="0"/>
              <w:jc w:val="center"/>
              <w:rPr>
                <w:color w:val="000000" w:themeColor="text1"/>
                <w:sz w:val="21"/>
                <w14:textFill>
                  <w14:solidFill>
                    <w14:schemeClr w14:val="tx1"/>
                  </w14:solidFill>
                </w14:textFill>
              </w:rPr>
            </w:pPr>
          </w:p>
        </w:tc>
      </w:tr>
      <w:tr w14:paraId="6AC3D39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48" w:type="dxa"/>
            <w:vMerge w:val="continue"/>
            <w:vAlign w:val="center"/>
          </w:tcPr>
          <w:p w14:paraId="48EFFCE3">
            <w:pPr>
              <w:spacing w:line="240" w:lineRule="auto"/>
              <w:ind w:firstLine="0" w:firstLineChars="0"/>
              <w:jc w:val="center"/>
              <w:rPr>
                <w:color w:val="000000" w:themeColor="text1"/>
                <w:sz w:val="21"/>
                <w14:textFill>
                  <w14:solidFill>
                    <w14:schemeClr w14:val="tx1"/>
                  </w14:solidFill>
                </w14:textFill>
              </w:rPr>
            </w:pPr>
          </w:p>
        </w:tc>
        <w:tc>
          <w:tcPr>
            <w:tcW w:w="1010" w:type="dxa"/>
            <w:vAlign w:val="center"/>
          </w:tcPr>
          <w:p w14:paraId="379EA571">
            <w:pPr>
              <w:spacing w:line="240" w:lineRule="auto"/>
              <w:ind w:firstLine="0" w:firstLineChars="0"/>
              <w:jc w:val="center"/>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水母类</w:t>
            </w:r>
          </w:p>
        </w:tc>
        <w:tc>
          <w:tcPr>
            <w:tcW w:w="1847" w:type="dxa"/>
            <w:vAlign w:val="center"/>
          </w:tcPr>
          <w:p w14:paraId="4C86DF98">
            <w:pPr>
              <w:spacing w:line="240" w:lineRule="auto"/>
              <w:ind w:firstLine="0" w:firstLineChars="0"/>
              <w:jc w:val="center"/>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杜氏外肋水母</w:t>
            </w:r>
          </w:p>
        </w:tc>
        <w:tc>
          <w:tcPr>
            <w:tcW w:w="2438" w:type="dxa"/>
            <w:vAlign w:val="center"/>
          </w:tcPr>
          <w:p w14:paraId="2A8A796B">
            <w:pPr>
              <w:spacing w:line="240" w:lineRule="auto"/>
              <w:ind w:firstLine="0" w:firstLineChars="0"/>
              <w:jc w:val="center"/>
              <w:rPr>
                <w:i/>
                <w:iCs/>
                <w:color w:val="000000" w:themeColor="text1"/>
                <w:sz w:val="21"/>
                <w14:textFill>
                  <w14:solidFill>
                    <w14:schemeClr w14:val="tx1"/>
                  </w14:solidFill>
                </w14:textFill>
              </w:rPr>
            </w:pPr>
            <w:r>
              <w:rPr>
                <w:rFonts w:hint="eastAsia"/>
                <w:i/>
                <w:iCs/>
                <w:color w:val="000000" w:themeColor="text1"/>
                <w:sz w:val="21"/>
                <w14:textFill>
                  <w14:solidFill>
                    <w14:schemeClr w14:val="tx1"/>
                  </w14:solidFill>
                </w14:textFill>
              </w:rPr>
              <w:t>Ectopleura dumortieri</w:t>
            </w:r>
          </w:p>
        </w:tc>
        <w:tc>
          <w:tcPr>
            <w:tcW w:w="1158" w:type="dxa"/>
            <w:vAlign w:val="center"/>
          </w:tcPr>
          <w:p w14:paraId="3BFB5C66">
            <w:pPr>
              <w:spacing w:line="240" w:lineRule="auto"/>
              <w:ind w:firstLine="0" w:firstLineChars="0"/>
              <w:jc w:val="center"/>
              <w:rPr>
                <w:color w:val="000000" w:themeColor="text1"/>
                <w:sz w:val="21"/>
                <w14:textFill>
                  <w14:solidFill>
                    <w14:schemeClr w14:val="tx1"/>
                  </w14:solidFill>
                </w14:textFill>
              </w:rPr>
            </w:pPr>
          </w:p>
        </w:tc>
        <w:tc>
          <w:tcPr>
            <w:tcW w:w="1221" w:type="dxa"/>
            <w:vMerge w:val="continue"/>
            <w:vAlign w:val="center"/>
          </w:tcPr>
          <w:p w14:paraId="2D19BF8C">
            <w:pPr>
              <w:spacing w:line="240" w:lineRule="auto"/>
              <w:ind w:firstLine="0" w:firstLineChars="0"/>
              <w:jc w:val="center"/>
              <w:rPr>
                <w:color w:val="000000" w:themeColor="text1"/>
                <w:sz w:val="21"/>
                <w14:textFill>
                  <w14:solidFill>
                    <w14:schemeClr w14:val="tx1"/>
                  </w14:solidFill>
                </w14:textFill>
              </w:rPr>
            </w:pPr>
          </w:p>
        </w:tc>
      </w:tr>
      <w:tr w14:paraId="3940417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48" w:type="dxa"/>
            <w:vMerge w:val="continue"/>
            <w:vAlign w:val="center"/>
          </w:tcPr>
          <w:p w14:paraId="7AEFD550">
            <w:pPr>
              <w:spacing w:line="240" w:lineRule="auto"/>
              <w:ind w:firstLine="0" w:firstLineChars="0"/>
              <w:jc w:val="center"/>
              <w:rPr>
                <w:color w:val="000000" w:themeColor="text1"/>
                <w:sz w:val="21"/>
                <w14:textFill>
                  <w14:solidFill>
                    <w14:schemeClr w14:val="tx1"/>
                  </w14:solidFill>
                </w14:textFill>
              </w:rPr>
            </w:pPr>
          </w:p>
        </w:tc>
        <w:tc>
          <w:tcPr>
            <w:tcW w:w="1010" w:type="dxa"/>
            <w:vMerge w:val="restart"/>
            <w:vAlign w:val="center"/>
          </w:tcPr>
          <w:p w14:paraId="4E6DC28E">
            <w:pPr>
              <w:spacing w:line="240" w:lineRule="auto"/>
              <w:ind w:firstLine="0" w:firstLineChars="0"/>
              <w:jc w:val="center"/>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浮游幼虫</w:t>
            </w:r>
          </w:p>
        </w:tc>
        <w:tc>
          <w:tcPr>
            <w:tcW w:w="1847" w:type="dxa"/>
            <w:vAlign w:val="center"/>
          </w:tcPr>
          <w:p w14:paraId="666B4139">
            <w:pPr>
              <w:spacing w:line="240" w:lineRule="auto"/>
              <w:ind w:firstLine="0" w:firstLineChars="0"/>
              <w:jc w:val="center"/>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糠虾幼体</w:t>
            </w:r>
          </w:p>
        </w:tc>
        <w:tc>
          <w:tcPr>
            <w:tcW w:w="2438" w:type="dxa"/>
            <w:vAlign w:val="center"/>
          </w:tcPr>
          <w:p w14:paraId="03372D6E">
            <w:pPr>
              <w:spacing w:line="240" w:lineRule="auto"/>
              <w:ind w:firstLine="0" w:firstLineChars="0"/>
              <w:jc w:val="center"/>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Mysidaeea larva</w:t>
            </w:r>
          </w:p>
        </w:tc>
        <w:tc>
          <w:tcPr>
            <w:tcW w:w="1158" w:type="dxa"/>
            <w:vAlign w:val="center"/>
          </w:tcPr>
          <w:p w14:paraId="585FB5E8">
            <w:pPr>
              <w:spacing w:line="240" w:lineRule="auto"/>
              <w:ind w:firstLine="0" w:firstLineChars="0"/>
              <w:jc w:val="center"/>
              <w:rPr>
                <w:color w:val="000000" w:themeColor="text1"/>
                <w:sz w:val="21"/>
                <w14:textFill>
                  <w14:solidFill>
                    <w14:schemeClr w14:val="tx1"/>
                  </w14:solidFill>
                </w14:textFill>
              </w:rPr>
            </w:pPr>
          </w:p>
        </w:tc>
        <w:tc>
          <w:tcPr>
            <w:tcW w:w="1221" w:type="dxa"/>
            <w:vMerge w:val="continue"/>
            <w:vAlign w:val="center"/>
          </w:tcPr>
          <w:p w14:paraId="309A4510">
            <w:pPr>
              <w:spacing w:line="240" w:lineRule="auto"/>
              <w:ind w:firstLine="0" w:firstLineChars="0"/>
              <w:jc w:val="center"/>
              <w:rPr>
                <w:color w:val="000000" w:themeColor="text1"/>
                <w:sz w:val="21"/>
                <w14:textFill>
                  <w14:solidFill>
                    <w14:schemeClr w14:val="tx1"/>
                  </w14:solidFill>
                </w14:textFill>
              </w:rPr>
            </w:pPr>
          </w:p>
        </w:tc>
      </w:tr>
      <w:tr w14:paraId="4D0513C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48" w:type="dxa"/>
            <w:vMerge w:val="continue"/>
            <w:vAlign w:val="center"/>
          </w:tcPr>
          <w:p w14:paraId="0E5247BF">
            <w:pPr>
              <w:spacing w:line="240" w:lineRule="auto"/>
              <w:ind w:firstLine="0" w:firstLineChars="0"/>
              <w:jc w:val="center"/>
              <w:rPr>
                <w:color w:val="000000" w:themeColor="text1"/>
                <w:sz w:val="21"/>
                <w14:textFill>
                  <w14:solidFill>
                    <w14:schemeClr w14:val="tx1"/>
                  </w14:solidFill>
                </w14:textFill>
              </w:rPr>
            </w:pPr>
          </w:p>
        </w:tc>
        <w:tc>
          <w:tcPr>
            <w:tcW w:w="1010" w:type="dxa"/>
            <w:vMerge w:val="continue"/>
            <w:vAlign w:val="center"/>
          </w:tcPr>
          <w:p w14:paraId="65419A90">
            <w:pPr>
              <w:spacing w:line="240" w:lineRule="auto"/>
              <w:ind w:firstLine="0" w:firstLineChars="0"/>
              <w:jc w:val="center"/>
              <w:rPr>
                <w:color w:val="000000" w:themeColor="text1"/>
                <w:sz w:val="21"/>
                <w14:textFill>
                  <w14:solidFill>
                    <w14:schemeClr w14:val="tx1"/>
                  </w14:solidFill>
                </w14:textFill>
              </w:rPr>
            </w:pPr>
          </w:p>
        </w:tc>
        <w:tc>
          <w:tcPr>
            <w:tcW w:w="1847" w:type="dxa"/>
            <w:vAlign w:val="center"/>
          </w:tcPr>
          <w:p w14:paraId="3B7802F8">
            <w:pPr>
              <w:spacing w:line="240" w:lineRule="auto"/>
              <w:ind w:firstLine="0" w:firstLineChars="0"/>
              <w:jc w:val="center"/>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短尾类溞状幼体</w:t>
            </w:r>
          </w:p>
        </w:tc>
        <w:tc>
          <w:tcPr>
            <w:tcW w:w="2438" w:type="dxa"/>
            <w:vAlign w:val="center"/>
          </w:tcPr>
          <w:p w14:paraId="02A4D102">
            <w:pPr>
              <w:spacing w:line="240" w:lineRule="auto"/>
              <w:ind w:firstLine="0" w:firstLineChars="0"/>
              <w:jc w:val="center"/>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Brachyura zoea</w:t>
            </w:r>
          </w:p>
        </w:tc>
        <w:tc>
          <w:tcPr>
            <w:tcW w:w="1158" w:type="dxa"/>
            <w:vAlign w:val="center"/>
          </w:tcPr>
          <w:p w14:paraId="6DE1B6BC">
            <w:pPr>
              <w:spacing w:line="240" w:lineRule="auto"/>
              <w:ind w:firstLine="0" w:firstLineChars="0"/>
              <w:jc w:val="center"/>
              <w:rPr>
                <w:color w:val="000000" w:themeColor="text1"/>
                <w:sz w:val="21"/>
                <w14:textFill>
                  <w14:solidFill>
                    <w14:schemeClr w14:val="tx1"/>
                  </w14:solidFill>
                </w14:textFill>
              </w:rPr>
            </w:pPr>
          </w:p>
        </w:tc>
        <w:tc>
          <w:tcPr>
            <w:tcW w:w="1221" w:type="dxa"/>
            <w:vMerge w:val="continue"/>
            <w:vAlign w:val="center"/>
          </w:tcPr>
          <w:p w14:paraId="1DACAC54">
            <w:pPr>
              <w:spacing w:line="240" w:lineRule="auto"/>
              <w:ind w:firstLine="0" w:firstLineChars="0"/>
              <w:jc w:val="center"/>
              <w:rPr>
                <w:color w:val="000000" w:themeColor="text1"/>
                <w:sz w:val="21"/>
                <w14:textFill>
                  <w14:solidFill>
                    <w14:schemeClr w14:val="tx1"/>
                  </w14:solidFill>
                </w14:textFill>
              </w:rPr>
            </w:pPr>
          </w:p>
        </w:tc>
      </w:tr>
      <w:tr w14:paraId="7F52295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48" w:type="dxa"/>
            <w:vMerge w:val="continue"/>
            <w:vAlign w:val="center"/>
          </w:tcPr>
          <w:p w14:paraId="51B4791B">
            <w:pPr>
              <w:spacing w:line="240" w:lineRule="auto"/>
              <w:ind w:firstLine="0" w:firstLineChars="0"/>
              <w:jc w:val="center"/>
              <w:rPr>
                <w:color w:val="000000" w:themeColor="text1"/>
                <w:sz w:val="21"/>
                <w14:textFill>
                  <w14:solidFill>
                    <w14:schemeClr w14:val="tx1"/>
                  </w14:solidFill>
                </w14:textFill>
              </w:rPr>
            </w:pPr>
          </w:p>
        </w:tc>
        <w:tc>
          <w:tcPr>
            <w:tcW w:w="1010" w:type="dxa"/>
            <w:vMerge w:val="continue"/>
            <w:vAlign w:val="center"/>
          </w:tcPr>
          <w:p w14:paraId="0EF9526C">
            <w:pPr>
              <w:spacing w:line="240" w:lineRule="auto"/>
              <w:ind w:firstLine="0" w:firstLineChars="0"/>
              <w:jc w:val="center"/>
              <w:rPr>
                <w:color w:val="000000" w:themeColor="text1"/>
                <w:sz w:val="21"/>
                <w14:textFill>
                  <w14:solidFill>
                    <w14:schemeClr w14:val="tx1"/>
                  </w14:solidFill>
                </w14:textFill>
              </w:rPr>
            </w:pPr>
          </w:p>
        </w:tc>
        <w:tc>
          <w:tcPr>
            <w:tcW w:w="1847" w:type="dxa"/>
            <w:vAlign w:val="center"/>
          </w:tcPr>
          <w:p w14:paraId="6D339D9E">
            <w:pPr>
              <w:spacing w:line="240" w:lineRule="auto"/>
              <w:ind w:firstLine="0" w:firstLineChars="0"/>
              <w:jc w:val="center"/>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曼足类幼体</w:t>
            </w:r>
          </w:p>
        </w:tc>
        <w:tc>
          <w:tcPr>
            <w:tcW w:w="2438" w:type="dxa"/>
            <w:vAlign w:val="center"/>
          </w:tcPr>
          <w:p w14:paraId="2D0004B8">
            <w:pPr>
              <w:spacing w:line="240" w:lineRule="auto"/>
              <w:ind w:firstLine="0" w:firstLineChars="0"/>
              <w:jc w:val="center"/>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Balanus larva</w:t>
            </w:r>
          </w:p>
        </w:tc>
        <w:tc>
          <w:tcPr>
            <w:tcW w:w="1158" w:type="dxa"/>
            <w:vAlign w:val="center"/>
          </w:tcPr>
          <w:p w14:paraId="31D7965C">
            <w:pPr>
              <w:spacing w:line="240" w:lineRule="auto"/>
              <w:ind w:firstLine="0" w:firstLineChars="0"/>
              <w:jc w:val="center"/>
              <w:rPr>
                <w:color w:val="000000" w:themeColor="text1"/>
                <w:sz w:val="21"/>
                <w14:textFill>
                  <w14:solidFill>
                    <w14:schemeClr w14:val="tx1"/>
                  </w14:solidFill>
                </w14:textFill>
              </w:rPr>
            </w:pPr>
          </w:p>
        </w:tc>
        <w:tc>
          <w:tcPr>
            <w:tcW w:w="1221" w:type="dxa"/>
            <w:vMerge w:val="continue"/>
            <w:vAlign w:val="center"/>
          </w:tcPr>
          <w:p w14:paraId="35CD4790">
            <w:pPr>
              <w:spacing w:line="240" w:lineRule="auto"/>
              <w:ind w:firstLine="0" w:firstLineChars="0"/>
              <w:jc w:val="center"/>
              <w:rPr>
                <w:color w:val="000000" w:themeColor="text1"/>
                <w:sz w:val="21"/>
                <w14:textFill>
                  <w14:solidFill>
                    <w14:schemeClr w14:val="tx1"/>
                  </w14:solidFill>
                </w14:textFill>
              </w:rPr>
            </w:pPr>
          </w:p>
        </w:tc>
      </w:tr>
      <w:tr w14:paraId="550C661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48" w:type="dxa"/>
            <w:vMerge w:val="restart"/>
            <w:vAlign w:val="center"/>
          </w:tcPr>
          <w:p w14:paraId="3E185915">
            <w:pPr>
              <w:spacing w:line="240" w:lineRule="auto"/>
              <w:ind w:firstLine="0" w:firstLineChars="0"/>
              <w:jc w:val="center"/>
              <w:rPr>
                <w:color w:val="000000" w:themeColor="text1"/>
                <w:sz w:val="21"/>
                <w14:textFill>
                  <w14:solidFill>
                    <w14:schemeClr w14:val="tx1"/>
                  </w14:solidFill>
                </w14:textFill>
              </w:rPr>
            </w:pPr>
            <w:r>
              <w:rPr>
                <w:color w:val="000000" w:themeColor="text1"/>
                <w:kern w:val="0"/>
                <w:sz w:val="21"/>
                <w14:textFill>
                  <w14:solidFill>
                    <w14:schemeClr w14:val="tx1"/>
                  </w14:solidFill>
                </w14:textFill>
              </w:rPr>
              <w:t>S</w:t>
            </w:r>
            <w:r>
              <w:rPr>
                <w:rFonts w:hint="eastAsia"/>
                <w:color w:val="000000" w:themeColor="text1"/>
                <w:kern w:val="0"/>
                <w:sz w:val="21"/>
                <w14:textFill>
                  <w14:solidFill>
                    <w14:schemeClr w14:val="tx1"/>
                  </w14:solidFill>
                </w14:textFill>
              </w:rPr>
              <w:t>5</w:t>
            </w:r>
          </w:p>
        </w:tc>
        <w:tc>
          <w:tcPr>
            <w:tcW w:w="1010" w:type="dxa"/>
            <w:vMerge w:val="restart"/>
            <w:vAlign w:val="center"/>
          </w:tcPr>
          <w:p w14:paraId="4E1C2AB3">
            <w:pPr>
              <w:spacing w:line="240" w:lineRule="auto"/>
              <w:ind w:firstLine="0" w:firstLineChars="0"/>
              <w:jc w:val="center"/>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桡足类</w:t>
            </w:r>
          </w:p>
        </w:tc>
        <w:tc>
          <w:tcPr>
            <w:tcW w:w="1847" w:type="dxa"/>
            <w:vAlign w:val="center"/>
          </w:tcPr>
          <w:p w14:paraId="221321ED">
            <w:pPr>
              <w:spacing w:line="240" w:lineRule="auto"/>
              <w:ind w:firstLine="0" w:firstLineChars="0"/>
              <w:jc w:val="center"/>
              <w:rPr>
                <w:color w:val="000000" w:themeColor="text1"/>
                <w:kern w:val="0"/>
                <w:sz w:val="21"/>
                <w14:textFill>
                  <w14:solidFill>
                    <w14:schemeClr w14:val="tx1"/>
                  </w14:solidFill>
                </w14:textFill>
              </w:rPr>
            </w:pPr>
            <w:r>
              <w:rPr>
                <w:rFonts w:hint="eastAsia"/>
                <w:color w:val="000000" w:themeColor="text1"/>
                <w:sz w:val="21"/>
                <w14:textFill>
                  <w14:solidFill>
                    <w14:schemeClr w14:val="tx1"/>
                  </w14:solidFill>
                </w14:textFill>
              </w:rPr>
              <w:t>细长腹剑水蚤</w:t>
            </w:r>
          </w:p>
        </w:tc>
        <w:tc>
          <w:tcPr>
            <w:tcW w:w="2438" w:type="dxa"/>
            <w:vAlign w:val="center"/>
          </w:tcPr>
          <w:p w14:paraId="2DF7677A">
            <w:pPr>
              <w:spacing w:line="240" w:lineRule="auto"/>
              <w:ind w:firstLine="0" w:firstLineChars="0"/>
              <w:jc w:val="center"/>
              <w:rPr>
                <w:i/>
                <w:iCs/>
                <w:color w:val="000000" w:themeColor="text1"/>
                <w:sz w:val="21"/>
                <w14:textFill>
                  <w14:solidFill>
                    <w14:schemeClr w14:val="tx1"/>
                  </w14:solidFill>
                </w14:textFill>
              </w:rPr>
            </w:pPr>
            <w:r>
              <w:rPr>
                <w:rFonts w:hint="eastAsia"/>
                <w:i/>
                <w:iCs/>
                <w:color w:val="000000" w:themeColor="text1"/>
                <w:sz w:val="21"/>
                <w14:textFill>
                  <w14:solidFill>
                    <w14:schemeClr w14:val="tx1"/>
                  </w14:solidFill>
                </w14:textFill>
              </w:rPr>
              <w:t>Oithona attenuata</w:t>
            </w:r>
          </w:p>
        </w:tc>
        <w:tc>
          <w:tcPr>
            <w:tcW w:w="1158" w:type="dxa"/>
            <w:vAlign w:val="center"/>
          </w:tcPr>
          <w:p w14:paraId="71BB9506">
            <w:pPr>
              <w:spacing w:line="240" w:lineRule="auto"/>
              <w:ind w:firstLine="0" w:firstLineChars="0"/>
              <w:jc w:val="center"/>
              <w:rPr>
                <w:color w:val="000000" w:themeColor="text1"/>
                <w:kern w:val="0"/>
                <w:sz w:val="21"/>
                <w14:textFill>
                  <w14:solidFill>
                    <w14:schemeClr w14:val="tx1"/>
                  </w14:solidFill>
                </w14:textFill>
              </w:rPr>
            </w:pPr>
          </w:p>
        </w:tc>
        <w:tc>
          <w:tcPr>
            <w:tcW w:w="1221" w:type="dxa"/>
            <w:vMerge w:val="restart"/>
            <w:vAlign w:val="center"/>
          </w:tcPr>
          <w:p w14:paraId="6617F2DA">
            <w:pPr>
              <w:spacing w:line="240" w:lineRule="auto"/>
              <w:ind w:firstLine="0" w:firstLineChars="0"/>
              <w:jc w:val="center"/>
              <w:rPr>
                <w:color w:val="000000" w:themeColor="text1"/>
                <w:kern w:val="0"/>
                <w:sz w:val="21"/>
                <w14:textFill>
                  <w14:solidFill>
                    <w14:schemeClr w14:val="tx1"/>
                  </w14:solidFill>
                </w14:textFill>
              </w:rPr>
            </w:pPr>
            <w:r>
              <w:rPr>
                <w:rFonts w:hint="eastAsia"/>
                <w:color w:val="000000" w:themeColor="text1"/>
                <w:kern w:val="0"/>
                <w:sz w:val="21"/>
                <w14:textFill>
                  <w14:solidFill>
                    <w14:schemeClr w14:val="tx1"/>
                  </w14:solidFill>
                </w14:textFill>
              </w:rPr>
              <w:t>115</w:t>
            </w:r>
          </w:p>
        </w:tc>
      </w:tr>
      <w:tr w14:paraId="3E88C5A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48" w:type="dxa"/>
            <w:vMerge w:val="continue"/>
            <w:vAlign w:val="center"/>
          </w:tcPr>
          <w:p w14:paraId="2BE27FCA">
            <w:pPr>
              <w:spacing w:line="240" w:lineRule="auto"/>
              <w:ind w:firstLine="0" w:firstLineChars="0"/>
              <w:jc w:val="center"/>
              <w:rPr>
                <w:color w:val="000000" w:themeColor="text1"/>
                <w:sz w:val="21"/>
                <w14:textFill>
                  <w14:solidFill>
                    <w14:schemeClr w14:val="tx1"/>
                  </w14:solidFill>
                </w14:textFill>
              </w:rPr>
            </w:pPr>
          </w:p>
        </w:tc>
        <w:tc>
          <w:tcPr>
            <w:tcW w:w="1010" w:type="dxa"/>
            <w:vMerge w:val="continue"/>
            <w:vAlign w:val="center"/>
          </w:tcPr>
          <w:p w14:paraId="23DC055B">
            <w:pPr>
              <w:spacing w:line="240" w:lineRule="auto"/>
              <w:ind w:firstLine="0" w:firstLineChars="0"/>
              <w:jc w:val="center"/>
              <w:rPr>
                <w:color w:val="000000" w:themeColor="text1"/>
                <w:sz w:val="21"/>
                <w14:textFill>
                  <w14:solidFill>
                    <w14:schemeClr w14:val="tx1"/>
                  </w14:solidFill>
                </w14:textFill>
              </w:rPr>
            </w:pPr>
          </w:p>
        </w:tc>
        <w:tc>
          <w:tcPr>
            <w:tcW w:w="1847" w:type="dxa"/>
            <w:vAlign w:val="center"/>
          </w:tcPr>
          <w:p w14:paraId="5B73E653">
            <w:pPr>
              <w:spacing w:line="240" w:lineRule="auto"/>
              <w:ind w:firstLine="0" w:firstLineChars="0"/>
              <w:jc w:val="center"/>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强额孔雀水蚤</w:t>
            </w:r>
          </w:p>
        </w:tc>
        <w:tc>
          <w:tcPr>
            <w:tcW w:w="2438" w:type="dxa"/>
            <w:vAlign w:val="center"/>
          </w:tcPr>
          <w:p w14:paraId="15571C3F">
            <w:pPr>
              <w:spacing w:line="240" w:lineRule="auto"/>
              <w:ind w:firstLine="0" w:firstLineChars="0"/>
              <w:jc w:val="center"/>
              <w:rPr>
                <w:i/>
                <w:iCs/>
                <w:color w:val="000000" w:themeColor="text1"/>
                <w:sz w:val="21"/>
                <w14:textFill>
                  <w14:solidFill>
                    <w14:schemeClr w14:val="tx1"/>
                  </w14:solidFill>
                </w14:textFill>
              </w:rPr>
            </w:pPr>
            <w:r>
              <w:rPr>
                <w:rFonts w:hint="eastAsia"/>
                <w:i/>
                <w:iCs/>
                <w:color w:val="000000" w:themeColor="text1"/>
                <w:sz w:val="21"/>
                <w14:textFill>
                  <w14:solidFill>
                    <w14:schemeClr w14:val="tx1"/>
                  </w14:solidFill>
                </w14:textFill>
              </w:rPr>
              <w:t>Pavocalanus crassirostris</w:t>
            </w:r>
          </w:p>
        </w:tc>
        <w:tc>
          <w:tcPr>
            <w:tcW w:w="1158" w:type="dxa"/>
            <w:vAlign w:val="center"/>
          </w:tcPr>
          <w:p w14:paraId="06C2FC49">
            <w:pPr>
              <w:spacing w:line="240" w:lineRule="auto"/>
              <w:ind w:firstLine="0" w:firstLineChars="0"/>
              <w:jc w:val="center"/>
              <w:rPr>
                <w:color w:val="000000" w:themeColor="text1"/>
                <w:sz w:val="21"/>
                <w14:textFill>
                  <w14:solidFill>
                    <w14:schemeClr w14:val="tx1"/>
                  </w14:solidFill>
                </w14:textFill>
              </w:rPr>
            </w:pPr>
          </w:p>
        </w:tc>
        <w:tc>
          <w:tcPr>
            <w:tcW w:w="1221" w:type="dxa"/>
            <w:vMerge w:val="continue"/>
            <w:vAlign w:val="center"/>
          </w:tcPr>
          <w:p w14:paraId="3E62E0A4">
            <w:pPr>
              <w:spacing w:line="240" w:lineRule="auto"/>
              <w:ind w:firstLine="0" w:firstLineChars="0"/>
              <w:jc w:val="center"/>
              <w:rPr>
                <w:color w:val="000000" w:themeColor="text1"/>
                <w:sz w:val="21"/>
                <w14:textFill>
                  <w14:solidFill>
                    <w14:schemeClr w14:val="tx1"/>
                  </w14:solidFill>
                </w14:textFill>
              </w:rPr>
            </w:pPr>
          </w:p>
        </w:tc>
      </w:tr>
      <w:tr w14:paraId="24E1224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48" w:type="dxa"/>
            <w:vMerge w:val="continue"/>
            <w:vAlign w:val="center"/>
          </w:tcPr>
          <w:p w14:paraId="54FBD252">
            <w:pPr>
              <w:spacing w:line="240" w:lineRule="auto"/>
              <w:ind w:firstLine="0" w:firstLineChars="0"/>
              <w:jc w:val="center"/>
              <w:rPr>
                <w:color w:val="000000" w:themeColor="text1"/>
                <w:sz w:val="21"/>
                <w14:textFill>
                  <w14:solidFill>
                    <w14:schemeClr w14:val="tx1"/>
                  </w14:solidFill>
                </w14:textFill>
              </w:rPr>
            </w:pPr>
          </w:p>
        </w:tc>
        <w:tc>
          <w:tcPr>
            <w:tcW w:w="1010" w:type="dxa"/>
            <w:vMerge w:val="continue"/>
            <w:vAlign w:val="center"/>
          </w:tcPr>
          <w:p w14:paraId="0974E4A9">
            <w:pPr>
              <w:spacing w:line="240" w:lineRule="auto"/>
              <w:ind w:firstLine="0" w:firstLineChars="0"/>
              <w:jc w:val="center"/>
              <w:rPr>
                <w:color w:val="000000" w:themeColor="text1"/>
                <w:sz w:val="21"/>
                <w14:textFill>
                  <w14:solidFill>
                    <w14:schemeClr w14:val="tx1"/>
                  </w14:solidFill>
                </w14:textFill>
              </w:rPr>
            </w:pPr>
          </w:p>
        </w:tc>
        <w:tc>
          <w:tcPr>
            <w:tcW w:w="1847" w:type="dxa"/>
            <w:vAlign w:val="center"/>
          </w:tcPr>
          <w:p w14:paraId="68DE77EB">
            <w:pPr>
              <w:spacing w:line="240" w:lineRule="auto"/>
              <w:ind w:firstLine="0" w:firstLineChars="0"/>
              <w:jc w:val="center"/>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小长腹剑水蚤</w:t>
            </w:r>
          </w:p>
        </w:tc>
        <w:tc>
          <w:tcPr>
            <w:tcW w:w="2438" w:type="dxa"/>
            <w:vAlign w:val="center"/>
          </w:tcPr>
          <w:p w14:paraId="20625D30">
            <w:pPr>
              <w:spacing w:line="240" w:lineRule="auto"/>
              <w:ind w:firstLine="0" w:firstLineChars="0"/>
              <w:jc w:val="center"/>
              <w:rPr>
                <w:i/>
                <w:iCs/>
                <w:color w:val="000000" w:themeColor="text1"/>
                <w:sz w:val="21"/>
                <w14:textFill>
                  <w14:solidFill>
                    <w14:schemeClr w14:val="tx1"/>
                  </w14:solidFill>
                </w14:textFill>
              </w:rPr>
            </w:pPr>
            <w:r>
              <w:rPr>
                <w:rFonts w:hint="eastAsia"/>
                <w:i/>
                <w:iCs/>
                <w:color w:val="000000" w:themeColor="text1"/>
                <w:sz w:val="21"/>
                <w14:textFill>
                  <w14:solidFill>
                    <w14:schemeClr w14:val="tx1"/>
                  </w14:solidFill>
                </w14:textFill>
              </w:rPr>
              <w:t>Oithona nana</w:t>
            </w:r>
          </w:p>
        </w:tc>
        <w:tc>
          <w:tcPr>
            <w:tcW w:w="1158" w:type="dxa"/>
            <w:vAlign w:val="center"/>
          </w:tcPr>
          <w:p w14:paraId="14E4F050">
            <w:pPr>
              <w:spacing w:line="240" w:lineRule="auto"/>
              <w:ind w:firstLine="0" w:firstLineChars="0"/>
              <w:jc w:val="center"/>
              <w:rPr>
                <w:color w:val="000000" w:themeColor="text1"/>
                <w:sz w:val="21"/>
                <w14:textFill>
                  <w14:solidFill>
                    <w14:schemeClr w14:val="tx1"/>
                  </w14:solidFill>
                </w14:textFill>
              </w:rPr>
            </w:pPr>
          </w:p>
        </w:tc>
        <w:tc>
          <w:tcPr>
            <w:tcW w:w="1221" w:type="dxa"/>
            <w:vMerge w:val="continue"/>
            <w:vAlign w:val="center"/>
          </w:tcPr>
          <w:p w14:paraId="5591879F">
            <w:pPr>
              <w:spacing w:line="240" w:lineRule="auto"/>
              <w:ind w:firstLine="0" w:firstLineChars="0"/>
              <w:jc w:val="center"/>
              <w:rPr>
                <w:color w:val="000000" w:themeColor="text1"/>
                <w:sz w:val="21"/>
                <w14:textFill>
                  <w14:solidFill>
                    <w14:schemeClr w14:val="tx1"/>
                  </w14:solidFill>
                </w14:textFill>
              </w:rPr>
            </w:pPr>
          </w:p>
        </w:tc>
      </w:tr>
      <w:tr w14:paraId="51F07B3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48" w:type="dxa"/>
            <w:vMerge w:val="continue"/>
            <w:vAlign w:val="center"/>
          </w:tcPr>
          <w:p w14:paraId="4831DF26">
            <w:pPr>
              <w:spacing w:line="240" w:lineRule="auto"/>
              <w:ind w:firstLine="0" w:firstLineChars="0"/>
              <w:jc w:val="center"/>
              <w:rPr>
                <w:color w:val="000000" w:themeColor="text1"/>
                <w:sz w:val="21"/>
                <w14:textFill>
                  <w14:solidFill>
                    <w14:schemeClr w14:val="tx1"/>
                  </w14:solidFill>
                </w14:textFill>
              </w:rPr>
            </w:pPr>
          </w:p>
        </w:tc>
        <w:tc>
          <w:tcPr>
            <w:tcW w:w="1010" w:type="dxa"/>
            <w:vMerge w:val="continue"/>
            <w:vAlign w:val="center"/>
          </w:tcPr>
          <w:p w14:paraId="200377FC">
            <w:pPr>
              <w:spacing w:line="240" w:lineRule="auto"/>
              <w:ind w:firstLine="0" w:firstLineChars="0"/>
              <w:jc w:val="center"/>
              <w:rPr>
                <w:color w:val="000000" w:themeColor="text1"/>
                <w:sz w:val="21"/>
                <w14:textFill>
                  <w14:solidFill>
                    <w14:schemeClr w14:val="tx1"/>
                  </w14:solidFill>
                </w14:textFill>
              </w:rPr>
            </w:pPr>
          </w:p>
        </w:tc>
        <w:tc>
          <w:tcPr>
            <w:tcW w:w="1847" w:type="dxa"/>
            <w:vAlign w:val="center"/>
          </w:tcPr>
          <w:p w14:paraId="5D2FCC49">
            <w:pPr>
              <w:spacing w:line="240" w:lineRule="auto"/>
              <w:ind w:firstLine="0" w:firstLineChars="0"/>
              <w:jc w:val="center"/>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小拟哲水蚤</w:t>
            </w:r>
          </w:p>
        </w:tc>
        <w:tc>
          <w:tcPr>
            <w:tcW w:w="2438" w:type="dxa"/>
            <w:vAlign w:val="center"/>
          </w:tcPr>
          <w:p w14:paraId="7473674E">
            <w:pPr>
              <w:spacing w:line="240" w:lineRule="auto"/>
              <w:ind w:firstLine="0" w:firstLineChars="0"/>
              <w:jc w:val="center"/>
              <w:rPr>
                <w:i/>
                <w:iCs/>
                <w:color w:val="000000" w:themeColor="text1"/>
                <w:sz w:val="21"/>
                <w14:textFill>
                  <w14:solidFill>
                    <w14:schemeClr w14:val="tx1"/>
                  </w14:solidFill>
                </w14:textFill>
              </w:rPr>
            </w:pPr>
            <w:r>
              <w:rPr>
                <w:rFonts w:hint="eastAsia"/>
                <w:i/>
                <w:iCs/>
                <w:color w:val="000000" w:themeColor="text1"/>
                <w:sz w:val="21"/>
                <w14:textFill>
                  <w14:solidFill>
                    <w14:schemeClr w14:val="tx1"/>
                  </w14:solidFill>
                </w14:textFill>
              </w:rPr>
              <w:t>Paracalanus parvus</w:t>
            </w:r>
          </w:p>
        </w:tc>
        <w:tc>
          <w:tcPr>
            <w:tcW w:w="1158" w:type="dxa"/>
            <w:vAlign w:val="center"/>
          </w:tcPr>
          <w:p w14:paraId="61E48618">
            <w:pPr>
              <w:spacing w:line="240" w:lineRule="auto"/>
              <w:ind w:firstLine="0" w:firstLineChars="0"/>
              <w:jc w:val="center"/>
              <w:rPr>
                <w:color w:val="000000" w:themeColor="text1"/>
                <w:sz w:val="21"/>
                <w14:textFill>
                  <w14:solidFill>
                    <w14:schemeClr w14:val="tx1"/>
                  </w14:solidFill>
                </w14:textFill>
              </w:rPr>
            </w:pPr>
          </w:p>
        </w:tc>
        <w:tc>
          <w:tcPr>
            <w:tcW w:w="1221" w:type="dxa"/>
            <w:vMerge w:val="continue"/>
            <w:vAlign w:val="center"/>
          </w:tcPr>
          <w:p w14:paraId="11800D88">
            <w:pPr>
              <w:spacing w:line="240" w:lineRule="auto"/>
              <w:ind w:firstLine="0" w:firstLineChars="0"/>
              <w:jc w:val="center"/>
              <w:rPr>
                <w:color w:val="000000" w:themeColor="text1"/>
                <w:sz w:val="21"/>
                <w14:textFill>
                  <w14:solidFill>
                    <w14:schemeClr w14:val="tx1"/>
                  </w14:solidFill>
                </w14:textFill>
              </w:rPr>
            </w:pPr>
          </w:p>
        </w:tc>
      </w:tr>
      <w:tr w14:paraId="592E583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48" w:type="dxa"/>
            <w:vMerge w:val="continue"/>
            <w:vAlign w:val="center"/>
          </w:tcPr>
          <w:p w14:paraId="49F632F6">
            <w:pPr>
              <w:spacing w:line="240" w:lineRule="auto"/>
              <w:ind w:firstLine="0" w:firstLineChars="0"/>
              <w:jc w:val="center"/>
              <w:rPr>
                <w:color w:val="000000" w:themeColor="text1"/>
                <w:sz w:val="21"/>
                <w14:textFill>
                  <w14:solidFill>
                    <w14:schemeClr w14:val="tx1"/>
                  </w14:solidFill>
                </w14:textFill>
              </w:rPr>
            </w:pPr>
          </w:p>
        </w:tc>
        <w:tc>
          <w:tcPr>
            <w:tcW w:w="1010" w:type="dxa"/>
            <w:vAlign w:val="center"/>
          </w:tcPr>
          <w:p w14:paraId="33D6C465">
            <w:pPr>
              <w:spacing w:line="240" w:lineRule="auto"/>
              <w:ind w:firstLine="0" w:firstLineChars="0"/>
              <w:jc w:val="center"/>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多毛类</w:t>
            </w:r>
          </w:p>
        </w:tc>
        <w:tc>
          <w:tcPr>
            <w:tcW w:w="1847" w:type="dxa"/>
            <w:vAlign w:val="center"/>
          </w:tcPr>
          <w:p w14:paraId="4F7FD78A">
            <w:pPr>
              <w:spacing w:line="240" w:lineRule="auto"/>
              <w:ind w:firstLine="0" w:firstLineChars="0"/>
              <w:jc w:val="center"/>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眼蚕</w:t>
            </w:r>
          </w:p>
        </w:tc>
        <w:tc>
          <w:tcPr>
            <w:tcW w:w="2438" w:type="dxa"/>
            <w:vAlign w:val="center"/>
          </w:tcPr>
          <w:p w14:paraId="1FB451F4">
            <w:pPr>
              <w:spacing w:line="240" w:lineRule="auto"/>
              <w:ind w:firstLine="0" w:firstLineChars="0"/>
              <w:jc w:val="center"/>
              <w:rPr>
                <w:i/>
                <w:iCs/>
                <w:color w:val="000000" w:themeColor="text1"/>
                <w:sz w:val="21"/>
                <w14:textFill>
                  <w14:solidFill>
                    <w14:schemeClr w14:val="tx1"/>
                  </w14:solidFill>
                </w14:textFill>
              </w:rPr>
            </w:pPr>
            <w:r>
              <w:rPr>
                <w:rFonts w:hint="eastAsia"/>
                <w:i/>
                <w:iCs/>
                <w:color w:val="000000" w:themeColor="text1"/>
                <w:sz w:val="21"/>
                <w14:textFill>
                  <w14:solidFill>
                    <w14:schemeClr w14:val="tx1"/>
                  </w14:solidFill>
                </w14:textFill>
              </w:rPr>
              <w:t>Alciopina parasitica</w:t>
            </w:r>
          </w:p>
        </w:tc>
        <w:tc>
          <w:tcPr>
            <w:tcW w:w="1158" w:type="dxa"/>
            <w:vAlign w:val="center"/>
          </w:tcPr>
          <w:p w14:paraId="3633CAC7">
            <w:pPr>
              <w:spacing w:line="240" w:lineRule="auto"/>
              <w:ind w:firstLine="0" w:firstLineChars="0"/>
              <w:jc w:val="center"/>
              <w:rPr>
                <w:color w:val="000000" w:themeColor="text1"/>
                <w:sz w:val="21"/>
                <w14:textFill>
                  <w14:solidFill>
                    <w14:schemeClr w14:val="tx1"/>
                  </w14:solidFill>
                </w14:textFill>
              </w:rPr>
            </w:pPr>
          </w:p>
        </w:tc>
        <w:tc>
          <w:tcPr>
            <w:tcW w:w="1221" w:type="dxa"/>
            <w:vMerge w:val="continue"/>
            <w:vAlign w:val="center"/>
          </w:tcPr>
          <w:p w14:paraId="029CB734">
            <w:pPr>
              <w:spacing w:line="240" w:lineRule="auto"/>
              <w:ind w:firstLine="0" w:firstLineChars="0"/>
              <w:jc w:val="center"/>
              <w:rPr>
                <w:color w:val="000000" w:themeColor="text1"/>
                <w:sz w:val="21"/>
                <w14:textFill>
                  <w14:solidFill>
                    <w14:schemeClr w14:val="tx1"/>
                  </w14:solidFill>
                </w14:textFill>
              </w:rPr>
            </w:pPr>
          </w:p>
        </w:tc>
      </w:tr>
      <w:tr w14:paraId="4EC1AE3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48" w:type="dxa"/>
            <w:vMerge w:val="continue"/>
            <w:vAlign w:val="center"/>
          </w:tcPr>
          <w:p w14:paraId="759E5DF4">
            <w:pPr>
              <w:spacing w:line="240" w:lineRule="auto"/>
              <w:ind w:firstLine="0" w:firstLineChars="0"/>
              <w:jc w:val="center"/>
              <w:rPr>
                <w:color w:val="000000" w:themeColor="text1"/>
                <w:sz w:val="21"/>
                <w14:textFill>
                  <w14:solidFill>
                    <w14:schemeClr w14:val="tx1"/>
                  </w14:solidFill>
                </w14:textFill>
              </w:rPr>
            </w:pPr>
          </w:p>
        </w:tc>
        <w:tc>
          <w:tcPr>
            <w:tcW w:w="1010" w:type="dxa"/>
            <w:vAlign w:val="center"/>
          </w:tcPr>
          <w:p w14:paraId="032A1F19">
            <w:pPr>
              <w:spacing w:line="240" w:lineRule="auto"/>
              <w:ind w:firstLine="0" w:firstLineChars="0"/>
              <w:jc w:val="center"/>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浮游幼虫</w:t>
            </w:r>
          </w:p>
        </w:tc>
        <w:tc>
          <w:tcPr>
            <w:tcW w:w="1847" w:type="dxa"/>
            <w:vAlign w:val="center"/>
          </w:tcPr>
          <w:p w14:paraId="607C77FF">
            <w:pPr>
              <w:spacing w:line="240" w:lineRule="auto"/>
              <w:ind w:firstLine="0" w:firstLineChars="0"/>
              <w:jc w:val="center"/>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短尾类溞状幼体</w:t>
            </w:r>
          </w:p>
        </w:tc>
        <w:tc>
          <w:tcPr>
            <w:tcW w:w="2438" w:type="dxa"/>
            <w:vAlign w:val="center"/>
          </w:tcPr>
          <w:p w14:paraId="1ACFDD87">
            <w:pPr>
              <w:spacing w:line="240" w:lineRule="auto"/>
              <w:ind w:firstLine="0" w:firstLineChars="0"/>
              <w:jc w:val="center"/>
              <w:rPr>
                <w:i/>
                <w:iCs/>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Brachyura zoea</w:t>
            </w:r>
          </w:p>
        </w:tc>
        <w:tc>
          <w:tcPr>
            <w:tcW w:w="1158" w:type="dxa"/>
            <w:vAlign w:val="center"/>
          </w:tcPr>
          <w:p w14:paraId="7D013EFF">
            <w:pPr>
              <w:spacing w:line="240" w:lineRule="auto"/>
              <w:ind w:firstLine="0" w:firstLineChars="0"/>
              <w:jc w:val="center"/>
              <w:rPr>
                <w:color w:val="000000" w:themeColor="text1"/>
                <w:sz w:val="21"/>
                <w14:textFill>
                  <w14:solidFill>
                    <w14:schemeClr w14:val="tx1"/>
                  </w14:solidFill>
                </w14:textFill>
              </w:rPr>
            </w:pPr>
          </w:p>
        </w:tc>
        <w:tc>
          <w:tcPr>
            <w:tcW w:w="1221" w:type="dxa"/>
            <w:vMerge w:val="continue"/>
            <w:vAlign w:val="center"/>
          </w:tcPr>
          <w:p w14:paraId="6FA8800E">
            <w:pPr>
              <w:spacing w:line="240" w:lineRule="auto"/>
              <w:ind w:firstLine="0" w:firstLineChars="0"/>
              <w:jc w:val="center"/>
              <w:rPr>
                <w:color w:val="000000" w:themeColor="text1"/>
                <w:sz w:val="21"/>
                <w14:textFill>
                  <w14:solidFill>
                    <w14:schemeClr w14:val="tx1"/>
                  </w14:solidFill>
                </w14:textFill>
              </w:rPr>
            </w:pPr>
          </w:p>
        </w:tc>
      </w:tr>
    </w:tbl>
    <w:p w14:paraId="1A995E6D">
      <w:pPr>
        <w:ind w:firstLine="480"/>
        <w:rPr>
          <w:bCs/>
          <w:color w:val="000000" w:themeColor="text1"/>
          <w:lang w:bidi="zh-CN"/>
          <w14:textFill>
            <w14:solidFill>
              <w14:schemeClr w14:val="tx1"/>
            </w14:solidFill>
          </w14:textFill>
        </w:rPr>
      </w:pPr>
      <w:r>
        <w:rPr>
          <w:bCs/>
          <w:color w:val="000000" w:themeColor="text1"/>
          <w:lang w:bidi="zh-CN"/>
          <w14:textFill>
            <w14:solidFill>
              <w14:schemeClr w14:val="tx1"/>
            </w14:solidFill>
          </w14:textFill>
        </w:rPr>
        <w:t xml:space="preserve">4）大型底栖动物 </w:t>
      </w:r>
    </w:p>
    <w:p w14:paraId="706EC0D1">
      <w:pPr>
        <w:pStyle w:val="41"/>
        <w:ind w:firstLine="24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本次调查共鉴定出底栖生物4大类群（环节动物多毛类、软体动物、脊索动物、棘皮动物），其中，多毛类种类数最多（8种/类）。</w:t>
      </w:r>
    </w:p>
    <w:p w14:paraId="66B513DA">
      <w:pPr>
        <w:pStyle w:val="41"/>
        <w:ind w:firstLine="24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调查海域5个测站中，S5站采集到的底栖生物种类数最多，为4种；S1、S2站次之，均采集到3种；S3、S4站最少，均仅采集到1种。</w:t>
      </w:r>
    </w:p>
    <w:p w14:paraId="0B322C2A">
      <w:pPr>
        <w:pStyle w:val="41"/>
        <w:ind w:firstLine="24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调查海域底栖生物的总密度变化范围为 3.0 ~ 43.0 个/m²，平均密度为 19.6 个/m²。密度最高站位为S4站，为 43.0 个/m²；密度最低的站位为S3站，为 3.0 个/m²。</w:t>
      </w:r>
    </w:p>
    <w:p w14:paraId="06E58CFE">
      <w:pPr>
        <w:pStyle w:val="41"/>
        <w:ind w:firstLine="24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调查海域底栖生物的总生物量变化范围为 0.27 ~ 2.80 g/m²，平均生物量为 1.24 g/m²。生物量最高的站位为S1站，为 2.80 g/m²；生物量最低的站位：S3站，为 0.27 g/m²。</w:t>
      </w:r>
    </w:p>
    <w:p w14:paraId="1D4DFB24">
      <w:pPr>
        <w:pStyle w:val="7"/>
        <w:rPr>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各站底栖动物密度和生物量</w:t>
      </w:r>
    </w:p>
    <w:tbl>
      <w:tblPr>
        <w:tblStyle w:val="43"/>
        <w:tblW w:w="5000" w:type="pct"/>
        <w:tblInd w:w="113"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698"/>
        <w:gridCol w:w="1154"/>
        <w:gridCol w:w="1613"/>
        <w:gridCol w:w="2329"/>
        <w:gridCol w:w="1312"/>
        <w:gridCol w:w="1416"/>
      </w:tblGrid>
      <w:tr w14:paraId="7AF2401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98" w:type="dxa"/>
            <w:noWrap/>
            <w:vAlign w:val="center"/>
          </w:tcPr>
          <w:p w14:paraId="355FE9C8">
            <w:pPr>
              <w:spacing w:line="240" w:lineRule="auto"/>
              <w:ind w:firstLine="0" w:firstLineChars="0"/>
              <w:jc w:val="center"/>
              <w:rPr>
                <w:b/>
                <w:bCs/>
                <w:color w:val="000000" w:themeColor="text1"/>
                <w:kern w:val="0"/>
                <w:sz w:val="21"/>
                <w14:textFill>
                  <w14:solidFill>
                    <w14:schemeClr w14:val="tx1"/>
                  </w14:solidFill>
                </w14:textFill>
              </w:rPr>
            </w:pPr>
            <w:r>
              <w:rPr>
                <w:rFonts w:hint="eastAsia"/>
                <w:b/>
                <w:bCs/>
                <w:color w:val="000000" w:themeColor="text1"/>
                <w:sz w:val="21"/>
                <w14:textFill>
                  <w14:solidFill>
                    <w14:schemeClr w14:val="tx1"/>
                  </w14:solidFill>
                </w14:textFill>
              </w:rPr>
              <w:t>站号</w:t>
            </w:r>
          </w:p>
        </w:tc>
        <w:tc>
          <w:tcPr>
            <w:tcW w:w="1154" w:type="dxa"/>
            <w:vAlign w:val="center"/>
          </w:tcPr>
          <w:p w14:paraId="6780DE08">
            <w:pPr>
              <w:spacing w:line="240" w:lineRule="auto"/>
              <w:ind w:firstLine="0" w:firstLineChars="0"/>
              <w:jc w:val="center"/>
              <w:rPr>
                <w:b/>
                <w:bCs/>
                <w:color w:val="000000" w:themeColor="text1"/>
                <w:kern w:val="0"/>
                <w:sz w:val="21"/>
                <w14:textFill>
                  <w14:solidFill>
                    <w14:schemeClr w14:val="tx1"/>
                  </w14:solidFill>
                </w14:textFill>
              </w:rPr>
            </w:pPr>
            <w:r>
              <w:rPr>
                <w:rFonts w:hint="eastAsia"/>
                <w:b/>
                <w:bCs/>
                <w:color w:val="000000" w:themeColor="text1"/>
                <w:kern w:val="0"/>
                <w:sz w:val="21"/>
                <w14:textFill>
                  <w14:solidFill>
                    <w14:schemeClr w14:val="tx1"/>
                  </w14:solidFill>
                </w14:textFill>
              </w:rPr>
              <w:t>类群</w:t>
            </w:r>
          </w:p>
        </w:tc>
        <w:tc>
          <w:tcPr>
            <w:tcW w:w="1613" w:type="dxa"/>
            <w:noWrap/>
            <w:vAlign w:val="center"/>
          </w:tcPr>
          <w:p w14:paraId="22CD9445">
            <w:pPr>
              <w:spacing w:line="240" w:lineRule="auto"/>
              <w:ind w:firstLine="0" w:firstLineChars="0"/>
              <w:jc w:val="center"/>
              <w:rPr>
                <w:b/>
                <w:bCs/>
                <w:color w:val="000000" w:themeColor="text1"/>
                <w:kern w:val="0"/>
                <w:sz w:val="21"/>
                <w14:textFill>
                  <w14:solidFill>
                    <w14:schemeClr w14:val="tx1"/>
                  </w14:solidFill>
                </w14:textFill>
              </w:rPr>
            </w:pPr>
            <w:r>
              <w:rPr>
                <w:b/>
                <w:bCs/>
                <w:color w:val="000000" w:themeColor="text1"/>
                <w:kern w:val="0"/>
                <w:sz w:val="21"/>
                <w14:textFill>
                  <w14:solidFill>
                    <w14:schemeClr w14:val="tx1"/>
                  </w14:solidFill>
                </w14:textFill>
              </w:rPr>
              <w:t>种</w:t>
            </w:r>
            <w:r>
              <w:rPr>
                <w:rFonts w:hint="eastAsia"/>
                <w:b/>
                <w:bCs/>
                <w:color w:val="000000" w:themeColor="text1"/>
                <w:kern w:val="0"/>
                <w:sz w:val="21"/>
                <w14:textFill>
                  <w14:solidFill>
                    <w14:schemeClr w14:val="tx1"/>
                  </w14:solidFill>
                </w14:textFill>
              </w:rPr>
              <w:t>名</w:t>
            </w:r>
          </w:p>
        </w:tc>
        <w:tc>
          <w:tcPr>
            <w:tcW w:w="2329" w:type="dxa"/>
            <w:noWrap/>
            <w:vAlign w:val="center"/>
          </w:tcPr>
          <w:p w14:paraId="5D2E23B1">
            <w:pPr>
              <w:spacing w:line="240" w:lineRule="auto"/>
              <w:ind w:firstLine="0" w:firstLineChars="0"/>
              <w:jc w:val="center"/>
              <w:rPr>
                <w:b/>
                <w:bCs/>
                <w:color w:val="000000" w:themeColor="text1"/>
                <w:kern w:val="0"/>
                <w:sz w:val="21"/>
                <w14:textFill>
                  <w14:solidFill>
                    <w14:schemeClr w14:val="tx1"/>
                  </w14:solidFill>
                </w14:textFill>
              </w:rPr>
            </w:pPr>
            <w:r>
              <w:rPr>
                <w:b/>
                <w:bCs/>
                <w:color w:val="000000" w:themeColor="text1"/>
                <w:kern w:val="0"/>
                <w:sz w:val="21"/>
                <w14:textFill>
                  <w14:solidFill>
                    <w14:schemeClr w14:val="tx1"/>
                  </w14:solidFill>
                </w14:textFill>
              </w:rPr>
              <w:t>拉丁名</w:t>
            </w:r>
          </w:p>
        </w:tc>
        <w:tc>
          <w:tcPr>
            <w:tcW w:w="1312" w:type="dxa"/>
            <w:noWrap/>
            <w:vAlign w:val="center"/>
          </w:tcPr>
          <w:p w14:paraId="1DBE8624">
            <w:pPr>
              <w:spacing w:line="240" w:lineRule="auto"/>
              <w:ind w:firstLine="0" w:firstLineChars="0"/>
              <w:jc w:val="center"/>
              <w:rPr>
                <w:b/>
                <w:bCs/>
                <w:color w:val="000000" w:themeColor="text1"/>
                <w:kern w:val="0"/>
                <w:sz w:val="21"/>
                <w14:textFill>
                  <w14:solidFill>
                    <w14:schemeClr w14:val="tx1"/>
                  </w14:solidFill>
                </w14:textFill>
              </w:rPr>
            </w:pPr>
            <w:r>
              <w:rPr>
                <w:b/>
                <w:bCs/>
                <w:color w:val="000000" w:themeColor="text1"/>
                <w:kern w:val="0"/>
                <w:sz w:val="21"/>
                <w14:textFill>
                  <w14:solidFill>
                    <w14:schemeClr w14:val="tx1"/>
                  </w14:solidFill>
                </w14:textFill>
              </w:rPr>
              <w:t>密度</w:t>
            </w:r>
          </w:p>
          <w:p w14:paraId="1F38F22C">
            <w:pPr>
              <w:spacing w:line="240" w:lineRule="auto"/>
              <w:ind w:firstLine="0" w:firstLineChars="0"/>
              <w:jc w:val="center"/>
              <w:rPr>
                <w:b/>
                <w:bCs/>
                <w:color w:val="000000" w:themeColor="text1"/>
                <w:kern w:val="0"/>
                <w:sz w:val="21"/>
                <w14:textFill>
                  <w14:solidFill>
                    <w14:schemeClr w14:val="tx1"/>
                  </w14:solidFill>
                </w14:textFill>
              </w:rPr>
            </w:pPr>
            <w:r>
              <w:rPr>
                <w:b/>
                <w:bCs/>
                <w:color w:val="000000" w:themeColor="text1"/>
                <w:kern w:val="0"/>
                <w:sz w:val="21"/>
                <w14:textFill>
                  <w14:solidFill>
                    <w14:schemeClr w14:val="tx1"/>
                  </w14:solidFill>
                </w14:textFill>
              </w:rPr>
              <w:t>（</w:t>
            </w:r>
            <w:r>
              <w:rPr>
                <w:rFonts w:hint="eastAsia"/>
                <w:b/>
                <w:bCs/>
                <w:color w:val="000000" w:themeColor="text1"/>
                <w:kern w:val="0"/>
                <w:sz w:val="21"/>
                <w14:textFill>
                  <w14:solidFill>
                    <w14:schemeClr w14:val="tx1"/>
                  </w14:solidFill>
                </w14:textFill>
              </w:rPr>
              <w:t>个</w:t>
            </w:r>
            <w:r>
              <w:rPr>
                <w:b/>
                <w:bCs/>
                <w:color w:val="000000" w:themeColor="text1"/>
                <w:kern w:val="0"/>
                <w:sz w:val="21"/>
                <w14:textFill>
                  <w14:solidFill>
                    <w14:schemeClr w14:val="tx1"/>
                  </w14:solidFill>
                </w14:textFill>
              </w:rPr>
              <w:t>m</w:t>
            </w:r>
            <w:r>
              <w:rPr>
                <w:b/>
                <w:bCs/>
                <w:color w:val="000000" w:themeColor="text1"/>
                <w:kern w:val="0"/>
                <w:sz w:val="21"/>
                <w:vertAlign w:val="superscript"/>
                <w14:textFill>
                  <w14:solidFill>
                    <w14:schemeClr w14:val="tx1"/>
                  </w14:solidFill>
                </w14:textFill>
              </w:rPr>
              <w:t>2</w:t>
            </w:r>
            <w:r>
              <w:rPr>
                <w:b/>
                <w:bCs/>
                <w:color w:val="000000" w:themeColor="text1"/>
                <w:kern w:val="0"/>
                <w:sz w:val="21"/>
                <w14:textFill>
                  <w14:solidFill>
                    <w14:schemeClr w14:val="tx1"/>
                  </w14:solidFill>
                </w14:textFill>
              </w:rPr>
              <w:t>）</w:t>
            </w:r>
          </w:p>
        </w:tc>
        <w:tc>
          <w:tcPr>
            <w:tcW w:w="1416" w:type="dxa"/>
            <w:noWrap/>
            <w:vAlign w:val="center"/>
          </w:tcPr>
          <w:p w14:paraId="16CEFDBB">
            <w:pPr>
              <w:spacing w:line="240" w:lineRule="auto"/>
              <w:ind w:firstLine="0" w:firstLineChars="0"/>
              <w:jc w:val="center"/>
              <w:rPr>
                <w:b/>
                <w:bCs/>
                <w:color w:val="000000" w:themeColor="text1"/>
                <w:kern w:val="0"/>
                <w:sz w:val="21"/>
                <w14:textFill>
                  <w14:solidFill>
                    <w14:schemeClr w14:val="tx1"/>
                  </w14:solidFill>
                </w14:textFill>
              </w:rPr>
            </w:pPr>
            <w:r>
              <w:rPr>
                <w:b/>
                <w:bCs/>
                <w:color w:val="000000" w:themeColor="text1"/>
                <w:kern w:val="0"/>
                <w:sz w:val="21"/>
                <w14:textFill>
                  <w14:solidFill>
                    <w14:schemeClr w14:val="tx1"/>
                  </w14:solidFill>
                </w14:textFill>
              </w:rPr>
              <w:t>生物量(g/m</w:t>
            </w:r>
            <w:r>
              <w:rPr>
                <w:b/>
                <w:bCs/>
                <w:color w:val="000000" w:themeColor="text1"/>
                <w:kern w:val="0"/>
                <w:sz w:val="21"/>
                <w:vertAlign w:val="superscript"/>
                <w14:textFill>
                  <w14:solidFill>
                    <w14:schemeClr w14:val="tx1"/>
                  </w14:solidFill>
                </w14:textFill>
              </w:rPr>
              <w:t>2</w:t>
            </w:r>
            <w:r>
              <w:rPr>
                <w:b/>
                <w:bCs/>
                <w:color w:val="000000" w:themeColor="text1"/>
                <w:kern w:val="0"/>
                <w:sz w:val="21"/>
                <w14:textFill>
                  <w14:solidFill>
                    <w14:schemeClr w14:val="tx1"/>
                  </w14:solidFill>
                </w14:textFill>
              </w:rPr>
              <w:t>)</w:t>
            </w:r>
          </w:p>
        </w:tc>
      </w:tr>
      <w:tr w14:paraId="0CBC8CA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98" w:type="dxa"/>
            <w:vMerge w:val="restart"/>
            <w:noWrap/>
            <w:vAlign w:val="center"/>
          </w:tcPr>
          <w:p w14:paraId="7372D0C6">
            <w:pPr>
              <w:spacing w:line="240" w:lineRule="auto"/>
              <w:ind w:firstLine="0" w:firstLineChars="0"/>
              <w:jc w:val="center"/>
              <w:rPr>
                <w:color w:val="000000" w:themeColor="text1"/>
                <w:kern w:val="0"/>
                <w:sz w:val="21"/>
                <w14:textFill>
                  <w14:solidFill>
                    <w14:schemeClr w14:val="tx1"/>
                  </w14:solidFill>
                </w14:textFill>
              </w:rPr>
            </w:pPr>
            <w:r>
              <w:rPr>
                <w:color w:val="000000" w:themeColor="text1"/>
                <w:kern w:val="0"/>
                <w:sz w:val="21"/>
                <w14:textFill>
                  <w14:solidFill>
                    <w14:schemeClr w14:val="tx1"/>
                  </w14:solidFill>
                </w14:textFill>
              </w:rPr>
              <w:t>S</w:t>
            </w:r>
            <w:r>
              <w:rPr>
                <w:rFonts w:hint="eastAsia"/>
                <w:color w:val="000000" w:themeColor="text1"/>
                <w:kern w:val="0"/>
                <w:sz w:val="21"/>
                <w14:textFill>
                  <w14:solidFill>
                    <w14:schemeClr w14:val="tx1"/>
                  </w14:solidFill>
                </w14:textFill>
              </w:rPr>
              <w:t>1</w:t>
            </w:r>
          </w:p>
        </w:tc>
        <w:tc>
          <w:tcPr>
            <w:tcW w:w="1154" w:type="dxa"/>
            <w:vAlign w:val="center"/>
          </w:tcPr>
          <w:p w14:paraId="7193271B">
            <w:pPr>
              <w:spacing w:line="240" w:lineRule="auto"/>
              <w:ind w:firstLine="0" w:firstLineChars="0"/>
              <w:jc w:val="center"/>
              <w:rPr>
                <w:color w:val="000000" w:themeColor="text1"/>
                <w:kern w:val="0"/>
                <w:sz w:val="21"/>
                <w14:textFill>
                  <w14:solidFill>
                    <w14:schemeClr w14:val="tx1"/>
                  </w14:solidFill>
                </w14:textFill>
              </w:rPr>
            </w:pPr>
            <w:r>
              <w:rPr>
                <w:rFonts w:hint="eastAsia"/>
                <w:color w:val="000000" w:themeColor="text1"/>
                <w:kern w:val="0"/>
                <w:sz w:val="21"/>
                <w14:textFill>
                  <w14:solidFill>
                    <w14:schemeClr w14:val="tx1"/>
                  </w14:solidFill>
                </w14:textFill>
              </w:rPr>
              <w:t>软体动物</w:t>
            </w:r>
          </w:p>
        </w:tc>
        <w:tc>
          <w:tcPr>
            <w:tcW w:w="1613" w:type="dxa"/>
            <w:noWrap/>
            <w:vAlign w:val="center"/>
          </w:tcPr>
          <w:p w14:paraId="68062776">
            <w:pPr>
              <w:spacing w:line="240" w:lineRule="auto"/>
              <w:ind w:firstLine="0" w:firstLineChars="0"/>
              <w:jc w:val="center"/>
              <w:rPr>
                <w:color w:val="000000" w:themeColor="text1"/>
                <w:kern w:val="0"/>
                <w:sz w:val="21"/>
                <w14:textFill>
                  <w14:solidFill>
                    <w14:schemeClr w14:val="tx1"/>
                  </w14:solidFill>
                </w14:textFill>
              </w:rPr>
            </w:pPr>
            <w:r>
              <w:rPr>
                <w:rFonts w:hint="eastAsia"/>
                <w:color w:val="000000" w:themeColor="text1"/>
                <w:sz w:val="21"/>
                <w14:textFill>
                  <w14:solidFill>
                    <w14:schemeClr w14:val="tx1"/>
                  </w14:solidFill>
                </w14:textFill>
              </w:rPr>
              <w:t>长竹蛏</w:t>
            </w:r>
          </w:p>
        </w:tc>
        <w:tc>
          <w:tcPr>
            <w:tcW w:w="2329" w:type="dxa"/>
            <w:noWrap/>
            <w:vAlign w:val="center"/>
          </w:tcPr>
          <w:p w14:paraId="7F16BDE2">
            <w:pPr>
              <w:spacing w:line="240" w:lineRule="auto"/>
              <w:ind w:firstLine="0" w:firstLineChars="0"/>
              <w:jc w:val="center"/>
              <w:rPr>
                <w:color w:val="000000" w:themeColor="text1"/>
                <w:kern w:val="0"/>
                <w:sz w:val="21"/>
                <w14:textFill>
                  <w14:solidFill>
                    <w14:schemeClr w14:val="tx1"/>
                  </w14:solidFill>
                </w14:textFill>
              </w:rPr>
            </w:pPr>
            <w:r>
              <w:rPr>
                <w:i/>
                <w:iCs/>
                <w:color w:val="000000" w:themeColor="text1"/>
                <w:sz w:val="21"/>
                <w14:textFill>
                  <w14:solidFill>
                    <w14:schemeClr w14:val="tx1"/>
                  </w14:solidFill>
                </w14:textFill>
              </w:rPr>
              <w:t>Solen strictus</w:t>
            </w:r>
          </w:p>
        </w:tc>
        <w:tc>
          <w:tcPr>
            <w:tcW w:w="1312" w:type="dxa"/>
            <w:noWrap/>
            <w:vAlign w:val="center"/>
          </w:tcPr>
          <w:p w14:paraId="0F398658">
            <w:pPr>
              <w:spacing w:line="240" w:lineRule="auto"/>
              <w:ind w:firstLine="0" w:firstLineChars="0"/>
              <w:jc w:val="center"/>
              <w:rPr>
                <w:color w:val="000000" w:themeColor="text1"/>
                <w:kern w:val="0"/>
                <w:sz w:val="21"/>
                <w14:textFill>
                  <w14:solidFill>
                    <w14:schemeClr w14:val="tx1"/>
                  </w14:solidFill>
                </w14:textFill>
              </w:rPr>
            </w:pPr>
          </w:p>
        </w:tc>
        <w:tc>
          <w:tcPr>
            <w:tcW w:w="1416" w:type="dxa"/>
            <w:noWrap/>
            <w:vAlign w:val="center"/>
          </w:tcPr>
          <w:p w14:paraId="16DB6186">
            <w:pPr>
              <w:spacing w:line="240" w:lineRule="auto"/>
              <w:ind w:firstLine="0" w:firstLineChars="0"/>
              <w:jc w:val="center"/>
              <w:rPr>
                <w:color w:val="000000" w:themeColor="text1"/>
                <w:kern w:val="0"/>
                <w:sz w:val="21"/>
                <w14:textFill>
                  <w14:solidFill>
                    <w14:schemeClr w14:val="tx1"/>
                  </w14:solidFill>
                </w14:textFill>
              </w:rPr>
            </w:pPr>
          </w:p>
        </w:tc>
      </w:tr>
      <w:tr w14:paraId="35920FE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98" w:type="dxa"/>
            <w:vMerge w:val="continue"/>
            <w:noWrap/>
            <w:vAlign w:val="center"/>
          </w:tcPr>
          <w:p w14:paraId="4E6BE1A2">
            <w:pPr>
              <w:spacing w:line="240" w:lineRule="auto"/>
              <w:ind w:firstLine="0" w:firstLineChars="0"/>
              <w:jc w:val="center"/>
              <w:rPr>
                <w:color w:val="000000" w:themeColor="text1"/>
                <w:kern w:val="0"/>
                <w:sz w:val="21"/>
                <w14:textFill>
                  <w14:solidFill>
                    <w14:schemeClr w14:val="tx1"/>
                  </w14:solidFill>
                </w14:textFill>
              </w:rPr>
            </w:pPr>
          </w:p>
        </w:tc>
        <w:tc>
          <w:tcPr>
            <w:tcW w:w="1154" w:type="dxa"/>
            <w:vAlign w:val="center"/>
          </w:tcPr>
          <w:p w14:paraId="02B58E93">
            <w:pPr>
              <w:spacing w:line="240" w:lineRule="auto"/>
              <w:ind w:firstLine="0" w:firstLineChars="0"/>
              <w:jc w:val="center"/>
              <w:rPr>
                <w:color w:val="000000" w:themeColor="text1"/>
                <w:kern w:val="0"/>
                <w:sz w:val="21"/>
                <w14:textFill>
                  <w14:solidFill>
                    <w14:schemeClr w14:val="tx1"/>
                  </w14:solidFill>
                </w14:textFill>
              </w:rPr>
            </w:pPr>
            <w:r>
              <w:rPr>
                <w:rFonts w:hint="eastAsia"/>
                <w:color w:val="000000" w:themeColor="text1"/>
                <w:kern w:val="0"/>
                <w:sz w:val="21"/>
                <w14:textFill>
                  <w14:solidFill>
                    <w14:schemeClr w14:val="tx1"/>
                  </w14:solidFill>
                </w14:textFill>
              </w:rPr>
              <w:t>脊索动物</w:t>
            </w:r>
          </w:p>
        </w:tc>
        <w:tc>
          <w:tcPr>
            <w:tcW w:w="1613" w:type="dxa"/>
            <w:noWrap/>
            <w:vAlign w:val="center"/>
          </w:tcPr>
          <w:p w14:paraId="2041FC88">
            <w:pPr>
              <w:spacing w:line="240" w:lineRule="auto"/>
              <w:ind w:firstLine="0" w:firstLineChars="0"/>
              <w:jc w:val="center"/>
              <w:rPr>
                <w:color w:val="000000" w:themeColor="text1"/>
                <w:kern w:val="0"/>
                <w:sz w:val="21"/>
                <w14:textFill>
                  <w14:solidFill>
                    <w14:schemeClr w14:val="tx1"/>
                  </w14:solidFill>
                </w14:textFill>
              </w:rPr>
            </w:pPr>
            <w:r>
              <w:rPr>
                <w:rFonts w:hint="eastAsia"/>
                <w:color w:val="000000" w:themeColor="text1"/>
                <w:sz w:val="21"/>
                <w14:textFill>
                  <w14:solidFill>
                    <w14:schemeClr w14:val="tx1"/>
                  </w14:solidFill>
                </w14:textFill>
              </w:rPr>
              <w:t>白氏文昌鱼</w:t>
            </w:r>
          </w:p>
        </w:tc>
        <w:tc>
          <w:tcPr>
            <w:tcW w:w="2329" w:type="dxa"/>
            <w:noWrap/>
            <w:vAlign w:val="center"/>
          </w:tcPr>
          <w:p w14:paraId="2FC9AEF0">
            <w:pPr>
              <w:spacing w:line="240" w:lineRule="auto"/>
              <w:ind w:firstLine="0" w:firstLineChars="0"/>
              <w:jc w:val="center"/>
              <w:rPr>
                <w:color w:val="000000" w:themeColor="text1"/>
                <w:kern w:val="0"/>
                <w:sz w:val="21"/>
                <w14:textFill>
                  <w14:solidFill>
                    <w14:schemeClr w14:val="tx1"/>
                  </w14:solidFill>
                </w14:textFill>
              </w:rPr>
            </w:pPr>
            <w:r>
              <w:rPr>
                <w:i/>
                <w:iCs/>
                <w:color w:val="000000" w:themeColor="text1"/>
                <w:sz w:val="21"/>
                <w14:textFill>
                  <w14:solidFill>
                    <w14:schemeClr w14:val="tx1"/>
                  </w14:solidFill>
                </w14:textFill>
              </w:rPr>
              <w:t>Branchiostoma belcheri</w:t>
            </w:r>
          </w:p>
        </w:tc>
        <w:tc>
          <w:tcPr>
            <w:tcW w:w="1312" w:type="dxa"/>
            <w:noWrap/>
            <w:vAlign w:val="center"/>
          </w:tcPr>
          <w:p w14:paraId="4ACEB475">
            <w:pPr>
              <w:spacing w:line="240" w:lineRule="auto"/>
              <w:ind w:firstLine="0" w:firstLineChars="0"/>
              <w:jc w:val="center"/>
              <w:rPr>
                <w:color w:val="000000" w:themeColor="text1"/>
                <w:kern w:val="0"/>
                <w:sz w:val="21"/>
                <w14:textFill>
                  <w14:solidFill>
                    <w14:schemeClr w14:val="tx1"/>
                  </w14:solidFill>
                </w14:textFill>
              </w:rPr>
            </w:pPr>
          </w:p>
        </w:tc>
        <w:tc>
          <w:tcPr>
            <w:tcW w:w="1416" w:type="dxa"/>
            <w:noWrap/>
            <w:vAlign w:val="center"/>
          </w:tcPr>
          <w:p w14:paraId="461C29F5">
            <w:pPr>
              <w:spacing w:line="240" w:lineRule="auto"/>
              <w:ind w:firstLine="0" w:firstLineChars="0"/>
              <w:jc w:val="center"/>
              <w:rPr>
                <w:color w:val="000000" w:themeColor="text1"/>
                <w:kern w:val="0"/>
                <w:sz w:val="21"/>
                <w14:textFill>
                  <w14:solidFill>
                    <w14:schemeClr w14:val="tx1"/>
                  </w14:solidFill>
                </w14:textFill>
              </w:rPr>
            </w:pPr>
          </w:p>
        </w:tc>
      </w:tr>
      <w:tr w14:paraId="2667EFF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98" w:type="dxa"/>
            <w:vMerge w:val="continue"/>
            <w:noWrap/>
            <w:vAlign w:val="center"/>
          </w:tcPr>
          <w:p w14:paraId="1DFF730B">
            <w:pPr>
              <w:spacing w:line="240" w:lineRule="auto"/>
              <w:ind w:firstLine="0" w:firstLineChars="0"/>
              <w:jc w:val="center"/>
              <w:rPr>
                <w:color w:val="000000" w:themeColor="text1"/>
                <w:kern w:val="0"/>
                <w:sz w:val="21"/>
                <w14:textFill>
                  <w14:solidFill>
                    <w14:schemeClr w14:val="tx1"/>
                  </w14:solidFill>
                </w14:textFill>
              </w:rPr>
            </w:pPr>
          </w:p>
        </w:tc>
        <w:tc>
          <w:tcPr>
            <w:tcW w:w="1154" w:type="dxa"/>
            <w:vAlign w:val="center"/>
          </w:tcPr>
          <w:p w14:paraId="2583649E">
            <w:pPr>
              <w:spacing w:line="240" w:lineRule="auto"/>
              <w:ind w:firstLine="0" w:firstLineChars="0"/>
              <w:jc w:val="center"/>
              <w:rPr>
                <w:color w:val="000000" w:themeColor="text1"/>
                <w:kern w:val="0"/>
                <w:sz w:val="21"/>
                <w14:textFill>
                  <w14:solidFill>
                    <w14:schemeClr w14:val="tx1"/>
                  </w14:solidFill>
                </w14:textFill>
              </w:rPr>
            </w:pPr>
            <w:r>
              <w:rPr>
                <w:rFonts w:hint="eastAsia"/>
                <w:color w:val="000000" w:themeColor="text1"/>
                <w:kern w:val="0"/>
                <w:sz w:val="21"/>
                <w14:textFill>
                  <w14:solidFill>
                    <w14:schemeClr w14:val="tx1"/>
                  </w14:solidFill>
                </w14:textFill>
              </w:rPr>
              <w:t>棘皮动物</w:t>
            </w:r>
          </w:p>
        </w:tc>
        <w:tc>
          <w:tcPr>
            <w:tcW w:w="1613" w:type="dxa"/>
            <w:noWrap/>
            <w:vAlign w:val="center"/>
          </w:tcPr>
          <w:p w14:paraId="6DEA7884">
            <w:pPr>
              <w:spacing w:line="240" w:lineRule="auto"/>
              <w:ind w:firstLine="0" w:firstLineChars="0"/>
              <w:jc w:val="center"/>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细腕倍棘蛇尾</w:t>
            </w:r>
          </w:p>
        </w:tc>
        <w:tc>
          <w:tcPr>
            <w:tcW w:w="2329" w:type="dxa"/>
            <w:noWrap/>
            <w:vAlign w:val="center"/>
          </w:tcPr>
          <w:p w14:paraId="0AD4D66E">
            <w:pPr>
              <w:spacing w:line="240" w:lineRule="auto"/>
              <w:ind w:firstLine="0" w:firstLineChars="0"/>
              <w:jc w:val="center"/>
              <w:rPr>
                <w:i/>
                <w:iCs/>
                <w:color w:val="000000" w:themeColor="text1"/>
                <w:sz w:val="21"/>
                <w14:textFill>
                  <w14:solidFill>
                    <w14:schemeClr w14:val="tx1"/>
                  </w14:solidFill>
                </w14:textFill>
              </w:rPr>
            </w:pPr>
            <w:r>
              <w:rPr>
                <w:i/>
                <w:iCs/>
                <w:color w:val="000000" w:themeColor="text1"/>
                <w:sz w:val="21"/>
                <w14:textFill>
                  <w14:solidFill>
                    <w14:schemeClr w14:val="tx1"/>
                  </w14:solidFill>
                </w14:textFill>
              </w:rPr>
              <w:t>Amphioplus rhadinobrachius</w:t>
            </w:r>
          </w:p>
        </w:tc>
        <w:tc>
          <w:tcPr>
            <w:tcW w:w="1312" w:type="dxa"/>
            <w:noWrap/>
            <w:vAlign w:val="center"/>
          </w:tcPr>
          <w:p w14:paraId="6AE34913">
            <w:pPr>
              <w:spacing w:line="240" w:lineRule="auto"/>
              <w:ind w:firstLine="0" w:firstLineChars="0"/>
              <w:jc w:val="center"/>
              <w:rPr>
                <w:color w:val="000000" w:themeColor="text1"/>
                <w:sz w:val="21"/>
                <w14:textFill>
                  <w14:solidFill>
                    <w14:schemeClr w14:val="tx1"/>
                  </w14:solidFill>
                </w14:textFill>
              </w:rPr>
            </w:pPr>
          </w:p>
        </w:tc>
        <w:tc>
          <w:tcPr>
            <w:tcW w:w="1416" w:type="dxa"/>
            <w:noWrap/>
            <w:vAlign w:val="center"/>
          </w:tcPr>
          <w:p w14:paraId="0F7B109E">
            <w:pPr>
              <w:spacing w:line="240" w:lineRule="auto"/>
              <w:ind w:firstLine="0" w:firstLineChars="0"/>
              <w:jc w:val="center"/>
              <w:rPr>
                <w:color w:val="000000" w:themeColor="text1"/>
                <w:sz w:val="21"/>
                <w14:textFill>
                  <w14:solidFill>
                    <w14:schemeClr w14:val="tx1"/>
                  </w14:solidFill>
                </w14:textFill>
              </w:rPr>
            </w:pPr>
          </w:p>
        </w:tc>
      </w:tr>
      <w:tr w14:paraId="093DC4D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98" w:type="dxa"/>
            <w:vMerge w:val="restart"/>
            <w:noWrap/>
            <w:vAlign w:val="center"/>
          </w:tcPr>
          <w:p w14:paraId="03EC9847">
            <w:pPr>
              <w:spacing w:line="240" w:lineRule="auto"/>
              <w:ind w:firstLine="0" w:firstLineChars="0"/>
              <w:jc w:val="center"/>
              <w:rPr>
                <w:color w:val="000000" w:themeColor="text1"/>
                <w:kern w:val="0"/>
                <w:sz w:val="21"/>
                <w14:textFill>
                  <w14:solidFill>
                    <w14:schemeClr w14:val="tx1"/>
                  </w14:solidFill>
                </w14:textFill>
              </w:rPr>
            </w:pPr>
            <w:r>
              <w:rPr>
                <w:color w:val="000000" w:themeColor="text1"/>
                <w:kern w:val="0"/>
                <w:sz w:val="21"/>
                <w14:textFill>
                  <w14:solidFill>
                    <w14:schemeClr w14:val="tx1"/>
                  </w14:solidFill>
                </w14:textFill>
              </w:rPr>
              <w:t>S</w:t>
            </w:r>
            <w:r>
              <w:rPr>
                <w:rFonts w:hint="eastAsia"/>
                <w:color w:val="000000" w:themeColor="text1"/>
                <w:kern w:val="0"/>
                <w:sz w:val="21"/>
                <w14:textFill>
                  <w14:solidFill>
                    <w14:schemeClr w14:val="tx1"/>
                  </w14:solidFill>
                </w14:textFill>
              </w:rPr>
              <w:t>2</w:t>
            </w:r>
          </w:p>
        </w:tc>
        <w:tc>
          <w:tcPr>
            <w:tcW w:w="1154" w:type="dxa"/>
            <w:vAlign w:val="center"/>
          </w:tcPr>
          <w:p w14:paraId="23AE9C58">
            <w:pPr>
              <w:spacing w:line="240" w:lineRule="auto"/>
              <w:ind w:firstLine="0" w:firstLineChars="0"/>
              <w:jc w:val="center"/>
              <w:rPr>
                <w:color w:val="000000" w:themeColor="text1"/>
                <w:kern w:val="0"/>
                <w:sz w:val="21"/>
                <w14:textFill>
                  <w14:solidFill>
                    <w14:schemeClr w14:val="tx1"/>
                  </w14:solidFill>
                </w14:textFill>
              </w:rPr>
            </w:pPr>
            <w:r>
              <w:rPr>
                <w:rFonts w:hint="eastAsia"/>
                <w:color w:val="000000" w:themeColor="text1"/>
                <w:kern w:val="0"/>
                <w:sz w:val="21"/>
                <w14:textFill>
                  <w14:solidFill>
                    <w14:schemeClr w14:val="tx1"/>
                  </w14:solidFill>
                </w14:textFill>
              </w:rPr>
              <w:t>多毛类</w:t>
            </w:r>
          </w:p>
        </w:tc>
        <w:tc>
          <w:tcPr>
            <w:tcW w:w="1613" w:type="dxa"/>
            <w:noWrap/>
            <w:vAlign w:val="center"/>
          </w:tcPr>
          <w:p w14:paraId="4FA2B4E8">
            <w:pPr>
              <w:spacing w:line="240" w:lineRule="auto"/>
              <w:ind w:firstLine="0" w:firstLineChars="0"/>
              <w:jc w:val="center"/>
              <w:rPr>
                <w:color w:val="000000" w:themeColor="text1"/>
                <w:kern w:val="0"/>
                <w:sz w:val="21"/>
                <w14:textFill>
                  <w14:solidFill>
                    <w14:schemeClr w14:val="tx1"/>
                  </w14:solidFill>
                </w14:textFill>
              </w:rPr>
            </w:pPr>
            <w:r>
              <w:rPr>
                <w:rFonts w:hint="eastAsia"/>
                <w:color w:val="000000" w:themeColor="text1"/>
                <w:sz w:val="21"/>
                <w14:textFill>
                  <w14:solidFill>
                    <w14:schemeClr w14:val="tx1"/>
                  </w14:solidFill>
                </w14:textFill>
              </w:rPr>
              <w:t>日本刺沙蚕</w:t>
            </w:r>
          </w:p>
        </w:tc>
        <w:tc>
          <w:tcPr>
            <w:tcW w:w="2329" w:type="dxa"/>
            <w:noWrap/>
            <w:vAlign w:val="center"/>
          </w:tcPr>
          <w:p w14:paraId="763186CD">
            <w:pPr>
              <w:spacing w:line="240" w:lineRule="auto"/>
              <w:ind w:firstLine="0" w:firstLineChars="0"/>
              <w:jc w:val="center"/>
              <w:rPr>
                <w:color w:val="000000" w:themeColor="text1"/>
                <w:kern w:val="0"/>
                <w:sz w:val="21"/>
                <w14:textFill>
                  <w14:solidFill>
                    <w14:schemeClr w14:val="tx1"/>
                  </w14:solidFill>
                </w14:textFill>
              </w:rPr>
            </w:pPr>
            <w:r>
              <w:rPr>
                <w:i/>
                <w:iCs/>
                <w:color w:val="000000" w:themeColor="text1"/>
                <w:sz w:val="21"/>
                <w14:textFill>
                  <w14:solidFill>
                    <w14:schemeClr w14:val="tx1"/>
                  </w14:solidFill>
                </w14:textFill>
              </w:rPr>
              <w:t>Neanthes japonica</w:t>
            </w:r>
          </w:p>
        </w:tc>
        <w:tc>
          <w:tcPr>
            <w:tcW w:w="1312" w:type="dxa"/>
            <w:noWrap/>
            <w:vAlign w:val="center"/>
          </w:tcPr>
          <w:p w14:paraId="4E10E5AF">
            <w:pPr>
              <w:spacing w:line="240" w:lineRule="auto"/>
              <w:ind w:firstLine="0" w:firstLineChars="0"/>
              <w:jc w:val="center"/>
              <w:rPr>
                <w:color w:val="000000" w:themeColor="text1"/>
                <w:kern w:val="0"/>
                <w:sz w:val="21"/>
                <w14:textFill>
                  <w14:solidFill>
                    <w14:schemeClr w14:val="tx1"/>
                  </w14:solidFill>
                </w14:textFill>
              </w:rPr>
            </w:pPr>
          </w:p>
        </w:tc>
        <w:tc>
          <w:tcPr>
            <w:tcW w:w="1416" w:type="dxa"/>
            <w:noWrap/>
            <w:vAlign w:val="center"/>
          </w:tcPr>
          <w:p w14:paraId="09323F02">
            <w:pPr>
              <w:spacing w:line="240" w:lineRule="auto"/>
              <w:ind w:firstLine="0" w:firstLineChars="0"/>
              <w:jc w:val="center"/>
              <w:rPr>
                <w:color w:val="000000" w:themeColor="text1"/>
                <w:kern w:val="0"/>
                <w:sz w:val="21"/>
                <w14:textFill>
                  <w14:solidFill>
                    <w14:schemeClr w14:val="tx1"/>
                  </w14:solidFill>
                </w14:textFill>
              </w:rPr>
            </w:pPr>
          </w:p>
        </w:tc>
      </w:tr>
      <w:tr w14:paraId="4D8841F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98" w:type="dxa"/>
            <w:vMerge w:val="continue"/>
            <w:noWrap/>
            <w:vAlign w:val="center"/>
          </w:tcPr>
          <w:p w14:paraId="0091088D">
            <w:pPr>
              <w:spacing w:line="240" w:lineRule="auto"/>
              <w:ind w:firstLine="0" w:firstLineChars="0"/>
              <w:jc w:val="center"/>
              <w:rPr>
                <w:color w:val="000000" w:themeColor="text1"/>
                <w:kern w:val="0"/>
                <w:sz w:val="21"/>
                <w14:textFill>
                  <w14:solidFill>
                    <w14:schemeClr w14:val="tx1"/>
                  </w14:solidFill>
                </w14:textFill>
              </w:rPr>
            </w:pPr>
          </w:p>
        </w:tc>
        <w:tc>
          <w:tcPr>
            <w:tcW w:w="1154" w:type="dxa"/>
            <w:vAlign w:val="center"/>
          </w:tcPr>
          <w:p w14:paraId="16CD6CBB">
            <w:pPr>
              <w:spacing w:line="240" w:lineRule="auto"/>
              <w:ind w:firstLine="0" w:firstLineChars="0"/>
              <w:jc w:val="center"/>
              <w:rPr>
                <w:color w:val="000000" w:themeColor="text1"/>
                <w:kern w:val="0"/>
                <w:sz w:val="21"/>
                <w14:textFill>
                  <w14:solidFill>
                    <w14:schemeClr w14:val="tx1"/>
                  </w14:solidFill>
                </w14:textFill>
              </w:rPr>
            </w:pPr>
            <w:r>
              <w:rPr>
                <w:rFonts w:hint="eastAsia"/>
                <w:color w:val="000000" w:themeColor="text1"/>
                <w:kern w:val="0"/>
                <w:sz w:val="21"/>
                <w14:textFill>
                  <w14:solidFill>
                    <w14:schemeClr w14:val="tx1"/>
                  </w14:solidFill>
                </w14:textFill>
              </w:rPr>
              <w:t>多毛类</w:t>
            </w:r>
          </w:p>
        </w:tc>
        <w:tc>
          <w:tcPr>
            <w:tcW w:w="1613" w:type="dxa"/>
            <w:noWrap/>
            <w:vAlign w:val="center"/>
          </w:tcPr>
          <w:p w14:paraId="6149A787">
            <w:pPr>
              <w:spacing w:line="240" w:lineRule="auto"/>
              <w:ind w:firstLine="0" w:firstLineChars="0"/>
              <w:jc w:val="center"/>
              <w:rPr>
                <w:color w:val="000000" w:themeColor="text1"/>
                <w:kern w:val="0"/>
                <w:sz w:val="21"/>
                <w14:textFill>
                  <w14:solidFill>
                    <w14:schemeClr w14:val="tx1"/>
                  </w14:solidFill>
                </w14:textFill>
              </w:rPr>
            </w:pPr>
            <w:r>
              <w:rPr>
                <w:rFonts w:hint="eastAsia"/>
                <w:color w:val="000000" w:themeColor="text1"/>
                <w:sz w:val="21"/>
                <w14:textFill>
                  <w14:solidFill>
                    <w14:schemeClr w14:val="tx1"/>
                  </w14:solidFill>
                </w14:textFill>
              </w:rPr>
              <w:t>小头虫</w:t>
            </w:r>
          </w:p>
        </w:tc>
        <w:tc>
          <w:tcPr>
            <w:tcW w:w="2329" w:type="dxa"/>
            <w:noWrap/>
            <w:vAlign w:val="center"/>
          </w:tcPr>
          <w:p w14:paraId="7B8684BB">
            <w:pPr>
              <w:spacing w:line="240" w:lineRule="auto"/>
              <w:ind w:firstLine="0" w:firstLineChars="0"/>
              <w:jc w:val="center"/>
              <w:rPr>
                <w:color w:val="000000" w:themeColor="text1"/>
                <w:kern w:val="0"/>
                <w:sz w:val="21"/>
                <w14:textFill>
                  <w14:solidFill>
                    <w14:schemeClr w14:val="tx1"/>
                  </w14:solidFill>
                </w14:textFill>
              </w:rPr>
            </w:pPr>
            <w:r>
              <w:rPr>
                <w:i/>
                <w:iCs/>
                <w:color w:val="000000" w:themeColor="text1"/>
                <w:sz w:val="21"/>
                <w14:textFill>
                  <w14:solidFill>
                    <w14:schemeClr w14:val="tx1"/>
                  </w14:solidFill>
                </w14:textFill>
              </w:rPr>
              <w:t>Capitella capitata</w:t>
            </w:r>
          </w:p>
        </w:tc>
        <w:tc>
          <w:tcPr>
            <w:tcW w:w="1312" w:type="dxa"/>
            <w:noWrap/>
            <w:vAlign w:val="center"/>
          </w:tcPr>
          <w:p w14:paraId="6C375914">
            <w:pPr>
              <w:spacing w:line="240" w:lineRule="auto"/>
              <w:ind w:firstLine="0" w:firstLineChars="0"/>
              <w:jc w:val="center"/>
              <w:rPr>
                <w:color w:val="000000" w:themeColor="text1"/>
                <w:kern w:val="0"/>
                <w:sz w:val="21"/>
                <w14:textFill>
                  <w14:solidFill>
                    <w14:schemeClr w14:val="tx1"/>
                  </w14:solidFill>
                </w14:textFill>
              </w:rPr>
            </w:pPr>
          </w:p>
        </w:tc>
        <w:tc>
          <w:tcPr>
            <w:tcW w:w="1416" w:type="dxa"/>
            <w:noWrap/>
            <w:vAlign w:val="center"/>
          </w:tcPr>
          <w:p w14:paraId="095E2DCB">
            <w:pPr>
              <w:spacing w:line="240" w:lineRule="auto"/>
              <w:ind w:firstLine="0" w:firstLineChars="0"/>
              <w:jc w:val="center"/>
              <w:rPr>
                <w:color w:val="000000" w:themeColor="text1"/>
                <w:kern w:val="0"/>
                <w:sz w:val="21"/>
                <w14:textFill>
                  <w14:solidFill>
                    <w14:schemeClr w14:val="tx1"/>
                  </w14:solidFill>
                </w14:textFill>
              </w:rPr>
            </w:pPr>
          </w:p>
        </w:tc>
      </w:tr>
      <w:tr w14:paraId="3F10541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98" w:type="dxa"/>
            <w:vMerge w:val="continue"/>
            <w:noWrap/>
            <w:vAlign w:val="center"/>
          </w:tcPr>
          <w:p w14:paraId="35042D4B">
            <w:pPr>
              <w:spacing w:line="240" w:lineRule="auto"/>
              <w:ind w:firstLine="0" w:firstLineChars="0"/>
              <w:jc w:val="center"/>
              <w:rPr>
                <w:color w:val="000000" w:themeColor="text1"/>
                <w:kern w:val="0"/>
                <w:sz w:val="21"/>
                <w14:textFill>
                  <w14:solidFill>
                    <w14:schemeClr w14:val="tx1"/>
                  </w14:solidFill>
                </w14:textFill>
              </w:rPr>
            </w:pPr>
          </w:p>
        </w:tc>
        <w:tc>
          <w:tcPr>
            <w:tcW w:w="1154" w:type="dxa"/>
            <w:vAlign w:val="center"/>
          </w:tcPr>
          <w:p w14:paraId="47933D0F">
            <w:pPr>
              <w:spacing w:line="240" w:lineRule="auto"/>
              <w:ind w:firstLine="0" w:firstLineChars="0"/>
              <w:jc w:val="center"/>
              <w:rPr>
                <w:color w:val="000000" w:themeColor="text1"/>
                <w:kern w:val="0"/>
                <w:sz w:val="21"/>
                <w14:textFill>
                  <w14:solidFill>
                    <w14:schemeClr w14:val="tx1"/>
                  </w14:solidFill>
                </w14:textFill>
              </w:rPr>
            </w:pPr>
            <w:r>
              <w:rPr>
                <w:rFonts w:hint="eastAsia"/>
                <w:color w:val="000000" w:themeColor="text1"/>
                <w:kern w:val="0"/>
                <w:sz w:val="21"/>
                <w14:textFill>
                  <w14:solidFill>
                    <w14:schemeClr w14:val="tx1"/>
                  </w14:solidFill>
                </w14:textFill>
              </w:rPr>
              <w:t>多毛类</w:t>
            </w:r>
          </w:p>
        </w:tc>
        <w:tc>
          <w:tcPr>
            <w:tcW w:w="1613" w:type="dxa"/>
            <w:noWrap/>
            <w:vAlign w:val="center"/>
          </w:tcPr>
          <w:p w14:paraId="428FE0F3">
            <w:pPr>
              <w:spacing w:line="240" w:lineRule="auto"/>
              <w:ind w:firstLine="0" w:firstLineChars="0"/>
              <w:jc w:val="center"/>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日本角吻沙蚕</w:t>
            </w:r>
          </w:p>
        </w:tc>
        <w:tc>
          <w:tcPr>
            <w:tcW w:w="2329" w:type="dxa"/>
            <w:noWrap/>
            <w:vAlign w:val="center"/>
          </w:tcPr>
          <w:p w14:paraId="5D168399">
            <w:pPr>
              <w:spacing w:line="240" w:lineRule="auto"/>
              <w:ind w:firstLine="0" w:firstLineChars="0"/>
              <w:jc w:val="center"/>
              <w:rPr>
                <w:i/>
                <w:iCs/>
                <w:color w:val="000000" w:themeColor="text1"/>
                <w:sz w:val="21"/>
                <w14:textFill>
                  <w14:solidFill>
                    <w14:schemeClr w14:val="tx1"/>
                  </w14:solidFill>
                </w14:textFill>
              </w:rPr>
            </w:pPr>
            <w:r>
              <w:rPr>
                <w:i/>
                <w:iCs/>
                <w:color w:val="000000" w:themeColor="text1"/>
                <w:sz w:val="21"/>
                <w14:textFill>
                  <w14:solidFill>
                    <w14:schemeClr w14:val="tx1"/>
                  </w14:solidFill>
                </w14:textFill>
              </w:rPr>
              <w:t>Goniada japonica</w:t>
            </w:r>
          </w:p>
        </w:tc>
        <w:tc>
          <w:tcPr>
            <w:tcW w:w="1312" w:type="dxa"/>
            <w:noWrap/>
            <w:vAlign w:val="center"/>
          </w:tcPr>
          <w:p w14:paraId="48CFF69C">
            <w:pPr>
              <w:spacing w:line="240" w:lineRule="auto"/>
              <w:ind w:firstLine="0" w:firstLineChars="0"/>
              <w:jc w:val="center"/>
              <w:rPr>
                <w:color w:val="000000" w:themeColor="text1"/>
                <w:sz w:val="21"/>
                <w14:textFill>
                  <w14:solidFill>
                    <w14:schemeClr w14:val="tx1"/>
                  </w14:solidFill>
                </w14:textFill>
              </w:rPr>
            </w:pPr>
          </w:p>
        </w:tc>
        <w:tc>
          <w:tcPr>
            <w:tcW w:w="1416" w:type="dxa"/>
            <w:noWrap/>
            <w:vAlign w:val="center"/>
          </w:tcPr>
          <w:p w14:paraId="53B86B60">
            <w:pPr>
              <w:spacing w:line="240" w:lineRule="auto"/>
              <w:ind w:firstLine="0" w:firstLineChars="0"/>
              <w:jc w:val="center"/>
              <w:rPr>
                <w:color w:val="000000" w:themeColor="text1"/>
                <w:sz w:val="21"/>
                <w14:textFill>
                  <w14:solidFill>
                    <w14:schemeClr w14:val="tx1"/>
                  </w14:solidFill>
                </w14:textFill>
              </w:rPr>
            </w:pPr>
          </w:p>
        </w:tc>
      </w:tr>
      <w:tr w14:paraId="55621A1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98" w:type="dxa"/>
            <w:noWrap/>
            <w:vAlign w:val="center"/>
          </w:tcPr>
          <w:p w14:paraId="5DF14D0D">
            <w:pPr>
              <w:spacing w:line="240" w:lineRule="auto"/>
              <w:ind w:firstLine="0" w:firstLineChars="0"/>
              <w:jc w:val="center"/>
              <w:rPr>
                <w:color w:val="000000" w:themeColor="text1"/>
                <w:kern w:val="0"/>
                <w:sz w:val="21"/>
                <w14:textFill>
                  <w14:solidFill>
                    <w14:schemeClr w14:val="tx1"/>
                  </w14:solidFill>
                </w14:textFill>
              </w:rPr>
            </w:pPr>
            <w:r>
              <w:rPr>
                <w:color w:val="000000" w:themeColor="text1"/>
                <w:kern w:val="0"/>
                <w:sz w:val="21"/>
                <w14:textFill>
                  <w14:solidFill>
                    <w14:schemeClr w14:val="tx1"/>
                  </w14:solidFill>
                </w14:textFill>
              </w:rPr>
              <w:t>S</w:t>
            </w:r>
            <w:r>
              <w:rPr>
                <w:rFonts w:hint="eastAsia"/>
                <w:color w:val="000000" w:themeColor="text1"/>
                <w:kern w:val="0"/>
                <w:sz w:val="21"/>
                <w14:textFill>
                  <w14:solidFill>
                    <w14:schemeClr w14:val="tx1"/>
                  </w14:solidFill>
                </w14:textFill>
              </w:rPr>
              <w:t>3</w:t>
            </w:r>
          </w:p>
        </w:tc>
        <w:tc>
          <w:tcPr>
            <w:tcW w:w="1154" w:type="dxa"/>
            <w:vAlign w:val="center"/>
          </w:tcPr>
          <w:p w14:paraId="0D55E3D1">
            <w:pPr>
              <w:spacing w:line="240" w:lineRule="auto"/>
              <w:ind w:firstLine="0" w:firstLineChars="0"/>
              <w:jc w:val="center"/>
              <w:rPr>
                <w:color w:val="000000" w:themeColor="text1"/>
                <w:kern w:val="0"/>
                <w:sz w:val="21"/>
                <w14:textFill>
                  <w14:solidFill>
                    <w14:schemeClr w14:val="tx1"/>
                  </w14:solidFill>
                </w14:textFill>
              </w:rPr>
            </w:pPr>
            <w:r>
              <w:rPr>
                <w:rFonts w:hint="eastAsia"/>
                <w:color w:val="000000" w:themeColor="text1"/>
                <w:kern w:val="0"/>
                <w:sz w:val="21"/>
                <w14:textFill>
                  <w14:solidFill>
                    <w14:schemeClr w14:val="tx1"/>
                  </w14:solidFill>
                </w14:textFill>
              </w:rPr>
              <w:t>多毛类</w:t>
            </w:r>
          </w:p>
        </w:tc>
        <w:tc>
          <w:tcPr>
            <w:tcW w:w="1613" w:type="dxa"/>
            <w:noWrap/>
            <w:vAlign w:val="center"/>
          </w:tcPr>
          <w:p w14:paraId="046B6E45">
            <w:pPr>
              <w:spacing w:line="240" w:lineRule="auto"/>
              <w:ind w:firstLine="0" w:firstLineChars="0"/>
              <w:jc w:val="center"/>
              <w:rPr>
                <w:color w:val="000000" w:themeColor="text1"/>
                <w:kern w:val="0"/>
                <w:sz w:val="21"/>
                <w14:textFill>
                  <w14:solidFill>
                    <w14:schemeClr w14:val="tx1"/>
                  </w14:solidFill>
                </w14:textFill>
              </w:rPr>
            </w:pPr>
            <w:r>
              <w:rPr>
                <w:rFonts w:hint="eastAsia"/>
                <w:color w:val="000000" w:themeColor="text1"/>
                <w:sz w:val="21"/>
                <w14:textFill>
                  <w14:solidFill>
                    <w14:schemeClr w14:val="tx1"/>
                  </w14:solidFill>
                </w14:textFill>
              </w:rPr>
              <w:t>多毛类残体</w:t>
            </w:r>
          </w:p>
        </w:tc>
        <w:tc>
          <w:tcPr>
            <w:tcW w:w="2329" w:type="dxa"/>
            <w:noWrap/>
            <w:vAlign w:val="center"/>
          </w:tcPr>
          <w:p w14:paraId="4B7157A2">
            <w:pPr>
              <w:spacing w:line="240" w:lineRule="auto"/>
              <w:ind w:firstLine="0" w:firstLineChars="0"/>
              <w:jc w:val="center"/>
              <w:rPr>
                <w:color w:val="000000" w:themeColor="text1"/>
                <w:kern w:val="0"/>
                <w:sz w:val="21"/>
                <w14:textFill>
                  <w14:solidFill>
                    <w14:schemeClr w14:val="tx1"/>
                  </w14:solidFill>
                </w14:textFill>
              </w:rPr>
            </w:pPr>
            <w:r>
              <w:rPr>
                <w:color w:val="000000" w:themeColor="text1"/>
                <w:sz w:val="21"/>
                <w14:textFill>
                  <w14:solidFill>
                    <w14:schemeClr w14:val="tx1"/>
                  </w14:solidFill>
                </w14:textFill>
              </w:rPr>
              <w:t>Polychaeta</w:t>
            </w:r>
          </w:p>
        </w:tc>
        <w:tc>
          <w:tcPr>
            <w:tcW w:w="1312" w:type="dxa"/>
            <w:noWrap/>
            <w:vAlign w:val="center"/>
          </w:tcPr>
          <w:p w14:paraId="03A9C7B7">
            <w:pPr>
              <w:spacing w:line="240" w:lineRule="auto"/>
              <w:ind w:firstLine="0" w:firstLineChars="0"/>
              <w:jc w:val="center"/>
              <w:rPr>
                <w:color w:val="000000" w:themeColor="text1"/>
                <w:kern w:val="0"/>
                <w:sz w:val="21"/>
                <w14:textFill>
                  <w14:solidFill>
                    <w14:schemeClr w14:val="tx1"/>
                  </w14:solidFill>
                </w14:textFill>
              </w:rPr>
            </w:pPr>
          </w:p>
        </w:tc>
        <w:tc>
          <w:tcPr>
            <w:tcW w:w="1416" w:type="dxa"/>
            <w:noWrap/>
            <w:vAlign w:val="center"/>
          </w:tcPr>
          <w:p w14:paraId="4C3A282C">
            <w:pPr>
              <w:spacing w:line="240" w:lineRule="auto"/>
              <w:ind w:firstLine="0" w:firstLineChars="0"/>
              <w:jc w:val="center"/>
              <w:rPr>
                <w:color w:val="000000" w:themeColor="text1"/>
                <w:kern w:val="0"/>
                <w:sz w:val="21"/>
                <w14:textFill>
                  <w14:solidFill>
                    <w14:schemeClr w14:val="tx1"/>
                  </w14:solidFill>
                </w14:textFill>
              </w:rPr>
            </w:pPr>
          </w:p>
        </w:tc>
      </w:tr>
      <w:tr w14:paraId="389E2E4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98" w:type="dxa"/>
            <w:noWrap/>
            <w:vAlign w:val="center"/>
          </w:tcPr>
          <w:p w14:paraId="47F2B951">
            <w:pPr>
              <w:spacing w:line="240" w:lineRule="auto"/>
              <w:ind w:firstLine="0" w:firstLineChars="0"/>
              <w:jc w:val="center"/>
              <w:rPr>
                <w:color w:val="000000" w:themeColor="text1"/>
                <w:kern w:val="0"/>
                <w:sz w:val="21"/>
                <w14:textFill>
                  <w14:solidFill>
                    <w14:schemeClr w14:val="tx1"/>
                  </w14:solidFill>
                </w14:textFill>
              </w:rPr>
            </w:pPr>
            <w:r>
              <w:rPr>
                <w:color w:val="000000" w:themeColor="text1"/>
                <w:kern w:val="0"/>
                <w:sz w:val="21"/>
                <w14:textFill>
                  <w14:solidFill>
                    <w14:schemeClr w14:val="tx1"/>
                  </w14:solidFill>
                </w14:textFill>
              </w:rPr>
              <w:t>S</w:t>
            </w:r>
            <w:r>
              <w:rPr>
                <w:rFonts w:hint="eastAsia"/>
                <w:color w:val="000000" w:themeColor="text1"/>
                <w:kern w:val="0"/>
                <w:sz w:val="21"/>
                <w14:textFill>
                  <w14:solidFill>
                    <w14:schemeClr w14:val="tx1"/>
                  </w14:solidFill>
                </w14:textFill>
              </w:rPr>
              <w:t>4</w:t>
            </w:r>
          </w:p>
        </w:tc>
        <w:tc>
          <w:tcPr>
            <w:tcW w:w="1154" w:type="dxa"/>
            <w:vAlign w:val="center"/>
          </w:tcPr>
          <w:p w14:paraId="15A897B7">
            <w:pPr>
              <w:spacing w:line="240" w:lineRule="auto"/>
              <w:ind w:firstLine="0" w:firstLineChars="0"/>
              <w:jc w:val="center"/>
              <w:rPr>
                <w:color w:val="000000" w:themeColor="text1"/>
                <w:kern w:val="0"/>
                <w:sz w:val="21"/>
                <w14:textFill>
                  <w14:solidFill>
                    <w14:schemeClr w14:val="tx1"/>
                  </w14:solidFill>
                </w14:textFill>
              </w:rPr>
            </w:pPr>
            <w:r>
              <w:rPr>
                <w:rFonts w:hint="eastAsia"/>
                <w:color w:val="000000" w:themeColor="text1"/>
                <w:kern w:val="0"/>
                <w:sz w:val="21"/>
                <w14:textFill>
                  <w14:solidFill>
                    <w14:schemeClr w14:val="tx1"/>
                  </w14:solidFill>
                </w14:textFill>
              </w:rPr>
              <w:t>脊索动物</w:t>
            </w:r>
          </w:p>
        </w:tc>
        <w:tc>
          <w:tcPr>
            <w:tcW w:w="1613" w:type="dxa"/>
            <w:noWrap/>
            <w:vAlign w:val="center"/>
          </w:tcPr>
          <w:p w14:paraId="024C830C">
            <w:pPr>
              <w:spacing w:line="240" w:lineRule="auto"/>
              <w:ind w:firstLine="0" w:firstLineChars="0"/>
              <w:jc w:val="center"/>
              <w:rPr>
                <w:color w:val="000000" w:themeColor="text1"/>
                <w:kern w:val="0"/>
                <w:sz w:val="21"/>
                <w14:textFill>
                  <w14:solidFill>
                    <w14:schemeClr w14:val="tx1"/>
                  </w14:solidFill>
                </w14:textFill>
              </w:rPr>
            </w:pPr>
            <w:r>
              <w:rPr>
                <w:rFonts w:hint="eastAsia"/>
                <w:color w:val="000000" w:themeColor="text1"/>
                <w:sz w:val="21"/>
                <w14:textFill>
                  <w14:solidFill>
                    <w14:schemeClr w14:val="tx1"/>
                  </w14:solidFill>
                </w14:textFill>
              </w:rPr>
              <w:t>白氏文昌鱼</w:t>
            </w:r>
          </w:p>
        </w:tc>
        <w:tc>
          <w:tcPr>
            <w:tcW w:w="2329" w:type="dxa"/>
            <w:noWrap/>
            <w:vAlign w:val="center"/>
          </w:tcPr>
          <w:p w14:paraId="4BB91A64">
            <w:pPr>
              <w:spacing w:line="240" w:lineRule="auto"/>
              <w:ind w:firstLine="0" w:firstLineChars="0"/>
              <w:jc w:val="center"/>
              <w:rPr>
                <w:color w:val="000000" w:themeColor="text1"/>
                <w:kern w:val="0"/>
                <w:sz w:val="21"/>
                <w14:textFill>
                  <w14:solidFill>
                    <w14:schemeClr w14:val="tx1"/>
                  </w14:solidFill>
                </w14:textFill>
              </w:rPr>
            </w:pPr>
            <w:r>
              <w:rPr>
                <w:i/>
                <w:iCs/>
                <w:color w:val="000000" w:themeColor="text1"/>
                <w:sz w:val="21"/>
                <w14:textFill>
                  <w14:solidFill>
                    <w14:schemeClr w14:val="tx1"/>
                  </w14:solidFill>
                </w14:textFill>
              </w:rPr>
              <w:t>Branchiostoma belcheri</w:t>
            </w:r>
          </w:p>
        </w:tc>
        <w:tc>
          <w:tcPr>
            <w:tcW w:w="1312" w:type="dxa"/>
            <w:noWrap/>
            <w:vAlign w:val="center"/>
          </w:tcPr>
          <w:p w14:paraId="502FD397">
            <w:pPr>
              <w:spacing w:line="240" w:lineRule="auto"/>
              <w:ind w:firstLine="0" w:firstLineChars="0"/>
              <w:jc w:val="center"/>
              <w:rPr>
                <w:color w:val="000000" w:themeColor="text1"/>
                <w:kern w:val="0"/>
                <w:sz w:val="21"/>
                <w14:textFill>
                  <w14:solidFill>
                    <w14:schemeClr w14:val="tx1"/>
                  </w14:solidFill>
                </w14:textFill>
              </w:rPr>
            </w:pPr>
          </w:p>
        </w:tc>
        <w:tc>
          <w:tcPr>
            <w:tcW w:w="1416" w:type="dxa"/>
            <w:noWrap/>
            <w:vAlign w:val="center"/>
          </w:tcPr>
          <w:p w14:paraId="06BA0E23">
            <w:pPr>
              <w:spacing w:line="240" w:lineRule="auto"/>
              <w:ind w:firstLine="0" w:firstLineChars="0"/>
              <w:jc w:val="center"/>
              <w:rPr>
                <w:color w:val="000000" w:themeColor="text1"/>
                <w:kern w:val="0"/>
                <w:sz w:val="21"/>
                <w14:textFill>
                  <w14:solidFill>
                    <w14:schemeClr w14:val="tx1"/>
                  </w14:solidFill>
                </w14:textFill>
              </w:rPr>
            </w:pPr>
          </w:p>
        </w:tc>
      </w:tr>
      <w:tr w14:paraId="6FB6B5F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98" w:type="dxa"/>
            <w:vMerge w:val="restart"/>
            <w:noWrap/>
            <w:vAlign w:val="center"/>
          </w:tcPr>
          <w:p w14:paraId="4B2F53BF">
            <w:pPr>
              <w:spacing w:line="240" w:lineRule="auto"/>
              <w:ind w:firstLine="0" w:firstLineChars="0"/>
              <w:jc w:val="center"/>
              <w:rPr>
                <w:color w:val="000000" w:themeColor="text1"/>
                <w:kern w:val="0"/>
                <w:sz w:val="21"/>
                <w14:textFill>
                  <w14:solidFill>
                    <w14:schemeClr w14:val="tx1"/>
                  </w14:solidFill>
                </w14:textFill>
              </w:rPr>
            </w:pPr>
            <w:r>
              <w:rPr>
                <w:color w:val="000000" w:themeColor="text1"/>
                <w:kern w:val="0"/>
                <w:sz w:val="21"/>
                <w14:textFill>
                  <w14:solidFill>
                    <w14:schemeClr w14:val="tx1"/>
                  </w14:solidFill>
                </w14:textFill>
              </w:rPr>
              <w:t>S</w:t>
            </w:r>
            <w:r>
              <w:rPr>
                <w:rFonts w:hint="eastAsia"/>
                <w:color w:val="000000" w:themeColor="text1"/>
                <w:kern w:val="0"/>
                <w:sz w:val="21"/>
                <w14:textFill>
                  <w14:solidFill>
                    <w14:schemeClr w14:val="tx1"/>
                  </w14:solidFill>
                </w14:textFill>
              </w:rPr>
              <w:t>5</w:t>
            </w:r>
          </w:p>
        </w:tc>
        <w:tc>
          <w:tcPr>
            <w:tcW w:w="1154" w:type="dxa"/>
            <w:vAlign w:val="center"/>
          </w:tcPr>
          <w:p w14:paraId="1E7778C4">
            <w:pPr>
              <w:spacing w:line="240" w:lineRule="auto"/>
              <w:ind w:firstLine="0" w:firstLineChars="0"/>
              <w:jc w:val="center"/>
              <w:rPr>
                <w:color w:val="000000" w:themeColor="text1"/>
                <w:kern w:val="0"/>
                <w:sz w:val="21"/>
                <w14:textFill>
                  <w14:solidFill>
                    <w14:schemeClr w14:val="tx1"/>
                  </w14:solidFill>
                </w14:textFill>
              </w:rPr>
            </w:pPr>
            <w:r>
              <w:rPr>
                <w:rFonts w:hint="eastAsia"/>
                <w:color w:val="000000" w:themeColor="text1"/>
                <w:kern w:val="0"/>
                <w:sz w:val="21"/>
                <w14:textFill>
                  <w14:solidFill>
                    <w14:schemeClr w14:val="tx1"/>
                  </w14:solidFill>
                </w14:textFill>
              </w:rPr>
              <w:t>多毛类</w:t>
            </w:r>
          </w:p>
        </w:tc>
        <w:tc>
          <w:tcPr>
            <w:tcW w:w="1613" w:type="dxa"/>
            <w:noWrap/>
            <w:vAlign w:val="center"/>
          </w:tcPr>
          <w:p w14:paraId="483D008C">
            <w:pPr>
              <w:spacing w:line="240" w:lineRule="auto"/>
              <w:ind w:firstLine="0" w:firstLineChars="0"/>
              <w:jc w:val="center"/>
              <w:rPr>
                <w:color w:val="000000" w:themeColor="text1"/>
                <w:kern w:val="0"/>
                <w:sz w:val="21"/>
                <w14:textFill>
                  <w14:solidFill>
                    <w14:schemeClr w14:val="tx1"/>
                  </w14:solidFill>
                </w14:textFill>
              </w:rPr>
            </w:pPr>
            <w:r>
              <w:rPr>
                <w:rFonts w:hint="eastAsia"/>
                <w:color w:val="000000" w:themeColor="text1"/>
                <w:sz w:val="21"/>
                <w14:textFill>
                  <w14:solidFill>
                    <w14:schemeClr w14:val="tx1"/>
                  </w14:solidFill>
                </w14:textFill>
              </w:rPr>
              <w:t>曲强真节虫</w:t>
            </w:r>
          </w:p>
        </w:tc>
        <w:tc>
          <w:tcPr>
            <w:tcW w:w="2329" w:type="dxa"/>
            <w:noWrap/>
            <w:vAlign w:val="center"/>
          </w:tcPr>
          <w:p w14:paraId="4AF5E4B6">
            <w:pPr>
              <w:spacing w:line="240" w:lineRule="auto"/>
              <w:ind w:firstLine="0" w:firstLineChars="0"/>
              <w:jc w:val="center"/>
              <w:rPr>
                <w:color w:val="000000" w:themeColor="text1"/>
                <w:kern w:val="0"/>
                <w:sz w:val="21"/>
                <w14:textFill>
                  <w14:solidFill>
                    <w14:schemeClr w14:val="tx1"/>
                  </w14:solidFill>
                </w14:textFill>
              </w:rPr>
            </w:pPr>
            <w:r>
              <w:rPr>
                <w:i/>
                <w:iCs/>
                <w:color w:val="000000" w:themeColor="text1"/>
                <w:sz w:val="21"/>
                <w14:textFill>
                  <w14:solidFill>
                    <w14:schemeClr w14:val="tx1"/>
                  </w14:solidFill>
                </w14:textFill>
              </w:rPr>
              <w:t>Euclymene lombricoides</w:t>
            </w:r>
          </w:p>
        </w:tc>
        <w:tc>
          <w:tcPr>
            <w:tcW w:w="1312" w:type="dxa"/>
            <w:noWrap/>
            <w:vAlign w:val="center"/>
          </w:tcPr>
          <w:p w14:paraId="280FD6E4">
            <w:pPr>
              <w:spacing w:line="240" w:lineRule="auto"/>
              <w:ind w:firstLine="0" w:firstLineChars="0"/>
              <w:jc w:val="center"/>
              <w:rPr>
                <w:color w:val="000000" w:themeColor="text1"/>
                <w:kern w:val="0"/>
                <w:sz w:val="21"/>
                <w14:textFill>
                  <w14:solidFill>
                    <w14:schemeClr w14:val="tx1"/>
                  </w14:solidFill>
                </w14:textFill>
              </w:rPr>
            </w:pPr>
          </w:p>
        </w:tc>
        <w:tc>
          <w:tcPr>
            <w:tcW w:w="1416" w:type="dxa"/>
            <w:noWrap/>
            <w:vAlign w:val="center"/>
          </w:tcPr>
          <w:p w14:paraId="4F050B40">
            <w:pPr>
              <w:spacing w:line="240" w:lineRule="auto"/>
              <w:ind w:firstLine="0" w:firstLineChars="0"/>
              <w:jc w:val="center"/>
              <w:rPr>
                <w:color w:val="000000" w:themeColor="text1"/>
                <w:kern w:val="0"/>
                <w:sz w:val="21"/>
                <w14:textFill>
                  <w14:solidFill>
                    <w14:schemeClr w14:val="tx1"/>
                  </w14:solidFill>
                </w14:textFill>
              </w:rPr>
            </w:pPr>
          </w:p>
        </w:tc>
      </w:tr>
      <w:tr w14:paraId="330CED5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98" w:type="dxa"/>
            <w:vMerge w:val="continue"/>
            <w:noWrap/>
            <w:vAlign w:val="center"/>
          </w:tcPr>
          <w:p w14:paraId="2D22DD03">
            <w:pPr>
              <w:spacing w:line="240" w:lineRule="auto"/>
              <w:ind w:firstLine="0" w:firstLineChars="0"/>
              <w:jc w:val="center"/>
              <w:rPr>
                <w:color w:val="000000" w:themeColor="text1"/>
                <w:kern w:val="0"/>
                <w:sz w:val="21"/>
                <w14:textFill>
                  <w14:solidFill>
                    <w14:schemeClr w14:val="tx1"/>
                  </w14:solidFill>
                </w14:textFill>
              </w:rPr>
            </w:pPr>
          </w:p>
        </w:tc>
        <w:tc>
          <w:tcPr>
            <w:tcW w:w="1154" w:type="dxa"/>
            <w:vAlign w:val="center"/>
          </w:tcPr>
          <w:p w14:paraId="50C8514C">
            <w:pPr>
              <w:spacing w:line="240" w:lineRule="auto"/>
              <w:ind w:firstLine="0" w:firstLineChars="0"/>
              <w:jc w:val="center"/>
              <w:rPr>
                <w:color w:val="000000" w:themeColor="text1"/>
                <w:kern w:val="0"/>
                <w:sz w:val="21"/>
                <w14:textFill>
                  <w14:solidFill>
                    <w14:schemeClr w14:val="tx1"/>
                  </w14:solidFill>
                </w14:textFill>
              </w:rPr>
            </w:pPr>
            <w:r>
              <w:rPr>
                <w:rFonts w:hint="eastAsia"/>
                <w:color w:val="000000" w:themeColor="text1"/>
                <w:kern w:val="0"/>
                <w:sz w:val="21"/>
                <w14:textFill>
                  <w14:solidFill>
                    <w14:schemeClr w14:val="tx1"/>
                  </w14:solidFill>
                </w14:textFill>
              </w:rPr>
              <w:t>多毛类</w:t>
            </w:r>
          </w:p>
        </w:tc>
        <w:tc>
          <w:tcPr>
            <w:tcW w:w="1613" w:type="dxa"/>
            <w:noWrap/>
            <w:vAlign w:val="center"/>
          </w:tcPr>
          <w:p w14:paraId="2CAAD4BE">
            <w:pPr>
              <w:spacing w:line="240" w:lineRule="auto"/>
              <w:ind w:firstLine="0" w:firstLineChars="0"/>
              <w:jc w:val="center"/>
              <w:rPr>
                <w:color w:val="000000" w:themeColor="text1"/>
                <w:kern w:val="0"/>
                <w:sz w:val="21"/>
                <w14:textFill>
                  <w14:solidFill>
                    <w14:schemeClr w14:val="tx1"/>
                  </w14:solidFill>
                </w14:textFill>
              </w:rPr>
            </w:pPr>
            <w:r>
              <w:rPr>
                <w:rFonts w:hint="eastAsia"/>
                <w:color w:val="000000" w:themeColor="text1"/>
                <w:sz w:val="21"/>
                <w14:textFill>
                  <w14:solidFill>
                    <w14:schemeClr w14:val="tx1"/>
                  </w14:solidFill>
                </w14:textFill>
              </w:rPr>
              <w:t>欧努菲虫</w:t>
            </w:r>
          </w:p>
        </w:tc>
        <w:tc>
          <w:tcPr>
            <w:tcW w:w="2329" w:type="dxa"/>
            <w:noWrap/>
            <w:vAlign w:val="center"/>
          </w:tcPr>
          <w:p w14:paraId="0B4C0578">
            <w:pPr>
              <w:spacing w:line="240" w:lineRule="auto"/>
              <w:ind w:firstLine="0" w:firstLineChars="0"/>
              <w:jc w:val="center"/>
              <w:rPr>
                <w:color w:val="000000" w:themeColor="text1"/>
                <w:kern w:val="0"/>
                <w:sz w:val="21"/>
                <w14:textFill>
                  <w14:solidFill>
                    <w14:schemeClr w14:val="tx1"/>
                  </w14:solidFill>
                </w14:textFill>
              </w:rPr>
            </w:pPr>
            <w:r>
              <w:rPr>
                <w:i/>
                <w:iCs/>
                <w:color w:val="000000" w:themeColor="text1"/>
                <w:sz w:val="21"/>
                <w14:textFill>
                  <w14:solidFill>
                    <w14:schemeClr w14:val="tx1"/>
                  </w14:solidFill>
                </w14:textFill>
              </w:rPr>
              <w:t>Onuphis eremita</w:t>
            </w:r>
          </w:p>
        </w:tc>
        <w:tc>
          <w:tcPr>
            <w:tcW w:w="1312" w:type="dxa"/>
            <w:noWrap/>
            <w:vAlign w:val="center"/>
          </w:tcPr>
          <w:p w14:paraId="06A53EF3">
            <w:pPr>
              <w:spacing w:line="240" w:lineRule="auto"/>
              <w:ind w:firstLine="0" w:firstLineChars="0"/>
              <w:jc w:val="center"/>
              <w:rPr>
                <w:color w:val="000000" w:themeColor="text1"/>
                <w:kern w:val="0"/>
                <w:sz w:val="21"/>
                <w14:textFill>
                  <w14:solidFill>
                    <w14:schemeClr w14:val="tx1"/>
                  </w14:solidFill>
                </w14:textFill>
              </w:rPr>
            </w:pPr>
          </w:p>
        </w:tc>
        <w:tc>
          <w:tcPr>
            <w:tcW w:w="1416" w:type="dxa"/>
            <w:noWrap/>
            <w:vAlign w:val="center"/>
          </w:tcPr>
          <w:p w14:paraId="61E77942">
            <w:pPr>
              <w:spacing w:line="240" w:lineRule="auto"/>
              <w:ind w:firstLine="0" w:firstLineChars="0"/>
              <w:jc w:val="center"/>
              <w:rPr>
                <w:color w:val="000000" w:themeColor="text1"/>
                <w:kern w:val="0"/>
                <w:sz w:val="21"/>
                <w14:textFill>
                  <w14:solidFill>
                    <w14:schemeClr w14:val="tx1"/>
                  </w14:solidFill>
                </w14:textFill>
              </w:rPr>
            </w:pPr>
          </w:p>
        </w:tc>
      </w:tr>
      <w:tr w14:paraId="7FFCC87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98" w:type="dxa"/>
            <w:vMerge w:val="continue"/>
            <w:noWrap/>
            <w:vAlign w:val="center"/>
          </w:tcPr>
          <w:p w14:paraId="7F236AA9">
            <w:pPr>
              <w:spacing w:line="240" w:lineRule="auto"/>
              <w:ind w:firstLine="0" w:firstLineChars="0"/>
              <w:jc w:val="center"/>
              <w:rPr>
                <w:color w:val="000000" w:themeColor="text1"/>
                <w:kern w:val="0"/>
                <w:sz w:val="21"/>
                <w14:textFill>
                  <w14:solidFill>
                    <w14:schemeClr w14:val="tx1"/>
                  </w14:solidFill>
                </w14:textFill>
              </w:rPr>
            </w:pPr>
          </w:p>
        </w:tc>
        <w:tc>
          <w:tcPr>
            <w:tcW w:w="1154" w:type="dxa"/>
            <w:vAlign w:val="center"/>
          </w:tcPr>
          <w:p w14:paraId="122BF436">
            <w:pPr>
              <w:spacing w:line="240" w:lineRule="auto"/>
              <w:ind w:firstLine="0" w:firstLineChars="0"/>
              <w:jc w:val="center"/>
              <w:rPr>
                <w:color w:val="000000" w:themeColor="text1"/>
                <w:kern w:val="0"/>
                <w:sz w:val="21"/>
                <w14:textFill>
                  <w14:solidFill>
                    <w14:schemeClr w14:val="tx1"/>
                  </w14:solidFill>
                </w14:textFill>
              </w:rPr>
            </w:pPr>
            <w:r>
              <w:rPr>
                <w:rFonts w:hint="eastAsia"/>
                <w:color w:val="000000" w:themeColor="text1"/>
                <w:kern w:val="0"/>
                <w:sz w:val="21"/>
                <w14:textFill>
                  <w14:solidFill>
                    <w14:schemeClr w14:val="tx1"/>
                  </w14:solidFill>
                </w14:textFill>
              </w:rPr>
              <w:t>多毛类</w:t>
            </w:r>
          </w:p>
        </w:tc>
        <w:tc>
          <w:tcPr>
            <w:tcW w:w="1613" w:type="dxa"/>
            <w:noWrap/>
            <w:vAlign w:val="center"/>
          </w:tcPr>
          <w:p w14:paraId="004C0B0D">
            <w:pPr>
              <w:spacing w:line="240" w:lineRule="auto"/>
              <w:ind w:firstLine="0" w:firstLineChars="0"/>
              <w:jc w:val="center"/>
              <w:rPr>
                <w:color w:val="000000" w:themeColor="text1"/>
                <w:kern w:val="0"/>
                <w:sz w:val="21"/>
                <w14:textFill>
                  <w14:solidFill>
                    <w14:schemeClr w14:val="tx1"/>
                  </w14:solidFill>
                </w14:textFill>
              </w:rPr>
            </w:pPr>
            <w:r>
              <w:rPr>
                <w:rFonts w:hint="eastAsia"/>
                <w:color w:val="000000" w:themeColor="text1"/>
                <w:sz w:val="21"/>
                <w14:textFill>
                  <w14:solidFill>
                    <w14:schemeClr w14:val="tx1"/>
                  </w14:solidFill>
                </w14:textFill>
              </w:rPr>
              <w:t>短叶索沙蚕</w:t>
            </w:r>
          </w:p>
        </w:tc>
        <w:tc>
          <w:tcPr>
            <w:tcW w:w="2329" w:type="dxa"/>
            <w:noWrap/>
            <w:vAlign w:val="center"/>
          </w:tcPr>
          <w:p w14:paraId="0F1BFB57">
            <w:pPr>
              <w:spacing w:line="240" w:lineRule="auto"/>
              <w:ind w:firstLine="0" w:firstLineChars="0"/>
              <w:jc w:val="center"/>
              <w:rPr>
                <w:color w:val="000000" w:themeColor="text1"/>
                <w:kern w:val="0"/>
                <w:sz w:val="21"/>
                <w14:textFill>
                  <w14:solidFill>
                    <w14:schemeClr w14:val="tx1"/>
                  </w14:solidFill>
                </w14:textFill>
              </w:rPr>
            </w:pPr>
            <w:r>
              <w:rPr>
                <w:i/>
                <w:iCs/>
                <w:color w:val="000000" w:themeColor="text1"/>
                <w:sz w:val="21"/>
                <w14:textFill>
                  <w14:solidFill>
                    <w14:schemeClr w14:val="tx1"/>
                  </w14:solidFill>
                </w14:textFill>
              </w:rPr>
              <w:t>Lumbrineris latreilli</w:t>
            </w:r>
          </w:p>
        </w:tc>
        <w:tc>
          <w:tcPr>
            <w:tcW w:w="1312" w:type="dxa"/>
            <w:noWrap/>
            <w:vAlign w:val="center"/>
          </w:tcPr>
          <w:p w14:paraId="1D466E7C">
            <w:pPr>
              <w:spacing w:line="240" w:lineRule="auto"/>
              <w:ind w:firstLine="0" w:firstLineChars="0"/>
              <w:jc w:val="center"/>
              <w:rPr>
                <w:color w:val="000000" w:themeColor="text1"/>
                <w:kern w:val="0"/>
                <w:sz w:val="21"/>
                <w14:textFill>
                  <w14:solidFill>
                    <w14:schemeClr w14:val="tx1"/>
                  </w14:solidFill>
                </w14:textFill>
              </w:rPr>
            </w:pPr>
          </w:p>
        </w:tc>
        <w:tc>
          <w:tcPr>
            <w:tcW w:w="1416" w:type="dxa"/>
            <w:noWrap/>
            <w:vAlign w:val="center"/>
          </w:tcPr>
          <w:p w14:paraId="360FC664">
            <w:pPr>
              <w:spacing w:line="240" w:lineRule="auto"/>
              <w:ind w:firstLine="0" w:firstLineChars="0"/>
              <w:jc w:val="center"/>
              <w:rPr>
                <w:color w:val="000000" w:themeColor="text1"/>
                <w:kern w:val="0"/>
                <w:sz w:val="21"/>
                <w14:textFill>
                  <w14:solidFill>
                    <w14:schemeClr w14:val="tx1"/>
                  </w14:solidFill>
                </w14:textFill>
              </w:rPr>
            </w:pPr>
          </w:p>
        </w:tc>
      </w:tr>
      <w:tr w14:paraId="6B5E59F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98" w:type="dxa"/>
            <w:vMerge w:val="continue"/>
            <w:noWrap/>
            <w:vAlign w:val="center"/>
          </w:tcPr>
          <w:p w14:paraId="3033D278">
            <w:pPr>
              <w:spacing w:line="240" w:lineRule="auto"/>
              <w:ind w:firstLine="0" w:firstLineChars="0"/>
              <w:jc w:val="center"/>
              <w:rPr>
                <w:color w:val="000000" w:themeColor="text1"/>
                <w:kern w:val="0"/>
                <w:sz w:val="21"/>
                <w14:textFill>
                  <w14:solidFill>
                    <w14:schemeClr w14:val="tx1"/>
                  </w14:solidFill>
                </w14:textFill>
              </w:rPr>
            </w:pPr>
          </w:p>
        </w:tc>
        <w:tc>
          <w:tcPr>
            <w:tcW w:w="1154" w:type="dxa"/>
            <w:vAlign w:val="center"/>
          </w:tcPr>
          <w:p w14:paraId="09B806B8">
            <w:pPr>
              <w:spacing w:line="240" w:lineRule="auto"/>
              <w:ind w:firstLine="0" w:firstLineChars="0"/>
              <w:jc w:val="center"/>
              <w:rPr>
                <w:color w:val="000000" w:themeColor="text1"/>
                <w:kern w:val="0"/>
                <w:sz w:val="21"/>
                <w14:textFill>
                  <w14:solidFill>
                    <w14:schemeClr w14:val="tx1"/>
                  </w14:solidFill>
                </w14:textFill>
              </w:rPr>
            </w:pPr>
            <w:r>
              <w:rPr>
                <w:rFonts w:hint="eastAsia"/>
                <w:color w:val="000000" w:themeColor="text1"/>
                <w:kern w:val="0"/>
                <w:sz w:val="21"/>
                <w14:textFill>
                  <w14:solidFill>
                    <w14:schemeClr w14:val="tx1"/>
                  </w14:solidFill>
                </w14:textFill>
              </w:rPr>
              <w:t>多毛类</w:t>
            </w:r>
          </w:p>
        </w:tc>
        <w:tc>
          <w:tcPr>
            <w:tcW w:w="1613" w:type="dxa"/>
            <w:noWrap/>
            <w:vAlign w:val="center"/>
          </w:tcPr>
          <w:p w14:paraId="217B1375">
            <w:pPr>
              <w:spacing w:line="240" w:lineRule="auto"/>
              <w:ind w:firstLine="0" w:firstLineChars="0"/>
              <w:jc w:val="center"/>
              <w:rPr>
                <w:color w:val="000000" w:themeColor="text1"/>
                <w:kern w:val="0"/>
                <w:sz w:val="21"/>
                <w14:textFill>
                  <w14:solidFill>
                    <w14:schemeClr w14:val="tx1"/>
                  </w14:solidFill>
                </w14:textFill>
              </w:rPr>
            </w:pPr>
            <w:r>
              <w:rPr>
                <w:rFonts w:hint="eastAsia"/>
                <w:color w:val="000000" w:themeColor="text1"/>
                <w:sz w:val="21"/>
                <w14:textFill>
                  <w14:solidFill>
                    <w14:schemeClr w14:val="tx1"/>
                  </w14:solidFill>
                </w14:textFill>
              </w:rPr>
              <w:t>中华沙蚕</w:t>
            </w:r>
          </w:p>
        </w:tc>
        <w:tc>
          <w:tcPr>
            <w:tcW w:w="2329" w:type="dxa"/>
            <w:noWrap/>
            <w:vAlign w:val="center"/>
          </w:tcPr>
          <w:p w14:paraId="7E7FCFDF">
            <w:pPr>
              <w:spacing w:line="240" w:lineRule="auto"/>
              <w:ind w:firstLine="0" w:firstLineChars="0"/>
              <w:jc w:val="center"/>
              <w:rPr>
                <w:color w:val="000000" w:themeColor="text1"/>
                <w:kern w:val="0"/>
                <w:sz w:val="21"/>
                <w14:textFill>
                  <w14:solidFill>
                    <w14:schemeClr w14:val="tx1"/>
                  </w14:solidFill>
                </w14:textFill>
              </w:rPr>
            </w:pPr>
            <w:r>
              <w:rPr>
                <w:i/>
                <w:iCs/>
                <w:color w:val="000000" w:themeColor="text1"/>
                <w:sz w:val="21"/>
                <w14:textFill>
                  <w14:solidFill>
                    <w14:schemeClr w14:val="tx1"/>
                  </w14:solidFill>
                </w14:textFill>
              </w:rPr>
              <w:t>Neanthes sinensis</w:t>
            </w:r>
          </w:p>
        </w:tc>
        <w:tc>
          <w:tcPr>
            <w:tcW w:w="1312" w:type="dxa"/>
            <w:noWrap/>
            <w:vAlign w:val="center"/>
          </w:tcPr>
          <w:p w14:paraId="106CEAC3">
            <w:pPr>
              <w:spacing w:line="240" w:lineRule="auto"/>
              <w:ind w:firstLine="0" w:firstLineChars="0"/>
              <w:jc w:val="center"/>
              <w:rPr>
                <w:color w:val="000000" w:themeColor="text1"/>
                <w:kern w:val="0"/>
                <w:sz w:val="21"/>
                <w14:textFill>
                  <w14:solidFill>
                    <w14:schemeClr w14:val="tx1"/>
                  </w14:solidFill>
                </w14:textFill>
              </w:rPr>
            </w:pPr>
          </w:p>
        </w:tc>
        <w:tc>
          <w:tcPr>
            <w:tcW w:w="1416" w:type="dxa"/>
            <w:noWrap/>
            <w:vAlign w:val="center"/>
          </w:tcPr>
          <w:p w14:paraId="597B0A2F">
            <w:pPr>
              <w:spacing w:line="240" w:lineRule="auto"/>
              <w:ind w:firstLine="0" w:firstLineChars="0"/>
              <w:jc w:val="center"/>
              <w:rPr>
                <w:color w:val="000000" w:themeColor="text1"/>
                <w:kern w:val="0"/>
                <w:sz w:val="21"/>
                <w14:textFill>
                  <w14:solidFill>
                    <w14:schemeClr w14:val="tx1"/>
                  </w14:solidFill>
                </w14:textFill>
              </w:rPr>
            </w:pPr>
          </w:p>
        </w:tc>
      </w:tr>
    </w:tbl>
    <w:p w14:paraId="30727879">
      <w:pPr>
        <w:ind w:firstLine="480"/>
        <w:rPr>
          <w:bCs/>
          <w:color w:val="000000" w:themeColor="text1"/>
          <w:lang w:bidi="zh-CN"/>
          <w14:textFill>
            <w14:solidFill>
              <w14:schemeClr w14:val="tx1"/>
            </w14:solidFill>
          </w14:textFill>
        </w:rPr>
      </w:pPr>
      <w:r>
        <w:rPr>
          <w:rFonts w:hint="eastAsia"/>
          <w:bCs/>
          <w:color w:val="000000" w:themeColor="text1"/>
          <w:lang w:bidi="zh-CN"/>
          <w14:textFill>
            <w14:solidFill>
              <w14:schemeClr w14:val="tx1"/>
            </w14:solidFill>
          </w14:textFill>
        </w:rPr>
        <w:t>5</w:t>
      </w:r>
      <w:r>
        <w:rPr>
          <w:bCs/>
          <w:color w:val="000000" w:themeColor="text1"/>
          <w:lang w:bidi="zh-CN"/>
          <w14:textFill>
            <w14:solidFill>
              <w14:schemeClr w14:val="tx1"/>
            </w14:solidFill>
          </w14:textFill>
        </w:rPr>
        <w:t>）</w:t>
      </w:r>
      <w:r>
        <w:rPr>
          <w:rFonts w:hint="eastAsia"/>
          <w:bCs/>
          <w:color w:val="000000" w:themeColor="text1"/>
          <w:lang w:bidi="zh-CN"/>
          <w14:textFill>
            <w14:solidFill>
              <w14:schemeClr w14:val="tx1"/>
            </w14:solidFill>
          </w14:textFill>
        </w:rPr>
        <w:t>游泳动物</w:t>
      </w:r>
    </w:p>
    <w:p w14:paraId="4A34F95A">
      <w:pPr>
        <w:ind w:firstLine="480"/>
        <w:rPr>
          <w:color w:val="000000" w:themeColor="text1"/>
          <w:u w:val="single"/>
          <w14:textFill>
            <w14:solidFill>
              <w14:schemeClr w14:val="tx1"/>
            </w14:solidFill>
          </w14:textFill>
        </w:rPr>
      </w:pPr>
      <w:r>
        <w:rPr>
          <w:color w:val="000000" w:themeColor="text1"/>
          <w:u w:val="single"/>
          <w14:textFill>
            <w14:solidFill>
              <w14:schemeClr w14:val="tx1"/>
            </w14:solidFill>
          </w14:textFill>
        </w:rPr>
        <w:t>本次调查</w:t>
      </w:r>
      <w:r>
        <w:rPr>
          <w:rFonts w:hint="eastAsia"/>
          <w:color w:val="000000" w:themeColor="text1"/>
          <w:u w:val="single"/>
          <w14:textFill>
            <w14:solidFill>
              <w14:schemeClr w14:val="tx1"/>
            </w14:solidFill>
          </w14:textFill>
        </w:rPr>
        <w:t>共采集到渔获物18种，其中鱼类14种，蟹类3种，头足类1种。平均游泳动物渔获量和相对资源密度见下表。</w:t>
      </w:r>
    </w:p>
    <w:p w14:paraId="54FCAB46">
      <w:pPr>
        <w:pStyle w:val="7"/>
        <w:rPr>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游泳动物调查结果表</w:t>
      </w:r>
    </w:p>
    <w:tbl>
      <w:tblPr>
        <w:tblStyle w:val="43"/>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686"/>
        <w:gridCol w:w="910"/>
        <w:gridCol w:w="1362"/>
        <w:gridCol w:w="1407"/>
        <w:gridCol w:w="1419"/>
        <w:gridCol w:w="1363"/>
        <w:gridCol w:w="1375"/>
      </w:tblGrid>
      <w:tr w14:paraId="7EF117E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0" w:type="auto"/>
            <w:vMerge w:val="restart"/>
            <w:noWrap/>
            <w:vAlign w:val="center"/>
          </w:tcPr>
          <w:p w14:paraId="66B1EF7E">
            <w:pPr>
              <w:spacing w:line="240" w:lineRule="auto"/>
              <w:ind w:firstLine="0" w:firstLineChars="0"/>
              <w:jc w:val="center"/>
              <w:rPr>
                <w:b/>
                <w:bCs/>
                <w:color w:val="000000" w:themeColor="text1"/>
                <w:kern w:val="0"/>
                <w:sz w:val="21"/>
                <w14:textFill>
                  <w14:solidFill>
                    <w14:schemeClr w14:val="tx1"/>
                  </w14:solidFill>
                </w14:textFill>
              </w:rPr>
            </w:pPr>
            <w:r>
              <w:rPr>
                <w:b/>
                <w:bCs/>
                <w:color w:val="000000" w:themeColor="text1"/>
                <w:kern w:val="0"/>
                <w:sz w:val="21"/>
                <w14:textFill>
                  <w14:solidFill>
                    <w14:schemeClr w14:val="tx1"/>
                  </w14:solidFill>
                </w14:textFill>
              </w:rPr>
              <w:t>站位</w:t>
            </w:r>
          </w:p>
        </w:tc>
        <w:tc>
          <w:tcPr>
            <w:tcW w:w="0" w:type="auto"/>
            <w:vMerge w:val="restart"/>
            <w:noWrap/>
            <w:vAlign w:val="center"/>
          </w:tcPr>
          <w:p w14:paraId="0167A41A">
            <w:pPr>
              <w:spacing w:line="240" w:lineRule="auto"/>
              <w:ind w:firstLine="0" w:firstLineChars="0"/>
              <w:jc w:val="center"/>
              <w:rPr>
                <w:b/>
                <w:bCs/>
                <w:color w:val="000000" w:themeColor="text1"/>
                <w:kern w:val="0"/>
                <w:sz w:val="21"/>
                <w14:textFill>
                  <w14:solidFill>
                    <w14:schemeClr w14:val="tx1"/>
                  </w14:solidFill>
                </w14:textFill>
              </w:rPr>
            </w:pPr>
            <w:r>
              <w:rPr>
                <w:b/>
                <w:bCs/>
                <w:color w:val="000000" w:themeColor="text1"/>
                <w:kern w:val="0"/>
                <w:sz w:val="21"/>
                <w14:textFill>
                  <w14:solidFill>
                    <w14:schemeClr w14:val="tx1"/>
                  </w14:solidFill>
                </w14:textFill>
              </w:rPr>
              <w:t>类群</w:t>
            </w:r>
          </w:p>
        </w:tc>
        <w:tc>
          <w:tcPr>
            <w:tcW w:w="0" w:type="auto"/>
            <w:vMerge w:val="restart"/>
            <w:noWrap/>
            <w:vAlign w:val="center"/>
          </w:tcPr>
          <w:p w14:paraId="17984AC2">
            <w:pPr>
              <w:spacing w:line="240" w:lineRule="auto"/>
              <w:ind w:firstLine="0" w:firstLineChars="0"/>
              <w:jc w:val="center"/>
              <w:rPr>
                <w:b/>
                <w:bCs/>
                <w:color w:val="000000" w:themeColor="text1"/>
                <w:kern w:val="0"/>
                <w:sz w:val="21"/>
                <w14:textFill>
                  <w14:solidFill>
                    <w14:schemeClr w14:val="tx1"/>
                  </w14:solidFill>
                </w14:textFill>
              </w:rPr>
            </w:pPr>
            <w:r>
              <w:rPr>
                <w:b/>
                <w:bCs/>
                <w:color w:val="000000" w:themeColor="text1"/>
                <w:kern w:val="0"/>
                <w:sz w:val="21"/>
                <w14:textFill>
                  <w14:solidFill>
                    <w14:schemeClr w14:val="tx1"/>
                  </w14:solidFill>
                </w14:textFill>
              </w:rPr>
              <w:t>种</w:t>
            </w:r>
            <w:r>
              <w:rPr>
                <w:rFonts w:hint="eastAsia"/>
                <w:b/>
                <w:bCs/>
                <w:color w:val="000000" w:themeColor="text1"/>
                <w:kern w:val="0"/>
                <w:sz w:val="21"/>
                <w14:textFill>
                  <w14:solidFill>
                    <w14:schemeClr w14:val="tx1"/>
                  </w14:solidFill>
                </w14:textFill>
              </w:rPr>
              <w:t>名</w:t>
            </w:r>
          </w:p>
        </w:tc>
        <w:tc>
          <w:tcPr>
            <w:tcW w:w="0" w:type="auto"/>
            <w:noWrap/>
            <w:vAlign w:val="center"/>
          </w:tcPr>
          <w:p w14:paraId="151C0357">
            <w:pPr>
              <w:spacing w:line="240" w:lineRule="auto"/>
              <w:ind w:firstLine="0" w:firstLineChars="0"/>
              <w:jc w:val="center"/>
              <w:rPr>
                <w:b/>
                <w:bCs/>
                <w:color w:val="000000" w:themeColor="text1"/>
                <w:kern w:val="0"/>
                <w:sz w:val="21"/>
                <w14:textFill>
                  <w14:solidFill>
                    <w14:schemeClr w14:val="tx1"/>
                  </w14:solidFill>
                </w14:textFill>
              </w:rPr>
            </w:pPr>
            <w:r>
              <w:rPr>
                <w:b/>
                <w:bCs/>
                <w:color w:val="000000" w:themeColor="text1"/>
                <w:kern w:val="0"/>
                <w:sz w:val="21"/>
                <w14:textFill>
                  <w14:solidFill>
                    <w14:schemeClr w14:val="tx1"/>
                  </w14:solidFill>
                </w14:textFill>
              </w:rPr>
              <w:t>渔获尾数</w:t>
            </w:r>
          </w:p>
        </w:tc>
        <w:tc>
          <w:tcPr>
            <w:tcW w:w="0" w:type="auto"/>
            <w:noWrap/>
            <w:vAlign w:val="center"/>
          </w:tcPr>
          <w:p w14:paraId="18D38ABA">
            <w:pPr>
              <w:spacing w:line="240" w:lineRule="auto"/>
              <w:ind w:firstLine="0" w:firstLineChars="0"/>
              <w:jc w:val="center"/>
              <w:rPr>
                <w:b/>
                <w:bCs/>
                <w:color w:val="000000" w:themeColor="text1"/>
                <w:kern w:val="0"/>
                <w:sz w:val="21"/>
                <w14:textFill>
                  <w14:solidFill>
                    <w14:schemeClr w14:val="tx1"/>
                  </w14:solidFill>
                </w14:textFill>
              </w:rPr>
            </w:pPr>
            <w:r>
              <w:rPr>
                <w:b/>
                <w:bCs/>
                <w:color w:val="000000" w:themeColor="text1"/>
                <w:kern w:val="0"/>
                <w:sz w:val="21"/>
                <w14:textFill>
                  <w14:solidFill>
                    <w14:schemeClr w14:val="tx1"/>
                  </w14:solidFill>
                </w14:textFill>
              </w:rPr>
              <w:t>渔获重量</w:t>
            </w:r>
          </w:p>
        </w:tc>
        <w:tc>
          <w:tcPr>
            <w:tcW w:w="0" w:type="auto"/>
            <w:noWrap/>
            <w:vAlign w:val="center"/>
          </w:tcPr>
          <w:p w14:paraId="2286FC2A">
            <w:pPr>
              <w:spacing w:line="240" w:lineRule="auto"/>
              <w:ind w:firstLine="0" w:firstLineChars="0"/>
              <w:jc w:val="center"/>
              <w:rPr>
                <w:b/>
                <w:bCs/>
                <w:color w:val="000000" w:themeColor="text1"/>
                <w:kern w:val="0"/>
                <w:sz w:val="21"/>
                <w14:textFill>
                  <w14:solidFill>
                    <w14:schemeClr w14:val="tx1"/>
                  </w14:solidFill>
                </w14:textFill>
              </w:rPr>
            </w:pPr>
            <w:r>
              <w:rPr>
                <w:b/>
                <w:bCs/>
                <w:color w:val="000000" w:themeColor="text1"/>
                <w:kern w:val="0"/>
                <w:sz w:val="21"/>
                <w14:textFill>
                  <w14:solidFill>
                    <w14:schemeClr w14:val="tx1"/>
                  </w14:solidFill>
                </w14:textFill>
              </w:rPr>
              <w:t>尾数相对</w:t>
            </w:r>
          </w:p>
          <w:p w14:paraId="5A61AFFE">
            <w:pPr>
              <w:spacing w:line="240" w:lineRule="auto"/>
              <w:ind w:firstLine="0" w:firstLineChars="0"/>
              <w:jc w:val="center"/>
              <w:rPr>
                <w:b/>
                <w:bCs/>
                <w:color w:val="000000" w:themeColor="text1"/>
                <w:kern w:val="0"/>
                <w:sz w:val="21"/>
                <w14:textFill>
                  <w14:solidFill>
                    <w14:schemeClr w14:val="tx1"/>
                  </w14:solidFill>
                </w14:textFill>
              </w:rPr>
            </w:pPr>
            <w:r>
              <w:rPr>
                <w:b/>
                <w:bCs/>
                <w:color w:val="000000" w:themeColor="text1"/>
                <w:kern w:val="0"/>
                <w:sz w:val="21"/>
                <w14:textFill>
                  <w14:solidFill>
                    <w14:schemeClr w14:val="tx1"/>
                  </w14:solidFill>
                </w14:textFill>
              </w:rPr>
              <w:t>资源密度</w:t>
            </w:r>
          </w:p>
        </w:tc>
        <w:tc>
          <w:tcPr>
            <w:tcW w:w="0" w:type="auto"/>
            <w:noWrap/>
            <w:vAlign w:val="center"/>
          </w:tcPr>
          <w:p w14:paraId="4F7183E5">
            <w:pPr>
              <w:spacing w:line="240" w:lineRule="auto"/>
              <w:ind w:firstLine="0" w:firstLineChars="0"/>
              <w:jc w:val="center"/>
              <w:rPr>
                <w:b/>
                <w:bCs/>
                <w:color w:val="000000" w:themeColor="text1"/>
                <w:kern w:val="0"/>
                <w:sz w:val="21"/>
                <w14:textFill>
                  <w14:solidFill>
                    <w14:schemeClr w14:val="tx1"/>
                  </w14:solidFill>
                </w14:textFill>
              </w:rPr>
            </w:pPr>
            <w:r>
              <w:rPr>
                <w:b/>
                <w:bCs/>
                <w:color w:val="000000" w:themeColor="text1"/>
                <w:kern w:val="0"/>
                <w:sz w:val="21"/>
                <w14:textFill>
                  <w14:solidFill>
                    <w14:schemeClr w14:val="tx1"/>
                  </w14:solidFill>
                </w14:textFill>
              </w:rPr>
              <w:t>重量相对</w:t>
            </w:r>
          </w:p>
          <w:p w14:paraId="34D812DD">
            <w:pPr>
              <w:spacing w:line="240" w:lineRule="auto"/>
              <w:ind w:firstLine="0" w:firstLineChars="0"/>
              <w:jc w:val="center"/>
              <w:rPr>
                <w:b/>
                <w:bCs/>
                <w:color w:val="000000" w:themeColor="text1"/>
                <w:kern w:val="0"/>
                <w:sz w:val="21"/>
                <w14:textFill>
                  <w14:solidFill>
                    <w14:schemeClr w14:val="tx1"/>
                  </w14:solidFill>
                </w14:textFill>
              </w:rPr>
            </w:pPr>
            <w:r>
              <w:rPr>
                <w:b/>
                <w:bCs/>
                <w:color w:val="000000" w:themeColor="text1"/>
                <w:kern w:val="0"/>
                <w:sz w:val="21"/>
                <w14:textFill>
                  <w14:solidFill>
                    <w14:schemeClr w14:val="tx1"/>
                  </w14:solidFill>
                </w14:textFill>
              </w:rPr>
              <w:t>资源密度</w:t>
            </w:r>
          </w:p>
        </w:tc>
      </w:tr>
      <w:tr w14:paraId="12A1209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0" w:type="auto"/>
            <w:vMerge w:val="continue"/>
            <w:vAlign w:val="center"/>
          </w:tcPr>
          <w:p w14:paraId="32FCE8C4">
            <w:pPr>
              <w:spacing w:line="240" w:lineRule="auto"/>
              <w:ind w:firstLine="0" w:firstLineChars="0"/>
              <w:jc w:val="center"/>
              <w:rPr>
                <w:b/>
                <w:bCs/>
                <w:color w:val="000000" w:themeColor="text1"/>
                <w:kern w:val="0"/>
                <w:sz w:val="21"/>
                <w14:textFill>
                  <w14:solidFill>
                    <w14:schemeClr w14:val="tx1"/>
                  </w14:solidFill>
                </w14:textFill>
              </w:rPr>
            </w:pPr>
          </w:p>
        </w:tc>
        <w:tc>
          <w:tcPr>
            <w:tcW w:w="0" w:type="auto"/>
            <w:vMerge w:val="continue"/>
            <w:vAlign w:val="center"/>
          </w:tcPr>
          <w:p w14:paraId="1C1797AA">
            <w:pPr>
              <w:spacing w:line="240" w:lineRule="auto"/>
              <w:ind w:firstLine="0" w:firstLineChars="0"/>
              <w:jc w:val="center"/>
              <w:rPr>
                <w:b/>
                <w:bCs/>
                <w:color w:val="000000" w:themeColor="text1"/>
                <w:kern w:val="0"/>
                <w:sz w:val="21"/>
                <w14:textFill>
                  <w14:solidFill>
                    <w14:schemeClr w14:val="tx1"/>
                  </w14:solidFill>
                </w14:textFill>
              </w:rPr>
            </w:pPr>
          </w:p>
        </w:tc>
        <w:tc>
          <w:tcPr>
            <w:tcW w:w="0" w:type="auto"/>
            <w:vMerge w:val="continue"/>
            <w:vAlign w:val="center"/>
          </w:tcPr>
          <w:p w14:paraId="75A97A2A">
            <w:pPr>
              <w:spacing w:line="240" w:lineRule="auto"/>
              <w:ind w:firstLine="0" w:firstLineChars="0"/>
              <w:jc w:val="center"/>
              <w:rPr>
                <w:b/>
                <w:bCs/>
                <w:color w:val="000000" w:themeColor="text1"/>
                <w:kern w:val="0"/>
                <w:sz w:val="21"/>
                <w14:textFill>
                  <w14:solidFill>
                    <w14:schemeClr w14:val="tx1"/>
                  </w14:solidFill>
                </w14:textFill>
              </w:rPr>
            </w:pPr>
          </w:p>
        </w:tc>
        <w:tc>
          <w:tcPr>
            <w:tcW w:w="0" w:type="auto"/>
            <w:noWrap/>
            <w:vAlign w:val="center"/>
          </w:tcPr>
          <w:p w14:paraId="4E9CFB17">
            <w:pPr>
              <w:spacing w:line="240" w:lineRule="auto"/>
              <w:ind w:firstLine="0" w:firstLineChars="0"/>
              <w:jc w:val="center"/>
              <w:rPr>
                <w:b/>
                <w:bCs/>
                <w:color w:val="000000" w:themeColor="text1"/>
                <w:kern w:val="0"/>
                <w:sz w:val="21"/>
                <w14:textFill>
                  <w14:solidFill>
                    <w14:schemeClr w14:val="tx1"/>
                  </w14:solidFill>
                </w14:textFill>
              </w:rPr>
            </w:pPr>
            <w:r>
              <w:rPr>
                <w:b/>
                <w:bCs/>
                <w:color w:val="000000" w:themeColor="text1"/>
                <w:kern w:val="0"/>
                <w:sz w:val="21"/>
                <w14:textFill>
                  <w14:solidFill>
                    <w14:schemeClr w14:val="tx1"/>
                  </w14:solidFill>
                </w14:textFill>
              </w:rPr>
              <w:t>（</w:t>
            </w:r>
            <w:r>
              <w:rPr>
                <w:rFonts w:hint="eastAsia"/>
                <w:b/>
                <w:bCs/>
                <w:color w:val="000000" w:themeColor="text1"/>
                <w:kern w:val="0"/>
                <w:sz w:val="21"/>
                <w14:textFill>
                  <w14:solidFill>
                    <w14:schemeClr w14:val="tx1"/>
                  </w14:solidFill>
                </w14:textFill>
              </w:rPr>
              <w:t>个</w:t>
            </w:r>
            <w:r>
              <w:rPr>
                <w:b/>
                <w:bCs/>
                <w:color w:val="000000" w:themeColor="text1"/>
                <w:kern w:val="0"/>
                <w:sz w:val="21"/>
                <w14:textFill>
                  <w14:solidFill>
                    <w14:schemeClr w14:val="tx1"/>
                  </w14:solidFill>
                </w14:textFill>
              </w:rPr>
              <w:t>/网•h）</w:t>
            </w:r>
          </w:p>
        </w:tc>
        <w:tc>
          <w:tcPr>
            <w:tcW w:w="0" w:type="auto"/>
            <w:noWrap/>
            <w:vAlign w:val="center"/>
          </w:tcPr>
          <w:p w14:paraId="4F3AB8A6">
            <w:pPr>
              <w:spacing w:line="240" w:lineRule="auto"/>
              <w:ind w:firstLine="0" w:firstLineChars="0"/>
              <w:jc w:val="center"/>
              <w:rPr>
                <w:b/>
                <w:bCs/>
                <w:color w:val="000000" w:themeColor="text1"/>
                <w:kern w:val="0"/>
                <w:sz w:val="21"/>
                <w14:textFill>
                  <w14:solidFill>
                    <w14:schemeClr w14:val="tx1"/>
                  </w14:solidFill>
                </w14:textFill>
              </w:rPr>
            </w:pPr>
            <w:r>
              <w:rPr>
                <w:b/>
                <w:bCs/>
                <w:color w:val="000000" w:themeColor="text1"/>
                <w:kern w:val="0"/>
                <w:sz w:val="21"/>
                <w14:textFill>
                  <w14:solidFill>
                    <w14:schemeClr w14:val="tx1"/>
                  </w14:solidFill>
                </w14:textFill>
              </w:rPr>
              <w:t>（kg/网•h）</w:t>
            </w:r>
          </w:p>
        </w:tc>
        <w:tc>
          <w:tcPr>
            <w:tcW w:w="0" w:type="auto"/>
            <w:noWrap/>
            <w:vAlign w:val="center"/>
          </w:tcPr>
          <w:p w14:paraId="76646E62">
            <w:pPr>
              <w:spacing w:line="240" w:lineRule="auto"/>
              <w:ind w:firstLine="0" w:firstLineChars="0"/>
              <w:jc w:val="center"/>
              <w:rPr>
                <w:b/>
                <w:bCs/>
                <w:color w:val="000000" w:themeColor="text1"/>
                <w:kern w:val="0"/>
                <w:sz w:val="21"/>
                <w14:textFill>
                  <w14:solidFill>
                    <w14:schemeClr w14:val="tx1"/>
                  </w14:solidFill>
                </w14:textFill>
              </w:rPr>
            </w:pPr>
            <w:r>
              <w:rPr>
                <w:b/>
                <w:bCs/>
                <w:color w:val="000000" w:themeColor="text1"/>
                <w:kern w:val="0"/>
                <w:sz w:val="21"/>
                <w14:textFill>
                  <w14:solidFill>
                    <w14:schemeClr w14:val="tx1"/>
                  </w14:solidFill>
                </w14:textFill>
              </w:rPr>
              <w:t>（</w:t>
            </w:r>
            <w:r>
              <w:rPr>
                <w:rFonts w:hint="eastAsia"/>
                <w:b/>
                <w:bCs/>
                <w:color w:val="000000" w:themeColor="text1"/>
                <w:kern w:val="0"/>
                <w:sz w:val="21"/>
                <w14:textFill>
                  <w14:solidFill>
                    <w14:schemeClr w14:val="tx1"/>
                  </w14:solidFill>
                </w14:textFill>
              </w:rPr>
              <w:t>个</w:t>
            </w:r>
            <w:r>
              <w:rPr>
                <w:b/>
                <w:bCs/>
                <w:color w:val="000000" w:themeColor="text1"/>
                <w:kern w:val="0"/>
                <w:sz w:val="21"/>
                <w14:textFill>
                  <w14:solidFill>
                    <w14:schemeClr w14:val="tx1"/>
                  </w14:solidFill>
                </w14:textFill>
              </w:rPr>
              <w:t>/km</w:t>
            </w:r>
            <w:r>
              <w:rPr>
                <w:b/>
                <w:bCs/>
                <w:color w:val="000000" w:themeColor="text1"/>
                <w:kern w:val="0"/>
                <w:sz w:val="21"/>
                <w:vertAlign w:val="superscript"/>
                <w14:textFill>
                  <w14:solidFill>
                    <w14:schemeClr w14:val="tx1"/>
                  </w14:solidFill>
                </w14:textFill>
              </w:rPr>
              <w:t>2</w:t>
            </w:r>
            <w:r>
              <w:rPr>
                <w:b/>
                <w:bCs/>
                <w:color w:val="000000" w:themeColor="text1"/>
                <w:kern w:val="0"/>
                <w:sz w:val="21"/>
                <w14:textFill>
                  <w14:solidFill>
                    <w14:schemeClr w14:val="tx1"/>
                  </w14:solidFill>
                </w14:textFill>
              </w:rPr>
              <w:t>）</w:t>
            </w:r>
          </w:p>
        </w:tc>
        <w:tc>
          <w:tcPr>
            <w:tcW w:w="0" w:type="auto"/>
            <w:noWrap/>
            <w:vAlign w:val="center"/>
          </w:tcPr>
          <w:p w14:paraId="1190DFD7">
            <w:pPr>
              <w:spacing w:line="240" w:lineRule="auto"/>
              <w:ind w:firstLine="0" w:firstLineChars="0"/>
              <w:jc w:val="center"/>
              <w:rPr>
                <w:b/>
                <w:bCs/>
                <w:color w:val="000000" w:themeColor="text1"/>
                <w:kern w:val="0"/>
                <w:sz w:val="21"/>
                <w14:textFill>
                  <w14:solidFill>
                    <w14:schemeClr w14:val="tx1"/>
                  </w14:solidFill>
                </w14:textFill>
              </w:rPr>
            </w:pPr>
            <w:r>
              <w:rPr>
                <w:b/>
                <w:bCs/>
                <w:color w:val="000000" w:themeColor="text1"/>
                <w:kern w:val="0"/>
                <w:sz w:val="21"/>
                <w14:textFill>
                  <w14:solidFill>
                    <w14:schemeClr w14:val="tx1"/>
                  </w14:solidFill>
                </w14:textFill>
              </w:rPr>
              <w:t>（kg/km</w:t>
            </w:r>
            <w:r>
              <w:rPr>
                <w:b/>
                <w:bCs/>
                <w:color w:val="000000" w:themeColor="text1"/>
                <w:kern w:val="0"/>
                <w:sz w:val="21"/>
                <w:vertAlign w:val="superscript"/>
                <w14:textFill>
                  <w14:solidFill>
                    <w14:schemeClr w14:val="tx1"/>
                  </w14:solidFill>
                </w14:textFill>
              </w:rPr>
              <w:t>2</w:t>
            </w:r>
            <w:r>
              <w:rPr>
                <w:b/>
                <w:bCs/>
                <w:color w:val="000000" w:themeColor="text1"/>
                <w:kern w:val="0"/>
                <w:sz w:val="21"/>
                <w14:textFill>
                  <w14:solidFill>
                    <w14:schemeClr w14:val="tx1"/>
                  </w14:solidFill>
                </w14:textFill>
              </w:rPr>
              <w:t>）</w:t>
            </w:r>
          </w:p>
        </w:tc>
      </w:tr>
      <w:tr w14:paraId="7BC0848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0" w:type="auto"/>
            <w:vMerge w:val="restart"/>
            <w:noWrap/>
            <w:vAlign w:val="center"/>
          </w:tcPr>
          <w:p w14:paraId="4A7370F7">
            <w:pPr>
              <w:spacing w:line="240" w:lineRule="auto"/>
              <w:ind w:firstLine="0" w:firstLineChars="0"/>
              <w:jc w:val="center"/>
              <w:rPr>
                <w:color w:val="000000" w:themeColor="text1"/>
                <w:kern w:val="0"/>
                <w:sz w:val="21"/>
                <w14:textFill>
                  <w14:solidFill>
                    <w14:schemeClr w14:val="tx1"/>
                  </w14:solidFill>
                </w14:textFill>
              </w:rPr>
            </w:pPr>
            <w:r>
              <w:rPr>
                <w:color w:val="000000" w:themeColor="text1"/>
                <w:kern w:val="0"/>
                <w:sz w:val="21"/>
                <w14:textFill>
                  <w14:solidFill>
                    <w14:schemeClr w14:val="tx1"/>
                  </w14:solidFill>
                </w14:textFill>
              </w:rPr>
              <w:t>S</w:t>
            </w:r>
            <w:r>
              <w:rPr>
                <w:rFonts w:hint="eastAsia"/>
                <w:color w:val="000000" w:themeColor="text1"/>
                <w:kern w:val="0"/>
                <w:sz w:val="21"/>
                <w14:textFill>
                  <w14:solidFill>
                    <w14:schemeClr w14:val="tx1"/>
                  </w14:solidFill>
                </w14:textFill>
              </w:rPr>
              <w:t>4</w:t>
            </w:r>
          </w:p>
        </w:tc>
        <w:tc>
          <w:tcPr>
            <w:tcW w:w="0" w:type="auto"/>
            <w:vMerge w:val="restart"/>
            <w:noWrap/>
            <w:vAlign w:val="center"/>
          </w:tcPr>
          <w:p w14:paraId="2E3847FC">
            <w:pPr>
              <w:spacing w:line="240" w:lineRule="auto"/>
              <w:ind w:firstLine="0" w:firstLineChars="0"/>
              <w:jc w:val="center"/>
              <w:rPr>
                <w:color w:val="000000" w:themeColor="text1"/>
                <w:kern w:val="0"/>
                <w:sz w:val="21"/>
                <w14:textFill>
                  <w14:solidFill>
                    <w14:schemeClr w14:val="tx1"/>
                  </w14:solidFill>
                </w14:textFill>
              </w:rPr>
            </w:pPr>
            <w:r>
              <w:rPr>
                <w:color w:val="000000" w:themeColor="text1"/>
                <w:kern w:val="0"/>
                <w:sz w:val="21"/>
                <w14:textFill>
                  <w14:solidFill>
                    <w14:schemeClr w14:val="tx1"/>
                  </w14:solidFill>
                </w14:textFill>
              </w:rPr>
              <w:t>鱼类</w:t>
            </w:r>
          </w:p>
        </w:tc>
        <w:tc>
          <w:tcPr>
            <w:tcW w:w="0" w:type="auto"/>
            <w:noWrap/>
            <w:vAlign w:val="center"/>
          </w:tcPr>
          <w:p w14:paraId="1D2127FE">
            <w:pPr>
              <w:spacing w:line="240" w:lineRule="auto"/>
              <w:ind w:firstLine="0" w:firstLineChars="0"/>
              <w:jc w:val="center"/>
              <w:rPr>
                <w:color w:val="000000" w:themeColor="text1"/>
                <w:kern w:val="0"/>
                <w:sz w:val="21"/>
                <w14:textFill>
                  <w14:solidFill>
                    <w14:schemeClr w14:val="tx1"/>
                  </w14:solidFill>
                </w14:textFill>
              </w:rPr>
            </w:pPr>
            <w:r>
              <w:rPr>
                <w:color w:val="000000" w:themeColor="text1"/>
                <w:kern w:val="0"/>
                <w:sz w:val="21"/>
                <w14:textFill>
                  <w14:solidFill>
                    <w14:schemeClr w14:val="tx1"/>
                  </w14:solidFill>
                </w14:textFill>
              </w:rPr>
              <w:t>棕斑兔头鲀</w:t>
            </w:r>
          </w:p>
        </w:tc>
        <w:tc>
          <w:tcPr>
            <w:tcW w:w="0" w:type="auto"/>
            <w:vMerge w:val="restart"/>
            <w:noWrap/>
            <w:vAlign w:val="center"/>
          </w:tcPr>
          <w:p w14:paraId="67CDBA5F">
            <w:pPr>
              <w:spacing w:line="240" w:lineRule="auto"/>
              <w:ind w:firstLine="0" w:firstLineChars="0"/>
              <w:jc w:val="center"/>
              <w:rPr>
                <w:color w:val="000000" w:themeColor="text1"/>
                <w:kern w:val="0"/>
                <w:sz w:val="21"/>
                <w14:textFill>
                  <w14:solidFill>
                    <w14:schemeClr w14:val="tx1"/>
                  </w14:solidFill>
                </w14:textFill>
              </w:rPr>
            </w:pPr>
          </w:p>
        </w:tc>
        <w:tc>
          <w:tcPr>
            <w:tcW w:w="0" w:type="auto"/>
            <w:vMerge w:val="restart"/>
            <w:noWrap/>
            <w:vAlign w:val="center"/>
          </w:tcPr>
          <w:p w14:paraId="58F74CC1">
            <w:pPr>
              <w:spacing w:line="240" w:lineRule="auto"/>
              <w:ind w:firstLine="0" w:firstLineChars="0"/>
              <w:jc w:val="center"/>
              <w:rPr>
                <w:color w:val="000000" w:themeColor="text1"/>
                <w:kern w:val="0"/>
                <w:sz w:val="21"/>
                <w14:textFill>
                  <w14:solidFill>
                    <w14:schemeClr w14:val="tx1"/>
                  </w14:solidFill>
                </w14:textFill>
              </w:rPr>
            </w:pPr>
          </w:p>
        </w:tc>
        <w:tc>
          <w:tcPr>
            <w:tcW w:w="0" w:type="auto"/>
            <w:vMerge w:val="restart"/>
            <w:noWrap/>
            <w:vAlign w:val="center"/>
          </w:tcPr>
          <w:p w14:paraId="438F6995">
            <w:pPr>
              <w:spacing w:line="240" w:lineRule="auto"/>
              <w:ind w:firstLine="0" w:firstLineChars="0"/>
              <w:jc w:val="center"/>
              <w:rPr>
                <w:color w:val="000000" w:themeColor="text1"/>
                <w:kern w:val="0"/>
                <w:sz w:val="21"/>
                <w14:textFill>
                  <w14:solidFill>
                    <w14:schemeClr w14:val="tx1"/>
                  </w14:solidFill>
                </w14:textFill>
              </w:rPr>
            </w:pPr>
          </w:p>
        </w:tc>
        <w:tc>
          <w:tcPr>
            <w:tcW w:w="0" w:type="auto"/>
            <w:vMerge w:val="restart"/>
            <w:noWrap/>
            <w:vAlign w:val="center"/>
          </w:tcPr>
          <w:p w14:paraId="23202C9C">
            <w:pPr>
              <w:spacing w:line="240" w:lineRule="auto"/>
              <w:ind w:firstLine="0" w:firstLineChars="0"/>
              <w:jc w:val="center"/>
              <w:rPr>
                <w:color w:val="000000" w:themeColor="text1"/>
                <w:kern w:val="0"/>
                <w:sz w:val="21"/>
                <w14:textFill>
                  <w14:solidFill>
                    <w14:schemeClr w14:val="tx1"/>
                  </w14:solidFill>
                </w14:textFill>
              </w:rPr>
            </w:pPr>
          </w:p>
        </w:tc>
      </w:tr>
      <w:tr w14:paraId="260DE80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0" w:type="auto"/>
            <w:vMerge w:val="continue"/>
            <w:vAlign w:val="center"/>
          </w:tcPr>
          <w:p w14:paraId="2DFDB7B9">
            <w:pPr>
              <w:spacing w:line="240" w:lineRule="auto"/>
              <w:ind w:firstLine="0" w:firstLineChars="0"/>
              <w:jc w:val="center"/>
              <w:rPr>
                <w:color w:val="000000" w:themeColor="text1"/>
                <w:kern w:val="0"/>
                <w:sz w:val="21"/>
                <w14:textFill>
                  <w14:solidFill>
                    <w14:schemeClr w14:val="tx1"/>
                  </w14:solidFill>
                </w14:textFill>
              </w:rPr>
            </w:pPr>
          </w:p>
        </w:tc>
        <w:tc>
          <w:tcPr>
            <w:tcW w:w="0" w:type="auto"/>
            <w:vMerge w:val="continue"/>
            <w:vAlign w:val="center"/>
          </w:tcPr>
          <w:p w14:paraId="02E95926">
            <w:pPr>
              <w:spacing w:line="240" w:lineRule="auto"/>
              <w:ind w:firstLine="0" w:firstLineChars="0"/>
              <w:jc w:val="center"/>
              <w:rPr>
                <w:color w:val="000000" w:themeColor="text1"/>
                <w:kern w:val="0"/>
                <w:sz w:val="21"/>
                <w14:textFill>
                  <w14:solidFill>
                    <w14:schemeClr w14:val="tx1"/>
                  </w14:solidFill>
                </w14:textFill>
              </w:rPr>
            </w:pPr>
          </w:p>
        </w:tc>
        <w:tc>
          <w:tcPr>
            <w:tcW w:w="0" w:type="auto"/>
            <w:vAlign w:val="center"/>
          </w:tcPr>
          <w:p w14:paraId="3266BEF1">
            <w:pPr>
              <w:spacing w:line="240" w:lineRule="auto"/>
              <w:ind w:firstLine="0" w:firstLineChars="0"/>
              <w:jc w:val="center"/>
              <w:rPr>
                <w:color w:val="000000" w:themeColor="text1"/>
                <w:kern w:val="0"/>
                <w:sz w:val="21"/>
                <w14:textFill>
                  <w14:solidFill>
                    <w14:schemeClr w14:val="tx1"/>
                  </w14:solidFill>
                </w14:textFill>
              </w:rPr>
            </w:pPr>
            <w:r>
              <w:rPr>
                <w:color w:val="000000" w:themeColor="text1"/>
                <w:kern w:val="0"/>
                <w:sz w:val="21"/>
                <w14:textFill>
                  <w14:solidFill>
                    <w14:schemeClr w14:val="tx1"/>
                  </w14:solidFill>
                </w14:textFill>
              </w:rPr>
              <w:t>克氏副叶鲹</w:t>
            </w:r>
          </w:p>
        </w:tc>
        <w:tc>
          <w:tcPr>
            <w:tcW w:w="0" w:type="auto"/>
            <w:vMerge w:val="continue"/>
            <w:vAlign w:val="center"/>
          </w:tcPr>
          <w:p w14:paraId="72FCDDB9">
            <w:pPr>
              <w:spacing w:line="240" w:lineRule="auto"/>
              <w:ind w:firstLine="0" w:firstLineChars="0"/>
              <w:jc w:val="center"/>
              <w:rPr>
                <w:color w:val="000000" w:themeColor="text1"/>
                <w:kern w:val="0"/>
                <w:sz w:val="21"/>
                <w14:textFill>
                  <w14:solidFill>
                    <w14:schemeClr w14:val="tx1"/>
                  </w14:solidFill>
                </w14:textFill>
              </w:rPr>
            </w:pPr>
          </w:p>
        </w:tc>
        <w:tc>
          <w:tcPr>
            <w:tcW w:w="0" w:type="auto"/>
            <w:vMerge w:val="continue"/>
            <w:vAlign w:val="center"/>
          </w:tcPr>
          <w:p w14:paraId="7B3AABC4">
            <w:pPr>
              <w:spacing w:line="240" w:lineRule="auto"/>
              <w:ind w:firstLine="0" w:firstLineChars="0"/>
              <w:jc w:val="center"/>
              <w:rPr>
                <w:color w:val="000000" w:themeColor="text1"/>
                <w:kern w:val="0"/>
                <w:sz w:val="21"/>
                <w14:textFill>
                  <w14:solidFill>
                    <w14:schemeClr w14:val="tx1"/>
                  </w14:solidFill>
                </w14:textFill>
              </w:rPr>
            </w:pPr>
          </w:p>
        </w:tc>
        <w:tc>
          <w:tcPr>
            <w:tcW w:w="0" w:type="auto"/>
            <w:vMerge w:val="continue"/>
            <w:vAlign w:val="center"/>
          </w:tcPr>
          <w:p w14:paraId="244A5EBC">
            <w:pPr>
              <w:spacing w:line="240" w:lineRule="auto"/>
              <w:ind w:firstLine="0" w:firstLineChars="0"/>
              <w:jc w:val="center"/>
              <w:rPr>
                <w:color w:val="000000" w:themeColor="text1"/>
                <w:kern w:val="0"/>
                <w:sz w:val="21"/>
                <w14:textFill>
                  <w14:solidFill>
                    <w14:schemeClr w14:val="tx1"/>
                  </w14:solidFill>
                </w14:textFill>
              </w:rPr>
            </w:pPr>
          </w:p>
        </w:tc>
        <w:tc>
          <w:tcPr>
            <w:tcW w:w="0" w:type="auto"/>
            <w:vMerge w:val="continue"/>
            <w:vAlign w:val="center"/>
          </w:tcPr>
          <w:p w14:paraId="1C4C1F4F">
            <w:pPr>
              <w:spacing w:line="240" w:lineRule="auto"/>
              <w:ind w:firstLine="0" w:firstLineChars="0"/>
              <w:jc w:val="center"/>
              <w:rPr>
                <w:color w:val="000000" w:themeColor="text1"/>
                <w:kern w:val="0"/>
                <w:sz w:val="21"/>
                <w14:textFill>
                  <w14:solidFill>
                    <w14:schemeClr w14:val="tx1"/>
                  </w14:solidFill>
                </w14:textFill>
              </w:rPr>
            </w:pPr>
          </w:p>
        </w:tc>
      </w:tr>
      <w:tr w14:paraId="0AED7A6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0" w:type="auto"/>
            <w:vMerge w:val="continue"/>
            <w:vAlign w:val="center"/>
          </w:tcPr>
          <w:p w14:paraId="1D308ED3">
            <w:pPr>
              <w:spacing w:line="240" w:lineRule="auto"/>
              <w:ind w:firstLine="0" w:firstLineChars="0"/>
              <w:jc w:val="center"/>
              <w:rPr>
                <w:color w:val="000000" w:themeColor="text1"/>
                <w:kern w:val="0"/>
                <w:sz w:val="21"/>
                <w14:textFill>
                  <w14:solidFill>
                    <w14:schemeClr w14:val="tx1"/>
                  </w14:solidFill>
                </w14:textFill>
              </w:rPr>
            </w:pPr>
          </w:p>
        </w:tc>
        <w:tc>
          <w:tcPr>
            <w:tcW w:w="0" w:type="auto"/>
            <w:vMerge w:val="continue"/>
            <w:vAlign w:val="center"/>
          </w:tcPr>
          <w:p w14:paraId="6F16AB08">
            <w:pPr>
              <w:spacing w:line="240" w:lineRule="auto"/>
              <w:ind w:firstLine="0" w:firstLineChars="0"/>
              <w:jc w:val="center"/>
              <w:rPr>
                <w:color w:val="000000" w:themeColor="text1"/>
                <w:kern w:val="0"/>
                <w:sz w:val="21"/>
                <w14:textFill>
                  <w14:solidFill>
                    <w14:schemeClr w14:val="tx1"/>
                  </w14:solidFill>
                </w14:textFill>
              </w:rPr>
            </w:pPr>
          </w:p>
        </w:tc>
        <w:tc>
          <w:tcPr>
            <w:tcW w:w="0" w:type="auto"/>
            <w:noWrap/>
            <w:vAlign w:val="center"/>
          </w:tcPr>
          <w:p w14:paraId="3B42D44A">
            <w:pPr>
              <w:spacing w:line="240" w:lineRule="auto"/>
              <w:ind w:firstLine="0" w:firstLineChars="0"/>
              <w:jc w:val="center"/>
              <w:rPr>
                <w:color w:val="000000" w:themeColor="text1"/>
                <w:kern w:val="0"/>
                <w:sz w:val="21"/>
                <w14:textFill>
                  <w14:solidFill>
                    <w14:schemeClr w14:val="tx1"/>
                  </w14:solidFill>
                </w14:textFill>
              </w:rPr>
            </w:pPr>
            <w:r>
              <w:rPr>
                <w:color w:val="000000" w:themeColor="text1"/>
                <w:kern w:val="0"/>
                <w:sz w:val="21"/>
                <w14:textFill>
                  <w14:solidFill>
                    <w14:schemeClr w14:val="tx1"/>
                  </w14:solidFill>
                </w14:textFill>
              </w:rPr>
              <w:t>斑鰶</w:t>
            </w:r>
          </w:p>
        </w:tc>
        <w:tc>
          <w:tcPr>
            <w:tcW w:w="0" w:type="auto"/>
            <w:vMerge w:val="continue"/>
            <w:vAlign w:val="center"/>
          </w:tcPr>
          <w:p w14:paraId="7FAACF46">
            <w:pPr>
              <w:spacing w:line="240" w:lineRule="auto"/>
              <w:ind w:firstLine="0" w:firstLineChars="0"/>
              <w:jc w:val="center"/>
              <w:rPr>
                <w:color w:val="000000" w:themeColor="text1"/>
                <w:kern w:val="0"/>
                <w:sz w:val="21"/>
                <w14:textFill>
                  <w14:solidFill>
                    <w14:schemeClr w14:val="tx1"/>
                  </w14:solidFill>
                </w14:textFill>
              </w:rPr>
            </w:pPr>
          </w:p>
        </w:tc>
        <w:tc>
          <w:tcPr>
            <w:tcW w:w="0" w:type="auto"/>
            <w:vMerge w:val="continue"/>
            <w:vAlign w:val="center"/>
          </w:tcPr>
          <w:p w14:paraId="5B339D14">
            <w:pPr>
              <w:spacing w:line="240" w:lineRule="auto"/>
              <w:ind w:firstLine="0" w:firstLineChars="0"/>
              <w:jc w:val="center"/>
              <w:rPr>
                <w:color w:val="000000" w:themeColor="text1"/>
                <w:kern w:val="0"/>
                <w:sz w:val="21"/>
                <w14:textFill>
                  <w14:solidFill>
                    <w14:schemeClr w14:val="tx1"/>
                  </w14:solidFill>
                </w14:textFill>
              </w:rPr>
            </w:pPr>
          </w:p>
        </w:tc>
        <w:tc>
          <w:tcPr>
            <w:tcW w:w="0" w:type="auto"/>
            <w:vMerge w:val="continue"/>
            <w:vAlign w:val="center"/>
          </w:tcPr>
          <w:p w14:paraId="572F7ADC">
            <w:pPr>
              <w:spacing w:line="240" w:lineRule="auto"/>
              <w:ind w:firstLine="0" w:firstLineChars="0"/>
              <w:jc w:val="center"/>
              <w:rPr>
                <w:color w:val="000000" w:themeColor="text1"/>
                <w:kern w:val="0"/>
                <w:sz w:val="21"/>
                <w14:textFill>
                  <w14:solidFill>
                    <w14:schemeClr w14:val="tx1"/>
                  </w14:solidFill>
                </w14:textFill>
              </w:rPr>
            </w:pPr>
          </w:p>
        </w:tc>
        <w:tc>
          <w:tcPr>
            <w:tcW w:w="0" w:type="auto"/>
            <w:vMerge w:val="continue"/>
            <w:vAlign w:val="center"/>
          </w:tcPr>
          <w:p w14:paraId="0A52588D">
            <w:pPr>
              <w:spacing w:line="240" w:lineRule="auto"/>
              <w:ind w:firstLine="0" w:firstLineChars="0"/>
              <w:jc w:val="center"/>
              <w:rPr>
                <w:color w:val="000000" w:themeColor="text1"/>
                <w:kern w:val="0"/>
                <w:sz w:val="21"/>
                <w14:textFill>
                  <w14:solidFill>
                    <w14:schemeClr w14:val="tx1"/>
                  </w14:solidFill>
                </w14:textFill>
              </w:rPr>
            </w:pPr>
          </w:p>
        </w:tc>
      </w:tr>
      <w:tr w14:paraId="67AC979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0" w:type="auto"/>
            <w:vMerge w:val="continue"/>
            <w:vAlign w:val="center"/>
          </w:tcPr>
          <w:p w14:paraId="018BB5B0">
            <w:pPr>
              <w:spacing w:line="240" w:lineRule="auto"/>
              <w:ind w:firstLine="0" w:firstLineChars="0"/>
              <w:jc w:val="center"/>
              <w:rPr>
                <w:color w:val="000000" w:themeColor="text1"/>
                <w:kern w:val="0"/>
                <w:sz w:val="21"/>
                <w14:textFill>
                  <w14:solidFill>
                    <w14:schemeClr w14:val="tx1"/>
                  </w14:solidFill>
                </w14:textFill>
              </w:rPr>
            </w:pPr>
          </w:p>
        </w:tc>
        <w:tc>
          <w:tcPr>
            <w:tcW w:w="0" w:type="auto"/>
            <w:vMerge w:val="continue"/>
            <w:vAlign w:val="center"/>
          </w:tcPr>
          <w:p w14:paraId="40F76A4B">
            <w:pPr>
              <w:spacing w:line="240" w:lineRule="auto"/>
              <w:ind w:firstLine="0" w:firstLineChars="0"/>
              <w:jc w:val="center"/>
              <w:rPr>
                <w:color w:val="000000" w:themeColor="text1"/>
                <w:kern w:val="0"/>
                <w:sz w:val="21"/>
                <w14:textFill>
                  <w14:solidFill>
                    <w14:schemeClr w14:val="tx1"/>
                  </w14:solidFill>
                </w14:textFill>
              </w:rPr>
            </w:pPr>
          </w:p>
        </w:tc>
        <w:tc>
          <w:tcPr>
            <w:tcW w:w="0" w:type="auto"/>
            <w:noWrap/>
            <w:vAlign w:val="center"/>
          </w:tcPr>
          <w:p w14:paraId="3B043C52">
            <w:pPr>
              <w:spacing w:line="240" w:lineRule="auto"/>
              <w:ind w:firstLine="0" w:firstLineChars="0"/>
              <w:jc w:val="center"/>
              <w:rPr>
                <w:color w:val="000000" w:themeColor="text1"/>
                <w:kern w:val="0"/>
                <w:sz w:val="21"/>
                <w14:textFill>
                  <w14:solidFill>
                    <w14:schemeClr w14:val="tx1"/>
                  </w14:solidFill>
                </w14:textFill>
              </w:rPr>
            </w:pPr>
            <w:r>
              <w:rPr>
                <w:color w:val="000000" w:themeColor="text1"/>
                <w:kern w:val="0"/>
                <w:sz w:val="21"/>
                <w14:textFill>
                  <w14:solidFill>
                    <w14:schemeClr w14:val="tx1"/>
                  </w14:solidFill>
                </w14:textFill>
              </w:rPr>
              <w:t>颈斑鲾</w:t>
            </w:r>
          </w:p>
        </w:tc>
        <w:tc>
          <w:tcPr>
            <w:tcW w:w="0" w:type="auto"/>
            <w:vMerge w:val="continue"/>
            <w:vAlign w:val="center"/>
          </w:tcPr>
          <w:p w14:paraId="78FDF1EC">
            <w:pPr>
              <w:spacing w:line="240" w:lineRule="auto"/>
              <w:ind w:firstLine="0" w:firstLineChars="0"/>
              <w:jc w:val="center"/>
              <w:rPr>
                <w:color w:val="000000" w:themeColor="text1"/>
                <w:kern w:val="0"/>
                <w:sz w:val="21"/>
                <w14:textFill>
                  <w14:solidFill>
                    <w14:schemeClr w14:val="tx1"/>
                  </w14:solidFill>
                </w14:textFill>
              </w:rPr>
            </w:pPr>
          </w:p>
        </w:tc>
        <w:tc>
          <w:tcPr>
            <w:tcW w:w="0" w:type="auto"/>
            <w:vMerge w:val="continue"/>
            <w:vAlign w:val="center"/>
          </w:tcPr>
          <w:p w14:paraId="45BDFCCE">
            <w:pPr>
              <w:spacing w:line="240" w:lineRule="auto"/>
              <w:ind w:firstLine="0" w:firstLineChars="0"/>
              <w:jc w:val="center"/>
              <w:rPr>
                <w:color w:val="000000" w:themeColor="text1"/>
                <w:kern w:val="0"/>
                <w:sz w:val="21"/>
                <w14:textFill>
                  <w14:solidFill>
                    <w14:schemeClr w14:val="tx1"/>
                  </w14:solidFill>
                </w14:textFill>
              </w:rPr>
            </w:pPr>
          </w:p>
        </w:tc>
        <w:tc>
          <w:tcPr>
            <w:tcW w:w="0" w:type="auto"/>
            <w:vMerge w:val="continue"/>
            <w:vAlign w:val="center"/>
          </w:tcPr>
          <w:p w14:paraId="11A13FEE">
            <w:pPr>
              <w:spacing w:line="240" w:lineRule="auto"/>
              <w:ind w:firstLine="0" w:firstLineChars="0"/>
              <w:jc w:val="center"/>
              <w:rPr>
                <w:color w:val="000000" w:themeColor="text1"/>
                <w:kern w:val="0"/>
                <w:sz w:val="21"/>
                <w14:textFill>
                  <w14:solidFill>
                    <w14:schemeClr w14:val="tx1"/>
                  </w14:solidFill>
                </w14:textFill>
              </w:rPr>
            </w:pPr>
          </w:p>
        </w:tc>
        <w:tc>
          <w:tcPr>
            <w:tcW w:w="0" w:type="auto"/>
            <w:vMerge w:val="continue"/>
            <w:vAlign w:val="center"/>
          </w:tcPr>
          <w:p w14:paraId="51182D2D">
            <w:pPr>
              <w:spacing w:line="240" w:lineRule="auto"/>
              <w:ind w:firstLine="0" w:firstLineChars="0"/>
              <w:jc w:val="center"/>
              <w:rPr>
                <w:color w:val="000000" w:themeColor="text1"/>
                <w:kern w:val="0"/>
                <w:sz w:val="21"/>
                <w14:textFill>
                  <w14:solidFill>
                    <w14:schemeClr w14:val="tx1"/>
                  </w14:solidFill>
                </w14:textFill>
              </w:rPr>
            </w:pPr>
          </w:p>
        </w:tc>
      </w:tr>
      <w:tr w14:paraId="4C21F2D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0" w:type="auto"/>
            <w:vMerge w:val="continue"/>
            <w:vAlign w:val="center"/>
          </w:tcPr>
          <w:p w14:paraId="659E6F70">
            <w:pPr>
              <w:spacing w:line="240" w:lineRule="auto"/>
              <w:ind w:firstLine="0" w:firstLineChars="0"/>
              <w:jc w:val="center"/>
              <w:rPr>
                <w:color w:val="000000" w:themeColor="text1"/>
                <w:kern w:val="0"/>
                <w:sz w:val="21"/>
                <w14:textFill>
                  <w14:solidFill>
                    <w14:schemeClr w14:val="tx1"/>
                  </w14:solidFill>
                </w14:textFill>
              </w:rPr>
            </w:pPr>
          </w:p>
        </w:tc>
        <w:tc>
          <w:tcPr>
            <w:tcW w:w="0" w:type="auto"/>
            <w:vMerge w:val="continue"/>
            <w:vAlign w:val="center"/>
          </w:tcPr>
          <w:p w14:paraId="4DFD8E15">
            <w:pPr>
              <w:spacing w:line="240" w:lineRule="auto"/>
              <w:ind w:firstLine="0" w:firstLineChars="0"/>
              <w:jc w:val="center"/>
              <w:rPr>
                <w:color w:val="000000" w:themeColor="text1"/>
                <w:kern w:val="0"/>
                <w:sz w:val="21"/>
                <w14:textFill>
                  <w14:solidFill>
                    <w14:schemeClr w14:val="tx1"/>
                  </w14:solidFill>
                </w14:textFill>
              </w:rPr>
            </w:pPr>
          </w:p>
        </w:tc>
        <w:tc>
          <w:tcPr>
            <w:tcW w:w="0" w:type="auto"/>
            <w:noWrap/>
            <w:vAlign w:val="center"/>
          </w:tcPr>
          <w:p w14:paraId="0EC4EA31">
            <w:pPr>
              <w:spacing w:line="240" w:lineRule="auto"/>
              <w:ind w:firstLine="0" w:firstLineChars="0"/>
              <w:jc w:val="center"/>
              <w:rPr>
                <w:color w:val="000000" w:themeColor="text1"/>
                <w:kern w:val="0"/>
                <w:sz w:val="21"/>
                <w14:textFill>
                  <w14:solidFill>
                    <w14:schemeClr w14:val="tx1"/>
                  </w14:solidFill>
                </w14:textFill>
              </w:rPr>
            </w:pPr>
            <w:r>
              <w:rPr>
                <w:color w:val="000000" w:themeColor="text1"/>
                <w:kern w:val="0"/>
                <w:sz w:val="21"/>
                <w14:textFill>
                  <w14:solidFill>
                    <w14:schemeClr w14:val="tx1"/>
                  </w14:solidFill>
                </w14:textFill>
              </w:rPr>
              <w:t>银姑鱼</w:t>
            </w:r>
          </w:p>
        </w:tc>
        <w:tc>
          <w:tcPr>
            <w:tcW w:w="0" w:type="auto"/>
            <w:vMerge w:val="continue"/>
            <w:vAlign w:val="center"/>
          </w:tcPr>
          <w:p w14:paraId="229A3F9D">
            <w:pPr>
              <w:spacing w:line="240" w:lineRule="auto"/>
              <w:ind w:firstLine="0" w:firstLineChars="0"/>
              <w:jc w:val="center"/>
              <w:rPr>
                <w:color w:val="000000" w:themeColor="text1"/>
                <w:kern w:val="0"/>
                <w:sz w:val="21"/>
                <w14:textFill>
                  <w14:solidFill>
                    <w14:schemeClr w14:val="tx1"/>
                  </w14:solidFill>
                </w14:textFill>
              </w:rPr>
            </w:pPr>
          </w:p>
        </w:tc>
        <w:tc>
          <w:tcPr>
            <w:tcW w:w="0" w:type="auto"/>
            <w:vMerge w:val="continue"/>
            <w:vAlign w:val="center"/>
          </w:tcPr>
          <w:p w14:paraId="4AE4057A">
            <w:pPr>
              <w:spacing w:line="240" w:lineRule="auto"/>
              <w:ind w:firstLine="0" w:firstLineChars="0"/>
              <w:jc w:val="center"/>
              <w:rPr>
                <w:color w:val="000000" w:themeColor="text1"/>
                <w:kern w:val="0"/>
                <w:sz w:val="21"/>
                <w14:textFill>
                  <w14:solidFill>
                    <w14:schemeClr w14:val="tx1"/>
                  </w14:solidFill>
                </w14:textFill>
              </w:rPr>
            </w:pPr>
          </w:p>
        </w:tc>
        <w:tc>
          <w:tcPr>
            <w:tcW w:w="0" w:type="auto"/>
            <w:vMerge w:val="continue"/>
            <w:vAlign w:val="center"/>
          </w:tcPr>
          <w:p w14:paraId="44081B64">
            <w:pPr>
              <w:spacing w:line="240" w:lineRule="auto"/>
              <w:ind w:firstLine="0" w:firstLineChars="0"/>
              <w:jc w:val="center"/>
              <w:rPr>
                <w:color w:val="000000" w:themeColor="text1"/>
                <w:kern w:val="0"/>
                <w:sz w:val="21"/>
                <w14:textFill>
                  <w14:solidFill>
                    <w14:schemeClr w14:val="tx1"/>
                  </w14:solidFill>
                </w14:textFill>
              </w:rPr>
            </w:pPr>
          </w:p>
        </w:tc>
        <w:tc>
          <w:tcPr>
            <w:tcW w:w="0" w:type="auto"/>
            <w:vMerge w:val="continue"/>
            <w:vAlign w:val="center"/>
          </w:tcPr>
          <w:p w14:paraId="3A9FB8DD">
            <w:pPr>
              <w:spacing w:line="240" w:lineRule="auto"/>
              <w:ind w:firstLine="0" w:firstLineChars="0"/>
              <w:jc w:val="center"/>
              <w:rPr>
                <w:color w:val="000000" w:themeColor="text1"/>
                <w:kern w:val="0"/>
                <w:sz w:val="21"/>
                <w14:textFill>
                  <w14:solidFill>
                    <w14:schemeClr w14:val="tx1"/>
                  </w14:solidFill>
                </w14:textFill>
              </w:rPr>
            </w:pPr>
          </w:p>
        </w:tc>
      </w:tr>
      <w:tr w14:paraId="2C78C34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0" w:type="auto"/>
            <w:vMerge w:val="continue"/>
            <w:vAlign w:val="center"/>
          </w:tcPr>
          <w:p w14:paraId="7D185A89">
            <w:pPr>
              <w:spacing w:line="240" w:lineRule="auto"/>
              <w:ind w:firstLine="0" w:firstLineChars="0"/>
              <w:jc w:val="center"/>
              <w:rPr>
                <w:color w:val="000000" w:themeColor="text1"/>
                <w:kern w:val="0"/>
                <w:sz w:val="21"/>
                <w14:textFill>
                  <w14:solidFill>
                    <w14:schemeClr w14:val="tx1"/>
                  </w14:solidFill>
                </w14:textFill>
              </w:rPr>
            </w:pPr>
          </w:p>
        </w:tc>
        <w:tc>
          <w:tcPr>
            <w:tcW w:w="0" w:type="auto"/>
            <w:vMerge w:val="continue"/>
            <w:vAlign w:val="center"/>
          </w:tcPr>
          <w:p w14:paraId="1322AB83">
            <w:pPr>
              <w:spacing w:line="240" w:lineRule="auto"/>
              <w:ind w:firstLine="0" w:firstLineChars="0"/>
              <w:jc w:val="center"/>
              <w:rPr>
                <w:color w:val="000000" w:themeColor="text1"/>
                <w:kern w:val="0"/>
                <w:sz w:val="21"/>
                <w14:textFill>
                  <w14:solidFill>
                    <w14:schemeClr w14:val="tx1"/>
                  </w14:solidFill>
                </w14:textFill>
              </w:rPr>
            </w:pPr>
          </w:p>
        </w:tc>
        <w:tc>
          <w:tcPr>
            <w:tcW w:w="0" w:type="auto"/>
            <w:noWrap/>
            <w:vAlign w:val="center"/>
          </w:tcPr>
          <w:p w14:paraId="67A1E791">
            <w:pPr>
              <w:spacing w:line="240" w:lineRule="auto"/>
              <w:ind w:firstLine="0" w:firstLineChars="0"/>
              <w:jc w:val="center"/>
              <w:rPr>
                <w:color w:val="000000" w:themeColor="text1"/>
                <w:kern w:val="0"/>
                <w:sz w:val="21"/>
                <w14:textFill>
                  <w14:solidFill>
                    <w14:schemeClr w14:val="tx1"/>
                  </w14:solidFill>
                </w14:textFill>
              </w:rPr>
            </w:pPr>
            <w:r>
              <w:rPr>
                <w:color w:val="000000" w:themeColor="text1"/>
                <w:kern w:val="0"/>
                <w:sz w:val="21"/>
                <w14:textFill>
                  <w14:solidFill>
                    <w14:schemeClr w14:val="tx1"/>
                  </w14:solidFill>
                </w14:textFill>
              </w:rPr>
              <w:t>黑口鳓</w:t>
            </w:r>
          </w:p>
        </w:tc>
        <w:tc>
          <w:tcPr>
            <w:tcW w:w="0" w:type="auto"/>
            <w:vMerge w:val="continue"/>
            <w:vAlign w:val="center"/>
          </w:tcPr>
          <w:p w14:paraId="1DD140C4">
            <w:pPr>
              <w:spacing w:line="240" w:lineRule="auto"/>
              <w:ind w:firstLine="0" w:firstLineChars="0"/>
              <w:jc w:val="center"/>
              <w:rPr>
                <w:color w:val="000000" w:themeColor="text1"/>
                <w:kern w:val="0"/>
                <w:sz w:val="21"/>
                <w14:textFill>
                  <w14:solidFill>
                    <w14:schemeClr w14:val="tx1"/>
                  </w14:solidFill>
                </w14:textFill>
              </w:rPr>
            </w:pPr>
          </w:p>
        </w:tc>
        <w:tc>
          <w:tcPr>
            <w:tcW w:w="0" w:type="auto"/>
            <w:vMerge w:val="continue"/>
            <w:vAlign w:val="center"/>
          </w:tcPr>
          <w:p w14:paraId="3CDC1C87">
            <w:pPr>
              <w:spacing w:line="240" w:lineRule="auto"/>
              <w:ind w:firstLine="0" w:firstLineChars="0"/>
              <w:jc w:val="center"/>
              <w:rPr>
                <w:color w:val="000000" w:themeColor="text1"/>
                <w:kern w:val="0"/>
                <w:sz w:val="21"/>
                <w14:textFill>
                  <w14:solidFill>
                    <w14:schemeClr w14:val="tx1"/>
                  </w14:solidFill>
                </w14:textFill>
              </w:rPr>
            </w:pPr>
          </w:p>
        </w:tc>
        <w:tc>
          <w:tcPr>
            <w:tcW w:w="0" w:type="auto"/>
            <w:vMerge w:val="continue"/>
            <w:vAlign w:val="center"/>
          </w:tcPr>
          <w:p w14:paraId="281C7E2E">
            <w:pPr>
              <w:spacing w:line="240" w:lineRule="auto"/>
              <w:ind w:firstLine="0" w:firstLineChars="0"/>
              <w:jc w:val="center"/>
              <w:rPr>
                <w:color w:val="000000" w:themeColor="text1"/>
                <w:kern w:val="0"/>
                <w:sz w:val="21"/>
                <w14:textFill>
                  <w14:solidFill>
                    <w14:schemeClr w14:val="tx1"/>
                  </w14:solidFill>
                </w14:textFill>
              </w:rPr>
            </w:pPr>
          </w:p>
        </w:tc>
        <w:tc>
          <w:tcPr>
            <w:tcW w:w="0" w:type="auto"/>
            <w:vMerge w:val="continue"/>
            <w:vAlign w:val="center"/>
          </w:tcPr>
          <w:p w14:paraId="5C83695E">
            <w:pPr>
              <w:spacing w:line="240" w:lineRule="auto"/>
              <w:ind w:firstLine="0" w:firstLineChars="0"/>
              <w:jc w:val="center"/>
              <w:rPr>
                <w:color w:val="000000" w:themeColor="text1"/>
                <w:kern w:val="0"/>
                <w:sz w:val="21"/>
                <w14:textFill>
                  <w14:solidFill>
                    <w14:schemeClr w14:val="tx1"/>
                  </w14:solidFill>
                </w14:textFill>
              </w:rPr>
            </w:pPr>
          </w:p>
        </w:tc>
      </w:tr>
      <w:tr w14:paraId="0DE9A2C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0" w:type="auto"/>
            <w:vMerge w:val="continue"/>
            <w:vAlign w:val="center"/>
          </w:tcPr>
          <w:p w14:paraId="38CF65B4">
            <w:pPr>
              <w:spacing w:line="240" w:lineRule="auto"/>
              <w:ind w:firstLine="0" w:firstLineChars="0"/>
              <w:jc w:val="center"/>
              <w:rPr>
                <w:color w:val="000000" w:themeColor="text1"/>
                <w:kern w:val="0"/>
                <w:sz w:val="21"/>
                <w14:textFill>
                  <w14:solidFill>
                    <w14:schemeClr w14:val="tx1"/>
                  </w14:solidFill>
                </w14:textFill>
              </w:rPr>
            </w:pPr>
          </w:p>
        </w:tc>
        <w:tc>
          <w:tcPr>
            <w:tcW w:w="0" w:type="auto"/>
            <w:vMerge w:val="continue"/>
            <w:vAlign w:val="center"/>
          </w:tcPr>
          <w:p w14:paraId="7FBA5771">
            <w:pPr>
              <w:spacing w:line="240" w:lineRule="auto"/>
              <w:ind w:firstLine="0" w:firstLineChars="0"/>
              <w:jc w:val="center"/>
              <w:rPr>
                <w:color w:val="000000" w:themeColor="text1"/>
                <w:kern w:val="0"/>
                <w:sz w:val="21"/>
                <w14:textFill>
                  <w14:solidFill>
                    <w14:schemeClr w14:val="tx1"/>
                  </w14:solidFill>
                </w14:textFill>
              </w:rPr>
            </w:pPr>
          </w:p>
        </w:tc>
        <w:tc>
          <w:tcPr>
            <w:tcW w:w="0" w:type="auto"/>
            <w:noWrap/>
            <w:vAlign w:val="center"/>
          </w:tcPr>
          <w:p w14:paraId="638EA49A">
            <w:pPr>
              <w:spacing w:line="240" w:lineRule="auto"/>
              <w:ind w:firstLine="0" w:firstLineChars="0"/>
              <w:jc w:val="center"/>
              <w:rPr>
                <w:color w:val="000000" w:themeColor="text1"/>
                <w:kern w:val="0"/>
                <w:sz w:val="21"/>
                <w14:textFill>
                  <w14:solidFill>
                    <w14:schemeClr w14:val="tx1"/>
                  </w14:solidFill>
                </w14:textFill>
              </w:rPr>
            </w:pPr>
            <w:r>
              <w:rPr>
                <w:color w:val="000000" w:themeColor="text1"/>
                <w:kern w:val="0"/>
                <w:sz w:val="21"/>
                <w14:textFill>
                  <w14:solidFill>
                    <w14:schemeClr w14:val="tx1"/>
                  </w14:solidFill>
                </w14:textFill>
              </w:rPr>
              <w:t>仰口鲾</w:t>
            </w:r>
          </w:p>
        </w:tc>
        <w:tc>
          <w:tcPr>
            <w:tcW w:w="0" w:type="auto"/>
            <w:vMerge w:val="continue"/>
            <w:vAlign w:val="center"/>
          </w:tcPr>
          <w:p w14:paraId="440D48B2">
            <w:pPr>
              <w:spacing w:line="240" w:lineRule="auto"/>
              <w:ind w:firstLine="0" w:firstLineChars="0"/>
              <w:jc w:val="center"/>
              <w:rPr>
                <w:color w:val="000000" w:themeColor="text1"/>
                <w:kern w:val="0"/>
                <w:sz w:val="21"/>
                <w14:textFill>
                  <w14:solidFill>
                    <w14:schemeClr w14:val="tx1"/>
                  </w14:solidFill>
                </w14:textFill>
              </w:rPr>
            </w:pPr>
          </w:p>
        </w:tc>
        <w:tc>
          <w:tcPr>
            <w:tcW w:w="0" w:type="auto"/>
            <w:vMerge w:val="continue"/>
            <w:vAlign w:val="center"/>
          </w:tcPr>
          <w:p w14:paraId="14D57C29">
            <w:pPr>
              <w:spacing w:line="240" w:lineRule="auto"/>
              <w:ind w:firstLine="0" w:firstLineChars="0"/>
              <w:jc w:val="center"/>
              <w:rPr>
                <w:color w:val="000000" w:themeColor="text1"/>
                <w:kern w:val="0"/>
                <w:sz w:val="21"/>
                <w14:textFill>
                  <w14:solidFill>
                    <w14:schemeClr w14:val="tx1"/>
                  </w14:solidFill>
                </w14:textFill>
              </w:rPr>
            </w:pPr>
          </w:p>
        </w:tc>
        <w:tc>
          <w:tcPr>
            <w:tcW w:w="0" w:type="auto"/>
            <w:vMerge w:val="continue"/>
            <w:vAlign w:val="center"/>
          </w:tcPr>
          <w:p w14:paraId="571D97BE">
            <w:pPr>
              <w:spacing w:line="240" w:lineRule="auto"/>
              <w:ind w:firstLine="0" w:firstLineChars="0"/>
              <w:jc w:val="center"/>
              <w:rPr>
                <w:color w:val="000000" w:themeColor="text1"/>
                <w:kern w:val="0"/>
                <w:sz w:val="21"/>
                <w14:textFill>
                  <w14:solidFill>
                    <w14:schemeClr w14:val="tx1"/>
                  </w14:solidFill>
                </w14:textFill>
              </w:rPr>
            </w:pPr>
          </w:p>
        </w:tc>
        <w:tc>
          <w:tcPr>
            <w:tcW w:w="0" w:type="auto"/>
            <w:vMerge w:val="continue"/>
            <w:vAlign w:val="center"/>
          </w:tcPr>
          <w:p w14:paraId="0C45BF9B">
            <w:pPr>
              <w:spacing w:line="240" w:lineRule="auto"/>
              <w:ind w:firstLine="0" w:firstLineChars="0"/>
              <w:jc w:val="center"/>
              <w:rPr>
                <w:color w:val="000000" w:themeColor="text1"/>
                <w:kern w:val="0"/>
                <w:sz w:val="21"/>
                <w14:textFill>
                  <w14:solidFill>
                    <w14:schemeClr w14:val="tx1"/>
                  </w14:solidFill>
                </w14:textFill>
              </w:rPr>
            </w:pPr>
          </w:p>
        </w:tc>
      </w:tr>
      <w:tr w14:paraId="24AA3E1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0" w:type="auto"/>
            <w:vMerge w:val="continue"/>
            <w:vAlign w:val="center"/>
          </w:tcPr>
          <w:p w14:paraId="2618DD72">
            <w:pPr>
              <w:spacing w:line="240" w:lineRule="auto"/>
              <w:ind w:firstLine="0" w:firstLineChars="0"/>
              <w:jc w:val="center"/>
              <w:rPr>
                <w:color w:val="000000" w:themeColor="text1"/>
                <w:kern w:val="0"/>
                <w:sz w:val="21"/>
                <w14:textFill>
                  <w14:solidFill>
                    <w14:schemeClr w14:val="tx1"/>
                  </w14:solidFill>
                </w14:textFill>
              </w:rPr>
            </w:pPr>
          </w:p>
        </w:tc>
        <w:tc>
          <w:tcPr>
            <w:tcW w:w="0" w:type="auto"/>
            <w:vMerge w:val="continue"/>
            <w:vAlign w:val="center"/>
          </w:tcPr>
          <w:p w14:paraId="66C9A523">
            <w:pPr>
              <w:spacing w:line="240" w:lineRule="auto"/>
              <w:ind w:firstLine="0" w:firstLineChars="0"/>
              <w:jc w:val="center"/>
              <w:rPr>
                <w:color w:val="000000" w:themeColor="text1"/>
                <w:kern w:val="0"/>
                <w:sz w:val="21"/>
                <w14:textFill>
                  <w14:solidFill>
                    <w14:schemeClr w14:val="tx1"/>
                  </w14:solidFill>
                </w14:textFill>
              </w:rPr>
            </w:pPr>
          </w:p>
        </w:tc>
        <w:tc>
          <w:tcPr>
            <w:tcW w:w="0" w:type="auto"/>
            <w:noWrap/>
            <w:vAlign w:val="center"/>
          </w:tcPr>
          <w:p w14:paraId="0AA8D2D4">
            <w:pPr>
              <w:spacing w:line="240" w:lineRule="auto"/>
              <w:ind w:firstLine="0" w:firstLineChars="0"/>
              <w:jc w:val="center"/>
              <w:rPr>
                <w:color w:val="000000" w:themeColor="text1"/>
                <w:kern w:val="0"/>
                <w:sz w:val="21"/>
                <w14:textFill>
                  <w14:solidFill>
                    <w14:schemeClr w14:val="tx1"/>
                  </w14:solidFill>
                </w14:textFill>
              </w:rPr>
            </w:pPr>
            <w:r>
              <w:rPr>
                <w:color w:val="000000" w:themeColor="text1"/>
                <w:kern w:val="0"/>
                <w:sz w:val="21"/>
                <w14:textFill>
                  <w14:solidFill>
                    <w14:schemeClr w14:val="tx1"/>
                  </w14:solidFill>
                </w14:textFill>
              </w:rPr>
              <w:t>真鲷</w:t>
            </w:r>
          </w:p>
        </w:tc>
        <w:tc>
          <w:tcPr>
            <w:tcW w:w="0" w:type="auto"/>
            <w:vMerge w:val="continue"/>
            <w:vAlign w:val="center"/>
          </w:tcPr>
          <w:p w14:paraId="57DE0449">
            <w:pPr>
              <w:spacing w:line="240" w:lineRule="auto"/>
              <w:ind w:firstLine="0" w:firstLineChars="0"/>
              <w:jc w:val="center"/>
              <w:rPr>
                <w:color w:val="000000" w:themeColor="text1"/>
                <w:kern w:val="0"/>
                <w:sz w:val="21"/>
                <w14:textFill>
                  <w14:solidFill>
                    <w14:schemeClr w14:val="tx1"/>
                  </w14:solidFill>
                </w14:textFill>
              </w:rPr>
            </w:pPr>
          </w:p>
        </w:tc>
        <w:tc>
          <w:tcPr>
            <w:tcW w:w="0" w:type="auto"/>
            <w:vMerge w:val="continue"/>
            <w:vAlign w:val="center"/>
          </w:tcPr>
          <w:p w14:paraId="715BA0F2">
            <w:pPr>
              <w:spacing w:line="240" w:lineRule="auto"/>
              <w:ind w:firstLine="0" w:firstLineChars="0"/>
              <w:jc w:val="center"/>
              <w:rPr>
                <w:color w:val="000000" w:themeColor="text1"/>
                <w:kern w:val="0"/>
                <w:sz w:val="21"/>
                <w14:textFill>
                  <w14:solidFill>
                    <w14:schemeClr w14:val="tx1"/>
                  </w14:solidFill>
                </w14:textFill>
              </w:rPr>
            </w:pPr>
          </w:p>
        </w:tc>
        <w:tc>
          <w:tcPr>
            <w:tcW w:w="0" w:type="auto"/>
            <w:vMerge w:val="continue"/>
            <w:vAlign w:val="center"/>
          </w:tcPr>
          <w:p w14:paraId="30584C91">
            <w:pPr>
              <w:spacing w:line="240" w:lineRule="auto"/>
              <w:ind w:firstLine="0" w:firstLineChars="0"/>
              <w:jc w:val="center"/>
              <w:rPr>
                <w:color w:val="000000" w:themeColor="text1"/>
                <w:kern w:val="0"/>
                <w:sz w:val="21"/>
                <w14:textFill>
                  <w14:solidFill>
                    <w14:schemeClr w14:val="tx1"/>
                  </w14:solidFill>
                </w14:textFill>
              </w:rPr>
            </w:pPr>
          </w:p>
        </w:tc>
        <w:tc>
          <w:tcPr>
            <w:tcW w:w="0" w:type="auto"/>
            <w:vMerge w:val="continue"/>
            <w:vAlign w:val="center"/>
          </w:tcPr>
          <w:p w14:paraId="69CE0CCD">
            <w:pPr>
              <w:spacing w:line="240" w:lineRule="auto"/>
              <w:ind w:firstLine="0" w:firstLineChars="0"/>
              <w:jc w:val="center"/>
              <w:rPr>
                <w:color w:val="000000" w:themeColor="text1"/>
                <w:kern w:val="0"/>
                <w:sz w:val="21"/>
                <w14:textFill>
                  <w14:solidFill>
                    <w14:schemeClr w14:val="tx1"/>
                  </w14:solidFill>
                </w14:textFill>
              </w:rPr>
            </w:pPr>
          </w:p>
        </w:tc>
      </w:tr>
      <w:tr w14:paraId="34C6C01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0" w:type="auto"/>
            <w:vMerge w:val="continue"/>
            <w:vAlign w:val="center"/>
          </w:tcPr>
          <w:p w14:paraId="3FFD5679">
            <w:pPr>
              <w:spacing w:line="240" w:lineRule="auto"/>
              <w:ind w:firstLine="0" w:firstLineChars="0"/>
              <w:jc w:val="center"/>
              <w:rPr>
                <w:color w:val="000000" w:themeColor="text1"/>
                <w:kern w:val="0"/>
                <w:sz w:val="21"/>
                <w14:textFill>
                  <w14:solidFill>
                    <w14:schemeClr w14:val="tx1"/>
                  </w14:solidFill>
                </w14:textFill>
              </w:rPr>
            </w:pPr>
          </w:p>
        </w:tc>
        <w:tc>
          <w:tcPr>
            <w:tcW w:w="0" w:type="auto"/>
            <w:vMerge w:val="continue"/>
            <w:vAlign w:val="center"/>
          </w:tcPr>
          <w:p w14:paraId="109F475F">
            <w:pPr>
              <w:spacing w:line="240" w:lineRule="auto"/>
              <w:ind w:firstLine="0" w:firstLineChars="0"/>
              <w:jc w:val="center"/>
              <w:rPr>
                <w:color w:val="000000" w:themeColor="text1"/>
                <w:kern w:val="0"/>
                <w:sz w:val="21"/>
                <w14:textFill>
                  <w14:solidFill>
                    <w14:schemeClr w14:val="tx1"/>
                  </w14:solidFill>
                </w14:textFill>
              </w:rPr>
            </w:pPr>
          </w:p>
        </w:tc>
        <w:tc>
          <w:tcPr>
            <w:tcW w:w="0" w:type="auto"/>
            <w:noWrap/>
            <w:vAlign w:val="center"/>
          </w:tcPr>
          <w:p w14:paraId="0CFA328E">
            <w:pPr>
              <w:spacing w:line="240" w:lineRule="auto"/>
              <w:ind w:firstLine="0" w:firstLineChars="0"/>
              <w:jc w:val="center"/>
              <w:rPr>
                <w:color w:val="000000" w:themeColor="text1"/>
                <w:kern w:val="0"/>
                <w:sz w:val="21"/>
                <w14:textFill>
                  <w14:solidFill>
                    <w14:schemeClr w14:val="tx1"/>
                  </w14:solidFill>
                </w14:textFill>
              </w:rPr>
            </w:pPr>
            <w:r>
              <w:rPr>
                <w:color w:val="000000" w:themeColor="text1"/>
                <w:kern w:val="0"/>
                <w:sz w:val="21"/>
                <w14:textFill>
                  <w14:solidFill>
                    <w14:schemeClr w14:val="tx1"/>
                  </w14:solidFill>
                </w14:textFill>
              </w:rPr>
              <w:t>褐菖鮋</w:t>
            </w:r>
          </w:p>
        </w:tc>
        <w:tc>
          <w:tcPr>
            <w:tcW w:w="0" w:type="auto"/>
            <w:vMerge w:val="continue"/>
            <w:vAlign w:val="center"/>
          </w:tcPr>
          <w:p w14:paraId="5818E51F">
            <w:pPr>
              <w:spacing w:line="240" w:lineRule="auto"/>
              <w:ind w:firstLine="0" w:firstLineChars="0"/>
              <w:jc w:val="center"/>
              <w:rPr>
                <w:color w:val="000000" w:themeColor="text1"/>
                <w:kern w:val="0"/>
                <w:sz w:val="21"/>
                <w14:textFill>
                  <w14:solidFill>
                    <w14:schemeClr w14:val="tx1"/>
                  </w14:solidFill>
                </w14:textFill>
              </w:rPr>
            </w:pPr>
          </w:p>
        </w:tc>
        <w:tc>
          <w:tcPr>
            <w:tcW w:w="0" w:type="auto"/>
            <w:vMerge w:val="continue"/>
            <w:vAlign w:val="center"/>
          </w:tcPr>
          <w:p w14:paraId="304DC243">
            <w:pPr>
              <w:spacing w:line="240" w:lineRule="auto"/>
              <w:ind w:firstLine="0" w:firstLineChars="0"/>
              <w:jc w:val="center"/>
              <w:rPr>
                <w:color w:val="000000" w:themeColor="text1"/>
                <w:kern w:val="0"/>
                <w:sz w:val="21"/>
                <w14:textFill>
                  <w14:solidFill>
                    <w14:schemeClr w14:val="tx1"/>
                  </w14:solidFill>
                </w14:textFill>
              </w:rPr>
            </w:pPr>
          </w:p>
        </w:tc>
        <w:tc>
          <w:tcPr>
            <w:tcW w:w="0" w:type="auto"/>
            <w:vMerge w:val="continue"/>
            <w:vAlign w:val="center"/>
          </w:tcPr>
          <w:p w14:paraId="3B740649">
            <w:pPr>
              <w:spacing w:line="240" w:lineRule="auto"/>
              <w:ind w:firstLine="0" w:firstLineChars="0"/>
              <w:jc w:val="center"/>
              <w:rPr>
                <w:color w:val="000000" w:themeColor="text1"/>
                <w:kern w:val="0"/>
                <w:sz w:val="21"/>
                <w14:textFill>
                  <w14:solidFill>
                    <w14:schemeClr w14:val="tx1"/>
                  </w14:solidFill>
                </w14:textFill>
              </w:rPr>
            </w:pPr>
          </w:p>
        </w:tc>
        <w:tc>
          <w:tcPr>
            <w:tcW w:w="0" w:type="auto"/>
            <w:vMerge w:val="continue"/>
            <w:vAlign w:val="center"/>
          </w:tcPr>
          <w:p w14:paraId="724F773A">
            <w:pPr>
              <w:spacing w:line="240" w:lineRule="auto"/>
              <w:ind w:firstLine="0" w:firstLineChars="0"/>
              <w:jc w:val="center"/>
              <w:rPr>
                <w:color w:val="000000" w:themeColor="text1"/>
                <w:kern w:val="0"/>
                <w:sz w:val="21"/>
                <w14:textFill>
                  <w14:solidFill>
                    <w14:schemeClr w14:val="tx1"/>
                  </w14:solidFill>
                </w14:textFill>
              </w:rPr>
            </w:pPr>
          </w:p>
        </w:tc>
      </w:tr>
      <w:tr w14:paraId="42A584C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0" w:type="auto"/>
            <w:vMerge w:val="continue"/>
            <w:vAlign w:val="center"/>
          </w:tcPr>
          <w:p w14:paraId="1DD1BE59">
            <w:pPr>
              <w:spacing w:line="240" w:lineRule="auto"/>
              <w:ind w:firstLine="0" w:firstLineChars="0"/>
              <w:jc w:val="center"/>
              <w:rPr>
                <w:color w:val="000000" w:themeColor="text1"/>
                <w:kern w:val="0"/>
                <w:sz w:val="21"/>
                <w14:textFill>
                  <w14:solidFill>
                    <w14:schemeClr w14:val="tx1"/>
                  </w14:solidFill>
                </w14:textFill>
              </w:rPr>
            </w:pPr>
          </w:p>
        </w:tc>
        <w:tc>
          <w:tcPr>
            <w:tcW w:w="0" w:type="auto"/>
            <w:vMerge w:val="continue"/>
            <w:vAlign w:val="center"/>
          </w:tcPr>
          <w:p w14:paraId="6005E833">
            <w:pPr>
              <w:spacing w:line="240" w:lineRule="auto"/>
              <w:ind w:firstLine="0" w:firstLineChars="0"/>
              <w:jc w:val="center"/>
              <w:rPr>
                <w:color w:val="000000" w:themeColor="text1"/>
                <w:kern w:val="0"/>
                <w:sz w:val="21"/>
                <w14:textFill>
                  <w14:solidFill>
                    <w14:schemeClr w14:val="tx1"/>
                  </w14:solidFill>
                </w14:textFill>
              </w:rPr>
            </w:pPr>
          </w:p>
        </w:tc>
        <w:tc>
          <w:tcPr>
            <w:tcW w:w="0" w:type="auto"/>
            <w:noWrap/>
            <w:vAlign w:val="center"/>
          </w:tcPr>
          <w:p w14:paraId="78393D0B">
            <w:pPr>
              <w:spacing w:line="240" w:lineRule="auto"/>
              <w:ind w:firstLine="0" w:firstLineChars="0"/>
              <w:jc w:val="center"/>
              <w:rPr>
                <w:color w:val="000000" w:themeColor="text1"/>
                <w:kern w:val="0"/>
                <w:sz w:val="21"/>
                <w14:textFill>
                  <w14:solidFill>
                    <w14:schemeClr w14:val="tx1"/>
                  </w14:solidFill>
                </w14:textFill>
              </w:rPr>
            </w:pPr>
            <w:r>
              <w:rPr>
                <w:color w:val="000000" w:themeColor="text1"/>
                <w:kern w:val="0"/>
                <w:sz w:val="21"/>
                <w14:textFill>
                  <w14:solidFill>
                    <w14:schemeClr w14:val="tx1"/>
                  </w14:solidFill>
                </w14:textFill>
              </w:rPr>
              <w:t>鯻</w:t>
            </w:r>
          </w:p>
        </w:tc>
        <w:tc>
          <w:tcPr>
            <w:tcW w:w="0" w:type="auto"/>
            <w:vMerge w:val="continue"/>
            <w:vAlign w:val="center"/>
          </w:tcPr>
          <w:p w14:paraId="084A8966">
            <w:pPr>
              <w:spacing w:line="240" w:lineRule="auto"/>
              <w:ind w:firstLine="0" w:firstLineChars="0"/>
              <w:jc w:val="center"/>
              <w:rPr>
                <w:color w:val="000000" w:themeColor="text1"/>
                <w:kern w:val="0"/>
                <w:sz w:val="21"/>
                <w14:textFill>
                  <w14:solidFill>
                    <w14:schemeClr w14:val="tx1"/>
                  </w14:solidFill>
                </w14:textFill>
              </w:rPr>
            </w:pPr>
          </w:p>
        </w:tc>
        <w:tc>
          <w:tcPr>
            <w:tcW w:w="0" w:type="auto"/>
            <w:vMerge w:val="continue"/>
            <w:vAlign w:val="center"/>
          </w:tcPr>
          <w:p w14:paraId="5D9D1FDC">
            <w:pPr>
              <w:spacing w:line="240" w:lineRule="auto"/>
              <w:ind w:firstLine="0" w:firstLineChars="0"/>
              <w:jc w:val="center"/>
              <w:rPr>
                <w:color w:val="000000" w:themeColor="text1"/>
                <w:kern w:val="0"/>
                <w:sz w:val="21"/>
                <w14:textFill>
                  <w14:solidFill>
                    <w14:schemeClr w14:val="tx1"/>
                  </w14:solidFill>
                </w14:textFill>
              </w:rPr>
            </w:pPr>
          </w:p>
        </w:tc>
        <w:tc>
          <w:tcPr>
            <w:tcW w:w="0" w:type="auto"/>
            <w:vMerge w:val="continue"/>
            <w:vAlign w:val="center"/>
          </w:tcPr>
          <w:p w14:paraId="2E483CA2">
            <w:pPr>
              <w:spacing w:line="240" w:lineRule="auto"/>
              <w:ind w:firstLine="0" w:firstLineChars="0"/>
              <w:jc w:val="center"/>
              <w:rPr>
                <w:color w:val="000000" w:themeColor="text1"/>
                <w:kern w:val="0"/>
                <w:sz w:val="21"/>
                <w14:textFill>
                  <w14:solidFill>
                    <w14:schemeClr w14:val="tx1"/>
                  </w14:solidFill>
                </w14:textFill>
              </w:rPr>
            </w:pPr>
          </w:p>
        </w:tc>
        <w:tc>
          <w:tcPr>
            <w:tcW w:w="0" w:type="auto"/>
            <w:vMerge w:val="continue"/>
            <w:vAlign w:val="center"/>
          </w:tcPr>
          <w:p w14:paraId="6B19A6C1">
            <w:pPr>
              <w:spacing w:line="240" w:lineRule="auto"/>
              <w:ind w:firstLine="0" w:firstLineChars="0"/>
              <w:jc w:val="center"/>
              <w:rPr>
                <w:color w:val="000000" w:themeColor="text1"/>
                <w:kern w:val="0"/>
                <w:sz w:val="21"/>
                <w14:textFill>
                  <w14:solidFill>
                    <w14:schemeClr w14:val="tx1"/>
                  </w14:solidFill>
                </w14:textFill>
              </w:rPr>
            </w:pPr>
          </w:p>
        </w:tc>
      </w:tr>
      <w:tr w14:paraId="62BF3AC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0" w:type="auto"/>
            <w:vMerge w:val="continue"/>
            <w:vAlign w:val="center"/>
          </w:tcPr>
          <w:p w14:paraId="216CB2E9">
            <w:pPr>
              <w:spacing w:line="240" w:lineRule="auto"/>
              <w:ind w:firstLine="0" w:firstLineChars="0"/>
              <w:jc w:val="center"/>
              <w:rPr>
                <w:color w:val="000000" w:themeColor="text1"/>
                <w:kern w:val="0"/>
                <w:sz w:val="21"/>
                <w14:textFill>
                  <w14:solidFill>
                    <w14:schemeClr w14:val="tx1"/>
                  </w14:solidFill>
                </w14:textFill>
              </w:rPr>
            </w:pPr>
          </w:p>
        </w:tc>
        <w:tc>
          <w:tcPr>
            <w:tcW w:w="0" w:type="auto"/>
            <w:vMerge w:val="continue"/>
            <w:vAlign w:val="center"/>
          </w:tcPr>
          <w:p w14:paraId="2816EF9A">
            <w:pPr>
              <w:spacing w:line="240" w:lineRule="auto"/>
              <w:ind w:firstLine="0" w:firstLineChars="0"/>
              <w:jc w:val="center"/>
              <w:rPr>
                <w:color w:val="000000" w:themeColor="text1"/>
                <w:kern w:val="0"/>
                <w:sz w:val="21"/>
                <w14:textFill>
                  <w14:solidFill>
                    <w14:schemeClr w14:val="tx1"/>
                  </w14:solidFill>
                </w14:textFill>
              </w:rPr>
            </w:pPr>
          </w:p>
        </w:tc>
        <w:tc>
          <w:tcPr>
            <w:tcW w:w="0" w:type="auto"/>
            <w:noWrap/>
            <w:vAlign w:val="center"/>
          </w:tcPr>
          <w:p w14:paraId="000144D9">
            <w:pPr>
              <w:spacing w:line="240" w:lineRule="auto"/>
              <w:ind w:firstLine="0" w:firstLineChars="0"/>
              <w:jc w:val="center"/>
              <w:rPr>
                <w:color w:val="000000" w:themeColor="text1"/>
                <w:kern w:val="0"/>
                <w:sz w:val="21"/>
                <w14:textFill>
                  <w14:solidFill>
                    <w14:schemeClr w14:val="tx1"/>
                  </w14:solidFill>
                </w14:textFill>
              </w:rPr>
            </w:pPr>
            <w:r>
              <w:rPr>
                <w:color w:val="000000" w:themeColor="text1"/>
                <w:kern w:val="0"/>
                <w:sz w:val="21"/>
                <w14:textFill>
                  <w14:solidFill>
                    <w14:schemeClr w14:val="tx1"/>
                  </w14:solidFill>
                </w14:textFill>
              </w:rPr>
              <w:t>短吻鲾</w:t>
            </w:r>
          </w:p>
        </w:tc>
        <w:tc>
          <w:tcPr>
            <w:tcW w:w="0" w:type="auto"/>
            <w:vMerge w:val="continue"/>
            <w:vAlign w:val="center"/>
          </w:tcPr>
          <w:p w14:paraId="550242BA">
            <w:pPr>
              <w:spacing w:line="240" w:lineRule="auto"/>
              <w:ind w:firstLine="0" w:firstLineChars="0"/>
              <w:jc w:val="center"/>
              <w:rPr>
                <w:color w:val="000000" w:themeColor="text1"/>
                <w:kern w:val="0"/>
                <w:sz w:val="21"/>
                <w14:textFill>
                  <w14:solidFill>
                    <w14:schemeClr w14:val="tx1"/>
                  </w14:solidFill>
                </w14:textFill>
              </w:rPr>
            </w:pPr>
          </w:p>
        </w:tc>
        <w:tc>
          <w:tcPr>
            <w:tcW w:w="0" w:type="auto"/>
            <w:vMerge w:val="continue"/>
            <w:vAlign w:val="center"/>
          </w:tcPr>
          <w:p w14:paraId="7F3BBA1F">
            <w:pPr>
              <w:spacing w:line="240" w:lineRule="auto"/>
              <w:ind w:firstLine="0" w:firstLineChars="0"/>
              <w:jc w:val="center"/>
              <w:rPr>
                <w:color w:val="000000" w:themeColor="text1"/>
                <w:kern w:val="0"/>
                <w:sz w:val="21"/>
                <w14:textFill>
                  <w14:solidFill>
                    <w14:schemeClr w14:val="tx1"/>
                  </w14:solidFill>
                </w14:textFill>
              </w:rPr>
            </w:pPr>
          </w:p>
        </w:tc>
        <w:tc>
          <w:tcPr>
            <w:tcW w:w="0" w:type="auto"/>
            <w:vMerge w:val="continue"/>
            <w:vAlign w:val="center"/>
          </w:tcPr>
          <w:p w14:paraId="03783FE0">
            <w:pPr>
              <w:spacing w:line="240" w:lineRule="auto"/>
              <w:ind w:firstLine="0" w:firstLineChars="0"/>
              <w:jc w:val="center"/>
              <w:rPr>
                <w:color w:val="000000" w:themeColor="text1"/>
                <w:kern w:val="0"/>
                <w:sz w:val="21"/>
                <w14:textFill>
                  <w14:solidFill>
                    <w14:schemeClr w14:val="tx1"/>
                  </w14:solidFill>
                </w14:textFill>
              </w:rPr>
            </w:pPr>
          </w:p>
        </w:tc>
        <w:tc>
          <w:tcPr>
            <w:tcW w:w="0" w:type="auto"/>
            <w:vMerge w:val="continue"/>
            <w:vAlign w:val="center"/>
          </w:tcPr>
          <w:p w14:paraId="0CEAF232">
            <w:pPr>
              <w:spacing w:line="240" w:lineRule="auto"/>
              <w:ind w:firstLine="0" w:firstLineChars="0"/>
              <w:jc w:val="center"/>
              <w:rPr>
                <w:color w:val="000000" w:themeColor="text1"/>
                <w:kern w:val="0"/>
                <w:sz w:val="21"/>
                <w14:textFill>
                  <w14:solidFill>
                    <w14:schemeClr w14:val="tx1"/>
                  </w14:solidFill>
                </w14:textFill>
              </w:rPr>
            </w:pPr>
          </w:p>
        </w:tc>
      </w:tr>
      <w:tr w14:paraId="20486E1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0" w:type="auto"/>
            <w:vMerge w:val="continue"/>
            <w:vAlign w:val="center"/>
          </w:tcPr>
          <w:p w14:paraId="2CE61C24">
            <w:pPr>
              <w:spacing w:line="240" w:lineRule="auto"/>
              <w:ind w:firstLine="0" w:firstLineChars="0"/>
              <w:jc w:val="center"/>
              <w:rPr>
                <w:color w:val="000000" w:themeColor="text1"/>
                <w:kern w:val="0"/>
                <w:sz w:val="21"/>
                <w14:textFill>
                  <w14:solidFill>
                    <w14:schemeClr w14:val="tx1"/>
                  </w14:solidFill>
                </w14:textFill>
              </w:rPr>
            </w:pPr>
          </w:p>
        </w:tc>
        <w:tc>
          <w:tcPr>
            <w:tcW w:w="0" w:type="auto"/>
            <w:vMerge w:val="continue"/>
            <w:vAlign w:val="center"/>
          </w:tcPr>
          <w:p w14:paraId="7CE58C72">
            <w:pPr>
              <w:spacing w:line="240" w:lineRule="auto"/>
              <w:ind w:firstLine="0" w:firstLineChars="0"/>
              <w:jc w:val="center"/>
              <w:rPr>
                <w:color w:val="000000" w:themeColor="text1"/>
                <w:kern w:val="0"/>
                <w:sz w:val="21"/>
                <w14:textFill>
                  <w14:solidFill>
                    <w14:schemeClr w14:val="tx1"/>
                  </w14:solidFill>
                </w14:textFill>
              </w:rPr>
            </w:pPr>
          </w:p>
        </w:tc>
        <w:tc>
          <w:tcPr>
            <w:tcW w:w="0" w:type="auto"/>
            <w:noWrap/>
            <w:vAlign w:val="center"/>
          </w:tcPr>
          <w:p w14:paraId="516F5323">
            <w:pPr>
              <w:spacing w:line="240" w:lineRule="auto"/>
              <w:ind w:firstLine="0" w:firstLineChars="0"/>
              <w:jc w:val="center"/>
              <w:rPr>
                <w:color w:val="000000" w:themeColor="text1"/>
                <w:kern w:val="0"/>
                <w:sz w:val="21"/>
                <w14:textFill>
                  <w14:solidFill>
                    <w14:schemeClr w14:val="tx1"/>
                  </w14:solidFill>
                </w14:textFill>
              </w:rPr>
            </w:pPr>
            <w:r>
              <w:rPr>
                <w:color w:val="000000" w:themeColor="text1"/>
                <w:kern w:val="0"/>
                <w:sz w:val="21"/>
                <w14:textFill>
                  <w14:solidFill>
                    <w14:schemeClr w14:val="tx1"/>
                  </w14:solidFill>
                </w14:textFill>
              </w:rPr>
              <w:t>细纹鲾</w:t>
            </w:r>
          </w:p>
        </w:tc>
        <w:tc>
          <w:tcPr>
            <w:tcW w:w="0" w:type="auto"/>
            <w:vMerge w:val="continue"/>
            <w:vAlign w:val="center"/>
          </w:tcPr>
          <w:p w14:paraId="0EAE82DF">
            <w:pPr>
              <w:spacing w:line="240" w:lineRule="auto"/>
              <w:ind w:firstLine="0" w:firstLineChars="0"/>
              <w:jc w:val="center"/>
              <w:rPr>
                <w:color w:val="000000" w:themeColor="text1"/>
                <w:kern w:val="0"/>
                <w:sz w:val="21"/>
                <w14:textFill>
                  <w14:solidFill>
                    <w14:schemeClr w14:val="tx1"/>
                  </w14:solidFill>
                </w14:textFill>
              </w:rPr>
            </w:pPr>
          </w:p>
        </w:tc>
        <w:tc>
          <w:tcPr>
            <w:tcW w:w="0" w:type="auto"/>
            <w:vMerge w:val="continue"/>
            <w:vAlign w:val="center"/>
          </w:tcPr>
          <w:p w14:paraId="18D7644E">
            <w:pPr>
              <w:spacing w:line="240" w:lineRule="auto"/>
              <w:ind w:firstLine="0" w:firstLineChars="0"/>
              <w:jc w:val="center"/>
              <w:rPr>
                <w:color w:val="000000" w:themeColor="text1"/>
                <w:kern w:val="0"/>
                <w:sz w:val="21"/>
                <w14:textFill>
                  <w14:solidFill>
                    <w14:schemeClr w14:val="tx1"/>
                  </w14:solidFill>
                </w14:textFill>
              </w:rPr>
            </w:pPr>
          </w:p>
        </w:tc>
        <w:tc>
          <w:tcPr>
            <w:tcW w:w="0" w:type="auto"/>
            <w:vMerge w:val="continue"/>
            <w:vAlign w:val="center"/>
          </w:tcPr>
          <w:p w14:paraId="23339D39">
            <w:pPr>
              <w:spacing w:line="240" w:lineRule="auto"/>
              <w:ind w:firstLine="0" w:firstLineChars="0"/>
              <w:jc w:val="center"/>
              <w:rPr>
                <w:color w:val="000000" w:themeColor="text1"/>
                <w:kern w:val="0"/>
                <w:sz w:val="21"/>
                <w14:textFill>
                  <w14:solidFill>
                    <w14:schemeClr w14:val="tx1"/>
                  </w14:solidFill>
                </w14:textFill>
              </w:rPr>
            </w:pPr>
          </w:p>
        </w:tc>
        <w:tc>
          <w:tcPr>
            <w:tcW w:w="0" w:type="auto"/>
            <w:vMerge w:val="continue"/>
            <w:vAlign w:val="center"/>
          </w:tcPr>
          <w:p w14:paraId="3B5557AF">
            <w:pPr>
              <w:spacing w:line="240" w:lineRule="auto"/>
              <w:ind w:firstLine="0" w:firstLineChars="0"/>
              <w:jc w:val="center"/>
              <w:rPr>
                <w:color w:val="000000" w:themeColor="text1"/>
                <w:kern w:val="0"/>
                <w:sz w:val="21"/>
                <w14:textFill>
                  <w14:solidFill>
                    <w14:schemeClr w14:val="tx1"/>
                  </w14:solidFill>
                </w14:textFill>
              </w:rPr>
            </w:pPr>
          </w:p>
        </w:tc>
      </w:tr>
      <w:tr w14:paraId="5EAE5B4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0" w:type="auto"/>
            <w:vMerge w:val="continue"/>
            <w:vAlign w:val="center"/>
          </w:tcPr>
          <w:p w14:paraId="217840E7">
            <w:pPr>
              <w:spacing w:line="240" w:lineRule="auto"/>
              <w:ind w:firstLine="0" w:firstLineChars="0"/>
              <w:jc w:val="center"/>
              <w:rPr>
                <w:color w:val="000000" w:themeColor="text1"/>
                <w:kern w:val="0"/>
                <w:sz w:val="21"/>
                <w14:textFill>
                  <w14:solidFill>
                    <w14:schemeClr w14:val="tx1"/>
                  </w14:solidFill>
                </w14:textFill>
              </w:rPr>
            </w:pPr>
          </w:p>
        </w:tc>
        <w:tc>
          <w:tcPr>
            <w:tcW w:w="0" w:type="auto"/>
            <w:vMerge w:val="continue"/>
            <w:vAlign w:val="center"/>
          </w:tcPr>
          <w:p w14:paraId="0196D09B">
            <w:pPr>
              <w:spacing w:line="240" w:lineRule="auto"/>
              <w:ind w:firstLine="0" w:firstLineChars="0"/>
              <w:jc w:val="center"/>
              <w:rPr>
                <w:color w:val="000000" w:themeColor="text1"/>
                <w:kern w:val="0"/>
                <w:sz w:val="21"/>
                <w14:textFill>
                  <w14:solidFill>
                    <w14:schemeClr w14:val="tx1"/>
                  </w14:solidFill>
                </w14:textFill>
              </w:rPr>
            </w:pPr>
          </w:p>
        </w:tc>
        <w:tc>
          <w:tcPr>
            <w:tcW w:w="0" w:type="auto"/>
            <w:noWrap/>
            <w:vAlign w:val="center"/>
          </w:tcPr>
          <w:p w14:paraId="6E415149">
            <w:pPr>
              <w:spacing w:line="240" w:lineRule="auto"/>
              <w:ind w:firstLine="0" w:firstLineChars="0"/>
              <w:jc w:val="center"/>
              <w:rPr>
                <w:color w:val="000000" w:themeColor="text1"/>
                <w:kern w:val="0"/>
                <w:sz w:val="21"/>
                <w14:textFill>
                  <w14:solidFill>
                    <w14:schemeClr w14:val="tx1"/>
                  </w14:solidFill>
                </w14:textFill>
              </w:rPr>
            </w:pPr>
            <w:r>
              <w:rPr>
                <w:color w:val="000000" w:themeColor="text1"/>
                <w:kern w:val="0"/>
                <w:sz w:val="21"/>
                <w14:textFill>
                  <w14:solidFill>
                    <w14:schemeClr w14:val="tx1"/>
                  </w14:solidFill>
                </w14:textFill>
              </w:rPr>
              <w:t>卵鳎</w:t>
            </w:r>
          </w:p>
        </w:tc>
        <w:tc>
          <w:tcPr>
            <w:tcW w:w="0" w:type="auto"/>
            <w:vMerge w:val="continue"/>
            <w:vAlign w:val="center"/>
          </w:tcPr>
          <w:p w14:paraId="0BB521EC">
            <w:pPr>
              <w:spacing w:line="240" w:lineRule="auto"/>
              <w:ind w:firstLine="0" w:firstLineChars="0"/>
              <w:jc w:val="center"/>
              <w:rPr>
                <w:color w:val="000000" w:themeColor="text1"/>
                <w:kern w:val="0"/>
                <w:sz w:val="21"/>
                <w14:textFill>
                  <w14:solidFill>
                    <w14:schemeClr w14:val="tx1"/>
                  </w14:solidFill>
                </w14:textFill>
              </w:rPr>
            </w:pPr>
          </w:p>
        </w:tc>
        <w:tc>
          <w:tcPr>
            <w:tcW w:w="0" w:type="auto"/>
            <w:vMerge w:val="continue"/>
            <w:vAlign w:val="center"/>
          </w:tcPr>
          <w:p w14:paraId="40C9ECC2">
            <w:pPr>
              <w:spacing w:line="240" w:lineRule="auto"/>
              <w:ind w:firstLine="0" w:firstLineChars="0"/>
              <w:jc w:val="center"/>
              <w:rPr>
                <w:color w:val="000000" w:themeColor="text1"/>
                <w:kern w:val="0"/>
                <w:sz w:val="21"/>
                <w14:textFill>
                  <w14:solidFill>
                    <w14:schemeClr w14:val="tx1"/>
                  </w14:solidFill>
                </w14:textFill>
              </w:rPr>
            </w:pPr>
          </w:p>
        </w:tc>
        <w:tc>
          <w:tcPr>
            <w:tcW w:w="0" w:type="auto"/>
            <w:vMerge w:val="continue"/>
            <w:vAlign w:val="center"/>
          </w:tcPr>
          <w:p w14:paraId="28299D3F">
            <w:pPr>
              <w:spacing w:line="240" w:lineRule="auto"/>
              <w:ind w:firstLine="0" w:firstLineChars="0"/>
              <w:jc w:val="center"/>
              <w:rPr>
                <w:color w:val="000000" w:themeColor="text1"/>
                <w:kern w:val="0"/>
                <w:sz w:val="21"/>
                <w14:textFill>
                  <w14:solidFill>
                    <w14:schemeClr w14:val="tx1"/>
                  </w14:solidFill>
                </w14:textFill>
              </w:rPr>
            </w:pPr>
          </w:p>
        </w:tc>
        <w:tc>
          <w:tcPr>
            <w:tcW w:w="0" w:type="auto"/>
            <w:vMerge w:val="continue"/>
            <w:vAlign w:val="center"/>
          </w:tcPr>
          <w:p w14:paraId="359F24B2">
            <w:pPr>
              <w:spacing w:line="240" w:lineRule="auto"/>
              <w:ind w:firstLine="0" w:firstLineChars="0"/>
              <w:jc w:val="center"/>
              <w:rPr>
                <w:color w:val="000000" w:themeColor="text1"/>
                <w:kern w:val="0"/>
                <w:sz w:val="21"/>
                <w14:textFill>
                  <w14:solidFill>
                    <w14:schemeClr w14:val="tx1"/>
                  </w14:solidFill>
                </w14:textFill>
              </w:rPr>
            </w:pPr>
          </w:p>
        </w:tc>
      </w:tr>
      <w:tr w14:paraId="02A4D21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0" w:type="auto"/>
            <w:vMerge w:val="continue"/>
            <w:vAlign w:val="center"/>
          </w:tcPr>
          <w:p w14:paraId="7C2E7D60">
            <w:pPr>
              <w:spacing w:line="240" w:lineRule="auto"/>
              <w:ind w:firstLine="0" w:firstLineChars="0"/>
              <w:jc w:val="center"/>
              <w:rPr>
                <w:color w:val="000000" w:themeColor="text1"/>
                <w:kern w:val="0"/>
                <w:sz w:val="21"/>
                <w14:textFill>
                  <w14:solidFill>
                    <w14:schemeClr w14:val="tx1"/>
                  </w14:solidFill>
                </w14:textFill>
              </w:rPr>
            </w:pPr>
          </w:p>
        </w:tc>
        <w:tc>
          <w:tcPr>
            <w:tcW w:w="0" w:type="auto"/>
            <w:vMerge w:val="continue"/>
            <w:vAlign w:val="center"/>
          </w:tcPr>
          <w:p w14:paraId="57EAF83A">
            <w:pPr>
              <w:spacing w:line="240" w:lineRule="auto"/>
              <w:ind w:firstLine="0" w:firstLineChars="0"/>
              <w:jc w:val="center"/>
              <w:rPr>
                <w:color w:val="000000" w:themeColor="text1"/>
                <w:kern w:val="0"/>
                <w:sz w:val="21"/>
                <w14:textFill>
                  <w14:solidFill>
                    <w14:schemeClr w14:val="tx1"/>
                  </w14:solidFill>
                </w14:textFill>
              </w:rPr>
            </w:pPr>
          </w:p>
        </w:tc>
        <w:tc>
          <w:tcPr>
            <w:tcW w:w="0" w:type="auto"/>
            <w:noWrap/>
            <w:vAlign w:val="center"/>
          </w:tcPr>
          <w:p w14:paraId="2585AA71">
            <w:pPr>
              <w:spacing w:line="240" w:lineRule="auto"/>
              <w:ind w:firstLine="0" w:firstLineChars="0"/>
              <w:jc w:val="center"/>
              <w:rPr>
                <w:color w:val="000000" w:themeColor="text1"/>
                <w:kern w:val="0"/>
                <w:sz w:val="21"/>
                <w14:textFill>
                  <w14:solidFill>
                    <w14:schemeClr w14:val="tx1"/>
                  </w14:solidFill>
                </w14:textFill>
              </w:rPr>
            </w:pPr>
            <w:r>
              <w:rPr>
                <w:color w:val="000000" w:themeColor="text1"/>
                <w:kern w:val="0"/>
                <w:sz w:val="21"/>
                <w14:textFill>
                  <w14:solidFill>
                    <w14:schemeClr w14:val="tx1"/>
                  </w14:solidFill>
                </w14:textFill>
              </w:rPr>
              <w:t>赤魟</w:t>
            </w:r>
          </w:p>
        </w:tc>
        <w:tc>
          <w:tcPr>
            <w:tcW w:w="0" w:type="auto"/>
            <w:vMerge w:val="continue"/>
            <w:vAlign w:val="center"/>
          </w:tcPr>
          <w:p w14:paraId="61C346AF">
            <w:pPr>
              <w:spacing w:line="240" w:lineRule="auto"/>
              <w:ind w:firstLine="0" w:firstLineChars="0"/>
              <w:jc w:val="center"/>
              <w:rPr>
                <w:color w:val="000000" w:themeColor="text1"/>
                <w:kern w:val="0"/>
                <w:sz w:val="21"/>
                <w14:textFill>
                  <w14:solidFill>
                    <w14:schemeClr w14:val="tx1"/>
                  </w14:solidFill>
                </w14:textFill>
              </w:rPr>
            </w:pPr>
          </w:p>
        </w:tc>
        <w:tc>
          <w:tcPr>
            <w:tcW w:w="0" w:type="auto"/>
            <w:vMerge w:val="continue"/>
            <w:vAlign w:val="center"/>
          </w:tcPr>
          <w:p w14:paraId="0BFF1B03">
            <w:pPr>
              <w:spacing w:line="240" w:lineRule="auto"/>
              <w:ind w:firstLine="0" w:firstLineChars="0"/>
              <w:jc w:val="center"/>
              <w:rPr>
                <w:color w:val="000000" w:themeColor="text1"/>
                <w:kern w:val="0"/>
                <w:sz w:val="21"/>
                <w14:textFill>
                  <w14:solidFill>
                    <w14:schemeClr w14:val="tx1"/>
                  </w14:solidFill>
                </w14:textFill>
              </w:rPr>
            </w:pPr>
          </w:p>
        </w:tc>
        <w:tc>
          <w:tcPr>
            <w:tcW w:w="0" w:type="auto"/>
            <w:vMerge w:val="continue"/>
            <w:vAlign w:val="center"/>
          </w:tcPr>
          <w:p w14:paraId="5F43457F">
            <w:pPr>
              <w:spacing w:line="240" w:lineRule="auto"/>
              <w:ind w:firstLine="0" w:firstLineChars="0"/>
              <w:jc w:val="center"/>
              <w:rPr>
                <w:color w:val="000000" w:themeColor="text1"/>
                <w:kern w:val="0"/>
                <w:sz w:val="21"/>
                <w14:textFill>
                  <w14:solidFill>
                    <w14:schemeClr w14:val="tx1"/>
                  </w14:solidFill>
                </w14:textFill>
              </w:rPr>
            </w:pPr>
          </w:p>
        </w:tc>
        <w:tc>
          <w:tcPr>
            <w:tcW w:w="0" w:type="auto"/>
            <w:vMerge w:val="continue"/>
            <w:vAlign w:val="center"/>
          </w:tcPr>
          <w:p w14:paraId="5D243AFD">
            <w:pPr>
              <w:spacing w:line="240" w:lineRule="auto"/>
              <w:ind w:firstLine="0" w:firstLineChars="0"/>
              <w:jc w:val="center"/>
              <w:rPr>
                <w:color w:val="000000" w:themeColor="text1"/>
                <w:kern w:val="0"/>
                <w:sz w:val="21"/>
                <w14:textFill>
                  <w14:solidFill>
                    <w14:schemeClr w14:val="tx1"/>
                  </w14:solidFill>
                </w14:textFill>
              </w:rPr>
            </w:pPr>
          </w:p>
        </w:tc>
      </w:tr>
      <w:tr w14:paraId="5266584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0" w:type="auto"/>
            <w:vMerge w:val="continue"/>
            <w:vAlign w:val="center"/>
          </w:tcPr>
          <w:p w14:paraId="24153417">
            <w:pPr>
              <w:spacing w:line="240" w:lineRule="auto"/>
              <w:ind w:firstLine="0" w:firstLineChars="0"/>
              <w:jc w:val="center"/>
              <w:rPr>
                <w:color w:val="000000" w:themeColor="text1"/>
                <w:kern w:val="0"/>
                <w:sz w:val="21"/>
                <w14:textFill>
                  <w14:solidFill>
                    <w14:schemeClr w14:val="tx1"/>
                  </w14:solidFill>
                </w14:textFill>
              </w:rPr>
            </w:pPr>
          </w:p>
        </w:tc>
        <w:tc>
          <w:tcPr>
            <w:tcW w:w="0" w:type="auto"/>
            <w:vMerge w:val="restart"/>
            <w:noWrap/>
            <w:vAlign w:val="center"/>
          </w:tcPr>
          <w:p w14:paraId="729BECB7">
            <w:pPr>
              <w:spacing w:line="240" w:lineRule="auto"/>
              <w:ind w:firstLine="0" w:firstLineChars="0"/>
              <w:jc w:val="center"/>
              <w:rPr>
                <w:color w:val="000000" w:themeColor="text1"/>
                <w:kern w:val="0"/>
                <w:sz w:val="21"/>
                <w14:textFill>
                  <w14:solidFill>
                    <w14:schemeClr w14:val="tx1"/>
                  </w14:solidFill>
                </w14:textFill>
              </w:rPr>
            </w:pPr>
            <w:r>
              <w:rPr>
                <w:color w:val="000000" w:themeColor="text1"/>
                <w:kern w:val="0"/>
                <w:sz w:val="21"/>
                <w14:textFill>
                  <w14:solidFill>
                    <w14:schemeClr w14:val="tx1"/>
                  </w14:solidFill>
                </w14:textFill>
              </w:rPr>
              <w:t>蟹类</w:t>
            </w:r>
          </w:p>
        </w:tc>
        <w:tc>
          <w:tcPr>
            <w:tcW w:w="0" w:type="auto"/>
            <w:noWrap/>
            <w:vAlign w:val="center"/>
          </w:tcPr>
          <w:p w14:paraId="2FC3F132">
            <w:pPr>
              <w:spacing w:line="240" w:lineRule="auto"/>
              <w:ind w:firstLine="0" w:firstLineChars="0"/>
              <w:jc w:val="center"/>
              <w:rPr>
                <w:color w:val="000000" w:themeColor="text1"/>
                <w:kern w:val="0"/>
                <w:sz w:val="21"/>
                <w14:textFill>
                  <w14:solidFill>
                    <w14:schemeClr w14:val="tx1"/>
                  </w14:solidFill>
                </w14:textFill>
              </w:rPr>
            </w:pPr>
            <w:r>
              <w:rPr>
                <w:color w:val="000000" w:themeColor="text1"/>
                <w:kern w:val="0"/>
                <w:sz w:val="21"/>
                <w14:textFill>
                  <w14:solidFill>
                    <w14:schemeClr w14:val="tx1"/>
                  </w14:solidFill>
                </w14:textFill>
              </w:rPr>
              <w:t>双额短桨蟹</w:t>
            </w:r>
          </w:p>
        </w:tc>
        <w:tc>
          <w:tcPr>
            <w:tcW w:w="0" w:type="auto"/>
            <w:vMerge w:val="restart"/>
            <w:noWrap/>
            <w:vAlign w:val="center"/>
          </w:tcPr>
          <w:p w14:paraId="3C8ABD0A">
            <w:pPr>
              <w:spacing w:line="240" w:lineRule="auto"/>
              <w:ind w:firstLine="0" w:firstLineChars="0"/>
              <w:jc w:val="center"/>
              <w:rPr>
                <w:color w:val="000000" w:themeColor="text1"/>
                <w:kern w:val="0"/>
                <w:sz w:val="21"/>
                <w14:textFill>
                  <w14:solidFill>
                    <w14:schemeClr w14:val="tx1"/>
                  </w14:solidFill>
                </w14:textFill>
              </w:rPr>
            </w:pPr>
          </w:p>
        </w:tc>
        <w:tc>
          <w:tcPr>
            <w:tcW w:w="0" w:type="auto"/>
            <w:vMerge w:val="restart"/>
            <w:noWrap/>
            <w:vAlign w:val="center"/>
          </w:tcPr>
          <w:p w14:paraId="307694FB">
            <w:pPr>
              <w:spacing w:line="240" w:lineRule="auto"/>
              <w:ind w:firstLine="0" w:firstLineChars="0"/>
              <w:jc w:val="center"/>
              <w:rPr>
                <w:color w:val="000000" w:themeColor="text1"/>
                <w:kern w:val="0"/>
                <w:sz w:val="21"/>
                <w14:textFill>
                  <w14:solidFill>
                    <w14:schemeClr w14:val="tx1"/>
                  </w14:solidFill>
                </w14:textFill>
              </w:rPr>
            </w:pPr>
          </w:p>
        </w:tc>
        <w:tc>
          <w:tcPr>
            <w:tcW w:w="0" w:type="auto"/>
            <w:vMerge w:val="restart"/>
            <w:noWrap/>
            <w:vAlign w:val="center"/>
          </w:tcPr>
          <w:p w14:paraId="4C656DDC">
            <w:pPr>
              <w:spacing w:line="240" w:lineRule="auto"/>
              <w:ind w:firstLine="0" w:firstLineChars="0"/>
              <w:jc w:val="center"/>
              <w:rPr>
                <w:color w:val="000000" w:themeColor="text1"/>
                <w:kern w:val="0"/>
                <w:sz w:val="21"/>
                <w14:textFill>
                  <w14:solidFill>
                    <w14:schemeClr w14:val="tx1"/>
                  </w14:solidFill>
                </w14:textFill>
              </w:rPr>
            </w:pPr>
          </w:p>
        </w:tc>
        <w:tc>
          <w:tcPr>
            <w:tcW w:w="0" w:type="auto"/>
            <w:vMerge w:val="restart"/>
            <w:noWrap/>
            <w:vAlign w:val="center"/>
          </w:tcPr>
          <w:p w14:paraId="32E11FBE">
            <w:pPr>
              <w:spacing w:line="240" w:lineRule="auto"/>
              <w:ind w:firstLine="0" w:firstLineChars="0"/>
              <w:jc w:val="center"/>
              <w:rPr>
                <w:color w:val="000000" w:themeColor="text1"/>
                <w:kern w:val="0"/>
                <w:sz w:val="21"/>
                <w14:textFill>
                  <w14:solidFill>
                    <w14:schemeClr w14:val="tx1"/>
                  </w14:solidFill>
                </w14:textFill>
              </w:rPr>
            </w:pPr>
          </w:p>
        </w:tc>
      </w:tr>
      <w:tr w14:paraId="666BE9E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0" w:type="auto"/>
            <w:vMerge w:val="continue"/>
            <w:vAlign w:val="center"/>
          </w:tcPr>
          <w:p w14:paraId="6DD5F707">
            <w:pPr>
              <w:spacing w:line="240" w:lineRule="auto"/>
              <w:ind w:firstLine="0" w:firstLineChars="0"/>
              <w:jc w:val="center"/>
              <w:rPr>
                <w:color w:val="000000" w:themeColor="text1"/>
                <w:kern w:val="0"/>
                <w:sz w:val="21"/>
                <w14:textFill>
                  <w14:solidFill>
                    <w14:schemeClr w14:val="tx1"/>
                  </w14:solidFill>
                </w14:textFill>
              </w:rPr>
            </w:pPr>
          </w:p>
        </w:tc>
        <w:tc>
          <w:tcPr>
            <w:tcW w:w="0" w:type="auto"/>
            <w:vMerge w:val="continue"/>
            <w:vAlign w:val="center"/>
          </w:tcPr>
          <w:p w14:paraId="212EF488">
            <w:pPr>
              <w:spacing w:line="240" w:lineRule="auto"/>
              <w:ind w:firstLine="0" w:firstLineChars="0"/>
              <w:jc w:val="center"/>
              <w:rPr>
                <w:color w:val="000000" w:themeColor="text1"/>
                <w:kern w:val="0"/>
                <w:sz w:val="21"/>
                <w14:textFill>
                  <w14:solidFill>
                    <w14:schemeClr w14:val="tx1"/>
                  </w14:solidFill>
                </w14:textFill>
              </w:rPr>
            </w:pPr>
          </w:p>
        </w:tc>
        <w:tc>
          <w:tcPr>
            <w:tcW w:w="0" w:type="auto"/>
            <w:noWrap/>
            <w:vAlign w:val="center"/>
          </w:tcPr>
          <w:p w14:paraId="3AECE15A">
            <w:pPr>
              <w:spacing w:line="240" w:lineRule="auto"/>
              <w:ind w:firstLine="0" w:firstLineChars="0"/>
              <w:jc w:val="center"/>
              <w:rPr>
                <w:color w:val="000000" w:themeColor="text1"/>
                <w:kern w:val="0"/>
                <w:sz w:val="21"/>
                <w14:textFill>
                  <w14:solidFill>
                    <w14:schemeClr w14:val="tx1"/>
                  </w14:solidFill>
                </w14:textFill>
              </w:rPr>
            </w:pPr>
            <w:r>
              <w:rPr>
                <w:color w:val="000000" w:themeColor="text1"/>
                <w:kern w:val="0"/>
                <w:sz w:val="21"/>
                <w14:textFill>
                  <w14:solidFill>
                    <w14:schemeClr w14:val="tx1"/>
                  </w14:solidFill>
                </w14:textFill>
              </w:rPr>
              <w:t>远海梭子蟹</w:t>
            </w:r>
          </w:p>
        </w:tc>
        <w:tc>
          <w:tcPr>
            <w:tcW w:w="0" w:type="auto"/>
            <w:vMerge w:val="continue"/>
            <w:vAlign w:val="center"/>
          </w:tcPr>
          <w:p w14:paraId="47235ABA">
            <w:pPr>
              <w:spacing w:line="240" w:lineRule="auto"/>
              <w:ind w:firstLine="0" w:firstLineChars="0"/>
              <w:jc w:val="center"/>
              <w:rPr>
                <w:color w:val="000000" w:themeColor="text1"/>
                <w:kern w:val="0"/>
                <w:sz w:val="21"/>
                <w14:textFill>
                  <w14:solidFill>
                    <w14:schemeClr w14:val="tx1"/>
                  </w14:solidFill>
                </w14:textFill>
              </w:rPr>
            </w:pPr>
          </w:p>
        </w:tc>
        <w:tc>
          <w:tcPr>
            <w:tcW w:w="0" w:type="auto"/>
            <w:vMerge w:val="continue"/>
            <w:vAlign w:val="center"/>
          </w:tcPr>
          <w:p w14:paraId="3C2C42D3">
            <w:pPr>
              <w:spacing w:line="240" w:lineRule="auto"/>
              <w:ind w:firstLine="0" w:firstLineChars="0"/>
              <w:jc w:val="center"/>
              <w:rPr>
                <w:color w:val="000000" w:themeColor="text1"/>
                <w:kern w:val="0"/>
                <w:sz w:val="21"/>
                <w14:textFill>
                  <w14:solidFill>
                    <w14:schemeClr w14:val="tx1"/>
                  </w14:solidFill>
                </w14:textFill>
              </w:rPr>
            </w:pPr>
          </w:p>
        </w:tc>
        <w:tc>
          <w:tcPr>
            <w:tcW w:w="0" w:type="auto"/>
            <w:vMerge w:val="continue"/>
            <w:vAlign w:val="center"/>
          </w:tcPr>
          <w:p w14:paraId="23EE73BA">
            <w:pPr>
              <w:spacing w:line="240" w:lineRule="auto"/>
              <w:ind w:firstLine="0" w:firstLineChars="0"/>
              <w:jc w:val="center"/>
              <w:rPr>
                <w:color w:val="000000" w:themeColor="text1"/>
                <w:kern w:val="0"/>
                <w:sz w:val="21"/>
                <w14:textFill>
                  <w14:solidFill>
                    <w14:schemeClr w14:val="tx1"/>
                  </w14:solidFill>
                </w14:textFill>
              </w:rPr>
            </w:pPr>
          </w:p>
        </w:tc>
        <w:tc>
          <w:tcPr>
            <w:tcW w:w="0" w:type="auto"/>
            <w:vMerge w:val="continue"/>
            <w:vAlign w:val="center"/>
          </w:tcPr>
          <w:p w14:paraId="3E3FE69D">
            <w:pPr>
              <w:spacing w:line="240" w:lineRule="auto"/>
              <w:ind w:firstLine="0" w:firstLineChars="0"/>
              <w:jc w:val="center"/>
              <w:rPr>
                <w:color w:val="000000" w:themeColor="text1"/>
                <w:kern w:val="0"/>
                <w:sz w:val="21"/>
                <w14:textFill>
                  <w14:solidFill>
                    <w14:schemeClr w14:val="tx1"/>
                  </w14:solidFill>
                </w14:textFill>
              </w:rPr>
            </w:pPr>
          </w:p>
        </w:tc>
      </w:tr>
      <w:tr w14:paraId="67CB107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0" w:type="auto"/>
            <w:vMerge w:val="continue"/>
            <w:vAlign w:val="center"/>
          </w:tcPr>
          <w:p w14:paraId="5C36C321">
            <w:pPr>
              <w:spacing w:line="240" w:lineRule="auto"/>
              <w:ind w:firstLine="0" w:firstLineChars="0"/>
              <w:jc w:val="center"/>
              <w:rPr>
                <w:color w:val="000000" w:themeColor="text1"/>
                <w:kern w:val="0"/>
                <w:sz w:val="21"/>
                <w14:textFill>
                  <w14:solidFill>
                    <w14:schemeClr w14:val="tx1"/>
                  </w14:solidFill>
                </w14:textFill>
              </w:rPr>
            </w:pPr>
          </w:p>
        </w:tc>
        <w:tc>
          <w:tcPr>
            <w:tcW w:w="0" w:type="auto"/>
            <w:vMerge w:val="continue"/>
            <w:vAlign w:val="center"/>
          </w:tcPr>
          <w:p w14:paraId="02CB43B7">
            <w:pPr>
              <w:spacing w:line="240" w:lineRule="auto"/>
              <w:ind w:firstLine="0" w:firstLineChars="0"/>
              <w:jc w:val="center"/>
              <w:rPr>
                <w:color w:val="000000" w:themeColor="text1"/>
                <w:kern w:val="0"/>
                <w:sz w:val="21"/>
                <w14:textFill>
                  <w14:solidFill>
                    <w14:schemeClr w14:val="tx1"/>
                  </w14:solidFill>
                </w14:textFill>
              </w:rPr>
            </w:pPr>
          </w:p>
        </w:tc>
        <w:tc>
          <w:tcPr>
            <w:tcW w:w="0" w:type="auto"/>
            <w:noWrap/>
            <w:vAlign w:val="center"/>
          </w:tcPr>
          <w:p w14:paraId="34F18FC7">
            <w:pPr>
              <w:spacing w:line="240" w:lineRule="auto"/>
              <w:ind w:firstLine="0" w:firstLineChars="0"/>
              <w:jc w:val="center"/>
              <w:rPr>
                <w:color w:val="000000" w:themeColor="text1"/>
                <w:kern w:val="0"/>
                <w:sz w:val="21"/>
                <w14:textFill>
                  <w14:solidFill>
                    <w14:schemeClr w14:val="tx1"/>
                  </w14:solidFill>
                </w14:textFill>
              </w:rPr>
            </w:pPr>
            <w:r>
              <w:rPr>
                <w:color w:val="000000" w:themeColor="text1"/>
                <w:kern w:val="0"/>
                <w:sz w:val="21"/>
                <w14:textFill>
                  <w14:solidFill>
                    <w14:schemeClr w14:val="tx1"/>
                  </w14:solidFill>
                </w14:textFill>
              </w:rPr>
              <w:t>红线黎明蟹</w:t>
            </w:r>
          </w:p>
        </w:tc>
        <w:tc>
          <w:tcPr>
            <w:tcW w:w="0" w:type="auto"/>
            <w:vMerge w:val="continue"/>
            <w:vAlign w:val="center"/>
          </w:tcPr>
          <w:p w14:paraId="2E422D34">
            <w:pPr>
              <w:spacing w:line="240" w:lineRule="auto"/>
              <w:ind w:firstLine="0" w:firstLineChars="0"/>
              <w:jc w:val="center"/>
              <w:rPr>
                <w:color w:val="000000" w:themeColor="text1"/>
                <w:kern w:val="0"/>
                <w:sz w:val="21"/>
                <w14:textFill>
                  <w14:solidFill>
                    <w14:schemeClr w14:val="tx1"/>
                  </w14:solidFill>
                </w14:textFill>
              </w:rPr>
            </w:pPr>
          </w:p>
        </w:tc>
        <w:tc>
          <w:tcPr>
            <w:tcW w:w="0" w:type="auto"/>
            <w:vMerge w:val="continue"/>
            <w:vAlign w:val="center"/>
          </w:tcPr>
          <w:p w14:paraId="5337CA68">
            <w:pPr>
              <w:spacing w:line="240" w:lineRule="auto"/>
              <w:ind w:firstLine="0" w:firstLineChars="0"/>
              <w:jc w:val="center"/>
              <w:rPr>
                <w:color w:val="000000" w:themeColor="text1"/>
                <w:kern w:val="0"/>
                <w:sz w:val="21"/>
                <w14:textFill>
                  <w14:solidFill>
                    <w14:schemeClr w14:val="tx1"/>
                  </w14:solidFill>
                </w14:textFill>
              </w:rPr>
            </w:pPr>
          </w:p>
        </w:tc>
        <w:tc>
          <w:tcPr>
            <w:tcW w:w="0" w:type="auto"/>
            <w:vMerge w:val="continue"/>
            <w:vAlign w:val="center"/>
          </w:tcPr>
          <w:p w14:paraId="2CC30C00">
            <w:pPr>
              <w:spacing w:line="240" w:lineRule="auto"/>
              <w:ind w:firstLine="0" w:firstLineChars="0"/>
              <w:jc w:val="center"/>
              <w:rPr>
                <w:color w:val="000000" w:themeColor="text1"/>
                <w:kern w:val="0"/>
                <w:sz w:val="21"/>
                <w14:textFill>
                  <w14:solidFill>
                    <w14:schemeClr w14:val="tx1"/>
                  </w14:solidFill>
                </w14:textFill>
              </w:rPr>
            </w:pPr>
          </w:p>
        </w:tc>
        <w:tc>
          <w:tcPr>
            <w:tcW w:w="0" w:type="auto"/>
            <w:vMerge w:val="continue"/>
            <w:vAlign w:val="center"/>
          </w:tcPr>
          <w:p w14:paraId="47344DFB">
            <w:pPr>
              <w:spacing w:line="240" w:lineRule="auto"/>
              <w:ind w:firstLine="0" w:firstLineChars="0"/>
              <w:jc w:val="center"/>
              <w:rPr>
                <w:color w:val="000000" w:themeColor="text1"/>
                <w:kern w:val="0"/>
                <w:sz w:val="21"/>
                <w14:textFill>
                  <w14:solidFill>
                    <w14:schemeClr w14:val="tx1"/>
                  </w14:solidFill>
                </w14:textFill>
              </w:rPr>
            </w:pPr>
          </w:p>
        </w:tc>
      </w:tr>
      <w:tr w14:paraId="6C66F8D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0" w:type="auto"/>
            <w:vMerge w:val="continue"/>
            <w:vAlign w:val="center"/>
          </w:tcPr>
          <w:p w14:paraId="370BD237">
            <w:pPr>
              <w:spacing w:line="240" w:lineRule="auto"/>
              <w:ind w:firstLine="0" w:firstLineChars="0"/>
              <w:jc w:val="center"/>
              <w:rPr>
                <w:color w:val="000000" w:themeColor="text1"/>
                <w:kern w:val="0"/>
                <w:sz w:val="21"/>
                <w14:textFill>
                  <w14:solidFill>
                    <w14:schemeClr w14:val="tx1"/>
                  </w14:solidFill>
                </w14:textFill>
              </w:rPr>
            </w:pPr>
          </w:p>
        </w:tc>
        <w:tc>
          <w:tcPr>
            <w:tcW w:w="0" w:type="auto"/>
            <w:noWrap/>
            <w:vAlign w:val="center"/>
          </w:tcPr>
          <w:p w14:paraId="35E71693">
            <w:pPr>
              <w:spacing w:line="240" w:lineRule="auto"/>
              <w:ind w:firstLine="0" w:firstLineChars="0"/>
              <w:jc w:val="center"/>
              <w:rPr>
                <w:color w:val="000000" w:themeColor="text1"/>
                <w:kern w:val="0"/>
                <w:sz w:val="21"/>
                <w14:textFill>
                  <w14:solidFill>
                    <w14:schemeClr w14:val="tx1"/>
                  </w14:solidFill>
                </w14:textFill>
              </w:rPr>
            </w:pPr>
            <w:r>
              <w:rPr>
                <w:color w:val="000000" w:themeColor="text1"/>
                <w:kern w:val="0"/>
                <w:sz w:val="21"/>
                <w14:textFill>
                  <w14:solidFill>
                    <w14:schemeClr w14:val="tx1"/>
                  </w14:solidFill>
                </w14:textFill>
              </w:rPr>
              <w:t>头足类</w:t>
            </w:r>
          </w:p>
        </w:tc>
        <w:tc>
          <w:tcPr>
            <w:tcW w:w="0" w:type="auto"/>
            <w:noWrap/>
            <w:vAlign w:val="center"/>
          </w:tcPr>
          <w:p w14:paraId="1FF94781">
            <w:pPr>
              <w:spacing w:line="240" w:lineRule="auto"/>
              <w:ind w:firstLine="0" w:firstLineChars="0"/>
              <w:jc w:val="center"/>
              <w:rPr>
                <w:color w:val="000000" w:themeColor="text1"/>
                <w:kern w:val="0"/>
                <w:sz w:val="21"/>
                <w14:textFill>
                  <w14:solidFill>
                    <w14:schemeClr w14:val="tx1"/>
                  </w14:solidFill>
                </w14:textFill>
              </w:rPr>
            </w:pPr>
            <w:r>
              <w:rPr>
                <w:color w:val="000000" w:themeColor="text1"/>
                <w:kern w:val="0"/>
                <w:sz w:val="21"/>
                <w14:textFill>
                  <w14:solidFill>
                    <w14:schemeClr w14:val="tx1"/>
                  </w14:solidFill>
                </w14:textFill>
              </w:rPr>
              <w:t>中国枪鱿</w:t>
            </w:r>
          </w:p>
        </w:tc>
        <w:tc>
          <w:tcPr>
            <w:tcW w:w="0" w:type="auto"/>
            <w:noWrap/>
            <w:vAlign w:val="center"/>
          </w:tcPr>
          <w:p w14:paraId="1FD46A45">
            <w:pPr>
              <w:spacing w:line="240" w:lineRule="auto"/>
              <w:ind w:firstLine="0" w:firstLineChars="0"/>
              <w:jc w:val="center"/>
              <w:rPr>
                <w:color w:val="000000" w:themeColor="text1"/>
                <w:kern w:val="0"/>
                <w:sz w:val="21"/>
                <w14:textFill>
                  <w14:solidFill>
                    <w14:schemeClr w14:val="tx1"/>
                  </w14:solidFill>
                </w14:textFill>
              </w:rPr>
            </w:pPr>
          </w:p>
        </w:tc>
        <w:tc>
          <w:tcPr>
            <w:tcW w:w="0" w:type="auto"/>
            <w:noWrap/>
            <w:vAlign w:val="center"/>
          </w:tcPr>
          <w:p w14:paraId="73A8F492">
            <w:pPr>
              <w:spacing w:line="240" w:lineRule="auto"/>
              <w:ind w:firstLine="0" w:firstLineChars="0"/>
              <w:jc w:val="center"/>
              <w:rPr>
                <w:color w:val="000000" w:themeColor="text1"/>
                <w:kern w:val="0"/>
                <w:sz w:val="21"/>
                <w14:textFill>
                  <w14:solidFill>
                    <w14:schemeClr w14:val="tx1"/>
                  </w14:solidFill>
                </w14:textFill>
              </w:rPr>
            </w:pPr>
          </w:p>
        </w:tc>
        <w:tc>
          <w:tcPr>
            <w:tcW w:w="0" w:type="auto"/>
            <w:noWrap/>
            <w:vAlign w:val="center"/>
          </w:tcPr>
          <w:p w14:paraId="124B4425">
            <w:pPr>
              <w:spacing w:line="240" w:lineRule="auto"/>
              <w:ind w:firstLine="0" w:firstLineChars="0"/>
              <w:jc w:val="center"/>
              <w:rPr>
                <w:color w:val="000000" w:themeColor="text1"/>
                <w:kern w:val="0"/>
                <w:sz w:val="21"/>
                <w14:textFill>
                  <w14:solidFill>
                    <w14:schemeClr w14:val="tx1"/>
                  </w14:solidFill>
                </w14:textFill>
              </w:rPr>
            </w:pPr>
          </w:p>
        </w:tc>
        <w:tc>
          <w:tcPr>
            <w:tcW w:w="0" w:type="auto"/>
            <w:noWrap/>
            <w:vAlign w:val="center"/>
          </w:tcPr>
          <w:p w14:paraId="5933C6F0">
            <w:pPr>
              <w:spacing w:line="240" w:lineRule="auto"/>
              <w:ind w:firstLine="0" w:firstLineChars="0"/>
              <w:jc w:val="center"/>
              <w:rPr>
                <w:color w:val="000000" w:themeColor="text1"/>
                <w:kern w:val="0"/>
                <w:sz w:val="21"/>
                <w14:textFill>
                  <w14:solidFill>
                    <w14:schemeClr w14:val="tx1"/>
                  </w14:solidFill>
                </w14:textFill>
              </w:rPr>
            </w:pPr>
          </w:p>
        </w:tc>
      </w:tr>
    </w:tbl>
    <w:p w14:paraId="78501527">
      <w:pPr>
        <w:pStyle w:val="4"/>
        <w:rPr>
          <w:color w:val="000000" w:themeColor="text1"/>
          <w14:textFill>
            <w14:solidFill>
              <w14:schemeClr w14:val="tx1"/>
            </w14:solidFill>
          </w14:textFill>
        </w:rPr>
      </w:pPr>
      <w:bookmarkStart w:id="640" w:name="_Toc216620564"/>
      <w:r>
        <w:rPr>
          <w:color w:val="000000" w:themeColor="text1"/>
          <w14:textFill>
            <w14:solidFill>
              <w14:schemeClr w14:val="tx1"/>
            </w14:solidFill>
          </w14:textFill>
        </w:rPr>
        <w:t>水文动力现状调查与评价</w:t>
      </w:r>
      <w:bookmarkEnd w:id="640"/>
    </w:p>
    <w:p w14:paraId="0B1D1F8E">
      <w:pPr>
        <w:ind w:firstLine="480"/>
        <w:rPr>
          <w:color w:val="000000" w:themeColor="text1"/>
          <w14:textFill>
            <w14:solidFill>
              <w14:schemeClr w14:val="tx1"/>
            </w14:solidFill>
          </w14:textFill>
        </w:rPr>
      </w:pPr>
      <w:r>
        <w:rPr>
          <w:color w:val="000000" w:themeColor="text1"/>
          <w14:textFill>
            <w14:solidFill>
              <w14:schemeClr w14:val="tx1"/>
            </w14:solidFill>
          </w14:textFill>
        </w:rPr>
        <w:t>本次评价海洋水文动力春季数据引自《钦州港</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十四五</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拟建项目海洋水文调查报告》。</w:t>
      </w:r>
    </w:p>
    <w:p w14:paraId="6FDE3FC7">
      <w:pPr>
        <w:pStyle w:val="6"/>
        <w:rPr>
          <w:color w:val="000000" w:themeColor="text1"/>
          <w14:textFill>
            <w14:solidFill>
              <w14:schemeClr w14:val="tx1"/>
            </w14:solidFill>
          </w14:textFill>
        </w:rPr>
      </w:pPr>
      <w:r>
        <w:rPr>
          <w:color w:val="000000" w:themeColor="text1"/>
          <w14:textFill>
            <w14:solidFill>
              <w14:schemeClr w14:val="tx1"/>
            </w14:solidFill>
          </w14:textFill>
        </w:rPr>
        <w:t>调查时间与站位布置</w:t>
      </w:r>
    </w:p>
    <w:p w14:paraId="7C9B313F">
      <w:pPr>
        <w:ind w:firstLine="480"/>
        <w:rPr>
          <w:color w:val="000000" w:themeColor="text1"/>
          <w14:textFill>
            <w14:solidFill>
              <w14:schemeClr w14:val="tx1"/>
            </w14:solidFill>
          </w14:textFill>
        </w:rPr>
      </w:pPr>
      <w:r>
        <w:rPr>
          <w:color w:val="000000" w:themeColor="text1"/>
          <w14:textFill>
            <w14:solidFill>
              <w14:schemeClr w14:val="tx1"/>
            </w14:solidFill>
          </w14:textFill>
        </w:rPr>
        <w:t>2023年4月17日至5月1日（春季）在项目周边共布设潮位测站3个，海流测站9个。观测站位布设见表3.</w:t>
      </w:r>
      <w:r>
        <w:rPr>
          <w:rFonts w:hint="eastAsia"/>
          <w:color w:val="000000" w:themeColor="text1"/>
          <w14:textFill>
            <w14:solidFill>
              <w14:schemeClr w14:val="tx1"/>
            </w14:solidFill>
          </w14:textFill>
        </w:rPr>
        <w:t>8</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图3.</w:t>
      </w:r>
      <w:r>
        <w:rPr>
          <w:rFonts w:hint="eastAsia"/>
          <w:color w:val="000000" w:themeColor="text1"/>
          <w14:textFill>
            <w14:solidFill>
              <w14:schemeClr w14:val="tx1"/>
            </w14:solidFill>
          </w14:textFill>
        </w:rPr>
        <w:t>8</w:t>
      </w:r>
      <w:r>
        <w:rPr>
          <w:color w:val="000000" w:themeColor="text1"/>
          <w14:textFill>
            <w14:solidFill>
              <w14:schemeClr w14:val="tx1"/>
            </w14:solidFill>
          </w14:textFill>
        </w:rPr>
        <w:t>-1。</w:t>
      </w:r>
    </w:p>
    <w:p w14:paraId="656CF29C">
      <w:pPr>
        <w:ind w:firstLine="480"/>
        <w:rPr>
          <w:color w:val="000000" w:themeColor="text1"/>
          <w14:textFill>
            <w14:solidFill>
              <w14:schemeClr w14:val="tx1"/>
            </w14:solidFill>
          </w14:textFill>
        </w:rPr>
      </w:pPr>
      <w:r>
        <w:rPr>
          <w:color w:val="000000" w:themeColor="text1"/>
          <w14:textFill>
            <w14:solidFill>
              <w14:schemeClr w14:val="tx1"/>
            </w14:solidFill>
          </w14:textFill>
        </w:rPr>
        <w:t>本次引用的数据为2023年的监测结果，</w:t>
      </w:r>
      <w:r>
        <w:rPr>
          <w:rFonts w:hint="eastAsia"/>
          <w:color w:val="000000" w:themeColor="text1"/>
          <w14:textFill>
            <w14:solidFill>
              <w14:schemeClr w14:val="tx1"/>
            </w14:solidFill>
          </w14:textFill>
        </w:rPr>
        <w:t>满足《环境影响评价技术导则 海洋生态环境》（HJ 1409-2025）中“6.1.3沿岸海域的海洋水文动力现状数据有限期5年”的要求。</w:t>
      </w:r>
      <w:r>
        <w:rPr>
          <w:color w:val="000000" w:themeColor="text1"/>
          <w14:textFill>
            <w14:solidFill>
              <w14:schemeClr w14:val="tx1"/>
            </w14:solidFill>
          </w14:textFill>
        </w:rPr>
        <w:t>本次引用数据布设潮位测站3个、海流测站9个。</w:t>
      </w:r>
    </w:p>
    <w:p w14:paraId="74D910BA">
      <w:pPr>
        <w:pStyle w:val="7"/>
        <w:rPr>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潮位、海流观测站位一览表</w:t>
      </w:r>
    </w:p>
    <w:tbl>
      <w:tblPr>
        <w:tblStyle w:val="72"/>
        <w:tblW w:w="5004"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0" w:type="dxa"/>
          <w:bottom w:w="0" w:type="dxa"/>
          <w:right w:w="0" w:type="dxa"/>
        </w:tblCellMar>
      </w:tblPr>
      <w:tblGrid>
        <w:gridCol w:w="1674"/>
        <w:gridCol w:w="1664"/>
        <w:gridCol w:w="1665"/>
        <w:gridCol w:w="1665"/>
        <w:gridCol w:w="1675"/>
      </w:tblGrid>
      <w:tr w14:paraId="306DAD4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67" w:hRule="atLeast"/>
          <w:jc w:val="center"/>
        </w:trPr>
        <w:tc>
          <w:tcPr>
            <w:tcW w:w="1003" w:type="pct"/>
            <w:vAlign w:val="center"/>
          </w:tcPr>
          <w:p w14:paraId="375A44D7">
            <w:pPr>
              <w:autoSpaceDE/>
              <w:autoSpaceDN/>
              <w:adjustRightInd w:val="0"/>
              <w:snapToGrid w:val="0"/>
              <w:spacing w:line="240" w:lineRule="auto"/>
              <w:ind w:firstLine="0" w:firstLineChars="0"/>
              <w:jc w:val="center"/>
              <w:rPr>
                <w:rFonts w:asciiTheme="minorHAnsi" w:hAnsiTheme="minorHAnsi" w:eastAsiaTheme="minorEastAsia" w:cstheme="minorBidi"/>
                <w:color w:val="000000" w:themeColor="text1"/>
                <w:sz w:val="21"/>
                <w:szCs w:val="21"/>
                <w:lang w:eastAsia="en-US"/>
                <w14:textFill>
                  <w14:solidFill>
                    <w14:schemeClr w14:val="tx1"/>
                  </w14:solidFill>
                </w14:textFill>
              </w:rPr>
            </w:pPr>
            <w:r>
              <w:rPr>
                <w:rFonts w:asciiTheme="minorHAnsi" w:hAnsiTheme="minorHAnsi" w:eastAsiaTheme="minorEastAsia" w:cstheme="minorBidi"/>
                <w:color w:val="000000" w:themeColor="text1"/>
                <w:sz w:val="21"/>
                <w:szCs w:val="21"/>
                <w:lang w:eastAsia="en-US"/>
                <w14:textFill>
                  <w14:solidFill>
                    <w14:schemeClr w14:val="tx1"/>
                  </w14:solidFill>
                </w14:textFill>
              </w:rPr>
              <w:t>序号</w:t>
            </w:r>
          </w:p>
        </w:tc>
        <w:tc>
          <w:tcPr>
            <w:tcW w:w="997" w:type="pct"/>
            <w:vAlign w:val="center"/>
          </w:tcPr>
          <w:p w14:paraId="2EF5B19C">
            <w:pPr>
              <w:autoSpaceDE/>
              <w:autoSpaceDN/>
              <w:adjustRightInd w:val="0"/>
              <w:snapToGrid w:val="0"/>
              <w:spacing w:line="240" w:lineRule="auto"/>
              <w:ind w:firstLine="0" w:firstLineChars="0"/>
              <w:jc w:val="center"/>
              <w:rPr>
                <w:rFonts w:asciiTheme="minorHAnsi" w:hAnsiTheme="minorHAnsi" w:eastAsiaTheme="minorEastAsia" w:cstheme="minorBidi"/>
                <w:color w:val="000000" w:themeColor="text1"/>
                <w:sz w:val="21"/>
                <w:szCs w:val="21"/>
                <w:lang w:eastAsia="en-US"/>
                <w14:textFill>
                  <w14:solidFill>
                    <w14:schemeClr w14:val="tx1"/>
                  </w14:solidFill>
                </w14:textFill>
              </w:rPr>
            </w:pPr>
            <w:r>
              <w:rPr>
                <w:rFonts w:asciiTheme="minorHAnsi" w:hAnsiTheme="minorHAnsi" w:eastAsiaTheme="minorEastAsia" w:cstheme="minorBidi"/>
                <w:color w:val="000000" w:themeColor="text1"/>
                <w:sz w:val="21"/>
                <w:szCs w:val="21"/>
                <w:lang w:eastAsia="en-US"/>
                <w14:textFill>
                  <w14:solidFill>
                    <w14:schemeClr w14:val="tx1"/>
                  </w14:solidFill>
                </w14:textFill>
              </w:rPr>
              <w:t>站位</w:t>
            </w:r>
          </w:p>
        </w:tc>
        <w:tc>
          <w:tcPr>
            <w:tcW w:w="998" w:type="pct"/>
            <w:vAlign w:val="center"/>
          </w:tcPr>
          <w:p w14:paraId="69A4B1BF">
            <w:pPr>
              <w:autoSpaceDE/>
              <w:autoSpaceDN/>
              <w:adjustRightInd w:val="0"/>
              <w:snapToGrid w:val="0"/>
              <w:spacing w:line="240" w:lineRule="auto"/>
              <w:ind w:firstLine="0" w:firstLineChars="0"/>
              <w:jc w:val="center"/>
              <w:rPr>
                <w:rFonts w:asciiTheme="minorHAnsi" w:hAnsiTheme="minorHAnsi" w:eastAsiaTheme="minorEastAsia" w:cstheme="minorBidi"/>
                <w:color w:val="000000" w:themeColor="text1"/>
                <w:sz w:val="21"/>
                <w:szCs w:val="21"/>
                <w:lang w:eastAsia="en-US"/>
                <w14:textFill>
                  <w14:solidFill>
                    <w14:schemeClr w14:val="tx1"/>
                  </w14:solidFill>
                </w14:textFill>
              </w:rPr>
            </w:pPr>
            <w:r>
              <w:rPr>
                <w:rFonts w:asciiTheme="minorHAnsi" w:hAnsiTheme="minorHAnsi" w:eastAsiaTheme="minorEastAsia" w:cstheme="minorBidi"/>
                <w:color w:val="000000" w:themeColor="text1"/>
                <w:sz w:val="21"/>
                <w:szCs w:val="21"/>
                <w:lang w:eastAsia="en-US"/>
                <w14:textFill>
                  <w14:solidFill>
                    <w14:schemeClr w14:val="tx1"/>
                  </w14:solidFill>
                </w14:textFill>
              </w:rPr>
              <w:t>经度</w:t>
            </w:r>
          </w:p>
        </w:tc>
        <w:tc>
          <w:tcPr>
            <w:tcW w:w="998" w:type="pct"/>
            <w:vAlign w:val="center"/>
          </w:tcPr>
          <w:p w14:paraId="6D667140">
            <w:pPr>
              <w:autoSpaceDE/>
              <w:autoSpaceDN/>
              <w:adjustRightInd w:val="0"/>
              <w:snapToGrid w:val="0"/>
              <w:spacing w:line="240" w:lineRule="auto"/>
              <w:ind w:firstLine="0" w:firstLineChars="0"/>
              <w:jc w:val="center"/>
              <w:rPr>
                <w:rFonts w:asciiTheme="minorHAnsi" w:hAnsiTheme="minorHAnsi" w:eastAsiaTheme="minorEastAsia" w:cstheme="minorBidi"/>
                <w:color w:val="000000" w:themeColor="text1"/>
                <w:sz w:val="21"/>
                <w:szCs w:val="21"/>
                <w:lang w:eastAsia="en-US"/>
                <w14:textFill>
                  <w14:solidFill>
                    <w14:schemeClr w14:val="tx1"/>
                  </w14:solidFill>
                </w14:textFill>
              </w:rPr>
            </w:pPr>
            <w:r>
              <w:rPr>
                <w:rFonts w:asciiTheme="minorHAnsi" w:hAnsiTheme="minorHAnsi" w:eastAsiaTheme="minorEastAsia" w:cstheme="minorBidi"/>
                <w:color w:val="000000" w:themeColor="text1"/>
                <w:sz w:val="21"/>
                <w:szCs w:val="21"/>
                <w:lang w:eastAsia="en-US"/>
                <w14:textFill>
                  <w14:solidFill>
                    <w14:schemeClr w14:val="tx1"/>
                  </w14:solidFill>
                </w14:textFill>
              </w:rPr>
              <w:t>纬度</w:t>
            </w:r>
          </w:p>
        </w:tc>
        <w:tc>
          <w:tcPr>
            <w:tcW w:w="1004" w:type="pct"/>
            <w:vAlign w:val="center"/>
          </w:tcPr>
          <w:p w14:paraId="67939C1F">
            <w:pPr>
              <w:autoSpaceDE/>
              <w:autoSpaceDN/>
              <w:adjustRightInd w:val="0"/>
              <w:snapToGrid w:val="0"/>
              <w:spacing w:line="240" w:lineRule="auto"/>
              <w:ind w:firstLine="0" w:firstLineChars="0"/>
              <w:jc w:val="center"/>
              <w:rPr>
                <w:rFonts w:asciiTheme="minorHAnsi" w:hAnsiTheme="minorHAnsi" w:eastAsiaTheme="minorEastAsia" w:cstheme="minorBidi"/>
                <w:color w:val="000000" w:themeColor="text1"/>
                <w:sz w:val="21"/>
                <w:szCs w:val="21"/>
                <w:lang w:eastAsia="en-US"/>
                <w14:textFill>
                  <w14:solidFill>
                    <w14:schemeClr w14:val="tx1"/>
                  </w14:solidFill>
                </w14:textFill>
              </w:rPr>
            </w:pPr>
            <w:r>
              <w:rPr>
                <w:rFonts w:asciiTheme="minorHAnsi" w:hAnsiTheme="minorHAnsi" w:eastAsiaTheme="minorEastAsia" w:cstheme="minorBidi"/>
                <w:color w:val="000000" w:themeColor="text1"/>
                <w:sz w:val="21"/>
                <w:szCs w:val="21"/>
                <w:lang w:eastAsia="en-US"/>
                <w14:textFill>
                  <w14:solidFill>
                    <w14:schemeClr w14:val="tx1"/>
                  </w14:solidFill>
                </w14:textFill>
              </w:rPr>
              <w:t>观测项目</w:t>
            </w:r>
          </w:p>
        </w:tc>
      </w:tr>
      <w:tr w14:paraId="2CF1C63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00" w:hRule="atLeast"/>
          <w:jc w:val="center"/>
        </w:trPr>
        <w:tc>
          <w:tcPr>
            <w:tcW w:w="1003" w:type="pct"/>
            <w:vAlign w:val="center"/>
          </w:tcPr>
          <w:p w14:paraId="42EDB547">
            <w:pPr>
              <w:autoSpaceDE/>
              <w:autoSpaceDN/>
              <w:adjustRightInd w:val="0"/>
              <w:snapToGrid w:val="0"/>
              <w:spacing w:line="240" w:lineRule="auto"/>
              <w:ind w:firstLine="0" w:firstLineChars="0"/>
              <w:jc w:val="center"/>
              <w:rPr>
                <w:rFonts w:asciiTheme="minorHAnsi" w:hAnsiTheme="minorHAnsi" w:eastAsiaTheme="minorEastAsia" w:cstheme="minorBidi"/>
                <w:color w:val="000000" w:themeColor="text1"/>
                <w:sz w:val="21"/>
                <w:szCs w:val="21"/>
                <w:lang w:eastAsia="en-US"/>
                <w14:textFill>
                  <w14:solidFill>
                    <w14:schemeClr w14:val="tx1"/>
                  </w14:solidFill>
                </w14:textFill>
              </w:rPr>
            </w:pPr>
            <w:r>
              <w:rPr>
                <w:rFonts w:asciiTheme="minorHAnsi" w:hAnsiTheme="minorHAnsi" w:eastAsiaTheme="minorEastAsia" w:cstheme="minorBidi"/>
                <w:color w:val="000000" w:themeColor="text1"/>
                <w:sz w:val="21"/>
                <w:szCs w:val="21"/>
                <w:lang w:eastAsia="en-US"/>
                <w14:textFill>
                  <w14:solidFill>
                    <w14:schemeClr w14:val="tx1"/>
                  </w14:solidFill>
                </w14:textFill>
              </w:rPr>
              <w:t>1</w:t>
            </w:r>
          </w:p>
        </w:tc>
        <w:tc>
          <w:tcPr>
            <w:tcW w:w="997" w:type="pct"/>
            <w:vAlign w:val="center"/>
          </w:tcPr>
          <w:p w14:paraId="6F16BF0F">
            <w:pPr>
              <w:autoSpaceDE/>
              <w:autoSpaceDN/>
              <w:adjustRightInd w:val="0"/>
              <w:snapToGrid w:val="0"/>
              <w:spacing w:line="240" w:lineRule="auto"/>
              <w:ind w:firstLine="0" w:firstLineChars="0"/>
              <w:jc w:val="center"/>
              <w:rPr>
                <w:rFonts w:asciiTheme="minorHAnsi" w:hAnsiTheme="minorHAnsi" w:eastAsiaTheme="minorEastAsia" w:cstheme="minorBidi"/>
                <w:color w:val="000000" w:themeColor="text1"/>
                <w:sz w:val="21"/>
                <w:szCs w:val="21"/>
                <w:lang w:eastAsia="en-US"/>
                <w14:textFill>
                  <w14:solidFill>
                    <w14:schemeClr w14:val="tx1"/>
                  </w14:solidFill>
                </w14:textFill>
              </w:rPr>
            </w:pPr>
            <w:r>
              <w:rPr>
                <w:rFonts w:asciiTheme="minorHAnsi" w:hAnsiTheme="minorHAnsi" w:eastAsiaTheme="minorEastAsia" w:cstheme="minorBidi"/>
                <w:color w:val="000000" w:themeColor="text1"/>
                <w:sz w:val="21"/>
                <w:szCs w:val="21"/>
                <w:lang w:eastAsia="en-US"/>
                <w14:textFill>
                  <w14:solidFill>
                    <w14:schemeClr w14:val="tx1"/>
                  </w14:solidFill>
                </w14:textFill>
              </w:rPr>
              <w:t>H1</w:t>
            </w:r>
          </w:p>
        </w:tc>
        <w:tc>
          <w:tcPr>
            <w:tcW w:w="998" w:type="pct"/>
            <w:vAlign w:val="center"/>
          </w:tcPr>
          <w:p w14:paraId="2C99E20C">
            <w:pPr>
              <w:autoSpaceDE/>
              <w:autoSpaceDN/>
              <w:adjustRightInd w:val="0"/>
              <w:snapToGrid w:val="0"/>
              <w:spacing w:line="240" w:lineRule="auto"/>
              <w:ind w:firstLine="0" w:firstLineChars="0"/>
              <w:jc w:val="center"/>
              <w:rPr>
                <w:rFonts w:asciiTheme="minorHAnsi" w:hAnsiTheme="minorHAnsi" w:eastAsiaTheme="minorEastAsia" w:cstheme="minorBidi"/>
                <w:color w:val="000000" w:themeColor="text1"/>
                <w:sz w:val="21"/>
                <w:szCs w:val="21"/>
                <w:lang w:eastAsia="en-US"/>
                <w14:textFill>
                  <w14:solidFill>
                    <w14:schemeClr w14:val="tx1"/>
                  </w14:solidFill>
                </w14:textFill>
              </w:rPr>
            </w:pPr>
            <w:r>
              <w:rPr>
                <w:rFonts w:asciiTheme="minorHAnsi" w:hAnsiTheme="minorHAnsi" w:eastAsiaTheme="minorEastAsia" w:cstheme="minorBidi"/>
                <w:color w:val="000000" w:themeColor="text1"/>
                <w:sz w:val="21"/>
                <w:szCs w:val="21"/>
                <w:lang w:eastAsia="en-US"/>
                <w14:textFill>
                  <w14:solidFill>
                    <w14:schemeClr w14:val="tx1"/>
                  </w14:solidFill>
                </w14:textFill>
              </w:rPr>
              <w:t>108°41′22.12″</w:t>
            </w:r>
          </w:p>
        </w:tc>
        <w:tc>
          <w:tcPr>
            <w:tcW w:w="998" w:type="pct"/>
            <w:vAlign w:val="center"/>
          </w:tcPr>
          <w:p w14:paraId="6CDD2CD4">
            <w:pPr>
              <w:autoSpaceDE/>
              <w:autoSpaceDN/>
              <w:adjustRightInd w:val="0"/>
              <w:snapToGrid w:val="0"/>
              <w:spacing w:line="240" w:lineRule="auto"/>
              <w:ind w:firstLine="0" w:firstLineChars="0"/>
              <w:jc w:val="center"/>
              <w:rPr>
                <w:rFonts w:asciiTheme="minorHAnsi" w:hAnsiTheme="minorHAnsi" w:eastAsiaTheme="minorEastAsia" w:cstheme="minorBidi"/>
                <w:color w:val="000000" w:themeColor="text1"/>
                <w:sz w:val="21"/>
                <w:szCs w:val="21"/>
                <w:lang w:eastAsia="en-US"/>
                <w14:textFill>
                  <w14:solidFill>
                    <w14:schemeClr w14:val="tx1"/>
                  </w14:solidFill>
                </w14:textFill>
              </w:rPr>
            </w:pPr>
            <w:r>
              <w:rPr>
                <w:rFonts w:asciiTheme="minorHAnsi" w:hAnsiTheme="minorHAnsi" w:eastAsiaTheme="minorEastAsia" w:cstheme="minorBidi"/>
                <w:color w:val="000000" w:themeColor="text1"/>
                <w:sz w:val="21"/>
                <w:szCs w:val="21"/>
                <w:lang w:eastAsia="en-US"/>
                <w14:textFill>
                  <w14:solidFill>
                    <w14:schemeClr w14:val="tx1"/>
                  </w14:solidFill>
                </w14:textFill>
              </w:rPr>
              <w:t>21°36′35.69″</w:t>
            </w:r>
          </w:p>
        </w:tc>
        <w:tc>
          <w:tcPr>
            <w:tcW w:w="1004" w:type="pct"/>
            <w:vMerge w:val="restart"/>
            <w:vAlign w:val="center"/>
          </w:tcPr>
          <w:p w14:paraId="200FD2A1">
            <w:pPr>
              <w:autoSpaceDE/>
              <w:autoSpaceDN/>
              <w:adjustRightInd w:val="0"/>
              <w:snapToGrid w:val="0"/>
              <w:spacing w:line="240" w:lineRule="auto"/>
              <w:ind w:firstLine="0" w:firstLineChars="0"/>
              <w:jc w:val="center"/>
              <w:rPr>
                <w:rFonts w:asciiTheme="minorHAnsi" w:hAnsiTheme="minorHAnsi" w:eastAsiaTheme="minorEastAsia" w:cstheme="minorBidi"/>
                <w:color w:val="000000" w:themeColor="text1"/>
                <w:sz w:val="21"/>
                <w:szCs w:val="21"/>
                <w:lang w:eastAsia="en-US"/>
                <w14:textFill>
                  <w14:solidFill>
                    <w14:schemeClr w14:val="tx1"/>
                  </w14:solidFill>
                </w14:textFill>
              </w:rPr>
            </w:pPr>
            <w:r>
              <w:rPr>
                <w:rFonts w:asciiTheme="minorHAnsi" w:hAnsiTheme="minorHAnsi" w:eastAsiaTheme="minorEastAsia" w:cstheme="minorBidi"/>
                <w:color w:val="000000" w:themeColor="text1"/>
                <w:sz w:val="21"/>
                <w:szCs w:val="21"/>
                <w:lang w:eastAsia="en-US"/>
                <w14:textFill>
                  <w14:solidFill>
                    <w14:schemeClr w14:val="tx1"/>
                  </w14:solidFill>
                </w14:textFill>
              </w:rPr>
              <w:t>潮位</w:t>
            </w:r>
          </w:p>
        </w:tc>
      </w:tr>
      <w:tr w14:paraId="4A94443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4" w:hRule="atLeast"/>
          <w:jc w:val="center"/>
        </w:trPr>
        <w:tc>
          <w:tcPr>
            <w:tcW w:w="1003" w:type="pct"/>
            <w:vAlign w:val="center"/>
          </w:tcPr>
          <w:p w14:paraId="3FD5A302">
            <w:pPr>
              <w:autoSpaceDE/>
              <w:autoSpaceDN/>
              <w:adjustRightInd w:val="0"/>
              <w:snapToGrid w:val="0"/>
              <w:spacing w:line="240" w:lineRule="auto"/>
              <w:ind w:firstLine="0" w:firstLineChars="0"/>
              <w:jc w:val="center"/>
              <w:rPr>
                <w:rFonts w:asciiTheme="minorHAnsi" w:hAnsiTheme="minorHAnsi" w:eastAsiaTheme="minorEastAsia" w:cstheme="minorBidi"/>
                <w:color w:val="000000" w:themeColor="text1"/>
                <w:sz w:val="21"/>
                <w:szCs w:val="21"/>
                <w:lang w:eastAsia="en-US"/>
                <w14:textFill>
                  <w14:solidFill>
                    <w14:schemeClr w14:val="tx1"/>
                  </w14:solidFill>
                </w14:textFill>
              </w:rPr>
            </w:pPr>
            <w:r>
              <w:rPr>
                <w:rFonts w:asciiTheme="minorHAnsi" w:hAnsiTheme="minorHAnsi" w:eastAsiaTheme="minorEastAsia" w:cstheme="minorBidi"/>
                <w:color w:val="000000" w:themeColor="text1"/>
                <w:sz w:val="21"/>
                <w:szCs w:val="21"/>
                <w:lang w:eastAsia="en-US"/>
                <w14:textFill>
                  <w14:solidFill>
                    <w14:schemeClr w14:val="tx1"/>
                  </w14:solidFill>
                </w14:textFill>
              </w:rPr>
              <w:t>2</w:t>
            </w:r>
          </w:p>
        </w:tc>
        <w:tc>
          <w:tcPr>
            <w:tcW w:w="997" w:type="pct"/>
            <w:vAlign w:val="center"/>
          </w:tcPr>
          <w:p w14:paraId="396FB71F">
            <w:pPr>
              <w:autoSpaceDE/>
              <w:autoSpaceDN/>
              <w:adjustRightInd w:val="0"/>
              <w:snapToGrid w:val="0"/>
              <w:spacing w:line="240" w:lineRule="auto"/>
              <w:ind w:firstLine="0" w:firstLineChars="0"/>
              <w:jc w:val="center"/>
              <w:rPr>
                <w:rFonts w:asciiTheme="minorHAnsi" w:hAnsiTheme="minorHAnsi" w:eastAsiaTheme="minorEastAsia" w:cstheme="minorBidi"/>
                <w:color w:val="000000" w:themeColor="text1"/>
                <w:sz w:val="21"/>
                <w:szCs w:val="21"/>
                <w:lang w:eastAsia="en-US"/>
                <w14:textFill>
                  <w14:solidFill>
                    <w14:schemeClr w14:val="tx1"/>
                  </w14:solidFill>
                </w14:textFill>
              </w:rPr>
            </w:pPr>
            <w:r>
              <w:rPr>
                <w:rFonts w:asciiTheme="minorHAnsi" w:hAnsiTheme="minorHAnsi" w:eastAsiaTheme="minorEastAsia" w:cstheme="minorBidi"/>
                <w:color w:val="000000" w:themeColor="text1"/>
                <w:sz w:val="21"/>
                <w:szCs w:val="21"/>
                <w:lang w:eastAsia="en-US"/>
                <w14:textFill>
                  <w14:solidFill>
                    <w14:schemeClr w14:val="tx1"/>
                  </w14:solidFill>
                </w14:textFill>
              </w:rPr>
              <w:t>H2</w:t>
            </w:r>
          </w:p>
        </w:tc>
        <w:tc>
          <w:tcPr>
            <w:tcW w:w="998" w:type="pct"/>
            <w:vAlign w:val="center"/>
          </w:tcPr>
          <w:p w14:paraId="36E4F7BA">
            <w:pPr>
              <w:autoSpaceDE/>
              <w:autoSpaceDN/>
              <w:adjustRightInd w:val="0"/>
              <w:snapToGrid w:val="0"/>
              <w:spacing w:line="240" w:lineRule="auto"/>
              <w:ind w:firstLine="0" w:firstLineChars="0"/>
              <w:jc w:val="center"/>
              <w:rPr>
                <w:rFonts w:asciiTheme="minorHAnsi" w:hAnsiTheme="minorHAnsi" w:eastAsiaTheme="minorEastAsia" w:cstheme="minorBidi"/>
                <w:color w:val="000000" w:themeColor="text1"/>
                <w:sz w:val="21"/>
                <w:szCs w:val="21"/>
                <w:lang w:eastAsia="en-US"/>
                <w14:textFill>
                  <w14:solidFill>
                    <w14:schemeClr w14:val="tx1"/>
                  </w14:solidFill>
                </w14:textFill>
              </w:rPr>
            </w:pPr>
            <w:r>
              <w:rPr>
                <w:rFonts w:asciiTheme="minorHAnsi" w:hAnsiTheme="minorHAnsi" w:eastAsiaTheme="minorEastAsia" w:cstheme="minorBidi"/>
                <w:color w:val="000000" w:themeColor="text1"/>
                <w:sz w:val="21"/>
                <w:szCs w:val="21"/>
                <w:lang w:eastAsia="en-US"/>
                <w14:textFill>
                  <w14:solidFill>
                    <w14:schemeClr w14:val="tx1"/>
                  </w14:solidFill>
                </w14:textFill>
              </w:rPr>
              <w:t>108°39′48.97″</w:t>
            </w:r>
          </w:p>
        </w:tc>
        <w:tc>
          <w:tcPr>
            <w:tcW w:w="998" w:type="pct"/>
            <w:vAlign w:val="center"/>
          </w:tcPr>
          <w:p w14:paraId="36C90B94">
            <w:pPr>
              <w:autoSpaceDE/>
              <w:autoSpaceDN/>
              <w:adjustRightInd w:val="0"/>
              <w:snapToGrid w:val="0"/>
              <w:spacing w:line="240" w:lineRule="auto"/>
              <w:ind w:firstLine="0" w:firstLineChars="0"/>
              <w:jc w:val="center"/>
              <w:rPr>
                <w:rFonts w:asciiTheme="minorHAnsi" w:hAnsiTheme="minorHAnsi" w:eastAsiaTheme="minorEastAsia" w:cstheme="minorBidi"/>
                <w:color w:val="000000" w:themeColor="text1"/>
                <w:sz w:val="21"/>
                <w:szCs w:val="21"/>
                <w:lang w:eastAsia="en-US"/>
                <w14:textFill>
                  <w14:solidFill>
                    <w14:schemeClr w14:val="tx1"/>
                  </w14:solidFill>
                </w14:textFill>
              </w:rPr>
            </w:pPr>
            <w:r>
              <w:rPr>
                <w:rFonts w:asciiTheme="minorHAnsi" w:hAnsiTheme="minorHAnsi" w:eastAsiaTheme="minorEastAsia" w:cstheme="minorBidi"/>
                <w:color w:val="000000" w:themeColor="text1"/>
                <w:sz w:val="21"/>
                <w:szCs w:val="21"/>
                <w:lang w:eastAsia="en-US"/>
                <w14:textFill>
                  <w14:solidFill>
                    <w14:schemeClr w14:val="tx1"/>
                  </w14:solidFill>
                </w14:textFill>
              </w:rPr>
              <w:t>21°38′47.28″</w:t>
            </w:r>
          </w:p>
        </w:tc>
        <w:tc>
          <w:tcPr>
            <w:tcW w:w="1004" w:type="pct"/>
            <w:vMerge w:val="continue"/>
            <w:vAlign w:val="center"/>
          </w:tcPr>
          <w:p w14:paraId="575FD073">
            <w:pPr>
              <w:autoSpaceDE/>
              <w:autoSpaceDN/>
              <w:adjustRightInd w:val="0"/>
              <w:snapToGrid w:val="0"/>
              <w:spacing w:line="240" w:lineRule="auto"/>
              <w:ind w:firstLine="0" w:firstLineChars="0"/>
              <w:jc w:val="center"/>
              <w:rPr>
                <w:rFonts w:asciiTheme="minorHAnsi" w:hAnsiTheme="minorHAnsi" w:eastAsiaTheme="minorEastAsia" w:cstheme="minorBidi"/>
                <w:color w:val="000000" w:themeColor="text1"/>
                <w:sz w:val="21"/>
                <w:szCs w:val="21"/>
                <w:lang w:eastAsia="en-US"/>
                <w14:textFill>
                  <w14:solidFill>
                    <w14:schemeClr w14:val="tx1"/>
                  </w14:solidFill>
                </w14:textFill>
              </w:rPr>
            </w:pPr>
          </w:p>
        </w:tc>
      </w:tr>
      <w:tr w14:paraId="370F8BB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8" w:hRule="atLeast"/>
          <w:jc w:val="center"/>
        </w:trPr>
        <w:tc>
          <w:tcPr>
            <w:tcW w:w="1003" w:type="pct"/>
            <w:vAlign w:val="center"/>
          </w:tcPr>
          <w:p w14:paraId="0BE5ED0D">
            <w:pPr>
              <w:autoSpaceDE/>
              <w:autoSpaceDN/>
              <w:adjustRightInd w:val="0"/>
              <w:snapToGrid w:val="0"/>
              <w:spacing w:line="240" w:lineRule="auto"/>
              <w:ind w:firstLine="0" w:firstLineChars="0"/>
              <w:jc w:val="center"/>
              <w:rPr>
                <w:rFonts w:asciiTheme="minorHAnsi" w:hAnsiTheme="minorHAnsi" w:eastAsiaTheme="minorEastAsia" w:cstheme="minorBidi"/>
                <w:color w:val="000000" w:themeColor="text1"/>
                <w:sz w:val="21"/>
                <w:szCs w:val="21"/>
                <w:lang w:eastAsia="en-US"/>
                <w14:textFill>
                  <w14:solidFill>
                    <w14:schemeClr w14:val="tx1"/>
                  </w14:solidFill>
                </w14:textFill>
              </w:rPr>
            </w:pPr>
            <w:r>
              <w:rPr>
                <w:rFonts w:asciiTheme="minorHAnsi" w:hAnsiTheme="minorHAnsi" w:eastAsiaTheme="minorEastAsia" w:cstheme="minorBidi"/>
                <w:color w:val="000000" w:themeColor="text1"/>
                <w:sz w:val="21"/>
                <w:szCs w:val="21"/>
                <w:lang w:eastAsia="en-US"/>
                <w14:textFill>
                  <w14:solidFill>
                    <w14:schemeClr w14:val="tx1"/>
                  </w14:solidFill>
                </w14:textFill>
              </w:rPr>
              <w:t>3</w:t>
            </w:r>
          </w:p>
        </w:tc>
        <w:tc>
          <w:tcPr>
            <w:tcW w:w="997" w:type="pct"/>
            <w:vAlign w:val="center"/>
          </w:tcPr>
          <w:p w14:paraId="7798CFA3">
            <w:pPr>
              <w:autoSpaceDE/>
              <w:autoSpaceDN/>
              <w:adjustRightInd w:val="0"/>
              <w:snapToGrid w:val="0"/>
              <w:spacing w:line="240" w:lineRule="auto"/>
              <w:ind w:firstLine="0" w:firstLineChars="0"/>
              <w:jc w:val="center"/>
              <w:rPr>
                <w:rFonts w:asciiTheme="minorHAnsi" w:hAnsiTheme="minorHAnsi" w:eastAsiaTheme="minorEastAsia" w:cstheme="minorBidi"/>
                <w:color w:val="000000" w:themeColor="text1"/>
                <w:sz w:val="21"/>
                <w:szCs w:val="21"/>
                <w:lang w:eastAsia="en-US"/>
                <w14:textFill>
                  <w14:solidFill>
                    <w14:schemeClr w14:val="tx1"/>
                  </w14:solidFill>
                </w14:textFill>
              </w:rPr>
            </w:pPr>
            <w:r>
              <w:rPr>
                <w:rFonts w:asciiTheme="minorHAnsi" w:hAnsiTheme="minorHAnsi" w:eastAsiaTheme="minorEastAsia" w:cstheme="minorBidi"/>
                <w:color w:val="000000" w:themeColor="text1"/>
                <w:sz w:val="21"/>
                <w:szCs w:val="21"/>
                <w:lang w:eastAsia="en-US"/>
                <w14:textFill>
                  <w14:solidFill>
                    <w14:schemeClr w14:val="tx1"/>
                  </w14:solidFill>
                </w14:textFill>
              </w:rPr>
              <w:t>H3</w:t>
            </w:r>
          </w:p>
        </w:tc>
        <w:tc>
          <w:tcPr>
            <w:tcW w:w="998" w:type="pct"/>
            <w:vAlign w:val="center"/>
          </w:tcPr>
          <w:p w14:paraId="26EAF3FC">
            <w:pPr>
              <w:autoSpaceDE/>
              <w:autoSpaceDN/>
              <w:adjustRightInd w:val="0"/>
              <w:snapToGrid w:val="0"/>
              <w:spacing w:line="240" w:lineRule="auto"/>
              <w:ind w:firstLine="0" w:firstLineChars="0"/>
              <w:jc w:val="center"/>
              <w:rPr>
                <w:rFonts w:asciiTheme="minorHAnsi" w:hAnsiTheme="minorHAnsi" w:eastAsiaTheme="minorEastAsia" w:cstheme="minorBidi"/>
                <w:color w:val="000000" w:themeColor="text1"/>
                <w:sz w:val="21"/>
                <w:szCs w:val="21"/>
                <w:lang w:eastAsia="en-US"/>
                <w14:textFill>
                  <w14:solidFill>
                    <w14:schemeClr w14:val="tx1"/>
                  </w14:solidFill>
                </w14:textFill>
              </w:rPr>
            </w:pPr>
            <w:r>
              <w:rPr>
                <w:rFonts w:asciiTheme="minorHAnsi" w:hAnsiTheme="minorHAnsi" w:eastAsiaTheme="minorEastAsia" w:cstheme="minorBidi"/>
                <w:color w:val="000000" w:themeColor="text1"/>
                <w:sz w:val="21"/>
                <w:szCs w:val="21"/>
                <w:lang w:eastAsia="en-US"/>
                <w14:textFill>
                  <w14:solidFill>
                    <w14:schemeClr w14:val="tx1"/>
                  </w14:solidFill>
                </w14:textFill>
              </w:rPr>
              <w:t>108°35′9.81″</w:t>
            </w:r>
          </w:p>
        </w:tc>
        <w:tc>
          <w:tcPr>
            <w:tcW w:w="998" w:type="pct"/>
            <w:vAlign w:val="center"/>
          </w:tcPr>
          <w:p w14:paraId="2E0E751D">
            <w:pPr>
              <w:autoSpaceDE/>
              <w:autoSpaceDN/>
              <w:adjustRightInd w:val="0"/>
              <w:snapToGrid w:val="0"/>
              <w:spacing w:line="240" w:lineRule="auto"/>
              <w:ind w:firstLine="0" w:firstLineChars="0"/>
              <w:jc w:val="center"/>
              <w:rPr>
                <w:rFonts w:asciiTheme="minorHAnsi" w:hAnsiTheme="minorHAnsi" w:eastAsiaTheme="minorEastAsia" w:cstheme="minorBidi"/>
                <w:color w:val="000000" w:themeColor="text1"/>
                <w:sz w:val="21"/>
                <w:szCs w:val="21"/>
                <w:lang w:eastAsia="en-US"/>
                <w14:textFill>
                  <w14:solidFill>
                    <w14:schemeClr w14:val="tx1"/>
                  </w14:solidFill>
                </w14:textFill>
              </w:rPr>
            </w:pPr>
            <w:r>
              <w:rPr>
                <w:rFonts w:asciiTheme="minorHAnsi" w:hAnsiTheme="minorHAnsi" w:eastAsiaTheme="minorEastAsia" w:cstheme="minorBidi"/>
                <w:color w:val="000000" w:themeColor="text1"/>
                <w:sz w:val="21"/>
                <w:szCs w:val="21"/>
                <w:lang w:eastAsia="en-US"/>
                <w14:textFill>
                  <w14:solidFill>
                    <w14:schemeClr w14:val="tx1"/>
                  </w14:solidFill>
                </w14:textFill>
              </w:rPr>
              <w:t>21°43′3.74″</w:t>
            </w:r>
          </w:p>
        </w:tc>
        <w:tc>
          <w:tcPr>
            <w:tcW w:w="1004" w:type="pct"/>
            <w:vMerge w:val="continue"/>
            <w:vAlign w:val="center"/>
          </w:tcPr>
          <w:p w14:paraId="079C0AFC">
            <w:pPr>
              <w:autoSpaceDE/>
              <w:autoSpaceDN/>
              <w:adjustRightInd w:val="0"/>
              <w:snapToGrid w:val="0"/>
              <w:spacing w:line="240" w:lineRule="auto"/>
              <w:ind w:firstLine="0" w:firstLineChars="0"/>
              <w:jc w:val="center"/>
              <w:rPr>
                <w:rFonts w:asciiTheme="minorHAnsi" w:hAnsiTheme="minorHAnsi" w:eastAsiaTheme="minorEastAsia" w:cstheme="minorBidi"/>
                <w:color w:val="000000" w:themeColor="text1"/>
                <w:sz w:val="21"/>
                <w:szCs w:val="21"/>
                <w:lang w:eastAsia="en-US"/>
                <w14:textFill>
                  <w14:solidFill>
                    <w14:schemeClr w14:val="tx1"/>
                  </w14:solidFill>
                </w14:textFill>
              </w:rPr>
            </w:pPr>
          </w:p>
        </w:tc>
      </w:tr>
      <w:tr w14:paraId="12EEA68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4" w:hRule="atLeast"/>
          <w:jc w:val="center"/>
        </w:trPr>
        <w:tc>
          <w:tcPr>
            <w:tcW w:w="1003" w:type="pct"/>
            <w:vAlign w:val="center"/>
          </w:tcPr>
          <w:p w14:paraId="3861CC9A">
            <w:pPr>
              <w:autoSpaceDE/>
              <w:autoSpaceDN/>
              <w:adjustRightInd w:val="0"/>
              <w:snapToGrid w:val="0"/>
              <w:spacing w:line="240" w:lineRule="auto"/>
              <w:ind w:firstLine="0" w:firstLineChars="0"/>
              <w:jc w:val="center"/>
              <w:rPr>
                <w:rFonts w:asciiTheme="minorHAnsi" w:hAnsiTheme="minorHAnsi" w:eastAsiaTheme="minorEastAsia" w:cstheme="minorBidi"/>
                <w:color w:val="000000" w:themeColor="text1"/>
                <w:sz w:val="21"/>
                <w:szCs w:val="21"/>
                <w:lang w:eastAsia="en-US"/>
                <w14:textFill>
                  <w14:solidFill>
                    <w14:schemeClr w14:val="tx1"/>
                  </w14:solidFill>
                </w14:textFill>
              </w:rPr>
            </w:pPr>
            <w:r>
              <w:rPr>
                <w:rFonts w:asciiTheme="minorHAnsi" w:hAnsiTheme="minorHAnsi" w:eastAsiaTheme="minorEastAsia" w:cstheme="minorBidi"/>
                <w:color w:val="000000" w:themeColor="text1"/>
                <w:sz w:val="21"/>
                <w:szCs w:val="21"/>
                <w:lang w:eastAsia="en-US"/>
                <w14:textFill>
                  <w14:solidFill>
                    <w14:schemeClr w14:val="tx1"/>
                  </w14:solidFill>
                </w14:textFill>
              </w:rPr>
              <w:t>4</w:t>
            </w:r>
          </w:p>
        </w:tc>
        <w:tc>
          <w:tcPr>
            <w:tcW w:w="997" w:type="pct"/>
            <w:vAlign w:val="center"/>
          </w:tcPr>
          <w:p w14:paraId="46F23CA7">
            <w:pPr>
              <w:autoSpaceDE/>
              <w:autoSpaceDN/>
              <w:adjustRightInd w:val="0"/>
              <w:snapToGrid w:val="0"/>
              <w:spacing w:line="240" w:lineRule="auto"/>
              <w:ind w:firstLine="0" w:firstLineChars="0"/>
              <w:jc w:val="center"/>
              <w:rPr>
                <w:rFonts w:asciiTheme="minorHAnsi" w:hAnsiTheme="minorHAnsi" w:eastAsiaTheme="minorEastAsia" w:cstheme="minorBidi"/>
                <w:color w:val="000000" w:themeColor="text1"/>
                <w:sz w:val="21"/>
                <w:szCs w:val="21"/>
                <w:lang w:eastAsia="en-US"/>
                <w14:textFill>
                  <w14:solidFill>
                    <w14:schemeClr w14:val="tx1"/>
                  </w14:solidFill>
                </w14:textFill>
              </w:rPr>
            </w:pPr>
            <w:r>
              <w:rPr>
                <w:rFonts w:asciiTheme="minorHAnsi" w:hAnsiTheme="minorHAnsi" w:eastAsiaTheme="minorEastAsia" w:cstheme="minorBidi"/>
                <w:color w:val="000000" w:themeColor="text1"/>
                <w:sz w:val="21"/>
                <w:szCs w:val="21"/>
                <w:lang w:eastAsia="en-US"/>
                <w14:textFill>
                  <w14:solidFill>
                    <w14:schemeClr w14:val="tx1"/>
                  </w14:solidFill>
                </w14:textFill>
              </w:rPr>
              <w:t>V1</w:t>
            </w:r>
          </w:p>
        </w:tc>
        <w:tc>
          <w:tcPr>
            <w:tcW w:w="998" w:type="pct"/>
            <w:vAlign w:val="center"/>
          </w:tcPr>
          <w:p w14:paraId="4E7A820D">
            <w:pPr>
              <w:autoSpaceDE/>
              <w:autoSpaceDN/>
              <w:adjustRightInd w:val="0"/>
              <w:snapToGrid w:val="0"/>
              <w:spacing w:line="240" w:lineRule="auto"/>
              <w:ind w:firstLine="0" w:firstLineChars="0"/>
              <w:jc w:val="center"/>
              <w:rPr>
                <w:rFonts w:asciiTheme="minorHAnsi" w:hAnsiTheme="minorHAnsi" w:eastAsiaTheme="minorEastAsia" w:cstheme="minorBidi"/>
                <w:color w:val="000000" w:themeColor="text1"/>
                <w:sz w:val="21"/>
                <w:szCs w:val="21"/>
                <w:lang w:eastAsia="en-US"/>
                <w14:textFill>
                  <w14:solidFill>
                    <w14:schemeClr w14:val="tx1"/>
                  </w14:solidFill>
                </w14:textFill>
              </w:rPr>
            </w:pPr>
            <w:r>
              <w:rPr>
                <w:rFonts w:asciiTheme="minorHAnsi" w:hAnsiTheme="minorHAnsi" w:eastAsiaTheme="minorEastAsia" w:cstheme="minorBidi"/>
                <w:color w:val="000000" w:themeColor="text1"/>
                <w:sz w:val="21"/>
                <w:szCs w:val="21"/>
                <w:lang w:eastAsia="en-US"/>
                <w14:textFill>
                  <w14:solidFill>
                    <w14:schemeClr w14:val="tx1"/>
                  </w14:solidFill>
                </w14:textFill>
              </w:rPr>
              <w:t>108°37′45.60"</w:t>
            </w:r>
          </w:p>
        </w:tc>
        <w:tc>
          <w:tcPr>
            <w:tcW w:w="998" w:type="pct"/>
            <w:vAlign w:val="center"/>
          </w:tcPr>
          <w:p w14:paraId="6325AAF7">
            <w:pPr>
              <w:autoSpaceDE/>
              <w:autoSpaceDN/>
              <w:adjustRightInd w:val="0"/>
              <w:snapToGrid w:val="0"/>
              <w:spacing w:line="240" w:lineRule="auto"/>
              <w:ind w:firstLine="0" w:firstLineChars="0"/>
              <w:jc w:val="center"/>
              <w:rPr>
                <w:rFonts w:asciiTheme="minorHAnsi" w:hAnsiTheme="minorHAnsi" w:eastAsiaTheme="minorEastAsia" w:cstheme="minorBidi"/>
                <w:color w:val="000000" w:themeColor="text1"/>
                <w:sz w:val="21"/>
                <w:szCs w:val="21"/>
                <w:lang w:eastAsia="en-US"/>
                <w14:textFill>
                  <w14:solidFill>
                    <w14:schemeClr w14:val="tx1"/>
                  </w14:solidFill>
                </w14:textFill>
              </w:rPr>
            </w:pPr>
            <w:r>
              <w:rPr>
                <w:rFonts w:asciiTheme="minorHAnsi" w:hAnsiTheme="minorHAnsi" w:eastAsiaTheme="minorEastAsia" w:cstheme="minorBidi"/>
                <w:color w:val="000000" w:themeColor="text1"/>
                <w:sz w:val="21"/>
                <w:szCs w:val="21"/>
                <w:lang w:eastAsia="en-US"/>
                <w14:textFill>
                  <w14:solidFill>
                    <w14:schemeClr w14:val="tx1"/>
                  </w14:solidFill>
                </w14:textFill>
              </w:rPr>
              <w:t>21°29′16.38"</w:t>
            </w:r>
          </w:p>
        </w:tc>
        <w:tc>
          <w:tcPr>
            <w:tcW w:w="1004" w:type="pct"/>
            <w:vMerge w:val="restart"/>
            <w:vAlign w:val="center"/>
          </w:tcPr>
          <w:p w14:paraId="13F23539">
            <w:pPr>
              <w:autoSpaceDE/>
              <w:autoSpaceDN/>
              <w:adjustRightInd w:val="0"/>
              <w:snapToGrid w:val="0"/>
              <w:spacing w:line="240" w:lineRule="auto"/>
              <w:ind w:firstLine="0" w:firstLineChars="0"/>
              <w:jc w:val="center"/>
              <w:rPr>
                <w:rFonts w:asciiTheme="minorHAnsi" w:hAnsiTheme="minorHAnsi" w:eastAsiaTheme="minorEastAsia" w:cstheme="minorBidi"/>
                <w:color w:val="000000" w:themeColor="text1"/>
                <w:sz w:val="21"/>
                <w:szCs w:val="21"/>
                <w:lang w:eastAsia="en-US"/>
                <w14:textFill>
                  <w14:solidFill>
                    <w14:schemeClr w14:val="tx1"/>
                  </w14:solidFill>
                </w14:textFill>
              </w:rPr>
            </w:pPr>
            <w:r>
              <w:rPr>
                <w:rFonts w:asciiTheme="minorHAnsi" w:hAnsiTheme="minorHAnsi" w:eastAsiaTheme="minorEastAsia" w:cstheme="minorBidi"/>
                <w:color w:val="000000" w:themeColor="text1"/>
                <w:sz w:val="21"/>
                <w:szCs w:val="21"/>
                <w:lang w:eastAsia="en-US"/>
                <w14:textFill>
                  <w14:solidFill>
                    <w14:schemeClr w14:val="tx1"/>
                  </w14:solidFill>
                </w14:textFill>
              </w:rPr>
              <w:t>潮流</w:t>
            </w:r>
          </w:p>
        </w:tc>
      </w:tr>
      <w:tr w14:paraId="0ECF706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29" w:hRule="atLeast"/>
          <w:jc w:val="center"/>
        </w:trPr>
        <w:tc>
          <w:tcPr>
            <w:tcW w:w="1003" w:type="pct"/>
            <w:vAlign w:val="center"/>
          </w:tcPr>
          <w:p w14:paraId="11A8D319">
            <w:pPr>
              <w:autoSpaceDE/>
              <w:autoSpaceDN/>
              <w:adjustRightInd w:val="0"/>
              <w:snapToGrid w:val="0"/>
              <w:spacing w:line="240" w:lineRule="auto"/>
              <w:ind w:firstLine="0" w:firstLineChars="0"/>
              <w:jc w:val="center"/>
              <w:rPr>
                <w:rFonts w:asciiTheme="minorHAnsi" w:hAnsiTheme="minorHAnsi" w:eastAsiaTheme="minorEastAsia" w:cstheme="minorBidi"/>
                <w:color w:val="000000" w:themeColor="text1"/>
                <w:sz w:val="21"/>
                <w:szCs w:val="21"/>
                <w:lang w:eastAsia="en-US"/>
                <w14:textFill>
                  <w14:solidFill>
                    <w14:schemeClr w14:val="tx1"/>
                  </w14:solidFill>
                </w14:textFill>
              </w:rPr>
            </w:pPr>
            <w:r>
              <w:rPr>
                <w:rFonts w:asciiTheme="minorHAnsi" w:hAnsiTheme="minorHAnsi" w:eastAsiaTheme="minorEastAsia" w:cstheme="minorBidi"/>
                <w:color w:val="000000" w:themeColor="text1"/>
                <w:sz w:val="21"/>
                <w:szCs w:val="21"/>
                <w:lang w:eastAsia="en-US"/>
                <w14:textFill>
                  <w14:solidFill>
                    <w14:schemeClr w14:val="tx1"/>
                  </w14:solidFill>
                </w14:textFill>
              </w:rPr>
              <w:t>5</w:t>
            </w:r>
          </w:p>
        </w:tc>
        <w:tc>
          <w:tcPr>
            <w:tcW w:w="997" w:type="pct"/>
            <w:vAlign w:val="center"/>
          </w:tcPr>
          <w:p w14:paraId="1451F2FD">
            <w:pPr>
              <w:autoSpaceDE/>
              <w:autoSpaceDN/>
              <w:adjustRightInd w:val="0"/>
              <w:snapToGrid w:val="0"/>
              <w:spacing w:line="240" w:lineRule="auto"/>
              <w:ind w:firstLine="0" w:firstLineChars="0"/>
              <w:jc w:val="center"/>
              <w:rPr>
                <w:rFonts w:asciiTheme="minorHAnsi" w:hAnsiTheme="minorHAnsi" w:eastAsiaTheme="minorEastAsia" w:cstheme="minorBidi"/>
                <w:color w:val="000000" w:themeColor="text1"/>
                <w:sz w:val="21"/>
                <w:szCs w:val="21"/>
                <w:lang w:eastAsia="en-US"/>
                <w14:textFill>
                  <w14:solidFill>
                    <w14:schemeClr w14:val="tx1"/>
                  </w14:solidFill>
                </w14:textFill>
              </w:rPr>
            </w:pPr>
            <w:r>
              <w:rPr>
                <w:rFonts w:asciiTheme="minorHAnsi" w:hAnsiTheme="minorHAnsi" w:eastAsiaTheme="minorEastAsia" w:cstheme="minorBidi"/>
                <w:color w:val="000000" w:themeColor="text1"/>
                <w:sz w:val="21"/>
                <w:szCs w:val="21"/>
                <w:lang w:eastAsia="en-US"/>
                <w14:textFill>
                  <w14:solidFill>
                    <w14:schemeClr w14:val="tx1"/>
                  </w14:solidFill>
                </w14:textFill>
              </w:rPr>
              <w:t>V2</w:t>
            </w:r>
          </w:p>
        </w:tc>
        <w:tc>
          <w:tcPr>
            <w:tcW w:w="998" w:type="pct"/>
            <w:vAlign w:val="center"/>
          </w:tcPr>
          <w:p w14:paraId="03837EE2">
            <w:pPr>
              <w:autoSpaceDE/>
              <w:autoSpaceDN/>
              <w:adjustRightInd w:val="0"/>
              <w:snapToGrid w:val="0"/>
              <w:spacing w:line="240" w:lineRule="auto"/>
              <w:ind w:firstLine="0" w:firstLineChars="0"/>
              <w:jc w:val="center"/>
              <w:rPr>
                <w:rFonts w:asciiTheme="minorHAnsi" w:hAnsiTheme="minorHAnsi" w:eastAsiaTheme="minorEastAsia" w:cstheme="minorBidi"/>
                <w:color w:val="000000" w:themeColor="text1"/>
                <w:sz w:val="21"/>
                <w:szCs w:val="21"/>
                <w:lang w:eastAsia="en-US"/>
                <w14:textFill>
                  <w14:solidFill>
                    <w14:schemeClr w14:val="tx1"/>
                  </w14:solidFill>
                </w14:textFill>
              </w:rPr>
            </w:pPr>
            <w:r>
              <w:rPr>
                <w:rFonts w:asciiTheme="minorHAnsi" w:hAnsiTheme="minorHAnsi" w:eastAsiaTheme="minorEastAsia" w:cstheme="minorBidi"/>
                <w:color w:val="000000" w:themeColor="text1"/>
                <w:sz w:val="21"/>
                <w:szCs w:val="21"/>
                <w:lang w:eastAsia="en-US"/>
                <w14:textFill>
                  <w14:solidFill>
                    <w14:schemeClr w14:val="tx1"/>
                  </w14:solidFill>
                </w14:textFill>
              </w:rPr>
              <w:t>108°44′16.32"</w:t>
            </w:r>
          </w:p>
        </w:tc>
        <w:tc>
          <w:tcPr>
            <w:tcW w:w="998" w:type="pct"/>
            <w:vAlign w:val="center"/>
          </w:tcPr>
          <w:p w14:paraId="5FF80906">
            <w:pPr>
              <w:autoSpaceDE/>
              <w:autoSpaceDN/>
              <w:adjustRightInd w:val="0"/>
              <w:snapToGrid w:val="0"/>
              <w:spacing w:line="240" w:lineRule="auto"/>
              <w:ind w:firstLine="0" w:firstLineChars="0"/>
              <w:jc w:val="center"/>
              <w:rPr>
                <w:rFonts w:asciiTheme="minorHAnsi" w:hAnsiTheme="minorHAnsi" w:eastAsiaTheme="minorEastAsia" w:cstheme="minorBidi"/>
                <w:color w:val="000000" w:themeColor="text1"/>
                <w:sz w:val="21"/>
                <w:szCs w:val="21"/>
                <w:lang w:eastAsia="en-US"/>
                <w14:textFill>
                  <w14:solidFill>
                    <w14:schemeClr w14:val="tx1"/>
                  </w14:solidFill>
                </w14:textFill>
              </w:rPr>
            </w:pPr>
            <w:r>
              <w:rPr>
                <w:rFonts w:asciiTheme="minorHAnsi" w:hAnsiTheme="minorHAnsi" w:eastAsiaTheme="minorEastAsia" w:cstheme="minorBidi"/>
                <w:color w:val="000000" w:themeColor="text1"/>
                <w:sz w:val="21"/>
                <w:szCs w:val="21"/>
                <w:lang w:eastAsia="en-US"/>
                <w14:textFill>
                  <w14:solidFill>
                    <w14:schemeClr w14:val="tx1"/>
                  </w14:solidFill>
                </w14:textFill>
              </w:rPr>
              <w:t>21°31′49.32"</w:t>
            </w:r>
          </w:p>
        </w:tc>
        <w:tc>
          <w:tcPr>
            <w:tcW w:w="1004" w:type="pct"/>
            <w:vMerge w:val="continue"/>
            <w:vAlign w:val="center"/>
          </w:tcPr>
          <w:p w14:paraId="4E17F6D6">
            <w:pPr>
              <w:autoSpaceDE/>
              <w:autoSpaceDN/>
              <w:adjustRightInd w:val="0"/>
              <w:snapToGrid w:val="0"/>
              <w:spacing w:line="240" w:lineRule="auto"/>
              <w:ind w:firstLine="420"/>
              <w:jc w:val="center"/>
              <w:rPr>
                <w:rFonts w:asciiTheme="minorHAnsi" w:hAnsiTheme="minorHAnsi" w:eastAsiaTheme="minorEastAsia" w:cstheme="minorBidi"/>
                <w:color w:val="000000" w:themeColor="text1"/>
                <w:sz w:val="21"/>
                <w:szCs w:val="21"/>
                <w:lang w:eastAsia="en-US"/>
                <w14:textFill>
                  <w14:solidFill>
                    <w14:schemeClr w14:val="tx1"/>
                  </w14:solidFill>
                </w14:textFill>
              </w:rPr>
            </w:pPr>
          </w:p>
        </w:tc>
      </w:tr>
      <w:tr w14:paraId="05F662D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4" w:hRule="atLeast"/>
          <w:jc w:val="center"/>
        </w:trPr>
        <w:tc>
          <w:tcPr>
            <w:tcW w:w="1003" w:type="pct"/>
            <w:vAlign w:val="center"/>
          </w:tcPr>
          <w:p w14:paraId="68F8DCE7">
            <w:pPr>
              <w:autoSpaceDE/>
              <w:autoSpaceDN/>
              <w:adjustRightInd w:val="0"/>
              <w:snapToGrid w:val="0"/>
              <w:spacing w:line="240" w:lineRule="auto"/>
              <w:ind w:firstLine="0" w:firstLineChars="0"/>
              <w:jc w:val="center"/>
              <w:rPr>
                <w:rFonts w:asciiTheme="minorHAnsi" w:hAnsiTheme="minorHAnsi" w:eastAsiaTheme="minorEastAsia" w:cstheme="minorBidi"/>
                <w:color w:val="000000" w:themeColor="text1"/>
                <w:sz w:val="21"/>
                <w:szCs w:val="21"/>
                <w:lang w:eastAsia="en-US"/>
                <w14:textFill>
                  <w14:solidFill>
                    <w14:schemeClr w14:val="tx1"/>
                  </w14:solidFill>
                </w14:textFill>
              </w:rPr>
            </w:pPr>
            <w:r>
              <w:rPr>
                <w:rFonts w:asciiTheme="minorHAnsi" w:hAnsiTheme="minorHAnsi" w:eastAsiaTheme="minorEastAsia" w:cstheme="minorBidi"/>
                <w:color w:val="000000" w:themeColor="text1"/>
                <w:sz w:val="21"/>
                <w:szCs w:val="21"/>
                <w:lang w:eastAsia="en-US"/>
                <w14:textFill>
                  <w14:solidFill>
                    <w14:schemeClr w14:val="tx1"/>
                  </w14:solidFill>
                </w14:textFill>
              </w:rPr>
              <w:t>6</w:t>
            </w:r>
          </w:p>
        </w:tc>
        <w:tc>
          <w:tcPr>
            <w:tcW w:w="997" w:type="pct"/>
            <w:vAlign w:val="center"/>
          </w:tcPr>
          <w:p w14:paraId="6C92838A">
            <w:pPr>
              <w:autoSpaceDE/>
              <w:autoSpaceDN/>
              <w:adjustRightInd w:val="0"/>
              <w:snapToGrid w:val="0"/>
              <w:spacing w:line="240" w:lineRule="auto"/>
              <w:ind w:firstLine="0" w:firstLineChars="0"/>
              <w:jc w:val="center"/>
              <w:rPr>
                <w:rFonts w:asciiTheme="minorHAnsi" w:hAnsiTheme="minorHAnsi" w:eastAsiaTheme="minorEastAsia" w:cstheme="minorBidi"/>
                <w:color w:val="000000" w:themeColor="text1"/>
                <w:sz w:val="21"/>
                <w:szCs w:val="21"/>
                <w:lang w:eastAsia="en-US"/>
                <w14:textFill>
                  <w14:solidFill>
                    <w14:schemeClr w14:val="tx1"/>
                  </w14:solidFill>
                </w14:textFill>
              </w:rPr>
            </w:pPr>
            <w:r>
              <w:rPr>
                <w:rFonts w:asciiTheme="minorHAnsi" w:hAnsiTheme="minorHAnsi" w:eastAsiaTheme="minorEastAsia" w:cstheme="minorBidi"/>
                <w:color w:val="000000" w:themeColor="text1"/>
                <w:sz w:val="21"/>
                <w:szCs w:val="21"/>
                <w:lang w:eastAsia="en-US"/>
                <w14:textFill>
                  <w14:solidFill>
                    <w14:schemeClr w14:val="tx1"/>
                  </w14:solidFill>
                </w14:textFill>
              </w:rPr>
              <w:t>V3</w:t>
            </w:r>
          </w:p>
        </w:tc>
        <w:tc>
          <w:tcPr>
            <w:tcW w:w="998" w:type="pct"/>
            <w:vAlign w:val="center"/>
          </w:tcPr>
          <w:p w14:paraId="40ED7B0F">
            <w:pPr>
              <w:autoSpaceDE/>
              <w:autoSpaceDN/>
              <w:adjustRightInd w:val="0"/>
              <w:snapToGrid w:val="0"/>
              <w:spacing w:line="240" w:lineRule="auto"/>
              <w:ind w:firstLine="0" w:firstLineChars="0"/>
              <w:jc w:val="center"/>
              <w:rPr>
                <w:rFonts w:asciiTheme="minorHAnsi" w:hAnsiTheme="minorHAnsi" w:eastAsiaTheme="minorEastAsia" w:cstheme="minorBidi"/>
                <w:color w:val="000000" w:themeColor="text1"/>
                <w:sz w:val="21"/>
                <w:szCs w:val="21"/>
                <w:lang w:eastAsia="en-US"/>
                <w14:textFill>
                  <w14:solidFill>
                    <w14:schemeClr w14:val="tx1"/>
                  </w14:solidFill>
                </w14:textFill>
              </w:rPr>
            </w:pPr>
            <w:r>
              <w:rPr>
                <w:rFonts w:asciiTheme="minorHAnsi" w:hAnsiTheme="minorHAnsi" w:eastAsiaTheme="minorEastAsia" w:cstheme="minorBidi"/>
                <w:color w:val="000000" w:themeColor="text1"/>
                <w:sz w:val="21"/>
                <w:szCs w:val="21"/>
                <w:lang w:eastAsia="en-US"/>
                <w14:textFill>
                  <w14:solidFill>
                    <w14:schemeClr w14:val="tx1"/>
                  </w14:solidFill>
                </w14:textFill>
              </w:rPr>
              <w:t>108°40′54.24"</w:t>
            </w:r>
          </w:p>
        </w:tc>
        <w:tc>
          <w:tcPr>
            <w:tcW w:w="998" w:type="pct"/>
            <w:vAlign w:val="center"/>
          </w:tcPr>
          <w:p w14:paraId="1B4C6D1D">
            <w:pPr>
              <w:autoSpaceDE/>
              <w:autoSpaceDN/>
              <w:adjustRightInd w:val="0"/>
              <w:snapToGrid w:val="0"/>
              <w:spacing w:line="240" w:lineRule="auto"/>
              <w:ind w:firstLine="0" w:firstLineChars="0"/>
              <w:jc w:val="center"/>
              <w:rPr>
                <w:rFonts w:asciiTheme="minorHAnsi" w:hAnsiTheme="minorHAnsi" w:eastAsiaTheme="minorEastAsia" w:cstheme="minorBidi"/>
                <w:color w:val="000000" w:themeColor="text1"/>
                <w:sz w:val="21"/>
                <w:szCs w:val="21"/>
                <w:lang w:eastAsia="en-US"/>
                <w14:textFill>
                  <w14:solidFill>
                    <w14:schemeClr w14:val="tx1"/>
                  </w14:solidFill>
                </w14:textFill>
              </w:rPr>
            </w:pPr>
            <w:r>
              <w:rPr>
                <w:rFonts w:asciiTheme="minorHAnsi" w:hAnsiTheme="minorHAnsi" w:eastAsiaTheme="minorEastAsia" w:cstheme="minorBidi"/>
                <w:color w:val="000000" w:themeColor="text1"/>
                <w:sz w:val="21"/>
                <w:szCs w:val="21"/>
                <w:lang w:eastAsia="en-US"/>
                <w14:textFill>
                  <w14:solidFill>
                    <w14:schemeClr w14:val="tx1"/>
                  </w14:solidFill>
                </w14:textFill>
              </w:rPr>
              <w:t>21°34′15.84"</w:t>
            </w:r>
          </w:p>
        </w:tc>
        <w:tc>
          <w:tcPr>
            <w:tcW w:w="1004" w:type="pct"/>
            <w:vMerge w:val="continue"/>
            <w:vAlign w:val="center"/>
          </w:tcPr>
          <w:p w14:paraId="110792DD">
            <w:pPr>
              <w:autoSpaceDE/>
              <w:autoSpaceDN/>
              <w:adjustRightInd w:val="0"/>
              <w:snapToGrid w:val="0"/>
              <w:spacing w:line="240" w:lineRule="auto"/>
              <w:ind w:firstLine="420"/>
              <w:jc w:val="center"/>
              <w:rPr>
                <w:rFonts w:asciiTheme="minorHAnsi" w:hAnsiTheme="minorHAnsi" w:eastAsiaTheme="minorEastAsia" w:cstheme="minorBidi"/>
                <w:color w:val="000000" w:themeColor="text1"/>
                <w:sz w:val="21"/>
                <w:szCs w:val="21"/>
                <w:lang w:eastAsia="en-US"/>
                <w14:textFill>
                  <w14:solidFill>
                    <w14:schemeClr w14:val="tx1"/>
                  </w14:solidFill>
                </w14:textFill>
              </w:rPr>
            </w:pPr>
          </w:p>
        </w:tc>
      </w:tr>
      <w:tr w14:paraId="5679413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24" w:hRule="atLeast"/>
          <w:jc w:val="center"/>
        </w:trPr>
        <w:tc>
          <w:tcPr>
            <w:tcW w:w="1003" w:type="pct"/>
            <w:vAlign w:val="center"/>
          </w:tcPr>
          <w:p w14:paraId="1D5EBEB5">
            <w:pPr>
              <w:autoSpaceDE/>
              <w:autoSpaceDN/>
              <w:adjustRightInd w:val="0"/>
              <w:snapToGrid w:val="0"/>
              <w:spacing w:line="240" w:lineRule="auto"/>
              <w:ind w:firstLine="0" w:firstLineChars="0"/>
              <w:jc w:val="center"/>
              <w:rPr>
                <w:rFonts w:asciiTheme="minorHAnsi" w:hAnsiTheme="minorHAnsi" w:eastAsiaTheme="minorEastAsia" w:cstheme="minorBidi"/>
                <w:color w:val="000000" w:themeColor="text1"/>
                <w:sz w:val="21"/>
                <w:szCs w:val="21"/>
                <w:lang w:eastAsia="en-US"/>
                <w14:textFill>
                  <w14:solidFill>
                    <w14:schemeClr w14:val="tx1"/>
                  </w14:solidFill>
                </w14:textFill>
              </w:rPr>
            </w:pPr>
            <w:r>
              <w:rPr>
                <w:rFonts w:asciiTheme="minorHAnsi" w:hAnsiTheme="minorHAnsi" w:eastAsiaTheme="minorEastAsia" w:cstheme="minorBidi"/>
                <w:color w:val="000000" w:themeColor="text1"/>
                <w:sz w:val="21"/>
                <w:szCs w:val="21"/>
                <w:lang w:eastAsia="en-US"/>
                <w14:textFill>
                  <w14:solidFill>
                    <w14:schemeClr w14:val="tx1"/>
                  </w14:solidFill>
                </w14:textFill>
              </w:rPr>
              <w:t>7</w:t>
            </w:r>
          </w:p>
        </w:tc>
        <w:tc>
          <w:tcPr>
            <w:tcW w:w="997" w:type="pct"/>
            <w:vAlign w:val="center"/>
          </w:tcPr>
          <w:p w14:paraId="753117C1">
            <w:pPr>
              <w:autoSpaceDE/>
              <w:autoSpaceDN/>
              <w:adjustRightInd w:val="0"/>
              <w:snapToGrid w:val="0"/>
              <w:spacing w:line="240" w:lineRule="auto"/>
              <w:ind w:firstLine="0" w:firstLineChars="0"/>
              <w:jc w:val="center"/>
              <w:rPr>
                <w:rFonts w:asciiTheme="minorHAnsi" w:hAnsiTheme="minorHAnsi" w:eastAsiaTheme="minorEastAsia" w:cstheme="minorBidi"/>
                <w:color w:val="000000" w:themeColor="text1"/>
                <w:sz w:val="21"/>
                <w:szCs w:val="21"/>
                <w:lang w:eastAsia="en-US"/>
                <w14:textFill>
                  <w14:solidFill>
                    <w14:schemeClr w14:val="tx1"/>
                  </w14:solidFill>
                </w14:textFill>
              </w:rPr>
            </w:pPr>
            <w:r>
              <w:rPr>
                <w:rFonts w:asciiTheme="minorHAnsi" w:hAnsiTheme="minorHAnsi" w:eastAsiaTheme="minorEastAsia" w:cstheme="minorBidi"/>
                <w:color w:val="000000" w:themeColor="text1"/>
                <w:sz w:val="21"/>
                <w:szCs w:val="21"/>
                <w:lang w:eastAsia="en-US"/>
                <w14:textFill>
                  <w14:solidFill>
                    <w14:schemeClr w14:val="tx1"/>
                  </w14:solidFill>
                </w14:textFill>
              </w:rPr>
              <w:t>V4</w:t>
            </w:r>
          </w:p>
        </w:tc>
        <w:tc>
          <w:tcPr>
            <w:tcW w:w="998" w:type="pct"/>
            <w:vAlign w:val="center"/>
          </w:tcPr>
          <w:p w14:paraId="50AE7CFC">
            <w:pPr>
              <w:autoSpaceDE/>
              <w:autoSpaceDN/>
              <w:adjustRightInd w:val="0"/>
              <w:snapToGrid w:val="0"/>
              <w:spacing w:line="240" w:lineRule="auto"/>
              <w:ind w:firstLine="0" w:firstLineChars="0"/>
              <w:jc w:val="center"/>
              <w:rPr>
                <w:rFonts w:asciiTheme="minorHAnsi" w:hAnsiTheme="minorHAnsi" w:eastAsiaTheme="minorEastAsia" w:cstheme="minorBidi"/>
                <w:color w:val="000000" w:themeColor="text1"/>
                <w:sz w:val="21"/>
                <w:szCs w:val="21"/>
                <w:lang w:eastAsia="en-US"/>
                <w14:textFill>
                  <w14:solidFill>
                    <w14:schemeClr w14:val="tx1"/>
                  </w14:solidFill>
                </w14:textFill>
              </w:rPr>
            </w:pPr>
            <w:r>
              <w:rPr>
                <w:rFonts w:asciiTheme="minorHAnsi" w:hAnsiTheme="minorHAnsi" w:eastAsiaTheme="minorEastAsia" w:cstheme="minorBidi"/>
                <w:color w:val="000000" w:themeColor="text1"/>
                <w:sz w:val="21"/>
                <w:szCs w:val="21"/>
                <w:lang w:eastAsia="en-US"/>
                <w14:textFill>
                  <w14:solidFill>
                    <w14:schemeClr w14:val="tx1"/>
                  </w14:solidFill>
                </w14:textFill>
              </w:rPr>
              <w:t>108°32′44.16"</w:t>
            </w:r>
          </w:p>
        </w:tc>
        <w:tc>
          <w:tcPr>
            <w:tcW w:w="998" w:type="pct"/>
            <w:vAlign w:val="center"/>
          </w:tcPr>
          <w:p w14:paraId="212323D9">
            <w:pPr>
              <w:autoSpaceDE/>
              <w:autoSpaceDN/>
              <w:adjustRightInd w:val="0"/>
              <w:snapToGrid w:val="0"/>
              <w:spacing w:line="240" w:lineRule="auto"/>
              <w:ind w:firstLine="0" w:firstLineChars="0"/>
              <w:jc w:val="center"/>
              <w:rPr>
                <w:rFonts w:asciiTheme="minorHAnsi" w:hAnsiTheme="minorHAnsi" w:eastAsiaTheme="minorEastAsia" w:cstheme="minorBidi"/>
                <w:color w:val="000000" w:themeColor="text1"/>
                <w:sz w:val="21"/>
                <w:szCs w:val="21"/>
                <w:lang w:eastAsia="en-US"/>
                <w14:textFill>
                  <w14:solidFill>
                    <w14:schemeClr w14:val="tx1"/>
                  </w14:solidFill>
                </w14:textFill>
              </w:rPr>
            </w:pPr>
            <w:r>
              <w:rPr>
                <w:rFonts w:asciiTheme="minorHAnsi" w:hAnsiTheme="minorHAnsi" w:eastAsiaTheme="minorEastAsia" w:cstheme="minorBidi"/>
                <w:color w:val="000000" w:themeColor="text1"/>
                <w:sz w:val="21"/>
                <w:szCs w:val="21"/>
                <w:lang w:eastAsia="en-US"/>
                <w14:textFill>
                  <w14:solidFill>
                    <w14:schemeClr w14:val="tx1"/>
                  </w14:solidFill>
                </w14:textFill>
              </w:rPr>
              <w:t>21°33′32.88"</w:t>
            </w:r>
          </w:p>
        </w:tc>
        <w:tc>
          <w:tcPr>
            <w:tcW w:w="1004" w:type="pct"/>
            <w:vMerge w:val="continue"/>
            <w:vAlign w:val="center"/>
          </w:tcPr>
          <w:p w14:paraId="70A9E405">
            <w:pPr>
              <w:autoSpaceDE/>
              <w:autoSpaceDN/>
              <w:adjustRightInd w:val="0"/>
              <w:snapToGrid w:val="0"/>
              <w:spacing w:line="240" w:lineRule="auto"/>
              <w:ind w:firstLine="420"/>
              <w:jc w:val="center"/>
              <w:rPr>
                <w:rFonts w:asciiTheme="minorHAnsi" w:hAnsiTheme="minorHAnsi" w:eastAsiaTheme="minorEastAsia" w:cstheme="minorBidi"/>
                <w:color w:val="000000" w:themeColor="text1"/>
                <w:sz w:val="21"/>
                <w:szCs w:val="21"/>
                <w:lang w:eastAsia="en-US"/>
                <w14:textFill>
                  <w14:solidFill>
                    <w14:schemeClr w14:val="tx1"/>
                  </w14:solidFill>
                </w14:textFill>
              </w:rPr>
            </w:pPr>
          </w:p>
        </w:tc>
      </w:tr>
      <w:tr w14:paraId="1DE94D8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4" w:hRule="atLeast"/>
          <w:jc w:val="center"/>
        </w:trPr>
        <w:tc>
          <w:tcPr>
            <w:tcW w:w="1003" w:type="pct"/>
            <w:vAlign w:val="center"/>
          </w:tcPr>
          <w:p w14:paraId="2B56E75B">
            <w:pPr>
              <w:autoSpaceDE/>
              <w:autoSpaceDN/>
              <w:adjustRightInd w:val="0"/>
              <w:snapToGrid w:val="0"/>
              <w:spacing w:line="240" w:lineRule="auto"/>
              <w:ind w:firstLine="0" w:firstLineChars="0"/>
              <w:jc w:val="center"/>
              <w:rPr>
                <w:rFonts w:asciiTheme="minorHAnsi" w:hAnsiTheme="minorHAnsi" w:eastAsiaTheme="minorEastAsia" w:cstheme="minorBidi"/>
                <w:color w:val="000000" w:themeColor="text1"/>
                <w:sz w:val="21"/>
                <w:szCs w:val="21"/>
                <w:lang w:eastAsia="en-US"/>
                <w14:textFill>
                  <w14:solidFill>
                    <w14:schemeClr w14:val="tx1"/>
                  </w14:solidFill>
                </w14:textFill>
              </w:rPr>
            </w:pPr>
            <w:r>
              <w:rPr>
                <w:rFonts w:asciiTheme="minorHAnsi" w:hAnsiTheme="minorHAnsi" w:eastAsiaTheme="minorEastAsia" w:cstheme="minorBidi"/>
                <w:color w:val="000000" w:themeColor="text1"/>
                <w:sz w:val="21"/>
                <w:szCs w:val="21"/>
                <w:lang w:eastAsia="en-US"/>
                <w14:textFill>
                  <w14:solidFill>
                    <w14:schemeClr w14:val="tx1"/>
                  </w14:solidFill>
                </w14:textFill>
              </w:rPr>
              <w:t>8</w:t>
            </w:r>
          </w:p>
        </w:tc>
        <w:tc>
          <w:tcPr>
            <w:tcW w:w="997" w:type="pct"/>
            <w:vAlign w:val="center"/>
          </w:tcPr>
          <w:p w14:paraId="537B1248">
            <w:pPr>
              <w:autoSpaceDE/>
              <w:autoSpaceDN/>
              <w:adjustRightInd w:val="0"/>
              <w:snapToGrid w:val="0"/>
              <w:spacing w:line="240" w:lineRule="auto"/>
              <w:ind w:firstLine="0" w:firstLineChars="0"/>
              <w:jc w:val="center"/>
              <w:rPr>
                <w:rFonts w:asciiTheme="minorHAnsi" w:hAnsiTheme="minorHAnsi" w:eastAsiaTheme="minorEastAsia" w:cstheme="minorBidi"/>
                <w:color w:val="000000" w:themeColor="text1"/>
                <w:sz w:val="21"/>
                <w:szCs w:val="21"/>
                <w:lang w:eastAsia="en-US"/>
                <w14:textFill>
                  <w14:solidFill>
                    <w14:schemeClr w14:val="tx1"/>
                  </w14:solidFill>
                </w14:textFill>
              </w:rPr>
            </w:pPr>
            <w:r>
              <w:rPr>
                <w:rFonts w:asciiTheme="minorHAnsi" w:hAnsiTheme="minorHAnsi" w:eastAsiaTheme="minorEastAsia" w:cstheme="minorBidi"/>
                <w:color w:val="000000" w:themeColor="text1"/>
                <w:sz w:val="21"/>
                <w:szCs w:val="21"/>
                <w:lang w:eastAsia="en-US"/>
                <w14:textFill>
                  <w14:solidFill>
                    <w14:schemeClr w14:val="tx1"/>
                  </w14:solidFill>
                </w14:textFill>
              </w:rPr>
              <w:t>V5</w:t>
            </w:r>
          </w:p>
        </w:tc>
        <w:tc>
          <w:tcPr>
            <w:tcW w:w="998" w:type="pct"/>
            <w:vAlign w:val="center"/>
          </w:tcPr>
          <w:p w14:paraId="3541BC9D">
            <w:pPr>
              <w:autoSpaceDE/>
              <w:autoSpaceDN/>
              <w:adjustRightInd w:val="0"/>
              <w:snapToGrid w:val="0"/>
              <w:spacing w:line="240" w:lineRule="auto"/>
              <w:ind w:firstLine="0" w:firstLineChars="0"/>
              <w:jc w:val="center"/>
              <w:rPr>
                <w:rFonts w:asciiTheme="minorHAnsi" w:hAnsiTheme="minorHAnsi" w:eastAsiaTheme="minorEastAsia" w:cstheme="minorBidi"/>
                <w:color w:val="000000" w:themeColor="text1"/>
                <w:sz w:val="21"/>
                <w:szCs w:val="21"/>
                <w:lang w:eastAsia="en-US"/>
                <w14:textFill>
                  <w14:solidFill>
                    <w14:schemeClr w14:val="tx1"/>
                  </w14:solidFill>
                </w14:textFill>
              </w:rPr>
            </w:pPr>
            <w:r>
              <w:rPr>
                <w:rFonts w:asciiTheme="minorHAnsi" w:hAnsiTheme="minorHAnsi" w:eastAsiaTheme="minorEastAsia" w:cstheme="minorBidi"/>
                <w:color w:val="000000" w:themeColor="text1"/>
                <w:sz w:val="21"/>
                <w:szCs w:val="21"/>
                <w:lang w:eastAsia="en-US"/>
                <w14:textFill>
                  <w14:solidFill>
                    <w14:schemeClr w14:val="tx1"/>
                  </w14:solidFill>
                </w14:textFill>
              </w:rPr>
              <w:t>108°35′1.20"</w:t>
            </w:r>
          </w:p>
        </w:tc>
        <w:tc>
          <w:tcPr>
            <w:tcW w:w="998" w:type="pct"/>
            <w:vAlign w:val="center"/>
          </w:tcPr>
          <w:p w14:paraId="3ADB10D5">
            <w:pPr>
              <w:autoSpaceDE/>
              <w:autoSpaceDN/>
              <w:adjustRightInd w:val="0"/>
              <w:snapToGrid w:val="0"/>
              <w:spacing w:line="240" w:lineRule="auto"/>
              <w:ind w:firstLine="0" w:firstLineChars="0"/>
              <w:jc w:val="center"/>
              <w:rPr>
                <w:rFonts w:asciiTheme="minorHAnsi" w:hAnsiTheme="minorHAnsi" w:eastAsiaTheme="minorEastAsia" w:cstheme="minorBidi"/>
                <w:color w:val="000000" w:themeColor="text1"/>
                <w:sz w:val="21"/>
                <w:szCs w:val="21"/>
                <w:lang w:eastAsia="en-US"/>
                <w14:textFill>
                  <w14:solidFill>
                    <w14:schemeClr w14:val="tx1"/>
                  </w14:solidFill>
                </w14:textFill>
              </w:rPr>
            </w:pPr>
            <w:r>
              <w:rPr>
                <w:rFonts w:asciiTheme="minorHAnsi" w:hAnsiTheme="minorHAnsi" w:eastAsiaTheme="minorEastAsia" w:cstheme="minorBidi"/>
                <w:color w:val="000000" w:themeColor="text1"/>
                <w:sz w:val="21"/>
                <w:szCs w:val="21"/>
                <w:lang w:eastAsia="en-US"/>
                <w14:textFill>
                  <w14:solidFill>
                    <w14:schemeClr w14:val="tx1"/>
                  </w14:solidFill>
                </w14:textFill>
              </w:rPr>
              <w:t>21°38′34.62"</w:t>
            </w:r>
          </w:p>
        </w:tc>
        <w:tc>
          <w:tcPr>
            <w:tcW w:w="1004" w:type="pct"/>
            <w:vMerge w:val="continue"/>
            <w:vAlign w:val="center"/>
          </w:tcPr>
          <w:p w14:paraId="14A01054">
            <w:pPr>
              <w:autoSpaceDE/>
              <w:autoSpaceDN/>
              <w:adjustRightInd w:val="0"/>
              <w:snapToGrid w:val="0"/>
              <w:spacing w:line="240" w:lineRule="auto"/>
              <w:ind w:firstLine="420"/>
              <w:jc w:val="center"/>
              <w:rPr>
                <w:rFonts w:asciiTheme="minorHAnsi" w:hAnsiTheme="minorHAnsi" w:eastAsiaTheme="minorEastAsia" w:cstheme="minorBidi"/>
                <w:color w:val="000000" w:themeColor="text1"/>
                <w:sz w:val="21"/>
                <w:szCs w:val="21"/>
                <w:lang w:eastAsia="en-US"/>
                <w14:textFill>
                  <w14:solidFill>
                    <w14:schemeClr w14:val="tx1"/>
                  </w14:solidFill>
                </w14:textFill>
              </w:rPr>
            </w:pPr>
          </w:p>
        </w:tc>
      </w:tr>
      <w:tr w14:paraId="6491E26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5" w:hRule="atLeast"/>
          <w:jc w:val="center"/>
        </w:trPr>
        <w:tc>
          <w:tcPr>
            <w:tcW w:w="1003" w:type="pct"/>
            <w:vAlign w:val="center"/>
          </w:tcPr>
          <w:p w14:paraId="53F5D56F">
            <w:pPr>
              <w:autoSpaceDE/>
              <w:autoSpaceDN/>
              <w:adjustRightInd w:val="0"/>
              <w:snapToGrid w:val="0"/>
              <w:spacing w:line="240" w:lineRule="auto"/>
              <w:ind w:firstLine="0" w:firstLineChars="0"/>
              <w:jc w:val="center"/>
              <w:rPr>
                <w:rFonts w:asciiTheme="minorHAnsi" w:hAnsiTheme="minorHAnsi" w:eastAsiaTheme="minorEastAsia" w:cstheme="minorBidi"/>
                <w:color w:val="000000" w:themeColor="text1"/>
                <w:sz w:val="21"/>
                <w:szCs w:val="21"/>
                <w:lang w:eastAsia="en-US"/>
                <w14:textFill>
                  <w14:solidFill>
                    <w14:schemeClr w14:val="tx1"/>
                  </w14:solidFill>
                </w14:textFill>
              </w:rPr>
            </w:pPr>
            <w:r>
              <w:rPr>
                <w:rFonts w:asciiTheme="minorHAnsi" w:hAnsiTheme="minorHAnsi" w:eastAsiaTheme="minorEastAsia" w:cstheme="minorBidi"/>
                <w:color w:val="000000" w:themeColor="text1"/>
                <w:sz w:val="21"/>
                <w:szCs w:val="21"/>
                <w:lang w:eastAsia="en-US"/>
                <w14:textFill>
                  <w14:solidFill>
                    <w14:schemeClr w14:val="tx1"/>
                  </w14:solidFill>
                </w14:textFill>
              </w:rPr>
              <w:t>9</w:t>
            </w:r>
          </w:p>
        </w:tc>
        <w:tc>
          <w:tcPr>
            <w:tcW w:w="997" w:type="pct"/>
            <w:vAlign w:val="center"/>
          </w:tcPr>
          <w:p w14:paraId="1640AAED">
            <w:pPr>
              <w:autoSpaceDE/>
              <w:autoSpaceDN/>
              <w:adjustRightInd w:val="0"/>
              <w:snapToGrid w:val="0"/>
              <w:spacing w:line="240" w:lineRule="auto"/>
              <w:ind w:firstLine="0" w:firstLineChars="0"/>
              <w:jc w:val="center"/>
              <w:rPr>
                <w:rFonts w:asciiTheme="minorHAnsi" w:hAnsiTheme="minorHAnsi" w:eastAsiaTheme="minorEastAsia" w:cstheme="minorBidi"/>
                <w:color w:val="000000" w:themeColor="text1"/>
                <w:sz w:val="21"/>
                <w:szCs w:val="21"/>
                <w:lang w:eastAsia="en-US"/>
                <w14:textFill>
                  <w14:solidFill>
                    <w14:schemeClr w14:val="tx1"/>
                  </w14:solidFill>
                </w14:textFill>
              </w:rPr>
            </w:pPr>
            <w:r>
              <w:rPr>
                <w:rFonts w:asciiTheme="minorHAnsi" w:hAnsiTheme="minorHAnsi" w:eastAsiaTheme="minorEastAsia" w:cstheme="minorBidi"/>
                <w:color w:val="000000" w:themeColor="text1"/>
                <w:sz w:val="21"/>
                <w:szCs w:val="21"/>
                <w:lang w:eastAsia="en-US"/>
                <w14:textFill>
                  <w14:solidFill>
                    <w14:schemeClr w14:val="tx1"/>
                  </w14:solidFill>
                </w14:textFill>
              </w:rPr>
              <w:t>V6</w:t>
            </w:r>
          </w:p>
        </w:tc>
        <w:tc>
          <w:tcPr>
            <w:tcW w:w="998" w:type="pct"/>
            <w:vAlign w:val="center"/>
          </w:tcPr>
          <w:p w14:paraId="79AB7132">
            <w:pPr>
              <w:autoSpaceDE/>
              <w:autoSpaceDN/>
              <w:adjustRightInd w:val="0"/>
              <w:snapToGrid w:val="0"/>
              <w:spacing w:line="240" w:lineRule="auto"/>
              <w:ind w:firstLine="0" w:firstLineChars="0"/>
              <w:jc w:val="center"/>
              <w:rPr>
                <w:rFonts w:asciiTheme="minorHAnsi" w:hAnsiTheme="minorHAnsi" w:eastAsiaTheme="minorEastAsia" w:cstheme="minorBidi"/>
                <w:color w:val="000000" w:themeColor="text1"/>
                <w:sz w:val="21"/>
                <w:szCs w:val="21"/>
                <w:lang w:eastAsia="en-US"/>
                <w14:textFill>
                  <w14:solidFill>
                    <w14:schemeClr w14:val="tx1"/>
                  </w14:solidFill>
                </w14:textFill>
              </w:rPr>
            </w:pPr>
            <w:r>
              <w:rPr>
                <w:rFonts w:asciiTheme="minorHAnsi" w:hAnsiTheme="minorHAnsi" w:eastAsiaTheme="minorEastAsia" w:cstheme="minorBidi"/>
                <w:color w:val="000000" w:themeColor="text1"/>
                <w:sz w:val="21"/>
                <w:szCs w:val="21"/>
                <w:lang w:eastAsia="en-US"/>
                <w14:textFill>
                  <w14:solidFill>
                    <w14:schemeClr w14:val="tx1"/>
                  </w14:solidFill>
                </w14:textFill>
              </w:rPr>
              <w:t>108°40′55.08"</w:t>
            </w:r>
          </w:p>
        </w:tc>
        <w:tc>
          <w:tcPr>
            <w:tcW w:w="998" w:type="pct"/>
            <w:vAlign w:val="center"/>
          </w:tcPr>
          <w:p w14:paraId="6A4DE40A">
            <w:pPr>
              <w:autoSpaceDE/>
              <w:autoSpaceDN/>
              <w:adjustRightInd w:val="0"/>
              <w:snapToGrid w:val="0"/>
              <w:spacing w:line="240" w:lineRule="auto"/>
              <w:ind w:firstLine="0" w:firstLineChars="0"/>
              <w:jc w:val="center"/>
              <w:rPr>
                <w:rFonts w:asciiTheme="minorHAnsi" w:hAnsiTheme="minorHAnsi" w:eastAsiaTheme="minorEastAsia" w:cstheme="minorBidi"/>
                <w:color w:val="000000" w:themeColor="text1"/>
                <w:sz w:val="21"/>
                <w:szCs w:val="21"/>
                <w:lang w:eastAsia="en-US"/>
                <w14:textFill>
                  <w14:solidFill>
                    <w14:schemeClr w14:val="tx1"/>
                  </w14:solidFill>
                </w14:textFill>
              </w:rPr>
            </w:pPr>
            <w:r>
              <w:rPr>
                <w:rFonts w:asciiTheme="minorHAnsi" w:hAnsiTheme="minorHAnsi" w:eastAsiaTheme="minorEastAsia" w:cstheme="minorBidi"/>
                <w:color w:val="000000" w:themeColor="text1"/>
                <w:sz w:val="21"/>
                <w:szCs w:val="21"/>
                <w:lang w:eastAsia="en-US"/>
                <w14:textFill>
                  <w14:solidFill>
                    <w14:schemeClr w14:val="tx1"/>
                  </w14:solidFill>
                </w14:textFill>
              </w:rPr>
              <w:t>21°36′58.92"</w:t>
            </w:r>
          </w:p>
        </w:tc>
        <w:tc>
          <w:tcPr>
            <w:tcW w:w="1004" w:type="pct"/>
            <w:vMerge w:val="continue"/>
            <w:vAlign w:val="center"/>
          </w:tcPr>
          <w:p w14:paraId="01070314">
            <w:pPr>
              <w:autoSpaceDE/>
              <w:autoSpaceDN/>
              <w:adjustRightInd w:val="0"/>
              <w:snapToGrid w:val="0"/>
              <w:spacing w:line="240" w:lineRule="auto"/>
              <w:ind w:firstLine="420"/>
              <w:jc w:val="center"/>
              <w:rPr>
                <w:rFonts w:asciiTheme="minorHAnsi" w:hAnsiTheme="minorHAnsi" w:eastAsiaTheme="minorEastAsia" w:cstheme="minorBidi"/>
                <w:color w:val="000000" w:themeColor="text1"/>
                <w:sz w:val="21"/>
                <w:szCs w:val="21"/>
                <w:lang w:eastAsia="en-US"/>
                <w14:textFill>
                  <w14:solidFill>
                    <w14:schemeClr w14:val="tx1"/>
                  </w14:solidFill>
                </w14:textFill>
              </w:rPr>
            </w:pPr>
          </w:p>
        </w:tc>
      </w:tr>
      <w:tr w14:paraId="4A61C03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4" w:hRule="atLeast"/>
          <w:jc w:val="center"/>
        </w:trPr>
        <w:tc>
          <w:tcPr>
            <w:tcW w:w="1003" w:type="pct"/>
            <w:vAlign w:val="center"/>
          </w:tcPr>
          <w:p w14:paraId="54B7B53B">
            <w:pPr>
              <w:autoSpaceDE/>
              <w:autoSpaceDN/>
              <w:adjustRightInd w:val="0"/>
              <w:snapToGrid w:val="0"/>
              <w:spacing w:line="240" w:lineRule="auto"/>
              <w:ind w:firstLine="0" w:firstLineChars="0"/>
              <w:jc w:val="center"/>
              <w:rPr>
                <w:rFonts w:asciiTheme="minorHAnsi" w:hAnsiTheme="minorHAnsi" w:eastAsiaTheme="minorEastAsia" w:cstheme="minorBidi"/>
                <w:color w:val="000000" w:themeColor="text1"/>
                <w:sz w:val="21"/>
                <w:szCs w:val="21"/>
                <w:lang w:eastAsia="en-US"/>
                <w14:textFill>
                  <w14:solidFill>
                    <w14:schemeClr w14:val="tx1"/>
                  </w14:solidFill>
                </w14:textFill>
              </w:rPr>
            </w:pPr>
            <w:r>
              <w:rPr>
                <w:rFonts w:asciiTheme="minorHAnsi" w:hAnsiTheme="minorHAnsi" w:eastAsiaTheme="minorEastAsia" w:cstheme="minorBidi"/>
                <w:color w:val="000000" w:themeColor="text1"/>
                <w:sz w:val="21"/>
                <w:szCs w:val="21"/>
                <w:lang w:eastAsia="en-US"/>
                <w14:textFill>
                  <w14:solidFill>
                    <w14:schemeClr w14:val="tx1"/>
                  </w14:solidFill>
                </w14:textFill>
              </w:rPr>
              <w:t>10</w:t>
            </w:r>
          </w:p>
        </w:tc>
        <w:tc>
          <w:tcPr>
            <w:tcW w:w="997" w:type="pct"/>
            <w:vAlign w:val="center"/>
          </w:tcPr>
          <w:p w14:paraId="675530F2">
            <w:pPr>
              <w:autoSpaceDE/>
              <w:autoSpaceDN/>
              <w:adjustRightInd w:val="0"/>
              <w:snapToGrid w:val="0"/>
              <w:spacing w:line="240" w:lineRule="auto"/>
              <w:ind w:firstLine="0" w:firstLineChars="0"/>
              <w:jc w:val="center"/>
              <w:rPr>
                <w:rFonts w:asciiTheme="minorHAnsi" w:hAnsiTheme="minorHAnsi" w:eastAsiaTheme="minorEastAsia" w:cstheme="minorBidi"/>
                <w:color w:val="000000" w:themeColor="text1"/>
                <w:sz w:val="21"/>
                <w:szCs w:val="21"/>
                <w:lang w:eastAsia="en-US"/>
                <w14:textFill>
                  <w14:solidFill>
                    <w14:schemeClr w14:val="tx1"/>
                  </w14:solidFill>
                </w14:textFill>
              </w:rPr>
            </w:pPr>
            <w:r>
              <w:rPr>
                <w:rFonts w:asciiTheme="minorHAnsi" w:hAnsiTheme="minorHAnsi" w:eastAsiaTheme="minorEastAsia" w:cstheme="minorBidi"/>
                <w:color w:val="000000" w:themeColor="text1"/>
                <w:sz w:val="21"/>
                <w:szCs w:val="21"/>
                <w:lang w:eastAsia="en-US"/>
                <w14:textFill>
                  <w14:solidFill>
                    <w14:schemeClr w14:val="tx1"/>
                  </w14:solidFill>
                </w14:textFill>
              </w:rPr>
              <w:t>V7</w:t>
            </w:r>
          </w:p>
        </w:tc>
        <w:tc>
          <w:tcPr>
            <w:tcW w:w="998" w:type="pct"/>
            <w:vAlign w:val="center"/>
          </w:tcPr>
          <w:p w14:paraId="41DBF034">
            <w:pPr>
              <w:autoSpaceDE/>
              <w:autoSpaceDN/>
              <w:adjustRightInd w:val="0"/>
              <w:snapToGrid w:val="0"/>
              <w:spacing w:line="240" w:lineRule="auto"/>
              <w:ind w:firstLine="0" w:firstLineChars="0"/>
              <w:jc w:val="center"/>
              <w:rPr>
                <w:rFonts w:asciiTheme="minorHAnsi" w:hAnsiTheme="minorHAnsi" w:eastAsiaTheme="minorEastAsia" w:cstheme="minorBidi"/>
                <w:color w:val="000000" w:themeColor="text1"/>
                <w:sz w:val="21"/>
                <w:szCs w:val="21"/>
                <w:lang w:eastAsia="en-US"/>
                <w14:textFill>
                  <w14:solidFill>
                    <w14:schemeClr w14:val="tx1"/>
                  </w14:solidFill>
                </w14:textFill>
              </w:rPr>
            </w:pPr>
            <w:r>
              <w:rPr>
                <w:rFonts w:asciiTheme="minorHAnsi" w:hAnsiTheme="minorHAnsi" w:eastAsiaTheme="minorEastAsia" w:cstheme="minorBidi"/>
                <w:color w:val="000000" w:themeColor="text1"/>
                <w:sz w:val="21"/>
                <w:szCs w:val="21"/>
                <w:lang w:eastAsia="en-US"/>
                <w14:textFill>
                  <w14:solidFill>
                    <w14:schemeClr w14:val="tx1"/>
                  </w14:solidFill>
                </w14:textFill>
              </w:rPr>
              <w:t>108°38′11.58"</w:t>
            </w:r>
          </w:p>
        </w:tc>
        <w:tc>
          <w:tcPr>
            <w:tcW w:w="998" w:type="pct"/>
            <w:vAlign w:val="center"/>
          </w:tcPr>
          <w:p w14:paraId="10C54F63">
            <w:pPr>
              <w:autoSpaceDE/>
              <w:autoSpaceDN/>
              <w:adjustRightInd w:val="0"/>
              <w:snapToGrid w:val="0"/>
              <w:spacing w:line="240" w:lineRule="auto"/>
              <w:ind w:firstLine="0" w:firstLineChars="0"/>
              <w:jc w:val="center"/>
              <w:rPr>
                <w:rFonts w:asciiTheme="minorHAnsi" w:hAnsiTheme="minorHAnsi" w:eastAsiaTheme="minorEastAsia" w:cstheme="minorBidi"/>
                <w:color w:val="000000" w:themeColor="text1"/>
                <w:sz w:val="21"/>
                <w:szCs w:val="21"/>
                <w:lang w:eastAsia="en-US"/>
                <w14:textFill>
                  <w14:solidFill>
                    <w14:schemeClr w14:val="tx1"/>
                  </w14:solidFill>
                </w14:textFill>
              </w:rPr>
            </w:pPr>
            <w:r>
              <w:rPr>
                <w:rFonts w:asciiTheme="minorHAnsi" w:hAnsiTheme="minorHAnsi" w:eastAsiaTheme="minorEastAsia" w:cstheme="minorBidi"/>
                <w:color w:val="000000" w:themeColor="text1"/>
                <w:sz w:val="21"/>
                <w:szCs w:val="21"/>
                <w:lang w:eastAsia="en-US"/>
                <w14:textFill>
                  <w14:solidFill>
                    <w14:schemeClr w14:val="tx1"/>
                  </w14:solidFill>
                </w14:textFill>
              </w:rPr>
              <w:t>21°39′27.96"</w:t>
            </w:r>
          </w:p>
        </w:tc>
        <w:tc>
          <w:tcPr>
            <w:tcW w:w="1004" w:type="pct"/>
            <w:vMerge w:val="continue"/>
            <w:vAlign w:val="center"/>
          </w:tcPr>
          <w:p w14:paraId="63DA8145">
            <w:pPr>
              <w:autoSpaceDE/>
              <w:autoSpaceDN/>
              <w:adjustRightInd w:val="0"/>
              <w:snapToGrid w:val="0"/>
              <w:spacing w:line="240" w:lineRule="auto"/>
              <w:ind w:firstLine="420"/>
              <w:jc w:val="center"/>
              <w:rPr>
                <w:rFonts w:asciiTheme="minorHAnsi" w:hAnsiTheme="minorHAnsi" w:eastAsiaTheme="minorEastAsia" w:cstheme="minorBidi"/>
                <w:color w:val="000000" w:themeColor="text1"/>
                <w:sz w:val="21"/>
                <w:szCs w:val="21"/>
                <w:lang w:eastAsia="en-US"/>
                <w14:textFill>
                  <w14:solidFill>
                    <w14:schemeClr w14:val="tx1"/>
                  </w14:solidFill>
                </w14:textFill>
              </w:rPr>
            </w:pPr>
          </w:p>
        </w:tc>
      </w:tr>
      <w:tr w14:paraId="0A1C760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5" w:hRule="atLeast"/>
          <w:jc w:val="center"/>
        </w:trPr>
        <w:tc>
          <w:tcPr>
            <w:tcW w:w="1003" w:type="pct"/>
            <w:vAlign w:val="center"/>
          </w:tcPr>
          <w:p w14:paraId="1B8D9E9A">
            <w:pPr>
              <w:autoSpaceDE/>
              <w:autoSpaceDN/>
              <w:adjustRightInd w:val="0"/>
              <w:snapToGrid w:val="0"/>
              <w:spacing w:line="240" w:lineRule="auto"/>
              <w:ind w:firstLine="0" w:firstLineChars="0"/>
              <w:jc w:val="center"/>
              <w:rPr>
                <w:rFonts w:asciiTheme="minorHAnsi" w:hAnsiTheme="minorHAnsi" w:eastAsiaTheme="minorEastAsia" w:cstheme="minorBidi"/>
                <w:color w:val="000000" w:themeColor="text1"/>
                <w:sz w:val="21"/>
                <w:szCs w:val="21"/>
                <w:lang w:eastAsia="en-US"/>
                <w14:textFill>
                  <w14:solidFill>
                    <w14:schemeClr w14:val="tx1"/>
                  </w14:solidFill>
                </w14:textFill>
              </w:rPr>
            </w:pPr>
            <w:r>
              <w:rPr>
                <w:rFonts w:asciiTheme="minorHAnsi" w:hAnsiTheme="minorHAnsi" w:eastAsiaTheme="minorEastAsia" w:cstheme="minorBidi"/>
                <w:color w:val="000000" w:themeColor="text1"/>
                <w:sz w:val="21"/>
                <w:szCs w:val="21"/>
                <w:lang w:eastAsia="en-US"/>
                <w14:textFill>
                  <w14:solidFill>
                    <w14:schemeClr w14:val="tx1"/>
                  </w14:solidFill>
                </w14:textFill>
              </w:rPr>
              <w:t>11</w:t>
            </w:r>
          </w:p>
        </w:tc>
        <w:tc>
          <w:tcPr>
            <w:tcW w:w="997" w:type="pct"/>
            <w:vAlign w:val="center"/>
          </w:tcPr>
          <w:p w14:paraId="0DB5CFF6">
            <w:pPr>
              <w:autoSpaceDE/>
              <w:autoSpaceDN/>
              <w:adjustRightInd w:val="0"/>
              <w:snapToGrid w:val="0"/>
              <w:spacing w:line="240" w:lineRule="auto"/>
              <w:ind w:firstLine="0" w:firstLineChars="0"/>
              <w:jc w:val="center"/>
              <w:rPr>
                <w:rFonts w:asciiTheme="minorHAnsi" w:hAnsiTheme="minorHAnsi" w:eastAsiaTheme="minorEastAsia" w:cstheme="minorBidi"/>
                <w:color w:val="000000" w:themeColor="text1"/>
                <w:sz w:val="21"/>
                <w:szCs w:val="21"/>
                <w:lang w:eastAsia="en-US"/>
                <w14:textFill>
                  <w14:solidFill>
                    <w14:schemeClr w14:val="tx1"/>
                  </w14:solidFill>
                </w14:textFill>
              </w:rPr>
            </w:pPr>
            <w:r>
              <w:rPr>
                <w:rFonts w:asciiTheme="minorHAnsi" w:hAnsiTheme="minorHAnsi" w:eastAsiaTheme="minorEastAsia" w:cstheme="minorBidi"/>
                <w:color w:val="000000" w:themeColor="text1"/>
                <w:sz w:val="21"/>
                <w:szCs w:val="21"/>
                <w:lang w:eastAsia="en-US"/>
                <w14:textFill>
                  <w14:solidFill>
                    <w14:schemeClr w14:val="tx1"/>
                  </w14:solidFill>
                </w14:textFill>
              </w:rPr>
              <w:t>V8</w:t>
            </w:r>
          </w:p>
        </w:tc>
        <w:tc>
          <w:tcPr>
            <w:tcW w:w="998" w:type="pct"/>
            <w:vAlign w:val="center"/>
          </w:tcPr>
          <w:p w14:paraId="7177AB29">
            <w:pPr>
              <w:autoSpaceDE/>
              <w:autoSpaceDN/>
              <w:adjustRightInd w:val="0"/>
              <w:snapToGrid w:val="0"/>
              <w:spacing w:line="240" w:lineRule="auto"/>
              <w:ind w:firstLine="0" w:firstLineChars="0"/>
              <w:jc w:val="center"/>
              <w:rPr>
                <w:rFonts w:asciiTheme="minorHAnsi" w:hAnsiTheme="minorHAnsi" w:eastAsiaTheme="minorEastAsia" w:cstheme="minorBidi"/>
                <w:color w:val="000000" w:themeColor="text1"/>
                <w:sz w:val="21"/>
                <w:szCs w:val="21"/>
                <w:lang w:eastAsia="en-US"/>
                <w14:textFill>
                  <w14:solidFill>
                    <w14:schemeClr w14:val="tx1"/>
                  </w14:solidFill>
                </w14:textFill>
              </w:rPr>
            </w:pPr>
            <w:r>
              <w:rPr>
                <w:rFonts w:asciiTheme="minorHAnsi" w:hAnsiTheme="minorHAnsi" w:eastAsiaTheme="minorEastAsia" w:cstheme="minorBidi"/>
                <w:color w:val="000000" w:themeColor="text1"/>
                <w:sz w:val="21"/>
                <w:szCs w:val="21"/>
                <w:lang w:eastAsia="en-US"/>
                <w14:textFill>
                  <w14:solidFill>
                    <w14:schemeClr w14:val="tx1"/>
                  </w14:solidFill>
                </w14:textFill>
              </w:rPr>
              <w:t>108°35′45.06"</w:t>
            </w:r>
          </w:p>
        </w:tc>
        <w:tc>
          <w:tcPr>
            <w:tcW w:w="998" w:type="pct"/>
            <w:vAlign w:val="center"/>
          </w:tcPr>
          <w:p w14:paraId="5A5A3050">
            <w:pPr>
              <w:autoSpaceDE/>
              <w:autoSpaceDN/>
              <w:adjustRightInd w:val="0"/>
              <w:snapToGrid w:val="0"/>
              <w:spacing w:line="240" w:lineRule="auto"/>
              <w:ind w:firstLine="0" w:firstLineChars="0"/>
              <w:jc w:val="center"/>
              <w:rPr>
                <w:rFonts w:asciiTheme="minorHAnsi" w:hAnsiTheme="minorHAnsi" w:eastAsiaTheme="minorEastAsia" w:cstheme="minorBidi"/>
                <w:color w:val="000000" w:themeColor="text1"/>
                <w:sz w:val="21"/>
                <w:szCs w:val="21"/>
                <w:lang w:eastAsia="en-US"/>
                <w14:textFill>
                  <w14:solidFill>
                    <w14:schemeClr w14:val="tx1"/>
                  </w14:solidFill>
                </w14:textFill>
              </w:rPr>
            </w:pPr>
            <w:r>
              <w:rPr>
                <w:rFonts w:asciiTheme="minorHAnsi" w:hAnsiTheme="minorHAnsi" w:eastAsiaTheme="minorEastAsia" w:cstheme="minorBidi"/>
                <w:color w:val="000000" w:themeColor="text1"/>
                <w:sz w:val="21"/>
                <w:szCs w:val="21"/>
                <w:lang w:eastAsia="en-US"/>
                <w14:textFill>
                  <w14:solidFill>
                    <w14:schemeClr w14:val="tx1"/>
                  </w14:solidFill>
                </w14:textFill>
              </w:rPr>
              <w:t>21°41′43.14"</w:t>
            </w:r>
          </w:p>
        </w:tc>
        <w:tc>
          <w:tcPr>
            <w:tcW w:w="1004" w:type="pct"/>
            <w:vMerge w:val="continue"/>
            <w:vAlign w:val="center"/>
          </w:tcPr>
          <w:p w14:paraId="2B9E1A46">
            <w:pPr>
              <w:autoSpaceDE/>
              <w:autoSpaceDN/>
              <w:adjustRightInd w:val="0"/>
              <w:snapToGrid w:val="0"/>
              <w:spacing w:line="240" w:lineRule="auto"/>
              <w:ind w:firstLine="420"/>
              <w:jc w:val="center"/>
              <w:rPr>
                <w:rFonts w:asciiTheme="minorHAnsi" w:hAnsiTheme="minorHAnsi" w:eastAsiaTheme="minorEastAsia" w:cstheme="minorBidi"/>
                <w:color w:val="000000" w:themeColor="text1"/>
                <w:sz w:val="21"/>
                <w:szCs w:val="21"/>
                <w:lang w:eastAsia="en-US"/>
                <w14:textFill>
                  <w14:solidFill>
                    <w14:schemeClr w14:val="tx1"/>
                  </w14:solidFill>
                </w14:textFill>
              </w:rPr>
            </w:pPr>
          </w:p>
        </w:tc>
      </w:tr>
      <w:tr w14:paraId="0DF1229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29" w:hRule="atLeast"/>
          <w:jc w:val="center"/>
        </w:trPr>
        <w:tc>
          <w:tcPr>
            <w:tcW w:w="1003" w:type="pct"/>
            <w:vAlign w:val="center"/>
          </w:tcPr>
          <w:p w14:paraId="26B08BDD">
            <w:pPr>
              <w:autoSpaceDE/>
              <w:autoSpaceDN/>
              <w:adjustRightInd w:val="0"/>
              <w:snapToGrid w:val="0"/>
              <w:spacing w:line="240" w:lineRule="auto"/>
              <w:ind w:firstLine="0" w:firstLineChars="0"/>
              <w:jc w:val="center"/>
              <w:rPr>
                <w:rFonts w:asciiTheme="minorHAnsi" w:hAnsiTheme="minorHAnsi" w:eastAsiaTheme="minorEastAsia" w:cstheme="minorBidi"/>
                <w:color w:val="000000" w:themeColor="text1"/>
                <w:sz w:val="21"/>
                <w:szCs w:val="21"/>
                <w:lang w:eastAsia="en-US"/>
                <w14:textFill>
                  <w14:solidFill>
                    <w14:schemeClr w14:val="tx1"/>
                  </w14:solidFill>
                </w14:textFill>
              </w:rPr>
            </w:pPr>
            <w:r>
              <w:rPr>
                <w:rFonts w:asciiTheme="minorHAnsi" w:hAnsiTheme="minorHAnsi" w:eastAsiaTheme="minorEastAsia" w:cstheme="minorBidi"/>
                <w:color w:val="000000" w:themeColor="text1"/>
                <w:sz w:val="21"/>
                <w:szCs w:val="21"/>
                <w:lang w:eastAsia="en-US"/>
                <w14:textFill>
                  <w14:solidFill>
                    <w14:schemeClr w14:val="tx1"/>
                  </w14:solidFill>
                </w14:textFill>
              </w:rPr>
              <w:t>12</w:t>
            </w:r>
          </w:p>
        </w:tc>
        <w:tc>
          <w:tcPr>
            <w:tcW w:w="997" w:type="pct"/>
            <w:vAlign w:val="center"/>
          </w:tcPr>
          <w:p w14:paraId="769CB26C">
            <w:pPr>
              <w:autoSpaceDE/>
              <w:autoSpaceDN/>
              <w:adjustRightInd w:val="0"/>
              <w:snapToGrid w:val="0"/>
              <w:spacing w:line="240" w:lineRule="auto"/>
              <w:ind w:firstLine="0" w:firstLineChars="0"/>
              <w:jc w:val="center"/>
              <w:rPr>
                <w:rFonts w:asciiTheme="minorHAnsi" w:hAnsiTheme="minorHAnsi" w:eastAsiaTheme="minorEastAsia" w:cstheme="minorBidi"/>
                <w:color w:val="000000" w:themeColor="text1"/>
                <w:sz w:val="21"/>
                <w:szCs w:val="21"/>
                <w:lang w:eastAsia="en-US"/>
                <w14:textFill>
                  <w14:solidFill>
                    <w14:schemeClr w14:val="tx1"/>
                  </w14:solidFill>
                </w14:textFill>
              </w:rPr>
            </w:pPr>
            <w:r>
              <w:rPr>
                <w:rFonts w:asciiTheme="minorHAnsi" w:hAnsiTheme="minorHAnsi" w:eastAsiaTheme="minorEastAsia" w:cstheme="minorBidi"/>
                <w:color w:val="000000" w:themeColor="text1"/>
                <w:sz w:val="21"/>
                <w:szCs w:val="21"/>
                <w:lang w:eastAsia="en-US"/>
                <w14:textFill>
                  <w14:solidFill>
                    <w14:schemeClr w14:val="tx1"/>
                  </w14:solidFill>
                </w14:textFill>
              </w:rPr>
              <w:t>V9</w:t>
            </w:r>
          </w:p>
        </w:tc>
        <w:tc>
          <w:tcPr>
            <w:tcW w:w="998" w:type="pct"/>
            <w:vAlign w:val="center"/>
          </w:tcPr>
          <w:p w14:paraId="0927B6D3">
            <w:pPr>
              <w:autoSpaceDE/>
              <w:autoSpaceDN/>
              <w:adjustRightInd w:val="0"/>
              <w:snapToGrid w:val="0"/>
              <w:spacing w:line="240" w:lineRule="auto"/>
              <w:ind w:firstLine="0" w:firstLineChars="0"/>
              <w:jc w:val="center"/>
              <w:rPr>
                <w:rFonts w:asciiTheme="minorHAnsi" w:hAnsiTheme="minorHAnsi" w:eastAsiaTheme="minorEastAsia" w:cstheme="minorBidi"/>
                <w:color w:val="000000" w:themeColor="text1"/>
                <w:sz w:val="21"/>
                <w:szCs w:val="21"/>
                <w:lang w:eastAsia="en-US"/>
                <w14:textFill>
                  <w14:solidFill>
                    <w14:schemeClr w14:val="tx1"/>
                  </w14:solidFill>
                </w14:textFill>
              </w:rPr>
            </w:pPr>
            <w:r>
              <w:rPr>
                <w:rFonts w:asciiTheme="minorHAnsi" w:hAnsiTheme="minorHAnsi" w:eastAsiaTheme="minorEastAsia" w:cstheme="minorBidi"/>
                <w:color w:val="000000" w:themeColor="text1"/>
                <w:sz w:val="21"/>
                <w:szCs w:val="21"/>
                <w:lang w:eastAsia="en-US"/>
                <w14:textFill>
                  <w14:solidFill>
                    <w14:schemeClr w14:val="tx1"/>
                  </w14:solidFill>
                </w14:textFill>
              </w:rPr>
              <w:t>108°33′40.68"</w:t>
            </w:r>
          </w:p>
        </w:tc>
        <w:tc>
          <w:tcPr>
            <w:tcW w:w="998" w:type="pct"/>
            <w:vAlign w:val="center"/>
          </w:tcPr>
          <w:p w14:paraId="33106136">
            <w:pPr>
              <w:autoSpaceDE/>
              <w:autoSpaceDN/>
              <w:adjustRightInd w:val="0"/>
              <w:snapToGrid w:val="0"/>
              <w:spacing w:line="240" w:lineRule="auto"/>
              <w:ind w:firstLine="0" w:firstLineChars="0"/>
              <w:jc w:val="center"/>
              <w:rPr>
                <w:rFonts w:asciiTheme="minorHAnsi" w:hAnsiTheme="minorHAnsi" w:eastAsiaTheme="minorEastAsia" w:cstheme="minorBidi"/>
                <w:color w:val="000000" w:themeColor="text1"/>
                <w:sz w:val="21"/>
                <w:szCs w:val="21"/>
                <w:lang w:eastAsia="en-US"/>
                <w14:textFill>
                  <w14:solidFill>
                    <w14:schemeClr w14:val="tx1"/>
                  </w14:solidFill>
                </w14:textFill>
              </w:rPr>
            </w:pPr>
            <w:r>
              <w:rPr>
                <w:rFonts w:asciiTheme="minorHAnsi" w:hAnsiTheme="minorHAnsi" w:eastAsiaTheme="minorEastAsia" w:cstheme="minorBidi"/>
                <w:color w:val="000000" w:themeColor="text1"/>
                <w:sz w:val="21"/>
                <w:szCs w:val="21"/>
                <w:lang w:eastAsia="en-US"/>
                <w14:textFill>
                  <w14:solidFill>
                    <w14:schemeClr w14:val="tx1"/>
                  </w14:solidFill>
                </w14:textFill>
              </w:rPr>
              <w:t>21°44′31.14"</w:t>
            </w:r>
          </w:p>
        </w:tc>
        <w:tc>
          <w:tcPr>
            <w:tcW w:w="1004" w:type="pct"/>
            <w:vMerge w:val="continue"/>
            <w:vAlign w:val="center"/>
          </w:tcPr>
          <w:p w14:paraId="09534FDF">
            <w:pPr>
              <w:autoSpaceDE/>
              <w:autoSpaceDN/>
              <w:adjustRightInd w:val="0"/>
              <w:snapToGrid w:val="0"/>
              <w:spacing w:line="240" w:lineRule="auto"/>
              <w:ind w:firstLine="420"/>
              <w:jc w:val="center"/>
              <w:rPr>
                <w:rFonts w:asciiTheme="minorHAnsi" w:hAnsiTheme="minorHAnsi" w:eastAsiaTheme="minorEastAsia" w:cstheme="minorBidi"/>
                <w:color w:val="000000" w:themeColor="text1"/>
                <w:sz w:val="21"/>
                <w:szCs w:val="21"/>
                <w:lang w:eastAsia="en-US"/>
                <w14:textFill>
                  <w14:solidFill>
                    <w14:schemeClr w14:val="tx1"/>
                  </w14:solidFill>
                </w14:textFill>
              </w:rPr>
            </w:pPr>
          </w:p>
        </w:tc>
      </w:tr>
    </w:tbl>
    <w:p w14:paraId="1FEE16E1">
      <w:pPr>
        <w:spacing w:before="78" w:beforeLines="25"/>
        <w:ind w:firstLine="199" w:firstLineChars="83"/>
        <w:rPr>
          <w:color w:val="000000" w:themeColor="text1"/>
          <w14:textFill>
            <w14:solidFill>
              <w14:schemeClr w14:val="tx1"/>
            </w14:solidFill>
          </w14:textFill>
        </w:rPr>
      </w:pPr>
      <w:r>
        <w:rPr>
          <w:rFonts w:hint="eastAsia"/>
          <w:color w:val="000000" w:themeColor="text1"/>
          <w14:textFill>
            <w14:solidFill>
              <w14:schemeClr w14:val="tx1"/>
            </w14:solidFill>
          </w14:textFill>
        </w:rPr>
        <mc:AlternateContent>
          <mc:Choice Requires="wps">
            <w:drawing>
              <wp:anchor distT="0" distB="0" distL="114300" distR="114300" simplePos="0" relativeHeight="251707392" behindDoc="0" locked="0" layoutInCell="1" allowOverlap="1">
                <wp:simplePos x="0" y="0"/>
                <wp:positionH relativeFrom="column">
                  <wp:posOffset>3322320</wp:posOffset>
                </wp:positionH>
                <wp:positionV relativeFrom="paragraph">
                  <wp:posOffset>1440180</wp:posOffset>
                </wp:positionV>
                <wp:extent cx="851535" cy="324485"/>
                <wp:effectExtent l="361950" t="266700" r="24765" b="18415"/>
                <wp:wrapNone/>
                <wp:docPr id="11" name="圆角矩形标注 11"/>
                <wp:cNvGraphicFramePr/>
                <a:graphic xmlns:a="http://schemas.openxmlformats.org/drawingml/2006/main">
                  <a:graphicData uri="http://schemas.microsoft.com/office/word/2010/wordprocessingShape">
                    <wps:wsp>
                      <wps:cNvSpPr/>
                      <wps:spPr>
                        <a:xfrm>
                          <a:off x="0" y="0"/>
                          <a:ext cx="851535" cy="324485"/>
                        </a:xfrm>
                        <a:prstGeom prst="wedgeRoundRectCallout">
                          <a:avLst>
                            <a:gd name="adj1" fmla="val -87882"/>
                            <a:gd name="adj2" fmla="val -122602"/>
                            <a:gd name="adj3" fmla="val 16667"/>
                          </a:avLst>
                        </a:prstGeom>
                        <a:solidFill>
                          <a:srgbClr val="C7EDCC"/>
                        </a:solidFill>
                        <a:ln w="12700" cap="flat" cmpd="sng" algn="ctr">
                          <a:solidFill>
                            <a:srgbClr val="000000"/>
                          </a:solidFill>
                          <a:prstDash val="solid"/>
                          <a:miter lim="800000"/>
                        </a:ln>
                      </wps:spPr>
                      <wps:txbx>
                        <w:txbxContent>
                          <w:p w14:paraId="018675B0">
                            <w:pPr>
                              <w:spacing w:line="240" w:lineRule="auto"/>
                              <w:ind w:firstLine="0" w:firstLineChars="0"/>
                              <w:rPr>
                                <w:b/>
                                <w:bCs/>
                                <w:color w:val="000000"/>
                              </w:rPr>
                            </w:pPr>
                            <w:r>
                              <w:rPr>
                                <w:rFonts w:hint="eastAsia"/>
                                <w:b/>
                                <w:bCs/>
                                <w:color w:val="000000"/>
                                <w:sz w:val="18"/>
                                <w:szCs w:val="18"/>
                              </w:rPr>
                              <w:t>拟建项目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261.6pt;margin-top:113.4pt;height:25.55pt;width:67.05pt;z-index:251707392;v-text-anchor:middle;mso-width-relative:page;mso-height-relative:page;" fillcolor="#C7EDCC" filled="t" stroked="t" coordsize="21600,21600" o:gfxdata="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" adj="-8183,-15682,14400">
                <v:fill on="t" focussize="0,0"/>
                <v:stroke weight="1pt" color="#000000" miterlimit="8" joinstyle="miter"/>
                <v:imagedata o:title=""/>
                <o:lock v:ext="edit" aspectratio="f"/>
                <v:textbox>
                  <w:txbxContent>
                    <w:p w14:paraId="018675B0">
                      <w:pPr>
                        <w:spacing w:line="240" w:lineRule="auto"/>
                        <w:ind w:firstLine="0" w:firstLineChars="0"/>
                        <w:rPr>
                          <w:b/>
                          <w:bCs/>
                          <w:color w:val="000000"/>
                        </w:rPr>
                      </w:pPr>
                      <w:r>
                        <w:rPr>
                          <w:rFonts w:hint="eastAsia"/>
                          <w:b/>
                          <w:bCs/>
                          <w:color w:val="000000"/>
                          <w:sz w:val="18"/>
                          <w:szCs w:val="18"/>
                        </w:rPr>
                        <w:t>拟建项目</w:t>
                      </w:r>
                    </w:p>
                  </w:txbxContent>
                </v:textbox>
              </v:shape>
            </w:pict>
          </mc:Fallback>
        </mc:AlternateContent>
      </w:r>
      <w:r>
        <w:rPr>
          <w:rFonts w:hint="eastAsia"/>
          <w:color w:val="000000" w:themeColor="text1"/>
          <w14:textFill>
            <w14:solidFill>
              <w14:schemeClr w14:val="tx1"/>
            </w14:solidFill>
          </w14:textFill>
        </w:rPr>
        <mc:AlternateContent>
          <mc:Choice Requires="wps">
            <w:drawing>
              <wp:anchor distT="0" distB="0" distL="114300" distR="114300" simplePos="0" relativeHeight="251706368" behindDoc="0" locked="0" layoutInCell="1" allowOverlap="1">
                <wp:simplePos x="0" y="0"/>
                <wp:positionH relativeFrom="column">
                  <wp:posOffset>2815590</wp:posOffset>
                </wp:positionH>
                <wp:positionV relativeFrom="paragraph">
                  <wp:posOffset>1057910</wp:posOffset>
                </wp:positionV>
                <wp:extent cx="221615" cy="200025"/>
                <wp:effectExtent l="38100" t="38100" r="0" b="66675"/>
                <wp:wrapNone/>
                <wp:docPr id="10" name="十字星 10"/>
                <wp:cNvGraphicFramePr/>
                <a:graphic xmlns:a="http://schemas.openxmlformats.org/drawingml/2006/main">
                  <a:graphicData uri="http://schemas.microsoft.com/office/word/2010/wordprocessingShape">
                    <wps:wsp>
                      <wps:cNvSpPr/>
                      <wps:spPr>
                        <a:xfrm>
                          <a:off x="0" y="0"/>
                          <a:ext cx="221615" cy="200025"/>
                        </a:xfrm>
                        <a:prstGeom prst="star4">
                          <a:avLst/>
                        </a:prstGeom>
                        <a:solidFill>
                          <a:srgbClr val="FF0000"/>
                        </a:solidFill>
                        <a:ln w="12700" cap="flat" cmpd="sng" algn="ctr">
                          <a:solidFill>
                            <a:srgbClr val="FF0000"/>
                          </a:solidFill>
                          <a:prstDash val="solid"/>
                          <a:miter lim="800000"/>
                        </a:ln>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87" type="#_x0000_t187" style="position:absolute;left:0pt;margin-left:221.7pt;margin-top:83.3pt;height:15.75pt;width:17.45pt;z-index:251706368;v-text-anchor:middle;mso-width-relative:page;mso-height-relative:page;" fillcolor="#FF0000" filled="t" stroked="t" coordsize="21600,21600" o:gfxdata="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LEdvQPaAAAACwEAAA8AAAAAAAAAAQAgAAAAIgAAAGRycy9kb3du&#10;cmV2LnhtbFBLAQIUABQAAAAIAIdO4kBlc5unbwIAAPkEAAAOAAAAAAAAAAEAIAAAACkBAABkcnMv&#10;ZTJvRG9jLnhtbFBLBQYAAAAABgAGAFkBAAAKBgAAAAA=&#10;" adj="8100">
                <v:fill on="t" focussize="0,0"/>
                <v:stroke weight="1pt" color="#FF0000" miterlimit="8" joinstyle="miter"/>
                <v:imagedata o:title=""/>
                <o:lock v:ext="edit" aspectratio="f"/>
              </v:shape>
            </w:pict>
          </mc:Fallback>
        </mc:AlternateContent>
      </w:r>
      <w:r>
        <w:rPr>
          <w:rFonts w:hint="eastAsia"/>
          <w:color w:val="000000" w:themeColor="text1"/>
          <w14:textFill>
            <w14:solidFill>
              <w14:schemeClr w14:val="tx1"/>
            </w14:solidFill>
          </w14:textFill>
        </w:rPr>
        <w:drawing>
          <wp:inline distT="0" distB="0" distL="0" distR="0">
            <wp:extent cx="5715000" cy="4048125"/>
            <wp:effectExtent l="0" t="0" r="0" b="9525"/>
            <wp:docPr id="9" name="图片 9" descr="3.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3.8.1-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a:xfrm>
                      <a:off x="0" y="0"/>
                      <a:ext cx="5715000" cy="4048125"/>
                    </a:xfrm>
                    <a:prstGeom prst="rect">
                      <a:avLst/>
                    </a:prstGeom>
                    <a:noFill/>
                    <a:ln>
                      <a:noFill/>
                    </a:ln>
                    <a:effectLst/>
                  </pic:spPr>
                </pic:pic>
              </a:graphicData>
            </a:graphic>
          </wp:inline>
        </w:drawing>
      </w:r>
    </w:p>
    <w:p w14:paraId="3AFA8B28">
      <w:pPr>
        <w:pStyle w:val="8"/>
        <w:rPr>
          <w:color w:val="000000" w:themeColor="text1"/>
          <w14:textFill>
            <w14:solidFill>
              <w14:schemeClr w14:val="tx1"/>
            </w14:solidFill>
          </w14:textFill>
        </w:rPr>
      </w:pPr>
      <w:r>
        <w:rPr>
          <w:color w:val="000000" w:themeColor="text1"/>
          <w14:textFill>
            <w14:solidFill>
              <w14:schemeClr w14:val="tx1"/>
            </w14:solidFill>
          </w14:textFill>
        </w:rPr>
        <w:t>海流、潮位观测站位布设图</w:t>
      </w:r>
    </w:p>
    <w:p w14:paraId="7BCAA0B6">
      <w:pPr>
        <w:pStyle w:val="6"/>
        <w:rPr>
          <w:b/>
          <w:color w:val="000000" w:themeColor="text1"/>
          <w14:textFill>
            <w14:solidFill>
              <w14:schemeClr w14:val="tx1"/>
            </w14:solidFill>
          </w14:textFill>
        </w:rPr>
      </w:pPr>
      <w:r>
        <w:rPr>
          <w:rFonts w:hint="eastAsia"/>
          <w:b/>
          <w:color w:val="000000" w:themeColor="text1"/>
          <w14:textFill>
            <w14:solidFill>
              <w14:schemeClr w14:val="tx1"/>
            </w14:solidFill>
          </w14:textFill>
        </w:rPr>
        <w:t>潮位分析</w:t>
      </w:r>
    </w:p>
    <w:p w14:paraId="041FBE92">
      <w:pPr>
        <w:ind w:firstLine="480"/>
        <w:rPr>
          <w:color w:val="000000" w:themeColor="text1"/>
          <w:kern w:val="0"/>
          <w:szCs w:val="20"/>
          <w14:textFill>
            <w14:solidFill>
              <w14:schemeClr w14:val="tx1"/>
            </w14:solidFill>
          </w14:textFill>
        </w:rPr>
      </w:pPr>
      <w:r>
        <w:rPr>
          <w:color w:val="000000" w:themeColor="text1"/>
          <w:kern w:val="0"/>
          <w:szCs w:val="20"/>
          <w14:textFill>
            <w14:solidFill>
              <w14:schemeClr w14:val="tx1"/>
            </w14:solidFill>
          </w14:textFill>
        </w:rPr>
        <w:t>1、潮位过程线</w:t>
      </w:r>
    </w:p>
    <w:p w14:paraId="64150F01">
      <w:pPr>
        <w:ind w:firstLine="480"/>
        <w:rPr>
          <w:color w:val="000000" w:themeColor="text1"/>
          <w:kern w:val="0"/>
          <w:szCs w:val="20"/>
          <w14:textFill>
            <w14:solidFill>
              <w14:schemeClr w14:val="tx1"/>
            </w14:solidFill>
          </w14:textFill>
        </w:rPr>
      </w:pPr>
      <w:r>
        <w:rPr>
          <w:color w:val="000000" w:themeColor="text1"/>
          <w:kern w:val="0"/>
          <w:szCs w:val="20"/>
          <w14:textFill>
            <w14:solidFill>
              <w14:schemeClr w14:val="tx1"/>
            </w14:solidFill>
          </w14:textFill>
        </w:rPr>
        <w:t>利用临时H1~H3潮位站实测潮位资料，绘制了该处的潮位过程曲线，其中高度基准面采用当地理论最低基准高程。从潮位过程曲线可以看出：在一个太阴日内，测区大多数天为出现1次高潮和1次低潮（全日潮），少数天为两次高潮和两次低潮（日潮），由此可见，测区潮汐类型以全日潮为主。</w:t>
      </w:r>
    </w:p>
    <w:p w14:paraId="29B0949D">
      <w:pPr>
        <w:spacing w:line="240" w:lineRule="auto"/>
        <w:ind w:firstLine="0" w:firstLineChars="0"/>
        <w:jc w:val="center"/>
        <w:rPr>
          <w:color w:val="000000" w:themeColor="text1"/>
          <w:kern w:val="0"/>
          <w:szCs w:val="20"/>
          <w14:textFill>
            <w14:solidFill>
              <w14:schemeClr w14:val="tx1"/>
            </w14:solidFill>
          </w14:textFill>
        </w:rPr>
      </w:pPr>
      <w:r>
        <w:rPr>
          <w:color w:val="000000" w:themeColor="text1"/>
          <w:kern w:val="0"/>
          <w:szCs w:val="20"/>
          <w14:textFill>
            <w14:solidFill>
              <w14:schemeClr w14:val="tx1"/>
            </w14:solidFill>
          </w14:textFill>
        </w:rPr>
        <w:drawing>
          <wp:inline distT="0" distB="0" distL="0" distR="0">
            <wp:extent cx="5629275" cy="2571750"/>
            <wp:effectExtent l="0" t="0" r="9525"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a:xfrm>
                      <a:off x="0" y="0"/>
                      <a:ext cx="5629275" cy="2571750"/>
                    </a:xfrm>
                    <a:prstGeom prst="rect">
                      <a:avLst/>
                    </a:prstGeom>
                    <a:noFill/>
                    <a:ln>
                      <a:noFill/>
                    </a:ln>
                    <a:effectLst/>
                  </pic:spPr>
                </pic:pic>
              </a:graphicData>
            </a:graphic>
          </wp:inline>
        </w:drawing>
      </w:r>
    </w:p>
    <w:p w14:paraId="04E87C53">
      <w:pPr>
        <w:spacing w:line="240" w:lineRule="auto"/>
        <w:ind w:firstLine="0" w:firstLineChars="0"/>
        <w:jc w:val="center"/>
        <w:rPr>
          <w:b/>
          <w:bCs/>
          <w:color w:val="000000" w:themeColor="text1"/>
          <w:kern w:val="0"/>
          <w:szCs w:val="20"/>
          <w14:textFill>
            <w14:solidFill>
              <w14:schemeClr w14:val="tx1"/>
            </w14:solidFill>
          </w14:textFill>
        </w:rPr>
      </w:pPr>
      <w:r>
        <w:rPr>
          <w:b/>
          <w:bCs/>
          <w:color w:val="000000" w:themeColor="text1"/>
          <w:kern w:val="0"/>
          <w:szCs w:val="20"/>
          <w14:textFill>
            <w14:solidFill>
              <w14:schemeClr w14:val="tx1"/>
            </w14:solidFill>
          </w14:textFill>
        </w:rPr>
        <w:t>图3.</w:t>
      </w:r>
      <w:r>
        <w:rPr>
          <w:rFonts w:hint="eastAsia"/>
          <w:b/>
          <w:bCs/>
          <w:color w:val="000000" w:themeColor="text1"/>
          <w:kern w:val="0"/>
          <w:szCs w:val="20"/>
          <w14:textFill>
            <w14:solidFill>
              <w14:schemeClr w14:val="tx1"/>
            </w14:solidFill>
          </w14:textFill>
        </w:rPr>
        <w:t xml:space="preserve">7-2  </w:t>
      </w:r>
      <w:r>
        <w:rPr>
          <w:b/>
          <w:bCs/>
          <w:color w:val="000000" w:themeColor="text1"/>
          <w:kern w:val="0"/>
          <w:szCs w:val="20"/>
          <w14:textFill>
            <w14:solidFill>
              <w14:schemeClr w14:val="tx1"/>
            </w14:solidFill>
          </w14:textFill>
        </w:rPr>
        <w:t>H1潮位站潮位过程曲线</w:t>
      </w:r>
    </w:p>
    <w:p w14:paraId="1E3758F2">
      <w:pPr>
        <w:spacing w:line="240" w:lineRule="auto"/>
        <w:ind w:firstLine="0" w:firstLineChars="0"/>
        <w:jc w:val="center"/>
        <w:rPr>
          <w:b/>
          <w:bCs/>
          <w:color w:val="000000" w:themeColor="text1"/>
          <w:kern w:val="0"/>
          <w:szCs w:val="20"/>
          <w14:textFill>
            <w14:solidFill>
              <w14:schemeClr w14:val="tx1"/>
            </w14:solidFill>
          </w14:textFill>
        </w:rPr>
      </w:pPr>
      <w:r>
        <w:rPr>
          <w:color w:val="000000" w:themeColor="text1"/>
          <w:kern w:val="0"/>
          <w:szCs w:val="20"/>
          <w14:textFill>
            <w14:solidFill>
              <w14:schemeClr w14:val="tx1"/>
            </w14:solidFill>
          </w14:textFill>
        </w:rPr>
        <w:drawing>
          <wp:inline distT="0" distB="0" distL="0" distR="0">
            <wp:extent cx="5667375" cy="2438400"/>
            <wp:effectExtent l="0" t="0" r="9525"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a:xfrm>
                      <a:off x="0" y="0"/>
                      <a:ext cx="5667375" cy="2438400"/>
                    </a:xfrm>
                    <a:prstGeom prst="rect">
                      <a:avLst/>
                    </a:prstGeom>
                    <a:noFill/>
                    <a:ln>
                      <a:noFill/>
                    </a:ln>
                    <a:effectLst/>
                  </pic:spPr>
                </pic:pic>
              </a:graphicData>
            </a:graphic>
          </wp:inline>
        </w:drawing>
      </w:r>
      <w:r>
        <w:rPr>
          <w:b/>
          <w:bCs/>
          <w:color w:val="000000" w:themeColor="text1"/>
          <w:kern w:val="0"/>
          <w:szCs w:val="20"/>
          <w14:textFill>
            <w14:solidFill>
              <w14:schemeClr w14:val="tx1"/>
            </w14:solidFill>
          </w14:textFill>
        </w:rPr>
        <w:t>图3.</w:t>
      </w:r>
      <w:r>
        <w:rPr>
          <w:rFonts w:hint="eastAsia"/>
          <w:b/>
          <w:bCs/>
          <w:color w:val="000000" w:themeColor="text1"/>
          <w:kern w:val="0"/>
          <w:szCs w:val="20"/>
          <w14:textFill>
            <w14:solidFill>
              <w14:schemeClr w14:val="tx1"/>
            </w14:solidFill>
          </w14:textFill>
        </w:rPr>
        <w:t xml:space="preserve">7-3  </w:t>
      </w:r>
      <w:r>
        <w:rPr>
          <w:b/>
          <w:bCs/>
          <w:color w:val="000000" w:themeColor="text1"/>
          <w:kern w:val="0"/>
          <w:szCs w:val="20"/>
          <w14:textFill>
            <w14:solidFill>
              <w14:schemeClr w14:val="tx1"/>
            </w14:solidFill>
          </w14:textFill>
        </w:rPr>
        <w:t>H2潮位站潮位过程曲线</w:t>
      </w:r>
    </w:p>
    <w:p w14:paraId="64312AEB">
      <w:pPr>
        <w:spacing w:line="240" w:lineRule="auto"/>
        <w:ind w:firstLine="0" w:firstLineChars="0"/>
        <w:jc w:val="center"/>
        <w:rPr>
          <w:color w:val="000000" w:themeColor="text1"/>
          <w:kern w:val="0"/>
          <w:szCs w:val="20"/>
          <w14:textFill>
            <w14:solidFill>
              <w14:schemeClr w14:val="tx1"/>
            </w14:solidFill>
          </w14:textFill>
        </w:rPr>
      </w:pPr>
      <w:r>
        <w:rPr>
          <w:color w:val="000000" w:themeColor="text1"/>
          <w:kern w:val="0"/>
          <w:szCs w:val="20"/>
          <w14:textFill>
            <w14:solidFill>
              <w14:schemeClr w14:val="tx1"/>
            </w14:solidFill>
          </w14:textFill>
        </w:rPr>
        <w:drawing>
          <wp:inline distT="0" distB="0" distL="0" distR="0">
            <wp:extent cx="5629275" cy="2276475"/>
            <wp:effectExtent l="0" t="0" r="9525" b="9525"/>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a:xfrm>
                      <a:off x="0" y="0"/>
                      <a:ext cx="5629275" cy="2276475"/>
                    </a:xfrm>
                    <a:prstGeom prst="rect">
                      <a:avLst/>
                    </a:prstGeom>
                    <a:noFill/>
                    <a:ln>
                      <a:noFill/>
                    </a:ln>
                    <a:effectLst/>
                  </pic:spPr>
                </pic:pic>
              </a:graphicData>
            </a:graphic>
          </wp:inline>
        </w:drawing>
      </w:r>
    </w:p>
    <w:p w14:paraId="08F6D900">
      <w:pPr>
        <w:spacing w:line="240" w:lineRule="auto"/>
        <w:ind w:firstLine="0" w:firstLineChars="0"/>
        <w:jc w:val="center"/>
        <w:rPr>
          <w:b/>
          <w:bCs/>
          <w:color w:val="000000" w:themeColor="text1"/>
          <w:kern w:val="0"/>
          <w:szCs w:val="20"/>
          <w14:textFill>
            <w14:solidFill>
              <w14:schemeClr w14:val="tx1"/>
            </w14:solidFill>
          </w14:textFill>
        </w:rPr>
      </w:pPr>
      <w:r>
        <w:rPr>
          <w:b/>
          <w:bCs/>
          <w:color w:val="000000" w:themeColor="text1"/>
          <w:kern w:val="0"/>
          <w:szCs w:val="20"/>
          <w14:textFill>
            <w14:solidFill>
              <w14:schemeClr w14:val="tx1"/>
            </w14:solidFill>
          </w14:textFill>
        </w:rPr>
        <w:t>图3.</w:t>
      </w:r>
      <w:r>
        <w:rPr>
          <w:rFonts w:hint="eastAsia"/>
          <w:b/>
          <w:bCs/>
          <w:color w:val="000000" w:themeColor="text1"/>
          <w:kern w:val="0"/>
          <w:szCs w:val="20"/>
          <w14:textFill>
            <w14:solidFill>
              <w14:schemeClr w14:val="tx1"/>
            </w14:solidFill>
          </w14:textFill>
        </w:rPr>
        <w:t xml:space="preserve">7-4  </w:t>
      </w:r>
      <w:r>
        <w:rPr>
          <w:b/>
          <w:bCs/>
          <w:color w:val="000000" w:themeColor="text1"/>
          <w:kern w:val="0"/>
          <w:szCs w:val="20"/>
          <w14:textFill>
            <w14:solidFill>
              <w14:schemeClr w14:val="tx1"/>
            </w14:solidFill>
          </w14:textFill>
        </w:rPr>
        <w:t>H3潮位站潮位过程曲线</w:t>
      </w:r>
    </w:p>
    <w:p w14:paraId="22E0DF05">
      <w:pPr>
        <w:adjustRightInd w:val="0"/>
        <w:ind w:firstLine="480"/>
        <w:rPr>
          <w:color w:val="000000" w:themeColor="text1"/>
          <w:kern w:val="0"/>
          <w:szCs w:val="20"/>
          <w14:textFill>
            <w14:solidFill>
              <w14:schemeClr w14:val="tx1"/>
            </w14:solidFill>
          </w14:textFill>
        </w:rPr>
      </w:pPr>
      <w:r>
        <w:rPr>
          <w:color w:val="000000" w:themeColor="text1"/>
          <w:kern w:val="0"/>
          <w:szCs w:val="20"/>
          <w14:textFill>
            <w14:solidFill>
              <w14:schemeClr w14:val="tx1"/>
            </w14:solidFill>
          </w14:textFill>
        </w:rPr>
        <w:t>2、实测潮汐特征值</w:t>
      </w:r>
    </w:p>
    <w:p w14:paraId="39E70C63">
      <w:pPr>
        <w:adjustRightInd w:val="0"/>
        <w:ind w:firstLine="480"/>
        <w:rPr>
          <w:color w:val="000000" w:themeColor="text1"/>
          <w:kern w:val="0"/>
          <w:szCs w:val="20"/>
          <w14:textFill>
            <w14:solidFill>
              <w14:schemeClr w14:val="tx1"/>
            </w14:solidFill>
          </w14:textFill>
        </w:rPr>
      </w:pPr>
      <w:r>
        <w:rPr>
          <w:color w:val="000000" w:themeColor="text1"/>
          <w:kern w:val="0"/>
          <w:szCs w:val="20"/>
          <w14:textFill>
            <w14:solidFill>
              <w14:schemeClr w14:val="tx1"/>
            </w14:solidFill>
          </w14:textFill>
        </w:rPr>
        <w:t>为进一步了解测区的潮位变化特征，根据临时潮位站测得的实测潮位资料，统计得到该处的实测潮汐特征，由此可见：</w:t>
      </w:r>
    </w:p>
    <w:p w14:paraId="31BEFBAC">
      <w:pPr>
        <w:adjustRightInd w:val="0"/>
        <w:ind w:firstLine="480"/>
        <w:rPr>
          <w:color w:val="000000" w:themeColor="text1"/>
          <w:kern w:val="0"/>
          <w:szCs w:val="20"/>
          <w14:textFill>
            <w14:solidFill>
              <w14:schemeClr w14:val="tx1"/>
            </w14:solidFill>
          </w14:textFill>
        </w:rPr>
      </w:pPr>
      <w:r>
        <w:rPr>
          <w:rFonts w:hint="eastAsia"/>
          <w:color w:val="000000" w:themeColor="text1"/>
          <w:kern w:val="0"/>
          <w:szCs w:val="20"/>
          <w14:textFill>
            <w14:solidFill>
              <w14:schemeClr w14:val="tx1"/>
            </w14:solidFill>
          </w14:textFill>
        </w:rPr>
        <w:t>（</w:t>
      </w:r>
      <w:r>
        <w:rPr>
          <w:color w:val="000000" w:themeColor="text1"/>
          <w:kern w:val="0"/>
          <w:szCs w:val="20"/>
          <w14:textFill>
            <w14:solidFill>
              <w14:schemeClr w14:val="tx1"/>
            </w14:solidFill>
          </w14:textFill>
        </w:rPr>
        <w:t>1）临时潮位站H1、H2、H3的短期平均海平面分别为263cm、265cm、268cm；</w:t>
      </w:r>
    </w:p>
    <w:p w14:paraId="4F341476">
      <w:pPr>
        <w:adjustRightInd w:val="0"/>
        <w:ind w:firstLine="480"/>
        <w:rPr>
          <w:color w:val="000000" w:themeColor="text1"/>
          <w:kern w:val="0"/>
          <w:szCs w:val="20"/>
          <w14:textFill>
            <w14:solidFill>
              <w14:schemeClr w14:val="tx1"/>
            </w14:solidFill>
          </w14:textFill>
        </w:rPr>
      </w:pPr>
      <w:r>
        <w:rPr>
          <w:rFonts w:hint="eastAsia"/>
          <w:color w:val="000000" w:themeColor="text1"/>
          <w:kern w:val="0"/>
          <w:szCs w:val="20"/>
          <w14:textFill>
            <w14:solidFill>
              <w14:schemeClr w14:val="tx1"/>
            </w14:solidFill>
          </w14:textFill>
        </w:rPr>
        <w:t>（</w:t>
      </w:r>
      <w:r>
        <w:rPr>
          <w:color w:val="000000" w:themeColor="text1"/>
          <w:kern w:val="0"/>
          <w:szCs w:val="20"/>
          <w14:textFill>
            <w14:solidFill>
              <w14:schemeClr w14:val="tx1"/>
            </w14:solidFill>
          </w14:textFill>
        </w:rPr>
        <w:t>2）临时潮位站H1、H2、H3的最高潮位分别为467cm、468cm、470cm。最低潮位分别为58cm、59cm、30cm；</w:t>
      </w:r>
    </w:p>
    <w:p w14:paraId="561DCEC0">
      <w:pPr>
        <w:adjustRightInd w:val="0"/>
        <w:ind w:firstLine="480"/>
        <w:rPr>
          <w:color w:val="000000" w:themeColor="text1"/>
          <w:kern w:val="0"/>
          <w:szCs w:val="20"/>
          <w14:textFill>
            <w14:solidFill>
              <w14:schemeClr w14:val="tx1"/>
            </w14:solidFill>
          </w14:textFill>
        </w:rPr>
      </w:pPr>
      <w:r>
        <w:rPr>
          <w:rFonts w:hint="eastAsia"/>
          <w:color w:val="000000" w:themeColor="text1"/>
          <w:kern w:val="0"/>
          <w:szCs w:val="20"/>
          <w14:textFill>
            <w14:solidFill>
              <w14:schemeClr w14:val="tx1"/>
            </w14:solidFill>
          </w14:textFill>
        </w:rPr>
        <w:t>（</w:t>
      </w:r>
      <w:r>
        <w:rPr>
          <w:color w:val="000000" w:themeColor="text1"/>
          <w:kern w:val="0"/>
          <w:szCs w:val="20"/>
          <w14:textFill>
            <w14:solidFill>
              <w14:schemeClr w14:val="tx1"/>
            </w14:solidFill>
          </w14:textFill>
        </w:rPr>
        <w:t>3）临时潮位站H1、H2、H3平均高潮位467cm、468cm、470cm，平均低潮位132cm、</w:t>
      </w:r>
      <w:r>
        <w:rPr>
          <w:rFonts w:hint="eastAsia"/>
          <w:color w:val="000000" w:themeColor="text1"/>
          <w:kern w:val="0"/>
          <w:szCs w:val="20"/>
          <w14:textFill>
            <w14:solidFill>
              <w14:schemeClr w14:val="tx1"/>
            </w14:solidFill>
          </w14:textFill>
        </w:rPr>
        <w:t>135cm、137cm。</w:t>
      </w:r>
    </w:p>
    <w:p w14:paraId="349083EE">
      <w:pPr>
        <w:adjustRightInd w:val="0"/>
        <w:ind w:firstLine="480"/>
        <w:rPr>
          <w:color w:val="000000" w:themeColor="text1"/>
          <w:kern w:val="0"/>
          <w:szCs w:val="20"/>
          <w14:textFill>
            <w14:solidFill>
              <w14:schemeClr w14:val="tx1"/>
            </w14:solidFill>
          </w14:textFill>
        </w:rPr>
      </w:pPr>
      <w:r>
        <w:rPr>
          <w:rFonts w:hint="eastAsia"/>
          <w:color w:val="000000" w:themeColor="text1"/>
          <w:kern w:val="0"/>
          <w:szCs w:val="20"/>
          <w14:textFill>
            <w14:solidFill>
              <w14:schemeClr w14:val="tx1"/>
            </w14:solidFill>
          </w14:textFill>
        </w:rPr>
        <w:t>（4）临时潮位站H1、H2、H3的最大潮差分别为409cm、409cm、410cm，最小潮差</w:t>
      </w:r>
      <w:r>
        <w:rPr>
          <w:color w:val="000000" w:themeColor="text1"/>
          <w:kern w:val="0"/>
          <w:szCs w:val="20"/>
          <w14:textFill>
            <w14:solidFill>
              <w14:schemeClr w14:val="tx1"/>
            </w14:solidFill>
          </w14:textFill>
        </w:rPr>
        <w:t>分别为16cm、15cm、18cm，平均潮差为分别260cm、260cm、261cm。</w:t>
      </w:r>
    </w:p>
    <w:p w14:paraId="4047B7B0">
      <w:pPr>
        <w:pStyle w:val="7"/>
        <w:rPr>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 xml:space="preserve"> 测区潮汐特征值列表</w:t>
      </w:r>
    </w:p>
    <w:tbl>
      <w:tblPr>
        <w:tblStyle w:val="217"/>
        <w:tblW w:w="5029"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0" w:type="dxa"/>
          <w:bottom w:w="0" w:type="dxa"/>
          <w:right w:w="0" w:type="dxa"/>
        </w:tblCellMar>
      </w:tblPr>
      <w:tblGrid>
        <w:gridCol w:w="886"/>
        <w:gridCol w:w="1991"/>
        <w:gridCol w:w="1823"/>
        <w:gridCol w:w="1821"/>
        <w:gridCol w:w="1863"/>
      </w:tblGrid>
      <w:tr w14:paraId="7C3029E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64" w:hRule="atLeast"/>
          <w:tblHeader/>
          <w:jc w:val="center"/>
        </w:trPr>
        <w:tc>
          <w:tcPr>
            <w:tcW w:w="1715" w:type="pct"/>
            <w:gridSpan w:val="2"/>
            <w:vMerge w:val="restart"/>
            <w:vAlign w:val="center"/>
          </w:tcPr>
          <w:p w14:paraId="5E2BD80E">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项目</w:t>
            </w:r>
          </w:p>
        </w:tc>
        <w:tc>
          <w:tcPr>
            <w:tcW w:w="3284" w:type="pct"/>
            <w:gridSpan w:val="3"/>
            <w:vAlign w:val="center"/>
          </w:tcPr>
          <w:p w14:paraId="406852F9">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特征值（cm）</w:t>
            </w:r>
          </w:p>
        </w:tc>
      </w:tr>
      <w:tr w14:paraId="305FFFE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2" w:hRule="atLeast"/>
          <w:tblHeader/>
          <w:jc w:val="center"/>
        </w:trPr>
        <w:tc>
          <w:tcPr>
            <w:tcW w:w="1715" w:type="pct"/>
            <w:gridSpan w:val="2"/>
            <w:vMerge w:val="continue"/>
            <w:vAlign w:val="center"/>
          </w:tcPr>
          <w:p w14:paraId="62569613">
            <w:pPr>
              <w:spacing w:line="240" w:lineRule="auto"/>
              <w:ind w:firstLine="0" w:firstLineChars="0"/>
              <w:jc w:val="center"/>
              <w:rPr>
                <w:color w:val="000000" w:themeColor="text1"/>
                <w:kern w:val="0"/>
                <w:sz w:val="21"/>
                <w:szCs w:val="21"/>
                <w14:textFill>
                  <w14:solidFill>
                    <w14:schemeClr w14:val="tx1"/>
                  </w14:solidFill>
                </w14:textFill>
              </w:rPr>
            </w:pPr>
          </w:p>
        </w:tc>
        <w:tc>
          <w:tcPr>
            <w:tcW w:w="1087" w:type="pct"/>
            <w:vAlign w:val="center"/>
          </w:tcPr>
          <w:p w14:paraId="6859B6BB">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临时潮位站H1</w:t>
            </w:r>
          </w:p>
        </w:tc>
        <w:tc>
          <w:tcPr>
            <w:tcW w:w="1086" w:type="pct"/>
            <w:vAlign w:val="center"/>
          </w:tcPr>
          <w:p w14:paraId="7E9A2713">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临时潮位站H2</w:t>
            </w:r>
          </w:p>
        </w:tc>
        <w:tc>
          <w:tcPr>
            <w:tcW w:w="1110" w:type="pct"/>
            <w:vAlign w:val="center"/>
          </w:tcPr>
          <w:p w14:paraId="6D150050">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临时潮位站H3</w:t>
            </w:r>
          </w:p>
        </w:tc>
      </w:tr>
      <w:tr w14:paraId="5B90766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2" w:hRule="atLeast"/>
          <w:jc w:val="center"/>
        </w:trPr>
        <w:tc>
          <w:tcPr>
            <w:tcW w:w="528" w:type="pct"/>
            <w:vMerge w:val="restart"/>
            <w:vAlign w:val="center"/>
          </w:tcPr>
          <w:p w14:paraId="486A465C">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潮位</w:t>
            </w:r>
          </w:p>
        </w:tc>
        <w:tc>
          <w:tcPr>
            <w:tcW w:w="1187" w:type="pct"/>
            <w:vAlign w:val="center"/>
          </w:tcPr>
          <w:p w14:paraId="1507EC06">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最高潮位</w:t>
            </w:r>
          </w:p>
        </w:tc>
        <w:tc>
          <w:tcPr>
            <w:tcW w:w="1087" w:type="pct"/>
            <w:vAlign w:val="center"/>
          </w:tcPr>
          <w:p w14:paraId="0B29D539">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467</w:t>
            </w:r>
          </w:p>
        </w:tc>
        <w:tc>
          <w:tcPr>
            <w:tcW w:w="1086" w:type="pct"/>
            <w:vAlign w:val="center"/>
          </w:tcPr>
          <w:p w14:paraId="48FE69F1">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468</w:t>
            </w:r>
          </w:p>
        </w:tc>
        <w:tc>
          <w:tcPr>
            <w:tcW w:w="1110" w:type="pct"/>
            <w:vAlign w:val="center"/>
          </w:tcPr>
          <w:p w14:paraId="6F706C2F">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470</w:t>
            </w:r>
          </w:p>
        </w:tc>
      </w:tr>
      <w:tr w14:paraId="2A39A4F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24" w:hRule="atLeast"/>
          <w:jc w:val="center"/>
        </w:trPr>
        <w:tc>
          <w:tcPr>
            <w:tcW w:w="528" w:type="pct"/>
            <w:vMerge w:val="continue"/>
            <w:vAlign w:val="center"/>
          </w:tcPr>
          <w:p w14:paraId="01FF8D5C">
            <w:pPr>
              <w:spacing w:line="240" w:lineRule="auto"/>
              <w:ind w:firstLine="0" w:firstLineChars="0"/>
              <w:jc w:val="center"/>
              <w:rPr>
                <w:color w:val="000000" w:themeColor="text1"/>
                <w:kern w:val="0"/>
                <w:sz w:val="21"/>
                <w:szCs w:val="21"/>
                <w14:textFill>
                  <w14:solidFill>
                    <w14:schemeClr w14:val="tx1"/>
                  </w14:solidFill>
                </w14:textFill>
              </w:rPr>
            </w:pPr>
          </w:p>
        </w:tc>
        <w:tc>
          <w:tcPr>
            <w:tcW w:w="1187" w:type="pct"/>
            <w:vAlign w:val="center"/>
          </w:tcPr>
          <w:p w14:paraId="323F9112">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最低潮位</w:t>
            </w:r>
          </w:p>
        </w:tc>
        <w:tc>
          <w:tcPr>
            <w:tcW w:w="1087" w:type="pct"/>
            <w:vAlign w:val="center"/>
          </w:tcPr>
          <w:p w14:paraId="423865DB">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58</w:t>
            </w:r>
          </w:p>
        </w:tc>
        <w:tc>
          <w:tcPr>
            <w:tcW w:w="1086" w:type="pct"/>
            <w:vAlign w:val="center"/>
          </w:tcPr>
          <w:p w14:paraId="311ED129">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59</w:t>
            </w:r>
          </w:p>
        </w:tc>
        <w:tc>
          <w:tcPr>
            <w:tcW w:w="1110" w:type="pct"/>
            <w:vAlign w:val="center"/>
          </w:tcPr>
          <w:p w14:paraId="207DB206">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30</w:t>
            </w:r>
          </w:p>
        </w:tc>
      </w:tr>
      <w:tr w14:paraId="63C2A7D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6" w:hRule="atLeast"/>
          <w:jc w:val="center"/>
        </w:trPr>
        <w:tc>
          <w:tcPr>
            <w:tcW w:w="528" w:type="pct"/>
            <w:vMerge w:val="continue"/>
            <w:vAlign w:val="center"/>
          </w:tcPr>
          <w:p w14:paraId="1969E067">
            <w:pPr>
              <w:spacing w:line="240" w:lineRule="auto"/>
              <w:ind w:firstLine="0" w:firstLineChars="0"/>
              <w:jc w:val="center"/>
              <w:rPr>
                <w:color w:val="000000" w:themeColor="text1"/>
                <w:kern w:val="0"/>
                <w:sz w:val="21"/>
                <w:szCs w:val="21"/>
                <w14:textFill>
                  <w14:solidFill>
                    <w14:schemeClr w14:val="tx1"/>
                  </w14:solidFill>
                </w14:textFill>
              </w:rPr>
            </w:pPr>
          </w:p>
        </w:tc>
        <w:tc>
          <w:tcPr>
            <w:tcW w:w="1187" w:type="pct"/>
            <w:vAlign w:val="center"/>
          </w:tcPr>
          <w:p w14:paraId="0143F889">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平均高潮位</w:t>
            </w:r>
          </w:p>
        </w:tc>
        <w:tc>
          <w:tcPr>
            <w:tcW w:w="1087" w:type="pct"/>
            <w:vAlign w:val="center"/>
          </w:tcPr>
          <w:p w14:paraId="189EF6CF">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393</w:t>
            </w:r>
          </w:p>
        </w:tc>
        <w:tc>
          <w:tcPr>
            <w:tcW w:w="1086" w:type="pct"/>
            <w:vAlign w:val="center"/>
          </w:tcPr>
          <w:p w14:paraId="745F8F8F">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395</w:t>
            </w:r>
          </w:p>
        </w:tc>
        <w:tc>
          <w:tcPr>
            <w:tcW w:w="1110" w:type="pct"/>
            <w:vAlign w:val="center"/>
          </w:tcPr>
          <w:p w14:paraId="02A3B3AC">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399</w:t>
            </w:r>
          </w:p>
        </w:tc>
      </w:tr>
      <w:tr w14:paraId="20AC288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6" w:hRule="atLeast"/>
          <w:jc w:val="center"/>
        </w:trPr>
        <w:tc>
          <w:tcPr>
            <w:tcW w:w="528" w:type="pct"/>
            <w:vMerge w:val="continue"/>
            <w:vAlign w:val="center"/>
          </w:tcPr>
          <w:p w14:paraId="127E5C02">
            <w:pPr>
              <w:spacing w:line="240" w:lineRule="auto"/>
              <w:ind w:firstLine="0" w:firstLineChars="0"/>
              <w:jc w:val="center"/>
              <w:rPr>
                <w:color w:val="000000" w:themeColor="text1"/>
                <w:kern w:val="0"/>
                <w:sz w:val="21"/>
                <w:szCs w:val="21"/>
                <w14:textFill>
                  <w14:solidFill>
                    <w14:schemeClr w14:val="tx1"/>
                  </w14:solidFill>
                </w14:textFill>
              </w:rPr>
            </w:pPr>
          </w:p>
        </w:tc>
        <w:tc>
          <w:tcPr>
            <w:tcW w:w="1187" w:type="pct"/>
            <w:vAlign w:val="center"/>
          </w:tcPr>
          <w:p w14:paraId="456C72CB">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平均低潮位</w:t>
            </w:r>
          </w:p>
        </w:tc>
        <w:tc>
          <w:tcPr>
            <w:tcW w:w="1087" w:type="pct"/>
            <w:vAlign w:val="center"/>
          </w:tcPr>
          <w:p w14:paraId="45B270BC">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132</w:t>
            </w:r>
          </w:p>
        </w:tc>
        <w:tc>
          <w:tcPr>
            <w:tcW w:w="1086" w:type="pct"/>
            <w:vAlign w:val="center"/>
          </w:tcPr>
          <w:p w14:paraId="0ED8B920">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135</w:t>
            </w:r>
          </w:p>
        </w:tc>
        <w:tc>
          <w:tcPr>
            <w:tcW w:w="1110" w:type="pct"/>
            <w:vAlign w:val="center"/>
          </w:tcPr>
          <w:p w14:paraId="7E698EEF">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137</w:t>
            </w:r>
          </w:p>
        </w:tc>
      </w:tr>
      <w:tr w14:paraId="5C2CEEA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6" w:hRule="atLeast"/>
          <w:jc w:val="center"/>
        </w:trPr>
        <w:tc>
          <w:tcPr>
            <w:tcW w:w="528" w:type="pct"/>
            <w:vMerge w:val="continue"/>
            <w:vAlign w:val="center"/>
          </w:tcPr>
          <w:p w14:paraId="1EFE33F6">
            <w:pPr>
              <w:spacing w:line="240" w:lineRule="auto"/>
              <w:ind w:firstLine="0" w:firstLineChars="0"/>
              <w:jc w:val="center"/>
              <w:rPr>
                <w:color w:val="000000" w:themeColor="text1"/>
                <w:kern w:val="0"/>
                <w:sz w:val="21"/>
                <w:szCs w:val="21"/>
                <w14:textFill>
                  <w14:solidFill>
                    <w14:schemeClr w14:val="tx1"/>
                  </w14:solidFill>
                </w14:textFill>
              </w:rPr>
            </w:pPr>
          </w:p>
        </w:tc>
        <w:tc>
          <w:tcPr>
            <w:tcW w:w="1187" w:type="pct"/>
            <w:vAlign w:val="center"/>
          </w:tcPr>
          <w:p w14:paraId="4501190E">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平均海平面</w:t>
            </w:r>
          </w:p>
        </w:tc>
        <w:tc>
          <w:tcPr>
            <w:tcW w:w="1087" w:type="pct"/>
            <w:vAlign w:val="center"/>
          </w:tcPr>
          <w:p w14:paraId="6E973CA2">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263</w:t>
            </w:r>
          </w:p>
        </w:tc>
        <w:tc>
          <w:tcPr>
            <w:tcW w:w="1086" w:type="pct"/>
            <w:vAlign w:val="center"/>
          </w:tcPr>
          <w:p w14:paraId="2BFC34F0">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265</w:t>
            </w:r>
          </w:p>
        </w:tc>
        <w:tc>
          <w:tcPr>
            <w:tcW w:w="1110" w:type="pct"/>
            <w:vAlign w:val="center"/>
          </w:tcPr>
          <w:p w14:paraId="03C10F91">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268</w:t>
            </w:r>
          </w:p>
        </w:tc>
      </w:tr>
      <w:tr w14:paraId="4CBBA44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6" w:hRule="atLeast"/>
          <w:jc w:val="center"/>
        </w:trPr>
        <w:tc>
          <w:tcPr>
            <w:tcW w:w="528" w:type="pct"/>
            <w:vMerge w:val="restart"/>
            <w:vAlign w:val="center"/>
          </w:tcPr>
          <w:p w14:paraId="2FAC8C98">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潮差</w:t>
            </w:r>
          </w:p>
        </w:tc>
        <w:tc>
          <w:tcPr>
            <w:tcW w:w="1187" w:type="pct"/>
            <w:vAlign w:val="center"/>
          </w:tcPr>
          <w:p w14:paraId="77D865CD">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最大潮差</w:t>
            </w:r>
          </w:p>
        </w:tc>
        <w:tc>
          <w:tcPr>
            <w:tcW w:w="1087" w:type="pct"/>
            <w:vAlign w:val="center"/>
          </w:tcPr>
          <w:p w14:paraId="3FE2AA56">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409</w:t>
            </w:r>
          </w:p>
        </w:tc>
        <w:tc>
          <w:tcPr>
            <w:tcW w:w="1086" w:type="pct"/>
            <w:vAlign w:val="center"/>
          </w:tcPr>
          <w:p w14:paraId="0CEE84CB">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409</w:t>
            </w:r>
          </w:p>
        </w:tc>
        <w:tc>
          <w:tcPr>
            <w:tcW w:w="1110" w:type="pct"/>
            <w:vAlign w:val="center"/>
          </w:tcPr>
          <w:p w14:paraId="553F9E37">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410</w:t>
            </w:r>
          </w:p>
        </w:tc>
      </w:tr>
      <w:tr w14:paraId="4BA3C6F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6" w:hRule="atLeast"/>
          <w:jc w:val="center"/>
        </w:trPr>
        <w:tc>
          <w:tcPr>
            <w:tcW w:w="528" w:type="pct"/>
            <w:vMerge w:val="continue"/>
            <w:vAlign w:val="center"/>
          </w:tcPr>
          <w:p w14:paraId="2F7B67F7">
            <w:pPr>
              <w:spacing w:line="240" w:lineRule="auto"/>
              <w:ind w:firstLine="0" w:firstLineChars="0"/>
              <w:jc w:val="center"/>
              <w:rPr>
                <w:color w:val="000000" w:themeColor="text1"/>
                <w:kern w:val="0"/>
                <w:sz w:val="21"/>
                <w:szCs w:val="21"/>
                <w14:textFill>
                  <w14:solidFill>
                    <w14:schemeClr w14:val="tx1"/>
                  </w14:solidFill>
                </w14:textFill>
              </w:rPr>
            </w:pPr>
          </w:p>
        </w:tc>
        <w:tc>
          <w:tcPr>
            <w:tcW w:w="1187" w:type="pct"/>
            <w:vAlign w:val="center"/>
          </w:tcPr>
          <w:p w14:paraId="30D9B8A4">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最小潮差</w:t>
            </w:r>
          </w:p>
        </w:tc>
        <w:tc>
          <w:tcPr>
            <w:tcW w:w="1087" w:type="pct"/>
            <w:vAlign w:val="center"/>
          </w:tcPr>
          <w:p w14:paraId="45C94A0E">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16</w:t>
            </w:r>
          </w:p>
        </w:tc>
        <w:tc>
          <w:tcPr>
            <w:tcW w:w="1086" w:type="pct"/>
            <w:vAlign w:val="center"/>
          </w:tcPr>
          <w:p w14:paraId="6DE36FA7">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15</w:t>
            </w:r>
          </w:p>
        </w:tc>
        <w:tc>
          <w:tcPr>
            <w:tcW w:w="1110" w:type="pct"/>
            <w:vAlign w:val="center"/>
          </w:tcPr>
          <w:p w14:paraId="78739012">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18</w:t>
            </w:r>
          </w:p>
        </w:tc>
      </w:tr>
      <w:tr w14:paraId="06E0815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6" w:hRule="atLeast"/>
          <w:jc w:val="center"/>
        </w:trPr>
        <w:tc>
          <w:tcPr>
            <w:tcW w:w="528" w:type="pct"/>
            <w:vMerge w:val="continue"/>
            <w:vAlign w:val="center"/>
          </w:tcPr>
          <w:p w14:paraId="1734B997">
            <w:pPr>
              <w:spacing w:line="240" w:lineRule="auto"/>
              <w:ind w:firstLine="0" w:firstLineChars="0"/>
              <w:jc w:val="center"/>
              <w:rPr>
                <w:color w:val="000000" w:themeColor="text1"/>
                <w:kern w:val="0"/>
                <w:sz w:val="21"/>
                <w:szCs w:val="21"/>
                <w14:textFill>
                  <w14:solidFill>
                    <w14:schemeClr w14:val="tx1"/>
                  </w14:solidFill>
                </w14:textFill>
              </w:rPr>
            </w:pPr>
          </w:p>
        </w:tc>
        <w:tc>
          <w:tcPr>
            <w:tcW w:w="1187" w:type="pct"/>
            <w:vAlign w:val="center"/>
          </w:tcPr>
          <w:p w14:paraId="490836FB">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平均潮差</w:t>
            </w:r>
          </w:p>
        </w:tc>
        <w:tc>
          <w:tcPr>
            <w:tcW w:w="1087" w:type="pct"/>
            <w:vAlign w:val="center"/>
          </w:tcPr>
          <w:p w14:paraId="7DB58AD7">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260</w:t>
            </w:r>
          </w:p>
        </w:tc>
        <w:tc>
          <w:tcPr>
            <w:tcW w:w="1086" w:type="pct"/>
            <w:vAlign w:val="center"/>
          </w:tcPr>
          <w:p w14:paraId="7E4B7250">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260</w:t>
            </w:r>
          </w:p>
        </w:tc>
        <w:tc>
          <w:tcPr>
            <w:tcW w:w="1110" w:type="pct"/>
            <w:vAlign w:val="center"/>
          </w:tcPr>
          <w:p w14:paraId="25800238">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261</w:t>
            </w:r>
          </w:p>
        </w:tc>
      </w:tr>
      <w:tr w14:paraId="22A739F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6" w:hRule="atLeast"/>
          <w:jc w:val="center"/>
        </w:trPr>
        <w:tc>
          <w:tcPr>
            <w:tcW w:w="528" w:type="pct"/>
            <w:vMerge w:val="restart"/>
            <w:vAlign w:val="center"/>
          </w:tcPr>
          <w:p w14:paraId="55BD4C8C">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全日潮时段</w:t>
            </w:r>
          </w:p>
        </w:tc>
        <w:tc>
          <w:tcPr>
            <w:tcW w:w="1187" w:type="pct"/>
            <w:vAlign w:val="center"/>
          </w:tcPr>
          <w:p w14:paraId="0E8AB14C">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平均涨潮历时（h:mm）</w:t>
            </w:r>
          </w:p>
        </w:tc>
        <w:tc>
          <w:tcPr>
            <w:tcW w:w="1087" w:type="pct"/>
            <w:vAlign w:val="center"/>
          </w:tcPr>
          <w:p w14:paraId="2ACB4AFB">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14:29</w:t>
            </w:r>
          </w:p>
        </w:tc>
        <w:tc>
          <w:tcPr>
            <w:tcW w:w="1086" w:type="pct"/>
            <w:vAlign w:val="center"/>
          </w:tcPr>
          <w:p w14:paraId="1944CD6F">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14:32</w:t>
            </w:r>
          </w:p>
        </w:tc>
        <w:tc>
          <w:tcPr>
            <w:tcW w:w="1110" w:type="pct"/>
            <w:vAlign w:val="center"/>
          </w:tcPr>
          <w:p w14:paraId="3D9632AF">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14:36</w:t>
            </w:r>
          </w:p>
        </w:tc>
      </w:tr>
      <w:tr w14:paraId="26451D4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6" w:hRule="atLeast"/>
          <w:jc w:val="center"/>
        </w:trPr>
        <w:tc>
          <w:tcPr>
            <w:tcW w:w="528" w:type="pct"/>
            <w:vMerge w:val="continue"/>
            <w:vAlign w:val="center"/>
          </w:tcPr>
          <w:p w14:paraId="04023B27">
            <w:pPr>
              <w:spacing w:line="240" w:lineRule="auto"/>
              <w:ind w:firstLine="0" w:firstLineChars="0"/>
              <w:jc w:val="center"/>
              <w:rPr>
                <w:color w:val="000000" w:themeColor="text1"/>
                <w:kern w:val="0"/>
                <w:sz w:val="21"/>
                <w:szCs w:val="21"/>
                <w14:textFill>
                  <w14:solidFill>
                    <w14:schemeClr w14:val="tx1"/>
                  </w14:solidFill>
                </w14:textFill>
              </w:rPr>
            </w:pPr>
          </w:p>
        </w:tc>
        <w:tc>
          <w:tcPr>
            <w:tcW w:w="1187" w:type="pct"/>
            <w:vAlign w:val="center"/>
          </w:tcPr>
          <w:p w14:paraId="5C7ACEF9">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平均落潮历时（h:mm）</w:t>
            </w:r>
          </w:p>
        </w:tc>
        <w:tc>
          <w:tcPr>
            <w:tcW w:w="1087" w:type="pct"/>
            <w:vAlign w:val="center"/>
          </w:tcPr>
          <w:p w14:paraId="7F4A02F1">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10:22</w:t>
            </w:r>
          </w:p>
        </w:tc>
        <w:tc>
          <w:tcPr>
            <w:tcW w:w="1086" w:type="pct"/>
            <w:vAlign w:val="center"/>
          </w:tcPr>
          <w:p w14:paraId="2778A544">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10:16</w:t>
            </w:r>
          </w:p>
        </w:tc>
        <w:tc>
          <w:tcPr>
            <w:tcW w:w="1110" w:type="pct"/>
            <w:vAlign w:val="center"/>
          </w:tcPr>
          <w:p w14:paraId="34D0557D">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10:10</w:t>
            </w:r>
          </w:p>
        </w:tc>
      </w:tr>
      <w:tr w14:paraId="7A80AF2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6" w:hRule="atLeast"/>
          <w:jc w:val="center"/>
        </w:trPr>
        <w:tc>
          <w:tcPr>
            <w:tcW w:w="528" w:type="pct"/>
            <w:vMerge w:val="restart"/>
            <w:vAlign w:val="center"/>
          </w:tcPr>
          <w:p w14:paraId="0C313024">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半日潮时段</w:t>
            </w:r>
          </w:p>
        </w:tc>
        <w:tc>
          <w:tcPr>
            <w:tcW w:w="1187" w:type="pct"/>
            <w:vAlign w:val="center"/>
          </w:tcPr>
          <w:p w14:paraId="3BA4DFCC">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平均涨潮历时（h:mm）</w:t>
            </w:r>
          </w:p>
        </w:tc>
        <w:tc>
          <w:tcPr>
            <w:tcW w:w="1087" w:type="pct"/>
            <w:vAlign w:val="center"/>
          </w:tcPr>
          <w:p w14:paraId="71B6B79B">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5:42</w:t>
            </w:r>
          </w:p>
        </w:tc>
        <w:tc>
          <w:tcPr>
            <w:tcW w:w="1086" w:type="pct"/>
            <w:vAlign w:val="center"/>
          </w:tcPr>
          <w:p w14:paraId="49D215FB">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5:50</w:t>
            </w:r>
          </w:p>
        </w:tc>
        <w:tc>
          <w:tcPr>
            <w:tcW w:w="1110" w:type="pct"/>
            <w:vAlign w:val="center"/>
          </w:tcPr>
          <w:p w14:paraId="59D894D8">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5:51</w:t>
            </w:r>
          </w:p>
        </w:tc>
      </w:tr>
      <w:tr w14:paraId="165F87F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6" w:hRule="atLeast"/>
          <w:jc w:val="center"/>
        </w:trPr>
        <w:tc>
          <w:tcPr>
            <w:tcW w:w="528" w:type="pct"/>
            <w:vMerge w:val="continue"/>
            <w:vAlign w:val="center"/>
          </w:tcPr>
          <w:p w14:paraId="6BAD4A61">
            <w:pPr>
              <w:spacing w:line="240" w:lineRule="auto"/>
              <w:ind w:firstLine="0" w:firstLineChars="0"/>
              <w:jc w:val="center"/>
              <w:rPr>
                <w:color w:val="000000" w:themeColor="text1"/>
                <w:kern w:val="0"/>
                <w:sz w:val="21"/>
                <w:szCs w:val="21"/>
                <w14:textFill>
                  <w14:solidFill>
                    <w14:schemeClr w14:val="tx1"/>
                  </w14:solidFill>
                </w14:textFill>
              </w:rPr>
            </w:pPr>
          </w:p>
        </w:tc>
        <w:tc>
          <w:tcPr>
            <w:tcW w:w="1187" w:type="pct"/>
            <w:vAlign w:val="center"/>
          </w:tcPr>
          <w:p w14:paraId="04394D97">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平均落潮历时（h:mm）</w:t>
            </w:r>
          </w:p>
        </w:tc>
        <w:tc>
          <w:tcPr>
            <w:tcW w:w="1087" w:type="pct"/>
            <w:vAlign w:val="center"/>
          </w:tcPr>
          <w:p w14:paraId="3B7EE7A0">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6:06</w:t>
            </w:r>
          </w:p>
        </w:tc>
        <w:tc>
          <w:tcPr>
            <w:tcW w:w="1086" w:type="pct"/>
            <w:vAlign w:val="center"/>
          </w:tcPr>
          <w:p w14:paraId="57A27079">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5:58</w:t>
            </w:r>
          </w:p>
        </w:tc>
        <w:tc>
          <w:tcPr>
            <w:tcW w:w="1110" w:type="pct"/>
            <w:vAlign w:val="center"/>
          </w:tcPr>
          <w:p w14:paraId="27C38D43">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5:58</w:t>
            </w:r>
          </w:p>
        </w:tc>
      </w:tr>
      <w:tr w14:paraId="39225B8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30" w:hRule="atLeast"/>
          <w:jc w:val="center"/>
        </w:trPr>
        <w:tc>
          <w:tcPr>
            <w:tcW w:w="1715" w:type="pct"/>
            <w:gridSpan w:val="2"/>
            <w:vAlign w:val="center"/>
          </w:tcPr>
          <w:p w14:paraId="4DDE3A4D">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基准面</w:t>
            </w:r>
          </w:p>
        </w:tc>
        <w:tc>
          <w:tcPr>
            <w:tcW w:w="3284" w:type="pct"/>
            <w:gridSpan w:val="3"/>
            <w:vAlign w:val="center"/>
          </w:tcPr>
          <w:p w14:paraId="7832AC6B">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当地理论最低基准高程</w:t>
            </w:r>
          </w:p>
        </w:tc>
      </w:tr>
    </w:tbl>
    <w:p w14:paraId="1444997B">
      <w:pPr>
        <w:ind w:firstLine="480"/>
        <w:rPr>
          <w:color w:val="000000" w:themeColor="text1"/>
          <w:kern w:val="0"/>
          <w:szCs w:val="20"/>
          <w14:textFill>
            <w14:solidFill>
              <w14:schemeClr w14:val="tx1"/>
            </w14:solidFill>
          </w14:textFill>
        </w:rPr>
      </w:pPr>
      <w:r>
        <w:rPr>
          <w:color w:val="000000" w:themeColor="text1"/>
          <w:kern w:val="0"/>
          <w:szCs w:val="20"/>
          <w14:textFill>
            <w14:solidFill>
              <w14:schemeClr w14:val="tx1"/>
            </w14:solidFill>
          </w14:textFill>
        </w:rPr>
        <w:t>3、潮汐性质</w:t>
      </w:r>
    </w:p>
    <w:p w14:paraId="218112CE">
      <w:pPr>
        <w:ind w:firstLine="480"/>
        <w:rPr>
          <w:color w:val="000000" w:themeColor="text1"/>
          <w:kern w:val="0"/>
          <w:szCs w:val="20"/>
          <w14:textFill>
            <w14:solidFill>
              <w14:schemeClr w14:val="tx1"/>
            </w14:solidFill>
          </w14:textFill>
        </w:rPr>
      </w:pPr>
      <w:r>
        <w:rPr>
          <w:color w:val="000000" w:themeColor="text1"/>
          <w:kern w:val="0"/>
          <w:szCs w:val="20"/>
          <w14:textFill>
            <w14:solidFill>
              <w14:schemeClr w14:val="tx1"/>
            </w14:solidFill>
          </w14:textFill>
        </w:rPr>
        <w:t>对临时潮位站H1、H2、H3实测潮位资料进行短期调和分析，以了解该海域的潮汐一般特性，表3.</w:t>
      </w:r>
      <w:r>
        <w:rPr>
          <w:rFonts w:hint="eastAsia"/>
          <w:color w:val="000000" w:themeColor="text1"/>
          <w:kern w:val="0"/>
          <w:szCs w:val="20"/>
          <w14:textFill>
            <w14:solidFill>
              <w14:schemeClr w14:val="tx1"/>
            </w14:solidFill>
          </w14:textFill>
        </w:rPr>
        <w:t>8-3</w:t>
      </w:r>
      <w:r>
        <w:rPr>
          <w:color w:val="000000" w:themeColor="text1"/>
          <w:kern w:val="0"/>
          <w:szCs w:val="20"/>
          <w14:textFill>
            <w14:solidFill>
              <w14:schemeClr w14:val="tx1"/>
            </w14:solidFill>
          </w14:textFill>
        </w:rPr>
        <w:t>列出了临时潮位站H1~H3处4个主要分潮和4个主要浅水分潮的潮汐调和常数。由表可见，临时潮位站处的潮汐以O1分潮为主，验潮站H1、H2、H3的O1分潮振幅分别为96.28cm、95.70cm、95.30cm，其次是K1分潮，其振幅分别为72.63cm、72.97cm、73.60cm，表明该海区由全日潮占主导。根据下面两个临时潮位站的潮汐类型判别式可知测区潮汐主要表现均为正规全日潮。</w:t>
      </w:r>
    </w:p>
    <w:p w14:paraId="24C468E5">
      <w:pPr>
        <w:ind w:firstLine="480"/>
        <w:rPr>
          <w:color w:val="000000" w:themeColor="text1"/>
          <w:kern w:val="0"/>
          <w:szCs w:val="20"/>
          <w14:textFill>
            <w14:solidFill>
              <w14:schemeClr w14:val="tx1"/>
            </w14:solidFill>
          </w14:textFill>
        </w:rPr>
      </w:pPr>
      <w:r>
        <w:rPr>
          <w:color w:val="000000" w:themeColor="text1"/>
          <w:kern w:val="0"/>
          <w:szCs w:val="20"/>
          <w14:textFill>
            <w14:solidFill>
              <w14:schemeClr w14:val="tx1"/>
            </w14:solidFill>
          </w14:textFill>
        </w:rPr>
        <w:t>H1、H2、H3潮位站第一类潮汐特征值</w:t>
      </w:r>
      <w:r>
        <w:rPr>
          <w:rFonts w:hint="eastAsia"/>
          <w:color w:val="000000" w:themeColor="text1"/>
          <w:kern w:val="0"/>
          <w:szCs w:val="20"/>
          <w14:textFill>
            <w14:solidFill>
              <w14:schemeClr w14:val="tx1"/>
            </w14:solidFill>
          </w14:textFill>
        </w:rPr>
        <w:t>（主要描述潮汐的运动学特征，即潮汐的基本运动规律）</w:t>
      </w:r>
      <w:r>
        <w:rPr>
          <w:color w:val="000000" w:themeColor="text1"/>
          <w:kern w:val="0"/>
          <w:szCs w:val="20"/>
          <w14:textFill>
            <w14:solidFill>
              <w14:schemeClr w14:val="tx1"/>
            </w14:solidFill>
          </w14:textFill>
        </w:rPr>
        <w:t>分别为3.12、3.10、3.08，均大于3。第二类潮汐特征值</w:t>
      </w:r>
      <w:r>
        <w:rPr>
          <w:rFonts w:hint="eastAsia"/>
          <w:color w:val="000000" w:themeColor="text1"/>
          <w:kern w:val="0"/>
          <w:szCs w:val="20"/>
          <w14:textFill>
            <w14:solidFill>
              <w14:schemeClr w14:val="tx1"/>
            </w14:solidFill>
          </w14:textFill>
        </w:rPr>
        <w:t>（主要描述潮汐的动力学特征，即潮汐的形成原因和影响因素）</w:t>
      </w:r>
      <w:r>
        <w:rPr>
          <w:color w:val="000000" w:themeColor="text1"/>
          <w:kern w:val="0"/>
          <w:szCs w:val="20"/>
          <w14:textFill>
            <w14:solidFill>
              <w14:schemeClr w14:val="tx1"/>
            </w14:solidFill>
          </w14:textFill>
        </w:rPr>
        <w:t>分别为4.37、4.35、4.32，大于4。潮汐类型：由验潮资料求得的调和常数计算可知，该海区的潮汐类型为正规的全日潮海区。</w:t>
      </w:r>
    </w:p>
    <w:p w14:paraId="38EED702">
      <w:pPr>
        <w:pStyle w:val="7"/>
        <w:rPr>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 xml:space="preserve"> 测区临时潮位站的潮汐调和常数列表</w:t>
      </w:r>
    </w:p>
    <w:tbl>
      <w:tblPr>
        <w:tblStyle w:val="217"/>
        <w:tblW w:w="4999" w:type="pct"/>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autofit"/>
        <w:tblCellMar>
          <w:top w:w="0" w:type="dxa"/>
          <w:left w:w="0" w:type="dxa"/>
          <w:bottom w:w="0" w:type="dxa"/>
          <w:right w:w="0" w:type="dxa"/>
        </w:tblCellMar>
      </w:tblPr>
      <w:tblGrid>
        <w:gridCol w:w="1752"/>
        <w:gridCol w:w="1094"/>
        <w:gridCol w:w="1095"/>
        <w:gridCol w:w="1094"/>
        <w:gridCol w:w="1095"/>
        <w:gridCol w:w="1094"/>
        <w:gridCol w:w="1110"/>
      </w:tblGrid>
      <w:tr w14:paraId="07B67AFE">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401" w:hRule="atLeast"/>
          <w:jc w:val="center"/>
        </w:trPr>
        <w:tc>
          <w:tcPr>
            <w:tcW w:w="1051" w:type="pct"/>
            <w:vMerge w:val="restart"/>
            <w:vAlign w:val="center"/>
          </w:tcPr>
          <w:p w14:paraId="5F1EAC5C">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分潮</w:t>
            </w:r>
          </w:p>
        </w:tc>
        <w:tc>
          <w:tcPr>
            <w:tcW w:w="1313" w:type="pct"/>
            <w:gridSpan w:val="2"/>
            <w:vAlign w:val="center"/>
          </w:tcPr>
          <w:p w14:paraId="1A0E0603">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H1</w:t>
            </w:r>
          </w:p>
        </w:tc>
        <w:tc>
          <w:tcPr>
            <w:tcW w:w="1313" w:type="pct"/>
            <w:gridSpan w:val="2"/>
            <w:vAlign w:val="center"/>
          </w:tcPr>
          <w:p w14:paraId="7C45FAA3">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H2</w:t>
            </w:r>
          </w:p>
        </w:tc>
        <w:tc>
          <w:tcPr>
            <w:tcW w:w="1321" w:type="pct"/>
            <w:gridSpan w:val="2"/>
            <w:vAlign w:val="center"/>
          </w:tcPr>
          <w:p w14:paraId="4546CC84">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H3</w:t>
            </w:r>
          </w:p>
        </w:tc>
      </w:tr>
      <w:tr w14:paraId="57AB3493">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9" w:hRule="atLeast"/>
          <w:jc w:val="center"/>
        </w:trPr>
        <w:tc>
          <w:tcPr>
            <w:tcW w:w="1051" w:type="pct"/>
            <w:vMerge w:val="continue"/>
            <w:vAlign w:val="center"/>
          </w:tcPr>
          <w:p w14:paraId="5E8A111B">
            <w:pPr>
              <w:spacing w:line="240" w:lineRule="auto"/>
              <w:ind w:firstLine="0" w:firstLineChars="0"/>
              <w:jc w:val="center"/>
              <w:rPr>
                <w:color w:val="000000" w:themeColor="text1"/>
                <w:kern w:val="0"/>
                <w:sz w:val="21"/>
                <w:szCs w:val="21"/>
                <w14:textFill>
                  <w14:solidFill>
                    <w14:schemeClr w14:val="tx1"/>
                  </w14:solidFill>
                </w14:textFill>
              </w:rPr>
            </w:pPr>
          </w:p>
        </w:tc>
        <w:tc>
          <w:tcPr>
            <w:tcW w:w="656" w:type="pct"/>
            <w:vAlign w:val="center"/>
          </w:tcPr>
          <w:p w14:paraId="766E3DD7">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振幅</w:t>
            </w:r>
          </w:p>
        </w:tc>
        <w:tc>
          <w:tcPr>
            <w:tcW w:w="657" w:type="pct"/>
            <w:vAlign w:val="center"/>
          </w:tcPr>
          <w:p w14:paraId="515E01AC">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迟角</w:t>
            </w:r>
          </w:p>
        </w:tc>
        <w:tc>
          <w:tcPr>
            <w:tcW w:w="656" w:type="pct"/>
            <w:vAlign w:val="center"/>
          </w:tcPr>
          <w:p w14:paraId="081F1568">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振幅</w:t>
            </w:r>
          </w:p>
        </w:tc>
        <w:tc>
          <w:tcPr>
            <w:tcW w:w="657" w:type="pct"/>
            <w:vAlign w:val="center"/>
          </w:tcPr>
          <w:p w14:paraId="64A2036C">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迟角</w:t>
            </w:r>
          </w:p>
        </w:tc>
        <w:tc>
          <w:tcPr>
            <w:tcW w:w="656" w:type="pct"/>
            <w:vAlign w:val="center"/>
          </w:tcPr>
          <w:p w14:paraId="042B1607">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振幅</w:t>
            </w:r>
          </w:p>
        </w:tc>
        <w:tc>
          <w:tcPr>
            <w:tcW w:w="664" w:type="pct"/>
            <w:vAlign w:val="center"/>
          </w:tcPr>
          <w:p w14:paraId="79F2F324">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迟角</w:t>
            </w:r>
          </w:p>
        </w:tc>
      </w:tr>
      <w:tr w14:paraId="4B7D7A67">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9" w:hRule="atLeast"/>
          <w:jc w:val="center"/>
        </w:trPr>
        <w:tc>
          <w:tcPr>
            <w:tcW w:w="1051" w:type="pct"/>
            <w:vAlign w:val="center"/>
          </w:tcPr>
          <w:p w14:paraId="0D020E55">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O1</w:t>
            </w:r>
          </w:p>
        </w:tc>
        <w:tc>
          <w:tcPr>
            <w:tcW w:w="656" w:type="pct"/>
            <w:vAlign w:val="center"/>
          </w:tcPr>
          <w:p w14:paraId="6FD8F6F0">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96.28</w:t>
            </w:r>
          </w:p>
        </w:tc>
        <w:tc>
          <w:tcPr>
            <w:tcW w:w="657" w:type="pct"/>
            <w:vAlign w:val="center"/>
          </w:tcPr>
          <w:p w14:paraId="47146DA0">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40.66</w:t>
            </w:r>
          </w:p>
        </w:tc>
        <w:tc>
          <w:tcPr>
            <w:tcW w:w="656" w:type="pct"/>
            <w:vAlign w:val="center"/>
          </w:tcPr>
          <w:p w14:paraId="69F9FFE0">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95.70</w:t>
            </w:r>
          </w:p>
        </w:tc>
        <w:tc>
          <w:tcPr>
            <w:tcW w:w="657" w:type="pct"/>
            <w:vAlign w:val="center"/>
          </w:tcPr>
          <w:p w14:paraId="1DE4827A">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43.04</w:t>
            </w:r>
          </w:p>
        </w:tc>
        <w:tc>
          <w:tcPr>
            <w:tcW w:w="656" w:type="pct"/>
            <w:vAlign w:val="center"/>
          </w:tcPr>
          <w:p w14:paraId="07180DCC">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95.30</w:t>
            </w:r>
          </w:p>
        </w:tc>
        <w:tc>
          <w:tcPr>
            <w:tcW w:w="664" w:type="pct"/>
            <w:vAlign w:val="center"/>
          </w:tcPr>
          <w:p w14:paraId="0F9D2B86">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45.97</w:t>
            </w:r>
          </w:p>
        </w:tc>
      </w:tr>
      <w:tr w14:paraId="2E594089">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9" w:hRule="atLeast"/>
          <w:jc w:val="center"/>
        </w:trPr>
        <w:tc>
          <w:tcPr>
            <w:tcW w:w="1051" w:type="pct"/>
            <w:vAlign w:val="center"/>
          </w:tcPr>
          <w:p w14:paraId="6FE699D6">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K1</w:t>
            </w:r>
          </w:p>
        </w:tc>
        <w:tc>
          <w:tcPr>
            <w:tcW w:w="656" w:type="pct"/>
            <w:vAlign w:val="center"/>
          </w:tcPr>
          <w:p w14:paraId="51A9B428">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72.63</w:t>
            </w:r>
          </w:p>
        </w:tc>
        <w:tc>
          <w:tcPr>
            <w:tcW w:w="657" w:type="pct"/>
            <w:vAlign w:val="center"/>
          </w:tcPr>
          <w:p w14:paraId="14EE64B9">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83.55</w:t>
            </w:r>
          </w:p>
        </w:tc>
        <w:tc>
          <w:tcPr>
            <w:tcW w:w="656" w:type="pct"/>
            <w:vAlign w:val="center"/>
          </w:tcPr>
          <w:p w14:paraId="7AD9C137">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72.97</w:t>
            </w:r>
          </w:p>
        </w:tc>
        <w:tc>
          <w:tcPr>
            <w:tcW w:w="657" w:type="pct"/>
            <w:vAlign w:val="center"/>
          </w:tcPr>
          <w:p w14:paraId="621917BE">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86.30</w:t>
            </w:r>
          </w:p>
        </w:tc>
        <w:tc>
          <w:tcPr>
            <w:tcW w:w="656" w:type="pct"/>
            <w:vAlign w:val="center"/>
          </w:tcPr>
          <w:p w14:paraId="486BD4AF">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73.60</w:t>
            </w:r>
          </w:p>
        </w:tc>
        <w:tc>
          <w:tcPr>
            <w:tcW w:w="664" w:type="pct"/>
            <w:vAlign w:val="center"/>
          </w:tcPr>
          <w:p w14:paraId="3C081A68">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89.65</w:t>
            </w:r>
          </w:p>
        </w:tc>
      </w:tr>
      <w:tr w14:paraId="720C2D94">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50" w:hRule="atLeast"/>
          <w:jc w:val="center"/>
        </w:trPr>
        <w:tc>
          <w:tcPr>
            <w:tcW w:w="1051" w:type="pct"/>
            <w:vAlign w:val="center"/>
          </w:tcPr>
          <w:p w14:paraId="1F4E8C6F">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M2</w:t>
            </w:r>
          </w:p>
        </w:tc>
        <w:tc>
          <w:tcPr>
            <w:tcW w:w="656" w:type="pct"/>
            <w:vAlign w:val="center"/>
          </w:tcPr>
          <w:p w14:paraId="4DDE213B">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38.62</w:t>
            </w:r>
          </w:p>
        </w:tc>
        <w:tc>
          <w:tcPr>
            <w:tcW w:w="657" w:type="pct"/>
            <w:vAlign w:val="center"/>
          </w:tcPr>
          <w:p w14:paraId="297F9CD0">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192.34</w:t>
            </w:r>
          </w:p>
        </w:tc>
        <w:tc>
          <w:tcPr>
            <w:tcW w:w="656" w:type="pct"/>
            <w:vAlign w:val="center"/>
          </w:tcPr>
          <w:p w14:paraId="6DC2DD69">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38.73</w:t>
            </w:r>
          </w:p>
        </w:tc>
        <w:tc>
          <w:tcPr>
            <w:tcW w:w="657" w:type="pct"/>
            <w:vAlign w:val="center"/>
          </w:tcPr>
          <w:p w14:paraId="18217050">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197.25</w:t>
            </w:r>
          </w:p>
        </w:tc>
        <w:tc>
          <w:tcPr>
            <w:tcW w:w="656" w:type="pct"/>
            <w:vAlign w:val="center"/>
          </w:tcPr>
          <w:p w14:paraId="5B33B7FF">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39.10</w:t>
            </w:r>
          </w:p>
        </w:tc>
        <w:tc>
          <w:tcPr>
            <w:tcW w:w="664" w:type="pct"/>
            <w:vAlign w:val="center"/>
          </w:tcPr>
          <w:p w14:paraId="2AFE2473">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203.11</w:t>
            </w:r>
          </w:p>
        </w:tc>
      </w:tr>
      <w:tr w14:paraId="01C01DD5">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9" w:hRule="atLeast"/>
          <w:jc w:val="center"/>
        </w:trPr>
        <w:tc>
          <w:tcPr>
            <w:tcW w:w="1051" w:type="pct"/>
            <w:vAlign w:val="center"/>
          </w:tcPr>
          <w:p w14:paraId="0605EA16">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S2</w:t>
            </w:r>
          </w:p>
        </w:tc>
        <w:tc>
          <w:tcPr>
            <w:tcW w:w="656" w:type="pct"/>
            <w:vAlign w:val="center"/>
          </w:tcPr>
          <w:p w14:paraId="1C7C0CAE">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15.57</w:t>
            </w:r>
          </w:p>
        </w:tc>
        <w:tc>
          <w:tcPr>
            <w:tcW w:w="657" w:type="pct"/>
            <w:vAlign w:val="center"/>
          </w:tcPr>
          <w:p w14:paraId="6BE662D2">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225.48</w:t>
            </w:r>
          </w:p>
        </w:tc>
        <w:tc>
          <w:tcPr>
            <w:tcW w:w="656" w:type="pct"/>
            <w:vAlign w:val="center"/>
          </w:tcPr>
          <w:p w14:paraId="69F64377">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15.60</w:t>
            </w:r>
          </w:p>
        </w:tc>
        <w:tc>
          <w:tcPr>
            <w:tcW w:w="657" w:type="pct"/>
            <w:vAlign w:val="center"/>
          </w:tcPr>
          <w:p w14:paraId="653AFC5B">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229.63</w:t>
            </w:r>
          </w:p>
        </w:tc>
        <w:tc>
          <w:tcPr>
            <w:tcW w:w="656" w:type="pct"/>
            <w:vAlign w:val="center"/>
          </w:tcPr>
          <w:p w14:paraId="1817A125">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15.70</w:t>
            </w:r>
          </w:p>
        </w:tc>
        <w:tc>
          <w:tcPr>
            <w:tcW w:w="664" w:type="pct"/>
            <w:vAlign w:val="center"/>
          </w:tcPr>
          <w:p w14:paraId="47C90CCF">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234.22</w:t>
            </w:r>
          </w:p>
        </w:tc>
      </w:tr>
      <w:tr w14:paraId="03EC1464">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9" w:hRule="atLeast"/>
          <w:jc w:val="center"/>
        </w:trPr>
        <w:tc>
          <w:tcPr>
            <w:tcW w:w="1051" w:type="pct"/>
            <w:vAlign w:val="center"/>
          </w:tcPr>
          <w:p w14:paraId="1CB6F5CC">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M4</w:t>
            </w:r>
          </w:p>
        </w:tc>
        <w:tc>
          <w:tcPr>
            <w:tcW w:w="656" w:type="pct"/>
            <w:vAlign w:val="center"/>
          </w:tcPr>
          <w:p w14:paraId="4BBB8EA3">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3.78</w:t>
            </w:r>
          </w:p>
        </w:tc>
        <w:tc>
          <w:tcPr>
            <w:tcW w:w="657" w:type="pct"/>
            <w:vAlign w:val="center"/>
          </w:tcPr>
          <w:p w14:paraId="4C0BD78D">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334.73</w:t>
            </w:r>
          </w:p>
        </w:tc>
        <w:tc>
          <w:tcPr>
            <w:tcW w:w="656" w:type="pct"/>
            <w:vAlign w:val="center"/>
          </w:tcPr>
          <w:p w14:paraId="1480FC4F">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3.83</w:t>
            </w:r>
          </w:p>
        </w:tc>
        <w:tc>
          <w:tcPr>
            <w:tcW w:w="657" w:type="pct"/>
            <w:vAlign w:val="center"/>
          </w:tcPr>
          <w:p w14:paraId="4177DE86">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345.12</w:t>
            </w:r>
          </w:p>
        </w:tc>
        <w:tc>
          <w:tcPr>
            <w:tcW w:w="656" w:type="pct"/>
            <w:vAlign w:val="center"/>
          </w:tcPr>
          <w:p w14:paraId="6F97D8CD">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3.90</w:t>
            </w:r>
          </w:p>
        </w:tc>
        <w:tc>
          <w:tcPr>
            <w:tcW w:w="664" w:type="pct"/>
            <w:vAlign w:val="center"/>
          </w:tcPr>
          <w:p w14:paraId="446C1D8D">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357.84</w:t>
            </w:r>
          </w:p>
        </w:tc>
      </w:tr>
      <w:tr w14:paraId="1615899E">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9" w:hRule="atLeast"/>
          <w:jc w:val="center"/>
        </w:trPr>
        <w:tc>
          <w:tcPr>
            <w:tcW w:w="1051" w:type="pct"/>
            <w:vAlign w:val="center"/>
          </w:tcPr>
          <w:p w14:paraId="0C0574F9">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MS4</w:t>
            </w:r>
          </w:p>
        </w:tc>
        <w:tc>
          <w:tcPr>
            <w:tcW w:w="656" w:type="pct"/>
            <w:vAlign w:val="center"/>
          </w:tcPr>
          <w:p w14:paraId="2C5A72F4">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1.42</w:t>
            </w:r>
          </w:p>
        </w:tc>
        <w:tc>
          <w:tcPr>
            <w:tcW w:w="657" w:type="pct"/>
            <w:vAlign w:val="center"/>
          </w:tcPr>
          <w:p w14:paraId="1FCF394D">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296.76</w:t>
            </w:r>
          </w:p>
        </w:tc>
        <w:tc>
          <w:tcPr>
            <w:tcW w:w="656" w:type="pct"/>
            <w:vAlign w:val="center"/>
          </w:tcPr>
          <w:p w14:paraId="35EB9237">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1.24</w:t>
            </w:r>
          </w:p>
        </w:tc>
        <w:tc>
          <w:tcPr>
            <w:tcW w:w="657" w:type="pct"/>
            <w:vAlign w:val="center"/>
          </w:tcPr>
          <w:p w14:paraId="2EE5007A">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301.15</w:t>
            </w:r>
          </w:p>
        </w:tc>
        <w:tc>
          <w:tcPr>
            <w:tcW w:w="656" w:type="pct"/>
            <w:vAlign w:val="center"/>
          </w:tcPr>
          <w:p w14:paraId="64A1B179">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1.01</w:t>
            </w:r>
          </w:p>
        </w:tc>
        <w:tc>
          <w:tcPr>
            <w:tcW w:w="664" w:type="pct"/>
            <w:vAlign w:val="center"/>
          </w:tcPr>
          <w:p w14:paraId="7DE432E4">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304.60</w:t>
            </w:r>
          </w:p>
        </w:tc>
      </w:tr>
      <w:tr w14:paraId="0B525ACC">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9" w:hRule="atLeast"/>
          <w:jc w:val="center"/>
        </w:trPr>
        <w:tc>
          <w:tcPr>
            <w:tcW w:w="1051" w:type="pct"/>
            <w:vAlign w:val="center"/>
          </w:tcPr>
          <w:p w14:paraId="1E172F5B">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M6</w:t>
            </w:r>
          </w:p>
        </w:tc>
        <w:tc>
          <w:tcPr>
            <w:tcW w:w="656" w:type="pct"/>
            <w:vAlign w:val="center"/>
          </w:tcPr>
          <w:p w14:paraId="578B2B00">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0.19</w:t>
            </w:r>
          </w:p>
        </w:tc>
        <w:tc>
          <w:tcPr>
            <w:tcW w:w="657" w:type="pct"/>
            <w:vAlign w:val="center"/>
          </w:tcPr>
          <w:p w14:paraId="14E92BC9">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228.85</w:t>
            </w:r>
          </w:p>
        </w:tc>
        <w:tc>
          <w:tcPr>
            <w:tcW w:w="656" w:type="pct"/>
            <w:vAlign w:val="center"/>
          </w:tcPr>
          <w:p w14:paraId="2DB653EA">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0.27</w:t>
            </w:r>
          </w:p>
        </w:tc>
        <w:tc>
          <w:tcPr>
            <w:tcW w:w="657" w:type="pct"/>
            <w:vAlign w:val="center"/>
          </w:tcPr>
          <w:p w14:paraId="2DAE9875">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229.13</w:t>
            </w:r>
          </w:p>
        </w:tc>
        <w:tc>
          <w:tcPr>
            <w:tcW w:w="656" w:type="pct"/>
            <w:vAlign w:val="center"/>
          </w:tcPr>
          <w:p w14:paraId="0308BDED">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0.29</w:t>
            </w:r>
          </w:p>
        </w:tc>
        <w:tc>
          <w:tcPr>
            <w:tcW w:w="664" w:type="pct"/>
            <w:vAlign w:val="center"/>
          </w:tcPr>
          <w:p w14:paraId="5A293E29">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229.19</w:t>
            </w:r>
          </w:p>
        </w:tc>
      </w:tr>
      <w:tr w14:paraId="319ADA45">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50" w:hRule="atLeast"/>
          <w:jc w:val="center"/>
        </w:trPr>
        <w:tc>
          <w:tcPr>
            <w:tcW w:w="1051" w:type="pct"/>
            <w:vAlign w:val="center"/>
          </w:tcPr>
          <w:p w14:paraId="742279AE">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MS6</w:t>
            </w:r>
          </w:p>
        </w:tc>
        <w:tc>
          <w:tcPr>
            <w:tcW w:w="656" w:type="pct"/>
            <w:vAlign w:val="center"/>
          </w:tcPr>
          <w:p w14:paraId="08B8D14F">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0.84</w:t>
            </w:r>
          </w:p>
        </w:tc>
        <w:tc>
          <w:tcPr>
            <w:tcW w:w="657" w:type="pct"/>
            <w:vAlign w:val="center"/>
          </w:tcPr>
          <w:p w14:paraId="286B526D">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252.16</w:t>
            </w:r>
          </w:p>
        </w:tc>
        <w:tc>
          <w:tcPr>
            <w:tcW w:w="656" w:type="pct"/>
            <w:vAlign w:val="center"/>
          </w:tcPr>
          <w:p w14:paraId="078FF870">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0.79</w:t>
            </w:r>
          </w:p>
        </w:tc>
        <w:tc>
          <w:tcPr>
            <w:tcW w:w="657" w:type="pct"/>
            <w:vAlign w:val="center"/>
          </w:tcPr>
          <w:p w14:paraId="24C5CF11">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262.20</w:t>
            </w:r>
          </w:p>
        </w:tc>
        <w:tc>
          <w:tcPr>
            <w:tcW w:w="656" w:type="pct"/>
            <w:vAlign w:val="center"/>
          </w:tcPr>
          <w:p w14:paraId="1C901339">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0.79</w:t>
            </w:r>
          </w:p>
        </w:tc>
        <w:tc>
          <w:tcPr>
            <w:tcW w:w="664" w:type="pct"/>
            <w:vAlign w:val="center"/>
          </w:tcPr>
          <w:p w14:paraId="4F724F71">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276.51</w:t>
            </w:r>
          </w:p>
        </w:tc>
      </w:tr>
      <w:tr w14:paraId="06613B8B">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9" w:hRule="atLeast"/>
          <w:jc w:val="center"/>
        </w:trPr>
        <w:tc>
          <w:tcPr>
            <w:tcW w:w="1051" w:type="pct"/>
            <w:vAlign w:val="center"/>
          </w:tcPr>
          <w:p w14:paraId="19CDFBC2">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第一类潮汐特征值</w:t>
            </w:r>
          </w:p>
        </w:tc>
        <w:tc>
          <w:tcPr>
            <w:tcW w:w="1313" w:type="pct"/>
            <w:gridSpan w:val="2"/>
            <w:vAlign w:val="center"/>
          </w:tcPr>
          <w:p w14:paraId="397E47DF">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3.12</w:t>
            </w:r>
          </w:p>
        </w:tc>
        <w:tc>
          <w:tcPr>
            <w:tcW w:w="1313" w:type="pct"/>
            <w:gridSpan w:val="2"/>
            <w:vAlign w:val="center"/>
          </w:tcPr>
          <w:p w14:paraId="650A5DB6">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3.10</w:t>
            </w:r>
          </w:p>
        </w:tc>
        <w:tc>
          <w:tcPr>
            <w:tcW w:w="1321" w:type="pct"/>
            <w:gridSpan w:val="2"/>
            <w:vAlign w:val="center"/>
          </w:tcPr>
          <w:p w14:paraId="4E0E1B24">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3.08</w:t>
            </w:r>
          </w:p>
        </w:tc>
      </w:tr>
      <w:tr w14:paraId="2D4C0DCB">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64" w:hRule="atLeast"/>
          <w:jc w:val="center"/>
        </w:trPr>
        <w:tc>
          <w:tcPr>
            <w:tcW w:w="1051" w:type="pct"/>
            <w:vAlign w:val="center"/>
          </w:tcPr>
          <w:p w14:paraId="39F1BDBA">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第二类潮汐特征值</w:t>
            </w:r>
          </w:p>
        </w:tc>
        <w:tc>
          <w:tcPr>
            <w:tcW w:w="1313" w:type="pct"/>
            <w:gridSpan w:val="2"/>
            <w:vAlign w:val="center"/>
          </w:tcPr>
          <w:p w14:paraId="09D8339B">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4.37</w:t>
            </w:r>
          </w:p>
        </w:tc>
        <w:tc>
          <w:tcPr>
            <w:tcW w:w="1313" w:type="pct"/>
            <w:gridSpan w:val="2"/>
            <w:vAlign w:val="center"/>
          </w:tcPr>
          <w:p w14:paraId="798ECDEF">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4.35</w:t>
            </w:r>
          </w:p>
        </w:tc>
        <w:tc>
          <w:tcPr>
            <w:tcW w:w="1321" w:type="pct"/>
            <w:gridSpan w:val="2"/>
            <w:vAlign w:val="center"/>
          </w:tcPr>
          <w:p w14:paraId="7EFE25B9">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4.32</w:t>
            </w:r>
          </w:p>
        </w:tc>
      </w:tr>
    </w:tbl>
    <w:p w14:paraId="530CD0E4">
      <w:pPr>
        <w:pStyle w:val="6"/>
        <w:rPr>
          <w:color w:val="000000" w:themeColor="text1"/>
          <w:kern w:val="0"/>
          <w:szCs w:val="22"/>
          <w14:textFill>
            <w14:solidFill>
              <w14:schemeClr w14:val="tx1"/>
            </w14:solidFill>
          </w14:textFill>
        </w:rPr>
      </w:pPr>
      <w:r>
        <w:rPr>
          <w:rFonts w:hint="eastAsia"/>
          <w:color w:val="000000" w:themeColor="text1"/>
          <w:kern w:val="0"/>
          <w:szCs w:val="22"/>
          <w14:textFill>
            <w14:solidFill>
              <w14:schemeClr w14:val="tx1"/>
            </w14:solidFill>
          </w14:textFill>
        </w:rPr>
        <w:t>潮流分析</w:t>
      </w:r>
    </w:p>
    <w:p w14:paraId="632497CD">
      <w:pPr>
        <w:ind w:firstLine="480"/>
        <w:rPr>
          <w:color w:val="000000" w:themeColor="text1"/>
          <w:kern w:val="0"/>
          <w:szCs w:val="20"/>
          <w14:textFill>
            <w14:solidFill>
              <w14:schemeClr w14:val="tx1"/>
            </w14:solidFill>
          </w14:textFill>
        </w:rPr>
      </w:pPr>
      <w:r>
        <w:rPr>
          <w:color w:val="000000" w:themeColor="text1"/>
          <w:kern w:val="0"/>
          <w:szCs w:val="20"/>
          <w14:textFill>
            <w14:solidFill>
              <w14:schemeClr w14:val="tx1"/>
            </w14:solidFill>
          </w14:textFill>
        </w:rPr>
        <w:t>1、实测结果</w:t>
      </w:r>
    </w:p>
    <w:p w14:paraId="3CF7DDD0">
      <w:pPr>
        <w:ind w:firstLine="480"/>
        <w:rPr>
          <w:color w:val="000000" w:themeColor="text1"/>
          <w:kern w:val="0"/>
          <w:szCs w:val="20"/>
          <w14:textFill>
            <w14:solidFill>
              <w14:schemeClr w14:val="tx1"/>
            </w14:solidFill>
          </w14:textFill>
        </w:rPr>
      </w:pPr>
      <w:r>
        <w:rPr>
          <w:color w:val="000000" w:themeColor="text1"/>
          <w:kern w:val="0"/>
          <w:szCs w:val="20"/>
          <w14:textFill>
            <w14:solidFill>
              <w14:schemeClr w14:val="tx1"/>
            </w14:solidFill>
          </w14:textFill>
        </w:rPr>
        <w:t>按照项目技术要求，在测区布设V1~V9共计9个定点测站进行了大、小潮汛时连续26个时次的潮流观测，为更清晰地了解测区9个测站的潮流流速、流向分布特征，该处统计了本次大、小潮汛时9个测站各层次的实测最大流速、流向情况。现根据实测资料绘制的潮流矢量图，予以分析。</w:t>
      </w:r>
    </w:p>
    <w:p w14:paraId="511BFB55">
      <w:pPr>
        <w:ind w:firstLine="480"/>
        <w:rPr>
          <w:color w:val="000000" w:themeColor="text1"/>
          <w:kern w:val="0"/>
          <w:szCs w:val="20"/>
          <w14:textFill>
            <w14:solidFill>
              <w14:schemeClr w14:val="tx1"/>
            </w14:solidFill>
          </w14:textFill>
        </w:rPr>
      </w:pPr>
      <w:r>
        <w:rPr>
          <w:rFonts w:hint="eastAsia"/>
          <w:color w:val="000000" w:themeColor="text1"/>
          <w:kern w:val="0"/>
          <w:szCs w:val="20"/>
          <w14:textFill>
            <w14:solidFill>
              <w14:schemeClr w14:val="tx1"/>
            </w14:solidFill>
          </w14:textFill>
        </w:rPr>
        <w:t>大潮监测时间：2023年4月21日~2023年4月22日，小潮监测时间：2</w:t>
      </w:r>
      <w:r>
        <w:rPr>
          <w:color w:val="000000" w:themeColor="text1"/>
          <w:kern w:val="0"/>
          <w:szCs w:val="20"/>
          <w14:textFill>
            <w14:solidFill>
              <w14:schemeClr w14:val="tx1"/>
            </w14:solidFill>
          </w14:textFill>
        </w:rPr>
        <w:t>023</w:t>
      </w:r>
      <w:r>
        <w:rPr>
          <w:rFonts w:hint="eastAsia"/>
          <w:color w:val="000000" w:themeColor="text1"/>
          <w:kern w:val="0"/>
          <w:szCs w:val="20"/>
          <w14:textFill>
            <w14:solidFill>
              <w14:schemeClr w14:val="tx1"/>
            </w14:solidFill>
          </w14:textFill>
        </w:rPr>
        <w:t>年4月27日</w:t>
      </w:r>
      <w:r>
        <w:rPr>
          <w:color w:val="000000" w:themeColor="text1"/>
          <w:kern w:val="0"/>
          <w:szCs w:val="20"/>
          <w14:textFill>
            <w14:solidFill>
              <w14:schemeClr w14:val="tx1"/>
            </w14:solidFill>
          </w14:textFill>
        </w:rPr>
        <w:t>~2023</w:t>
      </w:r>
      <w:r>
        <w:rPr>
          <w:rFonts w:hint="eastAsia"/>
          <w:color w:val="000000" w:themeColor="text1"/>
          <w:kern w:val="0"/>
          <w:szCs w:val="20"/>
          <w14:textFill>
            <w14:solidFill>
              <w14:schemeClr w14:val="tx1"/>
            </w14:solidFill>
          </w14:textFill>
        </w:rPr>
        <w:t>年4月28日。</w:t>
      </w:r>
    </w:p>
    <w:p w14:paraId="46D886F2">
      <w:pPr>
        <w:ind w:firstLine="480"/>
        <w:rPr>
          <w:color w:val="000000" w:themeColor="text1"/>
          <w:kern w:val="0"/>
          <w:szCs w:val="20"/>
          <w14:textFill>
            <w14:solidFill>
              <w14:schemeClr w14:val="tx1"/>
            </w14:solidFill>
          </w14:textFill>
        </w:rPr>
      </w:pPr>
      <w:r>
        <w:rPr>
          <w:rFonts w:hint="eastAsia"/>
          <w:color w:val="000000" w:themeColor="text1"/>
          <w:kern w:val="0"/>
          <w:szCs w:val="20"/>
          <w14:textFill>
            <w14:solidFill>
              <w14:schemeClr w14:val="tx1"/>
            </w14:solidFill>
          </w14:textFill>
        </w:rPr>
        <w:t>（</w:t>
      </w:r>
      <w:r>
        <w:rPr>
          <w:color w:val="000000" w:themeColor="text1"/>
          <w:kern w:val="0"/>
          <w:szCs w:val="20"/>
          <w14:textFill>
            <w14:solidFill>
              <w14:schemeClr w14:val="tx1"/>
            </w14:solidFill>
          </w14:textFill>
        </w:rPr>
        <w:t>1）潮汛期间，测区各站位潮流运动形式以往复流为主。</w:t>
      </w:r>
    </w:p>
    <w:p w14:paraId="37ABD831">
      <w:pPr>
        <w:ind w:firstLine="480"/>
        <w:rPr>
          <w:color w:val="000000" w:themeColor="text1"/>
          <w:kern w:val="0"/>
          <w:szCs w:val="20"/>
          <w14:textFill>
            <w14:solidFill>
              <w14:schemeClr w14:val="tx1"/>
            </w14:solidFill>
          </w14:textFill>
        </w:rPr>
      </w:pPr>
      <w:r>
        <w:rPr>
          <w:rFonts w:hint="eastAsia"/>
          <w:color w:val="000000" w:themeColor="text1"/>
          <w:kern w:val="0"/>
          <w:szCs w:val="20"/>
          <w14:textFill>
            <w14:solidFill>
              <w14:schemeClr w14:val="tx1"/>
            </w14:solidFill>
          </w14:textFill>
        </w:rPr>
        <w:t>（</w:t>
      </w:r>
      <w:r>
        <w:rPr>
          <w:color w:val="000000" w:themeColor="text1"/>
          <w:kern w:val="0"/>
          <w:szCs w:val="20"/>
          <w14:textFill>
            <w14:solidFill>
              <w14:schemeClr w14:val="tx1"/>
            </w14:solidFill>
          </w14:textFill>
        </w:rPr>
        <w:t>2）从层次来看，测区普遍上层流速&gt;中层&gt;底层流速。</w:t>
      </w:r>
    </w:p>
    <w:p w14:paraId="2A5A2C6B">
      <w:pPr>
        <w:ind w:firstLine="480"/>
        <w:rPr>
          <w:color w:val="000000" w:themeColor="text1"/>
          <w:kern w:val="0"/>
          <w:szCs w:val="20"/>
          <w14:textFill>
            <w14:solidFill>
              <w14:schemeClr w14:val="tx1"/>
            </w14:solidFill>
          </w14:textFill>
        </w:rPr>
      </w:pPr>
      <w:r>
        <w:rPr>
          <w:rFonts w:hint="eastAsia"/>
          <w:color w:val="000000" w:themeColor="text1"/>
          <w:kern w:val="0"/>
          <w:szCs w:val="20"/>
          <w14:textFill>
            <w14:solidFill>
              <w14:schemeClr w14:val="tx1"/>
            </w14:solidFill>
          </w14:textFill>
        </w:rPr>
        <w:t>（</w:t>
      </w:r>
      <w:r>
        <w:rPr>
          <w:color w:val="000000" w:themeColor="text1"/>
          <w:kern w:val="0"/>
          <w:szCs w:val="20"/>
          <w14:textFill>
            <w14:solidFill>
              <w14:schemeClr w14:val="tx1"/>
            </w14:solidFill>
          </w14:textFill>
        </w:rPr>
        <w:t>3）潮流实测最大值为140cm/s，方向为139°</w:t>
      </w:r>
      <w:r>
        <w:rPr>
          <w:rFonts w:hint="eastAsia"/>
          <w:color w:val="000000" w:themeColor="text1"/>
          <w:kern w:val="0"/>
          <w:szCs w:val="20"/>
          <w14:textFill>
            <w14:solidFill>
              <w14:schemeClr w14:val="tx1"/>
            </w14:solidFill>
          </w14:textFill>
        </w:rPr>
        <w:t>，</w:t>
      </w:r>
      <w:r>
        <w:rPr>
          <w:color w:val="000000" w:themeColor="text1"/>
          <w:kern w:val="0"/>
          <w:szCs w:val="20"/>
          <w14:textFill>
            <w14:solidFill>
              <w14:schemeClr w14:val="tx1"/>
            </w14:solidFill>
          </w14:textFill>
        </w:rPr>
        <w:t>发生自V9站位的大潮表层落潮方向。</w:t>
      </w:r>
    </w:p>
    <w:p w14:paraId="678663E2">
      <w:pPr>
        <w:ind w:firstLine="0" w:firstLineChars="0"/>
        <w:jc w:val="center"/>
        <w:rPr>
          <w:b/>
          <w:bCs/>
          <w:color w:val="000000" w:themeColor="text1"/>
          <w:kern w:val="0"/>
          <w:szCs w:val="20"/>
          <w14:textFill>
            <w14:solidFill>
              <w14:schemeClr w14:val="tx1"/>
            </w14:solidFill>
          </w14:textFill>
        </w:rPr>
      </w:pPr>
    </w:p>
    <w:p w14:paraId="4B92A3AD">
      <w:pPr>
        <w:pStyle w:val="7"/>
        <w:rPr>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实测潮流最大流速统计结果表</w:t>
      </w:r>
    </w:p>
    <w:tbl>
      <w:tblPr>
        <w:tblStyle w:val="219"/>
        <w:tblW w:w="4998"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0" w:type="dxa"/>
          <w:bottom w:w="0" w:type="dxa"/>
          <w:right w:w="0" w:type="dxa"/>
        </w:tblCellMar>
      </w:tblPr>
      <w:tblGrid>
        <w:gridCol w:w="1036"/>
        <w:gridCol w:w="1033"/>
        <w:gridCol w:w="1034"/>
        <w:gridCol w:w="1040"/>
        <w:gridCol w:w="1054"/>
        <w:gridCol w:w="1034"/>
        <w:gridCol w:w="1035"/>
        <w:gridCol w:w="1067"/>
      </w:tblGrid>
      <w:tr w14:paraId="5BC7C62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69" w:hRule="atLeast"/>
          <w:tblHeader/>
          <w:jc w:val="center"/>
        </w:trPr>
        <w:tc>
          <w:tcPr>
            <w:tcW w:w="622" w:type="pct"/>
            <w:vMerge w:val="restart"/>
            <w:vAlign w:val="center"/>
          </w:tcPr>
          <w:p w14:paraId="4BAA690F">
            <w:pPr>
              <w:spacing w:line="240" w:lineRule="auto"/>
              <w:ind w:firstLine="0" w:firstLineChars="0"/>
              <w:jc w:val="center"/>
              <w:rPr>
                <w:b/>
                <w:color w:val="000000" w:themeColor="text1"/>
                <w:kern w:val="0"/>
                <w:sz w:val="21"/>
                <w:szCs w:val="21"/>
                <w14:textFill>
                  <w14:solidFill>
                    <w14:schemeClr w14:val="tx1"/>
                  </w14:solidFill>
                </w14:textFill>
              </w:rPr>
            </w:pPr>
            <w:r>
              <w:rPr>
                <w:b/>
                <w:color w:val="000000" w:themeColor="text1"/>
                <w:kern w:val="0"/>
                <w:sz w:val="21"/>
                <w:szCs w:val="21"/>
                <w14:textFill>
                  <w14:solidFill>
                    <w14:schemeClr w14:val="tx1"/>
                  </w14:solidFill>
                </w14:textFill>
              </w:rPr>
              <w:t>站位</w:t>
            </w:r>
          </w:p>
        </w:tc>
        <w:tc>
          <w:tcPr>
            <w:tcW w:w="620" w:type="pct"/>
            <w:vMerge w:val="restart"/>
            <w:vAlign w:val="center"/>
          </w:tcPr>
          <w:p w14:paraId="4599716E">
            <w:pPr>
              <w:spacing w:line="240" w:lineRule="auto"/>
              <w:ind w:firstLine="0" w:firstLineChars="0"/>
              <w:jc w:val="center"/>
              <w:rPr>
                <w:b/>
                <w:color w:val="000000" w:themeColor="text1"/>
                <w:kern w:val="0"/>
                <w:sz w:val="21"/>
                <w:szCs w:val="21"/>
                <w14:textFill>
                  <w14:solidFill>
                    <w14:schemeClr w14:val="tx1"/>
                  </w14:solidFill>
                </w14:textFill>
              </w:rPr>
            </w:pPr>
            <w:r>
              <w:rPr>
                <w:b/>
                <w:color w:val="000000" w:themeColor="text1"/>
                <w:kern w:val="0"/>
                <w:sz w:val="21"/>
                <w:szCs w:val="21"/>
                <w14:textFill>
                  <w14:solidFill>
                    <w14:schemeClr w14:val="tx1"/>
                  </w14:solidFill>
                </w14:textFill>
              </w:rPr>
              <w:t>实测流速</w:t>
            </w:r>
          </w:p>
        </w:tc>
        <w:tc>
          <w:tcPr>
            <w:tcW w:w="1876" w:type="pct"/>
            <w:gridSpan w:val="3"/>
            <w:vAlign w:val="center"/>
          </w:tcPr>
          <w:p w14:paraId="537814F8">
            <w:pPr>
              <w:spacing w:line="240" w:lineRule="auto"/>
              <w:ind w:firstLine="0" w:firstLineChars="0"/>
              <w:jc w:val="center"/>
              <w:rPr>
                <w:b/>
                <w:color w:val="000000" w:themeColor="text1"/>
                <w:kern w:val="0"/>
                <w:sz w:val="21"/>
                <w:szCs w:val="21"/>
                <w14:textFill>
                  <w14:solidFill>
                    <w14:schemeClr w14:val="tx1"/>
                  </w14:solidFill>
                </w14:textFill>
              </w:rPr>
            </w:pPr>
            <w:r>
              <w:rPr>
                <w:b/>
                <w:color w:val="000000" w:themeColor="text1"/>
                <w:kern w:val="0"/>
                <w:sz w:val="21"/>
                <w:szCs w:val="21"/>
                <w14:textFill>
                  <w14:solidFill>
                    <w14:schemeClr w14:val="tx1"/>
                  </w14:solidFill>
                </w14:textFill>
              </w:rPr>
              <w:t>大潮实测潮流最大值（小时、cm/s、°)</w:t>
            </w:r>
          </w:p>
        </w:tc>
        <w:tc>
          <w:tcPr>
            <w:tcW w:w="1881" w:type="pct"/>
            <w:gridSpan w:val="3"/>
            <w:vAlign w:val="center"/>
          </w:tcPr>
          <w:p w14:paraId="250C5C52">
            <w:pPr>
              <w:spacing w:line="240" w:lineRule="auto"/>
              <w:ind w:firstLine="0" w:firstLineChars="0"/>
              <w:jc w:val="center"/>
              <w:rPr>
                <w:b/>
                <w:color w:val="000000" w:themeColor="text1"/>
                <w:kern w:val="0"/>
                <w:sz w:val="21"/>
                <w:szCs w:val="21"/>
                <w14:textFill>
                  <w14:solidFill>
                    <w14:schemeClr w14:val="tx1"/>
                  </w14:solidFill>
                </w14:textFill>
              </w:rPr>
            </w:pPr>
            <w:r>
              <w:rPr>
                <w:b/>
                <w:color w:val="000000" w:themeColor="text1"/>
                <w:kern w:val="0"/>
                <w:sz w:val="21"/>
                <w:szCs w:val="21"/>
                <w14:textFill>
                  <w14:solidFill>
                    <w14:schemeClr w14:val="tx1"/>
                  </w14:solidFill>
                </w14:textFill>
              </w:rPr>
              <w:t>小潮实测潮流最大值（小时、cm/s、°)</w:t>
            </w:r>
          </w:p>
        </w:tc>
      </w:tr>
      <w:tr w14:paraId="50F06B3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72" w:hRule="atLeast"/>
          <w:tblHeader/>
          <w:jc w:val="center"/>
        </w:trPr>
        <w:tc>
          <w:tcPr>
            <w:tcW w:w="622" w:type="pct"/>
            <w:vMerge w:val="continue"/>
            <w:vAlign w:val="center"/>
          </w:tcPr>
          <w:p w14:paraId="4D282E38">
            <w:pPr>
              <w:spacing w:line="240" w:lineRule="auto"/>
              <w:ind w:firstLine="0" w:firstLineChars="0"/>
              <w:jc w:val="center"/>
              <w:rPr>
                <w:b/>
                <w:color w:val="000000" w:themeColor="text1"/>
                <w:kern w:val="0"/>
                <w:sz w:val="21"/>
                <w:szCs w:val="21"/>
                <w14:textFill>
                  <w14:solidFill>
                    <w14:schemeClr w14:val="tx1"/>
                  </w14:solidFill>
                </w14:textFill>
              </w:rPr>
            </w:pPr>
          </w:p>
        </w:tc>
        <w:tc>
          <w:tcPr>
            <w:tcW w:w="620" w:type="pct"/>
            <w:vMerge w:val="continue"/>
            <w:vAlign w:val="center"/>
          </w:tcPr>
          <w:p w14:paraId="17571D7B">
            <w:pPr>
              <w:spacing w:line="240" w:lineRule="auto"/>
              <w:ind w:firstLine="0" w:firstLineChars="0"/>
              <w:jc w:val="center"/>
              <w:rPr>
                <w:b/>
                <w:color w:val="000000" w:themeColor="text1"/>
                <w:kern w:val="0"/>
                <w:sz w:val="21"/>
                <w:szCs w:val="21"/>
                <w14:textFill>
                  <w14:solidFill>
                    <w14:schemeClr w14:val="tx1"/>
                  </w14:solidFill>
                </w14:textFill>
              </w:rPr>
            </w:pPr>
          </w:p>
        </w:tc>
        <w:tc>
          <w:tcPr>
            <w:tcW w:w="620" w:type="pct"/>
            <w:vAlign w:val="center"/>
          </w:tcPr>
          <w:p w14:paraId="658401CD">
            <w:pPr>
              <w:spacing w:line="240" w:lineRule="auto"/>
              <w:ind w:firstLine="0" w:firstLineChars="0"/>
              <w:jc w:val="center"/>
              <w:rPr>
                <w:b/>
                <w:color w:val="000000" w:themeColor="text1"/>
                <w:kern w:val="0"/>
                <w:sz w:val="21"/>
                <w:szCs w:val="21"/>
                <w14:textFill>
                  <w14:solidFill>
                    <w14:schemeClr w14:val="tx1"/>
                  </w14:solidFill>
                </w14:textFill>
              </w:rPr>
            </w:pPr>
            <w:r>
              <w:rPr>
                <w:b/>
                <w:color w:val="000000" w:themeColor="text1"/>
                <w:kern w:val="0"/>
                <w:sz w:val="21"/>
                <w:szCs w:val="21"/>
                <w14:textFill>
                  <w14:solidFill>
                    <w14:schemeClr w14:val="tx1"/>
                  </w14:solidFill>
                </w14:textFill>
              </w:rPr>
              <w:t>T</w:t>
            </w:r>
          </w:p>
        </w:tc>
        <w:tc>
          <w:tcPr>
            <w:tcW w:w="624" w:type="pct"/>
            <w:vAlign w:val="center"/>
          </w:tcPr>
          <w:p w14:paraId="578049F6">
            <w:pPr>
              <w:spacing w:line="240" w:lineRule="auto"/>
              <w:ind w:firstLine="0" w:firstLineChars="0"/>
              <w:jc w:val="center"/>
              <w:rPr>
                <w:b/>
                <w:color w:val="000000" w:themeColor="text1"/>
                <w:kern w:val="0"/>
                <w:sz w:val="21"/>
                <w:szCs w:val="21"/>
                <w14:textFill>
                  <w14:solidFill>
                    <w14:schemeClr w14:val="tx1"/>
                  </w14:solidFill>
                </w14:textFill>
              </w:rPr>
            </w:pPr>
            <w:r>
              <w:rPr>
                <w:b/>
                <w:color w:val="000000" w:themeColor="text1"/>
                <w:kern w:val="0"/>
                <w:sz w:val="21"/>
                <w:szCs w:val="21"/>
                <w14:textFill>
                  <w14:solidFill>
                    <w14:schemeClr w14:val="tx1"/>
                  </w14:solidFill>
                </w14:textFill>
              </w:rPr>
              <w:t>V</w:t>
            </w:r>
          </w:p>
        </w:tc>
        <w:tc>
          <w:tcPr>
            <w:tcW w:w="631" w:type="pct"/>
            <w:vAlign w:val="center"/>
          </w:tcPr>
          <w:p w14:paraId="381F4401">
            <w:pPr>
              <w:spacing w:line="240" w:lineRule="auto"/>
              <w:ind w:firstLine="0" w:firstLineChars="0"/>
              <w:jc w:val="center"/>
              <w:rPr>
                <w:b/>
                <w:color w:val="000000" w:themeColor="text1"/>
                <w:kern w:val="0"/>
                <w:sz w:val="21"/>
                <w:szCs w:val="21"/>
                <w14:textFill>
                  <w14:solidFill>
                    <w14:schemeClr w14:val="tx1"/>
                  </w14:solidFill>
                </w14:textFill>
              </w:rPr>
            </w:pPr>
            <w:r>
              <w:rPr>
                <w:b/>
                <w:color w:val="000000" w:themeColor="text1"/>
                <w:kern w:val="0"/>
                <w:sz w:val="21"/>
                <w:szCs w:val="21"/>
                <w14:textFill>
                  <w14:solidFill>
                    <w14:schemeClr w14:val="tx1"/>
                  </w14:solidFill>
                </w14:textFill>
              </w:rPr>
              <w:t>D</w:t>
            </w:r>
          </w:p>
        </w:tc>
        <w:tc>
          <w:tcPr>
            <w:tcW w:w="620" w:type="pct"/>
            <w:vAlign w:val="center"/>
          </w:tcPr>
          <w:p w14:paraId="001E09B3">
            <w:pPr>
              <w:spacing w:line="240" w:lineRule="auto"/>
              <w:ind w:firstLine="0" w:firstLineChars="0"/>
              <w:jc w:val="center"/>
              <w:rPr>
                <w:b/>
                <w:color w:val="000000" w:themeColor="text1"/>
                <w:kern w:val="0"/>
                <w:sz w:val="21"/>
                <w:szCs w:val="21"/>
                <w14:textFill>
                  <w14:solidFill>
                    <w14:schemeClr w14:val="tx1"/>
                  </w14:solidFill>
                </w14:textFill>
              </w:rPr>
            </w:pPr>
            <w:r>
              <w:rPr>
                <w:b/>
                <w:color w:val="000000" w:themeColor="text1"/>
                <w:kern w:val="0"/>
                <w:sz w:val="21"/>
                <w:szCs w:val="21"/>
                <w14:textFill>
                  <w14:solidFill>
                    <w14:schemeClr w14:val="tx1"/>
                  </w14:solidFill>
                </w14:textFill>
              </w:rPr>
              <w:t>T</w:t>
            </w:r>
          </w:p>
        </w:tc>
        <w:tc>
          <w:tcPr>
            <w:tcW w:w="621" w:type="pct"/>
            <w:vAlign w:val="center"/>
          </w:tcPr>
          <w:p w14:paraId="2D3A97A5">
            <w:pPr>
              <w:spacing w:line="240" w:lineRule="auto"/>
              <w:ind w:firstLine="0" w:firstLineChars="0"/>
              <w:jc w:val="center"/>
              <w:rPr>
                <w:b/>
                <w:color w:val="000000" w:themeColor="text1"/>
                <w:kern w:val="0"/>
                <w:sz w:val="21"/>
                <w:szCs w:val="21"/>
                <w14:textFill>
                  <w14:solidFill>
                    <w14:schemeClr w14:val="tx1"/>
                  </w14:solidFill>
                </w14:textFill>
              </w:rPr>
            </w:pPr>
            <w:r>
              <w:rPr>
                <w:b/>
                <w:color w:val="000000" w:themeColor="text1"/>
                <w:kern w:val="0"/>
                <w:sz w:val="21"/>
                <w:szCs w:val="21"/>
                <w14:textFill>
                  <w14:solidFill>
                    <w14:schemeClr w14:val="tx1"/>
                  </w14:solidFill>
                </w14:textFill>
              </w:rPr>
              <w:t>V</w:t>
            </w:r>
          </w:p>
        </w:tc>
        <w:tc>
          <w:tcPr>
            <w:tcW w:w="638" w:type="pct"/>
            <w:vAlign w:val="center"/>
          </w:tcPr>
          <w:p w14:paraId="35DEC8D8">
            <w:pPr>
              <w:spacing w:line="240" w:lineRule="auto"/>
              <w:ind w:firstLine="0" w:firstLineChars="0"/>
              <w:jc w:val="center"/>
              <w:rPr>
                <w:b/>
                <w:color w:val="000000" w:themeColor="text1"/>
                <w:kern w:val="0"/>
                <w:sz w:val="21"/>
                <w:szCs w:val="21"/>
                <w14:textFill>
                  <w14:solidFill>
                    <w14:schemeClr w14:val="tx1"/>
                  </w14:solidFill>
                </w14:textFill>
              </w:rPr>
            </w:pPr>
            <w:r>
              <w:rPr>
                <w:b/>
                <w:color w:val="000000" w:themeColor="text1"/>
                <w:kern w:val="0"/>
                <w:sz w:val="21"/>
                <w:szCs w:val="21"/>
                <w14:textFill>
                  <w14:solidFill>
                    <w14:schemeClr w14:val="tx1"/>
                  </w14:solidFill>
                </w14:textFill>
              </w:rPr>
              <w:t>D</w:t>
            </w:r>
          </w:p>
        </w:tc>
      </w:tr>
      <w:tr w14:paraId="023E16B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68" w:hRule="atLeast"/>
          <w:jc w:val="center"/>
        </w:trPr>
        <w:tc>
          <w:tcPr>
            <w:tcW w:w="622" w:type="pct"/>
            <w:vMerge w:val="restart"/>
            <w:vAlign w:val="center"/>
          </w:tcPr>
          <w:p w14:paraId="31AD02E4">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V1</w:t>
            </w:r>
          </w:p>
        </w:tc>
        <w:tc>
          <w:tcPr>
            <w:tcW w:w="620" w:type="pct"/>
            <w:vAlign w:val="center"/>
          </w:tcPr>
          <w:p w14:paraId="70B61990">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表层</w:t>
            </w:r>
          </w:p>
        </w:tc>
        <w:tc>
          <w:tcPr>
            <w:tcW w:w="620" w:type="pct"/>
            <w:vAlign w:val="center"/>
          </w:tcPr>
          <w:p w14:paraId="70678741">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23:00</w:t>
            </w:r>
          </w:p>
        </w:tc>
        <w:tc>
          <w:tcPr>
            <w:tcW w:w="624" w:type="pct"/>
            <w:vAlign w:val="center"/>
          </w:tcPr>
          <w:p w14:paraId="1E172DDF">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56</w:t>
            </w:r>
          </w:p>
        </w:tc>
        <w:tc>
          <w:tcPr>
            <w:tcW w:w="631" w:type="pct"/>
            <w:vAlign w:val="center"/>
          </w:tcPr>
          <w:p w14:paraId="16F79410">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236</w:t>
            </w:r>
          </w:p>
        </w:tc>
        <w:tc>
          <w:tcPr>
            <w:tcW w:w="620" w:type="pct"/>
            <w:vAlign w:val="center"/>
          </w:tcPr>
          <w:p w14:paraId="015A41DB">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6:00</w:t>
            </w:r>
          </w:p>
        </w:tc>
        <w:tc>
          <w:tcPr>
            <w:tcW w:w="621" w:type="pct"/>
            <w:vAlign w:val="center"/>
          </w:tcPr>
          <w:p w14:paraId="485CDB85">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56</w:t>
            </w:r>
          </w:p>
        </w:tc>
        <w:tc>
          <w:tcPr>
            <w:tcW w:w="638" w:type="pct"/>
            <w:vAlign w:val="center"/>
          </w:tcPr>
          <w:p w14:paraId="01AA6179">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226</w:t>
            </w:r>
          </w:p>
        </w:tc>
      </w:tr>
      <w:tr w14:paraId="1FB5FE8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6" w:hRule="atLeast"/>
          <w:jc w:val="center"/>
        </w:trPr>
        <w:tc>
          <w:tcPr>
            <w:tcW w:w="622" w:type="pct"/>
            <w:vMerge w:val="continue"/>
            <w:vAlign w:val="center"/>
          </w:tcPr>
          <w:p w14:paraId="52CAF81B">
            <w:pPr>
              <w:spacing w:line="240" w:lineRule="auto"/>
              <w:ind w:firstLine="0" w:firstLineChars="0"/>
              <w:jc w:val="center"/>
              <w:rPr>
                <w:color w:val="000000" w:themeColor="text1"/>
                <w:kern w:val="0"/>
                <w:sz w:val="21"/>
                <w:szCs w:val="21"/>
                <w14:textFill>
                  <w14:solidFill>
                    <w14:schemeClr w14:val="tx1"/>
                  </w14:solidFill>
                </w14:textFill>
              </w:rPr>
            </w:pPr>
          </w:p>
        </w:tc>
        <w:tc>
          <w:tcPr>
            <w:tcW w:w="620" w:type="pct"/>
            <w:vAlign w:val="center"/>
          </w:tcPr>
          <w:p w14:paraId="413F612B">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0.2H</w:t>
            </w:r>
          </w:p>
        </w:tc>
        <w:tc>
          <w:tcPr>
            <w:tcW w:w="620" w:type="pct"/>
            <w:vAlign w:val="center"/>
          </w:tcPr>
          <w:p w14:paraId="2E9975A2">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22:00</w:t>
            </w:r>
          </w:p>
        </w:tc>
        <w:tc>
          <w:tcPr>
            <w:tcW w:w="624" w:type="pct"/>
            <w:vAlign w:val="center"/>
          </w:tcPr>
          <w:p w14:paraId="6524D5B9">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66</w:t>
            </w:r>
          </w:p>
        </w:tc>
        <w:tc>
          <w:tcPr>
            <w:tcW w:w="631" w:type="pct"/>
            <w:vAlign w:val="center"/>
          </w:tcPr>
          <w:p w14:paraId="29402128">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237</w:t>
            </w:r>
          </w:p>
        </w:tc>
        <w:tc>
          <w:tcPr>
            <w:tcW w:w="620" w:type="pct"/>
            <w:vAlign w:val="center"/>
          </w:tcPr>
          <w:p w14:paraId="024DBA88">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5:00</w:t>
            </w:r>
          </w:p>
        </w:tc>
        <w:tc>
          <w:tcPr>
            <w:tcW w:w="621" w:type="pct"/>
            <w:vAlign w:val="center"/>
          </w:tcPr>
          <w:p w14:paraId="6F0B60AE">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55</w:t>
            </w:r>
          </w:p>
        </w:tc>
        <w:tc>
          <w:tcPr>
            <w:tcW w:w="638" w:type="pct"/>
            <w:vAlign w:val="center"/>
          </w:tcPr>
          <w:p w14:paraId="16A80F9D">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228</w:t>
            </w:r>
          </w:p>
        </w:tc>
      </w:tr>
      <w:tr w14:paraId="4124FEC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6" w:hRule="atLeast"/>
          <w:jc w:val="center"/>
        </w:trPr>
        <w:tc>
          <w:tcPr>
            <w:tcW w:w="622" w:type="pct"/>
            <w:vMerge w:val="continue"/>
            <w:vAlign w:val="center"/>
          </w:tcPr>
          <w:p w14:paraId="78B2A9D9">
            <w:pPr>
              <w:spacing w:line="240" w:lineRule="auto"/>
              <w:ind w:firstLine="0" w:firstLineChars="0"/>
              <w:jc w:val="center"/>
              <w:rPr>
                <w:color w:val="000000" w:themeColor="text1"/>
                <w:kern w:val="0"/>
                <w:sz w:val="21"/>
                <w:szCs w:val="21"/>
                <w14:textFill>
                  <w14:solidFill>
                    <w14:schemeClr w14:val="tx1"/>
                  </w14:solidFill>
                </w14:textFill>
              </w:rPr>
            </w:pPr>
          </w:p>
        </w:tc>
        <w:tc>
          <w:tcPr>
            <w:tcW w:w="620" w:type="pct"/>
            <w:vAlign w:val="center"/>
          </w:tcPr>
          <w:p w14:paraId="5F9D3F24">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0.4H</w:t>
            </w:r>
          </w:p>
        </w:tc>
        <w:tc>
          <w:tcPr>
            <w:tcW w:w="620" w:type="pct"/>
            <w:vAlign w:val="center"/>
          </w:tcPr>
          <w:p w14:paraId="6FCD398C">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22:00</w:t>
            </w:r>
          </w:p>
        </w:tc>
        <w:tc>
          <w:tcPr>
            <w:tcW w:w="624" w:type="pct"/>
            <w:vAlign w:val="center"/>
          </w:tcPr>
          <w:p w14:paraId="1C1EC64F">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71</w:t>
            </w:r>
          </w:p>
        </w:tc>
        <w:tc>
          <w:tcPr>
            <w:tcW w:w="631" w:type="pct"/>
            <w:vAlign w:val="center"/>
          </w:tcPr>
          <w:p w14:paraId="5CC7405A">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234</w:t>
            </w:r>
          </w:p>
        </w:tc>
        <w:tc>
          <w:tcPr>
            <w:tcW w:w="620" w:type="pct"/>
            <w:vAlign w:val="center"/>
          </w:tcPr>
          <w:p w14:paraId="72D66ACA">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6:00</w:t>
            </w:r>
          </w:p>
        </w:tc>
        <w:tc>
          <w:tcPr>
            <w:tcW w:w="621" w:type="pct"/>
            <w:vAlign w:val="center"/>
          </w:tcPr>
          <w:p w14:paraId="7194418D">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61</w:t>
            </w:r>
          </w:p>
        </w:tc>
        <w:tc>
          <w:tcPr>
            <w:tcW w:w="638" w:type="pct"/>
            <w:vAlign w:val="center"/>
          </w:tcPr>
          <w:p w14:paraId="17115629">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205</w:t>
            </w:r>
          </w:p>
        </w:tc>
      </w:tr>
      <w:tr w14:paraId="6A6063C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6" w:hRule="atLeast"/>
          <w:jc w:val="center"/>
        </w:trPr>
        <w:tc>
          <w:tcPr>
            <w:tcW w:w="622" w:type="pct"/>
            <w:vMerge w:val="continue"/>
            <w:vAlign w:val="center"/>
          </w:tcPr>
          <w:p w14:paraId="6DF9CEAB">
            <w:pPr>
              <w:spacing w:line="240" w:lineRule="auto"/>
              <w:ind w:firstLine="0" w:firstLineChars="0"/>
              <w:jc w:val="center"/>
              <w:rPr>
                <w:color w:val="000000" w:themeColor="text1"/>
                <w:kern w:val="0"/>
                <w:sz w:val="21"/>
                <w:szCs w:val="21"/>
                <w14:textFill>
                  <w14:solidFill>
                    <w14:schemeClr w14:val="tx1"/>
                  </w14:solidFill>
                </w14:textFill>
              </w:rPr>
            </w:pPr>
          </w:p>
        </w:tc>
        <w:tc>
          <w:tcPr>
            <w:tcW w:w="620" w:type="pct"/>
            <w:vAlign w:val="center"/>
          </w:tcPr>
          <w:p w14:paraId="40F2E4F8">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0.6H</w:t>
            </w:r>
          </w:p>
        </w:tc>
        <w:tc>
          <w:tcPr>
            <w:tcW w:w="620" w:type="pct"/>
            <w:vAlign w:val="center"/>
          </w:tcPr>
          <w:p w14:paraId="40CA5901">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22:00</w:t>
            </w:r>
          </w:p>
        </w:tc>
        <w:tc>
          <w:tcPr>
            <w:tcW w:w="624" w:type="pct"/>
            <w:vAlign w:val="center"/>
          </w:tcPr>
          <w:p w14:paraId="1F185D44">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60</w:t>
            </w:r>
          </w:p>
        </w:tc>
        <w:tc>
          <w:tcPr>
            <w:tcW w:w="631" w:type="pct"/>
            <w:vAlign w:val="center"/>
          </w:tcPr>
          <w:p w14:paraId="555A86FC">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236</w:t>
            </w:r>
          </w:p>
        </w:tc>
        <w:tc>
          <w:tcPr>
            <w:tcW w:w="620" w:type="pct"/>
            <w:vAlign w:val="center"/>
          </w:tcPr>
          <w:p w14:paraId="3F156233">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8:00</w:t>
            </w:r>
          </w:p>
        </w:tc>
        <w:tc>
          <w:tcPr>
            <w:tcW w:w="621" w:type="pct"/>
            <w:vAlign w:val="center"/>
          </w:tcPr>
          <w:p w14:paraId="134CF09B">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58</w:t>
            </w:r>
          </w:p>
        </w:tc>
        <w:tc>
          <w:tcPr>
            <w:tcW w:w="638" w:type="pct"/>
            <w:vAlign w:val="center"/>
          </w:tcPr>
          <w:p w14:paraId="433E4442">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210</w:t>
            </w:r>
          </w:p>
        </w:tc>
      </w:tr>
      <w:tr w14:paraId="1EEEFAF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6" w:hRule="atLeast"/>
          <w:jc w:val="center"/>
        </w:trPr>
        <w:tc>
          <w:tcPr>
            <w:tcW w:w="622" w:type="pct"/>
            <w:vMerge w:val="continue"/>
            <w:vAlign w:val="center"/>
          </w:tcPr>
          <w:p w14:paraId="5C7BD458">
            <w:pPr>
              <w:spacing w:line="240" w:lineRule="auto"/>
              <w:ind w:firstLine="0" w:firstLineChars="0"/>
              <w:jc w:val="center"/>
              <w:rPr>
                <w:color w:val="000000" w:themeColor="text1"/>
                <w:kern w:val="0"/>
                <w:sz w:val="21"/>
                <w:szCs w:val="21"/>
                <w14:textFill>
                  <w14:solidFill>
                    <w14:schemeClr w14:val="tx1"/>
                  </w14:solidFill>
                </w14:textFill>
              </w:rPr>
            </w:pPr>
          </w:p>
        </w:tc>
        <w:tc>
          <w:tcPr>
            <w:tcW w:w="620" w:type="pct"/>
            <w:vAlign w:val="center"/>
          </w:tcPr>
          <w:p w14:paraId="604D882D">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0.8H</w:t>
            </w:r>
          </w:p>
        </w:tc>
        <w:tc>
          <w:tcPr>
            <w:tcW w:w="620" w:type="pct"/>
            <w:vAlign w:val="center"/>
          </w:tcPr>
          <w:p w14:paraId="3D7B5DFB">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23:00</w:t>
            </w:r>
          </w:p>
        </w:tc>
        <w:tc>
          <w:tcPr>
            <w:tcW w:w="624" w:type="pct"/>
            <w:vAlign w:val="center"/>
          </w:tcPr>
          <w:p w14:paraId="11C00F48">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57</w:t>
            </w:r>
          </w:p>
        </w:tc>
        <w:tc>
          <w:tcPr>
            <w:tcW w:w="631" w:type="pct"/>
            <w:vAlign w:val="center"/>
          </w:tcPr>
          <w:p w14:paraId="73F162F1">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236</w:t>
            </w:r>
          </w:p>
        </w:tc>
        <w:tc>
          <w:tcPr>
            <w:tcW w:w="620" w:type="pct"/>
            <w:vAlign w:val="center"/>
          </w:tcPr>
          <w:p w14:paraId="284998C5">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6:00</w:t>
            </w:r>
          </w:p>
        </w:tc>
        <w:tc>
          <w:tcPr>
            <w:tcW w:w="621" w:type="pct"/>
            <w:vAlign w:val="center"/>
          </w:tcPr>
          <w:p w14:paraId="6F7FC448">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54</w:t>
            </w:r>
          </w:p>
        </w:tc>
        <w:tc>
          <w:tcPr>
            <w:tcW w:w="638" w:type="pct"/>
            <w:vAlign w:val="center"/>
          </w:tcPr>
          <w:p w14:paraId="5360A386">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209</w:t>
            </w:r>
          </w:p>
        </w:tc>
      </w:tr>
      <w:tr w14:paraId="41E5D40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6" w:hRule="atLeast"/>
          <w:jc w:val="center"/>
        </w:trPr>
        <w:tc>
          <w:tcPr>
            <w:tcW w:w="622" w:type="pct"/>
            <w:vMerge w:val="continue"/>
            <w:vAlign w:val="center"/>
          </w:tcPr>
          <w:p w14:paraId="2A55525E">
            <w:pPr>
              <w:spacing w:line="240" w:lineRule="auto"/>
              <w:ind w:firstLine="0" w:firstLineChars="0"/>
              <w:jc w:val="center"/>
              <w:rPr>
                <w:color w:val="000000" w:themeColor="text1"/>
                <w:kern w:val="0"/>
                <w:sz w:val="21"/>
                <w:szCs w:val="21"/>
                <w14:textFill>
                  <w14:solidFill>
                    <w14:schemeClr w14:val="tx1"/>
                  </w14:solidFill>
                </w14:textFill>
              </w:rPr>
            </w:pPr>
          </w:p>
        </w:tc>
        <w:tc>
          <w:tcPr>
            <w:tcW w:w="620" w:type="pct"/>
            <w:vAlign w:val="center"/>
          </w:tcPr>
          <w:p w14:paraId="4747ADAE">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底层</w:t>
            </w:r>
          </w:p>
        </w:tc>
        <w:tc>
          <w:tcPr>
            <w:tcW w:w="620" w:type="pct"/>
            <w:vAlign w:val="center"/>
          </w:tcPr>
          <w:p w14:paraId="0780539D">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22:00</w:t>
            </w:r>
          </w:p>
        </w:tc>
        <w:tc>
          <w:tcPr>
            <w:tcW w:w="624" w:type="pct"/>
            <w:vAlign w:val="center"/>
          </w:tcPr>
          <w:p w14:paraId="62829953">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41</w:t>
            </w:r>
          </w:p>
        </w:tc>
        <w:tc>
          <w:tcPr>
            <w:tcW w:w="631" w:type="pct"/>
            <w:vAlign w:val="center"/>
          </w:tcPr>
          <w:p w14:paraId="34DBBE94">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237</w:t>
            </w:r>
          </w:p>
        </w:tc>
        <w:tc>
          <w:tcPr>
            <w:tcW w:w="620" w:type="pct"/>
            <w:vAlign w:val="center"/>
          </w:tcPr>
          <w:p w14:paraId="08774BD2">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6:00</w:t>
            </w:r>
          </w:p>
        </w:tc>
        <w:tc>
          <w:tcPr>
            <w:tcW w:w="621" w:type="pct"/>
            <w:vAlign w:val="center"/>
          </w:tcPr>
          <w:p w14:paraId="7D3AF20B">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47</w:t>
            </w:r>
          </w:p>
        </w:tc>
        <w:tc>
          <w:tcPr>
            <w:tcW w:w="638" w:type="pct"/>
            <w:vAlign w:val="center"/>
          </w:tcPr>
          <w:p w14:paraId="7D319538">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220</w:t>
            </w:r>
          </w:p>
        </w:tc>
      </w:tr>
      <w:tr w14:paraId="213FE74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0" w:hRule="atLeast"/>
          <w:jc w:val="center"/>
        </w:trPr>
        <w:tc>
          <w:tcPr>
            <w:tcW w:w="622" w:type="pct"/>
            <w:vMerge w:val="continue"/>
            <w:vAlign w:val="center"/>
          </w:tcPr>
          <w:p w14:paraId="0CC87E1A">
            <w:pPr>
              <w:spacing w:line="240" w:lineRule="auto"/>
              <w:ind w:firstLine="0" w:firstLineChars="0"/>
              <w:jc w:val="center"/>
              <w:rPr>
                <w:color w:val="000000" w:themeColor="text1"/>
                <w:kern w:val="0"/>
                <w:sz w:val="21"/>
                <w:szCs w:val="21"/>
                <w14:textFill>
                  <w14:solidFill>
                    <w14:schemeClr w14:val="tx1"/>
                  </w14:solidFill>
                </w14:textFill>
              </w:rPr>
            </w:pPr>
          </w:p>
        </w:tc>
        <w:tc>
          <w:tcPr>
            <w:tcW w:w="620" w:type="pct"/>
            <w:vAlign w:val="center"/>
          </w:tcPr>
          <w:p w14:paraId="39D5D890">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垂线</w:t>
            </w:r>
          </w:p>
        </w:tc>
        <w:tc>
          <w:tcPr>
            <w:tcW w:w="620" w:type="pct"/>
            <w:vAlign w:val="center"/>
          </w:tcPr>
          <w:p w14:paraId="36777328">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22:00</w:t>
            </w:r>
          </w:p>
        </w:tc>
        <w:tc>
          <w:tcPr>
            <w:tcW w:w="624" w:type="pct"/>
            <w:vAlign w:val="center"/>
          </w:tcPr>
          <w:p w14:paraId="06E034B7">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63</w:t>
            </w:r>
          </w:p>
        </w:tc>
        <w:tc>
          <w:tcPr>
            <w:tcW w:w="631" w:type="pct"/>
            <w:vAlign w:val="center"/>
          </w:tcPr>
          <w:p w14:paraId="07E7A8F3">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238</w:t>
            </w:r>
          </w:p>
        </w:tc>
        <w:tc>
          <w:tcPr>
            <w:tcW w:w="620" w:type="pct"/>
            <w:vAlign w:val="center"/>
          </w:tcPr>
          <w:p w14:paraId="54346711">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6:00</w:t>
            </w:r>
          </w:p>
        </w:tc>
        <w:tc>
          <w:tcPr>
            <w:tcW w:w="621" w:type="pct"/>
            <w:vAlign w:val="center"/>
          </w:tcPr>
          <w:p w14:paraId="07E36DC6">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58</w:t>
            </w:r>
          </w:p>
        </w:tc>
        <w:tc>
          <w:tcPr>
            <w:tcW w:w="638" w:type="pct"/>
            <w:vAlign w:val="center"/>
          </w:tcPr>
          <w:p w14:paraId="0566E9AA">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215</w:t>
            </w:r>
          </w:p>
        </w:tc>
      </w:tr>
      <w:tr w14:paraId="283B527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6" w:hRule="atLeast"/>
          <w:jc w:val="center"/>
        </w:trPr>
        <w:tc>
          <w:tcPr>
            <w:tcW w:w="622" w:type="pct"/>
            <w:vMerge w:val="restart"/>
            <w:vAlign w:val="center"/>
          </w:tcPr>
          <w:p w14:paraId="4B070549">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V2</w:t>
            </w:r>
          </w:p>
        </w:tc>
        <w:tc>
          <w:tcPr>
            <w:tcW w:w="620" w:type="pct"/>
            <w:vAlign w:val="center"/>
          </w:tcPr>
          <w:p w14:paraId="1E484182">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表层</w:t>
            </w:r>
          </w:p>
        </w:tc>
        <w:tc>
          <w:tcPr>
            <w:tcW w:w="620" w:type="pct"/>
            <w:vAlign w:val="center"/>
          </w:tcPr>
          <w:p w14:paraId="2D062C57">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21:00</w:t>
            </w:r>
          </w:p>
        </w:tc>
        <w:tc>
          <w:tcPr>
            <w:tcW w:w="624" w:type="pct"/>
            <w:vAlign w:val="center"/>
          </w:tcPr>
          <w:p w14:paraId="3E897DBC">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44</w:t>
            </w:r>
          </w:p>
        </w:tc>
        <w:tc>
          <w:tcPr>
            <w:tcW w:w="631" w:type="pct"/>
            <w:vAlign w:val="center"/>
          </w:tcPr>
          <w:p w14:paraId="675001C5">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250</w:t>
            </w:r>
          </w:p>
        </w:tc>
        <w:tc>
          <w:tcPr>
            <w:tcW w:w="620" w:type="pct"/>
            <w:vAlign w:val="center"/>
          </w:tcPr>
          <w:p w14:paraId="56160BD3">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7:00</w:t>
            </w:r>
          </w:p>
        </w:tc>
        <w:tc>
          <w:tcPr>
            <w:tcW w:w="621" w:type="pct"/>
            <w:vAlign w:val="center"/>
          </w:tcPr>
          <w:p w14:paraId="37A3349E">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34</w:t>
            </w:r>
          </w:p>
        </w:tc>
        <w:tc>
          <w:tcPr>
            <w:tcW w:w="638" w:type="pct"/>
            <w:vAlign w:val="center"/>
          </w:tcPr>
          <w:p w14:paraId="185B19F3">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226</w:t>
            </w:r>
          </w:p>
        </w:tc>
      </w:tr>
      <w:tr w14:paraId="14FB699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6" w:hRule="atLeast"/>
          <w:jc w:val="center"/>
        </w:trPr>
        <w:tc>
          <w:tcPr>
            <w:tcW w:w="622" w:type="pct"/>
            <w:vMerge w:val="continue"/>
            <w:vAlign w:val="center"/>
          </w:tcPr>
          <w:p w14:paraId="2FA2E934">
            <w:pPr>
              <w:spacing w:line="240" w:lineRule="auto"/>
              <w:ind w:firstLine="0" w:firstLineChars="0"/>
              <w:jc w:val="center"/>
              <w:rPr>
                <w:color w:val="000000" w:themeColor="text1"/>
                <w:kern w:val="0"/>
                <w:sz w:val="21"/>
                <w:szCs w:val="21"/>
                <w14:textFill>
                  <w14:solidFill>
                    <w14:schemeClr w14:val="tx1"/>
                  </w14:solidFill>
                </w14:textFill>
              </w:rPr>
            </w:pPr>
          </w:p>
        </w:tc>
        <w:tc>
          <w:tcPr>
            <w:tcW w:w="620" w:type="pct"/>
            <w:vAlign w:val="center"/>
          </w:tcPr>
          <w:p w14:paraId="71884A3D">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0.2H</w:t>
            </w:r>
          </w:p>
        </w:tc>
        <w:tc>
          <w:tcPr>
            <w:tcW w:w="620" w:type="pct"/>
            <w:vAlign w:val="center"/>
          </w:tcPr>
          <w:p w14:paraId="48AE4797">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22:00</w:t>
            </w:r>
          </w:p>
        </w:tc>
        <w:tc>
          <w:tcPr>
            <w:tcW w:w="624" w:type="pct"/>
            <w:vAlign w:val="center"/>
          </w:tcPr>
          <w:p w14:paraId="6AA6C85F">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56</w:t>
            </w:r>
          </w:p>
        </w:tc>
        <w:tc>
          <w:tcPr>
            <w:tcW w:w="631" w:type="pct"/>
            <w:vAlign w:val="center"/>
          </w:tcPr>
          <w:p w14:paraId="082754CB">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40</w:t>
            </w:r>
          </w:p>
        </w:tc>
        <w:tc>
          <w:tcPr>
            <w:tcW w:w="620" w:type="pct"/>
            <w:vAlign w:val="center"/>
          </w:tcPr>
          <w:p w14:paraId="03945454">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7:00</w:t>
            </w:r>
          </w:p>
        </w:tc>
        <w:tc>
          <w:tcPr>
            <w:tcW w:w="621" w:type="pct"/>
            <w:vAlign w:val="center"/>
          </w:tcPr>
          <w:p w14:paraId="082A5BD6">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34</w:t>
            </w:r>
          </w:p>
        </w:tc>
        <w:tc>
          <w:tcPr>
            <w:tcW w:w="638" w:type="pct"/>
            <w:vAlign w:val="center"/>
          </w:tcPr>
          <w:p w14:paraId="71C55713">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224</w:t>
            </w:r>
          </w:p>
        </w:tc>
      </w:tr>
      <w:tr w14:paraId="5D8035D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6" w:hRule="atLeast"/>
          <w:jc w:val="center"/>
        </w:trPr>
        <w:tc>
          <w:tcPr>
            <w:tcW w:w="622" w:type="pct"/>
            <w:vMerge w:val="continue"/>
            <w:vAlign w:val="center"/>
          </w:tcPr>
          <w:p w14:paraId="6FFC6D32">
            <w:pPr>
              <w:spacing w:line="240" w:lineRule="auto"/>
              <w:ind w:firstLine="0" w:firstLineChars="0"/>
              <w:jc w:val="center"/>
              <w:rPr>
                <w:color w:val="000000" w:themeColor="text1"/>
                <w:kern w:val="0"/>
                <w:sz w:val="21"/>
                <w:szCs w:val="21"/>
                <w14:textFill>
                  <w14:solidFill>
                    <w14:schemeClr w14:val="tx1"/>
                  </w14:solidFill>
                </w14:textFill>
              </w:rPr>
            </w:pPr>
          </w:p>
        </w:tc>
        <w:tc>
          <w:tcPr>
            <w:tcW w:w="620" w:type="pct"/>
            <w:vAlign w:val="center"/>
          </w:tcPr>
          <w:p w14:paraId="309F0F97">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0.4H</w:t>
            </w:r>
          </w:p>
        </w:tc>
        <w:tc>
          <w:tcPr>
            <w:tcW w:w="620" w:type="pct"/>
            <w:vAlign w:val="center"/>
          </w:tcPr>
          <w:p w14:paraId="6D5537FA">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22:00</w:t>
            </w:r>
          </w:p>
        </w:tc>
        <w:tc>
          <w:tcPr>
            <w:tcW w:w="624" w:type="pct"/>
            <w:vAlign w:val="center"/>
          </w:tcPr>
          <w:p w14:paraId="1C113FD3">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72</w:t>
            </w:r>
          </w:p>
        </w:tc>
        <w:tc>
          <w:tcPr>
            <w:tcW w:w="631" w:type="pct"/>
            <w:vAlign w:val="center"/>
          </w:tcPr>
          <w:p w14:paraId="35FB7E6A">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28</w:t>
            </w:r>
          </w:p>
        </w:tc>
        <w:tc>
          <w:tcPr>
            <w:tcW w:w="620" w:type="pct"/>
            <w:vAlign w:val="center"/>
          </w:tcPr>
          <w:p w14:paraId="7A0E95A7">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7:00</w:t>
            </w:r>
          </w:p>
        </w:tc>
        <w:tc>
          <w:tcPr>
            <w:tcW w:w="621" w:type="pct"/>
            <w:vAlign w:val="center"/>
          </w:tcPr>
          <w:p w14:paraId="2325A496">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35</w:t>
            </w:r>
          </w:p>
        </w:tc>
        <w:tc>
          <w:tcPr>
            <w:tcW w:w="638" w:type="pct"/>
            <w:vAlign w:val="center"/>
          </w:tcPr>
          <w:p w14:paraId="5AA40AF7">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225</w:t>
            </w:r>
          </w:p>
        </w:tc>
      </w:tr>
      <w:tr w14:paraId="0B3368E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6" w:hRule="atLeast"/>
          <w:jc w:val="center"/>
        </w:trPr>
        <w:tc>
          <w:tcPr>
            <w:tcW w:w="622" w:type="pct"/>
            <w:vMerge w:val="continue"/>
            <w:vAlign w:val="center"/>
          </w:tcPr>
          <w:p w14:paraId="6E770BAB">
            <w:pPr>
              <w:spacing w:line="240" w:lineRule="auto"/>
              <w:ind w:firstLine="0" w:firstLineChars="0"/>
              <w:jc w:val="center"/>
              <w:rPr>
                <w:color w:val="000000" w:themeColor="text1"/>
                <w:kern w:val="0"/>
                <w:sz w:val="21"/>
                <w:szCs w:val="21"/>
                <w14:textFill>
                  <w14:solidFill>
                    <w14:schemeClr w14:val="tx1"/>
                  </w14:solidFill>
                </w14:textFill>
              </w:rPr>
            </w:pPr>
          </w:p>
        </w:tc>
        <w:tc>
          <w:tcPr>
            <w:tcW w:w="620" w:type="pct"/>
            <w:vAlign w:val="center"/>
          </w:tcPr>
          <w:p w14:paraId="354D3F1A">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0.6H</w:t>
            </w:r>
          </w:p>
        </w:tc>
        <w:tc>
          <w:tcPr>
            <w:tcW w:w="620" w:type="pct"/>
            <w:vAlign w:val="center"/>
          </w:tcPr>
          <w:p w14:paraId="5E754B24">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22:00</w:t>
            </w:r>
          </w:p>
        </w:tc>
        <w:tc>
          <w:tcPr>
            <w:tcW w:w="624" w:type="pct"/>
            <w:vAlign w:val="center"/>
          </w:tcPr>
          <w:p w14:paraId="3E4C5950">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82</w:t>
            </w:r>
          </w:p>
        </w:tc>
        <w:tc>
          <w:tcPr>
            <w:tcW w:w="631" w:type="pct"/>
            <w:vAlign w:val="center"/>
          </w:tcPr>
          <w:p w14:paraId="4056AB9B">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42</w:t>
            </w:r>
          </w:p>
        </w:tc>
        <w:tc>
          <w:tcPr>
            <w:tcW w:w="620" w:type="pct"/>
            <w:vAlign w:val="center"/>
          </w:tcPr>
          <w:p w14:paraId="721077BE">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7:00</w:t>
            </w:r>
          </w:p>
        </w:tc>
        <w:tc>
          <w:tcPr>
            <w:tcW w:w="621" w:type="pct"/>
            <w:vAlign w:val="center"/>
          </w:tcPr>
          <w:p w14:paraId="0ED4E07F">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35</w:t>
            </w:r>
          </w:p>
        </w:tc>
        <w:tc>
          <w:tcPr>
            <w:tcW w:w="638" w:type="pct"/>
            <w:vAlign w:val="center"/>
          </w:tcPr>
          <w:p w14:paraId="18F29C0A">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255</w:t>
            </w:r>
          </w:p>
        </w:tc>
      </w:tr>
      <w:tr w14:paraId="118984B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6" w:hRule="atLeast"/>
          <w:jc w:val="center"/>
        </w:trPr>
        <w:tc>
          <w:tcPr>
            <w:tcW w:w="622" w:type="pct"/>
            <w:vMerge w:val="continue"/>
            <w:vAlign w:val="center"/>
          </w:tcPr>
          <w:p w14:paraId="337BF254">
            <w:pPr>
              <w:spacing w:line="240" w:lineRule="auto"/>
              <w:ind w:firstLine="0" w:firstLineChars="0"/>
              <w:jc w:val="center"/>
              <w:rPr>
                <w:color w:val="000000" w:themeColor="text1"/>
                <w:kern w:val="0"/>
                <w:sz w:val="21"/>
                <w:szCs w:val="21"/>
                <w14:textFill>
                  <w14:solidFill>
                    <w14:schemeClr w14:val="tx1"/>
                  </w14:solidFill>
                </w14:textFill>
              </w:rPr>
            </w:pPr>
          </w:p>
        </w:tc>
        <w:tc>
          <w:tcPr>
            <w:tcW w:w="620" w:type="pct"/>
            <w:vAlign w:val="center"/>
          </w:tcPr>
          <w:p w14:paraId="0F06CCD4">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0.8H</w:t>
            </w:r>
          </w:p>
        </w:tc>
        <w:tc>
          <w:tcPr>
            <w:tcW w:w="620" w:type="pct"/>
            <w:vAlign w:val="center"/>
          </w:tcPr>
          <w:p w14:paraId="68011463">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22:00</w:t>
            </w:r>
          </w:p>
        </w:tc>
        <w:tc>
          <w:tcPr>
            <w:tcW w:w="624" w:type="pct"/>
            <w:vAlign w:val="center"/>
          </w:tcPr>
          <w:p w14:paraId="73E505BE">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78</w:t>
            </w:r>
          </w:p>
        </w:tc>
        <w:tc>
          <w:tcPr>
            <w:tcW w:w="631" w:type="pct"/>
            <w:vAlign w:val="center"/>
          </w:tcPr>
          <w:p w14:paraId="732E0F65">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38</w:t>
            </w:r>
          </w:p>
        </w:tc>
        <w:tc>
          <w:tcPr>
            <w:tcW w:w="620" w:type="pct"/>
            <w:vAlign w:val="center"/>
          </w:tcPr>
          <w:p w14:paraId="6654F5F1">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7:00</w:t>
            </w:r>
          </w:p>
        </w:tc>
        <w:tc>
          <w:tcPr>
            <w:tcW w:w="621" w:type="pct"/>
            <w:vAlign w:val="center"/>
          </w:tcPr>
          <w:p w14:paraId="4CF6DB88">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33</w:t>
            </w:r>
          </w:p>
        </w:tc>
        <w:tc>
          <w:tcPr>
            <w:tcW w:w="638" w:type="pct"/>
            <w:vAlign w:val="center"/>
          </w:tcPr>
          <w:p w14:paraId="225EF3E7">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240</w:t>
            </w:r>
          </w:p>
        </w:tc>
      </w:tr>
      <w:tr w14:paraId="2287B78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6" w:hRule="atLeast"/>
          <w:jc w:val="center"/>
        </w:trPr>
        <w:tc>
          <w:tcPr>
            <w:tcW w:w="622" w:type="pct"/>
            <w:vMerge w:val="continue"/>
            <w:vAlign w:val="center"/>
          </w:tcPr>
          <w:p w14:paraId="25377AC9">
            <w:pPr>
              <w:spacing w:line="240" w:lineRule="auto"/>
              <w:ind w:firstLine="0" w:firstLineChars="0"/>
              <w:jc w:val="center"/>
              <w:rPr>
                <w:color w:val="000000" w:themeColor="text1"/>
                <w:kern w:val="0"/>
                <w:sz w:val="21"/>
                <w:szCs w:val="21"/>
                <w14:textFill>
                  <w14:solidFill>
                    <w14:schemeClr w14:val="tx1"/>
                  </w14:solidFill>
                </w14:textFill>
              </w:rPr>
            </w:pPr>
          </w:p>
        </w:tc>
        <w:tc>
          <w:tcPr>
            <w:tcW w:w="620" w:type="pct"/>
            <w:vAlign w:val="center"/>
          </w:tcPr>
          <w:p w14:paraId="687D33D5">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底层</w:t>
            </w:r>
          </w:p>
        </w:tc>
        <w:tc>
          <w:tcPr>
            <w:tcW w:w="620" w:type="pct"/>
            <w:vAlign w:val="center"/>
          </w:tcPr>
          <w:p w14:paraId="08959C04">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22:00</w:t>
            </w:r>
          </w:p>
        </w:tc>
        <w:tc>
          <w:tcPr>
            <w:tcW w:w="624" w:type="pct"/>
            <w:vAlign w:val="center"/>
          </w:tcPr>
          <w:p w14:paraId="0588749A">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90</w:t>
            </w:r>
          </w:p>
        </w:tc>
        <w:tc>
          <w:tcPr>
            <w:tcW w:w="631" w:type="pct"/>
            <w:vAlign w:val="center"/>
          </w:tcPr>
          <w:p w14:paraId="778805E9">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34</w:t>
            </w:r>
          </w:p>
        </w:tc>
        <w:tc>
          <w:tcPr>
            <w:tcW w:w="620" w:type="pct"/>
            <w:vAlign w:val="center"/>
          </w:tcPr>
          <w:p w14:paraId="52E8113A">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7:00</w:t>
            </w:r>
          </w:p>
        </w:tc>
        <w:tc>
          <w:tcPr>
            <w:tcW w:w="621" w:type="pct"/>
            <w:vAlign w:val="center"/>
          </w:tcPr>
          <w:p w14:paraId="11E3CBC1">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33</w:t>
            </w:r>
          </w:p>
        </w:tc>
        <w:tc>
          <w:tcPr>
            <w:tcW w:w="638" w:type="pct"/>
            <w:vAlign w:val="center"/>
          </w:tcPr>
          <w:p w14:paraId="746558CE">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220</w:t>
            </w:r>
          </w:p>
        </w:tc>
      </w:tr>
      <w:tr w14:paraId="2997196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6" w:hRule="atLeast"/>
          <w:jc w:val="center"/>
        </w:trPr>
        <w:tc>
          <w:tcPr>
            <w:tcW w:w="622" w:type="pct"/>
            <w:vMerge w:val="continue"/>
            <w:vAlign w:val="center"/>
          </w:tcPr>
          <w:p w14:paraId="6245E23C">
            <w:pPr>
              <w:spacing w:line="240" w:lineRule="auto"/>
              <w:ind w:firstLine="0" w:firstLineChars="0"/>
              <w:jc w:val="center"/>
              <w:rPr>
                <w:color w:val="000000" w:themeColor="text1"/>
                <w:kern w:val="0"/>
                <w:sz w:val="21"/>
                <w:szCs w:val="21"/>
                <w14:textFill>
                  <w14:solidFill>
                    <w14:schemeClr w14:val="tx1"/>
                  </w14:solidFill>
                </w14:textFill>
              </w:rPr>
            </w:pPr>
          </w:p>
        </w:tc>
        <w:tc>
          <w:tcPr>
            <w:tcW w:w="620" w:type="pct"/>
            <w:vAlign w:val="center"/>
          </w:tcPr>
          <w:p w14:paraId="5353A8B9">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垂线</w:t>
            </w:r>
          </w:p>
        </w:tc>
        <w:tc>
          <w:tcPr>
            <w:tcW w:w="620" w:type="pct"/>
            <w:vAlign w:val="center"/>
          </w:tcPr>
          <w:p w14:paraId="221CB949">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22:00</w:t>
            </w:r>
          </w:p>
        </w:tc>
        <w:tc>
          <w:tcPr>
            <w:tcW w:w="624" w:type="pct"/>
            <w:vAlign w:val="center"/>
          </w:tcPr>
          <w:p w14:paraId="6100CE5B">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79</w:t>
            </w:r>
          </w:p>
        </w:tc>
        <w:tc>
          <w:tcPr>
            <w:tcW w:w="631" w:type="pct"/>
            <w:vAlign w:val="center"/>
          </w:tcPr>
          <w:p w14:paraId="10719CC8">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37</w:t>
            </w:r>
          </w:p>
        </w:tc>
        <w:tc>
          <w:tcPr>
            <w:tcW w:w="620" w:type="pct"/>
            <w:vAlign w:val="center"/>
          </w:tcPr>
          <w:p w14:paraId="1D390A37">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7:00</w:t>
            </w:r>
          </w:p>
        </w:tc>
        <w:tc>
          <w:tcPr>
            <w:tcW w:w="621" w:type="pct"/>
            <w:vAlign w:val="center"/>
          </w:tcPr>
          <w:p w14:paraId="30608C74">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36</w:t>
            </w:r>
          </w:p>
        </w:tc>
        <w:tc>
          <w:tcPr>
            <w:tcW w:w="638" w:type="pct"/>
            <w:vAlign w:val="center"/>
          </w:tcPr>
          <w:p w14:paraId="218C4AFE">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232</w:t>
            </w:r>
          </w:p>
        </w:tc>
      </w:tr>
      <w:tr w14:paraId="5804D7B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7" w:hRule="atLeast"/>
          <w:jc w:val="center"/>
        </w:trPr>
        <w:tc>
          <w:tcPr>
            <w:tcW w:w="622" w:type="pct"/>
            <w:vMerge w:val="restart"/>
            <w:vAlign w:val="center"/>
          </w:tcPr>
          <w:p w14:paraId="5A7A99C4">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V3</w:t>
            </w:r>
          </w:p>
        </w:tc>
        <w:tc>
          <w:tcPr>
            <w:tcW w:w="620" w:type="pct"/>
            <w:vAlign w:val="center"/>
          </w:tcPr>
          <w:p w14:paraId="45E3356A">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表层</w:t>
            </w:r>
          </w:p>
        </w:tc>
        <w:tc>
          <w:tcPr>
            <w:tcW w:w="620" w:type="pct"/>
            <w:vAlign w:val="center"/>
          </w:tcPr>
          <w:p w14:paraId="111B181F">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20:00</w:t>
            </w:r>
          </w:p>
        </w:tc>
        <w:tc>
          <w:tcPr>
            <w:tcW w:w="624" w:type="pct"/>
            <w:vAlign w:val="center"/>
          </w:tcPr>
          <w:p w14:paraId="064DBD0F">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51</w:t>
            </w:r>
          </w:p>
        </w:tc>
        <w:tc>
          <w:tcPr>
            <w:tcW w:w="631" w:type="pct"/>
            <w:vAlign w:val="center"/>
          </w:tcPr>
          <w:p w14:paraId="1BF49130">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262</w:t>
            </w:r>
          </w:p>
        </w:tc>
        <w:tc>
          <w:tcPr>
            <w:tcW w:w="620" w:type="pct"/>
            <w:vAlign w:val="center"/>
          </w:tcPr>
          <w:p w14:paraId="73C97BA8">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17:00</w:t>
            </w:r>
          </w:p>
        </w:tc>
        <w:tc>
          <w:tcPr>
            <w:tcW w:w="621" w:type="pct"/>
            <w:vAlign w:val="center"/>
          </w:tcPr>
          <w:p w14:paraId="7D807FB1">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37</w:t>
            </w:r>
          </w:p>
        </w:tc>
        <w:tc>
          <w:tcPr>
            <w:tcW w:w="638" w:type="pct"/>
            <w:vAlign w:val="center"/>
          </w:tcPr>
          <w:p w14:paraId="5AE50A48">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302</w:t>
            </w:r>
          </w:p>
        </w:tc>
      </w:tr>
      <w:tr w14:paraId="0FCB7FD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6" w:hRule="atLeast"/>
          <w:jc w:val="center"/>
        </w:trPr>
        <w:tc>
          <w:tcPr>
            <w:tcW w:w="622" w:type="pct"/>
            <w:vMerge w:val="continue"/>
            <w:vAlign w:val="center"/>
          </w:tcPr>
          <w:p w14:paraId="187D5BDB">
            <w:pPr>
              <w:spacing w:line="240" w:lineRule="auto"/>
              <w:ind w:firstLine="0" w:firstLineChars="0"/>
              <w:jc w:val="center"/>
              <w:rPr>
                <w:color w:val="000000" w:themeColor="text1"/>
                <w:kern w:val="0"/>
                <w:sz w:val="21"/>
                <w:szCs w:val="21"/>
                <w14:textFill>
                  <w14:solidFill>
                    <w14:schemeClr w14:val="tx1"/>
                  </w14:solidFill>
                </w14:textFill>
              </w:rPr>
            </w:pPr>
          </w:p>
        </w:tc>
        <w:tc>
          <w:tcPr>
            <w:tcW w:w="620" w:type="pct"/>
            <w:vAlign w:val="center"/>
          </w:tcPr>
          <w:p w14:paraId="5C0B9A9E">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0.2H</w:t>
            </w:r>
          </w:p>
        </w:tc>
        <w:tc>
          <w:tcPr>
            <w:tcW w:w="620" w:type="pct"/>
            <w:vAlign w:val="center"/>
          </w:tcPr>
          <w:p w14:paraId="48C98643">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11:00</w:t>
            </w:r>
          </w:p>
        </w:tc>
        <w:tc>
          <w:tcPr>
            <w:tcW w:w="624" w:type="pct"/>
            <w:vAlign w:val="center"/>
          </w:tcPr>
          <w:p w14:paraId="3E5AE5E6">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47</w:t>
            </w:r>
          </w:p>
        </w:tc>
        <w:tc>
          <w:tcPr>
            <w:tcW w:w="631" w:type="pct"/>
            <w:vAlign w:val="center"/>
          </w:tcPr>
          <w:p w14:paraId="6E39A124">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260</w:t>
            </w:r>
          </w:p>
        </w:tc>
        <w:tc>
          <w:tcPr>
            <w:tcW w:w="620" w:type="pct"/>
            <w:vAlign w:val="center"/>
          </w:tcPr>
          <w:p w14:paraId="7372B76B">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16:00</w:t>
            </w:r>
          </w:p>
        </w:tc>
        <w:tc>
          <w:tcPr>
            <w:tcW w:w="621" w:type="pct"/>
            <w:vAlign w:val="center"/>
          </w:tcPr>
          <w:p w14:paraId="4731E789">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35</w:t>
            </w:r>
          </w:p>
        </w:tc>
        <w:tc>
          <w:tcPr>
            <w:tcW w:w="638" w:type="pct"/>
            <w:vAlign w:val="center"/>
          </w:tcPr>
          <w:p w14:paraId="19E598CC">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300</w:t>
            </w:r>
          </w:p>
        </w:tc>
      </w:tr>
      <w:tr w14:paraId="02F1A29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6" w:hRule="atLeast"/>
          <w:jc w:val="center"/>
        </w:trPr>
        <w:tc>
          <w:tcPr>
            <w:tcW w:w="622" w:type="pct"/>
            <w:vMerge w:val="continue"/>
            <w:vAlign w:val="center"/>
          </w:tcPr>
          <w:p w14:paraId="2868010D">
            <w:pPr>
              <w:spacing w:line="240" w:lineRule="auto"/>
              <w:ind w:firstLine="0" w:firstLineChars="0"/>
              <w:jc w:val="center"/>
              <w:rPr>
                <w:color w:val="000000" w:themeColor="text1"/>
                <w:kern w:val="0"/>
                <w:sz w:val="21"/>
                <w:szCs w:val="21"/>
                <w14:textFill>
                  <w14:solidFill>
                    <w14:schemeClr w14:val="tx1"/>
                  </w14:solidFill>
                </w14:textFill>
              </w:rPr>
            </w:pPr>
          </w:p>
        </w:tc>
        <w:tc>
          <w:tcPr>
            <w:tcW w:w="620" w:type="pct"/>
            <w:vAlign w:val="center"/>
          </w:tcPr>
          <w:p w14:paraId="6B5E05C4">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0.4H</w:t>
            </w:r>
          </w:p>
        </w:tc>
        <w:tc>
          <w:tcPr>
            <w:tcW w:w="620" w:type="pct"/>
            <w:vAlign w:val="center"/>
          </w:tcPr>
          <w:p w14:paraId="651F4CA3">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21:00</w:t>
            </w:r>
          </w:p>
        </w:tc>
        <w:tc>
          <w:tcPr>
            <w:tcW w:w="624" w:type="pct"/>
            <w:vAlign w:val="center"/>
          </w:tcPr>
          <w:p w14:paraId="7DC6EB6E">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46</w:t>
            </w:r>
          </w:p>
        </w:tc>
        <w:tc>
          <w:tcPr>
            <w:tcW w:w="631" w:type="pct"/>
            <w:vAlign w:val="center"/>
          </w:tcPr>
          <w:p w14:paraId="19CBF309">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230</w:t>
            </w:r>
          </w:p>
        </w:tc>
        <w:tc>
          <w:tcPr>
            <w:tcW w:w="620" w:type="pct"/>
            <w:vAlign w:val="center"/>
          </w:tcPr>
          <w:p w14:paraId="4D7FB6DB">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16:00</w:t>
            </w:r>
          </w:p>
        </w:tc>
        <w:tc>
          <w:tcPr>
            <w:tcW w:w="621" w:type="pct"/>
            <w:vAlign w:val="center"/>
          </w:tcPr>
          <w:p w14:paraId="3AB957FF">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36</w:t>
            </w:r>
          </w:p>
        </w:tc>
        <w:tc>
          <w:tcPr>
            <w:tcW w:w="638" w:type="pct"/>
            <w:vAlign w:val="center"/>
          </w:tcPr>
          <w:p w14:paraId="766B1CEA">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292</w:t>
            </w:r>
          </w:p>
        </w:tc>
      </w:tr>
      <w:tr w14:paraId="50D8AFD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7" w:hRule="atLeast"/>
          <w:jc w:val="center"/>
        </w:trPr>
        <w:tc>
          <w:tcPr>
            <w:tcW w:w="622" w:type="pct"/>
            <w:vMerge w:val="continue"/>
            <w:vAlign w:val="center"/>
          </w:tcPr>
          <w:p w14:paraId="039C88E2">
            <w:pPr>
              <w:spacing w:line="240" w:lineRule="auto"/>
              <w:ind w:firstLine="0" w:firstLineChars="0"/>
              <w:jc w:val="center"/>
              <w:rPr>
                <w:color w:val="000000" w:themeColor="text1"/>
                <w:kern w:val="0"/>
                <w:sz w:val="21"/>
                <w:szCs w:val="21"/>
                <w14:textFill>
                  <w14:solidFill>
                    <w14:schemeClr w14:val="tx1"/>
                  </w14:solidFill>
                </w14:textFill>
              </w:rPr>
            </w:pPr>
          </w:p>
        </w:tc>
        <w:tc>
          <w:tcPr>
            <w:tcW w:w="620" w:type="pct"/>
            <w:vAlign w:val="center"/>
          </w:tcPr>
          <w:p w14:paraId="50AEB7B5">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0.6H</w:t>
            </w:r>
          </w:p>
        </w:tc>
        <w:tc>
          <w:tcPr>
            <w:tcW w:w="620" w:type="pct"/>
            <w:vAlign w:val="center"/>
          </w:tcPr>
          <w:p w14:paraId="3F9AB085">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9:00</w:t>
            </w:r>
          </w:p>
        </w:tc>
        <w:tc>
          <w:tcPr>
            <w:tcW w:w="624" w:type="pct"/>
            <w:vAlign w:val="center"/>
          </w:tcPr>
          <w:p w14:paraId="5197C8D5">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39</w:t>
            </w:r>
          </w:p>
        </w:tc>
        <w:tc>
          <w:tcPr>
            <w:tcW w:w="631" w:type="pct"/>
            <w:vAlign w:val="center"/>
          </w:tcPr>
          <w:p w14:paraId="6D1CE654">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249</w:t>
            </w:r>
          </w:p>
        </w:tc>
        <w:tc>
          <w:tcPr>
            <w:tcW w:w="620" w:type="pct"/>
            <w:vAlign w:val="center"/>
          </w:tcPr>
          <w:p w14:paraId="3981500A">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11:00</w:t>
            </w:r>
          </w:p>
        </w:tc>
        <w:tc>
          <w:tcPr>
            <w:tcW w:w="621" w:type="pct"/>
            <w:vAlign w:val="center"/>
          </w:tcPr>
          <w:p w14:paraId="47B3F6E0">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29</w:t>
            </w:r>
          </w:p>
        </w:tc>
        <w:tc>
          <w:tcPr>
            <w:tcW w:w="638" w:type="pct"/>
            <w:vAlign w:val="center"/>
          </w:tcPr>
          <w:p w14:paraId="5C07EF3A">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262</w:t>
            </w:r>
          </w:p>
        </w:tc>
      </w:tr>
      <w:tr w14:paraId="672CE2C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6" w:hRule="atLeast"/>
          <w:jc w:val="center"/>
        </w:trPr>
        <w:tc>
          <w:tcPr>
            <w:tcW w:w="622" w:type="pct"/>
            <w:vMerge w:val="continue"/>
            <w:vAlign w:val="center"/>
          </w:tcPr>
          <w:p w14:paraId="41BC72D7">
            <w:pPr>
              <w:spacing w:line="240" w:lineRule="auto"/>
              <w:ind w:firstLine="0" w:firstLineChars="0"/>
              <w:jc w:val="center"/>
              <w:rPr>
                <w:color w:val="000000" w:themeColor="text1"/>
                <w:kern w:val="0"/>
                <w:sz w:val="21"/>
                <w:szCs w:val="21"/>
                <w14:textFill>
                  <w14:solidFill>
                    <w14:schemeClr w14:val="tx1"/>
                  </w14:solidFill>
                </w14:textFill>
              </w:rPr>
            </w:pPr>
          </w:p>
        </w:tc>
        <w:tc>
          <w:tcPr>
            <w:tcW w:w="620" w:type="pct"/>
            <w:vAlign w:val="center"/>
          </w:tcPr>
          <w:p w14:paraId="17902B09">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0.8H</w:t>
            </w:r>
          </w:p>
        </w:tc>
        <w:tc>
          <w:tcPr>
            <w:tcW w:w="620" w:type="pct"/>
            <w:vAlign w:val="center"/>
          </w:tcPr>
          <w:p w14:paraId="751EE8D3">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8:00</w:t>
            </w:r>
          </w:p>
        </w:tc>
        <w:tc>
          <w:tcPr>
            <w:tcW w:w="624" w:type="pct"/>
            <w:vAlign w:val="center"/>
          </w:tcPr>
          <w:p w14:paraId="013F5A81">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28</w:t>
            </w:r>
          </w:p>
        </w:tc>
        <w:tc>
          <w:tcPr>
            <w:tcW w:w="631" w:type="pct"/>
            <w:vAlign w:val="center"/>
          </w:tcPr>
          <w:p w14:paraId="39CF81D3">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274</w:t>
            </w:r>
          </w:p>
        </w:tc>
        <w:tc>
          <w:tcPr>
            <w:tcW w:w="620" w:type="pct"/>
            <w:vAlign w:val="center"/>
          </w:tcPr>
          <w:p w14:paraId="277F4651">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12:00</w:t>
            </w:r>
          </w:p>
        </w:tc>
        <w:tc>
          <w:tcPr>
            <w:tcW w:w="621" w:type="pct"/>
            <w:vAlign w:val="center"/>
          </w:tcPr>
          <w:p w14:paraId="6124C16E">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25</w:t>
            </w:r>
          </w:p>
        </w:tc>
        <w:tc>
          <w:tcPr>
            <w:tcW w:w="638" w:type="pct"/>
            <w:vAlign w:val="center"/>
          </w:tcPr>
          <w:p w14:paraId="615E1792">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292</w:t>
            </w:r>
          </w:p>
        </w:tc>
      </w:tr>
      <w:tr w14:paraId="50B8CBD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7" w:hRule="atLeast"/>
          <w:jc w:val="center"/>
        </w:trPr>
        <w:tc>
          <w:tcPr>
            <w:tcW w:w="622" w:type="pct"/>
            <w:vMerge w:val="continue"/>
            <w:vAlign w:val="center"/>
          </w:tcPr>
          <w:p w14:paraId="37DE9912">
            <w:pPr>
              <w:spacing w:line="240" w:lineRule="auto"/>
              <w:ind w:firstLine="0" w:firstLineChars="0"/>
              <w:jc w:val="center"/>
              <w:rPr>
                <w:color w:val="000000" w:themeColor="text1"/>
                <w:kern w:val="0"/>
                <w:sz w:val="21"/>
                <w:szCs w:val="21"/>
                <w14:textFill>
                  <w14:solidFill>
                    <w14:schemeClr w14:val="tx1"/>
                  </w14:solidFill>
                </w14:textFill>
              </w:rPr>
            </w:pPr>
          </w:p>
        </w:tc>
        <w:tc>
          <w:tcPr>
            <w:tcW w:w="620" w:type="pct"/>
            <w:vAlign w:val="center"/>
          </w:tcPr>
          <w:p w14:paraId="4605D1F0">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底层</w:t>
            </w:r>
          </w:p>
        </w:tc>
        <w:tc>
          <w:tcPr>
            <w:tcW w:w="620" w:type="pct"/>
            <w:vAlign w:val="center"/>
          </w:tcPr>
          <w:p w14:paraId="7D9AE2D7">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7:00</w:t>
            </w:r>
          </w:p>
        </w:tc>
        <w:tc>
          <w:tcPr>
            <w:tcW w:w="624" w:type="pct"/>
            <w:vAlign w:val="center"/>
          </w:tcPr>
          <w:p w14:paraId="56119C0C">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26</w:t>
            </w:r>
          </w:p>
        </w:tc>
        <w:tc>
          <w:tcPr>
            <w:tcW w:w="631" w:type="pct"/>
            <w:vAlign w:val="center"/>
          </w:tcPr>
          <w:p w14:paraId="189A858C">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278</w:t>
            </w:r>
          </w:p>
        </w:tc>
        <w:tc>
          <w:tcPr>
            <w:tcW w:w="620" w:type="pct"/>
            <w:vAlign w:val="center"/>
          </w:tcPr>
          <w:p w14:paraId="6CE4096E">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11:00</w:t>
            </w:r>
          </w:p>
        </w:tc>
        <w:tc>
          <w:tcPr>
            <w:tcW w:w="621" w:type="pct"/>
            <w:vAlign w:val="center"/>
          </w:tcPr>
          <w:p w14:paraId="24C33FF3">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25</w:t>
            </w:r>
          </w:p>
        </w:tc>
        <w:tc>
          <w:tcPr>
            <w:tcW w:w="638" w:type="pct"/>
            <w:vAlign w:val="center"/>
          </w:tcPr>
          <w:p w14:paraId="4C39CD1D">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280</w:t>
            </w:r>
          </w:p>
        </w:tc>
      </w:tr>
      <w:tr w14:paraId="425640D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6" w:hRule="atLeast"/>
          <w:jc w:val="center"/>
        </w:trPr>
        <w:tc>
          <w:tcPr>
            <w:tcW w:w="622" w:type="pct"/>
            <w:vMerge w:val="continue"/>
            <w:vAlign w:val="center"/>
          </w:tcPr>
          <w:p w14:paraId="4C35949F">
            <w:pPr>
              <w:spacing w:line="240" w:lineRule="auto"/>
              <w:ind w:firstLine="0" w:firstLineChars="0"/>
              <w:jc w:val="center"/>
              <w:rPr>
                <w:color w:val="000000" w:themeColor="text1"/>
                <w:kern w:val="0"/>
                <w:sz w:val="21"/>
                <w:szCs w:val="21"/>
                <w14:textFill>
                  <w14:solidFill>
                    <w14:schemeClr w14:val="tx1"/>
                  </w14:solidFill>
                </w14:textFill>
              </w:rPr>
            </w:pPr>
          </w:p>
        </w:tc>
        <w:tc>
          <w:tcPr>
            <w:tcW w:w="620" w:type="pct"/>
            <w:vAlign w:val="center"/>
          </w:tcPr>
          <w:p w14:paraId="098F2582">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垂线</w:t>
            </w:r>
          </w:p>
        </w:tc>
        <w:tc>
          <w:tcPr>
            <w:tcW w:w="620" w:type="pct"/>
            <w:vAlign w:val="center"/>
          </w:tcPr>
          <w:p w14:paraId="3CBD012C">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9:00</w:t>
            </w:r>
          </w:p>
        </w:tc>
        <w:tc>
          <w:tcPr>
            <w:tcW w:w="624" w:type="pct"/>
            <w:vAlign w:val="center"/>
          </w:tcPr>
          <w:p w14:paraId="365180E0">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37</w:t>
            </w:r>
          </w:p>
        </w:tc>
        <w:tc>
          <w:tcPr>
            <w:tcW w:w="631" w:type="pct"/>
            <w:vAlign w:val="center"/>
          </w:tcPr>
          <w:p w14:paraId="4F7378D2">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244</w:t>
            </w:r>
          </w:p>
        </w:tc>
        <w:tc>
          <w:tcPr>
            <w:tcW w:w="620" w:type="pct"/>
            <w:vAlign w:val="center"/>
          </w:tcPr>
          <w:p w14:paraId="104EE2DC">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16:00</w:t>
            </w:r>
          </w:p>
        </w:tc>
        <w:tc>
          <w:tcPr>
            <w:tcW w:w="621" w:type="pct"/>
            <w:vAlign w:val="center"/>
          </w:tcPr>
          <w:p w14:paraId="29A50DD7">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29</w:t>
            </w:r>
          </w:p>
        </w:tc>
        <w:tc>
          <w:tcPr>
            <w:tcW w:w="638" w:type="pct"/>
            <w:vAlign w:val="center"/>
          </w:tcPr>
          <w:p w14:paraId="3BB08408">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292</w:t>
            </w:r>
          </w:p>
        </w:tc>
      </w:tr>
      <w:tr w14:paraId="3D53FB4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6" w:hRule="atLeast"/>
          <w:jc w:val="center"/>
        </w:trPr>
        <w:tc>
          <w:tcPr>
            <w:tcW w:w="622" w:type="pct"/>
            <w:vMerge w:val="restart"/>
            <w:vAlign w:val="center"/>
          </w:tcPr>
          <w:p w14:paraId="0289A0BA">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V</w:t>
            </w:r>
            <w:r>
              <w:rPr>
                <w:rFonts w:hint="eastAsia"/>
                <w:color w:val="000000" w:themeColor="text1"/>
                <w:kern w:val="0"/>
                <w:sz w:val="21"/>
                <w:szCs w:val="21"/>
                <w14:textFill>
                  <w14:solidFill>
                    <w14:schemeClr w14:val="tx1"/>
                  </w14:solidFill>
                </w14:textFill>
              </w:rPr>
              <w:t>4</w:t>
            </w:r>
          </w:p>
        </w:tc>
        <w:tc>
          <w:tcPr>
            <w:tcW w:w="620" w:type="pct"/>
            <w:vAlign w:val="center"/>
          </w:tcPr>
          <w:p w14:paraId="2FBACF72">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表层</w:t>
            </w:r>
          </w:p>
        </w:tc>
        <w:tc>
          <w:tcPr>
            <w:tcW w:w="620" w:type="pct"/>
            <w:vAlign w:val="center"/>
          </w:tcPr>
          <w:p w14:paraId="5F33C434">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0:00</w:t>
            </w:r>
          </w:p>
        </w:tc>
        <w:tc>
          <w:tcPr>
            <w:tcW w:w="624" w:type="pct"/>
            <w:vAlign w:val="center"/>
          </w:tcPr>
          <w:p w14:paraId="0282B34E">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86</w:t>
            </w:r>
          </w:p>
        </w:tc>
        <w:tc>
          <w:tcPr>
            <w:tcW w:w="631" w:type="pct"/>
            <w:vAlign w:val="center"/>
          </w:tcPr>
          <w:p w14:paraId="27FA8713">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240</w:t>
            </w:r>
          </w:p>
        </w:tc>
        <w:tc>
          <w:tcPr>
            <w:tcW w:w="620" w:type="pct"/>
            <w:vAlign w:val="center"/>
          </w:tcPr>
          <w:p w14:paraId="5212D3E6">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1:00</w:t>
            </w:r>
          </w:p>
        </w:tc>
        <w:tc>
          <w:tcPr>
            <w:tcW w:w="621" w:type="pct"/>
            <w:vAlign w:val="center"/>
          </w:tcPr>
          <w:p w14:paraId="31F178E8">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74</w:t>
            </w:r>
          </w:p>
        </w:tc>
        <w:tc>
          <w:tcPr>
            <w:tcW w:w="638" w:type="pct"/>
            <w:vAlign w:val="center"/>
          </w:tcPr>
          <w:p w14:paraId="031D4CA0">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248</w:t>
            </w:r>
          </w:p>
        </w:tc>
      </w:tr>
      <w:tr w14:paraId="5A7B2FE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7" w:hRule="atLeast"/>
          <w:jc w:val="center"/>
        </w:trPr>
        <w:tc>
          <w:tcPr>
            <w:tcW w:w="622" w:type="pct"/>
            <w:vMerge w:val="continue"/>
            <w:vAlign w:val="center"/>
          </w:tcPr>
          <w:p w14:paraId="6ADA762A">
            <w:pPr>
              <w:spacing w:line="240" w:lineRule="auto"/>
              <w:ind w:firstLine="0" w:firstLineChars="0"/>
              <w:jc w:val="center"/>
              <w:rPr>
                <w:color w:val="000000" w:themeColor="text1"/>
                <w:kern w:val="0"/>
                <w:sz w:val="21"/>
                <w:szCs w:val="21"/>
                <w14:textFill>
                  <w14:solidFill>
                    <w14:schemeClr w14:val="tx1"/>
                  </w14:solidFill>
                </w14:textFill>
              </w:rPr>
            </w:pPr>
          </w:p>
        </w:tc>
        <w:tc>
          <w:tcPr>
            <w:tcW w:w="620" w:type="pct"/>
            <w:vAlign w:val="center"/>
          </w:tcPr>
          <w:p w14:paraId="052ED946">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0.6H</w:t>
            </w:r>
          </w:p>
        </w:tc>
        <w:tc>
          <w:tcPr>
            <w:tcW w:w="620" w:type="pct"/>
            <w:vAlign w:val="center"/>
          </w:tcPr>
          <w:p w14:paraId="1056E6AD">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0:00</w:t>
            </w:r>
          </w:p>
        </w:tc>
        <w:tc>
          <w:tcPr>
            <w:tcW w:w="624" w:type="pct"/>
            <w:vAlign w:val="center"/>
          </w:tcPr>
          <w:p w14:paraId="64ECDF9B">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76</w:t>
            </w:r>
          </w:p>
        </w:tc>
        <w:tc>
          <w:tcPr>
            <w:tcW w:w="631" w:type="pct"/>
            <w:vAlign w:val="center"/>
          </w:tcPr>
          <w:p w14:paraId="62953212">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220</w:t>
            </w:r>
          </w:p>
        </w:tc>
        <w:tc>
          <w:tcPr>
            <w:tcW w:w="620" w:type="pct"/>
            <w:vAlign w:val="center"/>
          </w:tcPr>
          <w:p w14:paraId="366B05A7">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2:00</w:t>
            </w:r>
          </w:p>
        </w:tc>
        <w:tc>
          <w:tcPr>
            <w:tcW w:w="621" w:type="pct"/>
            <w:vAlign w:val="center"/>
          </w:tcPr>
          <w:p w14:paraId="04C66CC7">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49</w:t>
            </w:r>
          </w:p>
        </w:tc>
        <w:tc>
          <w:tcPr>
            <w:tcW w:w="638" w:type="pct"/>
            <w:vAlign w:val="center"/>
          </w:tcPr>
          <w:p w14:paraId="12205FF9">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217</w:t>
            </w:r>
          </w:p>
        </w:tc>
      </w:tr>
      <w:tr w14:paraId="46202E8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6" w:hRule="atLeast"/>
          <w:jc w:val="center"/>
        </w:trPr>
        <w:tc>
          <w:tcPr>
            <w:tcW w:w="622" w:type="pct"/>
            <w:vMerge w:val="continue"/>
            <w:vAlign w:val="center"/>
          </w:tcPr>
          <w:p w14:paraId="6196BE13">
            <w:pPr>
              <w:spacing w:line="240" w:lineRule="auto"/>
              <w:ind w:firstLine="0" w:firstLineChars="0"/>
              <w:jc w:val="center"/>
              <w:rPr>
                <w:color w:val="000000" w:themeColor="text1"/>
                <w:kern w:val="0"/>
                <w:sz w:val="21"/>
                <w:szCs w:val="21"/>
                <w14:textFill>
                  <w14:solidFill>
                    <w14:schemeClr w14:val="tx1"/>
                  </w14:solidFill>
                </w14:textFill>
              </w:rPr>
            </w:pPr>
          </w:p>
        </w:tc>
        <w:tc>
          <w:tcPr>
            <w:tcW w:w="620" w:type="pct"/>
            <w:vAlign w:val="center"/>
          </w:tcPr>
          <w:p w14:paraId="2EDC75DE">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底层</w:t>
            </w:r>
          </w:p>
        </w:tc>
        <w:tc>
          <w:tcPr>
            <w:tcW w:w="620" w:type="pct"/>
            <w:vAlign w:val="center"/>
          </w:tcPr>
          <w:p w14:paraId="0EA7D7D3">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22:00</w:t>
            </w:r>
          </w:p>
        </w:tc>
        <w:tc>
          <w:tcPr>
            <w:tcW w:w="624" w:type="pct"/>
            <w:vAlign w:val="center"/>
          </w:tcPr>
          <w:p w14:paraId="7569F937">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73</w:t>
            </w:r>
          </w:p>
        </w:tc>
        <w:tc>
          <w:tcPr>
            <w:tcW w:w="631" w:type="pct"/>
            <w:vAlign w:val="center"/>
          </w:tcPr>
          <w:p w14:paraId="28929EF3">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236</w:t>
            </w:r>
          </w:p>
        </w:tc>
        <w:tc>
          <w:tcPr>
            <w:tcW w:w="620" w:type="pct"/>
            <w:vAlign w:val="center"/>
          </w:tcPr>
          <w:p w14:paraId="761C7FB5">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2:00</w:t>
            </w:r>
          </w:p>
        </w:tc>
        <w:tc>
          <w:tcPr>
            <w:tcW w:w="621" w:type="pct"/>
            <w:vAlign w:val="center"/>
          </w:tcPr>
          <w:p w14:paraId="70907F14">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46</w:t>
            </w:r>
          </w:p>
        </w:tc>
        <w:tc>
          <w:tcPr>
            <w:tcW w:w="638" w:type="pct"/>
            <w:vAlign w:val="center"/>
          </w:tcPr>
          <w:p w14:paraId="630A03DA">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228</w:t>
            </w:r>
          </w:p>
        </w:tc>
      </w:tr>
      <w:tr w14:paraId="741F5EE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7" w:hRule="atLeast"/>
          <w:jc w:val="center"/>
        </w:trPr>
        <w:tc>
          <w:tcPr>
            <w:tcW w:w="622" w:type="pct"/>
            <w:vMerge w:val="continue"/>
            <w:vAlign w:val="center"/>
          </w:tcPr>
          <w:p w14:paraId="2F0AC000">
            <w:pPr>
              <w:spacing w:line="240" w:lineRule="auto"/>
              <w:ind w:firstLine="0" w:firstLineChars="0"/>
              <w:jc w:val="center"/>
              <w:rPr>
                <w:color w:val="000000" w:themeColor="text1"/>
                <w:kern w:val="0"/>
                <w:sz w:val="21"/>
                <w:szCs w:val="21"/>
                <w14:textFill>
                  <w14:solidFill>
                    <w14:schemeClr w14:val="tx1"/>
                  </w14:solidFill>
                </w14:textFill>
              </w:rPr>
            </w:pPr>
          </w:p>
        </w:tc>
        <w:tc>
          <w:tcPr>
            <w:tcW w:w="620" w:type="pct"/>
            <w:vAlign w:val="center"/>
          </w:tcPr>
          <w:p w14:paraId="48F133A4">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垂线</w:t>
            </w:r>
          </w:p>
        </w:tc>
        <w:tc>
          <w:tcPr>
            <w:tcW w:w="620" w:type="pct"/>
            <w:vAlign w:val="center"/>
          </w:tcPr>
          <w:p w14:paraId="6E6EA6C3">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0:00</w:t>
            </w:r>
          </w:p>
        </w:tc>
        <w:tc>
          <w:tcPr>
            <w:tcW w:w="624" w:type="pct"/>
            <w:vAlign w:val="center"/>
          </w:tcPr>
          <w:p w14:paraId="647B86EB">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77</w:t>
            </w:r>
          </w:p>
        </w:tc>
        <w:tc>
          <w:tcPr>
            <w:tcW w:w="631" w:type="pct"/>
            <w:vAlign w:val="center"/>
          </w:tcPr>
          <w:p w14:paraId="7F84EAD5">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229</w:t>
            </w:r>
          </w:p>
        </w:tc>
        <w:tc>
          <w:tcPr>
            <w:tcW w:w="620" w:type="pct"/>
            <w:vAlign w:val="center"/>
          </w:tcPr>
          <w:p w14:paraId="013A17E9">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2:00</w:t>
            </w:r>
          </w:p>
        </w:tc>
        <w:tc>
          <w:tcPr>
            <w:tcW w:w="621" w:type="pct"/>
            <w:vAlign w:val="center"/>
          </w:tcPr>
          <w:p w14:paraId="5F53F237">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54</w:t>
            </w:r>
          </w:p>
        </w:tc>
        <w:tc>
          <w:tcPr>
            <w:tcW w:w="638" w:type="pct"/>
            <w:vAlign w:val="center"/>
          </w:tcPr>
          <w:p w14:paraId="3C6F5883">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228</w:t>
            </w:r>
          </w:p>
        </w:tc>
      </w:tr>
      <w:tr w14:paraId="7696CAA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6" w:hRule="atLeast"/>
          <w:jc w:val="center"/>
        </w:trPr>
        <w:tc>
          <w:tcPr>
            <w:tcW w:w="622" w:type="pct"/>
            <w:vMerge w:val="restart"/>
            <w:vAlign w:val="center"/>
          </w:tcPr>
          <w:p w14:paraId="41F2F703">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V5</w:t>
            </w:r>
          </w:p>
        </w:tc>
        <w:tc>
          <w:tcPr>
            <w:tcW w:w="620" w:type="pct"/>
            <w:vAlign w:val="center"/>
          </w:tcPr>
          <w:p w14:paraId="1D976BA8">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表层</w:t>
            </w:r>
          </w:p>
        </w:tc>
        <w:tc>
          <w:tcPr>
            <w:tcW w:w="620" w:type="pct"/>
            <w:vAlign w:val="center"/>
          </w:tcPr>
          <w:p w14:paraId="7B620D9B">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0:00</w:t>
            </w:r>
          </w:p>
        </w:tc>
        <w:tc>
          <w:tcPr>
            <w:tcW w:w="624" w:type="pct"/>
            <w:vAlign w:val="center"/>
          </w:tcPr>
          <w:p w14:paraId="1042CA8B">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51</w:t>
            </w:r>
          </w:p>
        </w:tc>
        <w:tc>
          <w:tcPr>
            <w:tcW w:w="631" w:type="pct"/>
            <w:vAlign w:val="center"/>
          </w:tcPr>
          <w:p w14:paraId="332F5E6D">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160</w:t>
            </w:r>
          </w:p>
        </w:tc>
        <w:tc>
          <w:tcPr>
            <w:tcW w:w="620" w:type="pct"/>
            <w:vAlign w:val="center"/>
          </w:tcPr>
          <w:p w14:paraId="279AA91D">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5:00</w:t>
            </w:r>
          </w:p>
        </w:tc>
        <w:tc>
          <w:tcPr>
            <w:tcW w:w="621" w:type="pct"/>
            <w:vAlign w:val="center"/>
          </w:tcPr>
          <w:p w14:paraId="716040B5">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45</w:t>
            </w:r>
          </w:p>
        </w:tc>
        <w:tc>
          <w:tcPr>
            <w:tcW w:w="638" w:type="pct"/>
            <w:vAlign w:val="center"/>
          </w:tcPr>
          <w:p w14:paraId="0C3A2BCB">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179</w:t>
            </w:r>
          </w:p>
        </w:tc>
      </w:tr>
      <w:tr w14:paraId="6CFEF01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29" w:hRule="atLeast"/>
          <w:jc w:val="center"/>
        </w:trPr>
        <w:tc>
          <w:tcPr>
            <w:tcW w:w="622" w:type="pct"/>
            <w:vMerge w:val="continue"/>
            <w:vAlign w:val="center"/>
          </w:tcPr>
          <w:p w14:paraId="54CA5884">
            <w:pPr>
              <w:spacing w:line="240" w:lineRule="auto"/>
              <w:ind w:firstLine="0" w:firstLineChars="0"/>
              <w:jc w:val="center"/>
              <w:rPr>
                <w:color w:val="000000" w:themeColor="text1"/>
                <w:kern w:val="0"/>
                <w:sz w:val="21"/>
                <w:szCs w:val="21"/>
                <w14:textFill>
                  <w14:solidFill>
                    <w14:schemeClr w14:val="tx1"/>
                  </w14:solidFill>
                </w14:textFill>
              </w:rPr>
            </w:pPr>
          </w:p>
        </w:tc>
        <w:tc>
          <w:tcPr>
            <w:tcW w:w="620" w:type="pct"/>
            <w:vAlign w:val="center"/>
          </w:tcPr>
          <w:p w14:paraId="7CAB751D">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0.2H</w:t>
            </w:r>
          </w:p>
        </w:tc>
        <w:tc>
          <w:tcPr>
            <w:tcW w:w="620" w:type="pct"/>
            <w:vAlign w:val="center"/>
          </w:tcPr>
          <w:p w14:paraId="3387F062">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7:00</w:t>
            </w:r>
          </w:p>
        </w:tc>
        <w:tc>
          <w:tcPr>
            <w:tcW w:w="624" w:type="pct"/>
            <w:vAlign w:val="center"/>
          </w:tcPr>
          <w:p w14:paraId="0AA176BD">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57</w:t>
            </w:r>
          </w:p>
        </w:tc>
        <w:tc>
          <w:tcPr>
            <w:tcW w:w="631" w:type="pct"/>
            <w:vAlign w:val="center"/>
          </w:tcPr>
          <w:p w14:paraId="14A9B1B5">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20</w:t>
            </w:r>
          </w:p>
        </w:tc>
        <w:tc>
          <w:tcPr>
            <w:tcW w:w="620" w:type="pct"/>
            <w:vAlign w:val="center"/>
          </w:tcPr>
          <w:p w14:paraId="1C1B1656">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6:00</w:t>
            </w:r>
          </w:p>
        </w:tc>
        <w:tc>
          <w:tcPr>
            <w:tcW w:w="621" w:type="pct"/>
            <w:vAlign w:val="center"/>
          </w:tcPr>
          <w:p w14:paraId="1F5FE49B">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42</w:t>
            </w:r>
          </w:p>
        </w:tc>
        <w:tc>
          <w:tcPr>
            <w:tcW w:w="638" w:type="pct"/>
            <w:vAlign w:val="center"/>
          </w:tcPr>
          <w:p w14:paraId="241D9C4C">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175</w:t>
            </w:r>
          </w:p>
        </w:tc>
      </w:tr>
      <w:tr w14:paraId="6F7961B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7" w:hRule="atLeast"/>
          <w:jc w:val="center"/>
        </w:trPr>
        <w:tc>
          <w:tcPr>
            <w:tcW w:w="622" w:type="pct"/>
            <w:vMerge w:val="continue"/>
            <w:vAlign w:val="center"/>
          </w:tcPr>
          <w:p w14:paraId="7500EE97">
            <w:pPr>
              <w:spacing w:line="240" w:lineRule="auto"/>
              <w:ind w:firstLine="0" w:firstLineChars="0"/>
              <w:jc w:val="center"/>
              <w:rPr>
                <w:color w:val="000000" w:themeColor="text1"/>
                <w:kern w:val="0"/>
                <w:sz w:val="21"/>
                <w:szCs w:val="21"/>
                <w14:textFill>
                  <w14:solidFill>
                    <w14:schemeClr w14:val="tx1"/>
                  </w14:solidFill>
                </w14:textFill>
              </w:rPr>
            </w:pPr>
          </w:p>
        </w:tc>
        <w:tc>
          <w:tcPr>
            <w:tcW w:w="620" w:type="pct"/>
            <w:vAlign w:val="center"/>
          </w:tcPr>
          <w:p w14:paraId="1FEC850A">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0.4H</w:t>
            </w:r>
          </w:p>
        </w:tc>
        <w:tc>
          <w:tcPr>
            <w:tcW w:w="620" w:type="pct"/>
            <w:vAlign w:val="center"/>
          </w:tcPr>
          <w:p w14:paraId="217D988C">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22:00</w:t>
            </w:r>
          </w:p>
        </w:tc>
        <w:tc>
          <w:tcPr>
            <w:tcW w:w="624" w:type="pct"/>
            <w:vAlign w:val="center"/>
          </w:tcPr>
          <w:p w14:paraId="3295B637">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54</w:t>
            </w:r>
          </w:p>
        </w:tc>
        <w:tc>
          <w:tcPr>
            <w:tcW w:w="631" w:type="pct"/>
            <w:vAlign w:val="center"/>
          </w:tcPr>
          <w:p w14:paraId="03BB7BC7">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178</w:t>
            </w:r>
          </w:p>
        </w:tc>
        <w:tc>
          <w:tcPr>
            <w:tcW w:w="620" w:type="pct"/>
            <w:vAlign w:val="center"/>
          </w:tcPr>
          <w:p w14:paraId="0959EBAA">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19:00</w:t>
            </w:r>
          </w:p>
        </w:tc>
        <w:tc>
          <w:tcPr>
            <w:tcW w:w="621" w:type="pct"/>
            <w:vAlign w:val="center"/>
          </w:tcPr>
          <w:p w14:paraId="36E96BE4">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49</w:t>
            </w:r>
          </w:p>
        </w:tc>
        <w:tc>
          <w:tcPr>
            <w:tcW w:w="638" w:type="pct"/>
            <w:vAlign w:val="center"/>
          </w:tcPr>
          <w:p w14:paraId="7A9F6F98">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329</w:t>
            </w:r>
          </w:p>
        </w:tc>
      </w:tr>
      <w:tr w14:paraId="47551B3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6" w:hRule="atLeast"/>
          <w:jc w:val="center"/>
        </w:trPr>
        <w:tc>
          <w:tcPr>
            <w:tcW w:w="622" w:type="pct"/>
            <w:vMerge w:val="continue"/>
            <w:vAlign w:val="center"/>
          </w:tcPr>
          <w:p w14:paraId="238CD648">
            <w:pPr>
              <w:spacing w:line="240" w:lineRule="auto"/>
              <w:ind w:firstLine="0" w:firstLineChars="0"/>
              <w:jc w:val="center"/>
              <w:rPr>
                <w:color w:val="000000" w:themeColor="text1"/>
                <w:kern w:val="0"/>
                <w:sz w:val="21"/>
                <w:szCs w:val="21"/>
                <w14:textFill>
                  <w14:solidFill>
                    <w14:schemeClr w14:val="tx1"/>
                  </w14:solidFill>
                </w14:textFill>
              </w:rPr>
            </w:pPr>
          </w:p>
        </w:tc>
        <w:tc>
          <w:tcPr>
            <w:tcW w:w="620" w:type="pct"/>
            <w:vAlign w:val="center"/>
          </w:tcPr>
          <w:p w14:paraId="7CC834A9">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0.6H</w:t>
            </w:r>
          </w:p>
        </w:tc>
        <w:tc>
          <w:tcPr>
            <w:tcW w:w="620" w:type="pct"/>
            <w:vAlign w:val="center"/>
          </w:tcPr>
          <w:p w14:paraId="6531779B">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22:00</w:t>
            </w:r>
          </w:p>
        </w:tc>
        <w:tc>
          <w:tcPr>
            <w:tcW w:w="624" w:type="pct"/>
            <w:vAlign w:val="center"/>
          </w:tcPr>
          <w:p w14:paraId="5BFA552E">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54</w:t>
            </w:r>
          </w:p>
        </w:tc>
        <w:tc>
          <w:tcPr>
            <w:tcW w:w="631" w:type="pct"/>
            <w:vAlign w:val="center"/>
          </w:tcPr>
          <w:p w14:paraId="52A212DB">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191</w:t>
            </w:r>
          </w:p>
        </w:tc>
        <w:tc>
          <w:tcPr>
            <w:tcW w:w="620" w:type="pct"/>
            <w:vAlign w:val="center"/>
          </w:tcPr>
          <w:p w14:paraId="42A5847F">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19:00</w:t>
            </w:r>
          </w:p>
        </w:tc>
        <w:tc>
          <w:tcPr>
            <w:tcW w:w="621" w:type="pct"/>
            <w:vAlign w:val="center"/>
          </w:tcPr>
          <w:p w14:paraId="332B5F97">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47</w:t>
            </w:r>
          </w:p>
        </w:tc>
        <w:tc>
          <w:tcPr>
            <w:tcW w:w="638" w:type="pct"/>
            <w:vAlign w:val="center"/>
          </w:tcPr>
          <w:p w14:paraId="36561381">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325</w:t>
            </w:r>
          </w:p>
        </w:tc>
      </w:tr>
      <w:tr w14:paraId="3DBAA62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6" w:hRule="atLeast"/>
          <w:jc w:val="center"/>
        </w:trPr>
        <w:tc>
          <w:tcPr>
            <w:tcW w:w="622" w:type="pct"/>
            <w:vMerge w:val="continue"/>
            <w:vAlign w:val="center"/>
          </w:tcPr>
          <w:p w14:paraId="02DA3069">
            <w:pPr>
              <w:spacing w:line="240" w:lineRule="auto"/>
              <w:ind w:firstLine="0" w:firstLineChars="0"/>
              <w:jc w:val="center"/>
              <w:rPr>
                <w:color w:val="000000" w:themeColor="text1"/>
                <w:kern w:val="0"/>
                <w:sz w:val="21"/>
                <w:szCs w:val="21"/>
                <w14:textFill>
                  <w14:solidFill>
                    <w14:schemeClr w14:val="tx1"/>
                  </w14:solidFill>
                </w14:textFill>
              </w:rPr>
            </w:pPr>
          </w:p>
        </w:tc>
        <w:tc>
          <w:tcPr>
            <w:tcW w:w="620" w:type="pct"/>
            <w:vAlign w:val="center"/>
          </w:tcPr>
          <w:p w14:paraId="2138E395">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0.8H</w:t>
            </w:r>
          </w:p>
        </w:tc>
        <w:tc>
          <w:tcPr>
            <w:tcW w:w="620" w:type="pct"/>
            <w:vAlign w:val="center"/>
          </w:tcPr>
          <w:p w14:paraId="15AEE2D8">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22:00</w:t>
            </w:r>
          </w:p>
        </w:tc>
        <w:tc>
          <w:tcPr>
            <w:tcW w:w="624" w:type="pct"/>
            <w:vAlign w:val="center"/>
          </w:tcPr>
          <w:p w14:paraId="29C148D0">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46</w:t>
            </w:r>
          </w:p>
        </w:tc>
        <w:tc>
          <w:tcPr>
            <w:tcW w:w="631" w:type="pct"/>
            <w:vAlign w:val="center"/>
          </w:tcPr>
          <w:p w14:paraId="629EAD06">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191</w:t>
            </w:r>
          </w:p>
        </w:tc>
        <w:tc>
          <w:tcPr>
            <w:tcW w:w="620" w:type="pct"/>
            <w:vAlign w:val="center"/>
          </w:tcPr>
          <w:p w14:paraId="7493B580">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19:00</w:t>
            </w:r>
          </w:p>
        </w:tc>
        <w:tc>
          <w:tcPr>
            <w:tcW w:w="621" w:type="pct"/>
            <w:vAlign w:val="center"/>
          </w:tcPr>
          <w:p w14:paraId="64C6E1F3">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42</w:t>
            </w:r>
          </w:p>
        </w:tc>
        <w:tc>
          <w:tcPr>
            <w:tcW w:w="638" w:type="pct"/>
            <w:vAlign w:val="center"/>
          </w:tcPr>
          <w:p w14:paraId="607F8F27">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340</w:t>
            </w:r>
          </w:p>
        </w:tc>
      </w:tr>
      <w:tr w14:paraId="6AD2FD4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7" w:hRule="atLeast"/>
          <w:jc w:val="center"/>
        </w:trPr>
        <w:tc>
          <w:tcPr>
            <w:tcW w:w="622" w:type="pct"/>
            <w:vMerge w:val="continue"/>
            <w:vAlign w:val="center"/>
          </w:tcPr>
          <w:p w14:paraId="4F2FB39D">
            <w:pPr>
              <w:spacing w:line="240" w:lineRule="auto"/>
              <w:ind w:firstLine="0" w:firstLineChars="0"/>
              <w:jc w:val="center"/>
              <w:rPr>
                <w:color w:val="000000" w:themeColor="text1"/>
                <w:kern w:val="0"/>
                <w:sz w:val="21"/>
                <w:szCs w:val="21"/>
                <w14:textFill>
                  <w14:solidFill>
                    <w14:schemeClr w14:val="tx1"/>
                  </w14:solidFill>
                </w14:textFill>
              </w:rPr>
            </w:pPr>
          </w:p>
        </w:tc>
        <w:tc>
          <w:tcPr>
            <w:tcW w:w="620" w:type="pct"/>
            <w:vAlign w:val="center"/>
          </w:tcPr>
          <w:p w14:paraId="302FF59E">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底层</w:t>
            </w:r>
          </w:p>
        </w:tc>
        <w:tc>
          <w:tcPr>
            <w:tcW w:w="620" w:type="pct"/>
            <w:vAlign w:val="center"/>
          </w:tcPr>
          <w:p w14:paraId="0893C2F7">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1:00</w:t>
            </w:r>
          </w:p>
        </w:tc>
        <w:tc>
          <w:tcPr>
            <w:tcW w:w="624" w:type="pct"/>
            <w:vAlign w:val="center"/>
          </w:tcPr>
          <w:p w14:paraId="5501B8DF">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36</w:t>
            </w:r>
          </w:p>
        </w:tc>
        <w:tc>
          <w:tcPr>
            <w:tcW w:w="631" w:type="pct"/>
            <w:vAlign w:val="center"/>
          </w:tcPr>
          <w:p w14:paraId="0B84EA2A">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199</w:t>
            </w:r>
          </w:p>
        </w:tc>
        <w:tc>
          <w:tcPr>
            <w:tcW w:w="620" w:type="pct"/>
            <w:vAlign w:val="center"/>
          </w:tcPr>
          <w:p w14:paraId="3182E99F">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19:00</w:t>
            </w:r>
          </w:p>
        </w:tc>
        <w:tc>
          <w:tcPr>
            <w:tcW w:w="621" w:type="pct"/>
            <w:vAlign w:val="center"/>
          </w:tcPr>
          <w:p w14:paraId="2832B071">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30</w:t>
            </w:r>
          </w:p>
        </w:tc>
        <w:tc>
          <w:tcPr>
            <w:tcW w:w="638" w:type="pct"/>
            <w:vAlign w:val="center"/>
          </w:tcPr>
          <w:p w14:paraId="19396289">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301</w:t>
            </w:r>
          </w:p>
        </w:tc>
      </w:tr>
      <w:tr w14:paraId="723F674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7" w:hRule="atLeast"/>
          <w:jc w:val="center"/>
        </w:trPr>
        <w:tc>
          <w:tcPr>
            <w:tcW w:w="622" w:type="pct"/>
            <w:vMerge w:val="continue"/>
            <w:vAlign w:val="center"/>
          </w:tcPr>
          <w:p w14:paraId="77834C10">
            <w:pPr>
              <w:spacing w:line="240" w:lineRule="auto"/>
              <w:ind w:firstLine="0" w:firstLineChars="0"/>
              <w:jc w:val="center"/>
              <w:rPr>
                <w:color w:val="000000" w:themeColor="text1"/>
                <w:kern w:val="0"/>
                <w:sz w:val="21"/>
                <w:szCs w:val="21"/>
                <w14:textFill>
                  <w14:solidFill>
                    <w14:schemeClr w14:val="tx1"/>
                  </w14:solidFill>
                </w14:textFill>
              </w:rPr>
            </w:pPr>
          </w:p>
        </w:tc>
        <w:tc>
          <w:tcPr>
            <w:tcW w:w="620" w:type="pct"/>
            <w:vAlign w:val="center"/>
          </w:tcPr>
          <w:p w14:paraId="022AB860">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垂线</w:t>
            </w:r>
          </w:p>
        </w:tc>
        <w:tc>
          <w:tcPr>
            <w:tcW w:w="620" w:type="pct"/>
            <w:vAlign w:val="center"/>
          </w:tcPr>
          <w:p w14:paraId="6ACC5F3D">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22:00</w:t>
            </w:r>
          </w:p>
        </w:tc>
        <w:tc>
          <w:tcPr>
            <w:tcW w:w="624" w:type="pct"/>
            <w:vAlign w:val="center"/>
          </w:tcPr>
          <w:p w14:paraId="5DCC0692">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47</w:t>
            </w:r>
          </w:p>
        </w:tc>
        <w:tc>
          <w:tcPr>
            <w:tcW w:w="631" w:type="pct"/>
            <w:vAlign w:val="center"/>
          </w:tcPr>
          <w:p w14:paraId="6E733D11">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181</w:t>
            </w:r>
          </w:p>
        </w:tc>
        <w:tc>
          <w:tcPr>
            <w:tcW w:w="620" w:type="pct"/>
            <w:vAlign w:val="center"/>
          </w:tcPr>
          <w:p w14:paraId="674A5FAC">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19:00</w:t>
            </w:r>
          </w:p>
        </w:tc>
        <w:tc>
          <w:tcPr>
            <w:tcW w:w="621" w:type="pct"/>
            <w:vAlign w:val="center"/>
          </w:tcPr>
          <w:p w14:paraId="6B7F0F29">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42</w:t>
            </w:r>
          </w:p>
        </w:tc>
        <w:tc>
          <w:tcPr>
            <w:tcW w:w="638" w:type="pct"/>
            <w:vAlign w:val="center"/>
          </w:tcPr>
          <w:p w14:paraId="564B8E14">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325</w:t>
            </w:r>
          </w:p>
        </w:tc>
      </w:tr>
      <w:tr w14:paraId="36C77BA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6" w:hRule="atLeast"/>
          <w:jc w:val="center"/>
        </w:trPr>
        <w:tc>
          <w:tcPr>
            <w:tcW w:w="622" w:type="pct"/>
            <w:vMerge w:val="restart"/>
            <w:vAlign w:val="center"/>
          </w:tcPr>
          <w:p w14:paraId="4A5FF8DF">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V6</w:t>
            </w:r>
          </w:p>
        </w:tc>
        <w:tc>
          <w:tcPr>
            <w:tcW w:w="620" w:type="pct"/>
            <w:vAlign w:val="center"/>
          </w:tcPr>
          <w:p w14:paraId="635D877D">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表层</w:t>
            </w:r>
          </w:p>
        </w:tc>
        <w:tc>
          <w:tcPr>
            <w:tcW w:w="620" w:type="pct"/>
            <w:vAlign w:val="center"/>
          </w:tcPr>
          <w:p w14:paraId="7461B6C1">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23:00</w:t>
            </w:r>
          </w:p>
        </w:tc>
        <w:tc>
          <w:tcPr>
            <w:tcW w:w="624" w:type="pct"/>
            <w:vAlign w:val="center"/>
          </w:tcPr>
          <w:p w14:paraId="4D526BC1">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40</w:t>
            </w:r>
          </w:p>
        </w:tc>
        <w:tc>
          <w:tcPr>
            <w:tcW w:w="631" w:type="pct"/>
            <w:vAlign w:val="center"/>
          </w:tcPr>
          <w:p w14:paraId="4EAAC663">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202</w:t>
            </w:r>
          </w:p>
        </w:tc>
        <w:tc>
          <w:tcPr>
            <w:tcW w:w="620" w:type="pct"/>
            <w:vAlign w:val="center"/>
          </w:tcPr>
          <w:p w14:paraId="11270098">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17:00</w:t>
            </w:r>
          </w:p>
        </w:tc>
        <w:tc>
          <w:tcPr>
            <w:tcW w:w="621" w:type="pct"/>
            <w:vAlign w:val="center"/>
          </w:tcPr>
          <w:p w14:paraId="14E8D946">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22</w:t>
            </w:r>
          </w:p>
        </w:tc>
        <w:tc>
          <w:tcPr>
            <w:tcW w:w="638" w:type="pct"/>
            <w:vAlign w:val="center"/>
          </w:tcPr>
          <w:p w14:paraId="1CEBB388">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36</w:t>
            </w:r>
          </w:p>
        </w:tc>
      </w:tr>
      <w:tr w14:paraId="42B0E4D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6" w:hRule="atLeast"/>
          <w:jc w:val="center"/>
        </w:trPr>
        <w:tc>
          <w:tcPr>
            <w:tcW w:w="622" w:type="pct"/>
            <w:vMerge w:val="continue"/>
            <w:vAlign w:val="center"/>
          </w:tcPr>
          <w:p w14:paraId="269D1EF5">
            <w:pPr>
              <w:spacing w:line="240" w:lineRule="auto"/>
              <w:ind w:firstLine="0" w:firstLineChars="0"/>
              <w:jc w:val="center"/>
              <w:rPr>
                <w:color w:val="000000" w:themeColor="text1"/>
                <w:kern w:val="0"/>
                <w:sz w:val="21"/>
                <w:szCs w:val="21"/>
                <w14:textFill>
                  <w14:solidFill>
                    <w14:schemeClr w14:val="tx1"/>
                  </w14:solidFill>
                </w14:textFill>
              </w:rPr>
            </w:pPr>
          </w:p>
        </w:tc>
        <w:tc>
          <w:tcPr>
            <w:tcW w:w="620" w:type="pct"/>
            <w:vAlign w:val="center"/>
          </w:tcPr>
          <w:p w14:paraId="2E4188EB">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0.6H</w:t>
            </w:r>
          </w:p>
        </w:tc>
        <w:tc>
          <w:tcPr>
            <w:tcW w:w="620" w:type="pct"/>
            <w:vAlign w:val="center"/>
          </w:tcPr>
          <w:p w14:paraId="2FD70115">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20:00</w:t>
            </w:r>
          </w:p>
        </w:tc>
        <w:tc>
          <w:tcPr>
            <w:tcW w:w="624" w:type="pct"/>
            <w:vAlign w:val="center"/>
          </w:tcPr>
          <w:p w14:paraId="587A6BF0">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29</w:t>
            </w:r>
          </w:p>
        </w:tc>
        <w:tc>
          <w:tcPr>
            <w:tcW w:w="631" w:type="pct"/>
            <w:vAlign w:val="center"/>
          </w:tcPr>
          <w:p w14:paraId="5D4BC258">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224</w:t>
            </w:r>
          </w:p>
        </w:tc>
        <w:tc>
          <w:tcPr>
            <w:tcW w:w="620" w:type="pct"/>
            <w:vAlign w:val="center"/>
          </w:tcPr>
          <w:p w14:paraId="79C4AB2A">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17:00</w:t>
            </w:r>
          </w:p>
        </w:tc>
        <w:tc>
          <w:tcPr>
            <w:tcW w:w="621" w:type="pct"/>
            <w:vAlign w:val="center"/>
          </w:tcPr>
          <w:p w14:paraId="3BF19BE6">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19</w:t>
            </w:r>
          </w:p>
        </w:tc>
        <w:tc>
          <w:tcPr>
            <w:tcW w:w="638" w:type="pct"/>
            <w:vAlign w:val="center"/>
          </w:tcPr>
          <w:p w14:paraId="1E71CF59">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20</w:t>
            </w:r>
          </w:p>
        </w:tc>
      </w:tr>
      <w:tr w14:paraId="7CA4EDC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6" w:hRule="atLeast"/>
          <w:jc w:val="center"/>
        </w:trPr>
        <w:tc>
          <w:tcPr>
            <w:tcW w:w="622" w:type="pct"/>
            <w:vMerge w:val="continue"/>
            <w:vAlign w:val="center"/>
          </w:tcPr>
          <w:p w14:paraId="124B8AC9">
            <w:pPr>
              <w:spacing w:line="240" w:lineRule="auto"/>
              <w:ind w:firstLine="0" w:firstLineChars="0"/>
              <w:jc w:val="center"/>
              <w:rPr>
                <w:color w:val="000000" w:themeColor="text1"/>
                <w:kern w:val="0"/>
                <w:sz w:val="21"/>
                <w:szCs w:val="21"/>
                <w14:textFill>
                  <w14:solidFill>
                    <w14:schemeClr w14:val="tx1"/>
                  </w14:solidFill>
                </w14:textFill>
              </w:rPr>
            </w:pPr>
          </w:p>
        </w:tc>
        <w:tc>
          <w:tcPr>
            <w:tcW w:w="620" w:type="pct"/>
            <w:vAlign w:val="center"/>
          </w:tcPr>
          <w:p w14:paraId="362CDC60">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底层</w:t>
            </w:r>
          </w:p>
        </w:tc>
        <w:tc>
          <w:tcPr>
            <w:tcW w:w="620" w:type="pct"/>
            <w:vAlign w:val="center"/>
          </w:tcPr>
          <w:p w14:paraId="140EA0EF">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12:00</w:t>
            </w:r>
          </w:p>
        </w:tc>
        <w:tc>
          <w:tcPr>
            <w:tcW w:w="624" w:type="pct"/>
            <w:vAlign w:val="center"/>
          </w:tcPr>
          <w:p w14:paraId="0B6E0CF8">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25</w:t>
            </w:r>
          </w:p>
        </w:tc>
        <w:tc>
          <w:tcPr>
            <w:tcW w:w="631" w:type="pct"/>
            <w:vAlign w:val="center"/>
          </w:tcPr>
          <w:p w14:paraId="302CC61A">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142</w:t>
            </w:r>
          </w:p>
        </w:tc>
        <w:tc>
          <w:tcPr>
            <w:tcW w:w="620" w:type="pct"/>
            <w:vAlign w:val="center"/>
          </w:tcPr>
          <w:p w14:paraId="5BF342A3">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3:00</w:t>
            </w:r>
          </w:p>
        </w:tc>
        <w:tc>
          <w:tcPr>
            <w:tcW w:w="621" w:type="pct"/>
            <w:vAlign w:val="center"/>
          </w:tcPr>
          <w:p w14:paraId="000146E3">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17</w:t>
            </w:r>
          </w:p>
        </w:tc>
        <w:tc>
          <w:tcPr>
            <w:tcW w:w="638" w:type="pct"/>
            <w:vAlign w:val="center"/>
          </w:tcPr>
          <w:p w14:paraId="6D6AD6EB">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176</w:t>
            </w:r>
          </w:p>
        </w:tc>
      </w:tr>
      <w:tr w14:paraId="6C89153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7" w:hRule="atLeast"/>
          <w:jc w:val="center"/>
        </w:trPr>
        <w:tc>
          <w:tcPr>
            <w:tcW w:w="622" w:type="pct"/>
            <w:vMerge w:val="continue"/>
            <w:vAlign w:val="center"/>
          </w:tcPr>
          <w:p w14:paraId="1DAFE35F">
            <w:pPr>
              <w:spacing w:line="240" w:lineRule="auto"/>
              <w:ind w:firstLine="0" w:firstLineChars="0"/>
              <w:jc w:val="center"/>
              <w:rPr>
                <w:color w:val="000000" w:themeColor="text1"/>
                <w:kern w:val="0"/>
                <w:sz w:val="21"/>
                <w:szCs w:val="21"/>
                <w14:textFill>
                  <w14:solidFill>
                    <w14:schemeClr w14:val="tx1"/>
                  </w14:solidFill>
                </w14:textFill>
              </w:rPr>
            </w:pPr>
          </w:p>
        </w:tc>
        <w:tc>
          <w:tcPr>
            <w:tcW w:w="620" w:type="pct"/>
            <w:vAlign w:val="center"/>
          </w:tcPr>
          <w:p w14:paraId="4E2992D8">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垂线</w:t>
            </w:r>
          </w:p>
        </w:tc>
        <w:tc>
          <w:tcPr>
            <w:tcW w:w="620" w:type="pct"/>
            <w:vAlign w:val="center"/>
          </w:tcPr>
          <w:p w14:paraId="2BB3E65C">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23:00</w:t>
            </w:r>
          </w:p>
        </w:tc>
        <w:tc>
          <w:tcPr>
            <w:tcW w:w="624" w:type="pct"/>
            <w:vAlign w:val="center"/>
          </w:tcPr>
          <w:p w14:paraId="4DCA545E">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28</w:t>
            </w:r>
          </w:p>
        </w:tc>
        <w:tc>
          <w:tcPr>
            <w:tcW w:w="631" w:type="pct"/>
            <w:vAlign w:val="center"/>
          </w:tcPr>
          <w:p w14:paraId="5F6C4C39">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184</w:t>
            </w:r>
          </w:p>
        </w:tc>
        <w:tc>
          <w:tcPr>
            <w:tcW w:w="620" w:type="pct"/>
            <w:vAlign w:val="center"/>
          </w:tcPr>
          <w:p w14:paraId="6F327FC6">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19:00</w:t>
            </w:r>
          </w:p>
        </w:tc>
        <w:tc>
          <w:tcPr>
            <w:tcW w:w="621" w:type="pct"/>
            <w:vAlign w:val="center"/>
          </w:tcPr>
          <w:p w14:paraId="072371CB">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18</w:t>
            </w:r>
          </w:p>
        </w:tc>
        <w:tc>
          <w:tcPr>
            <w:tcW w:w="638" w:type="pct"/>
            <w:vAlign w:val="center"/>
          </w:tcPr>
          <w:p w14:paraId="551F9635">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22</w:t>
            </w:r>
          </w:p>
        </w:tc>
      </w:tr>
      <w:tr w14:paraId="70F61AC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7" w:hRule="atLeast"/>
          <w:jc w:val="center"/>
        </w:trPr>
        <w:tc>
          <w:tcPr>
            <w:tcW w:w="622" w:type="pct"/>
            <w:vMerge w:val="restart"/>
            <w:vAlign w:val="center"/>
          </w:tcPr>
          <w:p w14:paraId="2DAB53E5">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V7</w:t>
            </w:r>
          </w:p>
        </w:tc>
        <w:tc>
          <w:tcPr>
            <w:tcW w:w="620" w:type="pct"/>
            <w:vAlign w:val="center"/>
          </w:tcPr>
          <w:p w14:paraId="3AB78998">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表层</w:t>
            </w:r>
          </w:p>
        </w:tc>
        <w:tc>
          <w:tcPr>
            <w:tcW w:w="620" w:type="pct"/>
            <w:vAlign w:val="center"/>
          </w:tcPr>
          <w:p w14:paraId="674D1FA5">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22:00</w:t>
            </w:r>
          </w:p>
        </w:tc>
        <w:tc>
          <w:tcPr>
            <w:tcW w:w="624" w:type="pct"/>
            <w:vAlign w:val="center"/>
          </w:tcPr>
          <w:p w14:paraId="28BFC455">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60</w:t>
            </w:r>
          </w:p>
        </w:tc>
        <w:tc>
          <w:tcPr>
            <w:tcW w:w="631" w:type="pct"/>
            <w:vAlign w:val="center"/>
          </w:tcPr>
          <w:p w14:paraId="1716422B">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156</w:t>
            </w:r>
          </w:p>
        </w:tc>
        <w:tc>
          <w:tcPr>
            <w:tcW w:w="620" w:type="pct"/>
            <w:vAlign w:val="center"/>
          </w:tcPr>
          <w:p w14:paraId="3DF3D355">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10:00</w:t>
            </w:r>
          </w:p>
        </w:tc>
        <w:tc>
          <w:tcPr>
            <w:tcW w:w="621" w:type="pct"/>
            <w:vAlign w:val="center"/>
          </w:tcPr>
          <w:p w14:paraId="529F902A">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62</w:t>
            </w:r>
          </w:p>
        </w:tc>
        <w:tc>
          <w:tcPr>
            <w:tcW w:w="638" w:type="pct"/>
            <w:vAlign w:val="center"/>
          </w:tcPr>
          <w:p w14:paraId="4B4B94FD">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117</w:t>
            </w:r>
          </w:p>
        </w:tc>
      </w:tr>
      <w:tr w14:paraId="67692D7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6" w:hRule="atLeast"/>
          <w:jc w:val="center"/>
        </w:trPr>
        <w:tc>
          <w:tcPr>
            <w:tcW w:w="622" w:type="pct"/>
            <w:vMerge w:val="continue"/>
            <w:vAlign w:val="center"/>
          </w:tcPr>
          <w:p w14:paraId="3C69ADC4">
            <w:pPr>
              <w:spacing w:line="240" w:lineRule="auto"/>
              <w:ind w:firstLine="0" w:firstLineChars="0"/>
              <w:jc w:val="center"/>
              <w:rPr>
                <w:color w:val="000000" w:themeColor="text1"/>
                <w:kern w:val="0"/>
                <w:sz w:val="21"/>
                <w:szCs w:val="21"/>
                <w14:textFill>
                  <w14:solidFill>
                    <w14:schemeClr w14:val="tx1"/>
                  </w14:solidFill>
                </w14:textFill>
              </w:rPr>
            </w:pPr>
          </w:p>
        </w:tc>
        <w:tc>
          <w:tcPr>
            <w:tcW w:w="620" w:type="pct"/>
            <w:vAlign w:val="center"/>
          </w:tcPr>
          <w:p w14:paraId="4A01536C">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0.2H</w:t>
            </w:r>
          </w:p>
        </w:tc>
        <w:tc>
          <w:tcPr>
            <w:tcW w:w="620" w:type="pct"/>
            <w:vAlign w:val="center"/>
          </w:tcPr>
          <w:p w14:paraId="62ECAF3D">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23:00</w:t>
            </w:r>
          </w:p>
        </w:tc>
        <w:tc>
          <w:tcPr>
            <w:tcW w:w="624" w:type="pct"/>
            <w:vAlign w:val="center"/>
          </w:tcPr>
          <w:p w14:paraId="4030B3E4">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64</w:t>
            </w:r>
          </w:p>
        </w:tc>
        <w:tc>
          <w:tcPr>
            <w:tcW w:w="631" w:type="pct"/>
            <w:vAlign w:val="center"/>
          </w:tcPr>
          <w:p w14:paraId="5B4BAC98">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149</w:t>
            </w:r>
          </w:p>
        </w:tc>
        <w:tc>
          <w:tcPr>
            <w:tcW w:w="620" w:type="pct"/>
            <w:vAlign w:val="center"/>
          </w:tcPr>
          <w:p w14:paraId="0B4DBEB0">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3:00</w:t>
            </w:r>
          </w:p>
        </w:tc>
        <w:tc>
          <w:tcPr>
            <w:tcW w:w="621" w:type="pct"/>
            <w:vAlign w:val="center"/>
          </w:tcPr>
          <w:p w14:paraId="12D76B1B">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59</w:t>
            </w:r>
          </w:p>
        </w:tc>
        <w:tc>
          <w:tcPr>
            <w:tcW w:w="638" w:type="pct"/>
            <w:vAlign w:val="center"/>
          </w:tcPr>
          <w:p w14:paraId="4371B8DA">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127</w:t>
            </w:r>
          </w:p>
        </w:tc>
      </w:tr>
      <w:tr w14:paraId="0714E41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6" w:hRule="atLeast"/>
          <w:jc w:val="center"/>
        </w:trPr>
        <w:tc>
          <w:tcPr>
            <w:tcW w:w="622" w:type="pct"/>
            <w:vMerge w:val="continue"/>
            <w:vAlign w:val="center"/>
          </w:tcPr>
          <w:p w14:paraId="398C12BF">
            <w:pPr>
              <w:spacing w:line="240" w:lineRule="auto"/>
              <w:ind w:firstLine="0" w:firstLineChars="0"/>
              <w:jc w:val="center"/>
              <w:rPr>
                <w:color w:val="000000" w:themeColor="text1"/>
                <w:kern w:val="0"/>
                <w:sz w:val="21"/>
                <w:szCs w:val="21"/>
                <w14:textFill>
                  <w14:solidFill>
                    <w14:schemeClr w14:val="tx1"/>
                  </w14:solidFill>
                </w14:textFill>
              </w:rPr>
            </w:pPr>
          </w:p>
        </w:tc>
        <w:tc>
          <w:tcPr>
            <w:tcW w:w="620" w:type="pct"/>
            <w:vAlign w:val="center"/>
          </w:tcPr>
          <w:p w14:paraId="5E2C1529">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0.4H</w:t>
            </w:r>
          </w:p>
        </w:tc>
        <w:tc>
          <w:tcPr>
            <w:tcW w:w="620" w:type="pct"/>
            <w:vAlign w:val="center"/>
          </w:tcPr>
          <w:p w14:paraId="616B78E8">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23:00</w:t>
            </w:r>
          </w:p>
        </w:tc>
        <w:tc>
          <w:tcPr>
            <w:tcW w:w="624" w:type="pct"/>
            <w:vAlign w:val="center"/>
          </w:tcPr>
          <w:p w14:paraId="4F6BAEFE">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62</w:t>
            </w:r>
          </w:p>
        </w:tc>
        <w:tc>
          <w:tcPr>
            <w:tcW w:w="631" w:type="pct"/>
            <w:vAlign w:val="center"/>
          </w:tcPr>
          <w:p w14:paraId="31524B20">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110</w:t>
            </w:r>
          </w:p>
        </w:tc>
        <w:tc>
          <w:tcPr>
            <w:tcW w:w="620" w:type="pct"/>
            <w:vAlign w:val="center"/>
          </w:tcPr>
          <w:p w14:paraId="25D98CAD">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3:00</w:t>
            </w:r>
          </w:p>
        </w:tc>
        <w:tc>
          <w:tcPr>
            <w:tcW w:w="621" w:type="pct"/>
            <w:vAlign w:val="center"/>
          </w:tcPr>
          <w:p w14:paraId="702AB318">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60</w:t>
            </w:r>
          </w:p>
        </w:tc>
        <w:tc>
          <w:tcPr>
            <w:tcW w:w="638" w:type="pct"/>
            <w:vAlign w:val="center"/>
          </w:tcPr>
          <w:p w14:paraId="28601DB6">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136</w:t>
            </w:r>
          </w:p>
        </w:tc>
      </w:tr>
      <w:tr w14:paraId="65EE60F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6" w:hRule="atLeast"/>
          <w:jc w:val="center"/>
        </w:trPr>
        <w:tc>
          <w:tcPr>
            <w:tcW w:w="622" w:type="pct"/>
            <w:vMerge w:val="continue"/>
            <w:vAlign w:val="center"/>
          </w:tcPr>
          <w:p w14:paraId="10765550">
            <w:pPr>
              <w:spacing w:line="240" w:lineRule="auto"/>
              <w:ind w:firstLine="0" w:firstLineChars="0"/>
              <w:jc w:val="center"/>
              <w:rPr>
                <w:color w:val="000000" w:themeColor="text1"/>
                <w:kern w:val="0"/>
                <w:sz w:val="21"/>
                <w:szCs w:val="21"/>
                <w14:textFill>
                  <w14:solidFill>
                    <w14:schemeClr w14:val="tx1"/>
                  </w14:solidFill>
                </w14:textFill>
              </w:rPr>
            </w:pPr>
          </w:p>
        </w:tc>
        <w:tc>
          <w:tcPr>
            <w:tcW w:w="620" w:type="pct"/>
            <w:vAlign w:val="center"/>
          </w:tcPr>
          <w:p w14:paraId="22CE646A">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0.6H</w:t>
            </w:r>
          </w:p>
        </w:tc>
        <w:tc>
          <w:tcPr>
            <w:tcW w:w="620" w:type="pct"/>
            <w:vAlign w:val="center"/>
          </w:tcPr>
          <w:p w14:paraId="5C301C48">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23:00</w:t>
            </w:r>
          </w:p>
        </w:tc>
        <w:tc>
          <w:tcPr>
            <w:tcW w:w="624" w:type="pct"/>
            <w:vAlign w:val="center"/>
          </w:tcPr>
          <w:p w14:paraId="287B46E9">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65</w:t>
            </w:r>
          </w:p>
        </w:tc>
        <w:tc>
          <w:tcPr>
            <w:tcW w:w="631" w:type="pct"/>
            <w:vAlign w:val="center"/>
          </w:tcPr>
          <w:p w14:paraId="2D6ED5B5">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94</w:t>
            </w:r>
          </w:p>
        </w:tc>
        <w:tc>
          <w:tcPr>
            <w:tcW w:w="620" w:type="pct"/>
            <w:vAlign w:val="center"/>
          </w:tcPr>
          <w:p w14:paraId="55342E4A">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3:00</w:t>
            </w:r>
          </w:p>
        </w:tc>
        <w:tc>
          <w:tcPr>
            <w:tcW w:w="621" w:type="pct"/>
            <w:vAlign w:val="center"/>
          </w:tcPr>
          <w:p w14:paraId="11C987CB">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55</w:t>
            </w:r>
          </w:p>
        </w:tc>
        <w:tc>
          <w:tcPr>
            <w:tcW w:w="638" w:type="pct"/>
            <w:vAlign w:val="center"/>
          </w:tcPr>
          <w:p w14:paraId="129A5DD7">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127</w:t>
            </w:r>
          </w:p>
        </w:tc>
      </w:tr>
      <w:tr w14:paraId="7F35F0A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7" w:hRule="atLeast"/>
          <w:jc w:val="center"/>
        </w:trPr>
        <w:tc>
          <w:tcPr>
            <w:tcW w:w="622" w:type="pct"/>
            <w:vMerge w:val="continue"/>
            <w:vAlign w:val="center"/>
          </w:tcPr>
          <w:p w14:paraId="78B67414">
            <w:pPr>
              <w:spacing w:line="240" w:lineRule="auto"/>
              <w:ind w:firstLine="0" w:firstLineChars="0"/>
              <w:jc w:val="center"/>
              <w:rPr>
                <w:color w:val="000000" w:themeColor="text1"/>
                <w:kern w:val="0"/>
                <w:sz w:val="21"/>
                <w:szCs w:val="21"/>
                <w14:textFill>
                  <w14:solidFill>
                    <w14:schemeClr w14:val="tx1"/>
                  </w14:solidFill>
                </w14:textFill>
              </w:rPr>
            </w:pPr>
          </w:p>
        </w:tc>
        <w:tc>
          <w:tcPr>
            <w:tcW w:w="620" w:type="pct"/>
            <w:vAlign w:val="center"/>
          </w:tcPr>
          <w:p w14:paraId="49A79250">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0.8H</w:t>
            </w:r>
          </w:p>
        </w:tc>
        <w:tc>
          <w:tcPr>
            <w:tcW w:w="620" w:type="pct"/>
            <w:vAlign w:val="center"/>
          </w:tcPr>
          <w:p w14:paraId="1AA863D0">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22:00</w:t>
            </w:r>
          </w:p>
        </w:tc>
        <w:tc>
          <w:tcPr>
            <w:tcW w:w="624" w:type="pct"/>
            <w:vAlign w:val="center"/>
          </w:tcPr>
          <w:p w14:paraId="33BC38A5">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57</w:t>
            </w:r>
          </w:p>
        </w:tc>
        <w:tc>
          <w:tcPr>
            <w:tcW w:w="631" w:type="pct"/>
            <w:vAlign w:val="center"/>
          </w:tcPr>
          <w:p w14:paraId="73D8042E">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149</w:t>
            </w:r>
          </w:p>
        </w:tc>
        <w:tc>
          <w:tcPr>
            <w:tcW w:w="620" w:type="pct"/>
            <w:vAlign w:val="center"/>
          </w:tcPr>
          <w:p w14:paraId="7336C8BB">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5:00</w:t>
            </w:r>
          </w:p>
        </w:tc>
        <w:tc>
          <w:tcPr>
            <w:tcW w:w="621" w:type="pct"/>
            <w:vAlign w:val="center"/>
          </w:tcPr>
          <w:p w14:paraId="5C4F4D66">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49</w:t>
            </w:r>
          </w:p>
        </w:tc>
        <w:tc>
          <w:tcPr>
            <w:tcW w:w="638" w:type="pct"/>
            <w:vAlign w:val="center"/>
          </w:tcPr>
          <w:p w14:paraId="2A138618">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132</w:t>
            </w:r>
          </w:p>
        </w:tc>
      </w:tr>
      <w:tr w14:paraId="7124B16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6" w:hRule="atLeast"/>
          <w:jc w:val="center"/>
        </w:trPr>
        <w:tc>
          <w:tcPr>
            <w:tcW w:w="622" w:type="pct"/>
            <w:vMerge w:val="continue"/>
            <w:vAlign w:val="center"/>
          </w:tcPr>
          <w:p w14:paraId="6B4418AD">
            <w:pPr>
              <w:spacing w:line="240" w:lineRule="auto"/>
              <w:ind w:firstLine="0" w:firstLineChars="0"/>
              <w:jc w:val="center"/>
              <w:rPr>
                <w:color w:val="000000" w:themeColor="text1"/>
                <w:kern w:val="0"/>
                <w:sz w:val="21"/>
                <w:szCs w:val="21"/>
                <w14:textFill>
                  <w14:solidFill>
                    <w14:schemeClr w14:val="tx1"/>
                  </w14:solidFill>
                </w14:textFill>
              </w:rPr>
            </w:pPr>
          </w:p>
        </w:tc>
        <w:tc>
          <w:tcPr>
            <w:tcW w:w="620" w:type="pct"/>
            <w:vAlign w:val="center"/>
          </w:tcPr>
          <w:p w14:paraId="3BE36CBC">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底层</w:t>
            </w:r>
          </w:p>
        </w:tc>
        <w:tc>
          <w:tcPr>
            <w:tcW w:w="620" w:type="pct"/>
            <w:vAlign w:val="center"/>
          </w:tcPr>
          <w:p w14:paraId="0493A0D4">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23:00</w:t>
            </w:r>
          </w:p>
        </w:tc>
        <w:tc>
          <w:tcPr>
            <w:tcW w:w="624" w:type="pct"/>
            <w:vAlign w:val="center"/>
          </w:tcPr>
          <w:p w14:paraId="5C8E0ABA">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54</w:t>
            </w:r>
          </w:p>
        </w:tc>
        <w:tc>
          <w:tcPr>
            <w:tcW w:w="631" w:type="pct"/>
            <w:vAlign w:val="center"/>
          </w:tcPr>
          <w:p w14:paraId="4E221512">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148</w:t>
            </w:r>
          </w:p>
        </w:tc>
        <w:tc>
          <w:tcPr>
            <w:tcW w:w="620" w:type="pct"/>
            <w:vAlign w:val="center"/>
          </w:tcPr>
          <w:p w14:paraId="04CAAB48">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3:00</w:t>
            </w:r>
          </w:p>
        </w:tc>
        <w:tc>
          <w:tcPr>
            <w:tcW w:w="621" w:type="pct"/>
            <w:vAlign w:val="center"/>
          </w:tcPr>
          <w:p w14:paraId="34B7629C">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40</w:t>
            </w:r>
          </w:p>
        </w:tc>
        <w:tc>
          <w:tcPr>
            <w:tcW w:w="638" w:type="pct"/>
            <w:vAlign w:val="center"/>
          </w:tcPr>
          <w:p w14:paraId="037E9D1A">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138</w:t>
            </w:r>
          </w:p>
        </w:tc>
      </w:tr>
      <w:tr w14:paraId="6ADA769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6" w:hRule="atLeast"/>
          <w:jc w:val="center"/>
        </w:trPr>
        <w:tc>
          <w:tcPr>
            <w:tcW w:w="622" w:type="pct"/>
            <w:vMerge w:val="continue"/>
            <w:vAlign w:val="center"/>
          </w:tcPr>
          <w:p w14:paraId="677949DC">
            <w:pPr>
              <w:spacing w:line="240" w:lineRule="auto"/>
              <w:ind w:firstLine="0" w:firstLineChars="0"/>
              <w:jc w:val="center"/>
              <w:rPr>
                <w:color w:val="000000" w:themeColor="text1"/>
                <w:kern w:val="0"/>
                <w:sz w:val="21"/>
                <w:szCs w:val="21"/>
                <w14:textFill>
                  <w14:solidFill>
                    <w14:schemeClr w14:val="tx1"/>
                  </w14:solidFill>
                </w14:textFill>
              </w:rPr>
            </w:pPr>
          </w:p>
        </w:tc>
        <w:tc>
          <w:tcPr>
            <w:tcW w:w="620" w:type="pct"/>
            <w:vAlign w:val="center"/>
          </w:tcPr>
          <w:p w14:paraId="25B477F0">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垂线</w:t>
            </w:r>
          </w:p>
        </w:tc>
        <w:tc>
          <w:tcPr>
            <w:tcW w:w="620" w:type="pct"/>
            <w:vAlign w:val="center"/>
          </w:tcPr>
          <w:p w14:paraId="4049A413">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22:00</w:t>
            </w:r>
          </w:p>
        </w:tc>
        <w:tc>
          <w:tcPr>
            <w:tcW w:w="624" w:type="pct"/>
            <w:vAlign w:val="center"/>
          </w:tcPr>
          <w:p w14:paraId="7EE0042E">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62</w:t>
            </w:r>
          </w:p>
        </w:tc>
        <w:tc>
          <w:tcPr>
            <w:tcW w:w="631" w:type="pct"/>
            <w:vAlign w:val="center"/>
          </w:tcPr>
          <w:p w14:paraId="312EFD1E">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143</w:t>
            </w:r>
          </w:p>
        </w:tc>
        <w:tc>
          <w:tcPr>
            <w:tcW w:w="620" w:type="pct"/>
            <w:vAlign w:val="center"/>
          </w:tcPr>
          <w:p w14:paraId="58903D7C">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3:00</w:t>
            </w:r>
          </w:p>
        </w:tc>
        <w:tc>
          <w:tcPr>
            <w:tcW w:w="621" w:type="pct"/>
            <w:vAlign w:val="center"/>
          </w:tcPr>
          <w:p w14:paraId="28FF9A94">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57</w:t>
            </w:r>
          </w:p>
        </w:tc>
        <w:tc>
          <w:tcPr>
            <w:tcW w:w="638" w:type="pct"/>
            <w:vAlign w:val="center"/>
          </w:tcPr>
          <w:p w14:paraId="63946C48">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129</w:t>
            </w:r>
          </w:p>
        </w:tc>
      </w:tr>
      <w:tr w14:paraId="0035AA4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7" w:hRule="atLeast"/>
          <w:jc w:val="center"/>
        </w:trPr>
        <w:tc>
          <w:tcPr>
            <w:tcW w:w="622" w:type="pct"/>
            <w:vMerge w:val="restart"/>
            <w:vAlign w:val="center"/>
          </w:tcPr>
          <w:p w14:paraId="1C8E5F38">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V8</w:t>
            </w:r>
          </w:p>
        </w:tc>
        <w:tc>
          <w:tcPr>
            <w:tcW w:w="620" w:type="pct"/>
            <w:vAlign w:val="center"/>
          </w:tcPr>
          <w:p w14:paraId="4834C098">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表层</w:t>
            </w:r>
          </w:p>
        </w:tc>
        <w:tc>
          <w:tcPr>
            <w:tcW w:w="620" w:type="pct"/>
            <w:vAlign w:val="center"/>
          </w:tcPr>
          <w:p w14:paraId="501F6A8A">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1:00</w:t>
            </w:r>
          </w:p>
        </w:tc>
        <w:tc>
          <w:tcPr>
            <w:tcW w:w="624" w:type="pct"/>
            <w:vAlign w:val="center"/>
          </w:tcPr>
          <w:p w14:paraId="1FDFC459">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97</w:t>
            </w:r>
          </w:p>
        </w:tc>
        <w:tc>
          <w:tcPr>
            <w:tcW w:w="631" w:type="pct"/>
            <w:vAlign w:val="center"/>
          </w:tcPr>
          <w:p w14:paraId="63575ACE">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163</w:t>
            </w:r>
          </w:p>
        </w:tc>
        <w:tc>
          <w:tcPr>
            <w:tcW w:w="620" w:type="pct"/>
            <w:vAlign w:val="center"/>
          </w:tcPr>
          <w:p w14:paraId="7FC98342">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4:00</w:t>
            </w:r>
          </w:p>
        </w:tc>
        <w:tc>
          <w:tcPr>
            <w:tcW w:w="621" w:type="pct"/>
            <w:vAlign w:val="center"/>
          </w:tcPr>
          <w:p w14:paraId="312A1184">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100</w:t>
            </w:r>
          </w:p>
        </w:tc>
        <w:tc>
          <w:tcPr>
            <w:tcW w:w="638" w:type="pct"/>
            <w:vAlign w:val="center"/>
          </w:tcPr>
          <w:p w14:paraId="6DEF42E8">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151</w:t>
            </w:r>
          </w:p>
        </w:tc>
      </w:tr>
      <w:tr w14:paraId="33EA80B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7" w:hRule="atLeast"/>
          <w:jc w:val="center"/>
        </w:trPr>
        <w:tc>
          <w:tcPr>
            <w:tcW w:w="622" w:type="pct"/>
            <w:vMerge w:val="continue"/>
            <w:vAlign w:val="center"/>
          </w:tcPr>
          <w:p w14:paraId="51E2F1B8">
            <w:pPr>
              <w:spacing w:line="240" w:lineRule="auto"/>
              <w:ind w:firstLine="0" w:firstLineChars="0"/>
              <w:jc w:val="center"/>
              <w:rPr>
                <w:color w:val="000000" w:themeColor="text1"/>
                <w:kern w:val="0"/>
                <w:sz w:val="21"/>
                <w:szCs w:val="21"/>
                <w14:textFill>
                  <w14:solidFill>
                    <w14:schemeClr w14:val="tx1"/>
                  </w14:solidFill>
                </w14:textFill>
              </w:rPr>
            </w:pPr>
          </w:p>
        </w:tc>
        <w:tc>
          <w:tcPr>
            <w:tcW w:w="620" w:type="pct"/>
            <w:vAlign w:val="center"/>
          </w:tcPr>
          <w:p w14:paraId="7FD436E2">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0.2H</w:t>
            </w:r>
          </w:p>
        </w:tc>
        <w:tc>
          <w:tcPr>
            <w:tcW w:w="620" w:type="pct"/>
            <w:vAlign w:val="center"/>
          </w:tcPr>
          <w:p w14:paraId="4F78623E">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22:00</w:t>
            </w:r>
          </w:p>
        </w:tc>
        <w:tc>
          <w:tcPr>
            <w:tcW w:w="624" w:type="pct"/>
            <w:vAlign w:val="center"/>
          </w:tcPr>
          <w:p w14:paraId="18003AD0">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89</w:t>
            </w:r>
          </w:p>
        </w:tc>
        <w:tc>
          <w:tcPr>
            <w:tcW w:w="631" w:type="pct"/>
            <w:vAlign w:val="center"/>
          </w:tcPr>
          <w:p w14:paraId="11621737">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171</w:t>
            </w:r>
          </w:p>
        </w:tc>
        <w:tc>
          <w:tcPr>
            <w:tcW w:w="620" w:type="pct"/>
            <w:vAlign w:val="center"/>
          </w:tcPr>
          <w:p w14:paraId="7B364480">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4:00</w:t>
            </w:r>
          </w:p>
        </w:tc>
        <w:tc>
          <w:tcPr>
            <w:tcW w:w="621" w:type="pct"/>
            <w:vAlign w:val="center"/>
          </w:tcPr>
          <w:p w14:paraId="21547873">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96</w:t>
            </w:r>
          </w:p>
        </w:tc>
        <w:tc>
          <w:tcPr>
            <w:tcW w:w="638" w:type="pct"/>
            <w:vAlign w:val="center"/>
          </w:tcPr>
          <w:p w14:paraId="43E05E8F">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159</w:t>
            </w:r>
          </w:p>
        </w:tc>
      </w:tr>
      <w:tr w14:paraId="43CD14C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7" w:hRule="atLeast"/>
          <w:jc w:val="center"/>
        </w:trPr>
        <w:tc>
          <w:tcPr>
            <w:tcW w:w="622" w:type="pct"/>
            <w:vMerge w:val="continue"/>
            <w:vAlign w:val="center"/>
          </w:tcPr>
          <w:p w14:paraId="2B960B1B">
            <w:pPr>
              <w:spacing w:line="240" w:lineRule="auto"/>
              <w:ind w:firstLine="0" w:firstLineChars="0"/>
              <w:jc w:val="center"/>
              <w:rPr>
                <w:color w:val="000000" w:themeColor="text1"/>
                <w:kern w:val="0"/>
                <w:sz w:val="21"/>
                <w:szCs w:val="21"/>
                <w14:textFill>
                  <w14:solidFill>
                    <w14:schemeClr w14:val="tx1"/>
                  </w14:solidFill>
                </w14:textFill>
              </w:rPr>
            </w:pPr>
          </w:p>
        </w:tc>
        <w:tc>
          <w:tcPr>
            <w:tcW w:w="620" w:type="pct"/>
            <w:vAlign w:val="center"/>
          </w:tcPr>
          <w:p w14:paraId="5D572B13">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0.4H</w:t>
            </w:r>
          </w:p>
        </w:tc>
        <w:tc>
          <w:tcPr>
            <w:tcW w:w="620" w:type="pct"/>
            <w:vAlign w:val="center"/>
          </w:tcPr>
          <w:p w14:paraId="25EA7798">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1:00</w:t>
            </w:r>
          </w:p>
        </w:tc>
        <w:tc>
          <w:tcPr>
            <w:tcW w:w="624" w:type="pct"/>
            <w:vAlign w:val="center"/>
          </w:tcPr>
          <w:p w14:paraId="54A02555">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83</w:t>
            </w:r>
          </w:p>
        </w:tc>
        <w:tc>
          <w:tcPr>
            <w:tcW w:w="631" w:type="pct"/>
            <w:vAlign w:val="center"/>
          </w:tcPr>
          <w:p w14:paraId="55E73564">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166</w:t>
            </w:r>
          </w:p>
        </w:tc>
        <w:tc>
          <w:tcPr>
            <w:tcW w:w="620" w:type="pct"/>
            <w:vAlign w:val="center"/>
          </w:tcPr>
          <w:p w14:paraId="005916BA">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4:00</w:t>
            </w:r>
          </w:p>
        </w:tc>
        <w:tc>
          <w:tcPr>
            <w:tcW w:w="621" w:type="pct"/>
            <w:vAlign w:val="center"/>
          </w:tcPr>
          <w:p w14:paraId="6A92CB95">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73</w:t>
            </w:r>
          </w:p>
        </w:tc>
        <w:tc>
          <w:tcPr>
            <w:tcW w:w="638" w:type="pct"/>
            <w:vAlign w:val="center"/>
          </w:tcPr>
          <w:p w14:paraId="25E88C54">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179</w:t>
            </w:r>
          </w:p>
        </w:tc>
      </w:tr>
      <w:tr w14:paraId="7D4C075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7" w:hRule="atLeast"/>
          <w:jc w:val="center"/>
        </w:trPr>
        <w:tc>
          <w:tcPr>
            <w:tcW w:w="622" w:type="pct"/>
            <w:vMerge w:val="continue"/>
            <w:vAlign w:val="center"/>
          </w:tcPr>
          <w:p w14:paraId="60038220">
            <w:pPr>
              <w:spacing w:line="240" w:lineRule="auto"/>
              <w:ind w:firstLine="0" w:firstLineChars="0"/>
              <w:jc w:val="center"/>
              <w:rPr>
                <w:color w:val="000000" w:themeColor="text1"/>
                <w:kern w:val="0"/>
                <w:sz w:val="21"/>
                <w:szCs w:val="21"/>
                <w14:textFill>
                  <w14:solidFill>
                    <w14:schemeClr w14:val="tx1"/>
                  </w14:solidFill>
                </w14:textFill>
              </w:rPr>
            </w:pPr>
          </w:p>
        </w:tc>
        <w:tc>
          <w:tcPr>
            <w:tcW w:w="620" w:type="pct"/>
            <w:vAlign w:val="center"/>
          </w:tcPr>
          <w:p w14:paraId="0D792EE7">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0.6H</w:t>
            </w:r>
          </w:p>
        </w:tc>
        <w:tc>
          <w:tcPr>
            <w:tcW w:w="620" w:type="pct"/>
            <w:vAlign w:val="center"/>
          </w:tcPr>
          <w:p w14:paraId="287DF8F2">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23:00</w:t>
            </w:r>
          </w:p>
        </w:tc>
        <w:tc>
          <w:tcPr>
            <w:tcW w:w="624" w:type="pct"/>
            <w:vAlign w:val="center"/>
          </w:tcPr>
          <w:p w14:paraId="16461303">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81</w:t>
            </w:r>
          </w:p>
        </w:tc>
        <w:tc>
          <w:tcPr>
            <w:tcW w:w="631" w:type="pct"/>
            <w:vAlign w:val="center"/>
          </w:tcPr>
          <w:p w14:paraId="05AD1C11">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171</w:t>
            </w:r>
          </w:p>
        </w:tc>
        <w:tc>
          <w:tcPr>
            <w:tcW w:w="620" w:type="pct"/>
            <w:vAlign w:val="center"/>
          </w:tcPr>
          <w:p w14:paraId="43C20B78">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3:00</w:t>
            </w:r>
          </w:p>
        </w:tc>
        <w:tc>
          <w:tcPr>
            <w:tcW w:w="621" w:type="pct"/>
            <w:vAlign w:val="center"/>
          </w:tcPr>
          <w:p w14:paraId="6B9A0538">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77</w:t>
            </w:r>
          </w:p>
        </w:tc>
        <w:tc>
          <w:tcPr>
            <w:tcW w:w="638" w:type="pct"/>
            <w:vAlign w:val="center"/>
          </w:tcPr>
          <w:p w14:paraId="555E40BC">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149</w:t>
            </w:r>
          </w:p>
        </w:tc>
      </w:tr>
      <w:tr w14:paraId="5F8B921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6" w:hRule="atLeast"/>
          <w:jc w:val="center"/>
        </w:trPr>
        <w:tc>
          <w:tcPr>
            <w:tcW w:w="622" w:type="pct"/>
            <w:vMerge w:val="continue"/>
            <w:vAlign w:val="center"/>
          </w:tcPr>
          <w:p w14:paraId="5DD05F05">
            <w:pPr>
              <w:spacing w:line="240" w:lineRule="auto"/>
              <w:ind w:firstLine="0" w:firstLineChars="0"/>
              <w:jc w:val="center"/>
              <w:rPr>
                <w:color w:val="000000" w:themeColor="text1"/>
                <w:kern w:val="0"/>
                <w:sz w:val="21"/>
                <w:szCs w:val="21"/>
                <w14:textFill>
                  <w14:solidFill>
                    <w14:schemeClr w14:val="tx1"/>
                  </w14:solidFill>
                </w14:textFill>
              </w:rPr>
            </w:pPr>
          </w:p>
        </w:tc>
        <w:tc>
          <w:tcPr>
            <w:tcW w:w="620" w:type="pct"/>
            <w:vAlign w:val="center"/>
          </w:tcPr>
          <w:p w14:paraId="7FE3C4A7">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0.8H</w:t>
            </w:r>
          </w:p>
        </w:tc>
        <w:tc>
          <w:tcPr>
            <w:tcW w:w="620" w:type="pct"/>
            <w:vAlign w:val="center"/>
          </w:tcPr>
          <w:p w14:paraId="0F2542B6">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23:00</w:t>
            </w:r>
          </w:p>
        </w:tc>
        <w:tc>
          <w:tcPr>
            <w:tcW w:w="624" w:type="pct"/>
            <w:vAlign w:val="center"/>
          </w:tcPr>
          <w:p w14:paraId="082B218F">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76</w:t>
            </w:r>
          </w:p>
        </w:tc>
        <w:tc>
          <w:tcPr>
            <w:tcW w:w="631" w:type="pct"/>
            <w:vAlign w:val="center"/>
          </w:tcPr>
          <w:p w14:paraId="09D61BB2">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179</w:t>
            </w:r>
          </w:p>
        </w:tc>
        <w:tc>
          <w:tcPr>
            <w:tcW w:w="620" w:type="pct"/>
            <w:vAlign w:val="center"/>
          </w:tcPr>
          <w:p w14:paraId="74A2DB1E">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4:00</w:t>
            </w:r>
          </w:p>
        </w:tc>
        <w:tc>
          <w:tcPr>
            <w:tcW w:w="621" w:type="pct"/>
            <w:vAlign w:val="center"/>
          </w:tcPr>
          <w:p w14:paraId="6FEAB744">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70</w:t>
            </w:r>
          </w:p>
        </w:tc>
        <w:tc>
          <w:tcPr>
            <w:tcW w:w="638" w:type="pct"/>
            <w:vAlign w:val="center"/>
          </w:tcPr>
          <w:p w14:paraId="7AE94ED1">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173</w:t>
            </w:r>
          </w:p>
        </w:tc>
      </w:tr>
      <w:tr w14:paraId="589B592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7" w:hRule="atLeast"/>
          <w:jc w:val="center"/>
        </w:trPr>
        <w:tc>
          <w:tcPr>
            <w:tcW w:w="622" w:type="pct"/>
            <w:vMerge w:val="continue"/>
            <w:vAlign w:val="center"/>
          </w:tcPr>
          <w:p w14:paraId="446C6DF8">
            <w:pPr>
              <w:spacing w:line="240" w:lineRule="auto"/>
              <w:ind w:firstLine="0" w:firstLineChars="0"/>
              <w:jc w:val="center"/>
              <w:rPr>
                <w:color w:val="000000" w:themeColor="text1"/>
                <w:kern w:val="0"/>
                <w:sz w:val="21"/>
                <w:szCs w:val="21"/>
                <w14:textFill>
                  <w14:solidFill>
                    <w14:schemeClr w14:val="tx1"/>
                  </w14:solidFill>
                </w14:textFill>
              </w:rPr>
            </w:pPr>
          </w:p>
        </w:tc>
        <w:tc>
          <w:tcPr>
            <w:tcW w:w="620" w:type="pct"/>
            <w:vAlign w:val="center"/>
          </w:tcPr>
          <w:p w14:paraId="02120F36">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底层</w:t>
            </w:r>
          </w:p>
        </w:tc>
        <w:tc>
          <w:tcPr>
            <w:tcW w:w="620" w:type="pct"/>
            <w:vAlign w:val="center"/>
          </w:tcPr>
          <w:p w14:paraId="23464985">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23:00</w:t>
            </w:r>
          </w:p>
        </w:tc>
        <w:tc>
          <w:tcPr>
            <w:tcW w:w="624" w:type="pct"/>
            <w:vAlign w:val="center"/>
          </w:tcPr>
          <w:p w14:paraId="1981F936">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66</w:t>
            </w:r>
          </w:p>
        </w:tc>
        <w:tc>
          <w:tcPr>
            <w:tcW w:w="631" w:type="pct"/>
            <w:vAlign w:val="center"/>
          </w:tcPr>
          <w:p w14:paraId="6BEBA090">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177</w:t>
            </w:r>
          </w:p>
        </w:tc>
        <w:tc>
          <w:tcPr>
            <w:tcW w:w="620" w:type="pct"/>
            <w:vAlign w:val="center"/>
          </w:tcPr>
          <w:p w14:paraId="17B0FCD4">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4:00</w:t>
            </w:r>
          </w:p>
        </w:tc>
        <w:tc>
          <w:tcPr>
            <w:tcW w:w="621" w:type="pct"/>
            <w:vAlign w:val="center"/>
          </w:tcPr>
          <w:p w14:paraId="36E9D287">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66</w:t>
            </w:r>
          </w:p>
        </w:tc>
        <w:tc>
          <w:tcPr>
            <w:tcW w:w="638" w:type="pct"/>
            <w:vAlign w:val="center"/>
          </w:tcPr>
          <w:p w14:paraId="33DF9835">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166</w:t>
            </w:r>
          </w:p>
        </w:tc>
      </w:tr>
      <w:tr w14:paraId="5445F6E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7" w:hRule="atLeast"/>
          <w:jc w:val="center"/>
        </w:trPr>
        <w:tc>
          <w:tcPr>
            <w:tcW w:w="622" w:type="pct"/>
            <w:vMerge w:val="continue"/>
            <w:vAlign w:val="center"/>
          </w:tcPr>
          <w:p w14:paraId="35C01C49">
            <w:pPr>
              <w:spacing w:line="240" w:lineRule="auto"/>
              <w:ind w:firstLine="0" w:firstLineChars="0"/>
              <w:jc w:val="center"/>
              <w:rPr>
                <w:color w:val="000000" w:themeColor="text1"/>
                <w:kern w:val="0"/>
                <w:sz w:val="21"/>
                <w:szCs w:val="21"/>
                <w14:textFill>
                  <w14:solidFill>
                    <w14:schemeClr w14:val="tx1"/>
                  </w14:solidFill>
                </w14:textFill>
              </w:rPr>
            </w:pPr>
          </w:p>
        </w:tc>
        <w:tc>
          <w:tcPr>
            <w:tcW w:w="620" w:type="pct"/>
            <w:vAlign w:val="center"/>
          </w:tcPr>
          <w:p w14:paraId="353E1278">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垂线</w:t>
            </w:r>
          </w:p>
        </w:tc>
        <w:tc>
          <w:tcPr>
            <w:tcW w:w="620" w:type="pct"/>
            <w:vAlign w:val="center"/>
          </w:tcPr>
          <w:p w14:paraId="253F7602">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23:00</w:t>
            </w:r>
          </w:p>
        </w:tc>
        <w:tc>
          <w:tcPr>
            <w:tcW w:w="624" w:type="pct"/>
            <w:vAlign w:val="center"/>
          </w:tcPr>
          <w:p w14:paraId="7901F650">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87</w:t>
            </w:r>
          </w:p>
        </w:tc>
        <w:tc>
          <w:tcPr>
            <w:tcW w:w="631" w:type="pct"/>
            <w:vAlign w:val="center"/>
          </w:tcPr>
          <w:p w14:paraId="20F7503B">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173</w:t>
            </w:r>
          </w:p>
        </w:tc>
        <w:tc>
          <w:tcPr>
            <w:tcW w:w="620" w:type="pct"/>
            <w:vAlign w:val="center"/>
          </w:tcPr>
          <w:p w14:paraId="78EA2F0C">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4:00</w:t>
            </w:r>
          </w:p>
        </w:tc>
        <w:tc>
          <w:tcPr>
            <w:tcW w:w="621" w:type="pct"/>
            <w:vAlign w:val="center"/>
          </w:tcPr>
          <w:p w14:paraId="71C34D7A">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84</w:t>
            </w:r>
          </w:p>
        </w:tc>
        <w:tc>
          <w:tcPr>
            <w:tcW w:w="638" w:type="pct"/>
            <w:vAlign w:val="center"/>
          </w:tcPr>
          <w:p w14:paraId="4A3EB87E">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168</w:t>
            </w:r>
          </w:p>
        </w:tc>
      </w:tr>
      <w:tr w14:paraId="03AAE4B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7" w:hRule="atLeast"/>
          <w:jc w:val="center"/>
        </w:trPr>
        <w:tc>
          <w:tcPr>
            <w:tcW w:w="622" w:type="pct"/>
            <w:vMerge w:val="restart"/>
            <w:vAlign w:val="center"/>
          </w:tcPr>
          <w:p w14:paraId="2ABB408E">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V9</w:t>
            </w:r>
          </w:p>
        </w:tc>
        <w:tc>
          <w:tcPr>
            <w:tcW w:w="620" w:type="pct"/>
            <w:vAlign w:val="center"/>
          </w:tcPr>
          <w:p w14:paraId="0613E051">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表层</w:t>
            </w:r>
          </w:p>
        </w:tc>
        <w:tc>
          <w:tcPr>
            <w:tcW w:w="620" w:type="pct"/>
            <w:vAlign w:val="center"/>
          </w:tcPr>
          <w:p w14:paraId="4B8C525C">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23:00</w:t>
            </w:r>
          </w:p>
        </w:tc>
        <w:tc>
          <w:tcPr>
            <w:tcW w:w="624" w:type="pct"/>
            <w:vAlign w:val="center"/>
          </w:tcPr>
          <w:p w14:paraId="1633860A">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140</w:t>
            </w:r>
          </w:p>
        </w:tc>
        <w:tc>
          <w:tcPr>
            <w:tcW w:w="631" w:type="pct"/>
            <w:vAlign w:val="center"/>
          </w:tcPr>
          <w:p w14:paraId="0214F895">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139</w:t>
            </w:r>
          </w:p>
        </w:tc>
        <w:tc>
          <w:tcPr>
            <w:tcW w:w="620" w:type="pct"/>
            <w:vAlign w:val="center"/>
          </w:tcPr>
          <w:p w14:paraId="3198A66D">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6:00</w:t>
            </w:r>
          </w:p>
        </w:tc>
        <w:tc>
          <w:tcPr>
            <w:tcW w:w="621" w:type="pct"/>
            <w:vAlign w:val="center"/>
          </w:tcPr>
          <w:p w14:paraId="62D19417">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116</w:t>
            </w:r>
          </w:p>
        </w:tc>
        <w:tc>
          <w:tcPr>
            <w:tcW w:w="638" w:type="pct"/>
            <w:vAlign w:val="center"/>
          </w:tcPr>
          <w:p w14:paraId="0FDCD84D">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163</w:t>
            </w:r>
          </w:p>
        </w:tc>
      </w:tr>
      <w:tr w14:paraId="2740011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7" w:hRule="atLeast"/>
          <w:jc w:val="center"/>
        </w:trPr>
        <w:tc>
          <w:tcPr>
            <w:tcW w:w="622" w:type="pct"/>
            <w:vMerge w:val="continue"/>
            <w:vAlign w:val="center"/>
          </w:tcPr>
          <w:p w14:paraId="7DAED2F4">
            <w:pPr>
              <w:spacing w:line="240" w:lineRule="auto"/>
              <w:ind w:firstLine="0" w:firstLineChars="0"/>
              <w:jc w:val="center"/>
              <w:rPr>
                <w:color w:val="000000" w:themeColor="text1"/>
                <w:kern w:val="0"/>
                <w:sz w:val="21"/>
                <w:szCs w:val="21"/>
                <w14:textFill>
                  <w14:solidFill>
                    <w14:schemeClr w14:val="tx1"/>
                  </w14:solidFill>
                </w14:textFill>
              </w:rPr>
            </w:pPr>
          </w:p>
        </w:tc>
        <w:tc>
          <w:tcPr>
            <w:tcW w:w="620" w:type="pct"/>
            <w:vAlign w:val="center"/>
          </w:tcPr>
          <w:p w14:paraId="295026F6">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0.2H</w:t>
            </w:r>
          </w:p>
        </w:tc>
        <w:tc>
          <w:tcPr>
            <w:tcW w:w="620" w:type="pct"/>
            <w:vAlign w:val="center"/>
          </w:tcPr>
          <w:p w14:paraId="74E2CBF7">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23:00</w:t>
            </w:r>
          </w:p>
        </w:tc>
        <w:tc>
          <w:tcPr>
            <w:tcW w:w="624" w:type="pct"/>
            <w:vAlign w:val="center"/>
          </w:tcPr>
          <w:p w14:paraId="018E6E80">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138</w:t>
            </w:r>
          </w:p>
        </w:tc>
        <w:tc>
          <w:tcPr>
            <w:tcW w:w="631" w:type="pct"/>
            <w:vAlign w:val="center"/>
          </w:tcPr>
          <w:p w14:paraId="076DD4FF">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144</w:t>
            </w:r>
          </w:p>
        </w:tc>
        <w:tc>
          <w:tcPr>
            <w:tcW w:w="620" w:type="pct"/>
            <w:vAlign w:val="center"/>
          </w:tcPr>
          <w:p w14:paraId="6FFE5719">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3:00</w:t>
            </w:r>
          </w:p>
        </w:tc>
        <w:tc>
          <w:tcPr>
            <w:tcW w:w="621" w:type="pct"/>
            <w:vAlign w:val="center"/>
          </w:tcPr>
          <w:p w14:paraId="58AA13EC">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110</w:t>
            </w:r>
          </w:p>
        </w:tc>
        <w:tc>
          <w:tcPr>
            <w:tcW w:w="638" w:type="pct"/>
            <w:vAlign w:val="center"/>
          </w:tcPr>
          <w:p w14:paraId="2B1F9B6B">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167</w:t>
            </w:r>
          </w:p>
        </w:tc>
      </w:tr>
      <w:tr w14:paraId="25E44E5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7" w:hRule="atLeast"/>
          <w:jc w:val="center"/>
        </w:trPr>
        <w:tc>
          <w:tcPr>
            <w:tcW w:w="622" w:type="pct"/>
            <w:vMerge w:val="continue"/>
            <w:vAlign w:val="center"/>
          </w:tcPr>
          <w:p w14:paraId="1FDD2C91">
            <w:pPr>
              <w:spacing w:line="240" w:lineRule="auto"/>
              <w:ind w:firstLine="0" w:firstLineChars="0"/>
              <w:jc w:val="center"/>
              <w:rPr>
                <w:color w:val="000000" w:themeColor="text1"/>
                <w:kern w:val="0"/>
                <w:sz w:val="21"/>
                <w:szCs w:val="21"/>
                <w14:textFill>
                  <w14:solidFill>
                    <w14:schemeClr w14:val="tx1"/>
                  </w14:solidFill>
                </w14:textFill>
              </w:rPr>
            </w:pPr>
          </w:p>
        </w:tc>
        <w:tc>
          <w:tcPr>
            <w:tcW w:w="620" w:type="pct"/>
            <w:vAlign w:val="center"/>
          </w:tcPr>
          <w:p w14:paraId="4DEA1DBC">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0.4H</w:t>
            </w:r>
          </w:p>
        </w:tc>
        <w:tc>
          <w:tcPr>
            <w:tcW w:w="620" w:type="pct"/>
            <w:vAlign w:val="center"/>
          </w:tcPr>
          <w:p w14:paraId="2FC5AD84">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23:00</w:t>
            </w:r>
          </w:p>
        </w:tc>
        <w:tc>
          <w:tcPr>
            <w:tcW w:w="624" w:type="pct"/>
            <w:vAlign w:val="center"/>
          </w:tcPr>
          <w:p w14:paraId="32F5117A">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124</w:t>
            </w:r>
          </w:p>
        </w:tc>
        <w:tc>
          <w:tcPr>
            <w:tcW w:w="631" w:type="pct"/>
            <w:vAlign w:val="center"/>
          </w:tcPr>
          <w:p w14:paraId="450480EC">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146</w:t>
            </w:r>
          </w:p>
        </w:tc>
        <w:tc>
          <w:tcPr>
            <w:tcW w:w="620" w:type="pct"/>
            <w:vAlign w:val="center"/>
          </w:tcPr>
          <w:p w14:paraId="19FCB873">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3:00</w:t>
            </w:r>
          </w:p>
        </w:tc>
        <w:tc>
          <w:tcPr>
            <w:tcW w:w="621" w:type="pct"/>
            <w:vAlign w:val="center"/>
          </w:tcPr>
          <w:p w14:paraId="229F962F">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116</w:t>
            </w:r>
          </w:p>
        </w:tc>
        <w:tc>
          <w:tcPr>
            <w:tcW w:w="638" w:type="pct"/>
            <w:vAlign w:val="center"/>
          </w:tcPr>
          <w:p w14:paraId="095D8B37">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161</w:t>
            </w:r>
          </w:p>
        </w:tc>
      </w:tr>
      <w:tr w14:paraId="09CE02C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7" w:hRule="atLeast"/>
          <w:jc w:val="center"/>
        </w:trPr>
        <w:tc>
          <w:tcPr>
            <w:tcW w:w="622" w:type="pct"/>
            <w:vMerge w:val="continue"/>
            <w:vAlign w:val="center"/>
          </w:tcPr>
          <w:p w14:paraId="0681A0E5">
            <w:pPr>
              <w:spacing w:line="240" w:lineRule="auto"/>
              <w:ind w:firstLine="0" w:firstLineChars="0"/>
              <w:jc w:val="center"/>
              <w:rPr>
                <w:color w:val="000000" w:themeColor="text1"/>
                <w:kern w:val="0"/>
                <w:sz w:val="21"/>
                <w:szCs w:val="21"/>
                <w14:textFill>
                  <w14:solidFill>
                    <w14:schemeClr w14:val="tx1"/>
                  </w14:solidFill>
                </w14:textFill>
              </w:rPr>
            </w:pPr>
          </w:p>
        </w:tc>
        <w:tc>
          <w:tcPr>
            <w:tcW w:w="620" w:type="pct"/>
            <w:vAlign w:val="center"/>
          </w:tcPr>
          <w:p w14:paraId="5E7CD710">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0.6H</w:t>
            </w:r>
          </w:p>
        </w:tc>
        <w:tc>
          <w:tcPr>
            <w:tcW w:w="620" w:type="pct"/>
            <w:vAlign w:val="center"/>
          </w:tcPr>
          <w:p w14:paraId="12463886">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1:00</w:t>
            </w:r>
          </w:p>
        </w:tc>
        <w:tc>
          <w:tcPr>
            <w:tcW w:w="624" w:type="pct"/>
            <w:vAlign w:val="center"/>
          </w:tcPr>
          <w:p w14:paraId="4B2A6CB9">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109</w:t>
            </w:r>
          </w:p>
        </w:tc>
        <w:tc>
          <w:tcPr>
            <w:tcW w:w="631" w:type="pct"/>
            <w:vAlign w:val="center"/>
          </w:tcPr>
          <w:p w14:paraId="0D70D003">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166</w:t>
            </w:r>
          </w:p>
        </w:tc>
        <w:tc>
          <w:tcPr>
            <w:tcW w:w="620" w:type="pct"/>
            <w:vAlign w:val="center"/>
          </w:tcPr>
          <w:p w14:paraId="647DEE61">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3:00</w:t>
            </w:r>
          </w:p>
        </w:tc>
        <w:tc>
          <w:tcPr>
            <w:tcW w:w="621" w:type="pct"/>
            <w:vAlign w:val="center"/>
          </w:tcPr>
          <w:p w14:paraId="09728906">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114</w:t>
            </w:r>
          </w:p>
        </w:tc>
        <w:tc>
          <w:tcPr>
            <w:tcW w:w="638" w:type="pct"/>
            <w:vAlign w:val="center"/>
          </w:tcPr>
          <w:p w14:paraId="3D3A794C">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159</w:t>
            </w:r>
          </w:p>
        </w:tc>
      </w:tr>
      <w:tr w14:paraId="4F15BAB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6" w:hRule="atLeast"/>
          <w:jc w:val="center"/>
        </w:trPr>
        <w:tc>
          <w:tcPr>
            <w:tcW w:w="622" w:type="pct"/>
            <w:vMerge w:val="continue"/>
            <w:vAlign w:val="center"/>
          </w:tcPr>
          <w:p w14:paraId="67FE0E9E">
            <w:pPr>
              <w:spacing w:line="240" w:lineRule="auto"/>
              <w:ind w:firstLine="0" w:firstLineChars="0"/>
              <w:jc w:val="center"/>
              <w:rPr>
                <w:color w:val="000000" w:themeColor="text1"/>
                <w:kern w:val="0"/>
                <w:sz w:val="21"/>
                <w:szCs w:val="21"/>
                <w14:textFill>
                  <w14:solidFill>
                    <w14:schemeClr w14:val="tx1"/>
                  </w14:solidFill>
                </w14:textFill>
              </w:rPr>
            </w:pPr>
          </w:p>
        </w:tc>
        <w:tc>
          <w:tcPr>
            <w:tcW w:w="620" w:type="pct"/>
            <w:vAlign w:val="center"/>
          </w:tcPr>
          <w:p w14:paraId="3D5CCBDB">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0.8H</w:t>
            </w:r>
          </w:p>
        </w:tc>
        <w:tc>
          <w:tcPr>
            <w:tcW w:w="620" w:type="pct"/>
            <w:vAlign w:val="center"/>
          </w:tcPr>
          <w:p w14:paraId="65568A76">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1:00</w:t>
            </w:r>
          </w:p>
        </w:tc>
        <w:tc>
          <w:tcPr>
            <w:tcW w:w="624" w:type="pct"/>
            <w:vAlign w:val="center"/>
          </w:tcPr>
          <w:p w14:paraId="3266EEA3">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125</w:t>
            </w:r>
          </w:p>
        </w:tc>
        <w:tc>
          <w:tcPr>
            <w:tcW w:w="631" w:type="pct"/>
            <w:vAlign w:val="center"/>
          </w:tcPr>
          <w:p w14:paraId="17044054">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153</w:t>
            </w:r>
          </w:p>
        </w:tc>
        <w:tc>
          <w:tcPr>
            <w:tcW w:w="620" w:type="pct"/>
            <w:vAlign w:val="center"/>
          </w:tcPr>
          <w:p w14:paraId="38F7A7FE">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3:00</w:t>
            </w:r>
          </w:p>
        </w:tc>
        <w:tc>
          <w:tcPr>
            <w:tcW w:w="621" w:type="pct"/>
            <w:vAlign w:val="center"/>
          </w:tcPr>
          <w:p w14:paraId="133D8B6B">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99</w:t>
            </w:r>
          </w:p>
        </w:tc>
        <w:tc>
          <w:tcPr>
            <w:tcW w:w="638" w:type="pct"/>
            <w:vAlign w:val="center"/>
          </w:tcPr>
          <w:p w14:paraId="3090A9DA">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151</w:t>
            </w:r>
          </w:p>
        </w:tc>
      </w:tr>
      <w:tr w14:paraId="2D321BD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6" w:hRule="atLeast"/>
          <w:jc w:val="center"/>
        </w:trPr>
        <w:tc>
          <w:tcPr>
            <w:tcW w:w="622" w:type="pct"/>
            <w:vMerge w:val="continue"/>
            <w:vAlign w:val="center"/>
          </w:tcPr>
          <w:p w14:paraId="2E8965B8">
            <w:pPr>
              <w:spacing w:line="240" w:lineRule="auto"/>
              <w:ind w:firstLine="0" w:firstLineChars="0"/>
              <w:jc w:val="center"/>
              <w:rPr>
                <w:color w:val="000000" w:themeColor="text1"/>
                <w:kern w:val="0"/>
                <w:sz w:val="21"/>
                <w:szCs w:val="21"/>
                <w14:textFill>
                  <w14:solidFill>
                    <w14:schemeClr w14:val="tx1"/>
                  </w14:solidFill>
                </w14:textFill>
              </w:rPr>
            </w:pPr>
          </w:p>
        </w:tc>
        <w:tc>
          <w:tcPr>
            <w:tcW w:w="620" w:type="pct"/>
            <w:vAlign w:val="center"/>
          </w:tcPr>
          <w:p w14:paraId="40A0AD58">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底层</w:t>
            </w:r>
          </w:p>
        </w:tc>
        <w:tc>
          <w:tcPr>
            <w:tcW w:w="620" w:type="pct"/>
            <w:vAlign w:val="center"/>
          </w:tcPr>
          <w:p w14:paraId="5B9DFE27">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22:00</w:t>
            </w:r>
          </w:p>
        </w:tc>
        <w:tc>
          <w:tcPr>
            <w:tcW w:w="624" w:type="pct"/>
            <w:vAlign w:val="center"/>
          </w:tcPr>
          <w:p w14:paraId="0D43414C">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86</w:t>
            </w:r>
          </w:p>
        </w:tc>
        <w:tc>
          <w:tcPr>
            <w:tcW w:w="631" w:type="pct"/>
            <w:vAlign w:val="center"/>
          </w:tcPr>
          <w:p w14:paraId="2ABC83D1">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144</w:t>
            </w:r>
          </w:p>
        </w:tc>
        <w:tc>
          <w:tcPr>
            <w:tcW w:w="620" w:type="pct"/>
            <w:vAlign w:val="center"/>
          </w:tcPr>
          <w:p w14:paraId="35CFECE7">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3:00</w:t>
            </w:r>
          </w:p>
        </w:tc>
        <w:tc>
          <w:tcPr>
            <w:tcW w:w="621" w:type="pct"/>
            <w:vAlign w:val="center"/>
          </w:tcPr>
          <w:p w14:paraId="034DB189">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95</w:t>
            </w:r>
          </w:p>
        </w:tc>
        <w:tc>
          <w:tcPr>
            <w:tcW w:w="638" w:type="pct"/>
            <w:vAlign w:val="center"/>
          </w:tcPr>
          <w:p w14:paraId="141FD121">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185</w:t>
            </w:r>
          </w:p>
        </w:tc>
      </w:tr>
      <w:tr w14:paraId="06E2317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31" w:hRule="atLeast"/>
          <w:jc w:val="center"/>
        </w:trPr>
        <w:tc>
          <w:tcPr>
            <w:tcW w:w="622" w:type="pct"/>
            <w:vMerge w:val="continue"/>
            <w:vAlign w:val="center"/>
          </w:tcPr>
          <w:p w14:paraId="15F3EF0B">
            <w:pPr>
              <w:spacing w:line="240" w:lineRule="auto"/>
              <w:ind w:firstLine="0" w:firstLineChars="0"/>
              <w:jc w:val="center"/>
              <w:rPr>
                <w:color w:val="000000" w:themeColor="text1"/>
                <w:kern w:val="0"/>
                <w:sz w:val="21"/>
                <w:szCs w:val="21"/>
                <w14:textFill>
                  <w14:solidFill>
                    <w14:schemeClr w14:val="tx1"/>
                  </w14:solidFill>
                </w14:textFill>
              </w:rPr>
            </w:pPr>
          </w:p>
        </w:tc>
        <w:tc>
          <w:tcPr>
            <w:tcW w:w="620" w:type="pct"/>
            <w:vAlign w:val="center"/>
          </w:tcPr>
          <w:p w14:paraId="0438C1C4">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垂线</w:t>
            </w:r>
          </w:p>
        </w:tc>
        <w:tc>
          <w:tcPr>
            <w:tcW w:w="620" w:type="pct"/>
            <w:vAlign w:val="center"/>
          </w:tcPr>
          <w:p w14:paraId="09493E27">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22:00</w:t>
            </w:r>
          </w:p>
        </w:tc>
        <w:tc>
          <w:tcPr>
            <w:tcW w:w="624" w:type="pct"/>
            <w:vAlign w:val="center"/>
          </w:tcPr>
          <w:p w14:paraId="6D777EBC">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123</w:t>
            </w:r>
          </w:p>
        </w:tc>
        <w:tc>
          <w:tcPr>
            <w:tcW w:w="631" w:type="pct"/>
            <w:vAlign w:val="center"/>
          </w:tcPr>
          <w:p w14:paraId="1CA5F45A">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145</w:t>
            </w:r>
          </w:p>
        </w:tc>
        <w:tc>
          <w:tcPr>
            <w:tcW w:w="620" w:type="pct"/>
            <w:vAlign w:val="center"/>
          </w:tcPr>
          <w:p w14:paraId="58D143EA">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3:00</w:t>
            </w:r>
          </w:p>
        </w:tc>
        <w:tc>
          <w:tcPr>
            <w:tcW w:w="621" w:type="pct"/>
            <w:vAlign w:val="center"/>
          </w:tcPr>
          <w:p w14:paraId="1C0BD7DC">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114</w:t>
            </w:r>
          </w:p>
        </w:tc>
        <w:tc>
          <w:tcPr>
            <w:tcW w:w="638" w:type="pct"/>
            <w:vAlign w:val="center"/>
          </w:tcPr>
          <w:p w14:paraId="44A0D8F3">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164</w:t>
            </w:r>
          </w:p>
        </w:tc>
      </w:tr>
    </w:tbl>
    <w:p w14:paraId="71136A59">
      <w:pPr>
        <w:ind w:firstLine="0" w:firstLineChars="0"/>
        <w:jc w:val="center"/>
        <w:rPr>
          <w:color w:val="000000" w:themeColor="text1"/>
          <w:kern w:val="0"/>
          <w:szCs w:val="20"/>
          <w14:textFill>
            <w14:solidFill>
              <w14:schemeClr w14:val="tx1"/>
            </w14:solidFill>
          </w14:textFill>
        </w:rPr>
      </w:pPr>
      <w:r>
        <w:rPr>
          <w:color w:val="000000" w:themeColor="text1"/>
          <w:kern w:val="0"/>
          <w:szCs w:val="20"/>
          <w14:textFill>
            <w14:solidFill>
              <w14:schemeClr w14:val="tx1"/>
            </w14:solidFill>
          </w14:textFill>
        </w:rPr>
        <w:drawing>
          <wp:inline distT="0" distB="0" distL="0" distR="0">
            <wp:extent cx="2819400" cy="2590800"/>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a:xfrm>
                      <a:off x="0" y="0"/>
                      <a:ext cx="2819400" cy="2590800"/>
                    </a:xfrm>
                    <a:prstGeom prst="rect">
                      <a:avLst/>
                    </a:prstGeom>
                    <a:noFill/>
                    <a:ln>
                      <a:noFill/>
                    </a:ln>
                    <a:effectLst/>
                  </pic:spPr>
                </pic:pic>
              </a:graphicData>
            </a:graphic>
          </wp:inline>
        </w:drawing>
      </w:r>
      <w:r>
        <w:rPr>
          <w:color w:val="000000" w:themeColor="text1"/>
          <w:kern w:val="0"/>
          <w:szCs w:val="20"/>
          <w14:textFill>
            <w14:solidFill>
              <w14:schemeClr w14:val="tx1"/>
            </w14:solidFill>
          </w14:textFill>
        </w:rPr>
        <w:drawing>
          <wp:inline distT="0" distB="0" distL="0" distR="0">
            <wp:extent cx="2838450" cy="2590800"/>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a:xfrm>
                      <a:off x="0" y="0"/>
                      <a:ext cx="2838450" cy="2590800"/>
                    </a:xfrm>
                    <a:prstGeom prst="rect">
                      <a:avLst/>
                    </a:prstGeom>
                    <a:noFill/>
                    <a:ln>
                      <a:noFill/>
                    </a:ln>
                  </pic:spPr>
                </pic:pic>
              </a:graphicData>
            </a:graphic>
          </wp:inline>
        </w:drawing>
      </w:r>
    </w:p>
    <w:p w14:paraId="63D2D0D7">
      <w:pPr>
        <w:spacing w:line="240" w:lineRule="auto"/>
        <w:ind w:firstLine="2160" w:firstLineChars="900"/>
        <w:rPr>
          <w:color w:val="000000" w:themeColor="text1"/>
          <w:kern w:val="0"/>
          <w:szCs w:val="20"/>
          <w14:textFill>
            <w14:solidFill>
              <w14:schemeClr w14:val="tx1"/>
            </w14:solidFill>
          </w14:textFill>
        </w:rPr>
      </w:pPr>
      <w:r>
        <w:rPr>
          <w:rFonts w:hint="eastAsia"/>
          <w:color w:val="000000" w:themeColor="text1"/>
          <w:kern w:val="0"/>
          <w:szCs w:val="20"/>
          <w14:textFill>
            <w14:solidFill>
              <w14:schemeClr w14:val="tx1"/>
            </w14:solidFill>
          </w14:textFill>
        </w:rPr>
        <w:t>小潮                                 大潮</w:t>
      </w:r>
    </w:p>
    <w:p w14:paraId="0F6909A0">
      <w:pPr>
        <w:ind w:firstLine="0" w:firstLineChars="0"/>
        <w:jc w:val="center"/>
        <w:rPr>
          <w:b/>
          <w:bCs/>
          <w:color w:val="000000" w:themeColor="text1"/>
          <w:kern w:val="0"/>
          <w:szCs w:val="20"/>
          <w14:textFill>
            <w14:solidFill>
              <w14:schemeClr w14:val="tx1"/>
            </w14:solidFill>
          </w14:textFill>
        </w:rPr>
      </w:pPr>
      <w:r>
        <w:rPr>
          <w:b/>
          <w:bCs/>
          <w:color w:val="000000" w:themeColor="text1"/>
          <w:kern w:val="0"/>
          <w:szCs w:val="20"/>
          <w14:textFill>
            <w14:solidFill>
              <w14:schemeClr w14:val="tx1"/>
            </w14:solidFill>
          </w14:textFill>
        </w:rPr>
        <w:t>图3.</w:t>
      </w:r>
      <w:r>
        <w:rPr>
          <w:rFonts w:hint="eastAsia"/>
          <w:b/>
          <w:bCs/>
          <w:color w:val="000000" w:themeColor="text1"/>
          <w:kern w:val="0"/>
          <w:szCs w:val="20"/>
          <w14:textFill>
            <w14:solidFill>
              <w14:schemeClr w14:val="tx1"/>
            </w14:solidFill>
          </w14:textFill>
        </w:rPr>
        <w:t xml:space="preserve">7-5  </w:t>
      </w:r>
      <w:r>
        <w:rPr>
          <w:b/>
          <w:bCs/>
          <w:color w:val="000000" w:themeColor="text1"/>
          <w:kern w:val="0"/>
          <w:szCs w:val="20"/>
          <w14:textFill>
            <w14:solidFill>
              <w14:schemeClr w14:val="tx1"/>
            </w14:solidFill>
          </w14:textFill>
        </w:rPr>
        <w:t>各潮流站垂线平均潮流矢量图</w:t>
      </w:r>
    </w:p>
    <w:p w14:paraId="2DE198D6">
      <w:pPr>
        <w:ind w:firstLine="480"/>
        <w:rPr>
          <w:color w:val="000000" w:themeColor="text1"/>
          <w:kern w:val="0"/>
          <w:szCs w:val="20"/>
          <w14:textFill>
            <w14:solidFill>
              <w14:schemeClr w14:val="tx1"/>
            </w14:solidFill>
          </w14:textFill>
        </w:rPr>
      </w:pPr>
      <w:r>
        <w:rPr>
          <w:color w:val="000000" w:themeColor="text1"/>
          <w:kern w:val="0"/>
          <w:szCs w:val="20"/>
          <w14:textFill>
            <w14:solidFill>
              <w14:schemeClr w14:val="tx1"/>
            </w14:solidFill>
          </w14:textFill>
        </w:rPr>
        <w:t>2、余流</w:t>
      </w:r>
    </w:p>
    <w:p w14:paraId="622D586A">
      <w:pPr>
        <w:ind w:firstLine="480"/>
        <w:rPr>
          <w:color w:val="000000" w:themeColor="text1"/>
          <w:kern w:val="0"/>
          <w:szCs w:val="20"/>
          <w14:textFill>
            <w14:solidFill>
              <w14:schemeClr w14:val="tx1"/>
            </w14:solidFill>
          </w14:textFill>
        </w:rPr>
      </w:pPr>
      <w:r>
        <w:rPr>
          <w:color w:val="000000" w:themeColor="text1"/>
          <w:kern w:val="0"/>
          <w:szCs w:val="20"/>
          <w14:textFill>
            <w14:solidFill>
              <w14:schemeClr w14:val="tx1"/>
            </w14:solidFill>
          </w14:textFill>
        </w:rPr>
        <w:t>余流是指剔除周期性变化潮流之后的一种相对稳定的流动。然而由于受分析方法和计算资料序列的限制，本次水文观测各潮流站各层余流数据对比如下表所示。列出的余流值仍可能包含部分尚未被分离的潮流成分，但其结果仍可表征某些统计性的规律。由此可见：</w:t>
      </w:r>
    </w:p>
    <w:p w14:paraId="61B6747E">
      <w:pPr>
        <w:ind w:firstLine="480"/>
        <w:rPr>
          <w:color w:val="000000" w:themeColor="text1"/>
          <w:kern w:val="0"/>
          <w:szCs w:val="20"/>
          <w14:textFill>
            <w14:solidFill>
              <w14:schemeClr w14:val="tx1"/>
            </w14:solidFill>
          </w14:textFill>
        </w:rPr>
      </w:pPr>
      <w:r>
        <w:rPr>
          <w:rFonts w:hint="eastAsia"/>
          <w:color w:val="000000" w:themeColor="text1"/>
          <w:kern w:val="0"/>
          <w:szCs w:val="20"/>
          <w14:textFill>
            <w14:solidFill>
              <w14:schemeClr w14:val="tx1"/>
            </w14:solidFill>
          </w14:textFill>
        </w:rPr>
        <w:t>（</w:t>
      </w:r>
      <w:r>
        <w:rPr>
          <w:color w:val="000000" w:themeColor="text1"/>
          <w:kern w:val="0"/>
          <w:szCs w:val="20"/>
          <w14:textFill>
            <w14:solidFill>
              <w14:schemeClr w14:val="tx1"/>
            </w14:solidFill>
          </w14:textFill>
        </w:rPr>
        <w:t>1）测区大潮余流相对较大，整个测验期间的大潮平均余流为5.78cm/s，对应流向226°；小潮平均余流为6.48cm/s，对应流向263°。</w:t>
      </w:r>
    </w:p>
    <w:p w14:paraId="7677032D">
      <w:pPr>
        <w:ind w:firstLine="480"/>
        <w:rPr>
          <w:color w:val="000000" w:themeColor="text1"/>
          <w:kern w:val="0"/>
          <w:szCs w:val="20"/>
          <w14:textFill>
            <w14:solidFill>
              <w14:schemeClr w14:val="tx1"/>
            </w14:solidFill>
          </w14:textFill>
        </w:rPr>
      </w:pPr>
      <w:r>
        <w:rPr>
          <w:rFonts w:hint="eastAsia"/>
          <w:color w:val="000000" w:themeColor="text1"/>
          <w:kern w:val="0"/>
          <w:szCs w:val="20"/>
          <w14:textFill>
            <w14:solidFill>
              <w14:schemeClr w14:val="tx1"/>
            </w14:solidFill>
          </w14:textFill>
        </w:rPr>
        <w:t>（</w:t>
      </w:r>
      <w:r>
        <w:rPr>
          <w:color w:val="000000" w:themeColor="text1"/>
          <w:kern w:val="0"/>
          <w:szCs w:val="20"/>
          <w14:textFill>
            <w14:solidFill>
              <w14:schemeClr w14:val="tx1"/>
            </w14:solidFill>
          </w14:textFill>
        </w:rPr>
        <w:t>2）最大余流出现在大潮汛时V3测站表层，流速值为27.32cm/s，对应流向264º。最小余流出现在大潮汛时V6测站底层，流速值为0.74cm/s，对应流向191º。</w:t>
      </w:r>
    </w:p>
    <w:p w14:paraId="6C72C9E2">
      <w:pPr>
        <w:ind w:firstLine="480"/>
        <w:rPr>
          <w:color w:val="000000" w:themeColor="text1"/>
          <w:kern w:val="0"/>
          <w:szCs w:val="20"/>
          <w14:textFill>
            <w14:solidFill>
              <w14:schemeClr w14:val="tx1"/>
            </w14:solidFill>
          </w14:textFill>
        </w:rPr>
      </w:pPr>
      <w:r>
        <w:rPr>
          <w:rFonts w:hint="eastAsia"/>
          <w:color w:val="000000" w:themeColor="text1"/>
          <w:kern w:val="0"/>
          <w:szCs w:val="20"/>
          <w14:textFill>
            <w14:solidFill>
              <w14:schemeClr w14:val="tx1"/>
            </w14:solidFill>
          </w14:textFill>
        </w:rPr>
        <w:t>（</w:t>
      </w:r>
      <w:r>
        <w:rPr>
          <w:color w:val="000000" w:themeColor="text1"/>
          <w:kern w:val="0"/>
          <w:szCs w:val="20"/>
          <w14:textFill>
            <w14:solidFill>
              <w14:schemeClr w14:val="tx1"/>
            </w14:solidFill>
          </w14:textFill>
        </w:rPr>
        <w:t>3）此次测验期间，测区9个测站的余流流向整体偏SW-S方向。</w:t>
      </w:r>
    </w:p>
    <w:p w14:paraId="6FCAEB86">
      <w:pPr>
        <w:pStyle w:val="7"/>
        <w:rPr>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观测海域期间各潮流站各层余流对比表单位：流速（cm/s），流向（°）</w:t>
      </w:r>
    </w:p>
    <w:tbl>
      <w:tblPr>
        <w:tblStyle w:val="219"/>
        <w:tblW w:w="5003" w:type="pct"/>
        <w:tblInd w:w="5"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0" w:type="dxa"/>
          <w:bottom w:w="0" w:type="dxa"/>
          <w:right w:w="0" w:type="dxa"/>
        </w:tblCellMar>
      </w:tblPr>
      <w:tblGrid>
        <w:gridCol w:w="1060"/>
        <w:gridCol w:w="1038"/>
        <w:gridCol w:w="1805"/>
        <w:gridCol w:w="1477"/>
        <w:gridCol w:w="1473"/>
        <w:gridCol w:w="1488"/>
      </w:tblGrid>
      <w:tr w14:paraId="5D9697A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54" w:hRule="atLeast"/>
          <w:tblHeader/>
        </w:trPr>
        <w:tc>
          <w:tcPr>
            <w:tcW w:w="635" w:type="pct"/>
            <w:vMerge w:val="restart"/>
            <w:vAlign w:val="center"/>
          </w:tcPr>
          <w:p w14:paraId="749C148B">
            <w:pPr>
              <w:spacing w:line="240" w:lineRule="auto"/>
              <w:ind w:firstLine="0" w:firstLineChars="0"/>
              <w:jc w:val="center"/>
              <w:rPr>
                <w:b/>
                <w:color w:val="000000" w:themeColor="text1"/>
                <w:kern w:val="0"/>
                <w:sz w:val="21"/>
                <w:szCs w:val="21"/>
                <w14:textFill>
                  <w14:solidFill>
                    <w14:schemeClr w14:val="tx1"/>
                  </w14:solidFill>
                </w14:textFill>
              </w:rPr>
            </w:pPr>
            <w:r>
              <w:rPr>
                <w:b/>
                <w:color w:val="000000" w:themeColor="text1"/>
                <w:kern w:val="0"/>
                <w:sz w:val="21"/>
                <w:szCs w:val="21"/>
                <w14:textFill>
                  <w14:solidFill>
                    <w14:schemeClr w14:val="tx1"/>
                  </w14:solidFill>
                </w14:textFill>
              </w:rPr>
              <w:t>站位</w:t>
            </w:r>
          </w:p>
        </w:tc>
        <w:tc>
          <w:tcPr>
            <w:tcW w:w="622" w:type="pct"/>
            <w:vMerge w:val="restart"/>
            <w:vAlign w:val="center"/>
          </w:tcPr>
          <w:p w14:paraId="38FE4DAF">
            <w:pPr>
              <w:spacing w:line="240" w:lineRule="auto"/>
              <w:ind w:firstLine="0" w:firstLineChars="0"/>
              <w:jc w:val="center"/>
              <w:rPr>
                <w:b/>
                <w:color w:val="000000" w:themeColor="text1"/>
                <w:kern w:val="0"/>
                <w:sz w:val="21"/>
                <w:szCs w:val="21"/>
                <w14:textFill>
                  <w14:solidFill>
                    <w14:schemeClr w14:val="tx1"/>
                  </w14:solidFill>
                </w14:textFill>
              </w:rPr>
            </w:pPr>
            <w:r>
              <w:rPr>
                <w:b/>
                <w:color w:val="000000" w:themeColor="text1"/>
                <w:kern w:val="0"/>
                <w:sz w:val="21"/>
                <w:szCs w:val="21"/>
                <w14:textFill>
                  <w14:solidFill>
                    <w14:schemeClr w14:val="tx1"/>
                  </w14:solidFill>
                </w14:textFill>
              </w:rPr>
              <w:t>层次</w:t>
            </w:r>
          </w:p>
        </w:tc>
        <w:tc>
          <w:tcPr>
            <w:tcW w:w="1967" w:type="pct"/>
            <w:gridSpan w:val="2"/>
            <w:vAlign w:val="center"/>
          </w:tcPr>
          <w:p w14:paraId="2F50DD02">
            <w:pPr>
              <w:spacing w:line="240" w:lineRule="auto"/>
              <w:ind w:firstLine="0" w:firstLineChars="0"/>
              <w:jc w:val="center"/>
              <w:rPr>
                <w:b/>
                <w:color w:val="000000" w:themeColor="text1"/>
                <w:kern w:val="0"/>
                <w:sz w:val="21"/>
                <w:szCs w:val="21"/>
                <w14:textFill>
                  <w14:solidFill>
                    <w14:schemeClr w14:val="tx1"/>
                  </w14:solidFill>
                </w14:textFill>
              </w:rPr>
            </w:pPr>
            <w:r>
              <w:rPr>
                <w:b/>
                <w:color w:val="000000" w:themeColor="text1"/>
                <w:kern w:val="0"/>
                <w:sz w:val="21"/>
                <w:szCs w:val="21"/>
                <w14:textFill>
                  <w14:solidFill>
                    <w14:schemeClr w14:val="tx1"/>
                  </w14:solidFill>
                </w14:textFill>
              </w:rPr>
              <w:t>大潮</w:t>
            </w:r>
          </w:p>
        </w:tc>
        <w:tc>
          <w:tcPr>
            <w:tcW w:w="1775" w:type="pct"/>
            <w:gridSpan w:val="2"/>
            <w:vAlign w:val="center"/>
          </w:tcPr>
          <w:p w14:paraId="1513CAC7">
            <w:pPr>
              <w:spacing w:line="240" w:lineRule="auto"/>
              <w:ind w:firstLine="0" w:firstLineChars="0"/>
              <w:jc w:val="center"/>
              <w:rPr>
                <w:b/>
                <w:color w:val="000000" w:themeColor="text1"/>
                <w:kern w:val="0"/>
                <w:sz w:val="21"/>
                <w:szCs w:val="21"/>
                <w14:textFill>
                  <w14:solidFill>
                    <w14:schemeClr w14:val="tx1"/>
                  </w14:solidFill>
                </w14:textFill>
              </w:rPr>
            </w:pPr>
            <w:r>
              <w:rPr>
                <w:b/>
                <w:color w:val="000000" w:themeColor="text1"/>
                <w:kern w:val="0"/>
                <w:sz w:val="21"/>
                <w:szCs w:val="21"/>
                <w14:textFill>
                  <w14:solidFill>
                    <w14:schemeClr w14:val="tx1"/>
                  </w14:solidFill>
                </w14:textFill>
              </w:rPr>
              <w:t>小潮</w:t>
            </w:r>
          </w:p>
        </w:tc>
      </w:tr>
      <w:tr w14:paraId="0A2E013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9" w:hRule="atLeast"/>
          <w:tblHeader/>
        </w:trPr>
        <w:tc>
          <w:tcPr>
            <w:tcW w:w="635" w:type="pct"/>
            <w:vMerge w:val="continue"/>
            <w:vAlign w:val="center"/>
          </w:tcPr>
          <w:p w14:paraId="7FB56AE9">
            <w:pPr>
              <w:spacing w:line="240" w:lineRule="auto"/>
              <w:ind w:firstLine="0" w:firstLineChars="0"/>
              <w:jc w:val="center"/>
              <w:rPr>
                <w:b/>
                <w:color w:val="000000" w:themeColor="text1"/>
                <w:kern w:val="0"/>
                <w:sz w:val="21"/>
                <w:szCs w:val="21"/>
                <w14:textFill>
                  <w14:solidFill>
                    <w14:schemeClr w14:val="tx1"/>
                  </w14:solidFill>
                </w14:textFill>
              </w:rPr>
            </w:pPr>
          </w:p>
        </w:tc>
        <w:tc>
          <w:tcPr>
            <w:tcW w:w="622" w:type="pct"/>
            <w:vMerge w:val="continue"/>
            <w:vAlign w:val="center"/>
          </w:tcPr>
          <w:p w14:paraId="4B99DE8C">
            <w:pPr>
              <w:spacing w:line="240" w:lineRule="auto"/>
              <w:ind w:firstLine="0" w:firstLineChars="0"/>
              <w:jc w:val="center"/>
              <w:rPr>
                <w:b/>
                <w:color w:val="000000" w:themeColor="text1"/>
                <w:kern w:val="0"/>
                <w:sz w:val="21"/>
                <w:szCs w:val="21"/>
                <w14:textFill>
                  <w14:solidFill>
                    <w14:schemeClr w14:val="tx1"/>
                  </w14:solidFill>
                </w14:textFill>
              </w:rPr>
            </w:pPr>
          </w:p>
        </w:tc>
        <w:tc>
          <w:tcPr>
            <w:tcW w:w="1082" w:type="pct"/>
            <w:vAlign w:val="center"/>
          </w:tcPr>
          <w:p w14:paraId="041147E7">
            <w:pPr>
              <w:spacing w:line="240" w:lineRule="auto"/>
              <w:ind w:firstLine="0" w:firstLineChars="0"/>
              <w:jc w:val="center"/>
              <w:rPr>
                <w:b/>
                <w:color w:val="000000" w:themeColor="text1"/>
                <w:kern w:val="0"/>
                <w:sz w:val="21"/>
                <w:szCs w:val="21"/>
                <w14:textFill>
                  <w14:solidFill>
                    <w14:schemeClr w14:val="tx1"/>
                  </w14:solidFill>
                </w14:textFill>
              </w:rPr>
            </w:pPr>
            <w:r>
              <w:rPr>
                <w:b/>
                <w:color w:val="000000" w:themeColor="text1"/>
                <w:kern w:val="0"/>
                <w:sz w:val="21"/>
                <w:szCs w:val="21"/>
                <w14:textFill>
                  <w14:solidFill>
                    <w14:schemeClr w14:val="tx1"/>
                  </w14:solidFill>
                </w14:textFill>
              </w:rPr>
              <w:t>流速</w:t>
            </w:r>
          </w:p>
        </w:tc>
        <w:tc>
          <w:tcPr>
            <w:tcW w:w="885" w:type="pct"/>
            <w:vAlign w:val="center"/>
          </w:tcPr>
          <w:p w14:paraId="5D001BA7">
            <w:pPr>
              <w:spacing w:line="240" w:lineRule="auto"/>
              <w:ind w:firstLine="0" w:firstLineChars="0"/>
              <w:jc w:val="center"/>
              <w:rPr>
                <w:b/>
                <w:color w:val="000000" w:themeColor="text1"/>
                <w:kern w:val="0"/>
                <w:sz w:val="21"/>
                <w:szCs w:val="21"/>
                <w14:textFill>
                  <w14:solidFill>
                    <w14:schemeClr w14:val="tx1"/>
                  </w14:solidFill>
                </w14:textFill>
              </w:rPr>
            </w:pPr>
            <w:r>
              <w:rPr>
                <w:b/>
                <w:color w:val="000000" w:themeColor="text1"/>
                <w:kern w:val="0"/>
                <w:sz w:val="21"/>
                <w:szCs w:val="21"/>
                <w14:textFill>
                  <w14:solidFill>
                    <w14:schemeClr w14:val="tx1"/>
                  </w14:solidFill>
                </w14:textFill>
              </w:rPr>
              <w:t>流向</w:t>
            </w:r>
          </w:p>
        </w:tc>
        <w:tc>
          <w:tcPr>
            <w:tcW w:w="883" w:type="pct"/>
            <w:vAlign w:val="center"/>
          </w:tcPr>
          <w:p w14:paraId="621DC889">
            <w:pPr>
              <w:spacing w:line="240" w:lineRule="auto"/>
              <w:ind w:firstLine="0" w:firstLineChars="0"/>
              <w:jc w:val="center"/>
              <w:rPr>
                <w:b/>
                <w:color w:val="000000" w:themeColor="text1"/>
                <w:kern w:val="0"/>
                <w:sz w:val="21"/>
                <w:szCs w:val="21"/>
                <w14:textFill>
                  <w14:solidFill>
                    <w14:schemeClr w14:val="tx1"/>
                  </w14:solidFill>
                </w14:textFill>
              </w:rPr>
            </w:pPr>
            <w:r>
              <w:rPr>
                <w:b/>
                <w:color w:val="000000" w:themeColor="text1"/>
                <w:kern w:val="0"/>
                <w:sz w:val="21"/>
                <w:szCs w:val="21"/>
                <w14:textFill>
                  <w14:solidFill>
                    <w14:schemeClr w14:val="tx1"/>
                  </w14:solidFill>
                </w14:textFill>
              </w:rPr>
              <w:t>流速</w:t>
            </w:r>
          </w:p>
        </w:tc>
        <w:tc>
          <w:tcPr>
            <w:tcW w:w="891" w:type="pct"/>
            <w:vAlign w:val="center"/>
          </w:tcPr>
          <w:p w14:paraId="56EBAD4B">
            <w:pPr>
              <w:spacing w:line="240" w:lineRule="auto"/>
              <w:ind w:firstLine="0" w:firstLineChars="0"/>
              <w:jc w:val="center"/>
              <w:rPr>
                <w:b/>
                <w:color w:val="000000" w:themeColor="text1"/>
                <w:kern w:val="0"/>
                <w:sz w:val="21"/>
                <w:szCs w:val="21"/>
                <w14:textFill>
                  <w14:solidFill>
                    <w14:schemeClr w14:val="tx1"/>
                  </w14:solidFill>
                </w14:textFill>
              </w:rPr>
            </w:pPr>
            <w:r>
              <w:rPr>
                <w:b/>
                <w:color w:val="000000" w:themeColor="text1"/>
                <w:kern w:val="0"/>
                <w:sz w:val="21"/>
                <w:szCs w:val="21"/>
                <w14:textFill>
                  <w14:solidFill>
                    <w14:schemeClr w14:val="tx1"/>
                  </w14:solidFill>
                </w14:textFill>
              </w:rPr>
              <w:t>流向</w:t>
            </w:r>
          </w:p>
        </w:tc>
      </w:tr>
      <w:tr w14:paraId="40C10FB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9" w:hRule="atLeast"/>
        </w:trPr>
        <w:tc>
          <w:tcPr>
            <w:tcW w:w="635" w:type="pct"/>
            <w:vMerge w:val="restart"/>
            <w:vAlign w:val="center"/>
          </w:tcPr>
          <w:p w14:paraId="41B56FCE">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V1</w:t>
            </w:r>
          </w:p>
        </w:tc>
        <w:tc>
          <w:tcPr>
            <w:tcW w:w="622" w:type="pct"/>
            <w:vAlign w:val="center"/>
          </w:tcPr>
          <w:p w14:paraId="7F45D035">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表层</w:t>
            </w:r>
          </w:p>
        </w:tc>
        <w:tc>
          <w:tcPr>
            <w:tcW w:w="1082" w:type="pct"/>
            <w:vAlign w:val="center"/>
          </w:tcPr>
          <w:p w14:paraId="0B36FB7B">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24.01</w:t>
            </w:r>
          </w:p>
        </w:tc>
        <w:tc>
          <w:tcPr>
            <w:tcW w:w="885" w:type="pct"/>
            <w:vAlign w:val="center"/>
          </w:tcPr>
          <w:p w14:paraId="7B226A93">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249</w:t>
            </w:r>
          </w:p>
        </w:tc>
        <w:tc>
          <w:tcPr>
            <w:tcW w:w="883" w:type="pct"/>
            <w:vAlign w:val="center"/>
          </w:tcPr>
          <w:p w14:paraId="75DC56CA">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23.63</w:t>
            </w:r>
          </w:p>
        </w:tc>
        <w:tc>
          <w:tcPr>
            <w:tcW w:w="891" w:type="pct"/>
            <w:vAlign w:val="center"/>
          </w:tcPr>
          <w:p w14:paraId="5A3C28E0">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258</w:t>
            </w:r>
          </w:p>
        </w:tc>
      </w:tr>
      <w:tr w14:paraId="1DBF739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50" w:hRule="atLeast"/>
        </w:trPr>
        <w:tc>
          <w:tcPr>
            <w:tcW w:w="635" w:type="pct"/>
            <w:vMerge w:val="continue"/>
            <w:vAlign w:val="center"/>
          </w:tcPr>
          <w:p w14:paraId="568B9F0C">
            <w:pPr>
              <w:spacing w:line="240" w:lineRule="auto"/>
              <w:ind w:firstLine="0" w:firstLineChars="0"/>
              <w:jc w:val="center"/>
              <w:rPr>
                <w:color w:val="000000" w:themeColor="text1"/>
                <w:kern w:val="0"/>
                <w:sz w:val="21"/>
                <w:szCs w:val="21"/>
                <w14:textFill>
                  <w14:solidFill>
                    <w14:schemeClr w14:val="tx1"/>
                  </w14:solidFill>
                </w14:textFill>
              </w:rPr>
            </w:pPr>
          </w:p>
        </w:tc>
        <w:tc>
          <w:tcPr>
            <w:tcW w:w="622" w:type="pct"/>
            <w:vAlign w:val="center"/>
          </w:tcPr>
          <w:p w14:paraId="18999BED">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0.2H</w:t>
            </w:r>
          </w:p>
        </w:tc>
        <w:tc>
          <w:tcPr>
            <w:tcW w:w="1082" w:type="pct"/>
            <w:vAlign w:val="center"/>
          </w:tcPr>
          <w:p w14:paraId="6431A5CB">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26.42</w:t>
            </w:r>
          </w:p>
        </w:tc>
        <w:tc>
          <w:tcPr>
            <w:tcW w:w="885" w:type="pct"/>
            <w:vAlign w:val="center"/>
          </w:tcPr>
          <w:p w14:paraId="21588A3D">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245</w:t>
            </w:r>
          </w:p>
        </w:tc>
        <w:tc>
          <w:tcPr>
            <w:tcW w:w="883" w:type="pct"/>
            <w:vAlign w:val="center"/>
          </w:tcPr>
          <w:p w14:paraId="0121EC2D">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23.32</w:t>
            </w:r>
          </w:p>
        </w:tc>
        <w:tc>
          <w:tcPr>
            <w:tcW w:w="891" w:type="pct"/>
            <w:vAlign w:val="center"/>
          </w:tcPr>
          <w:p w14:paraId="17145EC1">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247</w:t>
            </w:r>
          </w:p>
        </w:tc>
      </w:tr>
      <w:tr w14:paraId="3FB1A34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9" w:hRule="atLeast"/>
        </w:trPr>
        <w:tc>
          <w:tcPr>
            <w:tcW w:w="635" w:type="pct"/>
            <w:vMerge w:val="continue"/>
            <w:vAlign w:val="center"/>
          </w:tcPr>
          <w:p w14:paraId="045677EC">
            <w:pPr>
              <w:spacing w:line="240" w:lineRule="auto"/>
              <w:ind w:firstLine="0" w:firstLineChars="0"/>
              <w:jc w:val="center"/>
              <w:rPr>
                <w:color w:val="000000" w:themeColor="text1"/>
                <w:kern w:val="0"/>
                <w:sz w:val="21"/>
                <w:szCs w:val="21"/>
                <w14:textFill>
                  <w14:solidFill>
                    <w14:schemeClr w14:val="tx1"/>
                  </w14:solidFill>
                </w14:textFill>
              </w:rPr>
            </w:pPr>
          </w:p>
        </w:tc>
        <w:tc>
          <w:tcPr>
            <w:tcW w:w="622" w:type="pct"/>
            <w:vAlign w:val="center"/>
          </w:tcPr>
          <w:p w14:paraId="7E7146F5">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0.4H</w:t>
            </w:r>
          </w:p>
        </w:tc>
        <w:tc>
          <w:tcPr>
            <w:tcW w:w="1082" w:type="pct"/>
            <w:vAlign w:val="center"/>
          </w:tcPr>
          <w:p w14:paraId="61C6A6DA">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19.46</w:t>
            </w:r>
          </w:p>
        </w:tc>
        <w:tc>
          <w:tcPr>
            <w:tcW w:w="885" w:type="pct"/>
            <w:vAlign w:val="center"/>
          </w:tcPr>
          <w:p w14:paraId="15C3EA1E">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241</w:t>
            </w:r>
          </w:p>
        </w:tc>
        <w:tc>
          <w:tcPr>
            <w:tcW w:w="883" w:type="pct"/>
            <w:vAlign w:val="center"/>
          </w:tcPr>
          <w:p w14:paraId="47802FA0">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18.89</w:t>
            </w:r>
          </w:p>
        </w:tc>
        <w:tc>
          <w:tcPr>
            <w:tcW w:w="891" w:type="pct"/>
            <w:vAlign w:val="center"/>
          </w:tcPr>
          <w:p w14:paraId="600BB87D">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238</w:t>
            </w:r>
          </w:p>
        </w:tc>
      </w:tr>
      <w:tr w14:paraId="0EDB3E9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9" w:hRule="atLeast"/>
        </w:trPr>
        <w:tc>
          <w:tcPr>
            <w:tcW w:w="635" w:type="pct"/>
            <w:vMerge w:val="continue"/>
            <w:vAlign w:val="center"/>
          </w:tcPr>
          <w:p w14:paraId="3FA2ADF7">
            <w:pPr>
              <w:spacing w:line="240" w:lineRule="auto"/>
              <w:ind w:firstLine="0" w:firstLineChars="0"/>
              <w:jc w:val="center"/>
              <w:rPr>
                <w:color w:val="000000" w:themeColor="text1"/>
                <w:kern w:val="0"/>
                <w:sz w:val="21"/>
                <w:szCs w:val="21"/>
                <w14:textFill>
                  <w14:solidFill>
                    <w14:schemeClr w14:val="tx1"/>
                  </w14:solidFill>
                </w14:textFill>
              </w:rPr>
            </w:pPr>
          </w:p>
        </w:tc>
        <w:tc>
          <w:tcPr>
            <w:tcW w:w="622" w:type="pct"/>
            <w:vAlign w:val="center"/>
          </w:tcPr>
          <w:p w14:paraId="4938B581">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0.6H</w:t>
            </w:r>
          </w:p>
        </w:tc>
        <w:tc>
          <w:tcPr>
            <w:tcW w:w="1082" w:type="pct"/>
            <w:vAlign w:val="center"/>
          </w:tcPr>
          <w:p w14:paraId="7FC1CE5F">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17.68</w:t>
            </w:r>
          </w:p>
        </w:tc>
        <w:tc>
          <w:tcPr>
            <w:tcW w:w="885" w:type="pct"/>
            <w:vAlign w:val="center"/>
          </w:tcPr>
          <w:p w14:paraId="17B715E9">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246</w:t>
            </w:r>
          </w:p>
        </w:tc>
        <w:tc>
          <w:tcPr>
            <w:tcW w:w="883" w:type="pct"/>
            <w:vAlign w:val="center"/>
          </w:tcPr>
          <w:p w14:paraId="56997828">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15.18</w:t>
            </w:r>
          </w:p>
        </w:tc>
        <w:tc>
          <w:tcPr>
            <w:tcW w:w="891" w:type="pct"/>
            <w:vAlign w:val="center"/>
          </w:tcPr>
          <w:p w14:paraId="124823D5">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238</w:t>
            </w:r>
          </w:p>
        </w:tc>
      </w:tr>
      <w:tr w14:paraId="4449F6E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50" w:hRule="atLeast"/>
        </w:trPr>
        <w:tc>
          <w:tcPr>
            <w:tcW w:w="635" w:type="pct"/>
            <w:vMerge w:val="continue"/>
            <w:vAlign w:val="center"/>
          </w:tcPr>
          <w:p w14:paraId="263D59E4">
            <w:pPr>
              <w:spacing w:line="240" w:lineRule="auto"/>
              <w:ind w:firstLine="0" w:firstLineChars="0"/>
              <w:jc w:val="center"/>
              <w:rPr>
                <w:color w:val="000000" w:themeColor="text1"/>
                <w:kern w:val="0"/>
                <w:sz w:val="21"/>
                <w:szCs w:val="21"/>
                <w14:textFill>
                  <w14:solidFill>
                    <w14:schemeClr w14:val="tx1"/>
                  </w14:solidFill>
                </w14:textFill>
              </w:rPr>
            </w:pPr>
          </w:p>
        </w:tc>
        <w:tc>
          <w:tcPr>
            <w:tcW w:w="622" w:type="pct"/>
            <w:vAlign w:val="center"/>
          </w:tcPr>
          <w:p w14:paraId="71628140">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0.8H</w:t>
            </w:r>
          </w:p>
        </w:tc>
        <w:tc>
          <w:tcPr>
            <w:tcW w:w="1082" w:type="pct"/>
            <w:vAlign w:val="center"/>
          </w:tcPr>
          <w:p w14:paraId="3944076D">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15.86</w:t>
            </w:r>
          </w:p>
        </w:tc>
        <w:tc>
          <w:tcPr>
            <w:tcW w:w="885" w:type="pct"/>
            <w:vAlign w:val="center"/>
          </w:tcPr>
          <w:p w14:paraId="0B2BD7D5">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245</w:t>
            </w:r>
          </w:p>
        </w:tc>
        <w:tc>
          <w:tcPr>
            <w:tcW w:w="883" w:type="pct"/>
            <w:vAlign w:val="center"/>
          </w:tcPr>
          <w:p w14:paraId="2A0C4E10">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12.59</w:t>
            </w:r>
          </w:p>
        </w:tc>
        <w:tc>
          <w:tcPr>
            <w:tcW w:w="891" w:type="pct"/>
            <w:vAlign w:val="center"/>
          </w:tcPr>
          <w:p w14:paraId="7EE3AE68">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241</w:t>
            </w:r>
          </w:p>
        </w:tc>
      </w:tr>
      <w:tr w14:paraId="4F108F6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50" w:hRule="atLeast"/>
        </w:trPr>
        <w:tc>
          <w:tcPr>
            <w:tcW w:w="635" w:type="pct"/>
            <w:vMerge w:val="continue"/>
            <w:vAlign w:val="center"/>
          </w:tcPr>
          <w:p w14:paraId="0DD0B533">
            <w:pPr>
              <w:spacing w:line="240" w:lineRule="auto"/>
              <w:ind w:firstLine="0" w:firstLineChars="0"/>
              <w:jc w:val="center"/>
              <w:rPr>
                <w:color w:val="000000" w:themeColor="text1"/>
                <w:kern w:val="0"/>
                <w:sz w:val="21"/>
                <w:szCs w:val="21"/>
                <w14:textFill>
                  <w14:solidFill>
                    <w14:schemeClr w14:val="tx1"/>
                  </w14:solidFill>
                </w14:textFill>
              </w:rPr>
            </w:pPr>
          </w:p>
        </w:tc>
        <w:tc>
          <w:tcPr>
            <w:tcW w:w="622" w:type="pct"/>
            <w:vAlign w:val="center"/>
          </w:tcPr>
          <w:p w14:paraId="47F17269">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底层</w:t>
            </w:r>
          </w:p>
        </w:tc>
        <w:tc>
          <w:tcPr>
            <w:tcW w:w="1082" w:type="pct"/>
            <w:vAlign w:val="center"/>
          </w:tcPr>
          <w:p w14:paraId="31E486B9">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10.15</w:t>
            </w:r>
          </w:p>
        </w:tc>
        <w:tc>
          <w:tcPr>
            <w:tcW w:w="885" w:type="pct"/>
            <w:vAlign w:val="center"/>
          </w:tcPr>
          <w:p w14:paraId="3B9757FC">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241</w:t>
            </w:r>
          </w:p>
        </w:tc>
        <w:tc>
          <w:tcPr>
            <w:tcW w:w="883" w:type="pct"/>
            <w:vAlign w:val="center"/>
          </w:tcPr>
          <w:p w14:paraId="3E0D97D3">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10.42</w:t>
            </w:r>
          </w:p>
        </w:tc>
        <w:tc>
          <w:tcPr>
            <w:tcW w:w="891" w:type="pct"/>
            <w:vAlign w:val="center"/>
          </w:tcPr>
          <w:p w14:paraId="42AFE289">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246</w:t>
            </w:r>
          </w:p>
        </w:tc>
      </w:tr>
      <w:tr w14:paraId="0302068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50" w:hRule="atLeast"/>
        </w:trPr>
        <w:tc>
          <w:tcPr>
            <w:tcW w:w="635" w:type="pct"/>
            <w:vMerge w:val="continue"/>
            <w:vAlign w:val="center"/>
          </w:tcPr>
          <w:p w14:paraId="170127E3">
            <w:pPr>
              <w:spacing w:line="240" w:lineRule="auto"/>
              <w:ind w:firstLine="0" w:firstLineChars="0"/>
              <w:jc w:val="center"/>
              <w:rPr>
                <w:color w:val="000000" w:themeColor="text1"/>
                <w:kern w:val="0"/>
                <w:sz w:val="21"/>
                <w:szCs w:val="21"/>
                <w14:textFill>
                  <w14:solidFill>
                    <w14:schemeClr w14:val="tx1"/>
                  </w14:solidFill>
                </w14:textFill>
              </w:rPr>
            </w:pPr>
          </w:p>
        </w:tc>
        <w:tc>
          <w:tcPr>
            <w:tcW w:w="622" w:type="pct"/>
            <w:vAlign w:val="center"/>
          </w:tcPr>
          <w:p w14:paraId="40A69CDF">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垂线</w:t>
            </w:r>
          </w:p>
        </w:tc>
        <w:tc>
          <w:tcPr>
            <w:tcW w:w="1082" w:type="pct"/>
            <w:vAlign w:val="center"/>
          </w:tcPr>
          <w:p w14:paraId="292EE9BA">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20.29</w:t>
            </w:r>
          </w:p>
        </w:tc>
        <w:tc>
          <w:tcPr>
            <w:tcW w:w="885" w:type="pct"/>
            <w:vAlign w:val="center"/>
          </w:tcPr>
          <w:p w14:paraId="78EBCCA0">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245</w:t>
            </w:r>
          </w:p>
        </w:tc>
        <w:tc>
          <w:tcPr>
            <w:tcW w:w="883" w:type="pct"/>
            <w:vAlign w:val="center"/>
          </w:tcPr>
          <w:p w14:paraId="1B9A2295">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18.33</w:t>
            </w:r>
          </w:p>
        </w:tc>
        <w:tc>
          <w:tcPr>
            <w:tcW w:w="891" w:type="pct"/>
            <w:vAlign w:val="center"/>
          </w:tcPr>
          <w:p w14:paraId="19512700">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244</w:t>
            </w:r>
          </w:p>
        </w:tc>
      </w:tr>
      <w:tr w14:paraId="0C29765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9" w:hRule="atLeast"/>
        </w:trPr>
        <w:tc>
          <w:tcPr>
            <w:tcW w:w="635" w:type="pct"/>
            <w:vMerge w:val="restart"/>
            <w:vAlign w:val="center"/>
          </w:tcPr>
          <w:p w14:paraId="06014DE4">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V2</w:t>
            </w:r>
          </w:p>
        </w:tc>
        <w:tc>
          <w:tcPr>
            <w:tcW w:w="622" w:type="pct"/>
            <w:vAlign w:val="center"/>
          </w:tcPr>
          <w:p w14:paraId="69011F5E">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表层</w:t>
            </w:r>
          </w:p>
        </w:tc>
        <w:tc>
          <w:tcPr>
            <w:tcW w:w="1082" w:type="pct"/>
            <w:vAlign w:val="center"/>
          </w:tcPr>
          <w:p w14:paraId="67444217">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8.06</w:t>
            </w:r>
          </w:p>
        </w:tc>
        <w:tc>
          <w:tcPr>
            <w:tcW w:w="885" w:type="pct"/>
            <w:vAlign w:val="center"/>
          </w:tcPr>
          <w:p w14:paraId="611FFC7D">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297</w:t>
            </w:r>
          </w:p>
        </w:tc>
        <w:tc>
          <w:tcPr>
            <w:tcW w:w="883" w:type="pct"/>
            <w:vAlign w:val="center"/>
          </w:tcPr>
          <w:p w14:paraId="72DE9337">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12.55</w:t>
            </w:r>
          </w:p>
        </w:tc>
        <w:tc>
          <w:tcPr>
            <w:tcW w:w="891" w:type="pct"/>
            <w:vAlign w:val="center"/>
          </w:tcPr>
          <w:p w14:paraId="2EF01FC9">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270</w:t>
            </w:r>
          </w:p>
        </w:tc>
      </w:tr>
      <w:tr w14:paraId="6FBCE88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62" w:hRule="atLeast"/>
        </w:trPr>
        <w:tc>
          <w:tcPr>
            <w:tcW w:w="635" w:type="pct"/>
            <w:vMerge w:val="continue"/>
            <w:vAlign w:val="center"/>
          </w:tcPr>
          <w:p w14:paraId="4A608C8B">
            <w:pPr>
              <w:spacing w:line="240" w:lineRule="auto"/>
              <w:ind w:firstLine="0" w:firstLineChars="0"/>
              <w:jc w:val="center"/>
              <w:rPr>
                <w:color w:val="000000" w:themeColor="text1"/>
                <w:kern w:val="0"/>
                <w:sz w:val="21"/>
                <w:szCs w:val="21"/>
                <w14:textFill>
                  <w14:solidFill>
                    <w14:schemeClr w14:val="tx1"/>
                  </w14:solidFill>
                </w14:textFill>
              </w:rPr>
            </w:pPr>
          </w:p>
        </w:tc>
        <w:tc>
          <w:tcPr>
            <w:tcW w:w="622" w:type="pct"/>
            <w:vAlign w:val="center"/>
          </w:tcPr>
          <w:p w14:paraId="39ACED91">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0.2H</w:t>
            </w:r>
          </w:p>
        </w:tc>
        <w:tc>
          <w:tcPr>
            <w:tcW w:w="1082" w:type="pct"/>
            <w:vAlign w:val="center"/>
          </w:tcPr>
          <w:p w14:paraId="3A4C181A">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8.67</w:t>
            </w:r>
          </w:p>
        </w:tc>
        <w:tc>
          <w:tcPr>
            <w:tcW w:w="885" w:type="pct"/>
            <w:vAlign w:val="center"/>
          </w:tcPr>
          <w:p w14:paraId="0F653BC5">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302</w:t>
            </w:r>
          </w:p>
        </w:tc>
        <w:tc>
          <w:tcPr>
            <w:tcW w:w="883" w:type="pct"/>
            <w:vAlign w:val="center"/>
          </w:tcPr>
          <w:p w14:paraId="06D01C59">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12.58</w:t>
            </w:r>
          </w:p>
        </w:tc>
        <w:tc>
          <w:tcPr>
            <w:tcW w:w="891" w:type="pct"/>
            <w:vAlign w:val="center"/>
          </w:tcPr>
          <w:p w14:paraId="6A96209A">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261</w:t>
            </w:r>
          </w:p>
        </w:tc>
      </w:tr>
      <w:tr w14:paraId="01A6F50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50" w:hRule="atLeast"/>
        </w:trPr>
        <w:tc>
          <w:tcPr>
            <w:tcW w:w="635" w:type="pct"/>
            <w:vMerge w:val="continue"/>
            <w:vAlign w:val="center"/>
          </w:tcPr>
          <w:p w14:paraId="324F46B2">
            <w:pPr>
              <w:spacing w:line="240" w:lineRule="auto"/>
              <w:ind w:firstLine="0" w:firstLineChars="0"/>
              <w:jc w:val="center"/>
              <w:rPr>
                <w:color w:val="000000" w:themeColor="text1"/>
                <w:kern w:val="0"/>
                <w:sz w:val="21"/>
                <w:szCs w:val="21"/>
                <w14:textFill>
                  <w14:solidFill>
                    <w14:schemeClr w14:val="tx1"/>
                  </w14:solidFill>
                </w14:textFill>
              </w:rPr>
            </w:pPr>
          </w:p>
        </w:tc>
        <w:tc>
          <w:tcPr>
            <w:tcW w:w="622" w:type="pct"/>
            <w:vAlign w:val="center"/>
          </w:tcPr>
          <w:p w14:paraId="756E833A">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0.4H</w:t>
            </w:r>
          </w:p>
        </w:tc>
        <w:tc>
          <w:tcPr>
            <w:tcW w:w="1082" w:type="pct"/>
            <w:vAlign w:val="center"/>
          </w:tcPr>
          <w:p w14:paraId="05E6B103">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8.41</w:t>
            </w:r>
          </w:p>
        </w:tc>
        <w:tc>
          <w:tcPr>
            <w:tcW w:w="885" w:type="pct"/>
            <w:vAlign w:val="center"/>
          </w:tcPr>
          <w:p w14:paraId="0D62282A">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301</w:t>
            </w:r>
          </w:p>
        </w:tc>
        <w:tc>
          <w:tcPr>
            <w:tcW w:w="883" w:type="pct"/>
            <w:vAlign w:val="center"/>
          </w:tcPr>
          <w:p w14:paraId="42B309E2">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13.43</w:t>
            </w:r>
          </w:p>
        </w:tc>
        <w:tc>
          <w:tcPr>
            <w:tcW w:w="891" w:type="pct"/>
            <w:vAlign w:val="center"/>
          </w:tcPr>
          <w:p w14:paraId="72CCDF45">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270</w:t>
            </w:r>
          </w:p>
        </w:tc>
      </w:tr>
      <w:tr w14:paraId="75ED723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51" w:hRule="atLeast"/>
        </w:trPr>
        <w:tc>
          <w:tcPr>
            <w:tcW w:w="635" w:type="pct"/>
            <w:vMerge w:val="continue"/>
            <w:vAlign w:val="center"/>
          </w:tcPr>
          <w:p w14:paraId="3F28E951">
            <w:pPr>
              <w:spacing w:line="240" w:lineRule="auto"/>
              <w:ind w:firstLine="0" w:firstLineChars="0"/>
              <w:jc w:val="center"/>
              <w:rPr>
                <w:color w:val="000000" w:themeColor="text1"/>
                <w:kern w:val="0"/>
                <w:sz w:val="21"/>
                <w:szCs w:val="21"/>
                <w14:textFill>
                  <w14:solidFill>
                    <w14:schemeClr w14:val="tx1"/>
                  </w14:solidFill>
                </w14:textFill>
              </w:rPr>
            </w:pPr>
          </w:p>
        </w:tc>
        <w:tc>
          <w:tcPr>
            <w:tcW w:w="622" w:type="pct"/>
            <w:vAlign w:val="center"/>
          </w:tcPr>
          <w:p w14:paraId="41945A45">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0.6H</w:t>
            </w:r>
          </w:p>
        </w:tc>
        <w:tc>
          <w:tcPr>
            <w:tcW w:w="1082" w:type="pct"/>
            <w:vAlign w:val="center"/>
          </w:tcPr>
          <w:p w14:paraId="5C9193E2">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5.64</w:t>
            </w:r>
          </w:p>
        </w:tc>
        <w:tc>
          <w:tcPr>
            <w:tcW w:w="885" w:type="pct"/>
            <w:vAlign w:val="center"/>
          </w:tcPr>
          <w:p w14:paraId="1D6F36BA">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328</w:t>
            </w:r>
          </w:p>
        </w:tc>
        <w:tc>
          <w:tcPr>
            <w:tcW w:w="883" w:type="pct"/>
            <w:vAlign w:val="center"/>
          </w:tcPr>
          <w:p w14:paraId="33A84D8C">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14.46</w:t>
            </w:r>
          </w:p>
        </w:tc>
        <w:tc>
          <w:tcPr>
            <w:tcW w:w="891" w:type="pct"/>
            <w:vAlign w:val="center"/>
          </w:tcPr>
          <w:p w14:paraId="05D1E8D8">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269</w:t>
            </w:r>
          </w:p>
        </w:tc>
      </w:tr>
      <w:tr w14:paraId="6F1B7C5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50" w:hRule="atLeast"/>
        </w:trPr>
        <w:tc>
          <w:tcPr>
            <w:tcW w:w="635" w:type="pct"/>
            <w:vMerge w:val="continue"/>
            <w:vAlign w:val="center"/>
          </w:tcPr>
          <w:p w14:paraId="6C16007F">
            <w:pPr>
              <w:spacing w:line="240" w:lineRule="auto"/>
              <w:ind w:firstLine="0" w:firstLineChars="0"/>
              <w:jc w:val="center"/>
              <w:rPr>
                <w:color w:val="000000" w:themeColor="text1"/>
                <w:kern w:val="0"/>
                <w:sz w:val="21"/>
                <w:szCs w:val="21"/>
                <w14:textFill>
                  <w14:solidFill>
                    <w14:schemeClr w14:val="tx1"/>
                  </w14:solidFill>
                </w14:textFill>
              </w:rPr>
            </w:pPr>
          </w:p>
        </w:tc>
        <w:tc>
          <w:tcPr>
            <w:tcW w:w="622" w:type="pct"/>
            <w:vAlign w:val="center"/>
          </w:tcPr>
          <w:p w14:paraId="607FB8CF">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0.8H</w:t>
            </w:r>
          </w:p>
        </w:tc>
        <w:tc>
          <w:tcPr>
            <w:tcW w:w="1082" w:type="pct"/>
            <w:vAlign w:val="center"/>
          </w:tcPr>
          <w:p w14:paraId="3596A0C8">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4.82</w:t>
            </w:r>
          </w:p>
        </w:tc>
        <w:tc>
          <w:tcPr>
            <w:tcW w:w="885" w:type="pct"/>
            <w:vAlign w:val="center"/>
          </w:tcPr>
          <w:p w14:paraId="73E4CA1B">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340</w:t>
            </w:r>
          </w:p>
        </w:tc>
        <w:tc>
          <w:tcPr>
            <w:tcW w:w="883" w:type="pct"/>
            <w:vAlign w:val="center"/>
          </w:tcPr>
          <w:p w14:paraId="56B82EA7">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14.32</w:t>
            </w:r>
          </w:p>
        </w:tc>
        <w:tc>
          <w:tcPr>
            <w:tcW w:w="891" w:type="pct"/>
            <w:vAlign w:val="center"/>
          </w:tcPr>
          <w:p w14:paraId="65C32231">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268</w:t>
            </w:r>
          </w:p>
        </w:tc>
      </w:tr>
      <w:tr w14:paraId="57CCEC9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51" w:hRule="atLeast"/>
        </w:trPr>
        <w:tc>
          <w:tcPr>
            <w:tcW w:w="635" w:type="pct"/>
            <w:vMerge w:val="continue"/>
            <w:vAlign w:val="center"/>
          </w:tcPr>
          <w:p w14:paraId="258C5411">
            <w:pPr>
              <w:spacing w:line="240" w:lineRule="auto"/>
              <w:ind w:firstLine="0" w:firstLineChars="0"/>
              <w:jc w:val="center"/>
              <w:rPr>
                <w:color w:val="000000" w:themeColor="text1"/>
                <w:kern w:val="0"/>
                <w:sz w:val="21"/>
                <w:szCs w:val="21"/>
                <w14:textFill>
                  <w14:solidFill>
                    <w14:schemeClr w14:val="tx1"/>
                  </w14:solidFill>
                </w14:textFill>
              </w:rPr>
            </w:pPr>
          </w:p>
        </w:tc>
        <w:tc>
          <w:tcPr>
            <w:tcW w:w="622" w:type="pct"/>
            <w:vAlign w:val="center"/>
          </w:tcPr>
          <w:p w14:paraId="525B1144">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底层</w:t>
            </w:r>
          </w:p>
        </w:tc>
        <w:tc>
          <w:tcPr>
            <w:tcW w:w="1082" w:type="pct"/>
            <w:vAlign w:val="center"/>
          </w:tcPr>
          <w:p w14:paraId="3F873C9B">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5.34</w:t>
            </w:r>
          </w:p>
        </w:tc>
        <w:tc>
          <w:tcPr>
            <w:tcW w:w="885" w:type="pct"/>
            <w:vAlign w:val="center"/>
          </w:tcPr>
          <w:p w14:paraId="47381C6E">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w:t>
            </w:r>
          </w:p>
        </w:tc>
        <w:tc>
          <w:tcPr>
            <w:tcW w:w="883" w:type="pct"/>
            <w:vAlign w:val="center"/>
          </w:tcPr>
          <w:p w14:paraId="0F485408">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14.25</w:t>
            </w:r>
          </w:p>
        </w:tc>
        <w:tc>
          <w:tcPr>
            <w:tcW w:w="891" w:type="pct"/>
            <w:vAlign w:val="center"/>
          </w:tcPr>
          <w:p w14:paraId="0A8BD875">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263</w:t>
            </w:r>
          </w:p>
        </w:tc>
      </w:tr>
      <w:tr w14:paraId="67B94BB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50" w:hRule="atLeast"/>
        </w:trPr>
        <w:tc>
          <w:tcPr>
            <w:tcW w:w="635" w:type="pct"/>
            <w:vMerge w:val="continue"/>
            <w:vAlign w:val="center"/>
          </w:tcPr>
          <w:p w14:paraId="2183A4A7">
            <w:pPr>
              <w:spacing w:line="240" w:lineRule="auto"/>
              <w:ind w:firstLine="0" w:firstLineChars="0"/>
              <w:jc w:val="center"/>
              <w:rPr>
                <w:color w:val="000000" w:themeColor="text1"/>
                <w:kern w:val="0"/>
                <w:sz w:val="21"/>
                <w:szCs w:val="21"/>
                <w14:textFill>
                  <w14:solidFill>
                    <w14:schemeClr w14:val="tx1"/>
                  </w14:solidFill>
                </w14:textFill>
              </w:rPr>
            </w:pPr>
          </w:p>
        </w:tc>
        <w:tc>
          <w:tcPr>
            <w:tcW w:w="622" w:type="pct"/>
            <w:vAlign w:val="center"/>
          </w:tcPr>
          <w:p w14:paraId="3F5D8730">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垂线</w:t>
            </w:r>
          </w:p>
        </w:tc>
        <w:tc>
          <w:tcPr>
            <w:tcW w:w="1082" w:type="pct"/>
            <w:vAlign w:val="center"/>
          </w:tcPr>
          <w:p w14:paraId="7709BA67">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6.79</w:t>
            </w:r>
          </w:p>
        </w:tc>
        <w:tc>
          <w:tcPr>
            <w:tcW w:w="885" w:type="pct"/>
            <w:vAlign w:val="center"/>
          </w:tcPr>
          <w:p w14:paraId="270F9802">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319</w:t>
            </w:r>
          </w:p>
        </w:tc>
        <w:tc>
          <w:tcPr>
            <w:tcW w:w="883" w:type="pct"/>
            <w:vAlign w:val="center"/>
          </w:tcPr>
          <w:p w14:paraId="5E8CA534">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15.03</w:t>
            </w:r>
          </w:p>
        </w:tc>
        <w:tc>
          <w:tcPr>
            <w:tcW w:w="891" w:type="pct"/>
            <w:vAlign w:val="center"/>
          </w:tcPr>
          <w:p w14:paraId="73E2DDC8">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267</w:t>
            </w:r>
          </w:p>
        </w:tc>
      </w:tr>
      <w:tr w14:paraId="6512EC5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50" w:hRule="atLeast"/>
        </w:trPr>
        <w:tc>
          <w:tcPr>
            <w:tcW w:w="635" w:type="pct"/>
            <w:vMerge w:val="restart"/>
            <w:vAlign w:val="center"/>
          </w:tcPr>
          <w:p w14:paraId="75C9D71C">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V3</w:t>
            </w:r>
          </w:p>
        </w:tc>
        <w:tc>
          <w:tcPr>
            <w:tcW w:w="622" w:type="pct"/>
            <w:vAlign w:val="center"/>
          </w:tcPr>
          <w:p w14:paraId="10B9F09B">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表层</w:t>
            </w:r>
          </w:p>
        </w:tc>
        <w:tc>
          <w:tcPr>
            <w:tcW w:w="1082" w:type="pct"/>
            <w:vAlign w:val="center"/>
          </w:tcPr>
          <w:p w14:paraId="3DD74506">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27.32</w:t>
            </w:r>
          </w:p>
        </w:tc>
        <w:tc>
          <w:tcPr>
            <w:tcW w:w="885" w:type="pct"/>
            <w:vAlign w:val="center"/>
          </w:tcPr>
          <w:p w14:paraId="28063E3D">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264</w:t>
            </w:r>
          </w:p>
        </w:tc>
        <w:tc>
          <w:tcPr>
            <w:tcW w:w="883" w:type="pct"/>
            <w:vAlign w:val="center"/>
          </w:tcPr>
          <w:p w14:paraId="62EDFA14">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21.29</w:t>
            </w:r>
          </w:p>
        </w:tc>
        <w:tc>
          <w:tcPr>
            <w:tcW w:w="891" w:type="pct"/>
            <w:vAlign w:val="center"/>
          </w:tcPr>
          <w:p w14:paraId="21E9AC4C">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261</w:t>
            </w:r>
          </w:p>
        </w:tc>
      </w:tr>
      <w:tr w14:paraId="28F158F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51" w:hRule="atLeast"/>
        </w:trPr>
        <w:tc>
          <w:tcPr>
            <w:tcW w:w="635" w:type="pct"/>
            <w:vMerge w:val="continue"/>
            <w:vAlign w:val="center"/>
          </w:tcPr>
          <w:p w14:paraId="6934FCC8">
            <w:pPr>
              <w:spacing w:line="240" w:lineRule="auto"/>
              <w:ind w:firstLine="0" w:firstLineChars="0"/>
              <w:jc w:val="center"/>
              <w:rPr>
                <w:color w:val="000000" w:themeColor="text1"/>
                <w:kern w:val="0"/>
                <w:sz w:val="21"/>
                <w:szCs w:val="21"/>
                <w14:textFill>
                  <w14:solidFill>
                    <w14:schemeClr w14:val="tx1"/>
                  </w14:solidFill>
                </w14:textFill>
              </w:rPr>
            </w:pPr>
          </w:p>
        </w:tc>
        <w:tc>
          <w:tcPr>
            <w:tcW w:w="622" w:type="pct"/>
            <w:vAlign w:val="center"/>
          </w:tcPr>
          <w:p w14:paraId="64F7312A">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0.2H</w:t>
            </w:r>
          </w:p>
        </w:tc>
        <w:tc>
          <w:tcPr>
            <w:tcW w:w="1082" w:type="pct"/>
            <w:vAlign w:val="center"/>
          </w:tcPr>
          <w:p w14:paraId="50AFEBEC">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24.34</w:t>
            </w:r>
          </w:p>
        </w:tc>
        <w:tc>
          <w:tcPr>
            <w:tcW w:w="885" w:type="pct"/>
            <w:vAlign w:val="center"/>
          </w:tcPr>
          <w:p w14:paraId="2486C820">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257</w:t>
            </w:r>
          </w:p>
        </w:tc>
        <w:tc>
          <w:tcPr>
            <w:tcW w:w="883" w:type="pct"/>
            <w:vAlign w:val="center"/>
          </w:tcPr>
          <w:p w14:paraId="1031534F">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19.88</w:t>
            </w:r>
          </w:p>
        </w:tc>
        <w:tc>
          <w:tcPr>
            <w:tcW w:w="891" w:type="pct"/>
            <w:vAlign w:val="center"/>
          </w:tcPr>
          <w:p w14:paraId="15957A39">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262</w:t>
            </w:r>
          </w:p>
        </w:tc>
      </w:tr>
      <w:tr w14:paraId="46111A5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50" w:hRule="atLeast"/>
        </w:trPr>
        <w:tc>
          <w:tcPr>
            <w:tcW w:w="635" w:type="pct"/>
            <w:vMerge w:val="continue"/>
            <w:vAlign w:val="center"/>
          </w:tcPr>
          <w:p w14:paraId="54D27A3D">
            <w:pPr>
              <w:spacing w:line="240" w:lineRule="auto"/>
              <w:ind w:firstLine="0" w:firstLineChars="0"/>
              <w:jc w:val="center"/>
              <w:rPr>
                <w:color w:val="000000" w:themeColor="text1"/>
                <w:kern w:val="0"/>
                <w:sz w:val="21"/>
                <w:szCs w:val="21"/>
                <w14:textFill>
                  <w14:solidFill>
                    <w14:schemeClr w14:val="tx1"/>
                  </w14:solidFill>
                </w14:textFill>
              </w:rPr>
            </w:pPr>
          </w:p>
        </w:tc>
        <w:tc>
          <w:tcPr>
            <w:tcW w:w="622" w:type="pct"/>
            <w:vAlign w:val="center"/>
          </w:tcPr>
          <w:p w14:paraId="7C48D5F1">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0.4H</w:t>
            </w:r>
          </w:p>
        </w:tc>
        <w:tc>
          <w:tcPr>
            <w:tcW w:w="1082" w:type="pct"/>
            <w:vAlign w:val="center"/>
          </w:tcPr>
          <w:p w14:paraId="6086646E">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22.08</w:t>
            </w:r>
          </w:p>
        </w:tc>
        <w:tc>
          <w:tcPr>
            <w:tcW w:w="885" w:type="pct"/>
            <w:vAlign w:val="center"/>
          </w:tcPr>
          <w:p w14:paraId="31BEBAD2">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260</w:t>
            </w:r>
          </w:p>
        </w:tc>
        <w:tc>
          <w:tcPr>
            <w:tcW w:w="883" w:type="pct"/>
            <w:vAlign w:val="center"/>
          </w:tcPr>
          <w:p w14:paraId="3EBD0A15">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18.27</w:t>
            </w:r>
          </w:p>
        </w:tc>
        <w:tc>
          <w:tcPr>
            <w:tcW w:w="891" w:type="pct"/>
            <w:vAlign w:val="center"/>
          </w:tcPr>
          <w:p w14:paraId="5121479C">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266</w:t>
            </w:r>
          </w:p>
        </w:tc>
      </w:tr>
      <w:tr w14:paraId="4FA0598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51" w:hRule="atLeast"/>
        </w:trPr>
        <w:tc>
          <w:tcPr>
            <w:tcW w:w="635" w:type="pct"/>
            <w:vMerge w:val="continue"/>
            <w:vAlign w:val="center"/>
          </w:tcPr>
          <w:p w14:paraId="4FDAAC81">
            <w:pPr>
              <w:spacing w:line="240" w:lineRule="auto"/>
              <w:ind w:firstLine="0" w:firstLineChars="0"/>
              <w:jc w:val="center"/>
              <w:rPr>
                <w:color w:val="000000" w:themeColor="text1"/>
                <w:kern w:val="0"/>
                <w:sz w:val="21"/>
                <w:szCs w:val="21"/>
                <w14:textFill>
                  <w14:solidFill>
                    <w14:schemeClr w14:val="tx1"/>
                  </w14:solidFill>
                </w14:textFill>
              </w:rPr>
            </w:pPr>
          </w:p>
        </w:tc>
        <w:tc>
          <w:tcPr>
            <w:tcW w:w="622" w:type="pct"/>
            <w:vAlign w:val="center"/>
          </w:tcPr>
          <w:p w14:paraId="21D10251">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0.6H</w:t>
            </w:r>
          </w:p>
        </w:tc>
        <w:tc>
          <w:tcPr>
            <w:tcW w:w="1082" w:type="pct"/>
            <w:vAlign w:val="center"/>
          </w:tcPr>
          <w:p w14:paraId="0CA2E555">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18.68</w:t>
            </w:r>
          </w:p>
        </w:tc>
        <w:tc>
          <w:tcPr>
            <w:tcW w:w="885" w:type="pct"/>
            <w:vAlign w:val="center"/>
          </w:tcPr>
          <w:p w14:paraId="5E23100B">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256</w:t>
            </w:r>
          </w:p>
        </w:tc>
        <w:tc>
          <w:tcPr>
            <w:tcW w:w="883" w:type="pct"/>
            <w:vAlign w:val="center"/>
          </w:tcPr>
          <w:p w14:paraId="0EA7F46F">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15.11</w:t>
            </w:r>
          </w:p>
        </w:tc>
        <w:tc>
          <w:tcPr>
            <w:tcW w:w="891" w:type="pct"/>
            <w:vAlign w:val="center"/>
          </w:tcPr>
          <w:p w14:paraId="4B635E5E">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262</w:t>
            </w:r>
          </w:p>
        </w:tc>
      </w:tr>
      <w:tr w14:paraId="48912FA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50" w:hRule="atLeast"/>
        </w:trPr>
        <w:tc>
          <w:tcPr>
            <w:tcW w:w="635" w:type="pct"/>
            <w:vMerge w:val="continue"/>
            <w:vAlign w:val="center"/>
          </w:tcPr>
          <w:p w14:paraId="05D2D7C5">
            <w:pPr>
              <w:spacing w:line="240" w:lineRule="auto"/>
              <w:ind w:firstLine="0" w:firstLineChars="0"/>
              <w:jc w:val="center"/>
              <w:rPr>
                <w:color w:val="000000" w:themeColor="text1"/>
                <w:kern w:val="0"/>
                <w:sz w:val="21"/>
                <w:szCs w:val="21"/>
                <w14:textFill>
                  <w14:solidFill>
                    <w14:schemeClr w14:val="tx1"/>
                  </w14:solidFill>
                </w14:textFill>
              </w:rPr>
            </w:pPr>
          </w:p>
        </w:tc>
        <w:tc>
          <w:tcPr>
            <w:tcW w:w="622" w:type="pct"/>
            <w:vAlign w:val="center"/>
          </w:tcPr>
          <w:p w14:paraId="5A6A2156">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0.8H</w:t>
            </w:r>
          </w:p>
        </w:tc>
        <w:tc>
          <w:tcPr>
            <w:tcW w:w="1082" w:type="pct"/>
            <w:vAlign w:val="center"/>
          </w:tcPr>
          <w:p w14:paraId="48ABAE09">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14.07</w:t>
            </w:r>
          </w:p>
        </w:tc>
        <w:tc>
          <w:tcPr>
            <w:tcW w:w="885" w:type="pct"/>
            <w:vAlign w:val="center"/>
          </w:tcPr>
          <w:p w14:paraId="13F46160">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248</w:t>
            </w:r>
          </w:p>
        </w:tc>
        <w:tc>
          <w:tcPr>
            <w:tcW w:w="883" w:type="pct"/>
            <w:vAlign w:val="center"/>
          </w:tcPr>
          <w:p w14:paraId="60843398">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11.81</w:t>
            </w:r>
          </w:p>
        </w:tc>
        <w:tc>
          <w:tcPr>
            <w:tcW w:w="891" w:type="pct"/>
            <w:vAlign w:val="center"/>
          </w:tcPr>
          <w:p w14:paraId="28FF864E">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261</w:t>
            </w:r>
          </w:p>
        </w:tc>
      </w:tr>
      <w:tr w14:paraId="4D696A3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50" w:hRule="atLeast"/>
        </w:trPr>
        <w:tc>
          <w:tcPr>
            <w:tcW w:w="635" w:type="pct"/>
            <w:vMerge w:val="continue"/>
            <w:vAlign w:val="center"/>
          </w:tcPr>
          <w:p w14:paraId="16888476">
            <w:pPr>
              <w:spacing w:line="240" w:lineRule="auto"/>
              <w:ind w:firstLine="0" w:firstLineChars="0"/>
              <w:jc w:val="center"/>
              <w:rPr>
                <w:color w:val="000000" w:themeColor="text1"/>
                <w:kern w:val="0"/>
                <w:sz w:val="21"/>
                <w:szCs w:val="21"/>
                <w14:textFill>
                  <w14:solidFill>
                    <w14:schemeClr w14:val="tx1"/>
                  </w14:solidFill>
                </w14:textFill>
              </w:rPr>
            </w:pPr>
          </w:p>
        </w:tc>
        <w:tc>
          <w:tcPr>
            <w:tcW w:w="622" w:type="pct"/>
            <w:vAlign w:val="center"/>
          </w:tcPr>
          <w:p w14:paraId="02786A0E">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底层</w:t>
            </w:r>
          </w:p>
        </w:tc>
        <w:tc>
          <w:tcPr>
            <w:tcW w:w="1082" w:type="pct"/>
            <w:vAlign w:val="center"/>
          </w:tcPr>
          <w:p w14:paraId="19D69E2A">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12.53</w:t>
            </w:r>
          </w:p>
        </w:tc>
        <w:tc>
          <w:tcPr>
            <w:tcW w:w="885" w:type="pct"/>
            <w:vAlign w:val="center"/>
          </w:tcPr>
          <w:p w14:paraId="6822036E">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253</w:t>
            </w:r>
          </w:p>
        </w:tc>
        <w:tc>
          <w:tcPr>
            <w:tcW w:w="883" w:type="pct"/>
            <w:vAlign w:val="center"/>
          </w:tcPr>
          <w:p w14:paraId="019C1AF0">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12.03</w:t>
            </w:r>
          </w:p>
        </w:tc>
        <w:tc>
          <w:tcPr>
            <w:tcW w:w="891" w:type="pct"/>
            <w:vAlign w:val="center"/>
          </w:tcPr>
          <w:p w14:paraId="7C406505">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257</w:t>
            </w:r>
          </w:p>
        </w:tc>
      </w:tr>
      <w:tr w14:paraId="09A117C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51" w:hRule="atLeast"/>
        </w:trPr>
        <w:tc>
          <w:tcPr>
            <w:tcW w:w="635" w:type="pct"/>
            <w:vMerge w:val="continue"/>
            <w:vAlign w:val="center"/>
          </w:tcPr>
          <w:p w14:paraId="06910649">
            <w:pPr>
              <w:spacing w:line="240" w:lineRule="auto"/>
              <w:ind w:firstLine="0" w:firstLineChars="0"/>
              <w:jc w:val="center"/>
              <w:rPr>
                <w:color w:val="000000" w:themeColor="text1"/>
                <w:kern w:val="0"/>
                <w:sz w:val="21"/>
                <w:szCs w:val="21"/>
                <w14:textFill>
                  <w14:solidFill>
                    <w14:schemeClr w14:val="tx1"/>
                  </w14:solidFill>
                </w14:textFill>
              </w:rPr>
            </w:pPr>
          </w:p>
        </w:tc>
        <w:tc>
          <w:tcPr>
            <w:tcW w:w="622" w:type="pct"/>
            <w:vAlign w:val="center"/>
          </w:tcPr>
          <w:p w14:paraId="5985CA90">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垂线</w:t>
            </w:r>
          </w:p>
        </w:tc>
        <w:tc>
          <w:tcPr>
            <w:tcW w:w="1082" w:type="pct"/>
            <w:vAlign w:val="center"/>
          </w:tcPr>
          <w:p w14:paraId="4DC8A664">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21.01</w:t>
            </w:r>
          </w:p>
        </w:tc>
        <w:tc>
          <w:tcPr>
            <w:tcW w:w="885" w:type="pct"/>
            <w:vAlign w:val="center"/>
          </w:tcPr>
          <w:p w14:paraId="186911F5">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257</w:t>
            </w:r>
          </w:p>
        </w:tc>
        <w:tc>
          <w:tcPr>
            <w:tcW w:w="883" w:type="pct"/>
            <w:vAlign w:val="center"/>
          </w:tcPr>
          <w:p w14:paraId="6319125A">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17.53</w:t>
            </w:r>
          </w:p>
        </w:tc>
        <w:tc>
          <w:tcPr>
            <w:tcW w:w="891" w:type="pct"/>
            <w:vAlign w:val="center"/>
          </w:tcPr>
          <w:p w14:paraId="1EDC9D7B">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262</w:t>
            </w:r>
          </w:p>
        </w:tc>
      </w:tr>
      <w:tr w14:paraId="1596FC2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50" w:hRule="atLeast"/>
        </w:trPr>
        <w:tc>
          <w:tcPr>
            <w:tcW w:w="635" w:type="pct"/>
            <w:vMerge w:val="restart"/>
            <w:vAlign w:val="center"/>
          </w:tcPr>
          <w:p w14:paraId="4815874F">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V4</w:t>
            </w:r>
          </w:p>
        </w:tc>
        <w:tc>
          <w:tcPr>
            <w:tcW w:w="622" w:type="pct"/>
            <w:vAlign w:val="center"/>
          </w:tcPr>
          <w:p w14:paraId="72943D84">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表层</w:t>
            </w:r>
          </w:p>
        </w:tc>
        <w:tc>
          <w:tcPr>
            <w:tcW w:w="1082" w:type="pct"/>
            <w:vAlign w:val="center"/>
          </w:tcPr>
          <w:p w14:paraId="21A8B4A7">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17.02</w:t>
            </w:r>
          </w:p>
        </w:tc>
        <w:tc>
          <w:tcPr>
            <w:tcW w:w="885" w:type="pct"/>
            <w:vAlign w:val="center"/>
          </w:tcPr>
          <w:p w14:paraId="55CB7019">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242</w:t>
            </w:r>
          </w:p>
        </w:tc>
        <w:tc>
          <w:tcPr>
            <w:tcW w:w="883" w:type="pct"/>
            <w:vAlign w:val="center"/>
          </w:tcPr>
          <w:p w14:paraId="0FE3E879">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10.48</w:t>
            </w:r>
          </w:p>
        </w:tc>
        <w:tc>
          <w:tcPr>
            <w:tcW w:w="891" w:type="pct"/>
            <w:vAlign w:val="center"/>
          </w:tcPr>
          <w:p w14:paraId="1BE29DCC">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310</w:t>
            </w:r>
          </w:p>
        </w:tc>
      </w:tr>
      <w:tr w14:paraId="6B7F4A2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50" w:hRule="atLeast"/>
        </w:trPr>
        <w:tc>
          <w:tcPr>
            <w:tcW w:w="635" w:type="pct"/>
            <w:vMerge w:val="continue"/>
            <w:vAlign w:val="center"/>
          </w:tcPr>
          <w:p w14:paraId="3AEED510">
            <w:pPr>
              <w:spacing w:line="240" w:lineRule="auto"/>
              <w:ind w:firstLine="0" w:firstLineChars="0"/>
              <w:jc w:val="center"/>
              <w:rPr>
                <w:color w:val="000000" w:themeColor="text1"/>
                <w:kern w:val="0"/>
                <w:sz w:val="21"/>
                <w:szCs w:val="21"/>
                <w14:textFill>
                  <w14:solidFill>
                    <w14:schemeClr w14:val="tx1"/>
                  </w14:solidFill>
                </w14:textFill>
              </w:rPr>
            </w:pPr>
          </w:p>
        </w:tc>
        <w:tc>
          <w:tcPr>
            <w:tcW w:w="622" w:type="pct"/>
            <w:vAlign w:val="center"/>
          </w:tcPr>
          <w:p w14:paraId="704BC221">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0.6H</w:t>
            </w:r>
          </w:p>
        </w:tc>
        <w:tc>
          <w:tcPr>
            <w:tcW w:w="1082" w:type="pct"/>
            <w:vAlign w:val="center"/>
          </w:tcPr>
          <w:p w14:paraId="50C05223">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16.14</w:t>
            </w:r>
          </w:p>
        </w:tc>
        <w:tc>
          <w:tcPr>
            <w:tcW w:w="885" w:type="pct"/>
            <w:vAlign w:val="center"/>
          </w:tcPr>
          <w:p w14:paraId="3514A65F">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228</w:t>
            </w:r>
          </w:p>
        </w:tc>
        <w:tc>
          <w:tcPr>
            <w:tcW w:w="883" w:type="pct"/>
            <w:vAlign w:val="center"/>
          </w:tcPr>
          <w:p w14:paraId="7E517E0C">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4.51</w:t>
            </w:r>
          </w:p>
        </w:tc>
        <w:tc>
          <w:tcPr>
            <w:tcW w:w="891" w:type="pct"/>
            <w:vAlign w:val="center"/>
          </w:tcPr>
          <w:p w14:paraId="08D13FE2">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281</w:t>
            </w:r>
          </w:p>
        </w:tc>
      </w:tr>
      <w:tr w14:paraId="35D1721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51" w:hRule="atLeast"/>
        </w:trPr>
        <w:tc>
          <w:tcPr>
            <w:tcW w:w="635" w:type="pct"/>
            <w:vMerge w:val="continue"/>
            <w:vAlign w:val="center"/>
          </w:tcPr>
          <w:p w14:paraId="32973DD4">
            <w:pPr>
              <w:spacing w:line="240" w:lineRule="auto"/>
              <w:ind w:firstLine="0" w:firstLineChars="0"/>
              <w:jc w:val="center"/>
              <w:rPr>
                <w:color w:val="000000" w:themeColor="text1"/>
                <w:kern w:val="0"/>
                <w:sz w:val="21"/>
                <w:szCs w:val="21"/>
                <w14:textFill>
                  <w14:solidFill>
                    <w14:schemeClr w14:val="tx1"/>
                  </w14:solidFill>
                </w14:textFill>
              </w:rPr>
            </w:pPr>
          </w:p>
        </w:tc>
        <w:tc>
          <w:tcPr>
            <w:tcW w:w="622" w:type="pct"/>
            <w:vAlign w:val="center"/>
          </w:tcPr>
          <w:p w14:paraId="65D9E9B8">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底层</w:t>
            </w:r>
          </w:p>
        </w:tc>
        <w:tc>
          <w:tcPr>
            <w:tcW w:w="1082" w:type="pct"/>
            <w:vAlign w:val="center"/>
          </w:tcPr>
          <w:p w14:paraId="0F34BFF8">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17.33</w:t>
            </w:r>
          </w:p>
        </w:tc>
        <w:tc>
          <w:tcPr>
            <w:tcW w:w="885" w:type="pct"/>
            <w:vAlign w:val="center"/>
          </w:tcPr>
          <w:p w14:paraId="38E2A5BA">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227</w:t>
            </w:r>
          </w:p>
        </w:tc>
        <w:tc>
          <w:tcPr>
            <w:tcW w:w="883" w:type="pct"/>
            <w:vAlign w:val="center"/>
          </w:tcPr>
          <w:p w14:paraId="574E450F">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3.74</w:t>
            </w:r>
          </w:p>
        </w:tc>
        <w:tc>
          <w:tcPr>
            <w:tcW w:w="891" w:type="pct"/>
            <w:vAlign w:val="center"/>
          </w:tcPr>
          <w:p w14:paraId="6D10BC71">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270</w:t>
            </w:r>
          </w:p>
        </w:tc>
      </w:tr>
      <w:tr w14:paraId="32AD85F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50" w:hRule="atLeast"/>
        </w:trPr>
        <w:tc>
          <w:tcPr>
            <w:tcW w:w="635" w:type="pct"/>
            <w:vMerge w:val="continue"/>
            <w:vAlign w:val="center"/>
          </w:tcPr>
          <w:p w14:paraId="055CA83A">
            <w:pPr>
              <w:spacing w:line="240" w:lineRule="auto"/>
              <w:ind w:firstLine="0" w:firstLineChars="0"/>
              <w:jc w:val="center"/>
              <w:rPr>
                <w:color w:val="000000" w:themeColor="text1"/>
                <w:kern w:val="0"/>
                <w:sz w:val="21"/>
                <w:szCs w:val="21"/>
                <w14:textFill>
                  <w14:solidFill>
                    <w14:schemeClr w14:val="tx1"/>
                  </w14:solidFill>
                </w14:textFill>
              </w:rPr>
            </w:pPr>
          </w:p>
        </w:tc>
        <w:tc>
          <w:tcPr>
            <w:tcW w:w="622" w:type="pct"/>
            <w:vAlign w:val="center"/>
          </w:tcPr>
          <w:p w14:paraId="575159D2">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垂线</w:t>
            </w:r>
          </w:p>
        </w:tc>
        <w:tc>
          <w:tcPr>
            <w:tcW w:w="1082" w:type="pct"/>
            <w:vAlign w:val="center"/>
          </w:tcPr>
          <w:p w14:paraId="5705FC7B">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16.70</w:t>
            </w:r>
          </w:p>
        </w:tc>
        <w:tc>
          <w:tcPr>
            <w:tcW w:w="885" w:type="pct"/>
            <w:vAlign w:val="center"/>
          </w:tcPr>
          <w:p w14:paraId="635D8615">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232</w:t>
            </w:r>
          </w:p>
        </w:tc>
        <w:tc>
          <w:tcPr>
            <w:tcW w:w="883" w:type="pct"/>
            <w:vAlign w:val="center"/>
          </w:tcPr>
          <w:p w14:paraId="281DBDD2">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5.96</w:t>
            </w:r>
          </w:p>
        </w:tc>
        <w:tc>
          <w:tcPr>
            <w:tcW w:w="891" w:type="pct"/>
            <w:vAlign w:val="center"/>
          </w:tcPr>
          <w:p w14:paraId="3565E16C">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295</w:t>
            </w:r>
          </w:p>
        </w:tc>
      </w:tr>
      <w:tr w14:paraId="6B63CC0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51" w:hRule="atLeast"/>
        </w:trPr>
        <w:tc>
          <w:tcPr>
            <w:tcW w:w="635" w:type="pct"/>
            <w:vMerge w:val="restart"/>
            <w:vAlign w:val="center"/>
          </w:tcPr>
          <w:p w14:paraId="43066F2B">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V5</w:t>
            </w:r>
          </w:p>
        </w:tc>
        <w:tc>
          <w:tcPr>
            <w:tcW w:w="622" w:type="pct"/>
            <w:vAlign w:val="center"/>
          </w:tcPr>
          <w:p w14:paraId="763EF4C2">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表层</w:t>
            </w:r>
          </w:p>
        </w:tc>
        <w:tc>
          <w:tcPr>
            <w:tcW w:w="1082" w:type="pct"/>
            <w:vAlign w:val="center"/>
          </w:tcPr>
          <w:p w14:paraId="52A0271A">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7.61</w:t>
            </w:r>
          </w:p>
        </w:tc>
        <w:tc>
          <w:tcPr>
            <w:tcW w:w="885" w:type="pct"/>
            <w:vAlign w:val="center"/>
          </w:tcPr>
          <w:p w14:paraId="7543955A">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111</w:t>
            </w:r>
          </w:p>
        </w:tc>
        <w:tc>
          <w:tcPr>
            <w:tcW w:w="883" w:type="pct"/>
            <w:vAlign w:val="center"/>
          </w:tcPr>
          <w:p w14:paraId="2CACEA16">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2.20</w:t>
            </w:r>
          </w:p>
        </w:tc>
        <w:tc>
          <w:tcPr>
            <w:tcW w:w="891" w:type="pct"/>
            <w:vAlign w:val="center"/>
          </w:tcPr>
          <w:p w14:paraId="27FD0EA8">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253</w:t>
            </w:r>
          </w:p>
        </w:tc>
      </w:tr>
      <w:tr w14:paraId="5771C5E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50" w:hRule="atLeast"/>
        </w:trPr>
        <w:tc>
          <w:tcPr>
            <w:tcW w:w="635" w:type="pct"/>
            <w:vMerge w:val="continue"/>
            <w:vAlign w:val="center"/>
          </w:tcPr>
          <w:p w14:paraId="1C686789">
            <w:pPr>
              <w:spacing w:line="240" w:lineRule="auto"/>
              <w:ind w:firstLine="0" w:firstLineChars="0"/>
              <w:jc w:val="center"/>
              <w:rPr>
                <w:color w:val="000000" w:themeColor="text1"/>
                <w:kern w:val="0"/>
                <w:sz w:val="21"/>
                <w:szCs w:val="21"/>
                <w14:textFill>
                  <w14:solidFill>
                    <w14:schemeClr w14:val="tx1"/>
                  </w14:solidFill>
                </w14:textFill>
              </w:rPr>
            </w:pPr>
          </w:p>
        </w:tc>
        <w:tc>
          <w:tcPr>
            <w:tcW w:w="622" w:type="pct"/>
            <w:vAlign w:val="center"/>
          </w:tcPr>
          <w:p w14:paraId="146F2FC8">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0.2H</w:t>
            </w:r>
          </w:p>
        </w:tc>
        <w:tc>
          <w:tcPr>
            <w:tcW w:w="1082" w:type="pct"/>
            <w:vAlign w:val="center"/>
          </w:tcPr>
          <w:p w14:paraId="1D0DF504">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6.88</w:t>
            </w:r>
          </w:p>
        </w:tc>
        <w:tc>
          <w:tcPr>
            <w:tcW w:w="885" w:type="pct"/>
            <w:vAlign w:val="center"/>
          </w:tcPr>
          <w:p w14:paraId="6BE24CF0">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65</w:t>
            </w:r>
          </w:p>
        </w:tc>
        <w:tc>
          <w:tcPr>
            <w:tcW w:w="883" w:type="pct"/>
            <w:vAlign w:val="center"/>
          </w:tcPr>
          <w:p w14:paraId="76E4F834">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4.43</w:t>
            </w:r>
          </w:p>
        </w:tc>
        <w:tc>
          <w:tcPr>
            <w:tcW w:w="891" w:type="pct"/>
            <w:vAlign w:val="center"/>
          </w:tcPr>
          <w:p w14:paraId="5A214B1C">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260</w:t>
            </w:r>
          </w:p>
        </w:tc>
      </w:tr>
      <w:tr w14:paraId="346E384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50" w:hRule="atLeast"/>
        </w:trPr>
        <w:tc>
          <w:tcPr>
            <w:tcW w:w="635" w:type="pct"/>
            <w:vMerge w:val="continue"/>
            <w:vAlign w:val="center"/>
          </w:tcPr>
          <w:p w14:paraId="51A9E03F">
            <w:pPr>
              <w:spacing w:line="240" w:lineRule="auto"/>
              <w:ind w:firstLine="0" w:firstLineChars="0"/>
              <w:jc w:val="center"/>
              <w:rPr>
                <w:color w:val="000000" w:themeColor="text1"/>
                <w:kern w:val="0"/>
                <w:sz w:val="21"/>
                <w:szCs w:val="21"/>
                <w14:textFill>
                  <w14:solidFill>
                    <w14:schemeClr w14:val="tx1"/>
                  </w14:solidFill>
                </w14:textFill>
              </w:rPr>
            </w:pPr>
          </w:p>
        </w:tc>
        <w:tc>
          <w:tcPr>
            <w:tcW w:w="622" w:type="pct"/>
            <w:vAlign w:val="center"/>
          </w:tcPr>
          <w:p w14:paraId="191BE88A">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0.4H</w:t>
            </w:r>
          </w:p>
        </w:tc>
        <w:tc>
          <w:tcPr>
            <w:tcW w:w="1082" w:type="pct"/>
            <w:vAlign w:val="center"/>
          </w:tcPr>
          <w:p w14:paraId="451520EC">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1.32</w:t>
            </w:r>
          </w:p>
        </w:tc>
        <w:tc>
          <w:tcPr>
            <w:tcW w:w="885" w:type="pct"/>
            <w:vAlign w:val="center"/>
          </w:tcPr>
          <w:p w14:paraId="29A44E02">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77</w:t>
            </w:r>
          </w:p>
        </w:tc>
        <w:tc>
          <w:tcPr>
            <w:tcW w:w="883" w:type="pct"/>
            <w:vAlign w:val="center"/>
          </w:tcPr>
          <w:p w14:paraId="710534EA">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4.50</w:t>
            </w:r>
          </w:p>
        </w:tc>
        <w:tc>
          <w:tcPr>
            <w:tcW w:w="891" w:type="pct"/>
            <w:vAlign w:val="center"/>
          </w:tcPr>
          <w:p w14:paraId="6E8559A2">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271</w:t>
            </w:r>
          </w:p>
        </w:tc>
      </w:tr>
      <w:tr w14:paraId="67BFDD4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51" w:hRule="atLeast"/>
        </w:trPr>
        <w:tc>
          <w:tcPr>
            <w:tcW w:w="635" w:type="pct"/>
            <w:vMerge w:val="continue"/>
            <w:vAlign w:val="center"/>
          </w:tcPr>
          <w:p w14:paraId="11224782">
            <w:pPr>
              <w:spacing w:line="240" w:lineRule="auto"/>
              <w:ind w:firstLine="0" w:firstLineChars="0"/>
              <w:jc w:val="center"/>
              <w:rPr>
                <w:color w:val="000000" w:themeColor="text1"/>
                <w:kern w:val="0"/>
                <w:sz w:val="21"/>
                <w:szCs w:val="21"/>
                <w14:textFill>
                  <w14:solidFill>
                    <w14:schemeClr w14:val="tx1"/>
                  </w14:solidFill>
                </w14:textFill>
              </w:rPr>
            </w:pPr>
          </w:p>
        </w:tc>
        <w:tc>
          <w:tcPr>
            <w:tcW w:w="622" w:type="pct"/>
            <w:vAlign w:val="center"/>
          </w:tcPr>
          <w:p w14:paraId="77E6D10D">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0.6H</w:t>
            </w:r>
          </w:p>
        </w:tc>
        <w:tc>
          <w:tcPr>
            <w:tcW w:w="1082" w:type="pct"/>
            <w:vAlign w:val="center"/>
          </w:tcPr>
          <w:p w14:paraId="0DC5C062">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1.75</w:t>
            </w:r>
          </w:p>
        </w:tc>
        <w:tc>
          <w:tcPr>
            <w:tcW w:w="885" w:type="pct"/>
            <w:vAlign w:val="center"/>
          </w:tcPr>
          <w:p w14:paraId="19254BC0">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87</w:t>
            </w:r>
          </w:p>
        </w:tc>
        <w:tc>
          <w:tcPr>
            <w:tcW w:w="883" w:type="pct"/>
            <w:vAlign w:val="center"/>
          </w:tcPr>
          <w:p w14:paraId="18498500">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3.24</w:t>
            </w:r>
          </w:p>
        </w:tc>
        <w:tc>
          <w:tcPr>
            <w:tcW w:w="891" w:type="pct"/>
            <w:vAlign w:val="center"/>
          </w:tcPr>
          <w:p w14:paraId="3866F44B">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294</w:t>
            </w:r>
          </w:p>
        </w:tc>
      </w:tr>
      <w:tr w14:paraId="06F6BA2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50" w:hRule="atLeast"/>
        </w:trPr>
        <w:tc>
          <w:tcPr>
            <w:tcW w:w="635" w:type="pct"/>
            <w:vMerge w:val="continue"/>
            <w:vAlign w:val="center"/>
          </w:tcPr>
          <w:p w14:paraId="48EBB14E">
            <w:pPr>
              <w:spacing w:line="240" w:lineRule="auto"/>
              <w:ind w:firstLine="0" w:firstLineChars="0"/>
              <w:jc w:val="center"/>
              <w:rPr>
                <w:color w:val="000000" w:themeColor="text1"/>
                <w:kern w:val="0"/>
                <w:sz w:val="21"/>
                <w:szCs w:val="21"/>
                <w14:textFill>
                  <w14:solidFill>
                    <w14:schemeClr w14:val="tx1"/>
                  </w14:solidFill>
                </w14:textFill>
              </w:rPr>
            </w:pPr>
          </w:p>
        </w:tc>
        <w:tc>
          <w:tcPr>
            <w:tcW w:w="622" w:type="pct"/>
            <w:vAlign w:val="center"/>
          </w:tcPr>
          <w:p w14:paraId="3A24B1E5">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0.8H</w:t>
            </w:r>
          </w:p>
        </w:tc>
        <w:tc>
          <w:tcPr>
            <w:tcW w:w="1082" w:type="pct"/>
            <w:vAlign w:val="center"/>
          </w:tcPr>
          <w:p w14:paraId="344FD405">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6.76</w:t>
            </w:r>
          </w:p>
        </w:tc>
        <w:tc>
          <w:tcPr>
            <w:tcW w:w="885" w:type="pct"/>
            <w:vAlign w:val="center"/>
          </w:tcPr>
          <w:p w14:paraId="79D02F54">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129</w:t>
            </w:r>
          </w:p>
        </w:tc>
        <w:tc>
          <w:tcPr>
            <w:tcW w:w="883" w:type="pct"/>
            <w:vAlign w:val="center"/>
          </w:tcPr>
          <w:p w14:paraId="04EFDA74">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3.41</w:t>
            </w:r>
          </w:p>
        </w:tc>
        <w:tc>
          <w:tcPr>
            <w:tcW w:w="891" w:type="pct"/>
            <w:vAlign w:val="center"/>
          </w:tcPr>
          <w:p w14:paraId="3AED3478">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332</w:t>
            </w:r>
          </w:p>
        </w:tc>
      </w:tr>
      <w:tr w14:paraId="1AD29FB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51" w:hRule="atLeast"/>
        </w:trPr>
        <w:tc>
          <w:tcPr>
            <w:tcW w:w="635" w:type="pct"/>
            <w:vMerge w:val="continue"/>
            <w:vAlign w:val="center"/>
          </w:tcPr>
          <w:p w14:paraId="00F200D9">
            <w:pPr>
              <w:spacing w:line="240" w:lineRule="auto"/>
              <w:ind w:firstLine="0" w:firstLineChars="0"/>
              <w:jc w:val="center"/>
              <w:rPr>
                <w:color w:val="000000" w:themeColor="text1"/>
                <w:kern w:val="0"/>
                <w:sz w:val="21"/>
                <w:szCs w:val="21"/>
                <w14:textFill>
                  <w14:solidFill>
                    <w14:schemeClr w14:val="tx1"/>
                  </w14:solidFill>
                </w14:textFill>
              </w:rPr>
            </w:pPr>
          </w:p>
        </w:tc>
        <w:tc>
          <w:tcPr>
            <w:tcW w:w="622" w:type="pct"/>
            <w:vAlign w:val="center"/>
          </w:tcPr>
          <w:p w14:paraId="7F1BD48F">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底层</w:t>
            </w:r>
          </w:p>
        </w:tc>
        <w:tc>
          <w:tcPr>
            <w:tcW w:w="1082" w:type="pct"/>
            <w:vAlign w:val="center"/>
          </w:tcPr>
          <w:p w14:paraId="29B01DA5">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2.48</w:t>
            </w:r>
          </w:p>
        </w:tc>
        <w:tc>
          <w:tcPr>
            <w:tcW w:w="885" w:type="pct"/>
            <w:vAlign w:val="center"/>
          </w:tcPr>
          <w:p w14:paraId="398D24E7">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47</w:t>
            </w:r>
          </w:p>
        </w:tc>
        <w:tc>
          <w:tcPr>
            <w:tcW w:w="883" w:type="pct"/>
            <w:vAlign w:val="center"/>
          </w:tcPr>
          <w:p w14:paraId="54E43B4A">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2.63</w:t>
            </w:r>
          </w:p>
        </w:tc>
        <w:tc>
          <w:tcPr>
            <w:tcW w:w="891" w:type="pct"/>
            <w:vAlign w:val="center"/>
          </w:tcPr>
          <w:p w14:paraId="33C601DA">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352</w:t>
            </w:r>
          </w:p>
        </w:tc>
      </w:tr>
      <w:tr w14:paraId="747E73D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51" w:hRule="atLeast"/>
        </w:trPr>
        <w:tc>
          <w:tcPr>
            <w:tcW w:w="635" w:type="pct"/>
            <w:vMerge w:val="continue"/>
            <w:vAlign w:val="center"/>
          </w:tcPr>
          <w:p w14:paraId="42F02F76">
            <w:pPr>
              <w:spacing w:line="240" w:lineRule="auto"/>
              <w:ind w:firstLine="0" w:firstLineChars="0"/>
              <w:jc w:val="center"/>
              <w:rPr>
                <w:color w:val="000000" w:themeColor="text1"/>
                <w:kern w:val="0"/>
                <w:sz w:val="21"/>
                <w:szCs w:val="21"/>
                <w14:textFill>
                  <w14:solidFill>
                    <w14:schemeClr w14:val="tx1"/>
                  </w14:solidFill>
                </w14:textFill>
              </w:rPr>
            </w:pPr>
          </w:p>
        </w:tc>
        <w:tc>
          <w:tcPr>
            <w:tcW w:w="622" w:type="pct"/>
            <w:vAlign w:val="center"/>
          </w:tcPr>
          <w:p w14:paraId="5B7D131D">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垂线</w:t>
            </w:r>
          </w:p>
        </w:tc>
        <w:tc>
          <w:tcPr>
            <w:tcW w:w="1082" w:type="pct"/>
            <w:vAlign w:val="center"/>
          </w:tcPr>
          <w:p w14:paraId="03A4A5A9">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3.98</w:t>
            </w:r>
          </w:p>
        </w:tc>
        <w:tc>
          <w:tcPr>
            <w:tcW w:w="885" w:type="pct"/>
            <w:vAlign w:val="center"/>
          </w:tcPr>
          <w:p w14:paraId="09DDAB05">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92</w:t>
            </w:r>
          </w:p>
        </w:tc>
        <w:tc>
          <w:tcPr>
            <w:tcW w:w="883" w:type="pct"/>
            <w:vAlign w:val="center"/>
          </w:tcPr>
          <w:p w14:paraId="4820ACB5">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3.19</w:t>
            </w:r>
          </w:p>
        </w:tc>
        <w:tc>
          <w:tcPr>
            <w:tcW w:w="891" w:type="pct"/>
            <w:vAlign w:val="center"/>
          </w:tcPr>
          <w:p w14:paraId="6673A68A">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292</w:t>
            </w:r>
          </w:p>
        </w:tc>
      </w:tr>
      <w:tr w14:paraId="01DB8FD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51" w:hRule="atLeast"/>
        </w:trPr>
        <w:tc>
          <w:tcPr>
            <w:tcW w:w="635" w:type="pct"/>
            <w:vMerge w:val="restart"/>
            <w:vAlign w:val="center"/>
          </w:tcPr>
          <w:p w14:paraId="0C5DCD0D">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V6</w:t>
            </w:r>
          </w:p>
        </w:tc>
        <w:tc>
          <w:tcPr>
            <w:tcW w:w="622" w:type="pct"/>
            <w:vAlign w:val="center"/>
          </w:tcPr>
          <w:p w14:paraId="015D5AEA">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表层</w:t>
            </w:r>
          </w:p>
        </w:tc>
        <w:tc>
          <w:tcPr>
            <w:tcW w:w="1082" w:type="pct"/>
            <w:vAlign w:val="center"/>
          </w:tcPr>
          <w:p w14:paraId="546CD5E9">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10.52</w:t>
            </w:r>
          </w:p>
        </w:tc>
        <w:tc>
          <w:tcPr>
            <w:tcW w:w="885" w:type="pct"/>
            <w:vAlign w:val="center"/>
          </w:tcPr>
          <w:p w14:paraId="026EF7BA">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224</w:t>
            </w:r>
          </w:p>
        </w:tc>
        <w:tc>
          <w:tcPr>
            <w:tcW w:w="883" w:type="pct"/>
            <w:vAlign w:val="center"/>
          </w:tcPr>
          <w:p w14:paraId="48470AE2">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3.98</w:t>
            </w:r>
          </w:p>
        </w:tc>
        <w:tc>
          <w:tcPr>
            <w:tcW w:w="891" w:type="pct"/>
            <w:vAlign w:val="center"/>
          </w:tcPr>
          <w:p w14:paraId="3DDD82F2">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305</w:t>
            </w:r>
          </w:p>
        </w:tc>
      </w:tr>
      <w:tr w14:paraId="6E43A80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51" w:hRule="atLeast"/>
        </w:trPr>
        <w:tc>
          <w:tcPr>
            <w:tcW w:w="635" w:type="pct"/>
            <w:vMerge w:val="continue"/>
            <w:vAlign w:val="center"/>
          </w:tcPr>
          <w:p w14:paraId="301A9A37">
            <w:pPr>
              <w:spacing w:line="240" w:lineRule="auto"/>
              <w:ind w:firstLine="0" w:firstLineChars="0"/>
              <w:jc w:val="center"/>
              <w:rPr>
                <w:color w:val="000000" w:themeColor="text1"/>
                <w:kern w:val="0"/>
                <w:sz w:val="21"/>
                <w:szCs w:val="21"/>
                <w14:textFill>
                  <w14:solidFill>
                    <w14:schemeClr w14:val="tx1"/>
                  </w14:solidFill>
                </w14:textFill>
              </w:rPr>
            </w:pPr>
          </w:p>
        </w:tc>
        <w:tc>
          <w:tcPr>
            <w:tcW w:w="622" w:type="pct"/>
            <w:vAlign w:val="center"/>
          </w:tcPr>
          <w:p w14:paraId="0205560E">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0.6H</w:t>
            </w:r>
          </w:p>
        </w:tc>
        <w:tc>
          <w:tcPr>
            <w:tcW w:w="1082" w:type="pct"/>
            <w:vAlign w:val="center"/>
          </w:tcPr>
          <w:p w14:paraId="1AC90050">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9.18</w:t>
            </w:r>
          </w:p>
        </w:tc>
        <w:tc>
          <w:tcPr>
            <w:tcW w:w="885" w:type="pct"/>
            <w:vAlign w:val="center"/>
          </w:tcPr>
          <w:p w14:paraId="6A62D545">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171</w:t>
            </w:r>
          </w:p>
        </w:tc>
        <w:tc>
          <w:tcPr>
            <w:tcW w:w="883" w:type="pct"/>
            <w:vAlign w:val="center"/>
          </w:tcPr>
          <w:p w14:paraId="2145AF7D">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1.17</w:t>
            </w:r>
          </w:p>
        </w:tc>
        <w:tc>
          <w:tcPr>
            <w:tcW w:w="891" w:type="pct"/>
            <w:vAlign w:val="center"/>
          </w:tcPr>
          <w:p w14:paraId="1D07052D">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245</w:t>
            </w:r>
          </w:p>
        </w:tc>
      </w:tr>
      <w:tr w14:paraId="40B0CE0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51" w:hRule="atLeast"/>
        </w:trPr>
        <w:tc>
          <w:tcPr>
            <w:tcW w:w="635" w:type="pct"/>
            <w:vMerge w:val="continue"/>
            <w:vAlign w:val="center"/>
          </w:tcPr>
          <w:p w14:paraId="0676A186">
            <w:pPr>
              <w:spacing w:line="240" w:lineRule="auto"/>
              <w:ind w:firstLine="0" w:firstLineChars="0"/>
              <w:jc w:val="center"/>
              <w:rPr>
                <w:color w:val="000000" w:themeColor="text1"/>
                <w:kern w:val="0"/>
                <w:sz w:val="21"/>
                <w:szCs w:val="21"/>
                <w14:textFill>
                  <w14:solidFill>
                    <w14:schemeClr w14:val="tx1"/>
                  </w14:solidFill>
                </w14:textFill>
              </w:rPr>
            </w:pPr>
          </w:p>
        </w:tc>
        <w:tc>
          <w:tcPr>
            <w:tcW w:w="622" w:type="pct"/>
            <w:vAlign w:val="center"/>
          </w:tcPr>
          <w:p w14:paraId="2F61F92A">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底层</w:t>
            </w:r>
          </w:p>
        </w:tc>
        <w:tc>
          <w:tcPr>
            <w:tcW w:w="1082" w:type="pct"/>
            <w:vAlign w:val="center"/>
          </w:tcPr>
          <w:p w14:paraId="44125CA2">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7.25</w:t>
            </w:r>
          </w:p>
        </w:tc>
        <w:tc>
          <w:tcPr>
            <w:tcW w:w="885" w:type="pct"/>
            <w:vAlign w:val="center"/>
          </w:tcPr>
          <w:p w14:paraId="2F5F1379">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158</w:t>
            </w:r>
          </w:p>
        </w:tc>
        <w:tc>
          <w:tcPr>
            <w:tcW w:w="883" w:type="pct"/>
            <w:vAlign w:val="center"/>
          </w:tcPr>
          <w:p w14:paraId="6412E2A3">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0.74</w:t>
            </w:r>
          </w:p>
        </w:tc>
        <w:tc>
          <w:tcPr>
            <w:tcW w:w="891" w:type="pct"/>
            <w:vAlign w:val="center"/>
          </w:tcPr>
          <w:p w14:paraId="7D36E18C">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191</w:t>
            </w:r>
          </w:p>
        </w:tc>
      </w:tr>
      <w:tr w14:paraId="137E5BD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51" w:hRule="atLeast"/>
        </w:trPr>
        <w:tc>
          <w:tcPr>
            <w:tcW w:w="635" w:type="pct"/>
            <w:vMerge w:val="continue"/>
            <w:vAlign w:val="center"/>
          </w:tcPr>
          <w:p w14:paraId="4B053793">
            <w:pPr>
              <w:spacing w:line="240" w:lineRule="auto"/>
              <w:ind w:firstLine="0" w:firstLineChars="0"/>
              <w:jc w:val="center"/>
              <w:rPr>
                <w:color w:val="000000" w:themeColor="text1"/>
                <w:kern w:val="0"/>
                <w:sz w:val="21"/>
                <w:szCs w:val="21"/>
                <w14:textFill>
                  <w14:solidFill>
                    <w14:schemeClr w14:val="tx1"/>
                  </w14:solidFill>
                </w14:textFill>
              </w:rPr>
            </w:pPr>
          </w:p>
        </w:tc>
        <w:tc>
          <w:tcPr>
            <w:tcW w:w="622" w:type="pct"/>
            <w:vAlign w:val="center"/>
          </w:tcPr>
          <w:p w14:paraId="432C7254">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垂线</w:t>
            </w:r>
          </w:p>
        </w:tc>
        <w:tc>
          <w:tcPr>
            <w:tcW w:w="1082" w:type="pct"/>
            <w:vAlign w:val="center"/>
          </w:tcPr>
          <w:p w14:paraId="1D07EB29">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7.84</w:t>
            </w:r>
          </w:p>
        </w:tc>
        <w:tc>
          <w:tcPr>
            <w:tcW w:w="885" w:type="pct"/>
            <w:vAlign w:val="center"/>
          </w:tcPr>
          <w:p w14:paraId="19DFB9CE">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188</w:t>
            </w:r>
          </w:p>
        </w:tc>
        <w:tc>
          <w:tcPr>
            <w:tcW w:w="883" w:type="pct"/>
            <w:vAlign w:val="center"/>
          </w:tcPr>
          <w:p w14:paraId="33C34BC9">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1.52</w:t>
            </w:r>
          </w:p>
        </w:tc>
        <w:tc>
          <w:tcPr>
            <w:tcW w:w="891" w:type="pct"/>
            <w:vAlign w:val="center"/>
          </w:tcPr>
          <w:p w14:paraId="51D2F90A">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284</w:t>
            </w:r>
          </w:p>
        </w:tc>
      </w:tr>
      <w:tr w14:paraId="16B5299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51" w:hRule="atLeast"/>
        </w:trPr>
        <w:tc>
          <w:tcPr>
            <w:tcW w:w="635" w:type="pct"/>
            <w:vMerge w:val="restart"/>
            <w:vAlign w:val="center"/>
          </w:tcPr>
          <w:p w14:paraId="2385CAF1">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V7</w:t>
            </w:r>
          </w:p>
        </w:tc>
        <w:tc>
          <w:tcPr>
            <w:tcW w:w="622" w:type="pct"/>
            <w:vAlign w:val="center"/>
          </w:tcPr>
          <w:p w14:paraId="765D659C">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表层</w:t>
            </w:r>
          </w:p>
        </w:tc>
        <w:tc>
          <w:tcPr>
            <w:tcW w:w="1082" w:type="pct"/>
            <w:vAlign w:val="center"/>
          </w:tcPr>
          <w:p w14:paraId="39A13B62">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11.84</w:t>
            </w:r>
          </w:p>
        </w:tc>
        <w:tc>
          <w:tcPr>
            <w:tcW w:w="885" w:type="pct"/>
            <w:vAlign w:val="center"/>
          </w:tcPr>
          <w:p w14:paraId="14ACDA18">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61</w:t>
            </w:r>
          </w:p>
        </w:tc>
        <w:tc>
          <w:tcPr>
            <w:tcW w:w="883" w:type="pct"/>
            <w:vAlign w:val="center"/>
          </w:tcPr>
          <w:p w14:paraId="0E4A048B">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11.95</w:t>
            </w:r>
          </w:p>
        </w:tc>
        <w:tc>
          <w:tcPr>
            <w:tcW w:w="891" w:type="pct"/>
            <w:vAlign w:val="center"/>
          </w:tcPr>
          <w:p w14:paraId="0ECE4D7A">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126</w:t>
            </w:r>
          </w:p>
        </w:tc>
      </w:tr>
      <w:tr w14:paraId="1AE5BF0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51" w:hRule="atLeast"/>
        </w:trPr>
        <w:tc>
          <w:tcPr>
            <w:tcW w:w="635" w:type="pct"/>
            <w:vMerge w:val="continue"/>
            <w:vAlign w:val="center"/>
          </w:tcPr>
          <w:p w14:paraId="5BD55793">
            <w:pPr>
              <w:spacing w:line="240" w:lineRule="auto"/>
              <w:ind w:firstLine="0" w:firstLineChars="0"/>
              <w:jc w:val="center"/>
              <w:rPr>
                <w:color w:val="000000" w:themeColor="text1"/>
                <w:kern w:val="0"/>
                <w:sz w:val="21"/>
                <w:szCs w:val="21"/>
                <w14:textFill>
                  <w14:solidFill>
                    <w14:schemeClr w14:val="tx1"/>
                  </w14:solidFill>
                </w14:textFill>
              </w:rPr>
            </w:pPr>
          </w:p>
        </w:tc>
        <w:tc>
          <w:tcPr>
            <w:tcW w:w="622" w:type="pct"/>
            <w:vAlign w:val="center"/>
          </w:tcPr>
          <w:p w14:paraId="66F1FD57">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0.2H</w:t>
            </w:r>
          </w:p>
        </w:tc>
        <w:tc>
          <w:tcPr>
            <w:tcW w:w="1082" w:type="pct"/>
            <w:vAlign w:val="center"/>
          </w:tcPr>
          <w:p w14:paraId="5D50AD41">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12.64</w:t>
            </w:r>
          </w:p>
        </w:tc>
        <w:tc>
          <w:tcPr>
            <w:tcW w:w="885" w:type="pct"/>
            <w:vAlign w:val="center"/>
          </w:tcPr>
          <w:p w14:paraId="10000B63">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71</w:t>
            </w:r>
          </w:p>
        </w:tc>
        <w:tc>
          <w:tcPr>
            <w:tcW w:w="883" w:type="pct"/>
            <w:vAlign w:val="center"/>
          </w:tcPr>
          <w:p w14:paraId="6F4207FE">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12.87</w:t>
            </w:r>
          </w:p>
        </w:tc>
        <w:tc>
          <w:tcPr>
            <w:tcW w:w="891" w:type="pct"/>
            <w:vAlign w:val="center"/>
          </w:tcPr>
          <w:p w14:paraId="4A60057E">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140</w:t>
            </w:r>
          </w:p>
        </w:tc>
      </w:tr>
      <w:tr w14:paraId="3962848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51" w:hRule="atLeast"/>
        </w:trPr>
        <w:tc>
          <w:tcPr>
            <w:tcW w:w="635" w:type="pct"/>
            <w:vMerge w:val="continue"/>
            <w:vAlign w:val="center"/>
          </w:tcPr>
          <w:p w14:paraId="1ED1CB0F">
            <w:pPr>
              <w:spacing w:line="240" w:lineRule="auto"/>
              <w:ind w:firstLine="0" w:firstLineChars="0"/>
              <w:jc w:val="center"/>
              <w:rPr>
                <w:color w:val="000000" w:themeColor="text1"/>
                <w:kern w:val="0"/>
                <w:sz w:val="21"/>
                <w:szCs w:val="21"/>
                <w14:textFill>
                  <w14:solidFill>
                    <w14:schemeClr w14:val="tx1"/>
                  </w14:solidFill>
                </w14:textFill>
              </w:rPr>
            </w:pPr>
          </w:p>
        </w:tc>
        <w:tc>
          <w:tcPr>
            <w:tcW w:w="622" w:type="pct"/>
            <w:vAlign w:val="center"/>
          </w:tcPr>
          <w:p w14:paraId="287F3341">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0.4H</w:t>
            </w:r>
          </w:p>
        </w:tc>
        <w:tc>
          <w:tcPr>
            <w:tcW w:w="1082" w:type="pct"/>
            <w:vAlign w:val="center"/>
          </w:tcPr>
          <w:p w14:paraId="58D83CD4">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9.18</w:t>
            </w:r>
          </w:p>
        </w:tc>
        <w:tc>
          <w:tcPr>
            <w:tcW w:w="885" w:type="pct"/>
            <w:vAlign w:val="center"/>
          </w:tcPr>
          <w:p w14:paraId="3C2F1136">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88</w:t>
            </w:r>
          </w:p>
        </w:tc>
        <w:tc>
          <w:tcPr>
            <w:tcW w:w="883" w:type="pct"/>
            <w:vAlign w:val="center"/>
          </w:tcPr>
          <w:p w14:paraId="17CDA088">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11.41</w:t>
            </w:r>
          </w:p>
        </w:tc>
        <w:tc>
          <w:tcPr>
            <w:tcW w:w="891" w:type="pct"/>
            <w:vAlign w:val="center"/>
          </w:tcPr>
          <w:p w14:paraId="54DA38FF">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138</w:t>
            </w:r>
          </w:p>
        </w:tc>
      </w:tr>
      <w:tr w14:paraId="7BE4233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51" w:hRule="atLeast"/>
        </w:trPr>
        <w:tc>
          <w:tcPr>
            <w:tcW w:w="635" w:type="pct"/>
            <w:vMerge w:val="continue"/>
            <w:vAlign w:val="center"/>
          </w:tcPr>
          <w:p w14:paraId="22CF0381">
            <w:pPr>
              <w:spacing w:line="240" w:lineRule="auto"/>
              <w:ind w:firstLine="0" w:firstLineChars="0"/>
              <w:jc w:val="center"/>
              <w:rPr>
                <w:color w:val="000000" w:themeColor="text1"/>
                <w:kern w:val="0"/>
                <w:sz w:val="21"/>
                <w:szCs w:val="21"/>
                <w14:textFill>
                  <w14:solidFill>
                    <w14:schemeClr w14:val="tx1"/>
                  </w14:solidFill>
                </w14:textFill>
              </w:rPr>
            </w:pPr>
          </w:p>
        </w:tc>
        <w:tc>
          <w:tcPr>
            <w:tcW w:w="622" w:type="pct"/>
            <w:vAlign w:val="center"/>
          </w:tcPr>
          <w:p w14:paraId="5377C2ED">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0.6H</w:t>
            </w:r>
          </w:p>
        </w:tc>
        <w:tc>
          <w:tcPr>
            <w:tcW w:w="1082" w:type="pct"/>
            <w:vAlign w:val="center"/>
          </w:tcPr>
          <w:p w14:paraId="6678F09E">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8.19</w:t>
            </w:r>
          </w:p>
        </w:tc>
        <w:tc>
          <w:tcPr>
            <w:tcW w:w="885" w:type="pct"/>
            <w:vAlign w:val="center"/>
          </w:tcPr>
          <w:p w14:paraId="2D86EB27">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107</w:t>
            </w:r>
          </w:p>
        </w:tc>
        <w:tc>
          <w:tcPr>
            <w:tcW w:w="883" w:type="pct"/>
            <w:vAlign w:val="center"/>
          </w:tcPr>
          <w:p w14:paraId="41229D18">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7.84</w:t>
            </w:r>
          </w:p>
        </w:tc>
        <w:tc>
          <w:tcPr>
            <w:tcW w:w="891" w:type="pct"/>
            <w:vAlign w:val="center"/>
          </w:tcPr>
          <w:p w14:paraId="729CCD4C">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156</w:t>
            </w:r>
          </w:p>
        </w:tc>
      </w:tr>
      <w:tr w14:paraId="028A03A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51" w:hRule="atLeast"/>
        </w:trPr>
        <w:tc>
          <w:tcPr>
            <w:tcW w:w="635" w:type="pct"/>
            <w:vMerge w:val="continue"/>
            <w:vAlign w:val="center"/>
          </w:tcPr>
          <w:p w14:paraId="00F6483A">
            <w:pPr>
              <w:spacing w:line="240" w:lineRule="auto"/>
              <w:ind w:firstLine="0" w:firstLineChars="0"/>
              <w:jc w:val="center"/>
              <w:rPr>
                <w:color w:val="000000" w:themeColor="text1"/>
                <w:kern w:val="0"/>
                <w:sz w:val="21"/>
                <w:szCs w:val="21"/>
                <w14:textFill>
                  <w14:solidFill>
                    <w14:schemeClr w14:val="tx1"/>
                  </w14:solidFill>
                </w14:textFill>
              </w:rPr>
            </w:pPr>
          </w:p>
        </w:tc>
        <w:tc>
          <w:tcPr>
            <w:tcW w:w="622" w:type="pct"/>
            <w:vAlign w:val="center"/>
          </w:tcPr>
          <w:p w14:paraId="3CEA53F3">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0.8H</w:t>
            </w:r>
          </w:p>
        </w:tc>
        <w:tc>
          <w:tcPr>
            <w:tcW w:w="1082" w:type="pct"/>
            <w:vAlign w:val="center"/>
          </w:tcPr>
          <w:p w14:paraId="7F3ABB81">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6.71</w:t>
            </w:r>
          </w:p>
        </w:tc>
        <w:tc>
          <w:tcPr>
            <w:tcW w:w="885" w:type="pct"/>
            <w:vAlign w:val="center"/>
          </w:tcPr>
          <w:p w14:paraId="094869FD">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112</w:t>
            </w:r>
          </w:p>
        </w:tc>
        <w:tc>
          <w:tcPr>
            <w:tcW w:w="883" w:type="pct"/>
            <w:vAlign w:val="center"/>
          </w:tcPr>
          <w:p w14:paraId="2B171BA1">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5.78</w:t>
            </w:r>
          </w:p>
        </w:tc>
        <w:tc>
          <w:tcPr>
            <w:tcW w:w="891" w:type="pct"/>
            <w:vAlign w:val="center"/>
          </w:tcPr>
          <w:p w14:paraId="6F3F9A43">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151</w:t>
            </w:r>
          </w:p>
        </w:tc>
      </w:tr>
      <w:tr w14:paraId="154B843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51" w:hRule="atLeast"/>
        </w:trPr>
        <w:tc>
          <w:tcPr>
            <w:tcW w:w="635" w:type="pct"/>
            <w:vMerge w:val="continue"/>
            <w:vAlign w:val="center"/>
          </w:tcPr>
          <w:p w14:paraId="5531F604">
            <w:pPr>
              <w:spacing w:line="240" w:lineRule="auto"/>
              <w:ind w:firstLine="0" w:firstLineChars="0"/>
              <w:jc w:val="center"/>
              <w:rPr>
                <w:color w:val="000000" w:themeColor="text1"/>
                <w:kern w:val="0"/>
                <w:sz w:val="21"/>
                <w:szCs w:val="21"/>
                <w14:textFill>
                  <w14:solidFill>
                    <w14:schemeClr w14:val="tx1"/>
                  </w14:solidFill>
                </w14:textFill>
              </w:rPr>
            </w:pPr>
          </w:p>
        </w:tc>
        <w:tc>
          <w:tcPr>
            <w:tcW w:w="622" w:type="pct"/>
            <w:vAlign w:val="center"/>
          </w:tcPr>
          <w:p w14:paraId="5F35DB5B">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底层</w:t>
            </w:r>
          </w:p>
        </w:tc>
        <w:tc>
          <w:tcPr>
            <w:tcW w:w="1082" w:type="pct"/>
            <w:vAlign w:val="center"/>
          </w:tcPr>
          <w:p w14:paraId="6DAB1B12">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5.45</w:t>
            </w:r>
          </w:p>
        </w:tc>
        <w:tc>
          <w:tcPr>
            <w:tcW w:w="885" w:type="pct"/>
            <w:vAlign w:val="center"/>
          </w:tcPr>
          <w:p w14:paraId="48D6FDB6">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123</w:t>
            </w:r>
          </w:p>
        </w:tc>
        <w:tc>
          <w:tcPr>
            <w:tcW w:w="883" w:type="pct"/>
            <w:vAlign w:val="center"/>
          </w:tcPr>
          <w:p w14:paraId="76AE5EAC">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4.62</w:t>
            </w:r>
          </w:p>
        </w:tc>
        <w:tc>
          <w:tcPr>
            <w:tcW w:w="891" w:type="pct"/>
            <w:vAlign w:val="center"/>
          </w:tcPr>
          <w:p w14:paraId="0D6B048C">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153</w:t>
            </w:r>
          </w:p>
        </w:tc>
      </w:tr>
      <w:tr w14:paraId="51AF7CD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51" w:hRule="atLeast"/>
        </w:trPr>
        <w:tc>
          <w:tcPr>
            <w:tcW w:w="635" w:type="pct"/>
            <w:vMerge w:val="continue"/>
            <w:vAlign w:val="center"/>
          </w:tcPr>
          <w:p w14:paraId="02B28F82">
            <w:pPr>
              <w:spacing w:line="240" w:lineRule="auto"/>
              <w:ind w:firstLine="0" w:firstLineChars="0"/>
              <w:jc w:val="center"/>
              <w:rPr>
                <w:color w:val="000000" w:themeColor="text1"/>
                <w:kern w:val="0"/>
                <w:sz w:val="21"/>
                <w:szCs w:val="21"/>
                <w14:textFill>
                  <w14:solidFill>
                    <w14:schemeClr w14:val="tx1"/>
                  </w14:solidFill>
                </w14:textFill>
              </w:rPr>
            </w:pPr>
          </w:p>
        </w:tc>
        <w:tc>
          <w:tcPr>
            <w:tcW w:w="622" w:type="pct"/>
            <w:vAlign w:val="center"/>
          </w:tcPr>
          <w:p w14:paraId="0510C10D">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垂线</w:t>
            </w:r>
          </w:p>
        </w:tc>
        <w:tc>
          <w:tcPr>
            <w:tcW w:w="1082" w:type="pct"/>
            <w:vAlign w:val="center"/>
          </w:tcPr>
          <w:p w14:paraId="3B571FBB">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8.99</w:t>
            </w:r>
          </w:p>
        </w:tc>
        <w:tc>
          <w:tcPr>
            <w:tcW w:w="885" w:type="pct"/>
            <w:vAlign w:val="center"/>
          </w:tcPr>
          <w:p w14:paraId="53AC2A3E">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90</w:t>
            </w:r>
          </w:p>
        </w:tc>
        <w:tc>
          <w:tcPr>
            <w:tcW w:w="883" w:type="pct"/>
            <w:vAlign w:val="center"/>
          </w:tcPr>
          <w:p w14:paraId="74F7EA72">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9.57</w:t>
            </w:r>
          </w:p>
        </w:tc>
        <w:tc>
          <w:tcPr>
            <w:tcW w:w="891" w:type="pct"/>
            <w:vAlign w:val="center"/>
          </w:tcPr>
          <w:p w14:paraId="3DDB9237">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143</w:t>
            </w:r>
          </w:p>
        </w:tc>
      </w:tr>
      <w:tr w14:paraId="3CB3528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51" w:hRule="atLeast"/>
        </w:trPr>
        <w:tc>
          <w:tcPr>
            <w:tcW w:w="635" w:type="pct"/>
            <w:vMerge w:val="restart"/>
            <w:vAlign w:val="center"/>
          </w:tcPr>
          <w:p w14:paraId="426CEBF1">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V8</w:t>
            </w:r>
          </w:p>
        </w:tc>
        <w:tc>
          <w:tcPr>
            <w:tcW w:w="622" w:type="pct"/>
            <w:vAlign w:val="center"/>
          </w:tcPr>
          <w:p w14:paraId="4282C967">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表层</w:t>
            </w:r>
          </w:p>
        </w:tc>
        <w:tc>
          <w:tcPr>
            <w:tcW w:w="1082" w:type="pct"/>
            <w:vAlign w:val="center"/>
          </w:tcPr>
          <w:p w14:paraId="5227949D">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16.23</w:t>
            </w:r>
          </w:p>
        </w:tc>
        <w:tc>
          <w:tcPr>
            <w:tcW w:w="885" w:type="pct"/>
            <w:vAlign w:val="center"/>
          </w:tcPr>
          <w:p w14:paraId="2C0A4497">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203</w:t>
            </w:r>
          </w:p>
        </w:tc>
        <w:tc>
          <w:tcPr>
            <w:tcW w:w="883" w:type="pct"/>
            <w:vAlign w:val="center"/>
          </w:tcPr>
          <w:p w14:paraId="2F1E1469">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14.19</w:t>
            </w:r>
          </w:p>
        </w:tc>
        <w:tc>
          <w:tcPr>
            <w:tcW w:w="891" w:type="pct"/>
            <w:vAlign w:val="center"/>
          </w:tcPr>
          <w:p w14:paraId="52366E2F">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222</w:t>
            </w:r>
          </w:p>
        </w:tc>
      </w:tr>
      <w:tr w14:paraId="21F26F8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51" w:hRule="atLeast"/>
        </w:trPr>
        <w:tc>
          <w:tcPr>
            <w:tcW w:w="635" w:type="pct"/>
            <w:vMerge w:val="continue"/>
            <w:vAlign w:val="center"/>
          </w:tcPr>
          <w:p w14:paraId="616A68EA">
            <w:pPr>
              <w:spacing w:line="240" w:lineRule="auto"/>
              <w:ind w:firstLine="0" w:firstLineChars="0"/>
              <w:jc w:val="center"/>
              <w:rPr>
                <w:color w:val="000000" w:themeColor="text1"/>
                <w:kern w:val="0"/>
                <w:sz w:val="21"/>
                <w:szCs w:val="21"/>
                <w14:textFill>
                  <w14:solidFill>
                    <w14:schemeClr w14:val="tx1"/>
                  </w14:solidFill>
                </w14:textFill>
              </w:rPr>
            </w:pPr>
          </w:p>
        </w:tc>
        <w:tc>
          <w:tcPr>
            <w:tcW w:w="622" w:type="pct"/>
            <w:vAlign w:val="center"/>
          </w:tcPr>
          <w:p w14:paraId="721F77EE">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0.2H</w:t>
            </w:r>
          </w:p>
        </w:tc>
        <w:tc>
          <w:tcPr>
            <w:tcW w:w="1082" w:type="pct"/>
            <w:vAlign w:val="center"/>
          </w:tcPr>
          <w:p w14:paraId="22A03A4F">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11.65</w:t>
            </w:r>
          </w:p>
        </w:tc>
        <w:tc>
          <w:tcPr>
            <w:tcW w:w="885" w:type="pct"/>
            <w:vAlign w:val="center"/>
          </w:tcPr>
          <w:p w14:paraId="716EE99C">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188</w:t>
            </w:r>
          </w:p>
        </w:tc>
        <w:tc>
          <w:tcPr>
            <w:tcW w:w="883" w:type="pct"/>
            <w:vAlign w:val="center"/>
          </w:tcPr>
          <w:p w14:paraId="5C3877F9">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11.69</w:t>
            </w:r>
          </w:p>
        </w:tc>
        <w:tc>
          <w:tcPr>
            <w:tcW w:w="891" w:type="pct"/>
            <w:vAlign w:val="center"/>
          </w:tcPr>
          <w:p w14:paraId="644092B3">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197</w:t>
            </w:r>
          </w:p>
        </w:tc>
      </w:tr>
      <w:tr w14:paraId="44698C8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63" w:hRule="atLeast"/>
        </w:trPr>
        <w:tc>
          <w:tcPr>
            <w:tcW w:w="635" w:type="pct"/>
            <w:vMerge w:val="continue"/>
            <w:vAlign w:val="center"/>
          </w:tcPr>
          <w:p w14:paraId="2E025872">
            <w:pPr>
              <w:spacing w:line="240" w:lineRule="auto"/>
              <w:ind w:firstLine="0" w:firstLineChars="0"/>
              <w:jc w:val="center"/>
              <w:rPr>
                <w:color w:val="000000" w:themeColor="text1"/>
                <w:kern w:val="0"/>
                <w:sz w:val="21"/>
                <w:szCs w:val="21"/>
                <w14:textFill>
                  <w14:solidFill>
                    <w14:schemeClr w14:val="tx1"/>
                  </w14:solidFill>
                </w14:textFill>
              </w:rPr>
            </w:pPr>
          </w:p>
        </w:tc>
        <w:tc>
          <w:tcPr>
            <w:tcW w:w="622" w:type="pct"/>
            <w:vAlign w:val="center"/>
          </w:tcPr>
          <w:p w14:paraId="371083C2">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0.4H</w:t>
            </w:r>
          </w:p>
        </w:tc>
        <w:tc>
          <w:tcPr>
            <w:tcW w:w="1082" w:type="pct"/>
            <w:vAlign w:val="center"/>
          </w:tcPr>
          <w:p w14:paraId="6220CDF1">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3.96</w:t>
            </w:r>
          </w:p>
        </w:tc>
        <w:tc>
          <w:tcPr>
            <w:tcW w:w="885" w:type="pct"/>
            <w:vAlign w:val="center"/>
          </w:tcPr>
          <w:p w14:paraId="7C375382">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185</w:t>
            </w:r>
          </w:p>
        </w:tc>
        <w:tc>
          <w:tcPr>
            <w:tcW w:w="883" w:type="pct"/>
            <w:vAlign w:val="center"/>
          </w:tcPr>
          <w:p w14:paraId="39A1BE28">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5.35</w:t>
            </w:r>
          </w:p>
        </w:tc>
        <w:tc>
          <w:tcPr>
            <w:tcW w:w="891" w:type="pct"/>
            <w:vAlign w:val="center"/>
          </w:tcPr>
          <w:p w14:paraId="3C2984A8">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227</w:t>
            </w:r>
          </w:p>
        </w:tc>
      </w:tr>
      <w:tr w14:paraId="7E398E7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50" w:hRule="atLeast"/>
        </w:trPr>
        <w:tc>
          <w:tcPr>
            <w:tcW w:w="635" w:type="pct"/>
            <w:vMerge w:val="continue"/>
            <w:vAlign w:val="center"/>
          </w:tcPr>
          <w:p w14:paraId="1ED3C868">
            <w:pPr>
              <w:spacing w:line="240" w:lineRule="auto"/>
              <w:ind w:firstLine="0" w:firstLineChars="0"/>
              <w:jc w:val="center"/>
              <w:rPr>
                <w:color w:val="000000" w:themeColor="text1"/>
                <w:kern w:val="0"/>
                <w:sz w:val="21"/>
                <w:szCs w:val="21"/>
                <w14:textFill>
                  <w14:solidFill>
                    <w14:schemeClr w14:val="tx1"/>
                  </w14:solidFill>
                </w14:textFill>
              </w:rPr>
            </w:pPr>
          </w:p>
        </w:tc>
        <w:tc>
          <w:tcPr>
            <w:tcW w:w="622" w:type="pct"/>
            <w:vAlign w:val="center"/>
          </w:tcPr>
          <w:p w14:paraId="162DD85A">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0.6H</w:t>
            </w:r>
          </w:p>
        </w:tc>
        <w:tc>
          <w:tcPr>
            <w:tcW w:w="1082" w:type="pct"/>
            <w:vAlign w:val="center"/>
          </w:tcPr>
          <w:p w14:paraId="16BD3AB9">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2.08</w:t>
            </w:r>
          </w:p>
        </w:tc>
        <w:tc>
          <w:tcPr>
            <w:tcW w:w="885" w:type="pct"/>
            <w:vAlign w:val="center"/>
          </w:tcPr>
          <w:p w14:paraId="372BE3DA">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84</w:t>
            </w:r>
          </w:p>
        </w:tc>
        <w:tc>
          <w:tcPr>
            <w:tcW w:w="883" w:type="pct"/>
            <w:vAlign w:val="center"/>
          </w:tcPr>
          <w:p w14:paraId="3E90040F">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3.13</w:t>
            </w:r>
          </w:p>
        </w:tc>
        <w:tc>
          <w:tcPr>
            <w:tcW w:w="891" w:type="pct"/>
            <w:vAlign w:val="center"/>
          </w:tcPr>
          <w:p w14:paraId="5C7F2EF6">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316</w:t>
            </w:r>
          </w:p>
        </w:tc>
      </w:tr>
      <w:tr w14:paraId="61CBB61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50" w:hRule="atLeast"/>
        </w:trPr>
        <w:tc>
          <w:tcPr>
            <w:tcW w:w="635" w:type="pct"/>
            <w:vMerge w:val="continue"/>
            <w:vAlign w:val="center"/>
          </w:tcPr>
          <w:p w14:paraId="2EC364A0">
            <w:pPr>
              <w:spacing w:line="240" w:lineRule="auto"/>
              <w:ind w:firstLine="0" w:firstLineChars="0"/>
              <w:jc w:val="center"/>
              <w:rPr>
                <w:color w:val="000000" w:themeColor="text1"/>
                <w:kern w:val="0"/>
                <w:sz w:val="21"/>
                <w:szCs w:val="21"/>
                <w14:textFill>
                  <w14:solidFill>
                    <w14:schemeClr w14:val="tx1"/>
                  </w14:solidFill>
                </w14:textFill>
              </w:rPr>
            </w:pPr>
          </w:p>
        </w:tc>
        <w:tc>
          <w:tcPr>
            <w:tcW w:w="622" w:type="pct"/>
            <w:vAlign w:val="center"/>
          </w:tcPr>
          <w:p w14:paraId="33D044E0">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0.8H</w:t>
            </w:r>
          </w:p>
        </w:tc>
        <w:tc>
          <w:tcPr>
            <w:tcW w:w="1082" w:type="pct"/>
            <w:vAlign w:val="center"/>
          </w:tcPr>
          <w:p w14:paraId="3C874BDB">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2.92</w:t>
            </w:r>
          </w:p>
        </w:tc>
        <w:tc>
          <w:tcPr>
            <w:tcW w:w="885" w:type="pct"/>
            <w:vAlign w:val="center"/>
          </w:tcPr>
          <w:p w14:paraId="51122625">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23</w:t>
            </w:r>
          </w:p>
        </w:tc>
        <w:tc>
          <w:tcPr>
            <w:tcW w:w="883" w:type="pct"/>
            <w:vAlign w:val="center"/>
          </w:tcPr>
          <w:p w14:paraId="29385267">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5.37</w:t>
            </w:r>
          </w:p>
        </w:tc>
        <w:tc>
          <w:tcPr>
            <w:tcW w:w="891" w:type="pct"/>
            <w:vAlign w:val="center"/>
          </w:tcPr>
          <w:p w14:paraId="713461B3">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347</w:t>
            </w:r>
          </w:p>
        </w:tc>
      </w:tr>
      <w:tr w14:paraId="68DE085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9" w:hRule="atLeast"/>
        </w:trPr>
        <w:tc>
          <w:tcPr>
            <w:tcW w:w="635" w:type="pct"/>
            <w:vMerge w:val="continue"/>
            <w:vAlign w:val="center"/>
          </w:tcPr>
          <w:p w14:paraId="0D2EBF5A">
            <w:pPr>
              <w:spacing w:line="240" w:lineRule="auto"/>
              <w:ind w:firstLine="0" w:firstLineChars="0"/>
              <w:jc w:val="center"/>
              <w:rPr>
                <w:color w:val="000000" w:themeColor="text1"/>
                <w:kern w:val="0"/>
                <w:sz w:val="21"/>
                <w:szCs w:val="21"/>
                <w14:textFill>
                  <w14:solidFill>
                    <w14:schemeClr w14:val="tx1"/>
                  </w14:solidFill>
                </w14:textFill>
              </w:rPr>
            </w:pPr>
          </w:p>
        </w:tc>
        <w:tc>
          <w:tcPr>
            <w:tcW w:w="622" w:type="pct"/>
            <w:vAlign w:val="center"/>
          </w:tcPr>
          <w:p w14:paraId="5A2BF1D7">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底层</w:t>
            </w:r>
          </w:p>
        </w:tc>
        <w:tc>
          <w:tcPr>
            <w:tcW w:w="1082" w:type="pct"/>
            <w:vAlign w:val="center"/>
          </w:tcPr>
          <w:p w14:paraId="4431B277">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3.11</w:t>
            </w:r>
          </w:p>
        </w:tc>
        <w:tc>
          <w:tcPr>
            <w:tcW w:w="885" w:type="pct"/>
            <w:vAlign w:val="center"/>
          </w:tcPr>
          <w:p w14:paraId="1B57022F">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358</w:t>
            </w:r>
          </w:p>
        </w:tc>
        <w:tc>
          <w:tcPr>
            <w:tcW w:w="883" w:type="pct"/>
            <w:vAlign w:val="center"/>
          </w:tcPr>
          <w:p w14:paraId="583D6E86">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5.10</w:t>
            </w:r>
          </w:p>
        </w:tc>
        <w:tc>
          <w:tcPr>
            <w:tcW w:w="891" w:type="pct"/>
            <w:vAlign w:val="center"/>
          </w:tcPr>
          <w:p w14:paraId="70557875">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351</w:t>
            </w:r>
          </w:p>
        </w:tc>
      </w:tr>
      <w:tr w14:paraId="522F279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50" w:hRule="atLeast"/>
        </w:trPr>
        <w:tc>
          <w:tcPr>
            <w:tcW w:w="635" w:type="pct"/>
            <w:vMerge w:val="continue"/>
            <w:vAlign w:val="center"/>
          </w:tcPr>
          <w:p w14:paraId="7CC44E61">
            <w:pPr>
              <w:spacing w:line="240" w:lineRule="auto"/>
              <w:ind w:firstLine="0" w:firstLineChars="0"/>
              <w:jc w:val="center"/>
              <w:rPr>
                <w:color w:val="000000" w:themeColor="text1"/>
                <w:kern w:val="0"/>
                <w:sz w:val="21"/>
                <w:szCs w:val="21"/>
                <w14:textFill>
                  <w14:solidFill>
                    <w14:schemeClr w14:val="tx1"/>
                  </w14:solidFill>
                </w14:textFill>
              </w:rPr>
            </w:pPr>
          </w:p>
        </w:tc>
        <w:tc>
          <w:tcPr>
            <w:tcW w:w="622" w:type="pct"/>
            <w:vAlign w:val="center"/>
          </w:tcPr>
          <w:p w14:paraId="146F752E">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垂线</w:t>
            </w:r>
          </w:p>
        </w:tc>
        <w:tc>
          <w:tcPr>
            <w:tcW w:w="1082" w:type="pct"/>
            <w:vAlign w:val="center"/>
          </w:tcPr>
          <w:p w14:paraId="024B53F6">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3.42</w:t>
            </w:r>
          </w:p>
        </w:tc>
        <w:tc>
          <w:tcPr>
            <w:tcW w:w="885" w:type="pct"/>
            <w:vAlign w:val="center"/>
          </w:tcPr>
          <w:p w14:paraId="49EF6521">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187</w:t>
            </w:r>
          </w:p>
        </w:tc>
        <w:tc>
          <w:tcPr>
            <w:tcW w:w="883" w:type="pct"/>
            <w:vAlign w:val="center"/>
          </w:tcPr>
          <w:p w14:paraId="436D782A">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3.58</w:t>
            </w:r>
          </w:p>
        </w:tc>
        <w:tc>
          <w:tcPr>
            <w:tcW w:w="891" w:type="pct"/>
            <w:vAlign w:val="center"/>
          </w:tcPr>
          <w:p w14:paraId="669D6417">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245</w:t>
            </w:r>
          </w:p>
        </w:tc>
      </w:tr>
      <w:tr w14:paraId="6AE3EC9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50" w:hRule="atLeast"/>
        </w:trPr>
        <w:tc>
          <w:tcPr>
            <w:tcW w:w="635" w:type="pct"/>
            <w:vMerge w:val="restart"/>
            <w:vAlign w:val="center"/>
          </w:tcPr>
          <w:p w14:paraId="153B52A2">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V9</w:t>
            </w:r>
          </w:p>
        </w:tc>
        <w:tc>
          <w:tcPr>
            <w:tcW w:w="622" w:type="pct"/>
            <w:vAlign w:val="center"/>
          </w:tcPr>
          <w:p w14:paraId="3F5D7496">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表层</w:t>
            </w:r>
          </w:p>
        </w:tc>
        <w:tc>
          <w:tcPr>
            <w:tcW w:w="1082" w:type="pct"/>
            <w:vAlign w:val="center"/>
          </w:tcPr>
          <w:p w14:paraId="70C66290">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20.43</w:t>
            </w:r>
          </w:p>
        </w:tc>
        <w:tc>
          <w:tcPr>
            <w:tcW w:w="885" w:type="pct"/>
            <w:vAlign w:val="center"/>
          </w:tcPr>
          <w:p w14:paraId="113544F8">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157</w:t>
            </w:r>
          </w:p>
        </w:tc>
        <w:tc>
          <w:tcPr>
            <w:tcW w:w="883" w:type="pct"/>
            <w:vAlign w:val="center"/>
          </w:tcPr>
          <w:p w14:paraId="1D8CDF6B">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13.35</w:t>
            </w:r>
          </w:p>
        </w:tc>
        <w:tc>
          <w:tcPr>
            <w:tcW w:w="891" w:type="pct"/>
            <w:vAlign w:val="center"/>
          </w:tcPr>
          <w:p w14:paraId="1CEBDE33">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162</w:t>
            </w:r>
          </w:p>
        </w:tc>
      </w:tr>
      <w:tr w14:paraId="49E4EA8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50" w:hRule="atLeast"/>
        </w:trPr>
        <w:tc>
          <w:tcPr>
            <w:tcW w:w="635" w:type="pct"/>
            <w:vMerge w:val="continue"/>
            <w:vAlign w:val="center"/>
          </w:tcPr>
          <w:p w14:paraId="555FC813">
            <w:pPr>
              <w:spacing w:line="240" w:lineRule="auto"/>
              <w:ind w:firstLine="0" w:firstLineChars="0"/>
              <w:jc w:val="center"/>
              <w:rPr>
                <w:color w:val="000000" w:themeColor="text1"/>
                <w:kern w:val="0"/>
                <w:sz w:val="21"/>
                <w:szCs w:val="21"/>
                <w14:textFill>
                  <w14:solidFill>
                    <w14:schemeClr w14:val="tx1"/>
                  </w14:solidFill>
                </w14:textFill>
              </w:rPr>
            </w:pPr>
          </w:p>
        </w:tc>
        <w:tc>
          <w:tcPr>
            <w:tcW w:w="622" w:type="pct"/>
            <w:vAlign w:val="center"/>
          </w:tcPr>
          <w:p w14:paraId="5C460B62">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0.2H</w:t>
            </w:r>
          </w:p>
        </w:tc>
        <w:tc>
          <w:tcPr>
            <w:tcW w:w="1082" w:type="pct"/>
            <w:vAlign w:val="center"/>
          </w:tcPr>
          <w:p w14:paraId="6F22C502">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18.49</w:t>
            </w:r>
          </w:p>
        </w:tc>
        <w:tc>
          <w:tcPr>
            <w:tcW w:w="885" w:type="pct"/>
            <w:vAlign w:val="center"/>
          </w:tcPr>
          <w:p w14:paraId="0D02DE4B">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151</w:t>
            </w:r>
          </w:p>
        </w:tc>
        <w:tc>
          <w:tcPr>
            <w:tcW w:w="883" w:type="pct"/>
            <w:vAlign w:val="center"/>
          </w:tcPr>
          <w:p w14:paraId="49F80306">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11.26</w:t>
            </w:r>
          </w:p>
        </w:tc>
        <w:tc>
          <w:tcPr>
            <w:tcW w:w="891" w:type="pct"/>
            <w:vAlign w:val="center"/>
          </w:tcPr>
          <w:p w14:paraId="478A0556">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152</w:t>
            </w:r>
          </w:p>
        </w:tc>
      </w:tr>
      <w:tr w14:paraId="7C237AD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50" w:hRule="atLeast"/>
        </w:trPr>
        <w:tc>
          <w:tcPr>
            <w:tcW w:w="635" w:type="pct"/>
            <w:vMerge w:val="continue"/>
            <w:vAlign w:val="center"/>
          </w:tcPr>
          <w:p w14:paraId="28541FDD">
            <w:pPr>
              <w:spacing w:line="240" w:lineRule="auto"/>
              <w:ind w:firstLine="0" w:firstLineChars="0"/>
              <w:jc w:val="center"/>
              <w:rPr>
                <w:color w:val="000000" w:themeColor="text1"/>
                <w:kern w:val="0"/>
                <w:sz w:val="21"/>
                <w:szCs w:val="21"/>
                <w14:textFill>
                  <w14:solidFill>
                    <w14:schemeClr w14:val="tx1"/>
                  </w14:solidFill>
                </w14:textFill>
              </w:rPr>
            </w:pPr>
          </w:p>
        </w:tc>
        <w:tc>
          <w:tcPr>
            <w:tcW w:w="622" w:type="pct"/>
            <w:vAlign w:val="center"/>
          </w:tcPr>
          <w:p w14:paraId="14F62168">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0.4H</w:t>
            </w:r>
          </w:p>
        </w:tc>
        <w:tc>
          <w:tcPr>
            <w:tcW w:w="1082" w:type="pct"/>
            <w:vAlign w:val="center"/>
          </w:tcPr>
          <w:p w14:paraId="5CB47C26">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11.50</w:t>
            </w:r>
          </w:p>
        </w:tc>
        <w:tc>
          <w:tcPr>
            <w:tcW w:w="885" w:type="pct"/>
            <w:vAlign w:val="center"/>
          </w:tcPr>
          <w:p w14:paraId="46558B6D">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176</w:t>
            </w:r>
          </w:p>
        </w:tc>
        <w:tc>
          <w:tcPr>
            <w:tcW w:w="883" w:type="pct"/>
            <w:vAlign w:val="center"/>
          </w:tcPr>
          <w:p w14:paraId="0C710D90">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9.86</w:t>
            </w:r>
          </w:p>
        </w:tc>
        <w:tc>
          <w:tcPr>
            <w:tcW w:w="891" w:type="pct"/>
            <w:vAlign w:val="center"/>
          </w:tcPr>
          <w:p w14:paraId="196C420E">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146</w:t>
            </w:r>
          </w:p>
        </w:tc>
      </w:tr>
      <w:tr w14:paraId="180253F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50" w:hRule="atLeast"/>
        </w:trPr>
        <w:tc>
          <w:tcPr>
            <w:tcW w:w="635" w:type="pct"/>
            <w:vMerge w:val="continue"/>
            <w:vAlign w:val="center"/>
          </w:tcPr>
          <w:p w14:paraId="0CEFBD94">
            <w:pPr>
              <w:spacing w:line="240" w:lineRule="auto"/>
              <w:ind w:firstLine="0" w:firstLineChars="0"/>
              <w:jc w:val="center"/>
              <w:rPr>
                <w:color w:val="000000" w:themeColor="text1"/>
                <w:kern w:val="0"/>
                <w:sz w:val="21"/>
                <w:szCs w:val="21"/>
                <w14:textFill>
                  <w14:solidFill>
                    <w14:schemeClr w14:val="tx1"/>
                  </w14:solidFill>
                </w14:textFill>
              </w:rPr>
            </w:pPr>
          </w:p>
        </w:tc>
        <w:tc>
          <w:tcPr>
            <w:tcW w:w="622" w:type="pct"/>
            <w:vAlign w:val="center"/>
          </w:tcPr>
          <w:p w14:paraId="1DBD3BED">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0.6H</w:t>
            </w:r>
          </w:p>
        </w:tc>
        <w:tc>
          <w:tcPr>
            <w:tcW w:w="1082" w:type="pct"/>
            <w:vAlign w:val="center"/>
          </w:tcPr>
          <w:p w14:paraId="576C057A">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8.91</w:t>
            </w:r>
          </w:p>
        </w:tc>
        <w:tc>
          <w:tcPr>
            <w:tcW w:w="885" w:type="pct"/>
            <w:vAlign w:val="center"/>
          </w:tcPr>
          <w:p w14:paraId="09832007">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176</w:t>
            </w:r>
          </w:p>
        </w:tc>
        <w:tc>
          <w:tcPr>
            <w:tcW w:w="883" w:type="pct"/>
            <w:vAlign w:val="center"/>
          </w:tcPr>
          <w:p w14:paraId="182385B8">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6.00</w:t>
            </w:r>
          </w:p>
        </w:tc>
        <w:tc>
          <w:tcPr>
            <w:tcW w:w="891" w:type="pct"/>
            <w:vAlign w:val="center"/>
          </w:tcPr>
          <w:p w14:paraId="3FF0A336">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105</w:t>
            </w:r>
          </w:p>
        </w:tc>
      </w:tr>
      <w:tr w14:paraId="33D9A63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50" w:hRule="atLeast"/>
        </w:trPr>
        <w:tc>
          <w:tcPr>
            <w:tcW w:w="635" w:type="pct"/>
            <w:vMerge w:val="continue"/>
            <w:vAlign w:val="center"/>
          </w:tcPr>
          <w:p w14:paraId="36D6539F">
            <w:pPr>
              <w:spacing w:line="240" w:lineRule="auto"/>
              <w:ind w:firstLine="0" w:firstLineChars="0"/>
              <w:jc w:val="center"/>
              <w:rPr>
                <w:color w:val="000000" w:themeColor="text1"/>
                <w:kern w:val="0"/>
                <w:sz w:val="21"/>
                <w:szCs w:val="21"/>
                <w14:textFill>
                  <w14:solidFill>
                    <w14:schemeClr w14:val="tx1"/>
                  </w14:solidFill>
                </w14:textFill>
              </w:rPr>
            </w:pPr>
          </w:p>
        </w:tc>
        <w:tc>
          <w:tcPr>
            <w:tcW w:w="622" w:type="pct"/>
            <w:vAlign w:val="center"/>
          </w:tcPr>
          <w:p w14:paraId="5F9079E9">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0.8H</w:t>
            </w:r>
          </w:p>
        </w:tc>
        <w:tc>
          <w:tcPr>
            <w:tcW w:w="1082" w:type="pct"/>
            <w:vAlign w:val="center"/>
          </w:tcPr>
          <w:p w14:paraId="0B7BFA91">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7.09</w:t>
            </w:r>
          </w:p>
        </w:tc>
        <w:tc>
          <w:tcPr>
            <w:tcW w:w="885" w:type="pct"/>
            <w:vAlign w:val="center"/>
          </w:tcPr>
          <w:p w14:paraId="572E2393">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147</w:t>
            </w:r>
          </w:p>
        </w:tc>
        <w:tc>
          <w:tcPr>
            <w:tcW w:w="883" w:type="pct"/>
            <w:vAlign w:val="center"/>
          </w:tcPr>
          <w:p w14:paraId="00AEDEA2">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5.56</w:t>
            </w:r>
          </w:p>
        </w:tc>
        <w:tc>
          <w:tcPr>
            <w:tcW w:w="891" w:type="pct"/>
            <w:vAlign w:val="center"/>
          </w:tcPr>
          <w:p w14:paraId="7E305ED3">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161</w:t>
            </w:r>
          </w:p>
        </w:tc>
      </w:tr>
      <w:tr w14:paraId="2353101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50" w:hRule="atLeast"/>
        </w:trPr>
        <w:tc>
          <w:tcPr>
            <w:tcW w:w="635" w:type="pct"/>
            <w:vMerge w:val="continue"/>
            <w:vAlign w:val="center"/>
          </w:tcPr>
          <w:p w14:paraId="178B2F13">
            <w:pPr>
              <w:spacing w:line="240" w:lineRule="auto"/>
              <w:ind w:firstLine="0" w:firstLineChars="0"/>
              <w:jc w:val="center"/>
              <w:rPr>
                <w:color w:val="000000" w:themeColor="text1"/>
                <w:kern w:val="0"/>
                <w:sz w:val="21"/>
                <w:szCs w:val="21"/>
                <w14:textFill>
                  <w14:solidFill>
                    <w14:schemeClr w14:val="tx1"/>
                  </w14:solidFill>
                </w14:textFill>
              </w:rPr>
            </w:pPr>
          </w:p>
        </w:tc>
        <w:tc>
          <w:tcPr>
            <w:tcW w:w="622" w:type="pct"/>
            <w:vAlign w:val="center"/>
          </w:tcPr>
          <w:p w14:paraId="0F979201">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底层</w:t>
            </w:r>
          </w:p>
        </w:tc>
        <w:tc>
          <w:tcPr>
            <w:tcW w:w="1082" w:type="pct"/>
            <w:vAlign w:val="center"/>
          </w:tcPr>
          <w:p w14:paraId="4007E01E">
            <w:pPr>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4.18</w:t>
            </w:r>
          </w:p>
        </w:tc>
        <w:tc>
          <w:tcPr>
            <w:tcW w:w="885" w:type="pct"/>
            <w:vAlign w:val="center"/>
          </w:tcPr>
          <w:p w14:paraId="0A283C84">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153</w:t>
            </w:r>
          </w:p>
        </w:tc>
        <w:tc>
          <w:tcPr>
            <w:tcW w:w="883" w:type="pct"/>
            <w:vAlign w:val="center"/>
          </w:tcPr>
          <w:p w14:paraId="6683C936">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5.65</w:t>
            </w:r>
          </w:p>
        </w:tc>
        <w:tc>
          <w:tcPr>
            <w:tcW w:w="891" w:type="pct"/>
            <w:vAlign w:val="center"/>
          </w:tcPr>
          <w:p w14:paraId="25157340">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206</w:t>
            </w:r>
          </w:p>
        </w:tc>
      </w:tr>
      <w:tr w14:paraId="3A425CB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64" w:hRule="atLeast"/>
        </w:trPr>
        <w:tc>
          <w:tcPr>
            <w:tcW w:w="635" w:type="pct"/>
            <w:vMerge w:val="continue"/>
            <w:vAlign w:val="center"/>
          </w:tcPr>
          <w:p w14:paraId="3771E5FC">
            <w:pPr>
              <w:spacing w:line="240" w:lineRule="auto"/>
              <w:ind w:firstLine="0" w:firstLineChars="0"/>
              <w:jc w:val="center"/>
              <w:rPr>
                <w:color w:val="000000" w:themeColor="text1"/>
                <w:kern w:val="0"/>
                <w:sz w:val="21"/>
                <w:szCs w:val="21"/>
                <w14:textFill>
                  <w14:solidFill>
                    <w14:schemeClr w14:val="tx1"/>
                  </w14:solidFill>
                </w14:textFill>
              </w:rPr>
            </w:pPr>
          </w:p>
        </w:tc>
        <w:tc>
          <w:tcPr>
            <w:tcW w:w="622" w:type="pct"/>
            <w:vAlign w:val="center"/>
          </w:tcPr>
          <w:p w14:paraId="0D1CB2D8">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垂线</w:t>
            </w:r>
          </w:p>
        </w:tc>
        <w:tc>
          <w:tcPr>
            <w:tcW w:w="1082" w:type="pct"/>
            <w:vAlign w:val="center"/>
          </w:tcPr>
          <w:p w14:paraId="164B6A65">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11.83</w:t>
            </w:r>
          </w:p>
        </w:tc>
        <w:tc>
          <w:tcPr>
            <w:tcW w:w="885" w:type="pct"/>
            <w:vAlign w:val="center"/>
          </w:tcPr>
          <w:p w14:paraId="5EDD02EA">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160</w:t>
            </w:r>
          </w:p>
        </w:tc>
        <w:tc>
          <w:tcPr>
            <w:tcW w:w="883" w:type="pct"/>
            <w:vAlign w:val="center"/>
          </w:tcPr>
          <w:p w14:paraId="03E2CC91">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8.13</w:t>
            </w:r>
          </w:p>
        </w:tc>
        <w:tc>
          <w:tcPr>
            <w:tcW w:w="891" w:type="pct"/>
            <w:vAlign w:val="center"/>
          </w:tcPr>
          <w:p w14:paraId="1103A5B8">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154</w:t>
            </w:r>
          </w:p>
        </w:tc>
      </w:tr>
    </w:tbl>
    <w:p w14:paraId="2A800431">
      <w:pPr>
        <w:spacing w:line="120" w:lineRule="exact"/>
        <w:ind w:firstLine="0" w:firstLineChars="0"/>
        <w:jc w:val="center"/>
        <w:rPr>
          <w:color w:val="000000" w:themeColor="text1"/>
          <w:kern w:val="0"/>
          <w:sz w:val="10"/>
          <w:szCs w:val="4"/>
          <w14:textFill>
            <w14:solidFill>
              <w14:schemeClr w14:val="tx1"/>
            </w14:solidFill>
          </w14:textFill>
        </w:rPr>
      </w:pPr>
    </w:p>
    <w:tbl>
      <w:tblPr>
        <w:tblStyle w:val="43"/>
        <w:tblW w:w="5000" w:type="pct"/>
        <w:tblInd w:w="0" w:type="dxa"/>
        <w:tblLayout w:type="autofit"/>
        <w:tblCellMar>
          <w:top w:w="0" w:type="dxa"/>
          <w:left w:w="108" w:type="dxa"/>
          <w:bottom w:w="0" w:type="dxa"/>
          <w:right w:w="108" w:type="dxa"/>
        </w:tblCellMar>
      </w:tblPr>
      <w:tblGrid>
        <w:gridCol w:w="4247"/>
        <w:gridCol w:w="4275"/>
      </w:tblGrid>
      <w:tr w14:paraId="71B42571">
        <w:tblPrEx>
          <w:tblCellMar>
            <w:top w:w="0" w:type="dxa"/>
            <w:left w:w="108" w:type="dxa"/>
            <w:bottom w:w="0" w:type="dxa"/>
            <w:right w:w="108" w:type="dxa"/>
          </w:tblCellMar>
        </w:tblPrEx>
        <w:tc>
          <w:tcPr>
            <w:tcW w:w="2500" w:type="pct"/>
            <w:vAlign w:val="center"/>
          </w:tcPr>
          <w:p w14:paraId="4F4F2536">
            <w:pPr>
              <w:ind w:firstLine="0" w:firstLineChars="0"/>
              <w:jc w:val="center"/>
              <w:rPr>
                <w:color w:val="000000" w:themeColor="text1"/>
                <w:kern w:val="0"/>
                <w:szCs w:val="20"/>
                <w14:textFill>
                  <w14:solidFill>
                    <w14:schemeClr w14:val="tx1"/>
                  </w14:solidFill>
                </w14:textFill>
              </w:rPr>
            </w:pPr>
            <w:r>
              <w:rPr>
                <w:color w:val="000000" w:themeColor="text1"/>
                <w:kern w:val="0"/>
                <w:szCs w:val="20"/>
                <w14:textFill>
                  <w14:solidFill>
                    <w14:schemeClr w14:val="tx1"/>
                  </w14:solidFill>
                </w14:textFill>
              </w:rPr>
              <w:drawing>
                <wp:inline distT="0" distB="0" distL="0" distR="0">
                  <wp:extent cx="2752725" cy="2533650"/>
                  <wp:effectExtent l="0" t="0" r="9525"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a:xfrm>
                            <a:off x="0" y="0"/>
                            <a:ext cx="2752725" cy="2533650"/>
                          </a:xfrm>
                          <a:prstGeom prst="rect">
                            <a:avLst/>
                          </a:prstGeom>
                          <a:noFill/>
                          <a:ln>
                            <a:noFill/>
                          </a:ln>
                          <a:effectLst/>
                        </pic:spPr>
                      </pic:pic>
                    </a:graphicData>
                  </a:graphic>
                </wp:inline>
              </w:drawing>
            </w:r>
          </w:p>
        </w:tc>
        <w:tc>
          <w:tcPr>
            <w:tcW w:w="2500" w:type="pct"/>
            <w:vAlign w:val="center"/>
          </w:tcPr>
          <w:p w14:paraId="1C3BB8DF">
            <w:pPr>
              <w:ind w:firstLine="0" w:firstLineChars="0"/>
              <w:jc w:val="center"/>
              <w:rPr>
                <w:color w:val="000000" w:themeColor="text1"/>
                <w:kern w:val="0"/>
                <w:szCs w:val="20"/>
                <w14:textFill>
                  <w14:solidFill>
                    <w14:schemeClr w14:val="tx1"/>
                  </w14:solidFill>
                </w14:textFill>
              </w:rPr>
            </w:pPr>
            <w:r>
              <w:rPr>
                <w:color w:val="000000" w:themeColor="text1"/>
                <w:kern w:val="0"/>
                <w:szCs w:val="20"/>
                <w14:textFill>
                  <w14:solidFill>
                    <w14:schemeClr w14:val="tx1"/>
                  </w14:solidFill>
                </w14:textFill>
              </w:rPr>
              <w:drawing>
                <wp:inline distT="0" distB="0" distL="0" distR="0">
                  <wp:extent cx="2781300" cy="2533650"/>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a:xfrm>
                            <a:off x="0" y="0"/>
                            <a:ext cx="2781300" cy="2533650"/>
                          </a:xfrm>
                          <a:prstGeom prst="rect">
                            <a:avLst/>
                          </a:prstGeom>
                          <a:noFill/>
                          <a:ln>
                            <a:noFill/>
                          </a:ln>
                        </pic:spPr>
                      </pic:pic>
                    </a:graphicData>
                  </a:graphic>
                </wp:inline>
              </w:drawing>
            </w:r>
          </w:p>
        </w:tc>
      </w:tr>
    </w:tbl>
    <w:p w14:paraId="61169373">
      <w:pPr>
        <w:spacing w:line="240" w:lineRule="auto"/>
        <w:ind w:firstLine="2160" w:firstLineChars="900"/>
        <w:rPr>
          <w:color w:val="000000" w:themeColor="text1"/>
          <w:kern w:val="0"/>
          <w:szCs w:val="20"/>
          <w14:textFill>
            <w14:solidFill>
              <w14:schemeClr w14:val="tx1"/>
            </w14:solidFill>
          </w14:textFill>
        </w:rPr>
      </w:pPr>
      <w:r>
        <w:rPr>
          <w:color w:val="000000" w:themeColor="text1"/>
          <w:kern w:val="0"/>
          <w:szCs w:val="20"/>
          <w14:textFill>
            <w14:solidFill>
              <w14:schemeClr w14:val="tx1"/>
            </w14:solidFill>
          </w14:textFill>
        </w:rPr>
        <w:t>小潮</w:t>
      </w:r>
      <w:r>
        <w:rPr>
          <w:rFonts w:hint="eastAsia"/>
          <w:color w:val="000000" w:themeColor="text1"/>
          <w:kern w:val="0"/>
          <w:szCs w:val="20"/>
          <w14:textFill>
            <w14:solidFill>
              <w14:schemeClr w14:val="tx1"/>
            </w14:solidFill>
          </w14:textFill>
        </w:rPr>
        <w:t xml:space="preserve">                                  </w:t>
      </w:r>
      <w:r>
        <w:rPr>
          <w:color w:val="000000" w:themeColor="text1"/>
          <w:kern w:val="0"/>
          <w:szCs w:val="20"/>
          <w14:textFill>
            <w14:solidFill>
              <w14:schemeClr w14:val="tx1"/>
            </w14:solidFill>
          </w14:textFill>
        </w:rPr>
        <w:t>大潮</w:t>
      </w:r>
    </w:p>
    <w:p w14:paraId="5C6D86B2">
      <w:pPr>
        <w:ind w:firstLine="0" w:firstLineChars="0"/>
        <w:jc w:val="center"/>
        <w:rPr>
          <w:b/>
          <w:bCs/>
          <w:color w:val="000000" w:themeColor="text1"/>
          <w:kern w:val="0"/>
          <w:szCs w:val="20"/>
          <w14:textFill>
            <w14:solidFill>
              <w14:schemeClr w14:val="tx1"/>
            </w14:solidFill>
          </w14:textFill>
        </w:rPr>
      </w:pPr>
      <w:r>
        <w:rPr>
          <w:b/>
          <w:bCs/>
          <w:color w:val="000000" w:themeColor="text1"/>
          <w:kern w:val="0"/>
          <w:szCs w:val="20"/>
          <w14:textFill>
            <w14:solidFill>
              <w14:schemeClr w14:val="tx1"/>
            </w14:solidFill>
          </w14:textFill>
        </w:rPr>
        <w:t>图3.</w:t>
      </w:r>
      <w:r>
        <w:rPr>
          <w:rFonts w:hint="eastAsia"/>
          <w:b/>
          <w:bCs/>
          <w:color w:val="000000" w:themeColor="text1"/>
          <w:kern w:val="0"/>
          <w:szCs w:val="20"/>
          <w14:textFill>
            <w14:solidFill>
              <w14:schemeClr w14:val="tx1"/>
            </w14:solidFill>
          </w14:textFill>
        </w:rPr>
        <w:t xml:space="preserve">7-6 </w:t>
      </w:r>
      <w:r>
        <w:rPr>
          <w:b/>
          <w:bCs/>
          <w:color w:val="000000" w:themeColor="text1"/>
          <w:kern w:val="0"/>
          <w:szCs w:val="20"/>
          <w14:textFill>
            <w14:solidFill>
              <w14:schemeClr w14:val="tx1"/>
            </w14:solidFill>
          </w14:textFill>
        </w:rPr>
        <w:t>各潮流站垂线平均余流矢量图</w:t>
      </w:r>
    </w:p>
    <w:p w14:paraId="395D5E52">
      <w:pPr>
        <w:ind w:firstLine="480"/>
        <w:rPr>
          <w:snapToGrid w:val="0"/>
          <w:color w:val="000000" w:themeColor="text1"/>
          <w14:textFill>
            <w14:solidFill>
              <w14:schemeClr w14:val="tx1"/>
            </w14:solidFill>
          </w14:textFill>
        </w:rPr>
        <w:sectPr>
          <w:headerReference r:id="rId29" w:type="default"/>
          <w:pgSz w:w="11906" w:h="16838"/>
          <w:pgMar w:top="1440" w:right="1800" w:bottom="1440" w:left="1800" w:header="851" w:footer="680" w:gutter="0"/>
          <w:pgBorders>
            <w:top w:val="none" w:sz="0" w:space="0"/>
            <w:left w:val="none" w:sz="0" w:space="0"/>
            <w:bottom w:val="none" w:sz="0" w:space="0"/>
            <w:right w:val="none" w:sz="0" w:space="0"/>
          </w:pgBorders>
          <w:pgNumType w:fmt="numberInDash"/>
          <w:cols w:space="720" w:num="1"/>
          <w:docGrid w:type="lines" w:linePitch="312" w:charSpace="0"/>
        </w:sectPr>
      </w:pPr>
    </w:p>
    <w:p w14:paraId="03B6B63D">
      <w:pPr>
        <w:pStyle w:val="3"/>
        <w:rPr>
          <w:color w:val="000000" w:themeColor="text1"/>
          <w14:textFill>
            <w14:solidFill>
              <w14:schemeClr w14:val="tx1"/>
            </w14:solidFill>
          </w14:textFill>
        </w:rPr>
      </w:pPr>
      <w:bookmarkStart w:id="641" w:name="_Toc216620565"/>
      <w:r>
        <w:rPr>
          <w:color w:val="000000" w:themeColor="text1"/>
          <w14:textFill>
            <w14:solidFill>
              <w14:schemeClr w14:val="tx1"/>
            </w14:solidFill>
          </w14:textFill>
        </w:rPr>
        <w:t>环境影响预测与评价</w:t>
      </w:r>
      <w:bookmarkEnd w:id="641"/>
    </w:p>
    <w:p w14:paraId="44FE3E76">
      <w:pPr>
        <w:pStyle w:val="5"/>
        <w:rPr>
          <w:color w:val="000000" w:themeColor="text1"/>
          <w14:textFill>
            <w14:solidFill>
              <w14:schemeClr w14:val="tx1"/>
            </w14:solidFill>
          </w14:textFill>
        </w:rPr>
      </w:pPr>
      <w:bookmarkStart w:id="642" w:name="_Toc216620566"/>
      <w:r>
        <w:rPr>
          <w:color w:val="000000" w:themeColor="text1"/>
          <w14:textFill>
            <w14:solidFill>
              <w14:schemeClr w14:val="tx1"/>
            </w14:solidFill>
          </w14:textFill>
        </w:rPr>
        <w:t>海洋环境影响分析</w:t>
      </w:r>
      <w:bookmarkEnd w:id="642"/>
    </w:p>
    <w:p w14:paraId="0B863C77">
      <w:pPr>
        <w:pStyle w:val="4"/>
        <w:rPr>
          <w:color w:val="000000" w:themeColor="text1"/>
          <w14:textFill>
            <w14:solidFill>
              <w14:schemeClr w14:val="tx1"/>
            </w14:solidFill>
          </w14:textFill>
        </w:rPr>
      </w:pPr>
      <w:bookmarkStart w:id="643" w:name="_Toc216620567"/>
      <w:bookmarkStart w:id="644" w:name="_Toc216103408"/>
      <w:r>
        <w:rPr>
          <w:rFonts w:hint="eastAsia"/>
          <w:color w:val="000000" w:themeColor="text1"/>
          <w14:textFill>
            <w14:solidFill>
              <w14:schemeClr w14:val="tx1"/>
            </w14:solidFill>
          </w14:textFill>
        </w:rPr>
        <w:t>施工期海洋生态环境影响</w:t>
      </w:r>
      <w:bookmarkEnd w:id="643"/>
      <w:bookmarkEnd w:id="644"/>
    </w:p>
    <w:p w14:paraId="1DD8DB51">
      <w:pPr>
        <w:ind w:firstLine="480"/>
        <w:rPr>
          <w:b/>
          <w:bCs/>
          <w:color w:val="000000" w:themeColor="text1"/>
          <w14:textFill>
            <w14:solidFill>
              <w14:schemeClr w14:val="tx1"/>
            </w14:solidFill>
          </w14:textFill>
        </w:rPr>
      </w:pPr>
      <w:r>
        <w:rPr>
          <w:rFonts w:hint="eastAsia"/>
          <w:color w:val="000000" w:themeColor="text1"/>
          <w14:textFill>
            <w14:solidFill>
              <w14:schemeClr w14:val="tx1"/>
            </w14:solidFill>
          </w14:textFill>
        </w:rPr>
        <w:t>船舶施工过程中只有装卸臂运输涉及在海洋中移船作业，此项工作会对局部区域海洋生物造成一定影响，这种影响只是暂时的、局部的；且本项目海洋施工时间较短，待施工结束后影响也随之消失。</w:t>
      </w:r>
    </w:p>
    <w:p w14:paraId="153069A4">
      <w:pPr>
        <w:pStyle w:val="4"/>
        <w:rPr>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 </w:t>
      </w:r>
      <w:bookmarkStart w:id="645" w:name="_Toc216103409"/>
      <w:bookmarkStart w:id="646" w:name="_Toc216620568"/>
      <w:r>
        <w:rPr>
          <w:rFonts w:hint="eastAsia"/>
          <w:color w:val="000000" w:themeColor="text1"/>
          <w14:textFill>
            <w14:solidFill>
              <w14:schemeClr w14:val="tx1"/>
            </w14:solidFill>
          </w14:textFill>
        </w:rPr>
        <w:t>运营期海洋生态环境影响</w:t>
      </w:r>
      <w:bookmarkEnd w:id="645"/>
      <w:bookmarkEnd w:id="646"/>
    </w:p>
    <w:p w14:paraId="5FE405E2">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本项目不改变14号泊位涉及的建设标准、用海范围、水工结构，营运期不涉及海洋工程，正常状况下不会对海洋生态环境产生大的不利影响。</w:t>
      </w:r>
    </w:p>
    <w:p w14:paraId="5C56D19A">
      <w:pPr>
        <w:pStyle w:val="4"/>
        <w:rPr>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 </w:t>
      </w:r>
      <w:bookmarkStart w:id="647" w:name="_Toc216620569"/>
      <w:bookmarkStart w:id="648" w:name="_Toc216103410"/>
      <w:r>
        <w:rPr>
          <w:rFonts w:hint="eastAsia"/>
          <w:color w:val="000000" w:themeColor="text1"/>
          <w14:textFill>
            <w14:solidFill>
              <w14:schemeClr w14:val="tx1"/>
            </w14:solidFill>
          </w14:textFill>
        </w:rPr>
        <w:t>环境敏感区影响分析</w:t>
      </w:r>
      <w:bookmarkEnd w:id="647"/>
      <w:bookmarkEnd w:id="648"/>
    </w:p>
    <w:p w14:paraId="6FF0B917">
      <w:pPr>
        <w:ind w:firstLine="480"/>
        <w:rPr>
          <w:b/>
          <w:bCs/>
          <w:color w:val="000000" w:themeColor="text1"/>
          <w14:textFill>
            <w14:solidFill>
              <w14:schemeClr w14:val="tx1"/>
            </w14:solidFill>
          </w14:textFill>
        </w:rPr>
      </w:pPr>
      <w:r>
        <w:rPr>
          <w:rFonts w:hint="eastAsia"/>
          <w:color w:val="000000" w:themeColor="text1"/>
          <w14:textFill>
            <w14:solidFill>
              <w14:schemeClr w14:val="tx1"/>
            </w14:solidFill>
          </w14:textFill>
        </w:rPr>
        <w:t>项目施工不会涉及生态敏感区的扰动。另外，本工程不在环境敏感区及其</w:t>
      </w:r>
      <w:r>
        <w:rPr>
          <w:rFonts w:hint="eastAsia"/>
          <w:color w:val="000000" w:themeColor="text1"/>
          <w:lang w:eastAsia="zh-CN"/>
          <w14:textFill>
            <w14:solidFill>
              <w14:schemeClr w14:val="tx1"/>
            </w14:solidFill>
          </w14:textFill>
        </w:rPr>
        <w:t>邻近</w:t>
      </w:r>
      <w:r>
        <w:rPr>
          <w:rFonts w:hint="eastAsia"/>
          <w:color w:val="000000" w:themeColor="text1"/>
          <w14:textFill>
            <w14:solidFill>
              <w14:schemeClr w14:val="tx1"/>
            </w14:solidFill>
          </w14:textFill>
        </w:rPr>
        <w:t>范围内设置临时用地，不存在施工活动，总体来看，施工期对环境敏感区无影响。正常工况下，本工程运营期对周围环境敏感区无影响；根据事故状态下预测结果，在钦州湾处发生化学品泄漏时，会对沿线生态敏感区产生一定不利影响，详见5风险预测与评价章节。</w:t>
      </w:r>
    </w:p>
    <w:p w14:paraId="21E6FA6C">
      <w:pPr>
        <w:pStyle w:val="5"/>
        <w:rPr>
          <w:color w:val="000000" w:themeColor="text1"/>
          <w14:textFill>
            <w14:solidFill>
              <w14:schemeClr w14:val="tx1"/>
            </w14:solidFill>
          </w14:textFill>
        </w:rPr>
      </w:pPr>
      <w:bookmarkStart w:id="649" w:name="_Toc216620570"/>
      <w:r>
        <w:rPr>
          <w:color w:val="000000" w:themeColor="text1"/>
          <w14:textFill>
            <w14:solidFill>
              <w14:schemeClr w14:val="tx1"/>
            </w14:solidFill>
          </w14:textFill>
        </w:rPr>
        <w:t>施工期环境影响分析</w:t>
      </w:r>
      <w:bookmarkEnd w:id="649"/>
    </w:p>
    <w:p w14:paraId="349E679A">
      <w:pPr>
        <w:pStyle w:val="4"/>
        <w:rPr>
          <w:color w:val="000000" w:themeColor="text1"/>
          <w14:textFill>
            <w14:solidFill>
              <w14:schemeClr w14:val="tx1"/>
            </w14:solidFill>
          </w14:textFill>
        </w:rPr>
      </w:pPr>
      <w:bookmarkStart w:id="650" w:name="_Toc26910031"/>
      <w:bookmarkStart w:id="651" w:name="_Toc25436981"/>
      <w:bookmarkStart w:id="652" w:name="_Toc29131844"/>
      <w:bookmarkStart w:id="653" w:name="_Toc216103412"/>
      <w:bookmarkStart w:id="654" w:name="_Toc135090242"/>
      <w:bookmarkStart w:id="655" w:name="_Toc136878508"/>
      <w:bookmarkStart w:id="656" w:name="_Toc216620571"/>
      <w:r>
        <w:rPr>
          <w:color w:val="000000" w:themeColor="text1"/>
          <w14:textFill>
            <w14:solidFill>
              <w14:schemeClr w14:val="tx1"/>
            </w14:solidFill>
          </w14:textFill>
        </w:rPr>
        <w:t>施工期大气影响分析</w:t>
      </w:r>
      <w:bookmarkEnd w:id="650"/>
      <w:bookmarkEnd w:id="651"/>
      <w:bookmarkEnd w:id="652"/>
      <w:bookmarkEnd w:id="653"/>
      <w:bookmarkEnd w:id="654"/>
      <w:bookmarkEnd w:id="655"/>
      <w:bookmarkEnd w:id="656"/>
    </w:p>
    <w:p w14:paraId="25419A83">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施工期大气污染源主要有施工扬尘、施工机械废气、焊接烟尘等。这些污染物将对环境空气造成一定程度的污染，但这种污染是短期的，工程结束后将不复存在。</w:t>
      </w:r>
    </w:p>
    <w:p w14:paraId="45F2B414">
      <w:pPr>
        <w:pStyle w:val="6"/>
        <w:rPr>
          <w:color w:val="000000" w:themeColor="text1"/>
          <w14:textFill>
            <w14:solidFill>
              <w14:schemeClr w14:val="tx1"/>
            </w14:solidFill>
          </w14:textFill>
        </w:rPr>
      </w:pPr>
      <w:r>
        <w:rPr>
          <w:color w:val="000000" w:themeColor="text1"/>
          <w14:textFill>
            <w14:solidFill>
              <w14:schemeClr w14:val="tx1"/>
            </w14:solidFill>
          </w14:textFill>
        </w:rPr>
        <w:t>施工扬尘影响分析</w:t>
      </w:r>
    </w:p>
    <w:p w14:paraId="680EEFCE">
      <w:pPr>
        <w:ind w:firstLine="480"/>
        <w:rPr>
          <w:color w:val="000000" w:themeColor="text1"/>
          <w14:textFill>
            <w14:solidFill>
              <w14:schemeClr w14:val="tx1"/>
            </w14:solidFill>
          </w14:textFill>
        </w:rPr>
      </w:pPr>
      <w:r>
        <w:rPr>
          <w:color w:val="000000" w:themeColor="text1"/>
          <w14:textFill>
            <w14:solidFill>
              <w14:schemeClr w14:val="tx1"/>
            </w14:solidFill>
          </w14:textFill>
        </w:rPr>
        <w:t>项目施工扬尘主要为建筑施工和物料装卸与运输阶段产生的，大气污染因子主要是SO</w:t>
      </w:r>
      <w:r>
        <w:rPr>
          <w:color w:val="000000" w:themeColor="text1"/>
          <w:vertAlign w:val="subscript"/>
          <w14:textFill>
            <w14:solidFill>
              <w14:schemeClr w14:val="tx1"/>
            </w14:solidFill>
          </w14:textFill>
        </w:rPr>
        <w:t>2</w:t>
      </w:r>
      <w:r>
        <w:rPr>
          <w:color w:val="000000" w:themeColor="text1"/>
          <w14:textFill>
            <w14:solidFill>
              <w14:schemeClr w14:val="tx1"/>
            </w14:solidFill>
          </w14:textFill>
        </w:rPr>
        <w:t>、TSP、CO。扬尘的排放与土石方、建筑材料中的含水率成反比，与施工场地的面积和施工活动频率成正比，同时与当地期限条件如风速、湿度、日照等也有很大关系。</w:t>
      </w:r>
    </w:p>
    <w:p w14:paraId="1BE29793">
      <w:pPr>
        <w:ind w:firstLine="480"/>
        <w:rPr>
          <w:color w:val="000000" w:themeColor="text1"/>
          <w14:textFill>
            <w14:solidFill>
              <w14:schemeClr w14:val="tx1"/>
            </w14:solidFill>
          </w14:textFill>
        </w:rPr>
      </w:pPr>
      <w:r>
        <w:rPr>
          <w:color w:val="000000" w:themeColor="text1"/>
          <w14:textFill>
            <w14:solidFill>
              <w14:schemeClr w14:val="tx1"/>
            </w14:solidFill>
          </w14:textFill>
        </w:rPr>
        <w:t>正常情况下，施工作业的扬尘影响范围一般都在距离施工现场100m之内，根据对一些施工现场的监测结果，距离施工现场100m处，施工粉尘的浓度约在0.12~0.79mg/m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之间。施工及运输车辆引起的扬尘对路边30m范围内影响较大，而且呈线型污染，路边的TSP浓度可达10mg/m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以上。</w:t>
      </w:r>
    </w:p>
    <w:p w14:paraId="78F68BDB">
      <w:pPr>
        <w:ind w:firstLine="480"/>
        <w:rPr>
          <w:color w:val="000000" w:themeColor="text1"/>
          <w14:textFill>
            <w14:solidFill>
              <w14:schemeClr w14:val="tx1"/>
            </w14:solidFill>
          </w14:textFill>
        </w:rPr>
      </w:pPr>
      <w:r>
        <w:rPr>
          <w:color w:val="000000" w:themeColor="text1"/>
          <w14:textFill>
            <w14:solidFill>
              <w14:schemeClr w14:val="tx1"/>
            </w14:solidFill>
          </w14:textFill>
        </w:rPr>
        <w:t>本项目周边100m范围内无敏感点，周边居民环境基本不受本项目施工影响。</w:t>
      </w:r>
    </w:p>
    <w:p w14:paraId="02A0136F">
      <w:pPr>
        <w:pStyle w:val="6"/>
        <w:rPr>
          <w:color w:val="000000" w:themeColor="text1"/>
          <w14:textFill>
            <w14:solidFill>
              <w14:schemeClr w14:val="tx1"/>
            </w14:solidFill>
          </w14:textFill>
        </w:rPr>
      </w:pPr>
      <w:r>
        <w:rPr>
          <w:color w:val="000000" w:themeColor="text1"/>
          <w14:textFill>
            <w14:solidFill>
              <w14:schemeClr w14:val="tx1"/>
            </w14:solidFill>
          </w14:textFill>
        </w:rPr>
        <w:t>施工机械废气、船舶废气影响分析</w:t>
      </w:r>
    </w:p>
    <w:p w14:paraId="0C0E4C74">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施工期间，运输汽车、运输船舶等大型机械施工中，由于使用柴油机等设备，将产生燃烧烟气，主要污染物为SO2、NO2等。本项目所在区域地势开阔，有利于空气的扩散，同时空气污染源具有间歇性和流动性，因此对局部地区的环境影响较轻。</w:t>
      </w:r>
    </w:p>
    <w:p w14:paraId="0BB3C367">
      <w:pPr>
        <w:pStyle w:val="6"/>
        <w:rPr>
          <w:color w:val="000000" w:themeColor="text1"/>
          <w14:textFill>
            <w14:solidFill>
              <w14:schemeClr w14:val="tx1"/>
            </w14:solidFill>
          </w14:textFill>
        </w:rPr>
      </w:pPr>
      <w:r>
        <w:rPr>
          <w:color w:val="000000" w:themeColor="text1"/>
          <w14:textFill>
            <w14:solidFill>
              <w14:schemeClr w14:val="tx1"/>
            </w14:solidFill>
          </w14:textFill>
        </w:rPr>
        <w:t>焊接废气</w:t>
      </w:r>
    </w:p>
    <w:p w14:paraId="2F4ED593">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项目设备、管道焊接过程中会产生少量焊接烟气。本项目所在区域地势开阔，空气扩散条件较好，经大气扩散后涂漆废气、焊接烟尘对周围环境空气影响较小。焊接烟尘、涂漆废气为短期产生，随着施工的结束，烟尘及涂漆废气的环境影响将消失。</w:t>
      </w:r>
    </w:p>
    <w:p w14:paraId="1E68F214">
      <w:pPr>
        <w:pStyle w:val="4"/>
        <w:rPr>
          <w:color w:val="000000" w:themeColor="text1"/>
          <w14:textFill>
            <w14:solidFill>
              <w14:schemeClr w14:val="tx1"/>
            </w14:solidFill>
          </w14:textFill>
        </w:rPr>
      </w:pPr>
      <w:bookmarkStart w:id="657" w:name="_Toc26910032"/>
      <w:bookmarkStart w:id="658" w:name="_Toc216103413"/>
      <w:bookmarkStart w:id="659" w:name="_Toc25436982"/>
      <w:bookmarkStart w:id="660" w:name="_Toc136878509"/>
      <w:bookmarkStart w:id="661" w:name="_Toc135090243"/>
      <w:bookmarkStart w:id="662" w:name="_Toc29131845"/>
      <w:bookmarkStart w:id="663" w:name="_Toc216620572"/>
      <w:r>
        <w:rPr>
          <w:color w:val="000000" w:themeColor="text1"/>
          <w14:textFill>
            <w14:solidFill>
              <w14:schemeClr w14:val="tx1"/>
            </w14:solidFill>
          </w14:textFill>
        </w:rPr>
        <w:t>施工期水影响分析</w:t>
      </w:r>
      <w:bookmarkEnd w:id="657"/>
      <w:bookmarkEnd w:id="658"/>
      <w:bookmarkEnd w:id="659"/>
      <w:bookmarkEnd w:id="660"/>
      <w:bookmarkEnd w:id="661"/>
      <w:bookmarkEnd w:id="662"/>
      <w:bookmarkEnd w:id="663"/>
    </w:p>
    <w:p w14:paraId="36449425">
      <w:pPr>
        <w:pStyle w:val="6"/>
        <w:rPr>
          <w:color w:val="000000" w:themeColor="text1"/>
          <w14:textFill>
            <w14:solidFill>
              <w14:schemeClr w14:val="tx1"/>
            </w14:solidFill>
          </w14:textFill>
        </w:rPr>
      </w:pPr>
      <w:r>
        <w:rPr>
          <w:color w:val="000000" w:themeColor="text1"/>
          <w14:textFill>
            <w14:solidFill>
              <w14:schemeClr w14:val="tx1"/>
            </w14:solidFill>
          </w14:textFill>
        </w:rPr>
        <w:t>施工船舶污水</w:t>
      </w:r>
    </w:p>
    <w:p w14:paraId="56ED1E7F">
      <w:pPr>
        <w:ind w:firstLine="480"/>
        <w:rPr>
          <w:color w:val="000000" w:themeColor="text1"/>
          <w14:textFill>
            <w14:solidFill>
              <w14:schemeClr w14:val="tx1"/>
            </w14:solidFill>
          </w14:textFill>
        </w:rPr>
      </w:pPr>
      <w:r>
        <w:rPr>
          <w:color w:val="000000" w:themeColor="text1"/>
          <w14:textFill>
            <w14:solidFill>
              <w14:schemeClr w14:val="tx1"/>
            </w14:solidFill>
          </w14:textFill>
        </w:rPr>
        <w:t>船工船舶污水包括船舶机舱含油污水和船舶生活污水。</w:t>
      </w:r>
    </w:p>
    <w:p w14:paraId="74136087">
      <w:pPr>
        <w:ind w:firstLine="480"/>
        <w:rPr>
          <w:color w:val="000000" w:themeColor="text1"/>
          <w14:textFill>
            <w14:solidFill>
              <w14:schemeClr w14:val="tx1"/>
            </w14:solidFill>
          </w14:textFill>
        </w:rPr>
      </w:pPr>
      <w:r>
        <w:rPr>
          <w:color w:val="000000" w:themeColor="text1"/>
          <w14:textFill>
            <w14:solidFill>
              <w14:schemeClr w14:val="tx1"/>
            </w14:solidFill>
          </w14:textFill>
        </w:rPr>
        <w:t>1、</w:t>
      </w:r>
      <w:r>
        <w:rPr>
          <w:rFonts w:hint="eastAsia"/>
          <w:color w:val="000000" w:themeColor="text1"/>
          <w14:textFill>
            <w14:solidFill>
              <w14:schemeClr w14:val="tx1"/>
            </w14:solidFill>
          </w14:textFill>
        </w:rPr>
        <w:t>施工船舶废水</w:t>
      </w:r>
    </w:p>
    <w:p w14:paraId="64D0DCC8">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施工船舶污水包括船舶机舱油污水和船舶生活污水。装卸臂吊装一般为3～5天，施工过程中会产生少量的船舶污水，本项目船舶污水严格按照船舶污染物监管“联单制</w:t>
      </w:r>
      <w:r>
        <w:rPr>
          <w:color w:val="000000" w:themeColor="text1"/>
          <w14:textFill>
            <w14:solidFill>
              <w14:schemeClr w14:val="tx1"/>
            </w14:solidFill>
          </w14:textFill>
        </w:rPr>
        <w:t>度</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进行管理，委托船舶污染物接收单位进行接收、转运及处置。</w:t>
      </w:r>
    </w:p>
    <w:p w14:paraId="0174C425">
      <w:pPr>
        <w:ind w:firstLine="480"/>
        <w:rPr>
          <w:color w:val="000000" w:themeColor="text1"/>
          <w14:textFill>
            <w14:solidFill>
              <w14:schemeClr w14:val="tx1"/>
            </w14:solidFill>
          </w14:textFill>
        </w:rPr>
      </w:pPr>
      <w:r>
        <w:rPr>
          <w:color w:val="000000" w:themeColor="text1"/>
          <w14:textFill>
            <w14:solidFill>
              <w14:schemeClr w14:val="tx1"/>
            </w14:solidFill>
          </w14:textFill>
        </w:rPr>
        <w:t>2、</w:t>
      </w:r>
      <w:r>
        <w:rPr>
          <w:rFonts w:hint="eastAsia"/>
          <w:color w:val="000000" w:themeColor="text1"/>
          <w14:textFill>
            <w14:solidFill>
              <w14:schemeClr w14:val="tx1"/>
            </w14:solidFill>
          </w14:textFill>
        </w:rPr>
        <w:t>施工人员生活污水</w:t>
      </w:r>
    </w:p>
    <w:p w14:paraId="7A72510D">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陆域施工人员约20人/天，按每人每天使用150L生活污水，生活污水排放量按80%计算，生活污水中主要污染物为COD、BOD</w:t>
      </w:r>
      <w:r>
        <w:rPr>
          <w:rFonts w:hint="eastAsia"/>
          <w:color w:val="000000" w:themeColor="text1"/>
          <w:vertAlign w:val="subscript"/>
          <w14:textFill>
            <w14:solidFill>
              <w14:schemeClr w14:val="tx1"/>
            </w14:solidFill>
          </w14:textFill>
        </w:rPr>
        <w:t>5</w:t>
      </w:r>
      <w:r>
        <w:rPr>
          <w:color w:val="000000" w:themeColor="text1"/>
          <w14:textFill>
            <w14:solidFill>
              <w14:schemeClr w14:val="tx1"/>
            </w14:solidFill>
          </w14:textFill>
        </w:rPr>
        <w:t>、NH</w:t>
      </w:r>
      <w:r>
        <w:rPr>
          <w:color w:val="000000" w:themeColor="text1"/>
          <w:vertAlign w:val="subscript"/>
          <w14:textFill>
            <w14:solidFill>
              <w14:schemeClr w14:val="tx1"/>
            </w14:solidFill>
          </w14:textFill>
        </w:rPr>
        <w:t>3</w:t>
      </w:r>
      <w:r>
        <w:rPr>
          <w:color w:val="000000" w:themeColor="text1"/>
          <w14:textFill>
            <w14:solidFill>
              <w14:schemeClr w14:val="tx1"/>
            </w14:solidFill>
          </w14:textFill>
        </w:rPr>
        <w:t>-N</w:t>
      </w:r>
      <w:r>
        <w:rPr>
          <w:rFonts w:hint="eastAsia"/>
          <w:color w:val="000000" w:themeColor="text1"/>
          <w14:textFill>
            <w14:solidFill>
              <w14:schemeClr w14:val="tx1"/>
            </w14:solidFill>
          </w14:textFill>
        </w:rPr>
        <w:t>，浓度分别按300mg/L、150mg/L</w:t>
      </w:r>
      <w:r>
        <w:rPr>
          <w:color w:val="000000" w:themeColor="text1"/>
          <w14:textFill>
            <w14:solidFill>
              <w14:schemeClr w14:val="tx1"/>
            </w14:solidFill>
          </w14:textFill>
        </w:rPr>
        <w:t>、35mg/L</w:t>
      </w:r>
      <w:r>
        <w:rPr>
          <w:rFonts w:hint="eastAsia"/>
          <w:color w:val="000000" w:themeColor="text1"/>
          <w14:textFill>
            <w14:solidFill>
              <w14:schemeClr w14:val="tx1"/>
            </w14:solidFill>
          </w14:textFill>
        </w:rPr>
        <w:t>计算，则施工期间生活污水产生量为2.4m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/d，COD、BOD</w:t>
      </w:r>
      <w:r>
        <w:rPr>
          <w:rFonts w:hint="eastAsia"/>
          <w:color w:val="000000" w:themeColor="text1"/>
          <w:vertAlign w:val="subscript"/>
          <w14:textFill>
            <w14:solidFill>
              <w14:schemeClr w14:val="tx1"/>
            </w14:solidFill>
          </w14:textFill>
        </w:rPr>
        <w:t>5</w:t>
      </w:r>
      <w:r>
        <w:rPr>
          <w:color w:val="000000" w:themeColor="text1"/>
          <w14:textFill>
            <w14:solidFill>
              <w14:schemeClr w14:val="tx1"/>
            </w14:solidFill>
          </w14:textFill>
        </w:rPr>
        <w:t>、NH</w:t>
      </w:r>
      <w:r>
        <w:rPr>
          <w:color w:val="000000" w:themeColor="text1"/>
          <w:vertAlign w:val="subscript"/>
          <w14:textFill>
            <w14:solidFill>
              <w14:schemeClr w14:val="tx1"/>
            </w14:solidFill>
          </w14:textFill>
        </w:rPr>
        <w:t>3</w:t>
      </w:r>
      <w:r>
        <w:rPr>
          <w:color w:val="000000" w:themeColor="text1"/>
          <w14:textFill>
            <w14:solidFill>
              <w14:schemeClr w14:val="tx1"/>
            </w14:solidFill>
          </w14:textFill>
        </w:rPr>
        <w:t>-N</w:t>
      </w:r>
      <w:r>
        <w:rPr>
          <w:rFonts w:hint="eastAsia"/>
          <w:color w:val="000000" w:themeColor="text1"/>
          <w14:textFill>
            <w14:solidFill>
              <w14:schemeClr w14:val="tx1"/>
            </w14:solidFill>
          </w14:textFill>
        </w:rPr>
        <w:t>产生量分别为0.72kg/d、0.36kg/d、0.084kg/d。本项目施工期为5个月，则项目施工期间共产生废水360m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，污染物COD、BOD</w:t>
      </w:r>
      <w:r>
        <w:rPr>
          <w:rFonts w:hint="eastAsia"/>
          <w:color w:val="000000" w:themeColor="text1"/>
          <w:vertAlign w:val="subscript"/>
          <w14:textFill>
            <w14:solidFill>
              <w14:schemeClr w14:val="tx1"/>
            </w14:solidFill>
          </w14:textFill>
        </w:rPr>
        <w:t>5</w:t>
      </w:r>
      <w:r>
        <w:rPr>
          <w:color w:val="000000" w:themeColor="text1"/>
          <w14:textFill>
            <w14:solidFill>
              <w14:schemeClr w14:val="tx1"/>
            </w14:solidFill>
          </w14:textFill>
        </w:rPr>
        <w:t>、NH</w:t>
      </w:r>
      <w:r>
        <w:rPr>
          <w:color w:val="000000" w:themeColor="text1"/>
          <w:vertAlign w:val="subscript"/>
          <w14:textFill>
            <w14:solidFill>
              <w14:schemeClr w14:val="tx1"/>
            </w14:solidFill>
          </w14:textFill>
        </w:rPr>
        <w:t>3</w:t>
      </w:r>
      <w:r>
        <w:rPr>
          <w:color w:val="000000" w:themeColor="text1"/>
          <w14:textFill>
            <w14:solidFill>
              <w14:schemeClr w14:val="tx1"/>
            </w14:solidFill>
          </w14:textFill>
        </w:rPr>
        <w:t>-N</w:t>
      </w:r>
      <w:r>
        <w:rPr>
          <w:rFonts w:hint="eastAsia"/>
          <w:color w:val="000000" w:themeColor="text1"/>
          <w14:textFill>
            <w14:solidFill>
              <w14:schemeClr w14:val="tx1"/>
            </w14:solidFill>
          </w14:textFill>
        </w:rPr>
        <w:t>产生量分别约0.108t、0.054t、0.013t。根据以往施工经验，施工人员一般租住附近民房，产生的生活污水依托民房自设的化粪池进行处理。</w:t>
      </w:r>
    </w:p>
    <w:p w14:paraId="3931A44D">
      <w:pPr>
        <w:ind w:firstLine="480"/>
        <w:rPr>
          <w:color w:val="000000" w:themeColor="text1"/>
          <w14:textFill>
            <w14:solidFill>
              <w14:schemeClr w14:val="tx1"/>
            </w14:solidFill>
          </w14:textFill>
        </w:rPr>
      </w:pPr>
      <w:r>
        <w:rPr>
          <w:color w:val="000000" w:themeColor="text1"/>
          <w14:textFill>
            <w14:solidFill>
              <w14:schemeClr w14:val="tx1"/>
            </w14:solidFill>
          </w14:textFill>
        </w:rPr>
        <w:t>3、</w:t>
      </w:r>
      <w:r>
        <w:rPr>
          <w:rFonts w:hint="eastAsia"/>
          <w:color w:val="000000" w:themeColor="text1"/>
          <w14:textFill>
            <w14:solidFill>
              <w14:schemeClr w14:val="tx1"/>
            </w14:solidFill>
          </w14:textFill>
        </w:rPr>
        <w:t>试压废水</w:t>
      </w:r>
    </w:p>
    <w:p w14:paraId="0698DD76">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工程管道施工结束后进行清管和试压，试压前应采用清管器进行清管，并不少于2次。清管是试压前的重要步骤，它利用压缩空气推动清管器，完成清扫管道内杂物、砂石、尘土、积水和浮锈等，清管扫线应具备临时清管器收发设施。管道试压以清洁水作为试验介质，根据管线设计参数，本项目试压废水量约20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，试压废水依托经罐区废水池汇总后进入污水处理厂进行处理。</w:t>
      </w:r>
    </w:p>
    <w:p w14:paraId="2579CCBD">
      <w:pPr>
        <w:pStyle w:val="4"/>
        <w:rPr>
          <w:color w:val="000000" w:themeColor="text1"/>
          <w14:textFill>
            <w14:solidFill>
              <w14:schemeClr w14:val="tx1"/>
            </w14:solidFill>
          </w14:textFill>
        </w:rPr>
      </w:pPr>
      <w:bookmarkStart w:id="664" w:name="_Toc25436983"/>
      <w:bookmarkStart w:id="665" w:name="_Toc29131846"/>
      <w:bookmarkStart w:id="666" w:name="_Toc135090244"/>
      <w:bookmarkStart w:id="667" w:name="_Toc216103414"/>
      <w:bookmarkStart w:id="668" w:name="_Toc136878510"/>
      <w:bookmarkStart w:id="669" w:name="_Toc216620573"/>
      <w:bookmarkStart w:id="670" w:name="_Toc26910033"/>
      <w:r>
        <w:rPr>
          <w:color w:val="000000" w:themeColor="text1"/>
          <w14:textFill>
            <w14:solidFill>
              <w14:schemeClr w14:val="tx1"/>
            </w14:solidFill>
          </w14:textFill>
        </w:rPr>
        <w:t>施工期噪声影响分析</w:t>
      </w:r>
      <w:bookmarkEnd w:id="664"/>
      <w:bookmarkEnd w:id="665"/>
      <w:bookmarkEnd w:id="666"/>
      <w:bookmarkEnd w:id="667"/>
      <w:bookmarkEnd w:id="668"/>
      <w:bookmarkEnd w:id="669"/>
      <w:bookmarkEnd w:id="670"/>
    </w:p>
    <w:p w14:paraId="383EA42B">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本项目施工对声环境的影响主要是由施工机械和船舶造成。施工期噪声影响主要管线敷设施工。</w:t>
      </w:r>
    </w:p>
    <w:p w14:paraId="2473690B">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项目将采用不同的机械设备施工，如架设装卸臂时使用船舶，焊接时使用电焊机及发电机，这些施工均在白天作业，根据施工内容交替使用施工机械，并随着施工位置变化移动。根据类比调查和现场踏勘监测以及项目可研提供的主要设备选型等有关资料分析，设备高达85dB（A）以上的噪声源施工机械有：吊管机、电焊机、切割机、施工船舶。</w:t>
      </w:r>
    </w:p>
    <w:p w14:paraId="4656717F">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当声源的大小与预测距离相比小得多时，可以将此声源看作点源，声源噪声值随距离衰减的计算公式如下：</w:t>
      </w:r>
    </w:p>
    <w:p w14:paraId="4E3EF9C2">
      <w:pPr>
        <w:widowControl/>
        <w:kinsoku w:val="0"/>
        <w:autoSpaceDE w:val="0"/>
        <w:autoSpaceDN w:val="0"/>
        <w:adjustRightInd w:val="0"/>
        <w:snapToGrid w:val="0"/>
        <w:ind w:firstLine="480"/>
        <w:jc w:val="center"/>
        <w:textAlignment w:val="baseline"/>
        <w:rPr>
          <w:color w:val="000000" w:themeColor="text1"/>
          <w14:textFill>
            <w14:solidFill>
              <w14:schemeClr w14:val="tx1"/>
            </w14:solidFill>
          </w14:textFill>
        </w:rPr>
      </w:pPr>
      <w:r>
        <w:rPr>
          <w:i/>
          <w:iCs/>
          <w:color w:val="000000" w:themeColor="text1"/>
          <w14:textFill>
            <w14:solidFill>
              <w14:schemeClr w14:val="tx1"/>
            </w14:solidFill>
          </w14:textFill>
        </w:rPr>
        <w:t>L</w:t>
      </w:r>
      <w:r>
        <w:rPr>
          <w:color w:val="000000" w:themeColor="text1"/>
          <w:vertAlign w:val="subscript"/>
          <w14:textFill>
            <w14:solidFill>
              <w14:schemeClr w14:val="tx1"/>
            </w14:solidFill>
          </w14:textFill>
        </w:rPr>
        <w:t>i</w:t>
      </w:r>
      <w:r>
        <w:rPr>
          <w:color w:val="000000" w:themeColor="text1"/>
          <w14:textFill>
            <w14:solidFill>
              <w14:schemeClr w14:val="tx1"/>
            </w14:solidFill>
          </w14:textFill>
        </w:rPr>
        <w:t>=</w:t>
      </w:r>
      <w:r>
        <w:rPr>
          <w:i/>
          <w:iCs/>
          <w:color w:val="000000" w:themeColor="text1"/>
          <w14:textFill>
            <w14:solidFill>
              <w14:schemeClr w14:val="tx1"/>
            </w14:solidFill>
          </w14:textFill>
        </w:rPr>
        <w:t>L</w:t>
      </w:r>
      <w:r>
        <w:rPr>
          <w:i/>
          <w:iCs/>
          <w:color w:val="000000" w:themeColor="text1"/>
          <w:vertAlign w:val="subscript"/>
          <w14:textFill>
            <w14:solidFill>
              <w14:schemeClr w14:val="tx1"/>
            </w14:solidFill>
          </w14:textFill>
        </w:rPr>
        <w:t>0</w:t>
      </w:r>
      <w:r>
        <w:rPr>
          <w:color w:val="000000" w:themeColor="text1"/>
          <w14:textFill>
            <w14:solidFill>
              <w14:schemeClr w14:val="tx1"/>
            </w14:solidFill>
          </w14:textFill>
        </w:rPr>
        <w:t>-20lg（</w:t>
      </w:r>
      <w:r>
        <w:rPr>
          <w:rFonts w:hint="eastAsia"/>
          <w:color w:val="000000" w:themeColor="text1"/>
          <w14:textFill>
            <w14:solidFill>
              <w14:schemeClr w14:val="tx1"/>
            </w14:solidFill>
          </w14:textFill>
        </w:rPr>
        <w:t>r</w:t>
      </w:r>
      <w:r>
        <w:rPr>
          <w:color w:val="000000" w:themeColor="text1"/>
          <w:vertAlign w:val="subscript"/>
          <w14:textFill>
            <w14:solidFill>
              <w14:schemeClr w14:val="tx1"/>
            </w14:solidFill>
          </w14:textFill>
        </w:rPr>
        <w:t>i</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r</w:t>
      </w:r>
      <w:r>
        <w:rPr>
          <w:color w:val="000000" w:themeColor="text1"/>
          <w:vertAlign w:val="subscript"/>
          <w14:textFill>
            <w14:solidFill>
              <w14:schemeClr w14:val="tx1"/>
            </w14:solidFill>
          </w14:textFill>
        </w:rPr>
        <w:t>0</w:t>
      </w:r>
      <w:r>
        <w:rPr>
          <w:color w:val="000000" w:themeColor="text1"/>
          <w14:textFill>
            <w14:solidFill>
              <w14:schemeClr w14:val="tx1"/>
            </w14:solidFill>
          </w14:textFill>
        </w:rPr>
        <w:t>）-</w:t>
      </w:r>
      <w:r>
        <w:rPr>
          <w:i/>
          <w:iCs/>
          <w:color w:val="000000" w:themeColor="text1"/>
          <w14:textFill>
            <w14:solidFill>
              <w14:schemeClr w14:val="tx1"/>
            </w14:solidFill>
          </w14:textFill>
        </w:rPr>
        <w:t>∆L</w:t>
      </w:r>
    </w:p>
    <w:p w14:paraId="1DAB3310">
      <w:pPr>
        <w:ind w:firstLine="480"/>
        <w:rPr>
          <w:color w:val="000000" w:themeColor="text1"/>
          <w14:textFill>
            <w14:solidFill>
              <w14:schemeClr w14:val="tx1"/>
            </w14:solidFill>
          </w14:textFill>
        </w:rPr>
      </w:pPr>
      <w:r>
        <w:rPr>
          <w:rFonts w:hint="eastAsia"/>
          <w:i/>
          <w:iCs/>
          <w:color w:val="000000" w:themeColor="text1"/>
          <w14:textFill>
            <w14:solidFill>
              <w14:schemeClr w14:val="tx1"/>
            </w14:solidFill>
          </w14:textFill>
        </w:rPr>
        <w:t>L</w:t>
      </w:r>
      <w:r>
        <w:rPr>
          <w:rFonts w:hint="eastAsia"/>
          <w:i/>
          <w:iCs/>
          <w:color w:val="000000" w:themeColor="text1"/>
          <w:vertAlign w:val="subscript"/>
          <w14:textFill>
            <w14:solidFill>
              <w14:schemeClr w14:val="tx1"/>
            </w14:solidFill>
          </w14:textFill>
        </w:rPr>
        <w:t>i</w:t>
      </w:r>
      <w:r>
        <w:rPr>
          <w:rFonts w:hint="eastAsia"/>
          <w:color w:val="000000" w:themeColor="text1"/>
          <w14:textFill>
            <w14:solidFill>
              <w14:schemeClr w14:val="tx1"/>
            </w14:solidFill>
          </w14:textFill>
        </w:rPr>
        <w:t>——距声源r</w:t>
      </w:r>
      <w:r>
        <w:rPr>
          <w:color w:val="000000" w:themeColor="text1"/>
          <w:vertAlign w:val="subscript"/>
          <w14:textFill>
            <w14:solidFill>
              <w14:schemeClr w14:val="tx1"/>
            </w14:solidFill>
          </w14:textFill>
        </w:rPr>
        <w:t>i</w:t>
      </w:r>
      <w:r>
        <w:rPr>
          <w:rFonts w:hint="eastAsia"/>
          <w:color w:val="000000" w:themeColor="text1"/>
          <w14:textFill>
            <w14:solidFill>
              <w14:schemeClr w14:val="tx1"/>
            </w14:solidFill>
          </w14:textFill>
        </w:rPr>
        <w:t>处的声级dB(A)；</w:t>
      </w:r>
      <w:r>
        <w:rPr>
          <w:rFonts w:hint="eastAsia"/>
          <w:i/>
          <w:iCs/>
          <w:color w:val="000000" w:themeColor="text1"/>
          <w14:textFill>
            <w14:solidFill>
              <w14:schemeClr w14:val="tx1"/>
            </w14:solidFill>
          </w14:textFill>
        </w:rPr>
        <w:t>L</w:t>
      </w:r>
      <w:r>
        <w:rPr>
          <w:rFonts w:hint="eastAsia"/>
          <w:i/>
          <w:iCs/>
          <w:color w:val="000000" w:themeColor="text1"/>
          <w:vertAlign w:val="subscript"/>
          <w14:textFill>
            <w14:solidFill>
              <w14:schemeClr w14:val="tx1"/>
            </w14:solidFill>
          </w14:textFill>
        </w:rPr>
        <w:t>0</w:t>
      </w:r>
      <w:r>
        <w:rPr>
          <w:rFonts w:hint="eastAsia"/>
          <w:color w:val="000000" w:themeColor="text1"/>
          <w14:textFill>
            <w14:solidFill>
              <w14:schemeClr w14:val="tx1"/>
            </w14:solidFill>
          </w14:textFill>
        </w:rPr>
        <w:t>——距声源r</w:t>
      </w:r>
      <w:r>
        <w:rPr>
          <w:color w:val="000000" w:themeColor="text1"/>
          <w:vertAlign w:val="subscript"/>
          <w14:textFill>
            <w14:solidFill>
              <w14:schemeClr w14:val="tx1"/>
            </w14:solidFill>
          </w14:textFill>
        </w:rPr>
        <w:t>0</w:t>
      </w:r>
      <w:r>
        <w:rPr>
          <w:rFonts w:hint="eastAsia"/>
          <w:color w:val="000000" w:themeColor="text1"/>
          <w14:textFill>
            <w14:solidFill>
              <w14:schemeClr w14:val="tx1"/>
            </w14:solidFill>
          </w14:textFill>
        </w:rPr>
        <w:t>处的声级dB(A)；</w:t>
      </w:r>
      <w:r>
        <w:rPr>
          <w:rFonts w:hint="eastAsia"/>
          <w:i/>
          <w:iCs/>
          <w:color w:val="000000" w:themeColor="text1"/>
          <w14:textFill>
            <w14:solidFill>
              <w14:schemeClr w14:val="tx1"/>
            </w14:solidFill>
          </w14:textFill>
        </w:rPr>
        <w:t>∆L</w:t>
      </w:r>
      <w:r>
        <w:rPr>
          <w:rFonts w:hint="eastAsia"/>
          <w:color w:val="000000" w:themeColor="text1"/>
          <w14:textFill>
            <w14:solidFill>
              <w14:schemeClr w14:val="tx1"/>
            </w14:solidFill>
          </w14:textFill>
        </w:rPr>
        <w:t>——其它因素引起的噪声衰减量，保守取0。</w:t>
      </w:r>
    </w:p>
    <w:p w14:paraId="74D21508">
      <w:pPr>
        <w:ind w:firstLine="480"/>
        <w:rPr>
          <w:b/>
          <w:bCs/>
          <w:color w:val="000000" w:themeColor="text1"/>
          <w14:textFill>
            <w14:solidFill>
              <w14:schemeClr w14:val="tx1"/>
            </w14:solidFill>
          </w14:textFill>
        </w:rPr>
      </w:pPr>
      <w:r>
        <w:rPr>
          <w:rFonts w:hint="eastAsia"/>
          <w:color w:val="000000" w:themeColor="text1"/>
          <w14:textFill>
            <w14:solidFill>
              <w14:schemeClr w14:val="tx1"/>
            </w14:solidFill>
          </w14:textFill>
        </w:rPr>
        <w:t>计算得出施工噪声随距离衰减后的预测值见下表。</w:t>
      </w:r>
    </w:p>
    <w:p w14:paraId="76440328">
      <w:pPr>
        <w:pStyle w:val="7"/>
        <w:tabs>
          <w:tab w:val="left" w:pos="2127"/>
          <w:tab w:val="left" w:pos="2411"/>
        </w:tabs>
        <w:rPr>
          <w:color w:val="000000" w:themeColor="text1"/>
          <w14:textFill>
            <w14:solidFill>
              <w14:schemeClr w14:val="tx1"/>
            </w14:solidFill>
          </w14:textFill>
        </w:rPr>
      </w:pPr>
      <w:r>
        <w:rPr>
          <w:rFonts w:hint="eastAsia"/>
          <w:color w:val="000000" w:themeColor="text1"/>
          <w14:textFill>
            <w14:solidFill>
              <w14:schemeClr w14:val="tx1"/>
            </w14:solidFill>
          </w14:textFill>
        </w:rPr>
        <w:t>施工器械在不同距离的噪声预测值</w:t>
      </w:r>
    </w:p>
    <w:tbl>
      <w:tblPr>
        <w:tblStyle w:val="43"/>
        <w:tblW w:w="4996"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632"/>
        <w:gridCol w:w="1116"/>
        <w:gridCol w:w="990"/>
        <w:gridCol w:w="1467"/>
        <w:gridCol w:w="1075"/>
        <w:gridCol w:w="1079"/>
        <w:gridCol w:w="1076"/>
        <w:gridCol w:w="1080"/>
      </w:tblGrid>
      <w:tr w14:paraId="5AF0A12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71" w:type="pct"/>
            <w:vMerge w:val="restart"/>
            <w:vAlign w:val="center"/>
          </w:tcPr>
          <w:p w14:paraId="06152902">
            <w:pPr>
              <w:pStyle w:val="70"/>
              <w:autoSpaceDE w:val="0"/>
              <w:autoSpaceDN w:val="0"/>
              <w:rPr>
                <w:color w:val="000000" w:themeColor="text1"/>
                <w14:textFill>
                  <w14:solidFill>
                    <w14:schemeClr w14:val="tx1"/>
                  </w14:solidFill>
                </w14:textFill>
              </w:rPr>
            </w:pPr>
            <w:r>
              <w:rPr>
                <w:color w:val="000000" w:themeColor="text1"/>
                <w14:textFill>
                  <w14:solidFill>
                    <w14:schemeClr w14:val="tx1"/>
                  </w14:solidFill>
                </w14:textFill>
              </w:rPr>
              <w:t>序号</w:t>
            </w:r>
          </w:p>
        </w:tc>
        <w:tc>
          <w:tcPr>
            <w:tcW w:w="655" w:type="pct"/>
            <w:vMerge w:val="restart"/>
            <w:vAlign w:val="center"/>
          </w:tcPr>
          <w:p w14:paraId="243B58D5">
            <w:pPr>
              <w:pStyle w:val="70"/>
              <w:autoSpaceDE w:val="0"/>
              <w:autoSpaceDN w:val="0"/>
              <w:rPr>
                <w:color w:val="000000" w:themeColor="text1"/>
                <w14:textFill>
                  <w14:solidFill>
                    <w14:schemeClr w14:val="tx1"/>
                  </w14:solidFill>
                </w14:textFill>
              </w:rPr>
            </w:pPr>
            <w:r>
              <w:rPr>
                <w:color w:val="000000" w:themeColor="text1"/>
                <w14:textFill>
                  <w14:solidFill>
                    <w14:schemeClr w14:val="tx1"/>
                  </w14:solidFill>
                </w14:textFill>
              </w:rPr>
              <w:t>噪声源</w:t>
            </w:r>
          </w:p>
        </w:tc>
        <w:tc>
          <w:tcPr>
            <w:tcW w:w="581" w:type="pct"/>
            <w:vMerge w:val="restart"/>
            <w:vAlign w:val="center"/>
          </w:tcPr>
          <w:p w14:paraId="5DF099AE">
            <w:pPr>
              <w:pStyle w:val="70"/>
              <w:autoSpaceDE w:val="0"/>
              <w:autoSpaceDN w:val="0"/>
              <w:rPr>
                <w:color w:val="000000" w:themeColor="text1"/>
                <w14:textFill>
                  <w14:solidFill>
                    <w14:schemeClr w14:val="tx1"/>
                  </w14:solidFill>
                </w14:textFill>
              </w:rPr>
            </w:pPr>
            <w:r>
              <w:rPr>
                <w:color w:val="000000" w:themeColor="text1"/>
                <w14:textFill>
                  <w14:solidFill>
                    <w14:schemeClr w14:val="tx1"/>
                  </w14:solidFill>
                </w14:textFill>
              </w:rPr>
              <w:t>距离（m）</w:t>
            </w:r>
          </w:p>
        </w:tc>
        <w:tc>
          <w:tcPr>
            <w:tcW w:w="861" w:type="pct"/>
            <w:vMerge w:val="restart"/>
            <w:vAlign w:val="center"/>
          </w:tcPr>
          <w:p w14:paraId="2D7120C0">
            <w:pPr>
              <w:pStyle w:val="70"/>
              <w:autoSpaceDE w:val="0"/>
              <w:autoSpaceDN w:val="0"/>
              <w:rPr>
                <w:color w:val="000000" w:themeColor="text1"/>
                <w14:textFill>
                  <w14:solidFill>
                    <w14:schemeClr w14:val="tx1"/>
                  </w14:solidFill>
                </w14:textFill>
              </w:rPr>
            </w:pPr>
            <w:r>
              <w:rPr>
                <w:color w:val="000000" w:themeColor="text1"/>
                <w14:textFill>
                  <w14:solidFill>
                    <w14:schemeClr w14:val="tx1"/>
                  </w14:solidFill>
                </w14:textFill>
              </w:rPr>
              <w:t>声级值dB(A)</w:t>
            </w:r>
          </w:p>
        </w:tc>
        <w:tc>
          <w:tcPr>
            <w:tcW w:w="1264" w:type="pct"/>
            <w:gridSpan w:val="2"/>
            <w:vAlign w:val="center"/>
          </w:tcPr>
          <w:p w14:paraId="0EEC8785">
            <w:pPr>
              <w:pStyle w:val="70"/>
              <w:autoSpaceDE w:val="0"/>
              <w:autoSpaceDN w:val="0"/>
              <w:rPr>
                <w:color w:val="000000" w:themeColor="text1"/>
                <w14:textFill>
                  <w14:solidFill>
                    <w14:schemeClr w14:val="tx1"/>
                  </w14:solidFill>
                </w14:textFill>
              </w:rPr>
            </w:pPr>
            <w:r>
              <w:rPr>
                <w:color w:val="000000" w:themeColor="text1"/>
                <w14:textFill>
                  <w14:solidFill>
                    <w14:schemeClr w14:val="tx1"/>
                  </w14:solidFill>
                </w14:textFill>
              </w:rPr>
              <w:t>限值标准dB(A)</w:t>
            </w:r>
          </w:p>
        </w:tc>
        <w:tc>
          <w:tcPr>
            <w:tcW w:w="1264" w:type="pct"/>
            <w:gridSpan w:val="2"/>
            <w:vAlign w:val="center"/>
          </w:tcPr>
          <w:p w14:paraId="036D678B">
            <w:pPr>
              <w:pStyle w:val="70"/>
              <w:autoSpaceDE w:val="0"/>
              <w:autoSpaceDN w:val="0"/>
              <w:rPr>
                <w:color w:val="000000" w:themeColor="text1"/>
                <w14:textFill>
                  <w14:solidFill>
                    <w14:schemeClr w14:val="tx1"/>
                  </w14:solidFill>
                </w14:textFill>
              </w:rPr>
            </w:pPr>
            <w:r>
              <w:rPr>
                <w:color w:val="000000" w:themeColor="text1"/>
                <w14:textFill>
                  <w14:solidFill>
                    <w14:schemeClr w14:val="tx1"/>
                  </w14:solidFill>
                </w14:textFill>
              </w:rPr>
              <w:t>达到标准时的距离（m）</w:t>
            </w:r>
          </w:p>
        </w:tc>
      </w:tr>
      <w:tr w14:paraId="4B2C910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71" w:type="pct"/>
            <w:vMerge w:val="continue"/>
            <w:vAlign w:val="center"/>
          </w:tcPr>
          <w:p w14:paraId="08043BB0">
            <w:pPr>
              <w:autoSpaceDE w:val="0"/>
              <w:autoSpaceDN w:val="0"/>
              <w:spacing w:line="240" w:lineRule="auto"/>
              <w:ind w:firstLine="420"/>
              <w:jc w:val="center"/>
              <w:rPr>
                <w:color w:val="000000" w:themeColor="text1"/>
                <w:sz w:val="21"/>
                <w:szCs w:val="21"/>
                <w14:textFill>
                  <w14:solidFill>
                    <w14:schemeClr w14:val="tx1"/>
                  </w14:solidFill>
                </w14:textFill>
              </w:rPr>
            </w:pPr>
          </w:p>
        </w:tc>
        <w:tc>
          <w:tcPr>
            <w:tcW w:w="655" w:type="pct"/>
            <w:vMerge w:val="continue"/>
            <w:vAlign w:val="center"/>
          </w:tcPr>
          <w:p w14:paraId="5E19A042">
            <w:pPr>
              <w:pStyle w:val="70"/>
              <w:autoSpaceDE w:val="0"/>
              <w:autoSpaceDN w:val="0"/>
              <w:rPr>
                <w:color w:val="000000" w:themeColor="text1"/>
                <w14:textFill>
                  <w14:solidFill>
                    <w14:schemeClr w14:val="tx1"/>
                  </w14:solidFill>
                </w14:textFill>
              </w:rPr>
            </w:pPr>
          </w:p>
        </w:tc>
        <w:tc>
          <w:tcPr>
            <w:tcW w:w="581" w:type="pct"/>
            <w:vMerge w:val="continue"/>
            <w:vAlign w:val="center"/>
          </w:tcPr>
          <w:p w14:paraId="0A890F57">
            <w:pPr>
              <w:pStyle w:val="70"/>
              <w:autoSpaceDE w:val="0"/>
              <w:autoSpaceDN w:val="0"/>
              <w:rPr>
                <w:color w:val="000000" w:themeColor="text1"/>
                <w14:textFill>
                  <w14:solidFill>
                    <w14:schemeClr w14:val="tx1"/>
                  </w14:solidFill>
                </w14:textFill>
              </w:rPr>
            </w:pPr>
          </w:p>
        </w:tc>
        <w:tc>
          <w:tcPr>
            <w:tcW w:w="861" w:type="pct"/>
            <w:vMerge w:val="continue"/>
            <w:vAlign w:val="center"/>
          </w:tcPr>
          <w:p w14:paraId="1D61421A">
            <w:pPr>
              <w:pStyle w:val="70"/>
              <w:autoSpaceDE w:val="0"/>
              <w:autoSpaceDN w:val="0"/>
              <w:rPr>
                <w:color w:val="000000" w:themeColor="text1"/>
                <w14:textFill>
                  <w14:solidFill>
                    <w14:schemeClr w14:val="tx1"/>
                  </w14:solidFill>
                </w14:textFill>
              </w:rPr>
            </w:pPr>
          </w:p>
        </w:tc>
        <w:tc>
          <w:tcPr>
            <w:tcW w:w="631" w:type="pct"/>
            <w:vAlign w:val="center"/>
          </w:tcPr>
          <w:p w14:paraId="09A29717">
            <w:pPr>
              <w:pStyle w:val="70"/>
              <w:autoSpaceDE w:val="0"/>
              <w:autoSpaceDN w:val="0"/>
              <w:rPr>
                <w:color w:val="000000" w:themeColor="text1"/>
                <w14:textFill>
                  <w14:solidFill>
                    <w14:schemeClr w14:val="tx1"/>
                  </w14:solidFill>
                </w14:textFill>
              </w:rPr>
            </w:pPr>
            <w:r>
              <w:rPr>
                <w:color w:val="000000" w:themeColor="text1"/>
                <w14:textFill>
                  <w14:solidFill>
                    <w14:schemeClr w14:val="tx1"/>
                  </w14:solidFill>
                </w14:textFill>
              </w:rPr>
              <w:t>昼间</w:t>
            </w:r>
          </w:p>
        </w:tc>
        <w:tc>
          <w:tcPr>
            <w:tcW w:w="633" w:type="pct"/>
            <w:vAlign w:val="center"/>
          </w:tcPr>
          <w:p w14:paraId="05A8D03D">
            <w:pPr>
              <w:pStyle w:val="70"/>
              <w:autoSpaceDE w:val="0"/>
              <w:autoSpaceDN w:val="0"/>
              <w:rPr>
                <w:color w:val="000000" w:themeColor="text1"/>
                <w14:textFill>
                  <w14:solidFill>
                    <w14:schemeClr w14:val="tx1"/>
                  </w14:solidFill>
                </w14:textFill>
              </w:rPr>
            </w:pPr>
            <w:r>
              <w:rPr>
                <w:color w:val="000000" w:themeColor="text1"/>
                <w14:textFill>
                  <w14:solidFill>
                    <w14:schemeClr w14:val="tx1"/>
                  </w14:solidFill>
                </w14:textFill>
              </w:rPr>
              <w:t>夜间</w:t>
            </w:r>
          </w:p>
        </w:tc>
        <w:tc>
          <w:tcPr>
            <w:tcW w:w="631" w:type="pct"/>
            <w:vAlign w:val="center"/>
          </w:tcPr>
          <w:p w14:paraId="50B1E49D">
            <w:pPr>
              <w:pStyle w:val="70"/>
              <w:autoSpaceDE w:val="0"/>
              <w:autoSpaceDN w:val="0"/>
              <w:rPr>
                <w:color w:val="000000" w:themeColor="text1"/>
                <w14:textFill>
                  <w14:solidFill>
                    <w14:schemeClr w14:val="tx1"/>
                  </w14:solidFill>
                </w14:textFill>
              </w:rPr>
            </w:pPr>
            <w:r>
              <w:rPr>
                <w:color w:val="000000" w:themeColor="text1"/>
                <w14:textFill>
                  <w14:solidFill>
                    <w14:schemeClr w14:val="tx1"/>
                  </w14:solidFill>
                </w14:textFill>
              </w:rPr>
              <w:t>昼间</w:t>
            </w:r>
          </w:p>
        </w:tc>
        <w:tc>
          <w:tcPr>
            <w:tcW w:w="633" w:type="pct"/>
            <w:vAlign w:val="center"/>
          </w:tcPr>
          <w:p w14:paraId="2393A0F6">
            <w:pPr>
              <w:pStyle w:val="70"/>
              <w:autoSpaceDE w:val="0"/>
              <w:autoSpaceDN w:val="0"/>
              <w:rPr>
                <w:color w:val="000000" w:themeColor="text1"/>
                <w14:textFill>
                  <w14:solidFill>
                    <w14:schemeClr w14:val="tx1"/>
                  </w14:solidFill>
                </w14:textFill>
              </w:rPr>
            </w:pPr>
            <w:r>
              <w:rPr>
                <w:color w:val="000000" w:themeColor="text1"/>
                <w14:textFill>
                  <w14:solidFill>
                    <w14:schemeClr w14:val="tx1"/>
                  </w14:solidFill>
                </w14:textFill>
              </w:rPr>
              <w:t>夜间</w:t>
            </w:r>
          </w:p>
        </w:tc>
      </w:tr>
      <w:tr w14:paraId="519B5D5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71" w:type="pct"/>
            <w:vAlign w:val="center"/>
          </w:tcPr>
          <w:p w14:paraId="2FE0F088">
            <w:pPr>
              <w:pStyle w:val="70"/>
              <w:autoSpaceDE w:val="0"/>
              <w:autoSpaceDN w:val="0"/>
              <w:rPr>
                <w:color w:val="000000" w:themeColor="text1"/>
                <w14:textFill>
                  <w14:solidFill>
                    <w14:schemeClr w14:val="tx1"/>
                  </w14:solidFill>
                </w14:textFill>
              </w:rPr>
            </w:pPr>
            <w:r>
              <w:rPr>
                <w:color w:val="000000" w:themeColor="text1"/>
                <w14:textFill>
                  <w14:solidFill>
                    <w14:schemeClr w14:val="tx1"/>
                  </w14:solidFill>
                </w14:textFill>
              </w:rPr>
              <w:t>1</w:t>
            </w:r>
          </w:p>
        </w:tc>
        <w:tc>
          <w:tcPr>
            <w:tcW w:w="655" w:type="pct"/>
            <w:vAlign w:val="center"/>
          </w:tcPr>
          <w:p w14:paraId="59C97CA9">
            <w:pPr>
              <w:pStyle w:val="70"/>
              <w:autoSpaceDE w:val="0"/>
              <w:autoSpaceDN w:val="0"/>
              <w:rPr>
                <w:color w:val="000000" w:themeColor="text1"/>
                <w14:textFill>
                  <w14:solidFill>
                    <w14:schemeClr w14:val="tx1"/>
                  </w14:solidFill>
                </w14:textFill>
              </w:rPr>
            </w:pPr>
            <w:r>
              <w:rPr>
                <w:rFonts w:hint="eastAsia"/>
                <w:color w:val="000000" w:themeColor="text1"/>
                <w14:textFill>
                  <w14:solidFill>
                    <w14:schemeClr w14:val="tx1"/>
                  </w14:solidFill>
                </w14:textFill>
              </w:rPr>
              <w:t>吊机</w:t>
            </w:r>
          </w:p>
        </w:tc>
        <w:tc>
          <w:tcPr>
            <w:tcW w:w="581" w:type="pct"/>
            <w:vAlign w:val="center"/>
          </w:tcPr>
          <w:p w14:paraId="54102769">
            <w:pPr>
              <w:pStyle w:val="70"/>
              <w:autoSpaceDE w:val="0"/>
              <w:autoSpaceDN w:val="0"/>
              <w:rPr>
                <w:color w:val="000000" w:themeColor="text1"/>
                <w14:textFill>
                  <w14:solidFill>
                    <w14:schemeClr w14:val="tx1"/>
                  </w14:solidFill>
                </w14:textFill>
              </w:rPr>
            </w:pPr>
            <w:r>
              <w:rPr>
                <w:color w:val="000000" w:themeColor="text1"/>
                <w14:textFill>
                  <w14:solidFill>
                    <w14:schemeClr w14:val="tx1"/>
                  </w14:solidFill>
                </w14:textFill>
              </w:rPr>
              <w:t>5</w:t>
            </w:r>
          </w:p>
        </w:tc>
        <w:tc>
          <w:tcPr>
            <w:tcW w:w="861" w:type="pct"/>
            <w:vAlign w:val="center"/>
          </w:tcPr>
          <w:p w14:paraId="373E99B0">
            <w:pPr>
              <w:pStyle w:val="70"/>
              <w:autoSpaceDE w:val="0"/>
              <w:autoSpaceDN w:val="0"/>
              <w:rPr>
                <w:color w:val="000000" w:themeColor="text1"/>
                <w14:textFill>
                  <w14:solidFill>
                    <w14:schemeClr w14:val="tx1"/>
                  </w14:solidFill>
                </w14:textFill>
              </w:rPr>
            </w:pPr>
            <w:r>
              <w:rPr>
                <w:rFonts w:hint="eastAsia"/>
                <w:color w:val="000000" w:themeColor="text1"/>
                <w14:textFill>
                  <w14:solidFill>
                    <w14:schemeClr w14:val="tx1"/>
                  </w14:solidFill>
                </w14:textFill>
              </w:rPr>
              <w:t>88</w:t>
            </w:r>
          </w:p>
        </w:tc>
        <w:tc>
          <w:tcPr>
            <w:tcW w:w="631" w:type="pct"/>
            <w:vMerge w:val="restart"/>
            <w:vAlign w:val="center"/>
          </w:tcPr>
          <w:p w14:paraId="3DCB9997">
            <w:pPr>
              <w:pStyle w:val="70"/>
              <w:autoSpaceDE w:val="0"/>
              <w:autoSpaceDN w:val="0"/>
              <w:rPr>
                <w:color w:val="000000" w:themeColor="text1"/>
                <w14:textFill>
                  <w14:solidFill>
                    <w14:schemeClr w14:val="tx1"/>
                  </w14:solidFill>
                </w14:textFill>
              </w:rPr>
            </w:pPr>
            <w:r>
              <w:rPr>
                <w:color w:val="000000" w:themeColor="text1"/>
                <w14:textFill>
                  <w14:solidFill>
                    <w14:schemeClr w14:val="tx1"/>
                  </w14:solidFill>
                </w14:textFill>
              </w:rPr>
              <w:t>70</w:t>
            </w:r>
          </w:p>
        </w:tc>
        <w:tc>
          <w:tcPr>
            <w:tcW w:w="633" w:type="pct"/>
            <w:vMerge w:val="restart"/>
            <w:vAlign w:val="center"/>
          </w:tcPr>
          <w:p w14:paraId="1A73923D">
            <w:pPr>
              <w:pStyle w:val="70"/>
              <w:autoSpaceDE w:val="0"/>
              <w:autoSpaceDN w:val="0"/>
              <w:rPr>
                <w:color w:val="000000" w:themeColor="text1"/>
                <w14:textFill>
                  <w14:solidFill>
                    <w14:schemeClr w14:val="tx1"/>
                  </w14:solidFill>
                </w14:textFill>
              </w:rPr>
            </w:pPr>
            <w:r>
              <w:rPr>
                <w:color w:val="000000" w:themeColor="text1"/>
                <w14:textFill>
                  <w14:solidFill>
                    <w14:schemeClr w14:val="tx1"/>
                  </w14:solidFill>
                </w14:textFill>
              </w:rPr>
              <w:t>55</w:t>
            </w:r>
          </w:p>
        </w:tc>
        <w:tc>
          <w:tcPr>
            <w:tcW w:w="631" w:type="pct"/>
            <w:vAlign w:val="center"/>
          </w:tcPr>
          <w:p w14:paraId="19BD5F37">
            <w:pPr>
              <w:pStyle w:val="70"/>
              <w:autoSpaceDE w:val="0"/>
              <w:autoSpaceDN w:val="0"/>
              <w:rPr>
                <w:color w:val="000000" w:themeColor="text1"/>
                <w14:textFill>
                  <w14:solidFill>
                    <w14:schemeClr w14:val="tx1"/>
                  </w14:solidFill>
                </w14:textFill>
              </w:rPr>
            </w:pPr>
            <w:r>
              <w:rPr>
                <w:rFonts w:hint="eastAsia"/>
                <w:color w:val="000000" w:themeColor="text1"/>
                <w14:textFill>
                  <w14:solidFill>
                    <w14:schemeClr w14:val="tx1"/>
                  </w14:solidFill>
                </w14:textFill>
              </w:rPr>
              <w:t>40</w:t>
            </w:r>
          </w:p>
        </w:tc>
        <w:tc>
          <w:tcPr>
            <w:tcW w:w="633" w:type="pct"/>
            <w:vAlign w:val="center"/>
          </w:tcPr>
          <w:p w14:paraId="66F2F3F8">
            <w:pPr>
              <w:pStyle w:val="70"/>
              <w:autoSpaceDE w:val="0"/>
              <w:autoSpaceDN w:val="0"/>
              <w:rPr>
                <w:color w:val="000000" w:themeColor="text1"/>
                <w14:textFill>
                  <w14:solidFill>
                    <w14:schemeClr w14:val="tx1"/>
                  </w14:solidFill>
                </w14:textFill>
              </w:rPr>
            </w:pPr>
            <w:r>
              <w:rPr>
                <w:rFonts w:hint="eastAsia"/>
                <w:color w:val="000000" w:themeColor="text1"/>
                <w14:textFill>
                  <w14:solidFill>
                    <w14:schemeClr w14:val="tx1"/>
                  </w14:solidFill>
                </w14:textFill>
              </w:rPr>
              <w:t>223</w:t>
            </w:r>
          </w:p>
        </w:tc>
      </w:tr>
      <w:tr w14:paraId="2E5D0D7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71" w:type="pct"/>
            <w:vAlign w:val="center"/>
          </w:tcPr>
          <w:p w14:paraId="2E108043">
            <w:pPr>
              <w:pStyle w:val="70"/>
              <w:autoSpaceDE w:val="0"/>
              <w:autoSpaceDN w:val="0"/>
              <w:rPr>
                <w:color w:val="000000" w:themeColor="text1"/>
                <w14:textFill>
                  <w14:solidFill>
                    <w14:schemeClr w14:val="tx1"/>
                  </w14:solidFill>
                </w14:textFill>
              </w:rPr>
            </w:pPr>
            <w:r>
              <w:rPr>
                <w:color w:val="000000" w:themeColor="text1"/>
                <w14:textFill>
                  <w14:solidFill>
                    <w14:schemeClr w14:val="tx1"/>
                  </w14:solidFill>
                </w14:textFill>
              </w:rPr>
              <w:t>2</w:t>
            </w:r>
          </w:p>
        </w:tc>
        <w:tc>
          <w:tcPr>
            <w:tcW w:w="655" w:type="pct"/>
            <w:vAlign w:val="center"/>
          </w:tcPr>
          <w:p w14:paraId="79CC3E4D">
            <w:pPr>
              <w:pStyle w:val="70"/>
              <w:autoSpaceDE w:val="0"/>
              <w:autoSpaceDN w:val="0"/>
              <w:rPr>
                <w:color w:val="000000" w:themeColor="text1"/>
                <w14:textFill>
                  <w14:solidFill>
                    <w14:schemeClr w14:val="tx1"/>
                  </w14:solidFill>
                </w14:textFill>
              </w:rPr>
            </w:pPr>
            <w:r>
              <w:rPr>
                <w:rFonts w:hint="eastAsia"/>
                <w:color w:val="000000" w:themeColor="text1"/>
                <w14:textFill>
                  <w14:solidFill>
                    <w14:schemeClr w14:val="tx1"/>
                  </w14:solidFill>
                </w14:textFill>
              </w:rPr>
              <w:t>切割机</w:t>
            </w:r>
          </w:p>
        </w:tc>
        <w:tc>
          <w:tcPr>
            <w:tcW w:w="581" w:type="pct"/>
            <w:vAlign w:val="center"/>
          </w:tcPr>
          <w:p w14:paraId="012942B3">
            <w:pPr>
              <w:pStyle w:val="70"/>
              <w:autoSpaceDE w:val="0"/>
              <w:autoSpaceDN w:val="0"/>
              <w:rPr>
                <w:color w:val="000000" w:themeColor="text1"/>
                <w14:textFill>
                  <w14:solidFill>
                    <w14:schemeClr w14:val="tx1"/>
                  </w14:solidFill>
                </w14:textFill>
              </w:rPr>
            </w:pPr>
            <w:r>
              <w:rPr>
                <w:rFonts w:hint="eastAsia"/>
                <w:color w:val="000000" w:themeColor="text1"/>
                <w14:textFill>
                  <w14:solidFill>
                    <w14:schemeClr w14:val="tx1"/>
                  </w14:solidFill>
                </w14:textFill>
              </w:rPr>
              <w:t>5</w:t>
            </w:r>
          </w:p>
        </w:tc>
        <w:tc>
          <w:tcPr>
            <w:tcW w:w="861" w:type="pct"/>
            <w:vAlign w:val="center"/>
          </w:tcPr>
          <w:p w14:paraId="23E75FCE">
            <w:pPr>
              <w:pStyle w:val="70"/>
              <w:autoSpaceDE w:val="0"/>
              <w:autoSpaceDN w:val="0"/>
              <w:rPr>
                <w:color w:val="000000" w:themeColor="text1"/>
                <w14:textFill>
                  <w14:solidFill>
                    <w14:schemeClr w14:val="tx1"/>
                  </w14:solidFill>
                </w14:textFill>
              </w:rPr>
            </w:pPr>
            <w:r>
              <w:rPr>
                <w:rFonts w:hint="eastAsia"/>
                <w:color w:val="000000" w:themeColor="text1"/>
                <w14:textFill>
                  <w14:solidFill>
                    <w14:schemeClr w14:val="tx1"/>
                  </w14:solidFill>
                </w14:textFill>
              </w:rPr>
              <w:t>95</w:t>
            </w:r>
          </w:p>
        </w:tc>
        <w:tc>
          <w:tcPr>
            <w:tcW w:w="631" w:type="pct"/>
            <w:vMerge w:val="continue"/>
            <w:vAlign w:val="center"/>
          </w:tcPr>
          <w:p w14:paraId="2D87BCBE">
            <w:pPr>
              <w:pStyle w:val="70"/>
              <w:autoSpaceDE w:val="0"/>
              <w:autoSpaceDN w:val="0"/>
              <w:rPr>
                <w:color w:val="000000" w:themeColor="text1"/>
                <w14:textFill>
                  <w14:solidFill>
                    <w14:schemeClr w14:val="tx1"/>
                  </w14:solidFill>
                </w14:textFill>
              </w:rPr>
            </w:pPr>
          </w:p>
        </w:tc>
        <w:tc>
          <w:tcPr>
            <w:tcW w:w="633" w:type="pct"/>
            <w:vMerge w:val="continue"/>
            <w:vAlign w:val="center"/>
          </w:tcPr>
          <w:p w14:paraId="1E9D5237">
            <w:pPr>
              <w:pStyle w:val="70"/>
              <w:autoSpaceDE w:val="0"/>
              <w:autoSpaceDN w:val="0"/>
              <w:rPr>
                <w:color w:val="000000" w:themeColor="text1"/>
                <w14:textFill>
                  <w14:solidFill>
                    <w14:schemeClr w14:val="tx1"/>
                  </w14:solidFill>
                </w14:textFill>
              </w:rPr>
            </w:pPr>
          </w:p>
        </w:tc>
        <w:tc>
          <w:tcPr>
            <w:tcW w:w="631" w:type="pct"/>
            <w:vAlign w:val="center"/>
          </w:tcPr>
          <w:p w14:paraId="6A8D0151">
            <w:pPr>
              <w:pStyle w:val="70"/>
              <w:autoSpaceDE w:val="0"/>
              <w:autoSpaceDN w:val="0"/>
              <w:rPr>
                <w:color w:val="000000" w:themeColor="text1"/>
                <w14:textFill>
                  <w14:solidFill>
                    <w14:schemeClr w14:val="tx1"/>
                  </w14:solidFill>
                </w14:textFill>
              </w:rPr>
            </w:pPr>
            <w:r>
              <w:rPr>
                <w:rFonts w:hint="eastAsia"/>
                <w:color w:val="000000" w:themeColor="text1"/>
                <w14:textFill>
                  <w14:solidFill>
                    <w14:schemeClr w14:val="tx1"/>
                  </w14:solidFill>
                </w14:textFill>
              </w:rPr>
              <w:t>89</w:t>
            </w:r>
          </w:p>
        </w:tc>
        <w:tc>
          <w:tcPr>
            <w:tcW w:w="633" w:type="pct"/>
            <w:vAlign w:val="center"/>
          </w:tcPr>
          <w:p w14:paraId="094F3F49">
            <w:pPr>
              <w:pStyle w:val="70"/>
              <w:autoSpaceDE w:val="0"/>
              <w:autoSpaceDN w:val="0"/>
              <w:rPr>
                <w:color w:val="000000" w:themeColor="text1"/>
                <w14:textFill>
                  <w14:solidFill>
                    <w14:schemeClr w14:val="tx1"/>
                  </w14:solidFill>
                </w14:textFill>
              </w:rPr>
            </w:pPr>
            <w:r>
              <w:rPr>
                <w:rFonts w:hint="eastAsia"/>
                <w:color w:val="000000" w:themeColor="text1"/>
                <w14:textFill>
                  <w14:solidFill>
                    <w14:schemeClr w14:val="tx1"/>
                  </w14:solidFill>
                </w14:textFill>
              </w:rPr>
              <w:t>498</w:t>
            </w:r>
          </w:p>
        </w:tc>
      </w:tr>
      <w:tr w14:paraId="1D0466C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71" w:type="pct"/>
            <w:vAlign w:val="center"/>
          </w:tcPr>
          <w:p w14:paraId="027E7D9B">
            <w:pPr>
              <w:pStyle w:val="70"/>
              <w:autoSpaceDE w:val="0"/>
              <w:autoSpaceDN w:val="0"/>
              <w:rPr>
                <w:color w:val="000000" w:themeColor="text1"/>
                <w14:textFill>
                  <w14:solidFill>
                    <w14:schemeClr w14:val="tx1"/>
                  </w14:solidFill>
                </w14:textFill>
              </w:rPr>
            </w:pPr>
            <w:r>
              <w:rPr>
                <w:color w:val="000000" w:themeColor="text1"/>
                <w14:textFill>
                  <w14:solidFill>
                    <w14:schemeClr w14:val="tx1"/>
                  </w14:solidFill>
                </w14:textFill>
              </w:rPr>
              <w:t>3</w:t>
            </w:r>
          </w:p>
        </w:tc>
        <w:tc>
          <w:tcPr>
            <w:tcW w:w="655" w:type="pct"/>
            <w:vAlign w:val="center"/>
          </w:tcPr>
          <w:p w14:paraId="5B547061">
            <w:pPr>
              <w:pStyle w:val="70"/>
              <w:autoSpaceDE w:val="0"/>
              <w:autoSpaceDN w:val="0"/>
              <w:rPr>
                <w:color w:val="000000" w:themeColor="text1"/>
                <w14:textFill>
                  <w14:solidFill>
                    <w14:schemeClr w14:val="tx1"/>
                  </w14:solidFill>
                </w14:textFill>
              </w:rPr>
            </w:pPr>
            <w:r>
              <w:rPr>
                <w:rFonts w:hint="eastAsia"/>
                <w:color w:val="000000" w:themeColor="text1"/>
                <w14:textFill>
                  <w14:solidFill>
                    <w14:schemeClr w14:val="tx1"/>
                  </w14:solidFill>
                </w14:textFill>
              </w:rPr>
              <w:t>电焊机</w:t>
            </w:r>
          </w:p>
        </w:tc>
        <w:tc>
          <w:tcPr>
            <w:tcW w:w="581" w:type="pct"/>
            <w:vAlign w:val="center"/>
          </w:tcPr>
          <w:p w14:paraId="328A70F3">
            <w:pPr>
              <w:pStyle w:val="70"/>
              <w:autoSpaceDE w:val="0"/>
              <w:autoSpaceDN w:val="0"/>
              <w:rPr>
                <w:color w:val="000000" w:themeColor="text1"/>
                <w14:textFill>
                  <w14:solidFill>
                    <w14:schemeClr w14:val="tx1"/>
                  </w14:solidFill>
                </w14:textFill>
              </w:rPr>
            </w:pPr>
            <w:r>
              <w:rPr>
                <w:rFonts w:hint="eastAsia"/>
                <w:color w:val="000000" w:themeColor="text1"/>
                <w14:textFill>
                  <w14:solidFill>
                    <w14:schemeClr w14:val="tx1"/>
                  </w14:solidFill>
                </w14:textFill>
              </w:rPr>
              <w:t>5</w:t>
            </w:r>
          </w:p>
        </w:tc>
        <w:tc>
          <w:tcPr>
            <w:tcW w:w="861" w:type="pct"/>
            <w:vAlign w:val="center"/>
          </w:tcPr>
          <w:p w14:paraId="46F8D6E1">
            <w:pPr>
              <w:pStyle w:val="70"/>
              <w:autoSpaceDE w:val="0"/>
              <w:autoSpaceDN w:val="0"/>
              <w:rPr>
                <w:color w:val="000000" w:themeColor="text1"/>
                <w14:textFill>
                  <w14:solidFill>
                    <w14:schemeClr w14:val="tx1"/>
                  </w14:solidFill>
                </w14:textFill>
              </w:rPr>
            </w:pPr>
            <w:r>
              <w:rPr>
                <w:rFonts w:hint="eastAsia"/>
                <w:color w:val="000000" w:themeColor="text1"/>
                <w14:textFill>
                  <w14:solidFill>
                    <w14:schemeClr w14:val="tx1"/>
                  </w14:solidFill>
                </w14:textFill>
              </w:rPr>
              <w:t>85</w:t>
            </w:r>
          </w:p>
        </w:tc>
        <w:tc>
          <w:tcPr>
            <w:tcW w:w="631" w:type="pct"/>
            <w:vMerge w:val="continue"/>
            <w:vAlign w:val="center"/>
          </w:tcPr>
          <w:p w14:paraId="2776D177">
            <w:pPr>
              <w:pStyle w:val="70"/>
              <w:autoSpaceDE w:val="0"/>
              <w:autoSpaceDN w:val="0"/>
              <w:rPr>
                <w:color w:val="000000" w:themeColor="text1"/>
                <w14:textFill>
                  <w14:solidFill>
                    <w14:schemeClr w14:val="tx1"/>
                  </w14:solidFill>
                </w14:textFill>
              </w:rPr>
            </w:pPr>
          </w:p>
        </w:tc>
        <w:tc>
          <w:tcPr>
            <w:tcW w:w="633" w:type="pct"/>
            <w:vMerge w:val="continue"/>
            <w:vAlign w:val="center"/>
          </w:tcPr>
          <w:p w14:paraId="5BD712FA">
            <w:pPr>
              <w:pStyle w:val="70"/>
              <w:autoSpaceDE w:val="0"/>
              <w:autoSpaceDN w:val="0"/>
              <w:rPr>
                <w:color w:val="000000" w:themeColor="text1"/>
                <w14:textFill>
                  <w14:solidFill>
                    <w14:schemeClr w14:val="tx1"/>
                  </w14:solidFill>
                </w14:textFill>
              </w:rPr>
            </w:pPr>
          </w:p>
        </w:tc>
        <w:tc>
          <w:tcPr>
            <w:tcW w:w="631" w:type="pct"/>
            <w:vAlign w:val="center"/>
          </w:tcPr>
          <w:p w14:paraId="71C63021">
            <w:pPr>
              <w:pStyle w:val="70"/>
              <w:autoSpaceDE w:val="0"/>
              <w:autoSpaceDN w:val="0"/>
              <w:rPr>
                <w:color w:val="000000" w:themeColor="text1"/>
                <w14:textFill>
                  <w14:solidFill>
                    <w14:schemeClr w14:val="tx1"/>
                  </w14:solidFill>
                </w14:textFill>
              </w:rPr>
            </w:pPr>
            <w:r>
              <w:rPr>
                <w:rFonts w:hint="eastAsia"/>
                <w:color w:val="000000" w:themeColor="text1"/>
                <w14:textFill>
                  <w14:solidFill>
                    <w14:schemeClr w14:val="tx1"/>
                  </w14:solidFill>
                </w14:textFill>
              </w:rPr>
              <w:t>28</w:t>
            </w:r>
          </w:p>
        </w:tc>
        <w:tc>
          <w:tcPr>
            <w:tcW w:w="633" w:type="pct"/>
            <w:vAlign w:val="center"/>
          </w:tcPr>
          <w:p w14:paraId="3CF43A8A">
            <w:pPr>
              <w:pStyle w:val="70"/>
              <w:autoSpaceDE w:val="0"/>
              <w:autoSpaceDN w:val="0"/>
              <w:rPr>
                <w:color w:val="000000" w:themeColor="text1"/>
                <w14:textFill>
                  <w14:solidFill>
                    <w14:schemeClr w14:val="tx1"/>
                  </w14:solidFill>
                </w14:textFill>
              </w:rPr>
            </w:pPr>
            <w:r>
              <w:rPr>
                <w:rFonts w:hint="eastAsia"/>
                <w:color w:val="000000" w:themeColor="text1"/>
                <w14:textFill>
                  <w14:solidFill>
                    <w14:schemeClr w14:val="tx1"/>
                  </w14:solidFill>
                </w14:textFill>
              </w:rPr>
              <w:t>158</w:t>
            </w:r>
          </w:p>
        </w:tc>
      </w:tr>
      <w:tr w14:paraId="4975C52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0" w:type="auto"/>
            <w:vAlign w:val="center"/>
          </w:tcPr>
          <w:p w14:paraId="359AD84E">
            <w:pPr>
              <w:pStyle w:val="70"/>
              <w:autoSpaceDE w:val="0"/>
              <w:autoSpaceDN w:val="0"/>
              <w:rPr>
                <w:color w:val="000000" w:themeColor="text1"/>
                <w14:textFill>
                  <w14:solidFill>
                    <w14:schemeClr w14:val="tx1"/>
                  </w14:solidFill>
                </w14:textFill>
              </w:rPr>
            </w:pPr>
            <w:r>
              <w:rPr>
                <w:rFonts w:hint="eastAsia"/>
                <w:color w:val="000000" w:themeColor="text1"/>
                <w14:textFill>
                  <w14:solidFill>
                    <w14:schemeClr w14:val="tx1"/>
                  </w14:solidFill>
                </w14:textFill>
              </w:rPr>
              <w:t>4</w:t>
            </w:r>
          </w:p>
        </w:tc>
        <w:tc>
          <w:tcPr>
            <w:tcW w:w="0" w:type="auto"/>
            <w:vAlign w:val="center"/>
          </w:tcPr>
          <w:p w14:paraId="0D703177">
            <w:pPr>
              <w:pStyle w:val="70"/>
              <w:autoSpaceDE w:val="0"/>
              <w:autoSpaceDN w:val="0"/>
              <w:rPr>
                <w:color w:val="000000" w:themeColor="text1"/>
                <w14:textFill>
                  <w14:solidFill>
                    <w14:schemeClr w14:val="tx1"/>
                  </w14:solidFill>
                </w14:textFill>
              </w:rPr>
            </w:pPr>
            <w:r>
              <w:rPr>
                <w:color w:val="000000" w:themeColor="text1"/>
                <w14:textFill>
                  <w14:solidFill>
                    <w14:schemeClr w14:val="tx1"/>
                  </w14:solidFill>
                </w14:textFill>
              </w:rPr>
              <w:t>施工船舶</w:t>
            </w:r>
          </w:p>
        </w:tc>
        <w:tc>
          <w:tcPr>
            <w:tcW w:w="0" w:type="auto"/>
            <w:vAlign w:val="center"/>
          </w:tcPr>
          <w:p w14:paraId="5625003D">
            <w:pPr>
              <w:pStyle w:val="70"/>
              <w:autoSpaceDE w:val="0"/>
              <w:autoSpaceDN w:val="0"/>
              <w:rPr>
                <w:color w:val="000000" w:themeColor="text1"/>
                <w14:textFill>
                  <w14:solidFill>
                    <w14:schemeClr w14:val="tx1"/>
                  </w14:solidFill>
                </w14:textFill>
              </w:rPr>
            </w:pPr>
            <w:r>
              <w:rPr>
                <w:color w:val="000000" w:themeColor="text1"/>
                <w14:textFill>
                  <w14:solidFill>
                    <w14:schemeClr w14:val="tx1"/>
                  </w14:solidFill>
                </w14:textFill>
              </w:rPr>
              <w:t>5</w:t>
            </w:r>
          </w:p>
        </w:tc>
        <w:tc>
          <w:tcPr>
            <w:tcW w:w="0" w:type="auto"/>
            <w:vAlign w:val="center"/>
          </w:tcPr>
          <w:p w14:paraId="21139E30">
            <w:pPr>
              <w:pStyle w:val="70"/>
              <w:autoSpaceDE w:val="0"/>
              <w:autoSpaceDN w:val="0"/>
              <w:rPr>
                <w:color w:val="000000" w:themeColor="text1"/>
                <w14:textFill>
                  <w14:solidFill>
                    <w14:schemeClr w14:val="tx1"/>
                  </w14:solidFill>
                </w14:textFill>
              </w:rPr>
            </w:pPr>
            <w:r>
              <w:rPr>
                <w:color w:val="000000" w:themeColor="text1"/>
                <w14:textFill>
                  <w14:solidFill>
                    <w14:schemeClr w14:val="tx1"/>
                  </w14:solidFill>
                </w14:textFill>
              </w:rPr>
              <w:t>90</w:t>
            </w:r>
          </w:p>
        </w:tc>
        <w:tc>
          <w:tcPr>
            <w:tcW w:w="631" w:type="pct"/>
            <w:vMerge w:val="continue"/>
            <w:vAlign w:val="center"/>
          </w:tcPr>
          <w:p w14:paraId="2378462C">
            <w:pPr>
              <w:pStyle w:val="70"/>
              <w:autoSpaceDE w:val="0"/>
              <w:autoSpaceDN w:val="0"/>
              <w:rPr>
                <w:color w:val="000000" w:themeColor="text1"/>
                <w14:textFill>
                  <w14:solidFill>
                    <w14:schemeClr w14:val="tx1"/>
                  </w14:solidFill>
                </w14:textFill>
              </w:rPr>
            </w:pPr>
          </w:p>
        </w:tc>
        <w:tc>
          <w:tcPr>
            <w:tcW w:w="633" w:type="pct"/>
            <w:vMerge w:val="continue"/>
            <w:vAlign w:val="center"/>
          </w:tcPr>
          <w:p w14:paraId="7A109617">
            <w:pPr>
              <w:pStyle w:val="70"/>
              <w:autoSpaceDE w:val="0"/>
              <w:autoSpaceDN w:val="0"/>
              <w:rPr>
                <w:color w:val="000000" w:themeColor="text1"/>
                <w14:textFill>
                  <w14:solidFill>
                    <w14:schemeClr w14:val="tx1"/>
                  </w14:solidFill>
                </w14:textFill>
              </w:rPr>
            </w:pPr>
          </w:p>
        </w:tc>
        <w:tc>
          <w:tcPr>
            <w:tcW w:w="0" w:type="auto"/>
            <w:vAlign w:val="center"/>
          </w:tcPr>
          <w:p w14:paraId="773D9230">
            <w:pPr>
              <w:pStyle w:val="70"/>
              <w:autoSpaceDE w:val="0"/>
              <w:autoSpaceDN w:val="0"/>
              <w:rPr>
                <w:color w:val="000000" w:themeColor="text1"/>
                <w14:textFill>
                  <w14:solidFill>
                    <w14:schemeClr w14:val="tx1"/>
                  </w14:solidFill>
                </w14:textFill>
              </w:rPr>
            </w:pPr>
            <w:r>
              <w:rPr>
                <w:color w:val="000000" w:themeColor="text1"/>
                <w14:textFill>
                  <w14:solidFill>
                    <w14:schemeClr w14:val="tx1"/>
                  </w14:solidFill>
                </w14:textFill>
              </w:rPr>
              <w:t>50</w:t>
            </w:r>
          </w:p>
        </w:tc>
        <w:tc>
          <w:tcPr>
            <w:tcW w:w="0" w:type="auto"/>
            <w:vAlign w:val="center"/>
          </w:tcPr>
          <w:p w14:paraId="70FD8941">
            <w:pPr>
              <w:pStyle w:val="70"/>
              <w:autoSpaceDE w:val="0"/>
              <w:autoSpaceDN w:val="0"/>
              <w:rPr>
                <w:color w:val="000000" w:themeColor="text1"/>
                <w14:textFill>
                  <w14:solidFill>
                    <w14:schemeClr w14:val="tx1"/>
                  </w14:solidFill>
                </w14:textFill>
              </w:rPr>
            </w:pPr>
            <w:r>
              <w:rPr>
                <w:color w:val="000000" w:themeColor="text1"/>
                <w14:textFill>
                  <w14:solidFill>
                    <w14:schemeClr w14:val="tx1"/>
                  </w14:solidFill>
                </w14:textFill>
              </w:rPr>
              <w:t>280</w:t>
            </w:r>
          </w:p>
        </w:tc>
      </w:tr>
    </w:tbl>
    <w:p w14:paraId="484B61F0">
      <w:pPr>
        <w:ind w:firstLine="480"/>
        <w:rPr>
          <w:color w:val="000000" w:themeColor="text1"/>
          <w:u w:val="single"/>
          <w14:textFill>
            <w14:solidFill>
              <w14:schemeClr w14:val="tx1"/>
            </w14:solidFill>
          </w14:textFill>
        </w:rPr>
      </w:pPr>
      <w:r>
        <w:rPr>
          <w:color w:val="000000" w:themeColor="text1"/>
          <w:u w:val="single"/>
          <w14:textFill>
            <w14:solidFill>
              <w14:schemeClr w14:val="tx1"/>
            </w14:solidFill>
          </w14:textFill>
        </w:rPr>
        <w:t>施工期声环境评价标准采用《建筑施工噪声排放标准》（GB 12523-20</w:t>
      </w:r>
      <w:r>
        <w:rPr>
          <w:rFonts w:hint="eastAsia"/>
          <w:color w:val="000000" w:themeColor="text1"/>
          <w:u w:val="single"/>
          <w14:textFill>
            <w14:solidFill>
              <w14:schemeClr w14:val="tx1"/>
            </w14:solidFill>
          </w14:textFill>
        </w:rPr>
        <w:t>25</w:t>
      </w:r>
      <w:r>
        <w:rPr>
          <w:color w:val="000000" w:themeColor="text1"/>
          <w:u w:val="single"/>
          <w14:textFill>
            <w14:solidFill>
              <w14:schemeClr w14:val="tx1"/>
            </w14:solidFill>
          </w14:textFill>
        </w:rPr>
        <w:t>）中的相应标准（昼间70dB、夜间55dB）。</w:t>
      </w:r>
    </w:p>
    <w:p w14:paraId="49FF5B5F">
      <w:pPr>
        <w:ind w:firstLine="480"/>
        <w:rPr>
          <w:color w:val="000000" w:themeColor="text1"/>
          <w:u w:val="single"/>
          <w14:textFill>
            <w14:solidFill>
              <w14:schemeClr w14:val="tx1"/>
            </w14:solidFill>
          </w14:textFill>
        </w:rPr>
      </w:pPr>
      <w:r>
        <w:rPr>
          <w:color w:val="000000" w:themeColor="text1"/>
          <w:u w:val="single"/>
          <w14:textFill>
            <w14:solidFill>
              <w14:schemeClr w14:val="tx1"/>
            </w14:solidFill>
          </w14:textFill>
        </w:rPr>
        <w:t>根据预测结果，单机施工机械噪声值昼间辐射到大于89m距离时，施工噪声预测值可满足《建筑施工噪声排放标准》（GB 12523-20</w:t>
      </w:r>
      <w:r>
        <w:rPr>
          <w:rFonts w:hint="eastAsia"/>
          <w:color w:val="000000" w:themeColor="text1"/>
          <w:u w:val="single"/>
          <w14:textFill>
            <w14:solidFill>
              <w14:schemeClr w14:val="tx1"/>
            </w14:solidFill>
          </w14:textFill>
        </w:rPr>
        <w:t>25</w:t>
      </w:r>
      <w:r>
        <w:rPr>
          <w:color w:val="000000" w:themeColor="text1"/>
          <w:u w:val="single"/>
          <w14:textFill>
            <w14:solidFill>
              <w14:schemeClr w14:val="tx1"/>
            </w14:solidFill>
          </w14:textFill>
        </w:rPr>
        <w:t>）标准要求；对于夜间作业，施工机械噪声值辐射到大于498m处，可达到标准。</w:t>
      </w:r>
    </w:p>
    <w:p w14:paraId="59403684">
      <w:pPr>
        <w:ind w:firstLine="48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管道工程施工多在空旷地带进行，在评价范围内无敏感目标分布，不会对周围敏感造成大的不利影响。同时，管道属于线性工程，使用机械施工，在局部地段的施工周期一般较短，即使是在同一点施工也是断续操作，因此施工产生的噪声只短时对局部环境造成影响，并随施工活动结束消失。</w:t>
      </w:r>
    </w:p>
    <w:p w14:paraId="27890A12">
      <w:pPr>
        <w:pStyle w:val="4"/>
        <w:rPr>
          <w:color w:val="000000" w:themeColor="text1"/>
          <w14:textFill>
            <w14:solidFill>
              <w14:schemeClr w14:val="tx1"/>
            </w14:solidFill>
          </w14:textFill>
        </w:rPr>
      </w:pPr>
      <w:bookmarkStart w:id="671" w:name="_Toc216103415"/>
      <w:bookmarkStart w:id="672" w:name="_Toc29131847"/>
      <w:bookmarkStart w:id="673" w:name="_Toc136878511"/>
      <w:bookmarkStart w:id="674" w:name="_Toc216620574"/>
      <w:bookmarkStart w:id="675" w:name="_Toc135090245"/>
      <w:bookmarkStart w:id="676" w:name="_Toc25436984"/>
      <w:bookmarkStart w:id="677" w:name="_Toc26910034"/>
      <w:r>
        <w:rPr>
          <w:color w:val="000000" w:themeColor="text1"/>
          <w14:textFill>
            <w14:solidFill>
              <w14:schemeClr w14:val="tx1"/>
            </w14:solidFill>
          </w14:textFill>
        </w:rPr>
        <w:t>固体废弃物影响分析</w:t>
      </w:r>
      <w:bookmarkEnd w:id="671"/>
      <w:bookmarkEnd w:id="672"/>
      <w:bookmarkEnd w:id="673"/>
      <w:bookmarkEnd w:id="674"/>
      <w:bookmarkEnd w:id="675"/>
      <w:bookmarkEnd w:id="676"/>
      <w:bookmarkEnd w:id="677"/>
    </w:p>
    <w:p w14:paraId="1399A530">
      <w:pPr>
        <w:ind w:firstLine="480"/>
        <w:rPr>
          <w:color w:val="000000" w:themeColor="text1"/>
          <w14:textFill>
            <w14:solidFill>
              <w14:schemeClr w14:val="tx1"/>
            </w14:solidFill>
          </w14:textFill>
        </w:rPr>
      </w:pPr>
      <w:r>
        <w:rPr>
          <w:color w:val="000000" w:themeColor="text1"/>
          <w14:textFill>
            <w14:solidFill>
              <w14:schemeClr w14:val="tx1"/>
            </w14:solidFill>
          </w14:textFill>
        </w:rPr>
        <w:t>工程施工期间固体废物主要为施工船舶垃圾、施工人员生活垃圾、施工土石方。</w:t>
      </w:r>
    </w:p>
    <w:p w14:paraId="5A925737">
      <w:pPr>
        <w:ind w:firstLine="480"/>
        <w:rPr>
          <w:color w:val="000000" w:themeColor="text1"/>
          <w14:textFill>
            <w14:solidFill>
              <w14:schemeClr w14:val="tx1"/>
            </w14:solidFill>
          </w14:textFill>
        </w:rPr>
      </w:pPr>
      <w:r>
        <w:rPr>
          <w:color w:val="000000" w:themeColor="text1"/>
          <w14:textFill>
            <w14:solidFill>
              <w14:schemeClr w14:val="tx1"/>
            </w14:solidFill>
          </w14:textFill>
        </w:rPr>
        <w:t>1、施工人员生活垃圾</w:t>
      </w:r>
    </w:p>
    <w:p w14:paraId="4A893FCA">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施工人员按20人/天，每人每天生活垃圾产生量1kg，施工期按5个月计，则项目施工期间施工人员产生的生活垃圾3.0t，主要是瓜果皮、菜渣、食品包装袋、剩饭等。若生活垃圾处置不当，不仅影响施工区环境卫生，还将为传播疾病的鼠类、蚊、蝇等提供滋生条件，进而导致疾病流行，影响施工人员身体健康。</w:t>
      </w:r>
      <w:r>
        <w:rPr>
          <w:color w:val="000000" w:themeColor="text1"/>
          <w14:textFill>
            <w14:solidFill>
              <w14:schemeClr w14:val="tx1"/>
            </w14:solidFill>
          </w14:textFill>
        </w:rPr>
        <w:t>生活垃圾</w:t>
      </w:r>
      <w:r>
        <w:rPr>
          <w:rFonts w:hint="eastAsia"/>
          <w:color w:val="000000" w:themeColor="text1"/>
          <w14:textFill>
            <w14:solidFill>
              <w14:schemeClr w14:val="tx1"/>
            </w14:solidFill>
          </w14:textFill>
        </w:rPr>
        <w:t>依托当地的处理设施</w:t>
      </w:r>
      <w:r>
        <w:rPr>
          <w:color w:val="000000" w:themeColor="text1"/>
          <w14:textFill>
            <w14:solidFill>
              <w14:schemeClr w14:val="tx1"/>
            </w14:solidFill>
          </w14:textFill>
        </w:rPr>
        <w:t>定点收集后</w:t>
      </w:r>
      <w:r>
        <w:rPr>
          <w:rFonts w:hint="eastAsia"/>
          <w:color w:val="000000" w:themeColor="text1"/>
          <w14:textFill>
            <w14:solidFill>
              <w14:schemeClr w14:val="tx1"/>
            </w14:solidFill>
          </w14:textFill>
        </w:rPr>
        <w:t>，由环卫部门</w:t>
      </w:r>
      <w:r>
        <w:rPr>
          <w:color w:val="000000" w:themeColor="text1"/>
          <w14:textFill>
            <w14:solidFill>
              <w14:schemeClr w14:val="tx1"/>
            </w14:solidFill>
          </w14:textFill>
        </w:rPr>
        <w:t>统一</w:t>
      </w:r>
      <w:r>
        <w:rPr>
          <w:rFonts w:hint="eastAsia"/>
          <w:color w:val="000000" w:themeColor="text1"/>
          <w14:textFill>
            <w14:solidFill>
              <w14:schemeClr w14:val="tx1"/>
            </w14:solidFill>
          </w14:textFill>
        </w:rPr>
        <w:t>清运</w:t>
      </w:r>
      <w:r>
        <w:rPr>
          <w:color w:val="000000" w:themeColor="text1"/>
          <w14:textFill>
            <w14:solidFill>
              <w14:schemeClr w14:val="tx1"/>
            </w14:solidFill>
          </w14:textFill>
        </w:rPr>
        <w:t>处理。</w:t>
      </w:r>
    </w:p>
    <w:p w14:paraId="56B7A3F9">
      <w:pPr>
        <w:ind w:firstLine="480"/>
        <w:rPr>
          <w:color w:val="000000" w:themeColor="text1"/>
          <w14:textFill>
            <w14:solidFill>
              <w14:schemeClr w14:val="tx1"/>
            </w14:solidFill>
          </w14:textFill>
        </w:rPr>
      </w:pPr>
      <w:r>
        <w:rPr>
          <w:color w:val="000000" w:themeColor="text1"/>
          <w14:textFill>
            <w14:solidFill>
              <w14:schemeClr w14:val="tx1"/>
            </w14:solidFill>
          </w14:textFill>
        </w:rPr>
        <w:t>2、</w:t>
      </w:r>
      <w:r>
        <w:rPr>
          <w:rFonts w:hint="eastAsia"/>
          <w:color w:val="000000" w:themeColor="text1"/>
          <w14:textFill>
            <w14:solidFill>
              <w14:schemeClr w14:val="tx1"/>
            </w14:solidFill>
          </w14:textFill>
        </w:rPr>
        <w:t>施工废料</w:t>
      </w:r>
    </w:p>
    <w:p w14:paraId="58051E0A">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施工废料主要包括防腐作业中产生的废防腐材料及废</w:t>
      </w:r>
      <w:r>
        <w:rPr>
          <w:rFonts w:hint="eastAsia"/>
          <w:bCs/>
          <w:color w:val="000000" w:themeColor="text1"/>
          <w14:textFill>
            <w14:solidFill>
              <w14:schemeClr w14:val="tx1"/>
            </w14:solidFill>
          </w14:textFill>
        </w:rPr>
        <w:t>硅酸钙保温材料</w:t>
      </w:r>
      <w:r>
        <w:rPr>
          <w:rFonts w:hint="eastAsia"/>
          <w:color w:val="000000" w:themeColor="text1"/>
          <w14:textFill>
            <w14:solidFill>
              <w14:schemeClr w14:val="tx1"/>
            </w14:solidFill>
          </w14:textFill>
        </w:rPr>
        <w:t>等。根据类比调查，施工废料的产生量按0.1t/km估算，本项目施工过程中产生的施工废料量约为0.12t。施工废料部分可回收利用，剩余废料集中收集后运往城建部门指定地点进行处置。</w:t>
      </w:r>
    </w:p>
    <w:p w14:paraId="1B09B06C">
      <w:pPr>
        <w:ind w:firstLine="480"/>
        <w:rPr>
          <w:color w:val="000000" w:themeColor="text1"/>
          <w14:textFill>
            <w14:solidFill>
              <w14:schemeClr w14:val="tx1"/>
            </w14:solidFill>
          </w14:textFill>
        </w:rPr>
      </w:pPr>
      <w:r>
        <w:rPr>
          <w:color w:val="000000" w:themeColor="text1"/>
          <w14:textFill>
            <w14:solidFill>
              <w14:schemeClr w14:val="tx1"/>
            </w14:solidFill>
          </w14:textFill>
        </w:rPr>
        <w:t>3、</w:t>
      </w:r>
      <w:r>
        <w:rPr>
          <w:rFonts w:hint="eastAsia"/>
          <w:color w:val="000000" w:themeColor="text1"/>
          <w14:textFill>
            <w14:solidFill>
              <w14:schemeClr w14:val="tx1"/>
            </w14:solidFill>
          </w14:textFill>
        </w:rPr>
        <w:t>施工船舶垃圾</w:t>
      </w:r>
    </w:p>
    <w:p w14:paraId="29E9A02D">
      <w:pPr>
        <w:widowControl/>
        <w:ind w:firstLine="480"/>
        <w:rPr>
          <w:color w:val="000000" w:themeColor="text1"/>
          <w:u w:val="single"/>
          <w14:textFill>
            <w14:solidFill>
              <w14:schemeClr w14:val="tx1"/>
            </w14:solidFill>
          </w14:textFill>
        </w:rPr>
      </w:pPr>
      <w:r>
        <w:rPr>
          <w:color w:val="000000" w:themeColor="text1"/>
          <w14:textFill>
            <w14:solidFill>
              <w14:schemeClr w14:val="tx1"/>
            </w14:solidFill>
          </w14:textFill>
        </w:rPr>
        <w:t>施工船舶</w:t>
      </w:r>
      <w:r>
        <w:rPr>
          <w:rFonts w:hint="eastAsia"/>
          <w:color w:val="000000" w:themeColor="text1"/>
          <w14:textFill>
            <w14:solidFill>
              <w14:schemeClr w14:val="tx1"/>
            </w14:solidFill>
          </w14:textFill>
        </w:rPr>
        <w:t>垃圾主要为船舶人员生活垃圾</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装卸臂吊装一般为3～5天，施工过程中会产生少量的船舶垃圾，施工船舶垃圾</w:t>
      </w:r>
      <w:r>
        <w:rPr>
          <w:color w:val="000000" w:themeColor="text1"/>
          <w14:textFill>
            <w14:solidFill>
              <w14:schemeClr w14:val="tx1"/>
            </w14:solidFill>
          </w14:textFill>
        </w:rPr>
        <w:t>严格按照船舶污染物监管</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联单制度</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进行管理，委托船舶污染物接收单位进行接收、转运及处置。</w:t>
      </w:r>
    </w:p>
    <w:p w14:paraId="49212005">
      <w:pPr>
        <w:pStyle w:val="4"/>
        <w:rPr>
          <w:color w:val="000000" w:themeColor="text1"/>
          <w14:textFill>
            <w14:solidFill>
              <w14:schemeClr w14:val="tx1"/>
            </w14:solidFill>
          </w14:textFill>
        </w:rPr>
      </w:pPr>
      <w:bookmarkStart w:id="678" w:name="_Toc29131848"/>
      <w:bookmarkStart w:id="679" w:name="_Toc216103416"/>
      <w:bookmarkStart w:id="680" w:name="_Toc25436985"/>
      <w:bookmarkStart w:id="681" w:name="_Toc26910035"/>
      <w:bookmarkStart w:id="682" w:name="_Toc136878512"/>
      <w:bookmarkStart w:id="683" w:name="_Toc216620575"/>
      <w:bookmarkStart w:id="684" w:name="_Toc135090246"/>
      <w:r>
        <w:rPr>
          <w:color w:val="000000" w:themeColor="text1"/>
          <w14:textFill>
            <w14:solidFill>
              <w14:schemeClr w14:val="tx1"/>
            </w14:solidFill>
          </w14:textFill>
        </w:rPr>
        <w:t>施工期生态影响分析</w:t>
      </w:r>
      <w:bookmarkEnd w:id="678"/>
      <w:bookmarkEnd w:id="679"/>
      <w:bookmarkEnd w:id="680"/>
      <w:bookmarkEnd w:id="681"/>
      <w:bookmarkEnd w:id="682"/>
      <w:bookmarkEnd w:id="683"/>
      <w:bookmarkEnd w:id="684"/>
    </w:p>
    <w:p w14:paraId="64D1DD57">
      <w:pPr>
        <w:ind w:firstLine="480"/>
        <w:rPr>
          <w:color w:val="000000" w:themeColor="text1"/>
          <w14:textFill>
            <w14:solidFill>
              <w14:schemeClr w14:val="tx1"/>
            </w14:solidFill>
          </w14:textFill>
        </w:rPr>
      </w:pPr>
      <w:r>
        <w:rPr>
          <w:color w:val="000000" w:themeColor="text1"/>
          <w14:textFill>
            <w14:solidFill>
              <w14:schemeClr w14:val="tx1"/>
            </w14:solidFill>
          </w14:textFill>
        </w:rPr>
        <w:t>项目在现有泊位增加装卸臂和软管，不涉及水上施工及陆地施工，项目施工期对生态环境影响甚小。</w:t>
      </w:r>
    </w:p>
    <w:p w14:paraId="3E75B324">
      <w:pPr>
        <w:pStyle w:val="4"/>
        <w:rPr>
          <w:color w:val="000000" w:themeColor="text1"/>
          <w14:textFill>
            <w14:solidFill>
              <w14:schemeClr w14:val="tx1"/>
            </w14:solidFill>
          </w14:textFill>
        </w:rPr>
      </w:pPr>
      <w:bookmarkStart w:id="685" w:name="_Toc216103417"/>
      <w:bookmarkStart w:id="686" w:name="_Toc216620576"/>
      <w:r>
        <w:rPr>
          <w:color w:val="000000" w:themeColor="text1"/>
          <w14:textFill>
            <w14:solidFill>
              <w14:schemeClr w14:val="tx1"/>
            </w14:solidFill>
          </w14:textFill>
        </w:rPr>
        <w:t>施工期地下水环境影响分析</w:t>
      </w:r>
      <w:bookmarkEnd w:id="685"/>
      <w:bookmarkEnd w:id="686"/>
    </w:p>
    <w:p w14:paraId="55292977">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项目施工营地一般租用当地民房；生活污水中的粪便污水经居民房自设的化粪池处理后用作有机肥。试压废水经罐区废水池汇总后进入污水处理厂进行处理。采取以上污水处理措施后，生活污水不会对地下水造成明显影响。</w:t>
      </w:r>
    </w:p>
    <w:p w14:paraId="68F3EAB9">
      <w:pPr>
        <w:pStyle w:val="5"/>
        <w:rPr>
          <w:color w:val="000000" w:themeColor="text1"/>
          <w14:textFill>
            <w14:solidFill>
              <w14:schemeClr w14:val="tx1"/>
            </w14:solidFill>
          </w14:textFill>
        </w:rPr>
      </w:pPr>
      <w:bookmarkStart w:id="687" w:name="_Toc216620577"/>
      <w:r>
        <w:rPr>
          <w:color w:val="000000" w:themeColor="text1"/>
          <w14:textFill>
            <w14:solidFill>
              <w14:schemeClr w14:val="tx1"/>
            </w14:solidFill>
          </w14:textFill>
        </w:rPr>
        <w:t>营运期环境影响分析</w:t>
      </w:r>
      <w:bookmarkEnd w:id="687"/>
    </w:p>
    <w:p w14:paraId="4A01B970">
      <w:pPr>
        <w:pStyle w:val="4"/>
        <w:rPr>
          <w:color w:val="000000" w:themeColor="text1"/>
          <w14:textFill>
            <w14:solidFill>
              <w14:schemeClr w14:val="tx1"/>
            </w14:solidFill>
          </w14:textFill>
        </w:rPr>
      </w:pPr>
      <w:bookmarkStart w:id="688" w:name="_Toc25436987"/>
      <w:bookmarkEnd w:id="688"/>
      <w:bookmarkStart w:id="689" w:name="_Toc135090248"/>
      <w:bookmarkStart w:id="690" w:name="_Toc216103419"/>
      <w:bookmarkStart w:id="691" w:name="_Toc136878514"/>
      <w:bookmarkStart w:id="692" w:name="_Toc216620578"/>
      <w:bookmarkStart w:id="693" w:name="_Toc29131850"/>
      <w:r>
        <w:rPr>
          <w:color w:val="000000" w:themeColor="text1"/>
          <w14:textFill>
            <w14:solidFill>
              <w14:schemeClr w14:val="tx1"/>
            </w14:solidFill>
          </w14:textFill>
        </w:rPr>
        <w:t>运营期大气影响分析</w:t>
      </w:r>
      <w:bookmarkEnd w:id="689"/>
      <w:bookmarkEnd w:id="690"/>
      <w:bookmarkEnd w:id="691"/>
      <w:bookmarkEnd w:id="692"/>
      <w:bookmarkEnd w:id="693"/>
      <w:r>
        <w:rPr>
          <w:color w:val="000000" w:themeColor="text1"/>
          <w14:textFill>
            <w14:solidFill>
              <w14:schemeClr w14:val="tx1"/>
            </w14:solidFill>
          </w14:textFill>
        </w:rPr>
        <w:t xml:space="preserve"> </w:t>
      </w:r>
    </w:p>
    <w:p w14:paraId="3EF855CA">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本扩建项目主要是</w:t>
      </w:r>
      <w:r>
        <w:rPr>
          <w:color w:val="000000" w:themeColor="text1"/>
          <w14:textFill>
            <w14:solidFill>
              <w14:schemeClr w14:val="tx1"/>
            </w14:solidFill>
          </w14:textFill>
        </w:rPr>
        <w:t>新增</w:t>
      </w:r>
      <w:r>
        <w:rPr>
          <w:rFonts w:hint="eastAsia"/>
          <w:color w:val="000000" w:themeColor="text1"/>
          <w14:textFill>
            <w14:solidFill>
              <w14:schemeClr w14:val="tx1"/>
            </w14:solidFill>
          </w14:textFill>
        </w:rPr>
        <w:t>苯乙烯、裂解C9、棕榈酸化油、脂肪酸混合物、工业级混合油、脂肪酸甲酯、纯生物柴油、航空煤油、液硫、碱液、发烟硫酸、硫酸装卸。</w:t>
      </w:r>
    </w:p>
    <w:p w14:paraId="5B98E177">
      <w:pPr>
        <w:autoSpaceDE w:val="0"/>
        <w:autoSpaceDN w:val="0"/>
        <w:ind w:firstLine="480"/>
        <w:jc w:val="left"/>
        <w:rPr>
          <w:rFonts w:ascii="宋体" w:hAnsi="宋体"/>
          <w:color w:val="000000" w:themeColor="text1"/>
          <w:u w:val="single"/>
          <w14:textFill>
            <w14:solidFill>
              <w14:schemeClr w14:val="tx1"/>
            </w14:solidFill>
          </w14:textFill>
        </w:rPr>
      </w:pPr>
      <w:r>
        <w:rPr>
          <w:rFonts w:hint="eastAsia"/>
          <w:color w:val="000000" w:themeColor="text1"/>
          <w:u w:val="single"/>
          <w:lang w:eastAsia="zh-CN"/>
          <w14:textFill>
            <w14:solidFill>
              <w14:schemeClr w14:val="tx1"/>
            </w14:solidFill>
          </w14:textFill>
        </w:rPr>
        <w:t>其中</w:t>
      </w:r>
      <w:r>
        <w:rPr>
          <w:rFonts w:hint="eastAsia" w:ascii="宋体" w:hAnsi="宋体"/>
          <w:color w:val="000000" w:themeColor="text1"/>
          <w:u w:val="single"/>
          <w14:textFill>
            <w14:solidFill>
              <w14:schemeClr w14:val="tx1"/>
            </w14:solidFill>
          </w14:textFill>
        </w:rPr>
        <w:t>新增苯乙烯利用现有装卸臂进行装卸，均为卸船后经管道至后方</w:t>
      </w:r>
      <w:r>
        <w:rPr>
          <w:rFonts w:hint="eastAsia"/>
          <w:color w:val="000000" w:themeColor="text1"/>
          <w:u w:val="single"/>
          <w14:textFill>
            <w14:solidFill>
              <w14:schemeClr w14:val="tx1"/>
            </w14:solidFill>
          </w14:textFill>
        </w:rPr>
        <w:t>台湾见龙钦州高端聚苯乙烯新材料项目</w:t>
      </w:r>
      <w:r>
        <w:rPr>
          <w:rFonts w:hint="eastAsia" w:ascii="宋体" w:hAnsi="宋体"/>
          <w:color w:val="000000" w:themeColor="text1"/>
          <w:u w:val="single"/>
          <w14:textFill>
            <w14:solidFill>
              <w14:schemeClr w14:val="tx1"/>
            </w14:solidFill>
          </w14:textFill>
        </w:rPr>
        <w:t>厂区。</w:t>
      </w:r>
    </w:p>
    <w:p w14:paraId="0C8106E0">
      <w:pPr>
        <w:autoSpaceDE w:val="0"/>
        <w:autoSpaceDN w:val="0"/>
        <w:ind w:firstLine="480"/>
        <w:jc w:val="left"/>
        <w:rPr>
          <w:rFonts w:ascii="宋体" w:hAnsi="宋体"/>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棕榈酸化油、脂肪酸混合物由</w:t>
      </w:r>
      <w:r>
        <w:rPr>
          <w:rFonts w:hint="eastAsia" w:ascii="宋体" w:hAnsi="宋体"/>
          <w:color w:val="000000" w:themeColor="text1"/>
          <w:u w:val="single"/>
          <w14:textFill>
            <w14:solidFill>
              <w14:schemeClr w14:val="tx1"/>
            </w14:solidFill>
          </w14:textFill>
        </w:rPr>
        <w:t>新建装卸臂</w:t>
      </w:r>
      <w:r>
        <w:rPr>
          <w:rFonts w:hint="eastAsia"/>
          <w:color w:val="000000" w:themeColor="text1"/>
          <w:u w:val="single"/>
          <w14:textFill>
            <w14:solidFill>
              <w14:schemeClr w14:val="tx1"/>
            </w14:solidFill>
          </w14:textFill>
        </w:rPr>
        <w:t>卸船至后方欧德年产 30 万吨生物柴油生产线项目厂区。</w:t>
      </w:r>
    </w:p>
    <w:p w14:paraId="1AB4F3B1">
      <w:pPr>
        <w:autoSpaceDE w:val="0"/>
        <w:autoSpaceDN w:val="0"/>
        <w:ind w:firstLine="480"/>
        <w:jc w:val="left"/>
        <w:rPr>
          <w:rFonts w:ascii="宋体" w:hAnsi="宋体"/>
          <w:color w:val="000000" w:themeColor="text1"/>
          <w:u w:val="single"/>
          <w14:textFill>
            <w14:solidFill>
              <w14:schemeClr w14:val="tx1"/>
            </w14:solidFill>
          </w14:textFill>
        </w:rPr>
      </w:pPr>
      <w:r>
        <w:rPr>
          <w:rFonts w:hint="eastAsia" w:ascii="宋体" w:hAnsi="宋体"/>
          <w:color w:val="000000" w:themeColor="text1"/>
          <w:u w:val="single"/>
          <w14:textFill>
            <w14:solidFill>
              <w14:schemeClr w14:val="tx1"/>
            </w14:solidFill>
          </w14:textFill>
        </w:rPr>
        <w:t>裂解C9、工业级混合油、脂肪酸甲酯、纯生物柴油、航空煤油由后方厂区及公共管廊至码头管廊后至新建装卸臂进行装船。</w:t>
      </w:r>
    </w:p>
    <w:p w14:paraId="6ADA926E">
      <w:pPr>
        <w:ind w:firstLine="480"/>
        <w:rPr>
          <w:color w:val="000000" w:themeColor="text1"/>
          <w:u w:val="single"/>
          <w14:textFill>
            <w14:solidFill>
              <w14:schemeClr w14:val="tx1"/>
            </w14:solidFill>
          </w14:textFill>
        </w:rPr>
      </w:pPr>
      <w:r>
        <w:rPr>
          <w:rFonts w:hint="eastAsia" w:ascii="宋体" w:hAnsi="宋体"/>
          <w:color w:val="000000" w:themeColor="text1"/>
          <w:u w:val="single"/>
          <w14:textFill>
            <w14:solidFill>
              <w14:schemeClr w14:val="tx1"/>
            </w14:solidFill>
          </w14:textFill>
        </w:rPr>
        <w:t>液硫、碱液、发烟硫酸、硫酸经卸船经管道至后方陆域罐区（新增罐区环境影响评价报告</w:t>
      </w:r>
      <w:r>
        <w:rPr>
          <w:rFonts w:hint="eastAsia" w:ascii="宋体" w:hAnsi="宋体"/>
          <w:color w:val="000000" w:themeColor="text1"/>
          <w:u w:val="single"/>
          <w:lang w:eastAsia="zh-CN"/>
          <w14:textFill>
            <w14:solidFill>
              <w14:schemeClr w14:val="tx1"/>
            </w14:solidFill>
          </w14:textFill>
        </w:rPr>
        <w:t>同步进行</w:t>
      </w:r>
      <w:r>
        <w:rPr>
          <w:rFonts w:hint="eastAsia" w:ascii="宋体" w:hAnsi="宋体"/>
          <w:color w:val="000000" w:themeColor="text1"/>
          <w:u w:val="single"/>
          <w14:textFill>
            <w14:solidFill>
              <w14:schemeClr w14:val="tx1"/>
            </w14:solidFill>
          </w14:textFill>
        </w:rPr>
        <w:t>）。</w:t>
      </w:r>
      <w:r>
        <w:rPr>
          <w:rFonts w:hint="eastAsia"/>
          <w:color w:val="000000" w:themeColor="text1"/>
          <w:u w:val="single"/>
          <w14:textFill>
            <w14:solidFill>
              <w14:schemeClr w14:val="tx1"/>
            </w14:solidFill>
          </w14:textFill>
        </w:rPr>
        <w:t>属于独用管线，不涉及扫线。</w:t>
      </w:r>
    </w:p>
    <w:p w14:paraId="58E9F465">
      <w:pPr>
        <w:ind w:firstLine="48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项目主要产生废气来自管线密封点溢出废气。结合项目特点，项目选择具有大气挥发的物种苯乙烯、裂解C9、工业级混合油、 航空煤油、发烟硫酸（硫酸），其中苯乙烯、发烟硫酸及硫酸以硫酸雾计算具有标准，单独核算，其余货种以</w:t>
      </w:r>
      <w:r>
        <w:rPr>
          <w:color w:val="000000" w:themeColor="text1"/>
          <w:u w:val="single"/>
          <w14:textFill>
            <w14:solidFill>
              <w14:schemeClr w14:val="tx1"/>
            </w14:solidFill>
          </w14:textFill>
        </w:rPr>
        <w:t>VOCs进行表征综合统计。</w:t>
      </w:r>
    </w:p>
    <w:p w14:paraId="04BB7EA9">
      <w:pPr>
        <w:pStyle w:val="6"/>
        <w:rPr>
          <w:color w:val="000000" w:themeColor="text1"/>
          <w14:textFill>
            <w14:solidFill>
              <w14:schemeClr w14:val="tx1"/>
            </w14:solidFill>
          </w14:textFill>
        </w:rPr>
      </w:pPr>
      <w:r>
        <w:rPr>
          <w:color w:val="000000" w:themeColor="text1"/>
          <w14:textFill>
            <w14:solidFill>
              <w14:schemeClr w14:val="tx1"/>
            </w14:solidFill>
          </w14:textFill>
        </w:rPr>
        <w:t>污染气象条件分析</w:t>
      </w:r>
    </w:p>
    <w:p w14:paraId="0C276110">
      <w:pPr>
        <w:ind w:firstLine="480"/>
        <w:rPr>
          <w:rFonts w:ascii="Times New Roman" w:hAnsi="Times New Roman" w:eastAsia="宋体"/>
          <w:color w:val="000000" w:themeColor="text1"/>
          <w:spacing w:val="0"/>
          <w:w w:val="100"/>
          <w:position w:val="0"/>
          <w:u w:val="none" w:color="auto"/>
          <w14:textFill>
            <w14:solidFill>
              <w14:schemeClr w14:val="tx1"/>
            </w14:solidFill>
          </w14:textFill>
        </w:rPr>
      </w:pPr>
      <w:r>
        <w:rPr>
          <w:rFonts w:ascii="Times New Roman" w:hAnsi="Times New Roman" w:eastAsia="宋体"/>
          <w:color w:val="000000" w:themeColor="text1"/>
          <w:spacing w:val="0"/>
          <w:w w:val="100"/>
          <w:position w:val="0"/>
          <w:u w:val="none" w:color="auto"/>
          <w14:textFill>
            <w14:solidFill>
              <w14:schemeClr w14:val="tx1"/>
            </w14:solidFill>
          </w14:textFill>
        </w:rPr>
        <w:t>本次环评采用的气象资料为钦州气象站（编号59632）的资料；该气象站近20年的常规气象项目统计详见表</w:t>
      </w:r>
      <w:r>
        <w:rPr>
          <w:rFonts w:hint="eastAsia" w:ascii="Times New Roman" w:hAnsi="Times New Roman" w:eastAsia="宋体"/>
          <w:color w:val="000000" w:themeColor="text1"/>
          <w:spacing w:val="0"/>
          <w:w w:val="100"/>
          <w:position w:val="0"/>
          <w:u w:val="none" w:color="auto"/>
          <w:lang w:val="en-US" w:eastAsia="zh-CN"/>
          <w14:textFill>
            <w14:solidFill>
              <w14:schemeClr w14:val="tx1"/>
            </w14:solidFill>
          </w14:textFill>
        </w:rPr>
        <w:t>4.</w:t>
      </w:r>
      <w:r>
        <w:rPr>
          <w:rFonts w:hint="eastAsia" w:eastAsia="宋体"/>
          <w:color w:val="000000" w:themeColor="text1"/>
          <w:spacing w:val="0"/>
          <w:w w:val="100"/>
          <w:position w:val="0"/>
          <w:u w:val="none" w:color="auto"/>
          <w:lang w:val="en-US" w:eastAsia="zh-CN"/>
          <w14:textFill>
            <w14:solidFill>
              <w14:schemeClr w14:val="tx1"/>
            </w14:solidFill>
          </w14:textFill>
        </w:rPr>
        <w:t>3</w:t>
      </w:r>
      <w:r>
        <w:rPr>
          <w:rFonts w:ascii="Times New Roman" w:hAnsi="Times New Roman" w:eastAsia="宋体"/>
          <w:color w:val="000000" w:themeColor="text1"/>
          <w:spacing w:val="0"/>
          <w:w w:val="100"/>
          <w:position w:val="0"/>
          <w:u w:val="none" w:color="auto"/>
          <w14:textFill>
            <w14:solidFill>
              <w14:schemeClr w14:val="tx1"/>
            </w14:solidFill>
          </w14:textFill>
        </w:rPr>
        <w:t>-1。</w:t>
      </w:r>
    </w:p>
    <w:p w14:paraId="69961972">
      <w:pPr>
        <w:pStyle w:val="7"/>
        <w:tabs>
          <w:tab w:val="left" w:pos="2127"/>
          <w:tab w:val="left" w:pos="2411"/>
        </w:tabs>
        <w:rPr>
          <w:rFonts w:hint="eastAsia" w:eastAsia="宋体"/>
          <w:color w:val="000000" w:themeColor="text1"/>
          <w14:textFill>
            <w14:solidFill>
              <w14:schemeClr w14:val="tx1"/>
            </w14:solidFill>
          </w14:textFill>
        </w:rPr>
      </w:pPr>
      <w:r>
        <w:rPr>
          <w:rFonts w:hint="eastAsia" w:eastAsia="宋体"/>
          <w:color w:val="000000" w:themeColor="text1"/>
          <w14:textFill>
            <w14:solidFill>
              <w14:schemeClr w14:val="tx1"/>
            </w14:solidFill>
          </w14:textFill>
        </w:rPr>
        <w:t>钦州市气象站近20年常规气象数据统计一览表</w:t>
      </w:r>
    </w:p>
    <w:tbl>
      <w:tblPr>
        <w:tblStyle w:val="43"/>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775"/>
        <w:gridCol w:w="1667"/>
        <w:gridCol w:w="1672"/>
        <w:gridCol w:w="2095"/>
        <w:gridCol w:w="2125"/>
      </w:tblGrid>
      <w:tr w14:paraId="4A3541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tblHeader/>
          <w:jc w:val="center"/>
        </w:trPr>
        <w:tc>
          <w:tcPr>
            <w:tcW w:w="465" w:type="pct"/>
            <w:tcBorders>
              <w:top w:val="single" w:color="auto" w:sz="12" w:space="0"/>
              <w:left w:val="single" w:color="auto" w:sz="12" w:space="0"/>
            </w:tcBorders>
            <w:noWrap w:val="0"/>
            <w:vAlign w:val="center"/>
          </w:tcPr>
          <w:p w14:paraId="1BE5EAF8">
            <w:pPr>
              <w:pStyle w:val="70"/>
              <w:autoSpaceDE w:val="0"/>
              <w:autoSpaceDN w:val="0"/>
              <w:rPr>
                <w:rFonts w:hint="default" w:eastAsia="宋体"/>
                <w:b/>
                <w:bCs/>
                <w:color w:val="000000" w:themeColor="text1"/>
                <w14:textFill>
                  <w14:solidFill>
                    <w14:schemeClr w14:val="tx1"/>
                  </w14:solidFill>
                </w14:textFill>
              </w:rPr>
            </w:pPr>
            <w:r>
              <w:rPr>
                <w:rFonts w:hint="default" w:eastAsia="宋体"/>
                <w:b/>
                <w:bCs/>
                <w:color w:val="000000" w:themeColor="text1"/>
                <w14:textFill>
                  <w14:solidFill>
                    <w14:schemeClr w14:val="tx1"/>
                  </w14:solidFill>
                </w14:textFill>
              </w:rPr>
              <w:t>序号</w:t>
            </w:r>
          </w:p>
        </w:tc>
        <w:tc>
          <w:tcPr>
            <w:tcW w:w="2003" w:type="pct"/>
            <w:gridSpan w:val="2"/>
            <w:tcBorders>
              <w:top w:val="single" w:color="auto" w:sz="12" w:space="0"/>
            </w:tcBorders>
            <w:noWrap w:val="0"/>
            <w:vAlign w:val="center"/>
          </w:tcPr>
          <w:p w14:paraId="0B97AF92">
            <w:pPr>
              <w:pStyle w:val="70"/>
              <w:autoSpaceDE w:val="0"/>
              <w:autoSpaceDN w:val="0"/>
              <w:rPr>
                <w:rFonts w:hint="default" w:eastAsia="宋体"/>
                <w:b/>
                <w:bCs/>
                <w:color w:val="000000" w:themeColor="text1"/>
                <w14:textFill>
                  <w14:solidFill>
                    <w14:schemeClr w14:val="tx1"/>
                  </w14:solidFill>
                </w14:textFill>
              </w:rPr>
            </w:pPr>
            <w:r>
              <w:rPr>
                <w:rFonts w:hint="default" w:eastAsia="宋体"/>
                <w:b/>
                <w:bCs/>
                <w:color w:val="000000" w:themeColor="text1"/>
                <w14:textFill>
                  <w14:solidFill>
                    <w14:schemeClr w14:val="tx1"/>
                  </w14:solidFill>
                </w14:textFill>
              </w:rPr>
              <w:t>统计项目</w:t>
            </w:r>
          </w:p>
        </w:tc>
        <w:tc>
          <w:tcPr>
            <w:tcW w:w="1256" w:type="pct"/>
            <w:tcBorders>
              <w:top w:val="single" w:color="auto" w:sz="12" w:space="0"/>
            </w:tcBorders>
            <w:noWrap w:val="0"/>
            <w:vAlign w:val="center"/>
          </w:tcPr>
          <w:p w14:paraId="32103036">
            <w:pPr>
              <w:pStyle w:val="70"/>
              <w:autoSpaceDE w:val="0"/>
              <w:autoSpaceDN w:val="0"/>
              <w:rPr>
                <w:rFonts w:hint="default" w:eastAsia="宋体"/>
                <w:b/>
                <w:bCs/>
                <w:color w:val="000000" w:themeColor="text1"/>
                <w14:textFill>
                  <w14:solidFill>
                    <w14:schemeClr w14:val="tx1"/>
                  </w14:solidFill>
                </w14:textFill>
              </w:rPr>
            </w:pPr>
            <w:r>
              <w:rPr>
                <w:rFonts w:hint="default" w:eastAsia="宋体"/>
                <w:b/>
                <w:bCs/>
                <w:color w:val="000000" w:themeColor="text1"/>
                <w14:textFill>
                  <w14:solidFill>
                    <w14:schemeClr w14:val="tx1"/>
                  </w14:solidFill>
                </w14:textFill>
              </w:rPr>
              <w:t>统计值</w:t>
            </w:r>
          </w:p>
        </w:tc>
        <w:tc>
          <w:tcPr>
            <w:tcW w:w="1274" w:type="pct"/>
            <w:tcBorders>
              <w:top w:val="single" w:color="auto" w:sz="12" w:space="0"/>
              <w:right w:val="single" w:color="auto" w:sz="12" w:space="0"/>
            </w:tcBorders>
            <w:noWrap w:val="0"/>
            <w:vAlign w:val="center"/>
          </w:tcPr>
          <w:p w14:paraId="33CEAA8C">
            <w:pPr>
              <w:pStyle w:val="70"/>
              <w:autoSpaceDE w:val="0"/>
              <w:autoSpaceDN w:val="0"/>
              <w:rPr>
                <w:rFonts w:hint="default" w:eastAsia="宋体"/>
                <w:b/>
                <w:bCs/>
                <w:color w:val="000000" w:themeColor="text1"/>
                <w14:textFill>
                  <w14:solidFill>
                    <w14:schemeClr w14:val="tx1"/>
                  </w14:solidFill>
                </w14:textFill>
              </w:rPr>
            </w:pPr>
            <w:r>
              <w:rPr>
                <w:rFonts w:hint="default" w:eastAsia="宋体"/>
                <w:b/>
                <w:bCs/>
                <w:color w:val="000000" w:themeColor="text1"/>
                <w14:textFill>
                  <w14:solidFill>
                    <w14:schemeClr w14:val="tx1"/>
                  </w14:solidFill>
                </w14:textFill>
              </w:rPr>
              <w:t>出现时间</w:t>
            </w:r>
          </w:p>
        </w:tc>
      </w:tr>
      <w:tr w14:paraId="5F449C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465" w:type="pct"/>
            <w:tcBorders>
              <w:left w:val="single" w:color="auto" w:sz="12" w:space="0"/>
            </w:tcBorders>
            <w:noWrap w:val="0"/>
            <w:vAlign w:val="center"/>
          </w:tcPr>
          <w:p w14:paraId="002FEB9C">
            <w:pPr>
              <w:pStyle w:val="70"/>
              <w:autoSpaceDE w:val="0"/>
              <w:autoSpaceDN w:val="0"/>
              <w:rPr>
                <w:rFonts w:hint="default" w:eastAsia="宋体"/>
                <w:color w:val="000000" w:themeColor="text1"/>
                <w14:textFill>
                  <w14:solidFill>
                    <w14:schemeClr w14:val="tx1"/>
                  </w14:solidFill>
                </w14:textFill>
              </w:rPr>
            </w:pPr>
            <w:r>
              <w:rPr>
                <w:rFonts w:hint="default" w:eastAsia="宋体"/>
                <w:color w:val="000000" w:themeColor="text1"/>
                <w14:textFill>
                  <w14:solidFill>
                    <w14:schemeClr w14:val="tx1"/>
                  </w14:solidFill>
                </w14:textFill>
              </w:rPr>
              <w:t>1</w:t>
            </w:r>
          </w:p>
        </w:tc>
        <w:tc>
          <w:tcPr>
            <w:tcW w:w="2003" w:type="pct"/>
            <w:gridSpan w:val="2"/>
            <w:noWrap w:val="0"/>
            <w:vAlign w:val="center"/>
          </w:tcPr>
          <w:p w14:paraId="4733283B">
            <w:pPr>
              <w:pStyle w:val="70"/>
              <w:autoSpaceDE w:val="0"/>
              <w:autoSpaceDN w:val="0"/>
              <w:rPr>
                <w:rFonts w:hint="default" w:eastAsia="宋体"/>
                <w:color w:val="000000" w:themeColor="text1"/>
                <w14:textFill>
                  <w14:solidFill>
                    <w14:schemeClr w14:val="tx1"/>
                  </w14:solidFill>
                </w14:textFill>
              </w:rPr>
            </w:pPr>
            <w:r>
              <w:rPr>
                <w:rFonts w:hint="default" w:eastAsia="宋体"/>
                <w:color w:val="000000" w:themeColor="text1"/>
                <w14:textFill>
                  <w14:solidFill>
                    <w14:schemeClr w14:val="tx1"/>
                  </w14:solidFill>
                </w14:textFill>
              </w:rPr>
              <w:t>多年平均气温（℃）</w:t>
            </w:r>
          </w:p>
        </w:tc>
        <w:tc>
          <w:tcPr>
            <w:tcW w:w="1256" w:type="pct"/>
            <w:noWrap w:val="0"/>
            <w:vAlign w:val="center"/>
          </w:tcPr>
          <w:p w14:paraId="32E11FBB">
            <w:pPr>
              <w:pStyle w:val="70"/>
              <w:autoSpaceDE w:val="0"/>
              <w:autoSpaceDN w:val="0"/>
              <w:rPr>
                <w:rFonts w:hint="default" w:eastAsia="宋体"/>
                <w:color w:val="000000" w:themeColor="text1"/>
                <w14:textFill>
                  <w14:solidFill>
                    <w14:schemeClr w14:val="tx1"/>
                  </w14:solidFill>
                </w14:textFill>
              </w:rPr>
            </w:pPr>
            <w:r>
              <w:rPr>
                <w:rFonts w:hint="default" w:eastAsia="宋体"/>
                <w:color w:val="000000" w:themeColor="text1"/>
                <w14:textFill>
                  <w14:solidFill>
                    <w14:schemeClr w14:val="tx1"/>
                  </w14:solidFill>
                </w14:textFill>
              </w:rPr>
              <w:t>22.9</w:t>
            </w:r>
          </w:p>
        </w:tc>
        <w:tc>
          <w:tcPr>
            <w:tcW w:w="1274" w:type="pct"/>
            <w:tcBorders>
              <w:right w:val="single" w:color="auto" w:sz="12" w:space="0"/>
            </w:tcBorders>
            <w:noWrap w:val="0"/>
            <w:vAlign w:val="center"/>
          </w:tcPr>
          <w:p w14:paraId="445C8377">
            <w:pPr>
              <w:pStyle w:val="70"/>
              <w:autoSpaceDE w:val="0"/>
              <w:autoSpaceDN w:val="0"/>
              <w:rPr>
                <w:rFonts w:hint="default" w:eastAsia="宋体"/>
                <w:color w:val="000000" w:themeColor="text1"/>
                <w14:textFill>
                  <w14:solidFill>
                    <w14:schemeClr w14:val="tx1"/>
                  </w14:solidFill>
                </w14:textFill>
              </w:rPr>
            </w:pPr>
          </w:p>
        </w:tc>
      </w:tr>
      <w:tr w14:paraId="732593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465" w:type="pct"/>
            <w:tcBorders>
              <w:left w:val="single" w:color="auto" w:sz="12" w:space="0"/>
            </w:tcBorders>
            <w:noWrap w:val="0"/>
            <w:vAlign w:val="center"/>
          </w:tcPr>
          <w:p w14:paraId="29F8DA7C">
            <w:pPr>
              <w:pStyle w:val="70"/>
              <w:autoSpaceDE w:val="0"/>
              <w:autoSpaceDN w:val="0"/>
              <w:rPr>
                <w:rFonts w:hint="default" w:eastAsia="宋体"/>
                <w:color w:val="000000" w:themeColor="text1"/>
                <w14:textFill>
                  <w14:solidFill>
                    <w14:schemeClr w14:val="tx1"/>
                  </w14:solidFill>
                </w14:textFill>
              </w:rPr>
            </w:pPr>
            <w:r>
              <w:rPr>
                <w:rFonts w:hint="default" w:eastAsia="宋体"/>
                <w:color w:val="000000" w:themeColor="text1"/>
                <w14:textFill>
                  <w14:solidFill>
                    <w14:schemeClr w14:val="tx1"/>
                  </w14:solidFill>
                </w14:textFill>
              </w:rPr>
              <w:t>2</w:t>
            </w:r>
          </w:p>
        </w:tc>
        <w:tc>
          <w:tcPr>
            <w:tcW w:w="2003" w:type="pct"/>
            <w:gridSpan w:val="2"/>
            <w:noWrap w:val="0"/>
            <w:vAlign w:val="center"/>
          </w:tcPr>
          <w:p w14:paraId="31FFAFD6">
            <w:pPr>
              <w:pStyle w:val="70"/>
              <w:autoSpaceDE w:val="0"/>
              <w:autoSpaceDN w:val="0"/>
              <w:rPr>
                <w:rFonts w:hint="default" w:eastAsia="宋体"/>
                <w:color w:val="000000" w:themeColor="text1"/>
                <w14:textFill>
                  <w14:solidFill>
                    <w14:schemeClr w14:val="tx1"/>
                  </w14:solidFill>
                </w14:textFill>
              </w:rPr>
            </w:pPr>
            <w:r>
              <w:rPr>
                <w:rFonts w:hint="default" w:eastAsia="宋体"/>
                <w:color w:val="000000" w:themeColor="text1"/>
                <w14:textFill>
                  <w14:solidFill>
                    <w14:schemeClr w14:val="tx1"/>
                  </w14:solidFill>
                </w14:textFill>
              </w:rPr>
              <w:t>累年极端最高气温（℃）</w:t>
            </w:r>
          </w:p>
        </w:tc>
        <w:tc>
          <w:tcPr>
            <w:tcW w:w="1256" w:type="pct"/>
            <w:noWrap w:val="0"/>
            <w:vAlign w:val="center"/>
          </w:tcPr>
          <w:p w14:paraId="40F69737">
            <w:pPr>
              <w:pStyle w:val="70"/>
              <w:autoSpaceDE w:val="0"/>
              <w:autoSpaceDN w:val="0"/>
              <w:rPr>
                <w:rFonts w:hint="default" w:eastAsia="宋体"/>
                <w:color w:val="000000" w:themeColor="text1"/>
                <w14:textFill>
                  <w14:solidFill>
                    <w14:schemeClr w14:val="tx1"/>
                  </w14:solidFill>
                </w14:textFill>
              </w:rPr>
            </w:pPr>
            <w:r>
              <w:rPr>
                <w:rFonts w:hint="default" w:eastAsia="宋体"/>
                <w:color w:val="000000" w:themeColor="text1"/>
                <w14:textFill>
                  <w14:solidFill>
                    <w14:schemeClr w14:val="tx1"/>
                  </w14:solidFill>
                </w14:textFill>
              </w:rPr>
              <w:t>37.9</w:t>
            </w:r>
          </w:p>
        </w:tc>
        <w:tc>
          <w:tcPr>
            <w:tcW w:w="1274" w:type="pct"/>
            <w:tcBorders>
              <w:right w:val="single" w:color="auto" w:sz="12" w:space="0"/>
            </w:tcBorders>
            <w:noWrap w:val="0"/>
            <w:vAlign w:val="center"/>
          </w:tcPr>
          <w:p w14:paraId="49DF28F8">
            <w:pPr>
              <w:pStyle w:val="70"/>
              <w:autoSpaceDE w:val="0"/>
              <w:autoSpaceDN w:val="0"/>
              <w:rPr>
                <w:rFonts w:hint="default" w:eastAsia="宋体"/>
                <w:color w:val="000000" w:themeColor="text1"/>
                <w14:textFill>
                  <w14:solidFill>
                    <w14:schemeClr w14:val="tx1"/>
                  </w14:solidFill>
                </w14:textFill>
              </w:rPr>
            </w:pPr>
            <w:r>
              <w:rPr>
                <w:rFonts w:hint="default" w:eastAsia="宋体"/>
                <w:color w:val="000000" w:themeColor="text1"/>
                <w14:textFill>
                  <w14:solidFill>
                    <w14:schemeClr w14:val="tx1"/>
                  </w14:solidFill>
                </w14:textFill>
              </w:rPr>
              <w:t>2005.7.9</w:t>
            </w:r>
          </w:p>
        </w:tc>
      </w:tr>
      <w:tr w14:paraId="2FBEC9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465" w:type="pct"/>
            <w:tcBorders>
              <w:left w:val="single" w:color="auto" w:sz="12" w:space="0"/>
            </w:tcBorders>
            <w:noWrap w:val="0"/>
            <w:vAlign w:val="center"/>
          </w:tcPr>
          <w:p w14:paraId="428F4D57">
            <w:pPr>
              <w:pStyle w:val="70"/>
              <w:autoSpaceDE w:val="0"/>
              <w:autoSpaceDN w:val="0"/>
              <w:rPr>
                <w:rFonts w:hint="default" w:eastAsia="宋体"/>
                <w:color w:val="000000" w:themeColor="text1"/>
                <w14:textFill>
                  <w14:solidFill>
                    <w14:schemeClr w14:val="tx1"/>
                  </w14:solidFill>
                </w14:textFill>
              </w:rPr>
            </w:pPr>
            <w:r>
              <w:rPr>
                <w:rFonts w:hint="default" w:eastAsia="宋体"/>
                <w:color w:val="000000" w:themeColor="text1"/>
                <w14:textFill>
                  <w14:solidFill>
                    <w14:schemeClr w14:val="tx1"/>
                  </w14:solidFill>
                </w14:textFill>
              </w:rPr>
              <w:t>3</w:t>
            </w:r>
          </w:p>
        </w:tc>
        <w:tc>
          <w:tcPr>
            <w:tcW w:w="2003" w:type="pct"/>
            <w:gridSpan w:val="2"/>
            <w:noWrap w:val="0"/>
            <w:vAlign w:val="center"/>
          </w:tcPr>
          <w:p w14:paraId="429990D1">
            <w:pPr>
              <w:pStyle w:val="70"/>
              <w:autoSpaceDE w:val="0"/>
              <w:autoSpaceDN w:val="0"/>
              <w:rPr>
                <w:rFonts w:hint="default" w:eastAsia="宋体"/>
                <w:color w:val="000000" w:themeColor="text1"/>
                <w14:textFill>
                  <w14:solidFill>
                    <w14:schemeClr w14:val="tx1"/>
                  </w14:solidFill>
                </w14:textFill>
              </w:rPr>
            </w:pPr>
            <w:r>
              <w:rPr>
                <w:rFonts w:hint="default" w:eastAsia="宋体"/>
                <w:color w:val="000000" w:themeColor="text1"/>
                <w14:textFill>
                  <w14:solidFill>
                    <w14:schemeClr w14:val="tx1"/>
                  </w14:solidFill>
                </w14:textFill>
              </w:rPr>
              <w:t>累年极端最低气温（℃）</w:t>
            </w:r>
          </w:p>
        </w:tc>
        <w:tc>
          <w:tcPr>
            <w:tcW w:w="1256" w:type="pct"/>
            <w:noWrap w:val="0"/>
            <w:vAlign w:val="center"/>
          </w:tcPr>
          <w:p w14:paraId="2F5509B6">
            <w:pPr>
              <w:pStyle w:val="70"/>
              <w:autoSpaceDE w:val="0"/>
              <w:autoSpaceDN w:val="0"/>
              <w:rPr>
                <w:rFonts w:hint="default" w:eastAsia="宋体"/>
                <w:color w:val="000000" w:themeColor="text1"/>
                <w14:textFill>
                  <w14:solidFill>
                    <w14:schemeClr w14:val="tx1"/>
                  </w14:solidFill>
                </w14:textFill>
              </w:rPr>
            </w:pPr>
            <w:r>
              <w:rPr>
                <w:rFonts w:hint="default" w:eastAsia="宋体"/>
                <w:color w:val="000000" w:themeColor="text1"/>
                <w14:textFill>
                  <w14:solidFill>
                    <w14:schemeClr w14:val="tx1"/>
                  </w14:solidFill>
                </w14:textFill>
              </w:rPr>
              <w:t>1.6</w:t>
            </w:r>
          </w:p>
        </w:tc>
        <w:tc>
          <w:tcPr>
            <w:tcW w:w="1274" w:type="pct"/>
            <w:tcBorders>
              <w:right w:val="single" w:color="auto" w:sz="12" w:space="0"/>
            </w:tcBorders>
            <w:noWrap w:val="0"/>
            <w:vAlign w:val="center"/>
          </w:tcPr>
          <w:p w14:paraId="60CCEDF3">
            <w:pPr>
              <w:pStyle w:val="70"/>
              <w:autoSpaceDE w:val="0"/>
              <w:autoSpaceDN w:val="0"/>
              <w:rPr>
                <w:rFonts w:hint="default" w:eastAsia="宋体"/>
                <w:color w:val="000000" w:themeColor="text1"/>
                <w14:textFill>
                  <w14:solidFill>
                    <w14:schemeClr w14:val="tx1"/>
                  </w14:solidFill>
                </w14:textFill>
              </w:rPr>
            </w:pPr>
            <w:r>
              <w:rPr>
                <w:rFonts w:hint="default" w:eastAsia="宋体"/>
                <w:color w:val="000000" w:themeColor="text1"/>
                <w14:textFill>
                  <w14:solidFill>
                    <w14:schemeClr w14:val="tx1"/>
                  </w14:solidFill>
                </w14:textFill>
              </w:rPr>
              <w:t>2016.1.24</w:t>
            </w:r>
          </w:p>
        </w:tc>
      </w:tr>
      <w:tr w14:paraId="72B33E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465" w:type="pct"/>
            <w:tcBorders>
              <w:left w:val="single" w:color="auto" w:sz="12" w:space="0"/>
            </w:tcBorders>
            <w:noWrap w:val="0"/>
            <w:vAlign w:val="center"/>
          </w:tcPr>
          <w:p w14:paraId="3CA1238F">
            <w:pPr>
              <w:pStyle w:val="70"/>
              <w:autoSpaceDE w:val="0"/>
              <w:autoSpaceDN w:val="0"/>
              <w:rPr>
                <w:rFonts w:hint="default" w:eastAsia="宋体"/>
                <w:color w:val="000000" w:themeColor="text1"/>
                <w14:textFill>
                  <w14:solidFill>
                    <w14:schemeClr w14:val="tx1"/>
                  </w14:solidFill>
                </w14:textFill>
              </w:rPr>
            </w:pPr>
            <w:r>
              <w:rPr>
                <w:rFonts w:hint="default" w:eastAsia="宋体"/>
                <w:color w:val="000000" w:themeColor="text1"/>
                <w14:textFill>
                  <w14:solidFill>
                    <w14:schemeClr w14:val="tx1"/>
                  </w14:solidFill>
                </w14:textFill>
              </w:rPr>
              <w:t>4</w:t>
            </w:r>
          </w:p>
        </w:tc>
        <w:tc>
          <w:tcPr>
            <w:tcW w:w="2003" w:type="pct"/>
            <w:gridSpan w:val="2"/>
            <w:noWrap w:val="0"/>
            <w:vAlign w:val="center"/>
          </w:tcPr>
          <w:p w14:paraId="2497986A">
            <w:pPr>
              <w:pStyle w:val="70"/>
              <w:autoSpaceDE w:val="0"/>
              <w:autoSpaceDN w:val="0"/>
              <w:rPr>
                <w:rFonts w:hint="default" w:eastAsia="宋体"/>
                <w:color w:val="000000" w:themeColor="text1"/>
                <w14:textFill>
                  <w14:solidFill>
                    <w14:schemeClr w14:val="tx1"/>
                  </w14:solidFill>
                </w14:textFill>
              </w:rPr>
            </w:pPr>
            <w:r>
              <w:rPr>
                <w:rFonts w:hint="default" w:eastAsia="宋体"/>
                <w:color w:val="000000" w:themeColor="text1"/>
                <w14:textFill>
                  <w14:solidFill>
                    <w14:schemeClr w14:val="tx1"/>
                  </w14:solidFill>
                </w14:textFill>
              </w:rPr>
              <w:t>多年平均气压（hpa）</w:t>
            </w:r>
          </w:p>
        </w:tc>
        <w:tc>
          <w:tcPr>
            <w:tcW w:w="1256" w:type="pct"/>
            <w:noWrap w:val="0"/>
            <w:vAlign w:val="center"/>
          </w:tcPr>
          <w:p w14:paraId="41EFA65F">
            <w:pPr>
              <w:pStyle w:val="70"/>
              <w:autoSpaceDE w:val="0"/>
              <w:autoSpaceDN w:val="0"/>
              <w:rPr>
                <w:rFonts w:hint="default" w:eastAsia="宋体"/>
                <w:color w:val="000000" w:themeColor="text1"/>
                <w14:textFill>
                  <w14:solidFill>
                    <w14:schemeClr w14:val="tx1"/>
                  </w14:solidFill>
                </w14:textFill>
              </w:rPr>
            </w:pPr>
            <w:r>
              <w:rPr>
                <w:rFonts w:hint="default" w:eastAsia="宋体"/>
                <w:color w:val="000000" w:themeColor="text1"/>
                <w14:textFill>
                  <w14:solidFill>
                    <w14:schemeClr w14:val="tx1"/>
                  </w14:solidFill>
                </w14:textFill>
              </w:rPr>
              <w:t>1010.1</w:t>
            </w:r>
          </w:p>
        </w:tc>
        <w:tc>
          <w:tcPr>
            <w:tcW w:w="1274" w:type="pct"/>
            <w:tcBorders>
              <w:right w:val="single" w:color="auto" w:sz="12" w:space="0"/>
            </w:tcBorders>
            <w:noWrap w:val="0"/>
            <w:vAlign w:val="center"/>
          </w:tcPr>
          <w:p w14:paraId="27C738D0">
            <w:pPr>
              <w:pStyle w:val="70"/>
              <w:autoSpaceDE w:val="0"/>
              <w:autoSpaceDN w:val="0"/>
              <w:rPr>
                <w:rFonts w:hint="default" w:eastAsia="宋体"/>
                <w:color w:val="000000" w:themeColor="text1"/>
                <w14:textFill>
                  <w14:solidFill>
                    <w14:schemeClr w14:val="tx1"/>
                  </w14:solidFill>
                </w14:textFill>
              </w:rPr>
            </w:pPr>
          </w:p>
        </w:tc>
      </w:tr>
      <w:tr w14:paraId="596302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465" w:type="pct"/>
            <w:tcBorders>
              <w:left w:val="single" w:color="auto" w:sz="12" w:space="0"/>
            </w:tcBorders>
            <w:noWrap w:val="0"/>
            <w:vAlign w:val="center"/>
          </w:tcPr>
          <w:p w14:paraId="34472C31">
            <w:pPr>
              <w:pStyle w:val="70"/>
              <w:autoSpaceDE w:val="0"/>
              <w:autoSpaceDN w:val="0"/>
              <w:rPr>
                <w:rFonts w:hint="default" w:eastAsia="宋体"/>
                <w:color w:val="000000" w:themeColor="text1"/>
                <w14:textFill>
                  <w14:solidFill>
                    <w14:schemeClr w14:val="tx1"/>
                  </w14:solidFill>
                </w14:textFill>
              </w:rPr>
            </w:pPr>
            <w:r>
              <w:rPr>
                <w:rFonts w:hint="default" w:eastAsia="宋体"/>
                <w:color w:val="000000" w:themeColor="text1"/>
                <w14:textFill>
                  <w14:solidFill>
                    <w14:schemeClr w14:val="tx1"/>
                  </w14:solidFill>
                </w14:textFill>
              </w:rPr>
              <w:t>5</w:t>
            </w:r>
          </w:p>
        </w:tc>
        <w:tc>
          <w:tcPr>
            <w:tcW w:w="2003" w:type="pct"/>
            <w:gridSpan w:val="2"/>
            <w:noWrap w:val="0"/>
            <w:vAlign w:val="center"/>
          </w:tcPr>
          <w:p w14:paraId="3720AD52">
            <w:pPr>
              <w:pStyle w:val="70"/>
              <w:autoSpaceDE w:val="0"/>
              <w:autoSpaceDN w:val="0"/>
              <w:rPr>
                <w:rFonts w:hint="default" w:eastAsia="宋体"/>
                <w:color w:val="000000" w:themeColor="text1"/>
                <w14:textFill>
                  <w14:solidFill>
                    <w14:schemeClr w14:val="tx1"/>
                  </w14:solidFill>
                </w14:textFill>
              </w:rPr>
            </w:pPr>
            <w:r>
              <w:rPr>
                <w:rFonts w:hint="default" w:eastAsia="宋体"/>
                <w:color w:val="000000" w:themeColor="text1"/>
                <w14:textFill>
                  <w14:solidFill>
                    <w14:schemeClr w14:val="tx1"/>
                  </w14:solidFill>
                </w14:textFill>
              </w:rPr>
              <w:t>多年平均相对湿度（%）</w:t>
            </w:r>
          </w:p>
        </w:tc>
        <w:tc>
          <w:tcPr>
            <w:tcW w:w="1256" w:type="pct"/>
            <w:noWrap w:val="0"/>
            <w:vAlign w:val="center"/>
          </w:tcPr>
          <w:p w14:paraId="33610C6D">
            <w:pPr>
              <w:pStyle w:val="70"/>
              <w:autoSpaceDE w:val="0"/>
              <w:autoSpaceDN w:val="0"/>
              <w:rPr>
                <w:rFonts w:hint="default" w:eastAsia="宋体"/>
                <w:color w:val="000000" w:themeColor="text1"/>
                <w14:textFill>
                  <w14:solidFill>
                    <w14:schemeClr w14:val="tx1"/>
                  </w14:solidFill>
                </w14:textFill>
              </w:rPr>
            </w:pPr>
            <w:r>
              <w:rPr>
                <w:rFonts w:hint="default" w:eastAsia="宋体"/>
                <w:color w:val="000000" w:themeColor="text1"/>
                <w14:textFill>
                  <w14:solidFill>
                    <w14:schemeClr w14:val="tx1"/>
                  </w14:solidFill>
                </w14:textFill>
              </w:rPr>
              <w:t>78.3</w:t>
            </w:r>
          </w:p>
        </w:tc>
        <w:tc>
          <w:tcPr>
            <w:tcW w:w="1274" w:type="pct"/>
            <w:tcBorders>
              <w:right w:val="single" w:color="auto" w:sz="12" w:space="0"/>
            </w:tcBorders>
            <w:noWrap w:val="0"/>
            <w:vAlign w:val="center"/>
          </w:tcPr>
          <w:p w14:paraId="14BCE329">
            <w:pPr>
              <w:pStyle w:val="70"/>
              <w:autoSpaceDE w:val="0"/>
              <w:autoSpaceDN w:val="0"/>
              <w:rPr>
                <w:rFonts w:hint="default" w:eastAsia="宋体"/>
                <w:color w:val="000000" w:themeColor="text1"/>
                <w14:textFill>
                  <w14:solidFill>
                    <w14:schemeClr w14:val="tx1"/>
                  </w14:solidFill>
                </w14:textFill>
              </w:rPr>
            </w:pPr>
          </w:p>
        </w:tc>
      </w:tr>
      <w:tr w14:paraId="2FF972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465" w:type="pct"/>
            <w:tcBorders>
              <w:left w:val="single" w:color="auto" w:sz="12" w:space="0"/>
            </w:tcBorders>
            <w:noWrap w:val="0"/>
            <w:vAlign w:val="center"/>
          </w:tcPr>
          <w:p w14:paraId="0AA39DCF">
            <w:pPr>
              <w:pStyle w:val="70"/>
              <w:autoSpaceDE w:val="0"/>
              <w:autoSpaceDN w:val="0"/>
              <w:rPr>
                <w:rFonts w:hint="default" w:eastAsia="宋体"/>
                <w:color w:val="000000" w:themeColor="text1"/>
                <w14:textFill>
                  <w14:solidFill>
                    <w14:schemeClr w14:val="tx1"/>
                  </w14:solidFill>
                </w14:textFill>
              </w:rPr>
            </w:pPr>
            <w:r>
              <w:rPr>
                <w:rFonts w:hint="default" w:eastAsia="宋体"/>
                <w:color w:val="000000" w:themeColor="text1"/>
                <w14:textFill>
                  <w14:solidFill>
                    <w14:schemeClr w14:val="tx1"/>
                  </w14:solidFill>
                </w14:textFill>
              </w:rPr>
              <w:t>6</w:t>
            </w:r>
          </w:p>
        </w:tc>
        <w:tc>
          <w:tcPr>
            <w:tcW w:w="2003" w:type="pct"/>
            <w:gridSpan w:val="2"/>
            <w:noWrap w:val="0"/>
            <w:vAlign w:val="center"/>
          </w:tcPr>
          <w:p w14:paraId="121DED3B">
            <w:pPr>
              <w:pStyle w:val="70"/>
              <w:autoSpaceDE w:val="0"/>
              <w:autoSpaceDN w:val="0"/>
              <w:rPr>
                <w:rFonts w:hint="default" w:eastAsia="宋体"/>
                <w:color w:val="000000" w:themeColor="text1"/>
                <w14:textFill>
                  <w14:solidFill>
                    <w14:schemeClr w14:val="tx1"/>
                  </w14:solidFill>
                </w14:textFill>
              </w:rPr>
            </w:pPr>
            <w:r>
              <w:rPr>
                <w:rFonts w:hint="default" w:eastAsia="宋体"/>
                <w:color w:val="000000" w:themeColor="text1"/>
                <w14:textFill>
                  <w14:solidFill>
                    <w14:schemeClr w14:val="tx1"/>
                  </w14:solidFill>
                </w14:textFill>
              </w:rPr>
              <w:t>多年平均降雨量（mm）</w:t>
            </w:r>
          </w:p>
        </w:tc>
        <w:tc>
          <w:tcPr>
            <w:tcW w:w="1256" w:type="pct"/>
            <w:noWrap w:val="0"/>
            <w:vAlign w:val="center"/>
          </w:tcPr>
          <w:p w14:paraId="2C747978">
            <w:pPr>
              <w:pStyle w:val="70"/>
              <w:autoSpaceDE w:val="0"/>
              <w:autoSpaceDN w:val="0"/>
              <w:rPr>
                <w:rFonts w:hint="default" w:eastAsia="宋体"/>
                <w:color w:val="000000" w:themeColor="text1"/>
                <w14:textFill>
                  <w14:solidFill>
                    <w14:schemeClr w14:val="tx1"/>
                  </w14:solidFill>
                </w14:textFill>
              </w:rPr>
            </w:pPr>
            <w:r>
              <w:rPr>
                <w:rFonts w:hint="default" w:eastAsia="宋体"/>
                <w:color w:val="000000" w:themeColor="text1"/>
                <w14:textFill>
                  <w14:solidFill>
                    <w14:schemeClr w14:val="tx1"/>
                  </w14:solidFill>
                </w14:textFill>
              </w:rPr>
              <w:t>2197.7</w:t>
            </w:r>
          </w:p>
        </w:tc>
        <w:tc>
          <w:tcPr>
            <w:tcW w:w="1274" w:type="pct"/>
            <w:tcBorders>
              <w:right w:val="single" w:color="auto" w:sz="12" w:space="0"/>
            </w:tcBorders>
            <w:noWrap w:val="0"/>
            <w:vAlign w:val="center"/>
          </w:tcPr>
          <w:p w14:paraId="10A65CDA">
            <w:pPr>
              <w:pStyle w:val="70"/>
              <w:autoSpaceDE w:val="0"/>
              <w:autoSpaceDN w:val="0"/>
              <w:rPr>
                <w:rFonts w:hint="default" w:eastAsia="宋体"/>
                <w:color w:val="000000" w:themeColor="text1"/>
                <w14:textFill>
                  <w14:solidFill>
                    <w14:schemeClr w14:val="tx1"/>
                  </w14:solidFill>
                </w14:textFill>
              </w:rPr>
            </w:pPr>
          </w:p>
        </w:tc>
      </w:tr>
      <w:tr w14:paraId="1EEF0D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465" w:type="pct"/>
            <w:tcBorders>
              <w:left w:val="single" w:color="auto" w:sz="12" w:space="0"/>
            </w:tcBorders>
            <w:noWrap w:val="0"/>
            <w:vAlign w:val="center"/>
          </w:tcPr>
          <w:p w14:paraId="406CEB04">
            <w:pPr>
              <w:pStyle w:val="70"/>
              <w:autoSpaceDE w:val="0"/>
              <w:autoSpaceDN w:val="0"/>
              <w:rPr>
                <w:rFonts w:hint="default" w:eastAsia="宋体"/>
                <w:color w:val="000000" w:themeColor="text1"/>
                <w14:textFill>
                  <w14:solidFill>
                    <w14:schemeClr w14:val="tx1"/>
                  </w14:solidFill>
                </w14:textFill>
              </w:rPr>
            </w:pPr>
            <w:r>
              <w:rPr>
                <w:rFonts w:hint="default" w:eastAsia="宋体"/>
                <w:color w:val="000000" w:themeColor="text1"/>
                <w14:textFill>
                  <w14:solidFill>
                    <w14:schemeClr w14:val="tx1"/>
                  </w14:solidFill>
                </w14:textFill>
              </w:rPr>
              <w:t>7</w:t>
            </w:r>
          </w:p>
        </w:tc>
        <w:tc>
          <w:tcPr>
            <w:tcW w:w="2003" w:type="pct"/>
            <w:gridSpan w:val="2"/>
            <w:noWrap w:val="0"/>
            <w:vAlign w:val="center"/>
          </w:tcPr>
          <w:p w14:paraId="51328C4A">
            <w:pPr>
              <w:pStyle w:val="70"/>
              <w:autoSpaceDE w:val="0"/>
              <w:autoSpaceDN w:val="0"/>
              <w:rPr>
                <w:rFonts w:hint="default" w:eastAsia="宋体"/>
                <w:color w:val="000000" w:themeColor="text1"/>
                <w14:textFill>
                  <w14:solidFill>
                    <w14:schemeClr w14:val="tx1"/>
                  </w14:solidFill>
                </w14:textFill>
              </w:rPr>
            </w:pPr>
            <w:r>
              <w:rPr>
                <w:rFonts w:hint="default" w:eastAsia="宋体"/>
                <w:color w:val="000000" w:themeColor="text1"/>
                <w14:textFill>
                  <w14:solidFill>
                    <w14:schemeClr w14:val="tx1"/>
                  </w14:solidFill>
                </w14:textFill>
              </w:rPr>
              <w:t>最大日降水量（mm）</w:t>
            </w:r>
          </w:p>
        </w:tc>
        <w:tc>
          <w:tcPr>
            <w:tcW w:w="1256" w:type="pct"/>
            <w:noWrap w:val="0"/>
            <w:vAlign w:val="center"/>
          </w:tcPr>
          <w:p w14:paraId="49619620">
            <w:pPr>
              <w:pStyle w:val="70"/>
              <w:autoSpaceDE w:val="0"/>
              <w:autoSpaceDN w:val="0"/>
              <w:rPr>
                <w:rFonts w:hint="default" w:eastAsia="宋体"/>
                <w:color w:val="000000" w:themeColor="text1"/>
                <w14:textFill>
                  <w14:solidFill>
                    <w14:schemeClr w14:val="tx1"/>
                  </w14:solidFill>
                </w14:textFill>
              </w:rPr>
            </w:pPr>
            <w:r>
              <w:rPr>
                <w:rFonts w:hint="default" w:eastAsia="宋体"/>
                <w:color w:val="000000" w:themeColor="text1"/>
                <w14:textFill>
                  <w14:solidFill>
                    <w14:schemeClr w14:val="tx1"/>
                  </w14:solidFill>
                </w14:textFill>
              </w:rPr>
              <w:t>380.5</w:t>
            </w:r>
          </w:p>
        </w:tc>
        <w:tc>
          <w:tcPr>
            <w:tcW w:w="1274" w:type="pct"/>
            <w:tcBorders>
              <w:right w:val="single" w:color="auto" w:sz="12" w:space="0"/>
            </w:tcBorders>
            <w:noWrap w:val="0"/>
            <w:vAlign w:val="center"/>
          </w:tcPr>
          <w:p w14:paraId="161BFC46">
            <w:pPr>
              <w:pStyle w:val="70"/>
              <w:autoSpaceDE w:val="0"/>
              <w:autoSpaceDN w:val="0"/>
              <w:rPr>
                <w:rFonts w:hint="default" w:eastAsia="宋体"/>
                <w:color w:val="000000" w:themeColor="text1"/>
                <w14:textFill>
                  <w14:solidFill>
                    <w14:schemeClr w14:val="tx1"/>
                  </w14:solidFill>
                </w14:textFill>
              </w:rPr>
            </w:pPr>
            <w:r>
              <w:rPr>
                <w:rFonts w:hint="default" w:eastAsia="宋体"/>
                <w:color w:val="000000" w:themeColor="text1"/>
                <w14:textFill>
                  <w14:solidFill>
                    <w14:schemeClr w14:val="tx1"/>
                  </w14:solidFill>
                </w14:textFill>
              </w:rPr>
              <w:t>2014.6.11</w:t>
            </w:r>
          </w:p>
        </w:tc>
      </w:tr>
      <w:tr w14:paraId="67CB00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465" w:type="pct"/>
            <w:tcBorders>
              <w:left w:val="single" w:color="auto" w:sz="12" w:space="0"/>
            </w:tcBorders>
            <w:noWrap w:val="0"/>
            <w:vAlign w:val="center"/>
          </w:tcPr>
          <w:p w14:paraId="552F3EA7">
            <w:pPr>
              <w:pStyle w:val="70"/>
              <w:autoSpaceDE w:val="0"/>
              <w:autoSpaceDN w:val="0"/>
              <w:rPr>
                <w:rFonts w:hint="default" w:eastAsia="宋体"/>
                <w:color w:val="000000" w:themeColor="text1"/>
                <w14:textFill>
                  <w14:solidFill>
                    <w14:schemeClr w14:val="tx1"/>
                  </w14:solidFill>
                </w14:textFill>
              </w:rPr>
            </w:pPr>
            <w:r>
              <w:rPr>
                <w:rFonts w:hint="default" w:eastAsia="宋体"/>
                <w:color w:val="000000" w:themeColor="text1"/>
                <w14:textFill>
                  <w14:solidFill>
                    <w14:schemeClr w14:val="tx1"/>
                  </w14:solidFill>
                </w14:textFill>
              </w:rPr>
              <w:t>8</w:t>
            </w:r>
          </w:p>
        </w:tc>
        <w:tc>
          <w:tcPr>
            <w:tcW w:w="2003" w:type="pct"/>
            <w:gridSpan w:val="2"/>
            <w:noWrap w:val="0"/>
            <w:vAlign w:val="center"/>
          </w:tcPr>
          <w:p w14:paraId="572A4033">
            <w:pPr>
              <w:pStyle w:val="70"/>
              <w:autoSpaceDE w:val="0"/>
              <w:autoSpaceDN w:val="0"/>
              <w:rPr>
                <w:rFonts w:hint="default" w:eastAsia="宋体"/>
                <w:color w:val="000000" w:themeColor="text1"/>
                <w14:textFill>
                  <w14:solidFill>
                    <w14:schemeClr w14:val="tx1"/>
                  </w14:solidFill>
                </w14:textFill>
              </w:rPr>
            </w:pPr>
            <w:r>
              <w:rPr>
                <w:rFonts w:hint="default" w:eastAsia="宋体"/>
                <w:color w:val="000000" w:themeColor="text1"/>
                <w14:textFill>
                  <w14:solidFill>
                    <w14:schemeClr w14:val="tx1"/>
                  </w14:solidFill>
                </w14:textFill>
              </w:rPr>
              <w:t>最小年降水量（mm）</w:t>
            </w:r>
          </w:p>
        </w:tc>
        <w:tc>
          <w:tcPr>
            <w:tcW w:w="1256" w:type="pct"/>
            <w:noWrap w:val="0"/>
            <w:vAlign w:val="center"/>
          </w:tcPr>
          <w:p w14:paraId="591B6BDB">
            <w:pPr>
              <w:pStyle w:val="70"/>
              <w:autoSpaceDE w:val="0"/>
              <w:autoSpaceDN w:val="0"/>
              <w:rPr>
                <w:rFonts w:hint="default" w:eastAsia="宋体"/>
                <w:color w:val="000000" w:themeColor="text1"/>
                <w14:textFill>
                  <w14:solidFill>
                    <w14:schemeClr w14:val="tx1"/>
                  </w14:solidFill>
                </w14:textFill>
              </w:rPr>
            </w:pPr>
            <w:r>
              <w:rPr>
                <w:rFonts w:hint="default" w:eastAsia="宋体"/>
                <w:color w:val="000000" w:themeColor="text1"/>
                <w14:textFill>
                  <w14:solidFill>
                    <w14:schemeClr w14:val="tx1"/>
                  </w14:solidFill>
                </w14:textFill>
              </w:rPr>
              <w:t>1634.8</w:t>
            </w:r>
          </w:p>
        </w:tc>
        <w:tc>
          <w:tcPr>
            <w:tcW w:w="1274" w:type="pct"/>
            <w:tcBorders>
              <w:right w:val="single" w:color="auto" w:sz="12" w:space="0"/>
            </w:tcBorders>
            <w:noWrap w:val="0"/>
            <w:vAlign w:val="center"/>
          </w:tcPr>
          <w:p w14:paraId="11901142">
            <w:pPr>
              <w:pStyle w:val="70"/>
              <w:autoSpaceDE w:val="0"/>
              <w:autoSpaceDN w:val="0"/>
              <w:rPr>
                <w:rFonts w:hint="default" w:eastAsia="宋体"/>
                <w:color w:val="000000" w:themeColor="text1"/>
                <w14:textFill>
                  <w14:solidFill>
                    <w14:schemeClr w14:val="tx1"/>
                  </w14:solidFill>
                </w14:textFill>
              </w:rPr>
            </w:pPr>
            <w:r>
              <w:rPr>
                <w:rFonts w:hint="default" w:eastAsia="宋体"/>
                <w:color w:val="000000" w:themeColor="text1"/>
                <w14:textFill>
                  <w14:solidFill>
                    <w14:schemeClr w14:val="tx1"/>
                  </w14:solidFill>
                </w14:textFill>
              </w:rPr>
              <w:t>2010</w:t>
            </w:r>
          </w:p>
        </w:tc>
      </w:tr>
      <w:tr w14:paraId="713AA9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465" w:type="pct"/>
            <w:tcBorders>
              <w:left w:val="single" w:color="auto" w:sz="12" w:space="0"/>
            </w:tcBorders>
            <w:noWrap w:val="0"/>
            <w:vAlign w:val="center"/>
          </w:tcPr>
          <w:p w14:paraId="4EE62F1B">
            <w:pPr>
              <w:pStyle w:val="70"/>
              <w:autoSpaceDE w:val="0"/>
              <w:autoSpaceDN w:val="0"/>
              <w:rPr>
                <w:rFonts w:hint="default" w:eastAsia="宋体"/>
                <w:color w:val="000000" w:themeColor="text1"/>
                <w14:textFill>
                  <w14:solidFill>
                    <w14:schemeClr w14:val="tx1"/>
                  </w14:solidFill>
                </w14:textFill>
              </w:rPr>
            </w:pPr>
            <w:r>
              <w:rPr>
                <w:rFonts w:hint="default" w:eastAsia="宋体"/>
                <w:color w:val="000000" w:themeColor="text1"/>
                <w14:textFill>
                  <w14:solidFill>
                    <w14:schemeClr w14:val="tx1"/>
                  </w14:solidFill>
                </w14:textFill>
              </w:rPr>
              <w:t>9</w:t>
            </w:r>
          </w:p>
        </w:tc>
        <w:tc>
          <w:tcPr>
            <w:tcW w:w="1000" w:type="pct"/>
            <w:vMerge w:val="restart"/>
            <w:noWrap w:val="0"/>
            <w:vAlign w:val="center"/>
          </w:tcPr>
          <w:p w14:paraId="16048D8D">
            <w:pPr>
              <w:pStyle w:val="70"/>
              <w:autoSpaceDE w:val="0"/>
              <w:autoSpaceDN w:val="0"/>
              <w:rPr>
                <w:rFonts w:hint="default" w:eastAsia="宋体"/>
                <w:color w:val="000000" w:themeColor="text1"/>
                <w14:textFill>
                  <w14:solidFill>
                    <w14:schemeClr w14:val="tx1"/>
                  </w14:solidFill>
                </w14:textFill>
              </w:rPr>
            </w:pPr>
            <w:r>
              <w:rPr>
                <w:rFonts w:hint="default" w:eastAsia="宋体"/>
                <w:color w:val="000000" w:themeColor="text1"/>
                <w14:textFill>
                  <w14:solidFill>
                    <w14:schemeClr w14:val="tx1"/>
                  </w14:solidFill>
                </w14:textFill>
              </w:rPr>
              <w:t>灾害天气统计</w:t>
            </w:r>
          </w:p>
        </w:tc>
        <w:tc>
          <w:tcPr>
            <w:tcW w:w="1002" w:type="pct"/>
            <w:noWrap w:val="0"/>
            <w:vAlign w:val="center"/>
          </w:tcPr>
          <w:p w14:paraId="4DD7DAE2">
            <w:pPr>
              <w:pStyle w:val="70"/>
              <w:autoSpaceDE w:val="0"/>
              <w:autoSpaceDN w:val="0"/>
              <w:rPr>
                <w:rFonts w:hint="default" w:eastAsia="宋体"/>
                <w:color w:val="000000" w:themeColor="text1"/>
                <w14:textFill>
                  <w14:solidFill>
                    <w14:schemeClr w14:val="tx1"/>
                  </w14:solidFill>
                </w14:textFill>
              </w:rPr>
            </w:pPr>
            <w:r>
              <w:rPr>
                <w:rFonts w:hint="default" w:eastAsia="宋体"/>
                <w:color w:val="000000" w:themeColor="text1"/>
                <w14:textFill>
                  <w14:solidFill>
                    <w14:schemeClr w14:val="tx1"/>
                  </w14:solidFill>
                </w14:textFill>
              </w:rPr>
              <w:t>雷暴日数</w:t>
            </w:r>
          </w:p>
        </w:tc>
        <w:tc>
          <w:tcPr>
            <w:tcW w:w="1256" w:type="pct"/>
            <w:noWrap w:val="0"/>
            <w:vAlign w:val="center"/>
          </w:tcPr>
          <w:p w14:paraId="57EA5140">
            <w:pPr>
              <w:pStyle w:val="70"/>
              <w:autoSpaceDE w:val="0"/>
              <w:autoSpaceDN w:val="0"/>
              <w:rPr>
                <w:rFonts w:hint="default" w:eastAsia="宋体"/>
                <w:color w:val="000000" w:themeColor="text1"/>
                <w14:textFill>
                  <w14:solidFill>
                    <w14:schemeClr w14:val="tx1"/>
                  </w14:solidFill>
                </w14:textFill>
              </w:rPr>
            </w:pPr>
            <w:r>
              <w:rPr>
                <w:rFonts w:hint="default" w:eastAsia="宋体"/>
                <w:color w:val="000000" w:themeColor="text1"/>
                <w14:textFill>
                  <w14:solidFill>
                    <w14:schemeClr w14:val="tx1"/>
                  </w14:solidFill>
                </w14:textFill>
              </w:rPr>
              <w:t>70.1</w:t>
            </w:r>
          </w:p>
        </w:tc>
        <w:tc>
          <w:tcPr>
            <w:tcW w:w="1274" w:type="pct"/>
            <w:tcBorders>
              <w:right w:val="single" w:color="auto" w:sz="12" w:space="0"/>
            </w:tcBorders>
            <w:noWrap w:val="0"/>
            <w:vAlign w:val="center"/>
          </w:tcPr>
          <w:p w14:paraId="5F12535D">
            <w:pPr>
              <w:pStyle w:val="70"/>
              <w:autoSpaceDE w:val="0"/>
              <w:autoSpaceDN w:val="0"/>
              <w:rPr>
                <w:rFonts w:hint="default" w:eastAsia="宋体"/>
                <w:color w:val="000000" w:themeColor="text1"/>
                <w14:textFill>
                  <w14:solidFill>
                    <w14:schemeClr w14:val="tx1"/>
                  </w14:solidFill>
                </w14:textFill>
              </w:rPr>
            </w:pPr>
          </w:p>
        </w:tc>
      </w:tr>
      <w:tr w14:paraId="6E52A8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465" w:type="pct"/>
            <w:tcBorders>
              <w:left w:val="single" w:color="auto" w:sz="12" w:space="0"/>
            </w:tcBorders>
            <w:noWrap w:val="0"/>
            <w:vAlign w:val="center"/>
          </w:tcPr>
          <w:p w14:paraId="430A9EFA">
            <w:pPr>
              <w:pStyle w:val="70"/>
              <w:autoSpaceDE w:val="0"/>
              <w:autoSpaceDN w:val="0"/>
              <w:rPr>
                <w:rFonts w:hint="default" w:eastAsia="宋体"/>
                <w:color w:val="000000" w:themeColor="text1"/>
                <w14:textFill>
                  <w14:solidFill>
                    <w14:schemeClr w14:val="tx1"/>
                  </w14:solidFill>
                </w14:textFill>
              </w:rPr>
            </w:pPr>
            <w:r>
              <w:rPr>
                <w:rFonts w:hint="default" w:eastAsia="宋体"/>
                <w:color w:val="000000" w:themeColor="text1"/>
                <w14:textFill>
                  <w14:solidFill>
                    <w14:schemeClr w14:val="tx1"/>
                  </w14:solidFill>
                </w14:textFill>
              </w:rPr>
              <w:t>10</w:t>
            </w:r>
          </w:p>
        </w:tc>
        <w:tc>
          <w:tcPr>
            <w:tcW w:w="1000" w:type="pct"/>
            <w:vMerge w:val="continue"/>
            <w:noWrap w:val="0"/>
            <w:vAlign w:val="center"/>
          </w:tcPr>
          <w:p w14:paraId="15A7E3AC">
            <w:pPr>
              <w:pStyle w:val="70"/>
              <w:autoSpaceDE w:val="0"/>
              <w:autoSpaceDN w:val="0"/>
              <w:rPr>
                <w:rFonts w:hint="default" w:eastAsia="宋体"/>
                <w:color w:val="000000" w:themeColor="text1"/>
                <w14:textFill>
                  <w14:solidFill>
                    <w14:schemeClr w14:val="tx1"/>
                  </w14:solidFill>
                </w14:textFill>
              </w:rPr>
            </w:pPr>
          </w:p>
        </w:tc>
        <w:tc>
          <w:tcPr>
            <w:tcW w:w="1002" w:type="pct"/>
            <w:noWrap w:val="0"/>
            <w:vAlign w:val="center"/>
          </w:tcPr>
          <w:p w14:paraId="4561B339">
            <w:pPr>
              <w:pStyle w:val="70"/>
              <w:autoSpaceDE w:val="0"/>
              <w:autoSpaceDN w:val="0"/>
              <w:rPr>
                <w:rFonts w:hint="default" w:eastAsia="宋体"/>
                <w:color w:val="000000" w:themeColor="text1"/>
                <w14:textFill>
                  <w14:solidFill>
                    <w14:schemeClr w14:val="tx1"/>
                  </w14:solidFill>
                </w14:textFill>
              </w:rPr>
            </w:pPr>
            <w:r>
              <w:rPr>
                <w:rFonts w:hint="default" w:eastAsia="宋体"/>
                <w:color w:val="000000" w:themeColor="text1"/>
                <w14:textFill>
                  <w14:solidFill>
                    <w14:schemeClr w14:val="tx1"/>
                  </w14:solidFill>
                </w14:textFill>
              </w:rPr>
              <w:t>大风日数</w:t>
            </w:r>
          </w:p>
        </w:tc>
        <w:tc>
          <w:tcPr>
            <w:tcW w:w="1256" w:type="pct"/>
            <w:noWrap w:val="0"/>
            <w:vAlign w:val="center"/>
          </w:tcPr>
          <w:p w14:paraId="3ED75A60">
            <w:pPr>
              <w:pStyle w:val="70"/>
              <w:autoSpaceDE w:val="0"/>
              <w:autoSpaceDN w:val="0"/>
              <w:rPr>
                <w:rFonts w:hint="default" w:eastAsia="宋体"/>
                <w:color w:val="000000" w:themeColor="text1"/>
                <w14:textFill>
                  <w14:solidFill>
                    <w14:schemeClr w14:val="tx1"/>
                  </w14:solidFill>
                </w14:textFill>
              </w:rPr>
            </w:pPr>
            <w:r>
              <w:rPr>
                <w:rFonts w:hint="default" w:eastAsia="宋体"/>
                <w:color w:val="000000" w:themeColor="text1"/>
                <w14:textFill>
                  <w14:solidFill>
                    <w14:schemeClr w14:val="tx1"/>
                  </w14:solidFill>
                </w14:textFill>
              </w:rPr>
              <w:t>2.5</w:t>
            </w:r>
          </w:p>
        </w:tc>
        <w:tc>
          <w:tcPr>
            <w:tcW w:w="1274" w:type="pct"/>
            <w:tcBorders>
              <w:right w:val="single" w:color="auto" w:sz="12" w:space="0"/>
            </w:tcBorders>
            <w:noWrap w:val="0"/>
            <w:vAlign w:val="center"/>
          </w:tcPr>
          <w:p w14:paraId="6AFB5226">
            <w:pPr>
              <w:pStyle w:val="70"/>
              <w:autoSpaceDE w:val="0"/>
              <w:autoSpaceDN w:val="0"/>
              <w:rPr>
                <w:rFonts w:hint="default" w:eastAsia="宋体"/>
                <w:color w:val="000000" w:themeColor="text1"/>
                <w14:textFill>
                  <w14:solidFill>
                    <w14:schemeClr w14:val="tx1"/>
                  </w14:solidFill>
                </w14:textFill>
              </w:rPr>
            </w:pPr>
          </w:p>
        </w:tc>
      </w:tr>
      <w:tr w14:paraId="1BD613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465" w:type="pct"/>
            <w:tcBorders>
              <w:left w:val="single" w:color="auto" w:sz="12" w:space="0"/>
            </w:tcBorders>
            <w:noWrap w:val="0"/>
            <w:vAlign w:val="center"/>
          </w:tcPr>
          <w:p w14:paraId="6956D483">
            <w:pPr>
              <w:pStyle w:val="70"/>
              <w:autoSpaceDE w:val="0"/>
              <w:autoSpaceDN w:val="0"/>
              <w:rPr>
                <w:rFonts w:hint="default" w:eastAsia="宋体"/>
                <w:color w:val="000000" w:themeColor="text1"/>
                <w14:textFill>
                  <w14:solidFill>
                    <w14:schemeClr w14:val="tx1"/>
                  </w14:solidFill>
                </w14:textFill>
              </w:rPr>
            </w:pPr>
            <w:r>
              <w:rPr>
                <w:rFonts w:hint="default" w:eastAsia="宋体"/>
                <w:color w:val="000000" w:themeColor="text1"/>
                <w14:textFill>
                  <w14:solidFill>
                    <w14:schemeClr w14:val="tx1"/>
                  </w14:solidFill>
                </w14:textFill>
              </w:rPr>
              <w:t>11</w:t>
            </w:r>
          </w:p>
        </w:tc>
        <w:tc>
          <w:tcPr>
            <w:tcW w:w="1000" w:type="pct"/>
            <w:vMerge w:val="continue"/>
            <w:noWrap w:val="0"/>
            <w:vAlign w:val="center"/>
          </w:tcPr>
          <w:p w14:paraId="7ACFAD47">
            <w:pPr>
              <w:pStyle w:val="70"/>
              <w:autoSpaceDE w:val="0"/>
              <w:autoSpaceDN w:val="0"/>
              <w:rPr>
                <w:rFonts w:hint="default" w:eastAsia="宋体"/>
                <w:color w:val="000000" w:themeColor="text1"/>
                <w14:textFill>
                  <w14:solidFill>
                    <w14:schemeClr w14:val="tx1"/>
                  </w14:solidFill>
                </w14:textFill>
              </w:rPr>
            </w:pPr>
          </w:p>
        </w:tc>
        <w:tc>
          <w:tcPr>
            <w:tcW w:w="1002" w:type="pct"/>
            <w:noWrap w:val="0"/>
            <w:vAlign w:val="center"/>
          </w:tcPr>
          <w:p w14:paraId="57781849">
            <w:pPr>
              <w:pStyle w:val="70"/>
              <w:autoSpaceDE w:val="0"/>
              <w:autoSpaceDN w:val="0"/>
              <w:rPr>
                <w:rFonts w:hint="default" w:eastAsia="宋体"/>
                <w:color w:val="000000" w:themeColor="text1"/>
                <w14:textFill>
                  <w14:solidFill>
                    <w14:schemeClr w14:val="tx1"/>
                  </w14:solidFill>
                </w14:textFill>
              </w:rPr>
            </w:pPr>
            <w:r>
              <w:rPr>
                <w:rFonts w:hint="default" w:eastAsia="宋体"/>
                <w:color w:val="000000" w:themeColor="text1"/>
                <w14:textFill>
                  <w14:solidFill>
                    <w14:schemeClr w14:val="tx1"/>
                  </w14:solidFill>
                </w14:textFill>
              </w:rPr>
              <w:t>冰雹日数</w:t>
            </w:r>
          </w:p>
        </w:tc>
        <w:tc>
          <w:tcPr>
            <w:tcW w:w="1256" w:type="pct"/>
            <w:noWrap w:val="0"/>
            <w:vAlign w:val="center"/>
          </w:tcPr>
          <w:p w14:paraId="74A336B3">
            <w:pPr>
              <w:pStyle w:val="70"/>
              <w:autoSpaceDE w:val="0"/>
              <w:autoSpaceDN w:val="0"/>
              <w:rPr>
                <w:rFonts w:hint="default" w:eastAsia="宋体"/>
                <w:color w:val="000000" w:themeColor="text1"/>
                <w14:textFill>
                  <w14:solidFill>
                    <w14:schemeClr w14:val="tx1"/>
                  </w14:solidFill>
                </w14:textFill>
              </w:rPr>
            </w:pPr>
            <w:r>
              <w:rPr>
                <w:rFonts w:hint="default" w:eastAsia="宋体"/>
                <w:color w:val="000000" w:themeColor="text1"/>
                <w14:textFill>
                  <w14:solidFill>
                    <w14:schemeClr w14:val="tx1"/>
                  </w14:solidFill>
                </w14:textFill>
              </w:rPr>
              <w:t>0.1</w:t>
            </w:r>
          </w:p>
        </w:tc>
        <w:tc>
          <w:tcPr>
            <w:tcW w:w="1274" w:type="pct"/>
            <w:tcBorders>
              <w:right w:val="single" w:color="auto" w:sz="12" w:space="0"/>
            </w:tcBorders>
            <w:noWrap w:val="0"/>
            <w:vAlign w:val="center"/>
          </w:tcPr>
          <w:p w14:paraId="3C2E89B0">
            <w:pPr>
              <w:pStyle w:val="70"/>
              <w:autoSpaceDE w:val="0"/>
              <w:autoSpaceDN w:val="0"/>
              <w:rPr>
                <w:rFonts w:hint="default" w:eastAsia="宋体"/>
                <w:color w:val="000000" w:themeColor="text1"/>
                <w14:textFill>
                  <w14:solidFill>
                    <w14:schemeClr w14:val="tx1"/>
                  </w14:solidFill>
                </w14:textFill>
              </w:rPr>
            </w:pPr>
          </w:p>
        </w:tc>
      </w:tr>
      <w:tr w14:paraId="35A9A4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465" w:type="pct"/>
            <w:tcBorders>
              <w:left w:val="single" w:color="auto" w:sz="12" w:space="0"/>
            </w:tcBorders>
            <w:noWrap w:val="0"/>
            <w:vAlign w:val="center"/>
          </w:tcPr>
          <w:p w14:paraId="603C64F6">
            <w:pPr>
              <w:pStyle w:val="70"/>
              <w:autoSpaceDE w:val="0"/>
              <w:autoSpaceDN w:val="0"/>
              <w:rPr>
                <w:rFonts w:hint="default" w:eastAsia="宋体"/>
                <w:color w:val="000000" w:themeColor="text1"/>
                <w14:textFill>
                  <w14:solidFill>
                    <w14:schemeClr w14:val="tx1"/>
                  </w14:solidFill>
                </w14:textFill>
              </w:rPr>
            </w:pPr>
            <w:r>
              <w:rPr>
                <w:rFonts w:hint="default" w:eastAsia="宋体"/>
                <w:color w:val="000000" w:themeColor="text1"/>
                <w14:textFill>
                  <w14:solidFill>
                    <w14:schemeClr w14:val="tx1"/>
                  </w14:solidFill>
                </w14:textFill>
              </w:rPr>
              <w:t>12</w:t>
            </w:r>
          </w:p>
        </w:tc>
        <w:tc>
          <w:tcPr>
            <w:tcW w:w="2003" w:type="pct"/>
            <w:gridSpan w:val="2"/>
            <w:noWrap w:val="0"/>
            <w:vAlign w:val="center"/>
          </w:tcPr>
          <w:p w14:paraId="40055667">
            <w:pPr>
              <w:pStyle w:val="70"/>
              <w:autoSpaceDE w:val="0"/>
              <w:autoSpaceDN w:val="0"/>
              <w:rPr>
                <w:rFonts w:hint="default" w:eastAsia="宋体"/>
                <w:color w:val="000000" w:themeColor="text1"/>
                <w14:textFill>
                  <w14:solidFill>
                    <w14:schemeClr w14:val="tx1"/>
                  </w14:solidFill>
                </w14:textFill>
              </w:rPr>
            </w:pPr>
            <w:r>
              <w:rPr>
                <w:rFonts w:hint="default" w:eastAsia="宋体"/>
                <w:color w:val="000000" w:themeColor="text1"/>
                <w14:textFill>
                  <w14:solidFill>
                    <w14:schemeClr w14:val="tx1"/>
                  </w14:solidFill>
                </w14:textFill>
              </w:rPr>
              <w:t>静风频率（%）</w:t>
            </w:r>
          </w:p>
        </w:tc>
        <w:tc>
          <w:tcPr>
            <w:tcW w:w="1256" w:type="pct"/>
            <w:noWrap w:val="0"/>
            <w:vAlign w:val="center"/>
          </w:tcPr>
          <w:p w14:paraId="28298FB1">
            <w:pPr>
              <w:pStyle w:val="70"/>
              <w:autoSpaceDE w:val="0"/>
              <w:autoSpaceDN w:val="0"/>
              <w:rPr>
                <w:rFonts w:hint="default" w:eastAsia="宋体"/>
                <w:color w:val="000000" w:themeColor="text1"/>
                <w14:textFill>
                  <w14:solidFill>
                    <w14:schemeClr w14:val="tx1"/>
                  </w14:solidFill>
                </w14:textFill>
              </w:rPr>
            </w:pPr>
            <w:r>
              <w:rPr>
                <w:rFonts w:hint="default" w:eastAsia="宋体"/>
                <w:color w:val="000000" w:themeColor="text1"/>
                <w14:textFill>
                  <w14:solidFill>
                    <w14:schemeClr w14:val="tx1"/>
                  </w14:solidFill>
                </w14:textFill>
              </w:rPr>
              <w:t>4.7</w:t>
            </w:r>
          </w:p>
        </w:tc>
        <w:tc>
          <w:tcPr>
            <w:tcW w:w="1274" w:type="pct"/>
            <w:tcBorders>
              <w:right w:val="single" w:color="auto" w:sz="12" w:space="0"/>
            </w:tcBorders>
            <w:noWrap w:val="0"/>
            <w:vAlign w:val="center"/>
          </w:tcPr>
          <w:p w14:paraId="53A3B62F">
            <w:pPr>
              <w:pStyle w:val="70"/>
              <w:autoSpaceDE w:val="0"/>
              <w:autoSpaceDN w:val="0"/>
              <w:rPr>
                <w:rFonts w:hint="default" w:eastAsia="宋体"/>
                <w:color w:val="000000" w:themeColor="text1"/>
                <w14:textFill>
                  <w14:solidFill>
                    <w14:schemeClr w14:val="tx1"/>
                  </w14:solidFill>
                </w14:textFill>
              </w:rPr>
            </w:pPr>
          </w:p>
        </w:tc>
      </w:tr>
      <w:tr w14:paraId="23455F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465" w:type="pct"/>
            <w:tcBorders>
              <w:left w:val="single" w:color="auto" w:sz="12" w:space="0"/>
            </w:tcBorders>
            <w:noWrap w:val="0"/>
            <w:vAlign w:val="center"/>
          </w:tcPr>
          <w:p w14:paraId="09722ECD">
            <w:pPr>
              <w:pStyle w:val="70"/>
              <w:autoSpaceDE w:val="0"/>
              <w:autoSpaceDN w:val="0"/>
              <w:rPr>
                <w:rFonts w:hint="default" w:eastAsia="宋体"/>
                <w:color w:val="000000" w:themeColor="text1"/>
                <w14:textFill>
                  <w14:solidFill>
                    <w14:schemeClr w14:val="tx1"/>
                  </w14:solidFill>
                </w14:textFill>
              </w:rPr>
            </w:pPr>
            <w:r>
              <w:rPr>
                <w:rFonts w:hint="default" w:eastAsia="宋体"/>
                <w:color w:val="000000" w:themeColor="text1"/>
                <w14:textFill>
                  <w14:solidFill>
                    <w14:schemeClr w14:val="tx1"/>
                  </w14:solidFill>
                </w14:textFill>
              </w:rPr>
              <w:t>13</w:t>
            </w:r>
          </w:p>
        </w:tc>
        <w:tc>
          <w:tcPr>
            <w:tcW w:w="2003" w:type="pct"/>
            <w:gridSpan w:val="2"/>
            <w:noWrap w:val="0"/>
            <w:vAlign w:val="center"/>
          </w:tcPr>
          <w:p w14:paraId="3E5FF9EC">
            <w:pPr>
              <w:pStyle w:val="70"/>
              <w:autoSpaceDE w:val="0"/>
              <w:autoSpaceDN w:val="0"/>
              <w:rPr>
                <w:rFonts w:hint="default" w:eastAsia="宋体"/>
                <w:color w:val="000000" w:themeColor="text1"/>
                <w14:textFill>
                  <w14:solidFill>
                    <w14:schemeClr w14:val="tx1"/>
                  </w14:solidFill>
                </w14:textFill>
              </w:rPr>
            </w:pPr>
            <w:r>
              <w:rPr>
                <w:rFonts w:hint="default" w:eastAsia="宋体"/>
                <w:color w:val="000000" w:themeColor="text1"/>
                <w14:textFill>
                  <w14:solidFill>
                    <w14:schemeClr w14:val="tx1"/>
                  </w14:solidFill>
                </w14:textFill>
              </w:rPr>
              <w:t>多年实测极大风速（m/s）、相应风向</w:t>
            </w:r>
          </w:p>
        </w:tc>
        <w:tc>
          <w:tcPr>
            <w:tcW w:w="1256" w:type="pct"/>
            <w:noWrap w:val="0"/>
            <w:vAlign w:val="center"/>
          </w:tcPr>
          <w:p w14:paraId="4F03E38D">
            <w:pPr>
              <w:pStyle w:val="70"/>
              <w:autoSpaceDE w:val="0"/>
              <w:autoSpaceDN w:val="0"/>
              <w:rPr>
                <w:rFonts w:hint="default" w:eastAsia="宋体"/>
                <w:color w:val="000000" w:themeColor="text1"/>
                <w14:textFill>
                  <w14:solidFill>
                    <w14:schemeClr w14:val="tx1"/>
                  </w14:solidFill>
                </w14:textFill>
              </w:rPr>
            </w:pPr>
            <w:r>
              <w:rPr>
                <w:rFonts w:hint="default" w:eastAsia="宋体"/>
                <w:color w:val="000000" w:themeColor="text1"/>
                <w14:textFill>
                  <w14:solidFill>
                    <w14:schemeClr w14:val="tx1"/>
                  </w14:solidFill>
                </w14:textFill>
              </w:rPr>
              <w:t>24.6/59.0（NE）</w:t>
            </w:r>
          </w:p>
        </w:tc>
        <w:tc>
          <w:tcPr>
            <w:tcW w:w="1274" w:type="pct"/>
            <w:tcBorders>
              <w:right w:val="single" w:color="auto" w:sz="12" w:space="0"/>
            </w:tcBorders>
            <w:noWrap w:val="0"/>
            <w:vAlign w:val="center"/>
          </w:tcPr>
          <w:p w14:paraId="52E7C8A8">
            <w:pPr>
              <w:pStyle w:val="70"/>
              <w:autoSpaceDE w:val="0"/>
              <w:autoSpaceDN w:val="0"/>
              <w:rPr>
                <w:rFonts w:hint="default" w:eastAsia="宋体"/>
                <w:color w:val="000000" w:themeColor="text1"/>
                <w14:textFill>
                  <w14:solidFill>
                    <w14:schemeClr w14:val="tx1"/>
                  </w14:solidFill>
                </w14:textFill>
              </w:rPr>
            </w:pPr>
            <w:r>
              <w:rPr>
                <w:rFonts w:hint="default" w:eastAsia="宋体"/>
                <w:color w:val="000000" w:themeColor="text1"/>
                <w14:textFill>
                  <w14:solidFill>
                    <w14:schemeClr w14:val="tx1"/>
                  </w14:solidFill>
                </w14:textFill>
              </w:rPr>
              <w:t>2019.9.14</w:t>
            </w:r>
          </w:p>
        </w:tc>
      </w:tr>
      <w:tr w14:paraId="32BF77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465" w:type="pct"/>
            <w:tcBorders>
              <w:left w:val="single" w:color="auto" w:sz="12" w:space="0"/>
              <w:bottom w:val="single" w:color="auto" w:sz="12" w:space="0"/>
            </w:tcBorders>
            <w:noWrap w:val="0"/>
            <w:vAlign w:val="center"/>
          </w:tcPr>
          <w:p w14:paraId="152D215D">
            <w:pPr>
              <w:pStyle w:val="70"/>
              <w:autoSpaceDE w:val="0"/>
              <w:autoSpaceDN w:val="0"/>
              <w:rPr>
                <w:rFonts w:hint="default" w:eastAsia="宋体"/>
                <w:color w:val="000000" w:themeColor="text1"/>
                <w14:textFill>
                  <w14:solidFill>
                    <w14:schemeClr w14:val="tx1"/>
                  </w14:solidFill>
                </w14:textFill>
              </w:rPr>
            </w:pPr>
            <w:r>
              <w:rPr>
                <w:rFonts w:hint="default" w:eastAsia="宋体"/>
                <w:color w:val="000000" w:themeColor="text1"/>
                <w14:textFill>
                  <w14:solidFill>
                    <w14:schemeClr w14:val="tx1"/>
                  </w14:solidFill>
                </w14:textFill>
              </w:rPr>
              <w:t>14</w:t>
            </w:r>
          </w:p>
        </w:tc>
        <w:tc>
          <w:tcPr>
            <w:tcW w:w="2003" w:type="pct"/>
            <w:gridSpan w:val="2"/>
            <w:tcBorders>
              <w:bottom w:val="single" w:color="auto" w:sz="12" w:space="0"/>
            </w:tcBorders>
            <w:noWrap w:val="0"/>
            <w:vAlign w:val="center"/>
          </w:tcPr>
          <w:p w14:paraId="5AD620F1">
            <w:pPr>
              <w:pStyle w:val="70"/>
              <w:autoSpaceDE w:val="0"/>
              <w:autoSpaceDN w:val="0"/>
              <w:rPr>
                <w:rFonts w:hint="default" w:eastAsia="宋体"/>
                <w:color w:val="000000" w:themeColor="text1"/>
                <w14:textFill>
                  <w14:solidFill>
                    <w14:schemeClr w14:val="tx1"/>
                  </w14:solidFill>
                </w14:textFill>
              </w:rPr>
            </w:pPr>
            <w:r>
              <w:rPr>
                <w:rFonts w:hint="default" w:eastAsia="宋体"/>
                <w:color w:val="000000" w:themeColor="text1"/>
                <w14:textFill>
                  <w14:solidFill>
                    <w14:schemeClr w14:val="tx1"/>
                  </w14:solidFill>
                </w14:textFill>
              </w:rPr>
              <w:t>多年平均风速（m/s）</w:t>
            </w:r>
          </w:p>
        </w:tc>
        <w:tc>
          <w:tcPr>
            <w:tcW w:w="1256" w:type="pct"/>
            <w:tcBorders>
              <w:bottom w:val="single" w:color="auto" w:sz="12" w:space="0"/>
            </w:tcBorders>
            <w:noWrap w:val="0"/>
            <w:vAlign w:val="center"/>
          </w:tcPr>
          <w:p w14:paraId="054D2845">
            <w:pPr>
              <w:pStyle w:val="70"/>
              <w:autoSpaceDE w:val="0"/>
              <w:autoSpaceDN w:val="0"/>
              <w:rPr>
                <w:rFonts w:hint="default" w:eastAsia="宋体"/>
                <w:color w:val="000000" w:themeColor="text1"/>
                <w14:textFill>
                  <w14:solidFill>
                    <w14:schemeClr w14:val="tx1"/>
                  </w14:solidFill>
                </w14:textFill>
              </w:rPr>
            </w:pPr>
            <w:r>
              <w:rPr>
                <w:rFonts w:hint="default" w:eastAsia="宋体"/>
                <w:color w:val="000000" w:themeColor="text1"/>
                <w14:textFill>
                  <w14:solidFill>
                    <w14:schemeClr w14:val="tx1"/>
                  </w14:solidFill>
                </w14:textFill>
              </w:rPr>
              <w:t>2.3</w:t>
            </w:r>
          </w:p>
        </w:tc>
        <w:tc>
          <w:tcPr>
            <w:tcW w:w="1274" w:type="pct"/>
            <w:tcBorders>
              <w:bottom w:val="single" w:color="auto" w:sz="12" w:space="0"/>
              <w:right w:val="single" w:color="auto" w:sz="12" w:space="0"/>
            </w:tcBorders>
            <w:noWrap w:val="0"/>
            <w:vAlign w:val="center"/>
          </w:tcPr>
          <w:p w14:paraId="5378C70E">
            <w:pPr>
              <w:pStyle w:val="70"/>
              <w:autoSpaceDE w:val="0"/>
              <w:autoSpaceDN w:val="0"/>
              <w:rPr>
                <w:rFonts w:hint="default" w:eastAsia="宋体"/>
                <w:color w:val="000000" w:themeColor="text1"/>
                <w14:textFill>
                  <w14:solidFill>
                    <w14:schemeClr w14:val="tx1"/>
                  </w14:solidFill>
                </w14:textFill>
              </w:rPr>
            </w:pPr>
          </w:p>
        </w:tc>
      </w:tr>
    </w:tbl>
    <w:p w14:paraId="0F72771B">
      <w:pPr>
        <w:ind w:firstLine="480"/>
        <w:rPr>
          <w:rFonts w:ascii="Times New Roman" w:hAnsi="Times New Roman" w:eastAsia="宋体"/>
          <w:color w:val="000000" w:themeColor="text1"/>
          <w:spacing w:val="0"/>
          <w:w w:val="100"/>
          <w:position w:val="0"/>
          <w:u w:val="none" w:color="auto"/>
          <w14:textFill>
            <w14:solidFill>
              <w14:schemeClr w14:val="tx1"/>
            </w14:solidFill>
          </w14:textFill>
        </w:rPr>
      </w:pPr>
      <w:r>
        <w:rPr>
          <w:rFonts w:ascii="Times New Roman" w:hAnsi="Times New Roman" w:eastAsia="宋体"/>
          <w:color w:val="000000" w:themeColor="text1"/>
          <w:spacing w:val="0"/>
          <w:w w:val="100"/>
          <w:position w:val="0"/>
          <w:u w:val="none" w:color="auto"/>
          <w14:textFill>
            <w14:solidFill>
              <w14:schemeClr w14:val="tx1"/>
            </w14:solidFill>
          </w14:textFill>
        </w:rPr>
        <w:t>（1）多年月平均气温与极端气温</w:t>
      </w:r>
    </w:p>
    <w:p w14:paraId="05590EC1">
      <w:pPr>
        <w:ind w:firstLine="480"/>
        <w:rPr>
          <w:rFonts w:ascii="Times New Roman" w:hAnsi="Times New Roman" w:eastAsia="宋体"/>
          <w:color w:val="000000" w:themeColor="text1"/>
          <w:spacing w:val="0"/>
          <w:w w:val="100"/>
          <w:position w:val="0"/>
          <w:u w:val="none" w:color="auto"/>
          <w14:textFill>
            <w14:solidFill>
              <w14:schemeClr w14:val="tx1"/>
            </w14:solidFill>
          </w14:textFill>
        </w:rPr>
      </w:pPr>
      <w:r>
        <w:rPr>
          <w:rFonts w:ascii="Times New Roman" w:hAnsi="Times New Roman" w:eastAsia="宋体"/>
          <w:color w:val="000000" w:themeColor="text1"/>
          <w:spacing w:val="0"/>
          <w:w w:val="100"/>
          <w:position w:val="0"/>
          <w:u w:val="none" w:color="auto"/>
          <w14:textFill>
            <w14:solidFill>
              <w14:schemeClr w14:val="tx1"/>
            </w14:solidFill>
          </w14:textFill>
        </w:rPr>
        <w:t>钦州气象站多年月平均气温统计中7月气温最高（28.9℃），1月气温最低（14.1℃），近20年极端最高气温出现在2005-7-9（37.9℃），近20年极端最低气温出现在2016-1-24（1.6℃），其变化趋势详见图</w:t>
      </w:r>
      <w:r>
        <w:rPr>
          <w:rFonts w:hint="eastAsia" w:ascii="Times New Roman" w:hAnsi="Times New Roman" w:eastAsia="宋体"/>
          <w:color w:val="000000" w:themeColor="text1"/>
          <w:spacing w:val="0"/>
          <w:w w:val="100"/>
          <w:position w:val="0"/>
          <w:u w:val="none" w:color="auto"/>
          <w:lang w:val="en-US" w:eastAsia="zh-CN"/>
          <w14:textFill>
            <w14:solidFill>
              <w14:schemeClr w14:val="tx1"/>
            </w14:solidFill>
          </w14:textFill>
        </w:rPr>
        <w:t>4</w:t>
      </w:r>
      <w:r>
        <w:rPr>
          <w:rFonts w:ascii="Times New Roman" w:hAnsi="Times New Roman" w:eastAsia="宋体"/>
          <w:color w:val="000000" w:themeColor="text1"/>
          <w:spacing w:val="0"/>
          <w:w w:val="100"/>
          <w:position w:val="0"/>
          <w:u w:val="none" w:color="auto"/>
          <w14:textFill>
            <w14:solidFill>
              <w14:schemeClr w14:val="tx1"/>
            </w14:solidFill>
          </w14:textFill>
        </w:rPr>
        <w:t>.</w:t>
      </w:r>
      <w:r>
        <w:rPr>
          <w:rFonts w:hint="eastAsia" w:eastAsia="宋体"/>
          <w:color w:val="000000" w:themeColor="text1"/>
          <w:spacing w:val="0"/>
          <w:w w:val="100"/>
          <w:position w:val="0"/>
          <w:u w:val="none" w:color="auto"/>
          <w:lang w:val="en-US" w:eastAsia="zh-CN"/>
          <w14:textFill>
            <w14:solidFill>
              <w14:schemeClr w14:val="tx1"/>
            </w14:solidFill>
          </w14:textFill>
        </w:rPr>
        <w:t>3</w:t>
      </w:r>
      <w:r>
        <w:rPr>
          <w:rFonts w:ascii="Times New Roman" w:hAnsi="Times New Roman" w:eastAsia="宋体"/>
          <w:color w:val="000000" w:themeColor="text1"/>
          <w:spacing w:val="0"/>
          <w:w w:val="100"/>
          <w:position w:val="0"/>
          <w:u w:val="none" w:color="auto"/>
          <w14:textFill>
            <w14:solidFill>
              <w14:schemeClr w14:val="tx1"/>
            </w14:solidFill>
          </w14:textFill>
        </w:rPr>
        <w:t>-1。</w:t>
      </w:r>
    </w:p>
    <w:p w14:paraId="3BC3140A">
      <w:pPr>
        <w:keepNext w:val="0"/>
        <w:keepLines w:val="0"/>
        <w:pageBreakBefore w:val="0"/>
        <w:widowControl w:val="0"/>
        <w:kinsoku/>
        <w:wordWrap/>
        <w:overflowPunct/>
        <w:topLinePunct w:val="0"/>
        <w:autoSpaceDE/>
        <w:autoSpaceDN/>
        <w:bidi w:val="0"/>
        <w:adjustRightInd w:val="0"/>
        <w:snapToGrid/>
        <w:ind w:firstLine="0"/>
        <w:jc w:val="center"/>
        <w:textAlignment w:val="auto"/>
        <w:rPr>
          <w:rFonts w:ascii="Times New Roman" w:hAnsi="Times New Roman" w:eastAsia="宋体"/>
          <w:color w:val="000000" w:themeColor="text1"/>
          <w:spacing w:val="0"/>
          <w:w w:val="100"/>
          <w:position w:val="0"/>
          <w:u w:val="none" w:color="auto"/>
          <w14:textFill>
            <w14:solidFill>
              <w14:schemeClr w14:val="tx1"/>
            </w14:solidFill>
          </w14:textFill>
        </w:rPr>
      </w:pPr>
      <w:r>
        <w:rPr>
          <w:rFonts w:ascii="Times New Roman" w:hAnsi="Times New Roman" w:eastAsia="宋体"/>
          <w:color w:val="000000" w:themeColor="text1"/>
          <w:spacing w:val="0"/>
          <w:w w:val="100"/>
          <w:position w:val="0"/>
          <w:u w:val="none" w:color="auto"/>
          <w14:textFill>
            <w14:solidFill>
              <w14:schemeClr w14:val="tx1"/>
            </w14:solidFill>
          </w14:textFill>
        </w:rPr>
        <w:drawing>
          <wp:inline distT="0" distB="0" distL="114300" distR="114300">
            <wp:extent cx="4785995" cy="3282315"/>
            <wp:effectExtent l="0" t="0" r="14605" b="9525"/>
            <wp:docPr id="23"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37"/>
                    <pic:cNvPicPr>
                      <a:picLocks noChangeAspect="1"/>
                    </pic:cNvPicPr>
                  </pic:nvPicPr>
                  <pic:blipFill>
                    <a:blip r:embed="rId78"/>
                    <a:stretch>
                      <a:fillRect/>
                    </a:stretch>
                  </pic:blipFill>
                  <pic:spPr>
                    <a:xfrm>
                      <a:off x="0" y="0"/>
                      <a:ext cx="4785995" cy="3282315"/>
                    </a:xfrm>
                    <a:prstGeom prst="rect">
                      <a:avLst/>
                    </a:prstGeom>
                    <a:noFill/>
                    <a:ln>
                      <a:noFill/>
                    </a:ln>
                  </pic:spPr>
                </pic:pic>
              </a:graphicData>
            </a:graphic>
          </wp:inline>
        </w:drawing>
      </w:r>
    </w:p>
    <w:p w14:paraId="76F468F6">
      <w:pPr>
        <w:pStyle w:val="8"/>
        <w:rPr>
          <w:rFonts w:hint="eastAsia" w:eastAsia="宋体"/>
          <w:color w:val="000000" w:themeColor="text1"/>
          <w14:textFill>
            <w14:solidFill>
              <w14:schemeClr w14:val="tx1"/>
            </w14:solidFill>
          </w14:textFill>
        </w:rPr>
      </w:pPr>
      <w:r>
        <w:rPr>
          <w:rFonts w:hint="eastAsia" w:eastAsia="宋体"/>
          <w:color w:val="000000" w:themeColor="text1"/>
          <w14:textFill>
            <w14:solidFill>
              <w14:schemeClr w14:val="tx1"/>
            </w14:solidFill>
          </w14:textFill>
        </w:rPr>
        <w:t>钦州市多年月平均气温变化情况（2001~2020，单位：℃）</w:t>
      </w:r>
    </w:p>
    <w:p w14:paraId="6F418F59">
      <w:pPr>
        <w:keepNext w:val="0"/>
        <w:keepLines w:val="0"/>
        <w:pageBreakBefore w:val="0"/>
        <w:widowControl w:val="0"/>
        <w:kinsoku/>
        <w:wordWrap/>
        <w:overflowPunct/>
        <w:topLinePunct w:val="0"/>
        <w:autoSpaceDE/>
        <w:autoSpaceDN/>
        <w:bidi w:val="0"/>
        <w:adjustRightInd/>
        <w:snapToGrid/>
        <w:ind w:firstLine="482" w:firstLineChars="200"/>
        <w:jc w:val="left"/>
        <w:textAlignment w:val="auto"/>
        <w:rPr>
          <w:rFonts w:ascii="Times New Roman" w:hAnsi="Times New Roman" w:eastAsia="宋体"/>
          <w:color w:val="000000" w:themeColor="text1"/>
          <w:spacing w:val="0"/>
          <w:w w:val="100"/>
          <w:position w:val="0"/>
          <w:u w:val="none" w:color="auto"/>
          <w14:textFill>
            <w14:solidFill>
              <w14:schemeClr w14:val="tx1"/>
            </w14:solidFill>
          </w14:textFill>
        </w:rPr>
      </w:pPr>
      <w:r>
        <w:rPr>
          <w:rFonts w:ascii="Times New Roman" w:hAnsi="Times New Roman" w:eastAsia="宋体"/>
          <w:b/>
          <w:bCs/>
          <w:color w:val="000000" w:themeColor="text1"/>
          <w:spacing w:val="0"/>
          <w:w w:val="100"/>
          <w:position w:val="0"/>
          <w:u w:val="none" w:color="auto"/>
          <w14:textFill>
            <w14:solidFill>
              <w14:schemeClr w14:val="tx1"/>
            </w14:solidFill>
          </w14:textFill>
        </w:rPr>
        <w:br w:type="page"/>
      </w:r>
      <w:r>
        <w:rPr>
          <w:rFonts w:ascii="Times New Roman" w:hAnsi="Times New Roman" w:eastAsia="宋体"/>
          <w:color w:val="000000" w:themeColor="text1"/>
          <w:spacing w:val="0"/>
          <w:w w:val="100"/>
          <w:position w:val="0"/>
          <w:u w:val="none" w:color="auto"/>
          <w14:textFill>
            <w14:solidFill>
              <w14:schemeClr w14:val="tx1"/>
            </w14:solidFill>
          </w14:textFill>
        </w:rPr>
        <w:t>（2）温度年际变化趋势与周期分析</w:t>
      </w:r>
    </w:p>
    <w:p w14:paraId="6F0B18CA">
      <w:pPr>
        <w:ind w:firstLine="480"/>
        <w:rPr>
          <w:rFonts w:ascii="Times New Roman" w:hAnsi="Times New Roman" w:eastAsia="宋体"/>
          <w:color w:val="000000" w:themeColor="text1"/>
          <w:spacing w:val="0"/>
          <w:w w:val="100"/>
          <w:position w:val="0"/>
          <w:u w:val="none" w:color="auto"/>
          <w14:textFill>
            <w14:solidFill>
              <w14:schemeClr w14:val="tx1"/>
            </w14:solidFill>
          </w14:textFill>
        </w:rPr>
      </w:pPr>
      <w:r>
        <w:rPr>
          <w:rFonts w:ascii="Times New Roman" w:hAnsi="Times New Roman" w:eastAsia="宋体"/>
          <w:color w:val="000000" w:themeColor="text1"/>
          <w:spacing w:val="0"/>
          <w:w w:val="100"/>
          <w:position w:val="0"/>
          <w:u w:val="none" w:color="auto"/>
          <w14:textFill>
            <w14:solidFill>
              <w14:schemeClr w14:val="tx1"/>
            </w14:solidFill>
          </w14:textFill>
        </w:rPr>
        <w:t>钦州市气象站近20年气温无明显变化趋势，2015年年平均气温最高（23.8℃），2011年年平均气温最低（22.2℃），其变化趋势详见图</w:t>
      </w:r>
      <w:r>
        <w:rPr>
          <w:rFonts w:hint="eastAsia" w:ascii="Times New Roman" w:hAnsi="Times New Roman" w:eastAsia="宋体"/>
          <w:color w:val="000000" w:themeColor="text1"/>
          <w:spacing w:val="0"/>
          <w:w w:val="100"/>
          <w:position w:val="0"/>
          <w:u w:val="none" w:color="auto"/>
          <w:lang w:val="en-US" w:eastAsia="zh-CN"/>
          <w14:textFill>
            <w14:solidFill>
              <w14:schemeClr w14:val="tx1"/>
            </w14:solidFill>
          </w14:textFill>
        </w:rPr>
        <w:t>4</w:t>
      </w:r>
      <w:r>
        <w:rPr>
          <w:rFonts w:ascii="Times New Roman" w:hAnsi="Times New Roman" w:eastAsia="宋体"/>
          <w:color w:val="000000" w:themeColor="text1"/>
          <w:spacing w:val="0"/>
          <w:w w:val="100"/>
          <w:position w:val="0"/>
          <w:u w:val="none" w:color="auto"/>
          <w14:textFill>
            <w14:solidFill>
              <w14:schemeClr w14:val="tx1"/>
            </w14:solidFill>
          </w14:textFill>
        </w:rPr>
        <w:t>.</w:t>
      </w:r>
      <w:r>
        <w:rPr>
          <w:rFonts w:hint="eastAsia" w:eastAsia="宋体"/>
          <w:color w:val="000000" w:themeColor="text1"/>
          <w:spacing w:val="0"/>
          <w:w w:val="100"/>
          <w:position w:val="0"/>
          <w:u w:val="none" w:color="auto"/>
          <w:lang w:val="en-US" w:eastAsia="zh-CN"/>
          <w14:textFill>
            <w14:solidFill>
              <w14:schemeClr w14:val="tx1"/>
            </w14:solidFill>
          </w14:textFill>
        </w:rPr>
        <w:t>3</w:t>
      </w:r>
      <w:r>
        <w:rPr>
          <w:rFonts w:ascii="Times New Roman" w:hAnsi="Times New Roman" w:eastAsia="宋体"/>
          <w:color w:val="000000" w:themeColor="text1"/>
          <w:spacing w:val="0"/>
          <w:w w:val="100"/>
          <w:position w:val="0"/>
          <w:u w:val="none" w:color="auto"/>
          <w14:textFill>
            <w14:solidFill>
              <w14:schemeClr w14:val="tx1"/>
            </w14:solidFill>
          </w14:textFill>
        </w:rPr>
        <w:t>-2。</w:t>
      </w:r>
    </w:p>
    <w:p w14:paraId="7B78C8F3">
      <w:pPr>
        <w:ind w:firstLine="0" w:firstLineChars="0"/>
        <w:jc w:val="center"/>
        <w:rPr>
          <w:rFonts w:ascii="Times New Roman" w:hAnsi="Times New Roman" w:eastAsia="宋体"/>
          <w:color w:val="000000" w:themeColor="text1"/>
          <w:spacing w:val="0"/>
          <w:w w:val="100"/>
          <w:position w:val="0"/>
          <w:u w:val="none" w:color="auto"/>
          <w14:textFill>
            <w14:solidFill>
              <w14:schemeClr w14:val="tx1"/>
            </w14:solidFill>
          </w14:textFill>
        </w:rPr>
      </w:pPr>
      <w:r>
        <w:rPr>
          <w:rFonts w:ascii="Times New Roman" w:hAnsi="Times New Roman" w:eastAsia="宋体"/>
          <w:color w:val="000000" w:themeColor="text1"/>
          <w:spacing w:val="0"/>
          <w:w w:val="100"/>
          <w:position w:val="0"/>
          <w:u w:val="none" w:color="auto"/>
          <w14:textFill>
            <w14:solidFill>
              <w14:schemeClr w14:val="tx1"/>
            </w14:solidFill>
          </w14:textFill>
        </w:rPr>
        <w:drawing>
          <wp:inline distT="0" distB="0" distL="114300" distR="114300">
            <wp:extent cx="5279390" cy="3462655"/>
            <wp:effectExtent l="0" t="0" r="8890" b="12065"/>
            <wp:docPr id="1"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38"/>
                    <pic:cNvPicPr>
                      <a:picLocks noChangeAspect="1"/>
                    </pic:cNvPicPr>
                  </pic:nvPicPr>
                  <pic:blipFill>
                    <a:blip r:embed="rId79"/>
                    <a:stretch>
                      <a:fillRect/>
                    </a:stretch>
                  </pic:blipFill>
                  <pic:spPr>
                    <a:xfrm>
                      <a:off x="0" y="0"/>
                      <a:ext cx="5279390" cy="3462655"/>
                    </a:xfrm>
                    <a:prstGeom prst="rect">
                      <a:avLst/>
                    </a:prstGeom>
                    <a:noFill/>
                    <a:ln>
                      <a:noFill/>
                    </a:ln>
                  </pic:spPr>
                </pic:pic>
              </a:graphicData>
            </a:graphic>
          </wp:inline>
        </w:drawing>
      </w:r>
    </w:p>
    <w:p w14:paraId="40D39B8C">
      <w:pPr>
        <w:pStyle w:val="8"/>
        <w:rPr>
          <w:rFonts w:hint="eastAsia" w:eastAsia="宋体"/>
          <w:color w:val="000000" w:themeColor="text1"/>
          <w14:textFill>
            <w14:solidFill>
              <w14:schemeClr w14:val="tx1"/>
            </w14:solidFill>
          </w14:textFill>
        </w:rPr>
      </w:pPr>
      <w:r>
        <w:rPr>
          <w:rFonts w:hint="eastAsia" w:eastAsia="宋体"/>
          <w:color w:val="000000" w:themeColor="text1"/>
          <w14:textFill>
            <w14:solidFill>
              <w14:schemeClr w14:val="tx1"/>
            </w14:solidFill>
          </w14:textFill>
        </w:rPr>
        <w:t>钦州市多年年平均气温变化情况（2001~2020，单位：℃）</w:t>
      </w:r>
    </w:p>
    <w:p w14:paraId="2D7F14E9">
      <w:pPr>
        <w:ind w:firstLine="480"/>
        <w:rPr>
          <w:rFonts w:ascii="Times New Roman" w:hAnsi="Times New Roman" w:eastAsia="宋体"/>
          <w:color w:val="000000" w:themeColor="text1"/>
          <w:spacing w:val="0"/>
          <w:w w:val="100"/>
          <w:position w:val="0"/>
          <w:u w:val="none" w:color="auto"/>
          <w14:textFill>
            <w14:solidFill>
              <w14:schemeClr w14:val="tx1"/>
            </w14:solidFill>
          </w14:textFill>
        </w:rPr>
      </w:pPr>
      <w:r>
        <w:rPr>
          <w:rFonts w:ascii="Times New Roman" w:hAnsi="Times New Roman" w:eastAsia="宋体"/>
          <w:color w:val="000000" w:themeColor="text1"/>
          <w:spacing w:val="0"/>
          <w:w w:val="100"/>
          <w:position w:val="0"/>
          <w:u w:val="none" w:color="auto"/>
          <w14:textFill>
            <w14:solidFill>
              <w14:schemeClr w14:val="tx1"/>
            </w14:solidFill>
          </w14:textFill>
        </w:rPr>
        <w:t>（3）多年月平均风速</w:t>
      </w:r>
    </w:p>
    <w:p w14:paraId="383D57E0">
      <w:pPr>
        <w:ind w:firstLine="480"/>
        <w:rPr>
          <w:rFonts w:ascii="Times New Roman" w:hAnsi="Times New Roman" w:eastAsia="宋体"/>
          <w:color w:val="000000" w:themeColor="text1"/>
          <w:spacing w:val="0"/>
          <w:w w:val="100"/>
          <w:position w:val="0"/>
          <w:u w:val="none" w:color="auto"/>
          <w14:textFill>
            <w14:solidFill>
              <w14:schemeClr w14:val="tx1"/>
            </w14:solidFill>
          </w14:textFill>
        </w:rPr>
      </w:pPr>
      <w:r>
        <w:rPr>
          <w:rFonts w:ascii="Times New Roman" w:hAnsi="Times New Roman" w:eastAsia="宋体"/>
          <w:color w:val="000000" w:themeColor="text1"/>
          <w:spacing w:val="0"/>
          <w:w w:val="100"/>
          <w:position w:val="0"/>
          <w:u w:val="none" w:color="auto"/>
          <w14:textFill>
            <w14:solidFill>
              <w14:schemeClr w14:val="tx1"/>
            </w14:solidFill>
          </w14:textFill>
        </w:rPr>
        <w:t>钦州市多年月平均风速如表5.3-2所示；从表中可知多年来钦州12月平均风速最大（2.5米/秒），8月风速最小（1.9米/秒）</w:t>
      </w:r>
    </w:p>
    <w:p w14:paraId="2D4EFEFD">
      <w:pPr>
        <w:pStyle w:val="7"/>
        <w:tabs>
          <w:tab w:val="left" w:pos="2127"/>
          <w:tab w:val="left" w:pos="2411"/>
        </w:tabs>
        <w:rPr>
          <w:rFonts w:hint="eastAsia" w:eastAsia="宋体"/>
          <w:color w:val="000000" w:themeColor="text1"/>
          <w14:textFill>
            <w14:solidFill>
              <w14:schemeClr w14:val="tx1"/>
            </w14:solidFill>
          </w14:textFill>
        </w:rPr>
      </w:pPr>
      <w:r>
        <w:rPr>
          <w:rFonts w:hint="eastAsia" w:eastAsia="宋体"/>
          <w:color w:val="000000" w:themeColor="text1"/>
          <w14:textFill>
            <w14:solidFill>
              <w14:schemeClr w14:val="tx1"/>
            </w14:solidFill>
          </w14:textFill>
        </w:rPr>
        <w:t>钦州市多年月平均风速一览 （单位：m/s）</w:t>
      </w:r>
    </w:p>
    <w:tbl>
      <w:tblPr>
        <w:tblStyle w:val="43"/>
        <w:tblW w:w="499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91"/>
        <w:gridCol w:w="617"/>
        <w:gridCol w:w="617"/>
        <w:gridCol w:w="619"/>
        <w:gridCol w:w="619"/>
        <w:gridCol w:w="619"/>
        <w:gridCol w:w="619"/>
        <w:gridCol w:w="619"/>
        <w:gridCol w:w="619"/>
        <w:gridCol w:w="619"/>
        <w:gridCol w:w="619"/>
        <w:gridCol w:w="619"/>
        <w:gridCol w:w="616"/>
      </w:tblGrid>
      <w:tr w14:paraId="57E993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640" w:type="pct"/>
            <w:tcBorders>
              <w:top w:val="single" w:color="auto" w:sz="12" w:space="0"/>
              <w:left w:val="single" w:color="auto" w:sz="12" w:space="0"/>
            </w:tcBorders>
            <w:noWrap w:val="0"/>
            <w:vAlign w:val="center"/>
          </w:tcPr>
          <w:p w14:paraId="69C8D67F">
            <w:pPr>
              <w:pStyle w:val="70"/>
              <w:autoSpaceDE w:val="0"/>
              <w:autoSpaceDN w:val="0"/>
              <w:rPr>
                <w:rFonts w:hint="eastAsia" w:eastAsia="宋体"/>
                <w:color w:val="000000" w:themeColor="text1"/>
                <w:lang w:val="en-US" w:eastAsia="zh-CN"/>
                <w14:textFill>
                  <w14:solidFill>
                    <w14:schemeClr w14:val="tx1"/>
                  </w14:solidFill>
                </w14:textFill>
              </w:rPr>
            </w:pPr>
            <w:r>
              <w:rPr>
                <w:rFonts w:hint="eastAsia" w:eastAsia="宋体"/>
                <w:color w:val="000000" w:themeColor="text1"/>
                <w:lang w:val="en-US" w:eastAsia="zh-CN"/>
                <w14:textFill>
                  <w14:solidFill>
                    <w14:schemeClr w14:val="tx1"/>
                  </w14:solidFill>
                </w14:textFill>
              </w:rPr>
              <w:t>月份</w:t>
            </w:r>
          </w:p>
        </w:tc>
        <w:tc>
          <w:tcPr>
            <w:tcW w:w="362" w:type="pct"/>
            <w:tcBorders>
              <w:top w:val="single" w:color="auto" w:sz="12" w:space="0"/>
            </w:tcBorders>
            <w:noWrap w:val="0"/>
            <w:vAlign w:val="center"/>
          </w:tcPr>
          <w:p w14:paraId="5C1A108A">
            <w:pPr>
              <w:pStyle w:val="70"/>
              <w:autoSpaceDE w:val="0"/>
              <w:autoSpaceDN w:val="0"/>
              <w:rPr>
                <w:rFonts w:hint="eastAsia" w:eastAsia="宋体"/>
                <w:color w:val="000000" w:themeColor="text1"/>
                <w:lang w:val="en-US" w:eastAsia="zh-CN"/>
                <w14:textFill>
                  <w14:solidFill>
                    <w14:schemeClr w14:val="tx1"/>
                  </w14:solidFill>
                </w14:textFill>
              </w:rPr>
            </w:pPr>
            <w:r>
              <w:rPr>
                <w:rFonts w:hint="eastAsia" w:eastAsia="宋体"/>
                <w:color w:val="000000" w:themeColor="text1"/>
                <w:lang w:val="en-US" w:eastAsia="zh-CN"/>
                <w14:textFill>
                  <w14:solidFill>
                    <w14:schemeClr w14:val="tx1"/>
                  </w14:solidFill>
                </w14:textFill>
              </w:rPr>
              <w:t>1</w:t>
            </w:r>
          </w:p>
        </w:tc>
        <w:tc>
          <w:tcPr>
            <w:tcW w:w="362" w:type="pct"/>
            <w:tcBorders>
              <w:top w:val="single" w:color="auto" w:sz="12" w:space="0"/>
            </w:tcBorders>
            <w:noWrap w:val="0"/>
            <w:vAlign w:val="center"/>
          </w:tcPr>
          <w:p w14:paraId="4AE0449F">
            <w:pPr>
              <w:pStyle w:val="70"/>
              <w:autoSpaceDE w:val="0"/>
              <w:autoSpaceDN w:val="0"/>
              <w:rPr>
                <w:rFonts w:hint="eastAsia" w:eastAsia="宋体"/>
                <w:color w:val="000000" w:themeColor="text1"/>
                <w:lang w:val="en-US" w:eastAsia="zh-CN"/>
                <w14:textFill>
                  <w14:solidFill>
                    <w14:schemeClr w14:val="tx1"/>
                  </w14:solidFill>
                </w14:textFill>
              </w:rPr>
            </w:pPr>
            <w:r>
              <w:rPr>
                <w:rFonts w:hint="eastAsia" w:eastAsia="宋体"/>
                <w:color w:val="000000" w:themeColor="text1"/>
                <w:lang w:val="en-US" w:eastAsia="zh-CN"/>
                <w14:textFill>
                  <w14:solidFill>
                    <w14:schemeClr w14:val="tx1"/>
                  </w14:solidFill>
                </w14:textFill>
              </w:rPr>
              <w:t>2</w:t>
            </w:r>
          </w:p>
        </w:tc>
        <w:tc>
          <w:tcPr>
            <w:tcW w:w="363" w:type="pct"/>
            <w:tcBorders>
              <w:top w:val="single" w:color="auto" w:sz="12" w:space="0"/>
            </w:tcBorders>
            <w:noWrap w:val="0"/>
            <w:vAlign w:val="center"/>
          </w:tcPr>
          <w:p w14:paraId="415E246A">
            <w:pPr>
              <w:pStyle w:val="70"/>
              <w:autoSpaceDE w:val="0"/>
              <w:autoSpaceDN w:val="0"/>
              <w:rPr>
                <w:rFonts w:hint="eastAsia" w:eastAsia="宋体"/>
                <w:color w:val="000000" w:themeColor="text1"/>
                <w:lang w:val="en-US" w:eastAsia="zh-CN"/>
                <w14:textFill>
                  <w14:solidFill>
                    <w14:schemeClr w14:val="tx1"/>
                  </w14:solidFill>
                </w14:textFill>
              </w:rPr>
            </w:pPr>
            <w:r>
              <w:rPr>
                <w:rFonts w:hint="eastAsia" w:eastAsia="宋体"/>
                <w:color w:val="000000" w:themeColor="text1"/>
                <w:lang w:val="en-US" w:eastAsia="zh-CN"/>
                <w14:textFill>
                  <w14:solidFill>
                    <w14:schemeClr w14:val="tx1"/>
                  </w14:solidFill>
                </w14:textFill>
              </w:rPr>
              <w:t>3</w:t>
            </w:r>
          </w:p>
        </w:tc>
        <w:tc>
          <w:tcPr>
            <w:tcW w:w="363" w:type="pct"/>
            <w:tcBorders>
              <w:top w:val="single" w:color="auto" w:sz="12" w:space="0"/>
            </w:tcBorders>
            <w:noWrap w:val="0"/>
            <w:vAlign w:val="center"/>
          </w:tcPr>
          <w:p w14:paraId="4126F1F3">
            <w:pPr>
              <w:pStyle w:val="70"/>
              <w:autoSpaceDE w:val="0"/>
              <w:autoSpaceDN w:val="0"/>
              <w:rPr>
                <w:rFonts w:hint="eastAsia" w:eastAsia="宋体"/>
                <w:color w:val="000000" w:themeColor="text1"/>
                <w:lang w:val="en-US" w:eastAsia="zh-CN"/>
                <w14:textFill>
                  <w14:solidFill>
                    <w14:schemeClr w14:val="tx1"/>
                  </w14:solidFill>
                </w14:textFill>
              </w:rPr>
            </w:pPr>
            <w:r>
              <w:rPr>
                <w:rFonts w:hint="eastAsia" w:eastAsia="宋体"/>
                <w:color w:val="000000" w:themeColor="text1"/>
                <w:lang w:val="en-US" w:eastAsia="zh-CN"/>
                <w14:textFill>
                  <w14:solidFill>
                    <w14:schemeClr w14:val="tx1"/>
                  </w14:solidFill>
                </w14:textFill>
              </w:rPr>
              <w:t>4</w:t>
            </w:r>
          </w:p>
        </w:tc>
        <w:tc>
          <w:tcPr>
            <w:tcW w:w="363" w:type="pct"/>
            <w:tcBorders>
              <w:top w:val="single" w:color="auto" w:sz="12" w:space="0"/>
            </w:tcBorders>
            <w:noWrap w:val="0"/>
            <w:vAlign w:val="center"/>
          </w:tcPr>
          <w:p w14:paraId="250186AB">
            <w:pPr>
              <w:pStyle w:val="70"/>
              <w:autoSpaceDE w:val="0"/>
              <w:autoSpaceDN w:val="0"/>
              <w:rPr>
                <w:rFonts w:hint="eastAsia" w:eastAsia="宋体"/>
                <w:color w:val="000000" w:themeColor="text1"/>
                <w:lang w:val="en-US" w:eastAsia="zh-CN"/>
                <w14:textFill>
                  <w14:solidFill>
                    <w14:schemeClr w14:val="tx1"/>
                  </w14:solidFill>
                </w14:textFill>
              </w:rPr>
            </w:pPr>
            <w:r>
              <w:rPr>
                <w:rFonts w:hint="eastAsia" w:eastAsia="宋体"/>
                <w:color w:val="000000" w:themeColor="text1"/>
                <w:lang w:val="en-US" w:eastAsia="zh-CN"/>
                <w14:textFill>
                  <w14:solidFill>
                    <w14:schemeClr w14:val="tx1"/>
                  </w14:solidFill>
                </w14:textFill>
              </w:rPr>
              <w:t>5</w:t>
            </w:r>
          </w:p>
        </w:tc>
        <w:tc>
          <w:tcPr>
            <w:tcW w:w="363" w:type="pct"/>
            <w:tcBorders>
              <w:top w:val="single" w:color="auto" w:sz="12" w:space="0"/>
            </w:tcBorders>
            <w:noWrap w:val="0"/>
            <w:vAlign w:val="center"/>
          </w:tcPr>
          <w:p w14:paraId="05E69B2D">
            <w:pPr>
              <w:pStyle w:val="70"/>
              <w:autoSpaceDE w:val="0"/>
              <w:autoSpaceDN w:val="0"/>
              <w:rPr>
                <w:rFonts w:hint="eastAsia" w:eastAsia="宋体"/>
                <w:color w:val="000000" w:themeColor="text1"/>
                <w:lang w:val="en-US" w:eastAsia="zh-CN"/>
                <w14:textFill>
                  <w14:solidFill>
                    <w14:schemeClr w14:val="tx1"/>
                  </w14:solidFill>
                </w14:textFill>
              </w:rPr>
            </w:pPr>
            <w:r>
              <w:rPr>
                <w:rFonts w:hint="eastAsia" w:eastAsia="宋体"/>
                <w:color w:val="000000" w:themeColor="text1"/>
                <w:lang w:val="en-US" w:eastAsia="zh-CN"/>
                <w14:textFill>
                  <w14:solidFill>
                    <w14:schemeClr w14:val="tx1"/>
                  </w14:solidFill>
                </w14:textFill>
              </w:rPr>
              <w:t>6</w:t>
            </w:r>
          </w:p>
        </w:tc>
        <w:tc>
          <w:tcPr>
            <w:tcW w:w="363" w:type="pct"/>
            <w:tcBorders>
              <w:top w:val="single" w:color="auto" w:sz="12" w:space="0"/>
            </w:tcBorders>
            <w:noWrap w:val="0"/>
            <w:vAlign w:val="center"/>
          </w:tcPr>
          <w:p w14:paraId="3199C4E0">
            <w:pPr>
              <w:pStyle w:val="70"/>
              <w:autoSpaceDE w:val="0"/>
              <w:autoSpaceDN w:val="0"/>
              <w:rPr>
                <w:rFonts w:hint="eastAsia" w:eastAsia="宋体"/>
                <w:color w:val="000000" w:themeColor="text1"/>
                <w:lang w:val="en-US" w:eastAsia="zh-CN"/>
                <w14:textFill>
                  <w14:solidFill>
                    <w14:schemeClr w14:val="tx1"/>
                  </w14:solidFill>
                </w14:textFill>
              </w:rPr>
            </w:pPr>
            <w:r>
              <w:rPr>
                <w:rFonts w:hint="eastAsia" w:eastAsia="宋体"/>
                <w:color w:val="000000" w:themeColor="text1"/>
                <w:lang w:val="en-US" w:eastAsia="zh-CN"/>
                <w14:textFill>
                  <w14:solidFill>
                    <w14:schemeClr w14:val="tx1"/>
                  </w14:solidFill>
                </w14:textFill>
              </w:rPr>
              <w:t>7</w:t>
            </w:r>
          </w:p>
        </w:tc>
        <w:tc>
          <w:tcPr>
            <w:tcW w:w="363" w:type="pct"/>
            <w:tcBorders>
              <w:top w:val="single" w:color="auto" w:sz="12" w:space="0"/>
            </w:tcBorders>
            <w:noWrap w:val="0"/>
            <w:vAlign w:val="center"/>
          </w:tcPr>
          <w:p w14:paraId="17125BD8">
            <w:pPr>
              <w:pStyle w:val="70"/>
              <w:autoSpaceDE w:val="0"/>
              <w:autoSpaceDN w:val="0"/>
              <w:rPr>
                <w:rFonts w:hint="eastAsia" w:eastAsia="宋体"/>
                <w:color w:val="000000" w:themeColor="text1"/>
                <w:lang w:val="en-US" w:eastAsia="zh-CN"/>
                <w14:textFill>
                  <w14:solidFill>
                    <w14:schemeClr w14:val="tx1"/>
                  </w14:solidFill>
                </w14:textFill>
              </w:rPr>
            </w:pPr>
            <w:r>
              <w:rPr>
                <w:rFonts w:hint="eastAsia" w:eastAsia="宋体"/>
                <w:color w:val="000000" w:themeColor="text1"/>
                <w:lang w:val="en-US" w:eastAsia="zh-CN"/>
                <w14:textFill>
                  <w14:solidFill>
                    <w14:schemeClr w14:val="tx1"/>
                  </w14:solidFill>
                </w14:textFill>
              </w:rPr>
              <w:t>8</w:t>
            </w:r>
          </w:p>
        </w:tc>
        <w:tc>
          <w:tcPr>
            <w:tcW w:w="363" w:type="pct"/>
            <w:tcBorders>
              <w:top w:val="single" w:color="auto" w:sz="12" w:space="0"/>
            </w:tcBorders>
            <w:noWrap w:val="0"/>
            <w:vAlign w:val="center"/>
          </w:tcPr>
          <w:p w14:paraId="23C1059D">
            <w:pPr>
              <w:pStyle w:val="70"/>
              <w:autoSpaceDE w:val="0"/>
              <w:autoSpaceDN w:val="0"/>
              <w:rPr>
                <w:rFonts w:hint="eastAsia" w:eastAsia="宋体"/>
                <w:color w:val="000000" w:themeColor="text1"/>
                <w:lang w:val="en-US" w:eastAsia="zh-CN"/>
                <w14:textFill>
                  <w14:solidFill>
                    <w14:schemeClr w14:val="tx1"/>
                  </w14:solidFill>
                </w14:textFill>
              </w:rPr>
            </w:pPr>
            <w:r>
              <w:rPr>
                <w:rFonts w:hint="eastAsia" w:eastAsia="宋体"/>
                <w:color w:val="000000" w:themeColor="text1"/>
                <w:lang w:val="en-US" w:eastAsia="zh-CN"/>
                <w14:textFill>
                  <w14:solidFill>
                    <w14:schemeClr w14:val="tx1"/>
                  </w14:solidFill>
                </w14:textFill>
              </w:rPr>
              <w:t>9</w:t>
            </w:r>
          </w:p>
        </w:tc>
        <w:tc>
          <w:tcPr>
            <w:tcW w:w="363" w:type="pct"/>
            <w:tcBorders>
              <w:top w:val="single" w:color="auto" w:sz="12" w:space="0"/>
            </w:tcBorders>
            <w:noWrap w:val="0"/>
            <w:vAlign w:val="center"/>
          </w:tcPr>
          <w:p w14:paraId="5DAA9C65">
            <w:pPr>
              <w:pStyle w:val="70"/>
              <w:autoSpaceDE w:val="0"/>
              <w:autoSpaceDN w:val="0"/>
              <w:rPr>
                <w:rFonts w:hint="eastAsia" w:eastAsia="宋体"/>
                <w:color w:val="000000" w:themeColor="text1"/>
                <w:lang w:val="en-US" w:eastAsia="zh-CN"/>
                <w14:textFill>
                  <w14:solidFill>
                    <w14:schemeClr w14:val="tx1"/>
                  </w14:solidFill>
                </w14:textFill>
              </w:rPr>
            </w:pPr>
            <w:r>
              <w:rPr>
                <w:rFonts w:hint="eastAsia" w:eastAsia="宋体"/>
                <w:color w:val="000000" w:themeColor="text1"/>
                <w:lang w:val="en-US" w:eastAsia="zh-CN"/>
                <w14:textFill>
                  <w14:solidFill>
                    <w14:schemeClr w14:val="tx1"/>
                  </w14:solidFill>
                </w14:textFill>
              </w:rPr>
              <w:t>10</w:t>
            </w:r>
          </w:p>
        </w:tc>
        <w:tc>
          <w:tcPr>
            <w:tcW w:w="363" w:type="pct"/>
            <w:tcBorders>
              <w:top w:val="single" w:color="auto" w:sz="12" w:space="0"/>
            </w:tcBorders>
            <w:noWrap w:val="0"/>
            <w:vAlign w:val="center"/>
          </w:tcPr>
          <w:p w14:paraId="4BDF2589">
            <w:pPr>
              <w:pStyle w:val="70"/>
              <w:autoSpaceDE w:val="0"/>
              <w:autoSpaceDN w:val="0"/>
              <w:rPr>
                <w:rFonts w:hint="eastAsia" w:eastAsia="宋体"/>
                <w:color w:val="000000" w:themeColor="text1"/>
                <w:lang w:val="en-US" w:eastAsia="zh-CN"/>
                <w14:textFill>
                  <w14:solidFill>
                    <w14:schemeClr w14:val="tx1"/>
                  </w14:solidFill>
                </w14:textFill>
              </w:rPr>
            </w:pPr>
            <w:r>
              <w:rPr>
                <w:rFonts w:hint="eastAsia" w:eastAsia="宋体"/>
                <w:color w:val="000000" w:themeColor="text1"/>
                <w:lang w:val="en-US" w:eastAsia="zh-CN"/>
                <w14:textFill>
                  <w14:solidFill>
                    <w14:schemeClr w14:val="tx1"/>
                  </w14:solidFill>
                </w14:textFill>
              </w:rPr>
              <w:t>11</w:t>
            </w:r>
          </w:p>
        </w:tc>
        <w:tc>
          <w:tcPr>
            <w:tcW w:w="361" w:type="pct"/>
            <w:tcBorders>
              <w:top w:val="single" w:color="auto" w:sz="12" w:space="0"/>
              <w:right w:val="single" w:color="auto" w:sz="12" w:space="0"/>
            </w:tcBorders>
            <w:noWrap w:val="0"/>
            <w:vAlign w:val="center"/>
          </w:tcPr>
          <w:p w14:paraId="05C62852">
            <w:pPr>
              <w:pStyle w:val="70"/>
              <w:autoSpaceDE w:val="0"/>
              <w:autoSpaceDN w:val="0"/>
              <w:rPr>
                <w:rFonts w:hint="eastAsia" w:eastAsia="宋体"/>
                <w:color w:val="000000" w:themeColor="text1"/>
                <w:lang w:val="en-US" w:eastAsia="zh-CN"/>
                <w14:textFill>
                  <w14:solidFill>
                    <w14:schemeClr w14:val="tx1"/>
                  </w14:solidFill>
                </w14:textFill>
              </w:rPr>
            </w:pPr>
            <w:r>
              <w:rPr>
                <w:rFonts w:hint="eastAsia" w:eastAsia="宋体"/>
                <w:color w:val="000000" w:themeColor="text1"/>
                <w:lang w:val="en-US" w:eastAsia="zh-CN"/>
                <w14:textFill>
                  <w14:solidFill>
                    <w14:schemeClr w14:val="tx1"/>
                  </w14:solidFill>
                </w14:textFill>
              </w:rPr>
              <w:t>12</w:t>
            </w:r>
          </w:p>
        </w:tc>
      </w:tr>
      <w:tr w14:paraId="655492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640" w:type="pct"/>
            <w:tcBorders>
              <w:left w:val="single" w:color="auto" w:sz="12" w:space="0"/>
              <w:bottom w:val="single" w:color="auto" w:sz="12" w:space="0"/>
            </w:tcBorders>
            <w:noWrap w:val="0"/>
            <w:vAlign w:val="center"/>
          </w:tcPr>
          <w:p w14:paraId="40888AD5">
            <w:pPr>
              <w:pStyle w:val="70"/>
              <w:autoSpaceDE w:val="0"/>
              <w:autoSpaceDN w:val="0"/>
              <w:rPr>
                <w:rFonts w:hint="eastAsia" w:eastAsia="宋体"/>
                <w:color w:val="000000" w:themeColor="text1"/>
                <w:lang w:val="en-US" w:eastAsia="zh-CN"/>
                <w14:textFill>
                  <w14:solidFill>
                    <w14:schemeClr w14:val="tx1"/>
                  </w14:solidFill>
                </w14:textFill>
              </w:rPr>
            </w:pPr>
            <w:r>
              <w:rPr>
                <w:rFonts w:hint="eastAsia" w:eastAsia="宋体"/>
                <w:color w:val="000000" w:themeColor="text1"/>
                <w:lang w:val="en-US" w:eastAsia="zh-CN"/>
                <w14:textFill>
                  <w14:solidFill>
                    <w14:schemeClr w14:val="tx1"/>
                  </w14:solidFill>
                </w14:textFill>
              </w:rPr>
              <w:t>平均风速</w:t>
            </w:r>
          </w:p>
        </w:tc>
        <w:tc>
          <w:tcPr>
            <w:tcW w:w="362" w:type="pct"/>
            <w:tcBorders>
              <w:bottom w:val="single" w:color="auto" w:sz="12" w:space="0"/>
            </w:tcBorders>
            <w:noWrap w:val="0"/>
            <w:vAlign w:val="center"/>
          </w:tcPr>
          <w:p w14:paraId="6A659705">
            <w:pPr>
              <w:pStyle w:val="70"/>
              <w:autoSpaceDE w:val="0"/>
              <w:autoSpaceDN w:val="0"/>
              <w:rPr>
                <w:rFonts w:hint="eastAsia" w:eastAsia="宋体"/>
                <w:color w:val="000000" w:themeColor="text1"/>
                <w:lang w:val="en-US" w:eastAsia="zh-CN"/>
                <w14:textFill>
                  <w14:solidFill>
                    <w14:schemeClr w14:val="tx1"/>
                  </w14:solidFill>
                </w14:textFill>
              </w:rPr>
            </w:pPr>
            <w:r>
              <w:rPr>
                <w:rFonts w:hint="eastAsia" w:eastAsia="宋体"/>
                <w:color w:val="000000" w:themeColor="text1"/>
                <w:lang w:val="en-US" w:eastAsia="zh-CN"/>
                <w14:textFill>
                  <w14:solidFill>
                    <w14:schemeClr w14:val="tx1"/>
                  </w14:solidFill>
                </w14:textFill>
              </w:rPr>
              <w:t>2.4</w:t>
            </w:r>
          </w:p>
        </w:tc>
        <w:tc>
          <w:tcPr>
            <w:tcW w:w="362" w:type="pct"/>
            <w:tcBorders>
              <w:bottom w:val="single" w:color="auto" w:sz="12" w:space="0"/>
            </w:tcBorders>
            <w:noWrap w:val="0"/>
            <w:vAlign w:val="center"/>
          </w:tcPr>
          <w:p w14:paraId="316A10DD">
            <w:pPr>
              <w:pStyle w:val="70"/>
              <w:autoSpaceDE w:val="0"/>
              <w:autoSpaceDN w:val="0"/>
              <w:rPr>
                <w:rFonts w:hint="eastAsia" w:eastAsia="宋体"/>
                <w:color w:val="000000" w:themeColor="text1"/>
                <w:lang w:val="en-US" w:eastAsia="zh-CN"/>
                <w14:textFill>
                  <w14:solidFill>
                    <w14:schemeClr w14:val="tx1"/>
                  </w14:solidFill>
                </w14:textFill>
              </w:rPr>
            </w:pPr>
            <w:r>
              <w:rPr>
                <w:rFonts w:hint="eastAsia" w:eastAsia="宋体"/>
                <w:color w:val="000000" w:themeColor="text1"/>
                <w:lang w:val="en-US" w:eastAsia="zh-CN"/>
                <w14:textFill>
                  <w14:solidFill>
                    <w14:schemeClr w14:val="tx1"/>
                  </w14:solidFill>
                </w14:textFill>
              </w:rPr>
              <w:t>2.3</w:t>
            </w:r>
          </w:p>
        </w:tc>
        <w:tc>
          <w:tcPr>
            <w:tcW w:w="363" w:type="pct"/>
            <w:tcBorders>
              <w:bottom w:val="single" w:color="auto" w:sz="12" w:space="0"/>
            </w:tcBorders>
            <w:noWrap w:val="0"/>
            <w:vAlign w:val="center"/>
          </w:tcPr>
          <w:p w14:paraId="3B66E1E8">
            <w:pPr>
              <w:pStyle w:val="70"/>
              <w:autoSpaceDE w:val="0"/>
              <w:autoSpaceDN w:val="0"/>
              <w:rPr>
                <w:rFonts w:hint="eastAsia" w:eastAsia="宋体"/>
                <w:color w:val="000000" w:themeColor="text1"/>
                <w:lang w:val="en-US" w:eastAsia="zh-CN"/>
                <w14:textFill>
                  <w14:solidFill>
                    <w14:schemeClr w14:val="tx1"/>
                  </w14:solidFill>
                </w14:textFill>
              </w:rPr>
            </w:pPr>
            <w:r>
              <w:rPr>
                <w:rFonts w:hint="eastAsia" w:eastAsia="宋体"/>
                <w:color w:val="000000" w:themeColor="text1"/>
                <w:lang w:val="en-US" w:eastAsia="zh-CN"/>
                <w14:textFill>
                  <w14:solidFill>
                    <w14:schemeClr w14:val="tx1"/>
                  </w14:solidFill>
                </w14:textFill>
              </w:rPr>
              <w:t>2.2</w:t>
            </w:r>
          </w:p>
        </w:tc>
        <w:tc>
          <w:tcPr>
            <w:tcW w:w="363" w:type="pct"/>
            <w:tcBorders>
              <w:bottom w:val="single" w:color="auto" w:sz="12" w:space="0"/>
            </w:tcBorders>
            <w:noWrap w:val="0"/>
            <w:vAlign w:val="center"/>
          </w:tcPr>
          <w:p w14:paraId="6D9A8127">
            <w:pPr>
              <w:pStyle w:val="70"/>
              <w:autoSpaceDE w:val="0"/>
              <w:autoSpaceDN w:val="0"/>
              <w:rPr>
                <w:rFonts w:hint="eastAsia" w:eastAsia="宋体"/>
                <w:color w:val="000000" w:themeColor="text1"/>
                <w:lang w:val="en-US" w:eastAsia="zh-CN"/>
                <w14:textFill>
                  <w14:solidFill>
                    <w14:schemeClr w14:val="tx1"/>
                  </w14:solidFill>
                </w14:textFill>
              </w:rPr>
            </w:pPr>
            <w:r>
              <w:rPr>
                <w:rFonts w:hint="eastAsia" w:eastAsia="宋体"/>
                <w:color w:val="000000" w:themeColor="text1"/>
                <w:lang w:val="en-US" w:eastAsia="zh-CN"/>
                <w14:textFill>
                  <w14:solidFill>
                    <w14:schemeClr w14:val="tx1"/>
                  </w14:solidFill>
                </w14:textFill>
              </w:rPr>
              <w:t>2.3</w:t>
            </w:r>
          </w:p>
        </w:tc>
        <w:tc>
          <w:tcPr>
            <w:tcW w:w="363" w:type="pct"/>
            <w:tcBorders>
              <w:bottom w:val="single" w:color="auto" w:sz="12" w:space="0"/>
            </w:tcBorders>
            <w:noWrap w:val="0"/>
            <w:vAlign w:val="center"/>
          </w:tcPr>
          <w:p w14:paraId="4669F18E">
            <w:pPr>
              <w:pStyle w:val="70"/>
              <w:autoSpaceDE w:val="0"/>
              <w:autoSpaceDN w:val="0"/>
              <w:rPr>
                <w:rFonts w:hint="eastAsia" w:eastAsia="宋体"/>
                <w:color w:val="000000" w:themeColor="text1"/>
                <w:lang w:val="en-US" w:eastAsia="zh-CN"/>
                <w14:textFill>
                  <w14:solidFill>
                    <w14:schemeClr w14:val="tx1"/>
                  </w14:solidFill>
                </w14:textFill>
              </w:rPr>
            </w:pPr>
            <w:r>
              <w:rPr>
                <w:rFonts w:hint="eastAsia" w:eastAsia="宋体"/>
                <w:color w:val="000000" w:themeColor="text1"/>
                <w:lang w:val="en-US" w:eastAsia="zh-CN"/>
                <w14:textFill>
                  <w14:solidFill>
                    <w14:schemeClr w14:val="tx1"/>
                  </w14:solidFill>
                </w14:textFill>
              </w:rPr>
              <w:t>2.4</w:t>
            </w:r>
          </w:p>
        </w:tc>
        <w:tc>
          <w:tcPr>
            <w:tcW w:w="363" w:type="pct"/>
            <w:tcBorders>
              <w:bottom w:val="single" w:color="auto" w:sz="12" w:space="0"/>
            </w:tcBorders>
            <w:noWrap w:val="0"/>
            <w:vAlign w:val="center"/>
          </w:tcPr>
          <w:p w14:paraId="75B873BC">
            <w:pPr>
              <w:pStyle w:val="70"/>
              <w:autoSpaceDE w:val="0"/>
              <w:autoSpaceDN w:val="0"/>
              <w:rPr>
                <w:rFonts w:hint="eastAsia" w:eastAsia="宋体"/>
                <w:color w:val="000000" w:themeColor="text1"/>
                <w:lang w:val="en-US" w:eastAsia="zh-CN"/>
                <w14:textFill>
                  <w14:solidFill>
                    <w14:schemeClr w14:val="tx1"/>
                  </w14:solidFill>
                </w14:textFill>
              </w:rPr>
            </w:pPr>
            <w:r>
              <w:rPr>
                <w:rFonts w:hint="eastAsia" w:eastAsia="宋体"/>
                <w:color w:val="000000" w:themeColor="text1"/>
                <w:lang w:val="en-US" w:eastAsia="zh-CN"/>
                <w14:textFill>
                  <w14:solidFill>
                    <w14:schemeClr w14:val="tx1"/>
                  </w14:solidFill>
                </w14:textFill>
              </w:rPr>
              <w:t>2.2</w:t>
            </w:r>
          </w:p>
        </w:tc>
        <w:tc>
          <w:tcPr>
            <w:tcW w:w="363" w:type="pct"/>
            <w:tcBorders>
              <w:bottom w:val="single" w:color="auto" w:sz="12" w:space="0"/>
            </w:tcBorders>
            <w:noWrap w:val="0"/>
            <w:vAlign w:val="center"/>
          </w:tcPr>
          <w:p w14:paraId="64F564A7">
            <w:pPr>
              <w:pStyle w:val="70"/>
              <w:autoSpaceDE w:val="0"/>
              <w:autoSpaceDN w:val="0"/>
              <w:rPr>
                <w:rFonts w:hint="eastAsia" w:eastAsia="宋体"/>
                <w:color w:val="000000" w:themeColor="text1"/>
                <w:lang w:val="en-US" w:eastAsia="zh-CN"/>
                <w14:textFill>
                  <w14:solidFill>
                    <w14:schemeClr w14:val="tx1"/>
                  </w14:solidFill>
                </w14:textFill>
              </w:rPr>
            </w:pPr>
            <w:r>
              <w:rPr>
                <w:rFonts w:hint="eastAsia" w:eastAsia="宋体"/>
                <w:color w:val="000000" w:themeColor="text1"/>
                <w:lang w:val="en-US" w:eastAsia="zh-CN"/>
                <w14:textFill>
                  <w14:solidFill>
                    <w14:schemeClr w14:val="tx1"/>
                  </w14:solidFill>
                </w14:textFill>
              </w:rPr>
              <w:t>2.2</w:t>
            </w:r>
          </w:p>
        </w:tc>
        <w:tc>
          <w:tcPr>
            <w:tcW w:w="363" w:type="pct"/>
            <w:tcBorders>
              <w:bottom w:val="single" w:color="auto" w:sz="12" w:space="0"/>
            </w:tcBorders>
            <w:noWrap w:val="0"/>
            <w:vAlign w:val="center"/>
          </w:tcPr>
          <w:p w14:paraId="7A885252">
            <w:pPr>
              <w:pStyle w:val="70"/>
              <w:autoSpaceDE w:val="0"/>
              <w:autoSpaceDN w:val="0"/>
              <w:rPr>
                <w:rFonts w:hint="eastAsia" w:eastAsia="宋体"/>
                <w:color w:val="000000" w:themeColor="text1"/>
                <w:lang w:val="en-US" w:eastAsia="zh-CN"/>
                <w14:textFill>
                  <w14:solidFill>
                    <w14:schemeClr w14:val="tx1"/>
                  </w14:solidFill>
                </w14:textFill>
              </w:rPr>
            </w:pPr>
            <w:r>
              <w:rPr>
                <w:rFonts w:hint="eastAsia" w:eastAsia="宋体"/>
                <w:color w:val="000000" w:themeColor="text1"/>
                <w:lang w:val="en-US" w:eastAsia="zh-CN"/>
                <w14:textFill>
                  <w14:solidFill>
                    <w14:schemeClr w14:val="tx1"/>
                  </w14:solidFill>
                </w14:textFill>
              </w:rPr>
              <w:t>1.9</w:t>
            </w:r>
          </w:p>
        </w:tc>
        <w:tc>
          <w:tcPr>
            <w:tcW w:w="363" w:type="pct"/>
            <w:tcBorders>
              <w:bottom w:val="single" w:color="auto" w:sz="12" w:space="0"/>
            </w:tcBorders>
            <w:noWrap w:val="0"/>
            <w:vAlign w:val="center"/>
          </w:tcPr>
          <w:p w14:paraId="09D667C7">
            <w:pPr>
              <w:pStyle w:val="70"/>
              <w:autoSpaceDE w:val="0"/>
              <w:autoSpaceDN w:val="0"/>
              <w:rPr>
                <w:rFonts w:hint="eastAsia" w:eastAsia="宋体"/>
                <w:color w:val="000000" w:themeColor="text1"/>
                <w:lang w:val="en-US" w:eastAsia="zh-CN"/>
                <w14:textFill>
                  <w14:solidFill>
                    <w14:schemeClr w14:val="tx1"/>
                  </w14:solidFill>
                </w14:textFill>
              </w:rPr>
            </w:pPr>
            <w:r>
              <w:rPr>
                <w:rFonts w:hint="eastAsia" w:eastAsia="宋体"/>
                <w:color w:val="000000" w:themeColor="text1"/>
                <w:lang w:val="en-US" w:eastAsia="zh-CN"/>
                <w14:textFill>
                  <w14:solidFill>
                    <w14:schemeClr w14:val="tx1"/>
                  </w14:solidFill>
                </w14:textFill>
              </w:rPr>
              <w:t>2.1</w:t>
            </w:r>
          </w:p>
        </w:tc>
        <w:tc>
          <w:tcPr>
            <w:tcW w:w="363" w:type="pct"/>
            <w:tcBorders>
              <w:bottom w:val="single" w:color="auto" w:sz="12" w:space="0"/>
            </w:tcBorders>
            <w:noWrap w:val="0"/>
            <w:vAlign w:val="center"/>
          </w:tcPr>
          <w:p w14:paraId="2DAC4292">
            <w:pPr>
              <w:pStyle w:val="70"/>
              <w:autoSpaceDE w:val="0"/>
              <w:autoSpaceDN w:val="0"/>
              <w:rPr>
                <w:rFonts w:hint="eastAsia" w:eastAsia="宋体"/>
                <w:color w:val="000000" w:themeColor="text1"/>
                <w:lang w:val="en-US" w:eastAsia="zh-CN"/>
                <w14:textFill>
                  <w14:solidFill>
                    <w14:schemeClr w14:val="tx1"/>
                  </w14:solidFill>
                </w14:textFill>
              </w:rPr>
            </w:pPr>
            <w:r>
              <w:rPr>
                <w:rFonts w:hint="eastAsia" w:eastAsia="宋体"/>
                <w:color w:val="000000" w:themeColor="text1"/>
                <w:lang w:val="en-US" w:eastAsia="zh-CN"/>
                <w14:textFill>
                  <w14:solidFill>
                    <w14:schemeClr w14:val="tx1"/>
                  </w14:solidFill>
                </w14:textFill>
              </w:rPr>
              <w:t>2.3</w:t>
            </w:r>
          </w:p>
        </w:tc>
        <w:tc>
          <w:tcPr>
            <w:tcW w:w="363" w:type="pct"/>
            <w:tcBorders>
              <w:bottom w:val="single" w:color="auto" w:sz="12" w:space="0"/>
            </w:tcBorders>
            <w:noWrap w:val="0"/>
            <w:vAlign w:val="center"/>
          </w:tcPr>
          <w:p w14:paraId="1ED85F65">
            <w:pPr>
              <w:pStyle w:val="70"/>
              <w:autoSpaceDE w:val="0"/>
              <w:autoSpaceDN w:val="0"/>
              <w:rPr>
                <w:rFonts w:hint="eastAsia" w:eastAsia="宋体"/>
                <w:color w:val="000000" w:themeColor="text1"/>
                <w:lang w:val="en-US" w:eastAsia="zh-CN"/>
                <w14:textFill>
                  <w14:solidFill>
                    <w14:schemeClr w14:val="tx1"/>
                  </w14:solidFill>
                </w14:textFill>
              </w:rPr>
            </w:pPr>
            <w:r>
              <w:rPr>
                <w:rFonts w:hint="eastAsia" w:eastAsia="宋体"/>
                <w:color w:val="000000" w:themeColor="text1"/>
                <w:lang w:val="en-US" w:eastAsia="zh-CN"/>
                <w14:textFill>
                  <w14:solidFill>
                    <w14:schemeClr w14:val="tx1"/>
                  </w14:solidFill>
                </w14:textFill>
              </w:rPr>
              <w:t>2.3</w:t>
            </w:r>
          </w:p>
        </w:tc>
        <w:tc>
          <w:tcPr>
            <w:tcW w:w="361" w:type="pct"/>
            <w:tcBorders>
              <w:bottom w:val="single" w:color="auto" w:sz="12" w:space="0"/>
              <w:right w:val="single" w:color="auto" w:sz="12" w:space="0"/>
            </w:tcBorders>
            <w:noWrap w:val="0"/>
            <w:vAlign w:val="center"/>
          </w:tcPr>
          <w:p w14:paraId="6703ACB0">
            <w:pPr>
              <w:pStyle w:val="70"/>
              <w:autoSpaceDE w:val="0"/>
              <w:autoSpaceDN w:val="0"/>
              <w:rPr>
                <w:rFonts w:hint="eastAsia" w:eastAsia="宋体"/>
                <w:color w:val="000000" w:themeColor="text1"/>
                <w:lang w:val="en-US" w:eastAsia="zh-CN"/>
                <w14:textFill>
                  <w14:solidFill>
                    <w14:schemeClr w14:val="tx1"/>
                  </w14:solidFill>
                </w14:textFill>
              </w:rPr>
            </w:pPr>
            <w:r>
              <w:rPr>
                <w:rFonts w:hint="eastAsia" w:eastAsia="宋体"/>
                <w:color w:val="000000" w:themeColor="text1"/>
                <w:lang w:val="en-US" w:eastAsia="zh-CN"/>
                <w14:textFill>
                  <w14:solidFill>
                    <w14:schemeClr w14:val="tx1"/>
                  </w14:solidFill>
                </w14:textFill>
              </w:rPr>
              <w:t>2.5</w:t>
            </w:r>
          </w:p>
        </w:tc>
      </w:tr>
    </w:tbl>
    <w:p w14:paraId="208C1658">
      <w:pPr>
        <w:ind w:firstLine="480"/>
        <w:rPr>
          <w:rFonts w:ascii="Times New Roman" w:hAnsi="Times New Roman" w:eastAsia="宋体"/>
          <w:color w:val="000000" w:themeColor="text1"/>
          <w:spacing w:val="0"/>
          <w:w w:val="100"/>
          <w:position w:val="0"/>
          <w:u w:val="none" w:color="auto"/>
          <w14:textFill>
            <w14:solidFill>
              <w14:schemeClr w14:val="tx1"/>
            </w14:solidFill>
          </w14:textFill>
        </w:rPr>
      </w:pPr>
      <w:r>
        <w:rPr>
          <w:rFonts w:ascii="Times New Roman" w:hAnsi="Times New Roman" w:eastAsia="宋体"/>
          <w:color w:val="000000" w:themeColor="text1"/>
          <w:spacing w:val="0"/>
          <w:w w:val="100"/>
          <w:position w:val="0"/>
          <w:u w:val="none" w:color="auto"/>
          <w14:textFill>
            <w14:solidFill>
              <w14:schemeClr w14:val="tx1"/>
            </w14:solidFill>
          </w14:textFill>
        </w:rPr>
        <w:t>（4）多年风向特征</w:t>
      </w:r>
    </w:p>
    <w:p w14:paraId="0893E909">
      <w:pPr>
        <w:ind w:firstLine="480"/>
        <w:rPr>
          <w:rFonts w:ascii="Times New Roman" w:hAnsi="Times New Roman" w:eastAsia="宋体"/>
          <w:color w:val="000000" w:themeColor="text1"/>
          <w:spacing w:val="0"/>
          <w:w w:val="100"/>
          <w:position w:val="0"/>
          <w:u w:val="none" w:color="auto"/>
          <w14:textFill>
            <w14:solidFill>
              <w14:schemeClr w14:val="tx1"/>
            </w14:solidFill>
          </w14:textFill>
        </w:rPr>
      </w:pPr>
      <w:r>
        <w:rPr>
          <w:rFonts w:ascii="Times New Roman" w:hAnsi="Times New Roman" w:eastAsia="宋体"/>
          <w:color w:val="000000" w:themeColor="text1"/>
          <w:spacing w:val="0"/>
          <w:w w:val="100"/>
          <w:position w:val="0"/>
          <w:u w:val="none" w:color="auto"/>
          <w14:textFill>
            <w14:solidFill>
              <w14:schemeClr w14:val="tx1"/>
            </w14:solidFill>
          </w14:textFill>
        </w:rPr>
        <w:t>钦州市近20年资料分析的风向玫瑰图如图</w:t>
      </w:r>
      <w:r>
        <w:rPr>
          <w:rFonts w:hint="eastAsia" w:ascii="Times New Roman" w:hAnsi="Times New Roman" w:eastAsia="宋体"/>
          <w:color w:val="000000" w:themeColor="text1"/>
          <w:spacing w:val="0"/>
          <w:w w:val="100"/>
          <w:position w:val="0"/>
          <w:u w:val="none" w:color="auto"/>
          <w:lang w:val="en-US" w:eastAsia="zh-CN"/>
          <w14:textFill>
            <w14:solidFill>
              <w14:schemeClr w14:val="tx1"/>
            </w14:solidFill>
          </w14:textFill>
        </w:rPr>
        <w:t>4</w:t>
      </w:r>
      <w:r>
        <w:rPr>
          <w:rFonts w:ascii="Times New Roman" w:hAnsi="Times New Roman" w:eastAsia="宋体"/>
          <w:color w:val="000000" w:themeColor="text1"/>
          <w:spacing w:val="0"/>
          <w:w w:val="100"/>
          <w:position w:val="0"/>
          <w:u w:val="none" w:color="auto"/>
          <w14:textFill>
            <w14:solidFill>
              <w14:schemeClr w14:val="tx1"/>
            </w14:solidFill>
          </w14:textFill>
        </w:rPr>
        <w:t>.</w:t>
      </w:r>
      <w:r>
        <w:rPr>
          <w:rFonts w:hint="eastAsia" w:ascii="Times New Roman" w:hAnsi="Times New Roman" w:eastAsia="宋体"/>
          <w:color w:val="000000" w:themeColor="text1"/>
          <w:spacing w:val="0"/>
          <w:w w:val="100"/>
          <w:position w:val="0"/>
          <w:u w:val="none" w:color="auto"/>
          <w:lang w:val="en-US" w:eastAsia="zh-CN"/>
          <w14:textFill>
            <w14:solidFill>
              <w14:schemeClr w14:val="tx1"/>
            </w14:solidFill>
          </w14:textFill>
        </w:rPr>
        <w:t>7-</w:t>
      </w:r>
      <w:r>
        <w:rPr>
          <w:rFonts w:ascii="Times New Roman" w:hAnsi="Times New Roman" w:eastAsia="宋体"/>
          <w:color w:val="000000" w:themeColor="text1"/>
          <w:spacing w:val="0"/>
          <w:w w:val="100"/>
          <w:position w:val="0"/>
          <w:u w:val="none" w:color="auto"/>
          <w14:textFill>
            <w14:solidFill>
              <w14:schemeClr w14:val="tx1"/>
            </w14:solidFill>
          </w14:textFill>
        </w:rPr>
        <w:t>3所示，钦州市主要风向为N、NNE、NNW，共占38.0%；详细多年风向频率统计见表</w:t>
      </w:r>
      <w:r>
        <w:rPr>
          <w:rFonts w:hint="eastAsia" w:ascii="Times New Roman" w:hAnsi="Times New Roman" w:eastAsia="宋体"/>
          <w:color w:val="000000" w:themeColor="text1"/>
          <w:spacing w:val="0"/>
          <w:w w:val="100"/>
          <w:position w:val="0"/>
          <w:u w:val="none" w:color="auto"/>
          <w:lang w:val="en-US" w:eastAsia="zh-CN"/>
          <w14:textFill>
            <w14:solidFill>
              <w14:schemeClr w14:val="tx1"/>
            </w14:solidFill>
          </w14:textFill>
        </w:rPr>
        <w:t>4</w:t>
      </w:r>
      <w:r>
        <w:rPr>
          <w:rFonts w:ascii="Times New Roman" w:hAnsi="Times New Roman" w:eastAsia="宋体"/>
          <w:color w:val="000000" w:themeColor="text1"/>
          <w:spacing w:val="0"/>
          <w:w w:val="100"/>
          <w:position w:val="0"/>
          <w:u w:val="none" w:color="auto"/>
          <w14:textFill>
            <w14:solidFill>
              <w14:schemeClr w14:val="tx1"/>
            </w14:solidFill>
          </w14:textFill>
        </w:rPr>
        <w:t>.</w:t>
      </w:r>
      <w:r>
        <w:rPr>
          <w:rFonts w:hint="eastAsia" w:eastAsia="宋体"/>
          <w:color w:val="000000" w:themeColor="text1"/>
          <w:spacing w:val="0"/>
          <w:w w:val="100"/>
          <w:position w:val="0"/>
          <w:u w:val="none" w:color="auto"/>
          <w:lang w:val="en-US" w:eastAsia="zh-CN"/>
          <w14:textFill>
            <w14:solidFill>
              <w14:schemeClr w14:val="tx1"/>
            </w14:solidFill>
          </w14:textFill>
        </w:rPr>
        <w:t>3</w:t>
      </w:r>
      <w:r>
        <w:rPr>
          <w:rFonts w:hint="eastAsia" w:ascii="Times New Roman" w:hAnsi="Times New Roman" w:eastAsia="宋体"/>
          <w:color w:val="000000" w:themeColor="text1"/>
          <w:spacing w:val="0"/>
          <w:w w:val="100"/>
          <w:position w:val="0"/>
          <w:u w:val="none" w:color="auto"/>
          <w:lang w:val="en-US" w:eastAsia="zh-CN"/>
          <w14:textFill>
            <w14:solidFill>
              <w14:schemeClr w14:val="tx1"/>
            </w14:solidFill>
          </w14:textFill>
        </w:rPr>
        <w:t>-3</w:t>
      </w:r>
      <w:r>
        <w:rPr>
          <w:rFonts w:ascii="Times New Roman" w:hAnsi="Times New Roman" w:eastAsia="宋体"/>
          <w:color w:val="000000" w:themeColor="text1"/>
          <w:spacing w:val="0"/>
          <w:w w:val="100"/>
          <w:position w:val="0"/>
          <w:u w:val="none" w:color="auto"/>
          <w14:textFill>
            <w14:solidFill>
              <w14:schemeClr w14:val="tx1"/>
            </w14:solidFill>
          </w14:textFill>
        </w:rPr>
        <w:t>。</w:t>
      </w:r>
    </w:p>
    <w:p w14:paraId="2A082FE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ascii="Times New Roman" w:hAnsi="Times New Roman" w:eastAsia="宋体"/>
          <w:color w:val="000000" w:themeColor="text1"/>
          <w:spacing w:val="0"/>
          <w:w w:val="100"/>
          <w:position w:val="0"/>
          <w:u w:val="none" w:color="auto"/>
          <w14:textFill>
            <w14:solidFill>
              <w14:schemeClr w14:val="tx1"/>
            </w14:solidFill>
          </w14:textFill>
        </w:rPr>
      </w:pPr>
      <w:r>
        <w:rPr>
          <w:rFonts w:ascii="Times New Roman" w:hAnsi="Times New Roman" w:eastAsia="宋体"/>
          <w:color w:val="000000" w:themeColor="text1"/>
          <w:spacing w:val="0"/>
          <w:w w:val="100"/>
          <w:position w:val="0"/>
          <w:u w:val="none" w:color="auto"/>
          <w14:textFill>
            <w14:solidFill>
              <w14:schemeClr w14:val="tx1"/>
            </w14:solidFill>
          </w14:textFill>
        </w:rPr>
        <w:drawing>
          <wp:inline distT="0" distB="0" distL="114300" distR="114300">
            <wp:extent cx="4055745" cy="3712845"/>
            <wp:effectExtent l="0" t="0" r="13335" b="5715"/>
            <wp:docPr id="18"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39"/>
                    <pic:cNvPicPr>
                      <a:picLocks noChangeAspect="1"/>
                    </pic:cNvPicPr>
                  </pic:nvPicPr>
                  <pic:blipFill>
                    <a:blip r:embed="rId80"/>
                    <a:stretch>
                      <a:fillRect/>
                    </a:stretch>
                  </pic:blipFill>
                  <pic:spPr>
                    <a:xfrm>
                      <a:off x="0" y="0"/>
                      <a:ext cx="4055745" cy="3712845"/>
                    </a:xfrm>
                    <a:prstGeom prst="rect">
                      <a:avLst/>
                    </a:prstGeom>
                    <a:noFill/>
                    <a:ln>
                      <a:noFill/>
                    </a:ln>
                  </pic:spPr>
                </pic:pic>
              </a:graphicData>
            </a:graphic>
          </wp:inline>
        </w:drawing>
      </w:r>
    </w:p>
    <w:p w14:paraId="71DB6728">
      <w:pPr>
        <w:pStyle w:val="8"/>
        <w:rPr>
          <w:rFonts w:hint="eastAsia" w:eastAsia="宋体"/>
          <w:color w:val="000000" w:themeColor="text1"/>
          <w14:textFill>
            <w14:solidFill>
              <w14:schemeClr w14:val="tx1"/>
            </w14:solidFill>
          </w14:textFill>
        </w:rPr>
      </w:pPr>
      <w:r>
        <w:rPr>
          <w:rFonts w:hint="eastAsia" w:eastAsia="宋体"/>
          <w:color w:val="000000" w:themeColor="text1"/>
          <w14:textFill>
            <w14:solidFill>
              <w14:schemeClr w14:val="tx1"/>
            </w14:solidFill>
          </w14:textFill>
        </w:rPr>
        <w:t>钦州市多年风向频率统计图（2001~2020）</w:t>
      </w:r>
    </w:p>
    <w:p w14:paraId="2A854547">
      <w:pPr>
        <w:pStyle w:val="7"/>
        <w:tabs>
          <w:tab w:val="left" w:pos="2127"/>
          <w:tab w:val="left" w:pos="2411"/>
        </w:tabs>
        <w:rPr>
          <w:rFonts w:hint="eastAsia" w:eastAsia="宋体"/>
          <w:color w:val="000000" w:themeColor="text1"/>
          <w14:textFill>
            <w14:solidFill>
              <w14:schemeClr w14:val="tx1"/>
            </w14:solidFill>
          </w14:textFill>
        </w:rPr>
      </w:pPr>
      <w:r>
        <w:rPr>
          <w:rFonts w:hint="eastAsia" w:eastAsia="宋体"/>
          <w:color w:val="000000" w:themeColor="text1"/>
          <w14:textFill>
            <w14:solidFill>
              <w14:schemeClr w14:val="tx1"/>
            </w14:solidFill>
          </w14:textFill>
        </w:rPr>
        <w:t>钦州市气象站多年风向频率统计一览表 （单位：m/s）</w:t>
      </w:r>
    </w:p>
    <w:tbl>
      <w:tblPr>
        <w:tblStyle w:val="4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244"/>
        <w:gridCol w:w="483"/>
        <w:gridCol w:w="588"/>
        <w:gridCol w:w="378"/>
        <w:gridCol w:w="419"/>
        <w:gridCol w:w="483"/>
        <w:gridCol w:w="483"/>
        <w:gridCol w:w="483"/>
        <w:gridCol w:w="378"/>
        <w:gridCol w:w="483"/>
        <w:gridCol w:w="483"/>
        <w:gridCol w:w="483"/>
        <w:gridCol w:w="524"/>
        <w:gridCol w:w="483"/>
        <w:gridCol w:w="559"/>
        <w:gridCol w:w="378"/>
        <w:gridCol w:w="512"/>
        <w:gridCol w:w="493"/>
      </w:tblGrid>
      <w:tr w14:paraId="1CA94A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192" w:type="pct"/>
            <w:tcBorders>
              <w:top w:val="single" w:color="auto" w:sz="12" w:space="0"/>
              <w:left w:val="single" w:color="auto" w:sz="12" w:space="0"/>
            </w:tcBorders>
            <w:noWrap w:val="0"/>
            <w:vAlign w:val="center"/>
          </w:tcPr>
          <w:p w14:paraId="57ED11A4">
            <w:pPr>
              <w:pStyle w:val="70"/>
              <w:autoSpaceDE w:val="0"/>
              <w:autoSpaceDN w:val="0"/>
              <w:rPr>
                <w:rFonts w:hint="default" w:eastAsia="宋体"/>
                <w:color w:val="000000" w:themeColor="text1"/>
                <w:lang w:val="en-US" w:eastAsia="zh-CN"/>
                <w14:textFill>
                  <w14:solidFill>
                    <w14:schemeClr w14:val="tx1"/>
                  </w14:solidFill>
                </w14:textFill>
              </w:rPr>
            </w:pPr>
            <w:r>
              <w:rPr>
                <w:rFonts w:hint="default" w:eastAsia="宋体"/>
                <w:color w:val="000000" w:themeColor="text1"/>
                <w:lang w:val="en-US" w:eastAsia="zh-CN"/>
                <w14:textFill>
                  <w14:solidFill>
                    <w14:schemeClr w14:val="tx1"/>
                  </w14:solidFill>
                </w14:textFill>
              </w:rPr>
              <w:t>风向</w:t>
            </w:r>
          </w:p>
        </w:tc>
        <w:tc>
          <w:tcPr>
            <w:tcW w:w="288" w:type="pct"/>
            <w:tcBorders>
              <w:top w:val="single" w:color="auto" w:sz="12" w:space="0"/>
            </w:tcBorders>
            <w:noWrap w:val="0"/>
            <w:vAlign w:val="center"/>
          </w:tcPr>
          <w:p w14:paraId="610E0011">
            <w:pPr>
              <w:pStyle w:val="70"/>
              <w:autoSpaceDE w:val="0"/>
              <w:autoSpaceDN w:val="0"/>
              <w:rPr>
                <w:rFonts w:hint="default" w:eastAsia="宋体"/>
                <w:color w:val="000000" w:themeColor="text1"/>
                <w:lang w:val="en-US" w:eastAsia="zh-CN"/>
                <w14:textFill>
                  <w14:solidFill>
                    <w14:schemeClr w14:val="tx1"/>
                  </w14:solidFill>
                </w14:textFill>
              </w:rPr>
            </w:pPr>
            <w:r>
              <w:rPr>
                <w:rFonts w:hint="default" w:eastAsia="宋体"/>
                <w:color w:val="000000" w:themeColor="text1"/>
                <w:lang w:val="en-US" w:eastAsia="zh-CN"/>
                <w14:textFill>
                  <w14:solidFill>
                    <w14:schemeClr w14:val="tx1"/>
                  </w14:solidFill>
                </w14:textFill>
              </w:rPr>
              <w:t>NNE</w:t>
            </w:r>
          </w:p>
        </w:tc>
        <w:tc>
          <w:tcPr>
            <w:tcW w:w="326" w:type="pct"/>
            <w:tcBorders>
              <w:top w:val="single" w:color="auto" w:sz="12" w:space="0"/>
            </w:tcBorders>
            <w:noWrap w:val="0"/>
            <w:vAlign w:val="center"/>
          </w:tcPr>
          <w:p w14:paraId="35F2FAFB">
            <w:pPr>
              <w:pStyle w:val="70"/>
              <w:autoSpaceDE w:val="0"/>
              <w:autoSpaceDN w:val="0"/>
              <w:rPr>
                <w:rFonts w:hint="default" w:eastAsia="宋体"/>
                <w:color w:val="000000" w:themeColor="text1"/>
                <w:lang w:val="en-US" w:eastAsia="zh-CN"/>
                <w14:textFill>
                  <w14:solidFill>
                    <w14:schemeClr w14:val="tx1"/>
                  </w14:solidFill>
                </w14:textFill>
              </w:rPr>
            </w:pPr>
            <w:r>
              <w:rPr>
                <w:rFonts w:hint="default" w:eastAsia="宋体"/>
                <w:color w:val="000000" w:themeColor="text1"/>
                <w:lang w:val="en-US" w:eastAsia="zh-CN"/>
                <w14:textFill>
                  <w14:solidFill>
                    <w14:schemeClr w14:val="tx1"/>
                  </w14:solidFill>
                </w14:textFill>
              </w:rPr>
              <w:t>N</w:t>
            </w:r>
          </w:p>
        </w:tc>
        <w:tc>
          <w:tcPr>
            <w:tcW w:w="250" w:type="pct"/>
            <w:tcBorders>
              <w:top w:val="single" w:color="auto" w:sz="12" w:space="0"/>
            </w:tcBorders>
            <w:noWrap w:val="0"/>
            <w:vAlign w:val="center"/>
          </w:tcPr>
          <w:p w14:paraId="1C67ACB1">
            <w:pPr>
              <w:pStyle w:val="70"/>
              <w:autoSpaceDE w:val="0"/>
              <w:autoSpaceDN w:val="0"/>
              <w:rPr>
                <w:rFonts w:hint="default" w:eastAsia="宋体"/>
                <w:color w:val="000000" w:themeColor="text1"/>
                <w:lang w:val="en-US" w:eastAsia="zh-CN"/>
                <w14:textFill>
                  <w14:solidFill>
                    <w14:schemeClr w14:val="tx1"/>
                  </w14:solidFill>
                </w14:textFill>
              </w:rPr>
            </w:pPr>
            <w:r>
              <w:rPr>
                <w:rFonts w:hint="default" w:eastAsia="宋体"/>
                <w:color w:val="000000" w:themeColor="text1"/>
                <w:lang w:val="en-US" w:eastAsia="zh-CN"/>
                <w14:textFill>
                  <w14:solidFill>
                    <w14:schemeClr w14:val="tx1"/>
                  </w14:solidFill>
                </w14:textFill>
              </w:rPr>
              <w:t>NE</w:t>
            </w:r>
          </w:p>
        </w:tc>
        <w:tc>
          <w:tcPr>
            <w:tcW w:w="265" w:type="pct"/>
            <w:tcBorders>
              <w:top w:val="single" w:color="auto" w:sz="12" w:space="0"/>
            </w:tcBorders>
            <w:noWrap w:val="0"/>
            <w:vAlign w:val="center"/>
          </w:tcPr>
          <w:p w14:paraId="3B9683BE">
            <w:pPr>
              <w:pStyle w:val="70"/>
              <w:autoSpaceDE w:val="0"/>
              <w:autoSpaceDN w:val="0"/>
              <w:rPr>
                <w:rFonts w:hint="default" w:eastAsia="宋体"/>
                <w:color w:val="000000" w:themeColor="text1"/>
                <w:lang w:val="en-US" w:eastAsia="zh-CN"/>
                <w14:textFill>
                  <w14:solidFill>
                    <w14:schemeClr w14:val="tx1"/>
                  </w14:solidFill>
                </w14:textFill>
              </w:rPr>
            </w:pPr>
            <w:r>
              <w:rPr>
                <w:rFonts w:hint="default" w:eastAsia="宋体"/>
                <w:color w:val="000000" w:themeColor="text1"/>
                <w:lang w:val="en-US" w:eastAsia="zh-CN"/>
                <w14:textFill>
                  <w14:solidFill>
                    <w14:schemeClr w14:val="tx1"/>
                  </w14:solidFill>
                </w14:textFill>
              </w:rPr>
              <w:t>ENE</w:t>
            </w:r>
          </w:p>
        </w:tc>
        <w:tc>
          <w:tcPr>
            <w:tcW w:w="288" w:type="pct"/>
            <w:tcBorders>
              <w:top w:val="single" w:color="auto" w:sz="12" w:space="0"/>
            </w:tcBorders>
            <w:noWrap w:val="0"/>
            <w:vAlign w:val="center"/>
          </w:tcPr>
          <w:p w14:paraId="484EECD1">
            <w:pPr>
              <w:pStyle w:val="70"/>
              <w:autoSpaceDE w:val="0"/>
              <w:autoSpaceDN w:val="0"/>
              <w:rPr>
                <w:rFonts w:hint="default" w:eastAsia="宋体"/>
                <w:color w:val="000000" w:themeColor="text1"/>
                <w:lang w:val="en-US" w:eastAsia="zh-CN"/>
                <w14:textFill>
                  <w14:solidFill>
                    <w14:schemeClr w14:val="tx1"/>
                  </w14:solidFill>
                </w14:textFill>
              </w:rPr>
            </w:pPr>
            <w:r>
              <w:rPr>
                <w:rFonts w:hint="default" w:eastAsia="宋体"/>
                <w:color w:val="000000" w:themeColor="text1"/>
                <w:lang w:val="en-US" w:eastAsia="zh-CN"/>
                <w14:textFill>
                  <w14:solidFill>
                    <w14:schemeClr w14:val="tx1"/>
                  </w14:solidFill>
                </w14:textFill>
              </w:rPr>
              <w:t>E</w:t>
            </w:r>
          </w:p>
        </w:tc>
        <w:tc>
          <w:tcPr>
            <w:tcW w:w="288" w:type="pct"/>
            <w:tcBorders>
              <w:top w:val="single" w:color="auto" w:sz="12" w:space="0"/>
            </w:tcBorders>
            <w:noWrap w:val="0"/>
            <w:vAlign w:val="center"/>
          </w:tcPr>
          <w:p w14:paraId="5CD68AD3">
            <w:pPr>
              <w:pStyle w:val="70"/>
              <w:autoSpaceDE w:val="0"/>
              <w:autoSpaceDN w:val="0"/>
              <w:rPr>
                <w:rFonts w:hint="default" w:eastAsia="宋体"/>
                <w:color w:val="000000" w:themeColor="text1"/>
                <w:lang w:val="en-US" w:eastAsia="zh-CN"/>
                <w14:textFill>
                  <w14:solidFill>
                    <w14:schemeClr w14:val="tx1"/>
                  </w14:solidFill>
                </w14:textFill>
              </w:rPr>
            </w:pPr>
            <w:r>
              <w:rPr>
                <w:rFonts w:hint="default" w:eastAsia="宋体"/>
                <w:color w:val="000000" w:themeColor="text1"/>
                <w:lang w:val="en-US" w:eastAsia="zh-CN"/>
                <w14:textFill>
                  <w14:solidFill>
                    <w14:schemeClr w14:val="tx1"/>
                  </w14:solidFill>
                </w14:textFill>
              </w:rPr>
              <w:t>ESE</w:t>
            </w:r>
          </w:p>
        </w:tc>
        <w:tc>
          <w:tcPr>
            <w:tcW w:w="288" w:type="pct"/>
            <w:tcBorders>
              <w:top w:val="single" w:color="auto" w:sz="12" w:space="0"/>
            </w:tcBorders>
            <w:noWrap w:val="0"/>
            <w:vAlign w:val="center"/>
          </w:tcPr>
          <w:p w14:paraId="42FAF86D">
            <w:pPr>
              <w:pStyle w:val="70"/>
              <w:autoSpaceDE w:val="0"/>
              <w:autoSpaceDN w:val="0"/>
              <w:rPr>
                <w:rFonts w:hint="default" w:eastAsia="宋体"/>
                <w:color w:val="000000" w:themeColor="text1"/>
                <w:lang w:val="en-US" w:eastAsia="zh-CN"/>
                <w14:textFill>
                  <w14:solidFill>
                    <w14:schemeClr w14:val="tx1"/>
                  </w14:solidFill>
                </w14:textFill>
              </w:rPr>
            </w:pPr>
            <w:r>
              <w:rPr>
                <w:rFonts w:hint="default" w:eastAsia="宋体"/>
                <w:color w:val="000000" w:themeColor="text1"/>
                <w:lang w:val="en-US" w:eastAsia="zh-CN"/>
                <w14:textFill>
                  <w14:solidFill>
                    <w14:schemeClr w14:val="tx1"/>
                  </w14:solidFill>
                </w14:textFill>
              </w:rPr>
              <w:t>SE</w:t>
            </w:r>
          </w:p>
        </w:tc>
        <w:tc>
          <w:tcPr>
            <w:tcW w:w="250" w:type="pct"/>
            <w:tcBorders>
              <w:top w:val="single" w:color="auto" w:sz="12" w:space="0"/>
            </w:tcBorders>
            <w:noWrap w:val="0"/>
            <w:vAlign w:val="center"/>
          </w:tcPr>
          <w:p w14:paraId="4C12B5CA">
            <w:pPr>
              <w:pStyle w:val="70"/>
              <w:autoSpaceDE w:val="0"/>
              <w:autoSpaceDN w:val="0"/>
              <w:rPr>
                <w:rFonts w:hint="default" w:eastAsia="宋体"/>
                <w:color w:val="000000" w:themeColor="text1"/>
                <w:lang w:val="en-US" w:eastAsia="zh-CN"/>
                <w14:textFill>
                  <w14:solidFill>
                    <w14:schemeClr w14:val="tx1"/>
                  </w14:solidFill>
                </w14:textFill>
              </w:rPr>
            </w:pPr>
            <w:r>
              <w:rPr>
                <w:rFonts w:hint="default" w:eastAsia="宋体"/>
                <w:color w:val="000000" w:themeColor="text1"/>
                <w:lang w:val="en-US" w:eastAsia="zh-CN"/>
                <w14:textFill>
                  <w14:solidFill>
                    <w14:schemeClr w14:val="tx1"/>
                  </w14:solidFill>
                </w14:textFill>
              </w:rPr>
              <w:t>SSE</w:t>
            </w:r>
          </w:p>
        </w:tc>
        <w:tc>
          <w:tcPr>
            <w:tcW w:w="288" w:type="pct"/>
            <w:tcBorders>
              <w:top w:val="single" w:color="auto" w:sz="12" w:space="0"/>
            </w:tcBorders>
            <w:noWrap w:val="0"/>
            <w:vAlign w:val="center"/>
          </w:tcPr>
          <w:p w14:paraId="46A4AA2A">
            <w:pPr>
              <w:pStyle w:val="70"/>
              <w:autoSpaceDE w:val="0"/>
              <w:autoSpaceDN w:val="0"/>
              <w:rPr>
                <w:rFonts w:hint="default" w:eastAsia="宋体"/>
                <w:color w:val="000000" w:themeColor="text1"/>
                <w:lang w:val="en-US" w:eastAsia="zh-CN"/>
                <w14:textFill>
                  <w14:solidFill>
                    <w14:schemeClr w14:val="tx1"/>
                  </w14:solidFill>
                </w14:textFill>
              </w:rPr>
            </w:pPr>
            <w:r>
              <w:rPr>
                <w:rFonts w:hint="default" w:eastAsia="宋体"/>
                <w:color w:val="000000" w:themeColor="text1"/>
                <w:lang w:val="en-US" w:eastAsia="zh-CN"/>
                <w14:textFill>
                  <w14:solidFill>
                    <w14:schemeClr w14:val="tx1"/>
                  </w14:solidFill>
                </w14:textFill>
              </w:rPr>
              <w:t>S</w:t>
            </w:r>
          </w:p>
        </w:tc>
        <w:tc>
          <w:tcPr>
            <w:tcW w:w="288" w:type="pct"/>
            <w:tcBorders>
              <w:top w:val="single" w:color="auto" w:sz="12" w:space="0"/>
            </w:tcBorders>
            <w:noWrap w:val="0"/>
            <w:vAlign w:val="center"/>
          </w:tcPr>
          <w:p w14:paraId="576DC5E0">
            <w:pPr>
              <w:pStyle w:val="70"/>
              <w:autoSpaceDE w:val="0"/>
              <w:autoSpaceDN w:val="0"/>
              <w:rPr>
                <w:rFonts w:hint="default" w:eastAsia="宋体"/>
                <w:color w:val="000000" w:themeColor="text1"/>
                <w:lang w:val="en-US" w:eastAsia="zh-CN"/>
                <w14:textFill>
                  <w14:solidFill>
                    <w14:schemeClr w14:val="tx1"/>
                  </w14:solidFill>
                </w14:textFill>
              </w:rPr>
            </w:pPr>
            <w:r>
              <w:rPr>
                <w:rFonts w:hint="default" w:eastAsia="宋体"/>
                <w:color w:val="000000" w:themeColor="text1"/>
                <w:lang w:val="en-US" w:eastAsia="zh-CN"/>
                <w14:textFill>
                  <w14:solidFill>
                    <w14:schemeClr w14:val="tx1"/>
                  </w14:solidFill>
                </w14:textFill>
              </w:rPr>
              <w:t>SSW</w:t>
            </w:r>
          </w:p>
        </w:tc>
        <w:tc>
          <w:tcPr>
            <w:tcW w:w="288" w:type="pct"/>
            <w:tcBorders>
              <w:top w:val="single" w:color="auto" w:sz="12" w:space="0"/>
            </w:tcBorders>
            <w:noWrap w:val="0"/>
            <w:vAlign w:val="center"/>
          </w:tcPr>
          <w:p w14:paraId="6243EADB">
            <w:pPr>
              <w:pStyle w:val="70"/>
              <w:autoSpaceDE w:val="0"/>
              <w:autoSpaceDN w:val="0"/>
              <w:rPr>
                <w:rFonts w:hint="default" w:eastAsia="宋体"/>
                <w:color w:val="000000" w:themeColor="text1"/>
                <w:lang w:val="en-US" w:eastAsia="zh-CN"/>
                <w14:textFill>
                  <w14:solidFill>
                    <w14:schemeClr w14:val="tx1"/>
                  </w14:solidFill>
                </w14:textFill>
              </w:rPr>
            </w:pPr>
            <w:r>
              <w:rPr>
                <w:rFonts w:hint="default" w:eastAsia="宋体"/>
                <w:color w:val="000000" w:themeColor="text1"/>
                <w:lang w:val="en-US" w:eastAsia="zh-CN"/>
                <w14:textFill>
                  <w14:solidFill>
                    <w14:schemeClr w14:val="tx1"/>
                  </w14:solidFill>
                </w14:textFill>
              </w:rPr>
              <w:t>SW</w:t>
            </w:r>
          </w:p>
        </w:tc>
        <w:tc>
          <w:tcPr>
            <w:tcW w:w="288" w:type="pct"/>
            <w:tcBorders>
              <w:top w:val="single" w:color="auto" w:sz="12" w:space="0"/>
            </w:tcBorders>
            <w:noWrap w:val="0"/>
            <w:vAlign w:val="center"/>
          </w:tcPr>
          <w:p w14:paraId="78661BE5">
            <w:pPr>
              <w:pStyle w:val="70"/>
              <w:autoSpaceDE w:val="0"/>
              <w:autoSpaceDN w:val="0"/>
              <w:rPr>
                <w:rFonts w:hint="default" w:eastAsia="宋体"/>
                <w:color w:val="000000" w:themeColor="text1"/>
                <w:lang w:val="en-US" w:eastAsia="zh-CN"/>
                <w14:textFill>
                  <w14:solidFill>
                    <w14:schemeClr w14:val="tx1"/>
                  </w14:solidFill>
                </w14:textFill>
              </w:rPr>
            </w:pPr>
            <w:r>
              <w:rPr>
                <w:rFonts w:hint="default" w:eastAsia="宋体"/>
                <w:color w:val="000000" w:themeColor="text1"/>
                <w:lang w:val="en-US" w:eastAsia="zh-CN"/>
                <w14:textFill>
                  <w14:solidFill>
                    <w14:schemeClr w14:val="tx1"/>
                  </w14:solidFill>
                </w14:textFill>
              </w:rPr>
              <w:t>WSW</w:t>
            </w:r>
          </w:p>
        </w:tc>
        <w:tc>
          <w:tcPr>
            <w:tcW w:w="288" w:type="pct"/>
            <w:tcBorders>
              <w:top w:val="single" w:color="auto" w:sz="12" w:space="0"/>
            </w:tcBorders>
            <w:noWrap w:val="0"/>
            <w:vAlign w:val="center"/>
          </w:tcPr>
          <w:p w14:paraId="74968DC2">
            <w:pPr>
              <w:pStyle w:val="70"/>
              <w:autoSpaceDE w:val="0"/>
              <w:autoSpaceDN w:val="0"/>
              <w:rPr>
                <w:rFonts w:hint="default" w:eastAsia="宋体"/>
                <w:color w:val="000000" w:themeColor="text1"/>
                <w:lang w:val="en-US" w:eastAsia="zh-CN"/>
                <w14:textFill>
                  <w14:solidFill>
                    <w14:schemeClr w14:val="tx1"/>
                  </w14:solidFill>
                </w14:textFill>
              </w:rPr>
            </w:pPr>
            <w:r>
              <w:rPr>
                <w:rFonts w:hint="default" w:eastAsia="宋体"/>
                <w:color w:val="000000" w:themeColor="text1"/>
                <w:lang w:val="en-US" w:eastAsia="zh-CN"/>
                <w14:textFill>
                  <w14:solidFill>
                    <w14:schemeClr w14:val="tx1"/>
                  </w14:solidFill>
                </w14:textFill>
              </w:rPr>
              <w:t>W</w:t>
            </w:r>
          </w:p>
        </w:tc>
        <w:tc>
          <w:tcPr>
            <w:tcW w:w="288" w:type="pct"/>
            <w:tcBorders>
              <w:top w:val="single" w:color="auto" w:sz="12" w:space="0"/>
            </w:tcBorders>
            <w:noWrap w:val="0"/>
            <w:vAlign w:val="center"/>
          </w:tcPr>
          <w:p w14:paraId="351FF7D5">
            <w:pPr>
              <w:pStyle w:val="70"/>
              <w:autoSpaceDE w:val="0"/>
              <w:autoSpaceDN w:val="0"/>
              <w:rPr>
                <w:rFonts w:hint="default" w:eastAsia="宋体"/>
                <w:color w:val="000000" w:themeColor="text1"/>
                <w:lang w:val="en-US" w:eastAsia="zh-CN"/>
                <w14:textFill>
                  <w14:solidFill>
                    <w14:schemeClr w14:val="tx1"/>
                  </w14:solidFill>
                </w14:textFill>
              </w:rPr>
            </w:pPr>
            <w:r>
              <w:rPr>
                <w:rFonts w:hint="default" w:eastAsia="宋体"/>
                <w:color w:val="000000" w:themeColor="text1"/>
                <w:lang w:val="en-US" w:eastAsia="zh-CN"/>
                <w14:textFill>
                  <w14:solidFill>
                    <w14:schemeClr w14:val="tx1"/>
                  </w14:solidFill>
                </w14:textFill>
              </w:rPr>
              <w:t>WNW</w:t>
            </w:r>
          </w:p>
        </w:tc>
        <w:tc>
          <w:tcPr>
            <w:tcW w:w="250" w:type="pct"/>
            <w:tcBorders>
              <w:top w:val="single" w:color="auto" w:sz="12" w:space="0"/>
            </w:tcBorders>
            <w:noWrap w:val="0"/>
            <w:vAlign w:val="center"/>
          </w:tcPr>
          <w:p w14:paraId="3B3DD93D">
            <w:pPr>
              <w:pStyle w:val="70"/>
              <w:autoSpaceDE w:val="0"/>
              <w:autoSpaceDN w:val="0"/>
              <w:rPr>
                <w:rFonts w:hint="default" w:eastAsia="宋体"/>
                <w:color w:val="000000" w:themeColor="text1"/>
                <w:lang w:val="en-US" w:eastAsia="zh-CN"/>
                <w14:textFill>
                  <w14:solidFill>
                    <w14:schemeClr w14:val="tx1"/>
                  </w14:solidFill>
                </w14:textFill>
              </w:rPr>
            </w:pPr>
            <w:r>
              <w:rPr>
                <w:rFonts w:hint="default" w:eastAsia="宋体"/>
                <w:color w:val="000000" w:themeColor="text1"/>
                <w:lang w:val="en-US" w:eastAsia="zh-CN"/>
                <w14:textFill>
                  <w14:solidFill>
                    <w14:schemeClr w14:val="tx1"/>
                  </w14:solidFill>
                </w14:textFill>
              </w:rPr>
              <w:t>NW</w:t>
            </w:r>
          </w:p>
        </w:tc>
        <w:tc>
          <w:tcPr>
            <w:tcW w:w="289" w:type="pct"/>
            <w:tcBorders>
              <w:top w:val="single" w:color="auto" w:sz="12" w:space="0"/>
            </w:tcBorders>
            <w:noWrap w:val="0"/>
            <w:vAlign w:val="center"/>
          </w:tcPr>
          <w:p w14:paraId="45616A72">
            <w:pPr>
              <w:pStyle w:val="70"/>
              <w:autoSpaceDE w:val="0"/>
              <w:autoSpaceDN w:val="0"/>
              <w:rPr>
                <w:rFonts w:hint="default" w:eastAsia="宋体"/>
                <w:color w:val="000000" w:themeColor="text1"/>
                <w:lang w:val="en-US" w:eastAsia="zh-CN"/>
                <w14:textFill>
                  <w14:solidFill>
                    <w14:schemeClr w14:val="tx1"/>
                  </w14:solidFill>
                </w14:textFill>
              </w:rPr>
            </w:pPr>
            <w:r>
              <w:rPr>
                <w:rFonts w:hint="default" w:eastAsia="宋体"/>
                <w:color w:val="000000" w:themeColor="text1"/>
                <w:lang w:val="en-US" w:eastAsia="zh-CN"/>
                <w14:textFill>
                  <w14:solidFill>
                    <w14:schemeClr w14:val="tx1"/>
                  </w14:solidFill>
                </w14:textFill>
              </w:rPr>
              <w:t>NNW</w:t>
            </w:r>
          </w:p>
        </w:tc>
        <w:tc>
          <w:tcPr>
            <w:tcW w:w="289" w:type="pct"/>
            <w:tcBorders>
              <w:top w:val="single" w:color="auto" w:sz="12" w:space="0"/>
              <w:right w:val="single" w:color="auto" w:sz="12" w:space="0"/>
            </w:tcBorders>
            <w:noWrap w:val="0"/>
            <w:vAlign w:val="center"/>
          </w:tcPr>
          <w:p w14:paraId="31929268">
            <w:pPr>
              <w:pStyle w:val="70"/>
              <w:autoSpaceDE w:val="0"/>
              <w:autoSpaceDN w:val="0"/>
              <w:rPr>
                <w:rFonts w:hint="default" w:eastAsia="宋体"/>
                <w:color w:val="000000" w:themeColor="text1"/>
                <w:lang w:val="en-US" w:eastAsia="zh-CN"/>
                <w14:textFill>
                  <w14:solidFill>
                    <w14:schemeClr w14:val="tx1"/>
                  </w14:solidFill>
                </w14:textFill>
              </w:rPr>
            </w:pPr>
            <w:r>
              <w:rPr>
                <w:rFonts w:hint="default" w:eastAsia="宋体"/>
                <w:color w:val="000000" w:themeColor="text1"/>
                <w:lang w:val="en-US" w:eastAsia="zh-CN"/>
                <w14:textFill>
                  <w14:solidFill>
                    <w14:schemeClr w14:val="tx1"/>
                  </w14:solidFill>
                </w14:textFill>
              </w:rPr>
              <w:t>C</w:t>
            </w:r>
          </w:p>
        </w:tc>
      </w:tr>
      <w:tr w14:paraId="650FA2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192" w:type="pct"/>
            <w:tcBorders>
              <w:left w:val="single" w:color="auto" w:sz="12" w:space="0"/>
              <w:bottom w:val="single" w:color="auto" w:sz="12" w:space="0"/>
            </w:tcBorders>
            <w:noWrap w:val="0"/>
            <w:vAlign w:val="center"/>
          </w:tcPr>
          <w:p w14:paraId="04588402">
            <w:pPr>
              <w:pStyle w:val="70"/>
              <w:autoSpaceDE w:val="0"/>
              <w:autoSpaceDN w:val="0"/>
              <w:rPr>
                <w:rFonts w:hint="default" w:eastAsia="宋体"/>
                <w:color w:val="000000" w:themeColor="text1"/>
                <w:lang w:val="en-US" w:eastAsia="zh-CN"/>
                <w14:textFill>
                  <w14:solidFill>
                    <w14:schemeClr w14:val="tx1"/>
                  </w14:solidFill>
                </w14:textFill>
              </w:rPr>
            </w:pPr>
            <w:r>
              <w:rPr>
                <w:rFonts w:hint="default" w:eastAsia="宋体"/>
                <w:color w:val="000000" w:themeColor="text1"/>
                <w:lang w:val="en-US" w:eastAsia="zh-CN"/>
                <w14:textFill>
                  <w14:solidFill>
                    <w14:schemeClr w14:val="tx1"/>
                  </w14:solidFill>
                </w14:textFill>
              </w:rPr>
              <w:t>频率</w:t>
            </w:r>
          </w:p>
        </w:tc>
        <w:tc>
          <w:tcPr>
            <w:tcW w:w="288" w:type="pct"/>
            <w:tcBorders>
              <w:bottom w:val="single" w:color="auto" w:sz="12" w:space="0"/>
            </w:tcBorders>
            <w:noWrap w:val="0"/>
            <w:vAlign w:val="center"/>
          </w:tcPr>
          <w:p w14:paraId="1C11697F">
            <w:pPr>
              <w:pStyle w:val="70"/>
              <w:autoSpaceDE w:val="0"/>
              <w:autoSpaceDN w:val="0"/>
              <w:rPr>
                <w:rFonts w:hint="default" w:eastAsia="宋体"/>
                <w:color w:val="000000" w:themeColor="text1"/>
                <w:lang w:val="en-US" w:eastAsia="zh-CN"/>
                <w14:textFill>
                  <w14:solidFill>
                    <w14:schemeClr w14:val="tx1"/>
                  </w14:solidFill>
                </w14:textFill>
              </w:rPr>
            </w:pPr>
            <w:r>
              <w:rPr>
                <w:rFonts w:hint="default" w:eastAsia="宋体"/>
                <w:color w:val="000000" w:themeColor="text1"/>
                <w:lang w:val="en-US" w:eastAsia="zh-CN"/>
                <w14:textFill>
                  <w14:solidFill>
                    <w14:schemeClr w14:val="tx1"/>
                  </w14:solidFill>
                </w14:textFill>
              </w:rPr>
              <w:t>16.47</w:t>
            </w:r>
          </w:p>
        </w:tc>
        <w:tc>
          <w:tcPr>
            <w:tcW w:w="326" w:type="pct"/>
            <w:tcBorders>
              <w:bottom w:val="single" w:color="auto" w:sz="12" w:space="0"/>
            </w:tcBorders>
            <w:noWrap w:val="0"/>
            <w:vAlign w:val="center"/>
          </w:tcPr>
          <w:p w14:paraId="4BBDA781">
            <w:pPr>
              <w:pStyle w:val="70"/>
              <w:autoSpaceDE w:val="0"/>
              <w:autoSpaceDN w:val="0"/>
              <w:rPr>
                <w:rFonts w:hint="default" w:eastAsia="宋体"/>
                <w:color w:val="000000" w:themeColor="text1"/>
                <w:lang w:val="en-US" w:eastAsia="zh-CN"/>
                <w14:textFill>
                  <w14:solidFill>
                    <w14:schemeClr w14:val="tx1"/>
                  </w14:solidFill>
                </w14:textFill>
              </w:rPr>
            </w:pPr>
            <w:r>
              <w:rPr>
                <w:rFonts w:hint="default" w:eastAsia="宋体"/>
                <w:color w:val="000000" w:themeColor="text1"/>
                <w:lang w:val="en-US" w:eastAsia="zh-CN"/>
                <w14:textFill>
                  <w14:solidFill>
                    <w14:schemeClr w14:val="tx1"/>
                  </w14:solidFill>
                </w14:textFill>
              </w:rPr>
              <w:t>10.475</w:t>
            </w:r>
          </w:p>
        </w:tc>
        <w:tc>
          <w:tcPr>
            <w:tcW w:w="250" w:type="pct"/>
            <w:tcBorders>
              <w:bottom w:val="single" w:color="auto" w:sz="12" w:space="0"/>
            </w:tcBorders>
            <w:noWrap w:val="0"/>
            <w:vAlign w:val="center"/>
          </w:tcPr>
          <w:p w14:paraId="28AC0698">
            <w:pPr>
              <w:pStyle w:val="70"/>
              <w:autoSpaceDE w:val="0"/>
              <w:autoSpaceDN w:val="0"/>
              <w:rPr>
                <w:rFonts w:hint="default" w:eastAsia="宋体"/>
                <w:color w:val="000000" w:themeColor="text1"/>
                <w:lang w:val="en-US" w:eastAsia="zh-CN"/>
                <w14:textFill>
                  <w14:solidFill>
                    <w14:schemeClr w14:val="tx1"/>
                  </w14:solidFill>
                </w14:textFill>
              </w:rPr>
            </w:pPr>
            <w:r>
              <w:rPr>
                <w:rFonts w:hint="default" w:eastAsia="宋体"/>
                <w:color w:val="000000" w:themeColor="text1"/>
                <w:lang w:val="en-US" w:eastAsia="zh-CN"/>
                <w14:textFill>
                  <w14:solidFill>
                    <w14:schemeClr w14:val="tx1"/>
                  </w14:solidFill>
                </w14:textFill>
              </w:rPr>
              <w:t>6.19</w:t>
            </w:r>
          </w:p>
        </w:tc>
        <w:tc>
          <w:tcPr>
            <w:tcW w:w="265" w:type="pct"/>
            <w:tcBorders>
              <w:bottom w:val="single" w:color="auto" w:sz="12" w:space="0"/>
            </w:tcBorders>
            <w:noWrap w:val="0"/>
            <w:vAlign w:val="center"/>
          </w:tcPr>
          <w:p w14:paraId="05ABD64D">
            <w:pPr>
              <w:pStyle w:val="70"/>
              <w:autoSpaceDE w:val="0"/>
              <w:autoSpaceDN w:val="0"/>
              <w:rPr>
                <w:rFonts w:hint="default" w:eastAsia="宋体"/>
                <w:color w:val="000000" w:themeColor="text1"/>
                <w:lang w:val="en-US" w:eastAsia="zh-CN"/>
                <w14:textFill>
                  <w14:solidFill>
                    <w14:schemeClr w14:val="tx1"/>
                  </w14:solidFill>
                </w14:textFill>
              </w:rPr>
            </w:pPr>
            <w:r>
              <w:rPr>
                <w:rFonts w:hint="default" w:eastAsia="宋体"/>
                <w:color w:val="000000" w:themeColor="text1"/>
                <w:lang w:val="en-US" w:eastAsia="zh-CN"/>
                <w14:textFill>
                  <w14:solidFill>
                    <w14:schemeClr w14:val="tx1"/>
                  </w14:solidFill>
                </w14:textFill>
              </w:rPr>
              <w:t>3.61</w:t>
            </w:r>
          </w:p>
        </w:tc>
        <w:tc>
          <w:tcPr>
            <w:tcW w:w="288" w:type="pct"/>
            <w:tcBorders>
              <w:bottom w:val="single" w:color="auto" w:sz="12" w:space="0"/>
            </w:tcBorders>
            <w:noWrap w:val="0"/>
            <w:vAlign w:val="center"/>
          </w:tcPr>
          <w:p w14:paraId="2DF63D32">
            <w:pPr>
              <w:pStyle w:val="70"/>
              <w:autoSpaceDE w:val="0"/>
              <w:autoSpaceDN w:val="0"/>
              <w:rPr>
                <w:rFonts w:hint="default" w:eastAsia="宋体"/>
                <w:color w:val="000000" w:themeColor="text1"/>
                <w:lang w:val="en-US" w:eastAsia="zh-CN"/>
                <w14:textFill>
                  <w14:solidFill>
                    <w14:schemeClr w14:val="tx1"/>
                  </w14:solidFill>
                </w14:textFill>
              </w:rPr>
            </w:pPr>
            <w:r>
              <w:rPr>
                <w:rFonts w:hint="default" w:eastAsia="宋体"/>
                <w:color w:val="000000" w:themeColor="text1"/>
                <w:lang w:val="en-US" w:eastAsia="zh-CN"/>
                <w14:textFill>
                  <w14:solidFill>
                    <w14:schemeClr w14:val="tx1"/>
                  </w14:solidFill>
                </w14:textFill>
              </w:rPr>
              <w:t>3.695</w:t>
            </w:r>
          </w:p>
        </w:tc>
        <w:tc>
          <w:tcPr>
            <w:tcW w:w="288" w:type="pct"/>
            <w:tcBorders>
              <w:bottom w:val="single" w:color="auto" w:sz="12" w:space="0"/>
            </w:tcBorders>
            <w:noWrap w:val="0"/>
            <w:vAlign w:val="center"/>
          </w:tcPr>
          <w:p w14:paraId="7A116830">
            <w:pPr>
              <w:pStyle w:val="70"/>
              <w:autoSpaceDE w:val="0"/>
              <w:autoSpaceDN w:val="0"/>
              <w:rPr>
                <w:rFonts w:hint="default" w:eastAsia="宋体"/>
                <w:color w:val="000000" w:themeColor="text1"/>
                <w:lang w:val="en-US" w:eastAsia="zh-CN"/>
                <w14:textFill>
                  <w14:solidFill>
                    <w14:schemeClr w14:val="tx1"/>
                  </w14:solidFill>
                </w14:textFill>
              </w:rPr>
            </w:pPr>
            <w:r>
              <w:rPr>
                <w:rFonts w:hint="default" w:eastAsia="宋体"/>
                <w:color w:val="000000" w:themeColor="text1"/>
                <w:lang w:val="en-US" w:eastAsia="zh-CN"/>
                <w14:textFill>
                  <w14:solidFill>
                    <w14:schemeClr w14:val="tx1"/>
                  </w14:solidFill>
                </w14:textFill>
              </w:rPr>
              <w:t>4.735</w:t>
            </w:r>
          </w:p>
        </w:tc>
        <w:tc>
          <w:tcPr>
            <w:tcW w:w="288" w:type="pct"/>
            <w:tcBorders>
              <w:bottom w:val="single" w:color="auto" w:sz="12" w:space="0"/>
            </w:tcBorders>
            <w:noWrap w:val="0"/>
            <w:vAlign w:val="center"/>
          </w:tcPr>
          <w:p w14:paraId="0690AA71">
            <w:pPr>
              <w:pStyle w:val="70"/>
              <w:autoSpaceDE w:val="0"/>
              <w:autoSpaceDN w:val="0"/>
              <w:rPr>
                <w:rFonts w:hint="default" w:eastAsia="宋体"/>
                <w:color w:val="000000" w:themeColor="text1"/>
                <w:lang w:val="en-US" w:eastAsia="zh-CN"/>
                <w14:textFill>
                  <w14:solidFill>
                    <w14:schemeClr w14:val="tx1"/>
                  </w14:solidFill>
                </w14:textFill>
              </w:rPr>
            </w:pPr>
            <w:r>
              <w:rPr>
                <w:rFonts w:hint="default" w:eastAsia="宋体"/>
                <w:color w:val="000000" w:themeColor="text1"/>
                <w:lang w:val="en-US" w:eastAsia="zh-CN"/>
                <w14:textFill>
                  <w14:solidFill>
                    <w14:schemeClr w14:val="tx1"/>
                  </w14:solidFill>
                </w14:textFill>
              </w:rPr>
              <w:t>4.585</w:t>
            </w:r>
          </w:p>
        </w:tc>
        <w:tc>
          <w:tcPr>
            <w:tcW w:w="250" w:type="pct"/>
            <w:tcBorders>
              <w:bottom w:val="single" w:color="auto" w:sz="12" w:space="0"/>
            </w:tcBorders>
            <w:noWrap w:val="0"/>
            <w:vAlign w:val="center"/>
          </w:tcPr>
          <w:p w14:paraId="3E212C39">
            <w:pPr>
              <w:pStyle w:val="70"/>
              <w:autoSpaceDE w:val="0"/>
              <w:autoSpaceDN w:val="0"/>
              <w:rPr>
                <w:rFonts w:hint="default" w:eastAsia="宋体"/>
                <w:color w:val="000000" w:themeColor="text1"/>
                <w:lang w:val="en-US" w:eastAsia="zh-CN"/>
                <w14:textFill>
                  <w14:solidFill>
                    <w14:schemeClr w14:val="tx1"/>
                  </w14:solidFill>
                </w14:textFill>
              </w:rPr>
            </w:pPr>
            <w:r>
              <w:rPr>
                <w:rFonts w:hint="default" w:eastAsia="宋体"/>
                <w:color w:val="000000" w:themeColor="text1"/>
                <w:lang w:val="en-US" w:eastAsia="zh-CN"/>
                <w14:textFill>
                  <w14:solidFill>
                    <w14:schemeClr w14:val="tx1"/>
                  </w14:solidFill>
                </w14:textFill>
              </w:rPr>
              <w:t>6.22</w:t>
            </w:r>
          </w:p>
        </w:tc>
        <w:tc>
          <w:tcPr>
            <w:tcW w:w="288" w:type="pct"/>
            <w:tcBorders>
              <w:bottom w:val="single" w:color="auto" w:sz="12" w:space="0"/>
            </w:tcBorders>
            <w:noWrap w:val="0"/>
            <w:vAlign w:val="center"/>
          </w:tcPr>
          <w:p w14:paraId="45CE7542">
            <w:pPr>
              <w:pStyle w:val="70"/>
              <w:autoSpaceDE w:val="0"/>
              <w:autoSpaceDN w:val="0"/>
              <w:rPr>
                <w:rFonts w:hint="default" w:eastAsia="宋体"/>
                <w:color w:val="000000" w:themeColor="text1"/>
                <w:lang w:val="en-US" w:eastAsia="zh-CN"/>
                <w14:textFill>
                  <w14:solidFill>
                    <w14:schemeClr w14:val="tx1"/>
                  </w14:solidFill>
                </w14:textFill>
              </w:rPr>
            </w:pPr>
            <w:r>
              <w:rPr>
                <w:rFonts w:hint="default" w:eastAsia="宋体"/>
                <w:color w:val="000000" w:themeColor="text1"/>
                <w:lang w:val="en-US" w:eastAsia="zh-CN"/>
                <w14:textFill>
                  <w14:solidFill>
                    <w14:schemeClr w14:val="tx1"/>
                  </w14:solidFill>
                </w14:textFill>
              </w:rPr>
              <w:t>7.895</w:t>
            </w:r>
          </w:p>
        </w:tc>
        <w:tc>
          <w:tcPr>
            <w:tcW w:w="288" w:type="pct"/>
            <w:tcBorders>
              <w:bottom w:val="single" w:color="auto" w:sz="12" w:space="0"/>
            </w:tcBorders>
            <w:noWrap w:val="0"/>
            <w:vAlign w:val="center"/>
          </w:tcPr>
          <w:p w14:paraId="69345306">
            <w:pPr>
              <w:pStyle w:val="70"/>
              <w:autoSpaceDE w:val="0"/>
              <w:autoSpaceDN w:val="0"/>
              <w:rPr>
                <w:rFonts w:hint="default" w:eastAsia="宋体"/>
                <w:color w:val="000000" w:themeColor="text1"/>
                <w:lang w:val="en-US" w:eastAsia="zh-CN"/>
                <w14:textFill>
                  <w14:solidFill>
                    <w14:schemeClr w14:val="tx1"/>
                  </w14:solidFill>
                </w14:textFill>
              </w:rPr>
            </w:pPr>
            <w:r>
              <w:rPr>
                <w:rFonts w:hint="default" w:eastAsia="宋体"/>
                <w:color w:val="000000" w:themeColor="text1"/>
                <w:lang w:val="en-US" w:eastAsia="zh-CN"/>
                <w14:textFill>
                  <w14:solidFill>
                    <w14:schemeClr w14:val="tx1"/>
                  </w14:solidFill>
                </w14:textFill>
              </w:rPr>
              <w:t>8.965</w:t>
            </w:r>
          </w:p>
        </w:tc>
        <w:tc>
          <w:tcPr>
            <w:tcW w:w="288" w:type="pct"/>
            <w:tcBorders>
              <w:bottom w:val="single" w:color="auto" w:sz="12" w:space="0"/>
            </w:tcBorders>
            <w:noWrap w:val="0"/>
            <w:vAlign w:val="center"/>
          </w:tcPr>
          <w:p w14:paraId="0C94C2B1">
            <w:pPr>
              <w:pStyle w:val="70"/>
              <w:autoSpaceDE w:val="0"/>
              <w:autoSpaceDN w:val="0"/>
              <w:rPr>
                <w:rFonts w:hint="default" w:eastAsia="宋体"/>
                <w:color w:val="000000" w:themeColor="text1"/>
                <w:lang w:val="en-US" w:eastAsia="zh-CN"/>
                <w14:textFill>
                  <w14:solidFill>
                    <w14:schemeClr w14:val="tx1"/>
                  </w14:solidFill>
                </w14:textFill>
              </w:rPr>
            </w:pPr>
            <w:r>
              <w:rPr>
                <w:rFonts w:hint="default" w:eastAsia="宋体"/>
                <w:color w:val="000000" w:themeColor="text1"/>
                <w:lang w:val="en-US" w:eastAsia="zh-CN"/>
                <w14:textFill>
                  <w14:solidFill>
                    <w14:schemeClr w14:val="tx1"/>
                  </w14:solidFill>
                </w14:textFill>
              </w:rPr>
              <w:t>3.125</w:t>
            </w:r>
          </w:p>
        </w:tc>
        <w:tc>
          <w:tcPr>
            <w:tcW w:w="288" w:type="pct"/>
            <w:tcBorders>
              <w:bottom w:val="single" w:color="auto" w:sz="12" w:space="0"/>
            </w:tcBorders>
            <w:noWrap w:val="0"/>
            <w:vAlign w:val="center"/>
          </w:tcPr>
          <w:p w14:paraId="56A59295">
            <w:pPr>
              <w:pStyle w:val="70"/>
              <w:autoSpaceDE w:val="0"/>
              <w:autoSpaceDN w:val="0"/>
              <w:rPr>
                <w:rFonts w:hint="default" w:eastAsia="宋体"/>
                <w:color w:val="000000" w:themeColor="text1"/>
                <w:lang w:val="en-US" w:eastAsia="zh-CN"/>
                <w14:textFill>
                  <w14:solidFill>
                    <w14:schemeClr w14:val="tx1"/>
                  </w14:solidFill>
                </w14:textFill>
              </w:rPr>
            </w:pPr>
            <w:r>
              <w:rPr>
                <w:rFonts w:hint="default" w:eastAsia="宋体"/>
                <w:color w:val="000000" w:themeColor="text1"/>
                <w:lang w:val="en-US" w:eastAsia="zh-CN"/>
                <w14:textFill>
                  <w14:solidFill>
                    <w14:schemeClr w14:val="tx1"/>
                  </w14:solidFill>
                </w14:textFill>
              </w:rPr>
              <w:t>1.825</w:t>
            </w:r>
          </w:p>
        </w:tc>
        <w:tc>
          <w:tcPr>
            <w:tcW w:w="288" w:type="pct"/>
            <w:tcBorders>
              <w:bottom w:val="single" w:color="auto" w:sz="12" w:space="0"/>
            </w:tcBorders>
            <w:noWrap w:val="0"/>
            <w:vAlign w:val="center"/>
          </w:tcPr>
          <w:p w14:paraId="04142164">
            <w:pPr>
              <w:pStyle w:val="70"/>
              <w:autoSpaceDE w:val="0"/>
              <w:autoSpaceDN w:val="0"/>
              <w:rPr>
                <w:rFonts w:hint="default" w:eastAsia="宋体"/>
                <w:color w:val="000000" w:themeColor="text1"/>
                <w:lang w:val="en-US" w:eastAsia="zh-CN"/>
                <w14:textFill>
                  <w14:solidFill>
                    <w14:schemeClr w14:val="tx1"/>
                  </w14:solidFill>
                </w14:textFill>
              </w:rPr>
            </w:pPr>
            <w:r>
              <w:rPr>
                <w:rFonts w:hint="default" w:eastAsia="宋体"/>
                <w:color w:val="000000" w:themeColor="text1"/>
                <w:lang w:val="en-US" w:eastAsia="zh-CN"/>
                <w14:textFill>
                  <w14:solidFill>
                    <w14:schemeClr w14:val="tx1"/>
                  </w14:solidFill>
                </w14:textFill>
              </w:rPr>
              <w:t>1.045</w:t>
            </w:r>
          </w:p>
        </w:tc>
        <w:tc>
          <w:tcPr>
            <w:tcW w:w="288" w:type="pct"/>
            <w:tcBorders>
              <w:bottom w:val="single" w:color="auto" w:sz="12" w:space="0"/>
            </w:tcBorders>
            <w:noWrap w:val="0"/>
            <w:vAlign w:val="center"/>
          </w:tcPr>
          <w:p w14:paraId="56A44B8C">
            <w:pPr>
              <w:pStyle w:val="70"/>
              <w:autoSpaceDE w:val="0"/>
              <w:autoSpaceDN w:val="0"/>
              <w:rPr>
                <w:rFonts w:hint="default" w:eastAsia="宋体"/>
                <w:color w:val="000000" w:themeColor="text1"/>
                <w:lang w:val="en-US" w:eastAsia="zh-CN"/>
                <w14:textFill>
                  <w14:solidFill>
                    <w14:schemeClr w14:val="tx1"/>
                  </w14:solidFill>
                </w14:textFill>
              </w:rPr>
            </w:pPr>
            <w:r>
              <w:rPr>
                <w:rFonts w:hint="default" w:eastAsia="宋体"/>
                <w:color w:val="000000" w:themeColor="text1"/>
                <w:lang w:val="en-US" w:eastAsia="zh-CN"/>
                <w14:textFill>
                  <w14:solidFill>
                    <w14:schemeClr w14:val="tx1"/>
                  </w14:solidFill>
                </w14:textFill>
              </w:rPr>
              <w:t>1.705</w:t>
            </w:r>
          </w:p>
        </w:tc>
        <w:tc>
          <w:tcPr>
            <w:tcW w:w="250" w:type="pct"/>
            <w:tcBorders>
              <w:bottom w:val="single" w:color="auto" w:sz="12" w:space="0"/>
            </w:tcBorders>
            <w:noWrap w:val="0"/>
            <w:vAlign w:val="center"/>
          </w:tcPr>
          <w:p w14:paraId="72584D5D">
            <w:pPr>
              <w:pStyle w:val="70"/>
              <w:autoSpaceDE w:val="0"/>
              <w:autoSpaceDN w:val="0"/>
              <w:rPr>
                <w:rFonts w:hint="default" w:eastAsia="宋体"/>
                <w:color w:val="000000" w:themeColor="text1"/>
                <w:lang w:val="en-US" w:eastAsia="zh-CN"/>
                <w14:textFill>
                  <w14:solidFill>
                    <w14:schemeClr w14:val="tx1"/>
                  </w14:solidFill>
                </w14:textFill>
              </w:rPr>
            </w:pPr>
            <w:r>
              <w:rPr>
                <w:rFonts w:hint="default" w:eastAsia="宋体"/>
                <w:color w:val="000000" w:themeColor="text1"/>
                <w:lang w:val="en-US" w:eastAsia="zh-CN"/>
                <w14:textFill>
                  <w14:solidFill>
                    <w14:schemeClr w14:val="tx1"/>
                  </w14:solidFill>
                </w14:textFill>
              </w:rPr>
              <w:t>3.22</w:t>
            </w:r>
          </w:p>
        </w:tc>
        <w:tc>
          <w:tcPr>
            <w:tcW w:w="289" w:type="pct"/>
            <w:tcBorders>
              <w:bottom w:val="single" w:color="auto" w:sz="12" w:space="0"/>
            </w:tcBorders>
            <w:noWrap w:val="0"/>
            <w:vAlign w:val="center"/>
          </w:tcPr>
          <w:p w14:paraId="28DECBFF">
            <w:pPr>
              <w:pStyle w:val="70"/>
              <w:autoSpaceDE w:val="0"/>
              <w:autoSpaceDN w:val="0"/>
              <w:rPr>
                <w:rFonts w:hint="default" w:eastAsia="宋体"/>
                <w:color w:val="000000" w:themeColor="text1"/>
                <w:lang w:val="en-US" w:eastAsia="zh-CN"/>
                <w14:textFill>
                  <w14:solidFill>
                    <w14:schemeClr w14:val="tx1"/>
                  </w14:solidFill>
                </w14:textFill>
              </w:rPr>
            </w:pPr>
            <w:r>
              <w:rPr>
                <w:rFonts w:hint="default" w:eastAsia="宋体"/>
                <w:color w:val="000000" w:themeColor="text1"/>
                <w:lang w:val="en-US" w:eastAsia="zh-CN"/>
                <w14:textFill>
                  <w14:solidFill>
                    <w14:schemeClr w14:val="tx1"/>
                  </w14:solidFill>
                </w14:textFill>
              </w:rPr>
              <w:t>11.05</w:t>
            </w:r>
          </w:p>
        </w:tc>
        <w:tc>
          <w:tcPr>
            <w:tcW w:w="289" w:type="pct"/>
            <w:tcBorders>
              <w:bottom w:val="single" w:color="auto" w:sz="12" w:space="0"/>
              <w:right w:val="single" w:color="auto" w:sz="12" w:space="0"/>
            </w:tcBorders>
            <w:noWrap w:val="0"/>
            <w:vAlign w:val="center"/>
          </w:tcPr>
          <w:p w14:paraId="6B0B9743">
            <w:pPr>
              <w:pStyle w:val="70"/>
              <w:autoSpaceDE w:val="0"/>
              <w:autoSpaceDN w:val="0"/>
              <w:rPr>
                <w:rFonts w:hint="default" w:eastAsia="宋体"/>
                <w:color w:val="000000" w:themeColor="text1"/>
                <w:lang w:val="en-US" w:eastAsia="zh-CN"/>
                <w14:textFill>
                  <w14:solidFill>
                    <w14:schemeClr w14:val="tx1"/>
                  </w14:solidFill>
                </w14:textFill>
              </w:rPr>
            </w:pPr>
            <w:r>
              <w:rPr>
                <w:rFonts w:hint="default" w:eastAsia="宋体"/>
                <w:color w:val="000000" w:themeColor="text1"/>
                <w:lang w:val="en-US" w:eastAsia="zh-CN"/>
                <w14:textFill>
                  <w14:solidFill>
                    <w14:schemeClr w14:val="tx1"/>
                  </w14:solidFill>
                </w14:textFill>
              </w:rPr>
              <w:t>4.705</w:t>
            </w:r>
          </w:p>
        </w:tc>
      </w:tr>
    </w:tbl>
    <w:p w14:paraId="1F703AB2">
      <w:pPr>
        <w:ind w:firstLine="480"/>
        <w:rPr>
          <w:rFonts w:ascii="Times New Roman" w:hAnsi="Times New Roman" w:eastAsia="宋体"/>
          <w:color w:val="000000" w:themeColor="text1"/>
          <w:spacing w:val="0"/>
          <w:w w:val="100"/>
          <w:position w:val="0"/>
          <w:u w:val="none" w:color="auto"/>
          <w14:textFill>
            <w14:solidFill>
              <w14:schemeClr w14:val="tx1"/>
            </w14:solidFill>
          </w14:textFill>
        </w:rPr>
      </w:pPr>
      <w:r>
        <w:rPr>
          <w:rFonts w:ascii="Times New Roman" w:hAnsi="Times New Roman" w:eastAsia="宋体"/>
          <w:color w:val="000000" w:themeColor="text1"/>
          <w:spacing w:val="0"/>
          <w:w w:val="100"/>
          <w:position w:val="0"/>
          <w:u w:val="none" w:color="auto"/>
          <w14:textFill>
            <w14:solidFill>
              <w14:schemeClr w14:val="tx1"/>
            </w14:solidFill>
          </w14:textFill>
        </w:rPr>
        <w:t>（5）风速年际变化特征与周期分析</w:t>
      </w:r>
    </w:p>
    <w:p w14:paraId="042E9ACD">
      <w:pPr>
        <w:ind w:firstLine="480"/>
        <w:rPr>
          <w:rFonts w:ascii="Times New Roman" w:hAnsi="Times New Roman" w:eastAsia="宋体"/>
          <w:color w:val="000000" w:themeColor="text1"/>
          <w:spacing w:val="0"/>
          <w:w w:val="100"/>
          <w:position w:val="0"/>
          <w:u w:val="none" w:color="auto"/>
          <w14:textFill>
            <w14:solidFill>
              <w14:schemeClr w14:val="tx1"/>
            </w14:solidFill>
          </w14:textFill>
        </w:rPr>
      </w:pPr>
      <w:r>
        <w:rPr>
          <w:rFonts w:ascii="Times New Roman" w:hAnsi="Times New Roman" w:eastAsia="宋体"/>
          <w:color w:val="000000" w:themeColor="text1"/>
          <w:spacing w:val="0"/>
          <w:w w:val="100"/>
          <w:position w:val="0"/>
          <w:u w:val="none" w:color="auto"/>
          <w14:textFill>
            <w14:solidFill>
              <w14:schemeClr w14:val="tx1"/>
            </w14:solidFill>
          </w14:textFill>
        </w:rPr>
        <w:t>根据近20年资料分析，钦州市气象站风速呈现上升趋势，2016</w:t>
      </w:r>
      <w:r>
        <w:rPr>
          <w:rFonts w:hint="eastAsia" w:ascii="Times New Roman" w:hAnsi="Times New Roman" w:eastAsia="宋体"/>
          <w:color w:val="000000" w:themeColor="text1"/>
          <w:spacing w:val="0"/>
          <w:w w:val="100"/>
          <w:position w:val="0"/>
          <w:u w:val="none" w:color="auto"/>
          <w:lang w:val="en-US" w:eastAsia="zh-CN"/>
          <w14:textFill>
            <w14:solidFill>
              <w14:schemeClr w14:val="tx1"/>
            </w14:solidFill>
          </w14:textFill>
        </w:rPr>
        <w:t>年</w:t>
      </w:r>
      <w:r>
        <w:rPr>
          <w:rFonts w:ascii="Times New Roman" w:hAnsi="Times New Roman" w:eastAsia="宋体"/>
          <w:color w:val="000000" w:themeColor="text1"/>
          <w:spacing w:val="0"/>
          <w:w w:val="100"/>
          <w:position w:val="0"/>
          <w:u w:val="none" w:color="auto"/>
          <w14:textFill>
            <w14:solidFill>
              <w14:schemeClr w14:val="tx1"/>
            </w14:solidFill>
          </w14:textFill>
        </w:rPr>
        <w:t>及2020年年平均风速最大（3.1米/秒），2014年年平均风速最小（1.8米/秒）；其变化趋势详见图</w:t>
      </w:r>
      <w:r>
        <w:rPr>
          <w:rFonts w:hint="eastAsia" w:ascii="Times New Roman" w:hAnsi="Times New Roman" w:eastAsia="宋体"/>
          <w:color w:val="000000" w:themeColor="text1"/>
          <w:spacing w:val="0"/>
          <w:w w:val="100"/>
          <w:position w:val="0"/>
          <w:u w:val="none" w:color="auto"/>
          <w:lang w:val="en-US" w:eastAsia="zh-CN"/>
          <w14:textFill>
            <w14:solidFill>
              <w14:schemeClr w14:val="tx1"/>
            </w14:solidFill>
          </w14:textFill>
        </w:rPr>
        <w:t>4</w:t>
      </w:r>
      <w:r>
        <w:rPr>
          <w:rFonts w:ascii="Times New Roman" w:hAnsi="Times New Roman" w:eastAsia="宋体"/>
          <w:color w:val="000000" w:themeColor="text1"/>
          <w:spacing w:val="0"/>
          <w:w w:val="100"/>
          <w:position w:val="0"/>
          <w:u w:val="none" w:color="auto"/>
          <w14:textFill>
            <w14:solidFill>
              <w14:schemeClr w14:val="tx1"/>
            </w14:solidFill>
          </w14:textFill>
        </w:rPr>
        <w:t>.</w:t>
      </w:r>
      <w:r>
        <w:rPr>
          <w:rFonts w:hint="eastAsia" w:eastAsia="宋体"/>
          <w:color w:val="000000" w:themeColor="text1"/>
          <w:spacing w:val="0"/>
          <w:w w:val="100"/>
          <w:position w:val="0"/>
          <w:u w:val="none" w:color="auto"/>
          <w:lang w:val="en-US" w:eastAsia="zh-CN"/>
          <w14:textFill>
            <w14:solidFill>
              <w14:schemeClr w14:val="tx1"/>
            </w14:solidFill>
          </w14:textFill>
        </w:rPr>
        <w:t>3</w:t>
      </w:r>
      <w:r>
        <w:rPr>
          <w:rFonts w:ascii="Times New Roman" w:hAnsi="Times New Roman" w:eastAsia="宋体"/>
          <w:color w:val="000000" w:themeColor="text1"/>
          <w:spacing w:val="0"/>
          <w:w w:val="100"/>
          <w:position w:val="0"/>
          <w:u w:val="none" w:color="auto"/>
          <w14:textFill>
            <w14:solidFill>
              <w14:schemeClr w14:val="tx1"/>
            </w14:solidFill>
          </w14:textFill>
        </w:rPr>
        <w:t>-4。</w:t>
      </w:r>
    </w:p>
    <w:p w14:paraId="52439F41">
      <w:pPr>
        <w:ind w:firstLine="0" w:firstLineChars="0"/>
        <w:jc w:val="center"/>
        <w:rPr>
          <w:rFonts w:ascii="Times New Roman" w:hAnsi="Times New Roman" w:eastAsia="宋体"/>
          <w:color w:val="000000" w:themeColor="text1"/>
          <w:spacing w:val="0"/>
          <w:w w:val="100"/>
          <w:position w:val="0"/>
          <w:u w:val="none" w:color="auto"/>
          <w14:textFill>
            <w14:solidFill>
              <w14:schemeClr w14:val="tx1"/>
            </w14:solidFill>
          </w14:textFill>
        </w:rPr>
      </w:pPr>
      <w:r>
        <w:rPr>
          <w:rFonts w:ascii="Times New Roman" w:hAnsi="Times New Roman" w:eastAsia="宋体"/>
          <w:color w:val="000000" w:themeColor="text1"/>
          <w:spacing w:val="0"/>
          <w:w w:val="100"/>
          <w:position w:val="0"/>
          <w:u w:val="none" w:color="auto"/>
          <w14:textFill>
            <w14:solidFill>
              <w14:schemeClr w14:val="tx1"/>
            </w14:solidFill>
          </w14:textFill>
        </w:rPr>
        <w:drawing>
          <wp:inline distT="0" distB="0" distL="114300" distR="114300">
            <wp:extent cx="5279390" cy="3535680"/>
            <wp:effectExtent l="0" t="0" r="8890" b="0"/>
            <wp:docPr id="22"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40"/>
                    <pic:cNvPicPr>
                      <a:picLocks noChangeAspect="1"/>
                    </pic:cNvPicPr>
                  </pic:nvPicPr>
                  <pic:blipFill>
                    <a:blip r:embed="rId81"/>
                    <a:stretch>
                      <a:fillRect/>
                    </a:stretch>
                  </pic:blipFill>
                  <pic:spPr>
                    <a:xfrm>
                      <a:off x="0" y="0"/>
                      <a:ext cx="5279390" cy="3535680"/>
                    </a:xfrm>
                    <a:prstGeom prst="rect">
                      <a:avLst/>
                    </a:prstGeom>
                    <a:noFill/>
                    <a:ln>
                      <a:noFill/>
                    </a:ln>
                  </pic:spPr>
                </pic:pic>
              </a:graphicData>
            </a:graphic>
          </wp:inline>
        </w:drawing>
      </w:r>
    </w:p>
    <w:p w14:paraId="0ABE03EB">
      <w:pPr>
        <w:pStyle w:val="8"/>
        <w:rPr>
          <w:rFonts w:hint="eastAsia" w:eastAsia="宋体"/>
          <w:color w:val="000000" w:themeColor="text1"/>
          <w14:textFill>
            <w14:solidFill>
              <w14:schemeClr w14:val="tx1"/>
            </w14:solidFill>
          </w14:textFill>
        </w:rPr>
      </w:pPr>
      <w:r>
        <w:rPr>
          <w:rFonts w:hint="eastAsia" w:eastAsia="宋体"/>
          <w:color w:val="000000" w:themeColor="text1"/>
          <w14:textFill>
            <w14:solidFill>
              <w14:schemeClr w14:val="tx1"/>
            </w14:solidFill>
          </w14:textFill>
        </w:rPr>
        <w:t>钦州市多年年平均风速图（2001~2020，单位：m/s，虚线为趋势线）</w:t>
      </w:r>
    </w:p>
    <w:p w14:paraId="353CA0D9">
      <w:pPr>
        <w:pStyle w:val="74"/>
        <w:rPr>
          <w:color w:val="000000" w:themeColor="text1"/>
          <w14:textFill>
            <w14:solidFill>
              <w14:schemeClr w14:val="tx1"/>
            </w14:solidFill>
          </w14:textFill>
        </w:rPr>
      </w:pP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6</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常规高空气象探测资料</w:t>
      </w:r>
    </w:p>
    <w:p w14:paraId="1FD0F8AC">
      <w:pPr>
        <w:ind w:firstLine="480"/>
        <w:rPr>
          <w:color w:val="000000" w:themeColor="text1"/>
          <w14:textFill>
            <w14:solidFill>
              <w14:schemeClr w14:val="tx1"/>
            </w14:solidFill>
          </w14:textFill>
        </w:rPr>
      </w:pPr>
      <w:r>
        <w:rPr>
          <w:color w:val="000000" w:themeColor="text1"/>
          <w14:textFill>
            <w14:solidFill>
              <w14:schemeClr w14:val="tx1"/>
            </w14:solidFill>
          </w14:textFill>
        </w:rPr>
        <w:t>高空数据是采用大气环境影响评价数值模式WRF模拟生成。模式计算过程中把全国共划分为189×159个网格，分辨率为27km×27km。模式采用的原始数据有地形高度、土地利用、陆地-水体标志、植被组成等数据，数据源主要为美国的USGS数据。模式采用美国国家环境预报中心（NCEP)的再分析数据作为模型输入场和边界场。</w:t>
      </w:r>
    </w:p>
    <w:p w14:paraId="2D7B62B8">
      <w:pPr>
        <w:pStyle w:val="74"/>
        <w:rPr>
          <w:color w:val="000000" w:themeColor="text1"/>
          <w14:textFill>
            <w14:solidFill>
              <w14:schemeClr w14:val="tx1"/>
            </w14:solidFill>
          </w14:textFill>
        </w:rPr>
      </w:pP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7</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地表参数</w:t>
      </w:r>
    </w:p>
    <w:p w14:paraId="3B687748">
      <w:pPr>
        <w:ind w:firstLine="480"/>
        <w:rPr>
          <w:color w:val="000000" w:themeColor="text1"/>
          <w14:textFill>
            <w14:solidFill>
              <w14:schemeClr w14:val="tx1"/>
            </w14:solidFill>
          </w14:textFill>
        </w:rPr>
      </w:pPr>
      <w:r>
        <w:rPr>
          <w:color w:val="000000" w:themeColor="text1"/>
          <w14:textFill>
            <w14:solidFill>
              <w14:schemeClr w14:val="tx1"/>
            </w14:solidFill>
          </w14:textFill>
        </w:rPr>
        <w:t>地面分扇区数及度数</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项目周边主要以工业区</w:t>
      </w:r>
      <w:r>
        <w:rPr>
          <w:rFonts w:hint="eastAsia"/>
          <w:color w:val="000000" w:themeColor="text1"/>
          <w14:textFill>
            <w14:solidFill>
              <w14:schemeClr w14:val="tx1"/>
            </w14:solidFill>
          </w14:textFill>
        </w:rPr>
        <w:t>及海域</w:t>
      </w:r>
      <w:r>
        <w:rPr>
          <w:color w:val="000000" w:themeColor="text1"/>
          <w14:textFill>
            <w14:solidFill>
              <w14:schemeClr w14:val="tx1"/>
            </w14:solidFill>
          </w14:textFill>
        </w:rPr>
        <w:t>为主，以南北向为轴向项目周边0°</w:t>
      </w:r>
      <w:r>
        <w:rPr>
          <w:rFonts w:hint="eastAsia"/>
          <w:color w:val="000000" w:themeColor="text1"/>
          <w14:textFill>
            <w14:solidFill>
              <w14:schemeClr w14:val="tx1"/>
            </w14:solidFill>
          </w14:textFill>
        </w:rPr>
        <w:t>～18</w:t>
      </w:r>
      <w:r>
        <w:rPr>
          <w:color w:val="000000" w:themeColor="text1"/>
          <w14:textFill>
            <w14:solidFill>
              <w14:schemeClr w14:val="tx1"/>
            </w14:solidFill>
          </w14:textFill>
        </w:rPr>
        <w:t>0°为</w:t>
      </w:r>
      <w:r>
        <w:rPr>
          <w:rFonts w:hint="eastAsia"/>
          <w:color w:val="000000" w:themeColor="text1"/>
          <w14:textFill>
            <w14:solidFill>
              <w14:schemeClr w14:val="tx1"/>
            </w14:solidFill>
          </w14:textFill>
        </w:rPr>
        <w:t>海域，18</w:t>
      </w:r>
      <w:r>
        <w:rPr>
          <w:color w:val="000000" w:themeColor="text1"/>
          <w14:textFill>
            <w14:solidFill>
              <w14:schemeClr w14:val="tx1"/>
            </w14:solidFill>
          </w14:textFill>
        </w:rPr>
        <w:t>0°</w:t>
      </w:r>
      <w:r>
        <w:rPr>
          <w:rFonts w:hint="eastAsia"/>
          <w:color w:val="000000" w:themeColor="text1"/>
          <w14:textFill>
            <w14:solidFill>
              <w14:schemeClr w14:val="tx1"/>
            </w14:solidFill>
          </w14:textFill>
        </w:rPr>
        <w:t>～36</w:t>
      </w:r>
      <w:r>
        <w:rPr>
          <w:color w:val="000000" w:themeColor="text1"/>
          <w14:textFill>
            <w14:solidFill>
              <w14:schemeClr w14:val="tx1"/>
            </w14:solidFill>
          </w14:textFill>
        </w:rPr>
        <w:t>0°。</w:t>
      </w:r>
    </w:p>
    <w:p w14:paraId="21200BCF">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AERMET通用地表类型：根据项目所处地理环境，项目周边主要以工业区及海域为主，评价区土地利用类型主要为城市、水面。</w:t>
      </w:r>
    </w:p>
    <w:p w14:paraId="23AAD933">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AERMET通用地表湿度：根据中国干湿状况划分图，钦州属于湿润区，通用地表湿度为潮湿气候。</w:t>
      </w:r>
    </w:p>
    <w:p w14:paraId="1563AEA2">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地面时间周期：根据《AERMET USER GUIDE》（EPA-454/B-03-002，2004/11）及AERMOD中地表参数推荐取值，地面时间周期按月或按季不是对应于特定的月份，而应更加对应于该地区的纬度和年植物生成周期，春季对应于植物开始出现或部分绿化时期，夏季对应于植物茂盛的时期，秋季为常出现霜冻、落叶、草已发黄但尚无雪的时期，冬季应用于雪地表面和零度以下气温，所以这些信息应由用户决定如何使用。本项目位于广西钦州市，地处低纬度、北回归线附近，属亚热带季风气候区，根据钦州市植被发育情况，春季（3、4、5月份）植物为部分绿化时期；夏季（6、7、8月份）对应于植物茂盛的时期；而秋季和冬季（8～3月份）基本相同，无雪地表面和零度以下气温，处于草已落叶、草发黄时期，本次预测对地面时间周期月或季节进行了调整。</w:t>
      </w:r>
    </w:p>
    <w:p w14:paraId="0E222DAF">
      <w:pPr>
        <w:ind w:firstLine="480"/>
        <w:rPr>
          <w:color w:val="000000" w:themeColor="text1"/>
          <w14:textFill>
            <w14:solidFill>
              <w14:schemeClr w14:val="tx1"/>
            </w14:solidFill>
          </w14:textFill>
        </w:rPr>
      </w:pPr>
      <w:r>
        <w:rPr>
          <w:color w:val="000000" w:themeColor="text1"/>
          <w14:textFill>
            <w14:solidFill>
              <w14:schemeClr w14:val="tx1"/>
            </w14:solidFill>
          </w14:textFill>
        </w:rPr>
        <w:t>地表参数选取汇总详见表</w:t>
      </w:r>
      <w:r>
        <w:rPr>
          <w:rFonts w:hint="eastAsia"/>
          <w:color w:val="000000" w:themeColor="text1"/>
          <w14:textFill>
            <w14:solidFill>
              <w14:schemeClr w14:val="tx1"/>
            </w14:solidFill>
          </w14:textFill>
        </w:rPr>
        <w:t>4.2-9</w:t>
      </w:r>
      <w:r>
        <w:rPr>
          <w:color w:val="000000" w:themeColor="text1"/>
          <w14:textFill>
            <w14:solidFill>
              <w14:schemeClr w14:val="tx1"/>
            </w14:solidFill>
          </w14:textFill>
        </w:rPr>
        <w:t>。</w:t>
      </w:r>
    </w:p>
    <w:p w14:paraId="0F80A04B">
      <w:pPr>
        <w:pStyle w:val="7"/>
        <w:rPr>
          <w:color w:val="000000" w:themeColor="text1"/>
          <w14:textFill>
            <w14:solidFill>
              <w14:schemeClr w14:val="tx1"/>
            </w14:solidFill>
          </w14:textFill>
        </w:rPr>
      </w:pPr>
      <w:r>
        <w:rPr>
          <w:rFonts w:hint="eastAsia"/>
          <w:color w:val="000000" w:themeColor="text1"/>
          <w14:textFill>
            <w14:solidFill>
              <w14:schemeClr w14:val="tx1"/>
            </w14:solidFill>
          </w14:textFill>
        </w:rPr>
        <w:t>地表参数选取汇总表</w:t>
      </w:r>
    </w:p>
    <w:tbl>
      <w:tblPr>
        <w:tblStyle w:val="43"/>
        <w:tblW w:w="9071"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262"/>
        <w:gridCol w:w="1260"/>
        <w:gridCol w:w="1686"/>
        <w:gridCol w:w="1748"/>
        <w:gridCol w:w="1846"/>
        <w:gridCol w:w="1269"/>
      </w:tblGrid>
      <w:tr w14:paraId="323EA53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tblHeader/>
          <w:jc w:val="center"/>
        </w:trPr>
        <w:tc>
          <w:tcPr>
            <w:tcW w:w="695" w:type="pct"/>
            <w:vAlign w:val="center"/>
          </w:tcPr>
          <w:p w14:paraId="572C440D">
            <w:pPr>
              <w:pStyle w:val="121"/>
              <w:spacing w:before="0" w:beforeAutospacing="0" w:after="0" w:afterAutospacing="0" w:line="240" w:lineRule="auto"/>
              <w:ind w:left="0" w:leftChars="0" w:right="0" w:rightChars="0"/>
              <w:rPr>
                <w:rFonts w:ascii="Times New Roman" w:hAnsi="Times New Roman"/>
                <w:b/>
                <w:bCs/>
                <w:color w:val="000000" w:themeColor="text1"/>
                <w:sz w:val="21"/>
                <w:szCs w:val="21"/>
                <w14:textFill>
                  <w14:solidFill>
                    <w14:schemeClr w14:val="tx1"/>
                  </w14:solidFill>
                </w14:textFill>
              </w:rPr>
            </w:pPr>
            <w:r>
              <w:rPr>
                <w:rFonts w:ascii="Times New Roman" w:hAnsi="Times New Roman"/>
                <w:b/>
                <w:bCs/>
                <w:color w:val="000000" w:themeColor="text1"/>
                <w:sz w:val="21"/>
                <w:szCs w:val="21"/>
                <w14:textFill>
                  <w14:solidFill>
                    <w14:schemeClr w14:val="tx1"/>
                  </w14:solidFill>
                </w14:textFill>
              </w:rPr>
              <w:t>序号</w:t>
            </w:r>
          </w:p>
        </w:tc>
        <w:tc>
          <w:tcPr>
            <w:tcW w:w="694" w:type="pct"/>
            <w:vAlign w:val="center"/>
          </w:tcPr>
          <w:p w14:paraId="0A559425">
            <w:pPr>
              <w:pStyle w:val="121"/>
              <w:spacing w:before="0" w:beforeAutospacing="0" w:after="0" w:afterAutospacing="0" w:line="240" w:lineRule="auto"/>
              <w:ind w:left="0" w:leftChars="0" w:right="0" w:rightChars="0"/>
              <w:rPr>
                <w:rFonts w:ascii="Times New Roman" w:hAnsi="Times New Roman"/>
                <w:b/>
                <w:bCs/>
                <w:color w:val="000000" w:themeColor="text1"/>
                <w:sz w:val="21"/>
                <w:szCs w:val="21"/>
                <w14:textFill>
                  <w14:solidFill>
                    <w14:schemeClr w14:val="tx1"/>
                  </w14:solidFill>
                </w14:textFill>
              </w:rPr>
            </w:pPr>
            <w:r>
              <w:rPr>
                <w:rFonts w:ascii="Times New Roman" w:hAnsi="Times New Roman"/>
                <w:b/>
                <w:bCs/>
                <w:color w:val="000000" w:themeColor="text1"/>
                <w:sz w:val="21"/>
                <w:szCs w:val="21"/>
                <w14:textFill>
                  <w14:solidFill>
                    <w14:schemeClr w14:val="tx1"/>
                  </w14:solidFill>
                </w14:textFill>
              </w:rPr>
              <w:t>扇区</w:t>
            </w:r>
          </w:p>
        </w:tc>
        <w:tc>
          <w:tcPr>
            <w:tcW w:w="929" w:type="pct"/>
            <w:vAlign w:val="center"/>
          </w:tcPr>
          <w:p w14:paraId="63800165">
            <w:pPr>
              <w:pStyle w:val="121"/>
              <w:spacing w:before="0" w:beforeAutospacing="0" w:after="0" w:afterAutospacing="0" w:line="240" w:lineRule="auto"/>
              <w:ind w:left="0" w:leftChars="0" w:right="0" w:rightChars="0"/>
              <w:rPr>
                <w:rFonts w:ascii="Times New Roman" w:hAnsi="Times New Roman"/>
                <w:b/>
                <w:bCs/>
                <w:color w:val="000000" w:themeColor="text1"/>
                <w:sz w:val="21"/>
                <w:szCs w:val="21"/>
                <w14:textFill>
                  <w14:solidFill>
                    <w14:schemeClr w14:val="tx1"/>
                  </w14:solidFill>
                </w14:textFill>
              </w:rPr>
            </w:pPr>
            <w:r>
              <w:rPr>
                <w:rFonts w:ascii="Times New Roman" w:hAnsi="Times New Roman"/>
                <w:b/>
                <w:bCs/>
                <w:color w:val="000000" w:themeColor="text1"/>
                <w:sz w:val="21"/>
                <w:szCs w:val="21"/>
                <w14:textFill>
                  <w14:solidFill>
                    <w14:schemeClr w14:val="tx1"/>
                  </w14:solidFill>
                </w14:textFill>
              </w:rPr>
              <w:t>时段</w:t>
            </w:r>
          </w:p>
        </w:tc>
        <w:tc>
          <w:tcPr>
            <w:tcW w:w="963" w:type="pct"/>
            <w:vAlign w:val="center"/>
          </w:tcPr>
          <w:p w14:paraId="4F45242E">
            <w:pPr>
              <w:pStyle w:val="121"/>
              <w:spacing w:before="0" w:beforeAutospacing="0" w:after="0" w:afterAutospacing="0" w:line="240" w:lineRule="auto"/>
              <w:ind w:left="0" w:leftChars="0" w:right="0" w:rightChars="0"/>
              <w:rPr>
                <w:rFonts w:ascii="Times New Roman" w:hAnsi="Times New Roman"/>
                <w:b/>
                <w:bCs/>
                <w:color w:val="000000" w:themeColor="text1"/>
                <w:sz w:val="21"/>
                <w:szCs w:val="21"/>
                <w14:textFill>
                  <w14:solidFill>
                    <w14:schemeClr w14:val="tx1"/>
                  </w14:solidFill>
                </w14:textFill>
              </w:rPr>
            </w:pPr>
            <w:r>
              <w:rPr>
                <w:rFonts w:ascii="Times New Roman" w:hAnsi="Times New Roman"/>
                <w:b/>
                <w:bCs/>
                <w:color w:val="000000" w:themeColor="text1"/>
                <w:sz w:val="21"/>
                <w:szCs w:val="21"/>
                <w14:textFill>
                  <w14:solidFill>
                    <w14:schemeClr w14:val="tx1"/>
                  </w14:solidFill>
                </w14:textFill>
              </w:rPr>
              <w:t>正午反照率</w:t>
            </w:r>
          </w:p>
        </w:tc>
        <w:tc>
          <w:tcPr>
            <w:tcW w:w="1017" w:type="pct"/>
            <w:vAlign w:val="center"/>
          </w:tcPr>
          <w:p w14:paraId="724BFBCD">
            <w:pPr>
              <w:pStyle w:val="121"/>
              <w:spacing w:before="0" w:beforeAutospacing="0" w:after="0" w:afterAutospacing="0" w:line="240" w:lineRule="auto"/>
              <w:ind w:left="0" w:leftChars="0" w:right="0" w:rightChars="0"/>
              <w:rPr>
                <w:rFonts w:ascii="Times New Roman" w:hAnsi="Times New Roman"/>
                <w:b/>
                <w:bCs/>
                <w:color w:val="000000" w:themeColor="text1"/>
                <w:sz w:val="21"/>
                <w:szCs w:val="21"/>
                <w14:textFill>
                  <w14:solidFill>
                    <w14:schemeClr w14:val="tx1"/>
                  </w14:solidFill>
                </w14:textFill>
              </w:rPr>
            </w:pPr>
            <w:r>
              <w:rPr>
                <w:rFonts w:ascii="Times New Roman" w:hAnsi="Times New Roman"/>
                <w:b/>
                <w:bCs/>
                <w:color w:val="000000" w:themeColor="text1"/>
                <w:sz w:val="21"/>
                <w:szCs w:val="21"/>
                <w14:textFill>
                  <w14:solidFill>
                    <w14:schemeClr w14:val="tx1"/>
                  </w14:solidFill>
                </w14:textFill>
              </w:rPr>
              <w:t>BOWEN</w:t>
            </w:r>
          </w:p>
        </w:tc>
        <w:tc>
          <w:tcPr>
            <w:tcW w:w="699" w:type="pct"/>
            <w:vAlign w:val="center"/>
          </w:tcPr>
          <w:p w14:paraId="797C1F32">
            <w:pPr>
              <w:pStyle w:val="121"/>
              <w:spacing w:before="0" w:beforeAutospacing="0" w:after="0" w:afterAutospacing="0" w:line="240" w:lineRule="auto"/>
              <w:ind w:left="0" w:leftChars="0" w:right="0" w:rightChars="0"/>
              <w:rPr>
                <w:rFonts w:ascii="Times New Roman" w:hAnsi="Times New Roman"/>
                <w:b/>
                <w:bCs/>
                <w:color w:val="000000" w:themeColor="text1"/>
                <w:sz w:val="21"/>
                <w:szCs w:val="21"/>
                <w14:textFill>
                  <w14:solidFill>
                    <w14:schemeClr w14:val="tx1"/>
                  </w14:solidFill>
                </w14:textFill>
              </w:rPr>
            </w:pPr>
            <w:r>
              <w:rPr>
                <w:rFonts w:hint="eastAsia" w:ascii="Times New Roman" w:hAnsi="Times New Roman"/>
                <w:b/>
                <w:bCs/>
                <w:color w:val="000000" w:themeColor="text1"/>
                <w:sz w:val="21"/>
                <w:szCs w:val="21"/>
                <w14:textFill>
                  <w14:solidFill>
                    <w14:schemeClr w14:val="tx1"/>
                  </w14:solidFill>
                </w14:textFill>
              </w:rPr>
              <w:t>粗糙度</w:t>
            </w:r>
          </w:p>
        </w:tc>
      </w:tr>
      <w:tr w14:paraId="7E627EF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695" w:type="pct"/>
            <w:vAlign w:val="center"/>
          </w:tcPr>
          <w:p w14:paraId="0E580282">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1</w:t>
            </w:r>
          </w:p>
        </w:tc>
        <w:tc>
          <w:tcPr>
            <w:tcW w:w="694" w:type="pct"/>
            <w:vMerge w:val="restart"/>
            <w:vAlign w:val="center"/>
          </w:tcPr>
          <w:p w14:paraId="4574A426">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0</w:t>
            </w:r>
            <w:r>
              <w:rPr>
                <w:rFonts w:ascii="Times New Roman" w:hAnsi="Times New Roman"/>
                <w:color w:val="000000" w:themeColor="text1"/>
                <w:sz w:val="21"/>
                <w:szCs w:val="21"/>
                <w14:textFill>
                  <w14:solidFill>
                    <w14:schemeClr w14:val="tx1"/>
                  </w14:solidFill>
                </w14:textFill>
              </w:rPr>
              <w:t>°</w:t>
            </w:r>
            <w:r>
              <w:rPr>
                <w:rFonts w:hint="eastAsia" w:ascii="Times New Roman" w:hAnsi="Times New Roman"/>
                <w:color w:val="000000" w:themeColor="text1"/>
                <w:sz w:val="21"/>
                <w:szCs w:val="21"/>
                <w14:textFill>
                  <w14:solidFill>
                    <w14:schemeClr w14:val="tx1"/>
                  </w14:solidFill>
                </w14:textFill>
              </w:rPr>
              <w:t>~180</w:t>
            </w:r>
            <w:r>
              <w:rPr>
                <w:rFonts w:ascii="Times New Roman" w:hAnsi="Times New Roman"/>
                <w:color w:val="000000" w:themeColor="text1"/>
                <w:sz w:val="21"/>
                <w:szCs w:val="21"/>
                <w14:textFill>
                  <w14:solidFill>
                    <w14:schemeClr w14:val="tx1"/>
                  </w14:solidFill>
                </w14:textFill>
              </w:rPr>
              <w:t>°</w:t>
            </w:r>
          </w:p>
          <w:p w14:paraId="4270A0D8">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（水面）</w:t>
            </w:r>
          </w:p>
        </w:tc>
        <w:tc>
          <w:tcPr>
            <w:tcW w:w="1726" w:type="dxa"/>
            <w:vAlign w:val="center"/>
          </w:tcPr>
          <w:p w14:paraId="57874F35">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一月</w:t>
            </w:r>
          </w:p>
        </w:tc>
        <w:tc>
          <w:tcPr>
            <w:tcW w:w="963" w:type="pct"/>
            <w:vAlign w:val="center"/>
          </w:tcPr>
          <w:p w14:paraId="56189784">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0.2</w:t>
            </w:r>
          </w:p>
        </w:tc>
        <w:tc>
          <w:tcPr>
            <w:tcW w:w="1017" w:type="pct"/>
            <w:vAlign w:val="center"/>
          </w:tcPr>
          <w:p w14:paraId="64899195">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0.3</w:t>
            </w:r>
          </w:p>
        </w:tc>
        <w:tc>
          <w:tcPr>
            <w:tcW w:w="699" w:type="pct"/>
            <w:vAlign w:val="center"/>
          </w:tcPr>
          <w:p w14:paraId="54D1831C">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0.0001</w:t>
            </w:r>
          </w:p>
        </w:tc>
      </w:tr>
      <w:tr w14:paraId="2F88D8D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695" w:type="pct"/>
            <w:vAlign w:val="center"/>
          </w:tcPr>
          <w:p w14:paraId="22FA3AF4">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2</w:t>
            </w:r>
          </w:p>
        </w:tc>
        <w:tc>
          <w:tcPr>
            <w:tcW w:w="694" w:type="pct"/>
            <w:vMerge w:val="continue"/>
            <w:vAlign w:val="center"/>
          </w:tcPr>
          <w:p w14:paraId="2C14FB0D">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p>
        </w:tc>
        <w:tc>
          <w:tcPr>
            <w:tcW w:w="1726" w:type="dxa"/>
            <w:vAlign w:val="center"/>
          </w:tcPr>
          <w:p w14:paraId="60D303DD">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二月</w:t>
            </w:r>
          </w:p>
        </w:tc>
        <w:tc>
          <w:tcPr>
            <w:tcW w:w="963" w:type="pct"/>
            <w:vAlign w:val="center"/>
          </w:tcPr>
          <w:p w14:paraId="3ED178DC">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0.2</w:t>
            </w:r>
          </w:p>
        </w:tc>
        <w:tc>
          <w:tcPr>
            <w:tcW w:w="1017" w:type="pct"/>
            <w:vAlign w:val="center"/>
          </w:tcPr>
          <w:p w14:paraId="7B8F744A">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0.3</w:t>
            </w:r>
          </w:p>
        </w:tc>
        <w:tc>
          <w:tcPr>
            <w:tcW w:w="699" w:type="pct"/>
            <w:vAlign w:val="center"/>
          </w:tcPr>
          <w:p w14:paraId="37436B16">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0.0001</w:t>
            </w:r>
          </w:p>
        </w:tc>
      </w:tr>
      <w:tr w14:paraId="76464F1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695" w:type="pct"/>
            <w:vAlign w:val="center"/>
          </w:tcPr>
          <w:p w14:paraId="24920406">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3</w:t>
            </w:r>
          </w:p>
        </w:tc>
        <w:tc>
          <w:tcPr>
            <w:tcW w:w="694" w:type="pct"/>
            <w:vMerge w:val="continue"/>
            <w:vAlign w:val="center"/>
          </w:tcPr>
          <w:p w14:paraId="4439A4EE">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p>
        </w:tc>
        <w:tc>
          <w:tcPr>
            <w:tcW w:w="1726" w:type="dxa"/>
            <w:vAlign w:val="center"/>
          </w:tcPr>
          <w:p w14:paraId="27E06645">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三月</w:t>
            </w:r>
          </w:p>
        </w:tc>
        <w:tc>
          <w:tcPr>
            <w:tcW w:w="963" w:type="pct"/>
            <w:vAlign w:val="center"/>
          </w:tcPr>
          <w:p w14:paraId="36A56641">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0.12</w:t>
            </w:r>
          </w:p>
        </w:tc>
        <w:tc>
          <w:tcPr>
            <w:tcW w:w="1017" w:type="pct"/>
            <w:vAlign w:val="center"/>
          </w:tcPr>
          <w:p w14:paraId="50D0E01F">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0.1</w:t>
            </w:r>
          </w:p>
        </w:tc>
        <w:tc>
          <w:tcPr>
            <w:tcW w:w="699" w:type="pct"/>
            <w:vAlign w:val="center"/>
          </w:tcPr>
          <w:p w14:paraId="7C9B5B2C">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0.0001</w:t>
            </w:r>
          </w:p>
        </w:tc>
      </w:tr>
      <w:tr w14:paraId="53508B2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695" w:type="pct"/>
            <w:vAlign w:val="center"/>
          </w:tcPr>
          <w:p w14:paraId="45AC889A">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4</w:t>
            </w:r>
          </w:p>
        </w:tc>
        <w:tc>
          <w:tcPr>
            <w:tcW w:w="694" w:type="pct"/>
            <w:vMerge w:val="continue"/>
            <w:vAlign w:val="center"/>
          </w:tcPr>
          <w:p w14:paraId="2D5C4EEF">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p>
        </w:tc>
        <w:tc>
          <w:tcPr>
            <w:tcW w:w="1726" w:type="dxa"/>
            <w:vAlign w:val="center"/>
          </w:tcPr>
          <w:p w14:paraId="5675F42B">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四月</w:t>
            </w:r>
          </w:p>
        </w:tc>
        <w:tc>
          <w:tcPr>
            <w:tcW w:w="963" w:type="pct"/>
            <w:vAlign w:val="center"/>
          </w:tcPr>
          <w:p w14:paraId="16E33EE0">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0.12</w:t>
            </w:r>
          </w:p>
        </w:tc>
        <w:tc>
          <w:tcPr>
            <w:tcW w:w="1017" w:type="pct"/>
            <w:vAlign w:val="center"/>
          </w:tcPr>
          <w:p w14:paraId="3E1F038D">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0.1</w:t>
            </w:r>
          </w:p>
        </w:tc>
        <w:tc>
          <w:tcPr>
            <w:tcW w:w="699" w:type="pct"/>
            <w:vAlign w:val="center"/>
          </w:tcPr>
          <w:p w14:paraId="6EE55975">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0.0001</w:t>
            </w:r>
          </w:p>
        </w:tc>
      </w:tr>
      <w:tr w14:paraId="6D94058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695" w:type="pct"/>
            <w:vAlign w:val="center"/>
          </w:tcPr>
          <w:p w14:paraId="3C83C616">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5</w:t>
            </w:r>
          </w:p>
        </w:tc>
        <w:tc>
          <w:tcPr>
            <w:tcW w:w="694" w:type="pct"/>
            <w:vMerge w:val="continue"/>
            <w:vAlign w:val="center"/>
          </w:tcPr>
          <w:p w14:paraId="29EF4C8D">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p>
        </w:tc>
        <w:tc>
          <w:tcPr>
            <w:tcW w:w="1726" w:type="dxa"/>
            <w:vAlign w:val="center"/>
          </w:tcPr>
          <w:p w14:paraId="5F7D24A4">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五月</w:t>
            </w:r>
          </w:p>
        </w:tc>
        <w:tc>
          <w:tcPr>
            <w:tcW w:w="963" w:type="pct"/>
            <w:vAlign w:val="center"/>
          </w:tcPr>
          <w:p w14:paraId="117D32BC">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0.12</w:t>
            </w:r>
          </w:p>
        </w:tc>
        <w:tc>
          <w:tcPr>
            <w:tcW w:w="1017" w:type="pct"/>
            <w:vAlign w:val="center"/>
          </w:tcPr>
          <w:p w14:paraId="198C3460">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0.1</w:t>
            </w:r>
          </w:p>
        </w:tc>
        <w:tc>
          <w:tcPr>
            <w:tcW w:w="699" w:type="pct"/>
            <w:vAlign w:val="center"/>
          </w:tcPr>
          <w:p w14:paraId="64D86420">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0.0001</w:t>
            </w:r>
          </w:p>
        </w:tc>
      </w:tr>
      <w:tr w14:paraId="17139C0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695" w:type="pct"/>
            <w:vAlign w:val="center"/>
          </w:tcPr>
          <w:p w14:paraId="27C35512">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6</w:t>
            </w:r>
          </w:p>
        </w:tc>
        <w:tc>
          <w:tcPr>
            <w:tcW w:w="694" w:type="pct"/>
            <w:vMerge w:val="continue"/>
            <w:vAlign w:val="center"/>
          </w:tcPr>
          <w:p w14:paraId="4EE3AA7E">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p>
        </w:tc>
        <w:tc>
          <w:tcPr>
            <w:tcW w:w="1726" w:type="dxa"/>
            <w:vAlign w:val="center"/>
          </w:tcPr>
          <w:p w14:paraId="302694CE">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六月</w:t>
            </w:r>
          </w:p>
        </w:tc>
        <w:tc>
          <w:tcPr>
            <w:tcW w:w="963" w:type="pct"/>
            <w:vAlign w:val="center"/>
          </w:tcPr>
          <w:p w14:paraId="6F6AA55D">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0.1</w:t>
            </w:r>
          </w:p>
        </w:tc>
        <w:tc>
          <w:tcPr>
            <w:tcW w:w="1017" w:type="pct"/>
            <w:vAlign w:val="center"/>
          </w:tcPr>
          <w:p w14:paraId="40094C6D">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0.1</w:t>
            </w:r>
          </w:p>
        </w:tc>
        <w:tc>
          <w:tcPr>
            <w:tcW w:w="699" w:type="pct"/>
            <w:vAlign w:val="center"/>
          </w:tcPr>
          <w:p w14:paraId="6B0AC3EE">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0.0001</w:t>
            </w:r>
          </w:p>
        </w:tc>
      </w:tr>
      <w:tr w14:paraId="498E7DA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695" w:type="pct"/>
            <w:vAlign w:val="center"/>
          </w:tcPr>
          <w:p w14:paraId="167BA815">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7</w:t>
            </w:r>
          </w:p>
        </w:tc>
        <w:tc>
          <w:tcPr>
            <w:tcW w:w="694" w:type="pct"/>
            <w:vMerge w:val="continue"/>
            <w:vAlign w:val="center"/>
          </w:tcPr>
          <w:p w14:paraId="40E3D34D">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p>
        </w:tc>
        <w:tc>
          <w:tcPr>
            <w:tcW w:w="1726" w:type="dxa"/>
            <w:vAlign w:val="center"/>
          </w:tcPr>
          <w:p w14:paraId="3F886622">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七月</w:t>
            </w:r>
          </w:p>
        </w:tc>
        <w:tc>
          <w:tcPr>
            <w:tcW w:w="963" w:type="pct"/>
            <w:vAlign w:val="center"/>
          </w:tcPr>
          <w:p w14:paraId="01D1C685">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0.1</w:t>
            </w:r>
          </w:p>
        </w:tc>
        <w:tc>
          <w:tcPr>
            <w:tcW w:w="1017" w:type="pct"/>
            <w:vAlign w:val="center"/>
          </w:tcPr>
          <w:p w14:paraId="58CA72CE">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0.1</w:t>
            </w:r>
          </w:p>
        </w:tc>
        <w:tc>
          <w:tcPr>
            <w:tcW w:w="699" w:type="pct"/>
            <w:vAlign w:val="center"/>
          </w:tcPr>
          <w:p w14:paraId="7A12B8A9">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0.0001</w:t>
            </w:r>
          </w:p>
        </w:tc>
      </w:tr>
      <w:tr w14:paraId="5983F6F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695" w:type="pct"/>
            <w:vAlign w:val="center"/>
          </w:tcPr>
          <w:p w14:paraId="409530F4">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8</w:t>
            </w:r>
          </w:p>
        </w:tc>
        <w:tc>
          <w:tcPr>
            <w:tcW w:w="694" w:type="pct"/>
            <w:vMerge w:val="continue"/>
            <w:vAlign w:val="center"/>
          </w:tcPr>
          <w:p w14:paraId="76B9BA43">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p>
        </w:tc>
        <w:tc>
          <w:tcPr>
            <w:tcW w:w="1726" w:type="dxa"/>
            <w:vAlign w:val="center"/>
          </w:tcPr>
          <w:p w14:paraId="7E141088">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八月</w:t>
            </w:r>
          </w:p>
        </w:tc>
        <w:tc>
          <w:tcPr>
            <w:tcW w:w="963" w:type="pct"/>
            <w:vAlign w:val="center"/>
          </w:tcPr>
          <w:p w14:paraId="3AB95826">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0.1</w:t>
            </w:r>
          </w:p>
        </w:tc>
        <w:tc>
          <w:tcPr>
            <w:tcW w:w="1017" w:type="pct"/>
            <w:vAlign w:val="center"/>
          </w:tcPr>
          <w:p w14:paraId="55AA4F1A">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0.1</w:t>
            </w:r>
          </w:p>
        </w:tc>
        <w:tc>
          <w:tcPr>
            <w:tcW w:w="699" w:type="pct"/>
            <w:vAlign w:val="center"/>
          </w:tcPr>
          <w:p w14:paraId="27F5BD69">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0.0001</w:t>
            </w:r>
          </w:p>
        </w:tc>
      </w:tr>
      <w:tr w14:paraId="2A2F916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695" w:type="pct"/>
            <w:vAlign w:val="center"/>
          </w:tcPr>
          <w:p w14:paraId="09066682">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9</w:t>
            </w:r>
          </w:p>
        </w:tc>
        <w:tc>
          <w:tcPr>
            <w:tcW w:w="694" w:type="pct"/>
            <w:vMerge w:val="continue"/>
            <w:vAlign w:val="center"/>
          </w:tcPr>
          <w:p w14:paraId="2ADB2A1E">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p>
        </w:tc>
        <w:tc>
          <w:tcPr>
            <w:tcW w:w="1726" w:type="dxa"/>
            <w:vAlign w:val="center"/>
          </w:tcPr>
          <w:p w14:paraId="5D2A7E3C">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九月</w:t>
            </w:r>
          </w:p>
        </w:tc>
        <w:tc>
          <w:tcPr>
            <w:tcW w:w="963" w:type="pct"/>
            <w:vAlign w:val="center"/>
          </w:tcPr>
          <w:p w14:paraId="3EF17B7F">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0.14</w:t>
            </w:r>
          </w:p>
        </w:tc>
        <w:tc>
          <w:tcPr>
            <w:tcW w:w="1017" w:type="pct"/>
            <w:vAlign w:val="center"/>
          </w:tcPr>
          <w:p w14:paraId="6C02B455">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0.1</w:t>
            </w:r>
          </w:p>
        </w:tc>
        <w:tc>
          <w:tcPr>
            <w:tcW w:w="699" w:type="pct"/>
            <w:vAlign w:val="center"/>
          </w:tcPr>
          <w:p w14:paraId="1EBB2123">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0.0001</w:t>
            </w:r>
          </w:p>
        </w:tc>
      </w:tr>
      <w:tr w14:paraId="44D2782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695" w:type="pct"/>
            <w:vAlign w:val="center"/>
          </w:tcPr>
          <w:p w14:paraId="797F4F14">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10</w:t>
            </w:r>
          </w:p>
        </w:tc>
        <w:tc>
          <w:tcPr>
            <w:tcW w:w="694" w:type="pct"/>
            <w:vMerge w:val="continue"/>
            <w:vAlign w:val="center"/>
          </w:tcPr>
          <w:p w14:paraId="46007569">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p>
        </w:tc>
        <w:tc>
          <w:tcPr>
            <w:tcW w:w="1726" w:type="dxa"/>
            <w:vAlign w:val="center"/>
          </w:tcPr>
          <w:p w14:paraId="5C028039">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十月</w:t>
            </w:r>
          </w:p>
        </w:tc>
        <w:tc>
          <w:tcPr>
            <w:tcW w:w="963" w:type="pct"/>
            <w:vAlign w:val="center"/>
          </w:tcPr>
          <w:p w14:paraId="593A79DD">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0.14</w:t>
            </w:r>
          </w:p>
        </w:tc>
        <w:tc>
          <w:tcPr>
            <w:tcW w:w="1017" w:type="pct"/>
            <w:vAlign w:val="center"/>
          </w:tcPr>
          <w:p w14:paraId="5D442BB6">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0.1</w:t>
            </w:r>
          </w:p>
        </w:tc>
        <w:tc>
          <w:tcPr>
            <w:tcW w:w="699" w:type="pct"/>
            <w:vAlign w:val="center"/>
          </w:tcPr>
          <w:p w14:paraId="02059EEB">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0.0001</w:t>
            </w:r>
          </w:p>
        </w:tc>
      </w:tr>
      <w:tr w14:paraId="221C137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695" w:type="pct"/>
            <w:vAlign w:val="center"/>
          </w:tcPr>
          <w:p w14:paraId="127AA3C4">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11</w:t>
            </w:r>
          </w:p>
        </w:tc>
        <w:tc>
          <w:tcPr>
            <w:tcW w:w="694" w:type="pct"/>
            <w:vMerge w:val="continue"/>
            <w:vAlign w:val="center"/>
          </w:tcPr>
          <w:p w14:paraId="3E4FB05B">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p>
        </w:tc>
        <w:tc>
          <w:tcPr>
            <w:tcW w:w="1726" w:type="dxa"/>
            <w:vAlign w:val="center"/>
          </w:tcPr>
          <w:p w14:paraId="7342B0AE">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十一月</w:t>
            </w:r>
          </w:p>
        </w:tc>
        <w:tc>
          <w:tcPr>
            <w:tcW w:w="963" w:type="pct"/>
            <w:vAlign w:val="center"/>
          </w:tcPr>
          <w:p w14:paraId="0B04D21E">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0.14</w:t>
            </w:r>
          </w:p>
        </w:tc>
        <w:tc>
          <w:tcPr>
            <w:tcW w:w="1017" w:type="pct"/>
            <w:vAlign w:val="center"/>
          </w:tcPr>
          <w:p w14:paraId="3C7A6CCC">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0.1</w:t>
            </w:r>
          </w:p>
        </w:tc>
        <w:tc>
          <w:tcPr>
            <w:tcW w:w="699" w:type="pct"/>
            <w:vAlign w:val="center"/>
          </w:tcPr>
          <w:p w14:paraId="68AD357C">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0.0001</w:t>
            </w:r>
          </w:p>
        </w:tc>
      </w:tr>
      <w:tr w14:paraId="35C153D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695" w:type="pct"/>
            <w:vAlign w:val="center"/>
          </w:tcPr>
          <w:p w14:paraId="04253A3F">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12</w:t>
            </w:r>
          </w:p>
        </w:tc>
        <w:tc>
          <w:tcPr>
            <w:tcW w:w="694" w:type="pct"/>
            <w:vMerge w:val="continue"/>
            <w:vAlign w:val="center"/>
          </w:tcPr>
          <w:p w14:paraId="350D4218">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p>
        </w:tc>
        <w:tc>
          <w:tcPr>
            <w:tcW w:w="1726" w:type="dxa"/>
            <w:vAlign w:val="center"/>
          </w:tcPr>
          <w:p w14:paraId="5940250F">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十二月</w:t>
            </w:r>
          </w:p>
        </w:tc>
        <w:tc>
          <w:tcPr>
            <w:tcW w:w="963" w:type="pct"/>
            <w:vAlign w:val="center"/>
          </w:tcPr>
          <w:p w14:paraId="5244CA88">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0.2</w:t>
            </w:r>
          </w:p>
        </w:tc>
        <w:tc>
          <w:tcPr>
            <w:tcW w:w="1017" w:type="pct"/>
            <w:vAlign w:val="center"/>
          </w:tcPr>
          <w:p w14:paraId="32FF9B28">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0.3</w:t>
            </w:r>
          </w:p>
        </w:tc>
        <w:tc>
          <w:tcPr>
            <w:tcW w:w="699" w:type="pct"/>
            <w:vAlign w:val="center"/>
          </w:tcPr>
          <w:p w14:paraId="6C83BFA5">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0.0001</w:t>
            </w:r>
          </w:p>
        </w:tc>
      </w:tr>
      <w:tr w14:paraId="145778B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695" w:type="pct"/>
            <w:vAlign w:val="center"/>
          </w:tcPr>
          <w:p w14:paraId="7A61FF8E">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13</w:t>
            </w:r>
          </w:p>
        </w:tc>
        <w:tc>
          <w:tcPr>
            <w:tcW w:w="694" w:type="pct"/>
            <w:vMerge w:val="restart"/>
            <w:vAlign w:val="center"/>
          </w:tcPr>
          <w:p w14:paraId="3A04D58B">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180</w:t>
            </w:r>
            <w:r>
              <w:rPr>
                <w:rFonts w:ascii="Times New Roman" w:hAnsi="Times New Roman"/>
                <w:color w:val="000000" w:themeColor="text1"/>
                <w:sz w:val="21"/>
                <w:szCs w:val="21"/>
                <w14:textFill>
                  <w14:solidFill>
                    <w14:schemeClr w14:val="tx1"/>
                  </w14:solidFill>
                </w14:textFill>
              </w:rPr>
              <w:t>°</w:t>
            </w:r>
            <w:r>
              <w:rPr>
                <w:rFonts w:hint="eastAsia" w:ascii="Times New Roman" w:hAnsi="Times New Roman"/>
                <w:color w:val="000000" w:themeColor="text1"/>
                <w:sz w:val="21"/>
                <w:szCs w:val="21"/>
                <w14:textFill>
                  <w14:solidFill>
                    <w14:schemeClr w14:val="tx1"/>
                  </w14:solidFill>
                </w14:textFill>
              </w:rPr>
              <w:t>~360</w:t>
            </w:r>
            <w:r>
              <w:rPr>
                <w:rFonts w:ascii="Times New Roman" w:hAnsi="Times New Roman"/>
                <w:color w:val="000000" w:themeColor="text1"/>
                <w:sz w:val="21"/>
                <w:szCs w:val="21"/>
                <w14:textFill>
                  <w14:solidFill>
                    <w14:schemeClr w14:val="tx1"/>
                  </w14:solidFill>
                </w14:textFill>
              </w:rPr>
              <w:t>°</w:t>
            </w:r>
          </w:p>
          <w:p w14:paraId="1F47E135">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（城市）</w:t>
            </w:r>
          </w:p>
        </w:tc>
        <w:tc>
          <w:tcPr>
            <w:tcW w:w="1726" w:type="dxa"/>
            <w:vAlign w:val="center"/>
          </w:tcPr>
          <w:p w14:paraId="5B925B4C">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一月</w:t>
            </w:r>
          </w:p>
        </w:tc>
        <w:tc>
          <w:tcPr>
            <w:tcW w:w="963" w:type="pct"/>
            <w:vAlign w:val="center"/>
          </w:tcPr>
          <w:p w14:paraId="5B6442C9">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0.35</w:t>
            </w:r>
          </w:p>
        </w:tc>
        <w:tc>
          <w:tcPr>
            <w:tcW w:w="1017" w:type="pct"/>
            <w:vAlign w:val="center"/>
          </w:tcPr>
          <w:p w14:paraId="1FB810D0">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0.5</w:t>
            </w:r>
          </w:p>
        </w:tc>
        <w:tc>
          <w:tcPr>
            <w:tcW w:w="699" w:type="pct"/>
            <w:vAlign w:val="center"/>
          </w:tcPr>
          <w:p w14:paraId="6EA06B64">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1</w:t>
            </w:r>
          </w:p>
        </w:tc>
      </w:tr>
      <w:tr w14:paraId="0430B54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695" w:type="pct"/>
            <w:vAlign w:val="center"/>
          </w:tcPr>
          <w:p w14:paraId="5628F9BD">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14</w:t>
            </w:r>
          </w:p>
        </w:tc>
        <w:tc>
          <w:tcPr>
            <w:tcW w:w="694" w:type="pct"/>
            <w:vMerge w:val="continue"/>
            <w:vAlign w:val="center"/>
          </w:tcPr>
          <w:p w14:paraId="242755F4">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p>
        </w:tc>
        <w:tc>
          <w:tcPr>
            <w:tcW w:w="1726" w:type="dxa"/>
            <w:vAlign w:val="center"/>
          </w:tcPr>
          <w:p w14:paraId="3E6D97B5">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二月</w:t>
            </w:r>
          </w:p>
        </w:tc>
        <w:tc>
          <w:tcPr>
            <w:tcW w:w="963" w:type="pct"/>
            <w:vAlign w:val="center"/>
          </w:tcPr>
          <w:p w14:paraId="63BE3FA3">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0.35</w:t>
            </w:r>
          </w:p>
        </w:tc>
        <w:tc>
          <w:tcPr>
            <w:tcW w:w="1017" w:type="pct"/>
            <w:vAlign w:val="center"/>
          </w:tcPr>
          <w:p w14:paraId="77810D18">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0.5</w:t>
            </w:r>
          </w:p>
        </w:tc>
        <w:tc>
          <w:tcPr>
            <w:tcW w:w="699" w:type="pct"/>
            <w:vAlign w:val="center"/>
          </w:tcPr>
          <w:p w14:paraId="152A34C3">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1</w:t>
            </w:r>
          </w:p>
        </w:tc>
      </w:tr>
      <w:tr w14:paraId="6AC80AF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695" w:type="pct"/>
            <w:vAlign w:val="center"/>
          </w:tcPr>
          <w:p w14:paraId="51963C9E">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15</w:t>
            </w:r>
          </w:p>
        </w:tc>
        <w:tc>
          <w:tcPr>
            <w:tcW w:w="694" w:type="pct"/>
            <w:vMerge w:val="continue"/>
            <w:vAlign w:val="center"/>
          </w:tcPr>
          <w:p w14:paraId="4CA67499">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p>
        </w:tc>
        <w:tc>
          <w:tcPr>
            <w:tcW w:w="1726" w:type="dxa"/>
            <w:vAlign w:val="center"/>
          </w:tcPr>
          <w:p w14:paraId="49DDB189">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三月</w:t>
            </w:r>
          </w:p>
        </w:tc>
        <w:tc>
          <w:tcPr>
            <w:tcW w:w="963" w:type="pct"/>
            <w:vAlign w:val="center"/>
          </w:tcPr>
          <w:p w14:paraId="5305A7E0">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0.14</w:t>
            </w:r>
          </w:p>
        </w:tc>
        <w:tc>
          <w:tcPr>
            <w:tcW w:w="1017" w:type="pct"/>
            <w:vAlign w:val="center"/>
          </w:tcPr>
          <w:p w14:paraId="2815AE72">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0.5</w:t>
            </w:r>
          </w:p>
        </w:tc>
        <w:tc>
          <w:tcPr>
            <w:tcW w:w="699" w:type="pct"/>
            <w:vAlign w:val="center"/>
          </w:tcPr>
          <w:p w14:paraId="762E83B4">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1</w:t>
            </w:r>
          </w:p>
        </w:tc>
      </w:tr>
      <w:tr w14:paraId="21CC6C9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695" w:type="pct"/>
            <w:vAlign w:val="center"/>
          </w:tcPr>
          <w:p w14:paraId="764DB228">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16</w:t>
            </w:r>
          </w:p>
        </w:tc>
        <w:tc>
          <w:tcPr>
            <w:tcW w:w="694" w:type="pct"/>
            <w:vMerge w:val="continue"/>
            <w:vAlign w:val="center"/>
          </w:tcPr>
          <w:p w14:paraId="735485E9">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p>
        </w:tc>
        <w:tc>
          <w:tcPr>
            <w:tcW w:w="1726" w:type="dxa"/>
            <w:vAlign w:val="center"/>
          </w:tcPr>
          <w:p w14:paraId="66824121">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四月</w:t>
            </w:r>
          </w:p>
        </w:tc>
        <w:tc>
          <w:tcPr>
            <w:tcW w:w="963" w:type="pct"/>
            <w:vAlign w:val="center"/>
          </w:tcPr>
          <w:p w14:paraId="3282A294">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0.14</w:t>
            </w:r>
          </w:p>
        </w:tc>
        <w:tc>
          <w:tcPr>
            <w:tcW w:w="1017" w:type="pct"/>
            <w:vAlign w:val="center"/>
          </w:tcPr>
          <w:p w14:paraId="468A0600">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0.5</w:t>
            </w:r>
          </w:p>
        </w:tc>
        <w:tc>
          <w:tcPr>
            <w:tcW w:w="699" w:type="pct"/>
            <w:vAlign w:val="center"/>
          </w:tcPr>
          <w:p w14:paraId="065A9C6A">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1</w:t>
            </w:r>
          </w:p>
        </w:tc>
      </w:tr>
      <w:tr w14:paraId="069E372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695" w:type="pct"/>
            <w:vAlign w:val="center"/>
          </w:tcPr>
          <w:p w14:paraId="4D2CDA23">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17</w:t>
            </w:r>
          </w:p>
        </w:tc>
        <w:tc>
          <w:tcPr>
            <w:tcW w:w="694" w:type="pct"/>
            <w:vMerge w:val="continue"/>
            <w:vAlign w:val="center"/>
          </w:tcPr>
          <w:p w14:paraId="0723C781">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p>
        </w:tc>
        <w:tc>
          <w:tcPr>
            <w:tcW w:w="1726" w:type="dxa"/>
            <w:vAlign w:val="center"/>
          </w:tcPr>
          <w:p w14:paraId="328972EE">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五月</w:t>
            </w:r>
          </w:p>
        </w:tc>
        <w:tc>
          <w:tcPr>
            <w:tcW w:w="963" w:type="pct"/>
            <w:vAlign w:val="center"/>
          </w:tcPr>
          <w:p w14:paraId="7149991C">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0.14</w:t>
            </w:r>
          </w:p>
        </w:tc>
        <w:tc>
          <w:tcPr>
            <w:tcW w:w="1017" w:type="pct"/>
            <w:vAlign w:val="center"/>
          </w:tcPr>
          <w:p w14:paraId="4D47561E">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0.5</w:t>
            </w:r>
          </w:p>
        </w:tc>
        <w:tc>
          <w:tcPr>
            <w:tcW w:w="699" w:type="pct"/>
            <w:vAlign w:val="center"/>
          </w:tcPr>
          <w:p w14:paraId="753C74B8">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1</w:t>
            </w:r>
          </w:p>
        </w:tc>
      </w:tr>
      <w:tr w14:paraId="19C4C4C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695" w:type="pct"/>
            <w:vAlign w:val="center"/>
          </w:tcPr>
          <w:p w14:paraId="062781EE">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18</w:t>
            </w:r>
          </w:p>
        </w:tc>
        <w:tc>
          <w:tcPr>
            <w:tcW w:w="694" w:type="pct"/>
            <w:vMerge w:val="continue"/>
            <w:vAlign w:val="center"/>
          </w:tcPr>
          <w:p w14:paraId="2F8418A3">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p>
        </w:tc>
        <w:tc>
          <w:tcPr>
            <w:tcW w:w="1726" w:type="dxa"/>
            <w:vAlign w:val="center"/>
          </w:tcPr>
          <w:p w14:paraId="032870BE">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六月</w:t>
            </w:r>
          </w:p>
        </w:tc>
        <w:tc>
          <w:tcPr>
            <w:tcW w:w="963" w:type="pct"/>
            <w:vAlign w:val="center"/>
          </w:tcPr>
          <w:p w14:paraId="065BB338">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0.16</w:t>
            </w:r>
          </w:p>
        </w:tc>
        <w:tc>
          <w:tcPr>
            <w:tcW w:w="1017" w:type="pct"/>
            <w:vAlign w:val="center"/>
          </w:tcPr>
          <w:p w14:paraId="06D54FE5">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1</w:t>
            </w:r>
          </w:p>
        </w:tc>
        <w:tc>
          <w:tcPr>
            <w:tcW w:w="699" w:type="pct"/>
            <w:vAlign w:val="center"/>
          </w:tcPr>
          <w:p w14:paraId="5B6AC3EE">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1</w:t>
            </w:r>
          </w:p>
        </w:tc>
      </w:tr>
      <w:tr w14:paraId="1C886D5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695" w:type="pct"/>
            <w:vAlign w:val="center"/>
          </w:tcPr>
          <w:p w14:paraId="5E554522">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19</w:t>
            </w:r>
          </w:p>
        </w:tc>
        <w:tc>
          <w:tcPr>
            <w:tcW w:w="694" w:type="pct"/>
            <w:vMerge w:val="continue"/>
            <w:vAlign w:val="center"/>
          </w:tcPr>
          <w:p w14:paraId="3BADCC50">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p>
        </w:tc>
        <w:tc>
          <w:tcPr>
            <w:tcW w:w="1726" w:type="dxa"/>
            <w:vAlign w:val="center"/>
          </w:tcPr>
          <w:p w14:paraId="1660BD58">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七月</w:t>
            </w:r>
          </w:p>
        </w:tc>
        <w:tc>
          <w:tcPr>
            <w:tcW w:w="963" w:type="pct"/>
            <w:vAlign w:val="center"/>
          </w:tcPr>
          <w:p w14:paraId="09FAB172">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0.16</w:t>
            </w:r>
          </w:p>
        </w:tc>
        <w:tc>
          <w:tcPr>
            <w:tcW w:w="1017" w:type="pct"/>
            <w:vAlign w:val="center"/>
          </w:tcPr>
          <w:p w14:paraId="7A93303C">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1</w:t>
            </w:r>
          </w:p>
        </w:tc>
        <w:tc>
          <w:tcPr>
            <w:tcW w:w="699" w:type="pct"/>
            <w:vAlign w:val="center"/>
          </w:tcPr>
          <w:p w14:paraId="453D4347">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1</w:t>
            </w:r>
          </w:p>
        </w:tc>
      </w:tr>
      <w:tr w14:paraId="18D6391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695" w:type="pct"/>
            <w:vAlign w:val="center"/>
          </w:tcPr>
          <w:p w14:paraId="573FDC0E">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20</w:t>
            </w:r>
          </w:p>
        </w:tc>
        <w:tc>
          <w:tcPr>
            <w:tcW w:w="694" w:type="pct"/>
            <w:vMerge w:val="continue"/>
            <w:vAlign w:val="center"/>
          </w:tcPr>
          <w:p w14:paraId="7DF12271">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p>
        </w:tc>
        <w:tc>
          <w:tcPr>
            <w:tcW w:w="1726" w:type="dxa"/>
            <w:vAlign w:val="center"/>
          </w:tcPr>
          <w:p w14:paraId="30272F10">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八月</w:t>
            </w:r>
          </w:p>
        </w:tc>
        <w:tc>
          <w:tcPr>
            <w:tcW w:w="963" w:type="pct"/>
            <w:vAlign w:val="center"/>
          </w:tcPr>
          <w:p w14:paraId="5E211545">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0.16</w:t>
            </w:r>
          </w:p>
        </w:tc>
        <w:tc>
          <w:tcPr>
            <w:tcW w:w="1017" w:type="pct"/>
            <w:vAlign w:val="center"/>
          </w:tcPr>
          <w:p w14:paraId="78BCD13D">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1</w:t>
            </w:r>
          </w:p>
        </w:tc>
        <w:tc>
          <w:tcPr>
            <w:tcW w:w="699" w:type="pct"/>
            <w:vAlign w:val="center"/>
          </w:tcPr>
          <w:p w14:paraId="05DDFDA3">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1</w:t>
            </w:r>
          </w:p>
        </w:tc>
      </w:tr>
      <w:tr w14:paraId="4342139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695" w:type="pct"/>
            <w:vAlign w:val="center"/>
          </w:tcPr>
          <w:p w14:paraId="37DBB9E1">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21</w:t>
            </w:r>
          </w:p>
        </w:tc>
        <w:tc>
          <w:tcPr>
            <w:tcW w:w="694" w:type="pct"/>
            <w:vMerge w:val="continue"/>
            <w:vAlign w:val="center"/>
          </w:tcPr>
          <w:p w14:paraId="7BC10812">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p>
        </w:tc>
        <w:tc>
          <w:tcPr>
            <w:tcW w:w="1726" w:type="dxa"/>
            <w:vAlign w:val="center"/>
          </w:tcPr>
          <w:p w14:paraId="6ACD5D35">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九月</w:t>
            </w:r>
          </w:p>
        </w:tc>
        <w:tc>
          <w:tcPr>
            <w:tcW w:w="963" w:type="pct"/>
            <w:vAlign w:val="center"/>
          </w:tcPr>
          <w:p w14:paraId="072A3338">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0.18</w:t>
            </w:r>
          </w:p>
        </w:tc>
        <w:tc>
          <w:tcPr>
            <w:tcW w:w="1017" w:type="pct"/>
            <w:vAlign w:val="center"/>
          </w:tcPr>
          <w:p w14:paraId="78425562">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1</w:t>
            </w:r>
          </w:p>
        </w:tc>
        <w:tc>
          <w:tcPr>
            <w:tcW w:w="699" w:type="pct"/>
            <w:vAlign w:val="center"/>
          </w:tcPr>
          <w:p w14:paraId="09931287">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1</w:t>
            </w:r>
          </w:p>
        </w:tc>
      </w:tr>
      <w:tr w14:paraId="06F7597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695" w:type="pct"/>
            <w:vAlign w:val="center"/>
          </w:tcPr>
          <w:p w14:paraId="0ADC3E2A">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22</w:t>
            </w:r>
          </w:p>
        </w:tc>
        <w:tc>
          <w:tcPr>
            <w:tcW w:w="694" w:type="pct"/>
            <w:vMerge w:val="continue"/>
            <w:vAlign w:val="center"/>
          </w:tcPr>
          <w:p w14:paraId="65ADCB87">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p>
        </w:tc>
        <w:tc>
          <w:tcPr>
            <w:tcW w:w="1726" w:type="dxa"/>
            <w:vAlign w:val="center"/>
          </w:tcPr>
          <w:p w14:paraId="4F506D69">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十月</w:t>
            </w:r>
          </w:p>
        </w:tc>
        <w:tc>
          <w:tcPr>
            <w:tcW w:w="963" w:type="pct"/>
            <w:vAlign w:val="center"/>
          </w:tcPr>
          <w:p w14:paraId="357484A9">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0.18</w:t>
            </w:r>
          </w:p>
        </w:tc>
        <w:tc>
          <w:tcPr>
            <w:tcW w:w="1017" w:type="pct"/>
            <w:vAlign w:val="center"/>
          </w:tcPr>
          <w:p w14:paraId="194E2BFC">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1</w:t>
            </w:r>
          </w:p>
        </w:tc>
        <w:tc>
          <w:tcPr>
            <w:tcW w:w="699" w:type="pct"/>
            <w:vAlign w:val="center"/>
          </w:tcPr>
          <w:p w14:paraId="163824A1">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1</w:t>
            </w:r>
          </w:p>
        </w:tc>
      </w:tr>
      <w:tr w14:paraId="5B740B3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695" w:type="pct"/>
            <w:vAlign w:val="center"/>
          </w:tcPr>
          <w:p w14:paraId="706E7E2C">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23</w:t>
            </w:r>
          </w:p>
        </w:tc>
        <w:tc>
          <w:tcPr>
            <w:tcW w:w="694" w:type="pct"/>
            <w:vMerge w:val="continue"/>
            <w:vAlign w:val="center"/>
          </w:tcPr>
          <w:p w14:paraId="6C73E136">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p>
        </w:tc>
        <w:tc>
          <w:tcPr>
            <w:tcW w:w="1726" w:type="dxa"/>
            <w:vAlign w:val="center"/>
          </w:tcPr>
          <w:p w14:paraId="38F33565">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十一月</w:t>
            </w:r>
          </w:p>
        </w:tc>
        <w:tc>
          <w:tcPr>
            <w:tcW w:w="963" w:type="pct"/>
            <w:vAlign w:val="center"/>
          </w:tcPr>
          <w:p w14:paraId="7A282344">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0.18</w:t>
            </w:r>
          </w:p>
        </w:tc>
        <w:tc>
          <w:tcPr>
            <w:tcW w:w="1017" w:type="pct"/>
            <w:vAlign w:val="center"/>
          </w:tcPr>
          <w:p w14:paraId="6991A013">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1</w:t>
            </w:r>
          </w:p>
        </w:tc>
        <w:tc>
          <w:tcPr>
            <w:tcW w:w="699" w:type="pct"/>
            <w:vAlign w:val="center"/>
          </w:tcPr>
          <w:p w14:paraId="4B110C3A">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1</w:t>
            </w:r>
          </w:p>
        </w:tc>
      </w:tr>
      <w:tr w14:paraId="101231B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695" w:type="pct"/>
            <w:vAlign w:val="center"/>
          </w:tcPr>
          <w:p w14:paraId="5876AC3D">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24</w:t>
            </w:r>
          </w:p>
        </w:tc>
        <w:tc>
          <w:tcPr>
            <w:tcW w:w="694" w:type="pct"/>
            <w:vMerge w:val="continue"/>
            <w:vAlign w:val="center"/>
          </w:tcPr>
          <w:p w14:paraId="452E38A7">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p>
        </w:tc>
        <w:tc>
          <w:tcPr>
            <w:tcW w:w="1726" w:type="dxa"/>
            <w:vAlign w:val="center"/>
          </w:tcPr>
          <w:p w14:paraId="57751AF2">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十二月</w:t>
            </w:r>
          </w:p>
        </w:tc>
        <w:tc>
          <w:tcPr>
            <w:tcW w:w="963" w:type="pct"/>
            <w:vAlign w:val="center"/>
          </w:tcPr>
          <w:p w14:paraId="539C7B5A">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0.35</w:t>
            </w:r>
          </w:p>
        </w:tc>
        <w:tc>
          <w:tcPr>
            <w:tcW w:w="1017" w:type="pct"/>
            <w:vAlign w:val="center"/>
          </w:tcPr>
          <w:p w14:paraId="0A7FD8BC">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0.5</w:t>
            </w:r>
          </w:p>
        </w:tc>
        <w:tc>
          <w:tcPr>
            <w:tcW w:w="699" w:type="pct"/>
            <w:vAlign w:val="center"/>
          </w:tcPr>
          <w:p w14:paraId="6D179A18">
            <w:pPr>
              <w:pStyle w:val="121"/>
              <w:spacing w:before="0" w:beforeAutospacing="0" w:after="0" w:afterAutospacing="0" w:line="240" w:lineRule="auto"/>
              <w:ind w:left="0" w:leftChars="0" w:right="0" w:right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1</w:t>
            </w:r>
          </w:p>
        </w:tc>
      </w:tr>
    </w:tbl>
    <w:p w14:paraId="347444CC">
      <w:pPr>
        <w:pStyle w:val="6"/>
        <w:rPr>
          <w:color w:val="000000" w:themeColor="text1"/>
          <w14:textFill>
            <w14:solidFill>
              <w14:schemeClr w14:val="tx1"/>
            </w14:solidFill>
          </w14:textFill>
        </w:rPr>
      </w:pPr>
      <w:r>
        <w:rPr>
          <w:color w:val="000000" w:themeColor="text1"/>
          <w14:textFill>
            <w14:solidFill>
              <w14:schemeClr w14:val="tx1"/>
            </w14:solidFill>
          </w14:textFill>
        </w:rPr>
        <w:t>地形数据</w:t>
      </w:r>
    </w:p>
    <w:p w14:paraId="5A567E12">
      <w:pPr>
        <w:ind w:firstLine="480"/>
        <w:rPr>
          <w:color w:val="000000" w:themeColor="text1"/>
          <w14:textFill>
            <w14:solidFill>
              <w14:schemeClr w14:val="tx1"/>
            </w14:solidFill>
          </w14:textFill>
        </w:rPr>
      </w:pPr>
      <w:r>
        <w:rPr>
          <w:color w:val="000000" w:themeColor="text1"/>
          <w14:textFill>
            <w14:solidFill>
              <w14:schemeClr w14:val="tx1"/>
            </w14:solidFill>
          </w14:textFill>
        </w:rPr>
        <w:t>评价范围内的地形数据采用外部DEM文件，并采用AERMAP运行计算得出评价范围内各网格及敏感点的地形数据。构建评价范围的预测网格时，采用直角坐标的方式，即坐标形式为（x，y）。采取等间距设置预测网格，间距按50m进行设置。</w:t>
      </w:r>
    </w:p>
    <w:p w14:paraId="02666CE8">
      <w:pPr>
        <w:ind w:firstLine="480"/>
        <w:rPr>
          <w:color w:val="000000" w:themeColor="text1"/>
          <w14:textFill>
            <w14:solidFill>
              <w14:schemeClr w14:val="tx1"/>
            </w14:solidFill>
          </w14:textFill>
        </w:rPr>
      </w:pPr>
      <w:r>
        <w:rPr>
          <w:color w:val="000000" w:themeColor="text1"/>
          <w14:textFill>
            <w14:solidFill>
              <w14:schemeClr w14:val="tx1"/>
            </w14:solidFill>
          </w14:textFill>
        </w:rPr>
        <mc:AlternateContent>
          <mc:Choice Requires="wps">
            <w:drawing>
              <wp:anchor distT="0" distB="0" distL="114300" distR="114300" simplePos="0" relativeHeight="251703296" behindDoc="0" locked="0" layoutInCell="1" allowOverlap="1">
                <wp:simplePos x="0" y="0"/>
                <wp:positionH relativeFrom="column">
                  <wp:posOffset>2360295</wp:posOffset>
                </wp:positionH>
                <wp:positionV relativeFrom="paragraph">
                  <wp:posOffset>1619250</wp:posOffset>
                </wp:positionV>
                <wp:extent cx="315595" cy="311785"/>
                <wp:effectExtent l="38100" t="38100" r="0" b="50165"/>
                <wp:wrapNone/>
                <wp:docPr id="141" name="十字星 141"/>
                <wp:cNvGraphicFramePr/>
                <a:graphic xmlns:a="http://schemas.openxmlformats.org/drawingml/2006/main">
                  <a:graphicData uri="http://schemas.microsoft.com/office/word/2010/wordprocessingShape">
                    <wps:wsp>
                      <wps:cNvSpPr/>
                      <wps:spPr>
                        <a:xfrm>
                          <a:off x="0" y="0"/>
                          <a:ext cx="315595" cy="311785"/>
                        </a:xfrm>
                        <a:prstGeom prst="star4">
                          <a:avLst/>
                        </a:prstGeom>
                        <a:solidFill>
                          <a:srgbClr val="FF0000"/>
                        </a:solidFill>
                        <a:ln w="12700" cap="flat" cmpd="sng" algn="ctr">
                          <a:solidFill>
                            <a:srgbClr val="FF0000"/>
                          </a:solidFill>
                          <a:prstDash val="solid"/>
                          <a:miter lim="800000"/>
                        </a:ln>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87" type="#_x0000_t187" style="position:absolute;left:0pt;margin-left:185.85pt;margin-top:127.5pt;height:24.55pt;width:24.85pt;z-index:251703296;v-text-anchor:middle;mso-width-relative:page;mso-height-relative:page;" fillcolor="#FF0000" filled="t" stroked="t" coordsize="21600,21600" o:gfxdata="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D7f99O2gAAAAsBAAAPAAAAAAAAAAEAIAAAACIAAABkcnMv&#10;ZG93bnJldi54bWxQSwECFAAUAAAACACHTuJAqMtUwXMCAAD7BAAADgAAAAAAAAABACAAAAApAQAA&#10;ZHJzL2Uyb0RvYy54bWxQSwUGAAAAAAYABgBZAQAADgYAAAAA&#10;" adj="8100">
                <v:fill on="t" focussize="0,0"/>
                <v:stroke weight="1pt" color="#FF0000" miterlimit="8" joinstyle="miter"/>
                <v:imagedata o:title=""/>
                <o:lock v:ext="edit" aspectratio="f"/>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04320" behindDoc="0" locked="0" layoutInCell="1" allowOverlap="1">
                <wp:simplePos x="0" y="0"/>
                <wp:positionH relativeFrom="column">
                  <wp:posOffset>2454910</wp:posOffset>
                </wp:positionH>
                <wp:positionV relativeFrom="paragraph">
                  <wp:posOffset>2151380</wp:posOffset>
                </wp:positionV>
                <wp:extent cx="762635" cy="290830"/>
                <wp:effectExtent l="0" t="323850" r="18415" b="13970"/>
                <wp:wrapNone/>
                <wp:docPr id="142" name="矩形标注 142"/>
                <wp:cNvGraphicFramePr/>
                <a:graphic xmlns:a="http://schemas.openxmlformats.org/drawingml/2006/main">
                  <a:graphicData uri="http://schemas.microsoft.com/office/word/2010/wordprocessingShape">
                    <wps:wsp>
                      <wps:cNvSpPr/>
                      <wps:spPr>
                        <a:xfrm>
                          <a:off x="0" y="0"/>
                          <a:ext cx="762635" cy="290830"/>
                        </a:xfrm>
                        <a:prstGeom prst="wedgeRectCallout">
                          <a:avLst>
                            <a:gd name="adj1" fmla="val -37281"/>
                            <a:gd name="adj2" fmla="val -150444"/>
                          </a:avLst>
                        </a:prstGeom>
                        <a:solidFill>
                          <a:srgbClr val="C7EDCC"/>
                        </a:solidFill>
                        <a:ln w="12700" cap="flat" cmpd="sng" algn="ctr">
                          <a:gradFill>
                            <a:gsLst>
                              <a:gs pos="50410">
                                <a:srgbClr val="1F1F1F"/>
                              </a:gs>
                              <a:gs pos="0">
                                <a:srgbClr val="020202"/>
                              </a:gs>
                              <a:gs pos="100000">
                                <a:srgbClr val="424242"/>
                              </a:gs>
                            </a:gsLst>
                            <a:lin ang="5400000" scaled="0"/>
                          </a:gradFill>
                          <a:prstDash val="solid"/>
                          <a:miter lim="800000"/>
                        </a:ln>
                      </wps:spPr>
                      <wps:txbx>
                        <w:txbxContent>
                          <w:p w14:paraId="17DAEF77">
                            <w:pPr>
                              <w:spacing w:line="300" w:lineRule="exact"/>
                              <w:ind w:firstLine="0" w:firstLineChars="0"/>
                              <w:jc w:val="center"/>
                              <w:rPr>
                                <w:color w:val="000000"/>
                                <w:sz w:val="18"/>
                                <w:szCs w:val="18"/>
                              </w:rPr>
                            </w:pPr>
                            <w:r>
                              <w:rPr>
                                <w:rFonts w:hint="eastAsia"/>
                                <w:color w:val="000000"/>
                                <w:sz w:val="18"/>
                                <w:szCs w:val="18"/>
                              </w:rPr>
                              <w:t>本项目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93.3pt;margin-top:169.4pt;height:22.9pt;width:60.05pt;z-index:251704320;v-text-anchor:middle;mso-width-relative:page;mso-height-relative:page;" fillcolor="#C7EDCC" filled="t" stroked="t" coordsize="21600,21600" o:gfxdata="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" adj="2747,-21696">
                <v:fill on="t" focussize="0,0"/>
                <v:stroke weight="1pt" color="#000000" miterlimit="8" joinstyle="miter"/>
                <v:imagedata o:title=""/>
                <o:lock v:ext="edit" aspectratio="f"/>
                <v:textbox>
                  <w:txbxContent>
                    <w:p w14:paraId="17DAEF77">
                      <w:pPr>
                        <w:spacing w:line="300" w:lineRule="exact"/>
                        <w:ind w:firstLine="0" w:firstLineChars="0"/>
                        <w:jc w:val="center"/>
                        <w:rPr>
                          <w:color w:val="000000"/>
                          <w:sz w:val="18"/>
                          <w:szCs w:val="18"/>
                        </w:rPr>
                      </w:pPr>
                      <w:r>
                        <w:rPr>
                          <w:rFonts w:hint="eastAsia"/>
                          <w:color w:val="000000"/>
                          <w:sz w:val="18"/>
                          <w:szCs w:val="18"/>
                        </w:rPr>
                        <w:t>本项目</w:t>
                      </w:r>
                    </w:p>
                  </w:txbxContent>
                </v:textbox>
              </v:shape>
            </w:pict>
          </mc:Fallback>
        </mc:AlternateContent>
      </w:r>
      <w:r>
        <w:rPr>
          <w:color w:val="000000" w:themeColor="text1"/>
          <w14:textFill>
            <w14:solidFill>
              <w14:schemeClr w14:val="tx1"/>
            </w14:solidFill>
          </w14:textFill>
        </w:rPr>
        <w:drawing>
          <wp:inline distT="0" distB="0" distL="0" distR="0">
            <wp:extent cx="5274310" cy="3722370"/>
            <wp:effectExtent l="0" t="0" r="2540" b="0"/>
            <wp:docPr id="277" name="图片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277"/>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a:xfrm>
                      <a:off x="0" y="0"/>
                      <a:ext cx="5274310" cy="3722530"/>
                    </a:xfrm>
                    <a:prstGeom prst="rect">
                      <a:avLst/>
                    </a:prstGeom>
                    <a:noFill/>
                    <a:ln>
                      <a:noFill/>
                    </a:ln>
                    <a:effectLst/>
                  </pic:spPr>
                </pic:pic>
              </a:graphicData>
            </a:graphic>
          </wp:inline>
        </w:drawing>
      </w:r>
    </w:p>
    <w:p w14:paraId="117C17EB">
      <w:pPr>
        <w:pStyle w:val="8"/>
        <w:rPr>
          <w:color w:val="000000" w:themeColor="text1"/>
          <w14:textFill>
            <w14:solidFill>
              <w14:schemeClr w14:val="tx1"/>
            </w14:solidFill>
          </w14:textFill>
        </w:rPr>
      </w:pPr>
      <w:r>
        <w:rPr>
          <w:rFonts w:hint="eastAsia"/>
          <w:color w:val="000000" w:themeColor="text1"/>
          <w14:textFill>
            <w14:solidFill>
              <w14:schemeClr w14:val="tx1"/>
            </w14:solidFill>
          </w14:textFill>
        </w:rPr>
        <w:t>预测地形高程图</w:t>
      </w:r>
    </w:p>
    <w:p w14:paraId="592DFAE7">
      <w:pPr>
        <w:pStyle w:val="6"/>
        <w:rPr>
          <w:color w:val="000000" w:themeColor="text1"/>
          <w14:textFill>
            <w14:solidFill>
              <w14:schemeClr w14:val="tx1"/>
            </w14:solidFill>
          </w14:textFill>
        </w:rPr>
      </w:pPr>
      <w:r>
        <w:rPr>
          <w:color w:val="000000" w:themeColor="text1"/>
          <w14:textFill>
            <w14:solidFill>
              <w14:schemeClr w14:val="tx1"/>
            </w14:solidFill>
          </w14:textFill>
        </w:rPr>
        <w:t>预测模型</w:t>
      </w:r>
    </w:p>
    <w:p w14:paraId="77293D4C">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本项目按国家标准《环境影响评价技术导则 大气环境》（HJ 2.2-2018）中环境保护部环境工程评估中心环境质量模拟重点实验室网站推荐的大气估算模式进行，采用AERSCREEN软件进行预测计算。</w:t>
      </w:r>
    </w:p>
    <w:p w14:paraId="6517BFD3">
      <w:pPr>
        <w:pStyle w:val="6"/>
        <w:rPr>
          <w:color w:val="000000" w:themeColor="text1"/>
          <w14:textFill>
            <w14:solidFill>
              <w14:schemeClr w14:val="tx1"/>
            </w14:solidFill>
          </w14:textFill>
        </w:rPr>
      </w:pPr>
      <w:r>
        <w:rPr>
          <w:rFonts w:hint="eastAsia"/>
          <w:color w:val="000000" w:themeColor="text1"/>
          <w14:textFill>
            <w14:solidFill>
              <w14:schemeClr w14:val="tx1"/>
            </w14:solidFill>
          </w14:textFill>
        </w:rPr>
        <w:t>无组织大气</w:t>
      </w:r>
      <w:r>
        <w:rPr>
          <w:color w:val="000000" w:themeColor="text1"/>
          <w14:textFill>
            <w14:solidFill>
              <w14:schemeClr w14:val="tx1"/>
            </w14:solidFill>
          </w14:textFill>
        </w:rPr>
        <w:t>预测及结果分析</w:t>
      </w:r>
    </w:p>
    <w:p w14:paraId="037DE3A7">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（1）正常工况下无组织废气</w:t>
      </w:r>
    </w:p>
    <w:p w14:paraId="11AEB2AB">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设备动静密封点泄漏涉及VOCs流经或接触的设备或管道，主要包括泵、压缩机、搅拌机、阀门、泄压设备、取样连接系统、开口阀或开口管线、法兰、连接件和其他等十大类。</w:t>
      </w:r>
    </w:p>
    <w:p w14:paraId="4D41175E">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本项目排放无组织废气的主要装置管件数量根据设计资料统计，装卸作业时相关动静密封点无组织废气排放速率见表4.2-10。</w:t>
      </w:r>
    </w:p>
    <w:p w14:paraId="66D46C2E">
      <w:pPr>
        <w:pStyle w:val="7"/>
        <w:rPr>
          <w:color w:val="000000" w:themeColor="text1"/>
          <w14:textFill>
            <w14:solidFill>
              <w14:schemeClr w14:val="tx1"/>
            </w14:solidFill>
          </w14:textFill>
        </w:rPr>
      </w:pPr>
      <w:r>
        <w:rPr>
          <w:color w:val="000000" w:themeColor="text1"/>
          <w14:textFill>
            <w14:solidFill>
              <w14:schemeClr w14:val="tx1"/>
            </w14:solidFill>
          </w14:textFill>
        </w:rPr>
        <w:t>项目各区域动静密封点</w:t>
      </w:r>
      <w:r>
        <w:rPr>
          <w:rFonts w:hint="eastAsia"/>
          <w:color w:val="000000" w:themeColor="text1"/>
          <w14:textFill>
            <w14:solidFill>
              <w14:schemeClr w14:val="tx1"/>
            </w14:solidFill>
          </w14:textFill>
        </w:rPr>
        <w:t>无组织排放量</w:t>
      </w:r>
    </w:p>
    <w:tbl>
      <w:tblPr>
        <w:tblStyle w:val="43"/>
        <w:tblW w:w="8276"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694"/>
        <w:gridCol w:w="2410"/>
        <w:gridCol w:w="2515"/>
        <w:gridCol w:w="2657"/>
      </w:tblGrid>
      <w:tr w14:paraId="4446E42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9" w:hRule="atLeast"/>
          <w:tblHeader/>
          <w:jc w:val="center"/>
        </w:trPr>
        <w:tc>
          <w:tcPr>
            <w:tcW w:w="3104" w:type="dxa"/>
            <w:gridSpan w:val="2"/>
            <w:tcMar>
              <w:left w:w="0" w:type="dxa"/>
              <w:right w:w="0" w:type="dxa"/>
            </w:tcMar>
            <w:vAlign w:val="center"/>
          </w:tcPr>
          <w:p w14:paraId="74714FDB">
            <w:pPr>
              <w:spacing w:line="240" w:lineRule="exact"/>
              <w:ind w:firstLine="0" w:firstLineChars="0"/>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污染物</w:t>
            </w:r>
          </w:p>
        </w:tc>
        <w:tc>
          <w:tcPr>
            <w:tcW w:w="2515" w:type="dxa"/>
            <w:tcMar>
              <w:left w:w="0" w:type="dxa"/>
              <w:right w:w="0" w:type="dxa"/>
            </w:tcMar>
            <w:vAlign w:val="center"/>
          </w:tcPr>
          <w:p w14:paraId="02CC77AE">
            <w:pPr>
              <w:spacing w:line="240" w:lineRule="exact"/>
              <w:ind w:firstLine="0" w:firstLineChars="0"/>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码头装卸区排放速率kg/h</w:t>
            </w:r>
          </w:p>
        </w:tc>
        <w:tc>
          <w:tcPr>
            <w:tcW w:w="2657" w:type="dxa"/>
            <w:tcMar>
              <w:left w:w="0" w:type="dxa"/>
              <w:right w:w="0" w:type="dxa"/>
            </w:tcMar>
            <w:vAlign w:val="center"/>
          </w:tcPr>
          <w:p w14:paraId="114C6350">
            <w:pPr>
              <w:spacing w:line="240" w:lineRule="exact"/>
              <w:ind w:firstLine="0" w:firstLineChars="0"/>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码头装卸区排放量t/a</w:t>
            </w:r>
          </w:p>
        </w:tc>
      </w:tr>
      <w:tr w14:paraId="74A06E2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88" w:hRule="atLeast"/>
          <w:jc w:val="center"/>
        </w:trPr>
        <w:tc>
          <w:tcPr>
            <w:tcW w:w="694" w:type="dxa"/>
            <w:vMerge w:val="restart"/>
            <w:tcMar>
              <w:left w:w="0" w:type="dxa"/>
              <w:right w:w="0" w:type="dxa"/>
            </w:tcMar>
            <w:vAlign w:val="center"/>
          </w:tcPr>
          <w:p w14:paraId="1E777640">
            <w:pPr>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14#泊位</w:t>
            </w:r>
          </w:p>
        </w:tc>
        <w:tc>
          <w:tcPr>
            <w:tcW w:w="2410" w:type="dxa"/>
            <w:tcMar>
              <w:left w:w="0" w:type="dxa"/>
              <w:right w:w="0" w:type="dxa"/>
            </w:tcMar>
            <w:vAlign w:val="center"/>
          </w:tcPr>
          <w:p w14:paraId="4C02E529">
            <w:pPr>
              <w:spacing w:line="240" w:lineRule="exact"/>
              <w:ind w:firstLine="0" w:firstLineChars="0"/>
              <w:jc w:val="center"/>
              <w:rPr>
                <w:color w:val="000000" w:themeColor="text1"/>
                <w:sz w:val="21"/>
                <w:szCs w:val="16"/>
                <w14:textFill>
                  <w14:solidFill>
                    <w14:schemeClr w14:val="tx1"/>
                  </w14:solidFill>
                </w14:textFill>
              </w:rPr>
            </w:pPr>
            <w:r>
              <w:rPr>
                <w:rFonts w:hint="eastAsia"/>
                <w:color w:val="000000" w:themeColor="text1"/>
                <w:sz w:val="21"/>
                <w:szCs w:val="16"/>
                <w14:textFill>
                  <w14:solidFill>
                    <w14:schemeClr w14:val="tx1"/>
                  </w14:solidFill>
                </w14:textFill>
              </w:rPr>
              <w:t>苯乙烯</w:t>
            </w:r>
          </w:p>
        </w:tc>
        <w:tc>
          <w:tcPr>
            <w:tcW w:w="2515" w:type="dxa"/>
            <w:tcMar>
              <w:left w:w="0" w:type="dxa"/>
              <w:right w:w="0" w:type="dxa"/>
            </w:tcMar>
            <w:vAlign w:val="center"/>
          </w:tcPr>
          <w:p w14:paraId="06F877E3">
            <w:pPr>
              <w:spacing w:line="240" w:lineRule="exac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0.0023</w:t>
            </w:r>
          </w:p>
        </w:tc>
        <w:tc>
          <w:tcPr>
            <w:tcW w:w="2657" w:type="dxa"/>
            <w:tcMar>
              <w:left w:w="0" w:type="dxa"/>
              <w:right w:w="0" w:type="dxa"/>
            </w:tcMar>
            <w:vAlign w:val="center"/>
          </w:tcPr>
          <w:p w14:paraId="523FB9A9">
            <w:pPr>
              <w:spacing w:line="240" w:lineRule="exact"/>
              <w:ind w:firstLine="0" w:firstLineChars="0"/>
              <w:jc w:val="center"/>
              <w:rPr>
                <w:rFonts w:eastAsia="等线"/>
                <w:color w:val="000000" w:themeColor="text1"/>
                <w:sz w:val="21"/>
                <w:szCs w:val="21"/>
                <w14:textFill>
                  <w14:solidFill>
                    <w14:schemeClr w14:val="tx1"/>
                  </w14:solidFill>
                </w14:textFill>
              </w:rPr>
            </w:pPr>
            <w:r>
              <w:rPr>
                <w:rFonts w:hint="eastAsia" w:eastAsia="等线"/>
                <w:color w:val="000000" w:themeColor="text1"/>
                <w:sz w:val="21"/>
                <w:szCs w:val="21"/>
                <w14:textFill>
                  <w14:solidFill>
                    <w14:schemeClr w14:val="tx1"/>
                  </w14:solidFill>
                </w14:textFill>
              </w:rPr>
              <w:t>0.00024</w:t>
            </w:r>
          </w:p>
        </w:tc>
      </w:tr>
      <w:tr w14:paraId="3498768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10" w:hRule="atLeast"/>
          <w:jc w:val="center"/>
        </w:trPr>
        <w:tc>
          <w:tcPr>
            <w:tcW w:w="694" w:type="dxa"/>
            <w:vMerge w:val="continue"/>
            <w:tcMar>
              <w:left w:w="0" w:type="dxa"/>
              <w:right w:w="0" w:type="dxa"/>
            </w:tcMar>
            <w:vAlign w:val="center"/>
          </w:tcPr>
          <w:p w14:paraId="350014F9">
            <w:pPr>
              <w:spacing w:line="240" w:lineRule="exact"/>
              <w:ind w:firstLine="0" w:firstLineChars="0"/>
              <w:jc w:val="center"/>
              <w:rPr>
                <w:color w:val="000000" w:themeColor="text1"/>
                <w:sz w:val="21"/>
                <w:szCs w:val="21"/>
                <w14:textFill>
                  <w14:solidFill>
                    <w14:schemeClr w14:val="tx1"/>
                  </w14:solidFill>
                </w14:textFill>
              </w:rPr>
            </w:pPr>
          </w:p>
        </w:tc>
        <w:tc>
          <w:tcPr>
            <w:tcW w:w="2410" w:type="dxa"/>
            <w:tcMar>
              <w:left w:w="0" w:type="dxa"/>
              <w:right w:w="0" w:type="dxa"/>
            </w:tcMar>
            <w:vAlign w:val="center"/>
          </w:tcPr>
          <w:p w14:paraId="25EE2989">
            <w:pPr>
              <w:spacing w:line="240" w:lineRule="exact"/>
              <w:ind w:firstLine="0" w:firstLineChars="0"/>
              <w:jc w:val="center"/>
              <w:rPr>
                <w:color w:val="000000" w:themeColor="text1"/>
                <w:sz w:val="21"/>
                <w:szCs w:val="16"/>
                <w14:textFill>
                  <w14:solidFill>
                    <w14:schemeClr w14:val="tx1"/>
                  </w14:solidFill>
                </w14:textFill>
              </w:rPr>
            </w:pPr>
            <w:r>
              <w:rPr>
                <w:rFonts w:hint="eastAsia"/>
                <w:color w:val="000000" w:themeColor="text1"/>
                <w:sz w:val="21"/>
                <w:szCs w:val="16"/>
                <w14:textFill>
                  <w14:solidFill>
                    <w14:schemeClr w14:val="tx1"/>
                  </w14:solidFill>
                </w14:textFill>
              </w:rPr>
              <w:t>硫酸雾</w:t>
            </w:r>
          </w:p>
        </w:tc>
        <w:tc>
          <w:tcPr>
            <w:tcW w:w="2515" w:type="dxa"/>
            <w:tcMar>
              <w:left w:w="0" w:type="dxa"/>
              <w:right w:w="0" w:type="dxa"/>
            </w:tcMar>
            <w:vAlign w:val="center"/>
          </w:tcPr>
          <w:p w14:paraId="48C920B9">
            <w:pPr>
              <w:spacing w:line="240" w:lineRule="exact"/>
              <w:ind w:firstLine="0" w:firstLineChars="0"/>
              <w:jc w:val="center"/>
              <w:rPr>
                <w:rFonts w:eastAsia="等线"/>
                <w:color w:val="000000" w:themeColor="text1"/>
                <w:sz w:val="21"/>
                <w:szCs w:val="21"/>
                <w14:textFill>
                  <w14:solidFill>
                    <w14:schemeClr w14:val="tx1"/>
                  </w14:solidFill>
                </w14:textFill>
              </w:rPr>
            </w:pPr>
            <w:r>
              <w:rPr>
                <w:rFonts w:hint="eastAsia" w:eastAsia="等线"/>
                <w:color w:val="000000" w:themeColor="text1"/>
                <w:sz w:val="21"/>
                <w:szCs w:val="21"/>
                <w14:textFill>
                  <w14:solidFill>
                    <w14:schemeClr w14:val="tx1"/>
                  </w14:solidFill>
                </w14:textFill>
              </w:rPr>
              <w:t>0</w:t>
            </w:r>
            <w:r>
              <w:rPr>
                <w:rFonts w:eastAsia="等线"/>
                <w:color w:val="000000" w:themeColor="text1"/>
                <w:sz w:val="21"/>
                <w:szCs w:val="21"/>
                <w14:textFill>
                  <w14:solidFill>
                    <w14:schemeClr w14:val="tx1"/>
                  </w14:solidFill>
                </w14:textFill>
              </w:rPr>
              <w:t>.0311</w:t>
            </w:r>
          </w:p>
        </w:tc>
        <w:tc>
          <w:tcPr>
            <w:tcW w:w="2657" w:type="dxa"/>
            <w:tcMar>
              <w:left w:w="0" w:type="dxa"/>
              <w:right w:w="0" w:type="dxa"/>
            </w:tcMar>
            <w:vAlign w:val="center"/>
          </w:tcPr>
          <w:p w14:paraId="69DCD41D">
            <w:pPr>
              <w:spacing w:line="240" w:lineRule="exact"/>
              <w:ind w:firstLine="0" w:firstLineChars="0"/>
              <w:jc w:val="center"/>
              <w:rPr>
                <w:rFonts w:eastAsia="等线"/>
                <w:color w:val="000000" w:themeColor="text1"/>
                <w:sz w:val="21"/>
                <w:szCs w:val="21"/>
                <w14:textFill>
                  <w14:solidFill>
                    <w14:schemeClr w14:val="tx1"/>
                  </w14:solidFill>
                </w14:textFill>
              </w:rPr>
            </w:pPr>
            <w:r>
              <w:rPr>
                <w:rFonts w:hint="eastAsia" w:eastAsia="等线"/>
                <w:color w:val="000000" w:themeColor="text1"/>
                <w:sz w:val="21"/>
                <w:szCs w:val="21"/>
                <w14:textFill>
                  <w14:solidFill>
                    <w14:schemeClr w14:val="tx1"/>
                  </w14:solidFill>
                </w14:textFill>
              </w:rPr>
              <w:t>0</w:t>
            </w:r>
            <w:r>
              <w:rPr>
                <w:rFonts w:eastAsia="等线"/>
                <w:color w:val="000000" w:themeColor="text1"/>
                <w:sz w:val="21"/>
                <w:szCs w:val="21"/>
                <w14:textFill>
                  <w14:solidFill>
                    <w14:schemeClr w14:val="tx1"/>
                  </w14:solidFill>
                </w14:textFill>
              </w:rPr>
              <w:t>.0011</w:t>
            </w:r>
          </w:p>
        </w:tc>
      </w:tr>
      <w:tr w14:paraId="0E1F977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85" w:hRule="atLeast"/>
          <w:jc w:val="center"/>
        </w:trPr>
        <w:tc>
          <w:tcPr>
            <w:tcW w:w="694" w:type="dxa"/>
            <w:vMerge w:val="continue"/>
            <w:tcMar>
              <w:left w:w="0" w:type="dxa"/>
              <w:right w:w="0" w:type="dxa"/>
            </w:tcMar>
            <w:vAlign w:val="center"/>
          </w:tcPr>
          <w:p w14:paraId="1B574C7A">
            <w:pPr>
              <w:spacing w:line="240" w:lineRule="exact"/>
              <w:ind w:firstLine="0" w:firstLineChars="0"/>
              <w:jc w:val="center"/>
              <w:rPr>
                <w:color w:val="000000" w:themeColor="text1"/>
                <w:sz w:val="21"/>
                <w:szCs w:val="21"/>
                <w14:textFill>
                  <w14:solidFill>
                    <w14:schemeClr w14:val="tx1"/>
                  </w14:solidFill>
                </w14:textFill>
              </w:rPr>
            </w:pPr>
          </w:p>
        </w:tc>
        <w:tc>
          <w:tcPr>
            <w:tcW w:w="2410" w:type="dxa"/>
            <w:tcMar>
              <w:left w:w="0" w:type="dxa"/>
              <w:right w:w="0" w:type="dxa"/>
            </w:tcMar>
            <w:vAlign w:val="center"/>
          </w:tcPr>
          <w:p w14:paraId="03D5CDA6">
            <w:pPr>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VOCs</w:t>
            </w:r>
          </w:p>
          <w:p w14:paraId="77C1BF80">
            <w:pPr>
              <w:spacing w:line="240" w:lineRule="exact"/>
              <w:ind w:firstLine="0" w:firstLineChars="0"/>
              <w:jc w:val="center"/>
              <w:rPr>
                <w:color w:val="000000" w:themeColor="text1"/>
                <w:w w:val="99"/>
                <w:sz w:val="21"/>
                <w:szCs w:val="21"/>
                <w14:textFill>
                  <w14:solidFill>
                    <w14:schemeClr w14:val="tx1"/>
                  </w14:solidFill>
                </w14:textFill>
              </w:rPr>
            </w:pPr>
            <w:r>
              <w:rPr>
                <w:rFonts w:hint="eastAsia"/>
                <w:color w:val="000000" w:themeColor="text1"/>
                <w:sz w:val="21"/>
                <w:szCs w:val="21"/>
                <w14:textFill>
                  <w14:solidFill>
                    <w14:schemeClr w14:val="tx1"/>
                  </w14:solidFill>
                </w14:textFill>
              </w:rPr>
              <w:t>（根据货种及标准统计）</w:t>
            </w:r>
          </w:p>
        </w:tc>
        <w:tc>
          <w:tcPr>
            <w:tcW w:w="2515" w:type="dxa"/>
            <w:tcMar>
              <w:left w:w="0" w:type="dxa"/>
              <w:right w:w="0" w:type="dxa"/>
            </w:tcMar>
            <w:vAlign w:val="center"/>
          </w:tcPr>
          <w:p w14:paraId="7FA882DF">
            <w:pPr>
              <w:spacing w:line="240" w:lineRule="exact"/>
              <w:ind w:firstLine="0" w:firstLineChars="0"/>
              <w:jc w:val="center"/>
              <w:rPr>
                <w:rFonts w:eastAsia="等线"/>
                <w:color w:val="000000" w:themeColor="text1"/>
                <w:sz w:val="21"/>
                <w:szCs w:val="21"/>
                <w14:textFill>
                  <w14:solidFill>
                    <w14:schemeClr w14:val="tx1"/>
                  </w14:solidFill>
                </w14:textFill>
              </w:rPr>
            </w:pPr>
            <w:r>
              <w:rPr>
                <w:rFonts w:hint="eastAsia" w:eastAsia="等线"/>
                <w:color w:val="000000" w:themeColor="text1"/>
                <w:sz w:val="21"/>
                <w:szCs w:val="21"/>
                <w14:textFill>
                  <w14:solidFill>
                    <w14:schemeClr w14:val="tx1"/>
                  </w14:solidFill>
                </w14:textFill>
              </w:rPr>
              <w:t>0</w:t>
            </w:r>
            <w:r>
              <w:rPr>
                <w:rFonts w:eastAsia="等线"/>
                <w:color w:val="000000" w:themeColor="text1"/>
                <w:sz w:val="21"/>
                <w:szCs w:val="21"/>
                <w14:textFill>
                  <w14:solidFill>
                    <w14:schemeClr w14:val="tx1"/>
                  </w14:solidFill>
                </w14:textFill>
              </w:rPr>
              <w:t>.0293</w:t>
            </w:r>
          </w:p>
        </w:tc>
        <w:tc>
          <w:tcPr>
            <w:tcW w:w="2657" w:type="dxa"/>
            <w:tcMar>
              <w:left w:w="0" w:type="dxa"/>
              <w:right w:w="0" w:type="dxa"/>
            </w:tcMar>
            <w:vAlign w:val="center"/>
          </w:tcPr>
          <w:p w14:paraId="711B036C">
            <w:pPr>
              <w:spacing w:line="240" w:lineRule="exact"/>
              <w:ind w:firstLine="0" w:firstLineChars="0"/>
              <w:jc w:val="center"/>
              <w:rPr>
                <w:rFonts w:eastAsia="等线"/>
                <w:color w:val="000000" w:themeColor="text1"/>
                <w:sz w:val="21"/>
                <w:szCs w:val="21"/>
                <w14:textFill>
                  <w14:solidFill>
                    <w14:schemeClr w14:val="tx1"/>
                  </w14:solidFill>
                </w14:textFill>
              </w:rPr>
            </w:pPr>
            <w:r>
              <w:rPr>
                <w:rFonts w:hint="eastAsia" w:eastAsia="等线"/>
                <w:color w:val="000000" w:themeColor="text1"/>
                <w:sz w:val="21"/>
                <w:szCs w:val="21"/>
                <w14:textFill>
                  <w14:solidFill>
                    <w14:schemeClr w14:val="tx1"/>
                  </w14:solidFill>
                </w14:textFill>
              </w:rPr>
              <w:t>0</w:t>
            </w:r>
            <w:r>
              <w:rPr>
                <w:rFonts w:eastAsia="等线"/>
                <w:color w:val="000000" w:themeColor="text1"/>
                <w:sz w:val="21"/>
                <w:szCs w:val="21"/>
                <w14:textFill>
                  <w14:solidFill>
                    <w14:schemeClr w14:val="tx1"/>
                  </w14:solidFill>
                </w14:textFill>
              </w:rPr>
              <w:t>.0141</w:t>
            </w:r>
          </w:p>
        </w:tc>
      </w:tr>
    </w:tbl>
    <w:p w14:paraId="635A0017">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项目主要污染源估算模型计算结果详见表4.3-11。</w:t>
      </w:r>
    </w:p>
    <w:p w14:paraId="51C54550">
      <w:pPr>
        <w:pStyle w:val="7"/>
        <w:rPr>
          <w:color w:val="000000" w:themeColor="text1"/>
          <w14:textFill>
            <w14:solidFill>
              <w14:schemeClr w14:val="tx1"/>
            </w14:solidFill>
          </w14:textFill>
        </w:rPr>
      </w:pPr>
      <w:r>
        <w:rPr>
          <w:rFonts w:hint="eastAsia"/>
          <w:color w:val="000000" w:themeColor="text1"/>
          <w14:textFill>
            <w14:solidFill>
              <w14:schemeClr w14:val="tx1"/>
            </w14:solidFill>
          </w14:textFill>
        </w:rPr>
        <w:t>项目无组织面源估算模式参数表</w:t>
      </w:r>
    </w:p>
    <w:tbl>
      <w:tblPr>
        <w:tblStyle w:val="43"/>
        <w:tblW w:w="9092"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6" w:type="dxa"/>
          <w:bottom w:w="0" w:type="dxa"/>
          <w:right w:w="6" w:type="dxa"/>
        </w:tblCellMar>
      </w:tblPr>
      <w:tblGrid>
        <w:gridCol w:w="411"/>
        <w:gridCol w:w="1175"/>
        <w:gridCol w:w="464"/>
        <w:gridCol w:w="435"/>
        <w:gridCol w:w="825"/>
        <w:gridCol w:w="703"/>
        <w:gridCol w:w="684"/>
        <w:gridCol w:w="835"/>
        <w:gridCol w:w="909"/>
        <w:gridCol w:w="695"/>
        <w:gridCol w:w="996"/>
        <w:gridCol w:w="960"/>
      </w:tblGrid>
      <w:tr w14:paraId="5039283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6" w:type="dxa"/>
            <w:bottom w:w="0" w:type="dxa"/>
            <w:right w:w="6" w:type="dxa"/>
          </w:tblCellMar>
        </w:tblPrEx>
        <w:trPr>
          <w:trHeight w:val="340" w:hRule="atLeast"/>
          <w:jc w:val="center"/>
        </w:trPr>
        <w:tc>
          <w:tcPr>
            <w:tcW w:w="411" w:type="dxa"/>
            <w:vMerge w:val="restart"/>
            <w:vAlign w:val="center"/>
          </w:tcPr>
          <w:p w14:paraId="56A053F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序</w:t>
            </w:r>
          </w:p>
          <w:p w14:paraId="7C74EE4F">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号</w:t>
            </w:r>
          </w:p>
        </w:tc>
        <w:tc>
          <w:tcPr>
            <w:tcW w:w="1175" w:type="dxa"/>
            <w:vMerge w:val="restart"/>
            <w:vAlign w:val="center"/>
          </w:tcPr>
          <w:p w14:paraId="7246C38A">
            <w:pPr>
              <w:adjustRightInd w:val="0"/>
              <w:snapToGrid w:val="0"/>
              <w:spacing w:line="240" w:lineRule="auto"/>
              <w:ind w:firstLine="0" w:firstLineChars="0"/>
              <w:jc w:val="center"/>
              <w:rPr>
                <w:color w:val="000000" w:themeColor="text1"/>
                <w:sz w:val="21"/>
                <w:szCs w:val="20"/>
                <w14:textFill>
                  <w14:solidFill>
                    <w14:schemeClr w14:val="tx1"/>
                  </w14:solidFill>
                </w14:textFill>
              </w:rPr>
            </w:pPr>
            <w:r>
              <w:rPr>
                <w:rFonts w:hint="eastAsia"/>
                <w:color w:val="000000" w:themeColor="text1"/>
                <w:sz w:val="21"/>
                <w:szCs w:val="21"/>
                <w14:textFill>
                  <w14:solidFill>
                    <w14:schemeClr w14:val="tx1"/>
                  </w14:solidFill>
                </w14:textFill>
              </w:rPr>
              <w:t>名称</w:t>
            </w:r>
          </w:p>
        </w:tc>
        <w:tc>
          <w:tcPr>
            <w:tcW w:w="899" w:type="dxa"/>
            <w:gridSpan w:val="2"/>
            <w:vAlign w:val="center"/>
          </w:tcPr>
          <w:p w14:paraId="727E4483">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面源中点坐标/m</w:t>
            </w:r>
          </w:p>
        </w:tc>
        <w:tc>
          <w:tcPr>
            <w:tcW w:w="825" w:type="dxa"/>
            <w:vMerge w:val="restart"/>
            <w:vAlign w:val="center"/>
          </w:tcPr>
          <w:p w14:paraId="7A62A7C4">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面源海拔高度/m</w:t>
            </w:r>
          </w:p>
        </w:tc>
        <w:tc>
          <w:tcPr>
            <w:tcW w:w="703" w:type="dxa"/>
            <w:vMerge w:val="restart"/>
            <w:vAlign w:val="center"/>
          </w:tcPr>
          <w:p w14:paraId="5854F80F">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面源长度/m</w:t>
            </w:r>
          </w:p>
        </w:tc>
        <w:tc>
          <w:tcPr>
            <w:tcW w:w="684" w:type="dxa"/>
            <w:vMerge w:val="restart"/>
            <w:vAlign w:val="center"/>
          </w:tcPr>
          <w:p w14:paraId="6F4E2BD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面源宽度/m</w:t>
            </w:r>
          </w:p>
        </w:tc>
        <w:tc>
          <w:tcPr>
            <w:tcW w:w="835" w:type="dxa"/>
            <w:vMerge w:val="restart"/>
            <w:vAlign w:val="center"/>
          </w:tcPr>
          <w:p w14:paraId="18B12EAE">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与正北方向夹角/°</w:t>
            </w:r>
          </w:p>
        </w:tc>
        <w:tc>
          <w:tcPr>
            <w:tcW w:w="909" w:type="dxa"/>
            <w:vMerge w:val="restart"/>
            <w:vAlign w:val="center"/>
          </w:tcPr>
          <w:p w14:paraId="2FD2B84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面源有效排放高度/m</w:t>
            </w:r>
          </w:p>
        </w:tc>
        <w:tc>
          <w:tcPr>
            <w:tcW w:w="695" w:type="dxa"/>
            <w:vMerge w:val="restart"/>
            <w:vAlign w:val="center"/>
          </w:tcPr>
          <w:p w14:paraId="149F0ED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年排放小时数/h</w:t>
            </w:r>
          </w:p>
        </w:tc>
        <w:tc>
          <w:tcPr>
            <w:tcW w:w="996" w:type="dxa"/>
            <w:vMerge w:val="restart"/>
            <w:vAlign w:val="center"/>
          </w:tcPr>
          <w:p w14:paraId="5B65C5AA">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排放工况</w:t>
            </w:r>
          </w:p>
        </w:tc>
        <w:tc>
          <w:tcPr>
            <w:tcW w:w="960" w:type="dxa"/>
            <w:vMerge w:val="restart"/>
            <w:vAlign w:val="center"/>
          </w:tcPr>
          <w:p w14:paraId="10B0B207">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污染物排放速率/（kg/h）</w:t>
            </w:r>
          </w:p>
        </w:tc>
      </w:tr>
      <w:tr w14:paraId="66E1006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6" w:type="dxa"/>
            <w:bottom w:w="0" w:type="dxa"/>
            <w:right w:w="6" w:type="dxa"/>
          </w:tblCellMar>
        </w:tblPrEx>
        <w:trPr>
          <w:trHeight w:val="340" w:hRule="atLeast"/>
          <w:jc w:val="center"/>
        </w:trPr>
        <w:tc>
          <w:tcPr>
            <w:tcW w:w="411" w:type="dxa"/>
            <w:vMerge w:val="continue"/>
            <w:vAlign w:val="center"/>
          </w:tcPr>
          <w:p w14:paraId="38598E29">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1175" w:type="dxa"/>
            <w:vMerge w:val="continue"/>
            <w:vAlign w:val="center"/>
          </w:tcPr>
          <w:p w14:paraId="1B33DA97">
            <w:pPr>
              <w:adjustRightInd w:val="0"/>
              <w:snapToGrid w:val="0"/>
              <w:spacing w:line="240" w:lineRule="auto"/>
              <w:ind w:firstLine="420"/>
              <w:jc w:val="center"/>
              <w:rPr>
                <w:color w:val="000000" w:themeColor="text1"/>
                <w:sz w:val="21"/>
                <w:szCs w:val="20"/>
                <w14:textFill>
                  <w14:solidFill>
                    <w14:schemeClr w14:val="tx1"/>
                  </w14:solidFill>
                </w14:textFill>
              </w:rPr>
            </w:pPr>
          </w:p>
        </w:tc>
        <w:tc>
          <w:tcPr>
            <w:tcW w:w="464" w:type="dxa"/>
            <w:vAlign w:val="center"/>
          </w:tcPr>
          <w:p w14:paraId="6FFD4A3E">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X</w:t>
            </w:r>
          </w:p>
        </w:tc>
        <w:tc>
          <w:tcPr>
            <w:tcW w:w="435" w:type="dxa"/>
            <w:vAlign w:val="center"/>
          </w:tcPr>
          <w:p w14:paraId="65D5EB48">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Y</w:t>
            </w:r>
          </w:p>
        </w:tc>
        <w:tc>
          <w:tcPr>
            <w:tcW w:w="825" w:type="dxa"/>
            <w:vMerge w:val="continue"/>
            <w:vAlign w:val="center"/>
          </w:tcPr>
          <w:p w14:paraId="4F030B16">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703" w:type="dxa"/>
            <w:vMerge w:val="continue"/>
            <w:vAlign w:val="center"/>
          </w:tcPr>
          <w:p w14:paraId="35DB9101">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684" w:type="dxa"/>
            <w:vMerge w:val="continue"/>
            <w:vAlign w:val="center"/>
          </w:tcPr>
          <w:p w14:paraId="377731D5">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835" w:type="dxa"/>
            <w:vMerge w:val="continue"/>
            <w:vAlign w:val="center"/>
          </w:tcPr>
          <w:p w14:paraId="58A70B89">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909" w:type="dxa"/>
            <w:vMerge w:val="continue"/>
            <w:vAlign w:val="center"/>
          </w:tcPr>
          <w:p w14:paraId="05A6D8CE">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695" w:type="dxa"/>
            <w:vMerge w:val="continue"/>
            <w:vAlign w:val="center"/>
          </w:tcPr>
          <w:p w14:paraId="077E6AB7">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996" w:type="dxa"/>
            <w:vMerge w:val="continue"/>
            <w:vAlign w:val="center"/>
          </w:tcPr>
          <w:p w14:paraId="634F450D">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960" w:type="dxa"/>
            <w:vMerge w:val="continue"/>
            <w:vAlign w:val="center"/>
          </w:tcPr>
          <w:p w14:paraId="1704F2F5">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r>
      <w:tr w14:paraId="3EFA7D6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6" w:type="dxa"/>
            <w:bottom w:w="0" w:type="dxa"/>
            <w:right w:w="6" w:type="dxa"/>
          </w:tblCellMar>
        </w:tblPrEx>
        <w:trPr>
          <w:trHeight w:val="340" w:hRule="atLeast"/>
          <w:jc w:val="center"/>
        </w:trPr>
        <w:tc>
          <w:tcPr>
            <w:tcW w:w="411" w:type="dxa"/>
            <w:vAlign w:val="center"/>
          </w:tcPr>
          <w:p w14:paraId="5AE755C4">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w:t>
            </w:r>
          </w:p>
        </w:tc>
        <w:tc>
          <w:tcPr>
            <w:tcW w:w="1175" w:type="dxa"/>
            <w:vAlign w:val="center"/>
          </w:tcPr>
          <w:p w14:paraId="0C9AA053">
            <w:pPr>
              <w:spacing w:line="240" w:lineRule="exact"/>
              <w:ind w:firstLine="0" w:firstLineChars="0"/>
              <w:jc w:val="center"/>
              <w:rPr>
                <w:color w:val="000000" w:themeColor="text1"/>
                <w:sz w:val="21"/>
                <w:szCs w:val="16"/>
                <w14:textFill>
                  <w14:solidFill>
                    <w14:schemeClr w14:val="tx1"/>
                  </w14:solidFill>
                </w14:textFill>
              </w:rPr>
            </w:pPr>
            <w:r>
              <w:rPr>
                <w:rFonts w:hint="eastAsia"/>
                <w:color w:val="000000" w:themeColor="text1"/>
                <w:sz w:val="21"/>
                <w:szCs w:val="16"/>
                <w14:textFill>
                  <w14:solidFill>
                    <w14:schemeClr w14:val="tx1"/>
                  </w14:solidFill>
                </w14:textFill>
              </w:rPr>
              <w:t>苯乙烯</w:t>
            </w:r>
          </w:p>
        </w:tc>
        <w:tc>
          <w:tcPr>
            <w:tcW w:w="464" w:type="dxa"/>
            <w:vAlign w:val="center"/>
          </w:tcPr>
          <w:p w14:paraId="38D9F062">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12</w:t>
            </w:r>
          </w:p>
        </w:tc>
        <w:tc>
          <w:tcPr>
            <w:tcW w:w="435" w:type="dxa"/>
            <w:vAlign w:val="center"/>
          </w:tcPr>
          <w:p w14:paraId="2717F06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15</w:t>
            </w:r>
          </w:p>
        </w:tc>
        <w:tc>
          <w:tcPr>
            <w:tcW w:w="825" w:type="dxa"/>
            <w:vAlign w:val="center"/>
          </w:tcPr>
          <w:p w14:paraId="21558180">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703" w:type="dxa"/>
            <w:vAlign w:val="center"/>
          </w:tcPr>
          <w:p w14:paraId="03F47D52">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276.5</w:t>
            </w:r>
          </w:p>
        </w:tc>
        <w:tc>
          <w:tcPr>
            <w:tcW w:w="684" w:type="dxa"/>
            <w:vAlign w:val="center"/>
          </w:tcPr>
          <w:p w14:paraId="2C02E01F">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80</w:t>
            </w:r>
          </w:p>
        </w:tc>
        <w:tc>
          <w:tcPr>
            <w:tcW w:w="835" w:type="dxa"/>
            <w:vAlign w:val="center"/>
          </w:tcPr>
          <w:p w14:paraId="0908E3AC">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5</w:t>
            </w:r>
          </w:p>
        </w:tc>
        <w:tc>
          <w:tcPr>
            <w:tcW w:w="909" w:type="dxa"/>
            <w:vAlign w:val="center"/>
          </w:tcPr>
          <w:p w14:paraId="764687C4">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8</w:t>
            </w:r>
          </w:p>
        </w:tc>
        <w:tc>
          <w:tcPr>
            <w:tcW w:w="695" w:type="dxa"/>
            <w:vAlign w:val="center"/>
          </w:tcPr>
          <w:p w14:paraId="2AEB16E2">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3168</w:t>
            </w:r>
          </w:p>
        </w:tc>
        <w:tc>
          <w:tcPr>
            <w:tcW w:w="996" w:type="dxa"/>
            <w:vAlign w:val="center"/>
          </w:tcPr>
          <w:p w14:paraId="1105C8BA">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正常排放</w:t>
            </w:r>
          </w:p>
        </w:tc>
        <w:tc>
          <w:tcPr>
            <w:tcW w:w="960" w:type="dxa"/>
            <w:vAlign w:val="center"/>
          </w:tcPr>
          <w:p w14:paraId="20E1A95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0.0023</w:t>
            </w:r>
          </w:p>
        </w:tc>
      </w:tr>
      <w:tr w14:paraId="2301FC6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6" w:type="dxa"/>
            <w:bottom w:w="0" w:type="dxa"/>
            <w:right w:w="6" w:type="dxa"/>
          </w:tblCellMar>
        </w:tblPrEx>
        <w:trPr>
          <w:trHeight w:val="340" w:hRule="atLeast"/>
          <w:jc w:val="center"/>
        </w:trPr>
        <w:tc>
          <w:tcPr>
            <w:tcW w:w="411" w:type="dxa"/>
            <w:vAlign w:val="center"/>
          </w:tcPr>
          <w:p w14:paraId="60DC93D7">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w:t>
            </w:r>
          </w:p>
        </w:tc>
        <w:tc>
          <w:tcPr>
            <w:tcW w:w="1175" w:type="dxa"/>
            <w:vAlign w:val="center"/>
          </w:tcPr>
          <w:p w14:paraId="0FBD5A18">
            <w:pPr>
              <w:spacing w:line="240" w:lineRule="exact"/>
              <w:ind w:firstLine="0" w:firstLineChars="0"/>
              <w:jc w:val="center"/>
              <w:rPr>
                <w:color w:val="000000" w:themeColor="text1"/>
                <w:sz w:val="21"/>
                <w:szCs w:val="16"/>
                <w14:textFill>
                  <w14:solidFill>
                    <w14:schemeClr w14:val="tx1"/>
                  </w14:solidFill>
                </w14:textFill>
              </w:rPr>
            </w:pPr>
            <w:r>
              <w:rPr>
                <w:rFonts w:hint="eastAsia"/>
                <w:color w:val="000000" w:themeColor="text1"/>
                <w:sz w:val="21"/>
                <w:szCs w:val="16"/>
                <w14:textFill>
                  <w14:solidFill>
                    <w14:schemeClr w14:val="tx1"/>
                  </w14:solidFill>
                </w14:textFill>
              </w:rPr>
              <w:t>硫酸雾</w:t>
            </w:r>
          </w:p>
        </w:tc>
        <w:tc>
          <w:tcPr>
            <w:tcW w:w="464" w:type="dxa"/>
            <w:vAlign w:val="center"/>
          </w:tcPr>
          <w:p w14:paraId="0F2BFBD2">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12</w:t>
            </w:r>
          </w:p>
        </w:tc>
        <w:tc>
          <w:tcPr>
            <w:tcW w:w="435" w:type="dxa"/>
            <w:vAlign w:val="center"/>
          </w:tcPr>
          <w:p w14:paraId="293957C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15</w:t>
            </w:r>
          </w:p>
        </w:tc>
        <w:tc>
          <w:tcPr>
            <w:tcW w:w="825" w:type="dxa"/>
            <w:vAlign w:val="center"/>
          </w:tcPr>
          <w:p w14:paraId="7FA0FB2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703" w:type="dxa"/>
            <w:vAlign w:val="center"/>
          </w:tcPr>
          <w:p w14:paraId="7BAE1574">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276.5</w:t>
            </w:r>
          </w:p>
        </w:tc>
        <w:tc>
          <w:tcPr>
            <w:tcW w:w="684" w:type="dxa"/>
            <w:vAlign w:val="center"/>
          </w:tcPr>
          <w:p w14:paraId="32A5133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80</w:t>
            </w:r>
          </w:p>
        </w:tc>
        <w:tc>
          <w:tcPr>
            <w:tcW w:w="835" w:type="dxa"/>
            <w:vAlign w:val="center"/>
          </w:tcPr>
          <w:p w14:paraId="7BF4272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5</w:t>
            </w:r>
          </w:p>
        </w:tc>
        <w:tc>
          <w:tcPr>
            <w:tcW w:w="909" w:type="dxa"/>
            <w:vAlign w:val="center"/>
          </w:tcPr>
          <w:p w14:paraId="35540D14">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8</w:t>
            </w:r>
          </w:p>
        </w:tc>
        <w:tc>
          <w:tcPr>
            <w:tcW w:w="695" w:type="dxa"/>
            <w:vAlign w:val="center"/>
          </w:tcPr>
          <w:p w14:paraId="5ABBC423">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3168</w:t>
            </w:r>
          </w:p>
        </w:tc>
        <w:tc>
          <w:tcPr>
            <w:tcW w:w="996" w:type="dxa"/>
            <w:vAlign w:val="center"/>
          </w:tcPr>
          <w:p w14:paraId="051E384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正常排放</w:t>
            </w:r>
          </w:p>
        </w:tc>
        <w:tc>
          <w:tcPr>
            <w:tcW w:w="960" w:type="dxa"/>
            <w:vAlign w:val="center"/>
          </w:tcPr>
          <w:p w14:paraId="2A0B294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0.0311</w:t>
            </w:r>
          </w:p>
        </w:tc>
      </w:tr>
      <w:tr w14:paraId="48AF769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6" w:type="dxa"/>
            <w:bottom w:w="0" w:type="dxa"/>
            <w:right w:w="6" w:type="dxa"/>
          </w:tblCellMar>
        </w:tblPrEx>
        <w:trPr>
          <w:trHeight w:val="340" w:hRule="atLeast"/>
          <w:jc w:val="center"/>
        </w:trPr>
        <w:tc>
          <w:tcPr>
            <w:tcW w:w="411" w:type="dxa"/>
            <w:vAlign w:val="center"/>
          </w:tcPr>
          <w:p w14:paraId="761BA1AC">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w:t>
            </w:r>
          </w:p>
        </w:tc>
        <w:tc>
          <w:tcPr>
            <w:tcW w:w="1175" w:type="dxa"/>
            <w:vAlign w:val="center"/>
          </w:tcPr>
          <w:p w14:paraId="6FF79E00">
            <w:pPr>
              <w:adjustRightInd w:val="0"/>
              <w:snapToGrid w:val="0"/>
              <w:spacing w:line="240" w:lineRule="auto"/>
              <w:ind w:firstLine="0" w:firstLineChars="0"/>
              <w:jc w:val="center"/>
              <w:rPr>
                <w:color w:val="000000" w:themeColor="text1"/>
                <w:sz w:val="21"/>
                <w:szCs w:val="16"/>
                <w14:textFill>
                  <w14:solidFill>
                    <w14:schemeClr w14:val="tx1"/>
                  </w14:solidFill>
                </w14:textFill>
              </w:rPr>
            </w:pPr>
            <w:r>
              <w:rPr>
                <w:color w:val="000000" w:themeColor="text1"/>
                <w:sz w:val="21"/>
                <w:szCs w:val="16"/>
                <w14:textFill>
                  <w14:solidFill>
                    <w14:schemeClr w14:val="tx1"/>
                  </w14:solidFill>
                </w14:textFill>
              </w:rPr>
              <w:t>VOCs</w:t>
            </w:r>
          </w:p>
        </w:tc>
        <w:tc>
          <w:tcPr>
            <w:tcW w:w="464" w:type="dxa"/>
            <w:vAlign w:val="center"/>
          </w:tcPr>
          <w:p w14:paraId="1811EB5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12</w:t>
            </w:r>
          </w:p>
        </w:tc>
        <w:tc>
          <w:tcPr>
            <w:tcW w:w="435" w:type="dxa"/>
            <w:vAlign w:val="center"/>
          </w:tcPr>
          <w:p w14:paraId="4768E1B2">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15</w:t>
            </w:r>
          </w:p>
        </w:tc>
        <w:tc>
          <w:tcPr>
            <w:tcW w:w="825" w:type="dxa"/>
            <w:vAlign w:val="center"/>
          </w:tcPr>
          <w:p w14:paraId="7278F4BF">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703" w:type="dxa"/>
            <w:vAlign w:val="center"/>
          </w:tcPr>
          <w:p w14:paraId="55AD598F">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453</w:t>
            </w:r>
          </w:p>
        </w:tc>
        <w:tc>
          <w:tcPr>
            <w:tcW w:w="684" w:type="dxa"/>
            <w:vAlign w:val="center"/>
          </w:tcPr>
          <w:p w14:paraId="41FADC7D">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25</w:t>
            </w:r>
          </w:p>
        </w:tc>
        <w:tc>
          <w:tcPr>
            <w:tcW w:w="835" w:type="dxa"/>
            <w:vAlign w:val="center"/>
          </w:tcPr>
          <w:p w14:paraId="2C49C66F">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5</w:t>
            </w:r>
          </w:p>
        </w:tc>
        <w:tc>
          <w:tcPr>
            <w:tcW w:w="909" w:type="dxa"/>
            <w:vAlign w:val="center"/>
          </w:tcPr>
          <w:p w14:paraId="42DE62E8">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8</w:t>
            </w:r>
          </w:p>
        </w:tc>
        <w:tc>
          <w:tcPr>
            <w:tcW w:w="695" w:type="dxa"/>
            <w:vAlign w:val="center"/>
          </w:tcPr>
          <w:p w14:paraId="7334E588">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3168</w:t>
            </w:r>
          </w:p>
        </w:tc>
        <w:tc>
          <w:tcPr>
            <w:tcW w:w="996" w:type="dxa"/>
            <w:vAlign w:val="center"/>
          </w:tcPr>
          <w:p w14:paraId="3B4D96B9">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正常排放</w:t>
            </w:r>
          </w:p>
        </w:tc>
        <w:tc>
          <w:tcPr>
            <w:tcW w:w="960" w:type="dxa"/>
            <w:vAlign w:val="center"/>
          </w:tcPr>
          <w:p w14:paraId="3011130C">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0.0293</w:t>
            </w:r>
          </w:p>
        </w:tc>
      </w:tr>
    </w:tbl>
    <w:p w14:paraId="31321A39">
      <w:pPr>
        <w:pStyle w:val="7"/>
        <w:rPr>
          <w:color w:val="000000" w:themeColor="text1"/>
          <w:u w:val="single"/>
          <w14:textFill>
            <w14:solidFill>
              <w14:schemeClr w14:val="tx1"/>
            </w14:solidFill>
          </w14:textFill>
        </w:rPr>
      </w:pPr>
      <w:r>
        <w:rPr>
          <w:rFonts w:hint="eastAsia"/>
          <w:color w:val="000000" w:themeColor="text1"/>
          <w14:textFill>
            <w14:solidFill>
              <w14:schemeClr w14:val="tx1"/>
            </w14:solidFill>
          </w14:textFill>
        </w:rPr>
        <w:t xml:space="preserve"> </w:t>
      </w:r>
      <w:r>
        <w:rPr>
          <w:rFonts w:hint="eastAsia"/>
          <w:color w:val="000000" w:themeColor="text1"/>
          <w:u w:val="single"/>
          <w14:textFill>
            <w14:solidFill>
              <w14:schemeClr w14:val="tx1"/>
            </w14:solidFill>
          </w14:textFill>
        </w:rPr>
        <w:t>大气污染源无组织计算结果</w:t>
      </w:r>
    </w:p>
    <w:tbl>
      <w:tblPr>
        <w:tblStyle w:val="43"/>
        <w:tblW w:w="5336"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0" w:type="dxa"/>
          <w:bottom w:w="0" w:type="dxa"/>
          <w:right w:w="0" w:type="dxa"/>
        </w:tblCellMar>
      </w:tblPr>
      <w:tblGrid>
        <w:gridCol w:w="2552"/>
        <w:gridCol w:w="1057"/>
        <w:gridCol w:w="1057"/>
        <w:gridCol w:w="1058"/>
        <w:gridCol w:w="1057"/>
        <w:gridCol w:w="1057"/>
        <w:gridCol w:w="1058"/>
      </w:tblGrid>
      <w:tr w14:paraId="77635B1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tblHeader/>
          <w:jc w:val="center"/>
        </w:trPr>
        <w:tc>
          <w:tcPr>
            <w:tcW w:w="2552" w:type="dxa"/>
            <w:vMerge w:val="restart"/>
            <w:vAlign w:val="center"/>
          </w:tcPr>
          <w:p w14:paraId="3672068E">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下风向距离/m</w:t>
            </w:r>
          </w:p>
        </w:tc>
        <w:tc>
          <w:tcPr>
            <w:tcW w:w="2114" w:type="dxa"/>
            <w:gridSpan w:val="2"/>
            <w:vAlign w:val="center"/>
          </w:tcPr>
          <w:p w14:paraId="543DDA0B">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苯乙烯</w:t>
            </w:r>
          </w:p>
        </w:tc>
        <w:tc>
          <w:tcPr>
            <w:tcW w:w="2115" w:type="dxa"/>
            <w:gridSpan w:val="2"/>
            <w:vAlign w:val="center"/>
          </w:tcPr>
          <w:p w14:paraId="16881786">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硫酸雾</w:t>
            </w:r>
          </w:p>
        </w:tc>
        <w:tc>
          <w:tcPr>
            <w:tcW w:w="2115" w:type="dxa"/>
            <w:gridSpan w:val="2"/>
            <w:vAlign w:val="center"/>
          </w:tcPr>
          <w:p w14:paraId="53AF3E1C">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16"/>
                <w:u w:val="single"/>
                <w14:textFill>
                  <w14:solidFill>
                    <w14:schemeClr w14:val="tx1"/>
                  </w14:solidFill>
                </w14:textFill>
              </w:rPr>
              <w:t>VOCs</w:t>
            </w:r>
          </w:p>
        </w:tc>
      </w:tr>
      <w:tr w14:paraId="6D8EA9C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tblHeader/>
          <w:jc w:val="center"/>
        </w:trPr>
        <w:tc>
          <w:tcPr>
            <w:tcW w:w="2552" w:type="dxa"/>
            <w:vMerge w:val="continue"/>
            <w:vAlign w:val="center"/>
          </w:tcPr>
          <w:p w14:paraId="20B3FB2F">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p>
        </w:tc>
        <w:tc>
          <w:tcPr>
            <w:tcW w:w="1057" w:type="dxa"/>
            <w:vAlign w:val="center"/>
          </w:tcPr>
          <w:p w14:paraId="763FFE0F">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预测浓度（ug/m</w:t>
            </w:r>
            <w:r>
              <w:rPr>
                <w:rFonts w:hint="eastAsia"/>
                <w:color w:val="000000" w:themeColor="text1"/>
                <w:sz w:val="21"/>
                <w:szCs w:val="21"/>
                <w:u w:val="single"/>
                <w:vertAlign w:val="superscript"/>
                <w14:textFill>
                  <w14:solidFill>
                    <w14:schemeClr w14:val="tx1"/>
                  </w14:solidFill>
                </w14:textFill>
              </w:rPr>
              <w:t>3</w:t>
            </w:r>
            <w:r>
              <w:rPr>
                <w:rFonts w:hint="eastAsia"/>
                <w:color w:val="000000" w:themeColor="text1"/>
                <w:sz w:val="21"/>
                <w:szCs w:val="21"/>
                <w:u w:val="single"/>
                <w14:textFill>
                  <w14:solidFill>
                    <w14:schemeClr w14:val="tx1"/>
                  </w14:solidFill>
                </w14:textFill>
              </w:rPr>
              <w:t>）</w:t>
            </w:r>
          </w:p>
        </w:tc>
        <w:tc>
          <w:tcPr>
            <w:tcW w:w="1057" w:type="dxa"/>
            <w:vAlign w:val="center"/>
          </w:tcPr>
          <w:p w14:paraId="57A7EB98">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占标率%</w:t>
            </w:r>
          </w:p>
        </w:tc>
        <w:tc>
          <w:tcPr>
            <w:tcW w:w="1058" w:type="dxa"/>
            <w:vAlign w:val="center"/>
          </w:tcPr>
          <w:p w14:paraId="55325850">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预测浓度（ug/m</w:t>
            </w:r>
            <w:r>
              <w:rPr>
                <w:rFonts w:hint="eastAsia"/>
                <w:color w:val="000000" w:themeColor="text1"/>
                <w:sz w:val="21"/>
                <w:szCs w:val="21"/>
                <w:u w:val="single"/>
                <w:vertAlign w:val="superscript"/>
                <w14:textFill>
                  <w14:solidFill>
                    <w14:schemeClr w14:val="tx1"/>
                  </w14:solidFill>
                </w14:textFill>
              </w:rPr>
              <w:t>3</w:t>
            </w:r>
            <w:r>
              <w:rPr>
                <w:rFonts w:hint="eastAsia"/>
                <w:color w:val="000000" w:themeColor="text1"/>
                <w:sz w:val="21"/>
                <w:szCs w:val="21"/>
                <w:u w:val="single"/>
                <w14:textFill>
                  <w14:solidFill>
                    <w14:schemeClr w14:val="tx1"/>
                  </w14:solidFill>
                </w14:textFill>
              </w:rPr>
              <w:t>）</w:t>
            </w:r>
          </w:p>
        </w:tc>
        <w:tc>
          <w:tcPr>
            <w:tcW w:w="1057" w:type="dxa"/>
            <w:vAlign w:val="center"/>
          </w:tcPr>
          <w:p w14:paraId="3D2D7AC7">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占标率%</w:t>
            </w:r>
          </w:p>
        </w:tc>
        <w:tc>
          <w:tcPr>
            <w:tcW w:w="1057" w:type="dxa"/>
            <w:vAlign w:val="center"/>
          </w:tcPr>
          <w:p w14:paraId="355A178E">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预测浓度（ug/m</w:t>
            </w:r>
            <w:r>
              <w:rPr>
                <w:rFonts w:hint="eastAsia"/>
                <w:color w:val="000000" w:themeColor="text1"/>
                <w:sz w:val="21"/>
                <w:szCs w:val="21"/>
                <w:u w:val="single"/>
                <w:vertAlign w:val="superscript"/>
                <w14:textFill>
                  <w14:solidFill>
                    <w14:schemeClr w14:val="tx1"/>
                  </w14:solidFill>
                </w14:textFill>
              </w:rPr>
              <w:t>3</w:t>
            </w:r>
            <w:r>
              <w:rPr>
                <w:rFonts w:hint="eastAsia"/>
                <w:color w:val="000000" w:themeColor="text1"/>
                <w:sz w:val="21"/>
                <w:szCs w:val="21"/>
                <w:u w:val="single"/>
                <w14:textFill>
                  <w14:solidFill>
                    <w14:schemeClr w14:val="tx1"/>
                  </w14:solidFill>
                </w14:textFill>
              </w:rPr>
              <w:t>）</w:t>
            </w:r>
          </w:p>
        </w:tc>
        <w:tc>
          <w:tcPr>
            <w:tcW w:w="1058" w:type="dxa"/>
            <w:vAlign w:val="center"/>
          </w:tcPr>
          <w:p w14:paraId="34CC0716">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占标率%</w:t>
            </w:r>
          </w:p>
        </w:tc>
      </w:tr>
      <w:tr w14:paraId="3C29CCE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2552" w:type="dxa"/>
            <w:vAlign w:val="center"/>
          </w:tcPr>
          <w:p w14:paraId="7FE50930">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10</w:t>
            </w:r>
          </w:p>
        </w:tc>
        <w:tc>
          <w:tcPr>
            <w:tcW w:w="1057" w:type="dxa"/>
            <w:vAlign w:val="center"/>
          </w:tcPr>
          <w:p w14:paraId="0EDB6E7C">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0.071</w:t>
            </w:r>
          </w:p>
        </w:tc>
        <w:tc>
          <w:tcPr>
            <w:tcW w:w="1057" w:type="dxa"/>
            <w:vAlign w:val="center"/>
          </w:tcPr>
          <w:p w14:paraId="22B2BA1D">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0.71</w:t>
            </w:r>
          </w:p>
        </w:tc>
        <w:tc>
          <w:tcPr>
            <w:tcW w:w="1058" w:type="dxa"/>
            <w:vAlign w:val="center"/>
          </w:tcPr>
          <w:p w14:paraId="54467D82">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0.96</w:t>
            </w:r>
          </w:p>
        </w:tc>
        <w:tc>
          <w:tcPr>
            <w:tcW w:w="1057" w:type="dxa"/>
            <w:vAlign w:val="center"/>
          </w:tcPr>
          <w:p w14:paraId="759F5E04">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0.32</w:t>
            </w:r>
          </w:p>
        </w:tc>
        <w:tc>
          <w:tcPr>
            <w:tcW w:w="1057" w:type="dxa"/>
            <w:vAlign w:val="center"/>
          </w:tcPr>
          <w:p w14:paraId="78B51A83">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1.15</w:t>
            </w:r>
          </w:p>
        </w:tc>
        <w:tc>
          <w:tcPr>
            <w:tcW w:w="1058" w:type="dxa"/>
            <w:vAlign w:val="center"/>
          </w:tcPr>
          <w:p w14:paraId="733FC719">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0.1</w:t>
            </w:r>
            <w:r>
              <w:rPr>
                <w:rFonts w:hint="eastAsia"/>
                <w:color w:val="000000" w:themeColor="text1"/>
                <w:sz w:val="21"/>
                <w:szCs w:val="21"/>
                <w:u w:val="single"/>
                <w14:textFill>
                  <w14:solidFill>
                    <w14:schemeClr w14:val="tx1"/>
                  </w14:solidFill>
                </w14:textFill>
              </w:rPr>
              <w:t>0</w:t>
            </w:r>
          </w:p>
        </w:tc>
      </w:tr>
      <w:tr w14:paraId="66ADA7C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2552" w:type="dxa"/>
            <w:vAlign w:val="center"/>
          </w:tcPr>
          <w:p w14:paraId="435C7C70">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25</w:t>
            </w:r>
          </w:p>
        </w:tc>
        <w:tc>
          <w:tcPr>
            <w:tcW w:w="1057" w:type="dxa"/>
            <w:vAlign w:val="center"/>
          </w:tcPr>
          <w:p w14:paraId="30DD2647">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0.166</w:t>
            </w:r>
          </w:p>
        </w:tc>
        <w:tc>
          <w:tcPr>
            <w:tcW w:w="1057" w:type="dxa"/>
            <w:vAlign w:val="center"/>
          </w:tcPr>
          <w:p w14:paraId="69073B9D">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1.66</w:t>
            </w:r>
          </w:p>
        </w:tc>
        <w:tc>
          <w:tcPr>
            <w:tcW w:w="1058" w:type="dxa"/>
            <w:vAlign w:val="center"/>
          </w:tcPr>
          <w:p w14:paraId="7196592E">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2.25</w:t>
            </w:r>
          </w:p>
        </w:tc>
        <w:tc>
          <w:tcPr>
            <w:tcW w:w="1057" w:type="dxa"/>
            <w:vAlign w:val="center"/>
          </w:tcPr>
          <w:p w14:paraId="01F8A5AC">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0.75</w:t>
            </w:r>
          </w:p>
        </w:tc>
        <w:tc>
          <w:tcPr>
            <w:tcW w:w="1057" w:type="dxa"/>
            <w:vAlign w:val="center"/>
          </w:tcPr>
          <w:p w14:paraId="187117DB">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2.68</w:t>
            </w:r>
          </w:p>
        </w:tc>
        <w:tc>
          <w:tcPr>
            <w:tcW w:w="1058" w:type="dxa"/>
            <w:vAlign w:val="center"/>
          </w:tcPr>
          <w:p w14:paraId="392333F5">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0.22</w:t>
            </w:r>
          </w:p>
        </w:tc>
      </w:tr>
      <w:tr w14:paraId="2081DEF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2552" w:type="dxa"/>
            <w:vAlign w:val="center"/>
          </w:tcPr>
          <w:p w14:paraId="302B45D8">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50</w:t>
            </w:r>
          </w:p>
        </w:tc>
        <w:tc>
          <w:tcPr>
            <w:tcW w:w="1057" w:type="dxa"/>
            <w:vAlign w:val="center"/>
          </w:tcPr>
          <w:p w14:paraId="16FBEB41">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0.273</w:t>
            </w:r>
          </w:p>
        </w:tc>
        <w:tc>
          <w:tcPr>
            <w:tcW w:w="1057" w:type="dxa"/>
            <w:vAlign w:val="center"/>
          </w:tcPr>
          <w:p w14:paraId="2A86A29E">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2.73</w:t>
            </w:r>
          </w:p>
        </w:tc>
        <w:tc>
          <w:tcPr>
            <w:tcW w:w="1058" w:type="dxa"/>
            <w:vAlign w:val="center"/>
          </w:tcPr>
          <w:p w14:paraId="72DC0AB6">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3.69</w:t>
            </w:r>
          </w:p>
        </w:tc>
        <w:tc>
          <w:tcPr>
            <w:tcW w:w="1057" w:type="dxa"/>
            <w:vAlign w:val="center"/>
          </w:tcPr>
          <w:p w14:paraId="51F4A153">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1.23</w:t>
            </w:r>
          </w:p>
        </w:tc>
        <w:tc>
          <w:tcPr>
            <w:tcW w:w="1057" w:type="dxa"/>
            <w:vAlign w:val="center"/>
          </w:tcPr>
          <w:p w14:paraId="3BCFC638">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4.4</w:t>
            </w:r>
          </w:p>
        </w:tc>
        <w:tc>
          <w:tcPr>
            <w:tcW w:w="1058" w:type="dxa"/>
            <w:vAlign w:val="center"/>
          </w:tcPr>
          <w:p w14:paraId="04A4B00F">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0.37</w:t>
            </w:r>
          </w:p>
        </w:tc>
      </w:tr>
      <w:tr w14:paraId="46714EB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2552" w:type="dxa"/>
            <w:vAlign w:val="center"/>
          </w:tcPr>
          <w:p w14:paraId="4A5975EF">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75</w:t>
            </w:r>
          </w:p>
        </w:tc>
        <w:tc>
          <w:tcPr>
            <w:tcW w:w="1057" w:type="dxa"/>
            <w:vAlign w:val="center"/>
          </w:tcPr>
          <w:p w14:paraId="1E111388">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0.312</w:t>
            </w:r>
          </w:p>
        </w:tc>
        <w:tc>
          <w:tcPr>
            <w:tcW w:w="1057" w:type="dxa"/>
            <w:vAlign w:val="center"/>
          </w:tcPr>
          <w:p w14:paraId="5ACCBC74">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3.12</w:t>
            </w:r>
          </w:p>
        </w:tc>
        <w:tc>
          <w:tcPr>
            <w:tcW w:w="1058" w:type="dxa"/>
            <w:vAlign w:val="center"/>
          </w:tcPr>
          <w:p w14:paraId="550AE010">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4.22</w:t>
            </w:r>
          </w:p>
        </w:tc>
        <w:tc>
          <w:tcPr>
            <w:tcW w:w="1057" w:type="dxa"/>
            <w:vAlign w:val="center"/>
          </w:tcPr>
          <w:p w14:paraId="0F14B7D0">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1.41</w:t>
            </w:r>
          </w:p>
        </w:tc>
        <w:tc>
          <w:tcPr>
            <w:tcW w:w="1057" w:type="dxa"/>
            <w:vAlign w:val="center"/>
          </w:tcPr>
          <w:p w14:paraId="345592E6">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5.04</w:t>
            </w:r>
          </w:p>
        </w:tc>
        <w:tc>
          <w:tcPr>
            <w:tcW w:w="1058" w:type="dxa"/>
            <w:vAlign w:val="center"/>
          </w:tcPr>
          <w:p w14:paraId="03E01A63">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0.42</w:t>
            </w:r>
          </w:p>
        </w:tc>
      </w:tr>
      <w:tr w14:paraId="1ADE389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2552" w:type="dxa"/>
            <w:vAlign w:val="center"/>
          </w:tcPr>
          <w:p w14:paraId="452BE4D9">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100</w:t>
            </w:r>
          </w:p>
        </w:tc>
        <w:tc>
          <w:tcPr>
            <w:tcW w:w="1057" w:type="dxa"/>
            <w:vAlign w:val="center"/>
          </w:tcPr>
          <w:p w14:paraId="56E6089F">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0.323</w:t>
            </w:r>
          </w:p>
        </w:tc>
        <w:tc>
          <w:tcPr>
            <w:tcW w:w="1057" w:type="dxa"/>
            <w:vAlign w:val="center"/>
          </w:tcPr>
          <w:p w14:paraId="6D2D0E8D">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3.23</w:t>
            </w:r>
          </w:p>
        </w:tc>
        <w:tc>
          <w:tcPr>
            <w:tcW w:w="1058" w:type="dxa"/>
            <w:vAlign w:val="center"/>
          </w:tcPr>
          <w:p w14:paraId="2078C840">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4.37</w:t>
            </w:r>
          </w:p>
        </w:tc>
        <w:tc>
          <w:tcPr>
            <w:tcW w:w="1057" w:type="dxa"/>
            <w:vAlign w:val="center"/>
          </w:tcPr>
          <w:p w14:paraId="31DD1B4D">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1.46</w:t>
            </w:r>
          </w:p>
        </w:tc>
        <w:tc>
          <w:tcPr>
            <w:tcW w:w="1057" w:type="dxa"/>
            <w:vAlign w:val="center"/>
          </w:tcPr>
          <w:p w14:paraId="47DB4E05">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5.22</w:t>
            </w:r>
          </w:p>
        </w:tc>
        <w:tc>
          <w:tcPr>
            <w:tcW w:w="1058" w:type="dxa"/>
            <w:vAlign w:val="center"/>
          </w:tcPr>
          <w:p w14:paraId="121D254F">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0.44</w:t>
            </w:r>
          </w:p>
        </w:tc>
      </w:tr>
      <w:tr w14:paraId="7807F93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2552" w:type="dxa"/>
            <w:vAlign w:val="center"/>
          </w:tcPr>
          <w:p w14:paraId="54054E0F">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200</w:t>
            </w:r>
          </w:p>
        </w:tc>
        <w:tc>
          <w:tcPr>
            <w:tcW w:w="1057" w:type="dxa"/>
            <w:vAlign w:val="center"/>
          </w:tcPr>
          <w:p w14:paraId="20C586D7">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0.262</w:t>
            </w:r>
          </w:p>
        </w:tc>
        <w:tc>
          <w:tcPr>
            <w:tcW w:w="1057" w:type="dxa"/>
            <w:vAlign w:val="center"/>
          </w:tcPr>
          <w:p w14:paraId="742237DD">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2.62</w:t>
            </w:r>
          </w:p>
        </w:tc>
        <w:tc>
          <w:tcPr>
            <w:tcW w:w="1058" w:type="dxa"/>
            <w:vAlign w:val="center"/>
          </w:tcPr>
          <w:p w14:paraId="54B22332">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3.54</w:t>
            </w:r>
          </w:p>
        </w:tc>
        <w:tc>
          <w:tcPr>
            <w:tcW w:w="1057" w:type="dxa"/>
            <w:vAlign w:val="center"/>
          </w:tcPr>
          <w:p w14:paraId="213BD064">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1.18</w:t>
            </w:r>
          </w:p>
        </w:tc>
        <w:tc>
          <w:tcPr>
            <w:tcW w:w="1057" w:type="dxa"/>
            <w:vAlign w:val="center"/>
          </w:tcPr>
          <w:p w14:paraId="52C08500">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4.23</w:t>
            </w:r>
          </w:p>
        </w:tc>
        <w:tc>
          <w:tcPr>
            <w:tcW w:w="1058" w:type="dxa"/>
            <w:vAlign w:val="center"/>
          </w:tcPr>
          <w:p w14:paraId="69498177">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0.35</w:t>
            </w:r>
          </w:p>
        </w:tc>
      </w:tr>
      <w:tr w14:paraId="27C18F4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2552" w:type="dxa"/>
            <w:vAlign w:val="center"/>
          </w:tcPr>
          <w:p w14:paraId="5728DBCA">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300</w:t>
            </w:r>
          </w:p>
        </w:tc>
        <w:tc>
          <w:tcPr>
            <w:tcW w:w="1057" w:type="dxa"/>
            <w:vAlign w:val="center"/>
          </w:tcPr>
          <w:p w14:paraId="7BAC7423">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0.189</w:t>
            </w:r>
          </w:p>
        </w:tc>
        <w:tc>
          <w:tcPr>
            <w:tcW w:w="1057" w:type="dxa"/>
            <w:vAlign w:val="center"/>
          </w:tcPr>
          <w:p w14:paraId="2BED2B23">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1.89</w:t>
            </w:r>
          </w:p>
        </w:tc>
        <w:tc>
          <w:tcPr>
            <w:tcW w:w="1058" w:type="dxa"/>
            <w:vAlign w:val="center"/>
          </w:tcPr>
          <w:p w14:paraId="6DE35725">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2.55</w:t>
            </w:r>
          </w:p>
        </w:tc>
        <w:tc>
          <w:tcPr>
            <w:tcW w:w="1057" w:type="dxa"/>
            <w:vAlign w:val="center"/>
          </w:tcPr>
          <w:p w14:paraId="3E77679B">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0.85</w:t>
            </w:r>
          </w:p>
        </w:tc>
        <w:tc>
          <w:tcPr>
            <w:tcW w:w="1057" w:type="dxa"/>
            <w:vAlign w:val="center"/>
          </w:tcPr>
          <w:p w14:paraId="47076E16">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3.05</w:t>
            </w:r>
          </w:p>
        </w:tc>
        <w:tc>
          <w:tcPr>
            <w:tcW w:w="1058" w:type="dxa"/>
            <w:vAlign w:val="center"/>
          </w:tcPr>
          <w:p w14:paraId="37529CBD">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0.25</w:t>
            </w:r>
          </w:p>
        </w:tc>
      </w:tr>
      <w:tr w14:paraId="50BDB45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2552" w:type="dxa"/>
            <w:vAlign w:val="center"/>
          </w:tcPr>
          <w:p w14:paraId="5470D5F0">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500</w:t>
            </w:r>
          </w:p>
        </w:tc>
        <w:tc>
          <w:tcPr>
            <w:tcW w:w="1057" w:type="dxa"/>
            <w:vAlign w:val="center"/>
          </w:tcPr>
          <w:p w14:paraId="32DE16D7">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0.116</w:t>
            </w:r>
          </w:p>
        </w:tc>
        <w:tc>
          <w:tcPr>
            <w:tcW w:w="1057" w:type="dxa"/>
            <w:vAlign w:val="center"/>
          </w:tcPr>
          <w:p w14:paraId="19D26B63">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1.16</w:t>
            </w:r>
          </w:p>
        </w:tc>
        <w:tc>
          <w:tcPr>
            <w:tcW w:w="1058" w:type="dxa"/>
            <w:vAlign w:val="center"/>
          </w:tcPr>
          <w:p w14:paraId="445C35B0">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1.57</w:t>
            </w:r>
          </w:p>
        </w:tc>
        <w:tc>
          <w:tcPr>
            <w:tcW w:w="1057" w:type="dxa"/>
            <w:vAlign w:val="center"/>
          </w:tcPr>
          <w:p w14:paraId="6FDDFC9D">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0.52</w:t>
            </w:r>
          </w:p>
        </w:tc>
        <w:tc>
          <w:tcPr>
            <w:tcW w:w="1057" w:type="dxa"/>
            <w:vAlign w:val="center"/>
          </w:tcPr>
          <w:p w14:paraId="0A04C722">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1.87</w:t>
            </w:r>
          </w:p>
        </w:tc>
        <w:tc>
          <w:tcPr>
            <w:tcW w:w="1058" w:type="dxa"/>
            <w:vAlign w:val="center"/>
          </w:tcPr>
          <w:p w14:paraId="5084FE65">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0.16</w:t>
            </w:r>
          </w:p>
        </w:tc>
      </w:tr>
      <w:tr w14:paraId="6D2A29A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2552" w:type="dxa"/>
            <w:vAlign w:val="center"/>
          </w:tcPr>
          <w:p w14:paraId="4CB1F05E">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700</w:t>
            </w:r>
          </w:p>
        </w:tc>
        <w:tc>
          <w:tcPr>
            <w:tcW w:w="1057" w:type="dxa"/>
            <w:vAlign w:val="center"/>
          </w:tcPr>
          <w:p w14:paraId="18172932">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0.083</w:t>
            </w:r>
          </w:p>
        </w:tc>
        <w:tc>
          <w:tcPr>
            <w:tcW w:w="1057" w:type="dxa"/>
            <w:vAlign w:val="center"/>
          </w:tcPr>
          <w:p w14:paraId="05BB138D">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0.83</w:t>
            </w:r>
          </w:p>
        </w:tc>
        <w:tc>
          <w:tcPr>
            <w:tcW w:w="1058" w:type="dxa"/>
            <w:vAlign w:val="center"/>
          </w:tcPr>
          <w:p w14:paraId="1FF674DF">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1.12</w:t>
            </w:r>
          </w:p>
        </w:tc>
        <w:tc>
          <w:tcPr>
            <w:tcW w:w="1057" w:type="dxa"/>
            <w:vAlign w:val="center"/>
          </w:tcPr>
          <w:p w14:paraId="44B73A57">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0.37</w:t>
            </w:r>
          </w:p>
        </w:tc>
        <w:tc>
          <w:tcPr>
            <w:tcW w:w="1057" w:type="dxa"/>
            <w:vAlign w:val="center"/>
          </w:tcPr>
          <w:p w14:paraId="4F70C2BF">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1.34</w:t>
            </w:r>
          </w:p>
        </w:tc>
        <w:tc>
          <w:tcPr>
            <w:tcW w:w="1058" w:type="dxa"/>
            <w:vAlign w:val="center"/>
          </w:tcPr>
          <w:p w14:paraId="3EBAFFC6">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0.11</w:t>
            </w:r>
          </w:p>
        </w:tc>
      </w:tr>
      <w:tr w14:paraId="2648F6C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2552" w:type="dxa"/>
            <w:vAlign w:val="center"/>
          </w:tcPr>
          <w:p w14:paraId="4EE69600">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1000</w:t>
            </w:r>
          </w:p>
        </w:tc>
        <w:tc>
          <w:tcPr>
            <w:tcW w:w="1057" w:type="dxa"/>
            <w:vAlign w:val="center"/>
          </w:tcPr>
          <w:p w14:paraId="16B862BA">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0.058</w:t>
            </w:r>
          </w:p>
        </w:tc>
        <w:tc>
          <w:tcPr>
            <w:tcW w:w="1057" w:type="dxa"/>
            <w:vAlign w:val="center"/>
          </w:tcPr>
          <w:p w14:paraId="3CA6B1D1">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0.58</w:t>
            </w:r>
          </w:p>
        </w:tc>
        <w:tc>
          <w:tcPr>
            <w:tcW w:w="1058" w:type="dxa"/>
            <w:vAlign w:val="center"/>
          </w:tcPr>
          <w:p w14:paraId="76860B1F">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0.78</w:t>
            </w:r>
          </w:p>
        </w:tc>
        <w:tc>
          <w:tcPr>
            <w:tcW w:w="1057" w:type="dxa"/>
            <w:vAlign w:val="center"/>
          </w:tcPr>
          <w:p w14:paraId="07F76888">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0.26</w:t>
            </w:r>
          </w:p>
        </w:tc>
        <w:tc>
          <w:tcPr>
            <w:tcW w:w="1057" w:type="dxa"/>
            <w:vAlign w:val="center"/>
          </w:tcPr>
          <w:p w14:paraId="4E8B369B">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0.94</w:t>
            </w:r>
          </w:p>
        </w:tc>
        <w:tc>
          <w:tcPr>
            <w:tcW w:w="1058" w:type="dxa"/>
            <w:vAlign w:val="center"/>
          </w:tcPr>
          <w:p w14:paraId="125A3A4A">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0.08</w:t>
            </w:r>
          </w:p>
        </w:tc>
      </w:tr>
      <w:tr w14:paraId="114E6B7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2552" w:type="dxa"/>
            <w:vAlign w:val="center"/>
          </w:tcPr>
          <w:p w14:paraId="5547DA06">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1500</w:t>
            </w:r>
          </w:p>
        </w:tc>
        <w:tc>
          <w:tcPr>
            <w:tcW w:w="1057" w:type="dxa"/>
            <w:vAlign w:val="center"/>
          </w:tcPr>
          <w:p w14:paraId="1FE4BBAB">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0.039</w:t>
            </w:r>
          </w:p>
        </w:tc>
        <w:tc>
          <w:tcPr>
            <w:tcW w:w="1057" w:type="dxa"/>
            <w:vAlign w:val="center"/>
          </w:tcPr>
          <w:p w14:paraId="77EB9182">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0.39</w:t>
            </w:r>
          </w:p>
        </w:tc>
        <w:tc>
          <w:tcPr>
            <w:tcW w:w="1058" w:type="dxa"/>
            <w:vAlign w:val="center"/>
          </w:tcPr>
          <w:p w14:paraId="6F24C16A">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0.52</w:t>
            </w:r>
          </w:p>
        </w:tc>
        <w:tc>
          <w:tcPr>
            <w:tcW w:w="1057" w:type="dxa"/>
            <w:vAlign w:val="center"/>
          </w:tcPr>
          <w:p w14:paraId="6CE6EC24">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0.17</w:t>
            </w:r>
          </w:p>
        </w:tc>
        <w:tc>
          <w:tcPr>
            <w:tcW w:w="1057" w:type="dxa"/>
            <w:vAlign w:val="center"/>
          </w:tcPr>
          <w:p w14:paraId="3201B235">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0.62</w:t>
            </w:r>
          </w:p>
        </w:tc>
        <w:tc>
          <w:tcPr>
            <w:tcW w:w="1058" w:type="dxa"/>
            <w:vAlign w:val="center"/>
          </w:tcPr>
          <w:p w14:paraId="416CEBDB">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0.05</w:t>
            </w:r>
          </w:p>
        </w:tc>
      </w:tr>
      <w:tr w14:paraId="1DCBB86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2552" w:type="dxa"/>
            <w:vAlign w:val="center"/>
          </w:tcPr>
          <w:p w14:paraId="172CBB16">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2000</w:t>
            </w:r>
          </w:p>
        </w:tc>
        <w:tc>
          <w:tcPr>
            <w:tcW w:w="1057" w:type="dxa"/>
            <w:vAlign w:val="center"/>
          </w:tcPr>
          <w:p w14:paraId="6C94FB13">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0.029</w:t>
            </w:r>
          </w:p>
        </w:tc>
        <w:tc>
          <w:tcPr>
            <w:tcW w:w="1057" w:type="dxa"/>
            <w:vAlign w:val="center"/>
          </w:tcPr>
          <w:p w14:paraId="112BD66C">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0.29</w:t>
            </w:r>
          </w:p>
        </w:tc>
        <w:tc>
          <w:tcPr>
            <w:tcW w:w="1058" w:type="dxa"/>
            <w:vAlign w:val="center"/>
          </w:tcPr>
          <w:p w14:paraId="40DB9533">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0.4</w:t>
            </w:r>
          </w:p>
        </w:tc>
        <w:tc>
          <w:tcPr>
            <w:tcW w:w="1057" w:type="dxa"/>
            <w:vAlign w:val="center"/>
          </w:tcPr>
          <w:p w14:paraId="7A87BEE8">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0.13</w:t>
            </w:r>
          </w:p>
        </w:tc>
        <w:tc>
          <w:tcPr>
            <w:tcW w:w="1057" w:type="dxa"/>
            <w:vAlign w:val="center"/>
          </w:tcPr>
          <w:p w14:paraId="33B4F496">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0.47</w:t>
            </w:r>
          </w:p>
        </w:tc>
        <w:tc>
          <w:tcPr>
            <w:tcW w:w="1058" w:type="dxa"/>
            <w:vAlign w:val="center"/>
          </w:tcPr>
          <w:p w14:paraId="3BB36942">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0.04</w:t>
            </w:r>
          </w:p>
        </w:tc>
      </w:tr>
      <w:tr w14:paraId="623ED6D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2552" w:type="dxa"/>
            <w:vAlign w:val="center"/>
          </w:tcPr>
          <w:p w14:paraId="7543DA3D">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2500</w:t>
            </w:r>
          </w:p>
        </w:tc>
        <w:tc>
          <w:tcPr>
            <w:tcW w:w="1057" w:type="dxa"/>
            <w:vAlign w:val="center"/>
          </w:tcPr>
          <w:p w14:paraId="1F85792E">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0.023</w:t>
            </w:r>
          </w:p>
        </w:tc>
        <w:tc>
          <w:tcPr>
            <w:tcW w:w="1057" w:type="dxa"/>
            <w:vAlign w:val="center"/>
          </w:tcPr>
          <w:p w14:paraId="429A81B3">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0.23</w:t>
            </w:r>
          </w:p>
        </w:tc>
        <w:tc>
          <w:tcPr>
            <w:tcW w:w="1058" w:type="dxa"/>
            <w:vAlign w:val="center"/>
          </w:tcPr>
          <w:p w14:paraId="180B1C6C">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0.32</w:t>
            </w:r>
          </w:p>
        </w:tc>
        <w:tc>
          <w:tcPr>
            <w:tcW w:w="1057" w:type="dxa"/>
            <w:vAlign w:val="center"/>
          </w:tcPr>
          <w:p w14:paraId="214431EA">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0.11</w:t>
            </w:r>
          </w:p>
        </w:tc>
        <w:tc>
          <w:tcPr>
            <w:tcW w:w="1057" w:type="dxa"/>
            <w:vAlign w:val="center"/>
          </w:tcPr>
          <w:p w14:paraId="7E083EB6">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0.38</w:t>
            </w:r>
          </w:p>
        </w:tc>
        <w:tc>
          <w:tcPr>
            <w:tcW w:w="1058" w:type="dxa"/>
            <w:vAlign w:val="center"/>
          </w:tcPr>
          <w:p w14:paraId="695CB8FE">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0.03</w:t>
            </w:r>
          </w:p>
        </w:tc>
      </w:tr>
      <w:tr w14:paraId="2CB92EE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2552" w:type="dxa"/>
            <w:vAlign w:val="center"/>
          </w:tcPr>
          <w:p w14:paraId="79B7CD9F">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最大浓度及占标率</w:t>
            </w:r>
          </w:p>
        </w:tc>
        <w:tc>
          <w:tcPr>
            <w:tcW w:w="1057" w:type="dxa"/>
            <w:vAlign w:val="center"/>
          </w:tcPr>
          <w:p w14:paraId="3E9CC3C2">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0.329</w:t>
            </w:r>
          </w:p>
        </w:tc>
        <w:tc>
          <w:tcPr>
            <w:tcW w:w="1057" w:type="dxa"/>
            <w:vAlign w:val="center"/>
          </w:tcPr>
          <w:p w14:paraId="67CB9CCB">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3.29</w:t>
            </w:r>
          </w:p>
        </w:tc>
        <w:tc>
          <w:tcPr>
            <w:tcW w:w="1058" w:type="dxa"/>
            <w:vAlign w:val="center"/>
          </w:tcPr>
          <w:p w14:paraId="2BC97281">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4.45</w:t>
            </w:r>
          </w:p>
        </w:tc>
        <w:tc>
          <w:tcPr>
            <w:tcW w:w="1057" w:type="dxa"/>
            <w:vAlign w:val="center"/>
          </w:tcPr>
          <w:p w14:paraId="34B93FE6">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1.48</w:t>
            </w:r>
          </w:p>
        </w:tc>
        <w:tc>
          <w:tcPr>
            <w:tcW w:w="1057" w:type="dxa"/>
            <w:vAlign w:val="center"/>
          </w:tcPr>
          <w:p w14:paraId="0C5DB607">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5.31</w:t>
            </w:r>
          </w:p>
        </w:tc>
        <w:tc>
          <w:tcPr>
            <w:tcW w:w="1058" w:type="dxa"/>
            <w:vAlign w:val="center"/>
          </w:tcPr>
          <w:p w14:paraId="69CA6936">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0.44</w:t>
            </w:r>
          </w:p>
        </w:tc>
      </w:tr>
      <w:tr w14:paraId="1737FFE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2552" w:type="dxa"/>
            <w:vAlign w:val="center"/>
          </w:tcPr>
          <w:p w14:paraId="1D5A405F">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最大落地浓度距离（m）</w:t>
            </w:r>
          </w:p>
        </w:tc>
        <w:tc>
          <w:tcPr>
            <w:tcW w:w="2114" w:type="dxa"/>
            <w:gridSpan w:val="2"/>
            <w:vAlign w:val="center"/>
          </w:tcPr>
          <w:p w14:paraId="3D810B45">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115</w:t>
            </w:r>
          </w:p>
        </w:tc>
        <w:tc>
          <w:tcPr>
            <w:tcW w:w="2115" w:type="dxa"/>
            <w:gridSpan w:val="2"/>
            <w:vAlign w:val="center"/>
          </w:tcPr>
          <w:p w14:paraId="29C303FD">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115</w:t>
            </w:r>
          </w:p>
        </w:tc>
        <w:tc>
          <w:tcPr>
            <w:tcW w:w="2115" w:type="dxa"/>
            <w:gridSpan w:val="2"/>
            <w:vAlign w:val="center"/>
          </w:tcPr>
          <w:p w14:paraId="45314720">
            <w:pPr>
              <w:overflowPunct w:val="0"/>
              <w:autoSpaceDE w:val="0"/>
              <w:autoSpaceDN w:val="0"/>
              <w:spacing w:line="240" w:lineRule="auto"/>
              <w:ind w:firstLine="0" w:firstLineChars="0"/>
              <w:jc w:val="center"/>
              <w:textAlignment w:val="bottom"/>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110</w:t>
            </w:r>
          </w:p>
        </w:tc>
      </w:tr>
    </w:tbl>
    <w:p w14:paraId="1940744E">
      <w:pPr>
        <w:ind w:firstLine="480"/>
        <w:rPr>
          <w:color w:val="000000" w:themeColor="text1"/>
          <w14:textFill>
            <w14:solidFill>
              <w14:schemeClr w14:val="tx1"/>
            </w14:solidFill>
          </w14:textFill>
        </w:rPr>
      </w:pPr>
      <w:r>
        <w:rPr>
          <w:color w:val="000000" w:themeColor="text1"/>
          <w14:textFill>
            <w14:solidFill>
              <w14:schemeClr w14:val="tx1"/>
            </w14:solidFill>
          </w14:textFill>
        </w:rPr>
        <w:t>本项目</w:t>
      </w:r>
      <w:r>
        <w:rPr>
          <w:rFonts w:hint="eastAsia"/>
          <w:color w:val="000000" w:themeColor="text1"/>
          <w14:textFill>
            <w14:solidFill>
              <w14:schemeClr w14:val="tx1"/>
            </w14:solidFill>
          </w14:textFill>
        </w:rPr>
        <w:t>装卸作业区排放的苯乙烯</w:t>
      </w:r>
      <w:r>
        <w:rPr>
          <w:color w:val="000000" w:themeColor="text1"/>
          <w14:textFill>
            <w14:solidFill>
              <w14:schemeClr w14:val="tx1"/>
            </w14:solidFill>
          </w14:textFill>
        </w:rPr>
        <w:t>P</w:t>
      </w:r>
      <w:r>
        <w:rPr>
          <w:color w:val="000000" w:themeColor="text1"/>
          <w:vertAlign w:val="subscript"/>
          <w14:textFill>
            <w14:solidFill>
              <w14:schemeClr w14:val="tx1"/>
            </w14:solidFill>
          </w14:textFill>
        </w:rPr>
        <w:t>max</w:t>
      </w:r>
      <w:r>
        <w:rPr>
          <w:color w:val="000000" w:themeColor="text1"/>
          <w14:textFill>
            <w14:solidFill>
              <w14:schemeClr w14:val="tx1"/>
            </w14:solidFill>
          </w14:textFill>
        </w:rPr>
        <w:t>值为</w:t>
      </w:r>
      <w:r>
        <w:rPr>
          <w:rFonts w:hint="eastAsia"/>
          <w:color w:val="000000" w:themeColor="text1"/>
          <w14:textFill>
            <w14:solidFill>
              <w14:schemeClr w14:val="tx1"/>
            </w14:solidFill>
          </w14:textFill>
        </w:rPr>
        <w:t>3.29</w:t>
      </w:r>
      <w:r>
        <w:rPr>
          <w:color w:val="000000" w:themeColor="text1"/>
          <w14:textFill>
            <w14:solidFill>
              <w14:schemeClr w14:val="tx1"/>
            </w14:solidFill>
          </w14:textFill>
        </w:rPr>
        <w:t>%，C</w:t>
      </w:r>
      <w:r>
        <w:rPr>
          <w:color w:val="000000" w:themeColor="text1"/>
          <w:vertAlign w:val="subscript"/>
          <w14:textFill>
            <w14:solidFill>
              <w14:schemeClr w14:val="tx1"/>
            </w14:solidFill>
          </w14:textFill>
        </w:rPr>
        <w:t>max</w:t>
      </w:r>
      <w:r>
        <w:rPr>
          <w:color w:val="000000" w:themeColor="text1"/>
          <w14:textFill>
            <w14:solidFill>
              <w14:schemeClr w14:val="tx1"/>
            </w14:solidFill>
          </w14:textFill>
        </w:rPr>
        <w:t>为</w:t>
      </w:r>
      <w:r>
        <w:rPr>
          <w:rFonts w:hint="eastAsia"/>
          <w:color w:val="000000" w:themeColor="text1"/>
          <w14:textFill>
            <w14:solidFill>
              <w14:schemeClr w14:val="tx1"/>
            </w14:solidFill>
          </w14:textFill>
        </w:rPr>
        <w:t>0.329u</w:t>
      </w:r>
      <w:r>
        <w:rPr>
          <w:color w:val="000000" w:themeColor="text1"/>
          <w14:textFill>
            <w14:solidFill>
              <w14:schemeClr w14:val="tx1"/>
            </w14:solidFill>
          </w14:textFill>
        </w:rPr>
        <w:t>g/m</w:t>
      </w:r>
      <w:r>
        <w:rPr>
          <w:rFonts w:hint="eastAsia"/>
          <w:color w:val="000000" w:themeColor="text1"/>
          <w:vertAlign w:val="superscript"/>
          <w14:textFill>
            <w14:solidFill>
              <w14:schemeClr w14:val="tx1"/>
            </w14:solidFill>
          </w14:textFill>
        </w:rPr>
        <w:t>3</w:t>
      </w:r>
      <w:r>
        <w:rPr>
          <w:color w:val="000000" w:themeColor="text1"/>
          <w14:textFill>
            <w14:solidFill>
              <w14:schemeClr w14:val="tx1"/>
            </w14:solidFill>
          </w14:textFill>
        </w:rPr>
        <w:t>，在1%≤P</w:t>
      </w:r>
      <w:r>
        <w:rPr>
          <w:color w:val="000000" w:themeColor="text1"/>
          <w:vertAlign w:val="subscript"/>
          <w14:textFill>
            <w14:solidFill>
              <w14:schemeClr w14:val="tx1"/>
            </w14:solidFill>
          </w14:textFill>
        </w:rPr>
        <w:t>max</w:t>
      </w:r>
      <w:r>
        <w:rPr>
          <w:color w:val="000000" w:themeColor="text1"/>
          <w14:textFill>
            <w14:solidFill>
              <w14:schemeClr w14:val="tx1"/>
            </w14:solidFill>
          </w14:textFill>
        </w:rPr>
        <w:t>&lt;10%范围内，根据《</w:t>
      </w:r>
      <w:r>
        <w:rPr>
          <w:rFonts w:hint="eastAsia"/>
          <w:color w:val="000000" w:themeColor="text1"/>
          <w14:textFill>
            <w14:solidFill>
              <w14:schemeClr w14:val="tx1"/>
            </w14:solidFill>
          </w14:textFill>
        </w:rPr>
        <w:t>环境影响评价技术导则 大气环境</w:t>
      </w:r>
      <w:r>
        <w:rPr>
          <w:color w:val="000000" w:themeColor="text1"/>
          <w14:textFill>
            <w14:solidFill>
              <w14:schemeClr w14:val="tx1"/>
            </w14:solidFill>
          </w14:textFill>
        </w:rPr>
        <w:t>》（HJ</w:t>
      </w:r>
      <w:r>
        <w:rPr>
          <w:rFonts w:hint="eastAsia"/>
          <w:color w:val="000000" w:themeColor="text1"/>
          <w14:textFill>
            <w14:solidFill>
              <w14:schemeClr w14:val="tx1"/>
            </w14:solidFill>
          </w14:textFill>
        </w:rPr>
        <w:t xml:space="preserve"> </w:t>
      </w:r>
      <w:r>
        <w:rPr>
          <w:color w:val="000000" w:themeColor="text1"/>
          <w14:textFill>
            <w14:solidFill>
              <w14:schemeClr w14:val="tx1"/>
            </w14:solidFill>
          </w14:textFill>
        </w:rPr>
        <w:t>2.2-2018）分级判据，确定本项目大气环境影响评价工作等级为二级。二级评价项目可不进行进一步预测与评价，只对污染物排放量进行核算。</w:t>
      </w:r>
    </w:p>
    <w:p w14:paraId="7A47C803">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（2）非正常工况下产生废气</w:t>
      </w:r>
    </w:p>
    <w:p w14:paraId="6D565407">
      <w:pPr>
        <w:ind w:firstLine="48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根据《环境影响评价技术导则大气环境》(HJ2.2-2018)，本项目非正常工况下排放主要是指生产过程中开停泵、设备检修、工艺设备运转异常等非正常工况下的污染物排放，以及污染物排放控制措施达不到应有效率等情况下的排放。</w:t>
      </w:r>
    </w:p>
    <w:p w14:paraId="3E1CA6B2">
      <w:pPr>
        <w:widowControl/>
        <w:ind w:firstLine="48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扩建项目不涉及生产过程，主要功能为物料运输；扩建项目仅设置尾气管线及接船设施，尾气处理装置均由后方企业考虑，不属于本项目建设内容，</w:t>
      </w:r>
      <w:r>
        <w:rPr>
          <w:rFonts w:hint="eastAsia" w:cs="宋体"/>
          <w:color w:val="000000" w:themeColor="text1"/>
          <w:kern w:val="0"/>
          <w:u w:val="single"/>
          <w:lang w:bidi="ar"/>
          <w14:textFill>
            <w14:solidFill>
              <w14:schemeClr w14:val="tx1"/>
            </w14:solidFill>
          </w14:textFill>
        </w:rPr>
        <w:t>若后方企业废气处理装置因催化剂失效等原因导致处理效率降低，出现超标等非正常工况排放，均由后方企业密切监控污染物排放状况，及时采取有效措施进行调控，确保各污染物正常稳定达标排放。</w:t>
      </w:r>
      <w:r>
        <w:rPr>
          <w:rFonts w:hint="eastAsia"/>
          <w:color w:val="000000" w:themeColor="text1"/>
          <w:u w:val="single"/>
          <w14:textFill>
            <w14:solidFill>
              <w14:schemeClr w14:val="tx1"/>
            </w14:solidFill>
          </w14:textFill>
        </w:rPr>
        <w:t>项目范围内无导则规定的非正常工况情景。</w:t>
      </w:r>
    </w:p>
    <w:p w14:paraId="365CEA16">
      <w:pPr>
        <w:ind w:firstLine="480"/>
        <w:rPr>
          <w:color w:val="000000" w:themeColor="text1"/>
          <w:u w:val="single"/>
          <w14:textFill>
            <w14:solidFill>
              <w14:schemeClr w14:val="tx1"/>
            </w14:solidFill>
          </w14:textFill>
        </w:rPr>
      </w:pPr>
      <w:r>
        <w:rPr>
          <w:color w:val="000000" w:themeColor="text1"/>
          <w:u w:val="single"/>
          <w14:textFill>
            <w14:solidFill>
              <w14:schemeClr w14:val="tx1"/>
            </w14:solidFill>
          </w14:textFill>
        </w:rPr>
        <w:t>（</w:t>
      </w:r>
      <w:r>
        <w:rPr>
          <w:rFonts w:hint="eastAsia"/>
          <w:color w:val="000000" w:themeColor="text1"/>
          <w:u w:val="single"/>
          <w14:textFill>
            <w14:solidFill>
              <w14:schemeClr w14:val="tx1"/>
            </w14:solidFill>
          </w14:textFill>
        </w:rPr>
        <w:t>3</w:t>
      </w:r>
      <w:r>
        <w:rPr>
          <w:color w:val="000000" w:themeColor="text1"/>
          <w:u w:val="single"/>
          <w14:textFill>
            <w14:solidFill>
              <w14:schemeClr w14:val="tx1"/>
            </w14:solidFill>
          </w14:textFill>
        </w:rPr>
        <w:t>）项目大气污染物年排放量核算</w:t>
      </w:r>
    </w:p>
    <w:p w14:paraId="7E876B92">
      <w:pPr>
        <w:ind w:firstLine="480"/>
        <w:rPr>
          <w:color w:val="000000" w:themeColor="text1"/>
          <w:u w:val="single"/>
          <w14:textFill>
            <w14:solidFill>
              <w14:schemeClr w14:val="tx1"/>
            </w14:solidFill>
          </w14:textFill>
        </w:rPr>
      </w:pPr>
      <w:r>
        <w:rPr>
          <w:color w:val="000000" w:themeColor="text1"/>
          <w:u w:val="single"/>
          <w14:textFill>
            <w14:solidFill>
              <w14:schemeClr w14:val="tx1"/>
            </w14:solidFill>
          </w14:textFill>
        </w:rPr>
        <w:t>项目运营期间产生的大气污染物的排放方式为无组织排放。参照《</w:t>
      </w:r>
      <w:r>
        <w:rPr>
          <w:rFonts w:hint="eastAsia"/>
          <w:color w:val="000000" w:themeColor="text1"/>
          <w:u w:val="single"/>
          <w14:textFill>
            <w14:solidFill>
              <w14:schemeClr w14:val="tx1"/>
            </w14:solidFill>
          </w14:textFill>
        </w:rPr>
        <w:t>环境影响评价技术导则 大气环境</w:t>
      </w:r>
      <w:r>
        <w:rPr>
          <w:color w:val="000000" w:themeColor="text1"/>
          <w:u w:val="single"/>
          <w14:textFill>
            <w14:solidFill>
              <w14:schemeClr w14:val="tx1"/>
            </w14:solidFill>
          </w14:textFill>
        </w:rPr>
        <w:t>》（HJ</w:t>
      </w:r>
      <w:r>
        <w:rPr>
          <w:rFonts w:hint="eastAsia"/>
          <w:color w:val="000000" w:themeColor="text1"/>
          <w:u w:val="single"/>
          <w14:textFill>
            <w14:solidFill>
              <w14:schemeClr w14:val="tx1"/>
            </w14:solidFill>
          </w14:textFill>
        </w:rPr>
        <w:t xml:space="preserve"> </w:t>
      </w:r>
      <w:r>
        <w:rPr>
          <w:color w:val="000000" w:themeColor="text1"/>
          <w:u w:val="single"/>
          <w14:textFill>
            <w14:solidFill>
              <w14:schemeClr w14:val="tx1"/>
            </w14:solidFill>
          </w14:textFill>
        </w:rPr>
        <w:t>2.2-2018）附录C中的表C.32，大气污染物无组织排放量核算表详见表</w:t>
      </w:r>
      <w:r>
        <w:rPr>
          <w:rFonts w:hint="eastAsia"/>
          <w:color w:val="000000" w:themeColor="text1"/>
          <w:u w:val="single"/>
          <w14:textFill>
            <w14:solidFill>
              <w14:schemeClr w14:val="tx1"/>
            </w14:solidFill>
          </w14:textFill>
        </w:rPr>
        <w:t>4.3-12。</w:t>
      </w:r>
    </w:p>
    <w:p w14:paraId="35F73899">
      <w:pPr>
        <w:pStyle w:val="7"/>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大气污染物无组织排放量核算表</w:t>
      </w:r>
    </w:p>
    <w:tbl>
      <w:tblPr>
        <w:tblStyle w:val="43"/>
        <w:tblW w:w="9186"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57" w:type="dxa"/>
          <w:bottom w:w="0" w:type="dxa"/>
          <w:right w:w="57" w:type="dxa"/>
        </w:tblCellMar>
      </w:tblPr>
      <w:tblGrid>
        <w:gridCol w:w="540"/>
        <w:gridCol w:w="1436"/>
        <w:gridCol w:w="1170"/>
        <w:gridCol w:w="1869"/>
        <w:gridCol w:w="1976"/>
        <w:gridCol w:w="1288"/>
        <w:gridCol w:w="907"/>
      </w:tblGrid>
      <w:tr w14:paraId="0671E31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jc w:val="center"/>
        </w:trPr>
        <w:tc>
          <w:tcPr>
            <w:tcW w:w="540" w:type="dxa"/>
            <w:vMerge w:val="restart"/>
            <w:vAlign w:val="center"/>
          </w:tcPr>
          <w:p w14:paraId="28C40CBA">
            <w:pPr>
              <w:spacing w:line="240" w:lineRule="auto"/>
              <w:ind w:firstLine="0" w:firstLineChars="0"/>
              <w:jc w:val="center"/>
              <w:rPr>
                <w:b/>
                <w:bCs/>
                <w:color w:val="000000" w:themeColor="text1"/>
                <w:sz w:val="21"/>
                <w:szCs w:val="21"/>
                <w:u w:val="single"/>
                <w14:textFill>
                  <w14:solidFill>
                    <w14:schemeClr w14:val="tx1"/>
                  </w14:solidFill>
                </w14:textFill>
              </w:rPr>
            </w:pPr>
            <w:r>
              <w:rPr>
                <w:rFonts w:hint="eastAsia"/>
                <w:b/>
                <w:bCs/>
                <w:color w:val="000000" w:themeColor="text1"/>
                <w:sz w:val="21"/>
                <w:szCs w:val="21"/>
                <w:u w:val="single"/>
                <w14:textFill>
                  <w14:solidFill>
                    <w14:schemeClr w14:val="tx1"/>
                  </w14:solidFill>
                </w14:textFill>
              </w:rPr>
              <w:t>序号</w:t>
            </w:r>
          </w:p>
        </w:tc>
        <w:tc>
          <w:tcPr>
            <w:tcW w:w="1436" w:type="dxa"/>
            <w:vMerge w:val="restart"/>
            <w:vAlign w:val="center"/>
          </w:tcPr>
          <w:p w14:paraId="34BBCD5C">
            <w:pPr>
              <w:spacing w:line="240" w:lineRule="auto"/>
              <w:ind w:firstLine="0" w:firstLineChars="0"/>
              <w:jc w:val="center"/>
              <w:rPr>
                <w:b/>
                <w:bCs/>
                <w:color w:val="000000" w:themeColor="text1"/>
                <w:sz w:val="21"/>
                <w:szCs w:val="21"/>
                <w:u w:val="single"/>
                <w14:textFill>
                  <w14:solidFill>
                    <w14:schemeClr w14:val="tx1"/>
                  </w14:solidFill>
                </w14:textFill>
              </w:rPr>
            </w:pPr>
            <w:r>
              <w:rPr>
                <w:rFonts w:hint="eastAsia"/>
                <w:b/>
                <w:bCs/>
                <w:color w:val="000000" w:themeColor="text1"/>
                <w:sz w:val="21"/>
                <w:szCs w:val="21"/>
                <w:u w:val="single"/>
                <w14:textFill>
                  <w14:solidFill>
                    <w14:schemeClr w14:val="tx1"/>
                  </w14:solidFill>
                </w14:textFill>
              </w:rPr>
              <w:t>产污环节</w:t>
            </w:r>
          </w:p>
        </w:tc>
        <w:tc>
          <w:tcPr>
            <w:tcW w:w="1170" w:type="dxa"/>
            <w:vMerge w:val="restart"/>
            <w:vAlign w:val="center"/>
          </w:tcPr>
          <w:p w14:paraId="2606A316">
            <w:pPr>
              <w:spacing w:line="240" w:lineRule="auto"/>
              <w:ind w:firstLine="0" w:firstLineChars="0"/>
              <w:jc w:val="center"/>
              <w:rPr>
                <w:b/>
                <w:bCs/>
                <w:color w:val="000000" w:themeColor="text1"/>
                <w:sz w:val="21"/>
                <w:szCs w:val="21"/>
                <w:u w:val="single"/>
                <w14:textFill>
                  <w14:solidFill>
                    <w14:schemeClr w14:val="tx1"/>
                  </w14:solidFill>
                </w14:textFill>
              </w:rPr>
            </w:pPr>
            <w:r>
              <w:rPr>
                <w:rFonts w:hint="eastAsia"/>
                <w:b/>
                <w:bCs/>
                <w:color w:val="000000" w:themeColor="text1"/>
                <w:sz w:val="21"/>
                <w:szCs w:val="21"/>
                <w:u w:val="single"/>
                <w14:textFill>
                  <w14:solidFill>
                    <w14:schemeClr w14:val="tx1"/>
                  </w14:solidFill>
                </w14:textFill>
              </w:rPr>
              <w:t>污染物</w:t>
            </w:r>
          </w:p>
        </w:tc>
        <w:tc>
          <w:tcPr>
            <w:tcW w:w="1869" w:type="dxa"/>
            <w:vMerge w:val="restart"/>
            <w:vAlign w:val="center"/>
          </w:tcPr>
          <w:p w14:paraId="495EC95E">
            <w:pPr>
              <w:spacing w:line="240" w:lineRule="auto"/>
              <w:ind w:firstLine="0" w:firstLineChars="0"/>
              <w:jc w:val="center"/>
              <w:rPr>
                <w:b/>
                <w:bCs/>
                <w:color w:val="000000" w:themeColor="text1"/>
                <w:sz w:val="21"/>
                <w:szCs w:val="21"/>
                <w:u w:val="single"/>
                <w14:textFill>
                  <w14:solidFill>
                    <w14:schemeClr w14:val="tx1"/>
                  </w14:solidFill>
                </w14:textFill>
              </w:rPr>
            </w:pPr>
            <w:r>
              <w:rPr>
                <w:rFonts w:hint="eastAsia"/>
                <w:b/>
                <w:bCs/>
                <w:color w:val="000000" w:themeColor="text1"/>
                <w:sz w:val="21"/>
                <w:szCs w:val="21"/>
                <w:u w:val="single"/>
                <w14:textFill>
                  <w14:solidFill>
                    <w14:schemeClr w14:val="tx1"/>
                  </w14:solidFill>
                </w14:textFill>
              </w:rPr>
              <w:t>主要污染防治措施</w:t>
            </w:r>
          </w:p>
        </w:tc>
        <w:tc>
          <w:tcPr>
            <w:tcW w:w="3264" w:type="dxa"/>
            <w:gridSpan w:val="2"/>
            <w:vAlign w:val="center"/>
          </w:tcPr>
          <w:p w14:paraId="212858BA">
            <w:pPr>
              <w:spacing w:line="240" w:lineRule="auto"/>
              <w:ind w:firstLine="0" w:firstLineChars="0"/>
              <w:jc w:val="center"/>
              <w:rPr>
                <w:b/>
                <w:bCs/>
                <w:color w:val="000000" w:themeColor="text1"/>
                <w:sz w:val="21"/>
                <w:szCs w:val="21"/>
                <w:u w:val="single"/>
                <w14:textFill>
                  <w14:solidFill>
                    <w14:schemeClr w14:val="tx1"/>
                  </w14:solidFill>
                </w14:textFill>
              </w:rPr>
            </w:pPr>
            <w:r>
              <w:rPr>
                <w:rFonts w:hint="eastAsia"/>
                <w:b/>
                <w:bCs/>
                <w:color w:val="000000" w:themeColor="text1"/>
                <w:sz w:val="21"/>
                <w:szCs w:val="21"/>
                <w:u w:val="single"/>
                <w14:textFill>
                  <w14:solidFill>
                    <w14:schemeClr w14:val="tx1"/>
                  </w14:solidFill>
                </w14:textFill>
              </w:rPr>
              <w:t>国家或地方污染物排放标准</w:t>
            </w:r>
          </w:p>
        </w:tc>
        <w:tc>
          <w:tcPr>
            <w:tcW w:w="907" w:type="dxa"/>
            <w:vMerge w:val="restart"/>
            <w:vAlign w:val="center"/>
          </w:tcPr>
          <w:p w14:paraId="4B76298C">
            <w:pPr>
              <w:spacing w:line="240" w:lineRule="auto"/>
              <w:ind w:firstLine="0" w:firstLineChars="0"/>
              <w:jc w:val="center"/>
              <w:rPr>
                <w:b/>
                <w:bCs/>
                <w:color w:val="000000" w:themeColor="text1"/>
                <w:sz w:val="21"/>
                <w:szCs w:val="21"/>
                <w:u w:val="single"/>
                <w14:textFill>
                  <w14:solidFill>
                    <w14:schemeClr w14:val="tx1"/>
                  </w14:solidFill>
                </w14:textFill>
              </w:rPr>
            </w:pPr>
            <w:r>
              <w:rPr>
                <w:rFonts w:hint="eastAsia"/>
                <w:b/>
                <w:bCs/>
                <w:color w:val="000000" w:themeColor="text1"/>
                <w:sz w:val="21"/>
                <w:szCs w:val="21"/>
                <w:u w:val="single"/>
                <w14:textFill>
                  <w14:solidFill>
                    <w14:schemeClr w14:val="tx1"/>
                  </w14:solidFill>
                </w14:textFill>
              </w:rPr>
              <w:t>年排放量/（t/a）</w:t>
            </w:r>
          </w:p>
        </w:tc>
      </w:tr>
      <w:tr w14:paraId="4D4BC36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blHeader/>
          <w:jc w:val="center"/>
        </w:trPr>
        <w:tc>
          <w:tcPr>
            <w:tcW w:w="540" w:type="dxa"/>
            <w:vMerge w:val="continue"/>
            <w:vAlign w:val="center"/>
          </w:tcPr>
          <w:p w14:paraId="51EF4E06">
            <w:pPr>
              <w:spacing w:line="240" w:lineRule="auto"/>
              <w:ind w:firstLine="0" w:firstLineChars="0"/>
              <w:jc w:val="center"/>
              <w:rPr>
                <w:b/>
                <w:bCs/>
                <w:color w:val="000000" w:themeColor="text1"/>
                <w:sz w:val="21"/>
                <w:szCs w:val="21"/>
                <w:u w:val="single"/>
                <w14:textFill>
                  <w14:solidFill>
                    <w14:schemeClr w14:val="tx1"/>
                  </w14:solidFill>
                </w14:textFill>
              </w:rPr>
            </w:pPr>
          </w:p>
        </w:tc>
        <w:tc>
          <w:tcPr>
            <w:tcW w:w="1436" w:type="dxa"/>
            <w:vMerge w:val="continue"/>
            <w:vAlign w:val="center"/>
          </w:tcPr>
          <w:p w14:paraId="688E9CF1">
            <w:pPr>
              <w:spacing w:line="240" w:lineRule="auto"/>
              <w:ind w:firstLine="0" w:firstLineChars="0"/>
              <w:jc w:val="center"/>
              <w:rPr>
                <w:b/>
                <w:bCs/>
                <w:color w:val="000000" w:themeColor="text1"/>
                <w:sz w:val="21"/>
                <w:szCs w:val="21"/>
                <w:u w:val="single"/>
                <w14:textFill>
                  <w14:solidFill>
                    <w14:schemeClr w14:val="tx1"/>
                  </w14:solidFill>
                </w14:textFill>
              </w:rPr>
            </w:pPr>
          </w:p>
        </w:tc>
        <w:tc>
          <w:tcPr>
            <w:tcW w:w="1170" w:type="dxa"/>
            <w:vMerge w:val="continue"/>
            <w:vAlign w:val="center"/>
          </w:tcPr>
          <w:p w14:paraId="2C221FB6">
            <w:pPr>
              <w:spacing w:line="240" w:lineRule="auto"/>
              <w:ind w:firstLine="0" w:firstLineChars="0"/>
              <w:jc w:val="center"/>
              <w:rPr>
                <w:b/>
                <w:bCs/>
                <w:color w:val="000000" w:themeColor="text1"/>
                <w:sz w:val="21"/>
                <w:szCs w:val="21"/>
                <w:u w:val="single"/>
                <w14:textFill>
                  <w14:solidFill>
                    <w14:schemeClr w14:val="tx1"/>
                  </w14:solidFill>
                </w14:textFill>
              </w:rPr>
            </w:pPr>
          </w:p>
        </w:tc>
        <w:tc>
          <w:tcPr>
            <w:tcW w:w="1869" w:type="dxa"/>
            <w:vMerge w:val="continue"/>
            <w:vAlign w:val="center"/>
          </w:tcPr>
          <w:p w14:paraId="42CB9ABD">
            <w:pPr>
              <w:spacing w:line="240" w:lineRule="auto"/>
              <w:ind w:firstLine="0" w:firstLineChars="0"/>
              <w:jc w:val="center"/>
              <w:rPr>
                <w:b/>
                <w:bCs/>
                <w:color w:val="000000" w:themeColor="text1"/>
                <w:sz w:val="21"/>
                <w:szCs w:val="21"/>
                <w:u w:val="single"/>
                <w14:textFill>
                  <w14:solidFill>
                    <w14:schemeClr w14:val="tx1"/>
                  </w14:solidFill>
                </w14:textFill>
              </w:rPr>
            </w:pPr>
          </w:p>
        </w:tc>
        <w:tc>
          <w:tcPr>
            <w:tcW w:w="1976" w:type="dxa"/>
            <w:vAlign w:val="center"/>
          </w:tcPr>
          <w:p w14:paraId="5C597052">
            <w:pPr>
              <w:spacing w:line="240" w:lineRule="auto"/>
              <w:ind w:firstLine="0" w:firstLineChars="0"/>
              <w:jc w:val="center"/>
              <w:rPr>
                <w:b/>
                <w:bCs/>
                <w:color w:val="000000" w:themeColor="text1"/>
                <w:sz w:val="21"/>
                <w:szCs w:val="21"/>
                <w:u w:val="single"/>
                <w14:textFill>
                  <w14:solidFill>
                    <w14:schemeClr w14:val="tx1"/>
                  </w14:solidFill>
                </w14:textFill>
              </w:rPr>
            </w:pPr>
            <w:r>
              <w:rPr>
                <w:rFonts w:hint="eastAsia"/>
                <w:b/>
                <w:bCs/>
                <w:color w:val="000000" w:themeColor="text1"/>
                <w:sz w:val="21"/>
                <w:szCs w:val="21"/>
                <w:u w:val="single"/>
                <w14:textFill>
                  <w14:solidFill>
                    <w14:schemeClr w14:val="tx1"/>
                  </w14:solidFill>
                </w14:textFill>
              </w:rPr>
              <w:t>标准名称</w:t>
            </w:r>
          </w:p>
        </w:tc>
        <w:tc>
          <w:tcPr>
            <w:tcW w:w="1288" w:type="dxa"/>
            <w:vAlign w:val="center"/>
          </w:tcPr>
          <w:p w14:paraId="1A8F412E">
            <w:pPr>
              <w:spacing w:line="240" w:lineRule="auto"/>
              <w:ind w:firstLine="0" w:firstLineChars="0"/>
              <w:jc w:val="center"/>
              <w:rPr>
                <w:b/>
                <w:bCs/>
                <w:color w:val="000000" w:themeColor="text1"/>
                <w:sz w:val="21"/>
                <w:szCs w:val="21"/>
                <w:u w:val="single"/>
                <w14:textFill>
                  <w14:solidFill>
                    <w14:schemeClr w14:val="tx1"/>
                  </w14:solidFill>
                </w14:textFill>
              </w:rPr>
            </w:pPr>
            <w:r>
              <w:rPr>
                <w:rFonts w:hint="eastAsia"/>
                <w:b/>
                <w:bCs/>
                <w:color w:val="000000" w:themeColor="text1"/>
                <w:sz w:val="21"/>
                <w:szCs w:val="21"/>
                <w:u w:val="single"/>
                <w14:textFill>
                  <w14:solidFill>
                    <w14:schemeClr w14:val="tx1"/>
                  </w14:solidFill>
                </w14:textFill>
              </w:rPr>
              <w:t>浓度限值</w:t>
            </w:r>
          </w:p>
        </w:tc>
        <w:tc>
          <w:tcPr>
            <w:tcW w:w="907" w:type="dxa"/>
            <w:vMerge w:val="continue"/>
            <w:vAlign w:val="center"/>
          </w:tcPr>
          <w:p w14:paraId="78D701B2">
            <w:pPr>
              <w:spacing w:line="240" w:lineRule="auto"/>
              <w:ind w:firstLine="0" w:firstLineChars="0"/>
              <w:jc w:val="center"/>
              <w:rPr>
                <w:b/>
                <w:bCs/>
                <w:color w:val="000000" w:themeColor="text1"/>
                <w:sz w:val="21"/>
                <w:szCs w:val="21"/>
                <w:u w:val="single"/>
                <w14:textFill>
                  <w14:solidFill>
                    <w14:schemeClr w14:val="tx1"/>
                  </w14:solidFill>
                </w14:textFill>
              </w:rPr>
            </w:pPr>
          </w:p>
        </w:tc>
      </w:tr>
      <w:tr w14:paraId="5482601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jc w:val="center"/>
        </w:trPr>
        <w:tc>
          <w:tcPr>
            <w:tcW w:w="540" w:type="dxa"/>
            <w:vAlign w:val="center"/>
          </w:tcPr>
          <w:p w14:paraId="7A866616">
            <w:pPr>
              <w:spacing w:line="240" w:lineRule="auto"/>
              <w:ind w:firstLine="0" w:firstLineChars="0"/>
              <w:jc w:val="center"/>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1</w:t>
            </w:r>
          </w:p>
        </w:tc>
        <w:tc>
          <w:tcPr>
            <w:tcW w:w="1436" w:type="dxa"/>
            <w:vMerge w:val="restart"/>
            <w:vAlign w:val="center"/>
          </w:tcPr>
          <w:p w14:paraId="021A36FF">
            <w:pPr>
              <w:spacing w:line="240" w:lineRule="auto"/>
              <w:ind w:firstLine="0" w:firstLineChars="0"/>
              <w:jc w:val="center"/>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装卸作业区</w:t>
            </w:r>
          </w:p>
        </w:tc>
        <w:tc>
          <w:tcPr>
            <w:tcW w:w="1170" w:type="dxa"/>
            <w:vAlign w:val="center"/>
          </w:tcPr>
          <w:p w14:paraId="45DD99C6">
            <w:pPr>
              <w:spacing w:line="240" w:lineRule="auto"/>
              <w:ind w:firstLine="0" w:firstLineChars="0"/>
              <w:jc w:val="center"/>
              <w:rPr>
                <w:color w:val="000000" w:themeColor="text1"/>
                <w:sz w:val="21"/>
                <w:szCs w:val="21"/>
                <w:u w:val="single"/>
                <w14:textFill>
                  <w14:solidFill>
                    <w14:schemeClr w14:val="tx1"/>
                  </w14:solidFill>
                </w14:textFill>
              </w:rPr>
            </w:pPr>
            <w:r>
              <w:rPr>
                <w:rFonts w:hint="eastAsia"/>
                <w:color w:val="000000" w:themeColor="text1"/>
                <w:sz w:val="21"/>
                <w:szCs w:val="16"/>
                <w:u w:val="single"/>
                <w14:textFill>
                  <w14:solidFill>
                    <w14:schemeClr w14:val="tx1"/>
                  </w14:solidFill>
                </w14:textFill>
              </w:rPr>
              <w:t>苯乙烯</w:t>
            </w:r>
          </w:p>
        </w:tc>
        <w:tc>
          <w:tcPr>
            <w:tcW w:w="1869" w:type="dxa"/>
            <w:vMerge w:val="restart"/>
            <w:vAlign w:val="center"/>
          </w:tcPr>
          <w:p w14:paraId="1E0E502E">
            <w:pPr>
              <w:spacing w:line="240" w:lineRule="auto"/>
              <w:ind w:firstLine="420"/>
              <w:jc w:val="center"/>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自然扩散</w:t>
            </w:r>
          </w:p>
        </w:tc>
        <w:tc>
          <w:tcPr>
            <w:tcW w:w="1976" w:type="dxa"/>
            <w:vMerge w:val="restart"/>
            <w:vAlign w:val="center"/>
          </w:tcPr>
          <w:p w14:paraId="05AD9B0B">
            <w:pPr>
              <w:spacing w:line="240" w:lineRule="auto"/>
              <w:ind w:firstLine="0" w:firstLineChars="0"/>
              <w:jc w:val="center"/>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《大气污染物综合排放标准》（GB 16297-1996）</w:t>
            </w:r>
          </w:p>
        </w:tc>
        <w:tc>
          <w:tcPr>
            <w:tcW w:w="1288" w:type="dxa"/>
            <w:vAlign w:val="center"/>
          </w:tcPr>
          <w:p w14:paraId="5978784E">
            <w:pPr>
              <w:spacing w:line="240" w:lineRule="auto"/>
              <w:ind w:firstLine="0" w:firstLineChars="0"/>
              <w:jc w:val="center"/>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4.0</w:t>
            </w:r>
            <w:r>
              <w:rPr>
                <w:color w:val="000000" w:themeColor="text1"/>
                <w:sz w:val="21"/>
                <w:szCs w:val="21"/>
                <w:u w:val="single"/>
                <w14:textFill>
                  <w14:solidFill>
                    <w14:schemeClr w14:val="tx1"/>
                  </w14:solidFill>
                </w14:textFill>
              </w:rPr>
              <w:t xml:space="preserve"> mg/m</w:t>
            </w:r>
            <w:r>
              <w:rPr>
                <w:color w:val="000000" w:themeColor="text1"/>
                <w:sz w:val="21"/>
                <w:szCs w:val="21"/>
                <w:u w:val="single"/>
                <w:vertAlign w:val="superscript"/>
                <w14:textFill>
                  <w14:solidFill>
                    <w14:schemeClr w14:val="tx1"/>
                  </w14:solidFill>
                </w14:textFill>
              </w:rPr>
              <w:t>3</w:t>
            </w:r>
          </w:p>
        </w:tc>
        <w:tc>
          <w:tcPr>
            <w:tcW w:w="907" w:type="dxa"/>
            <w:vAlign w:val="center"/>
          </w:tcPr>
          <w:p w14:paraId="204A366A">
            <w:pPr>
              <w:spacing w:line="240" w:lineRule="auto"/>
              <w:ind w:firstLine="0" w:firstLineChars="0"/>
              <w:jc w:val="center"/>
              <w:rPr>
                <w:color w:val="000000" w:themeColor="text1"/>
                <w:sz w:val="21"/>
                <w:szCs w:val="21"/>
                <w:u w:val="single"/>
                <w14:textFill>
                  <w14:solidFill>
                    <w14:schemeClr w14:val="tx1"/>
                  </w14:solidFill>
                </w14:textFill>
              </w:rPr>
            </w:pPr>
            <w:r>
              <w:rPr>
                <w:rFonts w:hint="eastAsia" w:eastAsia="等线"/>
                <w:color w:val="000000" w:themeColor="text1"/>
                <w:sz w:val="21"/>
                <w:szCs w:val="21"/>
                <w:u w:val="single"/>
                <w14:textFill>
                  <w14:solidFill>
                    <w14:schemeClr w14:val="tx1"/>
                  </w14:solidFill>
                </w14:textFill>
              </w:rPr>
              <w:t>0.00024</w:t>
            </w:r>
          </w:p>
        </w:tc>
      </w:tr>
      <w:tr w14:paraId="54EF183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jc w:val="center"/>
        </w:trPr>
        <w:tc>
          <w:tcPr>
            <w:tcW w:w="540" w:type="dxa"/>
            <w:vAlign w:val="center"/>
          </w:tcPr>
          <w:p w14:paraId="547FB363">
            <w:pPr>
              <w:spacing w:line="240" w:lineRule="auto"/>
              <w:ind w:firstLine="0" w:firstLineChars="0"/>
              <w:jc w:val="center"/>
              <w:rPr>
                <w:color w:val="000000" w:themeColor="text1"/>
                <w:sz w:val="21"/>
                <w:szCs w:val="21"/>
                <w:u w:val="single"/>
                <w14:textFill>
                  <w14:solidFill>
                    <w14:schemeClr w14:val="tx1"/>
                  </w14:solidFill>
                </w14:textFill>
              </w:rPr>
            </w:pPr>
          </w:p>
        </w:tc>
        <w:tc>
          <w:tcPr>
            <w:tcW w:w="1436" w:type="dxa"/>
            <w:vMerge w:val="continue"/>
            <w:vAlign w:val="center"/>
          </w:tcPr>
          <w:p w14:paraId="200B98EF">
            <w:pPr>
              <w:spacing w:line="240" w:lineRule="auto"/>
              <w:ind w:firstLine="0" w:firstLineChars="0"/>
              <w:jc w:val="center"/>
              <w:rPr>
                <w:color w:val="000000" w:themeColor="text1"/>
                <w:sz w:val="21"/>
                <w:szCs w:val="21"/>
                <w:u w:val="single"/>
                <w14:textFill>
                  <w14:solidFill>
                    <w14:schemeClr w14:val="tx1"/>
                  </w14:solidFill>
                </w14:textFill>
              </w:rPr>
            </w:pPr>
          </w:p>
        </w:tc>
        <w:tc>
          <w:tcPr>
            <w:tcW w:w="1170" w:type="dxa"/>
            <w:vAlign w:val="center"/>
          </w:tcPr>
          <w:p w14:paraId="372854D6">
            <w:pPr>
              <w:spacing w:line="240" w:lineRule="auto"/>
              <w:ind w:firstLine="0" w:firstLineChars="0"/>
              <w:jc w:val="center"/>
              <w:rPr>
                <w:color w:val="000000" w:themeColor="text1"/>
                <w:sz w:val="21"/>
                <w:szCs w:val="21"/>
                <w:u w:val="single"/>
                <w14:textFill>
                  <w14:solidFill>
                    <w14:schemeClr w14:val="tx1"/>
                  </w14:solidFill>
                </w14:textFill>
              </w:rPr>
            </w:pPr>
            <w:r>
              <w:rPr>
                <w:rFonts w:hint="eastAsia"/>
                <w:color w:val="000000" w:themeColor="text1"/>
                <w:sz w:val="21"/>
                <w:szCs w:val="16"/>
                <w:u w:val="single"/>
                <w14:textFill>
                  <w14:solidFill>
                    <w14:schemeClr w14:val="tx1"/>
                  </w14:solidFill>
                </w14:textFill>
              </w:rPr>
              <w:t>硫酸雾</w:t>
            </w:r>
          </w:p>
        </w:tc>
        <w:tc>
          <w:tcPr>
            <w:tcW w:w="1869" w:type="dxa"/>
            <w:vMerge w:val="continue"/>
            <w:vAlign w:val="center"/>
          </w:tcPr>
          <w:p w14:paraId="3F69F4D0">
            <w:pPr>
              <w:spacing w:line="240" w:lineRule="auto"/>
              <w:ind w:firstLine="420"/>
              <w:jc w:val="center"/>
              <w:rPr>
                <w:color w:val="000000" w:themeColor="text1"/>
                <w:sz w:val="21"/>
                <w:szCs w:val="21"/>
                <w:u w:val="single"/>
                <w14:textFill>
                  <w14:solidFill>
                    <w14:schemeClr w14:val="tx1"/>
                  </w14:solidFill>
                </w14:textFill>
              </w:rPr>
            </w:pPr>
          </w:p>
        </w:tc>
        <w:tc>
          <w:tcPr>
            <w:tcW w:w="1976" w:type="dxa"/>
            <w:vMerge w:val="continue"/>
            <w:vAlign w:val="center"/>
          </w:tcPr>
          <w:p w14:paraId="0142F3D3">
            <w:pPr>
              <w:spacing w:line="240" w:lineRule="auto"/>
              <w:ind w:firstLine="0" w:firstLineChars="0"/>
              <w:jc w:val="center"/>
              <w:rPr>
                <w:color w:val="000000" w:themeColor="text1"/>
                <w:sz w:val="21"/>
                <w:szCs w:val="21"/>
                <w:u w:val="single"/>
                <w14:textFill>
                  <w14:solidFill>
                    <w14:schemeClr w14:val="tx1"/>
                  </w14:solidFill>
                </w14:textFill>
              </w:rPr>
            </w:pPr>
          </w:p>
        </w:tc>
        <w:tc>
          <w:tcPr>
            <w:tcW w:w="1288" w:type="dxa"/>
            <w:vAlign w:val="center"/>
          </w:tcPr>
          <w:p w14:paraId="78666B25">
            <w:pPr>
              <w:spacing w:line="240" w:lineRule="auto"/>
              <w:ind w:firstLine="0" w:firstLineChars="0"/>
              <w:jc w:val="center"/>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1.2</w:t>
            </w:r>
            <w:r>
              <w:rPr>
                <w:color w:val="000000" w:themeColor="text1"/>
                <w:sz w:val="21"/>
                <w:szCs w:val="21"/>
                <w:u w:val="single"/>
                <w14:textFill>
                  <w14:solidFill>
                    <w14:schemeClr w14:val="tx1"/>
                  </w14:solidFill>
                </w14:textFill>
              </w:rPr>
              <w:t xml:space="preserve"> mg/m</w:t>
            </w:r>
            <w:r>
              <w:rPr>
                <w:color w:val="000000" w:themeColor="text1"/>
                <w:sz w:val="21"/>
                <w:szCs w:val="21"/>
                <w:u w:val="single"/>
                <w:vertAlign w:val="superscript"/>
                <w14:textFill>
                  <w14:solidFill>
                    <w14:schemeClr w14:val="tx1"/>
                  </w14:solidFill>
                </w14:textFill>
              </w:rPr>
              <w:t>3</w:t>
            </w:r>
          </w:p>
        </w:tc>
        <w:tc>
          <w:tcPr>
            <w:tcW w:w="907" w:type="dxa"/>
            <w:vAlign w:val="center"/>
          </w:tcPr>
          <w:p w14:paraId="42D27B02">
            <w:pPr>
              <w:spacing w:line="240" w:lineRule="auto"/>
              <w:ind w:firstLine="0" w:firstLineChars="0"/>
              <w:jc w:val="center"/>
              <w:rPr>
                <w:color w:val="000000" w:themeColor="text1"/>
                <w:sz w:val="21"/>
                <w:szCs w:val="21"/>
                <w:u w:val="single"/>
                <w14:textFill>
                  <w14:solidFill>
                    <w14:schemeClr w14:val="tx1"/>
                  </w14:solidFill>
                </w14:textFill>
              </w:rPr>
            </w:pPr>
            <w:r>
              <w:rPr>
                <w:rFonts w:hint="eastAsia" w:eastAsia="等线"/>
                <w:color w:val="000000" w:themeColor="text1"/>
                <w:sz w:val="21"/>
                <w:szCs w:val="21"/>
                <w:u w:val="single"/>
                <w14:textFill>
                  <w14:solidFill>
                    <w14:schemeClr w14:val="tx1"/>
                  </w14:solidFill>
                </w14:textFill>
              </w:rPr>
              <w:t>0</w:t>
            </w:r>
            <w:r>
              <w:rPr>
                <w:rFonts w:eastAsia="等线"/>
                <w:color w:val="000000" w:themeColor="text1"/>
                <w:sz w:val="21"/>
                <w:szCs w:val="21"/>
                <w:u w:val="single"/>
                <w14:textFill>
                  <w14:solidFill>
                    <w14:schemeClr w14:val="tx1"/>
                  </w14:solidFill>
                </w14:textFill>
              </w:rPr>
              <w:t>.0011</w:t>
            </w:r>
          </w:p>
        </w:tc>
      </w:tr>
      <w:tr w14:paraId="477A048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jc w:val="center"/>
        </w:trPr>
        <w:tc>
          <w:tcPr>
            <w:tcW w:w="540" w:type="dxa"/>
            <w:vAlign w:val="center"/>
          </w:tcPr>
          <w:p w14:paraId="716CD801">
            <w:pPr>
              <w:spacing w:line="240" w:lineRule="auto"/>
              <w:ind w:firstLine="0" w:firstLineChars="0"/>
              <w:jc w:val="center"/>
              <w:rPr>
                <w:color w:val="000000" w:themeColor="text1"/>
                <w:sz w:val="21"/>
                <w:szCs w:val="21"/>
                <w:u w:val="single"/>
                <w14:textFill>
                  <w14:solidFill>
                    <w14:schemeClr w14:val="tx1"/>
                  </w14:solidFill>
                </w14:textFill>
              </w:rPr>
            </w:pPr>
          </w:p>
        </w:tc>
        <w:tc>
          <w:tcPr>
            <w:tcW w:w="1436" w:type="dxa"/>
            <w:vMerge w:val="continue"/>
            <w:vAlign w:val="center"/>
          </w:tcPr>
          <w:p w14:paraId="032EB400">
            <w:pPr>
              <w:spacing w:line="240" w:lineRule="auto"/>
              <w:ind w:firstLine="0" w:firstLineChars="0"/>
              <w:jc w:val="center"/>
              <w:rPr>
                <w:color w:val="000000" w:themeColor="text1"/>
                <w:sz w:val="21"/>
                <w:szCs w:val="21"/>
                <w:u w:val="single"/>
                <w14:textFill>
                  <w14:solidFill>
                    <w14:schemeClr w14:val="tx1"/>
                  </w14:solidFill>
                </w14:textFill>
              </w:rPr>
            </w:pPr>
          </w:p>
        </w:tc>
        <w:tc>
          <w:tcPr>
            <w:tcW w:w="1170" w:type="dxa"/>
            <w:vAlign w:val="center"/>
          </w:tcPr>
          <w:p w14:paraId="11B12675">
            <w:pPr>
              <w:spacing w:line="240" w:lineRule="auto"/>
              <w:ind w:firstLine="0" w:firstLineChars="0"/>
              <w:jc w:val="center"/>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VOCs</w:t>
            </w:r>
          </w:p>
        </w:tc>
        <w:tc>
          <w:tcPr>
            <w:tcW w:w="1869" w:type="dxa"/>
            <w:vMerge w:val="continue"/>
            <w:vAlign w:val="center"/>
          </w:tcPr>
          <w:p w14:paraId="0E4F10F4">
            <w:pPr>
              <w:spacing w:line="240" w:lineRule="auto"/>
              <w:ind w:firstLine="0" w:firstLineChars="0"/>
              <w:jc w:val="center"/>
              <w:rPr>
                <w:color w:val="000000" w:themeColor="text1"/>
                <w:sz w:val="21"/>
                <w:szCs w:val="21"/>
                <w:u w:val="single"/>
                <w14:textFill>
                  <w14:solidFill>
                    <w14:schemeClr w14:val="tx1"/>
                  </w14:solidFill>
                </w14:textFill>
              </w:rPr>
            </w:pPr>
          </w:p>
        </w:tc>
        <w:tc>
          <w:tcPr>
            <w:tcW w:w="1976" w:type="dxa"/>
            <w:vMerge w:val="continue"/>
            <w:vAlign w:val="center"/>
          </w:tcPr>
          <w:p w14:paraId="0EB25CD9">
            <w:pPr>
              <w:spacing w:line="240" w:lineRule="auto"/>
              <w:ind w:firstLine="0" w:firstLineChars="0"/>
              <w:jc w:val="center"/>
              <w:rPr>
                <w:color w:val="000000" w:themeColor="text1"/>
                <w:sz w:val="21"/>
                <w:szCs w:val="21"/>
                <w:u w:val="single"/>
                <w14:textFill>
                  <w14:solidFill>
                    <w14:schemeClr w14:val="tx1"/>
                  </w14:solidFill>
                </w14:textFill>
              </w:rPr>
            </w:pPr>
          </w:p>
        </w:tc>
        <w:tc>
          <w:tcPr>
            <w:tcW w:w="1288" w:type="dxa"/>
            <w:vAlign w:val="center"/>
          </w:tcPr>
          <w:p w14:paraId="7CD09146">
            <w:pPr>
              <w:spacing w:line="240" w:lineRule="auto"/>
              <w:ind w:firstLine="0" w:firstLineChars="0"/>
              <w:jc w:val="center"/>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4.0</w:t>
            </w:r>
            <w:r>
              <w:rPr>
                <w:color w:val="000000" w:themeColor="text1"/>
                <w:sz w:val="21"/>
                <w:szCs w:val="21"/>
                <w:u w:val="single"/>
                <w14:textFill>
                  <w14:solidFill>
                    <w14:schemeClr w14:val="tx1"/>
                  </w14:solidFill>
                </w14:textFill>
              </w:rPr>
              <w:t>mg/m</w:t>
            </w:r>
            <w:r>
              <w:rPr>
                <w:color w:val="000000" w:themeColor="text1"/>
                <w:sz w:val="21"/>
                <w:szCs w:val="21"/>
                <w:u w:val="single"/>
                <w:vertAlign w:val="superscript"/>
                <w14:textFill>
                  <w14:solidFill>
                    <w14:schemeClr w14:val="tx1"/>
                  </w14:solidFill>
                </w14:textFill>
              </w:rPr>
              <w:t>3</w:t>
            </w:r>
          </w:p>
        </w:tc>
        <w:tc>
          <w:tcPr>
            <w:tcW w:w="907" w:type="dxa"/>
            <w:vAlign w:val="center"/>
          </w:tcPr>
          <w:p w14:paraId="74ED886A">
            <w:pPr>
              <w:spacing w:line="240" w:lineRule="auto"/>
              <w:ind w:firstLine="0" w:firstLineChars="0"/>
              <w:jc w:val="center"/>
              <w:rPr>
                <w:color w:val="000000" w:themeColor="text1"/>
                <w:sz w:val="21"/>
                <w:szCs w:val="21"/>
                <w:u w:val="single"/>
                <w14:textFill>
                  <w14:solidFill>
                    <w14:schemeClr w14:val="tx1"/>
                  </w14:solidFill>
                </w14:textFill>
              </w:rPr>
            </w:pPr>
            <w:r>
              <w:rPr>
                <w:rFonts w:hint="eastAsia" w:eastAsia="等线"/>
                <w:color w:val="000000" w:themeColor="text1"/>
                <w:sz w:val="21"/>
                <w:szCs w:val="21"/>
                <w:u w:val="single"/>
                <w14:textFill>
                  <w14:solidFill>
                    <w14:schemeClr w14:val="tx1"/>
                  </w14:solidFill>
                </w14:textFill>
              </w:rPr>
              <w:t>0</w:t>
            </w:r>
            <w:r>
              <w:rPr>
                <w:rFonts w:eastAsia="等线"/>
                <w:color w:val="000000" w:themeColor="text1"/>
                <w:sz w:val="21"/>
                <w:szCs w:val="21"/>
                <w:u w:val="single"/>
                <w14:textFill>
                  <w14:solidFill>
                    <w14:schemeClr w14:val="tx1"/>
                  </w14:solidFill>
                </w14:textFill>
              </w:rPr>
              <w:t>.0141</w:t>
            </w:r>
          </w:p>
        </w:tc>
      </w:tr>
      <w:tr w14:paraId="67EFBF3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jc w:val="center"/>
        </w:trPr>
        <w:tc>
          <w:tcPr>
            <w:tcW w:w="540" w:type="dxa"/>
            <w:vMerge w:val="restart"/>
            <w:vAlign w:val="center"/>
          </w:tcPr>
          <w:p w14:paraId="56A48FF3">
            <w:pPr>
              <w:spacing w:line="240" w:lineRule="auto"/>
              <w:ind w:firstLine="0" w:firstLineChars="0"/>
              <w:jc w:val="center"/>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2</w:t>
            </w:r>
          </w:p>
        </w:tc>
        <w:tc>
          <w:tcPr>
            <w:tcW w:w="1436" w:type="dxa"/>
            <w:vMerge w:val="restart"/>
            <w:vAlign w:val="center"/>
          </w:tcPr>
          <w:p w14:paraId="20BDA128">
            <w:pPr>
              <w:spacing w:line="240" w:lineRule="auto"/>
              <w:ind w:firstLine="0" w:firstLineChars="0"/>
              <w:jc w:val="center"/>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船舶废气</w:t>
            </w:r>
          </w:p>
        </w:tc>
        <w:tc>
          <w:tcPr>
            <w:tcW w:w="1170" w:type="dxa"/>
            <w:vAlign w:val="center"/>
          </w:tcPr>
          <w:p w14:paraId="0EC68051">
            <w:pPr>
              <w:spacing w:line="240" w:lineRule="auto"/>
              <w:ind w:firstLine="0" w:firstLineChars="0"/>
              <w:jc w:val="center"/>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SO</w:t>
            </w:r>
            <w:r>
              <w:rPr>
                <w:rFonts w:hint="eastAsia"/>
                <w:color w:val="000000" w:themeColor="text1"/>
                <w:sz w:val="21"/>
                <w:szCs w:val="21"/>
                <w:u w:val="single"/>
                <w:vertAlign w:val="subscript"/>
                <w14:textFill>
                  <w14:solidFill>
                    <w14:schemeClr w14:val="tx1"/>
                  </w14:solidFill>
                </w14:textFill>
              </w:rPr>
              <w:t>2</w:t>
            </w:r>
          </w:p>
        </w:tc>
        <w:tc>
          <w:tcPr>
            <w:tcW w:w="1869" w:type="dxa"/>
            <w:vMerge w:val="restart"/>
            <w:vAlign w:val="center"/>
          </w:tcPr>
          <w:p w14:paraId="06C49EDE">
            <w:pPr>
              <w:spacing w:line="240" w:lineRule="auto"/>
              <w:ind w:firstLine="0" w:firstLineChars="0"/>
              <w:jc w:val="center"/>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自然扩散</w:t>
            </w:r>
          </w:p>
        </w:tc>
        <w:tc>
          <w:tcPr>
            <w:tcW w:w="1976" w:type="dxa"/>
            <w:vMerge w:val="continue"/>
            <w:vAlign w:val="center"/>
          </w:tcPr>
          <w:p w14:paraId="32FF9323">
            <w:pPr>
              <w:spacing w:line="240" w:lineRule="auto"/>
              <w:ind w:firstLine="0" w:firstLineChars="0"/>
              <w:jc w:val="center"/>
              <w:rPr>
                <w:color w:val="000000" w:themeColor="text1"/>
                <w:sz w:val="21"/>
                <w:szCs w:val="21"/>
                <w:u w:val="single"/>
                <w14:textFill>
                  <w14:solidFill>
                    <w14:schemeClr w14:val="tx1"/>
                  </w14:solidFill>
                </w14:textFill>
              </w:rPr>
            </w:pPr>
          </w:p>
        </w:tc>
        <w:tc>
          <w:tcPr>
            <w:tcW w:w="1288" w:type="dxa"/>
            <w:vAlign w:val="center"/>
          </w:tcPr>
          <w:p w14:paraId="7DE9AAD1">
            <w:pPr>
              <w:spacing w:line="240" w:lineRule="auto"/>
              <w:ind w:firstLine="0" w:firstLineChars="0"/>
              <w:jc w:val="center"/>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0.4</w:t>
            </w:r>
            <w:r>
              <w:rPr>
                <w:color w:val="000000" w:themeColor="text1"/>
                <w:sz w:val="21"/>
                <w:szCs w:val="21"/>
                <w:u w:val="single"/>
                <w14:textFill>
                  <w14:solidFill>
                    <w14:schemeClr w14:val="tx1"/>
                  </w14:solidFill>
                </w14:textFill>
              </w:rPr>
              <w:t>mg/m</w:t>
            </w:r>
            <w:r>
              <w:rPr>
                <w:color w:val="000000" w:themeColor="text1"/>
                <w:sz w:val="21"/>
                <w:szCs w:val="21"/>
                <w:u w:val="single"/>
                <w:vertAlign w:val="superscript"/>
                <w14:textFill>
                  <w14:solidFill>
                    <w14:schemeClr w14:val="tx1"/>
                  </w14:solidFill>
                </w14:textFill>
              </w:rPr>
              <w:t>3</w:t>
            </w:r>
          </w:p>
        </w:tc>
        <w:tc>
          <w:tcPr>
            <w:tcW w:w="907" w:type="dxa"/>
            <w:vAlign w:val="center"/>
          </w:tcPr>
          <w:p w14:paraId="1A570D5B">
            <w:pPr>
              <w:spacing w:line="240" w:lineRule="auto"/>
              <w:ind w:firstLine="0" w:firstLineChars="0"/>
              <w:jc w:val="center"/>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0.672</w:t>
            </w:r>
          </w:p>
        </w:tc>
      </w:tr>
      <w:tr w14:paraId="1C4C196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jc w:val="center"/>
        </w:trPr>
        <w:tc>
          <w:tcPr>
            <w:tcW w:w="540" w:type="dxa"/>
            <w:vMerge w:val="continue"/>
            <w:vAlign w:val="center"/>
          </w:tcPr>
          <w:p w14:paraId="5638330A">
            <w:pPr>
              <w:spacing w:line="240" w:lineRule="auto"/>
              <w:ind w:firstLine="0" w:firstLineChars="0"/>
              <w:jc w:val="center"/>
              <w:rPr>
                <w:color w:val="000000" w:themeColor="text1"/>
                <w:sz w:val="21"/>
                <w:szCs w:val="21"/>
                <w:u w:val="single"/>
                <w14:textFill>
                  <w14:solidFill>
                    <w14:schemeClr w14:val="tx1"/>
                  </w14:solidFill>
                </w14:textFill>
              </w:rPr>
            </w:pPr>
          </w:p>
        </w:tc>
        <w:tc>
          <w:tcPr>
            <w:tcW w:w="1436" w:type="dxa"/>
            <w:vMerge w:val="continue"/>
            <w:vAlign w:val="center"/>
          </w:tcPr>
          <w:p w14:paraId="58866E0C">
            <w:pPr>
              <w:spacing w:line="240" w:lineRule="auto"/>
              <w:ind w:firstLine="0" w:firstLineChars="0"/>
              <w:jc w:val="center"/>
              <w:rPr>
                <w:color w:val="000000" w:themeColor="text1"/>
                <w:sz w:val="21"/>
                <w:szCs w:val="21"/>
                <w:u w:val="single"/>
                <w14:textFill>
                  <w14:solidFill>
                    <w14:schemeClr w14:val="tx1"/>
                  </w14:solidFill>
                </w14:textFill>
              </w:rPr>
            </w:pPr>
          </w:p>
        </w:tc>
        <w:tc>
          <w:tcPr>
            <w:tcW w:w="1170" w:type="dxa"/>
            <w:vAlign w:val="center"/>
          </w:tcPr>
          <w:p w14:paraId="6BD2E154">
            <w:pPr>
              <w:spacing w:line="240" w:lineRule="auto"/>
              <w:ind w:firstLine="0" w:firstLineChars="0"/>
              <w:jc w:val="center"/>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NO</w:t>
            </w:r>
            <w:r>
              <w:rPr>
                <w:rFonts w:hint="eastAsia"/>
                <w:color w:val="000000" w:themeColor="text1"/>
                <w:sz w:val="21"/>
                <w:szCs w:val="21"/>
                <w:u w:val="single"/>
                <w:vertAlign w:val="subscript"/>
                <w14:textFill>
                  <w14:solidFill>
                    <w14:schemeClr w14:val="tx1"/>
                  </w14:solidFill>
                </w14:textFill>
              </w:rPr>
              <w:t>x</w:t>
            </w:r>
          </w:p>
        </w:tc>
        <w:tc>
          <w:tcPr>
            <w:tcW w:w="1869" w:type="dxa"/>
            <w:vMerge w:val="continue"/>
            <w:vAlign w:val="center"/>
          </w:tcPr>
          <w:p w14:paraId="09144B8F">
            <w:pPr>
              <w:spacing w:line="240" w:lineRule="auto"/>
              <w:ind w:firstLine="0" w:firstLineChars="0"/>
              <w:jc w:val="center"/>
              <w:rPr>
                <w:color w:val="000000" w:themeColor="text1"/>
                <w:sz w:val="21"/>
                <w:szCs w:val="21"/>
                <w:u w:val="single"/>
                <w14:textFill>
                  <w14:solidFill>
                    <w14:schemeClr w14:val="tx1"/>
                  </w14:solidFill>
                </w14:textFill>
              </w:rPr>
            </w:pPr>
          </w:p>
        </w:tc>
        <w:tc>
          <w:tcPr>
            <w:tcW w:w="1976" w:type="dxa"/>
            <w:vMerge w:val="continue"/>
            <w:vAlign w:val="center"/>
          </w:tcPr>
          <w:p w14:paraId="42B4C2EF">
            <w:pPr>
              <w:spacing w:line="240" w:lineRule="auto"/>
              <w:ind w:firstLine="0" w:firstLineChars="0"/>
              <w:jc w:val="center"/>
              <w:rPr>
                <w:color w:val="000000" w:themeColor="text1"/>
                <w:sz w:val="21"/>
                <w:szCs w:val="21"/>
                <w:u w:val="single"/>
                <w14:textFill>
                  <w14:solidFill>
                    <w14:schemeClr w14:val="tx1"/>
                  </w14:solidFill>
                </w14:textFill>
              </w:rPr>
            </w:pPr>
          </w:p>
        </w:tc>
        <w:tc>
          <w:tcPr>
            <w:tcW w:w="1288" w:type="dxa"/>
            <w:vAlign w:val="center"/>
          </w:tcPr>
          <w:p w14:paraId="0FAE1502">
            <w:pPr>
              <w:spacing w:line="240" w:lineRule="auto"/>
              <w:ind w:firstLine="0" w:firstLineChars="0"/>
              <w:jc w:val="center"/>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0.12</w:t>
            </w:r>
            <w:r>
              <w:rPr>
                <w:color w:val="000000" w:themeColor="text1"/>
                <w:sz w:val="21"/>
                <w:szCs w:val="21"/>
                <w:u w:val="single"/>
                <w14:textFill>
                  <w14:solidFill>
                    <w14:schemeClr w14:val="tx1"/>
                  </w14:solidFill>
                </w14:textFill>
              </w:rPr>
              <w:t>mg/m</w:t>
            </w:r>
            <w:r>
              <w:rPr>
                <w:color w:val="000000" w:themeColor="text1"/>
                <w:sz w:val="21"/>
                <w:szCs w:val="21"/>
                <w:u w:val="single"/>
                <w:vertAlign w:val="superscript"/>
                <w14:textFill>
                  <w14:solidFill>
                    <w14:schemeClr w14:val="tx1"/>
                  </w14:solidFill>
                </w14:textFill>
              </w:rPr>
              <w:t>3</w:t>
            </w:r>
          </w:p>
        </w:tc>
        <w:tc>
          <w:tcPr>
            <w:tcW w:w="907" w:type="dxa"/>
            <w:vAlign w:val="center"/>
          </w:tcPr>
          <w:p w14:paraId="7B4D3211">
            <w:pPr>
              <w:spacing w:line="240" w:lineRule="auto"/>
              <w:ind w:firstLine="0" w:firstLineChars="0"/>
              <w:jc w:val="center"/>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2.215</w:t>
            </w:r>
          </w:p>
        </w:tc>
      </w:tr>
    </w:tbl>
    <w:p w14:paraId="3A14BEB9">
      <w:pPr>
        <w:ind w:firstLine="420"/>
        <w:rPr>
          <w:color w:val="000000" w:themeColor="text1"/>
          <w:u w:val="single"/>
          <w14:textFill>
            <w14:solidFill>
              <w14:schemeClr w14:val="tx1"/>
            </w14:solidFill>
          </w14:textFill>
        </w:rPr>
      </w:pPr>
      <w:r>
        <w:rPr>
          <w:color w:val="000000" w:themeColor="text1"/>
          <w:sz w:val="21"/>
          <w:szCs w:val="21"/>
          <w:u w:val="single"/>
          <w14:textFill>
            <w14:solidFill>
              <w14:schemeClr w14:val="tx1"/>
            </w14:solidFill>
          </w14:textFill>
        </w:rPr>
        <w:t>备注：</w:t>
      </w:r>
      <w:r>
        <w:rPr>
          <w:rFonts w:hint="eastAsia"/>
          <w:color w:val="000000" w:themeColor="text1"/>
          <w:sz w:val="21"/>
          <w:szCs w:val="21"/>
          <w:u w:val="single"/>
          <w14:textFill>
            <w14:solidFill>
              <w14:schemeClr w14:val="tx1"/>
            </w14:solidFill>
          </w14:textFill>
        </w:rPr>
        <w:t>苯乙烯、</w:t>
      </w:r>
      <w:r>
        <w:rPr>
          <w:color w:val="000000" w:themeColor="text1"/>
          <w:sz w:val="21"/>
          <w:szCs w:val="21"/>
          <w:u w:val="single"/>
          <w14:textFill>
            <w14:solidFill>
              <w14:schemeClr w14:val="tx1"/>
            </w14:solidFill>
          </w14:textFill>
        </w:rPr>
        <w:t>VOCs参照</w:t>
      </w:r>
      <w:r>
        <w:rPr>
          <w:rFonts w:hint="eastAsia"/>
          <w:color w:val="000000" w:themeColor="text1"/>
          <w:sz w:val="21"/>
          <w:szCs w:val="21"/>
          <w:u w:val="single"/>
          <w14:textFill>
            <w14:solidFill>
              <w14:schemeClr w14:val="tx1"/>
            </w14:solidFill>
          </w14:textFill>
        </w:rPr>
        <w:t>《大气污染物综合排放标准》（GB 16297-1996）的非甲烷总烃。</w:t>
      </w:r>
    </w:p>
    <w:p w14:paraId="5D3B138A">
      <w:pPr>
        <w:pStyle w:val="4"/>
        <w:rPr>
          <w:color w:val="000000" w:themeColor="text1"/>
          <w14:textFill>
            <w14:solidFill>
              <w14:schemeClr w14:val="tx1"/>
            </w14:solidFill>
          </w14:textFill>
        </w:rPr>
      </w:pPr>
      <w:bookmarkStart w:id="694" w:name="_Toc25436991"/>
      <w:bookmarkEnd w:id="694"/>
      <w:bookmarkStart w:id="695" w:name="_Toc26910038"/>
      <w:bookmarkStart w:id="696" w:name="_Toc29131851"/>
      <w:bookmarkStart w:id="697" w:name="_Toc135090249"/>
      <w:bookmarkStart w:id="698" w:name="_Toc216103420"/>
      <w:bookmarkStart w:id="699" w:name="_Toc136878515"/>
      <w:bookmarkStart w:id="700" w:name="_Toc216620579"/>
      <w:bookmarkStart w:id="701" w:name="_Toc25436992"/>
      <w:r>
        <w:rPr>
          <w:color w:val="000000" w:themeColor="text1"/>
          <w14:textFill>
            <w14:solidFill>
              <w14:schemeClr w14:val="tx1"/>
            </w14:solidFill>
          </w14:textFill>
        </w:rPr>
        <w:t>运营期水环境影响分析</w:t>
      </w:r>
      <w:bookmarkEnd w:id="695"/>
      <w:bookmarkEnd w:id="696"/>
      <w:bookmarkEnd w:id="697"/>
      <w:bookmarkEnd w:id="698"/>
      <w:bookmarkEnd w:id="699"/>
      <w:bookmarkEnd w:id="700"/>
      <w:bookmarkEnd w:id="701"/>
    </w:p>
    <w:p w14:paraId="3D758E60">
      <w:pPr>
        <w:ind w:firstLine="480"/>
        <w:rPr>
          <w:b/>
          <w:bCs/>
          <w:color w:val="000000" w:themeColor="text1"/>
          <w14:textFill>
            <w14:solidFill>
              <w14:schemeClr w14:val="tx1"/>
            </w14:solidFill>
          </w14:textFill>
        </w:rPr>
      </w:pPr>
      <w:r>
        <w:rPr>
          <w:rFonts w:hint="eastAsia"/>
          <w:color w:val="000000" w:themeColor="text1"/>
          <w14:textFill>
            <w14:solidFill>
              <w14:schemeClr w14:val="tx1"/>
            </w14:solidFill>
          </w14:textFill>
        </w:rPr>
        <w:t>本项目采用全密闭输送工艺，正常工况下，装卸臂和管道输送不会与钦州湾之间发生联系。同时，本项目装卸臂和管道设置防腐层，如不发生泄漏事故，正常营运期对钦州湾水质造成的影响很小。仅在泄漏事故状态下会对钦州湾水环境造成污染，影响水质，项目事故状态下对环境的影响详见5风险预测与评价章节。</w:t>
      </w:r>
    </w:p>
    <w:p w14:paraId="4FB155C4">
      <w:pPr>
        <w:ind w:firstLine="480"/>
        <w:rPr>
          <w:snapToGrid w:val="0"/>
          <w:color w:val="000000" w:themeColor="text1"/>
          <w:kern w:val="0"/>
          <w14:textFill>
            <w14:solidFill>
              <w14:schemeClr w14:val="tx1"/>
            </w14:solidFill>
          </w14:textFill>
        </w:rPr>
      </w:pPr>
      <w:r>
        <w:rPr>
          <w:snapToGrid w:val="0"/>
          <w:color w:val="000000" w:themeColor="text1"/>
          <w:kern w:val="0"/>
          <w14:textFill>
            <w14:solidFill>
              <w14:schemeClr w14:val="tx1"/>
            </w14:solidFill>
          </w14:textFill>
        </w:rPr>
        <w:t>本项目码头不设置污水处理设施，仅设置集污池对码头产生的污水进行收集后，经提升泵提升至</w:t>
      </w:r>
      <w:r>
        <w:rPr>
          <w:color w:val="000000" w:themeColor="text1"/>
          <w14:textFill>
            <w14:solidFill>
              <w14:schemeClr w14:val="tx1"/>
            </w14:solidFill>
          </w14:textFill>
        </w:rPr>
        <w:t>广西恒逸污水处理厂</w:t>
      </w:r>
      <w:r>
        <w:rPr>
          <w:snapToGrid w:val="0"/>
          <w:color w:val="000000" w:themeColor="text1"/>
          <w:kern w:val="0"/>
          <w14:textFill>
            <w14:solidFill>
              <w14:schemeClr w14:val="tx1"/>
            </w14:solidFill>
          </w14:textFill>
        </w:rPr>
        <w:t>处理后排放。</w:t>
      </w:r>
    </w:p>
    <w:p w14:paraId="4DDF8FA7">
      <w:pPr>
        <w:ind w:firstLine="480"/>
        <w:rPr>
          <w:color w:val="000000" w:themeColor="text1"/>
          <w14:textFill>
            <w14:solidFill>
              <w14:schemeClr w14:val="tx1"/>
            </w14:solidFill>
          </w14:textFill>
        </w:rPr>
      </w:pPr>
      <w:r>
        <w:rPr>
          <w:color w:val="000000" w:themeColor="text1"/>
          <w14:textFill>
            <w14:solidFill>
              <w14:schemeClr w14:val="tx1"/>
            </w14:solidFill>
          </w14:textFill>
        </w:rPr>
        <w:t>船舶机舱油污水、船舶生活污水委托具有相应资质单位接收处理。</w:t>
      </w:r>
    </w:p>
    <w:p w14:paraId="3895A09D">
      <w:pPr>
        <w:pStyle w:val="4"/>
        <w:rPr>
          <w:color w:val="000000" w:themeColor="text1"/>
          <w14:textFill>
            <w14:solidFill>
              <w14:schemeClr w14:val="tx1"/>
            </w14:solidFill>
          </w14:textFill>
        </w:rPr>
      </w:pPr>
      <w:bookmarkStart w:id="702" w:name="_Toc29131852"/>
      <w:bookmarkStart w:id="703" w:name="_Toc25436993"/>
      <w:bookmarkStart w:id="704" w:name="_Toc216103421"/>
      <w:bookmarkStart w:id="705" w:name="_Toc135090250"/>
      <w:bookmarkStart w:id="706" w:name="_Toc136878516"/>
      <w:bookmarkStart w:id="707" w:name="_Toc26910039"/>
      <w:bookmarkStart w:id="708" w:name="_Toc216620580"/>
      <w:r>
        <w:rPr>
          <w:color w:val="000000" w:themeColor="text1"/>
          <w14:textFill>
            <w14:solidFill>
              <w14:schemeClr w14:val="tx1"/>
            </w14:solidFill>
          </w14:textFill>
        </w:rPr>
        <w:t>运营期声环境影响分析</w:t>
      </w:r>
      <w:bookmarkEnd w:id="702"/>
      <w:bookmarkEnd w:id="703"/>
      <w:bookmarkEnd w:id="704"/>
      <w:bookmarkEnd w:id="705"/>
      <w:bookmarkEnd w:id="706"/>
      <w:bookmarkEnd w:id="707"/>
      <w:bookmarkEnd w:id="708"/>
    </w:p>
    <w:p w14:paraId="65C4E8D3">
      <w:pPr>
        <w:pStyle w:val="6"/>
        <w:rPr>
          <w:color w:val="000000" w:themeColor="text1"/>
          <w14:textFill>
            <w14:solidFill>
              <w14:schemeClr w14:val="tx1"/>
            </w14:solidFill>
          </w14:textFill>
        </w:rPr>
      </w:pPr>
      <w:r>
        <w:rPr>
          <w:color w:val="000000" w:themeColor="text1"/>
          <w14:textFill>
            <w14:solidFill>
              <w14:schemeClr w14:val="tx1"/>
            </w14:solidFill>
          </w14:textFill>
        </w:rPr>
        <w:t>预测模式</w:t>
      </w:r>
    </w:p>
    <w:p w14:paraId="5E53B12A">
      <w:pPr>
        <w:ind w:firstLine="480"/>
        <w:rPr>
          <w:color w:val="000000" w:themeColor="text1"/>
          <w14:textFill>
            <w14:solidFill>
              <w14:schemeClr w14:val="tx1"/>
            </w14:solidFill>
          </w14:textFill>
        </w:rPr>
      </w:pPr>
      <w:r>
        <w:rPr>
          <w:color w:val="000000" w:themeColor="text1"/>
          <w14:textFill>
            <w14:solidFill>
              <w14:schemeClr w14:val="tx1"/>
            </w14:solidFill>
          </w14:textFill>
        </w:rPr>
        <w:t>（1）单机噪声预测模式</w:t>
      </w:r>
    </w:p>
    <w:p w14:paraId="16351BB6">
      <w:pPr>
        <w:ind w:firstLine="480"/>
        <w:rPr>
          <w:color w:val="000000" w:themeColor="text1"/>
          <w14:textFill>
            <w14:solidFill>
              <w14:schemeClr w14:val="tx1"/>
            </w14:solidFill>
          </w14:textFill>
        </w:rPr>
      </w:pPr>
      <w:r>
        <w:rPr>
          <w:color w:val="000000" w:themeColor="text1"/>
          <w14:textFill>
            <w14:solidFill>
              <w14:schemeClr w14:val="tx1"/>
            </w14:solidFill>
          </w14:textFill>
        </w:rPr>
        <w:t>根据噪声源的特性，采用以下噪声影响计算模式：</w:t>
      </w:r>
    </w:p>
    <w:p w14:paraId="3E8FA6E8">
      <w:pPr>
        <w:ind w:firstLine="643"/>
        <w:jc w:val="center"/>
        <w:rPr>
          <w:color w:val="000000" w:themeColor="text1"/>
          <w14:textFill>
            <w14:solidFill>
              <w14:schemeClr w14:val="tx1"/>
            </w14:solidFill>
          </w14:textFill>
        </w:rPr>
      </w:pPr>
      <w:r>
        <w:rPr>
          <w:rFonts w:eastAsia="黑体"/>
          <w:b/>
          <w:bCs/>
          <w:color w:val="000000" w:themeColor="text1"/>
          <w:sz w:val="32"/>
          <w:szCs w:val="32"/>
          <w14:textFill>
            <w14:solidFill>
              <w14:schemeClr w14:val="tx1"/>
            </w14:solidFill>
          </w14:textFill>
        </w:rPr>
        <w:drawing>
          <wp:inline distT="0" distB="0" distL="0" distR="0">
            <wp:extent cx="2065020" cy="350520"/>
            <wp:effectExtent l="0" t="0" r="0" b="0"/>
            <wp:docPr id="6" name="图片 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1"/>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a:xfrm>
                      <a:off x="0" y="0"/>
                      <a:ext cx="2065020" cy="350520"/>
                    </a:xfrm>
                    <a:prstGeom prst="rect">
                      <a:avLst/>
                    </a:prstGeom>
                    <a:noFill/>
                    <a:ln>
                      <a:noFill/>
                    </a:ln>
                  </pic:spPr>
                </pic:pic>
              </a:graphicData>
            </a:graphic>
          </wp:inline>
        </w:drawing>
      </w:r>
    </w:p>
    <w:p w14:paraId="2F4546BC">
      <w:pPr>
        <w:ind w:firstLine="480"/>
        <w:rPr>
          <w:color w:val="000000" w:themeColor="text1"/>
          <w14:textFill>
            <w14:solidFill>
              <w14:schemeClr w14:val="tx1"/>
            </w14:solidFill>
          </w14:textFill>
        </w:rPr>
      </w:pPr>
      <w:r>
        <w:rPr>
          <w:color w:val="000000" w:themeColor="text1"/>
          <w14:textFill>
            <w14:solidFill>
              <w14:schemeClr w14:val="tx1"/>
            </w14:solidFill>
          </w14:textFill>
        </w:rPr>
        <w:t>式中：</w:t>
      </w:r>
      <w:r>
        <w:rPr>
          <w:i/>
          <w:color w:val="000000" w:themeColor="text1"/>
          <w14:textFill>
            <w14:solidFill>
              <w14:schemeClr w14:val="tx1"/>
            </w14:solidFill>
          </w14:textFill>
        </w:rPr>
        <w:t>L</w:t>
      </w:r>
      <w:r>
        <w:rPr>
          <w:color w:val="000000" w:themeColor="text1"/>
          <w:vertAlign w:val="subscript"/>
          <w14:textFill>
            <w14:solidFill>
              <w14:schemeClr w14:val="tx1"/>
            </w14:solidFill>
          </w14:textFill>
        </w:rPr>
        <w:t>i</w:t>
      </w:r>
      <w:r>
        <w:rPr>
          <w:color w:val="000000" w:themeColor="text1"/>
          <w14:textFill>
            <w14:solidFill>
              <w14:schemeClr w14:val="tx1"/>
            </w14:solidFill>
          </w14:textFill>
        </w:rPr>
        <w:t xml:space="preserve"> ——距声源r</w:t>
      </w:r>
      <w:r>
        <w:rPr>
          <w:color w:val="000000" w:themeColor="text1"/>
          <w:vertAlign w:val="subscript"/>
          <w14:textFill>
            <w14:solidFill>
              <w14:schemeClr w14:val="tx1"/>
            </w14:solidFill>
          </w14:textFill>
        </w:rPr>
        <w:t>i</w:t>
      </w:r>
      <w:r>
        <w:rPr>
          <w:color w:val="000000" w:themeColor="text1"/>
          <w14:textFill>
            <w14:solidFill>
              <w14:schemeClr w14:val="tx1"/>
            </w14:solidFill>
          </w14:textFill>
        </w:rPr>
        <w:t>处的声级[dB(A)]。</w:t>
      </w:r>
    </w:p>
    <w:p w14:paraId="3091F883">
      <w:pPr>
        <w:ind w:firstLine="1200" w:firstLineChars="500"/>
        <w:rPr>
          <w:color w:val="000000" w:themeColor="text1"/>
          <w14:textFill>
            <w14:solidFill>
              <w14:schemeClr w14:val="tx1"/>
            </w14:solidFill>
          </w14:textFill>
        </w:rPr>
      </w:pPr>
      <w:r>
        <w:rPr>
          <w:i/>
          <w:color w:val="000000" w:themeColor="text1"/>
          <w14:textFill>
            <w14:solidFill>
              <w14:schemeClr w14:val="tx1"/>
            </w14:solidFill>
          </w14:textFill>
        </w:rPr>
        <w:t>L</w:t>
      </w:r>
      <w:r>
        <w:rPr>
          <w:color w:val="000000" w:themeColor="text1"/>
          <w:vertAlign w:val="subscript"/>
          <w14:textFill>
            <w14:solidFill>
              <w14:schemeClr w14:val="tx1"/>
            </w14:solidFill>
          </w14:textFill>
        </w:rPr>
        <w:t xml:space="preserve">0 </w:t>
      </w:r>
      <w:r>
        <w:rPr>
          <w:color w:val="000000" w:themeColor="text1"/>
          <w14:textFill>
            <w14:solidFill>
              <w14:schemeClr w14:val="tx1"/>
            </w14:solidFill>
          </w14:textFill>
        </w:rPr>
        <w:t>——距声源r</w:t>
      </w:r>
      <w:r>
        <w:rPr>
          <w:color w:val="000000" w:themeColor="text1"/>
          <w:vertAlign w:val="subscript"/>
          <w14:textFill>
            <w14:solidFill>
              <w14:schemeClr w14:val="tx1"/>
            </w14:solidFill>
          </w14:textFill>
        </w:rPr>
        <w:t>0</w:t>
      </w:r>
      <w:r>
        <w:rPr>
          <w:color w:val="000000" w:themeColor="text1"/>
          <w14:textFill>
            <w14:solidFill>
              <w14:schemeClr w14:val="tx1"/>
            </w14:solidFill>
          </w14:textFill>
        </w:rPr>
        <w:t>处的声级[dB(A)]。</w:t>
      </w:r>
    </w:p>
    <w:p w14:paraId="486E56E1">
      <w:pPr>
        <w:ind w:firstLine="1200" w:firstLineChars="500"/>
        <w:rPr>
          <w:color w:val="000000" w:themeColor="text1"/>
          <w14:textFill>
            <w14:solidFill>
              <w14:schemeClr w14:val="tx1"/>
            </w14:solidFill>
          </w14:textFill>
        </w:rPr>
      </w:pPr>
      <w:r>
        <w:rPr>
          <w:color w:val="000000" w:themeColor="text1"/>
          <w14:textFill>
            <w14:solidFill>
              <w14:schemeClr w14:val="tx1"/>
            </w14:solidFill>
          </w14:textFill>
        </w:rPr>
        <w:t>Δ</w:t>
      </w:r>
      <w:r>
        <w:rPr>
          <w:i/>
          <w:color w:val="000000" w:themeColor="text1"/>
          <w14:textFill>
            <w14:solidFill>
              <w14:schemeClr w14:val="tx1"/>
            </w14:solidFill>
          </w14:textFill>
        </w:rPr>
        <w:t>L</w:t>
      </w:r>
      <w:r>
        <w:rPr>
          <w:color w:val="000000" w:themeColor="text1"/>
          <w14:textFill>
            <w14:solidFill>
              <w14:schemeClr w14:val="tx1"/>
            </w14:solidFill>
          </w14:textFill>
        </w:rPr>
        <w:t>——其它因素引起的噪声衰减量，保守取0。</w:t>
      </w:r>
    </w:p>
    <w:p w14:paraId="4895EBFA">
      <w:pPr>
        <w:ind w:firstLine="480"/>
        <w:rPr>
          <w:color w:val="000000" w:themeColor="text1"/>
          <w14:textFill>
            <w14:solidFill>
              <w14:schemeClr w14:val="tx1"/>
            </w14:solidFill>
          </w14:textFill>
        </w:rPr>
      </w:pPr>
      <w:r>
        <w:rPr>
          <w:color w:val="000000" w:themeColor="text1"/>
          <w14:textFill>
            <w14:solidFill>
              <w14:schemeClr w14:val="tx1"/>
            </w14:solidFill>
          </w14:textFill>
        </w:rPr>
        <w:t>工程营运期作业机械高噪声源为输送泵以及船舶发动机，根据同类工程现场实测资料，确定本工程主要装卸作业机械噪声源强见表2.3-1</w:t>
      </w:r>
      <w:r>
        <w:rPr>
          <w:rFonts w:hint="eastAsia"/>
          <w:color w:val="000000" w:themeColor="text1"/>
          <w14:textFill>
            <w14:solidFill>
              <w14:schemeClr w14:val="tx1"/>
            </w14:solidFill>
          </w14:textFill>
        </w:rPr>
        <w:t>1</w:t>
      </w:r>
      <w:r>
        <w:rPr>
          <w:color w:val="000000" w:themeColor="text1"/>
          <w14:textFill>
            <w14:solidFill>
              <w14:schemeClr w14:val="tx1"/>
            </w14:solidFill>
          </w14:textFill>
        </w:rPr>
        <w:t>。</w:t>
      </w:r>
    </w:p>
    <w:p w14:paraId="471E347D">
      <w:pPr>
        <w:ind w:firstLine="480"/>
        <w:rPr>
          <w:color w:val="000000" w:themeColor="text1"/>
          <w14:textFill>
            <w14:solidFill>
              <w14:schemeClr w14:val="tx1"/>
            </w14:solidFill>
          </w14:textFill>
        </w:rPr>
      </w:pPr>
      <w:r>
        <w:rPr>
          <w:color w:val="000000" w:themeColor="text1"/>
          <w14:textFill>
            <w14:solidFill>
              <w14:schemeClr w14:val="tx1"/>
            </w14:solidFill>
          </w14:textFill>
        </w:rPr>
        <w:t>（2）各声源在预测点产生的合成声级采用以下计算模式：</w:t>
      </w:r>
    </w:p>
    <w:p w14:paraId="602BF2BC">
      <w:pPr>
        <w:ind w:firstLine="643"/>
        <w:jc w:val="center"/>
        <w:rPr>
          <w:color w:val="000000" w:themeColor="text1"/>
          <w14:textFill>
            <w14:solidFill>
              <w14:schemeClr w14:val="tx1"/>
            </w14:solidFill>
          </w14:textFill>
        </w:rPr>
      </w:pPr>
      <w:r>
        <w:rPr>
          <w:rFonts w:eastAsia="黑体"/>
          <w:b/>
          <w:bCs/>
          <w:color w:val="000000" w:themeColor="text1"/>
          <w:sz w:val="32"/>
          <w:szCs w:val="32"/>
          <w14:textFill>
            <w14:solidFill>
              <w14:schemeClr w14:val="tx1"/>
            </w14:solidFill>
          </w14:textFill>
        </w:rPr>
        <w:drawing>
          <wp:inline distT="0" distB="0" distL="0" distR="0">
            <wp:extent cx="1684020" cy="632460"/>
            <wp:effectExtent l="0" t="0" r="0" b="0"/>
            <wp:docPr id="7" name="图片 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1"/>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a:xfrm>
                      <a:off x="0" y="0"/>
                      <a:ext cx="1684020" cy="632460"/>
                    </a:xfrm>
                    <a:prstGeom prst="rect">
                      <a:avLst/>
                    </a:prstGeom>
                    <a:noFill/>
                    <a:ln>
                      <a:noFill/>
                    </a:ln>
                  </pic:spPr>
                </pic:pic>
              </a:graphicData>
            </a:graphic>
          </wp:inline>
        </w:drawing>
      </w:r>
    </w:p>
    <w:p w14:paraId="2AA19D56">
      <w:pPr>
        <w:ind w:firstLine="480"/>
        <w:rPr>
          <w:color w:val="000000" w:themeColor="text1"/>
          <w14:textFill>
            <w14:solidFill>
              <w14:schemeClr w14:val="tx1"/>
            </w14:solidFill>
          </w14:textFill>
        </w:rPr>
      </w:pPr>
      <w:r>
        <w:rPr>
          <w:color w:val="000000" w:themeColor="text1"/>
          <w14:textFill>
            <w14:solidFill>
              <w14:schemeClr w14:val="tx1"/>
            </w14:solidFill>
          </w14:textFill>
        </w:rPr>
        <w:t>（3）计算预测点昼间或夜间的环境噪声预测值(LAeq)预计算式为：</w:t>
      </w:r>
    </w:p>
    <w:p w14:paraId="294BA7B3">
      <w:pPr>
        <w:ind w:firstLine="480"/>
        <w:jc w:val="center"/>
        <w:rPr>
          <w:snapToGrid w:val="0"/>
          <w:color w:val="000000" w:themeColor="text1"/>
          <w:kern w:val="0"/>
          <w14:textFill>
            <w14:solidFill>
              <w14:schemeClr w14:val="tx1"/>
            </w14:solidFill>
          </w14:textFill>
        </w:rPr>
      </w:pPr>
      <w:r>
        <w:rPr>
          <w:snapToGrid w:val="0"/>
          <w:color w:val="000000" w:themeColor="text1"/>
          <w:kern w:val="0"/>
          <w14:textFill>
            <w14:solidFill>
              <w14:schemeClr w14:val="tx1"/>
            </w14:solidFill>
          </w14:textFill>
        </w:rPr>
        <w:t>（L</w:t>
      </w:r>
      <w:r>
        <w:rPr>
          <w:snapToGrid w:val="0"/>
          <w:color w:val="000000" w:themeColor="text1"/>
          <w:kern w:val="0"/>
          <w:vertAlign w:val="subscript"/>
          <w14:textFill>
            <w14:solidFill>
              <w14:schemeClr w14:val="tx1"/>
            </w14:solidFill>
          </w14:textFill>
        </w:rPr>
        <w:t>Aeq</w:t>
      </w:r>
      <w:r>
        <w:rPr>
          <w:snapToGrid w:val="0"/>
          <w:color w:val="000000" w:themeColor="text1"/>
          <w:kern w:val="0"/>
          <w14:textFill>
            <w14:solidFill>
              <w14:schemeClr w14:val="tx1"/>
            </w14:solidFill>
          </w14:textFill>
        </w:rPr>
        <w:t>）</w:t>
      </w:r>
      <w:r>
        <w:rPr>
          <w:snapToGrid w:val="0"/>
          <w:color w:val="000000" w:themeColor="text1"/>
          <w:kern w:val="0"/>
          <w:vertAlign w:val="subscript"/>
          <w14:textFill>
            <w14:solidFill>
              <w14:schemeClr w14:val="tx1"/>
            </w14:solidFill>
          </w14:textFill>
        </w:rPr>
        <w:t>预</w:t>
      </w:r>
      <w:r>
        <w:rPr>
          <w:snapToGrid w:val="0"/>
          <w:color w:val="000000" w:themeColor="text1"/>
          <w:kern w:val="0"/>
          <w14:textFill>
            <w14:solidFill>
              <w14:schemeClr w14:val="tx1"/>
            </w14:solidFill>
          </w14:textFill>
        </w:rPr>
        <w:t>＝10lg[10</w:t>
      </w:r>
      <w:r>
        <w:rPr>
          <w:snapToGrid w:val="0"/>
          <w:color w:val="000000" w:themeColor="text1"/>
          <w:kern w:val="0"/>
          <w:vertAlign w:val="superscript"/>
          <w14:textFill>
            <w14:solidFill>
              <w14:schemeClr w14:val="tx1"/>
            </w14:solidFill>
          </w14:textFill>
        </w:rPr>
        <w:t>0.1(LAeq)TP</w:t>
      </w:r>
      <w:r>
        <w:rPr>
          <w:snapToGrid w:val="0"/>
          <w:color w:val="000000" w:themeColor="text1"/>
          <w:kern w:val="0"/>
          <w14:textFill>
            <w14:solidFill>
              <w14:schemeClr w14:val="tx1"/>
            </w14:solidFill>
          </w14:textFill>
        </w:rPr>
        <w:t>+10</w:t>
      </w:r>
      <w:r>
        <w:rPr>
          <w:snapToGrid w:val="0"/>
          <w:color w:val="000000" w:themeColor="text1"/>
          <w:kern w:val="0"/>
          <w:vertAlign w:val="superscript"/>
          <w14:textFill>
            <w14:solidFill>
              <w14:schemeClr w14:val="tx1"/>
            </w14:solidFill>
          </w14:textFill>
        </w:rPr>
        <w:t>0.1(LAeq)背</w:t>
      </w:r>
      <w:r>
        <w:rPr>
          <w:snapToGrid w:val="0"/>
          <w:color w:val="000000" w:themeColor="text1"/>
          <w:kern w:val="0"/>
          <w14:textFill>
            <w14:solidFill>
              <w14:schemeClr w14:val="tx1"/>
            </w14:solidFill>
          </w14:textFill>
        </w:rPr>
        <w:t>]</w:t>
      </w:r>
    </w:p>
    <w:p w14:paraId="2E77B8B9">
      <w:pPr>
        <w:ind w:firstLine="480"/>
        <w:rPr>
          <w:color w:val="000000" w:themeColor="text1"/>
          <w14:textFill>
            <w14:solidFill>
              <w14:schemeClr w14:val="tx1"/>
            </w14:solidFill>
          </w14:textFill>
        </w:rPr>
      </w:pPr>
      <w:r>
        <w:rPr>
          <w:color w:val="000000" w:themeColor="text1"/>
          <w14:textFill>
            <w14:solidFill>
              <w14:schemeClr w14:val="tx1"/>
            </w14:solidFill>
          </w14:textFill>
        </w:rPr>
        <w:t>式中：</w:t>
      </w:r>
      <w:r>
        <w:rPr>
          <w:snapToGrid w:val="0"/>
          <w:color w:val="000000" w:themeColor="text1"/>
          <w:kern w:val="0"/>
          <w14:textFill>
            <w14:solidFill>
              <w14:schemeClr w14:val="tx1"/>
            </w14:solidFill>
          </w14:textFill>
        </w:rPr>
        <w:t>（L</w:t>
      </w:r>
      <w:r>
        <w:rPr>
          <w:snapToGrid w:val="0"/>
          <w:color w:val="000000" w:themeColor="text1"/>
          <w:kern w:val="0"/>
          <w:vertAlign w:val="subscript"/>
          <w14:textFill>
            <w14:solidFill>
              <w14:schemeClr w14:val="tx1"/>
            </w14:solidFill>
          </w14:textFill>
        </w:rPr>
        <w:t>Aeq</w:t>
      </w:r>
      <w:r>
        <w:rPr>
          <w:snapToGrid w:val="0"/>
          <w:color w:val="000000" w:themeColor="text1"/>
          <w:kern w:val="0"/>
          <w14:textFill>
            <w14:solidFill>
              <w14:schemeClr w14:val="tx1"/>
            </w14:solidFill>
          </w14:textFill>
        </w:rPr>
        <w:t>）</w:t>
      </w:r>
      <w:r>
        <w:rPr>
          <w:snapToGrid w:val="0"/>
          <w:color w:val="000000" w:themeColor="text1"/>
          <w:kern w:val="0"/>
          <w:vertAlign w:val="subscript"/>
          <w14:textFill>
            <w14:solidFill>
              <w14:schemeClr w14:val="tx1"/>
            </w14:solidFill>
          </w14:textFill>
        </w:rPr>
        <w:t>背</w:t>
      </w:r>
      <w:r>
        <w:rPr>
          <w:snapToGrid w:val="0"/>
          <w:color w:val="000000" w:themeColor="text1"/>
          <w:kern w:val="0"/>
          <w14:textFill>
            <w14:solidFill>
              <w14:schemeClr w14:val="tx1"/>
            </w14:solidFill>
          </w14:textFill>
        </w:rPr>
        <w:t>——环境噪声现状值，</w:t>
      </w:r>
      <w:r>
        <w:rPr>
          <w:color w:val="000000" w:themeColor="text1"/>
          <w14:textFill>
            <w14:solidFill>
              <w14:schemeClr w14:val="tx1"/>
            </w14:solidFill>
          </w14:textFill>
        </w:rPr>
        <w:t>[dB(A)]。</w:t>
      </w:r>
    </w:p>
    <w:p w14:paraId="38C13974">
      <w:pPr>
        <w:pStyle w:val="6"/>
        <w:rPr>
          <w:color w:val="000000" w:themeColor="text1"/>
          <w14:textFill>
            <w14:solidFill>
              <w14:schemeClr w14:val="tx1"/>
            </w14:solidFill>
          </w14:textFill>
        </w:rPr>
      </w:pPr>
      <w:r>
        <w:rPr>
          <w:color w:val="000000" w:themeColor="text1"/>
          <w14:textFill>
            <w14:solidFill>
              <w14:schemeClr w14:val="tx1"/>
            </w14:solidFill>
          </w14:textFill>
        </w:rPr>
        <w:t>评价标准</w:t>
      </w:r>
    </w:p>
    <w:p w14:paraId="2C38EE6A">
      <w:pPr>
        <w:ind w:firstLine="480"/>
        <w:rPr>
          <w:color w:val="000000" w:themeColor="text1"/>
          <w14:textFill>
            <w14:solidFill>
              <w14:schemeClr w14:val="tx1"/>
            </w14:solidFill>
          </w14:textFill>
        </w:rPr>
      </w:pPr>
      <w:r>
        <w:rPr>
          <w:color w:val="000000" w:themeColor="text1"/>
          <w14:textFill>
            <w14:solidFill>
              <w14:schemeClr w14:val="tx1"/>
            </w14:solidFill>
          </w14:textFill>
        </w:rPr>
        <w:t>厂界噪声执行《工业企业厂界环境噪声排放标准》（GB12348-2008）中的3类标准。</w:t>
      </w:r>
    </w:p>
    <w:p w14:paraId="46FBBABD">
      <w:pPr>
        <w:pStyle w:val="7"/>
        <w:rPr>
          <w:color w:val="000000" w:themeColor="text1"/>
          <w14:textFill>
            <w14:solidFill>
              <w14:schemeClr w14:val="tx1"/>
            </w14:solidFill>
          </w14:textFill>
        </w:rPr>
      </w:pPr>
      <w:r>
        <w:rPr>
          <w:color w:val="000000" w:themeColor="text1"/>
          <w14:textFill>
            <w14:solidFill>
              <w14:schemeClr w14:val="tx1"/>
            </w14:solidFill>
          </w14:textFill>
        </w:rPr>
        <w:t>工业企业厂界环境噪声排放标准单位：dB(A)</w:t>
      </w:r>
    </w:p>
    <w:tbl>
      <w:tblPr>
        <w:tblStyle w:val="43"/>
        <w:tblW w:w="8276"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932"/>
        <w:gridCol w:w="1980"/>
        <w:gridCol w:w="2182"/>
        <w:gridCol w:w="2182"/>
      </w:tblGrid>
      <w:tr w14:paraId="15347A5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90" w:hRule="atLeast"/>
          <w:jc w:val="center"/>
        </w:trPr>
        <w:tc>
          <w:tcPr>
            <w:tcW w:w="1932" w:type="dxa"/>
            <w:vMerge w:val="restart"/>
            <w:vAlign w:val="center"/>
          </w:tcPr>
          <w:p w14:paraId="2549A3B9">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名称</w:t>
            </w:r>
          </w:p>
        </w:tc>
        <w:tc>
          <w:tcPr>
            <w:tcW w:w="1980" w:type="dxa"/>
            <w:vMerge w:val="restart"/>
            <w:vAlign w:val="center"/>
          </w:tcPr>
          <w:p w14:paraId="2CECD1B9">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声环境功能区类别</w:t>
            </w:r>
          </w:p>
        </w:tc>
        <w:tc>
          <w:tcPr>
            <w:tcW w:w="4364" w:type="dxa"/>
            <w:gridSpan w:val="2"/>
            <w:vAlign w:val="center"/>
          </w:tcPr>
          <w:p w14:paraId="6109FAA0">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噪声限值</w:t>
            </w:r>
          </w:p>
        </w:tc>
      </w:tr>
      <w:tr w14:paraId="434D7D9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90" w:hRule="atLeast"/>
          <w:jc w:val="center"/>
        </w:trPr>
        <w:tc>
          <w:tcPr>
            <w:tcW w:w="1932" w:type="dxa"/>
            <w:vMerge w:val="continue"/>
            <w:vAlign w:val="center"/>
          </w:tcPr>
          <w:p w14:paraId="2BC9F0B7">
            <w:pPr>
              <w:pStyle w:val="70"/>
              <w:rPr>
                <w:b/>
                <w:bCs/>
                <w:color w:val="000000" w:themeColor="text1"/>
                <w14:textFill>
                  <w14:solidFill>
                    <w14:schemeClr w14:val="tx1"/>
                  </w14:solidFill>
                </w14:textFill>
              </w:rPr>
            </w:pPr>
          </w:p>
        </w:tc>
        <w:tc>
          <w:tcPr>
            <w:tcW w:w="1980" w:type="dxa"/>
            <w:vMerge w:val="continue"/>
            <w:vAlign w:val="center"/>
          </w:tcPr>
          <w:p w14:paraId="16255CF9">
            <w:pPr>
              <w:pStyle w:val="70"/>
              <w:rPr>
                <w:b/>
                <w:bCs/>
                <w:color w:val="000000" w:themeColor="text1"/>
                <w14:textFill>
                  <w14:solidFill>
                    <w14:schemeClr w14:val="tx1"/>
                  </w14:solidFill>
                </w14:textFill>
              </w:rPr>
            </w:pPr>
          </w:p>
        </w:tc>
        <w:tc>
          <w:tcPr>
            <w:tcW w:w="2182" w:type="dxa"/>
            <w:vAlign w:val="center"/>
          </w:tcPr>
          <w:p w14:paraId="0A527782">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昼间</w:t>
            </w:r>
          </w:p>
        </w:tc>
        <w:tc>
          <w:tcPr>
            <w:tcW w:w="2182" w:type="dxa"/>
            <w:vAlign w:val="center"/>
          </w:tcPr>
          <w:p w14:paraId="5CE7D27B">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夜间</w:t>
            </w:r>
          </w:p>
        </w:tc>
      </w:tr>
      <w:tr w14:paraId="6582FF0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90" w:hRule="atLeast"/>
          <w:jc w:val="center"/>
        </w:trPr>
        <w:tc>
          <w:tcPr>
            <w:tcW w:w="1932" w:type="dxa"/>
            <w:vAlign w:val="center"/>
          </w:tcPr>
          <w:p w14:paraId="0625BCA8">
            <w:pPr>
              <w:pStyle w:val="70"/>
              <w:rPr>
                <w:color w:val="000000" w:themeColor="text1"/>
                <w14:textFill>
                  <w14:solidFill>
                    <w14:schemeClr w14:val="tx1"/>
                  </w14:solidFill>
                </w14:textFill>
              </w:rPr>
            </w:pPr>
            <w:r>
              <w:rPr>
                <w:color w:val="000000" w:themeColor="text1"/>
                <w14:textFill>
                  <w14:solidFill>
                    <w14:schemeClr w14:val="tx1"/>
                  </w14:solidFill>
                </w14:textFill>
              </w:rPr>
              <w:t>项目厂界</w:t>
            </w:r>
          </w:p>
        </w:tc>
        <w:tc>
          <w:tcPr>
            <w:tcW w:w="1980" w:type="dxa"/>
            <w:vAlign w:val="center"/>
          </w:tcPr>
          <w:p w14:paraId="20426CDE">
            <w:pPr>
              <w:pStyle w:val="70"/>
              <w:rPr>
                <w:color w:val="000000" w:themeColor="text1"/>
                <w14:textFill>
                  <w14:solidFill>
                    <w14:schemeClr w14:val="tx1"/>
                  </w14:solidFill>
                </w14:textFill>
              </w:rPr>
            </w:pPr>
            <w:r>
              <w:rPr>
                <w:color w:val="000000" w:themeColor="text1"/>
                <w14:textFill>
                  <w14:solidFill>
                    <w14:schemeClr w14:val="tx1"/>
                  </w14:solidFill>
                </w14:textFill>
              </w:rPr>
              <w:t>3</w:t>
            </w:r>
          </w:p>
        </w:tc>
        <w:tc>
          <w:tcPr>
            <w:tcW w:w="2182" w:type="dxa"/>
            <w:vAlign w:val="center"/>
          </w:tcPr>
          <w:p w14:paraId="33438487">
            <w:pPr>
              <w:pStyle w:val="70"/>
              <w:rPr>
                <w:color w:val="000000" w:themeColor="text1"/>
                <w14:textFill>
                  <w14:solidFill>
                    <w14:schemeClr w14:val="tx1"/>
                  </w14:solidFill>
                </w14:textFill>
              </w:rPr>
            </w:pPr>
            <w:r>
              <w:rPr>
                <w:color w:val="000000" w:themeColor="text1"/>
                <w14:textFill>
                  <w14:solidFill>
                    <w14:schemeClr w14:val="tx1"/>
                  </w14:solidFill>
                </w14:textFill>
              </w:rPr>
              <w:t>65</w:t>
            </w:r>
          </w:p>
        </w:tc>
        <w:tc>
          <w:tcPr>
            <w:tcW w:w="2182" w:type="dxa"/>
            <w:vAlign w:val="center"/>
          </w:tcPr>
          <w:p w14:paraId="45FDBA2C">
            <w:pPr>
              <w:pStyle w:val="70"/>
              <w:rPr>
                <w:color w:val="000000" w:themeColor="text1"/>
                <w14:textFill>
                  <w14:solidFill>
                    <w14:schemeClr w14:val="tx1"/>
                  </w14:solidFill>
                </w14:textFill>
              </w:rPr>
            </w:pPr>
            <w:r>
              <w:rPr>
                <w:color w:val="000000" w:themeColor="text1"/>
                <w14:textFill>
                  <w14:solidFill>
                    <w14:schemeClr w14:val="tx1"/>
                  </w14:solidFill>
                </w14:textFill>
              </w:rPr>
              <w:t>55</w:t>
            </w:r>
          </w:p>
        </w:tc>
      </w:tr>
    </w:tbl>
    <w:p w14:paraId="0BB94656">
      <w:pPr>
        <w:pStyle w:val="6"/>
        <w:rPr>
          <w:color w:val="000000" w:themeColor="text1"/>
          <w14:textFill>
            <w14:solidFill>
              <w14:schemeClr w14:val="tx1"/>
            </w14:solidFill>
          </w14:textFill>
        </w:rPr>
      </w:pPr>
      <w:r>
        <w:rPr>
          <w:color w:val="000000" w:themeColor="text1"/>
          <w14:textFill>
            <w14:solidFill>
              <w14:schemeClr w14:val="tx1"/>
            </w14:solidFill>
          </w14:textFill>
        </w:rPr>
        <w:t>预测结果及分析</w:t>
      </w:r>
    </w:p>
    <w:p w14:paraId="0F8EF3A1">
      <w:pPr>
        <w:ind w:firstLine="480"/>
        <w:rPr>
          <w:color w:val="000000" w:themeColor="text1"/>
          <w14:textFill>
            <w14:solidFill>
              <w14:schemeClr w14:val="tx1"/>
            </w14:solidFill>
          </w14:textFill>
        </w:rPr>
      </w:pPr>
      <w:r>
        <w:rPr>
          <w:color w:val="000000" w:themeColor="text1"/>
          <w14:textFill>
            <w14:solidFill>
              <w14:schemeClr w14:val="tx1"/>
            </w14:solidFill>
          </w14:textFill>
        </w:rPr>
        <w:t>采用模式可模拟预测拟建项目噪声源同时产生噪声对建设项目厂界的影响，以拟建项目工程的噪声贡献值作为评价量。</w:t>
      </w:r>
    </w:p>
    <w:p w14:paraId="12D23676">
      <w:pPr>
        <w:pStyle w:val="7"/>
        <w:rPr>
          <w:color w:val="000000" w:themeColor="text1"/>
          <w14:textFill>
            <w14:solidFill>
              <w14:schemeClr w14:val="tx1"/>
            </w14:solidFill>
          </w14:textFill>
        </w:rPr>
      </w:pPr>
      <w:r>
        <w:rPr>
          <w:color w:val="000000" w:themeColor="text1"/>
          <w14:textFill>
            <w14:solidFill>
              <w14:schemeClr w14:val="tx1"/>
            </w14:solidFill>
          </w14:textFill>
        </w:rPr>
        <w:t>厂界噪声预测结果            单位：dB(A)</w:t>
      </w:r>
    </w:p>
    <w:tbl>
      <w:tblPr>
        <w:tblStyle w:val="43"/>
        <w:tblW w:w="8276"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675"/>
        <w:gridCol w:w="1569"/>
        <w:gridCol w:w="1010"/>
        <w:gridCol w:w="1126"/>
        <w:gridCol w:w="897"/>
        <w:gridCol w:w="1223"/>
        <w:gridCol w:w="927"/>
        <w:gridCol w:w="849"/>
      </w:tblGrid>
      <w:tr w14:paraId="7C16339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18" w:hRule="atLeast"/>
          <w:tblHeader/>
          <w:jc w:val="center"/>
        </w:trPr>
        <w:tc>
          <w:tcPr>
            <w:tcW w:w="675" w:type="dxa"/>
            <w:vMerge w:val="restart"/>
            <w:vAlign w:val="center"/>
          </w:tcPr>
          <w:p w14:paraId="7C185F59">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序号</w:t>
            </w:r>
          </w:p>
        </w:tc>
        <w:tc>
          <w:tcPr>
            <w:tcW w:w="1569" w:type="dxa"/>
            <w:vMerge w:val="restart"/>
            <w:vAlign w:val="center"/>
          </w:tcPr>
          <w:p w14:paraId="452CE9F9">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预测点及名称</w:t>
            </w:r>
          </w:p>
        </w:tc>
        <w:tc>
          <w:tcPr>
            <w:tcW w:w="4256" w:type="dxa"/>
            <w:gridSpan w:val="4"/>
            <w:vAlign w:val="center"/>
          </w:tcPr>
          <w:p w14:paraId="6986C131">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贡献值</w:t>
            </w:r>
          </w:p>
        </w:tc>
        <w:tc>
          <w:tcPr>
            <w:tcW w:w="1776" w:type="dxa"/>
            <w:gridSpan w:val="2"/>
            <w:vAlign w:val="center"/>
          </w:tcPr>
          <w:p w14:paraId="270A709F">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标准限值</w:t>
            </w:r>
          </w:p>
        </w:tc>
      </w:tr>
      <w:tr w14:paraId="6BE9E3B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18" w:hRule="atLeast"/>
          <w:tblHeader/>
          <w:jc w:val="center"/>
        </w:trPr>
        <w:tc>
          <w:tcPr>
            <w:tcW w:w="675" w:type="dxa"/>
            <w:vMerge w:val="continue"/>
            <w:vAlign w:val="center"/>
          </w:tcPr>
          <w:p w14:paraId="297B1C2E">
            <w:pPr>
              <w:pStyle w:val="70"/>
              <w:rPr>
                <w:b/>
                <w:bCs/>
                <w:color w:val="000000" w:themeColor="text1"/>
                <w14:textFill>
                  <w14:solidFill>
                    <w14:schemeClr w14:val="tx1"/>
                  </w14:solidFill>
                </w14:textFill>
              </w:rPr>
            </w:pPr>
          </w:p>
        </w:tc>
        <w:tc>
          <w:tcPr>
            <w:tcW w:w="1569" w:type="dxa"/>
            <w:vMerge w:val="continue"/>
            <w:vAlign w:val="center"/>
          </w:tcPr>
          <w:p w14:paraId="17D5EC4F">
            <w:pPr>
              <w:pStyle w:val="70"/>
              <w:rPr>
                <w:b/>
                <w:bCs/>
                <w:color w:val="000000" w:themeColor="text1"/>
                <w14:textFill>
                  <w14:solidFill>
                    <w14:schemeClr w14:val="tx1"/>
                  </w14:solidFill>
                </w14:textFill>
              </w:rPr>
            </w:pPr>
          </w:p>
        </w:tc>
        <w:tc>
          <w:tcPr>
            <w:tcW w:w="1010" w:type="dxa"/>
            <w:vAlign w:val="center"/>
          </w:tcPr>
          <w:p w14:paraId="1BCB61C6">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昼间</w:t>
            </w:r>
          </w:p>
        </w:tc>
        <w:tc>
          <w:tcPr>
            <w:tcW w:w="1126" w:type="dxa"/>
            <w:vAlign w:val="center"/>
          </w:tcPr>
          <w:p w14:paraId="4EF816B7">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达标情况</w:t>
            </w:r>
          </w:p>
        </w:tc>
        <w:tc>
          <w:tcPr>
            <w:tcW w:w="897" w:type="dxa"/>
            <w:vAlign w:val="center"/>
          </w:tcPr>
          <w:p w14:paraId="308BBA24">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夜间</w:t>
            </w:r>
          </w:p>
        </w:tc>
        <w:tc>
          <w:tcPr>
            <w:tcW w:w="1223" w:type="dxa"/>
            <w:vAlign w:val="center"/>
          </w:tcPr>
          <w:p w14:paraId="1128A037">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达标情况</w:t>
            </w:r>
          </w:p>
        </w:tc>
        <w:tc>
          <w:tcPr>
            <w:tcW w:w="927" w:type="dxa"/>
            <w:vAlign w:val="center"/>
          </w:tcPr>
          <w:p w14:paraId="7D2B7EF2">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昼间</w:t>
            </w:r>
          </w:p>
        </w:tc>
        <w:tc>
          <w:tcPr>
            <w:tcW w:w="849" w:type="dxa"/>
            <w:vAlign w:val="center"/>
          </w:tcPr>
          <w:p w14:paraId="00177E2D">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夜间</w:t>
            </w:r>
          </w:p>
        </w:tc>
      </w:tr>
      <w:tr w14:paraId="7B180F1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8" w:hRule="atLeast"/>
          <w:jc w:val="center"/>
        </w:trPr>
        <w:tc>
          <w:tcPr>
            <w:tcW w:w="675" w:type="dxa"/>
            <w:vAlign w:val="center"/>
          </w:tcPr>
          <w:p w14:paraId="4381DB67">
            <w:pPr>
              <w:pStyle w:val="70"/>
              <w:rPr>
                <w:color w:val="000000" w:themeColor="text1"/>
                <w14:textFill>
                  <w14:solidFill>
                    <w14:schemeClr w14:val="tx1"/>
                  </w14:solidFill>
                </w14:textFill>
              </w:rPr>
            </w:pPr>
            <w:r>
              <w:rPr>
                <w:color w:val="000000" w:themeColor="text1"/>
                <w14:textFill>
                  <w14:solidFill>
                    <w14:schemeClr w14:val="tx1"/>
                  </w14:solidFill>
                </w14:textFill>
              </w:rPr>
              <w:t>1</w:t>
            </w:r>
          </w:p>
        </w:tc>
        <w:tc>
          <w:tcPr>
            <w:tcW w:w="1569" w:type="dxa"/>
            <w:vAlign w:val="center"/>
          </w:tcPr>
          <w:p w14:paraId="21323198">
            <w:pPr>
              <w:pStyle w:val="70"/>
              <w:rPr>
                <w:color w:val="000000" w:themeColor="text1"/>
                <w14:textFill>
                  <w14:solidFill>
                    <w14:schemeClr w14:val="tx1"/>
                  </w14:solidFill>
                </w14:textFill>
              </w:rPr>
            </w:pPr>
            <w:r>
              <w:rPr>
                <w:color w:val="000000" w:themeColor="text1"/>
                <w14:textFill>
                  <w14:solidFill>
                    <w14:schemeClr w14:val="tx1"/>
                  </w14:solidFill>
                </w14:textFill>
              </w:rPr>
              <w:t>厂界东</w:t>
            </w:r>
          </w:p>
        </w:tc>
        <w:tc>
          <w:tcPr>
            <w:tcW w:w="1010" w:type="dxa"/>
            <w:vAlign w:val="center"/>
          </w:tcPr>
          <w:p w14:paraId="4640180E">
            <w:pPr>
              <w:pStyle w:val="70"/>
              <w:rPr>
                <w:color w:val="000000" w:themeColor="text1"/>
                <w14:textFill>
                  <w14:solidFill>
                    <w14:schemeClr w14:val="tx1"/>
                  </w14:solidFill>
                </w14:textFill>
              </w:rPr>
            </w:pPr>
            <w:r>
              <w:rPr>
                <w:color w:val="000000" w:themeColor="text1"/>
                <w14:textFill>
                  <w14:solidFill>
                    <w14:schemeClr w14:val="tx1"/>
                  </w14:solidFill>
                </w14:textFill>
              </w:rPr>
              <w:t>42.61</w:t>
            </w:r>
          </w:p>
        </w:tc>
        <w:tc>
          <w:tcPr>
            <w:tcW w:w="1126" w:type="dxa"/>
            <w:vAlign w:val="center"/>
          </w:tcPr>
          <w:p w14:paraId="583AD643">
            <w:pPr>
              <w:pStyle w:val="70"/>
              <w:rPr>
                <w:color w:val="000000" w:themeColor="text1"/>
                <w14:textFill>
                  <w14:solidFill>
                    <w14:schemeClr w14:val="tx1"/>
                  </w14:solidFill>
                </w14:textFill>
              </w:rPr>
            </w:pPr>
            <w:r>
              <w:rPr>
                <w:color w:val="000000" w:themeColor="text1"/>
                <w14:textFill>
                  <w14:solidFill>
                    <w14:schemeClr w14:val="tx1"/>
                  </w14:solidFill>
                </w14:textFill>
              </w:rPr>
              <w:t>达标</w:t>
            </w:r>
          </w:p>
        </w:tc>
        <w:tc>
          <w:tcPr>
            <w:tcW w:w="897" w:type="dxa"/>
            <w:vAlign w:val="center"/>
          </w:tcPr>
          <w:p w14:paraId="668056AD">
            <w:pPr>
              <w:pStyle w:val="70"/>
              <w:rPr>
                <w:color w:val="000000" w:themeColor="text1"/>
                <w14:textFill>
                  <w14:solidFill>
                    <w14:schemeClr w14:val="tx1"/>
                  </w14:solidFill>
                </w14:textFill>
              </w:rPr>
            </w:pPr>
            <w:r>
              <w:rPr>
                <w:color w:val="000000" w:themeColor="text1"/>
                <w14:textFill>
                  <w14:solidFill>
                    <w14:schemeClr w14:val="tx1"/>
                  </w14:solidFill>
                </w14:textFill>
              </w:rPr>
              <w:t>42.61</w:t>
            </w:r>
          </w:p>
        </w:tc>
        <w:tc>
          <w:tcPr>
            <w:tcW w:w="1223" w:type="dxa"/>
            <w:vAlign w:val="center"/>
          </w:tcPr>
          <w:p w14:paraId="1C3DF14E">
            <w:pPr>
              <w:pStyle w:val="70"/>
              <w:rPr>
                <w:color w:val="000000" w:themeColor="text1"/>
                <w14:textFill>
                  <w14:solidFill>
                    <w14:schemeClr w14:val="tx1"/>
                  </w14:solidFill>
                </w14:textFill>
              </w:rPr>
            </w:pPr>
            <w:r>
              <w:rPr>
                <w:color w:val="000000" w:themeColor="text1"/>
                <w14:textFill>
                  <w14:solidFill>
                    <w14:schemeClr w14:val="tx1"/>
                  </w14:solidFill>
                </w14:textFill>
              </w:rPr>
              <w:t>达标</w:t>
            </w:r>
          </w:p>
        </w:tc>
        <w:tc>
          <w:tcPr>
            <w:tcW w:w="927" w:type="dxa"/>
            <w:vAlign w:val="center"/>
          </w:tcPr>
          <w:p w14:paraId="5CD88A3F">
            <w:pPr>
              <w:pStyle w:val="70"/>
              <w:rPr>
                <w:color w:val="000000" w:themeColor="text1"/>
                <w14:textFill>
                  <w14:solidFill>
                    <w14:schemeClr w14:val="tx1"/>
                  </w14:solidFill>
                </w14:textFill>
              </w:rPr>
            </w:pPr>
            <w:r>
              <w:rPr>
                <w:color w:val="000000" w:themeColor="text1"/>
                <w14:textFill>
                  <w14:solidFill>
                    <w14:schemeClr w14:val="tx1"/>
                  </w14:solidFill>
                </w14:textFill>
              </w:rPr>
              <w:t>65</w:t>
            </w:r>
          </w:p>
        </w:tc>
        <w:tc>
          <w:tcPr>
            <w:tcW w:w="849" w:type="dxa"/>
            <w:vAlign w:val="center"/>
          </w:tcPr>
          <w:p w14:paraId="07AD3BC7">
            <w:pPr>
              <w:pStyle w:val="70"/>
              <w:rPr>
                <w:color w:val="000000" w:themeColor="text1"/>
                <w14:textFill>
                  <w14:solidFill>
                    <w14:schemeClr w14:val="tx1"/>
                  </w14:solidFill>
                </w14:textFill>
              </w:rPr>
            </w:pPr>
            <w:r>
              <w:rPr>
                <w:color w:val="000000" w:themeColor="text1"/>
                <w14:textFill>
                  <w14:solidFill>
                    <w14:schemeClr w14:val="tx1"/>
                  </w14:solidFill>
                </w14:textFill>
              </w:rPr>
              <w:t>55</w:t>
            </w:r>
          </w:p>
        </w:tc>
      </w:tr>
      <w:tr w14:paraId="608A06E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7" w:hRule="atLeast"/>
          <w:jc w:val="center"/>
        </w:trPr>
        <w:tc>
          <w:tcPr>
            <w:tcW w:w="675" w:type="dxa"/>
            <w:vAlign w:val="center"/>
          </w:tcPr>
          <w:p w14:paraId="6188A3DB">
            <w:pPr>
              <w:pStyle w:val="70"/>
              <w:rPr>
                <w:color w:val="000000" w:themeColor="text1"/>
                <w14:textFill>
                  <w14:solidFill>
                    <w14:schemeClr w14:val="tx1"/>
                  </w14:solidFill>
                </w14:textFill>
              </w:rPr>
            </w:pPr>
            <w:r>
              <w:rPr>
                <w:color w:val="000000" w:themeColor="text1"/>
                <w14:textFill>
                  <w14:solidFill>
                    <w14:schemeClr w14:val="tx1"/>
                  </w14:solidFill>
                </w14:textFill>
              </w:rPr>
              <w:t>2</w:t>
            </w:r>
          </w:p>
        </w:tc>
        <w:tc>
          <w:tcPr>
            <w:tcW w:w="1569" w:type="dxa"/>
            <w:vAlign w:val="center"/>
          </w:tcPr>
          <w:p w14:paraId="13D11DCB">
            <w:pPr>
              <w:pStyle w:val="70"/>
              <w:rPr>
                <w:color w:val="000000" w:themeColor="text1"/>
                <w14:textFill>
                  <w14:solidFill>
                    <w14:schemeClr w14:val="tx1"/>
                  </w14:solidFill>
                </w14:textFill>
              </w:rPr>
            </w:pPr>
            <w:r>
              <w:rPr>
                <w:color w:val="000000" w:themeColor="text1"/>
                <w14:textFill>
                  <w14:solidFill>
                    <w14:schemeClr w14:val="tx1"/>
                  </w14:solidFill>
                </w14:textFill>
              </w:rPr>
              <w:t>厂界南</w:t>
            </w:r>
          </w:p>
        </w:tc>
        <w:tc>
          <w:tcPr>
            <w:tcW w:w="1010" w:type="dxa"/>
            <w:vAlign w:val="center"/>
          </w:tcPr>
          <w:p w14:paraId="03994875">
            <w:pPr>
              <w:pStyle w:val="70"/>
              <w:rPr>
                <w:color w:val="000000" w:themeColor="text1"/>
                <w14:textFill>
                  <w14:solidFill>
                    <w14:schemeClr w14:val="tx1"/>
                  </w14:solidFill>
                </w14:textFill>
              </w:rPr>
            </w:pPr>
            <w:r>
              <w:rPr>
                <w:color w:val="000000" w:themeColor="text1"/>
                <w14:textFill>
                  <w14:solidFill>
                    <w14:schemeClr w14:val="tx1"/>
                  </w14:solidFill>
                </w14:textFill>
              </w:rPr>
              <w:t>47.37</w:t>
            </w:r>
          </w:p>
        </w:tc>
        <w:tc>
          <w:tcPr>
            <w:tcW w:w="1126" w:type="dxa"/>
            <w:vAlign w:val="center"/>
          </w:tcPr>
          <w:p w14:paraId="57958660">
            <w:pPr>
              <w:pStyle w:val="70"/>
              <w:rPr>
                <w:color w:val="000000" w:themeColor="text1"/>
                <w14:textFill>
                  <w14:solidFill>
                    <w14:schemeClr w14:val="tx1"/>
                  </w14:solidFill>
                </w14:textFill>
              </w:rPr>
            </w:pPr>
            <w:r>
              <w:rPr>
                <w:color w:val="000000" w:themeColor="text1"/>
                <w14:textFill>
                  <w14:solidFill>
                    <w14:schemeClr w14:val="tx1"/>
                  </w14:solidFill>
                </w14:textFill>
              </w:rPr>
              <w:t>达标</w:t>
            </w:r>
          </w:p>
        </w:tc>
        <w:tc>
          <w:tcPr>
            <w:tcW w:w="897" w:type="dxa"/>
            <w:vAlign w:val="center"/>
          </w:tcPr>
          <w:p w14:paraId="17EBB7F9">
            <w:pPr>
              <w:pStyle w:val="70"/>
              <w:rPr>
                <w:color w:val="000000" w:themeColor="text1"/>
                <w14:textFill>
                  <w14:solidFill>
                    <w14:schemeClr w14:val="tx1"/>
                  </w14:solidFill>
                </w14:textFill>
              </w:rPr>
            </w:pPr>
            <w:r>
              <w:rPr>
                <w:color w:val="000000" w:themeColor="text1"/>
                <w14:textFill>
                  <w14:solidFill>
                    <w14:schemeClr w14:val="tx1"/>
                  </w14:solidFill>
                </w14:textFill>
              </w:rPr>
              <w:t>47.37</w:t>
            </w:r>
          </w:p>
        </w:tc>
        <w:tc>
          <w:tcPr>
            <w:tcW w:w="1223" w:type="dxa"/>
            <w:vAlign w:val="center"/>
          </w:tcPr>
          <w:p w14:paraId="2A5AB02A">
            <w:pPr>
              <w:pStyle w:val="70"/>
              <w:rPr>
                <w:color w:val="000000" w:themeColor="text1"/>
                <w14:textFill>
                  <w14:solidFill>
                    <w14:schemeClr w14:val="tx1"/>
                  </w14:solidFill>
                </w14:textFill>
              </w:rPr>
            </w:pPr>
            <w:r>
              <w:rPr>
                <w:color w:val="000000" w:themeColor="text1"/>
                <w14:textFill>
                  <w14:solidFill>
                    <w14:schemeClr w14:val="tx1"/>
                  </w14:solidFill>
                </w14:textFill>
              </w:rPr>
              <w:t>达标</w:t>
            </w:r>
          </w:p>
        </w:tc>
        <w:tc>
          <w:tcPr>
            <w:tcW w:w="927" w:type="dxa"/>
            <w:vAlign w:val="center"/>
          </w:tcPr>
          <w:p w14:paraId="4171F348">
            <w:pPr>
              <w:pStyle w:val="70"/>
              <w:rPr>
                <w:color w:val="000000" w:themeColor="text1"/>
                <w14:textFill>
                  <w14:solidFill>
                    <w14:schemeClr w14:val="tx1"/>
                  </w14:solidFill>
                </w14:textFill>
              </w:rPr>
            </w:pPr>
            <w:r>
              <w:rPr>
                <w:color w:val="000000" w:themeColor="text1"/>
                <w14:textFill>
                  <w14:solidFill>
                    <w14:schemeClr w14:val="tx1"/>
                  </w14:solidFill>
                </w14:textFill>
              </w:rPr>
              <w:t>65</w:t>
            </w:r>
          </w:p>
        </w:tc>
        <w:tc>
          <w:tcPr>
            <w:tcW w:w="849" w:type="dxa"/>
            <w:vAlign w:val="center"/>
          </w:tcPr>
          <w:p w14:paraId="791A61FA">
            <w:pPr>
              <w:pStyle w:val="70"/>
              <w:rPr>
                <w:color w:val="000000" w:themeColor="text1"/>
                <w14:textFill>
                  <w14:solidFill>
                    <w14:schemeClr w14:val="tx1"/>
                  </w14:solidFill>
                </w14:textFill>
              </w:rPr>
            </w:pPr>
            <w:r>
              <w:rPr>
                <w:color w:val="000000" w:themeColor="text1"/>
                <w14:textFill>
                  <w14:solidFill>
                    <w14:schemeClr w14:val="tx1"/>
                  </w14:solidFill>
                </w14:textFill>
              </w:rPr>
              <w:t>55</w:t>
            </w:r>
          </w:p>
        </w:tc>
      </w:tr>
      <w:tr w14:paraId="22CEE88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6" w:hRule="atLeast"/>
          <w:jc w:val="center"/>
        </w:trPr>
        <w:tc>
          <w:tcPr>
            <w:tcW w:w="675" w:type="dxa"/>
            <w:vAlign w:val="center"/>
          </w:tcPr>
          <w:p w14:paraId="722A7C8A">
            <w:pPr>
              <w:pStyle w:val="70"/>
              <w:rPr>
                <w:color w:val="000000" w:themeColor="text1"/>
                <w14:textFill>
                  <w14:solidFill>
                    <w14:schemeClr w14:val="tx1"/>
                  </w14:solidFill>
                </w14:textFill>
              </w:rPr>
            </w:pPr>
            <w:r>
              <w:rPr>
                <w:color w:val="000000" w:themeColor="text1"/>
                <w14:textFill>
                  <w14:solidFill>
                    <w14:schemeClr w14:val="tx1"/>
                  </w14:solidFill>
                </w14:textFill>
              </w:rPr>
              <w:t>3</w:t>
            </w:r>
          </w:p>
        </w:tc>
        <w:tc>
          <w:tcPr>
            <w:tcW w:w="1569" w:type="dxa"/>
            <w:vAlign w:val="center"/>
          </w:tcPr>
          <w:p w14:paraId="6220FADC">
            <w:pPr>
              <w:pStyle w:val="70"/>
              <w:rPr>
                <w:color w:val="000000" w:themeColor="text1"/>
                <w14:textFill>
                  <w14:solidFill>
                    <w14:schemeClr w14:val="tx1"/>
                  </w14:solidFill>
                </w14:textFill>
              </w:rPr>
            </w:pPr>
            <w:r>
              <w:rPr>
                <w:color w:val="000000" w:themeColor="text1"/>
                <w14:textFill>
                  <w14:solidFill>
                    <w14:schemeClr w14:val="tx1"/>
                  </w14:solidFill>
                </w14:textFill>
              </w:rPr>
              <w:t>厂界西</w:t>
            </w:r>
          </w:p>
        </w:tc>
        <w:tc>
          <w:tcPr>
            <w:tcW w:w="1010" w:type="dxa"/>
            <w:vAlign w:val="center"/>
          </w:tcPr>
          <w:p w14:paraId="2EABFB14">
            <w:pPr>
              <w:pStyle w:val="70"/>
              <w:rPr>
                <w:color w:val="000000" w:themeColor="text1"/>
                <w14:textFill>
                  <w14:solidFill>
                    <w14:schemeClr w14:val="tx1"/>
                  </w14:solidFill>
                </w14:textFill>
              </w:rPr>
            </w:pPr>
            <w:r>
              <w:rPr>
                <w:color w:val="000000" w:themeColor="text1"/>
                <w14:textFill>
                  <w14:solidFill>
                    <w14:schemeClr w14:val="tx1"/>
                  </w14:solidFill>
                </w14:textFill>
              </w:rPr>
              <w:t>43.70</w:t>
            </w:r>
          </w:p>
        </w:tc>
        <w:tc>
          <w:tcPr>
            <w:tcW w:w="1126" w:type="dxa"/>
            <w:vAlign w:val="center"/>
          </w:tcPr>
          <w:p w14:paraId="233D2AD9">
            <w:pPr>
              <w:pStyle w:val="70"/>
              <w:rPr>
                <w:color w:val="000000" w:themeColor="text1"/>
                <w14:textFill>
                  <w14:solidFill>
                    <w14:schemeClr w14:val="tx1"/>
                  </w14:solidFill>
                </w14:textFill>
              </w:rPr>
            </w:pPr>
            <w:r>
              <w:rPr>
                <w:color w:val="000000" w:themeColor="text1"/>
                <w14:textFill>
                  <w14:solidFill>
                    <w14:schemeClr w14:val="tx1"/>
                  </w14:solidFill>
                </w14:textFill>
              </w:rPr>
              <w:t>达标</w:t>
            </w:r>
          </w:p>
        </w:tc>
        <w:tc>
          <w:tcPr>
            <w:tcW w:w="897" w:type="dxa"/>
            <w:vAlign w:val="center"/>
          </w:tcPr>
          <w:p w14:paraId="6BF7F4D9">
            <w:pPr>
              <w:pStyle w:val="70"/>
              <w:rPr>
                <w:color w:val="000000" w:themeColor="text1"/>
                <w14:textFill>
                  <w14:solidFill>
                    <w14:schemeClr w14:val="tx1"/>
                  </w14:solidFill>
                </w14:textFill>
              </w:rPr>
            </w:pPr>
            <w:r>
              <w:rPr>
                <w:color w:val="000000" w:themeColor="text1"/>
                <w14:textFill>
                  <w14:solidFill>
                    <w14:schemeClr w14:val="tx1"/>
                  </w14:solidFill>
                </w14:textFill>
              </w:rPr>
              <w:t>43.70</w:t>
            </w:r>
          </w:p>
        </w:tc>
        <w:tc>
          <w:tcPr>
            <w:tcW w:w="1223" w:type="dxa"/>
            <w:vAlign w:val="center"/>
          </w:tcPr>
          <w:p w14:paraId="22BC7553">
            <w:pPr>
              <w:pStyle w:val="70"/>
              <w:rPr>
                <w:color w:val="000000" w:themeColor="text1"/>
                <w14:textFill>
                  <w14:solidFill>
                    <w14:schemeClr w14:val="tx1"/>
                  </w14:solidFill>
                </w14:textFill>
              </w:rPr>
            </w:pPr>
            <w:r>
              <w:rPr>
                <w:color w:val="000000" w:themeColor="text1"/>
                <w14:textFill>
                  <w14:solidFill>
                    <w14:schemeClr w14:val="tx1"/>
                  </w14:solidFill>
                </w14:textFill>
              </w:rPr>
              <w:t>达标</w:t>
            </w:r>
          </w:p>
        </w:tc>
        <w:tc>
          <w:tcPr>
            <w:tcW w:w="927" w:type="dxa"/>
            <w:vAlign w:val="center"/>
          </w:tcPr>
          <w:p w14:paraId="40ABCEF8">
            <w:pPr>
              <w:pStyle w:val="70"/>
              <w:rPr>
                <w:color w:val="000000" w:themeColor="text1"/>
                <w14:textFill>
                  <w14:solidFill>
                    <w14:schemeClr w14:val="tx1"/>
                  </w14:solidFill>
                </w14:textFill>
              </w:rPr>
            </w:pPr>
            <w:r>
              <w:rPr>
                <w:color w:val="000000" w:themeColor="text1"/>
                <w14:textFill>
                  <w14:solidFill>
                    <w14:schemeClr w14:val="tx1"/>
                  </w14:solidFill>
                </w14:textFill>
              </w:rPr>
              <w:t>65</w:t>
            </w:r>
          </w:p>
        </w:tc>
        <w:tc>
          <w:tcPr>
            <w:tcW w:w="849" w:type="dxa"/>
            <w:vAlign w:val="center"/>
          </w:tcPr>
          <w:p w14:paraId="6D2719E4">
            <w:pPr>
              <w:pStyle w:val="70"/>
              <w:rPr>
                <w:color w:val="000000" w:themeColor="text1"/>
                <w14:textFill>
                  <w14:solidFill>
                    <w14:schemeClr w14:val="tx1"/>
                  </w14:solidFill>
                </w14:textFill>
              </w:rPr>
            </w:pPr>
            <w:r>
              <w:rPr>
                <w:color w:val="000000" w:themeColor="text1"/>
                <w14:textFill>
                  <w14:solidFill>
                    <w14:schemeClr w14:val="tx1"/>
                  </w14:solidFill>
                </w14:textFill>
              </w:rPr>
              <w:t>55</w:t>
            </w:r>
          </w:p>
        </w:tc>
      </w:tr>
      <w:tr w14:paraId="110E554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29" w:hRule="atLeast"/>
          <w:jc w:val="center"/>
        </w:trPr>
        <w:tc>
          <w:tcPr>
            <w:tcW w:w="675" w:type="dxa"/>
            <w:vAlign w:val="center"/>
          </w:tcPr>
          <w:p w14:paraId="7809528B">
            <w:pPr>
              <w:pStyle w:val="70"/>
              <w:rPr>
                <w:color w:val="000000" w:themeColor="text1"/>
                <w14:textFill>
                  <w14:solidFill>
                    <w14:schemeClr w14:val="tx1"/>
                  </w14:solidFill>
                </w14:textFill>
              </w:rPr>
            </w:pPr>
            <w:r>
              <w:rPr>
                <w:color w:val="000000" w:themeColor="text1"/>
                <w14:textFill>
                  <w14:solidFill>
                    <w14:schemeClr w14:val="tx1"/>
                  </w14:solidFill>
                </w14:textFill>
              </w:rPr>
              <w:t>4</w:t>
            </w:r>
          </w:p>
        </w:tc>
        <w:tc>
          <w:tcPr>
            <w:tcW w:w="1569" w:type="dxa"/>
            <w:vAlign w:val="center"/>
          </w:tcPr>
          <w:p w14:paraId="5E51FFD7">
            <w:pPr>
              <w:pStyle w:val="70"/>
              <w:rPr>
                <w:color w:val="000000" w:themeColor="text1"/>
                <w14:textFill>
                  <w14:solidFill>
                    <w14:schemeClr w14:val="tx1"/>
                  </w14:solidFill>
                </w14:textFill>
              </w:rPr>
            </w:pPr>
            <w:r>
              <w:rPr>
                <w:color w:val="000000" w:themeColor="text1"/>
                <w14:textFill>
                  <w14:solidFill>
                    <w14:schemeClr w14:val="tx1"/>
                  </w14:solidFill>
                </w14:textFill>
              </w:rPr>
              <w:t>厂界北</w:t>
            </w:r>
          </w:p>
        </w:tc>
        <w:tc>
          <w:tcPr>
            <w:tcW w:w="1010" w:type="dxa"/>
            <w:vAlign w:val="center"/>
          </w:tcPr>
          <w:p w14:paraId="4130AF76">
            <w:pPr>
              <w:pStyle w:val="70"/>
              <w:rPr>
                <w:color w:val="000000" w:themeColor="text1"/>
                <w14:textFill>
                  <w14:solidFill>
                    <w14:schemeClr w14:val="tx1"/>
                  </w14:solidFill>
                </w14:textFill>
              </w:rPr>
            </w:pPr>
            <w:r>
              <w:rPr>
                <w:color w:val="000000" w:themeColor="text1"/>
                <w14:textFill>
                  <w14:solidFill>
                    <w14:schemeClr w14:val="tx1"/>
                  </w14:solidFill>
                </w14:textFill>
              </w:rPr>
              <w:t>48.81</w:t>
            </w:r>
          </w:p>
        </w:tc>
        <w:tc>
          <w:tcPr>
            <w:tcW w:w="1126" w:type="dxa"/>
            <w:vAlign w:val="center"/>
          </w:tcPr>
          <w:p w14:paraId="43ECB16D">
            <w:pPr>
              <w:pStyle w:val="70"/>
              <w:rPr>
                <w:color w:val="000000" w:themeColor="text1"/>
                <w14:textFill>
                  <w14:solidFill>
                    <w14:schemeClr w14:val="tx1"/>
                  </w14:solidFill>
                </w14:textFill>
              </w:rPr>
            </w:pPr>
            <w:r>
              <w:rPr>
                <w:color w:val="000000" w:themeColor="text1"/>
                <w14:textFill>
                  <w14:solidFill>
                    <w14:schemeClr w14:val="tx1"/>
                  </w14:solidFill>
                </w14:textFill>
              </w:rPr>
              <w:t>达标</w:t>
            </w:r>
          </w:p>
        </w:tc>
        <w:tc>
          <w:tcPr>
            <w:tcW w:w="897" w:type="dxa"/>
            <w:vAlign w:val="center"/>
          </w:tcPr>
          <w:p w14:paraId="26DBB594">
            <w:pPr>
              <w:pStyle w:val="70"/>
              <w:rPr>
                <w:color w:val="000000" w:themeColor="text1"/>
                <w14:textFill>
                  <w14:solidFill>
                    <w14:schemeClr w14:val="tx1"/>
                  </w14:solidFill>
                </w14:textFill>
              </w:rPr>
            </w:pPr>
            <w:r>
              <w:rPr>
                <w:color w:val="000000" w:themeColor="text1"/>
                <w14:textFill>
                  <w14:solidFill>
                    <w14:schemeClr w14:val="tx1"/>
                  </w14:solidFill>
                </w14:textFill>
              </w:rPr>
              <w:t>48.81</w:t>
            </w:r>
          </w:p>
        </w:tc>
        <w:tc>
          <w:tcPr>
            <w:tcW w:w="1223" w:type="dxa"/>
            <w:vAlign w:val="center"/>
          </w:tcPr>
          <w:p w14:paraId="5BBE4176">
            <w:pPr>
              <w:pStyle w:val="70"/>
              <w:rPr>
                <w:color w:val="000000" w:themeColor="text1"/>
                <w14:textFill>
                  <w14:solidFill>
                    <w14:schemeClr w14:val="tx1"/>
                  </w14:solidFill>
                </w14:textFill>
              </w:rPr>
            </w:pPr>
            <w:r>
              <w:rPr>
                <w:color w:val="000000" w:themeColor="text1"/>
                <w14:textFill>
                  <w14:solidFill>
                    <w14:schemeClr w14:val="tx1"/>
                  </w14:solidFill>
                </w14:textFill>
              </w:rPr>
              <w:t>达标</w:t>
            </w:r>
          </w:p>
        </w:tc>
        <w:tc>
          <w:tcPr>
            <w:tcW w:w="927" w:type="dxa"/>
            <w:vAlign w:val="center"/>
          </w:tcPr>
          <w:p w14:paraId="39A423E7">
            <w:pPr>
              <w:pStyle w:val="70"/>
              <w:rPr>
                <w:color w:val="000000" w:themeColor="text1"/>
                <w14:textFill>
                  <w14:solidFill>
                    <w14:schemeClr w14:val="tx1"/>
                  </w14:solidFill>
                </w14:textFill>
              </w:rPr>
            </w:pPr>
            <w:r>
              <w:rPr>
                <w:color w:val="000000" w:themeColor="text1"/>
                <w14:textFill>
                  <w14:solidFill>
                    <w14:schemeClr w14:val="tx1"/>
                  </w14:solidFill>
                </w14:textFill>
              </w:rPr>
              <w:t>65</w:t>
            </w:r>
          </w:p>
        </w:tc>
        <w:tc>
          <w:tcPr>
            <w:tcW w:w="849" w:type="dxa"/>
            <w:vAlign w:val="center"/>
          </w:tcPr>
          <w:p w14:paraId="54DA404B">
            <w:pPr>
              <w:pStyle w:val="70"/>
              <w:rPr>
                <w:color w:val="000000" w:themeColor="text1"/>
                <w14:textFill>
                  <w14:solidFill>
                    <w14:schemeClr w14:val="tx1"/>
                  </w14:solidFill>
                </w14:textFill>
              </w:rPr>
            </w:pPr>
            <w:r>
              <w:rPr>
                <w:color w:val="000000" w:themeColor="text1"/>
                <w14:textFill>
                  <w14:solidFill>
                    <w14:schemeClr w14:val="tx1"/>
                  </w14:solidFill>
                </w14:textFill>
              </w:rPr>
              <w:t>55</w:t>
            </w:r>
          </w:p>
        </w:tc>
      </w:tr>
    </w:tbl>
    <w:p w14:paraId="2D41AA89">
      <w:pPr>
        <w:ind w:firstLine="480"/>
        <w:rPr>
          <w:color w:val="000000" w:themeColor="text1"/>
          <w14:textFill>
            <w14:solidFill>
              <w14:schemeClr w14:val="tx1"/>
            </w14:solidFill>
          </w14:textFill>
        </w:rPr>
      </w:pPr>
      <w:r>
        <w:rPr>
          <w:color w:val="000000" w:themeColor="text1"/>
          <w14:textFill>
            <w14:solidFill>
              <w14:schemeClr w14:val="tx1"/>
            </w14:solidFill>
          </w14:textFill>
        </w:rPr>
        <w:t>本项目运营期厂界噪声预测贡献值可以达到《工业企业厂界环境噪声排放标准》（GB12348-2008）3类噪声排放限值要求，噪声评价范围内已无敏感点，噪声排放对周围环境影响不大。</w:t>
      </w:r>
    </w:p>
    <w:p w14:paraId="4830EE58">
      <w:pPr>
        <w:pStyle w:val="4"/>
        <w:rPr>
          <w:color w:val="000000" w:themeColor="text1"/>
          <w14:textFill>
            <w14:solidFill>
              <w14:schemeClr w14:val="tx1"/>
            </w14:solidFill>
          </w14:textFill>
        </w:rPr>
      </w:pPr>
      <w:bookmarkStart w:id="709" w:name="_Toc135090251"/>
      <w:bookmarkStart w:id="710" w:name="_Toc29131853"/>
      <w:bookmarkStart w:id="711" w:name="_Toc216103422"/>
      <w:bookmarkStart w:id="712" w:name="_Toc26910040"/>
      <w:bookmarkStart w:id="713" w:name="_Toc136878517"/>
      <w:bookmarkStart w:id="714" w:name="_Toc216620581"/>
      <w:bookmarkStart w:id="715" w:name="_Toc25436994"/>
      <w:r>
        <w:rPr>
          <w:color w:val="000000" w:themeColor="text1"/>
          <w14:textFill>
            <w14:solidFill>
              <w14:schemeClr w14:val="tx1"/>
            </w14:solidFill>
          </w14:textFill>
        </w:rPr>
        <w:t>固体废物影响分析</w:t>
      </w:r>
      <w:bookmarkEnd w:id="709"/>
      <w:bookmarkEnd w:id="710"/>
      <w:bookmarkEnd w:id="711"/>
      <w:bookmarkEnd w:id="712"/>
      <w:bookmarkEnd w:id="713"/>
      <w:bookmarkEnd w:id="714"/>
      <w:bookmarkEnd w:id="715"/>
    </w:p>
    <w:p w14:paraId="25B56468">
      <w:pPr>
        <w:pStyle w:val="6"/>
        <w:rPr>
          <w:color w:val="000000" w:themeColor="text1"/>
          <w14:textFill>
            <w14:solidFill>
              <w14:schemeClr w14:val="tx1"/>
            </w14:solidFill>
          </w14:textFill>
        </w:rPr>
      </w:pPr>
      <w:r>
        <w:rPr>
          <w:color w:val="000000" w:themeColor="text1"/>
          <w14:textFill>
            <w14:solidFill>
              <w14:schemeClr w14:val="tx1"/>
            </w14:solidFill>
          </w14:textFill>
        </w:rPr>
        <w:t>一般固体废物环境影响分析</w:t>
      </w:r>
    </w:p>
    <w:p w14:paraId="79E8DE12">
      <w:pPr>
        <w:ind w:firstLine="480"/>
        <w:rPr>
          <w:color w:val="000000" w:themeColor="text1"/>
          <w14:textFill>
            <w14:solidFill>
              <w14:schemeClr w14:val="tx1"/>
            </w14:solidFill>
          </w14:textFill>
        </w:rPr>
      </w:pPr>
      <w:r>
        <w:rPr>
          <w:color w:val="000000" w:themeColor="text1"/>
          <w14:textFill>
            <w14:solidFill>
              <w14:schemeClr w14:val="tx1"/>
            </w14:solidFill>
          </w14:textFill>
        </w:rPr>
        <w:t>1）生活垃圾</w:t>
      </w:r>
    </w:p>
    <w:p w14:paraId="304DCA78">
      <w:pPr>
        <w:ind w:firstLine="480"/>
        <w:rPr>
          <w:color w:val="000000" w:themeColor="text1"/>
          <w14:textFill>
            <w14:solidFill>
              <w14:schemeClr w14:val="tx1"/>
            </w14:solidFill>
          </w14:textFill>
        </w:rPr>
      </w:pPr>
      <w:r>
        <w:rPr>
          <w:color w:val="000000" w:themeColor="text1"/>
          <w14:textFill>
            <w14:solidFill>
              <w14:schemeClr w14:val="tx1"/>
            </w14:solidFill>
          </w14:textFill>
        </w:rPr>
        <w:t>本</w:t>
      </w:r>
      <w:r>
        <w:rPr>
          <w:rFonts w:hint="eastAsia"/>
          <w:color w:val="000000" w:themeColor="text1"/>
          <w14:textFill>
            <w14:solidFill>
              <w14:schemeClr w14:val="tx1"/>
            </w14:solidFill>
          </w14:textFill>
        </w:rPr>
        <w:t>扩建</w:t>
      </w:r>
      <w:r>
        <w:rPr>
          <w:color w:val="000000" w:themeColor="text1"/>
          <w14:textFill>
            <w14:solidFill>
              <w14:schemeClr w14:val="tx1"/>
            </w14:solidFill>
          </w14:textFill>
        </w:rPr>
        <w:t>项目无新增劳动定员，无新增生活垃圾。</w:t>
      </w:r>
    </w:p>
    <w:p w14:paraId="70B8D067">
      <w:pPr>
        <w:ind w:firstLine="480"/>
        <w:rPr>
          <w:color w:val="000000" w:themeColor="text1"/>
          <w14:textFill>
            <w14:solidFill>
              <w14:schemeClr w14:val="tx1"/>
            </w14:solidFill>
          </w14:textFill>
        </w:rPr>
      </w:pPr>
      <w:r>
        <w:rPr>
          <w:color w:val="000000" w:themeColor="text1"/>
          <w14:textFill>
            <w14:solidFill>
              <w14:schemeClr w14:val="tx1"/>
            </w14:solidFill>
          </w14:textFill>
        </w:rPr>
        <w:t>2）船舶固废</w:t>
      </w:r>
    </w:p>
    <w:p w14:paraId="503D4478">
      <w:pPr>
        <w:ind w:firstLine="480"/>
        <w:rPr>
          <w:color w:val="000000" w:themeColor="text1"/>
          <w14:textFill>
            <w14:solidFill>
              <w14:schemeClr w14:val="tx1"/>
            </w14:solidFill>
          </w14:textFill>
        </w:rPr>
      </w:pPr>
      <w:r>
        <w:rPr>
          <w:color w:val="000000" w:themeColor="text1"/>
          <w14:textFill>
            <w14:solidFill>
              <w14:schemeClr w14:val="tx1"/>
            </w14:solidFill>
          </w14:textFill>
        </w:rPr>
        <w:t>根据设计代表船型，船员生活垃圾发生量按1.5kg/天•人计算，到港船舶生活垃圾发生量约为90kg/d，年发生量为29.7t/a。维修废弃物年发生量为6.0t/a。</w:t>
      </w:r>
    </w:p>
    <w:p w14:paraId="6525F749">
      <w:pPr>
        <w:ind w:firstLine="480"/>
        <w:rPr>
          <w:color w:val="000000" w:themeColor="text1"/>
          <w14:textFill>
            <w14:solidFill>
              <w14:schemeClr w14:val="tx1"/>
            </w14:solidFill>
          </w14:textFill>
        </w:rPr>
      </w:pPr>
      <w:r>
        <w:rPr>
          <w:color w:val="000000" w:themeColor="text1"/>
          <w14:textFill>
            <w14:solidFill>
              <w14:schemeClr w14:val="tx1"/>
            </w14:solidFill>
          </w14:textFill>
        </w:rPr>
        <w:t>来自疫情地区的船舶生活垃圾和保养产生的固体废物由具有相应资质的卫生检验检疫部门对其进行检疫之后按相关规定处理；非疫情地区的船舶垃圾由具有相关资质的单位接收处理。</w:t>
      </w:r>
    </w:p>
    <w:p w14:paraId="47588D5D">
      <w:pPr>
        <w:ind w:firstLine="480"/>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本项目到港船舶不在本项目码头维修，故不产生船舶检修废物。</w:t>
      </w:r>
    </w:p>
    <w:p w14:paraId="0FA20853">
      <w:pPr>
        <w:pStyle w:val="6"/>
        <w:rPr>
          <w:color w:val="000000" w:themeColor="text1"/>
          <w14:textFill>
            <w14:solidFill>
              <w14:schemeClr w14:val="tx1"/>
            </w14:solidFill>
          </w14:textFill>
        </w:rPr>
      </w:pPr>
      <w:r>
        <w:rPr>
          <w:color w:val="000000" w:themeColor="text1"/>
          <w14:textFill>
            <w14:solidFill>
              <w14:schemeClr w14:val="tx1"/>
            </w14:solidFill>
          </w14:textFill>
        </w:rPr>
        <w:t>危险废物环境影响分析</w:t>
      </w:r>
    </w:p>
    <w:p w14:paraId="21512925">
      <w:pPr>
        <w:ind w:firstLine="470" w:firstLineChars="196"/>
        <w:rPr>
          <w:color w:val="000000" w:themeColor="text1"/>
          <w14:textFill>
            <w14:solidFill>
              <w14:schemeClr w14:val="tx1"/>
            </w14:solidFill>
          </w14:textFill>
        </w:rPr>
      </w:pPr>
      <w:r>
        <w:rPr>
          <w:rFonts w:hint="eastAsia"/>
          <w:color w:val="000000" w:themeColor="text1"/>
          <w14:textFill>
            <w14:solidFill>
              <w14:schemeClr w14:val="tx1"/>
            </w14:solidFill>
          </w14:textFill>
        </w:rPr>
        <w:t>运营期产生的危险废物主要包括含油废布及棉纱（0.05t/a），</w:t>
      </w:r>
      <w:r>
        <w:rPr>
          <w:rFonts w:hint="eastAsia"/>
          <w:color w:val="000000" w:themeColor="text1"/>
          <w:lang w:val="en-US" w:eastAsia="zh-CN"/>
          <w14:textFill>
            <w14:solidFill>
              <w14:schemeClr w14:val="tx1"/>
            </w14:solidFill>
          </w14:textFill>
        </w:rPr>
        <w:t>依托现有</w:t>
      </w:r>
      <w:r>
        <w:rPr>
          <w:rFonts w:hint="eastAsia"/>
          <w:color w:val="000000" w:themeColor="text1"/>
          <w14:textFill>
            <w14:solidFill>
              <w14:schemeClr w14:val="tx1"/>
            </w14:solidFill>
          </w14:textFill>
        </w:rPr>
        <w:t>危废暂存间</w:t>
      </w:r>
      <w:r>
        <w:rPr>
          <w:rFonts w:hint="eastAsia"/>
          <w:color w:val="000000" w:themeColor="text1"/>
          <w:lang w:val="en-US" w:eastAsia="zh-CN"/>
          <w14:textFill>
            <w14:solidFill>
              <w14:schemeClr w14:val="tx1"/>
            </w14:solidFill>
          </w14:textFill>
        </w:rPr>
        <w:t>暂</w:t>
      </w:r>
      <w:r>
        <w:rPr>
          <w:rFonts w:hint="eastAsia"/>
          <w:color w:val="000000" w:themeColor="text1"/>
          <w14:textFill>
            <w14:solidFill>
              <w14:schemeClr w14:val="tx1"/>
            </w14:solidFill>
          </w14:textFill>
        </w:rPr>
        <w:t>存，</w:t>
      </w:r>
      <w:r>
        <w:rPr>
          <w:rFonts w:hint="eastAsia"/>
          <w:color w:val="000000" w:themeColor="text1"/>
          <w:lang w:val="en-US" w:eastAsia="zh-CN"/>
          <w14:textFill>
            <w14:solidFill>
              <w14:schemeClr w14:val="tx1"/>
            </w14:solidFill>
          </w14:textFill>
        </w:rPr>
        <w:t>定期</w:t>
      </w:r>
      <w:r>
        <w:rPr>
          <w:rFonts w:hint="eastAsia"/>
          <w:color w:val="000000" w:themeColor="text1"/>
          <w14:textFill>
            <w14:solidFill>
              <w14:schemeClr w14:val="tx1"/>
            </w14:solidFill>
          </w14:textFill>
        </w:rPr>
        <w:t>交由有资质的单位接收处理。</w:t>
      </w:r>
    </w:p>
    <w:p w14:paraId="3CDA2CB9">
      <w:pPr>
        <w:pStyle w:val="7"/>
        <w:rPr>
          <w:color w:val="000000" w:themeColor="text1"/>
          <w14:textFill>
            <w14:solidFill>
              <w14:schemeClr w14:val="tx1"/>
            </w14:solidFill>
          </w14:textFill>
        </w:rPr>
      </w:pPr>
      <w:r>
        <w:rPr>
          <w:color w:val="000000" w:themeColor="text1"/>
          <w14:textFill>
            <w14:solidFill>
              <w14:schemeClr w14:val="tx1"/>
            </w14:solidFill>
          </w14:textFill>
        </w:rPr>
        <w:t xml:space="preserve"> </w:t>
      </w:r>
      <w:bookmarkStart w:id="716" w:name="_Toc216103423"/>
      <w:bookmarkStart w:id="717" w:name="_Toc136878518"/>
      <w:bookmarkStart w:id="718" w:name="_Toc216620582"/>
      <w:bookmarkStart w:id="719" w:name="_Toc135090252"/>
      <w:r>
        <w:rPr>
          <w:color w:val="000000" w:themeColor="text1"/>
          <w14:textFill>
            <w14:solidFill>
              <w14:schemeClr w14:val="tx1"/>
            </w14:solidFill>
          </w14:textFill>
        </w:rPr>
        <w:t>危废暂存间基本情况</w:t>
      </w:r>
    </w:p>
    <w:p w14:paraId="2EA4A5F1">
      <w:pPr>
        <w:spacing w:line="35" w:lineRule="exact"/>
        <w:ind w:firstLine="480"/>
        <w:rPr>
          <w:color w:val="000000" w:themeColor="text1"/>
          <w14:textFill>
            <w14:solidFill>
              <w14:schemeClr w14:val="tx1"/>
            </w14:solidFill>
          </w14:textFill>
        </w:rPr>
      </w:pPr>
    </w:p>
    <w:tbl>
      <w:tblPr>
        <w:tblStyle w:val="72"/>
        <w:tblW w:w="8366" w:type="dxa"/>
        <w:tblInd w:w="12"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
      <w:tblGrid>
        <w:gridCol w:w="957"/>
        <w:gridCol w:w="1242"/>
        <w:gridCol w:w="1022"/>
        <w:gridCol w:w="1361"/>
        <w:gridCol w:w="706"/>
        <w:gridCol w:w="1012"/>
        <w:gridCol w:w="1034"/>
        <w:gridCol w:w="1032"/>
      </w:tblGrid>
      <w:tr w14:paraId="4C8FB25E">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513" w:hRule="atLeast"/>
        </w:trPr>
        <w:tc>
          <w:tcPr>
            <w:tcW w:w="957" w:type="dxa"/>
            <w:vAlign w:val="center"/>
          </w:tcPr>
          <w:p w14:paraId="159689C2">
            <w:pPr>
              <w:pStyle w:val="70"/>
              <w:autoSpaceDE w:val="0"/>
              <w:autoSpaceDN w:val="0"/>
              <w:rPr>
                <w:rFonts w:asciiTheme="minorHAnsi" w:hAnsiTheme="minorHAnsi" w:eastAsiaTheme="minorEastAsia" w:cstheme="minorBidi"/>
                <w:b/>
                <w:bCs/>
                <w:color w:val="000000" w:themeColor="text1"/>
                <w:lang w:eastAsia="en-US"/>
                <w14:textFill>
                  <w14:solidFill>
                    <w14:schemeClr w14:val="tx1"/>
                  </w14:solidFill>
                </w14:textFill>
              </w:rPr>
            </w:pPr>
            <w:r>
              <w:rPr>
                <w:rFonts w:asciiTheme="minorHAnsi" w:hAnsiTheme="minorHAnsi" w:eastAsiaTheme="minorEastAsia" w:cstheme="minorBidi"/>
                <w:b/>
                <w:bCs/>
                <w:color w:val="000000" w:themeColor="text1"/>
                <w:lang w:eastAsia="en-US"/>
                <w14:textFill>
                  <w14:solidFill>
                    <w14:schemeClr w14:val="tx1"/>
                  </w14:solidFill>
                </w14:textFill>
              </w:rPr>
              <w:t>贮存场所</w:t>
            </w:r>
          </w:p>
        </w:tc>
        <w:tc>
          <w:tcPr>
            <w:tcW w:w="1242" w:type="dxa"/>
            <w:vAlign w:val="center"/>
          </w:tcPr>
          <w:p w14:paraId="79FBB4C6">
            <w:pPr>
              <w:pStyle w:val="70"/>
              <w:autoSpaceDE w:val="0"/>
              <w:autoSpaceDN w:val="0"/>
              <w:rPr>
                <w:rFonts w:asciiTheme="minorHAnsi" w:hAnsiTheme="minorHAnsi" w:eastAsiaTheme="minorEastAsia" w:cstheme="minorBidi"/>
                <w:b/>
                <w:bCs/>
                <w:color w:val="000000" w:themeColor="text1"/>
                <w:lang w:eastAsia="en-US"/>
                <w14:textFill>
                  <w14:solidFill>
                    <w14:schemeClr w14:val="tx1"/>
                  </w14:solidFill>
                </w14:textFill>
              </w:rPr>
            </w:pPr>
            <w:r>
              <w:rPr>
                <w:rFonts w:asciiTheme="minorHAnsi" w:hAnsiTheme="minorHAnsi" w:eastAsiaTheme="minorEastAsia" w:cstheme="minorBidi"/>
                <w:b/>
                <w:bCs/>
                <w:color w:val="000000" w:themeColor="text1"/>
                <w:lang w:eastAsia="en-US"/>
                <w14:textFill>
                  <w14:solidFill>
                    <w14:schemeClr w14:val="tx1"/>
                  </w14:solidFill>
                </w14:textFill>
              </w:rPr>
              <w:t>危废名称</w:t>
            </w:r>
          </w:p>
        </w:tc>
        <w:tc>
          <w:tcPr>
            <w:tcW w:w="1022" w:type="dxa"/>
            <w:vAlign w:val="center"/>
          </w:tcPr>
          <w:p w14:paraId="5375643E">
            <w:pPr>
              <w:pStyle w:val="70"/>
              <w:autoSpaceDE w:val="0"/>
              <w:autoSpaceDN w:val="0"/>
              <w:rPr>
                <w:rFonts w:asciiTheme="minorHAnsi" w:hAnsiTheme="minorHAnsi" w:eastAsiaTheme="minorEastAsia" w:cstheme="minorBidi"/>
                <w:b/>
                <w:bCs/>
                <w:color w:val="000000" w:themeColor="text1"/>
                <w:lang w:eastAsia="en-US"/>
                <w14:textFill>
                  <w14:solidFill>
                    <w14:schemeClr w14:val="tx1"/>
                  </w14:solidFill>
                </w14:textFill>
              </w:rPr>
            </w:pPr>
            <w:r>
              <w:rPr>
                <w:rFonts w:asciiTheme="minorHAnsi" w:hAnsiTheme="minorHAnsi" w:eastAsiaTheme="minorEastAsia" w:cstheme="minorBidi"/>
                <w:b/>
                <w:bCs/>
                <w:color w:val="000000" w:themeColor="text1"/>
                <w:lang w:eastAsia="en-US"/>
                <w14:textFill>
                  <w14:solidFill>
                    <w14:schemeClr w14:val="tx1"/>
                  </w14:solidFill>
                </w14:textFill>
              </w:rPr>
              <w:t>危险废物类别</w:t>
            </w:r>
          </w:p>
        </w:tc>
        <w:tc>
          <w:tcPr>
            <w:tcW w:w="1361" w:type="dxa"/>
            <w:vAlign w:val="center"/>
          </w:tcPr>
          <w:p w14:paraId="69A020C8">
            <w:pPr>
              <w:pStyle w:val="70"/>
              <w:autoSpaceDE w:val="0"/>
              <w:autoSpaceDN w:val="0"/>
              <w:rPr>
                <w:rFonts w:asciiTheme="minorHAnsi" w:hAnsiTheme="minorHAnsi" w:eastAsiaTheme="minorEastAsia" w:cstheme="minorBidi"/>
                <w:b/>
                <w:bCs/>
                <w:color w:val="000000" w:themeColor="text1"/>
                <w:lang w:eastAsia="en-US"/>
                <w14:textFill>
                  <w14:solidFill>
                    <w14:schemeClr w14:val="tx1"/>
                  </w14:solidFill>
                </w14:textFill>
              </w:rPr>
            </w:pPr>
            <w:r>
              <w:rPr>
                <w:rFonts w:asciiTheme="minorHAnsi" w:hAnsiTheme="minorHAnsi" w:eastAsiaTheme="minorEastAsia" w:cstheme="minorBidi"/>
                <w:b/>
                <w:bCs/>
                <w:color w:val="000000" w:themeColor="text1"/>
                <w:lang w:eastAsia="en-US"/>
                <w14:textFill>
                  <w14:solidFill>
                    <w14:schemeClr w14:val="tx1"/>
                  </w14:solidFill>
                </w14:textFill>
              </w:rPr>
              <w:t>危险废物代码</w:t>
            </w:r>
          </w:p>
        </w:tc>
        <w:tc>
          <w:tcPr>
            <w:tcW w:w="706" w:type="dxa"/>
            <w:vAlign w:val="center"/>
          </w:tcPr>
          <w:p w14:paraId="37E47CB6">
            <w:pPr>
              <w:pStyle w:val="70"/>
              <w:autoSpaceDE w:val="0"/>
              <w:autoSpaceDN w:val="0"/>
              <w:rPr>
                <w:rFonts w:asciiTheme="minorHAnsi" w:hAnsiTheme="minorHAnsi" w:eastAsiaTheme="minorEastAsia" w:cstheme="minorBidi"/>
                <w:b/>
                <w:bCs/>
                <w:color w:val="000000" w:themeColor="text1"/>
                <w:lang w:eastAsia="en-US"/>
                <w14:textFill>
                  <w14:solidFill>
                    <w14:schemeClr w14:val="tx1"/>
                  </w14:solidFill>
                </w14:textFill>
              </w:rPr>
            </w:pPr>
            <w:r>
              <w:rPr>
                <w:rFonts w:asciiTheme="minorHAnsi" w:hAnsiTheme="minorHAnsi" w:eastAsiaTheme="minorEastAsia" w:cstheme="minorBidi"/>
                <w:b/>
                <w:bCs/>
                <w:color w:val="000000" w:themeColor="text1"/>
                <w:lang w:eastAsia="en-US"/>
                <w14:textFill>
                  <w14:solidFill>
                    <w14:schemeClr w14:val="tx1"/>
                  </w14:solidFill>
                </w14:textFill>
              </w:rPr>
              <w:t>占地面积</w:t>
            </w:r>
          </w:p>
        </w:tc>
        <w:tc>
          <w:tcPr>
            <w:tcW w:w="1012" w:type="dxa"/>
            <w:vAlign w:val="center"/>
          </w:tcPr>
          <w:p w14:paraId="57566F58">
            <w:pPr>
              <w:pStyle w:val="70"/>
              <w:autoSpaceDE w:val="0"/>
              <w:autoSpaceDN w:val="0"/>
              <w:rPr>
                <w:rFonts w:asciiTheme="minorHAnsi" w:hAnsiTheme="minorHAnsi" w:eastAsiaTheme="minorEastAsia" w:cstheme="minorBidi"/>
                <w:b/>
                <w:bCs/>
                <w:color w:val="000000" w:themeColor="text1"/>
                <w:lang w:eastAsia="en-US"/>
                <w14:textFill>
                  <w14:solidFill>
                    <w14:schemeClr w14:val="tx1"/>
                  </w14:solidFill>
                </w14:textFill>
              </w:rPr>
            </w:pPr>
            <w:r>
              <w:rPr>
                <w:rFonts w:asciiTheme="minorHAnsi" w:hAnsiTheme="minorHAnsi" w:eastAsiaTheme="minorEastAsia" w:cstheme="minorBidi"/>
                <w:b/>
                <w:bCs/>
                <w:color w:val="000000" w:themeColor="text1"/>
                <w:lang w:eastAsia="en-US"/>
                <w14:textFill>
                  <w14:solidFill>
                    <w14:schemeClr w14:val="tx1"/>
                  </w14:solidFill>
                </w14:textFill>
              </w:rPr>
              <w:t>贮存方式</w:t>
            </w:r>
          </w:p>
        </w:tc>
        <w:tc>
          <w:tcPr>
            <w:tcW w:w="1034" w:type="dxa"/>
            <w:vAlign w:val="center"/>
          </w:tcPr>
          <w:p w14:paraId="70A515EB">
            <w:pPr>
              <w:pStyle w:val="70"/>
              <w:autoSpaceDE w:val="0"/>
              <w:autoSpaceDN w:val="0"/>
              <w:rPr>
                <w:rFonts w:asciiTheme="minorHAnsi" w:hAnsiTheme="minorHAnsi" w:eastAsiaTheme="minorEastAsia" w:cstheme="minorBidi"/>
                <w:b/>
                <w:bCs/>
                <w:color w:val="000000" w:themeColor="text1"/>
                <w:lang w:eastAsia="en-US"/>
                <w14:textFill>
                  <w14:solidFill>
                    <w14:schemeClr w14:val="tx1"/>
                  </w14:solidFill>
                </w14:textFill>
              </w:rPr>
            </w:pPr>
            <w:r>
              <w:rPr>
                <w:rFonts w:asciiTheme="minorHAnsi" w:hAnsiTheme="minorHAnsi" w:eastAsiaTheme="minorEastAsia" w:cstheme="minorBidi"/>
                <w:b/>
                <w:bCs/>
                <w:color w:val="000000" w:themeColor="text1"/>
                <w:lang w:eastAsia="en-US"/>
                <w14:textFill>
                  <w14:solidFill>
                    <w14:schemeClr w14:val="tx1"/>
                  </w14:solidFill>
                </w14:textFill>
              </w:rPr>
              <w:t>贮存</w:t>
            </w:r>
            <w:r>
              <w:rPr>
                <w:rFonts w:hint="eastAsia" w:asciiTheme="minorHAnsi" w:hAnsiTheme="minorHAnsi" w:eastAsiaTheme="minorEastAsia" w:cstheme="minorBidi"/>
                <w:b/>
                <w:bCs/>
                <w:color w:val="000000" w:themeColor="text1"/>
                <w:lang w:eastAsia="en-US"/>
                <w14:textFill>
                  <w14:solidFill>
                    <w14:schemeClr w14:val="tx1"/>
                  </w14:solidFill>
                </w14:textFill>
              </w:rPr>
              <w:t>量</w:t>
            </w:r>
          </w:p>
        </w:tc>
        <w:tc>
          <w:tcPr>
            <w:tcW w:w="1032" w:type="dxa"/>
            <w:vAlign w:val="center"/>
          </w:tcPr>
          <w:p w14:paraId="37C8A836">
            <w:pPr>
              <w:pStyle w:val="70"/>
              <w:autoSpaceDE w:val="0"/>
              <w:autoSpaceDN w:val="0"/>
              <w:rPr>
                <w:rFonts w:asciiTheme="minorHAnsi" w:hAnsiTheme="minorHAnsi" w:eastAsiaTheme="minorEastAsia" w:cstheme="minorBidi"/>
                <w:b/>
                <w:bCs/>
                <w:color w:val="000000" w:themeColor="text1"/>
                <w:lang w:eastAsia="en-US"/>
                <w14:textFill>
                  <w14:solidFill>
                    <w14:schemeClr w14:val="tx1"/>
                  </w14:solidFill>
                </w14:textFill>
              </w:rPr>
            </w:pPr>
            <w:r>
              <w:rPr>
                <w:rFonts w:asciiTheme="minorHAnsi" w:hAnsiTheme="minorHAnsi" w:eastAsiaTheme="minorEastAsia" w:cstheme="minorBidi"/>
                <w:b/>
                <w:bCs/>
                <w:color w:val="000000" w:themeColor="text1"/>
                <w:lang w:eastAsia="en-US"/>
                <w14:textFill>
                  <w14:solidFill>
                    <w14:schemeClr w14:val="tx1"/>
                  </w14:solidFill>
                </w14:textFill>
              </w:rPr>
              <w:t>贮存周期</w:t>
            </w:r>
          </w:p>
        </w:tc>
      </w:tr>
      <w:tr w14:paraId="53EBF3DF">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409" w:hRule="atLeast"/>
        </w:trPr>
        <w:tc>
          <w:tcPr>
            <w:tcW w:w="957" w:type="dxa"/>
            <w:vAlign w:val="center"/>
          </w:tcPr>
          <w:p w14:paraId="1C4551BD">
            <w:pPr>
              <w:pStyle w:val="70"/>
              <w:autoSpaceDE w:val="0"/>
              <w:autoSpaceDN w:val="0"/>
              <w:rPr>
                <w:rFonts w:asciiTheme="minorHAnsi" w:hAnsiTheme="minorHAnsi" w:eastAsiaTheme="minorEastAsia" w:cstheme="minorBidi"/>
                <w:color w:val="000000" w:themeColor="text1"/>
                <w:lang w:eastAsia="en-US"/>
                <w14:textFill>
                  <w14:solidFill>
                    <w14:schemeClr w14:val="tx1"/>
                  </w14:solidFill>
                </w14:textFill>
              </w:rPr>
            </w:pPr>
            <w:r>
              <w:rPr>
                <w:rFonts w:hint="eastAsia" w:asciiTheme="minorHAnsi" w:hAnsiTheme="minorHAnsi" w:eastAsiaTheme="minorEastAsia" w:cstheme="minorBidi"/>
                <w:color w:val="000000" w:themeColor="text1"/>
                <w:lang w:eastAsia="en-US"/>
                <w14:textFill>
                  <w14:solidFill>
                    <w14:schemeClr w14:val="tx1"/>
                  </w14:solidFill>
                </w14:textFill>
              </w:rPr>
              <w:t>一体化危废暂存间</w:t>
            </w:r>
          </w:p>
        </w:tc>
        <w:tc>
          <w:tcPr>
            <w:tcW w:w="1242" w:type="dxa"/>
            <w:vAlign w:val="center"/>
          </w:tcPr>
          <w:p w14:paraId="08E18246">
            <w:pPr>
              <w:pStyle w:val="70"/>
              <w:autoSpaceDE w:val="0"/>
              <w:autoSpaceDN w:val="0"/>
              <w:rPr>
                <w:rFonts w:asciiTheme="minorHAnsi" w:hAnsiTheme="minorHAnsi" w:eastAsiaTheme="minorEastAsia" w:cstheme="minorBidi"/>
                <w:color w:val="000000" w:themeColor="text1"/>
                <w:lang w:eastAsia="en-US"/>
                <w14:textFill>
                  <w14:solidFill>
                    <w14:schemeClr w14:val="tx1"/>
                  </w14:solidFill>
                </w14:textFill>
              </w:rPr>
            </w:pPr>
            <w:r>
              <w:rPr>
                <w:rFonts w:hint="eastAsia" w:asciiTheme="minorHAnsi" w:hAnsiTheme="minorHAnsi" w:eastAsiaTheme="minorEastAsia" w:cstheme="minorBidi"/>
                <w:color w:val="000000" w:themeColor="text1"/>
                <w:lang w:eastAsia="en-US"/>
                <w14:textFill>
                  <w14:solidFill>
                    <w14:schemeClr w14:val="tx1"/>
                  </w14:solidFill>
                </w14:textFill>
              </w:rPr>
              <w:t>含油废布及</w:t>
            </w:r>
            <w:r>
              <w:rPr>
                <w:rFonts w:asciiTheme="minorHAnsi" w:hAnsiTheme="minorHAnsi" w:eastAsiaTheme="minorEastAsia" w:cstheme="minorBidi"/>
                <w:color w:val="000000" w:themeColor="text1"/>
                <w:lang w:eastAsia="en-US"/>
                <w14:textFill>
                  <w14:solidFill>
                    <w14:schemeClr w14:val="tx1"/>
                  </w14:solidFill>
                </w14:textFill>
              </w:rPr>
              <w:t>棉纱</w:t>
            </w:r>
          </w:p>
        </w:tc>
        <w:tc>
          <w:tcPr>
            <w:tcW w:w="1022" w:type="dxa"/>
            <w:vAlign w:val="center"/>
          </w:tcPr>
          <w:p w14:paraId="6CFFD83D">
            <w:pPr>
              <w:pStyle w:val="70"/>
              <w:autoSpaceDE w:val="0"/>
              <w:autoSpaceDN w:val="0"/>
              <w:rPr>
                <w:rFonts w:asciiTheme="minorHAnsi" w:hAnsiTheme="minorHAnsi" w:eastAsiaTheme="minorEastAsia" w:cstheme="minorBidi"/>
                <w:color w:val="000000" w:themeColor="text1"/>
                <w:lang w:eastAsia="en-US"/>
                <w14:textFill>
                  <w14:solidFill>
                    <w14:schemeClr w14:val="tx1"/>
                  </w14:solidFill>
                </w14:textFill>
              </w:rPr>
            </w:pPr>
            <w:r>
              <w:rPr>
                <w:rFonts w:asciiTheme="minorHAnsi" w:hAnsiTheme="minorHAnsi" w:eastAsiaTheme="minorEastAsia" w:cstheme="minorBidi"/>
                <w:color w:val="000000" w:themeColor="text1"/>
                <w:lang w:eastAsia="en-US"/>
                <w14:textFill>
                  <w14:solidFill>
                    <w14:schemeClr w14:val="tx1"/>
                  </w14:solidFill>
                </w14:textFill>
              </w:rPr>
              <w:t>HW</w:t>
            </w:r>
            <w:r>
              <w:rPr>
                <w:rFonts w:hint="eastAsia" w:asciiTheme="minorHAnsi" w:hAnsiTheme="minorHAnsi" w:eastAsiaTheme="minorEastAsia" w:cstheme="minorBidi"/>
                <w:color w:val="000000" w:themeColor="text1"/>
                <w:lang w:eastAsia="en-US"/>
                <w14:textFill>
                  <w14:solidFill>
                    <w14:schemeClr w14:val="tx1"/>
                  </w14:solidFill>
                </w14:textFill>
              </w:rPr>
              <w:t>08</w:t>
            </w:r>
          </w:p>
        </w:tc>
        <w:tc>
          <w:tcPr>
            <w:tcW w:w="1361" w:type="dxa"/>
            <w:vAlign w:val="center"/>
          </w:tcPr>
          <w:p w14:paraId="2A2CFE90">
            <w:pPr>
              <w:pStyle w:val="70"/>
              <w:autoSpaceDE w:val="0"/>
              <w:autoSpaceDN w:val="0"/>
              <w:rPr>
                <w:rFonts w:asciiTheme="minorHAnsi" w:hAnsiTheme="minorHAnsi" w:eastAsiaTheme="minorEastAsia" w:cstheme="minorBidi"/>
                <w:color w:val="000000" w:themeColor="text1"/>
                <w:lang w:eastAsia="en-US"/>
                <w14:textFill>
                  <w14:solidFill>
                    <w14:schemeClr w14:val="tx1"/>
                  </w14:solidFill>
                </w14:textFill>
              </w:rPr>
            </w:pPr>
            <w:r>
              <w:rPr>
                <w:rFonts w:asciiTheme="minorHAnsi" w:hAnsiTheme="minorHAnsi" w:eastAsiaTheme="minorEastAsia" w:cstheme="minorBidi"/>
                <w:color w:val="000000" w:themeColor="text1"/>
                <w:lang w:eastAsia="en-US"/>
                <w14:textFill>
                  <w14:solidFill>
                    <w14:schemeClr w14:val="tx1"/>
                  </w14:solidFill>
                </w14:textFill>
              </w:rPr>
              <w:t>900-</w:t>
            </w:r>
            <w:r>
              <w:rPr>
                <w:rFonts w:hint="eastAsia" w:asciiTheme="minorHAnsi" w:hAnsiTheme="minorHAnsi" w:eastAsiaTheme="minorEastAsia" w:cstheme="minorBidi"/>
                <w:color w:val="000000" w:themeColor="text1"/>
                <w:lang w:eastAsia="en-US"/>
                <w14:textFill>
                  <w14:solidFill>
                    <w14:schemeClr w14:val="tx1"/>
                  </w14:solidFill>
                </w14:textFill>
              </w:rPr>
              <w:t>249</w:t>
            </w:r>
            <w:r>
              <w:rPr>
                <w:rFonts w:asciiTheme="minorHAnsi" w:hAnsiTheme="minorHAnsi" w:eastAsiaTheme="minorEastAsia" w:cstheme="minorBidi"/>
                <w:color w:val="000000" w:themeColor="text1"/>
                <w:lang w:eastAsia="en-US"/>
                <w14:textFill>
                  <w14:solidFill>
                    <w14:schemeClr w14:val="tx1"/>
                  </w14:solidFill>
                </w14:textFill>
              </w:rPr>
              <w:t>-</w:t>
            </w:r>
            <w:r>
              <w:rPr>
                <w:rFonts w:hint="eastAsia" w:asciiTheme="minorHAnsi" w:hAnsiTheme="minorHAnsi" w:eastAsiaTheme="minorEastAsia" w:cstheme="minorBidi"/>
                <w:color w:val="000000" w:themeColor="text1"/>
                <w:lang w:eastAsia="en-US"/>
                <w14:textFill>
                  <w14:solidFill>
                    <w14:schemeClr w14:val="tx1"/>
                  </w14:solidFill>
                </w14:textFill>
              </w:rPr>
              <w:t>08</w:t>
            </w:r>
          </w:p>
        </w:tc>
        <w:tc>
          <w:tcPr>
            <w:tcW w:w="706" w:type="dxa"/>
            <w:vAlign w:val="center"/>
          </w:tcPr>
          <w:p w14:paraId="5C9EA22A">
            <w:pPr>
              <w:pStyle w:val="70"/>
              <w:autoSpaceDE w:val="0"/>
              <w:autoSpaceDN w:val="0"/>
              <w:rPr>
                <w:rFonts w:asciiTheme="minorHAnsi" w:hAnsiTheme="minorHAnsi" w:eastAsiaTheme="minorEastAsia" w:cstheme="minorBidi"/>
                <w:color w:val="000000" w:themeColor="text1"/>
                <w:lang w:eastAsia="en-US"/>
                <w14:textFill>
                  <w14:solidFill>
                    <w14:schemeClr w14:val="tx1"/>
                  </w14:solidFill>
                </w14:textFill>
              </w:rPr>
            </w:pPr>
            <w:r>
              <w:rPr>
                <w:rFonts w:asciiTheme="minorHAnsi" w:hAnsiTheme="minorHAnsi" w:eastAsiaTheme="minorEastAsia" w:cstheme="minorBidi"/>
                <w:color w:val="000000" w:themeColor="text1"/>
                <w:lang w:eastAsia="en-US"/>
                <w14:textFill>
                  <w14:solidFill>
                    <w14:schemeClr w14:val="tx1"/>
                  </w14:solidFill>
                </w14:textFill>
              </w:rPr>
              <w:t>10m</w:t>
            </w:r>
            <w:r>
              <w:rPr>
                <w:rFonts w:asciiTheme="minorHAnsi" w:hAnsiTheme="minorHAnsi" w:eastAsiaTheme="minorEastAsia" w:cstheme="minorBidi"/>
                <w:color w:val="000000" w:themeColor="text1"/>
                <w:vertAlign w:val="superscript"/>
                <w:lang w:eastAsia="en-US"/>
                <w14:textFill>
                  <w14:solidFill>
                    <w14:schemeClr w14:val="tx1"/>
                  </w14:solidFill>
                </w14:textFill>
              </w:rPr>
              <w:t>2</w:t>
            </w:r>
          </w:p>
        </w:tc>
        <w:tc>
          <w:tcPr>
            <w:tcW w:w="1012" w:type="dxa"/>
            <w:vAlign w:val="center"/>
          </w:tcPr>
          <w:p w14:paraId="24EC9608">
            <w:pPr>
              <w:pStyle w:val="70"/>
              <w:autoSpaceDE w:val="0"/>
              <w:autoSpaceDN w:val="0"/>
              <w:rPr>
                <w:rFonts w:asciiTheme="minorHAnsi" w:hAnsiTheme="minorHAnsi" w:eastAsiaTheme="minorEastAsia" w:cstheme="minorBidi"/>
                <w:color w:val="000000" w:themeColor="text1"/>
                <w:lang w:eastAsia="en-US"/>
                <w14:textFill>
                  <w14:solidFill>
                    <w14:schemeClr w14:val="tx1"/>
                  </w14:solidFill>
                </w14:textFill>
              </w:rPr>
            </w:pPr>
            <w:r>
              <w:rPr>
                <w:rFonts w:asciiTheme="minorHAnsi" w:hAnsiTheme="minorHAnsi" w:eastAsiaTheme="minorEastAsia" w:cstheme="minorBidi"/>
                <w:color w:val="000000" w:themeColor="text1"/>
                <w:lang w:eastAsia="en-US"/>
                <w14:textFill>
                  <w14:solidFill>
                    <w14:schemeClr w14:val="tx1"/>
                  </w14:solidFill>
                </w14:textFill>
              </w:rPr>
              <w:t>/</w:t>
            </w:r>
          </w:p>
        </w:tc>
        <w:tc>
          <w:tcPr>
            <w:tcW w:w="1034" w:type="dxa"/>
            <w:vAlign w:val="center"/>
          </w:tcPr>
          <w:p w14:paraId="504668A9">
            <w:pPr>
              <w:pStyle w:val="70"/>
              <w:autoSpaceDE w:val="0"/>
              <w:autoSpaceDN w:val="0"/>
              <w:rPr>
                <w:rFonts w:asciiTheme="minorHAnsi" w:hAnsiTheme="minorHAnsi" w:eastAsiaTheme="minorEastAsia" w:cstheme="minorBidi"/>
                <w:color w:val="000000" w:themeColor="text1"/>
                <w:lang w:eastAsia="en-US"/>
                <w14:textFill>
                  <w14:solidFill>
                    <w14:schemeClr w14:val="tx1"/>
                  </w14:solidFill>
                </w14:textFill>
              </w:rPr>
            </w:pPr>
            <w:r>
              <w:rPr>
                <w:rFonts w:hint="eastAsia" w:asciiTheme="minorHAnsi" w:hAnsiTheme="minorHAnsi" w:eastAsiaTheme="minorEastAsia" w:cstheme="minorBidi"/>
                <w:color w:val="000000" w:themeColor="text1"/>
                <w:lang w:eastAsia="en-US"/>
                <w14:textFill>
                  <w14:solidFill>
                    <w14:schemeClr w14:val="tx1"/>
                  </w14:solidFill>
                </w14:textFill>
              </w:rPr>
              <w:t>0.05</w:t>
            </w:r>
            <w:r>
              <w:rPr>
                <w:rFonts w:asciiTheme="minorHAnsi" w:hAnsiTheme="minorHAnsi" w:eastAsiaTheme="minorEastAsia" w:cstheme="minorBidi"/>
                <w:color w:val="000000" w:themeColor="text1"/>
                <w:lang w:eastAsia="en-US"/>
                <w14:textFill>
                  <w14:solidFill>
                    <w14:schemeClr w14:val="tx1"/>
                  </w14:solidFill>
                </w14:textFill>
              </w:rPr>
              <w:t>t/a</w:t>
            </w:r>
          </w:p>
        </w:tc>
        <w:tc>
          <w:tcPr>
            <w:tcW w:w="1032" w:type="dxa"/>
            <w:vAlign w:val="center"/>
          </w:tcPr>
          <w:p w14:paraId="6842C6B6">
            <w:pPr>
              <w:pStyle w:val="70"/>
              <w:autoSpaceDE w:val="0"/>
              <w:autoSpaceDN w:val="0"/>
              <w:rPr>
                <w:rFonts w:asciiTheme="minorHAnsi" w:hAnsiTheme="minorHAnsi" w:eastAsiaTheme="minorEastAsia" w:cstheme="minorBidi"/>
                <w:color w:val="000000" w:themeColor="text1"/>
                <w:lang w:eastAsia="en-US"/>
                <w14:textFill>
                  <w14:solidFill>
                    <w14:schemeClr w14:val="tx1"/>
                  </w14:solidFill>
                </w14:textFill>
              </w:rPr>
            </w:pPr>
            <w:r>
              <w:rPr>
                <w:rFonts w:hint="eastAsia" w:asciiTheme="minorHAnsi" w:hAnsiTheme="minorHAnsi" w:eastAsiaTheme="minorEastAsia" w:cstheme="minorBidi"/>
                <w:color w:val="000000" w:themeColor="text1"/>
                <w:lang w:eastAsia="en-US"/>
                <w14:textFill>
                  <w14:solidFill>
                    <w14:schemeClr w14:val="tx1"/>
                  </w14:solidFill>
                </w14:textFill>
              </w:rPr>
              <w:t>1</w:t>
            </w:r>
            <w:r>
              <w:rPr>
                <w:rFonts w:asciiTheme="minorHAnsi" w:hAnsiTheme="minorHAnsi" w:eastAsiaTheme="minorEastAsia" w:cstheme="minorBidi"/>
                <w:color w:val="000000" w:themeColor="text1"/>
                <w:lang w:eastAsia="en-US"/>
                <w14:textFill>
                  <w14:solidFill>
                    <w14:schemeClr w14:val="tx1"/>
                  </w14:solidFill>
                </w14:textFill>
              </w:rPr>
              <w:t>个月</w:t>
            </w:r>
          </w:p>
        </w:tc>
      </w:tr>
    </w:tbl>
    <w:p w14:paraId="312F1AF9">
      <w:pPr>
        <w:pStyle w:val="4"/>
        <w:rPr>
          <w:color w:val="000000" w:themeColor="text1"/>
          <w14:textFill>
            <w14:solidFill>
              <w14:schemeClr w14:val="tx1"/>
            </w14:solidFill>
          </w14:textFill>
        </w:rPr>
      </w:pPr>
      <w:r>
        <w:rPr>
          <w:color w:val="000000" w:themeColor="text1"/>
          <w14:textFill>
            <w14:solidFill>
              <w14:schemeClr w14:val="tx1"/>
            </w14:solidFill>
          </w14:textFill>
        </w:rPr>
        <w:t>地下水环境影响分析</w:t>
      </w:r>
      <w:bookmarkEnd w:id="716"/>
      <w:bookmarkEnd w:id="717"/>
      <w:bookmarkEnd w:id="718"/>
      <w:bookmarkEnd w:id="719"/>
    </w:p>
    <w:p w14:paraId="4183D5DF">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根据《环境影响评价技术导则 地下水环境》（HJ 610-2016），本扩建项目为三级评价，地下水影响评价应采取解析法预测或类比分析法进行预测；但是本项目比较特殊，项目设计分界点在码头海域部分，项目只涉及海域不涉及陆域，即使发生管道泄漏事故，也是直接渗透到海域，影响分析见5风险预测与评价章节；且本项目区域所在地下水流向为西北向东南，项目位于区域地下水流向下游。因此，本次评价仅进行定性分析。</w:t>
      </w:r>
    </w:p>
    <w:p w14:paraId="1B3EC743">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扩建项目为地面以上管线和装卸臂，为密闭输送管线，运营期无集中式地下水污染物产生；同时，管道以及各零部件均设置防渗层；目前14号泊位平台已建好，码头平台采取钢筋混凝土结构，渗透系数较小。本项目运营期不会对区域地下水产生大的不利影响。</w:t>
      </w:r>
    </w:p>
    <w:p w14:paraId="06470B51">
      <w:pPr>
        <w:pStyle w:val="4"/>
        <w:rPr>
          <w:color w:val="000000" w:themeColor="text1"/>
          <w14:textFill>
            <w14:solidFill>
              <w14:schemeClr w14:val="tx1"/>
            </w14:solidFill>
          </w14:textFill>
        </w:rPr>
      </w:pPr>
      <w:bookmarkStart w:id="720" w:name="_Toc216103424"/>
      <w:bookmarkStart w:id="721" w:name="_Toc136878519"/>
      <w:bookmarkStart w:id="722" w:name="_Toc135090253"/>
      <w:bookmarkStart w:id="723" w:name="_Toc216620583"/>
      <w:r>
        <w:rPr>
          <w:color w:val="000000" w:themeColor="text1"/>
          <w14:textFill>
            <w14:solidFill>
              <w14:schemeClr w14:val="tx1"/>
            </w14:solidFill>
          </w14:textFill>
        </w:rPr>
        <w:t>土壤环境影响分析</w:t>
      </w:r>
      <w:bookmarkEnd w:id="720"/>
      <w:bookmarkEnd w:id="721"/>
      <w:bookmarkEnd w:id="722"/>
      <w:bookmarkEnd w:id="723"/>
    </w:p>
    <w:p w14:paraId="06F90565">
      <w:pPr>
        <w:ind w:firstLine="480"/>
        <w:rPr>
          <w:b/>
          <w:bCs/>
          <w:color w:val="000000" w:themeColor="text1"/>
          <w14:textFill>
            <w14:solidFill>
              <w14:schemeClr w14:val="tx1"/>
            </w14:solidFill>
          </w14:textFill>
        </w:rPr>
      </w:pPr>
      <w:r>
        <w:rPr>
          <w:rFonts w:hint="eastAsia"/>
          <w:color w:val="000000" w:themeColor="text1"/>
          <w14:textFill>
            <w14:solidFill>
              <w14:schemeClr w14:val="tx1"/>
            </w14:solidFill>
          </w14:textFill>
        </w:rPr>
        <w:t>本扩建项目施工期均在已建成码头上施工，主要活动都集中在码头泊位上，施工期对项目及周边的土壤影响很小。拟建工程为密闭输送管线，位于已建成的钦州港金谷港区金鼓江作业区14号泊位上，项目只涉及海域不涉及陆域，且管线为架空布设，并做好了防腐防渗措施，码头平台采取钢筋混凝土结构，渗透系数较小。本项目运营期对土壤产生的影响很小</w:t>
      </w:r>
      <w:r>
        <w:rPr>
          <w:rFonts w:hint="eastAsia"/>
          <w:b/>
          <w:bCs/>
          <w:color w:val="000000" w:themeColor="text1"/>
          <w14:textFill>
            <w14:solidFill>
              <w14:schemeClr w14:val="tx1"/>
            </w14:solidFill>
          </w14:textFill>
        </w:rPr>
        <w:t>。</w:t>
      </w:r>
    </w:p>
    <w:p w14:paraId="1AC04411">
      <w:pPr>
        <w:pStyle w:val="4"/>
        <w:rPr>
          <w:color w:val="000000" w:themeColor="text1"/>
          <w14:textFill>
            <w14:solidFill>
              <w14:schemeClr w14:val="tx1"/>
            </w14:solidFill>
          </w14:textFill>
        </w:rPr>
      </w:pPr>
      <w:bookmarkStart w:id="724" w:name="_Toc216103425"/>
      <w:bookmarkStart w:id="725" w:name="_Toc216620584"/>
      <w:bookmarkStart w:id="726" w:name="_Toc25436995"/>
      <w:bookmarkStart w:id="727" w:name="_Toc136878520"/>
      <w:bookmarkStart w:id="728" w:name="_Toc26910041"/>
      <w:bookmarkStart w:id="729" w:name="_Toc135090254"/>
      <w:bookmarkStart w:id="730" w:name="_Toc29131854"/>
      <w:r>
        <w:rPr>
          <w:color w:val="000000" w:themeColor="text1"/>
          <w14:textFill>
            <w14:solidFill>
              <w14:schemeClr w14:val="tx1"/>
            </w14:solidFill>
          </w14:textFill>
        </w:rPr>
        <w:t>生态影响分析</w:t>
      </w:r>
      <w:bookmarkEnd w:id="724"/>
      <w:bookmarkEnd w:id="725"/>
      <w:bookmarkEnd w:id="726"/>
      <w:bookmarkEnd w:id="727"/>
      <w:bookmarkEnd w:id="728"/>
      <w:bookmarkEnd w:id="729"/>
      <w:bookmarkEnd w:id="730"/>
    </w:p>
    <w:p w14:paraId="190A5D6A">
      <w:pPr>
        <w:ind w:firstLine="48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本项目施工期不涉及水工施工，对水生生态影响很小</w:t>
      </w:r>
      <w:r>
        <w:rPr>
          <w:color w:val="000000" w:themeColor="text1"/>
          <w14:textFill>
            <w14:solidFill>
              <w14:schemeClr w14:val="tx1"/>
            </w14:solidFill>
          </w14:textFill>
        </w:rPr>
        <w:t>。拟建项目进入营运期后，对水生生物的影响主要为码头作业、船舶运行密度增加以及相关污染物排放可能会降低影响水域的生境质量，对受影响物种产生干扰。</w:t>
      </w:r>
    </w:p>
    <w:p w14:paraId="59FDAA8B">
      <w:pPr>
        <w:ind w:firstLine="480"/>
        <w:rPr>
          <w:color w:val="000000" w:themeColor="text1"/>
          <w14:textFill>
            <w14:solidFill>
              <w14:schemeClr w14:val="tx1"/>
            </w14:solidFill>
          </w14:textFill>
        </w:rPr>
      </w:pPr>
      <w:r>
        <w:rPr>
          <w:color w:val="000000" w:themeColor="text1"/>
          <w14:textFill>
            <w14:solidFill>
              <w14:schemeClr w14:val="tx1"/>
            </w14:solidFill>
          </w14:textFill>
        </w:rPr>
        <w:t>项目运营后，码头作业、船舶运行密度增加会产生噪声污染和对作业区水体产生扰动，易受人类活动影响和易受噪声惊扰的物种会远离码头水域，可能会导致码头水域的生物多样性降低。码头生活污水、冲洗废水和初期雨水经收集池收集后，进入周边污水处理厂进一步处理；港区固体废弃物经有关部门收集、集中处理，不会对金鼓江水环境造成污染。在相应环保措施落实的情况下，项目运营对金鼓江水环境的影响甚微，对水生生物的不利影响很小。</w:t>
      </w:r>
    </w:p>
    <w:p w14:paraId="4C747CC4">
      <w:pPr>
        <w:ind w:firstLine="480"/>
        <w:rPr>
          <w:color w:val="000000" w:themeColor="text1"/>
          <w14:textFill>
            <w14:solidFill>
              <w14:schemeClr w14:val="tx1"/>
            </w14:solidFill>
          </w14:textFill>
        </w:rPr>
      </w:pPr>
      <w:r>
        <w:rPr>
          <w:color w:val="000000" w:themeColor="text1"/>
          <w14:textFill>
            <w14:solidFill>
              <w14:schemeClr w14:val="tx1"/>
            </w14:solidFill>
          </w14:textFill>
        </w:rPr>
        <w:t>本项目营运期各项污水经妥善处理后，对周边生态敏感保护目标基本不造成不利影响。其主要影响发生在风险事故时化学品泄漏或燃料油</w:t>
      </w:r>
      <w:r>
        <w:rPr>
          <w:rFonts w:hint="eastAsia"/>
          <w:color w:val="000000" w:themeColor="text1"/>
          <w:lang w:eastAsia="zh-CN"/>
          <w14:textFill>
            <w14:solidFill>
              <w14:schemeClr w14:val="tx1"/>
            </w14:solidFill>
          </w14:textFill>
        </w:rPr>
        <w:t>泄漏</w:t>
      </w:r>
      <w:r>
        <w:rPr>
          <w:color w:val="000000" w:themeColor="text1"/>
          <w14:textFill>
            <w14:solidFill>
              <w14:schemeClr w14:val="tx1"/>
            </w14:solidFill>
          </w14:textFill>
        </w:rPr>
        <w:t>，在潮流作用下扩散至周边敏感区，其影响分析详见风险章节。</w:t>
      </w:r>
    </w:p>
    <w:p w14:paraId="4844F8F6">
      <w:pPr>
        <w:ind w:firstLine="480"/>
        <w:rPr>
          <w:color w:val="000000" w:themeColor="text1"/>
          <w14:textFill>
            <w14:solidFill>
              <w14:schemeClr w14:val="tx1"/>
            </w14:solidFill>
          </w14:textFill>
        </w:rPr>
        <w:sectPr>
          <w:headerReference r:id="rId30" w:type="default"/>
          <w:pgSz w:w="11906" w:h="16838"/>
          <w:pgMar w:top="1440" w:right="1800" w:bottom="1440" w:left="1800" w:header="851" w:footer="992" w:gutter="0"/>
          <w:pgBorders>
            <w:top w:val="none" w:sz="0" w:space="0"/>
            <w:left w:val="none" w:sz="0" w:space="0"/>
            <w:bottom w:val="none" w:sz="0" w:space="0"/>
            <w:right w:val="none" w:sz="0" w:space="0"/>
          </w:pgBorders>
          <w:pgNumType w:fmt="numberInDash"/>
          <w:cols w:space="720" w:num="1"/>
          <w:docGrid w:type="lines" w:linePitch="312" w:charSpace="0"/>
        </w:sectPr>
      </w:pPr>
    </w:p>
    <w:p w14:paraId="4E09C586">
      <w:pPr>
        <w:pStyle w:val="3"/>
        <w:jc w:val="left"/>
        <w:rPr>
          <w:color w:val="000000" w:themeColor="text1"/>
          <w14:textFill>
            <w14:solidFill>
              <w14:schemeClr w14:val="tx1"/>
            </w14:solidFill>
          </w14:textFill>
        </w:rPr>
      </w:pPr>
      <w:bookmarkStart w:id="731" w:name="_Toc216620585"/>
      <w:r>
        <w:rPr>
          <w:color w:val="000000" w:themeColor="text1"/>
          <w14:textFill>
            <w14:solidFill>
              <w14:schemeClr w14:val="tx1"/>
            </w14:solidFill>
          </w14:textFill>
        </w:rPr>
        <w:t>环境风险评价</w:t>
      </w:r>
      <w:bookmarkEnd w:id="731"/>
    </w:p>
    <w:p w14:paraId="5569128A">
      <w:pPr>
        <w:ind w:firstLine="480"/>
        <w:rPr>
          <w:color w:val="000000" w:themeColor="text1"/>
          <w14:textFill>
            <w14:solidFill>
              <w14:schemeClr w14:val="tx1"/>
            </w14:solidFill>
          </w14:textFill>
        </w:rPr>
      </w:pPr>
      <w:r>
        <w:rPr>
          <w:color w:val="000000" w:themeColor="text1"/>
          <w14:textFill>
            <w14:solidFill>
              <w14:schemeClr w14:val="tx1"/>
            </w14:solidFill>
          </w14:textFill>
        </w:rPr>
        <w:t>按照《建设项目环境风险评价技术导则》(HJ169-2018)的要求，环境风险评价的目的是分析和预测本项目存在的潜在危险、有害因素，项目建设和运行期间可能发生的突发性事件或事故（一般不包括人为破坏及自然灾害），引起有毒有害和易燃易爆等物质泄漏，所造成的人身安全与环境影响和损害程度，提出合理可行的防范、应急与减缓措施，以使项目事故率、损失和环境影响达到可接受水平。环境风险评价应把事故引起厂（场）界外人群的伤害、环境质量的恶化及对生态系统影响的预测和防护作为评价工作重点。本环评通过风险识别、风险源项分析和环境风险后果预测分析，了解项目的环境风险可接受程度，并提出环境风险防范措施及应急预案，以使项目的环境风险降至最低。</w:t>
      </w:r>
    </w:p>
    <w:p w14:paraId="3CAD46EF">
      <w:pPr>
        <w:pStyle w:val="5"/>
        <w:rPr>
          <w:color w:val="000000" w:themeColor="text1"/>
          <w14:textFill>
            <w14:solidFill>
              <w14:schemeClr w14:val="tx1"/>
            </w14:solidFill>
          </w14:textFill>
        </w:rPr>
      </w:pPr>
      <w:r>
        <w:rPr>
          <w:color w:val="000000" w:themeColor="text1"/>
          <w14:textFill>
            <w14:solidFill>
              <w14:schemeClr w14:val="tx1"/>
            </w14:solidFill>
          </w14:textFill>
        </w:rPr>
        <w:t>风险调查</w:t>
      </w:r>
    </w:p>
    <w:p w14:paraId="77BC0C5A">
      <w:pPr>
        <w:pStyle w:val="4"/>
        <w:rPr>
          <w:color w:val="000000" w:themeColor="text1"/>
          <w14:textFill>
            <w14:solidFill>
              <w14:schemeClr w14:val="tx1"/>
            </w14:solidFill>
          </w14:textFill>
        </w:rPr>
      </w:pPr>
      <w:r>
        <w:rPr>
          <w:color w:val="000000" w:themeColor="text1"/>
          <w14:textFill>
            <w14:solidFill>
              <w14:schemeClr w14:val="tx1"/>
            </w14:solidFill>
          </w14:textFill>
        </w:rPr>
        <w:t>项目风险源调查</w:t>
      </w:r>
    </w:p>
    <w:p w14:paraId="2473A76C">
      <w:pPr>
        <w:ind w:firstLine="480"/>
        <w:rPr>
          <w:color w:val="000000" w:themeColor="text1"/>
          <w14:textFill>
            <w14:solidFill>
              <w14:schemeClr w14:val="tx1"/>
            </w14:solidFill>
          </w14:textFill>
        </w:rPr>
      </w:pPr>
      <w:r>
        <w:rPr>
          <w:color w:val="000000" w:themeColor="text1"/>
          <w14:textFill>
            <w14:solidFill>
              <w14:schemeClr w14:val="tx1"/>
            </w14:solidFill>
          </w14:textFill>
        </w:rPr>
        <w:t>（1）危险物质</w:t>
      </w:r>
    </w:p>
    <w:p w14:paraId="57BA04AF">
      <w:pPr>
        <w:ind w:firstLine="48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本扩建项目涉及装卸货种为新增苯乙烯、裂解C9、棕榈酸化油、脂肪酸甲酯、脂肪酸混合物、工业级混合油、纯生物柴油、航空煤油、液硫、碱液、发烟硫酸、硫酸，这些货种的管道输送形态、常温下形态均为液体。一旦发生泄漏、火灾、爆炸事故，会对环境和人体健康造成危害。</w:t>
      </w:r>
    </w:p>
    <w:p w14:paraId="6A85E008">
      <w:pPr>
        <w:ind w:firstLine="480"/>
        <w:rPr>
          <w:color w:val="000000" w:themeColor="text1"/>
          <w14:textFill>
            <w14:solidFill>
              <w14:schemeClr w14:val="tx1"/>
            </w14:solidFill>
          </w14:textFill>
        </w:rPr>
      </w:pPr>
      <w:r>
        <w:rPr>
          <w:color w:val="000000" w:themeColor="text1"/>
          <w14:textFill>
            <w14:solidFill>
              <w14:schemeClr w14:val="tx1"/>
            </w14:solidFill>
          </w14:textFill>
        </w:rPr>
        <w:t>本项目所涉及的风险物质主要为码头接卸及码头停靠船舶所使用</w:t>
      </w:r>
      <w:r>
        <w:rPr>
          <w:rFonts w:hint="eastAsia"/>
          <w:color w:val="000000" w:themeColor="text1"/>
          <w:lang w:eastAsia="zh-CN"/>
          <w14:textFill>
            <w14:solidFill>
              <w14:schemeClr w14:val="tx1"/>
            </w14:solidFill>
          </w14:textFill>
        </w:rPr>
        <w:t>的</w:t>
      </w:r>
      <w:r>
        <w:rPr>
          <w:color w:val="000000" w:themeColor="text1"/>
          <w14:textFill>
            <w14:solidFill>
              <w14:schemeClr w14:val="tx1"/>
            </w14:solidFill>
          </w14:textFill>
        </w:rPr>
        <w:t>燃料油。根据《建设项目环境风险评价技术导则》（HJ169-2018）附录B对项目所涉及的危险物质进行调查和识别，筛选出工程重点关注危险物质的数量和分布情况见下表。</w:t>
      </w:r>
    </w:p>
    <w:p w14:paraId="6160B306">
      <w:pPr>
        <w:ind w:firstLine="480"/>
        <w:rPr>
          <w:color w:val="000000" w:themeColor="text1"/>
          <w14:textFill>
            <w14:solidFill>
              <w14:schemeClr w14:val="tx1"/>
            </w14:solidFill>
          </w14:textFill>
        </w:rPr>
      </w:pPr>
    </w:p>
    <w:p w14:paraId="6A060877">
      <w:pPr>
        <w:ind w:firstLine="480"/>
        <w:rPr>
          <w:color w:val="000000" w:themeColor="text1"/>
          <w14:textFill>
            <w14:solidFill>
              <w14:schemeClr w14:val="tx1"/>
            </w14:solidFill>
          </w14:textFill>
        </w:rPr>
        <w:sectPr>
          <w:headerReference r:id="rId31" w:type="default"/>
          <w:pgSz w:w="11906" w:h="16838"/>
          <w:pgMar w:top="1440" w:right="1800" w:bottom="1440" w:left="1800" w:header="851" w:footer="680" w:gutter="0"/>
          <w:pgBorders>
            <w:top w:val="none" w:sz="0" w:space="0"/>
            <w:left w:val="none" w:sz="0" w:space="0"/>
            <w:bottom w:val="none" w:sz="0" w:space="0"/>
            <w:right w:val="none" w:sz="0" w:space="0"/>
          </w:pgBorders>
          <w:pgNumType w:fmt="numberInDash"/>
          <w:cols w:space="720" w:num="1"/>
          <w:docGrid w:type="lines" w:linePitch="312" w:charSpace="0"/>
        </w:sectPr>
      </w:pPr>
    </w:p>
    <w:p w14:paraId="5B93D8DD">
      <w:pPr>
        <w:pStyle w:val="7"/>
        <w:rPr>
          <w:color w:val="000000" w:themeColor="text1"/>
          <w:u w:val="single"/>
          <w14:textFill>
            <w14:solidFill>
              <w14:schemeClr w14:val="tx1"/>
            </w14:solidFill>
          </w14:textFill>
        </w:rPr>
      </w:pPr>
      <w:r>
        <w:rPr>
          <w:color w:val="000000" w:themeColor="text1"/>
          <w:u w:val="single"/>
          <w14:textFill>
            <w14:solidFill>
              <w14:schemeClr w14:val="tx1"/>
            </w14:solidFill>
          </w14:textFill>
        </w:rPr>
        <w:t>项目危险源识别表</w:t>
      </w:r>
    </w:p>
    <w:tbl>
      <w:tblPr>
        <w:tblStyle w:val="43"/>
        <w:tblW w:w="5023"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530"/>
        <w:gridCol w:w="2019"/>
        <w:gridCol w:w="1276"/>
        <w:gridCol w:w="1133"/>
        <w:gridCol w:w="1276"/>
        <w:gridCol w:w="1276"/>
        <w:gridCol w:w="1418"/>
        <w:gridCol w:w="1276"/>
        <w:gridCol w:w="1840"/>
        <w:gridCol w:w="854"/>
        <w:gridCol w:w="1341"/>
      </w:tblGrid>
      <w:tr w14:paraId="26F0967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186" w:type="pct"/>
            <w:vAlign w:val="center"/>
          </w:tcPr>
          <w:p w14:paraId="4B98C2B5">
            <w:pPr>
              <w:adjustRightInd w:val="0"/>
              <w:snapToGrid w:val="0"/>
              <w:spacing w:line="240" w:lineRule="auto"/>
              <w:ind w:firstLine="0" w:firstLineChars="0"/>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序号</w:t>
            </w:r>
          </w:p>
        </w:tc>
        <w:tc>
          <w:tcPr>
            <w:tcW w:w="709" w:type="pct"/>
            <w:vAlign w:val="center"/>
          </w:tcPr>
          <w:p w14:paraId="080900E0">
            <w:pPr>
              <w:adjustRightInd w:val="0"/>
              <w:snapToGrid w:val="0"/>
              <w:spacing w:line="240" w:lineRule="auto"/>
              <w:ind w:firstLine="0" w:firstLineChars="0"/>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危险物质</w:t>
            </w:r>
          </w:p>
        </w:tc>
        <w:tc>
          <w:tcPr>
            <w:tcW w:w="448" w:type="pct"/>
            <w:vAlign w:val="center"/>
          </w:tcPr>
          <w:p w14:paraId="3D93F082">
            <w:pPr>
              <w:adjustRightInd w:val="0"/>
              <w:snapToGrid w:val="0"/>
              <w:spacing w:line="240" w:lineRule="auto"/>
              <w:ind w:firstLine="198" w:firstLineChars="94"/>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CAS号</w:t>
            </w:r>
          </w:p>
        </w:tc>
        <w:tc>
          <w:tcPr>
            <w:tcW w:w="398" w:type="pct"/>
            <w:vAlign w:val="center"/>
          </w:tcPr>
          <w:p w14:paraId="595C8E61">
            <w:pPr>
              <w:adjustRightInd w:val="0"/>
              <w:snapToGrid w:val="0"/>
              <w:spacing w:line="240" w:lineRule="auto"/>
              <w:ind w:firstLine="0" w:firstLineChars="0"/>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密度kg/m</w:t>
            </w:r>
            <w:r>
              <w:rPr>
                <w:b/>
                <w:bCs/>
                <w:color w:val="000000" w:themeColor="text1"/>
                <w:sz w:val="21"/>
                <w:szCs w:val="21"/>
                <w:vertAlign w:val="superscript"/>
                <w14:textFill>
                  <w14:solidFill>
                    <w14:schemeClr w14:val="tx1"/>
                  </w14:solidFill>
                </w14:textFill>
              </w:rPr>
              <w:t>3</w:t>
            </w:r>
          </w:p>
        </w:tc>
        <w:tc>
          <w:tcPr>
            <w:tcW w:w="448" w:type="pct"/>
            <w:vAlign w:val="center"/>
          </w:tcPr>
          <w:p w14:paraId="44D9AD7D">
            <w:pPr>
              <w:adjustRightInd w:val="0"/>
              <w:snapToGrid w:val="0"/>
              <w:spacing w:line="240" w:lineRule="auto"/>
              <w:ind w:firstLine="0" w:firstLineChars="0"/>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公称直径（</w:t>
            </w:r>
            <w:r>
              <w:rPr>
                <w:rFonts w:hint="eastAsia"/>
                <w:b/>
                <w:bCs/>
                <w:color w:val="000000" w:themeColor="text1"/>
                <w:sz w:val="21"/>
                <w:szCs w:val="21"/>
                <w14:textFill>
                  <w14:solidFill>
                    <w14:schemeClr w14:val="tx1"/>
                  </w14:solidFill>
                </w14:textFill>
              </w:rPr>
              <w:t>m</w:t>
            </w:r>
            <w:r>
              <w:rPr>
                <w:b/>
                <w:bCs/>
                <w:color w:val="000000" w:themeColor="text1"/>
                <w:sz w:val="21"/>
                <w:szCs w:val="21"/>
                <w14:textFill>
                  <w14:solidFill>
                    <w14:schemeClr w14:val="tx1"/>
                  </w14:solidFill>
                </w14:textFill>
              </w:rPr>
              <w:t>m）</w:t>
            </w:r>
          </w:p>
        </w:tc>
        <w:tc>
          <w:tcPr>
            <w:tcW w:w="448" w:type="pct"/>
            <w:vAlign w:val="center"/>
          </w:tcPr>
          <w:p w14:paraId="75804E42">
            <w:pPr>
              <w:adjustRightInd w:val="0"/>
              <w:snapToGrid w:val="0"/>
              <w:spacing w:line="240" w:lineRule="auto"/>
              <w:ind w:firstLine="0" w:firstLineChars="0"/>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长度（m）</w:t>
            </w:r>
          </w:p>
        </w:tc>
        <w:tc>
          <w:tcPr>
            <w:tcW w:w="498" w:type="pct"/>
            <w:vAlign w:val="center"/>
          </w:tcPr>
          <w:p w14:paraId="545CE010">
            <w:pPr>
              <w:adjustRightInd w:val="0"/>
              <w:snapToGrid w:val="0"/>
              <w:spacing w:line="240" w:lineRule="auto"/>
              <w:ind w:firstLine="0" w:firstLineChars="0"/>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在线量/存在量（t）</w:t>
            </w:r>
          </w:p>
        </w:tc>
        <w:tc>
          <w:tcPr>
            <w:tcW w:w="448" w:type="pct"/>
            <w:vAlign w:val="center"/>
          </w:tcPr>
          <w:p w14:paraId="3D83AA30">
            <w:pPr>
              <w:adjustRightInd w:val="0"/>
              <w:snapToGrid w:val="0"/>
              <w:spacing w:line="240" w:lineRule="auto"/>
              <w:ind w:firstLine="0" w:firstLineChars="0"/>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是否属于风险物质</w:t>
            </w:r>
          </w:p>
        </w:tc>
        <w:tc>
          <w:tcPr>
            <w:tcW w:w="646" w:type="pct"/>
            <w:vAlign w:val="center"/>
          </w:tcPr>
          <w:p w14:paraId="0EFC1517">
            <w:pPr>
              <w:adjustRightInd w:val="0"/>
              <w:snapToGrid w:val="0"/>
              <w:spacing w:line="240" w:lineRule="auto"/>
              <w:ind w:firstLine="0" w:firstLineChars="0"/>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HJ169-2018附录B表B.1序号</w:t>
            </w:r>
          </w:p>
        </w:tc>
        <w:tc>
          <w:tcPr>
            <w:tcW w:w="300" w:type="pct"/>
            <w:vAlign w:val="center"/>
          </w:tcPr>
          <w:p w14:paraId="04FB7021">
            <w:pPr>
              <w:adjustRightInd w:val="0"/>
              <w:snapToGrid w:val="0"/>
              <w:spacing w:line="240" w:lineRule="auto"/>
              <w:ind w:firstLine="0" w:firstLineChars="0"/>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临界量</w:t>
            </w:r>
          </w:p>
          <w:p w14:paraId="4E8FB9CA">
            <w:pPr>
              <w:adjustRightInd w:val="0"/>
              <w:snapToGrid w:val="0"/>
              <w:spacing w:line="240" w:lineRule="auto"/>
              <w:ind w:firstLine="0" w:firstLineChars="0"/>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（t）</w:t>
            </w:r>
          </w:p>
        </w:tc>
        <w:tc>
          <w:tcPr>
            <w:tcW w:w="471" w:type="pct"/>
            <w:vAlign w:val="center"/>
          </w:tcPr>
          <w:p w14:paraId="7D02B6E0">
            <w:pPr>
              <w:adjustRightInd w:val="0"/>
              <w:snapToGrid w:val="0"/>
              <w:spacing w:line="240" w:lineRule="auto"/>
              <w:ind w:firstLine="0" w:firstLineChars="0"/>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备注</w:t>
            </w:r>
          </w:p>
        </w:tc>
      </w:tr>
      <w:tr w14:paraId="73AF113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86" w:type="pct"/>
            <w:vMerge w:val="restart"/>
            <w:vAlign w:val="center"/>
          </w:tcPr>
          <w:p w14:paraId="08F9FC8D">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w:t>
            </w:r>
          </w:p>
        </w:tc>
        <w:tc>
          <w:tcPr>
            <w:tcW w:w="709" w:type="pct"/>
            <w:vMerge w:val="restart"/>
            <w:vAlign w:val="center"/>
          </w:tcPr>
          <w:p w14:paraId="56300970">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苯乙烯</w:t>
            </w:r>
          </w:p>
        </w:tc>
        <w:tc>
          <w:tcPr>
            <w:tcW w:w="448" w:type="pct"/>
            <w:vMerge w:val="restart"/>
            <w:vAlign w:val="center"/>
          </w:tcPr>
          <w:p w14:paraId="47DB7158">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100-42-5</w:t>
            </w:r>
          </w:p>
        </w:tc>
        <w:tc>
          <w:tcPr>
            <w:tcW w:w="398" w:type="pct"/>
            <w:vMerge w:val="restart"/>
            <w:vAlign w:val="center"/>
          </w:tcPr>
          <w:p w14:paraId="67049CC7">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906</w:t>
            </w:r>
          </w:p>
        </w:tc>
        <w:tc>
          <w:tcPr>
            <w:tcW w:w="448" w:type="pct"/>
            <w:vAlign w:val="center"/>
          </w:tcPr>
          <w:p w14:paraId="1B5C15CE">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200</w:t>
            </w:r>
          </w:p>
        </w:tc>
        <w:tc>
          <w:tcPr>
            <w:tcW w:w="448" w:type="pct"/>
            <w:vAlign w:val="center"/>
          </w:tcPr>
          <w:p w14:paraId="0B59E39E">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100</w:t>
            </w:r>
          </w:p>
        </w:tc>
        <w:tc>
          <w:tcPr>
            <w:tcW w:w="498" w:type="pct"/>
            <w:vAlign w:val="center"/>
          </w:tcPr>
          <w:p w14:paraId="2CF4E30D">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eastAsia="等线"/>
                <w:color w:val="000000" w:themeColor="text1"/>
                <w:sz w:val="21"/>
                <w:szCs w:val="21"/>
                <w14:textFill>
                  <w14:solidFill>
                    <w14:schemeClr w14:val="tx1"/>
                  </w14:solidFill>
                </w14:textFill>
              </w:rPr>
              <w:t xml:space="preserve">28.45 </w:t>
            </w:r>
          </w:p>
        </w:tc>
        <w:tc>
          <w:tcPr>
            <w:tcW w:w="448" w:type="pct"/>
            <w:vAlign w:val="center"/>
          </w:tcPr>
          <w:p w14:paraId="5F8C7CC8">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是</w:t>
            </w:r>
          </w:p>
        </w:tc>
        <w:tc>
          <w:tcPr>
            <w:tcW w:w="646" w:type="pct"/>
            <w:vMerge w:val="restart"/>
            <w:vAlign w:val="center"/>
          </w:tcPr>
          <w:p w14:paraId="25AEEDF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69</w:t>
            </w:r>
          </w:p>
        </w:tc>
        <w:tc>
          <w:tcPr>
            <w:tcW w:w="300" w:type="pct"/>
            <w:vAlign w:val="center"/>
          </w:tcPr>
          <w:p w14:paraId="383E44C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10</w:t>
            </w:r>
          </w:p>
        </w:tc>
        <w:tc>
          <w:tcPr>
            <w:tcW w:w="471" w:type="pct"/>
            <w:vAlign w:val="center"/>
          </w:tcPr>
          <w:p w14:paraId="62CD7146">
            <w:pPr>
              <w:adjustRightInd w:val="0"/>
              <w:snapToGrid w:val="0"/>
              <w:spacing w:line="240" w:lineRule="auto"/>
              <w:ind w:firstLine="0" w:firstLineChars="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管线内</w:t>
            </w:r>
          </w:p>
        </w:tc>
      </w:tr>
      <w:tr w14:paraId="5080E80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86" w:type="pct"/>
            <w:vMerge w:val="continue"/>
            <w:vAlign w:val="center"/>
          </w:tcPr>
          <w:p w14:paraId="2EEEE5CD">
            <w:pPr>
              <w:adjustRightInd w:val="0"/>
              <w:snapToGrid w:val="0"/>
              <w:spacing w:line="240" w:lineRule="auto"/>
              <w:ind w:firstLine="420"/>
              <w:jc w:val="center"/>
              <w:rPr>
                <w:color w:val="000000" w:themeColor="text1"/>
                <w:sz w:val="21"/>
                <w:szCs w:val="21"/>
                <w14:textFill>
                  <w14:solidFill>
                    <w14:schemeClr w14:val="tx1"/>
                  </w14:solidFill>
                </w14:textFill>
              </w:rPr>
            </w:pPr>
          </w:p>
        </w:tc>
        <w:tc>
          <w:tcPr>
            <w:tcW w:w="709" w:type="pct"/>
            <w:vMerge w:val="continue"/>
            <w:vAlign w:val="center"/>
          </w:tcPr>
          <w:p w14:paraId="6ED4B05E">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448" w:type="pct"/>
            <w:vMerge w:val="continue"/>
            <w:vAlign w:val="center"/>
          </w:tcPr>
          <w:p w14:paraId="7C7F9D90">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398" w:type="pct"/>
            <w:vMerge w:val="continue"/>
            <w:vAlign w:val="center"/>
          </w:tcPr>
          <w:p w14:paraId="79A5F24D">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448" w:type="pct"/>
            <w:vAlign w:val="center"/>
          </w:tcPr>
          <w:p w14:paraId="32DDDD3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448" w:type="pct"/>
            <w:vAlign w:val="center"/>
          </w:tcPr>
          <w:p w14:paraId="788AC1C2">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498" w:type="pct"/>
            <w:vAlign w:val="center"/>
          </w:tcPr>
          <w:p w14:paraId="1645B908">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eastAsia="等线"/>
                <w:color w:val="000000" w:themeColor="text1"/>
                <w:sz w:val="21"/>
                <w:szCs w:val="21"/>
                <w14:textFill>
                  <w14:solidFill>
                    <w14:schemeClr w14:val="tx1"/>
                  </w14:solidFill>
                </w14:textFill>
              </w:rPr>
              <w:t xml:space="preserve">963.08 </w:t>
            </w:r>
          </w:p>
        </w:tc>
        <w:tc>
          <w:tcPr>
            <w:tcW w:w="448" w:type="pct"/>
            <w:vAlign w:val="center"/>
          </w:tcPr>
          <w:p w14:paraId="675CE10E">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是</w:t>
            </w:r>
          </w:p>
        </w:tc>
        <w:tc>
          <w:tcPr>
            <w:tcW w:w="646" w:type="pct"/>
            <w:vMerge w:val="continue"/>
            <w:vAlign w:val="center"/>
          </w:tcPr>
          <w:p w14:paraId="5C67FA8F">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300" w:type="pct"/>
            <w:vAlign w:val="center"/>
          </w:tcPr>
          <w:p w14:paraId="6B5E5799">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10</w:t>
            </w:r>
          </w:p>
        </w:tc>
        <w:tc>
          <w:tcPr>
            <w:tcW w:w="471" w:type="pct"/>
            <w:vAlign w:val="center"/>
          </w:tcPr>
          <w:p w14:paraId="7999531D">
            <w:pPr>
              <w:adjustRightInd w:val="0"/>
              <w:snapToGrid w:val="0"/>
              <w:spacing w:line="240" w:lineRule="auto"/>
              <w:ind w:firstLine="0" w:firstLineChars="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船舱内，</w:t>
            </w:r>
            <w:r>
              <w:rPr>
                <w:rFonts w:hint="eastAsia"/>
                <w:color w:val="000000" w:themeColor="text1"/>
                <w:sz w:val="18"/>
                <w:szCs w:val="18"/>
                <w14:textFill>
                  <w14:solidFill>
                    <w14:schemeClr w14:val="tx1"/>
                  </w14:solidFill>
                </w14:textFill>
              </w:rPr>
              <w:t>10000吨船</w:t>
            </w:r>
          </w:p>
        </w:tc>
      </w:tr>
      <w:tr w14:paraId="6128A7D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86" w:type="pct"/>
            <w:vMerge w:val="restart"/>
            <w:vAlign w:val="center"/>
          </w:tcPr>
          <w:p w14:paraId="47A5A7DE">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w:t>
            </w:r>
          </w:p>
        </w:tc>
        <w:tc>
          <w:tcPr>
            <w:tcW w:w="709" w:type="pct"/>
            <w:vMerge w:val="restart"/>
            <w:vAlign w:val="center"/>
          </w:tcPr>
          <w:p w14:paraId="36F1E91D">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裂解C9</w:t>
            </w:r>
          </w:p>
          <w:p w14:paraId="73B76EC6">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448" w:type="pct"/>
            <w:vMerge w:val="restart"/>
            <w:vAlign w:val="center"/>
          </w:tcPr>
          <w:p w14:paraId="6F50CD9F">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398" w:type="pct"/>
            <w:vMerge w:val="restart"/>
            <w:vAlign w:val="center"/>
          </w:tcPr>
          <w:p w14:paraId="1C1CDD00">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970</w:t>
            </w:r>
          </w:p>
        </w:tc>
        <w:tc>
          <w:tcPr>
            <w:tcW w:w="448" w:type="pct"/>
            <w:vAlign w:val="center"/>
          </w:tcPr>
          <w:p w14:paraId="397A4BAE">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300</w:t>
            </w:r>
          </w:p>
        </w:tc>
        <w:tc>
          <w:tcPr>
            <w:tcW w:w="448" w:type="pct"/>
            <w:vAlign w:val="center"/>
          </w:tcPr>
          <w:p w14:paraId="59F7DA6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100</w:t>
            </w:r>
          </w:p>
        </w:tc>
        <w:tc>
          <w:tcPr>
            <w:tcW w:w="498" w:type="pct"/>
            <w:vAlign w:val="center"/>
          </w:tcPr>
          <w:p w14:paraId="5ECAF7C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eastAsia="等线"/>
                <w:color w:val="000000" w:themeColor="text1"/>
                <w:sz w:val="21"/>
                <w:szCs w:val="21"/>
                <w14:textFill>
                  <w14:solidFill>
                    <w14:schemeClr w14:val="tx1"/>
                  </w14:solidFill>
                </w14:textFill>
              </w:rPr>
              <w:t xml:space="preserve">45.69 </w:t>
            </w:r>
          </w:p>
        </w:tc>
        <w:tc>
          <w:tcPr>
            <w:tcW w:w="448" w:type="pct"/>
            <w:vAlign w:val="center"/>
          </w:tcPr>
          <w:p w14:paraId="093B7C9E">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是</w:t>
            </w:r>
          </w:p>
        </w:tc>
        <w:tc>
          <w:tcPr>
            <w:tcW w:w="646" w:type="pct"/>
            <w:vMerge w:val="restart"/>
            <w:vAlign w:val="center"/>
          </w:tcPr>
          <w:p w14:paraId="6766DEA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表B.2（类别2）</w:t>
            </w:r>
          </w:p>
        </w:tc>
        <w:tc>
          <w:tcPr>
            <w:tcW w:w="300" w:type="pct"/>
            <w:vAlign w:val="center"/>
          </w:tcPr>
          <w:p w14:paraId="17DF74AF">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50</w:t>
            </w:r>
          </w:p>
        </w:tc>
        <w:tc>
          <w:tcPr>
            <w:tcW w:w="471" w:type="pct"/>
            <w:vAlign w:val="center"/>
          </w:tcPr>
          <w:p w14:paraId="1B24DFDA">
            <w:pPr>
              <w:adjustRightInd w:val="0"/>
              <w:snapToGrid w:val="0"/>
              <w:spacing w:line="240" w:lineRule="auto"/>
              <w:ind w:firstLine="0" w:firstLineChars="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管线内</w:t>
            </w:r>
          </w:p>
        </w:tc>
      </w:tr>
      <w:tr w14:paraId="31FE6FA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86" w:type="pct"/>
            <w:vMerge w:val="continue"/>
            <w:vAlign w:val="center"/>
          </w:tcPr>
          <w:p w14:paraId="325BC660">
            <w:pPr>
              <w:adjustRightInd w:val="0"/>
              <w:snapToGrid w:val="0"/>
              <w:spacing w:line="240" w:lineRule="auto"/>
              <w:ind w:firstLine="420"/>
              <w:jc w:val="center"/>
              <w:rPr>
                <w:color w:val="000000" w:themeColor="text1"/>
                <w:sz w:val="21"/>
                <w:szCs w:val="21"/>
                <w14:textFill>
                  <w14:solidFill>
                    <w14:schemeClr w14:val="tx1"/>
                  </w14:solidFill>
                </w14:textFill>
              </w:rPr>
            </w:pPr>
          </w:p>
        </w:tc>
        <w:tc>
          <w:tcPr>
            <w:tcW w:w="709" w:type="pct"/>
            <w:vMerge w:val="continue"/>
            <w:vAlign w:val="center"/>
          </w:tcPr>
          <w:p w14:paraId="49002E14">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448" w:type="pct"/>
            <w:vMerge w:val="continue"/>
            <w:vAlign w:val="center"/>
          </w:tcPr>
          <w:p w14:paraId="3B57D690">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398" w:type="pct"/>
            <w:vMerge w:val="continue"/>
            <w:vAlign w:val="center"/>
          </w:tcPr>
          <w:p w14:paraId="243C0ADD">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448" w:type="pct"/>
            <w:vAlign w:val="center"/>
          </w:tcPr>
          <w:p w14:paraId="156948E7">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448" w:type="pct"/>
            <w:vAlign w:val="center"/>
          </w:tcPr>
          <w:p w14:paraId="2A080778">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498" w:type="pct"/>
            <w:vAlign w:val="center"/>
          </w:tcPr>
          <w:p w14:paraId="0EB3CD8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eastAsia="等线"/>
                <w:color w:val="000000" w:themeColor="text1"/>
                <w:sz w:val="21"/>
                <w:szCs w:val="21"/>
                <w14:textFill>
                  <w14:solidFill>
                    <w14:schemeClr w14:val="tx1"/>
                  </w14:solidFill>
                </w14:textFill>
              </w:rPr>
              <w:t xml:space="preserve">1031.11 </w:t>
            </w:r>
          </w:p>
        </w:tc>
        <w:tc>
          <w:tcPr>
            <w:tcW w:w="448" w:type="pct"/>
            <w:vAlign w:val="center"/>
          </w:tcPr>
          <w:p w14:paraId="5CE1D977">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是</w:t>
            </w:r>
          </w:p>
        </w:tc>
        <w:tc>
          <w:tcPr>
            <w:tcW w:w="646" w:type="pct"/>
            <w:vMerge w:val="continue"/>
            <w:vAlign w:val="center"/>
          </w:tcPr>
          <w:p w14:paraId="3E6128D7">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300" w:type="pct"/>
            <w:vAlign w:val="center"/>
          </w:tcPr>
          <w:p w14:paraId="76411AEE">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50</w:t>
            </w:r>
          </w:p>
        </w:tc>
        <w:tc>
          <w:tcPr>
            <w:tcW w:w="471" w:type="pct"/>
            <w:vAlign w:val="center"/>
          </w:tcPr>
          <w:p w14:paraId="216F2303">
            <w:pPr>
              <w:adjustRightInd w:val="0"/>
              <w:snapToGrid w:val="0"/>
              <w:spacing w:line="240" w:lineRule="auto"/>
              <w:ind w:firstLine="0" w:firstLineChars="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船舱内，</w:t>
            </w:r>
            <w:r>
              <w:rPr>
                <w:rFonts w:hint="eastAsia"/>
                <w:color w:val="000000" w:themeColor="text1"/>
                <w:sz w:val="18"/>
                <w:szCs w:val="18"/>
                <w14:textFill>
                  <w14:solidFill>
                    <w14:schemeClr w14:val="tx1"/>
                  </w14:solidFill>
                </w14:textFill>
              </w:rPr>
              <w:t>10000吨船</w:t>
            </w:r>
          </w:p>
        </w:tc>
      </w:tr>
      <w:tr w14:paraId="511C7F0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86" w:type="pct"/>
            <w:vMerge w:val="restart"/>
            <w:vAlign w:val="center"/>
          </w:tcPr>
          <w:p w14:paraId="35967527">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w:t>
            </w:r>
          </w:p>
        </w:tc>
        <w:tc>
          <w:tcPr>
            <w:tcW w:w="709" w:type="pct"/>
            <w:vMerge w:val="restart"/>
            <w:vAlign w:val="center"/>
          </w:tcPr>
          <w:p w14:paraId="308B1C6E">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棕榈酸化油</w:t>
            </w:r>
          </w:p>
        </w:tc>
        <w:tc>
          <w:tcPr>
            <w:tcW w:w="448" w:type="pct"/>
            <w:vMerge w:val="restart"/>
            <w:vAlign w:val="center"/>
          </w:tcPr>
          <w:p w14:paraId="142A990A">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398" w:type="pct"/>
            <w:vMerge w:val="restart"/>
            <w:vAlign w:val="center"/>
          </w:tcPr>
          <w:p w14:paraId="40B9565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880</w:t>
            </w:r>
          </w:p>
        </w:tc>
        <w:tc>
          <w:tcPr>
            <w:tcW w:w="448" w:type="pct"/>
            <w:vAlign w:val="center"/>
          </w:tcPr>
          <w:p w14:paraId="31F4FAB2">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300</w:t>
            </w:r>
          </w:p>
        </w:tc>
        <w:tc>
          <w:tcPr>
            <w:tcW w:w="448" w:type="pct"/>
            <w:vAlign w:val="center"/>
          </w:tcPr>
          <w:p w14:paraId="3F16AA32">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100</w:t>
            </w:r>
          </w:p>
        </w:tc>
        <w:tc>
          <w:tcPr>
            <w:tcW w:w="498" w:type="pct"/>
            <w:vAlign w:val="center"/>
          </w:tcPr>
          <w:p w14:paraId="263E9484">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eastAsia="等线"/>
                <w:color w:val="000000" w:themeColor="text1"/>
                <w:sz w:val="21"/>
                <w:szCs w:val="21"/>
                <w14:textFill>
                  <w14:solidFill>
                    <w14:schemeClr w14:val="tx1"/>
                  </w14:solidFill>
                </w14:textFill>
              </w:rPr>
              <w:t xml:space="preserve">41.45 </w:t>
            </w:r>
          </w:p>
        </w:tc>
        <w:tc>
          <w:tcPr>
            <w:tcW w:w="448" w:type="pct"/>
            <w:vAlign w:val="center"/>
          </w:tcPr>
          <w:p w14:paraId="5241D8C8">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否</w:t>
            </w:r>
          </w:p>
        </w:tc>
        <w:tc>
          <w:tcPr>
            <w:tcW w:w="646" w:type="pct"/>
            <w:vMerge w:val="restart"/>
            <w:vAlign w:val="center"/>
          </w:tcPr>
          <w:p w14:paraId="52ACEEF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表B.1、B.2（以饱和脂肪酸为主）</w:t>
            </w:r>
          </w:p>
        </w:tc>
        <w:tc>
          <w:tcPr>
            <w:tcW w:w="300" w:type="pct"/>
            <w:vAlign w:val="center"/>
          </w:tcPr>
          <w:p w14:paraId="20B5E539">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471" w:type="pct"/>
            <w:vAlign w:val="center"/>
          </w:tcPr>
          <w:p w14:paraId="520B4B94">
            <w:pPr>
              <w:adjustRightInd w:val="0"/>
              <w:snapToGrid w:val="0"/>
              <w:spacing w:line="240" w:lineRule="auto"/>
              <w:ind w:firstLine="0" w:firstLineChars="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管线内</w:t>
            </w:r>
          </w:p>
        </w:tc>
      </w:tr>
      <w:tr w14:paraId="5E07A3E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86" w:type="pct"/>
            <w:vMerge w:val="continue"/>
            <w:vAlign w:val="center"/>
          </w:tcPr>
          <w:p w14:paraId="681F9F10">
            <w:pPr>
              <w:adjustRightInd w:val="0"/>
              <w:snapToGrid w:val="0"/>
              <w:spacing w:line="240" w:lineRule="auto"/>
              <w:ind w:firstLine="420"/>
              <w:jc w:val="center"/>
              <w:rPr>
                <w:color w:val="000000" w:themeColor="text1"/>
                <w:sz w:val="21"/>
                <w:szCs w:val="21"/>
                <w14:textFill>
                  <w14:solidFill>
                    <w14:schemeClr w14:val="tx1"/>
                  </w14:solidFill>
                </w14:textFill>
              </w:rPr>
            </w:pPr>
          </w:p>
        </w:tc>
        <w:tc>
          <w:tcPr>
            <w:tcW w:w="709" w:type="pct"/>
            <w:vMerge w:val="continue"/>
            <w:vAlign w:val="center"/>
          </w:tcPr>
          <w:p w14:paraId="0802B785">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448" w:type="pct"/>
            <w:vMerge w:val="continue"/>
            <w:vAlign w:val="center"/>
          </w:tcPr>
          <w:p w14:paraId="4AE4C4E8">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398" w:type="pct"/>
            <w:vMerge w:val="continue"/>
            <w:vAlign w:val="center"/>
          </w:tcPr>
          <w:p w14:paraId="0A4B8D25">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448" w:type="pct"/>
            <w:vAlign w:val="center"/>
          </w:tcPr>
          <w:p w14:paraId="4684BA9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448" w:type="pct"/>
            <w:vAlign w:val="center"/>
          </w:tcPr>
          <w:p w14:paraId="2D11748E">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498" w:type="pct"/>
            <w:vAlign w:val="center"/>
          </w:tcPr>
          <w:p w14:paraId="0FF4A663">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eastAsia="等线"/>
                <w:color w:val="000000" w:themeColor="text1"/>
                <w:sz w:val="21"/>
                <w:szCs w:val="21"/>
                <w14:textFill>
                  <w14:solidFill>
                    <w14:schemeClr w14:val="tx1"/>
                  </w14:solidFill>
                </w14:textFill>
              </w:rPr>
              <w:t xml:space="preserve">935.44 </w:t>
            </w:r>
          </w:p>
        </w:tc>
        <w:tc>
          <w:tcPr>
            <w:tcW w:w="448" w:type="pct"/>
            <w:vAlign w:val="center"/>
          </w:tcPr>
          <w:p w14:paraId="0F02124C">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否</w:t>
            </w:r>
          </w:p>
        </w:tc>
        <w:tc>
          <w:tcPr>
            <w:tcW w:w="646" w:type="pct"/>
            <w:vMerge w:val="continue"/>
            <w:vAlign w:val="center"/>
          </w:tcPr>
          <w:p w14:paraId="7AB8D87B">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300" w:type="pct"/>
            <w:vAlign w:val="center"/>
          </w:tcPr>
          <w:p w14:paraId="0E96A7A4">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471" w:type="pct"/>
            <w:vAlign w:val="center"/>
          </w:tcPr>
          <w:p w14:paraId="5675605E">
            <w:pPr>
              <w:adjustRightInd w:val="0"/>
              <w:snapToGrid w:val="0"/>
              <w:spacing w:line="240" w:lineRule="auto"/>
              <w:ind w:firstLine="0" w:firstLineChars="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船舱内，</w:t>
            </w:r>
            <w:r>
              <w:rPr>
                <w:rFonts w:hint="eastAsia"/>
                <w:color w:val="000000" w:themeColor="text1"/>
                <w:sz w:val="18"/>
                <w:szCs w:val="18"/>
                <w14:textFill>
                  <w14:solidFill>
                    <w14:schemeClr w14:val="tx1"/>
                  </w14:solidFill>
                </w14:textFill>
              </w:rPr>
              <w:t>10000吨船</w:t>
            </w:r>
          </w:p>
        </w:tc>
      </w:tr>
      <w:tr w14:paraId="1F8C2D4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86" w:type="pct"/>
            <w:vMerge w:val="restart"/>
            <w:vAlign w:val="center"/>
          </w:tcPr>
          <w:p w14:paraId="05E53439">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4</w:t>
            </w:r>
          </w:p>
        </w:tc>
        <w:tc>
          <w:tcPr>
            <w:tcW w:w="709" w:type="pct"/>
            <w:vMerge w:val="restart"/>
            <w:vAlign w:val="center"/>
          </w:tcPr>
          <w:p w14:paraId="796220FF">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脂肪酸混合物</w:t>
            </w:r>
          </w:p>
        </w:tc>
        <w:tc>
          <w:tcPr>
            <w:tcW w:w="448" w:type="pct"/>
            <w:vMerge w:val="restart"/>
            <w:vAlign w:val="center"/>
          </w:tcPr>
          <w:p w14:paraId="40445C7A">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398" w:type="pct"/>
            <w:vMerge w:val="restart"/>
            <w:vAlign w:val="center"/>
          </w:tcPr>
          <w:p w14:paraId="408E609C">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880</w:t>
            </w:r>
          </w:p>
        </w:tc>
        <w:tc>
          <w:tcPr>
            <w:tcW w:w="448" w:type="pct"/>
            <w:vAlign w:val="center"/>
          </w:tcPr>
          <w:p w14:paraId="1704941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300</w:t>
            </w:r>
          </w:p>
        </w:tc>
        <w:tc>
          <w:tcPr>
            <w:tcW w:w="448" w:type="pct"/>
            <w:vAlign w:val="center"/>
          </w:tcPr>
          <w:p w14:paraId="7ED48107">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100</w:t>
            </w:r>
          </w:p>
        </w:tc>
        <w:tc>
          <w:tcPr>
            <w:tcW w:w="498" w:type="pct"/>
            <w:vAlign w:val="center"/>
          </w:tcPr>
          <w:p w14:paraId="7D918567">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eastAsia="等线"/>
                <w:color w:val="000000" w:themeColor="text1"/>
                <w:sz w:val="21"/>
                <w:szCs w:val="21"/>
                <w14:textFill>
                  <w14:solidFill>
                    <w14:schemeClr w14:val="tx1"/>
                  </w14:solidFill>
                </w14:textFill>
              </w:rPr>
              <w:t xml:space="preserve">41.45 </w:t>
            </w:r>
          </w:p>
        </w:tc>
        <w:tc>
          <w:tcPr>
            <w:tcW w:w="448" w:type="pct"/>
            <w:vAlign w:val="center"/>
          </w:tcPr>
          <w:p w14:paraId="3B6EEF93">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否</w:t>
            </w:r>
          </w:p>
        </w:tc>
        <w:tc>
          <w:tcPr>
            <w:tcW w:w="646" w:type="pct"/>
            <w:vMerge w:val="restart"/>
            <w:vAlign w:val="center"/>
          </w:tcPr>
          <w:p w14:paraId="47D3B23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表B.1、B.2（以饱和脂肪酸为主）</w:t>
            </w:r>
          </w:p>
        </w:tc>
        <w:tc>
          <w:tcPr>
            <w:tcW w:w="300" w:type="pct"/>
            <w:vAlign w:val="center"/>
          </w:tcPr>
          <w:p w14:paraId="72701D94">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471" w:type="pct"/>
            <w:vAlign w:val="center"/>
          </w:tcPr>
          <w:p w14:paraId="157F8264">
            <w:pPr>
              <w:adjustRightInd w:val="0"/>
              <w:snapToGrid w:val="0"/>
              <w:spacing w:line="240" w:lineRule="auto"/>
              <w:ind w:firstLine="0" w:firstLineChars="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管线内</w:t>
            </w:r>
          </w:p>
        </w:tc>
      </w:tr>
      <w:tr w14:paraId="313B4CE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86" w:type="pct"/>
            <w:vMerge w:val="continue"/>
            <w:vAlign w:val="center"/>
          </w:tcPr>
          <w:p w14:paraId="09DAF067">
            <w:pPr>
              <w:adjustRightInd w:val="0"/>
              <w:snapToGrid w:val="0"/>
              <w:spacing w:line="240" w:lineRule="auto"/>
              <w:ind w:firstLine="420"/>
              <w:jc w:val="center"/>
              <w:rPr>
                <w:color w:val="000000" w:themeColor="text1"/>
                <w:sz w:val="21"/>
                <w:szCs w:val="21"/>
                <w14:textFill>
                  <w14:solidFill>
                    <w14:schemeClr w14:val="tx1"/>
                  </w14:solidFill>
                </w14:textFill>
              </w:rPr>
            </w:pPr>
          </w:p>
        </w:tc>
        <w:tc>
          <w:tcPr>
            <w:tcW w:w="709" w:type="pct"/>
            <w:vMerge w:val="continue"/>
            <w:vAlign w:val="center"/>
          </w:tcPr>
          <w:p w14:paraId="5B2A2744">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448" w:type="pct"/>
            <w:vMerge w:val="continue"/>
            <w:vAlign w:val="center"/>
          </w:tcPr>
          <w:p w14:paraId="2F1902E4">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398" w:type="pct"/>
            <w:vMerge w:val="continue"/>
            <w:vAlign w:val="center"/>
          </w:tcPr>
          <w:p w14:paraId="01C460A7">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448" w:type="pct"/>
            <w:vAlign w:val="center"/>
          </w:tcPr>
          <w:p w14:paraId="43EDE60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448" w:type="pct"/>
            <w:vAlign w:val="center"/>
          </w:tcPr>
          <w:p w14:paraId="78AD128A">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498" w:type="pct"/>
            <w:vAlign w:val="center"/>
          </w:tcPr>
          <w:p w14:paraId="7832F958">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eastAsia="等线"/>
                <w:color w:val="000000" w:themeColor="text1"/>
                <w:sz w:val="21"/>
                <w:szCs w:val="21"/>
                <w14:textFill>
                  <w14:solidFill>
                    <w14:schemeClr w14:val="tx1"/>
                  </w14:solidFill>
                </w14:textFill>
              </w:rPr>
              <w:t xml:space="preserve">935.44 </w:t>
            </w:r>
          </w:p>
        </w:tc>
        <w:tc>
          <w:tcPr>
            <w:tcW w:w="448" w:type="pct"/>
            <w:vAlign w:val="center"/>
          </w:tcPr>
          <w:p w14:paraId="3419942E">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否</w:t>
            </w:r>
          </w:p>
        </w:tc>
        <w:tc>
          <w:tcPr>
            <w:tcW w:w="646" w:type="pct"/>
            <w:vMerge w:val="continue"/>
            <w:vAlign w:val="center"/>
          </w:tcPr>
          <w:p w14:paraId="0C8236BD">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300" w:type="pct"/>
            <w:vAlign w:val="center"/>
          </w:tcPr>
          <w:p w14:paraId="3DC939D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471" w:type="pct"/>
            <w:vAlign w:val="center"/>
          </w:tcPr>
          <w:p w14:paraId="0CA41C1A">
            <w:pPr>
              <w:adjustRightInd w:val="0"/>
              <w:snapToGrid w:val="0"/>
              <w:spacing w:line="240" w:lineRule="auto"/>
              <w:ind w:firstLine="0" w:firstLineChars="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船舱内，</w:t>
            </w:r>
            <w:r>
              <w:rPr>
                <w:rFonts w:hint="eastAsia"/>
                <w:color w:val="000000" w:themeColor="text1"/>
                <w:sz w:val="18"/>
                <w:szCs w:val="18"/>
                <w14:textFill>
                  <w14:solidFill>
                    <w14:schemeClr w14:val="tx1"/>
                  </w14:solidFill>
                </w14:textFill>
              </w:rPr>
              <w:t>10000吨船</w:t>
            </w:r>
          </w:p>
        </w:tc>
      </w:tr>
      <w:tr w14:paraId="7C70D5B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86" w:type="pct"/>
            <w:vMerge w:val="restart"/>
            <w:vAlign w:val="center"/>
          </w:tcPr>
          <w:p w14:paraId="472BE902">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5</w:t>
            </w:r>
          </w:p>
        </w:tc>
        <w:tc>
          <w:tcPr>
            <w:tcW w:w="709" w:type="pct"/>
            <w:vMerge w:val="restart"/>
            <w:vAlign w:val="center"/>
          </w:tcPr>
          <w:p w14:paraId="22308EF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工业级混合油</w:t>
            </w:r>
          </w:p>
        </w:tc>
        <w:tc>
          <w:tcPr>
            <w:tcW w:w="448" w:type="pct"/>
            <w:vMerge w:val="restart"/>
            <w:vAlign w:val="center"/>
          </w:tcPr>
          <w:p w14:paraId="5819EAFE">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398" w:type="pct"/>
            <w:vMerge w:val="restart"/>
            <w:vAlign w:val="center"/>
          </w:tcPr>
          <w:p w14:paraId="09CB46E2">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770</w:t>
            </w:r>
          </w:p>
        </w:tc>
        <w:tc>
          <w:tcPr>
            <w:tcW w:w="448" w:type="pct"/>
            <w:vAlign w:val="center"/>
          </w:tcPr>
          <w:p w14:paraId="30C7A0A7">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300</w:t>
            </w:r>
          </w:p>
        </w:tc>
        <w:tc>
          <w:tcPr>
            <w:tcW w:w="448" w:type="pct"/>
            <w:vAlign w:val="center"/>
          </w:tcPr>
          <w:p w14:paraId="50BD440E">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100</w:t>
            </w:r>
          </w:p>
        </w:tc>
        <w:tc>
          <w:tcPr>
            <w:tcW w:w="498" w:type="pct"/>
            <w:vAlign w:val="center"/>
          </w:tcPr>
          <w:p w14:paraId="17AB3D58">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eastAsia="等线"/>
                <w:color w:val="000000" w:themeColor="text1"/>
                <w:sz w:val="21"/>
                <w:szCs w:val="21"/>
                <w14:textFill>
                  <w14:solidFill>
                    <w14:schemeClr w14:val="tx1"/>
                  </w14:solidFill>
                </w14:textFill>
              </w:rPr>
              <w:t xml:space="preserve">36.27 </w:t>
            </w:r>
          </w:p>
        </w:tc>
        <w:tc>
          <w:tcPr>
            <w:tcW w:w="448" w:type="pct"/>
            <w:vAlign w:val="center"/>
          </w:tcPr>
          <w:p w14:paraId="5C75FB2E">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否</w:t>
            </w:r>
          </w:p>
        </w:tc>
        <w:tc>
          <w:tcPr>
            <w:tcW w:w="646" w:type="pct"/>
            <w:vMerge w:val="restart"/>
            <w:vAlign w:val="center"/>
          </w:tcPr>
          <w:p w14:paraId="7D5F57A3">
            <w:pPr>
              <w:adjustRightInd w:val="0"/>
              <w:snapToGrid w:val="0"/>
              <w:spacing w:line="240" w:lineRule="auto"/>
              <w:ind w:firstLine="0" w:firstLineChars="0"/>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表B.1、B.2（以脂肪酸甘油三酯为主）</w:t>
            </w:r>
          </w:p>
        </w:tc>
        <w:tc>
          <w:tcPr>
            <w:tcW w:w="300" w:type="pct"/>
            <w:vAlign w:val="center"/>
          </w:tcPr>
          <w:p w14:paraId="0F001EB4">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471" w:type="pct"/>
            <w:vAlign w:val="center"/>
          </w:tcPr>
          <w:p w14:paraId="29941A75">
            <w:pPr>
              <w:adjustRightInd w:val="0"/>
              <w:snapToGrid w:val="0"/>
              <w:spacing w:line="240" w:lineRule="auto"/>
              <w:ind w:firstLine="0" w:firstLineChars="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管线内</w:t>
            </w:r>
          </w:p>
        </w:tc>
      </w:tr>
      <w:tr w14:paraId="50D955D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86" w:type="pct"/>
            <w:vMerge w:val="continue"/>
            <w:vAlign w:val="center"/>
          </w:tcPr>
          <w:p w14:paraId="7ADBB93D">
            <w:pPr>
              <w:adjustRightInd w:val="0"/>
              <w:snapToGrid w:val="0"/>
              <w:spacing w:line="240" w:lineRule="auto"/>
              <w:ind w:firstLine="420"/>
              <w:jc w:val="center"/>
              <w:rPr>
                <w:color w:val="000000" w:themeColor="text1"/>
                <w:sz w:val="21"/>
                <w:szCs w:val="21"/>
                <w14:textFill>
                  <w14:solidFill>
                    <w14:schemeClr w14:val="tx1"/>
                  </w14:solidFill>
                </w14:textFill>
              </w:rPr>
            </w:pPr>
          </w:p>
        </w:tc>
        <w:tc>
          <w:tcPr>
            <w:tcW w:w="709" w:type="pct"/>
            <w:vMerge w:val="continue"/>
            <w:vAlign w:val="center"/>
          </w:tcPr>
          <w:p w14:paraId="712D71B9">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448" w:type="pct"/>
            <w:vMerge w:val="continue"/>
            <w:vAlign w:val="center"/>
          </w:tcPr>
          <w:p w14:paraId="196EA7F3">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398" w:type="pct"/>
            <w:vMerge w:val="continue"/>
            <w:vAlign w:val="center"/>
          </w:tcPr>
          <w:p w14:paraId="45FE460A">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448" w:type="pct"/>
            <w:vAlign w:val="center"/>
          </w:tcPr>
          <w:p w14:paraId="29EA707E">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448" w:type="pct"/>
            <w:vAlign w:val="center"/>
          </w:tcPr>
          <w:p w14:paraId="3C521982">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498" w:type="pct"/>
            <w:vAlign w:val="center"/>
          </w:tcPr>
          <w:p w14:paraId="1EF9E032">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eastAsia="等线"/>
                <w:color w:val="000000" w:themeColor="text1"/>
                <w:sz w:val="21"/>
                <w:szCs w:val="21"/>
                <w14:textFill>
                  <w14:solidFill>
                    <w14:schemeClr w14:val="tx1"/>
                  </w14:solidFill>
                </w14:textFill>
              </w:rPr>
              <w:t xml:space="preserve">818.51 </w:t>
            </w:r>
          </w:p>
        </w:tc>
        <w:tc>
          <w:tcPr>
            <w:tcW w:w="448" w:type="pct"/>
            <w:vAlign w:val="center"/>
          </w:tcPr>
          <w:p w14:paraId="7D17F2CE">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否</w:t>
            </w:r>
          </w:p>
        </w:tc>
        <w:tc>
          <w:tcPr>
            <w:tcW w:w="646" w:type="pct"/>
            <w:vMerge w:val="continue"/>
            <w:vAlign w:val="center"/>
          </w:tcPr>
          <w:p w14:paraId="1E2BEAEB">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300" w:type="pct"/>
            <w:vAlign w:val="center"/>
          </w:tcPr>
          <w:p w14:paraId="21713F47">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471" w:type="pct"/>
            <w:vAlign w:val="center"/>
          </w:tcPr>
          <w:p w14:paraId="2E3928DA">
            <w:pPr>
              <w:adjustRightInd w:val="0"/>
              <w:snapToGrid w:val="0"/>
              <w:spacing w:line="240" w:lineRule="auto"/>
              <w:ind w:firstLine="0" w:firstLineChars="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船舱内，</w:t>
            </w:r>
            <w:r>
              <w:rPr>
                <w:rFonts w:hint="eastAsia"/>
                <w:color w:val="000000" w:themeColor="text1"/>
                <w:sz w:val="18"/>
                <w:szCs w:val="18"/>
                <w14:textFill>
                  <w14:solidFill>
                    <w14:schemeClr w14:val="tx1"/>
                  </w14:solidFill>
                </w14:textFill>
              </w:rPr>
              <w:t>10000吨船</w:t>
            </w:r>
          </w:p>
        </w:tc>
      </w:tr>
      <w:tr w14:paraId="0310560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86" w:type="pct"/>
            <w:vMerge w:val="restart"/>
            <w:vAlign w:val="center"/>
          </w:tcPr>
          <w:p w14:paraId="6B1A66DE">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6</w:t>
            </w:r>
          </w:p>
        </w:tc>
        <w:tc>
          <w:tcPr>
            <w:tcW w:w="709" w:type="pct"/>
            <w:vMerge w:val="restart"/>
            <w:vAlign w:val="center"/>
          </w:tcPr>
          <w:p w14:paraId="40C3AC02">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脂肪酸甲酯</w:t>
            </w:r>
          </w:p>
        </w:tc>
        <w:tc>
          <w:tcPr>
            <w:tcW w:w="448" w:type="pct"/>
            <w:vMerge w:val="restart"/>
            <w:vAlign w:val="center"/>
          </w:tcPr>
          <w:p w14:paraId="1B5E44B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112-62-9</w:t>
            </w:r>
          </w:p>
        </w:tc>
        <w:tc>
          <w:tcPr>
            <w:tcW w:w="398" w:type="pct"/>
            <w:vMerge w:val="restart"/>
            <w:vAlign w:val="center"/>
          </w:tcPr>
          <w:p w14:paraId="746D470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875</w:t>
            </w:r>
          </w:p>
        </w:tc>
        <w:tc>
          <w:tcPr>
            <w:tcW w:w="448" w:type="pct"/>
            <w:vAlign w:val="center"/>
          </w:tcPr>
          <w:p w14:paraId="7170308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300</w:t>
            </w:r>
          </w:p>
        </w:tc>
        <w:tc>
          <w:tcPr>
            <w:tcW w:w="448" w:type="pct"/>
            <w:vAlign w:val="center"/>
          </w:tcPr>
          <w:p w14:paraId="585FD34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100</w:t>
            </w:r>
          </w:p>
        </w:tc>
        <w:tc>
          <w:tcPr>
            <w:tcW w:w="498" w:type="pct"/>
            <w:vAlign w:val="center"/>
          </w:tcPr>
          <w:p w14:paraId="5299B80A">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eastAsia="等线"/>
                <w:color w:val="000000" w:themeColor="text1"/>
                <w:sz w:val="21"/>
                <w:szCs w:val="21"/>
                <w14:textFill>
                  <w14:solidFill>
                    <w14:schemeClr w14:val="tx1"/>
                  </w14:solidFill>
                </w14:textFill>
              </w:rPr>
              <w:t xml:space="preserve">41.21 </w:t>
            </w:r>
          </w:p>
        </w:tc>
        <w:tc>
          <w:tcPr>
            <w:tcW w:w="448" w:type="pct"/>
            <w:vAlign w:val="center"/>
          </w:tcPr>
          <w:p w14:paraId="002F44F8">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否</w:t>
            </w:r>
          </w:p>
        </w:tc>
        <w:tc>
          <w:tcPr>
            <w:tcW w:w="646" w:type="pct"/>
            <w:vMerge w:val="restart"/>
            <w:vAlign w:val="center"/>
          </w:tcPr>
          <w:p w14:paraId="0BB05A29">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表B.1、B.2（以脂肪酸为主）</w:t>
            </w:r>
          </w:p>
        </w:tc>
        <w:tc>
          <w:tcPr>
            <w:tcW w:w="300" w:type="pct"/>
            <w:vAlign w:val="center"/>
          </w:tcPr>
          <w:p w14:paraId="1923D31D">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471" w:type="pct"/>
            <w:vAlign w:val="center"/>
          </w:tcPr>
          <w:p w14:paraId="52BC27DB">
            <w:pPr>
              <w:adjustRightInd w:val="0"/>
              <w:snapToGrid w:val="0"/>
              <w:spacing w:line="240" w:lineRule="auto"/>
              <w:ind w:firstLine="0" w:firstLineChars="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管线内</w:t>
            </w:r>
          </w:p>
        </w:tc>
      </w:tr>
      <w:tr w14:paraId="4EA1B3D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86" w:type="pct"/>
            <w:vMerge w:val="continue"/>
            <w:vAlign w:val="center"/>
          </w:tcPr>
          <w:p w14:paraId="1DA988D8">
            <w:pPr>
              <w:adjustRightInd w:val="0"/>
              <w:snapToGrid w:val="0"/>
              <w:spacing w:line="240" w:lineRule="auto"/>
              <w:ind w:firstLine="420"/>
              <w:jc w:val="center"/>
              <w:rPr>
                <w:color w:val="000000" w:themeColor="text1"/>
                <w:sz w:val="21"/>
                <w:szCs w:val="21"/>
                <w14:textFill>
                  <w14:solidFill>
                    <w14:schemeClr w14:val="tx1"/>
                  </w14:solidFill>
                </w14:textFill>
              </w:rPr>
            </w:pPr>
          </w:p>
        </w:tc>
        <w:tc>
          <w:tcPr>
            <w:tcW w:w="709" w:type="pct"/>
            <w:vMerge w:val="continue"/>
            <w:vAlign w:val="center"/>
          </w:tcPr>
          <w:p w14:paraId="17E0F7FC">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448" w:type="pct"/>
            <w:vMerge w:val="continue"/>
            <w:vAlign w:val="center"/>
          </w:tcPr>
          <w:p w14:paraId="3C5E6F82">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398" w:type="pct"/>
            <w:vMerge w:val="continue"/>
            <w:vAlign w:val="center"/>
          </w:tcPr>
          <w:p w14:paraId="3127D106">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448" w:type="pct"/>
            <w:vAlign w:val="center"/>
          </w:tcPr>
          <w:p w14:paraId="600783DA">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448" w:type="pct"/>
            <w:vAlign w:val="center"/>
          </w:tcPr>
          <w:p w14:paraId="7557CA47">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498" w:type="pct"/>
            <w:vAlign w:val="center"/>
          </w:tcPr>
          <w:p w14:paraId="464810CE">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eastAsia="等线"/>
                <w:color w:val="000000" w:themeColor="text1"/>
                <w:sz w:val="21"/>
                <w:szCs w:val="21"/>
                <w14:textFill>
                  <w14:solidFill>
                    <w14:schemeClr w14:val="tx1"/>
                  </w14:solidFill>
                </w14:textFill>
              </w:rPr>
              <w:t xml:space="preserve">930.13 </w:t>
            </w:r>
          </w:p>
        </w:tc>
        <w:tc>
          <w:tcPr>
            <w:tcW w:w="448" w:type="pct"/>
            <w:vAlign w:val="center"/>
          </w:tcPr>
          <w:p w14:paraId="4D5A422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否</w:t>
            </w:r>
          </w:p>
        </w:tc>
        <w:tc>
          <w:tcPr>
            <w:tcW w:w="646" w:type="pct"/>
            <w:vMerge w:val="continue"/>
            <w:vAlign w:val="center"/>
          </w:tcPr>
          <w:p w14:paraId="16067D13">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300" w:type="pct"/>
            <w:vAlign w:val="center"/>
          </w:tcPr>
          <w:p w14:paraId="3B2A7609">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471" w:type="pct"/>
            <w:vAlign w:val="center"/>
          </w:tcPr>
          <w:p w14:paraId="6CC12D2D">
            <w:pPr>
              <w:adjustRightInd w:val="0"/>
              <w:snapToGrid w:val="0"/>
              <w:spacing w:line="240" w:lineRule="auto"/>
              <w:ind w:firstLine="0" w:firstLineChars="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船舱内，</w:t>
            </w:r>
            <w:r>
              <w:rPr>
                <w:rFonts w:hint="eastAsia"/>
                <w:color w:val="000000" w:themeColor="text1"/>
                <w:sz w:val="18"/>
                <w:szCs w:val="18"/>
                <w14:textFill>
                  <w14:solidFill>
                    <w14:schemeClr w14:val="tx1"/>
                  </w14:solidFill>
                </w14:textFill>
              </w:rPr>
              <w:t>10000吨船</w:t>
            </w:r>
          </w:p>
          <w:p w14:paraId="7C342E7C">
            <w:pPr>
              <w:adjustRightInd w:val="0"/>
              <w:snapToGrid w:val="0"/>
              <w:spacing w:line="240" w:lineRule="auto"/>
              <w:ind w:firstLine="0" w:firstLineChars="0"/>
              <w:jc w:val="center"/>
              <w:rPr>
                <w:color w:val="000000" w:themeColor="text1"/>
                <w:sz w:val="18"/>
                <w:szCs w:val="18"/>
                <w14:textFill>
                  <w14:solidFill>
                    <w14:schemeClr w14:val="tx1"/>
                  </w14:solidFill>
                </w14:textFill>
              </w:rPr>
            </w:pPr>
          </w:p>
        </w:tc>
      </w:tr>
      <w:tr w14:paraId="6B1B66D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86" w:type="pct"/>
            <w:vMerge w:val="restart"/>
            <w:vAlign w:val="center"/>
          </w:tcPr>
          <w:p w14:paraId="16D8C8B2">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7</w:t>
            </w:r>
          </w:p>
        </w:tc>
        <w:tc>
          <w:tcPr>
            <w:tcW w:w="709" w:type="pct"/>
            <w:vMerge w:val="restart"/>
            <w:vAlign w:val="center"/>
          </w:tcPr>
          <w:p w14:paraId="17D0E4B0">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纯生物柴油</w:t>
            </w:r>
          </w:p>
        </w:tc>
        <w:tc>
          <w:tcPr>
            <w:tcW w:w="448" w:type="pct"/>
            <w:vMerge w:val="restart"/>
            <w:vAlign w:val="center"/>
          </w:tcPr>
          <w:p w14:paraId="45C9568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67784-80-9</w:t>
            </w:r>
          </w:p>
        </w:tc>
        <w:tc>
          <w:tcPr>
            <w:tcW w:w="398" w:type="pct"/>
            <w:vMerge w:val="restart"/>
            <w:vAlign w:val="center"/>
          </w:tcPr>
          <w:p w14:paraId="4623DD82">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875</w:t>
            </w:r>
          </w:p>
        </w:tc>
        <w:tc>
          <w:tcPr>
            <w:tcW w:w="448" w:type="pct"/>
            <w:vAlign w:val="center"/>
          </w:tcPr>
          <w:p w14:paraId="7C5C48CD">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300</w:t>
            </w:r>
          </w:p>
        </w:tc>
        <w:tc>
          <w:tcPr>
            <w:tcW w:w="448" w:type="pct"/>
            <w:vAlign w:val="center"/>
          </w:tcPr>
          <w:p w14:paraId="40103DDA">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100</w:t>
            </w:r>
          </w:p>
        </w:tc>
        <w:tc>
          <w:tcPr>
            <w:tcW w:w="498" w:type="pct"/>
            <w:vAlign w:val="center"/>
          </w:tcPr>
          <w:p w14:paraId="6C299C1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eastAsia="等线"/>
                <w:color w:val="000000" w:themeColor="text1"/>
                <w:sz w:val="21"/>
                <w:szCs w:val="21"/>
                <w14:textFill>
                  <w14:solidFill>
                    <w14:schemeClr w14:val="tx1"/>
                  </w14:solidFill>
                </w14:textFill>
              </w:rPr>
              <w:t xml:space="preserve">41.21 </w:t>
            </w:r>
          </w:p>
        </w:tc>
        <w:tc>
          <w:tcPr>
            <w:tcW w:w="448" w:type="pct"/>
            <w:vAlign w:val="center"/>
          </w:tcPr>
          <w:p w14:paraId="3928F52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是</w:t>
            </w:r>
          </w:p>
        </w:tc>
        <w:tc>
          <w:tcPr>
            <w:tcW w:w="646" w:type="pct"/>
            <w:vMerge w:val="restart"/>
            <w:vAlign w:val="center"/>
          </w:tcPr>
          <w:p w14:paraId="6AEBE7AD">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381</w:t>
            </w:r>
          </w:p>
        </w:tc>
        <w:tc>
          <w:tcPr>
            <w:tcW w:w="300" w:type="pct"/>
            <w:vAlign w:val="center"/>
          </w:tcPr>
          <w:p w14:paraId="790964B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2500</w:t>
            </w:r>
          </w:p>
        </w:tc>
        <w:tc>
          <w:tcPr>
            <w:tcW w:w="471" w:type="pct"/>
            <w:vAlign w:val="center"/>
          </w:tcPr>
          <w:p w14:paraId="0F85A6E8">
            <w:pPr>
              <w:adjustRightInd w:val="0"/>
              <w:snapToGrid w:val="0"/>
              <w:spacing w:line="240" w:lineRule="auto"/>
              <w:ind w:firstLine="0" w:firstLineChars="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管线内</w:t>
            </w:r>
          </w:p>
        </w:tc>
      </w:tr>
      <w:tr w14:paraId="7107561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86" w:type="pct"/>
            <w:vMerge w:val="continue"/>
            <w:vAlign w:val="center"/>
          </w:tcPr>
          <w:p w14:paraId="36491887">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709" w:type="pct"/>
            <w:vMerge w:val="continue"/>
            <w:vAlign w:val="center"/>
          </w:tcPr>
          <w:p w14:paraId="3E284FBA">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448" w:type="pct"/>
            <w:vMerge w:val="continue"/>
            <w:vAlign w:val="center"/>
          </w:tcPr>
          <w:p w14:paraId="2EA76313">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398" w:type="pct"/>
            <w:vMerge w:val="continue"/>
            <w:vAlign w:val="center"/>
          </w:tcPr>
          <w:p w14:paraId="45EDF86E">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448" w:type="pct"/>
            <w:vAlign w:val="center"/>
          </w:tcPr>
          <w:p w14:paraId="3FD68C3C">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448" w:type="pct"/>
            <w:vAlign w:val="center"/>
          </w:tcPr>
          <w:p w14:paraId="607DFB58">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498" w:type="pct"/>
            <w:vAlign w:val="center"/>
          </w:tcPr>
          <w:p w14:paraId="4F4391A4">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eastAsia="等线"/>
                <w:color w:val="000000" w:themeColor="text1"/>
                <w:sz w:val="21"/>
                <w:szCs w:val="21"/>
                <w14:textFill>
                  <w14:solidFill>
                    <w14:schemeClr w14:val="tx1"/>
                  </w14:solidFill>
                </w14:textFill>
              </w:rPr>
              <w:t xml:space="preserve">930.13 </w:t>
            </w:r>
          </w:p>
        </w:tc>
        <w:tc>
          <w:tcPr>
            <w:tcW w:w="448" w:type="pct"/>
            <w:vAlign w:val="center"/>
          </w:tcPr>
          <w:p w14:paraId="5D8CB070">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是</w:t>
            </w:r>
          </w:p>
        </w:tc>
        <w:tc>
          <w:tcPr>
            <w:tcW w:w="646" w:type="pct"/>
            <w:vMerge w:val="continue"/>
            <w:vAlign w:val="center"/>
          </w:tcPr>
          <w:p w14:paraId="3085263C">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300" w:type="pct"/>
            <w:vAlign w:val="center"/>
          </w:tcPr>
          <w:p w14:paraId="480A173F">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2500</w:t>
            </w:r>
          </w:p>
        </w:tc>
        <w:tc>
          <w:tcPr>
            <w:tcW w:w="471" w:type="pct"/>
            <w:vAlign w:val="center"/>
          </w:tcPr>
          <w:p w14:paraId="37CF7339">
            <w:pPr>
              <w:adjustRightInd w:val="0"/>
              <w:snapToGrid w:val="0"/>
              <w:spacing w:line="240" w:lineRule="auto"/>
              <w:ind w:firstLine="0" w:firstLineChars="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船舱内，</w:t>
            </w:r>
            <w:r>
              <w:rPr>
                <w:rFonts w:hint="eastAsia"/>
                <w:color w:val="000000" w:themeColor="text1"/>
                <w:sz w:val="18"/>
                <w:szCs w:val="18"/>
                <w14:textFill>
                  <w14:solidFill>
                    <w14:schemeClr w14:val="tx1"/>
                  </w14:solidFill>
                </w14:textFill>
              </w:rPr>
              <w:t>10000吨船</w:t>
            </w:r>
          </w:p>
        </w:tc>
      </w:tr>
      <w:tr w14:paraId="401E9CA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86" w:type="pct"/>
            <w:vMerge w:val="restart"/>
            <w:vAlign w:val="center"/>
          </w:tcPr>
          <w:p w14:paraId="087A6853">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8</w:t>
            </w:r>
          </w:p>
        </w:tc>
        <w:tc>
          <w:tcPr>
            <w:tcW w:w="709" w:type="pct"/>
            <w:vMerge w:val="restart"/>
            <w:vAlign w:val="center"/>
          </w:tcPr>
          <w:p w14:paraId="16AB482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航空煤油</w:t>
            </w:r>
          </w:p>
        </w:tc>
        <w:tc>
          <w:tcPr>
            <w:tcW w:w="448" w:type="pct"/>
            <w:vMerge w:val="restart"/>
            <w:vAlign w:val="center"/>
          </w:tcPr>
          <w:p w14:paraId="4A31911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70892-10-3</w:t>
            </w:r>
          </w:p>
        </w:tc>
        <w:tc>
          <w:tcPr>
            <w:tcW w:w="398" w:type="pct"/>
            <w:vMerge w:val="restart"/>
            <w:vAlign w:val="center"/>
          </w:tcPr>
          <w:p w14:paraId="52316E1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790</w:t>
            </w:r>
          </w:p>
        </w:tc>
        <w:tc>
          <w:tcPr>
            <w:tcW w:w="448" w:type="pct"/>
            <w:vAlign w:val="center"/>
          </w:tcPr>
          <w:p w14:paraId="605797E2">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300</w:t>
            </w:r>
          </w:p>
        </w:tc>
        <w:tc>
          <w:tcPr>
            <w:tcW w:w="448" w:type="pct"/>
            <w:vAlign w:val="center"/>
          </w:tcPr>
          <w:p w14:paraId="49C359F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100</w:t>
            </w:r>
          </w:p>
        </w:tc>
        <w:tc>
          <w:tcPr>
            <w:tcW w:w="498" w:type="pct"/>
            <w:vAlign w:val="center"/>
          </w:tcPr>
          <w:p w14:paraId="4B1B801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eastAsia="等线"/>
                <w:color w:val="000000" w:themeColor="text1"/>
                <w:sz w:val="21"/>
                <w:szCs w:val="21"/>
                <w14:textFill>
                  <w14:solidFill>
                    <w14:schemeClr w14:val="tx1"/>
                  </w14:solidFill>
                </w14:textFill>
              </w:rPr>
              <w:t xml:space="preserve">37.21 </w:t>
            </w:r>
          </w:p>
        </w:tc>
        <w:tc>
          <w:tcPr>
            <w:tcW w:w="448" w:type="pct"/>
            <w:vAlign w:val="center"/>
          </w:tcPr>
          <w:p w14:paraId="05C19593">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是</w:t>
            </w:r>
          </w:p>
        </w:tc>
        <w:tc>
          <w:tcPr>
            <w:tcW w:w="646" w:type="pct"/>
            <w:vMerge w:val="restart"/>
            <w:vAlign w:val="center"/>
          </w:tcPr>
          <w:p w14:paraId="0017CC3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381</w:t>
            </w:r>
          </w:p>
        </w:tc>
        <w:tc>
          <w:tcPr>
            <w:tcW w:w="300" w:type="pct"/>
            <w:vAlign w:val="center"/>
          </w:tcPr>
          <w:p w14:paraId="4EEC63E0">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2500</w:t>
            </w:r>
          </w:p>
        </w:tc>
        <w:tc>
          <w:tcPr>
            <w:tcW w:w="471" w:type="pct"/>
            <w:vAlign w:val="center"/>
          </w:tcPr>
          <w:p w14:paraId="3FBF7B14">
            <w:pPr>
              <w:adjustRightInd w:val="0"/>
              <w:snapToGrid w:val="0"/>
              <w:spacing w:line="240" w:lineRule="auto"/>
              <w:ind w:firstLine="0" w:firstLineChars="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管线内</w:t>
            </w:r>
          </w:p>
        </w:tc>
      </w:tr>
      <w:tr w14:paraId="5871EFC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86" w:type="pct"/>
            <w:vMerge w:val="continue"/>
            <w:vAlign w:val="center"/>
          </w:tcPr>
          <w:p w14:paraId="4E91BF79">
            <w:pPr>
              <w:adjustRightInd w:val="0"/>
              <w:snapToGrid w:val="0"/>
              <w:spacing w:line="240" w:lineRule="auto"/>
              <w:ind w:firstLine="420"/>
              <w:jc w:val="center"/>
              <w:rPr>
                <w:color w:val="000000" w:themeColor="text1"/>
                <w:sz w:val="21"/>
                <w:szCs w:val="21"/>
                <w14:textFill>
                  <w14:solidFill>
                    <w14:schemeClr w14:val="tx1"/>
                  </w14:solidFill>
                </w14:textFill>
              </w:rPr>
            </w:pPr>
          </w:p>
        </w:tc>
        <w:tc>
          <w:tcPr>
            <w:tcW w:w="709" w:type="pct"/>
            <w:vMerge w:val="continue"/>
            <w:vAlign w:val="center"/>
          </w:tcPr>
          <w:p w14:paraId="1CE279A3">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448" w:type="pct"/>
            <w:vMerge w:val="continue"/>
            <w:vAlign w:val="center"/>
          </w:tcPr>
          <w:p w14:paraId="0EFC2A18">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398" w:type="pct"/>
            <w:vMerge w:val="continue"/>
            <w:vAlign w:val="center"/>
          </w:tcPr>
          <w:p w14:paraId="1ACE83CA">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448" w:type="pct"/>
            <w:vAlign w:val="center"/>
          </w:tcPr>
          <w:p w14:paraId="18C5A56A">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448" w:type="pct"/>
            <w:vAlign w:val="center"/>
          </w:tcPr>
          <w:p w14:paraId="39D3798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498" w:type="pct"/>
            <w:vAlign w:val="center"/>
          </w:tcPr>
          <w:p w14:paraId="20B8E71C">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eastAsia="等线"/>
                <w:color w:val="000000" w:themeColor="text1"/>
                <w:sz w:val="21"/>
                <w:szCs w:val="21"/>
                <w14:textFill>
                  <w14:solidFill>
                    <w14:schemeClr w14:val="tx1"/>
                  </w14:solidFill>
                </w14:textFill>
              </w:rPr>
              <w:t xml:space="preserve">839.77 </w:t>
            </w:r>
          </w:p>
        </w:tc>
        <w:tc>
          <w:tcPr>
            <w:tcW w:w="448" w:type="pct"/>
            <w:vAlign w:val="center"/>
          </w:tcPr>
          <w:p w14:paraId="4634F6F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是</w:t>
            </w:r>
          </w:p>
        </w:tc>
        <w:tc>
          <w:tcPr>
            <w:tcW w:w="646" w:type="pct"/>
            <w:vMerge w:val="continue"/>
            <w:vAlign w:val="center"/>
          </w:tcPr>
          <w:p w14:paraId="154CCD08">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300" w:type="pct"/>
            <w:vAlign w:val="center"/>
          </w:tcPr>
          <w:p w14:paraId="72721787">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2500</w:t>
            </w:r>
          </w:p>
        </w:tc>
        <w:tc>
          <w:tcPr>
            <w:tcW w:w="471" w:type="pct"/>
            <w:vAlign w:val="center"/>
          </w:tcPr>
          <w:p w14:paraId="575AF13C">
            <w:pPr>
              <w:adjustRightInd w:val="0"/>
              <w:snapToGrid w:val="0"/>
              <w:spacing w:line="240" w:lineRule="auto"/>
              <w:ind w:firstLine="0" w:firstLineChars="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船舱内，</w:t>
            </w:r>
            <w:r>
              <w:rPr>
                <w:rFonts w:hint="eastAsia"/>
                <w:color w:val="000000" w:themeColor="text1"/>
                <w:sz w:val="18"/>
                <w:szCs w:val="18"/>
                <w14:textFill>
                  <w14:solidFill>
                    <w14:schemeClr w14:val="tx1"/>
                  </w14:solidFill>
                </w14:textFill>
              </w:rPr>
              <w:t>10000吨船</w:t>
            </w:r>
          </w:p>
        </w:tc>
      </w:tr>
      <w:tr w14:paraId="2CBCAAD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86" w:type="pct"/>
            <w:vMerge w:val="restart"/>
            <w:vAlign w:val="center"/>
          </w:tcPr>
          <w:p w14:paraId="0980528E">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9</w:t>
            </w:r>
          </w:p>
        </w:tc>
        <w:tc>
          <w:tcPr>
            <w:tcW w:w="709" w:type="pct"/>
            <w:vMerge w:val="restart"/>
            <w:vAlign w:val="center"/>
          </w:tcPr>
          <w:p w14:paraId="4DADCE89">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液硫</w:t>
            </w:r>
          </w:p>
        </w:tc>
        <w:tc>
          <w:tcPr>
            <w:tcW w:w="448" w:type="pct"/>
            <w:vMerge w:val="restart"/>
            <w:vAlign w:val="center"/>
          </w:tcPr>
          <w:p w14:paraId="31CBB8D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63705-05-5</w:t>
            </w:r>
          </w:p>
        </w:tc>
        <w:tc>
          <w:tcPr>
            <w:tcW w:w="398" w:type="pct"/>
            <w:vMerge w:val="restart"/>
            <w:vAlign w:val="center"/>
          </w:tcPr>
          <w:p w14:paraId="5D815E93">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1800</w:t>
            </w:r>
          </w:p>
        </w:tc>
        <w:tc>
          <w:tcPr>
            <w:tcW w:w="1276" w:type="dxa"/>
            <w:vAlign w:val="center"/>
          </w:tcPr>
          <w:p w14:paraId="055415C9">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200</w:t>
            </w:r>
          </w:p>
        </w:tc>
        <w:tc>
          <w:tcPr>
            <w:tcW w:w="1276" w:type="dxa"/>
            <w:vAlign w:val="center"/>
          </w:tcPr>
          <w:p w14:paraId="42AD4440">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100</w:t>
            </w:r>
          </w:p>
        </w:tc>
        <w:tc>
          <w:tcPr>
            <w:tcW w:w="1418" w:type="dxa"/>
            <w:vAlign w:val="center"/>
          </w:tcPr>
          <w:p w14:paraId="5E5F433E">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eastAsia="等线"/>
                <w:color w:val="000000" w:themeColor="text1"/>
                <w:sz w:val="21"/>
                <w:szCs w:val="21"/>
                <w14:textFill>
                  <w14:solidFill>
                    <w14:schemeClr w14:val="tx1"/>
                  </w14:solidFill>
                </w14:textFill>
              </w:rPr>
              <w:t xml:space="preserve">42.39 </w:t>
            </w:r>
          </w:p>
        </w:tc>
        <w:tc>
          <w:tcPr>
            <w:tcW w:w="1276" w:type="dxa"/>
            <w:vAlign w:val="center"/>
          </w:tcPr>
          <w:p w14:paraId="402A843F">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是</w:t>
            </w:r>
          </w:p>
        </w:tc>
        <w:tc>
          <w:tcPr>
            <w:tcW w:w="1840" w:type="dxa"/>
            <w:vMerge w:val="restart"/>
            <w:vAlign w:val="center"/>
          </w:tcPr>
          <w:p w14:paraId="104AC8BE">
            <w:pPr>
              <w:adjustRightInd w:val="0"/>
              <w:snapToGrid w:val="0"/>
              <w:spacing w:line="240" w:lineRule="auto"/>
              <w:ind w:firstLine="420" w:firstLineChars="20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表B.1、B.2</w:t>
            </w:r>
            <w:r>
              <w:rPr>
                <w:color w:val="000000" w:themeColor="text1"/>
                <w:sz w:val="21"/>
                <w:szCs w:val="21"/>
                <w14:textFill>
                  <w14:solidFill>
                    <w14:schemeClr w14:val="tx1"/>
                  </w14:solidFill>
                </w14:textFill>
              </w:rPr>
              <w:t>（以硫为主）</w:t>
            </w:r>
          </w:p>
        </w:tc>
        <w:tc>
          <w:tcPr>
            <w:tcW w:w="854" w:type="dxa"/>
            <w:vAlign w:val="center"/>
          </w:tcPr>
          <w:p w14:paraId="3099FB8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10</w:t>
            </w:r>
          </w:p>
        </w:tc>
        <w:tc>
          <w:tcPr>
            <w:tcW w:w="1341" w:type="dxa"/>
            <w:vAlign w:val="center"/>
          </w:tcPr>
          <w:p w14:paraId="3DD73353">
            <w:pPr>
              <w:adjustRightInd w:val="0"/>
              <w:snapToGrid w:val="0"/>
              <w:spacing w:line="240" w:lineRule="auto"/>
              <w:ind w:firstLine="0" w:firstLineChars="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管线内</w:t>
            </w:r>
          </w:p>
        </w:tc>
      </w:tr>
      <w:tr w14:paraId="7B51F6E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86" w:type="pct"/>
            <w:vMerge w:val="continue"/>
            <w:vAlign w:val="center"/>
          </w:tcPr>
          <w:p w14:paraId="5D55ACE6">
            <w:pPr>
              <w:adjustRightInd w:val="0"/>
              <w:snapToGrid w:val="0"/>
              <w:spacing w:line="240" w:lineRule="auto"/>
              <w:ind w:firstLine="420"/>
              <w:jc w:val="center"/>
              <w:rPr>
                <w:color w:val="000000" w:themeColor="text1"/>
                <w:sz w:val="21"/>
                <w:szCs w:val="21"/>
                <w14:textFill>
                  <w14:solidFill>
                    <w14:schemeClr w14:val="tx1"/>
                  </w14:solidFill>
                </w14:textFill>
              </w:rPr>
            </w:pPr>
          </w:p>
        </w:tc>
        <w:tc>
          <w:tcPr>
            <w:tcW w:w="709" w:type="pct"/>
            <w:vMerge w:val="continue"/>
            <w:vAlign w:val="center"/>
          </w:tcPr>
          <w:p w14:paraId="0B22CA83">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448" w:type="pct"/>
            <w:vMerge w:val="continue"/>
            <w:vAlign w:val="center"/>
          </w:tcPr>
          <w:p w14:paraId="34E036FB">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398" w:type="pct"/>
            <w:vMerge w:val="continue"/>
            <w:vAlign w:val="center"/>
          </w:tcPr>
          <w:p w14:paraId="17654E3E">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1276" w:type="dxa"/>
            <w:vAlign w:val="center"/>
          </w:tcPr>
          <w:p w14:paraId="5A788CA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1276" w:type="dxa"/>
            <w:vAlign w:val="center"/>
          </w:tcPr>
          <w:p w14:paraId="0A1973A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1418" w:type="dxa"/>
            <w:vAlign w:val="center"/>
          </w:tcPr>
          <w:p w14:paraId="2F18E5AF">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eastAsia="等线"/>
                <w:color w:val="000000" w:themeColor="text1"/>
                <w:sz w:val="21"/>
                <w:szCs w:val="21"/>
                <w14:textFill>
                  <w14:solidFill>
                    <w14:schemeClr w14:val="tx1"/>
                  </w14:solidFill>
                </w14:textFill>
              </w:rPr>
              <w:t xml:space="preserve">1913.40 </w:t>
            </w:r>
          </w:p>
        </w:tc>
        <w:tc>
          <w:tcPr>
            <w:tcW w:w="1276" w:type="dxa"/>
            <w:vAlign w:val="center"/>
          </w:tcPr>
          <w:p w14:paraId="6D134C9A">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是</w:t>
            </w:r>
          </w:p>
        </w:tc>
        <w:tc>
          <w:tcPr>
            <w:tcW w:w="1840" w:type="dxa"/>
            <w:vMerge w:val="continue"/>
            <w:vAlign w:val="center"/>
          </w:tcPr>
          <w:p w14:paraId="3D519B25">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854" w:type="dxa"/>
            <w:vAlign w:val="center"/>
          </w:tcPr>
          <w:p w14:paraId="45F0DBF0">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10</w:t>
            </w:r>
          </w:p>
        </w:tc>
        <w:tc>
          <w:tcPr>
            <w:tcW w:w="1341" w:type="dxa"/>
            <w:vAlign w:val="center"/>
          </w:tcPr>
          <w:p w14:paraId="0D5E0694">
            <w:pPr>
              <w:adjustRightInd w:val="0"/>
              <w:snapToGrid w:val="0"/>
              <w:spacing w:line="240" w:lineRule="auto"/>
              <w:ind w:firstLine="0" w:firstLineChars="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船舱内，</w:t>
            </w:r>
            <w:r>
              <w:rPr>
                <w:rFonts w:hint="eastAsia"/>
                <w:color w:val="000000" w:themeColor="text1"/>
                <w:sz w:val="18"/>
                <w:szCs w:val="18"/>
                <w14:textFill>
                  <w14:solidFill>
                    <w14:schemeClr w14:val="tx1"/>
                  </w14:solidFill>
                </w14:textFill>
              </w:rPr>
              <w:t>10000吨船</w:t>
            </w:r>
          </w:p>
        </w:tc>
      </w:tr>
      <w:tr w14:paraId="4913C01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86" w:type="pct"/>
            <w:vMerge w:val="restart"/>
            <w:vAlign w:val="center"/>
          </w:tcPr>
          <w:p w14:paraId="321B4FA9">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10</w:t>
            </w:r>
          </w:p>
        </w:tc>
        <w:tc>
          <w:tcPr>
            <w:tcW w:w="709" w:type="pct"/>
            <w:vMerge w:val="restart"/>
            <w:vAlign w:val="center"/>
          </w:tcPr>
          <w:p w14:paraId="449E143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碱液</w:t>
            </w:r>
          </w:p>
        </w:tc>
        <w:tc>
          <w:tcPr>
            <w:tcW w:w="448" w:type="pct"/>
            <w:vMerge w:val="restart"/>
            <w:vAlign w:val="center"/>
          </w:tcPr>
          <w:p w14:paraId="30E87EE0">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 1310-73-2</w:t>
            </w:r>
          </w:p>
        </w:tc>
        <w:tc>
          <w:tcPr>
            <w:tcW w:w="398" w:type="pct"/>
            <w:vMerge w:val="restart"/>
            <w:vAlign w:val="center"/>
          </w:tcPr>
          <w:p w14:paraId="537FB9DD">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1330</w:t>
            </w:r>
          </w:p>
        </w:tc>
        <w:tc>
          <w:tcPr>
            <w:tcW w:w="448" w:type="pct"/>
            <w:vAlign w:val="center"/>
          </w:tcPr>
          <w:p w14:paraId="5BDCD61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150</w:t>
            </w:r>
          </w:p>
        </w:tc>
        <w:tc>
          <w:tcPr>
            <w:tcW w:w="448" w:type="pct"/>
            <w:vAlign w:val="center"/>
          </w:tcPr>
          <w:p w14:paraId="6229365D">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100</w:t>
            </w:r>
          </w:p>
        </w:tc>
        <w:tc>
          <w:tcPr>
            <w:tcW w:w="498" w:type="pct"/>
            <w:vAlign w:val="center"/>
          </w:tcPr>
          <w:p w14:paraId="757ED0F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eastAsia="等线"/>
                <w:color w:val="000000" w:themeColor="text1"/>
                <w:sz w:val="21"/>
                <w:szCs w:val="21"/>
                <w14:textFill>
                  <w14:solidFill>
                    <w14:schemeClr w14:val="tx1"/>
                  </w14:solidFill>
                </w14:textFill>
              </w:rPr>
              <w:t xml:space="preserve">31.32 </w:t>
            </w:r>
          </w:p>
        </w:tc>
        <w:tc>
          <w:tcPr>
            <w:tcW w:w="448" w:type="pct"/>
            <w:vAlign w:val="center"/>
          </w:tcPr>
          <w:p w14:paraId="4CC1085D">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是</w:t>
            </w:r>
          </w:p>
        </w:tc>
        <w:tc>
          <w:tcPr>
            <w:tcW w:w="646" w:type="pct"/>
            <w:vMerge w:val="restart"/>
            <w:vAlign w:val="center"/>
          </w:tcPr>
          <w:p w14:paraId="53460C88">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表B.2类别2</w:t>
            </w:r>
          </w:p>
        </w:tc>
        <w:tc>
          <w:tcPr>
            <w:tcW w:w="300" w:type="pct"/>
            <w:vAlign w:val="center"/>
          </w:tcPr>
          <w:p w14:paraId="657F83F0">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50</w:t>
            </w:r>
          </w:p>
        </w:tc>
        <w:tc>
          <w:tcPr>
            <w:tcW w:w="471" w:type="pct"/>
            <w:vAlign w:val="center"/>
          </w:tcPr>
          <w:p w14:paraId="45F09E21">
            <w:pPr>
              <w:adjustRightInd w:val="0"/>
              <w:snapToGrid w:val="0"/>
              <w:spacing w:line="240" w:lineRule="auto"/>
              <w:ind w:firstLine="0" w:firstLineChars="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管线内</w:t>
            </w:r>
          </w:p>
        </w:tc>
      </w:tr>
      <w:tr w14:paraId="791374B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86" w:type="pct"/>
            <w:vMerge w:val="continue"/>
            <w:vAlign w:val="center"/>
          </w:tcPr>
          <w:p w14:paraId="712E136A">
            <w:pPr>
              <w:adjustRightInd w:val="0"/>
              <w:snapToGrid w:val="0"/>
              <w:spacing w:line="240" w:lineRule="auto"/>
              <w:ind w:firstLine="420"/>
              <w:jc w:val="center"/>
              <w:rPr>
                <w:color w:val="000000" w:themeColor="text1"/>
                <w:sz w:val="21"/>
                <w:szCs w:val="21"/>
                <w14:textFill>
                  <w14:solidFill>
                    <w14:schemeClr w14:val="tx1"/>
                  </w14:solidFill>
                </w14:textFill>
              </w:rPr>
            </w:pPr>
          </w:p>
        </w:tc>
        <w:tc>
          <w:tcPr>
            <w:tcW w:w="709" w:type="pct"/>
            <w:vMerge w:val="continue"/>
            <w:vAlign w:val="center"/>
          </w:tcPr>
          <w:p w14:paraId="6692824E">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448" w:type="pct"/>
            <w:vMerge w:val="continue"/>
            <w:vAlign w:val="center"/>
          </w:tcPr>
          <w:p w14:paraId="39E0904B">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398" w:type="pct"/>
            <w:vMerge w:val="continue"/>
            <w:vAlign w:val="center"/>
          </w:tcPr>
          <w:p w14:paraId="79FC97EE">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448" w:type="pct"/>
            <w:vAlign w:val="center"/>
          </w:tcPr>
          <w:p w14:paraId="22AA5B43">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448" w:type="pct"/>
            <w:vAlign w:val="center"/>
          </w:tcPr>
          <w:p w14:paraId="7E4DA270">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498" w:type="pct"/>
            <w:vAlign w:val="center"/>
          </w:tcPr>
          <w:p w14:paraId="4CAD5FB4">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eastAsia="等线"/>
                <w:color w:val="000000" w:themeColor="text1"/>
                <w:sz w:val="21"/>
                <w:szCs w:val="21"/>
                <w14:textFill>
                  <w14:solidFill>
                    <w14:schemeClr w14:val="tx1"/>
                  </w14:solidFill>
                </w14:textFill>
              </w:rPr>
              <w:t>552.5</w:t>
            </w:r>
            <w:r>
              <w:rPr>
                <w:rFonts w:eastAsia="等线"/>
                <w:color w:val="000000" w:themeColor="text1"/>
                <w:sz w:val="21"/>
                <w:szCs w:val="21"/>
                <w14:textFill>
                  <w14:solidFill>
                    <w14:schemeClr w14:val="tx1"/>
                  </w14:solidFill>
                </w14:textFill>
              </w:rPr>
              <w:t xml:space="preserve"> </w:t>
            </w:r>
          </w:p>
        </w:tc>
        <w:tc>
          <w:tcPr>
            <w:tcW w:w="448" w:type="pct"/>
            <w:vAlign w:val="center"/>
          </w:tcPr>
          <w:p w14:paraId="4836D940">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是</w:t>
            </w:r>
          </w:p>
        </w:tc>
        <w:tc>
          <w:tcPr>
            <w:tcW w:w="646" w:type="pct"/>
            <w:vMerge w:val="continue"/>
            <w:vAlign w:val="center"/>
          </w:tcPr>
          <w:p w14:paraId="7B97D74D">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300" w:type="pct"/>
            <w:vAlign w:val="center"/>
          </w:tcPr>
          <w:p w14:paraId="18BC5D0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50</w:t>
            </w:r>
          </w:p>
        </w:tc>
        <w:tc>
          <w:tcPr>
            <w:tcW w:w="471" w:type="pct"/>
            <w:vAlign w:val="center"/>
          </w:tcPr>
          <w:p w14:paraId="70C8BFDE">
            <w:pPr>
              <w:adjustRightInd w:val="0"/>
              <w:snapToGrid w:val="0"/>
              <w:spacing w:line="240" w:lineRule="auto"/>
              <w:ind w:firstLine="0" w:firstLineChars="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船舱内，</w:t>
            </w:r>
            <w:r>
              <w:rPr>
                <w:rFonts w:hint="eastAsia"/>
                <w:color w:val="000000" w:themeColor="text1"/>
                <w:sz w:val="18"/>
                <w:szCs w:val="18"/>
                <w14:textFill>
                  <w14:solidFill>
                    <w14:schemeClr w14:val="tx1"/>
                  </w14:solidFill>
                </w14:textFill>
              </w:rPr>
              <w:t>5000吨船</w:t>
            </w:r>
          </w:p>
        </w:tc>
      </w:tr>
      <w:tr w14:paraId="09F4638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86" w:type="pct"/>
            <w:vMerge w:val="restart"/>
            <w:vAlign w:val="center"/>
          </w:tcPr>
          <w:p w14:paraId="6CA27B69">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11</w:t>
            </w:r>
          </w:p>
        </w:tc>
        <w:tc>
          <w:tcPr>
            <w:tcW w:w="709" w:type="pct"/>
            <w:vMerge w:val="restart"/>
            <w:vAlign w:val="center"/>
          </w:tcPr>
          <w:p w14:paraId="73D784F9">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发烟硫酸</w:t>
            </w:r>
          </w:p>
        </w:tc>
        <w:tc>
          <w:tcPr>
            <w:tcW w:w="448" w:type="pct"/>
            <w:vMerge w:val="restart"/>
            <w:vAlign w:val="center"/>
          </w:tcPr>
          <w:p w14:paraId="3C539E9C">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8014-95-7</w:t>
            </w:r>
          </w:p>
        </w:tc>
        <w:tc>
          <w:tcPr>
            <w:tcW w:w="398" w:type="pct"/>
            <w:vMerge w:val="restart"/>
            <w:vAlign w:val="center"/>
          </w:tcPr>
          <w:p w14:paraId="1ECC811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1900</w:t>
            </w:r>
          </w:p>
        </w:tc>
        <w:tc>
          <w:tcPr>
            <w:tcW w:w="448" w:type="pct"/>
            <w:vAlign w:val="center"/>
          </w:tcPr>
          <w:p w14:paraId="33A8934E">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150</w:t>
            </w:r>
          </w:p>
        </w:tc>
        <w:tc>
          <w:tcPr>
            <w:tcW w:w="448" w:type="pct"/>
            <w:vAlign w:val="center"/>
          </w:tcPr>
          <w:p w14:paraId="7F0FB6F4">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100</w:t>
            </w:r>
          </w:p>
        </w:tc>
        <w:tc>
          <w:tcPr>
            <w:tcW w:w="498" w:type="pct"/>
            <w:vAlign w:val="center"/>
          </w:tcPr>
          <w:p w14:paraId="096E826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eastAsia="等线"/>
                <w:color w:val="000000" w:themeColor="text1"/>
                <w:sz w:val="21"/>
                <w:szCs w:val="21"/>
                <w14:textFill>
                  <w14:solidFill>
                    <w14:schemeClr w14:val="tx1"/>
                  </w14:solidFill>
                </w14:textFill>
              </w:rPr>
              <w:t xml:space="preserve">44.75 </w:t>
            </w:r>
          </w:p>
        </w:tc>
        <w:tc>
          <w:tcPr>
            <w:tcW w:w="448" w:type="pct"/>
            <w:vAlign w:val="center"/>
          </w:tcPr>
          <w:p w14:paraId="065F660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是</w:t>
            </w:r>
          </w:p>
        </w:tc>
        <w:tc>
          <w:tcPr>
            <w:tcW w:w="646" w:type="pct"/>
            <w:vMerge w:val="restart"/>
            <w:vAlign w:val="center"/>
          </w:tcPr>
          <w:p w14:paraId="0F8D2D59">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127</w:t>
            </w:r>
          </w:p>
        </w:tc>
        <w:tc>
          <w:tcPr>
            <w:tcW w:w="300" w:type="pct"/>
            <w:vAlign w:val="center"/>
          </w:tcPr>
          <w:p w14:paraId="689FCE52">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5</w:t>
            </w:r>
          </w:p>
        </w:tc>
        <w:tc>
          <w:tcPr>
            <w:tcW w:w="471" w:type="pct"/>
            <w:vAlign w:val="center"/>
          </w:tcPr>
          <w:p w14:paraId="0D66DFEB">
            <w:pPr>
              <w:adjustRightInd w:val="0"/>
              <w:snapToGrid w:val="0"/>
              <w:spacing w:line="240" w:lineRule="auto"/>
              <w:ind w:firstLine="0" w:firstLineChars="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管线内</w:t>
            </w:r>
          </w:p>
        </w:tc>
      </w:tr>
      <w:tr w14:paraId="502A23D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86" w:type="pct"/>
            <w:vMerge w:val="continue"/>
            <w:vAlign w:val="center"/>
          </w:tcPr>
          <w:p w14:paraId="3669C090">
            <w:pPr>
              <w:adjustRightInd w:val="0"/>
              <w:snapToGrid w:val="0"/>
              <w:spacing w:line="240" w:lineRule="auto"/>
              <w:ind w:firstLine="420"/>
              <w:jc w:val="center"/>
              <w:rPr>
                <w:color w:val="000000" w:themeColor="text1"/>
                <w:sz w:val="21"/>
                <w:szCs w:val="21"/>
                <w14:textFill>
                  <w14:solidFill>
                    <w14:schemeClr w14:val="tx1"/>
                  </w14:solidFill>
                </w14:textFill>
              </w:rPr>
            </w:pPr>
          </w:p>
        </w:tc>
        <w:tc>
          <w:tcPr>
            <w:tcW w:w="709" w:type="pct"/>
            <w:vMerge w:val="continue"/>
            <w:vAlign w:val="center"/>
          </w:tcPr>
          <w:p w14:paraId="7D0409E1">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448" w:type="pct"/>
            <w:vMerge w:val="continue"/>
            <w:vAlign w:val="center"/>
          </w:tcPr>
          <w:p w14:paraId="46B3C635">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398" w:type="pct"/>
            <w:vMerge w:val="continue"/>
            <w:vAlign w:val="center"/>
          </w:tcPr>
          <w:p w14:paraId="5FEF8C91">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448" w:type="pct"/>
            <w:vAlign w:val="center"/>
          </w:tcPr>
          <w:p w14:paraId="50FF5A3E">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448" w:type="pct"/>
            <w:vAlign w:val="center"/>
          </w:tcPr>
          <w:p w14:paraId="2BC9710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498" w:type="pct"/>
            <w:vAlign w:val="center"/>
          </w:tcPr>
          <w:p w14:paraId="0565BCA3">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eastAsia="等线"/>
                <w:color w:val="000000" w:themeColor="text1"/>
                <w:sz w:val="21"/>
                <w:szCs w:val="21"/>
                <w14:textFill>
                  <w14:solidFill>
                    <w14:schemeClr w14:val="tx1"/>
                  </w14:solidFill>
                </w14:textFill>
              </w:rPr>
              <w:t xml:space="preserve">807.50 </w:t>
            </w:r>
          </w:p>
        </w:tc>
        <w:tc>
          <w:tcPr>
            <w:tcW w:w="448" w:type="pct"/>
            <w:vAlign w:val="center"/>
          </w:tcPr>
          <w:p w14:paraId="028CA777">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是</w:t>
            </w:r>
          </w:p>
        </w:tc>
        <w:tc>
          <w:tcPr>
            <w:tcW w:w="646" w:type="pct"/>
            <w:vMerge w:val="continue"/>
            <w:vAlign w:val="center"/>
          </w:tcPr>
          <w:p w14:paraId="658FAC8C">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300" w:type="pct"/>
            <w:vAlign w:val="center"/>
          </w:tcPr>
          <w:p w14:paraId="2B29F108">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5</w:t>
            </w:r>
          </w:p>
        </w:tc>
        <w:tc>
          <w:tcPr>
            <w:tcW w:w="471" w:type="pct"/>
            <w:vAlign w:val="center"/>
          </w:tcPr>
          <w:p w14:paraId="0861A11D">
            <w:pPr>
              <w:adjustRightInd w:val="0"/>
              <w:snapToGrid w:val="0"/>
              <w:spacing w:line="240" w:lineRule="auto"/>
              <w:ind w:firstLine="0" w:firstLineChars="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船舱内，</w:t>
            </w:r>
            <w:r>
              <w:rPr>
                <w:rFonts w:hint="eastAsia"/>
                <w:color w:val="000000" w:themeColor="text1"/>
                <w:sz w:val="18"/>
                <w:szCs w:val="18"/>
                <w14:textFill>
                  <w14:solidFill>
                    <w14:schemeClr w14:val="tx1"/>
                  </w14:solidFill>
                </w14:textFill>
              </w:rPr>
              <w:t>5000吨船</w:t>
            </w:r>
          </w:p>
        </w:tc>
      </w:tr>
      <w:tr w14:paraId="54DB445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86" w:type="pct"/>
            <w:vMerge w:val="restart"/>
            <w:vAlign w:val="center"/>
          </w:tcPr>
          <w:p w14:paraId="1AA0D3EE">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12</w:t>
            </w:r>
          </w:p>
        </w:tc>
        <w:tc>
          <w:tcPr>
            <w:tcW w:w="709" w:type="pct"/>
            <w:vMerge w:val="restart"/>
            <w:vAlign w:val="center"/>
          </w:tcPr>
          <w:p w14:paraId="083E6529">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硫酸</w:t>
            </w:r>
          </w:p>
        </w:tc>
        <w:tc>
          <w:tcPr>
            <w:tcW w:w="448" w:type="pct"/>
            <w:vMerge w:val="restart"/>
            <w:vAlign w:val="center"/>
          </w:tcPr>
          <w:p w14:paraId="76F50C38">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8014-95-7</w:t>
            </w:r>
          </w:p>
        </w:tc>
        <w:tc>
          <w:tcPr>
            <w:tcW w:w="398" w:type="pct"/>
            <w:vMerge w:val="restart"/>
            <w:vAlign w:val="center"/>
          </w:tcPr>
          <w:p w14:paraId="627DE58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1900</w:t>
            </w:r>
          </w:p>
        </w:tc>
        <w:tc>
          <w:tcPr>
            <w:tcW w:w="448" w:type="pct"/>
            <w:vAlign w:val="center"/>
          </w:tcPr>
          <w:p w14:paraId="4878574A">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150</w:t>
            </w:r>
          </w:p>
        </w:tc>
        <w:tc>
          <w:tcPr>
            <w:tcW w:w="448" w:type="pct"/>
            <w:vAlign w:val="center"/>
          </w:tcPr>
          <w:p w14:paraId="4964090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100</w:t>
            </w:r>
          </w:p>
        </w:tc>
        <w:tc>
          <w:tcPr>
            <w:tcW w:w="498" w:type="pct"/>
            <w:vAlign w:val="center"/>
          </w:tcPr>
          <w:p w14:paraId="555D44E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eastAsia="等线"/>
                <w:color w:val="000000" w:themeColor="text1"/>
                <w:sz w:val="21"/>
                <w:szCs w:val="21"/>
                <w14:textFill>
                  <w14:solidFill>
                    <w14:schemeClr w14:val="tx1"/>
                  </w14:solidFill>
                </w14:textFill>
              </w:rPr>
              <w:t xml:space="preserve">44.75 </w:t>
            </w:r>
          </w:p>
        </w:tc>
        <w:tc>
          <w:tcPr>
            <w:tcW w:w="448" w:type="pct"/>
            <w:vAlign w:val="center"/>
          </w:tcPr>
          <w:p w14:paraId="2FE3B90D">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是</w:t>
            </w:r>
          </w:p>
        </w:tc>
        <w:tc>
          <w:tcPr>
            <w:tcW w:w="646" w:type="pct"/>
            <w:vMerge w:val="restart"/>
            <w:vAlign w:val="center"/>
          </w:tcPr>
          <w:p w14:paraId="760DE3E9">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127</w:t>
            </w:r>
          </w:p>
        </w:tc>
        <w:tc>
          <w:tcPr>
            <w:tcW w:w="300" w:type="pct"/>
            <w:vAlign w:val="center"/>
          </w:tcPr>
          <w:p w14:paraId="6692C24C">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5</w:t>
            </w:r>
          </w:p>
        </w:tc>
        <w:tc>
          <w:tcPr>
            <w:tcW w:w="471" w:type="pct"/>
            <w:vAlign w:val="center"/>
          </w:tcPr>
          <w:p w14:paraId="29FDE0A6">
            <w:pPr>
              <w:adjustRightInd w:val="0"/>
              <w:snapToGrid w:val="0"/>
              <w:spacing w:line="240" w:lineRule="auto"/>
              <w:ind w:firstLine="0" w:firstLineChars="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管线内</w:t>
            </w:r>
          </w:p>
        </w:tc>
      </w:tr>
      <w:tr w14:paraId="59FD38C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86" w:type="pct"/>
            <w:vMerge w:val="continue"/>
            <w:vAlign w:val="center"/>
          </w:tcPr>
          <w:p w14:paraId="36E735FB">
            <w:pPr>
              <w:adjustRightInd w:val="0"/>
              <w:snapToGrid w:val="0"/>
              <w:spacing w:line="240" w:lineRule="auto"/>
              <w:ind w:firstLine="420"/>
              <w:jc w:val="center"/>
              <w:rPr>
                <w:color w:val="000000" w:themeColor="text1"/>
                <w:sz w:val="21"/>
                <w:szCs w:val="21"/>
                <w14:textFill>
                  <w14:solidFill>
                    <w14:schemeClr w14:val="tx1"/>
                  </w14:solidFill>
                </w14:textFill>
              </w:rPr>
            </w:pPr>
          </w:p>
        </w:tc>
        <w:tc>
          <w:tcPr>
            <w:tcW w:w="709" w:type="pct"/>
            <w:vMerge w:val="continue"/>
            <w:vAlign w:val="center"/>
          </w:tcPr>
          <w:p w14:paraId="30FF300D">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448" w:type="pct"/>
            <w:vMerge w:val="continue"/>
            <w:vAlign w:val="center"/>
          </w:tcPr>
          <w:p w14:paraId="7BC5165A">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398" w:type="pct"/>
            <w:vMerge w:val="continue"/>
            <w:vAlign w:val="center"/>
          </w:tcPr>
          <w:p w14:paraId="2CA8081C">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448" w:type="pct"/>
            <w:vAlign w:val="center"/>
          </w:tcPr>
          <w:p w14:paraId="190B00CC">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448" w:type="pct"/>
            <w:vAlign w:val="center"/>
          </w:tcPr>
          <w:p w14:paraId="3D740F04">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498" w:type="pct"/>
            <w:vAlign w:val="center"/>
          </w:tcPr>
          <w:p w14:paraId="2C1C356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eastAsia="等线"/>
                <w:color w:val="000000" w:themeColor="text1"/>
                <w:sz w:val="21"/>
                <w:szCs w:val="21"/>
                <w14:textFill>
                  <w14:solidFill>
                    <w14:schemeClr w14:val="tx1"/>
                  </w14:solidFill>
                </w14:textFill>
              </w:rPr>
              <w:t xml:space="preserve">807.50 </w:t>
            </w:r>
          </w:p>
        </w:tc>
        <w:tc>
          <w:tcPr>
            <w:tcW w:w="448" w:type="pct"/>
            <w:vAlign w:val="center"/>
          </w:tcPr>
          <w:p w14:paraId="492C470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是</w:t>
            </w:r>
          </w:p>
        </w:tc>
        <w:tc>
          <w:tcPr>
            <w:tcW w:w="646" w:type="pct"/>
            <w:vMerge w:val="continue"/>
            <w:vAlign w:val="center"/>
          </w:tcPr>
          <w:p w14:paraId="355A9CB4">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300" w:type="pct"/>
            <w:vAlign w:val="center"/>
          </w:tcPr>
          <w:p w14:paraId="019D7D8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5</w:t>
            </w:r>
          </w:p>
        </w:tc>
        <w:tc>
          <w:tcPr>
            <w:tcW w:w="471" w:type="pct"/>
            <w:vAlign w:val="center"/>
          </w:tcPr>
          <w:p w14:paraId="2008C29D">
            <w:pPr>
              <w:adjustRightInd w:val="0"/>
              <w:snapToGrid w:val="0"/>
              <w:spacing w:line="240" w:lineRule="auto"/>
              <w:ind w:firstLine="0" w:firstLineChars="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船舱内，</w:t>
            </w:r>
            <w:r>
              <w:rPr>
                <w:rFonts w:hint="eastAsia"/>
                <w:color w:val="000000" w:themeColor="text1"/>
                <w:sz w:val="18"/>
                <w:szCs w:val="18"/>
                <w14:textFill>
                  <w14:solidFill>
                    <w14:schemeClr w14:val="tx1"/>
                  </w14:solidFill>
                </w14:textFill>
              </w:rPr>
              <w:t>5000吨船</w:t>
            </w:r>
          </w:p>
        </w:tc>
      </w:tr>
      <w:tr w14:paraId="2149DFB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86" w:type="pct"/>
            <w:vAlign w:val="center"/>
          </w:tcPr>
          <w:p w14:paraId="6DFA975D">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13</w:t>
            </w:r>
          </w:p>
        </w:tc>
        <w:tc>
          <w:tcPr>
            <w:tcW w:w="709" w:type="pct"/>
            <w:vAlign w:val="center"/>
          </w:tcPr>
          <w:p w14:paraId="2DF3085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燃料油</w:t>
            </w:r>
          </w:p>
        </w:tc>
        <w:tc>
          <w:tcPr>
            <w:tcW w:w="4105" w:type="pct"/>
            <w:gridSpan w:val="9"/>
            <w:vAlign w:val="center"/>
          </w:tcPr>
          <w:p w14:paraId="3984CB30">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以50000吨船来计（考虑码头可以停靠），405.4，临界量100t（参照HJ1409-2025）</w:t>
            </w:r>
          </w:p>
        </w:tc>
      </w:tr>
    </w:tbl>
    <w:p w14:paraId="5EF32163">
      <w:pPr>
        <w:ind w:firstLine="420"/>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备注：参考《水上溢油环境风险评估技术导则》（JT/T114-2017）表C.1中5000～10000吨级单个舱容取425～1063m</w:t>
      </w:r>
      <w:r>
        <w:rPr>
          <w:rFonts w:hint="eastAsia"/>
          <w:color w:val="000000" w:themeColor="text1"/>
          <w:sz w:val="21"/>
          <w:szCs w:val="21"/>
          <w:vertAlign w:val="superscript"/>
          <w14:textFill>
            <w14:solidFill>
              <w14:schemeClr w14:val="tx1"/>
            </w14:solidFill>
          </w14:textFill>
        </w:rPr>
        <w:t>3</w:t>
      </w:r>
      <w:r>
        <w:rPr>
          <w:rFonts w:hint="eastAsia"/>
          <w:color w:val="000000" w:themeColor="text1"/>
          <w:sz w:val="21"/>
          <w:szCs w:val="21"/>
          <w14:textFill>
            <w14:solidFill>
              <w14:schemeClr w14:val="tx1"/>
            </w14:solidFill>
          </w14:textFill>
        </w:rPr>
        <w:t>，可能最大水上泄漏量为1个货油边舱全部泄漏。</w:t>
      </w:r>
    </w:p>
    <w:p w14:paraId="56E915D3">
      <w:pPr>
        <w:pStyle w:val="13"/>
        <w:rPr>
          <w:color w:val="000000" w:themeColor="text1"/>
          <w14:textFill>
            <w14:solidFill>
              <w14:schemeClr w14:val="tx1"/>
            </w14:solidFill>
          </w14:textFill>
        </w:rPr>
      </w:pPr>
    </w:p>
    <w:p w14:paraId="49F98ABE">
      <w:pPr>
        <w:ind w:firstLine="480"/>
        <w:rPr>
          <w:color w:val="000000" w:themeColor="text1"/>
          <w14:textFill>
            <w14:solidFill>
              <w14:schemeClr w14:val="tx1"/>
            </w14:solidFill>
          </w14:textFill>
        </w:rPr>
      </w:pPr>
    </w:p>
    <w:p w14:paraId="54FD4D7F">
      <w:pPr>
        <w:pStyle w:val="13"/>
        <w:rPr>
          <w:color w:val="000000" w:themeColor="text1"/>
          <w14:textFill>
            <w14:solidFill>
              <w14:schemeClr w14:val="tx1"/>
            </w14:solidFill>
          </w14:textFill>
        </w:rPr>
      </w:pPr>
    </w:p>
    <w:p w14:paraId="51751B07">
      <w:pPr>
        <w:ind w:firstLine="480"/>
        <w:rPr>
          <w:color w:val="000000" w:themeColor="text1"/>
          <w14:textFill>
            <w14:solidFill>
              <w14:schemeClr w14:val="tx1"/>
            </w14:solidFill>
          </w14:textFill>
        </w:rPr>
      </w:pPr>
    </w:p>
    <w:p w14:paraId="7E5BF630">
      <w:pPr>
        <w:pStyle w:val="13"/>
        <w:rPr>
          <w:color w:val="000000" w:themeColor="text1"/>
          <w14:textFill>
            <w14:solidFill>
              <w14:schemeClr w14:val="tx1"/>
            </w14:solidFill>
          </w14:textFill>
        </w:rPr>
      </w:pPr>
    </w:p>
    <w:p w14:paraId="590623EE">
      <w:pPr>
        <w:ind w:firstLine="480"/>
        <w:rPr>
          <w:color w:val="000000" w:themeColor="text1"/>
          <w14:textFill>
            <w14:solidFill>
              <w14:schemeClr w14:val="tx1"/>
            </w14:solidFill>
          </w14:textFill>
        </w:rPr>
      </w:pPr>
    </w:p>
    <w:p w14:paraId="17B53F3C">
      <w:pPr>
        <w:pStyle w:val="13"/>
        <w:rPr>
          <w:color w:val="000000" w:themeColor="text1"/>
          <w14:textFill>
            <w14:solidFill>
              <w14:schemeClr w14:val="tx1"/>
            </w14:solidFill>
          </w14:textFill>
        </w:rPr>
      </w:pPr>
    </w:p>
    <w:p w14:paraId="53812F2C">
      <w:pPr>
        <w:pStyle w:val="7"/>
        <w:rPr>
          <w:color w:val="000000" w:themeColor="text1"/>
          <w:u w:val="single"/>
          <w14:textFill>
            <w14:solidFill>
              <w14:schemeClr w14:val="tx1"/>
            </w14:solidFill>
          </w14:textFill>
        </w:rPr>
      </w:pPr>
      <w:r>
        <w:rPr>
          <w:color w:val="000000" w:themeColor="text1"/>
          <w:u w:val="single"/>
          <w14:textFill>
            <w14:solidFill>
              <w14:schemeClr w14:val="tx1"/>
            </w14:solidFill>
          </w14:textFill>
        </w:rPr>
        <w:t xml:space="preserve"> 项目货种不属于危险物质识别表</w:t>
      </w:r>
    </w:p>
    <w:tbl>
      <w:tblPr>
        <w:tblStyle w:val="43"/>
        <w:tblW w:w="13202"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182"/>
        <w:gridCol w:w="2551"/>
        <w:gridCol w:w="2552"/>
        <w:gridCol w:w="6917"/>
      </w:tblGrid>
      <w:tr w14:paraId="3AD575A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77" w:hRule="atLeast"/>
          <w:jc w:val="center"/>
        </w:trPr>
        <w:tc>
          <w:tcPr>
            <w:tcW w:w="1182" w:type="dxa"/>
            <w:noWrap/>
            <w:vAlign w:val="center"/>
          </w:tcPr>
          <w:p w14:paraId="62A6C290">
            <w:pPr>
              <w:pStyle w:val="70"/>
              <w:ind w:firstLine="0" w:firstLineChars="0"/>
              <w:rPr>
                <w:b/>
                <w:color w:val="000000" w:themeColor="text1"/>
                <w14:textFill>
                  <w14:solidFill>
                    <w14:schemeClr w14:val="tx1"/>
                  </w14:solidFill>
                </w14:textFill>
              </w:rPr>
            </w:pPr>
            <w:r>
              <w:rPr>
                <w:rFonts w:hint="eastAsia"/>
                <w:b/>
                <w:color w:val="000000" w:themeColor="text1"/>
                <w14:textFill>
                  <w14:solidFill>
                    <w14:schemeClr w14:val="tx1"/>
                  </w14:solidFill>
                </w14:textFill>
              </w:rPr>
              <w:t>物质名称</w:t>
            </w:r>
          </w:p>
        </w:tc>
        <w:tc>
          <w:tcPr>
            <w:tcW w:w="2551" w:type="dxa"/>
            <w:noWrap/>
            <w:vAlign w:val="center"/>
          </w:tcPr>
          <w:p w14:paraId="47D32A44">
            <w:pPr>
              <w:pStyle w:val="70"/>
              <w:ind w:firstLine="0" w:firstLineChars="0"/>
              <w:rPr>
                <w:b/>
                <w:color w:val="000000" w:themeColor="text1"/>
                <w14:textFill>
                  <w14:solidFill>
                    <w14:schemeClr w14:val="tx1"/>
                  </w14:solidFill>
                </w14:textFill>
              </w:rPr>
            </w:pPr>
            <w:r>
              <w:rPr>
                <w:rFonts w:hint="eastAsia"/>
                <w:b/>
                <w:color w:val="000000" w:themeColor="text1"/>
                <w14:textFill>
                  <w14:solidFill>
                    <w14:schemeClr w14:val="tx1"/>
                  </w14:solidFill>
                </w14:textFill>
              </w:rPr>
              <w:t>急性毒性 (GB 30000.18)</w:t>
            </w:r>
          </w:p>
        </w:tc>
        <w:tc>
          <w:tcPr>
            <w:tcW w:w="2552" w:type="dxa"/>
            <w:noWrap/>
            <w:vAlign w:val="center"/>
          </w:tcPr>
          <w:p w14:paraId="5238C814">
            <w:pPr>
              <w:pStyle w:val="70"/>
              <w:ind w:firstLine="0" w:firstLineChars="0"/>
              <w:rPr>
                <w:b/>
                <w:color w:val="000000" w:themeColor="text1"/>
                <w14:textFill>
                  <w14:solidFill>
                    <w14:schemeClr w14:val="tx1"/>
                  </w14:solidFill>
                </w14:textFill>
              </w:rPr>
            </w:pPr>
            <w:r>
              <w:rPr>
                <w:rFonts w:hint="eastAsia"/>
                <w:b/>
                <w:color w:val="000000" w:themeColor="text1"/>
                <w14:textFill>
                  <w14:solidFill>
                    <w14:schemeClr w14:val="tx1"/>
                  </w14:solidFill>
                </w14:textFill>
              </w:rPr>
              <w:t>对水生环境的危害 (GB 30000.28)</w:t>
            </w:r>
          </w:p>
        </w:tc>
        <w:tc>
          <w:tcPr>
            <w:tcW w:w="6917" w:type="dxa"/>
            <w:vAlign w:val="center"/>
          </w:tcPr>
          <w:p w14:paraId="21EBDCA8">
            <w:pPr>
              <w:pStyle w:val="70"/>
              <w:ind w:firstLine="0" w:firstLineChars="0"/>
              <w:rPr>
                <w:b/>
                <w:color w:val="000000" w:themeColor="text1"/>
                <w14:textFill>
                  <w14:solidFill>
                    <w14:schemeClr w14:val="tx1"/>
                  </w14:solidFill>
                </w14:textFill>
              </w:rPr>
            </w:pPr>
            <w:r>
              <w:rPr>
                <w:rFonts w:hint="eastAsia"/>
                <w:b/>
                <w:color w:val="000000" w:themeColor="text1"/>
                <w14:textFill>
                  <w14:solidFill>
                    <w14:schemeClr w14:val="tx1"/>
                  </w14:solidFill>
                </w14:textFill>
              </w:rPr>
              <w:t>主要依据与说明</w:t>
            </w:r>
          </w:p>
        </w:tc>
      </w:tr>
      <w:tr w14:paraId="078F5BC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5" w:hRule="atLeast"/>
          <w:jc w:val="center"/>
        </w:trPr>
        <w:tc>
          <w:tcPr>
            <w:tcW w:w="1182" w:type="dxa"/>
            <w:vMerge w:val="restart"/>
            <w:noWrap/>
            <w:vAlign w:val="center"/>
          </w:tcPr>
          <w:p w14:paraId="1AF7E197">
            <w:pPr>
              <w:pStyle w:val="70"/>
              <w:ind w:firstLine="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棕榈酸化油</w:t>
            </w:r>
          </w:p>
        </w:tc>
        <w:tc>
          <w:tcPr>
            <w:tcW w:w="2551" w:type="dxa"/>
            <w:vMerge w:val="restart"/>
            <w:noWrap/>
            <w:vAlign w:val="center"/>
          </w:tcPr>
          <w:p w14:paraId="36AD85FF">
            <w:pPr>
              <w:pStyle w:val="70"/>
              <w:ind w:firstLine="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通常不被分类 或 类别5 (经口)</w:t>
            </w:r>
          </w:p>
        </w:tc>
        <w:tc>
          <w:tcPr>
            <w:tcW w:w="2552" w:type="dxa"/>
            <w:vMerge w:val="restart"/>
            <w:noWrap/>
            <w:vAlign w:val="center"/>
          </w:tcPr>
          <w:p w14:paraId="16AF497E">
            <w:pPr>
              <w:pStyle w:val="70"/>
              <w:ind w:firstLine="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慢性类别1</w:t>
            </w:r>
          </w:p>
        </w:tc>
        <w:tc>
          <w:tcPr>
            <w:tcW w:w="6917" w:type="dxa"/>
            <w:vAlign w:val="center"/>
          </w:tcPr>
          <w:p w14:paraId="53B7ACAC">
            <w:pPr>
              <w:pStyle w:val="70"/>
              <w:ind w:firstLine="0" w:firstLineChars="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急性毒性</w:t>
            </w:r>
            <w:r>
              <w:rPr>
                <w:color w:val="000000" w:themeColor="text1"/>
                <w14:textFill>
                  <w14:solidFill>
                    <w14:schemeClr w14:val="tx1"/>
                  </w14:solidFill>
                </w14:textFill>
              </w:rPr>
              <w:t>：低毒，但大量摄入可能有害。可能因刺激性被分类为类别5。</w:t>
            </w:r>
          </w:p>
        </w:tc>
      </w:tr>
      <w:tr w14:paraId="107D841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5" w:hRule="atLeast"/>
          <w:jc w:val="center"/>
        </w:trPr>
        <w:tc>
          <w:tcPr>
            <w:tcW w:w="1182" w:type="dxa"/>
            <w:vMerge w:val="continue"/>
            <w:noWrap/>
            <w:vAlign w:val="center"/>
          </w:tcPr>
          <w:p w14:paraId="66E94CB6">
            <w:pPr>
              <w:pStyle w:val="70"/>
              <w:ind w:firstLine="0" w:firstLineChars="0"/>
              <w:rPr>
                <w:color w:val="000000" w:themeColor="text1"/>
                <w14:textFill>
                  <w14:solidFill>
                    <w14:schemeClr w14:val="tx1"/>
                  </w14:solidFill>
                </w14:textFill>
              </w:rPr>
            </w:pPr>
          </w:p>
        </w:tc>
        <w:tc>
          <w:tcPr>
            <w:tcW w:w="2551" w:type="dxa"/>
            <w:vMerge w:val="continue"/>
            <w:noWrap/>
            <w:vAlign w:val="center"/>
          </w:tcPr>
          <w:p w14:paraId="12964163">
            <w:pPr>
              <w:pStyle w:val="70"/>
              <w:ind w:firstLine="0" w:firstLineChars="0"/>
              <w:rPr>
                <w:color w:val="000000" w:themeColor="text1"/>
                <w14:textFill>
                  <w14:solidFill>
                    <w14:schemeClr w14:val="tx1"/>
                  </w14:solidFill>
                </w14:textFill>
              </w:rPr>
            </w:pPr>
          </w:p>
        </w:tc>
        <w:tc>
          <w:tcPr>
            <w:tcW w:w="2552" w:type="dxa"/>
            <w:vMerge w:val="continue"/>
            <w:noWrap/>
            <w:vAlign w:val="center"/>
          </w:tcPr>
          <w:p w14:paraId="3FD22B30">
            <w:pPr>
              <w:pStyle w:val="70"/>
              <w:ind w:firstLine="0" w:firstLineChars="0"/>
              <w:rPr>
                <w:color w:val="000000" w:themeColor="text1"/>
                <w14:textFill>
                  <w14:solidFill>
                    <w14:schemeClr w14:val="tx1"/>
                  </w14:solidFill>
                </w14:textFill>
              </w:rPr>
            </w:pPr>
          </w:p>
        </w:tc>
        <w:tc>
          <w:tcPr>
            <w:tcW w:w="6917" w:type="dxa"/>
            <w:vAlign w:val="center"/>
          </w:tcPr>
          <w:p w14:paraId="2281CEDF">
            <w:pPr>
              <w:pStyle w:val="70"/>
              <w:ind w:firstLine="0" w:firstLineChars="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水生毒性</w:t>
            </w:r>
            <w:r>
              <w:rPr>
                <w:color w:val="000000" w:themeColor="text1"/>
                <w14:textFill>
                  <w14:solidFill>
                    <w14:schemeClr w14:val="tx1"/>
                  </w14:solidFill>
                </w14:textFill>
              </w:rPr>
              <w:t>：油脂类物质可在水面形成油膜，隔绝氧气，对水生生物造成窒息和长期严重危害。</w:t>
            </w:r>
          </w:p>
        </w:tc>
      </w:tr>
      <w:tr w14:paraId="6C77052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5" w:hRule="atLeast"/>
          <w:jc w:val="center"/>
        </w:trPr>
        <w:tc>
          <w:tcPr>
            <w:tcW w:w="1182" w:type="dxa"/>
            <w:vMerge w:val="restart"/>
            <w:noWrap/>
            <w:vAlign w:val="center"/>
          </w:tcPr>
          <w:p w14:paraId="7C9DD839">
            <w:pPr>
              <w:pStyle w:val="70"/>
              <w:ind w:firstLine="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脂肪酸混合物</w:t>
            </w:r>
          </w:p>
        </w:tc>
        <w:tc>
          <w:tcPr>
            <w:tcW w:w="2551" w:type="dxa"/>
            <w:vMerge w:val="restart"/>
            <w:noWrap/>
            <w:vAlign w:val="center"/>
          </w:tcPr>
          <w:p w14:paraId="24E61C5A">
            <w:pPr>
              <w:pStyle w:val="70"/>
              <w:ind w:firstLine="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通常不被分类</w:t>
            </w:r>
          </w:p>
        </w:tc>
        <w:tc>
          <w:tcPr>
            <w:tcW w:w="2552" w:type="dxa"/>
            <w:vMerge w:val="restart"/>
            <w:noWrap/>
            <w:vAlign w:val="center"/>
          </w:tcPr>
          <w:p w14:paraId="2B089963">
            <w:pPr>
              <w:pStyle w:val="70"/>
              <w:ind w:firstLine="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慢性类别1</w:t>
            </w:r>
          </w:p>
        </w:tc>
        <w:tc>
          <w:tcPr>
            <w:tcW w:w="6917" w:type="dxa"/>
            <w:vAlign w:val="center"/>
          </w:tcPr>
          <w:p w14:paraId="096710A7">
            <w:pPr>
              <w:pStyle w:val="70"/>
              <w:ind w:firstLine="0" w:firstLineChars="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急性毒性</w:t>
            </w:r>
            <w:r>
              <w:rPr>
                <w:color w:val="000000" w:themeColor="text1"/>
                <w14:textFill>
                  <w14:solidFill>
                    <w14:schemeClr w14:val="tx1"/>
                  </w14:solidFill>
                </w14:textFill>
              </w:rPr>
              <w:t>：脂肪酸甲酯和脂肪酸的急性毒性通常很低。</w:t>
            </w:r>
          </w:p>
        </w:tc>
      </w:tr>
      <w:tr w14:paraId="18E2BCF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5" w:hRule="atLeast"/>
          <w:jc w:val="center"/>
        </w:trPr>
        <w:tc>
          <w:tcPr>
            <w:tcW w:w="1182" w:type="dxa"/>
            <w:vMerge w:val="continue"/>
            <w:noWrap/>
            <w:vAlign w:val="center"/>
          </w:tcPr>
          <w:p w14:paraId="488895DB">
            <w:pPr>
              <w:pStyle w:val="70"/>
              <w:ind w:firstLine="0" w:firstLineChars="0"/>
              <w:rPr>
                <w:color w:val="000000" w:themeColor="text1"/>
                <w14:textFill>
                  <w14:solidFill>
                    <w14:schemeClr w14:val="tx1"/>
                  </w14:solidFill>
                </w14:textFill>
              </w:rPr>
            </w:pPr>
          </w:p>
        </w:tc>
        <w:tc>
          <w:tcPr>
            <w:tcW w:w="2551" w:type="dxa"/>
            <w:vMerge w:val="continue"/>
            <w:noWrap/>
            <w:vAlign w:val="center"/>
          </w:tcPr>
          <w:p w14:paraId="67EAD020">
            <w:pPr>
              <w:pStyle w:val="70"/>
              <w:ind w:firstLine="0" w:firstLineChars="0"/>
              <w:rPr>
                <w:color w:val="000000" w:themeColor="text1"/>
                <w14:textFill>
                  <w14:solidFill>
                    <w14:schemeClr w14:val="tx1"/>
                  </w14:solidFill>
                </w14:textFill>
              </w:rPr>
            </w:pPr>
          </w:p>
        </w:tc>
        <w:tc>
          <w:tcPr>
            <w:tcW w:w="2552" w:type="dxa"/>
            <w:vMerge w:val="continue"/>
            <w:noWrap/>
            <w:vAlign w:val="center"/>
          </w:tcPr>
          <w:p w14:paraId="7C74FBE0">
            <w:pPr>
              <w:pStyle w:val="70"/>
              <w:ind w:firstLine="0" w:firstLineChars="0"/>
              <w:rPr>
                <w:color w:val="000000" w:themeColor="text1"/>
                <w14:textFill>
                  <w14:solidFill>
                    <w14:schemeClr w14:val="tx1"/>
                  </w14:solidFill>
                </w14:textFill>
              </w:rPr>
            </w:pPr>
          </w:p>
        </w:tc>
        <w:tc>
          <w:tcPr>
            <w:tcW w:w="6917" w:type="dxa"/>
            <w:vAlign w:val="center"/>
          </w:tcPr>
          <w:p w14:paraId="726ABD8C">
            <w:pPr>
              <w:pStyle w:val="70"/>
              <w:ind w:firstLine="0" w:firstLineChars="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水生毒性</w:t>
            </w:r>
            <w:r>
              <w:rPr>
                <w:color w:val="000000" w:themeColor="text1"/>
                <w14:textFill>
                  <w14:solidFill>
                    <w14:schemeClr w14:val="tx1"/>
                  </w14:solidFill>
                </w14:textFill>
              </w:rPr>
              <w:t>：混合物中的油性组分会对水生环境造成严重的长期危害。</w:t>
            </w:r>
          </w:p>
        </w:tc>
      </w:tr>
      <w:tr w14:paraId="197CFFA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5" w:hRule="atLeast"/>
          <w:jc w:val="center"/>
        </w:trPr>
        <w:tc>
          <w:tcPr>
            <w:tcW w:w="1182" w:type="dxa"/>
            <w:vMerge w:val="restart"/>
            <w:noWrap/>
            <w:vAlign w:val="center"/>
          </w:tcPr>
          <w:p w14:paraId="7403C768">
            <w:pPr>
              <w:pStyle w:val="70"/>
              <w:ind w:firstLine="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工业级混合油</w:t>
            </w:r>
          </w:p>
        </w:tc>
        <w:tc>
          <w:tcPr>
            <w:tcW w:w="2551" w:type="dxa"/>
            <w:vMerge w:val="restart"/>
            <w:noWrap/>
            <w:vAlign w:val="center"/>
          </w:tcPr>
          <w:p w14:paraId="4AEBAD7D">
            <w:pPr>
              <w:pStyle w:val="70"/>
              <w:ind w:firstLine="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通常不被分类 或 类别5</w:t>
            </w:r>
          </w:p>
        </w:tc>
        <w:tc>
          <w:tcPr>
            <w:tcW w:w="2552" w:type="dxa"/>
            <w:vMerge w:val="restart"/>
            <w:noWrap/>
            <w:vAlign w:val="center"/>
          </w:tcPr>
          <w:p w14:paraId="70B30789">
            <w:pPr>
              <w:pStyle w:val="70"/>
              <w:ind w:firstLine="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慢性类别1</w:t>
            </w:r>
          </w:p>
        </w:tc>
        <w:tc>
          <w:tcPr>
            <w:tcW w:w="6917" w:type="dxa"/>
            <w:vAlign w:val="center"/>
          </w:tcPr>
          <w:p w14:paraId="011C6DCC">
            <w:pPr>
              <w:pStyle w:val="70"/>
              <w:ind w:firstLine="0" w:firstLineChars="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急性毒性</w:t>
            </w:r>
            <w:r>
              <w:rPr>
                <w:color w:val="000000" w:themeColor="text1"/>
                <w14:textFill>
                  <w14:solidFill>
                    <w14:schemeClr w14:val="tx1"/>
                  </w14:solidFill>
                </w14:textFill>
              </w:rPr>
              <w:t>：成分复杂，可能含有有害杂质，但整体急性毒性不高。可能因未知杂质被谨慎分类为类别5。</w:t>
            </w:r>
          </w:p>
        </w:tc>
      </w:tr>
      <w:tr w14:paraId="5F06A7D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5" w:hRule="atLeast"/>
          <w:jc w:val="center"/>
        </w:trPr>
        <w:tc>
          <w:tcPr>
            <w:tcW w:w="1182" w:type="dxa"/>
            <w:vMerge w:val="continue"/>
            <w:noWrap/>
            <w:vAlign w:val="center"/>
          </w:tcPr>
          <w:p w14:paraId="0BFD40DD">
            <w:pPr>
              <w:pStyle w:val="70"/>
              <w:ind w:firstLine="0" w:firstLineChars="0"/>
              <w:rPr>
                <w:color w:val="000000" w:themeColor="text1"/>
                <w14:textFill>
                  <w14:solidFill>
                    <w14:schemeClr w14:val="tx1"/>
                  </w14:solidFill>
                </w14:textFill>
              </w:rPr>
            </w:pPr>
          </w:p>
        </w:tc>
        <w:tc>
          <w:tcPr>
            <w:tcW w:w="2551" w:type="dxa"/>
            <w:vMerge w:val="continue"/>
            <w:noWrap/>
            <w:vAlign w:val="center"/>
          </w:tcPr>
          <w:p w14:paraId="0C7F2DA1">
            <w:pPr>
              <w:pStyle w:val="70"/>
              <w:ind w:firstLine="0" w:firstLineChars="0"/>
              <w:rPr>
                <w:color w:val="000000" w:themeColor="text1"/>
                <w14:textFill>
                  <w14:solidFill>
                    <w14:schemeClr w14:val="tx1"/>
                  </w14:solidFill>
                </w14:textFill>
              </w:rPr>
            </w:pPr>
          </w:p>
        </w:tc>
        <w:tc>
          <w:tcPr>
            <w:tcW w:w="2552" w:type="dxa"/>
            <w:vMerge w:val="continue"/>
            <w:noWrap/>
            <w:vAlign w:val="center"/>
          </w:tcPr>
          <w:p w14:paraId="18CA21F5">
            <w:pPr>
              <w:pStyle w:val="70"/>
              <w:ind w:firstLine="0" w:firstLineChars="0"/>
              <w:rPr>
                <w:color w:val="000000" w:themeColor="text1"/>
                <w14:textFill>
                  <w14:solidFill>
                    <w14:schemeClr w14:val="tx1"/>
                  </w14:solidFill>
                </w14:textFill>
              </w:rPr>
            </w:pPr>
          </w:p>
        </w:tc>
        <w:tc>
          <w:tcPr>
            <w:tcW w:w="6917" w:type="dxa"/>
            <w:vAlign w:val="center"/>
          </w:tcPr>
          <w:p w14:paraId="7E6C210E">
            <w:pPr>
              <w:pStyle w:val="70"/>
              <w:ind w:firstLine="0" w:firstLineChars="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水生毒性</w:t>
            </w:r>
            <w:r>
              <w:rPr>
                <w:color w:val="000000" w:themeColor="text1"/>
                <w14:textFill>
                  <w14:solidFill>
                    <w14:schemeClr w14:val="tx1"/>
                  </w14:solidFill>
                </w14:textFill>
              </w:rPr>
              <w:t>：作为复杂的废弃油脂混合物，对水生生态系统有严重危害。</w:t>
            </w:r>
          </w:p>
        </w:tc>
      </w:tr>
      <w:tr w14:paraId="61A800E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5" w:hRule="atLeast"/>
          <w:jc w:val="center"/>
        </w:trPr>
        <w:tc>
          <w:tcPr>
            <w:tcW w:w="1182" w:type="dxa"/>
            <w:noWrap/>
            <w:vAlign w:val="center"/>
          </w:tcPr>
          <w:p w14:paraId="34C6F853">
            <w:pPr>
              <w:pStyle w:val="70"/>
              <w:ind w:firstLine="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脂肪酸甲酯</w:t>
            </w:r>
          </w:p>
        </w:tc>
        <w:tc>
          <w:tcPr>
            <w:tcW w:w="2551" w:type="dxa"/>
            <w:noWrap/>
            <w:vAlign w:val="center"/>
          </w:tcPr>
          <w:p w14:paraId="2A4F3A6E">
            <w:pPr>
              <w:pStyle w:val="70"/>
              <w:ind w:firstLine="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通常不被分类</w:t>
            </w:r>
          </w:p>
        </w:tc>
        <w:tc>
          <w:tcPr>
            <w:tcW w:w="2552" w:type="dxa"/>
            <w:noWrap/>
            <w:vAlign w:val="center"/>
          </w:tcPr>
          <w:p w14:paraId="4AB75BB0">
            <w:pPr>
              <w:pStyle w:val="70"/>
              <w:ind w:firstLine="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慢性类别1</w:t>
            </w:r>
          </w:p>
        </w:tc>
        <w:tc>
          <w:tcPr>
            <w:tcW w:w="6917" w:type="dxa"/>
            <w:vAlign w:val="center"/>
          </w:tcPr>
          <w:p w14:paraId="4AC1DAFF">
            <w:pPr>
              <w:pStyle w:val="70"/>
              <w:ind w:firstLine="0" w:firstLineChars="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急性毒性</w:t>
            </w:r>
            <w:r>
              <w:rPr>
                <w:color w:val="000000" w:themeColor="text1"/>
                <w14:textFill>
                  <w14:solidFill>
                    <w14:schemeClr w14:val="tx1"/>
                  </w14:solidFill>
                </w14:textFill>
              </w:rPr>
              <w:t>：纯品急性毒性很低。</w:t>
            </w:r>
          </w:p>
        </w:tc>
      </w:tr>
    </w:tbl>
    <w:p w14:paraId="5112F815">
      <w:pPr>
        <w:ind w:firstLine="480"/>
        <w:rPr>
          <w:color w:val="000000" w:themeColor="text1"/>
          <w14:textFill>
            <w14:solidFill>
              <w14:schemeClr w14:val="tx1"/>
            </w14:solidFill>
          </w14:textFill>
        </w:rPr>
      </w:pPr>
    </w:p>
    <w:p w14:paraId="2AFF3FD5">
      <w:pPr>
        <w:ind w:firstLine="480"/>
        <w:rPr>
          <w:color w:val="000000" w:themeColor="text1"/>
          <w14:textFill>
            <w14:solidFill>
              <w14:schemeClr w14:val="tx1"/>
            </w14:solidFill>
          </w14:textFill>
        </w:rPr>
      </w:pPr>
    </w:p>
    <w:p w14:paraId="57DED4E7">
      <w:pPr>
        <w:pStyle w:val="13"/>
        <w:rPr>
          <w:color w:val="000000" w:themeColor="text1"/>
          <w14:textFill>
            <w14:solidFill>
              <w14:schemeClr w14:val="tx1"/>
            </w14:solidFill>
          </w14:textFill>
        </w:rPr>
      </w:pPr>
    </w:p>
    <w:p w14:paraId="611B9EA9">
      <w:pPr>
        <w:ind w:firstLine="480"/>
        <w:rPr>
          <w:color w:val="000000" w:themeColor="text1"/>
          <w14:textFill>
            <w14:solidFill>
              <w14:schemeClr w14:val="tx1"/>
            </w14:solidFill>
          </w14:textFill>
        </w:rPr>
      </w:pPr>
    </w:p>
    <w:p w14:paraId="057FCB4E">
      <w:pPr>
        <w:ind w:firstLine="480"/>
        <w:rPr>
          <w:color w:val="000000" w:themeColor="text1"/>
          <w14:textFill>
            <w14:solidFill>
              <w14:schemeClr w14:val="tx1"/>
            </w14:solidFill>
          </w14:textFill>
        </w:rPr>
      </w:pPr>
    </w:p>
    <w:p w14:paraId="5115CAB9">
      <w:pPr>
        <w:ind w:firstLine="480"/>
        <w:rPr>
          <w:color w:val="000000" w:themeColor="text1"/>
          <w14:textFill>
            <w14:solidFill>
              <w14:schemeClr w14:val="tx1"/>
            </w14:solidFill>
          </w14:textFill>
        </w:rPr>
      </w:pPr>
    </w:p>
    <w:p w14:paraId="2505687C">
      <w:pPr>
        <w:ind w:firstLine="480"/>
        <w:rPr>
          <w:color w:val="000000" w:themeColor="text1"/>
          <w14:textFill>
            <w14:solidFill>
              <w14:schemeClr w14:val="tx1"/>
            </w14:solidFill>
          </w14:textFill>
        </w:rPr>
      </w:pPr>
    </w:p>
    <w:p w14:paraId="204315FF">
      <w:pPr>
        <w:pStyle w:val="13"/>
        <w:rPr>
          <w:color w:val="000000" w:themeColor="text1"/>
          <w14:textFill>
            <w14:solidFill>
              <w14:schemeClr w14:val="tx1"/>
            </w14:solidFill>
          </w14:textFill>
        </w:rPr>
      </w:pPr>
    </w:p>
    <w:p w14:paraId="26C0FCE8">
      <w:pPr>
        <w:pStyle w:val="7"/>
        <w:rPr>
          <w:color w:val="000000" w:themeColor="text1"/>
          <w:u w:val="single"/>
          <w14:textFill>
            <w14:solidFill>
              <w14:schemeClr w14:val="tx1"/>
            </w14:solidFill>
          </w14:textFill>
        </w:rPr>
      </w:pPr>
      <w:r>
        <w:rPr>
          <w:color w:val="000000" w:themeColor="text1"/>
          <w:u w:val="single"/>
          <w14:textFill>
            <w14:solidFill>
              <w14:schemeClr w14:val="tx1"/>
            </w14:solidFill>
          </w14:textFill>
        </w:rPr>
        <w:t>物质危险性识别表</w:t>
      </w:r>
    </w:p>
    <w:tbl>
      <w:tblPr>
        <w:tblStyle w:val="43"/>
        <w:tblW w:w="5308"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6" w:type="dxa"/>
          <w:bottom w:w="0" w:type="dxa"/>
          <w:right w:w="6" w:type="dxa"/>
        </w:tblCellMar>
      </w:tblPr>
      <w:tblGrid>
        <w:gridCol w:w="498"/>
        <w:gridCol w:w="1143"/>
        <w:gridCol w:w="896"/>
        <w:gridCol w:w="1037"/>
        <w:gridCol w:w="1676"/>
        <w:gridCol w:w="856"/>
        <w:gridCol w:w="717"/>
        <w:gridCol w:w="572"/>
        <w:gridCol w:w="713"/>
        <w:gridCol w:w="713"/>
        <w:gridCol w:w="713"/>
        <w:gridCol w:w="716"/>
        <w:gridCol w:w="571"/>
        <w:gridCol w:w="571"/>
        <w:gridCol w:w="713"/>
        <w:gridCol w:w="855"/>
        <w:gridCol w:w="1890"/>
      </w:tblGrid>
      <w:tr w14:paraId="6777104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6" w:type="dxa"/>
            <w:bottom w:w="0" w:type="dxa"/>
            <w:right w:w="6" w:type="dxa"/>
          </w:tblCellMar>
        </w:tblPrEx>
        <w:trPr>
          <w:trHeight w:val="340" w:hRule="atLeast"/>
          <w:tblHeader/>
          <w:jc w:val="center"/>
        </w:trPr>
        <w:tc>
          <w:tcPr>
            <w:tcW w:w="167" w:type="pct"/>
            <w:vMerge w:val="restart"/>
            <w:vAlign w:val="center"/>
          </w:tcPr>
          <w:p w14:paraId="5E77A387">
            <w:pPr>
              <w:pStyle w:val="70"/>
              <w:rPr>
                <w:b/>
                <w:color w:val="000000" w:themeColor="text1"/>
                <w14:textFill>
                  <w14:solidFill>
                    <w14:schemeClr w14:val="tx1"/>
                  </w14:solidFill>
                </w14:textFill>
              </w:rPr>
            </w:pPr>
            <w:r>
              <w:rPr>
                <w:rFonts w:hint="eastAsia"/>
                <w:b/>
                <w:color w:val="000000" w:themeColor="text1"/>
                <w14:textFill>
                  <w14:solidFill>
                    <w14:schemeClr w14:val="tx1"/>
                  </w14:solidFill>
                </w14:textFill>
              </w:rPr>
              <w:t>序号</w:t>
            </w:r>
          </w:p>
        </w:tc>
        <w:tc>
          <w:tcPr>
            <w:tcW w:w="385" w:type="pct"/>
            <w:vMerge w:val="restart"/>
            <w:vAlign w:val="center"/>
          </w:tcPr>
          <w:p w14:paraId="59325FE4">
            <w:pPr>
              <w:pStyle w:val="70"/>
              <w:rPr>
                <w:b/>
                <w:color w:val="000000" w:themeColor="text1"/>
                <w14:textFill>
                  <w14:solidFill>
                    <w14:schemeClr w14:val="tx1"/>
                  </w14:solidFill>
                </w14:textFill>
              </w:rPr>
            </w:pPr>
            <w:r>
              <w:rPr>
                <w:b/>
                <w:color w:val="000000" w:themeColor="text1"/>
                <w14:textFill>
                  <w14:solidFill>
                    <w14:schemeClr w14:val="tx1"/>
                  </w14:solidFill>
                </w14:textFill>
              </w:rPr>
              <w:t>名称</w:t>
            </w:r>
          </w:p>
        </w:tc>
        <w:tc>
          <w:tcPr>
            <w:tcW w:w="301" w:type="pct"/>
            <w:vMerge w:val="restart"/>
            <w:vAlign w:val="center"/>
          </w:tcPr>
          <w:p w14:paraId="4E9E00E7">
            <w:pPr>
              <w:pStyle w:val="70"/>
              <w:rPr>
                <w:b/>
                <w:color w:val="000000" w:themeColor="text1"/>
                <w14:textFill>
                  <w14:solidFill>
                    <w14:schemeClr w14:val="tx1"/>
                  </w14:solidFill>
                </w14:textFill>
              </w:rPr>
            </w:pPr>
            <w:r>
              <w:rPr>
                <w:rFonts w:hint="eastAsia"/>
                <w:b/>
                <w:color w:val="000000" w:themeColor="text1"/>
                <w14:textFill>
                  <w14:solidFill>
                    <w14:schemeClr w14:val="tx1"/>
                  </w14:solidFill>
                </w14:textFill>
              </w:rPr>
              <w:t>UN编号</w:t>
            </w:r>
          </w:p>
        </w:tc>
        <w:tc>
          <w:tcPr>
            <w:tcW w:w="349" w:type="pct"/>
            <w:vMerge w:val="restart"/>
            <w:vAlign w:val="center"/>
          </w:tcPr>
          <w:p w14:paraId="6C686F5B">
            <w:pPr>
              <w:pStyle w:val="70"/>
              <w:rPr>
                <w:b/>
                <w:color w:val="000000" w:themeColor="text1"/>
                <w14:textFill>
                  <w14:solidFill>
                    <w14:schemeClr w14:val="tx1"/>
                  </w14:solidFill>
                </w14:textFill>
              </w:rPr>
            </w:pPr>
            <w:r>
              <w:rPr>
                <w:b/>
                <w:color w:val="000000" w:themeColor="text1"/>
                <w14:textFill>
                  <w14:solidFill>
                    <w14:schemeClr w14:val="tx1"/>
                  </w14:solidFill>
                </w14:textFill>
              </w:rPr>
              <w:t>CAS号</w:t>
            </w:r>
          </w:p>
        </w:tc>
        <w:tc>
          <w:tcPr>
            <w:tcW w:w="564" w:type="pct"/>
            <w:vMerge w:val="restart"/>
            <w:vAlign w:val="center"/>
          </w:tcPr>
          <w:p w14:paraId="450BC227">
            <w:pPr>
              <w:pStyle w:val="70"/>
              <w:rPr>
                <w:b/>
                <w:color w:val="000000" w:themeColor="text1"/>
                <w14:textFill>
                  <w14:solidFill>
                    <w14:schemeClr w14:val="tx1"/>
                  </w14:solidFill>
                </w14:textFill>
              </w:rPr>
            </w:pPr>
            <w:r>
              <w:rPr>
                <w:b/>
                <w:color w:val="000000" w:themeColor="text1"/>
                <w14:textFill>
                  <w14:solidFill>
                    <w14:schemeClr w14:val="tx1"/>
                  </w14:solidFill>
                </w14:textFill>
              </w:rPr>
              <w:t>产品特性</w:t>
            </w:r>
          </w:p>
        </w:tc>
        <w:tc>
          <w:tcPr>
            <w:tcW w:w="288" w:type="pct"/>
            <w:vMerge w:val="restart"/>
            <w:vAlign w:val="center"/>
          </w:tcPr>
          <w:p w14:paraId="0507FDC7">
            <w:pPr>
              <w:pStyle w:val="70"/>
              <w:rPr>
                <w:b/>
                <w:color w:val="000000" w:themeColor="text1"/>
                <w14:textFill>
                  <w14:solidFill>
                    <w14:schemeClr w14:val="tx1"/>
                  </w14:solidFill>
                </w14:textFill>
              </w:rPr>
            </w:pPr>
            <w:r>
              <w:rPr>
                <w:rFonts w:hint="eastAsia"/>
                <w:b/>
                <w:color w:val="000000" w:themeColor="text1"/>
                <w14:textFill>
                  <w14:solidFill>
                    <w14:schemeClr w14:val="tx1"/>
                  </w14:solidFill>
                </w14:textFill>
              </w:rPr>
              <w:t>相对</w:t>
            </w:r>
          </w:p>
          <w:p w14:paraId="257C7073">
            <w:pPr>
              <w:pStyle w:val="70"/>
              <w:rPr>
                <w:b/>
                <w:color w:val="000000" w:themeColor="text1"/>
                <w14:textFill>
                  <w14:solidFill>
                    <w14:schemeClr w14:val="tx1"/>
                  </w14:solidFill>
                </w14:textFill>
              </w:rPr>
            </w:pPr>
            <w:r>
              <w:rPr>
                <w:rFonts w:hint="eastAsia"/>
                <w:b/>
                <w:color w:val="000000" w:themeColor="text1"/>
                <w14:textFill>
                  <w14:solidFill>
                    <w14:schemeClr w14:val="tx1"/>
                  </w14:solidFill>
                </w14:textFill>
              </w:rPr>
              <w:t>水密度</w:t>
            </w:r>
          </w:p>
        </w:tc>
        <w:tc>
          <w:tcPr>
            <w:tcW w:w="241" w:type="pct"/>
            <w:vMerge w:val="restart"/>
            <w:vAlign w:val="center"/>
          </w:tcPr>
          <w:p w14:paraId="1B1ED624">
            <w:pPr>
              <w:pStyle w:val="70"/>
              <w:rPr>
                <w:b/>
                <w:color w:val="000000" w:themeColor="text1"/>
                <w14:textFill>
                  <w14:solidFill>
                    <w14:schemeClr w14:val="tx1"/>
                  </w14:solidFill>
                </w14:textFill>
              </w:rPr>
            </w:pPr>
            <w:r>
              <w:rPr>
                <w:b/>
                <w:color w:val="000000" w:themeColor="text1"/>
                <w14:textFill>
                  <w14:solidFill>
                    <w14:schemeClr w14:val="tx1"/>
                  </w14:solidFill>
                </w14:textFill>
              </w:rPr>
              <w:t>闪点（℃）</w:t>
            </w:r>
          </w:p>
        </w:tc>
        <w:tc>
          <w:tcPr>
            <w:tcW w:w="192" w:type="pct"/>
            <w:vMerge w:val="restart"/>
            <w:vAlign w:val="center"/>
          </w:tcPr>
          <w:p w14:paraId="103E22F9">
            <w:pPr>
              <w:pStyle w:val="70"/>
              <w:rPr>
                <w:b/>
                <w:color w:val="000000" w:themeColor="text1"/>
                <w14:textFill>
                  <w14:solidFill>
                    <w14:schemeClr w14:val="tx1"/>
                  </w14:solidFill>
                </w14:textFill>
              </w:rPr>
            </w:pPr>
            <w:r>
              <w:rPr>
                <w:b/>
                <w:color w:val="000000" w:themeColor="text1"/>
                <w14:textFill>
                  <w14:solidFill>
                    <w14:schemeClr w14:val="tx1"/>
                  </w14:solidFill>
                </w14:textFill>
              </w:rPr>
              <w:t>沸点（℃）</w:t>
            </w:r>
          </w:p>
        </w:tc>
        <w:tc>
          <w:tcPr>
            <w:tcW w:w="240" w:type="pct"/>
            <w:vMerge w:val="restart"/>
            <w:vAlign w:val="center"/>
          </w:tcPr>
          <w:p w14:paraId="020951C9">
            <w:pPr>
              <w:pStyle w:val="70"/>
              <w:rPr>
                <w:b/>
                <w:color w:val="000000" w:themeColor="text1"/>
                <w14:textFill>
                  <w14:solidFill>
                    <w14:schemeClr w14:val="tx1"/>
                  </w14:solidFill>
                </w14:textFill>
              </w:rPr>
            </w:pPr>
            <w:r>
              <w:rPr>
                <w:b/>
                <w:color w:val="000000" w:themeColor="text1"/>
                <w14:textFill>
                  <w14:solidFill>
                    <w14:schemeClr w14:val="tx1"/>
                  </w14:solidFill>
                </w14:textFill>
              </w:rPr>
              <w:t>熔点（℃）</w:t>
            </w:r>
          </w:p>
        </w:tc>
        <w:tc>
          <w:tcPr>
            <w:tcW w:w="240" w:type="pct"/>
            <w:vMerge w:val="restart"/>
            <w:vAlign w:val="center"/>
          </w:tcPr>
          <w:p w14:paraId="7CC8D9EC">
            <w:pPr>
              <w:pStyle w:val="70"/>
              <w:rPr>
                <w:b/>
                <w:color w:val="000000" w:themeColor="text1"/>
                <w14:textFill>
                  <w14:solidFill>
                    <w14:schemeClr w14:val="tx1"/>
                  </w14:solidFill>
                </w14:textFill>
              </w:rPr>
            </w:pPr>
            <w:r>
              <w:rPr>
                <w:b/>
                <w:color w:val="000000" w:themeColor="text1"/>
                <w14:textFill>
                  <w14:solidFill>
                    <w14:schemeClr w14:val="tx1"/>
                  </w14:solidFill>
                </w14:textFill>
              </w:rPr>
              <w:t>自燃点（℃）</w:t>
            </w:r>
          </w:p>
        </w:tc>
        <w:tc>
          <w:tcPr>
            <w:tcW w:w="481" w:type="pct"/>
            <w:gridSpan w:val="2"/>
            <w:vAlign w:val="center"/>
          </w:tcPr>
          <w:p w14:paraId="128C6C20">
            <w:pPr>
              <w:pStyle w:val="70"/>
              <w:rPr>
                <w:b/>
                <w:color w:val="000000" w:themeColor="text1"/>
                <w14:textFill>
                  <w14:solidFill>
                    <w14:schemeClr w14:val="tx1"/>
                  </w14:solidFill>
                </w14:textFill>
              </w:rPr>
            </w:pPr>
            <w:r>
              <w:rPr>
                <w:b/>
                <w:color w:val="000000" w:themeColor="text1"/>
                <w14:textFill>
                  <w14:solidFill>
                    <w14:schemeClr w14:val="tx1"/>
                  </w14:solidFill>
                </w14:textFill>
              </w:rPr>
              <w:t>爆炸极限V%</w:t>
            </w:r>
          </w:p>
        </w:tc>
        <w:tc>
          <w:tcPr>
            <w:tcW w:w="192" w:type="pct"/>
            <w:vMerge w:val="restart"/>
            <w:vAlign w:val="center"/>
          </w:tcPr>
          <w:p w14:paraId="250739B4">
            <w:pPr>
              <w:pStyle w:val="70"/>
              <w:rPr>
                <w:b/>
                <w:color w:val="000000" w:themeColor="text1"/>
                <w14:textFill>
                  <w14:solidFill>
                    <w14:schemeClr w14:val="tx1"/>
                  </w14:solidFill>
                </w14:textFill>
              </w:rPr>
            </w:pPr>
            <w:r>
              <w:rPr>
                <w:b/>
                <w:color w:val="000000" w:themeColor="text1"/>
                <w14:textFill>
                  <w14:solidFill>
                    <w14:schemeClr w14:val="tx1"/>
                  </w14:solidFill>
                </w14:textFill>
              </w:rPr>
              <w:t>火灾危险分类</w:t>
            </w:r>
          </w:p>
        </w:tc>
        <w:tc>
          <w:tcPr>
            <w:tcW w:w="192" w:type="pct"/>
            <w:vMerge w:val="restart"/>
            <w:vAlign w:val="center"/>
          </w:tcPr>
          <w:p w14:paraId="1612A9DD">
            <w:pPr>
              <w:pStyle w:val="70"/>
              <w:rPr>
                <w:b/>
                <w:color w:val="000000" w:themeColor="text1"/>
                <w14:textFill>
                  <w14:solidFill>
                    <w14:schemeClr w14:val="tx1"/>
                  </w14:solidFill>
                </w14:textFill>
              </w:rPr>
            </w:pPr>
            <w:r>
              <w:rPr>
                <w:b/>
                <w:color w:val="000000" w:themeColor="text1"/>
                <w14:textFill>
                  <w14:solidFill>
                    <w14:schemeClr w14:val="tx1"/>
                  </w14:solidFill>
                </w14:textFill>
              </w:rPr>
              <w:t>毒性</w:t>
            </w:r>
          </w:p>
        </w:tc>
        <w:tc>
          <w:tcPr>
            <w:tcW w:w="240" w:type="pct"/>
            <w:vMerge w:val="restart"/>
            <w:vAlign w:val="center"/>
          </w:tcPr>
          <w:p w14:paraId="14A0506C">
            <w:pPr>
              <w:pStyle w:val="70"/>
              <w:rPr>
                <w:b/>
                <w:color w:val="000000" w:themeColor="text1"/>
                <w14:textFill>
                  <w14:solidFill>
                    <w14:schemeClr w14:val="tx1"/>
                  </w14:solidFill>
                </w14:textFill>
              </w:rPr>
            </w:pPr>
            <w:r>
              <w:rPr>
                <w:rFonts w:hint="eastAsia"/>
                <w:b/>
                <w:color w:val="000000" w:themeColor="text1"/>
                <w14:textFill>
                  <w14:solidFill>
                    <w14:schemeClr w14:val="tx1"/>
                  </w14:solidFill>
                </w14:textFill>
              </w:rPr>
              <w:t>溶解性</w:t>
            </w:r>
          </w:p>
        </w:tc>
        <w:tc>
          <w:tcPr>
            <w:tcW w:w="287" w:type="pct"/>
            <w:vMerge w:val="restart"/>
            <w:vAlign w:val="center"/>
          </w:tcPr>
          <w:p w14:paraId="56735C6B">
            <w:pPr>
              <w:pStyle w:val="70"/>
              <w:rPr>
                <w:b/>
                <w:color w:val="000000" w:themeColor="text1"/>
                <w14:textFill>
                  <w14:solidFill>
                    <w14:schemeClr w14:val="tx1"/>
                  </w14:solidFill>
                </w14:textFill>
              </w:rPr>
            </w:pPr>
            <w:r>
              <w:rPr>
                <w:rFonts w:hint="eastAsia"/>
                <w:b/>
                <w:color w:val="000000" w:themeColor="text1"/>
                <w14:textFill>
                  <w14:solidFill>
                    <w14:schemeClr w14:val="tx1"/>
                  </w14:solidFill>
                </w14:textFill>
              </w:rPr>
              <w:t>挥发性</w:t>
            </w:r>
          </w:p>
        </w:tc>
        <w:tc>
          <w:tcPr>
            <w:tcW w:w="636" w:type="pct"/>
            <w:vMerge w:val="restart"/>
            <w:vAlign w:val="center"/>
          </w:tcPr>
          <w:p w14:paraId="31780050">
            <w:pPr>
              <w:pStyle w:val="70"/>
              <w:rPr>
                <w:b/>
                <w:color w:val="000000" w:themeColor="text1"/>
                <w14:textFill>
                  <w14:solidFill>
                    <w14:schemeClr w14:val="tx1"/>
                  </w14:solidFill>
                </w14:textFill>
              </w:rPr>
            </w:pPr>
            <w:r>
              <w:rPr>
                <w:rFonts w:hint="eastAsia"/>
                <w:b/>
                <w:color w:val="000000" w:themeColor="text1"/>
                <w14:textFill>
                  <w14:solidFill>
                    <w14:schemeClr w14:val="tx1"/>
                  </w14:solidFill>
                </w14:textFill>
              </w:rPr>
              <w:t>危险性</w:t>
            </w:r>
          </w:p>
        </w:tc>
      </w:tr>
      <w:tr w14:paraId="1FF4166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6" w:type="dxa"/>
            <w:bottom w:w="0" w:type="dxa"/>
            <w:right w:w="6" w:type="dxa"/>
          </w:tblCellMar>
        </w:tblPrEx>
        <w:trPr>
          <w:trHeight w:val="340" w:hRule="atLeast"/>
          <w:tblHeader/>
          <w:jc w:val="center"/>
        </w:trPr>
        <w:tc>
          <w:tcPr>
            <w:tcW w:w="167" w:type="pct"/>
            <w:vMerge w:val="continue"/>
            <w:vAlign w:val="center"/>
          </w:tcPr>
          <w:p w14:paraId="0638EFC1">
            <w:pPr>
              <w:pStyle w:val="123"/>
              <w:keepNext/>
              <w:wordWrap w:val="0"/>
              <w:adjustRightInd w:val="0"/>
              <w:snapToGrid w:val="0"/>
              <w:ind w:firstLine="482"/>
              <w:rPr>
                <w:b w:val="0"/>
                <w:color w:val="000000" w:themeColor="text1"/>
                <w14:textFill>
                  <w14:solidFill>
                    <w14:schemeClr w14:val="tx1"/>
                  </w14:solidFill>
                </w14:textFill>
              </w:rPr>
            </w:pPr>
          </w:p>
        </w:tc>
        <w:tc>
          <w:tcPr>
            <w:tcW w:w="385" w:type="pct"/>
            <w:vMerge w:val="continue"/>
            <w:vAlign w:val="center"/>
          </w:tcPr>
          <w:p w14:paraId="3364CE7F">
            <w:pPr>
              <w:pStyle w:val="123"/>
              <w:keepNext/>
              <w:wordWrap w:val="0"/>
              <w:adjustRightInd w:val="0"/>
              <w:snapToGrid w:val="0"/>
              <w:ind w:firstLine="482"/>
              <w:rPr>
                <w:b w:val="0"/>
                <w:color w:val="000000" w:themeColor="text1"/>
                <w14:textFill>
                  <w14:solidFill>
                    <w14:schemeClr w14:val="tx1"/>
                  </w14:solidFill>
                </w14:textFill>
              </w:rPr>
            </w:pPr>
          </w:p>
        </w:tc>
        <w:tc>
          <w:tcPr>
            <w:tcW w:w="301" w:type="pct"/>
            <w:vMerge w:val="continue"/>
            <w:textDirection w:val="tbRlV"/>
            <w:vAlign w:val="center"/>
          </w:tcPr>
          <w:p w14:paraId="6526EF68">
            <w:pPr>
              <w:pStyle w:val="123"/>
              <w:keepNext/>
              <w:wordWrap w:val="0"/>
              <w:adjustRightInd w:val="0"/>
              <w:snapToGrid w:val="0"/>
              <w:ind w:firstLine="482"/>
              <w:rPr>
                <w:b w:val="0"/>
                <w:color w:val="000000" w:themeColor="text1"/>
                <w14:textFill>
                  <w14:solidFill>
                    <w14:schemeClr w14:val="tx1"/>
                  </w14:solidFill>
                </w14:textFill>
              </w:rPr>
            </w:pPr>
          </w:p>
        </w:tc>
        <w:tc>
          <w:tcPr>
            <w:tcW w:w="349" w:type="pct"/>
            <w:vMerge w:val="continue"/>
            <w:vAlign w:val="center"/>
          </w:tcPr>
          <w:p w14:paraId="5F98B213">
            <w:pPr>
              <w:pStyle w:val="123"/>
              <w:keepNext/>
              <w:wordWrap w:val="0"/>
              <w:adjustRightInd w:val="0"/>
              <w:snapToGrid w:val="0"/>
              <w:ind w:firstLine="482"/>
              <w:rPr>
                <w:b w:val="0"/>
                <w:color w:val="000000" w:themeColor="text1"/>
                <w14:textFill>
                  <w14:solidFill>
                    <w14:schemeClr w14:val="tx1"/>
                  </w14:solidFill>
                </w14:textFill>
              </w:rPr>
            </w:pPr>
          </w:p>
        </w:tc>
        <w:tc>
          <w:tcPr>
            <w:tcW w:w="564" w:type="pct"/>
            <w:vMerge w:val="continue"/>
            <w:vAlign w:val="center"/>
          </w:tcPr>
          <w:p w14:paraId="75D68BA3">
            <w:pPr>
              <w:pStyle w:val="123"/>
              <w:keepNext/>
              <w:wordWrap w:val="0"/>
              <w:adjustRightInd w:val="0"/>
              <w:snapToGrid w:val="0"/>
              <w:ind w:firstLine="482"/>
              <w:rPr>
                <w:b w:val="0"/>
                <w:color w:val="000000" w:themeColor="text1"/>
                <w14:textFill>
                  <w14:solidFill>
                    <w14:schemeClr w14:val="tx1"/>
                  </w14:solidFill>
                </w14:textFill>
              </w:rPr>
            </w:pPr>
          </w:p>
        </w:tc>
        <w:tc>
          <w:tcPr>
            <w:tcW w:w="288" w:type="pct"/>
            <w:vMerge w:val="continue"/>
            <w:vAlign w:val="center"/>
          </w:tcPr>
          <w:p w14:paraId="680662B5">
            <w:pPr>
              <w:pStyle w:val="123"/>
              <w:keepNext/>
              <w:wordWrap w:val="0"/>
              <w:adjustRightInd w:val="0"/>
              <w:snapToGrid w:val="0"/>
              <w:ind w:firstLine="482"/>
              <w:rPr>
                <w:b w:val="0"/>
                <w:color w:val="000000" w:themeColor="text1"/>
                <w14:textFill>
                  <w14:solidFill>
                    <w14:schemeClr w14:val="tx1"/>
                  </w14:solidFill>
                </w14:textFill>
              </w:rPr>
            </w:pPr>
          </w:p>
        </w:tc>
        <w:tc>
          <w:tcPr>
            <w:tcW w:w="241" w:type="pct"/>
            <w:vMerge w:val="continue"/>
            <w:vAlign w:val="center"/>
          </w:tcPr>
          <w:p w14:paraId="24A9425E">
            <w:pPr>
              <w:pStyle w:val="123"/>
              <w:keepNext/>
              <w:wordWrap w:val="0"/>
              <w:adjustRightInd w:val="0"/>
              <w:snapToGrid w:val="0"/>
              <w:ind w:firstLine="482"/>
              <w:rPr>
                <w:b w:val="0"/>
                <w:color w:val="000000" w:themeColor="text1"/>
                <w14:textFill>
                  <w14:solidFill>
                    <w14:schemeClr w14:val="tx1"/>
                  </w14:solidFill>
                </w14:textFill>
              </w:rPr>
            </w:pPr>
          </w:p>
        </w:tc>
        <w:tc>
          <w:tcPr>
            <w:tcW w:w="192" w:type="pct"/>
            <w:vMerge w:val="continue"/>
            <w:vAlign w:val="center"/>
          </w:tcPr>
          <w:p w14:paraId="27350E62">
            <w:pPr>
              <w:pStyle w:val="123"/>
              <w:keepNext/>
              <w:wordWrap w:val="0"/>
              <w:adjustRightInd w:val="0"/>
              <w:snapToGrid w:val="0"/>
              <w:ind w:firstLine="482"/>
              <w:rPr>
                <w:b w:val="0"/>
                <w:color w:val="000000" w:themeColor="text1"/>
                <w14:textFill>
                  <w14:solidFill>
                    <w14:schemeClr w14:val="tx1"/>
                  </w14:solidFill>
                </w14:textFill>
              </w:rPr>
            </w:pPr>
          </w:p>
        </w:tc>
        <w:tc>
          <w:tcPr>
            <w:tcW w:w="240" w:type="pct"/>
            <w:vMerge w:val="continue"/>
            <w:vAlign w:val="center"/>
          </w:tcPr>
          <w:p w14:paraId="10019861">
            <w:pPr>
              <w:pStyle w:val="123"/>
              <w:keepNext/>
              <w:wordWrap w:val="0"/>
              <w:adjustRightInd w:val="0"/>
              <w:snapToGrid w:val="0"/>
              <w:ind w:firstLine="482"/>
              <w:rPr>
                <w:b w:val="0"/>
                <w:color w:val="000000" w:themeColor="text1"/>
                <w14:textFill>
                  <w14:solidFill>
                    <w14:schemeClr w14:val="tx1"/>
                  </w14:solidFill>
                </w14:textFill>
              </w:rPr>
            </w:pPr>
          </w:p>
        </w:tc>
        <w:tc>
          <w:tcPr>
            <w:tcW w:w="240" w:type="pct"/>
            <w:vMerge w:val="continue"/>
            <w:vAlign w:val="center"/>
          </w:tcPr>
          <w:p w14:paraId="69C17ABC">
            <w:pPr>
              <w:pStyle w:val="123"/>
              <w:keepNext/>
              <w:wordWrap w:val="0"/>
              <w:adjustRightInd w:val="0"/>
              <w:snapToGrid w:val="0"/>
              <w:ind w:firstLine="482"/>
              <w:rPr>
                <w:b w:val="0"/>
                <w:color w:val="000000" w:themeColor="text1"/>
                <w14:textFill>
                  <w14:solidFill>
                    <w14:schemeClr w14:val="tx1"/>
                  </w14:solidFill>
                </w14:textFill>
              </w:rPr>
            </w:pPr>
          </w:p>
        </w:tc>
        <w:tc>
          <w:tcPr>
            <w:tcW w:w="240" w:type="pct"/>
            <w:vAlign w:val="center"/>
          </w:tcPr>
          <w:p w14:paraId="47FC7BA5">
            <w:pPr>
              <w:pStyle w:val="123"/>
              <w:keepNext/>
              <w:wordWrap w:val="0"/>
              <w:adjustRightInd w:val="0"/>
              <w:snapToGrid w:val="0"/>
              <w:jc w:val="both"/>
              <w:rPr>
                <w:bCs/>
                <w:color w:val="000000" w:themeColor="text1"/>
                <w14:textFill>
                  <w14:solidFill>
                    <w14:schemeClr w14:val="tx1"/>
                  </w14:solidFill>
                </w14:textFill>
              </w:rPr>
            </w:pPr>
            <w:r>
              <w:rPr>
                <w:bCs/>
                <w:color w:val="000000" w:themeColor="text1"/>
                <w14:textFill>
                  <w14:solidFill>
                    <w14:schemeClr w14:val="tx1"/>
                  </w14:solidFill>
                </w14:textFill>
              </w:rPr>
              <w:t>上限</w:t>
            </w:r>
          </w:p>
        </w:tc>
        <w:tc>
          <w:tcPr>
            <w:tcW w:w="241" w:type="pct"/>
            <w:vAlign w:val="center"/>
          </w:tcPr>
          <w:p w14:paraId="35031DD8">
            <w:pPr>
              <w:pStyle w:val="123"/>
              <w:keepNext/>
              <w:wordWrap w:val="0"/>
              <w:adjustRightInd w:val="0"/>
              <w:snapToGrid w:val="0"/>
              <w:jc w:val="both"/>
              <w:rPr>
                <w:bCs/>
                <w:color w:val="000000" w:themeColor="text1"/>
                <w14:textFill>
                  <w14:solidFill>
                    <w14:schemeClr w14:val="tx1"/>
                  </w14:solidFill>
                </w14:textFill>
              </w:rPr>
            </w:pPr>
            <w:r>
              <w:rPr>
                <w:bCs/>
                <w:color w:val="000000" w:themeColor="text1"/>
                <w14:textFill>
                  <w14:solidFill>
                    <w14:schemeClr w14:val="tx1"/>
                  </w14:solidFill>
                </w14:textFill>
              </w:rPr>
              <w:t>下限</w:t>
            </w:r>
          </w:p>
        </w:tc>
        <w:tc>
          <w:tcPr>
            <w:tcW w:w="192" w:type="pct"/>
            <w:vMerge w:val="continue"/>
            <w:vAlign w:val="center"/>
          </w:tcPr>
          <w:p w14:paraId="119B78B5">
            <w:pPr>
              <w:pStyle w:val="123"/>
              <w:keepNext/>
              <w:wordWrap w:val="0"/>
              <w:adjustRightInd w:val="0"/>
              <w:snapToGrid w:val="0"/>
              <w:ind w:firstLine="482"/>
              <w:rPr>
                <w:b w:val="0"/>
                <w:color w:val="000000" w:themeColor="text1"/>
                <w14:textFill>
                  <w14:solidFill>
                    <w14:schemeClr w14:val="tx1"/>
                  </w14:solidFill>
                </w14:textFill>
              </w:rPr>
            </w:pPr>
          </w:p>
        </w:tc>
        <w:tc>
          <w:tcPr>
            <w:tcW w:w="192" w:type="pct"/>
            <w:vMerge w:val="continue"/>
            <w:textDirection w:val="tbRlV"/>
            <w:vAlign w:val="center"/>
          </w:tcPr>
          <w:p w14:paraId="724002C7">
            <w:pPr>
              <w:pStyle w:val="123"/>
              <w:keepNext/>
              <w:wordWrap w:val="0"/>
              <w:adjustRightInd w:val="0"/>
              <w:snapToGrid w:val="0"/>
              <w:ind w:firstLine="482"/>
              <w:rPr>
                <w:b w:val="0"/>
                <w:color w:val="000000" w:themeColor="text1"/>
                <w14:textFill>
                  <w14:solidFill>
                    <w14:schemeClr w14:val="tx1"/>
                  </w14:solidFill>
                </w14:textFill>
              </w:rPr>
            </w:pPr>
          </w:p>
        </w:tc>
        <w:tc>
          <w:tcPr>
            <w:tcW w:w="240" w:type="pct"/>
            <w:vMerge w:val="continue"/>
            <w:textDirection w:val="tbRlV"/>
            <w:vAlign w:val="center"/>
          </w:tcPr>
          <w:p w14:paraId="530C1E8A">
            <w:pPr>
              <w:pStyle w:val="123"/>
              <w:keepNext/>
              <w:wordWrap w:val="0"/>
              <w:adjustRightInd w:val="0"/>
              <w:snapToGrid w:val="0"/>
              <w:ind w:firstLine="482"/>
              <w:rPr>
                <w:b w:val="0"/>
                <w:color w:val="000000" w:themeColor="text1"/>
                <w14:textFill>
                  <w14:solidFill>
                    <w14:schemeClr w14:val="tx1"/>
                  </w14:solidFill>
                </w14:textFill>
              </w:rPr>
            </w:pPr>
          </w:p>
        </w:tc>
        <w:tc>
          <w:tcPr>
            <w:tcW w:w="287" w:type="pct"/>
            <w:vMerge w:val="continue"/>
            <w:textDirection w:val="tbRlV"/>
            <w:vAlign w:val="center"/>
          </w:tcPr>
          <w:p w14:paraId="1A664958">
            <w:pPr>
              <w:pStyle w:val="123"/>
              <w:keepNext/>
              <w:wordWrap w:val="0"/>
              <w:adjustRightInd w:val="0"/>
              <w:snapToGrid w:val="0"/>
              <w:ind w:firstLine="482"/>
              <w:rPr>
                <w:b w:val="0"/>
                <w:color w:val="000000" w:themeColor="text1"/>
                <w14:textFill>
                  <w14:solidFill>
                    <w14:schemeClr w14:val="tx1"/>
                  </w14:solidFill>
                </w14:textFill>
              </w:rPr>
            </w:pPr>
          </w:p>
        </w:tc>
        <w:tc>
          <w:tcPr>
            <w:tcW w:w="636" w:type="pct"/>
            <w:vMerge w:val="continue"/>
            <w:textDirection w:val="tbRlV"/>
            <w:vAlign w:val="center"/>
          </w:tcPr>
          <w:p w14:paraId="7C626999">
            <w:pPr>
              <w:pStyle w:val="123"/>
              <w:keepNext/>
              <w:wordWrap w:val="0"/>
              <w:adjustRightInd w:val="0"/>
              <w:snapToGrid w:val="0"/>
              <w:ind w:firstLine="482"/>
              <w:rPr>
                <w:b w:val="0"/>
                <w:color w:val="000000" w:themeColor="text1"/>
                <w14:textFill>
                  <w14:solidFill>
                    <w14:schemeClr w14:val="tx1"/>
                  </w14:solidFill>
                </w14:textFill>
              </w:rPr>
            </w:pPr>
          </w:p>
        </w:tc>
      </w:tr>
      <w:tr w14:paraId="3DFB186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6" w:type="dxa"/>
            <w:bottom w:w="0" w:type="dxa"/>
            <w:right w:w="6" w:type="dxa"/>
          </w:tblCellMar>
        </w:tblPrEx>
        <w:trPr>
          <w:trHeight w:val="90" w:hRule="atLeast"/>
          <w:jc w:val="center"/>
        </w:trPr>
        <w:tc>
          <w:tcPr>
            <w:tcW w:w="167" w:type="pct"/>
            <w:vAlign w:val="center"/>
          </w:tcPr>
          <w:p w14:paraId="2902697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w:t>
            </w:r>
          </w:p>
        </w:tc>
        <w:tc>
          <w:tcPr>
            <w:tcW w:w="385" w:type="pct"/>
            <w:vAlign w:val="center"/>
          </w:tcPr>
          <w:p w14:paraId="5FDD2A1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苯乙烯</w:t>
            </w:r>
          </w:p>
        </w:tc>
        <w:tc>
          <w:tcPr>
            <w:tcW w:w="301" w:type="pct"/>
            <w:vAlign w:val="center"/>
          </w:tcPr>
          <w:p w14:paraId="222850B7">
            <w:pPr>
              <w:pStyle w:val="123"/>
              <w:wordWrap w:val="0"/>
              <w:adjustRightInd w:val="0"/>
              <w:snapToGrid w:val="0"/>
              <w:rPr>
                <w:b w:val="0"/>
                <w:color w:val="000000" w:themeColor="text1"/>
                <w14:textFill>
                  <w14:solidFill>
                    <w14:schemeClr w14:val="tx1"/>
                  </w14:solidFill>
                </w14:textFill>
              </w:rPr>
            </w:pPr>
            <w:r>
              <w:rPr>
                <w:b w:val="0"/>
                <w:color w:val="000000" w:themeColor="text1"/>
                <w14:textFill>
                  <w14:solidFill>
                    <w14:schemeClr w14:val="tx1"/>
                  </w14:solidFill>
                </w14:textFill>
              </w:rPr>
              <w:t>2055</w:t>
            </w:r>
          </w:p>
        </w:tc>
        <w:tc>
          <w:tcPr>
            <w:tcW w:w="349" w:type="pct"/>
            <w:vAlign w:val="center"/>
          </w:tcPr>
          <w:p w14:paraId="0950F3EC">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100-42-5</w:t>
            </w:r>
          </w:p>
        </w:tc>
        <w:tc>
          <w:tcPr>
            <w:tcW w:w="564" w:type="pct"/>
            <w:vAlign w:val="center"/>
          </w:tcPr>
          <w:p w14:paraId="35BA4CCC">
            <w:pPr>
              <w:pStyle w:val="123"/>
              <w:wordWrap w:val="0"/>
              <w:adjustRightInd w:val="0"/>
              <w:snapToGrid w:val="0"/>
              <w:rPr>
                <w:b w:val="0"/>
                <w:color w:val="000000" w:themeColor="text1"/>
                <w14:textFill>
                  <w14:solidFill>
                    <w14:schemeClr w14:val="tx1"/>
                  </w14:solidFill>
                </w14:textFill>
              </w:rPr>
            </w:pPr>
            <w:r>
              <w:rPr>
                <w:b w:val="0"/>
                <w:color w:val="000000" w:themeColor="text1"/>
                <w14:textFill>
                  <w14:solidFill>
                    <w14:schemeClr w14:val="tx1"/>
                  </w14:solidFill>
                </w14:textFill>
              </w:rPr>
              <w:t>易燃液体，类别3；皮肤腐蚀/刺激，类别2</w:t>
            </w:r>
          </w:p>
        </w:tc>
        <w:tc>
          <w:tcPr>
            <w:tcW w:w="288" w:type="pct"/>
            <w:vAlign w:val="center"/>
          </w:tcPr>
          <w:p w14:paraId="0D6F0F7E">
            <w:pPr>
              <w:pStyle w:val="123"/>
              <w:wordWrap w:val="0"/>
              <w:adjustRightInd w:val="0"/>
              <w:snapToGrid w:val="0"/>
              <w:rPr>
                <w:b w:val="0"/>
                <w:color w:val="000000" w:themeColor="text1"/>
                <w14:textFill>
                  <w14:solidFill>
                    <w14:schemeClr w14:val="tx1"/>
                  </w14:solidFill>
                </w14:textFill>
              </w:rPr>
            </w:pPr>
            <w:r>
              <w:rPr>
                <w:b w:val="0"/>
                <w:color w:val="000000" w:themeColor="text1"/>
                <w14:textFill>
                  <w14:solidFill>
                    <w14:schemeClr w14:val="tx1"/>
                  </w14:solidFill>
                </w14:textFill>
              </w:rPr>
              <w:t>0.906</w:t>
            </w:r>
          </w:p>
        </w:tc>
        <w:tc>
          <w:tcPr>
            <w:tcW w:w="241" w:type="pct"/>
            <w:vAlign w:val="center"/>
          </w:tcPr>
          <w:p w14:paraId="1713B5DE">
            <w:pPr>
              <w:pStyle w:val="123"/>
              <w:wordWrap w:val="0"/>
              <w:adjustRightInd w:val="0"/>
              <w:snapToGrid w:val="0"/>
              <w:rPr>
                <w:b w:val="0"/>
                <w:color w:val="000000" w:themeColor="text1"/>
                <w14:textFill>
                  <w14:solidFill>
                    <w14:schemeClr w14:val="tx1"/>
                  </w14:solidFill>
                </w14:textFill>
              </w:rPr>
            </w:pPr>
            <w:r>
              <w:rPr>
                <w:b w:val="0"/>
                <w:color w:val="000000" w:themeColor="text1"/>
                <w14:textFill>
                  <w14:solidFill>
                    <w14:schemeClr w14:val="tx1"/>
                  </w14:solidFill>
                </w14:textFill>
              </w:rPr>
              <w:t>31</w:t>
            </w:r>
          </w:p>
        </w:tc>
        <w:tc>
          <w:tcPr>
            <w:tcW w:w="192" w:type="pct"/>
            <w:vAlign w:val="center"/>
          </w:tcPr>
          <w:p w14:paraId="42D9E484">
            <w:pPr>
              <w:pStyle w:val="123"/>
              <w:wordWrap w:val="0"/>
              <w:adjustRightInd w:val="0"/>
              <w:snapToGrid w:val="0"/>
              <w:rPr>
                <w:b w:val="0"/>
                <w:color w:val="000000" w:themeColor="text1"/>
                <w14:textFill>
                  <w14:solidFill>
                    <w14:schemeClr w14:val="tx1"/>
                  </w14:solidFill>
                </w14:textFill>
              </w:rPr>
            </w:pPr>
            <w:r>
              <w:rPr>
                <w:b w:val="0"/>
                <w:color w:val="000000" w:themeColor="text1"/>
                <w14:textFill>
                  <w14:solidFill>
                    <w14:schemeClr w14:val="tx1"/>
                  </w14:solidFill>
                </w14:textFill>
              </w:rPr>
              <w:t>145</w:t>
            </w:r>
          </w:p>
        </w:tc>
        <w:tc>
          <w:tcPr>
            <w:tcW w:w="240" w:type="pct"/>
            <w:vAlign w:val="center"/>
          </w:tcPr>
          <w:p w14:paraId="1D56813A">
            <w:pPr>
              <w:pStyle w:val="123"/>
              <w:wordWrap w:val="0"/>
              <w:adjustRightInd w:val="0"/>
              <w:snapToGrid w:val="0"/>
              <w:rPr>
                <w:b w:val="0"/>
                <w:color w:val="000000" w:themeColor="text1"/>
                <w14:textFill>
                  <w14:solidFill>
                    <w14:schemeClr w14:val="tx1"/>
                  </w14:solidFill>
                </w14:textFill>
              </w:rPr>
            </w:pPr>
            <w:r>
              <w:rPr>
                <w:b w:val="0"/>
                <w:color w:val="000000" w:themeColor="text1"/>
                <w14:textFill>
                  <w14:solidFill>
                    <w14:schemeClr w14:val="tx1"/>
                  </w14:solidFill>
                </w14:textFill>
              </w:rPr>
              <w:t>-31</w:t>
            </w:r>
          </w:p>
        </w:tc>
        <w:tc>
          <w:tcPr>
            <w:tcW w:w="240" w:type="pct"/>
            <w:vAlign w:val="center"/>
          </w:tcPr>
          <w:p w14:paraId="608E9B42">
            <w:pPr>
              <w:pStyle w:val="123"/>
              <w:wordWrap w:val="0"/>
              <w:adjustRightInd w:val="0"/>
              <w:snapToGrid w:val="0"/>
              <w:rPr>
                <w:b w:val="0"/>
                <w:color w:val="000000" w:themeColor="text1"/>
                <w14:textFill>
                  <w14:solidFill>
                    <w14:schemeClr w14:val="tx1"/>
                  </w14:solidFill>
                </w14:textFill>
              </w:rPr>
            </w:pPr>
            <w:r>
              <w:rPr>
                <w:b w:val="0"/>
                <w:color w:val="000000" w:themeColor="text1"/>
                <w14:textFill>
                  <w14:solidFill>
                    <w14:schemeClr w14:val="tx1"/>
                  </w14:solidFill>
                </w14:textFill>
              </w:rPr>
              <w:t>490</w:t>
            </w:r>
          </w:p>
        </w:tc>
        <w:tc>
          <w:tcPr>
            <w:tcW w:w="240" w:type="pct"/>
            <w:vAlign w:val="center"/>
          </w:tcPr>
          <w:p w14:paraId="1F0862AF">
            <w:pPr>
              <w:pStyle w:val="123"/>
              <w:wordWrap w:val="0"/>
              <w:adjustRightInd w:val="0"/>
              <w:snapToGrid w:val="0"/>
              <w:rPr>
                <w:b w:val="0"/>
                <w:color w:val="000000" w:themeColor="text1"/>
                <w14:textFill>
                  <w14:solidFill>
                    <w14:schemeClr w14:val="tx1"/>
                  </w14:solidFill>
                </w14:textFill>
              </w:rPr>
            </w:pPr>
            <w:r>
              <w:rPr>
                <w:b w:val="0"/>
                <w:color w:val="000000" w:themeColor="text1"/>
                <w14:textFill>
                  <w14:solidFill>
                    <w14:schemeClr w14:val="tx1"/>
                  </w14:solidFill>
                </w14:textFill>
              </w:rPr>
              <w:t>6.8</w:t>
            </w:r>
          </w:p>
        </w:tc>
        <w:tc>
          <w:tcPr>
            <w:tcW w:w="241" w:type="pct"/>
            <w:vAlign w:val="center"/>
          </w:tcPr>
          <w:p w14:paraId="1C4B89FC">
            <w:pPr>
              <w:pStyle w:val="123"/>
              <w:wordWrap w:val="0"/>
              <w:adjustRightInd w:val="0"/>
              <w:snapToGrid w:val="0"/>
              <w:rPr>
                <w:b w:val="0"/>
                <w:color w:val="000000" w:themeColor="text1"/>
                <w14:textFill>
                  <w14:solidFill>
                    <w14:schemeClr w14:val="tx1"/>
                  </w14:solidFill>
                </w14:textFill>
              </w:rPr>
            </w:pPr>
            <w:r>
              <w:rPr>
                <w:b w:val="0"/>
                <w:color w:val="000000" w:themeColor="text1"/>
                <w14:textFill>
                  <w14:solidFill>
                    <w14:schemeClr w14:val="tx1"/>
                  </w14:solidFill>
                </w14:textFill>
              </w:rPr>
              <w:t>1.1</w:t>
            </w:r>
          </w:p>
        </w:tc>
        <w:tc>
          <w:tcPr>
            <w:tcW w:w="192" w:type="pct"/>
            <w:vAlign w:val="center"/>
          </w:tcPr>
          <w:p w14:paraId="47854E01">
            <w:pPr>
              <w:pStyle w:val="123"/>
              <w:wordWrap w:val="0"/>
              <w:adjustRightInd w:val="0"/>
              <w:snapToGrid w:val="0"/>
              <w:rPr>
                <w:b w:val="0"/>
                <w:color w:val="000000" w:themeColor="text1"/>
                <w14:textFill>
                  <w14:solidFill>
                    <w14:schemeClr w14:val="tx1"/>
                  </w14:solidFill>
                </w14:textFill>
              </w:rPr>
            </w:pPr>
            <w:r>
              <w:rPr>
                <w:b w:val="0"/>
                <w:color w:val="000000" w:themeColor="text1"/>
                <w14:textFill>
                  <w14:solidFill>
                    <w14:schemeClr w14:val="tx1"/>
                  </w14:solidFill>
                </w14:textFill>
              </w:rPr>
              <w:t>甲B</w:t>
            </w:r>
          </w:p>
        </w:tc>
        <w:tc>
          <w:tcPr>
            <w:tcW w:w="192" w:type="pct"/>
            <w:vAlign w:val="center"/>
          </w:tcPr>
          <w:p w14:paraId="05560A12">
            <w:pPr>
              <w:pStyle w:val="123"/>
              <w:wordWrap w:val="0"/>
              <w:adjustRightInd w:val="0"/>
              <w:snapToGrid w:val="0"/>
              <w:rPr>
                <w:b w:val="0"/>
                <w:color w:val="000000" w:themeColor="text1"/>
                <w14:textFill>
                  <w14:solidFill>
                    <w14:schemeClr w14:val="tx1"/>
                  </w14:solidFill>
                </w14:textFill>
              </w:rPr>
            </w:pPr>
            <w:r>
              <w:rPr>
                <w:b w:val="0"/>
                <w:color w:val="000000" w:themeColor="text1"/>
                <w14:textFill>
                  <w14:solidFill>
                    <w14:schemeClr w14:val="tx1"/>
                  </w14:solidFill>
                </w14:textFill>
              </w:rPr>
              <w:t>Ⅲ</w:t>
            </w:r>
          </w:p>
        </w:tc>
        <w:tc>
          <w:tcPr>
            <w:tcW w:w="240" w:type="pct"/>
            <w:vAlign w:val="center"/>
          </w:tcPr>
          <w:p w14:paraId="5F3496AB">
            <w:pPr>
              <w:pStyle w:val="123"/>
              <w:wordWrap w:val="0"/>
              <w:adjustRightInd w:val="0"/>
              <w:snapToGrid w:val="0"/>
              <w:rPr>
                <w:b w:val="0"/>
                <w:color w:val="000000" w:themeColor="text1"/>
                <w14:textFill>
                  <w14:solidFill>
                    <w14:schemeClr w14:val="tx1"/>
                  </w14:solidFill>
                </w14:textFill>
              </w:rPr>
            </w:pPr>
            <w:r>
              <w:rPr>
                <w:b w:val="0"/>
                <w:color w:val="000000" w:themeColor="text1"/>
                <w14:textFill>
                  <w14:solidFill>
                    <w14:schemeClr w14:val="tx1"/>
                  </w14:solidFill>
                </w14:textFill>
              </w:rPr>
              <w:t>不溶于水</w:t>
            </w:r>
          </w:p>
        </w:tc>
        <w:tc>
          <w:tcPr>
            <w:tcW w:w="287" w:type="pct"/>
            <w:vAlign w:val="center"/>
          </w:tcPr>
          <w:p w14:paraId="28D81DBF">
            <w:pPr>
              <w:widowControl/>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易挥发</w:t>
            </w:r>
          </w:p>
        </w:tc>
        <w:tc>
          <w:tcPr>
            <w:tcW w:w="636" w:type="pct"/>
            <w:vAlign w:val="center"/>
          </w:tcPr>
          <w:p w14:paraId="7D3ABFCA">
            <w:pPr>
              <w:pStyle w:val="123"/>
              <w:wordWrap w:val="0"/>
              <w:adjustRightInd w:val="0"/>
              <w:snapToGrid w:val="0"/>
              <w:rPr>
                <w:b w:val="0"/>
                <w:color w:val="000000" w:themeColor="text1"/>
                <w14:textFill>
                  <w14:solidFill>
                    <w14:schemeClr w14:val="tx1"/>
                  </w14:solidFill>
                </w14:textFill>
              </w:rPr>
            </w:pPr>
            <w:r>
              <w:rPr>
                <w:b w:val="0"/>
                <w:color w:val="000000" w:themeColor="text1"/>
                <w14:textFill>
                  <w14:solidFill>
                    <w14:schemeClr w14:val="tx1"/>
                  </w14:solidFill>
                </w14:textFill>
              </w:rPr>
              <w:t>极度易燃，有爆炸风险</w:t>
            </w:r>
          </w:p>
        </w:tc>
      </w:tr>
      <w:tr w14:paraId="119D4F9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6" w:type="dxa"/>
            <w:bottom w:w="0" w:type="dxa"/>
            <w:right w:w="6" w:type="dxa"/>
          </w:tblCellMar>
        </w:tblPrEx>
        <w:trPr>
          <w:trHeight w:val="90" w:hRule="atLeast"/>
          <w:jc w:val="center"/>
        </w:trPr>
        <w:tc>
          <w:tcPr>
            <w:tcW w:w="167" w:type="pct"/>
            <w:vAlign w:val="center"/>
          </w:tcPr>
          <w:p w14:paraId="59D9510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w:t>
            </w:r>
          </w:p>
        </w:tc>
        <w:tc>
          <w:tcPr>
            <w:tcW w:w="385" w:type="pct"/>
            <w:vAlign w:val="center"/>
          </w:tcPr>
          <w:p w14:paraId="309AEC2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纯生物柴油</w:t>
            </w:r>
          </w:p>
        </w:tc>
        <w:tc>
          <w:tcPr>
            <w:tcW w:w="301" w:type="pct"/>
            <w:vAlign w:val="center"/>
          </w:tcPr>
          <w:p w14:paraId="4C4EEE7A">
            <w:pPr>
              <w:pStyle w:val="123"/>
              <w:wordWrap w:val="0"/>
              <w:adjustRightInd w:val="0"/>
              <w:snapToGrid w:val="0"/>
              <w:rPr>
                <w:b w:val="0"/>
                <w:color w:val="000000" w:themeColor="text1"/>
                <w14:textFill>
                  <w14:solidFill>
                    <w14:schemeClr w14:val="tx1"/>
                  </w14:solidFill>
                </w14:textFill>
              </w:rPr>
            </w:pPr>
            <w:r>
              <w:rPr>
                <w:b w:val="0"/>
                <w:color w:val="000000" w:themeColor="text1"/>
                <w14:textFill>
                  <w14:solidFill>
                    <w14:schemeClr w14:val="tx1"/>
                  </w14:solidFill>
                </w14:textFill>
              </w:rPr>
              <w:t>暂无</w:t>
            </w:r>
          </w:p>
        </w:tc>
        <w:tc>
          <w:tcPr>
            <w:tcW w:w="349" w:type="pct"/>
            <w:vAlign w:val="center"/>
          </w:tcPr>
          <w:p w14:paraId="7A18BFEA">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67784-80-9</w:t>
            </w:r>
          </w:p>
        </w:tc>
        <w:tc>
          <w:tcPr>
            <w:tcW w:w="564" w:type="pct"/>
            <w:vAlign w:val="center"/>
          </w:tcPr>
          <w:p w14:paraId="24094A5B">
            <w:pPr>
              <w:pStyle w:val="123"/>
              <w:wordWrap w:val="0"/>
              <w:adjustRightInd w:val="0"/>
              <w:snapToGrid w:val="0"/>
              <w:jc w:val="both"/>
              <w:rPr>
                <w:b w:val="0"/>
                <w:color w:val="000000" w:themeColor="text1"/>
                <w14:textFill>
                  <w14:solidFill>
                    <w14:schemeClr w14:val="tx1"/>
                  </w14:solidFill>
                </w14:textFill>
              </w:rPr>
            </w:pPr>
            <w:r>
              <w:rPr>
                <w:b w:val="0"/>
                <w:color w:val="000000" w:themeColor="text1"/>
                <w14:textFill>
                  <w14:solidFill>
                    <w14:schemeClr w14:val="tx1"/>
                  </w14:solidFill>
                </w14:textFill>
              </w:rPr>
              <w:t>易燃液体，类别4</w:t>
            </w:r>
          </w:p>
        </w:tc>
        <w:tc>
          <w:tcPr>
            <w:tcW w:w="288" w:type="pct"/>
            <w:vAlign w:val="center"/>
          </w:tcPr>
          <w:p w14:paraId="441EF5C6">
            <w:pPr>
              <w:pStyle w:val="123"/>
              <w:wordWrap w:val="0"/>
              <w:adjustRightInd w:val="0"/>
              <w:snapToGrid w:val="0"/>
              <w:rPr>
                <w:b w:val="0"/>
                <w:color w:val="000000" w:themeColor="text1"/>
                <w14:textFill>
                  <w14:solidFill>
                    <w14:schemeClr w14:val="tx1"/>
                  </w14:solidFill>
                </w14:textFill>
              </w:rPr>
            </w:pPr>
            <w:r>
              <w:rPr>
                <w:b w:val="0"/>
                <w:color w:val="000000" w:themeColor="text1"/>
                <w14:textFill>
                  <w14:solidFill>
                    <w14:schemeClr w14:val="tx1"/>
                  </w14:solidFill>
                </w14:textFill>
              </w:rPr>
              <w:t>0.88</w:t>
            </w:r>
          </w:p>
        </w:tc>
        <w:tc>
          <w:tcPr>
            <w:tcW w:w="241" w:type="pct"/>
            <w:vAlign w:val="center"/>
          </w:tcPr>
          <w:p w14:paraId="2237FD8C">
            <w:pPr>
              <w:pStyle w:val="123"/>
              <w:wordWrap w:val="0"/>
              <w:adjustRightInd w:val="0"/>
              <w:snapToGrid w:val="0"/>
              <w:rPr>
                <w:b w:val="0"/>
                <w:color w:val="000000" w:themeColor="text1"/>
                <w14:textFill>
                  <w14:solidFill>
                    <w14:schemeClr w14:val="tx1"/>
                  </w14:solidFill>
                </w14:textFill>
              </w:rPr>
            </w:pPr>
            <w:r>
              <w:rPr>
                <w:b w:val="0"/>
                <w:color w:val="000000" w:themeColor="text1"/>
                <w14:textFill>
                  <w14:solidFill>
                    <w14:schemeClr w14:val="tx1"/>
                  </w14:solidFill>
                </w14:textFill>
              </w:rPr>
              <w:t>&gt;100</w:t>
            </w:r>
          </w:p>
        </w:tc>
        <w:tc>
          <w:tcPr>
            <w:tcW w:w="192" w:type="pct"/>
            <w:vAlign w:val="center"/>
          </w:tcPr>
          <w:p w14:paraId="62724978">
            <w:pPr>
              <w:pStyle w:val="123"/>
              <w:wordWrap w:val="0"/>
              <w:adjustRightInd w:val="0"/>
              <w:snapToGrid w:val="0"/>
              <w:rPr>
                <w:b w:val="0"/>
                <w:color w:val="000000" w:themeColor="text1"/>
                <w14:textFill>
                  <w14:solidFill>
                    <w14:schemeClr w14:val="tx1"/>
                  </w14:solidFill>
                </w14:textFill>
              </w:rPr>
            </w:pPr>
            <w:r>
              <w:rPr>
                <w:b w:val="0"/>
                <w:color w:val="000000" w:themeColor="text1"/>
                <w14:textFill>
                  <w14:solidFill>
                    <w14:schemeClr w14:val="tx1"/>
                  </w14:solidFill>
                </w14:textFill>
              </w:rPr>
              <w:t>&gt;330</w:t>
            </w:r>
          </w:p>
        </w:tc>
        <w:tc>
          <w:tcPr>
            <w:tcW w:w="240" w:type="pct"/>
            <w:vAlign w:val="center"/>
          </w:tcPr>
          <w:p w14:paraId="1357DAEE">
            <w:pPr>
              <w:pStyle w:val="123"/>
              <w:wordWrap w:val="0"/>
              <w:adjustRightInd w:val="0"/>
              <w:snapToGrid w:val="0"/>
              <w:rPr>
                <w:b w:val="0"/>
                <w:color w:val="000000" w:themeColor="text1"/>
                <w14:textFill>
                  <w14:solidFill>
                    <w14:schemeClr w14:val="tx1"/>
                  </w14:solidFill>
                </w14:textFill>
              </w:rPr>
            </w:pPr>
            <w:r>
              <w:rPr>
                <w:b w:val="0"/>
                <w:color w:val="000000" w:themeColor="text1"/>
                <w14:textFill>
                  <w14:solidFill>
                    <w14:schemeClr w14:val="tx1"/>
                  </w14:solidFill>
                </w14:textFill>
              </w:rPr>
              <w:t>可变</w:t>
            </w:r>
          </w:p>
        </w:tc>
        <w:tc>
          <w:tcPr>
            <w:tcW w:w="240" w:type="pct"/>
            <w:vAlign w:val="center"/>
          </w:tcPr>
          <w:p w14:paraId="156AD73B">
            <w:pPr>
              <w:pStyle w:val="123"/>
              <w:wordWrap w:val="0"/>
              <w:adjustRightInd w:val="0"/>
              <w:snapToGrid w:val="0"/>
              <w:rPr>
                <w:b w:val="0"/>
                <w:color w:val="000000" w:themeColor="text1"/>
                <w14:textFill>
                  <w14:solidFill>
                    <w14:schemeClr w14:val="tx1"/>
                  </w14:solidFill>
                </w14:textFill>
              </w:rPr>
            </w:pPr>
            <w:r>
              <w:rPr>
                <w:b w:val="0"/>
                <w:color w:val="000000" w:themeColor="text1"/>
                <w14:textFill>
                  <w14:solidFill>
                    <w14:schemeClr w14:val="tx1"/>
                  </w14:solidFill>
                </w14:textFill>
              </w:rPr>
              <w:t>&gt;200</w:t>
            </w:r>
          </w:p>
        </w:tc>
        <w:tc>
          <w:tcPr>
            <w:tcW w:w="240" w:type="pct"/>
            <w:vAlign w:val="center"/>
          </w:tcPr>
          <w:p w14:paraId="5F97EC2B">
            <w:pPr>
              <w:pStyle w:val="123"/>
              <w:wordWrap w:val="0"/>
              <w:adjustRightInd w:val="0"/>
              <w:snapToGrid w:val="0"/>
              <w:rPr>
                <w:b w:val="0"/>
                <w:color w:val="000000" w:themeColor="text1"/>
                <w14:textFill>
                  <w14:solidFill>
                    <w14:schemeClr w14:val="tx1"/>
                  </w14:solidFill>
                </w14:textFill>
              </w:rPr>
            </w:pPr>
            <w:r>
              <w:rPr>
                <w:b w:val="0"/>
                <w:color w:val="000000" w:themeColor="text1"/>
                <w14:textFill>
                  <w14:solidFill>
                    <w14:schemeClr w14:val="tx1"/>
                  </w14:solidFill>
                </w14:textFill>
              </w:rPr>
              <w:t>-</w:t>
            </w:r>
          </w:p>
        </w:tc>
        <w:tc>
          <w:tcPr>
            <w:tcW w:w="241" w:type="pct"/>
            <w:vAlign w:val="center"/>
          </w:tcPr>
          <w:p w14:paraId="34ECA8FF">
            <w:pPr>
              <w:pStyle w:val="123"/>
              <w:wordWrap w:val="0"/>
              <w:adjustRightInd w:val="0"/>
              <w:snapToGrid w:val="0"/>
              <w:rPr>
                <w:b w:val="0"/>
                <w:color w:val="000000" w:themeColor="text1"/>
                <w14:textFill>
                  <w14:solidFill>
                    <w14:schemeClr w14:val="tx1"/>
                  </w14:solidFill>
                </w14:textFill>
              </w:rPr>
            </w:pPr>
            <w:r>
              <w:rPr>
                <w:b w:val="0"/>
                <w:color w:val="000000" w:themeColor="text1"/>
                <w14:textFill>
                  <w14:solidFill>
                    <w14:schemeClr w14:val="tx1"/>
                  </w14:solidFill>
                </w14:textFill>
              </w:rPr>
              <w:t>-</w:t>
            </w:r>
          </w:p>
        </w:tc>
        <w:tc>
          <w:tcPr>
            <w:tcW w:w="192" w:type="pct"/>
            <w:vAlign w:val="center"/>
          </w:tcPr>
          <w:p w14:paraId="071DF3EF">
            <w:pPr>
              <w:pStyle w:val="123"/>
              <w:wordWrap w:val="0"/>
              <w:adjustRightInd w:val="0"/>
              <w:snapToGrid w:val="0"/>
              <w:rPr>
                <w:b w:val="0"/>
                <w:color w:val="000000" w:themeColor="text1"/>
                <w14:textFill>
                  <w14:solidFill>
                    <w14:schemeClr w14:val="tx1"/>
                  </w14:solidFill>
                </w14:textFill>
              </w:rPr>
            </w:pPr>
            <w:r>
              <w:rPr>
                <w:b w:val="0"/>
                <w:color w:val="000000" w:themeColor="text1"/>
                <w14:textFill>
                  <w14:solidFill>
                    <w14:schemeClr w14:val="tx1"/>
                  </w14:solidFill>
                </w14:textFill>
              </w:rPr>
              <w:t>丙A</w:t>
            </w:r>
          </w:p>
        </w:tc>
        <w:tc>
          <w:tcPr>
            <w:tcW w:w="192" w:type="pct"/>
            <w:vAlign w:val="center"/>
          </w:tcPr>
          <w:p w14:paraId="4EBA67BB">
            <w:pPr>
              <w:pStyle w:val="123"/>
              <w:wordWrap w:val="0"/>
              <w:adjustRightInd w:val="0"/>
              <w:snapToGrid w:val="0"/>
              <w:rPr>
                <w:b w:val="0"/>
                <w:color w:val="000000" w:themeColor="text1"/>
                <w14:textFill>
                  <w14:solidFill>
                    <w14:schemeClr w14:val="tx1"/>
                  </w14:solidFill>
                </w14:textFill>
              </w:rPr>
            </w:pPr>
            <w:r>
              <w:rPr>
                <w:b w:val="0"/>
                <w:color w:val="000000" w:themeColor="text1"/>
                <w14:textFill>
                  <w14:solidFill>
                    <w14:schemeClr w14:val="tx1"/>
                  </w14:solidFill>
                </w14:textFill>
              </w:rPr>
              <w:t>Ⅳ</w:t>
            </w:r>
          </w:p>
        </w:tc>
        <w:tc>
          <w:tcPr>
            <w:tcW w:w="240" w:type="pct"/>
            <w:vAlign w:val="center"/>
          </w:tcPr>
          <w:p w14:paraId="04383C2E">
            <w:pPr>
              <w:pStyle w:val="123"/>
              <w:wordWrap w:val="0"/>
              <w:adjustRightInd w:val="0"/>
              <w:snapToGrid w:val="0"/>
              <w:rPr>
                <w:b w:val="0"/>
                <w:color w:val="000000" w:themeColor="text1"/>
                <w14:textFill>
                  <w14:solidFill>
                    <w14:schemeClr w14:val="tx1"/>
                  </w14:solidFill>
                </w14:textFill>
              </w:rPr>
            </w:pPr>
            <w:r>
              <w:rPr>
                <w:b w:val="0"/>
                <w:color w:val="000000" w:themeColor="text1"/>
                <w14:textFill>
                  <w14:solidFill>
                    <w14:schemeClr w14:val="tx1"/>
                  </w14:solidFill>
                </w14:textFill>
              </w:rPr>
              <w:t>不溶于水</w:t>
            </w:r>
          </w:p>
        </w:tc>
        <w:tc>
          <w:tcPr>
            <w:tcW w:w="287" w:type="pct"/>
            <w:vAlign w:val="center"/>
          </w:tcPr>
          <w:p w14:paraId="51AE11E4">
            <w:pPr>
              <w:widowControl/>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不易挥发分解</w:t>
            </w:r>
          </w:p>
        </w:tc>
        <w:tc>
          <w:tcPr>
            <w:tcW w:w="636" w:type="pct"/>
            <w:vAlign w:val="center"/>
          </w:tcPr>
          <w:p w14:paraId="16AB67DE">
            <w:pPr>
              <w:pStyle w:val="123"/>
              <w:wordWrap w:val="0"/>
              <w:adjustRightInd w:val="0"/>
              <w:snapToGrid w:val="0"/>
              <w:rPr>
                <w:b w:val="0"/>
                <w:color w:val="000000" w:themeColor="text1"/>
                <w14:textFill>
                  <w14:solidFill>
                    <w14:schemeClr w14:val="tx1"/>
                  </w14:solidFill>
                </w14:textFill>
              </w:rPr>
            </w:pPr>
            <w:r>
              <w:rPr>
                <w:b w:val="0"/>
                <w:color w:val="000000" w:themeColor="text1"/>
                <w14:textFill>
                  <w14:solidFill>
                    <w14:schemeClr w14:val="tx1"/>
                  </w14:solidFill>
                </w14:textFill>
              </w:rPr>
              <w:t>易燃易爆</w:t>
            </w:r>
          </w:p>
        </w:tc>
      </w:tr>
      <w:tr w14:paraId="18302D1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6" w:type="dxa"/>
            <w:bottom w:w="0" w:type="dxa"/>
            <w:right w:w="6" w:type="dxa"/>
          </w:tblCellMar>
        </w:tblPrEx>
        <w:trPr>
          <w:trHeight w:val="90" w:hRule="atLeast"/>
          <w:jc w:val="center"/>
        </w:trPr>
        <w:tc>
          <w:tcPr>
            <w:tcW w:w="167" w:type="pct"/>
            <w:vAlign w:val="center"/>
          </w:tcPr>
          <w:p w14:paraId="254DCAE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w:t>
            </w:r>
          </w:p>
        </w:tc>
        <w:tc>
          <w:tcPr>
            <w:tcW w:w="385" w:type="pct"/>
            <w:vAlign w:val="center"/>
          </w:tcPr>
          <w:p w14:paraId="408F7E0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航空煤油</w:t>
            </w:r>
          </w:p>
        </w:tc>
        <w:tc>
          <w:tcPr>
            <w:tcW w:w="301" w:type="pct"/>
            <w:vAlign w:val="center"/>
          </w:tcPr>
          <w:p w14:paraId="492DDACB">
            <w:pPr>
              <w:pStyle w:val="123"/>
              <w:wordWrap w:val="0"/>
              <w:adjustRightInd w:val="0"/>
              <w:snapToGrid w:val="0"/>
              <w:rPr>
                <w:b w:val="0"/>
                <w:color w:val="000000" w:themeColor="text1"/>
                <w14:textFill>
                  <w14:solidFill>
                    <w14:schemeClr w14:val="tx1"/>
                  </w14:solidFill>
                </w14:textFill>
              </w:rPr>
            </w:pPr>
            <w:r>
              <w:rPr>
                <w:b w:val="0"/>
                <w:color w:val="000000" w:themeColor="text1"/>
                <w14:textFill>
                  <w14:solidFill>
                    <w14:schemeClr w14:val="tx1"/>
                  </w14:solidFill>
                </w14:textFill>
              </w:rPr>
              <w:t>1863</w:t>
            </w:r>
          </w:p>
        </w:tc>
        <w:tc>
          <w:tcPr>
            <w:tcW w:w="349" w:type="pct"/>
            <w:vAlign w:val="center"/>
          </w:tcPr>
          <w:p w14:paraId="1402183A">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8008-20-6</w:t>
            </w:r>
          </w:p>
        </w:tc>
        <w:tc>
          <w:tcPr>
            <w:tcW w:w="564" w:type="pct"/>
            <w:vAlign w:val="center"/>
          </w:tcPr>
          <w:p w14:paraId="1284F59C">
            <w:pPr>
              <w:pStyle w:val="123"/>
              <w:wordWrap w:val="0"/>
              <w:adjustRightInd w:val="0"/>
              <w:snapToGrid w:val="0"/>
              <w:jc w:val="both"/>
              <w:rPr>
                <w:b w:val="0"/>
                <w:color w:val="000000" w:themeColor="text1"/>
                <w14:textFill>
                  <w14:solidFill>
                    <w14:schemeClr w14:val="tx1"/>
                  </w14:solidFill>
                </w14:textFill>
              </w:rPr>
            </w:pPr>
            <w:r>
              <w:rPr>
                <w:b w:val="0"/>
                <w:color w:val="000000" w:themeColor="text1"/>
                <w14:textFill>
                  <w14:solidFill>
                    <w14:schemeClr w14:val="tx1"/>
                  </w14:solidFill>
                </w14:textFill>
              </w:rPr>
              <w:t>易燃液体，类别3</w:t>
            </w:r>
          </w:p>
        </w:tc>
        <w:tc>
          <w:tcPr>
            <w:tcW w:w="288" w:type="pct"/>
            <w:vAlign w:val="center"/>
          </w:tcPr>
          <w:p w14:paraId="3FC0E065">
            <w:pPr>
              <w:pStyle w:val="123"/>
              <w:wordWrap w:val="0"/>
              <w:adjustRightInd w:val="0"/>
              <w:snapToGrid w:val="0"/>
              <w:rPr>
                <w:b w:val="0"/>
                <w:color w:val="000000" w:themeColor="text1"/>
                <w14:textFill>
                  <w14:solidFill>
                    <w14:schemeClr w14:val="tx1"/>
                  </w14:solidFill>
                </w14:textFill>
              </w:rPr>
            </w:pPr>
            <w:r>
              <w:rPr>
                <w:b w:val="0"/>
                <w:color w:val="000000" w:themeColor="text1"/>
                <w14:textFill>
                  <w14:solidFill>
                    <w14:schemeClr w14:val="tx1"/>
                  </w14:solidFill>
                </w14:textFill>
              </w:rPr>
              <w:t>0.78-0.81</w:t>
            </w:r>
          </w:p>
        </w:tc>
        <w:tc>
          <w:tcPr>
            <w:tcW w:w="241" w:type="pct"/>
            <w:vAlign w:val="center"/>
          </w:tcPr>
          <w:p w14:paraId="06208E52">
            <w:pPr>
              <w:pStyle w:val="123"/>
              <w:wordWrap w:val="0"/>
              <w:adjustRightInd w:val="0"/>
              <w:snapToGrid w:val="0"/>
              <w:rPr>
                <w:b w:val="0"/>
                <w:color w:val="000000" w:themeColor="text1"/>
                <w14:textFill>
                  <w14:solidFill>
                    <w14:schemeClr w14:val="tx1"/>
                  </w14:solidFill>
                </w14:textFill>
              </w:rPr>
            </w:pPr>
            <w:r>
              <w:rPr>
                <w:b w:val="0"/>
                <w:color w:val="000000" w:themeColor="text1"/>
                <w14:textFill>
                  <w14:solidFill>
                    <w14:schemeClr w14:val="tx1"/>
                  </w14:solidFill>
                </w14:textFill>
              </w:rPr>
              <w:t>&gt;38</w:t>
            </w:r>
          </w:p>
        </w:tc>
        <w:tc>
          <w:tcPr>
            <w:tcW w:w="192" w:type="pct"/>
            <w:vAlign w:val="center"/>
          </w:tcPr>
          <w:p w14:paraId="03D060A8">
            <w:pPr>
              <w:pStyle w:val="123"/>
              <w:wordWrap w:val="0"/>
              <w:adjustRightInd w:val="0"/>
              <w:snapToGrid w:val="0"/>
              <w:rPr>
                <w:b w:val="0"/>
                <w:color w:val="000000" w:themeColor="text1"/>
                <w14:textFill>
                  <w14:solidFill>
                    <w14:schemeClr w14:val="tx1"/>
                  </w14:solidFill>
                </w14:textFill>
              </w:rPr>
            </w:pPr>
            <w:r>
              <w:rPr>
                <w:b w:val="0"/>
                <w:color w:val="000000" w:themeColor="text1"/>
                <w14:textFill>
                  <w14:solidFill>
                    <w14:schemeClr w14:val="tx1"/>
                  </w14:solidFill>
                </w14:textFill>
              </w:rPr>
              <w:t>150-300</w:t>
            </w:r>
          </w:p>
        </w:tc>
        <w:tc>
          <w:tcPr>
            <w:tcW w:w="240" w:type="pct"/>
            <w:vAlign w:val="center"/>
          </w:tcPr>
          <w:p w14:paraId="1565534C">
            <w:pPr>
              <w:pStyle w:val="123"/>
              <w:wordWrap w:val="0"/>
              <w:adjustRightInd w:val="0"/>
              <w:snapToGrid w:val="0"/>
              <w:rPr>
                <w:b w:val="0"/>
                <w:color w:val="000000" w:themeColor="text1"/>
                <w14:textFill>
                  <w14:solidFill>
                    <w14:schemeClr w14:val="tx1"/>
                  </w14:solidFill>
                </w14:textFill>
              </w:rPr>
            </w:pPr>
            <w:r>
              <w:rPr>
                <w:b w:val="0"/>
                <w:color w:val="000000" w:themeColor="text1"/>
                <w14:textFill>
                  <w14:solidFill>
                    <w14:schemeClr w14:val="tx1"/>
                  </w14:solidFill>
                </w14:textFill>
              </w:rPr>
              <w:t>&lt;-40</w:t>
            </w:r>
          </w:p>
        </w:tc>
        <w:tc>
          <w:tcPr>
            <w:tcW w:w="240" w:type="pct"/>
            <w:vAlign w:val="center"/>
          </w:tcPr>
          <w:p w14:paraId="20538840">
            <w:pPr>
              <w:pStyle w:val="123"/>
              <w:wordWrap w:val="0"/>
              <w:adjustRightInd w:val="0"/>
              <w:snapToGrid w:val="0"/>
              <w:rPr>
                <w:b w:val="0"/>
                <w:color w:val="000000" w:themeColor="text1"/>
                <w14:textFill>
                  <w14:solidFill>
                    <w14:schemeClr w14:val="tx1"/>
                  </w14:solidFill>
                </w14:textFill>
              </w:rPr>
            </w:pPr>
            <w:r>
              <w:rPr>
                <w:b w:val="0"/>
                <w:color w:val="000000" w:themeColor="text1"/>
                <w14:textFill>
                  <w14:solidFill>
                    <w14:schemeClr w14:val="tx1"/>
                  </w14:solidFill>
                </w14:textFill>
              </w:rPr>
              <w:t>~210</w:t>
            </w:r>
          </w:p>
        </w:tc>
        <w:tc>
          <w:tcPr>
            <w:tcW w:w="240" w:type="pct"/>
            <w:vAlign w:val="center"/>
          </w:tcPr>
          <w:p w14:paraId="04A794E2">
            <w:pPr>
              <w:pStyle w:val="123"/>
              <w:wordWrap w:val="0"/>
              <w:adjustRightInd w:val="0"/>
              <w:snapToGrid w:val="0"/>
              <w:rPr>
                <w:b w:val="0"/>
                <w:color w:val="000000" w:themeColor="text1"/>
                <w14:textFill>
                  <w14:solidFill>
                    <w14:schemeClr w14:val="tx1"/>
                  </w14:solidFill>
                </w14:textFill>
              </w:rPr>
            </w:pPr>
            <w:r>
              <w:rPr>
                <w:b w:val="0"/>
                <w:color w:val="000000" w:themeColor="text1"/>
                <w14:textFill>
                  <w14:solidFill>
                    <w14:schemeClr w14:val="tx1"/>
                  </w14:solidFill>
                </w14:textFill>
              </w:rPr>
              <w:t>~7.5</w:t>
            </w:r>
          </w:p>
        </w:tc>
        <w:tc>
          <w:tcPr>
            <w:tcW w:w="241" w:type="pct"/>
            <w:vAlign w:val="center"/>
          </w:tcPr>
          <w:p w14:paraId="362BF23F">
            <w:pPr>
              <w:pStyle w:val="123"/>
              <w:wordWrap w:val="0"/>
              <w:adjustRightInd w:val="0"/>
              <w:snapToGrid w:val="0"/>
              <w:rPr>
                <w:b w:val="0"/>
                <w:color w:val="000000" w:themeColor="text1"/>
                <w14:textFill>
                  <w14:solidFill>
                    <w14:schemeClr w14:val="tx1"/>
                  </w14:solidFill>
                </w14:textFill>
              </w:rPr>
            </w:pPr>
            <w:r>
              <w:rPr>
                <w:b w:val="0"/>
                <w:color w:val="000000" w:themeColor="text1"/>
                <w14:textFill>
                  <w14:solidFill>
                    <w14:schemeClr w14:val="tx1"/>
                  </w14:solidFill>
                </w14:textFill>
              </w:rPr>
              <w:t>~0.6</w:t>
            </w:r>
          </w:p>
        </w:tc>
        <w:tc>
          <w:tcPr>
            <w:tcW w:w="192" w:type="pct"/>
            <w:vAlign w:val="center"/>
          </w:tcPr>
          <w:p w14:paraId="3DD6A412">
            <w:pPr>
              <w:pStyle w:val="123"/>
              <w:wordWrap w:val="0"/>
              <w:adjustRightInd w:val="0"/>
              <w:snapToGrid w:val="0"/>
              <w:rPr>
                <w:b w:val="0"/>
                <w:color w:val="000000" w:themeColor="text1"/>
                <w14:textFill>
                  <w14:solidFill>
                    <w14:schemeClr w14:val="tx1"/>
                  </w14:solidFill>
                </w14:textFill>
              </w:rPr>
            </w:pPr>
            <w:r>
              <w:rPr>
                <w:b w:val="0"/>
                <w:color w:val="000000" w:themeColor="text1"/>
                <w14:textFill>
                  <w14:solidFill>
                    <w14:schemeClr w14:val="tx1"/>
                  </w14:solidFill>
                </w14:textFill>
              </w:rPr>
              <w:t>乙B</w:t>
            </w:r>
          </w:p>
        </w:tc>
        <w:tc>
          <w:tcPr>
            <w:tcW w:w="192" w:type="pct"/>
            <w:vAlign w:val="center"/>
          </w:tcPr>
          <w:p w14:paraId="2E6B636B">
            <w:pPr>
              <w:pStyle w:val="123"/>
              <w:wordWrap w:val="0"/>
              <w:adjustRightInd w:val="0"/>
              <w:snapToGrid w:val="0"/>
              <w:rPr>
                <w:b w:val="0"/>
                <w:color w:val="000000" w:themeColor="text1"/>
                <w14:textFill>
                  <w14:solidFill>
                    <w14:schemeClr w14:val="tx1"/>
                  </w14:solidFill>
                </w14:textFill>
              </w:rPr>
            </w:pPr>
            <w:r>
              <w:rPr>
                <w:b w:val="0"/>
                <w:color w:val="000000" w:themeColor="text1"/>
                <w14:textFill>
                  <w14:solidFill>
                    <w14:schemeClr w14:val="tx1"/>
                  </w14:solidFill>
                </w14:textFill>
              </w:rPr>
              <w:t>Ⅳ</w:t>
            </w:r>
          </w:p>
        </w:tc>
        <w:tc>
          <w:tcPr>
            <w:tcW w:w="240" w:type="pct"/>
            <w:vAlign w:val="center"/>
          </w:tcPr>
          <w:p w14:paraId="0A999B02">
            <w:pPr>
              <w:pStyle w:val="123"/>
              <w:wordWrap w:val="0"/>
              <w:adjustRightInd w:val="0"/>
              <w:snapToGrid w:val="0"/>
              <w:rPr>
                <w:b w:val="0"/>
                <w:color w:val="000000" w:themeColor="text1"/>
                <w14:textFill>
                  <w14:solidFill>
                    <w14:schemeClr w14:val="tx1"/>
                  </w14:solidFill>
                </w14:textFill>
              </w:rPr>
            </w:pPr>
            <w:r>
              <w:rPr>
                <w:b w:val="0"/>
                <w:color w:val="000000" w:themeColor="text1"/>
                <w14:textFill>
                  <w14:solidFill>
                    <w14:schemeClr w14:val="tx1"/>
                  </w14:solidFill>
                </w14:textFill>
              </w:rPr>
              <w:t>不溶于水</w:t>
            </w:r>
          </w:p>
        </w:tc>
        <w:tc>
          <w:tcPr>
            <w:tcW w:w="287" w:type="pct"/>
            <w:vAlign w:val="center"/>
          </w:tcPr>
          <w:p w14:paraId="45D2CD5C">
            <w:pPr>
              <w:widowControl/>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易挥发</w:t>
            </w:r>
          </w:p>
        </w:tc>
        <w:tc>
          <w:tcPr>
            <w:tcW w:w="636" w:type="pct"/>
            <w:vAlign w:val="center"/>
          </w:tcPr>
          <w:p w14:paraId="7399993A">
            <w:pPr>
              <w:pStyle w:val="123"/>
              <w:wordWrap w:val="0"/>
              <w:adjustRightInd w:val="0"/>
              <w:snapToGrid w:val="0"/>
              <w:rPr>
                <w:b w:val="0"/>
                <w:color w:val="000000" w:themeColor="text1"/>
                <w14:textFill>
                  <w14:solidFill>
                    <w14:schemeClr w14:val="tx1"/>
                  </w14:solidFill>
                </w14:textFill>
              </w:rPr>
            </w:pPr>
            <w:r>
              <w:rPr>
                <w:b w:val="0"/>
                <w:color w:val="000000" w:themeColor="text1"/>
                <w14:textFill>
                  <w14:solidFill>
                    <w14:schemeClr w14:val="tx1"/>
                  </w14:solidFill>
                </w14:textFill>
              </w:rPr>
              <w:t>易燃，有爆炸风险</w:t>
            </w:r>
          </w:p>
        </w:tc>
      </w:tr>
      <w:tr w14:paraId="001A9DC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6" w:type="dxa"/>
            <w:bottom w:w="0" w:type="dxa"/>
            <w:right w:w="6" w:type="dxa"/>
          </w:tblCellMar>
        </w:tblPrEx>
        <w:trPr>
          <w:trHeight w:val="90" w:hRule="atLeast"/>
          <w:jc w:val="center"/>
        </w:trPr>
        <w:tc>
          <w:tcPr>
            <w:tcW w:w="167" w:type="pct"/>
            <w:vAlign w:val="center"/>
          </w:tcPr>
          <w:p w14:paraId="43A5B033">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4</w:t>
            </w:r>
          </w:p>
        </w:tc>
        <w:tc>
          <w:tcPr>
            <w:tcW w:w="385" w:type="pct"/>
            <w:vAlign w:val="center"/>
          </w:tcPr>
          <w:p w14:paraId="13D30CD9">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碱液 (以30% NaOH为例)</w:t>
            </w:r>
          </w:p>
        </w:tc>
        <w:tc>
          <w:tcPr>
            <w:tcW w:w="301" w:type="pct"/>
            <w:vAlign w:val="center"/>
          </w:tcPr>
          <w:p w14:paraId="7053B45C">
            <w:pPr>
              <w:pStyle w:val="123"/>
              <w:wordWrap w:val="0"/>
              <w:adjustRightInd w:val="0"/>
              <w:snapToGrid w:val="0"/>
              <w:rPr>
                <w:b w:val="0"/>
                <w:color w:val="000000" w:themeColor="text1"/>
                <w14:textFill>
                  <w14:solidFill>
                    <w14:schemeClr w14:val="tx1"/>
                  </w14:solidFill>
                </w14:textFill>
              </w:rPr>
            </w:pPr>
            <w:r>
              <w:rPr>
                <w:b w:val="0"/>
                <w:color w:val="000000" w:themeColor="text1"/>
                <w14:textFill>
                  <w14:solidFill>
                    <w14:schemeClr w14:val="tx1"/>
                  </w14:solidFill>
                </w14:textFill>
              </w:rPr>
              <w:t>1824</w:t>
            </w:r>
          </w:p>
        </w:tc>
        <w:tc>
          <w:tcPr>
            <w:tcW w:w="349" w:type="pct"/>
            <w:vAlign w:val="center"/>
          </w:tcPr>
          <w:p w14:paraId="359715D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1310-73-2</w:t>
            </w:r>
          </w:p>
        </w:tc>
        <w:tc>
          <w:tcPr>
            <w:tcW w:w="564" w:type="pct"/>
            <w:vAlign w:val="center"/>
          </w:tcPr>
          <w:p w14:paraId="5E0AEF5F">
            <w:pPr>
              <w:pStyle w:val="123"/>
              <w:wordWrap w:val="0"/>
              <w:adjustRightInd w:val="0"/>
              <w:snapToGrid w:val="0"/>
              <w:jc w:val="both"/>
              <w:rPr>
                <w:b w:val="0"/>
                <w:color w:val="000000" w:themeColor="text1"/>
                <w14:textFill>
                  <w14:solidFill>
                    <w14:schemeClr w14:val="tx1"/>
                  </w14:solidFill>
                </w14:textFill>
              </w:rPr>
            </w:pPr>
            <w:r>
              <w:rPr>
                <w:b w:val="0"/>
                <w:color w:val="000000" w:themeColor="text1"/>
                <w14:textFill>
                  <w14:solidFill>
                    <w14:schemeClr w14:val="tx1"/>
                  </w14:solidFill>
                </w14:textFill>
              </w:rPr>
              <w:t>皮肤腐蚀/刺激，类别1A；严重眼损伤/眼刺激，类别1</w:t>
            </w:r>
          </w:p>
        </w:tc>
        <w:tc>
          <w:tcPr>
            <w:tcW w:w="288" w:type="pct"/>
            <w:vAlign w:val="center"/>
          </w:tcPr>
          <w:p w14:paraId="765FFB5D">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~1.33</w:t>
            </w:r>
          </w:p>
        </w:tc>
        <w:tc>
          <w:tcPr>
            <w:tcW w:w="241" w:type="pct"/>
            <w:vAlign w:val="center"/>
          </w:tcPr>
          <w:p w14:paraId="5244E7FD">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192" w:type="pct"/>
            <w:vAlign w:val="center"/>
          </w:tcPr>
          <w:p w14:paraId="04F39DE0">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~105-140</w:t>
            </w:r>
          </w:p>
        </w:tc>
        <w:tc>
          <w:tcPr>
            <w:tcW w:w="240" w:type="pct"/>
            <w:vAlign w:val="center"/>
          </w:tcPr>
          <w:p w14:paraId="2164E9D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~-26</w:t>
            </w:r>
          </w:p>
        </w:tc>
        <w:tc>
          <w:tcPr>
            <w:tcW w:w="240" w:type="pct"/>
            <w:vAlign w:val="center"/>
          </w:tcPr>
          <w:p w14:paraId="33C64393">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240" w:type="pct"/>
            <w:vAlign w:val="center"/>
          </w:tcPr>
          <w:p w14:paraId="19BA287E">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241" w:type="pct"/>
            <w:vAlign w:val="center"/>
          </w:tcPr>
          <w:p w14:paraId="71D357E2">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192" w:type="pct"/>
            <w:vAlign w:val="center"/>
          </w:tcPr>
          <w:p w14:paraId="0D8CE8B0">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戊</w:t>
            </w:r>
          </w:p>
        </w:tc>
        <w:tc>
          <w:tcPr>
            <w:tcW w:w="192" w:type="pct"/>
            <w:vAlign w:val="center"/>
          </w:tcPr>
          <w:p w14:paraId="059F4DBD">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Ⅲ</w:t>
            </w:r>
          </w:p>
        </w:tc>
        <w:tc>
          <w:tcPr>
            <w:tcW w:w="240" w:type="pct"/>
            <w:vAlign w:val="center"/>
          </w:tcPr>
          <w:p w14:paraId="00E37CA0">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易溶于水 (与水混溶)</w:t>
            </w:r>
          </w:p>
        </w:tc>
        <w:tc>
          <w:tcPr>
            <w:tcW w:w="287" w:type="pct"/>
            <w:vAlign w:val="center"/>
          </w:tcPr>
          <w:p w14:paraId="18520FA2">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不挥发</w:t>
            </w:r>
          </w:p>
        </w:tc>
        <w:tc>
          <w:tcPr>
            <w:tcW w:w="636" w:type="pct"/>
            <w:vAlign w:val="center"/>
          </w:tcPr>
          <w:p w14:paraId="4802314D">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强腐蚀性，与酸剧烈反应</w:t>
            </w:r>
          </w:p>
        </w:tc>
      </w:tr>
      <w:tr w14:paraId="1F4A1F2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6" w:type="dxa"/>
            <w:bottom w:w="0" w:type="dxa"/>
            <w:right w:w="6" w:type="dxa"/>
          </w:tblCellMar>
        </w:tblPrEx>
        <w:trPr>
          <w:trHeight w:val="90" w:hRule="atLeast"/>
          <w:jc w:val="center"/>
        </w:trPr>
        <w:tc>
          <w:tcPr>
            <w:tcW w:w="167" w:type="pct"/>
            <w:vAlign w:val="center"/>
          </w:tcPr>
          <w:p w14:paraId="4EAC645A">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5</w:t>
            </w:r>
          </w:p>
        </w:tc>
        <w:tc>
          <w:tcPr>
            <w:tcW w:w="385" w:type="pct"/>
            <w:vAlign w:val="center"/>
          </w:tcPr>
          <w:p w14:paraId="17A2664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发烟硫酸</w:t>
            </w:r>
          </w:p>
        </w:tc>
        <w:tc>
          <w:tcPr>
            <w:tcW w:w="301" w:type="pct"/>
            <w:vAlign w:val="center"/>
          </w:tcPr>
          <w:p w14:paraId="313E44DB">
            <w:pPr>
              <w:pStyle w:val="123"/>
              <w:wordWrap w:val="0"/>
              <w:adjustRightInd w:val="0"/>
              <w:snapToGrid w:val="0"/>
              <w:rPr>
                <w:b w:val="0"/>
                <w:color w:val="000000" w:themeColor="text1"/>
                <w14:textFill>
                  <w14:solidFill>
                    <w14:schemeClr w14:val="tx1"/>
                  </w14:solidFill>
                </w14:textFill>
              </w:rPr>
            </w:pPr>
            <w:r>
              <w:rPr>
                <w:b w:val="0"/>
                <w:color w:val="000000" w:themeColor="text1"/>
                <w14:textFill>
                  <w14:solidFill>
                    <w14:schemeClr w14:val="tx1"/>
                  </w14:solidFill>
                </w14:textFill>
              </w:rPr>
              <w:t>1831</w:t>
            </w:r>
          </w:p>
        </w:tc>
        <w:tc>
          <w:tcPr>
            <w:tcW w:w="349" w:type="pct"/>
            <w:vAlign w:val="center"/>
          </w:tcPr>
          <w:p w14:paraId="7F390B8F">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8014-95-7</w:t>
            </w:r>
          </w:p>
        </w:tc>
        <w:tc>
          <w:tcPr>
            <w:tcW w:w="564" w:type="pct"/>
            <w:vAlign w:val="center"/>
          </w:tcPr>
          <w:p w14:paraId="36E2C59E">
            <w:pPr>
              <w:pStyle w:val="123"/>
              <w:wordWrap w:val="0"/>
              <w:adjustRightInd w:val="0"/>
              <w:snapToGrid w:val="0"/>
              <w:jc w:val="both"/>
              <w:rPr>
                <w:b w:val="0"/>
                <w:color w:val="000000" w:themeColor="text1"/>
                <w14:textFill>
                  <w14:solidFill>
                    <w14:schemeClr w14:val="tx1"/>
                  </w14:solidFill>
                </w14:textFill>
              </w:rPr>
            </w:pPr>
            <w:r>
              <w:rPr>
                <w:b w:val="0"/>
                <w:color w:val="000000" w:themeColor="text1"/>
                <w14:textFill>
                  <w14:solidFill>
                    <w14:schemeClr w14:val="tx1"/>
                  </w14:solidFill>
                </w14:textFill>
              </w:rPr>
              <w:t>皮肤腐蚀/刺激，类别1A；严重眼损伤/眼刺激，类别1</w:t>
            </w:r>
          </w:p>
        </w:tc>
        <w:tc>
          <w:tcPr>
            <w:tcW w:w="288" w:type="pct"/>
            <w:vAlign w:val="center"/>
          </w:tcPr>
          <w:p w14:paraId="21386C43">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&gt;1.9</w:t>
            </w:r>
          </w:p>
        </w:tc>
        <w:tc>
          <w:tcPr>
            <w:tcW w:w="241" w:type="pct"/>
            <w:vAlign w:val="center"/>
          </w:tcPr>
          <w:p w14:paraId="2D9E23C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192" w:type="pct"/>
            <w:vAlign w:val="center"/>
          </w:tcPr>
          <w:p w14:paraId="632E2E84">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可变</w:t>
            </w:r>
          </w:p>
        </w:tc>
        <w:tc>
          <w:tcPr>
            <w:tcW w:w="240" w:type="pct"/>
            <w:vAlign w:val="center"/>
          </w:tcPr>
          <w:p w14:paraId="05AB4003">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可变</w:t>
            </w:r>
          </w:p>
        </w:tc>
        <w:tc>
          <w:tcPr>
            <w:tcW w:w="240" w:type="pct"/>
            <w:vAlign w:val="center"/>
          </w:tcPr>
          <w:p w14:paraId="7B029ABE">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240" w:type="pct"/>
            <w:vAlign w:val="center"/>
          </w:tcPr>
          <w:p w14:paraId="73EFAD4E">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241" w:type="pct"/>
            <w:vAlign w:val="center"/>
          </w:tcPr>
          <w:p w14:paraId="77E62A9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192" w:type="pct"/>
            <w:vAlign w:val="center"/>
          </w:tcPr>
          <w:p w14:paraId="737C3E70">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戊</w:t>
            </w:r>
          </w:p>
        </w:tc>
        <w:tc>
          <w:tcPr>
            <w:tcW w:w="192" w:type="pct"/>
            <w:vAlign w:val="center"/>
          </w:tcPr>
          <w:p w14:paraId="28BB5167">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Ⅱ</w:t>
            </w:r>
          </w:p>
        </w:tc>
        <w:tc>
          <w:tcPr>
            <w:tcW w:w="240" w:type="pct"/>
            <w:vAlign w:val="center"/>
          </w:tcPr>
          <w:p w14:paraId="1B81064F">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与水剧烈反应</w:t>
            </w:r>
          </w:p>
        </w:tc>
        <w:tc>
          <w:tcPr>
            <w:tcW w:w="287" w:type="pct"/>
            <w:vAlign w:val="center"/>
          </w:tcPr>
          <w:p w14:paraId="51DD9FCA">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发烟 (释放SO₃)</w:t>
            </w:r>
          </w:p>
        </w:tc>
        <w:tc>
          <w:tcPr>
            <w:tcW w:w="636" w:type="pct"/>
            <w:vAlign w:val="center"/>
          </w:tcPr>
          <w:p w14:paraId="536C2DF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强氧化剂，强腐蚀性，遇水剧烈放热</w:t>
            </w:r>
          </w:p>
        </w:tc>
      </w:tr>
      <w:tr w14:paraId="221D8D8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6" w:type="dxa"/>
            <w:bottom w:w="0" w:type="dxa"/>
            <w:right w:w="6" w:type="dxa"/>
          </w:tblCellMar>
        </w:tblPrEx>
        <w:trPr>
          <w:trHeight w:val="90" w:hRule="atLeast"/>
          <w:jc w:val="center"/>
        </w:trPr>
        <w:tc>
          <w:tcPr>
            <w:tcW w:w="167" w:type="pct"/>
            <w:vAlign w:val="center"/>
          </w:tcPr>
          <w:p w14:paraId="1E484733">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6</w:t>
            </w:r>
          </w:p>
        </w:tc>
        <w:tc>
          <w:tcPr>
            <w:tcW w:w="385" w:type="pct"/>
            <w:vAlign w:val="center"/>
          </w:tcPr>
          <w:p w14:paraId="5FFF192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硫酸</w:t>
            </w:r>
          </w:p>
        </w:tc>
        <w:tc>
          <w:tcPr>
            <w:tcW w:w="301" w:type="pct"/>
            <w:vAlign w:val="center"/>
          </w:tcPr>
          <w:p w14:paraId="27AE29AA">
            <w:pPr>
              <w:pStyle w:val="123"/>
              <w:wordWrap w:val="0"/>
              <w:adjustRightInd w:val="0"/>
              <w:snapToGrid w:val="0"/>
              <w:rPr>
                <w:b w:val="0"/>
                <w:color w:val="000000" w:themeColor="text1"/>
                <w14:textFill>
                  <w14:solidFill>
                    <w14:schemeClr w14:val="tx1"/>
                  </w14:solidFill>
                </w14:textFill>
              </w:rPr>
            </w:pPr>
            <w:r>
              <w:rPr>
                <w:b w:val="0"/>
                <w:color w:val="000000" w:themeColor="text1"/>
                <w14:textFill>
                  <w14:solidFill>
                    <w14:schemeClr w14:val="tx1"/>
                  </w14:solidFill>
                </w14:textFill>
              </w:rPr>
              <w:t>1831</w:t>
            </w:r>
          </w:p>
        </w:tc>
        <w:tc>
          <w:tcPr>
            <w:tcW w:w="349" w:type="pct"/>
            <w:vAlign w:val="center"/>
          </w:tcPr>
          <w:p w14:paraId="47DA43EC">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8014-95-7</w:t>
            </w:r>
          </w:p>
        </w:tc>
        <w:tc>
          <w:tcPr>
            <w:tcW w:w="564" w:type="pct"/>
            <w:vAlign w:val="center"/>
          </w:tcPr>
          <w:p w14:paraId="08167142">
            <w:pPr>
              <w:pStyle w:val="123"/>
              <w:wordWrap w:val="0"/>
              <w:adjustRightInd w:val="0"/>
              <w:snapToGrid w:val="0"/>
              <w:jc w:val="both"/>
              <w:rPr>
                <w:b w:val="0"/>
                <w:color w:val="000000" w:themeColor="text1"/>
                <w14:textFill>
                  <w14:solidFill>
                    <w14:schemeClr w14:val="tx1"/>
                  </w14:solidFill>
                </w14:textFill>
              </w:rPr>
            </w:pPr>
            <w:r>
              <w:rPr>
                <w:b w:val="0"/>
                <w:color w:val="000000" w:themeColor="text1"/>
                <w14:textFill>
                  <w14:solidFill>
                    <w14:schemeClr w14:val="tx1"/>
                  </w14:solidFill>
                </w14:textFill>
              </w:rPr>
              <w:t>皮肤腐蚀/刺激，类别1A；严重眼损伤/眼刺激，类别1</w:t>
            </w:r>
          </w:p>
        </w:tc>
        <w:tc>
          <w:tcPr>
            <w:tcW w:w="288" w:type="pct"/>
            <w:vAlign w:val="center"/>
          </w:tcPr>
          <w:p w14:paraId="29E20432">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&gt;1.9</w:t>
            </w:r>
          </w:p>
        </w:tc>
        <w:tc>
          <w:tcPr>
            <w:tcW w:w="241" w:type="pct"/>
            <w:vAlign w:val="center"/>
          </w:tcPr>
          <w:p w14:paraId="7E66BCB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192" w:type="pct"/>
            <w:vAlign w:val="center"/>
          </w:tcPr>
          <w:p w14:paraId="4E39504A">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可变</w:t>
            </w:r>
          </w:p>
        </w:tc>
        <w:tc>
          <w:tcPr>
            <w:tcW w:w="240" w:type="pct"/>
            <w:vAlign w:val="center"/>
          </w:tcPr>
          <w:p w14:paraId="5784A15A">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可变</w:t>
            </w:r>
          </w:p>
        </w:tc>
        <w:tc>
          <w:tcPr>
            <w:tcW w:w="240" w:type="pct"/>
            <w:vAlign w:val="center"/>
          </w:tcPr>
          <w:p w14:paraId="7D04DAC0">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240" w:type="pct"/>
            <w:vAlign w:val="center"/>
          </w:tcPr>
          <w:p w14:paraId="7767C608">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241" w:type="pct"/>
            <w:vAlign w:val="center"/>
          </w:tcPr>
          <w:p w14:paraId="7D894BA9">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192" w:type="pct"/>
            <w:vAlign w:val="center"/>
          </w:tcPr>
          <w:p w14:paraId="33133D2A">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戊</w:t>
            </w:r>
          </w:p>
        </w:tc>
        <w:tc>
          <w:tcPr>
            <w:tcW w:w="192" w:type="pct"/>
            <w:vAlign w:val="center"/>
          </w:tcPr>
          <w:p w14:paraId="5B68DDD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Ⅱ</w:t>
            </w:r>
          </w:p>
        </w:tc>
        <w:tc>
          <w:tcPr>
            <w:tcW w:w="240" w:type="pct"/>
            <w:vAlign w:val="center"/>
          </w:tcPr>
          <w:p w14:paraId="77A1253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与水剧烈反应</w:t>
            </w:r>
          </w:p>
        </w:tc>
        <w:tc>
          <w:tcPr>
            <w:tcW w:w="287" w:type="pct"/>
            <w:vAlign w:val="center"/>
          </w:tcPr>
          <w:p w14:paraId="7EF1CC3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发烟 (释放SO₃)</w:t>
            </w:r>
          </w:p>
        </w:tc>
        <w:tc>
          <w:tcPr>
            <w:tcW w:w="636" w:type="pct"/>
            <w:vAlign w:val="center"/>
          </w:tcPr>
          <w:p w14:paraId="4CA67FA2">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强氧化剂，强腐蚀性，遇水剧烈放热</w:t>
            </w:r>
          </w:p>
        </w:tc>
      </w:tr>
      <w:tr w14:paraId="315A757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6" w:type="dxa"/>
            <w:bottom w:w="0" w:type="dxa"/>
            <w:right w:w="6" w:type="dxa"/>
          </w:tblCellMar>
        </w:tblPrEx>
        <w:trPr>
          <w:trHeight w:val="90" w:hRule="atLeast"/>
          <w:jc w:val="center"/>
        </w:trPr>
        <w:tc>
          <w:tcPr>
            <w:tcW w:w="167" w:type="pct"/>
            <w:vAlign w:val="center"/>
          </w:tcPr>
          <w:p w14:paraId="76F96F28">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7</w:t>
            </w:r>
          </w:p>
        </w:tc>
        <w:tc>
          <w:tcPr>
            <w:tcW w:w="385" w:type="pct"/>
            <w:vAlign w:val="center"/>
          </w:tcPr>
          <w:p w14:paraId="771FE994">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裂解C9</w:t>
            </w:r>
          </w:p>
          <w:p w14:paraId="5211F917">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301" w:type="pct"/>
            <w:vAlign w:val="center"/>
          </w:tcPr>
          <w:p w14:paraId="6422EAE0">
            <w:pPr>
              <w:pStyle w:val="123"/>
              <w:wordWrap w:val="0"/>
              <w:adjustRightInd w:val="0"/>
              <w:snapToGrid w:val="0"/>
              <w:rPr>
                <w:b w:val="0"/>
                <w:color w:val="000000" w:themeColor="text1"/>
                <w14:textFill>
                  <w14:solidFill>
                    <w14:schemeClr w14:val="tx1"/>
                  </w14:solidFill>
                </w14:textFill>
              </w:rPr>
            </w:pPr>
            <w:r>
              <w:rPr>
                <w:rFonts w:hint="eastAsia"/>
                <w:b w:val="0"/>
                <w:color w:val="000000" w:themeColor="text1"/>
                <w14:textFill>
                  <w14:solidFill>
                    <w14:schemeClr w14:val="tx1"/>
                  </w14:solidFill>
                </w14:textFill>
              </w:rPr>
              <w:t>/</w:t>
            </w:r>
          </w:p>
        </w:tc>
        <w:tc>
          <w:tcPr>
            <w:tcW w:w="349" w:type="pct"/>
            <w:vAlign w:val="center"/>
          </w:tcPr>
          <w:p w14:paraId="31E606BF">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564" w:type="pct"/>
            <w:vAlign w:val="center"/>
          </w:tcPr>
          <w:p w14:paraId="1E83E5ED">
            <w:pPr>
              <w:pStyle w:val="123"/>
              <w:wordWrap w:val="0"/>
              <w:adjustRightInd w:val="0"/>
              <w:snapToGrid w:val="0"/>
              <w:jc w:val="both"/>
              <w:rPr>
                <w:b w:val="0"/>
                <w:color w:val="000000" w:themeColor="text1"/>
                <w14:textFill>
                  <w14:solidFill>
                    <w14:schemeClr w14:val="tx1"/>
                  </w14:solidFill>
                </w14:textFill>
              </w:rPr>
            </w:pPr>
            <w:r>
              <w:rPr>
                <w:rFonts w:hint="eastAsia"/>
                <w:b w:val="0"/>
                <w:color w:val="000000" w:themeColor="text1"/>
                <w14:textFill>
                  <w14:solidFill>
                    <w14:schemeClr w14:val="tx1"/>
                  </w14:solidFill>
                </w14:textFill>
              </w:rPr>
              <w:t>易燃液体，类别3；皮肤腐蚀/刺激，类别2（可能）</w:t>
            </w:r>
          </w:p>
        </w:tc>
        <w:tc>
          <w:tcPr>
            <w:tcW w:w="288" w:type="pct"/>
            <w:vAlign w:val="center"/>
          </w:tcPr>
          <w:p w14:paraId="069D319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0.86-0.89</w:t>
            </w:r>
          </w:p>
        </w:tc>
        <w:tc>
          <w:tcPr>
            <w:tcW w:w="241" w:type="pct"/>
            <w:vAlign w:val="center"/>
          </w:tcPr>
          <w:p w14:paraId="02753408">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44-53</w:t>
            </w:r>
          </w:p>
        </w:tc>
        <w:tc>
          <w:tcPr>
            <w:tcW w:w="192" w:type="pct"/>
            <w:vAlign w:val="center"/>
          </w:tcPr>
          <w:p w14:paraId="3A9C6537">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164-176</w:t>
            </w:r>
          </w:p>
        </w:tc>
        <w:tc>
          <w:tcPr>
            <w:tcW w:w="240" w:type="pct"/>
            <w:vAlign w:val="center"/>
          </w:tcPr>
          <w:p w14:paraId="58C7BA8D">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-25至-44</w:t>
            </w:r>
          </w:p>
        </w:tc>
        <w:tc>
          <w:tcPr>
            <w:tcW w:w="240" w:type="pct"/>
            <w:vAlign w:val="center"/>
          </w:tcPr>
          <w:p w14:paraId="4BF6B094">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470-550</w:t>
            </w:r>
          </w:p>
        </w:tc>
        <w:tc>
          <w:tcPr>
            <w:tcW w:w="240" w:type="pct"/>
            <w:vAlign w:val="center"/>
          </w:tcPr>
          <w:p w14:paraId="3240074D">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~7.0</w:t>
            </w:r>
          </w:p>
        </w:tc>
        <w:tc>
          <w:tcPr>
            <w:tcW w:w="241" w:type="pct"/>
            <w:vAlign w:val="center"/>
          </w:tcPr>
          <w:p w14:paraId="2C00A419">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~1.0</w:t>
            </w:r>
          </w:p>
        </w:tc>
        <w:tc>
          <w:tcPr>
            <w:tcW w:w="192" w:type="pct"/>
            <w:vAlign w:val="center"/>
          </w:tcPr>
          <w:p w14:paraId="102E290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乙A</w:t>
            </w:r>
          </w:p>
        </w:tc>
        <w:tc>
          <w:tcPr>
            <w:tcW w:w="192" w:type="pct"/>
            <w:vAlign w:val="center"/>
          </w:tcPr>
          <w:p w14:paraId="3ACE49BD">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Ⅲ</w:t>
            </w:r>
          </w:p>
        </w:tc>
        <w:tc>
          <w:tcPr>
            <w:tcW w:w="240" w:type="pct"/>
            <w:vAlign w:val="center"/>
          </w:tcPr>
          <w:p w14:paraId="2E1675AF">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不溶于水</w:t>
            </w:r>
          </w:p>
        </w:tc>
        <w:tc>
          <w:tcPr>
            <w:tcW w:w="287" w:type="pct"/>
            <w:vAlign w:val="center"/>
          </w:tcPr>
          <w:p w14:paraId="5E39DCA3">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易挥发</w:t>
            </w:r>
          </w:p>
        </w:tc>
        <w:tc>
          <w:tcPr>
            <w:tcW w:w="636" w:type="pct"/>
            <w:vAlign w:val="center"/>
          </w:tcPr>
          <w:p w14:paraId="56EA253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易燃，有爆炸风</w:t>
            </w:r>
          </w:p>
        </w:tc>
      </w:tr>
      <w:tr w14:paraId="452B385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6" w:type="dxa"/>
            <w:bottom w:w="0" w:type="dxa"/>
            <w:right w:w="6" w:type="dxa"/>
          </w:tblCellMar>
        </w:tblPrEx>
        <w:trPr>
          <w:trHeight w:val="90" w:hRule="atLeast"/>
          <w:jc w:val="center"/>
        </w:trPr>
        <w:tc>
          <w:tcPr>
            <w:tcW w:w="167" w:type="pct"/>
            <w:vAlign w:val="center"/>
          </w:tcPr>
          <w:p w14:paraId="6CA4C845">
            <w:pPr>
              <w:adjustRightInd w:val="0"/>
              <w:snapToGrid w:val="0"/>
              <w:spacing w:line="240" w:lineRule="auto"/>
              <w:ind w:firstLine="0" w:firstLineChars="0"/>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8</w:t>
            </w:r>
          </w:p>
        </w:tc>
        <w:tc>
          <w:tcPr>
            <w:tcW w:w="385" w:type="pct"/>
            <w:vAlign w:val="center"/>
          </w:tcPr>
          <w:p w14:paraId="63F45CE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液硫</w:t>
            </w:r>
          </w:p>
        </w:tc>
        <w:tc>
          <w:tcPr>
            <w:tcW w:w="301" w:type="pct"/>
            <w:vAlign w:val="center"/>
          </w:tcPr>
          <w:p w14:paraId="025C5AF2">
            <w:pPr>
              <w:pStyle w:val="123"/>
              <w:wordWrap w:val="0"/>
              <w:adjustRightInd w:val="0"/>
              <w:snapToGrid w:val="0"/>
              <w:ind w:firstLine="0" w:firstLineChars="0"/>
              <w:rPr>
                <w:rFonts w:hint="eastAsia"/>
                <w:b w:val="0"/>
                <w:color w:val="000000" w:themeColor="text1"/>
                <w14:textFill>
                  <w14:solidFill>
                    <w14:schemeClr w14:val="tx1"/>
                  </w14:solidFill>
                </w14:textFill>
              </w:rPr>
            </w:pPr>
            <w:r>
              <w:rPr>
                <w:rFonts w:hint="eastAsia"/>
                <w:b w:val="0"/>
                <w:color w:val="000000" w:themeColor="text1"/>
                <w14:textFill>
                  <w14:solidFill>
                    <w14:schemeClr w14:val="tx1"/>
                  </w14:solidFill>
                </w14:textFill>
              </w:rPr>
              <w:t>2448</w:t>
            </w:r>
          </w:p>
        </w:tc>
        <w:tc>
          <w:tcPr>
            <w:tcW w:w="349" w:type="pct"/>
            <w:vAlign w:val="center"/>
          </w:tcPr>
          <w:p w14:paraId="2BCD1AB6">
            <w:pPr>
              <w:adjustRightInd w:val="0"/>
              <w:snapToGrid w:val="0"/>
              <w:spacing w:line="240" w:lineRule="auto"/>
              <w:ind w:firstLine="0" w:firstLineChars="0"/>
              <w:jc w:val="center"/>
              <w:rPr>
                <w:rFonts w:hint="eastAsia"/>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7704-34-9</w:t>
            </w:r>
          </w:p>
        </w:tc>
        <w:tc>
          <w:tcPr>
            <w:tcW w:w="564" w:type="pct"/>
            <w:vAlign w:val="center"/>
          </w:tcPr>
          <w:p w14:paraId="06AF1E9E">
            <w:pPr>
              <w:pStyle w:val="123"/>
              <w:wordWrap w:val="0"/>
              <w:adjustRightInd w:val="0"/>
              <w:snapToGrid w:val="0"/>
              <w:ind w:firstLine="0" w:firstLineChars="0"/>
              <w:rPr>
                <w:rFonts w:hint="eastAsia"/>
                <w:b w:val="0"/>
                <w:color w:val="000000" w:themeColor="text1"/>
                <w14:textFill>
                  <w14:solidFill>
                    <w14:schemeClr w14:val="tx1"/>
                  </w14:solidFill>
                </w14:textFill>
              </w:rPr>
            </w:pPr>
            <w:r>
              <w:rPr>
                <w:rFonts w:hint="eastAsia"/>
                <w:b w:val="0"/>
                <w:color w:val="000000" w:themeColor="text1"/>
                <w14:textFill>
                  <w14:solidFill>
                    <w14:schemeClr w14:val="tx1"/>
                  </w14:solidFill>
                </w14:textFill>
              </w:rPr>
              <w:t>易燃固体，类别2；皮肤刺激，类别2（可能）</w:t>
            </w:r>
          </w:p>
        </w:tc>
        <w:tc>
          <w:tcPr>
            <w:tcW w:w="288" w:type="pct"/>
            <w:vAlign w:val="center"/>
          </w:tcPr>
          <w:p w14:paraId="3FE46F00">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2.0~7</w:t>
            </w:r>
          </w:p>
        </w:tc>
        <w:tc>
          <w:tcPr>
            <w:tcW w:w="241" w:type="pct"/>
            <w:vAlign w:val="center"/>
          </w:tcPr>
          <w:p w14:paraId="44E98FA8">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192" w:type="pct"/>
            <w:vAlign w:val="center"/>
          </w:tcPr>
          <w:p w14:paraId="6114409C">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444.6</w:t>
            </w:r>
          </w:p>
        </w:tc>
        <w:tc>
          <w:tcPr>
            <w:tcW w:w="240" w:type="pct"/>
            <w:vAlign w:val="center"/>
          </w:tcPr>
          <w:p w14:paraId="6238D783">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115.2</w:t>
            </w:r>
          </w:p>
        </w:tc>
        <w:tc>
          <w:tcPr>
            <w:tcW w:w="240" w:type="pct"/>
            <w:vAlign w:val="center"/>
          </w:tcPr>
          <w:p w14:paraId="75BFA003">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232</w:t>
            </w:r>
          </w:p>
        </w:tc>
        <w:tc>
          <w:tcPr>
            <w:tcW w:w="240" w:type="pct"/>
            <w:vAlign w:val="center"/>
          </w:tcPr>
          <w:p w14:paraId="6B662F08">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241" w:type="pct"/>
            <w:vAlign w:val="center"/>
          </w:tcPr>
          <w:p w14:paraId="5779DBB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192" w:type="pct"/>
            <w:vAlign w:val="center"/>
          </w:tcPr>
          <w:p w14:paraId="0223513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丙B</w:t>
            </w:r>
          </w:p>
        </w:tc>
        <w:tc>
          <w:tcPr>
            <w:tcW w:w="192" w:type="pct"/>
            <w:vAlign w:val="center"/>
          </w:tcPr>
          <w:p w14:paraId="19D124F2">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Ⅳ</w:t>
            </w:r>
            <w:r>
              <w:rPr>
                <w:color w:val="000000" w:themeColor="text1"/>
                <w:sz w:val="21"/>
                <w:szCs w:val="21"/>
                <w14:textFill>
                  <w14:solidFill>
                    <w14:schemeClr w14:val="tx1"/>
                  </w14:solidFill>
                </w14:textFill>
              </w:rPr>
              <w:t xml:space="preserve"> </w:t>
            </w:r>
          </w:p>
        </w:tc>
        <w:tc>
          <w:tcPr>
            <w:tcW w:w="240" w:type="pct"/>
            <w:vAlign w:val="center"/>
          </w:tcPr>
          <w:p w14:paraId="627136D2">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不溶于水</w:t>
            </w:r>
          </w:p>
        </w:tc>
        <w:tc>
          <w:tcPr>
            <w:tcW w:w="287" w:type="pct"/>
            <w:vAlign w:val="center"/>
          </w:tcPr>
          <w:p w14:paraId="33BEDB8F">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不挥发</w:t>
            </w:r>
          </w:p>
        </w:tc>
        <w:tc>
          <w:tcPr>
            <w:tcW w:w="636" w:type="pct"/>
            <w:vAlign w:val="center"/>
          </w:tcPr>
          <w:p w14:paraId="34D0DD8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可燃，燃烧产生二氧化硫</w:t>
            </w:r>
          </w:p>
        </w:tc>
      </w:tr>
    </w:tbl>
    <w:p w14:paraId="1E0C9E0A">
      <w:pPr>
        <w:ind w:firstLine="480"/>
        <w:rPr>
          <w:color w:val="000000" w:themeColor="text1"/>
          <w14:textFill>
            <w14:solidFill>
              <w14:schemeClr w14:val="tx1"/>
            </w14:solidFill>
          </w14:textFill>
        </w:rPr>
        <w:sectPr>
          <w:pgSz w:w="16838" w:h="11906" w:orient="landscape"/>
          <w:pgMar w:top="1797" w:right="1440" w:bottom="1797" w:left="1440" w:header="851" w:footer="680" w:gutter="0"/>
          <w:pgBorders>
            <w:top w:val="none" w:sz="0" w:space="0"/>
            <w:left w:val="none" w:sz="0" w:space="0"/>
            <w:bottom w:val="none" w:sz="0" w:space="0"/>
            <w:right w:val="none" w:sz="0" w:space="0"/>
          </w:pgBorders>
          <w:pgNumType w:fmt="numberInDash"/>
          <w:cols w:space="720" w:num="1"/>
          <w:docGrid w:type="lines" w:linePitch="312" w:charSpace="0"/>
        </w:sectPr>
      </w:pPr>
    </w:p>
    <w:p w14:paraId="18085BA3">
      <w:pPr>
        <w:pStyle w:val="7"/>
        <w:rPr>
          <w:color w:val="000000" w:themeColor="text1"/>
          <w14:textFill>
            <w14:solidFill>
              <w14:schemeClr w14:val="tx1"/>
            </w14:solidFill>
          </w14:textFill>
        </w:rPr>
      </w:pPr>
      <w:r>
        <w:rPr>
          <w:color w:val="000000" w:themeColor="text1"/>
          <w14:textFill>
            <w14:solidFill>
              <w14:schemeClr w14:val="tx1"/>
            </w14:solidFill>
          </w14:textFill>
        </w:rPr>
        <w:t xml:space="preserve"> 船舶燃料油（重油）安全技术说明书</w:t>
      </w:r>
    </w:p>
    <w:tbl>
      <w:tblPr>
        <w:tblStyle w:val="124"/>
        <w:tblW w:w="5053"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0" w:type="dxa"/>
          <w:bottom w:w="0" w:type="dxa"/>
          <w:right w:w="0" w:type="dxa"/>
        </w:tblCellMar>
      </w:tblPr>
      <w:tblGrid>
        <w:gridCol w:w="504"/>
        <w:gridCol w:w="2042"/>
        <w:gridCol w:w="580"/>
        <w:gridCol w:w="1641"/>
        <w:gridCol w:w="1842"/>
        <w:gridCol w:w="1815"/>
      </w:tblGrid>
      <w:tr w14:paraId="098FD75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519" w:hRule="atLeast"/>
          <w:jc w:val="center"/>
        </w:trPr>
        <w:tc>
          <w:tcPr>
            <w:tcW w:w="299" w:type="pct"/>
            <w:vMerge w:val="restart"/>
            <w:vAlign w:val="center"/>
          </w:tcPr>
          <w:p w14:paraId="59B66234">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标识</w:t>
            </w:r>
          </w:p>
        </w:tc>
        <w:tc>
          <w:tcPr>
            <w:tcW w:w="1556" w:type="pct"/>
            <w:gridSpan w:val="2"/>
            <w:vAlign w:val="center"/>
          </w:tcPr>
          <w:p w14:paraId="51978D9F">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中文名：焦化重油</w:t>
            </w:r>
          </w:p>
        </w:tc>
        <w:tc>
          <w:tcPr>
            <w:tcW w:w="974" w:type="pct"/>
            <w:vAlign w:val="center"/>
          </w:tcPr>
          <w:p w14:paraId="0A3A9F2E">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英文名：Delayed coke Heavy oil</w:t>
            </w:r>
          </w:p>
        </w:tc>
        <w:tc>
          <w:tcPr>
            <w:tcW w:w="1093" w:type="pct"/>
            <w:vAlign w:val="center"/>
          </w:tcPr>
          <w:p w14:paraId="6F52FE2B">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分子式：/</w:t>
            </w:r>
          </w:p>
        </w:tc>
        <w:tc>
          <w:tcPr>
            <w:tcW w:w="1076" w:type="pct"/>
            <w:vAlign w:val="center"/>
          </w:tcPr>
          <w:p w14:paraId="009680D8">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分子量：/</w:t>
            </w:r>
          </w:p>
        </w:tc>
      </w:tr>
      <w:tr w14:paraId="607CED6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06" w:hRule="atLeast"/>
          <w:jc w:val="center"/>
        </w:trPr>
        <w:tc>
          <w:tcPr>
            <w:tcW w:w="299" w:type="pct"/>
            <w:vMerge w:val="continue"/>
            <w:vAlign w:val="center"/>
          </w:tcPr>
          <w:p w14:paraId="7C579B31">
            <w:pPr>
              <w:spacing w:line="240" w:lineRule="auto"/>
              <w:ind w:firstLine="0" w:firstLineChars="0"/>
              <w:jc w:val="center"/>
              <w:rPr>
                <w:color w:val="000000" w:themeColor="text1"/>
                <w:kern w:val="0"/>
                <w:sz w:val="21"/>
                <w:szCs w:val="21"/>
                <w14:textFill>
                  <w14:solidFill>
                    <w14:schemeClr w14:val="tx1"/>
                  </w14:solidFill>
                </w14:textFill>
              </w:rPr>
            </w:pPr>
          </w:p>
        </w:tc>
        <w:tc>
          <w:tcPr>
            <w:tcW w:w="1556" w:type="pct"/>
            <w:gridSpan w:val="2"/>
            <w:vAlign w:val="center"/>
          </w:tcPr>
          <w:p w14:paraId="6956D94D">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UN编号：/</w:t>
            </w:r>
          </w:p>
        </w:tc>
        <w:tc>
          <w:tcPr>
            <w:tcW w:w="974" w:type="pct"/>
            <w:vAlign w:val="center"/>
          </w:tcPr>
          <w:p w14:paraId="51E1997B">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CAS号：/</w:t>
            </w:r>
          </w:p>
        </w:tc>
        <w:tc>
          <w:tcPr>
            <w:tcW w:w="2169" w:type="pct"/>
            <w:gridSpan w:val="2"/>
            <w:vAlign w:val="center"/>
          </w:tcPr>
          <w:p w14:paraId="230F09B6">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危险特性：第3类：易燃液体</w:t>
            </w:r>
          </w:p>
        </w:tc>
      </w:tr>
      <w:tr w14:paraId="79AD857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90" w:hRule="atLeast"/>
          <w:jc w:val="center"/>
        </w:trPr>
        <w:tc>
          <w:tcPr>
            <w:tcW w:w="299" w:type="pct"/>
            <w:vMerge w:val="continue"/>
            <w:vAlign w:val="center"/>
          </w:tcPr>
          <w:p w14:paraId="217AC5F3">
            <w:pPr>
              <w:spacing w:line="240" w:lineRule="auto"/>
              <w:ind w:firstLine="0" w:firstLineChars="0"/>
              <w:jc w:val="center"/>
              <w:rPr>
                <w:color w:val="000000" w:themeColor="text1"/>
                <w:kern w:val="0"/>
                <w:sz w:val="21"/>
                <w:szCs w:val="21"/>
                <w14:textFill>
                  <w14:solidFill>
                    <w14:schemeClr w14:val="tx1"/>
                  </w14:solidFill>
                </w14:textFill>
              </w:rPr>
            </w:pPr>
          </w:p>
        </w:tc>
        <w:tc>
          <w:tcPr>
            <w:tcW w:w="1556" w:type="pct"/>
            <w:gridSpan w:val="2"/>
            <w:vAlign w:val="center"/>
          </w:tcPr>
          <w:p w14:paraId="27DE5874">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危险化学品目录编号：/</w:t>
            </w:r>
          </w:p>
        </w:tc>
        <w:tc>
          <w:tcPr>
            <w:tcW w:w="3143" w:type="pct"/>
            <w:gridSpan w:val="3"/>
            <w:vAlign w:val="center"/>
          </w:tcPr>
          <w:p w14:paraId="0C2E4A22">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危险性类别：易燃液体，类别3。</w:t>
            </w:r>
          </w:p>
        </w:tc>
      </w:tr>
      <w:tr w14:paraId="0A487F7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68" w:hRule="atLeast"/>
          <w:jc w:val="center"/>
        </w:trPr>
        <w:tc>
          <w:tcPr>
            <w:tcW w:w="299" w:type="pct"/>
            <w:vMerge w:val="restart"/>
            <w:vAlign w:val="center"/>
          </w:tcPr>
          <w:p w14:paraId="2659939A">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理化</w:t>
            </w:r>
          </w:p>
          <w:p w14:paraId="3AE24277">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性质</w:t>
            </w:r>
          </w:p>
        </w:tc>
        <w:tc>
          <w:tcPr>
            <w:tcW w:w="4700" w:type="pct"/>
            <w:gridSpan w:val="5"/>
            <w:vAlign w:val="center"/>
          </w:tcPr>
          <w:p w14:paraId="455DBADE">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棕色油状液体。</w:t>
            </w:r>
          </w:p>
        </w:tc>
      </w:tr>
      <w:tr w14:paraId="30D7EB2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90" w:hRule="atLeast"/>
          <w:jc w:val="center"/>
        </w:trPr>
        <w:tc>
          <w:tcPr>
            <w:tcW w:w="299" w:type="pct"/>
            <w:vMerge w:val="continue"/>
            <w:vAlign w:val="center"/>
          </w:tcPr>
          <w:p w14:paraId="6202DE6C">
            <w:pPr>
              <w:spacing w:line="240" w:lineRule="auto"/>
              <w:ind w:firstLine="0" w:firstLineChars="0"/>
              <w:jc w:val="center"/>
              <w:rPr>
                <w:color w:val="000000" w:themeColor="text1"/>
                <w:kern w:val="0"/>
                <w:sz w:val="21"/>
                <w:szCs w:val="21"/>
                <w14:textFill>
                  <w14:solidFill>
                    <w14:schemeClr w14:val="tx1"/>
                  </w14:solidFill>
                </w14:textFill>
              </w:rPr>
            </w:pPr>
          </w:p>
        </w:tc>
        <w:tc>
          <w:tcPr>
            <w:tcW w:w="1212" w:type="pct"/>
            <w:vAlign w:val="center"/>
          </w:tcPr>
          <w:p w14:paraId="4799EB34">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熔点/℃：无资料</w:t>
            </w:r>
          </w:p>
        </w:tc>
        <w:tc>
          <w:tcPr>
            <w:tcW w:w="3488" w:type="pct"/>
            <w:gridSpan w:val="4"/>
            <w:vAlign w:val="center"/>
          </w:tcPr>
          <w:p w14:paraId="70BA632D">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溶解性：/</w:t>
            </w:r>
          </w:p>
        </w:tc>
      </w:tr>
      <w:tr w14:paraId="15F3BAC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78" w:hRule="atLeast"/>
          <w:jc w:val="center"/>
        </w:trPr>
        <w:tc>
          <w:tcPr>
            <w:tcW w:w="299" w:type="pct"/>
            <w:vMerge w:val="continue"/>
            <w:vAlign w:val="center"/>
          </w:tcPr>
          <w:p w14:paraId="24F03997">
            <w:pPr>
              <w:spacing w:line="240" w:lineRule="auto"/>
              <w:ind w:firstLine="0" w:firstLineChars="0"/>
              <w:jc w:val="center"/>
              <w:rPr>
                <w:color w:val="000000" w:themeColor="text1"/>
                <w:kern w:val="0"/>
                <w:sz w:val="21"/>
                <w:szCs w:val="21"/>
                <w14:textFill>
                  <w14:solidFill>
                    <w14:schemeClr w14:val="tx1"/>
                  </w14:solidFill>
                </w14:textFill>
              </w:rPr>
            </w:pPr>
          </w:p>
        </w:tc>
        <w:tc>
          <w:tcPr>
            <w:tcW w:w="2530" w:type="pct"/>
            <w:gridSpan w:val="3"/>
            <w:vAlign w:val="center"/>
          </w:tcPr>
          <w:p w14:paraId="77DDB54A">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沸点/℃：无资料</w:t>
            </w:r>
          </w:p>
        </w:tc>
        <w:tc>
          <w:tcPr>
            <w:tcW w:w="2169" w:type="pct"/>
            <w:gridSpan w:val="2"/>
            <w:vAlign w:val="center"/>
          </w:tcPr>
          <w:p w14:paraId="3CAD7F96">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相对密度（水=1）：0.96</w:t>
            </w:r>
          </w:p>
        </w:tc>
      </w:tr>
      <w:tr w14:paraId="2F54754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98" w:hRule="atLeast"/>
          <w:jc w:val="center"/>
        </w:trPr>
        <w:tc>
          <w:tcPr>
            <w:tcW w:w="299" w:type="pct"/>
            <w:vMerge w:val="continue"/>
            <w:vAlign w:val="center"/>
          </w:tcPr>
          <w:p w14:paraId="4F874995">
            <w:pPr>
              <w:spacing w:line="240" w:lineRule="auto"/>
              <w:ind w:firstLine="0" w:firstLineChars="0"/>
              <w:jc w:val="center"/>
              <w:rPr>
                <w:color w:val="000000" w:themeColor="text1"/>
                <w:kern w:val="0"/>
                <w:sz w:val="21"/>
                <w:szCs w:val="21"/>
                <w14:textFill>
                  <w14:solidFill>
                    <w14:schemeClr w14:val="tx1"/>
                  </w14:solidFill>
                </w14:textFill>
              </w:rPr>
            </w:pPr>
          </w:p>
        </w:tc>
        <w:tc>
          <w:tcPr>
            <w:tcW w:w="2530" w:type="pct"/>
            <w:gridSpan w:val="3"/>
            <w:vAlign w:val="center"/>
          </w:tcPr>
          <w:p w14:paraId="6077776D">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饱和蒸气压/kPa：无资料</w:t>
            </w:r>
          </w:p>
        </w:tc>
        <w:tc>
          <w:tcPr>
            <w:tcW w:w="2169" w:type="pct"/>
            <w:gridSpan w:val="2"/>
            <w:vAlign w:val="center"/>
          </w:tcPr>
          <w:p w14:paraId="11F115BA">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相对蒸汽密度</w:t>
            </w:r>
            <w:r>
              <w:rPr>
                <w:rFonts w:hint="eastAsia"/>
                <w:color w:val="000000" w:themeColor="text1"/>
                <w:kern w:val="0"/>
                <w:sz w:val="21"/>
                <w:szCs w:val="21"/>
                <w14:textFill>
                  <w14:solidFill>
                    <w14:schemeClr w14:val="tx1"/>
                  </w14:solidFill>
                </w14:textFill>
              </w:rPr>
              <w:t>（</w:t>
            </w:r>
            <w:r>
              <w:rPr>
                <w:color w:val="000000" w:themeColor="text1"/>
                <w:kern w:val="0"/>
                <w:sz w:val="21"/>
                <w:szCs w:val="21"/>
                <w14:textFill>
                  <w14:solidFill>
                    <w14:schemeClr w14:val="tx1"/>
                  </w14:solidFill>
                </w14:textFill>
              </w:rPr>
              <w:t>空气=1</w:t>
            </w:r>
            <w:r>
              <w:rPr>
                <w:rFonts w:hint="eastAsia"/>
                <w:color w:val="000000" w:themeColor="text1"/>
                <w:kern w:val="0"/>
                <w:sz w:val="21"/>
                <w:szCs w:val="21"/>
                <w14:textFill>
                  <w14:solidFill>
                    <w14:schemeClr w14:val="tx1"/>
                  </w14:solidFill>
                </w14:textFill>
              </w:rPr>
              <w:t>）</w:t>
            </w:r>
            <w:r>
              <w:rPr>
                <w:color w:val="000000" w:themeColor="text1"/>
                <w:kern w:val="0"/>
                <w:sz w:val="21"/>
                <w:szCs w:val="21"/>
                <w14:textFill>
                  <w14:solidFill>
                    <w14:schemeClr w14:val="tx1"/>
                  </w14:solidFill>
                </w14:textFill>
              </w:rPr>
              <w:t>：无资料</w:t>
            </w:r>
          </w:p>
        </w:tc>
      </w:tr>
      <w:tr w14:paraId="66E6866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90" w:hRule="atLeast"/>
          <w:jc w:val="center"/>
        </w:trPr>
        <w:tc>
          <w:tcPr>
            <w:tcW w:w="299" w:type="pct"/>
            <w:vMerge w:val="continue"/>
            <w:vAlign w:val="center"/>
          </w:tcPr>
          <w:p w14:paraId="2CA86B7B">
            <w:pPr>
              <w:spacing w:line="240" w:lineRule="auto"/>
              <w:ind w:firstLine="0" w:firstLineChars="0"/>
              <w:jc w:val="center"/>
              <w:rPr>
                <w:color w:val="000000" w:themeColor="text1"/>
                <w:kern w:val="0"/>
                <w:sz w:val="21"/>
                <w:szCs w:val="21"/>
                <w14:textFill>
                  <w14:solidFill>
                    <w14:schemeClr w14:val="tx1"/>
                  </w14:solidFill>
                </w14:textFill>
              </w:rPr>
            </w:pPr>
          </w:p>
        </w:tc>
        <w:tc>
          <w:tcPr>
            <w:tcW w:w="2530" w:type="pct"/>
            <w:gridSpan w:val="3"/>
            <w:vAlign w:val="center"/>
          </w:tcPr>
          <w:p w14:paraId="31E1E0B4">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临界温度/℃无资料</w:t>
            </w:r>
          </w:p>
        </w:tc>
        <w:tc>
          <w:tcPr>
            <w:tcW w:w="2169" w:type="pct"/>
            <w:gridSpan w:val="2"/>
            <w:vAlign w:val="center"/>
          </w:tcPr>
          <w:p w14:paraId="7E5D703E">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燃烧热（kJ·mol）：无资料</w:t>
            </w:r>
          </w:p>
        </w:tc>
      </w:tr>
      <w:tr w14:paraId="1A8647B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90" w:hRule="atLeast"/>
          <w:jc w:val="center"/>
        </w:trPr>
        <w:tc>
          <w:tcPr>
            <w:tcW w:w="299" w:type="pct"/>
            <w:vMerge w:val="continue"/>
            <w:vAlign w:val="center"/>
          </w:tcPr>
          <w:p w14:paraId="714C86D1">
            <w:pPr>
              <w:spacing w:line="240" w:lineRule="auto"/>
              <w:ind w:firstLine="0" w:firstLineChars="0"/>
              <w:jc w:val="center"/>
              <w:rPr>
                <w:color w:val="000000" w:themeColor="text1"/>
                <w:kern w:val="0"/>
                <w:sz w:val="21"/>
                <w:szCs w:val="21"/>
                <w14:textFill>
                  <w14:solidFill>
                    <w14:schemeClr w14:val="tx1"/>
                  </w14:solidFill>
                </w14:textFill>
              </w:rPr>
            </w:pPr>
          </w:p>
        </w:tc>
        <w:tc>
          <w:tcPr>
            <w:tcW w:w="2530" w:type="pct"/>
            <w:gridSpan w:val="3"/>
            <w:vAlign w:val="center"/>
          </w:tcPr>
          <w:p w14:paraId="2F4D3416">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临界压力/MPa无资料</w:t>
            </w:r>
          </w:p>
        </w:tc>
        <w:tc>
          <w:tcPr>
            <w:tcW w:w="2169" w:type="pct"/>
            <w:gridSpan w:val="2"/>
            <w:vAlign w:val="center"/>
          </w:tcPr>
          <w:p w14:paraId="36E5B2F8">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自燃点/℃：无资料</w:t>
            </w:r>
          </w:p>
        </w:tc>
      </w:tr>
      <w:tr w14:paraId="7AE8E6B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90" w:hRule="atLeast"/>
          <w:jc w:val="center"/>
        </w:trPr>
        <w:tc>
          <w:tcPr>
            <w:tcW w:w="299" w:type="pct"/>
            <w:vMerge w:val="restart"/>
            <w:vAlign w:val="center"/>
          </w:tcPr>
          <w:p w14:paraId="42B106C6">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燃烧爆炸危险性</w:t>
            </w:r>
          </w:p>
        </w:tc>
        <w:tc>
          <w:tcPr>
            <w:tcW w:w="2530" w:type="pct"/>
            <w:gridSpan w:val="3"/>
            <w:vAlign w:val="center"/>
          </w:tcPr>
          <w:p w14:paraId="7EBF2E78">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燃烧性：易燃</w:t>
            </w:r>
          </w:p>
        </w:tc>
        <w:tc>
          <w:tcPr>
            <w:tcW w:w="2169" w:type="pct"/>
            <w:gridSpan w:val="2"/>
            <w:vAlign w:val="center"/>
          </w:tcPr>
          <w:p w14:paraId="380C416D">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燃烧分解产物：一氧化碳、二氧化碳。</w:t>
            </w:r>
          </w:p>
        </w:tc>
      </w:tr>
      <w:tr w14:paraId="5F57629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90" w:hRule="atLeast"/>
          <w:jc w:val="center"/>
        </w:trPr>
        <w:tc>
          <w:tcPr>
            <w:tcW w:w="299" w:type="pct"/>
            <w:vMerge w:val="continue"/>
            <w:vAlign w:val="center"/>
          </w:tcPr>
          <w:p w14:paraId="2B08CEFE">
            <w:pPr>
              <w:spacing w:line="240" w:lineRule="auto"/>
              <w:ind w:firstLine="0" w:firstLineChars="0"/>
              <w:jc w:val="center"/>
              <w:rPr>
                <w:color w:val="000000" w:themeColor="text1"/>
                <w:kern w:val="0"/>
                <w:sz w:val="21"/>
                <w:szCs w:val="21"/>
                <w14:textFill>
                  <w14:solidFill>
                    <w14:schemeClr w14:val="tx1"/>
                  </w14:solidFill>
                </w14:textFill>
              </w:rPr>
            </w:pPr>
          </w:p>
        </w:tc>
        <w:tc>
          <w:tcPr>
            <w:tcW w:w="2530" w:type="pct"/>
            <w:gridSpan w:val="3"/>
            <w:vAlign w:val="center"/>
          </w:tcPr>
          <w:p w14:paraId="25BCFE66">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闪点/℃：152</w:t>
            </w:r>
          </w:p>
        </w:tc>
        <w:tc>
          <w:tcPr>
            <w:tcW w:w="2169" w:type="pct"/>
            <w:gridSpan w:val="2"/>
            <w:vAlign w:val="center"/>
          </w:tcPr>
          <w:p w14:paraId="2B922703">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聚合危害：不聚合</w:t>
            </w:r>
          </w:p>
        </w:tc>
      </w:tr>
      <w:tr w14:paraId="2DCB83B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90" w:hRule="atLeast"/>
          <w:jc w:val="center"/>
        </w:trPr>
        <w:tc>
          <w:tcPr>
            <w:tcW w:w="299" w:type="pct"/>
            <w:vMerge w:val="continue"/>
            <w:vAlign w:val="center"/>
          </w:tcPr>
          <w:p w14:paraId="4D636E4B">
            <w:pPr>
              <w:spacing w:line="240" w:lineRule="auto"/>
              <w:ind w:firstLine="0" w:firstLineChars="0"/>
              <w:jc w:val="center"/>
              <w:rPr>
                <w:color w:val="000000" w:themeColor="text1"/>
                <w:kern w:val="0"/>
                <w:sz w:val="21"/>
                <w:szCs w:val="21"/>
                <w14:textFill>
                  <w14:solidFill>
                    <w14:schemeClr w14:val="tx1"/>
                  </w14:solidFill>
                </w14:textFill>
              </w:rPr>
            </w:pPr>
          </w:p>
        </w:tc>
        <w:tc>
          <w:tcPr>
            <w:tcW w:w="2530" w:type="pct"/>
            <w:gridSpan w:val="3"/>
            <w:vAlign w:val="center"/>
          </w:tcPr>
          <w:p w14:paraId="758C1B9C">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爆炸极限（体积分数）/%：无资料</w:t>
            </w:r>
          </w:p>
        </w:tc>
        <w:tc>
          <w:tcPr>
            <w:tcW w:w="2169" w:type="pct"/>
            <w:gridSpan w:val="2"/>
            <w:vAlign w:val="center"/>
          </w:tcPr>
          <w:p w14:paraId="6D1CEAE2">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稳定性：稳定</w:t>
            </w:r>
          </w:p>
        </w:tc>
      </w:tr>
      <w:tr w14:paraId="7AC7825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90" w:hRule="atLeast"/>
          <w:jc w:val="center"/>
        </w:trPr>
        <w:tc>
          <w:tcPr>
            <w:tcW w:w="299" w:type="pct"/>
            <w:vMerge w:val="continue"/>
            <w:vAlign w:val="center"/>
          </w:tcPr>
          <w:p w14:paraId="20B98A4A">
            <w:pPr>
              <w:spacing w:line="240" w:lineRule="auto"/>
              <w:ind w:firstLine="0" w:firstLineChars="0"/>
              <w:jc w:val="center"/>
              <w:rPr>
                <w:color w:val="000000" w:themeColor="text1"/>
                <w:kern w:val="0"/>
                <w:sz w:val="21"/>
                <w:szCs w:val="21"/>
                <w14:textFill>
                  <w14:solidFill>
                    <w14:schemeClr w14:val="tx1"/>
                  </w14:solidFill>
                </w14:textFill>
              </w:rPr>
            </w:pPr>
          </w:p>
        </w:tc>
        <w:tc>
          <w:tcPr>
            <w:tcW w:w="2530" w:type="pct"/>
            <w:gridSpan w:val="3"/>
            <w:vAlign w:val="center"/>
          </w:tcPr>
          <w:p w14:paraId="02D6C889">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引燃温度/℃：无资料</w:t>
            </w:r>
          </w:p>
        </w:tc>
        <w:tc>
          <w:tcPr>
            <w:tcW w:w="2169" w:type="pct"/>
            <w:gridSpan w:val="2"/>
            <w:vAlign w:val="center"/>
          </w:tcPr>
          <w:p w14:paraId="008A2AD2">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禁忌物：强氧化剂</w:t>
            </w:r>
          </w:p>
        </w:tc>
      </w:tr>
      <w:tr w14:paraId="59A4772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403" w:hRule="atLeast"/>
          <w:jc w:val="center"/>
        </w:trPr>
        <w:tc>
          <w:tcPr>
            <w:tcW w:w="299" w:type="pct"/>
            <w:vMerge w:val="continue"/>
            <w:vAlign w:val="center"/>
          </w:tcPr>
          <w:p w14:paraId="4DB01C21">
            <w:pPr>
              <w:spacing w:line="240" w:lineRule="auto"/>
              <w:ind w:firstLine="0" w:firstLineChars="0"/>
              <w:jc w:val="center"/>
              <w:rPr>
                <w:color w:val="000000" w:themeColor="text1"/>
                <w:kern w:val="0"/>
                <w:sz w:val="21"/>
                <w:szCs w:val="21"/>
                <w14:textFill>
                  <w14:solidFill>
                    <w14:schemeClr w14:val="tx1"/>
                  </w14:solidFill>
                </w14:textFill>
              </w:rPr>
            </w:pPr>
          </w:p>
        </w:tc>
        <w:tc>
          <w:tcPr>
            <w:tcW w:w="4700" w:type="pct"/>
            <w:gridSpan w:val="5"/>
            <w:vAlign w:val="center"/>
          </w:tcPr>
          <w:p w14:paraId="6574AE49">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危险特性：遇明火、高热可燃。与强氧化剂接触产生化学反应。</w:t>
            </w:r>
          </w:p>
        </w:tc>
      </w:tr>
      <w:tr w14:paraId="027F0E3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732" w:hRule="atLeast"/>
          <w:jc w:val="center"/>
        </w:trPr>
        <w:tc>
          <w:tcPr>
            <w:tcW w:w="299" w:type="pct"/>
            <w:vMerge w:val="continue"/>
            <w:vAlign w:val="center"/>
          </w:tcPr>
          <w:p w14:paraId="265060C5">
            <w:pPr>
              <w:spacing w:line="240" w:lineRule="auto"/>
              <w:ind w:firstLine="0" w:firstLineChars="0"/>
              <w:jc w:val="center"/>
              <w:rPr>
                <w:color w:val="000000" w:themeColor="text1"/>
                <w:kern w:val="0"/>
                <w:sz w:val="21"/>
                <w:szCs w:val="21"/>
                <w14:textFill>
                  <w14:solidFill>
                    <w14:schemeClr w14:val="tx1"/>
                  </w14:solidFill>
                </w14:textFill>
              </w:rPr>
            </w:pPr>
          </w:p>
        </w:tc>
        <w:tc>
          <w:tcPr>
            <w:tcW w:w="4700" w:type="pct"/>
            <w:gridSpan w:val="5"/>
            <w:vAlign w:val="center"/>
          </w:tcPr>
          <w:p w14:paraId="13918B57">
            <w:pPr>
              <w:spacing w:line="240" w:lineRule="auto"/>
              <w:ind w:firstLine="0" w:firstLineChars="0"/>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灭火注意事项及措施：消防人员必须穿戴全身防火防毒服。灭火剂：干粉、二氧化碳、砂土。</w:t>
            </w:r>
          </w:p>
          <w:p w14:paraId="6CF95D87">
            <w:pPr>
              <w:spacing w:line="240" w:lineRule="auto"/>
              <w:ind w:firstLine="0" w:firstLineChars="0"/>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用直流水可引起沸溅。</w:t>
            </w:r>
          </w:p>
        </w:tc>
      </w:tr>
      <w:tr w14:paraId="2FA16A4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1321" w:hRule="atLeast"/>
          <w:jc w:val="center"/>
        </w:trPr>
        <w:tc>
          <w:tcPr>
            <w:tcW w:w="299" w:type="pct"/>
            <w:vAlign w:val="center"/>
          </w:tcPr>
          <w:p w14:paraId="49041659">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毒性</w:t>
            </w:r>
          </w:p>
        </w:tc>
        <w:tc>
          <w:tcPr>
            <w:tcW w:w="4700" w:type="pct"/>
            <w:gridSpan w:val="5"/>
            <w:vAlign w:val="center"/>
          </w:tcPr>
          <w:p w14:paraId="3FF06929">
            <w:pPr>
              <w:spacing w:line="240" w:lineRule="auto"/>
              <w:ind w:firstLine="0" w:firstLineChars="0"/>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侵入途径：吸入、食入、经皮吸收</w:t>
            </w:r>
          </w:p>
          <w:p w14:paraId="0BA63527">
            <w:pPr>
              <w:spacing w:line="240" w:lineRule="auto"/>
              <w:ind w:firstLine="0" w:firstLineChars="0"/>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急性毒性：蒽（120-12-7）小鼠经口LD：＞17gm/kg；静脉LD50：430mg/kg</w:t>
            </w:r>
          </w:p>
          <w:p w14:paraId="0AF6FC22">
            <w:pPr>
              <w:spacing w:line="240" w:lineRule="auto"/>
              <w:ind w:firstLine="0" w:firstLineChars="0"/>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苊（83-32-9）大鼠非肠道LD50：600mg/kg</w:t>
            </w:r>
          </w:p>
          <w:p w14:paraId="41CB557D">
            <w:pPr>
              <w:spacing w:line="240" w:lineRule="auto"/>
              <w:ind w:firstLine="0" w:firstLineChars="0"/>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芴（86-73-7）小鼠腹腔LD50：＞2mg/kg</w:t>
            </w:r>
          </w:p>
        </w:tc>
      </w:tr>
      <w:tr w14:paraId="62C8EEC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738" w:hRule="atLeast"/>
          <w:jc w:val="center"/>
        </w:trPr>
        <w:tc>
          <w:tcPr>
            <w:tcW w:w="299" w:type="pct"/>
            <w:vAlign w:val="center"/>
          </w:tcPr>
          <w:p w14:paraId="021F682B">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健康</w:t>
            </w:r>
          </w:p>
          <w:p w14:paraId="0A1D4571">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危害</w:t>
            </w:r>
          </w:p>
        </w:tc>
        <w:tc>
          <w:tcPr>
            <w:tcW w:w="4700" w:type="pct"/>
            <w:gridSpan w:val="5"/>
            <w:vAlign w:val="center"/>
          </w:tcPr>
          <w:p w14:paraId="775516D5">
            <w:pPr>
              <w:spacing w:line="240" w:lineRule="auto"/>
              <w:ind w:firstLine="0" w:firstLineChars="0"/>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纯品基本无毒。工业品因含有菲、咔挫等杂质，毒性明显增大。由于本品蒸汽压很低，故经吸入中毒可能性很小。对皮肤、粘膜有刺激性；易引起光感性皮炎。</w:t>
            </w:r>
          </w:p>
        </w:tc>
      </w:tr>
      <w:tr w14:paraId="4B09CB8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1208" w:hRule="atLeast"/>
          <w:jc w:val="center"/>
        </w:trPr>
        <w:tc>
          <w:tcPr>
            <w:tcW w:w="299" w:type="pct"/>
            <w:vMerge w:val="restart"/>
            <w:vAlign w:val="center"/>
          </w:tcPr>
          <w:p w14:paraId="2EBF0383">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急救</w:t>
            </w:r>
          </w:p>
        </w:tc>
        <w:tc>
          <w:tcPr>
            <w:tcW w:w="4700" w:type="pct"/>
            <w:gridSpan w:val="5"/>
            <w:vAlign w:val="center"/>
          </w:tcPr>
          <w:p w14:paraId="1EF99BA8">
            <w:pPr>
              <w:spacing w:line="240" w:lineRule="auto"/>
              <w:ind w:firstLine="0" w:firstLineChars="0"/>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皮肤接触：立即脱去污染的衣着，用肥皂水和清水彻底冲洗皮肤。就医。吸入：迅速脱离现场至空气新鲜处。保持呼吸道通畅。如呼吸困难，给输氧。如呼吸停止，立即进行人工呼吸。就医。眼睛接触：提起眼睑，用流动清水或生理盐水冲洗。就医。食入：</w:t>
            </w:r>
            <w:r>
              <w:rPr>
                <w:rFonts w:hint="eastAsia"/>
                <w:color w:val="000000" w:themeColor="text1"/>
                <w:kern w:val="0"/>
                <w:sz w:val="21"/>
                <w:szCs w:val="21"/>
                <w14:textFill>
                  <w14:solidFill>
                    <w14:schemeClr w14:val="tx1"/>
                  </w14:solidFill>
                </w14:textFill>
              </w:rPr>
              <w:t>饮用</w:t>
            </w:r>
            <w:r>
              <w:rPr>
                <w:color w:val="000000" w:themeColor="text1"/>
                <w:kern w:val="0"/>
                <w:sz w:val="21"/>
                <w:szCs w:val="21"/>
                <w14:textFill>
                  <w14:solidFill>
                    <w14:schemeClr w14:val="tx1"/>
                  </w14:solidFill>
                </w14:textFill>
              </w:rPr>
              <w:t>足量温水，催吐。就医。</w:t>
            </w:r>
          </w:p>
        </w:tc>
      </w:tr>
      <w:tr w14:paraId="1713DFF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1208" w:hRule="atLeast"/>
          <w:jc w:val="center"/>
        </w:trPr>
        <w:tc>
          <w:tcPr>
            <w:tcW w:w="299" w:type="pct"/>
            <w:vAlign w:val="center"/>
          </w:tcPr>
          <w:p w14:paraId="1A87D3A8">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防护</w:t>
            </w:r>
          </w:p>
        </w:tc>
        <w:tc>
          <w:tcPr>
            <w:tcW w:w="4700" w:type="pct"/>
            <w:gridSpan w:val="5"/>
            <w:vAlign w:val="center"/>
          </w:tcPr>
          <w:p w14:paraId="0010EE40">
            <w:pPr>
              <w:spacing w:line="240" w:lineRule="auto"/>
              <w:ind w:firstLine="0" w:firstLineChars="0"/>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工程控制：密闭操作，注意通风。呼吸系统防护：一般情况下无特殊要求，必要时建议佩戴自给式呼吸器。眼睛防护：一般不需要特殊防护，但建议特殊情况下，戴化学安全防护眼镜。身体防护：穿一般作业防护服，尽可能减少直接接触。手防护：戴橡胶耐油手套。其他防护：工作现场严禁吸烟。</w:t>
            </w:r>
          </w:p>
        </w:tc>
      </w:tr>
      <w:tr w14:paraId="2EB5AE0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713" w:hRule="atLeast"/>
          <w:jc w:val="center"/>
        </w:trPr>
        <w:tc>
          <w:tcPr>
            <w:tcW w:w="299" w:type="pct"/>
            <w:vMerge w:val="restart"/>
            <w:vAlign w:val="center"/>
          </w:tcPr>
          <w:p w14:paraId="38ABBCD0">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泄漏</w:t>
            </w:r>
          </w:p>
          <w:p w14:paraId="3423F031">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处理</w:t>
            </w:r>
          </w:p>
        </w:tc>
        <w:tc>
          <w:tcPr>
            <w:tcW w:w="4700" w:type="pct"/>
            <w:gridSpan w:val="5"/>
            <w:vAlign w:val="center"/>
          </w:tcPr>
          <w:p w14:paraId="568E086E">
            <w:pPr>
              <w:spacing w:line="240" w:lineRule="auto"/>
              <w:ind w:firstLine="0" w:firstLineChars="0"/>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隔离泄漏污染区，限制出入。切断火源，穿一般作业工作服。不要直接接触泄漏物。少量泄漏：用干砂土吸收，小心扫起，置于容器转移至安全场所。大量泄漏：围堤收容。</w:t>
            </w:r>
          </w:p>
        </w:tc>
      </w:tr>
      <w:tr w14:paraId="7BA91F8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684" w:hRule="atLeast"/>
          <w:jc w:val="center"/>
        </w:trPr>
        <w:tc>
          <w:tcPr>
            <w:tcW w:w="299" w:type="pct"/>
            <w:vAlign w:val="center"/>
          </w:tcPr>
          <w:p w14:paraId="74699020">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储运</w:t>
            </w:r>
          </w:p>
        </w:tc>
        <w:tc>
          <w:tcPr>
            <w:tcW w:w="4700" w:type="pct"/>
            <w:gridSpan w:val="5"/>
            <w:vAlign w:val="center"/>
          </w:tcPr>
          <w:p w14:paraId="798D57BF">
            <w:pPr>
              <w:spacing w:line="240" w:lineRule="auto"/>
              <w:ind w:firstLine="0" w:firstLineChars="0"/>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储存于阴凉、通风的库房。远离火种、热源。保持容器密封。应</w:t>
            </w:r>
            <w:r>
              <w:rPr>
                <w:rFonts w:hint="eastAsia"/>
                <w:color w:val="000000" w:themeColor="text1"/>
                <w:kern w:val="0"/>
                <w:sz w:val="21"/>
                <w:szCs w:val="21"/>
                <w14:textFill>
                  <w14:solidFill>
                    <w14:schemeClr w14:val="tx1"/>
                  </w14:solidFill>
                </w14:textFill>
              </w:rPr>
              <w:t>与</w:t>
            </w:r>
            <w:r>
              <w:rPr>
                <w:color w:val="000000" w:themeColor="text1"/>
                <w:kern w:val="0"/>
                <w:sz w:val="21"/>
                <w:szCs w:val="21"/>
                <w14:textFill>
                  <w14:solidFill>
                    <w14:schemeClr w14:val="tx1"/>
                  </w14:solidFill>
                </w14:textFill>
              </w:rPr>
              <w:t>氧化剂分开存放。分装和搬运作业要注意个人防护。搬运时要轻装轻卸，防止包装及容器损坏。</w:t>
            </w:r>
          </w:p>
          <w:p w14:paraId="19BAE2FC">
            <w:pPr>
              <w:pStyle w:val="13"/>
              <w:rPr>
                <w:color w:val="000000" w:themeColor="text1"/>
                <w14:textFill>
                  <w14:solidFill>
                    <w14:schemeClr w14:val="tx1"/>
                  </w14:solidFill>
                </w14:textFill>
              </w:rPr>
            </w:pPr>
          </w:p>
          <w:p w14:paraId="693B01A1">
            <w:pPr>
              <w:ind w:firstLine="480"/>
              <w:rPr>
                <w:color w:val="000000" w:themeColor="text1"/>
                <w14:textFill>
                  <w14:solidFill>
                    <w14:schemeClr w14:val="tx1"/>
                  </w14:solidFill>
                </w14:textFill>
              </w:rPr>
            </w:pPr>
          </w:p>
        </w:tc>
      </w:tr>
    </w:tbl>
    <w:p w14:paraId="6E8DF99C">
      <w:pPr>
        <w:pStyle w:val="7"/>
        <w:rPr>
          <w:color w:val="000000" w:themeColor="text1"/>
          <w:u w:val="single"/>
          <w14:textFill>
            <w14:solidFill>
              <w14:schemeClr w14:val="tx1"/>
            </w14:solidFill>
          </w14:textFill>
        </w:rPr>
      </w:pPr>
      <w:r>
        <w:rPr>
          <w:color w:val="000000" w:themeColor="text1"/>
          <w:u w:val="single"/>
          <w14:textFill>
            <w14:solidFill>
              <w14:schemeClr w14:val="tx1"/>
            </w14:solidFill>
          </w14:textFill>
        </w:rPr>
        <w:t>危险物质数量和分布情况表</w:t>
      </w:r>
    </w:p>
    <w:tbl>
      <w:tblPr>
        <w:tblStyle w:val="43"/>
        <w:tblW w:w="52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6" w:type="dxa"/>
          <w:bottom w:w="0" w:type="dxa"/>
          <w:right w:w="6" w:type="dxa"/>
        </w:tblCellMar>
      </w:tblPr>
      <w:tblGrid>
        <w:gridCol w:w="609"/>
        <w:gridCol w:w="2687"/>
        <w:gridCol w:w="1278"/>
        <w:gridCol w:w="1365"/>
        <w:gridCol w:w="1365"/>
        <w:gridCol w:w="1365"/>
      </w:tblGrid>
      <w:tr w14:paraId="680CD2C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6" w:type="dxa"/>
            <w:bottom w:w="0" w:type="dxa"/>
            <w:right w:w="6" w:type="dxa"/>
          </w:tblCellMar>
        </w:tblPrEx>
        <w:trPr>
          <w:trHeight w:val="270" w:hRule="atLeast"/>
          <w:tblHeader/>
          <w:jc w:val="center"/>
        </w:trPr>
        <w:tc>
          <w:tcPr>
            <w:tcW w:w="351" w:type="pct"/>
            <w:noWrap/>
            <w:vAlign w:val="center"/>
          </w:tcPr>
          <w:p w14:paraId="4218E833">
            <w:pPr>
              <w:widowControl/>
              <w:adjustRightInd w:val="0"/>
              <w:snapToGrid w:val="0"/>
              <w:spacing w:line="240" w:lineRule="auto"/>
              <w:ind w:firstLine="0" w:firstLineChars="0"/>
              <w:jc w:val="center"/>
              <w:rPr>
                <w:b/>
                <w:color w:val="000000" w:themeColor="text1"/>
                <w:kern w:val="0"/>
                <w:sz w:val="21"/>
                <w:szCs w:val="21"/>
                <w14:textFill>
                  <w14:solidFill>
                    <w14:schemeClr w14:val="tx1"/>
                  </w14:solidFill>
                </w14:textFill>
              </w:rPr>
            </w:pPr>
            <w:r>
              <w:rPr>
                <w:b/>
                <w:color w:val="000000" w:themeColor="text1"/>
                <w:kern w:val="0"/>
                <w:sz w:val="21"/>
                <w:szCs w:val="21"/>
                <w14:textFill>
                  <w14:solidFill>
                    <w14:schemeClr w14:val="tx1"/>
                  </w14:solidFill>
                </w14:textFill>
              </w:rPr>
              <w:t>序号</w:t>
            </w:r>
          </w:p>
        </w:tc>
        <w:tc>
          <w:tcPr>
            <w:tcW w:w="1550" w:type="pct"/>
            <w:noWrap/>
            <w:vAlign w:val="center"/>
          </w:tcPr>
          <w:p w14:paraId="23313B44">
            <w:pPr>
              <w:widowControl/>
              <w:adjustRightInd w:val="0"/>
              <w:snapToGrid w:val="0"/>
              <w:spacing w:line="240" w:lineRule="auto"/>
              <w:ind w:firstLine="0" w:firstLineChars="0"/>
              <w:jc w:val="center"/>
              <w:rPr>
                <w:b/>
                <w:color w:val="000000" w:themeColor="text1"/>
                <w:kern w:val="0"/>
                <w:sz w:val="21"/>
                <w:szCs w:val="21"/>
                <w14:textFill>
                  <w14:solidFill>
                    <w14:schemeClr w14:val="tx1"/>
                  </w14:solidFill>
                </w14:textFill>
              </w:rPr>
            </w:pPr>
            <w:r>
              <w:rPr>
                <w:b/>
                <w:color w:val="000000" w:themeColor="text1"/>
                <w:kern w:val="0"/>
                <w:sz w:val="21"/>
                <w:szCs w:val="21"/>
                <w14:textFill>
                  <w14:solidFill>
                    <w14:schemeClr w14:val="tx1"/>
                  </w14:solidFill>
                </w14:textFill>
              </w:rPr>
              <w:t>危险物质名称</w:t>
            </w:r>
          </w:p>
        </w:tc>
        <w:tc>
          <w:tcPr>
            <w:tcW w:w="737" w:type="pct"/>
            <w:noWrap/>
            <w:vAlign w:val="center"/>
          </w:tcPr>
          <w:p w14:paraId="278E59EB">
            <w:pPr>
              <w:widowControl/>
              <w:adjustRightInd w:val="0"/>
              <w:snapToGrid w:val="0"/>
              <w:spacing w:line="240" w:lineRule="auto"/>
              <w:ind w:firstLine="0" w:firstLineChars="0"/>
              <w:jc w:val="center"/>
              <w:rPr>
                <w:b/>
                <w:color w:val="000000" w:themeColor="text1"/>
                <w:kern w:val="0"/>
                <w:sz w:val="21"/>
                <w:szCs w:val="21"/>
                <w14:textFill>
                  <w14:solidFill>
                    <w14:schemeClr w14:val="tx1"/>
                  </w14:solidFill>
                </w14:textFill>
              </w:rPr>
            </w:pPr>
            <w:r>
              <w:rPr>
                <w:b/>
                <w:color w:val="000000" w:themeColor="text1"/>
                <w:kern w:val="0"/>
                <w:sz w:val="21"/>
                <w:szCs w:val="21"/>
                <w14:textFill>
                  <w14:solidFill>
                    <w14:schemeClr w14:val="tx1"/>
                  </w14:solidFill>
                </w14:textFill>
              </w:rPr>
              <w:t>CAS号</w:t>
            </w:r>
          </w:p>
        </w:tc>
        <w:tc>
          <w:tcPr>
            <w:tcW w:w="787" w:type="pct"/>
            <w:vAlign w:val="center"/>
          </w:tcPr>
          <w:p w14:paraId="458DBA70">
            <w:pPr>
              <w:widowControl/>
              <w:adjustRightInd w:val="0"/>
              <w:snapToGrid w:val="0"/>
              <w:spacing w:line="240" w:lineRule="auto"/>
              <w:ind w:firstLine="0" w:firstLineChars="0"/>
              <w:jc w:val="center"/>
              <w:rPr>
                <w:b/>
                <w:color w:val="000000" w:themeColor="text1"/>
                <w:kern w:val="0"/>
                <w:sz w:val="21"/>
                <w:szCs w:val="21"/>
                <w14:textFill>
                  <w14:solidFill>
                    <w14:schemeClr w14:val="tx1"/>
                  </w14:solidFill>
                </w14:textFill>
              </w:rPr>
            </w:pPr>
            <w:r>
              <w:rPr>
                <w:b/>
                <w:color w:val="000000" w:themeColor="text1"/>
                <w:kern w:val="0"/>
                <w:sz w:val="21"/>
                <w:szCs w:val="21"/>
                <w14:textFill>
                  <w14:solidFill>
                    <w14:schemeClr w14:val="tx1"/>
                  </w14:solidFill>
                </w14:textFill>
              </w:rPr>
              <w:t>最大存在总量q</w:t>
            </w:r>
            <w:r>
              <w:rPr>
                <w:b/>
                <w:color w:val="000000" w:themeColor="text1"/>
                <w:kern w:val="0"/>
                <w:sz w:val="21"/>
                <w:szCs w:val="21"/>
                <w:vertAlign w:val="subscript"/>
                <w14:textFill>
                  <w14:solidFill>
                    <w14:schemeClr w14:val="tx1"/>
                  </w14:solidFill>
                </w14:textFill>
              </w:rPr>
              <w:t>n</w:t>
            </w:r>
            <w:r>
              <w:rPr>
                <w:b/>
                <w:color w:val="000000" w:themeColor="text1"/>
                <w:kern w:val="0"/>
                <w:sz w:val="21"/>
                <w:szCs w:val="21"/>
                <w14:textFill>
                  <w14:solidFill>
                    <w14:schemeClr w14:val="tx1"/>
                  </w14:solidFill>
                </w14:textFill>
              </w:rPr>
              <w:t>/t</w:t>
            </w:r>
          </w:p>
        </w:tc>
        <w:tc>
          <w:tcPr>
            <w:tcW w:w="787" w:type="pct"/>
            <w:vAlign w:val="center"/>
          </w:tcPr>
          <w:p w14:paraId="5889854C">
            <w:pPr>
              <w:widowControl/>
              <w:adjustRightInd w:val="0"/>
              <w:snapToGrid w:val="0"/>
              <w:spacing w:line="240" w:lineRule="auto"/>
              <w:ind w:firstLine="0" w:firstLineChars="0"/>
              <w:jc w:val="center"/>
              <w:rPr>
                <w:b/>
                <w:color w:val="000000" w:themeColor="text1"/>
                <w:kern w:val="0"/>
                <w:sz w:val="21"/>
                <w:szCs w:val="21"/>
                <w14:textFill>
                  <w14:solidFill>
                    <w14:schemeClr w14:val="tx1"/>
                  </w14:solidFill>
                </w14:textFill>
              </w:rPr>
            </w:pPr>
            <w:r>
              <w:rPr>
                <w:b/>
                <w:color w:val="000000" w:themeColor="text1"/>
                <w:kern w:val="0"/>
                <w:sz w:val="21"/>
                <w:szCs w:val="21"/>
                <w14:textFill>
                  <w14:solidFill>
                    <w14:schemeClr w14:val="tx1"/>
                  </w14:solidFill>
                </w14:textFill>
              </w:rPr>
              <w:t>临界量Q</w:t>
            </w:r>
            <w:r>
              <w:rPr>
                <w:b/>
                <w:color w:val="000000" w:themeColor="text1"/>
                <w:kern w:val="0"/>
                <w:sz w:val="21"/>
                <w:szCs w:val="21"/>
                <w:vertAlign w:val="subscript"/>
                <w14:textFill>
                  <w14:solidFill>
                    <w14:schemeClr w14:val="tx1"/>
                  </w14:solidFill>
                </w14:textFill>
              </w:rPr>
              <w:t>n</w:t>
            </w:r>
            <w:r>
              <w:rPr>
                <w:b/>
                <w:color w:val="000000" w:themeColor="text1"/>
                <w:kern w:val="0"/>
                <w:sz w:val="21"/>
                <w:szCs w:val="21"/>
                <w14:textFill>
                  <w14:solidFill>
                    <w14:schemeClr w14:val="tx1"/>
                  </w14:solidFill>
                </w14:textFill>
              </w:rPr>
              <w:t>/t</w:t>
            </w:r>
          </w:p>
        </w:tc>
        <w:tc>
          <w:tcPr>
            <w:tcW w:w="787" w:type="pct"/>
            <w:vAlign w:val="center"/>
          </w:tcPr>
          <w:p w14:paraId="6F6E5F72">
            <w:pPr>
              <w:widowControl/>
              <w:adjustRightInd w:val="0"/>
              <w:snapToGrid w:val="0"/>
              <w:spacing w:line="240" w:lineRule="auto"/>
              <w:ind w:firstLine="0" w:firstLineChars="0"/>
              <w:jc w:val="center"/>
              <w:rPr>
                <w:b/>
                <w:color w:val="000000" w:themeColor="text1"/>
                <w:kern w:val="0"/>
                <w:sz w:val="21"/>
                <w:szCs w:val="21"/>
                <w14:textFill>
                  <w14:solidFill>
                    <w14:schemeClr w14:val="tx1"/>
                  </w14:solidFill>
                </w14:textFill>
              </w:rPr>
            </w:pPr>
            <w:r>
              <w:rPr>
                <w:b/>
                <w:color w:val="000000" w:themeColor="text1"/>
                <w:kern w:val="0"/>
                <w:sz w:val="21"/>
                <w:szCs w:val="21"/>
                <w14:textFill>
                  <w14:solidFill>
                    <w14:schemeClr w14:val="tx1"/>
                  </w14:solidFill>
                </w14:textFill>
              </w:rPr>
              <w:t>该种危险物质Q值</w:t>
            </w:r>
          </w:p>
        </w:tc>
      </w:tr>
      <w:tr w14:paraId="1653BC3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6" w:type="dxa"/>
            <w:bottom w:w="0" w:type="dxa"/>
            <w:right w:w="6" w:type="dxa"/>
          </w:tblCellMar>
        </w:tblPrEx>
        <w:trPr>
          <w:trHeight w:val="270" w:hRule="atLeast"/>
          <w:tblHeader/>
          <w:jc w:val="center"/>
        </w:trPr>
        <w:tc>
          <w:tcPr>
            <w:tcW w:w="609" w:type="dxa"/>
            <w:noWrap/>
            <w:vAlign w:val="center"/>
          </w:tcPr>
          <w:p w14:paraId="5249F6AF">
            <w:pPr>
              <w:widowControl/>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w:t>
            </w:r>
          </w:p>
        </w:tc>
        <w:tc>
          <w:tcPr>
            <w:tcW w:w="2687" w:type="dxa"/>
            <w:noWrap/>
            <w:vAlign w:val="center"/>
          </w:tcPr>
          <w:p w14:paraId="5917C7CE">
            <w:pPr>
              <w:widowControl/>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苯乙烯</w:t>
            </w:r>
          </w:p>
        </w:tc>
        <w:tc>
          <w:tcPr>
            <w:tcW w:w="1278" w:type="dxa"/>
            <w:noWrap/>
            <w:vAlign w:val="center"/>
          </w:tcPr>
          <w:p w14:paraId="308E5E36">
            <w:pPr>
              <w:widowControl/>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100-42-5</w:t>
            </w:r>
          </w:p>
        </w:tc>
        <w:tc>
          <w:tcPr>
            <w:tcW w:w="1365" w:type="dxa"/>
            <w:vAlign w:val="center"/>
          </w:tcPr>
          <w:p w14:paraId="5A65C026">
            <w:pPr>
              <w:widowControl/>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991.53</w:t>
            </w:r>
          </w:p>
        </w:tc>
        <w:tc>
          <w:tcPr>
            <w:tcW w:w="1365" w:type="dxa"/>
            <w:vAlign w:val="center"/>
          </w:tcPr>
          <w:p w14:paraId="38D92111">
            <w:pPr>
              <w:widowControl/>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10</w:t>
            </w:r>
          </w:p>
        </w:tc>
        <w:tc>
          <w:tcPr>
            <w:tcW w:w="1365" w:type="dxa"/>
            <w:vAlign w:val="center"/>
          </w:tcPr>
          <w:p w14:paraId="692BC309">
            <w:pPr>
              <w:widowControl/>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rFonts w:eastAsia="等线"/>
                <w:color w:val="000000" w:themeColor="text1"/>
                <w:sz w:val="21"/>
                <w:szCs w:val="21"/>
                <w14:textFill>
                  <w14:solidFill>
                    <w14:schemeClr w14:val="tx1"/>
                  </w14:solidFill>
                </w14:textFill>
              </w:rPr>
              <w:t xml:space="preserve">99.15 </w:t>
            </w:r>
          </w:p>
        </w:tc>
      </w:tr>
      <w:tr w14:paraId="2E5392D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6" w:type="dxa"/>
            <w:bottom w:w="0" w:type="dxa"/>
            <w:right w:w="6" w:type="dxa"/>
          </w:tblCellMar>
        </w:tblPrEx>
        <w:trPr>
          <w:trHeight w:val="270" w:hRule="atLeast"/>
          <w:tblHeader/>
          <w:jc w:val="center"/>
        </w:trPr>
        <w:tc>
          <w:tcPr>
            <w:tcW w:w="609" w:type="dxa"/>
            <w:noWrap/>
            <w:vAlign w:val="center"/>
          </w:tcPr>
          <w:p w14:paraId="6A6E56F7">
            <w:pPr>
              <w:widowControl/>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2</w:t>
            </w:r>
          </w:p>
        </w:tc>
        <w:tc>
          <w:tcPr>
            <w:tcW w:w="2687" w:type="dxa"/>
            <w:noWrap/>
            <w:vAlign w:val="center"/>
          </w:tcPr>
          <w:p w14:paraId="60C8B373">
            <w:pPr>
              <w:widowControl/>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裂解C9</w:t>
            </w:r>
          </w:p>
        </w:tc>
        <w:tc>
          <w:tcPr>
            <w:tcW w:w="1278" w:type="dxa"/>
            <w:noWrap/>
            <w:vAlign w:val="center"/>
          </w:tcPr>
          <w:p w14:paraId="71631A87">
            <w:pPr>
              <w:widowControl/>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1365" w:type="dxa"/>
            <w:vAlign w:val="center"/>
          </w:tcPr>
          <w:p w14:paraId="560D8002">
            <w:pPr>
              <w:widowControl/>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1076.8</w:t>
            </w:r>
          </w:p>
        </w:tc>
        <w:tc>
          <w:tcPr>
            <w:tcW w:w="1365" w:type="dxa"/>
            <w:vAlign w:val="center"/>
          </w:tcPr>
          <w:p w14:paraId="0FE168E8">
            <w:pPr>
              <w:widowControl/>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50</w:t>
            </w:r>
          </w:p>
        </w:tc>
        <w:tc>
          <w:tcPr>
            <w:tcW w:w="1365" w:type="dxa"/>
            <w:vAlign w:val="center"/>
          </w:tcPr>
          <w:p w14:paraId="20C857E0">
            <w:pPr>
              <w:widowControl/>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rFonts w:hint="eastAsia" w:eastAsia="等线"/>
                <w:color w:val="000000" w:themeColor="text1"/>
                <w:sz w:val="21"/>
                <w:szCs w:val="21"/>
                <w14:textFill>
                  <w14:solidFill>
                    <w14:schemeClr w14:val="tx1"/>
                  </w14:solidFill>
                </w14:textFill>
              </w:rPr>
              <w:t>21.536</w:t>
            </w:r>
          </w:p>
        </w:tc>
      </w:tr>
      <w:tr w14:paraId="305D227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6" w:type="dxa"/>
            <w:bottom w:w="0" w:type="dxa"/>
            <w:right w:w="6" w:type="dxa"/>
          </w:tblCellMar>
        </w:tblPrEx>
        <w:trPr>
          <w:trHeight w:val="270" w:hRule="atLeast"/>
          <w:tblHeader/>
          <w:jc w:val="center"/>
        </w:trPr>
        <w:tc>
          <w:tcPr>
            <w:tcW w:w="609" w:type="dxa"/>
            <w:noWrap/>
            <w:vAlign w:val="center"/>
          </w:tcPr>
          <w:p w14:paraId="252CF042">
            <w:pPr>
              <w:widowControl/>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3</w:t>
            </w:r>
          </w:p>
        </w:tc>
        <w:tc>
          <w:tcPr>
            <w:tcW w:w="2687" w:type="dxa"/>
            <w:noWrap/>
            <w:vAlign w:val="center"/>
          </w:tcPr>
          <w:p w14:paraId="59563CD7">
            <w:pPr>
              <w:widowControl/>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纯生物柴油</w:t>
            </w:r>
          </w:p>
        </w:tc>
        <w:tc>
          <w:tcPr>
            <w:tcW w:w="1278" w:type="dxa"/>
            <w:noWrap/>
            <w:vAlign w:val="center"/>
          </w:tcPr>
          <w:p w14:paraId="3B12F97B">
            <w:pPr>
              <w:widowControl/>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67784-80-9</w:t>
            </w:r>
          </w:p>
        </w:tc>
        <w:tc>
          <w:tcPr>
            <w:tcW w:w="1365" w:type="dxa"/>
            <w:vAlign w:val="center"/>
          </w:tcPr>
          <w:p w14:paraId="159E5559">
            <w:pPr>
              <w:widowControl/>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971.34</w:t>
            </w:r>
          </w:p>
        </w:tc>
        <w:tc>
          <w:tcPr>
            <w:tcW w:w="1365" w:type="dxa"/>
            <w:vAlign w:val="center"/>
          </w:tcPr>
          <w:p w14:paraId="0897B76C">
            <w:pPr>
              <w:widowControl/>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2500</w:t>
            </w:r>
          </w:p>
        </w:tc>
        <w:tc>
          <w:tcPr>
            <w:tcW w:w="1365" w:type="dxa"/>
            <w:vAlign w:val="center"/>
          </w:tcPr>
          <w:p w14:paraId="4E9BC347">
            <w:pPr>
              <w:widowControl/>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rFonts w:eastAsia="等线"/>
                <w:color w:val="000000" w:themeColor="text1"/>
                <w:sz w:val="21"/>
                <w:szCs w:val="21"/>
                <w14:textFill>
                  <w14:solidFill>
                    <w14:schemeClr w14:val="tx1"/>
                  </w14:solidFill>
                </w14:textFill>
              </w:rPr>
              <w:t xml:space="preserve">0.39 </w:t>
            </w:r>
          </w:p>
        </w:tc>
      </w:tr>
      <w:tr w14:paraId="010ABCB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6" w:type="dxa"/>
            <w:bottom w:w="0" w:type="dxa"/>
            <w:right w:w="6" w:type="dxa"/>
          </w:tblCellMar>
        </w:tblPrEx>
        <w:trPr>
          <w:trHeight w:val="270" w:hRule="atLeast"/>
          <w:tblHeader/>
          <w:jc w:val="center"/>
        </w:trPr>
        <w:tc>
          <w:tcPr>
            <w:tcW w:w="609" w:type="dxa"/>
            <w:noWrap/>
            <w:vAlign w:val="center"/>
          </w:tcPr>
          <w:p w14:paraId="4EF5922A">
            <w:pPr>
              <w:widowControl/>
              <w:adjustRightInd w:val="0"/>
              <w:snapToGrid w:val="0"/>
              <w:spacing w:line="240" w:lineRule="auto"/>
              <w:ind w:firstLine="0" w:firstLineChars="0"/>
              <w:jc w:val="center"/>
              <w:rPr>
                <w:rFonts w:hint="eastAsia"/>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4</w:t>
            </w:r>
          </w:p>
        </w:tc>
        <w:tc>
          <w:tcPr>
            <w:tcW w:w="2687" w:type="dxa"/>
            <w:noWrap/>
            <w:vAlign w:val="center"/>
          </w:tcPr>
          <w:p w14:paraId="07BE259B">
            <w:pPr>
              <w:widowControl/>
              <w:adjustRightInd w:val="0"/>
              <w:snapToGrid w:val="0"/>
              <w:spacing w:line="240" w:lineRule="auto"/>
              <w:ind w:firstLine="0" w:firstLineChars="0"/>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航空煤油</w:t>
            </w:r>
          </w:p>
        </w:tc>
        <w:tc>
          <w:tcPr>
            <w:tcW w:w="1278" w:type="dxa"/>
            <w:noWrap/>
            <w:vAlign w:val="center"/>
          </w:tcPr>
          <w:p w14:paraId="3FE56427">
            <w:pPr>
              <w:widowControl/>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70892-10-3</w:t>
            </w:r>
          </w:p>
        </w:tc>
        <w:tc>
          <w:tcPr>
            <w:tcW w:w="1365" w:type="dxa"/>
            <w:vAlign w:val="center"/>
          </w:tcPr>
          <w:p w14:paraId="573C8BB4">
            <w:pPr>
              <w:widowControl/>
              <w:adjustRightInd w:val="0"/>
              <w:snapToGrid w:val="0"/>
              <w:spacing w:line="240" w:lineRule="auto"/>
              <w:ind w:firstLine="0" w:firstLineChars="0"/>
              <w:jc w:val="center"/>
              <w:rPr>
                <w:rFonts w:hint="eastAsia"/>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876.98</w:t>
            </w:r>
          </w:p>
        </w:tc>
        <w:tc>
          <w:tcPr>
            <w:tcW w:w="1365" w:type="dxa"/>
            <w:vAlign w:val="center"/>
          </w:tcPr>
          <w:p w14:paraId="73FBF53F">
            <w:pPr>
              <w:widowControl/>
              <w:adjustRightInd w:val="0"/>
              <w:snapToGrid w:val="0"/>
              <w:spacing w:line="240" w:lineRule="auto"/>
              <w:ind w:firstLine="0" w:firstLineChars="0"/>
              <w:jc w:val="center"/>
              <w:rPr>
                <w:rFonts w:hint="eastAsia"/>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2500</w:t>
            </w:r>
          </w:p>
        </w:tc>
        <w:tc>
          <w:tcPr>
            <w:tcW w:w="1365" w:type="dxa"/>
            <w:vAlign w:val="center"/>
          </w:tcPr>
          <w:p w14:paraId="4CB8E3C7">
            <w:pPr>
              <w:widowControl/>
              <w:adjustRightInd w:val="0"/>
              <w:snapToGrid w:val="0"/>
              <w:spacing w:line="240" w:lineRule="auto"/>
              <w:ind w:firstLine="0" w:firstLineChars="0"/>
              <w:jc w:val="center"/>
              <w:rPr>
                <w:rFonts w:eastAsia="等线"/>
                <w:color w:val="000000" w:themeColor="text1"/>
                <w:sz w:val="21"/>
                <w:szCs w:val="21"/>
                <w14:textFill>
                  <w14:solidFill>
                    <w14:schemeClr w14:val="tx1"/>
                  </w14:solidFill>
                </w14:textFill>
              </w:rPr>
            </w:pPr>
            <w:r>
              <w:rPr>
                <w:rFonts w:eastAsia="等线"/>
                <w:color w:val="000000" w:themeColor="text1"/>
                <w:sz w:val="21"/>
                <w:szCs w:val="21"/>
                <w14:textFill>
                  <w14:solidFill>
                    <w14:schemeClr w14:val="tx1"/>
                  </w14:solidFill>
                </w14:textFill>
              </w:rPr>
              <w:t xml:space="preserve">0.35 </w:t>
            </w:r>
          </w:p>
        </w:tc>
      </w:tr>
      <w:tr w14:paraId="680BEA5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6" w:type="dxa"/>
            <w:bottom w:w="0" w:type="dxa"/>
            <w:right w:w="6" w:type="dxa"/>
          </w:tblCellMar>
        </w:tblPrEx>
        <w:trPr>
          <w:trHeight w:val="270" w:hRule="atLeast"/>
          <w:tblHeader/>
          <w:jc w:val="center"/>
        </w:trPr>
        <w:tc>
          <w:tcPr>
            <w:tcW w:w="609" w:type="dxa"/>
            <w:noWrap/>
            <w:vAlign w:val="center"/>
          </w:tcPr>
          <w:p w14:paraId="15A2F919">
            <w:pPr>
              <w:widowControl/>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5</w:t>
            </w:r>
          </w:p>
        </w:tc>
        <w:tc>
          <w:tcPr>
            <w:tcW w:w="2687" w:type="dxa"/>
            <w:noWrap/>
            <w:vAlign w:val="center"/>
          </w:tcPr>
          <w:p w14:paraId="55FF107E">
            <w:pPr>
              <w:widowControl/>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碱液</w:t>
            </w:r>
          </w:p>
        </w:tc>
        <w:tc>
          <w:tcPr>
            <w:tcW w:w="1278" w:type="dxa"/>
            <w:noWrap/>
            <w:vAlign w:val="center"/>
          </w:tcPr>
          <w:p w14:paraId="2D193593">
            <w:pPr>
              <w:widowControl/>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1310-73-2</w:t>
            </w:r>
          </w:p>
        </w:tc>
        <w:tc>
          <w:tcPr>
            <w:tcW w:w="1365" w:type="dxa"/>
            <w:vAlign w:val="center"/>
          </w:tcPr>
          <w:p w14:paraId="36938821">
            <w:pPr>
              <w:widowControl/>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596.57</w:t>
            </w:r>
          </w:p>
        </w:tc>
        <w:tc>
          <w:tcPr>
            <w:tcW w:w="1365" w:type="dxa"/>
            <w:vAlign w:val="center"/>
          </w:tcPr>
          <w:p w14:paraId="134DBF39">
            <w:pPr>
              <w:widowControl/>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50</w:t>
            </w:r>
          </w:p>
        </w:tc>
        <w:tc>
          <w:tcPr>
            <w:tcW w:w="1365" w:type="dxa"/>
            <w:vAlign w:val="center"/>
          </w:tcPr>
          <w:p w14:paraId="14B2D5CB">
            <w:pPr>
              <w:widowControl/>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rFonts w:eastAsia="等线"/>
                <w:color w:val="000000" w:themeColor="text1"/>
                <w:sz w:val="21"/>
                <w:szCs w:val="21"/>
                <w14:textFill>
                  <w14:solidFill>
                    <w14:schemeClr w14:val="tx1"/>
                  </w14:solidFill>
                </w14:textFill>
              </w:rPr>
              <w:t xml:space="preserve">11.93 </w:t>
            </w:r>
          </w:p>
        </w:tc>
      </w:tr>
      <w:tr w14:paraId="08F47A2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6" w:type="dxa"/>
            <w:bottom w:w="0" w:type="dxa"/>
            <w:right w:w="6" w:type="dxa"/>
          </w:tblCellMar>
        </w:tblPrEx>
        <w:trPr>
          <w:trHeight w:val="270" w:hRule="atLeast"/>
          <w:tblHeader/>
          <w:jc w:val="center"/>
        </w:trPr>
        <w:tc>
          <w:tcPr>
            <w:tcW w:w="609" w:type="dxa"/>
            <w:noWrap/>
            <w:vAlign w:val="center"/>
          </w:tcPr>
          <w:p w14:paraId="03912232">
            <w:pPr>
              <w:widowControl/>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6</w:t>
            </w:r>
          </w:p>
        </w:tc>
        <w:tc>
          <w:tcPr>
            <w:tcW w:w="2687" w:type="dxa"/>
            <w:noWrap/>
            <w:vAlign w:val="center"/>
          </w:tcPr>
          <w:p w14:paraId="110F425A">
            <w:pPr>
              <w:widowControl/>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发烟硫酸</w:t>
            </w:r>
          </w:p>
        </w:tc>
        <w:tc>
          <w:tcPr>
            <w:tcW w:w="1278" w:type="dxa"/>
            <w:noWrap/>
            <w:vAlign w:val="center"/>
          </w:tcPr>
          <w:p w14:paraId="04C3FE05">
            <w:pPr>
              <w:widowControl/>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8014-95-7</w:t>
            </w:r>
          </w:p>
        </w:tc>
        <w:tc>
          <w:tcPr>
            <w:tcW w:w="1365" w:type="dxa"/>
            <w:vAlign w:val="center"/>
          </w:tcPr>
          <w:p w14:paraId="04E290EF">
            <w:pPr>
              <w:widowControl/>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852.25</w:t>
            </w:r>
          </w:p>
        </w:tc>
        <w:tc>
          <w:tcPr>
            <w:tcW w:w="1365" w:type="dxa"/>
            <w:vAlign w:val="center"/>
          </w:tcPr>
          <w:p w14:paraId="59517E2A">
            <w:pPr>
              <w:widowControl/>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5</w:t>
            </w:r>
          </w:p>
        </w:tc>
        <w:tc>
          <w:tcPr>
            <w:tcW w:w="1365" w:type="dxa"/>
            <w:vAlign w:val="center"/>
          </w:tcPr>
          <w:p w14:paraId="3739ECDC">
            <w:pPr>
              <w:widowControl/>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rFonts w:eastAsia="等线"/>
                <w:color w:val="000000" w:themeColor="text1"/>
                <w:sz w:val="21"/>
                <w:szCs w:val="21"/>
                <w14:textFill>
                  <w14:solidFill>
                    <w14:schemeClr w14:val="tx1"/>
                  </w14:solidFill>
                </w14:textFill>
              </w:rPr>
              <w:t xml:space="preserve">170.45 </w:t>
            </w:r>
          </w:p>
        </w:tc>
      </w:tr>
      <w:tr w14:paraId="65A009B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6" w:type="dxa"/>
            <w:bottom w:w="0" w:type="dxa"/>
            <w:right w:w="6" w:type="dxa"/>
          </w:tblCellMar>
        </w:tblPrEx>
        <w:trPr>
          <w:trHeight w:val="270" w:hRule="atLeast"/>
          <w:tblHeader/>
          <w:jc w:val="center"/>
        </w:trPr>
        <w:tc>
          <w:tcPr>
            <w:tcW w:w="609" w:type="dxa"/>
            <w:noWrap/>
            <w:vAlign w:val="center"/>
          </w:tcPr>
          <w:p w14:paraId="3A88A79F">
            <w:pPr>
              <w:widowControl/>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7</w:t>
            </w:r>
          </w:p>
        </w:tc>
        <w:tc>
          <w:tcPr>
            <w:tcW w:w="2687" w:type="dxa"/>
            <w:noWrap/>
            <w:vAlign w:val="center"/>
          </w:tcPr>
          <w:p w14:paraId="6D7D54FF">
            <w:pPr>
              <w:widowControl/>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硫酸</w:t>
            </w:r>
          </w:p>
        </w:tc>
        <w:tc>
          <w:tcPr>
            <w:tcW w:w="1278" w:type="dxa"/>
            <w:noWrap/>
            <w:vAlign w:val="center"/>
          </w:tcPr>
          <w:p w14:paraId="01799CE6">
            <w:pPr>
              <w:widowControl/>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8014-95-7</w:t>
            </w:r>
          </w:p>
        </w:tc>
        <w:tc>
          <w:tcPr>
            <w:tcW w:w="1365" w:type="dxa"/>
            <w:vAlign w:val="center"/>
          </w:tcPr>
          <w:p w14:paraId="7D171163">
            <w:pPr>
              <w:widowControl/>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852.25</w:t>
            </w:r>
          </w:p>
        </w:tc>
        <w:tc>
          <w:tcPr>
            <w:tcW w:w="1365" w:type="dxa"/>
            <w:vAlign w:val="center"/>
          </w:tcPr>
          <w:p w14:paraId="795A3A0B">
            <w:pPr>
              <w:widowControl/>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5</w:t>
            </w:r>
          </w:p>
        </w:tc>
        <w:tc>
          <w:tcPr>
            <w:tcW w:w="1365" w:type="dxa"/>
            <w:vAlign w:val="center"/>
          </w:tcPr>
          <w:p w14:paraId="7A00013B">
            <w:pPr>
              <w:widowControl/>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rFonts w:eastAsia="等线"/>
                <w:color w:val="000000" w:themeColor="text1"/>
                <w:sz w:val="21"/>
                <w:szCs w:val="21"/>
                <w14:textFill>
                  <w14:solidFill>
                    <w14:schemeClr w14:val="tx1"/>
                  </w14:solidFill>
                </w14:textFill>
              </w:rPr>
              <w:t xml:space="preserve">170.45 </w:t>
            </w:r>
          </w:p>
        </w:tc>
      </w:tr>
      <w:tr w14:paraId="34DBE4D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6" w:type="dxa"/>
            <w:bottom w:w="0" w:type="dxa"/>
            <w:right w:w="6" w:type="dxa"/>
          </w:tblCellMar>
        </w:tblPrEx>
        <w:trPr>
          <w:trHeight w:val="270" w:hRule="atLeast"/>
          <w:tblHeader/>
          <w:jc w:val="center"/>
        </w:trPr>
        <w:tc>
          <w:tcPr>
            <w:tcW w:w="609" w:type="dxa"/>
            <w:noWrap/>
            <w:vAlign w:val="center"/>
          </w:tcPr>
          <w:p w14:paraId="5345456F">
            <w:pPr>
              <w:widowControl/>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8</w:t>
            </w:r>
          </w:p>
        </w:tc>
        <w:tc>
          <w:tcPr>
            <w:tcW w:w="2687" w:type="dxa"/>
            <w:noWrap/>
            <w:vAlign w:val="center"/>
          </w:tcPr>
          <w:p w14:paraId="4465BEF9">
            <w:pPr>
              <w:widowControl/>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kern w:val="0"/>
                <w:sz w:val="21"/>
                <w:szCs w:val="21"/>
                <w14:textFill>
                  <w14:solidFill>
                    <w14:schemeClr w14:val="tx1"/>
                  </w14:solidFill>
                </w14:textFill>
              </w:rPr>
              <w:t>船舶燃料油</w:t>
            </w:r>
          </w:p>
        </w:tc>
        <w:tc>
          <w:tcPr>
            <w:tcW w:w="1278" w:type="dxa"/>
            <w:noWrap/>
            <w:vAlign w:val="center"/>
          </w:tcPr>
          <w:p w14:paraId="30C8AC82">
            <w:pPr>
              <w:widowControl/>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1365" w:type="dxa"/>
            <w:vAlign w:val="center"/>
          </w:tcPr>
          <w:p w14:paraId="5A26B7DB">
            <w:pPr>
              <w:widowControl/>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405.4</w:t>
            </w:r>
          </w:p>
        </w:tc>
        <w:tc>
          <w:tcPr>
            <w:tcW w:w="1365" w:type="dxa"/>
            <w:vAlign w:val="center"/>
          </w:tcPr>
          <w:p w14:paraId="1DC52702">
            <w:pPr>
              <w:widowControl/>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100</w:t>
            </w:r>
          </w:p>
        </w:tc>
        <w:tc>
          <w:tcPr>
            <w:tcW w:w="1365" w:type="dxa"/>
            <w:vAlign w:val="center"/>
          </w:tcPr>
          <w:p w14:paraId="06935136">
            <w:pPr>
              <w:widowControl/>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rFonts w:hint="eastAsia" w:eastAsia="等线"/>
                <w:color w:val="000000" w:themeColor="text1"/>
                <w:sz w:val="21"/>
                <w:szCs w:val="21"/>
                <w14:textFill>
                  <w14:solidFill>
                    <w14:schemeClr w14:val="tx1"/>
                  </w14:solidFill>
                </w14:textFill>
              </w:rPr>
              <w:t>4.054</w:t>
            </w:r>
            <w:r>
              <w:rPr>
                <w:rFonts w:eastAsia="等线"/>
                <w:color w:val="000000" w:themeColor="text1"/>
                <w:sz w:val="21"/>
                <w:szCs w:val="21"/>
                <w14:textFill>
                  <w14:solidFill>
                    <w14:schemeClr w14:val="tx1"/>
                  </w14:solidFill>
                </w14:textFill>
              </w:rPr>
              <w:t xml:space="preserve"> </w:t>
            </w:r>
          </w:p>
        </w:tc>
      </w:tr>
      <w:tr w14:paraId="2E342D6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6" w:type="dxa"/>
            <w:bottom w:w="0" w:type="dxa"/>
            <w:right w:w="6" w:type="dxa"/>
          </w:tblCellMar>
        </w:tblPrEx>
        <w:trPr>
          <w:trHeight w:val="270" w:hRule="atLeast"/>
          <w:tblHeader/>
          <w:jc w:val="center"/>
        </w:trPr>
        <w:tc>
          <w:tcPr>
            <w:tcW w:w="609" w:type="dxa"/>
            <w:noWrap/>
            <w:vAlign w:val="center"/>
          </w:tcPr>
          <w:p w14:paraId="7CECC3DB">
            <w:pPr>
              <w:widowControl/>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9</w:t>
            </w:r>
          </w:p>
        </w:tc>
        <w:tc>
          <w:tcPr>
            <w:tcW w:w="2687" w:type="dxa"/>
            <w:noWrap/>
            <w:vAlign w:val="center"/>
          </w:tcPr>
          <w:p w14:paraId="1AA33B3C">
            <w:pPr>
              <w:widowControl/>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液硫</w:t>
            </w:r>
          </w:p>
        </w:tc>
        <w:tc>
          <w:tcPr>
            <w:tcW w:w="1278" w:type="dxa"/>
            <w:noWrap/>
            <w:vAlign w:val="center"/>
          </w:tcPr>
          <w:p w14:paraId="586369BA">
            <w:pPr>
              <w:widowControl/>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7704-34-9</w:t>
            </w:r>
          </w:p>
        </w:tc>
        <w:tc>
          <w:tcPr>
            <w:tcW w:w="1365" w:type="dxa"/>
            <w:vAlign w:val="center"/>
          </w:tcPr>
          <w:p w14:paraId="3A8F8737">
            <w:pPr>
              <w:widowControl/>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1955.79</w:t>
            </w:r>
          </w:p>
        </w:tc>
        <w:tc>
          <w:tcPr>
            <w:tcW w:w="1365" w:type="dxa"/>
            <w:vAlign w:val="center"/>
          </w:tcPr>
          <w:p w14:paraId="7B2B4A61">
            <w:pPr>
              <w:widowControl/>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10</w:t>
            </w:r>
          </w:p>
        </w:tc>
        <w:tc>
          <w:tcPr>
            <w:tcW w:w="1365" w:type="dxa"/>
            <w:vAlign w:val="center"/>
          </w:tcPr>
          <w:p w14:paraId="5163D899">
            <w:pPr>
              <w:widowControl/>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rFonts w:hint="eastAsia" w:eastAsia="等线"/>
                <w:color w:val="000000" w:themeColor="text1"/>
                <w:sz w:val="21"/>
                <w:szCs w:val="21"/>
                <w14:textFill>
                  <w14:solidFill>
                    <w14:schemeClr w14:val="tx1"/>
                  </w14:solidFill>
                </w14:textFill>
              </w:rPr>
              <w:t>195.79</w:t>
            </w:r>
          </w:p>
        </w:tc>
      </w:tr>
    </w:tbl>
    <w:p w14:paraId="01601214">
      <w:pPr>
        <w:ind w:firstLine="480"/>
        <w:rPr>
          <w:color w:val="000000" w:themeColor="text1"/>
          <w14:textFill>
            <w14:solidFill>
              <w14:schemeClr w14:val="tx1"/>
            </w14:solidFill>
          </w14:textFill>
        </w:rPr>
      </w:pPr>
      <w:r>
        <w:rPr>
          <w:color w:val="000000" w:themeColor="text1"/>
          <w14:textFill>
            <w14:solidFill>
              <w14:schemeClr w14:val="tx1"/>
            </w14:solidFill>
          </w14:textFill>
        </w:rPr>
        <w:t>（2）生产工艺</w:t>
      </w:r>
    </w:p>
    <w:p w14:paraId="662D2EC0">
      <w:pPr>
        <w:ind w:firstLine="480"/>
        <w:rPr>
          <w:color w:val="000000" w:themeColor="text1"/>
          <w14:textFill>
            <w14:solidFill>
              <w14:schemeClr w14:val="tx1"/>
            </w14:solidFill>
          </w14:textFill>
        </w:rPr>
      </w:pPr>
      <w:r>
        <w:rPr>
          <w:color w:val="000000" w:themeColor="text1"/>
          <w14:textFill>
            <w14:solidFill>
              <w14:schemeClr w14:val="tx1"/>
            </w14:solidFill>
          </w14:textFill>
        </w:rPr>
        <w:t>本项目为液化烃码头，属于《建设项目环境风险评价技术导则》（HJ169-2018）附录C中表C.1中的“管道、港口/码头等”行业。</w:t>
      </w:r>
    </w:p>
    <w:p w14:paraId="5F284EED">
      <w:pPr>
        <w:pStyle w:val="4"/>
        <w:rPr>
          <w:color w:val="000000" w:themeColor="text1"/>
          <w14:textFill>
            <w14:solidFill>
              <w14:schemeClr w14:val="tx1"/>
            </w14:solidFill>
          </w14:textFill>
        </w:rPr>
      </w:pPr>
      <w:r>
        <w:rPr>
          <w:color w:val="000000" w:themeColor="text1"/>
          <w14:textFill>
            <w14:solidFill>
              <w14:schemeClr w14:val="tx1"/>
            </w14:solidFill>
          </w14:textFill>
        </w:rPr>
        <w:t>环境敏感目标调查</w:t>
      </w:r>
    </w:p>
    <w:p w14:paraId="06C6C61C">
      <w:pPr>
        <w:ind w:firstLine="480"/>
        <w:rPr>
          <w:color w:val="000000" w:themeColor="text1"/>
          <w14:textFill>
            <w14:solidFill>
              <w14:schemeClr w14:val="tx1"/>
            </w14:solidFill>
          </w14:textFill>
        </w:rPr>
      </w:pPr>
      <w:r>
        <w:rPr>
          <w:color w:val="000000" w:themeColor="text1"/>
          <w14:textFill>
            <w14:solidFill>
              <w14:schemeClr w14:val="tx1"/>
            </w14:solidFill>
          </w14:textFill>
        </w:rPr>
        <w:t>根据《建设项目环境风险评价技术导则》（HJ169-2018）相关要求，通过对评价范围内大气环境、地表水环境、地下水环境可能受影响的环境敏感目标进行调查，项目主要环境敏感目标见表1.6-</w:t>
      </w:r>
      <w:r>
        <w:rPr>
          <w:rFonts w:hint="eastAsia"/>
          <w:color w:val="000000" w:themeColor="text1"/>
          <w:lang w:val="en-US" w:eastAsia="zh-CN"/>
          <w14:textFill>
            <w14:solidFill>
              <w14:schemeClr w14:val="tx1"/>
            </w14:solidFill>
          </w14:textFill>
        </w:rPr>
        <w:t>2</w:t>
      </w:r>
      <w:r>
        <w:rPr>
          <w:color w:val="000000" w:themeColor="text1"/>
          <w14:textFill>
            <w14:solidFill>
              <w14:schemeClr w14:val="tx1"/>
            </w14:solidFill>
          </w14:textFill>
        </w:rPr>
        <w:t>。</w:t>
      </w:r>
    </w:p>
    <w:p w14:paraId="3C46DA2E">
      <w:pPr>
        <w:pStyle w:val="5"/>
        <w:rPr>
          <w:color w:val="000000" w:themeColor="text1"/>
          <w14:textFill>
            <w14:solidFill>
              <w14:schemeClr w14:val="tx1"/>
            </w14:solidFill>
          </w14:textFill>
        </w:rPr>
      </w:pPr>
      <w:r>
        <w:rPr>
          <w:color w:val="000000" w:themeColor="text1"/>
          <w14:textFill>
            <w14:solidFill>
              <w14:schemeClr w14:val="tx1"/>
            </w14:solidFill>
          </w14:textFill>
        </w:rPr>
        <w:t>环境风险潜势初判</w:t>
      </w:r>
    </w:p>
    <w:p w14:paraId="465D9573">
      <w:pPr>
        <w:pStyle w:val="4"/>
        <w:rPr>
          <w:color w:val="000000" w:themeColor="text1"/>
          <w14:textFill>
            <w14:solidFill>
              <w14:schemeClr w14:val="tx1"/>
            </w14:solidFill>
          </w14:textFill>
        </w:rPr>
      </w:pPr>
      <w:r>
        <w:rPr>
          <w:color w:val="000000" w:themeColor="text1"/>
          <w14:textFill>
            <w14:solidFill>
              <w14:schemeClr w14:val="tx1"/>
            </w14:solidFill>
          </w14:textFill>
        </w:rPr>
        <w:t>P的分级确定</w:t>
      </w:r>
    </w:p>
    <w:p w14:paraId="68913F42">
      <w:pPr>
        <w:pStyle w:val="6"/>
        <w:rPr>
          <w:color w:val="000000" w:themeColor="text1"/>
          <w14:textFill>
            <w14:solidFill>
              <w14:schemeClr w14:val="tx1"/>
            </w14:solidFill>
          </w14:textFill>
        </w:rPr>
      </w:pPr>
      <w:r>
        <w:rPr>
          <w:color w:val="000000" w:themeColor="text1"/>
          <w14:textFill>
            <w14:solidFill>
              <w14:schemeClr w14:val="tx1"/>
            </w14:solidFill>
          </w14:textFill>
        </w:rPr>
        <w:t>危险物质数量与临界量比值Q</w:t>
      </w:r>
    </w:p>
    <w:p w14:paraId="596D57B8">
      <w:pPr>
        <w:ind w:firstLine="480"/>
        <w:rPr>
          <w:color w:val="000000" w:themeColor="text1"/>
          <w14:textFill>
            <w14:solidFill>
              <w14:schemeClr w14:val="tx1"/>
            </w14:solidFill>
          </w14:textFill>
        </w:rPr>
      </w:pPr>
      <w:r>
        <w:rPr>
          <w:color w:val="000000" w:themeColor="text1"/>
          <w14:textFill>
            <w14:solidFill>
              <w14:schemeClr w14:val="tx1"/>
            </w14:solidFill>
          </w14:textFill>
        </w:rPr>
        <w:t>根据《建设项目环境风险评价技术导则》（HJ169-2018）附录B，筛选出工程重点关注危险物质的数量和分布情况见表5.1-1，项目Q&gt;100。</w:t>
      </w:r>
    </w:p>
    <w:p w14:paraId="40D0DA7F">
      <w:pPr>
        <w:pStyle w:val="6"/>
        <w:rPr>
          <w:color w:val="000000" w:themeColor="text1"/>
          <w14:textFill>
            <w14:solidFill>
              <w14:schemeClr w14:val="tx1"/>
            </w14:solidFill>
          </w14:textFill>
        </w:rPr>
      </w:pPr>
      <w:r>
        <w:rPr>
          <w:color w:val="000000" w:themeColor="text1"/>
          <w14:textFill>
            <w14:solidFill>
              <w14:schemeClr w14:val="tx1"/>
            </w14:solidFill>
          </w14:textFill>
        </w:rPr>
        <w:t>行业及生产工艺M</w:t>
      </w:r>
    </w:p>
    <w:p w14:paraId="0E6C7908">
      <w:pPr>
        <w:ind w:firstLine="480"/>
        <w:rPr>
          <w:color w:val="000000" w:themeColor="text1"/>
          <w14:textFill>
            <w14:solidFill>
              <w14:schemeClr w14:val="tx1"/>
            </w14:solidFill>
          </w14:textFill>
        </w:rPr>
      </w:pPr>
      <w:r>
        <w:rPr>
          <w:color w:val="000000" w:themeColor="text1"/>
          <w14:textFill>
            <w14:solidFill>
              <w14:schemeClr w14:val="tx1"/>
            </w14:solidFill>
          </w14:textFill>
        </w:rPr>
        <w:t>根据项目所属行业及生产工艺特点，将M划分为（1）M＞20；（2）10＜M≤20；（3）5＜M≤10；（4）M=5，分别以M1，M2，M3和M4表示。根据表5.2-1确定项目M值为10，属于M3。</w:t>
      </w:r>
    </w:p>
    <w:p w14:paraId="540800B9">
      <w:pPr>
        <w:ind w:firstLine="480"/>
        <w:rPr>
          <w:color w:val="000000" w:themeColor="text1"/>
          <w14:textFill>
            <w14:solidFill>
              <w14:schemeClr w14:val="tx1"/>
            </w14:solidFill>
          </w14:textFill>
        </w:rPr>
      </w:pPr>
    </w:p>
    <w:p w14:paraId="3C778BF5">
      <w:pPr>
        <w:pStyle w:val="13"/>
        <w:rPr>
          <w:color w:val="000000" w:themeColor="text1"/>
          <w14:textFill>
            <w14:solidFill>
              <w14:schemeClr w14:val="tx1"/>
            </w14:solidFill>
          </w14:textFill>
        </w:rPr>
      </w:pPr>
    </w:p>
    <w:p w14:paraId="3611472B">
      <w:pPr>
        <w:ind w:firstLine="480"/>
        <w:rPr>
          <w:color w:val="000000" w:themeColor="text1"/>
          <w14:textFill>
            <w14:solidFill>
              <w14:schemeClr w14:val="tx1"/>
            </w14:solidFill>
          </w14:textFill>
        </w:rPr>
      </w:pPr>
    </w:p>
    <w:p w14:paraId="3A32B264">
      <w:pPr>
        <w:pStyle w:val="13"/>
        <w:rPr>
          <w:color w:val="000000" w:themeColor="text1"/>
          <w14:textFill>
            <w14:solidFill>
              <w14:schemeClr w14:val="tx1"/>
            </w14:solidFill>
          </w14:textFill>
        </w:rPr>
      </w:pPr>
    </w:p>
    <w:p w14:paraId="0F1CD74E">
      <w:pPr>
        <w:pStyle w:val="41"/>
        <w:ind w:firstLine="240"/>
        <w:rPr>
          <w:color w:val="000000" w:themeColor="text1"/>
          <w14:textFill>
            <w14:solidFill>
              <w14:schemeClr w14:val="tx1"/>
            </w14:solidFill>
          </w14:textFill>
        </w:rPr>
      </w:pPr>
    </w:p>
    <w:p w14:paraId="7D51CEE7">
      <w:pPr>
        <w:pStyle w:val="7"/>
        <w:rPr>
          <w:color w:val="000000" w:themeColor="text1"/>
          <w14:textFill>
            <w14:solidFill>
              <w14:schemeClr w14:val="tx1"/>
            </w14:solidFill>
          </w14:textFill>
        </w:rPr>
      </w:pPr>
      <w:r>
        <w:rPr>
          <w:color w:val="000000" w:themeColor="text1"/>
          <w14:textFill>
            <w14:solidFill>
              <w14:schemeClr w14:val="tx1"/>
            </w14:solidFill>
          </w14:textFill>
        </w:rPr>
        <w:t>行业及生产工艺M</w:t>
      </w:r>
    </w:p>
    <w:tbl>
      <w:tblPr>
        <w:tblStyle w:val="43"/>
        <w:tblW w:w="8276"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124"/>
        <w:gridCol w:w="3810"/>
        <w:gridCol w:w="662"/>
        <w:gridCol w:w="2071"/>
        <w:gridCol w:w="609"/>
      </w:tblGrid>
      <w:tr w14:paraId="7829CDE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1124" w:type="dxa"/>
            <w:vAlign w:val="center"/>
          </w:tcPr>
          <w:p w14:paraId="137A642A">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行业</w:t>
            </w:r>
          </w:p>
        </w:tc>
        <w:tc>
          <w:tcPr>
            <w:tcW w:w="3810" w:type="dxa"/>
            <w:vAlign w:val="center"/>
          </w:tcPr>
          <w:p w14:paraId="01B46734">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评估依据</w:t>
            </w:r>
          </w:p>
        </w:tc>
        <w:tc>
          <w:tcPr>
            <w:tcW w:w="662" w:type="dxa"/>
            <w:vAlign w:val="center"/>
          </w:tcPr>
          <w:p w14:paraId="7283EE6D">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分值</w:t>
            </w:r>
          </w:p>
        </w:tc>
        <w:tc>
          <w:tcPr>
            <w:tcW w:w="2071" w:type="dxa"/>
            <w:vAlign w:val="center"/>
          </w:tcPr>
          <w:p w14:paraId="74939602">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项目情况</w:t>
            </w:r>
          </w:p>
        </w:tc>
        <w:tc>
          <w:tcPr>
            <w:tcW w:w="609" w:type="dxa"/>
            <w:vAlign w:val="center"/>
          </w:tcPr>
          <w:p w14:paraId="70846876">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评分</w:t>
            </w:r>
          </w:p>
        </w:tc>
      </w:tr>
      <w:tr w14:paraId="6E1A30F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0" w:hRule="atLeast"/>
          <w:jc w:val="center"/>
        </w:trPr>
        <w:tc>
          <w:tcPr>
            <w:tcW w:w="1124" w:type="dxa"/>
            <w:vMerge w:val="restart"/>
            <w:vAlign w:val="center"/>
          </w:tcPr>
          <w:p w14:paraId="29368804">
            <w:pPr>
              <w:pStyle w:val="70"/>
              <w:rPr>
                <w:color w:val="000000" w:themeColor="text1"/>
                <w14:textFill>
                  <w14:solidFill>
                    <w14:schemeClr w14:val="tx1"/>
                  </w14:solidFill>
                </w14:textFill>
              </w:rPr>
            </w:pPr>
            <w:r>
              <w:rPr>
                <w:color w:val="000000" w:themeColor="text1"/>
                <w14:textFill>
                  <w14:solidFill>
                    <w14:schemeClr w14:val="tx1"/>
                  </w14:solidFill>
                </w14:textFill>
              </w:rPr>
              <w:t>石化、化工、医药、轻工、化纤、有色冶炼等</w:t>
            </w:r>
          </w:p>
        </w:tc>
        <w:tc>
          <w:tcPr>
            <w:tcW w:w="3810" w:type="dxa"/>
            <w:vAlign w:val="center"/>
          </w:tcPr>
          <w:p w14:paraId="513B07C8">
            <w:pPr>
              <w:pStyle w:val="70"/>
              <w:rPr>
                <w:color w:val="000000" w:themeColor="text1"/>
                <w14:textFill>
                  <w14:solidFill>
                    <w14:schemeClr w14:val="tx1"/>
                  </w14:solidFill>
                </w14:textFill>
              </w:rPr>
            </w:pPr>
            <w:r>
              <w:rPr>
                <w:color w:val="000000" w:themeColor="text1"/>
                <w14:textFill>
                  <w14:solidFill>
                    <w14:schemeClr w14:val="tx1"/>
                  </w14:solidFill>
                </w14:textFill>
              </w:rPr>
              <w:t>涉及光气及光气化工艺、电解工艺（氯碱）、氯化工艺、硝化工艺、合成氨工艺、裂解（裂化）工艺、氟化工艺、加氢工艺、重氮化工艺、氧化工艺、过氧化工艺、胺基化工艺、磺化工艺、聚合工艺、烷基化工艺、新型煤化工工艺、电石生产工艺、偶氮化工艺</w:t>
            </w:r>
          </w:p>
        </w:tc>
        <w:tc>
          <w:tcPr>
            <w:tcW w:w="662" w:type="dxa"/>
            <w:vAlign w:val="center"/>
          </w:tcPr>
          <w:p w14:paraId="2F64D169">
            <w:pPr>
              <w:pStyle w:val="70"/>
              <w:rPr>
                <w:color w:val="000000" w:themeColor="text1"/>
                <w14:textFill>
                  <w14:solidFill>
                    <w14:schemeClr w14:val="tx1"/>
                  </w14:solidFill>
                </w14:textFill>
              </w:rPr>
            </w:pPr>
            <w:r>
              <w:rPr>
                <w:color w:val="000000" w:themeColor="text1"/>
                <w14:textFill>
                  <w14:solidFill>
                    <w14:schemeClr w14:val="tx1"/>
                  </w14:solidFill>
                </w14:textFill>
              </w:rPr>
              <w:t>10/套</w:t>
            </w:r>
          </w:p>
        </w:tc>
        <w:tc>
          <w:tcPr>
            <w:tcW w:w="2071" w:type="dxa"/>
            <w:vAlign w:val="center"/>
          </w:tcPr>
          <w:p w14:paraId="2883ED8A">
            <w:pPr>
              <w:pStyle w:val="70"/>
              <w:rPr>
                <w:color w:val="000000" w:themeColor="text1"/>
                <w14:textFill>
                  <w14:solidFill>
                    <w14:schemeClr w14:val="tx1"/>
                  </w14:solidFill>
                </w14:textFill>
              </w:rPr>
            </w:pPr>
            <w:r>
              <w:rPr>
                <w:color w:val="000000" w:themeColor="text1"/>
                <w14:textFill>
                  <w14:solidFill>
                    <w14:schemeClr w14:val="tx1"/>
                  </w14:solidFill>
                </w14:textFill>
              </w:rPr>
              <w:t>项目不涉及相关行业</w:t>
            </w:r>
          </w:p>
        </w:tc>
        <w:tc>
          <w:tcPr>
            <w:tcW w:w="609" w:type="dxa"/>
            <w:vAlign w:val="center"/>
          </w:tcPr>
          <w:p w14:paraId="67B8C452">
            <w:pPr>
              <w:pStyle w:val="70"/>
              <w:rPr>
                <w:color w:val="000000" w:themeColor="text1"/>
                <w14:textFill>
                  <w14:solidFill>
                    <w14:schemeClr w14:val="tx1"/>
                  </w14:solidFill>
                </w14:textFill>
              </w:rPr>
            </w:pPr>
            <w:r>
              <w:rPr>
                <w:color w:val="000000" w:themeColor="text1"/>
                <w14:textFill>
                  <w14:solidFill>
                    <w14:schemeClr w14:val="tx1"/>
                  </w14:solidFill>
                </w14:textFill>
              </w:rPr>
              <w:t>0</w:t>
            </w:r>
          </w:p>
        </w:tc>
      </w:tr>
      <w:tr w14:paraId="059B937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95" w:hRule="atLeast"/>
          <w:jc w:val="center"/>
        </w:trPr>
        <w:tc>
          <w:tcPr>
            <w:tcW w:w="1124" w:type="dxa"/>
            <w:vMerge w:val="continue"/>
            <w:vAlign w:val="center"/>
          </w:tcPr>
          <w:p w14:paraId="6A8B575F">
            <w:pPr>
              <w:pStyle w:val="70"/>
              <w:rPr>
                <w:color w:val="000000" w:themeColor="text1"/>
                <w14:textFill>
                  <w14:solidFill>
                    <w14:schemeClr w14:val="tx1"/>
                  </w14:solidFill>
                </w14:textFill>
              </w:rPr>
            </w:pPr>
          </w:p>
        </w:tc>
        <w:tc>
          <w:tcPr>
            <w:tcW w:w="3810" w:type="dxa"/>
            <w:vAlign w:val="center"/>
          </w:tcPr>
          <w:p w14:paraId="0365B7C6">
            <w:pPr>
              <w:pStyle w:val="70"/>
              <w:rPr>
                <w:color w:val="000000" w:themeColor="text1"/>
                <w14:textFill>
                  <w14:solidFill>
                    <w14:schemeClr w14:val="tx1"/>
                  </w14:solidFill>
                </w14:textFill>
              </w:rPr>
            </w:pPr>
            <w:r>
              <w:rPr>
                <w:color w:val="000000" w:themeColor="text1"/>
                <w14:textFill>
                  <w14:solidFill>
                    <w14:schemeClr w14:val="tx1"/>
                  </w14:solidFill>
                </w14:textFill>
              </w:rPr>
              <w:t>无机酸制酸工艺、焦化工艺</w:t>
            </w:r>
          </w:p>
        </w:tc>
        <w:tc>
          <w:tcPr>
            <w:tcW w:w="662" w:type="dxa"/>
            <w:vAlign w:val="center"/>
          </w:tcPr>
          <w:p w14:paraId="4674BB2C">
            <w:pPr>
              <w:pStyle w:val="70"/>
              <w:rPr>
                <w:color w:val="000000" w:themeColor="text1"/>
                <w14:textFill>
                  <w14:solidFill>
                    <w14:schemeClr w14:val="tx1"/>
                  </w14:solidFill>
                </w14:textFill>
              </w:rPr>
            </w:pPr>
            <w:r>
              <w:rPr>
                <w:color w:val="000000" w:themeColor="text1"/>
                <w14:textFill>
                  <w14:solidFill>
                    <w14:schemeClr w14:val="tx1"/>
                  </w14:solidFill>
                </w14:textFill>
              </w:rPr>
              <w:t>5/套</w:t>
            </w:r>
          </w:p>
        </w:tc>
        <w:tc>
          <w:tcPr>
            <w:tcW w:w="2071" w:type="dxa"/>
            <w:vAlign w:val="center"/>
          </w:tcPr>
          <w:p w14:paraId="5DA78577">
            <w:pPr>
              <w:pStyle w:val="70"/>
              <w:rPr>
                <w:color w:val="000000" w:themeColor="text1"/>
                <w14:textFill>
                  <w14:solidFill>
                    <w14:schemeClr w14:val="tx1"/>
                  </w14:solidFill>
                </w14:textFill>
              </w:rPr>
            </w:pPr>
            <w:r>
              <w:rPr>
                <w:color w:val="000000" w:themeColor="text1"/>
                <w14:textFill>
                  <w14:solidFill>
                    <w14:schemeClr w14:val="tx1"/>
                  </w14:solidFill>
                </w14:textFill>
              </w:rPr>
              <w:t>项目不涉及相关工艺</w:t>
            </w:r>
          </w:p>
        </w:tc>
        <w:tc>
          <w:tcPr>
            <w:tcW w:w="609" w:type="dxa"/>
            <w:vAlign w:val="center"/>
          </w:tcPr>
          <w:p w14:paraId="0B26FEF6">
            <w:pPr>
              <w:pStyle w:val="70"/>
              <w:rPr>
                <w:color w:val="000000" w:themeColor="text1"/>
                <w14:textFill>
                  <w14:solidFill>
                    <w14:schemeClr w14:val="tx1"/>
                  </w14:solidFill>
                </w14:textFill>
              </w:rPr>
            </w:pPr>
            <w:r>
              <w:rPr>
                <w:color w:val="000000" w:themeColor="text1"/>
                <w14:textFill>
                  <w14:solidFill>
                    <w14:schemeClr w14:val="tx1"/>
                  </w14:solidFill>
                </w14:textFill>
              </w:rPr>
              <w:t>0</w:t>
            </w:r>
          </w:p>
        </w:tc>
      </w:tr>
      <w:tr w14:paraId="1A3B89E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1124" w:type="dxa"/>
            <w:vMerge w:val="continue"/>
            <w:vAlign w:val="center"/>
          </w:tcPr>
          <w:p w14:paraId="62137668">
            <w:pPr>
              <w:pStyle w:val="70"/>
              <w:rPr>
                <w:color w:val="000000" w:themeColor="text1"/>
                <w14:textFill>
                  <w14:solidFill>
                    <w14:schemeClr w14:val="tx1"/>
                  </w14:solidFill>
                </w14:textFill>
              </w:rPr>
            </w:pPr>
          </w:p>
        </w:tc>
        <w:tc>
          <w:tcPr>
            <w:tcW w:w="3810" w:type="dxa"/>
            <w:vAlign w:val="center"/>
          </w:tcPr>
          <w:p w14:paraId="1243A2DF">
            <w:pPr>
              <w:pStyle w:val="70"/>
              <w:rPr>
                <w:color w:val="000000" w:themeColor="text1"/>
                <w14:textFill>
                  <w14:solidFill>
                    <w14:schemeClr w14:val="tx1"/>
                  </w14:solidFill>
                </w14:textFill>
              </w:rPr>
            </w:pPr>
            <w:r>
              <w:rPr>
                <w:color w:val="000000" w:themeColor="text1"/>
                <w14:textFill>
                  <w14:solidFill>
                    <w14:schemeClr w14:val="tx1"/>
                  </w14:solidFill>
                </w14:textFill>
              </w:rPr>
              <w:t>其他高温或高压，且涉及危险物质的工艺过程</w:t>
            </w:r>
            <w:r>
              <w:rPr>
                <w:color w:val="000000" w:themeColor="text1"/>
                <w:vertAlign w:val="superscript"/>
                <w14:textFill>
                  <w14:solidFill>
                    <w14:schemeClr w14:val="tx1"/>
                  </w14:solidFill>
                </w14:textFill>
              </w:rPr>
              <w:t>a</w:t>
            </w:r>
            <w:r>
              <w:rPr>
                <w:color w:val="000000" w:themeColor="text1"/>
                <w14:textFill>
                  <w14:solidFill>
                    <w14:schemeClr w14:val="tx1"/>
                  </w14:solidFill>
                </w14:textFill>
              </w:rPr>
              <w:t>、危险物质贮存罐区</w:t>
            </w:r>
          </w:p>
        </w:tc>
        <w:tc>
          <w:tcPr>
            <w:tcW w:w="662" w:type="dxa"/>
            <w:vAlign w:val="center"/>
          </w:tcPr>
          <w:p w14:paraId="54594F1B">
            <w:pPr>
              <w:pStyle w:val="70"/>
              <w:rPr>
                <w:color w:val="000000" w:themeColor="text1"/>
                <w14:textFill>
                  <w14:solidFill>
                    <w14:schemeClr w14:val="tx1"/>
                  </w14:solidFill>
                </w14:textFill>
              </w:rPr>
            </w:pPr>
            <w:r>
              <w:rPr>
                <w:color w:val="000000" w:themeColor="text1"/>
                <w14:textFill>
                  <w14:solidFill>
                    <w14:schemeClr w14:val="tx1"/>
                  </w14:solidFill>
                </w14:textFill>
              </w:rPr>
              <w:t>5/套</w:t>
            </w:r>
          </w:p>
          <w:p w14:paraId="00A908D8">
            <w:pPr>
              <w:pStyle w:val="70"/>
              <w:rPr>
                <w:color w:val="000000" w:themeColor="text1"/>
                <w14:textFill>
                  <w14:solidFill>
                    <w14:schemeClr w14:val="tx1"/>
                  </w14:solidFill>
                </w14:textFill>
              </w:rPr>
            </w:pPr>
            <w:r>
              <w:rPr>
                <w:color w:val="000000" w:themeColor="text1"/>
                <w14:textFill>
                  <w14:solidFill>
                    <w14:schemeClr w14:val="tx1"/>
                  </w14:solidFill>
                </w14:textFill>
              </w:rPr>
              <w:t>（罐区）</w:t>
            </w:r>
          </w:p>
        </w:tc>
        <w:tc>
          <w:tcPr>
            <w:tcW w:w="2071" w:type="dxa"/>
            <w:vAlign w:val="center"/>
          </w:tcPr>
          <w:p w14:paraId="7ACF1DF2">
            <w:pPr>
              <w:pStyle w:val="70"/>
              <w:rPr>
                <w:color w:val="000000" w:themeColor="text1"/>
                <w14:textFill>
                  <w14:solidFill>
                    <w14:schemeClr w14:val="tx1"/>
                  </w14:solidFill>
                </w14:textFill>
              </w:rPr>
            </w:pPr>
            <w:r>
              <w:rPr>
                <w:color w:val="000000" w:themeColor="text1"/>
                <w14:textFill>
                  <w14:solidFill>
                    <w14:schemeClr w14:val="tx1"/>
                  </w14:solidFill>
                </w14:textFill>
              </w:rPr>
              <w:t>项目不涉及相关行业</w:t>
            </w:r>
          </w:p>
        </w:tc>
        <w:tc>
          <w:tcPr>
            <w:tcW w:w="609" w:type="dxa"/>
            <w:vAlign w:val="center"/>
          </w:tcPr>
          <w:p w14:paraId="6A4E5939">
            <w:pPr>
              <w:pStyle w:val="70"/>
              <w:rPr>
                <w:color w:val="000000" w:themeColor="text1"/>
                <w14:textFill>
                  <w14:solidFill>
                    <w14:schemeClr w14:val="tx1"/>
                  </w14:solidFill>
                </w14:textFill>
              </w:rPr>
            </w:pPr>
            <w:r>
              <w:rPr>
                <w:color w:val="000000" w:themeColor="text1"/>
                <w14:textFill>
                  <w14:solidFill>
                    <w14:schemeClr w14:val="tx1"/>
                  </w14:solidFill>
                </w14:textFill>
              </w:rPr>
              <w:t>0</w:t>
            </w:r>
          </w:p>
        </w:tc>
      </w:tr>
      <w:tr w14:paraId="49E160F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1124" w:type="dxa"/>
            <w:vAlign w:val="center"/>
          </w:tcPr>
          <w:p w14:paraId="20F125C6">
            <w:pPr>
              <w:pStyle w:val="70"/>
              <w:rPr>
                <w:color w:val="000000" w:themeColor="text1"/>
                <w14:textFill>
                  <w14:solidFill>
                    <w14:schemeClr w14:val="tx1"/>
                  </w14:solidFill>
                </w14:textFill>
              </w:rPr>
            </w:pPr>
            <w:r>
              <w:rPr>
                <w:color w:val="000000" w:themeColor="text1"/>
                <w14:textFill>
                  <w14:solidFill>
                    <w14:schemeClr w14:val="tx1"/>
                  </w14:solidFill>
                </w14:textFill>
              </w:rPr>
              <w:t>管道、港口/码头等</w:t>
            </w:r>
          </w:p>
        </w:tc>
        <w:tc>
          <w:tcPr>
            <w:tcW w:w="3810" w:type="dxa"/>
            <w:vAlign w:val="center"/>
          </w:tcPr>
          <w:p w14:paraId="1C05DFAF">
            <w:pPr>
              <w:pStyle w:val="70"/>
              <w:rPr>
                <w:color w:val="000000" w:themeColor="text1"/>
                <w14:textFill>
                  <w14:solidFill>
                    <w14:schemeClr w14:val="tx1"/>
                  </w14:solidFill>
                </w14:textFill>
              </w:rPr>
            </w:pPr>
            <w:r>
              <w:rPr>
                <w:color w:val="000000" w:themeColor="text1"/>
                <w14:textFill>
                  <w14:solidFill>
                    <w14:schemeClr w14:val="tx1"/>
                  </w14:solidFill>
                </w14:textFill>
              </w:rPr>
              <w:t>涉及危险物质管道运输项目、港口/码头等</w:t>
            </w:r>
          </w:p>
        </w:tc>
        <w:tc>
          <w:tcPr>
            <w:tcW w:w="662" w:type="dxa"/>
            <w:vAlign w:val="center"/>
          </w:tcPr>
          <w:p w14:paraId="61029246">
            <w:pPr>
              <w:pStyle w:val="70"/>
              <w:rPr>
                <w:color w:val="000000" w:themeColor="text1"/>
                <w14:textFill>
                  <w14:solidFill>
                    <w14:schemeClr w14:val="tx1"/>
                  </w14:solidFill>
                </w14:textFill>
              </w:rPr>
            </w:pPr>
            <w:r>
              <w:rPr>
                <w:color w:val="000000" w:themeColor="text1"/>
                <w14:textFill>
                  <w14:solidFill>
                    <w14:schemeClr w14:val="tx1"/>
                  </w14:solidFill>
                </w14:textFill>
              </w:rPr>
              <w:t>10</w:t>
            </w:r>
          </w:p>
        </w:tc>
        <w:tc>
          <w:tcPr>
            <w:tcW w:w="2071" w:type="dxa"/>
            <w:vAlign w:val="center"/>
          </w:tcPr>
          <w:p w14:paraId="43060119">
            <w:pPr>
              <w:pStyle w:val="70"/>
              <w:rPr>
                <w:color w:val="000000" w:themeColor="text1"/>
                <w14:textFill>
                  <w14:solidFill>
                    <w14:schemeClr w14:val="tx1"/>
                  </w14:solidFill>
                </w14:textFill>
              </w:rPr>
            </w:pPr>
            <w:r>
              <w:rPr>
                <w:color w:val="000000" w:themeColor="text1"/>
                <w14:textFill>
                  <w14:solidFill>
                    <w14:schemeClr w14:val="tx1"/>
                  </w14:solidFill>
                </w14:textFill>
              </w:rPr>
              <w:t>项目属于液体化工码头</w:t>
            </w:r>
          </w:p>
        </w:tc>
        <w:tc>
          <w:tcPr>
            <w:tcW w:w="609" w:type="dxa"/>
            <w:vAlign w:val="center"/>
          </w:tcPr>
          <w:p w14:paraId="35F93D1E">
            <w:pPr>
              <w:pStyle w:val="70"/>
              <w:rPr>
                <w:color w:val="000000" w:themeColor="text1"/>
                <w14:textFill>
                  <w14:solidFill>
                    <w14:schemeClr w14:val="tx1"/>
                  </w14:solidFill>
                </w14:textFill>
              </w:rPr>
            </w:pPr>
            <w:r>
              <w:rPr>
                <w:color w:val="000000" w:themeColor="text1"/>
                <w14:textFill>
                  <w14:solidFill>
                    <w14:schemeClr w14:val="tx1"/>
                  </w14:solidFill>
                </w14:textFill>
              </w:rPr>
              <w:t>10</w:t>
            </w:r>
          </w:p>
        </w:tc>
      </w:tr>
      <w:tr w14:paraId="37E81C4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1124" w:type="dxa"/>
            <w:vAlign w:val="center"/>
          </w:tcPr>
          <w:p w14:paraId="7638F6F2">
            <w:pPr>
              <w:pStyle w:val="70"/>
              <w:rPr>
                <w:color w:val="000000" w:themeColor="text1"/>
                <w14:textFill>
                  <w14:solidFill>
                    <w14:schemeClr w14:val="tx1"/>
                  </w14:solidFill>
                </w14:textFill>
              </w:rPr>
            </w:pPr>
            <w:r>
              <w:rPr>
                <w:color w:val="000000" w:themeColor="text1"/>
                <w14:textFill>
                  <w14:solidFill>
                    <w14:schemeClr w14:val="tx1"/>
                  </w14:solidFill>
                </w14:textFill>
              </w:rPr>
              <w:t>石油天然气</w:t>
            </w:r>
          </w:p>
        </w:tc>
        <w:tc>
          <w:tcPr>
            <w:tcW w:w="3810" w:type="dxa"/>
            <w:vAlign w:val="center"/>
          </w:tcPr>
          <w:p w14:paraId="1FEB198B">
            <w:pPr>
              <w:pStyle w:val="70"/>
              <w:rPr>
                <w:color w:val="000000" w:themeColor="text1"/>
                <w14:textFill>
                  <w14:solidFill>
                    <w14:schemeClr w14:val="tx1"/>
                  </w14:solidFill>
                </w14:textFill>
              </w:rPr>
            </w:pPr>
            <w:r>
              <w:rPr>
                <w:color w:val="000000" w:themeColor="text1"/>
                <w14:textFill>
                  <w14:solidFill>
                    <w14:schemeClr w14:val="tx1"/>
                  </w14:solidFill>
                </w14:textFill>
              </w:rPr>
              <w:t>石油、天然气、页岩气开采（含净化），气库（不含加气站的气库），油库（不含加气站的油库）、油气管线</w:t>
            </w:r>
            <w:r>
              <w:rPr>
                <w:color w:val="000000" w:themeColor="text1"/>
                <w:vertAlign w:val="superscript"/>
                <w14:textFill>
                  <w14:solidFill>
                    <w14:schemeClr w14:val="tx1"/>
                  </w14:solidFill>
                </w14:textFill>
              </w:rPr>
              <w:t>b</w:t>
            </w:r>
            <w:r>
              <w:rPr>
                <w:color w:val="000000" w:themeColor="text1"/>
                <w14:textFill>
                  <w14:solidFill>
                    <w14:schemeClr w14:val="tx1"/>
                  </w14:solidFill>
                </w14:textFill>
              </w:rPr>
              <w:t>（不含城镇燃气管线）</w:t>
            </w:r>
          </w:p>
        </w:tc>
        <w:tc>
          <w:tcPr>
            <w:tcW w:w="662" w:type="dxa"/>
            <w:vAlign w:val="center"/>
          </w:tcPr>
          <w:p w14:paraId="7F01425C">
            <w:pPr>
              <w:pStyle w:val="70"/>
              <w:rPr>
                <w:color w:val="000000" w:themeColor="text1"/>
                <w14:textFill>
                  <w14:solidFill>
                    <w14:schemeClr w14:val="tx1"/>
                  </w14:solidFill>
                </w14:textFill>
              </w:rPr>
            </w:pPr>
            <w:r>
              <w:rPr>
                <w:color w:val="000000" w:themeColor="text1"/>
                <w14:textFill>
                  <w14:solidFill>
                    <w14:schemeClr w14:val="tx1"/>
                  </w14:solidFill>
                </w14:textFill>
              </w:rPr>
              <w:t>10</w:t>
            </w:r>
          </w:p>
        </w:tc>
        <w:tc>
          <w:tcPr>
            <w:tcW w:w="2071" w:type="dxa"/>
            <w:vAlign w:val="center"/>
          </w:tcPr>
          <w:p w14:paraId="23AAFCCA">
            <w:pPr>
              <w:pStyle w:val="70"/>
              <w:rPr>
                <w:color w:val="000000" w:themeColor="text1"/>
                <w14:textFill>
                  <w14:solidFill>
                    <w14:schemeClr w14:val="tx1"/>
                  </w14:solidFill>
                </w14:textFill>
              </w:rPr>
            </w:pPr>
            <w:r>
              <w:rPr>
                <w:color w:val="000000" w:themeColor="text1"/>
                <w14:textFill>
                  <w14:solidFill>
                    <w14:schemeClr w14:val="tx1"/>
                  </w14:solidFill>
                </w14:textFill>
              </w:rPr>
              <w:t>项目不涉及相关行业</w:t>
            </w:r>
          </w:p>
        </w:tc>
        <w:tc>
          <w:tcPr>
            <w:tcW w:w="609" w:type="dxa"/>
            <w:vAlign w:val="center"/>
          </w:tcPr>
          <w:p w14:paraId="4E2E156A">
            <w:pPr>
              <w:pStyle w:val="70"/>
              <w:rPr>
                <w:color w:val="000000" w:themeColor="text1"/>
                <w14:textFill>
                  <w14:solidFill>
                    <w14:schemeClr w14:val="tx1"/>
                  </w14:solidFill>
                </w14:textFill>
              </w:rPr>
            </w:pPr>
            <w:r>
              <w:rPr>
                <w:color w:val="000000" w:themeColor="text1"/>
                <w14:textFill>
                  <w14:solidFill>
                    <w14:schemeClr w14:val="tx1"/>
                  </w14:solidFill>
                </w14:textFill>
              </w:rPr>
              <w:t>0</w:t>
            </w:r>
          </w:p>
        </w:tc>
      </w:tr>
      <w:tr w14:paraId="3807BFC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1124" w:type="dxa"/>
            <w:vAlign w:val="center"/>
          </w:tcPr>
          <w:p w14:paraId="32F27B6E">
            <w:pPr>
              <w:pStyle w:val="70"/>
              <w:rPr>
                <w:color w:val="000000" w:themeColor="text1"/>
                <w14:textFill>
                  <w14:solidFill>
                    <w14:schemeClr w14:val="tx1"/>
                  </w14:solidFill>
                </w14:textFill>
              </w:rPr>
            </w:pPr>
            <w:r>
              <w:rPr>
                <w:color w:val="000000" w:themeColor="text1"/>
                <w14:textFill>
                  <w14:solidFill>
                    <w14:schemeClr w14:val="tx1"/>
                  </w14:solidFill>
                </w14:textFill>
              </w:rPr>
              <w:t>其他</w:t>
            </w:r>
          </w:p>
        </w:tc>
        <w:tc>
          <w:tcPr>
            <w:tcW w:w="3810" w:type="dxa"/>
            <w:vAlign w:val="center"/>
          </w:tcPr>
          <w:p w14:paraId="59E71D53">
            <w:pPr>
              <w:pStyle w:val="70"/>
              <w:rPr>
                <w:color w:val="000000" w:themeColor="text1"/>
                <w14:textFill>
                  <w14:solidFill>
                    <w14:schemeClr w14:val="tx1"/>
                  </w14:solidFill>
                </w14:textFill>
              </w:rPr>
            </w:pPr>
            <w:r>
              <w:rPr>
                <w:color w:val="000000" w:themeColor="text1"/>
                <w14:textFill>
                  <w14:solidFill>
                    <w14:schemeClr w14:val="tx1"/>
                  </w14:solidFill>
                </w14:textFill>
              </w:rPr>
              <w:t>涉及危险物质使用、贮存的项目</w:t>
            </w:r>
          </w:p>
        </w:tc>
        <w:tc>
          <w:tcPr>
            <w:tcW w:w="662" w:type="dxa"/>
            <w:vAlign w:val="center"/>
          </w:tcPr>
          <w:p w14:paraId="4066AA3B">
            <w:pPr>
              <w:pStyle w:val="70"/>
              <w:rPr>
                <w:color w:val="000000" w:themeColor="text1"/>
                <w14:textFill>
                  <w14:solidFill>
                    <w14:schemeClr w14:val="tx1"/>
                  </w14:solidFill>
                </w14:textFill>
              </w:rPr>
            </w:pPr>
            <w:r>
              <w:rPr>
                <w:color w:val="000000" w:themeColor="text1"/>
                <w14:textFill>
                  <w14:solidFill>
                    <w14:schemeClr w14:val="tx1"/>
                  </w14:solidFill>
                </w14:textFill>
              </w:rPr>
              <w:t>5</w:t>
            </w:r>
          </w:p>
        </w:tc>
        <w:tc>
          <w:tcPr>
            <w:tcW w:w="2071" w:type="dxa"/>
            <w:vAlign w:val="center"/>
          </w:tcPr>
          <w:p w14:paraId="742F37F1">
            <w:pPr>
              <w:pStyle w:val="70"/>
              <w:rPr>
                <w:color w:val="000000" w:themeColor="text1"/>
                <w:u w:val="single"/>
                <w14:textFill>
                  <w14:solidFill>
                    <w14:schemeClr w14:val="tx1"/>
                  </w14:solidFill>
                </w14:textFill>
              </w:rPr>
            </w:pPr>
          </w:p>
        </w:tc>
        <w:tc>
          <w:tcPr>
            <w:tcW w:w="609" w:type="dxa"/>
            <w:vAlign w:val="center"/>
          </w:tcPr>
          <w:p w14:paraId="6AACF0B5">
            <w:pPr>
              <w:pStyle w:val="70"/>
              <w:rPr>
                <w:color w:val="000000" w:themeColor="text1"/>
                <w14:textFill>
                  <w14:solidFill>
                    <w14:schemeClr w14:val="tx1"/>
                  </w14:solidFill>
                </w14:textFill>
              </w:rPr>
            </w:pPr>
            <w:r>
              <w:rPr>
                <w:color w:val="000000" w:themeColor="text1"/>
                <w14:textFill>
                  <w14:solidFill>
                    <w14:schemeClr w14:val="tx1"/>
                  </w14:solidFill>
                </w14:textFill>
              </w:rPr>
              <w:t>0</w:t>
            </w:r>
          </w:p>
        </w:tc>
      </w:tr>
      <w:tr w14:paraId="01A1B51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8276" w:type="dxa"/>
            <w:gridSpan w:val="5"/>
            <w:vAlign w:val="center"/>
          </w:tcPr>
          <w:p w14:paraId="61536F77">
            <w:pPr>
              <w:pStyle w:val="70"/>
              <w:rPr>
                <w:color w:val="000000" w:themeColor="text1"/>
                <w14:textFill>
                  <w14:solidFill>
                    <w14:schemeClr w14:val="tx1"/>
                  </w14:solidFill>
                </w14:textFill>
              </w:rPr>
            </w:pPr>
            <w:r>
              <w:rPr>
                <w:color w:val="000000" w:themeColor="text1"/>
                <w:vertAlign w:val="superscript"/>
                <w14:textFill>
                  <w14:solidFill>
                    <w14:schemeClr w14:val="tx1"/>
                  </w14:solidFill>
                </w14:textFill>
              </w:rPr>
              <w:t>a</w:t>
            </w:r>
            <w:r>
              <w:rPr>
                <w:color w:val="000000" w:themeColor="text1"/>
                <w14:textFill>
                  <w14:solidFill>
                    <w14:schemeClr w14:val="tx1"/>
                  </w14:solidFill>
                </w14:textFill>
              </w:rPr>
              <w:t>：高温指工艺温度≥300℃，高压指压力容器的设计压力（p）≥10.0MPa；</w:t>
            </w:r>
          </w:p>
          <w:p w14:paraId="44D7CE6D">
            <w:pPr>
              <w:pStyle w:val="70"/>
              <w:rPr>
                <w:color w:val="000000" w:themeColor="text1"/>
                <w14:textFill>
                  <w14:solidFill>
                    <w14:schemeClr w14:val="tx1"/>
                  </w14:solidFill>
                </w14:textFill>
              </w:rPr>
            </w:pPr>
            <w:r>
              <w:rPr>
                <w:color w:val="000000" w:themeColor="text1"/>
                <w:vertAlign w:val="superscript"/>
                <w14:textFill>
                  <w14:solidFill>
                    <w14:schemeClr w14:val="tx1"/>
                  </w14:solidFill>
                </w14:textFill>
              </w:rPr>
              <w:t>b</w:t>
            </w:r>
            <w:r>
              <w:rPr>
                <w:color w:val="000000" w:themeColor="text1"/>
                <w14:textFill>
                  <w14:solidFill>
                    <w14:schemeClr w14:val="tx1"/>
                  </w14:solidFill>
                </w14:textFill>
              </w:rPr>
              <w:t>：长输管道运输项目应按站场、管线分段进行评价。</w:t>
            </w:r>
          </w:p>
        </w:tc>
      </w:tr>
    </w:tbl>
    <w:p w14:paraId="6C68F8ED">
      <w:pPr>
        <w:pStyle w:val="6"/>
        <w:rPr>
          <w:color w:val="000000" w:themeColor="text1"/>
          <w14:textFill>
            <w14:solidFill>
              <w14:schemeClr w14:val="tx1"/>
            </w14:solidFill>
          </w14:textFill>
        </w:rPr>
      </w:pPr>
      <w:r>
        <w:rPr>
          <w:color w:val="000000" w:themeColor="text1"/>
          <w14:textFill>
            <w14:solidFill>
              <w14:schemeClr w14:val="tx1"/>
            </w14:solidFill>
          </w14:textFill>
        </w:rPr>
        <w:t>危险物质及工艺系统危险性P分级</w:t>
      </w:r>
    </w:p>
    <w:p w14:paraId="5E93B3F2">
      <w:pPr>
        <w:ind w:firstLine="480"/>
        <w:rPr>
          <w:color w:val="000000" w:themeColor="text1"/>
          <w14:textFill>
            <w14:solidFill>
              <w14:schemeClr w14:val="tx1"/>
            </w14:solidFill>
          </w14:textFill>
        </w:rPr>
      </w:pPr>
      <w:r>
        <w:rPr>
          <w:color w:val="000000" w:themeColor="text1"/>
          <w14:textFill>
            <w14:solidFill>
              <w14:schemeClr w14:val="tx1"/>
            </w14:solidFill>
          </w14:textFill>
        </w:rPr>
        <w:t>根据确定的危险物质在项目厂区存储的数量与其规定的临界量比值和所属行业及生产工艺特点（M），确定项目危险物质及工艺系统危险性P等级为P2。</w:t>
      </w:r>
    </w:p>
    <w:p w14:paraId="4E7E20C1">
      <w:pPr>
        <w:pStyle w:val="7"/>
        <w:rPr>
          <w:color w:val="000000" w:themeColor="text1"/>
          <w14:textFill>
            <w14:solidFill>
              <w14:schemeClr w14:val="tx1"/>
            </w14:solidFill>
          </w14:textFill>
        </w:rPr>
      </w:pPr>
      <w:r>
        <w:rPr>
          <w:color w:val="000000" w:themeColor="text1"/>
          <w14:textFill>
            <w14:solidFill>
              <w14:schemeClr w14:val="tx1"/>
            </w14:solidFill>
          </w14:textFill>
        </w:rPr>
        <w:t>危险物质及工艺系统危险性等级判断（P）</w:t>
      </w:r>
    </w:p>
    <w:tbl>
      <w:tblPr>
        <w:tblStyle w:val="43"/>
        <w:tblW w:w="8276"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738"/>
        <w:gridCol w:w="1571"/>
        <w:gridCol w:w="1655"/>
        <w:gridCol w:w="1655"/>
        <w:gridCol w:w="1657"/>
      </w:tblGrid>
      <w:tr w14:paraId="70E2A0E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1738" w:type="dxa"/>
            <w:vMerge w:val="restart"/>
            <w:vAlign w:val="center"/>
          </w:tcPr>
          <w:p w14:paraId="32953760">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危险物质数量与临界量比值（Q）</w:t>
            </w:r>
          </w:p>
        </w:tc>
        <w:tc>
          <w:tcPr>
            <w:tcW w:w="6538" w:type="dxa"/>
            <w:gridSpan w:val="4"/>
            <w:vAlign w:val="center"/>
          </w:tcPr>
          <w:p w14:paraId="7C5A3595">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行业及生产工艺（M）</w:t>
            </w:r>
          </w:p>
        </w:tc>
      </w:tr>
      <w:tr w14:paraId="4D633BD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1738" w:type="dxa"/>
            <w:vMerge w:val="continue"/>
            <w:vAlign w:val="center"/>
          </w:tcPr>
          <w:p w14:paraId="6C2DDC9D">
            <w:pPr>
              <w:pStyle w:val="70"/>
              <w:rPr>
                <w:b/>
                <w:bCs/>
                <w:color w:val="000000" w:themeColor="text1"/>
                <w14:textFill>
                  <w14:solidFill>
                    <w14:schemeClr w14:val="tx1"/>
                  </w14:solidFill>
                </w14:textFill>
              </w:rPr>
            </w:pPr>
          </w:p>
        </w:tc>
        <w:tc>
          <w:tcPr>
            <w:tcW w:w="1571" w:type="dxa"/>
            <w:vAlign w:val="center"/>
          </w:tcPr>
          <w:p w14:paraId="3D7CDB31">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M1</w:t>
            </w:r>
          </w:p>
        </w:tc>
        <w:tc>
          <w:tcPr>
            <w:tcW w:w="1655" w:type="dxa"/>
            <w:vAlign w:val="center"/>
          </w:tcPr>
          <w:p w14:paraId="0423F003">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M2</w:t>
            </w:r>
          </w:p>
        </w:tc>
        <w:tc>
          <w:tcPr>
            <w:tcW w:w="1655" w:type="dxa"/>
            <w:vAlign w:val="center"/>
          </w:tcPr>
          <w:p w14:paraId="53A0F68F">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M3</w:t>
            </w:r>
          </w:p>
        </w:tc>
        <w:tc>
          <w:tcPr>
            <w:tcW w:w="1657" w:type="dxa"/>
            <w:vAlign w:val="center"/>
          </w:tcPr>
          <w:p w14:paraId="3DFDF28B">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M4</w:t>
            </w:r>
          </w:p>
        </w:tc>
      </w:tr>
      <w:tr w14:paraId="4E36EB6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1738" w:type="dxa"/>
            <w:vAlign w:val="center"/>
          </w:tcPr>
          <w:p w14:paraId="664B1650">
            <w:pPr>
              <w:pStyle w:val="70"/>
              <w:rPr>
                <w:color w:val="000000" w:themeColor="text1"/>
                <w14:textFill>
                  <w14:solidFill>
                    <w14:schemeClr w14:val="tx1"/>
                  </w14:solidFill>
                </w14:textFill>
              </w:rPr>
            </w:pPr>
            <w:r>
              <w:rPr>
                <w:color w:val="000000" w:themeColor="text1"/>
                <w14:textFill>
                  <w14:solidFill>
                    <w14:schemeClr w14:val="tx1"/>
                  </w14:solidFill>
                </w14:textFill>
              </w:rPr>
              <w:t>Q≥100</w:t>
            </w:r>
          </w:p>
        </w:tc>
        <w:tc>
          <w:tcPr>
            <w:tcW w:w="1571" w:type="dxa"/>
            <w:vAlign w:val="center"/>
          </w:tcPr>
          <w:p w14:paraId="40DDC017">
            <w:pPr>
              <w:pStyle w:val="70"/>
              <w:rPr>
                <w:color w:val="000000" w:themeColor="text1"/>
                <w14:textFill>
                  <w14:solidFill>
                    <w14:schemeClr w14:val="tx1"/>
                  </w14:solidFill>
                </w14:textFill>
              </w:rPr>
            </w:pPr>
            <w:r>
              <w:rPr>
                <w:color w:val="000000" w:themeColor="text1"/>
                <w14:textFill>
                  <w14:solidFill>
                    <w14:schemeClr w14:val="tx1"/>
                  </w14:solidFill>
                </w14:textFill>
              </w:rPr>
              <w:t>P1</w:t>
            </w:r>
          </w:p>
        </w:tc>
        <w:tc>
          <w:tcPr>
            <w:tcW w:w="1655" w:type="dxa"/>
            <w:vAlign w:val="center"/>
          </w:tcPr>
          <w:p w14:paraId="0E47F527">
            <w:pPr>
              <w:pStyle w:val="70"/>
              <w:rPr>
                <w:color w:val="000000" w:themeColor="text1"/>
                <w14:textFill>
                  <w14:solidFill>
                    <w14:schemeClr w14:val="tx1"/>
                  </w14:solidFill>
                </w14:textFill>
              </w:rPr>
            </w:pPr>
            <w:r>
              <w:rPr>
                <w:color w:val="000000" w:themeColor="text1"/>
                <w14:textFill>
                  <w14:solidFill>
                    <w14:schemeClr w14:val="tx1"/>
                  </w14:solidFill>
                </w14:textFill>
              </w:rPr>
              <w:t>P1</w:t>
            </w:r>
          </w:p>
        </w:tc>
        <w:tc>
          <w:tcPr>
            <w:tcW w:w="1655" w:type="dxa"/>
            <w:shd w:val="clear" w:color="auto" w:fill="A6A6A6"/>
            <w:vAlign w:val="center"/>
          </w:tcPr>
          <w:p w14:paraId="19064133">
            <w:pPr>
              <w:pStyle w:val="70"/>
              <w:rPr>
                <w:color w:val="000000" w:themeColor="text1"/>
                <w14:textFill>
                  <w14:solidFill>
                    <w14:schemeClr w14:val="tx1"/>
                  </w14:solidFill>
                </w14:textFill>
              </w:rPr>
            </w:pPr>
            <w:r>
              <w:rPr>
                <w:color w:val="000000" w:themeColor="text1"/>
                <w14:textFill>
                  <w14:solidFill>
                    <w14:schemeClr w14:val="tx1"/>
                  </w14:solidFill>
                </w14:textFill>
              </w:rPr>
              <w:t>P2</w:t>
            </w:r>
          </w:p>
        </w:tc>
        <w:tc>
          <w:tcPr>
            <w:tcW w:w="1657" w:type="dxa"/>
            <w:vAlign w:val="center"/>
          </w:tcPr>
          <w:p w14:paraId="09E4C187">
            <w:pPr>
              <w:pStyle w:val="70"/>
              <w:rPr>
                <w:color w:val="000000" w:themeColor="text1"/>
                <w14:textFill>
                  <w14:solidFill>
                    <w14:schemeClr w14:val="tx1"/>
                  </w14:solidFill>
                </w14:textFill>
              </w:rPr>
            </w:pPr>
            <w:r>
              <w:rPr>
                <w:color w:val="000000" w:themeColor="text1"/>
                <w14:textFill>
                  <w14:solidFill>
                    <w14:schemeClr w14:val="tx1"/>
                  </w14:solidFill>
                </w14:textFill>
              </w:rPr>
              <w:t>P3</w:t>
            </w:r>
          </w:p>
        </w:tc>
      </w:tr>
      <w:tr w14:paraId="3672894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1738" w:type="dxa"/>
            <w:vAlign w:val="center"/>
          </w:tcPr>
          <w:p w14:paraId="6C216A9B">
            <w:pPr>
              <w:pStyle w:val="70"/>
              <w:rPr>
                <w:color w:val="000000" w:themeColor="text1"/>
                <w14:textFill>
                  <w14:solidFill>
                    <w14:schemeClr w14:val="tx1"/>
                  </w14:solidFill>
                </w14:textFill>
              </w:rPr>
            </w:pPr>
            <w:r>
              <w:rPr>
                <w:color w:val="000000" w:themeColor="text1"/>
                <w14:textFill>
                  <w14:solidFill>
                    <w14:schemeClr w14:val="tx1"/>
                  </w14:solidFill>
                </w14:textFill>
              </w:rPr>
              <w:t>10≤Q＜100</w:t>
            </w:r>
          </w:p>
        </w:tc>
        <w:tc>
          <w:tcPr>
            <w:tcW w:w="1571" w:type="dxa"/>
            <w:vAlign w:val="center"/>
          </w:tcPr>
          <w:p w14:paraId="6C18E6F6">
            <w:pPr>
              <w:pStyle w:val="70"/>
              <w:rPr>
                <w:color w:val="000000" w:themeColor="text1"/>
                <w14:textFill>
                  <w14:solidFill>
                    <w14:schemeClr w14:val="tx1"/>
                  </w14:solidFill>
                </w14:textFill>
              </w:rPr>
            </w:pPr>
            <w:r>
              <w:rPr>
                <w:color w:val="000000" w:themeColor="text1"/>
                <w14:textFill>
                  <w14:solidFill>
                    <w14:schemeClr w14:val="tx1"/>
                  </w14:solidFill>
                </w14:textFill>
              </w:rPr>
              <w:t>P1</w:t>
            </w:r>
          </w:p>
        </w:tc>
        <w:tc>
          <w:tcPr>
            <w:tcW w:w="1655" w:type="dxa"/>
            <w:vAlign w:val="center"/>
          </w:tcPr>
          <w:p w14:paraId="6D62C969">
            <w:pPr>
              <w:pStyle w:val="70"/>
              <w:rPr>
                <w:color w:val="000000" w:themeColor="text1"/>
                <w14:textFill>
                  <w14:solidFill>
                    <w14:schemeClr w14:val="tx1"/>
                  </w14:solidFill>
                </w14:textFill>
              </w:rPr>
            </w:pPr>
            <w:r>
              <w:rPr>
                <w:color w:val="000000" w:themeColor="text1"/>
                <w14:textFill>
                  <w14:solidFill>
                    <w14:schemeClr w14:val="tx1"/>
                  </w14:solidFill>
                </w14:textFill>
              </w:rPr>
              <w:t>P2</w:t>
            </w:r>
          </w:p>
        </w:tc>
        <w:tc>
          <w:tcPr>
            <w:tcW w:w="1655" w:type="dxa"/>
            <w:vAlign w:val="center"/>
          </w:tcPr>
          <w:p w14:paraId="76F8CC65">
            <w:pPr>
              <w:pStyle w:val="70"/>
              <w:rPr>
                <w:color w:val="000000" w:themeColor="text1"/>
                <w14:textFill>
                  <w14:solidFill>
                    <w14:schemeClr w14:val="tx1"/>
                  </w14:solidFill>
                </w14:textFill>
              </w:rPr>
            </w:pPr>
            <w:r>
              <w:rPr>
                <w:color w:val="000000" w:themeColor="text1"/>
                <w14:textFill>
                  <w14:solidFill>
                    <w14:schemeClr w14:val="tx1"/>
                  </w14:solidFill>
                </w14:textFill>
              </w:rPr>
              <w:t>P3</w:t>
            </w:r>
          </w:p>
        </w:tc>
        <w:tc>
          <w:tcPr>
            <w:tcW w:w="1657" w:type="dxa"/>
            <w:vAlign w:val="center"/>
          </w:tcPr>
          <w:p w14:paraId="4D8418D6">
            <w:pPr>
              <w:pStyle w:val="70"/>
              <w:rPr>
                <w:color w:val="000000" w:themeColor="text1"/>
                <w14:textFill>
                  <w14:solidFill>
                    <w14:schemeClr w14:val="tx1"/>
                  </w14:solidFill>
                </w14:textFill>
              </w:rPr>
            </w:pPr>
            <w:r>
              <w:rPr>
                <w:color w:val="000000" w:themeColor="text1"/>
                <w14:textFill>
                  <w14:solidFill>
                    <w14:schemeClr w14:val="tx1"/>
                  </w14:solidFill>
                </w14:textFill>
              </w:rPr>
              <w:t>P4</w:t>
            </w:r>
          </w:p>
        </w:tc>
      </w:tr>
      <w:tr w14:paraId="6A731BC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1738" w:type="dxa"/>
            <w:vAlign w:val="center"/>
          </w:tcPr>
          <w:p w14:paraId="21DAD1F6">
            <w:pPr>
              <w:pStyle w:val="70"/>
              <w:rPr>
                <w:color w:val="000000" w:themeColor="text1"/>
                <w14:textFill>
                  <w14:solidFill>
                    <w14:schemeClr w14:val="tx1"/>
                  </w14:solidFill>
                </w14:textFill>
              </w:rPr>
            </w:pPr>
            <w:r>
              <w:rPr>
                <w:color w:val="000000" w:themeColor="text1"/>
                <w14:textFill>
                  <w14:solidFill>
                    <w14:schemeClr w14:val="tx1"/>
                  </w14:solidFill>
                </w14:textFill>
              </w:rPr>
              <w:t>1≤Q＜10</w:t>
            </w:r>
          </w:p>
        </w:tc>
        <w:tc>
          <w:tcPr>
            <w:tcW w:w="1571" w:type="dxa"/>
            <w:vAlign w:val="center"/>
          </w:tcPr>
          <w:p w14:paraId="025318BA">
            <w:pPr>
              <w:pStyle w:val="70"/>
              <w:rPr>
                <w:color w:val="000000" w:themeColor="text1"/>
                <w14:textFill>
                  <w14:solidFill>
                    <w14:schemeClr w14:val="tx1"/>
                  </w14:solidFill>
                </w14:textFill>
              </w:rPr>
            </w:pPr>
            <w:r>
              <w:rPr>
                <w:color w:val="000000" w:themeColor="text1"/>
                <w14:textFill>
                  <w14:solidFill>
                    <w14:schemeClr w14:val="tx1"/>
                  </w14:solidFill>
                </w14:textFill>
              </w:rPr>
              <w:t>P2</w:t>
            </w:r>
          </w:p>
        </w:tc>
        <w:tc>
          <w:tcPr>
            <w:tcW w:w="1655" w:type="dxa"/>
            <w:vAlign w:val="center"/>
          </w:tcPr>
          <w:p w14:paraId="33BD9D8F">
            <w:pPr>
              <w:pStyle w:val="70"/>
              <w:rPr>
                <w:color w:val="000000" w:themeColor="text1"/>
                <w14:textFill>
                  <w14:solidFill>
                    <w14:schemeClr w14:val="tx1"/>
                  </w14:solidFill>
                </w14:textFill>
              </w:rPr>
            </w:pPr>
            <w:r>
              <w:rPr>
                <w:color w:val="000000" w:themeColor="text1"/>
                <w14:textFill>
                  <w14:solidFill>
                    <w14:schemeClr w14:val="tx1"/>
                  </w14:solidFill>
                </w14:textFill>
              </w:rPr>
              <w:t>P3</w:t>
            </w:r>
          </w:p>
        </w:tc>
        <w:tc>
          <w:tcPr>
            <w:tcW w:w="1655" w:type="dxa"/>
            <w:vAlign w:val="center"/>
          </w:tcPr>
          <w:p w14:paraId="11D3EC37">
            <w:pPr>
              <w:pStyle w:val="70"/>
              <w:rPr>
                <w:color w:val="000000" w:themeColor="text1"/>
                <w14:textFill>
                  <w14:solidFill>
                    <w14:schemeClr w14:val="tx1"/>
                  </w14:solidFill>
                </w14:textFill>
              </w:rPr>
            </w:pPr>
            <w:r>
              <w:rPr>
                <w:color w:val="000000" w:themeColor="text1"/>
                <w14:textFill>
                  <w14:solidFill>
                    <w14:schemeClr w14:val="tx1"/>
                  </w14:solidFill>
                </w14:textFill>
              </w:rPr>
              <w:t>P4</w:t>
            </w:r>
          </w:p>
        </w:tc>
        <w:tc>
          <w:tcPr>
            <w:tcW w:w="1657" w:type="dxa"/>
            <w:vAlign w:val="center"/>
          </w:tcPr>
          <w:p w14:paraId="5D524EF3">
            <w:pPr>
              <w:pStyle w:val="70"/>
              <w:rPr>
                <w:color w:val="000000" w:themeColor="text1"/>
                <w14:textFill>
                  <w14:solidFill>
                    <w14:schemeClr w14:val="tx1"/>
                  </w14:solidFill>
                </w14:textFill>
              </w:rPr>
            </w:pPr>
            <w:r>
              <w:rPr>
                <w:color w:val="000000" w:themeColor="text1"/>
                <w14:textFill>
                  <w14:solidFill>
                    <w14:schemeClr w14:val="tx1"/>
                  </w14:solidFill>
                </w14:textFill>
              </w:rPr>
              <w:t>P4</w:t>
            </w:r>
          </w:p>
        </w:tc>
      </w:tr>
    </w:tbl>
    <w:p w14:paraId="153220EF">
      <w:pPr>
        <w:pStyle w:val="6"/>
        <w:rPr>
          <w:color w:val="000000" w:themeColor="text1"/>
          <w14:textFill>
            <w14:solidFill>
              <w14:schemeClr w14:val="tx1"/>
            </w14:solidFill>
          </w14:textFill>
        </w:rPr>
      </w:pPr>
      <w:r>
        <w:rPr>
          <w:color w:val="000000" w:themeColor="text1"/>
          <w14:textFill>
            <w14:solidFill>
              <w14:schemeClr w14:val="tx1"/>
            </w14:solidFill>
          </w14:textFill>
        </w:rPr>
        <w:t>环境敏感程度E的分级确定</w:t>
      </w:r>
    </w:p>
    <w:p w14:paraId="26B53681">
      <w:pPr>
        <w:ind w:firstLine="480"/>
        <w:rPr>
          <w:color w:val="000000" w:themeColor="text1"/>
          <w14:textFill>
            <w14:solidFill>
              <w14:schemeClr w14:val="tx1"/>
            </w14:solidFill>
          </w14:textFill>
        </w:rPr>
      </w:pPr>
      <w:r>
        <w:rPr>
          <w:color w:val="000000" w:themeColor="text1"/>
          <w14:textFill>
            <w14:solidFill>
              <w14:schemeClr w14:val="tx1"/>
            </w14:solidFill>
          </w14:textFill>
        </w:rPr>
        <w:t>（1）大气环境</w:t>
      </w:r>
    </w:p>
    <w:p w14:paraId="4DB4A0A5">
      <w:pPr>
        <w:ind w:firstLine="480"/>
        <w:rPr>
          <w:color w:val="000000" w:themeColor="text1"/>
          <w14:textFill>
            <w14:solidFill>
              <w14:schemeClr w14:val="tx1"/>
            </w14:solidFill>
          </w14:textFill>
        </w:rPr>
      </w:pPr>
      <w:r>
        <w:rPr>
          <w:color w:val="000000" w:themeColor="text1"/>
          <w14:textFill>
            <w14:solidFill>
              <w14:schemeClr w14:val="tx1"/>
            </w14:solidFill>
          </w14:textFill>
        </w:rPr>
        <w:t>根据《建设项目环境风险评价技术导则》（HJ169-2018）附录D，周边5km范围内居住区、医疗卫生、文化教育、科研、行政办公等机构人口总数大于1万人，小于5万人，为环境低度敏感区（E2）。本项目周边5km范围内人口总数大于1万人，小于5万人，故本项目大气环境敏感度为E2。</w:t>
      </w:r>
    </w:p>
    <w:p w14:paraId="53D4D7A1">
      <w:pPr>
        <w:ind w:firstLine="480"/>
        <w:rPr>
          <w:color w:val="000000" w:themeColor="text1"/>
          <w14:textFill>
            <w14:solidFill>
              <w14:schemeClr w14:val="tx1"/>
            </w14:solidFill>
          </w14:textFill>
        </w:rPr>
      </w:pPr>
      <w:r>
        <w:rPr>
          <w:color w:val="000000" w:themeColor="text1"/>
          <w14:textFill>
            <w14:solidFill>
              <w14:schemeClr w14:val="tx1"/>
            </w14:solidFill>
          </w14:textFill>
        </w:rPr>
        <w:t>（2）地表水环境</w:t>
      </w:r>
    </w:p>
    <w:p w14:paraId="1E7DEA69">
      <w:pPr>
        <w:ind w:firstLine="480"/>
        <w:rPr>
          <w:color w:val="000000" w:themeColor="text1"/>
          <w14:textFill>
            <w14:solidFill>
              <w14:schemeClr w14:val="tx1"/>
            </w14:solidFill>
          </w14:textFill>
        </w:rPr>
      </w:pPr>
      <w:r>
        <w:rPr>
          <w:color w:val="000000" w:themeColor="text1"/>
          <w14:textFill>
            <w14:solidFill>
              <w14:schemeClr w14:val="tx1"/>
            </w14:solidFill>
          </w14:textFill>
        </w:rPr>
        <w:t>依据事故情况下危险物质泄漏到水体的排放点收纳地表水体功能敏感性，与下游环境敏感目标情况，共分为三种类型，E1为环境高度敏感区，E2为环境中度敏感区，E3为环境低度敏感区，分级原则见表5.2-3。其中地表水功能敏感性分区和环境敏感目标分级分别见表5.4-4、表5.2-5。</w:t>
      </w:r>
    </w:p>
    <w:p w14:paraId="5CD9A1F5">
      <w:pPr>
        <w:ind w:firstLine="480"/>
        <w:rPr>
          <w:color w:val="000000" w:themeColor="text1"/>
          <w14:textFill>
            <w14:solidFill>
              <w14:schemeClr w14:val="tx1"/>
            </w14:solidFill>
          </w14:textFill>
        </w:rPr>
      </w:pPr>
      <w:r>
        <w:rPr>
          <w:color w:val="000000" w:themeColor="text1"/>
          <w14:textFill>
            <w14:solidFill>
              <w14:schemeClr w14:val="tx1"/>
            </w14:solidFill>
          </w14:textFill>
        </w:rPr>
        <w:t>项目无外排废水，码头前沿水域海水水质为第四类，地表水环境敏感特征为低敏感度F3。根据水环境风险预测结果，一个潮周期水质点可能到达水平距离两倍范围内分布有金鼓江红树林分布区，环境敏感目标分级为S1。项目地表水环境敏感程度为</w:t>
      </w:r>
      <w:r>
        <w:rPr>
          <w:rFonts w:hint="eastAsia"/>
          <w:color w:val="000000" w:themeColor="text1"/>
          <w14:textFill>
            <w14:solidFill>
              <w14:schemeClr w14:val="tx1"/>
            </w14:solidFill>
          </w14:textFill>
        </w:rPr>
        <w:t>中度</w:t>
      </w:r>
      <w:r>
        <w:rPr>
          <w:color w:val="000000" w:themeColor="text1"/>
          <w14:textFill>
            <w14:solidFill>
              <w14:schemeClr w14:val="tx1"/>
            </w14:solidFill>
          </w14:textFill>
        </w:rPr>
        <w:t>敏感区（E2）。</w:t>
      </w:r>
    </w:p>
    <w:p w14:paraId="0C84E64B">
      <w:pPr>
        <w:pStyle w:val="7"/>
        <w:rPr>
          <w:color w:val="000000" w:themeColor="text1"/>
          <w14:textFill>
            <w14:solidFill>
              <w14:schemeClr w14:val="tx1"/>
            </w14:solidFill>
          </w14:textFill>
        </w:rPr>
      </w:pPr>
      <w:r>
        <w:rPr>
          <w:color w:val="000000" w:themeColor="text1"/>
          <w14:textFill>
            <w14:solidFill>
              <w14:schemeClr w14:val="tx1"/>
            </w14:solidFill>
          </w14:textFill>
        </w:rPr>
        <w:t>地表水环境敏感程度分级</w:t>
      </w:r>
    </w:p>
    <w:tbl>
      <w:tblPr>
        <w:tblStyle w:val="43"/>
        <w:tblW w:w="8276"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2069"/>
        <w:gridCol w:w="2069"/>
        <w:gridCol w:w="2069"/>
        <w:gridCol w:w="2069"/>
      </w:tblGrid>
      <w:tr w14:paraId="157D3EE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069" w:type="dxa"/>
            <w:vMerge w:val="restart"/>
            <w:vAlign w:val="center"/>
          </w:tcPr>
          <w:p w14:paraId="1021091C">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环境敏感目标</w:t>
            </w:r>
          </w:p>
        </w:tc>
        <w:tc>
          <w:tcPr>
            <w:tcW w:w="6207" w:type="dxa"/>
            <w:gridSpan w:val="3"/>
            <w:vAlign w:val="center"/>
          </w:tcPr>
          <w:p w14:paraId="2029F417">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地表水功能敏感性</w:t>
            </w:r>
          </w:p>
        </w:tc>
      </w:tr>
      <w:tr w14:paraId="655650C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069" w:type="dxa"/>
            <w:vMerge w:val="continue"/>
            <w:vAlign w:val="center"/>
          </w:tcPr>
          <w:p w14:paraId="090C1D30">
            <w:pPr>
              <w:pStyle w:val="70"/>
              <w:rPr>
                <w:b/>
                <w:bCs/>
                <w:color w:val="000000" w:themeColor="text1"/>
                <w14:textFill>
                  <w14:solidFill>
                    <w14:schemeClr w14:val="tx1"/>
                  </w14:solidFill>
                </w14:textFill>
              </w:rPr>
            </w:pPr>
          </w:p>
        </w:tc>
        <w:tc>
          <w:tcPr>
            <w:tcW w:w="2069" w:type="dxa"/>
            <w:vAlign w:val="center"/>
          </w:tcPr>
          <w:p w14:paraId="3EE26A13">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F1</w:t>
            </w:r>
          </w:p>
        </w:tc>
        <w:tc>
          <w:tcPr>
            <w:tcW w:w="2069" w:type="dxa"/>
            <w:vAlign w:val="center"/>
          </w:tcPr>
          <w:p w14:paraId="273AC774">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F2</w:t>
            </w:r>
          </w:p>
        </w:tc>
        <w:tc>
          <w:tcPr>
            <w:tcW w:w="2069" w:type="dxa"/>
            <w:vAlign w:val="center"/>
          </w:tcPr>
          <w:p w14:paraId="7A3D3392">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F3</w:t>
            </w:r>
          </w:p>
        </w:tc>
      </w:tr>
      <w:tr w14:paraId="74FBDA8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069" w:type="dxa"/>
            <w:vAlign w:val="center"/>
          </w:tcPr>
          <w:p w14:paraId="51E1DFB6">
            <w:pPr>
              <w:pStyle w:val="70"/>
              <w:rPr>
                <w:color w:val="000000" w:themeColor="text1"/>
                <w14:textFill>
                  <w14:solidFill>
                    <w14:schemeClr w14:val="tx1"/>
                  </w14:solidFill>
                </w14:textFill>
              </w:rPr>
            </w:pPr>
            <w:r>
              <w:rPr>
                <w:color w:val="000000" w:themeColor="text1"/>
                <w14:textFill>
                  <w14:solidFill>
                    <w14:schemeClr w14:val="tx1"/>
                  </w14:solidFill>
                </w14:textFill>
              </w:rPr>
              <w:t>S1</w:t>
            </w:r>
          </w:p>
        </w:tc>
        <w:tc>
          <w:tcPr>
            <w:tcW w:w="2069" w:type="dxa"/>
            <w:vAlign w:val="center"/>
          </w:tcPr>
          <w:p w14:paraId="508D0C16">
            <w:pPr>
              <w:pStyle w:val="70"/>
              <w:rPr>
                <w:color w:val="000000" w:themeColor="text1"/>
                <w14:textFill>
                  <w14:solidFill>
                    <w14:schemeClr w14:val="tx1"/>
                  </w14:solidFill>
                </w14:textFill>
              </w:rPr>
            </w:pPr>
            <w:r>
              <w:rPr>
                <w:color w:val="000000" w:themeColor="text1"/>
                <w14:textFill>
                  <w14:solidFill>
                    <w14:schemeClr w14:val="tx1"/>
                  </w14:solidFill>
                </w14:textFill>
              </w:rPr>
              <w:t>E1</w:t>
            </w:r>
          </w:p>
        </w:tc>
        <w:tc>
          <w:tcPr>
            <w:tcW w:w="2069" w:type="dxa"/>
            <w:vAlign w:val="center"/>
          </w:tcPr>
          <w:p w14:paraId="6E4AFDEA">
            <w:pPr>
              <w:pStyle w:val="70"/>
              <w:rPr>
                <w:color w:val="000000" w:themeColor="text1"/>
                <w14:textFill>
                  <w14:solidFill>
                    <w14:schemeClr w14:val="tx1"/>
                  </w14:solidFill>
                </w14:textFill>
              </w:rPr>
            </w:pPr>
            <w:r>
              <w:rPr>
                <w:color w:val="000000" w:themeColor="text1"/>
                <w14:textFill>
                  <w14:solidFill>
                    <w14:schemeClr w14:val="tx1"/>
                  </w14:solidFill>
                </w14:textFill>
              </w:rPr>
              <w:t>E1</w:t>
            </w:r>
          </w:p>
        </w:tc>
        <w:tc>
          <w:tcPr>
            <w:tcW w:w="2069" w:type="dxa"/>
            <w:shd w:val="clear" w:color="auto" w:fill="D8D8D8" w:themeFill="background1" w:themeFillShade="D9"/>
            <w:vAlign w:val="center"/>
          </w:tcPr>
          <w:p w14:paraId="3E509FF1">
            <w:pPr>
              <w:pStyle w:val="70"/>
              <w:rPr>
                <w:color w:val="000000" w:themeColor="text1"/>
                <w14:textFill>
                  <w14:solidFill>
                    <w14:schemeClr w14:val="tx1"/>
                  </w14:solidFill>
                </w14:textFill>
              </w:rPr>
            </w:pPr>
            <w:r>
              <w:rPr>
                <w:color w:val="000000" w:themeColor="text1"/>
                <w14:textFill>
                  <w14:solidFill>
                    <w14:schemeClr w14:val="tx1"/>
                  </w14:solidFill>
                </w14:textFill>
              </w:rPr>
              <w:t>E2</w:t>
            </w:r>
          </w:p>
        </w:tc>
      </w:tr>
      <w:tr w14:paraId="363686A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069" w:type="dxa"/>
            <w:vAlign w:val="center"/>
          </w:tcPr>
          <w:p w14:paraId="7354C1B9">
            <w:pPr>
              <w:pStyle w:val="70"/>
              <w:rPr>
                <w:color w:val="000000" w:themeColor="text1"/>
                <w14:textFill>
                  <w14:solidFill>
                    <w14:schemeClr w14:val="tx1"/>
                  </w14:solidFill>
                </w14:textFill>
              </w:rPr>
            </w:pPr>
            <w:r>
              <w:rPr>
                <w:color w:val="000000" w:themeColor="text1"/>
                <w14:textFill>
                  <w14:solidFill>
                    <w14:schemeClr w14:val="tx1"/>
                  </w14:solidFill>
                </w14:textFill>
              </w:rPr>
              <w:t>S2</w:t>
            </w:r>
          </w:p>
        </w:tc>
        <w:tc>
          <w:tcPr>
            <w:tcW w:w="2069" w:type="dxa"/>
            <w:vAlign w:val="center"/>
          </w:tcPr>
          <w:p w14:paraId="614D62A3">
            <w:pPr>
              <w:pStyle w:val="70"/>
              <w:rPr>
                <w:color w:val="000000" w:themeColor="text1"/>
                <w14:textFill>
                  <w14:solidFill>
                    <w14:schemeClr w14:val="tx1"/>
                  </w14:solidFill>
                </w14:textFill>
              </w:rPr>
            </w:pPr>
            <w:r>
              <w:rPr>
                <w:color w:val="000000" w:themeColor="text1"/>
                <w14:textFill>
                  <w14:solidFill>
                    <w14:schemeClr w14:val="tx1"/>
                  </w14:solidFill>
                </w14:textFill>
              </w:rPr>
              <w:t>E1</w:t>
            </w:r>
          </w:p>
        </w:tc>
        <w:tc>
          <w:tcPr>
            <w:tcW w:w="2069" w:type="dxa"/>
            <w:vAlign w:val="center"/>
          </w:tcPr>
          <w:p w14:paraId="775F27C6">
            <w:pPr>
              <w:pStyle w:val="70"/>
              <w:rPr>
                <w:color w:val="000000" w:themeColor="text1"/>
                <w14:textFill>
                  <w14:solidFill>
                    <w14:schemeClr w14:val="tx1"/>
                  </w14:solidFill>
                </w14:textFill>
              </w:rPr>
            </w:pPr>
            <w:r>
              <w:rPr>
                <w:color w:val="000000" w:themeColor="text1"/>
                <w14:textFill>
                  <w14:solidFill>
                    <w14:schemeClr w14:val="tx1"/>
                  </w14:solidFill>
                </w14:textFill>
              </w:rPr>
              <w:t>E2</w:t>
            </w:r>
          </w:p>
        </w:tc>
        <w:tc>
          <w:tcPr>
            <w:tcW w:w="2069" w:type="dxa"/>
            <w:vAlign w:val="center"/>
          </w:tcPr>
          <w:p w14:paraId="301A1EC8">
            <w:pPr>
              <w:pStyle w:val="70"/>
              <w:rPr>
                <w:color w:val="000000" w:themeColor="text1"/>
                <w14:textFill>
                  <w14:solidFill>
                    <w14:schemeClr w14:val="tx1"/>
                  </w14:solidFill>
                </w14:textFill>
              </w:rPr>
            </w:pPr>
            <w:r>
              <w:rPr>
                <w:color w:val="000000" w:themeColor="text1"/>
                <w14:textFill>
                  <w14:solidFill>
                    <w14:schemeClr w14:val="tx1"/>
                  </w14:solidFill>
                </w14:textFill>
              </w:rPr>
              <w:t>E3</w:t>
            </w:r>
          </w:p>
        </w:tc>
      </w:tr>
      <w:tr w14:paraId="5311056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069" w:type="dxa"/>
            <w:vAlign w:val="center"/>
          </w:tcPr>
          <w:p w14:paraId="63ED2636">
            <w:pPr>
              <w:pStyle w:val="70"/>
              <w:rPr>
                <w:color w:val="000000" w:themeColor="text1"/>
                <w14:textFill>
                  <w14:solidFill>
                    <w14:schemeClr w14:val="tx1"/>
                  </w14:solidFill>
                </w14:textFill>
              </w:rPr>
            </w:pPr>
            <w:r>
              <w:rPr>
                <w:color w:val="000000" w:themeColor="text1"/>
                <w14:textFill>
                  <w14:solidFill>
                    <w14:schemeClr w14:val="tx1"/>
                  </w14:solidFill>
                </w14:textFill>
              </w:rPr>
              <w:t>S3</w:t>
            </w:r>
          </w:p>
        </w:tc>
        <w:tc>
          <w:tcPr>
            <w:tcW w:w="2069" w:type="dxa"/>
            <w:vAlign w:val="center"/>
          </w:tcPr>
          <w:p w14:paraId="0EBB07DF">
            <w:pPr>
              <w:pStyle w:val="70"/>
              <w:rPr>
                <w:color w:val="000000" w:themeColor="text1"/>
                <w14:textFill>
                  <w14:solidFill>
                    <w14:schemeClr w14:val="tx1"/>
                  </w14:solidFill>
                </w14:textFill>
              </w:rPr>
            </w:pPr>
            <w:r>
              <w:rPr>
                <w:color w:val="000000" w:themeColor="text1"/>
                <w14:textFill>
                  <w14:solidFill>
                    <w14:schemeClr w14:val="tx1"/>
                  </w14:solidFill>
                </w14:textFill>
              </w:rPr>
              <w:t>E1</w:t>
            </w:r>
          </w:p>
        </w:tc>
        <w:tc>
          <w:tcPr>
            <w:tcW w:w="2069" w:type="dxa"/>
            <w:vAlign w:val="center"/>
          </w:tcPr>
          <w:p w14:paraId="6366C699">
            <w:pPr>
              <w:pStyle w:val="70"/>
              <w:rPr>
                <w:color w:val="000000" w:themeColor="text1"/>
                <w14:textFill>
                  <w14:solidFill>
                    <w14:schemeClr w14:val="tx1"/>
                  </w14:solidFill>
                </w14:textFill>
              </w:rPr>
            </w:pPr>
            <w:r>
              <w:rPr>
                <w:color w:val="000000" w:themeColor="text1"/>
                <w14:textFill>
                  <w14:solidFill>
                    <w14:schemeClr w14:val="tx1"/>
                  </w14:solidFill>
                </w14:textFill>
              </w:rPr>
              <w:t>E2</w:t>
            </w:r>
          </w:p>
        </w:tc>
        <w:tc>
          <w:tcPr>
            <w:tcW w:w="2069" w:type="dxa"/>
            <w:vAlign w:val="center"/>
          </w:tcPr>
          <w:p w14:paraId="4321AEA6">
            <w:pPr>
              <w:pStyle w:val="70"/>
              <w:rPr>
                <w:color w:val="000000" w:themeColor="text1"/>
                <w14:textFill>
                  <w14:solidFill>
                    <w14:schemeClr w14:val="tx1"/>
                  </w14:solidFill>
                </w14:textFill>
              </w:rPr>
            </w:pPr>
            <w:r>
              <w:rPr>
                <w:color w:val="000000" w:themeColor="text1"/>
                <w14:textFill>
                  <w14:solidFill>
                    <w14:schemeClr w14:val="tx1"/>
                  </w14:solidFill>
                </w14:textFill>
              </w:rPr>
              <w:t>E3</w:t>
            </w:r>
          </w:p>
        </w:tc>
      </w:tr>
    </w:tbl>
    <w:p w14:paraId="0F363374">
      <w:pPr>
        <w:pStyle w:val="7"/>
        <w:rPr>
          <w:color w:val="000000" w:themeColor="text1"/>
          <w14:textFill>
            <w14:solidFill>
              <w14:schemeClr w14:val="tx1"/>
            </w14:solidFill>
          </w14:textFill>
        </w:rPr>
      </w:pPr>
      <w:r>
        <w:rPr>
          <w:color w:val="000000" w:themeColor="text1"/>
          <w14:textFill>
            <w14:solidFill>
              <w14:schemeClr w14:val="tx1"/>
            </w14:solidFill>
          </w14:textFill>
        </w:rPr>
        <w:t>地表水功能敏感性分区</w:t>
      </w:r>
    </w:p>
    <w:tbl>
      <w:tblPr>
        <w:tblStyle w:val="43"/>
        <w:tblW w:w="8276"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982"/>
        <w:gridCol w:w="7294"/>
      </w:tblGrid>
      <w:tr w14:paraId="5BC48F7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982" w:type="dxa"/>
            <w:vAlign w:val="center"/>
          </w:tcPr>
          <w:p w14:paraId="19422D87">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敏感性</w:t>
            </w:r>
          </w:p>
        </w:tc>
        <w:tc>
          <w:tcPr>
            <w:tcW w:w="7294" w:type="dxa"/>
            <w:vAlign w:val="center"/>
          </w:tcPr>
          <w:p w14:paraId="78FCF19A">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地表水环境敏感特征</w:t>
            </w:r>
          </w:p>
        </w:tc>
      </w:tr>
      <w:tr w14:paraId="7B6C495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982" w:type="dxa"/>
            <w:vAlign w:val="center"/>
          </w:tcPr>
          <w:p w14:paraId="3F95DCF2">
            <w:pPr>
              <w:pStyle w:val="70"/>
              <w:rPr>
                <w:color w:val="000000" w:themeColor="text1"/>
                <w14:textFill>
                  <w14:solidFill>
                    <w14:schemeClr w14:val="tx1"/>
                  </w14:solidFill>
                </w14:textFill>
              </w:rPr>
            </w:pPr>
            <w:r>
              <w:rPr>
                <w:color w:val="000000" w:themeColor="text1"/>
                <w14:textFill>
                  <w14:solidFill>
                    <w14:schemeClr w14:val="tx1"/>
                  </w14:solidFill>
                </w14:textFill>
              </w:rPr>
              <w:t>敏感F1</w:t>
            </w:r>
          </w:p>
        </w:tc>
        <w:tc>
          <w:tcPr>
            <w:tcW w:w="7294" w:type="dxa"/>
            <w:vAlign w:val="center"/>
          </w:tcPr>
          <w:p w14:paraId="5FE6A966">
            <w:pPr>
              <w:pStyle w:val="70"/>
              <w:rPr>
                <w:color w:val="000000" w:themeColor="text1"/>
                <w14:textFill>
                  <w14:solidFill>
                    <w14:schemeClr w14:val="tx1"/>
                  </w14:solidFill>
                </w14:textFill>
              </w:rPr>
            </w:pPr>
            <w:r>
              <w:rPr>
                <w:color w:val="000000" w:themeColor="text1"/>
                <w14:textFill>
                  <w14:solidFill>
                    <w14:schemeClr w14:val="tx1"/>
                  </w14:solidFill>
                </w14:textFill>
              </w:rPr>
              <w:t>排放点进入地表水水域环境功能为Ⅱ类及以上，或海水水质分类第一类；或以发生事故时，危险物质泄漏到水体的排放点算起，排放进入受纳河流最大流速时，24h流经范围内涉跨国界的</w:t>
            </w:r>
          </w:p>
        </w:tc>
      </w:tr>
      <w:tr w14:paraId="0C572C2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982" w:type="dxa"/>
            <w:vAlign w:val="center"/>
          </w:tcPr>
          <w:p w14:paraId="2E9E3FED">
            <w:pPr>
              <w:pStyle w:val="70"/>
              <w:rPr>
                <w:color w:val="000000" w:themeColor="text1"/>
                <w14:textFill>
                  <w14:solidFill>
                    <w14:schemeClr w14:val="tx1"/>
                  </w14:solidFill>
                </w14:textFill>
              </w:rPr>
            </w:pPr>
            <w:r>
              <w:rPr>
                <w:color w:val="000000" w:themeColor="text1"/>
                <w14:textFill>
                  <w14:solidFill>
                    <w14:schemeClr w14:val="tx1"/>
                  </w14:solidFill>
                </w14:textFill>
              </w:rPr>
              <w:t>较敏感F2</w:t>
            </w:r>
          </w:p>
        </w:tc>
        <w:tc>
          <w:tcPr>
            <w:tcW w:w="7294" w:type="dxa"/>
            <w:vAlign w:val="center"/>
          </w:tcPr>
          <w:p w14:paraId="2C3D8B4B">
            <w:pPr>
              <w:pStyle w:val="70"/>
              <w:rPr>
                <w:color w:val="000000" w:themeColor="text1"/>
                <w14:textFill>
                  <w14:solidFill>
                    <w14:schemeClr w14:val="tx1"/>
                  </w14:solidFill>
                </w14:textFill>
              </w:rPr>
            </w:pPr>
            <w:r>
              <w:rPr>
                <w:color w:val="000000" w:themeColor="text1"/>
                <w14:textFill>
                  <w14:solidFill>
                    <w14:schemeClr w14:val="tx1"/>
                  </w14:solidFill>
                </w14:textFill>
              </w:rPr>
              <w:t>排放点进入地表水水域环境功能为Ⅲ类,或海水水质分类第二类；或以发生事故时，危险物质泄漏到水体的排放点算起，排放进入受纳河流最大流速时，24h流经范围内涉跨省界的</w:t>
            </w:r>
          </w:p>
        </w:tc>
      </w:tr>
      <w:tr w14:paraId="5414030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982" w:type="dxa"/>
            <w:shd w:val="clear" w:color="auto" w:fill="D8D8D8" w:themeFill="background1" w:themeFillShade="D9"/>
            <w:vAlign w:val="center"/>
          </w:tcPr>
          <w:p w14:paraId="26622D3F">
            <w:pPr>
              <w:pStyle w:val="70"/>
              <w:rPr>
                <w:color w:val="000000" w:themeColor="text1"/>
                <w14:textFill>
                  <w14:solidFill>
                    <w14:schemeClr w14:val="tx1"/>
                  </w14:solidFill>
                </w14:textFill>
              </w:rPr>
            </w:pPr>
            <w:r>
              <w:rPr>
                <w:color w:val="000000" w:themeColor="text1"/>
                <w14:textFill>
                  <w14:solidFill>
                    <w14:schemeClr w14:val="tx1"/>
                  </w14:solidFill>
                </w14:textFill>
              </w:rPr>
              <w:t>低敏感F3</w:t>
            </w:r>
          </w:p>
        </w:tc>
        <w:tc>
          <w:tcPr>
            <w:tcW w:w="7294" w:type="dxa"/>
            <w:shd w:val="clear" w:color="auto" w:fill="D8D8D8" w:themeFill="background1" w:themeFillShade="D9"/>
            <w:vAlign w:val="center"/>
          </w:tcPr>
          <w:p w14:paraId="65DDF524">
            <w:pPr>
              <w:pStyle w:val="70"/>
              <w:rPr>
                <w:color w:val="000000" w:themeColor="text1"/>
                <w14:textFill>
                  <w14:solidFill>
                    <w14:schemeClr w14:val="tx1"/>
                  </w14:solidFill>
                </w14:textFill>
              </w:rPr>
            </w:pPr>
            <w:r>
              <w:rPr>
                <w:color w:val="000000" w:themeColor="text1"/>
                <w14:textFill>
                  <w14:solidFill>
                    <w14:schemeClr w14:val="tx1"/>
                  </w14:solidFill>
                </w14:textFill>
              </w:rPr>
              <w:t>上述地区之外的其他地区</w:t>
            </w:r>
          </w:p>
        </w:tc>
      </w:tr>
    </w:tbl>
    <w:p w14:paraId="463C8B24">
      <w:pPr>
        <w:pStyle w:val="7"/>
        <w:rPr>
          <w:color w:val="000000" w:themeColor="text1"/>
          <w14:textFill>
            <w14:solidFill>
              <w14:schemeClr w14:val="tx1"/>
            </w14:solidFill>
          </w14:textFill>
        </w:rPr>
      </w:pPr>
      <w:r>
        <w:rPr>
          <w:color w:val="000000" w:themeColor="text1"/>
          <w14:textFill>
            <w14:solidFill>
              <w14:schemeClr w14:val="tx1"/>
            </w14:solidFill>
          </w14:textFill>
        </w:rPr>
        <w:t>环境敏感目标分级</w:t>
      </w:r>
    </w:p>
    <w:tbl>
      <w:tblPr>
        <w:tblStyle w:val="43"/>
        <w:tblW w:w="8276"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982"/>
        <w:gridCol w:w="7294"/>
      </w:tblGrid>
      <w:tr w14:paraId="32BC6BB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982" w:type="dxa"/>
            <w:tcMar>
              <w:left w:w="0" w:type="dxa"/>
              <w:right w:w="0" w:type="dxa"/>
            </w:tcMar>
            <w:vAlign w:val="center"/>
          </w:tcPr>
          <w:p w14:paraId="16EED076">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分级</w:t>
            </w:r>
          </w:p>
        </w:tc>
        <w:tc>
          <w:tcPr>
            <w:tcW w:w="7294" w:type="dxa"/>
            <w:tcMar>
              <w:left w:w="0" w:type="dxa"/>
              <w:right w:w="0" w:type="dxa"/>
            </w:tcMar>
            <w:vAlign w:val="center"/>
          </w:tcPr>
          <w:p w14:paraId="369F4651">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环境敏感点目标</w:t>
            </w:r>
          </w:p>
        </w:tc>
      </w:tr>
      <w:tr w14:paraId="0DB6780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982" w:type="dxa"/>
            <w:shd w:val="clear" w:color="auto" w:fill="D8D8D8" w:themeFill="background1" w:themeFillShade="D9"/>
            <w:tcMar>
              <w:left w:w="0" w:type="dxa"/>
              <w:right w:w="0" w:type="dxa"/>
            </w:tcMar>
            <w:vAlign w:val="center"/>
          </w:tcPr>
          <w:p w14:paraId="6D3971BC">
            <w:pPr>
              <w:pStyle w:val="70"/>
              <w:rPr>
                <w:color w:val="000000" w:themeColor="text1"/>
                <w14:textFill>
                  <w14:solidFill>
                    <w14:schemeClr w14:val="tx1"/>
                  </w14:solidFill>
                </w14:textFill>
              </w:rPr>
            </w:pPr>
            <w:r>
              <w:rPr>
                <w:color w:val="000000" w:themeColor="text1"/>
                <w14:textFill>
                  <w14:solidFill>
                    <w14:schemeClr w14:val="tx1"/>
                  </w14:solidFill>
                </w14:textFill>
              </w:rPr>
              <w:t>S1</w:t>
            </w:r>
          </w:p>
        </w:tc>
        <w:tc>
          <w:tcPr>
            <w:tcW w:w="7294" w:type="dxa"/>
            <w:shd w:val="clear" w:color="auto" w:fill="D8D8D8" w:themeFill="background1" w:themeFillShade="D9"/>
            <w:tcMar>
              <w:left w:w="0" w:type="dxa"/>
              <w:right w:w="0" w:type="dxa"/>
            </w:tcMar>
            <w:vAlign w:val="center"/>
          </w:tcPr>
          <w:p w14:paraId="38CB3D9B">
            <w:pPr>
              <w:pStyle w:val="70"/>
              <w:rPr>
                <w:color w:val="000000" w:themeColor="text1"/>
                <w14:textFill>
                  <w14:solidFill>
                    <w14:schemeClr w14:val="tx1"/>
                  </w14:solidFill>
                </w14:textFill>
              </w:rPr>
            </w:pPr>
            <w:r>
              <w:rPr>
                <w:color w:val="000000" w:themeColor="text1"/>
                <w14:textFill>
                  <w14:solidFill>
                    <w14:schemeClr w14:val="tx1"/>
                  </w14:solidFill>
                </w14:textFill>
              </w:rPr>
              <w:t>发生事故时，危险物质泄漏到内陆水体的排放点下游(顺水流向)10km范围内、近岸海域一个潮周期水质点可能达到的最大水平距离的两倍范围内，有如下一类或多类环境风险受体：集中式地表水饮用水水源保护区(包括一级保护区、二级保护区及准保护区)；农村及分散式饮用水水源保护区；自然保护区；重要湿地；珍稀濒危野生动植物天然集中分布区；重要水生生物的自然产卵场及索饵场、越冬场和洄游通道；世界文化和自然遗产地；红树林、珊瑚礁等滨海湿地生态系统；珍稀、</w:t>
            </w:r>
            <w:r>
              <w:rPr>
                <w:rFonts w:hint="eastAsia"/>
                <w:color w:val="000000" w:themeColor="text1"/>
                <w14:textFill>
                  <w14:solidFill>
                    <w14:schemeClr w14:val="tx1"/>
                  </w14:solidFill>
                </w14:textFill>
              </w:rPr>
              <w:t>濒危</w:t>
            </w:r>
            <w:r>
              <w:rPr>
                <w:color w:val="000000" w:themeColor="text1"/>
                <w14:textFill>
                  <w14:solidFill>
                    <w14:schemeClr w14:val="tx1"/>
                  </w14:solidFill>
                </w14:textFill>
              </w:rPr>
              <w:t>海洋生物的天然集中分布区；海洋特别保护区；海上自然保护区；盐场保护区；海水浴场：海洋自然历史遗迹；风景名胜区；或其他特殊重要保护区域</w:t>
            </w:r>
          </w:p>
        </w:tc>
      </w:tr>
      <w:tr w14:paraId="148DB34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982" w:type="dxa"/>
            <w:tcMar>
              <w:left w:w="0" w:type="dxa"/>
              <w:right w:w="0" w:type="dxa"/>
            </w:tcMar>
            <w:vAlign w:val="center"/>
          </w:tcPr>
          <w:p w14:paraId="7712F918">
            <w:pPr>
              <w:pStyle w:val="70"/>
              <w:rPr>
                <w:color w:val="000000" w:themeColor="text1"/>
                <w14:textFill>
                  <w14:solidFill>
                    <w14:schemeClr w14:val="tx1"/>
                  </w14:solidFill>
                </w14:textFill>
              </w:rPr>
            </w:pPr>
            <w:r>
              <w:rPr>
                <w:color w:val="000000" w:themeColor="text1"/>
                <w14:textFill>
                  <w14:solidFill>
                    <w14:schemeClr w14:val="tx1"/>
                  </w14:solidFill>
                </w14:textFill>
              </w:rPr>
              <w:t>S2</w:t>
            </w:r>
          </w:p>
        </w:tc>
        <w:tc>
          <w:tcPr>
            <w:tcW w:w="7294" w:type="dxa"/>
            <w:tcMar>
              <w:left w:w="0" w:type="dxa"/>
              <w:right w:w="0" w:type="dxa"/>
            </w:tcMar>
            <w:vAlign w:val="center"/>
          </w:tcPr>
          <w:p w14:paraId="74A29BC9">
            <w:pPr>
              <w:pStyle w:val="70"/>
              <w:rPr>
                <w:color w:val="000000" w:themeColor="text1"/>
                <w14:textFill>
                  <w14:solidFill>
                    <w14:schemeClr w14:val="tx1"/>
                  </w14:solidFill>
                </w14:textFill>
              </w:rPr>
            </w:pPr>
            <w:r>
              <w:rPr>
                <w:color w:val="000000" w:themeColor="text1"/>
                <w14:textFill>
                  <w14:solidFill>
                    <w14:schemeClr w14:val="tx1"/>
                  </w14:solidFill>
                </w14:textFill>
              </w:rPr>
              <w:t>发生事故时，危险物质泄漏到内陆水体的排放点下游(顺水流向)10km范围内、近岸海域一个潮周期水质点可能达到的最大水平距离的两倍范围内,有如下一类或多类环境风险受体的：水产养殖区；天然渔场；森林公园；地质公园；海滨风景游览区；具有重要经济价值的海洋生物生存</w:t>
            </w:r>
            <w:r>
              <w:rPr>
                <w:rFonts w:hint="eastAsia"/>
                <w:color w:val="000000" w:themeColor="text1"/>
                <w:lang w:eastAsia="zh-CN"/>
                <w14:textFill>
                  <w14:solidFill>
                    <w14:schemeClr w14:val="tx1"/>
                  </w14:solidFill>
                </w14:textFill>
              </w:rPr>
              <w:t>区域</w:t>
            </w:r>
          </w:p>
        </w:tc>
      </w:tr>
      <w:tr w14:paraId="6388603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982" w:type="dxa"/>
            <w:tcMar>
              <w:left w:w="0" w:type="dxa"/>
              <w:right w:w="0" w:type="dxa"/>
            </w:tcMar>
            <w:vAlign w:val="center"/>
          </w:tcPr>
          <w:p w14:paraId="23A83B27">
            <w:pPr>
              <w:pStyle w:val="70"/>
              <w:rPr>
                <w:color w:val="000000" w:themeColor="text1"/>
                <w14:textFill>
                  <w14:solidFill>
                    <w14:schemeClr w14:val="tx1"/>
                  </w14:solidFill>
                </w14:textFill>
              </w:rPr>
            </w:pPr>
            <w:r>
              <w:rPr>
                <w:color w:val="000000" w:themeColor="text1"/>
                <w14:textFill>
                  <w14:solidFill>
                    <w14:schemeClr w14:val="tx1"/>
                  </w14:solidFill>
                </w14:textFill>
              </w:rPr>
              <w:t>S3</w:t>
            </w:r>
          </w:p>
        </w:tc>
        <w:tc>
          <w:tcPr>
            <w:tcW w:w="7294" w:type="dxa"/>
            <w:tcMar>
              <w:left w:w="0" w:type="dxa"/>
              <w:right w:w="0" w:type="dxa"/>
            </w:tcMar>
            <w:vAlign w:val="center"/>
          </w:tcPr>
          <w:p w14:paraId="390E19C4">
            <w:pPr>
              <w:pStyle w:val="70"/>
              <w:rPr>
                <w:color w:val="000000" w:themeColor="text1"/>
                <w14:textFill>
                  <w14:solidFill>
                    <w14:schemeClr w14:val="tx1"/>
                  </w14:solidFill>
                </w14:textFill>
              </w:rPr>
            </w:pPr>
            <w:r>
              <w:rPr>
                <w:color w:val="000000" w:themeColor="text1"/>
                <w14:textFill>
                  <w14:solidFill>
                    <w14:schemeClr w14:val="tx1"/>
                  </w14:solidFill>
                </w14:textFill>
              </w:rPr>
              <w:t>排放点下游(顺水流向)10km范围、近岸海域一个潮周期水质点可能达到的最大水平距离的两倍范围内无上述类型1和类型2包括的敏感保护目标</w:t>
            </w:r>
          </w:p>
        </w:tc>
      </w:tr>
    </w:tbl>
    <w:p w14:paraId="0A2D1BD3">
      <w:pPr>
        <w:ind w:firstLine="480"/>
        <w:rPr>
          <w:color w:val="000000" w:themeColor="text1"/>
          <w14:textFill>
            <w14:solidFill>
              <w14:schemeClr w14:val="tx1"/>
            </w14:solidFill>
          </w14:textFill>
        </w:rPr>
      </w:pPr>
    </w:p>
    <w:p w14:paraId="4C8266EB">
      <w:pPr>
        <w:ind w:firstLine="480"/>
        <w:rPr>
          <w:color w:val="000000" w:themeColor="text1"/>
          <w14:textFill>
            <w14:solidFill>
              <w14:schemeClr w14:val="tx1"/>
            </w14:solidFill>
          </w14:textFill>
        </w:rPr>
      </w:pPr>
      <w:r>
        <w:rPr>
          <w:color w:val="000000" w:themeColor="text1"/>
          <w14:textFill>
            <w14:solidFill>
              <w14:schemeClr w14:val="tx1"/>
            </w14:solidFill>
          </w14:textFill>
        </w:rPr>
        <w:t>（3）地下水环境</w:t>
      </w:r>
    </w:p>
    <w:p w14:paraId="7515BC90">
      <w:pPr>
        <w:ind w:firstLine="480"/>
        <w:rPr>
          <w:color w:val="000000" w:themeColor="text1"/>
          <w14:textFill>
            <w14:solidFill>
              <w14:schemeClr w14:val="tx1"/>
            </w14:solidFill>
          </w14:textFill>
        </w:rPr>
      </w:pPr>
      <w:r>
        <w:rPr>
          <w:color w:val="000000" w:themeColor="text1"/>
          <w14:textFill>
            <w14:solidFill>
              <w14:schemeClr w14:val="tx1"/>
            </w14:solidFill>
          </w14:textFill>
        </w:rPr>
        <w:t>本项目不涉及在陆域公共管廊上新增管道施工。项目只涉及海域不涉及陆域，且本项目位于区域地下水下游，本次不评价地下水环境风险。</w:t>
      </w:r>
    </w:p>
    <w:p w14:paraId="5DD7AC54">
      <w:pPr>
        <w:pStyle w:val="4"/>
        <w:rPr>
          <w:color w:val="000000" w:themeColor="text1"/>
          <w14:textFill>
            <w14:solidFill>
              <w14:schemeClr w14:val="tx1"/>
            </w14:solidFill>
          </w14:textFill>
        </w:rPr>
      </w:pPr>
      <w:r>
        <w:rPr>
          <w:color w:val="000000" w:themeColor="text1"/>
          <w14:textFill>
            <w14:solidFill>
              <w14:schemeClr w14:val="tx1"/>
            </w14:solidFill>
          </w14:textFill>
        </w:rPr>
        <w:t>环境风险潜势判断</w:t>
      </w:r>
    </w:p>
    <w:p w14:paraId="2B1B7FA0">
      <w:pPr>
        <w:ind w:firstLine="480"/>
        <w:rPr>
          <w:color w:val="000000" w:themeColor="text1"/>
          <w14:textFill>
            <w14:solidFill>
              <w14:schemeClr w14:val="tx1"/>
            </w14:solidFill>
          </w14:textFill>
        </w:rPr>
      </w:pPr>
      <w:r>
        <w:rPr>
          <w:color w:val="000000" w:themeColor="text1"/>
          <w14:textFill>
            <w14:solidFill>
              <w14:schemeClr w14:val="tx1"/>
            </w14:solidFill>
          </w14:textFill>
        </w:rPr>
        <w:t>根据《建设项目环境风险评价技术导则》（HJ/169-2018）中建设项目环境风险潜势划分如表5.2-9所示。</w:t>
      </w:r>
    </w:p>
    <w:p w14:paraId="480BA6D9">
      <w:pPr>
        <w:pStyle w:val="7"/>
        <w:rPr>
          <w:color w:val="000000" w:themeColor="text1"/>
          <w14:textFill>
            <w14:solidFill>
              <w14:schemeClr w14:val="tx1"/>
            </w14:solidFill>
          </w14:textFill>
        </w:rPr>
      </w:pPr>
      <w:r>
        <w:rPr>
          <w:color w:val="000000" w:themeColor="text1"/>
          <w14:textFill>
            <w14:solidFill>
              <w14:schemeClr w14:val="tx1"/>
            </w14:solidFill>
          </w14:textFill>
        </w:rPr>
        <w:t>建设项目环境风险潜势划分</w:t>
      </w:r>
    </w:p>
    <w:tbl>
      <w:tblPr>
        <w:tblStyle w:val="43"/>
        <w:tblW w:w="8276"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2254"/>
        <w:gridCol w:w="1556"/>
        <w:gridCol w:w="1556"/>
        <w:gridCol w:w="1556"/>
        <w:gridCol w:w="1354"/>
      </w:tblGrid>
      <w:tr w14:paraId="176BACF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2254" w:type="dxa"/>
            <w:vMerge w:val="restart"/>
            <w:tcMar>
              <w:left w:w="0" w:type="dxa"/>
              <w:right w:w="0" w:type="dxa"/>
            </w:tcMar>
            <w:vAlign w:val="center"/>
          </w:tcPr>
          <w:p w14:paraId="62682066">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环境敏感程度（E）</w:t>
            </w:r>
          </w:p>
        </w:tc>
        <w:tc>
          <w:tcPr>
            <w:tcW w:w="6022" w:type="dxa"/>
            <w:gridSpan w:val="4"/>
            <w:tcMar>
              <w:left w:w="0" w:type="dxa"/>
              <w:right w:w="0" w:type="dxa"/>
            </w:tcMar>
            <w:vAlign w:val="center"/>
          </w:tcPr>
          <w:p w14:paraId="53C94241">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危险物质及工艺系统危险性（P）</w:t>
            </w:r>
          </w:p>
        </w:tc>
      </w:tr>
      <w:tr w14:paraId="751349F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2254" w:type="dxa"/>
            <w:vMerge w:val="continue"/>
            <w:tcMar>
              <w:left w:w="0" w:type="dxa"/>
              <w:right w:w="0" w:type="dxa"/>
            </w:tcMar>
            <w:vAlign w:val="center"/>
          </w:tcPr>
          <w:p w14:paraId="058687A1">
            <w:pPr>
              <w:pStyle w:val="70"/>
              <w:rPr>
                <w:b/>
                <w:bCs/>
                <w:color w:val="000000" w:themeColor="text1"/>
                <w14:textFill>
                  <w14:solidFill>
                    <w14:schemeClr w14:val="tx1"/>
                  </w14:solidFill>
                </w14:textFill>
              </w:rPr>
            </w:pPr>
          </w:p>
        </w:tc>
        <w:tc>
          <w:tcPr>
            <w:tcW w:w="1556" w:type="dxa"/>
            <w:tcMar>
              <w:left w:w="0" w:type="dxa"/>
              <w:right w:w="0" w:type="dxa"/>
            </w:tcMar>
            <w:vAlign w:val="center"/>
          </w:tcPr>
          <w:p w14:paraId="2DB015A0">
            <w:pPr>
              <w:pStyle w:val="70"/>
              <w:rPr>
                <w:b/>
                <w:bCs/>
                <w:color w:val="000000" w:themeColor="text1"/>
                <w:spacing w:val="-10"/>
                <w14:textFill>
                  <w14:solidFill>
                    <w14:schemeClr w14:val="tx1"/>
                  </w14:solidFill>
                </w14:textFill>
              </w:rPr>
            </w:pPr>
            <w:r>
              <w:rPr>
                <w:b/>
                <w:bCs/>
                <w:color w:val="000000" w:themeColor="text1"/>
                <w:spacing w:val="-10"/>
                <w14:textFill>
                  <w14:solidFill>
                    <w14:schemeClr w14:val="tx1"/>
                  </w14:solidFill>
                </w14:textFill>
              </w:rPr>
              <w:t>极高危害（P1）</w:t>
            </w:r>
          </w:p>
        </w:tc>
        <w:tc>
          <w:tcPr>
            <w:tcW w:w="1556" w:type="dxa"/>
            <w:tcMar>
              <w:left w:w="0" w:type="dxa"/>
              <w:right w:w="0" w:type="dxa"/>
            </w:tcMar>
            <w:vAlign w:val="center"/>
          </w:tcPr>
          <w:p w14:paraId="5E4990B3">
            <w:pPr>
              <w:pStyle w:val="70"/>
              <w:rPr>
                <w:b/>
                <w:bCs/>
                <w:color w:val="000000" w:themeColor="text1"/>
                <w:spacing w:val="-10"/>
                <w14:textFill>
                  <w14:solidFill>
                    <w14:schemeClr w14:val="tx1"/>
                  </w14:solidFill>
                </w14:textFill>
              </w:rPr>
            </w:pPr>
            <w:r>
              <w:rPr>
                <w:b/>
                <w:bCs/>
                <w:color w:val="000000" w:themeColor="text1"/>
                <w:spacing w:val="-10"/>
                <w14:textFill>
                  <w14:solidFill>
                    <w14:schemeClr w14:val="tx1"/>
                  </w14:solidFill>
                </w14:textFill>
              </w:rPr>
              <w:t>高度危害（P2）</w:t>
            </w:r>
          </w:p>
        </w:tc>
        <w:tc>
          <w:tcPr>
            <w:tcW w:w="1556" w:type="dxa"/>
            <w:tcMar>
              <w:left w:w="0" w:type="dxa"/>
              <w:right w:w="0" w:type="dxa"/>
            </w:tcMar>
            <w:vAlign w:val="center"/>
          </w:tcPr>
          <w:p w14:paraId="0A8CFD5F">
            <w:pPr>
              <w:pStyle w:val="70"/>
              <w:rPr>
                <w:b/>
                <w:bCs/>
                <w:color w:val="000000" w:themeColor="text1"/>
                <w:spacing w:val="-10"/>
                <w14:textFill>
                  <w14:solidFill>
                    <w14:schemeClr w14:val="tx1"/>
                  </w14:solidFill>
                </w14:textFill>
              </w:rPr>
            </w:pPr>
            <w:r>
              <w:rPr>
                <w:b/>
                <w:bCs/>
                <w:color w:val="000000" w:themeColor="text1"/>
                <w:spacing w:val="-10"/>
                <w14:textFill>
                  <w14:solidFill>
                    <w14:schemeClr w14:val="tx1"/>
                  </w14:solidFill>
                </w14:textFill>
              </w:rPr>
              <w:t>中度危害（P3）</w:t>
            </w:r>
          </w:p>
        </w:tc>
        <w:tc>
          <w:tcPr>
            <w:tcW w:w="1354" w:type="dxa"/>
            <w:tcMar>
              <w:left w:w="0" w:type="dxa"/>
              <w:right w:w="0" w:type="dxa"/>
            </w:tcMar>
            <w:vAlign w:val="center"/>
          </w:tcPr>
          <w:p w14:paraId="79381519">
            <w:pPr>
              <w:pStyle w:val="70"/>
              <w:rPr>
                <w:b/>
                <w:bCs/>
                <w:color w:val="000000" w:themeColor="text1"/>
                <w:spacing w:val="-10"/>
                <w14:textFill>
                  <w14:solidFill>
                    <w14:schemeClr w14:val="tx1"/>
                  </w14:solidFill>
                </w14:textFill>
              </w:rPr>
            </w:pPr>
            <w:r>
              <w:rPr>
                <w:b/>
                <w:bCs/>
                <w:color w:val="000000" w:themeColor="text1"/>
                <w:spacing w:val="-10"/>
                <w14:textFill>
                  <w14:solidFill>
                    <w14:schemeClr w14:val="tx1"/>
                  </w14:solidFill>
                </w14:textFill>
              </w:rPr>
              <w:t>轻度危害（P4）</w:t>
            </w:r>
          </w:p>
        </w:tc>
      </w:tr>
      <w:tr w14:paraId="7DE9334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2254" w:type="dxa"/>
            <w:tcMar>
              <w:left w:w="0" w:type="dxa"/>
              <w:right w:w="0" w:type="dxa"/>
            </w:tcMar>
            <w:vAlign w:val="center"/>
          </w:tcPr>
          <w:p w14:paraId="79216F03">
            <w:pPr>
              <w:pStyle w:val="70"/>
              <w:rPr>
                <w:color w:val="000000" w:themeColor="text1"/>
                <w14:textFill>
                  <w14:solidFill>
                    <w14:schemeClr w14:val="tx1"/>
                  </w14:solidFill>
                </w14:textFill>
              </w:rPr>
            </w:pPr>
            <w:r>
              <w:rPr>
                <w:color w:val="000000" w:themeColor="text1"/>
                <w14:textFill>
                  <w14:solidFill>
                    <w14:schemeClr w14:val="tx1"/>
                  </w14:solidFill>
                </w14:textFill>
              </w:rPr>
              <w:t>环境高度敏感区（E1）</w:t>
            </w:r>
          </w:p>
        </w:tc>
        <w:tc>
          <w:tcPr>
            <w:tcW w:w="1556" w:type="dxa"/>
            <w:tcMar>
              <w:left w:w="0" w:type="dxa"/>
              <w:right w:w="0" w:type="dxa"/>
            </w:tcMar>
            <w:vAlign w:val="center"/>
          </w:tcPr>
          <w:p w14:paraId="5D627C65">
            <w:pPr>
              <w:pStyle w:val="70"/>
              <w:rPr>
                <w:color w:val="000000" w:themeColor="text1"/>
                <w14:textFill>
                  <w14:solidFill>
                    <w14:schemeClr w14:val="tx1"/>
                  </w14:solidFill>
                </w14:textFill>
              </w:rPr>
            </w:pPr>
            <w:r>
              <w:rPr>
                <w:color w:val="000000" w:themeColor="text1"/>
                <w14:textFill>
                  <w14:solidFill>
                    <w14:schemeClr w14:val="tx1"/>
                  </w14:solidFill>
                </w14:textFill>
              </w:rPr>
              <w:t>Ⅳ</w:t>
            </w:r>
            <w:r>
              <w:rPr>
                <w:color w:val="000000" w:themeColor="text1"/>
                <w:vertAlign w:val="superscript"/>
                <w14:textFill>
                  <w14:solidFill>
                    <w14:schemeClr w14:val="tx1"/>
                  </w14:solidFill>
                </w14:textFill>
              </w:rPr>
              <w:t>+</w:t>
            </w:r>
          </w:p>
        </w:tc>
        <w:tc>
          <w:tcPr>
            <w:tcW w:w="1556" w:type="dxa"/>
            <w:tcMar>
              <w:left w:w="0" w:type="dxa"/>
              <w:right w:w="0" w:type="dxa"/>
            </w:tcMar>
            <w:vAlign w:val="center"/>
          </w:tcPr>
          <w:p w14:paraId="312582F2">
            <w:pPr>
              <w:pStyle w:val="70"/>
              <w:rPr>
                <w:color w:val="000000" w:themeColor="text1"/>
                <w14:textFill>
                  <w14:solidFill>
                    <w14:schemeClr w14:val="tx1"/>
                  </w14:solidFill>
                </w14:textFill>
              </w:rPr>
            </w:pPr>
            <w:r>
              <w:rPr>
                <w:color w:val="000000" w:themeColor="text1"/>
                <w14:textFill>
                  <w14:solidFill>
                    <w14:schemeClr w14:val="tx1"/>
                  </w14:solidFill>
                </w14:textFill>
              </w:rPr>
              <w:t>Ⅳ</w:t>
            </w:r>
          </w:p>
        </w:tc>
        <w:tc>
          <w:tcPr>
            <w:tcW w:w="1556" w:type="dxa"/>
            <w:tcMar>
              <w:left w:w="0" w:type="dxa"/>
              <w:right w:w="0" w:type="dxa"/>
            </w:tcMar>
            <w:vAlign w:val="center"/>
          </w:tcPr>
          <w:p w14:paraId="79B101F7">
            <w:pPr>
              <w:pStyle w:val="70"/>
              <w:rPr>
                <w:color w:val="000000" w:themeColor="text1"/>
                <w14:textFill>
                  <w14:solidFill>
                    <w14:schemeClr w14:val="tx1"/>
                  </w14:solidFill>
                </w14:textFill>
              </w:rPr>
            </w:pPr>
            <w:r>
              <w:rPr>
                <w:color w:val="000000" w:themeColor="text1"/>
                <w14:textFill>
                  <w14:solidFill>
                    <w14:schemeClr w14:val="tx1"/>
                  </w14:solidFill>
                </w14:textFill>
              </w:rPr>
              <w:t>Ⅲ</w:t>
            </w:r>
          </w:p>
        </w:tc>
        <w:tc>
          <w:tcPr>
            <w:tcW w:w="1354" w:type="dxa"/>
            <w:tcMar>
              <w:left w:w="0" w:type="dxa"/>
              <w:right w:w="0" w:type="dxa"/>
            </w:tcMar>
            <w:vAlign w:val="center"/>
          </w:tcPr>
          <w:p w14:paraId="72D6C5F5">
            <w:pPr>
              <w:pStyle w:val="70"/>
              <w:rPr>
                <w:color w:val="000000" w:themeColor="text1"/>
                <w14:textFill>
                  <w14:solidFill>
                    <w14:schemeClr w14:val="tx1"/>
                  </w14:solidFill>
                </w14:textFill>
              </w:rPr>
            </w:pPr>
            <w:r>
              <w:rPr>
                <w:color w:val="000000" w:themeColor="text1"/>
                <w14:textFill>
                  <w14:solidFill>
                    <w14:schemeClr w14:val="tx1"/>
                  </w14:solidFill>
                </w14:textFill>
              </w:rPr>
              <w:t>Ⅲ</w:t>
            </w:r>
          </w:p>
        </w:tc>
      </w:tr>
      <w:tr w14:paraId="1F0BD91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2254" w:type="dxa"/>
            <w:tcMar>
              <w:left w:w="0" w:type="dxa"/>
              <w:right w:w="0" w:type="dxa"/>
            </w:tcMar>
            <w:vAlign w:val="center"/>
          </w:tcPr>
          <w:p w14:paraId="17441EB9">
            <w:pPr>
              <w:pStyle w:val="70"/>
              <w:rPr>
                <w:color w:val="000000" w:themeColor="text1"/>
                <w14:textFill>
                  <w14:solidFill>
                    <w14:schemeClr w14:val="tx1"/>
                  </w14:solidFill>
                </w14:textFill>
              </w:rPr>
            </w:pPr>
            <w:r>
              <w:rPr>
                <w:color w:val="000000" w:themeColor="text1"/>
                <w14:textFill>
                  <w14:solidFill>
                    <w14:schemeClr w14:val="tx1"/>
                  </w14:solidFill>
                </w14:textFill>
              </w:rPr>
              <w:t>环境中度敏感区（E2）</w:t>
            </w:r>
          </w:p>
        </w:tc>
        <w:tc>
          <w:tcPr>
            <w:tcW w:w="1556" w:type="dxa"/>
            <w:tcMar>
              <w:left w:w="0" w:type="dxa"/>
              <w:right w:w="0" w:type="dxa"/>
            </w:tcMar>
            <w:vAlign w:val="center"/>
          </w:tcPr>
          <w:p w14:paraId="730AAA38">
            <w:pPr>
              <w:pStyle w:val="70"/>
              <w:rPr>
                <w:color w:val="000000" w:themeColor="text1"/>
                <w14:textFill>
                  <w14:solidFill>
                    <w14:schemeClr w14:val="tx1"/>
                  </w14:solidFill>
                </w14:textFill>
              </w:rPr>
            </w:pPr>
            <w:r>
              <w:rPr>
                <w:color w:val="000000" w:themeColor="text1"/>
                <w14:textFill>
                  <w14:solidFill>
                    <w14:schemeClr w14:val="tx1"/>
                  </w14:solidFill>
                </w14:textFill>
              </w:rPr>
              <w:t>Ⅳ</w:t>
            </w:r>
          </w:p>
        </w:tc>
        <w:tc>
          <w:tcPr>
            <w:tcW w:w="1556" w:type="dxa"/>
            <w:tcMar>
              <w:left w:w="0" w:type="dxa"/>
              <w:right w:w="0" w:type="dxa"/>
            </w:tcMar>
            <w:vAlign w:val="center"/>
          </w:tcPr>
          <w:p w14:paraId="4F76CE6D">
            <w:pPr>
              <w:pStyle w:val="70"/>
              <w:rPr>
                <w:color w:val="000000" w:themeColor="text1"/>
                <w14:textFill>
                  <w14:solidFill>
                    <w14:schemeClr w14:val="tx1"/>
                  </w14:solidFill>
                </w14:textFill>
              </w:rPr>
            </w:pPr>
            <w:r>
              <w:rPr>
                <w:color w:val="000000" w:themeColor="text1"/>
                <w14:textFill>
                  <w14:solidFill>
                    <w14:schemeClr w14:val="tx1"/>
                  </w14:solidFill>
                </w14:textFill>
              </w:rPr>
              <w:t>Ⅲ</w:t>
            </w:r>
          </w:p>
        </w:tc>
        <w:tc>
          <w:tcPr>
            <w:tcW w:w="1556" w:type="dxa"/>
            <w:tcMar>
              <w:left w:w="0" w:type="dxa"/>
              <w:right w:w="0" w:type="dxa"/>
            </w:tcMar>
            <w:vAlign w:val="center"/>
          </w:tcPr>
          <w:p w14:paraId="6A0857D7">
            <w:pPr>
              <w:pStyle w:val="70"/>
              <w:rPr>
                <w:color w:val="000000" w:themeColor="text1"/>
                <w14:textFill>
                  <w14:solidFill>
                    <w14:schemeClr w14:val="tx1"/>
                  </w14:solidFill>
                </w14:textFill>
              </w:rPr>
            </w:pPr>
            <w:r>
              <w:rPr>
                <w:color w:val="000000" w:themeColor="text1"/>
                <w14:textFill>
                  <w14:solidFill>
                    <w14:schemeClr w14:val="tx1"/>
                  </w14:solidFill>
                </w14:textFill>
              </w:rPr>
              <w:t>Ⅲ</w:t>
            </w:r>
          </w:p>
        </w:tc>
        <w:tc>
          <w:tcPr>
            <w:tcW w:w="1354" w:type="dxa"/>
            <w:tcMar>
              <w:left w:w="0" w:type="dxa"/>
              <w:right w:w="0" w:type="dxa"/>
            </w:tcMar>
            <w:vAlign w:val="center"/>
          </w:tcPr>
          <w:p w14:paraId="55F739EB">
            <w:pPr>
              <w:pStyle w:val="70"/>
              <w:rPr>
                <w:color w:val="000000" w:themeColor="text1"/>
                <w14:textFill>
                  <w14:solidFill>
                    <w14:schemeClr w14:val="tx1"/>
                  </w14:solidFill>
                </w14:textFill>
              </w:rPr>
            </w:pPr>
            <w:r>
              <w:rPr>
                <w:color w:val="000000" w:themeColor="text1"/>
                <w14:textFill>
                  <w14:solidFill>
                    <w14:schemeClr w14:val="tx1"/>
                  </w14:solidFill>
                </w14:textFill>
              </w:rPr>
              <w:t>Ⅱ</w:t>
            </w:r>
          </w:p>
        </w:tc>
      </w:tr>
      <w:tr w14:paraId="272FEB0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2254" w:type="dxa"/>
            <w:tcMar>
              <w:left w:w="0" w:type="dxa"/>
              <w:right w:w="0" w:type="dxa"/>
            </w:tcMar>
            <w:vAlign w:val="center"/>
          </w:tcPr>
          <w:p w14:paraId="3A83ED3B">
            <w:pPr>
              <w:pStyle w:val="70"/>
              <w:rPr>
                <w:color w:val="000000" w:themeColor="text1"/>
                <w14:textFill>
                  <w14:solidFill>
                    <w14:schemeClr w14:val="tx1"/>
                  </w14:solidFill>
                </w14:textFill>
              </w:rPr>
            </w:pPr>
            <w:r>
              <w:rPr>
                <w:color w:val="000000" w:themeColor="text1"/>
                <w14:textFill>
                  <w14:solidFill>
                    <w14:schemeClr w14:val="tx1"/>
                  </w14:solidFill>
                </w14:textFill>
              </w:rPr>
              <w:t>环境低度敏感区（E3）</w:t>
            </w:r>
          </w:p>
        </w:tc>
        <w:tc>
          <w:tcPr>
            <w:tcW w:w="1556" w:type="dxa"/>
            <w:tcMar>
              <w:left w:w="0" w:type="dxa"/>
              <w:right w:w="0" w:type="dxa"/>
            </w:tcMar>
            <w:vAlign w:val="center"/>
          </w:tcPr>
          <w:p w14:paraId="6F886B64">
            <w:pPr>
              <w:pStyle w:val="70"/>
              <w:rPr>
                <w:color w:val="000000" w:themeColor="text1"/>
                <w14:textFill>
                  <w14:solidFill>
                    <w14:schemeClr w14:val="tx1"/>
                  </w14:solidFill>
                </w14:textFill>
              </w:rPr>
            </w:pPr>
            <w:r>
              <w:rPr>
                <w:color w:val="000000" w:themeColor="text1"/>
                <w14:textFill>
                  <w14:solidFill>
                    <w14:schemeClr w14:val="tx1"/>
                  </w14:solidFill>
                </w14:textFill>
              </w:rPr>
              <w:t>Ⅲ</w:t>
            </w:r>
          </w:p>
        </w:tc>
        <w:tc>
          <w:tcPr>
            <w:tcW w:w="1556" w:type="dxa"/>
            <w:tcMar>
              <w:left w:w="0" w:type="dxa"/>
              <w:right w:w="0" w:type="dxa"/>
            </w:tcMar>
            <w:vAlign w:val="center"/>
          </w:tcPr>
          <w:p w14:paraId="4A5D4C34">
            <w:pPr>
              <w:pStyle w:val="70"/>
              <w:rPr>
                <w:color w:val="000000" w:themeColor="text1"/>
                <w14:textFill>
                  <w14:solidFill>
                    <w14:schemeClr w14:val="tx1"/>
                  </w14:solidFill>
                </w14:textFill>
              </w:rPr>
            </w:pPr>
            <w:r>
              <w:rPr>
                <w:color w:val="000000" w:themeColor="text1"/>
                <w14:textFill>
                  <w14:solidFill>
                    <w14:schemeClr w14:val="tx1"/>
                  </w14:solidFill>
                </w14:textFill>
              </w:rPr>
              <w:t>Ⅲ</w:t>
            </w:r>
          </w:p>
        </w:tc>
        <w:tc>
          <w:tcPr>
            <w:tcW w:w="1556" w:type="dxa"/>
            <w:tcMar>
              <w:left w:w="0" w:type="dxa"/>
              <w:right w:w="0" w:type="dxa"/>
            </w:tcMar>
            <w:vAlign w:val="center"/>
          </w:tcPr>
          <w:p w14:paraId="471BADD2">
            <w:pPr>
              <w:pStyle w:val="70"/>
              <w:rPr>
                <w:color w:val="000000" w:themeColor="text1"/>
                <w14:textFill>
                  <w14:solidFill>
                    <w14:schemeClr w14:val="tx1"/>
                  </w14:solidFill>
                </w14:textFill>
              </w:rPr>
            </w:pPr>
            <w:r>
              <w:rPr>
                <w:color w:val="000000" w:themeColor="text1"/>
                <w14:textFill>
                  <w14:solidFill>
                    <w14:schemeClr w14:val="tx1"/>
                  </w14:solidFill>
                </w14:textFill>
              </w:rPr>
              <w:t>Ⅱ</w:t>
            </w:r>
          </w:p>
        </w:tc>
        <w:tc>
          <w:tcPr>
            <w:tcW w:w="1354" w:type="dxa"/>
            <w:tcMar>
              <w:left w:w="0" w:type="dxa"/>
              <w:right w:w="0" w:type="dxa"/>
            </w:tcMar>
            <w:vAlign w:val="center"/>
          </w:tcPr>
          <w:p w14:paraId="151A8D5E">
            <w:pPr>
              <w:pStyle w:val="70"/>
              <w:rPr>
                <w:color w:val="000000" w:themeColor="text1"/>
                <w14:textFill>
                  <w14:solidFill>
                    <w14:schemeClr w14:val="tx1"/>
                  </w14:solidFill>
                </w14:textFill>
              </w:rPr>
            </w:pPr>
            <w:r>
              <w:rPr>
                <w:color w:val="000000" w:themeColor="text1"/>
                <w14:textFill>
                  <w14:solidFill>
                    <w14:schemeClr w14:val="tx1"/>
                  </w14:solidFill>
                </w14:textFill>
              </w:rPr>
              <w:t>Ⅰ</w:t>
            </w:r>
          </w:p>
        </w:tc>
      </w:tr>
      <w:tr w14:paraId="4F86DFC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8276" w:type="dxa"/>
            <w:gridSpan w:val="5"/>
            <w:tcMar>
              <w:left w:w="0" w:type="dxa"/>
              <w:right w:w="0" w:type="dxa"/>
            </w:tcMar>
            <w:vAlign w:val="center"/>
          </w:tcPr>
          <w:p w14:paraId="0BE27654">
            <w:pPr>
              <w:pStyle w:val="70"/>
              <w:rPr>
                <w:color w:val="000000" w:themeColor="text1"/>
                <w14:textFill>
                  <w14:solidFill>
                    <w14:schemeClr w14:val="tx1"/>
                  </w14:solidFill>
                </w14:textFill>
              </w:rPr>
            </w:pPr>
            <w:r>
              <w:rPr>
                <w:color w:val="000000" w:themeColor="text1"/>
                <w14:textFill>
                  <w14:solidFill>
                    <w14:schemeClr w14:val="tx1"/>
                  </w14:solidFill>
                </w14:textFill>
              </w:rPr>
              <w:t>注：Ⅳ</w:t>
            </w:r>
            <w:r>
              <w:rPr>
                <w:color w:val="000000" w:themeColor="text1"/>
                <w:vertAlign w:val="superscript"/>
                <w14:textFill>
                  <w14:solidFill>
                    <w14:schemeClr w14:val="tx1"/>
                  </w14:solidFill>
                </w14:textFill>
              </w:rPr>
              <w:t>+</w:t>
            </w:r>
            <w:r>
              <w:rPr>
                <w:color w:val="000000" w:themeColor="text1"/>
                <w14:textFill>
                  <w14:solidFill>
                    <w14:schemeClr w14:val="tx1"/>
                  </w14:solidFill>
                </w14:textFill>
              </w:rPr>
              <w:t>为极高环境风险</w:t>
            </w:r>
          </w:p>
        </w:tc>
      </w:tr>
    </w:tbl>
    <w:p w14:paraId="43285AC6">
      <w:pPr>
        <w:ind w:firstLine="480"/>
        <w:rPr>
          <w:color w:val="000000" w:themeColor="text1"/>
          <w14:textFill>
            <w14:solidFill>
              <w14:schemeClr w14:val="tx1"/>
            </w14:solidFill>
          </w14:textFill>
        </w:rPr>
      </w:pPr>
      <w:r>
        <w:rPr>
          <w:color w:val="000000" w:themeColor="text1"/>
          <w14:textFill>
            <w14:solidFill>
              <w14:schemeClr w14:val="tx1"/>
            </w14:solidFill>
          </w14:textFill>
        </w:rPr>
        <w:t>环境风险潜势综合等级选择大气、地表水等各要素等级的相对高值进行判断，按照下表确定本项目环境风险潜势综合等级为III。</w:t>
      </w:r>
    </w:p>
    <w:p w14:paraId="230A9F48">
      <w:pPr>
        <w:pStyle w:val="7"/>
        <w:rPr>
          <w:color w:val="000000" w:themeColor="text1"/>
          <w14:textFill>
            <w14:solidFill>
              <w14:schemeClr w14:val="tx1"/>
            </w14:solidFill>
          </w14:textFill>
        </w:rPr>
      </w:pPr>
      <w:r>
        <w:rPr>
          <w:color w:val="000000" w:themeColor="text1"/>
          <w14:textFill>
            <w14:solidFill>
              <w14:schemeClr w14:val="tx1"/>
            </w14:solidFill>
          </w14:textFill>
        </w:rPr>
        <w:t>项目环境风险潜势判断结果</w:t>
      </w:r>
    </w:p>
    <w:tbl>
      <w:tblPr>
        <w:tblStyle w:val="43"/>
        <w:tblW w:w="4999"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2504"/>
        <w:gridCol w:w="2006"/>
        <w:gridCol w:w="2004"/>
        <w:gridCol w:w="2006"/>
      </w:tblGrid>
      <w:tr w14:paraId="2C1A0ED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55" w:hRule="atLeast"/>
          <w:jc w:val="center"/>
        </w:trPr>
        <w:tc>
          <w:tcPr>
            <w:tcW w:w="1470" w:type="pct"/>
            <w:vAlign w:val="center"/>
          </w:tcPr>
          <w:p w14:paraId="42AFBB72">
            <w:pPr>
              <w:spacing w:line="240" w:lineRule="auto"/>
              <w:ind w:firstLine="422"/>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环境风险因素</w:t>
            </w:r>
          </w:p>
        </w:tc>
        <w:tc>
          <w:tcPr>
            <w:tcW w:w="1177" w:type="pct"/>
            <w:vAlign w:val="center"/>
          </w:tcPr>
          <w:p w14:paraId="4F76931C">
            <w:pPr>
              <w:spacing w:line="240" w:lineRule="auto"/>
              <w:ind w:firstLine="422"/>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环境敏感度（E）</w:t>
            </w:r>
          </w:p>
        </w:tc>
        <w:tc>
          <w:tcPr>
            <w:tcW w:w="1176" w:type="pct"/>
            <w:vAlign w:val="center"/>
          </w:tcPr>
          <w:p w14:paraId="26F575D8">
            <w:pPr>
              <w:spacing w:line="240" w:lineRule="auto"/>
              <w:ind w:firstLine="422"/>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危险物质及工艺系统危险性（P）</w:t>
            </w:r>
          </w:p>
        </w:tc>
        <w:tc>
          <w:tcPr>
            <w:tcW w:w="1178" w:type="pct"/>
            <w:vAlign w:val="center"/>
          </w:tcPr>
          <w:p w14:paraId="26B80D17">
            <w:pPr>
              <w:spacing w:line="240" w:lineRule="auto"/>
              <w:ind w:firstLine="422"/>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风险潜势</w:t>
            </w:r>
          </w:p>
        </w:tc>
      </w:tr>
      <w:tr w14:paraId="686EFBB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jc w:val="center"/>
        </w:trPr>
        <w:tc>
          <w:tcPr>
            <w:tcW w:w="1470" w:type="pct"/>
            <w:vAlign w:val="center"/>
          </w:tcPr>
          <w:p w14:paraId="24B50224">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大气环境</w:t>
            </w:r>
          </w:p>
        </w:tc>
        <w:tc>
          <w:tcPr>
            <w:tcW w:w="1177" w:type="pct"/>
            <w:vAlign w:val="center"/>
          </w:tcPr>
          <w:p w14:paraId="0AB8567F">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E2</w:t>
            </w:r>
          </w:p>
        </w:tc>
        <w:tc>
          <w:tcPr>
            <w:tcW w:w="1176" w:type="pct"/>
            <w:vMerge w:val="restart"/>
            <w:vAlign w:val="center"/>
          </w:tcPr>
          <w:p w14:paraId="70F87B99">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P2</w:t>
            </w:r>
          </w:p>
        </w:tc>
        <w:tc>
          <w:tcPr>
            <w:tcW w:w="1178" w:type="pct"/>
            <w:vAlign w:val="center"/>
          </w:tcPr>
          <w:p w14:paraId="32938765">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Ⅲ级</w:t>
            </w:r>
          </w:p>
        </w:tc>
      </w:tr>
      <w:tr w14:paraId="556FF62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7" w:hRule="atLeast"/>
          <w:jc w:val="center"/>
        </w:trPr>
        <w:tc>
          <w:tcPr>
            <w:tcW w:w="1470" w:type="pct"/>
            <w:vAlign w:val="center"/>
          </w:tcPr>
          <w:p w14:paraId="2184C5FA">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地表水环境</w:t>
            </w:r>
          </w:p>
        </w:tc>
        <w:tc>
          <w:tcPr>
            <w:tcW w:w="1177" w:type="pct"/>
            <w:vAlign w:val="center"/>
          </w:tcPr>
          <w:p w14:paraId="04DC5F53">
            <w:pPr>
              <w:spacing w:line="240" w:lineRule="auto"/>
              <w:ind w:firstLine="42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E2</w:t>
            </w:r>
          </w:p>
        </w:tc>
        <w:tc>
          <w:tcPr>
            <w:tcW w:w="1176" w:type="pct"/>
            <w:vMerge w:val="continue"/>
            <w:vAlign w:val="center"/>
          </w:tcPr>
          <w:p w14:paraId="06EFA6CC">
            <w:pPr>
              <w:spacing w:line="240" w:lineRule="auto"/>
              <w:ind w:firstLine="420"/>
              <w:jc w:val="center"/>
              <w:rPr>
                <w:color w:val="000000" w:themeColor="text1"/>
                <w:sz w:val="21"/>
                <w:szCs w:val="21"/>
                <w14:textFill>
                  <w14:solidFill>
                    <w14:schemeClr w14:val="tx1"/>
                  </w14:solidFill>
                </w14:textFill>
              </w:rPr>
            </w:pPr>
          </w:p>
        </w:tc>
        <w:tc>
          <w:tcPr>
            <w:tcW w:w="1178" w:type="pct"/>
            <w:vAlign w:val="center"/>
          </w:tcPr>
          <w:p w14:paraId="45FA09AC">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Ⅲ级</w:t>
            </w:r>
          </w:p>
        </w:tc>
      </w:tr>
      <w:tr w14:paraId="49DA102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20" w:hRule="atLeast"/>
          <w:jc w:val="center"/>
        </w:trPr>
        <w:tc>
          <w:tcPr>
            <w:tcW w:w="1470" w:type="pct"/>
            <w:vAlign w:val="center"/>
          </w:tcPr>
          <w:p w14:paraId="441B8CFE">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地下水环境</w:t>
            </w:r>
          </w:p>
        </w:tc>
        <w:tc>
          <w:tcPr>
            <w:tcW w:w="1177" w:type="pct"/>
            <w:vAlign w:val="center"/>
          </w:tcPr>
          <w:p w14:paraId="3171AE4F">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1176" w:type="pct"/>
            <w:vMerge w:val="continue"/>
            <w:vAlign w:val="center"/>
          </w:tcPr>
          <w:p w14:paraId="75D00F60">
            <w:pPr>
              <w:spacing w:line="240" w:lineRule="auto"/>
              <w:ind w:firstLine="420"/>
              <w:jc w:val="center"/>
              <w:rPr>
                <w:color w:val="000000" w:themeColor="text1"/>
                <w:sz w:val="21"/>
                <w:szCs w:val="21"/>
                <w14:textFill>
                  <w14:solidFill>
                    <w14:schemeClr w14:val="tx1"/>
                  </w14:solidFill>
                </w14:textFill>
              </w:rPr>
            </w:pPr>
          </w:p>
        </w:tc>
        <w:tc>
          <w:tcPr>
            <w:tcW w:w="1178" w:type="pct"/>
            <w:vAlign w:val="center"/>
          </w:tcPr>
          <w:p w14:paraId="128A552B">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r>
    </w:tbl>
    <w:p w14:paraId="75C95641">
      <w:pPr>
        <w:pStyle w:val="4"/>
        <w:rPr>
          <w:color w:val="000000" w:themeColor="text1"/>
          <w14:textFill>
            <w14:solidFill>
              <w14:schemeClr w14:val="tx1"/>
            </w14:solidFill>
          </w14:textFill>
        </w:rPr>
      </w:pPr>
      <w:r>
        <w:rPr>
          <w:rFonts w:hint="eastAsia"/>
          <w:color w:val="000000" w:themeColor="text1"/>
          <w14:textFill>
            <w14:solidFill>
              <w14:schemeClr w14:val="tx1"/>
            </w14:solidFill>
          </w14:textFill>
        </w:rPr>
        <w:t>评价工作等级和评价范围</w:t>
      </w:r>
    </w:p>
    <w:p w14:paraId="474844BC">
      <w:pPr>
        <w:ind w:firstLine="480"/>
        <w:rPr>
          <w:b/>
          <w:bCs/>
          <w:color w:val="000000" w:themeColor="text1"/>
          <w:kern w:val="0"/>
          <w:szCs w:val="20"/>
          <w:u w:val="single"/>
          <w14:textFill>
            <w14:solidFill>
              <w14:schemeClr w14:val="tx1"/>
            </w14:solidFill>
          </w14:textFill>
        </w:rPr>
      </w:pPr>
      <w:r>
        <w:rPr>
          <w:color w:val="000000" w:themeColor="text1"/>
          <w:kern w:val="0"/>
          <w:szCs w:val="20"/>
          <w:u w:val="single"/>
          <w14:textFill>
            <w14:solidFill>
              <w14:schemeClr w14:val="tx1"/>
            </w14:solidFill>
          </w14:textFill>
        </w:rPr>
        <w:t>根据《建设项目环境风险评价技术导则》（HJ/T169-2018），环境风险评价工作等级划分为一级、二级、三级。根据建设项目涉及的物质及工艺系统和危险性和所在地的环境敏感性确定环境风险潜势，按表5.</w:t>
      </w:r>
      <w:r>
        <w:rPr>
          <w:rFonts w:hint="eastAsia"/>
          <w:color w:val="000000" w:themeColor="text1"/>
          <w:kern w:val="0"/>
          <w:szCs w:val="20"/>
          <w:u w:val="single"/>
          <w14:textFill>
            <w14:solidFill>
              <w14:schemeClr w14:val="tx1"/>
            </w14:solidFill>
          </w14:textFill>
        </w:rPr>
        <w:t>2-11</w:t>
      </w:r>
      <w:r>
        <w:rPr>
          <w:color w:val="000000" w:themeColor="text1"/>
          <w:kern w:val="0"/>
          <w:szCs w:val="20"/>
          <w:u w:val="single"/>
          <w14:textFill>
            <w14:solidFill>
              <w14:schemeClr w14:val="tx1"/>
            </w14:solidFill>
          </w14:textFill>
        </w:rPr>
        <w:t>确定工作等级。</w:t>
      </w:r>
    </w:p>
    <w:p w14:paraId="13F10288">
      <w:pPr>
        <w:pStyle w:val="7"/>
        <w:rPr>
          <w:color w:val="000000" w:themeColor="text1"/>
          <w:u w:val="single"/>
          <w14:textFill>
            <w14:solidFill>
              <w14:schemeClr w14:val="tx1"/>
            </w14:solidFill>
          </w14:textFill>
        </w:rPr>
      </w:pPr>
      <w:r>
        <w:rPr>
          <w:color w:val="000000" w:themeColor="text1"/>
          <w:u w:val="single"/>
          <w14:textFill>
            <w14:solidFill>
              <w14:schemeClr w14:val="tx1"/>
            </w14:solidFill>
          </w14:textFill>
        </w:rPr>
        <w:t>环境风险评价工作等级划分表</w:t>
      </w:r>
    </w:p>
    <w:tbl>
      <w:tblPr>
        <w:tblStyle w:val="125"/>
        <w:tblW w:w="8508" w:type="dxa"/>
        <w:tblInd w:w="12"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0" w:type="dxa"/>
          <w:bottom w:w="0" w:type="dxa"/>
          <w:right w:w="0" w:type="dxa"/>
        </w:tblCellMar>
      </w:tblPr>
      <w:tblGrid>
        <w:gridCol w:w="1635"/>
        <w:gridCol w:w="1661"/>
        <w:gridCol w:w="2052"/>
        <w:gridCol w:w="1554"/>
        <w:gridCol w:w="1606"/>
      </w:tblGrid>
      <w:tr w14:paraId="29A172A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92" w:hRule="atLeast"/>
        </w:trPr>
        <w:tc>
          <w:tcPr>
            <w:tcW w:w="1635" w:type="dxa"/>
            <w:vAlign w:val="center"/>
          </w:tcPr>
          <w:p w14:paraId="4BC2D7A0">
            <w:pPr>
              <w:spacing w:line="240" w:lineRule="auto"/>
              <w:ind w:firstLine="0" w:firstLineChars="0"/>
              <w:jc w:val="center"/>
              <w:rPr>
                <w:color w:val="000000" w:themeColor="text1"/>
                <w:kern w:val="0"/>
                <w:sz w:val="21"/>
                <w:szCs w:val="21"/>
                <w:u w:val="single"/>
                <w14:textFill>
                  <w14:solidFill>
                    <w14:schemeClr w14:val="tx1"/>
                  </w14:solidFill>
                </w14:textFill>
              </w:rPr>
            </w:pPr>
            <w:r>
              <w:rPr>
                <w:color w:val="000000" w:themeColor="text1"/>
                <w:kern w:val="0"/>
                <w:sz w:val="21"/>
                <w:szCs w:val="21"/>
                <w:u w:val="single"/>
                <w14:textFill>
                  <w14:solidFill>
                    <w14:schemeClr w14:val="tx1"/>
                  </w14:solidFill>
                </w14:textFill>
              </w:rPr>
              <w:t>环境风险潜势</w:t>
            </w:r>
          </w:p>
        </w:tc>
        <w:tc>
          <w:tcPr>
            <w:tcW w:w="1661" w:type="dxa"/>
            <w:vAlign w:val="center"/>
          </w:tcPr>
          <w:p w14:paraId="24EC6158">
            <w:pPr>
              <w:spacing w:line="240" w:lineRule="auto"/>
              <w:ind w:firstLine="0" w:firstLineChars="0"/>
              <w:jc w:val="center"/>
              <w:rPr>
                <w:color w:val="000000" w:themeColor="text1"/>
                <w:kern w:val="0"/>
                <w:sz w:val="21"/>
                <w:szCs w:val="21"/>
                <w:u w:val="single"/>
                <w14:textFill>
                  <w14:solidFill>
                    <w14:schemeClr w14:val="tx1"/>
                  </w14:solidFill>
                </w14:textFill>
              </w:rPr>
            </w:pPr>
            <w:r>
              <w:rPr>
                <w:color w:val="000000" w:themeColor="text1"/>
                <w:kern w:val="0"/>
                <w:sz w:val="21"/>
                <w:szCs w:val="21"/>
                <w:u w:val="single"/>
                <w14:textFill>
                  <w14:solidFill>
                    <w14:schemeClr w14:val="tx1"/>
                  </w14:solidFill>
                </w14:textFill>
              </w:rPr>
              <w:t>Ⅳ、Ⅳ+</w:t>
            </w:r>
          </w:p>
        </w:tc>
        <w:tc>
          <w:tcPr>
            <w:tcW w:w="2052" w:type="dxa"/>
            <w:vAlign w:val="center"/>
          </w:tcPr>
          <w:p w14:paraId="37641410">
            <w:pPr>
              <w:spacing w:line="240" w:lineRule="auto"/>
              <w:ind w:firstLine="0" w:firstLineChars="0"/>
              <w:jc w:val="center"/>
              <w:rPr>
                <w:color w:val="000000" w:themeColor="text1"/>
                <w:kern w:val="0"/>
                <w:sz w:val="21"/>
                <w:szCs w:val="21"/>
                <w:u w:val="single"/>
                <w14:textFill>
                  <w14:solidFill>
                    <w14:schemeClr w14:val="tx1"/>
                  </w14:solidFill>
                </w14:textFill>
              </w:rPr>
            </w:pPr>
            <w:r>
              <w:rPr>
                <w:color w:val="000000" w:themeColor="text1"/>
                <w:kern w:val="0"/>
                <w:sz w:val="21"/>
                <w:szCs w:val="21"/>
                <w:u w:val="single"/>
                <w14:textFill>
                  <w14:solidFill>
                    <w14:schemeClr w14:val="tx1"/>
                  </w14:solidFill>
                </w14:textFill>
              </w:rPr>
              <w:t>Ⅲ</w:t>
            </w:r>
          </w:p>
        </w:tc>
        <w:tc>
          <w:tcPr>
            <w:tcW w:w="1554" w:type="dxa"/>
            <w:vAlign w:val="center"/>
          </w:tcPr>
          <w:p w14:paraId="6DB5C3D6">
            <w:pPr>
              <w:spacing w:line="240" w:lineRule="auto"/>
              <w:ind w:firstLine="0" w:firstLineChars="0"/>
              <w:jc w:val="center"/>
              <w:rPr>
                <w:color w:val="000000" w:themeColor="text1"/>
                <w:kern w:val="0"/>
                <w:sz w:val="21"/>
                <w:szCs w:val="21"/>
                <w:u w:val="single"/>
                <w14:textFill>
                  <w14:solidFill>
                    <w14:schemeClr w14:val="tx1"/>
                  </w14:solidFill>
                </w14:textFill>
              </w:rPr>
            </w:pPr>
            <w:r>
              <w:rPr>
                <w:color w:val="000000" w:themeColor="text1"/>
                <w:kern w:val="0"/>
                <w:sz w:val="21"/>
                <w:szCs w:val="21"/>
                <w:u w:val="single"/>
                <w14:textFill>
                  <w14:solidFill>
                    <w14:schemeClr w14:val="tx1"/>
                  </w14:solidFill>
                </w14:textFill>
              </w:rPr>
              <w:t>Ⅱ</w:t>
            </w:r>
          </w:p>
        </w:tc>
        <w:tc>
          <w:tcPr>
            <w:tcW w:w="1606" w:type="dxa"/>
            <w:vAlign w:val="center"/>
          </w:tcPr>
          <w:p w14:paraId="06711BF5">
            <w:pPr>
              <w:spacing w:line="240" w:lineRule="auto"/>
              <w:ind w:firstLine="0" w:firstLineChars="0"/>
              <w:jc w:val="center"/>
              <w:rPr>
                <w:color w:val="000000" w:themeColor="text1"/>
                <w:kern w:val="0"/>
                <w:sz w:val="21"/>
                <w:szCs w:val="21"/>
                <w:u w:val="single"/>
                <w14:textFill>
                  <w14:solidFill>
                    <w14:schemeClr w14:val="tx1"/>
                  </w14:solidFill>
                </w14:textFill>
              </w:rPr>
            </w:pPr>
            <w:r>
              <w:rPr>
                <w:color w:val="000000" w:themeColor="text1"/>
                <w:kern w:val="0"/>
                <w:sz w:val="21"/>
                <w:szCs w:val="21"/>
                <w:u w:val="single"/>
                <w14:textFill>
                  <w14:solidFill>
                    <w14:schemeClr w14:val="tx1"/>
                  </w14:solidFill>
                </w14:textFill>
              </w:rPr>
              <w:t>Ⅰ</w:t>
            </w:r>
          </w:p>
        </w:tc>
      </w:tr>
      <w:tr w14:paraId="3EF1655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53" w:hRule="atLeast"/>
        </w:trPr>
        <w:tc>
          <w:tcPr>
            <w:tcW w:w="1635" w:type="dxa"/>
            <w:vAlign w:val="center"/>
          </w:tcPr>
          <w:p w14:paraId="7ECCF479">
            <w:pPr>
              <w:spacing w:line="240" w:lineRule="auto"/>
              <w:ind w:firstLine="0" w:firstLineChars="0"/>
              <w:jc w:val="center"/>
              <w:rPr>
                <w:color w:val="000000" w:themeColor="text1"/>
                <w:kern w:val="0"/>
                <w:sz w:val="21"/>
                <w:szCs w:val="21"/>
                <w:u w:val="single"/>
                <w14:textFill>
                  <w14:solidFill>
                    <w14:schemeClr w14:val="tx1"/>
                  </w14:solidFill>
                </w14:textFill>
              </w:rPr>
            </w:pPr>
            <w:r>
              <w:rPr>
                <w:color w:val="000000" w:themeColor="text1"/>
                <w:kern w:val="0"/>
                <w:sz w:val="21"/>
                <w:szCs w:val="21"/>
                <w:u w:val="single"/>
                <w14:textFill>
                  <w14:solidFill>
                    <w14:schemeClr w14:val="tx1"/>
                  </w14:solidFill>
                </w14:textFill>
              </w:rPr>
              <w:t>评价工作等级</w:t>
            </w:r>
          </w:p>
        </w:tc>
        <w:tc>
          <w:tcPr>
            <w:tcW w:w="1661" w:type="dxa"/>
            <w:vAlign w:val="center"/>
          </w:tcPr>
          <w:p w14:paraId="3A6BBB8C">
            <w:pPr>
              <w:spacing w:line="240" w:lineRule="auto"/>
              <w:ind w:firstLine="0" w:firstLineChars="0"/>
              <w:jc w:val="center"/>
              <w:rPr>
                <w:color w:val="000000" w:themeColor="text1"/>
                <w:kern w:val="0"/>
                <w:sz w:val="21"/>
                <w:szCs w:val="21"/>
                <w:u w:val="single"/>
                <w14:textFill>
                  <w14:solidFill>
                    <w14:schemeClr w14:val="tx1"/>
                  </w14:solidFill>
                </w14:textFill>
              </w:rPr>
            </w:pPr>
            <w:r>
              <w:rPr>
                <w:color w:val="000000" w:themeColor="text1"/>
                <w:kern w:val="0"/>
                <w:sz w:val="21"/>
                <w:szCs w:val="21"/>
                <w:u w:val="single"/>
                <w14:textFill>
                  <w14:solidFill>
                    <w14:schemeClr w14:val="tx1"/>
                  </w14:solidFill>
                </w14:textFill>
              </w:rPr>
              <w:t>一</w:t>
            </w:r>
          </w:p>
        </w:tc>
        <w:tc>
          <w:tcPr>
            <w:tcW w:w="2052" w:type="dxa"/>
            <w:vAlign w:val="center"/>
          </w:tcPr>
          <w:p w14:paraId="21FDB270">
            <w:pPr>
              <w:spacing w:line="240" w:lineRule="auto"/>
              <w:ind w:firstLine="0" w:firstLineChars="0"/>
              <w:jc w:val="center"/>
              <w:rPr>
                <w:color w:val="000000" w:themeColor="text1"/>
                <w:kern w:val="0"/>
                <w:sz w:val="21"/>
                <w:szCs w:val="21"/>
                <w:u w:val="single"/>
                <w14:textFill>
                  <w14:solidFill>
                    <w14:schemeClr w14:val="tx1"/>
                  </w14:solidFill>
                </w14:textFill>
              </w:rPr>
            </w:pPr>
            <w:r>
              <w:rPr>
                <w:color w:val="000000" w:themeColor="text1"/>
                <w:kern w:val="0"/>
                <w:sz w:val="21"/>
                <w:szCs w:val="21"/>
                <w:u w:val="single"/>
                <w14:textFill>
                  <w14:solidFill>
                    <w14:schemeClr w14:val="tx1"/>
                  </w14:solidFill>
                </w14:textFill>
              </w:rPr>
              <w:t>二</w:t>
            </w:r>
          </w:p>
        </w:tc>
        <w:tc>
          <w:tcPr>
            <w:tcW w:w="1554" w:type="dxa"/>
            <w:vAlign w:val="center"/>
          </w:tcPr>
          <w:p w14:paraId="6BA84D01">
            <w:pPr>
              <w:spacing w:line="240" w:lineRule="auto"/>
              <w:ind w:firstLine="0" w:firstLineChars="0"/>
              <w:jc w:val="center"/>
              <w:rPr>
                <w:color w:val="000000" w:themeColor="text1"/>
                <w:kern w:val="0"/>
                <w:sz w:val="21"/>
                <w:szCs w:val="21"/>
                <w:u w:val="single"/>
                <w14:textFill>
                  <w14:solidFill>
                    <w14:schemeClr w14:val="tx1"/>
                  </w14:solidFill>
                </w14:textFill>
              </w:rPr>
            </w:pPr>
            <w:r>
              <w:rPr>
                <w:color w:val="000000" w:themeColor="text1"/>
                <w:kern w:val="0"/>
                <w:sz w:val="21"/>
                <w:szCs w:val="21"/>
                <w:u w:val="single"/>
                <w14:textFill>
                  <w14:solidFill>
                    <w14:schemeClr w14:val="tx1"/>
                  </w14:solidFill>
                </w14:textFill>
              </w:rPr>
              <w:t>三</w:t>
            </w:r>
          </w:p>
        </w:tc>
        <w:tc>
          <w:tcPr>
            <w:tcW w:w="1606" w:type="dxa"/>
            <w:vAlign w:val="center"/>
          </w:tcPr>
          <w:p w14:paraId="648AA438">
            <w:pPr>
              <w:spacing w:line="240" w:lineRule="auto"/>
              <w:ind w:firstLine="0" w:firstLineChars="0"/>
              <w:jc w:val="center"/>
              <w:rPr>
                <w:color w:val="000000" w:themeColor="text1"/>
                <w:kern w:val="0"/>
                <w:sz w:val="21"/>
                <w:szCs w:val="21"/>
                <w:u w:val="single"/>
                <w14:textFill>
                  <w14:solidFill>
                    <w14:schemeClr w14:val="tx1"/>
                  </w14:solidFill>
                </w14:textFill>
              </w:rPr>
            </w:pPr>
            <w:r>
              <w:rPr>
                <w:color w:val="000000" w:themeColor="text1"/>
                <w:kern w:val="0"/>
                <w:sz w:val="21"/>
                <w:szCs w:val="21"/>
                <w:u w:val="single"/>
                <w14:textFill>
                  <w14:solidFill>
                    <w14:schemeClr w14:val="tx1"/>
                  </w14:solidFill>
                </w14:textFill>
              </w:rPr>
              <w:t>简单分析</w:t>
            </w:r>
          </w:p>
        </w:tc>
      </w:tr>
    </w:tbl>
    <w:p w14:paraId="5808800C">
      <w:pPr>
        <w:ind w:firstLine="480"/>
        <w:rPr>
          <w:color w:val="000000" w:themeColor="text1"/>
          <w:kern w:val="0"/>
          <w:u w:val="single"/>
          <w14:textFill>
            <w14:solidFill>
              <w14:schemeClr w14:val="tx1"/>
            </w14:solidFill>
          </w14:textFill>
        </w:rPr>
      </w:pPr>
      <w:r>
        <w:rPr>
          <w:color w:val="000000" w:themeColor="text1"/>
          <w:kern w:val="0"/>
          <w:szCs w:val="20"/>
          <w:u w:val="single"/>
          <w14:textFill>
            <w14:solidFill>
              <w14:schemeClr w14:val="tx1"/>
            </w14:solidFill>
          </w14:textFill>
        </w:rPr>
        <w:t>综上，本项目环境风险大气环境敏感区为E2，地表水环境敏感区为E</w:t>
      </w:r>
      <w:r>
        <w:rPr>
          <w:rFonts w:hint="eastAsia"/>
          <w:color w:val="000000" w:themeColor="text1"/>
          <w:kern w:val="0"/>
          <w:szCs w:val="20"/>
          <w:u w:val="single"/>
          <w14:textFill>
            <w14:solidFill>
              <w14:schemeClr w14:val="tx1"/>
            </w14:solidFill>
          </w14:textFill>
        </w:rPr>
        <w:t>2</w:t>
      </w:r>
      <w:r>
        <w:rPr>
          <w:color w:val="000000" w:themeColor="text1"/>
          <w:kern w:val="0"/>
          <w:szCs w:val="20"/>
          <w:u w:val="single"/>
          <w14:textFill>
            <w14:solidFill>
              <w14:schemeClr w14:val="tx1"/>
            </w14:solidFill>
          </w14:textFill>
        </w:rPr>
        <w:t>；本项目危险物质及工艺系统危险性等级为P2，故按《建设项目环境风险评价技术导则》（HJ/169-2018），项目环境风险潜势等级为Ⅲ级，确定风险评价工作级别为二级。其中环境风险大气环境风险潜势为Ⅲ</w:t>
      </w:r>
      <w:r>
        <w:rPr>
          <w:rFonts w:hint="eastAsia"/>
          <w:color w:val="000000" w:themeColor="text1"/>
          <w:kern w:val="0"/>
          <w:szCs w:val="20"/>
          <w:u w:val="single"/>
          <w14:textFill>
            <w14:solidFill>
              <w14:schemeClr w14:val="tx1"/>
            </w14:solidFill>
          </w14:textFill>
        </w:rPr>
        <w:t>，</w:t>
      </w:r>
      <w:r>
        <w:rPr>
          <w:color w:val="000000" w:themeColor="text1"/>
          <w:kern w:val="0"/>
          <w:szCs w:val="20"/>
          <w:u w:val="single"/>
          <w14:textFill>
            <w14:solidFill>
              <w14:schemeClr w14:val="tx1"/>
            </w14:solidFill>
          </w14:textFill>
        </w:rPr>
        <w:t>评价等级为二级；</w:t>
      </w:r>
      <w:r>
        <w:rPr>
          <w:rFonts w:hint="eastAsia"/>
          <w:color w:val="000000" w:themeColor="text1"/>
          <w:kern w:val="0"/>
          <w:u w:val="single"/>
          <w14:textFill>
            <w14:solidFill>
              <w14:schemeClr w14:val="tx1"/>
            </w14:solidFill>
          </w14:textFill>
        </w:rPr>
        <w:t>地表水环境风险潜势等级为</w:t>
      </w:r>
      <w:r>
        <w:rPr>
          <w:color w:val="000000" w:themeColor="text1"/>
          <w:kern w:val="0"/>
          <w:szCs w:val="20"/>
          <w:u w:val="single"/>
          <w14:textFill>
            <w14:solidFill>
              <w14:schemeClr w14:val="tx1"/>
            </w14:solidFill>
          </w14:textFill>
        </w:rPr>
        <w:t>Ⅲ</w:t>
      </w:r>
      <w:r>
        <w:rPr>
          <w:rFonts w:hint="eastAsia"/>
          <w:color w:val="000000" w:themeColor="text1"/>
          <w:spacing w:val="-2"/>
          <w:kern w:val="0"/>
          <w:u w:val="single"/>
          <w14:textFill>
            <w14:solidFill>
              <w14:schemeClr w14:val="tx1"/>
            </w14:solidFill>
          </w14:textFill>
        </w:rPr>
        <w:t>，</w:t>
      </w:r>
      <w:r>
        <w:rPr>
          <w:rFonts w:hint="eastAsia"/>
          <w:color w:val="000000" w:themeColor="text1"/>
          <w:kern w:val="0"/>
          <w:u w:val="single"/>
          <w14:textFill>
            <w14:solidFill>
              <w14:schemeClr w14:val="tx1"/>
            </w14:solidFill>
          </w14:textFill>
        </w:rPr>
        <w:t>因本工程为码头工程，涉及地表水环境为海域环境，风险类型为船舶污染海洋环境；故水域环境风险等级判定参照《船舶污染海洋环境风险评价技术规范（试行）》，本扩建项目所在码头为液体化工码头，地表水环境风险评价等级定为一级。</w:t>
      </w:r>
    </w:p>
    <w:p w14:paraId="4CEA92F9">
      <w:pPr>
        <w:pStyle w:val="7"/>
        <w:rPr>
          <w:color w:val="000000" w:themeColor="text1"/>
          <w:u w:val="single"/>
          <w14:textFill>
            <w14:solidFill>
              <w14:schemeClr w14:val="tx1"/>
            </w14:solidFill>
          </w14:textFill>
        </w:rPr>
      </w:pPr>
      <w:r>
        <w:rPr>
          <w:color w:val="000000" w:themeColor="text1"/>
          <w:u w:val="single"/>
          <w14:textFill>
            <w14:solidFill>
              <w14:schemeClr w14:val="tx1"/>
            </w14:solidFill>
          </w14:textFill>
        </w:rPr>
        <w:t>本项目环境风险评价等级</w:t>
      </w:r>
    </w:p>
    <w:tbl>
      <w:tblPr>
        <w:tblStyle w:val="126"/>
        <w:tblW w:w="5000" w:type="pct"/>
        <w:tblInd w:w="5"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0" w:type="dxa"/>
          <w:bottom w:w="0" w:type="dxa"/>
          <w:right w:w="0" w:type="dxa"/>
        </w:tblCellMar>
      </w:tblPr>
      <w:tblGrid>
        <w:gridCol w:w="3762"/>
        <w:gridCol w:w="2590"/>
        <w:gridCol w:w="1984"/>
      </w:tblGrid>
      <w:tr w14:paraId="2E22E78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trPr>
        <w:tc>
          <w:tcPr>
            <w:tcW w:w="2256" w:type="pct"/>
            <w:vAlign w:val="center"/>
          </w:tcPr>
          <w:p w14:paraId="5C42390E">
            <w:pPr>
              <w:adjustRightInd w:val="0"/>
              <w:snapToGrid w:val="0"/>
              <w:spacing w:line="240" w:lineRule="auto"/>
              <w:ind w:firstLine="0" w:firstLineChars="0"/>
              <w:jc w:val="center"/>
              <w:rPr>
                <w:color w:val="000000" w:themeColor="text1"/>
                <w:kern w:val="0"/>
                <w:sz w:val="21"/>
                <w:szCs w:val="21"/>
                <w:u w:val="single"/>
                <w14:textFill>
                  <w14:solidFill>
                    <w14:schemeClr w14:val="tx1"/>
                  </w14:solidFill>
                </w14:textFill>
              </w:rPr>
            </w:pPr>
            <w:r>
              <w:rPr>
                <w:color w:val="000000" w:themeColor="text1"/>
                <w:kern w:val="0"/>
                <w:sz w:val="21"/>
                <w:szCs w:val="21"/>
                <w:u w:val="single"/>
                <w14:textFill>
                  <w14:solidFill>
                    <w14:schemeClr w14:val="tx1"/>
                  </w14:solidFill>
                </w14:textFill>
              </w:rPr>
              <w:t>环境风险因素</w:t>
            </w:r>
          </w:p>
        </w:tc>
        <w:tc>
          <w:tcPr>
            <w:tcW w:w="1553" w:type="pct"/>
            <w:vAlign w:val="center"/>
          </w:tcPr>
          <w:p w14:paraId="72FE4D8E">
            <w:pPr>
              <w:adjustRightInd w:val="0"/>
              <w:snapToGrid w:val="0"/>
              <w:spacing w:line="240" w:lineRule="auto"/>
              <w:ind w:firstLine="0" w:firstLineChars="0"/>
              <w:jc w:val="center"/>
              <w:rPr>
                <w:color w:val="000000" w:themeColor="text1"/>
                <w:kern w:val="0"/>
                <w:sz w:val="21"/>
                <w:szCs w:val="21"/>
                <w:u w:val="single"/>
                <w14:textFill>
                  <w14:solidFill>
                    <w14:schemeClr w14:val="tx1"/>
                  </w14:solidFill>
                </w14:textFill>
              </w:rPr>
            </w:pPr>
            <w:r>
              <w:rPr>
                <w:color w:val="000000" w:themeColor="text1"/>
                <w:kern w:val="0"/>
                <w:sz w:val="21"/>
                <w:szCs w:val="21"/>
                <w:u w:val="single"/>
                <w14:textFill>
                  <w14:solidFill>
                    <w14:schemeClr w14:val="tx1"/>
                  </w14:solidFill>
                </w14:textFill>
              </w:rPr>
              <w:t>风险潜势</w:t>
            </w:r>
          </w:p>
        </w:tc>
        <w:tc>
          <w:tcPr>
            <w:tcW w:w="1190" w:type="pct"/>
            <w:vAlign w:val="center"/>
          </w:tcPr>
          <w:p w14:paraId="2C049666">
            <w:pPr>
              <w:adjustRightInd w:val="0"/>
              <w:snapToGrid w:val="0"/>
              <w:spacing w:line="240" w:lineRule="auto"/>
              <w:ind w:firstLine="0" w:firstLineChars="0"/>
              <w:jc w:val="center"/>
              <w:rPr>
                <w:color w:val="000000" w:themeColor="text1"/>
                <w:kern w:val="0"/>
                <w:sz w:val="21"/>
                <w:szCs w:val="21"/>
                <w:u w:val="single"/>
                <w14:textFill>
                  <w14:solidFill>
                    <w14:schemeClr w14:val="tx1"/>
                  </w14:solidFill>
                </w14:textFill>
              </w:rPr>
            </w:pPr>
            <w:r>
              <w:rPr>
                <w:color w:val="000000" w:themeColor="text1"/>
                <w:kern w:val="0"/>
                <w:sz w:val="21"/>
                <w:szCs w:val="21"/>
                <w:u w:val="single"/>
                <w14:textFill>
                  <w14:solidFill>
                    <w14:schemeClr w14:val="tx1"/>
                  </w14:solidFill>
                </w14:textFill>
              </w:rPr>
              <w:t>评价等级</w:t>
            </w:r>
          </w:p>
        </w:tc>
      </w:tr>
      <w:tr w14:paraId="100A27A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trPr>
        <w:tc>
          <w:tcPr>
            <w:tcW w:w="2256" w:type="pct"/>
            <w:vAlign w:val="center"/>
          </w:tcPr>
          <w:p w14:paraId="68009406">
            <w:pPr>
              <w:adjustRightInd w:val="0"/>
              <w:snapToGrid w:val="0"/>
              <w:spacing w:line="240" w:lineRule="auto"/>
              <w:ind w:firstLine="0" w:firstLineChars="0"/>
              <w:jc w:val="center"/>
              <w:rPr>
                <w:color w:val="000000" w:themeColor="text1"/>
                <w:kern w:val="0"/>
                <w:sz w:val="21"/>
                <w:szCs w:val="21"/>
                <w:u w:val="single"/>
                <w14:textFill>
                  <w14:solidFill>
                    <w14:schemeClr w14:val="tx1"/>
                  </w14:solidFill>
                </w14:textFill>
              </w:rPr>
            </w:pPr>
            <w:r>
              <w:rPr>
                <w:color w:val="000000" w:themeColor="text1"/>
                <w:kern w:val="0"/>
                <w:sz w:val="21"/>
                <w:szCs w:val="21"/>
                <w:u w:val="single"/>
                <w14:textFill>
                  <w14:solidFill>
                    <w14:schemeClr w14:val="tx1"/>
                  </w14:solidFill>
                </w14:textFill>
              </w:rPr>
              <w:t>大气环境</w:t>
            </w:r>
          </w:p>
        </w:tc>
        <w:tc>
          <w:tcPr>
            <w:tcW w:w="1553" w:type="pct"/>
            <w:vAlign w:val="center"/>
          </w:tcPr>
          <w:p w14:paraId="088AEC1C">
            <w:pPr>
              <w:adjustRightInd w:val="0"/>
              <w:snapToGrid w:val="0"/>
              <w:spacing w:line="240" w:lineRule="auto"/>
              <w:ind w:firstLine="0" w:firstLineChars="0"/>
              <w:jc w:val="center"/>
              <w:rPr>
                <w:color w:val="000000" w:themeColor="text1"/>
                <w:kern w:val="0"/>
                <w:sz w:val="21"/>
                <w:szCs w:val="21"/>
                <w:u w:val="single"/>
                <w14:textFill>
                  <w14:solidFill>
                    <w14:schemeClr w14:val="tx1"/>
                  </w14:solidFill>
                </w14:textFill>
              </w:rPr>
            </w:pPr>
            <w:r>
              <w:rPr>
                <w:color w:val="000000" w:themeColor="text1"/>
                <w:kern w:val="0"/>
                <w:sz w:val="21"/>
                <w:szCs w:val="21"/>
                <w:u w:val="single"/>
                <w14:textFill>
                  <w14:solidFill>
                    <w14:schemeClr w14:val="tx1"/>
                  </w14:solidFill>
                </w14:textFill>
              </w:rPr>
              <w:t>Ⅲ级</w:t>
            </w:r>
          </w:p>
        </w:tc>
        <w:tc>
          <w:tcPr>
            <w:tcW w:w="1190" w:type="pct"/>
            <w:vAlign w:val="center"/>
          </w:tcPr>
          <w:p w14:paraId="557F432A">
            <w:pPr>
              <w:adjustRightInd w:val="0"/>
              <w:snapToGrid w:val="0"/>
              <w:spacing w:line="240" w:lineRule="auto"/>
              <w:ind w:firstLine="0" w:firstLineChars="0"/>
              <w:jc w:val="center"/>
              <w:rPr>
                <w:color w:val="000000" w:themeColor="text1"/>
                <w:kern w:val="0"/>
                <w:sz w:val="21"/>
                <w:szCs w:val="21"/>
                <w:u w:val="single"/>
                <w14:textFill>
                  <w14:solidFill>
                    <w14:schemeClr w14:val="tx1"/>
                  </w14:solidFill>
                </w14:textFill>
              </w:rPr>
            </w:pPr>
            <w:r>
              <w:rPr>
                <w:color w:val="000000" w:themeColor="text1"/>
                <w:kern w:val="0"/>
                <w:sz w:val="21"/>
                <w:szCs w:val="21"/>
                <w:u w:val="single"/>
                <w14:textFill>
                  <w14:solidFill>
                    <w14:schemeClr w14:val="tx1"/>
                  </w14:solidFill>
                </w14:textFill>
              </w:rPr>
              <w:t>二级</w:t>
            </w:r>
          </w:p>
        </w:tc>
      </w:tr>
      <w:tr w14:paraId="6640646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trPr>
        <w:tc>
          <w:tcPr>
            <w:tcW w:w="2256" w:type="pct"/>
            <w:vAlign w:val="center"/>
          </w:tcPr>
          <w:p w14:paraId="58BD721C">
            <w:pPr>
              <w:adjustRightInd w:val="0"/>
              <w:snapToGrid w:val="0"/>
              <w:spacing w:line="240" w:lineRule="auto"/>
              <w:ind w:firstLine="0" w:firstLineChars="0"/>
              <w:jc w:val="center"/>
              <w:rPr>
                <w:color w:val="000000" w:themeColor="text1"/>
                <w:kern w:val="0"/>
                <w:sz w:val="21"/>
                <w:szCs w:val="21"/>
                <w:u w:val="single"/>
                <w14:textFill>
                  <w14:solidFill>
                    <w14:schemeClr w14:val="tx1"/>
                  </w14:solidFill>
                </w14:textFill>
              </w:rPr>
            </w:pPr>
            <w:r>
              <w:rPr>
                <w:color w:val="000000" w:themeColor="text1"/>
                <w:kern w:val="0"/>
                <w:sz w:val="21"/>
                <w:szCs w:val="21"/>
                <w:u w:val="single"/>
                <w14:textFill>
                  <w14:solidFill>
                    <w14:schemeClr w14:val="tx1"/>
                  </w14:solidFill>
                </w14:textFill>
              </w:rPr>
              <w:t>地表水环境</w:t>
            </w:r>
          </w:p>
        </w:tc>
        <w:tc>
          <w:tcPr>
            <w:tcW w:w="1553" w:type="pct"/>
            <w:vAlign w:val="center"/>
          </w:tcPr>
          <w:p w14:paraId="20E1DE0D">
            <w:pPr>
              <w:adjustRightInd w:val="0"/>
              <w:snapToGrid w:val="0"/>
              <w:spacing w:line="240" w:lineRule="auto"/>
              <w:ind w:firstLine="0" w:firstLineChars="0"/>
              <w:jc w:val="center"/>
              <w:rPr>
                <w:color w:val="000000" w:themeColor="text1"/>
                <w:kern w:val="0"/>
                <w:sz w:val="21"/>
                <w:szCs w:val="21"/>
                <w:u w:val="single"/>
                <w14:textFill>
                  <w14:solidFill>
                    <w14:schemeClr w14:val="tx1"/>
                  </w14:solidFill>
                </w14:textFill>
              </w:rPr>
            </w:pPr>
            <w:r>
              <w:rPr>
                <w:color w:val="000000" w:themeColor="text1"/>
                <w:kern w:val="0"/>
                <w:sz w:val="21"/>
                <w:szCs w:val="21"/>
                <w:u w:val="single"/>
                <w14:textFill>
                  <w14:solidFill>
                    <w14:schemeClr w14:val="tx1"/>
                  </w14:solidFill>
                </w14:textFill>
              </w:rPr>
              <w:t>Ⅲ级</w:t>
            </w:r>
          </w:p>
        </w:tc>
        <w:tc>
          <w:tcPr>
            <w:tcW w:w="1190" w:type="pct"/>
            <w:vAlign w:val="center"/>
          </w:tcPr>
          <w:p w14:paraId="4DA0547E">
            <w:pPr>
              <w:adjustRightInd w:val="0"/>
              <w:snapToGrid w:val="0"/>
              <w:spacing w:line="240" w:lineRule="auto"/>
              <w:ind w:firstLine="0" w:firstLineChars="0"/>
              <w:jc w:val="center"/>
              <w:rPr>
                <w:color w:val="000000" w:themeColor="text1"/>
                <w:kern w:val="0"/>
                <w:sz w:val="21"/>
                <w:szCs w:val="21"/>
                <w:u w:val="single"/>
                <w14:textFill>
                  <w14:solidFill>
                    <w14:schemeClr w14:val="tx1"/>
                  </w14:solidFill>
                </w14:textFill>
              </w:rPr>
            </w:pPr>
            <w:r>
              <w:rPr>
                <w:rFonts w:hint="eastAsia"/>
                <w:color w:val="000000" w:themeColor="text1"/>
                <w:kern w:val="0"/>
                <w:sz w:val="21"/>
                <w:szCs w:val="21"/>
                <w:u w:val="single"/>
                <w14:textFill>
                  <w14:solidFill>
                    <w14:schemeClr w14:val="tx1"/>
                  </w14:solidFill>
                </w14:textFill>
              </w:rPr>
              <w:t>一</w:t>
            </w:r>
            <w:r>
              <w:rPr>
                <w:color w:val="000000" w:themeColor="text1"/>
                <w:kern w:val="0"/>
                <w:sz w:val="21"/>
                <w:szCs w:val="21"/>
                <w:u w:val="single"/>
                <w14:textFill>
                  <w14:solidFill>
                    <w14:schemeClr w14:val="tx1"/>
                  </w14:solidFill>
                </w14:textFill>
              </w:rPr>
              <w:t>级</w:t>
            </w:r>
          </w:p>
        </w:tc>
      </w:tr>
      <w:tr w14:paraId="5C9D5AF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trPr>
        <w:tc>
          <w:tcPr>
            <w:tcW w:w="2256" w:type="pct"/>
            <w:vAlign w:val="center"/>
          </w:tcPr>
          <w:p w14:paraId="6965FCB5">
            <w:pPr>
              <w:adjustRightInd w:val="0"/>
              <w:snapToGrid w:val="0"/>
              <w:spacing w:line="240" w:lineRule="auto"/>
              <w:ind w:firstLine="0" w:firstLineChars="0"/>
              <w:jc w:val="center"/>
              <w:rPr>
                <w:color w:val="000000" w:themeColor="text1"/>
                <w:kern w:val="0"/>
                <w:sz w:val="21"/>
                <w:szCs w:val="21"/>
                <w:u w:val="single"/>
                <w14:textFill>
                  <w14:solidFill>
                    <w14:schemeClr w14:val="tx1"/>
                  </w14:solidFill>
                </w14:textFill>
              </w:rPr>
            </w:pPr>
            <w:r>
              <w:rPr>
                <w:color w:val="000000" w:themeColor="text1"/>
                <w:kern w:val="0"/>
                <w:sz w:val="21"/>
                <w:szCs w:val="21"/>
                <w:u w:val="single"/>
                <w14:textFill>
                  <w14:solidFill>
                    <w14:schemeClr w14:val="tx1"/>
                  </w14:solidFill>
                </w14:textFill>
              </w:rPr>
              <w:t>地下水环境</w:t>
            </w:r>
          </w:p>
        </w:tc>
        <w:tc>
          <w:tcPr>
            <w:tcW w:w="1553" w:type="pct"/>
            <w:vAlign w:val="center"/>
          </w:tcPr>
          <w:p w14:paraId="32F3CC91">
            <w:pPr>
              <w:adjustRightInd w:val="0"/>
              <w:snapToGrid w:val="0"/>
              <w:spacing w:line="240" w:lineRule="auto"/>
              <w:ind w:firstLine="0" w:firstLineChars="0"/>
              <w:jc w:val="center"/>
              <w:rPr>
                <w:color w:val="000000" w:themeColor="text1"/>
                <w:kern w:val="0"/>
                <w:sz w:val="21"/>
                <w:szCs w:val="21"/>
                <w:u w:val="single"/>
                <w14:textFill>
                  <w14:solidFill>
                    <w14:schemeClr w14:val="tx1"/>
                  </w14:solidFill>
                </w14:textFill>
              </w:rPr>
            </w:pPr>
            <w:r>
              <w:rPr>
                <w:color w:val="000000" w:themeColor="text1"/>
                <w:kern w:val="0"/>
                <w:sz w:val="21"/>
                <w:szCs w:val="21"/>
                <w:u w:val="single"/>
                <w14:textFill>
                  <w14:solidFill>
                    <w14:schemeClr w14:val="tx1"/>
                  </w14:solidFill>
                </w14:textFill>
              </w:rPr>
              <w:t>/</w:t>
            </w:r>
          </w:p>
        </w:tc>
        <w:tc>
          <w:tcPr>
            <w:tcW w:w="1190" w:type="pct"/>
            <w:vAlign w:val="center"/>
          </w:tcPr>
          <w:p w14:paraId="226F8F4C">
            <w:pPr>
              <w:adjustRightInd w:val="0"/>
              <w:snapToGrid w:val="0"/>
              <w:spacing w:line="240" w:lineRule="auto"/>
              <w:ind w:firstLine="0" w:firstLineChars="0"/>
              <w:jc w:val="center"/>
              <w:rPr>
                <w:color w:val="000000" w:themeColor="text1"/>
                <w:kern w:val="0"/>
                <w:sz w:val="21"/>
                <w:szCs w:val="21"/>
                <w:u w:val="single"/>
                <w14:textFill>
                  <w14:solidFill>
                    <w14:schemeClr w14:val="tx1"/>
                  </w14:solidFill>
                </w14:textFill>
              </w:rPr>
            </w:pPr>
            <w:r>
              <w:rPr>
                <w:color w:val="000000" w:themeColor="text1"/>
                <w:kern w:val="0"/>
                <w:sz w:val="21"/>
                <w:szCs w:val="21"/>
                <w:u w:val="single"/>
                <w14:textFill>
                  <w14:solidFill>
                    <w14:schemeClr w14:val="tx1"/>
                  </w14:solidFill>
                </w14:textFill>
              </w:rPr>
              <w:t>/</w:t>
            </w:r>
          </w:p>
        </w:tc>
      </w:tr>
    </w:tbl>
    <w:p w14:paraId="4B78E558">
      <w:pPr>
        <w:ind w:firstLine="480"/>
        <w:rPr>
          <w:color w:val="000000" w:themeColor="text1"/>
          <w:kern w:val="0"/>
          <w:szCs w:val="20"/>
          <w:u w:val="single"/>
          <w14:textFill>
            <w14:solidFill>
              <w14:schemeClr w14:val="tx1"/>
            </w14:solidFill>
          </w14:textFill>
        </w:rPr>
      </w:pPr>
      <w:r>
        <w:rPr>
          <w:color w:val="000000" w:themeColor="text1"/>
          <w:kern w:val="0"/>
          <w:szCs w:val="20"/>
          <w:u w:val="single"/>
          <w14:textFill>
            <w14:solidFill>
              <w14:schemeClr w14:val="tx1"/>
            </w14:solidFill>
          </w14:textFill>
        </w:rPr>
        <w:t>根据《建设项目环境风险评价技术导则》（HJ/T169-2018），本项目为化学品工艺管线项目，按大气环境、地表水环境风险评价范围分别为：</w:t>
      </w:r>
    </w:p>
    <w:p w14:paraId="7FD365C2">
      <w:pPr>
        <w:ind w:firstLine="480"/>
        <w:rPr>
          <w:color w:val="000000" w:themeColor="text1"/>
          <w:kern w:val="0"/>
          <w:szCs w:val="20"/>
          <w:u w:val="single"/>
          <w14:textFill>
            <w14:solidFill>
              <w14:schemeClr w14:val="tx1"/>
            </w14:solidFill>
          </w14:textFill>
        </w:rPr>
      </w:pPr>
      <w:r>
        <w:rPr>
          <w:rFonts w:hint="eastAsia" w:ascii="宋体" w:hAnsi="宋体" w:cs="宋体"/>
          <w:color w:val="000000" w:themeColor="text1"/>
          <w:kern w:val="0"/>
          <w:szCs w:val="20"/>
          <w:u w:val="single"/>
          <w14:textFill>
            <w14:solidFill>
              <w14:schemeClr w14:val="tx1"/>
            </w14:solidFill>
          </w14:textFill>
        </w:rPr>
        <w:t>①</w:t>
      </w:r>
      <w:r>
        <w:rPr>
          <w:color w:val="000000" w:themeColor="text1"/>
          <w:kern w:val="0"/>
          <w:szCs w:val="20"/>
          <w:u w:val="single"/>
          <w14:textFill>
            <w14:solidFill>
              <w14:schemeClr w14:val="tx1"/>
            </w14:solidFill>
          </w14:textFill>
        </w:rPr>
        <w:t>大气环境风险评价范围：确定项目大气评价范围为二级评价，距离项目边界5km范围；</w:t>
      </w:r>
    </w:p>
    <w:p w14:paraId="072F1E7B">
      <w:pPr>
        <w:ind w:firstLine="480"/>
        <w:rPr>
          <w:rFonts w:hint="eastAsia"/>
          <w:color w:val="000000" w:themeColor="text1"/>
          <w:szCs w:val="28"/>
          <w:u w:val="single"/>
          <w14:textFill>
            <w14:solidFill>
              <w14:schemeClr w14:val="tx1"/>
            </w14:solidFill>
          </w14:textFill>
        </w:rPr>
      </w:pPr>
      <w:r>
        <w:rPr>
          <w:rFonts w:hint="eastAsia" w:ascii="宋体" w:hAnsi="宋体" w:cs="宋体"/>
          <w:color w:val="000000" w:themeColor="text1"/>
          <w:kern w:val="0"/>
          <w:szCs w:val="20"/>
          <w:u w:val="single"/>
          <w14:textFill>
            <w14:solidFill>
              <w14:schemeClr w14:val="tx1"/>
            </w14:solidFill>
          </w14:textFill>
        </w:rPr>
        <w:t>②</w:t>
      </w:r>
      <w:r>
        <w:rPr>
          <w:color w:val="000000" w:themeColor="text1"/>
          <w:kern w:val="0"/>
          <w:szCs w:val="20"/>
          <w:u w:val="single"/>
          <w14:textFill>
            <w14:solidFill>
              <w14:schemeClr w14:val="tx1"/>
            </w14:solidFill>
          </w14:textFill>
        </w:rPr>
        <w:t>地表水环境风险评价范围：</w:t>
      </w:r>
      <w:r>
        <w:rPr>
          <w:rFonts w:hint="eastAsia"/>
          <w:color w:val="000000" w:themeColor="text1"/>
          <w:szCs w:val="28"/>
          <w:u w:val="single"/>
          <w14:textFill>
            <w14:solidFill>
              <w14:schemeClr w14:val="tx1"/>
            </w14:solidFill>
          </w14:textFill>
        </w:rPr>
        <w:t>根据</w:t>
      </w:r>
      <w:r>
        <w:rPr>
          <w:color w:val="000000" w:themeColor="text1"/>
          <w:kern w:val="0"/>
          <w:szCs w:val="20"/>
          <w:u w:val="single"/>
          <w14:textFill>
            <w14:solidFill>
              <w14:schemeClr w14:val="tx1"/>
            </w14:solidFill>
          </w14:textFill>
        </w:rPr>
        <w:t>《建设项目环境风险评价技术导则》（HJ 169-2018）</w:t>
      </w:r>
      <w:r>
        <w:rPr>
          <w:rFonts w:hint="eastAsia"/>
          <w:color w:val="000000" w:themeColor="text1"/>
          <w:kern w:val="0"/>
          <w:szCs w:val="20"/>
          <w:u w:val="single"/>
          <w14:textFill>
            <w14:solidFill>
              <w14:schemeClr w14:val="tx1"/>
            </w14:solidFill>
          </w14:textFill>
        </w:rPr>
        <w:t>，本项目地表水环境风险评价范围</w:t>
      </w:r>
      <w:r>
        <w:rPr>
          <w:rFonts w:hint="eastAsia"/>
          <w:color w:val="000000" w:themeColor="text1"/>
          <w:szCs w:val="28"/>
          <w:u w:val="single"/>
          <w14:textFill>
            <w14:solidFill>
              <w14:schemeClr w14:val="tx1"/>
            </w14:solidFill>
          </w14:textFill>
        </w:rPr>
        <w:t>覆盖环境风险影响范围所及的水环境保护目标水域。</w:t>
      </w:r>
    </w:p>
    <w:p w14:paraId="44B73960">
      <w:pPr>
        <w:pStyle w:val="7"/>
        <w:rPr>
          <w:rFonts w:hint="eastAsia"/>
          <w:color w:val="000000" w:themeColor="text1"/>
          <w:szCs w:val="28"/>
          <w:u w:val="none"/>
          <w14:textFill>
            <w14:solidFill>
              <w14:schemeClr w14:val="tx1"/>
            </w14:solidFill>
          </w14:textFill>
        </w:rPr>
      </w:pPr>
      <w:r>
        <w:rPr>
          <w:rFonts w:hint="eastAsia"/>
          <w:color w:val="000000" w:themeColor="text1"/>
          <w:u w:val="none"/>
          <w:lang w:val="en-US" w:eastAsia="zh-CN"/>
          <w14:textFill>
            <w14:solidFill>
              <w14:schemeClr w14:val="tx1"/>
            </w14:solidFill>
          </w14:textFill>
        </w:rPr>
        <w:t>水环境保护目标</w:t>
      </w:r>
    </w:p>
    <w:tbl>
      <w:tblPr>
        <w:tblStyle w:val="4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43"/>
        <w:gridCol w:w="1243"/>
        <w:gridCol w:w="1245"/>
        <w:gridCol w:w="4791"/>
      </w:tblGrid>
      <w:tr w14:paraId="24D910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3" w:type="dxa"/>
            <w:tcBorders>
              <w:top w:val="single" w:color="auto" w:sz="12" w:space="0"/>
              <w:left w:val="single" w:color="auto" w:sz="12" w:space="0"/>
            </w:tcBorders>
          </w:tcPr>
          <w:p w14:paraId="2B27EBC9">
            <w:pPr>
              <w:adjustRightInd w:val="0"/>
              <w:snapToGrid w:val="0"/>
              <w:spacing w:line="240" w:lineRule="auto"/>
              <w:ind w:firstLine="0" w:firstLineChars="0"/>
              <w:jc w:val="center"/>
              <w:rPr>
                <w:rFonts w:hint="eastAsia" w:ascii="Times New Roman" w:hAnsi="Times New Roman" w:eastAsia="宋体" w:cs="Times New Roman"/>
                <w:b/>
                <w:bCs/>
                <w:color w:val="000000" w:themeColor="text1"/>
                <w:kern w:val="0"/>
                <w:sz w:val="21"/>
                <w:szCs w:val="21"/>
                <w:u w:val="none"/>
                <w:lang w:val="en-US" w:eastAsia="zh-CN"/>
                <w14:textFill>
                  <w14:solidFill>
                    <w14:schemeClr w14:val="tx1"/>
                  </w14:solidFill>
                </w14:textFill>
              </w:rPr>
            </w:pPr>
            <w:r>
              <w:rPr>
                <w:rFonts w:hint="eastAsia" w:ascii="Times New Roman" w:hAnsi="Times New Roman" w:eastAsia="宋体" w:cs="Times New Roman"/>
                <w:b/>
                <w:bCs/>
                <w:color w:val="000000" w:themeColor="text1"/>
                <w:kern w:val="0"/>
                <w:sz w:val="21"/>
                <w:szCs w:val="21"/>
                <w:u w:val="none"/>
                <w:lang w:val="en-US" w:eastAsia="zh-CN"/>
                <w14:textFill>
                  <w14:solidFill>
                    <w14:schemeClr w14:val="tx1"/>
                  </w14:solidFill>
                </w14:textFill>
              </w:rPr>
              <w:t>序号</w:t>
            </w:r>
          </w:p>
        </w:tc>
        <w:tc>
          <w:tcPr>
            <w:tcW w:w="1243" w:type="dxa"/>
            <w:tcBorders>
              <w:top w:val="single" w:color="auto" w:sz="12" w:space="0"/>
            </w:tcBorders>
          </w:tcPr>
          <w:p w14:paraId="05049BBF">
            <w:pPr>
              <w:adjustRightInd w:val="0"/>
              <w:snapToGrid w:val="0"/>
              <w:spacing w:line="240" w:lineRule="auto"/>
              <w:ind w:firstLine="0" w:firstLineChars="0"/>
              <w:jc w:val="center"/>
              <w:rPr>
                <w:rFonts w:hint="eastAsia" w:ascii="Times New Roman" w:hAnsi="Times New Roman" w:eastAsia="宋体" w:cs="Times New Roman"/>
                <w:b/>
                <w:bCs/>
                <w:color w:val="000000" w:themeColor="text1"/>
                <w:kern w:val="0"/>
                <w:sz w:val="21"/>
                <w:szCs w:val="21"/>
                <w:u w:val="none"/>
                <w:lang w:val="en-US" w:eastAsia="zh-CN"/>
                <w14:textFill>
                  <w14:solidFill>
                    <w14:schemeClr w14:val="tx1"/>
                  </w14:solidFill>
                </w14:textFill>
              </w:rPr>
            </w:pPr>
            <w:r>
              <w:rPr>
                <w:rFonts w:hint="eastAsia" w:ascii="Times New Roman" w:hAnsi="Times New Roman" w:eastAsia="宋体" w:cs="Times New Roman"/>
                <w:b/>
                <w:bCs/>
                <w:color w:val="000000" w:themeColor="text1"/>
                <w:kern w:val="0"/>
                <w:sz w:val="21"/>
                <w:szCs w:val="21"/>
                <w:u w:val="none"/>
                <w:lang w:val="en-US" w:eastAsia="zh-CN"/>
                <w14:textFill>
                  <w14:solidFill>
                    <w14:schemeClr w14:val="tx1"/>
                  </w14:solidFill>
                </w14:textFill>
              </w:rPr>
              <w:t>方位</w:t>
            </w:r>
          </w:p>
        </w:tc>
        <w:tc>
          <w:tcPr>
            <w:tcW w:w="1245" w:type="dxa"/>
            <w:tcBorders>
              <w:top w:val="single" w:color="auto" w:sz="12" w:space="0"/>
            </w:tcBorders>
          </w:tcPr>
          <w:p w14:paraId="4BDEDDEF">
            <w:pPr>
              <w:adjustRightInd w:val="0"/>
              <w:snapToGrid w:val="0"/>
              <w:spacing w:line="240" w:lineRule="auto"/>
              <w:ind w:firstLine="0" w:firstLineChars="0"/>
              <w:jc w:val="center"/>
              <w:rPr>
                <w:rFonts w:hint="eastAsia" w:ascii="Times New Roman" w:hAnsi="Times New Roman" w:eastAsia="宋体" w:cs="Times New Roman"/>
                <w:b/>
                <w:bCs/>
                <w:color w:val="000000" w:themeColor="text1"/>
                <w:kern w:val="0"/>
                <w:sz w:val="21"/>
                <w:szCs w:val="21"/>
                <w:u w:val="none"/>
                <w:lang w:val="en-US" w:eastAsia="zh-CN"/>
                <w14:textFill>
                  <w14:solidFill>
                    <w14:schemeClr w14:val="tx1"/>
                  </w14:solidFill>
                </w14:textFill>
              </w:rPr>
            </w:pPr>
            <w:r>
              <w:rPr>
                <w:rFonts w:hint="eastAsia" w:ascii="Times New Roman" w:hAnsi="Times New Roman" w:eastAsia="宋体" w:cs="Times New Roman"/>
                <w:b/>
                <w:bCs/>
                <w:color w:val="000000" w:themeColor="text1"/>
                <w:kern w:val="0"/>
                <w:sz w:val="21"/>
                <w:szCs w:val="21"/>
                <w:u w:val="none"/>
                <w:lang w:val="en-US" w:eastAsia="zh-CN"/>
                <w14:textFill>
                  <w14:solidFill>
                    <w14:schemeClr w14:val="tx1"/>
                  </w14:solidFill>
                </w14:textFill>
              </w:rPr>
              <w:t>距离</w:t>
            </w:r>
          </w:p>
        </w:tc>
        <w:tc>
          <w:tcPr>
            <w:tcW w:w="4791" w:type="dxa"/>
            <w:tcBorders>
              <w:top w:val="single" w:color="auto" w:sz="12" w:space="0"/>
              <w:right w:val="single" w:color="auto" w:sz="12" w:space="0"/>
            </w:tcBorders>
          </w:tcPr>
          <w:p w14:paraId="7143B6B0">
            <w:pPr>
              <w:adjustRightInd w:val="0"/>
              <w:snapToGrid w:val="0"/>
              <w:spacing w:line="240" w:lineRule="auto"/>
              <w:ind w:firstLine="0" w:firstLineChars="0"/>
              <w:jc w:val="center"/>
              <w:rPr>
                <w:rFonts w:hint="default" w:ascii="Times New Roman" w:hAnsi="Times New Roman" w:eastAsia="宋体" w:cs="Times New Roman"/>
                <w:b/>
                <w:bCs/>
                <w:color w:val="000000" w:themeColor="text1"/>
                <w:kern w:val="0"/>
                <w:sz w:val="21"/>
                <w:szCs w:val="21"/>
                <w:u w:val="none"/>
                <w:lang w:val="en-US" w:eastAsia="zh-CN"/>
                <w14:textFill>
                  <w14:solidFill>
                    <w14:schemeClr w14:val="tx1"/>
                  </w14:solidFill>
                </w14:textFill>
              </w:rPr>
            </w:pPr>
            <w:r>
              <w:rPr>
                <w:rFonts w:hint="eastAsia" w:ascii="Times New Roman" w:hAnsi="Times New Roman" w:eastAsia="宋体" w:cs="Times New Roman"/>
                <w:b/>
                <w:bCs/>
                <w:color w:val="000000" w:themeColor="text1"/>
                <w:kern w:val="0"/>
                <w:sz w:val="21"/>
                <w:szCs w:val="21"/>
                <w:u w:val="none"/>
                <w:lang w:val="en-US" w:eastAsia="zh-CN"/>
                <w14:textFill>
                  <w14:solidFill>
                    <w14:schemeClr w14:val="tx1"/>
                  </w14:solidFill>
                </w14:textFill>
              </w:rPr>
              <w:t>水环境保护目标</w:t>
            </w:r>
          </w:p>
        </w:tc>
      </w:tr>
      <w:tr w14:paraId="25EC0B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3" w:type="dxa"/>
            <w:tcBorders>
              <w:left w:val="single" w:color="auto" w:sz="12" w:space="0"/>
            </w:tcBorders>
          </w:tcPr>
          <w:p w14:paraId="5E6D78A4">
            <w:pPr>
              <w:adjustRightInd w:val="0"/>
              <w:snapToGrid w:val="0"/>
              <w:spacing w:line="240" w:lineRule="auto"/>
              <w:ind w:firstLine="0" w:firstLineChars="0"/>
              <w:jc w:val="center"/>
              <w:rPr>
                <w:rFonts w:hint="eastAsia"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1"/>
                <w:szCs w:val="21"/>
                <w:u w:val="none"/>
                <w:lang w:val="en-US" w:eastAsia="zh-CN"/>
                <w14:textFill>
                  <w14:solidFill>
                    <w14:schemeClr w14:val="tx1"/>
                  </w14:solidFill>
                </w14:textFill>
              </w:rPr>
              <w:t>1</w:t>
            </w:r>
          </w:p>
        </w:tc>
        <w:tc>
          <w:tcPr>
            <w:tcW w:w="1243" w:type="dxa"/>
          </w:tcPr>
          <w:p w14:paraId="751C0CE9">
            <w:pPr>
              <w:adjustRightInd w:val="0"/>
              <w:snapToGrid w:val="0"/>
              <w:spacing w:line="240" w:lineRule="auto"/>
              <w:ind w:firstLine="0" w:firstLineChars="0"/>
              <w:jc w:val="center"/>
              <w:rPr>
                <w:rFonts w:hint="eastAsia"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1"/>
                <w:szCs w:val="21"/>
                <w:u w:val="none"/>
                <w:lang w:val="en-US" w:eastAsia="zh-CN"/>
                <w14:textFill>
                  <w14:solidFill>
                    <w14:schemeClr w14:val="tx1"/>
                  </w14:solidFill>
                </w14:textFill>
              </w:rPr>
              <w:t>W</w:t>
            </w:r>
          </w:p>
        </w:tc>
        <w:tc>
          <w:tcPr>
            <w:tcW w:w="1245" w:type="dxa"/>
          </w:tcPr>
          <w:p w14:paraId="60DDBA19">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1"/>
                <w:szCs w:val="21"/>
                <w:u w:val="none"/>
                <w:lang w:val="en-US" w:eastAsia="zh-CN"/>
                <w14:textFill>
                  <w14:solidFill>
                    <w14:schemeClr w14:val="tx1"/>
                  </w14:solidFill>
                </w14:textFill>
              </w:rPr>
              <w:t>3.8km</w:t>
            </w:r>
          </w:p>
        </w:tc>
        <w:tc>
          <w:tcPr>
            <w:tcW w:w="4791" w:type="dxa"/>
            <w:tcBorders>
              <w:right w:val="single" w:color="auto" w:sz="12" w:space="0"/>
            </w:tcBorders>
          </w:tcPr>
          <w:p w14:paraId="62C849E4">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1"/>
                <w:szCs w:val="21"/>
                <w:u w:val="none"/>
                <w:lang w:val="en-US" w:eastAsia="zh-CN"/>
                <w14:textFill>
                  <w14:solidFill>
                    <w14:schemeClr w14:val="tx1"/>
                  </w14:solidFill>
                </w14:textFill>
              </w:rPr>
              <w:t>广西茅尾海红树林自治区自然保护区</w:t>
            </w:r>
          </w:p>
        </w:tc>
      </w:tr>
      <w:tr w14:paraId="360618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3" w:type="dxa"/>
            <w:tcBorders>
              <w:left w:val="single" w:color="auto" w:sz="12" w:space="0"/>
            </w:tcBorders>
          </w:tcPr>
          <w:p w14:paraId="7BF43B0F">
            <w:pPr>
              <w:adjustRightInd w:val="0"/>
              <w:snapToGrid w:val="0"/>
              <w:spacing w:line="240" w:lineRule="auto"/>
              <w:ind w:firstLine="0" w:firstLineChars="0"/>
              <w:jc w:val="center"/>
              <w:rPr>
                <w:rFonts w:hint="eastAsia"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1"/>
                <w:szCs w:val="21"/>
                <w:u w:val="none"/>
                <w:lang w:val="en-US" w:eastAsia="zh-CN"/>
                <w14:textFill>
                  <w14:solidFill>
                    <w14:schemeClr w14:val="tx1"/>
                  </w14:solidFill>
                </w14:textFill>
              </w:rPr>
              <w:t>2</w:t>
            </w:r>
          </w:p>
        </w:tc>
        <w:tc>
          <w:tcPr>
            <w:tcW w:w="1243" w:type="dxa"/>
          </w:tcPr>
          <w:p w14:paraId="52DAD32D">
            <w:pPr>
              <w:adjustRightInd w:val="0"/>
              <w:snapToGrid w:val="0"/>
              <w:spacing w:line="240" w:lineRule="auto"/>
              <w:ind w:firstLine="0" w:firstLineChars="0"/>
              <w:jc w:val="center"/>
              <w:rPr>
                <w:rFonts w:hint="eastAsia"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1"/>
                <w:szCs w:val="21"/>
                <w:u w:val="none"/>
                <w:lang w:val="en-US" w:eastAsia="zh-CN"/>
                <w14:textFill>
                  <w14:solidFill>
                    <w14:schemeClr w14:val="tx1"/>
                  </w14:solidFill>
                </w14:textFill>
              </w:rPr>
              <w:t>S</w:t>
            </w:r>
          </w:p>
        </w:tc>
        <w:tc>
          <w:tcPr>
            <w:tcW w:w="1245" w:type="dxa"/>
          </w:tcPr>
          <w:p w14:paraId="70987BA5">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1"/>
                <w:szCs w:val="21"/>
                <w:u w:val="none"/>
                <w:lang w:val="en-US" w:eastAsia="zh-CN"/>
                <w14:textFill>
                  <w14:solidFill>
                    <w14:schemeClr w14:val="tx1"/>
                  </w14:solidFill>
                </w14:textFill>
              </w:rPr>
              <w:t>5.9km</w:t>
            </w:r>
          </w:p>
        </w:tc>
        <w:tc>
          <w:tcPr>
            <w:tcW w:w="4791" w:type="dxa"/>
            <w:tcBorders>
              <w:right w:val="single" w:color="auto" w:sz="12" w:space="0"/>
            </w:tcBorders>
          </w:tcPr>
          <w:p w14:paraId="51517BEC">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1"/>
                <w:szCs w:val="21"/>
                <w:u w:val="none"/>
                <w:lang w:val="en-US" w:eastAsia="zh-CN"/>
                <w14:textFill>
                  <w14:solidFill>
                    <w14:schemeClr w14:val="tx1"/>
                  </w14:solidFill>
                </w14:textFill>
              </w:rPr>
              <w:t>钦州港青菜头南浅海滩涂养殖区</w:t>
            </w:r>
          </w:p>
        </w:tc>
      </w:tr>
      <w:tr w14:paraId="2B0CFA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3" w:type="dxa"/>
            <w:tcBorders>
              <w:left w:val="single" w:color="auto" w:sz="12" w:space="0"/>
            </w:tcBorders>
          </w:tcPr>
          <w:p w14:paraId="247A9453">
            <w:pPr>
              <w:adjustRightInd w:val="0"/>
              <w:snapToGrid w:val="0"/>
              <w:spacing w:line="240" w:lineRule="auto"/>
              <w:ind w:firstLine="0" w:firstLineChars="0"/>
              <w:jc w:val="center"/>
              <w:rPr>
                <w:rFonts w:hint="eastAsia"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1"/>
                <w:szCs w:val="21"/>
                <w:u w:val="none"/>
                <w:lang w:val="en-US" w:eastAsia="zh-CN"/>
                <w14:textFill>
                  <w14:solidFill>
                    <w14:schemeClr w14:val="tx1"/>
                  </w14:solidFill>
                </w14:textFill>
              </w:rPr>
              <w:t>3</w:t>
            </w:r>
          </w:p>
        </w:tc>
        <w:tc>
          <w:tcPr>
            <w:tcW w:w="1243" w:type="dxa"/>
          </w:tcPr>
          <w:p w14:paraId="6C4A4CCA">
            <w:pPr>
              <w:adjustRightInd w:val="0"/>
              <w:snapToGrid w:val="0"/>
              <w:spacing w:line="240" w:lineRule="auto"/>
              <w:ind w:firstLine="0" w:firstLineChars="0"/>
              <w:jc w:val="center"/>
              <w:rPr>
                <w:rFonts w:hint="eastAsia"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1"/>
                <w:szCs w:val="21"/>
                <w:u w:val="none"/>
                <w:lang w:val="en-US" w:eastAsia="zh-CN"/>
                <w14:textFill>
                  <w14:solidFill>
                    <w14:schemeClr w14:val="tx1"/>
                  </w14:solidFill>
                </w14:textFill>
              </w:rPr>
              <w:t>N</w:t>
            </w:r>
          </w:p>
        </w:tc>
        <w:tc>
          <w:tcPr>
            <w:tcW w:w="1245" w:type="dxa"/>
          </w:tcPr>
          <w:p w14:paraId="3983E703">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1"/>
                <w:szCs w:val="21"/>
                <w:u w:val="none"/>
                <w:lang w:val="en-US" w:eastAsia="zh-CN"/>
                <w14:textFill>
                  <w14:solidFill>
                    <w14:schemeClr w14:val="tx1"/>
                  </w14:solidFill>
                </w14:textFill>
              </w:rPr>
              <w:t>3.8km</w:t>
            </w:r>
          </w:p>
        </w:tc>
        <w:tc>
          <w:tcPr>
            <w:tcW w:w="4791" w:type="dxa"/>
            <w:tcBorders>
              <w:right w:val="single" w:color="auto" w:sz="12" w:space="0"/>
            </w:tcBorders>
          </w:tcPr>
          <w:p w14:paraId="32EFD1AD">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1"/>
                <w:szCs w:val="21"/>
                <w:u w:val="none"/>
                <w:lang w:val="en-US" w:eastAsia="zh-CN"/>
                <w14:textFill>
                  <w14:solidFill>
                    <w14:schemeClr w14:val="tx1"/>
                  </w14:solidFill>
                </w14:textFill>
              </w:rPr>
              <w:t>红树林集中分布斑块</w:t>
            </w:r>
          </w:p>
        </w:tc>
      </w:tr>
      <w:tr w14:paraId="6787DB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243" w:type="dxa"/>
            <w:tcBorders>
              <w:left w:val="single" w:color="auto" w:sz="12" w:space="0"/>
              <w:bottom w:val="single" w:color="auto" w:sz="12" w:space="0"/>
            </w:tcBorders>
          </w:tcPr>
          <w:p w14:paraId="17662E5A">
            <w:pPr>
              <w:adjustRightInd w:val="0"/>
              <w:snapToGrid w:val="0"/>
              <w:spacing w:line="240" w:lineRule="auto"/>
              <w:ind w:firstLine="0" w:firstLineChars="0"/>
              <w:jc w:val="center"/>
              <w:rPr>
                <w:rFonts w:hint="eastAsia"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1"/>
                <w:szCs w:val="21"/>
                <w:u w:val="none"/>
                <w:lang w:val="en-US" w:eastAsia="zh-CN"/>
                <w14:textFill>
                  <w14:solidFill>
                    <w14:schemeClr w14:val="tx1"/>
                  </w14:solidFill>
                </w14:textFill>
              </w:rPr>
              <w:t>4</w:t>
            </w:r>
          </w:p>
        </w:tc>
        <w:tc>
          <w:tcPr>
            <w:tcW w:w="1243" w:type="dxa"/>
            <w:tcBorders>
              <w:bottom w:val="single" w:color="auto" w:sz="12" w:space="0"/>
            </w:tcBorders>
          </w:tcPr>
          <w:p w14:paraId="2768208F">
            <w:pPr>
              <w:adjustRightInd w:val="0"/>
              <w:snapToGrid w:val="0"/>
              <w:spacing w:line="240" w:lineRule="auto"/>
              <w:ind w:firstLine="0" w:firstLineChars="0"/>
              <w:jc w:val="center"/>
              <w:rPr>
                <w:rFonts w:hint="eastAsia"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1"/>
                <w:szCs w:val="21"/>
                <w:u w:val="none"/>
                <w:lang w:val="en-US" w:eastAsia="zh-CN"/>
                <w14:textFill>
                  <w14:solidFill>
                    <w14:schemeClr w14:val="tx1"/>
                  </w14:solidFill>
                </w14:textFill>
              </w:rPr>
              <w:t>W</w:t>
            </w:r>
          </w:p>
        </w:tc>
        <w:tc>
          <w:tcPr>
            <w:tcW w:w="1245" w:type="dxa"/>
            <w:tcBorders>
              <w:bottom w:val="single" w:color="auto" w:sz="12" w:space="0"/>
            </w:tcBorders>
          </w:tcPr>
          <w:p w14:paraId="03B09D2F">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1"/>
                <w:szCs w:val="21"/>
                <w:u w:val="none"/>
                <w:lang w:val="en-US" w:eastAsia="zh-CN"/>
                <w14:textFill>
                  <w14:solidFill>
                    <w14:schemeClr w14:val="tx1"/>
                  </w14:solidFill>
                </w14:textFill>
              </w:rPr>
              <w:t>3.6km</w:t>
            </w:r>
          </w:p>
        </w:tc>
        <w:tc>
          <w:tcPr>
            <w:tcW w:w="4791" w:type="dxa"/>
            <w:tcBorders>
              <w:bottom w:val="single" w:color="auto" w:sz="12" w:space="0"/>
              <w:right w:val="single" w:color="auto" w:sz="12" w:space="0"/>
            </w:tcBorders>
          </w:tcPr>
          <w:p w14:paraId="38C5C252">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1"/>
                <w:szCs w:val="21"/>
                <w:u w:val="none"/>
                <w:lang w:val="en-US" w:eastAsia="zh-CN"/>
                <w14:textFill>
                  <w14:solidFill>
                    <w14:schemeClr w14:val="tx1"/>
                  </w14:solidFill>
                </w14:textFill>
              </w:rPr>
              <w:t>蚝排养殖区</w:t>
            </w:r>
          </w:p>
        </w:tc>
      </w:tr>
    </w:tbl>
    <w:p w14:paraId="144E4312">
      <w:pPr>
        <w:pStyle w:val="5"/>
        <w:rPr>
          <w:color w:val="000000" w:themeColor="text1"/>
          <w14:textFill>
            <w14:solidFill>
              <w14:schemeClr w14:val="tx1"/>
            </w14:solidFill>
          </w14:textFill>
        </w:rPr>
      </w:pPr>
      <w:r>
        <w:rPr>
          <w:color w:val="000000" w:themeColor="text1"/>
          <w14:textFill>
            <w14:solidFill>
              <w14:schemeClr w14:val="tx1"/>
            </w14:solidFill>
          </w14:textFill>
        </w:rPr>
        <w:t>风险识别</w:t>
      </w:r>
    </w:p>
    <w:p w14:paraId="1C8C4865">
      <w:pPr>
        <w:pStyle w:val="4"/>
        <w:rPr>
          <w:color w:val="000000" w:themeColor="text1"/>
          <w14:textFill>
            <w14:solidFill>
              <w14:schemeClr w14:val="tx1"/>
            </w14:solidFill>
          </w14:textFill>
        </w:rPr>
      </w:pPr>
      <w:r>
        <w:rPr>
          <w:color w:val="000000" w:themeColor="text1"/>
          <w14:textFill>
            <w14:solidFill>
              <w14:schemeClr w14:val="tx1"/>
            </w14:solidFill>
          </w14:textFill>
        </w:rPr>
        <w:t>事故资料统计</w:t>
      </w:r>
    </w:p>
    <w:p w14:paraId="0F2347BD">
      <w:pPr>
        <w:ind w:firstLine="480"/>
        <w:rPr>
          <w:color w:val="000000" w:themeColor="text1"/>
          <w14:textFill>
            <w14:solidFill>
              <w14:schemeClr w14:val="tx1"/>
            </w14:solidFill>
          </w14:textFill>
        </w:rPr>
      </w:pPr>
      <w:r>
        <w:rPr>
          <w:color w:val="000000" w:themeColor="text1"/>
          <w14:textFill>
            <w14:solidFill>
              <w14:schemeClr w14:val="tx1"/>
            </w14:solidFill>
          </w14:textFill>
        </w:rPr>
        <w:t>风险评价以概率论为理论基础，将受体特征（如水体、大气环境特征或生物群种特征）和影响物特征（数量、持续时间、转归途径及形式等）视为在一定范围内随机变动的变量，即随机变量，从而进行环境风险评价。因此工业系统及其各个行业系统，历史的事故统计及其概率是预测本项目的重要依据。本评价对码头系统有关的事故资料进行归纳统计。</w:t>
      </w:r>
    </w:p>
    <w:p w14:paraId="354DFD0C">
      <w:pPr>
        <w:pStyle w:val="6"/>
        <w:rPr>
          <w:color w:val="000000" w:themeColor="text1"/>
          <w14:textFill>
            <w14:solidFill>
              <w14:schemeClr w14:val="tx1"/>
            </w14:solidFill>
          </w14:textFill>
        </w:rPr>
      </w:pPr>
      <w:r>
        <w:rPr>
          <w:color w:val="000000" w:themeColor="text1"/>
          <w14:textFill>
            <w14:solidFill>
              <w14:schemeClr w14:val="tx1"/>
            </w14:solidFill>
          </w14:textFill>
        </w:rPr>
        <w:t>码头风险事故统计分析</w:t>
      </w:r>
    </w:p>
    <w:p w14:paraId="7A086924">
      <w:pPr>
        <w:ind w:firstLine="482"/>
        <w:rPr>
          <w:b/>
          <w:color w:val="000000" w:themeColor="text1"/>
          <w14:textFill>
            <w14:solidFill>
              <w14:schemeClr w14:val="tx1"/>
            </w14:solidFill>
          </w14:textFill>
        </w:rPr>
      </w:pPr>
      <w:r>
        <w:rPr>
          <w:b/>
          <w:color w:val="000000" w:themeColor="text1"/>
          <w14:textFill>
            <w14:solidFill>
              <w14:schemeClr w14:val="tx1"/>
            </w14:solidFill>
          </w14:textFill>
        </w:rPr>
        <w:t>一、全球船舶溢油事故统计</w:t>
      </w:r>
    </w:p>
    <w:p w14:paraId="0AD212FA">
      <w:pPr>
        <w:ind w:firstLine="480"/>
        <w:rPr>
          <w:color w:val="000000" w:themeColor="text1"/>
          <w14:textFill>
            <w14:solidFill>
              <w14:schemeClr w14:val="tx1"/>
            </w14:solidFill>
          </w14:textFill>
        </w:rPr>
      </w:pPr>
      <w:r>
        <w:rPr>
          <w:color w:val="000000" w:themeColor="text1"/>
          <w14:textFill>
            <w14:solidFill>
              <w14:schemeClr w14:val="tx1"/>
            </w14:solidFill>
          </w14:textFill>
        </w:rPr>
        <w:t>（1）溢油事故的次数</w:t>
      </w:r>
    </w:p>
    <w:p w14:paraId="088460AE">
      <w:pPr>
        <w:pStyle w:val="74"/>
        <w:rPr>
          <w:color w:val="000000" w:themeColor="text1"/>
          <w14:textFill>
            <w14:solidFill>
              <w14:schemeClr w14:val="tx1"/>
            </w14:solidFill>
          </w14:textFill>
        </w:rPr>
      </w:pPr>
      <w:r>
        <w:rPr>
          <w:color w:val="000000" w:themeColor="text1"/>
          <w14:textFill>
            <w14:solidFill>
              <w14:schemeClr w14:val="tx1"/>
            </w14:solidFill>
          </w14:textFill>
        </w:rPr>
        <w:t>据ITOPF1974~2015年的统计资料，46年来溢油量7吨及以上溢油事故共1823起。图5.4-1为从1970到2015年各年代（十年）中型（7-700吨）和大型（＞700吨）的事故发生次数。从图中可以看出，在过去35年，超过700吨的溢油事故的平均数逐步下降，55%的大规模溢油事件发生在七十年代，从2010年起稳定在平均一年1.8次。2015年两起大的泄漏事件都是由于碰撞引起的溢油，第一起于1月份发生在新加坡，造成4500吨原油泄漏，第二起发生在土耳其，造成1400吨石油泄漏。</w:t>
      </w:r>
    </w:p>
    <w:p w14:paraId="2FA5203C">
      <w:pPr>
        <w:ind w:firstLine="480"/>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4965065" cy="2332355"/>
            <wp:effectExtent l="0" t="0" r="6985" b="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a:xfrm>
                      <a:off x="0" y="0"/>
                      <a:ext cx="4965065" cy="2332355"/>
                    </a:xfrm>
                    <a:prstGeom prst="rect">
                      <a:avLst/>
                    </a:prstGeom>
                    <a:noFill/>
                    <a:ln>
                      <a:noFill/>
                    </a:ln>
                  </pic:spPr>
                </pic:pic>
              </a:graphicData>
            </a:graphic>
          </wp:inline>
        </w:drawing>
      </w:r>
    </w:p>
    <w:p w14:paraId="56214A43">
      <w:pPr>
        <w:pStyle w:val="8"/>
        <w:rPr>
          <w:color w:val="000000" w:themeColor="text1"/>
          <w14:textFill>
            <w14:solidFill>
              <w14:schemeClr w14:val="tx1"/>
            </w14:solidFill>
          </w14:textFill>
        </w:rPr>
      </w:pPr>
      <w:r>
        <w:rPr>
          <w:color w:val="000000" w:themeColor="text1"/>
          <w14:textFill>
            <w14:solidFill>
              <w14:schemeClr w14:val="tx1"/>
            </w14:solidFill>
          </w14:textFill>
        </w:rPr>
        <w:t>各年代中型（7-700吨）和大型（＞700吨）的溢油事故发生次数</w:t>
      </w:r>
    </w:p>
    <w:p w14:paraId="1C4A516E">
      <w:pPr>
        <w:ind w:firstLine="480"/>
        <w:rPr>
          <w:color w:val="000000" w:themeColor="text1"/>
          <w14:textFill>
            <w14:solidFill>
              <w14:schemeClr w14:val="tx1"/>
            </w14:solidFill>
          </w14:textFill>
        </w:rPr>
      </w:pPr>
      <w:r>
        <w:rPr>
          <w:color w:val="000000" w:themeColor="text1"/>
          <w14:textFill>
            <w14:solidFill>
              <w14:schemeClr w14:val="tx1"/>
            </w14:solidFill>
          </w14:textFill>
        </w:rPr>
        <w:t>（2）溢油的数量</w:t>
      </w:r>
    </w:p>
    <w:p w14:paraId="13A8EE5B">
      <w:pPr>
        <w:ind w:firstLine="480"/>
        <w:rPr>
          <w:color w:val="000000" w:themeColor="text1"/>
          <w14:textFill>
            <w14:solidFill>
              <w14:schemeClr w14:val="tx1"/>
            </w14:solidFill>
          </w14:textFill>
        </w:rPr>
      </w:pPr>
      <w:r>
        <w:rPr>
          <w:color w:val="000000" w:themeColor="text1"/>
          <w14:textFill>
            <w14:solidFill>
              <w14:schemeClr w14:val="tx1"/>
            </w14:solidFill>
          </w14:textFill>
        </w:rPr>
        <w:t>1970年到2015年间，各起油轮事故（7吨及以上）导致总溢油约572万吨，如图5.4-2所示，几十年来油轮溢油量有明显改善，几十年前有好几个单独的年份的年漏油量甚至超过2000年-2009年间的总漏油量（196000吨）。2015年泄漏到环境的石油数量大约7000吨，其中</w:t>
      </w:r>
      <w:r>
        <w:rPr>
          <w:rFonts w:hint="eastAsia"/>
          <w:color w:val="000000" w:themeColor="text1"/>
          <w:lang w:eastAsia="zh-CN"/>
          <w14:textFill>
            <w14:solidFill>
              <w14:schemeClr w14:val="tx1"/>
            </w14:solidFill>
          </w14:textFill>
        </w:rPr>
        <w:t>绝大多数</w:t>
      </w:r>
      <w:r>
        <w:rPr>
          <w:color w:val="000000" w:themeColor="text1"/>
          <w14:textFill>
            <w14:solidFill>
              <w14:schemeClr w14:val="tx1"/>
            </w14:solidFill>
          </w14:textFill>
        </w:rPr>
        <w:t>可以归于记录在1月和6月两起大型泄漏事故（＞700吨）。</w:t>
      </w:r>
    </w:p>
    <w:p w14:paraId="32C2E380">
      <w:pPr>
        <w:ind w:firstLine="480"/>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4757420" cy="2235200"/>
            <wp:effectExtent l="0" t="0" r="5080"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a:xfrm>
                      <a:off x="0" y="0"/>
                      <a:ext cx="4757420" cy="2235200"/>
                    </a:xfrm>
                    <a:prstGeom prst="rect">
                      <a:avLst/>
                    </a:prstGeom>
                    <a:noFill/>
                    <a:ln>
                      <a:noFill/>
                    </a:ln>
                  </pic:spPr>
                </pic:pic>
              </a:graphicData>
            </a:graphic>
          </wp:inline>
        </w:drawing>
      </w:r>
    </w:p>
    <w:p w14:paraId="5ABD2A9F">
      <w:pPr>
        <w:pStyle w:val="8"/>
        <w:rPr>
          <w:color w:val="000000" w:themeColor="text1"/>
          <w14:textFill>
            <w14:solidFill>
              <w14:schemeClr w14:val="tx1"/>
            </w14:solidFill>
          </w14:textFill>
        </w:rPr>
      </w:pPr>
      <w:r>
        <w:rPr>
          <w:color w:val="000000" w:themeColor="text1"/>
          <w14:textFill>
            <w14:solidFill>
              <w14:schemeClr w14:val="tx1"/>
            </w14:solidFill>
          </w14:textFill>
        </w:rPr>
        <w:t>1970年至2015年7吨以上的年度总溢油量</w:t>
      </w:r>
    </w:p>
    <w:p w14:paraId="042A2802">
      <w:pPr>
        <w:ind w:firstLine="480"/>
        <w:rPr>
          <w:color w:val="000000" w:themeColor="text1"/>
          <w14:textFill>
            <w14:solidFill>
              <w14:schemeClr w14:val="tx1"/>
            </w14:solidFill>
          </w14:textFill>
        </w:rPr>
      </w:pPr>
      <w:r>
        <w:rPr>
          <w:color w:val="000000" w:themeColor="text1"/>
          <w14:textFill>
            <w14:solidFill>
              <w14:schemeClr w14:val="tx1"/>
            </w14:solidFill>
          </w14:textFill>
        </w:rPr>
        <w:t>（3）大型的溢油</w:t>
      </w:r>
    </w:p>
    <w:p w14:paraId="7BA13DF3">
      <w:pPr>
        <w:ind w:firstLine="480"/>
        <w:rPr>
          <w:color w:val="000000" w:themeColor="text1"/>
          <w14:textFill>
            <w14:solidFill>
              <w14:schemeClr w14:val="tx1"/>
            </w14:solidFill>
          </w14:textFill>
        </w:rPr>
      </w:pPr>
      <w:r>
        <w:rPr>
          <w:color w:val="000000" w:themeColor="text1"/>
          <w14:textFill>
            <w14:solidFill>
              <w14:schemeClr w14:val="tx1"/>
            </w14:solidFill>
          </w14:textFill>
        </w:rPr>
        <w:t>从溢油的数量和频率来看，几次特大型的漏油事故造成了绝大多数的总泄漏量。在1990年代发生358起7吨以上的事故，导致溢油1133000吨，其中73%的总溢油量源于10起事故；在本世纪初发生181次7吨及以上的事故，溢油196000吨，其中75%的总溢油量源于10起事故；在2010-2018年的九年期间，发生了59起7吨及以上的溢油事故，造成16.3万吨的石油损失；仅在10起事件中，有92％发生了泄漏。十年间，一次事故造成了大约70％的石油泄漏量。</w:t>
      </w:r>
    </w:p>
    <w:p w14:paraId="7FFFD4CB">
      <w:pPr>
        <w:ind w:firstLine="480"/>
        <w:rPr>
          <w:color w:val="000000" w:themeColor="text1"/>
          <w14:textFill>
            <w14:solidFill>
              <w14:schemeClr w14:val="tx1"/>
            </w14:solidFill>
          </w14:textFill>
        </w:rPr>
      </w:pPr>
      <w:r>
        <w:rPr>
          <w:color w:val="000000" w:themeColor="text1"/>
          <w14:textFill>
            <w14:solidFill>
              <w14:schemeClr w14:val="tx1"/>
            </w14:solidFill>
          </w14:textFill>
        </w:rPr>
        <w:t>（4）事故原因</w:t>
      </w:r>
    </w:p>
    <w:p w14:paraId="3A9FD4D0">
      <w:pPr>
        <w:ind w:firstLine="480"/>
        <w:rPr>
          <w:color w:val="000000" w:themeColor="text1"/>
          <w14:textFill>
            <w14:solidFill>
              <w14:schemeClr w14:val="tx1"/>
            </w14:solidFill>
          </w14:textFill>
        </w:rPr>
      </w:pPr>
      <w:r>
        <w:rPr>
          <w:color w:val="000000" w:themeColor="text1"/>
          <w14:textFill>
            <w14:solidFill>
              <w14:schemeClr w14:val="tx1"/>
            </w14:solidFill>
          </w14:textFill>
        </w:rPr>
        <w:t>主要事故原因归为碰撞、搁浅、船体故障、设备故障、火灾及爆炸，和其他/未知。小型和中型的中小型事故次数占所有事故次数95%；这些事故中很大一部分，40%和29%，发生在通常用在港口和码头进行货物装卸操作过程中。46%的中小型事故由于设备故障和船体故障造成。大型事故发生频率占所有事故的5%，这些事故的发生频率在过去46年内已大幅度减少，其中50%的大型事故发生于开放水域的在航操作，其中56%的事故由碰撞、搁浅造成。当船只在内陆或受限水域（包括港口和口岸）在航时，碰撞和搁浅甚至造成更高的比例，99%的事故与此有关。</w:t>
      </w:r>
    </w:p>
    <w:p w14:paraId="1189C956">
      <w:pPr>
        <w:ind w:firstLine="482"/>
        <w:rPr>
          <w:b/>
          <w:color w:val="000000" w:themeColor="text1"/>
          <w14:textFill>
            <w14:solidFill>
              <w14:schemeClr w14:val="tx1"/>
            </w14:solidFill>
          </w14:textFill>
        </w:rPr>
      </w:pPr>
      <w:r>
        <w:rPr>
          <w:b/>
          <w:color w:val="000000" w:themeColor="text1"/>
          <w14:textFill>
            <w14:solidFill>
              <w14:schemeClr w14:val="tx1"/>
            </w14:solidFill>
          </w14:textFill>
        </w:rPr>
        <w:t>二、国内船舶溢油事故统计</w:t>
      </w:r>
    </w:p>
    <w:p w14:paraId="2A09497A">
      <w:pPr>
        <w:ind w:firstLine="480"/>
        <w:rPr>
          <w:color w:val="000000" w:themeColor="text1"/>
          <w14:textFill>
            <w14:solidFill>
              <w14:schemeClr w14:val="tx1"/>
            </w14:solidFill>
          </w14:textFill>
        </w:rPr>
      </w:pPr>
      <w:r>
        <w:rPr>
          <w:color w:val="000000" w:themeColor="text1"/>
          <w14:textFill>
            <w14:solidFill>
              <w14:schemeClr w14:val="tx1"/>
            </w14:solidFill>
          </w14:textFill>
        </w:rPr>
        <w:t>（1）50吨以上事故统计</w:t>
      </w:r>
    </w:p>
    <w:p w14:paraId="403192E6">
      <w:pPr>
        <w:ind w:firstLine="480"/>
        <w:rPr>
          <w:color w:val="000000" w:themeColor="text1"/>
          <w14:textFill>
            <w14:solidFill>
              <w14:schemeClr w14:val="tx1"/>
            </w14:solidFill>
          </w14:textFill>
        </w:rPr>
      </w:pPr>
      <w:r>
        <w:rPr>
          <w:color w:val="000000" w:themeColor="text1"/>
          <w14:textFill>
            <w14:solidFill>
              <w14:schemeClr w14:val="tx1"/>
            </w14:solidFill>
          </w14:textFill>
        </w:rPr>
        <w:t>根据我国沿海50吨以上溢油事故统计资料，1973-2002年共发生50吨以上溢油事故76起，总溢油量39415吨，平均518吨/起，单次最大溢油量为8000吨。泄漏油品中原油14起，泄漏量19472吨，平均1391吨/起；燃油28起，泄漏量6707吨，平均240吨/起；其他货油34起，泄漏量13236吨，平均389吨/起。</w:t>
      </w:r>
    </w:p>
    <w:p w14:paraId="509BB3A8">
      <w:pPr>
        <w:ind w:firstLine="480"/>
        <w:rPr>
          <w:color w:val="000000" w:themeColor="text1"/>
          <w14:textFill>
            <w14:solidFill>
              <w14:schemeClr w14:val="tx1"/>
            </w14:solidFill>
          </w14:textFill>
        </w:rPr>
      </w:pPr>
      <w:r>
        <w:rPr>
          <w:color w:val="000000" w:themeColor="text1"/>
          <w14:textFill>
            <w14:solidFill>
              <w14:schemeClr w14:val="tx1"/>
            </w14:solidFill>
          </w14:textFill>
        </w:rPr>
        <w:t>（2）1997-2002年事故统计</w:t>
      </w:r>
    </w:p>
    <w:p w14:paraId="07FEB3E3">
      <w:pPr>
        <w:ind w:firstLine="480"/>
        <w:rPr>
          <w:color w:val="000000" w:themeColor="text1"/>
          <w14:textFill>
            <w14:solidFill>
              <w14:schemeClr w14:val="tx1"/>
            </w14:solidFill>
          </w14:textFill>
        </w:rPr>
      </w:pPr>
      <w:r>
        <w:rPr>
          <w:color w:val="000000" w:themeColor="text1"/>
          <w14:textFill>
            <w14:solidFill>
              <w14:schemeClr w14:val="tx1"/>
            </w14:solidFill>
          </w14:textFill>
        </w:rPr>
        <w:t>根据我国沿海1997-2002年统计资料，统计期间发生453起溢油事故中，碰撞和搁浅造成的事故占总事故的55.3%，相应的溢油量占总溢油量的43.6%。</w:t>
      </w:r>
    </w:p>
    <w:p w14:paraId="47BC2408">
      <w:pPr>
        <w:ind w:firstLine="480"/>
        <w:rPr>
          <w:color w:val="000000" w:themeColor="text1"/>
          <w14:textFill>
            <w14:solidFill>
              <w14:schemeClr w14:val="tx1"/>
            </w14:solidFill>
          </w14:textFill>
        </w:rPr>
      </w:pPr>
      <w:r>
        <w:rPr>
          <w:color w:val="000000" w:themeColor="text1"/>
          <w14:textFill>
            <w14:solidFill>
              <w14:schemeClr w14:val="tx1"/>
            </w14:solidFill>
          </w14:textFill>
        </w:rPr>
        <w:t>溢油规模在1吨以上的溢油事件178起，其中操作性事故145起，事故性事故33起，分别占总溢油事故的82%、18%。按溢油量计算，145起操作性事故的溢油量为648吨，平均每起溢油量4.47吨；33起事故性溢油量7735吨，平均每起溢油量为234吨。</w:t>
      </w:r>
    </w:p>
    <w:p w14:paraId="6A8860AE">
      <w:pPr>
        <w:ind w:firstLine="482"/>
        <w:rPr>
          <w:b/>
          <w:color w:val="000000" w:themeColor="text1"/>
          <w14:textFill>
            <w14:solidFill>
              <w14:schemeClr w14:val="tx1"/>
            </w14:solidFill>
          </w14:textFill>
        </w:rPr>
      </w:pPr>
      <w:r>
        <w:rPr>
          <w:b/>
          <w:color w:val="000000" w:themeColor="text1"/>
          <w14:textFill>
            <w14:solidFill>
              <w14:schemeClr w14:val="tx1"/>
            </w14:solidFill>
          </w14:textFill>
        </w:rPr>
        <w:t>三、钦州港船舶事故统计分析</w:t>
      </w:r>
    </w:p>
    <w:p w14:paraId="74C866E6">
      <w:pPr>
        <w:ind w:firstLine="480"/>
        <w:rPr>
          <w:color w:val="000000" w:themeColor="text1"/>
          <w14:textFill>
            <w14:solidFill>
              <w14:schemeClr w14:val="tx1"/>
            </w14:solidFill>
          </w14:textFill>
        </w:rPr>
      </w:pPr>
      <w:r>
        <w:rPr>
          <w:color w:val="000000" w:themeColor="text1"/>
          <w14:textFill>
            <w14:solidFill>
              <w14:schemeClr w14:val="tx1"/>
            </w14:solidFill>
          </w14:textFill>
        </w:rPr>
        <w:t>（1）船舶交通事故</w:t>
      </w:r>
    </w:p>
    <w:p w14:paraId="19471DA5">
      <w:pPr>
        <w:ind w:firstLine="480"/>
        <w:rPr>
          <w:color w:val="000000" w:themeColor="text1"/>
          <w14:textFill>
            <w14:solidFill>
              <w14:schemeClr w14:val="tx1"/>
            </w14:solidFill>
          </w14:textFill>
        </w:rPr>
      </w:pPr>
      <w:r>
        <w:rPr>
          <w:rFonts w:ascii="Times New Roman" w:hAnsi="Times New Roman" w:eastAsia="宋体"/>
          <w:color w:val="000000" w:themeColor="text1"/>
          <w:spacing w:val="0"/>
          <w:w w:val="100"/>
          <w:position w:val="0"/>
          <w:u w:val="none" w:color="auto"/>
          <w14:textFill>
            <w14:solidFill>
              <w14:schemeClr w14:val="tx1"/>
            </w14:solidFill>
          </w14:textFill>
        </w:rPr>
        <w:t>2002~2020年，钦州港及其附近海域共发生船舶交通事故157起，主要以小事故为主，事故原因主要包括碰撞、搁浅、触损和自沉等</w:t>
      </w:r>
      <w:r>
        <w:rPr>
          <w:color w:val="000000" w:themeColor="text1"/>
          <w14:textFill>
            <w14:solidFill>
              <w14:schemeClr w14:val="tx1"/>
            </w14:solidFill>
          </w14:textFill>
        </w:rPr>
        <w:t>。</w:t>
      </w:r>
      <w:r>
        <w:rPr>
          <w:rFonts w:ascii="Times New Roman" w:hAnsi="Times New Roman" w:eastAsia="宋体"/>
          <w:color w:val="000000" w:themeColor="text1"/>
          <w:spacing w:val="0"/>
          <w:w w:val="100"/>
          <w:position w:val="0"/>
          <w:u w:val="none" w:color="auto"/>
          <w14:textFill>
            <w14:solidFill>
              <w14:schemeClr w14:val="tx1"/>
            </w14:solidFill>
          </w14:textFill>
        </w:rPr>
        <w:t>钦州港及其附近海域发生的各种船舶交通事故统计分析详见表</w:t>
      </w:r>
      <w:r>
        <w:rPr>
          <w:rFonts w:hint="eastAsia" w:eastAsia="宋体"/>
          <w:color w:val="000000" w:themeColor="text1"/>
          <w:spacing w:val="0"/>
          <w:w w:val="100"/>
          <w:position w:val="0"/>
          <w:u w:val="none" w:color="auto"/>
          <w:lang w:val="en-US" w:eastAsia="zh-CN"/>
          <w14:textFill>
            <w14:solidFill>
              <w14:schemeClr w14:val="tx1"/>
            </w14:solidFill>
          </w14:textFill>
        </w:rPr>
        <w:t>5.3-2</w:t>
      </w:r>
      <w:r>
        <w:rPr>
          <w:color w:val="000000" w:themeColor="text1"/>
          <w14:textFill>
            <w14:solidFill>
              <w14:schemeClr w14:val="tx1"/>
            </w14:solidFill>
          </w14:textFill>
        </w:rPr>
        <w:t>。</w:t>
      </w:r>
    </w:p>
    <w:p w14:paraId="2D7FE185">
      <w:pPr>
        <w:pStyle w:val="7"/>
        <w:rPr>
          <w:rFonts w:eastAsia="宋体"/>
          <w:color w:val="000000" w:themeColor="text1"/>
          <w14:textFill>
            <w14:solidFill>
              <w14:schemeClr w14:val="tx1"/>
            </w14:solidFill>
          </w14:textFill>
        </w:rPr>
      </w:pPr>
      <w:r>
        <w:rPr>
          <w:rFonts w:eastAsia="宋体"/>
          <w:color w:val="000000" w:themeColor="text1"/>
          <w14:textFill>
            <w14:solidFill>
              <w14:schemeClr w14:val="tx1"/>
            </w14:solidFill>
          </w14:textFill>
        </w:rPr>
        <w:t>2002~2020年钦州港及其附近海域船舶交通事故原因统计分析</w:t>
      </w:r>
    </w:p>
    <w:tbl>
      <w:tblPr>
        <w:tblStyle w:val="44"/>
        <w:tblW w:w="499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7" w:type="dxa"/>
          <w:bottom w:w="0" w:type="dxa"/>
          <w:right w:w="57" w:type="dxa"/>
        </w:tblCellMar>
      </w:tblPr>
      <w:tblGrid>
        <w:gridCol w:w="835"/>
        <w:gridCol w:w="840"/>
        <w:gridCol w:w="840"/>
        <w:gridCol w:w="842"/>
        <w:gridCol w:w="842"/>
        <w:gridCol w:w="842"/>
        <w:gridCol w:w="842"/>
        <w:gridCol w:w="842"/>
        <w:gridCol w:w="842"/>
        <w:gridCol w:w="845"/>
      </w:tblGrid>
      <w:tr w14:paraId="2CE4C4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tblHeader/>
          <w:jc w:val="center"/>
        </w:trPr>
        <w:tc>
          <w:tcPr>
            <w:tcW w:w="496" w:type="pct"/>
            <w:tcBorders>
              <w:top w:val="single" w:color="auto" w:sz="12" w:space="0"/>
              <w:left w:val="single" w:color="auto" w:sz="12" w:space="0"/>
            </w:tcBorders>
            <w:noWrap w:val="0"/>
            <w:vAlign w:val="center"/>
          </w:tcPr>
          <w:p w14:paraId="2D78FE7C">
            <w:pPr>
              <w:adjustRightInd w:val="0"/>
              <w:snapToGrid w:val="0"/>
              <w:spacing w:line="240" w:lineRule="auto"/>
              <w:ind w:firstLine="0" w:firstLineChars="0"/>
              <w:jc w:val="center"/>
              <w:rPr>
                <w:rFonts w:hint="default" w:ascii="Times New Roman" w:hAnsi="Times New Roman" w:eastAsia="宋体" w:cs="Times New Roman"/>
                <w:b/>
                <w:bCs/>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b/>
                <w:bCs/>
                <w:color w:val="000000" w:themeColor="text1"/>
                <w:kern w:val="0"/>
                <w:sz w:val="21"/>
                <w:szCs w:val="21"/>
                <w:u w:val="none"/>
                <w:lang w:val="en-US" w:eastAsia="zh-CN"/>
                <w14:textFill>
                  <w14:solidFill>
                    <w14:schemeClr w14:val="tx1"/>
                  </w14:solidFill>
                </w14:textFill>
              </w:rPr>
              <w:t>年份</w:t>
            </w:r>
          </w:p>
        </w:tc>
        <w:tc>
          <w:tcPr>
            <w:tcW w:w="499" w:type="pct"/>
            <w:tcBorders>
              <w:top w:val="single" w:color="auto" w:sz="12" w:space="0"/>
            </w:tcBorders>
            <w:noWrap w:val="0"/>
            <w:vAlign w:val="center"/>
          </w:tcPr>
          <w:p w14:paraId="1422B343">
            <w:pPr>
              <w:adjustRightInd w:val="0"/>
              <w:snapToGrid w:val="0"/>
              <w:spacing w:line="240" w:lineRule="auto"/>
              <w:ind w:firstLine="0" w:firstLineChars="0"/>
              <w:jc w:val="center"/>
              <w:rPr>
                <w:rFonts w:hint="default" w:ascii="Times New Roman" w:hAnsi="Times New Roman" w:eastAsia="宋体" w:cs="Times New Roman"/>
                <w:b/>
                <w:bCs/>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b/>
                <w:bCs/>
                <w:color w:val="000000" w:themeColor="text1"/>
                <w:kern w:val="0"/>
                <w:sz w:val="21"/>
                <w:szCs w:val="21"/>
                <w:u w:val="none"/>
                <w:lang w:val="en-US" w:eastAsia="zh-CN"/>
                <w14:textFill>
                  <w14:solidFill>
                    <w14:schemeClr w14:val="tx1"/>
                  </w14:solidFill>
                </w14:textFill>
              </w:rPr>
              <w:t>碰撞</w:t>
            </w:r>
          </w:p>
        </w:tc>
        <w:tc>
          <w:tcPr>
            <w:tcW w:w="499" w:type="pct"/>
            <w:tcBorders>
              <w:top w:val="single" w:color="auto" w:sz="12" w:space="0"/>
            </w:tcBorders>
            <w:noWrap w:val="0"/>
            <w:vAlign w:val="center"/>
          </w:tcPr>
          <w:p w14:paraId="35DA36A2">
            <w:pPr>
              <w:adjustRightInd w:val="0"/>
              <w:snapToGrid w:val="0"/>
              <w:spacing w:line="240" w:lineRule="auto"/>
              <w:ind w:firstLine="0" w:firstLineChars="0"/>
              <w:jc w:val="center"/>
              <w:rPr>
                <w:rFonts w:hint="default" w:ascii="Times New Roman" w:hAnsi="Times New Roman" w:eastAsia="宋体" w:cs="Times New Roman"/>
                <w:b/>
                <w:bCs/>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b/>
                <w:bCs/>
                <w:color w:val="000000" w:themeColor="text1"/>
                <w:kern w:val="0"/>
                <w:sz w:val="21"/>
                <w:szCs w:val="21"/>
                <w:u w:val="none"/>
                <w:lang w:val="en-US" w:eastAsia="zh-CN"/>
                <w14:textFill>
                  <w14:solidFill>
                    <w14:schemeClr w14:val="tx1"/>
                  </w14:solidFill>
                </w14:textFill>
              </w:rPr>
              <w:t>触损</w:t>
            </w:r>
          </w:p>
        </w:tc>
        <w:tc>
          <w:tcPr>
            <w:tcW w:w="500" w:type="pct"/>
            <w:tcBorders>
              <w:top w:val="single" w:color="auto" w:sz="12" w:space="0"/>
            </w:tcBorders>
            <w:noWrap w:val="0"/>
            <w:vAlign w:val="center"/>
          </w:tcPr>
          <w:p w14:paraId="047ED733">
            <w:pPr>
              <w:adjustRightInd w:val="0"/>
              <w:snapToGrid w:val="0"/>
              <w:spacing w:line="240" w:lineRule="auto"/>
              <w:ind w:firstLine="0" w:firstLineChars="0"/>
              <w:jc w:val="center"/>
              <w:rPr>
                <w:rFonts w:hint="default" w:ascii="Times New Roman" w:hAnsi="Times New Roman" w:eastAsia="宋体" w:cs="Times New Roman"/>
                <w:b/>
                <w:bCs/>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b/>
                <w:bCs/>
                <w:color w:val="000000" w:themeColor="text1"/>
                <w:kern w:val="0"/>
                <w:sz w:val="21"/>
                <w:szCs w:val="21"/>
                <w:u w:val="none"/>
                <w:lang w:val="en-US" w:eastAsia="zh-CN"/>
                <w14:textFill>
                  <w14:solidFill>
                    <w14:schemeClr w14:val="tx1"/>
                  </w14:solidFill>
                </w14:textFill>
              </w:rPr>
              <w:t>搁浅</w:t>
            </w:r>
          </w:p>
        </w:tc>
        <w:tc>
          <w:tcPr>
            <w:tcW w:w="500" w:type="pct"/>
            <w:tcBorders>
              <w:top w:val="single" w:color="auto" w:sz="12" w:space="0"/>
            </w:tcBorders>
            <w:noWrap w:val="0"/>
            <w:vAlign w:val="center"/>
          </w:tcPr>
          <w:p w14:paraId="25F4FC87">
            <w:pPr>
              <w:adjustRightInd w:val="0"/>
              <w:snapToGrid w:val="0"/>
              <w:spacing w:line="240" w:lineRule="auto"/>
              <w:ind w:firstLine="0" w:firstLineChars="0"/>
              <w:jc w:val="center"/>
              <w:rPr>
                <w:rFonts w:hint="default" w:ascii="Times New Roman" w:hAnsi="Times New Roman" w:eastAsia="宋体" w:cs="Times New Roman"/>
                <w:b/>
                <w:bCs/>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b/>
                <w:bCs/>
                <w:color w:val="000000" w:themeColor="text1"/>
                <w:kern w:val="0"/>
                <w:sz w:val="21"/>
                <w:szCs w:val="21"/>
                <w:u w:val="none"/>
                <w:lang w:val="en-US" w:eastAsia="zh-CN"/>
                <w14:textFill>
                  <w14:solidFill>
                    <w14:schemeClr w14:val="tx1"/>
                  </w14:solidFill>
                </w14:textFill>
              </w:rPr>
              <w:t>自沉</w:t>
            </w:r>
          </w:p>
        </w:tc>
        <w:tc>
          <w:tcPr>
            <w:tcW w:w="500" w:type="pct"/>
            <w:tcBorders>
              <w:top w:val="single" w:color="auto" w:sz="12" w:space="0"/>
            </w:tcBorders>
            <w:noWrap w:val="0"/>
            <w:vAlign w:val="center"/>
          </w:tcPr>
          <w:p w14:paraId="071CCC1D">
            <w:pPr>
              <w:adjustRightInd w:val="0"/>
              <w:snapToGrid w:val="0"/>
              <w:spacing w:line="240" w:lineRule="auto"/>
              <w:ind w:firstLine="0" w:firstLineChars="0"/>
              <w:jc w:val="center"/>
              <w:rPr>
                <w:rFonts w:hint="default" w:ascii="Times New Roman" w:hAnsi="Times New Roman" w:eastAsia="宋体" w:cs="Times New Roman"/>
                <w:b/>
                <w:bCs/>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b/>
                <w:bCs/>
                <w:color w:val="000000" w:themeColor="text1"/>
                <w:kern w:val="0"/>
                <w:sz w:val="21"/>
                <w:szCs w:val="21"/>
                <w:u w:val="none"/>
                <w:lang w:val="en-US" w:eastAsia="zh-CN"/>
                <w14:textFill>
                  <w14:solidFill>
                    <w14:schemeClr w14:val="tx1"/>
                  </w14:solidFill>
                </w14:textFill>
              </w:rPr>
              <w:t>火灾</w:t>
            </w:r>
          </w:p>
        </w:tc>
        <w:tc>
          <w:tcPr>
            <w:tcW w:w="500" w:type="pct"/>
            <w:tcBorders>
              <w:top w:val="single" w:color="auto" w:sz="12" w:space="0"/>
            </w:tcBorders>
            <w:noWrap w:val="0"/>
            <w:vAlign w:val="center"/>
          </w:tcPr>
          <w:p w14:paraId="23ABB2CB">
            <w:pPr>
              <w:adjustRightInd w:val="0"/>
              <w:snapToGrid w:val="0"/>
              <w:spacing w:line="240" w:lineRule="auto"/>
              <w:ind w:firstLine="0" w:firstLineChars="0"/>
              <w:jc w:val="center"/>
              <w:rPr>
                <w:rFonts w:hint="default" w:ascii="Times New Roman" w:hAnsi="Times New Roman" w:eastAsia="宋体" w:cs="Times New Roman"/>
                <w:b/>
                <w:bCs/>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b/>
                <w:bCs/>
                <w:color w:val="000000" w:themeColor="text1"/>
                <w:kern w:val="0"/>
                <w:sz w:val="21"/>
                <w:szCs w:val="21"/>
                <w:u w:val="none"/>
                <w:lang w:val="en-US" w:eastAsia="zh-CN"/>
                <w14:textFill>
                  <w14:solidFill>
                    <w14:schemeClr w14:val="tx1"/>
                  </w14:solidFill>
                </w14:textFill>
              </w:rPr>
              <w:t>风灾</w:t>
            </w:r>
          </w:p>
        </w:tc>
        <w:tc>
          <w:tcPr>
            <w:tcW w:w="500" w:type="pct"/>
            <w:tcBorders>
              <w:top w:val="single" w:color="auto" w:sz="12" w:space="0"/>
            </w:tcBorders>
            <w:noWrap w:val="0"/>
            <w:vAlign w:val="center"/>
          </w:tcPr>
          <w:p w14:paraId="44F60D78">
            <w:pPr>
              <w:adjustRightInd w:val="0"/>
              <w:snapToGrid w:val="0"/>
              <w:spacing w:line="240" w:lineRule="auto"/>
              <w:ind w:firstLine="0" w:firstLineChars="0"/>
              <w:jc w:val="center"/>
              <w:rPr>
                <w:rFonts w:hint="default" w:ascii="Times New Roman" w:hAnsi="Times New Roman" w:eastAsia="宋体" w:cs="Times New Roman"/>
                <w:b/>
                <w:bCs/>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b/>
                <w:bCs/>
                <w:color w:val="000000" w:themeColor="text1"/>
                <w:kern w:val="0"/>
                <w:sz w:val="21"/>
                <w:szCs w:val="21"/>
                <w:u w:val="none"/>
                <w:lang w:val="en-US" w:eastAsia="zh-CN"/>
                <w14:textFill>
                  <w14:solidFill>
                    <w14:schemeClr w14:val="tx1"/>
                  </w14:solidFill>
                </w14:textFill>
              </w:rPr>
              <w:t>触礁</w:t>
            </w:r>
          </w:p>
        </w:tc>
        <w:tc>
          <w:tcPr>
            <w:tcW w:w="500" w:type="pct"/>
            <w:tcBorders>
              <w:top w:val="single" w:color="auto" w:sz="12" w:space="0"/>
            </w:tcBorders>
            <w:noWrap w:val="0"/>
            <w:vAlign w:val="center"/>
          </w:tcPr>
          <w:p w14:paraId="461CAC92">
            <w:pPr>
              <w:adjustRightInd w:val="0"/>
              <w:snapToGrid w:val="0"/>
              <w:spacing w:line="240" w:lineRule="auto"/>
              <w:ind w:firstLine="0" w:firstLineChars="0"/>
              <w:jc w:val="center"/>
              <w:rPr>
                <w:rFonts w:hint="default" w:ascii="Times New Roman" w:hAnsi="Times New Roman" w:eastAsia="宋体" w:cs="Times New Roman"/>
                <w:b/>
                <w:bCs/>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b/>
                <w:bCs/>
                <w:color w:val="000000" w:themeColor="text1"/>
                <w:kern w:val="0"/>
                <w:sz w:val="21"/>
                <w:szCs w:val="21"/>
                <w:u w:val="none"/>
                <w:lang w:val="en-US" w:eastAsia="zh-CN"/>
                <w14:textFill>
                  <w14:solidFill>
                    <w14:schemeClr w14:val="tx1"/>
                  </w14:solidFill>
                </w14:textFill>
              </w:rPr>
              <w:t>其他</w:t>
            </w:r>
          </w:p>
        </w:tc>
        <w:tc>
          <w:tcPr>
            <w:tcW w:w="501" w:type="pct"/>
            <w:tcBorders>
              <w:top w:val="single" w:color="auto" w:sz="12" w:space="0"/>
              <w:right w:val="single" w:color="auto" w:sz="12" w:space="0"/>
            </w:tcBorders>
            <w:noWrap w:val="0"/>
            <w:vAlign w:val="center"/>
          </w:tcPr>
          <w:p w14:paraId="16CA7584">
            <w:pPr>
              <w:adjustRightInd w:val="0"/>
              <w:snapToGrid w:val="0"/>
              <w:spacing w:line="240" w:lineRule="auto"/>
              <w:ind w:firstLine="0" w:firstLineChars="0"/>
              <w:jc w:val="center"/>
              <w:rPr>
                <w:rFonts w:hint="default" w:ascii="Times New Roman" w:hAnsi="Times New Roman" w:eastAsia="宋体" w:cs="Times New Roman"/>
                <w:b/>
                <w:bCs/>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b/>
                <w:bCs/>
                <w:color w:val="000000" w:themeColor="text1"/>
                <w:kern w:val="0"/>
                <w:sz w:val="21"/>
                <w:szCs w:val="21"/>
                <w:u w:val="none"/>
                <w:lang w:val="en-US" w:eastAsia="zh-CN"/>
                <w14:textFill>
                  <w14:solidFill>
                    <w14:schemeClr w14:val="tx1"/>
                  </w14:solidFill>
                </w14:textFill>
              </w:rPr>
              <w:t>小计</w:t>
            </w:r>
          </w:p>
        </w:tc>
      </w:tr>
      <w:tr w14:paraId="1A57B1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496" w:type="pct"/>
            <w:tcBorders>
              <w:left w:val="single" w:color="auto" w:sz="12" w:space="0"/>
            </w:tcBorders>
            <w:noWrap w:val="0"/>
            <w:vAlign w:val="center"/>
          </w:tcPr>
          <w:p w14:paraId="694A12C7">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2002</w:t>
            </w:r>
          </w:p>
        </w:tc>
        <w:tc>
          <w:tcPr>
            <w:tcW w:w="499" w:type="pct"/>
            <w:noWrap w:val="0"/>
            <w:vAlign w:val="center"/>
          </w:tcPr>
          <w:p w14:paraId="67C978B4">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2</w:t>
            </w:r>
          </w:p>
        </w:tc>
        <w:tc>
          <w:tcPr>
            <w:tcW w:w="499" w:type="pct"/>
            <w:noWrap w:val="0"/>
            <w:vAlign w:val="center"/>
          </w:tcPr>
          <w:p w14:paraId="4E8A5F18">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w:t>
            </w:r>
          </w:p>
        </w:tc>
        <w:tc>
          <w:tcPr>
            <w:tcW w:w="500" w:type="pct"/>
            <w:noWrap w:val="0"/>
            <w:vAlign w:val="center"/>
          </w:tcPr>
          <w:p w14:paraId="4F7D9DC5">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2</w:t>
            </w:r>
          </w:p>
        </w:tc>
        <w:tc>
          <w:tcPr>
            <w:tcW w:w="500" w:type="pct"/>
            <w:noWrap w:val="0"/>
            <w:vAlign w:val="center"/>
          </w:tcPr>
          <w:p w14:paraId="17D1EFA2">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w:t>
            </w:r>
          </w:p>
        </w:tc>
        <w:tc>
          <w:tcPr>
            <w:tcW w:w="500" w:type="pct"/>
            <w:noWrap w:val="0"/>
            <w:vAlign w:val="center"/>
          </w:tcPr>
          <w:p w14:paraId="07F61617">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w:t>
            </w:r>
          </w:p>
        </w:tc>
        <w:tc>
          <w:tcPr>
            <w:tcW w:w="500" w:type="pct"/>
            <w:noWrap w:val="0"/>
            <w:vAlign w:val="center"/>
          </w:tcPr>
          <w:p w14:paraId="5D02D31A">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1</w:t>
            </w:r>
          </w:p>
        </w:tc>
        <w:tc>
          <w:tcPr>
            <w:tcW w:w="500" w:type="pct"/>
            <w:noWrap w:val="0"/>
            <w:vAlign w:val="center"/>
          </w:tcPr>
          <w:p w14:paraId="01F88057">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w:t>
            </w:r>
          </w:p>
        </w:tc>
        <w:tc>
          <w:tcPr>
            <w:tcW w:w="500" w:type="pct"/>
            <w:noWrap w:val="0"/>
            <w:vAlign w:val="center"/>
          </w:tcPr>
          <w:p w14:paraId="64873D38">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w:t>
            </w:r>
          </w:p>
        </w:tc>
        <w:tc>
          <w:tcPr>
            <w:tcW w:w="501" w:type="pct"/>
            <w:tcBorders>
              <w:right w:val="single" w:color="auto" w:sz="12" w:space="0"/>
            </w:tcBorders>
            <w:noWrap w:val="0"/>
            <w:vAlign w:val="center"/>
          </w:tcPr>
          <w:p w14:paraId="34C1F87D">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5</w:t>
            </w:r>
          </w:p>
        </w:tc>
      </w:tr>
      <w:tr w14:paraId="112D88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496" w:type="pct"/>
            <w:tcBorders>
              <w:left w:val="single" w:color="auto" w:sz="12" w:space="0"/>
            </w:tcBorders>
            <w:noWrap w:val="0"/>
            <w:vAlign w:val="center"/>
          </w:tcPr>
          <w:p w14:paraId="6516965E">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2003</w:t>
            </w:r>
          </w:p>
        </w:tc>
        <w:tc>
          <w:tcPr>
            <w:tcW w:w="499" w:type="pct"/>
            <w:noWrap w:val="0"/>
            <w:vAlign w:val="center"/>
          </w:tcPr>
          <w:p w14:paraId="7F870057">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3</w:t>
            </w:r>
          </w:p>
        </w:tc>
        <w:tc>
          <w:tcPr>
            <w:tcW w:w="499" w:type="pct"/>
            <w:noWrap w:val="0"/>
            <w:vAlign w:val="center"/>
          </w:tcPr>
          <w:p w14:paraId="7D8AF7FA">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1</w:t>
            </w:r>
          </w:p>
        </w:tc>
        <w:tc>
          <w:tcPr>
            <w:tcW w:w="500" w:type="pct"/>
            <w:noWrap w:val="0"/>
            <w:vAlign w:val="center"/>
          </w:tcPr>
          <w:p w14:paraId="355987A9">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2</w:t>
            </w:r>
          </w:p>
        </w:tc>
        <w:tc>
          <w:tcPr>
            <w:tcW w:w="500" w:type="pct"/>
            <w:noWrap w:val="0"/>
            <w:vAlign w:val="center"/>
          </w:tcPr>
          <w:p w14:paraId="54C023D5">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w:t>
            </w:r>
          </w:p>
        </w:tc>
        <w:tc>
          <w:tcPr>
            <w:tcW w:w="500" w:type="pct"/>
            <w:noWrap w:val="0"/>
            <w:vAlign w:val="center"/>
          </w:tcPr>
          <w:p w14:paraId="05036297">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1</w:t>
            </w:r>
          </w:p>
        </w:tc>
        <w:tc>
          <w:tcPr>
            <w:tcW w:w="500" w:type="pct"/>
            <w:noWrap w:val="0"/>
            <w:vAlign w:val="center"/>
          </w:tcPr>
          <w:p w14:paraId="3D9EC393">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1</w:t>
            </w:r>
          </w:p>
        </w:tc>
        <w:tc>
          <w:tcPr>
            <w:tcW w:w="500" w:type="pct"/>
            <w:noWrap w:val="0"/>
            <w:vAlign w:val="center"/>
          </w:tcPr>
          <w:p w14:paraId="57541EAC">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1</w:t>
            </w:r>
          </w:p>
        </w:tc>
        <w:tc>
          <w:tcPr>
            <w:tcW w:w="500" w:type="pct"/>
            <w:noWrap w:val="0"/>
            <w:vAlign w:val="center"/>
          </w:tcPr>
          <w:p w14:paraId="16895871">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w:t>
            </w:r>
          </w:p>
        </w:tc>
        <w:tc>
          <w:tcPr>
            <w:tcW w:w="501" w:type="pct"/>
            <w:tcBorders>
              <w:right w:val="single" w:color="auto" w:sz="12" w:space="0"/>
            </w:tcBorders>
            <w:noWrap w:val="0"/>
            <w:vAlign w:val="center"/>
          </w:tcPr>
          <w:p w14:paraId="3DB16E3C">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9</w:t>
            </w:r>
          </w:p>
        </w:tc>
      </w:tr>
      <w:tr w14:paraId="289556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496" w:type="pct"/>
            <w:tcBorders>
              <w:left w:val="single" w:color="auto" w:sz="12" w:space="0"/>
            </w:tcBorders>
            <w:noWrap w:val="0"/>
            <w:vAlign w:val="center"/>
          </w:tcPr>
          <w:p w14:paraId="6841CD0E">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2004</w:t>
            </w:r>
          </w:p>
        </w:tc>
        <w:tc>
          <w:tcPr>
            <w:tcW w:w="499" w:type="pct"/>
            <w:noWrap w:val="0"/>
            <w:vAlign w:val="center"/>
          </w:tcPr>
          <w:p w14:paraId="1B9D5713">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2</w:t>
            </w:r>
          </w:p>
        </w:tc>
        <w:tc>
          <w:tcPr>
            <w:tcW w:w="499" w:type="pct"/>
            <w:noWrap w:val="0"/>
            <w:vAlign w:val="center"/>
          </w:tcPr>
          <w:p w14:paraId="3BA9CA62">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1</w:t>
            </w:r>
          </w:p>
        </w:tc>
        <w:tc>
          <w:tcPr>
            <w:tcW w:w="500" w:type="pct"/>
            <w:noWrap w:val="0"/>
            <w:vAlign w:val="center"/>
          </w:tcPr>
          <w:p w14:paraId="4649D58D">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2</w:t>
            </w:r>
          </w:p>
        </w:tc>
        <w:tc>
          <w:tcPr>
            <w:tcW w:w="500" w:type="pct"/>
            <w:noWrap w:val="0"/>
            <w:vAlign w:val="center"/>
          </w:tcPr>
          <w:p w14:paraId="7E99E146">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w:t>
            </w:r>
          </w:p>
        </w:tc>
        <w:tc>
          <w:tcPr>
            <w:tcW w:w="500" w:type="pct"/>
            <w:noWrap w:val="0"/>
            <w:vAlign w:val="center"/>
          </w:tcPr>
          <w:p w14:paraId="2B8F7042">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w:t>
            </w:r>
          </w:p>
        </w:tc>
        <w:tc>
          <w:tcPr>
            <w:tcW w:w="500" w:type="pct"/>
            <w:noWrap w:val="0"/>
            <w:vAlign w:val="center"/>
          </w:tcPr>
          <w:p w14:paraId="443E1A74">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w:t>
            </w:r>
          </w:p>
        </w:tc>
        <w:tc>
          <w:tcPr>
            <w:tcW w:w="500" w:type="pct"/>
            <w:noWrap w:val="0"/>
            <w:vAlign w:val="center"/>
          </w:tcPr>
          <w:p w14:paraId="05215688">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1</w:t>
            </w:r>
          </w:p>
        </w:tc>
        <w:tc>
          <w:tcPr>
            <w:tcW w:w="500" w:type="pct"/>
            <w:noWrap w:val="0"/>
            <w:vAlign w:val="center"/>
          </w:tcPr>
          <w:p w14:paraId="76B576EE">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1</w:t>
            </w:r>
          </w:p>
        </w:tc>
        <w:tc>
          <w:tcPr>
            <w:tcW w:w="501" w:type="pct"/>
            <w:tcBorders>
              <w:right w:val="single" w:color="auto" w:sz="12" w:space="0"/>
            </w:tcBorders>
            <w:noWrap w:val="0"/>
            <w:vAlign w:val="center"/>
          </w:tcPr>
          <w:p w14:paraId="4793A0E8">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7</w:t>
            </w:r>
          </w:p>
        </w:tc>
      </w:tr>
      <w:tr w14:paraId="084574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496" w:type="pct"/>
            <w:tcBorders>
              <w:left w:val="single" w:color="auto" w:sz="12" w:space="0"/>
            </w:tcBorders>
            <w:noWrap w:val="0"/>
            <w:vAlign w:val="center"/>
          </w:tcPr>
          <w:p w14:paraId="474F836B">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2005</w:t>
            </w:r>
          </w:p>
        </w:tc>
        <w:tc>
          <w:tcPr>
            <w:tcW w:w="499" w:type="pct"/>
            <w:noWrap w:val="0"/>
            <w:vAlign w:val="center"/>
          </w:tcPr>
          <w:p w14:paraId="0351320A">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2</w:t>
            </w:r>
          </w:p>
        </w:tc>
        <w:tc>
          <w:tcPr>
            <w:tcW w:w="499" w:type="pct"/>
            <w:noWrap w:val="0"/>
            <w:vAlign w:val="center"/>
          </w:tcPr>
          <w:p w14:paraId="51FAAF85">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1</w:t>
            </w:r>
          </w:p>
        </w:tc>
        <w:tc>
          <w:tcPr>
            <w:tcW w:w="500" w:type="pct"/>
            <w:noWrap w:val="0"/>
            <w:vAlign w:val="center"/>
          </w:tcPr>
          <w:p w14:paraId="1CE55947">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2</w:t>
            </w:r>
          </w:p>
        </w:tc>
        <w:tc>
          <w:tcPr>
            <w:tcW w:w="500" w:type="pct"/>
            <w:noWrap w:val="0"/>
            <w:vAlign w:val="center"/>
          </w:tcPr>
          <w:p w14:paraId="738E2E21">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1</w:t>
            </w:r>
          </w:p>
        </w:tc>
        <w:tc>
          <w:tcPr>
            <w:tcW w:w="500" w:type="pct"/>
            <w:noWrap w:val="0"/>
            <w:vAlign w:val="center"/>
          </w:tcPr>
          <w:p w14:paraId="414C9684">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w:t>
            </w:r>
          </w:p>
        </w:tc>
        <w:tc>
          <w:tcPr>
            <w:tcW w:w="500" w:type="pct"/>
            <w:noWrap w:val="0"/>
            <w:vAlign w:val="center"/>
          </w:tcPr>
          <w:p w14:paraId="67EACE1A">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w:t>
            </w:r>
          </w:p>
        </w:tc>
        <w:tc>
          <w:tcPr>
            <w:tcW w:w="500" w:type="pct"/>
            <w:noWrap w:val="0"/>
            <w:vAlign w:val="center"/>
          </w:tcPr>
          <w:p w14:paraId="0D9A903E">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w:t>
            </w:r>
          </w:p>
        </w:tc>
        <w:tc>
          <w:tcPr>
            <w:tcW w:w="500" w:type="pct"/>
            <w:noWrap w:val="0"/>
            <w:vAlign w:val="center"/>
          </w:tcPr>
          <w:p w14:paraId="76A711C8">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w:t>
            </w:r>
          </w:p>
        </w:tc>
        <w:tc>
          <w:tcPr>
            <w:tcW w:w="501" w:type="pct"/>
            <w:tcBorders>
              <w:right w:val="single" w:color="auto" w:sz="12" w:space="0"/>
            </w:tcBorders>
            <w:noWrap w:val="0"/>
            <w:vAlign w:val="center"/>
          </w:tcPr>
          <w:p w14:paraId="4150398F">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6</w:t>
            </w:r>
          </w:p>
        </w:tc>
      </w:tr>
      <w:tr w14:paraId="29D94D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496" w:type="pct"/>
            <w:tcBorders>
              <w:left w:val="single" w:color="auto" w:sz="12" w:space="0"/>
            </w:tcBorders>
            <w:noWrap w:val="0"/>
            <w:vAlign w:val="center"/>
          </w:tcPr>
          <w:p w14:paraId="7199314B">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2006</w:t>
            </w:r>
          </w:p>
        </w:tc>
        <w:tc>
          <w:tcPr>
            <w:tcW w:w="499" w:type="pct"/>
            <w:noWrap w:val="0"/>
            <w:vAlign w:val="center"/>
          </w:tcPr>
          <w:p w14:paraId="0222F7D3">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2</w:t>
            </w:r>
          </w:p>
        </w:tc>
        <w:tc>
          <w:tcPr>
            <w:tcW w:w="499" w:type="pct"/>
            <w:noWrap w:val="0"/>
            <w:vAlign w:val="center"/>
          </w:tcPr>
          <w:p w14:paraId="55F4E217">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w:t>
            </w:r>
          </w:p>
        </w:tc>
        <w:tc>
          <w:tcPr>
            <w:tcW w:w="500" w:type="pct"/>
            <w:noWrap w:val="0"/>
            <w:vAlign w:val="center"/>
          </w:tcPr>
          <w:p w14:paraId="682A2368">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1</w:t>
            </w:r>
          </w:p>
        </w:tc>
        <w:tc>
          <w:tcPr>
            <w:tcW w:w="500" w:type="pct"/>
            <w:noWrap w:val="0"/>
            <w:vAlign w:val="center"/>
          </w:tcPr>
          <w:p w14:paraId="702E7508">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w:t>
            </w:r>
          </w:p>
        </w:tc>
        <w:tc>
          <w:tcPr>
            <w:tcW w:w="500" w:type="pct"/>
            <w:noWrap w:val="0"/>
            <w:vAlign w:val="center"/>
          </w:tcPr>
          <w:p w14:paraId="13E721D0">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1</w:t>
            </w:r>
          </w:p>
        </w:tc>
        <w:tc>
          <w:tcPr>
            <w:tcW w:w="500" w:type="pct"/>
            <w:noWrap w:val="0"/>
            <w:vAlign w:val="center"/>
          </w:tcPr>
          <w:p w14:paraId="4066317D">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w:t>
            </w:r>
          </w:p>
        </w:tc>
        <w:tc>
          <w:tcPr>
            <w:tcW w:w="500" w:type="pct"/>
            <w:noWrap w:val="0"/>
            <w:vAlign w:val="center"/>
          </w:tcPr>
          <w:p w14:paraId="4B0663A8">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w:t>
            </w:r>
          </w:p>
        </w:tc>
        <w:tc>
          <w:tcPr>
            <w:tcW w:w="500" w:type="pct"/>
            <w:noWrap w:val="0"/>
            <w:vAlign w:val="center"/>
          </w:tcPr>
          <w:p w14:paraId="3AD97BA0">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2</w:t>
            </w:r>
          </w:p>
        </w:tc>
        <w:tc>
          <w:tcPr>
            <w:tcW w:w="501" w:type="pct"/>
            <w:tcBorders>
              <w:right w:val="single" w:color="auto" w:sz="12" w:space="0"/>
            </w:tcBorders>
            <w:noWrap w:val="0"/>
            <w:vAlign w:val="center"/>
          </w:tcPr>
          <w:p w14:paraId="2519262F">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6</w:t>
            </w:r>
          </w:p>
        </w:tc>
      </w:tr>
      <w:tr w14:paraId="1E118B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496" w:type="pct"/>
            <w:tcBorders>
              <w:left w:val="single" w:color="auto" w:sz="12" w:space="0"/>
            </w:tcBorders>
            <w:noWrap w:val="0"/>
            <w:vAlign w:val="center"/>
          </w:tcPr>
          <w:p w14:paraId="19B97D1A">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2007</w:t>
            </w:r>
          </w:p>
        </w:tc>
        <w:tc>
          <w:tcPr>
            <w:tcW w:w="499" w:type="pct"/>
            <w:noWrap w:val="0"/>
            <w:vAlign w:val="center"/>
          </w:tcPr>
          <w:p w14:paraId="1C36B060">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2</w:t>
            </w:r>
          </w:p>
        </w:tc>
        <w:tc>
          <w:tcPr>
            <w:tcW w:w="499" w:type="pct"/>
            <w:noWrap w:val="0"/>
            <w:vAlign w:val="center"/>
          </w:tcPr>
          <w:p w14:paraId="0DD056AB">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1</w:t>
            </w:r>
          </w:p>
        </w:tc>
        <w:tc>
          <w:tcPr>
            <w:tcW w:w="500" w:type="pct"/>
            <w:noWrap w:val="0"/>
            <w:vAlign w:val="center"/>
          </w:tcPr>
          <w:p w14:paraId="71D77691">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2</w:t>
            </w:r>
          </w:p>
        </w:tc>
        <w:tc>
          <w:tcPr>
            <w:tcW w:w="500" w:type="pct"/>
            <w:noWrap w:val="0"/>
            <w:vAlign w:val="center"/>
          </w:tcPr>
          <w:p w14:paraId="15C0B5E8">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w:t>
            </w:r>
          </w:p>
        </w:tc>
        <w:tc>
          <w:tcPr>
            <w:tcW w:w="500" w:type="pct"/>
            <w:noWrap w:val="0"/>
            <w:vAlign w:val="center"/>
          </w:tcPr>
          <w:p w14:paraId="1F67DEBE">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w:t>
            </w:r>
          </w:p>
        </w:tc>
        <w:tc>
          <w:tcPr>
            <w:tcW w:w="500" w:type="pct"/>
            <w:noWrap w:val="0"/>
            <w:vAlign w:val="center"/>
          </w:tcPr>
          <w:p w14:paraId="437095F8">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w:t>
            </w:r>
          </w:p>
        </w:tc>
        <w:tc>
          <w:tcPr>
            <w:tcW w:w="500" w:type="pct"/>
            <w:noWrap w:val="0"/>
            <w:vAlign w:val="center"/>
          </w:tcPr>
          <w:p w14:paraId="31E382AA">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w:t>
            </w:r>
          </w:p>
        </w:tc>
        <w:tc>
          <w:tcPr>
            <w:tcW w:w="500" w:type="pct"/>
            <w:noWrap w:val="0"/>
            <w:vAlign w:val="center"/>
          </w:tcPr>
          <w:p w14:paraId="219DFD41">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w:t>
            </w:r>
          </w:p>
        </w:tc>
        <w:tc>
          <w:tcPr>
            <w:tcW w:w="501" w:type="pct"/>
            <w:tcBorders>
              <w:right w:val="single" w:color="auto" w:sz="12" w:space="0"/>
            </w:tcBorders>
            <w:noWrap w:val="0"/>
            <w:vAlign w:val="center"/>
          </w:tcPr>
          <w:p w14:paraId="7ACD819D">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5</w:t>
            </w:r>
          </w:p>
        </w:tc>
      </w:tr>
      <w:tr w14:paraId="77FA05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496" w:type="pct"/>
            <w:tcBorders>
              <w:left w:val="single" w:color="auto" w:sz="12" w:space="0"/>
            </w:tcBorders>
            <w:noWrap w:val="0"/>
            <w:vAlign w:val="center"/>
          </w:tcPr>
          <w:p w14:paraId="59F82C63">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2008</w:t>
            </w:r>
          </w:p>
        </w:tc>
        <w:tc>
          <w:tcPr>
            <w:tcW w:w="499" w:type="pct"/>
            <w:noWrap w:val="0"/>
            <w:vAlign w:val="center"/>
          </w:tcPr>
          <w:p w14:paraId="20A2772B">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3</w:t>
            </w:r>
          </w:p>
        </w:tc>
        <w:tc>
          <w:tcPr>
            <w:tcW w:w="499" w:type="pct"/>
            <w:noWrap w:val="0"/>
            <w:vAlign w:val="center"/>
          </w:tcPr>
          <w:p w14:paraId="428B9F2F">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w:t>
            </w:r>
          </w:p>
        </w:tc>
        <w:tc>
          <w:tcPr>
            <w:tcW w:w="500" w:type="pct"/>
            <w:noWrap w:val="0"/>
            <w:vAlign w:val="center"/>
          </w:tcPr>
          <w:p w14:paraId="52560C6C">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w:t>
            </w:r>
          </w:p>
        </w:tc>
        <w:tc>
          <w:tcPr>
            <w:tcW w:w="500" w:type="pct"/>
            <w:noWrap w:val="0"/>
            <w:vAlign w:val="center"/>
          </w:tcPr>
          <w:p w14:paraId="2269B87B">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2</w:t>
            </w:r>
          </w:p>
        </w:tc>
        <w:tc>
          <w:tcPr>
            <w:tcW w:w="500" w:type="pct"/>
            <w:noWrap w:val="0"/>
            <w:vAlign w:val="center"/>
          </w:tcPr>
          <w:p w14:paraId="34E92B96">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w:t>
            </w:r>
          </w:p>
        </w:tc>
        <w:tc>
          <w:tcPr>
            <w:tcW w:w="500" w:type="pct"/>
            <w:noWrap w:val="0"/>
            <w:vAlign w:val="center"/>
          </w:tcPr>
          <w:p w14:paraId="78DD83AF">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w:t>
            </w:r>
          </w:p>
        </w:tc>
        <w:tc>
          <w:tcPr>
            <w:tcW w:w="500" w:type="pct"/>
            <w:noWrap w:val="0"/>
            <w:vAlign w:val="center"/>
          </w:tcPr>
          <w:p w14:paraId="269A9827">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1</w:t>
            </w:r>
          </w:p>
        </w:tc>
        <w:tc>
          <w:tcPr>
            <w:tcW w:w="500" w:type="pct"/>
            <w:noWrap w:val="0"/>
            <w:vAlign w:val="center"/>
          </w:tcPr>
          <w:p w14:paraId="57FDC66B">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3</w:t>
            </w:r>
          </w:p>
        </w:tc>
        <w:tc>
          <w:tcPr>
            <w:tcW w:w="501" w:type="pct"/>
            <w:tcBorders>
              <w:right w:val="single" w:color="auto" w:sz="12" w:space="0"/>
            </w:tcBorders>
            <w:noWrap w:val="0"/>
            <w:vAlign w:val="center"/>
          </w:tcPr>
          <w:p w14:paraId="1B28E8A3">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9</w:t>
            </w:r>
          </w:p>
        </w:tc>
      </w:tr>
      <w:tr w14:paraId="143130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496" w:type="pct"/>
            <w:tcBorders>
              <w:left w:val="single" w:color="auto" w:sz="12" w:space="0"/>
            </w:tcBorders>
            <w:noWrap w:val="0"/>
            <w:vAlign w:val="center"/>
          </w:tcPr>
          <w:p w14:paraId="1066A6B9">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2009</w:t>
            </w:r>
          </w:p>
        </w:tc>
        <w:tc>
          <w:tcPr>
            <w:tcW w:w="499" w:type="pct"/>
            <w:noWrap w:val="0"/>
            <w:vAlign w:val="center"/>
          </w:tcPr>
          <w:p w14:paraId="2C295EBB">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3</w:t>
            </w:r>
          </w:p>
        </w:tc>
        <w:tc>
          <w:tcPr>
            <w:tcW w:w="499" w:type="pct"/>
            <w:noWrap w:val="0"/>
            <w:vAlign w:val="center"/>
          </w:tcPr>
          <w:p w14:paraId="353AE0D3">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1</w:t>
            </w:r>
          </w:p>
        </w:tc>
        <w:tc>
          <w:tcPr>
            <w:tcW w:w="500" w:type="pct"/>
            <w:noWrap w:val="0"/>
            <w:vAlign w:val="center"/>
          </w:tcPr>
          <w:p w14:paraId="22263D1C">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w:t>
            </w:r>
          </w:p>
        </w:tc>
        <w:tc>
          <w:tcPr>
            <w:tcW w:w="500" w:type="pct"/>
            <w:noWrap w:val="0"/>
            <w:vAlign w:val="center"/>
          </w:tcPr>
          <w:p w14:paraId="404305E4">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3</w:t>
            </w:r>
          </w:p>
        </w:tc>
        <w:tc>
          <w:tcPr>
            <w:tcW w:w="500" w:type="pct"/>
            <w:noWrap w:val="0"/>
            <w:vAlign w:val="center"/>
          </w:tcPr>
          <w:p w14:paraId="44A6D2D3">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1</w:t>
            </w:r>
          </w:p>
        </w:tc>
        <w:tc>
          <w:tcPr>
            <w:tcW w:w="500" w:type="pct"/>
            <w:noWrap w:val="0"/>
            <w:vAlign w:val="center"/>
          </w:tcPr>
          <w:p w14:paraId="6926C8EF">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w:t>
            </w:r>
          </w:p>
        </w:tc>
        <w:tc>
          <w:tcPr>
            <w:tcW w:w="500" w:type="pct"/>
            <w:noWrap w:val="0"/>
            <w:vAlign w:val="center"/>
          </w:tcPr>
          <w:p w14:paraId="0EE4EC90">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w:t>
            </w:r>
          </w:p>
        </w:tc>
        <w:tc>
          <w:tcPr>
            <w:tcW w:w="500" w:type="pct"/>
            <w:noWrap w:val="0"/>
            <w:vAlign w:val="center"/>
          </w:tcPr>
          <w:p w14:paraId="5BB04F8F">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w:t>
            </w:r>
          </w:p>
        </w:tc>
        <w:tc>
          <w:tcPr>
            <w:tcW w:w="501" w:type="pct"/>
            <w:tcBorders>
              <w:right w:val="single" w:color="auto" w:sz="12" w:space="0"/>
            </w:tcBorders>
            <w:noWrap w:val="0"/>
            <w:vAlign w:val="center"/>
          </w:tcPr>
          <w:p w14:paraId="1AB782E8">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8</w:t>
            </w:r>
          </w:p>
        </w:tc>
      </w:tr>
      <w:tr w14:paraId="766BD5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496" w:type="pct"/>
            <w:tcBorders>
              <w:left w:val="single" w:color="auto" w:sz="12" w:space="0"/>
            </w:tcBorders>
            <w:noWrap w:val="0"/>
            <w:vAlign w:val="center"/>
          </w:tcPr>
          <w:p w14:paraId="4EF9521A">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2010</w:t>
            </w:r>
          </w:p>
        </w:tc>
        <w:tc>
          <w:tcPr>
            <w:tcW w:w="499" w:type="pct"/>
            <w:noWrap w:val="0"/>
            <w:vAlign w:val="center"/>
          </w:tcPr>
          <w:p w14:paraId="5003EF81">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1</w:t>
            </w:r>
          </w:p>
        </w:tc>
        <w:tc>
          <w:tcPr>
            <w:tcW w:w="499" w:type="pct"/>
            <w:noWrap w:val="0"/>
            <w:vAlign w:val="center"/>
          </w:tcPr>
          <w:p w14:paraId="2FEAB6E5">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w:t>
            </w:r>
          </w:p>
        </w:tc>
        <w:tc>
          <w:tcPr>
            <w:tcW w:w="500" w:type="pct"/>
            <w:noWrap w:val="0"/>
            <w:vAlign w:val="center"/>
          </w:tcPr>
          <w:p w14:paraId="634BC3F5">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w:t>
            </w:r>
          </w:p>
        </w:tc>
        <w:tc>
          <w:tcPr>
            <w:tcW w:w="500" w:type="pct"/>
            <w:noWrap w:val="0"/>
            <w:vAlign w:val="center"/>
          </w:tcPr>
          <w:p w14:paraId="7B71DA95">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2</w:t>
            </w:r>
          </w:p>
        </w:tc>
        <w:tc>
          <w:tcPr>
            <w:tcW w:w="500" w:type="pct"/>
            <w:noWrap w:val="0"/>
            <w:vAlign w:val="center"/>
          </w:tcPr>
          <w:p w14:paraId="4C506CF1">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w:t>
            </w:r>
          </w:p>
        </w:tc>
        <w:tc>
          <w:tcPr>
            <w:tcW w:w="500" w:type="pct"/>
            <w:noWrap w:val="0"/>
            <w:vAlign w:val="center"/>
          </w:tcPr>
          <w:p w14:paraId="3F48054A">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w:t>
            </w:r>
          </w:p>
        </w:tc>
        <w:tc>
          <w:tcPr>
            <w:tcW w:w="500" w:type="pct"/>
            <w:noWrap w:val="0"/>
            <w:vAlign w:val="center"/>
          </w:tcPr>
          <w:p w14:paraId="4CD8F539">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w:t>
            </w:r>
          </w:p>
        </w:tc>
        <w:tc>
          <w:tcPr>
            <w:tcW w:w="500" w:type="pct"/>
            <w:noWrap w:val="0"/>
            <w:vAlign w:val="center"/>
          </w:tcPr>
          <w:p w14:paraId="1554AA7F">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w:t>
            </w:r>
          </w:p>
        </w:tc>
        <w:tc>
          <w:tcPr>
            <w:tcW w:w="501" w:type="pct"/>
            <w:tcBorders>
              <w:right w:val="single" w:color="auto" w:sz="12" w:space="0"/>
            </w:tcBorders>
            <w:noWrap w:val="0"/>
            <w:vAlign w:val="center"/>
          </w:tcPr>
          <w:p w14:paraId="252E399C">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3</w:t>
            </w:r>
          </w:p>
        </w:tc>
      </w:tr>
      <w:tr w14:paraId="69F5CE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496" w:type="pct"/>
            <w:tcBorders>
              <w:left w:val="single" w:color="auto" w:sz="12" w:space="0"/>
            </w:tcBorders>
            <w:noWrap w:val="0"/>
            <w:vAlign w:val="center"/>
          </w:tcPr>
          <w:p w14:paraId="7D3549FF">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2011</w:t>
            </w:r>
          </w:p>
        </w:tc>
        <w:tc>
          <w:tcPr>
            <w:tcW w:w="499" w:type="pct"/>
            <w:noWrap w:val="0"/>
            <w:vAlign w:val="center"/>
          </w:tcPr>
          <w:p w14:paraId="337119F7">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6</w:t>
            </w:r>
          </w:p>
        </w:tc>
        <w:tc>
          <w:tcPr>
            <w:tcW w:w="499" w:type="pct"/>
            <w:noWrap w:val="0"/>
            <w:vAlign w:val="center"/>
          </w:tcPr>
          <w:p w14:paraId="2EAA008F">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w:t>
            </w:r>
          </w:p>
        </w:tc>
        <w:tc>
          <w:tcPr>
            <w:tcW w:w="500" w:type="pct"/>
            <w:noWrap w:val="0"/>
            <w:vAlign w:val="center"/>
          </w:tcPr>
          <w:p w14:paraId="44C5491D">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1</w:t>
            </w:r>
          </w:p>
        </w:tc>
        <w:tc>
          <w:tcPr>
            <w:tcW w:w="500" w:type="pct"/>
            <w:noWrap w:val="0"/>
            <w:vAlign w:val="center"/>
          </w:tcPr>
          <w:p w14:paraId="13980E78">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1</w:t>
            </w:r>
          </w:p>
        </w:tc>
        <w:tc>
          <w:tcPr>
            <w:tcW w:w="500" w:type="pct"/>
            <w:noWrap w:val="0"/>
            <w:vAlign w:val="center"/>
          </w:tcPr>
          <w:p w14:paraId="18E685F8">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w:t>
            </w:r>
          </w:p>
        </w:tc>
        <w:tc>
          <w:tcPr>
            <w:tcW w:w="500" w:type="pct"/>
            <w:noWrap w:val="0"/>
            <w:vAlign w:val="center"/>
          </w:tcPr>
          <w:p w14:paraId="55DE92DB">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w:t>
            </w:r>
          </w:p>
        </w:tc>
        <w:tc>
          <w:tcPr>
            <w:tcW w:w="500" w:type="pct"/>
            <w:noWrap w:val="0"/>
            <w:vAlign w:val="center"/>
          </w:tcPr>
          <w:p w14:paraId="1CE46ECE">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w:t>
            </w:r>
          </w:p>
        </w:tc>
        <w:tc>
          <w:tcPr>
            <w:tcW w:w="500" w:type="pct"/>
            <w:noWrap w:val="0"/>
            <w:vAlign w:val="center"/>
          </w:tcPr>
          <w:p w14:paraId="000AFCCB">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w:t>
            </w:r>
          </w:p>
        </w:tc>
        <w:tc>
          <w:tcPr>
            <w:tcW w:w="501" w:type="pct"/>
            <w:tcBorders>
              <w:right w:val="single" w:color="auto" w:sz="12" w:space="0"/>
            </w:tcBorders>
            <w:noWrap w:val="0"/>
            <w:vAlign w:val="center"/>
          </w:tcPr>
          <w:p w14:paraId="7EFDA1BE">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8</w:t>
            </w:r>
          </w:p>
        </w:tc>
      </w:tr>
      <w:tr w14:paraId="4AE2F8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496" w:type="pct"/>
            <w:tcBorders>
              <w:left w:val="single" w:color="auto" w:sz="12" w:space="0"/>
            </w:tcBorders>
            <w:noWrap w:val="0"/>
            <w:vAlign w:val="center"/>
          </w:tcPr>
          <w:p w14:paraId="73DA3165">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2012</w:t>
            </w:r>
          </w:p>
        </w:tc>
        <w:tc>
          <w:tcPr>
            <w:tcW w:w="499" w:type="pct"/>
            <w:noWrap w:val="0"/>
            <w:vAlign w:val="center"/>
          </w:tcPr>
          <w:p w14:paraId="274D8B25">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1</w:t>
            </w:r>
          </w:p>
        </w:tc>
        <w:tc>
          <w:tcPr>
            <w:tcW w:w="499" w:type="pct"/>
            <w:noWrap w:val="0"/>
            <w:vAlign w:val="center"/>
          </w:tcPr>
          <w:p w14:paraId="63E1A404">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1</w:t>
            </w:r>
          </w:p>
        </w:tc>
        <w:tc>
          <w:tcPr>
            <w:tcW w:w="500" w:type="pct"/>
            <w:noWrap w:val="0"/>
            <w:vAlign w:val="center"/>
          </w:tcPr>
          <w:p w14:paraId="0F3D2E47">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3</w:t>
            </w:r>
          </w:p>
        </w:tc>
        <w:tc>
          <w:tcPr>
            <w:tcW w:w="500" w:type="pct"/>
            <w:noWrap w:val="0"/>
            <w:vAlign w:val="center"/>
          </w:tcPr>
          <w:p w14:paraId="61BA3DFF">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w:t>
            </w:r>
          </w:p>
        </w:tc>
        <w:tc>
          <w:tcPr>
            <w:tcW w:w="500" w:type="pct"/>
            <w:noWrap w:val="0"/>
            <w:vAlign w:val="center"/>
          </w:tcPr>
          <w:p w14:paraId="0D0ACB8C">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w:t>
            </w:r>
          </w:p>
        </w:tc>
        <w:tc>
          <w:tcPr>
            <w:tcW w:w="500" w:type="pct"/>
            <w:noWrap w:val="0"/>
            <w:vAlign w:val="center"/>
          </w:tcPr>
          <w:p w14:paraId="423BB5F9">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w:t>
            </w:r>
          </w:p>
        </w:tc>
        <w:tc>
          <w:tcPr>
            <w:tcW w:w="500" w:type="pct"/>
            <w:noWrap w:val="0"/>
            <w:vAlign w:val="center"/>
          </w:tcPr>
          <w:p w14:paraId="62D60CA8">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w:t>
            </w:r>
          </w:p>
        </w:tc>
        <w:tc>
          <w:tcPr>
            <w:tcW w:w="500" w:type="pct"/>
            <w:noWrap w:val="0"/>
            <w:vAlign w:val="center"/>
          </w:tcPr>
          <w:p w14:paraId="5C611B22">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w:t>
            </w:r>
          </w:p>
        </w:tc>
        <w:tc>
          <w:tcPr>
            <w:tcW w:w="501" w:type="pct"/>
            <w:tcBorders>
              <w:right w:val="single" w:color="auto" w:sz="12" w:space="0"/>
            </w:tcBorders>
            <w:noWrap w:val="0"/>
            <w:vAlign w:val="center"/>
          </w:tcPr>
          <w:p w14:paraId="6C0CD1BE">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5</w:t>
            </w:r>
          </w:p>
        </w:tc>
      </w:tr>
      <w:tr w14:paraId="231D83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496" w:type="pct"/>
            <w:tcBorders>
              <w:left w:val="single" w:color="auto" w:sz="12" w:space="0"/>
            </w:tcBorders>
            <w:noWrap w:val="0"/>
            <w:vAlign w:val="center"/>
          </w:tcPr>
          <w:p w14:paraId="4899F1D5">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2013</w:t>
            </w:r>
          </w:p>
        </w:tc>
        <w:tc>
          <w:tcPr>
            <w:tcW w:w="499" w:type="pct"/>
            <w:noWrap w:val="0"/>
            <w:vAlign w:val="center"/>
          </w:tcPr>
          <w:p w14:paraId="572E2784">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2</w:t>
            </w:r>
          </w:p>
        </w:tc>
        <w:tc>
          <w:tcPr>
            <w:tcW w:w="499" w:type="pct"/>
            <w:noWrap w:val="0"/>
            <w:vAlign w:val="center"/>
          </w:tcPr>
          <w:p w14:paraId="0CE85AF3">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2</w:t>
            </w:r>
          </w:p>
        </w:tc>
        <w:tc>
          <w:tcPr>
            <w:tcW w:w="500" w:type="pct"/>
            <w:noWrap w:val="0"/>
            <w:vAlign w:val="center"/>
          </w:tcPr>
          <w:p w14:paraId="05496C05">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2</w:t>
            </w:r>
          </w:p>
        </w:tc>
        <w:tc>
          <w:tcPr>
            <w:tcW w:w="500" w:type="pct"/>
            <w:noWrap w:val="0"/>
            <w:vAlign w:val="center"/>
          </w:tcPr>
          <w:p w14:paraId="01DD44A4">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1</w:t>
            </w:r>
          </w:p>
        </w:tc>
        <w:tc>
          <w:tcPr>
            <w:tcW w:w="500" w:type="pct"/>
            <w:noWrap w:val="0"/>
            <w:vAlign w:val="center"/>
          </w:tcPr>
          <w:p w14:paraId="3D6891F0">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w:t>
            </w:r>
          </w:p>
        </w:tc>
        <w:tc>
          <w:tcPr>
            <w:tcW w:w="500" w:type="pct"/>
            <w:noWrap w:val="0"/>
            <w:vAlign w:val="center"/>
          </w:tcPr>
          <w:p w14:paraId="1B338949">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w:t>
            </w:r>
          </w:p>
        </w:tc>
        <w:tc>
          <w:tcPr>
            <w:tcW w:w="500" w:type="pct"/>
            <w:noWrap w:val="0"/>
            <w:vAlign w:val="center"/>
          </w:tcPr>
          <w:p w14:paraId="083E61CE">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w:t>
            </w:r>
          </w:p>
        </w:tc>
        <w:tc>
          <w:tcPr>
            <w:tcW w:w="500" w:type="pct"/>
            <w:noWrap w:val="0"/>
            <w:vAlign w:val="center"/>
          </w:tcPr>
          <w:p w14:paraId="275769E4">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2</w:t>
            </w:r>
          </w:p>
        </w:tc>
        <w:tc>
          <w:tcPr>
            <w:tcW w:w="501" w:type="pct"/>
            <w:tcBorders>
              <w:right w:val="single" w:color="auto" w:sz="12" w:space="0"/>
            </w:tcBorders>
            <w:noWrap w:val="0"/>
            <w:vAlign w:val="center"/>
          </w:tcPr>
          <w:p w14:paraId="6615361E">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9</w:t>
            </w:r>
          </w:p>
        </w:tc>
      </w:tr>
      <w:tr w14:paraId="4774C8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496" w:type="pct"/>
            <w:tcBorders>
              <w:left w:val="single" w:color="auto" w:sz="12" w:space="0"/>
            </w:tcBorders>
            <w:noWrap w:val="0"/>
            <w:vAlign w:val="center"/>
          </w:tcPr>
          <w:p w14:paraId="4FFED1CD">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2014</w:t>
            </w:r>
          </w:p>
        </w:tc>
        <w:tc>
          <w:tcPr>
            <w:tcW w:w="499" w:type="pct"/>
            <w:noWrap w:val="0"/>
            <w:vAlign w:val="center"/>
          </w:tcPr>
          <w:p w14:paraId="24FEB498">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5</w:t>
            </w:r>
          </w:p>
        </w:tc>
        <w:tc>
          <w:tcPr>
            <w:tcW w:w="499" w:type="pct"/>
            <w:noWrap w:val="0"/>
            <w:vAlign w:val="center"/>
          </w:tcPr>
          <w:p w14:paraId="195E24CC">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2</w:t>
            </w:r>
          </w:p>
        </w:tc>
        <w:tc>
          <w:tcPr>
            <w:tcW w:w="500" w:type="pct"/>
            <w:noWrap w:val="0"/>
            <w:vAlign w:val="center"/>
          </w:tcPr>
          <w:p w14:paraId="5A5EC430">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4</w:t>
            </w:r>
          </w:p>
        </w:tc>
        <w:tc>
          <w:tcPr>
            <w:tcW w:w="500" w:type="pct"/>
            <w:noWrap w:val="0"/>
            <w:vAlign w:val="center"/>
          </w:tcPr>
          <w:p w14:paraId="50FD798B">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w:t>
            </w:r>
          </w:p>
        </w:tc>
        <w:tc>
          <w:tcPr>
            <w:tcW w:w="500" w:type="pct"/>
            <w:noWrap w:val="0"/>
            <w:vAlign w:val="center"/>
          </w:tcPr>
          <w:p w14:paraId="6341343C">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w:t>
            </w:r>
          </w:p>
        </w:tc>
        <w:tc>
          <w:tcPr>
            <w:tcW w:w="500" w:type="pct"/>
            <w:noWrap w:val="0"/>
            <w:vAlign w:val="center"/>
          </w:tcPr>
          <w:p w14:paraId="45579C3A">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w:t>
            </w:r>
          </w:p>
        </w:tc>
        <w:tc>
          <w:tcPr>
            <w:tcW w:w="500" w:type="pct"/>
            <w:noWrap w:val="0"/>
            <w:vAlign w:val="center"/>
          </w:tcPr>
          <w:p w14:paraId="73B411D3">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w:t>
            </w:r>
          </w:p>
        </w:tc>
        <w:tc>
          <w:tcPr>
            <w:tcW w:w="500" w:type="pct"/>
            <w:noWrap w:val="0"/>
            <w:vAlign w:val="center"/>
          </w:tcPr>
          <w:p w14:paraId="62941D7A">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w:t>
            </w:r>
          </w:p>
        </w:tc>
        <w:tc>
          <w:tcPr>
            <w:tcW w:w="501" w:type="pct"/>
            <w:tcBorders>
              <w:right w:val="single" w:color="auto" w:sz="12" w:space="0"/>
            </w:tcBorders>
            <w:noWrap w:val="0"/>
            <w:vAlign w:val="center"/>
          </w:tcPr>
          <w:p w14:paraId="47DE298A">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11</w:t>
            </w:r>
          </w:p>
        </w:tc>
      </w:tr>
      <w:tr w14:paraId="299024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496" w:type="pct"/>
            <w:tcBorders>
              <w:left w:val="single" w:color="auto" w:sz="12" w:space="0"/>
            </w:tcBorders>
            <w:noWrap w:val="0"/>
            <w:vAlign w:val="center"/>
          </w:tcPr>
          <w:p w14:paraId="75A6908C">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2015</w:t>
            </w:r>
          </w:p>
        </w:tc>
        <w:tc>
          <w:tcPr>
            <w:tcW w:w="499" w:type="pct"/>
            <w:noWrap w:val="0"/>
            <w:vAlign w:val="center"/>
          </w:tcPr>
          <w:p w14:paraId="1178DC74">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1</w:t>
            </w:r>
          </w:p>
        </w:tc>
        <w:tc>
          <w:tcPr>
            <w:tcW w:w="499" w:type="pct"/>
            <w:noWrap w:val="0"/>
            <w:vAlign w:val="center"/>
          </w:tcPr>
          <w:p w14:paraId="59B814D5">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1</w:t>
            </w:r>
          </w:p>
        </w:tc>
        <w:tc>
          <w:tcPr>
            <w:tcW w:w="500" w:type="pct"/>
            <w:noWrap w:val="0"/>
            <w:vAlign w:val="center"/>
          </w:tcPr>
          <w:p w14:paraId="525682B9">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2</w:t>
            </w:r>
          </w:p>
        </w:tc>
        <w:tc>
          <w:tcPr>
            <w:tcW w:w="500" w:type="pct"/>
            <w:noWrap w:val="0"/>
            <w:vAlign w:val="center"/>
          </w:tcPr>
          <w:p w14:paraId="27E555C4">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2</w:t>
            </w:r>
          </w:p>
        </w:tc>
        <w:tc>
          <w:tcPr>
            <w:tcW w:w="500" w:type="pct"/>
            <w:noWrap w:val="0"/>
            <w:vAlign w:val="center"/>
          </w:tcPr>
          <w:p w14:paraId="7D0FE654">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1</w:t>
            </w:r>
          </w:p>
        </w:tc>
        <w:tc>
          <w:tcPr>
            <w:tcW w:w="500" w:type="pct"/>
            <w:noWrap w:val="0"/>
            <w:vAlign w:val="center"/>
          </w:tcPr>
          <w:p w14:paraId="6A5E4B07">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w:t>
            </w:r>
          </w:p>
        </w:tc>
        <w:tc>
          <w:tcPr>
            <w:tcW w:w="500" w:type="pct"/>
            <w:noWrap w:val="0"/>
            <w:vAlign w:val="center"/>
          </w:tcPr>
          <w:p w14:paraId="435A0E96">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w:t>
            </w:r>
          </w:p>
        </w:tc>
        <w:tc>
          <w:tcPr>
            <w:tcW w:w="500" w:type="pct"/>
            <w:noWrap w:val="0"/>
            <w:vAlign w:val="center"/>
          </w:tcPr>
          <w:p w14:paraId="208735B3">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w:t>
            </w:r>
          </w:p>
        </w:tc>
        <w:tc>
          <w:tcPr>
            <w:tcW w:w="501" w:type="pct"/>
            <w:tcBorders>
              <w:right w:val="single" w:color="auto" w:sz="12" w:space="0"/>
            </w:tcBorders>
            <w:noWrap w:val="0"/>
            <w:vAlign w:val="center"/>
          </w:tcPr>
          <w:p w14:paraId="14C8E09F">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7</w:t>
            </w:r>
          </w:p>
        </w:tc>
      </w:tr>
      <w:tr w14:paraId="536880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496" w:type="pct"/>
            <w:tcBorders>
              <w:left w:val="single" w:color="auto" w:sz="12" w:space="0"/>
            </w:tcBorders>
            <w:noWrap w:val="0"/>
            <w:vAlign w:val="center"/>
          </w:tcPr>
          <w:p w14:paraId="0C241556">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2016</w:t>
            </w:r>
          </w:p>
        </w:tc>
        <w:tc>
          <w:tcPr>
            <w:tcW w:w="499" w:type="pct"/>
            <w:noWrap w:val="0"/>
            <w:vAlign w:val="center"/>
          </w:tcPr>
          <w:p w14:paraId="2009AD39">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3</w:t>
            </w:r>
          </w:p>
        </w:tc>
        <w:tc>
          <w:tcPr>
            <w:tcW w:w="499" w:type="pct"/>
            <w:noWrap w:val="0"/>
            <w:vAlign w:val="center"/>
          </w:tcPr>
          <w:p w14:paraId="0A84E354">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3</w:t>
            </w:r>
          </w:p>
        </w:tc>
        <w:tc>
          <w:tcPr>
            <w:tcW w:w="500" w:type="pct"/>
            <w:noWrap w:val="0"/>
            <w:vAlign w:val="center"/>
          </w:tcPr>
          <w:p w14:paraId="53D5657B">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2</w:t>
            </w:r>
          </w:p>
        </w:tc>
        <w:tc>
          <w:tcPr>
            <w:tcW w:w="500" w:type="pct"/>
            <w:noWrap w:val="0"/>
            <w:vAlign w:val="center"/>
          </w:tcPr>
          <w:p w14:paraId="4BD5BCE8">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1</w:t>
            </w:r>
          </w:p>
        </w:tc>
        <w:tc>
          <w:tcPr>
            <w:tcW w:w="500" w:type="pct"/>
            <w:noWrap w:val="0"/>
            <w:vAlign w:val="center"/>
          </w:tcPr>
          <w:p w14:paraId="29860919">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2</w:t>
            </w:r>
          </w:p>
        </w:tc>
        <w:tc>
          <w:tcPr>
            <w:tcW w:w="500" w:type="pct"/>
            <w:noWrap w:val="0"/>
            <w:vAlign w:val="center"/>
          </w:tcPr>
          <w:p w14:paraId="3E8D2FD5">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w:t>
            </w:r>
          </w:p>
        </w:tc>
        <w:tc>
          <w:tcPr>
            <w:tcW w:w="500" w:type="pct"/>
            <w:noWrap w:val="0"/>
            <w:vAlign w:val="center"/>
          </w:tcPr>
          <w:p w14:paraId="22746E6E">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w:t>
            </w:r>
          </w:p>
        </w:tc>
        <w:tc>
          <w:tcPr>
            <w:tcW w:w="500" w:type="pct"/>
            <w:noWrap w:val="0"/>
            <w:vAlign w:val="center"/>
          </w:tcPr>
          <w:p w14:paraId="6D727191">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1</w:t>
            </w:r>
          </w:p>
        </w:tc>
        <w:tc>
          <w:tcPr>
            <w:tcW w:w="501" w:type="pct"/>
            <w:tcBorders>
              <w:right w:val="single" w:color="auto" w:sz="12" w:space="0"/>
            </w:tcBorders>
            <w:noWrap w:val="0"/>
            <w:vAlign w:val="center"/>
          </w:tcPr>
          <w:p w14:paraId="3610ADCB">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12</w:t>
            </w:r>
          </w:p>
        </w:tc>
      </w:tr>
      <w:tr w14:paraId="7BDA9A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496" w:type="pct"/>
            <w:tcBorders>
              <w:left w:val="single" w:color="auto" w:sz="12" w:space="0"/>
            </w:tcBorders>
            <w:noWrap w:val="0"/>
            <w:vAlign w:val="center"/>
          </w:tcPr>
          <w:p w14:paraId="5EF755E8">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2017</w:t>
            </w:r>
          </w:p>
        </w:tc>
        <w:tc>
          <w:tcPr>
            <w:tcW w:w="499" w:type="pct"/>
            <w:noWrap w:val="0"/>
            <w:vAlign w:val="center"/>
          </w:tcPr>
          <w:p w14:paraId="4B4B661A">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6</w:t>
            </w:r>
          </w:p>
        </w:tc>
        <w:tc>
          <w:tcPr>
            <w:tcW w:w="499" w:type="pct"/>
            <w:noWrap w:val="0"/>
            <w:vAlign w:val="center"/>
          </w:tcPr>
          <w:p w14:paraId="40CA8074">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1</w:t>
            </w:r>
          </w:p>
        </w:tc>
        <w:tc>
          <w:tcPr>
            <w:tcW w:w="500" w:type="pct"/>
            <w:noWrap w:val="0"/>
            <w:vAlign w:val="center"/>
          </w:tcPr>
          <w:p w14:paraId="2E91AC53">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w:t>
            </w:r>
          </w:p>
        </w:tc>
        <w:tc>
          <w:tcPr>
            <w:tcW w:w="500" w:type="pct"/>
            <w:noWrap w:val="0"/>
            <w:vAlign w:val="center"/>
          </w:tcPr>
          <w:p w14:paraId="322D1584">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5</w:t>
            </w:r>
          </w:p>
        </w:tc>
        <w:tc>
          <w:tcPr>
            <w:tcW w:w="500" w:type="pct"/>
            <w:noWrap w:val="0"/>
            <w:vAlign w:val="center"/>
          </w:tcPr>
          <w:p w14:paraId="623B48A9">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w:t>
            </w:r>
          </w:p>
        </w:tc>
        <w:tc>
          <w:tcPr>
            <w:tcW w:w="500" w:type="pct"/>
            <w:noWrap w:val="0"/>
            <w:vAlign w:val="center"/>
          </w:tcPr>
          <w:p w14:paraId="4C55A22B">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w:t>
            </w:r>
          </w:p>
        </w:tc>
        <w:tc>
          <w:tcPr>
            <w:tcW w:w="500" w:type="pct"/>
            <w:noWrap w:val="0"/>
            <w:vAlign w:val="center"/>
          </w:tcPr>
          <w:p w14:paraId="54AABF4A">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w:t>
            </w:r>
          </w:p>
        </w:tc>
        <w:tc>
          <w:tcPr>
            <w:tcW w:w="500" w:type="pct"/>
            <w:noWrap w:val="0"/>
            <w:vAlign w:val="center"/>
          </w:tcPr>
          <w:p w14:paraId="05602B77">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1</w:t>
            </w:r>
          </w:p>
        </w:tc>
        <w:tc>
          <w:tcPr>
            <w:tcW w:w="501" w:type="pct"/>
            <w:tcBorders>
              <w:right w:val="single" w:color="auto" w:sz="12" w:space="0"/>
            </w:tcBorders>
            <w:noWrap w:val="0"/>
            <w:vAlign w:val="center"/>
          </w:tcPr>
          <w:p w14:paraId="72596684">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13</w:t>
            </w:r>
          </w:p>
        </w:tc>
      </w:tr>
      <w:tr w14:paraId="130859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496" w:type="pct"/>
            <w:tcBorders>
              <w:left w:val="single" w:color="auto" w:sz="12" w:space="0"/>
            </w:tcBorders>
            <w:noWrap w:val="0"/>
            <w:vAlign w:val="center"/>
          </w:tcPr>
          <w:p w14:paraId="233660CE">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2018</w:t>
            </w:r>
          </w:p>
        </w:tc>
        <w:tc>
          <w:tcPr>
            <w:tcW w:w="499" w:type="pct"/>
            <w:noWrap w:val="0"/>
            <w:vAlign w:val="center"/>
          </w:tcPr>
          <w:p w14:paraId="085436B9">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w:t>
            </w:r>
          </w:p>
        </w:tc>
        <w:tc>
          <w:tcPr>
            <w:tcW w:w="499" w:type="pct"/>
            <w:noWrap w:val="0"/>
            <w:vAlign w:val="center"/>
          </w:tcPr>
          <w:p w14:paraId="020E19E4">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2</w:t>
            </w:r>
          </w:p>
        </w:tc>
        <w:tc>
          <w:tcPr>
            <w:tcW w:w="500" w:type="pct"/>
            <w:noWrap w:val="0"/>
            <w:vAlign w:val="center"/>
          </w:tcPr>
          <w:p w14:paraId="4696A960">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2</w:t>
            </w:r>
          </w:p>
        </w:tc>
        <w:tc>
          <w:tcPr>
            <w:tcW w:w="500" w:type="pct"/>
            <w:noWrap w:val="0"/>
            <w:vAlign w:val="center"/>
          </w:tcPr>
          <w:p w14:paraId="69EEE55D">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1</w:t>
            </w:r>
          </w:p>
        </w:tc>
        <w:tc>
          <w:tcPr>
            <w:tcW w:w="500" w:type="pct"/>
            <w:noWrap w:val="0"/>
            <w:vAlign w:val="center"/>
          </w:tcPr>
          <w:p w14:paraId="32528177">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w:t>
            </w:r>
          </w:p>
        </w:tc>
        <w:tc>
          <w:tcPr>
            <w:tcW w:w="500" w:type="pct"/>
            <w:noWrap w:val="0"/>
            <w:vAlign w:val="center"/>
          </w:tcPr>
          <w:p w14:paraId="71A0E5BB">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w:t>
            </w:r>
          </w:p>
        </w:tc>
        <w:tc>
          <w:tcPr>
            <w:tcW w:w="500" w:type="pct"/>
            <w:noWrap w:val="0"/>
            <w:vAlign w:val="center"/>
          </w:tcPr>
          <w:p w14:paraId="2C4F4535">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w:t>
            </w:r>
          </w:p>
        </w:tc>
        <w:tc>
          <w:tcPr>
            <w:tcW w:w="500" w:type="pct"/>
            <w:noWrap w:val="0"/>
            <w:vAlign w:val="center"/>
          </w:tcPr>
          <w:p w14:paraId="041E1F0D">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2</w:t>
            </w:r>
          </w:p>
        </w:tc>
        <w:tc>
          <w:tcPr>
            <w:tcW w:w="501" w:type="pct"/>
            <w:tcBorders>
              <w:right w:val="single" w:color="auto" w:sz="12" w:space="0"/>
            </w:tcBorders>
            <w:noWrap w:val="0"/>
            <w:vAlign w:val="center"/>
          </w:tcPr>
          <w:p w14:paraId="3F989175">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7</w:t>
            </w:r>
          </w:p>
        </w:tc>
      </w:tr>
      <w:tr w14:paraId="1487C0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496" w:type="pct"/>
            <w:tcBorders>
              <w:left w:val="single" w:color="auto" w:sz="12" w:space="0"/>
            </w:tcBorders>
            <w:noWrap w:val="0"/>
            <w:vAlign w:val="center"/>
          </w:tcPr>
          <w:p w14:paraId="54CDE26D">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2019</w:t>
            </w:r>
          </w:p>
        </w:tc>
        <w:tc>
          <w:tcPr>
            <w:tcW w:w="499" w:type="pct"/>
            <w:noWrap w:val="0"/>
            <w:vAlign w:val="center"/>
          </w:tcPr>
          <w:p w14:paraId="31858D7B">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2</w:t>
            </w:r>
          </w:p>
        </w:tc>
        <w:tc>
          <w:tcPr>
            <w:tcW w:w="499" w:type="pct"/>
            <w:noWrap w:val="0"/>
            <w:vAlign w:val="center"/>
          </w:tcPr>
          <w:p w14:paraId="2B261F02">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3</w:t>
            </w:r>
          </w:p>
        </w:tc>
        <w:tc>
          <w:tcPr>
            <w:tcW w:w="500" w:type="pct"/>
            <w:noWrap w:val="0"/>
            <w:vAlign w:val="center"/>
          </w:tcPr>
          <w:p w14:paraId="6EE4A7DC">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6</w:t>
            </w:r>
          </w:p>
        </w:tc>
        <w:tc>
          <w:tcPr>
            <w:tcW w:w="500" w:type="pct"/>
            <w:noWrap w:val="0"/>
            <w:vAlign w:val="center"/>
          </w:tcPr>
          <w:p w14:paraId="08B09F46">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w:t>
            </w:r>
          </w:p>
        </w:tc>
        <w:tc>
          <w:tcPr>
            <w:tcW w:w="500" w:type="pct"/>
            <w:noWrap w:val="0"/>
            <w:vAlign w:val="center"/>
          </w:tcPr>
          <w:p w14:paraId="56498985">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1</w:t>
            </w:r>
          </w:p>
        </w:tc>
        <w:tc>
          <w:tcPr>
            <w:tcW w:w="500" w:type="pct"/>
            <w:noWrap w:val="0"/>
            <w:vAlign w:val="center"/>
          </w:tcPr>
          <w:p w14:paraId="04909940">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w:t>
            </w:r>
          </w:p>
        </w:tc>
        <w:tc>
          <w:tcPr>
            <w:tcW w:w="500" w:type="pct"/>
            <w:noWrap w:val="0"/>
            <w:vAlign w:val="center"/>
          </w:tcPr>
          <w:p w14:paraId="64EBDF94">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w:t>
            </w:r>
          </w:p>
        </w:tc>
        <w:tc>
          <w:tcPr>
            <w:tcW w:w="500" w:type="pct"/>
            <w:noWrap w:val="0"/>
            <w:vAlign w:val="center"/>
          </w:tcPr>
          <w:p w14:paraId="135EC250">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1</w:t>
            </w:r>
          </w:p>
        </w:tc>
        <w:tc>
          <w:tcPr>
            <w:tcW w:w="501" w:type="pct"/>
            <w:tcBorders>
              <w:right w:val="single" w:color="auto" w:sz="12" w:space="0"/>
            </w:tcBorders>
            <w:noWrap w:val="0"/>
            <w:vAlign w:val="center"/>
          </w:tcPr>
          <w:p w14:paraId="6902ACAA">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13</w:t>
            </w:r>
          </w:p>
        </w:tc>
      </w:tr>
      <w:tr w14:paraId="2E5709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496" w:type="pct"/>
            <w:tcBorders>
              <w:left w:val="single" w:color="auto" w:sz="12" w:space="0"/>
            </w:tcBorders>
            <w:noWrap w:val="0"/>
            <w:vAlign w:val="center"/>
          </w:tcPr>
          <w:p w14:paraId="09505FAC">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2020</w:t>
            </w:r>
          </w:p>
        </w:tc>
        <w:tc>
          <w:tcPr>
            <w:tcW w:w="499" w:type="pct"/>
            <w:noWrap w:val="0"/>
            <w:vAlign w:val="center"/>
          </w:tcPr>
          <w:p w14:paraId="08960B18">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1</w:t>
            </w:r>
          </w:p>
        </w:tc>
        <w:tc>
          <w:tcPr>
            <w:tcW w:w="499" w:type="pct"/>
            <w:noWrap w:val="0"/>
            <w:vAlign w:val="center"/>
          </w:tcPr>
          <w:p w14:paraId="58A141F5">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2</w:t>
            </w:r>
          </w:p>
        </w:tc>
        <w:tc>
          <w:tcPr>
            <w:tcW w:w="500" w:type="pct"/>
            <w:noWrap w:val="0"/>
            <w:vAlign w:val="center"/>
          </w:tcPr>
          <w:p w14:paraId="201D0357">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8</w:t>
            </w:r>
          </w:p>
        </w:tc>
        <w:tc>
          <w:tcPr>
            <w:tcW w:w="500" w:type="pct"/>
            <w:noWrap w:val="0"/>
            <w:vAlign w:val="center"/>
          </w:tcPr>
          <w:p w14:paraId="6F9AC9AA">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w:t>
            </w:r>
          </w:p>
        </w:tc>
        <w:tc>
          <w:tcPr>
            <w:tcW w:w="500" w:type="pct"/>
            <w:noWrap w:val="0"/>
            <w:vAlign w:val="center"/>
          </w:tcPr>
          <w:p w14:paraId="16E9FD5B">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2</w:t>
            </w:r>
          </w:p>
        </w:tc>
        <w:tc>
          <w:tcPr>
            <w:tcW w:w="500" w:type="pct"/>
            <w:noWrap w:val="0"/>
            <w:vAlign w:val="center"/>
          </w:tcPr>
          <w:p w14:paraId="7C2D653F">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w:t>
            </w:r>
          </w:p>
        </w:tc>
        <w:tc>
          <w:tcPr>
            <w:tcW w:w="500" w:type="pct"/>
            <w:noWrap w:val="0"/>
            <w:vAlign w:val="center"/>
          </w:tcPr>
          <w:p w14:paraId="70F5BCEB">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w:t>
            </w:r>
          </w:p>
        </w:tc>
        <w:tc>
          <w:tcPr>
            <w:tcW w:w="500" w:type="pct"/>
            <w:noWrap w:val="0"/>
            <w:vAlign w:val="center"/>
          </w:tcPr>
          <w:p w14:paraId="3942861B">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1</w:t>
            </w:r>
          </w:p>
        </w:tc>
        <w:tc>
          <w:tcPr>
            <w:tcW w:w="501" w:type="pct"/>
            <w:tcBorders>
              <w:right w:val="single" w:color="auto" w:sz="12" w:space="0"/>
            </w:tcBorders>
            <w:noWrap w:val="0"/>
            <w:vAlign w:val="center"/>
          </w:tcPr>
          <w:p w14:paraId="40A6D59B">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14</w:t>
            </w:r>
          </w:p>
        </w:tc>
      </w:tr>
      <w:tr w14:paraId="56932E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496" w:type="pct"/>
            <w:tcBorders>
              <w:left w:val="single" w:color="auto" w:sz="12" w:space="0"/>
              <w:bottom w:val="single" w:color="auto" w:sz="12" w:space="0"/>
            </w:tcBorders>
            <w:noWrap w:val="0"/>
            <w:vAlign w:val="center"/>
          </w:tcPr>
          <w:p w14:paraId="0FBBD5F2">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合计</w:t>
            </w:r>
          </w:p>
        </w:tc>
        <w:tc>
          <w:tcPr>
            <w:tcW w:w="499" w:type="pct"/>
            <w:tcBorders>
              <w:bottom w:val="single" w:color="auto" w:sz="12" w:space="0"/>
            </w:tcBorders>
            <w:noWrap w:val="0"/>
            <w:vAlign w:val="center"/>
          </w:tcPr>
          <w:p w14:paraId="3B8FFB32">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47</w:t>
            </w:r>
          </w:p>
        </w:tc>
        <w:tc>
          <w:tcPr>
            <w:tcW w:w="499" w:type="pct"/>
            <w:tcBorders>
              <w:bottom w:val="single" w:color="auto" w:sz="12" w:space="0"/>
            </w:tcBorders>
            <w:noWrap w:val="0"/>
            <w:vAlign w:val="center"/>
          </w:tcPr>
          <w:p w14:paraId="11036D90">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22</w:t>
            </w:r>
          </w:p>
        </w:tc>
        <w:tc>
          <w:tcPr>
            <w:tcW w:w="500" w:type="pct"/>
            <w:tcBorders>
              <w:bottom w:val="single" w:color="auto" w:sz="12" w:space="0"/>
            </w:tcBorders>
            <w:noWrap w:val="0"/>
            <w:vAlign w:val="center"/>
          </w:tcPr>
          <w:p w14:paraId="36F3F7AB">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41</w:t>
            </w:r>
          </w:p>
        </w:tc>
        <w:tc>
          <w:tcPr>
            <w:tcW w:w="500" w:type="pct"/>
            <w:tcBorders>
              <w:bottom w:val="single" w:color="auto" w:sz="12" w:space="0"/>
            </w:tcBorders>
            <w:noWrap w:val="0"/>
            <w:vAlign w:val="center"/>
          </w:tcPr>
          <w:p w14:paraId="1BA492EC">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19</w:t>
            </w:r>
          </w:p>
        </w:tc>
        <w:tc>
          <w:tcPr>
            <w:tcW w:w="500" w:type="pct"/>
            <w:tcBorders>
              <w:bottom w:val="single" w:color="auto" w:sz="12" w:space="0"/>
            </w:tcBorders>
            <w:noWrap w:val="0"/>
            <w:vAlign w:val="center"/>
          </w:tcPr>
          <w:p w14:paraId="17C63862">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9</w:t>
            </w:r>
          </w:p>
        </w:tc>
        <w:tc>
          <w:tcPr>
            <w:tcW w:w="500" w:type="pct"/>
            <w:tcBorders>
              <w:bottom w:val="single" w:color="auto" w:sz="12" w:space="0"/>
            </w:tcBorders>
            <w:noWrap w:val="0"/>
            <w:vAlign w:val="center"/>
          </w:tcPr>
          <w:p w14:paraId="678BE79A">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2</w:t>
            </w:r>
          </w:p>
        </w:tc>
        <w:tc>
          <w:tcPr>
            <w:tcW w:w="500" w:type="pct"/>
            <w:tcBorders>
              <w:bottom w:val="single" w:color="auto" w:sz="12" w:space="0"/>
            </w:tcBorders>
            <w:noWrap w:val="0"/>
            <w:vAlign w:val="center"/>
          </w:tcPr>
          <w:p w14:paraId="7F193985">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3</w:t>
            </w:r>
          </w:p>
        </w:tc>
        <w:tc>
          <w:tcPr>
            <w:tcW w:w="500" w:type="pct"/>
            <w:tcBorders>
              <w:bottom w:val="single" w:color="auto" w:sz="12" w:space="0"/>
            </w:tcBorders>
            <w:noWrap w:val="0"/>
            <w:vAlign w:val="center"/>
          </w:tcPr>
          <w:p w14:paraId="43E55F30">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14</w:t>
            </w:r>
          </w:p>
        </w:tc>
        <w:tc>
          <w:tcPr>
            <w:tcW w:w="501" w:type="pct"/>
            <w:tcBorders>
              <w:bottom w:val="single" w:color="auto" w:sz="12" w:space="0"/>
              <w:right w:val="single" w:color="auto" w:sz="12" w:space="0"/>
            </w:tcBorders>
            <w:noWrap w:val="0"/>
            <w:vAlign w:val="center"/>
          </w:tcPr>
          <w:p w14:paraId="1E7A4FE5">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157</w:t>
            </w:r>
          </w:p>
        </w:tc>
      </w:tr>
    </w:tbl>
    <w:p w14:paraId="25DC00A6">
      <w:pPr>
        <w:ind w:firstLine="480"/>
        <w:rPr>
          <w:rFonts w:ascii="Times New Roman" w:hAnsi="Times New Roman" w:eastAsia="宋体"/>
          <w:color w:val="000000" w:themeColor="text1"/>
          <w:spacing w:val="0"/>
          <w:w w:val="100"/>
          <w:position w:val="0"/>
          <w:u w:val="none" w:color="auto"/>
          <w14:textFill>
            <w14:solidFill>
              <w14:schemeClr w14:val="tx1"/>
            </w14:solidFill>
          </w14:textFill>
        </w:rPr>
      </w:pPr>
      <w:r>
        <w:rPr>
          <w:rFonts w:ascii="Times New Roman" w:hAnsi="Times New Roman" w:eastAsia="宋体"/>
          <w:color w:val="000000" w:themeColor="text1"/>
          <w:spacing w:val="0"/>
          <w:w w:val="100"/>
          <w:position w:val="0"/>
          <w:u w:val="none" w:color="auto"/>
          <w14:textFill>
            <w14:solidFill>
              <w14:schemeClr w14:val="tx1"/>
            </w14:solidFill>
          </w14:textFill>
        </w:rPr>
        <w:t>发生事故的船种有大中型散货船、杂货船、中小型集装箱船、渔船、油轮和化学品船，其中以中小型杂散货船、渔船为主。</w:t>
      </w:r>
    </w:p>
    <w:p w14:paraId="3681F4D6">
      <w:pPr>
        <w:ind w:firstLine="480"/>
        <w:rPr>
          <w:rFonts w:ascii="Times New Roman" w:hAnsi="Times New Roman" w:eastAsia="宋体"/>
          <w:color w:val="000000" w:themeColor="text1"/>
          <w:spacing w:val="0"/>
          <w:w w:val="100"/>
          <w:position w:val="0"/>
          <w:u w:val="none" w:color="auto"/>
          <w14:textFill>
            <w14:solidFill>
              <w14:schemeClr w14:val="tx1"/>
            </w14:solidFill>
          </w14:textFill>
        </w:rPr>
      </w:pPr>
      <w:r>
        <w:rPr>
          <w:rFonts w:ascii="Times New Roman" w:hAnsi="Times New Roman" w:eastAsia="宋体"/>
          <w:color w:val="000000" w:themeColor="text1"/>
          <w:spacing w:val="0"/>
          <w:w w:val="100"/>
          <w:position w:val="0"/>
          <w:u w:val="none" w:color="auto"/>
          <w14:textFill>
            <w14:solidFill>
              <w14:schemeClr w14:val="tx1"/>
            </w14:solidFill>
          </w14:textFill>
        </w:rPr>
        <w:t>根据对钦州港辖区2002~2020年157起事故的致因分析，大致可以将事故的致因归纳为以下因素：</w:t>
      </w:r>
    </w:p>
    <w:p w14:paraId="759378F7">
      <w:pPr>
        <w:ind w:firstLine="480"/>
        <w:rPr>
          <w:color w:val="000000" w:themeColor="text1"/>
          <w14:textFill>
            <w14:solidFill>
              <w14:schemeClr w14:val="tx1"/>
            </w14:solidFill>
          </w14:textFill>
        </w:rPr>
      </w:pPr>
      <w:r>
        <w:rPr>
          <w:rFonts w:ascii="Times New Roman" w:hAnsi="Times New Roman" w:eastAsia="宋体"/>
          <w:color w:val="000000" w:themeColor="text1"/>
          <w:spacing w:val="0"/>
          <w:w w:val="100"/>
          <w:position w:val="0"/>
          <w:u w:val="none" w:color="auto"/>
          <w14:textFill>
            <w14:solidFill>
              <w14:schemeClr w14:val="tx1"/>
            </w14:solidFill>
          </w14:textFill>
        </w:rPr>
        <w:t>一是人为因素：船员素质差，工作责任心不强，不按照规定航速行驶，不按照规定进行避让，存在违章航行现象；安全观念淡薄，风险意识、安全意识较差，在恶劣的气象海况下仍冒险航行，</w:t>
      </w:r>
      <w:r>
        <w:rPr>
          <w:rFonts w:hint="eastAsia" w:ascii="Times New Roman" w:hAnsi="Times New Roman" w:eastAsia="宋体"/>
          <w:color w:val="000000" w:themeColor="text1"/>
          <w:spacing w:val="0"/>
          <w:w w:val="100"/>
          <w:position w:val="0"/>
          <w:u w:val="none" w:color="auto"/>
          <w:lang w:eastAsia="zh-CN"/>
          <w14:textFill>
            <w14:solidFill>
              <w14:schemeClr w14:val="tx1"/>
            </w14:solidFill>
          </w14:textFill>
        </w:rPr>
        <w:t>以致</w:t>
      </w:r>
      <w:r>
        <w:rPr>
          <w:rFonts w:ascii="Times New Roman" w:hAnsi="Times New Roman" w:eastAsia="宋体"/>
          <w:color w:val="000000" w:themeColor="text1"/>
          <w:spacing w:val="0"/>
          <w:w w:val="100"/>
          <w:position w:val="0"/>
          <w:u w:val="none" w:color="auto"/>
          <w14:textFill>
            <w14:solidFill>
              <w14:schemeClr w14:val="tx1"/>
            </w14:solidFill>
          </w14:textFill>
        </w:rPr>
        <w:t>造成事故的发生；二是环境因素：受西南风浪及台风等恶劣天气海况的影响，船舶躲避不及时或应急反应能力较差，没有做好相应的防范措施；三是船舶因素：一些小公司的老旧船舶船龄长、船状差、技术缺陷多，但仍在承担着繁重的运输任务；四是船公司管理。安全管理体系的职责没有落实到位，对船员的培训、教育缺失，重眼前利益，轻安全的思想依然存在。</w:t>
      </w:r>
    </w:p>
    <w:p w14:paraId="606509CF">
      <w:pPr>
        <w:ind w:firstLine="480"/>
        <w:rPr>
          <w:color w:val="000000" w:themeColor="text1"/>
          <w14:textFill>
            <w14:solidFill>
              <w14:schemeClr w14:val="tx1"/>
            </w14:solidFill>
          </w14:textFill>
        </w:rPr>
      </w:pPr>
      <w:r>
        <w:rPr>
          <w:color w:val="000000" w:themeColor="text1"/>
          <w14:textFill>
            <w14:solidFill>
              <w14:schemeClr w14:val="tx1"/>
            </w14:solidFill>
          </w14:textFill>
        </w:rPr>
        <w:t>（2）船舶污染事故</w:t>
      </w:r>
    </w:p>
    <w:p w14:paraId="17568DA6">
      <w:pPr>
        <w:ind w:firstLine="480"/>
        <w:rPr>
          <w:color w:val="000000" w:themeColor="text1"/>
          <w14:textFill>
            <w14:solidFill>
              <w14:schemeClr w14:val="tx1"/>
            </w14:solidFill>
          </w14:textFill>
        </w:rPr>
        <w:sectPr>
          <w:pgSz w:w="11906" w:h="16838"/>
          <w:pgMar w:top="1440" w:right="1800" w:bottom="1440" w:left="1800" w:header="851" w:footer="680" w:gutter="0"/>
          <w:pgBorders>
            <w:top w:val="none" w:sz="0" w:space="0"/>
            <w:left w:val="none" w:sz="0" w:space="0"/>
            <w:bottom w:val="none" w:sz="0" w:space="0"/>
            <w:right w:val="none" w:sz="0" w:space="0"/>
          </w:pgBorders>
          <w:pgNumType w:fmt="numberInDash"/>
          <w:cols w:space="720" w:num="1"/>
          <w:docGrid w:type="lines" w:linePitch="312" w:charSpace="0"/>
        </w:sectPr>
      </w:pPr>
      <w:r>
        <w:rPr>
          <w:rFonts w:ascii="Times New Roman" w:hAnsi="Times New Roman" w:eastAsia="宋体"/>
          <w:color w:val="000000" w:themeColor="text1"/>
          <w:spacing w:val="0"/>
          <w:w w:val="100"/>
          <w:position w:val="0"/>
          <w:u w:val="none" w:color="auto"/>
          <w14:textFill>
            <w14:solidFill>
              <w14:schemeClr w14:val="tx1"/>
            </w14:solidFill>
          </w14:textFill>
        </w:rPr>
        <w:t>根据广西海事局提供资料，2002年至2020年间，钦州辖区共发生17起船舶污染事故（其中2010~2020年未发生过船舶污染事故），平均发生船舶污染事故0.89起/年；其中14起污染事故的泄漏量都没有详细统计，只有2004年12月18日、2008年8月12日和2009年3月12日的污染事故对泄漏量有统计，有污染量统计数据的船舶污染事故发生概率为0.16起/年。具体事故统计情况见表</w:t>
      </w:r>
      <w:r>
        <w:rPr>
          <w:rFonts w:hint="eastAsia" w:eastAsia="宋体"/>
          <w:color w:val="000000" w:themeColor="text1"/>
          <w:spacing w:val="0"/>
          <w:w w:val="100"/>
          <w:position w:val="0"/>
          <w:u w:val="none" w:color="auto"/>
          <w:lang w:val="en-US" w:eastAsia="zh-CN"/>
          <w14:textFill>
            <w14:solidFill>
              <w14:schemeClr w14:val="tx1"/>
            </w14:solidFill>
          </w14:textFill>
        </w:rPr>
        <w:t>5.3-3</w:t>
      </w:r>
      <w:r>
        <w:rPr>
          <w:color w:val="000000" w:themeColor="text1"/>
          <w14:textFill>
            <w14:solidFill>
              <w14:schemeClr w14:val="tx1"/>
            </w14:solidFill>
          </w14:textFill>
        </w:rPr>
        <w:t>。</w:t>
      </w:r>
    </w:p>
    <w:p w14:paraId="339B8147">
      <w:pPr>
        <w:pStyle w:val="7"/>
        <w:rPr>
          <w:color w:val="000000" w:themeColor="text1"/>
          <w14:textFill>
            <w14:solidFill>
              <w14:schemeClr w14:val="tx1"/>
            </w14:solidFill>
          </w14:textFill>
        </w:rPr>
      </w:pPr>
      <w:r>
        <w:rPr>
          <w:color w:val="000000" w:themeColor="text1"/>
          <w14:textFill>
            <w14:solidFill>
              <w14:schemeClr w14:val="tx1"/>
            </w14:solidFill>
          </w14:textFill>
        </w:rPr>
        <w:t>钦州辖区近年来的污染事故统计</w:t>
      </w:r>
    </w:p>
    <w:tbl>
      <w:tblPr>
        <w:tblStyle w:val="43"/>
        <w:tblW w:w="13928"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426"/>
        <w:gridCol w:w="1161"/>
        <w:gridCol w:w="2372"/>
        <w:gridCol w:w="1043"/>
        <w:gridCol w:w="837"/>
        <w:gridCol w:w="3726"/>
        <w:gridCol w:w="3349"/>
        <w:gridCol w:w="1014"/>
      </w:tblGrid>
      <w:tr w14:paraId="744EABC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426" w:type="dxa"/>
            <w:tcMar>
              <w:left w:w="0" w:type="dxa"/>
              <w:right w:w="0" w:type="dxa"/>
            </w:tcMar>
            <w:vAlign w:val="center"/>
          </w:tcPr>
          <w:p w14:paraId="73F8735A">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序号</w:t>
            </w:r>
          </w:p>
        </w:tc>
        <w:tc>
          <w:tcPr>
            <w:tcW w:w="1161" w:type="dxa"/>
            <w:tcMar>
              <w:left w:w="0" w:type="dxa"/>
              <w:right w:w="0" w:type="dxa"/>
            </w:tcMar>
            <w:vAlign w:val="center"/>
          </w:tcPr>
          <w:p w14:paraId="1888A196">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事故事件</w:t>
            </w:r>
          </w:p>
        </w:tc>
        <w:tc>
          <w:tcPr>
            <w:tcW w:w="2372" w:type="dxa"/>
            <w:tcMar>
              <w:left w:w="0" w:type="dxa"/>
              <w:right w:w="0" w:type="dxa"/>
            </w:tcMar>
            <w:vAlign w:val="center"/>
          </w:tcPr>
          <w:p w14:paraId="2E30D4B3">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事故名称</w:t>
            </w:r>
          </w:p>
        </w:tc>
        <w:tc>
          <w:tcPr>
            <w:tcW w:w="1043" w:type="dxa"/>
            <w:tcMar>
              <w:left w:w="0" w:type="dxa"/>
              <w:right w:w="0" w:type="dxa"/>
            </w:tcMar>
            <w:vAlign w:val="center"/>
          </w:tcPr>
          <w:p w14:paraId="7FF49527">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事故等级</w:t>
            </w:r>
          </w:p>
        </w:tc>
        <w:tc>
          <w:tcPr>
            <w:tcW w:w="837" w:type="dxa"/>
            <w:tcMar>
              <w:left w:w="0" w:type="dxa"/>
              <w:right w:w="0" w:type="dxa"/>
            </w:tcMar>
            <w:vAlign w:val="center"/>
          </w:tcPr>
          <w:p w14:paraId="6D9368A7">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事故类型</w:t>
            </w:r>
          </w:p>
        </w:tc>
        <w:tc>
          <w:tcPr>
            <w:tcW w:w="3726" w:type="dxa"/>
            <w:tcMar>
              <w:left w:w="0" w:type="dxa"/>
              <w:right w:w="0" w:type="dxa"/>
            </w:tcMar>
            <w:vAlign w:val="center"/>
          </w:tcPr>
          <w:p w14:paraId="540365FE">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事故原因</w:t>
            </w:r>
          </w:p>
        </w:tc>
        <w:tc>
          <w:tcPr>
            <w:tcW w:w="3349" w:type="dxa"/>
            <w:tcMar>
              <w:left w:w="0" w:type="dxa"/>
              <w:right w:w="0" w:type="dxa"/>
            </w:tcMar>
            <w:vAlign w:val="center"/>
          </w:tcPr>
          <w:p w14:paraId="59EFCCC7">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发生地点（经纬度）</w:t>
            </w:r>
          </w:p>
        </w:tc>
        <w:tc>
          <w:tcPr>
            <w:tcW w:w="1014" w:type="dxa"/>
            <w:tcMar>
              <w:left w:w="0" w:type="dxa"/>
              <w:right w:w="0" w:type="dxa"/>
            </w:tcMar>
            <w:vAlign w:val="center"/>
          </w:tcPr>
          <w:p w14:paraId="74FFC59D">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溢油吨数（t）</w:t>
            </w:r>
          </w:p>
        </w:tc>
      </w:tr>
      <w:tr w14:paraId="036902A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426" w:type="dxa"/>
            <w:tcMar>
              <w:left w:w="0" w:type="dxa"/>
              <w:right w:w="0" w:type="dxa"/>
            </w:tcMar>
            <w:vAlign w:val="center"/>
          </w:tcPr>
          <w:p w14:paraId="3AB10F28">
            <w:pPr>
              <w:pStyle w:val="70"/>
              <w:rPr>
                <w:color w:val="000000" w:themeColor="text1"/>
                <w14:textFill>
                  <w14:solidFill>
                    <w14:schemeClr w14:val="tx1"/>
                  </w14:solidFill>
                </w14:textFill>
              </w:rPr>
            </w:pPr>
            <w:r>
              <w:rPr>
                <w:color w:val="000000" w:themeColor="text1"/>
                <w14:textFill>
                  <w14:solidFill>
                    <w14:schemeClr w14:val="tx1"/>
                  </w14:solidFill>
                </w14:textFill>
              </w:rPr>
              <w:t>1</w:t>
            </w:r>
          </w:p>
        </w:tc>
        <w:tc>
          <w:tcPr>
            <w:tcW w:w="1161" w:type="dxa"/>
            <w:tcMar>
              <w:left w:w="0" w:type="dxa"/>
              <w:right w:w="0" w:type="dxa"/>
            </w:tcMar>
            <w:vAlign w:val="center"/>
          </w:tcPr>
          <w:p w14:paraId="1E4CFBE9">
            <w:pPr>
              <w:pStyle w:val="70"/>
              <w:rPr>
                <w:color w:val="000000" w:themeColor="text1"/>
                <w14:textFill>
                  <w14:solidFill>
                    <w14:schemeClr w14:val="tx1"/>
                  </w14:solidFill>
                </w14:textFill>
              </w:rPr>
            </w:pPr>
            <w:r>
              <w:rPr>
                <w:color w:val="000000" w:themeColor="text1"/>
                <w14:textFill>
                  <w14:solidFill>
                    <w14:schemeClr w14:val="tx1"/>
                  </w14:solidFill>
                </w14:textFill>
              </w:rPr>
              <w:t>2002.9.3</w:t>
            </w:r>
          </w:p>
        </w:tc>
        <w:tc>
          <w:tcPr>
            <w:tcW w:w="2372" w:type="dxa"/>
            <w:tcMar>
              <w:left w:w="0" w:type="dxa"/>
              <w:right w:w="0" w:type="dxa"/>
            </w:tcMar>
            <w:vAlign w:val="center"/>
          </w:tcPr>
          <w:p w14:paraId="7F0CED2B">
            <w:pPr>
              <w:pStyle w:val="70"/>
              <w:rPr>
                <w:color w:val="000000" w:themeColor="text1"/>
                <w14:textFill>
                  <w14:solidFill>
                    <w14:schemeClr w14:val="tx1"/>
                  </w14:solidFill>
                </w14:textFill>
              </w:rPr>
            </w:pPr>
            <w:r>
              <w:rPr>
                <w:color w:val="000000" w:themeColor="text1"/>
                <w14:textFill>
                  <w14:solidFill>
                    <w14:schemeClr w14:val="tx1"/>
                  </w14:solidFill>
                </w14:textFill>
              </w:rPr>
              <w:t>浙兴1</w:t>
            </w:r>
          </w:p>
        </w:tc>
        <w:tc>
          <w:tcPr>
            <w:tcW w:w="1043" w:type="dxa"/>
            <w:tcMar>
              <w:left w:w="0" w:type="dxa"/>
              <w:right w:w="0" w:type="dxa"/>
            </w:tcMar>
            <w:vAlign w:val="center"/>
          </w:tcPr>
          <w:p w14:paraId="2C2E7874">
            <w:pPr>
              <w:pStyle w:val="70"/>
              <w:rPr>
                <w:color w:val="000000" w:themeColor="text1"/>
                <w14:textFill>
                  <w14:solidFill>
                    <w14:schemeClr w14:val="tx1"/>
                  </w14:solidFill>
                </w14:textFill>
              </w:rPr>
            </w:pPr>
            <w:r>
              <w:rPr>
                <w:color w:val="000000" w:themeColor="text1"/>
                <w14:textFill>
                  <w14:solidFill>
                    <w14:schemeClr w14:val="tx1"/>
                  </w14:solidFill>
                </w14:textFill>
              </w:rPr>
              <w:t>小事故</w:t>
            </w:r>
          </w:p>
        </w:tc>
        <w:tc>
          <w:tcPr>
            <w:tcW w:w="837" w:type="dxa"/>
            <w:tcMar>
              <w:left w:w="0" w:type="dxa"/>
              <w:right w:w="0" w:type="dxa"/>
            </w:tcMar>
            <w:vAlign w:val="center"/>
          </w:tcPr>
          <w:p w14:paraId="611648D2">
            <w:pPr>
              <w:pStyle w:val="70"/>
              <w:rPr>
                <w:color w:val="000000" w:themeColor="text1"/>
                <w14:textFill>
                  <w14:solidFill>
                    <w14:schemeClr w14:val="tx1"/>
                  </w14:solidFill>
                </w14:textFill>
              </w:rPr>
            </w:pPr>
            <w:r>
              <w:rPr>
                <w:color w:val="000000" w:themeColor="text1"/>
                <w14:textFill>
                  <w14:solidFill>
                    <w14:schemeClr w14:val="tx1"/>
                  </w14:solidFill>
                </w14:textFill>
              </w:rPr>
              <w:t>操作</w:t>
            </w:r>
          </w:p>
        </w:tc>
        <w:tc>
          <w:tcPr>
            <w:tcW w:w="3726" w:type="dxa"/>
            <w:tcMar>
              <w:left w:w="0" w:type="dxa"/>
              <w:right w:w="0" w:type="dxa"/>
            </w:tcMar>
            <w:vAlign w:val="center"/>
          </w:tcPr>
          <w:p w14:paraId="172FC30B">
            <w:pPr>
              <w:pStyle w:val="70"/>
              <w:rPr>
                <w:color w:val="000000" w:themeColor="text1"/>
                <w14:textFill>
                  <w14:solidFill>
                    <w14:schemeClr w14:val="tx1"/>
                  </w14:solidFill>
                </w14:textFill>
              </w:rPr>
            </w:pPr>
            <w:r>
              <w:rPr>
                <w:color w:val="000000" w:themeColor="text1"/>
                <w14:textFill>
                  <w14:solidFill>
                    <w14:schemeClr w14:val="tx1"/>
                  </w14:solidFill>
                </w14:textFill>
              </w:rPr>
              <w:t>在港内冲洗油船甲板</w:t>
            </w:r>
          </w:p>
        </w:tc>
        <w:tc>
          <w:tcPr>
            <w:tcW w:w="3349" w:type="dxa"/>
            <w:tcMar>
              <w:left w:w="0" w:type="dxa"/>
              <w:right w:w="0" w:type="dxa"/>
            </w:tcMar>
            <w:vAlign w:val="center"/>
          </w:tcPr>
          <w:p w14:paraId="2FC4D918">
            <w:pPr>
              <w:pStyle w:val="70"/>
              <w:rPr>
                <w:color w:val="000000" w:themeColor="text1"/>
                <w14:textFill>
                  <w14:solidFill>
                    <w14:schemeClr w14:val="tx1"/>
                  </w14:solidFill>
                </w14:textFill>
              </w:rPr>
            </w:pPr>
            <w:r>
              <w:rPr>
                <w:color w:val="000000" w:themeColor="text1"/>
                <w14:textFill>
                  <w14:solidFill>
                    <w14:schemeClr w14:val="tx1"/>
                  </w14:solidFill>
                </w14:textFill>
              </w:rPr>
              <w:t>钦州中石化码头</w:t>
            </w:r>
          </w:p>
        </w:tc>
        <w:tc>
          <w:tcPr>
            <w:tcW w:w="1014" w:type="dxa"/>
            <w:tcMar>
              <w:left w:w="0" w:type="dxa"/>
              <w:right w:w="0" w:type="dxa"/>
            </w:tcMar>
            <w:vAlign w:val="center"/>
          </w:tcPr>
          <w:p w14:paraId="13549B49">
            <w:pPr>
              <w:pStyle w:val="70"/>
              <w:rPr>
                <w:color w:val="000000" w:themeColor="text1"/>
                <w14:textFill>
                  <w14:solidFill>
                    <w14:schemeClr w14:val="tx1"/>
                  </w14:solidFill>
                </w14:textFill>
              </w:rPr>
            </w:pPr>
            <w:r>
              <w:rPr>
                <w:color w:val="000000" w:themeColor="text1"/>
                <w14:textFill>
                  <w14:solidFill>
                    <w14:schemeClr w14:val="tx1"/>
                  </w14:solidFill>
                </w14:textFill>
              </w:rPr>
              <w:t>不详</w:t>
            </w:r>
          </w:p>
        </w:tc>
      </w:tr>
      <w:tr w14:paraId="39CCBE6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426" w:type="dxa"/>
            <w:tcMar>
              <w:left w:w="0" w:type="dxa"/>
              <w:right w:w="0" w:type="dxa"/>
            </w:tcMar>
            <w:vAlign w:val="center"/>
          </w:tcPr>
          <w:p w14:paraId="3DEE7A6F">
            <w:pPr>
              <w:pStyle w:val="70"/>
              <w:rPr>
                <w:color w:val="000000" w:themeColor="text1"/>
                <w14:textFill>
                  <w14:solidFill>
                    <w14:schemeClr w14:val="tx1"/>
                  </w14:solidFill>
                </w14:textFill>
              </w:rPr>
            </w:pPr>
            <w:r>
              <w:rPr>
                <w:color w:val="000000" w:themeColor="text1"/>
                <w14:textFill>
                  <w14:solidFill>
                    <w14:schemeClr w14:val="tx1"/>
                  </w14:solidFill>
                </w14:textFill>
              </w:rPr>
              <w:t>2</w:t>
            </w:r>
          </w:p>
        </w:tc>
        <w:tc>
          <w:tcPr>
            <w:tcW w:w="1161" w:type="dxa"/>
            <w:tcMar>
              <w:left w:w="0" w:type="dxa"/>
              <w:right w:w="0" w:type="dxa"/>
            </w:tcMar>
            <w:vAlign w:val="center"/>
          </w:tcPr>
          <w:p w14:paraId="6A70DADC">
            <w:pPr>
              <w:pStyle w:val="70"/>
              <w:rPr>
                <w:color w:val="000000" w:themeColor="text1"/>
                <w14:textFill>
                  <w14:solidFill>
                    <w14:schemeClr w14:val="tx1"/>
                  </w14:solidFill>
                </w14:textFill>
              </w:rPr>
            </w:pPr>
            <w:r>
              <w:rPr>
                <w:color w:val="000000" w:themeColor="text1"/>
                <w14:textFill>
                  <w14:solidFill>
                    <w14:schemeClr w14:val="tx1"/>
                  </w14:solidFill>
                </w14:textFill>
              </w:rPr>
              <w:t>2003.12.9</w:t>
            </w:r>
          </w:p>
        </w:tc>
        <w:tc>
          <w:tcPr>
            <w:tcW w:w="2372" w:type="dxa"/>
            <w:tcMar>
              <w:left w:w="0" w:type="dxa"/>
              <w:right w:w="0" w:type="dxa"/>
            </w:tcMar>
            <w:vAlign w:val="center"/>
          </w:tcPr>
          <w:p w14:paraId="3D7EBBC1">
            <w:pPr>
              <w:pStyle w:val="70"/>
              <w:rPr>
                <w:color w:val="000000" w:themeColor="text1"/>
                <w14:textFill>
                  <w14:solidFill>
                    <w14:schemeClr w14:val="tx1"/>
                  </w14:solidFill>
                </w14:textFill>
              </w:rPr>
            </w:pPr>
            <w:r>
              <w:rPr>
                <w:color w:val="000000" w:themeColor="text1"/>
                <w14:textFill>
                  <w14:solidFill>
                    <w14:schemeClr w14:val="tx1"/>
                  </w14:solidFill>
                </w14:textFill>
              </w:rPr>
              <w:t>恒盛兴177</w:t>
            </w:r>
          </w:p>
        </w:tc>
        <w:tc>
          <w:tcPr>
            <w:tcW w:w="1043" w:type="dxa"/>
            <w:tcMar>
              <w:left w:w="0" w:type="dxa"/>
              <w:right w:w="0" w:type="dxa"/>
            </w:tcMar>
            <w:vAlign w:val="center"/>
          </w:tcPr>
          <w:p w14:paraId="46AE084A">
            <w:pPr>
              <w:pStyle w:val="70"/>
              <w:rPr>
                <w:color w:val="000000" w:themeColor="text1"/>
                <w14:textFill>
                  <w14:solidFill>
                    <w14:schemeClr w14:val="tx1"/>
                  </w14:solidFill>
                </w14:textFill>
              </w:rPr>
            </w:pPr>
            <w:r>
              <w:rPr>
                <w:color w:val="000000" w:themeColor="text1"/>
                <w14:textFill>
                  <w14:solidFill>
                    <w14:schemeClr w14:val="tx1"/>
                  </w14:solidFill>
                </w14:textFill>
              </w:rPr>
              <w:t>小事故</w:t>
            </w:r>
          </w:p>
        </w:tc>
        <w:tc>
          <w:tcPr>
            <w:tcW w:w="837" w:type="dxa"/>
            <w:tcMar>
              <w:left w:w="0" w:type="dxa"/>
              <w:right w:w="0" w:type="dxa"/>
            </w:tcMar>
            <w:vAlign w:val="center"/>
          </w:tcPr>
          <w:p w14:paraId="3F2A2EE2">
            <w:pPr>
              <w:pStyle w:val="70"/>
              <w:rPr>
                <w:color w:val="000000" w:themeColor="text1"/>
                <w14:textFill>
                  <w14:solidFill>
                    <w14:schemeClr w14:val="tx1"/>
                  </w14:solidFill>
                </w14:textFill>
              </w:rPr>
            </w:pPr>
            <w:r>
              <w:rPr>
                <w:color w:val="000000" w:themeColor="text1"/>
                <w14:textFill>
                  <w14:solidFill>
                    <w14:schemeClr w14:val="tx1"/>
                  </w14:solidFill>
                </w14:textFill>
              </w:rPr>
              <w:t>操作</w:t>
            </w:r>
          </w:p>
        </w:tc>
        <w:tc>
          <w:tcPr>
            <w:tcW w:w="3726" w:type="dxa"/>
            <w:tcMar>
              <w:left w:w="0" w:type="dxa"/>
              <w:right w:w="0" w:type="dxa"/>
            </w:tcMar>
            <w:vAlign w:val="center"/>
          </w:tcPr>
          <w:p w14:paraId="3A4391A3">
            <w:pPr>
              <w:pStyle w:val="70"/>
              <w:rPr>
                <w:color w:val="000000" w:themeColor="text1"/>
                <w14:textFill>
                  <w14:solidFill>
                    <w14:schemeClr w14:val="tx1"/>
                  </w14:solidFill>
                </w14:textFill>
              </w:rPr>
            </w:pPr>
            <w:r>
              <w:rPr>
                <w:color w:val="000000" w:themeColor="text1"/>
                <w14:textFill>
                  <w14:solidFill>
                    <w14:schemeClr w14:val="tx1"/>
                  </w14:solidFill>
                </w14:textFill>
              </w:rPr>
              <w:t>排放污油</w:t>
            </w:r>
          </w:p>
        </w:tc>
        <w:tc>
          <w:tcPr>
            <w:tcW w:w="3349" w:type="dxa"/>
            <w:tcMar>
              <w:left w:w="0" w:type="dxa"/>
              <w:right w:w="0" w:type="dxa"/>
            </w:tcMar>
            <w:vAlign w:val="center"/>
          </w:tcPr>
          <w:p w14:paraId="6730AADE">
            <w:pPr>
              <w:pStyle w:val="70"/>
              <w:rPr>
                <w:color w:val="000000" w:themeColor="text1"/>
                <w14:textFill>
                  <w14:solidFill>
                    <w14:schemeClr w14:val="tx1"/>
                  </w14:solidFill>
                </w14:textFill>
              </w:rPr>
            </w:pPr>
            <w:r>
              <w:rPr>
                <w:color w:val="000000" w:themeColor="text1"/>
                <w14:textFill>
                  <w14:solidFill>
                    <w14:schemeClr w14:val="tx1"/>
                  </w14:solidFill>
                </w14:textFill>
              </w:rPr>
              <w:t>钦州水产码头</w:t>
            </w:r>
          </w:p>
        </w:tc>
        <w:tc>
          <w:tcPr>
            <w:tcW w:w="1014" w:type="dxa"/>
            <w:tcMar>
              <w:left w:w="0" w:type="dxa"/>
              <w:right w:w="0" w:type="dxa"/>
            </w:tcMar>
            <w:vAlign w:val="center"/>
          </w:tcPr>
          <w:p w14:paraId="36F71F87">
            <w:pPr>
              <w:pStyle w:val="70"/>
              <w:rPr>
                <w:color w:val="000000" w:themeColor="text1"/>
                <w14:textFill>
                  <w14:solidFill>
                    <w14:schemeClr w14:val="tx1"/>
                  </w14:solidFill>
                </w14:textFill>
              </w:rPr>
            </w:pPr>
            <w:r>
              <w:rPr>
                <w:color w:val="000000" w:themeColor="text1"/>
                <w14:textFill>
                  <w14:solidFill>
                    <w14:schemeClr w14:val="tx1"/>
                  </w14:solidFill>
                </w14:textFill>
              </w:rPr>
              <w:t>不详</w:t>
            </w:r>
          </w:p>
        </w:tc>
      </w:tr>
      <w:tr w14:paraId="38BD0B7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426" w:type="dxa"/>
            <w:tcMar>
              <w:left w:w="0" w:type="dxa"/>
              <w:right w:w="0" w:type="dxa"/>
            </w:tcMar>
            <w:vAlign w:val="center"/>
          </w:tcPr>
          <w:p w14:paraId="6BC9B86D">
            <w:pPr>
              <w:pStyle w:val="70"/>
              <w:rPr>
                <w:color w:val="000000" w:themeColor="text1"/>
                <w14:textFill>
                  <w14:solidFill>
                    <w14:schemeClr w14:val="tx1"/>
                  </w14:solidFill>
                </w14:textFill>
              </w:rPr>
            </w:pPr>
            <w:r>
              <w:rPr>
                <w:color w:val="000000" w:themeColor="text1"/>
                <w14:textFill>
                  <w14:solidFill>
                    <w14:schemeClr w14:val="tx1"/>
                  </w14:solidFill>
                </w14:textFill>
              </w:rPr>
              <w:t>3</w:t>
            </w:r>
          </w:p>
        </w:tc>
        <w:tc>
          <w:tcPr>
            <w:tcW w:w="1161" w:type="dxa"/>
            <w:tcMar>
              <w:left w:w="0" w:type="dxa"/>
              <w:right w:w="0" w:type="dxa"/>
            </w:tcMar>
            <w:vAlign w:val="center"/>
          </w:tcPr>
          <w:p w14:paraId="00EA49D8">
            <w:pPr>
              <w:pStyle w:val="70"/>
              <w:rPr>
                <w:color w:val="000000" w:themeColor="text1"/>
                <w14:textFill>
                  <w14:solidFill>
                    <w14:schemeClr w14:val="tx1"/>
                  </w14:solidFill>
                </w14:textFill>
              </w:rPr>
            </w:pPr>
            <w:r>
              <w:rPr>
                <w:color w:val="000000" w:themeColor="text1"/>
                <w14:textFill>
                  <w14:solidFill>
                    <w14:schemeClr w14:val="tx1"/>
                  </w14:solidFill>
                </w14:textFill>
              </w:rPr>
              <w:t>2004.4.11</w:t>
            </w:r>
          </w:p>
        </w:tc>
        <w:tc>
          <w:tcPr>
            <w:tcW w:w="2372" w:type="dxa"/>
            <w:tcMar>
              <w:left w:w="0" w:type="dxa"/>
              <w:right w:w="0" w:type="dxa"/>
            </w:tcMar>
            <w:vAlign w:val="center"/>
          </w:tcPr>
          <w:p w14:paraId="6F4D934B">
            <w:pPr>
              <w:pStyle w:val="70"/>
              <w:rPr>
                <w:color w:val="000000" w:themeColor="text1"/>
                <w14:textFill>
                  <w14:solidFill>
                    <w14:schemeClr w14:val="tx1"/>
                  </w14:solidFill>
                </w14:textFill>
              </w:rPr>
            </w:pPr>
            <w:r>
              <w:rPr>
                <w:color w:val="000000" w:themeColor="text1"/>
                <w14:textFill>
                  <w14:solidFill>
                    <w14:schemeClr w14:val="tx1"/>
                  </w14:solidFill>
                </w14:textFill>
              </w:rPr>
              <w:t>湛南128与桂钦15808碰撞</w:t>
            </w:r>
          </w:p>
        </w:tc>
        <w:tc>
          <w:tcPr>
            <w:tcW w:w="1043" w:type="dxa"/>
            <w:tcMar>
              <w:left w:w="0" w:type="dxa"/>
              <w:right w:w="0" w:type="dxa"/>
            </w:tcMar>
            <w:vAlign w:val="center"/>
          </w:tcPr>
          <w:p w14:paraId="5A7A3C33">
            <w:pPr>
              <w:pStyle w:val="70"/>
              <w:rPr>
                <w:color w:val="000000" w:themeColor="text1"/>
                <w14:textFill>
                  <w14:solidFill>
                    <w14:schemeClr w14:val="tx1"/>
                  </w14:solidFill>
                </w14:textFill>
              </w:rPr>
            </w:pPr>
            <w:r>
              <w:rPr>
                <w:color w:val="000000" w:themeColor="text1"/>
                <w14:textFill>
                  <w14:solidFill>
                    <w14:schemeClr w14:val="tx1"/>
                  </w14:solidFill>
                </w14:textFill>
              </w:rPr>
              <w:t>小事故</w:t>
            </w:r>
          </w:p>
        </w:tc>
        <w:tc>
          <w:tcPr>
            <w:tcW w:w="837" w:type="dxa"/>
            <w:tcMar>
              <w:left w:w="0" w:type="dxa"/>
              <w:right w:w="0" w:type="dxa"/>
            </w:tcMar>
            <w:vAlign w:val="center"/>
          </w:tcPr>
          <w:p w14:paraId="14B21D0A">
            <w:pPr>
              <w:pStyle w:val="70"/>
              <w:rPr>
                <w:color w:val="000000" w:themeColor="text1"/>
                <w14:textFill>
                  <w14:solidFill>
                    <w14:schemeClr w14:val="tx1"/>
                  </w14:solidFill>
                </w14:textFill>
              </w:rPr>
            </w:pPr>
            <w:r>
              <w:rPr>
                <w:color w:val="000000" w:themeColor="text1"/>
                <w14:textFill>
                  <w14:solidFill>
                    <w14:schemeClr w14:val="tx1"/>
                  </w14:solidFill>
                </w14:textFill>
              </w:rPr>
              <w:t>碰撞</w:t>
            </w:r>
          </w:p>
        </w:tc>
        <w:tc>
          <w:tcPr>
            <w:tcW w:w="3726" w:type="dxa"/>
            <w:tcMar>
              <w:left w:w="0" w:type="dxa"/>
              <w:right w:w="0" w:type="dxa"/>
            </w:tcMar>
            <w:vAlign w:val="center"/>
          </w:tcPr>
          <w:p w14:paraId="6A73C291">
            <w:pPr>
              <w:pStyle w:val="70"/>
              <w:rPr>
                <w:color w:val="000000" w:themeColor="text1"/>
                <w14:textFill>
                  <w14:solidFill>
                    <w14:schemeClr w14:val="tx1"/>
                  </w14:solidFill>
                </w14:textFill>
              </w:rPr>
            </w:pPr>
            <w:r>
              <w:rPr>
                <w:color w:val="000000" w:themeColor="text1"/>
                <w14:textFill>
                  <w14:solidFill>
                    <w14:schemeClr w14:val="tx1"/>
                  </w14:solidFill>
                </w14:textFill>
              </w:rPr>
              <w:t>不明</w:t>
            </w:r>
          </w:p>
        </w:tc>
        <w:tc>
          <w:tcPr>
            <w:tcW w:w="3349" w:type="dxa"/>
            <w:tcMar>
              <w:left w:w="0" w:type="dxa"/>
              <w:right w:w="0" w:type="dxa"/>
            </w:tcMar>
            <w:vAlign w:val="center"/>
          </w:tcPr>
          <w:p w14:paraId="64AFCFEF">
            <w:pPr>
              <w:pStyle w:val="70"/>
              <w:rPr>
                <w:color w:val="000000" w:themeColor="text1"/>
                <w14:textFill>
                  <w14:solidFill>
                    <w14:schemeClr w14:val="tx1"/>
                  </w14:solidFill>
                </w14:textFill>
              </w:rPr>
            </w:pPr>
            <w:r>
              <w:rPr>
                <w:color w:val="000000" w:themeColor="text1"/>
                <w14:textFill>
                  <w14:solidFill>
                    <w14:schemeClr w14:val="tx1"/>
                  </w14:solidFill>
                </w14:textFill>
              </w:rPr>
              <w:t>21</w:t>
            </w:r>
            <w:r>
              <w:rPr>
                <w:rFonts w:hint="eastAsia" w:ascii="宋体" w:hAnsi="宋体" w:cs="宋体"/>
                <w:color w:val="000000" w:themeColor="text1"/>
                <w14:textFill>
                  <w14:solidFill>
                    <w14:schemeClr w14:val="tx1"/>
                  </w14:solidFill>
                </w14:textFill>
              </w:rPr>
              <w:t>︒</w:t>
            </w:r>
            <w:r>
              <w:rPr>
                <w:color w:val="000000" w:themeColor="text1"/>
                <w14:textFill>
                  <w14:solidFill>
                    <w14:schemeClr w14:val="tx1"/>
                  </w14:solidFill>
                </w14:textFill>
              </w:rPr>
              <w:t>40＇818N/108</w:t>
            </w:r>
            <w:r>
              <w:rPr>
                <w:rFonts w:hint="eastAsia" w:ascii="宋体" w:hAnsi="宋体" w:cs="宋体"/>
                <w:color w:val="000000" w:themeColor="text1"/>
                <w14:textFill>
                  <w14:solidFill>
                    <w14:schemeClr w14:val="tx1"/>
                  </w14:solidFill>
                </w14:textFill>
              </w:rPr>
              <w:t>︒</w:t>
            </w:r>
            <w:r>
              <w:rPr>
                <w:color w:val="000000" w:themeColor="text1"/>
                <w14:textFill>
                  <w14:solidFill>
                    <w14:schemeClr w14:val="tx1"/>
                  </w14:solidFill>
                </w14:textFill>
              </w:rPr>
              <w:t>36＇058E</w:t>
            </w:r>
          </w:p>
        </w:tc>
        <w:tc>
          <w:tcPr>
            <w:tcW w:w="1014" w:type="dxa"/>
            <w:tcMar>
              <w:left w:w="0" w:type="dxa"/>
              <w:right w:w="0" w:type="dxa"/>
            </w:tcMar>
            <w:vAlign w:val="center"/>
          </w:tcPr>
          <w:p w14:paraId="1738FF33">
            <w:pPr>
              <w:pStyle w:val="70"/>
              <w:rPr>
                <w:color w:val="000000" w:themeColor="text1"/>
                <w14:textFill>
                  <w14:solidFill>
                    <w14:schemeClr w14:val="tx1"/>
                  </w14:solidFill>
                </w14:textFill>
              </w:rPr>
            </w:pPr>
            <w:r>
              <w:rPr>
                <w:color w:val="000000" w:themeColor="text1"/>
                <w14:textFill>
                  <w14:solidFill>
                    <w14:schemeClr w14:val="tx1"/>
                  </w14:solidFill>
                </w14:textFill>
              </w:rPr>
              <w:t>不详</w:t>
            </w:r>
          </w:p>
        </w:tc>
      </w:tr>
      <w:tr w14:paraId="7A49F8F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426" w:type="dxa"/>
            <w:tcMar>
              <w:left w:w="0" w:type="dxa"/>
              <w:right w:w="0" w:type="dxa"/>
            </w:tcMar>
            <w:vAlign w:val="center"/>
          </w:tcPr>
          <w:p w14:paraId="2B9CF323">
            <w:pPr>
              <w:pStyle w:val="70"/>
              <w:rPr>
                <w:color w:val="000000" w:themeColor="text1"/>
                <w14:textFill>
                  <w14:solidFill>
                    <w14:schemeClr w14:val="tx1"/>
                  </w14:solidFill>
                </w14:textFill>
              </w:rPr>
            </w:pPr>
            <w:r>
              <w:rPr>
                <w:color w:val="000000" w:themeColor="text1"/>
                <w14:textFill>
                  <w14:solidFill>
                    <w14:schemeClr w14:val="tx1"/>
                  </w14:solidFill>
                </w14:textFill>
              </w:rPr>
              <w:t>4</w:t>
            </w:r>
          </w:p>
        </w:tc>
        <w:tc>
          <w:tcPr>
            <w:tcW w:w="1161" w:type="dxa"/>
            <w:tcMar>
              <w:left w:w="0" w:type="dxa"/>
              <w:right w:w="0" w:type="dxa"/>
            </w:tcMar>
            <w:vAlign w:val="center"/>
          </w:tcPr>
          <w:p w14:paraId="17EB0042">
            <w:pPr>
              <w:pStyle w:val="70"/>
              <w:rPr>
                <w:color w:val="000000" w:themeColor="text1"/>
                <w14:textFill>
                  <w14:solidFill>
                    <w14:schemeClr w14:val="tx1"/>
                  </w14:solidFill>
                </w14:textFill>
              </w:rPr>
            </w:pPr>
            <w:r>
              <w:rPr>
                <w:color w:val="000000" w:themeColor="text1"/>
                <w14:textFill>
                  <w14:solidFill>
                    <w14:schemeClr w14:val="tx1"/>
                  </w14:solidFill>
                </w14:textFill>
              </w:rPr>
              <w:t>2004.12.18</w:t>
            </w:r>
          </w:p>
        </w:tc>
        <w:tc>
          <w:tcPr>
            <w:tcW w:w="2372" w:type="dxa"/>
            <w:tcMar>
              <w:left w:w="0" w:type="dxa"/>
              <w:right w:w="0" w:type="dxa"/>
            </w:tcMar>
            <w:vAlign w:val="center"/>
          </w:tcPr>
          <w:p w14:paraId="3E932A4C">
            <w:pPr>
              <w:pStyle w:val="70"/>
              <w:rPr>
                <w:color w:val="000000" w:themeColor="text1"/>
                <w14:textFill>
                  <w14:solidFill>
                    <w14:schemeClr w14:val="tx1"/>
                  </w14:solidFill>
                </w14:textFill>
              </w:rPr>
            </w:pPr>
            <w:r>
              <w:rPr>
                <w:color w:val="000000" w:themeColor="text1"/>
                <w14:textFill>
                  <w14:solidFill>
                    <w14:schemeClr w14:val="tx1"/>
                  </w14:solidFill>
                </w14:textFill>
              </w:rPr>
              <w:t>不详</w:t>
            </w:r>
          </w:p>
        </w:tc>
        <w:tc>
          <w:tcPr>
            <w:tcW w:w="1043" w:type="dxa"/>
            <w:tcMar>
              <w:left w:w="0" w:type="dxa"/>
              <w:right w:w="0" w:type="dxa"/>
            </w:tcMar>
            <w:vAlign w:val="center"/>
          </w:tcPr>
          <w:p w14:paraId="142C503D">
            <w:pPr>
              <w:pStyle w:val="70"/>
              <w:rPr>
                <w:color w:val="000000" w:themeColor="text1"/>
                <w14:textFill>
                  <w14:solidFill>
                    <w14:schemeClr w14:val="tx1"/>
                  </w14:solidFill>
                </w14:textFill>
              </w:rPr>
            </w:pPr>
            <w:r>
              <w:rPr>
                <w:color w:val="000000" w:themeColor="text1"/>
                <w14:textFill>
                  <w14:solidFill>
                    <w14:schemeClr w14:val="tx1"/>
                  </w14:solidFill>
                </w14:textFill>
              </w:rPr>
              <w:t>一般事故</w:t>
            </w:r>
          </w:p>
        </w:tc>
        <w:tc>
          <w:tcPr>
            <w:tcW w:w="837" w:type="dxa"/>
            <w:tcMar>
              <w:left w:w="0" w:type="dxa"/>
              <w:right w:w="0" w:type="dxa"/>
            </w:tcMar>
            <w:vAlign w:val="center"/>
          </w:tcPr>
          <w:p w14:paraId="0F03D244">
            <w:pPr>
              <w:pStyle w:val="70"/>
              <w:rPr>
                <w:color w:val="000000" w:themeColor="text1"/>
                <w14:textFill>
                  <w14:solidFill>
                    <w14:schemeClr w14:val="tx1"/>
                  </w14:solidFill>
                </w14:textFill>
              </w:rPr>
            </w:pPr>
            <w:r>
              <w:rPr>
                <w:color w:val="000000" w:themeColor="text1"/>
                <w14:textFill>
                  <w14:solidFill>
                    <w14:schemeClr w14:val="tx1"/>
                  </w14:solidFill>
                </w14:textFill>
              </w:rPr>
              <w:t>不详</w:t>
            </w:r>
          </w:p>
        </w:tc>
        <w:tc>
          <w:tcPr>
            <w:tcW w:w="3726" w:type="dxa"/>
            <w:tcMar>
              <w:left w:w="0" w:type="dxa"/>
              <w:right w:w="0" w:type="dxa"/>
            </w:tcMar>
            <w:vAlign w:val="center"/>
          </w:tcPr>
          <w:p w14:paraId="22C02580">
            <w:pPr>
              <w:pStyle w:val="70"/>
              <w:rPr>
                <w:color w:val="000000" w:themeColor="text1"/>
                <w14:textFill>
                  <w14:solidFill>
                    <w14:schemeClr w14:val="tx1"/>
                  </w14:solidFill>
                </w14:textFill>
              </w:rPr>
            </w:pPr>
            <w:r>
              <w:rPr>
                <w:color w:val="000000" w:themeColor="text1"/>
                <w14:textFill>
                  <w14:solidFill>
                    <w14:schemeClr w14:val="tx1"/>
                  </w14:solidFill>
                </w14:textFill>
              </w:rPr>
              <w:t>不详</w:t>
            </w:r>
          </w:p>
        </w:tc>
        <w:tc>
          <w:tcPr>
            <w:tcW w:w="3349" w:type="dxa"/>
            <w:tcMar>
              <w:left w:w="0" w:type="dxa"/>
              <w:right w:w="0" w:type="dxa"/>
            </w:tcMar>
            <w:vAlign w:val="center"/>
          </w:tcPr>
          <w:p w14:paraId="608B6592">
            <w:pPr>
              <w:pStyle w:val="70"/>
              <w:rPr>
                <w:color w:val="000000" w:themeColor="text1"/>
                <w14:textFill>
                  <w14:solidFill>
                    <w14:schemeClr w14:val="tx1"/>
                  </w14:solidFill>
                </w14:textFill>
              </w:rPr>
            </w:pPr>
            <w:r>
              <w:rPr>
                <w:color w:val="000000" w:themeColor="text1"/>
                <w14:textFill>
                  <w14:solidFill>
                    <w14:schemeClr w14:val="tx1"/>
                  </w14:solidFill>
                </w14:textFill>
              </w:rPr>
              <w:t>钦州港宏基码头附近水域</w:t>
            </w:r>
          </w:p>
        </w:tc>
        <w:tc>
          <w:tcPr>
            <w:tcW w:w="1014" w:type="dxa"/>
            <w:tcMar>
              <w:left w:w="0" w:type="dxa"/>
              <w:right w:w="0" w:type="dxa"/>
            </w:tcMar>
            <w:vAlign w:val="center"/>
          </w:tcPr>
          <w:p w14:paraId="56BE2139">
            <w:pPr>
              <w:pStyle w:val="70"/>
              <w:rPr>
                <w:color w:val="000000" w:themeColor="text1"/>
                <w14:textFill>
                  <w14:solidFill>
                    <w14:schemeClr w14:val="tx1"/>
                  </w14:solidFill>
                </w14:textFill>
              </w:rPr>
            </w:pPr>
            <w:r>
              <w:rPr>
                <w:color w:val="000000" w:themeColor="text1"/>
                <w14:textFill>
                  <w14:solidFill>
                    <w14:schemeClr w14:val="tx1"/>
                  </w14:solidFill>
                </w14:textFill>
              </w:rPr>
              <w:t>0#柴油，约1t</w:t>
            </w:r>
          </w:p>
        </w:tc>
      </w:tr>
      <w:tr w14:paraId="1AE8E37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426" w:type="dxa"/>
            <w:tcMar>
              <w:left w:w="0" w:type="dxa"/>
              <w:right w:w="0" w:type="dxa"/>
            </w:tcMar>
            <w:vAlign w:val="center"/>
          </w:tcPr>
          <w:p w14:paraId="2B6A4A8D">
            <w:pPr>
              <w:pStyle w:val="70"/>
              <w:rPr>
                <w:color w:val="000000" w:themeColor="text1"/>
                <w14:textFill>
                  <w14:solidFill>
                    <w14:schemeClr w14:val="tx1"/>
                  </w14:solidFill>
                </w14:textFill>
              </w:rPr>
            </w:pPr>
            <w:r>
              <w:rPr>
                <w:color w:val="000000" w:themeColor="text1"/>
                <w14:textFill>
                  <w14:solidFill>
                    <w14:schemeClr w14:val="tx1"/>
                  </w14:solidFill>
                </w14:textFill>
              </w:rPr>
              <w:t>5</w:t>
            </w:r>
          </w:p>
        </w:tc>
        <w:tc>
          <w:tcPr>
            <w:tcW w:w="1161" w:type="dxa"/>
            <w:tcMar>
              <w:left w:w="0" w:type="dxa"/>
              <w:right w:w="0" w:type="dxa"/>
            </w:tcMar>
            <w:vAlign w:val="center"/>
          </w:tcPr>
          <w:p w14:paraId="2664909C">
            <w:pPr>
              <w:pStyle w:val="70"/>
              <w:rPr>
                <w:color w:val="000000" w:themeColor="text1"/>
                <w14:textFill>
                  <w14:solidFill>
                    <w14:schemeClr w14:val="tx1"/>
                  </w14:solidFill>
                </w14:textFill>
              </w:rPr>
            </w:pPr>
            <w:r>
              <w:rPr>
                <w:color w:val="000000" w:themeColor="text1"/>
                <w14:textFill>
                  <w14:solidFill>
                    <w14:schemeClr w14:val="tx1"/>
                  </w14:solidFill>
                </w14:textFill>
              </w:rPr>
              <w:t>2005.1.19</w:t>
            </w:r>
          </w:p>
        </w:tc>
        <w:tc>
          <w:tcPr>
            <w:tcW w:w="2372" w:type="dxa"/>
            <w:tcMar>
              <w:left w:w="0" w:type="dxa"/>
              <w:right w:w="0" w:type="dxa"/>
            </w:tcMar>
            <w:vAlign w:val="center"/>
          </w:tcPr>
          <w:p w14:paraId="55409287">
            <w:pPr>
              <w:pStyle w:val="70"/>
              <w:rPr>
                <w:color w:val="000000" w:themeColor="text1"/>
                <w14:textFill>
                  <w14:solidFill>
                    <w14:schemeClr w14:val="tx1"/>
                  </w14:solidFill>
                </w14:textFill>
              </w:rPr>
            </w:pPr>
            <w:r>
              <w:rPr>
                <w:color w:val="000000" w:themeColor="text1"/>
                <w14:textFill>
                  <w14:solidFill>
                    <w14:schemeClr w14:val="tx1"/>
                  </w14:solidFill>
                </w14:textFill>
              </w:rPr>
              <w:t>永德胜689碰撞桂钦渔11632</w:t>
            </w:r>
          </w:p>
        </w:tc>
        <w:tc>
          <w:tcPr>
            <w:tcW w:w="1043" w:type="dxa"/>
            <w:tcMar>
              <w:left w:w="0" w:type="dxa"/>
              <w:right w:w="0" w:type="dxa"/>
            </w:tcMar>
            <w:vAlign w:val="center"/>
          </w:tcPr>
          <w:p w14:paraId="4373683C">
            <w:pPr>
              <w:pStyle w:val="70"/>
              <w:rPr>
                <w:color w:val="000000" w:themeColor="text1"/>
                <w14:textFill>
                  <w14:solidFill>
                    <w14:schemeClr w14:val="tx1"/>
                  </w14:solidFill>
                </w14:textFill>
              </w:rPr>
            </w:pPr>
            <w:r>
              <w:rPr>
                <w:color w:val="000000" w:themeColor="text1"/>
                <w14:textFill>
                  <w14:solidFill>
                    <w14:schemeClr w14:val="tx1"/>
                  </w14:solidFill>
                </w14:textFill>
              </w:rPr>
              <w:t>一般事故</w:t>
            </w:r>
          </w:p>
        </w:tc>
        <w:tc>
          <w:tcPr>
            <w:tcW w:w="837" w:type="dxa"/>
            <w:tcMar>
              <w:left w:w="0" w:type="dxa"/>
              <w:right w:w="0" w:type="dxa"/>
            </w:tcMar>
            <w:vAlign w:val="center"/>
          </w:tcPr>
          <w:p w14:paraId="61A259D5">
            <w:pPr>
              <w:pStyle w:val="70"/>
              <w:rPr>
                <w:color w:val="000000" w:themeColor="text1"/>
                <w14:textFill>
                  <w14:solidFill>
                    <w14:schemeClr w14:val="tx1"/>
                  </w14:solidFill>
                </w14:textFill>
              </w:rPr>
            </w:pPr>
            <w:r>
              <w:rPr>
                <w:color w:val="000000" w:themeColor="text1"/>
                <w14:textFill>
                  <w14:solidFill>
                    <w14:schemeClr w14:val="tx1"/>
                  </w14:solidFill>
                </w14:textFill>
              </w:rPr>
              <w:t>碰撞</w:t>
            </w:r>
          </w:p>
        </w:tc>
        <w:tc>
          <w:tcPr>
            <w:tcW w:w="3726" w:type="dxa"/>
            <w:tcMar>
              <w:left w:w="0" w:type="dxa"/>
              <w:right w:w="0" w:type="dxa"/>
            </w:tcMar>
            <w:vAlign w:val="center"/>
          </w:tcPr>
          <w:p w14:paraId="1ABC9373">
            <w:pPr>
              <w:pStyle w:val="70"/>
              <w:rPr>
                <w:color w:val="000000" w:themeColor="text1"/>
                <w14:textFill>
                  <w14:solidFill>
                    <w14:schemeClr w14:val="tx1"/>
                  </w14:solidFill>
                </w14:textFill>
              </w:rPr>
            </w:pPr>
            <w:r>
              <w:rPr>
                <w:color w:val="000000" w:themeColor="text1"/>
                <w14:textFill>
                  <w14:solidFill>
                    <w14:schemeClr w14:val="tx1"/>
                  </w14:solidFill>
                </w14:textFill>
              </w:rPr>
              <w:t>未采用安全航速，为保持正规瞭望，避开措施错误</w:t>
            </w:r>
          </w:p>
        </w:tc>
        <w:tc>
          <w:tcPr>
            <w:tcW w:w="3349" w:type="dxa"/>
            <w:tcMar>
              <w:left w:w="0" w:type="dxa"/>
              <w:right w:w="0" w:type="dxa"/>
            </w:tcMar>
            <w:vAlign w:val="center"/>
          </w:tcPr>
          <w:p w14:paraId="79DE03CB">
            <w:pPr>
              <w:pStyle w:val="70"/>
              <w:rPr>
                <w:color w:val="000000" w:themeColor="text1"/>
                <w14:textFill>
                  <w14:solidFill>
                    <w14:schemeClr w14:val="tx1"/>
                  </w14:solidFill>
                </w14:textFill>
              </w:rPr>
            </w:pPr>
            <w:r>
              <w:rPr>
                <w:color w:val="000000" w:themeColor="text1"/>
                <w14:textFill>
                  <w14:solidFill>
                    <w14:schemeClr w14:val="tx1"/>
                  </w14:solidFill>
                </w14:textFill>
              </w:rPr>
              <w:t>21</w:t>
            </w:r>
            <w:r>
              <w:rPr>
                <w:rFonts w:hint="eastAsia" w:ascii="宋体" w:hAnsi="宋体" w:cs="宋体"/>
                <w:color w:val="000000" w:themeColor="text1"/>
                <w14:textFill>
                  <w14:solidFill>
                    <w14:schemeClr w14:val="tx1"/>
                  </w14:solidFill>
                </w14:textFill>
              </w:rPr>
              <w:t>︒</w:t>
            </w:r>
            <w:r>
              <w:rPr>
                <w:color w:val="000000" w:themeColor="text1"/>
                <w14:textFill>
                  <w14:solidFill>
                    <w14:schemeClr w14:val="tx1"/>
                  </w14:solidFill>
                </w14:textFill>
              </w:rPr>
              <w:t>41＇027N/108</w:t>
            </w:r>
            <w:r>
              <w:rPr>
                <w:rFonts w:hint="eastAsia" w:ascii="宋体" w:hAnsi="宋体" w:cs="宋体"/>
                <w:color w:val="000000" w:themeColor="text1"/>
                <w14:textFill>
                  <w14:solidFill>
                    <w14:schemeClr w14:val="tx1"/>
                  </w14:solidFill>
                </w14:textFill>
              </w:rPr>
              <w:t>︒</w:t>
            </w:r>
            <w:r>
              <w:rPr>
                <w:color w:val="000000" w:themeColor="text1"/>
                <w14:textFill>
                  <w14:solidFill>
                    <w14:schemeClr w14:val="tx1"/>
                  </w14:solidFill>
                </w14:textFill>
              </w:rPr>
              <w:t>35＇171E</w:t>
            </w:r>
          </w:p>
        </w:tc>
        <w:tc>
          <w:tcPr>
            <w:tcW w:w="1014" w:type="dxa"/>
            <w:tcMar>
              <w:left w:w="0" w:type="dxa"/>
              <w:right w:w="0" w:type="dxa"/>
            </w:tcMar>
            <w:vAlign w:val="center"/>
          </w:tcPr>
          <w:p w14:paraId="6A9EB0B7">
            <w:pPr>
              <w:pStyle w:val="70"/>
              <w:rPr>
                <w:color w:val="000000" w:themeColor="text1"/>
                <w14:textFill>
                  <w14:solidFill>
                    <w14:schemeClr w14:val="tx1"/>
                  </w14:solidFill>
                </w14:textFill>
              </w:rPr>
            </w:pPr>
            <w:r>
              <w:rPr>
                <w:color w:val="000000" w:themeColor="text1"/>
                <w14:textFill>
                  <w14:solidFill>
                    <w14:schemeClr w14:val="tx1"/>
                  </w14:solidFill>
                </w14:textFill>
              </w:rPr>
              <w:t>不详</w:t>
            </w:r>
          </w:p>
        </w:tc>
      </w:tr>
      <w:tr w14:paraId="3EFF4A2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426" w:type="dxa"/>
            <w:tcMar>
              <w:left w:w="0" w:type="dxa"/>
              <w:right w:w="0" w:type="dxa"/>
            </w:tcMar>
            <w:vAlign w:val="center"/>
          </w:tcPr>
          <w:p w14:paraId="446F90B5">
            <w:pPr>
              <w:pStyle w:val="70"/>
              <w:rPr>
                <w:color w:val="000000" w:themeColor="text1"/>
                <w14:textFill>
                  <w14:solidFill>
                    <w14:schemeClr w14:val="tx1"/>
                  </w14:solidFill>
                </w14:textFill>
              </w:rPr>
            </w:pPr>
            <w:r>
              <w:rPr>
                <w:color w:val="000000" w:themeColor="text1"/>
                <w14:textFill>
                  <w14:solidFill>
                    <w14:schemeClr w14:val="tx1"/>
                  </w14:solidFill>
                </w14:textFill>
              </w:rPr>
              <w:t>6</w:t>
            </w:r>
          </w:p>
        </w:tc>
        <w:tc>
          <w:tcPr>
            <w:tcW w:w="1161" w:type="dxa"/>
            <w:tcMar>
              <w:left w:w="0" w:type="dxa"/>
              <w:right w:w="0" w:type="dxa"/>
            </w:tcMar>
            <w:vAlign w:val="center"/>
          </w:tcPr>
          <w:p w14:paraId="7A1BE451">
            <w:pPr>
              <w:pStyle w:val="70"/>
              <w:rPr>
                <w:color w:val="000000" w:themeColor="text1"/>
                <w14:textFill>
                  <w14:solidFill>
                    <w14:schemeClr w14:val="tx1"/>
                  </w14:solidFill>
                </w14:textFill>
              </w:rPr>
            </w:pPr>
            <w:r>
              <w:rPr>
                <w:color w:val="000000" w:themeColor="text1"/>
                <w14:textFill>
                  <w14:solidFill>
                    <w14:schemeClr w14:val="tx1"/>
                  </w14:solidFill>
                </w14:textFill>
              </w:rPr>
              <w:t>2005.1.25</w:t>
            </w:r>
          </w:p>
        </w:tc>
        <w:tc>
          <w:tcPr>
            <w:tcW w:w="2372" w:type="dxa"/>
            <w:tcMar>
              <w:left w:w="0" w:type="dxa"/>
              <w:right w:w="0" w:type="dxa"/>
            </w:tcMar>
            <w:vAlign w:val="center"/>
          </w:tcPr>
          <w:p w14:paraId="19249C91">
            <w:pPr>
              <w:pStyle w:val="70"/>
              <w:rPr>
                <w:color w:val="000000" w:themeColor="text1"/>
                <w14:textFill>
                  <w14:solidFill>
                    <w14:schemeClr w14:val="tx1"/>
                  </w14:solidFill>
                </w14:textFill>
              </w:rPr>
            </w:pPr>
            <w:r>
              <w:rPr>
                <w:color w:val="000000" w:themeColor="text1"/>
                <w14:textFill>
                  <w14:solidFill>
                    <w14:schemeClr w14:val="tx1"/>
                  </w14:solidFill>
                </w14:textFill>
              </w:rPr>
              <w:t>徐和108自沉事故</w:t>
            </w:r>
          </w:p>
        </w:tc>
        <w:tc>
          <w:tcPr>
            <w:tcW w:w="1043" w:type="dxa"/>
            <w:tcMar>
              <w:left w:w="0" w:type="dxa"/>
              <w:right w:w="0" w:type="dxa"/>
            </w:tcMar>
            <w:vAlign w:val="center"/>
          </w:tcPr>
          <w:p w14:paraId="1306AE6E">
            <w:pPr>
              <w:pStyle w:val="70"/>
              <w:rPr>
                <w:color w:val="000000" w:themeColor="text1"/>
                <w14:textFill>
                  <w14:solidFill>
                    <w14:schemeClr w14:val="tx1"/>
                  </w14:solidFill>
                </w14:textFill>
              </w:rPr>
            </w:pPr>
            <w:r>
              <w:rPr>
                <w:color w:val="000000" w:themeColor="text1"/>
                <w14:textFill>
                  <w14:solidFill>
                    <w14:schemeClr w14:val="tx1"/>
                  </w14:solidFill>
                </w14:textFill>
              </w:rPr>
              <w:t>一般事故</w:t>
            </w:r>
          </w:p>
        </w:tc>
        <w:tc>
          <w:tcPr>
            <w:tcW w:w="837" w:type="dxa"/>
            <w:tcMar>
              <w:left w:w="0" w:type="dxa"/>
              <w:right w:w="0" w:type="dxa"/>
            </w:tcMar>
            <w:vAlign w:val="center"/>
          </w:tcPr>
          <w:p w14:paraId="0646AAF9">
            <w:pPr>
              <w:pStyle w:val="70"/>
              <w:rPr>
                <w:color w:val="000000" w:themeColor="text1"/>
                <w14:textFill>
                  <w14:solidFill>
                    <w14:schemeClr w14:val="tx1"/>
                  </w14:solidFill>
                </w14:textFill>
              </w:rPr>
            </w:pPr>
            <w:r>
              <w:rPr>
                <w:color w:val="000000" w:themeColor="text1"/>
                <w14:textFill>
                  <w14:solidFill>
                    <w14:schemeClr w14:val="tx1"/>
                  </w14:solidFill>
                </w14:textFill>
              </w:rPr>
              <w:t>自沉</w:t>
            </w:r>
          </w:p>
        </w:tc>
        <w:tc>
          <w:tcPr>
            <w:tcW w:w="3726" w:type="dxa"/>
            <w:tcMar>
              <w:left w:w="0" w:type="dxa"/>
              <w:right w:w="0" w:type="dxa"/>
            </w:tcMar>
            <w:vAlign w:val="center"/>
          </w:tcPr>
          <w:p w14:paraId="47C35832">
            <w:pPr>
              <w:pStyle w:val="70"/>
              <w:rPr>
                <w:color w:val="000000" w:themeColor="text1"/>
                <w14:textFill>
                  <w14:solidFill>
                    <w14:schemeClr w14:val="tx1"/>
                  </w14:solidFill>
                </w14:textFill>
              </w:rPr>
            </w:pPr>
            <w:r>
              <w:rPr>
                <w:color w:val="000000" w:themeColor="text1"/>
                <w14:textFill>
                  <w14:solidFill>
                    <w14:schemeClr w14:val="tx1"/>
                  </w14:solidFill>
                </w14:textFill>
              </w:rPr>
              <w:t>不明</w:t>
            </w:r>
          </w:p>
        </w:tc>
        <w:tc>
          <w:tcPr>
            <w:tcW w:w="3349" w:type="dxa"/>
            <w:tcMar>
              <w:left w:w="0" w:type="dxa"/>
              <w:right w:w="0" w:type="dxa"/>
            </w:tcMar>
            <w:vAlign w:val="center"/>
          </w:tcPr>
          <w:p w14:paraId="1383C20A">
            <w:pPr>
              <w:pStyle w:val="70"/>
              <w:rPr>
                <w:color w:val="000000" w:themeColor="text1"/>
                <w14:textFill>
                  <w14:solidFill>
                    <w14:schemeClr w14:val="tx1"/>
                  </w14:solidFill>
                </w14:textFill>
              </w:rPr>
            </w:pPr>
            <w:r>
              <w:rPr>
                <w:color w:val="000000" w:themeColor="text1"/>
                <w14:textFill>
                  <w14:solidFill>
                    <w14:schemeClr w14:val="tx1"/>
                  </w14:solidFill>
                </w14:textFill>
              </w:rPr>
              <w:t>21</w:t>
            </w:r>
            <w:r>
              <w:rPr>
                <w:rFonts w:hint="eastAsia" w:ascii="宋体" w:hAnsi="宋体" w:cs="宋体"/>
                <w:color w:val="000000" w:themeColor="text1"/>
                <w14:textFill>
                  <w14:solidFill>
                    <w14:schemeClr w14:val="tx1"/>
                  </w14:solidFill>
                </w14:textFill>
              </w:rPr>
              <w:t>︒</w:t>
            </w:r>
            <w:r>
              <w:rPr>
                <w:color w:val="000000" w:themeColor="text1"/>
                <w14:textFill>
                  <w14:solidFill>
                    <w14:schemeClr w14:val="tx1"/>
                  </w14:solidFill>
                </w14:textFill>
              </w:rPr>
              <w:t>41＇027N/108</w:t>
            </w:r>
            <w:r>
              <w:rPr>
                <w:rFonts w:hint="eastAsia" w:ascii="宋体" w:hAnsi="宋体" w:cs="宋体"/>
                <w:color w:val="000000" w:themeColor="text1"/>
                <w14:textFill>
                  <w14:solidFill>
                    <w14:schemeClr w14:val="tx1"/>
                  </w14:solidFill>
                </w14:textFill>
              </w:rPr>
              <w:t>︒</w:t>
            </w:r>
            <w:r>
              <w:rPr>
                <w:color w:val="000000" w:themeColor="text1"/>
                <w14:textFill>
                  <w14:solidFill>
                    <w14:schemeClr w14:val="tx1"/>
                  </w14:solidFill>
                </w14:textFill>
              </w:rPr>
              <w:t>35＇171E</w:t>
            </w:r>
          </w:p>
        </w:tc>
        <w:tc>
          <w:tcPr>
            <w:tcW w:w="1014" w:type="dxa"/>
            <w:tcMar>
              <w:left w:w="0" w:type="dxa"/>
              <w:right w:w="0" w:type="dxa"/>
            </w:tcMar>
            <w:vAlign w:val="center"/>
          </w:tcPr>
          <w:p w14:paraId="58E5CF79">
            <w:pPr>
              <w:pStyle w:val="70"/>
              <w:rPr>
                <w:color w:val="000000" w:themeColor="text1"/>
                <w14:textFill>
                  <w14:solidFill>
                    <w14:schemeClr w14:val="tx1"/>
                  </w14:solidFill>
                </w14:textFill>
              </w:rPr>
            </w:pPr>
            <w:r>
              <w:rPr>
                <w:color w:val="000000" w:themeColor="text1"/>
                <w14:textFill>
                  <w14:solidFill>
                    <w14:schemeClr w14:val="tx1"/>
                  </w14:solidFill>
                </w14:textFill>
              </w:rPr>
              <w:t>不详</w:t>
            </w:r>
          </w:p>
        </w:tc>
      </w:tr>
      <w:tr w14:paraId="7C510B6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426" w:type="dxa"/>
            <w:tcMar>
              <w:left w:w="0" w:type="dxa"/>
              <w:right w:w="0" w:type="dxa"/>
            </w:tcMar>
            <w:vAlign w:val="center"/>
          </w:tcPr>
          <w:p w14:paraId="035399FD">
            <w:pPr>
              <w:pStyle w:val="70"/>
              <w:rPr>
                <w:color w:val="000000" w:themeColor="text1"/>
                <w14:textFill>
                  <w14:solidFill>
                    <w14:schemeClr w14:val="tx1"/>
                  </w14:solidFill>
                </w14:textFill>
              </w:rPr>
            </w:pPr>
            <w:r>
              <w:rPr>
                <w:color w:val="000000" w:themeColor="text1"/>
                <w14:textFill>
                  <w14:solidFill>
                    <w14:schemeClr w14:val="tx1"/>
                  </w14:solidFill>
                </w14:textFill>
              </w:rPr>
              <w:t>7</w:t>
            </w:r>
          </w:p>
        </w:tc>
        <w:tc>
          <w:tcPr>
            <w:tcW w:w="1161" w:type="dxa"/>
            <w:tcMar>
              <w:left w:w="0" w:type="dxa"/>
              <w:right w:w="0" w:type="dxa"/>
            </w:tcMar>
            <w:vAlign w:val="center"/>
          </w:tcPr>
          <w:p w14:paraId="04AA6E4E">
            <w:pPr>
              <w:pStyle w:val="70"/>
              <w:rPr>
                <w:color w:val="000000" w:themeColor="text1"/>
                <w14:textFill>
                  <w14:solidFill>
                    <w14:schemeClr w14:val="tx1"/>
                  </w14:solidFill>
                </w14:textFill>
              </w:rPr>
            </w:pPr>
            <w:r>
              <w:rPr>
                <w:color w:val="000000" w:themeColor="text1"/>
                <w14:textFill>
                  <w14:solidFill>
                    <w14:schemeClr w14:val="tx1"/>
                  </w14:solidFill>
                </w14:textFill>
              </w:rPr>
              <w:t>2005.2.19</w:t>
            </w:r>
          </w:p>
        </w:tc>
        <w:tc>
          <w:tcPr>
            <w:tcW w:w="2372" w:type="dxa"/>
            <w:tcMar>
              <w:left w:w="0" w:type="dxa"/>
              <w:right w:w="0" w:type="dxa"/>
            </w:tcMar>
            <w:vAlign w:val="center"/>
          </w:tcPr>
          <w:p w14:paraId="4D6332F0">
            <w:pPr>
              <w:pStyle w:val="70"/>
              <w:rPr>
                <w:color w:val="000000" w:themeColor="text1"/>
                <w14:textFill>
                  <w14:solidFill>
                    <w14:schemeClr w14:val="tx1"/>
                  </w14:solidFill>
                </w14:textFill>
              </w:rPr>
            </w:pPr>
            <w:r>
              <w:rPr>
                <w:color w:val="000000" w:themeColor="text1"/>
                <w14:textFill>
                  <w14:solidFill>
                    <w14:schemeClr w14:val="tx1"/>
                  </w14:solidFill>
                </w14:textFill>
              </w:rPr>
              <w:t>浙海308大风浪中翻沉</w:t>
            </w:r>
          </w:p>
        </w:tc>
        <w:tc>
          <w:tcPr>
            <w:tcW w:w="1043" w:type="dxa"/>
            <w:tcMar>
              <w:left w:w="0" w:type="dxa"/>
              <w:right w:w="0" w:type="dxa"/>
            </w:tcMar>
            <w:vAlign w:val="center"/>
          </w:tcPr>
          <w:p w14:paraId="13BFB053">
            <w:pPr>
              <w:pStyle w:val="70"/>
              <w:rPr>
                <w:color w:val="000000" w:themeColor="text1"/>
                <w14:textFill>
                  <w14:solidFill>
                    <w14:schemeClr w14:val="tx1"/>
                  </w14:solidFill>
                </w14:textFill>
              </w:rPr>
            </w:pPr>
            <w:r>
              <w:rPr>
                <w:color w:val="000000" w:themeColor="text1"/>
                <w14:textFill>
                  <w14:solidFill>
                    <w14:schemeClr w14:val="tx1"/>
                  </w14:solidFill>
                </w14:textFill>
              </w:rPr>
              <w:t>重大</w:t>
            </w:r>
          </w:p>
        </w:tc>
        <w:tc>
          <w:tcPr>
            <w:tcW w:w="837" w:type="dxa"/>
            <w:tcMar>
              <w:left w:w="0" w:type="dxa"/>
              <w:right w:w="0" w:type="dxa"/>
            </w:tcMar>
            <w:vAlign w:val="center"/>
          </w:tcPr>
          <w:p w14:paraId="2F2ACA6D">
            <w:pPr>
              <w:pStyle w:val="70"/>
              <w:rPr>
                <w:color w:val="000000" w:themeColor="text1"/>
                <w14:textFill>
                  <w14:solidFill>
                    <w14:schemeClr w14:val="tx1"/>
                  </w14:solidFill>
                </w14:textFill>
              </w:rPr>
            </w:pPr>
            <w:r>
              <w:rPr>
                <w:color w:val="000000" w:themeColor="text1"/>
                <w14:textFill>
                  <w14:solidFill>
                    <w14:schemeClr w14:val="tx1"/>
                  </w14:solidFill>
                </w14:textFill>
              </w:rPr>
              <w:t>风灾</w:t>
            </w:r>
          </w:p>
        </w:tc>
        <w:tc>
          <w:tcPr>
            <w:tcW w:w="3726" w:type="dxa"/>
            <w:tcMar>
              <w:left w:w="0" w:type="dxa"/>
              <w:right w:w="0" w:type="dxa"/>
            </w:tcMar>
            <w:vAlign w:val="center"/>
          </w:tcPr>
          <w:p w14:paraId="111F827C">
            <w:pPr>
              <w:pStyle w:val="70"/>
              <w:rPr>
                <w:color w:val="000000" w:themeColor="text1"/>
                <w14:textFill>
                  <w14:solidFill>
                    <w14:schemeClr w14:val="tx1"/>
                  </w14:solidFill>
                </w14:textFill>
              </w:rPr>
            </w:pPr>
            <w:r>
              <w:rPr>
                <w:color w:val="000000" w:themeColor="text1"/>
                <w14:textFill>
                  <w14:solidFill>
                    <w14:schemeClr w14:val="tx1"/>
                  </w14:solidFill>
                </w14:textFill>
              </w:rPr>
              <w:t>不明</w:t>
            </w:r>
          </w:p>
        </w:tc>
        <w:tc>
          <w:tcPr>
            <w:tcW w:w="3349" w:type="dxa"/>
            <w:tcMar>
              <w:left w:w="0" w:type="dxa"/>
              <w:right w:w="0" w:type="dxa"/>
            </w:tcMar>
            <w:vAlign w:val="center"/>
          </w:tcPr>
          <w:p w14:paraId="270CDAB1">
            <w:pPr>
              <w:pStyle w:val="70"/>
              <w:rPr>
                <w:color w:val="000000" w:themeColor="text1"/>
                <w14:textFill>
                  <w14:solidFill>
                    <w14:schemeClr w14:val="tx1"/>
                  </w14:solidFill>
                </w14:textFill>
              </w:rPr>
            </w:pPr>
            <w:r>
              <w:rPr>
                <w:color w:val="000000" w:themeColor="text1"/>
                <w14:textFill>
                  <w14:solidFill>
                    <w14:schemeClr w14:val="tx1"/>
                  </w14:solidFill>
                </w14:textFill>
              </w:rPr>
              <w:t>具体遇险位置不详</w:t>
            </w:r>
          </w:p>
        </w:tc>
        <w:tc>
          <w:tcPr>
            <w:tcW w:w="1014" w:type="dxa"/>
            <w:tcMar>
              <w:left w:w="0" w:type="dxa"/>
              <w:right w:w="0" w:type="dxa"/>
            </w:tcMar>
            <w:vAlign w:val="center"/>
          </w:tcPr>
          <w:p w14:paraId="62A9CC7D">
            <w:pPr>
              <w:pStyle w:val="70"/>
              <w:rPr>
                <w:color w:val="000000" w:themeColor="text1"/>
                <w14:textFill>
                  <w14:solidFill>
                    <w14:schemeClr w14:val="tx1"/>
                  </w14:solidFill>
                </w14:textFill>
              </w:rPr>
            </w:pPr>
            <w:r>
              <w:rPr>
                <w:color w:val="000000" w:themeColor="text1"/>
                <w14:textFill>
                  <w14:solidFill>
                    <w14:schemeClr w14:val="tx1"/>
                  </w14:solidFill>
                </w14:textFill>
              </w:rPr>
              <w:t>不详</w:t>
            </w:r>
          </w:p>
        </w:tc>
      </w:tr>
      <w:tr w14:paraId="28A0565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426" w:type="dxa"/>
            <w:tcMar>
              <w:left w:w="0" w:type="dxa"/>
              <w:right w:w="0" w:type="dxa"/>
            </w:tcMar>
            <w:vAlign w:val="center"/>
          </w:tcPr>
          <w:p w14:paraId="07D3052E">
            <w:pPr>
              <w:pStyle w:val="70"/>
              <w:rPr>
                <w:color w:val="000000" w:themeColor="text1"/>
                <w14:textFill>
                  <w14:solidFill>
                    <w14:schemeClr w14:val="tx1"/>
                  </w14:solidFill>
                </w14:textFill>
              </w:rPr>
            </w:pPr>
            <w:r>
              <w:rPr>
                <w:color w:val="000000" w:themeColor="text1"/>
                <w14:textFill>
                  <w14:solidFill>
                    <w14:schemeClr w14:val="tx1"/>
                  </w14:solidFill>
                </w14:textFill>
              </w:rPr>
              <w:t>8</w:t>
            </w:r>
          </w:p>
        </w:tc>
        <w:tc>
          <w:tcPr>
            <w:tcW w:w="1161" w:type="dxa"/>
            <w:tcMar>
              <w:left w:w="0" w:type="dxa"/>
              <w:right w:w="0" w:type="dxa"/>
            </w:tcMar>
            <w:vAlign w:val="center"/>
          </w:tcPr>
          <w:p w14:paraId="2C013670">
            <w:pPr>
              <w:pStyle w:val="70"/>
              <w:rPr>
                <w:color w:val="000000" w:themeColor="text1"/>
                <w14:textFill>
                  <w14:solidFill>
                    <w14:schemeClr w14:val="tx1"/>
                  </w14:solidFill>
                </w14:textFill>
              </w:rPr>
            </w:pPr>
            <w:r>
              <w:rPr>
                <w:color w:val="000000" w:themeColor="text1"/>
                <w14:textFill>
                  <w14:solidFill>
                    <w14:schemeClr w14:val="tx1"/>
                  </w14:solidFill>
                </w14:textFill>
              </w:rPr>
              <w:t>2006.5.29</w:t>
            </w:r>
          </w:p>
        </w:tc>
        <w:tc>
          <w:tcPr>
            <w:tcW w:w="2372" w:type="dxa"/>
            <w:tcMar>
              <w:left w:w="0" w:type="dxa"/>
              <w:right w:w="0" w:type="dxa"/>
            </w:tcMar>
            <w:vAlign w:val="center"/>
          </w:tcPr>
          <w:p w14:paraId="6DBFCD1E">
            <w:pPr>
              <w:pStyle w:val="70"/>
              <w:rPr>
                <w:color w:val="000000" w:themeColor="text1"/>
                <w14:textFill>
                  <w14:solidFill>
                    <w14:schemeClr w14:val="tx1"/>
                  </w14:solidFill>
                </w14:textFill>
              </w:rPr>
            </w:pPr>
            <w:r>
              <w:rPr>
                <w:color w:val="000000" w:themeColor="text1"/>
                <w14:textFill>
                  <w14:solidFill>
                    <w14:schemeClr w14:val="tx1"/>
                  </w14:solidFill>
                </w14:textFill>
              </w:rPr>
              <w:t>云麟轮与桂北渔20045碰撞</w:t>
            </w:r>
          </w:p>
        </w:tc>
        <w:tc>
          <w:tcPr>
            <w:tcW w:w="1043" w:type="dxa"/>
            <w:tcMar>
              <w:left w:w="0" w:type="dxa"/>
              <w:right w:w="0" w:type="dxa"/>
            </w:tcMar>
            <w:vAlign w:val="center"/>
          </w:tcPr>
          <w:p w14:paraId="7F6DD495">
            <w:pPr>
              <w:pStyle w:val="70"/>
              <w:rPr>
                <w:color w:val="000000" w:themeColor="text1"/>
                <w14:textFill>
                  <w14:solidFill>
                    <w14:schemeClr w14:val="tx1"/>
                  </w14:solidFill>
                </w14:textFill>
              </w:rPr>
            </w:pPr>
            <w:r>
              <w:rPr>
                <w:color w:val="000000" w:themeColor="text1"/>
                <w14:textFill>
                  <w14:solidFill>
                    <w14:schemeClr w14:val="tx1"/>
                  </w14:solidFill>
                </w14:textFill>
              </w:rPr>
              <w:t>小事故</w:t>
            </w:r>
          </w:p>
        </w:tc>
        <w:tc>
          <w:tcPr>
            <w:tcW w:w="837" w:type="dxa"/>
            <w:tcMar>
              <w:left w:w="0" w:type="dxa"/>
              <w:right w:w="0" w:type="dxa"/>
            </w:tcMar>
            <w:vAlign w:val="center"/>
          </w:tcPr>
          <w:p w14:paraId="20B22F5D">
            <w:pPr>
              <w:pStyle w:val="70"/>
              <w:rPr>
                <w:color w:val="000000" w:themeColor="text1"/>
                <w14:textFill>
                  <w14:solidFill>
                    <w14:schemeClr w14:val="tx1"/>
                  </w14:solidFill>
                </w14:textFill>
              </w:rPr>
            </w:pPr>
            <w:r>
              <w:rPr>
                <w:color w:val="000000" w:themeColor="text1"/>
                <w14:textFill>
                  <w14:solidFill>
                    <w14:schemeClr w14:val="tx1"/>
                  </w14:solidFill>
                </w14:textFill>
              </w:rPr>
              <w:t>碰撞</w:t>
            </w:r>
          </w:p>
        </w:tc>
        <w:tc>
          <w:tcPr>
            <w:tcW w:w="3726" w:type="dxa"/>
            <w:tcMar>
              <w:left w:w="0" w:type="dxa"/>
              <w:right w:w="0" w:type="dxa"/>
            </w:tcMar>
            <w:vAlign w:val="center"/>
          </w:tcPr>
          <w:p w14:paraId="77EA0EB8">
            <w:pPr>
              <w:pStyle w:val="70"/>
              <w:rPr>
                <w:color w:val="000000" w:themeColor="text1"/>
                <w14:textFill>
                  <w14:solidFill>
                    <w14:schemeClr w14:val="tx1"/>
                  </w14:solidFill>
                </w14:textFill>
              </w:rPr>
            </w:pPr>
            <w:r>
              <w:rPr>
                <w:color w:val="000000" w:themeColor="text1"/>
                <w14:textFill>
                  <w14:solidFill>
                    <w14:schemeClr w14:val="tx1"/>
                  </w14:solidFill>
                </w14:textFill>
              </w:rPr>
              <w:t>判断错误、未保持正规瞭望</w:t>
            </w:r>
          </w:p>
        </w:tc>
        <w:tc>
          <w:tcPr>
            <w:tcW w:w="3349" w:type="dxa"/>
            <w:tcMar>
              <w:left w:w="0" w:type="dxa"/>
              <w:right w:w="0" w:type="dxa"/>
            </w:tcMar>
            <w:vAlign w:val="center"/>
          </w:tcPr>
          <w:p w14:paraId="4CB2CB0D">
            <w:pPr>
              <w:pStyle w:val="70"/>
              <w:rPr>
                <w:color w:val="000000" w:themeColor="text1"/>
                <w14:textFill>
                  <w14:solidFill>
                    <w14:schemeClr w14:val="tx1"/>
                  </w14:solidFill>
                </w14:textFill>
              </w:rPr>
            </w:pPr>
            <w:r>
              <w:rPr>
                <w:color w:val="000000" w:themeColor="text1"/>
                <w14:textFill>
                  <w14:solidFill>
                    <w14:schemeClr w14:val="tx1"/>
                  </w14:solidFill>
                </w14:textFill>
              </w:rPr>
              <w:t>21</w:t>
            </w:r>
            <w:r>
              <w:rPr>
                <w:rFonts w:hint="eastAsia" w:ascii="宋体" w:hAnsi="宋体" w:cs="宋体"/>
                <w:color w:val="000000" w:themeColor="text1"/>
                <w14:textFill>
                  <w14:solidFill>
                    <w14:schemeClr w14:val="tx1"/>
                  </w14:solidFill>
                </w14:textFill>
              </w:rPr>
              <w:t>︒</w:t>
            </w:r>
            <w:r>
              <w:rPr>
                <w:color w:val="000000" w:themeColor="text1"/>
                <w14:textFill>
                  <w14:solidFill>
                    <w14:schemeClr w14:val="tx1"/>
                  </w14:solidFill>
                </w14:textFill>
              </w:rPr>
              <w:t>15＇10N/108</w:t>
            </w:r>
            <w:r>
              <w:rPr>
                <w:rFonts w:hint="eastAsia" w:ascii="宋体" w:hAnsi="宋体" w:cs="宋体"/>
                <w:color w:val="000000" w:themeColor="text1"/>
                <w14:textFill>
                  <w14:solidFill>
                    <w14:schemeClr w14:val="tx1"/>
                  </w14:solidFill>
                </w14:textFill>
              </w:rPr>
              <w:t>︒</w:t>
            </w:r>
            <w:r>
              <w:rPr>
                <w:color w:val="000000" w:themeColor="text1"/>
                <w14:textFill>
                  <w14:solidFill>
                    <w14:schemeClr w14:val="tx1"/>
                  </w14:solidFill>
                </w14:textFill>
              </w:rPr>
              <w:t>46＇50E</w:t>
            </w:r>
          </w:p>
        </w:tc>
        <w:tc>
          <w:tcPr>
            <w:tcW w:w="1014" w:type="dxa"/>
            <w:tcMar>
              <w:left w:w="0" w:type="dxa"/>
              <w:right w:w="0" w:type="dxa"/>
            </w:tcMar>
            <w:vAlign w:val="center"/>
          </w:tcPr>
          <w:p w14:paraId="1B0B65FC">
            <w:pPr>
              <w:pStyle w:val="70"/>
              <w:rPr>
                <w:color w:val="000000" w:themeColor="text1"/>
                <w14:textFill>
                  <w14:solidFill>
                    <w14:schemeClr w14:val="tx1"/>
                  </w14:solidFill>
                </w14:textFill>
              </w:rPr>
            </w:pPr>
            <w:r>
              <w:rPr>
                <w:color w:val="000000" w:themeColor="text1"/>
                <w14:textFill>
                  <w14:solidFill>
                    <w14:schemeClr w14:val="tx1"/>
                  </w14:solidFill>
                </w14:textFill>
              </w:rPr>
              <w:t>不详</w:t>
            </w:r>
          </w:p>
        </w:tc>
      </w:tr>
      <w:tr w14:paraId="135607C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426" w:type="dxa"/>
            <w:tcMar>
              <w:left w:w="0" w:type="dxa"/>
              <w:right w:w="0" w:type="dxa"/>
            </w:tcMar>
            <w:vAlign w:val="center"/>
          </w:tcPr>
          <w:p w14:paraId="7D768EB9">
            <w:pPr>
              <w:pStyle w:val="70"/>
              <w:rPr>
                <w:color w:val="000000" w:themeColor="text1"/>
                <w14:textFill>
                  <w14:solidFill>
                    <w14:schemeClr w14:val="tx1"/>
                  </w14:solidFill>
                </w14:textFill>
              </w:rPr>
            </w:pPr>
            <w:r>
              <w:rPr>
                <w:color w:val="000000" w:themeColor="text1"/>
                <w14:textFill>
                  <w14:solidFill>
                    <w14:schemeClr w14:val="tx1"/>
                  </w14:solidFill>
                </w14:textFill>
              </w:rPr>
              <w:t>9</w:t>
            </w:r>
          </w:p>
        </w:tc>
        <w:tc>
          <w:tcPr>
            <w:tcW w:w="1161" w:type="dxa"/>
            <w:tcMar>
              <w:left w:w="0" w:type="dxa"/>
              <w:right w:w="0" w:type="dxa"/>
            </w:tcMar>
            <w:vAlign w:val="center"/>
          </w:tcPr>
          <w:p w14:paraId="697EEA6B">
            <w:pPr>
              <w:pStyle w:val="70"/>
              <w:rPr>
                <w:color w:val="000000" w:themeColor="text1"/>
                <w14:textFill>
                  <w14:solidFill>
                    <w14:schemeClr w14:val="tx1"/>
                  </w14:solidFill>
                </w14:textFill>
              </w:rPr>
            </w:pPr>
            <w:r>
              <w:rPr>
                <w:color w:val="000000" w:themeColor="text1"/>
                <w14:textFill>
                  <w14:solidFill>
                    <w14:schemeClr w14:val="tx1"/>
                  </w14:solidFill>
                </w14:textFill>
              </w:rPr>
              <w:t>2006.6.7</w:t>
            </w:r>
          </w:p>
        </w:tc>
        <w:tc>
          <w:tcPr>
            <w:tcW w:w="2372" w:type="dxa"/>
            <w:tcMar>
              <w:left w:w="0" w:type="dxa"/>
              <w:right w:w="0" w:type="dxa"/>
            </w:tcMar>
            <w:vAlign w:val="center"/>
          </w:tcPr>
          <w:p w14:paraId="02E57DC8">
            <w:pPr>
              <w:pStyle w:val="70"/>
              <w:rPr>
                <w:color w:val="000000" w:themeColor="text1"/>
                <w14:textFill>
                  <w14:solidFill>
                    <w14:schemeClr w14:val="tx1"/>
                  </w14:solidFill>
                </w14:textFill>
              </w:rPr>
            </w:pPr>
            <w:r>
              <w:rPr>
                <w:color w:val="000000" w:themeColor="text1"/>
                <w14:textFill>
                  <w14:solidFill>
                    <w14:schemeClr w14:val="tx1"/>
                  </w14:solidFill>
                </w14:textFill>
              </w:rPr>
              <w:t>越南船NO.1654沉没</w:t>
            </w:r>
          </w:p>
        </w:tc>
        <w:tc>
          <w:tcPr>
            <w:tcW w:w="1043" w:type="dxa"/>
            <w:tcMar>
              <w:left w:w="0" w:type="dxa"/>
              <w:right w:w="0" w:type="dxa"/>
            </w:tcMar>
            <w:vAlign w:val="center"/>
          </w:tcPr>
          <w:p w14:paraId="62235932">
            <w:pPr>
              <w:pStyle w:val="70"/>
              <w:rPr>
                <w:color w:val="000000" w:themeColor="text1"/>
                <w14:textFill>
                  <w14:solidFill>
                    <w14:schemeClr w14:val="tx1"/>
                  </w14:solidFill>
                </w14:textFill>
              </w:rPr>
            </w:pPr>
            <w:r>
              <w:rPr>
                <w:color w:val="000000" w:themeColor="text1"/>
                <w14:textFill>
                  <w14:solidFill>
                    <w14:schemeClr w14:val="tx1"/>
                  </w14:solidFill>
                </w14:textFill>
              </w:rPr>
              <w:t>小事故</w:t>
            </w:r>
          </w:p>
        </w:tc>
        <w:tc>
          <w:tcPr>
            <w:tcW w:w="837" w:type="dxa"/>
            <w:tcMar>
              <w:left w:w="0" w:type="dxa"/>
              <w:right w:w="0" w:type="dxa"/>
            </w:tcMar>
            <w:vAlign w:val="center"/>
          </w:tcPr>
          <w:p w14:paraId="589F4789">
            <w:pPr>
              <w:pStyle w:val="70"/>
              <w:rPr>
                <w:color w:val="000000" w:themeColor="text1"/>
                <w14:textFill>
                  <w14:solidFill>
                    <w14:schemeClr w14:val="tx1"/>
                  </w14:solidFill>
                </w14:textFill>
              </w:rPr>
            </w:pPr>
            <w:r>
              <w:rPr>
                <w:color w:val="000000" w:themeColor="text1"/>
                <w14:textFill>
                  <w14:solidFill>
                    <w14:schemeClr w14:val="tx1"/>
                  </w14:solidFill>
                </w14:textFill>
              </w:rPr>
              <w:t>自沉</w:t>
            </w:r>
          </w:p>
        </w:tc>
        <w:tc>
          <w:tcPr>
            <w:tcW w:w="3726" w:type="dxa"/>
            <w:tcMar>
              <w:left w:w="0" w:type="dxa"/>
              <w:right w:w="0" w:type="dxa"/>
            </w:tcMar>
            <w:vAlign w:val="center"/>
          </w:tcPr>
          <w:p w14:paraId="4E17FA83">
            <w:pPr>
              <w:pStyle w:val="70"/>
              <w:rPr>
                <w:color w:val="000000" w:themeColor="text1"/>
                <w14:textFill>
                  <w14:solidFill>
                    <w14:schemeClr w14:val="tx1"/>
                  </w14:solidFill>
                </w14:textFill>
              </w:rPr>
            </w:pPr>
            <w:r>
              <w:rPr>
                <w:color w:val="000000" w:themeColor="text1"/>
                <w14:textFill>
                  <w14:solidFill>
                    <w14:schemeClr w14:val="tx1"/>
                  </w14:solidFill>
                </w14:textFill>
              </w:rPr>
              <w:t>不明</w:t>
            </w:r>
          </w:p>
        </w:tc>
        <w:tc>
          <w:tcPr>
            <w:tcW w:w="3349" w:type="dxa"/>
            <w:tcMar>
              <w:left w:w="0" w:type="dxa"/>
              <w:right w:w="0" w:type="dxa"/>
            </w:tcMar>
            <w:vAlign w:val="center"/>
          </w:tcPr>
          <w:p w14:paraId="6DDDA74F">
            <w:pPr>
              <w:pStyle w:val="70"/>
              <w:rPr>
                <w:color w:val="000000" w:themeColor="text1"/>
                <w14:textFill>
                  <w14:solidFill>
                    <w14:schemeClr w14:val="tx1"/>
                  </w14:solidFill>
                </w14:textFill>
              </w:rPr>
            </w:pPr>
            <w:r>
              <w:rPr>
                <w:color w:val="000000" w:themeColor="text1"/>
                <w14:textFill>
                  <w14:solidFill>
                    <w14:schemeClr w14:val="tx1"/>
                  </w14:solidFill>
                </w14:textFill>
              </w:rPr>
              <w:t>钦州港区绿水鼓</w:t>
            </w:r>
          </w:p>
        </w:tc>
        <w:tc>
          <w:tcPr>
            <w:tcW w:w="1014" w:type="dxa"/>
            <w:tcMar>
              <w:left w:w="0" w:type="dxa"/>
              <w:right w:w="0" w:type="dxa"/>
            </w:tcMar>
            <w:vAlign w:val="center"/>
          </w:tcPr>
          <w:p w14:paraId="780CB453">
            <w:pPr>
              <w:pStyle w:val="70"/>
              <w:rPr>
                <w:color w:val="000000" w:themeColor="text1"/>
                <w14:textFill>
                  <w14:solidFill>
                    <w14:schemeClr w14:val="tx1"/>
                  </w14:solidFill>
                </w14:textFill>
              </w:rPr>
            </w:pPr>
            <w:r>
              <w:rPr>
                <w:color w:val="000000" w:themeColor="text1"/>
                <w14:textFill>
                  <w14:solidFill>
                    <w14:schemeClr w14:val="tx1"/>
                  </w14:solidFill>
                </w14:textFill>
              </w:rPr>
              <w:t>不详</w:t>
            </w:r>
          </w:p>
        </w:tc>
      </w:tr>
      <w:tr w14:paraId="6941A92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426" w:type="dxa"/>
            <w:tcMar>
              <w:left w:w="0" w:type="dxa"/>
              <w:right w:w="0" w:type="dxa"/>
            </w:tcMar>
            <w:vAlign w:val="center"/>
          </w:tcPr>
          <w:p w14:paraId="51C6BFEC">
            <w:pPr>
              <w:pStyle w:val="70"/>
              <w:rPr>
                <w:color w:val="000000" w:themeColor="text1"/>
                <w14:textFill>
                  <w14:solidFill>
                    <w14:schemeClr w14:val="tx1"/>
                  </w14:solidFill>
                </w14:textFill>
              </w:rPr>
            </w:pPr>
            <w:r>
              <w:rPr>
                <w:color w:val="000000" w:themeColor="text1"/>
                <w14:textFill>
                  <w14:solidFill>
                    <w14:schemeClr w14:val="tx1"/>
                  </w14:solidFill>
                </w14:textFill>
              </w:rPr>
              <w:t>10</w:t>
            </w:r>
          </w:p>
        </w:tc>
        <w:tc>
          <w:tcPr>
            <w:tcW w:w="1161" w:type="dxa"/>
            <w:tcMar>
              <w:left w:w="0" w:type="dxa"/>
              <w:right w:w="0" w:type="dxa"/>
            </w:tcMar>
            <w:vAlign w:val="center"/>
          </w:tcPr>
          <w:p w14:paraId="0C067C53">
            <w:pPr>
              <w:pStyle w:val="70"/>
              <w:rPr>
                <w:color w:val="000000" w:themeColor="text1"/>
                <w14:textFill>
                  <w14:solidFill>
                    <w14:schemeClr w14:val="tx1"/>
                  </w14:solidFill>
                </w14:textFill>
              </w:rPr>
            </w:pPr>
            <w:r>
              <w:rPr>
                <w:color w:val="000000" w:themeColor="text1"/>
                <w14:textFill>
                  <w14:solidFill>
                    <w14:schemeClr w14:val="tx1"/>
                  </w14:solidFill>
                </w14:textFill>
              </w:rPr>
              <w:t>2006.7.25</w:t>
            </w:r>
          </w:p>
        </w:tc>
        <w:tc>
          <w:tcPr>
            <w:tcW w:w="2372" w:type="dxa"/>
            <w:tcMar>
              <w:left w:w="0" w:type="dxa"/>
              <w:right w:w="0" w:type="dxa"/>
            </w:tcMar>
            <w:vAlign w:val="center"/>
          </w:tcPr>
          <w:p w14:paraId="63360FFD">
            <w:pPr>
              <w:pStyle w:val="70"/>
              <w:rPr>
                <w:color w:val="000000" w:themeColor="text1"/>
                <w14:textFill>
                  <w14:solidFill>
                    <w14:schemeClr w14:val="tx1"/>
                  </w14:solidFill>
                </w14:textFill>
              </w:rPr>
            </w:pPr>
            <w:r>
              <w:rPr>
                <w:color w:val="000000" w:themeColor="text1"/>
                <w14:textFill>
                  <w14:solidFill>
                    <w14:schemeClr w14:val="tx1"/>
                  </w14:solidFill>
                </w14:textFill>
              </w:rPr>
              <w:t>新购蚝柱运输船沉没</w:t>
            </w:r>
          </w:p>
        </w:tc>
        <w:tc>
          <w:tcPr>
            <w:tcW w:w="1043" w:type="dxa"/>
            <w:tcMar>
              <w:left w:w="0" w:type="dxa"/>
              <w:right w:w="0" w:type="dxa"/>
            </w:tcMar>
            <w:vAlign w:val="center"/>
          </w:tcPr>
          <w:p w14:paraId="62096F3B">
            <w:pPr>
              <w:pStyle w:val="70"/>
              <w:rPr>
                <w:color w:val="000000" w:themeColor="text1"/>
                <w14:textFill>
                  <w14:solidFill>
                    <w14:schemeClr w14:val="tx1"/>
                  </w14:solidFill>
                </w14:textFill>
              </w:rPr>
            </w:pPr>
            <w:r>
              <w:rPr>
                <w:color w:val="000000" w:themeColor="text1"/>
                <w14:textFill>
                  <w14:solidFill>
                    <w14:schemeClr w14:val="tx1"/>
                  </w14:solidFill>
                </w14:textFill>
              </w:rPr>
              <w:t>小事故</w:t>
            </w:r>
          </w:p>
        </w:tc>
        <w:tc>
          <w:tcPr>
            <w:tcW w:w="837" w:type="dxa"/>
            <w:tcMar>
              <w:left w:w="0" w:type="dxa"/>
              <w:right w:w="0" w:type="dxa"/>
            </w:tcMar>
            <w:vAlign w:val="center"/>
          </w:tcPr>
          <w:p w14:paraId="3E3202C0">
            <w:pPr>
              <w:pStyle w:val="70"/>
              <w:rPr>
                <w:color w:val="000000" w:themeColor="text1"/>
                <w14:textFill>
                  <w14:solidFill>
                    <w14:schemeClr w14:val="tx1"/>
                  </w14:solidFill>
                </w14:textFill>
              </w:rPr>
            </w:pPr>
            <w:r>
              <w:rPr>
                <w:color w:val="000000" w:themeColor="text1"/>
                <w14:textFill>
                  <w14:solidFill>
                    <w14:schemeClr w14:val="tx1"/>
                  </w14:solidFill>
                </w14:textFill>
              </w:rPr>
              <w:t>自沉</w:t>
            </w:r>
          </w:p>
        </w:tc>
        <w:tc>
          <w:tcPr>
            <w:tcW w:w="3726" w:type="dxa"/>
            <w:tcMar>
              <w:left w:w="0" w:type="dxa"/>
              <w:right w:w="0" w:type="dxa"/>
            </w:tcMar>
            <w:vAlign w:val="center"/>
          </w:tcPr>
          <w:p w14:paraId="1545A958">
            <w:pPr>
              <w:pStyle w:val="70"/>
              <w:rPr>
                <w:color w:val="000000" w:themeColor="text1"/>
                <w14:textFill>
                  <w14:solidFill>
                    <w14:schemeClr w14:val="tx1"/>
                  </w14:solidFill>
                </w14:textFill>
              </w:rPr>
            </w:pPr>
            <w:r>
              <w:rPr>
                <w:color w:val="000000" w:themeColor="text1"/>
                <w14:textFill>
                  <w14:solidFill>
                    <w14:schemeClr w14:val="tx1"/>
                  </w14:solidFill>
                </w14:textFill>
              </w:rPr>
              <w:t>不明</w:t>
            </w:r>
          </w:p>
        </w:tc>
        <w:tc>
          <w:tcPr>
            <w:tcW w:w="3349" w:type="dxa"/>
            <w:tcMar>
              <w:left w:w="0" w:type="dxa"/>
              <w:right w:w="0" w:type="dxa"/>
            </w:tcMar>
            <w:vAlign w:val="center"/>
          </w:tcPr>
          <w:p w14:paraId="301AF2F2">
            <w:pPr>
              <w:pStyle w:val="70"/>
              <w:rPr>
                <w:color w:val="000000" w:themeColor="text1"/>
                <w14:textFill>
                  <w14:solidFill>
                    <w14:schemeClr w14:val="tx1"/>
                  </w14:solidFill>
                </w14:textFill>
              </w:rPr>
            </w:pPr>
            <w:r>
              <w:rPr>
                <w:color w:val="000000" w:themeColor="text1"/>
                <w14:textFill>
                  <w14:solidFill>
                    <w14:schemeClr w14:val="tx1"/>
                  </w14:solidFill>
                </w14:textFill>
              </w:rPr>
              <w:t>21</w:t>
            </w:r>
            <w:r>
              <w:rPr>
                <w:rFonts w:hint="eastAsia" w:ascii="宋体" w:hAnsi="宋体" w:cs="宋体"/>
                <w:color w:val="000000" w:themeColor="text1"/>
                <w14:textFill>
                  <w14:solidFill>
                    <w14:schemeClr w14:val="tx1"/>
                  </w14:solidFill>
                </w14:textFill>
              </w:rPr>
              <w:t>︒</w:t>
            </w:r>
            <w:r>
              <w:rPr>
                <w:color w:val="000000" w:themeColor="text1"/>
                <w14:textFill>
                  <w14:solidFill>
                    <w14:schemeClr w14:val="tx1"/>
                  </w14:solidFill>
                </w14:textFill>
              </w:rPr>
              <w:t>42＇56N/108</w:t>
            </w:r>
            <w:r>
              <w:rPr>
                <w:rFonts w:hint="eastAsia" w:ascii="宋体" w:hAnsi="宋体" w:cs="宋体"/>
                <w:color w:val="000000" w:themeColor="text1"/>
                <w14:textFill>
                  <w14:solidFill>
                    <w14:schemeClr w14:val="tx1"/>
                  </w14:solidFill>
                </w14:textFill>
              </w:rPr>
              <w:t>︒</w:t>
            </w:r>
            <w:r>
              <w:rPr>
                <w:color w:val="000000" w:themeColor="text1"/>
                <w14:textFill>
                  <w14:solidFill>
                    <w14:schemeClr w14:val="tx1"/>
                  </w14:solidFill>
                </w14:textFill>
              </w:rPr>
              <w:t>34＇598E</w:t>
            </w:r>
          </w:p>
        </w:tc>
        <w:tc>
          <w:tcPr>
            <w:tcW w:w="1014" w:type="dxa"/>
            <w:tcMar>
              <w:left w:w="0" w:type="dxa"/>
              <w:right w:w="0" w:type="dxa"/>
            </w:tcMar>
            <w:vAlign w:val="center"/>
          </w:tcPr>
          <w:p w14:paraId="6719DEE9">
            <w:pPr>
              <w:pStyle w:val="70"/>
              <w:rPr>
                <w:color w:val="000000" w:themeColor="text1"/>
                <w14:textFill>
                  <w14:solidFill>
                    <w14:schemeClr w14:val="tx1"/>
                  </w14:solidFill>
                </w14:textFill>
              </w:rPr>
            </w:pPr>
            <w:r>
              <w:rPr>
                <w:color w:val="000000" w:themeColor="text1"/>
                <w14:textFill>
                  <w14:solidFill>
                    <w14:schemeClr w14:val="tx1"/>
                  </w14:solidFill>
                </w14:textFill>
              </w:rPr>
              <w:t>不详</w:t>
            </w:r>
          </w:p>
        </w:tc>
      </w:tr>
      <w:tr w14:paraId="7D60659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426" w:type="dxa"/>
            <w:tcMar>
              <w:left w:w="0" w:type="dxa"/>
              <w:right w:w="0" w:type="dxa"/>
            </w:tcMar>
            <w:vAlign w:val="center"/>
          </w:tcPr>
          <w:p w14:paraId="6F403643">
            <w:pPr>
              <w:pStyle w:val="70"/>
              <w:rPr>
                <w:color w:val="000000" w:themeColor="text1"/>
                <w14:textFill>
                  <w14:solidFill>
                    <w14:schemeClr w14:val="tx1"/>
                  </w14:solidFill>
                </w14:textFill>
              </w:rPr>
            </w:pPr>
            <w:r>
              <w:rPr>
                <w:color w:val="000000" w:themeColor="text1"/>
                <w14:textFill>
                  <w14:solidFill>
                    <w14:schemeClr w14:val="tx1"/>
                  </w14:solidFill>
                </w14:textFill>
              </w:rPr>
              <w:t>11</w:t>
            </w:r>
          </w:p>
        </w:tc>
        <w:tc>
          <w:tcPr>
            <w:tcW w:w="1161" w:type="dxa"/>
            <w:tcMar>
              <w:left w:w="0" w:type="dxa"/>
              <w:right w:w="0" w:type="dxa"/>
            </w:tcMar>
            <w:vAlign w:val="center"/>
          </w:tcPr>
          <w:p w14:paraId="18AF95FE">
            <w:pPr>
              <w:pStyle w:val="70"/>
              <w:rPr>
                <w:color w:val="000000" w:themeColor="text1"/>
                <w14:textFill>
                  <w14:solidFill>
                    <w14:schemeClr w14:val="tx1"/>
                  </w14:solidFill>
                </w14:textFill>
              </w:rPr>
            </w:pPr>
            <w:r>
              <w:rPr>
                <w:color w:val="000000" w:themeColor="text1"/>
                <w14:textFill>
                  <w14:solidFill>
                    <w14:schemeClr w14:val="tx1"/>
                  </w14:solidFill>
                </w14:textFill>
              </w:rPr>
              <w:t>2006.9.20</w:t>
            </w:r>
          </w:p>
        </w:tc>
        <w:tc>
          <w:tcPr>
            <w:tcW w:w="2372" w:type="dxa"/>
            <w:tcMar>
              <w:left w:w="0" w:type="dxa"/>
              <w:right w:w="0" w:type="dxa"/>
            </w:tcMar>
            <w:vAlign w:val="center"/>
          </w:tcPr>
          <w:p w14:paraId="2E36C27E">
            <w:pPr>
              <w:pStyle w:val="70"/>
              <w:rPr>
                <w:color w:val="000000" w:themeColor="text1"/>
                <w14:textFill>
                  <w14:solidFill>
                    <w14:schemeClr w14:val="tx1"/>
                  </w14:solidFill>
                </w14:textFill>
              </w:rPr>
            </w:pPr>
            <w:r>
              <w:rPr>
                <w:color w:val="000000" w:themeColor="text1"/>
                <w14:textFill>
                  <w14:solidFill>
                    <w14:schemeClr w14:val="tx1"/>
                  </w14:solidFill>
                </w14:textFill>
              </w:rPr>
              <w:t>越南货船北方01撞沉桂钦渔27088</w:t>
            </w:r>
          </w:p>
        </w:tc>
        <w:tc>
          <w:tcPr>
            <w:tcW w:w="1043" w:type="dxa"/>
            <w:tcMar>
              <w:left w:w="0" w:type="dxa"/>
              <w:right w:w="0" w:type="dxa"/>
            </w:tcMar>
            <w:vAlign w:val="center"/>
          </w:tcPr>
          <w:p w14:paraId="6E627BA9">
            <w:pPr>
              <w:pStyle w:val="70"/>
              <w:rPr>
                <w:color w:val="000000" w:themeColor="text1"/>
                <w14:textFill>
                  <w14:solidFill>
                    <w14:schemeClr w14:val="tx1"/>
                  </w14:solidFill>
                </w14:textFill>
              </w:rPr>
            </w:pPr>
            <w:r>
              <w:rPr>
                <w:color w:val="000000" w:themeColor="text1"/>
                <w14:textFill>
                  <w14:solidFill>
                    <w14:schemeClr w14:val="tx1"/>
                  </w14:solidFill>
                </w14:textFill>
              </w:rPr>
              <w:t>一般事故</w:t>
            </w:r>
          </w:p>
        </w:tc>
        <w:tc>
          <w:tcPr>
            <w:tcW w:w="837" w:type="dxa"/>
            <w:tcMar>
              <w:left w:w="0" w:type="dxa"/>
              <w:right w:w="0" w:type="dxa"/>
            </w:tcMar>
            <w:vAlign w:val="center"/>
          </w:tcPr>
          <w:p w14:paraId="54AF2264">
            <w:pPr>
              <w:pStyle w:val="70"/>
              <w:rPr>
                <w:color w:val="000000" w:themeColor="text1"/>
                <w14:textFill>
                  <w14:solidFill>
                    <w14:schemeClr w14:val="tx1"/>
                  </w14:solidFill>
                </w14:textFill>
              </w:rPr>
            </w:pPr>
            <w:r>
              <w:rPr>
                <w:color w:val="000000" w:themeColor="text1"/>
                <w14:textFill>
                  <w14:solidFill>
                    <w14:schemeClr w14:val="tx1"/>
                  </w14:solidFill>
                </w14:textFill>
              </w:rPr>
              <w:t>碰撞</w:t>
            </w:r>
          </w:p>
        </w:tc>
        <w:tc>
          <w:tcPr>
            <w:tcW w:w="3726" w:type="dxa"/>
            <w:tcMar>
              <w:left w:w="0" w:type="dxa"/>
              <w:right w:w="0" w:type="dxa"/>
            </w:tcMar>
            <w:vAlign w:val="center"/>
          </w:tcPr>
          <w:p w14:paraId="09C3BBCD">
            <w:pPr>
              <w:pStyle w:val="70"/>
              <w:rPr>
                <w:color w:val="000000" w:themeColor="text1"/>
                <w14:textFill>
                  <w14:solidFill>
                    <w14:schemeClr w14:val="tx1"/>
                  </w14:solidFill>
                </w14:textFill>
              </w:rPr>
            </w:pPr>
            <w:r>
              <w:rPr>
                <w:color w:val="000000" w:themeColor="text1"/>
                <w14:textFill>
                  <w14:solidFill>
                    <w14:schemeClr w14:val="tx1"/>
                  </w14:solidFill>
                </w14:textFill>
              </w:rPr>
              <w:t>货船没有宽让他船，麻痹大意，舵机失灵</w:t>
            </w:r>
          </w:p>
        </w:tc>
        <w:tc>
          <w:tcPr>
            <w:tcW w:w="3349" w:type="dxa"/>
            <w:tcMar>
              <w:left w:w="0" w:type="dxa"/>
              <w:right w:w="0" w:type="dxa"/>
            </w:tcMar>
            <w:vAlign w:val="center"/>
          </w:tcPr>
          <w:p w14:paraId="5DC5A569">
            <w:pPr>
              <w:pStyle w:val="70"/>
              <w:rPr>
                <w:color w:val="000000" w:themeColor="text1"/>
                <w14:textFill>
                  <w14:solidFill>
                    <w14:schemeClr w14:val="tx1"/>
                  </w14:solidFill>
                </w14:textFill>
              </w:rPr>
            </w:pPr>
            <w:r>
              <w:rPr>
                <w:color w:val="000000" w:themeColor="text1"/>
                <w14:textFill>
                  <w14:solidFill>
                    <w14:schemeClr w14:val="tx1"/>
                  </w14:solidFill>
                </w14:textFill>
              </w:rPr>
              <w:t>21</w:t>
            </w:r>
            <w:r>
              <w:rPr>
                <w:rFonts w:hint="eastAsia" w:ascii="宋体" w:hAnsi="宋体" w:cs="宋体"/>
                <w:color w:val="000000" w:themeColor="text1"/>
                <w14:textFill>
                  <w14:solidFill>
                    <w14:schemeClr w14:val="tx1"/>
                  </w14:solidFill>
                </w14:textFill>
              </w:rPr>
              <w:t>︒</w:t>
            </w:r>
            <w:r>
              <w:rPr>
                <w:color w:val="000000" w:themeColor="text1"/>
                <w14:textFill>
                  <w14:solidFill>
                    <w14:schemeClr w14:val="tx1"/>
                  </w14:solidFill>
                </w14:textFill>
              </w:rPr>
              <w:t>10＇N/108</w:t>
            </w:r>
            <w:r>
              <w:rPr>
                <w:rFonts w:hint="eastAsia" w:ascii="宋体" w:hAnsi="宋体" w:cs="宋体"/>
                <w:color w:val="000000" w:themeColor="text1"/>
                <w14:textFill>
                  <w14:solidFill>
                    <w14:schemeClr w14:val="tx1"/>
                  </w14:solidFill>
                </w14:textFill>
              </w:rPr>
              <w:t>︒</w:t>
            </w:r>
            <w:r>
              <w:rPr>
                <w:color w:val="000000" w:themeColor="text1"/>
                <w14:textFill>
                  <w14:solidFill>
                    <w14:schemeClr w14:val="tx1"/>
                  </w14:solidFill>
                </w14:textFill>
              </w:rPr>
              <w:t>42＇5E</w:t>
            </w:r>
          </w:p>
        </w:tc>
        <w:tc>
          <w:tcPr>
            <w:tcW w:w="1014" w:type="dxa"/>
            <w:tcMar>
              <w:left w:w="0" w:type="dxa"/>
              <w:right w:w="0" w:type="dxa"/>
            </w:tcMar>
            <w:vAlign w:val="center"/>
          </w:tcPr>
          <w:p w14:paraId="3936C4CA">
            <w:pPr>
              <w:pStyle w:val="70"/>
              <w:rPr>
                <w:color w:val="000000" w:themeColor="text1"/>
                <w14:textFill>
                  <w14:solidFill>
                    <w14:schemeClr w14:val="tx1"/>
                  </w14:solidFill>
                </w14:textFill>
              </w:rPr>
            </w:pPr>
            <w:r>
              <w:rPr>
                <w:color w:val="000000" w:themeColor="text1"/>
                <w14:textFill>
                  <w14:solidFill>
                    <w14:schemeClr w14:val="tx1"/>
                  </w14:solidFill>
                </w14:textFill>
              </w:rPr>
              <w:t>不详</w:t>
            </w:r>
          </w:p>
        </w:tc>
      </w:tr>
      <w:tr w14:paraId="60A2EAC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426" w:type="dxa"/>
            <w:tcMar>
              <w:left w:w="0" w:type="dxa"/>
              <w:right w:w="0" w:type="dxa"/>
            </w:tcMar>
            <w:vAlign w:val="center"/>
          </w:tcPr>
          <w:p w14:paraId="5E96628C">
            <w:pPr>
              <w:pStyle w:val="70"/>
              <w:rPr>
                <w:color w:val="000000" w:themeColor="text1"/>
                <w14:textFill>
                  <w14:solidFill>
                    <w14:schemeClr w14:val="tx1"/>
                  </w14:solidFill>
                </w14:textFill>
              </w:rPr>
            </w:pPr>
            <w:r>
              <w:rPr>
                <w:color w:val="000000" w:themeColor="text1"/>
                <w14:textFill>
                  <w14:solidFill>
                    <w14:schemeClr w14:val="tx1"/>
                  </w14:solidFill>
                </w14:textFill>
              </w:rPr>
              <w:t>12</w:t>
            </w:r>
          </w:p>
        </w:tc>
        <w:tc>
          <w:tcPr>
            <w:tcW w:w="1161" w:type="dxa"/>
            <w:tcMar>
              <w:left w:w="0" w:type="dxa"/>
              <w:right w:w="0" w:type="dxa"/>
            </w:tcMar>
            <w:vAlign w:val="center"/>
          </w:tcPr>
          <w:p w14:paraId="43E1DD09">
            <w:pPr>
              <w:pStyle w:val="70"/>
              <w:rPr>
                <w:color w:val="000000" w:themeColor="text1"/>
                <w14:textFill>
                  <w14:solidFill>
                    <w14:schemeClr w14:val="tx1"/>
                  </w14:solidFill>
                </w14:textFill>
              </w:rPr>
            </w:pPr>
            <w:r>
              <w:rPr>
                <w:color w:val="000000" w:themeColor="text1"/>
                <w14:textFill>
                  <w14:solidFill>
                    <w14:schemeClr w14:val="tx1"/>
                  </w14:solidFill>
                </w14:textFill>
              </w:rPr>
              <w:t>2007.3.26</w:t>
            </w:r>
          </w:p>
        </w:tc>
        <w:tc>
          <w:tcPr>
            <w:tcW w:w="2372" w:type="dxa"/>
            <w:tcMar>
              <w:left w:w="0" w:type="dxa"/>
              <w:right w:w="0" w:type="dxa"/>
            </w:tcMar>
            <w:vAlign w:val="center"/>
          </w:tcPr>
          <w:p w14:paraId="09AAD891">
            <w:pPr>
              <w:pStyle w:val="70"/>
              <w:rPr>
                <w:color w:val="000000" w:themeColor="text1"/>
                <w14:textFill>
                  <w14:solidFill>
                    <w14:schemeClr w14:val="tx1"/>
                  </w14:solidFill>
                </w14:textFill>
              </w:rPr>
            </w:pPr>
            <w:r>
              <w:rPr>
                <w:color w:val="000000" w:themeColor="text1"/>
                <w14:textFill>
                  <w14:solidFill>
                    <w14:schemeClr w14:val="tx1"/>
                  </w14:solidFill>
                </w14:textFill>
              </w:rPr>
              <w:t>越南船QN368与ND1691碰撞</w:t>
            </w:r>
          </w:p>
        </w:tc>
        <w:tc>
          <w:tcPr>
            <w:tcW w:w="1043" w:type="dxa"/>
            <w:tcMar>
              <w:left w:w="0" w:type="dxa"/>
              <w:right w:w="0" w:type="dxa"/>
            </w:tcMar>
            <w:vAlign w:val="center"/>
          </w:tcPr>
          <w:p w14:paraId="31659FA6">
            <w:pPr>
              <w:pStyle w:val="70"/>
              <w:rPr>
                <w:color w:val="000000" w:themeColor="text1"/>
                <w14:textFill>
                  <w14:solidFill>
                    <w14:schemeClr w14:val="tx1"/>
                  </w14:solidFill>
                </w14:textFill>
              </w:rPr>
            </w:pPr>
            <w:r>
              <w:rPr>
                <w:color w:val="000000" w:themeColor="text1"/>
                <w14:textFill>
                  <w14:solidFill>
                    <w14:schemeClr w14:val="tx1"/>
                  </w14:solidFill>
                </w14:textFill>
              </w:rPr>
              <w:t>小事故</w:t>
            </w:r>
          </w:p>
        </w:tc>
        <w:tc>
          <w:tcPr>
            <w:tcW w:w="837" w:type="dxa"/>
            <w:tcMar>
              <w:left w:w="0" w:type="dxa"/>
              <w:right w:w="0" w:type="dxa"/>
            </w:tcMar>
            <w:vAlign w:val="center"/>
          </w:tcPr>
          <w:p w14:paraId="78BC899F">
            <w:pPr>
              <w:pStyle w:val="70"/>
              <w:rPr>
                <w:color w:val="000000" w:themeColor="text1"/>
                <w14:textFill>
                  <w14:solidFill>
                    <w14:schemeClr w14:val="tx1"/>
                  </w14:solidFill>
                </w14:textFill>
              </w:rPr>
            </w:pPr>
            <w:r>
              <w:rPr>
                <w:color w:val="000000" w:themeColor="text1"/>
                <w14:textFill>
                  <w14:solidFill>
                    <w14:schemeClr w14:val="tx1"/>
                  </w14:solidFill>
                </w14:textFill>
              </w:rPr>
              <w:t>碰撞</w:t>
            </w:r>
          </w:p>
        </w:tc>
        <w:tc>
          <w:tcPr>
            <w:tcW w:w="3726" w:type="dxa"/>
            <w:tcMar>
              <w:left w:w="0" w:type="dxa"/>
              <w:right w:w="0" w:type="dxa"/>
            </w:tcMar>
            <w:vAlign w:val="center"/>
          </w:tcPr>
          <w:p w14:paraId="4363D7BB">
            <w:pPr>
              <w:pStyle w:val="70"/>
              <w:rPr>
                <w:color w:val="000000" w:themeColor="text1"/>
                <w14:textFill>
                  <w14:solidFill>
                    <w14:schemeClr w14:val="tx1"/>
                  </w14:solidFill>
                </w14:textFill>
              </w:rPr>
            </w:pPr>
            <w:r>
              <w:rPr>
                <w:color w:val="000000" w:themeColor="text1"/>
                <w14:textFill>
                  <w14:solidFill>
                    <w14:schemeClr w14:val="tx1"/>
                  </w14:solidFill>
                </w14:textFill>
              </w:rPr>
              <w:t>未保持正规瞭望，未及时采取避让措施，未配备导航设备，配员不符合要求</w:t>
            </w:r>
          </w:p>
        </w:tc>
        <w:tc>
          <w:tcPr>
            <w:tcW w:w="3349" w:type="dxa"/>
            <w:tcMar>
              <w:left w:w="0" w:type="dxa"/>
              <w:right w:w="0" w:type="dxa"/>
            </w:tcMar>
            <w:vAlign w:val="center"/>
          </w:tcPr>
          <w:p w14:paraId="0FB4F4B6">
            <w:pPr>
              <w:pStyle w:val="70"/>
              <w:rPr>
                <w:color w:val="000000" w:themeColor="text1"/>
                <w14:textFill>
                  <w14:solidFill>
                    <w14:schemeClr w14:val="tx1"/>
                  </w14:solidFill>
                </w14:textFill>
              </w:rPr>
            </w:pPr>
            <w:r>
              <w:rPr>
                <w:color w:val="000000" w:themeColor="text1"/>
                <w14:textFill>
                  <w14:solidFill>
                    <w14:schemeClr w14:val="tx1"/>
                  </w14:solidFill>
                </w14:textFill>
              </w:rPr>
              <w:t>21</w:t>
            </w:r>
            <w:r>
              <w:rPr>
                <w:rFonts w:hint="eastAsia" w:ascii="宋体" w:hAnsi="宋体" w:cs="宋体"/>
                <w:color w:val="000000" w:themeColor="text1"/>
                <w14:textFill>
                  <w14:solidFill>
                    <w14:schemeClr w14:val="tx1"/>
                  </w14:solidFill>
                </w14:textFill>
              </w:rPr>
              <w:t>︒</w:t>
            </w:r>
            <w:r>
              <w:rPr>
                <w:color w:val="000000" w:themeColor="text1"/>
                <w14:textFill>
                  <w14:solidFill>
                    <w14:schemeClr w14:val="tx1"/>
                  </w14:solidFill>
                </w14:textFill>
              </w:rPr>
              <w:t>33＇548N/108</w:t>
            </w:r>
            <w:r>
              <w:rPr>
                <w:rFonts w:hint="eastAsia" w:ascii="宋体" w:hAnsi="宋体" w:cs="宋体"/>
                <w:color w:val="000000" w:themeColor="text1"/>
                <w14:textFill>
                  <w14:solidFill>
                    <w14:schemeClr w14:val="tx1"/>
                  </w14:solidFill>
                </w14:textFill>
              </w:rPr>
              <w:t>︒</w:t>
            </w:r>
            <w:r>
              <w:rPr>
                <w:color w:val="000000" w:themeColor="text1"/>
                <w14:textFill>
                  <w14:solidFill>
                    <w14:schemeClr w14:val="tx1"/>
                  </w14:solidFill>
                </w14:textFill>
              </w:rPr>
              <w:t>34＇431E</w:t>
            </w:r>
          </w:p>
        </w:tc>
        <w:tc>
          <w:tcPr>
            <w:tcW w:w="1014" w:type="dxa"/>
            <w:tcMar>
              <w:left w:w="0" w:type="dxa"/>
              <w:right w:w="0" w:type="dxa"/>
            </w:tcMar>
            <w:vAlign w:val="center"/>
          </w:tcPr>
          <w:p w14:paraId="1C95A135">
            <w:pPr>
              <w:pStyle w:val="70"/>
              <w:rPr>
                <w:color w:val="000000" w:themeColor="text1"/>
                <w14:textFill>
                  <w14:solidFill>
                    <w14:schemeClr w14:val="tx1"/>
                  </w14:solidFill>
                </w14:textFill>
              </w:rPr>
            </w:pPr>
            <w:r>
              <w:rPr>
                <w:color w:val="000000" w:themeColor="text1"/>
                <w14:textFill>
                  <w14:solidFill>
                    <w14:schemeClr w14:val="tx1"/>
                  </w14:solidFill>
                </w14:textFill>
              </w:rPr>
              <w:t>不详</w:t>
            </w:r>
          </w:p>
        </w:tc>
      </w:tr>
      <w:tr w14:paraId="3D7D5A4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426" w:type="dxa"/>
            <w:tcMar>
              <w:left w:w="0" w:type="dxa"/>
              <w:right w:w="0" w:type="dxa"/>
            </w:tcMar>
            <w:vAlign w:val="center"/>
          </w:tcPr>
          <w:p w14:paraId="78047345">
            <w:pPr>
              <w:pStyle w:val="70"/>
              <w:rPr>
                <w:color w:val="000000" w:themeColor="text1"/>
                <w14:textFill>
                  <w14:solidFill>
                    <w14:schemeClr w14:val="tx1"/>
                  </w14:solidFill>
                </w14:textFill>
              </w:rPr>
            </w:pPr>
            <w:r>
              <w:rPr>
                <w:color w:val="000000" w:themeColor="text1"/>
                <w14:textFill>
                  <w14:solidFill>
                    <w14:schemeClr w14:val="tx1"/>
                  </w14:solidFill>
                </w14:textFill>
              </w:rPr>
              <w:t>13</w:t>
            </w:r>
          </w:p>
        </w:tc>
        <w:tc>
          <w:tcPr>
            <w:tcW w:w="1161" w:type="dxa"/>
            <w:tcMar>
              <w:left w:w="0" w:type="dxa"/>
              <w:right w:w="0" w:type="dxa"/>
            </w:tcMar>
            <w:vAlign w:val="center"/>
          </w:tcPr>
          <w:p w14:paraId="7228DCBA">
            <w:pPr>
              <w:pStyle w:val="70"/>
              <w:rPr>
                <w:color w:val="000000" w:themeColor="text1"/>
                <w14:textFill>
                  <w14:solidFill>
                    <w14:schemeClr w14:val="tx1"/>
                  </w14:solidFill>
                </w14:textFill>
              </w:rPr>
            </w:pPr>
            <w:r>
              <w:rPr>
                <w:color w:val="000000" w:themeColor="text1"/>
                <w14:textFill>
                  <w14:solidFill>
                    <w14:schemeClr w14:val="tx1"/>
                  </w14:solidFill>
                </w14:textFill>
              </w:rPr>
              <w:t>2007.7.11</w:t>
            </w:r>
          </w:p>
        </w:tc>
        <w:tc>
          <w:tcPr>
            <w:tcW w:w="2372" w:type="dxa"/>
            <w:tcMar>
              <w:left w:w="0" w:type="dxa"/>
              <w:right w:w="0" w:type="dxa"/>
            </w:tcMar>
            <w:vAlign w:val="center"/>
          </w:tcPr>
          <w:p w14:paraId="6D08710F">
            <w:pPr>
              <w:pStyle w:val="70"/>
              <w:rPr>
                <w:color w:val="000000" w:themeColor="text1"/>
                <w14:textFill>
                  <w14:solidFill>
                    <w14:schemeClr w14:val="tx1"/>
                  </w14:solidFill>
                </w14:textFill>
              </w:rPr>
            </w:pPr>
            <w:r>
              <w:rPr>
                <w:color w:val="000000" w:themeColor="text1"/>
                <w14:textFill>
                  <w14:solidFill>
                    <w14:schemeClr w14:val="tx1"/>
                  </w14:solidFill>
                </w14:textFill>
              </w:rPr>
              <w:t>粤湛江04035渔船事故</w:t>
            </w:r>
          </w:p>
        </w:tc>
        <w:tc>
          <w:tcPr>
            <w:tcW w:w="1043" w:type="dxa"/>
            <w:tcMar>
              <w:left w:w="0" w:type="dxa"/>
              <w:right w:w="0" w:type="dxa"/>
            </w:tcMar>
            <w:vAlign w:val="center"/>
          </w:tcPr>
          <w:p w14:paraId="38CFD6BE">
            <w:pPr>
              <w:pStyle w:val="70"/>
              <w:rPr>
                <w:color w:val="000000" w:themeColor="text1"/>
                <w14:textFill>
                  <w14:solidFill>
                    <w14:schemeClr w14:val="tx1"/>
                  </w14:solidFill>
                </w14:textFill>
              </w:rPr>
            </w:pPr>
            <w:r>
              <w:rPr>
                <w:color w:val="000000" w:themeColor="text1"/>
                <w14:textFill>
                  <w14:solidFill>
                    <w14:schemeClr w14:val="tx1"/>
                  </w14:solidFill>
                </w14:textFill>
              </w:rPr>
              <w:t>重大事故</w:t>
            </w:r>
          </w:p>
        </w:tc>
        <w:tc>
          <w:tcPr>
            <w:tcW w:w="837" w:type="dxa"/>
            <w:tcMar>
              <w:left w:w="0" w:type="dxa"/>
              <w:right w:w="0" w:type="dxa"/>
            </w:tcMar>
            <w:vAlign w:val="center"/>
          </w:tcPr>
          <w:p w14:paraId="16A00CEA">
            <w:pPr>
              <w:pStyle w:val="70"/>
              <w:rPr>
                <w:color w:val="000000" w:themeColor="text1"/>
                <w14:textFill>
                  <w14:solidFill>
                    <w14:schemeClr w14:val="tx1"/>
                  </w14:solidFill>
                </w14:textFill>
              </w:rPr>
            </w:pPr>
            <w:r>
              <w:rPr>
                <w:color w:val="000000" w:themeColor="text1"/>
                <w14:textFill>
                  <w14:solidFill>
                    <w14:schemeClr w14:val="tx1"/>
                  </w14:solidFill>
                </w14:textFill>
              </w:rPr>
              <w:t>碰撞</w:t>
            </w:r>
          </w:p>
        </w:tc>
        <w:tc>
          <w:tcPr>
            <w:tcW w:w="3726" w:type="dxa"/>
            <w:tcMar>
              <w:left w:w="0" w:type="dxa"/>
              <w:right w:w="0" w:type="dxa"/>
            </w:tcMar>
            <w:vAlign w:val="center"/>
          </w:tcPr>
          <w:p w14:paraId="3590DE1F">
            <w:pPr>
              <w:pStyle w:val="70"/>
              <w:rPr>
                <w:color w:val="000000" w:themeColor="text1"/>
                <w14:textFill>
                  <w14:solidFill>
                    <w14:schemeClr w14:val="tx1"/>
                  </w14:solidFill>
                </w14:textFill>
              </w:rPr>
            </w:pPr>
            <w:r>
              <w:rPr>
                <w:color w:val="000000" w:themeColor="text1"/>
                <w14:textFill>
                  <w14:solidFill>
                    <w14:schemeClr w14:val="tx1"/>
                  </w14:solidFill>
                </w14:textFill>
              </w:rPr>
              <w:t>不明</w:t>
            </w:r>
          </w:p>
        </w:tc>
        <w:tc>
          <w:tcPr>
            <w:tcW w:w="3349" w:type="dxa"/>
            <w:tcMar>
              <w:left w:w="0" w:type="dxa"/>
              <w:right w:w="0" w:type="dxa"/>
            </w:tcMar>
            <w:vAlign w:val="center"/>
          </w:tcPr>
          <w:p w14:paraId="5705EE12">
            <w:pPr>
              <w:pStyle w:val="70"/>
              <w:rPr>
                <w:color w:val="000000" w:themeColor="text1"/>
                <w14:textFill>
                  <w14:solidFill>
                    <w14:schemeClr w14:val="tx1"/>
                  </w14:solidFill>
                </w14:textFill>
              </w:rPr>
            </w:pPr>
            <w:r>
              <w:rPr>
                <w:color w:val="000000" w:themeColor="text1"/>
                <w14:textFill>
                  <w14:solidFill>
                    <w14:schemeClr w14:val="tx1"/>
                  </w14:solidFill>
                </w14:textFill>
              </w:rPr>
              <w:t>21</w:t>
            </w:r>
            <w:r>
              <w:rPr>
                <w:rFonts w:hint="eastAsia" w:ascii="宋体" w:hAnsi="宋体" w:cs="宋体"/>
                <w:color w:val="000000" w:themeColor="text1"/>
                <w14:textFill>
                  <w14:solidFill>
                    <w14:schemeClr w14:val="tx1"/>
                  </w14:solidFill>
                </w14:textFill>
              </w:rPr>
              <w:t>︒</w:t>
            </w:r>
            <w:r>
              <w:rPr>
                <w:color w:val="000000" w:themeColor="text1"/>
                <w14:textFill>
                  <w14:solidFill>
                    <w14:schemeClr w14:val="tx1"/>
                  </w14:solidFill>
                </w14:textFill>
              </w:rPr>
              <w:t>14＇550N/108</w:t>
            </w:r>
            <w:r>
              <w:rPr>
                <w:rFonts w:hint="eastAsia" w:ascii="宋体" w:hAnsi="宋体" w:cs="宋体"/>
                <w:color w:val="000000" w:themeColor="text1"/>
                <w14:textFill>
                  <w14:solidFill>
                    <w14:schemeClr w14:val="tx1"/>
                  </w14:solidFill>
                </w14:textFill>
              </w:rPr>
              <w:t>︒</w:t>
            </w:r>
            <w:r>
              <w:rPr>
                <w:color w:val="000000" w:themeColor="text1"/>
                <w14:textFill>
                  <w14:solidFill>
                    <w14:schemeClr w14:val="tx1"/>
                  </w14:solidFill>
                </w14:textFill>
              </w:rPr>
              <w:t>44＇440E</w:t>
            </w:r>
          </w:p>
        </w:tc>
        <w:tc>
          <w:tcPr>
            <w:tcW w:w="1014" w:type="dxa"/>
            <w:tcMar>
              <w:left w:w="0" w:type="dxa"/>
              <w:right w:w="0" w:type="dxa"/>
            </w:tcMar>
            <w:vAlign w:val="center"/>
          </w:tcPr>
          <w:p w14:paraId="06DFB778">
            <w:pPr>
              <w:pStyle w:val="70"/>
              <w:rPr>
                <w:color w:val="000000" w:themeColor="text1"/>
                <w14:textFill>
                  <w14:solidFill>
                    <w14:schemeClr w14:val="tx1"/>
                  </w14:solidFill>
                </w14:textFill>
              </w:rPr>
            </w:pPr>
            <w:r>
              <w:rPr>
                <w:color w:val="000000" w:themeColor="text1"/>
                <w14:textFill>
                  <w14:solidFill>
                    <w14:schemeClr w14:val="tx1"/>
                  </w14:solidFill>
                </w14:textFill>
              </w:rPr>
              <w:t>不详</w:t>
            </w:r>
          </w:p>
        </w:tc>
      </w:tr>
      <w:tr w14:paraId="669F678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426" w:type="dxa"/>
            <w:tcMar>
              <w:left w:w="0" w:type="dxa"/>
              <w:right w:w="0" w:type="dxa"/>
            </w:tcMar>
            <w:vAlign w:val="center"/>
          </w:tcPr>
          <w:p w14:paraId="30AD7856">
            <w:pPr>
              <w:pStyle w:val="70"/>
              <w:rPr>
                <w:color w:val="000000" w:themeColor="text1"/>
                <w14:textFill>
                  <w14:solidFill>
                    <w14:schemeClr w14:val="tx1"/>
                  </w14:solidFill>
                </w14:textFill>
              </w:rPr>
            </w:pPr>
            <w:r>
              <w:rPr>
                <w:color w:val="000000" w:themeColor="text1"/>
                <w14:textFill>
                  <w14:solidFill>
                    <w14:schemeClr w14:val="tx1"/>
                  </w14:solidFill>
                </w14:textFill>
              </w:rPr>
              <w:t>14</w:t>
            </w:r>
          </w:p>
        </w:tc>
        <w:tc>
          <w:tcPr>
            <w:tcW w:w="1161" w:type="dxa"/>
            <w:tcMar>
              <w:left w:w="0" w:type="dxa"/>
              <w:right w:w="0" w:type="dxa"/>
            </w:tcMar>
            <w:vAlign w:val="center"/>
          </w:tcPr>
          <w:p w14:paraId="69EDC187">
            <w:pPr>
              <w:pStyle w:val="70"/>
              <w:rPr>
                <w:color w:val="000000" w:themeColor="text1"/>
                <w14:textFill>
                  <w14:solidFill>
                    <w14:schemeClr w14:val="tx1"/>
                  </w14:solidFill>
                </w14:textFill>
              </w:rPr>
            </w:pPr>
            <w:r>
              <w:rPr>
                <w:color w:val="000000" w:themeColor="text1"/>
                <w14:textFill>
                  <w14:solidFill>
                    <w14:schemeClr w14:val="tx1"/>
                  </w14:solidFill>
                </w14:textFill>
              </w:rPr>
              <w:t>2008.5.3</w:t>
            </w:r>
          </w:p>
        </w:tc>
        <w:tc>
          <w:tcPr>
            <w:tcW w:w="2372" w:type="dxa"/>
            <w:tcMar>
              <w:left w:w="0" w:type="dxa"/>
              <w:right w:w="0" w:type="dxa"/>
            </w:tcMar>
            <w:vAlign w:val="center"/>
          </w:tcPr>
          <w:p w14:paraId="42E9375B">
            <w:pPr>
              <w:pStyle w:val="70"/>
              <w:rPr>
                <w:color w:val="000000" w:themeColor="text1"/>
                <w14:textFill>
                  <w14:solidFill>
                    <w14:schemeClr w14:val="tx1"/>
                  </w14:solidFill>
                </w14:textFill>
              </w:rPr>
            </w:pPr>
            <w:r>
              <w:rPr>
                <w:color w:val="000000" w:themeColor="text1"/>
                <w14:textFill>
                  <w14:solidFill>
                    <w14:schemeClr w14:val="tx1"/>
                  </w14:solidFill>
                </w14:textFill>
              </w:rPr>
              <w:t>宁通10轮触礁事故</w:t>
            </w:r>
          </w:p>
        </w:tc>
        <w:tc>
          <w:tcPr>
            <w:tcW w:w="1043" w:type="dxa"/>
            <w:tcMar>
              <w:left w:w="0" w:type="dxa"/>
              <w:right w:w="0" w:type="dxa"/>
            </w:tcMar>
            <w:vAlign w:val="center"/>
          </w:tcPr>
          <w:p w14:paraId="4320C770">
            <w:pPr>
              <w:pStyle w:val="70"/>
              <w:rPr>
                <w:color w:val="000000" w:themeColor="text1"/>
                <w14:textFill>
                  <w14:solidFill>
                    <w14:schemeClr w14:val="tx1"/>
                  </w14:solidFill>
                </w14:textFill>
              </w:rPr>
            </w:pPr>
            <w:r>
              <w:rPr>
                <w:color w:val="000000" w:themeColor="text1"/>
                <w14:textFill>
                  <w14:solidFill>
                    <w14:schemeClr w14:val="tx1"/>
                  </w14:solidFill>
                </w14:textFill>
              </w:rPr>
              <w:t>大事故</w:t>
            </w:r>
          </w:p>
        </w:tc>
        <w:tc>
          <w:tcPr>
            <w:tcW w:w="837" w:type="dxa"/>
            <w:tcMar>
              <w:left w:w="0" w:type="dxa"/>
              <w:right w:w="0" w:type="dxa"/>
            </w:tcMar>
            <w:vAlign w:val="center"/>
          </w:tcPr>
          <w:p w14:paraId="31FAB432">
            <w:pPr>
              <w:pStyle w:val="70"/>
              <w:rPr>
                <w:color w:val="000000" w:themeColor="text1"/>
                <w14:textFill>
                  <w14:solidFill>
                    <w14:schemeClr w14:val="tx1"/>
                  </w14:solidFill>
                </w14:textFill>
              </w:rPr>
            </w:pPr>
            <w:r>
              <w:rPr>
                <w:color w:val="000000" w:themeColor="text1"/>
                <w14:textFill>
                  <w14:solidFill>
                    <w14:schemeClr w14:val="tx1"/>
                  </w14:solidFill>
                </w14:textFill>
              </w:rPr>
              <w:t>触礁</w:t>
            </w:r>
          </w:p>
        </w:tc>
        <w:tc>
          <w:tcPr>
            <w:tcW w:w="3726" w:type="dxa"/>
            <w:tcMar>
              <w:left w:w="0" w:type="dxa"/>
              <w:right w:w="0" w:type="dxa"/>
            </w:tcMar>
            <w:vAlign w:val="center"/>
          </w:tcPr>
          <w:p w14:paraId="1CD4608F">
            <w:pPr>
              <w:pStyle w:val="70"/>
              <w:rPr>
                <w:color w:val="000000" w:themeColor="text1"/>
                <w14:textFill>
                  <w14:solidFill>
                    <w14:schemeClr w14:val="tx1"/>
                  </w14:solidFill>
                </w14:textFill>
              </w:rPr>
            </w:pPr>
            <w:r>
              <w:rPr>
                <w:color w:val="000000" w:themeColor="text1"/>
                <w14:textFill>
                  <w14:solidFill>
                    <w14:schemeClr w14:val="tx1"/>
                  </w14:solidFill>
                </w14:textFill>
              </w:rPr>
              <w:t>避让小渔船偏离航道</w:t>
            </w:r>
          </w:p>
        </w:tc>
        <w:tc>
          <w:tcPr>
            <w:tcW w:w="3349" w:type="dxa"/>
            <w:tcMar>
              <w:left w:w="0" w:type="dxa"/>
              <w:right w:w="0" w:type="dxa"/>
            </w:tcMar>
            <w:vAlign w:val="center"/>
          </w:tcPr>
          <w:p w14:paraId="124C4F6F">
            <w:pPr>
              <w:pStyle w:val="70"/>
              <w:rPr>
                <w:color w:val="000000" w:themeColor="text1"/>
                <w14:textFill>
                  <w14:solidFill>
                    <w14:schemeClr w14:val="tx1"/>
                  </w14:solidFill>
                </w14:textFill>
              </w:rPr>
            </w:pPr>
            <w:r>
              <w:rPr>
                <w:color w:val="000000" w:themeColor="text1"/>
                <w14:textFill>
                  <w14:solidFill>
                    <w14:schemeClr w14:val="tx1"/>
                  </w14:solidFill>
                </w14:textFill>
              </w:rPr>
              <w:t>21</w:t>
            </w:r>
            <w:r>
              <w:rPr>
                <w:rFonts w:hint="eastAsia" w:ascii="宋体" w:hAnsi="宋体" w:cs="宋体"/>
                <w:color w:val="000000" w:themeColor="text1"/>
                <w14:textFill>
                  <w14:solidFill>
                    <w14:schemeClr w14:val="tx1"/>
                  </w14:solidFill>
                </w14:textFill>
              </w:rPr>
              <w:t>︒</w:t>
            </w:r>
            <w:r>
              <w:rPr>
                <w:color w:val="000000" w:themeColor="text1"/>
                <w14:textFill>
                  <w14:solidFill>
                    <w14:schemeClr w14:val="tx1"/>
                  </w14:solidFill>
                </w14:textFill>
              </w:rPr>
              <w:t>38＇8N/108</w:t>
            </w:r>
            <w:r>
              <w:rPr>
                <w:rFonts w:hint="eastAsia" w:ascii="宋体" w:hAnsi="宋体" w:cs="宋体"/>
                <w:color w:val="000000" w:themeColor="text1"/>
                <w14:textFill>
                  <w14:solidFill>
                    <w14:schemeClr w14:val="tx1"/>
                  </w14:solidFill>
                </w14:textFill>
              </w:rPr>
              <w:t>︒</w:t>
            </w:r>
            <w:r>
              <w:rPr>
                <w:color w:val="000000" w:themeColor="text1"/>
                <w14:textFill>
                  <w14:solidFill>
                    <w14:schemeClr w14:val="tx1"/>
                  </w14:solidFill>
                </w14:textFill>
              </w:rPr>
              <w:t>35＇1E</w:t>
            </w:r>
          </w:p>
        </w:tc>
        <w:tc>
          <w:tcPr>
            <w:tcW w:w="1014" w:type="dxa"/>
            <w:tcMar>
              <w:left w:w="0" w:type="dxa"/>
              <w:right w:w="0" w:type="dxa"/>
            </w:tcMar>
            <w:vAlign w:val="center"/>
          </w:tcPr>
          <w:p w14:paraId="5BCB83F1">
            <w:pPr>
              <w:pStyle w:val="70"/>
              <w:rPr>
                <w:color w:val="000000" w:themeColor="text1"/>
                <w14:textFill>
                  <w14:solidFill>
                    <w14:schemeClr w14:val="tx1"/>
                  </w14:solidFill>
                </w14:textFill>
              </w:rPr>
            </w:pPr>
            <w:r>
              <w:rPr>
                <w:color w:val="000000" w:themeColor="text1"/>
                <w14:textFill>
                  <w14:solidFill>
                    <w14:schemeClr w14:val="tx1"/>
                  </w14:solidFill>
                </w14:textFill>
              </w:rPr>
              <w:t>不详</w:t>
            </w:r>
          </w:p>
        </w:tc>
      </w:tr>
      <w:tr w14:paraId="1EF1E72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426" w:type="dxa"/>
            <w:tcMar>
              <w:left w:w="0" w:type="dxa"/>
              <w:right w:w="0" w:type="dxa"/>
            </w:tcMar>
            <w:vAlign w:val="center"/>
          </w:tcPr>
          <w:p w14:paraId="291A01FB">
            <w:pPr>
              <w:pStyle w:val="70"/>
              <w:rPr>
                <w:color w:val="000000" w:themeColor="text1"/>
                <w14:textFill>
                  <w14:solidFill>
                    <w14:schemeClr w14:val="tx1"/>
                  </w14:solidFill>
                </w14:textFill>
              </w:rPr>
            </w:pPr>
            <w:r>
              <w:rPr>
                <w:color w:val="000000" w:themeColor="text1"/>
                <w14:textFill>
                  <w14:solidFill>
                    <w14:schemeClr w14:val="tx1"/>
                  </w14:solidFill>
                </w14:textFill>
              </w:rPr>
              <w:t>15</w:t>
            </w:r>
          </w:p>
        </w:tc>
        <w:tc>
          <w:tcPr>
            <w:tcW w:w="1161" w:type="dxa"/>
            <w:tcMar>
              <w:left w:w="0" w:type="dxa"/>
              <w:right w:w="0" w:type="dxa"/>
            </w:tcMar>
            <w:vAlign w:val="center"/>
          </w:tcPr>
          <w:p w14:paraId="04389B81">
            <w:pPr>
              <w:pStyle w:val="70"/>
              <w:rPr>
                <w:color w:val="000000" w:themeColor="text1"/>
                <w14:textFill>
                  <w14:solidFill>
                    <w14:schemeClr w14:val="tx1"/>
                  </w14:solidFill>
                </w14:textFill>
              </w:rPr>
            </w:pPr>
            <w:r>
              <w:rPr>
                <w:color w:val="000000" w:themeColor="text1"/>
                <w14:textFill>
                  <w14:solidFill>
                    <w14:schemeClr w14:val="tx1"/>
                  </w14:solidFill>
                </w14:textFill>
              </w:rPr>
              <w:t>2008.8.12</w:t>
            </w:r>
          </w:p>
        </w:tc>
        <w:tc>
          <w:tcPr>
            <w:tcW w:w="2372" w:type="dxa"/>
            <w:tcMar>
              <w:left w:w="0" w:type="dxa"/>
              <w:right w:w="0" w:type="dxa"/>
            </w:tcMar>
            <w:vAlign w:val="center"/>
          </w:tcPr>
          <w:p w14:paraId="7EEF7C40">
            <w:pPr>
              <w:pStyle w:val="70"/>
              <w:rPr>
                <w:color w:val="000000" w:themeColor="text1"/>
                <w14:textFill>
                  <w14:solidFill>
                    <w14:schemeClr w14:val="tx1"/>
                  </w14:solidFill>
                </w14:textFill>
              </w:rPr>
            </w:pPr>
            <w:r>
              <w:rPr>
                <w:color w:val="000000" w:themeColor="text1"/>
                <w14:textFill>
                  <w14:solidFill>
                    <w14:schemeClr w14:val="tx1"/>
                  </w14:solidFill>
                </w14:textFill>
              </w:rPr>
              <w:t>顺强1自沉</w:t>
            </w:r>
          </w:p>
        </w:tc>
        <w:tc>
          <w:tcPr>
            <w:tcW w:w="1043" w:type="dxa"/>
            <w:tcMar>
              <w:left w:w="0" w:type="dxa"/>
              <w:right w:w="0" w:type="dxa"/>
            </w:tcMar>
            <w:vAlign w:val="center"/>
          </w:tcPr>
          <w:p w14:paraId="5B0B1C72">
            <w:pPr>
              <w:pStyle w:val="70"/>
              <w:rPr>
                <w:color w:val="000000" w:themeColor="text1"/>
                <w14:textFill>
                  <w14:solidFill>
                    <w14:schemeClr w14:val="tx1"/>
                  </w14:solidFill>
                </w14:textFill>
              </w:rPr>
            </w:pPr>
            <w:r>
              <w:rPr>
                <w:color w:val="000000" w:themeColor="text1"/>
                <w14:textFill>
                  <w14:solidFill>
                    <w14:schemeClr w14:val="tx1"/>
                  </w14:solidFill>
                </w14:textFill>
              </w:rPr>
              <w:t>重大事故</w:t>
            </w:r>
          </w:p>
        </w:tc>
        <w:tc>
          <w:tcPr>
            <w:tcW w:w="837" w:type="dxa"/>
            <w:tcMar>
              <w:left w:w="0" w:type="dxa"/>
              <w:right w:w="0" w:type="dxa"/>
            </w:tcMar>
            <w:vAlign w:val="center"/>
          </w:tcPr>
          <w:p w14:paraId="2BB613E3">
            <w:pPr>
              <w:pStyle w:val="70"/>
              <w:rPr>
                <w:color w:val="000000" w:themeColor="text1"/>
                <w14:textFill>
                  <w14:solidFill>
                    <w14:schemeClr w14:val="tx1"/>
                  </w14:solidFill>
                </w14:textFill>
              </w:rPr>
            </w:pPr>
            <w:r>
              <w:rPr>
                <w:color w:val="000000" w:themeColor="text1"/>
                <w14:textFill>
                  <w14:solidFill>
                    <w14:schemeClr w14:val="tx1"/>
                  </w14:solidFill>
                </w14:textFill>
              </w:rPr>
              <w:t>自沉</w:t>
            </w:r>
          </w:p>
        </w:tc>
        <w:tc>
          <w:tcPr>
            <w:tcW w:w="3726" w:type="dxa"/>
            <w:tcMar>
              <w:left w:w="0" w:type="dxa"/>
              <w:right w:w="0" w:type="dxa"/>
            </w:tcMar>
            <w:vAlign w:val="center"/>
          </w:tcPr>
          <w:p w14:paraId="53227FB7">
            <w:pPr>
              <w:pStyle w:val="70"/>
              <w:rPr>
                <w:color w:val="000000" w:themeColor="text1"/>
                <w14:textFill>
                  <w14:solidFill>
                    <w14:schemeClr w14:val="tx1"/>
                  </w14:solidFill>
                </w14:textFill>
              </w:rPr>
            </w:pPr>
            <w:r>
              <w:rPr>
                <w:color w:val="000000" w:themeColor="text1"/>
                <w14:textFill>
                  <w14:solidFill>
                    <w14:schemeClr w14:val="tx1"/>
                  </w14:solidFill>
                </w14:textFill>
              </w:rPr>
              <w:t>积攒不当</w:t>
            </w:r>
          </w:p>
        </w:tc>
        <w:tc>
          <w:tcPr>
            <w:tcW w:w="3349" w:type="dxa"/>
            <w:tcMar>
              <w:left w:w="0" w:type="dxa"/>
              <w:right w:w="0" w:type="dxa"/>
            </w:tcMar>
            <w:vAlign w:val="center"/>
          </w:tcPr>
          <w:p w14:paraId="6D6C0AF1">
            <w:pPr>
              <w:pStyle w:val="70"/>
              <w:rPr>
                <w:color w:val="000000" w:themeColor="text1"/>
                <w14:textFill>
                  <w14:solidFill>
                    <w14:schemeClr w14:val="tx1"/>
                  </w14:solidFill>
                </w14:textFill>
              </w:rPr>
            </w:pPr>
            <w:r>
              <w:rPr>
                <w:color w:val="000000" w:themeColor="text1"/>
                <w14:textFill>
                  <w14:solidFill>
                    <w14:schemeClr w14:val="tx1"/>
                  </w14:solidFill>
                </w14:textFill>
              </w:rPr>
              <w:t>21</w:t>
            </w:r>
            <w:r>
              <w:rPr>
                <w:rFonts w:hint="eastAsia" w:ascii="宋体" w:hAnsi="宋体" w:cs="宋体"/>
                <w:color w:val="000000" w:themeColor="text1"/>
                <w14:textFill>
                  <w14:solidFill>
                    <w14:schemeClr w14:val="tx1"/>
                  </w14:solidFill>
                </w14:textFill>
              </w:rPr>
              <w:t>︒</w:t>
            </w:r>
            <w:r>
              <w:rPr>
                <w:color w:val="000000" w:themeColor="text1"/>
                <w14:textFill>
                  <w14:solidFill>
                    <w14:schemeClr w14:val="tx1"/>
                  </w14:solidFill>
                </w14:textFill>
              </w:rPr>
              <w:t>12.6＇N/108</w:t>
            </w:r>
            <w:r>
              <w:rPr>
                <w:rFonts w:hint="eastAsia" w:ascii="宋体" w:hAnsi="宋体" w:cs="宋体"/>
                <w:color w:val="000000" w:themeColor="text1"/>
                <w14:textFill>
                  <w14:solidFill>
                    <w14:schemeClr w14:val="tx1"/>
                  </w14:solidFill>
                </w14:textFill>
              </w:rPr>
              <w:t>︒</w:t>
            </w:r>
            <w:r>
              <w:rPr>
                <w:color w:val="000000" w:themeColor="text1"/>
                <w14:textFill>
                  <w14:solidFill>
                    <w14:schemeClr w14:val="tx1"/>
                  </w14:solidFill>
                </w14:textFill>
              </w:rPr>
              <w:t>37＇E</w:t>
            </w:r>
          </w:p>
        </w:tc>
        <w:tc>
          <w:tcPr>
            <w:tcW w:w="1014" w:type="dxa"/>
            <w:tcMar>
              <w:left w:w="0" w:type="dxa"/>
              <w:right w:w="0" w:type="dxa"/>
            </w:tcMar>
            <w:vAlign w:val="center"/>
          </w:tcPr>
          <w:p w14:paraId="56C6EA5A">
            <w:pPr>
              <w:pStyle w:val="70"/>
              <w:rPr>
                <w:color w:val="000000" w:themeColor="text1"/>
                <w14:textFill>
                  <w14:solidFill>
                    <w14:schemeClr w14:val="tx1"/>
                  </w14:solidFill>
                </w14:textFill>
              </w:rPr>
            </w:pPr>
            <w:r>
              <w:rPr>
                <w:color w:val="000000" w:themeColor="text1"/>
                <w14:textFill>
                  <w14:solidFill>
                    <w14:schemeClr w14:val="tx1"/>
                  </w14:solidFill>
                </w14:textFill>
              </w:rPr>
              <w:t>不详</w:t>
            </w:r>
          </w:p>
        </w:tc>
      </w:tr>
      <w:tr w14:paraId="5C5E47E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426" w:type="dxa"/>
            <w:tcMar>
              <w:left w:w="0" w:type="dxa"/>
              <w:right w:w="0" w:type="dxa"/>
            </w:tcMar>
            <w:vAlign w:val="center"/>
          </w:tcPr>
          <w:p w14:paraId="0B2755AE">
            <w:pPr>
              <w:pStyle w:val="70"/>
              <w:rPr>
                <w:color w:val="000000" w:themeColor="text1"/>
                <w14:textFill>
                  <w14:solidFill>
                    <w14:schemeClr w14:val="tx1"/>
                  </w14:solidFill>
                </w14:textFill>
              </w:rPr>
            </w:pPr>
            <w:r>
              <w:rPr>
                <w:color w:val="000000" w:themeColor="text1"/>
                <w14:textFill>
                  <w14:solidFill>
                    <w14:schemeClr w14:val="tx1"/>
                  </w14:solidFill>
                </w14:textFill>
              </w:rPr>
              <w:t>16</w:t>
            </w:r>
          </w:p>
        </w:tc>
        <w:tc>
          <w:tcPr>
            <w:tcW w:w="1161" w:type="dxa"/>
            <w:tcMar>
              <w:left w:w="0" w:type="dxa"/>
              <w:right w:w="0" w:type="dxa"/>
            </w:tcMar>
            <w:vAlign w:val="center"/>
          </w:tcPr>
          <w:p w14:paraId="2DE26BB7">
            <w:pPr>
              <w:pStyle w:val="70"/>
              <w:rPr>
                <w:color w:val="000000" w:themeColor="text1"/>
                <w14:textFill>
                  <w14:solidFill>
                    <w14:schemeClr w14:val="tx1"/>
                  </w14:solidFill>
                </w14:textFill>
              </w:rPr>
            </w:pPr>
            <w:r>
              <w:rPr>
                <w:color w:val="000000" w:themeColor="text1"/>
                <w14:textFill>
                  <w14:solidFill>
                    <w14:schemeClr w14:val="tx1"/>
                  </w14:solidFill>
                </w14:textFill>
              </w:rPr>
              <w:t>2008.11.28</w:t>
            </w:r>
          </w:p>
        </w:tc>
        <w:tc>
          <w:tcPr>
            <w:tcW w:w="2372" w:type="dxa"/>
            <w:tcMar>
              <w:left w:w="0" w:type="dxa"/>
              <w:right w:w="0" w:type="dxa"/>
            </w:tcMar>
            <w:vAlign w:val="center"/>
          </w:tcPr>
          <w:p w14:paraId="3D4B3ED0">
            <w:pPr>
              <w:pStyle w:val="70"/>
              <w:rPr>
                <w:color w:val="000000" w:themeColor="text1"/>
                <w14:textFill>
                  <w14:solidFill>
                    <w14:schemeClr w14:val="tx1"/>
                  </w14:solidFill>
                </w14:textFill>
              </w:rPr>
            </w:pPr>
            <w:r>
              <w:rPr>
                <w:color w:val="000000" w:themeColor="text1"/>
                <w14:textFill>
                  <w14:solidFill>
                    <w14:schemeClr w14:val="tx1"/>
                  </w14:solidFill>
                </w14:textFill>
              </w:rPr>
              <w:t>盈海288与HN5088碰撞</w:t>
            </w:r>
          </w:p>
        </w:tc>
        <w:tc>
          <w:tcPr>
            <w:tcW w:w="1043" w:type="dxa"/>
            <w:tcMar>
              <w:left w:w="0" w:type="dxa"/>
              <w:right w:w="0" w:type="dxa"/>
            </w:tcMar>
            <w:vAlign w:val="center"/>
          </w:tcPr>
          <w:p w14:paraId="0BB6C8B3">
            <w:pPr>
              <w:pStyle w:val="70"/>
              <w:rPr>
                <w:color w:val="000000" w:themeColor="text1"/>
                <w14:textFill>
                  <w14:solidFill>
                    <w14:schemeClr w14:val="tx1"/>
                  </w14:solidFill>
                </w14:textFill>
              </w:rPr>
            </w:pPr>
            <w:r>
              <w:rPr>
                <w:color w:val="000000" w:themeColor="text1"/>
                <w14:textFill>
                  <w14:solidFill>
                    <w14:schemeClr w14:val="tx1"/>
                  </w14:solidFill>
                </w14:textFill>
              </w:rPr>
              <w:t>大事故</w:t>
            </w:r>
          </w:p>
        </w:tc>
        <w:tc>
          <w:tcPr>
            <w:tcW w:w="837" w:type="dxa"/>
            <w:tcMar>
              <w:left w:w="0" w:type="dxa"/>
              <w:right w:w="0" w:type="dxa"/>
            </w:tcMar>
            <w:vAlign w:val="center"/>
          </w:tcPr>
          <w:p w14:paraId="66EE306D">
            <w:pPr>
              <w:pStyle w:val="70"/>
              <w:rPr>
                <w:color w:val="000000" w:themeColor="text1"/>
                <w14:textFill>
                  <w14:solidFill>
                    <w14:schemeClr w14:val="tx1"/>
                  </w14:solidFill>
                </w14:textFill>
              </w:rPr>
            </w:pPr>
            <w:r>
              <w:rPr>
                <w:color w:val="000000" w:themeColor="text1"/>
                <w14:textFill>
                  <w14:solidFill>
                    <w14:schemeClr w14:val="tx1"/>
                  </w14:solidFill>
                </w14:textFill>
              </w:rPr>
              <w:t>碰撞</w:t>
            </w:r>
          </w:p>
        </w:tc>
        <w:tc>
          <w:tcPr>
            <w:tcW w:w="3726" w:type="dxa"/>
            <w:tcMar>
              <w:left w:w="0" w:type="dxa"/>
              <w:right w:w="0" w:type="dxa"/>
            </w:tcMar>
            <w:vAlign w:val="center"/>
          </w:tcPr>
          <w:p w14:paraId="3F6F0A0D">
            <w:pPr>
              <w:pStyle w:val="70"/>
              <w:rPr>
                <w:color w:val="000000" w:themeColor="text1"/>
                <w14:textFill>
                  <w14:solidFill>
                    <w14:schemeClr w14:val="tx1"/>
                  </w14:solidFill>
                </w14:textFill>
              </w:rPr>
            </w:pPr>
            <w:r>
              <w:rPr>
                <w:color w:val="000000" w:themeColor="text1"/>
                <w14:textFill>
                  <w14:solidFill>
                    <w14:schemeClr w14:val="tx1"/>
                  </w14:solidFill>
                </w14:textFill>
              </w:rPr>
              <w:t>不熟悉航道，未保持正规瞭望，未使用安全航速</w:t>
            </w:r>
          </w:p>
        </w:tc>
        <w:tc>
          <w:tcPr>
            <w:tcW w:w="3349" w:type="dxa"/>
            <w:tcMar>
              <w:left w:w="0" w:type="dxa"/>
              <w:right w:w="0" w:type="dxa"/>
            </w:tcMar>
            <w:vAlign w:val="center"/>
          </w:tcPr>
          <w:p w14:paraId="24984BFD">
            <w:pPr>
              <w:pStyle w:val="70"/>
              <w:rPr>
                <w:color w:val="000000" w:themeColor="text1"/>
                <w14:textFill>
                  <w14:solidFill>
                    <w14:schemeClr w14:val="tx1"/>
                  </w14:solidFill>
                </w14:textFill>
              </w:rPr>
            </w:pPr>
            <w:r>
              <w:rPr>
                <w:color w:val="000000" w:themeColor="text1"/>
                <w14:textFill>
                  <w14:solidFill>
                    <w14:schemeClr w14:val="tx1"/>
                  </w14:solidFill>
                </w14:textFill>
              </w:rPr>
              <w:t>21</w:t>
            </w:r>
            <w:r>
              <w:rPr>
                <w:rFonts w:hint="eastAsia" w:ascii="宋体" w:hAnsi="宋体" w:cs="宋体"/>
                <w:color w:val="000000" w:themeColor="text1"/>
                <w14:textFill>
                  <w14:solidFill>
                    <w14:schemeClr w14:val="tx1"/>
                  </w14:solidFill>
                </w14:textFill>
              </w:rPr>
              <w:t>︒</w:t>
            </w:r>
            <w:r>
              <w:rPr>
                <w:color w:val="000000" w:themeColor="text1"/>
                <w14:textFill>
                  <w14:solidFill>
                    <w14:schemeClr w14:val="tx1"/>
                  </w14:solidFill>
                </w14:textFill>
              </w:rPr>
              <w:t>40.002＇N/108</w:t>
            </w:r>
            <w:r>
              <w:rPr>
                <w:rFonts w:hint="eastAsia" w:ascii="宋体" w:hAnsi="宋体" w:cs="宋体"/>
                <w:color w:val="000000" w:themeColor="text1"/>
                <w14:textFill>
                  <w14:solidFill>
                    <w14:schemeClr w14:val="tx1"/>
                  </w14:solidFill>
                </w14:textFill>
              </w:rPr>
              <w:t>︒</w:t>
            </w:r>
            <w:r>
              <w:rPr>
                <w:color w:val="000000" w:themeColor="text1"/>
                <w14:textFill>
                  <w14:solidFill>
                    <w14:schemeClr w14:val="tx1"/>
                  </w14:solidFill>
                </w14:textFill>
              </w:rPr>
              <w:t>35.155＇E</w:t>
            </w:r>
          </w:p>
        </w:tc>
        <w:tc>
          <w:tcPr>
            <w:tcW w:w="1014" w:type="dxa"/>
            <w:tcMar>
              <w:left w:w="0" w:type="dxa"/>
              <w:right w:w="0" w:type="dxa"/>
            </w:tcMar>
            <w:vAlign w:val="center"/>
          </w:tcPr>
          <w:p w14:paraId="64383288">
            <w:pPr>
              <w:pStyle w:val="70"/>
              <w:rPr>
                <w:color w:val="000000" w:themeColor="text1"/>
                <w14:textFill>
                  <w14:solidFill>
                    <w14:schemeClr w14:val="tx1"/>
                  </w14:solidFill>
                </w14:textFill>
              </w:rPr>
            </w:pPr>
            <w:r>
              <w:rPr>
                <w:color w:val="000000" w:themeColor="text1"/>
                <w14:textFill>
                  <w14:solidFill>
                    <w14:schemeClr w14:val="tx1"/>
                  </w14:solidFill>
                </w14:textFill>
              </w:rPr>
              <w:t>不详</w:t>
            </w:r>
          </w:p>
        </w:tc>
      </w:tr>
      <w:tr w14:paraId="223E0DA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426" w:type="dxa"/>
            <w:tcMar>
              <w:left w:w="0" w:type="dxa"/>
              <w:right w:w="0" w:type="dxa"/>
            </w:tcMar>
            <w:vAlign w:val="center"/>
          </w:tcPr>
          <w:p w14:paraId="411B3122">
            <w:pPr>
              <w:pStyle w:val="70"/>
              <w:rPr>
                <w:color w:val="000000" w:themeColor="text1"/>
                <w14:textFill>
                  <w14:solidFill>
                    <w14:schemeClr w14:val="tx1"/>
                  </w14:solidFill>
                </w14:textFill>
              </w:rPr>
            </w:pPr>
            <w:r>
              <w:rPr>
                <w:color w:val="000000" w:themeColor="text1"/>
                <w14:textFill>
                  <w14:solidFill>
                    <w14:schemeClr w14:val="tx1"/>
                  </w14:solidFill>
                </w14:textFill>
              </w:rPr>
              <w:t>17</w:t>
            </w:r>
          </w:p>
        </w:tc>
        <w:tc>
          <w:tcPr>
            <w:tcW w:w="1161" w:type="dxa"/>
            <w:tcMar>
              <w:left w:w="0" w:type="dxa"/>
              <w:right w:w="0" w:type="dxa"/>
            </w:tcMar>
            <w:vAlign w:val="center"/>
          </w:tcPr>
          <w:p w14:paraId="1304BAF1">
            <w:pPr>
              <w:pStyle w:val="70"/>
              <w:rPr>
                <w:color w:val="000000" w:themeColor="text1"/>
                <w14:textFill>
                  <w14:solidFill>
                    <w14:schemeClr w14:val="tx1"/>
                  </w14:solidFill>
                </w14:textFill>
              </w:rPr>
            </w:pPr>
            <w:r>
              <w:rPr>
                <w:color w:val="000000" w:themeColor="text1"/>
                <w14:textFill>
                  <w14:solidFill>
                    <w14:schemeClr w14:val="tx1"/>
                  </w14:solidFill>
                </w14:textFill>
              </w:rPr>
              <w:t>2009.3.12</w:t>
            </w:r>
          </w:p>
        </w:tc>
        <w:tc>
          <w:tcPr>
            <w:tcW w:w="2372" w:type="dxa"/>
            <w:tcMar>
              <w:left w:w="0" w:type="dxa"/>
              <w:right w:w="0" w:type="dxa"/>
            </w:tcMar>
            <w:vAlign w:val="center"/>
          </w:tcPr>
          <w:p w14:paraId="46C00B2F">
            <w:pPr>
              <w:pStyle w:val="70"/>
              <w:rPr>
                <w:color w:val="000000" w:themeColor="text1"/>
                <w14:textFill>
                  <w14:solidFill>
                    <w14:schemeClr w14:val="tx1"/>
                  </w14:solidFill>
                </w14:textFill>
              </w:rPr>
            </w:pPr>
            <w:r>
              <w:rPr>
                <w:color w:val="000000" w:themeColor="text1"/>
                <w14:textFill>
                  <w14:solidFill>
                    <w14:schemeClr w14:val="tx1"/>
                  </w14:solidFill>
                </w14:textFill>
              </w:rPr>
              <w:t>巴拿马籍“东方梦轮”碰撞“粤阳江货0082轮”事故</w:t>
            </w:r>
          </w:p>
        </w:tc>
        <w:tc>
          <w:tcPr>
            <w:tcW w:w="1043" w:type="dxa"/>
            <w:tcMar>
              <w:left w:w="0" w:type="dxa"/>
              <w:right w:w="0" w:type="dxa"/>
            </w:tcMar>
            <w:vAlign w:val="center"/>
          </w:tcPr>
          <w:p w14:paraId="34D0D4C0">
            <w:pPr>
              <w:pStyle w:val="70"/>
              <w:rPr>
                <w:color w:val="000000" w:themeColor="text1"/>
                <w14:textFill>
                  <w14:solidFill>
                    <w14:schemeClr w14:val="tx1"/>
                  </w14:solidFill>
                </w14:textFill>
              </w:rPr>
            </w:pPr>
            <w:r>
              <w:rPr>
                <w:color w:val="000000" w:themeColor="text1"/>
                <w14:textFill>
                  <w14:solidFill>
                    <w14:schemeClr w14:val="tx1"/>
                  </w14:solidFill>
                </w14:textFill>
              </w:rPr>
              <w:t>一般事故</w:t>
            </w:r>
          </w:p>
        </w:tc>
        <w:tc>
          <w:tcPr>
            <w:tcW w:w="837" w:type="dxa"/>
            <w:tcMar>
              <w:left w:w="0" w:type="dxa"/>
              <w:right w:w="0" w:type="dxa"/>
            </w:tcMar>
            <w:vAlign w:val="center"/>
          </w:tcPr>
          <w:p w14:paraId="5C9BDB35">
            <w:pPr>
              <w:pStyle w:val="70"/>
              <w:rPr>
                <w:color w:val="000000" w:themeColor="text1"/>
                <w14:textFill>
                  <w14:solidFill>
                    <w14:schemeClr w14:val="tx1"/>
                  </w14:solidFill>
                </w14:textFill>
              </w:rPr>
            </w:pPr>
            <w:r>
              <w:rPr>
                <w:color w:val="000000" w:themeColor="text1"/>
                <w14:textFill>
                  <w14:solidFill>
                    <w14:schemeClr w14:val="tx1"/>
                  </w14:solidFill>
                </w14:textFill>
              </w:rPr>
              <w:t>碰撞</w:t>
            </w:r>
          </w:p>
        </w:tc>
        <w:tc>
          <w:tcPr>
            <w:tcW w:w="3726" w:type="dxa"/>
            <w:tcMar>
              <w:left w:w="0" w:type="dxa"/>
              <w:right w:w="0" w:type="dxa"/>
            </w:tcMar>
            <w:vAlign w:val="center"/>
          </w:tcPr>
          <w:p w14:paraId="2CC279A8">
            <w:pPr>
              <w:pStyle w:val="70"/>
              <w:rPr>
                <w:color w:val="000000" w:themeColor="text1"/>
                <w14:textFill>
                  <w14:solidFill>
                    <w14:schemeClr w14:val="tx1"/>
                  </w14:solidFill>
                </w14:textFill>
              </w:rPr>
            </w:pPr>
            <w:r>
              <w:rPr>
                <w:color w:val="000000" w:themeColor="text1"/>
                <w14:textFill>
                  <w14:solidFill>
                    <w14:schemeClr w14:val="tx1"/>
                  </w14:solidFill>
                </w14:textFill>
              </w:rPr>
              <w:t>违规穿越航道；能见度不良的情况下未使用安全航速</w:t>
            </w:r>
          </w:p>
        </w:tc>
        <w:tc>
          <w:tcPr>
            <w:tcW w:w="3349" w:type="dxa"/>
            <w:tcMar>
              <w:left w:w="0" w:type="dxa"/>
              <w:right w:w="0" w:type="dxa"/>
            </w:tcMar>
            <w:vAlign w:val="center"/>
          </w:tcPr>
          <w:p w14:paraId="269EAA4B">
            <w:pPr>
              <w:pStyle w:val="70"/>
              <w:rPr>
                <w:color w:val="000000" w:themeColor="text1"/>
                <w14:textFill>
                  <w14:solidFill>
                    <w14:schemeClr w14:val="tx1"/>
                  </w14:solidFill>
                </w14:textFill>
              </w:rPr>
            </w:pPr>
            <w:r>
              <w:rPr>
                <w:color w:val="000000" w:themeColor="text1"/>
                <w14:textFill>
                  <w14:solidFill>
                    <w14:schemeClr w14:val="tx1"/>
                  </w14:solidFill>
                </w14:textFill>
              </w:rPr>
              <w:t>21</w:t>
            </w:r>
            <w:r>
              <w:rPr>
                <w:rFonts w:hint="eastAsia" w:ascii="宋体" w:hAnsi="宋体" w:cs="宋体"/>
                <w:color w:val="000000" w:themeColor="text1"/>
                <w14:textFill>
                  <w14:solidFill>
                    <w14:schemeClr w14:val="tx1"/>
                  </w14:solidFill>
                </w14:textFill>
              </w:rPr>
              <w:t>︒</w:t>
            </w:r>
            <w:r>
              <w:rPr>
                <w:color w:val="000000" w:themeColor="text1"/>
                <w14:textFill>
                  <w14:solidFill>
                    <w14:schemeClr w14:val="tx1"/>
                  </w14:solidFill>
                </w14:textFill>
              </w:rPr>
              <w:t>37.873＇N/108</w:t>
            </w:r>
            <w:r>
              <w:rPr>
                <w:rFonts w:hint="eastAsia" w:ascii="宋体" w:hAnsi="宋体" w:cs="宋体"/>
                <w:color w:val="000000" w:themeColor="text1"/>
                <w14:textFill>
                  <w14:solidFill>
                    <w14:schemeClr w14:val="tx1"/>
                  </w14:solidFill>
                </w14:textFill>
              </w:rPr>
              <w:t>︒</w:t>
            </w:r>
            <w:r>
              <w:rPr>
                <w:color w:val="000000" w:themeColor="text1"/>
                <w14:textFill>
                  <w14:solidFill>
                    <w14:schemeClr w14:val="tx1"/>
                  </w14:solidFill>
                </w14:textFill>
              </w:rPr>
              <w:t>41.101＇E</w:t>
            </w:r>
          </w:p>
        </w:tc>
        <w:tc>
          <w:tcPr>
            <w:tcW w:w="1014" w:type="dxa"/>
            <w:tcMar>
              <w:left w:w="0" w:type="dxa"/>
              <w:right w:w="0" w:type="dxa"/>
            </w:tcMar>
            <w:vAlign w:val="center"/>
          </w:tcPr>
          <w:p w14:paraId="32C97DDA">
            <w:pPr>
              <w:pStyle w:val="70"/>
              <w:rPr>
                <w:color w:val="000000" w:themeColor="text1"/>
                <w14:textFill>
                  <w14:solidFill>
                    <w14:schemeClr w14:val="tx1"/>
                  </w14:solidFill>
                </w14:textFill>
              </w:rPr>
            </w:pPr>
            <w:r>
              <w:rPr>
                <w:color w:val="000000" w:themeColor="text1"/>
                <w14:textFill>
                  <w14:solidFill>
                    <w14:schemeClr w14:val="tx1"/>
                  </w14:solidFill>
                </w14:textFill>
              </w:rPr>
              <w:t>0.5</w:t>
            </w:r>
          </w:p>
        </w:tc>
      </w:tr>
    </w:tbl>
    <w:p w14:paraId="2C2819EB">
      <w:pPr>
        <w:ind w:firstLine="199" w:firstLineChars="83"/>
        <w:rPr>
          <w:color w:val="000000" w:themeColor="text1"/>
          <w14:textFill>
            <w14:solidFill>
              <w14:schemeClr w14:val="tx1"/>
            </w14:solidFill>
          </w14:textFill>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numberInDash"/>
          <w:cols w:space="720" w:num="1"/>
          <w:docGrid w:type="lines" w:linePitch="326" w:charSpace="0"/>
        </w:sectPr>
      </w:pPr>
    </w:p>
    <w:p w14:paraId="113F92D1">
      <w:pPr>
        <w:pStyle w:val="7"/>
        <w:rPr>
          <w:color w:val="000000" w:themeColor="text1"/>
          <w14:textFill>
            <w14:solidFill>
              <w14:schemeClr w14:val="tx1"/>
            </w14:solidFill>
          </w14:textFill>
        </w:rPr>
      </w:pPr>
      <w:r>
        <w:rPr>
          <w:color w:val="000000" w:themeColor="text1"/>
          <w14:textFill>
            <w14:solidFill>
              <w14:schemeClr w14:val="tx1"/>
            </w14:solidFill>
          </w14:textFill>
        </w:rPr>
        <w:t>事故原因统计表</w:t>
      </w:r>
    </w:p>
    <w:tbl>
      <w:tblPr>
        <w:tblStyle w:val="43"/>
        <w:tblW w:w="8276"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2755"/>
        <w:gridCol w:w="2756"/>
        <w:gridCol w:w="2765"/>
      </w:tblGrid>
      <w:tr w14:paraId="31B6228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755" w:type="dxa"/>
          </w:tcPr>
          <w:p w14:paraId="27D4CA2C">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事故原因</w:t>
            </w:r>
          </w:p>
        </w:tc>
        <w:tc>
          <w:tcPr>
            <w:tcW w:w="2756" w:type="dxa"/>
          </w:tcPr>
          <w:p w14:paraId="4ABFF98F">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10年事故总次数</w:t>
            </w:r>
          </w:p>
        </w:tc>
        <w:tc>
          <w:tcPr>
            <w:tcW w:w="2765" w:type="dxa"/>
          </w:tcPr>
          <w:p w14:paraId="681F7A93">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所占百分比%</w:t>
            </w:r>
          </w:p>
        </w:tc>
      </w:tr>
      <w:tr w14:paraId="4DE9DC1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755" w:type="dxa"/>
          </w:tcPr>
          <w:p w14:paraId="4FEE055D">
            <w:pPr>
              <w:pStyle w:val="70"/>
              <w:rPr>
                <w:color w:val="000000" w:themeColor="text1"/>
                <w14:textFill>
                  <w14:solidFill>
                    <w14:schemeClr w14:val="tx1"/>
                  </w14:solidFill>
                </w14:textFill>
              </w:rPr>
            </w:pPr>
            <w:r>
              <w:rPr>
                <w:color w:val="000000" w:themeColor="text1"/>
                <w14:textFill>
                  <w14:solidFill>
                    <w14:schemeClr w14:val="tx1"/>
                  </w14:solidFill>
                </w14:textFill>
              </w:rPr>
              <w:t>操作不当</w:t>
            </w:r>
          </w:p>
        </w:tc>
        <w:tc>
          <w:tcPr>
            <w:tcW w:w="2756" w:type="dxa"/>
          </w:tcPr>
          <w:p w14:paraId="3F1EA6A6">
            <w:pPr>
              <w:pStyle w:val="70"/>
              <w:rPr>
                <w:color w:val="000000" w:themeColor="text1"/>
                <w14:textFill>
                  <w14:solidFill>
                    <w14:schemeClr w14:val="tx1"/>
                  </w14:solidFill>
                </w14:textFill>
              </w:rPr>
            </w:pPr>
            <w:r>
              <w:rPr>
                <w:color w:val="000000" w:themeColor="text1"/>
                <w14:textFill>
                  <w14:solidFill>
                    <w14:schemeClr w14:val="tx1"/>
                  </w14:solidFill>
                </w14:textFill>
              </w:rPr>
              <w:t>2</w:t>
            </w:r>
          </w:p>
        </w:tc>
        <w:tc>
          <w:tcPr>
            <w:tcW w:w="2765" w:type="dxa"/>
          </w:tcPr>
          <w:p w14:paraId="32FC9510">
            <w:pPr>
              <w:pStyle w:val="70"/>
              <w:rPr>
                <w:color w:val="000000" w:themeColor="text1"/>
                <w14:textFill>
                  <w14:solidFill>
                    <w14:schemeClr w14:val="tx1"/>
                  </w14:solidFill>
                </w14:textFill>
              </w:rPr>
            </w:pPr>
            <w:r>
              <w:rPr>
                <w:color w:val="000000" w:themeColor="text1"/>
                <w14:textFill>
                  <w14:solidFill>
                    <w14:schemeClr w14:val="tx1"/>
                  </w14:solidFill>
                </w14:textFill>
              </w:rPr>
              <w:t>11.76</w:t>
            </w:r>
          </w:p>
        </w:tc>
      </w:tr>
      <w:tr w14:paraId="15D9FD2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755" w:type="dxa"/>
          </w:tcPr>
          <w:p w14:paraId="5D4F2B8B">
            <w:pPr>
              <w:pStyle w:val="70"/>
              <w:rPr>
                <w:color w:val="000000" w:themeColor="text1"/>
                <w14:textFill>
                  <w14:solidFill>
                    <w14:schemeClr w14:val="tx1"/>
                  </w14:solidFill>
                </w14:textFill>
              </w:rPr>
            </w:pPr>
            <w:r>
              <w:rPr>
                <w:color w:val="000000" w:themeColor="text1"/>
                <w14:textFill>
                  <w14:solidFill>
                    <w14:schemeClr w14:val="tx1"/>
                  </w14:solidFill>
                </w14:textFill>
              </w:rPr>
              <w:t>碰撞</w:t>
            </w:r>
          </w:p>
        </w:tc>
        <w:tc>
          <w:tcPr>
            <w:tcW w:w="2756" w:type="dxa"/>
          </w:tcPr>
          <w:p w14:paraId="3A7B442B">
            <w:pPr>
              <w:pStyle w:val="70"/>
              <w:rPr>
                <w:color w:val="000000" w:themeColor="text1"/>
                <w14:textFill>
                  <w14:solidFill>
                    <w14:schemeClr w14:val="tx1"/>
                  </w14:solidFill>
                </w14:textFill>
              </w:rPr>
            </w:pPr>
            <w:r>
              <w:rPr>
                <w:color w:val="000000" w:themeColor="text1"/>
                <w14:textFill>
                  <w14:solidFill>
                    <w14:schemeClr w14:val="tx1"/>
                  </w14:solidFill>
                </w14:textFill>
              </w:rPr>
              <w:t>8</w:t>
            </w:r>
          </w:p>
        </w:tc>
        <w:tc>
          <w:tcPr>
            <w:tcW w:w="2765" w:type="dxa"/>
          </w:tcPr>
          <w:p w14:paraId="4FEDEE89">
            <w:pPr>
              <w:pStyle w:val="70"/>
              <w:rPr>
                <w:color w:val="000000" w:themeColor="text1"/>
                <w14:textFill>
                  <w14:solidFill>
                    <w14:schemeClr w14:val="tx1"/>
                  </w14:solidFill>
                </w14:textFill>
              </w:rPr>
            </w:pPr>
            <w:r>
              <w:rPr>
                <w:color w:val="000000" w:themeColor="text1"/>
                <w14:textFill>
                  <w14:solidFill>
                    <w14:schemeClr w14:val="tx1"/>
                  </w14:solidFill>
                </w14:textFill>
              </w:rPr>
              <w:t>47.07</w:t>
            </w:r>
          </w:p>
        </w:tc>
      </w:tr>
      <w:tr w14:paraId="16E5652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755" w:type="dxa"/>
          </w:tcPr>
          <w:p w14:paraId="0EC26A3B">
            <w:pPr>
              <w:pStyle w:val="70"/>
              <w:rPr>
                <w:color w:val="000000" w:themeColor="text1"/>
                <w14:textFill>
                  <w14:solidFill>
                    <w14:schemeClr w14:val="tx1"/>
                  </w14:solidFill>
                </w14:textFill>
              </w:rPr>
            </w:pPr>
            <w:r>
              <w:rPr>
                <w:color w:val="000000" w:themeColor="text1"/>
                <w14:textFill>
                  <w14:solidFill>
                    <w14:schemeClr w14:val="tx1"/>
                  </w14:solidFill>
                </w14:textFill>
              </w:rPr>
              <w:t>自沉</w:t>
            </w:r>
          </w:p>
        </w:tc>
        <w:tc>
          <w:tcPr>
            <w:tcW w:w="2756" w:type="dxa"/>
          </w:tcPr>
          <w:p w14:paraId="6E198735">
            <w:pPr>
              <w:pStyle w:val="70"/>
              <w:rPr>
                <w:color w:val="000000" w:themeColor="text1"/>
                <w14:textFill>
                  <w14:solidFill>
                    <w14:schemeClr w14:val="tx1"/>
                  </w14:solidFill>
                </w14:textFill>
              </w:rPr>
            </w:pPr>
            <w:r>
              <w:rPr>
                <w:color w:val="000000" w:themeColor="text1"/>
                <w14:textFill>
                  <w14:solidFill>
                    <w14:schemeClr w14:val="tx1"/>
                  </w14:solidFill>
                </w14:textFill>
              </w:rPr>
              <w:t>4</w:t>
            </w:r>
          </w:p>
        </w:tc>
        <w:tc>
          <w:tcPr>
            <w:tcW w:w="2765" w:type="dxa"/>
          </w:tcPr>
          <w:p w14:paraId="6BCFCE67">
            <w:pPr>
              <w:pStyle w:val="70"/>
              <w:rPr>
                <w:color w:val="000000" w:themeColor="text1"/>
                <w14:textFill>
                  <w14:solidFill>
                    <w14:schemeClr w14:val="tx1"/>
                  </w14:solidFill>
                </w14:textFill>
              </w:rPr>
            </w:pPr>
            <w:r>
              <w:rPr>
                <w:color w:val="000000" w:themeColor="text1"/>
                <w14:textFill>
                  <w14:solidFill>
                    <w14:schemeClr w14:val="tx1"/>
                  </w14:solidFill>
                </w14:textFill>
              </w:rPr>
              <w:t>23.53</w:t>
            </w:r>
          </w:p>
        </w:tc>
      </w:tr>
      <w:tr w14:paraId="266A8DE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755" w:type="dxa"/>
          </w:tcPr>
          <w:p w14:paraId="185A8D53">
            <w:pPr>
              <w:pStyle w:val="70"/>
              <w:rPr>
                <w:color w:val="000000" w:themeColor="text1"/>
                <w14:textFill>
                  <w14:solidFill>
                    <w14:schemeClr w14:val="tx1"/>
                  </w14:solidFill>
                </w14:textFill>
              </w:rPr>
            </w:pPr>
            <w:r>
              <w:rPr>
                <w:color w:val="000000" w:themeColor="text1"/>
                <w14:textFill>
                  <w14:solidFill>
                    <w14:schemeClr w14:val="tx1"/>
                  </w14:solidFill>
                </w14:textFill>
              </w:rPr>
              <w:t>风灾</w:t>
            </w:r>
          </w:p>
        </w:tc>
        <w:tc>
          <w:tcPr>
            <w:tcW w:w="2756" w:type="dxa"/>
          </w:tcPr>
          <w:p w14:paraId="0AD2EFB3">
            <w:pPr>
              <w:pStyle w:val="70"/>
              <w:rPr>
                <w:color w:val="000000" w:themeColor="text1"/>
                <w14:textFill>
                  <w14:solidFill>
                    <w14:schemeClr w14:val="tx1"/>
                  </w14:solidFill>
                </w14:textFill>
              </w:rPr>
            </w:pPr>
            <w:r>
              <w:rPr>
                <w:color w:val="000000" w:themeColor="text1"/>
                <w14:textFill>
                  <w14:solidFill>
                    <w14:schemeClr w14:val="tx1"/>
                  </w14:solidFill>
                </w14:textFill>
              </w:rPr>
              <w:t>1</w:t>
            </w:r>
          </w:p>
        </w:tc>
        <w:tc>
          <w:tcPr>
            <w:tcW w:w="2765" w:type="dxa"/>
          </w:tcPr>
          <w:p w14:paraId="140EADCC">
            <w:pPr>
              <w:pStyle w:val="70"/>
              <w:rPr>
                <w:color w:val="000000" w:themeColor="text1"/>
                <w14:textFill>
                  <w14:solidFill>
                    <w14:schemeClr w14:val="tx1"/>
                  </w14:solidFill>
                </w14:textFill>
              </w:rPr>
            </w:pPr>
            <w:r>
              <w:rPr>
                <w:color w:val="000000" w:themeColor="text1"/>
                <w14:textFill>
                  <w14:solidFill>
                    <w14:schemeClr w14:val="tx1"/>
                  </w14:solidFill>
                </w14:textFill>
              </w:rPr>
              <w:t>5.88</w:t>
            </w:r>
          </w:p>
        </w:tc>
      </w:tr>
      <w:tr w14:paraId="7458A60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755" w:type="dxa"/>
          </w:tcPr>
          <w:p w14:paraId="0A1BEB72">
            <w:pPr>
              <w:pStyle w:val="70"/>
              <w:rPr>
                <w:color w:val="000000" w:themeColor="text1"/>
                <w14:textFill>
                  <w14:solidFill>
                    <w14:schemeClr w14:val="tx1"/>
                  </w14:solidFill>
                </w14:textFill>
              </w:rPr>
            </w:pPr>
            <w:r>
              <w:rPr>
                <w:color w:val="000000" w:themeColor="text1"/>
                <w14:textFill>
                  <w14:solidFill>
                    <w14:schemeClr w14:val="tx1"/>
                  </w14:solidFill>
                </w14:textFill>
              </w:rPr>
              <w:t>触礁</w:t>
            </w:r>
          </w:p>
        </w:tc>
        <w:tc>
          <w:tcPr>
            <w:tcW w:w="2756" w:type="dxa"/>
          </w:tcPr>
          <w:p w14:paraId="406473C7">
            <w:pPr>
              <w:pStyle w:val="70"/>
              <w:rPr>
                <w:color w:val="000000" w:themeColor="text1"/>
                <w14:textFill>
                  <w14:solidFill>
                    <w14:schemeClr w14:val="tx1"/>
                  </w14:solidFill>
                </w14:textFill>
              </w:rPr>
            </w:pPr>
            <w:r>
              <w:rPr>
                <w:color w:val="000000" w:themeColor="text1"/>
                <w14:textFill>
                  <w14:solidFill>
                    <w14:schemeClr w14:val="tx1"/>
                  </w14:solidFill>
                </w14:textFill>
              </w:rPr>
              <w:t>1</w:t>
            </w:r>
          </w:p>
        </w:tc>
        <w:tc>
          <w:tcPr>
            <w:tcW w:w="2765" w:type="dxa"/>
          </w:tcPr>
          <w:p w14:paraId="76521B39">
            <w:pPr>
              <w:pStyle w:val="70"/>
              <w:rPr>
                <w:color w:val="000000" w:themeColor="text1"/>
                <w14:textFill>
                  <w14:solidFill>
                    <w14:schemeClr w14:val="tx1"/>
                  </w14:solidFill>
                </w14:textFill>
              </w:rPr>
            </w:pPr>
            <w:r>
              <w:rPr>
                <w:color w:val="000000" w:themeColor="text1"/>
                <w14:textFill>
                  <w14:solidFill>
                    <w14:schemeClr w14:val="tx1"/>
                  </w14:solidFill>
                </w14:textFill>
              </w:rPr>
              <w:t>5.88</w:t>
            </w:r>
          </w:p>
        </w:tc>
      </w:tr>
      <w:tr w14:paraId="5AD818C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755" w:type="dxa"/>
          </w:tcPr>
          <w:p w14:paraId="66BAAB8A">
            <w:pPr>
              <w:pStyle w:val="70"/>
              <w:rPr>
                <w:color w:val="000000" w:themeColor="text1"/>
                <w14:textFill>
                  <w14:solidFill>
                    <w14:schemeClr w14:val="tx1"/>
                  </w14:solidFill>
                </w14:textFill>
              </w:rPr>
            </w:pPr>
            <w:r>
              <w:rPr>
                <w:color w:val="000000" w:themeColor="text1"/>
                <w14:textFill>
                  <w14:solidFill>
                    <w14:schemeClr w14:val="tx1"/>
                  </w14:solidFill>
                </w14:textFill>
              </w:rPr>
              <w:t>其他</w:t>
            </w:r>
          </w:p>
        </w:tc>
        <w:tc>
          <w:tcPr>
            <w:tcW w:w="2756" w:type="dxa"/>
          </w:tcPr>
          <w:p w14:paraId="49DDA117">
            <w:pPr>
              <w:pStyle w:val="70"/>
              <w:rPr>
                <w:color w:val="000000" w:themeColor="text1"/>
                <w14:textFill>
                  <w14:solidFill>
                    <w14:schemeClr w14:val="tx1"/>
                  </w14:solidFill>
                </w14:textFill>
              </w:rPr>
            </w:pPr>
            <w:r>
              <w:rPr>
                <w:color w:val="000000" w:themeColor="text1"/>
                <w14:textFill>
                  <w14:solidFill>
                    <w14:schemeClr w14:val="tx1"/>
                  </w14:solidFill>
                </w14:textFill>
              </w:rPr>
              <w:t>1</w:t>
            </w:r>
          </w:p>
        </w:tc>
        <w:tc>
          <w:tcPr>
            <w:tcW w:w="2765" w:type="dxa"/>
          </w:tcPr>
          <w:p w14:paraId="6AB4D963">
            <w:pPr>
              <w:pStyle w:val="70"/>
              <w:rPr>
                <w:color w:val="000000" w:themeColor="text1"/>
                <w14:textFill>
                  <w14:solidFill>
                    <w14:schemeClr w14:val="tx1"/>
                  </w14:solidFill>
                </w14:textFill>
              </w:rPr>
            </w:pPr>
            <w:r>
              <w:rPr>
                <w:color w:val="000000" w:themeColor="text1"/>
                <w14:textFill>
                  <w14:solidFill>
                    <w14:schemeClr w14:val="tx1"/>
                  </w14:solidFill>
                </w14:textFill>
              </w:rPr>
              <w:t>5.88</w:t>
            </w:r>
          </w:p>
        </w:tc>
      </w:tr>
      <w:tr w14:paraId="4C9B047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755" w:type="dxa"/>
          </w:tcPr>
          <w:p w14:paraId="4F88B5E4">
            <w:pPr>
              <w:pStyle w:val="70"/>
              <w:rPr>
                <w:color w:val="000000" w:themeColor="text1"/>
                <w14:textFill>
                  <w14:solidFill>
                    <w14:schemeClr w14:val="tx1"/>
                  </w14:solidFill>
                </w14:textFill>
              </w:rPr>
            </w:pPr>
            <w:r>
              <w:rPr>
                <w:color w:val="000000" w:themeColor="text1"/>
                <w14:textFill>
                  <w14:solidFill>
                    <w14:schemeClr w14:val="tx1"/>
                  </w14:solidFill>
                </w14:textFill>
              </w:rPr>
              <w:t>合计</w:t>
            </w:r>
          </w:p>
        </w:tc>
        <w:tc>
          <w:tcPr>
            <w:tcW w:w="2756" w:type="dxa"/>
          </w:tcPr>
          <w:p w14:paraId="4600198D">
            <w:pPr>
              <w:pStyle w:val="70"/>
              <w:rPr>
                <w:color w:val="000000" w:themeColor="text1"/>
                <w14:textFill>
                  <w14:solidFill>
                    <w14:schemeClr w14:val="tx1"/>
                  </w14:solidFill>
                </w14:textFill>
              </w:rPr>
            </w:pPr>
            <w:r>
              <w:rPr>
                <w:color w:val="000000" w:themeColor="text1"/>
                <w14:textFill>
                  <w14:solidFill>
                    <w14:schemeClr w14:val="tx1"/>
                  </w14:solidFill>
                </w14:textFill>
              </w:rPr>
              <w:t>17</w:t>
            </w:r>
          </w:p>
        </w:tc>
        <w:tc>
          <w:tcPr>
            <w:tcW w:w="2765" w:type="dxa"/>
          </w:tcPr>
          <w:p w14:paraId="552B831B">
            <w:pPr>
              <w:pStyle w:val="70"/>
              <w:rPr>
                <w:color w:val="000000" w:themeColor="text1"/>
                <w14:textFill>
                  <w14:solidFill>
                    <w14:schemeClr w14:val="tx1"/>
                  </w14:solidFill>
                </w14:textFill>
              </w:rPr>
            </w:pPr>
            <w:r>
              <w:rPr>
                <w:color w:val="000000" w:themeColor="text1"/>
                <w14:textFill>
                  <w14:solidFill>
                    <w14:schemeClr w14:val="tx1"/>
                  </w14:solidFill>
                </w14:textFill>
              </w:rPr>
              <w:t>100</w:t>
            </w:r>
          </w:p>
        </w:tc>
      </w:tr>
    </w:tbl>
    <w:p w14:paraId="7180FBF4">
      <w:pPr>
        <w:pStyle w:val="6"/>
        <w:rPr>
          <w:color w:val="000000" w:themeColor="text1"/>
          <w14:textFill>
            <w14:solidFill>
              <w14:schemeClr w14:val="tx1"/>
            </w14:solidFill>
          </w14:textFill>
        </w:rPr>
      </w:pPr>
      <w:r>
        <w:rPr>
          <w:color w:val="000000" w:themeColor="text1"/>
          <w14:textFill>
            <w14:solidFill>
              <w14:schemeClr w14:val="tx1"/>
            </w14:solidFill>
          </w14:textFill>
        </w:rPr>
        <w:t>陆域污染事故概率分析</w:t>
      </w:r>
    </w:p>
    <w:p w14:paraId="2A3CFB30">
      <w:pPr>
        <w:ind w:firstLine="480"/>
        <w:rPr>
          <w:color w:val="000000" w:themeColor="text1"/>
          <w14:textFill>
            <w14:solidFill>
              <w14:schemeClr w14:val="tx1"/>
            </w14:solidFill>
          </w14:textFill>
        </w:rPr>
      </w:pPr>
      <w:r>
        <w:rPr>
          <w:color w:val="000000" w:themeColor="text1"/>
          <w:u w:val="single"/>
          <w14:textFill>
            <w14:solidFill>
              <w14:schemeClr w14:val="tx1"/>
            </w14:solidFill>
          </w14:textFill>
        </w:rPr>
        <w:t>根据《建设项目环境风险评价技术导则》（HJ/T 169-2018）附录E事故概率，确定本项目的事故发生概率和最大可信度发生概率，详见下表</w:t>
      </w:r>
      <w:r>
        <w:rPr>
          <w:color w:val="000000" w:themeColor="text1"/>
          <w14:textFill>
            <w14:solidFill>
              <w14:schemeClr w14:val="tx1"/>
            </w14:solidFill>
          </w14:textFill>
        </w:rPr>
        <w:t>。</w:t>
      </w:r>
    </w:p>
    <w:p w14:paraId="0C51A237">
      <w:pPr>
        <w:pStyle w:val="7"/>
        <w:rPr>
          <w:color w:val="000000" w:themeColor="text1"/>
          <w14:textFill>
            <w14:solidFill>
              <w14:schemeClr w14:val="tx1"/>
            </w14:solidFill>
          </w14:textFill>
        </w:rPr>
      </w:pPr>
      <w:r>
        <w:rPr>
          <w:color w:val="000000" w:themeColor="text1"/>
          <w14:textFill>
            <w14:solidFill>
              <w14:schemeClr w14:val="tx1"/>
            </w14:solidFill>
          </w14:textFill>
        </w:rPr>
        <w:t>环境风险概率</w:t>
      </w:r>
    </w:p>
    <w:tbl>
      <w:tblPr>
        <w:tblStyle w:val="43"/>
        <w:tblW w:w="8276"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2236"/>
        <w:gridCol w:w="3913"/>
        <w:gridCol w:w="2127"/>
      </w:tblGrid>
      <w:tr w14:paraId="0EAA949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45" w:hRule="atLeast"/>
          <w:tblHeader/>
          <w:jc w:val="center"/>
        </w:trPr>
        <w:tc>
          <w:tcPr>
            <w:tcW w:w="2236" w:type="dxa"/>
            <w:vAlign w:val="center"/>
          </w:tcPr>
          <w:p w14:paraId="68CF7BA6">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泄漏类别</w:t>
            </w:r>
          </w:p>
        </w:tc>
        <w:tc>
          <w:tcPr>
            <w:tcW w:w="3913" w:type="dxa"/>
            <w:vAlign w:val="center"/>
          </w:tcPr>
          <w:p w14:paraId="5791CC4C">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泄漏孔径</w:t>
            </w:r>
          </w:p>
        </w:tc>
        <w:tc>
          <w:tcPr>
            <w:tcW w:w="2127" w:type="dxa"/>
            <w:vAlign w:val="center"/>
          </w:tcPr>
          <w:p w14:paraId="68384907">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泄漏频率</w:t>
            </w:r>
          </w:p>
        </w:tc>
      </w:tr>
      <w:tr w14:paraId="49EEA33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236" w:type="dxa"/>
            <w:vMerge w:val="restart"/>
            <w:vAlign w:val="center"/>
          </w:tcPr>
          <w:p w14:paraId="732A18D7">
            <w:pPr>
              <w:pStyle w:val="70"/>
              <w:rPr>
                <w:color w:val="000000" w:themeColor="text1"/>
                <w14:textFill>
                  <w14:solidFill>
                    <w14:schemeClr w14:val="tx1"/>
                  </w14:solidFill>
                </w14:textFill>
              </w:rPr>
            </w:pPr>
            <w:r>
              <w:rPr>
                <w:color w:val="000000" w:themeColor="text1"/>
                <w14:textFill>
                  <w14:solidFill>
                    <w14:schemeClr w14:val="tx1"/>
                  </w14:solidFill>
                </w14:textFill>
              </w:rPr>
              <w:t>管道泄漏</w:t>
            </w:r>
          </w:p>
          <w:p w14:paraId="35B059C9">
            <w:pPr>
              <w:pStyle w:val="70"/>
              <w:rPr>
                <w:color w:val="000000" w:themeColor="text1"/>
                <w14:textFill>
                  <w14:solidFill>
                    <w14:schemeClr w14:val="tx1"/>
                  </w14:solidFill>
                </w14:textFill>
              </w:rPr>
            </w:pPr>
            <w:r>
              <w:rPr>
                <w:color w:val="000000" w:themeColor="text1"/>
                <w14:textFill>
                  <w14:solidFill>
                    <w14:schemeClr w14:val="tx1"/>
                  </w14:solidFill>
                </w14:textFill>
              </w:rPr>
              <w:t>（内径＞150mm的管道）</w:t>
            </w:r>
          </w:p>
        </w:tc>
        <w:tc>
          <w:tcPr>
            <w:tcW w:w="3913" w:type="dxa"/>
            <w:vAlign w:val="center"/>
          </w:tcPr>
          <w:p w14:paraId="4BA2C0F8">
            <w:pPr>
              <w:pStyle w:val="70"/>
              <w:rPr>
                <w:color w:val="000000" w:themeColor="text1"/>
                <w14:textFill>
                  <w14:solidFill>
                    <w14:schemeClr w14:val="tx1"/>
                  </w14:solidFill>
                </w14:textFill>
              </w:rPr>
            </w:pPr>
            <w:r>
              <w:rPr>
                <w:color w:val="000000" w:themeColor="text1"/>
                <w14:textFill>
                  <w14:solidFill>
                    <w14:schemeClr w14:val="tx1"/>
                  </w14:solidFill>
                </w14:textFill>
              </w:rPr>
              <w:t>全管径泄漏</w:t>
            </w:r>
          </w:p>
        </w:tc>
        <w:tc>
          <w:tcPr>
            <w:tcW w:w="2127" w:type="dxa"/>
            <w:vAlign w:val="center"/>
          </w:tcPr>
          <w:p w14:paraId="0BA53788">
            <w:pPr>
              <w:pStyle w:val="70"/>
              <w:rPr>
                <w:color w:val="000000" w:themeColor="text1"/>
                <w14:textFill>
                  <w14:solidFill>
                    <w14:schemeClr w14:val="tx1"/>
                  </w14:solidFill>
                </w14:textFill>
              </w:rPr>
            </w:pPr>
            <w:r>
              <w:rPr>
                <w:color w:val="000000" w:themeColor="text1"/>
                <w14:textFill>
                  <w14:solidFill>
                    <w14:schemeClr w14:val="tx1"/>
                  </w14:solidFill>
                </w14:textFill>
              </w:rPr>
              <w:t>1.00×10</w:t>
            </w:r>
            <w:r>
              <w:rPr>
                <w:color w:val="000000" w:themeColor="text1"/>
                <w:vertAlign w:val="superscript"/>
                <w14:textFill>
                  <w14:solidFill>
                    <w14:schemeClr w14:val="tx1"/>
                  </w14:solidFill>
                </w14:textFill>
              </w:rPr>
              <w:t>-7</w:t>
            </w:r>
            <w:r>
              <w:rPr>
                <w:color w:val="000000" w:themeColor="text1"/>
                <w14:textFill>
                  <w14:solidFill>
                    <w14:schemeClr w14:val="tx1"/>
                  </w14:solidFill>
                </w14:textFill>
              </w:rPr>
              <w:t>/（m·a）</w:t>
            </w:r>
          </w:p>
        </w:tc>
      </w:tr>
      <w:tr w14:paraId="7A5F64D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236" w:type="dxa"/>
            <w:vMerge w:val="continue"/>
            <w:vAlign w:val="center"/>
          </w:tcPr>
          <w:p w14:paraId="185A8B9D">
            <w:pPr>
              <w:pStyle w:val="70"/>
              <w:rPr>
                <w:color w:val="000000" w:themeColor="text1"/>
                <w14:textFill>
                  <w14:solidFill>
                    <w14:schemeClr w14:val="tx1"/>
                  </w14:solidFill>
                </w14:textFill>
              </w:rPr>
            </w:pPr>
          </w:p>
        </w:tc>
        <w:tc>
          <w:tcPr>
            <w:tcW w:w="3913" w:type="dxa"/>
            <w:vAlign w:val="center"/>
          </w:tcPr>
          <w:p w14:paraId="4E814A51">
            <w:pPr>
              <w:pStyle w:val="70"/>
              <w:rPr>
                <w:color w:val="000000" w:themeColor="text1"/>
                <w14:textFill>
                  <w14:solidFill>
                    <w14:schemeClr w14:val="tx1"/>
                  </w14:solidFill>
                </w14:textFill>
              </w:rPr>
            </w:pPr>
            <w:r>
              <w:rPr>
                <w:color w:val="000000" w:themeColor="text1"/>
                <w14:textFill>
                  <w14:solidFill>
                    <w14:schemeClr w14:val="tx1"/>
                  </w14:solidFill>
                </w14:textFill>
              </w:rPr>
              <w:t>泄漏孔径为10%孔径</w:t>
            </w:r>
          </w:p>
        </w:tc>
        <w:tc>
          <w:tcPr>
            <w:tcW w:w="2127" w:type="dxa"/>
            <w:vAlign w:val="center"/>
          </w:tcPr>
          <w:p w14:paraId="4D699ED8">
            <w:pPr>
              <w:pStyle w:val="70"/>
              <w:rPr>
                <w:color w:val="000000" w:themeColor="text1"/>
                <w14:textFill>
                  <w14:solidFill>
                    <w14:schemeClr w14:val="tx1"/>
                  </w14:solidFill>
                </w14:textFill>
              </w:rPr>
            </w:pPr>
            <w:r>
              <w:rPr>
                <w:color w:val="000000" w:themeColor="text1"/>
                <w14:textFill>
                  <w14:solidFill>
                    <w14:schemeClr w14:val="tx1"/>
                  </w14:solidFill>
                </w14:textFill>
              </w:rPr>
              <w:t>2.40×10</w:t>
            </w:r>
            <w:r>
              <w:rPr>
                <w:color w:val="000000" w:themeColor="text1"/>
                <w:vertAlign w:val="superscript"/>
                <w14:textFill>
                  <w14:solidFill>
                    <w14:schemeClr w14:val="tx1"/>
                  </w14:solidFill>
                </w14:textFill>
              </w:rPr>
              <w:t>-6</w:t>
            </w:r>
            <w:r>
              <w:rPr>
                <w:color w:val="000000" w:themeColor="text1"/>
                <w14:textFill>
                  <w14:solidFill>
                    <w14:schemeClr w14:val="tx1"/>
                  </w14:solidFill>
                </w14:textFill>
              </w:rPr>
              <w:t>/（m·a）</w:t>
            </w:r>
          </w:p>
        </w:tc>
      </w:tr>
      <w:tr w14:paraId="74B2463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236" w:type="dxa"/>
            <w:vMerge w:val="restart"/>
            <w:vAlign w:val="center"/>
          </w:tcPr>
          <w:p w14:paraId="1751C17F">
            <w:pPr>
              <w:pStyle w:val="70"/>
              <w:rPr>
                <w:color w:val="000000" w:themeColor="text1"/>
                <w14:textFill>
                  <w14:solidFill>
                    <w14:schemeClr w14:val="tx1"/>
                  </w14:solidFill>
                </w14:textFill>
              </w:rPr>
            </w:pPr>
            <w:r>
              <w:rPr>
                <w:color w:val="000000" w:themeColor="text1"/>
                <w14:textFill>
                  <w14:solidFill>
                    <w14:schemeClr w14:val="tx1"/>
                  </w14:solidFill>
                </w14:textFill>
              </w:rPr>
              <w:t>装卸臂泄漏</w:t>
            </w:r>
          </w:p>
        </w:tc>
        <w:tc>
          <w:tcPr>
            <w:tcW w:w="3913" w:type="dxa"/>
            <w:vAlign w:val="center"/>
          </w:tcPr>
          <w:p w14:paraId="53CF5DA1">
            <w:pPr>
              <w:pStyle w:val="70"/>
              <w:rPr>
                <w:color w:val="000000" w:themeColor="text1"/>
                <w14:textFill>
                  <w14:solidFill>
                    <w14:schemeClr w14:val="tx1"/>
                  </w14:solidFill>
                </w14:textFill>
              </w:rPr>
            </w:pPr>
            <w:r>
              <w:rPr>
                <w:color w:val="000000" w:themeColor="text1"/>
                <w14:textFill>
                  <w14:solidFill>
                    <w14:schemeClr w14:val="tx1"/>
                  </w14:solidFill>
                </w14:textFill>
              </w:rPr>
              <w:t>装卸臂全管径泄漏</w:t>
            </w:r>
          </w:p>
        </w:tc>
        <w:tc>
          <w:tcPr>
            <w:tcW w:w="2127" w:type="dxa"/>
            <w:vAlign w:val="center"/>
          </w:tcPr>
          <w:p w14:paraId="7869BC81">
            <w:pPr>
              <w:pStyle w:val="70"/>
              <w:rPr>
                <w:color w:val="000000" w:themeColor="text1"/>
                <w14:textFill>
                  <w14:solidFill>
                    <w14:schemeClr w14:val="tx1"/>
                  </w14:solidFill>
                </w14:textFill>
              </w:rPr>
            </w:pPr>
            <w:r>
              <w:rPr>
                <w:color w:val="000000" w:themeColor="text1"/>
                <w14:textFill>
                  <w14:solidFill>
                    <w14:schemeClr w14:val="tx1"/>
                  </w14:solidFill>
                </w14:textFill>
              </w:rPr>
              <w:t>3.00×10</w:t>
            </w:r>
            <w:r>
              <w:rPr>
                <w:color w:val="000000" w:themeColor="text1"/>
                <w:vertAlign w:val="superscript"/>
                <w14:textFill>
                  <w14:solidFill>
                    <w14:schemeClr w14:val="tx1"/>
                  </w14:solidFill>
                </w14:textFill>
              </w:rPr>
              <w:t>-8</w:t>
            </w:r>
            <w:r>
              <w:rPr>
                <w:color w:val="000000" w:themeColor="text1"/>
                <w14:textFill>
                  <w14:solidFill>
                    <w14:schemeClr w14:val="tx1"/>
                  </w14:solidFill>
                </w14:textFill>
              </w:rPr>
              <w:t>/h</w:t>
            </w:r>
          </w:p>
        </w:tc>
      </w:tr>
      <w:tr w14:paraId="7F3093A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236" w:type="dxa"/>
            <w:vMerge w:val="continue"/>
            <w:vAlign w:val="center"/>
          </w:tcPr>
          <w:p w14:paraId="297CC4EE">
            <w:pPr>
              <w:pStyle w:val="70"/>
              <w:rPr>
                <w:color w:val="000000" w:themeColor="text1"/>
                <w14:textFill>
                  <w14:solidFill>
                    <w14:schemeClr w14:val="tx1"/>
                  </w14:solidFill>
                </w14:textFill>
              </w:rPr>
            </w:pPr>
          </w:p>
        </w:tc>
        <w:tc>
          <w:tcPr>
            <w:tcW w:w="3913" w:type="dxa"/>
            <w:vAlign w:val="center"/>
          </w:tcPr>
          <w:p w14:paraId="17BDF550">
            <w:pPr>
              <w:pStyle w:val="70"/>
              <w:rPr>
                <w:color w:val="000000" w:themeColor="text1"/>
                <w14:textFill>
                  <w14:solidFill>
                    <w14:schemeClr w14:val="tx1"/>
                  </w14:solidFill>
                </w14:textFill>
              </w:rPr>
            </w:pPr>
            <w:r>
              <w:rPr>
                <w:color w:val="000000" w:themeColor="text1"/>
                <w14:textFill>
                  <w14:solidFill>
                    <w14:schemeClr w14:val="tx1"/>
                  </w14:solidFill>
                </w14:textFill>
              </w:rPr>
              <w:t>装卸臂连接管泄漏孔径为10%孔径</w:t>
            </w:r>
          </w:p>
          <w:p w14:paraId="5EB0BEB7">
            <w:pPr>
              <w:pStyle w:val="70"/>
              <w:rPr>
                <w:color w:val="000000" w:themeColor="text1"/>
                <w14:textFill>
                  <w14:solidFill>
                    <w14:schemeClr w14:val="tx1"/>
                  </w14:solidFill>
                </w14:textFill>
              </w:rPr>
            </w:pPr>
            <w:r>
              <w:rPr>
                <w:color w:val="000000" w:themeColor="text1"/>
                <w14:textFill>
                  <w14:solidFill>
                    <w14:schemeClr w14:val="tx1"/>
                  </w14:solidFill>
                </w14:textFill>
              </w:rPr>
              <w:t>（最大50mm）</w:t>
            </w:r>
          </w:p>
        </w:tc>
        <w:tc>
          <w:tcPr>
            <w:tcW w:w="2127" w:type="dxa"/>
            <w:vAlign w:val="center"/>
          </w:tcPr>
          <w:p w14:paraId="12098EBF">
            <w:pPr>
              <w:pStyle w:val="70"/>
              <w:rPr>
                <w:color w:val="000000" w:themeColor="text1"/>
                <w14:textFill>
                  <w14:solidFill>
                    <w14:schemeClr w14:val="tx1"/>
                  </w14:solidFill>
                </w14:textFill>
              </w:rPr>
            </w:pPr>
            <w:r>
              <w:rPr>
                <w:color w:val="000000" w:themeColor="text1"/>
                <w14:textFill>
                  <w14:solidFill>
                    <w14:schemeClr w14:val="tx1"/>
                  </w14:solidFill>
                </w14:textFill>
              </w:rPr>
              <w:t>3.00×10</w:t>
            </w:r>
            <w:r>
              <w:rPr>
                <w:color w:val="000000" w:themeColor="text1"/>
                <w:vertAlign w:val="superscript"/>
                <w14:textFill>
                  <w14:solidFill>
                    <w14:schemeClr w14:val="tx1"/>
                  </w14:solidFill>
                </w14:textFill>
              </w:rPr>
              <w:t>-7</w:t>
            </w:r>
            <w:r>
              <w:rPr>
                <w:color w:val="000000" w:themeColor="text1"/>
                <w14:textFill>
                  <w14:solidFill>
                    <w14:schemeClr w14:val="tx1"/>
                  </w14:solidFill>
                </w14:textFill>
              </w:rPr>
              <w:t>/h</w:t>
            </w:r>
          </w:p>
        </w:tc>
      </w:tr>
    </w:tbl>
    <w:p w14:paraId="3AC55B76">
      <w:pPr>
        <w:pStyle w:val="4"/>
        <w:rPr>
          <w:color w:val="000000" w:themeColor="text1"/>
          <w14:textFill>
            <w14:solidFill>
              <w14:schemeClr w14:val="tx1"/>
            </w14:solidFill>
          </w14:textFill>
        </w:rPr>
      </w:pPr>
      <w:r>
        <w:rPr>
          <w:color w:val="000000" w:themeColor="text1"/>
          <w14:textFill>
            <w14:solidFill>
              <w14:schemeClr w14:val="tx1"/>
            </w14:solidFill>
          </w14:textFill>
        </w:rPr>
        <w:t>物质危险性识别</w:t>
      </w:r>
    </w:p>
    <w:p w14:paraId="72FD8F63">
      <w:pPr>
        <w:pStyle w:val="74"/>
        <w:rPr>
          <w:color w:val="000000" w:themeColor="text1"/>
          <w:u w:val="single"/>
          <w14:textFill>
            <w14:solidFill>
              <w14:schemeClr w14:val="tx1"/>
            </w14:solidFill>
          </w14:textFill>
        </w:rPr>
      </w:pPr>
      <w:r>
        <w:rPr>
          <w:color w:val="000000" w:themeColor="text1"/>
          <w:u w:val="single"/>
          <w14:textFill>
            <w14:solidFill>
              <w14:schemeClr w14:val="tx1"/>
            </w14:solidFill>
          </w14:textFill>
        </w:rPr>
        <w:t>本项目船舶污染事故是指船舶在航行过程、码头靠泊和装卸过程，以及其他作业过程</w:t>
      </w:r>
      <w:r>
        <w:rPr>
          <w:rFonts w:eastAsia="Times New Roman"/>
          <w:color w:val="000000" w:themeColor="text1"/>
          <w:u w:val="single"/>
          <w14:textFill>
            <w14:solidFill>
              <w14:schemeClr w14:val="tx1"/>
            </w14:solidFill>
          </w14:textFill>
        </w:rPr>
        <w:t>(</w:t>
      </w:r>
      <w:r>
        <w:rPr>
          <w:color w:val="000000" w:themeColor="text1"/>
          <w:u w:val="single"/>
          <w14:textFill>
            <w14:solidFill>
              <w14:schemeClr w14:val="tx1"/>
            </w14:solidFill>
          </w14:textFill>
        </w:rPr>
        <w:t>如油料供受、污染清除等</w:t>
      </w:r>
      <w:r>
        <w:rPr>
          <w:rFonts w:eastAsia="Times New Roman"/>
          <w:color w:val="000000" w:themeColor="text1"/>
          <w:u w:val="single"/>
          <w14:textFill>
            <w14:solidFill>
              <w14:schemeClr w14:val="tx1"/>
            </w14:solidFill>
          </w14:textFill>
        </w:rPr>
        <w:t>)</w:t>
      </w:r>
      <w:r>
        <w:rPr>
          <w:color w:val="000000" w:themeColor="text1"/>
          <w:u w:val="single"/>
          <w14:textFill>
            <w14:solidFill>
              <w14:schemeClr w14:val="tx1"/>
            </w14:solidFill>
          </w14:textFill>
        </w:rPr>
        <w:t>中发生燃料油泄漏造成的环境污染事故，可分为操作性污染事故和海难性污染事故。操作性船舶污染事故多发生于港口船舶装卸货物及加装船舶燃油环节，发生的原因多为人为因素、机械和设备故障等，尽管每次产生的泄漏量不大，但事故频率较高， 污染物总量也较大。海难性船舶污染事故主要是海上交通事故导致，事故发生率较低，但一旦发生污染损害很大。</w:t>
      </w:r>
    </w:p>
    <w:p w14:paraId="298628CB">
      <w:pPr>
        <w:pStyle w:val="74"/>
        <w:rPr>
          <w:color w:val="000000" w:themeColor="text1"/>
          <w:u w:val="single"/>
          <w14:textFill>
            <w14:solidFill>
              <w14:schemeClr w14:val="tx1"/>
            </w14:solidFill>
          </w14:textFill>
        </w:rPr>
      </w:pPr>
      <w:r>
        <w:rPr>
          <w:color w:val="000000" w:themeColor="text1"/>
          <w:u w:val="single"/>
          <w14:textFill>
            <w14:solidFill>
              <w14:schemeClr w14:val="tx1"/>
            </w14:solidFill>
          </w14:textFill>
        </w:rPr>
        <w:t>当码头装卸作业过程中发生泄漏污染事故和发生泄漏导致火灾爆炸事故时，化工品会挥发出大量有毒有害气体，同时由于码头或管线发生火灾后，油品的急剧燃烧所需的供氧量不足，属于典型的不完全燃烧，因此燃烧过程中还将产生大量 CO。此外，由于泄漏事故还将伴生大量事故和消防等废水，这些泄漏油品、化工品、液化烃、燃料油以及伴生污染物均会对周围环境产生影响。</w:t>
      </w:r>
    </w:p>
    <w:p w14:paraId="609272BA">
      <w:pPr>
        <w:pStyle w:val="74"/>
        <w:rPr>
          <w:color w:val="000000" w:themeColor="text1"/>
          <w:u w:val="single"/>
          <w14:textFill>
            <w14:solidFill>
              <w14:schemeClr w14:val="tx1"/>
            </w14:solidFill>
          </w14:textFill>
        </w:rPr>
      </w:pPr>
      <w:r>
        <w:rPr>
          <w:color w:val="000000" w:themeColor="text1"/>
          <w:u w:val="single"/>
          <w14:textFill>
            <w14:solidFill>
              <w14:schemeClr w14:val="tx1"/>
            </w14:solidFill>
          </w14:textFill>
        </w:rPr>
        <w:t>本项目码头施工期涉及风险因子主要为施工船舶燃料油，营运期涉及风险因子为大型船舶燃料油以及运输的油品、化工品、液化烃，以上均属于易燃易爆品，在贮存和输送过程中具有发生火灾和爆炸的危险性，同时油品和化工品还具有一定的毒性。</w:t>
      </w:r>
    </w:p>
    <w:p w14:paraId="0619865A">
      <w:pPr>
        <w:pStyle w:val="74"/>
        <w:rPr>
          <w:color w:val="000000" w:themeColor="text1"/>
          <w:u w:val="single"/>
          <w14:textFill>
            <w14:solidFill>
              <w14:schemeClr w14:val="tx1"/>
            </w14:solidFill>
          </w14:textFill>
        </w:rPr>
      </w:pPr>
      <w:r>
        <w:rPr>
          <w:color w:val="000000" w:themeColor="text1"/>
          <w:u w:val="single"/>
          <w14:textFill>
            <w14:solidFill>
              <w14:schemeClr w14:val="tx1"/>
            </w14:solidFill>
          </w14:textFill>
        </w:rPr>
        <w:t>根据《建设项目环境风险评价技术导则</w:t>
      </w:r>
      <w:r>
        <w:rPr>
          <w:color w:val="000000" w:themeColor="text1"/>
          <w:spacing w:val="9"/>
          <w:u w:val="single"/>
          <w14:textFill>
            <w14:solidFill>
              <w14:schemeClr w14:val="tx1"/>
            </w14:solidFill>
          </w14:textFill>
        </w:rPr>
        <w:t>（</w:t>
      </w:r>
      <w:r>
        <w:rPr>
          <w:rFonts w:eastAsia="Times New Roman"/>
          <w:color w:val="000000" w:themeColor="text1"/>
          <w:spacing w:val="-1"/>
          <w:u w:val="single"/>
          <w14:textFill>
            <w14:solidFill>
              <w14:schemeClr w14:val="tx1"/>
            </w14:solidFill>
          </w14:textFill>
        </w:rPr>
        <w:t>H</w:t>
      </w:r>
      <w:r>
        <w:rPr>
          <w:rFonts w:eastAsia="Times New Roman"/>
          <w:color w:val="000000" w:themeColor="text1"/>
          <w:u w:val="single"/>
          <w14:textFill>
            <w14:solidFill>
              <w14:schemeClr w14:val="tx1"/>
            </w14:solidFill>
          </w14:textFill>
        </w:rPr>
        <w:t>J169</w:t>
      </w:r>
      <w:r>
        <w:rPr>
          <w:rFonts w:eastAsia="Times New Roman"/>
          <w:color w:val="000000" w:themeColor="text1"/>
          <w:spacing w:val="-1"/>
          <w:u w:val="single"/>
          <w14:textFill>
            <w14:solidFill>
              <w14:schemeClr w14:val="tx1"/>
            </w14:solidFill>
          </w14:textFill>
        </w:rPr>
        <w:t>-</w:t>
      </w:r>
      <w:r>
        <w:rPr>
          <w:rFonts w:eastAsia="Times New Roman"/>
          <w:color w:val="000000" w:themeColor="text1"/>
          <w:u w:val="single"/>
          <w14:textFill>
            <w14:solidFill>
              <w14:schemeClr w14:val="tx1"/>
            </w14:solidFill>
          </w14:textFill>
        </w:rPr>
        <w:t>201</w:t>
      </w:r>
      <w:r>
        <w:rPr>
          <w:rFonts w:eastAsia="Times New Roman"/>
          <w:color w:val="000000" w:themeColor="text1"/>
          <w:spacing w:val="9"/>
          <w:u w:val="single"/>
          <w14:textFill>
            <w14:solidFill>
              <w14:schemeClr w14:val="tx1"/>
            </w14:solidFill>
          </w14:textFill>
        </w:rPr>
        <w:t>8</w:t>
      </w:r>
      <w:r>
        <w:rPr>
          <w:color w:val="000000" w:themeColor="text1"/>
          <w:spacing w:val="-113"/>
          <w:u w:val="single"/>
          <w14:textFill>
            <w14:solidFill>
              <w14:schemeClr w14:val="tx1"/>
            </w14:solidFill>
          </w14:textFill>
        </w:rPr>
        <w:t>）</w:t>
      </w:r>
      <w:r>
        <w:rPr>
          <w:color w:val="000000" w:themeColor="text1"/>
          <w:spacing w:val="6"/>
          <w:u w:val="single"/>
          <w14:textFill>
            <w14:solidFill>
              <w14:schemeClr w14:val="tx1"/>
            </w14:solidFill>
          </w14:textFill>
        </w:rPr>
        <w:t>》中给出的“危险物质标准”和</w:t>
      </w:r>
      <w:r>
        <w:rPr>
          <w:color w:val="000000" w:themeColor="text1"/>
          <w:u w:val="single"/>
          <w14:textFill>
            <w14:solidFill>
              <w14:schemeClr w14:val="tx1"/>
            </w14:solidFill>
          </w14:textFill>
        </w:rPr>
        <w:t>《危险化学品重大危险源辨识》（</w:t>
      </w:r>
      <w:r>
        <w:rPr>
          <w:rFonts w:eastAsia="Times New Roman"/>
          <w:color w:val="000000" w:themeColor="text1"/>
          <w:u w:val="single"/>
          <w14:textFill>
            <w14:solidFill>
              <w14:schemeClr w14:val="tx1"/>
            </w14:solidFill>
          </w14:textFill>
        </w:rPr>
        <w:t>GB18218-2018</w:t>
      </w:r>
      <w:r>
        <w:rPr>
          <w:color w:val="000000" w:themeColor="text1"/>
          <w:u w:val="single"/>
          <w14:textFill>
            <w14:solidFill>
              <w14:schemeClr w14:val="tx1"/>
            </w14:solidFill>
          </w14:textFill>
        </w:rPr>
        <w:t>）中各种危险品的最低临界量，确定本项目储运化工品以及船舶燃料油作为本项目风险评价的风险因子。本工程储运货类理化性质及毒性见表2.3-7。</w:t>
      </w:r>
    </w:p>
    <w:p w14:paraId="6F9DABB9">
      <w:pPr>
        <w:pStyle w:val="74"/>
        <w:rPr>
          <w:color w:val="000000" w:themeColor="text1"/>
          <w14:textFill>
            <w14:solidFill>
              <w14:schemeClr w14:val="tx1"/>
            </w14:solidFill>
          </w14:textFill>
        </w:rPr>
      </w:pPr>
      <w:r>
        <w:rPr>
          <w:color w:val="000000" w:themeColor="text1"/>
          <w14:textFill>
            <w14:solidFill>
              <w14:schemeClr w14:val="tx1"/>
            </w14:solidFill>
          </w14:textFill>
        </w:rPr>
        <w:t>船舶燃料油可分为重柴油、轻质油、中质油和重质油，其中施工船舶燃料油主要以前两者为主，国际航线大型船舶所携带的燃料油以后两者为主。其理化性质见表5.3-6。</w:t>
      </w:r>
    </w:p>
    <w:p w14:paraId="424860F7">
      <w:pPr>
        <w:pStyle w:val="7"/>
        <w:rPr>
          <w:color w:val="000000" w:themeColor="text1"/>
          <w:u w:val="single"/>
          <w14:textFill>
            <w14:solidFill>
              <w14:schemeClr w14:val="tx1"/>
            </w14:solidFill>
          </w14:textFill>
        </w:rPr>
      </w:pPr>
      <w:r>
        <w:rPr>
          <w:color w:val="000000" w:themeColor="text1"/>
          <w:u w:val="single"/>
          <w14:textFill>
            <w14:solidFill>
              <w14:schemeClr w14:val="tx1"/>
            </w14:solidFill>
          </w14:textFill>
        </w:rPr>
        <w:t>本项目涉及船舶燃油理化性质表</w:t>
      </w:r>
    </w:p>
    <w:tbl>
      <w:tblPr>
        <w:tblStyle w:val="43"/>
        <w:tblW w:w="8276"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994"/>
        <w:gridCol w:w="6282"/>
      </w:tblGrid>
      <w:tr w14:paraId="613F2E2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7" w:hRule="atLeast"/>
          <w:jc w:val="center"/>
        </w:trPr>
        <w:tc>
          <w:tcPr>
            <w:tcW w:w="1994" w:type="dxa"/>
            <w:vMerge w:val="restart"/>
            <w:vAlign w:val="center"/>
          </w:tcPr>
          <w:p w14:paraId="6F127438">
            <w:pPr>
              <w:pStyle w:val="70"/>
              <w:rPr>
                <w:rFonts w:eastAsiaTheme="minorEastAsia"/>
                <w:b/>
                <w:bCs/>
                <w:color w:val="000000" w:themeColor="text1"/>
                <w:lang w:eastAsia="en-US"/>
                <w14:textFill>
                  <w14:solidFill>
                    <w14:schemeClr w14:val="tx1"/>
                  </w14:solidFill>
                </w14:textFill>
              </w:rPr>
            </w:pPr>
            <w:r>
              <w:rPr>
                <w:rFonts w:eastAsiaTheme="minorEastAsia"/>
                <w:b/>
                <w:bCs/>
                <w:color w:val="000000" w:themeColor="text1"/>
                <w:lang w:eastAsia="en-US"/>
                <w14:textFill>
                  <w14:solidFill>
                    <w14:schemeClr w14:val="tx1"/>
                  </w14:solidFill>
                </w14:textFill>
              </w:rPr>
              <w:t>油品</w:t>
            </w:r>
          </w:p>
        </w:tc>
        <w:tc>
          <w:tcPr>
            <w:tcW w:w="6282" w:type="dxa"/>
            <w:vAlign w:val="center"/>
          </w:tcPr>
          <w:p w14:paraId="16CA6CAC">
            <w:pPr>
              <w:pStyle w:val="70"/>
              <w:rPr>
                <w:rFonts w:eastAsiaTheme="minorEastAsia"/>
                <w:b/>
                <w:bCs/>
                <w:color w:val="000000" w:themeColor="text1"/>
                <w:lang w:eastAsia="en-US"/>
                <w14:textFill>
                  <w14:solidFill>
                    <w14:schemeClr w14:val="tx1"/>
                  </w14:solidFill>
                </w14:textFill>
              </w:rPr>
            </w:pPr>
            <w:r>
              <w:rPr>
                <w:rFonts w:eastAsiaTheme="minorEastAsia"/>
                <w:b/>
                <w:bCs/>
                <w:color w:val="000000" w:themeColor="text1"/>
                <w:lang w:eastAsia="en-US"/>
                <w14:textFill>
                  <w14:solidFill>
                    <w14:schemeClr w14:val="tx1"/>
                  </w14:solidFill>
                </w14:textFill>
              </w:rPr>
              <w:t>燃料油</w:t>
            </w:r>
          </w:p>
        </w:tc>
      </w:tr>
      <w:tr w14:paraId="096ACF0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27" w:hRule="atLeast"/>
          <w:jc w:val="center"/>
        </w:trPr>
        <w:tc>
          <w:tcPr>
            <w:tcW w:w="1994" w:type="dxa"/>
            <w:vMerge w:val="continue"/>
            <w:vAlign w:val="center"/>
          </w:tcPr>
          <w:p w14:paraId="73F5E25E">
            <w:pPr>
              <w:pStyle w:val="70"/>
              <w:rPr>
                <w:rFonts w:eastAsiaTheme="minorEastAsia"/>
                <w:b/>
                <w:bCs/>
                <w:color w:val="000000" w:themeColor="text1"/>
                <w:lang w:eastAsia="en-US"/>
                <w14:textFill>
                  <w14:solidFill>
                    <w14:schemeClr w14:val="tx1"/>
                  </w14:solidFill>
                </w14:textFill>
              </w:rPr>
            </w:pPr>
          </w:p>
        </w:tc>
        <w:tc>
          <w:tcPr>
            <w:tcW w:w="6282" w:type="dxa"/>
            <w:vAlign w:val="center"/>
          </w:tcPr>
          <w:p w14:paraId="1C340C17">
            <w:pPr>
              <w:pStyle w:val="70"/>
              <w:rPr>
                <w:rFonts w:eastAsiaTheme="minorEastAsia"/>
                <w:b/>
                <w:bCs/>
                <w:color w:val="000000" w:themeColor="text1"/>
                <w:lang w:eastAsia="en-US"/>
                <w14:textFill>
                  <w14:solidFill>
                    <w14:schemeClr w14:val="tx1"/>
                  </w14:solidFill>
                </w14:textFill>
              </w:rPr>
            </w:pPr>
            <w:r>
              <w:rPr>
                <w:rFonts w:eastAsiaTheme="minorEastAsia"/>
                <w:b/>
                <w:bCs/>
                <w:color w:val="000000" w:themeColor="text1"/>
                <w:lang w:eastAsia="en-US"/>
                <w14:textFill>
                  <w14:solidFill>
                    <w14:schemeClr w14:val="tx1"/>
                  </w14:solidFill>
                </w14:textFill>
              </w:rPr>
              <w:t>中质油 IFO180</w:t>
            </w:r>
          </w:p>
        </w:tc>
      </w:tr>
      <w:tr w14:paraId="43474F1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27" w:hRule="atLeast"/>
          <w:jc w:val="center"/>
        </w:trPr>
        <w:tc>
          <w:tcPr>
            <w:tcW w:w="1994" w:type="dxa"/>
            <w:vAlign w:val="center"/>
          </w:tcPr>
          <w:p w14:paraId="197AFDC1">
            <w:pPr>
              <w:pStyle w:val="70"/>
              <w:rPr>
                <w:rFonts w:eastAsiaTheme="minorEastAsia"/>
                <w:color w:val="000000" w:themeColor="text1"/>
                <w:lang w:eastAsia="en-US"/>
                <w14:textFill>
                  <w14:solidFill>
                    <w14:schemeClr w14:val="tx1"/>
                  </w14:solidFill>
                </w14:textFill>
              </w:rPr>
            </w:pPr>
            <w:r>
              <w:rPr>
                <w:rFonts w:eastAsiaTheme="minorEastAsia"/>
                <w:color w:val="000000" w:themeColor="text1"/>
                <w:lang w:eastAsia="en-US"/>
                <w14:textFill>
                  <w14:solidFill>
                    <w14:schemeClr w14:val="tx1"/>
                  </w14:solidFill>
                </w14:textFill>
              </w:rPr>
              <w:t>比重(g/cm³ ，10ºC)</w:t>
            </w:r>
          </w:p>
        </w:tc>
        <w:tc>
          <w:tcPr>
            <w:tcW w:w="6282" w:type="dxa"/>
            <w:vAlign w:val="center"/>
          </w:tcPr>
          <w:p w14:paraId="1A33C980">
            <w:pPr>
              <w:pStyle w:val="70"/>
              <w:rPr>
                <w:rFonts w:eastAsiaTheme="minorEastAsia"/>
                <w:color w:val="000000" w:themeColor="text1"/>
                <w:lang w:eastAsia="en-US"/>
                <w14:textFill>
                  <w14:solidFill>
                    <w14:schemeClr w14:val="tx1"/>
                  </w14:solidFill>
                </w14:textFill>
              </w:rPr>
            </w:pPr>
            <w:r>
              <w:rPr>
                <w:rFonts w:eastAsiaTheme="minorEastAsia"/>
                <w:color w:val="000000" w:themeColor="text1"/>
                <w:lang w:eastAsia="en-US"/>
                <w14:textFill>
                  <w14:solidFill>
                    <w14:schemeClr w14:val="tx1"/>
                  </w14:solidFill>
                </w14:textFill>
              </w:rPr>
              <w:t>0.96</w:t>
            </w:r>
          </w:p>
        </w:tc>
      </w:tr>
      <w:tr w14:paraId="1176FA6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02" w:hRule="atLeast"/>
          <w:jc w:val="center"/>
        </w:trPr>
        <w:tc>
          <w:tcPr>
            <w:tcW w:w="1994" w:type="dxa"/>
            <w:vAlign w:val="center"/>
          </w:tcPr>
          <w:p w14:paraId="631290E0">
            <w:pPr>
              <w:pStyle w:val="70"/>
              <w:rPr>
                <w:rFonts w:eastAsiaTheme="minorEastAsia"/>
                <w:color w:val="000000" w:themeColor="text1"/>
                <w:lang w:eastAsia="en-US"/>
                <w14:textFill>
                  <w14:solidFill>
                    <w14:schemeClr w14:val="tx1"/>
                  </w14:solidFill>
                </w14:textFill>
              </w:rPr>
            </w:pPr>
            <w:r>
              <w:rPr>
                <w:rFonts w:eastAsiaTheme="minorEastAsia"/>
                <w:color w:val="000000" w:themeColor="text1"/>
                <w:lang w:eastAsia="en-US"/>
                <w14:textFill>
                  <w14:solidFill>
                    <w14:schemeClr w14:val="tx1"/>
                  </w14:solidFill>
                </w14:textFill>
              </w:rPr>
              <w:t>运动粘度</w:t>
            </w:r>
          </w:p>
        </w:tc>
        <w:tc>
          <w:tcPr>
            <w:tcW w:w="6282" w:type="dxa"/>
            <w:vAlign w:val="center"/>
          </w:tcPr>
          <w:p w14:paraId="156F32C1">
            <w:pPr>
              <w:pStyle w:val="70"/>
              <w:rPr>
                <w:rFonts w:eastAsiaTheme="minorEastAsia"/>
                <w:color w:val="000000" w:themeColor="text1"/>
                <w:lang w:eastAsia="en-US"/>
                <w14:textFill>
                  <w14:solidFill>
                    <w14:schemeClr w14:val="tx1"/>
                  </w14:solidFill>
                </w14:textFill>
              </w:rPr>
            </w:pPr>
            <w:r>
              <w:rPr>
                <w:rFonts w:eastAsiaTheme="minorEastAsia"/>
                <w:color w:val="000000" w:themeColor="text1"/>
                <w:lang w:eastAsia="en-US"/>
                <w14:textFill>
                  <w14:solidFill>
                    <w14:schemeClr w14:val="tx1"/>
                  </w14:solidFill>
                </w14:textFill>
              </w:rPr>
              <w:t>180.0</w:t>
            </w:r>
          </w:p>
        </w:tc>
      </w:tr>
      <w:tr w14:paraId="48554F8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35" w:hRule="atLeast"/>
          <w:jc w:val="center"/>
        </w:trPr>
        <w:tc>
          <w:tcPr>
            <w:tcW w:w="1994" w:type="dxa"/>
            <w:vAlign w:val="center"/>
          </w:tcPr>
          <w:p w14:paraId="06E30E0B">
            <w:pPr>
              <w:pStyle w:val="70"/>
              <w:rPr>
                <w:rFonts w:eastAsiaTheme="minorEastAsia"/>
                <w:color w:val="000000" w:themeColor="text1"/>
                <w:lang w:eastAsia="en-US"/>
                <w14:textFill>
                  <w14:solidFill>
                    <w14:schemeClr w14:val="tx1"/>
                  </w14:solidFill>
                </w14:textFill>
              </w:rPr>
            </w:pPr>
            <w:r>
              <w:rPr>
                <w:rFonts w:eastAsiaTheme="minorEastAsia"/>
                <w:color w:val="000000" w:themeColor="text1"/>
                <w:lang w:eastAsia="en-US"/>
                <w14:textFill>
                  <w14:solidFill>
                    <w14:schemeClr w14:val="tx1"/>
                  </w14:solidFill>
                </w14:textFill>
              </w:rPr>
              <w:t>(cSt)</w:t>
            </w:r>
          </w:p>
        </w:tc>
        <w:tc>
          <w:tcPr>
            <w:tcW w:w="6282" w:type="dxa"/>
            <w:vAlign w:val="center"/>
          </w:tcPr>
          <w:p w14:paraId="48BAA367">
            <w:pPr>
              <w:pStyle w:val="70"/>
              <w:rPr>
                <w:rFonts w:eastAsiaTheme="minorEastAsia"/>
                <w:color w:val="000000" w:themeColor="text1"/>
                <w:lang w:eastAsia="en-US"/>
                <w14:textFill>
                  <w14:solidFill>
                    <w14:schemeClr w14:val="tx1"/>
                  </w14:solidFill>
                </w14:textFill>
              </w:rPr>
            </w:pPr>
            <w:r>
              <w:rPr>
                <w:rFonts w:eastAsiaTheme="minorEastAsia"/>
                <w:color w:val="000000" w:themeColor="text1"/>
                <w:lang w:eastAsia="en-US"/>
                <w14:textFill>
                  <w14:solidFill>
                    <w14:schemeClr w14:val="tx1"/>
                  </w14:solidFill>
                </w14:textFill>
              </w:rPr>
              <w:t>(50ºC)</w:t>
            </w:r>
          </w:p>
        </w:tc>
      </w:tr>
      <w:tr w14:paraId="7E6310A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27" w:hRule="atLeast"/>
          <w:jc w:val="center"/>
        </w:trPr>
        <w:tc>
          <w:tcPr>
            <w:tcW w:w="1994" w:type="dxa"/>
            <w:vAlign w:val="center"/>
          </w:tcPr>
          <w:p w14:paraId="4FF67C48">
            <w:pPr>
              <w:pStyle w:val="70"/>
              <w:rPr>
                <w:rFonts w:eastAsiaTheme="minorEastAsia"/>
                <w:color w:val="000000" w:themeColor="text1"/>
                <w:lang w:eastAsia="en-US"/>
                <w14:textFill>
                  <w14:solidFill>
                    <w14:schemeClr w14:val="tx1"/>
                  </w14:solidFill>
                </w14:textFill>
              </w:rPr>
            </w:pPr>
            <w:r>
              <w:rPr>
                <w:rFonts w:eastAsiaTheme="minorEastAsia"/>
                <w:color w:val="000000" w:themeColor="text1"/>
                <w:lang w:eastAsia="en-US"/>
                <w14:textFill>
                  <w14:solidFill>
                    <w14:schemeClr w14:val="tx1"/>
                  </w14:solidFill>
                </w14:textFill>
              </w:rPr>
              <w:t>凝点(ºC)</w:t>
            </w:r>
          </w:p>
        </w:tc>
        <w:tc>
          <w:tcPr>
            <w:tcW w:w="6282" w:type="dxa"/>
            <w:vAlign w:val="center"/>
          </w:tcPr>
          <w:p w14:paraId="0465394A">
            <w:pPr>
              <w:pStyle w:val="70"/>
              <w:rPr>
                <w:rFonts w:eastAsiaTheme="minorEastAsia"/>
                <w:color w:val="000000" w:themeColor="text1"/>
                <w:lang w:eastAsia="en-US"/>
                <w14:textFill>
                  <w14:solidFill>
                    <w14:schemeClr w14:val="tx1"/>
                  </w14:solidFill>
                </w14:textFill>
              </w:rPr>
            </w:pPr>
            <w:r>
              <w:rPr>
                <w:rFonts w:eastAsiaTheme="minorEastAsia"/>
                <w:color w:val="000000" w:themeColor="text1"/>
                <w:lang w:eastAsia="en-US"/>
                <w14:textFill>
                  <w14:solidFill>
                    <w14:schemeClr w14:val="tx1"/>
                  </w14:solidFill>
                </w14:textFill>
              </w:rPr>
              <w:t>25</w:t>
            </w:r>
          </w:p>
        </w:tc>
      </w:tr>
      <w:tr w14:paraId="7C8D249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2" w:hRule="atLeast"/>
          <w:jc w:val="center"/>
        </w:trPr>
        <w:tc>
          <w:tcPr>
            <w:tcW w:w="1994" w:type="dxa"/>
            <w:vAlign w:val="center"/>
          </w:tcPr>
          <w:p w14:paraId="2820B57D">
            <w:pPr>
              <w:pStyle w:val="70"/>
              <w:rPr>
                <w:rFonts w:eastAsiaTheme="minorEastAsia"/>
                <w:color w:val="000000" w:themeColor="text1"/>
                <w:lang w:eastAsia="en-US"/>
                <w14:textFill>
                  <w14:solidFill>
                    <w14:schemeClr w14:val="tx1"/>
                  </w14:solidFill>
                </w14:textFill>
              </w:rPr>
            </w:pPr>
            <w:r>
              <w:rPr>
                <w:rFonts w:eastAsiaTheme="minorEastAsia"/>
                <w:color w:val="000000" w:themeColor="text1"/>
                <w:lang w:eastAsia="en-US"/>
                <w14:textFill>
                  <w14:solidFill>
                    <w14:schemeClr w14:val="tx1"/>
                  </w14:solidFill>
                </w14:textFill>
              </w:rPr>
              <w:t>闪点(ºC)</w:t>
            </w:r>
          </w:p>
        </w:tc>
        <w:tc>
          <w:tcPr>
            <w:tcW w:w="6282" w:type="dxa"/>
            <w:vAlign w:val="center"/>
          </w:tcPr>
          <w:p w14:paraId="3A93ADD0">
            <w:pPr>
              <w:pStyle w:val="70"/>
              <w:rPr>
                <w:rFonts w:eastAsiaTheme="minorEastAsia"/>
                <w:color w:val="000000" w:themeColor="text1"/>
                <w:lang w:eastAsia="en-US"/>
                <w14:textFill>
                  <w14:solidFill>
                    <w14:schemeClr w14:val="tx1"/>
                  </w14:solidFill>
                </w14:textFill>
              </w:rPr>
            </w:pPr>
            <w:r>
              <w:rPr>
                <w:rFonts w:eastAsiaTheme="minorEastAsia"/>
                <w:color w:val="000000" w:themeColor="text1"/>
                <w:lang w:eastAsia="en-US"/>
                <w14:textFill>
                  <w14:solidFill>
                    <w14:schemeClr w14:val="tx1"/>
                  </w14:solidFill>
                </w14:textFill>
              </w:rPr>
              <w:t>120</w:t>
            </w:r>
          </w:p>
        </w:tc>
      </w:tr>
    </w:tbl>
    <w:p w14:paraId="32670C5B">
      <w:pPr>
        <w:pStyle w:val="4"/>
        <w:rPr>
          <w:color w:val="000000" w:themeColor="text1"/>
          <w14:textFill>
            <w14:solidFill>
              <w14:schemeClr w14:val="tx1"/>
            </w14:solidFill>
          </w14:textFill>
        </w:rPr>
      </w:pPr>
      <w:r>
        <w:rPr>
          <w:color w:val="000000" w:themeColor="text1"/>
          <w14:textFill>
            <w14:solidFill>
              <w14:schemeClr w14:val="tx1"/>
            </w14:solidFill>
          </w14:textFill>
        </w:rPr>
        <w:t>生产系统危险性识别</w:t>
      </w:r>
    </w:p>
    <w:p w14:paraId="52F32BCD">
      <w:pPr>
        <w:pStyle w:val="6"/>
        <w:rPr>
          <w:color w:val="000000" w:themeColor="text1"/>
          <w14:textFill>
            <w14:solidFill>
              <w14:schemeClr w14:val="tx1"/>
            </w14:solidFill>
          </w14:textFill>
        </w:rPr>
      </w:pPr>
      <w:r>
        <w:rPr>
          <w:color w:val="000000" w:themeColor="text1"/>
          <w14:textFill>
            <w14:solidFill>
              <w14:schemeClr w14:val="tx1"/>
            </w14:solidFill>
          </w14:textFill>
        </w:rPr>
        <w:t>危险单元</w:t>
      </w:r>
    </w:p>
    <w:p w14:paraId="2D2D9309">
      <w:pPr>
        <w:ind w:firstLine="480"/>
        <w:rPr>
          <w:color w:val="000000" w:themeColor="text1"/>
          <w14:textFill>
            <w14:solidFill>
              <w14:schemeClr w14:val="tx1"/>
            </w14:solidFill>
          </w14:textFill>
        </w:rPr>
      </w:pPr>
      <w:r>
        <w:rPr>
          <w:color w:val="000000" w:themeColor="text1"/>
          <w14:textFill>
            <w14:solidFill>
              <w14:schemeClr w14:val="tx1"/>
            </w14:solidFill>
          </w14:textFill>
        </w:rPr>
        <w:t>和平面布置分析，本工程危险单元为码头。</w:t>
      </w:r>
    </w:p>
    <w:p w14:paraId="18703C5B">
      <w:pPr>
        <w:ind w:firstLine="0" w:firstLineChars="0"/>
        <w:rPr>
          <w:color w:val="000000" w:themeColor="text1"/>
          <w14:textFill>
            <w14:solidFill>
              <w14:schemeClr w14:val="tx1"/>
            </w14:solidFill>
          </w14:textFill>
        </w:rPr>
      </w:pPr>
      <w:r>
        <w:rPr>
          <w:color w:val="000000" w:themeColor="text1"/>
          <w14:textFill>
            <w14:solidFill>
              <w14:schemeClr w14:val="tx1"/>
            </w14:solidFill>
          </w14:textFill>
        </w:rPr>
        <mc:AlternateContent>
          <mc:Choice Requires="wps">
            <w:drawing>
              <wp:anchor distT="0" distB="0" distL="114300" distR="114300" simplePos="0" relativeHeight="251710464" behindDoc="0" locked="0" layoutInCell="1" allowOverlap="1">
                <wp:simplePos x="0" y="0"/>
                <wp:positionH relativeFrom="column">
                  <wp:posOffset>2610485</wp:posOffset>
                </wp:positionH>
                <wp:positionV relativeFrom="paragraph">
                  <wp:posOffset>4177030</wp:posOffset>
                </wp:positionV>
                <wp:extent cx="1638300" cy="457835"/>
                <wp:effectExtent l="0" t="0" r="0" b="0"/>
                <wp:wrapNone/>
                <wp:docPr id="3" name="文本框 3"/>
                <wp:cNvGraphicFramePr/>
                <a:graphic xmlns:a="http://schemas.openxmlformats.org/drawingml/2006/main">
                  <a:graphicData uri="http://schemas.microsoft.com/office/word/2010/wordprocessingShape">
                    <wps:wsp>
                      <wps:cNvSpPr txBox="1"/>
                      <wps:spPr>
                        <a:xfrm>
                          <a:off x="0" y="0"/>
                          <a:ext cx="1638300" cy="4578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62EA381">
                            <w:pPr>
                              <w:ind w:firstLine="482"/>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码头装卸区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5.55pt;margin-top:328.9pt;height:36.05pt;width:129pt;z-index:251710464;mso-width-relative:page;mso-height-relative:page;" filled="f" stroked="f" coordsize="21600,21600" o:gfxdata="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GY6cSbcAAAACwEAAA8AAAAAAAAAAQAgAAAAIgAAAGRy&#10;cy9kb3ducmV2LnhtbFBLAQIUABQAAAAIAIdO4kDVV7ggOgIAAGYEAAAOAAAAAAAAAAEAIAAAACsB&#10;AABkcnMvZTJvRG9jLnhtbFBLBQYAAAAABgAGAFkBAADXBQAAAAA=&#10;">
                <v:fill on="f" focussize="0,0"/>
                <v:stroke on="f" weight="0.5pt"/>
                <v:imagedata o:title=""/>
                <o:lock v:ext="edit" aspectratio="f"/>
                <v:textbox>
                  <w:txbxContent>
                    <w:p w14:paraId="062EA381">
                      <w:pPr>
                        <w:ind w:firstLine="482"/>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码头装卸区</w:t>
                      </w:r>
                    </w:p>
                  </w:txbxContent>
                </v:textbox>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09440" behindDoc="0" locked="0" layoutInCell="1" allowOverlap="1">
                <wp:simplePos x="0" y="0"/>
                <wp:positionH relativeFrom="column">
                  <wp:posOffset>2381250</wp:posOffset>
                </wp:positionH>
                <wp:positionV relativeFrom="paragraph">
                  <wp:posOffset>4133850</wp:posOffset>
                </wp:positionV>
                <wp:extent cx="2124075" cy="485775"/>
                <wp:effectExtent l="0" t="0" r="28575" b="28575"/>
                <wp:wrapNone/>
                <wp:docPr id="42" name="矩形 42"/>
                <wp:cNvGraphicFramePr/>
                <a:graphic xmlns:a="http://schemas.openxmlformats.org/drawingml/2006/main">
                  <a:graphicData uri="http://schemas.microsoft.com/office/word/2010/wordprocessingShape">
                    <wps:wsp>
                      <wps:cNvSpPr/>
                      <wps:spPr>
                        <a:xfrm>
                          <a:off x="0" y="0"/>
                          <a:ext cx="2124075" cy="485775"/>
                        </a:xfrm>
                        <a:prstGeom prst="rect">
                          <a:avLst/>
                        </a:prstGeom>
                        <a:solidFill>
                          <a:srgbClr val="FA0000">
                            <a:alpha val="50000"/>
                          </a:srgbClr>
                        </a:solidFill>
                        <a:ln w="12700" cmpd="sng">
                          <a:solidFill>
                            <a:srgbClr val="FA0000"/>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87.5pt;margin-top:325.5pt;height:38.25pt;width:167.25pt;z-index:251709440;v-text-anchor:middle;mso-width-relative:page;mso-height-relative:page;" fillcolor="#FA0000" filled="t" stroked="t" coordsize="21600,21600" o:gfxdata="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H4cky9oAAAALAQAADwAAAAAAAAABACAAAAAiAAAAZHJzL2Rv&#10;d25yZXYueG1sUEsBAhQAFAAAAAgAh07iQHoiss1xAgAAAAUAAA4AAAAAAAAAAQAgAAAAKQEAAGRy&#10;cy9lMm9Eb2MueG1sUEsFBgAAAAAGAAYAWQEAAAwGAAAAAA==&#10;">
                <v:fill on="t" opacity="32768f" focussize="0,0"/>
                <v:stroke weight="1pt" color="#FA0000 [3204]" joinstyle="round"/>
                <v:imagedata o:title=""/>
                <o:lock v:ext="edit" aspectratio="f"/>
              </v:rect>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08416" behindDoc="0" locked="0" layoutInCell="1" allowOverlap="1">
                <wp:simplePos x="0" y="0"/>
                <wp:positionH relativeFrom="column">
                  <wp:posOffset>4507230</wp:posOffset>
                </wp:positionH>
                <wp:positionV relativeFrom="paragraph">
                  <wp:posOffset>3816985</wp:posOffset>
                </wp:positionV>
                <wp:extent cx="753110" cy="325120"/>
                <wp:effectExtent l="0" t="0" r="0" b="0"/>
                <wp:wrapNone/>
                <wp:docPr id="43" name="文本框 43"/>
                <wp:cNvGraphicFramePr/>
                <a:graphic xmlns:a="http://schemas.openxmlformats.org/drawingml/2006/main">
                  <a:graphicData uri="http://schemas.microsoft.com/office/word/2010/wordprocessingShape">
                    <wps:wsp>
                      <wps:cNvSpPr txBox="1"/>
                      <wps:spPr>
                        <a:xfrm>
                          <a:off x="0" y="0"/>
                          <a:ext cx="753110" cy="3251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E24C035">
                            <w:pPr>
                              <w:spacing w:line="240" w:lineRule="exact"/>
                              <w:ind w:firstLine="0" w:firstLineChars="0"/>
                              <w:rPr>
                                <w:rFonts w:ascii="华文行楷" w:hAnsi="华文行楷" w:eastAsia="华文行楷" w:cs="华文行楷"/>
                                <w:color w:val="000000" w:themeColor="text1"/>
                                <w:sz w:val="21"/>
                                <w:szCs w:val="21"/>
                                <w14:textFill>
                                  <w14:solidFill>
                                    <w14:schemeClr w14:val="tx1"/>
                                  </w14:solidFill>
                                </w14:textFill>
                              </w:rPr>
                            </w:pPr>
                            <w:r>
                              <w:rPr>
                                <w:rFonts w:hint="eastAsia" w:ascii="华文行楷" w:hAnsi="华文行楷" w:eastAsia="华文行楷" w:cs="华文行楷"/>
                                <w:color w:val="000000" w:themeColor="text1"/>
                                <w:sz w:val="21"/>
                                <w:szCs w:val="21"/>
                                <w14:textFill>
                                  <w14:solidFill>
                                    <w14:schemeClr w14:val="tx1"/>
                                  </w14:solidFill>
                                </w14:textFill>
                              </w:rPr>
                              <w:t>疏散方向</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54.9pt;margin-top:300.55pt;height:25.6pt;width:59.3pt;z-index:251708416;mso-width-relative:page;mso-height-relative:page;" filled="f" stroked="f" coordsize="21600,21600" o:gfxdata="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JkubwbcAAAACwEAAA8AAAAAAAAAAQAgAAAAIgAA&#10;AGRycy9kb3ducmV2LnhtbFBLAQIUABQAAAAIAIdO4kAd98+EPQIAAGcEAAAOAAAAAAAAAAEAIAAA&#10;ACsBAABkcnMvZTJvRG9jLnhtbFBLBQYAAAAABgAGAFkBAADaBQAAAAA=&#10;">
                <v:fill on="f" focussize="0,0"/>
                <v:stroke on="f" weight="0.5pt"/>
                <v:imagedata o:title=""/>
                <o:lock v:ext="edit" aspectratio="f"/>
                <v:textbox>
                  <w:txbxContent>
                    <w:p w14:paraId="2E24C035">
                      <w:pPr>
                        <w:spacing w:line="240" w:lineRule="exact"/>
                        <w:ind w:firstLine="0" w:firstLineChars="0"/>
                        <w:rPr>
                          <w:rFonts w:ascii="华文行楷" w:hAnsi="华文行楷" w:eastAsia="华文行楷" w:cs="华文行楷"/>
                          <w:color w:val="000000" w:themeColor="text1"/>
                          <w:sz w:val="21"/>
                          <w:szCs w:val="21"/>
                          <w14:textFill>
                            <w14:solidFill>
                              <w14:schemeClr w14:val="tx1"/>
                            </w14:solidFill>
                          </w14:textFill>
                        </w:rPr>
                      </w:pPr>
                      <w:r>
                        <w:rPr>
                          <w:rFonts w:hint="eastAsia" w:ascii="华文行楷" w:hAnsi="华文行楷" w:eastAsia="华文行楷" w:cs="华文行楷"/>
                          <w:color w:val="000000" w:themeColor="text1"/>
                          <w:sz w:val="21"/>
                          <w:szCs w:val="21"/>
                          <w14:textFill>
                            <w14:solidFill>
                              <w14:schemeClr w14:val="tx1"/>
                            </w14:solidFill>
                          </w14:textFill>
                        </w:rPr>
                        <w:t>疏散方向</w:t>
                      </w:r>
                    </w:p>
                  </w:txbxContent>
                </v:textbox>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17632" behindDoc="0" locked="0" layoutInCell="1" allowOverlap="1">
                <wp:simplePos x="0" y="0"/>
                <wp:positionH relativeFrom="column">
                  <wp:posOffset>4248785</wp:posOffset>
                </wp:positionH>
                <wp:positionV relativeFrom="paragraph">
                  <wp:posOffset>3945890</wp:posOffset>
                </wp:positionV>
                <wp:extent cx="289560" cy="2540"/>
                <wp:effectExtent l="0" t="54610" r="15240" b="57150"/>
                <wp:wrapNone/>
                <wp:docPr id="48" name="直接箭头连接符 48"/>
                <wp:cNvGraphicFramePr/>
                <a:graphic xmlns:a="http://schemas.openxmlformats.org/drawingml/2006/main">
                  <a:graphicData uri="http://schemas.microsoft.com/office/word/2010/wordprocessingShape">
                    <wps:wsp>
                      <wps:cNvCnPr/>
                      <wps:spPr>
                        <a:xfrm flipV="1">
                          <a:off x="0" y="0"/>
                          <a:ext cx="289560" cy="2540"/>
                        </a:xfrm>
                        <a:prstGeom prst="straightConnector1">
                          <a:avLst/>
                        </a:prstGeom>
                        <a:ln w="22225">
                          <a:solidFill>
                            <a:srgbClr val="FE06E9"/>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334.55pt;margin-top:310.7pt;height:0.2pt;width:22.8pt;z-index:251717632;mso-width-relative:page;mso-height-relative:page;" filled="f" stroked="t" coordsize="21600,21600" o:gfxdata="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DEUOJU2AAAAAsBAAAPAAAAAAAAAAEAIAAAACIAAABk&#10;cnMvZG93bnJldi54bWxQSwECFAAUAAAACACHTuJA9yiCYgYCAADWAwAADgAAAAAAAAABACAAAAAn&#10;AQAAZHJzL2Uyb0RvYy54bWxQSwUGAAAAAAYABgBZAQAAnwUAAAAA&#10;">
                <v:fill on="f" focussize="0,0"/>
                <v:stroke weight="1.75pt" color="#FE06E9 [3204]" joinstyle="round" endarrow="open"/>
                <v:imagedata o:title=""/>
                <o:lock v:ext="edit" aspectratio="f"/>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16608" behindDoc="0" locked="0" layoutInCell="1" allowOverlap="1">
                <wp:simplePos x="0" y="0"/>
                <wp:positionH relativeFrom="column">
                  <wp:posOffset>4229735</wp:posOffset>
                </wp:positionH>
                <wp:positionV relativeFrom="paragraph">
                  <wp:posOffset>3636010</wp:posOffset>
                </wp:positionV>
                <wp:extent cx="295275" cy="142875"/>
                <wp:effectExtent l="6350" t="6350" r="22225" b="22225"/>
                <wp:wrapNone/>
                <wp:docPr id="50" name="矩形 50"/>
                <wp:cNvGraphicFramePr/>
                <a:graphic xmlns:a="http://schemas.openxmlformats.org/drawingml/2006/main">
                  <a:graphicData uri="http://schemas.microsoft.com/office/word/2010/wordprocessingShape">
                    <wps:wsp>
                      <wps:cNvSpPr/>
                      <wps:spPr>
                        <a:xfrm>
                          <a:off x="5372735" y="4531360"/>
                          <a:ext cx="295275" cy="142875"/>
                        </a:xfrm>
                        <a:prstGeom prst="rect">
                          <a:avLst/>
                        </a:prstGeom>
                        <a:solidFill>
                          <a:srgbClr val="FA0000">
                            <a:alpha val="50000"/>
                          </a:srgbClr>
                        </a:solidFill>
                        <a:ln w="12700" cmpd="sng">
                          <a:solidFill>
                            <a:srgbClr val="FA0000"/>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33.05pt;margin-top:286.3pt;height:11.25pt;width:23.25pt;z-index:251716608;v-text-anchor:middle;mso-width-relative:page;mso-height-relative:page;" fillcolor="#FA0000" filled="t" stroked="t" coordsize="21600,21600" o:gfxdata="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">
                <v:fill on="t" opacity="32768f" focussize="0,0"/>
                <v:stroke weight="1pt" color="#FA0000 [3204]" joinstyle="round"/>
                <v:imagedata o:title=""/>
                <o:lock v:ext="edit" aspectratio="f"/>
              </v:rect>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15584" behindDoc="0" locked="0" layoutInCell="1" allowOverlap="1">
                <wp:simplePos x="0" y="0"/>
                <wp:positionH relativeFrom="column">
                  <wp:posOffset>4505960</wp:posOffset>
                </wp:positionH>
                <wp:positionV relativeFrom="paragraph">
                  <wp:posOffset>3567430</wp:posOffset>
                </wp:positionV>
                <wp:extent cx="753110" cy="325120"/>
                <wp:effectExtent l="0" t="0" r="0" b="0"/>
                <wp:wrapNone/>
                <wp:docPr id="53" name="文本框 53"/>
                <wp:cNvGraphicFramePr/>
                <a:graphic xmlns:a="http://schemas.openxmlformats.org/drawingml/2006/main">
                  <a:graphicData uri="http://schemas.microsoft.com/office/word/2010/wordprocessingShape">
                    <wps:wsp>
                      <wps:cNvSpPr txBox="1"/>
                      <wps:spPr>
                        <a:xfrm>
                          <a:off x="0" y="0"/>
                          <a:ext cx="753110" cy="3251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B1A3D29">
                            <w:pPr>
                              <w:spacing w:line="240" w:lineRule="exact"/>
                              <w:ind w:firstLine="0" w:firstLineChars="0"/>
                              <w:rPr>
                                <w:rFonts w:ascii="华文行楷" w:hAnsi="华文行楷" w:eastAsia="华文行楷" w:cs="华文行楷"/>
                                <w:color w:val="000000" w:themeColor="text1"/>
                                <w:sz w:val="21"/>
                                <w:szCs w:val="21"/>
                                <w14:textFill>
                                  <w14:solidFill>
                                    <w14:schemeClr w14:val="tx1"/>
                                  </w14:solidFill>
                                </w14:textFill>
                              </w:rPr>
                            </w:pPr>
                            <w:r>
                              <w:rPr>
                                <w:rFonts w:hint="eastAsia" w:ascii="华文行楷" w:hAnsi="华文行楷" w:eastAsia="华文行楷" w:cs="华文行楷"/>
                                <w:color w:val="000000" w:themeColor="text1"/>
                                <w:sz w:val="21"/>
                                <w:szCs w:val="21"/>
                                <w14:textFill>
                                  <w14:solidFill>
                                    <w14:schemeClr w14:val="tx1"/>
                                  </w14:solidFill>
                                </w14:textFill>
                              </w:rPr>
                              <w:t>危险单元</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54.8pt;margin-top:280.9pt;height:25.6pt;width:59.3pt;z-index:251715584;mso-width-relative:page;mso-height-relative:page;" filled="f" stroked="f" coordsize="21600,21600" o:gfxdata="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Owj3E7cAAAACwEAAA8AAAAAAAAAAQAgAAAAIgAA&#10;AGRycy9kb3ducmV2LnhtbFBLAQIUABQAAAAIAIdO4kCIjJkPPQIAAGcEAAAOAAAAAAAAAAEAIAAA&#10;ACsBAABkcnMvZTJvRG9jLnhtbFBLBQYAAAAABgAGAFkBAADaBQAAAAA=&#10;">
                <v:fill on="f" focussize="0,0"/>
                <v:stroke on="f" weight="0.5pt"/>
                <v:imagedata o:title=""/>
                <o:lock v:ext="edit" aspectratio="f"/>
                <v:textbox>
                  <w:txbxContent>
                    <w:p w14:paraId="7B1A3D29">
                      <w:pPr>
                        <w:spacing w:line="240" w:lineRule="exact"/>
                        <w:ind w:firstLine="0" w:firstLineChars="0"/>
                        <w:rPr>
                          <w:rFonts w:ascii="华文行楷" w:hAnsi="华文行楷" w:eastAsia="华文行楷" w:cs="华文行楷"/>
                          <w:color w:val="000000" w:themeColor="text1"/>
                          <w:sz w:val="21"/>
                          <w:szCs w:val="21"/>
                          <w14:textFill>
                            <w14:solidFill>
                              <w14:schemeClr w14:val="tx1"/>
                            </w14:solidFill>
                          </w14:textFill>
                        </w:rPr>
                      </w:pPr>
                      <w:r>
                        <w:rPr>
                          <w:rFonts w:hint="eastAsia" w:ascii="华文行楷" w:hAnsi="华文行楷" w:eastAsia="华文行楷" w:cs="华文行楷"/>
                          <w:color w:val="000000" w:themeColor="text1"/>
                          <w:sz w:val="21"/>
                          <w:szCs w:val="21"/>
                          <w14:textFill>
                            <w14:solidFill>
                              <w14:schemeClr w14:val="tx1"/>
                            </w14:solidFill>
                          </w14:textFill>
                        </w:rPr>
                        <w:t>危险单元</w:t>
                      </w:r>
                    </w:p>
                  </w:txbxContent>
                </v:textbox>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14560" behindDoc="0" locked="0" layoutInCell="1" allowOverlap="1">
                <wp:simplePos x="0" y="0"/>
                <wp:positionH relativeFrom="column">
                  <wp:posOffset>4429760</wp:posOffset>
                </wp:positionH>
                <wp:positionV relativeFrom="paragraph">
                  <wp:posOffset>3338830</wp:posOffset>
                </wp:positionV>
                <wp:extent cx="753110" cy="325120"/>
                <wp:effectExtent l="0" t="0" r="0" b="0"/>
                <wp:wrapNone/>
                <wp:docPr id="55" name="文本框 55"/>
                <wp:cNvGraphicFramePr/>
                <a:graphic xmlns:a="http://schemas.openxmlformats.org/drawingml/2006/main">
                  <a:graphicData uri="http://schemas.microsoft.com/office/word/2010/wordprocessingShape">
                    <wps:wsp>
                      <wps:cNvSpPr txBox="1"/>
                      <wps:spPr>
                        <a:xfrm>
                          <a:off x="0" y="0"/>
                          <a:ext cx="753110" cy="3251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FA2B92E">
                            <w:pPr>
                              <w:spacing w:line="240" w:lineRule="exact"/>
                              <w:ind w:firstLine="0" w:firstLineChars="0"/>
                              <w:rPr>
                                <w:rFonts w:ascii="华文行楷" w:hAnsi="华文行楷" w:eastAsia="华文行楷" w:cs="华文行楷"/>
                                <w:color w:val="000000" w:themeColor="text1"/>
                                <w:sz w:val="21"/>
                                <w:szCs w:val="21"/>
                                <w14:textFill>
                                  <w14:solidFill>
                                    <w14:schemeClr w14:val="tx1"/>
                                  </w14:solidFill>
                                </w14:textFill>
                              </w:rPr>
                            </w:pPr>
                            <w:r>
                              <w:rPr>
                                <w:rFonts w:hint="eastAsia" w:ascii="华文行楷" w:hAnsi="华文行楷" w:eastAsia="华文行楷" w:cs="华文行楷"/>
                                <w:color w:val="000000" w:themeColor="text1"/>
                                <w:sz w:val="21"/>
                                <w:szCs w:val="21"/>
                                <w14:textFill>
                                  <w14:solidFill>
                                    <w14:schemeClr w14:val="tx1"/>
                                  </w14:solidFill>
                                </w14:textFill>
                              </w:rPr>
                              <w:t>图例</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48.8pt;margin-top:262.9pt;height:25.6pt;width:59.3pt;z-index:251714560;mso-width-relative:page;mso-height-relative:page;" filled="f" stroked="f" coordsize="21600,21600" o:gfxdata="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ZUzX29sAAAALAQAADwAAAAAAAAABACAAAAAiAAAA&#10;ZHJzL2Rvd25yZXYueG1sUEsBAhQAFAAAAAgAh07iQJeFgRA9AgAAZwQAAA4AAAAAAAAAAQAgAAAA&#10;KgEAAGRycy9lMm9Eb2MueG1sUEsFBgAAAAAGAAYAWQEAANkFAAAAAA==&#10;">
                <v:fill on="f" focussize="0,0"/>
                <v:stroke on="f" weight="0.5pt"/>
                <v:imagedata o:title=""/>
                <o:lock v:ext="edit" aspectratio="f"/>
                <v:textbox>
                  <w:txbxContent>
                    <w:p w14:paraId="1FA2B92E">
                      <w:pPr>
                        <w:spacing w:line="240" w:lineRule="exact"/>
                        <w:ind w:firstLine="0" w:firstLineChars="0"/>
                        <w:rPr>
                          <w:rFonts w:ascii="华文行楷" w:hAnsi="华文行楷" w:eastAsia="华文行楷" w:cs="华文行楷"/>
                          <w:color w:val="000000" w:themeColor="text1"/>
                          <w:sz w:val="21"/>
                          <w:szCs w:val="21"/>
                          <w14:textFill>
                            <w14:solidFill>
                              <w14:schemeClr w14:val="tx1"/>
                            </w14:solidFill>
                          </w14:textFill>
                        </w:rPr>
                      </w:pPr>
                      <w:r>
                        <w:rPr>
                          <w:rFonts w:hint="eastAsia" w:ascii="华文行楷" w:hAnsi="华文行楷" w:eastAsia="华文行楷" w:cs="华文行楷"/>
                          <w:color w:val="000000" w:themeColor="text1"/>
                          <w:sz w:val="21"/>
                          <w:szCs w:val="21"/>
                          <w14:textFill>
                            <w14:solidFill>
                              <w14:schemeClr w14:val="tx1"/>
                            </w14:solidFill>
                          </w14:textFill>
                        </w:rPr>
                        <w:t>图例</w:t>
                      </w:r>
                    </w:p>
                  </w:txbxContent>
                </v:textbox>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13536" behindDoc="0" locked="0" layoutInCell="1" allowOverlap="1">
                <wp:simplePos x="0" y="0"/>
                <wp:positionH relativeFrom="column">
                  <wp:posOffset>4191635</wp:posOffset>
                </wp:positionH>
                <wp:positionV relativeFrom="paragraph">
                  <wp:posOffset>3350260</wp:posOffset>
                </wp:positionV>
                <wp:extent cx="962025" cy="788670"/>
                <wp:effectExtent l="6350" t="6350" r="22225" b="24130"/>
                <wp:wrapNone/>
                <wp:docPr id="58" name="矩形 58"/>
                <wp:cNvGraphicFramePr/>
                <a:graphic xmlns:a="http://schemas.openxmlformats.org/drawingml/2006/main">
                  <a:graphicData uri="http://schemas.microsoft.com/office/word/2010/wordprocessingShape">
                    <wps:wsp>
                      <wps:cNvSpPr/>
                      <wps:spPr>
                        <a:xfrm>
                          <a:off x="5477510" y="4207510"/>
                          <a:ext cx="962025" cy="788670"/>
                        </a:xfrm>
                        <a:prstGeom prst="rect">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30.05pt;margin-top:263.8pt;height:62.1pt;width:75.75pt;z-index:251713536;v-text-anchor:middle;mso-width-relative:page;mso-height-relative:page;" fillcolor="#FFFFFF [3212]" filled="t" stroked="t" coordsize="21600,21600" o:gfxdata="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Dt48k41wAAAAsBAAAPAAAAAAAAAAEAIAAAACIAAABkcnMvZG93bnJl&#10;di54bWxQSwECFAAUAAAACACHTuJAtE+9DnACAADqBAAADgAAAAAAAAABACAAAAAmAQAAZHJzL2Uy&#10;b0RvYy54bWxQSwUGAAAAAAYABgBZAQAACAYAAAAA&#10;">
                <v:fill on="t" focussize="0,0"/>
                <v:stroke weight="1pt" color="#000000 [3213]" joinstyle="round"/>
                <v:imagedata o:title=""/>
                <o:lock v:ext="edit" aspectratio="f"/>
              </v:rect>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12512" behindDoc="0" locked="0" layoutInCell="1" allowOverlap="1">
                <wp:simplePos x="0" y="0"/>
                <wp:positionH relativeFrom="column">
                  <wp:posOffset>3267710</wp:posOffset>
                </wp:positionH>
                <wp:positionV relativeFrom="paragraph">
                  <wp:posOffset>1452880</wp:posOffset>
                </wp:positionV>
                <wp:extent cx="1638300" cy="457835"/>
                <wp:effectExtent l="0" t="0" r="0" b="0"/>
                <wp:wrapNone/>
                <wp:docPr id="59" name="文本框 59"/>
                <wp:cNvGraphicFramePr/>
                <a:graphic xmlns:a="http://schemas.openxmlformats.org/drawingml/2006/main">
                  <a:graphicData uri="http://schemas.microsoft.com/office/word/2010/wordprocessingShape">
                    <wps:wsp>
                      <wps:cNvSpPr txBox="1"/>
                      <wps:spPr>
                        <a:xfrm>
                          <a:off x="0" y="0"/>
                          <a:ext cx="1638300" cy="4578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720ECC2">
                            <w:pPr>
                              <w:ind w:firstLine="482"/>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储罐区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57.3pt;margin-top:114.4pt;height:36.05pt;width:129pt;z-index:251712512;mso-width-relative:page;mso-height-relative:page;" filled="f" stroked="f" coordsize="21600,21600" o:gfxdata="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DLqD0k2wAAAAsBAAAPAAAAAAAAAAEAIAAAACIAAABk&#10;cnMvZG93bnJldi54bWxQSwECFAAUAAAACACHTuJAmueIvTwCAABoBAAADgAAAAAAAAABACAAAAAq&#10;AQAAZHJzL2Uyb0RvYy54bWxQSwUGAAAAAAYABgBZAQAA2AUAAAAA&#10;">
                <v:fill on="f" focussize="0,0"/>
                <v:stroke on="f" weight="0.5pt"/>
                <v:imagedata o:title=""/>
                <o:lock v:ext="edit" aspectratio="f"/>
                <v:textbox>
                  <w:txbxContent>
                    <w:p w14:paraId="7720ECC2">
                      <w:pPr>
                        <w:ind w:firstLine="482"/>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储罐区</w:t>
                      </w:r>
                    </w:p>
                  </w:txbxContent>
                </v:textbox>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11488" behindDoc="0" locked="0" layoutInCell="1" allowOverlap="1">
                <wp:simplePos x="0" y="0"/>
                <wp:positionH relativeFrom="column">
                  <wp:posOffset>867410</wp:posOffset>
                </wp:positionH>
                <wp:positionV relativeFrom="paragraph">
                  <wp:posOffset>1871980</wp:posOffset>
                </wp:positionV>
                <wp:extent cx="1638300" cy="457835"/>
                <wp:effectExtent l="0" t="0" r="0" b="0"/>
                <wp:wrapNone/>
                <wp:docPr id="61" name="文本框 61"/>
                <wp:cNvGraphicFramePr/>
                <a:graphic xmlns:a="http://schemas.openxmlformats.org/drawingml/2006/main">
                  <a:graphicData uri="http://schemas.microsoft.com/office/word/2010/wordprocessingShape">
                    <wps:wsp>
                      <wps:cNvSpPr txBox="1"/>
                      <wps:spPr>
                        <a:xfrm>
                          <a:off x="0" y="0"/>
                          <a:ext cx="1638300" cy="4578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527AE0D">
                            <w:pPr>
                              <w:ind w:firstLine="482"/>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储罐区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8.3pt;margin-top:147.4pt;height:36.05pt;width:129pt;z-index:251711488;mso-width-relative:page;mso-height-relative:page;" filled="f" stroked="f" coordsize="21600,21600" o:gfxdata="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ZCIaktsAAAALAQAADwAAAAAAAAABACAAAAAiAAAAZHJz&#10;L2Rvd25yZXYueG1sUEsBAhQAFAAAAAgAh07iQCV6XmY6AgAAaAQAAA4AAAAAAAAAAQAgAAAAKgEA&#10;AGRycy9lMm9Eb2MueG1sUEsFBgAAAAAGAAYAWQEAANYFAAAAAA==&#10;">
                <v:fill on="f" focussize="0,0"/>
                <v:stroke on="f" weight="0.5pt"/>
                <v:imagedata o:title=""/>
                <o:lock v:ext="edit" aspectratio="f"/>
                <v:textbox>
                  <w:txbxContent>
                    <w:p w14:paraId="6527AE0D">
                      <w:pPr>
                        <w:ind w:firstLine="482"/>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储罐区</w:t>
                      </w:r>
                    </w:p>
                  </w:txbxContent>
                </v:textbox>
              </v:shape>
            </w:pict>
          </mc:Fallback>
        </mc:AlternateContent>
      </w:r>
      <w:r>
        <w:rPr>
          <w:color w:val="000000" w:themeColor="text1"/>
          <w14:textFill>
            <w14:solidFill>
              <w14:schemeClr w14:val="tx1"/>
            </w14:solidFill>
          </w14:textFill>
        </w:rPr>
        <w:drawing>
          <wp:inline distT="0" distB="0" distL="0" distR="0">
            <wp:extent cx="5189855" cy="4695825"/>
            <wp:effectExtent l="9525" t="9525" r="20320" b="1905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pic:cNvPicPr>
                      <a:picLocks noChangeAspect="1" noChangeArrowheads="1"/>
                    </pic:cNvPicPr>
                  </pic:nvPicPr>
                  <pic:blipFill>
                    <a:blip r:embed="rId87" cstate="print">
                      <a:extLst>
                        <a:ext uri="{28A0092B-C50C-407E-A947-70E740481C1C}">
                          <a14:useLocalDpi xmlns:a14="http://schemas.microsoft.com/office/drawing/2010/main" val="0"/>
                        </a:ext>
                      </a:extLst>
                    </a:blip>
                    <a:srcRect l="26980" t="3277" r="27398" b="38330"/>
                    <a:stretch>
                      <a:fillRect/>
                    </a:stretch>
                  </pic:blipFill>
                  <pic:spPr>
                    <a:xfrm>
                      <a:off x="0" y="0"/>
                      <a:ext cx="5189855" cy="4695825"/>
                    </a:xfrm>
                    <a:prstGeom prst="rect">
                      <a:avLst/>
                    </a:prstGeom>
                    <a:noFill/>
                    <a:ln>
                      <a:solidFill>
                        <a:schemeClr val="tx1"/>
                      </a:solidFill>
                    </a:ln>
                  </pic:spPr>
                </pic:pic>
              </a:graphicData>
            </a:graphic>
          </wp:inline>
        </w:drawing>
      </w:r>
    </w:p>
    <w:p w14:paraId="4E49C30D">
      <w:pPr>
        <w:pStyle w:val="8"/>
        <w:keepLines w:val="0"/>
        <w:rPr>
          <w:color w:val="000000" w:themeColor="text1"/>
          <w14:textFill>
            <w14:solidFill>
              <w14:schemeClr w14:val="tx1"/>
            </w14:solidFill>
          </w14:textFill>
        </w:rPr>
      </w:pPr>
      <w:r>
        <w:rPr>
          <w:color w:val="000000" w:themeColor="text1"/>
          <w14:textFill>
            <w14:solidFill>
              <w14:schemeClr w14:val="tx1"/>
            </w14:solidFill>
          </w14:textFill>
        </w:rPr>
        <w:t>危险单元分布图及风险事故疏散图</w:t>
      </w:r>
    </w:p>
    <w:p w14:paraId="73F4CB7B">
      <w:pPr>
        <w:pStyle w:val="6"/>
        <w:rPr>
          <w:color w:val="000000" w:themeColor="text1"/>
          <w14:textFill>
            <w14:solidFill>
              <w14:schemeClr w14:val="tx1"/>
            </w14:solidFill>
          </w14:textFill>
        </w:rPr>
      </w:pPr>
      <w:r>
        <w:rPr>
          <w:color w:val="000000" w:themeColor="text1"/>
          <w14:textFill>
            <w14:solidFill>
              <w14:schemeClr w14:val="tx1"/>
            </w14:solidFill>
          </w14:textFill>
        </w:rPr>
        <w:t>装卸、输送过程危险性识别</w:t>
      </w:r>
    </w:p>
    <w:p w14:paraId="64A26A57">
      <w:pPr>
        <w:ind w:firstLine="480"/>
        <w:rPr>
          <w:color w:val="000000" w:themeColor="text1"/>
          <w:u w:val="single"/>
          <w14:textFill>
            <w14:solidFill>
              <w14:schemeClr w14:val="tx1"/>
            </w14:solidFill>
          </w14:textFill>
        </w:rPr>
      </w:pPr>
      <w:r>
        <w:rPr>
          <w:color w:val="000000" w:themeColor="text1"/>
          <w14:textFill>
            <w14:solidFill>
              <w14:schemeClr w14:val="tx1"/>
            </w14:solidFill>
          </w14:textFill>
        </w:rPr>
        <w:t>根</w:t>
      </w:r>
      <w:r>
        <w:rPr>
          <w:color w:val="000000" w:themeColor="text1"/>
          <w:u w:val="single"/>
          <w14:textFill>
            <w14:solidFill>
              <w14:schemeClr w14:val="tx1"/>
            </w14:solidFill>
          </w14:textFill>
        </w:rPr>
        <w:t>据本项目化工品装卸的特点，该过程可能发生的污染事故及原因见下表。</w:t>
      </w:r>
    </w:p>
    <w:p w14:paraId="741FC974">
      <w:pPr>
        <w:pStyle w:val="7"/>
        <w:rPr>
          <w:color w:val="000000" w:themeColor="text1"/>
          <w:u w:val="single"/>
          <w14:textFill>
            <w14:solidFill>
              <w14:schemeClr w14:val="tx1"/>
            </w14:solidFill>
          </w14:textFill>
        </w:rPr>
      </w:pPr>
      <w:r>
        <w:rPr>
          <w:color w:val="000000" w:themeColor="text1"/>
          <w:u w:val="single"/>
          <w14:textFill>
            <w14:solidFill>
              <w14:schemeClr w14:val="tx1"/>
            </w14:solidFill>
          </w14:textFill>
        </w:rPr>
        <w:t>码头装卸和管线的风险环节分析一览表</w:t>
      </w:r>
    </w:p>
    <w:tbl>
      <w:tblPr>
        <w:tblStyle w:val="43"/>
        <w:tblW w:w="8276"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687"/>
        <w:gridCol w:w="852"/>
        <w:gridCol w:w="5074"/>
        <w:gridCol w:w="1663"/>
      </w:tblGrid>
      <w:tr w14:paraId="3C2C78F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blHeader/>
        </w:trPr>
        <w:tc>
          <w:tcPr>
            <w:tcW w:w="687" w:type="dxa"/>
            <w:vAlign w:val="center"/>
          </w:tcPr>
          <w:p w14:paraId="476205AB">
            <w:pPr>
              <w:pStyle w:val="70"/>
              <w:rPr>
                <w:rFonts w:eastAsiaTheme="minorEastAsia"/>
                <w:b/>
                <w:bCs/>
                <w:color w:val="000000" w:themeColor="text1"/>
                <w:lang w:eastAsia="en-US"/>
                <w14:textFill>
                  <w14:solidFill>
                    <w14:schemeClr w14:val="tx1"/>
                  </w14:solidFill>
                </w14:textFill>
              </w:rPr>
            </w:pPr>
            <w:r>
              <w:rPr>
                <w:rFonts w:eastAsiaTheme="minorEastAsia"/>
                <w:b/>
                <w:bCs/>
                <w:color w:val="000000" w:themeColor="text1"/>
                <w:lang w:eastAsia="en-US"/>
                <w14:textFill>
                  <w14:solidFill>
                    <w14:schemeClr w14:val="tx1"/>
                  </w14:solidFill>
                </w14:textFill>
              </w:rPr>
              <w:t>危险单元</w:t>
            </w:r>
          </w:p>
        </w:tc>
        <w:tc>
          <w:tcPr>
            <w:tcW w:w="852" w:type="dxa"/>
            <w:vAlign w:val="center"/>
          </w:tcPr>
          <w:p w14:paraId="409D09C1">
            <w:pPr>
              <w:pStyle w:val="70"/>
              <w:rPr>
                <w:rFonts w:eastAsiaTheme="minorEastAsia"/>
                <w:b/>
                <w:bCs/>
                <w:color w:val="000000" w:themeColor="text1"/>
                <w:lang w:eastAsia="en-US"/>
                <w14:textFill>
                  <w14:solidFill>
                    <w14:schemeClr w14:val="tx1"/>
                  </w14:solidFill>
                </w14:textFill>
              </w:rPr>
            </w:pPr>
            <w:r>
              <w:rPr>
                <w:rFonts w:eastAsiaTheme="minorEastAsia"/>
                <w:b/>
                <w:bCs/>
                <w:color w:val="000000" w:themeColor="text1"/>
                <w:lang w:eastAsia="en-US"/>
                <w14:textFill>
                  <w14:solidFill>
                    <w14:schemeClr w14:val="tx1"/>
                  </w14:solidFill>
                </w14:textFill>
              </w:rPr>
              <w:t>风险事故类型</w:t>
            </w:r>
          </w:p>
        </w:tc>
        <w:tc>
          <w:tcPr>
            <w:tcW w:w="5074" w:type="dxa"/>
            <w:vAlign w:val="center"/>
          </w:tcPr>
          <w:p w14:paraId="354F8715">
            <w:pPr>
              <w:pStyle w:val="70"/>
              <w:rPr>
                <w:rFonts w:eastAsiaTheme="minorEastAsia"/>
                <w:b/>
                <w:bCs/>
                <w:color w:val="000000" w:themeColor="text1"/>
                <w14:textFill>
                  <w14:solidFill>
                    <w14:schemeClr w14:val="tx1"/>
                  </w14:solidFill>
                </w14:textFill>
              </w:rPr>
            </w:pPr>
            <w:r>
              <w:rPr>
                <w:rFonts w:eastAsiaTheme="minorEastAsia"/>
                <w:b/>
                <w:bCs/>
                <w:color w:val="000000" w:themeColor="text1"/>
                <w14:textFill>
                  <w14:solidFill>
                    <w14:schemeClr w14:val="tx1"/>
                  </w14:solidFill>
                </w14:textFill>
              </w:rPr>
              <w:t>转化为事故的触发因素</w:t>
            </w:r>
          </w:p>
        </w:tc>
        <w:tc>
          <w:tcPr>
            <w:tcW w:w="1663" w:type="dxa"/>
            <w:vAlign w:val="center"/>
          </w:tcPr>
          <w:p w14:paraId="77A618C0">
            <w:pPr>
              <w:pStyle w:val="70"/>
              <w:rPr>
                <w:rFonts w:eastAsiaTheme="minorEastAsia"/>
                <w:b/>
                <w:bCs/>
                <w:color w:val="000000" w:themeColor="text1"/>
                <w:lang w:eastAsia="en-US"/>
                <w14:textFill>
                  <w14:solidFill>
                    <w14:schemeClr w14:val="tx1"/>
                  </w14:solidFill>
                </w14:textFill>
              </w:rPr>
            </w:pPr>
            <w:r>
              <w:rPr>
                <w:rFonts w:eastAsiaTheme="minorEastAsia"/>
                <w:b/>
                <w:bCs/>
                <w:color w:val="000000" w:themeColor="text1"/>
                <w:lang w:eastAsia="en-US"/>
                <w14:textFill>
                  <w14:solidFill>
                    <w14:schemeClr w14:val="tx1"/>
                  </w14:solidFill>
                </w14:textFill>
              </w:rPr>
              <w:t>危险性</w:t>
            </w:r>
          </w:p>
        </w:tc>
      </w:tr>
      <w:tr w14:paraId="630FE94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687" w:type="dxa"/>
            <w:vMerge w:val="restart"/>
            <w:vAlign w:val="center"/>
          </w:tcPr>
          <w:p w14:paraId="26653250">
            <w:pPr>
              <w:pStyle w:val="70"/>
              <w:rPr>
                <w:rFonts w:eastAsiaTheme="minorEastAsia"/>
                <w:color w:val="000000" w:themeColor="text1"/>
                <w:lang w:eastAsia="en-US"/>
                <w14:textFill>
                  <w14:solidFill>
                    <w14:schemeClr w14:val="tx1"/>
                  </w14:solidFill>
                </w14:textFill>
              </w:rPr>
            </w:pPr>
            <w:r>
              <w:rPr>
                <w:rFonts w:eastAsiaTheme="minorEastAsia"/>
                <w:color w:val="000000" w:themeColor="text1"/>
                <w:lang w:eastAsia="en-US"/>
                <w14:textFill>
                  <w14:solidFill>
                    <w14:schemeClr w14:val="tx1"/>
                  </w14:solidFill>
                </w14:textFill>
              </w:rPr>
              <w:t>码头</w:t>
            </w:r>
          </w:p>
        </w:tc>
        <w:tc>
          <w:tcPr>
            <w:tcW w:w="852" w:type="dxa"/>
            <w:vAlign w:val="center"/>
          </w:tcPr>
          <w:p w14:paraId="730536F9">
            <w:pPr>
              <w:pStyle w:val="70"/>
              <w:rPr>
                <w:rFonts w:eastAsiaTheme="minorEastAsia"/>
                <w:color w:val="000000" w:themeColor="text1"/>
                <w14:textFill>
                  <w14:solidFill>
                    <w14:schemeClr w14:val="tx1"/>
                  </w14:solidFill>
                </w14:textFill>
              </w:rPr>
            </w:pPr>
            <w:r>
              <w:rPr>
                <w:rFonts w:eastAsiaTheme="minorEastAsia"/>
                <w:color w:val="000000" w:themeColor="text1"/>
                <w14:textFill>
                  <w14:solidFill>
                    <w14:schemeClr w14:val="tx1"/>
                  </w14:solidFill>
                </w14:textFill>
              </w:rPr>
              <w:t>化工品泄漏</w:t>
            </w:r>
          </w:p>
        </w:tc>
        <w:tc>
          <w:tcPr>
            <w:tcW w:w="5074" w:type="dxa"/>
            <w:vAlign w:val="center"/>
          </w:tcPr>
          <w:p w14:paraId="3F8CCA2E">
            <w:pPr>
              <w:pStyle w:val="70"/>
              <w:rPr>
                <w:rFonts w:eastAsiaTheme="minorEastAsia"/>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①</w:t>
            </w:r>
            <w:r>
              <w:rPr>
                <w:rFonts w:eastAsiaTheme="minorEastAsia"/>
                <w:color w:val="000000" w:themeColor="text1"/>
                <w14:textFill>
                  <w14:solidFill>
                    <w14:schemeClr w14:val="tx1"/>
                  </w14:solidFill>
                </w14:textFill>
              </w:rPr>
              <w:t>输油臂选型不当、质量低劣、接头</w:t>
            </w:r>
            <w:r>
              <w:rPr>
                <w:rFonts w:hint="eastAsia" w:eastAsiaTheme="minorEastAsia"/>
                <w:color w:val="000000" w:themeColor="text1"/>
                <w:lang w:eastAsia="zh-CN"/>
                <w14:textFill>
                  <w14:solidFill>
                    <w14:schemeClr w14:val="tx1"/>
                  </w14:solidFill>
                </w14:textFill>
              </w:rPr>
              <w:t>变形</w:t>
            </w:r>
            <w:r>
              <w:rPr>
                <w:rFonts w:eastAsiaTheme="minorEastAsia"/>
                <w:color w:val="000000" w:themeColor="text1"/>
                <w14:textFill>
                  <w14:solidFill>
                    <w14:schemeClr w14:val="tx1"/>
                  </w14:solidFill>
                </w14:textFill>
              </w:rPr>
              <w:t>，导致泄漏；</w:t>
            </w:r>
            <w:r>
              <w:rPr>
                <w:rFonts w:hint="eastAsia" w:ascii="宋体" w:hAnsi="宋体" w:cs="宋体"/>
                <w:color w:val="000000" w:themeColor="text1"/>
                <w14:textFill>
                  <w14:solidFill>
                    <w14:schemeClr w14:val="tx1"/>
                  </w14:solidFill>
                </w14:textFill>
              </w:rPr>
              <w:t>②</w:t>
            </w:r>
            <w:r>
              <w:rPr>
                <w:rFonts w:eastAsiaTheme="minorEastAsia"/>
                <w:color w:val="000000" w:themeColor="text1"/>
                <w14:textFill>
                  <w14:solidFill>
                    <w14:schemeClr w14:val="tx1"/>
                  </w14:solidFill>
                </w14:textFill>
              </w:rPr>
              <w:t>法兰密封不良而出现泄漏；</w:t>
            </w:r>
            <w:r>
              <w:rPr>
                <w:rFonts w:hint="eastAsia" w:ascii="宋体" w:hAnsi="宋体" w:cs="宋体"/>
                <w:color w:val="000000" w:themeColor="text1"/>
                <w14:textFill>
                  <w14:solidFill>
                    <w14:schemeClr w14:val="tx1"/>
                  </w14:solidFill>
                </w14:textFill>
              </w:rPr>
              <w:t>③</w:t>
            </w:r>
            <w:r>
              <w:rPr>
                <w:rFonts w:eastAsiaTheme="minorEastAsia"/>
                <w:color w:val="000000" w:themeColor="text1"/>
                <w14:textFill>
                  <w14:solidFill>
                    <w14:schemeClr w14:val="tx1"/>
                  </w14:solidFill>
                </w14:textFill>
              </w:rPr>
              <w:t>作业人员违章作业，造成管道超压破损或直接泄漏；</w:t>
            </w:r>
            <w:r>
              <w:rPr>
                <w:rFonts w:hint="eastAsia" w:ascii="宋体" w:hAnsi="宋体" w:cs="宋体"/>
                <w:color w:val="000000" w:themeColor="text1"/>
                <w14:textFill>
                  <w14:solidFill>
                    <w14:schemeClr w14:val="tx1"/>
                  </w14:solidFill>
                </w14:textFill>
              </w:rPr>
              <w:t>④</w:t>
            </w:r>
            <w:r>
              <w:rPr>
                <w:rFonts w:eastAsiaTheme="minorEastAsia"/>
                <w:color w:val="000000" w:themeColor="text1"/>
                <w14:textFill>
                  <w14:solidFill>
                    <w14:schemeClr w14:val="tx1"/>
                  </w14:solidFill>
                </w14:textFill>
              </w:rPr>
              <w:t>船、码头、库区三方之间通信联络有误或衔接不当，导致泄漏；</w:t>
            </w:r>
            <w:r>
              <w:rPr>
                <w:rFonts w:hint="eastAsia" w:ascii="宋体" w:hAnsi="宋体" w:cs="宋体"/>
                <w:color w:val="000000" w:themeColor="text1"/>
                <w14:textFill>
                  <w14:solidFill>
                    <w14:schemeClr w14:val="tx1"/>
                  </w14:solidFill>
                </w14:textFill>
              </w:rPr>
              <w:t>⑤</w:t>
            </w:r>
            <w:r>
              <w:rPr>
                <w:rFonts w:eastAsiaTheme="minorEastAsia"/>
                <w:color w:val="000000" w:themeColor="text1"/>
                <w14:textFill>
                  <w14:solidFill>
                    <w14:schemeClr w14:val="tx1"/>
                  </w14:solidFill>
                </w14:textFill>
              </w:rPr>
              <w:t>码头装卸工艺控制系统发生故障，导致误运作或控制失灵，引发泄漏事故。</w:t>
            </w:r>
          </w:p>
        </w:tc>
        <w:tc>
          <w:tcPr>
            <w:tcW w:w="1663" w:type="dxa"/>
            <w:vAlign w:val="center"/>
          </w:tcPr>
          <w:p w14:paraId="1800DB50">
            <w:pPr>
              <w:pStyle w:val="70"/>
              <w:rPr>
                <w:rFonts w:eastAsiaTheme="minorEastAsia"/>
                <w:color w:val="000000" w:themeColor="text1"/>
                <w14:textFill>
                  <w14:solidFill>
                    <w14:schemeClr w14:val="tx1"/>
                  </w14:solidFill>
                </w14:textFill>
              </w:rPr>
            </w:pPr>
            <w:r>
              <w:rPr>
                <w:rFonts w:eastAsiaTheme="minorEastAsia"/>
                <w:color w:val="000000" w:themeColor="text1"/>
                <w14:textFill>
                  <w14:solidFill>
                    <w14:schemeClr w14:val="tx1"/>
                  </w14:solidFill>
                </w14:textFill>
              </w:rPr>
              <w:t>泄漏化学品从</w:t>
            </w:r>
            <w:r>
              <w:rPr>
                <w:rFonts w:hint="eastAsia" w:eastAsiaTheme="minorEastAsia"/>
                <w:color w:val="000000" w:themeColor="text1"/>
                <w:lang w:eastAsia="zh-CN"/>
                <w14:textFill>
                  <w14:solidFill>
                    <w14:schemeClr w14:val="tx1"/>
                  </w14:solidFill>
                </w14:textFill>
              </w:rPr>
              <w:t>码头</w:t>
            </w:r>
            <w:r>
              <w:rPr>
                <w:rFonts w:eastAsiaTheme="minorEastAsia"/>
                <w:color w:val="000000" w:themeColor="text1"/>
                <w14:textFill>
                  <w14:solidFill>
                    <w14:schemeClr w14:val="tx1"/>
                  </w14:solidFill>
                </w14:textFill>
              </w:rPr>
              <w:t>排入海洋引起水体污染</w:t>
            </w:r>
          </w:p>
        </w:tc>
      </w:tr>
      <w:tr w14:paraId="31C67EF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687" w:type="dxa"/>
            <w:vMerge w:val="continue"/>
            <w:vAlign w:val="center"/>
          </w:tcPr>
          <w:p w14:paraId="79900BBB">
            <w:pPr>
              <w:pStyle w:val="70"/>
              <w:rPr>
                <w:rFonts w:eastAsiaTheme="minorEastAsia"/>
                <w:color w:val="000000" w:themeColor="text1"/>
                <w14:textFill>
                  <w14:solidFill>
                    <w14:schemeClr w14:val="tx1"/>
                  </w14:solidFill>
                </w14:textFill>
              </w:rPr>
            </w:pPr>
          </w:p>
        </w:tc>
        <w:tc>
          <w:tcPr>
            <w:tcW w:w="852" w:type="dxa"/>
            <w:vAlign w:val="center"/>
          </w:tcPr>
          <w:p w14:paraId="360775E5">
            <w:pPr>
              <w:pStyle w:val="70"/>
              <w:rPr>
                <w:rFonts w:eastAsiaTheme="minorEastAsia"/>
                <w:color w:val="000000" w:themeColor="text1"/>
                <w14:textFill>
                  <w14:solidFill>
                    <w14:schemeClr w14:val="tx1"/>
                  </w14:solidFill>
                </w14:textFill>
              </w:rPr>
            </w:pPr>
            <w:r>
              <w:rPr>
                <w:rFonts w:eastAsiaTheme="minorEastAsia"/>
                <w:color w:val="000000" w:themeColor="text1"/>
                <w14:textFill>
                  <w14:solidFill>
                    <w14:schemeClr w14:val="tx1"/>
                  </w14:solidFill>
                </w14:textFill>
              </w:rPr>
              <w:t>化工品火灾和爆炸</w:t>
            </w:r>
          </w:p>
        </w:tc>
        <w:tc>
          <w:tcPr>
            <w:tcW w:w="5074" w:type="dxa"/>
            <w:vAlign w:val="center"/>
          </w:tcPr>
          <w:p w14:paraId="729DFD96">
            <w:pPr>
              <w:pStyle w:val="70"/>
              <w:rPr>
                <w:rFonts w:eastAsiaTheme="minorEastAsia"/>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①</w:t>
            </w:r>
            <w:r>
              <w:rPr>
                <w:rFonts w:eastAsiaTheme="minorEastAsia"/>
                <w:color w:val="000000" w:themeColor="text1"/>
                <w14:textFill>
                  <w14:solidFill>
                    <w14:schemeClr w14:val="tx1"/>
                  </w14:solidFill>
                </w14:textFill>
              </w:rPr>
              <w:t>设备检修过程中，违章进行焊接、切割等动火作业，易引发火灾爆炸事故；</w:t>
            </w:r>
            <w:r>
              <w:rPr>
                <w:rFonts w:hint="eastAsia" w:ascii="宋体" w:hAnsi="宋体" w:cs="宋体"/>
                <w:color w:val="000000" w:themeColor="text1"/>
                <w14:textFill>
                  <w14:solidFill>
                    <w14:schemeClr w14:val="tx1"/>
                  </w14:solidFill>
                </w14:textFill>
              </w:rPr>
              <w:t>②</w:t>
            </w:r>
            <w:r>
              <w:rPr>
                <w:rFonts w:eastAsiaTheme="minorEastAsia"/>
                <w:color w:val="000000" w:themeColor="text1"/>
                <w14:textFill>
                  <w14:solidFill>
                    <w14:schemeClr w14:val="tx1"/>
                  </w14:solidFill>
                </w14:textFill>
              </w:rPr>
              <w:t>静电放电点燃油气，导致火灾爆炸事故；</w:t>
            </w:r>
            <w:r>
              <w:rPr>
                <w:rFonts w:hint="eastAsia" w:ascii="宋体" w:hAnsi="宋体" w:cs="宋体"/>
                <w:color w:val="000000" w:themeColor="text1"/>
                <w14:textFill>
                  <w14:solidFill>
                    <w14:schemeClr w14:val="tx1"/>
                  </w14:solidFill>
                </w14:textFill>
              </w:rPr>
              <w:t>③</w:t>
            </w:r>
            <w:r>
              <w:rPr>
                <w:rFonts w:eastAsiaTheme="minorEastAsia"/>
                <w:color w:val="000000" w:themeColor="text1"/>
                <w14:textFill>
                  <w14:solidFill>
                    <w14:schemeClr w14:val="tx1"/>
                  </w14:solidFill>
                </w14:textFill>
              </w:rPr>
              <w:t>电气设备设施存在质量缺陷或操作不当，产生电火花或电弧，可能点燃油品或其蒸气，导致火灾爆炸事故；</w:t>
            </w:r>
            <w:r>
              <w:rPr>
                <w:rFonts w:hint="eastAsia" w:ascii="宋体" w:hAnsi="宋体" w:cs="宋体"/>
                <w:color w:val="000000" w:themeColor="text1"/>
                <w14:textFill>
                  <w14:solidFill>
                    <w14:schemeClr w14:val="tx1"/>
                  </w14:solidFill>
                </w14:textFill>
              </w:rPr>
              <w:t>④</w:t>
            </w:r>
            <w:r>
              <w:rPr>
                <w:rFonts w:eastAsiaTheme="minorEastAsia"/>
                <w:color w:val="000000" w:themeColor="text1"/>
                <w14:textFill>
                  <w14:solidFill>
                    <w14:schemeClr w14:val="tx1"/>
                  </w14:solidFill>
                </w14:textFill>
              </w:rPr>
              <w:t>船舶、码头附近出现明火，可能点燃蒸气，导致火灾爆炸事故。</w:t>
            </w:r>
          </w:p>
        </w:tc>
        <w:tc>
          <w:tcPr>
            <w:tcW w:w="1663" w:type="dxa"/>
            <w:vAlign w:val="center"/>
          </w:tcPr>
          <w:p w14:paraId="444FEA14">
            <w:pPr>
              <w:pStyle w:val="70"/>
              <w:rPr>
                <w:rFonts w:eastAsiaTheme="minorEastAsia"/>
                <w:color w:val="000000" w:themeColor="text1"/>
                <w14:textFill>
                  <w14:solidFill>
                    <w14:schemeClr w14:val="tx1"/>
                  </w14:solidFill>
                </w14:textFill>
              </w:rPr>
            </w:pPr>
            <w:r>
              <w:rPr>
                <w:rFonts w:eastAsiaTheme="minorEastAsia"/>
                <w:color w:val="000000" w:themeColor="text1"/>
                <w14:textFill>
                  <w14:solidFill>
                    <w14:schemeClr w14:val="tx1"/>
                  </w14:solidFill>
                </w14:textFill>
              </w:rPr>
              <w:t>油气蒸发由大气扩散或火灾、爆炸产生二次污染物由大气扩散导致周围人员中毒</w:t>
            </w:r>
          </w:p>
        </w:tc>
      </w:tr>
      <w:tr w14:paraId="2D3F3CD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687" w:type="dxa"/>
            <w:vMerge w:val="restart"/>
            <w:vAlign w:val="center"/>
          </w:tcPr>
          <w:p w14:paraId="611DB08D">
            <w:pPr>
              <w:pStyle w:val="70"/>
              <w:rPr>
                <w:rFonts w:eastAsiaTheme="minorEastAsia"/>
                <w:color w:val="000000" w:themeColor="text1"/>
                <w:lang w:eastAsia="en-US"/>
                <w14:textFill>
                  <w14:solidFill>
                    <w14:schemeClr w14:val="tx1"/>
                  </w14:solidFill>
                </w14:textFill>
              </w:rPr>
            </w:pPr>
            <w:r>
              <w:rPr>
                <w:rFonts w:eastAsiaTheme="minorEastAsia"/>
                <w:color w:val="000000" w:themeColor="text1"/>
                <w:lang w:eastAsia="en-US"/>
                <w14:textFill>
                  <w14:solidFill>
                    <w14:schemeClr w14:val="tx1"/>
                  </w14:solidFill>
                </w14:textFill>
              </w:rPr>
              <w:t>管线</w:t>
            </w:r>
          </w:p>
        </w:tc>
        <w:tc>
          <w:tcPr>
            <w:tcW w:w="852" w:type="dxa"/>
            <w:vAlign w:val="center"/>
          </w:tcPr>
          <w:p w14:paraId="5E8C91D1">
            <w:pPr>
              <w:pStyle w:val="70"/>
              <w:rPr>
                <w:rFonts w:eastAsiaTheme="minorEastAsia"/>
                <w:color w:val="000000" w:themeColor="text1"/>
                <w14:textFill>
                  <w14:solidFill>
                    <w14:schemeClr w14:val="tx1"/>
                  </w14:solidFill>
                </w14:textFill>
              </w:rPr>
            </w:pPr>
            <w:r>
              <w:rPr>
                <w:rFonts w:eastAsiaTheme="minorEastAsia"/>
                <w:color w:val="000000" w:themeColor="text1"/>
                <w14:textFill>
                  <w14:solidFill>
                    <w14:schemeClr w14:val="tx1"/>
                  </w14:solidFill>
                </w14:textFill>
              </w:rPr>
              <w:t>化工品泄漏</w:t>
            </w:r>
          </w:p>
        </w:tc>
        <w:tc>
          <w:tcPr>
            <w:tcW w:w="5074" w:type="dxa"/>
            <w:vAlign w:val="center"/>
          </w:tcPr>
          <w:p w14:paraId="0B7C48A7">
            <w:pPr>
              <w:pStyle w:val="70"/>
              <w:rPr>
                <w:rFonts w:eastAsiaTheme="minorEastAsia"/>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①</w:t>
            </w:r>
            <w:r>
              <w:rPr>
                <w:rFonts w:eastAsiaTheme="minorEastAsia"/>
                <w:color w:val="000000" w:themeColor="text1"/>
                <w14:textFill>
                  <w14:solidFill>
                    <w14:schemeClr w14:val="tx1"/>
                  </w14:solidFill>
                </w14:textFill>
              </w:rPr>
              <w:t>管道选型不当、质量低劣、焊接质量差、柔性考虑不足，管线断裂导致泄漏；</w:t>
            </w:r>
            <w:r>
              <w:rPr>
                <w:rFonts w:hint="eastAsia" w:ascii="宋体" w:hAnsi="宋体" w:cs="宋体"/>
                <w:color w:val="000000" w:themeColor="text1"/>
                <w14:textFill>
                  <w14:solidFill>
                    <w14:schemeClr w14:val="tx1"/>
                  </w14:solidFill>
                </w14:textFill>
              </w:rPr>
              <w:t>②</w:t>
            </w:r>
            <w:r>
              <w:rPr>
                <w:rFonts w:eastAsiaTheme="minorEastAsia"/>
                <w:color w:val="000000" w:themeColor="text1"/>
                <w14:textFill>
                  <w14:solidFill>
                    <w14:schemeClr w14:val="tx1"/>
                  </w14:solidFill>
                </w14:textFill>
              </w:rPr>
              <w:t>管道系统因腐蚀、磨损而造成管壁减薄穿孔，伸缩节渗漏、导致泄漏；</w:t>
            </w:r>
            <w:r>
              <w:rPr>
                <w:rFonts w:hint="eastAsia" w:ascii="宋体" w:hAnsi="宋体" w:cs="宋体"/>
                <w:color w:val="000000" w:themeColor="text1"/>
                <w14:textFill>
                  <w14:solidFill>
                    <w14:schemeClr w14:val="tx1"/>
                  </w14:solidFill>
                </w14:textFill>
              </w:rPr>
              <w:t>③</w:t>
            </w:r>
            <w:r>
              <w:rPr>
                <w:rFonts w:eastAsiaTheme="minorEastAsia"/>
                <w:color w:val="000000" w:themeColor="text1"/>
                <w14:textFill>
                  <w14:solidFill>
                    <w14:schemeClr w14:val="tx1"/>
                  </w14:solidFill>
                </w14:textFill>
              </w:rPr>
              <w:t>疲劳失效，造成管道超压破损导致泄漏。</w:t>
            </w:r>
          </w:p>
        </w:tc>
        <w:tc>
          <w:tcPr>
            <w:tcW w:w="1663" w:type="dxa"/>
            <w:vAlign w:val="center"/>
          </w:tcPr>
          <w:p w14:paraId="13632870">
            <w:pPr>
              <w:pStyle w:val="70"/>
              <w:rPr>
                <w:rFonts w:eastAsiaTheme="minorEastAsia"/>
                <w:color w:val="000000" w:themeColor="text1"/>
                <w14:textFill>
                  <w14:solidFill>
                    <w14:schemeClr w14:val="tx1"/>
                  </w14:solidFill>
                </w14:textFill>
              </w:rPr>
            </w:pPr>
            <w:r>
              <w:rPr>
                <w:rFonts w:eastAsiaTheme="minorEastAsia"/>
                <w:color w:val="000000" w:themeColor="text1"/>
                <w14:textFill>
                  <w14:solidFill>
                    <w14:schemeClr w14:val="tx1"/>
                  </w14:solidFill>
                </w14:textFill>
              </w:rPr>
              <w:t>泄漏油品通过地面漫流排入海洋引起水体污染</w:t>
            </w:r>
          </w:p>
        </w:tc>
      </w:tr>
      <w:tr w14:paraId="2B2D193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687" w:type="dxa"/>
            <w:vMerge w:val="continue"/>
            <w:vAlign w:val="center"/>
          </w:tcPr>
          <w:p w14:paraId="4EA72F24">
            <w:pPr>
              <w:pStyle w:val="70"/>
              <w:rPr>
                <w:rFonts w:eastAsiaTheme="minorEastAsia"/>
                <w:color w:val="000000" w:themeColor="text1"/>
                <w14:textFill>
                  <w14:solidFill>
                    <w14:schemeClr w14:val="tx1"/>
                  </w14:solidFill>
                </w14:textFill>
              </w:rPr>
            </w:pPr>
          </w:p>
        </w:tc>
        <w:tc>
          <w:tcPr>
            <w:tcW w:w="852" w:type="dxa"/>
            <w:vAlign w:val="center"/>
          </w:tcPr>
          <w:p w14:paraId="242F5CD1">
            <w:pPr>
              <w:pStyle w:val="70"/>
              <w:rPr>
                <w:rFonts w:eastAsiaTheme="minorEastAsia"/>
                <w:color w:val="000000" w:themeColor="text1"/>
                <w14:textFill>
                  <w14:solidFill>
                    <w14:schemeClr w14:val="tx1"/>
                  </w14:solidFill>
                </w14:textFill>
              </w:rPr>
            </w:pPr>
            <w:r>
              <w:rPr>
                <w:rFonts w:eastAsiaTheme="minorEastAsia"/>
                <w:color w:val="000000" w:themeColor="text1"/>
                <w14:textFill>
                  <w14:solidFill>
                    <w14:schemeClr w14:val="tx1"/>
                  </w14:solidFill>
                </w14:textFill>
              </w:rPr>
              <w:t>化工品火灾和爆炸</w:t>
            </w:r>
          </w:p>
        </w:tc>
        <w:tc>
          <w:tcPr>
            <w:tcW w:w="5074" w:type="dxa"/>
            <w:vAlign w:val="center"/>
          </w:tcPr>
          <w:p w14:paraId="44476BD9">
            <w:pPr>
              <w:pStyle w:val="70"/>
              <w:rPr>
                <w:rFonts w:eastAsiaTheme="minorEastAsia"/>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①</w:t>
            </w:r>
            <w:r>
              <w:rPr>
                <w:rFonts w:eastAsiaTheme="minorEastAsia"/>
                <w:color w:val="000000" w:themeColor="text1"/>
                <w14:textFill>
                  <w14:solidFill>
                    <w14:schemeClr w14:val="tx1"/>
                  </w14:solidFill>
                </w14:textFill>
              </w:rPr>
              <w:t>设备检修过程中，违章进行焊接、切割等动火作业，易引发火灾爆炸事故；</w:t>
            </w:r>
            <w:r>
              <w:rPr>
                <w:rFonts w:hint="eastAsia" w:ascii="宋体" w:hAnsi="宋体" w:cs="宋体"/>
                <w:color w:val="000000" w:themeColor="text1"/>
                <w14:textFill>
                  <w14:solidFill>
                    <w14:schemeClr w14:val="tx1"/>
                  </w14:solidFill>
                </w14:textFill>
              </w:rPr>
              <w:t>②</w:t>
            </w:r>
            <w:r>
              <w:rPr>
                <w:rFonts w:eastAsiaTheme="minorEastAsia"/>
                <w:color w:val="000000" w:themeColor="text1"/>
                <w14:textFill>
                  <w14:solidFill>
                    <w14:schemeClr w14:val="tx1"/>
                  </w14:solidFill>
                </w14:textFill>
              </w:rPr>
              <w:t>静电放电点燃气态油品，导致火灾爆炸事故；</w:t>
            </w:r>
            <w:r>
              <w:rPr>
                <w:rFonts w:hint="eastAsia" w:ascii="宋体" w:hAnsi="宋体" w:cs="宋体"/>
                <w:color w:val="000000" w:themeColor="text1"/>
                <w14:textFill>
                  <w14:solidFill>
                    <w14:schemeClr w14:val="tx1"/>
                  </w14:solidFill>
                </w14:textFill>
              </w:rPr>
              <w:t>③</w:t>
            </w:r>
            <w:r>
              <w:rPr>
                <w:rFonts w:eastAsiaTheme="minorEastAsia"/>
                <w:color w:val="000000" w:themeColor="text1"/>
                <w14:textFill>
                  <w14:solidFill>
                    <w14:schemeClr w14:val="tx1"/>
                  </w14:solidFill>
                </w14:textFill>
              </w:rPr>
              <w:t>电气设备设施存在质量缺陷或操作不当，产生电火花或电弧，可能点燃油品或其蒸气，导致火灾爆炸事故；</w:t>
            </w:r>
            <w:r>
              <w:rPr>
                <w:rFonts w:hint="eastAsia" w:ascii="宋体" w:hAnsi="宋体" w:cs="宋体"/>
                <w:color w:val="000000" w:themeColor="text1"/>
                <w14:textFill>
                  <w14:solidFill>
                    <w14:schemeClr w14:val="tx1"/>
                  </w14:solidFill>
                </w14:textFill>
              </w:rPr>
              <w:t>④</w:t>
            </w:r>
            <w:r>
              <w:rPr>
                <w:rFonts w:eastAsiaTheme="minorEastAsia"/>
                <w:color w:val="000000" w:themeColor="text1"/>
                <w14:textFill>
                  <w14:solidFill>
                    <w14:schemeClr w14:val="tx1"/>
                  </w14:solidFill>
                </w14:textFill>
              </w:rPr>
              <w:t>管线附近出现明火，可能点燃蒸气，导致火灾爆炸事故。</w:t>
            </w:r>
          </w:p>
        </w:tc>
        <w:tc>
          <w:tcPr>
            <w:tcW w:w="1663" w:type="dxa"/>
            <w:vAlign w:val="center"/>
          </w:tcPr>
          <w:p w14:paraId="5A9C1B5B">
            <w:pPr>
              <w:pStyle w:val="70"/>
              <w:rPr>
                <w:rFonts w:eastAsiaTheme="minorEastAsia"/>
                <w:color w:val="000000" w:themeColor="text1"/>
                <w14:textFill>
                  <w14:solidFill>
                    <w14:schemeClr w14:val="tx1"/>
                  </w14:solidFill>
                </w14:textFill>
              </w:rPr>
            </w:pPr>
            <w:r>
              <w:rPr>
                <w:rFonts w:eastAsiaTheme="minorEastAsia"/>
                <w:color w:val="000000" w:themeColor="text1"/>
                <w14:textFill>
                  <w14:solidFill>
                    <w14:schemeClr w14:val="tx1"/>
                  </w14:solidFill>
                </w14:textFill>
              </w:rPr>
              <w:t>油气蒸发由大气扩散或火灾、爆炸产生二次污染物由大气扩散导致周围人员中毒</w:t>
            </w:r>
          </w:p>
        </w:tc>
      </w:tr>
    </w:tbl>
    <w:p w14:paraId="43438FDD">
      <w:pPr>
        <w:pStyle w:val="6"/>
        <w:rPr>
          <w:color w:val="000000" w:themeColor="text1"/>
          <w14:textFill>
            <w14:solidFill>
              <w14:schemeClr w14:val="tx1"/>
            </w14:solidFill>
          </w14:textFill>
        </w:rPr>
      </w:pPr>
      <w:r>
        <w:rPr>
          <w:color w:val="000000" w:themeColor="text1"/>
          <w14:textFill>
            <w14:solidFill>
              <w14:schemeClr w14:val="tx1"/>
            </w14:solidFill>
          </w14:textFill>
        </w:rPr>
        <w:t>船舶运输过程中危险性识别</w:t>
      </w:r>
    </w:p>
    <w:p w14:paraId="53B5C35D">
      <w:pPr>
        <w:ind w:firstLine="480"/>
        <w:rPr>
          <w:color w:val="000000" w:themeColor="text1"/>
          <w14:textFill>
            <w14:solidFill>
              <w14:schemeClr w14:val="tx1"/>
            </w14:solidFill>
          </w14:textFill>
        </w:rPr>
      </w:pPr>
      <w:r>
        <w:rPr>
          <w:color w:val="000000" w:themeColor="text1"/>
          <w14:textFill>
            <w14:solidFill>
              <w14:schemeClr w14:val="tx1"/>
            </w14:solidFill>
          </w14:textFill>
        </w:rPr>
        <w:t>船舶在入港航道中，由于船舶因素、人为因素、天气因素等可能造成船舶相互碰撞或船舶撞击码头，导致化工品泄漏，污染周边海水环境，甚至引发火灾、爆炸，污染水体及大气环境，危害人群健康。</w:t>
      </w:r>
    </w:p>
    <w:p w14:paraId="24AAF3E8">
      <w:pPr>
        <w:pStyle w:val="7"/>
        <w:rPr>
          <w:color w:val="000000" w:themeColor="text1"/>
          <w14:textFill>
            <w14:solidFill>
              <w14:schemeClr w14:val="tx1"/>
            </w14:solidFill>
          </w14:textFill>
        </w:rPr>
      </w:pPr>
      <w:r>
        <w:rPr>
          <w:color w:val="000000" w:themeColor="text1"/>
          <w14:textFill>
            <w14:solidFill>
              <w14:schemeClr w14:val="tx1"/>
            </w14:solidFill>
          </w14:textFill>
        </w:rPr>
        <w:t>水上运输风险环节分析一览表</w:t>
      </w:r>
    </w:p>
    <w:tbl>
      <w:tblPr>
        <w:tblStyle w:val="43"/>
        <w:tblW w:w="8276"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694"/>
        <w:gridCol w:w="709"/>
        <w:gridCol w:w="1276"/>
        <w:gridCol w:w="4394"/>
        <w:gridCol w:w="1203"/>
      </w:tblGrid>
      <w:tr w14:paraId="5179DDE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94" w:type="dxa"/>
            <w:vAlign w:val="center"/>
          </w:tcPr>
          <w:p w14:paraId="6508610F">
            <w:pPr>
              <w:pStyle w:val="70"/>
              <w:rPr>
                <w:rFonts w:eastAsiaTheme="minorEastAsia"/>
                <w:b/>
                <w:bCs/>
                <w:color w:val="000000" w:themeColor="text1"/>
                <w14:textFill>
                  <w14:solidFill>
                    <w14:schemeClr w14:val="tx1"/>
                  </w14:solidFill>
                </w14:textFill>
              </w:rPr>
            </w:pPr>
            <w:r>
              <w:rPr>
                <w:rFonts w:eastAsiaTheme="minorEastAsia"/>
                <w:b/>
                <w:bCs/>
                <w:color w:val="000000" w:themeColor="text1"/>
                <w14:textFill>
                  <w14:solidFill>
                    <w14:schemeClr w14:val="tx1"/>
                  </w14:solidFill>
                </w14:textFill>
              </w:rPr>
              <w:t>发生地点</w:t>
            </w:r>
          </w:p>
        </w:tc>
        <w:tc>
          <w:tcPr>
            <w:tcW w:w="709" w:type="dxa"/>
            <w:vAlign w:val="center"/>
          </w:tcPr>
          <w:p w14:paraId="26090BF1">
            <w:pPr>
              <w:pStyle w:val="70"/>
              <w:rPr>
                <w:rFonts w:eastAsiaTheme="minorEastAsia"/>
                <w:b/>
                <w:bCs/>
                <w:color w:val="000000" w:themeColor="text1"/>
                <w14:textFill>
                  <w14:solidFill>
                    <w14:schemeClr w14:val="tx1"/>
                  </w14:solidFill>
                </w14:textFill>
              </w:rPr>
            </w:pPr>
            <w:r>
              <w:rPr>
                <w:rFonts w:eastAsiaTheme="minorEastAsia"/>
                <w:b/>
                <w:bCs/>
                <w:color w:val="000000" w:themeColor="text1"/>
                <w14:textFill>
                  <w14:solidFill>
                    <w14:schemeClr w14:val="tx1"/>
                  </w14:solidFill>
                </w14:textFill>
              </w:rPr>
              <w:t>危险单元</w:t>
            </w:r>
          </w:p>
        </w:tc>
        <w:tc>
          <w:tcPr>
            <w:tcW w:w="1276" w:type="dxa"/>
            <w:vAlign w:val="center"/>
          </w:tcPr>
          <w:p w14:paraId="3FDBC01A">
            <w:pPr>
              <w:pStyle w:val="70"/>
              <w:rPr>
                <w:rFonts w:eastAsiaTheme="minorEastAsia"/>
                <w:b/>
                <w:bCs/>
                <w:color w:val="000000" w:themeColor="text1"/>
                <w14:textFill>
                  <w14:solidFill>
                    <w14:schemeClr w14:val="tx1"/>
                  </w14:solidFill>
                </w14:textFill>
              </w:rPr>
            </w:pPr>
            <w:r>
              <w:rPr>
                <w:rFonts w:eastAsiaTheme="minorEastAsia"/>
                <w:b/>
                <w:bCs/>
                <w:color w:val="000000" w:themeColor="text1"/>
                <w14:textFill>
                  <w14:solidFill>
                    <w14:schemeClr w14:val="tx1"/>
                  </w14:solidFill>
                </w14:textFill>
              </w:rPr>
              <w:t>风险事故类型</w:t>
            </w:r>
          </w:p>
        </w:tc>
        <w:tc>
          <w:tcPr>
            <w:tcW w:w="4394" w:type="dxa"/>
            <w:vAlign w:val="center"/>
          </w:tcPr>
          <w:p w14:paraId="1724F57A">
            <w:pPr>
              <w:pStyle w:val="70"/>
              <w:rPr>
                <w:rFonts w:eastAsiaTheme="minorEastAsia"/>
                <w:b/>
                <w:bCs/>
                <w:color w:val="000000" w:themeColor="text1"/>
                <w14:textFill>
                  <w14:solidFill>
                    <w14:schemeClr w14:val="tx1"/>
                  </w14:solidFill>
                </w14:textFill>
              </w:rPr>
            </w:pPr>
            <w:r>
              <w:rPr>
                <w:rFonts w:eastAsiaTheme="minorEastAsia"/>
                <w:b/>
                <w:bCs/>
                <w:color w:val="000000" w:themeColor="text1"/>
                <w14:textFill>
                  <w14:solidFill>
                    <w14:schemeClr w14:val="tx1"/>
                  </w14:solidFill>
                </w14:textFill>
              </w:rPr>
              <w:t>转化为事故的触发因素</w:t>
            </w:r>
          </w:p>
        </w:tc>
        <w:tc>
          <w:tcPr>
            <w:tcW w:w="1203" w:type="dxa"/>
            <w:vAlign w:val="center"/>
          </w:tcPr>
          <w:p w14:paraId="62BB85A8">
            <w:pPr>
              <w:pStyle w:val="70"/>
              <w:rPr>
                <w:rFonts w:eastAsiaTheme="minorEastAsia"/>
                <w:b/>
                <w:bCs/>
                <w:color w:val="000000" w:themeColor="text1"/>
                <w:lang w:eastAsia="en-US"/>
                <w14:textFill>
                  <w14:solidFill>
                    <w14:schemeClr w14:val="tx1"/>
                  </w14:solidFill>
                </w14:textFill>
              </w:rPr>
            </w:pPr>
            <w:r>
              <w:rPr>
                <w:rFonts w:eastAsiaTheme="minorEastAsia"/>
                <w:b/>
                <w:bCs/>
                <w:color w:val="000000" w:themeColor="text1"/>
                <w:lang w:eastAsia="en-US"/>
                <w14:textFill>
                  <w14:solidFill>
                    <w14:schemeClr w14:val="tx1"/>
                  </w14:solidFill>
                </w14:textFill>
              </w:rPr>
              <w:t>危险性</w:t>
            </w:r>
          </w:p>
        </w:tc>
      </w:tr>
      <w:tr w14:paraId="0A4D471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94" w:type="dxa"/>
            <w:vMerge w:val="restart"/>
            <w:vAlign w:val="center"/>
          </w:tcPr>
          <w:p w14:paraId="294CF04B">
            <w:pPr>
              <w:pStyle w:val="70"/>
              <w:rPr>
                <w:rFonts w:eastAsiaTheme="minorEastAsia"/>
                <w:color w:val="000000" w:themeColor="text1"/>
                <w:sz w:val="20"/>
                <w:lang w:eastAsia="en-US"/>
                <w14:textFill>
                  <w14:solidFill>
                    <w14:schemeClr w14:val="tx1"/>
                  </w14:solidFill>
                </w14:textFill>
              </w:rPr>
            </w:pPr>
            <w:r>
              <w:rPr>
                <w:rFonts w:eastAsiaTheme="minorEastAsia"/>
                <w:color w:val="000000" w:themeColor="text1"/>
                <w:lang w:eastAsia="en-US"/>
                <w14:textFill>
                  <w14:solidFill>
                    <w14:schemeClr w14:val="tx1"/>
                  </w14:solidFill>
                </w14:textFill>
              </w:rPr>
              <w:t>航道/锚地</w:t>
            </w:r>
          </w:p>
        </w:tc>
        <w:tc>
          <w:tcPr>
            <w:tcW w:w="709" w:type="dxa"/>
            <w:vMerge w:val="restart"/>
            <w:vAlign w:val="center"/>
          </w:tcPr>
          <w:p w14:paraId="16CC0329">
            <w:pPr>
              <w:pStyle w:val="70"/>
              <w:rPr>
                <w:rFonts w:eastAsiaTheme="minorEastAsia"/>
                <w:color w:val="000000" w:themeColor="text1"/>
                <w:sz w:val="20"/>
                <w:lang w:eastAsia="en-US"/>
                <w14:textFill>
                  <w14:solidFill>
                    <w14:schemeClr w14:val="tx1"/>
                  </w14:solidFill>
                </w14:textFill>
              </w:rPr>
            </w:pPr>
            <w:r>
              <w:rPr>
                <w:rFonts w:eastAsiaTheme="minorEastAsia"/>
                <w:color w:val="000000" w:themeColor="text1"/>
                <w:lang w:eastAsia="en-US"/>
                <w14:textFill>
                  <w14:solidFill>
                    <w14:schemeClr w14:val="tx1"/>
                  </w14:solidFill>
                </w14:textFill>
              </w:rPr>
              <w:t>船舶</w:t>
            </w:r>
          </w:p>
        </w:tc>
        <w:tc>
          <w:tcPr>
            <w:tcW w:w="1276" w:type="dxa"/>
            <w:vAlign w:val="center"/>
          </w:tcPr>
          <w:p w14:paraId="68F85FC2">
            <w:pPr>
              <w:pStyle w:val="70"/>
              <w:rPr>
                <w:rFonts w:eastAsiaTheme="minorEastAsia"/>
                <w:color w:val="000000" w:themeColor="text1"/>
                <w14:textFill>
                  <w14:solidFill>
                    <w14:schemeClr w14:val="tx1"/>
                  </w14:solidFill>
                </w14:textFill>
              </w:rPr>
            </w:pPr>
            <w:r>
              <w:rPr>
                <w:rFonts w:eastAsiaTheme="minorEastAsia"/>
                <w:color w:val="000000" w:themeColor="text1"/>
                <w14:textFill>
                  <w14:solidFill>
                    <w14:schemeClr w14:val="tx1"/>
                  </w14:solidFill>
                </w14:textFill>
              </w:rPr>
              <w:t>油品、化工品、燃料油泄漏</w:t>
            </w:r>
          </w:p>
        </w:tc>
        <w:tc>
          <w:tcPr>
            <w:tcW w:w="4394" w:type="dxa"/>
            <w:vAlign w:val="center"/>
          </w:tcPr>
          <w:p w14:paraId="74C85DB1">
            <w:pPr>
              <w:pStyle w:val="70"/>
              <w:rPr>
                <w:rFonts w:eastAsiaTheme="minorEastAsia"/>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①</w:t>
            </w:r>
            <w:r>
              <w:rPr>
                <w:rFonts w:eastAsiaTheme="minorEastAsia"/>
                <w:color w:val="000000" w:themeColor="text1"/>
                <w14:textFill>
                  <w14:solidFill>
                    <w14:schemeClr w14:val="tx1"/>
                  </w14:solidFill>
                </w14:textFill>
              </w:rPr>
              <w:t>供油作业，操作失误；</w:t>
            </w:r>
            <w:r>
              <w:rPr>
                <w:rFonts w:hint="eastAsia" w:ascii="宋体" w:hAnsi="宋体" w:cs="宋体"/>
                <w:color w:val="000000" w:themeColor="text1"/>
                <w14:textFill>
                  <w14:solidFill>
                    <w14:schemeClr w14:val="tx1"/>
                  </w14:solidFill>
                </w14:textFill>
              </w:rPr>
              <w:t>②</w:t>
            </w:r>
            <w:r>
              <w:rPr>
                <w:rFonts w:eastAsiaTheme="minorEastAsia"/>
                <w:color w:val="000000" w:themeColor="text1"/>
                <w14:textFill>
                  <w14:solidFill>
                    <w14:schemeClr w14:val="tx1"/>
                  </w14:solidFill>
                </w14:textFill>
              </w:rPr>
              <w:t>供油软管等设备故障，造成燃油泄漏；</w:t>
            </w:r>
            <w:r>
              <w:rPr>
                <w:rFonts w:hint="eastAsia" w:ascii="宋体" w:hAnsi="宋体" w:cs="宋体"/>
                <w:color w:val="000000" w:themeColor="text1"/>
                <w14:textFill>
                  <w14:solidFill>
                    <w14:schemeClr w14:val="tx1"/>
                  </w14:solidFill>
                </w14:textFill>
              </w:rPr>
              <w:t>③</w:t>
            </w:r>
            <w:r>
              <w:rPr>
                <w:rFonts w:eastAsiaTheme="minorEastAsia"/>
                <w:color w:val="000000" w:themeColor="text1"/>
                <w14:textFill>
                  <w14:solidFill>
                    <w14:schemeClr w14:val="tx1"/>
                  </w14:solidFill>
                </w14:textFill>
              </w:rPr>
              <w:t>船舶碰撞，造成油品、化工品、燃料油泄漏。</w:t>
            </w:r>
          </w:p>
        </w:tc>
        <w:tc>
          <w:tcPr>
            <w:tcW w:w="1203" w:type="dxa"/>
            <w:vMerge w:val="restart"/>
            <w:vAlign w:val="center"/>
          </w:tcPr>
          <w:p w14:paraId="3F6CBFA3">
            <w:pPr>
              <w:pStyle w:val="70"/>
              <w:rPr>
                <w:rFonts w:eastAsiaTheme="minorEastAsia"/>
                <w:color w:val="000000" w:themeColor="text1"/>
                <w:sz w:val="20"/>
                <w14:textFill>
                  <w14:solidFill>
                    <w14:schemeClr w14:val="tx1"/>
                  </w14:solidFill>
                </w14:textFill>
              </w:rPr>
            </w:pPr>
            <w:r>
              <w:rPr>
                <w:rFonts w:eastAsiaTheme="minorEastAsia"/>
                <w:color w:val="000000" w:themeColor="text1"/>
                <w14:textFill>
                  <w14:solidFill>
                    <w14:schemeClr w14:val="tx1"/>
                  </w14:solidFill>
                </w14:textFill>
              </w:rPr>
              <w:t>油品、化工品、燃料油泄漏进入海洋引起水体污染</w:t>
            </w:r>
          </w:p>
        </w:tc>
      </w:tr>
      <w:tr w14:paraId="381429A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94" w:type="dxa"/>
            <w:vMerge w:val="continue"/>
            <w:vAlign w:val="center"/>
          </w:tcPr>
          <w:p w14:paraId="71DBE418">
            <w:pPr>
              <w:pStyle w:val="70"/>
              <w:rPr>
                <w:rFonts w:eastAsiaTheme="minorEastAsia"/>
                <w:color w:val="000000" w:themeColor="text1"/>
                <w:sz w:val="2"/>
                <w:szCs w:val="2"/>
                <w14:textFill>
                  <w14:solidFill>
                    <w14:schemeClr w14:val="tx1"/>
                  </w14:solidFill>
                </w14:textFill>
              </w:rPr>
            </w:pPr>
          </w:p>
        </w:tc>
        <w:tc>
          <w:tcPr>
            <w:tcW w:w="709" w:type="dxa"/>
            <w:vMerge w:val="continue"/>
            <w:vAlign w:val="center"/>
          </w:tcPr>
          <w:p w14:paraId="0BDBB41E">
            <w:pPr>
              <w:pStyle w:val="70"/>
              <w:rPr>
                <w:rFonts w:eastAsiaTheme="minorEastAsia"/>
                <w:color w:val="000000" w:themeColor="text1"/>
                <w:sz w:val="2"/>
                <w:szCs w:val="2"/>
                <w14:textFill>
                  <w14:solidFill>
                    <w14:schemeClr w14:val="tx1"/>
                  </w14:solidFill>
                </w14:textFill>
              </w:rPr>
            </w:pPr>
          </w:p>
        </w:tc>
        <w:tc>
          <w:tcPr>
            <w:tcW w:w="1276" w:type="dxa"/>
            <w:vAlign w:val="center"/>
          </w:tcPr>
          <w:p w14:paraId="460F1512">
            <w:pPr>
              <w:pStyle w:val="70"/>
              <w:rPr>
                <w:rFonts w:eastAsiaTheme="minorEastAsia"/>
                <w:color w:val="000000" w:themeColor="text1"/>
                <w:lang w:eastAsia="en-US"/>
                <w14:textFill>
                  <w14:solidFill>
                    <w14:schemeClr w14:val="tx1"/>
                  </w14:solidFill>
                </w14:textFill>
              </w:rPr>
            </w:pPr>
            <w:r>
              <w:rPr>
                <w:rFonts w:eastAsiaTheme="minorEastAsia"/>
                <w:color w:val="000000" w:themeColor="text1"/>
                <w:lang w:eastAsia="en-US"/>
                <w14:textFill>
                  <w14:solidFill>
                    <w14:schemeClr w14:val="tx1"/>
                  </w14:solidFill>
                </w14:textFill>
              </w:rPr>
              <w:t>油品、化工品、燃料油泄漏</w:t>
            </w:r>
          </w:p>
        </w:tc>
        <w:tc>
          <w:tcPr>
            <w:tcW w:w="4394" w:type="dxa"/>
            <w:vAlign w:val="center"/>
          </w:tcPr>
          <w:p w14:paraId="64323DF6">
            <w:pPr>
              <w:pStyle w:val="70"/>
              <w:rPr>
                <w:rFonts w:eastAsiaTheme="minorEastAsia"/>
                <w:color w:val="000000" w:themeColor="text1"/>
                <w14:textFill>
                  <w14:solidFill>
                    <w14:schemeClr w14:val="tx1"/>
                  </w14:solidFill>
                </w14:textFill>
              </w:rPr>
            </w:pPr>
            <w:r>
              <w:rPr>
                <w:rFonts w:eastAsiaTheme="minorEastAsia"/>
                <w:color w:val="000000" w:themeColor="text1"/>
                <w14:textFill>
                  <w14:solidFill>
                    <w14:schemeClr w14:val="tx1"/>
                  </w14:solidFill>
                </w14:textFill>
              </w:rPr>
              <w:t>船航行中， 发生与</w:t>
            </w:r>
            <w:r>
              <w:rPr>
                <w:rFonts w:hint="eastAsia" w:eastAsiaTheme="minorEastAsia"/>
                <w:color w:val="000000" w:themeColor="text1"/>
                <w:lang w:eastAsia="zh-CN"/>
                <w14:textFill>
                  <w14:solidFill>
                    <w14:schemeClr w14:val="tx1"/>
                  </w14:solidFill>
                </w14:textFill>
              </w:rPr>
              <w:t>其他</w:t>
            </w:r>
            <w:r>
              <w:rPr>
                <w:rFonts w:eastAsiaTheme="minorEastAsia"/>
                <w:color w:val="000000" w:themeColor="text1"/>
                <w14:textFill>
                  <w14:solidFill>
                    <w14:schemeClr w14:val="tx1"/>
                  </w14:solidFill>
                </w14:textFill>
              </w:rPr>
              <w:t>船舶碰撞等事故， 导致油品、化工品、燃料泄漏。</w:t>
            </w:r>
          </w:p>
        </w:tc>
        <w:tc>
          <w:tcPr>
            <w:tcW w:w="1203" w:type="dxa"/>
            <w:vMerge w:val="continue"/>
            <w:vAlign w:val="center"/>
          </w:tcPr>
          <w:p w14:paraId="4583FB77">
            <w:pPr>
              <w:pStyle w:val="70"/>
              <w:rPr>
                <w:rFonts w:eastAsiaTheme="minorEastAsia"/>
                <w:color w:val="000000" w:themeColor="text1"/>
                <w:sz w:val="2"/>
                <w:szCs w:val="2"/>
                <w14:textFill>
                  <w14:solidFill>
                    <w14:schemeClr w14:val="tx1"/>
                  </w14:solidFill>
                </w14:textFill>
              </w:rPr>
            </w:pPr>
          </w:p>
        </w:tc>
      </w:tr>
      <w:tr w14:paraId="1D011F5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94" w:type="dxa"/>
            <w:vAlign w:val="center"/>
          </w:tcPr>
          <w:p w14:paraId="36649195">
            <w:pPr>
              <w:pStyle w:val="70"/>
              <w:rPr>
                <w:rFonts w:eastAsiaTheme="minorEastAsia"/>
                <w:color w:val="000000" w:themeColor="text1"/>
                <w:sz w:val="20"/>
                <w14:textFill>
                  <w14:solidFill>
                    <w14:schemeClr w14:val="tx1"/>
                  </w14:solidFill>
                </w14:textFill>
              </w:rPr>
            </w:pPr>
            <w:r>
              <w:rPr>
                <w:rFonts w:eastAsiaTheme="minorEastAsia"/>
                <w:color w:val="000000" w:themeColor="text1"/>
                <w:lang w:eastAsia="en-US"/>
                <w14:textFill>
                  <w14:solidFill>
                    <w14:schemeClr w14:val="tx1"/>
                  </w14:solidFill>
                </w14:textFill>
              </w:rPr>
              <w:t>港池海域</w:t>
            </w:r>
          </w:p>
        </w:tc>
        <w:tc>
          <w:tcPr>
            <w:tcW w:w="709" w:type="dxa"/>
            <w:vAlign w:val="center"/>
          </w:tcPr>
          <w:p w14:paraId="2C2A36B1">
            <w:pPr>
              <w:pStyle w:val="70"/>
              <w:rPr>
                <w:rFonts w:eastAsiaTheme="minorEastAsia"/>
                <w:color w:val="000000" w:themeColor="text1"/>
                <w:sz w:val="20"/>
                <w14:textFill>
                  <w14:solidFill>
                    <w14:schemeClr w14:val="tx1"/>
                  </w14:solidFill>
                </w14:textFill>
              </w:rPr>
            </w:pPr>
            <w:r>
              <w:rPr>
                <w:rFonts w:eastAsiaTheme="minorEastAsia"/>
                <w:color w:val="000000" w:themeColor="text1"/>
                <w:lang w:eastAsia="en-US"/>
                <w14:textFill>
                  <w14:solidFill>
                    <w14:schemeClr w14:val="tx1"/>
                  </w14:solidFill>
                </w14:textFill>
              </w:rPr>
              <w:t>船舶</w:t>
            </w:r>
          </w:p>
        </w:tc>
        <w:tc>
          <w:tcPr>
            <w:tcW w:w="1276" w:type="dxa"/>
            <w:vAlign w:val="center"/>
          </w:tcPr>
          <w:p w14:paraId="7B6B74CF">
            <w:pPr>
              <w:pStyle w:val="70"/>
              <w:rPr>
                <w:rFonts w:eastAsiaTheme="minorEastAsia"/>
                <w:color w:val="000000" w:themeColor="text1"/>
                <w:sz w:val="20"/>
                <w14:textFill>
                  <w14:solidFill>
                    <w14:schemeClr w14:val="tx1"/>
                  </w14:solidFill>
                </w14:textFill>
              </w:rPr>
            </w:pPr>
            <w:r>
              <w:rPr>
                <w:rFonts w:eastAsiaTheme="minorEastAsia"/>
                <w:color w:val="000000" w:themeColor="text1"/>
                <w14:textFill>
                  <w14:solidFill>
                    <w14:schemeClr w14:val="tx1"/>
                  </w14:solidFill>
                </w14:textFill>
              </w:rPr>
              <w:t>油品、化工品、燃料油泄漏</w:t>
            </w:r>
          </w:p>
        </w:tc>
        <w:tc>
          <w:tcPr>
            <w:tcW w:w="4394" w:type="dxa"/>
            <w:vAlign w:val="center"/>
          </w:tcPr>
          <w:p w14:paraId="4E27EB50">
            <w:pPr>
              <w:pStyle w:val="70"/>
              <w:rPr>
                <w:rFonts w:eastAsiaTheme="minorEastAsia"/>
                <w:color w:val="000000" w:themeColor="text1"/>
                <w14:textFill>
                  <w14:solidFill>
                    <w14:schemeClr w14:val="tx1"/>
                  </w14:solidFill>
                </w14:textFill>
              </w:rPr>
            </w:pPr>
            <w:r>
              <w:rPr>
                <w:rFonts w:hint="eastAsia" w:eastAsiaTheme="minorEastAsia"/>
                <w:color w:val="000000" w:themeColor="text1"/>
                <w14:textFill>
                  <w14:solidFill>
                    <w14:schemeClr w14:val="tx1"/>
                  </w14:solidFill>
                </w14:textFill>
              </w:rPr>
              <w:t>①</w:t>
            </w:r>
            <w:r>
              <w:rPr>
                <w:rFonts w:eastAsiaTheme="minorEastAsia"/>
                <w:color w:val="000000" w:themeColor="text1"/>
                <w14:textFill>
                  <w14:solidFill>
                    <w14:schemeClr w14:val="tx1"/>
                  </w14:solidFill>
                </w14:textFill>
              </w:rPr>
              <w:t>码头前沿附近海域，由于</w:t>
            </w:r>
            <w:r>
              <w:rPr>
                <w:rFonts w:hint="eastAsia" w:eastAsiaTheme="minorEastAsia"/>
                <w:color w:val="000000" w:themeColor="text1"/>
                <w:lang w:eastAsia="zh-CN"/>
                <w14:textFill>
                  <w14:solidFill>
                    <w14:schemeClr w14:val="tx1"/>
                  </w14:solidFill>
                </w14:textFill>
              </w:rPr>
              <w:t>操作失误</w:t>
            </w:r>
            <w:r>
              <w:rPr>
                <w:rFonts w:eastAsiaTheme="minorEastAsia"/>
                <w:color w:val="000000" w:themeColor="text1"/>
                <w14:textFill>
                  <w14:solidFill>
                    <w14:schemeClr w14:val="tx1"/>
                  </w14:solidFill>
                </w14:textFill>
              </w:rPr>
              <w:t>，船与</w:t>
            </w:r>
            <w:r>
              <w:rPr>
                <w:rFonts w:hint="eastAsia" w:eastAsiaTheme="minorEastAsia"/>
                <w:color w:val="000000" w:themeColor="text1"/>
                <w:lang w:eastAsia="zh-CN"/>
                <w14:textFill>
                  <w14:solidFill>
                    <w14:schemeClr w14:val="tx1"/>
                  </w14:solidFill>
                </w14:textFill>
              </w:rPr>
              <w:t>其他</w:t>
            </w:r>
            <w:r>
              <w:rPr>
                <w:rFonts w:eastAsiaTheme="minorEastAsia"/>
                <w:color w:val="000000" w:themeColor="text1"/>
                <w14:textFill>
                  <w14:solidFill>
                    <w14:schemeClr w14:val="tx1"/>
                  </w14:solidFill>
                </w14:textFill>
              </w:rPr>
              <w:t>船舶发生碰撞，导致油品、化工品、燃料泄漏；</w:t>
            </w:r>
            <w:r>
              <w:rPr>
                <w:rFonts w:hint="eastAsia" w:eastAsiaTheme="minorEastAsia"/>
                <w:color w:val="000000" w:themeColor="text1"/>
                <w14:textFill>
                  <w14:solidFill>
                    <w14:schemeClr w14:val="tx1"/>
                  </w14:solidFill>
                </w14:textFill>
              </w:rPr>
              <w:t>②</w:t>
            </w:r>
            <w:r>
              <w:rPr>
                <w:rFonts w:eastAsiaTheme="minorEastAsia"/>
                <w:color w:val="000000" w:themeColor="text1"/>
                <w14:textFill>
                  <w14:solidFill>
                    <w14:schemeClr w14:val="tx1"/>
                  </w14:solidFill>
                </w14:textFill>
              </w:rPr>
              <w:t>船舶在靠、离码头过程中，因操作不当，或因水文、气象条件不良等原因，船舶与码头碰撞，导致燃油品、化工品、燃料泄漏。</w:t>
            </w:r>
          </w:p>
        </w:tc>
        <w:tc>
          <w:tcPr>
            <w:tcW w:w="1203" w:type="dxa"/>
            <w:vMerge w:val="continue"/>
            <w:vAlign w:val="center"/>
          </w:tcPr>
          <w:p w14:paraId="3574266D">
            <w:pPr>
              <w:pStyle w:val="70"/>
              <w:rPr>
                <w:rFonts w:eastAsiaTheme="minorEastAsia"/>
                <w:color w:val="000000" w:themeColor="text1"/>
                <w14:textFill>
                  <w14:solidFill>
                    <w14:schemeClr w14:val="tx1"/>
                  </w14:solidFill>
                </w14:textFill>
              </w:rPr>
            </w:pPr>
          </w:p>
        </w:tc>
      </w:tr>
    </w:tbl>
    <w:p w14:paraId="0FB46D1B">
      <w:pPr>
        <w:pStyle w:val="6"/>
        <w:rPr>
          <w:color w:val="000000" w:themeColor="text1"/>
          <w14:textFill>
            <w14:solidFill>
              <w14:schemeClr w14:val="tx1"/>
            </w14:solidFill>
          </w14:textFill>
        </w:rPr>
      </w:pPr>
      <w:r>
        <w:rPr>
          <w:color w:val="000000" w:themeColor="text1"/>
          <w14:textFill>
            <w14:solidFill>
              <w14:schemeClr w14:val="tx1"/>
            </w14:solidFill>
          </w14:textFill>
        </w:rPr>
        <w:t>污水收集危险性识别</w:t>
      </w:r>
    </w:p>
    <w:p w14:paraId="5EAE6834">
      <w:pPr>
        <w:ind w:firstLine="480"/>
        <w:rPr>
          <w:color w:val="000000" w:themeColor="text1"/>
          <w:u w:val="single"/>
          <w14:textFill>
            <w14:solidFill>
              <w14:schemeClr w14:val="tx1"/>
            </w14:solidFill>
          </w14:textFill>
        </w:rPr>
      </w:pPr>
      <w:r>
        <w:rPr>
          <w:color w:val="000000" w:themeColor="text1"/>
          <w:u w:val="single"/>
          <w14:textFill>
            <w14:solidFill>
              <w14:schemeClr w14:val="tx1"/>
            </w14:solidFill>
          </w14:textFill>
        </w:rPr>
        <w:t>在码头上发生泄漏、冲洗码头、收集初期雨水等</w:t>
      </w:r>
      <w:r>
        <w:rPr>
          <w:rFonts w:hint="eastAsia"/>
          <w:color w:val="000000" w:themeColor="text1"/>
          <w:u w:val="single"/>
          <w14:textFill>
            <w14:solidFill>
              <w14:schemeClr w14:val="tx1"/>
            </w14:solidFill>
          </w14:textFill>
        </w:rPr>
        <w:t>情况</w:t>
      </w:r>
      <w:r>
        <w:rPr>
          <w:color w:val="000000" w:themeColor="text1"/>
          <w:u w:val="single"/>
          <w14:textFill>
            <w14:solidFill>
              <w14:schemeClr w14:val="tx1"/>
            </w14:solidFill>
          </w14:textFill>
        </w:rPr>
        <w:t>下，若码头上的污水收集池或污水泵出现故障，可能导致码头面上的污水溢出码头进入周边海域中，将对周边海域海水水质、海洋环境造成较大影响。</w:t>
      </w:r>
    </w:p>
    <w:p w14:paraId="33BD3262">
      <w:pPr>
        <w:pStyle w:val="6"/>
        <w:rPr>
          <w:color w:val="000000" w:themeColor="text1"/>
          <w:u w:val="single"/>
          <w14:textFill>
            <w14:solidFill>
              <w14:schemeClr w14:val="tx1"/>
            </w14:solidFill>
          </w14:textFill>
        </w:rPr>
      </w:pPr>
      <w:r>
        <w:rPr>
          <w:color w:val="000000" w:themeColor="text1"/>
          <w:u w:val="single"/>
          <w14:textFill>
            <w14:solidFill>
              <w14:schemeClr w14:val="tx1"/>
            </w14:solidFill>
          </w14:textFill>
        </w:rPr>
        <w:t>有毒有害物质扩散途径识别</w:t>
      </w:r>
    </w:p>
    <w:p w14:paraId="6F76E5FE">
      <w:pPr>
        <w:ind w:firstLine="480"/>
        <w:rPr>
          <w:color w:val="000000" w:themeColor="text1"/>
          <w:u w:val="single"/>
          <w14:textFill>
            <w14:solidFill>
              <w14:schemeClr w14:val="tx1"/>
            </w14:solidFill>
          </w14:textFill>
        </w:rPr>
      </w:pPr>
      <w:r>
        <w:rPr>
          <w:color w:val="000000" w:themeColor="text1"/>
          <w:u w:val="single"/>
          <w14:textFill>
            <w14:solidFill>
              <w14:schemeClr w14:val="tx1"/>
            </w14:solidFill>
          </w14:textFill>
        </w:rPr>
        <w:t>本项目发生化工品泄漏后，有毒有害物质的扩散途径主要是海水及大气。化工品泄漏进入金鼓江海域海水中后，可溶性的化工品溶入海水随海水的流动而迁移扩散；飘浮性的化工品漂浮在水面上，在海流及风力的作用下随海流漂移扩散。化工品泄漏后，部分易挥发化工品挥发至大气中，在风力的作用下载空气中迁移扩散。</w:t>
      </w:r>
    </w:p>
    <w:p w14:paraId="71C2EDB4">
      <w:pPr>
        <w:pStyle w:val="5"/>
        <w:rPr>
          <w:color w:val="000000" w:themeColor="text1"/>
          <w14:textFill>
            <w14:solidFill>
              <w14:schemeClr w14:val="tx1"/>
            </w14:solidFill>
          </w14:textFill>
        </w:rPr>
      </w:pPr>
      <w:r>
        <w:rPr>
          <w:color w:val="000000" w:themeColor="text1"/>
          <w14:textFill>
            <w14:solidFill>
              <w14:schemeClr w14:val="tx1"/>
            </w14:solidFill>
          </w14:textFill>
        </w:rPr>
        <w:t>风险事故情形分析</w:t>
      </w:r>
    </w:p>
    <w:p w14:paraId="0DDF96E3">
      <w:pPr>
        <w:pStyle w:val="4"/>
        <w:rPr>
          <w:color w:val="000000" w:themeColor="text1"/>
          <w14:textFill>
            <w14:solidFill>
              <w14:schemeClr w14:val="tx1"/>
            </w14:solidFill>
          </w14:textFill>
        </w:rPr>
      </w:pPr>
      <w:r>
        <w:rPr>
          <w:color w:val="000000" w:themeColor="text1"/>
          <w14:textFill>
            <w14:solidFill>
              <w14:schemeClr w14:val="tx1"/>
            </w14:solidFill>
          </w14:textFill>
        </w:rPr>
        <w:t>风险类型</w:t>
      </w:r>
    </w:p>
    <w:p w14:paraId="6476E489">
      <w:pPr>
        <w:ind w:firstLine="480"/>
        <w:rPr>
          <w:color w:val="000000" w:themeColor="text1"/>
          <w14:textFill>
            <w14:solidFill>
              <w14:schemeClr w14:val="tx1"/>
            </w14:solidFill>
          </w14:textFill>
        </w:rPr>
      </w:pPr>
      <w:r>
        <w:rPr>
          <w:color w:val="000000" w:themeColor="text1"/>
          <w14:textFill>
            <w14:solidFill>
              <w14:schemeClr w14:val="tx1"/>
            </w14:solidFill>
          </w14:textFill>
        </w:rPr>
        <w:t>本项目运营期可能存在的环境风险事故主要为</w:t>
      </w:r>
      <w:r>
        <w:rPr>
          <w:color w:val="000000" w:themeColor="text1"/>
          <w:u w:val="single"/>
          <w14:textFill>
            <w14:solidFill>
              <w14:schemeClr w14:val="tx1"/>
            </w14:solidFill>
          </w14:textFill>
        </w:rPr>
        <w:t>化学品</w:t>
      </w:r>
      <w:r>
        <w:rPr>
          <w:color w:val="000000" w:themeColor="text1"/>
          <w14:textFill>
            <w14:solidFill>
              <w14:schemeClr w14:val="tx1"/>
            </w14:solidFill>
          </w14:textFill>
        </w:rPr>
        <w:t>类泄漏（跑、冒、漏）事故、火灾爆炸事故、溢油事故引起对水环境、大气环境等造成二次污染以及对人群健康的危害，风险特征如表5.4-1所示。</w:t>
      </w:r>
    </w:p>
    <w:p w14:paraId="2CAB17D5">
      <w:pPr>
        <w:ind w:firstLine="480"/>
        <w:rPr>
          <w:color w:val="000000" w:themeColor="text1"/>
          <w14:textFill>
            <w14:solidFill>
              <w14:schemeClr w14:val="tx1"/>
            </w14:solidFill>
          </w14:textFill>
        </w:rPr>
      </w:pPr>
      <w:r>
        <w:rPr>
          <w:color w:val="000000" w:themeColor="text1"/>
          <w14:textFill>
            <w14:solidFill>
              <w14:schemeClr w14:val="tx1"/>
            </w14:solidFill>
          </w14:textFill>
        </w:rPr>
        <w:t>（1）化工品泄漏</w:t>
      </w:r>
    </w:p>
    <w:p w14:paraId="5CA034C1">
      <w:pPr>
        <w:ind w:firstLine="480"/>
        <w:rPr>
          <w:color w:val="000000" w:themeColor="text1"/>
          <w14:textFill>
            <w14:solidFill>
              <w14:schemeClr w14:val="tx1"/>
            </w14:solidFill>
          </w14:textFill>
        </w:rPr>
      </w:pPr>
      <w:r>
        <w:rPr>
          <w:color w:val="000000" w:themeColor="text1"/>
          <w14:textFill>
            <w14:solidFill>
              <w14:schemeClr w14:val="tx1"/>
            </w14:solidFill>
          </w14:textFill>
        </w:rPr>
        <w:t>本项目位于金鼓江作业区，</w:t>
      </w:r>
      <w:r>
        <w:rPr>
          <w:rFonts w:hint="eastAsia"/>
          <w:color w:val="000000" w:themeColor="text1"/>
          <w:lang w:eastAsia="zh-CN"/>
          <w14:textFill>
            <w14:solidFill>
              <w14:schemeClr w14:val="tx1"/>
            </w14:solidFill>
          </w14:textFill>
        </w:rPr>
        <w:t>一期</w:t>
      </w:r>
      <w:r>
        <w:rPr>
          <w:color w:val="000000" w:themeColor="text1"/>
          <w14:textFill>
            <w14:solidFill>
              <w14:schemeClr w14:val="tx1"/>
            </w14:solidFill>
          </w14:textFill>
        </w:rPr>
        <w:t>码头处因船舶碰撞、码头装卸作业操作不当、码头引桥输送管道破裂、密封盖平阀门破裂等原因发生化工品泄漏事故（跑、冒、漏），可能会导致项目区域大气中挥发性有机物浓度超标，影响大气环境质量，严重时会对人体身体健康产生危害。</w:t>
      </w:r>
    </w:p>
    <w:p w14:paraId="4C3CF718">
      <w:pPr>
        <w:ind w:firstLine="480"/>
        <w:rPr>
          <w:color w:val="000000" w:themeColor="text1"/>
          <w14:textFill>
            <w14:solidFill>
              <w14:schemeClr w14:val="tx1"/>
            </w14:solidFill>
          </w14:textFill>
        </w:rPr>
      </w:pPr>
      <w:r>
        <w:rPr>
          <w:color w:val="000000" w:themeColor="text1"/>
          <w14:textFill>
            <w14:solidFill>
              <w14:schemeClr w14:val="tx1"/>
            </w14:solidFill>
          </w14:textFill>
        </w:rPr>
        <w:t>（2）火灾爆炸</w:t>
      </w:r>
    </w:p>
    <w:p w14:paraId="71146FE9">
      <w:pPr>
        <w:ind w:firstLine="480"/>
        <w:rPr>
          <w:color w:val="000000" w:themeColor="text1"/>
          <w14:textFill>
            <w14:solidFill>
              <w14:schemeClr w14:val="tx1"/>
            </w14:solidFill>
          </w14:textFill>
        </w:rPr>
      </w:pPr>
      <w:r>
        <w:rPr>
          <w:color w:val="000000" w:themeColor="text1"/>
          <w14:textFill>
            <w14:solidFill>
              <w14:schemeClr w14:val="tx1"/>
            </w14:solidFill>
          </w14:textFill>
        </w:rPr>
        <w:t>本项目码头主要装卸品种部分属于易燃、易爆的化学危险品。当装卸中操作失误，或船舶、码头的设备、泵、阀门、管道系统发生泄漏和损坏事故时，有可能发生火灾或爆炸，从而引起对水环境、大气环境等</w:t>
      </w:r>
      <w:r>
        <w:rPr>
          <w:rFonts w:hint="eastAsia"/>
          <w:color w:val="000000" w:themeColor="text1"/>
          <w:lang w:eastAsia="zh-CN"/>
          <w14:textFill>
            <w14:solidFill>
              <w14:schemeClr w14:val="tx1"/>
            </w14:solidFill>
          </w14:textFill>
        </w:rPr>
        <w:t>造成二次污染</w:t>
      </w:r>
      <w:r>
        <w:rPr>
          <w:color w:val="000000" w:themeColor="text1"/>
          <w14:textFill>
            <w14:solidFill>
              <w14:schemeClr w14:val="tx1"/>
            </w14:solidFill>
          </w14:textFill>
        </w:rPr>
        <w:t>以及对人群健康的危害等环境风险事故。</w:t>
      </w:r>
    </w:p>
    <w:p w14:paraId="05A8F981">
      <w:pPr>
        <w:ind w:firstLine="480"/>
        <w:rPr>
          <w:color w:val="000000" w:themeColor="text1"/>
          <w14:textFill>
            <w14:solidFill>
              <w14:schemeClr w14:val="tx1"/>
            </w14:solidFill>
          </w14:textFill>
        </w:rPr>
      </w:pPr>
      <w:r>
        <w:rPr>
          <w:color w:val="000000" w:themeColor="text1"/>
          <w14:textFill>
            <w14:solidFill>
              <w14:schemeClr w14:val="tx1"/>
            </w14:solidFill>
          </w14:textFill>
        </w:rPr>
        <w:t>（3）事故溢油</w:t>
      </w:r>
    </w:p>
    <w:p w14:paraId="120385A7">
      <w:pPr>
        <w:ind w:firstLine="480"/>
        <w:rPr>
          <w:color w:val="000000" w:themeColor="text1"/>
          <w14:textFill>
            <w14:solidFill>
              <w14:schemeClr w14:val="tx1"/>
            </w14:solidFill>
          </w14:textFill>
        </w:rPr>
      </w:pPr>
      <w:r>
        <w:rPr>
          <w:color w:val="000000" w:themeColor="text1"/>
          <w14:textFill>
            <w14:solidFill>
              <w14:schemeClr w14:val="tx1"/>
            </w14:solidFill>
          </w14:textFill>
        </w:rPr>
        <w:t>船舶在航行过程、码头靠泊和装卸过程中发生油类、油性混合物和其他有毒有害物质泄漏，从而造成环境污染事故。</w:t>
      </w:r>
    </w:p>
    <w:p w14:paraId="19D17770">
      <w:pPr>
        <w:pStyle w:val="7"/>
        <w:rPr>
          <w:color w:val="000000" w:themeColor="text1"/>
          <w14:textFill>
            <w14:solidFill>
              <w14:schemeClr w14:val="tx1"/>
            </w14:solidFill>
          </w14:textFill>
        </w:rPr>
      </w:pPr>
      <w:r>
        <w:rPr>
          <w:color w:val="000000" w:themeColor="text1"/>
          <w14:textFill>
            <w14:solidFill>
              <w14:schemeClr w14:val="tx1"/>
            </w14:solidFill>
          </w14:textFill>
        </w:rPr>
        <w:t>项目风险特征表</w:t>
      </w:r>
    </w:p>
    <w:tbl>
      <w:tblPr>
        <w:tblStyle w:val="43"/>
        <w:tblW w:w="8276"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209"/>
        <w:gridCol w:w="2585"/>
        <w:gridCol w:w="2496"/>
        <w:gridCol w:w="1105"/>
        <w:gridCol w:w="881"/>
      </w:tblGrid>
      <w:tr w14:paraId="5D65373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04" w:hRule="atLeast"/>
          <w:tblHeader/>
        </w:trPr>
        <w:tc>
          <w:tcPr>
            <w:tcW w:w="1209" w:type="dxa"/>
            <w:vAlign w:val="center"/>
          </w:tcPr>
          <w:p w14:paraId="411C9F06">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风险类型</w:t>
            </w:r>
          </w:p>
        </w:tc>
        <w:tc>
          <w:tcPr>
            <w:tcW w:w="2585" w:type="dxa"/>
            <w:vAlign w:val="center"/>
          </w:tcPr>
          <w:p w14:paraId="7CE46F5A">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风险因素</w:t>
            </w:r>
          </w:p>
        </w:tc>
        <w:tc>
          <w:tcPr>
            <w:tcW w:w="2496" w:type="dxa"/>
            <w:vAlign w:val="center"/>
          </w:tcPr>
          <w:p w14:paraId="12D2B3B3">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发生环节</w:t>
            </w:r>
          </w:p>
        </w:tc>
        <w:tc>
          <w:tcPr>
            <w:tcW w:w="1105" w:type="dxa"/>
            <w:vAlign w:val="center"/>
          </w:tcPr>
          <w:p w14:paraId="479FB32A">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发生概率</w:t>
            </w:r>
          </w:p>
        </w:tc>
        <w:tc>
          <w:tcPr>
            <w:tcW w:w="881" w:type="dxa"/>
            <w:vAlign w:val="center"/>
          </w:tcPr>
          <w:p w14:paraId="0099BD65">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危害</w:t>
            </w:r>
          </w:p>
        </w:tc>
      </w:tr>
      <w:tr w14:paraId="48CFC57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209" w:type="dxa"/>
            <w:vMerge w:val="restart"/>
            <w:vAlign w:val="center"/>
          </w:tcPr>
          <w:p w14:paraId="32C9DFAA">
            <w:pPr>
              <w:pStyle w:val="70"/>
              <w:rPr>
                <w:color w:val="000000" w:themeColor="text1"/>
                <w14:textFill>
                  <w14:solidFill>
                    <w14:schemeClr w14:val="tx1"/>
                  </w14:solidFill>
                </w14:textFill>
              </w:rPr>
            </w:pPr>
            <w:r>
              <w:rPr>
                <w:color w:val="000000" w:themeColor="text1"/>
                <w14:textFill>
                  <w14:solidFill>
                    <w14:schemeClr w14:val="tx1"/>
                  </w14:solidFill>
                </w14:textFill>
              </w:rPr>
              <w:t>化工品泄漏</w:t>
            </w:r>
          </w:p>
        </w:tc>
        <w:tc>
          <w:tcPr>
            <w:tcW w:w="2585" w:type="dxa"/>
            <w:vAlign w:val="center"/>
          </w:tcPr>
          <w:p w14:paraId="50BF4C86">
            <w:pPr>
              <w:pStyle w:val="70"/>
              <w:rPr>
                <w:color w:val="000000" w:themeColor="text1"/>
                <w14:textFill>
                  <w14:solidFill>
                    <w14:schemeClr w14:val="tx1"/>
                  </w14:solidFill>
                </w14:textFill>
              </w:rPr>
            </w:pPr>
            <w:r>
              <w:rPr>
                <w:color w:val="000000" w:themeColor="text1"/>
                <w14:textFill>
                  <w14:solidFill>
                    <w14:schemeClr w14:val="tx1"/>
                  </w14:solidFill>
                </w14:textFill>
              </w:rPr>
              <w:t>海上化工品泄漏事故对水环境、大气环境等造成污染以及对人群健康的危害</w:t>
            </w:r>
          </w:p>
        </w:tc>
        <w:tc>
          <w:tcPr>
            <w:tcW w:w="2496" w:type="dxa"/>
            <w:vAlign w:val="center"/>
          </w:tcPr>
          <w:p w14:paraId="4066CB8F">
            <w:pPr>
              <w:pStyle w:val="70"/>
              <w:rPr>
                <w:color w:val="000000" w:themeColor="text1"/>
                <w14:textFill>
                  <w14:solidFill>
                    <w14:schemeClr w14:val="tx1"/>
                  </w14:solidFill>
                </w14:textFill>
              </w:rPr>
            </w:pPr>
            <w:r>
              <w:rPr>
                <w:color w:val="000000" w:themeColor="text1"/>
                <w14:textFill>
                  <w14:solidFill>
                    <w14:schemeClr w14:val="tx1"/>
                  </w14:solidFill>
                </w14:textFill>
              </w:rPr>
              <w:t>在码头与海域之间的狭窄航道上，或在码头作业期间发生的船舶碰撞或搁浅</w:t>
            </w:r>
          </w:p>
        </w:tc>
        <w:tc>
          <w:tcPr>
            <w:tcW w:w="1105" w:type="dxa"/>
            <w:vAlign w:val="center"/>
          </w:tcPr>
          <w:p w14:paraId="266E3563">
            <w:pPr>
              <w:pStyle w:val="70"/>
              <w:rPr>
                <w:color w:val="000000" w:themeColor="text1"/>
                <w14:textFill>
                  <w14:solidFill>
                    <w14:schemeClr w14:val="tx1"/>
                  </w14:solidFill>
                </w14:textFill>
              </w:rPr>
            </w:pPr>
            <w:r>
              <w:rPr>
                <w:color w:val="000000" w:themeColor="text1"/>
                <w14:textFill>
                  <w14:solidFill>
                    <w14:schemeClr w14:val="tx1"/>
                  </w14:solidFill>
                </w14:textFill>
              </w:rPr>
              <w:t>小~中</w:t>
            </w:r>
          </w:p>
        </w:tc>
        <w:tc>
          <w:tcPr>
            <w:tcW w:w="881" w:type="dxa"/>
            <w:vAlign w:val="center"/>
          </w:tcPr>
          <w:p w14:paraId="43FB4EBD">
            <w:pPr>
              <w:pStyle w:val="70"/>
              <w:rPr>
                <w:color w:val="000000" w:themeColor="text1"/>
                <w14:textFill>
                  <w14:solidFill>
                    <w14:schemeClr w14:val="tx1"/>
                  </w14:solidFill>
                </w14:textFill>
              </w:rPr>
            </w:pPr>
            <w:r>
              <w:rPr>
                <w:color w:val="000000" w:themeColor="text1"/>
                <w14:textFill>
                  <w14:solidFill>
                    <w14:schemeClr w14:val="tx1"/>
                  </w14:solidFill>
                </w14:textFill>
              </w:rPr>
              <w:t>中~大</w:t>
            </w:r>
          </w:p>
        </w:tc>
      </w:tr>
      <w:tr w14:paraId="22EA45F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209" w:type="dxa"/>
            <w:vMerge w:val="continue"/>
            <w:vAlign w:val="center"/>
          </w:tcPr>
          <w:p w14:paraId="0894DB04">
            <w:pPr>
              <w:pStyle w:val="70"/>
              <w:rPr>
                <w:color w:val="000000" w:themeColor="text1"/>
                <w14:textFill>
                  <w14:solidFill>
                    <w14:schemeClr w14:val="tx1"/>
                  </w14:solidFill>
                </w14:textFill>
              </w:rPr>
            </w:pPr>
          </w:p>
        </w:tc>
        <w:tc>
          <w:tcPr>
            <w:tcW w:w="2585" w:type="dxa"/>
            <w:vAlign w:val="center"/>
          </w:tcPr>
          <w:p w14:paraId="2730843A">
            <w:pPr>
              <w:pStyle w:val="70"/>
              <w:rPr>
                <w:color w:val="000000" w:themeColor="text1"/>
                <w14:textFill>
                  <w14:solidFill>
                    <w14:schemeClr w14:val="tx1"/>
                  </w14:solidFill>
                </w14:textFill>
              </w:rPr>
            </w:pPr>
            <w:r>
              <w:rPr>
                <w:color w:val="000000" w:themeColor="text1"/>
                <w14:textFill>
                  <w14:solidFill>
                    <w14:schemeClr w14:val="tx1"/>
                  </w14:solidFill>
                </w14:textFill>
              </w:rPr>
              <w:t>码头化工品泄漏事故对水环境、大气环境等造成污染以及对人群健康的危害</w:t>
            </w:r>
          </w:p>
        </w:tc>
        <w:tc>
          <w:tcPr>
            <w:tcW w:w="2496" w:type="dxa"/>
            <w:vAlign w:val="center"/>
          </w:tcPr>
          <w:p w14:paraId="3095B2AF">
            <w:pPr>
              <w:pStyle w:val="70"/>
              <w:rPr>
                <w:color w:val="000000" w:themeColor="text1"/>
                <w14:textFill>
                  <w14:solidFill>
                    <w14:schemeClr w14:val="tx1"/>
                  </w14:solidFill>
                </w14:textFill>
              </w:rPr>
            </w:pPr>
            <w:r>
              <w:rPr>
                <w:color w:val="000000" w:themeColor="text1"/>
                <w14:textFill>
                  <w14:solidFill>
                    <w14:schemeClr w14:val="tx1"/>
                  </w14:solidFill>
                </w14:textFill>
              </w:rPr>
              <w:t>管道接口泄漏，管道破裂，操作系统失灵，操作人员违反操作规定等</w:t>
            </w:r>
          </w:p>
        </w:tc>
        <w:tc>
          <w:tcPr>
            <w:tcW w:w="1105" w:type="dxa"/>
            <w:vAlign w:val="center"/>
          </w:tcPr>
          <w:p w14:paraId="00B28D5F">
            <w:pPr>
              <w:pStyle w:val="70"/>
              <w:rPr>
                <w:color w:val="000000" w:themeColor="text1"/>
                <w14:textFill>
                  <w14:solidFill>
                    <w14:schemeClr w14:val="tx1"/>
                  </w14:solidFill>
                </w14:textFill>
              </w:rPr>
            </w:pPr>
            <w:r>
              <w:rPr>
                <w:color w:val="000000" w:themeColor="text1"/>
                <w14:textFill>
                  <w14:solidFill>
                    <w14:schemeClr w14:val="tx1"/>
                  </w14:solidFill>
                </w14:textFill>
              </w:rPr>
              <w:t>小~中</w:t>
            </w:r>
          </w:p>
        </w:tc>
        <w:tc>
          <w:tcPr>
            <w:tcW w:w="881" w:type="dxa"/>
            <w:vAlign w:val="center"/>
          </w:tcPr>
          <w:p w14:paraId="4BC8E42A">
            <w:pPr>
              <w:pStyle w:val="70"/>
              <w:rPr>
                <w:color w:val="000000" w:themeColor="text1"/>
                <w14:textFill>
                  <w14:solidFill>
                    <w14:schemeClr w14:val="tx1"/>
                  </w14:solidFill>
                </w14:textFill>
              </w:rPr>
            </w:pPr>
            <w:r>
              <w:rPr>
                <w:color w:val="000000" w:themeColor="text1"/>
                <w14:textFill>
                  <w14:solidFill>
                    <w14:schemeClr w14:val="tx1"/>
                  </w14:solidFill>
                </w14:textFill>
              </w:rPr>
              <w:t>小</w:t>
            </w:r>
          </w:p>
        </w:tc>
      </w:tr>
      <w:tr w14:paraId="6D5EE8A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209" w:type="dxa"/>
            <w:vMerge w:val="restart"/>
            <w:vAlign w:val="center"/>
          </w:tcPr>
          <w:p w14:paraId="59C842F8">
            <w:pPr>
              <w:pStyle w:val="70"/>
              <w:rPr>
                <w:color w:val="000000" w:themeColor="text1"/>
                <w14:textFill>
                  <w14:solidFill>
                    <w14:schemeClr w14:val="tx1"/>
                  </w14:solidFill>
                </w14:textFill>
              </w:rPr>
            </w:pPr>
            <w:r>
              <w:rPr>
                <w:color w:val="000000" w:themeColor="text1"/>
                <w14:textFill>
                  <w14:solidFill>
                    <w14:schemeClr w14:val="tx1"/>
                  </w14:solidFill>
                </w14:textFill>
              </w:rPr>
              <w:t>火灾爆炸</w:t>
            </w:r>
          </w:p>
        </w:tc>
        <w:tc>
          <w:tcPr>
            <w:tcW w:w="2585" w:type="dxa"/>
            <w:vAlign w:val="center"/>
          </w:tcPr>
          <w:p w14:paraId="4BD302C6">
            <w:pPr>
              <w:pStyle w:val="70"/>
              <w:rPr>
                <w:color w:val="000000" w:themeColor="text1"/>
                <w14:textFill>
                  <w14:solidFill>
                    <w14:schemeClr w14:val="tx1"/>
                  </w14:solidFill>
                </w14:textFill>
              </w:rPr>
            </w:pPr>
            <w:r>
              <w:rPr>
                <w:color w:val="000000" w:themeColor="text1"/>
                <w14:textFill>
                  <w14:solidFill>
                    <w14:schemeClr w14:val="tx1"/>
                  </w14:solidFill>
                </w14:textFill>
              </w:rPr>
              <w:t>船舶海上火灾爆炸事故对水环境、大气环境等造成二次污染以及对人群健康的危害</w:t>
            </w:r>
          </w:p>
        </w:tc>
        <w:tc>
          <w:tcPr>
            <w:tcW w:w="2496" w:type="dxa"/>
            <w:vAlign w:val="center"/>
          </w:tcPr>
          <w:p w14:paraId="60EFD8B5">
            <w:pPr>
              <w:pStyle w:val="70"/>
              <w:rPr>
                <w:color w:val="000000" w:themeColor="text1"/>
                <w14:textFill>
                  <w14:solidFill>
                    <w14:schemeClr w14:val="tx1"/>
                  </w14:solidFill>
                </w14:textFill>
              </w:rPr>
            </w:pPr>
            <w:r>
              <w:rPr>
                <w:color w:val="000000" w:themeColor="text1"/>
                <w14:textFill>
                  <w14:solidFill>
                    <w14:schemeClr w14:val="tx1"/>
                  </w14:solidFill>
                </w14:textFill>
              </w:rPr>
              <w:t>海上的装卸作业及海运事故，如油轮搁浅或碰撞</w:t>
            </w:r>
          </w:p>
        </w:tc>
        <w:tc>
          <w:tcPr>
            <w:tcW w:w="1105" w:type="dxa"/>
            <w:vAlign w:val="center"/>
          </w:tcPr>
          <w:p w14:paraId="3475F9EC">
            <w:pPr>
              <w:pStyle w:val="70"/>
              <w:rPr>
                <w:color w:val="000000" w:themeColor="text1"/>
                <w14:textFill>
                  <w14:solidFill>
                    <w14:schemeClr w14:val="tx1"/>
                  </w14:solidFill>
                </w14:textFill>
              </w:rPr>
            </w:pPr>
            <w:r>
              <w:rPr>
                <w:color w:val="000000" w:themeColor="text1"/>
                <w14:textFill>
                  <w14:solidFill>
                    <w14:schemeClr w14:val="tx1"/>
                  </w14:solidFill>
                </w14:textFill>
              </w:rPr>
              <w:t>小</w:t>
            </w:r>
          </w:p>
        </w:tc>
        <w:tc>
          <w:tcPr>
            <w:tcW w:w="881" w:type="dxa"/>
            <w:vAlign w:val="center"/>
          </w:tcPr>
          <w:p w14:paraId="6FD7455E">
            <w:pPr>
              <w:pStyle w:val="70"/>
              <w:rPr>
                <w:color w:val="000000" w:themeColor="text1"/>
                <w14:textFill>
                  <w14:solidFill>
                    <w14:schemeClr w14:val="tx1"/>
                  </w14:solidFill>
                </w14:textFill>
              </w:rPr>
            </w:pPr>
            <w:r>
              <w:rPr>
                <w:color w:val="000000" w:themeColor="text1"/>
                <w14:textFill>
                  <w14:solidFill>
                    <w14:schemeClr w14:val="tx1"/>
                  </w14:solidFill>
                </w14:textFill>
              </w:rPr>
              <w:t>中</w:t>
            </w:r>
          </w:p>
        </w:tc>
      </w:tr>
      <w:tr w14:paraId="029A7A1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209" w:type="dxa"/>
            <w:vMerge w:val="continue"/>
            <w:vAlign w:val="center"/>
          </w:tcPr>
          <w:p w14:paraId="28DB72D5">
            <w:pPr>
              <w:pStyle w:val="70"/>
              <w:rPr>
                <w:color w:val="000000" w:themeColor="text1"/>
                <w14:textFill>
                  <w14:solidFill>
                    <w14:schemeClr w14:val="tx1"/>
                  </w14:solidFill>
                </w14:textFill>
              </w:rPr>
            </w:pPr>
          </w:p>
        </w:tc>
        <w:tc>
          <w:tcPr>
            <w:tcW w:w="2585" w:type="dxa"/>
            <w:vAlign w:val="center"/>
          </w:tcPr>
          <w:p w14:paraId="706162EB">
            <w:pPr>
              <w:pStyle w:val="70"/>
              <w:rPr>
                <w:color w:val="000000" w:themeColor="text1"/>
                <w14:textFill>
                  <w14:solidFill>
                    <w14:schemeClr w14:val="tx1"/>
                  </w14:solidFill>
                </w14:textFill>
              </w:rPr>
            </w:pPr>
            <w:r>
              <w:rPr>
                <w:color w:val="000000" w:themeColor="text1"/>
                <w14:textFill>
                  <w14:solidFill>
                    <w14:schemeClr w14:val="tx1"/>
                  </w14:solidFill>
                </w14:textFill>
              </w:rPr>
              <w:t>码头火灾爆炸对水环境、大气环境等造成二次污染以及对人群健康的危害</w:t>
            </w:r>
          </w:p>
        </w:tc>
        <w:tc>
          <w:tcPr>
            <w:tcW w:w="2496" w:type="dxa"/>
            <w:vAlign w:val="center"/>
          </w:tcPr>
          <w:p w14:paraId="5241FD6D">
            <w:pPr>
              <w:pStyle w:val="70"/>
              <w:rPr>
                <w:color w:val="000000" w:themeColor="text1"/>
                <w14:textFill>
                  <w14:solidFill>
                    <w14:schemeClr w14:val="tx1"/>
                  </w14:solidFill>
                </w14:textFill>
              </w:rPr>
            </w:pPr>
            <w:r>
              <w:rPr>
                <w:color w:val="000000" w:themeColor="text1"/>
                <w14:textFill>
                  <w14:solidFill>
                    <w14:schemeClr w14:val="tx1"/>
                  </w14:solidFill>
                </w14:textFill>
              </w:rPr>
              <w:t>操作失误或管压过大；密封盖、阀门或管道破裂，并由此引发泄漏气体的燃烧和自燃</w:t>
            </w:r>
          </w:p>
        </w:tc>
        <w:tc>
          <w:tcPr>
            <w:tcW w:w="1105" w:type="dxa"/>
            <w:vAlign w:val="center"/>
          </w:tcPr>
          <w:p w14:paraId="150B5F65">
            <w:pPr>
              <w:pStyle w:val="70"/>
              <w:rPr>
                <w:color w:val="000000" w:themeColor="text1"/>
                <w14:textFill>
                  <w14:solidFill>
                    <w14:schemeClr w14:val="tx1"/>
                  </w14:solidFill>
                </w14:textFill>
              </w:rPr>
            </w:pPr>
            <w:r>
              <w:rPr>
                <w:color w:val="000000" w:themeColor="text1"/>
                <w14:textFill>
                  <w14:solidFill>
                    <w14:schemeClr w14:val="tx1"/>
                  </w14:solidFill>
                </w14:textFill>
              </w:rPr>
              <w:t>小</w:t>
            </w:r>
          </w:p>
        </w:tc>
        <w:tc>
          <w:tcPr>
            <w:tcW w:w="881" w:type="dxa"/>
            <w:vAlign w:val="center"/>
          </w:tcPr>
          <w:p w14:paraId="7C23918B">
            <w:pPr>
              <w:pStyle w:val="70"/>
              <w:rPr>
                <w:color w:val="000000" w:themeColor="text1"/>
                <w14:textFill>
                  <w14:solidFill>
                    <w14:schemeClr w14:val="tx1"/>
                  </w14:solidFill>
                </w14:textFill>
              </w:rPr>
            </w:pPr>
            <w:r>
              <w:rPr>
                <w:color w:val="000000" w:themeColor="text1"/>
                <w14:textFill>
                  <w14:solidFill>
                    <w14:schemeClr w14:val="tx1"/>
                  </w14:solidFill>
                </w14:textFill>
              </w:rPr>
              <w:t>中~大</w:t>
            </w:r>
          </w:p>
        </w:tc>
      </w:tr>
      <w:tr w14:paraId="254EF83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209" w:type="dxa"/>
            <w:vMerge w:val="restart"/>
            <w:vAlign w:val="center"/>
          </w:tcPr>
          <w:p w14:paraId="552894EE">
            <w:pPr>
              <w:pStyle w:val="70"/>
              <w:rPr>
                <w:color w:val="000000" w:themeColor="text1"/>
                <w14:textFill>
                  <w14:solidFill>
                    <w14:schemeClr w14:val="tx1"/>
                  </w14:solidFill>
                </w14:textFill>
              </w:rPr>
            </w:pPr>
            <w:r>
              <w:rPr>
                <w:color w:val="000000" w:themeColor="text1"/>
                <w14:textFill>
                  <w14:solidFill>
                    <w14:schemeClr w14:val="tx1"/>
                  </w14:solidFill>
                </w14:textFill>
              </w:rPr>
              <w:t>溢油事故</w:t>
            </w:r>
          </w:p>
        </w:tc>
        <w:tc>
          <w:tcPr>
            <w:tcW w:w="2585" w:type="dxa"/>
            <w:vAlign w:val="center"/>
          </w:tcPr>
          <w:p w14:paraId="6AC52ECA">
            <w:pPr>
              <w:pStyle w:val="70"/>
              <w:rPr>
                <w:color w:val="000000" w:themeColor="text1"/>
                <w14:textFill>
                  <w14:solidFill>
                    <w14:schemeClr w14:val="tx1"/>
                  </w14:solidFill>
                </w14:textFill>
              </w:rPr>
            </w:pPr>
            <w:r>
              <w:rPr>
                <w:color w:val="000000" w:themeColor="text1"/>
                <w14:textFill>
                  <w14:solidFill>
                    <w14:schemeClr w14:val="tx1"/>
                  </w14:solidFill>
                </w14:textFill>
              </w:rPr>
              <w:t>事故溢油对水环境造成污染</w:t>
            </w:r>
          </w:p>
        </w:tc>
        <w:tc>
          <w:tcPr>
            <w:tcW w:w="2496" w:type="dxa"/>
            <w:vAlign w:val="center"/>
          </w:tcPr>
          <w:p w14:paraId="72D44F6E">
            <w:pPr>
              <w:pStyle w:val="70"/>
              <w:rPr>
                <w:color w:val="000000" w:themeColor="text1"/>
                <w14:textFill>
                  <w14:solidFill>
                    <w14:schemeClr w14:val="tx1"/>
                  </w14:solidFill>
                </w14:textFill>
              </w:rPr>
            </w:pPr>
            <w:r>
              <w:rPr>
                <w:color w:val="000000" w:themeColor="text1"/>
                <w14:textFill>
                  <w14:solidFill>
                    <w14:schemeClr w14:val="tx1"/>
                  </w14:solidFill>
                </w14:textFill>
              </w:rPr>
              <w:t>施工期船舶与周边码头船舶碰撞事故</w:t>
            </w:r>
          </w:p>
        </w:tc>
        <w:tc>
          <w:tcPr>
            <w:tcW w:w="1105" w:type="dxa"/>
            <w:vAlign w:val="center"/>
          </w:tcPr>
          <w:p w14:paraId="7ABE4C47">
            <w:pPr>
              <w:pStyle w:val="70"/>
              <w:rPr>
                <w:color w:val="000000" w:themeColor="text1"/>
                <w14:textFill>
                  <w14:solidFill>
                    <w14:schemeClr w14:val="tx1"/>
                  </w14:solidFill>
                </w14:textFill>
              </w:rPr>
            </w:pPr>
            <w:r>
              <w:rPr>
                <w:color w:val="000000" w:themeColor="text1"/>
                <w14:textFill>
                  <w14:solidFill>
                    <w14:schemeClr w14:val="tx1"/>
                  </w14:solidFill>
                </w14:textFill>
              </w:rPr>
              <w:t>小~中</w:t>
            </w:r>
          </w:p>
        </w:tc>
        <w:tc>
          <w:tcPr>
            <w:tcW w:w="881" w:type="dxa"/>
            <w:vAlign w:val="center"/>
          </w:tcPr>
          <w:p w14:paraId="7C8405E6">
            <w:pPr>
              <w:pStyle w:val="70"/>
              <w:rPr>
                <w:color w:val="000000" w:themeColor="text1"/>
                <w14:textFill>
                  <w14:solidFill>
                    <w14:schemeClr w14:val="tx1"/>
                  </w14:solidFill>
                </w14:textFill>
              </w:rPr>
            </w:pPr>
            <w:r>
              <w:rPr>
                <w:color w:val="000000" w:themeColor="text1"/>
                <w14:textFill>
                  <w14:solidFill>
                    <w14:schemeClr w14:val="tx1"/>
                  </w14:solidFill>
                </w14:textFill>
              </w:rPr>
              <w:t>中~大</w:t>
            </w:r>
          </w:p>
        </w:tc>
      </w:tr>
      <w:tr w14:paraId="1780FF0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209" w:type="dxa"/>
            <w:vMerge w:val="continue"/>
            <w:vAlign w:val="center"/>
          </w:tcPr>
          <w:p w14:paraId="29421F29">
            <w:pPr>
              <w:pStyle w:val="70"/>
              <w:rPr>
                <w:color w:val="000000" w:themeColor="text1"/>
                <w14:textFill>
                  <w14:solidFill>
                    <w14:schemeClr w14:val="tx1"/>
                  </w14:solidFill>
                </w14:textFill>
              </w:rPr>
            </w:pPr>
          </w:p>
        </w:tc>
        <w:tc>
          <w:tcPr>
            <w:tcW w:w="2585" w:type="dxa"/>
            <w:vAlign w:val="center"/>
          </w:tcPr>
          <w:p w14:paraId="4A46250B">
            <w:pPr>
              <w:pStyle w:val="70"/>
              <w:rPr>
                <w:color w:val="000000" w:themeColor="text1"/>
                <w14:textFill>
                  <w14:solidFill>
                    <w14:schemeClr w14:val="tx1"/>
                  </w14:solidFill>
                </w14:textFill>
              </w:rPr>
            </w:pPr>
            <w:r>
              <w:rPr>
                <w:color w:val="000000" w:themeColor="text1"/>
                <w14:textFill>
                  <w14:solidFill>
                    <w14:schemeClr w14:val="tx1"/>
                  </w14:solidFill>
                </w14:textFill>
              </w:rPr>
              <w:t>事故溢油对水环境造成污染</w:t>
            </w:r>
          </w:p>
        </w:tc>
        <w:tc>
          <w:tcPr>
            <w:tcW w:w="2496" w:type="dxa"/>
            <w:vAlign w:val="center"/>
          </w:tcPr>
          <w:p w14:paraId="198444DC">
            <w:pPr>
              <w:pStyle w:val="70"/>
              <w:rPr>
                <w:color w:val="000000" w:themeColor="text1"/>
                <w14:textFill>
                  <w14:solidFill>
                    <w14:schemeClr w14:val="tx1"/>
                  </w14:solidFill>
                </w14:textFill>
              </w:rPr>
            </w:pPr>
            <w:r>
              <w:rPr>
                <w:color w:val="000000" w:themeColor="text1"/>
                <w14:textFill>
                  <w14:solidFill>
                    <w14:schemeClr w14:val="tx1"/>
                  </w14:solidFill>
                </w14:textFill>
              </w:rPr>
              <w:t>运输船舶航行中，与其他船舶碰撞等事故，导致溢油；码头前沿附近海域，由于操作失误，运输船舶与其他船舶发生碰撞，导致溢油；运输船舶在靠、离码头过程中，因操作不当或因水文、气象条件不良等原因，与码头碰撞，导致溢油</w:t>
            </w:r>
          </w:p>
        </w:tc>
        <w:tc>
          <w:tcPr>
            <w:tcW w:w="1105" w:type="dxa"/>
            <w:vAlign w:val="center"/>
          </w:tcPr>
          <w:p w14:paraId="350E13E9">
            <w:pPr>
              <w:pStyle w:val="70"/>
              <w:rPr>
                <w:color w:val="000000" w:themeColor="text1"/>
                <w14:textFill>
                  <w14:solidFill>
                    <w14:schemeClr w14:val="tx1"/>
                  </w14:solidFill>
                </w14:textFill>
              </w:rPr>
            </w:pPr>
            <w:r>
              <w:rPr>
                <w:color w:val="000000" w:themeColor="text1"/>
                <w14:textFill>
                  <w14:solidFill>
                    <w14:schemeClr w14:val="tx1"/>
                  </w14:solidFill>
                </w14:textFill>
              </w:rPr>
              <w:t>小~中</w:t>
            </w:r>
          </w:p>
        </w:tc>
        <w:tc>
          <w:tcPr>
            <w:tcW w:w="881" w:type="dxa"/>
            <w:vAlign w:val="center"/>
          </w:tcPr>
          <w:p w14:paraId="32100C84">
            <w:pPr>
              <w:pStyle w:val="70"/>
              <w:rPr>
                <w:color w:val="000000" w:themeColor="text1"/>
                <w14:textFill>
                  <w14:solidFill>
                    <w14:schemeClr w14:val="tx1"/>
                  </w14:solidFill>
                </w14:textFill>
              </w:rPr>
            </w:pPr>
            <w:r>
              <w:rPr>
                <w:color w:val="000000" w:themeColor="text1"/>
                <w14:textFill>
                  <w14:solidFill>
                    <w14:schemeClr w14:val="tx1"/>
                  </w14:solidFill>
                </w14:textFill>
              </w:rPr>
              <w:t>中~大</w:t>
            </w:r>
          </w:p>
        </w:tc>
      </w:tr>
    </w:tbl>
    <w:p w14:paraId="745739D4">
      <w:pPr>
        <w:pStyle w:val="4"/>
        <w:rPr>
          <w:color w:val="000000" w:themeColor="text1"/>
          <w14:textFill>
            <w14:solidFill>
              <w14:schemeClr w14:val="tx1"/>
            </w14:solidFill>
          </w14:textFill>
        </w:rPr>
      </w:pPr>
      <w:r>
        <w:rPr>
          <w:color w:val="000000" w:themeColor="text1"/>
          <w14:textFill>
            <w14:solidFill>
              <w14:schemeClr w14:val="tx1"/>
            </w14:solidFill>
          </w14:textFill>
        </w:rPr>
        <w:t>源项分析</w:t>
      </w:r>
    </w:p>
    <w:p w14:paraId="3A599B18">
      <w:pPr>
        <w:pStyle w:val="6"/>
        <w:rPr>
          <w:color w:val="000000" w:themeColor="text1"/>
          <w14:textFill>
            <w14:solidFill>
              <w14:schemeClr w14:val="tx1"/>
            </w14:solidFill>
          </w14:textFill>
        </w:rPr>
      </w:pPr>
      <w:r>
        <w:rPr>
          <w:color w:val="000000" w:themeColor="text1"/>
          <w14:textFill>
            <w14:solidFill>
              <w14:schemeClr w14:val="tx1"/>
            </w14:solidFill>
          </w14:textFill>
        </w:rPr>
        <w:t>陆域泄漏选项分析</w:t>
      </w:r>
    </w:p>
    <w:p w14:paraId="7E9F0DF8">
      <w:pPr>
        <w:ind w:firstLine="480"/>
        <w:rPr>
          <w:color w:val="000000" w:themeColor="text1"/>
          <w14:textFill>
            <w14:solidFill>
              <w14:schemeClr w14:val="tx1"/>
            </w14:solidFill>
          </w14:textFill>
        </w:rPr>
      </w:pPr>
      <w:r>
        <w:rPr>
          <w:color w:val="000000" w:themeColor="text1"/>
          <w14:textFill>
            <w14:solidFill>
              <w14:schemeClr w14:val="tx1"/>
            </w14:solidFill>
          </w14:textFill>
        </w:rPr>
        <w:t>1、最大可信事故设定</w:t>
      </w:r>
    </w:p>
    <w:p w14:paraId="51C8D9BC">
      <w:pPr>
        <w:ind w:firstLine="480"/>
        <w:rPr>
          <w:color w:val="000000" w:themeColor="text1"/>
          <w14:textFill>
            <w14:solidFill>
              <w14:schemeClr w14:val="tx1"/>
            </w14:solidFill>
          </w14:textFill>
        </w:rPr>
      </w:pPr>
      <w:r>
        <w:rPr>
          <w:color w:val="000000" w:themeColor="text1"/>
          <w14:textFill>
            <w14:solidFill>
              <w14:schemeClr w14:val="tx1"/>
            </w14:solidFill>
          </w14:textFill>
        </w:rPr>
        <w:t>根据《建设项目环境风险评价技术导则》（HJ169-2018）附录 E 中表 E.1各风险源的泄漏频率确定最大可信事故。对于管线泄漏，其内径＞150mm管道泄漏孔径为10%孔径概率为2.4×10</w:t>
      </w:r>
      <w:r>
        <w:rPr>
          <w:color w:val="000000" w:themeColor="text1"/>
          <w:vertAlign w:val="superscript"/>
          <w14:textFill>
            <w14:solidFill>
              <w14:schemeClr w14:val="tx1"/>
            </w14:solidFill>
          </w14:textFill>
        </w:rPr>
        <w:t>-6</w:t>
      </w:r>
      <w:r>
        <w:rPr>
          <w:color w:val="000000" w:themeColor="text1"/>
          <w14:textFill>
            <w14:solidFill>
              <w14:schemeClr w14:val="tx1"/>
            </w14:solidFill>
          </w14:textFill>
        </w:rPr>
        <w:t>/a，可作为最大可信事故进行分析。</w:t>
      </w:r>
    </w:p>
    <w:p w14:paraId="016D8BA4">
      <w:pPr>
        <w:ind w:firstLine="480"/>
        <w:rPr>
          <w:color w:val="000000" w:themeColor="text1"/>
          <w14:textFill>
            <w14:solidFill>
              <w14:schemeClr w14:val="tx1"/>
            </w14:solidFill>
          </w14:textFill>
        </w:rPr>
      </w:pPr>
      <w:r>
        <w:rPr>
          <w:color w:val="000000" w:themeColor="text1"/>
          <w14:textFill>
            <w14:solidFill>
              <w14:schemeClr w14:val="tx1"/>
            </w14:solidFill>
          </w14:textFill>
        </w:rPr>
        <w:t>因此本项目最大可信事故按常压管线泄漏孔径为10%进行预测分析。</w:t>
      </w:r>
    </w:p>
    <w:p w14:paraId="51D7DBD4">
      <w:pPr>
        <w:ind w:firstLine="480"/>
        <w:rPr>
          <w:color w:val="000000" w:themeColor="text1"/>
          <w14:textFill>
            <w14:solidFill>
              <w14:schemeClr w14:val="tx1"/>
            </w14:solidFill>
          </w14:textFill>
        </w:rPr>
      </w:pPr>
      <w:r>
        <w:rPr>
          <w:color w:val="000000" w:themeColor="text1"/>
          <w14:textFill>
            <w14:solidFill>
              <w14:schemeClr w14:val="tx1"/>
            </w14:solidFill>
          </w14:textFill>
        </w:rPr>
        <w:t>《建设项目环境风险评价技术导则》（HJ169-2018）附录G给出部分物质的毒性终点浓度，毒性终点浓度越低，则表示人体接触该物质后约易造成健康影响，因此，本次风险评价中优先选取毒性终点浓度低的物质作为典型物质。同时综合考虑物料泄漏量（管线泄漏为响应时间内管线经过量）。</w:t>
      </w:r>
    </w:p>
    <w:p w14:paraId="01D0AE31">
      <w:pPr>
        <w:pStyle w:val="7"/>
        <w:rPr>
          <w:color w:val="000000" w:themeColor="text1"/>
          <w14:textFill>
            <w14:solidFill>
              <w14:schemeClr w14:val="tx1"/>
            </w14:solidFill>
          </w14:textFill>
        </w:rPr>
      </w:pPr>
      <w:r>
        <w:rPr>
          <w:color w:val="000000" w:themeColor="text1"/>
          <w14:textFill>
            <w14:solidFill>
              <w14:schemeClr w14:val="tx1"/>
            </w14:solidFill>
          </w14:textFill>
        </w:rPr>
        <w:t>项目吞吐量及毒性较大装卸货物统计表</w:t>
      </w:r>
    </w:p>
    <w:tbl>
      <w:tblPr>
        <w:tblStyle w:val="43"/>
        <w:tblW w:w="8521"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809"/>
        <w:gridCol w:w="1678"/>
        <w:gridCol w:w="1678"/>
        <w:gridCol w:w="1678"/>
        <w:gridCol w:w="1678"/>
      </w:tblGrid>
      <w:tr w14:paraId="109643B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c>
          <w:tcPr>
            <w:tcW w:w="1809" w:type="dxa"/>
            <w:vAlign w:val="center"/>
          </w:tcPr>
          <w:p w14:paraId="20C2810C">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物料</w:t>
            </w:r>
          </w:p>
        </w:tc>
        <w:tc>
          <w:tcPr>
            <w:tcW w:w="1678" w:type="dxa"/>
            <w:vAlign w:val="center"/>
          </w:tcPr>
          <w:p w14:paraId="24210AD4">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管线/mm</w:t>
            </w:r>
          </w:p>
        </w:tc>
        <w:tc>
          <w:tcPr>
            <w:tcW w:w="1678" w:type="dxa"/>
            <w:vAlign w:val="center"/>
          </w:tcPr>
          <w:p w14:paraId="7358EE5F">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在线储量（t）</w:t>
            </w:r>
          </w:p>
        </w:tc>
        <w:tc>
          <w:tcPr>
            <w:tcW w:w="1678" w:type="dxa"/>
            <w:vAlign w:val="center"/>
          </w:tcPr>
          <w:p w14:paraId="536D2C84">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毒性终点浓度-1（mg/m</w:t>
            </w:r>
            <w:r>
              <w:rPr>
                <w:b/>
                <w:bCs/>
                <w:color w:val="000000" w:themeColor="text1"/>
                <w:vertAlign w:val="superscript"/>
                <w14:textFill>
                  <w14:solidFill>
                    <w14:schemeClr w14:val="tx1"/>
                  </w14:solidFill>
                </w14:textFill>
              </w:rPr>
              <w:t>3</w:t>
            </w:r>
            <w:r>
              <w:rPr>
                <w:b/>
                <w:bCs/>
                <w:color w:val="000000" w:themeColor="text1"/>
                <w14:textFill>
                  <w14:solidFill>
                    <w14:schemeClr w14:val="tx1"/>
                  </w14:solidFill>
                </w14:textFill>
              </w:rPr>
              <w:t>）</w:t>
            </w:r>
          </w:p>
        </w:tc>
        <w:tc>
          <w:tcPr>
            <w:tcW w:w="1678" w:type="dxa"/>
            <w:vAlign w:val="center"/>
          </w:tcPr>
          <w:p w14:paraId="72C7F643">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毒性终点浓度-2（mg/m</w:t>
            </w:r>
            <w:r>
              <w:rPr>
                <w:b/>
                <w:bCs/>
                <w:color w:val="000000" w:themeColor="text1"/>
                <w:vertAlign w:val="superscript"/>
                <w14:textFill>
                  <w14:solidFill>
                    <w14:schemeClr w14:val="tx1"/>
                  </w14:solidFill>
                </w14:textFill>
              </w:rPr>
              <w:t>3</w:t>
            </w:r>
            <w:r>
              <w:rPr>
                <w:b/>
                <w:bCs/>
                <w:color w:val="000000" w:themeColor="text1"/>
                <w14:textFill>
                  <w14:solidFill>
                    <w14:schemeClr w14:val="tx1"/>
                  </w14:solidFill>
                </w14:textFill>
              </w:rPr>
              <w:t>）</w:t>
            </w:r>
          </w:p>
        </w:tc>
      </w:tr>
      <w:tr w14:paraId="6DD0393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809" w:type="dxa"/>
            <w:vAlign w:val="center"/>
          </w:tcPr>
          <w:p w14:paraId="38CE852E">
            <w:pPr>
              <w:pStyle w:val="70"/>
              <w:ind w:firstLine="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苯乙烯</w:t>
            </w:r>
          </w:p>
        </w:tc>
        <w:tc>
          <w:tcPr>
            <w:tcW w:w="1678" w:type="dxa"/>
            <w:vAlign w:val="top"/>
          </w:tcPr>
          <w:p w14:paraId="68E4B365">
            <w:pPr>
              <w:pStyle w:val="70"/>
              <w:ind w:firstLine="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400</w:t>
            </w:r>
          </w:p>
        </w:tc>
        <w:tc>
          <w:tcPr>
            <w:tcW w:w="1678" w:type="dxa"/>
            <w:vAlign w:val="center"/>
          </w:tcPr>
          <w:p w14:paraId="2B00B8DF">
            <w:pPr>
              <w:pStyle w:val="70"/>
              <w:ind w:firstLine="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28.45</w:t>
            </w:r>
          </w:p>
        </w:tc>
        <w:tc>
          <w:tcPr>
            <w:tcW w:w="1678" w:type="dxa"/>
            <w:vAlign w:val="center"/>
          </w:tcPr>
          <w:p w14:paraId="0A32E24D">
            <w:pPr>
              <w:pStyle w:val="70"/>
              <w:ind w:firstLine="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47000</w:t>
            </w:r>
          </w:p>
        </w:tc>
        <w:tc>
          <w:tcPr>
            <w:tcW w:w="1678" w:type="dxa"/>
            <w:vAlign w:val="center"/>
          </w:tcPr>
          <w:p w14:paraId="7EDB3F93">
            <w:pPr>
              <w:pStyle w:val="70"/>
              <w:ind w:firstLine="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550</w:t>
            </w:r>
          </w:p>
        </w:tc>
      </w:tr>
      <w:tr w14:paraId="73DAF91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809" w:type="dxa"/>
            <w:vAlign w:val="center"/>
          </w:tcPr>
          <w:p w14:paraId="3B4143FD">
            <w:pPr>
              <w:pStyle w:val="70"/>
              <w:ind w:firstLine="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裂解C9</w:t>
            </w:r>
          </w:p>
        </w:tc>
        <w:tc>
          <w:tcPr>
            <w:tcW w:w="1678" w:type="dxa"/>
            <w:vAlign w:val="top"/>
          </w:tcPr>
          <w:p w14:paraId="20144D93">
            <w:pPr>
              <w:pStyle w:val="70"/>
              <w:ind w:firstLine="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200</w:t>
            </w:r>
          </w:p>
        </w:tc>
        <w:tc>
          <w:tcPr>
            <w:tcW w:w="1678" w:type="dxa"/>
            <w:vAlign w:val="center"/>
          </w:tcPr>
          <w:p w14:paraId="0846E9AE">
            <w:pPr>
              <w:pStyle w:val="70"/>
              <w:ind w:firstLine="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45.69</w:t>
            </w:r>
          </w:p>
        </w:tc>
        <w:tc>
          <w:tcPr>
            <w:tcW w:w="1678" w:type="dxa"/>
            <w:vAlign w:val="center"/>
          </w:tcPr>
          <w:p w14:paraId="606A4F4B">
            <w:pPr>
              <w:pStyle w:val="70"/>
              <w:ind w:firstLine="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4900</w:t>
            </w:r>
          </w:p>
        </w:tc>
        <w:tc>
          <w:tcPr>
            <w:tcW w:w="1678" w:type="dxa"/>
            <w:vAlign w:val="center"/>
          </w:tcPr>
          <w:p w14:paraId="47FBBBDE">
            <w:pPr>
              <w:pStyle w:val="70"/>
              <w:ind w:firstLine="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1400</w:t>
            </w:r>
          </w:p>
        </w:tc>
      </w:tr>
      <w:tr w14:paraId="32CD649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809" w:type="dxa"/>
            <w:vAlign w:val="center"/>
          </w:tcPr>
          <w:p w14:paraId="1656D3A1">
            <w:pPr>
              <w:pStyle w:val="70"/>
              <w:ind w:firstLine="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纯生物柴油</w:t>
            </w:r>
          </w:p>
        </w:tc>
        <w:tc>
          <w:tcPr>
            <w:tcW w:w="1678" w:type="dxa"/>
            <w:vAlign w:val="top"/>
          </w:tcPr>
          <w:p w14:paraId="79075C6D">
            <w:pPr>
              <w:pStyle w:val="70"/>
              <w:ind w:firstLine="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200</w:t>
            </w:r>
          </w:p>
        </w:tc>
        <w:tc>
          <w:tcPr>
            <w:tcW w:w="1678" w:type="dxa"/>
            <w:vAlign w:val="center"/>
          </w:tcPr>
          <w:p w14:paraId="59462A91">
            <w:pPr>
              <w:pStyle w:val="70"/>
              <w:ind w:firstLine="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41.21</w:t>
            </w:r>
          </w:p>
        </w:tc>
        <w:tc>
          <w:tcPr>
            <w:tcW w:w="1678" w:type="dxa"/>
            <w:vAlign w:val="center"/>
          </w:tcPr>
          <w:p w14:paraId="68B0E062">
            <w:pPr>
              <w:pStyle w:val="70"/>
              <w:ind w:firstLine="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72</w:t>
            </w:r>
            <w:r>
              <w:rPr>
                <w:color w:val="000000" w:themeColor="text1"/>
                <w14:textFill>
                  <w14:solidFill>
                    <w14:schemeClr w14:val="tx1"/>
                  </w14:solidFill>
                </w14:textFill>
              </w:rPr>
              <w:t>000</w:t>
            </w:r>
            <w:r>
              <w:rPr>
                <w:rFonts w:hint="eastAsia"/>
                <w:color w:val="000000" w:themeColor="text1"/>
                <w14:textFill>
                  <w14:solidFill>
                    <w14:schemeClr w14:val="tx1"/>
                  </w14:solidFill>
                </w14:textFill>
              </w:rPr>
              <w:t>0</w:t>
            </w:r>
          </w:p>
        </w:tc>
        <w:tc>
          <w:tcPr>
            <w:tcW w:w="1678" w:type="dxa"/>
            <w:vAlign w:val="center"/>
          </w:tcPr>
          <w:p w14:paraId="21094684">
            <w:pPr>
              <w:pStyle w:val="70"/>
              <w:ind w:firstLine="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4100</w:t>
            </w:r>
            <w:r>
              <w:rPr>
                <w:color w:val="000000" w:themeColor="text1"/>
                <w14:textFill>
                  <w14:solidFill>
                    <w14:schemeClr w14:val="tx1"/>
                  </w14:solidFill>
                </w14:textFill>
              </w:rPr>
              <w:t>00</w:t>
            </w:r>
          </w:p>
        </w:tc>
      </w:tr>
      <w:tr w14:paraId="1D62689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809" w:type="dxa"/>
            <w:vAlign w:val="center"/>
          </w:tcPr>
          <w:p w14:paraId="6D6C8BA8">
            <w:pPr>
              <w:pStyle w:val="70"/>
              <w:ind w:firstLine="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航空煤油</w:t>
            </w:r>
          </w:p>
        </w:tc>
        <w:tc>
          <w:tcPr>
            <w:tcW w:w="1678" w:type="dxa"/>
            <w:vAlign w:val="top"/>
          </w:tcPr>
          <w:p w14:paraId="7FD42AF3">
            <w:pPr>
              <w:pStyle w:val="70"/>
              <w:ind w:firstLine="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200</w:t>
            </w:r>
          </w:p>
        </w:tc>
        <w:tc>
          <w:tcPr>
            <w:tcW w:w="1678" w:type="dxa"/>
            <w:vAlign w:val="center"/>
          </w:tcPr>
          <w:p w14:paraId="17314495">
            <w:pPr>
              <w:pStyle w:val="70"/>
              <w:ind w:firstLine="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37.21</w:t>
            </w:r>
          </w:p>
        </w:tc>
        <w:tc>
          <w:tcPr>
            <w:tcW w:w="1678" w:type="dxa"/>
            <w:vAlign w:val="center"/>
          </w:tcPr>
          <w:p w14:paraId="738E81CD">
            <w:pPr>
              <w:pStyle w:val="70"/>
              <w:ind w:firstLine="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72</w:t>
            </w:r>
            <w:r>
              <w:rPr>
                <w:color w:val="000000" w:themeColor="text1"/>
                <w14:textFill>
                  <w14:solidFill>
                    <w14:schemeClr w14:val="tx1"/>
                  </w14:solidFill>
                </w14:textFill>
              </w:rPr>
              <w:t>000</w:t>
            </w:r>
            <w:r>
              <w:rPr>
                <w:rFonts w:hint="eastAsia"/>
                <w:color w:val="000000" w:themeColor="text1"/>
                <w14:textFill>
                  <w14:solidFill>
                    <w14:schemeClr w14:val="tx1"/>
                  </w14:solidFill>
                </w14:textFill>
              </w:rPr>
              <w:t>0</w:t>
            </w:r>
          </w:p>
        </w:tc>
        <w:tc>
          <w:tcPr>
            <w:tcW w:w="1678" w:type="dxa"/>
            <w:vAlign w:val="center"/>
          </w:tcPr>
          <w:p w14:paraId="23CB7DBF">
            <w:pPr>
              <w:pStyle w:val="70"/>
              <w:ind w:firstLine="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4100</w:t>
            </w:r>
            <w:r>
              <w:rPr>
                <w:color w:val="000000" w:themeColor="text1"/>
                <w14:textFill>
                  <w14:solidFill>
                    <w14:schemeClr w14:val="tx1"/>
                  </w14:solidFill>
                </w14:textFill>
              </w:rPr>
              <w:t>00</w:t>
            </w:r>
          </w:p>
        </w:tc>
      </w:tr>
      <w:tr w14:paraId="20E6BF7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809" w:type="dxa"/>
            <w:vAlign w:val="center"/>
          </w:tcPr>
          <w:p w14:paraId="2D55266A">
            <w:pPr>
              <w:pStyle w:val="70"/>
              <w:ind w:firstLine="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碱液</w:t>
            </w:r>
          </w:p>
        </w:tc>
        <w:tc>
          <w:tcPr>
            <w:tcW w:w="1678" w:type="dxa"/>
            <w:vAlign w:val="top"/>
          </w:tcPr>
          <w:p w14:paraId="61131F35">
            <w:pPr>
              <w:pStyle w:val="70"/>
              <w:ind w:firstLine="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200</w:t>
            </w:r>
          </w:p>
        </w:tc>
        <w:tc>
          <w:tcPr>
            <w:tcW w:w="1678" w:type="dxa"/>
            <w:vAlign w:val="center"/>
          </w:tcPr>
          <w:p w14:paraId="161D599D">
            <w:pPr>
              <w:pStyle w:val="70"/>
              <w:ind w:firstLine="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31.32</w:t>
            </w:r>
          </w:p>
        </w:tc>
        <w:tc>
          <w:tcPr>
            <w:tcW w:w="1678" w:type="dxa"/>
            <w:vAlign w:val="center"/>
          </w:tcPr>
          <w:p w14:paraId="10DFAB07">
            <w:pPr>
              <w:pStyle w:val="70"/>
              <w:ind w:firstLine="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770</w:t>
            </w:r>
          </w:p>
        </w:tc>
        <w:tc>
          <w:tcPr>
            <w:tcW w:w="1678" w:type="dxa"/>
            <w:vAlign w:val="center"/>
          </w:tcPr>
          <w:p w14:paraId="7B33FF34">
            <w:pPr>
              <w:pStyle w:val="70"/>
              <w:ind w:firstLine="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110</w:t>
            </w:r>
          </w:p>
        </w:tc>
      </w:tr>
      <w:tr w14:paraId="044AF6F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809" w:type="dxa"/>
            <w:vAlign w:val="center"/>
          </w:tcPr>
          <w:p w14:paraId="646C3133">
            <w:pPr>
              <w:pStyle w:val="70"/>
              <w:ind w:firstLine="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发烟硫酸</w:t>
            </w:r>
          </w:p>
        </w:tc>
        <w:tc>
          <w:tcPr>
            <w:tcW w:w="1678" w:type="dxa"/>
            <w:vAlign w:val="top"/>
          </w:tcPr>
          <w:p w14:paraId="29B12D77">
            <w:pPr>
              <w:pStyle w:val="70"/>
              <w:ind w:firstLine="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200</w:t>
            </w:r>
          </w:p>
        </w:tc>
        <w:tc>
          <w:tcPr>
            <w:tcW w:w="1678" w:type="dxa"/>
            <w:vAlign w:val="center"/>
          </w:tcPr>
          <w:p w14:paraId="34D76203">
            <w:pPr>
              <w:pStyle w:val="70"/>
              <w:ind w:firstLine="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44.75</w:t>
            </w:r>
          </w:p>
        </w:tc>
        <w:tc>
          <w:tcPr>
            <w:tcW w:w="1678" w:type="dxa"/>
            <w:vAlign w:val="center"/>
          </w:tcPr>
          <w:p w14:paraId="42E9E9DA">
            <w:pPr>
              <w:pStyle w:val="70"/>
              <w:ind w:firstLine="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160</w:t>
            </w:r>
          </w:p>
        </w:tc>
        <w:tc>
          <w:tcPr>
            <w:tcW w:w="1678" w:type="dxa"/>
            <w:vAlign w:val="center"/>
          </w:tcPr>
          <w:p w14:paraId="7E7FE423">
            <w:pPr>
              <w:pStyle w:val="70"/>
              <w:ind w:firstLine="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8.7</w:t>
            </w:r>
          </w:p>
        </w:tc>
      </w:tr>
      <w:tr w14:paraId="1A044E9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809" w:type="dxa"/>
            <w:vAlign w:val="center"/>
          </w:tcPr>
          <w:p w14:paraId="357F73A5">
            <w:pPr>
              <w:pStyle w:val="70"/>
              <w:ind w:firstLine="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硫酸</w:t>
            </w:r>
          </w:p>
        </w:tc>
        <w:tc>
          <w:tcPr>
            <w:tcW w:w="1678" w:type="dxa"/>
            <w:vAlign w:val="top"/>
          </w:tcPr>
          <w:p w14:paraId="44978919">
            <w:pPr>
              <w:pStyle w:val="70"/>
              <w:ind w:firstLine="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200</w:t>
            </w:r>
          </w:p>
        </w:tc>
        <w:tc>
          <w:tcPr>
            <w:tcW w:w="1678" w:type="dxa"/>
            <w:vAlign w:val="center"/>
          </w:tcPr>
          <w:p w14:paraId="6599D2F9">
            <w:pPr>
              <w:pStyle w:val="70"/>
              <w:ind w:firstLine="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44.75</w:t>
            </w:r>
          </w:p>
        </w:tc>
        <w:tc>
          <w:tcPr>
            <w:tcW w:w="1678" w:type="dxa"/>
            <w:vAlign w:val="center"/>
          </w:tcPr>
          <w:p w14:paraId="7930C098">
            <w:pPr>
              <w:pStyle w:val="70"/>
              <w:ind w:firstLine="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160</w:t>
            </w:r>
          </w:p>
        </w:tc>
        <w:tc>
          <w:tcPr>
            <w:tcW w:w="1678" w:type="dxa"/>
            <w:vAlign w:val="center"/>
          </w:tcPr>
          <w:p w14:paraId="02D447F4">
            <w:pPr>
              <w:pStyle w:val="70"/>
              <w:ind w:firstLine="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8.7</w:t>
            </w:r>
          </w:p>
        </w:tc>
      </w:tr>
      <w:tr w14:paraId="25DEAC5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809" w:type="dxa"/>
            <w:vAlign w:val="center"/>
          </w:tcPr>
          <w:p w14:paraId="1339052A">
            <w:pPr>
              <w:pStyle w:val="70"/>
              <w:ind w:firstLine="0" w:firstLineChars="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硫</w:t>
            </w:r>
          </w:p>
        </w:tc>
        <w:tc>
          <w:tcPr>
            <w:tcW w:w="1678" w:type="dxa"/>
            <w:vAlign w:val="top"/>
          </w:tcPr>
          <w:p w14:paraId="42EBEF7A">
            <w:pPr>
              <w:pStyle w:val="70"/>
              <w:ind w:firstLine="0" w:firstLineChars="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200</w:t>
            </w:r>
          </w:p>
        </w:tc>
        <w:tc>
          <w:tcPr>
            <w:tcW w:w="1678" w:type="dxa"/>
            <w:vAlign w:val="center"/>
          </w:tcPr>
          <w:p w14:paraId="6D2AA0D1">
            <w:pPr>
              <w:pStyle w:val="70"/>
              <w:ind w:firstLine="0" w:firstLineChars="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42.39</w:t>
            </w:r>
          </w:p>
        </w:tc>
        <w:tc>
          <w:tcPr>
            <w:tcW w:w="1678" w:type="dxa"/>
            <w:vAlign w:val="center"/>
          </w:tcPr>
          <w:p w14:paraId="28B67B26">
            <w:pPr>
              <w:pStyle w:val="70"/>
              <w:ind w:firstLine="0" w:firstLineChars="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678" w:type="dxa"/>
            <w:vAlign w:val="center"/>
          </w:tcPr>
          <w:p w14:paraId="531DF4C7">
            <w:pPr>
              <w:pStyle w:val="70"/>
              <w:ind w:firstLine="0" w:firstLineChars="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bl>
    <w:p w14:paraId="4CE09E2D">
      <w:pPr>
        <w:pStyle w:val="74"/>
        <w:ind w:firstLine="360"/>
        <w:rPr>
          <w:rFonts w:hint="eastAsia"/>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硫毒性重点浓度在《建设项目环境风险评价技术导则》（HJ169-2018）附录G未给出。</w:t>
      </w:r>
    </w:p>
    <w:p w14:paraId="32E1E2D6">
      <w:pPr>
        <w:pStyle w:val="74"/>
        <w:rPr>
          <w:color w:val="000000" w:themeColor="text1"/>
          <w14:textFill>
            <w14:solidFill>
              <w14:schemeClr w14:val="tx1"/>
            </w14:solidFill>
          </w14:textFill>
        </w:rPr>
      </w:pPr>
      <w:r>
        <w:rPr>
          <w:color w:val="000000" w:themeColor="text1"/>
          <w14:textFill>
            <w14:solidFill>
              <w14:schemeClr w14:val="tx1"/>
            </w14:solidFill>
          </w14:textFill>
        </w:rPr>
        <w:t>根据表5.4-2，由于硫燃点较高，综合考虑选取发烟硫酸、</w:t>
      </w:r>
      <w:r>
        <w:rPr>
          <w:rFonts w:hint="eastAsia"/>
          <w:color w:val="000000" w:themeColor="text1"/>
          <w:sz w:val="21"/>
          <w:szCs w:val="21"/>
          <w14:textFill>
            <w14:solidFill>
              <w14:schemeClr w14:val="tx1"/>
            </w14:solidFill>
          </w14:textFill>
        </w:rPr>
        <w:t>苯乙烯</w:t>
      </w:r>
      <w:r>
        <w:rPr>
          <w:color w:val="000000" w:themeColor="text1"/>
          <w14:textFill>
            <w14:solidFill>
              <w14:schemeClr w14:val="tx1"/>
            </w14:solidFill>
          </w14:textFill>
        </w:rPr>
        <w:t>作为管线泄漏为典型事故进行模拟预测与评价。</w:t>
      </w:r>
    </w:p>
    <w:p w14:paraId="36F509ED">
      <w:pPr>
        <w:pStyle w:val="74"/>
        <w:rPr>
          <w:color w:val="000000" w:themeColor="text1"/>
          <w14:textFill>
            <w14:solidFill>
              <w14:schemeClr w14:val="tx1"/>
            </w14:solidFill>
          </w14:textFill>
        </w:rPr>
      </w:pPr>
    </w:p>
    <w:p w14:paraId="5AB15EEE">
      <w:pPr>
        <w:pStyle w:val="7"/>
        <w:rPr>
          <w:color w:val="000000" w:themeColor="text1"/>
          <w:u w:val="single"/>
          <w14:textFill>
            <w14:solidFill>
              <w14:schemeClr w14:val="tx1"/>
            </w14:solidFill>
          </w14:textFill>
        </w:rPr>
      </w:pPr>
      <w:r>
        <w:rPr>
          <w:color w:val="000000" w:themeColor="text1"/>
          <w:u w:val="single"/>
          <w14:textFill>
            <w14:solidFill>
              <w14:schemeClr w14:val="tx1"/>
            </w14:solidFill>
          </w14:textFill>
        </w:rPr>
        <w:t>最大可信事故设定</w:t>
      </w:r>
    </w:p>
    <w:tbl>
      <w:tblPr>
        <w:tblStyle w:val="43"/>
        <w:tblW w:w="8276"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394"/>
        <w:gridCol w:w="1553"/>
        <w:gridCol w:w="1019"/>
        <w:gridCol w:w="4100"/>
        <w:gridCol w:w="1210"/>
      </w:tblGrid>
      <w:tr w14:paraId="20D4CDC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394" w:type="dxa"/>
            <w:vAlign w:val="center"/>
          </w:tcPr>
          <w:p w14:paraId="74D49F91">
            <w:pPr>
              <w:pStyle w:val="70"/>
              <w:rPr>
                <w:rFonts w:eastAsiaTheme="minorEastAsia"/>
                <w:b/>
                <w:bCs/>
                <w:color w:val="000000" w:themeColor="text1"/>
                <w:lang w:eastAsia="en-US"/>
                <w14:textFill>
                  <w14:solidFill>
                    <w14:schemeClr w14:val="tx1"/>
                  </w14:solidFill>
                </w14:textFill>
              </w:rPr>
            </w:pPr>
            <w:r>
              <w:rPr>
                <w:rFonts w:eastAsiaTheme="minorEastAsia"/>
                <w:b/>
                <w:bCs/>
                <w:color w:val="000000" w:themeColor="text1"/>
                <w:lang w:eastAsia="en-US"/>
                <w14:textFill>
                  <w14:solidFill>
                    <w14:schemeClr w14:val="tx1"/>
                  </w14:solidFill>
                </w14:textFill>
              </w:rPr>
              <w:t>序号</w:t>
            </w:r>
          </w:p>
        </w:tc>
        <w:tc>
          <w:tcPr>
            <w:tcW w:w="1553" w:type="dxa"/>
            <w:vAlign w:val="center"/>
          </w:tcPr>
          <w:p w14:paraId="032FECC0">
            <w:pPr>
              <w:pStyle w:val="70"/>
              <w:rPr>
                <w:rFonts w:eastAsiaTheme="minorEastAsia"/>
                <w:b/>
                <w:bCs/>
                <w:color w:val="000000" w:themeColor="text1"/>
                <w:lang w:eastAsia="en-US"/>
                <w14:textFill>
                  <w14:solidFill>
                    <w14:schemeClr w14:val="tx1"/>
                  </w14:solidFill>
                </w14:textFill>
              </w:rPr>
            </w:pPr>
            <w:r>
              <w:rPr>
                <w:rFonts w:eastAsiaTheme="minorEastAsia"/>
                <w:b/>
                <w:bCs/>
                <w:color w:val="000000" w:themeColor="text1"/>
                <w:lang w:eastAsia="en-US"/>
                <w14:textFill>
                  <w14:solidFill>
                    <w14:schemeClr w14:val="tx1"/>
                  </w14:solidFill>
                </w14:textFill>
              </w:rPr>
              <w:t>事故情景</w:t>
            </w:r>
          </w:p>
        </w:tc>
        <w:tc>
          <w:tcPr>
            <w:tcW w:w="1019" w:type="dxa"/>
            <w:vAlign w:val="center"/>
          </w:tcPr>
          <w:p w14:paraId="3B66DCE8">
            <w:pPr>
              <w:pStyle w:val="70"/>
              <w:rPr>
                <w:rFonts w:eastAsiaTheme="minorEastAsia"/>
                <w:b/>
                <w:bCs/>
                <w:color w:val="000000" w:themeColor="text1"/>
                <w:lang w:eastAsia="en-US"/>
                <w14:textFill>
                  <w14:solidFill>
                    <w14:schemeClr w14:val="tx1"/>
                  </w14:solidFill>
                </w14:textFill>
              </w:rPr>
            </w:pPr>
            <w:r>
              <w:rPr>
                <w:rFonts w:eastAsiaTheme="minorEastAsia"/>
                <w:b/>
                <w:bCs/>
                <w:color w:val="000000" w:themeColor="text1"/>
                <w:lang w:eastAsia="en-US"/>
                <w14:textFill>
                  <w14:solidFill>
                    <w14:schemeClr w14:val="tx1"/>
                  </w14:solidFill>
                </w14:textFill>
              </w:rPr>
              <w:t>泄漏频率</w:t>
            </w:r>
          </w:p>
        </w:tc>
        <w:tc>
          <w:tcPr>
            <w:tcW w:w="4100" w:type="dxa"/>
            <w:vAlign w:val="center"/>
          </w:tcPr>
          <w:p w14:paraId="3B37B1D4">
            <w:pPr>
              <w:pStyle w:val="70"/>
              <w:rPr>
                <w:rFonts w:eastAsiaTheme="minorEastAsia"/>
                <w:b/>
                <w:bCs/>
                <w:color w:val="000000" w:themeColor="text1"/>
                <w:lang w:eastAsia="en-US"/>
                <w14:textFill>
                  <w14:solidFill>
                    <w14:schemeClr w14:val="tx1"/>
                  </w14:solidFill>
                </w14:textFill>
              </w:rPr>
            </w:pPr>
            <w:r>
              <w:rPr>
                <w:rFonts w:eastAsiaTheme="minorEastAsia"/>
                <w:b/>
                <w:bCs/>
                <w:color w:val="000000" w:themeColor="text1"/>
                <w:lang w:eastAsia="en-US"/>
                <w14:textFill>
                  <w14:solidFill>
                    <w14:schemeClr w14:val="tx1"/>
                  </w14:solidFill>
                </w14:textFill>
              </w:rPr>
              <w:t>应急措施与排放情景</w:t>
            </w:r>
          </w:p>
        </w:tc>
        <w:tc>
          <w:tcPr>
            <w:tcW w:w="1210" w:type="dxa"/>
            <w:vAlign w:val="center"/>
          </w:tcPr>
          <w:p w14:paraId="65F73F7C">
            <w:pPr>
              <w:pStyle w:val="70"/>
              <w:rPr>
                <w:rFonts w:eastAsiaTheme="minorEastAsia"/>
                <w:b/>
                <w:bCs/>
                <w:color w:val="000000" w:themeColor="text1"/>
                <w:lang w:eastAsia="en-US"/>
                <w14:textFill>
                  <w14:solidFill>
                    <w14:schemeClr w14:val="tx1"/>
                  </w14:solidFill>
                </w14:textFill>
              </w:rPr>
            </w:pPr>
            <w:r>
              <w:rPr>
                <w:rFonts w:eastAsiaTheme="minorEastAsia"/>
                <w:b/>
                <w:bCs/>
                <w:color w:val="000000" w:themeColor="text1"/>
                <w:lang w:eastAsia="en-US"/>
                <w14:textFill>
                  <w14:solidFill>
                    <w14:schemeClr w14:val="tx1"/>
                  </w14:solidFill>
                </w14:textFill>
              </w:rPr>
              <w:t>排放时间</w:t>
            </w:r>
          </w:p>
        </w:tc>
      </w:tr>
      <w:tr w14:paraId="6039E37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394" w:type="dxa"/>
            <w:vAlign w:val="center"/>
          </w:tcPr>
          <w:p w14:paraId="7032B4A4">
            <w:pPr>
              <w:pStyle w:val="70"/>
              <w:rPr>
                <w:rFonts w:eastAsiaTheme="minorEastAsia"/>
                <w:color w:val="000000" w:themeColor="text1"/>
                <w14:textFill>
                  <w14:solidFill>
                    <w14:schemeClr w14:val="tx1"/>
                  </w14:solidFill>
                </w14:textFill>
              </w:rPr>
            </w:pPr>
            <w:r>
              <w:rPr>
                <w:rFonts w:hint="eastAsia" w:eastAsiaTheme="minorEastAsia"/>
                <w:color w:val="000000" w:themeColor="text1"/>
                <w14:textFill>
                  <w14:solidFill>
                    <w14:schemeClr w14:val="tx1"/>
                  </w14:solidFill>
                </w14:textFill>
              </w:rPr>
              <w:t>1</w:t>
            </w:r>
          </w:p>
        </w:tc>
        <w:tc>
          <w:tcPr>
            <w:tcW w:w="1553" w:type="dxa"/>
            <w:vAlign w:val="center"/>
          </w:tcPr>
          <w:p w14:paraId="7F558090">
            <w:pPr>
              <w:pStyle w:val="70"/>
              <w:rPr>
                <w:rFonts w:eastAsiaTheme="minorEastAsia"/>
                <w:color w:val="000000" w:themeColor="text1"/>
                <w14:textFill>
                  <w14:solidFill>
                    <w14:schemeClr w14:val="tx1"/>
                  </w14:solidFill>
                </w14:textFill>
              </w:rPr>
            </w:pPr>
            <w:r>
              <w:rPr>
                <w:rFonts w:eastAsiaTheme="minorEastAsia"/>
                <w:color w:val="000000" w:themeColor="text1"/>
                <w14:textFill>
                  <w14:solidFill>
                    <w14:schemeClr w14:val="tx1"/>
                  </w14:solidFill>
                </w14:textFill>
              </w:rPr>
              <w:t>发烟硫酸、</w:t>
            </w:r>
            <w:r>
              <w:rPr>
                <w:rFonts w:hint="eastAsia"/>
                <w:color w:val="000000" w:themeColor="text1"/>
                <w14:textFill>
                  <w14:solidFill>
                    <w14:schemeClr w14:val="tx1"/>
                  </w14:solidFill>
                </w14:textFill>
              </w:rPr>
              <w:t>苯乙烯</w:t>
            </w:r>
            <w:r>
              <w:rPr>
                <w:rFonts w:eastAsiaTheme="minorEastAsia"/>
                <w:color w:val="000000" w:themeColor="text1"/>
                <w14:textFill>
                  <w14:solidFill>
                    <w14:schemeClr w14:val="tx1"/>
                  </w14:solidFill>
                </w14:textFill>
              </w:rPr>
              <w:t>管线泄漏</w:t>
            </w:r>
          </w:p>
        </w:tc>
        <w:tc>
          <w:tcPr>
            <w:tcW w:w="1019" w:type="dxa"/>
            <w:vAlign w:val="center"/>
          </w:tcPr>
          <w:p w14:paraId="38AA0EE4">
            <w:pPr>
              <w:pStyle w:val="70"/>
              <w:rPr>
                <w:rFonts w:eastAsiaTheme="minorEastAsia"/>
                <w:color w:val="000000" w:themeColor="text1"/>
                <w:lang w:eastAsia="en-US"/>
                <w14:textFill>
                  <w14:solidFill>
                    <w14:schemeClr w14:val="tx1"/>
                  </w14:solidFill>
                </w14:textFill>
              </w:rPr>
            </w:pPr>
            <w:r>
              <w:rPr>
                <w:rFonts w:eastAsiaTheme="minorEastAsia"/>
                <w:color w:val="000000" w:themeColor="text1"/>
                <w:lang w:eastAsia="en-US"/>
                <w14:textFill>
                  <w14:solidFill>
                    <w14:schemeClr w14:val="tx1"/>
                  </w14:solidFill>
                </w14:textFill>
              </w:rPr>
              <w:t>2.4×10</w:t>
            </w:r>
            <w:r>
              <w:rPr>
                <w:rFonts w:eastAsiaTheme="minorEastAsia"/>
                <w:color w:val="000000" w:themeColor="text1"/>
                <w:vertAlign w:val="superscript"/>
                <w:lang w:eastAsia="en-US"/>
                <w14:textFill>
                  <w14:solidFill>
                    <w14:schemeClr w14:val="tx1"/>
                  </w14:solidFill>
                </w14:textFill>
              </w:rPr>
              <w:t>-6</w:t>
            </w:r>
            <w:r>
              <w:rPr>
                <w:rFonts w:eastAsiaTheme="minorEastAsia"/>
                <w:color w:val="000000" w:themeColor="text1"/>
                <w:lang w:eastAsia="en-US"/>
                <w14:textFill>
                  <w14:solidFill>
                    <w14:schemeClr w14:val="tx1"/>
                  </w14:solidFill>
                </w14:textFill>
              </w:rPr>
              <w:t>/a</w:t>
            </w:r>
          </w:p>
        </w:tc>
        <w:tc>
          <w:tcPr>
            <w:tcW w:w="4100" w:type="dxa"/>
            <w:vAlign w:val="center"/>
          </w:tcPr>
          <w:p w14:paraId="6F6C2475">
            <w:pPr>
              <w:pStyle w:val="70"/>
              <w:rPr>
                <w:rFonts w:eastAsiaTheme="minorEastAsia"/>
                <w:color w:val="000000" w:themeColor="text1"/>
                <w14:textFill>
                  <w14:solidFill>
                    <w14:schemeClr w14:val="tx1"/>
                  </w14:solidFill>
                </w14:textFill>
              </w:rPr>
            </w:pPr>
            <w:r>
              <w:rPr>
                <w:rFonts w:eastAsiaTheme="minorEastAsia"/>
                <w:color w:val="000000" w:themeColor="text1"/>
                <w14:textFill>
                  <w14:solidFill>
                    <w14:schemeClr w14:val="tx1"/>
                  </w14:solidFill>
                </w14:textFill>
              </w:rPr>
              <w:t>泄漏后可管线内液位、压力等参数异常变化及罐区可燃、有毒气体检测探头检测到异常信号，反馈至中控室报警和启动应急预案，立即关闭紧急阀门，减少泄漏。同时采取覆盖液池表面、收容泄漏物料等消防措施，以减少液池蒸发排放。</w:t>
            </w:r>
          </w:p>
        </w:tc>
        <w:tc>
          <w:tcPr>
            <w:tcW w:w="1210" w:type="dxa"/>
            <w:vAlign w:val="center"/>
          </w:tcPr>
          <w:p w14:paraId="0CC72126">
            <w:pPr>
              <w:pStyle w:val="70"/>
              <w:rPr>
                <w:rFonts w:eastAsiaTheme="minorEastAsia"/>
                <w:color w:val="000000" w:themeColor="text1"/>
                <w:lang w:eastAsia="en-US"/>
                <w14:textFill>
                  <w14:solidFill>
                    <w14:schemeClr w14:val="tx1"/>
                  </w14:solidFill>
                </w14:textFill>
              </w:rPr>
            </w:pPr>
            <w:r>
              <w:rPr>
                <w:rFonts w:eastAsiaTheme="minorEastAsia"/>
                <w:color w:val="000000" w:themeColor="text1"/>
                <w:lang w:eastAsia="en-US"/>
                <w14:textFill>
                  <w14:solidFill>
                    <w14:schemeClr w14:val="tx1"/>
                  </w14:solidFill>
                </w14:textFill>
              </w:rPr>
              <w:t>泄漏时间按</w:t>
            </w:r>
            <w:r>
              <w:rPr>
                <w:rFonts w:hint="eastAsia" w:eastAsiaTheme="minorEastAsia"/>
                <w:color w:val="000000" w:themeColor="text1"/>
                <w14:textFill>
                  <w14:solidFill>
                    <w14:schemeClr w14:val="tx1"/>
                  </w14:solidFill>
                </w14:textFill>
              </w:rPr>
              <w:t>10</w:t>
            </w:r>
            <w:r>
              <w:rPr>
                <w:rFonts w:eastAsiaTheme="minorEastAsia"/>
                <w:color w:val="000000" w:themeColor="text1"/>
                <w:lang w:eastAsia="en-US"/>
                <w14:textFill>
                  <w14:solidFill>
                    <w14:schemeClr w14:val="tx1"/>
                  </w14:solidFill>
                </w14:textFill>
              </w:rPr>
              <w:t>min 计</w:t>
            </w:r>
          </w:p>
        </w:tc>
      </w:tr>
      <w:tr w14:paraId="657144B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394" w:type="dxa"/>
            <w:vAlign w:val="center"/>
          </w:tcPr>
          <w:p w14:paraId="31A3C034">
            <w:pPr>
              <w:pStyle w:val="70"/>
              <w:rPr>
                <w:rFonts w:eastAsiaTheme="minorEastAsia"/>
                <w:color w:val="000000" w:themeColor="text1"/>
                <w14:textFill>
                  <w14:solidFill>
                    <w14:schemeClr w14:val="tx1"/>
                  </w14:solidFill>
                </w14:textFill>
              </w:rPr>
            </w:pPr>
            <w:r>
              <w:rPr>
                <w:rFonts w:hint="eastAsia" w:eastAsiaTheme="minorEastAsia"/>
                <w:color w:val="000000" w:themeColor="text1"/>
                <w14:textFill>
                  <w14:solidFill>
                    <w14:schemeClr w14:val="tx1"/>
                  </w14:solidFill>
                </w14:textFill>
              </w:rPr>
              <w:t>2</w:t>
            </w:r>
          </w:p>
        </w:tc>
        <w:tc>
          <w:tcPr>
            <w:tcW w:w="1553" w:type="dxa"/>
            <w:vAlign w:val="center"/>
          </w:tcPr>
          <w:p w14:paraId="277640C3">
            <w:pPr>
              <w:pStyle w:val="70"/>
              <w:rPr>
                <w:rFonts w:eastAsiaTheme="minorEastAsia"/>
                <w:color w:val="000000" w:themeColor="text1"/>
                <w:lang w:eastAsia="en-US"/>
                <w14:textFill>
                  <w14:solidFill>
                    <w14:schemeClr w14:val="tx1"/>
                  </w14:solidFill>
                </w14:textFill>
              </w:rPr>
            </w:pPr>
            <w:r>
              <w:rPr>
                <w:rFonts w:eastAsiaTheme="minorEastAsia"/>
                <w:color w:val="000000" w:themeColor="text1"/>
                <w:lang w:eastAsia="en-US"/>
                <w14:textFill>
                  <w14:solidFill>
                    <w14:schemeClr w14:val="tx1"/>
                  </w14:solidFill>
                </w14:textFill>
              </w:rPr>
              <w:t>火灾爆炸事故</w:t>
            </w:r>
          </w:p>
        </w:tc>
        <w:tc>
          <w:tcPr>
            <w:tcW w:w="1019" w:type="dxa"/>
            <w:vAlign w:val="center"/>
          </w:tcPr>
          <w:p w14:paraId="76BD3D86">
            <w:pPr>
              <w:pStyle w:val="70"/>
              <w:rPr>
                <w:rFonts w:eastAsiaTheme="minorEastAsia"/>
                <w:color w:val="000000" w:themeColor="text1"/>
                <w:lang w:eastAsia="en-US"/>
                <w14:textFill>
                  <w14:solidFill>
                    <w14:schemeClr w14:val="tx1"/>
                  </w14:solidFill>
                </w14:textFill>
              </w:rPr>
            </w:pPr>
          </w:p>
        </w:tc>
        <w:tc>
          <w:tcPr>
            <w:tcW w:w="4100" w:type="dxa"/>
            <w:vAlign w:val="center"/>
          </w:tcPr>
          <w:p w14:paraId="286CCD62">
            <w:pPr>
              <w:pStyle w:val="70"/>
              <w:rPr>
                <w:rFonts w:eastAsiaTheme="minorEastAsia"/>
                <w:color w:val="000000" w:themeColor="text1"/>
                <w14:textFill>
                  <w14:solidFill>
                    <w14:schemeClr w14:val="tx1"/>
                  </w14:solidFill>
                </w14:textFill>
              </w:rPr>
            </w:pPr>
            <w:r>
              <w:rPr>
                <w:rFonts w:eastAsiaTheme="minorEastAsia"/>
                <w:color w:val="000000" w:themeColor="text1"/>
                <w14:textFill>
                  <w14:solidFill>
                    <w14:schemeClr w14:val="tx1"/>
                  </w14:solidFill>
                </w14:textFill>
              </w:rPr>
              <w:t>火灾爆炸事故中，在高温下迅速挥发释放的未燃有毒有害物质、伴生/次生污染物。</w:t>
            </w:r>
          </w:p>
        </w:tc>
        <w:tc>
          <w:tcPr>
            <w:tcW w:w="1210" w:type="dxa"/>
            <w:vAlign w:val="center"/>
          </w:tcPr>
          <w:p w14:paraId="0A0B920D">
            <w:pPr>
              <w:pStyle w:val="70"/>
              <w:rPr>
                <w:rFonts w:eastAsiaTheme="minorEastAsia"/>
                <w:color w:val="000000" w:themeColor="text1"/>
                <w:lang w:eastAsia="en-US"/>
                <w14:textFill>
                  <w14:solidFill>
                    <w14:schemeClr w14:val="tx1"/>
                  </w14:solidFill>
                </w14:textFill>
              </w:rPr>
            </w:pPr>
            <w:r>
              <w:rPr>
                <w:rFonts w:eastAsiaTheme="minorEastAsia"/>
                <w:color w:val="000000" w:themeColor="text1"/>
                <w:lang w:eastAsia="en-US"/>
                <w14:textFill>
                  <w14:solidFill>
                    <w14:schemeClr w14:val="tx1"/>
                  </w14:solidFill>
                </w14:textFill>
              </w:rPr>
              <w:t>按消防时间 2h 计。</w:t>
            </w:r>
          </w:p>
        </w:tc>
      </w:tr>
    </w:tbl>
    <w:p w14:paraId="078B68E1">
      <w:pPr>
        <w:pStyle w:val="74"/>
        <w:rPr>
          <w:color w:val="000000" w:themeColor="text1"/>
          <w14:textFill>
            <w14:solidFill>
              <w14:schemeClr w14:val="tx1"/>
            </w14:solidFill>
          </w14:textFill>
        </w:rPr>
      </w:pPr>
      <w:r>
        <w:rPr>
          <w:color w:val="000000" w:themeColor="text1"/>
          <w14:textFill>
            <w14:solidFill>
              <w14:schemeClr w14:val="tx1"/>
            </w14:solidFill>
          </w14:textFill>
        </w:rPr>
        <w:t>2、事故源强</w:t>
      </w:r>
    </w:p>
    <w:p w14:paraId="39AE9500">
      <w:pPr>
        <w:pStyle w:val="74"/>
        <w:rPr>
          <w:color w:val="000000" w:themeColor="text1"/>
          <w14:textFill>
            <w14:solidFill>
              <w14:schemeClr w14:val="tx1"/>
            </w14:solidFill>
          </w14:textFill>
        </w:rPr>
      </w:pPr>
      <w:r>
        <w:rPr>
          <w:color w:val="000000" w:themeColor="text1"/>
          <w14:textFill>
            <w14:solidFill>
              <w14:schemeClr w14:val="tx1"/>
            </w14:solidFill>
          </w14:textFill>
        </w:rPr>
        <w:t>1）危险物质的泄漏量</w:t>
      </w:r>
    </w:p>
    <w:p w14:paraId="0EB07ED8">
      <w:pPr>
        <w:pStyle w:val="74"/>
        <w:rPr>
          <w:color w:val="000000" w:themeColor="text1"/>
          <w14:textFill>
            <w14:solidFill>
              <w14:schemeClr w14:val="tx1"/>
            </w14:solidFill>
          </w14:textFill>
        </w:rPr>
      </w:pPr>
      <w:r>
        <w:rPr>
          <w:rFonts w:hint="eastAsia"/>
          <w:color w:val="000000" w:themeColor="text1"/>
          <w14:textFill>
            <w14:solidFill>
              <w14:schemeClr w14:val="tx1"/>
            </w14:solidFill>
          </w14:textFill>
        </w:rPr>
        <w:t>根据表5.1-1，项目风险源</w:t>
      </w:r>
      <w:r>
        <w:rPr>
          <w:color w:val="000000" w:themeColor="text1"/>
          <w14:textFill>
            <w14:solidFill>
              <w14:schemeClr w14:val="tx1"/>
            </w14:solidFill>
          </w14:textFill>
        </w:rPr>
        <w:t>发烟硫酸</w:t>
      </w:r>
      <w:r>
        <w:rPr>
          <w:rFonts w:hint="eastAsia"/>
          <w:color w:val="000000" w:themeColor="text1"/>
          <w14:textFill>
            <w14:solidFill>
              <w14:schemeClr w14:val="tx1"/>
            </w14:solidFill>
          </w14:textFill>
        </w:rPr>
        <w:t>在线量</w:t>
      </w:r>
      <w:r>
        <w:rPr>
          <w:color w:val="000000" w:themeColor="text1"/>
          <w14:textFill>
            <w14:solidFill>
              <w14:schemeClr w14:val="tx1"/>
            </w14:solidFill>
          </w14:textFill>
        </w:rPr>
        <w:t>为</w:t>
      </w:r>
      <w:r>
        <w:rPr>
          <w:rFonts w:hint="eastAsia"/>
          <w:color w:val="000000" w:themeColor="text1"/>
          <w14:textFill>
            <w14:solidFill>
              <w14:schemeClr w14:val="tx1"/>
            </w14:solidFill>
          </w14:textFill>
        </w:rPr>
        <w:t>44.75</w:t>
      </w:r>
      <w:r>
        <w:rPr>
          <w:color w:val="000000" w:themeColor="text1"/>
          <w14:textFill>
            <w14:solidFill>
              <w14:schemeClr w14:val="tx1"/>
            </w14:solidFill>
          </w14:textFill>
        </w:rPr>
        <w:t>t、、</w:t>
      </w:r>
      <w:r>
        <w:rPr>
          <w:rFonts w:hint="eastAsia"/>
          <w:color w:val="000000" w:themeColor="text1"/>
          <w14:textFill>
            <w14:solidFill>
              <w14:schemeClr w14:val="tx1"/>
            </w14:solidFill>
          </w14:textFill>
        </w:rPr>
        <w:t>苯乙烯在线量</w:t>
      </w:r>
      <w:r>
        <w:rPr>
          <w:color w:val="000000" w:themeColor="text1"/>
          <w14:textFill>
            <w14:solidFill>
              <w14:schemeClr w14:val="tx1"/>
            </w14:solidFill>
          </w14:textFill>
        </w:rPr>
        <w:t>为28.45t</w:t>
      </w:r>
      <w:r>
        <w:rPr>
          <w:rFonts w:hint="eastAsia"/>
          <w:color w:val="000000" w:themeColor="text1"/>
          <w14:textFill>
            <w14:solidFill>
              <w14:schemeClr w14:val="tx1"/>
            </w14:solidFill>
          </w14:textFill>
        </w:rPr>
        <w:t>，结合现场应急时间10min中，最大可信事故的考虑，按最大</w:t>
      </w:r>
      <w:r>
        <w:rPr>
          <w:rFonts w:hint="eastAsia"/>
          <w:color w:val="000000" w:themeColor="text1"/>
          <w:lang w:eastAsia="zh-CN"/>
          <w14:textFill>
            <w14:solidFill>
              <w14:schemeClr w14:val="tx1"/>
            </w14:solidFill>
          </w14:textFill>
        </w:rPr>
        <w:t>泄漏</w:t>
      </w:r>
      <w:r>
        <w:rPr>
          <w:rFonts w:hint="eastAsia"/>
          <w:color w:val="000000" w:themeColor="text1"/>
          <w14:textFill>
            <w14:solidFill>
              <w14:schemeClr w14:val="tx1"/>
            </w14:solidFill>
          </w14:textFill>
        </w:rPr>
        <w:t>量计算（在线量10%），</w:t>
      </w:r>
      <w:r>
        <w:rPr>
          <w:color w:val="000000" w:themeColor="text1"/>
          <w14:textFill>
            <w14:solidFill>
              <w14:schemeClr w14:val="tx1"/>
            </w14:solidFill>
          </w14:textFill>
        </w:rPr>
        <w:t>发烟硫酸</w:t>
      </w:r>
      <w:r>
        <w:rPr>
          <w:rFonts w:hint="eastAsia"/>
          <w:color w:val="000000" w:themeColor="text1"/>
          <w:lang w:eastAsia="zh-CN"/>
          <w14:textFill>
            <w14:solidFill>
              <w14:schemeClr w14:val="tx1"/>
            </w14:solidFill>
          </w14:textFill>
        </w:rPr>
        <w:t>泄漏</w:t>
      </w:r>
      <w:r>
        <w:rPr>
          <w:rFonts w:hint="eastAsia"/>
          <w:color w:val="000000" w:themeColor="text1"/>
          <w14:textFill>
            <w14:solidFill>
              <w14:schemeClr w14:val="tx1"/>
            </w14:solidFill>
          </w14:textFill>
        </w:rPr>
        <w:t>量4.48t，苯乙烯</w:t>
      </w:r>
      <w:r>
        <w:rPr>
          <w:rFonts w:hint="eastAsia"/>
          <w:color w:val="000000" w:themeColor="text1"/>
          <w:lang w:eastAsia="zh-CN"/>
          <w14:textFill>
            <w14:solidFill>
              <w14:schemeClr w14:val="tx1"/>
            </w14:solidFill>
          </w14:textFill>
        </w:rPr>
        <w:t>泄漏</w:t>
      </w:r>
      <w:r>
        <w:rPr>
          <w:rFonts w:hint="eastAsia"/>
          <w:color w:val="000000" w:themeColor="text1"/>
          <w14:textFill>
            <w14:solidFill>
              <w14:schemeClr w14:val="tx1"/>
            </w14:solidFill>
          </w14:textFill>
        </w:rPr>
        <w:t>量2.85t</w:t>
      </w:r>
      <w:r>
        <w:rPr>
          <w:color w:val="000000" w:themeColor="text1"/>
          <w14:textFill>
            <w14:solidFill>
              <w14:schemeClr w14:val="tx1"/>
            </w14:solidFill>
          </w14:textFill>
        </w:rPr>
        <w:t>。</w:t>
      </w:r>
    </w:p>
    <w:p w14:paraId="1FE855A6">
      <w:pPr>
        <w:pStyle w:val="74"/>
        <w:rPr>
          <w:color w:val="000000" w:themeColor="text1"/>
          <w14:textFill>
            <w14:solidFill>
              <w14:schemeClr w14:val="tx1"/>
            </w14:solidFill>
          </w14:textFill>
        </w:rPr>
      </w:pPr>
      <w:r>
        <w:rPr>
          <w:color w:val="000000" w:themeColor="text1"/>
          <w14:textFill>
            <w14:solidFill>
              <w14:schemeClr w14:val="tx1"/>
            </w14:solidFill>
          </w14:textFill>
        </w:rPr>
        <w:t>2）泄漏液体的蒸发量</w:t>
      </w:r>
    </w:p>
    <w:p w14:paraId="24FD79E1">
      <w:pPr>
        <w:pStyle w:val="74"/>
        <w:rPr>
          <w:color w:val="000000" w:themeColor="text1"/>
          <w14:textFill>
            <w14:solidFill>
              <w14:schemeClr w14:val="tx1"/>
            </w14:solidFill>
          </w14:textFill>
        </w:rPr>
      </w:pPr>
      <w:r>
        <w:rPr>
          <w:color w:val="000000" w:themeColor="text1"/>
          <w14:textFill>
            <w14:solidFill>
              <w14:schemeClr w14:val="tx1"/>
            </w14:solidFill>
          </w14:textFill>
        </w:rPr>
        <w:t>泄漏液体的总蒸发量包括闪蒸蒸发、热量蒸发、质量蒸发三种之和，按导则附录 F-F.1.4：泄漏液体蒸发速率，计算公式见下表。</w:t>
      </w:r>
    </w:p>
    <w:p w14:paraId="53F58E08">
      <w:pPr>
        <w:pStyle w:val="7"/>
        <w:rPr>
          <w:color w:val="000000" w:themeColor="text1"/>
          <w14:textFill>
            <w14:solidFill>
              <w14:schemeClr w14:val="tx1"/>
            </w14:solidFill>
          </w14:textFill>
        </w:rPr>
      </w:pPr>
      <w:r>
        <w:rPr>
          <w:color w:val="000000" w:themeColor="text1"/>
          <w14:textFill>
            <w14:solidFill>
              <w14:schemeClr w14:val="tx1"/>
            </w14:solidFill>
          </w14:textFill>
        </w:rPr>
        <w:t>事故泄漏物料蒸发速率计算公式</w:t>
      </w:r>
    </w:p>
    <w:tbl>
      <w:tblPr>
        <w:tblStyle w:val="43"/>
        <w:tblW w:w="8276" w:type="dxa"/>
        <w:tblInd w:w="0"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682"/>
        <w:gridCol w:w="2489"/>
        <w:gridCol w:w="2041"/>
        <w:gridCol w:w="3064"/>
      </w:tblGrid>
      <w:tr w14:paraId="5B7836F0">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73" w:hRule="atLeast"/>
        </w:trPr>
        <w:tc>
          <w:tcPr>
            <w:tcW w:w="682" w:type="dxa"/>
            <w:vAlign w:val="center"/>
          </w:tcPr>
          <w:p w14:paraId="05524DEB">
            <w:pPr>
              <w:pStyle w:val="70"/>
              <w:rPr>
                <w:b/>
                <w:bCs/>
                <w:color w:val="000000" w:themeColor="text1"/>
                <w:sz w:val="18"/>
                <w:szCs w:val="18"/>
                <w:lang w:eastAsia="en-US"/>
                <w14:textFill>
                  <w14:solidFill>
                    <w14:schemeClr w14:val="tx1"/>
                  </w14:solidFill>
                </w14:textFill>
              </w:rPr>
            </w:pPr>
            <w:r>
              <w:rPr>
                <w:b/>
                <w:bCs/>
                <w:color w:val="000000" w:themeColor="text1"/>
                <w:sz w:val="18"/>
                <w:szCs w:val="18"/>
                <w:lang w:eastAsia="en-US"/>
                <w14:textFill>
                  <w14:solidFill>
                    <w14:schemeClr w14:val="tx1"/>
                  </w14:solidFill>
                </w14:textFill>
              </w:rPr>
              <w:t>类别</w:t>
            </w:r>
          </w:p>
        </w:tc>
        <w:tc>
          <w:tcPr>
            <w:tcW w:w="2489" w:type="dxa"/>
            <w:vAlign w:val="center"/>
          </w:tcPr>
          <w:p w14:paraId="204838D0">
            <w:pPr>
              <w:pStyle w:val="70"/>
              <w:rPr>
                <w:b/>
                <w:bCs/>
                <w:color w:val="000000" w:themeColor="text1"/>
                <w:sz w:val="18"/>
                <w:szCs w:val="18"/>
                <w:lang w:eastAsia="en-US"/>
                <w14:textFill>
                  <w14:solidFill>
                    <w14:schemeClr w14:val="tx1"/>
                  </w14:solidFill>
                </w14:textFill>
              </w:rPr>
            </w:pPr>
            <w:r>
              <w:rPr>
                <w:b/>
                <w:bCs/>
                <w:color w:val="000000" w:themeColor="text1"/>
                <w:sz w:val="18"/>
                <w:szCs w:val="18"/>
                <w:lang w:eastAsia="en-US"/>
                <w14:textFill>
                  <w14:solidFill>
                    <w14:schemeClr w14:val="tx1"/>
                  </w14:solidFill>
                </w14:textFill>
              </w:rPr>
              <w:t>闪蒸蒸发（Q1）</w:t>
            </w:r>
          </w:p>
        </w:tc>
        <w:tc>
          <w:tcPr>
            <w:tcW w:w="2041" w:type="dxa"/>
            <w:vAlign w:val="center"/>
          </w:tcPr>
          <w:p w14:paraId="648437DC">
            <w:pPr>
              <w:pStyle w:val="70"/>
              <w:rPr>
                <w:b/>
                <w:bCs/>
                <w:color w:val="000000" w:themeColor="text1"/>
                <w:sz w:val="18"/>
                <w:szCs w:val="18"/>
                <w:lang w:eastAsia="en-US"/>
                <w14:textFill>
                  <w14:solidFill>
                    <w14:schemeClr w14:val="tx1"/>
                  </w14:solidFill>
                </w14:textFill>
              </w:rPr>
            </w:pPr>
            <w:r>
              <w:rPr>
                <w:b/>
                <w:bCs/>
                <w:color w:val="000000" w:themeColor="text1"/>
                <w:sz w:val="18"/>
                <w:szCs w:val="18"/>
                <w:lang w:eastAsia="en-US"/>
                <w14:textFill>
                  <w14:solidFill>
                    <w14:schemeClr w14:val="tx1"/>
                  </w14:solidFill>
                </w14:textFill>
              </w:rPr>
              <w:t>热量蒸发（Q2）</w:t>
            </w:r>
          </w:p>
        </w:tc>
        <w:tc>
          <w:tcPr>
            <w:tcW w:w="3064" w:type="dxa"/>
            <w:vAlign w:val="center"/>
          </w:tcPr>
          <w:p w14:paraId="1C519FD7">
            <w:pPr>
              <w:pStyle w:val="70"/>
              <w:rPr>
                <w:b/>
                <w:bCs/>
                <w:color w:val="000000" w:themeColor="text1"/>
                <w:sz w:val="18"/>
                <w:szCs w:val="18"/>
                <w:lang w:eastAsia="en-US"/>
                <w14:textFill>
                  <w14:solidFill>
                    <w14:schemeClr w14:val="tx1"/>
                  </w14:solidFill>
                </w14:textFill>
              </w:rPr>
            </w:pPr>
            <w:r>
              <w:rPr>
                <w:b/>
                <w:bCs/>
                <w:color w:val="000000" w:themeColor="text1"/>
                <w:sz w:val="18"/>
                <w:szCs w:val="18"/>
                <w:lang w:eastAsia="en-US"/>
                <w14:textFill>
                  <w14:solidFill>
                    <w14:schemeClr w14:val="tx1"/>
                  </w14:solidFill>
                </w14:textFill>
              </w:rPr>
              <w:t>质量蒸发（Q3）</w:t>
            </w:r>
          </w:p>
        </w:tc>
      </w:tr>
      <w:tr w14:paraId="2B4592BF">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71" w:hRule="atLeast"/>
        </w:trPr>
        <w:tc>
          <w:tcPr>
            <w:tcW w:w="682" w:type="dxa"/>
            <w:vAlign w:val="center"/>
          </w:tcPr>
          <w:p w14:paraId="4F0B6AE9">
            <w:pPr>
              <w:pStyle w:val="70"/>
              <w:rPr>
                <w:color w:val="000000" w:themeColor="text1"/>
                <w:sz w:val="18"/>
                <w:szCs w:val="18"/>
                <w:lang w:eastAsia="en-US"/>
                <w14:textFill>
                  <w14:solidFill>
                    <w14:schemeClr w14:val="tx1"/>
                  </w14:solidFill>
                </w14:textFill>
              </w:rPr>
            </w:pPr>
            <w:r>
              <w:rPr>
                <w:color w:val="000000" w:themeColor="text1"/>
                <w:sz w:val="18"/>
                <w:szCs w:val="18"/>
                <w:lang w:eastAsia="en-US"/>
                <w14:textFill>
                  <w14:solidFill>
                    <w14:schemeClr w14:val="tx1"/>
                  </w14:solidFill>
                </w14:textFill>
              </w:rPr>
              <w:t>公式</w:t>
            </w:r>
          </w:p>
        </w:tc>
        <w:tc>
          <w:tcPr>
            <w:tcW w:w="2489" w:type="dxa"/>
            <w:vAlign w:val="center"/>
          </w:tcPr>
          <w:p w14:paraId="2BA2D9F0">
            <w:pPr>
              <w:pStyle w:val="70"/>
              <w:rPr>
                <w:color w:val="000000" w:themeColor="text1"/>
                <w:sz w:val="18"/>
                <w:szCs w:val="18"/>
                <w:lang w:eastAsia="en-US"/>
                <w14:textFill>
                  <w14:solidFill>
                    <w14:schemeClr w14:val="tx1"/>
                  </w14:solidFill>
                </w14:textFill>
              </w:rPr>
            </w:pPr>
            <w:r>
              <w:rPr>
                <w:color w:val="000000" w:themeColor="text1"/>
                <w:sz w:val="18"/>
                <w:szCs w:val="18"/>
                <w:lang w:eastAsia="en-US"/>
                <w14:textFill>
                  <w14:solidFill>
                    <w14:schemeClr w14:val="tx1"/>
                  </w14:solidFill>
                </w14:textFill>
              </w:rPr>
              <w:t>Q1=QLCp(TT-Tb)/Hv</w:t>
            </w:r>
          </w:p>
        </w:tc>
        <w:tc>
          <w:tcPr>
            <w:tcW w:w="2041" w:type="dxa"/>
            <w:vAlign w:val="center"/>
          </w:tcPr>
          <w:p w14:paraId="5F20F9B6">
            <w:pPr>
              <w:pStyle w:val="70"/>
              <w:rPr>
                <w:color w:val="000000" w:themeColor="text1"/>
                <w:sz w:val="18"/>
                <w:szCs w:val="18"/>
                <w:lang w:eastAsia="en-US"/>
                <w14:textFill>
                  <w14:solidFill>
                    <w14:schemeClr w14:val="tx1"/>
                  </w14:solidFill>
                </w14:textFill>
              </w:rPr>
            </w:pPr>
            <w:r>
              <w:rPr>
                <w:color w:val="000000" w:themeColor="text1"/>
                <w:sz w:val="18"/>
                <w:szCs w:val="18"/>
                <w:lang w:eastAsia="en-US"/>
                <w14:textFill>
                  <w14:solidFill>
                    <w14:schemeClr w14:val="tx1"/>
                  </w14:solidFill>
                </w14:textFill>
              </w:rPr>
              <w:t>Q2=λS(T0-Tb)/(H[παt]0.5)</w:t>
            </w:r>
          </w:p>
        </w:tc>
        <w:tc>
          <w:tcPr>
            <w:tcW w:w="3064" w:type="dxa"/>
            <w:vAlign w:val="center"/>
          </w:tcPr>
          <w:p w14:paraId="429E3D63">
            <w:pPr>
              <w:pStyle w:val="70"/>
              <w:rPr>
                <w:color w:val="000000" w:themeColor="text1"/>
                <w:sz w:val="18"/>
                <w:szCs w:val="18"/>
                <w:lang w:eastAsia="en-US"/>
                <w14:textFill>
                  <w14:solidFill>
                    <w14:schemeClr w14:val="tx1"/>
                  </w14:solidFill>
                </w14:textFill>
              </w:rPr>
            </w:pPr>
            <w:r>
              <w:rPr>
                <w:color w:val="000000" w:themeColor="text1"/>
                <w:sz w:val="18"/>
                <w:szCs w:val="18"/>
                <w:lang w:eastAsia="en-US"/>
                <w14:textFill>
                  <w14:solidFill>
                    <w14:schemeClr w14:val="tx1"/>
                  </w14:solidFill>
                </w14:textFill>
              </w:rPr>
              <w:t>Q3=αPMu([2-n]/[2+n])r([4+n]/[2+n])/(RT0)</w:t>
            </w:r>
          </w:p>
        </w:tc>
      </w:tr>
      <w:tr w14:paraId="4A5A16DC">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451" w:hRule="atLeast"/>
        </w:trPr>
        <w:tc>
          <w:tcPr>
            <w:tcW w:w="682" w:type="dxa"/>
            <w:vAlign w:val="center"/>
          </w:tcPr>
          <w:p w14:paraId="46B97083">
            <w:pPr>
              <w:pStyle w:val="70"/>
              <w:rPr>
                <w:rFonts w:eastAsiaTheme="minorEastAsia"/>
                <w:color w:val="000000" w:themeColor="text1"/>
                <w14:textFill>
                  <w14:solidFill>
                    <w14:schemeClr w14:val="tx1"/>
                  </w14:solidFill>
                </w14:textFill>
              </w:rPr>
            </w:pPr>
            <w:r>
              <w:rPr>
                <w:rFonts w:eastAsiaTheme="minorEastAsia"/>
                <w:color w:val="000000" w:themeColor="text1"/>
                <w14:textFill>
                  <w14:solidFill>
                    <w14:schemeClr w14:val="tx1"/>
                  </w14:solidFill>
                </w14:textFill>
              </w:rPr>
              <w:t>参数意义</w:t>
            </w:r>
          </w:p>
        </w:tc>
        <w:tc>
          <w:tcPr>
            <w:tcW w:w="2489" w:type="dxa"/>
            <w:vAlign w:val="center"/>
          </w:tcPr>
          <w:p w14:paraId="010122EC">
            <w:pPr>
              <w:pStyle w:val="70"/>
              <w:jc w:val="both"/>
              <w:rPr>
                <w:rFonts w:eastAsiaTheme="minorEastAsia"/>
                <w:color w:val="000000" w:themeColor="text1"/>
                <w14:textFill>
                  <w14:solidFill>
                    <w14:schemeClr w14:val="tx1"/>
                  </w14:solidFill>
                </w14:textFill>
              </w:rPr>
            </w:pPr>
            <w:r>
              <w:rPr>
                <w:rFonts w:eastAsiaTheme="minorEastAsia"/>
                <w:color w:val="000000" w:themeColor="text1"/>
                <w14:textFill>
                  <w14:solidFill>
                    <w14:schemeClr w14:val="tx1"/>
                  </w14:solidFill>
                </w14:textFill>
              </w:rPr>
              <w:t>Q1</w:t>
            </w:r>
            <w:r>
              <w:rPr>
                <w:rFonts w:eastAsiaTheme="minorEastAsia"/>
                <w:color w:val="000000" w:themeColor="text1"/>
                <w14:textFill>
                  <w14:solidFill>
                    <w14:schemeClr w14:val="tx1"/>
                  </w14:solidFill>
                </w14:textFill>
              </w:rPr>
              <w:tab/>
            </w:r>
            <w:r>
              <w:rPr>
                <w:rFonts w:eastAsiaTheme="minorEastAsia"/>
                <w:color w:val="000000" w:themeColor="text1"/>
                <w14:textFill>
                  <w14:solidFill>
                    <w14:schemeClr w14:val="tx1"/>
                  </w14:solidFill>
                </w14:textFill>
              </w:rPr>
              <w:t>闪蒸蒸发速率，kg/s；</w:t>
            </w:r>
          </w:p>
          <w:p w14:paraId="7B0D35A0">
            <w:pPr>
              <w:pStyle w:val="70"/>
              <w:jc w:val="both"/>
              <w:rPr>
                <w:rFonts w:eastAsiaTheme="minorEastAsia"/>
                <w:color w:val="000000" w:themeColor="text1"/>
                <w14:textFill>
                  <w14:solidFill>
                    <w14:schemeClr w14:val="tx1"/>
                  </w14:solidFill>
                </w14:textFill>
              </w:rPr>
            </w:pPr>
            <w:r>
              <w:rPr>
                <w:rFonts w:eastAsiaTheme="minorEastAsia"/>
                <w:color w:val="000000" w:themeColor="text1"/>
                <w14:textFill>
                  <w14:solidFill>
                    <w14:schemeClr w14:val="tx1"/>
                  </w14:solidFill>
                </w14:textFill>
              </w:rPr>
              <w:t>QL   物质泄漏速率，kg/s；</w:t>
            </w:r>
          </w:p>
          <w:p w14:paraId="2C117BC9">
            <w:pPr>
              <w:pStyle w:val="70"/>
              <w:jc w:val="both"/>
              <w:rPr>
                <w:rFonts w:eastAsiaTheme="minorEastAsia"/>
                <w:color w:val="000000" w:themeColor="text1"/>
                <w14:textFill>
                  <w14:solidFill>
                    <w14:schemeClr w14:val="tx1"/>
                  </w14:solidFill>
                </w14:textFill>
              </w:rPr>
            </w:pPr>
            <w:r>
              <w:rPr>
                <w:rFonts w:eastAsiaTheme="minorEastAsia"/>
                <w:color w:val="000000" w:themeColor="text1"/>
                <w14:textFill>
                  <w14:solidFill>
                    <w14:schemeClr w14:val="tx1"/>
                  </w14:solidFill>
                </w14:textFill>
              </w:rPr>
              <w:t>Cp</w:t>
            </w:r>
            <w:r>
              <w:rPr>
                <w:rFonts w:eastAsiaTheme="minorEastAsia"/>
                <w:color w:val="000000" w:themeColor="text1"/>
                <w14:textFill>
                  <w14:solidFill>
                    <w14:schemeClr w14:val="tx1"/>
                  </w14:solidFill>
                </w14:textFill>
              </w:rPr>
              <w:tab/>
            </w:r>
            <w:r>
              <w:rPr>
                <w:rFonts w:eastAsiaTheme="minorEastAsia"/>
                <w:color w:val="000000" w:themeColor="text1"/>
                <w14:textFill>
                  <w14:solidFill>
                    <w14:schemeClr w14:val="tx1"/>
                  </w14:solidFill>
                </w14:textFill>
              </w:rPr>
              <w:t>泄漏液体的定压比热容，J/(kg·K)；</w:t>
            </w:r>
          </w:p>
          <w:p w14:paraId="00C48212">
            <w:pPr>
              <w:pStyle w:val="70"/>
              <w:jc w:val="both"/>
              <w:rPr>
                <w:rFonts w:eastAsiaTheme="minorEastAsia"/>
                <w:color w:val="000000" w:themeColor="text1"/>
                <w14:textFill>
                  <w14:solidFill>
                    <w14:schemeClr w14:val="tx1"/>
                  </w14:solidFill>
                </w14:textFill>
              </w:rPr>
            </w:pPr>
            <w:r>
              <w:rPr>
                <w:rFonts w:eastAsiaTheme="minorEastAsia"/>
                <w:color w:val="000000" w:themeColor="text1"/>
                <w14:textFill>
                  <w14:solidFill>
                    <w14:schemeClr w14:val="tx1"/>
                  </w14:solidFill>
                </w14:textFill>
              </w:rPr>
              <w:t>TT</w:t>
            </w:r>
            <w:r>
              <w:rPr>
                <w:rFonts w:eastAsiaTheme="minorEastAsia"/>
                <w:color w:val="000000" w:themeColor="text1"/>
                <w14:textFill>
                  <w14:solidFill>
                    <w14:schemeClr w14:val="tx1"/>
                  </w14:solidFill>
                </w14:textFill>
              </w:rPr>
              <w:tab/>
            </w:r>
            <w:r>
              <w:rPr>
                <w:rFonts w:eastAsiaTheme="minorEastAsia"/>
                <w:color w:val="000000" w:themeColor="text1"/>
                <w14:textFill>
                  <w14:solidFill>
                    <w14:schemeClr w14:val="tx1"/>
                  </w14:solidFill>
                </w14:textFill>
              </w:rPr>
              <w:t>储存温度，K；</w:t>
            </w:r>
          </w:p>
          <w:p w14:paraId="799CB3CA">
            <w:pPr>
              <w:pStyle w:val="70"/>
              <w:jc w:val="both"/>
              <w:rPr>
                <w:rFonts w:eastAsiaTheme="minorEastAsia"/>
                <w:color w:val="000000" w:themeColor="text1"/>
                <w14:textFill>
                  <w14:solidFill>
                    <w14:schemeClr w14:val="tx1"/>
                  </w14:solidFill>
                </w14:textFill>
              </w:rPr>
            </w:pPr>
            <w:r>
              <w:rPr>
                <w:rFonts w:eastAsiaTheme="minorEastAsia"/>
                <w:color w:val="000000" w:themeColor="text1"/>
                <w14:textFill>
                  <w14:solidFill>
                    <w14:schemeClr w14:val="tx1"/>
                  </w14:solidFill>
                </w14:textFill>
              </w:rPr>
              <w:t>Tb</w:t>
            </w:r>
            <w:r>
              <w:rPr>
                <w:rFonts w:eastAsiaTheme="minorEastAsia"/>
                <w:color w:val="000000" w:themeColor="text1"/>
                <w14:textFill>
                  <w14:solidFill>
                    <w14:schemeClr w14:val="tx1"/>
                  </w14:solidFill>
                </w14:textFill>
              </w:rPr>
              <w:tab/>
            </w:r>
            <w:r>
              <w:rPr>
                <w:rFonts w:eastAsiaTheme="minorEastAsia"/>
                <w:color w:val="000000" w:themeColor="text1"/>
                <w14:textFill>
                  <w14:solidFill>
                    <w14:schemeClr w14:val="tx1"/>
                  </w14:solidFill>
                </w14:textFill>
              </w:rPr>
              <w:t>泄漏液体的沸点，K；  Hv</w:t>
            </w:r>
            <w:r>
              <w:rPr>
                <w:rFonts w:eastAsiaTheme="minorEastAsia"/>
                <w:color w:val="000000" w:themeColor="text1"/>
                <w14:textFill>
                  <w14:solidFill>
                    <w14:schemeClr w14:val="tx1"/>
                  </w14:solidFill>
                </w14:textFill>
              </w:rPr>
              <w:tab/>
            </w:r>
            <w:r>
              <w:rPr>
                <w:rFonts w:eastAsiaTheme="minorEastAsia"/>
                <w:color w:val="000000" w:themeColor="text1"/>
                <w14:textFill>
                  <w14:solidFill>
                    <w14:schemeClr w14:val="tx1"/>
                  </w14:solidFill>
                </w14:textFill>
              </w:rPr>
              <w:t>泄 漏 液 体 的 蒸 发 热 ， J/kg。</w:t>
            </w:r>
          </w:p>
        </w:tc>
        <w:tc>
          <w:tcPr>
            <w:tcW w:w="2041" w:type="dxa"/>
            <w:vAlign w:val="center"/>
          </w:tcPr>
          <w:p w14:paraId="492E0C54">
            <w:pPr>
              <w:pStyle w:val="70"/>
              <w:jc w:val="both"/>
              <w:rPr>
                <w:rFonts w:eastAsiaTheme="minorEastAsia"/>
                <w:color w:val="000000" w:themeColor="text1"/>
                <w14:textFill>
                  <w14:solidFill>
                    <w14:schemeClr w14:val="tx1"/>
                  </w14:solidFill>
                </w14:textFill>
              </w:rPr>
            </w:pPr>
            <w:r>
              <w:rPr>
                <w:rFonts w:eastAsiaTheme="minorEastAsia"/>
                <w:color w:val="000000" w:themeColor="text1"/>
                <w14:textFill>
                  <w14:solidFill>
                    <w14:schemeClr w14:val="tx1"/>
                  </w14:solidFill>
                </w14:textFill>
              </w:rPr>
              <w:t>Q2</w:t>
            </w:r>
            <w:r>
              <w:rPr>
                <w:rFonts w:eastAsiaTheme="minorEastAsia"/>
                <w:color w:val="000000" w:themeColor="text1"/>
                <w14:textFill>
                  <w14:solidFill>
                    <w14:schemeClr w14:val="tx1"/>
                  </w14:solidFill>
                </w14:textFill>
              </w:rPr>
              <w:tab/>
            </w:r>
            <w:r>
              <w:rPr>
                <w:rFonts w:eastAsiaTheme="minorEastAsia"/>
                <w:color w:val="000000" w:themeColor="text1"/>
                <w14:textFill>
                  <w14:solidFill>
                    <w14:schemeClr w14:val="tx1"/>
                  </w14:solidFill>
                </w14:textFill>
              </w:rPr>
              <w:t>热 量 蒸 发 速 率 ，kg/s；</w:t>
            </w:r>
          </w:p>
          <w:p w14:paraId="0E215B93">
            <w:pPr>
              <w:pStyle w:val="70"/>
              <w:jc w:val="both"/>
              <w:rPr>
                <w:rFonts w:eastAsiaTheme="minorEastAsia"/>
                <w:color w:val="000000" w:themeColor="text1"/>
                <w14:textFill>
                  <w14:solidFill>
                    <w14:schemeClr w14:val="tx1"/>
                  </w14:solidFill>
                </w14:textFill>
              </w:rPr>
            </w:pPr>
            <w:r>
              <w:rPr>
                <w:rFonts w:eastAsiaTheme="minorEastAsia"/>
                <w:color w:val="000000" w:themeColor="text1"/>
                <w14:textFill>
                  <w14:solidFill>
                    <w14:schemeClr w14:val="tx1"/>
                  </w14:solidFill>
                </w14:textFill>
              </w:rPr>
              <w:t>λ</w:t>
            </w:r>
            <w:r>
              <w:rPr>
                <w:rFonts w:eastAsiaTheme="minorEastAsia"/>
                <w:color w:val="000000" w:themeColor="text1"/>
                <w14:textFill>
                  <w14:solidFill>
                    <w14:schemeClr w14:val="tx1"/>
                  </w14:solidFill>
                </w14:textFill>
              </w:rPr>
              <w:tab/>
            </w:r>
            <w:r>
              <w:rPr>
                <w:rFonts w:eastAsiaTheme="minorEastAsia"/>
                <w:color w:val="000000" w:themeColor="text1"/>
                <w14:textFill>
                  <w14:solidFill>
                    <w14:schemeClr w14:val="tx1"/>
                  </w14:solidFill>
                </w14:textFill>
              </w:rPr>
              <w:t>地 表 热 导 系 数 ，W/(m·K)；</w:t>
            </w:r>
          </w:p>
          <w:p w14:paraId="133DCD43">
            <w:pPr>
              <w:pStyle w:val="70"/>
              <w:jc w:val="both"/>
              <w:rPr>
                <w:rFonts w:eastAsiaTheme="minorEastAsia"/>
                <w:color w:val="000000" w:themeColor="text1"/>
                <w14:textFill>
                  <w14:solidFill>
                    <w14:schemeClr w14:val="tx1"/>
                  </w14:solidFill>
                </w14:textFill>
              </w:rPr>
            </w:pPr>
            <w:r>
              <w:rPr>
                <w:rFonts w:eastAsiaTheme="minorEastAsia"/>
                <w:color w:val="000000" w:themeColor="text1"/>
                <w14:textFill>
                  <w14:solidFill>
                    <w14:schemeClr w14:val="tx1"/>
                  </w14:solidFill>
                </w14:textFill>
              </w:rPr>
              <w:t>α</w:t>
            </w:r>
            <w:r>
              <w:rPr>
                <w:rFonts w:eastAsiaTheme="minorEastAsia"/>
                <w:color w:val="000000" w:themeColor="text1"/>
                <w14:textFill>
                  <w14:solidFill>
                    <w14:schemeClr w14:val="tx1"/>
                  </w14:solidFill>
                </w14:textFill>
              </w:rPr>
              <w:tab/>
            </w:r>
            <w:r>
              <w:rPr>
                <w:rFonts w:eastAsiaTheme="minorEastAsia"/>
                <w:color w:val="000000" w:themeColor="text1"/>
                <w14:textFill>
                  <w14:solidFill>
                    <w14:schemeClr w14:val="tx1"/>
                  </w14:solidFill>
                </w14:textFill>
              </w:rPr>
              <w:t>表面热扩散系数，m2/s；</w:t>
            </w:r>
          </w:p>
          <w:p w14:paraId="690A8CDB">
            <w:pPr>
              <w:pStyle w:val="70"/>
              <w:jc w:val="both"/>
              <w:rPr>
                <w:rFonts w:eastAsiaTheme="minorEastAsia"/>
                <w:color w:val="000000" w:themeColor="text1"/>
                <w14:textFill>
                  <w14:solidFill>
                    <w14:schemeClr w14:val="tx1"/>
                  </w14:solidFill>
                </w14:textFill>
              </w:rPr>
            </w:pPr>
            <w:r>
              <w:rPr>
                <w:rFonts w:eastAsiaTheme="minorEastAsia"/>
                <w:color w:val="000000" w:themeColor="text1"/>
                <w14:textFill>
                  <w14:solidFill>
                    <w14:schemeClr w14:val="tx1"/>
                  </w14:solidFill>
                </w14:textFill>
              </w:rPr>
              <w:t>T0</w:t>
            </w:r>
            <w:r>
              <w:rPr>
                <w:rFonts w:eastAsiaTheme="minorEastAsia"/>
                <w:color w:val="000000" w:themeColor="text1"/>
                <w14:textFill>
                  <w14:solidFill>
                    <w14:schemeClr w14:val="tx1"/>
                  </w14:solidFill>
                </w14:textFill>
              </w:rPr>
              <w:tab/>
            </w:r>
            <w:r>
              <w:rPr>
                <w:rFonts w:eastAsiaTheme="minorEastAsia"/>
                <w:color w:val="000000" w:themeColor="text1"/>
                <w14:textFill>
                  <w14:solidFill>
                    <w14:schemeClr w14:val="tx1"/>
                  </w14:solidFill>
                </w14:textFill>
              </w:rPr>
              <w:t>环境温度，K；</w:t>
            </w:r>
          </w:p>
          <w:p w14:paraId="58E097FF">
            <w:pPr>
              <w:pStyle w:val="70"/>
              <w:jc w:val="both"/>
              <w:rPr>
                <w:rFonts w:eastAsiaTheme="minorEastAsia"/>
                <w:color w:val="000000" w:themeColor="text1"/>
                <w14:textFill>
                  <w14:solidFill>
                    <w14:schemeClr w14:val="tx1"/>
                  </w14:solidFill>
                </w14:textFill>
              </w:rPr>
            </w:pPr>
            <w:r>
              <w:rPr>
                <w:rFonts w:eastAsiaTheme="minorEastAsia"/>
                <w:color w:val="000000" w:themeColor="text1"/>
                <w14:textFill>
                  <w14:solidFill>
                    <w14:schemeClr w14:val="tx1"/>
                  </w14:solidFill>
                </w14:textFill>
              </w:rPr>
              <w:t>S</w:t>
            </w:r>
            <w:r>
              <w:rPr>
                <w:rFonts w:eastAsiaTheme="minorEastAsia"/>
                <w:color w:val="000000" w:themeColor="text1"/>
                <w14:textFill>
                  <w14:solidFill>
                    <w14:schemeClr w14:val="tx1"/>
                  </w14:solidFill>
                </w14:textFill>
              </w:rPr>
              <w:tab/>
            </w:r>
            <w:r>
              <w:rPr>
                <w:rFonts w:eastAsiaTheme="minorEastAsia"/>
                <w:color w:val="000000" w:themeColor="text1"/>
                <w14:textFill>
                  <w14:solidFill>
                    <w14:schemeClr w14:val="tx1"/>
                  </w14:solidFill>
                </w14:textFill>
              </w:rPr>
              <w:t>液池面积，m2；</w:t>
            </w:r>
          </w:p>
          <w:p w14:paraId="3283B3F6">
            <w:pPr>
              <w:pStyle w:val="70"/>
              <w:jc w:val="both"/>
              <w:rPr>
                <w:rFonts w:eastAsiaTheme="minorEastAsia"/>
                <w:color w:val="000000" w:themeColor="text1"/>
                <w14:textFill>
                  <w14:solidFill>
                    <w14:schemeClr w14:val="tx1"/>
                  </w14:solidFill>
                </w14:textFill>
              </w:rPr>
            </w:pPr>
            <w:r>
              <w:rPr>
                <w:rFonts w:eastAsiaTheme="minorEastAsia"/>
                <w:color w:val="000000" w:themeColor="text1"/>
                <w14:textFill>
                  <w14:solidFill>
                    <w14:schemeClr w14:val="tx1"/>
                  </w14:solidFill>
                </w14:textFill>
              </w:rPr>
              <w:t>H</w:t>
            </w:r>
            <w:r>
              <w:rPr>
                <w:rFonts w:eastAsiaTheme="minorEastAsia"/>
                <w:color w:val="000000" w:themeColor="text1"/>
                <w14:textFill>
                  <w14:solidFill>
                    <w14:schemeClr w14:val="tx1"/>
                  </w14:solidFill>
                </w14:textFill>
              </w:rPr>
              <w:tab/>
            </w:r>
            <w:r>
              <w:rPr>
                <w:rFonts w:eastAsiaTheme="minorEastAsia"/>
                <w:color w:val="000000" w:themeColor="text1"/>
                <w14:textFill>
                  <w14:solidFill>
                    <w14:schemeClr w14:val="tx1"/>
                  </w14:solidFill>
                </w14:textFill>
              </w:rPr>
              <w:t>液体汽化热，J/kg。</w:t>
            </w:r>
          </w:p>
        </w:tc>
        <w:tc>
          <w:tcPr>
            <w:tcW w:w="3064" w:type="dxa"/>
            <w:vAlign w:val="center"/>
          </w:tcPr>
          <w:p w14:paraId="7B4C3085">
            <w:pPr>
              <w:pStyle w:val="70"/>
              <w:jc w:val="both"/>
              <w:rPr>
                <w:rFonts w:eastAsiaTheme="minorEastAsia"/>
                <w:color w:val="000000" w:themeColor="text1"/>
                <w14:textFill>
                  <w14:solidFill>
                    <w14:schemeClr w14:val="tx1"/>
                  </w14:solidFill>
                </w14:textFill>
              </w:rPr>
            </w:pPr>
            <w:r>
              <w:rPr>
                <w:rFonts w:eastAsiaTheme="minorEastAsia"/>
                <w:color w:val="000000" w:themeColor="text1"/>
                <w14:textFill>
                  <w14:solidFill>
                    <w14:schemeClr w14:val="tx1"/>
                  </w14:solidFill>
                </w14:textFill>
              </w:rPr>
              <w:t>Q3</w:t>
            </w:r>
            <w:r>
              <w:rPr>
                <w:rFonts w:eastAsiaTheme="minorEastAsia"/>
                <w:color w:val="000000" w:themeColor="text1"/>
                <w14:textFill>
                  <w14:solidFill>
                    <w14:schemeClr w14:val="tx1"/>
                  </w14:solidFill>
                </w14:textFill>
              </w:rPr>
              <w:tab/>
            </w:r>
            <w:r>
              <w:rPr>
                <w:rFonts w:eastAsiaTheme="minorEastAsia"/>
                <w:color w:val="000000" w:themeColor="text1"/>
                <w14:textFill>
                  <w14:solidFill>
                    <w14:schemeClr w14:val="tx1"/>
                  </w14:solidFill>
                </w14:textFill>
              </w:rPr>
              <w:t>质量蒸发速率，kg/s；</w:t>
            </w:r>
          </w:p>
          <w:p w14:paraId="04216E05">
            <w:pPr>
              <w:pStyle w:val="70"/>
              <w:jc w:val="both"/>
              <w:rPr>
                <w:rFonts w:eastAsiaTheme="minorEastAsia"/>
                <w:color w:val="000000" w:themeColor="text1"/>
                <w14:textFill>
                  <w14:solidFill>
                    <w14:schemeClr w14:val="tx1"/>
                  </w14:solidFill>
                </w14:textFill>
              </w:rPr>
            </w:pPr>
            <w:r>
              <w:rPr>
                <w:rFonts w:eastAsiaTheme="minorEastAsia"/>
                <w:color w:val="000000" w:themeColor="text1"/>
                <w14:textFill>
                  <w14:solidFill>
                    <w14:schemeClr w14:val="tx1"/>
                  </w14:solidFill>
                </w14:textFill>
              </w:rPr>
              <w:t>P</w:t>
            </w:r>
            <w:r>
              <w:rPr>
                <w:rFonts w:eastAsiaTheme="minorEastAsia"/>
                <w:color w:val="000000" w:themeColor="text1"/>
                <w14:textFill>
                  <w14:solidFill>
                    <w14:schemeClr w14:val="tx1"/>
                  </w14:solidFill>
                </w14:textFill>
              </w:rPr>
              <w:tab/>
            </w:r>
            <w:r>
              <w:rPr>
                <w:rFonts w:eastAsiaTheme="minorEastAsia"/>
                <w:color w:val="000000" w:themeColor="text1"/>
                <w14:textFill>
                  <w14:solidFill>
                    <w14:schemeClr w14:val="tx1"/>
                  </w14:solidFill>
                </w14:textFill>
              </w:rPr>
              <w:t>液体表面蒸气压，Pa；</w:t>
            </w:r>
          </w:p>
          <w:p w14:paraId="2E4B4443">
            <w:pPr>
              <w:pStyle w:val="70"/>
              <w:jc w:val="both"/>
              <w:rPr>
                <w:rFonts w:eastAsiaTheme="minorEastAsia"/>
                <w:color w:val="000000" w:themeColor="text1"/>
                <w14:textFill>
                  <w14:solidFill>
                    <w14:schemeClr w14:val="tx1"/>
                  </w14:solidFill>
                </w14:textFill>
              </w:rPr>
            </w:pPr>
            <w:r>
              <w:rPr>
                <w:rFonts w:eastAsiaTheme="minorEastAsia"/>
                <w:color w:val="000000" w:themeColor="text1"/>
                <w14:textFill>
                  <w14:solidFill>
                    <w14:schemeClr w14:val="tx1"/>
                  </w14:solidFill>
                </w14:textFill>
              </w:rPr>
              <w:t>α，n</w:t>
            </w:r>
            <w:r>
              <w:rPr>
                <w:rFonts w:eastAsiaTheme="minorEastAsia"/>
                <w:color w:val="000000" w:themeColor="text1"/>
                <w14:textFill>
                  <w14:solidFill>
                    <w14:schemeClr w14:val="tx1"/>
                  </w14:solidFill>
                </w14:textFill>
              </w:rPr>
              <w:tab/>
            </w:r>
            <w:r>
              <w:rPr>
                <w:rFonts w:eastAsiaTheme="minorEastAsia"/>
                <w:color w:val="000000" w:themeColor="text1"/>
                <w14:textFill>
                  <w14:solidFill>
                    <w14:schemeClr w14:val="tx1"/>
                  </w14:solidFill>
                </w14:textFill>
              </w:rPr>
              <w:t>大气稳定度系数；</w:t>
            </w:r>
          </w:p>
          <w:p w14:paraId="5393AA88">
            <w:pPr>
              <w:pStyle w:val="70"/>
              <w:jc w:val="both"/>
              <w:rPr>
                <w:rFonts w:eastAsiaTheme="minorEastAsia"/>
                <w:color w:val="000000" w:themeColor="text1"/>
                <w14:textFill>
                  <w14:solidFill>
                    <w14:schemeClr w14:val="tx1"/>
                  </w14:solidFill>
                </w14:textFill>
              </w:rPr>
            </w:pPr>
            <w:r>
              <w:rPr>
                <w:rFonts w:eastAsiaTheme="minorEastAsia"/>
                <w:color w:val="000000" w:themeColor="text1"/>
                <w14:textFill>
                  <w14:solidFill>
                    <w14:schemeClr w14:val="tx1"/>
                  </w14:solidFill>
                </w14:textFill>
              </w:rPr>
              <w:t>M</w:t>
            </w:r>
            <w:r>
              <w:rPr>
                <w:rFonts w:eastAsiaTheme="minorEastAsia"/>
                <w:color w:val="000000" w:themeColor="text1"/>
                <w14:textFill>
                  <w14:solidFill>
                    <w14:schemeClr w14:val="tx1"/>
                  </w14:solidFill>
                </w14:textFill>
              </w:rPr>
              <w:tab/>
            </w:r>
            <w:r>
              <w:rPr>
                <w:rFonts w:eastAsiaTheme="minorEastAsia"/>
                <w:color w:val="000000" w:themeColor="text1"/>
                <w14:textFill>
                  <w14:solidFill>
                    <w14:schemeClr w14:val="tx1"/>
                  </w14:solidFill>
                </w14:textFill>
              </w:rPr>
              <w:t>物质的摩尔质量，kg/mol；</w:t>
            </w:r>
          </w:p>
          <w:p w14:paraId="3BB4D5E6">
            <w:pPr>
              <w:pStyle w:val="70"/>
              <w:jc w:val="both"/>
              <w:rPr>
                <w:rFonts w:eastAsiaTheme="minorEastAsia"/>
                <w:color w:val="000000" w:themeColor="text1"/>
                <w14:textFill>
                  <w14:solidFill>
                    <w14:schemeClr w14:val="tx1"/>
                  </w14:solidFill>
                </w14:textFill>
              </w:rPr>
            </w:pPr>
            <w:r>
              <w:rPr>
                <w:rFonts w:eastAsiaTheme="minorEastAsia"/>
                <w:color w:val="000000" w:themeColor="text1"/>
                <w14:textFill>
                  <w14:solidFill>
                    <w14:schemeClr w14:val="tx1"/>
                  </w14:solidFill>
                </w14:textFill>
              </w:rPr>
              <w:t>u</w:t>
            </w:r>
            <w:r>
              <w:rPr>
                <w:rFonts w:eastAsiaTheme="minorEastAsia"/>
                <w:color w:val="000000" w:themeColor="text1"/>
                <w14:textFill>
                  <w14:solidFill>
                    <w14:schemeClr w14:val="tx1"/>
                  </w14:solidFill>
                </w14:textFill>
              </w:rPr>
              <w:tab/>
            </w:r>
            <w:r>
              <w:rPr>
                <w:rFonts w:eastAsiaTheme="minorEastAsia"/>
                <w:color w:val="000000" w:themeColor="text1"/>
                <w14:textFill>
                  <w14:solidFill>
                    <w14:schemeClr w14:val="tx1"/>
                  </w14:solidFill>
                </w14:textFill>
              </w:rPr>
              <w:t>风速，m/s；</w:t>
            </w:r>
          </w:p>
          <w:p w14:paraId="3CF65908">
            <w:pPr>
              <w:pStyle w:val="70"/>
              <w:jc w:val="both"/>
              <w:rPr>
                <w:rFonts w:eastAsiaTheme="minorEastAsia"/>
                <w:color w:val="000000" w:themeColor="text1"/>
                <w14:textFill>
                  <w14:solidFill>
                    <w14:schemeClr w14:val="tx1"/>
                  </w14:solidFill>
                </w14:textFill>
              </w:rPr>
            </w:pPr>
            <w:r>
              <w:rPr>
                <w:rFonts w:eastAsiaTheme="minorEastAsia"/>
                <w:color w:val="000000" w:themeColor="text1"/>
                <w14:textFill>
                  <w14:solidFill>
                    <w14:schemeClr w14:val="tx1"/>
                  </w14:solidFill>
                </w14:textFill>
              </w:rPr>
              <w:t>r</w:t>
            </w:r>
            <w:r>
              <w:rPr>
                <w:rFonts w:eastAsiaTheme="minorEastAsia"/>
                <w:color w:val="000000" w:themeColor="text1"/>
                <w14:textFill>
                  <w14:solidFill>
                    <w14:schemeClr w14:val="tx1"/>
                  </w14:solidFill>
                </w14:textFill>
              </w:rPr>
              <w:tab/>
            </w:r>
            <w:r>
              <w:rPr>
                <w:rFonts w:eastAsiaTheme="minorEastAsia"/>
                <w:color w:val="000000" w:themeColor="text1"/>
                <w14:textFill>
                  <w14:solidFill>
                    <w14:schemeClr w14:val="tx1"/>
                  </w14:solidFill>
                </w14:textFill>
              </w:rPr>
              <w:t>液池半径，m；</w:t>
            </w:r>
          </w:p>
          <w:p w14:paraId="680B4F0F">
            <w:pPr>
              <w:pStyle w:val="70"/>
              <w:jc w:val="both"/>
              <w:rPr>
                <w:rFonts w:eastAsiaTheme="minorEastAsia"/>
                <w:color w:val="000000" w:themeColor="text1"/>
                <w14:textFill>
                  <w14:solidFill>
                    <w14:schemeClr w14:val="tx1"/>
                  </w14:solidFill>
                </w14:textFill>
              </w:rPr>
            </w:pPr>
            <w:r>
              <w:rPr>
                <w:rFonts w:eastAsiaTheme="minorEastAsia"/>
                <w:color w:val="000000" w:themeColor="text1"/>
                <w14:textFill>
                  <w14:solidFill>
                    <w14:schemeClr w14:val="tx1"/>
                  </w14:solidFill>
                </w14:textFill>
              </w:rPr>
              <w:t>R</w:t>
            </w:r>
            <w:r>
              <w:rPr>
                <w:rFonts w:eastAsiaTheme="minorEastAsia"/>
                <w:color w:val="000000" w:themeColor="text1"/>
                <w14:textFill>
                  <w14:solidFill>
                    <w14:schemeClr w14:val="tx1"/>
                  </w14:solidFill>
                </w14:textFill>
              </w:rPr>
              <w:tab/>
            </w:r>
            <w:r>
              <w:rPr>
                <w:rFonts w:eastAsiaTheme="minorEastAsia"/>
                <w:color w:val="000000" w:themeColor="text1"/>
                <w14:textFill>
                  <w14:solidFill>
                    <w14:schemeClr w14:val="tx1"/>
                  </w14:solidFill>
                </w14:textFill>
              </w:rPr>
              <w:t>气体常数，8.314J/(mol·K)。</w:t>
            </w:r>
          </w:p>
        </w:tc>
      </w:tr>
    </w:tbl>
    <w:p w14:paraId="3F9F14A9">
      <w:pPr>
        <w:pStyle w:val="74"/>
        <w:rPr>
          <w:color w:val="000000" w:themeColor="text1"/>
          <w14:textFill>
            <w14:solidFill>
              <w14:schemeClr w14:val="tx1"/>
            </w14:solidFill>
          </w14:textFill>
        </w:rPr>
      </w:pPr>
      <w:r>
        <w:rPr>
          <w:color w:val="000000" w:themeColor="text1"/>
          <w14:textFill>
            <w14:solidFill>
              <w14:schemeClr w14:val="tx1"/>
            </w14:solidFill>
          </w14:textFill>
        </w:rPr>
        <w:t>本项目</w:t>
      </w:r>
      <w:r>
        <w:rPr>
          <w:rFonts w:eastAsiaTheme="minorEastAsia"/>
          <w:color w:val="000000" w:themeColor="text1"/>
          <w14:textFill>
            <w14:solidFill>
              <w14:schemeClr w14:val="tx1"/>
            </w14:solidFill>
          </w14:textFill>
        </w:rPr>
        <w:t>发烟硫酸、</w:t>
      </w:r>
      <w:r>
        <w:rPr>
          <w:rFonts w:hint="eastAsia"/>
          <w:color w:val="000000" w:themeColor="text1"/>
          <w14:textFill>
            <w14:solidFill>
              <w14:schemeClr w14:val="tx1"/>
            </w14:solidFill>
          </w14:textFill>
        </w:rPr>
        <w:t>苯乙烯</w:t>
      </w:r>
      <w:r>
        <w:rPr>
          <w:color w:val="000000" w:themeColor="text1"/>
          <w14:textFill>
            <w14:solidFill>
              <w14:schemeClr w14:val="tx1"/>
            </w14:solidFill>
          </w14:textFill>
        </w:rPr>
        <w:t>的沸点均高于环境温度，不属于过热液体，因此闪蒸蒸发、热量蒸发均为 0，仅考虑质量蒸发。</w:t>
      </w:r>
    </w:p>
    <w:p w14:paraId="7217A5F9">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蒸发速率按下式计算：</w:t>
      </w:r>
    </w:p>
    <w:p w14:paraId="22F39D28">
      <w:pPr>
        <w:ind w:firstLine="480"/>
        <w:jc w:val="cente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1571625" cy="600075"/>
            <wp:effectExtent l="0" t="0" r="9525" b="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pic:cNvPicPr>
                      <a:picLocks noChangeAspect="1" noChangeArrowheads="1"/>
                    </pic:cNvPicPr>
                  </pic:nvPicPr>
                  <pic:blipFill>
                    <a:blip r:embed="rId88">
                      <a:lum bright="-48000"/>
                      <a:extLst>
                        <a:ext uri="{28A0092B-C50C-407E-A947-70E740481C1C}">
                          <a14:useLocalDpi xmlns:a14="http://schemas.microsoft.com/office/drawing/2010/main" val="0"/>
                        </a:ext>
                      </a:extLst>
                    </a:blip>
                    <a:srcRect/>
                    <a:stretch>
                      <a:fillRect/>
                    </a:stretch>
                  </pic:blipFill>
                  <pic:spPr>
                    <a:xfrm>
                      <a:off x="0" y="0"/>
                      <a:ext cx="1571625" cy="600075"/>
                    </a:xfrm>
                    <a:prstGeom prst="rect">
                      <a:avLst/>
                    </a:prstGeom>
                    <a:noFill/>
                    <a:ln>
                      <a:noFill/>
                    </a:ln>
                    <a:effectLst/>
                  </pic:spPr>
                </pic:pic>
              </a:graphicData>
            </a:graphic>
          </wp:inline>
        </w:drawing>
      </w:r>
    </w:p>
    <w:p w14:paraId="4E978ABE">
      <w:pPr>
        <w:ind w:firstLine="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式中：</w:t>
      </w:r>
      <w:r>
        <w:rPr>
          <w:i/>
          <w:iCs/>
          <w:color w:val="000000" w:themeColor="text1"/>
          <w14:textFill>
            <w14:solidFill>
              <w14:schemeClr w14:val="tx1"/>
            </w14:solidFill>
          </w14:textFill>
        </w:rPr>
        <w:t>Q</w:t>
      </w:r>
      <w:r>
        <w:rPr>
          <w:i/>
          <w:iCs/>
          <w:color w:val="000000" w:themeColor="text1"/>
          <w:vertAlign w:val="subscript"/>
          <w14:textFill>
            <w14:solidFill>
              <w14:schemeClr w14:val="tx1"/>
            </w14:solidFill>
          </w14:textFill>
        </w:rPr>
        <w:t>3</w:t>
      </w:r>
      <w:r>
        <w:rPr>
          <w:color w:val="000000" w:themeColor="text1"/>
          <w14:textFill>
            <w14:solidFill>
              <w14:schemeClr w14:val="tx1"/>
            </w14:solidFill>
          </w14:textFill>
        </w:rPr>
        <w:t>——质量蒸发速度，kg/s；</w:t>
      </w:r>
    </w:p>
    <w:p w14:paraId="3255A065">
      <w:pPr>
        <w:ind w:firstLine="720" w:firstLineChars="300"/>
        <w:rPr>
          <w:color w:val="000000" w:themeColor="text1"/>
          <w14:textFill>
            <w14:solidFill>
              <w14:schemeClr w14:val="tx1"/>
            </w14:solidFill>
          </w14:textFill>
        </w:rPr>
      </w:pPr>
      <w:r>
        <w:rPr>
          <w:i/>
          <w:iCs/>
          <w:color w:val="000000" w:themeColor="text1"/>
          <w14:textFill>
            <w14:solidFill>
              <w14:schemeClr w14:val="tx1"/>
            </w14:solidFill>
          </w14:textFill>
        </w:rPr>
        <w:t>a,n</w:t>
      </w:r>
      <w:r>
        <w:rPr>
          <w:color w:val="000000" w:themeColor="text1"/>
          <w14:textFill>
            <w14:solidFill>
              <w14:schemeClr w14:val="tx1"/>
            </w14:solidFill>
          </w14:textFill>
        </w:rPr>
        <w:t>——大气稳定度系数，F类稳定度时n=0.3，a=5.285</w:t>
      </w:r>
      <w:r>
        <w:rPr>
          <w:rFonts w:cs="Arial"/>
          <w:color w:val="000000" w:themeColor="text1"/>
          <w14:textFill>
            <w14:solidFill>
              <w14:schemeClr w14:val="tx1"/>
            </w14:solidFill>
          </w14:textFill>
        </w:rPr>
        <w:t>×</w:t>
      </w:r>
      <w:r>
        <w:rPr>
          <w:color w:val="000000" w:themeColor="text1"/>
          <w14:textFill>
            <w14:solidFill>
              <w14:schemeClr w14:val="tx1"/>
            </w14:solidFill>
          </w14:textFill>
        </w:rPr>
        <w:t>10</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w:t>
      </w:r>
    </w:p>
    <w:p w14:paraId="53410981">
      <w:pPr>
        <w:ind w:firstLine="720" w:firstLineChars="300"/>
        <w:rPr>
          <w:color w:val="000000" w:themeColor="text1"/>
          <w14:textFill>
            <w14:solidFill>
              <w14:schemeClr w14:val="tx1"/>
            </w14:solidFill>
          </w14:textFill>
        </w:rPr>
      </w:pPr>
      <w:r>
        <w:rPr>
          <w:i/>
          <w:iCs/>
          <w:color w:val="000000" w:themeColor="text1"/>
          <w14:textFill>
            <w14:solidFill>
              <w14:schemeClr w14:val="tx1"/>
            </w14:solidFill>
          </w14:textFill>
        </w:rPr>
        <w:t>p</w:t>
      </w:r>
      <w:r>
        <w:rPr>
          <w:color w:val="000000" w:themeColor="text1"/>
          <w14:textFill>
            <w14:solidFill>
              <w14:schemeClr w14:val="tx1"/>
            </w14:solidFill>
          </w14:textFill>
        </w:rPr>
        <w:t>——液体表面蒸汽压，</w:t>
      </w:r>
      <w:r>
        <w:rPr>
          <w:rFonts w:hint="eastAsia"/>
          <w:color w:val="000000" w:themeColor="text1"/>
          <w14:textFill>
            <w14:solidFill>
              <w14:schemeClr w14:val="tx1"/>
            </w14:solidFill>
          </w14:textFill>
        </w:rPr>
        <w:t>取600</w:t>
      </w:r>
      <w:r>
        <w:rPr>
          <w:color w:val="000000" w:themeColor="text1"/>
          <w14:textFill>
            <w14:solidFill>
              <w14:schemeClr w14:val="tx1"/>
            </w14:solidFill>
          </w14:textFill>
        </w:rPr>
        <w:t>Pa；</w:t>
      </w:r>
    </w:p>
    <w:p w14:paraId="5165573F">
      <w:pPr>
        <w:ind w:firstLine="720" w:firstLineChars="300"/>
        <w:rPr>
          <w:color w:val="000000" w:themeColor="text1"/>
          <w14:textFill>
            <w14:solidFill>
              <w14:schemeClr w14:val="tx1"/>
            </w14:solidFill>
          </w14:textFill>
        </w:rPr>
      </w:pPr>
      <w:r>
        <w:rPr>
          <w:i/>
          <w:iCs/>
          <w:color w:val="000000" w:themeColor="text1"/>
          <w14:textFill>
            <w14:solidFill>
              <w14:schemeClr w14:val="tx1"/>
            </w14:solidFill>
          </w14:textFill>
        </w:rPr>
        <w:t>M</w:t>
      </w:r>
      <w:r>
        <w:rPr>
          <w:color w:val="000000" w:themeColor="text1"/>
          <w14:textFill>
            <w14:solidFill>
              <w14:schemeClr w14:val="tx1"/>
            </w14:solidFill>
          </w14:textFill>
        </w:rPr>
        <w:t>——物质的摩尔质量，kg/mol；</w:t>
      </w:r>
      <w:r>
        <w:rPr>
          <w:rFonts w:hint="eastAsia"/>
          <w:color w:val="000000" w:themeColor="text1"/>
          <w14:textFill>
            <w14:solidFill>
              <w14:schemeClr w14:val="tx1"/>
            </w14:solidFill>
          </w14:textFill>
        </w:rPr>
        <w:t>取</w:t>
      </w:r>
      <w:r>
        <w:rPr>
          <w:color w:val="000000" w:themeColor="text1"/>
          <w14:textFill>
            <w14:solidFill>
              <w14:schemeClr w14:val="tx1"/>
            </w14:solidFill>
          </w14:textFill>
        </w:rPr>
        <w:t>0.09808（发烟硫酸），0.10414（苯乙烯）</w:t>
      </w:r>
      <w:r>
        <w:rPr>
          <w:rFonts w:hint="eastAsia"/>
          <w:color w:val="000000" w:themeColor="text1"/>
          <w14:textFill>
            <w14:solidFill>
              <w14:schemeClr w14:val="tx1"/>
            </w14:solidFill>
          </w14:textFill>
        </w:rPr>
        <w:t>；</w:t>
      </w:r>
    </w:p>
    <w:p w14:paraId="4541DC75">
      <w:pPr>
        <w:ind w:firstLine="720" w:firstLineChars="300"/>
        <w:rPr>
          <w:color w:val="000000" w:themeColor="text1"/>
          <w14:textFill>
            <w14:solidFill>
              <w14:schemeClr w14:val="tx1"/>
            </w14:solidFill>
          </w14:textFill>
        </w:rPr>
      </w:pPr>
      <w:r>
        <w:rPr>
          <w:i/>
          <w:iCs/>
          <w:color w:val="000000" w:themeColor="text1"/>
          <w14:textFill>
            <w14:solidFill>
              <w14:schemeClr w14:val="tx1"/>
            </w14:solidFill>
          </w14:textFill>
        </w:rPr>
        <w:t>R</w:t>
      </w:r>
      <w:r>
        <w:rPr>
          <w:color w:val="000000" w:themeColor="text1"/>
          <w14:textFill>
            <w14:solidFill>
              <w14:schemeClr w14:val="tx1"/>
            </w14:solidFill>
          </w14:textFill>
        </w:rPr>
        <w:t>——气体常数，J/（mol、k）；</w:t>
      </w:r>
    </w:p>
    <w:p w14:paraId="198DE22B">
      <w:pPr>
        <w:ind w:firstLine="720" w:firstLineChars="300"/>
        <w:rPr>
          <w:color w:val="000000" w:themeColor="text1"/>
          <w14:textFill>
            <w14:solidFill>
              <w14:schemeClr w14:val="tx1"/>
            </w14:solidFill>
          </w14:textFill>
        </w:rPr>
      </w:pPr>
      <w:r>
        <w:rPr>
          <w:i/>
          <w:iCs/>
          <w:color w:val="000000" w:themeColor="text1"/>
          <w14:textFill>
            <w14:solidFill>
              <w14:schemeClr w14:val="tx1"/>
            </w14:solidFill>
          </w14:textFill>
        </w:rPr>
        <w:t>T</w:t>
      </w:r>
      <w:r>
        <w:rPr>
          <w:i/>
          <w:iCs/>
          <w:color w:val="000000" w:themeColor="text1"/>
          <w:vertAlign w:val="subscript"/>
          <w14:textFill>
            <w14:solidFill>
              <w14:schemeClr w14:val="tx1"/>
            </w14:solidFill>
          </w14:textFill>
        </w:rPr>
        <w:t>0</w:t>
      </w:r>
      <w:r>
        <w:rPr>
          <w:color w:val="000000" w:themeColor="text1"/>
          <w14:textFill>
            <w14:solidFill>
              <w14:schemeClr w14:val="tx1"/>
            </w14:solidFill>
          </w14:textFill>
        </w:rPr>
        <w:t>——环境温度，k，取298k（常温）；</w:t>
      </w:r>
    </w:p>
    <w:p w14:paraId="3DD9E928">
      <w:pPr>
        <w:ind w:firstLine="720" w:firstLineChars="300"/>
        <w:rPr>
          <w:color w:val="000000" w:themeColor="text1"/>
          <w14:textFill>
            <w14:solidFill>
              <w14:schemeClr w14:val="tx1"/>
            </w14:solidFill>
          </w14:textFill>
        </w:rPr>
      </w:pPr>
      <w:r>
        <w:rPr>
          <w:i/>
          <w:iCs/>
          <w:color w:val="000000" w:themeColor="text1"/>
          <w14:textFill>
            <w14:solidFill>
              <w14:schemeClr w14:val="tx1"/>
            </w14:solidFill>
          </w14:textFill>
        </w:rPr>
        <w:t>u</w:t>
      </w:r>
      <w:r>
        <w:rPr>
          <w:color w:val="000000" w:themeColor="text1"/>
          <w14:textFill>
            <w14:solidFill>
              <w14:schemeClr w14:val="tx1"/>
            </w14:solidFill>
          </w14:textFill>
        </w:rPr>
        <w:t>——风速，m/s，F稳定度下取1.5；</w:t>
      </w:r>
    </w:p>
    <w:p w14:paraId="09D93024">
      <w:pPr>
        <w:ind w:firstLine="720" w:firstLineChars="300"/>
        <w:rPr>
          <w:color w:val="000000" w:themeColor="text1"/>
          <w14:textFill>
            <w14:solidFill>
              <w14:schemeClr w14:val="tx1"/>
            </w14:solidFill>
          </w14:textFill>
        </w:rPr>
      </w:pPr>
      <w:r>
        <w:rPr>
          <w:i/>
          <w:iCs/>
          <w:color w:val="000000" w:themeColor="text1"/>
          <w14:textFill>
            <w14:solidFill>
              <w14:schemeClr w14:val="tx1"/>
            </w14:solidFill>
          </w14:textFill>
        </w:rPr>
        <w:t>r</w:t>
      </w:r>
      <w:r>
        <w:rPr>
          <w:color w:val="000000" w:themeColor="text1"/>
          <w14:textFill>
            <w14:solidFill>
              <w14:schemeClr w14:val="tx1"/>
            </w14:solidFill>
          </w14:textFill>
        </w:rPr>
        <w:t>——液池半径，m，取</w:t>
      </w:r>
      <w:r>
        <w:rPr>
          <w:rFonts w:hint="eastAsia"/>
          <w:color w:val="000000" w:themeColor="text1"/>
          <w14:textFill>
            <w14:solidFill>
              <w14:schemeClr w14:val="tx1"/>
            </w14:solidFill>
          </w14:textFill>
        </w:rPr>
        <w:t>10.96</w:t>
      </w:r>
      <w:r>
        <w:rPr>
          <w:color w:val="000000" w:themeColor="text1"/>
          <w14:textFill>
            <w14:solidFill>
              <w14:schemeClr w14:val="tx1"/>
            </w14:solidFill>
          </w14:textFill>
        </w:rPr>
        <w:t>（面积为</w:t>
      </w:r>
      <w:r>
        <w:rPr>
          <w:rFonts w:hint="eastAsia"/>
          <w:color w:val="000000" w:themeColor="text1"/>
          <w14:textFill>
            <w14:solidFill>
              <w14:schemeClr w14:val="tx1"/>
            </w14:solidFill>
          </w14:textFill>
        </w:rPr>
        <w:t>377.6</w:t>
      </w:r>
      <w:r>
        <w:rPr>
          <w:color w:val="000000" w:themeColor="text1"/>
          <w14:textFill>
            <w14:solidFill>
              <w14:schemeClr w14:val="tx1"/>
            </w14:solidFill>
          </w14:textFill>
        </w:rPr>
        <w:t>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w:t>
      </w:r>
    </w:p>
    <w:p w14:paraId="798F3625">
      <w:pPr>
        <w:pStyle w:val="74"/>
        <w:rPr>
          <w:color w:val="000000" w:themeColor="text1"/>
          <w14:textFill>
            <w14:solidFill>
              <w14:schemeClr w14:val="tx1"/>
            </w14:solidFill>
          </w14:textFill>
        </w:rPr>
      </w:pPr>
      <w:r>
        <w:rPr>
          <w:color w:val="000000" w:themeColor="text1"/>
          <w14:textFill>
            <w14:solidFill>
              <w14:schemeClr w14:val="tx1"/>
            </w14:solidFill>
          </w14:textFill>
        </w:rPr>
        <w:t>根据《建设项目环境风险评价技术导则》</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HJ</w:t>
      </w:r>
      <w:r>
        <w:rPr>
          <w:rFonts w:hint="eastAsia"/>
          <w:color w:val="000000" w:themeColor="text1"/>
          <w14:textFill>
            <w14:solidFill>
              <w14:schemeClr w14:val="tx1"/>
            </w14:solidFill>
          </w14:textFill>
        </w:rPr>
        <w:t xml:space="preserve"> </w:t>
      </w:r>
      <w:r>
        <w:rPr>
          <w:color w:val="000000" w:themeColor="text1"/>
          <w14:textFill>
            <w14:solidFill>
              <w14:schemeClr w14:val="tx1"/>
            </w14:solidFill>
          </w14:textFill>
        </w:rPr>
        <w:t>169-2018</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泄漏时间应结合建设项目探测和隔离系统的设计原则确定</w:t>
      </w:r>
      <w:r>
        <w:rPr>
          <w:rFonts w:hint="eastAsia"/>
          <w:color w:val="000000" w:themeColor="text1"/>
          <w14:textFill>
            <w14:solidFill>
              <w14:schemeClr w14:val="tx1"/>
            </w14:solidFill>
          </w14:textFill>
        </w:rPr>
        <w:t>，本次按最不利原则，考虑泄漏蒸发时间为5min。</w:t>
      </w:r>
    </w:p>
    <w:p w14:paraId="42C0822E">
      <w:pPr>
        <w:pStyle w:val="7"/>
        <w:rPr>
          <w:color w:val="000000" w:themeColor="text1"/>
          <w14:textFill>
            <w14:solidFill>
              <w14:schemeClr w14:val="tx1"/>
            </w14:solidFill>
          </w14:textFill>
        </w:rPr>
      </w:pPr>
      <w:r>
        <w:rPr>
          <w:color w:val="000000" w:themeColor="text1"/>
          <w14:textFill>
            <w14:solidFill>
              <w14:schemeClr w14:val="tx1"/>
            </w14:solidFill>
          </w14:textFill>
        </w:rPr>
        <w:t>最不利气象条件下蒸发质量</w:t>
      </w:r>
    </w:p>
    <w:tbl>
      <w:tblPr>
        <w:tblStyle w:val="43"/>
        <w:tblW w:w="8276" w:type="dxa"/>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1013"/>
        <w:gridCol w:w="1679"/>
        <w:gridCol w:w="765"/>
        <w:gridCol w:w="701"/>
        <w:gridCol w:w="701"/>
        <w:gridCol w:w="2065"/>
        <w:gridCol w:w="1352"/>
      </w:tblGrid>
      <w:tr w14:paraId="412128FB">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1013" w:type="dxa"/>
            <w:vMerge w:val="restart"/>
            <w:vAlign w:val="center"/>
          </w:tcPr>
          <w:p w14:paraId="052D7066">
            <w:pPr>
              <w:pStyle w:val="70"/>
              <w:rPr>
                <w:b/>
                <w:bCs/>
                <w:color w:val="000000" w:themeColor="text1"/>
                <w:lang w:eastAsia="en-US"/>
                <w14:textFill>
                  <w14:solidFill>
                    <w14:schemeClr w14:val="tx1"/>
                  </w14:solidFill>
                </w14:textFill>
              </w:rPr>
            </w:pPr>
            <w:r>
              <w:rPr>
                <w:b/>
                <w:bCs/>
                <w:color w:val="000000" w:themeColor="text1"/>
                <w:lang w:eastAsia="en-US"/>
                <w14:textFill>
                  <w14:solidFill>
                    <w14:schemeClr w14:val="tx1"/>
                  </w14:solidFill>
                </w14:textFill>
              </w:rPr>
              <w:t>序号</w:t>
            </w:r>
          </w:p>
        </w:tc>
        <w:tc>
          <w:tcPr>
            <w:tcW w:w="1679" w:type="dxa"/>
            <w:vMerge w:val="restart"/>
            <w:vAlign w:val="center"/>
          </w:tcPr>
          <w:p w14:paraId="24413CA4">
            <w:pPr>
              <w:pStyle w:val="70"/>
              <w:rPr>
                <w:b/>
                <w:bCs/>
                <w:color w:val="000000" w:themeColor="text1"/>
                <w:lang w:eastAsia="en-US"/>
                <w14:textFill>
                  <w14:solidFill>
                    <w14:schemeClr w14:val="tx1"/>
                  </w14:solidFill>
                </w14:textFill>
              </w:rPr>
            </w:pPr>
            <w:r>
              <w:rPr>
                <w:b/>
                <w:bCs/>
                <w:color w:val="000000" w:themeColor="text1"/>
                <w:lang w:eastAsia="en-US"/>
                <w14:textFill>
                  <w14:solidFill>
                    <w14:schemeClr w14:val="tx1"/>
                  </w14:solidFill>
                </w14:textFill>
              </w:rPr>
              <w:t>危险物质</w:t>
            </w:r>
          </w:p>
        </w:tc>
        <w:tc>
          <w:tcPr>
            <w:tcW w:w="4232" w:type="dxa"/>
            <w:gridSpan w:val="4"/>
            <w:vAlign w:val="center"/>
          </w:tcPr>
          <w:p w14:paraId="14DDC17A">
            <w:pPr>
              <w:pStyle w:val="70"/>
              <w:rPr>
                <w:rFonts w:eastAsiaTheme="minorEastAsia"/>
                <w:b/>
                <w:bCs/>
                <w:color w:val="000000" w:themeColor="text1"/>
                <w:lang w:eastAsia="en-US"/>
                <w14:textFill>
                  <w14:solidFill>
                    <w14:schemeClr w14:val="tx1"/>
                  </w14:solidFill>
                </w14:textFill>
              </w:rPr>
            </w:pPr>
            <w:r>
              <w:rPr>
                <w:b/>
                <w:bCs/>
                <w:color w:val="000000" w:themeColor="text1"/>
                <w:lang w:eastAsia="en-US"/>
                <w14:textFill>
                  <w14:solidFill>
                    <w14:schemeClr w14:val="tx1"/>
                  </w14:solidFill>
                </w14:textFill>
              </w:rPr>
              <w:t xml:space="preserve">蒸发速率 </w:t>
            </w:r>
            <w:r>
              <w:rPr>
                <w:rFonts w:eastAsiaTheme="minorEastAsia"/>
                <w:b/>
                <w:bCs/>
                <w:color w:val="000000" w:themeColor="text1"/>
                <w:lang w:eastAsia="en-US"/>
                <w14:textFill>
                  <w14:solidFill>
                    <w14:schemeClr w14:val="tx1"/>
                  </w14:solidFill>
                </w14:textFill>
              </w:rPr>
              <w:t>kg/s</w:t>
            </w:r>
          </w:p>
        </w:tc>
        <w:tc>
          <w:tcPr>
            <w:tcW w:w="1352" w:type="dxa"/>
            <w:vMerge w:val="restart"/>
            <w:vAlign w:val="center"/>
          </w:tcPr>
          <w:p w14:paraId="65F9B472">
            <w:pPr>
              <w:pStyle w:val="70"/>
              <w:rPr>
                <w:rFonts w:eastAsiaTheme="minorEastAsia"/>
                <w:b/>
                <w:bCs/>
                <w:color w:val="000000" w:themeColor="text1"/>
                <w14:textFill>
                  <w14:solidFill>
                    <w14:schemeClr w14:val="tx1"/>
                  </w14:solidFill>
                </w14:textFill>
              </w:rPr>
            </w:pPr>
            <w:r>
              <w:rPr>
                <w:rFonts w:eastAsiaTheme="minorEastAsia"/>
                <w:b/>
                <w:bCs/>
                <w:color w:val="000000" w:themeColor="text1"/>
                <w14:textFill>
                  <w14:solidFill>
                    <w14:schemeClr w14:val="tx1"/>
                  </w14:solidFill>
                </w14:textFill>
              </w:rPr>
              <w:t>蒸发总量/kg</w:t>
            </w:r>
          </w:p>
        </w:tc>
      </w:tr>
      <w:tr w14:paraId="0F1A9C16">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1013" w:type="dxa"/>
            <w:vMerge w:val="continue"/>
            <w:vAlign w:val="center"/>
          </w:tcPr>
          <w:p w14:paraId="462D255A">
            <w:pPr>
              <w:pStyle w:val="70"/>
              <w:rPr>
                <w:rFonts w:eastAsiaTheme="minorEastAsia"/>
                <w:b/>
                <w:bCs/>
                <w:color w:val="000000" w:themeColor="text1"/>
                <w:sz w:val="2"/>
                <w:szCs w:val="2"/>
                <w:lang w:eastAsia="en-US"/>
                <w14:textFill>
                  <w14:solidFill>
                    <w14:schemeClr w14:val="tx1"/>
                  </w14:solidFill>
                </w14:textFill>
              </w:rPr>
            </w:pPr>
          </w:p>
        </w:tc>
        <w:tc>
          <w:tcPr>
            <w:tcW w:w="1679" w:type="dxa"/>
            <w:vMerge w:val="continue"/>
            <w:vAlign w:val="center"/>
          </w:tcPr>
          <w:p w14:paraId="7E45DB75">
            <w:pPr>
              <w:pStyle w:val="70"/>
              <w:rPr>
                <w:rFonts w:eastAsiaTheme="minorEastAsia"/>
                <w:b/>
                <w:bCs/>
                <w:color w:val="000000" w:themeColor="text1"/>
                <w:sz w:val="2"/>
                <w:szCs w:val="2"/>
                <w:lang w:eastAsia="en-US"/>
                <w14:textFill>
                  <w14:solidFill>
                    <w14:schemeClr w14:val="tx1"/>
                  </w14:solidFill>
                </w14:textFill>
              </w:rPr>
            </w:pPr>
          </w:p>
        </w:tc>
        <w:tc>
          <w:tcPr>
            <w:tcW w:w="765" w:type="dxa"/>
            <w:vMerge w:val="restart"/>
            <w:vAlign w:val="center"/>
          </w:tcPr>
          <w:p w14:paraId="1366FB2D">
            <w:pPr>
              <w:pStyle w:val="70"/>
              <w:rPr>
                <w:rFonts w:eastAsiaTheme="minorEastAsia"/>
                <w:b/>
                <w:bCs/>
                <w:i/>
                <w:color w:val="000000" w:themeColor="text1"/>
                <w:lang w:eastAsia="en-US"/>
                <w14:textFill>
                  <w14:solidFill>
                    <w14:schemeClr w14:val="tx1"/>
                  </w14:solidFill>
                </w14:textFill>
              </w:rPr>
            </w:pPr>
            <w:r>
              <w:rPr>
                <w:rFonts w:eastAsiaTheme="minorEastAsia"/>
                <w:b/>
                <w:bCs/>
                <w:i/>
                <w:color w:val="000000" w:themeColor="text1"/>
                <w:w w:val="99"/>
                <w:lang w:eastAsia="en-US"/>
                <w14:textFill>
                  <w14:solidFill>
                    <w14:schemeClr w14:val="tx1"/>
                  </w14:solidFill>
                </w14:textFill>
              </w:rPr>
              <w:t>u</w:t>
            </w:r>
          </w:p>
        </w:tc>
        <w:tc>
          <w:tcPr>
            <w:tcW w:w="701" w:type="dxa"/>
            <w:vMerge w:val="restart"/>
            <w:vAlign w:val="center"/>
          </w:tcPr>
          <w:p w14:paraId="04340B4B">
            <w:pPr>
              <w:pStyle w:val="70"/>
              <w:rPr>
                <w:rFonts w:eastAsiaTheme="minorEastAsia"/>
                <w:b/>
                <w:bCs/>
                <w:color w:val="000000" w:themeColor="text1"/>
                <w:sz w:val="13"/>
                <w:lang w:eastAsia="en-US"/>
                <w14:textFill>
                  <w14:solidFill>
                    <w14:schemeClr w14:val="tx1"/>
                  </w14:solidFill>
                </w14:textFill>
              </w:rPr>
            </w:pPr>
            <w:r>
              <w:rPr>
                <w:rFonts w:eastAsiaTheme="minorEastAsia"/>
                <w:b/>
                <w:bCs/>
                <w:i/>
                <w:color w:val="000000" w:themeColor="text1"/>
                <w:position w:val="2"/>
                <w:lang w:eastAsia="en-US"/>
                <w14:textFill>
                  <w14:solidFill>
                    <w14:schemeClr w14:val="tx1"/>
                  </w14:solidFill>
                </w14:textFill>
              </w:rPr>
              <w:t>Q</w:t>
            </w:r>
            <w:r>
              <w:rPr>
                <w:rFonts w:eastAsiaTheme="minorEastAsia"/>
                <w:b/>
                <w:bCs/>
                <w:color w:val="000000" w:themeColor="text1"/>
                <w:sz w:val="13"/>
                <w:lang w:eastAsia="en-US"/>
                <w14:textFill>
                  <w14:solidFill>
                    <w14:schemeClr w14:val="tx1"/>
                  </w14:solidFill>
                </w14:textFill>
              </w:rPr>
              <w:t>1</w:t>
            </w:r>
          </w:p>
        </w:tc>
        <w:tc>
          <w:tcPr>
            <w:tcW w:w="701" w:type="dxa"/>
            <w:vMerge w:val="restart"/>
            <w:vAlign w:val="center"/>
          </w:tcPr>
          <w:p w14:paraId="446433BA">
            <w:pPr>
              <w:pStyle w:val="70"/>
              <w:rPr>
                <w:rFonts w:eastAsiaTheme="minorEastAsia"/>
                <w:b/>
                <w:bCs/>
                <w:color w:val="000000" w:themeColor="text1"/>
                <w:sz w:val="13"/>
                <w:lang w:eastAsia="en-US"/>
                <w14:textFill>
                  <w14:solidFill>
                    <w14:schemeClr w14:val="tx1"/>
                  </w14:solidFill>
                </w14:textFill>
              </w:rPr>
            </w:pPr>
            <w:r>
              <w:rPr>
                <w:rFonts w:eastAsiaTheme="minorEastAsia"/>
                <w:b/>
                <w:bCs/>
                <w:i/>
                <w:color w:val="000000" w:themeColor="text1"/>
                <w:position w:val="2"/>
                <w:lang w:eastAsia="en-US"/>
                <w14:textFill>
                  <w14:solidFill>
                    <w14:schemeClr w14:val="tx1"/>
                  </w14:solidFill>
                </w14:textFill>
              </w:rPr>
              <w:t>Q</w:t>
            </w:r>
            <w:r>
              <w:rPr>
                <w:rFonts w:eastAsiaTheme="minorEastAsia"/>
                <w:b/>
                <w:bCs/>
                <w:color w:val="000000" w:themeColor="text1"/>
                <w:sz w:val="13"/>
                <w:lang w:eastAsia="en-US"/>
                <w14:textFill>
                  <w14:solidFill>
                    <w14:schemeClr w14:val="tx1"/>
                  </w14:solidFill>
                </w14:textFill>
              </w:rPr>
              <w:t>2</w:t>
            </w:r>
          </w:p>
        </w:tc>
        <w:tc>
          <w:tcPr>
            <w:tcW w:w="2065" w:type="dxa"/>
            <w:vAlign w:val="center"/>
          </w:tcPr>
          <w:p w14:paraId="2CF785F3">
            <w:pPr>
              <w:pStyle w:val="70"/>
              <w:rPr>
                <w:rFonts w:eastAsiaTheme="minorEastAsia"/>
                <w:b/>
                <w:bCs/>
                <w:color w:val="000000" w:themeColor="text1"/>
                <w:sz w:val="13"/>
                <w:lang w:eastAsia="en-US"/>
                <w14:textFill>
                  <w14:solidFill>
                    <w14:schemeClr w14:val="tx1"/>
                  </w14:solidFill>
                </w14:textFill>
              </w:rPr>
            </w:pPr>
            <w:r>
              <w:rPr>
                <w:rFonts w:eastAsiaTheme="minorEastAsia"/>
                <w:b/>
                <w:bCs/>
                <w:i/>
                <w:color w:val="000000" w:themeColor="text1"/>
                <w:position w:val="2"/>
                <w:lang w:eastAsia="en-US"/>
                <w14:textFill>
                  <w14:solidFill>
                    <w14:schemeClr w14:val="tx1"/>
                  </w14:solidFill>
                </w14:textFill>
              </w:rPr>
              <w:t>Q</w:t>
            </w:r>
            <w:r>
              <w:rPr>
                <w:rFonts w:eastAsiaTheme="minorEastAsia"/>
                <w:b/>
                <w:bCs/>
                <w:color w:val="000000" w:themeColor="text1"/>
                <w:sz w:val="13"/>
                <w:lang w:eastAsia="en-US"/>
                <w14:textFill>
                  <w14:solidFill>
                    <w14:schemeClr w14:val="tx1"/>
                  </w14:solidFill>
                </w14:textFill>
              </w:rPr>
              <w:t>3</w:t>
            </w:r>
          </w:p>
        </w:tc>
        <w:tc>
          <w:tcPr>
            <w:tcW w:w="1352" w:type="dxa"/>
            <w:vMerge w:val="continue"/>
            <w:vAlign w:val="center"/>
          </w:tcPr>
          <w:p w14:paraId="4FAAE670">
            <w:pPr>
              <w:pStyle w:val="70"/>
              <w:rPr>
                <w:b/>
                <w:bCs/>
                <w:color w:val="000000" w:themeColor="text1"/>
                <w:lang w:eastAsia="en-US"/>
                <w14:textFill>
                  <w14:solidFill>
                    <w14:schemeClr w14:val="tx1"/>
                  </w14:solidFill>
                </w14:textFill>
              </w:rPr>
            </w:pPr>
          </w:p>
        </w:tc>
      </w:tr>
      <w:tr w14:paraId="75D35651">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1013" w:type="dxa"/>
            <w:vMerge w:val="continue"/>
            <w:vAlign w:val="center"/>
          </w:tcPr>
          <w:p w14:paraId="7F8EF5AE">
            <w:pPr>
              <w:pStyle w:val="70"/>
              <w:rPr>
                <w:rFonts w:eastAsiaTheme="minorEastAsia"/>
                <w:b/>
                <w:bCs/>
                <w:color w:val="000000" w:themeColor="text1"/>
                <w:sz w:val="2"/>
                <w:szCs w:val="2"/>
                <w:lang w:eastAsia="en-US"/>
                <w14:textFill>
                  <w14:solidFill>
                    <w14:schemeClr w14:val="tx1"/>
                  </w14:solidFill>
                </w14:textFill>
              </w:rPr>
            </w:pPr>
          </w:p>
        </w:tc>
        <w:tc>
          <w:tcPr>
            <w:tcW w:w="1679" w:type="dxa"/>
            <w:vMerge w:val="continue"/>
            <w:vAlign w:val="center"/>
          </w:tcPr>
          <w:p w14:paraId="104BEA10">
            <w:pPr>
              <w:pStyle w:val="70"/>
              <w:rPr>
                <w:rFonts w:eastAsiaTheme="minorEastAsia"/>
                <w:b/>
                <w:bCs/>
                <w:color w:val="000000" w:themeColor="text1"/>
                <w:sz w:val="2"/>
                <w:szCs w:val="2"/>
                <w:lang w:eastAsia="en-US"/>
                <w14:textFill>
                  <w14:solidFill>
                    <w14:schemeClr w14:val="tx1"/>
                  </w14:solidFill>
                </w14:textFill>
              </w:rPr>
            </w:pPr>
          </w:p>
        </w:tc>
        <w:tc>
          <w:tcPr>
            <w:tcW w:w="765" w:type="dxa"/>
            <w:vMerge w:val="continue"/>
            <w:vAlign w:val="center"/>
          </w:tcPr>
          <w:p w14:paraId="649D661B">
            <w:pPr>
              <w:pStyle w:val="70"/>
              <w:rPr>
                <w:rFonts w:eastAsiaTheme="minorEastAsia"/>
                <w:b/>
                <w:bCs/>
                <w:color w:val="000000" w:themeColor="text1"/>
                <w:sz w:val="2"/>
                <w:szCs w:val="2"/>
                <w:lang w:eastAsia="en-US"/>
                <w14:textFill>
                  <w14:solidFill>
                    <w14:schemeClr w14:val="tx1"/>
                  </w14:solidFill>
                </w14:textFill>
              </w:rPr>
            </w:pPr>
          </w:p>
        </w:tc>
        <w:tc>
          <w:tcPr>
            <w:tcW w:w="701" w:type="dxa"/>
            <w:vMerge w:val="continue"/>
            <w:vAlign w:val="center"/>
          </w:tcPr>
          <w:p w14:paraId="4BEE5A65">
            <w:pPr>
              <w:pStyle w:val="70"/>
              <w:rPr>
                <w:rFonts w:eastAsiaTheme="minorEastAsia"/>
                <w:b/>
                <w:bCs/>
                <w:color w:val="000000" w:themeColor="text1"/>
                <w:sz w:val="2"/>
                <w:szCs w:val="2"/>
                <w:lang w:eastAsia="en-US"/>
                <w14:textFill>
                  <w14:solidFill>
                    <w14:schemeClr w14:val="tx1"/>
                  </w14:solidFill>
                </w14:textFill>
              </w:rPr>
            </w:pPr>
          </w:p>
        </w:tc>
        <w:tc>
          <w:tcPr>
            <w:tcW w:w="701" w:type="dxa"/>
            <w:vMerge w:val="continue"/>
            <w:vAlign w:val="center"/>
          </w:tcPr>
          <w:p w14:paraId="55F472A3">
            <w:pPr>
              <w:pStyle w:val="70"/>
              <w:rPr>
                <w:rFonts w:eastAsiaTheme="minorEastAsia"/>
                <w:b/>
                <w:bCs/>
                <w:color w:val="000000" w:themeColor="text1"/>
                <w:sz w:val="2"/>
                <w:szCs w:val="2"/>
                <w:lang w:eastAsia="en-US"/>
                <w14:textFill>
                  <w14:solidFill>
                    <w14:schemeClr w14:val="tx1"/>
                  </w14:solidFill>
                </w14:textFill>
              </w:rPr>
            </w:pPr>
          </w:p>
        </w:tc>
        <w:tc>
          <w:tcPr>
            <w:tcW w:w="2065" w:type="dxa"/>
            <w:vAlign w:val="center"/>
          </w:tcPr>
          <w:p w14:paraId="0B44D1D6">
            <w:pPr>
              <w:pStyle w:val="70"/>
              <w:rPr>
                <w:b/>
                <w:bCs/>
                <w:color w:val="000000" w:themeColor="text1"/>
                <w:lang w:eastAsia="en-US"/>
                <w14:textFill>
                  <w14:solidFill>
                    <w14:schemeClr w14:val="tx1"/>
                  </w14:solidFill>
                </w14:textFill>
              </w:rPr>
            </w:pPr>
            <w:r>
              <w:rPr>
                <w:b/>
                <w:bCs/>
                <w:color w:val="000000" w:themeColor="text1"/>
                <w:lang w:eastAsia="en-US"/>
                <w14:textFill>
                  <w14:solidFill>
                    <w14:schemeClr w14:val="tx1"/>
                  </w14:solidFill>
                </w14:textFill>
              </w:rPr>
              <w:t>稳定（</w:t>
            </w:r>
            <w:r>
              <w:rPr>
                <w:rFonts w:eastAsiaTheme="minorEastAsia"/>
                <w:b/>
                <w:bCs/>
                <w:color w:val="000000" w:themeColor="text1"/>
                <w:lang w:eastAsia="en-US"/>
                <w14:textFill>
                  <w14:solidFill>
                    <w14:schemeClr w14:val="tx1"/>
                  </w14:solidFill>
                </w14:textFill>
              </w:rPr>
              <w:t>E</w:t>
            </w:r>
            <w:r>
              <w:rPr>
                <w:b/>
                <w:bCs/>
                <w:color w:val="000000" w:themeColor="text1"/>
                <w:lang w:eastAsia="en-US"/>
                <w14:textFill>
                  <w14:solidFill>
                    <w14:schemeClr w14:val="tx1"/>
                  </w14:solidFill>
                </w14:textFill>
              </w:rPr>
              <w:t>，</w:t>
            </w:r>
            <w:r>
              <w:rPr>
                <w:rFonts w:eastAsiaTheme="minorEastAsia"/>
                <w:b/>
                <w:bCs/>
                <w:color w:val="000000" w:themeColor="text1"/>
                <w:lang w:eastAsia="en-US"/>
                <w14:textFill>
                  <w14:solidFill>
                    <w14:schemeClr w14:val="tx1"/>
                  </w14:solidFill>
                </w14:textFill>
              </w:rPr>
              <w:t>F</w:t>
            </w:r>
            <w:r>
              <w:rPr>
                <w:b/>
                <w:bCs/>
                <w:color w:val="000000" w:themeColor="text1"/>
                <w:lang w:eastAsia="en-US"/>
                <w14:textFill>
                  <w14:solidFill>
                    <w14:schemeClr w14:val="tx1"/>
                  </w14:solidFill>
                </w14:textFill>
              </w:rPr>
              <w:t>）</w:t>
            </w:r>
          </w:p>
        </w:tc>
        <w:tc>
          <w:tcPr>
            <w:tcW w:w="1352" w:type="dxa"/>
            <w:vMerge w:val="continue"/>
            <w:vAlign w:val="center"/>
          </w:tcPr>
          <w:p w14:paraId="2C73644C">
            <w:pPr>
              <w:pStyle w:val="70"/>
              <w:rPr>
                <w:rFonts w:eastAsiaTheme="minorEastAsia"/>
                <w:b/>
                <w:bCs/>
                <w:color w:val="000000" w:themeColor="text1"/>
                <w:sz w:val="2"/>
                <w:szCs w:val="2"/>
                <w:lang w:eastAsia="en-US"/>
                <w14:textFill>
                  <w14:solidFill>
                    <w14:schemeClr w14:val="tx1"/>
                  </w14:solidFill>
                </w14:textFill>
              </w:rPr>
            </w:pPr>
          </w:p>
        </w:tc>
      </w:tr>
      <w:tr w14:paraId="35DCB54C">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1013" w:type="dxa"/>
            <w:vAlign w:val="center"/>
          </w:tcPr>
          <w:p w14:paraId="4D0A0D88">
            <w:pPr>
              <w:pStyle w:val="70"/>
              <w:rPr>
                <w:rFonts w:eastAsiaTheme="minorEastAsia"/>
                <w:color w:val="000000" w:themeColor="text1"/>
                <w:lang w:eastAsia="en-US"/>
                <w14:textFill>
                  <w14:solidFill>
                    <w14:schemeClr w14:val="tx1"/>
                  </w14:solidFill>
                </w14:textFill>
              </w:rPr>
            </w:pPr>
            <w:r>
              <w:rPr>
                <w:rFonts w:eastAsiaTheme="minorEastAsia"/>
                <w:color w:val="000000" w:themeColor="text1"/>
                <w:w w:val="99"/>
                <w:lang w:eastAsia="en-US"/>
                <w14:textFill>
                  <w14:solidFill>
                    <w14:schemeClr w14:val="tx1"/>
                  </w14:solidFill>
                </w14:textFill>
              </w:rPr>
              <w:t>1</w:t>
            </w:r>
          </w:p>
        </w:tc>
        <w:tc>
          <w:tcPr>
            <w:tcW w:w="1679" w:type="dxa"/>
            <w:vAlign w:val="center"/>
          </w:tcPr>
          <w:p w14:paraId="46F39A70">
            <w:pPr>
              <w:pStyle w:val="70"/>
              <w:rPr>
                <w:color w:val="000000" w:themeColor="text1"/>
                <w:lang w:eastAsia="en-US"/>
                <w14:textFill>
                  <w14:solidFill>
                    <w14:schemeClr w14:val="tx1"/>
                  </w14:solidFill>
                </w14:textFill>
              </w:rPr>
            </w:pPr>
            <w:r>
              <w:rPr>
                <w:rFonts w:eastAsiaTheme="minorEastAsia"/>
                <w:color w:val="000000" w:themeColor="text1"/>
                <w14:textFill>
                  <w14:solidFill>
                    <w14:schemeClr w14:val="tx1"/>
                  </w14:solidFill>
                </w14:textFill>
              </w:rPr>
              <w:t>发烟硫酸</w:t>
            </w:r>
          </w:p>
        </w:tc>
        <w:tc>
          <w:tcPr>
            <w:tcW w:w="765" w:type="dxa"/>
            <w:vAlign w:val="center"/>
          </w:tcPr>
          <w:p w14:paraId="09F57E3D">
            <w:pPr>
              <w:pStyle w:val="70"/>
              <w:rPr>
                <w:rFonts w:eastAsiaTheme="minorEastAsia"/>
                <w:color w:val="000000" w:themeColor="text1"/>
                <w:lang w:eastAsia="en-US"/>
                <w14:textFill>
                  <w14:solidFill>
                    <w14:schemeClr w14:val="tx1"/>
                  </w14:solidFill>
                </w14:textFill>
              </w:rPr>
            </w:pPr>
            <w:r>
              <w:rPr>
                <w:rFonts w:eastAsiaTheme="minorEastAsia"/>
                <w:color w:val="000000" w:themeColor="text1"/>
                <w:lang w:eastAsia="en-US"/>
                <w14:textFill>
                  <w14:solidFill>
                    <w14:schemeClr w14:val="tx1"/>
                  </w14:solidFill>
                </w14:textFill>
              </w:rPr>
              <w:t>1.5</w:t>
            </w:r>
          </w:p>
        </w:tc>
        <w:tc>
          <w:tcPr>
            <w:tcW w:w="701" w:type="dxa"/>
            <w:vAlign w:val="center"/>
          </w:tcPr>
          <w:p w14:paraId="038AE881">
            <w:pPr>
              <w:pStyle w:val="70"/>
              <w:rPr>
                <w:rFonts w:eastAsiaTheme="minorEastAsia"/>
                <w:color w:val="000000" w:themeColor="text1"/>
                <w:lang w:eastAsia="en-US"/>
                <w14:textFill>
                  <w14:solidFill>
                    <w14:schemeClr w14:val="tx1"/>
                  </w14:solidFill>
                </w14:textFill>
              </w:rPr>
            </w:pPr>
            <w:r>
              <w:rPr>
                <w:rFonts w:eastAsiaTheme="minorEastAsia"/>
                <w:color w:val="000000" w:themeColor="text1"/>
                <w:w w:val="99"/>
                <w:lang w:eastAsia="en-US"/>
                <w14:textFill>
                  <w14:solidFill>
                    <w14:schemeClr w14:val="tx1"/>
                  </w14:solidFill>
                </w14:textFill>
              </w:rPr>
              <w:t>0</w:t>
            </w:r>
          </w:p>
        </w:tc>
        <w:tc>
          <w:tcPr>
            <w:tcW w:w="701" w:type="dxa"/>
            <w:vAlign w:val="center"/>
          </w:tcPr>
          <w:p w14:paraId="0A1DB9DD">
            <w:pPr>
              <w:pStyle w:val="70"/>
              <w:rPr>
                <w:rFonts w:eastAsiaTheme="minorEastAsia"/>
                <w:color w:val="000000" w:themeColor="text1"/>
                <w:lang w:eastAsia="en-US"/>
                <w14:textFill>
                  <w14:solidFill>
                    <w14:schemeClr w14:val="tx1"/>
                  </w14:solidFill>
                </w14:textFill>
              </w:rPr>
            </w:pPr>
            <w:r>
              <w:rPr>
                <w:rFonts w:eastAsiaTheme="minorEastAsia"/>
                <w:color w:val="000000" w:themeColor="text1"/>
                <w:w w:val="99"/>
                <w:lang w:eastAsia="en-US"/>
                <w14:textFill>
                  <w14:solidFill>
                    <w14:schemeClr w14:val="tx1"/>
                  </w14:solidFill>
                </w14:textFill>
              </w:rPr>
              <w:t>0</w:t>
            </w:r>
          </w:p>
        </w:tc>
        <w:tc>
          <w:tcPr>
            <w:tcW w:w="2065" w:type="dxa"/>
            <w:vAlign w:val="center"/>
          </w:tcPr>
          <w:p w14:paraId="0864CD72">
            <w:pPr>
              <w:pStyle w:val="70"/>
              <w:rPr>
                <w:rFonts w:eastAsiaTheme="minorEastAsia"/>
                <w:color w:val="000000" w:themeColor="text1"/>
                <w14:textFill>
                  <w14:solidFill>
                    <w14:schemeClr w14:val="tx1"/>
                  </w14:solidFill>
                </w14:textFill>
              </w:rPr>
            </w:pPr>
            <w:r>
              <w:rPr>
                <w:rFonts w:hint="eastAsia" w:eastAsiaTheme="minorEastAsia"/>
                <w:color w:val="000000" w:themeColor="text1"/>
                <w14:textFill>
                  <w14:solidFill>
                    <w14:schemeClr w14:val="tx1"/>
                  </w14:solidFill>
                </w14:textFill>
              </w:rPr>
              <w:t>0.0149</w:t>
            </w:r>
          </w:p>
        </w:tc>
        <w:tc>
          <w:tcPr>
            <w:tcW w:w="1352" w:type="dxa"/>
            <w:vAlign w:val="center"/>
          </w:tcPr>
          <w:p w14:paraId="7898E28C">
            <w:pPr>
              <w:pStyle w:val="70"/>
              <w:rPr>
                <w:rFonts w:eastAsiaTheme="minorEastAsia"/>
                <w:color w:val="000000" w:themeColor="text1"/>
                <w14:textFill>
                  <w14:solidFill>
                    <w14:schemeClr w14:val="tx1"/>
                  </w14:solidFill>
                </w14:textFill>
              </w:rPr>
            </w:pPr>
            <w:r>
              <w:rPr>
                <w:rFonts w:hint="eastAsia" w:eastAsiaTheme="minorEastAsia"/>
                <w:color w:val="000000" w:themeColor="text1"/>
                <w14:textFill>
                  <w14:solidFill>
                    <w14:schemeClr w14:val="tx1"/>
                  </w14:solidFill>
                </w14:textFill>
              </w:rPr>
              <w:t>4.47</w:t>
            </w:r>
          </w:p>
        </w:tc>
      </w:tr>
      <w:tr w14:paraId="57B1590D">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1013" w:type="dxa"/>
            <w:vAlign w:val="center"/>
          </w:tcPr>
          <w:p w14:paraId="5BDEE7F2">
            <w:pPr>
              <w:pStyle w:val="70"/>
              <w:rPr>
                <w:rFonts w:eastAsiaTheme="minorEastAsia"/>
                <w:color w:val="000000" w:themeColor="text1"/>
                <w:lang w:eastAsia="en-US"/>
                <w14:textFill>
                  <w14:solidFill>
                    <w14:schemeClr w14:val="tx1"/>
                  </w14:solidFill>
                </w14:textFill>
              </w:rPr>
            </w:pPr>
            <w:r>
              <w:rPr>
                <w:rFonts w:eastAsiaTheme="minorEastAsia"/>
                <w:color w:val="000000" w:themeColor="text1"/>
                <w:w w:val="99"/>
                <w:lang w:eastAsia="en-US"/>
                <w14:textFill>
                  <w14:solidFill>
                    <w14:schemeClr w14:val="tx1"/>
                  </w14:solidFill>
                </w14:textFill>
              </w:rPr>
              <w:t>2</w:t>
            </w:r>
          </w:p>
        </w:tc>
        <w:tc>
          <w:tcPr>
            <w:tcW w:w="1679" w:type="dxa"/>
            <w:vAlign w:val="center"/>
          </w:tcPr>
          <w:p w14:paraId="47B0CB1B">
            <w:pPr>
              <w:pStyle w:val="70"/>
              <w:rPr>
                <w:color w:val="000000" w:themeColor="text1"/>
                <w:lang w:eastAsia="en-US"/>
                <w14:textFill>
                  <w14:solidFill>
                    <w14:schemeClr w14:val="tx1"/>
                  </w14:solidFill>
                </w14:textFill>
              </w:rPr>
            </w:pPr>
            <w:r>
              <w:rPr>
                <w:rFonts w:hint="eastAsia"/>
                <w:color w:val="000000" w:themeColor="text1"/>
                <w14:textFill>
                  <w14:solidFill>
                    <w14:schemeClr w14:val="tx1"/>
                  </w14:solidFill>
                </w14:textFill>
              </w:rPr>
              <w:t>苯乙烯</w:t>
            </w:r>
          </w:p>
        </w:tc>
        <w:tc>
          <w:tcPr>
            <w:tcW w:w="765" w:type="dxa"/>
            <w:vAlign w:val="center"/>
          </w:tcPr>
          <w:p w14:paraId="61D21D2B">
            <w:pPr>
              <w:pStyle w:val="70"/>
              <w:rPr>
                <w:rFonts w:eastAsiaTheme="minorEastAsia"/>
                <w:color w:val="000000" w:themeColor="text1"/>
                <w:lang w:eastAsia="en-US"/>
                <w14:textFill>
                  <w14:solidFill>
                    <w14:schemeClr w14:val="tx1"/>
                  </w14:solidFill>
                </w14:textFill>
              </w:rPr>
            </w:pPr>
            <w:r>
              <w:rPr>
                <w:rFonts w:eastAsiaTheme="minorEastAsia"/>
                <w:color w:val="000000" w:themeColor="text1"/>
                <w:lang w:eastAsia="en-US"/>
                <w14:textFill>
                  <w14:solidFill>
                    <w14:schemeClr w14:val="tx1"/>
                  </w14:solidFill>
                </w14:textFill>
              </w:rPr>
              <w:t>1.5</w:t>
            </w:r>
          </w:p>
        </w:tc>
        <w:tc>
          <w:tcPr>
            <w:tcW w:w="701" w:type="dxa"/>
            <w:vAlign w:val="center"/>
          </w:tcPr>
          <w:p w14:paraId="026530C3">
            <w:pPr>
              <w:pStyle w:val="70"/>
              <w:rPr>
                <w:rFonts w:eastAsiaTheme="minorEastAsia"/>
                <w:color w:val="000000" w:themeColor="text1"/>
                <w:lang w:eastAsia="en-US"/>
                <w14:textFill>
                  <w14:solidFill>
                    <w14:schemeClr w14:val="tx1"/>
                  </w14:solidFill>
                </w14:textFill>
              </w:rPr>
            </w:pPr>
            <w:r>
              <w:rPr>
                <w:rFonts w:eastAsiaTheme="minorEastAsia"/>
                <w:color w:val="000000" w:themeColor="text1"/>
                <w:w w:val="99"/>
                <w:lang w:eastAsia="en-US"/>
                <w14:textFill>
                  <w14:solidFill>
                    <w14:schemeClr w14:val="tx1"/>
                  </w14:solidFill>
                </w14:textFill>
              </w:rPr>
              <w:t>0</w:t>
            </w:r>
          </w:p>
        </w:tc>
        <w:tc>
          <w:tcPr>
            <w:tcW w:w="701" w:type="dxa"/>
            <w:vAlign w:val="center"/>
          </w:tcPr>
          <w:p w14:paraId="60593C78">
            <w:pPr>
              <w:pStyle w:val="70"/>
              <w:rPr>
                <w:rFonts w:eastAsiaTheme="minorEastAsia"/>
                <w:color w:val="000000" w:themeColor="text1"/>
                <w:lang w:eastAsia="en-US"/>
                <w14:textFill>
                  <w14:solidFill>
                    <w14:schemeClr w14:val="tx1"/>
                  </w14:solidFill>
                </w14:textFill>
              </w:rPr>
            </w:pPr>
            <w:r>
              <w:rPr>
                <w:rFonts w:eastAsiaTheme="minorEastAsia"/>
                <w:color w:val="000000" w:themeColor="text1"/>
                <w:w w:val="99"/>
                <w:lang w:eastAsia="en-US"/>
                <w14:textFill>
                  <w14:solidFill>
                    <w14:schemeClr w14:val="tx1"/>
                  </w14:solidFill>
                </w14:textFill>
              </w:rPr>
              <w:t>0</w:t>
            </w:r>
          </w:p>
        </w:tc>
        <w:tc>
          <w:tcPr>
            <w:tcW w:w="2065" w:type="dxa"/>
            <w:vAlign w:val="center"/>
          </w:tcPr>
          <w:p w14:paraId="5E993A94">
            <w:pPr>
              <w:pStyle w:val="70"/>
              <w:rPr>
                <w:rFonts w:eastAsiaTheme="minorEastAsia"/>
                <w:color w:val="000000" w:themeColor="text1"/>
                <w14:textFill>
                  <w14:solidFill>
                    <w14:schemeClr w14:val="tx1"/>
                  </w14:solidFill>
                </w14:textFill>
              </w:rPr>
            </w:pPr>
            <w:r>
              <w:rPr>
                <w:rFonts w:hint="eastAsia" w:eastAsiaTheme="minorEastAsia"/>
                <w:color w:val="000000" w:themeColor="text1"/>
                <w14:textFill>
                  <w14:solidFill>
                    <w14:schemeClr w14:val="tx1"/>
                  </w14:solidFill>
                </w14:textFill>
              </w:rPr>
              <w:t>0.0158</w:t>
            </w:r>
          </w:p>
        </w:tc>
        <w:tc>
          <w:tcPr>
            <w:tcW w:w="1352" w:type="dxa"/>
            <w:vAlign w:val="center"/>
          </w:tcPr>
          <w:p w14:paraId="6486F8F8">
            <w:pPr>
              <w:pStyle w:val="70"/>
              <w:rPr>
                <w:rFonts w:eastAsiaTheme="minorEastAsia"/>
                <w:color w:val="000000" w:themeColor="text1"/>
                <w14:textFill>
                  <w14:solidFill>
                    <w14:schemeClr w14:val="tx1"/>
                  </w14:solidFill>
                </w14:textFill>
              </w:rPr>
            </w:pPr>
            <w:r>
              <w:rPr>
                <w:rFonts w:hint="eastAsia" w:eastAsiaTheme="minorEastAsia"/>
                <w:color w:val="000000" w:themeColor="text1"/>
                <w14:textFill>
                  <w14:solidFill>
                    <w14:schemeClr w14:val="tx1"/>
                  </w14:solidFill>
                </w14:textFill>
              </w:rPr>
              <w:t>4.74</w:t>
            </w:r>
          </w:p>
        </w:tc>
      </w:tr>
    </w:tbl>
    <w:p w14:paraId="35DD445C">
      <w:pPr>
        <w:ind w:firstLine="480"/>
        <w:rPr>
          <w:color w:val="000000" w:themeColor="text1"/>
          <w14:textFill>
            <w14:solidFill>
              <w14:schemeClr w14:val="tx1"/>
            </w14:solidFill>
          </w14:textFill>
        </w:rPr>
      </w:pPr>
      <w:r>
        <w:rPr>
          <w:color w:val="000000" w:themeColor="text1"/>
          <w14:textFill>
            <w14:solidFill>
              <w14:schemeClr w14:val="tx1"/>
            </w14:solidFill>
          </w14:textFill>
        </w:rPr>
        <w:t>3）泄漏火灾伴生CO源强</w:t>
      </w:r>
    </w:p>
    <w:p w14:paraId="5111D5ED">
      <w:pPr>
        <w:ind w:firstLine="480"/>
        <w:rPr>
          <w:color w:val="000000" w:themeColor="text1"/>
          <w:kern w:val="0"/>
          <w:szCs w:val="20"/>
          <w14:textFill>
            <w14:solidFill>
              <w14:schemeClr w14:val="tx1"/>
            </w14:solidFill>
          </w14:textFill>
        </w:rPr>
      </w:pPr>
      <w:r>
        <w:rPr>
          <w:color w:val="000000" w:themeColor="text1"/>
          <w:kern w:val="0"/>
          <w:szCs w:val="20"/>
          <w14:textFill>
            <w14:solidFill>
              <w14:schemeClr w14:val="tx1"/>
            </w14:solidFill>
          </w14:textFill>
        </w:rPr>
        <w:fldChar w:fldCharType="begin"/>
      </w:r>
      <w:r>
        <w:rPr>
          <w:color w:val="000000" w:themeColor="text1"/>
          <w:kern w:val="0"/>
          <w:szCs w:val="20"/>
          <w14:textFill>
            <w14:solidFill>
              <w14:schemeClr w14:val="tx1"/>
            </w14:solidFill>
          </w14:textFill>
        </w:rPr>
        <w:instrText xml:space="preserve"> </w:instrText>
      </w:r>
      <w:r>
        <w:rPr>
          <w:rFonts w:hint="eastAsia"/>
          <w:color w:val="000000" w:themeColor="text1"/>
          <w:kern w:val="0"/>
          <w:szCs w:val="20"/>
          <w14:textFill>
            <w14:solidFill>
              <w14:schemeClr w14:val="tx1"/>
            </w14:solidFill>
          </w14:textFill>
        </w:rPr>
        <w:instrText xml:space="preserve">= 1 \* GB3</w:instrText>
      </w:r>
      <w:r>
        <w:rPr>
          <w:color w:val="000000" w:themeColor="text1"/>
          <w:kern w:val="0"/>
          <w:szCs w:val="20"/>
          <w14:textFill>
            <w14:solidFill>
              <w14:schemeClr w14:val="tx1"/>
            </w14:solidFill>
          </w14:textFill>
        </w:rPr>
        <w:instrText xml:space="preserve"> </w:instrText>
      </w:r>
      <w:r>
        <w:rPr>
          <w:color w:val="000000" w:themeColor="text1"/>
          <w:kern w:val="0"/>
          <w:szCs w:val="20"/>
          <w14:textFill>
            <w14:solidFill>
              <w14:schemeClr w14:val="tx1"/>
            </w14:solidFill>
          </w14:textFill>
        </w:rPr>
        <w:fldChar w:fldCharType="separate"/>
      </w:r>
      <w:r>
        <w:rPr>
          <w:rFonts w:hint="eastAsia"/>
          <w:color w:val="000000" w:themeColor="text1"/>
          <w:kern w:val="0"/>
          <w:szCs w:val="20"/>
          <w14:textFill>
            <w14:solidFill>
              <w14:schemeClr w14:val="tx1"/>
            </w14:solidFill>
          </w14:textFill>
        </w:rPr>
        <w:t>①</w:t>
      </w:r>
      <w:r>
        <w:rPr>
          <w:color w:val="000000" w:themeColor="text1"/>
          <w:kern w:val="0"/>
          <w:szCs w:val="20"/>
          <w14:textFill>
            <w14:solidFill>
              <w14:schemeClr w14:val="tx1"/>
            </w14:solidFill>
          </w14:textFill>
        </w:rPr>
        <w:fldChar w:fldCharType="end"/>
      </w:r>
      <w:r>
        <w:rPr>
          <w:rFonts w:hint="eastAsia"/>
          <w:color w:val="000000" w:themeColor="text1"/>
          <w:kern w:val="0"/>
          <w:szCs w:val="20"/>
          <w14:textFill>
            <w14:solidFill>
              <w14:schemeClr w14:val="tx1"/>
            </w14:solidFill>
          </w14:textFill>
        </w:rPr>
        <w:t>、有毒有害物质释放量</w:t>
      </w:r>
    </w:p>
    <w:p w14:paraId="69A8D1D8">
      <w:pPr>
        <w:ind w:firstLine="480"/>
        <w:rPr>
          <w:color w:val="000000" w:themeColor="text1"/>
          <w:kern w:val="0"/>
          <w:szCs w:val="20"/>
          <w14:textFill>
            <w14:solidFill>
              <w14:schemeClr w14:val="tx1"/>
            </w14:solidFill>
          </w14:textFill>
        </w:rPr>
      </w:pPr>
      <w:r>
        <w:rPr>
          <w:rFonts w:hint="eastAsia"/>
          <w:color w:val="000000" w:themeColor="text1"/>
          <w:kern w:val="0"/>
          <w:szCs w:val="20"/>
          <w14:textFill>
            <w14:solidFill>
              <w14:schemeClr w14:val="tx1"/>
            </w14:solidFill>
          </w14:textFill>
        </w:rPr>
        <w:t>本扩建工程项目涉及的危险物质为苯乙烯为代表货种，苯乙烯的毒性和有害性最强，因此有毒有害物质释放量以苯乙烯进行计算。</w:t>
      </w:r>
    </w:p>
    <w:p w14:paraId="0D582426">
      <w:pPr>
        <w:ind w:firstLine="480"/>
        <w:rPr>
          <w:color w:val="000000" w:themeColor="text1"/>
          <w:kern w:val="0"/>
          <w:szCs w:val="20"/>
          <w14:textFill>
            <w14:solidFill>
              <w14:schemeClr w14:val="tx1"/>
            </w14:solidFill>
          </w14:textFill>
        </w:rPr>
      </w:pPr>
      <w:r>
        <w:rPr>
          <w:color w:val="000000" w:themeColor="text1"/>
          <w:kern w:val="0"/>
          <w:szCs w:val="20"/>
          <w14:textFill>
            <w14:solidFill>
              <w14:schemeClr w14:val="tx1"/>
            </w14:solidFill>
          </w14:textFill>
        </w:rPr>
        <w:t>根据《建设项目环境风险评价技术导则》（HJ169-2018）附录F中的表F.4火灾爆炸事故有毒有害物质释放比例。</w:t>
      </w:r>
    </w:p>
    <w:p w14:paraId="38D78C9E">
      <w:pPr>
        <w:pStyle w:val="7"/>
        <w:rPr>
          <w:color w:val="000000" w:themeColor="text1"/>
          <w14:textFill>
            <w14:solidFill>
              <w14:schemeClr w14:val="tx1"/>
            </w14:solidFill>
          </w14:textFill>
        </w:rPr>
      </w:pPr>
      <w:r>
        <w:rPr>
          <w:color w:val="000000" w:themeColor="text1"/>
          <w14:textFill>
            <w14:solidFill>
              <w14:schemeClr w14:val="tx1"/>
            </w14:solidFill>
          </w14:textFill>
        </w:rPr>
        <w:t>火灾爆炸事故有毒有害物质释放比例</w:t>
      </w:r>
      <w:r>
        <w:rPr>
          <w:rFonts w:hint="eastAsia"/>
          <w:color w:val="000000" w:themeColor="text1"/>
          <w14:textFill>
            <w14:solidFill>
              <w14:schemeClr w14:val="tx1"/>
            </w14:solidFill>
          </w14:textFill>
        </w:rPr>
        <w:t xml:space="preserve"> </w:t>
      </w:r>
      <w:r>
        <w:rPr>
          <w:color w:val="000000" w:themeColor="text1"/>
          <w14:textFill>
            <w14:solidFill>
              <w14:schemeClr w14:val="tx1"/>
            </w14:solidFill>
          </w14:textFill>
        </w:rPr>
        <w:t>单位 %</w:t>
      </w:r>
    </w:p>
    <w:tbl>
      <w:tblPr>
        <w:tblStyle w:val="127"/>
        <w:tblW w:w="5009"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0" w:type="dxa"/>
          <w:bottom w:w="0" w:type="dxa"/>
          <w:right w:w="0" w:type="dxa"/>
        </w:tblCellMar>
      </w:tblPr>
      <w:tblGrid>
        <w:gridCol w:w="1530"/>
        <w:gridCol w:w="810"/>
        <w:gridCol w:w="1129"/>
        <w:gridCol w:w="1194"/>
        <w:gridCol w:w="1305"/>
        <w:gridCol w:w="1413"/>
        <w:gridCol w:w="970"/>
      </w:tblGrid>
      <w:tr w14:paraId="3B68607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49" w:hRule="atLeast"/>
          <w:jc w:val="center"/>
        </w:trPr>
        <w:tc>
          <w:tcPr>
            <w:tcW w:w="916" w:type="pct"/>
            <w:vMerge w:val="restart"/>
            <w:vAlign w:val="center"/>
          </w:tcPr>
          <w:p w14:paraId="61159F4D">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Q</w:t>
            </w:r>
          </w:p>
        </w:tc>
        <w:tc>
          <w:tcPr>
            <w:tcW w:w="4083" w:type="pct"/>
            <w:gridSpan w:val="6"/>
            <w:vAlign w:val="center"/>
          </w:tcPr>
          <w:p w14:paraId="6767AD2C">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LC50</w:t>
            </w:r>
          </w:p>
        </w:tc>
      </w:tr>
      <w:tr w14:paraId="0A97D98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68" w:hRule="atLeast"/>
          <w:jc w:val="center"/>
        </w:trPr>
        <w:tc>
          <w:tcPr>
            <w:tcW w:w="916" w:type="pct"/>
            <w:vMerge w:val="continue"/>
            <w:vAlign w:val="center"/>
          </w:tcPr>
          <w:p w14:paraId="3D341521">
            <w:pPr>
              <w:spacing w:line="240" w:lineRule="auto"/>
              <w:ind w:firstLine="0" w:firstLineChars="0"/>
              <w:jc w:val="center"/>
              <w:rPr>
                <w:color w:val="000000" w:themeColor="text1"/>
                <w:kern w:val="0"/>
                <w:sz w:val="21"/>
                <w:szCs w:val="21"/>
                <w14:textFill>
                  <w14:solidFill>
                    <w14:schemeClr w14:val="tx1"/>
                  </w14:solidFill>
                </w14:textFill>
              </w:rPr>
            </w:pPr>
          </w:p>
        </w:tc>
        <w:tc>
          <w:tcPr>
            <w:tcW w:w="485" w:type="pct"/>
            <w:vAlign w:val="center"/>
          </w:tcPr>
          <w:p w14:paraId="09881694">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&lt;200</w:t>
            </w:r>
          </w:p>
        </w:tc>
        <w:tc>
          <w:tcPr>
            <w:tcW w:w="676" w:type="pct"/>
            <w:vAlign w:val="center"/>
          </w:tcPr>
          <w:p w14:paraId="6FF1ED9D">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200~1000</w:t>
            </w:r>
          </w:p>
        </w:tc>
        <w:tc>
          <w:tcPr>
            <w:tcW w:w="715" w:type="pct"/>
            <w:vAlign w:val="center"/>
          </w:tcPr>
          <w:p w14:paraId="59DA168F">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1000~2000</w:t>
            </w:r>
          </w:p>
        </w:tc>
        <w:tc>
          <w:tcPr>
            <w:tcW w:w="781" w:type="pct"/>
            <w:vAlign w:val="center"/>
          </w:tcPr>
          <w:p w14:paraId="4A1B859F">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2000~10000</w:t>
            </w:r>
          </w:p>
        </w:tc>
        <w:tc>
          <w:tcPr>
            <w:tcW w:w="846" w:type="pct"/>
            <w:vAlign w:val="center"/>
          </w:tcPr>
          <w:p w14:paraId="39555031">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10000~20000</w:t>
            </w:r>
          </w:p>
        </w:tc>
        <w:tc>
          <w:tcPr>
            <w:tcW w:w="579" w:type="pct"/>
            <w:vAlign w:val="center"/>
          </w:tcPr>
          <w:p w14:paraId="39A7B553">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≥20000</w:t>
            </w:r>
          </w:p>
        </w:tc>
      </w:tr>
      <w:tr w14:paraId="091A7B6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36" w:hRule="atLeast"/>
          <w:jc w:val="center"/>
        </w:trPr>
        <w:tc>
          <w:tcPr>
            <w:tcW w:w="916" w:type="pct"/>
            <w:vAlign w:val="center"/>
          </w:tcPr>
          <w:p w14:paraId="3054A4A0">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≤100</w:t>
            </w:r>
          </w:p>
        </w:tc>
        <w:tc>
          <w:tcPr>
            <w:tcW w:w="485" w:type="pct"/>
            <w:vAlign w:val="center"/>
          </w:tcPr>
          <w:p w14:paraId="5D3A189E">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5</w:t>
            </w:r>
          </w:p>
        </w:tc>
        <w:tc>
          <w:tcPr>
            <w:tcW w:w="676" w:type="pct"/>
            <w:vAlign w:val="center"/>
          </w:tcPr>
          <w:p w14:paraId="1DCAE4E4">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10</w:t>
            </w:r>
          </w:p>
        </w:tc>
        <w:tc>
          <w:tcPr>
            <w:tcW w:w="715" w:type="pct"/>
            <w:vAlign w:val="center"/>
          </w:tcPr>
          <w:p w14:paraId="46A2E094">
            <w:pPr>
              <w:spacing w:line="240" w:lineRule="auto"/>
              <w:ind w:firstLine="0" w:firstLineChars="0"/>
              <w:jc w:val="center"/>
              <w:rPr>
                <w:color w:val="000000" w:themeColor="text1"/>
                <w:kern w:val="0"/>
                <w:sz w:val="21"/>
                <w:szCs w:val="21"/>
                <w14:textFill>
                  <w14:solidFill>
                    <w14:schemeClr w14:val="tx1"/>
                  </w14:solidFill>
                </w14:textFill>
              </w:rPr>
            </w:pPr>
          </w:p>
        </w:tc>
        <w:tc>
          <w:tcPr>
            <w:tcW w:w="781" w:type="pct"/>
            <w:vAlign w:val="center"/>
          </w:tcPr>
          <w:p w14:paraId="619B0AD1">
            <w:pPr>
              <w:spacing w:line="240" w:lineRule="auto"/>
              <w:ind w:firstLine="0" w:firstLineChars="0"/>
              <w:jc w:val="center"/>
              <w:rPr>
                <w:color w:val="000000" w:themeColor="text1"/>
                <w:kern w:val="0"/>
                <w:sz w:val="21"/>
                <w:szCs w:val="21"/>
                <w14:textFill>
                  <w14:solidFill>
                    <w14:schemeClr w14:val="tx1"/>
                  </w14:solidFill>
                </w14:textFill>
              </w:rPr>
            </w:pPr>
          </w:p>
        </w:tc>
        <w:tc>
          <w:tcPr>
            <w:tcW w:w="846" w:type="pct"/>
            <w:vAlign w:val="center"/>
          </w:tcPr>
          <w:p w14:paraId="12060AF1">
            <w:pPr>
              <w:spacing w:line="240" w:lineRule="auto"/>
              <w:ind w:firstLine="0" w:firstLineChars="0"/>
              <w:jc w:val="center"/>
              <w:rPr>
                <w:color w:val="000000" w:themeColor="text1"/>
                <w:kern w:val="0"/>
                <w:sz w:val="21"/>
                <w:szCs w:val="21"/>
                <w14:textFill>
                  <w14:solidFill>
                    <w14:schemeClr w14:val="tx1"/>
                  </w14:solidFill>
                </w14:textFill>
              </w:rPr>
            </w:pPr>
          </w:p>
        </w:tc>
        <w:tc>
          <w:tcPr>
            <w:tcW w:w="579" w:type="pct"/>
            <w:vAlign w:val="center"/>
          </w:tcPr>
          <w:p w14:paraId="6FD12953">
            <w:pPr>
              <w:spacing w:line="240" w:lineRule="auto"/>
              <w:ind w:firstLine="0" w:firstLineChars="0"/>
              <w:jc w:val="center"/>
              <w:rPr>
                <w:color w:val="000000" w:themeColor="text1"/>
                <w:kern w:val="0"/>
                <w:sz w:val="21"/>
                <w:szCs w:val="21"/>
                <w14:textFill>
                  <w14:solidFill>
                    <w14:schemeClr w14:val="tx1"/>
                  </w14:solidFill>
                </w14:textFill>
              </w:rPr>
            </w:pPr>
          </w:p>
        </w:tc>
      </w:tr>
      <w:tr w14:paraId="56614D9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37" w:hRule="atLeast"/>
          <w:jc w:val="center"/>
        </w:trPr>
        <w:tc>
          <w:tcPr>
            <w:tcW w:w="916" w:type="pct"/>
            <w:vAlign w:val="center"/>
          </w:tcPr>
          <w:p w14:paraId="2686C8B0">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100~500</w:t>
            </w:r>
          </w:p>
        </w:tc>
        <w:tc>
          <w:tcPr>
            <w:tcW w:w="485" w:type="pct"/>
            <w:vAlign w:val="center"/>
          </w:tcPr>
          <w:p w14:paraId="562231A9">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1.5</w:t>
            </w:r>
          </w:p>
        </w:tc>
        <w:tc>
          <w:tcPr>
            <w:tcW w:w="676" w:type="pct"/>
            <w:vAlign w:val="center"/>
          </w:tcPr>
          <w:p w14:paraId="79CDC05E">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w:t>
            </w:r>
          </w:p>
        </w:tc>
        <w:tc>
          <w:tcPr>
            <w:tcW w:w="715" w:type="pct"/>
            <w:vAlign w:val="center"/>
          </w:tcPr>
          <w:p w14:paraId="30F3AED5">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6</w:t>
            </w:r>
          </w:p>
        </w:tc>
        <w:tc>
          <w:tcPr>
            <w:tcW w:w="781" w:type="pct"/>
            <w:vAlign w:val="center"/>
          </w:tcPr>
          <w:p w14:paraId="7CA02F12">
            <w:pPr>
              <w:spacing w:line="240" w:lineRule="auto"/>
              <w:ind w:firstLine="0" w:firstLineChars="0"/>
              <w:jc w:val="center"/>
              <w:rPr>
                <w:color w:val="000000" w:themeColor="text1"/>
                <w:kern w:val="0"/>
                <w:sz w:val="21"/>
                <w:szCs w:val="21"/>
                <w14:textFill>
                  <w14:solidFill>
                    <w14:schemeClr w14:val="tx1"/>
                  </w14:solidFill>
                </w14:textFill>
              </w:rPr>
            </w:pPr>
          </w:p>
        </w:tc>
        <w:tc>
          <w:tcPr>
            <w:tcW w:w="846" w:type="pct"/>
            <w:vAlign w:val="center"/>
          </w:tcPr>
          <w:p w14:paraId="7C2E99AA">
            <w:pPr>
              <w:spacing w:line="240" w:lineRule="auto"/>
              <w:ind w:firstLine="0" w:firstLineChars="0"/>
              <w:jc w:val="center"/>
              <w:rPr>
                <w:color w:val="000000" w:themeColor="text1"/>
                <w:kern w:val="0"/>
                <w:sz w:val="21"/>
                <w:szCs w:val="21"/>
                <w14:textFill>
                  <w14:solidFill>
                    <w14:schemeClr w14:val="tx1"/>
                  </w14:solidFill>
                </w14:textFill>
              </w:rPr>
            </w:pPr>
          </w:p>
        </w:tc>
        <w:tc>
          <w:tcPr>
            <w:tcW w:w="579" w:type="pct"/>
            <w:vAlign w:val="center"/>
          </w:tcPr>
          <w:p w14:paraId="1140C0DF">
            <w:pPr>
              <w:spacing w:line="240" w:lineRule="auto"/>
              <w:ind w:firstLine="0" w:firstLineChars="0"/>
              <w:jc w:val="center"/>
              <w:rPr>
                <w:color w:val="000000" w:themeColor="text1"/>
                <w:kern w:val="0"/>
                <w:sz w:val="21"/>
                <w:szCs w:val="21"/>
                <w14:textFill>
                  <w14:solidFill>
                    <w14:schemeClr w14:val="tx1"/>
                  </w14:solidFill>
                </w14:textFill>
              </w:rPr>
            </w:pPr>
          </w:p>
        </w:tc>
      </w:tr>
      <w:tr w14:paraId="0690D83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34" w:hRule="atLeast"/>
          <w:jc w:val="center"/>
        </w:trPr>
        <w:tc>
          <w:tcPr>
            <w:tcW w:w="916" w:type="pct"/>
            <w:vAlign w:val="center"/>
          </w:tcPr>
          <w:p w14:paraId="63E9124E">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500~1000</w:t>
            </w:r>
          </w:p>
        </w:tc>
        <w:tc>
          <w:tcPr>
            <w:tcW w:w="485" w:type="pct"/>
            <w:vAlign w:val="center"/>
          </w:tcPr>
          <w:p w14:paraId="0DEAF203">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w:t>
            </w:r>
          </w:p>
        </w:tc>
        <w:tc>
          <w:tcPr>
            <w:tcW w:w="676" w:type="pct"/>
            <w:vAlign w:val="center"/>
          </w:tcPr>
          <w:p w14:paraId="09EE0812">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w:t>
            </w:r>
          </w:p>
        </w:tc>
        <w:tc>
          <w:tcPr>
            <w:tcW w:w="715" w:type="pct"/>
            <w:vAlign w:val="center"/>
          </w:tcPr>
          <w:p w14:paraId="7C376E39">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4</w:t>
            </w:r>
          </w:p>
        </w:tc>
        <w:tc>
          <w:tcPr>
            <w:tcW w:w="781" w:type="pct"/>
            <w:vAlign w:val="center"/>
          </w:tcPr>
          <w:p w14:paraId="6A7BD8CE">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5</w:t>
            </w:r>
          </w:p>
        </w:tc>
        <w:tc>
          <w:tcPr>
            <w:tcW w:w="846" w:type="pct"/>
            <w:vAlign w:val="center"/>
          </w:tcPr>
          <w:p w14:paraId="0C040077">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8</w:t>
            </w:r>
          </w:p>
        </w:tc>
        <w:tc>
          <w:tcPr>
            <w:tcW w:w="579" w:type="pct"/>
            <w:vAlign w:val="center"/>
          </w:tcPr>
          <w:p w14:paraId="2227011A">
            <w:pPr>
              <w:spacing w:line="240" w:lineRule="auto"/>
              <w:ind w:firstLine="0" w:firstLineChars="0"/>
              <w:jc w:val="center"/>
              <w:rPr>
                <w:color w:val="000000" w:themeColor="text1"/>
                <w:kern w:val="0"/>
                <w:sz w:val="21"/>
                <w:szCs w:val="21"/>
                <w14:textFill>
                  <w14:solidFill>
                    <w14:schemeClr w14:val="tx1"/>
                  </w14:solidFill>
                </w14:textFill>
              </w:rPr>
            </w:pPr>
          </w:p>
        </w:tc>
      </w:tr>
      <w:tr w14:paraId="06A0C87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37" w:hRule="atLeast"/>
          <w:jc w:val="center"/>
        </w:trPr>
        <w:tc>
          <w:tcPr>
            <w:tcW w:w="916" w:type="pct"/>
            <w:vAlign w:val="center"/>
          </w:tcPr>
          <w:p w14:paraId="78ECFD3D">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1000~5000</w:t>
            </w:r>
          </w:p>
        </w:tc>
        <w:tc>
          <w:tcPr>
            <w:tcW w:w="485" w:type="pct"/>
            <w:vAlign w:val="center"/>
          </w:tcPr>
          <w:p w14:paraId="052274B1">
            <w:pPr>
              <w:spacing w:line="240" w:lineRule="auto"/>
              <w:ind w:firstLine="0" w:firstLineChars="0"/>
              <w:jc w:val="center"/>
              <w:rPr>
                <w:color w:val="000000" w:themeColor="text1"/>
                <w:kern w:val="0"/>
                <w:sz w:val="21"/>
                <w:szCs w:val="21"/>
                <w14:textFill>
                  <w14:solidFill>
                    <w14:schemeClr w14:val="tx1"/>
                  </w14:solidFill>
                </w14:textFill>
              </w:rPr>
            </w:pPr>
          </w:p>
        </w:tc>
        <w:tc>
          <w:tcPr>
            <w:tcW w:w="676" w:type="pct"/>
            <w:vAlign w:val="center"/>
          </w:tcPr>
          <w:p w14:paraId="4B77FACD">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0.5</w:t>
            </w:r>
          </w:p>
        </w:tc>
        <w:tc>
          <w:tcPr>
            <w:tcW w:w="715" w:type="pct"/>
            <w:vAlign w:val="center"/>
          </w:tcPr>
          <w:p w14:paraId="2163ECAC">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w:t>
            </w:r>
          </w:p>
        </w:tc>
        <w:tc>
          <w:tcPr>
            <w:tcW w:w="781" w:type="pct"/>
            <w:vAlign w:val="center"/>
          </w:tcPr>
          <w:p w14:paraId="36F26902">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1.5</w:t>
            </w:r>
          </w:p>
        </w:tc>
        <w:tc>
          <w:tcPr>
            <w:tcW w:w="846" w:type="pct"/>
            <w:vAlign w:val="center"/>
          </w:tcPr>
          <w:p w14:paraId="7CD4AD15">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w:t>
            </w:r>
          </w:p>
        </w:tc>
        <w:tc>
          <w:tcPr>
            <w:tcW w:w="579" w:type="pct"/>
            <w:vAlign w:val="center"/>
          </w:tcPr>
          <w:p w14:paraId="7178EE4E">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w:t>
            </w:r>
          </w:p>
        </w:tc>
      </w:tr>
      <w:tr w14:paraId="2009128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36" w:hRule="atLeast"/>
          <w:jc w:val="center"/>
        </w:trPr>
        <w:tc>
          <w:tcPr>
            <w:tcW w:w="916" w:type="pct"/>
            <w:vAlign w:val="center"/>
          </w:tcPr>
          <w:p w14:paraId="7403CC2D">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5000~10000</w:t>
            </w:r>
          </w:p>
        </w:tc>
        <w:tc>
          <w:tcPr>
            <w:tcW w:w="485" w:type="pct"/>
            <w:vAlign w:val="center"/>
          </w:tcPr>
          <w:p w14:paraId="46DB07DF">
            <w:pPr>
              <w:spacing w:line="240" w:lineRule="auto"/>
              <w:ind w:firstLine="0" w:firstLineChars="0"/>
              <w:jc w:val="center"/>
              <w:rPr>
                <w:color w:val="000000" w:themeColor="text1"/>
                <w:kern w:val="0"/>
                <w:sz w:val="21"/>
                <w:szCs w:val="21"/>
                <w14:textFill>
                  <w14:solidFill>
                    <w14:schemeClr w14:val="tx1"/>
                  </w14:solidFill>
                </w14:textFill>
              </w:rPr>
            </w:pPr>
          </w:p>
        </w:tc>
        <w:tc>
          <w:tcPr>
            <w:tcW w:w="676" w:type="pct"/>
            <w:vAlign w:val="center"/>
          </w:tcPr>
          <w:p w14:paraId="23634FF3">
            <w:pPr>
              <w:spacing w:line="240" w:lineRule="auto"/>
              <w:ind w:firstLine="0" w:firstLineChars="0"/>
              <w:jc w:val="center"/>
              <w:rPr>
                <w:color w:val="000000" w:themeColor="text1"/>
                <w:kern w:val="0"/>
                <w:sz w:val="21"/>
                <w:szCs w:val="21"/>
                <w14:textFill>
                  <w14:solidFill>
                    <w14:schemeClr w14:val="tx1"/>
                  </w14:solidFill>
                </w14:textFill>
              </w:rPr>
            </w:pPr>
          </w:p>
        </w:tc>
        <w:tc>
          <w:tcPr>
            <w:tcW w:w="715" w:type="pct"/>
            <w:vAlign w:val="center"/>
          </w:tcPr>
          <w:p w14:paraId="07B74F37">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0.5</w:t>
            </w:r>
          </w:p>
        </w:tc>
        <w:tc>
          <w:tcPr>
            <w:tcW w:w="781" w:type="pct"/>
            <w:vAlign w:val="center"/>
          </w:tcPr>
          <w:p w14:paraId="28F9DDDB">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w:t>
            </w:r>
          </w:p>
        </w:tc>
        <w:tc>
          <w:tcPr>
            <w:tcW w:w="846" w:type="pct"/>
            <w:vAlign w:val="center"/>
          </w:tcPr>
          <w:p w14:paraId="0A35F55A">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w:t>
            </w:r>
          </w:p>
        </w:tc>
        <w:tc>
          <w:tcPr>
            <w:tcW w:w="579" w:type="pct"/>
            <w:vAlign w:val="center"/>
          </w:tcPr>
          <w:p w14:paraId="12DC2593">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w:t>
            </w:r>
          </w:p>
        </w:tc>
      </w:tr>
      <w:tr w14:paraId="35C2CAA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36" w:hRule="atLeast"/>
          <w:jc w:val="center"/>
        </w:trPr>
        <w:tc>
          <w:tcPr>
            <w:tcW w:w="916" w:type="pct"/>
            <w:vAlign w:val="center"/>
          </w:tcPr>
          <w:p w14:paraId="73CF351D">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10000~20000</w:t>
            </w:r>
          </w:p>
        </w:tc>
        <w:tc>
          <w:tcPr>
            <w:tcW w:w="485" w:type="pct"/>
            <w:vAlign w:val="center"/>
          </w:tcPr>
          <w:p w14:paraId="69B651DD">
            <w:pPr>
              <w:spacing w:line="240" w:lineRule="auto"/>
              <w:ind w:firstLine="0" w:firstLineChars="0"/>
              <w:jc w:val="center"/>
              <w:rPr>
                <w:color w:val="000000" w:themeColor="text1"/>
                <w:kern w:val="0"/>
                <w:sz w:val="21"/>
                <w:szCs w:val="21"/>
                <w14:textFill>
                  <w14:solidFill>
                    <w14:schemeClr w14:val="tx1"/>
                  </w14:solidFill>
                </w14:textFill>
              </w:rPr>
            </w:pPr>
          </w:p>
        </w:tc>
        <w:tc>
          <w:tcPr>
            <w:tcW w:w="676" w:type="pct"/>
            <w:vAlign w:val="center"/>
          </w:tcPr>
          <w:p w14:paraId="70A78C84">
            <w:pPr>
              <w:spacing w:line="240" w:lineRule="auto"/>
              <w:ind w:firstLine="0" w:firstLineChars="0"/>
              <w:jc w:val="center"/>
              <w:rPr>
                <w:color w:val="000000" w:themeColor="text1"/>
                <w:kern w:val="0"/>
                <w:sz w:val="21"/>
                <w:szCs w:val="21"/>
                <w14:textFill>
                  <w14:solidFill>
                    <w14:schemeClr w14:val="tx1"/>
                  </w14:solidFill>
                </w14:textFill>
              </w:rPr>
            </w:pPr>
          </w:p>
        </w:tc>
        <w:tc>
          <w:tcPr>
            <w:tcW w:w="715" w:type="pct"/>
            <w:vAlign w:val="center"/>
          </w:tcPr>
          <w:p w14:paraId="2ED1AC3E">
            <w:pPr>
              <w:spacing w:line="240" w:lineRule="auto"/>
              <w:ind w:firstLine="0" w:firstLineChars="0"/>
              <w:jc w:val="center"/>
              <w:rPr>
                <w:color w:val="000000" w:themeColor="text1"/>
                <w:kern w:val="0"/>
                <w:sz w:val="21"/>
                <w:szCs w:val="21"/>
                <w14:textFill>
                  <w14:solidFill>
                    <w14:schemeClr w14:val="tx1"/>
                  </w14:solidFill>
                </w14:textFill>
              </w:rPr>
            </w:pPr>
          </w:p>
        </w:tc>
        <w:tc>
          <w:tcPr>
            <w:tcW w:w="781" w:type="pct"/>
            <w:vAlign w:val="center"/>
          </w:tcPr>
          <w:p w14:paraId="415F47E7">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0.5</w:t>
            </w:r>
          </w:p>
        </w:tc>
        <w:tc>
          <w:tcPr>
            <w:tcW w:w="846" w:type="pct"/>
            <w:vAlign w:val="center"/>
          </w:tcPr>
          <w:p w14:paraId="5E8F9DFC">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w:t>
            </w:r>
          </w:p>
        </w:tc>
        <w:tc>
          <w:tcPr>
            <w:tcW w:w="579" w:type="pct"/>
            <w:vAlign w:val="center"/>
          </w:tcPr>
          <w:p w14:paraId="474EBE1F">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w:t>
            </w:r>
          </w:p>
        </w:tc>
      </w:tr>
      <w:tr w14:paraId="6228C26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37" w:hRule="atLeast"/>
          <w:jc w:val="center"/>
        </w:trPr>
        <w:tc>
          <w:tcPr>
            <w:tcW w:w="916" w:type="pct"/>
            <w:vAlign w:val="center"/>
          </w:tcPr>
          <w:p w14:paraId="12CA99B4">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20000~50000</w:t>
            </w:r>
          </w:p>
        </w:tc>
        <w:tc>
          <w:tcPr>
            <w:tcW w:w="485" w:type="pct"/>
            <w:vAlign w:val="center"/>
          </w:tcPr>
          <w:p w14:paraId="6012076B">
            <w:pPr>
              <w:spacing w:line="240" w:lineRule="auto"/>
              <w:ind w:firstLine="0" w:firstLineChars="0"/>
              <w:jc w:val="center"/>
              <w:rPr>
                <w:color w:val="000000" w:themeColor="text1"/>
                <w:kern w:val="0"/>
                <w:sz w:val="21"/>
                <w:szCs w:val="21"/>
                <w14:textFill>
                  <w14:solidFill>
                    <w14:schemeClr w14:val="tx1"/>
                  </w14:solidFill>
                </w14:textFill>
              </w:rPr>
            </w:pPr>
          </w:p>
        </w:tc>
        <w:tc>
          <w:tcPr>
            <w:tcW w:w="676" w:type="pct"/>
            <w:vAlign w:val="center"/>
          </w:tcPr>
          <w:p w14:paraId="4D1EA1C7">
            <w:pPr>
              <w:spacing w:line="240" w:lineRule="auto"/>
              <w:ind w:firstLine="0" w:firstLineChars="0"/>
              <w:jc w:val="center"/>
              <w:rPr>
                <w:color w:val="000000" w:themeColor="text1"/>
                <w:kern w:val="0"/>
                <w:sz w:val="21"/>
                <w:szCs w:val="21"/>
                <w14:textFill>
                  <w14:solidFill>
                    <w14:schemeClr w14:val="tx1"/>
                  </w14:solidFill>
                </w14:textFill>
              </w:rPr>
            </w:pPr>
          </w:p>
        </w:tc>
        <w:tc>
          <w:tcPr>
            <w:tcW w:w="715" w:type="pct"/>
            <w:vAlign w:val="center"/>
          </w:tcPr>
          <w:p w14:paraId="5D1547EE">
            <w:pPr>
              <w:spacing w:line="240" w:lineRule="auto"/>
              <w:ind w:firstLine="0" w:firstLineChars="0"/>
              <w:jc w:val="center"/>
              <w:rPr>
                <w:color w:val="000000" w:themeColor="text1"/>
                <w:kern w:val="0"/>
                <w:sz w:val="21"/>
                <w:szCs w:val="21"/>
                <w14:textFill>
                  <w14:solidFill>
                    <w14:schemeClr w14:val="tx1"/>
                  </w14:solidFill>
                </w14:textFill>
              </w:rPr>
            </w:pPr>
          </w:p>
        </w:tc>
        <w:tc>
          <w:tcPr>
            <w:tcW w:w="781" w:type="pct"/>
            <w:vAlign w:val="center"/>
          </w:tcPr>
          <w:p w14:paraId="79F0E3CE">
            <w:pPr>
              <w:spacing w:line="240" w:lineRule="auto"/>
              <w:ind w:firstLine="0" w:firstLineChars="0"/>
              <w:jc w:val="center"/>
              <w:rPr>
                <w:color w:val="000000" w:themeColor="text1"/>
                <w:kern w:val="0"/>
                <w:sz w:val="21"/>
                <w:szCs w:val="21"/>
                <w14:textFill>
                  <w14:solidFill>
                    <w14:schemeClr w14:val="tx1"/>
                  </w14:solidFill>
                </w14:textFill>
              </w:rPr>
            </w:pPr>
          </w:p>
        </w:tc>
        <w:tc>
          <w:tcPr>
            <w:tcW w:w="846" w:type="pct"/>
            <w:vAlign w:val="center"/>
          </w:tcPr>
          <w:p w14:paraId="4F5BFF9A">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0.5</w:t>
            </w:r>
          </w:p>
        </w:tc>
        <w:tc>
          <w:tcPr>
            <w:tcW w:w="579" w:type="pct"/>
            <w:vAlign w:val="center"/>
          </w:tcPr>
          <w:p w14:paraId="6E9D0171">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0.5</w:t>
            </w:r>
          </w:p>
        </w:tc>
      </w:tr>
      <w:tr w14:paraId="08B03A6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34" w:hRule="atLeast"/>
          <w:jc w:val="center"/>
        </w:trPr>
        <w:tc>
          <w:tcPr>
            <w:tcW w:w="916" w:type="pct"/>
            <w:vAlign w:val="center"/>
          </w:tcPr>
          <w:p w14:paraId="68E65521">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50000~100000</w:t>
            </w:r>
          </w:p>
        </w:tc>
        <w:tc>
          <w:tcPr>
            <w:tcW w:w="485" w:type="pct"/>
            <w:vAlign w:val="center"/>
          </w:tcPr>
          <w:p w14:paraId="45B50A8A">
            <w:pPr>
              <w:spacing w:line="240" w:lineRule="auto"/>
              <w:ind w:firstLine="0" w:firstLineChars="0"/>
              <w:jc w:val="center"/>
              <w:rPr>
                <w:color w:val="000000" w:themeColor="text1"/>
                <w:kern w:val="0"/>
                <w:sz w:val="21"/>
                <w:szCs w:val="21"/>
                <w14:textFill>
                  <w14:solidFill>
                    <w14:schemeClr w14:val="tx1"/>
                  </w14:solidFill>
                </w14:textFill>
              </w:rPr>
            </w:pPr>
          </w:p>
        </w:tc>
        <w:tc>
          <w:tcPr>
            <w:tcW w:w="676" w:type="pct"/>
            <w:vAlign w:val="center"/>
          </w:tcPr>
          <w:p w14:paraId="09C5DEBE">
            <w:pPr>
              <w:spacing w:line="240" w:lineRule="auto"/>
              <w:ind w:firstLine="0" w:firstLineChars="0"/>
              <w:jc w:val="center"/>
              <w:rPr>
                <w:color w:val="000000" w:themeColor="text1"/>
                <w:kern w:val="0"/>
                <w:sz w:val="21"/>
                <w:szCs w:val="21"/>
                <w14:textFill>
                  <w14:solidFill>
                    <w14:schemeClr w14:val="tx1"/>
                  </w14:solidFill>
                </w14:textFill>
              </w:rPr>
            </w:pPr>
          </w:p>
        </w:tc>
        <w:tc>
          <w:tcPr>
            <w:tcW w:w="715" w:type="pct"/>
            <w:vAlign w:val="center"/>
          </w:tcPr>
          <w:p w14:paraId="650A5648">
            <w:pPr>
              <w:spacing w:line="240" w:lineRule="auto"/>
              <w:ind w:firstLine="0" w:firstLineChars="0"/>
              <w:jc w:val="center"/>
              <w:rPr>
                <w:color w:val="000000" w:themeColor="text1"/>
                <w:kern w:val="0"/>
                <w:sz w:val="21"/>
                <w:szCs w:val="21"/>
                <w14:textFill>
                  <w14:solidFill>
                    <w14:schemeClr w14:val="tx1"/>
                  </w14:solidFill>
                </w14:textFill>
              </w:rPr>
            </w:pPr>
          </w:p>
        </w:tc>
        <w:tc>
          <w:tcPr>
            <w:tcW w:w="781" w:type="pct"/>
            <w:vAlign w:val="center"/>
          </w:tcPr>
          <w:p w14:paraId="645CCF9A">
            <w:pPr>
              <w:spacing w:line="240" w:lineRule="auto"/>
              <w:ind w:firstLine="0" w:firstLineChars="0"/>
              <w:jc w:val="center"/>
              <w:rPr>
                <w:color w:val="000000" w:themeColor="text1"/>
                <w:kern w:val="0"/>
                <w:sz w:val="21"/>
                <w:szCs w:val="21"/>
                <w14:textFill>
                  <w14:solidFill>
                    <w14:schemeClr w14:val="tx1"/>
                  </w14:solidFill>
                </w14:textFill>
              </w:rPr>
            </w:pPr>
          </w:p>
        </w:tc>
        <w:tc>
          <w:tcPr>
            <w:tcW w:w="846" w:type="pct"/>
            <w:vAlign w:val="center"/>
          </w:tcPr>
          <w:p w14:paraId="2E9A218E">
            <w:pPr>
              <w:spacing w:line="240" w:lineRule="auto"/>
              <w:ind w:firstLine="0" w:firstLineChars="0"/>
              <w:jc w:val="center"/>
              <w:rPr>
                <w:color w:val="000000" w:themeColor="text1"/>
                <w:kern w:val="0"/>
                <w:sz w:val="21"/>
                <w:szCs w:val="21"/>
                <w14:textFill>
                  <w14:solidFill>
                    <w14:schemeClr w14:val="tx1"/>
                  </w14:solidFill>
                </w14:textFill>
              </w:rPr>
            </w:pPr>
          </w:p>
        </w:tc>
        <w:tc>
          <w:tcPr>
            <w:tcW w:w="579" w:type="pct"/>
            <w:vAlign w:val="center"/>
          </w:tcPr>
          <w:p w14:paraId="6B0D08EE">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0.5</w:t>
            </w:r>
          </w:p>
        </w:tc>
      </w:tr>
    </w:tbl>
    <w:p w14:paraId="2A06B744">
      <w:pPr>
        <w:ind w:firstLine="0" w:firstLineChars="0"/>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注：LC50半致死量，mg/m</w:t>
      </w:r>
      <w:r>
        <w:rPr>
          <w:color w:val="000000" w:themeColor="text1"/>
          <w:kern w:val="0"/>
          <w:sz w:val="21"/>
          <w:szCs w:val="21"/>
          <w:vertAlign w:val="superscript"/>
          <w14:textFill>
            <w14:solidFill>
              <w14:schemeClr w14:val="tx1"/>
            </w14:solidFill>
          </w14:textFill>
        </w:rPr>
        <w:t>3</w:t>
      </w:r>
      <w:r>
        <w:rPr>
          <w:color w:val="000000" w:themeColor="text1"/>
          <w:kern w:val="0"/>
          <w:sz w:val="21"/>
          <w:szCs w:val="21"/>
          <w14:textFill>
            <w14:solidFill>
              <w14:schemeClr w14:val="tx1"/>
            </w14:solidFill>
          </w14:textFill>
        </w:rPr>
        <w:t>；Q有毒有害物质在线量，t；Q值重复值在前一个范围，LC值重复值包括在后一个范围</w:t>
      </w:r>
    </w:p>
    <w:p w14:paraId="2D25ED90">
      <w:pPr>
        <w:ind w:firstLine="480"/>
        <w:rPr>
          <w:color w:val="000000" w:themeColor="text1"/>
          <w:kern w:val="0"/>
          <w:szCs w:val="20"/>
          <w14:textFill>
            <w14:solidFill>
              <w14:schemeClr w14:val="tx1"/>
            </w14:solidFill>
          </w14:textFill>
        </w:rPr>
      </w:pPr>
      <w:r>
        <w:rPr>
          <w:rFonts w:hint="eastAsia"/>
          <w:color w:val="000000" w:themeColor="text1"/>
          <w:kern w:val="0"/>
          <w:szCs w:val="20"/>
          <w14:textFill>
            <w14:solidFill>
              <w14:schemeClr w14:val="tx1"/>
            </w14:solidFill>
          </w14:textFill>
        </w:rPr>
        <w:t>苯乙烯</w:t>
      </w:r>
      <w:r>
        <w:rPr>
          <w:color w:val="000000" w:themeColor="text1"/>
          <w:kern w:val="0"/>
          <w:szCs w:val="20"/>
          <w14:textFill>
            <w14:solidFill>
              <w14:schemeClr w14:val="tx1"/>
            </w14:solidFill>
          </w14:textFill>
        </w:rPr>
        <w:t>的LC50为</w:t>
      </w:r>
      <w:r>
        <w:rPr>
          <w:rFonts w:hint="eastAsia"/>
          <w:color w:val="000000" w:themeColor="text1"/>
          <w:kern w:val="0"/>
          <w:szCs w:val="20"/>
          <w14:textFill>
            <w14:solidFill>
              <w14:schemeClr w14:val="tx1"/>
            </w14:solidFill>
          </w14:textFill>
        </w:rPr>
        <w:t>28000</w:t>
      </w:r>
      <w:r>
        <w:rPr>
          <w:color w:val="000000" w:themeColor="text1"/>
          <w:kern w:val="0"/>
          <w:szCs w:val="20"/>
          <w14:textFill>
            <w14:solidFill>
              <w14:schemeClr w14:val="tx1"/>
            </w14:solidFill>
          </w14:textFill>
        </w:rPr>
        <w:t>mg/m</w:t>
      </w:r>
      <w:r>
        <w:rPr>
          <w:color w:val="000000" w:themeColor="text1"/>
          <w:kern w:val="0"/>
          <w:szCs w:val="20"/>
          <w:vertAlign w:val="superscript"/>
          <w14:textFill>
            <w14:solidFill>
              <w14:schemeClr w14:val="tx1"/>
            </w14:solidFill>
          </w14:textFill>
        </w:rPr>
        <w:t>3</w:t>
      </w:r>
      <w:r>
        <w:rPr>
          <w:color w:val="000000" w:themeColor="text1"/>
          <w:kern w:val="0"/>
          <w:szCs w:val="20"/>
          <w14:textFill>
            <w14:solidFill>
              <w14:schemeClr w14:val="tx1"/>
            </w14:solidFill>
          </w14:textFill>
        </w:rPr>
        <w:t>。</w:t>
      </w:r>
    </w:p>
    <w:p w14:paraId="5C5BB482">
      <w:pPr>
        <w:ind w:firstLine="480"/>
        <w:rPr>
          <w:color w:val="000000" w:themeColor="text1"/>
          <w:kern w:val="0"/>
          <w:szCs w:val="20"/>
          <w14:textFill>
            <w14:solidFill>
              <w14:schemeClr w14:val="tx1"/>
            </w14:solidFill>
          </w14:textFill>
        </w:rPr>
      </w:pPr>
      <w:r>
        <w:rPr>
          <w:color w:val="000000" w:themeColor="text1"/>
          <w:kern w:val="0"/>
          <w:szCs w:val="20"/>
          <w14:textFill>
            <w14:solidFill>
              <w14:schemeClr w14:val="tx1"/>
            </w14:solidFill>
          </w14:textFill>
        </w:rPr>
        <w:t>根据上表可以得出：</w:t>
      </w:r>
      <w:r>
        <w:rPr>
          <w:rFonts w:hint="eastAsia"/>
          <w:color w:val="000000" w:themeColor="text1"/>
          <w:kern w:val="0"/>
          <w:szCs w:val="20"/>
          <w14:textFill>
            <w14:solidFill>
              <w14:schemeClr w14:val="tx1"/>
            </w14:solidFill>
          </w14:textFill>
        </w:rPr>
        <w:t>苯乙烯</w:t>
      </w:r>
      <w:r>
        <w:rPr>
          <w:color w:val="000000" w:themeColor="text1"/>
          <w:kern w:val="0"/>
          <w:szCs w:val="20"/>
          <w14:textFill>
            <w14:solidFill>
              <w14:schemeClr w14:val="tx1"/>
            </w14:solidFill>
          </w14:textFill>
        </w:rPr>
        <w:t>的火灾爆炸事故中释放比例取最大值为</w:t>
      </w:r>
      <w:r>
        <w:rPr>
          <w:rFonts w:hint="eastAsia"/>
          <w:color w:val="000000" w:themeColor="text1"/>
          <w:kern w:val="0"/>
          <w:szCs w:val="20"/>
          <w14:textFill>
            <w14:solidFill>
              <w14:schemeClr w14:val="tx1"/>
            </w14:solidFill>
          </w14:textFill>
        </w:rPr>
        <w:t>0.5</w:t>
      </w:r>
      <w:r>
        <w:rPr>
          <w:color w:val="000000" w:themeColor="text1"/>
          <w:kern w:val="0"/>
          <w:szCs w:val="20"/>
          <w14:textFill>
            <w14:solidFill>
              <w14:schemeClr w14:val="tx1"/>
            </w14:solidFill>
          </w14:textFill>
        </w:rPr>
        <w:t>%。</w:t>
      </w:r>
    </w:p>
    <w:p w14:paraId="52EFF110">
      <w:pPr>
        <w:ind w:firstLine="480"/>
        <w:rPr>
          <w:color w:val="000000" w:themeColor="text1"/>
          <w:kern w:val="0"/>
          <w:szCs w:val="20"/>
          <w14:textFill>
            <w14:solidFill>
              <w14:schemeClr w14:val="tx1"/>
            </w14:solidFill>
          </w14:textFill>
        </w:rPr>
      </w:pPr>
      <w:r>
        <w:rPr>
          <w:color w:val="000000" w:themeColor="text1"/>
          <w:kern w:val="0"/>
          <w:szCs w:val="20"/>
          <w14:textFill>
            <w14:solidFill>
              <w14:schemeClr w14:val="tx1"/>
            </w14:solidFill>
          </w14:textFill>
        </w:rPr>
        <w:t>则发生火灾爆炸事故时，</w:t>
      </w:r>
      <w:r>
        <w:rPr>
          <w:rFonts w:hint="eastAsia"/>
          <w:color w:val="000000" w:themeColor="text1"/>
          <w:kern w:val="0"/>
          <w:szCs w:val="20"/>
          <w14:textFill>
            <w14:solidFill>
              <w14:schemeClr w14:val="tx1"/>
            </w14:solidFill>
          </w14:textFill>
        </w:rPr>
        <w:t>泄漏的苯乙烯</w:t>
      </w:r>
      <w:r>
        <w:rPr>
          <w:color w:val="000000" w:themeColor="text1"/>
          <w:kern w:val="0"/>
          <w:szCs w:val="20"/>
          <w14:textFill>
            <w14:solidFill>
              <w14:schemeClr w14:val="tx1"/>
            </w14:solidFill>
          </w14:textFill>
        </w:rPr>
        <w:t>全部燃烧或爆炸，</w:t>
      </w:r>
      <w:r>
        <w:rPr>
          <w:rFonts w:hint="eastAsia"/>
          <w:color w:val="000000" w:themeColor="text1"/>
          <w:kern w:val="0"/>
          <w:szCs w:val="20"/>
          <w14:textFill>
            <w14:solidFill>
              <w14:schemeClr w14:val="tx1"/>
            </w14:solidFill>
          </w14:textFill>
        </w:rPr>
        <w:t>火灾爆炸事故中有毒有害物质释放量为2.85</w:t>
      </w:r>
      <w:r>
        <w:rPr>
          <w:color w:val="000000" w:themeColor="text1"/>
          <w:kern w:val="0"/>
          <w:szCs w:val="20"/>
          <w14:textFill>
            <w14:solidFill>
              <w14:schemeClr w14:val="tx1"/>
            </w14:solidFill>
          </w14:textFill>
        </w:rPr>
        <w:t>×</w:t>
      </w:r>
      <w:r>
        <w:rPr>
          <w:rFonts w:hint="eastAsia"/>
          <w:color w:val="000000" w:themeColor="text1"/>
          <w:kern w:val="0"/>
          <w:szCs w:val="20"/>
          <w14:textFill>
            <w14:solidFill>
              <w14:schemeClr w14:val="tx1"/>
            </w14:solidFill>
          </w14:textFill>
        </w:rPr>
        <w:t>0.5</w:t>
      </w:r>
      <w:r>
        <w:rPr>
          <w:color w:val="000000" w:themeColor="text1"/>
          <w:kern w:val="0"/>
          <w:szCs w:val="20"/>
          <w14:textFill>
            <w14:solidFill>
              <w14:schemeClr w14:val="tx1"/>
            </w14:solidFill>
          </w14:textFill>
        </w:rPr>
        <w:t>%=</w:t>
      </w:r>
      <w:r>
        <w:rPr>
          <w:rFonts w:hint="eastAsia"/>
          <w:color w:val="000000" w:themeColor="text1"/>
          <w:kern w:val="0"/>
          <w:szCs w:val="20"/>
          <w14:textFill>
            <w14:solidFill>
              <w14:schemeClr w14:val="tx1"/>
            </w14:solidFill>
          </w14:textFill>
        </w:rPr>
        <w:t>0.142</w:t>
      </w:r>
      <w:r>
        <w:rPr>
          <w:color w:val="000000" w:themeColor="text1"/>
          <w:kern w:val="0"/>
          <w:szCs w:val="20"/>
          <w14:textFill>
            <w14:solidFill>
              <w14:schemeClr w14:val="tx1"/>
            </w14:solidFill>
          </w14:textFill>
        </w:rPr>
        <w:t>t。</w:t>
      </w:r>
      <w:r>
        <w:rPr>
          <w:rFonts w:hint="eastAsia"/>
          <w:color w:val="000000" w:themeColor="text1"/>
          <w:kern w:val="0"/>
          <w:szCs w:val="20"/>
          <w14:textFill>
            <w14:solidFill>
              <w14:schemeClr w14:val="tx1"/>
            </w14:solidFill>
          </w14:textFill>
        </w:rPr>
        <w:t>火灾时间按15min计，则事故中有毒有害物质放速率为</w:t>
      </w:r>
      <w:r>
        <w:rPr>
          <w:color w:val="000000" w:themeColor="text1"/>
          <w:kern w:val="0"/>
          <w:szCs w:val="20"/>
          <w14:textFill>
            <w14:solidFill>
              <w14:schemeClr w14:val="tx1"/>
            </w14:solidFill>
          </w14:textFill>
        </w:rPr>
        <w:t>0.0158</w:t>
      </w:r>
      <w:r>
        <w:rPr>
          <w:rFonts w:hint="eastAsia"/>
          <w:color w:val="000000" w:themeColor="text1"/>
          <w:kern w:val="0"/>
          <w:szCs w:val="20"/>
          <w14:textFill>
            <w14:solidFill>
              <w14:schemeClr w14:val="tx1"/>
            </w14:solidFill>
          </w14:textFill>
        </w:rPr>
        <w:t>t/s。</w:t>
      </w:r>
    </w:p>
    <w:p w14:paraId="2F280EDE">
      <w:pPr>
        <w:ind w:firstLine="480"/>
        <w:rPr>
          <w:color w:val="000000" w:themeColor="text1"/>
          <w:kern w:val="0"/>
          <w:szCs w:val="20"/>
          <w14:textFill>
            <w14:solidFill>
              <w14:schemeClr w14:val="tx1"/>
            </w14:solidFill>
          </w14:textFill>
        </w:rPr>
      </w:pPr>
      <w:r>
        <w:rPr>
          <w:color w:val="000000" w:themeColor="text1"/>
          <w:kern w:val="0"/>
          <w:szCs w:val="20"/>
          <w14:textFill>
            <w14:solidFill>
              <w14:schemeClr w14:val="tx1"/>
            </w14:solidFill>
          </w14:textFill>
        </w:rPr>
        <w:fldChar w:fldCharType="begin"/>
      </w:r>
      <w:r>
        <w:rPr>
          <w:color w:val="000000" w:themeColor="text1"/>
          <w:kern w:val="0"/>
          <w:szCs w:val="20"/>
          <w14:textFill>
            <w14:solidFill>
              <w14:schemeClr w14:val="tx1"/>
            </w14:solidFill>
          </w14:textFill>
        </w:rPr>
        <w:instrText xml:space="preserve"> </w:instrText>
      </w:r>
      <w:r>
        <w:rPr>
          <w:rFonts w:hint="eastAsia"/>
          <w:color w:val="000000" w:themeColor="text1"/>
          <w:kern w:val="0"/>
          <w:szCs w:val="20"/>
          <w14:textFill>
            <w14:solidFill>
              <w14:schemeClr w14:val="tx1"/>
            </w14:solidFill>
          </w14:textFill>
        </w:rPr>
        <w:instrText xml:space="preserve">= 2 \* GB3</w:instrText>
      </w:r>
      <w:r>
        <w:rPr>
          <w:color w:val="000000" w:themeColor="text1"/>
          <w:kern w:val="0"/>
          <w:szCs w:val="20"/>
          <w14:textFill>
            <w14:solidFill>
              <w14:schemeClr w14:val="tx1"/>
            </w14:solidFill>
          </w14:textFill>
        </w:rPr>
        <w:instrText xml:space="preserve"> </w:instrText>
      </w:r>
      <w:r>
        <w:rPr>
          <w:color w:val="000000" w:themeColor="text1"/>
          <w:kern w:val="0"/>
          <w:szCs w:val="20"/>
          <w14:textFill>
            <w14:solidFill>
              <w14:schemeClr w14:val="tx1"/>
            </w14:solidFill>
          </w14:textFill>
        </w:rPr>
        <w:fldChar w:fldCharType="separate"/>
      </w:r>
      <w:r>
        <w:rPr>
          <w:rFonts w:hint="eastAsia"/>
          <w:color w:val="000000" w:themeColor="text1"/>
          <w:kern w:val="0"/>
          <w:szCs w:val="20"/>
          <w14:textFill>
            <w14:solidFill>
              <w14:schemeClr w14:val="tx1"/>
            </w14:solidFill>
          </w14:textFill>
        </w:rPr>
        <w:t>②</w:t>
      </w:r>
      <w:r>
        <w:rPr>
          <w:color w:val="000000" w:themeColor="text1"/>
          <w:kern w:val="0"/>
          <w:szCs w:val="20"/>
          <w14:textFill>
            <w14:solidFill>
              <w14:schemeClr w14:val="tx1"/>
            </w14:solidFill>
          </w14:textFill>
        </w:rPr>
        <w:fldChar w:fldCharType="end"/>
      </w:r>
      <w:r>
        <w:rPr>
          <w:rFonts w:hint="eastAsia"/>
          <w:color w:val="000000" w:themeColor="text1"/>
          <w:kern w:val="0"/>
          <w:szCs w:val="20"/>
          <w14:textFill>
            <w14:solidFill>
              <w14:schemeClr w14:val="tx1"/>
            </w14:solidFill>
          </w14:textFill>
        </w:rPr>
        <w:t>、火灾伴生/次生污染物产生量估算</w:t>
      </w:r>
    </w:p>
    <w:p w14:paraId="6DAE229C">
      <w:pPr>
        <w:ind w:firstLine="480"/>
        <w:rPr>
          <w:color w:val="000000" w:themeColor="text1"/>
          <w:kern w:val="0"/>
          <w:szCs w:val="20"/>
          <w14:textFill>
            <w14:solidFill>
              <w14:schemeClr w14:val="tx1"/>
            </w14:solidFill>
          </w14:textFill>
        </w:rPr>
      </w:pPr>
      <w:r>
        <w:rPr>
          <w:rFonts w:hint="eastAsia"/>
          <w:color w:val="000000" w:themeColor="text1"/>
          <w:kern w:val="0"/>
          <w:szCs w:val="20"/>
          <w14:textFill>
            <w14:solidFill>
              <w14:schemeClr w14:val="tx1"/>
            </w14:solidFill>
          </w14:textFill>
        </w:rPr>
        <w:t>本项目苯乙烯发生火灾爆炸后的伴生/次生污染物有CO、CO</w:t>
      </w:r>
      <w:r>
        <w:rPr>
          <w:rFonts w:hint="eastAsia"/>
          <w:color w:val="000000" w:themeColor="text1"/>
          <w:kern w:val="0"/>
          <w:szCs w:val="20"/>
          <w:vertAlign w:val="subscript"/>
          <w14:textFill>
            <w14:solidFill>
              <w14:schemeClr w14:val="tx1"/>
            </w14:solidFill>
          </w14:textFill>
        </w:rPr>
        <w:t>2</w:t>
      </w:r>
      <w:r>
        <w:rPr>
          <w:rFonts w:hint="eastAsia"/>
          <w:color w:val="000000" w:themeColor="text1"/>
          <w:kern w:val="0"/>
          <w:szCs w:val="20"/>
          <w14:textFill>
            <w14:solidFill>
              <w14:schemeClr w14:val="tx1"/>
            </w14:solidFill>
          </w14:textFill>
        </w:rPr>
        <w:t>。</w:t>
      </w:r>
    </w:p>
    <w:p w14:paraId="0E14B50C">
      <w:pPr>
        <w:ind w:firstLine="480"/>
        <w:rPr>
          <w:color w:val="000000" w:themeColor="text1"/>
          <w:kern w:val="0"/>
          <w:szCs w:val="20"/>
          <w14:textFill>
            <w14:solidFill>
              <w14:schemeClr w14:val="tx1"/>
            </w14:solidFill>
          </w14:textFill>
        </w:rPr>
      </w:pPr>
      <w:r>
        <w:rPr>
          <w:color w:val="000000" w:themeColor="text1"/>
          <w:kern w:val="0"/>
          <w:szCs w:val="20"/>
          <w14:textFill>
            <w14:solidFill>
              <w14:schemeClr w14:val="tx1"/>
            </w14:solidFill>
          </w14:textFill>
        </w:rPr>
        <w:t>当设施发生火灾事故时，液体燃烧产生CO。根据《建设项目环境风险评价技术导则》（HJ169-2018）附录F.15公式，一氧化碳产生量计算如下式计算：</w:t>
      </w:r>
    </w:p>
    <w:p w14:paraId="0152E0C1">
      <w:pPr>
        <w:ind w:firstLine="0" w:firstLineChars="0"/>
        <w:jc w:val="center"/>
        <w:rPr>
          <w:color w:val="000000" w:themeColor="text1"/>
          <w:kern w:val="0"/>
          <w:szCs w:val="20"/>
          <w14:textFill>
            <w14:solidFill>
              <w14:schemeClr w14:val="tx1"/>
            </w14:solidFill>
          </w14:textFill>
        </w:rPr>
      </w:pPr>
      <w:r>
        <w:rPr>
          <w:color w:val="000000" w:themeColor="text1"/>
          <w:kern w:val="0"/>
          <w:szCs w:val="20"/>
          <w14:textFill>
            <w14:solidFill>
              <w14:schemeClr w14:val="tx1"/>
            </w14:solidFill>
          </w14:textFill>
        </w:rPr>
        <w:t>G</w:t>
      </w:r>
      <w:r>
        <w:rPr>
          <w:color w:val="000000" w:themeColor="text1"/>
          <w:kern w:val="0"/>
          <w:szCs w:val="20"/>
          <w:vertAlign w:val="subscript"/>
          <w14:textFill>
            <w14:solidFill>
              <w14:schemeClr w14:val="tx1"/>
            </w14:solidFill>
          </w14:textFill>
        </w:rPr>
        <w:t>一氧化碳</w:t>
      </w:r>
      <w:r>
        <w:rPr>
          <w:color w:val="000000" w:themeColor="text1"/>
          <w:kern w:val="0"/>
          <w:szCs w:val="20"/>
          <w14:textFill>
            <w14:solidFill>
              <w14:schemeClr w14:val="tx1"/>
            </w14:solidFill>
          </w14:textFill>
        </w:rPr>
        <w:t>=2330×q×C×Q</w:t>
      </w:r>
    </w:p>
    <w:p w14:paraId="3C4F32D9">
      <w:pPr>
        <w:ind w:firstLine="480"/>
        <w:rPr>
          <w:color w:val="000000" w:themeColor="text1"/>
          <w:kern w:val="0"/>
          <w:szCs w:val="20"/>
          <w14:textFill>
            <w14:solidFill>
              <w14:schemeClr w14:val="tx1"/>
            </w14:solidFill>
          </w14:textFill>
        </w:rPr>
      </w:pPr>
      <w:r>
        <w:rPr>
          <w:color w:val="000000" w:themeColor="text1"/>
          <w:kern w:val="0"/>
          <w:szCs w:val="20"/>
          <w14:textFill>
            <w14:solidFill>
              <w14:schemeClr w14:val="tx1"/>
            </w14:solidFill>
          </w14:textFill>
        </w:rPr>
        <w:t>式中：G</w:t>
      </w:r>
      <w:r>
        <w:rPr>
          <w:color w:val="000000" w:themeColor="text1"/>
          <w:kern w:val="0"/>
          <w:szCs w:val="20"/>
          <w:vertAlign w:val="subscript"/>
          <w14:textFill>
            <w14:solidFill>
              <w14:schemeClr w14:val="tx1"/>
            </w14:solidFill>
          </w14:textFill>
        </w:rPr>
        <w:t>一氧化碳</w:t>
      </w:r>
      <w:r>
        <w:rPr>
          <w:color w:val="000000" w:themeColor="text1"/>
          <w:kern w:val="0"/>
          <w:szCs w:val="20"/>
          <w14:textFill>
            <w14:solidFill>
              <w14:schemeClr w14:val="tx1"/>
            </w14:solidFill>
          </w14:textFill>
        </w:rPr>
        <w:t>——氧化碳的产生量，kg/s；</w:t>
      </w:r>
    </w:p>
    <w:p w14:paraId="1576E5AD">
      <w:pPr>
        <w:ind w:firstLine="480"/>
        <w:rPr>
          <w:color w:val="000000" w:themeColor="text1"/>
          <w:kern w:val="0"/>
          <w:szCs w:val="20"/>
          <w14:textFill>
            <w14:solidFill>
              <w14:schemeClr w14:val="tx1"/>
            </w14:solidFill>
          </w14:textFill>
        </w:rPr>
      </w:pPr>
      <w:r>
        <w:rPr>
          <w:color w:val="000000" w:themeColor="text1"/>
          <w:kern w:val="0"/>
          <w:szCs w:val="20"/>
          <w14:textFill>
            <w14:solidFill>
              <w14:schemeClr w14:val="tx1"/>
            </w14:solidFill>
          </w14:textFill>
        </w:rPr>
        <w:t>C——物质中碳的含量，</w:t>
      </w:r>
      <w:r>
        <w:rPr>
          <w:rFonts w:hint="eastAsia"/>
          <w:color w:val="000000" w:themeColor="text1"/>
          <w:kern w:val="0"/>
          <w:szCs w:val="20"/>
          <w14:textFill>
            <w14:solidFill>
              <w14:schemeClr w14:val="tx1"/>
            </w14:solidFill>
          </w14:textFill>
        </w:rPr>
        <w:t>苯乙烯</w:t>
      </w:r>
      <w:r>
        <w:rPr>
          <w:color w:val="000000" w:themeColor="text1"/>
          <w:kern w:val="0"/>
          <w:szCs w:val="20"/>
          <w14:textFill>
            <w14:solidFill>
              <w14:schemeClr w14:val="tx1"/>
            </w14:solidFill>
          </w14:textFill>
        </w:rPr>
        <w:t>取</w:t>
      </w:r>
      <w:r>
        <w:rPr>
          <w:rFonts w:hint="eastAsia"/>
          <w:color w:val="000000" w:themeColor="text1"/>
          <w:kern w:val="0"/>
          <w:szCs w:val="20"/>
          <w14:textFill>
            <w14:solidFill>
              <w14:schemeClr w14:val="tx1"/>
            </w14:solidFill>
          </w14:textFill>
        </w:rPr>
        <w:t>92.26</w:t>
      </w:r>
      <w:r>
        <w:rPr>
          <w:color w:val="000000" w:themeColor="text1"/>
          <w:kern w:val="0"/>
          <w:szCs w:val="20"/>
          <w14:textFill>
            <w14:solidFill>
              <w14:schemeClr w14:val="tx1"/>
            </w14:solidFill>
          </w14:textFill>
        </w:rPr>
        <w:t>%；</w:t>
      </w:r>
    </w:p>
    <w:p w14:paraId="55AE1AF9">
      <w:pPr>
        <w:ind w:firstLine="480"/>
        <w:rPr>
          <w:color w:val="000000" w:themeColor="text1"/>
          <w:kern w:val="0"/>
          <w:szCs w:val="20"/>
          <w14:textFill>
            <w14:solidFill>
              <w14:schemeClr w14:val="tx1"/>
            </w14:solidFill>
          </w14:textFill>
        </w:rPr>
      </w:pPr>
      <w:r>
        <w:rPr>
          <w:color w:val="000000" w:themeColor="text1"/>
          <w:kern w:val="0"/>
          <w:szCs w:val="20"/>
          <w14:textFill>
            <w14:solidFill>
              <w14:schemeClr w14:val="tx1"/>
            </w14:solidFill>
          </w14:textFill>
        </w:rPr>
        <w:t>q——化学不完全燃烧值，取</w:t>
      </w:r>
      <w:r>
        <w:rPr>
          <w:rFonts w:hint="eastAsia"/>
          <w:color w:val="000000" w:themeColor="text1"/>
          <w:kern w:val="0"/>
          <w:szCs w:val="20"/>
          <w14:textFill>
            <w14:solidFill>
              <w14:schemeClr w14:val="tx1"/>
            </w14:solidFill>
          </w14:textFill>
        </w:rPr>
        <w:t>1.5</w:t>
      </w:r>
      <w:r>
        <w:rPr>
          <w:color w:val="000000" w:themeColor="text1"/>
          <w:kern w:val="0"/>
          <w:szCs w:val="20"/>
          <w14:textFill>
            <w14:solidFill>
              <w14:schemeClr w14:val="tx1"/>
            </w14:solidFill>
          </w14:textFill>
        </w:rPr>
        <w:t>%；</w:t>
      </w:r>
    </w:p>
    <w:p w14:paraId="0BA0EE18">
      <w:pPr>
        <w:ind w:firstLine="480"/>
        <w:rPr>
          <w:color w:val="000000" w:themeColor="text1"/>
          <w:kern w:val="0"/>
          <w:szCs w:val="20"/>
          <w14:textFill>
            <w14:solidFill>
              <w14:schemeClr w14:val="tx1"/>
            </w14:solidFill>
          </w14:textFill>
        </w:rPr>
      </w:pPr>
      <w:r>
        <w:rPr>
          <w:color w:val="000000" w:themeColor="text1"/>
          <w:kern w:val="0"/>
          <w:szCs w:val="20"/>
          <w14:textFill>
            <w14:solidFill>
              <w14:schemeClr w14:val="tx1"/>
            </w14:solidFill>
          </w14:textFill>
        </w:rPr>
        <w:t>Q——参与燃烧的物质量，t/s。</w:t>
      </w:r>
    </w:p>
    <w:p w14:paraId="6427CBEA">
      <w:pPr>
        <w:ind w:firstLine="480"/>
        <w:rPr>
          <w:color w:val="000000" w:themeColor="text1"/>
          <w:kern w:val="0"/>
          <w:szCs w:val="20"/>
          <w14:textFill>
            <w14:solidFill>
              <w14:schemeClr w14:val="tx1"/>
            </w14:solidFill>
          </w14:textFill>
        </w:rPr>
      </w:pPr>
      <w:r>
        <w:rPr>
          <w:rFonts w:hint="eastAsia"/>
          <w:color w:val="000000" w:themeColor="text1"/>
          <w:kern w:val="0"/>
          <w:szCs w:val="20"/>
          <w14:textFill>
            <w14:solidFill>
              <w14:schemeClr w14:val="tx1"/>
            </w14:solidFill>
          </w14:textFill>
        </w:rPr>
        <w:t>苯乙烯参与燃烧的量按全部泄漏量计，即2.85t。火灾时间按15min计，则参与燃烧的苯乙烯为</w:t>
      </w:r>
      <w:r>
        <w:rPr>
          <w:color w:val="000000" w:themeColor="text1"/>
          <w:kern w:val="0"/>
          <w:szCs w:val="20"/>
          <w14:textFill>
            <w14:solidFill>
              <w14:schemeClr w14:val="tx1"/>
            </w14:solidFill>
          </w14:textFill>
        </w:rPr>
        <w:t>0.003167</w:t>
      </w:r>
      <w:r>
        <w:rPr>
          <w:rFonts w:hint="eastAsia"/>
          <w:color w:val="000000" w:themeColor="text1"/>
          <w:kern w:val="0"/>
          <w:szCs w:val="20"/>
          <w14:textFill>
            <w14:solidFill>
              <w14:schemeClr w14:val="tx1"/>
            </w14:solidFill>
          </w14:textFill>
        </w:rPr>
        <w:t>t/s。经计算，得到苯乙烯燃烧时一氧化碳的产生速率为0.102</w:t>
      </w:r>
      <w:r>
        <w:rPr>
          <w:color w:val="000000" w:themeColor="text1"/>
          <w:kern w:val="0"/>
          <w:szCs w:val="20"/>
          <w14:textFill>
            <w14:solidFill>
              <w14:schemeClr w14:val="tx1"/>
            </w14:solidFill>
          </w14:textFill>
        </w:rPr>
        <w:t>kg/s</w:t>
      </w:r>
      <w:r>
        <w:rPr>
          <w:rFonts w:hint="eastAsia"/>
          <w:color w:val="000000" w:themeColor="text1"/>
          <w:kern w:val="0"/>
          <w:szCs w:val="20"/>
          <w14:textFill>
            <w14:solidFill>
              <w14:schemeClr w14:val="tx1"/>
            </w14:solidFill>
          </w14:textFill>
        </w:rPr>
        <w:t>。</w:t>
      </w:r>
    </w:p>
    <w:p w14:paraId="5052DAC1">
      <w:pPr>
        <w:pStyle w:val="6"/>
        <w:rPr>
          <w:color w:val="000000" w:themeColor="text1"/>
          <w14:textFill>
            <w14:solidFill>
              <w14:schemeClr w14:val="tx1"/>
            </w14:solidFill>
          </w14:textFill>
        </w:rPr>
      </w:pPr>
      <w:r>
        <w:rPr>
          <w:color w:val="000000" w:themeColor="text1"/>
          <w14:textFill>
            <w14:solidFill>
              <w14:schemeClr w14:val="tx1"/>
            </w14:solidFill>
          </w14:textFill>
        </w:rPr>
        <w:t>船舶事故化学品泄漏及溢油泄漏量核算</w:t>
      </w:r>
    </w:p>
    <w:p w14:paraId="5B5CD9E2">
      <w:pPr>
        <w:ind w:firstLine="482"/>
        <w:rPr>
          <w:b/>
          <w:color w:val="000000" w:themeColor="text1"/>
          <w14:textFill>
            <w14:solidFill>
              <w14:schemeClr w14:val="tx1"/>
            </w14:solidFill>
          </w14:textFill>
        </w:rPr>
      </w:pPr>
      <w:r>
        <w:rPr>
          <w:b/>
          <w:color w:val="000000" w:themeColor="text1"/>
          <w14:textFill>
            <w14:solidFill>
              <w14:schemeClr w14:val="tx1"/>
            </w14:solidFill>
          </w14:textFill>
        </w:rPr>
        <w:t>一、</w:t>
      </w:r>
      <w:r>
        <w:rPr>
          <w:rFonts w:hint="eastAsia"/>
          <w:b/>
          <w:color w:val="000000" w:themeColor="text1"/>
          <w14:textFill>
            <w14:solidFill>
              <w14:schemeClr w14:val="tx1"/>
            </w14:solidFill>
          </w14:textFill>
        </w:rPr>
        <w:t>物质筛选</w:t>
      </w:r>
    </w:p>
    <w:p w14:paraId="0F75663F">
      <w:pPr>
        <w:ind w:firstLine="480"/>
        <w:rPr>
          <w:color w:val="000000" w:themeColor="text1"/>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w:instrText>
      </w:r>
      <w:r>
        <w:rPr>
          <w:rFonts w:hint="eastAsia"/>
          <w:color w:val="000000" w:themeColor="text1"/>
          <w14:textFill>
            <w14:solidFill>
              <w14:schemeClr w14:val="tx1"/>
            </w14:solidFill>
          </w14:textFill>
        </w:rPr>
        <w:instrText xml:space="preserve">= 1 \* GB3</w:instrText>
      </w:r>
      <w:r>
        <w:rPr>
          <w:color w:val="000000" w:themeColor="text1"/>
          <w14:textFill>
            <w14:solidFill>
              <w14:schemeClr w14:val="tx1"/>
            </w14:solidFill>
          </w14:textFill>
        </w:rPr>
        <w:instrText xml:space="preserve"> </w:instrText>
      </w:r>
      <w:r>
        <w:rPr>
          <w:color w:val="000000" w:themeColor="text1"/>
          <w14:textFill>
            <w14:solidFill>
              <w14:schemeClr w14:val="tx1"/>
            </w14:solidFill>
          </w14:textFill>
        </w:rPr>
        <w:fldChar w:fldCharType="separate"/>
      </w:r>
      <w:r>
        <w:rPr>
          <w:rFonts w:hint="eastAsia"/>
          <w:color w:val="000000" w:themeColor="text1"/>
          <w14:textFill>
            <w14:solidFill>
              <w14:schemeClr w14:val="tx1"/>
            </w14:solidFill>
          </w14:textFill>
        </w:rPr>
        <w:t>①</w:t>
      </w:r>
      <w:r>
        <w:rPr>
          <w:color w:val="000000" w:themeColor="text1"/>
          <w14:textFill>
            <w14:solidFill>
              <w14:schemeClr w14:val="tx1"/>
            </w14:solidFill>
          </w14:textFill>
        </w:rPr>
        <w:fldChar w:fldCharType="end"/>
      </w:r>
      <w:r>
        <w:rPr>
          <w:color w:val="000000" w:themeColor="text1"/>
          <w14:textFill>
            <w14:solidFill>
              <w14:schemeClr w14:val="tx1"/>
            </w14:solidFill>
          </w14:textFill>
        </w:rPr>
        <w:t>不溶性，密度&lt;1g/cm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液态危险货物，主要包括新增装卸危险货种裂解C9、棕榈酸化油、脂肪酸甲酯、脂肪酸混合物、工业级混合油、脂肪酸甲酯、纯生物柴油、航空煤油、苯乙烯、</w:t>
      </w:r>
      <w:r>
        <w:rPr>
          <w:rFonts w:hint="eastAsia"/>
          <w:color w:val="000000" w:themeColor="text1"/>
          <w14:textFill>
            <w14:solidFill>
              <w14:schemeClr w14:val="tx1"/>
            </w14:solidFill>
          </w14:textFill>
        </w:rPr>
        <w:t>燃料油等，不溶或微溶于水，且密度较小的物质。发生泄漏风险事故时，一旦危险货物进入水域内将漂浮在水面上，在水动力条件和风、浪的综合作用下扩散，对周围水域的影响程度和范围均较大。综合考虑物质毒性、泄漏量、转运量、油膜厚度，</w:t>
      </w:r>
      <w:r>
        <w:rPr>
          <w:rFonts w:hint="eastAsia" w:ascii="宋体" w:hAnsi="宋体"/>
          <w:color w:val="000000" w:themeColor="text1"/>
          <w14:textFill>
            <w14:solidFill>
              <w14:schemeClr w14:val="tx1"/>
            </w14:solidFill>
          </w14:textFill>
        </w:rPr>
        <w:t>燃料油及苯乙烯对海洋环境影响较大，故选择</w:t>
      </w:r>
      <w:r>
        <w:rPr>
          <w:color w:val="000000" w:themeColor="text1"/>
          <w14:textFill>
            <w14:solidFill>
              <w14:schemeClr w14:val="tx1"/>
            </w14:solidFill>
          </w14:textFill>
        </w:rPr>
        <w:t>纯生物柴油</w:t>
      </w:r>
      <w:r>
        <w:rPr>
          <w:rFonts w:hint="eastAsia" w:ascii="宋体" w:hAnsi="宋体"/>
          <w:color w:val="000000" w:themeColor="text1"/>
          <w14:textFill>
            <w14:solidFill>
              <w14:schemeClr w14:val="tx1"/>
            </w14:solidFill>
          </w14:textFill>
        </w:rPr>
        <w:t>及苯乙烯为代表物质进行预测评价。</w:t>
      </w:r>
    </w:p>
    <w:p w14:paraId="2CFB16FA">
      <w:pPr>
        <w:ind w:firstLine="480"/>
        <w:rPr>
          <w:color w:val="000000" w:themeColor="text1"/>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w:instrText>
      </w:r>
      <w:r>
        <w:rPr>
          <w:rFonts w:hint="eastAsia"/>
          <w:color w:val="000000" w:themeColor="text1"/>
          <w14:textFill>
            <w14:solidFill>
              <w14:schemeClr w14:val="tx1"/>
            </w14:solidFill>
          </w14:textFill>
        </w:rPr>
        <w:instrText xml:space="preserve">= 2 \* GB3</w:instrText>
      </w:r>
      <w:r>
        <w:rPr>
          <w:color w:val="000000" w:themeColor="text1"/>
          <w14:textFill>
            <w14:solidFill>
              <w14:schemeClr w14:val="tx1"/>
            </w14:solidFill>
          </w14:textFill>
        </w:rPr>
        <w:instrText xml:space="preserve"> </w:instrText>
      </w:r>
      <w:r>
        <w:rPr>
          <w:color w:val="000000" w:themeColor="text1"/>
          <w14:textFill>
            <w14:solidFill>
              <w14:schemeClr w14:val="tx1"/>
            </w14:solidFill>
          </w14:textFill>
        </w:rPr>
        <w:fldChar w:fldCharType="separate"/>
      </w:r>
      <w:r>
        <w:rPr>
          <w:rFonts w:hint="eastAsia"/>
          <w:color w:val="000000" w:themeColor="text1"/>
          <w14:textFill>
            <w14:solidFill>
              <w14:schemeClr w14:val="tx1"/>
            </w14:solidFill>
          </w14:textFill>
        </w:rPr>
        <w:t>②</w:t>
      </w:r>
      <w:r>
        <w:rPr>
          <w:color w:val="000000" w:themeColor="text1"/>
          <w14:textFill>
            <w14:solidFill>
              <w14:schemeClr w14:val="tx1"/>
            </w14:solidFill>
          </w14:textFill>
        </w:rPr>
        <w:fldChar w:fldCharType="end"/>
      </w:r>
      <w:r>
        <w:rPr>
          <w:rFonts w:hint="eastAsia"/>
          <w:color w:val="000000" w:themeColor="text1"/>
          <w14:textFill>
            <w14:solidFill>
              <w14:schemeClr w14:val="tx1"/>
            </w14:solidFill>
          </w14:textFill>
        </w:rPr>
        <w:t>可溶性液体危险物质，包括新增装卸危险货物液碱、发烟硫酸等物质，该类危险物质一旦发生泄漏事故，难以收集和处理，若发生大量泄漏入海事件将会给周围海域生态环境带来一定的污染损害。</w:t>
      </w:r>
    </w:p>
    <w:p w14:paraId="2B08926E">
      <w:pPr>
        <w:ind w:firstLine="480"/>
        <w:rPr>
          <w:color w:val="000000" w:themeColor="text1"/>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w:instrText>
      </w:r>
      <w:r>
        <w:rPr>
          <w:rFonts w:hint="eastAsia"/>
          <w:color w:val="000000" w:themeColor="text1"/>
          <w14:textFill>
            <w14:solidFill>
              <w14:schemeClr w14:val="tx1"/>
            </w14:solidFill>
          </w14:textFill>
        </w:rPr>
        <w:instrText xml:space="preserve">= 3 \* GB3</w:instrText>
      </w:r>
      <w:r>
        <w:rPr>
          <w:color w:val="000000" w:themeColor="text1"/>
          <w14:textFill>
            <w14:solidFill>
              <w14:schemeClr w14:val="tx1"/>
            </w14:solidFill>
          </w14:textFill>
        </w:rPr>
        <w:instrText xml:space="preserve"> </w:instrText>
      </w:r>
      <w:r>
        <w:rPr>
          <w:color w:val="000000" w:themeColor="text1"/>
          <w14:textFill>
            <w14:solidFill>
              <w14:schemeClr w14:val="tx1"/>
            </w14:solidFill>
          </w14:textFill>
        </w:rPr>
        <w:fldChar w:fldCharType="separate"/>
      </w:r>
      <w:r>
        <w:rPr>
          <w:rFonts w:hint="eastAsia"/>
          <w:color w:val="000000" w:themeColor="text1"/>
          <w14:textFill>
            <w14:solidFill>
              <w14:schemeClr w14:val="tx1"/>
            </w14:solidFill>
          </w14:textFill>
        </w:rPr>
        <w:t>③</w:t>
      </w:r>
      <w:r>
        <w:rPr>
          <w:color w:val="000000" w:themeColor="text1"/>
          <w14:textFill>
            <w14:solidFill>
              <w14:schemeClr w14:val="tx1"/>
            </w14:solidFill>
          </w14:textFill>
        </w:rPr>
        <w:fldChar w:fldCharType="end"/>
      </w:r>
      <w:r>
        <w:rPr>
          <w:rFonts w:hint="eastAsia"/>
          <w:color w:val="000000" w:themeColor="text1"/>
          <w14:textFill>
            <w14:solidFill>
              <w14:schemeClr w14:val="tx1"/>
            </w14:solidFill>
          </w14:textFill>
        </w:rPr>
        <w:t>液硫。常温下为固体，115°左右为液体，自燃点232°，空气中剧烈发烟生成硫酸雾，考虑到液硫燃点高，发生环境事故考虑小，生成二氧化硫后能进入水体生成硫酸体量小。故选择发烟硫酸作为预测风险物质。</w:t>
      </w:r>
    </w:p>
    <w:p w14:paraId="6B9C3683">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综上 ，综合考虑物质毒性、转运量和危害后果及化学性质，选择</w:t>
      </w:r>
      <w:r>
        <w:rPr>
          <w:color w:val="000000" w:themeColor="text1"/>
          <w14:textFill>
            <w14:solidFill>
              <w14:schemeClr w14:val="tx1"/>
            </w14:solidFill>
          </w14:textFill>
        </w:rPr>
        <w:t>纯生物柴油</w:t>
      </w:r>
      <w:r>
        <w:rPr>
          <w:rFonts w:hint="eastAsia"/>
          <w:color w:val="000000" w:themeColor="text1"/>
          <w14:textFill>
            <w14:solidFill>
              <w14:schemeClr w14:val="tx1"/>
            </w14:solidFill>
          </w14:textFill>
        </w:rPr>
        <w:t>、苯乙烯、液碱、发烟硫酸为环境风险代表性物质进行风险影响分析。</w:t>
      </w:r>
    </w:p>
    <w:p w14:paraId="151836D8">
      <w:pPr>
        <w:ind w:firstLine="482"/>
        <w:rPr>
          <w:b/>
          <w:color w:val="000000" w:themeColor="text1"/>
          <w14:textFill>
            <w14:solidFill>
              <w14:schemeClr w14:val="tx1"/>
            </w14:solidFill>
          </w14:textFill>
        </w:rPr>
      </w:pPr>
      <w:r>
        <w:rPr>
          <w:rFonts w:hint="eastAsia"/>
          <w:b/>
          <w:color w:val="000000" w:themeColor="text1"/>
          <w14:textFill>
            <w14:solidFill>
              <w14:schemeClr w14:val="tx1"/>
            </w14:solidFill>
          </w14:textFill>
        </w:rPr>
        <w:t>二</w:t>
      </w:r>
      <w:r>
        <w:rPr>
          <w:b/>
          <w:color w:val="000000" w:themeColor="text1"/>
          <w14:textFill>
            <w14:solidFill>
              <w14:schemeClr w14:val="tx1"/>
            </w14:solidFill>
          </w14:textFill>
        </w:rPr>
        <w:t>、源强核算</w:t>
      </w:r>
    </w:p>
    <w:p w14:paraId="53FC03CC">
      <w:pPr>
        <w:ind w:firstLine="480"/>
        <w:rPr>
          <w:color w:val="000000" w:themeColor="text1"/>
          <w:kern w:val="0"/>
          <w14:textFill>
            <w14:solidFill>
              <w14:schemeClr w14:val="tx1"/>
            </w14:solidFill>
          </w14:textFill>
        </w:rPr>
      </w:pPr>
      <w:r>
        <w:rPr>
          <w:color w:val="000000" w:themeColor="text1"/>
          <w:kern w:val="0"/>
          <w14:textFill>
            <w14:solidFill>
              <w14:schemeClr w14:val="tx1"/>
            </w14:solidFill>
          </w14:textFill>
        </w:rPr>
        <w:t>根据《水上溢油环境风险评估技术导则》（JT/T114-2017），新建水运工程建设项目的最大可信水上溢油事故溢油量，按照设计代表船型所载货油或船用燃料油全部</w:t>
      </w:r>
      <w:r>
        <w:rPr>
          <w:rFonts w:hint="eastAsia"/>
          <w:color w:val="000000" w:themeColor="text1"/>
          <w:kern w:val="0"/>
          <w14:textFill>
            <w14:solidFill>
              <w14:schemeClr w14:val="tx1"/>
            </w14:solidFill>
          </w14:textFill>
        </w:rPr>
        <w:t>泄漏</w:t>
      </w:r>
      <w:r>
        <w:rPr>
          <w:color w:val="000000" w:themeColor="text1"/>
          <w:kern w:val="0"/>
          <w14:textFill>
            <w14:solidFill>
              <w14:schemeClr w14:val="tx1"/>
            </w14:solidFill>
          </w14:textFill>
        </w:rPr>
        <w:t>的数量确定。</w:t>
      </w:r>
    </w:p>
    <w:p w14:paraId="292CC96E">
      <w:pPr>
        <w:ind w:firstLine="480"/>
        <w:rPr>
          <w:color w:val="000000" w:themeColor="text1"/>
          <w:kern w:val="0"/>
          <w14:textFill>
            <w14:solidFill>
              <w14:schemeClr w14:val="tx1"/>
            </w14:solidFill>
          </w14:textFill>
        </w:rPr>
      </w:pPr>
      <w:r>
        <w:rPr>
          <w:rFonts w:hint="eastAsia"/>
          <w:color w:val="000000" w:themeColor="text1"/>
          <w:kern w:val="0"/>
          <w14:textFill>
            <w14:solidFill>
              <w14:schemeClr w14:val="tx1"/>
            </w14:solidFill>
          </w14:textFill>
        </w:rPr>
        <w:t>根据项目设计方案，项目所在14号泊位最大到港船舶船型为50000吨级，苯乙烯</w:t>
      </w:r>
      <w:r>
        <w:rPr>
          <w:color w:val="000000" w:themeColor="text1"/>
          <w:kern w:val="0"/>
          <w14:textFill>
            <w14:solidFill>
              <w14:schemeClr w14:val="tx1"/>
            </w14:solidFill>
          </w14:textFill>
        </w:rPr>
        <w:t>最大船型为</w:t>
      </w:r>
      <w:r>
        <w:rPr>
          <w:rFonts w:hint="eastAsia"/>
          <w:color w:val="000000" w:themeColor="text1"/>
          <w:kern w:val="0"/>
          <w14:textFill>
            <w14:solidFill>
              <w14:schemeClr w14:val="tx1"/>
            </w14:solidFill>
          </w14:textFill>
        </w:rPr>
        <w:t>10000</w:t>
      </w:r>
      <w:r>
        <w:rPr>
          <w:color w:val="000000" w:themeColor="text1"/>
          <w:kern w:val="0"/>
          <w14:textFill>
            <w14:solidFill>
              <w14:schemeClr w14:val="tx1"/>
            </w14:solidFill>
          </w14:textFill>
        </w:rPr>
        <w:t>吨级，</w:t>
      </w:r>
      <w:r>
        <w:rPr>
          <w:rFonts w:hint="eastAsia"/>
          <w:color w:val="000000" w:themeColor="text1"/>
          <w:kern w:val="0"/>
          <w14:textFill>
            <w14:solidFill>
              <w14:schemeClr w14:val="tx1"/>
            </w14:solidFill>
          </w14:textFill>
        </w:rPr>
        <w:t>液碱、发烟硫酸</w:t>
      </w:r>
      <w:r>
        <w:rPr>
          <w:color w:val="000000" w:themeColor="text1"/>
          <w:kern w:val="0"/>
          <w14:textFill>
            <w14:solidFill>
              <w14:schemeClr w14:val="tx1"/>
            </w14:solidFill>
          </w14:textFill>
        </w:rPr>
        <w:t>最大船型为</w:t>
      </w:r>
      <w:r>
        <w:rPr>
          <w:rFonts w:hint="eastAsia"/>
          <w:color w:val="000000" w:themeColor="text1"/>
          <w:kern w:val="0"/>
          <w14:textFill>
            <w14:solidFill>
              <w14:schemeClr w14:val="tx1"/>
            </w14:solidFill>
          </w14:textFill>
        </w:rPr>
        <w:t>5000</w:t>
      </w:r>
      <w:r>
        <w:rPr>
          <w:color w:val="000000" w:themeColor="text1"/>
          <w:kern w:val="0"/>
          <w14:textFill>
            <w14:solidFill>
              <w14:schemeClr w14:val="tx1"/>
            </w14:solidFill>
          </w14:textFill>
        </w:rPr>
        <w:t>吨级</w:t>
      </w:r>
      <w:r>
        <w:rPr>
          <w:rFonts w:hint="eastAsia"/>
          <w:color w:val="000000" w:themeColor="text1"/>
          <w:kern w:val="0"/>
          <w14:textFill>
            <w14:solidFill>
              <w14:schemeClr w14:val="tx1"/>
            </w14:solidFill>
          </w14:textFill>
        </w:rPr>
        <w:t>。码头现场一次只能停靠一艘船。</w:t>
      </w:r>
    </w:p>
    <w:p w14:paraId="020531A5">
      <w:pPr>
        <w:ind w:firstLine="480"/>
        <w:rPr>
          <w:color w:val="000000" w:themeColor="text1"/>
          <w14:textFill>
            <w14:solidFill>
              <w14:schemeClr w14:val="tx1"/>
            </w14:solidFill>
          </w14:textFill>
        </w:rPr>
      </w:pPr>
      <w:r>
        <w:rPr>
          <w:color w:val="000000" w:themeColor="text1"/>
          <w14:textFill>
            <w14:solidFill>
              <w14:schemeClr w14:val="tx1"/>
            </w14:solidFill>
          </w14:textFill>
        </w:rPr>
        <w:t>1、溢油事故源强</w:t>
      </w:r>
    </w:p>
    <w:p w14:paraId="2850BF08">
      <w:pPr>
        <w:ind w:firstLine="480"/>
        <w:rPr>
          <w:color w:val="000000" w:themeColor="text1"/>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 1 \* GB3 </w:instrText>
      </w:r>
      <w:r>
        <w:rPr>
          <w:color w:val="000000" w:themeColor="text1"/>
          <w14:textFill>
            <w14:solidFill>
              <w14:schemeClr w14:val="tx1"/>
            </w14:solidFill>
          </w14:textFill>
        </w:rPr>
        <w:fldChar w:fldCharType="separate"/>
      </w:r>
      <w:r>
        <w:rPr>
          <w:rFonts w:hint="eastAsia" w:ascii="宋体" w:hAnsi="宋体" w:cs="宋体"/>
          <w:color w:val="000000" w:themeColor="text1"/>
          <w14:textFill>
            <w14:solidFill>
              <w14:schemeClr w14:val="tx1"/>
            </w14:solidFill>
          </w14:textFill>
        </w:rPr>
        <w:t>①</w:t>
      </w:r>
      <w:r>
        <w:rPr>
          <w:color w:val="000000" w:themeColor="text1"/>
          <w14:textFill>
            <w14:solidFill>
              <w14:schemeClr w14:val="tx1"/>
            </w14:solidFill>
          </w14:textFill>
        </w:rPr>
        <w:fldChar w:fldCharType="end"/>
      </w:r>
      <w:r>
        <w:rPr>
          <w:color w:val="000000" w:themeColor="text1"/>
          <w14:textFill>
            <w14:solidFill>
              <w14:schemeClr w14:val="tx1"/>
            </w14:solidFill>
          </w14:textFill>
        </w:rPr>
        <w:t>最大可信水上溢油事故溢油量</w:t>
      </w:r>
    </w:p>
    <w:p w14:paraId="65ECE389">
      <w:pPr>
        <w:ind w:firstLine="480"/>
        <w:rPr>
          <w:color w:val="000000" w:themeColor="text1"/>
          <w:kern w:val="0"/>
          <w14:textFill>
            <w14:solidFill>
              <w14:schemeClr w14:val="tx1"/>
            </w14:solidFill>
          </w14:textFill>
        </w:rPr>
      </w:pPr>
      <w:r>
        <w:rPr>
          <w:color w:val="000000" w:themeColor="text1"/>
          <w:kern w:val="0"/>
          <w14:textFill>
            <w14:solidFill>
              <w14:schemeClr w14:val="tx1"/>
            </w14:solidFill>
          </w14:textFill>
        </w:rPr>
        <w:t>参考《水上溢油环境风险评估技术导则》（JT/T114-2017）表C.6中</w:t>
      </w:r>
      <w:r>
        <w:rPr>
          <w:rFonts w:hint="eastAsia"/>
          <w:color w:val="000000" w:themeColor="text1"/>
          <w:kern w:val="0"/>
          <w14:textFill>
            <w14:solidFill>
              <w14:schemeClr w14:val="tx1"/>
            </w14:solidFill>
          </w14:textFill>
        </w:rPr>
        <w:t>30000</w:t>
      </w:r>
      <w:r>
        <w:rPr>
          <w:rFonts w:hint="eastAsia" w:ascii="宋体" w:hAnsi="宋体"/>
          <w:color w:val="000000" w:themeColor="text1"/>
          <w:kern w:val="0"/>
          <w14:textFill>
            <w14:solidFill>
              <w14:schemeClr w14:val="tx1"/>
            </w14:solidFill>
          </w14:textFill>
        </w:rPr>
        <w:t>～</w:t>
      </w:r>
      <w:r>
        <w:rPr>
          <w:color w:val="000000" w:themeColor="text1"/>
          <w:kern w:val="0"/>
          <w14:textFill>
            <w14:solidFill>
              <w14:schemeClr w14:val="tx1"/>
            </w14:solidFill>
          </w14:textFill>
        </w:rPr>
        <w:t>50000吨级燃油总舱容为1464~3660m</w:t>
      </w:r>
      <w:r>
        <w:rPr>
          <w:color w:val="000000" w:themeColor="text1"/>
          <w:kern w:val="0"/>
          <w:vertAlign w:val="superscript"/>
          <w14:textFill>
            <w14:solidFill>
              <w14:schemeClr w14:val="tx1"/>
            </w14:solidFill>
          </w14:textFill>
        </w:rPr>
        <w:t>3</w:t>
      </w:r>
      <w:r>
        <w:rPr>
          <w:color w:val="000000" w:themeColor="text1"/>
          <w:kern w:val="0"/>
          <w14:textFill>
            <w14:solidFill>
              <w14:schemeClr w14:val="tx1"/>
            </w14:solidFill>
          </w14:textFill>
        </w:rPr>
        <w:t>（本次评价取3600m</w:t>
      </w:r>
      <w:r>
        <w:rPr>
          <w:color w:val="000000" w:themeColor="text1"/>
          <w:kern w:val="0"/>
          <w:vertAlign w:val="superscript"/>
          <w14:textFill>
            <w14:solidFill>
              <w14:schemeClr w14:val="tx1"/>
            </w14:solidFill>
          </w14:textFill>
        </w:rPr>
        <w:t>3</w:t>
      </w:r>
      <w:r>
        <w:rPr>
          <w:color w:val="000000" w:themeColor="text1"/>
          <w:kern w:val="0"/>
          <w14:textFill>
            <w14:solidFill>
              <w14:schemeClr w14:val="tx1"/>
            </w14:solidFill>
          </w14:textFill>
        </w:rPr>
        <w:t>）。根据港区同类码头营运经验，船舶到港时燃油实载率约为30%~50%（本次评价以40%</w:t>
      </w:r>
      <w:r>
        <w:rPr>
          <w:rFonts w:hint="eastAsia"/>
          <w:color w:val="000000" w:themeColor="text1"/>
          <w:kern w:val="0"/>
          <w14:textFill>
            <w14:solidFill>
              <w14:schemeClr w14:val="tx1"/>
            </w14:solidFill>
          </w14:textFill>
        </w:rPr>
        <w:t>计</w:t>
      </w:r>
      <w:r>
        <w:rPr>
          <w:color w:val="000000" w:themeColor="text1"/>
          <w:kern w:val="0"/>
          <w14:textFill>
            <w14:solidFill>
              <w14:schemeClr w14:val="tx1"/>
            </w14:solidFill>
          </w14:textFill>
        </w:rPr>
        <w:t>），则到港船舶燃油载油量为1195.2t（</w:t>
      </w:r>
      <w:r>
        <w:rPr>
          <w:color w:val="000000" w:themeColor="text1"/>
          <w14:textFill>
            <w14:solidFill>
              <w14:schemeClr w14:val="tx1"/>
            </w14:solidFill>
          </w14:textFill>
        </w:rPr>
        <w:t>油</w:t>
      </w:r>
      <w:r>
        <w:rPr>
          <w:color w:val="000000" w:themeColor="text1"/>
          <w:kern w:val="0"/>
          <w14:textFill>
            <w14:solidFill>
              <w14:schemeClr w14:val="tx1"/>
            </w14:solidFill>
          </w14:textFill>
        </w:rPr>
        <w:t>密度取0.83t/ m</w:t>
      </w:r>
      <w:r>
        <w:rPr>
          <w:color w:val="000000" w:themeColor="text1"/>
          <w:kern w:val="0"/>
          <w:vertAlign w:val="superscript"/>
          <w14:textFill>
            <w14:solidFill>
              <w14:schemeClr w14:val="tx1"/>
            </w14:solidFill>
          </w14:textFill>
        </w:rPr>
        <w:t>3</w:t>
      </w:r>
      <w:r>
        <w:rPr>
          <w:color w:val="000000" w:themeColor="text1"/>
          <w:kern w:val="0"/>
          <w14:textFill>
            <w14:solidFill>
              <w14:schemeClr w14:val="tx1"/>
            </w14:solidFill>
          </w14:textFill>
        </w:rPr>
        <w:t>）。</w:t>
      </w:r>
    </w:p>
    <w:p w14:paraId="35CBB93F">
      <w:pPr>
        <w:ind w:firstLine="480"/>
        <w:rPr>
          <w:color w:val="000000" w:themeColor="text1"/>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 2 \* GB3 </w:instrText>
      </w:r>
      <w:r>
        <w:rPr>
          <w:color w:val="000000" w:themeColor="text1"/>
          <w14:textFill>
            <w14:solidFill>
              <w14:schemeClr w14:val="tx1"/>
            </w14:solidFill>
          </w14:textFill>
        </w:rPr>
        <w:fldChar w:fldCharType="separate"/>
      </w:r>
      <w:r>
        <w:rPr>
          <w:rFonts w:hint="eastAsia" w:ascii="宋体" w:hAnsi="宋体" w:cs="宋体"/>
          <w:color w:val="000000" w:themeColor="text1"/>
          <w14:textFill>
            <w14:solidFill>
              <w14:schemeClr w14:val="tx1"/>
            </w14:solidFill>
          </w14:textFill>
        </w:rPr>
        <w:t>②</w:t>
      </w:r>
      <w:r>
        <w:rPr>
          <w:color w:val="000000" w:themeColor="text1"/>
          <w14:textFill>
            <w14:solidFill>
              <w14:schemeClr w14:val="tx1"/>
            </w14:solidFill>
          </w14:textFill>
        </w:rPr>
        <w:fldChar w:fldCharType="end"/>
      </w:r>
      <w:r>
        <w:rPr>
          <w:color w:val="000000" w:themeColor="text1"/>
          <w14:textFill>
            <w14:solidFill>
              <w14:schemeClr w14:val="tx1"/>
            </w14:solidFill>
          </w14:textFill>
        </w:rPr>
        <w:t>最大水上溢油事故溢油量</w:t>
      </w:r>
    </w:p>
    <w:p w14:paraId="6DCD1770">
      <w:pPr>
        <w:ind w:firstLine="480"/>
        <w:rPr>
          <w:color w:val="000000" w:themeColor="text1"/>
          <w14:textFill>
            <w14:solidFill>
              <w14:schemeClr w14:val="tx1"/>
            </w14:solidFill>
          </w14:textFill>
        </w:rPr>
      </w:pPr>
      <w:r>
        <w:rPr>
          <w:color w:val="000000" w:themeColor="text1"/>
          <w14:textFill>
            <w14:solidFill>
              <w14:schemeClr w14:val="tx1"/>
            </w14:solidFill>
          </w14:textFill>
        </w:rPr>
        <w:t>最大水上溢油事故溢油量，按照设计代表船型的1个货油边仓或燃料油边仓的容积确定。参考《水上溢油环境风险评估技术导则》（JT/T114-2017）表C.6中</w:t>
      </w:r>
      <w:r>
        <w:rPr>
          <w:rFonts w:hint="eastAsia"/>
          <w:color w:val="000000" w:themeColor="text1"/>
          <w14:textFill>
            <w14:solidFill>
              <w14:schemeClr w14:val="tx1"/>
            </w14:solidFill>
          </w14:textFill>
        </w:rPr>
        <w:t>30000</w:t>
      </w:r>
      <w:r>
        <w:rPr>
          <w:rFonts w:hint="eastAsia" w:ascii="宋体" w:hAnsi="宋体"/>
          <w:color w:val="000000" w:themeColor="text1"/>
          <w14:textFill>
            <w14:solidFill>
              <w14:schemeClr w14:val="tx1"/>
            </w14:solidFill>
          </w14:textFill>
        </w:rPr>
        <w:t>～</w:t>
      </w:r>
      <w:r>
        <w:rPr>
          <w:color w:val="000000" w:themeColor="text1"/>
          <w14:textFill>
            <w14:solidFill>
              <w14:schemeClr w14:val="tx1"/>
            </w14:solidFill>
          </w14:textFill>
        </w:rPr>
        <w:t>50000吨级单个舱容为146~488m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（本次评价取488m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），约合405.04t（油密度取0.83t/ 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w:t>
      </w:r>
    </w:p>
    <w:p w14:paraId="72F733A0">
      <w:pPr>
        <w:ind w:firstLine="480"/>
        <w:rPr>
          <w:color w:val="000000" w:themeColor="text1"/>
          <w14:textFill>
            <w14:solidFill>
              <w14:schemeClr w14:val="tx1"/>
            </w14:solidFill>
          </w14:textFill>
        </w:rPr>
      </w:pPr>
      <w:r>
        <w:rPr>
          <w:color w:val="000000" w:themeColor="text1"/>
          <w14:textFill>
            <w14:solidFill>
              <w14:schemeClr w14:val="tx1"/>
            </w14:solidFill>
          </w14:textFill>
        </w:rPr>
        <w:t>2、化学品泄漏事故源强</w:t>
      </w:r>
    </w:p>
    <w:p w14:paraId="187AD971">
      <w:pPr>
        <w:ind w:firstLine="480"/>
        <w:rPr>
          <w:color w:val="000000" w:themeColor="text1"/>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 1 \* GB3 </w:instrText>
      </w:r>
      <w:r>
        <w:rPr>
          <w:color w:val="000000" w:themeColor="text1"/>
          <w14:textFill>
            <w14:solidFill>
              <w14:schemeClr w14:val="tx1"/>
            </w14:solidFill>
          </w14:textFill>
        </w:rPr>
        <w:fldChar w:fldCharType="separate"/>
      </w:r>
      <w:r>
        <w:rPr>
          <w:rFonts w:hint="eastAsia" w:ascii="宋体" w:hAnsi="宋体" w:cs="宋体"/>
          <w:color w:val="000000" w:themeColor="text1"/>
          <w14:textFill>
            <w14:solidFill>
              <w14:schemeClr w14:val="tx1"/>
            </w14:solidFill>
          </w14:textFill>
        </w:rPr>
        <w:t>①</w:t>
      </w:r>
      <w:r>
        <w:rPr>
          <w:color w:val="000000" w:themeColor="text1"/>
          <w14:textFill>
            <w14:solidFill>
              <w14:schemeClr w14:val="tx1"/>
            </w14:solidFill>
          </w14:textFill>
        </w:rPr>
        <w:fldChar w:fldCharType="end"/>
      </w:r>
      <w:r>
        <w:rPr>
          <w:color w:val="000000" w:themeColor="text1"/>
          <w14:textFill>
            <w14:solidFill>
              <w14:schemeClr w14:val="tx1"/>
            </w14:solidFill>
          </w14:textFill>
        </w:rPr>
        <w:t>最大可信化学品泄漏量</w:t>
      </w:r>
    </w:p>
    <w:p w14:paraId="45A7FCBD">
      <w:pPr>
        <w:ind w:firstLine="480"/>
        <w:rPr>
          <w:color w:val="000000" w:themeColor="text1"/>
          <w14:textFill>
            <w14:solidFill>
              <w14:schemeClr w14:val="tx1"/>
            </w14:solidFill>
          </w14:textFill>
        </w:rPr>
      </w:pPr>
      <w:r>
        <w:rPr>
          <w:color w:val="000000" w:themeColor="text1"/>
          <w14:textFill>
            <w14:solidFill>
              <w14:schemeClr w14:val="tx1"/>
            </w14:solidFill>
          </w14:textFill>
        </w:rPr>
        <w:t>本次评价参照《水上溢油环境风险评估技术导则》（JT/T114-2017）估算本次项目化学品泄漏事故泄漏量。</w:t>
      </w:r>
    </w:p>
    <w:p w14:paraId="3E88EE7D">
      <w:pPr>
        <w:ind w:firstLine="480"/>
        <w:rPr>
          <w:color w:val="000000" w:themeColor="text1"/>
          <w14:textFill>
            <w14:solidFill>
              <w14:schemeClr w14:val="tx1"/>
            </w14:solidFill>
          </w14:textFill>
        </w:rPr>
      </w:pPr>
      <w:r>
        <w:rPr>
          <w:color w:val="000000" w:themeColor="text1"/>
          <w14:textFill>
            <w14:solidFill>
              <w14:schemeClr w14:val="tx1"/>
            </w14:solidFill>
          </w14:textFill>
        </w:rPr>
        <w:t>根据项目设计情况，本项目最大可信水上泄漏事故为</w:t>
      </w:r>
      <w:r>
        <w:rPr>
          <w:rFonts w:hint="eastAsia"/>
          <w:color w:val="000000" w:themeColor="text1"/>
          <w14:textFill>
            <w14:solidFill>
              <w14:schemeClr w14:val="tx1"/>
            </w14:solidFill>
          </w14:textFill>
        </w:rPr>
        <w:t>10000</w:t>
      </w:r>
      <w:r>
        <w:rPr>
          <w:color w:val="000000" w:themeColor="text1"/>
          <w14:textFill>
            <w14:solidFill>
              <w14:schemeClr w14:val="tx1"/>
            </w14:solidFill>
          </w14:textFill>
        </w:rPr>
        <w:t>吨级化学品船发生事故导致化学品泄漏，最大可信泄漏量为</w:t>
      </w:r>
      <w:r>
        <w:rPr>
          <w:rFonts w:hint="eastAsia"/>
          <w:color w:val="000000" w:themeColor="text1"/>
          <w14:textFill>
            <w14:solidFill>
              <w14:schemeClr w14:val="tx1"/>
            </w14:solidFill>
          </w14:textFill>
        </w:rPr>
        <w:t>10000</w:t>
      </w:r>
      <w:r>
        <w:rPr>
          <w:color w:val="000000" w:themeColor="text1"/>
          <w14:textFill>
            <w14:solidFill>
              <w14:schemeClr w14:val="tx1"/>
            </w14:solidFill>
          </w14:textFill>
        </w:rPr>
        <w:t>t。</w:t>
      </w:r>
    </w:p>
    <w:p w14:paraId="6B649281">
      <w:pPr>
        <w:ind w:firstLine="480"/>
        <w:rPr>
          <w:color w:val="000000" w:themeColor="text1"/>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 2 \* GB3 </w:instrText>
      </w:r>
      <w:r>
        <w:rPr>
          <w:color w:val="000000" w:themeColor="text1"/>
          <w14:textFill>
            <w14:solidFill>
              <w14:schemeClr w14:val="tx1"/>
            </w14:solidFill>
          </w14:textFill>
        </w:rPr>
        <w:fldChar w:fldCharType="separate"/>
      </w:r>
      <w:r>
        <w:rPr>
          <w:rFonts w:hint="eastAsia" w:ascii="宋体" w:hAnsi="宋体" w:cs="宋体"/>
          <w:color w:val="000000" w:themeColor="text1"/>
          <w14:textFill>
            <w14:solidFill>
              <w14:schemeClr w14:val="tx1"/>
            </w14:solidFill>
          </w14:textFill>
        </w:rPr>
        <w:t>②</w:t>
      </w:r>
      <w:r>
        <w:rPr>
          <w:color w:val="000000" w:themeColor="text1"/>
          <w14:textFill>
            <w14:solidFill>
              <w14:schemeClr w14:val="tx1"/>
            </w14:solidFill>
          </w14:textFill>
        </w:rPr>
        <w:fldChar w:fldCharType="end"/>
      </w:r>
      <w:r>
        <w:rPr>
          <w:color w:val="000000" w:themeColor="text1"/>
          <w14:textFill>
            <w14:solidFill>
              <w14:schemeClr w14:val="tx1"/>
            </w14:solidFill>
          </w14:textFill>
        </w:rPr>
        <w:t>最大可能化学品泄漏量</w:t>
      </w:r>
    </w:p>
    <w:p w14:paraId="4E062CEB">
      <w:pPr>
        <w:ind w:firstLine="480"/>
        <w:rPr>
          <w:color w:val="000000" w:themeColor="text1"/>
          <w14:textFill>
            <w14:solidFill>
              <w14:schemeClr w14:val="tx1"/>
            </w14:solidFill>
          </w14:textFill>
        </w:rPr>
      </w:pPr>
      <w:r>
        <w:rPr>
          <w:color w:val="000000" w:themeColor="text1"/>
          <w14:textFill>
            <w14:solidFill>
              <w14:schemeClr w14:val="tx1"/>
            </w14:solidFill>
          </w14:textFill>
        </w:rPr>
        <w:t>参考《水上溢油环境风险评估技术导则》（JT/T114-2017）表C.</w:t>
      </w:r>
      <w:r>
        <w:rPr>
          <w:rFonts w:hint="eastAsia"/>
          <w:color w:val="000000" w:themeColor="text1"/>
          <w14:textFill>
            <w14:solidFill>
              <w14:schemeClr w14:val="tx1"/>
            </w14:solidFill>
          </w14:textFill>
        </w:rPr>
        <w:t>1</w:t>
      </w:r>
      <w:r>
        <w:rPr>
          <w:color w:val="000000" w:themeColor="text1"/>
          <w14:textFill>
            <w14:solidFill>
              <w14:schemeClr w14:val="tx1"/>
            </w14:solidFill>
          </w14:textFill>
        </w:rPr>
        <w:t>中</w:t>
      </w:r>
      <w:r>
        <w:rPr>
          <w:rFonts w:hint="eastAsia"/>
          <w:color w:val="000000" w:themeColor="text1"/>
          <w14:textFill>
            <w14:solidFill>
              <w14:schemeClr w14:val="tx1"/>
            </w14:solidFill>
          </w14:textFill>
        </w:rPr>
        <w:t>5000</w:t>
      </w:r>
      <w:r>
        <w:rPr>
          <w:rFonts w:hint="eastAsia" w:ascii="宋体" w:hAnsi="宋体"/>
          <w:color w:val="000000" w:themeColor="text1"/>
          <w14:textFill>
            <w14:solidFill>
              <w14:schemeClr w14:val="tx1"/>
            </w14:solidFill>
          </w14:textFill>
        </w:rPr>
        <w:t>～</w:t>
      </w:r>
      <w:r>
        <w:rPr>
          <w:rFonts w:hint="eastAsia"/>
          <w:color w:val="000000" w:themeColor="text1"/>
          <w14:textFill>
            <w14:solidFill>
              <w14:schemeClr w14:val="tx1"/>
            </w14:solidFill>
          </w14:textFill>
        </w:rPr>
        <w:t>1</w:t>
      </w:r>
      <w:r>
        <w:rPr>
          <w:color w:val="000000" w:themeColor="text1"/>
          <w14:textFill>
            <w14:solidFill>
              <w14:schemeClr w14:val="tx1"/>
            </w14:solidFill>
          </w14:textFill>
        </w:rPr>
        <w:t>0000吨级单个舱容取</w:t>
      </w:r>
      <w:r>
        <w:rPr>
          <w:rFonts w:hint="eastAsia"/>
          <w:color w:val="000000" w:themeColor="text1"/>
          <w14:textFill>
            <w14:solidFill>
              <w14:schemeClr w14:val="tx1"/>
            </w14:solidFill>
          </w14:textFill>
        </w:rPr>
        <w:t>425</w:t>
      </w:r>
      <w:r>
        <w:rPr>
          <w:rFonts w:hint="eastAsia" w:ascii="宋体" w:hAnsi="宋体"/>
          <w:color w:val="000000" w:themeColor="text1"/>
          <w14:textFill>
            <w14:solidFill>
              <w14:schemeClr w14:val="tx1"/>
            </w14:solidFill>
          </w14:textFill>
        </w:rPr>
        <w:t>～</w:t>
      </w:r>
      <w:r>
        <w:rPr>
          <w:rFonts w:hint="eastAsia"/>
          <w:color w:val="000000" w:themeColor="text1"/>
          <w14:textFill>
            <w14:solidFill>
              <w14:schemeClr w14:val="tx1"/>
            </w14:solidFill>
          </w14:textFill>
        </w:rPr>
        <w:t>1063</w:t>
      </w:r>
      <w:r>
        <w:rPr>
          <w:color w:val="000000" w:themeColor="text1"/>
          <w14:textFill>
            <w14:solidFill>
              <w14:schemeClr w14:val="tx1"/>
            </w14:solidFill>
          </w14:textFill>
        </w:rPr>
        <w:t>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，可能最大水上泄漏量为1个货油边舱全部</w:t>
      </w:r>
      <w:r>
        <w:rPr>
          <w:rFonts w:hint="eastAsia"/>
          <w:color w:val="000000" w:themeColor="text1"/>
          <w14:textFill>
            <w14:solidFill>
              <w14:schemeClr w14:val="tx1"/>
            </w14:solidFill>
          </w14:textFill>
        </w:rPr>
        <w:t>泄漏。</w:t>
      </w:r>
      <w:r>
        <w:rPr>
          <w:color w:val="000000" w:themeColor="text1"/>
          <w14:textFill>
            <w14:solidFill>
              <w14:schemeClr w14:val="tx1"/>
            </w14:solidFill>
          </w14:textFill>
        </w:rPr>
        <w:t>本次选</w:t>
      </w:r>
      <w:r>
        <w:rPr>
          <w:rFonts w:hint="eastAsia"/>
          <w:color w:val="000000" w:themeColor="text1"/>
          <w14:textFill>
            <w14:solidFill>
              <w14:schemeClr w14:val="tx1"/>
            </w14:solidFill>
          </w14:textFill>
        </w:rPr>
        <w:t>取的</w:t>
      </w:r>
      <w:r>
        <w:rPr>
          <w:rFonts w:hint="eastAsia"/>
          <w:color w:val="000000" w:themeColor="text1"/>
          <w:kern w:val="0"/>
          <w14:textFill>
            <w14:solidFill>
              <w14:schemeClr w14:val="tx1"/>
            </w14:solidFill>
          </w14:textFill>
        </w:rPr>
        <w:t>苯乙烯最大船型为10000吨级，液碱、发烟硫酸最大船型为5000吨级，</w:t>
      </w:r>
      <w:r>
        <w:rPr>
          <w:color w:val="000000" w:themeColor="text1"/>
          <w14:textFill>
            <w14:solidFill>
              <w14:schemeClr w14:val="tx1"/>
            </w14:solidFill>
          </w14:textFill>
        </w:rPr>
        <w:t>根据各物质密度见下表。</w:t>
      </w:r>
    </w:p>
    <w:p w14:paraId="097803FF">
      <w:pPr>
        <w:pStyle w:val="7"/>
        <w:rPr>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 燃料油</w:t>
      </w:r>
      <w:r>
        <w:rPr>
          <w:color w:val="000000" w:themeColor="text1"/>
          <w14:textFill>
            <w14:solidFill>
              <w14:schemeClr w14:val="tx1"/>
            </w14:solidFill>
          </w14:textFill>
        </w:rPr>
        <w:t>、化学物质</w:t>
      </w:r>
      <w:r>
        <w:rPr>
          <w:rFonts w:hint="eastAsia"/>
          <w:color w:val="000000" w:themeColor="text1"/>
          <w14:textFill>
            <w14:solidFill>
              <w14:schemeClr w14:val="tx1"/>
            </w14:solidFill>
          </w14:textFill>
        </w:rPr>
        <w:t>泄漏</w:t>
      </w:r>
      <w:r>
        <w:rPr>
          <w:color w:val="000000" w:themeColor="text1"/>
          <w14:textFill>
            <w14:solidFill>
              <w14:schemeClr w14:val="tx1"/>
            </w14:solidFill>
          </w14:textFill>
        </w:rPr>
        <w:t>事故源强汇总结果</w:t>
      </w:r>
    </w:p>
    <w:tbl>
      <w:tblPr>
        <w:tblStyle w:val="129"/>
        <w:tblW w:w="5008"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0" w:type="dxa"/>
          <w:bottom w:w="0" w:type="dxa"/>
          <w:right w:w="0" w:type="dxa"/>
        </w:tblCellMar>
      </w:tblPr>
      <w:tblGrid>
        <w:gridCol w:w="2965"/>
        <w:gridCol w:w="2490"/>
        <w:gridCol w:w="2894"/>
      </w:tblGrid>
      <w:tr w14:paraId="34CE265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86" w:hRule="atLeast"/>
          <w:jc w:val="center"/>
        </w:trPr>
        <w:tc>
          <w:tcPr>
            <w:tcW w:w="1776" w:type="pct"/>
            <w:vAlign w:val="center"/>
          </w:tcPr>
          <w:p w14:paraId="5CD6D8E6">
            <w:pPr>
              <w:spacing w:line="240" w:lineRule="auto"/>
              <w:ind w:firstLine="0" w:firstLineChars="0"/>
              <w:jc w:val="center"/>
              <w:rPr>
                <w:b/>
                <w:color w:val="000000" w:themeColor="text1"/>
                <w:kern w:val="0"/>
                <w:sz w:val="21"/>
                <w:szCs w:val="21"/>
                <w14:textFill>
                  <w14:solidFill>
                    <w14:schemeClr w14:val="tx1"/>
                  </w14:solidFill>
                </w14:textFill>
              </w:rPr>
            </w:pPr>
            <w:r>
              <w:rPr>
                <w:b/>
                <w:color w:val="000000" w:themeColor="text1"/>
                <w:kern w:val="0"/>
                <w:sz w:val="21"/>
                <w:szCs w:val="21"/>
                <w14:textFill>
                  <w14:solidFill>
                    <w14:schemeClr w14:val="tx1"/>
                  </w14:solidFill>
                </w14:textFill>
              </w:rPr>
              <w:t>泄漏物质</w:t>
            </w:r>
          </w:p>
        </w:tc>
        <w:tc>
          <w:tcPr>
            <w:tcW w:w="1491" w:type="pct"/>
            <w:vAlign w:val="center"/>
          </w:tcPr>
          <w:p w14:paraId="1A09775B">
            <w:pPr>
              <w:spacing w:line="240" w:lineRule="auto"/>
              <w:ind w:firstLine="0" w:firstLineChars="0"/>
              <w:jc w:val="center"/>
              <w:rPr>
                <w:b/>
                <w:color w:val="000000" w:themeColor="text1"/>
                <w:kern w:val="0"/>
                <w:sz w:val="21"/>
                <w:szCs w:val="21"/>
                <w14:textFill>
                  <w14:solidFill>
                    <w14:schemeClr w14:val="tx1"/>
                  </w14:solidFill>
                </w14:textFill>
              </w:rPr>
            </w:pPr>
            <w:r>
              <w:rPr>
                <w:b/>
                <w:color w:val="000000" w:themeColor="text1"/>
                <w:kern w:val="0"/>
                <w:sz w:val="21"/>
                <w:szCs w:val="21"/>
                <w14:textFill>
                  <w14:solidFill>
                    <w14:schemeClr w14:val="tx1"/>
                  </w14:solidFill>
                </w14:textFill>
              </w:rPr>
              <w:t>最大可信事故泄漏量（t）</w:t>
            </w:r>
          </w:p>
        </w:tc>
        <w:tc>
          <w:tcPr>
            <w:tcW w:w="1733" w:type="pct"/>
            <w:vAlign w:val="center"/>
          </w:tcPr>
          <w:p w14:paraId="103AC6B6">
            <w:pPr>
              <w:spacing w:line="240" w:lineRule="auto"/>
              <w:ind w:firstLine="0" w:firstLineChars="0"/>
              <w:jc w:val="center"/>
              <w:rPr>
                <w:b/>
                <w:color w:val="000000" w:themeColor="text1"/>
                <w:kern w:val="0"/>
                <w:sz w:val="21"/>
                <w:szCs w:val="21"/>
                <w14:textFill>
                  <w14:solidFill>
                    <w14:schemeClr w14:val="tx1"/>
                  </w14:solidFill>
                </w14:textFill>
              </w:rPr>
            </w:pPr>
            <w:r>
              <w:rPr>
                <w:b/>
                <w:color w:val="000000" w:themeColor="text1"/>
                <w:kern w:val="0"/>
                <w:sz w:val="21"/>
                <w:szCs w:val="21"/>
                <w14:textFill>
                  <w14:solidFill>
                    <w14:schemeClr w14:val="tx1"/>
                  </w14:solidFill>
                </w14:textFill>
              </w:rPr>
              <w:t>可能最大事故泄漏量（t）</w:t>
            </w:r>
          </w:p>
        </w:tc>
      </w:tr>
      <w:tr w14:paraId="1532522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64" w:hRule="atLeast"/>
          <w:jc w:val="center"/>
        </w:trPr>
        <w:tc>
          <w:tcPr>
            <w:tcW w:w="1776" w:type="pct"/>
            <w:vAlign w:val="center"/>
          </w:tcPr>
          <w:p w14:paraId="4837F4F5">
            <w:pPr>
              <w:spacing w:line="240" w:lineRule="auto"/>
              <w:ind w:firstLine="0" w:firstLineChars="0"/>
              <w:jc w:val="center"/>
              <w:rPr>
                <w:color w:val="000000" w:themeColor="text1"/>
                <w14:textFill>
                  <w14:solidFill>
                    <w14:schemeClr w14:val="tx1"/>
                  </w14:solidFill>
                </w14:textFill>
              </w:rPr>
            </w:pPr>
            <w:r>
              <w:rPr>
                <w:rFonts w:hint="eastAsia"/>
                <w:color w:val="000000" w:themeColor="text1"/>
                <w:kern w:val="0"/>
                <w:sz w:val="21"/>
                <w:szCs w:val="21"/>
                <w14:textFill>
                  <w14:solidFill>
                    <w14:schemeClr w14:val="tx1"/>
                  </w14:solidFill>
                </w14:textFill>
              </w:rPr>
              <w:t>纯生物柴油（10000吨级）</w:t>
            </w:r>
          </w:p>
        </w:tc>
        <w:tc>
          <w:tcPr>
            <w:tcW w:w="1491" w:type="pct"/>
            <w:vAlign w:val="center"/>
          </w:tcPr>
          <w:p w14:paraId="78D54BDE">
            <w:pPr>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10000</w:t>
            </w:r>
          </w:p>
        </w:tc>
        <w:tc>
          <w:tcPr>
            <w:tcW w:w="1733" w:type="pct"/>
            <w:vAlign w:val="center"/>
          </w:tcPr>
          <w:p w14:paraId="5CE40ED7">
            <w:pPr>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930.13</w:t>
            </w:r>
          </w:p>
        </w:tc>
      </w:tr>
      <w:tr w14:paraId="16EB7B1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64" w:hRule="atLeast"/>
          <w:jc w:val="center"/>
        </w:trPr>
        <w:tc>
          <w:tcPr>
            <w:tcW w:w="1776" w:type="pct"/>
            <w:vAlign w:val="center"/>
          </w:tcPr>
          <w:p w14:paraId="49F02674">
            <w:pPr>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裂解C9（10000吨级）</w:t>
            </w:r>
          </w:p>
        </w:tc>
        <w:tc>
          <w:tcPr>
            <w:tcW w:w="1491" w:type="pct"/>
            <w:vAlign w:val="center"/>
          </w:tcPr>
          <w:p w14:paraId="5A9E7671">
            <w:pPr>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10000</w:t>
            </w:r>
          </w:p>
        </w:tc>
        <w:tc>
          <w:tcPr>
            <w:tcW w:w="1733" w:type="pct"/>
            <w:vAlign w:val="center"/>
          </w:tcPr>
          <w:p w14:paraId="796D2F58">
            <w:pPr>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1031.11</w:t>
            </w:r>
          </w:p>
        </w:tc>
      </w:tr>
      <w:tr w14:paraId="59C996A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82" w:hRule="atLeast"/>
          <w:jc w:val="center"/>
        </w:trPr>
        <w:tc>
          <w:tcPr>
            <w:tcW w:w="1776" w:type="pct"/>
            <w:vAlign w:val="center"/>
          </w:tcPr>
          <w:p w14:paraId="7A992C46">
            <w:pPr>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液碱（5000吨级）</w:t>
            </w:r>
          </w:p>
        </w:tc>
        <w:tc>
          <w:tcPr>
            <w:tcW w:w="1491" w:type="pct"/>
            <w:vAlign w:val="center"/>
          </w:tcPr>
          <w:p w14:paraId="026CF673">
            <w:pPr>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5000</w:t>
            </w:r>
          </w:p>
        </w:tc>
        <w:tc>
          <w:tcPr>
            <w:tcW w:w="1733" w:type="pct"/>
            <w:vAlign w:val="center"/>
          </w:tcPr>
          <w:p w14:paraId="44C56DE6">
            <w:pPr>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552.5</w:t>
            </w:r>
          </w:p>
        </w:tc>
      </w:tr>
      <w:tr w14:paraId="1211416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82" w:hRule="atLeast"/>
          <w:jc w:val="center"/>
        </w:trPr>
        <w:tc>
          <w:tcPr>
            <w:tcW w:w="1776" w:type="pct"/>
            <w:vAlign w:val="center"/>
          </w:tcPr>
          <w:p w14:paraId="61780EFA">
            <w:pPr>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发烟硫酸（5000吨级）</w:t>
            </w:r>
          </w:p>
        </w:tc>
        <w:tc>
          <w:tcPr>
            <w:tcW w:w="1491" w:type="pct"/>
            <w:vAlign w:val="center"/>
          </w:tcPr>
          <w:p w14:paraId="0D9EB8E8">
            <w:pPr>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5000</w:t>
            </w:r>
          </w:p>
        </w:tc>
        <w:tc>
          <w:tcPr>
            <w:tcW w:w="1733" w:type="pct"/>
            <w:vAlign w:val="center"/>
          </w:tcPr>
          <w:p w14:paraId="110794FC">
            <w:pPr>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807.5</w:t>
            </w:r>
          </w:p>
        </w:tc>
      </w:tr>
    </w:tbl>
    <w:p w14:paraId="14E8ADFA">
      <w:pPr>
        <w:pStyle w:val="5"/>
        <w:rPr>
          <w:color w:val="000000" w:themeColor="text1"/>
          <w14:textFill>
            <w14:solidFill>
              <w14:schemeClr w14:val="tx1"/>
            </w14:solidFill>
          </w14:textFill>
        </w:rPr>
      </w:pPr>
      <w:r>
        <w:rPr>
          <w:color w:val="000000" w:themeColor="text1"/>
          <w14:textFill>
            <w14:solidFill>
              <w14:schemeClr w14:val="tx1"/>
            </w14:solidFill>
          </w14:textFill>
        </w:rPr>
        <w:t>海域风险事故预测</w:t>
      </w:r>
    </w:p>
    <w:p w14:paraId="6F71B32D">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为给钦州湾模型提供潮位边界条件，首先构建一个大范围北部湾潮波数学模型。</w:t>
      </w:r>
    </w:p>
    <w:p w14:paraId="20C091CD">
      <w:pPr>
        <w:pStyle w:val="4"/>
        <w:rPr>
          <w:color w:val="000000" w:themeColor="text1"/>
          <w14:textFill>
            <w14:solidFill>
              <w14:schemeClr w14:val="tx1"/>
            </w14:solidFill>
          </w14:textFill>
        </w:rPr>
      </w:pPr>
      <w:r>
        <w:rPr>
          <w:rFonts w:hint="eastAsia"/>
          <w:color w:val="000000" w:themeColor="text1"/>
          <w14:textFill>
            <w14:solidFill>
              <w14:schemeClr w14:val="tx1"/>
            </w14:solidFill>
          </w14:textFill>
        </w:rPr>
        <w:t>北部湾大范围潮波数学模型</w:t>
      </w:r>
    </w:p>
    <w:p w14:paraId="1ADC8374">
      <w:pPr>
        <w:autoSpaceDE w:val="0"/>
        <w:autoSpaceDN w:val="0"/>
        <w:adjustRightInd w:val="0"/>
        <w:ind w:firstLine="48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连续性方程：</w:t>
      </w:r>
    </w:p>
    <w:tbl>
      <w:tblPr>
        <w:tblStyle w:val="43"/>
        <w:tblW w:w="0" w:type="auto"/>
        <w:tblInd w:w="0" w:type="dxa"/>
        <w:tblLayout w:type="fixed"/>
        <w:tblCellMar>
          <w:top w:w="0" w:type="dxa"/>
          <w:left w:w="108" w:type="dxa"/>
          <w:bottom w:w="0" w:type="dxa"/>
          <w:right w:w="108" w:type="dxa"/>
        </w:tblCellMar>
      </w:tblPr>
      <w:tblGrid>
        <w:gridCol w:w="7848"/>
        <w:gridCol w:w="1260"/>
      </w:tblGrid>
      <w:tr w14:paraId="74783C79">
        <w:tblPrEx>
          <w:tblCellMar>
            <w:top w:w="0" w:type="dxa"/>
            <w:left w:w="108" w:type="dxa"/>
            <w:bottom w:w="0" w:type="dxa"/>
            <w:right w:w="108" w:type="dxa"/>
          </w:tblCellMar>
        </w:tblPrEx>
        <w:tc>
          <w:tcPr>
            <w:tcW w:w="7848" w:type="dxa"/>
            <w:vAlign w:val="center"/>
          </w:tcPr>
          <w:p w14:paraId="05612213">
            <w:pPr>
              <w:ind w:firstLine="480"/>
              <w:jc w:val="center"/>
              <w:rPr>
                <w:color w:val="000000" w:themeColor="text1"/>
                <w14:textFill>
                  <w14:solidFill>
                    <w14:schemeClr w14:val="tx1"/>
                  </w14:solidFill>
                </w14:textFill>
              </w:rPr>
            </w:pPr>
            <w:r>
              <w:rPr>
                <w:color w:val="000000" w:themeColor="text1"/>
                <w:position w:val="-28"/>
                <w14:textFill>
                  <w14:solidFill>
                    <w14:schemeClr w14:val="tx1"/>
                  </w14:solidFill>
                </w14:textFill>
              </w:rPr>
              <w:object>
                <v:shape id="_x0000_i1026" o:spt="75" type="#_x0000_t75" style="height:33pt;width:144pt;" o:ole="t" filled="f" o:preferrelative="t" stroked="f" coordsize="21600,21600">
                  <v:path/>
                  <v:fill on="f" focussize="0,0"/>
                  <v:stroke on="f" joinstyle="miter"/>
                  <v:imagedata r:id="rId90" o:title=""/>
                  <o:lock v:ext="edit" aspectratio="t"/>
                  <w10:wrap type="none"/>
                  <w10:anchorlock/>
                </v:shape>
                <o:OLEObject Type="Embed" ProgID="Equation.3" ShapeID="_x0000_i1026" DrawAspect="Content" ObjectID="_1468075726" r:id="rId89">
                  <o:LockedField>false</o:LockedField>
                </o:OLEObject>
              </w:object>
            </w:r>
          </w:p>
        </w:tc>
        <w:tc>
          <w:tcPr>
            <w:tcW w:w="1260" w:type="dxa"/>
            <w:vAlign w:val="center"/>
          </w:tcPr>
          <w:p w14:paraId="334235FB">
            <w:pPr>
              <w:ind w:firstLine="48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r>
    </w:tbl>
    <w:p w14:paraId="470622F6">
      <w:pPr>
        <w:autoSpaceDE w:val="0"/>
        <w:autoSpaceDN w:val="0"/>
        <w:adjustRightInd w:val="0"/>
        <w:ind w:firstLine="48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上式中，</w:t>
      </w:r>
      <w:r>
        <w:rPr>
          <w:color w:val="000000" w:themeColor="text1"/>
          <w:position w:val="-10"/>
          <w14:textFill>
            <w14:solidFill>
              <w14:schemeClr w14:val="tx1"/>
            </w14:solidFill>
          </w14:textFill>
        </w:rPr>
        <w:object>
          <v:shape id="_x0000_i1027" o:spt="75" type="#_x0000_t75" style="height:15.75pt;width:48pt;" o:ole="t" filled="f" o:preferrelative="t" stroked="f" coordsize="21600,21600">
            <v:path/>
            <v:fill on="f" focussize="0,0"/>
            <v:stroke on="f" joinstyle="miter"/>
            <v:imagedata r:id="rId92" o:title=""/>
            <o:lock v:ext="edit" aspectratio="t"/>
            <w10:wrap type="none"/>
            <w10:anchorlock/>
          </v:shape>
          <o:OLEObject Type="Embed" ProgID="Equation.3" ShapeID="_x0000_i1027" DrawAspect="Content" ObjectID="_1468075727" r:id="rId91">
            <o:LockedField>false</o:LockedField>
          </o:OLEObject>
        </w:object>
      </w:r>
      <w:r>
        <w:rPr>
          <w:rFonts w:hint="eastAsia"/>
          <w:color w:val="000000" w:themeColor="text1"/>
          <w14:textFill>
            <w14:solidFill>
              <w14:schemeClr w14:val="tx1"/>
            </w14:solidFill>
          </w14:textFill>
        </w:rPr>
        <w:t>为总水深，</w:t>
      </w:r>
      <w:r>
        <w:rPr>
          <w:color w:val="000000" w:themeColor="text1"/>
          <w:position w:val="-10"/>
          <w14:textFill>
            <w14:solidFill>
              <w14:schemeClr w14:val="tx1"/>
            </w14:solidFill>
          </w14:textFill>
        </w:rPr>
        <w:object>
          <v:shape id="_x0000_i1028" o:spt="75" type="#_x0000_t75" style="height:12.75pt;width:9.75pt;" o:ole="t" filled="f" o:preferrelative="t" stroked="f" coordsize="21600,21600">
            <v:path/>
            <v:fill on="f" focussize="0,0"/>
            <v:stroke on="f" joinstyle="miter"/>
            <v:imagedata r:id="rId94" o:title=""/>
            <o:lock v:ext="edit" aspectratio="t"/>
            <w10:wrap type="none"/>
            <w10:anchorlock/>
          </v:shape>
          <o:OLEObject Type="Embed" ProgID="Equation.3" ShapeID="_x0000_i1028" DrawAspect="Content" ObjectID="_1468075728" r:id="rId93">
            <o:LockedField>false</o:LockedField>
          </o:OLEObject>
        </w:object>
      </w:r>
      <w:r>
        <w:rPr>
          <w:rFonts w:hint="eastAsia"/>
          <w:color w:val="000000" w:themeColor="text1"/>
          <w14:textFill>
            <w14:solidFill>
              <w14:schemeClr w14:val="tx1"/>
            </w14:solidFill>
          </w14:textFill>
        </w:rPr>
        <w:t>为水位，</w:t>
      </w:r>
      <w:r>
        <w:rPr>
          <w:rFonts w:hint="eastAsia"/>
          <w:i/>
          <w:color w:val="000000" w:themeColor="text1"/>
          <w14:textFill>
            <w14:solidFill>
              <w14:schemeClr w14:val="tx1"/>
            </w14:solidFill>
          </w14:textFill>
        </w:rPr>
        <w:t>h</w:t>
      </w:r>
      <w:r>
        <w:rPr>
          <w:rFonts w:hint="eastAsia"/>
          <w:color w:val="000000" w:themeColor="text1"/>
          <w14:textFill>
            <w14:solidFill>
              <w14:schemeClr w14:val="tx1"/>
            </w14:solidFill>
          </w14:textFill>
        </w:rPr>
        <w:t>为水深；</w:t>
      </w:r>
      <w:r>
        <w:rPr>
          <w:i/>
          <w:color w:val="000000" w:themeColor="text1"/>
          <w14:textFill>
            <w14:solidFill>
              <w14:schemeClr w14:val="tx1"/>
            </w14:solidFill>
          </w14:textFill>
        </w:rPr>
        <w:t>t</w:t>
      </w:r>
      <w:r>
        <w:rPr>
          <w:rFonts w:hint="eastAsia"/>
          <w:color w:val="000000" w:themeColor="text1"/>
          <w14:textFill>
            <w14:solidFill>
              <w14:schemeClr w14:val="tx1"/>
            </w14:solidFill>
          </w14:textFill>
        </w:rPr>
        <w:t>为</w:t>
      </w:r>
      <w:r>
        <w:rPr>
          <w:color w:val="000000" w:themeColor="text1"/>
          <w14:textFill>
            <w14:solidFill>
              <w14:schemeClr w14:val="tx1"/>
            </w14:solidFill>
          </w14:textFill>
        </w:rPr>
        <w:t>时间</w:t>
      </w:r>
      <w:r>
        <w:rPr>
          <w:rFonts w:hint="eastAsia"/>
          <w:color w:val="000000" w:themeColor="text1"/>
          <w14:textFill>
            <w14:solidFill>
              <w14:schemeClr w14:val="tx1"/>
            </w14:solidFill>
          </w14:textFill>
        </w:rPr>
        <w:t>；</w:t>
      </w:r>
      <w:r>
        <w:rPr>
          <w:i/>
          <w:color w:val="000000" w:themeColor="text1"/>
          <w14:textFill>
            <w14:solidFill>
              <w14:schemeClr w14:val="tx1"/>
            </w14:solidFill>
          </w14:textFill>
        </w:rPr>
        <w:t>u</w:t>
      </w:r>
      <w:r>
        <w:rPr>
          <w:color w:val="000000" w:themeColor="text1"/>
          <w14:textFill>
            <w14:solidFill>
              <w14:schemeClr w14:val="tx1"/>
            </w14:solidFill>
          </w14:textFill>
        </w:rPr>
        <w:t>、</w:t>
      </w:r>
      <w:r>
        <w:rPr>
          <w:i/>
          <w:color w:val="000000" w:themeColor="text1"/>
          <w14:textFill>
            <w14:solidFill>
              <w14:schemeClr w14:val="tx1"/>
            </w14:solidFill>
          </w14:textFill>
        </w:rPr>
        <w:t>v</w:t>
      </w:r>
      <w:r>
        <w:rPr>
          <w:rFonts w:hint="eastAsia"/>
          <w:color w:val="000000" w:themeColor="text1"/>
          <w14:textFill>
            <w14:solidFill>
              <w14:schemeClr w14:val="tx1"/>
            </w14:solidFill>
          </w14:textFill>
        </w:rPr>
        <w:t>为垂线</w:t>
      </w:r>
      <w:r>
        <w:rPr>
          <w:color w:val="000000" w:themeColor="text1"/>
          <w14:textFill>
            <w14:solidFill>
              <w14:schemeClr w14:val="tx1"/>
            </w14:solidFill>
          </w14:textFill>
        </w:rPr>
        <w:t>平均流速分别在</w:t>
      </w:r>
      <w:r>
        <w:rPr>
          <w:i/>
          <w:color w:val="000000" w:themeColor="text1"/>
          <w14:textFill>
            <w14:solidFill>
              <w14:schemeClr w14:val="tx1"/>
            </w14:solidFill>
          </w14:textFill>
        </w:rPr>
        <w:t>x</w:t>
      </w:r>
      <w:r>
        <w:rPr>
          <w:color w:val="000000" w:themeColor="text1"/>
          <w14:textFill>
            <w14:solidFill>
              <w14:schemeClr w14:val="tx1"/>
            </w14:solidFill>
          </w14:textFill>
        </w:rPr>
        <w:t>、</w:t>
      </w:r>
      <w:r>
        <w:rPr>
          <w:i/>
          <w:color w:val="000000" w:themeColor="text1"/>
          <w14:textFill>
            <w14:solidFill>
              <w14:schemeClr w14:val="tx1"/>
            </w14:solidFill>
          </w14:textFill>
        </w:rPr>
        <w:t>y</w:t>
      </w:r>
      <w:r>
        <w:rPr>
          <w:color w:val="000000" w:themeColor="text1"/>
          <w14:textFill>
            <w14:solidFill>
              <w14:schemeClr w14:val="tx1"/>
            </w14:solidFill>
          </w14:textFill>
        </w:rPr>
        <w:t>方向上的分量</w:t>
      </w:r>
      <w:r>
        <w:rPr>
          <w:rFonts w:hint="eastAsia"/>
          <w:color w:val="000000" w:themeColor="text1"/>
          <w14:textFill>
            <w14:solidFill>
              <w14:schemeClr w14:val="tx1"/>
            </w14:solidFill>
          </w14:textFill>
        </w:rPr>
        <w:t>。</w:t>
      </w:r>
    </w:p>
    <w:p w14:paraId="28826794">
      <w:pPr>
        <w:autoSpaceDE w:val="0"/>
        <w:autoSpaceDN w:val="0"/>
        <w:adjustRightInd w:val="0"/>
        <w:ind w:firstLine="480"/>
        <w:jc w:val="left"/>
        <w:rPr>
          <w:color w:val="000000" w:themeColor="text1"/>
          <w14:textFill>
            <w14:solidFill>
              <w14:schemeClr w14:val="tx1"/>
            </w14:solidFill>
          </w14:textFill>
        </w:rPr>
      </w:pPr>
      <w:r>
        <w:rPr>
          <w:rFonts w:hint="eastAsia"/>
          <w:i/>
          <w:color w:val="000000" w:themeColor="text1"/>
          <w14:textFill>
            <w14:solidFill>
              <w14:schemeClr w14:val="tx1"/>
            </w14:solidFill>
          </w14:textFill>
        </w:rPr>
        <w:t>x</w:t>
      </w:r>
      <w:r>
        <w:rPr>
          <w:rFonts w:hint="eastAsia"/>
          <w:color w:val="000000" w:themeColor="text1"/>
          <w14:textFill>
            <w14:solidFill>
              <w14:schemeClr w14:val="tx1"/>
            </w14:solidFill>
          </w14:textFill>
        </w:rPr>
        <w:t>、</w:t>
      </w:r>
      <w:r>
        <w:rPr>
          <w:rFonts w:hint="eastAsia"/>
          <w:i/>
          <w:color w:val="000000" w:themeColor="text1"/>
          <w14:textFill>
            <w14:solidFill>
              <w14:schemeClr w14:val="tx1"/>
            </w14:solidFill>
          </w14:textFill>
        </w:rPr>
        <w:t>y</w:t>
      </w:r>
      <w:r>
        <w:rPr>
          <w:rFonts w:hint="eastAsia"/>
          <w:color w:val="000000" w:themeColor="text1"/>
          <w14:textFill>
            <w14:solidFill>
              <w14:schemeClr w14:val="tx1"/>
            </w14:solidFill>
          </w14:textFill>
        </w:rPr>
        <w:t>方向上的动量方程：</w:t>
      </w:r>
    </w:p>
    <w:tbl>
      <w:tblPr>
        <w:tblStyle w:val="43"/>
        <w:tblW w:w="0" w:type="auto"/>
        <w:tblInd w:w="0" w:type="dxa"/>
        <w:tblLayout w:type="fixed"/>
        <w:tblCellMar>
          <w:top w:w="0" w:type="dxa"/>
          <w:left w:w="108" w:type="dxa"/>
          <w:bottom w:w="0" w:type="dxa"/>
          <w:right w:w="108" w:type="dxa"/>
        </w:tblCellMar>
      </w:tblPr>
      <w:tblGrid>
        <w:gridCol w:w="7848"/>
        <w:gridCol w:w="1260"/>
      </w:tblGrid>
      <w:tr w14:paraId="512B9978">
        <w:tblPrEx>
          <w:tblCellMar>
            <w:top w:w="0" w:type="dxa"/>
            <w:left w:w="108" w:type="dxa"/>
            <w:bottom w:w="0" w:type="dxa"/>
            <w:right w:w="108" w:type="dxa"/>
          </w:tblCellMar>
        </w:tblPrEx>
        <w:tc>
          <w:tcPr>
            <w:tcW w:w="7848" w:type="dxa"/>
            <w:vAlign w:val="center"/>
          </w:tcPr>
          <w:p w14:paraId="0361FD92">
            <w:pPr>
              <w:ind w:firstLine="480"/>
              <w:jc w:val="center"/>
              <w:rPr>
                <w:color w:val="000000" w:themeColor="text1"/>
                <w14:textFill>
                  <w14:solidFill>
                    <w14:schemeClr w14:val="tx1"/>
                  </w14:solidFill>
                </w14:textFill>
              </w:rPr>
            </w:pPr>
            <w:r>
              <w:rPr>
                <w:color w:val="000000" w:themeColor="text1"/>
                <w:position w:val="-30"/>
                <w14:textFill>
                  <w14:solidFill>
                    <w14:schemeClr w14:val="tx1"/>
                  </w14:solidFill>
                </w14:textFill>
              </w:rPr>
              <w:object>
                <v:shape id="_x0000_i1029" o:spt="75" type="#_x0000_t75" style="height:36pt;width:321.75pt;" o:ole="t" filled="f" o:preferrelative="t" stroked="f" coordsize="21600,21600">
                  <v:path/>
                  <v:fill on="f" focussize="0,0"/>
                  <v:stroke on="f" joinstyle="miter"/>
                  <v:imagedata r:id="rId96" o:title=""/>
                  <o:lock v:ext="edit" aspectratio="t"/>
                  <w10:wrap type="none"/>
                  <w10:anchorlock/>
                </v:shape>
                <o:OLEObject Type="Embed" ProgID="Equation.3" ShapeID="_x0000_i1029" DrawAspect="Content" ObjectID="_1468075729" r:id="rId95">
                  <o:LockedField>false</o:LockedField>
                </o:OLEObject>
              </w:object>
            </w:r>
          </w:p>
        </w:tc>
        <w:tc>
          <w:tcPr>
            <w:tcW w:w="1260" w:type="dxa"/>
            <w:vAlign w:val="center"/>
          </w:tcPr>
          <w:p w14:paraId="4BCDD3FE">
            <w:pPr>
              <w:ind w:firstLine="48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（2）</w:t>
            </w:r>
          </w:p>
        </w:tc>
      </w:tr>
    </w:tbl>
    <w:p w14:paraId="22E9A549">
      <w:pPr>
        <w:autoSpaceDE w:val="0"/>
        <w:autoSpaceDN w:val="0"/>
        <w:adjustRightInd w:val="0"/>
        <w:ind w:firstLine="480"/>
        <w:rPr>
          <w:color w:val="000000" w:themeColor="text1"/>
          <w14:textFill>
            <w14:solidFill>
              <w14:schemeClr w14:val="tx1"/>
            </w14:solidFill>
          </w14:textFill>
        </w:rPr>
      </w:pPr>
    </w:p>
    <w:tbl>
      <w:tblPr>
        <w:tblStyle w:val="43"/>
        <w:tblW w:w="0" w:type="auto"/>
        <w:tblInd w:w="0" w:type="dxa"/>
        <w:tblLayout w:type="fixed"/>
        <w:tblCellMar>
          <w:top w:w="0" w:type="dxa"/>
          <w:left w:w="108" w:type="dxa"/>
          <w:bottom w:w="0" w:type="dxa"/>
          <w:right w:w="108" w:type="dxa"/>
        </w:tblCellMar>
      </w:tblPr>
      <w:tblGrid>
        <w:gridCol w:w="7848"/>
        <w:gridCol w:w="1260"/>
      </w:tblGrid>
      <w:tr w14:paraId="314AA0E6">
        <w:tblPrEx>
          <w:tblCellMar>
            <w:top w:w="0" w:type="dxa"/>
            <w:left w:w="108" w:type="dxa"/>
            <w:bottom w:w="0" w:type="dxa"/>
            <w:right w:w="108" w:type="dxa"/>
          </w:tblCellMar>
        </w:tblPrEx>
        <w:tc>
          <w:tcPr>
            <w:tcW w:w="7848" w:type="dxa"/>
            <w:vAlign w:val="center"/>
          </w:tcPr>
          <w:p w14:paraId="3BCE47AA">
            <w:pPr>
              <w:ind w:firstLine="480"/>
              <w:jc w:val="center"/>
              <w:rPr>
                <w:color w:val="000000" w:themeColor="text1"/>
                <w14:textFill>
                  <w14:solidFill>
                    <w14:schemeClr w14:val="tx1"/>
                  </w14:solidFill>
                </w14:textFill>
              </w:rPr>
            </w:pPr>
            <w:r>
              <w:rPr>
                <w:color w:val="000000" w:themeColor="text1"/>
                <w:position w:val="-30"/>
                <w14:textFill>
                  <w14:solidFill>
                    <w14:schemeClr w14:val="tx1"/>
                  </w14:solidFill>
                </w14:textFill>
              </w:rPr>
              <w:object>
                <v:shape id="_x0000_i1030" o:spt="75" type="#_x0000_t75" style="height:36pt;width:318.75pt;" o:ole="t" filled="f" o:preferrelative="t" stroked="f" coordsize="21600,21600">
                  <v:path/>
                  <v:fill on="f" focussize="0,0"/>
                  <v:stroke on="f" joinstyle="miter"/>
                  <v:imagedata r:id="rId98" o:title=""/>
                  <o:lock v:ext="edit" aspectratio="t"/>
                  <w10:wrap type="none"/>
                  <w10:anchorlock/>
                </v:shape>
                <o:OLEObject Type="Embed" ProgID="Equation.3" ShapeID="_x0000_i1030" DrawAspect="Content" ObjectID="_1468075730" r:id="rId97">
                  <o:LockedField>false</o:LockedField>
                </o:OLEObject>
              </w:object>
            </w:r>
          </w:p>
        </w:tc>
        <w:tc>
          <w:tcPr>
            <w:tcW w:w="1260" w:type="dxa"/>
            <w:vAlign w:val="center"/>
          </w:tcPr>
          <w:p w14:paraId="16869D58">
            <w:pPr>
              <w:ind w:firstLine="48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（3）</w:t>
            </w:r>
          </w:p>
        </w:tc>
      </w:tr>
    </w:tbl>
    <w:p w14:paraId="43BBDFED">
      <w:pPr>
        <w:autoSpaceDE w:val="0"/>
        <w:autoSpaceDN w:val="0"/>
        <w:adjustRightInd w:val="0"/>
        <w:ind w:right="26"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式（2）-（</w:t>
      </w:r>
      <w:r>
        <w:rPr>
          <w:color w:val="000000" w:themeColor="text1"/>
          <w14:textFill>
            <w14:solidFill>
              <w14:schemeClr w14:val="tx1"/>
            </w14:solidFill>
          </w14:textFill>
        </w:rPr>
        <w:t>3</w:t>
      </w:r>
      <w:r>
        <w:rPr>
          <w:rFonts w:hint="eastAsia"/>
          <w:color w:val="000000" w:themeColor="text1"/>
          <w14:textFill>
            <w14:solidFill>
              <w14:schemeClr w14:val="tx1"/>
            </w14:solidFill>
          </w14:textFill>
        </w:rPr>
        <w:t>）中，</w:t>
      </w:r>
      <w:r>
        <w:rPr>
          <w:color w:val="000000" w:themeColor="text1"/>
          <w:position w:val="-10"/>
          <w14:textFill>
            <w14:solidFill>
              <w14:schemeClr w14:val="tx1"/>
            </w14:solidFill>
          </w14:textFill>
        </w:rPr>
        <w:object>
          <v:shape id="_x0000_i1031" o:spt="75" type="#_x0000_t75" style="height:12.75pt;width:11.25pt;" o:ole="t" filled="f" o:preferrelative="t" stroked="f" coordsize="21600,21600">
            <v:path/>
            <v:fill on="f" focussize="0,0"/>
            <v:stroke on="f" joinstyle="miter"/>
            <v:imagedata r:id="rId100" o:title=""/>
            <o:lock v:ext="edit" aspectratio="t"/>
            <w10:wrap type="none"/>
            <w10:anchorlock/>
          </v:shape>
          <o:OLEObject Type="Embed" ProgID="Equation.3" ShapeID="_x0000_i1031" DrawAspect="Content" ObjectID="_1468075731" r:id="rId99">
            <o:LockedField>false</o:LockedField>
          </o:OLEObject>
        </w:object>
      </w:r>
      <w:r>
        <w:rPr>
          <w:color w:val="000000" w:themeColor="text1"/>
          <w14:textFill>
            <w14:solidFill>
              <w14:schemeClr w14:val="tx1"/>
            </w14:solidFill>
          </w14:textFill>
        </w:rPr>
        <w:t>是重力加速度；</w:t>
      </w:r>
      <w:r>
        <w:rPr>
          <w:color w:val="000000" w:themeColor="text1"/>
          <w:position w:val="-10"/>
          <w14:textFill>
            <w14:solidFill>
              <w14:schemeClr w14:val="tx1"/>
            </w14:solidFill>
          </w14:textFill>
        </w:rPr>
        <w:object>
          <v:shape id="_x0000_i1032" o:spt="75" type="#_x0000_t75" style="height:12.75pt;width:12pt;" o:ole="t" filled="f" o:preferrelative="t" stroked="f" coordsize="21600,21600">
            <v:path/>
            <v:fill on="f" focussize="0,0"/>
            <v:stroke on="f" joinstyle="miter"/>
            <v:imagedata r:id="rId102" o:title=""/>
            <o:lock v:ext="edit" aspectratio="t"/>
            <w10:wrap type="none"/>
            <w10:anchorlock/>
          </v:shape>
          <o:OLEObject Type="Embed" ProgID="Equation.3" ShapeID="_x0000_i1032" DrawAspect="Content" ObjectID="_1468075732" r:id="rId101">
            <o:LockedField>false</o:LockedField>
          </o:OLEObject>
        </w:object>
      </w:r>
      <w:r>
        <w:rPr>
          <w:color w:val="000000" w:themeColor="text1"/>
          <w14:textFill>
            <w14:solidFill>
              <w14:schemeClr w14:val="tx1"/>
            </w14:solidFill>
          </w14:textFill>
        </w:rPr>
        <w:t>是水密度；柯氏力参数</w:t>
      </w:r>
      <w:r>
        <w:rPr>
          <w:color w:val="000000" w:themeColor="text1"/>
          <w:position w:val="-10"/>
          <w14:textFill>
            <w14:solidFill>
              <w14:schemeClr w14:val="tx1"/>
            </w14:solidFill>
          </w14:textFill>
        </w:rPr>
        <w:object>
          <v:shape id="_x0000_i1033" o:spt="75" type="#_x0000_t75" style="height:16.5pt;width:66pt;" o:ole="t" filled="f" o:preferrelative="t" stroked="f" coordsize="21600,21600">
            <v:path/>
            <v:fill on="f" focussize="0,0"/>
            <v:stroke on="f" joinstyle="miter"/>
            <v:imagedata r:id="rId104" o:title=""/>
            <o:lock v:ext="edit" aspectratio="t"/>
            <w10:wrap type="none"/>
            <w10:anchorlock/>
          </v:shape>
          <o:OLEObject Type="Embed" ProgID="Equation.3" ShapeID="_x0000_i1033" DrawAspect="Content" ObjectID="_1468075733" r:id="rId103">
            <o:LockedField>false</o:LockedField>
          </o:OLEObject>
        </w:object>
      </w:r>
      <w:r>
        <w:rPr>
          <w:color w:val="000000" w:themeColor="text1"/>
          <w14:textFill>
            <w14:solidFill>
              <w14:schemeClr w14:val="tx1"/>
            </w14:solidFill>
          </w14:textFill>
        </w:rPr>
        <w:t>，其中</w:t>
      </w:r>
      <w:r>
        <w:rPr>
          <w:color w:val="000000" w:themeColor="text1"/>
          <w:position w:val="-6"/>
          <w14:textFill>
            <w14:solidFill>
              <w14:schemeClr w14:val="tx1"/>
            </w14:solidFill>
          </w14:textFill>
        </w:rPr>
        <w:object>
          <v:shape id="_x0000_i1034" o:spt="75" type="#_x0000_t75" style="height:11.25pt;width:12pt;" o:ole="t" filled="f" o:preferrelative="t" stroked="f" coordsize="21600,21600">
            <v:path/>
            <v:fill on="f" focussize="0,0"/>
            <v:stroke on="f" joinstyle="miter"/>
            <v:imagedata r:id="rId106" o:title=""/>
            <o:lock v:ext="edit" aspectratio="t"/>
            <w10:wrap type="none"/>
            <w10:anchorlock/>
          </v:shape>
          <o:OLEObject Type="Embed" ProgID="Equation.3" ShapeID="_x0000_i1034" DrawAspect="Content" ObjectID="_1468075734" r:id="rId105">
            <o:LockedField>false</o:LockedField>
          </o:OLEObject>
        </w:object>
      </w:r>
      <w:r>
        <w:rPr>
          <w:color w:val="000000" w:themeColor="text1"/>
          <w14:textFill>
            <w14:solidFill>
              <w14:schemeClr w14:val="tx1"/>
            </w14:solidFill>
          </w14:textFill>
        </w:rPr>
        <w:t>是地球自转角速度，</w:t>
      </w:r>
      <w:r>
        <w:rPr>
          <w:color w:val="000000" w:themeColor="text1"/>
          <w:position w:val="-4"/>
          <w14:textFill>
            <w14:solidFill>
              <w14:schemeClr w14:val="tx1"/>
            </w14:solidFill>
          </w14:textFill>
        </w:rPr>
        <w:object>
          <v:shape id="_x0000_i1035" o:spt="75" type="#_x0000_t75" style="height:12pt;width:12.75pt;" o:ole="t" filled="f" o:preferrelative="t" stroked="f" coordsize="21600,21600">
            <v:path/>
            <v:fill on="f" focussize="0,0"/>
            <v:stroke on="f" joinstyle="miter"/>
            <v:imagedata r:id="rId108" o:title=""/>
            <o:lock v:ext="edit" aspectratio="t"/>
            <w10:wrap type="none"/>
            <w10:anchorlock/>
          </v:shape>
          <o:OLEObject Type="Embed" ProgID="Equation.3" ShapeID="_x0000_i1035" DrawAspect="Content" ObjectID="_1468075735" r:id="rId107">
            <o:LockedField>false</o:LockedField>
          </o:OLEObject>
        </w:object>
      </w:r>
      <w:r>
        <w:rPr>
          <w:color w:val="000000" w:themeColor="text1"/>
          <w14:textFill>
            <w14:solidFill>
              <w14:schemeClr w14:val="tx1"/>
            </w14:solidFill>
          </w14:textFill>
        </w:rPr>
        <w:t>是当地纬度</w:t>
      </w:r>
      <w:r>
        <w:rPr>
          <w:rFonts w:hint="eastAsia"/>
          <w:color w:val="000000" w:themeColor="text1"/>
          <w14:textFill>
            <w14:solidFill>
              <w14:schemeClr w14:val="tx1"/>
            </w14:solidFill>
          </w14:textFill>
        </w:rPr>
        <w:t>；</w:t>
      </w:r>
      <w:r>
        <w:rPr>
          <w:color w:val="000000" w:themeColor="text1"/>
          <w:position w:val="-12"/>
          <w14:textFill>
            <w14:solidFill>
              <w14:schemeClr w14:val="tx1"/>
            </w14:solidFill>
          </w14:textFill>
        </w:rPr>
        <w:object>
          <v:shape id="_x0000_i1036" o:spt="75" type="#_x0000_t75" style="height:18.75pt;width:14.25pt;" o:ole="t" filled="f" o:preferrelative="t" stroked="f" coordsize="21600,21600">
            <v:path/>
            <v:fill on="f" focussize="0,0"/>
            <v:stroke on="f" joinstyle="miter"/>
            <v:imagedata r:id="rId110" o:title=""/>
            <o:lock v:ext="edit" aspectratio="t"/>
            <w10:wrap type="none"/>
            <w10:anchorlock/>
          </v:shape>
          <o:OLEObject Type="Embed" ProgID="Equation.3" ShapeID="_x0000_i1036" DrawAspect="Content" ObjectID="_1468075736" r:id="rId109">
            <o:LockedField>false</o:LockedField>
          </o:OLEObject>
        </w:object>
      </w:r>
      <w:r>
        <w:rPr>
          <w:color w:val="000000" w:themeColor="text1"/>
          <w14:textFill>
            <w14:solidFill>
              <w14:schemeClr w14:val="tx1"/>
            </w14:solidFill>
          </w14:textFill>
        </w:rPr>
        <w:t>、</w:t>
      </w:r>
      <w:r>
        <w:rPr>
          <w:color w:val="000000" w:themeColor="text1"/>
          <w:position w:val="-14"/>
          <w14:textFill>
            <w14:solidFill>
              <w14:schemeClr w14:val="tx1"/>
            </w14:solidFill>
          </w14:textFill>
        </w:rPr>
        <w:object>
          <v:shape id="_x0000_i1037" o:spt="75" type="#_x0000_t75" style="height:20.25pt;width:14.25pt;" o:ole="t" filled="f" o:preferrelative="t" stroked="f" coordsize="21600,21600">
            <v:path/>
            <v:fill on="f" focussize="0,0"/>
            <v:stroke on="f" joinstyle="miter"/>
            <v:imagedata r:id="rId112" o:title=""/>
            <o:lock v:ext="edit" aspectratio="t"/>
            <w10:wrap type="none"/>
            <w10:anchorlock/>
          </v:shape>
          <o:OLEObject Type="Embed" ProgID="Equation.3" ShapeID="_x0000_i1037" DrawAspect="Content" ObjectID="_1468075737" r:id="rId111">
            <o:LockedField>false</o:LockedField>
          </o:OLEObject>
        </w:object>
      </w:r>
      <w:r>
        <w:rPr>
          <w:color w:val="000000" w:themeColor="text1"/>
          <w14:textFill>
            <w14:solidFill>
              <w14:schemeClr w14:val="tx1"/>
            </w14:solidFill>
          </w14:textFill>
        </w:rPr>
        <w:t>是风应力分别在</w:t>
      </w:r>
      <w:r>
        <w:rPr>
          <w:rFonts w:hint="eastAsia"/>
          <w:color w:val="000000" w:themeColor="text1"/>
          <w14:textFill>
            <w14:solidFill>
              <w14:schemeClr w14:val="tx1"/>
            </w14:solidFill>
          </w14:textFill>
        </w:rPr>
        <w:t>直角坐标系</w:t>
      </w:r>
      <w:r>
        <w:rPr>
          <w:color w:val="000000" w:themeColor="text1"/>
          <w:position w:val="-6"/>
          <w14:textFill>
            <w14:solidFill>
              <w14:schemeClr w14:val="tx1"/>
            </w14:solidFill>
          </w14:textFill>
        </w:rPr>
        <w:object>
          <v:shape id="_x0000_i1038" o:spt="75" type="#_x0000_t75" style="height:11.25pt;width:9.75pt;" o:ole="t" filled="f" o:preferrelative="t" stroked="f" coordsize="21600,21600">
            <v:path/>
            <v:fill on="f" focussize="0,0"/>
            <v:stroke on="f" joinstyle="miter"/>
            <v:imagedata r:id="rId114" o:title=""/>
            <o:lock v:ext="edit" aspectratio="t"/>
            <w10:wrap type="none"/>
            <w10:anchorlock/>
          </v:shape>
          <o:OLEObject Type="Embed" ProgID="Equation.3" ShapeID="_x0000_i1038" DrawAspect="Content" ObjectID="_1468075738" r:id="rId113">
            <o:LockedField>false</o:LockedField>
          </o:OLEObject>
        </w:object>
      </w:r>
      <w:r>
        <w:rPr>
          <w:color w:val="000000" w:themeColor="text1"/>
          <w14:textFill>
            <w14:solidFill>
              <w14:schemeClr w14:val="tx1"/>
            </w14:solidFill>
          </w14:textFill>
        </w:rPr>
        <w:t>、</w:t>
      </w:r>
      <w:r>
        <w:rPr>
          <w:color w:val="000000" w:themeColor="text1"/>
          <w:position w:val="-10"/>
          <w14:textFill>
            <w14:solidFill>
              <w14:schemeClr w14:val="tx1"/>
            </w14:solidFill>
          </w14:textFill>
        </w:rPr>
        <w:object>
          <v:shape id="_x0000_i1039" o:spt="75" type="#_x0000_t75" style="height:12.75pt;width:11.25pt;" o:ole="t" filled="f" o:preferrelative="t" stroked="f" coordsize="21600,21600">
            <v:path/>
            <v:fill on="f" focussize="0,0"/>
            <v:stroke on="f" joinstyle="miter"/>
            <v:imagedata r:id="rId116" o:title=""/>
            <o:lock v:ext="edit" aspectratio="t"/>
            <w10:wrap type="none"/>
            <w10:anchorlock/>
          </v:shape>
          <o:OLEObject Type="Embed" ProgID="Equation.3" ShapeID="_x0000_i1039" DrawAspect="Content" ObjectID="_1468075739" r:id="rId115">
            <o:LockedField>false</o:LockedField>
          </o:OLEObject>
        </w:object>
      </w:r>
      <w:r>
        <w:rPr>
          <w:color w:val="000000" w:themeColor="text1"/>
          <w14:textFill>
            <w14:solidFill>
              <w14:schemeClr w14:val="tx1"/>
            </w14:solidFill>
          </w14:textFill>
        </w:rPr>
        <w:t>方向上的分量；</w:t>
      </w:r>
      <w:r>
        <w:rPr>
          <w:color w:val="000000" w:themeColor="text1"/>
          <w:position w:val="-12"/>
          <w14:textFill>
            <w14:solidFill>
              <w14:schemeClr w14:val="tx1"/>
            </w14:solidFill>
          </w14:textFill>
        </w:rPr>
        <w:object>
          <v:shape id="_x0000_i1040" o:spt="75" type="#_x0000_t75" style="height:18.75pt;width:14.25pt;" o:ole="t" filled="f" o:preferrelative="t" stroked="f" coordsize="21600,21600">
            <v:path/>
            <v:fill on="f" focussize="0,0"/>
            <v:stroke on="f" joinstyle="miter"/>
            <v:imagedata r:id="rId118" o:title=""/>
            <o:lock v:ext="edit" aspectratio="t"/>
            <w10:wrap type="none"/>
            <w10:anchorlock/>
          </v:shape>
          <o:OLEObject Type="Embed" ProgID="Equation.3" ShapeID="_x0000_i1040" DrawAspect="Content" ObjectID="_1468075740" r:id="rId117">
            <o:LockedField>false</o:LockedField>
          </o:OLEObject>
        </w:object>
      </w:r>
      <w:r>
        <w:rPr>
          <w:color w:val="000000" w:themeColor="text1"/>
          <w14:textFill>
            <w14:solidFill>
              <w14:schemeClr w14:val="tx1"/>
            </w14:solidFill>
          </w14:textFill>
        </w:rPr>
        <w:t>、</w:t>
      </w:r>
      <w:r>
        <w:rPr>
          <w:color w:val="000000" w:themeColor="text1"/>
          <w:position w:val="-14"/>
          <w14:textFill>
            <w14:solidFill>
              <w14:schemeClr w14:val="tx1"/>
            </w14:solidFill>
          </w14:textFill>
        </w:rPr>
        <w:object>
          <v:shape id="_x0000_i1041" o:spt="75" type="#_x0000_t75" style="height:20.25pt;width:14.25pt;" o:ole="t" filled="f" o:preferrelative="t" stroked="f" coordsize="21600,21600">
            <v:path/>
            <v:fill on="f" focussize="0,0"/>
            <v:stroke on="f" joinstyle="miter"/>
            <v:imagedata r:id="rId120" o:title=""/>
            <o:lock v:ext="edit" aspectratio="t"/>
            <w10:wrap type="none"/>
            <w10:anchorlock/>
          </v:shape>
          <o:OLEObject Type="Embed" ProgID="Equation.3" ShapeID="_x0000_i1041" DrawAspect="Content" ObjectID="_1468075741" r:id="rId119">
            <o:LockedField>false</o:LockedField>
          </o:OLEObject>
        </w:object>
      </w:r>
      <w:r>
        <w:rPr>
          <w:color w:val="000000" w:themeColor="text1"/>
          <w14:textFill>
            <w14:solidFill>
              <w14:schemeClr w14:val="tx1"/>
            </w14:solidFill>
          </w14:textFill>
        </w:rPr>
        <w:t>是水流引起的床面切应力分别在</w:t>
      </w:r>
      <w:r>
        <w:rPr>
          <w:color w:val="000000" w:themeColor="text1"/>
          <w:position w:val="-6"/>
          <w14:textFill>
            <w14:solidFill>
              <w14:schemeClr w14:val="tx1"/>
            </w14:solidFill>
          </w14:textFill>
        </w:rPr>
        <w:object>
          <v:shape id="_x0000_i1042" o:spt="75" type="#_x0000_t75" style="height:11.25pt;width:9.75pt;" o:ole="t" filled="f" o:preferrelative="t" stroked="f" coordsize="21600,21600">
            <v:path/>
            <v:fill on="f" focussize="0,0"/>
            <v:stroke on="f" joinstyle="miter"/>
            <v:imagedata r:id="rId122" o:title=""/>
            <o:lock v:ext="edit" aspectratio="t"/>
            <w10:wrap type="none"/>
            <w10:anchorlock/>
          </v:shape>
          <o:OLEObject Type="Embed" ProgID="Equation.3" ShapeID="_x0000_i1042" DrawAspect="Content" ObjectID="_1468075742" r:id="rId121">
            <o:LockedField>false</o:LockedField>
          </o:OLEObject>
        </w:object>
      </w:r>
      <w:r>
        <w:rPr>
          <w:color w:val="000000" w:themeColor="text1"/>
          <w14:textFill>
            <w14:solidFill>
              <w14:schemeClr w14:val="tx1"/>
            </w14:solidFill>
          </w14:textFill>
        </w:rPr>
        <w:t>、</w:t>
      </w:r>
      <w:r>
        <w:rPr>
          <w:color w:val="000000" w:themeColor="text1"/>
          <w:position w:val="-10"/>
          <w14:textFill>
            <w14:solidFill>
              <w14:schemeClr w14:val="tx1"/>
            </w14:solidFill>
          </w14:textFill>
        </w:rPr>
        <w:object>
          <v:shape id="_x0000_i1043" o:spt="75" type="#_x0000_t75" style="height:12.75pt;width:11.25pt;" o:ole="t" filled="f" o:preferrelative="t" stroked="f" coordsize="21600,21600">
            <v:path/>
            <v:fill on="f" focussize="0,0"/>
            <v:stroke on="f" joinstyle="miter"/>
            <v:imagedata r:id="rId116" o:title=""/>
            <o:lock v:ext="edit" aspectratio="t"/>
            <w10:wrap type="none"/>
            <w10:anchorlock/>
          </v:shape>
          <o:OLEObject Type="Embed" ProgID="Equation.3" ShapeID="_x0000_i1043" DrawAspect="Content" ObjectID="_1468075743" r:id="rId123">
            <o:LockedField>false</o:LockedField>
          </o:OLEObject>
        </w:object>
      </w:r>
      <w:r>
        <w:rPr>
          <w:color w:val="000000" w:themeColor="text1"/>
          <w14:textFill>
            <w14:solidFill>
              <w14:schemeClr w14:val="tx1"/>
            </w14:solidFill>
          </w14:textFill>
        </w:rPr>
        <w:t>方向上的分量；</w:t>
      </w:r>
      <w:r>
        <w:rPr>
          <w:color w:val="000000" w:themeColor="text1"/>
          <w:position w:val="-14"/>
          <w14:textFill>
            <w14:solidFill>
              <w14:schemeClr w14:val="tx1"/>
            </w14:solidFill>
          </w14:textFill>
        </w:rPr>
        <w:object>
          <v:shape id="_x0000_i1044" o:spt="75" type="#_x0000_t75" style="height:18.75pt;width:72pt;" o:ole="t" filled="f" o:preferrelative="t" stroked="f" coordsize="21600,21600">
            <v:path/>
            <v:fill on="f" focussize="0,0"/>
            <v:stroke on="f" joinstyle="miter"/>
            <v:imagedata r:id="rId125" o:title=""/>
            <o:lock v:ext="edit" aspectratio="t"/>
            <w10:wrap type="none"/>
            <w10:anchorlock/>
          </v:shape>
          <o:OLEObject Type="Embed" ProgID="Equation.3" ShapeID="_x0000_i1044" DrawAspect="Content" ObjectID="_1468075744" r:id="rId124">
            <o:LockedField>false</o:LockedField>
          </o:OLEObject>
        </w:object>
      </w:r>
      <w:r>
        <w:rPr>
          <w:rFonts w:hint="eastAsia"/>
          <w:color w:val="000000" w:themeColor="text1"/>
          <w14:textFill>
            <w14:solidFill>
              <w14:schemeClr w14:val="tx1"/>
            </w14:solidFill>
          </w14:textFill>
        </w:rPr>
        <w:t>为</w:t>
      </w:r>
      <w:r>
        <w:rPr>
          <w:color w:val="000000" w:themeColor="text1"/>
          <w14:textFill>
            <w14:solidFill>
              <w14:schemeClr w14:val="tx1"/>
            </w14:solidFill>
          </w14:textFill>
        </w:rPr>
        <w:t>紊动切应力</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表面风应力由下式给出：</w:t>
      </w:r>
    </w:p>
    <w:tbl>
      <w:tblPr>
        <w:tblStyle w:val="43"/>
        <w:tblW w:w="0" w:type="auto"/>
        <w:tblInd w:w="0" w:type="dxa"/>
        <w:tblLayout w:type="fixed"/>
        <w:tblCellMar>
          <w:top w:w="0" w:type="dxa"/>
          <w:left w:w="108" w:type="dxa"/>
          <w:bottom w:w="0" w:type="dxa"/>
          <w:right w:w="108" w:type="dxa"/>
        </w:tblCellMar>
      </w:tblPr>
      <w:tblGrid>
        <w:gridCol w:w="7848"/>
        <w:gridCol w:w="1260"/>
      </w:tblGrid>
      <w:tr w14:paraId="1F36445C">
        <w:tblPrEx>
          <w:tblCellMar>
            <w:top w:w="0" w:type="dxa"/>
            <w:left w:w="108" w:type="dxa"/>
            <w:bottom w:w="0" w:type="dxa"/>
            <w:right w:w="108" w:type="dxa"/>
          </w:tblCellMar>
        </w:tblPrEx>
        <w:tc>
          <w:tcPr>
            <w:tcW w:w="7848" w:type="dxa"/>
            <w:vAlign w:val="center"/>
          </w:tcPr>
          <w:p w14:paraId="3A83ABBB">
            <w:pPr>
              <w:ind w:firstLine="480"/>
              <w:jc w:val="center"/>
              <w:rPr>
                <w:color w:val="000000" w:themeColor="text1"/>
                <w14:textFill>
                  <w14:solidFill>
                    <w14:schemeClr w14:val="tx1"/>
                  </w14:solidFill>
                </w14:textFill>
              </w:rPr>
            </w:pPr>
            <w:r>
              <w:rPr>
                <w:color w:val="000000" w:themeColor="text1"/>
                <w:position w:val="-14"/>
                <w14:textFill>
                  <w14:solidFill>
                    <w14:schemeClr w14:val="tx1"/>
                  </w14:solidFill>
                </w14:textFill>
              </w:rPr>
              <w:object>
                <v:shape id="_x0000_i1045" o:spt="75" type="#_x0000_t75" style="height:21.75pt;width:198.75pt;" o:ole="t" filled="f" o:preferrelative="t" stroked="f" coordsize="21600,21600">
                  <v:path/>
                  <v:fill on="f" focussize="0,0"/>
                  <v:stroke on="f" joinstyle="miter"/>
                  <v:imagedata r:id="rId127" o:title=""/>
                  <o:lock v:ext="edit" aspectratio="t"/>
                  <w10:wrap type="none"/>
                  <w10:anchorlock/>
                </v:shape>
                <o:OLEObject Type="Embed" ProgID="Equation.3" ShapeID="_x0000_i1045" DrawAspect="Content" ObjectID="_1468075745" r:id="rId126">
                  <o:LockedField>false</o:LockedField>
                </o:OLEObject>
              </w:object>
            </w:r>
          </w:p>
        </w:tc>
        <w:tc>
          <w:tcPr>
            <w:tcW w:w="1260" w:type="dxa"/>
            <w:vAlign w:val="center"/>
          </w:tcPr>
          <w:p w14:paraId="016E2BB1">
            <w:pPr>
              <w:ind w:firstLine="48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（4）</w:t>
            </w:r>
          </w:p>
        </w:tc>
      </w:tr>
    </w:tbl>
    <w:p w14:paraId="6C2622D7">
      <w:pPr>
        <w:autoSpaceDE w:val="0"/>
        <w:autoSpaceDN w:val="0"/>
        <w:adjustRightInd w:val="0"/>
        <w:ind w:firstLine="48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式（</w:t>
      </w:r>
      <w:r>
        <w:rPr>
          <w:color w:val="000000" w:themeColor="text1"/>
          <w14:textFill>
            <w14:solidFill>
              <w14:schemeClr w14:val="tx1"/>
            </w14:solidFill>
          </w14:textFill>
        </w:rPr>
        <w:t>4</w:t>
      </w:r>
      <w:r>
        <w:rPr>
          <w:rFonts w:hint="eastAsia"/>
          <w:color w:val="000000" w:themeColor="text1"/>
          <w14:textFill>
            <w14:solidFill>
              <w14:schemeClr w14:val="tx1"/>
            </w14:solidFill>
          </w14:textFill>
        </w:rPr>
        <w:t>）中，</w:t>
      </w:r>
      <w:r>
        <w:rPr>
          <w:color w:val="000000" w:themeColor="text1"/>
          <w:position w:val="-10"/>
          <w14:textFill>
            <w14:solidFill>
              <w14:schemeClr w14:val="tx1"/>
            </w14:solidFill>
          </w14:textFill>
        </w:rPr>
        <w:object>
          <v:shape id="_x0000_i1046" o:spt="75" type="#_x0000_t75" style="height:12.75pt;width:9.75pt;" o:ole="t" filled="f" o:preferrelative="t" stroked="f" coordsize="21600,21600">
            <v:path/>
            <v:fill on="f" focussize="0,0"/>
            <v:stroke on="f" joinstyle="miter"/>
            <v:imagedata r:id="rId129" o:title=""/>
            <o:lock v:ext="edit" aspectratio="t"/>
            <w10:wrap type="none"/>
            <w10:anchorlock/>
          </v:shape>
          <o:OLEObject Type="Embed" ProgID="Equation.3" ShapeID="_x0000_i1046" DrawAspect="Content" ObjectID="_1468075746" r:id="rId128">
            <o:LockedField>false</o:LockedField>
          </o:OLEObject>
        </w:object>
      </w:r>
      <w:r>
        <w:rPr>
          <w:color w:val="000000" w:themeColor="text1"/>
          <w14:textFill>
            <w14:solidFill>
              <w14:schemeClr w14:val="tx1"/>
            </w14:solidFill>
          </w14:textFill>
        </w:rPr>
        <w:t>是风应力经验系数；</w:t>
      </w:r>
      <w:r>
        <w:rPr>
          <w:color w:val="000000" w:themeColor="text1"/>
          <w:position w:val="-6"/>
          <w14:textFill>
            <w14:solidFill>
              <w14:schemeClr w14:val="tx1"/>
            </w14:solidFill>
          </w14:textFill>
        </w:rPr>
        <w:object>
          <v:shape id="_x0000_i1047" o:spt="75" type="#_x0000_t75" style="height:14.25pt;width:14.25pt;" o:ole="t" filled="f" o:preferrelative="t" stroked="f" coordsize="21600,21600">
            <v:path/>
            <v:fill on="f" focussize="0,0"/>
            <v:stroke on="f" joinstyle="miter"/>
            <v:imagedata r:id="rId131" o:title=""/>
            <o:lock v:ext="edit" aspectratio="t"/>
            <w10:wrap type="none"/>
            <w10:anchorlock/>
          </v:shape>
          <o:OLEObject Type="Embed" ProgID="Equation.3" ShapeID="_x0000_i1047" DrawAspect="Content" ObjectID="_1468075747" r:id="rId130">
            <o:LockedField>false</o:LockedField>
          </o:OLEObject>
        </w:object>
      </w:r>
      <w:r>
        <w:rPr>
          <w:color w:val="000000" w:themeColor="text1"/>
          <w14:textFill>
            <w14:solidFill>
              <w14:schemeClr w14:val="tx1"/>
            </w14:solidFill>
          </w14:textFill>
        </w:rPr>
        <w:t>是风速；</w:t>
      </w:r>
      <w:r>
        <w:rPr>
          <w:color w:val="000000" w:themeColor="text1"/>
          <w:position w:val="-10"/>
          <w14:textFill>
            <w14:solidFill>
              <w14:schemeClr w14:val="tx1"/>
            </w14:solidFill>
          </w14:textFill>
        </w:rPr>
        <w:object>
          <v:shape id="_x0000_i1048" o:spt="75" type="#_x0000_t75" style="height:12.75pt;width:12pt;" o:ole="t" filled="f" o:preferrelative="t" stroked="f" coordsize="21600,21600">
            <v:path/>
            <v:fill on="f" focussize="0,0"/>
            <v:stroke on="f" joinstyle="miter"/>
            <v:imagedata r:id="rId133" o:title=""/>
            <o:lock v:ext="edit" aspectratio="t"/>
            <w10:wrap type="none"/>
            <w10:anchorlock/>
          </v:shape>
          <o:OLEObject Type="Embed" ProgID="Equation.3" ShapeID="_x0000_i1048" DrawAspect="Content" ObjectID="_1468075748" r:id="rId132">
            <o:LockedField>false</o:LockedField>
          </o:OLEObject>
        </w:object>
      </w:r>
      <w:r>
        <w:rPr>
          <w:color w:val="000000" w:themeColor="text1"/>
          <w14:textFill>
            <w14:solidFill>
              <w14:schemeClr w14:val="tx1"/>
            </w14:solidFill>
          </w14:textFill>
        </w:rPr>
        <w:t>是</w:t>
      </w:r>
      <w:r>
        <w:rPr>
          <w:color w:val="000000" w:themeColor="text1"/>
          <w:position w:val="-6"/>
          <w14:textFill>
            <w14:solidFill>
              <w14:schemeClr w14:val="tx1"/>
            </w14:solidFill>
          </w14:textFill>
        </w:rPr>
        <w:object>
          <v:shape id="_x0000_i1049" o:spt="75" type="#_x0000_t75" style="height:11.25pt;width:9.75pt;" o:ole="t" filled="f" o:preferrelative="t" stroked="f" coordsize="21600,21600">
            <v:path/>
            <v:fill on="f" focussize="0,0"/>
            <v:stroke on="f" joinstyle="miter"/>
            <v:imagedata r:id="rId135" o:title=""/>
            <o:lock v:ext="edit" aspectratio="t"/>
            <w10:wrap type="none"/>
            <w10:anchorlock/>
          </v:shape>
          <o:OLEObject Type="Embed" ProgID="Equation.3" ShapeID="_x0000_i1049" DrawAspect="Content" ObjectID="_1468075749" r:id="rId134">
            <o:LockedField>false</o:LockedField>
          </o:OLEObject>
        </w:object>
      </w:r>
      <w:r>
        <w:rPr>
          <w:color w:val="000000" w:themeColor="text1"/>
          <w14:textFill>
            <w14:solidFill>
              <w14:schemeClr w14:val="tx1"/>
            </w14:solidFill>
          </w14:textFill>
        </w:rPr>
        <w:t>正方向与风向的夹角。深</w:t>
      </w:r>
      <w:r>
        <w:rPr>
          <w:rFonts w:hint="eastAsia"/>
          <w:color w:val="000000" w:themeColor="text1"/>
          <w14:textFill>
            <w14:solidFill>
              <w14:schemeClr w14:val="tx1"/>
            </w14:solidFill>
          </w14:textFill>
        </w:rPr>
        <w:t>度</w:t>
      </w:r>
      <w:r>
        <w:rPr>
          <w:color w:val="000000" w:themeColor="text1"/>
          <w14:textFill>
            <w14:solidFill>
              <w14:schemeClr w14:val="tx1"/>
            </w14:solidFill>
          </w14:textFill>
        </w:rPr>
        <w:t>平均的紊动切应力</w:t>
      </w:r>
      <w:r>
        <w:rPr>
          <w:rFonts w:hint="eastAsia"/>
          <w:color w:val="000000" w:themeColor="text1"/>
          <w14:textFill>
            <w14:solidFill>
              <w14:schemeClr w14:val="tx1"/>
            </w14:solidFill>
          </w14:textFill>
        </w:rPr>
        <w:t>为：</w:t>
      </w:r>
    </w:p>
    <w:p w14:paraId="67D01308">
      <w:pPr>
        <w:autoSpaceDE w:val="0"/>
        <w:autoSpaceDN w:val="0"/>
        <w:adjustRightInd w:val="0"/>
        <w:ind w:firstLine="480"/>
        <w:jc w:val="center"/>
        <w:rPr>
          <w:rFonts w:cs="MSTT311e5bd572t00"/>
          <w:color w:val="000000" w:themeColor="text1"/>
          <w:kern w:val="0"/>
          <w14:textFill>
            <w14:solidFill>
              <w14:schemeClr w14:val="tx1"/>
            </w14:solidFill>
          </w14:textFill>
        </w:rPr>
      </w:pPr>
      <w:r>
        <w:rPr>
          <w:color w:val="000000" w:themeColor="text1"/>
          <w:position w:val="-30"/>
          <w14:textFill>
            <w14:solidFill>
              <w14:schemeClr w14:val="tx1"/>
            </w14:solidFill>
          </w14:textFill>
        </w:rPr>
        <w:object>
          <v:shape id="_x0000_i1050" o:spt="75" type="#_x0000_t75" style="height:35.25pt;width:129pt;" o:ole="t" filled="f" o:preferrelative="t" stroked="f" coordsize="21600,21600">
            <v:path/>
            <v:fill on="f" focussize="0,0"/>
            <v:stroke on="f" joinstyle="miter"/>
            <v:imagedata r:id="rId137" o:title=""/>
            <o:lock v:ext="edit" aspectratio="t"/>
            <w10:wrap type="none"/>
            <w10:anchorlock/>
          </v:shape>
          <o:OLEObject Type="Embed" ProgID="Equation.3" ShapeID="_x0000_i1050" DrawAspect="Content" ObjectID="_1468075750" r:id="rId136">
            <o:LockedField>false</o:LockedField>
          </o:OLEObject>
        </w:object>
      </w:r>
    </w:p>
    <w:p w14:paraId="2CBE657C">
      <w:pPr>
        <w:autoSpaceDE w:val="0"/>
        <w:autoSpaceDN w:val="0"/>
        <w:adjustRightInd w:val="0"/>
        <w:ind w:firstLine="48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其中，</w:t>
      </w:r>
      <w:r>
        <w:rPr>
          <w:color w:val="000000" w:themeColor="text1"/>
          <w:position w:val="-14"/>
          <w14:textFill>
            <w14:solidFill>
              <w14:schemeClr w14:val="tx1"/>
            </w14:solidFill>
          </w14:textFill>
        </w:rPr>
        <w:object>
          <v:shape id="_x0000_i1051" o:spt="75" type="#_x0000_t75" style="height:18.75pt;width:60pt;" o:ole="t" filled="f" o:preferrelative="t" stroked="f" coordsize="21600,21600">
            <v:path/>
            <v:fill on="f" focussize="0,0"/>
            <v:stroke on="f" joinstyle="miter"/>
            <v:imagedata r:id="rId139" o:title=""/>
            <o:lock v:ext="edit" aspectratio="t"/>
            <w10:wrap type="none"/>
            <w10:anchorlock/>
          </v:shape>
          <o:OLEObject Type="Embed" ProgID="Equation.3" ShapeID="_x0000_i1051" DrawAspect="Content" ObjectID="_1468075751" r:id="rId138">
            <o:LockedField>false</o:LockedField>
          </o:OLEObject>
        </w:object>
      </w:r>
      <w:r>
        <w:rPr>
          <w:color w:val="000000" w:themeColor="text1"/>
          <w14:textFill>
            <w14:solidFill>
              <w14:schemeClr w14:val="tx1"/>
            </w14:solidFill>
          </w14:textFill>
        </w:rPr>
        <w:t>；</w:t>
      </w:r>
      <w:r>
        <w:rPr>
          <w:color w:val="000000" w:themeColor="text1"/>
          <w:position w:val="-14"/>
          <w14:textFill>
            <w14:solidFill>
              <w14:schemeClr w14:val="tx1"/>
            </w14:solidFill>
          </w14:textFill>
        </w:rPr>
        <w:object>
          <v:shape id="_x0000_i1052" o:spt="75" type="#_x0000_t75" style="height:18.75pt;width:57.75pt;" o:ole="t" filled="f" o:preferrelative="t" stroked="f" coordsize="21600,21600">
            <v:path/>
            <v:fill on="f" focussize="0,0"/>
            <v:stroke on="f" joinstyle="miter"/>
            <v:imagedata r:id="rId141" o:title=""/>
            <o:lock v:ext="edit" aspectratio="t"/>
            <w10:wrap type="none"/>
            <w10:anchorlock/>
          </v:shape>
          <o:OLEObject Type="Embed" ProgID="Equation.3" ShapeID="_x0000_i1052" DrawAspect="Content" ObjectID="_1468075752" r:id="rId140">
            <o:LockedField>false</o:LockedField>
          </o:OLEObject>
        </w:object>
      </w:r>
      <w:r>
        <w:rPr>
          <w:color w:val="000000" w:themeColor="text1"/>
          <w14:textFill>
            <w14:solidFill>
              <w14:schemeClr w14:val="tx1"/>
            </w14:solidFill>
          </w14:textFill>
        </w:rPr>
        <w:t>；</w:t>
      </w:r>
      <w:r>
        <w:rPr>
          <w:color w:val="000000" w:themeColor="text1"/>
          <w:position w:val="-14"/>
          <w14:textFill>
            <w14:solidFill>
              <w14:schemeClr w14:val="tx1"/>
            </w14:solidFill>
          </w14:textFill>
        </w:rPr>
        <w:object>
          <v:shape id="_x0000_i1053" o:spt="75" type="#_x0000_t75" style="height:18.75pt;width:14.25pt;" o:ole="t" filled="f" o:preferrelative="t" stroked="f" coordsize="21600,21600">
            <v:path/>
            <v:fill on="f" focussize="0,0"/>
            <v:stroke on="f" joinstyle="miter"/>
            <v:imagedata r:id="rId143" o:title=""/>
            <o:lock v:ext="edit" aspectratio="t"/>
            <w10:wrap type="none"/>
            <w10:anchorlock/>
          </v:shape>
          <o:OLEObject Type="Embed" ProgID="Equation.3" ShapeID="_x0000_i1053" DrawAspect="Content" ObjectID="_1468075753" r:id="rId142">
            <o:LockedField>false</o:LockedField>
          </o:OLEObject>
        </w:object>
      </w:r>
      <w:r>
        <w:rPr>
          <w:color w:val="000000" w:themeColor="text1"/>
          <w14:textFill>
            <w14:solidFill>
              <w14:schemeClr w14:val="tx1"/>
            </w14:solidFill>
          </w14:textFill>
        </w:rPr>
        <w:t>是</w:t>
      </w:r>
      <w:r>
        <w:rPr>
          <w:rFonts w:hint="eastAsia"/>
          <w:color w:val="000000" w:themeColor="text1"/>
          <w14:textFill>
            <w14:solidFill>
              <w14:schemeClr w14:val="tx1"/>
            </w14:solidFill>
          </w14:textFill>
        </w:rPr>
        <w:t>垂直于</w:t>
      </w:r>
      <w:r>
        <w:rPr>
          <w:color w:val="000000" w:themeColor="text1"/>
          <w:position w:val="-6"/>
          <w14:textFill>
            <w14:solidFill>
              <w14:schemeClr w14:val="tx1"/>
            </w14:solidFill>
          </w14:textFill>
        </w:rPr>
        <w:object>
          <v:shape id="_x0000_i1054" o:spt="75" type="#_x0000_t75" style="height:12.75pt;width:7.5pt;" o:ole="t" filled="f" o:preferrelative="t" stroked="f" coordsize="21600,21600">
            <v:path/>
            <v:fill on="f" focussize="0,0"/>
            <v:stroke on="f" joinstyle="miter"/>
            <v:imagedata r:id="rId145" o:title=""/>
            <o:lock v:ext="edit" aspectratio="t"/>
            <w10:wrap type="none"/>
            <w10:anchorlock/>
          </v:shape>
          <o:OLEObject Type="Embed" ProgID="Equation.3" ShapeID="_x0000_i1054" DrawAspect="Content" ObjectID="_1468075754" r:id="rId144">
            <o:LockedField>false</o:LockedField>
          </o:OLEObject>
        </w:object>
      </w:r>
      <w:r>
        <w:rPr>
          <w:rFonts w:hint="eastAsia"/>
          <w:color w:val="000000" w:themeColor="text1"/>
          <w14:textFill>
            <w14:solidFill>
              <w14:schemeClr w14:val="tx1"/>
            </w14:solidFill>
          </w14:textFill>
        </w:rPr>
        <w:t>轴平面上的</w:t>
      </w:r>
      <w:r>
        <w:rPr>
          <w:color w:val="000000" w:themeColor="text1"/>
          <w:position w:val="-10"/>
          <w14:textFill>
            <w14:solidFill>
              <w14:schemeClr w14:val="tx1"/>
            </w14:solidFill>
          </w14:textFill>
        </w:rPr>
        <w:object>
          <v:shape id="_x0000_i1055" o:spt="75" type="#_x0000_t75" style="height:15pt;width:9.75pt;" o:ole="t" filled="f" o:preferrelative="t" stroked="f" coordsize="21600,21600">
            <v:path/>
            <v:fill on="f" focussize="0,0"/>
            <v:stroke on="f" joinstyle="miter"/>
            <v:imagedata r:id="rId147" o:title=""/>
            <o:lock v:ext="edit" aspectratio="t"/>
            <w10:wrap type="none"/>
            <w10:anchorlock/>
          </v:shape>
          <o:OLEObject Type="Embed" ProgID="Equation.3" ShapeID="_x0000_i1055" DrawAspect="Content" ObjectID="_1468075755" r:id="rId146">
            <o:LockedField>false</o:LockedField>
          </o:OLEObject>
        </w:object>
      </w:r>
      <w:r>
        <w:rPr>
          <w:rFonts w:hint="eastAsia"/>
          <w:color w:val="000000" w:themeColor="text1"/>
          <w14:textFill>
            <w14:solidFill>
              <w14:schemeClr w14:val="tx1"/>
            </w14:solidFill>
          </w14:textFill>
        </w:rPr>
        <w:t>方向</w:t>
      </w:r>
      <w:r>
        <w:rPr>
          <w:color w:val="000000" w:themeColor="text1"/>
          <w14:textFill>
            <w14:solidFill>
              <w14:schemeClr w14:val="tx1"/>
            </w14:solidFill>
          </w14:textFill>
        </w:rPr>
        <w:t>涡粘</w:t>
      </w:r>
      <w:r>
        <w:rPr>
          <w:rFonts w:hint="eastAsia"/>
          <w:color w:val="000000" w:themeColor="text1"/>
          <w14:textFill>
            <w14:solidFill>
              <w14:schemeClr w14:val="tx1"/>
            </w14:solidFill>
          </w14:textFill>
        </w:rPr>
        <w:t>系数。</w:t>
      </w:r>
    </w:p>
    <w:p w14:paraId="5CE309F6">
      <w:pPr>
        <w:autoSpaceDE w:val="0"/>
        <w:autoSpaceDN w:val="0"/>
        <w:adjustRightInd w:val="0"/>
        <w:ind w:firstLine="48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底部切应力由下面两式给出：</w:t>
      </w:r>
    </w:p>
    <w:tbl>
      <w:tblPr>
        <w:tblStyle w:val="43"/>
        <w:tblW w:w="0" w:type="auto"/>
        <w:tblInd w:w="0" w:type="dxa"/>
        <w:tblLayout w:type="fixed"/>
        <w:tblCellMar>
          <w:top w:w="0" w:type="dxa"/>
          <w:left w:w="108" w:type="dxa"/>
          <w:bottom w:w="0" w:type="dxa"/>
          <w:right w:w="108" w:type="dxa"/>
        </w:tblCellMar>
      </w:tblPr>
      <w:tblGrid>
        <w:gridCol w:w="7848"/>
        <w:gridCol w:w="1260"/>
      </w:tblGrid>
      <w:tr w14:paraId="79E05A57">
        <w:tblPrEx>
          <w:tblCellMar>
            <w:top w:w="0" w:type="dxa"/>
            <w:left w:w="108" w:type="dxa"/>
            <w:bottom w:w="0" w:type="dxa"/>
            <w:right w:w="108" w:type="dxa"/>
          </w:tblCellMar>
        </w:tblPrEx>
        <w:tc>
          <w:tcPr>
            <w:tcW w:w="7848" w:type="dxa"/>
            <w:vAlign w:val="center"/>
          </w:tcPr>
          <w:p w14:paraId="343843CD">
            <w:pPr>
              <w:ind w:firstLine="480"/>
              <w:jc w:val="center"/>
              <w:rPr>
                <w:color w:val="000000" w:themeColor="text1"/>
                <w14:textFill>
                  <w14:solidFill>
                    <w14:schemeClr w14:val="tx1"/>
                  </w14:solidFill>
                </w14:textFill>
              </w:rPr>
            </w:pPr>
            <w:r>
              <w:rPr>
                <w:color w:val="000000" w:themeColor="text1"/>
                <w:position w:val="-30"/>
                <w14:textFill>
                  <w14:solidFill>
                    <w14:schemeClr w14:val="tx1"/>
                  </w14:solidFill>
                </w14:textFill>
              </w:rPr>
              <w:object>
                <v:shape id="_x0000_i1056" o:spt="75" type="#_x0000_t75" style="height:33.75pt;width:250.5pt;" o:ole="t" filled="f" o:preferrelative="t" stroked="f" coordsize="21600,21600">
                  <v:path/>
                  <v:fill on="f" focussize="0,0"/>
                  <v:stroke on="f" joinstyle="miter"/>
                  <v:imagedata r:id="rId149" o:title=""/>
                  <o:lock v:ext="edit" aspectratio="t"/>
                  <w10:wrap type="none"/>
                  <w10:anchorlock/>
                </v:shape>
                <o:OLEObject Type="Embed" ProgID="Equation.3" ShapeID="_x0000_i1056" DrawAspect="Content" ObjectID="_1468075756" r:id="rId148">
                  <o:LockedField>false</o:LockedField>
                </o:OLEObject>
              </w:object>
            </w:r>
          </w:p>
        </w:tc>
        <w:tc>
          <w:tcPr>
            <w:tcW w:w="1260" w:type="dxa"/>
            <w:vAlign w:val="center"/>
          </w:tcPr>
          <w:p w14:paraId="0649E39C">
            <w:pPr>
              <w:ind w:firstLine="48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（5）</w:t>
            </w:r>
          </w:p>
        </w:tc>
      </w:tr>
    </w:tbl>
    <w:p w14:paraId="59F3DBCC">
      <w:pPr>
        <w:autoSpaceDE w:val="0"/>
        <w:autoSpaceDN w:val="0"/>
        <w:adjustRightInd w:val="0"/>
        <w:ind w:firstLine="48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上式中，</w:t>
      </w:r>
      <w:r>
        <w:rPr>
          <w:color w:val="000000" w:themeColor="text1"/>
          <w:position w:val="-10"/>
          <w14:textFill>
            <w14:solidFill>
              <w14:schemeClr w14:val="tx1"/>
            </w14:solidFill>
          </w14:textFill>
        </w:rPr>
        <w:object>
          <v:shape id="_x0000_i1057" o:spt="75" type="#_x0000_t75" style="height:17.25pt;width:15.75pt;" o:ole="t" filled="f" o:preferrelative="t" stroked="f" coordsize="21600,21600">
            <v:path/>
            <v:fill on="f" focussize="0,0"/>
            <v:stroke on="f" joinstyle="miter"/>
            <v:imagedata r:id="rId151" o:title=""/>
            <o:lock v:ext="edit" aspectratio="t"/>
            <w10:wrap type="none"/>
            <w10:anchorlock/>
          </v:shape>
          <o:OLEObject Type="Embed" ProgID="Equation.3" ShapeID="_x0000_i1057" DrawAspect="Content" ObjectID="_1468075757" r:id="rId150">
            <o:LockedField>false</o:LockedField>
          </o:OLEObject>
        </w:object>
      </w:r>
      <w:r>
        <w:rPr>
          <w:rFonts w:hint="eastAsia"/>
          <w:color w:val="000000" w:themeColor="text1"/>
          <w14:textFill>
            <w14:solidFill>
              <w14:schemeClr w14:val="tx1"/>
            </w14:solidFill>
          </w14:textFill>
        </w:rPr>
        <w:t>为谢才</w:t>
      </w:r>
      <w:r>
        <w:rPr>
          <w:color w:val="000000" w:themeColor="text1"/>
          <w14:textFill>
            <w14:solidFill>
              <w14:schemeClr w14:val="tx1"/>
            </w14:solidFill>
          </w14:textFill>
        </w:rPr>
        <w:t>系数。</w:t>
      </w:r>
    </w:p>
    <w:p w14:paraId="2C60E259">
      <w:pPr>
        <w:autoSpaceDE w:val="0"/>
        <w:autoSpaceDN w:val="0"/>
        <w:adjustRightInd w:val="0"/>
        <w:ind w:firstLine="48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将式（4）-（5）</w:t>
      </w:r>
      <w:r>
        <w:rPr>
          <w:color w:val="000000" w:themeColor="text1"/>
          <w14:textFill>
            <w14:solidFill>
              <w14:schemeClr w14:val="tx1"/>
            </w14:solidFill>
          </w14:textFill>
        </w:rPr>
        <w:t>代入</w:t>
      </w:r>
      <w:r>
        <w:rPr>
          <w:rFonts w:hint="eastAsia"/>
          <w:color w:val="000000" w:themeColor="text1"/>
          <w14:textFill>
            <w14:solidFill>
              <w14:schemeClr w14:val="tx1"/>
            </w14:solidFill>
          </w14:textFill>
        </w:rPr>
        <w:t>式（</w:t>
      </w:r>
      <w:r>
        <w:rPr>
          <w:color w:val="000000" w:themeColor="text1"/>
          <w14:textFill>
            <w14:solidFill>
              <w14:schemeClr w14:val="tx1"/>
            </w14:solidFill>
          </w14:textFill>
        </w:rPr>
        <w:t>2</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3</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得到</w:t>
      </w:r>
      <w:r>
        <w:rPr>
          <w:rFonts w:hint="eastAsia"/>
          <w:color w:val="000000" w:themeColor="text1"/>
          <w14:textFill>
            <w14:solidFill>
              <w14:schemeClr w14:val="tx1"/>
            </w14:solidFill>
          </w14:textFill>
        </w:rPr>
        <w:t>垂线</w:t>
      </w:r>
      <w:r>
        <w:rPr>
          <w:color w:val="000000" w:themeColor="text1"/>
          <w14:textFill>
            <w14:solidFill>
              <w14:schemeClr w14:val="tx1"/>
            </w14:solidFill>
          </w14:textFill>
        </w:rPr>
        <w:t>平均</w:t>
      </w:r>
      <w:r>
        <w:rPr>
          <w:rFonts w:hint="eastAsia"/>
          <w:color w:val="000000" w:themeColor="text1"/>
          <w14:textFill>
            <w14:solidFill>
              <w14:schemeClr w14:val="tx1"/>
            </w14:solidFill>
          </w14:textFill>
        </w:rPr>
        <w:t>的</w:t>
      </w:r>
      <w:r>
        <w:rPr>
          <w:color w:val="000000" w:themeColor="text1"/>
          <w14:textFill>
            <w14:solidFill>
              <w14:schemeClr w14:val="tx1"/>
            </w14:solidFill>
          </w14:textFill>
        </w:rPr>
        <w:t>运动方程：</w:t>
      </w:r>
    </w:p>
    <w:tbl>
      <w:tblPr>
        <w:tblStyle w:val="43"/>
        <w:tblW w:w="0" w:type="auto"/>
        <w:tblInd w:w="0" w:type="dxa"/>
        <w:tblLayout w:type="fixed"/>
        <w:tblCellMar>
          <w:top w:w="0" w:type="dxa"/>
          <w:left w:w="108" w:type="dxa"/>
          <w:bottom w:w="0" w:type="dxa"/>
          <w:right w:w="108" w:type="dxa"/>
        </w:tblCellMar>
      </w:tblPr>
      <w:tblGrid>
        <w:gridCol w:w="7848"/>
        <w:gridCol w:w="1260"/>
      </w:tblGrid>
      <w:tr w14:paraId="7A4B6103">
        <w:tblPrEx>
          <w:tblCellMar>
            <w:top w:w="0" w:type="dxa"/>
            <w:left w:w="108" w:type="dxa"/>
            <w:bottom w:w="0" w:type="dxa"/>
            <w:right w:w="108" w:type="dxa"/>
          </w:tblCellMar>
        </w:tblPrEx>
        <w:tc>
          <w:tcPr>
            <w:tcW w:w="7848" w:type="dxa"/>
            <w:vAlign w:val="center"/>
          </w:tcPr>
          <w:p w14:paraId="0848B25F">
            <w:pPr>
              <w:ind w:firstLine="480"/>
              <w:jc w:val="center"/>
              <w:rPr>
                <w:color w:val="000000" w:themeColor="text1"/>
                <w14:textFill>
                  <w14:solidFill>
                    <w14:schemeClr w14:val="tx1"/>
                  </w14:solidFill>
                </w14:textFill>
              </w:rPr>
            </w:pPr>
            <w:r>
              <w:rPr>
                <w:color w:val="000000" w:themeColor="text1"/>
                <w:position w:val="-68"/>
                <w14:textFill>
                  <w14:solidFill>
                    <w14:schemeClr w14:val="tx1"/>
                  </w14:solidFill>
                </w14:textFill>
              </w:rPr>
              <w:object>
                <v:shape id="_x0000_i1058" o:spt="75" type="#_x0000_t75" style="height:74.25pt;width:300pt;" o:ole="t" filled="f" o:preferrelative="t" stroked="f" coordsize="21600,21600">
                  <v:path/>
                  <v:fill on="f" focussize="0,0"/>
                  <v:stroke on="f" joinstyle="miter"/>
                  <v:imagedata r:id="rId153" o:title=""/>
                  <o:lock v:ext="edit" aspectratio="t"/>
                  <w10:wrap type="none"/>
                  <w10:anchorlock/>
                </v:shape>
                <o:OLEObject Type="Embed" ProgID="Equation.3" ShapeID="_x0000_i1058" DrawAspect="Content" ObjectID="_1468075758" r:id="rId152">
                  <o:LockedField>false</o:LockedField>
                </o:OLEObject>
              </w:object>
            </w:r>
          </w:p>
        </w:tc>
        <w:tc>
          <w:tcPr>
            <w:tcW w:w="1260" w:type="dxa"/>
            <w:vAlign w:val="center"/>
          </w:tcPr>
          <w:p w14:paraId="5EB39198">
            <w:pPr>
              <w:ind w:firstLine="48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（6）</w:t>
            </w:r>
          </w:p>
        </w:tc>
      </w:tr>
    </w:tbl>
    <w:p w14:paraId="3D3C3AF9">
      <w:pPr>
        <w:autoSpaceDE w:val="0"/>
        <w:autoSpaceDN w:val="0"/>
        <w:adjustRightInd w:val="0"/>
        <w:ind w:firstLine="480"/>
        <w:jc w:val="left"/>
        <w:rPr>
          <w:color w:val="000000" w:themeColor="text1"/>
          <w14:textFill>
            <w14:solidFill>
              <w14:schemeClr w14:val="tx1"/>
            </w14:solidFill>
          </w14:textFill>
        </w:rPr>
      </w:pPr>
    </w:p>
    <w:tbl>
      <w:tblPr>
        <w:tblStyle w:val="43"/>
        <w:tblW w:w="0" w:type="auto"/>
        <w:tblInd w:w="0" w:type="dxa"/>
        <w:tblLayout w:type="fixed"/>
        <w:tblCellMar>
          <w:top w:w="0" w:type="dxa"/>
          <w:left w:w="108" w:type="dxa"/>
          <w:bottom w:w="0" w:type="dxa"/>
          <w:right w:w="108" w:type="dxa"/>
        </w:tblCellMar>
      </w:tblPr>
      <w:tblGrid>
        <w:gridCol w:w="7848"/>
        <w:gridCol w:w="1260"/>
      </w:tblGrid>
      <w:tr w14:paraId="45EE677C">
        <w:tblPrEx>
          <w:tblCellMar>
            <w:top w:w="0" w:type="dxa"/>
            <w:left w:w="108" w:type="dxa"/>
            <w:bottom w:w="0" w:type="dxa"/>
            <w:right w:w="108" w:type="dxa"/>
          </w:tblCellMar>
        </w:tblPrEx>
        <w:tc>
          <w:tcPr>
            <w:tcW w:w="7848" w:type="dxa"/>
            <w:vAlign w:val="center"/>
          </w:tcPr>
          <w:p w14:paraId="20E1F456">
            <w:pPr>
              <w:ind w:firstLine="480"/>
              <w:jc w:val="center"/>
              <w:rPr>
                <w:color w:val="000000" w:themeColor="text1"/>
                <w14:textFill>
                  <w14:solidFill>
                    <w14:schemeClr w14:val="tx1"/>
                  </w14:solidFill>
                </w14:textFill>
              </w:rPr>
            </w:pPr>
            <w:r>
              <w:rPr>
                <w:color w:val="000000" w:themeColor="text1"/>
                <w:position w:val="-68"/>
                <w14:textFill>
                  <w14:solidFill>
                    <w14:schemeClr w14:val="tx1"/>
                  </w14:solidFill>
                </w14:textFill>
              </w:rPr>
              <w:object>
                <v:shape id="_x0000_i1059" o:spt="75" type="#_x0000_t75" style="height:74.25pt;width:306pt;" o:ole="t" filled="f" o:preferrelative="t" stroked="f" coordsize="21600,21600">
                  <v:path/>
                  <v:fill on="f" focussize="0,0"/>
                  <v:stroke on="f" joinstyle="miter"/>
                  <v:imagedata r:id="rId155" o:title=""/>
                  <o:lock v:ext="edit" aspectratio="t"/>
                  <w10:wrap type="none"/>
                  <w10:anchorlock/>
                </v:shape>
                <o:OLEObject Type="Embed" ProgID="Equation.3" ShapeID="_x0000_i1059" DrawAspect="Content" ObjectID="_1468075759" r:id="rId154">
                  <o:LockedField>false</o:LockedField>
                </o:OLEObject>
              </w:object>
            </w:r>
          </w:p>
        </w:tc>
        <w:tc>
          <w:tcPr>
            <w:tcW w:w="1260" w:type="dxa"/>
            <w:vAlign w:val="center"/>
          </w:tcPr>
          <w:p w14:paraId="21AAFC84">
            <w:pPr>
              <w:ind w:firstLine="48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（7）</w:t>
            </w:r>
          </w:p>
        </w:tc>
      </w:tr>
    </w:tbl>
    <w:p w14:paraId="76FE908B">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模型固定（岸）边界以法向流速为零处理，即</w:t>
      </w:r>
      <w:r>
        <w:rPr>
          <w:color w:val="000000" w:themeColor="text1"/>
          <w:position w:val="-24"/>
          <w14:textFill>
            <w14:solidFill>
              <w14:schemeClr w14:val="tx1"/>
            </w14:solidFill>
          </w14:textFill>
        </w:rPr>
        <w:object>
          <v:shape id="_x0000_i1060" o:spt="75" type="#_x0000_t75" style="height:31.5pt;width:39.75pt;" o:ole="t" filled="f" o:preferrelative="t" stroked="f" coordsize="21600,21600">
            <v:path/>
            <v:fill on="f" focussize="0,0"/>
            <v:stroke on="f" joinstyle="miter"/>
            <v:imagedata r:id="rId157" o:title=""/>
            <o:lock v:ext="edit" aspectratio="t"/>
            <w10:wrap type="none"/>
            <w10:anchorlock/>
          </v:shape>
          <o:OLEObject Type="Embed" ProgID="Equation.3" ShapeID="_x0000_i1060" DrawAspect="Content" ObjectID="_1468075760" r:id="rId156">
            <o:LockedField>false</o:LockedField>
          </o:OLEObject>
        </w:object>
      </w:r>
      <w:r>
        <w:rPr>
          <w:rFonts w:hint="eastAsia"/>
          <w:color w:val="000000" w:themeColor="text1"/>
          <w14:textFill>
            <w14:solidFill>
              <w14:schemeClr w14:val="tx1"/>
            </w14:solidFill>
          </w14:textFill>
        </w:rPr>
        <w:t>。外海开边界由潮位控制，其潮位数据由NAO大洋潮汐预报模式提供，并结合沿岸潮位站验证资料予以调整。</w:t>
      </w:r>
      <w:r>
        <w:rPr>
          <w:color w:val="000000" w:themeColor="text1"/>
          <w14:textFill>
            <w14:solidFill>
              <w14:schemeClr w14:val="tx1"/>
            </w14:solidFill>
          </w14:textFill>
        </w:rPr>
        <w:t xml:space="preserve">NAO (National Astronomical Observatory in </w:t>
      </w:r>
      <w:r>
        <w:rPr>
          <w:rFonts w:hint="eastAsia"/>
          <w:color w:val="000000" w:themeColor="text1"/>
          <w14:textFill>
            <w14:solidFill>
              <w14:schemeClr w14:val="tx1"/>
            </w14:solidFill>
          </w14:textFill>
        </w:rPr>
        <w:t>Japan)全球潮汐模式是由Matsumoto， et al.(2000)采用</w:t>
      </w:r>
      <w:r>
        <w:rPr>
          <w:color w:val="000000" w:themeColor="text1"/>
          <w14:textFill>
            <w14:solidFill>
              <w14:schemeClr w14:val="tx1"/>
            </w14:solidFill>
          </w14:textFill>
        </w:rPr>
        <w:t>TOPEX/POSEIDON</w:t>
      </w:r>
      <w:r>
        <w:rPr>
          <w:rFonts w:hint="eastAsia"/>
          <w:color w:val="000000" w:themeColor="text1"/>
          <w14:textFill>
            <w14:solidFill>
              <w14:schemeClr w14:val="tx1"/>
            </w14:solidFill>
          </w14:textFill>
        </w:rPr>
        <w:t>卫星高度计资料</w:t>
      </w:r>
      <w:r>
        <w:rPr>
          <w:rFonts w:hint="eastAsia" w:cs="宋体"/>
          <w:color w:val="000000" w:themeColor="text1"/>
          <w14:textFill>
            <w14:solidFill>
              <w14:schemeClr w14:val="tx1"/>
            </w14:solidFill>
          </w14:textFill>
        </w:rPr>
        <w:t>，结合水动力模式与资料同化技术研发而成。该模式设计上包含全球及区域模式两部分：环球模式（</w:t>
      </w:r>
      <w:r>
        <w:rPr>
          <w:rFonts w:hint="eastAsia"/>
          <w:color w:val="000000" w:themeColor="text1"/>
          <w14:textFill>
            <w14:solidFill>
              <w14:schemeClr w14:val="tx1"/>
            </w14:solidFill>
          </w14:textFill>
        </w:rPr>
        <w:t>Naotide</w:t>
      </w:r>
      <w:r>
        <w:rPr>
          <w:rFonts w:hint="eastAsia" w:cs="宋体"/>
          <w:color w:val="000000" w:themeColor="text1"/>
          <w14:textFill>
            <w14:solidFill>
              <w14:schemeClr w14:val="tx1"/>
            </w14:solidFill>
          </w14:textFill>
        </w:rPr>
        <w:t>）具有0.5°的空间分辨率；区域模式（</w:t>
      </w:r>
      <w:r>
        <w:rPr>
          <w:rFonts w:hint="eastAsia"/>
          <w:color w:val="000000" w:themeColor="text1"/>
          <w14:textFill>
            <w14:solidFill>
              <w14:schemeClr w14:val="tx1"/>
            </w14:solidFill>
          </w14:textFill>
        </w:rPr>
        <w:t>NaotideJ</w:t>
      </w:r>
      <w:r>
        <w:rPr>
          <w:rFonts w:hint="eastAsia" w:cs="宋体"/>
          <w:color w:val="000000" w:themeColor="text1"/>
          <w14:textFill>
            <w14:solidFill>
              <w14:schemeClr w14:val="tx1"/>
            </w14:solidFill>
          </w14:textFill>
        </w:rPr>
        <w:t>）的空间分辨率为5′，细部海域包括了110°E-165°E以及20°N-65°N的范围。整体模式中，</w:t>
      </w:r>
      <w:r>
        <w:rPr>
          <w:rFonts w:hint="eastAsia"/>
          <w:color w:val="000000" w:themeColor="text1"/>
          <w14:textFill>
            <w14:solidFill>
              <w14:schemeClr w14:val="tx1"/>
            </w14:solidFill>
          </w14:textFill>
        </w:rPr>
        <w:t>NAO99b及NAO99Jb提供了包含 M2、S2、K1、O1、N2、P1、K2、Q1、M1、J1、OO1、2N2、Mu2、Nu2、L2、T2 等共16个天文分潮的调和常数，适用于中国沿海特定期间的短期逐时潮位预报，经与实测潮位值进行比较后得知，除近岸一些地方因局部地形复杂而误差较大外，多数潮位站的预报值与实测值较为接近，其预报结果在日本、台湾、福建以及广东等海域获得较多应用。</w:t>
      </w:r>
    </w:p>
    <w:p w14:paraId="1C50D8C5">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控制方程组的数值求解采用有限体积法，其基本思想是将微分守恒律在</w:t>
      </w:r>
      <w:r>
        <w:rPr>
          <w:color w:val="000000" w:themeColor="text1"/>
          <w14:textFill>
            <w14:solidFill>
              <w14:schemeClr w14:val="tx1"/>
            </w14:solidFill>
          </w14:textFill>
        </w:rPr>
        <w:t>某一个</w:t>
      </w:r>
      <w:r>
        <w:rPr>
          <w:rFonts w:hint="eastAsia"/>
          <w:color w:val="000000" w:themeColor="text1"/>
          <w14:textFill>
            <w14:solidFill>
              <w14:schemeClr w14:val="tx1"/>
            </w14:solidFill>
          </w14:textFill>
        </w:rPr>
        <w:t>控制体</w:t>
      </w:r>
      <w:r>
        <w:rPr>
          <w:color w:val="000000" w:themeColor="text1"/>
          <w14:textFill>
            <w14:solidFill>
              <w14:schemeClr w14:val="tx1"/>
            </w14:solidFill>
          </w14:textFill>
        </w:rPr>
        <w:t>上积分，得到守恒律的积分形式，再对</w:t>
      </w:r>
      <w:r>
        <w:rPr>
          <w:rFonts w:hint="eastAsia"/>
          <w:color w:val="000000" w:themeColor="text1"/>
          <w14:textFill>
            <w14:solidFill>
              <w14:schemeClr w14:val="tx1"/>
            </w14:solidFill>
          </w14:textFill>
        </w:rPr>
        <w:t>其</w:t>
      </w:r>
      <w:r>
        <w:rPr>
          <w:color w:val="000000" w:themeColor="text1"/>
          <w14:textFill>
            <w14:solidFill>
              <w14:schemeClr w14:val="tx1"/>
            </w14:solidFill>
          </w14:textFill>
        </w:rPr>
        <w:t>离散</w:t>
      </w:r>
      <w:r>
        <w:rPr>
          <w:rFonts w:hint="eastAsia"/>
          <w:color w:val="000000" w:themeColor="text1"/>
          <w14:textFill>
            <w14:solidFill>
              <w14:schemeClr w14:val="tx1"/>
            </w14:solidFill>
          </w14:textFill>
        </w:rPr>
        <w:t>求解。有限体积法吸收、继承了有限差分与有限元法的众多优点，在控制体内又严格满足物理守恒律，因而获得比较广泛的应用，限于篇幅，对其数值求解过程本报告不再赘述，可参考有关文献。</w:t>
      </w:r>
    </w:p>
    <w:p w14:paraId="28D68086">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模型计算区域见图5.5.1--1，计算范围从广东西部的乌石港附近至越南太平省东北部沿岸连线的以北海域，包括了整个广西沿海。为真实反映计算区域内岛屿众多、岸线曲折状况，采用非结构三角形网格，并在广西沿岸进行局部加密，网格间距局部岸线处约200m，最宽处约7000m，网格单元共计34918个，见图5.5.1--</w:t>
      </w:r>
      <w:r>
        <w:rPr>
          <w:color w:val="000000" w:themeColor="text1"/>
          <w14:textFill>
            <w14:solidFill>
              <w14:schemeClr w14:val="tx1"/>
            </w14:solidFill>
          </w14:textFill>
        </w:rPr>
        <w:t>2</w:t>
      </w:r>
      <w:r>
        <w:rPr>
          <w:rFonts w:hint="eastAsia"/>
          <w:color w:val="000000" w:themeColor="text1"/>
          <w14:textFill>
            <w14:solidFill>
              <w14:schemeClr w14:val="tx1"/>
            </w14:solidFill>
          </w14:textFill>
        </w:rPr>
        <w:t>。</w:t>
      </w:r>
    </w:p>
    <w:p w14:paraId="3FD64CD5">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模型岸线广西沿岸采用现状岸线，越南一侧岸线采用美国海洋大气局(</w:t>
      </w:r>
      <w:r>
        <w:rPr>
          <w:color w:val="000000" w:themeColor="text1"/>
          <w14:textFill>
            <w14:solidFill>
              <w14:schemeClr w14:val="tx1"/>
            </w14:solidFill>
          </w14:textFill>
        </w:rPr>
        <w:t>NOAA</w:t>
      </w:r>
      <w:r>
        <w:rPr>
          <w:rFonts w:hint="eastAsia"/>
          <w:color w:val="000000" w:themeColor="text1"/>
          <w14:textFill>
            <w14:solidFill>
              <w14:schemeClr w14:val="tx1"/>
            </w14:solidFill>
          </w14:textFill>
        </w:rPr>
        <w:t>)提供的数据；水深地形采用中国人民解放军海军司令部航海保证部2005年版之后海图，广西沿岸局部港湾水深更新至201</w:t>
      </w:r>
      <w:r>
        <w:rPr>
          <w:color w:val="000000" w:themeColor="text1"/>
          <w14:textFill>
            <w14:solidFill>
              <w14:schemeClr w14:val="tx1"/>
            </w14:solidFill>
          </w14:textFill>
        </w:rPr>
        <w:t>6</w:t>
      </w:r>
      <w:r>
        <w:rPr>
          <w:rFonts w:hint="eastAsia"/>
          <w:color w:val="000000" w:themeColor="text1"/>
          <w14:textFill>
            <w14:solidFill>
              <w14:schemeClr w14:val="tx1"/>
            </w14:solidFill>
          </w14:textFill>
        </w:rPr>
        <w:t>年。水深及潮位资料统一至当地平均海平面。模型计算起止时间根据实测水文资料而设定，时长约</w:t>
      </w:r>
      <w:r>
        <w:rPr>
          <w:color w:val="000000" w:themeColor="text1"/>
          <w14:textFill>
            <w14:solidFill>
              <w14:schemeClr w14:val="tx1"/>
            </w14:solidFill>
          </w14:textFill>
        </w:rPr>
        <w:t>90d</w:t>
      </w:r>
      <w:r>
        <w:rPr>
          <w:rFonts w:hint="eastAsia"/>
          <w:color w:val="000000" w:themeColor="text1"/>
          <w14:textFill>
            <w14:solidFill>
              <w14:schemeClr w14:val="tx1"/>
            </w14:solidFill>
          </w14:textFill>
        </w:rPr>
        <w:t>。</w:t>
      </w:r>
    </w:p>
    <w:p w14:paraId="42804BE7">
      <w:pPr>
        <w:ind w:firstLine="199" w:firstLineChars="83"/>
        <w:jc w:val="left"/>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5617845" cy="2447925"/>
            <wp:effectExtent l="0" t="0" r="0" b="0"/>
            <wp:docPr id="67" name="图片 67" descr="H:\project\2019\北部湾计算区域n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H:\project\2019\北部湾计算区域nn.jpg"/>
                    <pic:cNvPicPr>
                      <a:picLocks noChangeAspect="1" noChangeArrowheads="1"/>
                    </pic:cNvPicPr>
                  </pic:nvPicPr>
                  <pic:blipFill>
                    <a:blip r:embed="rId158" cstate="print"/>
                    <a:srcRect/>
                    <a:stretch>
                      <a:fillRect/>
                    </a:stretch>
                  </pic:blipFill>
                  <pic:spPr>
                    <a:xfrm>
                      <a:off x="0" y="0"/>
                      <a:ext cx="5618016" cy="2448000"/>
                    </a:xfrm>
                    <a:prstGeom prst="rect">
                      <a:avLst/>
                    </a:prstGeom>
                    <a:noFill/>
                    <a:ln w="9525">
                      <a:noFill/>
                      <a:miter lim="800000"/>
                      <a:headEnd/>
                      <a:tailEnd/>
                    </a:ln>
                  </pic:spPr>
                </pic:pic>
              </a:graphicData>
            </a:graphic>
          </wp:inline>
        </w:drawing>
      </w:r>
    </w:p>
    <w:p w14:paraId="095E03CD">
      <w:pPr>
        <w:ind w:firstLine="482"/>
        <w:jc w:val="center"/>
        <w:rPr>
          <w:b/>
          <w:color w:val="000000" w:themeColor="text1"/>
          <w14:textFill>
            <w14:solidFill>
              <w14:schemeClr w14:val="tx1"/>
            </w14:solidFill>
          </w14:textFill>
        </w:rPr>
      </w:pPr>
      <w:r>
        <w:rPr>
          <w:rFonts w:hint="eastAsia"/>
          <w:b/>
          <w:color w:val="000000" w:themeColor="text1"/>
          <w14:textFill>
            <w14:solidFill>
              <w14:schemeClr w14:val="tx1"/>
            </w14:solidFill>
          </w14:textFill>
        </w:rPr>
        <w:t>图</w:t>
      </w:r>
      <w:r>
        <w:rPr>
          <w:b/>
          <w:color w:val="000000" w:themeColor="text1"/>
          <w14:textFill>
            <w14:solidFill>
              <w14:schemeClr w14:val="tx1"/>
            </w14:solidFill>
          </w14:textFill>
        </w:rPr>
        <w:t>5.5.1--1</w:t>
      </w:r>
      <w:r>
        <w:rPr>
          <w:rFonts w:hint="eastAsia"/>
          <w:b/>
          <w:color w:val="000000" w:themeColor="text1"/>
          <w14:textFill>
            <w14:solidFill>
              <w14:schemeClr w14:val="tx1"/>
            </w14:solidFill>
          </w14:textFill>
        </w:rPr>
        <w:t xml:space="preserve"> 北部湾潮波模型计算区域</w:t>
      </w:r>
    </w:p>
    <w:p w14:paraId="0ECC56FB">
      <w:pPr>
        <w:ind w:firstLine="199" w:firstLineChars="83"/>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5274310" cy="2294255"/>
            <wp:effectExtent l="0" t="0" r="0" b="0"/>
            <wp:docPr id="68" name="图片 68" descr="G:\project\2024\maiweihai-yiliu\prj\图\北部湾网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G:\project\2024\maiweihai-yiliu\prj\图\北部湾网格‘.jpg"/>
                    <pic:cNvPicPr>
                      <a:picLocks noChangeAspect="1" noChangeArrowheads="1"/>
                    </pic:cNvPicPr>
                  </pic:nvPicPr>
                  <pic:blipFill>
                    <a:blip r:embed="rId159" cstate="print">
                      <a:extLst>
                        <a:ext uri="{28A0092B-C50C-407E-A947-70E740481C1C}">
                          <a14:useLocalDpi xmlns:a14="http://schemas.microsoft.com/office/drawing/2010/main" val="0"/>
                        </a:ext>
                      </a:extLst>
                    </a:blip>
                    <a:srcRect l="1626" t="1406" r="1204" b="32759"/>
                    <a:stretch>
                      <a:fillRect/>
                    </a:stretch>
                  </pic:blipFill>
                  <pic:spPr>
                    <a:xfrm>
                      <a:off x="0" y="0"/>
                      <a:ext cx="5274310" cy="2294343"/>
                    </a:xfrm>
                    <a:prstGeom prst="rect">
                      <a:avLst/>
                    </a:prstGeom>
                    <a:noFill/>
                    <a:ln>
                      <a:noFill/>
                    </a:ln>
                  </pic:spPr>
                </pic:pic>
              </a:graphicData>
            </a:graphic>
          </wp:inline>
        </w:drawing>
      </w:r>
    </w:p>
    <w:p w14:paraId="64C457C3">
      <w:pPr>
        <w:ind w:firstLine="482"/>
        <w:jc w:val="center"/>
        <w:rPr>
          <w:b/>
          <w:color w:val="000000" w:themeColor="text1"/>
          <w14:textFill>
            <w14:solidFill>
              <w14:schemeClr w14:val="tx1"/>
            </w14:solidFill>
          </w14:textFill>
        </w:rPr>
      </w:pPr>
      <w:r>
        <w:rPr>
          <w:rFonts w:hint="eastAsia"/>
          <w:b/>
          <w:color w:val="000000" w:themeColor="text1"/>
          <w14:textFill>
            <w14:solidFill>
              <w14:schemeClr w14:val="tx1"/>
            </w14:solidFill>
          </w14:textFill>
        </w:rPr>
        <w:t>图5.5.1--</w:t>
      </w:r>
      <w:r>
        <w:rPr>
          <w:b/>
          <w:color w:val="000000" w:themeColor="text1"/>
          <w14:textFill>
            <w14:solidFill>
              <w14:schemeClr w14:val="tx1"/>
            </w14:solidFill>
          </w14:textFill>
        </w:rPr>
        <w:t>2</w:t>
      </w:r>
      <w:r>
        <w:rPr>
          <w:rFonts w:hint="eastAsia"/>
          <w:b/>
          <w:color w:val="000000" w:themeColor="text1"/>
          <w14:textFill>
            <w14:solidFill>
              <w14:schemeClr w14:val="tx1"/>
            </w14:solidFill>
          </w14:textFill>
        </w:rPr>
        <w:t>北部湾计算区域网格剖分</w:t>
      </w:r>
    </w:p>
    <w:p w14:paraId="2BFB48BD">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为验证北部湾大范围潮波模型的准确性，选取白龙尾、涠洲岛、企沙验潮站2022年1月的潮位资料对模型进行验证，验证点位置见图</w:t>
      </w:r>
      <w:r>
        <w:rPr>
          <w:b/>
          <w:color w:val="000000" w:themeColor="text1"/>
          <w14:textFill>
            <w14:solidFill>
              <w14:schemeClr w14:val="tx1"/>
            </w14:solidFill>
          </w14:textFill>
        </w:rPr>
        <w:t>5.5.1--1</w:t>
      </w:r>
      <w:r>
        <w:rPr>
          <w:rFonts w:hint="eastAsia"/>
          <w:color w:val="000000" w:themeColor="text1"/>
          <w14:textFill>
            <w14:solidFill>
              <w14:schemeClr w14:val="tx1"/>
            </w14:solidFill>
          </w14:textFill>
        </w:rPr>
        <w:t>，图</w:t>
      </w:r>
      <w:r>
        <w:rPr>
          <w:b/>
          <w:color w:val="000000" w:themeColor="text1"/>
          <w14:textFill>
            <w14:solidFill>
              <w14:schemeClr w14:val="tx1"/>
            </w14:solidFill>
          </w14:textFill>
        </w:rPr>
        <w:t>5.5.1</w:t>
      </w:r>
      <w:r>
        <w:rPr>
          <w:rFonts w:hint="eastAsia"/>
          <w:color w:val="000000" w:themeColor="text1"/>
          <w14:textFill>
            <w14:solidFill>
              <w14:schemeClr w14:val="tx1"/>
            </w14:solidFill>
          </w14:textFill>
        </w:rPr>
        <w:t>-3~图</w:t>
      </w:r>
      <w:r>
        <w:rPr>
          <w:b/>
          <w:color w:val="000000" w:themeColor="text1"/>
          <w14:textFill>
            <w14:solidFill>
              <w14:schemeClr w14:val="tx1"/>
            </w14:solidFill>
          </w14:textFill>
        </w:rPr>
        <w:t>5.5.1</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5</w:t>
      </w:r>
      <w:r>
        <w:rPr>
          <w:rFonts w:hint="eastAsia"/>
          <w:color w:val="000000" w:themeColor="text1"/>
          <w14:textFill>
            <w14:solidFill>
              <w14:schemeClr w14:val="tx1"/>
            </w14:solidFill>
          </w14:textFill>
        </w:rPr>
        <w:t>为三个潮位站的潮位对比结果，从图中可见，计算结果与实测值吻合较好，表明模型较好模拟了北部湾海域潮波运动过程，可为局部计算区域提供边界条件。</w:t>
      </w:r>
    </w:p>
    <w:p w14:paraId="11197E62">
      <w:pPr>
        <w:ind w:firstLine="199" w:firstLineChars="83"/>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5591175" cy="1381125"/>
            <wp:effectExtent l="0" t="0" r="9525" b="9525"/>
            <wp:docPr id="69" name="图片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446"/>
                    <pic:cNvPicPr>
                      <a:picLocks noChangeAspect="1" noChangeArrowheads="1"/>
                    </pic:cNvPicPr>
                  </pic:nvPicPr>
                  <pic:blipFill>
                    <a:blip r:embed="rId160" cstate="print"/>
                    <a:srcRect/>
                    <a:stretch>
                      <a:fillRect/>
                    </a:stretch>
                  </pic:blipFill>
                  <pic:spPr>
                    <a:xfrm>
                      <a:off x="0" y="0"/>
                      <a:ext cx="5591175" cy="1381125"/>
                    </a:xfrm>
                    <a:prstGeom prst="rect">
                      <a:avLst/>
                    </a:prstGeom>
                    <a:noFill/>
                    <a:ln w="9525">
                      <a:noFill/>
                      <a:miter lim="800000"/>
                      <a:headEnd/>
                      <a:tailEnd/>
                    </a:ln>
                  </pic:spPr>
                </pic:pic>
              </a:graphicData>
            </a:graphic>
          </wp:inline>
        </w:drawing>
      </w:r>
    </w:p>
    <w:p w14:paraId="30792067">
      <w:pPr>
        <w:ind w:firstLine="482"/>
        <w:jc w:val="center"/>
        <w:rPr>
          <w:b/>
          <w:color w:val="000000" w:themeColor="text1"/>
          <w14:textFill>
            <w14:solidFill>
              <w14:schemeClr w14:val="tx1"/>
            </w14:solidFill>
          </w14:textFill>
        </w:rPr>
      </w:pPr>
      <w:r>
        <w:rPr>
          <w:rFonts w:hint="eastAsia"/>
          <w:b/>
          <w:color w:val="000000" w:themeColor="text1"/>
          <w14:textFill>
            <w14:solidFill>
              <w14:schemeClr w14:val="tx1"/>
            </w14:solidFill>
          </w14:textFill>
        </w:rPr>
        <w:t>图</w:t>
      </w:r>
      <w:r>
        <w:rPr>
          <w:b/>
          <w:color w:val="000000" w:themeColor="text1"/>
          <w14:textFill>
            <w14:solidFill>
              <w14:schemeClr w14:val="tx1"/>
            </w14:solidFill>
          </w14:textFill>
        </w:rPr>
        <w:t>5.5.1</w:t>
      </w:r>
      <w:r>
        <w:rPr>
          <w:rFonts w:hint="eastAsia"/>
          <w:b/>
          <w:color w:val="000000" w:themeColor="text1"/>
          <w14:textFill>
            <w14:solidFill>
              <w14:schemeClr w14:val="tx1"/>
            </w14:solidFill>
          </w14:textFill>
        </w:rPr>
        <w:t>-3 白龙尾潮位验证</w:t>
      </w:r>
    </w:p>
    <w:p w14:paraId="547D874C">
      <w:pPr>
        <w:ind w:firstLine="199" w:firstLineChars="83"/>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5572125" cy="1381125"/>
            <wp:effectExtent l="0" t="0" r="9525" b="9525"/>
            <wp:docPr id="70" name="图片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447"/>
                    <pic:cNvPicPr>
                      <a:picLocks noChangeAspect="1" noChangeArrowheads="1"/>
                    </pic:cNvPicPr>
                  </pic:nvPicPr>
                  <pic:blipFill>
                    <a:blip r:embed="rId161" cstate="print"/>
                    <a:srcRect/>
                    <a:stretch>
                      <a:fillRect/>
                    </a:stretch>
                  </pic:blipFill>
                  <pic:spPr>
                    <a:xfrm>
                      <a:off x="0" y="0"/>
                      <a:ext cx="5572125" cy="1381125"/>
                    </a:xfrm>
                    <a:prstGeom prst="rect">
                      <a:avLst/>
                    </a:prstGeom>
                    <a:noFill/>
                    <a:ln w="9525">
                      <a:noFill/>
                      <a:miter lim="800000"/>
                      <a:headEnd/>
                      <a:tailEnd/>
                    </a:ln>
                  </pic:spPr>
                </pic:pic>
              </a:graphicData>
            </a:graphic>
          </wp:inline>
        </w:drawing>
      </w:r>
    </w:p>
    <w:p w14:paraId="1ABEC38B">
      <w:pPr>
        <w:ind w:firstLine="482"/>
        <w:jc w:val="center"/>
        <w:rPr>
          <w:b/>
          <w:color w:val="000000" w:themeColor="text1"/>
          <w14:textFill>
            <w14:solidFill>
              <w14:schemeClr w14:val="tx1"/>
            </w14:solidFill>
          </w14:textFill>
        </w:rPr>
      </w:pPr>
      <w:r>
        <w:rPr>
          <w:rFonts w:hint="eastAsia"/>
          <w:b/>
          <w:color w:val="000000" w:themeColor="text1"/>
          <w14:textFill>
            <w14:solidFill>
              <w14:schemeClr w14:val="tx1"/>
            </w14:solidFill>
          </w14:textFill>
        </w:rPr>
        <w:t>图</w:t>
      </w:r>
      <w:r>
        <w:rPr>
          <w:b/>
          <w:color w:val="000000" w:themeColor="text1"/>
          <w14:textFill>
            <w14:solidFill>
              <w14:schemeClr w14:val="tx1"/>
            </w14:solidFill>
          </w14:textFill>
        </w:rPr>
        <w:t>5.5.1</w:t>
      </w:r>
      <w:r>
        <w:rPr>
          <w:rFonts w:hint="eastAsia"/>
          <w:b/>
          <w:color w:val="000000" w:themeColor="text1"/>
          <w14:textFill>
            <w14:solidFill>
              <w14:schemeClr w14:val="tx1"/>
            </w14:solidFill>
          </w14:textFill>
        </w:rPr>
        <w:t>-4 涠洲岛潮位验证</w:t>
      </w:r>
    </w:p>
    <w:p w14:paraId="265CA7CA">
      <w:pPr>
        <w:ind w:firstLine="198" w:firstLineChars="82"/>
        <w:rPr>
          <w:b/>
          <w:color w:val="000000" w:themeColor="text1"/>
          <w14:textFill>
            <w14:solidFill>
              <w14:schemeClr w14:val="tx1"/>
            </w14:solidFill>
          </w14:textFill>
        </w:rPr>
      </w:pPr>
      <w:r>
        <w:rPr>
          <w:b/>
          <w:color w:val="000000" w:themeColor="text1"/>
          <w14:textFill>
            <w14:solidFill>
              <w14:schemeClr w14:val="tx1"/>
            </w14:solidFill>
          </w14:textFill>
        </w:rPr>
        <w:drawing>
          <wp:inline distT="0" distB="0" distL="0" distR="0">
            <wp:extent cx="5591175" cy="1381125"/>
            <wp:effectExtent l="0" t="0" r="9525" b="9525"/>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a:xfrm>
                      <a:off x="0" y="0"/>
                      <a:ext cx="5596337" cy="1382400"/>
                    </a:xfrm>
                    <a:prstGeom prst="rect">
                      <a:avLst/>
                    </a:prstGeom>
                    <a:noFill/>
                  </pic:spPr>
                </pic:pic>
              </a:graphicData>
            </a:graphic>
          </wp:inline>
        </w:drawing>
      </w:r>
    </w:p>
    <w:p w14:paraId="412F5A39">
      <w:pPr>
        <w:ind w:firstLine="482"/>
        <w:jc w:val="center"/>
        <w:rPr>
          <w:b/>
          <w:color w:val="000000" w:themeColor="text1"/>
          <w14:textFill>
            <w14:solidFill>
              <w14:schemeClr w14:val="tx1"/>
            </w14:solidFill>
          </w14:textFill>
        </w:rPr>
      </w:pPr>
      <w:r>
        <w:rPr>
          <w:rFonts w:hint="eastAsia"/>
          <w:b/>
          <w:color w:val="000000" w:themeColor="text1"/>
          <w14:textFill>
            <w14:solidFill>
              <w14:schemeClr w14:val="tx1"/>
            </w14:solidFill>
          </w14:textFill>
        </w:rPr>
        <w:t>图</w:t>
      </w:r>
      <w:r>
        <w:rPr>
          <w:b/>
          <w:color w:val="000000" w:themeColor="text1"/>
          <w14:textFill>
            <w14:solidFill>
              <w14:schemeClr w14:val="tx1"/>
            </w14:solidFill>
          </w14:textFill>
        </w:rPr>
        <w:t>5.5.1</w:t>
      </w:r>
      <w:r>
        <w:rPr>
          <w:rFonts w:hint="eastAsia"/>
          <w:b/>
          <w:color w:val="000000" w:themeColor="text1"/>
          <w14:textFill>
            <w14:solidFill>
              <w14:schemeClr w14:val="tx1"/>
            </w14:solidFill>
          </w14:textFill>
        </w:rPr>
        <w:t>-</w:t>
      </w:r>
      <w:r>
        <w:rPr>
          <w:b/>
          <w:color w:val="000000" w:themeColor="text1"/>
          <w14:textFill>
            <w14:solidFill>
              <w14:schemeClr w14:val="tx1"/>
            </w14:solidFill>
          </w14:textFill>
        </w:rPr>
        <w:t>5</w:t>
      </w:r>
      <w:r>
        <w:rPr>
          <w:rFonts w:hint="eastAsia"/>
          <w:b/>
          <w:color w:val="000000" w:themeColor="text1"/>
          <w14:textFill>
            <w14:solidFill>
              <w14:schemeClr w14:val="tx1"/>
            </w14:solidFill>
          </w14:textFill>
        </w:rPr>
        <w:t xml:space="preserve"> 企沙潮位验证</w:t>
      </w:r>
    </w:p>
    <w:p w14:paraId="0974397C">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为对北部湾潮流运动状况有一个初步了解，图</w:t>
      </w:r>
      <w:r>
        <w:rPr>
          <w:b/>
          <w:color w:val="000000" w:themeColor="text1"/>
          <w14:textFill>
            <w14:solidFill>
              <w14:schemeClr w14:val="tx1"/>
            </w14:solidFill>
          </w14:textFill>
        </w:rPr>
        <w:t>5.5.1</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6</w:t>
      </w:r>
      <w:r>
        <w:rPr>
          <w:rFonts w:hint="eastAsia"/>
          <w:color w:val="000000" w:themeColor="text1"/>
          <w14:textFill>
            <w14:solidFill>
              <w14:schemeClr w14:val="tx1"/>
            </w14:solidFill>
          </w14:textFill>
        </w:rPr>
        <w:t>与图</w:t>
      </w:r>
      <w:r>
        <w:rPr>
          <w:b/>
          <w:color w:val="000000" w:themeColor="text1"/>
          <w14:textFill>
            <w14:solidFill>
              <w14:schemeClr w14:val="tx1"/>
            </w14:solidFill>
          </w14:textFill>
        </w:rPr>
        <w:t>5.5.1</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7</w:t>
      </w:r>
      <w:r>
        <w:rPr>
          <w:rFonts w:hint="eastAsia"/>
          <w:color w:val="000000" w:themeColor="text1"/>
          <w14:textFill>
            <w14:solidFill>
              <w14:schemeClr w14:val="tx1"/>
            </w14:solidFill>
          </w14:textFill>
        </w:rPr>
        <w:t>分别给出了北部湾大潮期间涨急、落急时刻的流场。</w:t>
      </w:r>
    </w:p>
    <w:p w14:paraId="39D5E957">
      <w:pPr>
        <w:ind w:firstLine="480"/>
        <w:jc w:val="cente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114300" distR="114300">
            <wp:extent cx="5349240" cy="3959860"/>
            <wp:effectExtent l="0" t="0" r="0" b="0"/>
            <wp:docPr id="77" name="图片 77" descr="16375434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1637543437(1)"/>
                    <pic:cNvPicPr>
                      <a:picLocks noChangeAspect="1"/>
                    </pic:cNvPicPr>
                  </pic:nvPicPr>
                  <pic:blipFill>
                    <a:blip r:embed="rId163"/>
                    <a:stretch>
                      <a:fillRect/>
                    </a:stretch>
                  </pic:blipFill>
                  <pic:spPr>
                    <a:xfrm>
                      <a:off x="0" y="0"/>
                      <a:ext cx="5349728" cy="3960000"/>
                    </a:xfrm>
                    <a:prstGeom prst="rect">
                      <a:avLst/>
                    </a:prstGeom>
                  </pic:spPr>
                </pic:pic>
              </a:graphicData>
            </a:graphic>
          </wp:inline>
        </w:drawing>
      </w:r>
    </w:p>
    <w:p w14:paraId="17430591">
      <w:pPr>
        <w:ind w:firstLine="482"/>
        <w:jc w:val="center"/>
        <w:rPr>
          <w:b/>
          <w:color w:val="000000" w:themeColor="text1"/>
          <w14:textFill>
            <w14:solidFill>
              <w14:schemeClr w14:val="tx1"/>
            </w14:solidFill>
          </w14:textFill>
        </w:rPr>
      </w:pPr>
      <w:r>
        <w:rPr>
          <w:rFonts w:hint="eastAsia"/>
          <w:b/>
          <w:color w:val="000000" w:themeColor="text1"/>
          <w14:textFill>
            <w14:solidFill>
              <w14:schemeClr w14:val="tx1"/>
            </w14:solidFill>
          </w14:textFill>
        </w:rPr>
        <w:t>图</w:t>
      </w:r>
      <w:r>
        <w:rPr>
          <w:b/>
          <w:color w:val="000000" w:themeColor="text1"/>
          <w14:textFill>
            <w14:solidFill>
              <w14:schemeClr w14:val="tx1"/>
            </w14:solidFill>
          </w14:textFill>
        </w:rPr>
        <w:t xml:space="preserve">5.5.1-6 </w:t>
      </w:r>
      <w:r>
        <w:rPr>
          <w:rFonts w:hint="eastAsia"/>
          <w:b/>
          <w:color w:val="000000" w:themeColor="text1"/>
          <w14:textFill>
            <w14:solidFill>
              <w14:schemeClr w14:val="tx1"/>
            </w14:solidFill>
          </w14:textFill>
        </w:rPr>
        <w:t>北部湾涨急流场</w:t>
      </w:r>
    </w:p>
    <w:p w14:paraId="04480575">
      <w:pPr>
        <w:ind w:firstLine="48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drawing>
          <wp:inline distT="0" distB="0" distL="114300" distR="114300">
            <wp:extent cx="5345430" cy="3959860"/>
            <wp:effectExtent l="0" t="0" r="0" b="0"/>
            <wp:docPr id="80" name="图片 80" descr="16375433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1637543384(1)"/>
                    <pic:cNvPicPr>
                      <a:picLocks noChangeAspect="1"/>
                    </pic:cNvPicPr>
                  </pic:nvPicPr>
                  <pic:blipFill>
                    <a:blip r:embed="rId164"/>
                    <a:stretch>
                      <a:fillRect/>
                    </a:stretch>
                  </pic:blipFill>
                  <pic:spPr>
                    <a:xfrm>
                      <a:off x="0" y="0"/>
                      <a:ext cx="5345688" cy="3960000"/>
                    </a:xfrm>
                    <a:prstGeom prst="rect">
                      <a:avLst/>
                    </a:prstGeom>
                  </pic:spPr>
                </pic:pic>
              </a:graphicData>
            </a:graphic>
          </wp:inline>
        </w:drawing>
      </w:r>
    </w:p>
    <w:p w14:paraId="60FC6E5E">
      <w:pPr>
        <w:ind w:firstLine="482"/>
        <w:jc w:val="center"/>
        <w:rPr>
          <w:b/>
          <w:color w:val="000000" w:themeColor="text1"/>
          <w14:textFill>
            <w14:solidFill>
              <w14:schemeClr w14:val="tx1"/>
            </w14:solidFill>
          </w14:textFill>
        </w:rPr>
      </w:pPr>
      <w:r>
        <w:rPr>
          <w:rFonts w:hint="eastAsia"/>
          <w:b/>
          <w:color w:val="000000" w:themeColor="text1"/>
          <w14:textFill>
            <w14:solidFill>
              <w14:schemeClr w14:val="tx1"/>
            </w14:solidFill>
          </w14:textFill>
        </w:rPr>
        <w:t>图</w:t>
      </w:r>
      <w:r>
        <w:rPr>
          <w:b/>
          <w:color w:val="000000" w:themeColor="text1"/>
          <w14:textFill>
            <w14:solidFill>
              <w14:schemeClr w14:val="tx1"/>
            </w14:solidFill>
          </w14:textFill>
        </w:rPr>
        <w:t xml:space="preserve">5.5.1-7 </w:t>
      </w:r>
      <w:r>
        <w:rPr>
          <w:rFonts w:hint="eastAsia"/>
          <w:b/>
          <w:color w:val="000000" w:themeColor="text1"/>
          <w14:textFill>
            <w14:solidFill>
              <w14:schemeClr w14:val="tx1"/>
            </w14:solidFill>
          </w14:textFill>
        </w:rPr>
        <w:t>北部湾落急流场</w:t>
      </w:r>
    </w:p>
    <w:p w14:paraId="28F7E547">
      <w:pPr>
        <w:pStyle w:val="4"/>
        <w:rPr>
          <w:color w:val="000000" w:themeColor="text1"/>
          <w14:textFill>
            <w14:solidFill>
              <w14:schemeClr w14:val="tx1"/>
            </w14:solidFill>
          </w14:textFill>
        </w:rPr>
      </w:pPr>
      <w:r>
        <w:rPr>
          <w:rFonts w:hint="eastAsia"/>
          <w:color w:val="000000" w:themeColor="text1"/>
          <w14:textFill>
            <w14:solidFill>
              <w14:schemeClr w14:val="tx1"/>
            </w14:solidFill>
          </w14:textFill>
        </w:rPr>
        <w:t>钦州湾二维潮流数学模型</w:t>
      </w:r>
    </w:p>
    <w:p w14:paraId="722B766B">
      <w:pPr>
        <w:pStyle w:val="6"/>
        <w:ind w:left="0"/>
        <w:rPr>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 模型范围及验证</w:t>
      </w:r>
    </w:p>
    <w:p w14:paraId="7BFECBA1">
      <w:pPr>
        <w:ind w:firstLine="480"/>
        <w:rPr>
          <w:color w:val="000000" w:themeColor="text1"/>
          <w:kern w:val="0"/>
          <w14:textFill>
            <w14:solidFill>
              <w14:schemeClr w14:val="tx1"/>
            </w14:solidFill>
          </w14:textFill>
        </w:rPr>
      </w:pPr>
      <w:r>
        <w:rPr>
          <w:rFonts w:hint="eastAsia"/>
          <w:color w:val="000000" w:themeColor="text1"/>
          <w14:textFill>
            <w14:solidFill>
              <w14:schemeClr w14:val="tx1"/>
            </w14:solidFill>
          </w14:textFill>
        </w:rPr>
        <w:t>钦州湾潮流数学模型的</w:t>
      </w:r>
      <w:r>
        <w:rPr>
          <w:rFonts w:hint="eastAsia"/>
          <w:color w:val="000000" w:themeColor="text1"/>
          <w:kern w:val="0"/>
          <w14:textFill>
            <w14:solidFill>
              <w14:schemeClr w14:val="tx1"/>
            </w14:solidFill>
          </w14:textFill>
        </w:rPr>
        <w:t>计算区域、工程区位置以及验证点布置如图5.5.2-</w:t>
      </w:r>
      <w:r>
        <w:rPr>
          <w:color w:val="000000" w:themeColor="text1"/>
          <w:kern w:val="0"/>
          <w14:textFill>
            <w14:solidFill>
              <w14:schemeClr w14:val="tx1"/>
            </w14:solidFill>
          </w14:textFill>
        </w:rPr>
        <w:t>8</w:t>
      </w:r>
      <w:r>
        <w:rPr>
          <w:rFonts w:hint="eastAsia"/>
          <w:color w:val="000000" w:themeColor="text1"/>
          <w:kern w:val="0"/>
          <w14:textFill>
            <w14:solidFill>
              <w14:schemeClr w14:val="tx1"/>
            </w14:solidFill>
          </w14:textFill>
        </w:rPr>
        <w:t>所示。计算范围为108.3</w:t>
      </w:r>
      <w:r>
        <w:rPr>
          <w:color w:val="000000" w:themeColor="text1"/>
          <w:kern w:val="0"/>
          <w14:textFill>
            <w14:solidFill>
              <w14:schemeClr w14:val="tx1"/>
            </w14:solidFill>
          </w14:textFill>
        </w:rPr>
        <w:t>7</w:t>
      </w:r>
      <w:r>
        <w:rPr>
          <w:rFonts w:hint="eastAsia"/>
          <w:color w:val="000000" w:themeColor="text1"/>
          <w:kern w:val="0"/>
          <w14:textFill>
            <w14:solidFill>
              <w14:schemeClr w14:val="tx1"/>
            </w14:solidFill>
          </w14:textFill>
        </w:rPr>
        <w:t>°~10</w:t>
      </w:r>
      <w:r>
        <w:rPr>
          <w:color w:val="000000" w:themeColor="text1"/>
          <w:kern w:val="0"/>
          <w14:textFill>
            <w14:solidFill>
              <w14:schemeClr w14:val="tx1"/>
            </w14:solidFill>
          </w14:textFill>
        </w:rPr>
        <w:t>9</w:t>
      </w:r>
      <w:r>
        <w:rPr>
          <w:rFonts w:hint="eastAsia"/>
          <w:color w:val="000000" w:themeColor="text1"/>
          <w:kern w:val="0"/>
          <w14:textFill>
            <w14:solidFill>
              <w14:schemeClr w14:val="tx1"/>
            </w14:solidFill>
          </w14:textFill>
        </w:rPr>
        <w:t>.</w:t>
      </w:r>
      <w:r>
        <w:rPr>
          <w:color w:val="000000" w:themeColor="text1"/>
          <w:kern w:val="0"/>
          <w14:textFill>
            <w14:solidFill>
              <w14:schemeClr w14:val="tx1"/>
            </w14:solidFill>
          </w14:textFill>
        </w:rPr>
        <w:t>16</w:t>
      </w:r>
      <w:r>
        <w:rPr>
          <w:rFonts w:hint="eastAsia"/>
          <w:color w:val="000000" w:themeColor="text1"/>
          <w:kern w:val="0"/>
          <w14:textFill>
            <w14:solidFill>
              <w14:schemeClr w14:val="tx1"/>
            </w14:solidFill>
          </w14:textFill>
        </w:rPr>
        <w:t>°E，21.</w:t>
      </w:r>
      <w:r>
        <w:rPr>
          <w:color w:val="000000" w:themeColor="text1"/>
          <w:kern w:val="0"/>
          <w14:textFill>
            <w14:solidFill>
              <w14:schemeClr w14:val="tx1"/>
            </w14:solidFill>
          </w14:textFill>
        </w:rPr>
        <w:t>29</w:t>
      </w:r>
      <w:r>
        <w:rPr>
          <w:rFonts w:hint="eastAsia"/>
          <w:color w:val="000000" w:themeColor="text1"/>
          <w:kern w:val="0"/>
          <w14:textFill>
            <w14:solidFill>
              <w14:schemeClr w14:val="tx1"/>
            </w14:solidFill>
          </w14:textFill>
        </w:rPr>
        <w:t>°~21.9</w:t>
      </w:r>
      <w:r>
        <w:rPr>
          <w:color w:val="000000" w:themeColor="text1"/>
          <w:kern w:val="0"/>
          <w14:textFill>
            <w14:solidFill>
              <w14:schemeClr w14:val="tx1"/>
            </w14:solidFill>
          </w14:textFill>
        </w:rPr>
        <w:t>2</w:t>
      </w:r>
      <w:r>
        <w:rPr>
          <w:rFonts w:hint="eastAsia"/>
          <w:color w:val="000000" w:themeColor="text1"/>
          <w:kern w:val="0"/>
          <w14:textFill>
            <w14:solidFill>
              <w14:schemeClr w14:val="tx1"/>
            </w14:solidFill>
          </w14:textFill>
        </w:rPr>
        <w:t>°N，包括钦州湾和防城港湾部分海域，由于项目所在海域岛屿众多，岸线曲折，采用非结构三角形网格可以较好地贴合自然岸线，提高计算精度和计算效率，并便于各种工程情况的准确布置。计算区域的网格剖分如图5.5.2-</w:t>
      </w:r>
      <w:r>
        <w:rPr>
          <w:color w:val="000000" w:themeColor="text1"/>
          <w:kern w:val="0"/>
          <w14:textFill>
            <w14:solidFill>
              <w14:schemeClr w14:val="tx1"/>
            </w14:solidFill>
          </w14:textFill>
        </w:rPr>
        <w:t>9</w:t>
      </w:r>
      <w:r>
        <w:rPr>
          <w:rFonts w:hint="eastAsia"/>
          <w:color w:val="000000" w:themeColor="text1"/>
          <w:kern w:val="0"/>
          <w14:textFill>
            <w14:solidFill>
              <w14:schemeClr w14:val="tx1"/>
            </w14:solidFill>
          </w14:textFill>
        </w:rPr>
        <w:t>所示，工程区附近的网格进行加密，图1</w:t>
      </w:r>
      <w:r>
        <w:rPr>
          <w:color w:val="000000" w:themeColor="text1"/>
          <w:kern w:val="0"/>
          <w14:textFill>
            <w14:solidFill>
              <w14:schemeClr w14:val="tx1"/>
            </w14:solidFill>
          </w14:textFill>
        </w:rPr>
        <w:t>-10</w:t>
      </w:r>
      <w:r>
        <w:rPr>
          <w:rFonts w:hint="eastAsia"/>
          <w:color w:val="000000" w:themeColor="text1"/>
          <w:kern w:val="0"/>
          <w14:textFill>
            <w14:solidFill>
              <w14:schemeClr w14:val="tx1"/>
            </w14:solidFill>
          </w14:textFill>
        </w:rPr>
        <w:t>为本项目码头附近网格，网格空间边长为</w:t>
      </w:r>
      <w:r>
        <w:rPr>
          <w:color w:val="000000" w:themeColor="text1"/>
          <w:kern w:val="0"/>
          <w14:textFill>
            <w14:solidFill>
              <w14:schemeClr w14:val="tx1"/>
            </w14:solidFill>
          </w14:textFill>
        </w:rPr>
        <w:t>20</w:t>
      </w:r>
      <w:r>
        <w:rPr>
          <w:rFonts w:hint="eastAsia"/>
          <w:color w:val="000000" w:themeColor="text1"/>
          <w:kern w:val="0"/>
          <w14:textFill>
            <w14:solidFill>
              <w14:schemeClr w14:val="tx1"/>
            </w14:solidFill>
          </w14:textFill>
        </w:rPr>
        <w:t>-2500m，网格单元</w:t>
      </w:r>
      <w:r>
        <w:rPr>
          <w:color w:val="000000" w:themeColor="text1"/>
          <w:kern w:val="0"/>
          <w14:textFill>
            <w14:solidFill>
              <w14:schemeClr w14:val="tx1"/>
            </w14:solidFill>
          </w14:textFill>
        </w:rPr>
        <w:t>27627</w:t>
      </w:r>
      <w:r>
        <w:rPr>
          <w:rFonts w:hint="eastAsia"/>
          <w:color w:val="000000" w:themeColor="text1"/>
          <w:kern w:val="0"/>
          <w14:textFill>
            <w14:solidFill>
              <w14:schemeClr w14:val="tx1"/>
            </w14:solidFill>
          </w14:textFill>
        </w:rPr>
        <w:t>个，网格节点</w:t>
      </w:r>
      <w:r>
        <w:rPr>
          <w:color w:val="000000" w:themeColor="text1"/>
          <w:kern w:val="0"/>
          <w14:textFill>
            <w14:solidFill>
              <w14:schemeClr w14:val="tx1"/>
            </w14:solidFill>
          </w14:textFill>
        </w:rPr>
        <w:t>15156</w:t>
      </w:r>
      <w:r>
        <w:rPr>
          <w:rFonts w:hint="eastAsia"/>
          <w:color w:val="000000" w:themeColor="text1"/>
          <w:kern w:val="0"/>
          <w14:textFill>
            <w14:solidFill>
              <w14:schemeClr w14:val="tx1"/>
            </w14:solidFill>
          </w14:textFill>
        </w:rPr>
        <w:t>个。</w:t>
      </w:r>
    </w:p>
    <w:p w14:paraId="3CA0D079">
      <w:pPr>
        <w:ind w:firstLine="480"/>
        <w:rPr>
          <w:color w:val="000000" w:themeColor="text1"/>
          <w:kern w:val="0"/>
          <w14:textFill>
            <w14:solidFill>
              <w14:schemeClr w14:val="tx1"/>
            </w14:solidFill>
          </w14:textFill>
        </w:rPr>
      </w:pPr>
      <w:r>
        <w:rPr>
          <w:rFonts w:hint="eastAsia"/>
          <w:color w:val="000000" w:themeColor="text1"/>
          <w:kern w:val="0"/>
          <w14:textFill>
            <w14:solidFill>
              <w14:schemeClr w14:val="tx1"/>
            </w14:solidFill>
          </w14:textFill>
        </w:rPr>
        <w:t>水深地形数据采用20</w:t>
      </w:r>
      <w:r>
        <w:rPr>
          <w:color w:val="000000" w:themeColor="text1"/>
          <w:kern w:val="0"/>
          <w14:textFill>
            <w14:solidFill>
              <w14:schemeClr w14:val="tx1"/>
            </w14:solidFill>
          </w14:textFill>
        </w:rPr>
        <w:t>22</w:t>
      </w:r>
      <w:r>
        <w:rPr>
          <w:rFonts w:hint="eastAsia"/>
          <w:color w:val="000000" w:themeColor="text1"/>
          <w:kern w:val="0"/>
          <w14:textFill>
            <w14:solidFill>
              <w14:schemeClr w14:val="tx1"/>
            </w14:solidFill>
          </w14:textFill>
        </w:rPr>
        <w:t>年版流沙湾至东兴港、北海港、大风江口、钦州湾、防城港湾海图，以及20</w:t>
      </w:r>
      <w:r>
        <w:rPr>
          <w:color w:val="000000" w:themeColor="text1"/>
          <w:kern w:val="0"/>
          <w14:textFill>
            <w14:solidFill>
              <w14:schemeClr w14:val="tx1"/>
            </w14:solidFill>
          </w14:textFill>
        </w:rPr>
        <w:t>24</w:t>
      </w:r>
      <w:r>
        <w:rPr>
          <w:rFonts w:hint="eastAsia"/>
          <w:color w:val="000000" w:themeColor="text1"/>
          <w:kern w:val="0"/>
          <w14:textFill>
            <w14:solidFill>
              <w14:schemeClr w14:val="tx1"/>
            </w14:solidFill>
          </w14:textFill>
        </w:rPr>
        <w:t>年</w:t>
      </w:r>
      <w:r>
        <w:rPr>
          <w:color w:val="000000" w:themeColor="text1"/>
          <w:kern w:val="0"/>
          <w14:textFill>
            <w14:solidFill>
              <w14:schemeClr w14:val="tx1"/>
            </w14:solidFill>
          </w14:textFill>
        </w:rPr>
        <w:t>8</w:t>
      </w:r>
      <w:r>
        <w:rPr>
          <w:rFonts w:hint="eastAsia"/>
          <w:color w:val="000000" w:themeColor="text1"/>
          <w:kern w:val="0"/>
          <w14:textFill>
            <w14:solidFill>
              <w14:schemeClr w14:val="tx1"/>
            </w14:solidFill>
          </w14:textFill>
        </w:rPr>
        <w:t>月工程区海域局部调查数据，计算区域地形分布如图5.5.2-11所示。岸线采用最新的现状岸线。外海潮位开边界由北部湾潮波模型提供，水深及潮位均统一至国家8</w:t>
      </w:r>
      <w:r>
        <w:rPr>
          <w:color w:val="000000" w:themeColor="text1"/>
          <w:kern w:val="0"/>
          <w14:textFill>
            <w14:solidFill>
              <w14:schemeClr w14:val="tx1"/>
            </w14:solidFill>
          </w14:textFill>
        </w:rPr>
        <w:t>5</w:t>
      </w:r>
      <w:r>
        <w:rPr>
          <w:rFonts w:hint="eastAsia"/>
          <w:color w:val="000000" w:themeColor="text1"/>
          <w:kern w:val="0"/>
          <w14:textFill>
            <w14:solidFill>
              <w14:schemeClr w14:val="tx1"/>
            </w14:solidFill>
          </w14:textFill>
        </w:rPr>
        <w:t>高程，坐标系统采用北京54坐标系。一般</w:t>
      </w:r>
      <w:r>
        <w:rPr>
          <w:color w:val="000000" w:themeColor="text1"/>
          <w:kern w:val="0"/>
          <w14:textFill>
            <w14:solidFill>
              <w14:schemeClr w14:val="tx1"/>
            </w14:solidFill>
          </w14:textFill>
        </w:rPr>
        <w:t>5</w:t>
      </w:r>
      <w:r>
        <w:rPr>
          <w:rFonts w:hint="eastAsia"/>
          <w:color w:val="000000" w:themeColor="text1"/>
          <w:kern w:val="0"/>
          <w14:textFill>
            <w14:solidFill>
              <w14:schemeClr w14:val="tx1"/>
            </w14:solidFill>
          </w14:textFill>
        </w:rPr>
        <w:t>月已逐渐转为平水期，故按多年平均径流量估算，钦江、茅岭江径流量分别取</w:t>
      </w:r>
      <w:r>
        <w:rPr>
          <w:color w:val="000000" w:themeColor="text1"/>
          <w:kern w:val="0"/>
          <w14:textFill>
            <w14:solidFill>
              <w14:schemeClr w14:val="tx1"/>
            </w14:solidFill>
          </w14:textFill>
        </w:rPr>
        <w:t xml:space="preserve">37 </w:t>
      </w:r>
      <w:r>
        <w:rPr>
          <w:rFonts w:hint="eastAsia"/>
          <w:color w:val="000000" w:themeColor="text1"/>
          <w:kern w:val="0"/>
          <w14:textFill>
            <w14:solidFill>
              <w14:schemeClr w14:val="tx1"/>
            </w14:solidFill>
          </w14:textFill>
        </w:rPr>
        <w:t>m</w:t>
      </w:r>
      <w:r>
        <w:rPr>
          <w:rFonts w:hint="eastAsia"/>
          <w:color w:val="000000" w:themeColor="text1"/>
          <w:kern w:val="0"/>
          <w:vertAlign w:val="superscript"/>
          <w14:textFill>
            <w14:solidFill>
              <w14:schemeClr w14:val="tx1"/>
            </w14:solidFill>
          </w14:textFill>
        </w:rPr>
        <w:t>3</w:t>
      </w:r>
      <w:r>
        <w:rPr>
          <w:rFonts w:hint="eastAsia"/>
          <w:color w:val="000000" w:themeColor="text1"/>
          <w:kern w:val="0"/>
          <w14:textFill>
            <w14:solidFill>
              <w14:schemeClr w14:val="tx1"/>
            </w14:solidFill>
          </w14:textFill>
        </w:rPr>
        <w:t>/s、5</w:t>
      </w:r>
      <w:r>
        <w:rPr>
          <w:color w:val="000000" w:themeColor="text1"/>
          <w:kern w:val="0"/>
          <w14:textFill>
            <w14:solidFill>
              <w14:schemeClr w14:val="tx1"/>
            </w14:solidFill>
          </w14:textFill>
        </w:rPr>
        <w:t>1</w:t>
      </w:r>
      <w:r>
        <w:rPr>
          <w:rFonts w:hint="eastAsia"/>
          <w:color w:val="000000" w:themeColor="text1"/>
          <w:kern w:val="0"/>
          <w14:textFill>
            <w14:solidFill>
              <w14:schemeClr w14:val="tx1"/>
            </w14:solidFill>
          </w14:textFill>
        </w:rPr>
        <w:t xml:space="preserve"> m</w:t>
      </w:r>
      <w:r>
        <w:rPr>
          <w:rFonts w:hint="eastAsia"/>
          <w:color w:val="000000" w:themeColor="text1"/>
          <w:kern w:val="0"/>
          <w:vertAlign w:val="superscript"/>
          <w14:textFill>
            <w14:solidFill>
              <w14:schemeClr w14:val="tx1"/>
            </w14:solidFill>
          </w14:textFill>
        </w:rPr>
        <w:t>3</w:t>
      </w:r>
      <w:r>
        <w:rPr>
          <w:rFonts w:hint="eastAsia"/>
          <w:color w:val="000000" w:themeColor="text1"/>
          <w:kern w:val="0"/>
          <w14:textFill>
            <w14:solidFill>
              <w14:schemeClr w14:val="tx1"/>
            </w14:solidFill>
          </w14:textFill>
        </w:rPr>
        <w:t>/s。采用20</w:t>
      </w:r>
      <w:r>
        <w:rPr>
          <w:color w:val="000000" w:themeColor="text1"/>
          <w:kern w:val="0"/>
          <w14:textFill>
            <w14:solidFill>
              <w14:schemeClr w14:val="tx1"/>
            </w14:solidFill>
          </w14:textFill>
        </w:rPr>
        <w:t>22</w:t>
      </w:r>
      <w:r>
        <w:rPr>
          <w:rFonts w:hint="eastAsia"/>
          <w:color w:val="000000" w:themeColor="text1"/>
          <w:kern w:val="0"/>
          <w14:textFill>
            <w14:solidFill>
              <w14:schemeClr w14:val="tx1"/>
            </w14:solidFill>
          </w14:textFill>
        </w:rPr>
        <w:t>年</w:t>
      </w:r>
      <w:r>
        <w:rPr>
          <w:color w:val="000000" w:themeColor="text1"/>
          <w:kern w:val="0"/>
          <w14:textFill>
            <w14:solidFill>
              <w14:schemeClr w14:val="tx1"/>
            </w14:solidFill>
          </w14:textFill>
        </w:rPr>
        <w:t>5</w:t>
      </w:r>
      <w:r>
        <w:rPr>
          <w:rFonts w:hint="eastAsia"/>
          <w:color w:val="000000" w:themeColor="text1"/>
          <w:kern w:val="0"/>
          <w14:textFill>
            <w14:solidFill>
              <w14:schemeClr w14:val="tx1"/>
            </w14:solidFill>
          </w14:textFill>
        </w:rPr>
        <w:t>月大潮期的水文观测资料对模型进行验证。钦州港和三娘湾潮位站观测时间为20</w:t>
      </w:r>
      <w:r>
        <w:rPr>
          <w:color w:val="000000" w:themeColor="text1"/>
          <w:kern w:val="0"/>
          <w14:textFill>
            <w14:solidFill>
              <w14:schemeClr w14:val="tx1"/>
            </w14:solidFill>
          </w14:textFill>
        </w:rPr>
        <w:t>22</w:t>
      </w:r>
      <w:r>
        <w:rPr>
          <w:rFonts w:hint="eastAsia"/>
          <w:color w:val="000000" w:themeColor="text1"/>
          <w:kern w:val="0"/>
          <w14:textFill>
            <w14:solidFill>
              <w14:schemeClr w14:val="tx1"/>
            </w14:solidFill>
          </w14:textFill>
        </w:rPr>
        <w:t>年</w:t>
      </w:r>
      <w:r>
        <w:rPr>
          <w:color w:val="000000" w:themeColor="text1"/>
          <w:kern w:val="0"/>
          <w14:textFill>
            <w14:solidFill>
              <w14:schemeClr w14:val="tx1"/>
            </w14:solidFill>
          </w14:textFill>
        </w:rPr>
        <w:t>5</w:t>
      </w:r>
      <w:r>
        <w:rPr>
          <w:rFonts w:hint="eastAsia"/>
          <w:color w:val="000000" w:themeColor="text1"/>
          <w:kern w:val="0"/>
          <w14:textFill>
            <w14:solidFill>
              <w14:schemeClr w14:val="tx1"/>
            </w14:solidFill>
          </w14:textFill>
        </w:rPr>
        <w:t>月</w:t>
      </w:r>
      <w:r>
        <w:rPr>
          <w:color w:val="000000" w:themeColor="text1"/>
          <w:kern w:val="0"/>
          <w14:textFill>
            <w14:solidFill>
              <w14:schemeClr w14:val="tx1"/>
            </w14:solidFill>
          </w14:textFill>
        </w:rPr>
        <w:t>21</w:t>
      </w:r>
      <w:r>
        <w:rPr>
          <w:rFonts w:hint="eastAsia"/>
          <w:color w:val="000000" w:themeColor="text1"/>
          <w:kern w:val="0"/>
          <w14:textFill>
            <w14:solidFill>
              <w14:schemeClr w14:val="tx1"/>
            </w14:solidFill>
          </w14:textFill>
        </w:rPr>
        <w:t>日00:00-</w:t>
      </w:r>
      <w:r>
        <w:rPr>
          <w:color w:val="000000" w:themeColor="text1"/>
          <w:kern w:val="0"/>
          <w14:textFill>
            <w14:solidFill>
              <w14:schemeClr w14:val="tx1"/>
            </w14:solidFill>
          </w14:textFill>
        </w:rPr>
        <w:t>22</w:t>
      </w:r>
      <w:r>
        <w:rPr>
          <w:rFonts w:hint="eastAsia"/>
          <w:color w:val="000000" w:themeColor="text1"/>
          <w:kern w:val="0"/>
          <w14:textFill>
            <w14:solidFill>
              <w14:schemeClr w14:val="tx1"/>
            </w14:solidFill>
          </w14:textFill>
        </w:rPr>
        <w:t>日23:00，钦州湾</w:t>
      </w:r>
      <w:r>
        <w:rPr>
          <w:color w:val="000000" w:themeColor="text1"/>
          <w:kern w:val="0"/>
          <w14:textFill>
            <w14:solidFill>
              <w14:schemeClr w14:val="tx1"/>
            </w14:solidFill>
          </w14:textFill>
        </w:rPr>
        <w:t>6</w:t>
      </w:r>
      <w:r>
        <w:rPr>
          <w:rFonts w:hint="eastAsia"/>
          <w:color w:val="000000" w:themeColor="text1"/>
          <w:kern w:val="0"/>
          <w14:textFill>
            <w14:solidFill>
              <w14:schemeClr w14:val="tx1"/>
            </w14:solidFill>
          </w14:textFill>
        </w:rPr>
        <w:t>个潮流站的观测时间为20</w:t>
      </w:r>
      <w:r>
        <w:rPr>
          <w:color w:val="000000" w:themeColor="text1"/>
          <w:kern w:val="0"/>
          <w14:textFill>
            <w14:solidFill>
              <w14:schemeClr w14:val="tx1"/>
            </w14:solidFill>
          </w14:textFill>
        </w:rPr>
        <w:t>22</w:t>
      </w:r>
      <w:r>
        <w:rPr>
          <w:rFonts w:hint="eastAsia"/>
          <w:color w:val="000000" w:themeColor="text1"/>
          <w:kern w:val="0"/>
          <w14:textFill>
            <w14:solidFill>
              <w14:schemeClr w14:val="tx1"/>
            </w14:solidFill>
          </w14:textFill>
        </w:rPr>
        <w:t>年</w:t>
      </w:r>
      <w:r>
        <w:rPr>
          <w:color w:val="000000" w:themeColor="text1"/>
          <w:kern w:val="0"/>
          <w14:textFill>
            <w14:solidFill>
              <w14:schemeClr w14:val="tx1"/>
            </w14:solidFill>
          </w14:textFill>
        </w:rPr>
        <w:t>5</w:t>
      </w:r>
      <w:r>
        <w:rPr>
          <w:rFonts w:hint="eastAsia"/>
          <w:color w:val="000000" w:themeColor="text1"/>
          <w:kern w:val="0"/>
          <w14:textFill>
            <w14:solidFill>
              <w14:schemeClr w14:val="tx1"/>
            </w14:solidFill>
          </w14:textFill>
        </w:rPr>
        <w:t>月</w:t>
      </w:r>
      <w:r>
        <w:rPr>
          <w:color w:val="000000" w:themeColor="text1"/>
          <w:kern w:val="0"/>
          <w14:textFill>
            <w14:solidFill>
              <w14:schemeClr w14:val="tx1"/>
            </w14:solidFill>
          </w14:textFill>
        </w:rPr>
        <w:t>21</w:t>
      </w:r>
      <w:r>
        <w:rPr>
          <w:rFonts w:hint="eastAsia"/>
          <w:color w:val="000000" w:themeColor="text1"/>
          <w:kern w:val="0"/>
          <w14:textFill>
            <w14:solidFill>
              <w14:schemeClr w14:val="tx1"/>
            </w14:solidFill>
          </w14:textFill>
        </w:rPr>
        <w:t>日至</w:t>
      </w:r>
      <w:r>
        <w:rPr>
          <w:color w:val="000000" w:themeColor="text1"/>
          <w:kern w:val="0"/>
          <w14:textFill>
            <w14:solidFill>
              <w14:schemeClr w14:val="tx1"/>
            </w14:solidFill>
          </w14:textFill>
        </w:rPr>
        <w:t>22</w:t>
      </w:r>
      <w:r>
        <w:rPr>
          <w:rFonts w:hint="eastAsia"/>
          <w:color w:val="000000" w:themeColor="text1"/>
          <w:kern w:val="0"/>
          <w14:textFill>
            <w14:solidFill>
              <w14:schemeClr w14:val="tx1"/>
            </w14:solidFill>
          </w14:textFill>
        </w:rPr>
        <w:t>日，时间与潮位站观测时间同步。模型计算时间为20</w:t>
      </w:r>
      <w:r>
        <w:rPr>
          <w:color w:val="000000" w:themeColor="text1"/>
          <w:kern w:val="0"/>
          <w14:textFill>
            <w14:solidFill>
              <w14:schemeClr w14:val="tx1"/>
            </w14:solidFill>
          </w14:textFill>
        </w:rPr>
        <w:t>22</w:t>
      </w:r>
      <w:r>
        <w:rPr>
          <w:rFonts w:hint="eastAsia"/>
          <w:color w:val="000000" w:themeColor="text1"/>
          <w:kern w:val="0"/>
          <w14:textFill>
            <w14:solidFill>
              <w14:schemeClr w14:val="tx1"/>
            </w14:solidFill>
          </w14:textFill>
        </w:rPr>
        <w:t>年</w:t>
      </w:r>
      <w:r>
        <w:rPr>
          <w:color w:val="000000" w:themeColor="text1"/>
          <w:kern w:val="0"/>
          <w14:textFill>
            <w14:solidFill>
              <w14:schemeClr w14:val="tx1"/>
            </w14:solidFill>
          </w14:textFill>
        </w:rPr>
        <w:t>5</w:t>
      </w:r>
      <w:r>
        <w:rPr>
          <w:rFonts w:hint="eastAsia"/>
          <w:color w:val="000000" w:themeColor="text1"/>
          <w:kern w:val="0"/>
          <w14:textFill>
            <w14:solidFill>
              <w14:schemeClr w14:val="tx1"/>
            </w14:solidFill>
          </w14:textFill>
        </w:rPr>
        <w:t>月</w:t>
      </w:r>
      <w:r>
        <w:rPr>
          <w:color w:val="000000" w:themeColor="text1"/>
          <w:kern w:val="0"/>
          <w14:textFill>
            <w14:solidFill>
              <w14:schemeClr w14:val="tx1"/>
            </w14:solidFill>
          </w14:textFill>
        </w:rPr>
        <w:t>15</w:t>
      </w:r>
      <w:r>
        <w:rPr>
          <w:rFonts w:hint="eastAsia"/>
          <w:color w:val="000000" w:themeColor="text1"/>
          <w:kern w:val="0"/>
          <w14:textFill>
            <w14:solidFill>
              <w14:schemeClr w14:val="tx1"/>
            </w14:solidFill>
          </w14:textFill>
        </w:rPr>
        <w:t>日-</w:t>
      </w:r>
      <w:r>
        <w:rPr>
          <w:color w:val="000000" w:themeColor="text1"/>
          <w:kern w:val="0"/>
          <w14:textFill>
            <w14:solidFill>
              <w14:schemeClr w14:val="tx1"/>
            </w14:solidFill>
          </w14:textFill>
        </w:rPr>
        <w:t>5</w:t>
      </w:r>
      <w:r>
        <w:rPr>
          <w:rFonts w:hint="eastAsia"/>
          <w:color w:val="000000" w:themeColor="text1"/>
          <w:kern w:val="0"/>
          <w14:textFill>
            <w14:solidFill>
              <w14:schemeClr w14:val="tx1"/>
            </w14:solidFill>
          </w14:textFill>
        </w:rPr>
        <w:t>月</w:t>
      </w:r>
      <w:r>
        <w:rPr>
          <w:color w:val="000000" w:themeColor="text1"/>
          <w:kern w:val="0"/>
          <w14:textFill>
            <w14:solidFill>
              <w14:schemeClr w14:val="tx1"/>
            </w14:solidFill>
          </w14:textFill>
        </w:rPr>
        <w:t>30</w:t>
      </w:r>
      <w:r>
        <w:rPr>
          <w:rFonts w:hint="eastAsia"/>
          <w:color w:val="000000" w:themeColor="text1"/>
          <w:kern w:val="0"/>
          <w14:textFill>
            <w14:solidFill>
              <w14:schemeClr w14:val="tx1"/>
            </w14:solidFill>
          </w14:textFill>
        </w:rPr>
        <w:t>日共1</w:t>
      </w:r>
      <w:r>
        <w:rPr>
          <w:color w:val="000000" w:themeColor="text1"/>
          <w:kern w:val="0"/>
          <w14:textFill>
            <w14:solidFill>
              <w14:schemeClr w14:val="tx1"/>
            </w14:solidFill>
          </w14:textFill>
        </w:rPr>
        <w:t>6</w:t>
      </w:r>
      <w:r>
        <w:rPr>
          <w:rFonts w:hint="eastAsia"/>
          <w:color w:val="000000" w:themeColor="text1"/>
          <w:kern w:val="0"/>
          <w14:textFill>
            <w14:solidFill>
              <w14:schemeClr w14:val="tx1"/>
            </w14:solidFill>
          </w14:textFill>
        </w:rPr>
        <w:t>d。</w:t>
      </w:r>
    </w:p>
    <w:p w14:paraId="44F59CBA">
      <w:pPr>
        <w:autoSpaceDE w:val="0"/>
        <w:autoSpaceDN w:val="0"/>
        <w:adjustRightInd w:val="0"/>
        <w:ind w:firstLine="480"/>
        <w:jc w:val="center"/>
        <w:rPr>
          <w:color w:val="000000" w:themeColor="text1"/>
          <w14:textFill>
            <w14:solidFill>
              <w14:schemeClr w14:val="tx1"/>
            </w14:solidFill>
          </w14:textFill>
        </w:rPr>
      </w:pPr>
      <w:r>
        <w:rPr>
          <w:color w:val="000000" w:themeColor="text1"/>
          <w14:textFill>
            <w14:solidFill>
              <w14:schemeClr w14:val="tx1"/>
            </w14:solidFill>
          </w14:textFill>
        </w:rPr>
        <w:t>9</w:t>
      </w:r>
      <w:r>
        <w:rPr>
          <w:color w:val="000000" w:themeColor="text1"/>
          <w14:textFill>
            <w14:solidFill>
              <w14:schemeClr w14:val="tx1"/>
            </w14:solidFill>
          </w14:textFill>
        </w:rPr>
        <w:drawing>
          <wp:inline distT="0" distB="0" distL="0" distR="0">
            <wp:extent cx="3114675" cy="3239770"/>
            <wp:effectExtent l="0" t="0" r="0" b="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a:xfrm>
                      <a:off x="0" y="0"/>
                      <a:ext cx="3115002" cy="3240000"/>
                    </a:xfrm>
                    <a:prstGeom prst="rect">
                      <a:avLst/>
                    </a:prstGeom>
                    <a:noFill/>
                    <a:ln>
                      <a:noFill/>
                    </a:ln>
                  </pic:spPr>
                </pic:pic>
              </a:graphicData>
            </a:graphic>
          </wp:inline>
        </w:drawing>
      </w:r>
    </w:p>
    <w:p w14:paraId="68FBBB66">
      <w:pPr>
        <w:autoSpaceDE w:val="0"/>
        <w:autoSpaceDN w:val="0"/>
        <w:adjustRightInd w:val="0"/>
        <w:ind w:firstLine="482"/>
        <w:jc w:val="center"/>
        <w:rPr>
          <w:b/>
          <w:color w:val="000000" w:themeColor="text1"/>
          <w14:textFill>
            <w14:solidFill>
              <w14:schemeClr w14:val="tx1"/>
            </w14:solidFill>
          </w14:textFill>
        </w:rPr>
      </w:pPr>
      <w:r>
        <w:rPr>
          <w:rFonts w:hint="eastAsia"/>
          <w:b/>
          <w:color w:val="000000" w:themeColor="text1"/>
          <w14:textFill>
            <w14:solidFill>
              <w14:schemeClr w14:val="tx1"/>
            </w14:solidFill>
          </w14:textFill>
        </w:rPr>
        <w:t>图</w:t>
      </w:r>
      <w:r>
        <w:rPr>
          <w:b/>
          <w:color w:val="000000" w:themeColor="text1"/>
          <w14:textFill>
            <w14:solidFill>
              <w14:schemeClr w14:val="tx1"/>
            </w14:solidFill>
          </w14:textFill>
        </w:rPr>
        <w:t>5.5.2</w:t>
      </w:r>
      <w:r>
        <w:rPr>
          <w:rFonts w:hint="eastAsia"/>
          <w:b/>
          <w:color w:val="000000" w:themeColor="text1"/>
          <w14:textFill>
            <w14:solidFill>
              <w14:schemeClr w14:val="tx1"/>
            </w14:solidFill>
          </w14:textFill>
        </w:rPr>
        <w:t>-</w:t>
      </w:r>
      <w:r>
        <w:rPr>
          <w:b/>
          <w:color w:val="000000" w:themeColor="text1"/>
          <w14:textFill>
            <w14:solidFill>
              <w14:schemeClr w14:val="tx1"/>
            </w14:solidFill>
          </w14:textFill>
        </w:rPr>
        <w:t>8</w:t>
      </w:r>
      <w:r>
        <w:rPr>
          <w:rFonts w:hint="eastAsia"/>
          <w:b/>
          <w:color w:val="000000" w:themeColor="text1"/>
          <w14:textFill>
            <w14:solidFill>
              <w14:schemeClr w14:val="tx1"/>
            </w14:solidFill>
          </w14:textFill>
        </w:rPr>
        <w:t xml:space="preserve"> 钦州湾潮流模型计算区域（局部）及验证点布置示意</w:t>
      </w:r>
    </w:p>
    <w:p w14:paraId="6425644B">
      <w:pPr>
        <w:autoSpaceDE w:val="0"/>
        <w:autoSpaceDN w:val="0"/>
        <w:adjustRightInd w:val="0"/>
        <w:ind w:firstLine="480"/>
        <w:jc w:val="cente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4986020" cy="3959860"/>
            <wp:effectExtent l="0" t="0" r="0" b="0"/>
            <wp:docPr id="82" name="图片 82" descr="H:\project\2025\qinz-1415weihuaping\project\图图\网格大‘.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H:\project\2025\qinz-1415weihuaping\project\图图\网格大‘.jpg"/>
                    <pic:cNvPicPr>
                      <a:picLocks noChangeAspect="1" noChangeArrowheads="1"/>
                    </pic:cNvPicPr>
                  </pic:nvPicPr>
                  <pic:blipFill>
                    <a:blip r:embed="rId166" cstate="print">
                      <a:extLst>
                        <a:ext uri="{28A0092B-C50C-407E-A947-70E740481C1C}">
                          <a14:useLocalDpi xmlns:a14="http://schemas.microsoft.com/office/drawing/2010/main" val="0"/>
                        </a:ext>
                      </a:extLst>
                    </a:blip>
                    <a:srcRect l="3108" t="19905" r="21488" b="2580"/>
                    <a:stretch>
                      <a:fillRect/>
                    </a:stretch>
                  </pic:blipFill>
                  <pic:spPr>
                    <a:xfrm>
                      <a:off x="0" y="0"/>
                      <a:ext cx="4986561" cy="3960000"/>
                    </a:xfrm>
                    <a:prstGeom prst="rect">
                      <a:avLst/>
                    </a:prstGeom>
                    <a:noFill/>
                    <a:ln>
                      <a:noFill/>
                    </a:ln>
                  </pic:spPr>
                </pic:pic>
              </a:graphicData>
            </a:graphic>
          </wp:inline>
        </w:drawing>
      </w:r>
    </w:p>
    <w:p w14:paraId="5877CFD0">
      <w:pPr>
        <w:autoSpaceDE w:val="0"/>
        <w:autoSpaceDN w:val="0"/>
        <w:adjustRightInd w:val="0"/>
        <w:ind w:firstLine="482"/>
        <w:jc w:val="center"/>
        <w:rPr>
          <w:b/>
          <w:color w:val="000000" w:themeColor="text1"/>
          <w14:textFill>
            <w14:solidFill>
              <w14:schemeClr w14:val="tx1"/>
            </w14:solidFill>
          </w14:textFill>
        </w:rPr>
      </w:pPr>
      <w:r>
        <w:rPr>
          <w:rFonts w:hint="eastAsia"/>
          <w:b/>
          <w:color w:val="000000" w:themeColor="text1"/>
          <w14:textFill>
            <w14:solidFill>
              <w14:schemeClr w14:val="tx1"/>
            </w14:solidFill>
          </w14:textFill>
        </w:rPr>
        <w:t>图</w:t>
      </w:r>
      <w:r>
        <w:rPr>
          <w:rFonts w:hint="eastAsia"/>
          <w:color w:val="000000" w:themeColor="text1"/>
          <w:kern w:val="0"/>
          <w14:textFill>
            <w14:solidFill>
              <w14:schemeClr w14:val="tx1"/>
            </w14:solidFill>
          </w14:textFill>
        </w:rPr>
        <w:t>5.5.2</w:t>
      </w:r>
      <w:r>
        <w:rPr>
          <w:rFonts w:hint="eastAsia"/>
          <w:b/>
          <w:color w:val="000000" w:themeColor="text1"/>
          <w14:textFill>
            <w14:solidFill>
              <w14:schemeClr w14:val="tx1"/>
            </w14:solidFill>
          </w14:textFill>
        </w:rPr>
        <w:t>-</w:t>
      </w:r>
      <w:r>
        <w:rPr>
          <w:b/>
          <w:color w:val="000000" w:themeColor="text1"/>
          <w14:textFill>
            <w14:solidFill>
              <w14:schemeClr w14:val="tx1"/>
            </w14:solidFill>
          </w14:textFill>
        </w:rPr>
        <w:t>9</w:t>
      </w:r>
      <w:r>
        <w:rPr>
          <w:rFonts w:hint="eastAsia"/>
          <w:b/>
          <w:color w:val="000000" w:themeColor="text1"/>
          <w14:textFill>
            <w14:solidFill>
              <w14:schemeClr w14:val="tx1"/>
            </w14:solidFill>
          </w14:textFill>
        </w:rPr>
        <w:t xml:space="preserve"> 模型计算区域网格划分</w:t>
      </w:r>
    </w:p>
    <w:p w14:paraId="06DB3A72">
      <w:pPr>
        <w:autoSpaceDE w:val="0"/>
        <w:autoSpaceDN w:val="0"/>
        <w:adjustRightInd w:val="0"/>
        <w:ind w:firstLine="482"/>
        <w:jc w:val="center"/>
        <w:rPr>
          <w:b/>
          <w:color w:val="000000" w:themeColor="text1"/>
          <w14:textFill>
            <w14:solidFill>
              <w14:schemeClr w14:val="tx1"/>
            </w14:solidFill>
          </w14:textFill>
        </w:rPr>
      </w:pPr>
      <w:r>
        <w:rPr>
          <w:b/>
          <w:color w:val="000000" w:themeColor="text1"/>
          <w14:textFill>
            <w14:solidFill>
              <w14:schemeClr w14:val="tx1"/>
            </w14:solidFill>
          </w14:textFill>
        </w:rPr>
        <w:drawing>
          <wp:inline distT="0" distB="0" distL="0" distR="0">
            <wp:extent cx="3787775" cy="3959860"/>
            <wp:effectExtent l="0" t="0" r="0" b="0"/>
            <wp:docPr id="87" name="图片 87" descr="H:\project\2025\qinz-1415weihuaping\project\图图\网格中'.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H:\project\2025\qinz-1415weihuaping\project\图图\网格中'.jpg"/>
                    <pic:cNvPicPr>
                      <a:picLocks noChangeAspect="1" noChangeArrowheads="1"/>
                    </pic:cNvPicPr>
                  </pic:nvPicPr>
                  <pic:blipFill>
                    <a:blip r:embed="rId167" cstate="print">
                      <a:extLst>
                        <a:ext uri="{28A0092B-C50C-407E-A947-70E740481C1C}">
                          <a14:useLocalDpi xmlns:a14="http://schemas.microsoft.com/office/drawing/2010/main" val="0"/>
                        </a:ext>
                      </a:extLst>
                    </a:blip>
                    <a:srcRect l="2291" t="1301" r="39804" b="2460"/>
                    <a:stretch>
                      <a:fillRect/>
                    </a:stretch>
                  </pic:blipFill>
                  <pic:spPr>
                    <a:xfrm>
                      <a:off x="0" y="0"/>
                      <a:ext cx="3787927" cy="3960000"/>
                    </a:xfrm>
                    <a:prstGeom prst="rect">
                      <a:avLst/>
                    </a:prstGeom>
                    <a:noFill/>
                    <a:ln>
                      <a:noFill/>
                    </a:ln>
                  </pic:spPr>
                </pic:pic>
              </a:graphicData>
            </a:graphic>
          </wp:inline>
        </w:drawing>
      </w:r>
    </w:p>
    <w:p w14:paraId="750ECA1A">
      <w:pPr>
        <w:autoSpaceDE w:val="0"/>
        <w:autoSpaceDN w:val="0"/>
        <w:adjustRightInd w:val="0"/>
        <w:ind w:firstLine="482"/>
        <w:jc w:val="center"/>
        <w:rPr>
          <w:b/>
          <w:color w:val="000000" w:themeColor="text1"/>
          <w14:textFill>
            <w14:solidFill>
              <w14:schemeClr w14:val="tx1"/>
            </w14:solidFill>
          </w14:textFill>
        </w:rPr>
      </w:pPr>
      <w:r>
        <w:rPr>
          <w:rFonts w:hint="eastAsia"/>
          <w:b/>
          <w:color w:val="000000" w:themeColor="text1"/>
          <w14:textFill>
            <w14:solidFill>
              <w14:schemeClr w14:val="tx1"/>
            </w14:solidFill>
          </w14:textFill>
        </w:rPr>
        <w:t>图</w:t>
      </w:r>
      <w:r>
        <w:rPr>
          <w:rFonts w:hint="eastAsia"/>
          <w:color w:val="000000" w:themeColor="text1"/>
          <w:kern w:val="0"/>
          <w14:textFill>
            <w14:solidFill>
              <w14:schemeClr w14:val="tx1"/>
            </w14:solidFill>
          </w14:textFill>
        </w:rPr>
        <w:t>5.5.2</w:t>
      </w:r>
      <w:r>
        <w:rPr>
          <w:rFonts w:hint="eastAsia"/>
          <w:b/>
          <w:color w:val="000000" w:themeColor="text1"/>
          <w14:textFill>
            <w14:solidFill>
              <w14:schemeClr w14:val="tx1"/>
            </w14:solidFill>
          </w14:textFill>
        </w:rPr>
        <w:t>-</w:t>
      </w:r>
      <w:r>
        <w:rPr>
          <w:b/>
          <w:color w:val="000000" w:themeColor="text1"/>
          <w14:textFill>
            <w14:solidFill>
              <w14:schemeClr w14:val="tx1"/>
            </w14:solidFill>
          </w14:textFill>
        </w:rPr>
        <w:t>10</w:t>
      </w:r>
      <w:r>
        <w:rPr>
          <w:rFonts w:hint="eastAsia"/>
          <w:b/>
          <w:color w:val="000000" w:themeColor="text1"/>
          <w14:textFill>
            <w14:solidFill>
              <w14:schemeClr w14:val="tx1"/>
            </w14:solidFill>
          </w14:textFill>
        </w:rPr>
        <w:t xml:space="preserve"> 项目附近局部网格划分</w:t>
      </w:r>
    </w:p>
    <w:p w14:paraId="31D60002">
      <w:pPr>
        <w:widowControl/>
        <w:ind w:firstLine="480"/>
        <w:jc w:val="center"/>
        <w:rPr>
          <w:rFonts w:ascii="宋体" w:hAnsi="宋体" w:cs="宋体"/>
          <w:color w:val="000000" w:themeColor="text1"/>
          <w:kern w:val="0"/>
          <w14:textFill>
            <w14:solidFill>
              <w14:schemeClr w14:val="tx1"/>
            </w14:solidFill>
          </w14:textFill>
        </w:rPr>
      </w:pPr>
      <w:r>
        <w:rPr>
          <w:color w:val="000000" w:themeColor="text1"/>
          <w14:textFill>
            <w14:solidFill>
              <w14:schemeClr w14:val="tx1"/>
            </w14:solidFill>
          </w14:textFill>
        </w:rPr>
        <w:drawing>
          <wp:inline distT="0" distB="0" distL="0" distR="0">
            <wp:extent cx="5608955" cy="3959860"/>
            <wp:effectExtent l="0" t="0" r="0" b="0"/>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pic:cNvPicPr>
                      <a:picLocks noChangeAspect="1"/>
                    </pic:cNvPicPr>
                  </pic:nvPicPr>
                  <pic:blipFill>
                    <a:blip r:embed="rId168"/>
                    <a:stretch>
                      <a:fillRect/>
                    </a:stretch>
                  </pic:blipFill>
                  <pic:spPr>
                    <a:xfrm>
                      <a:off x="0" y="0"/>
                      <a:ext cx="5609100" cy="3960000"/>
                    </a:xfrm>
                    <a:prstGeom prst="rect">
                      <a:avLst/>
                    </a:prstGeom>
                  </pic:spPr>
                </pic:pic>
              </a:graphicData>
            </a:graphic>
          </wp:inline>
        </w:drawing>
      </w:r>
    </w:p>
    <w:p w14:paraId="4AF63628">
      <w:pPr>
        <w:autoSpaceDE w:val="0"/>
        <w:autoSpaceDN w:val="0"/>
        <w:adjustRightInd w:val="0"/>
        <w:ind w:firstLine="482"/>
        <w:jc w:val="center"/>
        <w:rPr>
          <w:b/>
          <w:color w:val="000000" w:themeColor="text1"/>
          <w14:textFill>
            <w14:solidFill>
              <w14:schemeClr w14:val="tx1"/>
            </w14:solidFill>
          </w14:textFill>
        </w:rPr>
      </w:pPr>
      <w:r>
        <w:rPr>
          <w:rFonts w:hint="eastAsia"/>
          <w:b/>
          <w:color w:val="000000" w:themeColor="text1"/>
          <w14:textFill>
            <w14:solidFill>
              <w14:schemeClr w14:val="tx1"/>
            </w14:solidFill>
          </w14:textFill>
        </w:rPr>
        <w:t>图</w:t>
      </w:r>
      <w:r>
        <w:rPr>
          <w:rFonts w:hint="eastAsia"/>
          <w:color w:val="000000" w:themeColor="text1"/>
          <w:kern w:val="0"/>
          <w14:textFill>
            <w14:solidFill>
              <w14:schemeClr w14:val="tx1"/>
            </w14:solidFill>
          </w14:textFill>
        </w:rPr>
        <w:t>5.5.2</w:t>
      </w:r>
      <w:r>
        <w:rPr>
          <w:rFonts w:hint="eastAsia"/>
          <w:b/>
          <w:color w:val="000000" w:themeColor="text1"/>
          <w14:textFill>
            <w14:solidFill>
              <w14:schemeClr w14:val="tx1"/>
            </w14:solidFill>
          </w14:textFill>
        </w:rPr>
        <w:t>-</w:t>
      </w:r>
      <w:r>
        <w:rPr>
          <w:b/>
          <w:color w:val="000000" w:themeColor="text1"/>
          <w14:textFill>
            <w14:solidFill>
              <w14:schemeClr w14:val="tx1"/>
            </w14:solidFill>
          </w14:textFill>
        </w:rPr>
        <w:t>11</w:t>
      </w:r>
      <w:r>
        <w:rPr>
          <w:rFonts w:hint="eastAsia"/>
          <w:b/>
          <w:color w:val="000000" w:themeColor="text1"/>
          <w14:textFill>
            <w14:solidFill>
              <w14:schemeClr w14:val="tx1"/>
            </w14:solidFill>
          </w14:textFill>
        </w:rPr>
        <w:t xml:space="preserve"> 模型计算区域水深地形分布</w:t>
      </w:r>
    </w:p>
    <w:p w14:paraId="7D5EB9B5">
      <w:pPr>
        <w:ind w:firstLine="482"/>
        <w:outlineLvl w:val="3"/>
        <w:rPr>
          <w:b/>
          <w:color w:val="000000" w:themeColor="text1"/>
          <w14:textFill>
            <w14:solidFill>
              <w14:schemeClr w14:val="tx1"/>
            </w14:solidFill>
          </w14:textFill>
        </w:rPr>
      </w:pPr>
      <w:r>
        <w:rPr>
          <w:rFonts w:hint="eastAsia"/>
          <w:b/>
          <w:color w:val="000000" w:themeColor="text1"/>
          <w14:textFill>
            <w14:solidFill>
              <w14:schemeClr w14:val="tx1"/>
            </w14:solidFill>
          </w14:textFill>
        </w:rPr>
        <w:t>1 潮位验证</w:t>
      </w:r>
    </w:p>
    <w:p w14:paraId="7C4563E1">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图</w:t>
      </w:r>
      <w:r>
        <w:rPr>
          <w:rFonts w:hint="eastAsia"/>
          <w:color w:val="000000" w:themeColor="text1"/>
          <w:kern w:val="0"/>
          <w14:textFill>
            <w14:solidFill>
              <w14:schemeClr w14:val="tx1"/>
            </w14:solidFill>
          </w14:textFill>
        </w:rPr>
        <w:t>5.5.2</w:t>
      </w:r>
      <w:r>
        <w:rPr>
          <w:rFonts w:hint="eastAsia"/>
          <w:color w:val="000000" w:themeColor="text1"/>
          <w14:textFill>
            <w14:solidFill>
              <w14:schemeClr w14:val="tx1"/>
            </w14:solidFill>
          </w14:textFill>
        </w:rPr>
        <w:t>-12与图</w:t>
      </w:r>
      <w:r>
        <w:rPr>
          <w:rFonts w:hint="eastAsia"/>
          <w:color w:val="000000" w:themeColor="text1"/>
          <w:kern w:val="0"/>
          <w14:textFill>
            <w14:solidFill>
              <w14:schemeClr w14:val="tx1"/>
            </w14:solidFill>
          </w14:textFill>
        </w:rPr>
        <w:t>5.5.2</w:t>
      </w:r>
      <w:r>
        <w:rPr>
          <w:rFonts w:hint="eastAsia"/>
          <w:color w:val="000000" w:themeColor="text1"/>
          <w14:textFill>
            <w14:solidFill>
              <w14:schemeClr w14:val="tx1"/>
            </w14:solidFill>
          </w14:textFill>
        </w:rPr>
        <w:t>-13给出了钦州港、三娘湾潮位站实测水位过程与计算值的比较，实测时间均为20</w:t>
      </w:r>
      <w:r>
        <w:rPr>
          <w:color w:val="000000" w:themeColor="text1"/>
          <w14:textFill>
            <w14:solidFill>
              <w14:schemeClr w14:val="tx1"/>
            </w14:solidFill>
          </w14:textFill>
        </w:rPr>
        <w:t>22</w:t>
      </w:r>
      <w:r>
        <w:rPr>
          <w:rFonts w:hint="eastAsia"/>
          <w:color w:val="000000" w:themeColor="text1"/>
          <w14:textFill>
            <w14:solidFill>
              <w14:schemeClr w14:val="tx1"/>
            </w14:solidFill>
          </w14:textFill>
        </w:rPr>
        <w:t>年</w:t>
      </w:r>
      <w:r>
        <w:rPr>
          <w:color w:val="000000" w:themeColor="text1"/>
          <w14:textFill>
            <w14:solidFill>
              <w14:schemeClr w14:val="tx1"/>
            </w14:solidFill>
          </w14:textFill>
        </w:rPr>
        <w:t>5</w:t>
      </w:r>
      <w:r>
        <w:rPr>
          <w:rFonts w:hint="eastAsia"/>
          <w:color w:val="000000" w:themeColor="text1"/>
          <w14:textFill>
            <w14:solidFill>
              <w14:schemeClr w14:val="tx1"/>
            </w14:solidFill>
          </w14:textFill>
        </w:rPr>
        <w:t>月2</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日-</w:t>
      </w:r>
      <w:r>
        <w:rPr>
          <w:color w:val="000000" w:themeColor="text1"/>
          <w14:textFill>
            <w14:solidFill>
              <w14:schemeClr w14:val="tx1"/>
            </w14:solidFill>
          </w14:textFill>
        </w:rPr>
        <w:t>22</w:t>
      </w:r>
      <w:r>
        <w:rPr>
          <w:rFonts w:hint="eastAsia"/>
          <w:color w:val="000000" w:themeColor="text1"/>
          <w14:textFill>
            <w14:solidFill>
              <w14:schemeClr w14:val="tx1"/>
            </w14:solidFill>
          </w14:textFill>
        </w:rPr>
        <w:t>日。图中红线为计算的潮位值，黑点“</w:t>
      </w:r>
      <w:r>
        <w:rPr>
          <w:rFonts w:hint="eastAsia"/>
          <w:color w:val="000000" w:themeColor="text1"/>
          <w14:textFill>
            <w14:solidFill>
              <w14:schemeClr w14:val="tx1"/>
            </w14:solidFill>
          </w14:textFill>
        </w:rPr>
        <w:sym w:font="Symbol" w:char="F0A8"/>
      </w:r>
      <w:r>
        <w:rPr>
          <w:rFonts w:hint="eastAsia"/>
          <w:color w:val="000000" w:themeColor="text1"/>
          <w14:textFill>
            <w14:solidFill>
              <w14:schemeClr w14:val="tx1"/>
            </w14:solidFill>
          </w14:textFill>
        </w:rPr>
        <w:t>”为实测值。从两图中可以看出，计算的潮位过程与实测资料吻合较好。验证结果表明采用的二维潮流数学模型能模拟钦州湾及其邻近海域水位变化过程，也为准确模拟当地的潮流变化过程奠定基础。</w:t>
      </w:r>
    </w:p>
    <w:p w14:paraId="27CAFD37">
      <w:pPr>
        <w:ind w:firstLine="480"/>
        <w:jc w:val="cente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5608955" cy="1979930"/>
            <wp:effectExtent l="0" t="0" r="0" b="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a:xfrm>
                      <a:off x="0" y="0"/>
                      <a:ext cx="5609099" cy="1980000"/>
                    </a:xfrm>
                    <a:prstGeom prst="rect">
                      <a:avLst/>
                    </a:prstGeom>
                    <a:noFill/>
                  </pic:spPr>
                </pic:pic>
              </a:graphicData>
            </a:graphic>
          </wp:inline>
        </w:drawing>
      </w:r>
    </w:p>
    <w:p w14:paraId="214ECF0B">
      <w:pPr>
        <w:ind w:firstLine="482"/>
        <w:jc w:val="center"/>
        <w:rPr>
          <w:b/>
          <w:color w:val="000000" w:themeColor="text1"/>
          <w14:textFill>
            <w14:solidFill>
              <w14:schemeClr w14:val="tx1"/>
            </w14:solidFill>
          </w14:textFill>
        </w:rPr>
      </w:pPr>
      <w:r>
        <w:rPr>
          <w:rFonts w:hint="eastAsia"/>
          <w:b/>
          <w:color w:val="000000" w:themeColor="text1"/>
          <w14:textFill>
            <w14:solidFill>
              <w14:schemeClr w14:val="tx1"/>
            </w14:solidFill>
          </w14:textFill>
        </w:rPr>
        <w:t>图</w:t>
      </w:r>
      <w:r>
        <w:rPr>
          <w:rFonts w:hint="eastAsia"/>
          <w:color w:val="000000" w:themeColor="text1"/>
          <w:kern w:val="0"/>
          <w14:textFill>
            <w14:solidFill>
              <w14:schemeClr w14:val="tx1"/>
            </w14:solidFill>
          </w14:textFill>
        </w:rPr>
        <w:t>5.5.2</w:t>
      </w:r>
      <w:r>
        <w:rPr>
          <w:rFonts w:hint="eastAsia"/>
          <w:b/>
          <w:color w:val="000000" w:themeColor="text1"/>
          <w14:textFill>
            <w14:solidFill>
              <w14:schemeClr w14:val="tx1"/>
            </w14:solidFill>
          </w14:textFill>
        </w:rPr>
        <w:t>-12 钦州港站潮位验证</w:t>
      </w:r>
    </w:p>
    <w:p w14:paraId="2D1A2C06">
      <w:pPr>
        <w:ind w:firstLine="482"/>
        <w:jc w:val="center"/>
        <w:rPr>
          <w:b/>
          <w:color w:val="000000" w:themeColor="text1"/>
          <w14:textFill>
            <w14:solidFill>
              <w14:schemeClr w14:val="tx1"/>
            </w14:solidFill>
          </w14:textFill>
        </w:rPr>
      </w:pPr>
      <w:r>
        <w:rPr>
          <w:b/>
          <w:color w:val="000000" w:themeColor="text1"/>
          <w14:textFill>
            <w14:solidFill>
              <w14:schemeClr w14:val="tx1"/>
            </w14:solidFill>
          </w14:textFill>
        </w:rPr>
        <w:drawing>
          <wp:inline distT="0" distB="0" distL="0" distR="0">
            <wp:extent cx="5529580" cy="1979930"/>
            <wp:effectExtent l="0" t="0" r="0" b="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a:xfrm>
                      <a:off x="0" y="0"/>
                      <a:ext cx="5529886" cy="1980000"/>
                    </a:xfrm>
                    <a:prstGeom prst="rect">
                      <a:avLst/>
                    </a:prstGeom>
                    <a:noFill/>
                  </pic:spPr>
                </pic:pic>
              </a:graphicData>
            </a:graphic>
          </wp:inline>
        </w:drawing>
      </w:r>
    </w:p>
    <w:p w14:paraId="5795A178">
      <w:pPr>
        <w:ind w:firstLine="482"/>
        <w:jc w:val="center"/>
        <w:rPr>
          <w:b/>
          <w:color w:val="000000" w:themeColor="text1"/>
          <w14:textFill>
            <w14:solidFill>
              <w14:schemeClr w14:val="tx1"/>
            </w14:solidFill>
          </w14:textFill>
        </w:rPr>
      </w:pPr>
      <w:r>
        <w:rPr>
          <w:rFonts w:hint="eastAsia"/>
          <w:b/>
          <w:color w:val="000000" w:themeColor="text1"/>
          <w14:textFill>
            <w14:solidFill>
              <w14:schemeClr w14:val="tx1"/>
            </w14:solidFill>
          </w14:textFill>
        </w:rPr>
        <w:t>图</w:t>
      </w:r>
      <w:r>
        <w:rPr>
          <w:rFonts w:hint="eastAsia"/>
          <w:color w:val="000000" w:themeColor="text1"/>
          <w:kern w:val="0"/>
          <w14:textFill>
            <w14:solidFill>
              <w14:schemeClr w14:val="tx1"/>
            </w14:solidFill>
          </w14:textFill>
        </w:rPr>
        <w:t>5.5.2</w:t>
      </w:r>
      <w:r>
        <w:rPr>
          <w:rFonts w:hint="eastAsia"/>
          <w:b/>
          <w:color w:val="000000" w:themeColor="text1"/>
          <w14:textFill>
            <w14:solidFill>
              <w14:schemeClr w14:val="tx1"/>
            </w14:solidFill>
          </w14:textFill>
        </w:rPr>
        <w:t>-13 三娘湾站潮位验证</w:t>
      </w:r>
    </w:p>
    <w:p w14:paraId="7F8BE669">
      <w:pPr>
        <w:ind w:firstLine="482"/>
        <w:outlineLvl w:val="3"/>
        <w:rPr>
          <w:b/>
          <w:color w:val="000000" w:themeColor="text1"/>
          <w14:textFill>
            <w14:solidFill>
              <w14:schemeClr w14:val="tx1"/>
            </w14:solidFill>
          </w14:textFill>
        </w:rPr>
      </w:pPr>
      <w:r>
        <w:rPr>
          <w:rFonts w:hint="eastAsia"/>
          <w:b/>
          <w:color w:val="000000" w:themeColor="text1"/>
          <w14:textFill>
            <w14:solidFill>
              <w14:schemeClr w14:val="tx1"/>
            </w14:solidFill>
          </w14:textFill>
        </w:rPr>
        <w:t>2 流速验证</w:t>
      </w:r>
    </w:p>
    <w:p w14:paraId="2A734332">
      <w:pPr>
        <w:autoSpaceDE w:val="0"/>
        <w:autoSpaceDN w:val="0"/>
        <w:adjustRightInd w:val="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图1-14~图</w:t>
      </w:r>
      <w:r>
        <w:rPr>
          <w:rFonts w:hint="eastAsia"/>
          <w:color w:val="000000" w:themeColor="text1"/>
          <w:kern w:val="0"/>
          <w14:textFill>
            <w14:solidFill>
              <w14:schemeClr w14:val="tx1"/>
            </w14:solidFill>
          </w14:textFill>
        </w:rPr>
        <w:t>5.5.2</w:t>
      </w:r>
      <w:r>
        <w:rPr>
          <w:rFonts w:hint="eastAsia"/>
          <w:color w:val="000000" w:themeColor="text1"/>
          <w14:textFill>
            <w14:solidFill>
              <w14:schemeClr w14:val="tx1"/>
            </w14:solidFill>
          </w14:textFill>
        </w:rPr>
        <w:t>-1</w:t>
      </w:r>
      <w:r>
        <w:rPr>
          <w:color w:val="000000" w:themeColor="text1"/>
          <w14:textFill>
            <w14:solidFill>
              <w14:schemeClr w14:val="tx1"/>
            </w14:solidFill>
          </w14:textFill>
        </w:rPr>
        <w:t>9</w:t>
      </w:r>
      <w:r>
        <w:rPr>
          <w:rFonts w:hint="eastAsia"/>
          <w:color w:val="000000" w:themeColor="text1"/>
          <w14:textFill>
            <w14:solidFill>
              <w14:schemeClr w14:val="tx1"/>
            </w14:solidFill>
          </w14:textFill>
        </w:rPr>
        <w:t>给出了20</w:t>
      </w:r>
      <w:r>
        <w:rPr>
          <w:color w:val="000000" w:themeColor="text1"/>
          <w14:textFill>
            <w14:solidFill>
              <w14:schemeClr w14:val="tx1"/>
            </w14:solidFill>
          </w14:textFill>
        </w:rPr>
        <w:t>22</w:t>
      </w:r>
      <w:r>
        <w:rPr>
          <w:rFonts w:hint="eastAsia"/>
          <w:color w:val="000000" w:themeColor="text1"/>
          <w14:textFill>
            <w14:solidFill>
              <w14:schemeClr w14:val="tx1"/>
            </w14:solidFill>
          </w14:textFill>
        </w:rPr>
        <w:t>年</w:t>
      </w:r>
      <w:r>
        <w:rPr>
          <w:color w:val="000000" w:themeColor="text1"/>
          <w14:textFill>
            <w14:solidFill>
              <w14:schemeClr w14:val="tx1"/>
            </w14:solidFill>
          </w14:textFill>
        </w:rPr>
        <w:t>5</w:t>
      </w:r>
      <w:r>
        <w:rPr>
          <w:rFonts w:hint="eastAsia"/>
          <w:color w:val="000000" w:themeColor="text1"/>
          <w14:textFill>
            <w14:solidFill>
              <w14:schemeClr w14:val="tx1"/>
            </w14:solidFill>
          </w14:textFill>
        </w:rPr>
        <w:t>月</w:t>
      </w:r>
      <w:r>
        <w:rPr>
          <w:color w:val="000000" w:themeColor="text1"/>
          <w14:textFill>
            <w14:solidFill>
              <w14:schemeClr w14:val="tx1"/>
            </w14:solidFill>
          </w14:textFill>
        </w:rPr>
        <w:t>6</w:t>
      </w:r>
      <w:r>
        <w:rPr>
          <w:rFonts w:hint="eastAsia"/>
          <w:color w:val="000000" w:themeColor="text1"/>
          <w14:textFill>
            <w14:solidFill>
              <w14:schemeClr w14:val="tx1"/>
            </w14:solidFill>
          </w14:textFill>
        </w:rPr>
        <w:t>个潮流测站（L</w:t>
      </w:r>
      <w:r>
        <w:rPr>
          <w:color w:val="000000" w:themeColor="text1"/>
          <w14:textFill>
            <w14:solidFill>
              <w14:schemeClr w14:val="tx1"/>
            </w14:solidFill>
          </w14:textFill>
        </w:rPr>
        <w:t>5</w:t>
      </w:r>
      <w:r>
        <w:rPr>
          <w:rFonts w:hint="eastAsia"/>
          <w:color w:val="000000" w:themeColor="text1"/>
          <w14:textFill>
            <w14:solidFill>
              <w14:schemeClr w14:val="tx1"/>
            </w14:solidFill>
          </w14:textFill>
        </w:rPr>
        <w:t>#、L</w:t>
      </w:r>
      <w:r>
        <w:rPr>
          <w:color w:val="000000" w:themeColor="text1"/>
          <w14:textFill>
            <w14:solidFill>
              <w14:schemeClr w14:val="tx1"/>
            </w14:solidFill>
          </w14:textFill>
        </w:rPr>
        <w:t>7</w:t>
      </w:r>
      <w:r>
        <w:rPr>
          <w:rFonts w:hint="eastAsia"/>
          <w:color w:val="000000" w:themeColor="text1"/>
          <w14:textFill>
            <w14:solidFill>
              <w14:schemeClr w14:val="tx1"/>
            </w14:solidFill>
          </w14:textFill>
        </w:rPr>
        <w:t>、L</w:t>
      </w:r>
      <w:r>
        <w:rPr>
          <w:color w:val="000000" w:themeColor="text1"/>
          <w14:textFill>
            <w14:solidFill>
              <w14:schemeClr w14:val="tx1"/>
            </w14:solidFill>
          </w14:textFill>
        </w:rPr>
        <w:t>8</w:t>
      </w:r>
      <w:r>
        <w:rPr>
          <w:rFonts w:hint="eastAsia"/>
          <w:color w:val="000000" w:themeColor="text1"/>
          <w14:textFill>
            <w14:solidFill>
              <w14:schemeClr w14:val="tx1"/>
            </w14:solidFill>
          </w14:textFill>
        </w:rPr>
        <w:t>#、L</w:t>
      </w:r>
      <w:r>
        <w:rPr>
          <w:color w:val="000000" w:themeColor="text1"/>
          <w14:textFill>
            <w14:solidFill>
              <w14:schemeClr w14:val="tx1"/>
            </w14:solidFill>
          </w14:textFill>
        </w:rPr>
        <w:t>9</w:t>
      </w:r>
      <w:r>
        <w:rPr>
          <w:rFonts w:hint="eastAsia"/>
          <w:color w:val="000000" w:themeColor="text1"/>
          <w14:textFill>
            <w14:solidFill>
              <w14:schemeClr w14:val="tx1"/>
            </w14:solidFill>
          </w14:textFill>
        </w:rPr>
        <w:t>#、L</w:t>
      </w:r>
      <w:r>
        <w:rPr>
          <w:color w:val="000000" w:themeColor="text1"/>
          <w14:textFill>
            <w14:solidFill>
              <w14:schemeClr w14:val="tx1"/>
            </w14:solidFill>
          </w14:textFill>
        </w:rPr>
        <w:t>10</w:t>
      </w:r>
      <w:r>
        <w:rPr>
          <w:rFonts w:hint="eastAsia"/>
          <w:color w:val="000000" w:themeColor="text1"/>
          <w14:textFill>
            <w14:solidFill>
              <w14:schemeClr w14:val="tx1"/>
            </w14:solidFill>
          </w14:textFill>
        </w:rPr>
        <w:t>#、L</w:t>
      </w:r>
      <w:r>
        <w:rPr>
          <w:color w:val="000000" w:themeColor="text1"/>
          <w14:textFill>
            <w14:solidFill>
              <w14:schemeClr w14:val="tx1"/>
            </w14:solidFill>
          </w14:textFill>
        </w:rPr>
        <w:t>11#</w:t>
      </w:r>
      <w:r>
        <w:rPr>
          <w:rFonts w:hint="eastAsia"/>
          <w:color w:val="000000" w:themeColor="text1"/>
          <w14:textFill>
            <w14:solidFill>
              <w14:schemeClr w14:val="tx1"/>
            </w14:solidFill>
          </w14:textFill>
        </w:rPr>
        <w:t>）的流速计算结果与实测结果比较。图中黑色“</w:t>
      </w:r>
      <w:r>
        <w:rPr>
          <w:rFonts w:hint="eastAsia"/>
          <w:color w:val="000000" w:themeColor="text1"/>
          <w14:textFill>
            <w14:solidFill>
              <w14:schemeClr w14:val="tx1"/>
            </w14:solidFill>
          </w14:textFill>
        </w:rPr>
        <w:sym w:font="Symbol" w:char="F0A8"/>
      </w:r>
      <w:r>
        <w:rPr>
          <w:rFonts w:hint="eastAsia"/>
          <w:color w:val="000000" w:themeColor="text1"/>
          <w14:textFill>
            <w14:solidFill>
              <w14:schemeClr w14:val="tx1"/>
            </w14:solidFill>
          </w14:textFill>
        </w:rPr>
        <w:t>”为实测值，红色曲线为计算值。流向以北方向为起始，顺时针旋转为正。由图可见，各验证点计算流速和实测资料基本吻合，流向验证较好；由于个别区域的地形数据未更新至最新，这可能导致了个别站点计算结果与实测资料稍有偏差。但总体来看，验证结果符合《海岸与河口潮流泥沙模拟技术规程》(JTS/T 231-2-2010)要求，流速过程线的形态基本一致，这表明建立的二维潮流数学模型能较好地模拟工程所在海区水流传播过程和水流运动规律。</w:t>
      </w:r>
    </w:p>
    <w:p w14:paraId="35168F02">
      <w:pPr>
        <w:autoSpaceDE w:val="0"/>
        <w:autoSpaceDN w:val="0"/>
        <w:adjustRightInd w:val="0"/>
        <w:ind w:firstLine="480"/>
        <w:jc w:val="cente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4959350" cy="1979930"/>
            <wp:effectExtent l="0" t="0" r="0" b="0"/>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a:xfrm>
                      <a:off x="0" y="0"/>
                      <a:ext cx="4959419" cy="1980000"/>
                    </a:xfrm>
                    <a:prstGeom prst="rect">
                      <a:avLst/>
                    </a:prstGeom>
                    <a:noFill/>
                  </pic:spPr>
                </pic:pic>
              </a:graphicData>
            </a:graphic>
          </wp:inline>
        </w:drawing>
      </w:r>
    </w:p>
    <w:p w14:paraId="67860CB5">
      <w:pPr>
        <w:autoSpaceDE w:val="0"/>
        <w:autoSpaceDN w:val="0"/>
        <w:adjustRightInd w:val="0"/>
        <w:ind w:firstLine="480"/>
        <w:jc w:val="cente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4959350" cy="1979930"/>
            <wp:effectExtent l="0" t="0" r="0" b="0"/>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a:xfrm>
                      <a:off x="0" y="0"/>
                      <a:ext cx="4959419" cy="1980000"/>
                    </a:xfrm>
                    <a:prstGeom prst="rect">
                      <a:avLst/>
                    </a:prstGeom>
                    <a:noFill/>
                  </pic:spPr>
                </pic:pic>
              </a:graphicData>
            </a:graphic>
          </wp:inline>
        </w:drawing>
      </w:r>
    </w:p>
    <w:p w14:paraId="10C6285A">
      <w:pPr>
        <w:autoSpaceDE w:val="0"/>
        <w:autoSpaceDN w:val="0"/>
        <w:adjustRightInd w:val="0"/>
        <w:ind w:firstLine="482"/>
        <w:jc w:val="center"/>
        <w:rPr>
          <w:b/>
          <w:color w:val="000000" w:themeColor="text1"/>
          <w14:textFill>
            <w14:solidFill>
              <w14:schemeClr w14:val="tx1"/>
            </w14:solidFill>
          </w14:textFill>
        </w:rPr>
      </w:pPr>
      <w:r>
        <w:rPr>
          <w:rFonts w:hint="eastAsia"/>
          <w:b/>
          <w:color w:val="000000" w:themeColor="text1"/>
          <w14:textFill>
            <w14:solidFill>
              <w14:schemeClr w14:val="tx1"/>
            </w14:solidFill>
          </w14:textFill>
        </w:rPr>
        <w:t>图</w:t>
      </w:r>
      <w:r>
        <w:rPr>
          <w:rFonts w:hint="eastAsia"/>
          <w:color w:val="000000" w:themeColor="text1"/>
          <w:kern w:val="0"/>
          <w14:textFill>
            <w14:solidFill>
              <w14:schemeClr w14:val="tx1"/>
            </w14:solidFill>
          </w14:textFill>
        </w:rPr>
        <w:t>5.5.2</w:t>
      </w:r>
      <w:r>
        <w:rPr>
          <w:rFonts w:hint="eastAsia"/>
          <w:b/>
          <w:color w:val="000000" w:themeColor="text1"/>
          <w14:textFill>
            <w14:solidFill>
              <w14:schemeClr w14:val="tx1"/>
            </w14:solidFill>
          </w14:textFill>
        </w:rPr>
        <w:t>-1</w:t>
      </w:r>
      <w:r>
        <w:rPr>
          <w:b/>
          <w:color w:val="000000" w:themeColor="text1"/>
          <w14:textFill>
            <w14:solidFill>
              <w14:schemeClr w14:val="tx1"/>
            </w14:solidFill>
          </w14:textFill>
        </w:rPr>
        <w:t>4</w:t>
      </w:r>
      <w:r>
        <w:rPr>
          <w:rFonts w:hint="eastAsia"/>
          <w:b/>
          <w:color w:val="000000" w:themeColor="text1"/>
          <w14:textFill>
            <w14:solidFill>
              <w14:schemeClr w14:val="tx1"/>
            </w14:solidFill>
          </w14:textFill>
        </w:rPr>
        <w:t xml:space="preserve">  </w:t>
      </w:r>
      <w:r>
        <w:rPr>
          <w:b/>
          <w:color w:val="000000" w:themeColor="text1"/>
          <w14:textFill>
            <w14:solidFill>
              <w14:schemeClr w14:val="tx1"/>
            </w14:solidFill>
          </w14:textFill>
        </w:rPr>
        <w:t>L5</w:t>
      </w:r>
      <w:r>
        <w:rPr>
          <w:rFonts w:hint="eastAsia"/>
          <w:b/>
          <w:color w:val="000000" w:themeColor="text1"/>
          <w14:textFill>
            <w14:solidFill>
              <w14:schemeClr w14:val="tx1"/>
            </w14:solidFill>
          </w14:textFill>
        </w:rPr>
        <w:t>#站流速流向验证</w:t>
      </w:r>
    </w:p>
    <w:p w14:paraId="4CEB8BA5">
      <w:pPr>
        <w:autoSpaceDE w:val="0"/>
        <w:autoSpaceDN w:val="0"/>
        <w:adjustRightInd w:val="0"/>
        <w:ind w:firstLine="482"/>
        <w:jc w:val="center"/>
        <w:rPr>
          <w:b/>
          <w:color w:val="000000" w:themeColor="text1"/>
          <w14:textFill>
            <w14:solidFill>
              <w14:schemeClr w14:val="tx1"/>
            </w14:solidFill>
          </w14:textFill>
        </w:rPr>
      </w:pPr>
      <w:r>
        <w:rPr>
          <w:b/>
          <w:color w:val="000000" w:themeColor="text1"/>
          <w14:textFill>
            <w14:solidFill>
              <w14:schemeClr w14:val="tx1"/>
            </w14:solidFill>
          </w14:textFill>
        </w:rPr>
        <w:drawing>
          <wp:inline distT="0" distB="0" distL="0" distR="0">
            <wp:extent cx="4959350" cy="1979930"/>
            <wp:effectExtent l="0" t="0" r="0" b="0"/>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a:xfrm>
                      <a:off x="0" y="0"/>
                      <a:ext cx="4959419" cy="1980000"/>
                    </a:xfrm>
                    <a:prstGeom prst="rect">
                      <a:avLst/>
                    </a:prstGeom>
                    <a:noFill/>
                  </pic:spPr>
                </pic:pic>
              </a:graphicData>
            </a:graphic>
          </wp:inline>
        </w:drawing>
      </w:r>
    </w:p>
    <w:p w14:paraId="1B3AE41D">
      <w:pPr>
        <w:autoSpaceDE w:val="0"/>
        <w:autoSpaceDN w:val="0"/>
        <w:adjustRightInd w:val="0"/>
        <w:ind w:firstLine="482"/>
        <w:jc w:val="center"/>
        <w:rPr>
          <w:b/>
          <w:color w:val="000000" w:themeColor="text1"/>
          <w14:textFill>
            <w14:solidFill>
              <w14:schemeClr w14:val="tx1"/>
            </w14:solidFill>
          </w14:textFill>
        </w:rPr>
      </w:pPr>
      <w:r>
        <w:rPr>
          <w:b/>
          <w:color w:val="000000" w:themeColor="text1"/>
          <w14:textFill>
            <w14:solidFill>
              <w14:schemeClr w14:val="tx1"/>
            </w14:solidFill>
          </w14:textFill>
        </w:rPr>
        <w:drawing>
          <wp:inline distT="0" distB="0" distL="0" distR="0">
            <wp:extent cx="4959350" cy="1979930"/>
            <wp:effectExtent l="0" t="0" r="0" b="0"/>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a:xfrm>
                      <a:off x="0" y="0"/>
                      <a:ext cx="4959419" cy="1980000"/>
                    </a:xfrm>
                    <a:prstGeom prst="rect">
                      <a:avLst/>
                    </a:prstGeom>
                    <a:noFill/>
                  </pic:spPr>
                </pic:pic>
              </a:graphicData>
            </a:graphic>
          </wp:inline>
        </w:drawing>
      </w:r>
    </w:p>
    <w:p w14:paraId="52FC5BFE">
      <w:pPr>
        <w:autoSpaceDE w:val="0"/>
        <w:autoSpaceDN w:val="0"/>
        <w:adjustRightInd w:val="0"/>
        <w:ind w:firstLine="482"/>
        <w:jc w:val="center"/>
        <w:rPr>
          <w:b/>
          <w:color w:val="000000" w:themeColor="text1"/>
          <w14:textFill>
            <w14:solidFill>
              <w14:schemeClr w14:val="tx1"/>
            </w14:solidFill>
          </w14:textFill>
        </w:rPr>
      </w:pPr>
      <w:r>
        <w:rPr>
          <w:rFonts w:hint="eastAsia"/>
          <w:b/>
          <w:color w:val="000000" w:themeColor="text1"/>
          <w14:textFill>
            <w14:solidFill>
              <w14:schemeClr w14:val="tx1"/>
            </w14:solidFill>
          </w14:textFill>
        </w:rPr>
        <w:t>图</w:t>
      </w:r>
      <w:r>
        <w:rPr>
          <w:rFonts w:hint="eastAsia"/>
          <w:color w:val="000000" w:themeColor="text1"/>
          <w:kern w:val="0"/>
          <w14:textFill>
            <w14:solidFill>
              <w14:schemeClr w14:val="tx1"/>
            </w14:solidFill>
          </w14:textFill>
        </w:rPr>
        <w:t>5.5.2</w:t>
      </w:r>
      <w:r>
        <w:rPr>
          <w:rFonts w:hint="eastAsia"/>
          <w:b/>
          <w:color w:val="000000" w:themeColor="text1"/>
          <w14:textFill>
            <w14:solidFill>
              <w14:schemeClr w14:val="tx1"/>
            </w14:solidFill>
          </w14:textFill>
        </w:rPr>
        <w:t>-1</w:t>
      </w:r>
      <w:r>
        <w:rPr>
          <w:b/>
          <w:color w:val="000000" w:themeColor="text1"/>
          <w14:textFill>
            <w14:solidFill>
              <w14:schemeClr w14:val="tx1"/>
            </w14:solidFill>
          </w14:textFill>
        </w:rPr>
        <w:t>5</w:t>
      </w:r>
      <w:r>
        <w:rPr>
          <w:rFonts w:hint="eastAsia"/>
          <w:b/>
          <w:color w:val="000000" w:themeColor="text1"/>
          <w14:textFill>
            <w14:solidFill>
              <w14:schemeClr w14:val="tx1"/>
            </w14:solidFill>
          </w14:textFill>
        </w:rPr>
        <w:t xml:space="preserve">  </w:t>
      </w:r>
      <w:r>
        <w:rPr>
          <w:b/>
          <w:color w:val="000000" w:themeColor="text1"/>
          <w14:textFill>
            <w14:solidFill>
              <w14:schemeClr w14:val="tx1"/>
            </w14:solidFill>
          </w14:textFill>
        </w:rPr>
        <w:t>L7</w:t>
      </w:r>
      <w:r>
        <w:rPr>
          <w:rFonts w:hint="eastAsia"/>
          <w:b/>
          <w:color w:val="000000" w:themeColor="text1"/>
          <w14:textFill>
            <w14:solidFill>
              <w14:schemeClr w14:val="tx1"/>
            </w14:solidFill>
          </w14:textFill>
        </w:rPr>
        <w:t>#站流速流向验证</w:t>
      </w:r>
    </w:p>
    <w:p w14:paraId="30E7079A">
      <w:pPr>
        <w:autoSpaceDE w:val="0"/>
        <w:autoSpaceDN w:val="0"/>
        <w:adjustRightInd w:val="0"/>
        <w:ind w:firstLine="480"/>
        <w:jc w:val="cente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4959350" cy="1979930"/>
            <wp:effectExtent l="0" t="0" r="0" b="0"/>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a:xfrm>
                      <a:off x="0" y="0"/>
                      <a:ext cx="4959419" cy="1980000"/>
                    </a:xfrm>
                    <a:prstGeom prst="rect">
                      <a:avLst/>
                    </a:prstGeom>
                    <a:noFill/>
                  </pic:spPr>
                </pic:pic>
              </a:graphicData>
            </a:graphic>
          </wp:inline>
        </w:drawing>
      </w:r>
    </w:p>
    <w:p w14:paraId="5968A07F">
      <w:pPr>
        <w:autoSpaceDE w:val="0"/>
        <w:autoSpaceDN w:val="0"/>
        <w:adjustRightInd w:val="0"/>
        <w:ind w:firstLine="480"/>
        <w:jc w:val="cente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4959350" cy="1979930"/>
            <wp:effectExtent l="0" t="0" r="0" b="0"/>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a:xfrm>
                      <a:off x="0" y="0"/>
                      <a:ext cx="4959419" cy="1980000"/>
                    </a:xfrm>
                    <a:prstGeom prst="rect">
                      <a:avLst/>
                    </a:prstGeom>
                    <a:noFill/>
                  </pic:spPr>
                </pic:pic>
              </a:graphicData>
            </a:graphic>
          </wp:inline>
        </w:drawing>
      </w:r>
    </w:p>
    <w:p w14:paraId="0EE2C7F1">
      <w:pPr>
        <w:autoSpaceDE w:val="0"/>
        <w:autoSpaceDN w:val="0"/>
        <w:adjustRightInd w:val="0"/>
        <w:ind w:firstLine="482"/>
        <w:jc w:val="center"/>
        <w:rPr>
          <w:b/>
          <w:color w:val="000000" w:themeColor="text1"/>
          <w14:textFill>
            <w14:solidFill>
              <w14:schemeClr w14:val="tx1"/>
            </w14:solidFill>
          </w14:textFill>
        </w:rPr>
      </w:pPr>
      <w:r>
        <w:rPr>
          <w:rFonts w:hint="eastAsia"/>
          <w:b/>
          <w:color w:val="000000" w:themeColor="text1"/>
          <w14:textFill>
            <w14:solidFill>
              <w14:schemeClr w14:val="tx1"/>
            </w14:solidFill>
          </w14:textFill>
        </w:rPr>
        <w:t>图</w:t>
      </w:r>
      <w:r>
        <w:rPr>
          <w:rFonts w:hint="eastAsia"/>
          <w:color w:val="000000" w:themeColor="text1"/>
          <w:kern w:val="0"/>
          <w14:textFill>
            <w14:solidFill>
              <w14:schemeClr w14:val="tx1"/>
            </w14:solidFill>
          </w14:textFill>
        </w:rPr>
        <w:t>5.5.2</w:t>
      </w:r>
      <w:r>
        <w:rPr>
          <w:rFonts w:hint="eastAsia"/>
          <w:b/>
          <w:color w:val="000000" w:themeColor="text1"/>
          <w14:textFill>
            <w14:solidFill>
              <w14:schemeClr w14:val="tx1"/>
            </w14:solidFill>
          </w14:textFill>
        </w:rPr>
        <w:t>-1</w:t>
      </w:r>
      <w:r>
        <w:rPr>
          <w:b/>
          <w:color w:val="000000" w:themeColor="text1"/>
          <w14:textFill>
            <w14:solidFill>
              <w14:schemeClr w14:val="tx1"/>
            </w14:solidFill>
          </w14:textFill>
        </w:rPr>
        <w:t>6</w:t>
      </w:r>
      <w:r>
        <w:rPr>
          <w:rFonts w:hint="eastAsia"/>
          <w:b/>
          <w:color w:val="000000" w:themeColor="text1"/>
          <w14:textFill>
            <w14:solidFill>
              <w14:schemeClr w14:val="tx1"/>
            </w14:solidFill>
          </w14:textFill>
        </w:rPr>
        <w:t xml:space="preserve">  </w:t>
      </w:r>
      <w:r>
        <w:rPr>
          <w:b/>
          <w:color w:val="000000" w:themeColor="text1"/>
          <w14:textFill>
            <w14:solidFill>
              <w14:schemeClr w14:val="tx1"/>
            </w14:solidFill>
          </w14:textFill>
        </w:rPr>
        <w:t>L8</w:t>
      </w:r>
      <w:r>
        <w:rPr>
          <w:rFonts w:hint="eastAsia"/>
          <w:b/>
          <w:color w:val="000000" w:themeColor="text1"/>
          <w14:textFill>
            <w14:solidFill>
              <w14:schemeClr w14:val="tx1"/>
            </w14:solidFill>
          </w14:textFill>
        </w:rPr>
        <w:t>#站流速流向验证</w:t>
      </w:r>
    </w:p>
    <w:p w14:paraId="1A172BD3">
      <w:pPr>
        <w:ind w:firstLine="480"/>
        <w:jc w:val="cente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4959350" cy="1979930"/>
            <wp:effectExtent l="0" t="0" r="0" b="0"/>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a:xfrm>
                      <a:off x="0" y="0"/>
                      <a:ext cx="4959419" cy="1980000"/>
                    </a:xfrm>
                    <a:prstGeom prst="rect">
                      <a:avLst/>
                    </a:prstGeom>
                    <a:noFill/>
                  </pic:spPr>
                </pic:pic>
              </a:graphicData>
            </a:graphic>
          </wp:inline>
        </w:drawing>
      </w:r>
    </w:p>
    <w:p w14:paraId="440B9884">
      <w:pPr>
        <w:ind w:firstLine="480"/>
        <w:jc w:val="cente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4959350" cy="1979930"/>
            <wp:effectExtent l="0" t="0" r="0" b="0"/>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a:xfrm>
                      <a:off x="0" y="0"/>
                      <a:ext cx="4959419" cy="1980000"/>
                    </a:xfrm>
                    <a:prstGeom prst="rect">
                      <a:avLst/>
                    </a:prstGeom>
                    <a:noFill/>
                  </pic:spPr>
                </pic:pic>
              </a:graphicData>
            </a:graphic>
          </wp:inline>
        </w:drawing>
      </w:r>
    </w:p>
    <w:p w14:paraId="24E3F2E5">
      <w:pPr>
        <w:ind w:firstLine="482"/>
        <w:jc w:val="center"/>
        <w:rPr>
          <w:b/>
          <w:color w:val="000000" w:themeColor="text1"/>
          <w14:textFill>
            <w14:solidFill>
              <w14:schemeClr w14:val="tx1"/>
            </w14:solidFill>
          </w14:textFill>
        </w:rPr>
      </w:pPr>
      <w:r>
        <w:rPr>
          <w:rFonts w:hint="eastAsia"/>
          <w:b/>
          <w:color w:val="000000" w:themeColor="text1"/>
          <w14:textFill>
            <w14:solidFill>
              <w14:schemeClr w14:val="tx1"/>
            </w14:solidFill>
          </w14:textFill>
        </w:rPr>
        <w:t>图</w:t>
      </w:r>
      <w:r>
        <w:rPr>
          <w:rFonts w:hint="eastAsia"/>
          <w:color w:val="000000" w:themeColor="text1"/>
          <w:kern w:val="0"/>
          <w14:textFill>
            <w14:solidFill>
              <w14:schemeClr w14:val="tx1"/>
            </w14:solidFill>
          </w14:textFill>
        </w:rPr>
        <w:t>5.5.2</w:t>
      </w:r>
      <w:r>
        <w:rPr>
          <w:rFonts w:hint="eastAsia"/>
          <w:b/>
          <w:color w:val="000000" w:themeColor="text1"/>
          <w14:textFill>
            <w14:solidFill>
              <w14:schemeClr w14:val="tx1"/>
            </w14:solidFill>
          </w14:textFill>
        </w:rPr>
        <w:t>-1</w:t>
      </w:r>
      <w:r>
        <w:rPr>
          <w:b/>
          <w:color w:val="000000" w:themeColor="text1"/>
          <w14:textFill>
            <w14:solidFill>
              <w14:schemeClr w14:val="tx1"/>
            </w14:solidFill>
          </w14:textFill>
        </w:rPr>
        <w:t>7</w:t>
      </w:r>
      <w:r>
        <w:rPr>
          <w:rFonts w:hint="eastAsia"/>
          <w:b/>
          <w:color w:val="000000" w:themeColor="text1"/>
          <w14:textFill>
            <w14:solidFill>
              <w14:schemeClr w14:val="tx1"/>
            </w14:solidFill>
          </w14:textFill>
        </w:rPr>
        <w:t xml:space="preserve">  </w:t>
      </w:r>
      <w:r>
        <w:rPr>
          <w:b/>
          <w:color w:val="000000" w:themeColor="text1"/>
          <w14:textFill>
            <w14:solidFill>
              <w14:schemeClr w14:val="tx1"/>
            </w14:solidFill>
          </w14:textFill>
        </w:rPr>
        <w:t>L9</w:t>
      </w:r>
      <w:r>
        <w:rPr>
          <w:rFonts w:hint="eastAsia"/>
          <w:b/>
          <w:color w:val="000000" w:themeColor="text1"/>
          <w14:textFill>
            <w14:solidFill>
              <w14:schemeClr w14:val="tx1"/>
            </w14:solidFill>
          </w14:textFill>
        </w:rPr>
        <w:t>#站流速流向验证</w:t>
      </w:r>
    </w:p>
    <w:p w14:paraId="47EBA438">
      <w:pPr>
        <w:ind w:firstLine="482"/>
        <w:jc w:val="center"/>
        <w:rPr>
          <w:rFonts w:eastAsia="黑体"/>
          <w:b/>
          <w:color w:val="000000" w:themeColor="text1"/>
          <w:szCs w:val="21"/>
          <w14:textFill>
            <w14:solidFill>
              <w14:schemeClr w14:val="tx1"/>
            </w14:solidFill>
          </w14:textFill>
        </w:rPr>
      </w:pPr>
      <w:r>
        <w:rPr>
          <w:rFonts w:eastAsia="黑体"/>
          <w:b/>
          <w:color w:val="000000" w:themeColor="text1"/>
          <w:szCs w:val="21"/>
          <w14:textFill>
            <w14:solidFill>
              <w14:schemeClr w14:val="tx1"/>
            </w14:solidFill>
          </w14:textFill>
        </w:rPr>
        <w:drawing>
          <wp:inline distT="0" distB="0" distL="0" distR="0">
            <wp:extent cx="4959350" cy="1979930"/>
            <wp:effectExtent l="0" t="0" r="0" b="0"/>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a:xfrm>
                      <a:off x="0" y="0"/>
                      <a:ext cx="4959419" cy="1980000"/>
                    </a:xfrm>
                    <a:prstGeom prst="rect">
                      <a:avLst/>
                    </a:prstGeom>
                    <a:noFill/>
                  </pic:spPr>
                </pic:pic>
              </a:graphicData>
            </a:graphic>
          </wp:inline>
        </w:drawing>
      </w:r>
    </w:p>
    <w:p w14:paraId="090E4B1B">
      <w:pPr>
        <w:ind w:firstLine="482"/>
        <w:jc w:val="center"/>
        <w:rPr>
          <w:rFonts w:eastAsia="黑体"/>
          <w:b/>
          <w:color w:val="000000" w:themeColor="text1"/>
          <w:szCs w:val="21"/>
          <w14:textFill>
            <w14:solidFill>
              <w14:schemeClr w14:val="tx1"/>
            </w14:solidFill>
          </w14:textFill>
        </w:rPr>
      </w:pPr>
      <w:r>
        <w:rPr>
          <w:rFonts w:eastAsia="黑体"/>
          <w:b/>
          <w:color w:val="000000" w:themeColor="text1"/>
          <w:szCs w:val="21"/>
          <w14:textFill>
            <w14:solidFill>
              <w14:schemeClr w14:val="tx1"/>
            </w14:solidFill>
          </w14:textFill>
        </w:rPr>
        <w:drawing>
          <wp:inline distT="0" distB="0" distL="0" distR="0">
            <wp:extent cx="4959350" cy="1979930"/>
            <wp:effectExtent l="0" t="0" r="0" b="0"/>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a:xfrm>
                      <a:off x="0" y="0"/>
                      <a:ext cx="4959419" cy="1980000"/>
                    </a:xfrm>
                    <a:prstGeom prst="rect">
                      <a:avLst/>
                    </a:prstGeom>
                    <a:noFill/>
                  </pic:spPr>
                </pic:pic>
              </a:graphicData>
            </a:graphic>
          </wp:inline>
        </w:drawing>
      </w:r>
    </w:p>
    <w:p w14:paraId="4A671FA4">
      <w:pPr>
        <w:ind w:firstLine="482"/>
        <w:jc w:val="center"/>
        <w:rPr>
          <w:b/>
          <w:color w:val="000000" w:themeColor="text1"/>
          <w14:textFill>
            <w14:solidFill>
              <w14:schemeClr w14:val="tx1"/>
            </w14:solidFill>
          </w14:textFill>
        </w:rPr>
      </w:pPr>
      <w:r>
        <w:rPr>
          <w:rFonts w:hint="eastAsia"/>
          <w:b/>
          <w:color w:val="000000" w:themeColor="text1"/>
          <w14:textFill>
            <w14:solidFill>
              <w14:schemeClr w14:val="tx1"/>
            </w14:solidFill>
          </w14:textFill>
        </w:rPr>
        <w:t>图</w:t>
      </w:r>
      <w:r>
        <w:rPr>
          <w:rFonts w:hint="eastAsia"/>
          <w:color w:val="000000" w:themeColor="text1"/>
          <w:kern w:val="0"/>
          <w14:textFill>
            <w14:solidFill>
              <w14:schemeClr w14:val="tx1"/>
            </w14:solidFill>
          </w14:textFill>
        </w:rPr>
        <w:t>5.5.2</w:t>
      </w:r>
      <w:r>
        <w:rPr>
          <w:rFonts w:hint="eastAsia"/>
          <w:b/>
          <w:color w:val="000000" w:themeColor="text1"/>
          <w14:textFill>
            <w14:solidFill>
              <w14:schemeClr w14:val="tx1"/>
            </w14:solidFill>
          </w14:textFill>
        </w:rPr>
        <w:t>-1</w:t>
      </w:r>
      <w:r>
        <w:rPr>
          <w:b/>
          <w:color w:val="000000" w:themeColor="text1"/>
          <w14:textFill>
            <w14:solidFill>
              <w14:schemeClr w14:val="tx1"/>
            </w14:solidFill>
          </w14:textFill>
        </w:rPr>
        <w:t>8</w:t>
      </w:r>
      <w:r>
        <w:rPr>
          <w:rFonts w:hint="eastAsia"/>
          <w:b/>
          <w:color w:val="000000" w:themeColor="text1"/>
          <w14:textFill>
            <w14:solidFill>
              <w14:schemeClr w14:val="tx1"/>
            </w14:solidFill>
          </w14:textFill>
        </w:rPr>
        <w:t xml:space="preserve">  </w:t>
      </w:r>
      <w:r>
        <w:rPr>
          <w:b/>
          <w:color w:val="000000" w:themeColor="text1"/>
          <w14:textFill>
            <w14:solidFill>
              <w14:schemeClr w14:val="tx1"/>
            </w14:solidFill>
          </w14:textFill>
        </w:rPr>
        <w:t>L10</w:t>
      </w:r>
      <w:r>
        <w:rPr>
          <w:rFonts w:hint="eastAsia"/>
          <w:b/>
          <w:color w:val="000000" w:themeColor="text1"/>
          <w14:textFill>
            <w14:solidFill>
              <w14:schemeClr w14:val="tx1"/>
            </w14:solidFill>
          </w14:textFill>
        </w:rPr>
        <w:t>#站流速流向验证</w:t>
      </w:r>
    </w:p>
    <w:p w14:paraId="210BB212">
      <w:pPr>
        <w:ind w:firstLine="482"/>
        <w:jc w:val="center"/>
        <w:rPr>
          <w:b/>
          <w:color w:val="000000" w:themeColor="text1"/>
          <w14:textFill>
            <w14:solidFill>
              <w14:schemeClr w14:val="tx1"/>
            </w14:solidFill>
          </w14:textFill>
        </w:rPr>
      </w:pPr>
      <w:r>
        <w:rPr>
          <w:b/>
          <w:color w:val="000000" w:themeColor="text1"/>
          <w14:textFill>
            <w14:solidFill>
              <w14:schemeClr w14:val="tx1"/>
            </w14:solidFill>
          </w14:textFill>
        </w:rPr>
        <w:drawing>
          <wp:inline distT="0" distB="0" distL="0" distR="0">
            <wp:extent cx="4959350" cy="1979930"/>
            <wp:effectExtent l="0" t="0" r="0" b="0"/>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a:xfrm>
                      <a:off x="0" y="0"/>
                      <a:ext cx="4959419" cy="1980000"/>
                    </a:xfrm>
                    <a:prstGeom prst="rect">
                      <a:avLst/>
                    </a:prstGeom>
                    <a:noFill/>
                  </pic:spPr>
                </pic:pic>
              </a:graphicData>
            </a:graphic>
          </wp:inline>
        </w:drawing>
      </w:r>
    </w:p>
    <w:p w14:paraId="79C46758">
      <w:pPr>
        <w:ind w:firstLine="482"/>
        <w:jc w:val="center"/>
        <w:rPr>
          <w:b/>
          <w:color w:val="000000" w:themeColor="text1"/>
          <w14:textFill>
            <w14:solidFill>
              <w14:schemeClr w14:val="tx1"/>
            </w14:solidFill>
          </w14:textFill>
        </w:rPr>
      </w:pPr>
      <w:r>
        <w:rPr>
          <w:b/>
          <w:color w:val="000000" w:themeColor="text1"/>
          <w14:textFill>
            <w14:solidFill>
              <w14:schemeClr w14:val="tx1"/>
            </w14:solidFill>
          </w14:textFill>
        </w:rPr>
        <w:drawing>
          <wp:inline distT="0" distB="0" distL="0" distR="0">
            <wp:extent cx="4959350" cy="1979930"/>
            <wp:effectExtent l="0" t="0" r="0" b="0"/>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a:xfrm>
                      <a:off x="0" y="0"/>
                      <a:ext cx="4959419" cy="1980000"/>
                    </a:xfrm>
                    <a:prstGeom prst="rect">
                      <a:avLst/>
                    </a:prstGeom>
                    <a:noFill/>
                  </pic:spPr>
                </pic:pic>
              </a:graphicData>
            </a:graphic>
          </wp:inline>
        </w:drawing>
      </w:r>
    </w:p>
    <w:p w14:paraId="29F51166">
      <w:pPr>
        <w:ind w:firstLine="482"/>
        <w:jc w:val="center"/>
        <w:rPr>
          <w:rFonts w:eastAsia="黑体"/>
          <w:b/>
          <w:color w:val="000000" w:themeColor="text1"/>
          <w14:textFill>
            <w14:solidFill>
              <w14:schemeClr w14:val="tx1"/>
            </w14:solidFill>
          </w14:textFill>
        </w:rPr>
      </w:pPr>
      <w:r>
        <w:rPr>
          <w:rFonts w:hint="eastAsia"/>
          <w:b/>
          <w:color w:val="000000" w:themeColor="text1"/>
          <w14:textFill>
            <w14:solidFill>
              <w14:schemeClr w14:val="tx1"/>
            </w14:solidFill>
          </w14:textFill>
        </w:rPr>
        <w:t>图</w:t>
      </w:r>
      <w:r>
        <w:rPr>
          <w:rFonts w:hint="eastAsia"/>
          <w:color w:val="000000" w:themeColor="text1"/>
          <w:kern w:val="0"/>
          <w14:textFill>
            <w14:solidFill>
              <w14:schemeClr w14:val="tx1"/>
            </w14:solidFill>
          </w14:textFill>
        </w:rPr>
        <w:t>5.5.2</w:t>
      </w:r>
      <w:r>
        <w:rPr>
          <w:rFonts w:hint="eastAsia"/>
          <w:b/>
          <w:color w:val="000000" w:themeColor="text1"/>
          <w14:textFill>
            <w14:solidFill>
              <w14:schemeClr w14:val="tx1"/>
            </w14:solidFill>
          </w14:textFill>
        </w:rPr>
        <w:t>-1</w:t>
      </w:r>
      <w:r>
        <w:rPr>
          <w:b/>
          <w:color w:val="000000" w:themeColor="text1"/>
          <w14:textFill>
            <w14:solidFill>
              <w14:schemeClr w14:val="tx1"/>
            </w14:solidFill>
          </w14:textFill>
        </w:rPr>
        <w:t>9</w:t>
      </w:r>
      <w:r>
        <w:rPr>
          <w:rFonts w:hint="eastAsia"/>
          <w:b/>
          <w:color w:val="000000" w:themeColor="text1"/>
          <w14:textFill>
            <w14:solidFill>
              <w14:schemeClr w14:val="tx1"/>
            </w14:solidFill>
          </w14:textFill>
        </w:rPr>
        <w:t xml:space="preserve">  </w:t>
      </w:r>
      <w:r>
        <w:rPr>
          <w:b/>
          <w:color w:val="000000" w:themeColor="text1"/>
          <w14:textFill>
            <w14:solidFill>
              <w14:schemeClr w14:val="tx1"/>
            </w14:solidFill>
          </w14:textFill>
        </w:rPr>
        <w:t>L11</w:t>
      </w:r>
      <w:r>
        <w:rPr>
          <w:rFonts w:hint="eastAsia"/>
          <w:b/>
          <w:color w:val="000000" w:themeColor="text1"/>
          <w14:textFill>
            <w14:solidFill>
              <w14:schemeClr w14:val="tx1"/>
            </w14:solidFill>
          </w14:textFill>
        </w:rPr>
        <w:t>#站流速流向验证</w:t>
      </w:r>
    </w:p>
    <w:p w14:paraId="743BB575">
      <w:pPr>
        <w:pStyle w:val="6"/>
        <w:ind w:left="0"/>
        <w:rPr>
          <w:color w:val="000000" w:themeColor="text1"/>
          <w14:textFill>
            <w14:solidFill>
              <w14:schemeClr w14:val="tx1"/>
            </w14:solidFill>
          </w14:textFill>
        </w:rPr>
      </w:pPr>
      <w:r>
        <w:rPr>
          <w:rFonts w:hint="eastAsia"/>
          <w:color w:val="000000" w:themeColor="text1"/>
          <w14:textFill>
            <w14:solidFill>
              <w14:schemeClr w14:val="tx1"/>
            </w14:solidFill>
          </w14:textFill>
        </w:rPr>
        <w:t>流场计算</w:t>
      </w:r>
    </w:p>
    <w:p w14:paraId="5593875B">
      <w:pPr>
        <w:autoSpaceDE w:val="0"/>
        <w:autoSpaceDN w:val="0"/>
        <w:adjustRightInd w:val="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图</w:t>
      </w:r>
      <w:r>
        <w:rPr>
          <w:rFonts w:hint="eastAsia"/>
          <w:color w:val="000000" w:themeColor="text1"/>
          <w:kern w:val="0"/>
          <w14:textFill>
            <w14:solidFill>
              <w14:schemeClr w14:val="tx1"/>
            </w14:solidFill>
          </w14:textFill>
        </w:rPr>
        <w:t>5.5.2</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20</w:t>
      </w:r>
      <w:r>
        <w:rPr>
          <w:rFonts w:hint="eastAsia"/>
          <w:color w:val="000000" w:themeColor="text1"/>
          <w14:textFill>
            <w14:solidFill>
              <w14:schemeClr w14:val="tx1"/>
            </w14:solidFill>
          </w14:textFill>
        </w:rPr>
        <w:t>~图</w:t>
      </w:r>
      <w:r>
        <w:rPr>
          <w:rFonts w:hint="eastAsia"/>
          <w:color w:val="000000" w:themeColor="text1"/>
          <w:kern w:val="0"/>
          <w14:textFill>
            <w14:solidFill>
              <w14:schemeClr w14:val="tx1"/>
            </w14:solidFill>
          </w14:textFill>
        </w:rPr>
        <w:t>5.5.2</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21</w:t>
      </w:r>
      <w:r>
        <w:rPr>
          <w:rFonts w:hint="eastAsia"/>
          <w:color w:val="000000" w:themeColor="text1"/>
          <w14:textFill>
            <w14:solidFill>
              <w14:schemeClr w14:val="tx1"/>
            </w14:solidFill>
          </w14:textFill>
        </w:rPr>
        <w:t>为模型计算区域20</w:t>
      </w:r>
      <w:r>
        <w:rPr>
          <w:color w:val="000000" w:themeColor="text1"/>
          <w14:textFill>
            <w14:solidFill>
              <w14:schemeClr w14:val="tx1"/>
            </w14:solidFill>
          </w14:textFill>
        </w:rPr>
        <w:t>22</w:t>
      </w:r>
      <w:r>
        <w:rPr>
          <w:rFonts w:hint="eastAsia"/>
          <w:color w:val="000000" w:themeColor="text1"/>
          <w14:textFill>
            <w14:solidFill>
              <w14:schemeClr w14:val="tx1"/>
            </w14:solidFill>
          </w14:textFill>
        </w:rPr>
        <w:t>年</w:t>
      </w:r>
      <w:r>
        <w:rPr>
          <w:color w:val="000000" w:themeColor="text1"/>
          <w14:textFill>
            <w14:solidFill>
              <w14:schemeClr w14:val="tx1"/>
            </w14:solidFill>
          </w14:textFill>
        </w:rPr>
        <w:t>5</w:t>
      </w:r>
      <w:r>
        <w:rPr>
          <w:rFonts w:hint="eastAsia"/>
          <w:color w:val="000000" w:themeColor="text1"/>
          <w14:textFill>
            <w14:solidFill>
              <w14:schemeClr w14:val="tx1"/>
            </w14:solidFill>
          </w14:textFill>
        </w:rPr>
        <w:t>月春季大潮钦州湾及其邻近海域大潮涨落急时刻的流场，图</w:t>
      </w:r>
      <w:r>
        <w:rPr>
          <w:rFonts w:hint="eastAsia"/>
          <w:color w:val="000000" w:themeColor="text1"/>
          <w:kern w:val="0"/>
          <w14:textFill>
            <w14:solidFill>
              <w14:schemeClr w14:val="tx1"/>
            </w14:solidFill>
          </w14:textFill>
        </w:rPr>
        <w:t>5.5.2</w:t>
      </w:r>
      <w:r>
        <w:rPr>
          <w:rFonts w:hint="eastAsia"/>
          <w:color w:val="000000" w:themeColor="text1"/>
          <w14:textFill>
            <w14:solidFill>
              <w14:schemeClr w14:val="tx1"/>
            </w14:solidFill>
          </w14:textFill>
        </w:rPr>
        <w:t>-2</w:t>
      </w:r>
      <w:r>
        <w:rPr>
          <w:color w:val="000000" w:themeColor="text1"/>
          <w14:textFill>
            <w14:solidFill>
              <w14:schemeClr w14:val="tx1"/>
            </w14:solidFill>
          </w14:textFill>
        </w:rPr>
        <w:t>2</w:t>
      </w:r>
      <w:r>
        <w:rPr>
          <w:rFonts w:hint="eastAsia"/>
          <w:color w:val="000000" w:themeColor="text1"/>
          <w14:textFill>
            <w14:solidFill>
              <w14:schemeClr w14:val="tx1"/>
            </w14:solidFill>
          </w14:textFill>
        </w:rPr>
        <w:t>~图</w:t>
      </w:r>
      <w:r>
        <w:rPr>
          <w:rFonts w:hint="eastAsia"/>
          <w:color w:val="000000" w:themeColor="text1"/>
          <w:kern w:val="0"/>
          <w14:textFill>
            <w14:solidFill>
              <w14:schemeClr w14:val="tx1"/>
            </w14:solidFill>
          </w14:textFill>
        </w:rPr>
        <w:t>5.5.2</w:t>
      </w:r>
      <w:r>
        <w:rPr>
          <w:rFonts w:hint="eastAsia"/>
          <w:color w:val="000000" w:themeColor="text1"/>
          <w14:textFill>
            <w14:solidFill>
              <w14:schemeClr w14:val="tx1"/>
            </w14:solidFill>
          </w14:textFill>
        </w:rPr>
        <w:t>-2</w:t>
      </w:r>
      <w:r>
        <w:rPr>
          <w:color w:val="000000" w:themeColor="text1"/>
          <w14:textFill>
            <w14:solidFill>
              <w14:schemeClr w14:val="tx1"/>
            </w14:solidFill>
          </w14:textFill>
        </w:rPr>
        <w:t>3</w:t>
      </w:r>
      <w:r>
        <w:rPr>
          <w:rFonts w:hint="eastAsia"/>
          <w:color w:val="000000" w:themeColor="text1"/>
          <w14:textFill>
            <w14:solidFill>
              <w14:schemeClr w14:val="tx1"/>
            </w14:solidFill>
          </w14:textFill>
        </w:rPr>
        <w:t>为工程区附近海域涨、落急流场。从图中可以看出，</w:t>
      </w:r>
      <w:r>
        <w:rPr>
          <w:color w:val="000000" w:themeColor="text1"/>
          <w14:textFill>
            <w14:solidFill>
              <w14:schemeClr w14:val="tx1"/>
            </w14:solidFill>
          </w14:textFill>
        </w:rPr>
        <w:t>钦州湾潮流运动形式以往复流为主，涨</w:t>
      </w:r>
      <w:r>
        <w:rPr>
          <w:rFonts w:hint="eastAsia"/>
          <w:color w:val="000000" w:themeColor="text1"/>
          <w14:textFill>
            <w14:solidFill>
              <w14:schemeClr w14:val="tx1"/>
            </w14:solidFill>
          </w14:textFill>
        </w:rPr>
        <w:t>潮时</w:t>
      </w:r>
      <w:r>
        <w:rPr>
          <w:color w:val="000000" w:themeColor="text1"/>
          <w14:textFill>
            <w14:solidFill>
              <w14:schemeClr w14:val="tx1"/>
            </w14:solidFill>
          </w14:textFill>
        </w:rPr>
        <w:t>钦州湾大部分海域流向以偏北方向为主，涨潮流从湾口汇入龙门峡口，至茅尾海后呈放射状散开，流向总体较均匀，局部受地形影响而发生偏转。开阔水域流速较大，流向较均匀，浅滩、岛屿周围以及岸边流速相对较小，流向多变；航道和深槽处流速最大，流向与航道、深槽走向基本一致</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落</w:t>
      </w:r>
      <w:r>
        <w:rPr>
          <w:rFonts w:hint="eastAsia"/>
          <w:color w:val="000000" w:themeColor="text1"/>
          <w14:textFill>
            <w14:solidFill>
              <w14:schemeClr w14:val="tx1"/>
            </w14:solidFill>
          </w14:textFill>
        </w:rPr>
        <w:t>潮时</w:t>
      </w:r>
      <w:r>
        <w:rPr>
          <w:color w:val="000000" w:themeColor="text1"/>
          <w14:textFill>
            <w14:solidFill>
              <w14:schemeClr w14:val="tx1"/>
            </w14:solidFill>
          </w14:textFill>
        </w:rPr>
        <w:t>，钦州湾大部分海域流向基本向南，落潮流从茅尾海汇入龙门峡口，</w:t>
      </w:r>
      <w:r>
        <w:rPr>
          <w:rFonts w:hint="eastAsia"/>
          <w:color w:val="000000" w:themeColor="text1"/>
          <w14:textFill>
            <w14:solidFill>
              <w14:schemeClr w14:val="tx1"/>
            </w14:solidFill>
          </w14:textFill>
        </w:rPr>
        <w:t>沿3条航道深槽运动</w:t>
      </w:r>
      <w:r>
        <w:rPr>
          <w:color w:val="000000" w:themeColor="text1"/>
          <w14:textFill>
            <w14:solidFill>
              <w14:schemeClr w14:val="tx1"/>
            </w14:solidFill>
          </w14:textFill>
        </w:rPr>
        <w:t>至钦州外湾后呈放射状散开</w:t>
      </w:r>
      <w:r>
        <w:rPr>
          <w:rFonts w:hint="eastAsia"/>
          <w:color w:val="000000" w:themeColor="text1"/>
          <w14:textFill>
            <w14:solidFill>
              <w14:schemeClr w14:val="tx1"/>
            </w14:solidFill>
          </w14:textFill>
        </w:rPr>
        <w:t>。对于本项目附近海域而言，受金鼓江地形影响，工程区海域的涨落潮流方向为东北偏北-西南偏南，涨、落急流速最大可达0</w:t>
      </w:r>
      <w:r>
        <w:rPr>
          <w:color w:val="000000" w:themeColor="text1"/>
          <w14:textFill>
            <w14:solidFill>
              <w14:schemeClr w14:val="tx1"/>
            </w14:solidFill>
          </w14:textFill>
        </w:rPr>
        <w:t>.6</w:t>
      </w:r>
      <w:r>
        <w:rPr>
          <w:rFonts w:hint="eastAsia"/>
          <w:color w:val="000000" w:themeColor="text1"/>
          <w14:textFill>
            <w14:solidFill>
              <w14:schemeClr w14:val="tx1"/>
            </w14:solidFill>
          </w14:textFill>
        </w:rPr>
        <w:t>m</w:t>
      </w:r>
      <w:r>
        <w:rPr>
          <w:color w:val="000000" w:themeColor="text1"/>
          <w14:textFill>
            <w14:solidFill>
              <w14:schemeClr w14:val="tx1"/>
            </w14:solidFill>
          </w14:textFill>
        </w:rPr>
        <w:t>/s</w:t>
      </w:r>
      <w:r>
        <w:rPr>
          <w:rFonts w:hint="eastAsia"/>
          <w:color w:val="000000" w:themeColor="text1"/>
          <w14:textFill>
            <w14:solidFill>
              <w14:schemeClr w14:val="tx1"/>
            </w14:solidFill>
          </w14:textFill>
        </w:rPr>
        <w:t>，一般航道处流速大于两侧浅滩流速。一般而言，钦州</w:t>
      </w:r>
      <w:r>
        <w:rPr>
          <w:rFonts w:hint="eastAsia" w:ascii="宋体" w:hAnsi="宋体"/>
          <w:color w:val="000000" w:themeColor="text1"/>
          <w14:textFill>
            <w14:solidFill>
              <w14:schemeClr w14:val="tx1"/>
            </w14:solidFill>
          </w14:textFill>
        </w:rPr>
        <w:t>湾海域落潮流速大于涨潮流速</w:t>
      </w:r>
      <w:r>
        <w:rPr>
          <w:rFonts w:hint="eastAsia"/>
          <w:color w:val="000000" w:themeColor="text1"/>
          <w14:textFill>
            <w14:solidFill>
              <w14:schemeClr w14:val="tx1"/>
            </w14:solidFill>
          </w14:textFill>
        </w:rPr>
        <w:t>。总体而言，钦州湾海域落潮流速大于涨潮流速。</w:t>
      </w:r>
    </w:p>
    <w:p w14:paraId="2A441D12">
      <w:pPr>
        <w:widowControl/>
        <w:ind w:firstLine="480"/>
        <w:jc w:val="center"/>
        <w:rPr>
          <w:rFonts w:ascii="宋体" w:hAnsi="宋体" w:cs="宋体"/>
          <w:color w:val="000000" w:themeColor="text1"/>
          <w:kern w:val="0"/>
          <w14:textFill>
            <w14:solidFill>
              <w14:schemeClr w14:val="tx1"/>
            </w14:solidFill>
          </w14:textFill>
        </w:rPr>
      </w:pPr>
      <w:r>
        <w:rPr>
          <w:color w:val="000000" w:themeColor="text1"/>
          <w14:textFill>
            <w14:solidFill>
              <w14:schemeClr w14:val="tx1"/>
            </w14:solidFill>
          </w14:textFill>
        </w:rPr>
        <w:drawing>
          <wp:inline distT="0" distB="0" distL="0" distR="0">
            <wp:extent cx="5360035" cy="3959860"/>
            <wp:effectExtent l="0" t="0" r="0" b="0"/>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pic:cNvPicPr>
                      <a:picLocks noChangeAspect="1"/>
                    </pic:cNvPicPr>
                  </pic:nvPicPr>
                  <pic:blipFill>
                    <a:blip r:embed="rId183"/>
                    <a:stretch>
                      <a:fillRect/>
                    </a:stretch>
                  </pic:blipFill>
                  <pic:spPr>
                    <a:xfrm>
                      <a:off x="0" y="0"/>
                      <a:ext cx="5360456" cy="3960000"/>
                    </a:xfrm>
                    <a:prstGeom prst="rect">
                      <a:avLst/>
                    </a:prstGeom>
                  </pic:spPr>
                </pic:pic>
              </a:graphicData>
            </a:graphic>
          </wp:inline>
        </w:drawing>
      </w:r>
    </w:p>
    <w:p w14:paraId="16E45F80">
      <w:pPr>
        <w:autoSpaceDE w:val="0"/>
        <w:autoSpaceDN w:val="0"/>
        <w:adjustRightInd w:val="0"/>
        <w:ind w:firstLine="482"/>
        <w:jc w:val="center"/>
        <w:rPr>
          <w:b/>
          <w:color w:val="000000" w:themeColor="text1"/>
          <w14:textFill>
            <w14:solidFill>
              <w14:schemeClr w14:val="tx1"/>
            </w14:solidFill>
          </w14:textFill>
        </w:rPr>
      </w:pPr>
      <w:r>
        <w:rPr>
          <w:rFonts w:hint="eastAsia"/>
          <w:b/>
          <w:color w:val="000000" w:themeColor="text1"/>
          <w14:textFill>
            <w14:solidFill>
              <w14:schemeClr w14:val="tx1"/>
            </w14:solidFill>
          </w14:textFill>
        </w:rPr>
        <w:t>图</w:t>
      </w:r>
      <w:r>
        <w:rPr>
          <w:rFonts w:hint="eastAsia"/>
          <w:color w:val="000000" w:themeColor="text1"/>
          <w:kern w:val="0"/>
          <w14:textFill>
            <w14:solidFill>
              <w14:schemeClr w14:val="tx1"/>
            </w14:solidFill>
          </w14:textFill>
        </w:rPr>
        <w:t>5.5.2</w:t>
      </w:r>
      <w:r>
        <w:rPr>
          <w:rFonts w:hint="eastAsia"/>
          <w:b/>
          <w:color w:val="000000" w:themeColor="text1"/>
          <w14:textFill>
            <w14:solidFill>
              <w14:schemeClr w14:val="tx1"/>
            </w14:solidFill>
          </w14:textFill>
        </w:rPr>
        <w:t>-</w:t>
      </w:r>
      <w:r>
        <w:rPr>
          <w:b/>
          <w:color w:val="000000" w:themeColor="text1"/>
          <w14:textFill>
            <w14:solidFill>
              <w14:schemeClr w14:val="tx1"/>
            </w14:solidFill>
          </w14:textFill>
        </w:rPr>
        <w:t>20</w:t>
      </w:r>
      <w:r>
        <w:rPr>
          <w:rFonts w:hint="eastAsia"/>
          <w:b/>
          <w:color w:val="000000" w:themeColor="text1"/>
          <w14:textFill>
            <w14:solidFill>
              <w14:schemeClr w14:val="tx1"/>
            </w14:solidFill>
          </w14:textFill>
        </w:rPr>
        <w:t xml:space="preserve"> 钦州湾及其邻近海域涨急流场</w:t>
      </w:r>
    </w:p>
    <w:p w14:paraId="3A8C0092">
      <w:pPr>
        <w:widowControl/>
        <w:ind w:firstLine="480"/>
        <w:jc w:val="center"/>
        <w:rPr>
          <w:rFonts w:ascii="宋体" w:hAnsi="宋体" w:cs="宋体"/>
          <w:color w:val="000000" w:themeColor="text1"/>
          <w:kern w:val="0"/>
          <w14:textFill>
            <w14:solidFill>
              <w14:schemeClr w14:val="tx1"/>
            </w14:solidFill>
          </w14:textFill>
        </w:rPr>
      </w:pPr>
      <w:r>
        <w:rPr>
          <w:color w:val="000000" w:themeColor="text1"/>
          <w14:textFill>
            <w14:solidFill>
              <w14:schemeClr w14:val="tx1"/>
            </w14:solidFill>
          </w14:textFill>
        </w:rPr>
        <w:drawing>
          <wp:inline distT="0" distB="0" distL="0" distR="0">
            <wp:extent cx="5324475" cy="3959860"/>
            <wp:effectExtent l="0" t="0" r="0" b="0"/>
            <wp:docPr id="11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pic:cNvPicPr>
                      <a:picLocks noChangeAspect="1"/>
                    </pic:cNvPicPr>
                  </pic:nvPicPr>
                  <pic:blipFill>
                    <a:blip r:embed="rId184"/>
                    <a:stretch>
                      <a:fillRect/>
                    </a:stretch>
                  </pic:blipFill>
                  <pic:spPr>
                    <a:xfrm>
                      <a:off x="0" y="0"/>
                      <a:ext cx="5324876" cy="3960000"/>
                    </a:xfrm>
                    <a:prstGeom prst="rect">
                      <a:avLst/>
                    </a:prstGeom>
                  </pic:spPr>
                </pic:pic>
              </a:graphicData>
            </a:graphic>
          </wp:inline>
        </w:drawing>
      </w:r>
    </w:p>
    <w:p w14:paraId="3FF46C83">
      <w:pPr>
        <w:autoSpaceDE w:val="0"/>
        <w:autoSpaceDN w:val="0"/>
        <w:adjustRightInd w:val="0"/>
        <w:ind w:firstLine="482"/>
        <w:jc w:val="center"/>
        <w:rPr>
          <w:b/>
          <w:color w:val="000000" w:themeColor="text1"/>
          <w14:textFill>
            <w14:solidFill>
              <w14:schemeClr w14:val="tx1"/>
            </w14:solidFill>
          </w14:textFill>
        </w:rPr>
      </w:pPr>
      <w:r>
        <w:rPr>
          <w:rFonts w:hint="eastAsia"/>
          <w:b/>
          <w:color w:val="000000" w:themeColor="text1"/>
          <w14:textFill>
            <w14:solidFill>
              <w14:schemeClr w14:val="tx1"/>
            </w14:solidFill>
          </w14:textFill>
        </w:rPr>
        <w:t>图</w:t>
      </w:r>
      <w:r>
        <w:rPr>
          <w:rFonts w:hint="eastAsia"/>
          <w:color w:val="000000" w:themeColor="text1"/>
          <w:kern w:val="0"/>
          <w14:textFill>
            <w14:solidFill>
              <w14:schemeClr w14:val="tx1"/>
            </w14:solidFill>
          </w14:textFill>
        </w:rPr>
        <w:t>5.5.2</w:t>
      </w:r>
      <w:r>
        <w:rPr>
          <w:rFonts w:hint="eastAsia"/>
          <w:b/>
          <w:color w:val="000000" w:themeColor="text1"/>
          <w14:textFill>
            <w14:solidFill>
              <w14:schemeClr w14:val="tx1"/>
            </w14:solidFill>
          </w14:textFill>
        </w:rPr>
        <w:t>-</w:t>
      </w:r>
      <w:r>
        <w:rPr>
          <w:b/>
          <w:color w:val="000000" w:themeColor="text1"/>
          <w14:textFill>
            <w14:solidFill>
              <w14:schemeClr w14:val="tx1"/>
            </w14:solidFill>
          </w14:textFill>
        </w:rPr>
        <w:t>21</w:t>
      </w:r>
      <w:r>
        <w:rPr>
          <w:rFonts w:hint="eastAsia"/>
          <w:b/>
          <w:color w:val="000000" w:themeColor="text1"/>
          <w14:textFill>
            <w14:solidFill>
              <w14:schemeClr w14:val="tx1"/>
            </w14:solidFill>
          </w14:textFill>
        </w:rPr>
        <w:t xml:space="preserve"> 钦州湾及其邻近海域落急流场</w:t>
      </w:r>
    </w:p>
    <w:p w14:paraId="7E4FD745">
      <w:pPr>
        <w:widowControl/>
        <w:ind w:firstLine="480"/>
        <w:jc w:val="center"/>
        <w:rPr>
          <w:rFonts w:ascii="宋体" w:hAnsi="宋体" w:cs="宋体"/>
          <w:color w:val="000000" w:themeColor="text1"/>
          <w:kern w:val="0"/>
          <w14:textFill>
            <w14:solidFill>
              <w14:schemeClr w14:val="tx1"/>
            </w14:solidFill>
          </w14:textFill>
        </w:rPr>
      </w:pPr>
      <w:r>
        <w:rPr>
          <w:color w:val="000000" w:themeColor="text1"/>
          <w14:textFill>
            <w14:solidFill>
              <w14:schemeClr w14:val="tx1"/>
            </w14:solidFill>
          </w14:textFill>
        </w:rPr>
        <w:drawing>
          <wp:inline distT="0" distB="0" distL="0" distR="0">
            <wp:extent cx="4138930" cy="3959860"/>
            <wp:effectExtent l="0" t="0" r="0" b="0"/>
            <wp:docPr id="116"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pic:cNvPicPr>
                      <a:picLocks noChangeAspect="1"/>
                    </pic:cNvPicPr>
                  </pic:nvPicPr>
                  <pic:blipFill>
                    <a:blip r:embed="rId185"/>
                    <a:stretch>
                      <a:fillRect/>
                    </a:stretch>
                  </pic:blipFill>
                  <pic:spPr>
                    <a:xfrm>
                      <a:off x="0" y="0"/>
                      <a:ext cx="4139411" cy="3960000"/>
                    </a:xfrm>
                    <a:prstGeom prst="rect">
                      <a:avLst/>
                    </a:prstGeom>
                  </pic:spPr>
                </pic:pic>
              </a:graphicData>
            </a:graphic>
          </wp:inline>
        </w:drawing>
      </w:r>
    </w:p>
    <w:p w14:paraId="3E547E69">
      <w:pPr>
        <w:autoSpaceDE w:val="0"/>
        <w:autoSpaceDN w:val="0"/>
        <w:adjustRightInd w:val="0"/>
        <w:ind w:firstLine="482"/>
        <w:jc w:val="center"/>
        <w:rPr>
          <w:b/>
          <w:color w:val="000000" w:themeColor="text1"/>
          <w14:textFill>
            <w14:solidFill>
              <w14:schemeClr w14:val="tx1"/>
            </w14:solidFill>
          </w14:textFill>
        </w:rPr>
      </w:pPr>
      <w:r>
        <w:rPr>
          <w:rFonts w:hint="eastAsia"/>
          <w:b/>
          <w:color w:val="000000" w:themeColor="text1"/>
          <w14:textFill>
            <w14:solidFill>
              <w14:schemeClr w14:val="tx1"/>
            </w14:solidFill>
          </w14:textFill>
        </w:rPr>
        <w:t>图</w:t>
      </w:r>
      <w:r>
        <w:rPr>
          <w:rFonts w:hint="eastAsia"/>
          <w:color w:val="000000" w:themeColor="text1"/>
          <w:kern w:val="0"/>
          <w14:textFill>
            <w14:solidFill>
              <w14:schemeClr w14:val="tx1"/>
            </w14:solidFill>
          </w14:textFill>
        </w:rPr>
        <w:t>5.5.2</w:t>
      </w:r>
      <w:r>
        <w:rPr>
          <w:rFonts w:hint="eastAsia"/>
          <w:b/>
          <w:color w:val="000000" w:themeColor="text1"/>
          <w14:textFill>
            <w14:solidFill>
              <w14:schemeClr w14:val="tx1"/>
            </w14:solidFill>
          </w14:textFill>
        </w:rPr>
        <w:t>-</w:t>
      </w:r>
      <w:r>
        <w:rPr>
          <w:b/>
          <w:color w:val="000000" w:themeColor="text1"/>
          <w14:textFill>
            <w14:solidFill>
              <w14:schemeClr w14:val="tx1"/>
            </w14:solidFill>
          </w14:textFill>
        </w:rPr>
        <w:t xml:space="preserve">22 </w:t>
      </w:r>
      <w:r>
        <w:rPr>
          <w:rFonts w:hint="eastAsia"/>
          <w:b/>
          <w:color w:val="000000" w:themeColor="text1"/>
          <w14:textFill>
            <w14:solidFill>
              <w14:schemeClr w14:val="tx1"/>
            </w14:solidFill>
          </w14:textFill>
        </w:rPr>
        <w:t>项目工程区附近涨急流场</w:t>
      </w:r>
    </w:p>
    <w:p w14:paraId="71176E89">
      <w:pPr>
        <w:widowControl/>
        <w:ind w:firstLine="480"/>
        <w:jc w:val="center"/>
        <w:rPr>
          <w:rFonts w:ascii="宋体" w:hAnsi="宋体" w:cs="宋体"/>
          <w:color w:val="000000" w:themeColor="text1"/>
          <w:kern w:val="0"/>
          <w14:textFill>
            <w14:solidFill>
              <w14:schemeClr w14:val="tx1"/>
            </w14:solidFill>
          </w14:textFill>
        </w:rPr>
      </w:pPr>
      <w:r>
        <w:rPr>
          <w:color w:val="000000" w:themeColor="text1"/>
          <w14:textFill>
            <w14:solidFill>
              <w14:schemeClr w14:val="tx1"/>
            </w14:solidFill>
          </w14:textFill>
        </w:rPr>
        <w:drawing>
          <wp:inline distT="0" distB="0" distL="0" distR="0">
            <wp:extent cx="4138930" cy="3959860"/>
            <wp:effectExtent l="0" t="0" r="0" b="0"/>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pic:cNvPicPr>
                      <a:picLocks noChangeAspect="1"/>
                    </pic:cNvPicPr>
                  </pic:nvPicPr>
                  <pic:blipFill>
                    <a:blip r:embed="rId186"/>
                    <a:stretch>
                      <a:fillRect/>
                    </a:stretch>
                  </pic:blipFill>
                  <pic:spPr>
                    <a:xfrm>
                      <a:off x="0" y="0"/>
                      <a:ext cx="4139411" cy="3960000"/>
                    </a:xfrm>
                    <a:prstGeom prst="rect">
                      <a:avLst/>
                    </a:prstGeom>
                  </pic:spPr>
                </pic:pic>
              </a:graphicData>
            </a:graphic>
          </wp:inline>
        </w:drawing>
      </w:r>
    </w:p>
    <w:p w14:paraId="1AE79AB9">
      <w:pPr>
        <w:autoSpaceDE w:val="0"/>
        <w:autoSpaceDN w:val="0"/>
        <w:adjustRightInd w:val="0"/>
        <w:ind w:firstLine="482"/>
        <w:jc w:val="center"/>
        <w:rPr>
          <w:b/>
          <w:color w:val="000000" w:themeColor="text1"/>
          <w14:textFill>
            <w14:solidFill>
              <w14:schemeClr w14:val="tx1"/>
            </w14:solidFill>
          </w14:textFill>
        </w:rPr>
      </w:pPr>
      <w:r>
        <w:rPr>
          <w:rFonts w:hint="eastAsia"/>
          <w:b/>
          <w:color w:val="000000" w:themeColor="text1"/>
          <w14:textFill>
            <w14:solidFill>
              <w14:schemeClr w14:val="tx1"/>
            </w14:solidFill>
          </w14:textFill>
        </w:rPr>
        <w:t>图</w:t>
      </w:r>
      <w:r>
        <w:rPr>
          <w:rFonts w:hint="eastAsia"/>
          <w:color w:val="000000" w:themeColor="text1"/>
          <w:kern w:val="0"/>
          <w14:textFill>
            <w14:solidFill>
              <w14:schemeClr w14:val="tx1"/>
            </w14:solidFill>
          </w14:textFill>
        </w:rPr>
        <w:t>5.5.2</w:t>
      </w:r>
      <w:r>
        <w:rPr>
          <w:rFonts w:hint="eastAsia"/>
          <w:b/>
          <w:color w:val="000000" w:themeColor="text1"/>
          <w14:textFill>
            <w14:solidFill>
              <w14:schemeClr w14:val="tx1"/>
            </w14:solidFill>
          </w14:textFill>
        </w:rPr>
        <w:t>-</w:t>
      </w:r>
      <w:r>
        <w:rPr>
          <w:b/>
          <w:color w:val="000000" w:themeColor="text1"/>
          <w14:textFill>
            <w14:solidFill>
              <w14:schemeClr w14:val="tx1"/>
            </w14:solidFill>
          </w14:textFill>
        </w:rPr>
        <w:t xml:space="preserve">23 </w:t>
      </w:r>
      <w:r>
        <w:rPr>
          <w:rFonts w:hint="eastAsia"/>
          <w:b/>
          <w:color w:val="000000" w:themeColor="text1"/>
          <w14:textFill>
            <w14:solidFill>
              <w14:schemeClr w14:val="tx1"/>
            </w14:solidFill>
          </w14:textFill>
        </w:rPr>
        <w:t>项目工程区附近落急流场</w:t>
      </w:r>
    </w:p>
    <w:p w14:paraId="1A8DCC94">
      <w:pPr>
        <w:pStyle w:val="4"/>
        <w:rPr>
          <w:color w:val="000000" w:themeColor="text1"/>
          <w14:textFill>
            <w14:solidFill>
              <w14:schemeClr w14:val="tx1"/>
            </w14:solidFill>
          </w14:textFill>
        </w:rPr>
      </w:pPr>
      <w:r>
        <w:rPr>
          <w:rFonts w:hint="eastAsia"/>
          <w:color w:val="000000" w:themeColor="text1"/>
          <w14:textFill>
            <w14:solidFill>
              <w14:schemeClr w14:val="tx1"/>
            </w14:solidFill>
          </w14:textFill>
        </w:rPr>
        <w:t>溢油风险事故与不可溶化学品</w:t>
      </w:r>
      <w:r>
        <w:rPr>
          <w:rFonts w:hint="eastAsia"/>
          <w:color w:val="000000" w:themeColor="text1"/>
          <w:lang w:eastAsia="zh-CN"/>
          <w14:textFill>
            <w14:solidFill>
              <w14:schemeClr w14:val="tx1"/>
            </w14:solidFill>
          </w14:textFill>
        </w:rPr>
        <w:t>泄漏</w:t>
      </w:r>
      <w:r>
        <w:rPr>
          <w:rFonts w:hint="eastAsia"/>
          <w:color w:val="000000" w:themeColor="text1"/>
          <w14:textFill>
            <w14:solidFill>
              <w14:schemeClr w14:val="tx1"/>
            </w14:solidFill>
          </w14:textFill>
        </w:rPr>
        <w:t>预测与分析</w:t>
      </w:r>
    </w:p>
    <w:p w14:paraId="020A83DC">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不同类型的危险品由于其特性不同，在水域中的污染风险表现是不同的。</w:t>
      </w:r>
    </w:p>
    <w:p w14:paraId="6CAFFD56">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对于不溶性、密度&lt;1g/cm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液态危险货物，比如燃料油，发生泄漏风险事故时，一旦危险货物进入水域内将漂浮在水面上，在水动力条件和风、浪的综合作用下扩散，对周围水域的影响程度和范围均较大。燃料油和柴油存在于船舶油舱中，存在量较大，若发生泄漏，泄漏量远大于一个集装箱油品货物，故选择燃料油为海洋环境风险代表物质。</w:t>
      </w:r>
    </w:p>
    <w:p w14:paraId="2E623C3A">
      <w:pPr>
        <w:pStyle w:val="6"/>
        <w:ind w:left="0"/>
        <w:rPr>
          <w:color w:val="000000" w:themeColor="text1"/>
          <w14:textFill>
            <w14:solidFill>
              <w14:schemeClr w14:val="tx1"/>
            </w14:solidFill>
          </w14:textFill>
        </w:rPr>
      </w:pPr>
      <w:r>
        <w:rPr>
          <w:rFonts w:hint="eastAsia"/>
          <w:color w:val="000000" w:themeColor="text1"/>
          <w14:textFill>
            <w14:solidFill>
              <w14:schemeClr w14:val="tx1"/>
            </w14:solidFill>
          </w14:textFill>
        </w:rPr>
        <w:t>溢油风险事故统计分析</w:t>
      </w:r>
    </w:p>
    <w:p w14:paraId="69D369B8">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随着钦州市港口经济以及航运事业发展，进出钦州港的船舶数量日益增加，船舶大型化趋势明显，船舶事故风险增加，由此导致的溢油风险随之增加。</w:t>
      </w:r>
    </w:p>
    <w:p w14:paraId="3492425C">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根据有关统计资料，</w:t>
      </w:r>
      <w:r>
        <w:rPr>
          <w:color w:val="000000" w:themeColor="text1"/>
          <w14:textFill>
            <w14:solidFill>
              <w14:schemeClr w14:val="tx1"/>
            </w14:solidFill>
          </w14:textFill>
        </w:rPr>
        <w:t>钦州港从2011年到2018年共发生事故63件，其中碰撞事故22件，搁浅事故13件，触损事故10件，自沉10件，风灾事故1件，火灾事故3件，交通事故统计情况如表</w:t>
      </w:r>
      <w:r>
        <w:rPr>
          <w:rFonts w:hint="eastAsia"/>
          <w:color w:val="000000" w:themeColor="text1"/>
          <w14:textFill>
            <w14:solidFill>
              <w14:schemeClr w14:val="tx1"/>
            </w14:solidFill>
          </w14:textFill>
        </w:rPr>
        <w:t>5.5-</w:t>
      </w:r>
      <w:r>
        <w:rPr>
          <w:color w:val="000000" w:themeColor="text1"/>
          <w14:textFill>
            <w14:solidFill>
              <w14:schemeClr w14:val="tx1"/>
            </w14:solidFill>
          </w14:textFill>
        </w:rPr>
        <w:t>1所示。</w:t>
      </w:r>
      <w:r>
        <w:rPr>
          <w:rFonts w:hint="eastAsia"/>
          <w:color w:val="000000" w:themeColor="text1"/>
          <w14:textFill>
            <w14:solidFill>
              <w14:schemeClr w14:val="tx1"/>
            </w14:solidFill>
          </w14:textFill>
        </w:rPr>
        <w:t>发生事故的船种有大中型散货船、杂货船、中小型集装箱船、渔船、运输船等，其中以中小型散货船、渔船为主。船舶交通事故多发生在锚地、航道附近，3成以上为船舶碰撞。</w:t>
      </w:r>
    </w:p>
    <w:p w14:paraId="65D34A5E">
      <w:pPr>
        <w:pStyle w:val="7"/>
        <w:rPr>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  钦州港辖区事故种类统计表</w:t>
      </w:r>
    </w:p>
    <w:tbl>
      <w:tblPr>
        <w:tblStyle w:val="43"/>
        <w:tblW w:w="4902" w:type="pct"/>
        <w:jc w:val="center"/>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Layout w:type="autofit"/>
        <w:tblCellMar>
          <w:top w:w="0" w:type="dxa"/>
          <w:left w:w="108" w:type="dxa"/>
          <w:bottom w:w="0" w:type="dxa"/>
          <w:right w:w="108" w:type="dxa"/>
        </w:tblCellMar>
      </w:tblPr>
      <w:tblGrid>
        <w:gridCol w:w="1065"/>
        <w:gridCol w:w="910"/>
        <w:gridCol w:w="914"/>
        <w:gridCol w:w="911"/>
        <w:gridCol w:w="911"/>
        <w:gridCol w:w="911"/>
        <w:gridCol w:w="911"/>
        <w:gridCol w:w="911"/>
        <w:gridCol w:w="911"/>
      </w:tblGrid>
      <w:tr w14:paraId="2F8A769B">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69" w:hRule="atLeast"/>
          <w:jc w:val="center"/>
        </w:trPr>
        <w:tc>
          <w:tcPr>
            <w:tcW w:w="638" w:type="pct"/>
            <w:vAlign w:val="center"/>
          </w:tcPr>
          <w:p w14:paraId="0A95B8D1">
            <w:pPr>
              <w:spacing w:line="240" w:lineRule="atLeast"/>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年份</w:t>
            </w:r>
          </w:p>
        </w:tc>
        <w:tc>
          <w:tcPr>
            <w:tcW w:w="545" w:type="pct"/>
            <w:vAlign w:val="center"/>
          </w:tcPr>
          <w:p w14:paraId="6B56BE48">
            <w:pPr>
              <w:spacing w:line="240" w:lineRule="atLeast"/>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碰撞</w:t>
            </w:r>
          </w:p>
        </w:tc>
        <w:tc>
          <w:tcPr>
            <w:tcW w:w="547" w:type="pct"/>
            <w:vAlign w:val="center"/>
          </w:tcPr>
          <w:p w14:paraId="33F22871">
            <w:pPr>
              <w:spacing w:line="240" w:lineRule="atLeast"/>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触损</w:t>
            </w:r>
          </w:p>
        </w:tc>
        <w:tc>
          <w:tcPr>
            <w:tcW w:w="545" w:type="pct"/>
            <w:vAlign w:val="center"/>
          </w:tcPr>
          <w:p w14:paraId="03CA3EBC">
            <w:pPr>
              <w:spacing w:line="240" w:lineRule="atLeast"/>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搁浅</w:t>
            </w:r>
          </w:p>
        </w:tc>
        <w:tc>
          <w:tcPr>
            <w:tcW w:w="545" w:type="pct"/>
            <w:vAlign w:val="center"/>
          </w:tcPr>
          <w:p w14:paraId="749E39C5">
            <w:pPr>
              <w:spacing w:line="240" w:lineRule="atLeast"/>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自沉</w:t>
            </w:r>
          </w:p>
        </w:tc>
        <w:tc>
          <w:tcPr>
            <w:tcW w:w="545" w:type="pct"/>
            <w:vAlign w:val="center"/>
          </w:tcPr>
          <w:p w14:paraId="529108C5">
            <w:pPr>
              <w:spacing w:line="240" w:lineRule="atLeast"/>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火灾</w:t>
            </w:r>
          </w:p>
        </w:tc>
        <w:tc>
          <w:tcPr>
            <w:tcW w:w="545" w:type="pct"/>
            <w:vAlign w:val="center"/>
          </w:tcPr>
          <w:p w14:paraId="10F9E0A3">
            <w:pPr>
              <w:spacing w:line="240" w:lineRule="atLeast"/>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风灾</w:t>
            </w:r>
          </w:p>
        </w:tc>
        <w:tc>
          <w:tcPr>
            <w:tcW w:w="545" w:type="pct"/>
            <w:vAlign w:val="center"/>
          </w:tcPr>
          <w:p w14:paraId="34AA367C">
            <w:pPr>
              <w:spacing w:line="240" w:lineRule="atLeast"/>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触礁</w:t>
            </w:r>
          </w:p>
        </w:tc>
        <w:tc>
          <w:tcPr>
            <w:tcW w:w="545" w:type="pct"/>
            <w:vAlign w:val="center"/>
          </w:tcPr>
          <w:p w14:paraId="1A0D5FDF">
            <w:pPr>
              <w:spacing w:line="240" w:lineRule="atLeast"/>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其他</w:t>
            </w:r>
          </w:p>
        </w:tc>
      </w:tr>
      <w:tr w14:paraId="489786B4">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69" w:hRule="atLeast"/>
          <w:jc w:val="center"/>
        </w:trPr>
        <w:tc>
          <w:tcPr>
            <w:tcW w:w="638" w:type="pct"/>
            <w:vAlign w:val="center"/>
          </w:tcPr>
          <w:p w14:paraId="4225A39A">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2011</w:t>
            </w:r>
          </w:p>
        </w:tc>
        <w:tc>
          <w:tcPr>
            <w:tcW w:w="545" w:type="pct"/>
            <w:vAlign w:val="center"/>
          </w:tcPr>
          <w:p w14:paraId="6F5BAF34">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6</w:t>
            </w:r>
          </w:p>
        </w:tc>
        <w:tc>
          <w:tcPr>
            <w:tcW w:w="547" w:type="pct"/>
            <w:vAlign w:val="center"/>
          </w:tcPr>
          <w:p w14:paraId="03FAF118">
            <w:pPr>
              <w:spacing w:line="240" w:lineRule="atLeast"/>
              <w:ind w:firstLine="0" w:firstLineChars="0"/>
              <w:jc w:val="center"/>
              <w:rPr>
                <w:color w:val="000000" w:themeColor="text1"/>
                <w:sz w:val="21"/>
                <w:szCs w:val="21"/>
                <w14:textFill>
                  <w14:solidFill>
                    <w14:schemeClr w14:val="tx1"/>
                  </w14:solidFill>
                </w14:textFill>
              </w:rPr>
            </w:pPr>
          </w:p>
        </w:tc>
        <w:tc>
          <w:tcPr>
            <w:tcW w:w="545" w:type="pct"/>
            <w:vAlign w:val="center"/>
          </w:tcPr>
          <w:p w14:paraId="53388905">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w:t>
            </w:r>
          </w:p>
        </w:tc>
        <w:tc>
          <w:tcPr>
            <w:tcW w:w="545" w:type="pct"/>
            <w:vAlign w:val="center"/>
          </w:tcPr>
          <w:p w14:paraId="068E6764">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w:t>
            </w:r>
          </w:p>
        </w:tc>
        <w:tc>
          <w:tcPr>
            <w:tcW w:w="545" w:type="pct"/>
            <w:vAlign w:val="center"/>
          </w:tcPr>
          <w:p w14:paraId="282FB696">
            <w:pPr>
              <w:spacing w:line="240" w:lineRule="atLeast"/>
              <w:ind w:firstLine="0" w:firstLineChars="0"/>
              <w:jc w:val="center"/>
              <w:rPr>
                <w:color w:val="000000" w:themeColor="text1"/>
                <w:sz w:val="21"/>
                <w:szCs w:val="21"/>
                <w14:textFill>
                  <w14:solidFill>
                    <w14:schemeClr w14:val="tx1"/>
                  </w14:solidFill>
                </w14:textFill>
              </w:rPr>
            </w:pPr>
          </w:p>
        </w:tc>
        <w:tc>
          <w:tcPr>
            <w:tcW w:w="545" w:type="pct"/>
            <w:vAlign w:val="center"/>
          </w:tcPr>
          <w:p w14:paraId="1EFA473D">
            <w:pPr>
              <w:spacing w:line="240" w:lineRule="atLeast"/>
              <w:ind w:firstLine="0" w:firstLineChars="0"/>
              <w:jc w:val="center"/>
              <w:rPr>
                <w:color w:val="000000" w:themeColor="text1"/>
                <w:sz w:val="21"/>
                <w:szCs w:val="21"/>
                <w14:textFill>
                  <w14:solidFill>
                    <w14:schemeClr w14:val="tx1"/>
                  </w14:solidFill>
                </w14:textFill>
              </w:rPr>
            </w:pPr>
          </w:p>
        </w:tc>
        <w:tc>
          <w:tcPr>
            <w:tcW w:w="545" w:type="pct"/>
            <w:vAlign w:val="center"/>
          </w:tcPr>
          <w:p w14:paraId="6CDB2118">
            <w:pPr>
              <w:spacing w:line="240" w:lineRule="atLeast"/>
              <w:ind w:firstLine="0" w:firstLineChars="0"/>
              <w:jc w:val="center"/>
              <w:rPr>
                <w:color w:val="000000" w:themeColor="text1"/>
                <w:sz w:val="21"/>
                <w:szCs w:val="21"/>
                <w14:textFill>
                  <w14:solidFill>
                    <w14:schemeClr w14:val="tx1"/>
                  </w14:solidFill>
                </w14:textFill>
              </w:rPr>
            </w:pPr>
          </w:p>
        </w:tc>
        <w:tc>
          <w:tcPr>
            <w:tcW w:w="545" w:type="pct"/>
            <w:vAlign w:val="center"/>
          </w:tcPr>
          <w:p w14:paraId="7DB572BB">
            <w:pPr>
              <w:spacing w:line="240" w:lineRule="atLeast"/>
              <w:ind w:firstLine="0" w:firstLineChars="0"/>
              <w:jc w:val="center"/>
              <w:rPr>
                <w:color w:val="000000" w:themeColor="text1"/>
                <w:sz w:val="21"/>
                <w:szCs w:val="21"/>
                <w14:textFill>
                  <w14:solidFill>
                    <w14:schemeClr w14:val="tx1"/>
                  </w14:solidFill>
                </w14:textFill>
              </w:rPr>
            </w:pPr>
          </w:p>
        </w:tc>
      </w:tr>
      <w:tr w14:paraId="0E8B3C26">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69" w:hRule="atLeast"/>
          <w:jc w:val="center"/>
        </w:trPr>
        <w:tc>
          <w:tcPr>
            <w:tcW w:w="638" w:type="pct"/>
            <w:vAlign w:val="center"/>
          </w:tcPr>
          <w:p w14:paraId="546650D3">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2012</w:t>
            </w:r>
          </w:p>
        </w:tc>
        <w:tc>
          <w:tcPr>
            <w:tcW w:w="545" w:type="pct"/>
            <w:vAlign w:val="center"/>
          </w:tcPr>
          <w:p w14:paraId="293E14F8">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w:t>
            </w:r>
          </w:p>
        </w:tc>
        <w:tc>
          <w:tcPr>
            <w:tcW w:w="547" w:type="pct"/>
            <w:vAlign w:val="center"/>
          </w:tcPr>
          <w:p w14:paraId="49E69881">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w:t>
            </w:r>
          </w:p>
        </w:tc>
        <w:tc>
          <w:tcPr>
            <w:tcW w:w="545" w:type="pct"/>
            <w:vAlign w:val="center"/>
          </w:tcPr>
          <w:p w14:paraId="0DBE9E4B">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w:t>
            </w:r>
          </w:p>
        </w:tc>
        <w:tc>
          <w:tcPr>
            <w:tcW w:w="545" w:type="pct"/>
            <w:vAlign w:val="center"/>
          </w:tcPr>
          <w:p w14:paraId="2639C81E">
            <w:pPr>
              <w:spacing w:line="240" w:lineRule="atLeast"/>
              <w:ind w:firstLine="0" w:firstLineChars="0"/>
              <w:jc w:val="center"/>
              <w:rPr>
                <w:color w:val="000000" w:themeColor="text1"/>
                <w:sz w:val="21"/>
                <w:szCs w:val="21"/>
                <w14:textFill>
                  <w14:solidFill>
                    <w14:schemeClr w14:val="tx1"/>
                  </w14:solidFill>
                </w14:textFill>
              </w:rPr>
            </w:pPr>
          </w:p>
        </w:tc>
        <w:tc>
          <w:tcPr>
            <w:tcW w:w="545" w:type="pct"/>
            <w:vAlign w:val="center"/>
          </w:tcPr>
          <w:p w14:paraId="21573D5B">
            <w:pPr>
              <w:spacing w:line="240" w:lineRule="atLeast"/>
              <w:ind w:firstLine="0" w:firstLineChars="0"/>
              <w:jc w:val="center"/>
              <w:rPr>
                <w:color w:val="000000" w:themeColor="text1"/>
                <w:sz w:val="21"/>
                <w:szCs w:val="21"/>
                <w14:textFill>
                  <w14:solidFill>
                    <w14:schemeClr w14:val="tx1"/>
                  </w14:solidFill>
                </w14:textFill>
              </w:rPr>
            </w:pPr>
          </w:p>
        </w:tc>
        <w:tc>
          <w:tcPr>
            <w:tcW w:w="545" w:type="pct"/>
            <w:vAlign w:val="center"/>
          </w:tcPr>
          <w:p w14:paraId="2657AD9B">
            <w:pPr>
              <w:spacing w:line="240" w:lineRule="atLeast"/>
              <w:ind w:firstLine="0" w:firstLineChars="0"/>
              <w:jc w:val="center"/>
              <w:rPr>
                <w:color w:val="000000" w:themeColor="text1"/>
                <w:sz w:val="21"/>
                <w:szCs w:val="21"/>
                <w14:textFill>
                  <w14:solidFill>
                    <w14:schemeClr w14:val="tx1"/>
                  </w14:solidFill>
                </w14:textFill>
              </w:rPr>
            </w:pPr>
          </w:p>
        </w:tc>
        <w:tc>
          <w:tcPr>
            <w:tcW w:w="545" w:type="pct"/>
            <w:vAlign w:val="center"/>
          </w:tcPr>
          <w:p w14:paraId="7EC0F799">
            <w:pPr>
              <w:spacing w:line="240" w:lineRule="atLeast"/>
              <w:ind w:firstLine="0" w:firstLineChars="0"/>
              <w:jc w:val="center"/>
              <w:rPr>
                <w:color w:val="000000" w:themeColor="text1"/>
                <w:sz w:val="21"/>
                <w:szCs w:val="21"/>
                <w14:textFill>
                  <w14:solidFill>
                    <w14:schemeClr w14:val="tx1"/>
                  </w14:solidFill>
                </w14:textFill>
              </w:rPr>
            </w:pPr>
          </w:p>
        </w:tc>
        <w:tc>
          <w:tcPr>
            <w:tcW w:w="545" w:type="pct"/>
            <w:vAlign w:val="center"/>
          </w:tcPr>
          <w:p w14:paraId="0414D5BF">
            <w:pPr>
              <w:spacing w:line="240" w:lineRule="atLeast"/>
              <w:ind w:firstLine="0" w:firstLineChars="0"/>
              <w:jc w:val="center"/>
              <w:rPr>
                <w:color w:val="000000" w:themeColor="text1"/>
                <w:sz w:val="21"/>
                <w:szCs w:val="21"/>
                <w14:textFill>
                  <w14:solidFill>
                    <w14:schemeClr w14:val="tx1"/>
                  </w14:solidFill>
                </w14:textFill>
              </w:rPr>
            </w:pPr>
          </w:p>
        </w:tc>
      </w:tr>
      <w:tr w14:paraId="6AD5A682">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69" w:hRule="atLeast"/>
          <w:jc w:val="center"/>
        </w:trPr>
        <w:tc>
          <w:tcPr>
            <w:tcW w:w="638" w:type="pct"/>
            <w:vAlign w:val="center"/>
          </w:tcPr>
          <w:p w14:paraId="316A5CF5">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2013</w:t>
            </w:r>
          </w:p>
        </w:tc>
        <w:tc>
          <w:tcPr>
            <w:tcW w:w="545" w:type="pct"/>
            <w:vAlign w:val="center"/>
          </w:tcPr>
          <w:p w14:paraId="5D2CD85F">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w:t>
            </w:r>
          </w:p>
        </w:tc>
        <w:tc>
          <w:tcPr>
            <w:tcW w:w="547" w:type="pct"/>
            <w:vAlign w:val="center"/>
          </w:tcPr>
          <w:p w14:paraId="23DB3651">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w:t>
            </w:r>
          </w:p>
        </w:tc>
        <w:tc>
          <w:tcPr>
            <w:tcW w:w="545" w:type="pct"/>
            <w:vAlign w:val="center"/>
          </w:tcPr>
          <w:p w14:paraId="30624D2F">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w:t>
            </w:r>
          </w:p>
        </w:tc>
        <w:tc>
          <w:tcPr>
            <w:tcW w:w="545" w:type="pct"/>
            <w:vAlign w:val="center"/>
          </w:tcPr>
          <w:p w14:paraId="5A4A9C71">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w:t>
            </w:r>
          </w:p>
        </w:tc>
        <w:tc>
          <w:tcPr>
            <w:tcW w:w="545" w:type="pct"/>
            <w:vAlign w:val="center"/>
          </w:tcPr>
          <w:p w14:paraId="4C242E38">
            <w:pPr>
              <w:spacing w:line="240" w:lineRule="atLeast"/>
              <w:ind w:firstLine="0" w:firstLineChars="0"/>
              <w:jc w:val="center"/>
              <w:rPr>
                <w:color w:val="000000" w:themeColor="text1"/>
                <w:sz w:val="21"/>
                <w:szCs w:val="21"/>
                <w14:textFill>
                  <w14:solidFill>
                    <w14:schemeClr w14:val="tx1"/>
                  </w14:solidFill>
                </w14:textFill>
              </w:rPr>
            </w:pPr>
          </w:p>
        </w:tc>
        <w:tc>
          <w:tcPr>
            <w:tcW w:w="545" w:type="pct"/>
            <w:vAlign w:val="center"/>
          </w:tcPr>
          <w:p w14:paraId="3659ABD8">
            <w:pPr>
              <w:spacing w:line="240" w:lineRule="atLeast"/>
              <w:ind w:firstLine="0" w:firstLineChars="0"/>
              <w:jc w:val="center"/>
              <w:rPr>
                <w:color w:val="000000" w:themeColor="text1"/>
                <w:sz w:val="21"/>
                <w:szCs w:val="21"/>
                <w14:textFill>
                  <w14:solidFill>
                    <w14:schemeClr w14:val="tx1"/>
                  </w14:solidFill>
                </w14:textFill>
              </w:rPr>
            </w:pPr>
          </w:p>
        </w:tc>
        <w:tc>
          <w:tcPr>
            <w:tcW w:w="545" w:type="pct"/>
            <w:vAlign w:val="center"/>
          </w:tcPr>
          <w:p w14:paraId="1089B200">
            <w:pPr>
              <w:spacing w:line="240" w:lineRule="atLeast"/>
              <w:ind w:firstLine="0" w:firstLineChars="0"/>
              <w:jc w:val="center"/>
              <w:rPr>
                <w:color w:val="000000" w:themeColor="text1"/>
                <w:sz w:val="21"/>
                <w:szCs w:val="21"/>
                <w14:textFill>
                  <w14:solidFill>
                    <w14:schemeClr w14:val="tx1"/>
                  </w14:solidFill>
                </w14:textFill>
              </w:rPr>
            </w:pPr>
          </w:p>
        </w:tc>
        <w:tc>
          <w:tcPr>
            <w:tcW w:w="545" w:type="pct"/>
            <w:vAlign w:val="center"/>
          </w:tcPr>
          <w:p w14:paraId="7AD87434">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w:t>
            </w:r>
          </w:p>
        </w:tc>
      </w:tr>
      <w:tr w14:paraId="59CE4485">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69" w:hRule="atLeast"/>
          <w:jc w:val="center"/>
        </w:trPr>
        <w:tc>
          <w:tcPr>
            <w:tcW w:w="638" w:type="pct"/>
            <w:vAlign w:val="center"/>
          </w:tcPr>
          <w:p w14:paraId="70CE9730">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2014</w:t>
            </w:r>
          </w:p>
        </w:tc>
        <w:tc>
          <w:tcPr>
            <w:tcW w:w="545" w:type="pct"/>
            <w:vAlign w:val="center"/>
          </w:tcPr>
          <w:p w14:paraId="3A3A9303">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4</w:t>
            </w:r>
          </w:p>
        </w:tc>
        <w:tc>
          <w:tcPr>
            <w:tcW w:w="547" w:type="pct"/>
            <w:vAlign w:val="center"/>
          </w:tcPr>
          <w:p w14:paraId="7A9B3523">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w:t>
            </w:r>
          </w:p>
        </w:tc>
        <w:tc>
          <w:tcPr>
            <w:tcW w:w="545" w:type="pct"/>
            <w:vAlign w:val="center"/>
          </w:tcPr>
          <w:p w14:paraId="3619BB0A">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4</w:t>
            </w:r>
          </w:p>
        </w:tc>
        <w:tc>
          <w:tcPr>
            <w:tcW w:w="545" w:type="pct"/>
            <w:vAlign w:val="center"/>
          </w:tcPr>
          <w:p w14:paraId="31D4B874">
            <w:pPr>
              <w:spacing w:line="240" w:lineRule="atLeast"/>
              <w:ind w:firstLine="0" w:firstLineChars="0"/>
              <w:jc w:val="center"/>
              <w:rPr>
                <w:color w:val="000000" w:themeColor="text1"/>
                <w:sz w:val="21"/>
                <w:szCs w:val="21"/>
                <w14:textFill>
                  <w14:solidFill>
                    <w14:schemeClr w14:val="tx1"/>
                  </w14:solidFill>
                </w14:textFill>
              </w:rPr>
            </w:pPr>
          </w:p>
        </w:tc>
        <w:tc>
          <w:tcPr>
            <w:tcW w:w="545" w:type="pct"/>
            <w:vAlign w:val="center"/>
          </w:tcPr>
          <w:p w14:paraId="20EA2877">
            <w:pPr>
              <w:spacing w:line="240" w:lineRule="atLeast"/>
              <w:ind w:firstLine="0" w:firstLineChars="0"/>
              <w:jc w:val="center"/>
              <w:rPr>
                <w:color w:val="000000" w:themeColor="text1"/>
                <w:sz w:val="21"/>
                <w:szCs w:val="21"/>
                <w14:textFill>
                  <w14:solidFill>
                    <w14:schemeClr w14:val="tx1"/>
                  </w14:solidFill>
                </w14:textFill>
              </w:rPr>
            </w:pPr>
          </w:p>
        </w:tc>
        <w:tc>
          <w:tcPr>
            <w:tcW w:w="545" w:type="pct"/>
            <w:vAlign w:val="center"/>
          </w:tcPr>
          <w:p w14:paraId="061763D2">
            <w:pPr>
              <w:spacing w:line="240" w:lineRule="atLeast"/>
              <w:ind w:firstLine="0" w:firstLineChars="0"/>
              <w:jc w:val="center"/>
              <w:rPr>
                <w:color w:val="000000" w:themeColor="text1"/>
                <w:sz w:val="21"/>
                <w:szCs w:val="21"/>
                <w14:textFill>
                  <w14:solidFill>
                    <w14:schemeClr w14:val="tx1"/>
                  </w14:solidFill>
                </w14:textFill>
              </w:rPr>
            </w:pPr>
          </w:p>
        </w:tc>
        <w:tc>
          <w:tcPr>
            <w:tcW w:w="545" w:type="pct"/>
            <w:vAlign w:val="center"/>
          </w:tcPr>
          <w:p w14:paraId="1F91DB5E">
            <w:pPr>
              <w:spacing w:line="240" w:lineRule="atLeast"/>
              <w:ind w:firstLine="0" w:firstLineChars="0"/>
              <w:jc w:val="center"/>
              <w:rPr>
                <w:color w:val="000000" w:themeColor="text1"/>
                <w:sz w:val="21"/>
                <w:szCs w:val="21"/>
                <w14:textFill>
                  <w14:solidFill>
                    <w14:schemeClr w14:val="tx1"/>
                  </w14:solidFill>
                </w14:textFill>
              </w:rPr>
            </w:pPr>
          </w:p>
        </w:tc>
        <w:tc>
          <w:tcPr>
            <w:tcW w:w="545" w:type="pct"/>
            <w:vAlign w:val="center"/>
          </w:tcPr>
          <w:p w14:paraId="4C917BB2">
            <w:pPr>
              <w:spacing w:line="240" w:lineRule="atLeast"/>
              <w:ind w:firstLine="0" w:firstLineChars="0"/>
              <w:jc w:val="center"/>
              <w:rPr>
                <w:color w:val="000000" w:themeColor="text1"/>
                <w:sz w:val="21"/>
                <w:szCs w:val="21"/>
                <w14:textFill>
                  <w14:solidFill>
                    <w14:schemeClr w14:val="tx1"/>
                  </w14:solidFill>
                </w14:textFill>
              </w:rPr>
            </w:pPr>
          </w:p>
        </w:tc>
      </w:tr>
      <w:tr w14:paraId="2C9F8137">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69" w:hRule="atLeast"/>
          <w:jc w:val="center"/>
        </w:trPr>
        <w:tc>
          <w:tcPr>
            <w:tcW w:w="638" w:type="pct"/>
            <w:vAlign w:val="center"/>
          </w:tcPr>
          <w:p w14:paraId="46A3C762">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2015</w:t>
            </w:r>
          </w:p>
        </w:tc>
        <w:tc>
          <w:tcPr>
            <w:tcW w:w="545" w:type="pct"/>
            <w:vAlign w:val="center"/>
          </w:tcPr>
          <w:p w14:paraId="73C2B7CA">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w:t>
            </w:r>
          </w:p>
        </w:tc>
        <w:tc>
          <w:tcPr>
            <w:tcW w:w="547" w:type="pct"/>
            <w:vAlign w:val="center"/>
          </w:tcPr>
          <w:p w14:paraId="46D1D824">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w:t>
            </w:r>
          </w:p>
        </w:tc>
        <w:tc>
          <w:tcPr>
            <w:tcW w:w="545" w:type="pct"/>
            <w:vAlign w:val="center"/>
          </w:tcPr>
          <w:p w14:paraId="158BC5F2">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w:t>
            </w:r>
          </w:p>
        </w:tc>
        <w:tc>
          <w:tcPr>
            <w:tcW w:w="545" w:type="pct"/>
            <w:vAlign w:val="center"/>
          </w:tcPr>
          <w:p w14:paraId="5CACCF00">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w:t>
            </w:r>
          </w:p>
        </w:tc>
        <w:tc>
          <w:tcPr>
            <w:tcW w:w="545" w:type="pct"/>
            <w:vAlign w:val="center"/>
          </w:tcPr>
          <w:p w14:paraId="221FC6EF">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w:t>
            </w:r>
          </w:p>
        </w:tc>
        <w:tc>
          <w:tcPr>
            <w:tcW w:w="545" w:type="pct"/>
            <w:vAlign w:val="center"/>
          </w:tcPr>
          <w:p w14:paraId="2A2022B5">
            <w:pPr>
              <w:spacing w:line="240" w:lineRule="atLeast"/>
              <w:ind w:firstLine="0" w:firstLineChars="0"/>
              <w:jc w:val="center"/>
              <w:rPr>
                <w:color w:val="000000" w:themeColor="text1"/>
                <w:sz w:val="21"/>
                <w:szCs w:val="21"/>
                <w14:textFill>
                  <w14:solidFill>
                    <w14:schemeClr w14:val="tx1"/>
                  </w14:solidFill>
                </w14:textFill>
              </w:rPr>
            </w:pPr>
          </w:p>
        </w:tc>
        <w:tc>
          <w:tcPr>
            <w:tcW w:w="545" w:type="pct"/>
            <w:vAlign w:val="center"/>
          </w:tcPr>
          <w:p w14:paraId="2F9B54A4">
            <w:pPr>
              <w:spacing w:line="240" w:lineRule="atLeast"/>
              <w:ind w:firstLine="0" w:firstLineChars="0"/>
              <w:jc w:val="center"/>
              <w:rPr>
                <w:color w:val="000000" w:themeColor="text1"/>
                <w:sz w:val="21"/>
                <w:szCs w:val="21"/>
                <w14:textFill>
                  <w14:solidFill>
                    <w14:schemeClr w14:val="tx1"/>
                  </w14:solidFill>
                </w14:textFill>
              </w:rPr>
            </w:pPr>
          </w:p>
        </w:tc>
        <w:tc>
          <w:tcPr>
            <w:tcW w:w="545" w:type="pct"/>
            <w:vAlign w:val="center"/>
          </w:tcPr>
          <w:p w14:paraId="5AE238C2">
            <w:pPr>
              <w:spacing w:line="240" w:lineRule="atLeast"/>
              <w:ind w:firstLine="0" w:firstLineChars="0"/>
              <w:jc w:val="center"/>
              <w:rPr>
                <w:color w:val="000000" w:themeColor="text1"/>
                <w:sz w:val="21"/>
                <w:szCs w:val="21"/>
                <w14:textFill>
                  <w14:solidFill>
                    <w14:schemeClr w14:val="tx1"/>
                  </w14:solidFill>
                </w14:textFill>
              </w:rPr>
            </w:pPr>
          </w:p>
        </w:tc>
      </w:tr>
      <w:tr w14:paraId="07C8969A">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69" w:hRule="atLeast"/>
          <w:jc w:val="center"/>
        </w:trPr>
        <w:tc>
          <w:tcPr>
            <w:tcW w:w="638" w:type="pct"/>
            <w:vAlign w:val="center"/>
          </w:tcPr>
          <w:p w14:paraId="4DE0FA66">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2016</w:t>
            </w:r>
          </w:p>
        </w:tc>
        <w:tc>
          <w:tcPr>
            <w:tcW w:w="545" w:type="pct"/>
            <w:vAlign w:val="center"/>
          </w:tcPr>
          <w:p w14:paraId="287F08EB">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w:t>
            </w:r>
          </w:p>
        </w:tc>
        <w:tc>
          <w:tcPr>
            <w:tcW w:w="547" w:type="pct"/>
            <w:vAlign w:val="center"/>
          </w:tcPr>
          <w:p w14:paraId="56E051B2">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w:t>
            </w:r>
          </w:p>
        </w:tc>
        <w:tc>
          <w:tcPr>
            <w:tcW w:w="545" w:type="pct"/>
            <w:vAlign w:val="center"/>
          </w:tcPr>
          <w:p w14:paraId="46B04B66">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w:t>
            </w:r>
          </w:p>
        </w:tc>
        <w:tc>
          <w:tcPr>
            <w:tcW w:w="545" w:type="pct"/>
            <w:vAlign w:val="center"/>
          </w:tcPr>
          <w:p w14:paraId="43A95867">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w:t>
            </w:r>
          </w:p>
        </w:tc>
        <w:tc>
          <w:tcPr>
            <w:tcW w:w="545" w:type="pct"/>
            <w:vAlign w:val="center"/>
          </w:tcPr>
          <w:p w14:paraId="04A36EA5">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w:t>
            </w:r>
          </w:p>
        </w:tc>
        <w:tc>
          <w:tcPr>
            <w:tcW w:w="545" w:type="pct"/>
            <w:vAlign w:val="center"/>
          </w:tcPr>
          <w:p w14:paraId="39B9C301">
            <w:pPr>
              <w:spacing w:line="240" w:lineRule="atLeast"/>
              <w:ind w:firstLine="0" w:firstLineChars="0"/>
              <w:jc w:val="center"/>
              <w:rPr>
                <w:color w:val="000000" w:themeColor="text1"/>
                <w:sz w:val="21"/>
                <w:szCs w:val="21"/>
                <w14:textFill>
                  <w14:solidFill>
                    <w14:schemeClr w14:val="tx1"/>
                  </w14:solidFill>
                </w14:textFill>
              </w:rPr>
            </w:pPr>
          </w:p>
        </w:tc>
        <w:tc>
          <w:tcPr>
            <w:tcW w:w="545" w:type="pct"/>
            <w:vAlign w:val="center"/>
          </w:tcPr>
          <w:p w14:paraId="36AE46EF">
            <w:pPr>
              <w:spacing w:line="240" w:lineRule="atLeast"/>
              <w:ind w:firstLine="0" w:firstLineChars="0"/>
              <w:jc w:val="center"/>
              <w:rPr>
                <w:color w:val="000000" w:themeColor="text1"/>
                <w:sz w:val="21"/>
                <w:szCs w:val="21"/>
                <w14:textFill>
                  <w14:solidFill>
                    <w14:schemeClr w14:val="tx1"/>
                  </w14:solidFill>
                </w14:textFill>
              </w:rPr>
            </w:pPr>
          </w:p>
        </w:tc>
        <w:tc>
          <w:tcPr>
            <w:tcW w:w="545" w:type="pct"/>
            <w:vAlign w:val="center"/>
          </w:tcPr>
          <w:p w14:paraId="364A9765">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w:t>
            </w:r>
          </w:p>
        </w:tc>
      </w:tr>
      <w:tr w14:paraId="32EDC5C4">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69" w:hRule="atLeast"/>
          <w:jc w:val="center"/>
        </w:trPr>
        <w:tc>
          <w:tcPr>
            <w:tcW w:w="638" w:type="pct"/>
            <w:vAlign w:val="center"/>
          </w:tcPr>
          <w:p w14:paraId="32C8E06E">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2017</w:t>
            </w:r>
          </w:p>
        </w:tc>
        <w:tc>
          <w:tcPr>
            <w:tcW w:w="545" w:type="pct"/>
            <w:vAlign w:val="center"/>
          </w:tcPr>
          <w:p w14:paraId="5F0FAB23">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6</w:t>
            </w:r>
          </w:p>
        </w:tc>
        <w:tc>
          <w:tcPr>
            <w:tcW w:w="547" w:type="pct"/>
            <w:vAlign w:val="center"/>
          </w:tcPr>
          <w:p w14:paraId="3E3CB5D3">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w:t>
            </w:r>
          </w:p>
        </w:tc>
        <w:tc>
          <w:tcPr>
            <w:tcW w:w="545" w:type="pct"/>
            <w:vAlign w:val="center"/>
          </w:tcPr>
          <w:p w14:paraId="69F3524D">
            <w:pPr>
              <w:spacing w:line="240" w:lineRule="atLeast"/>
              <w:ind w:firstLine="0" w:firstLineChars="0"/>
              <w:jc w:val="center"/>
              <w:rPr>
                <w:color w:val="000000" w:themeColor="text1"/>
                <w:sz w:val="21"/>
                <w:szCs w:val="21"/>
                <w14:textFill>
                  <w14:solidFill>
                    <w14:schemeClr w14:val="tx1"/>
                  </w14:solidFill>
                </w14:textFill>
              </w:rPr>
            </w:pPr>
          </w:p>
        </w:tc>
        <w:tc>
          <w:tcPr>
            <w:tcW w:w="545" w:type="pct"/>
            <w:vAlign w:val="center"/>
          </w:tcPr>
          <w:p w14:paraId="2E451831">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5</w:t>
            </w:r>
          </w:p>
        </w:tc>
        <w:tc>
          <w:tcPr>
            <w:tcW w:w="545" w:type="pct"/>
            <w:vAlign w:val="center"/>
          </w:tcPr>
          <w:p w14:paraId="47EFBC7A">
            <w:pPr>
              <w:spacing w:line="240" w:lineRule="atLeast"/>
              <w:ind w:firstLine="0" w:firstLineChars="0"/>
              <w:jc w:val="center"/>
              <w:rPr>
                <w:color w:val="000000" w:themeColor="text1"/>
                <w:sz w:val="21"/>
                <w:szCs w:val="21"/>
                <w14:textFill>
                  <w14:solidFill>
                    <w14:schemeClr w14:val="tx1"/>
                  </w14:solidFill>
                </w14:textFill>
              </w:rPr>
            </w:pPr>
          </w:p>
        </w:tc>
        <w:tc>
          <w:tcPr>
            <w:tcW w:w="545" w:type="pct"/>
            <w:vAlign w:val="center"/>
          </w:tcPr>
          <w:p w14:paraId="285DA38C">
            <w:pPr>
              <w:spacing w:line="240" w:lineRule="atLeast"/>
              <w:ind w:firstLine="0" w:firstLineChars="0"/>
              <w:jc w:val="center"/>
              <w:rPr>
                <w:color w:val="000000" w:themeColor="text1"/>
                <w:sz w:val="21"/>
                <w:szCs w:val="21"/>
                <w14:textFill>
                  <w14:solidFill>
                    <w14:schemeClr w14:val="tx1"/>
                  </w14:solidFill>
                </w14:textFill>
              </w:rPr>
            </w:pPr>
          </w:p>
        </w:tc>
        <w:tc>
          <w:tcPr>
            <w:tcW w:w="545" w:type="pct"/>
            <w:vAlign w:val="center"/>
          </w:tcPr>
          <w:p w14:paraId="7EEF3AA6">
            <w:pPr>
              <w:spacing w:line="240" w:lineRule="atLeast"/>
              <w:ind w:firstLine="0" w:firstLineChars="0"/>
              <w:jc w:val="center"/>
              <w:rPr>
                <w:color w:val="000000" w:themeColor="text1"/>
                <w:sz w:val="21"/>
                <w:szCs w:val="21"/>
                <w14:textFill>
                  <w14:solidFill>
                    <w14:schemeClr w14:val="tx1"/>
                  </w14:solidFill>
                </w14:textFill>
              </w:rPr>
            </w:pPr>
          </w:p>
        </w:tc>
        <w:tc>
          <w:tcPr>
            <w:tcW w:w="545" w:type="pct"/>
            <w:vAlign w:val="center"/>
          </w:tcPr>
          <w:p w14:paraId="59E8F17F">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w:t>
            </w:r>
          </w:p>
        </w:tc>
      </w:tr>
      <w:tr w14:paraId="5576DA69">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69" w:hRule="atLeast"/>
          <w:jc w:val="center"/>
        </w:trPr>
        <w:tc>
          <w:tcPr>
            <w:tcW w:w="638" w:type="pct"/>
            <w:vAlign w:val="center"/>
          </w:tcPr>
          <w:p w14:paraId="332C117E">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2018</w:t>
            </w:r>
          </w:p>
        </w:tc>
        <w:tc>
          <w:tcPr>
            <w:tcW w:w="545" w:type="pct"/>
            <w:vAlign w:val="center"/>
          </w:tcPr>
          <w:p w14:paraId="3EF25F31">
            <w:pPr>
              <w:spacing w:line="240" w:lineRule="atLeast"/>
              <w:ind w:firstLine="0" w:firstLineChars="0"/>
              <w:jc w:val="center"/>
              <w:rPr>
                <w:color w:val="000000" w:themeColor="text1"/>
                <w:sz w:val="21"/>
                <w:szCs w:val="21"/>
                <w14:textFill>
                  <w14:solidFill>
                    <w14:schemeClr w14:val="tx1"/>
                  </w14:solidFill>
                </w14:textFill>
              </w:rPr>
            </w:pPr>
          </w:p>
        </w:tc>
        <w:tc>
          <w:tcPr>
            <w:tcW w:w="547" w:type="pct"/>
            <w:vAlign w:val="center"/>
          </w:tcPr>
          <w:p w14:paraId="42FDC241">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w:t>
            </w:r>
          </w:p>
        </w:tc>
        <w:tc>
          <w:tcPr>
            <w:tcW w:w="545" w:type="pct"/>
            <w:vAlign w:val="center"/>
          </w:tcPr>
          <w:p w14:paraId="58751072">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w:t>
            </w:r>
          </w:p>
        </w:tc>
        <w:tc>
          <w:tcPr>
            <w:tcW w:w="545" w:type="pct"/>
            <w:vAlign w:val="center"/>
          </w:tcPr>
          <w:p w14:paraId="56A16F27">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w:t>
            </w:r>
          </w:p>
        </w:tc>
        <w:tc>
          <w:tcPr>
            <w:tcW w:w="545" w:type="pct"/>
            <w:vAlign w:val="center"/>
          </w:tcPr>
          <w:p w14:paraId="69F023E1">
            <w:pPr>
              <w:spacing w:line="240" w:lineRule="atLeast"/>
              <w:ind w:firstLine="0" w:firstLineChars="0"/>
              <w:jc w:val="center"/>
              <w:rPr>
                <w:color w:val="000000" w:themeColor="text1"/>
                <w:sz w:val="21"/>
                <w:szCs w:val="21"/>
                <w14:textFill>
                  <w14:solidFill>
                    <w14:schemeClr w14:val="tx1"/>
                  </w14:solidFill>
                </w14:textFill>
              </w:rPr>
            </w:pPr>
          </w:p>
        </w:tc>
        <w:tc>
          <w:tcPr>
            <w:tcW w:w="545" w:type="pct"/>
            <w:vAlign w:val="center"/>
          </w:tcPr>
          <w:p w14:paraId="23A0AD5C">
            <w:pPr>
              <w:spacing w:line="240" w:lineRule="atLeast"/>
              <w:ind w:firstLine="0" w:firstLineChars="0"/>
              <w:jc w:val="center"/>
              <w:rPr>
                <w:color w:val="000000" w:themeColor="text1"/>
                <w:sz w:val="21"/>
                <w:szCs w:val="21"/>
                <w14:textFill>
                  <w14:solidFill>
                    <w14:schemeClr w14:val="tx1"/>
                  </w14:solidFill>
                </w14:textFill>
              </w:rPr>
            </w:pPr>
          </w:p>
        </w:tc>
        <w:tc>
          <w:tcPr>
            <w:tcW w:w="545" w:type="pct"/>
            <w:vAlign w:val="center"/>
          </w:tcPr>
          <w:p w14:paraId="3CF028F8">
            <w:pPr>
              <w:spacing w:line="240" w:lineRule="atLeast"/>
              <w:ind w:firstLine="0" w:firstLineChars="0"/>
              <w:jc w:val="center"/>
              <w:rPr>
                <w:color w:val="000000" w:themeColor="text1"/>
                <w:sz w:val="21"/>
                <w:szCs w:val="21"/>
                <w14:textFill>
                  <w14:solidFill>
                    <w14:schemeClr w14:val="tx1"/>
                  </w14:solidFill>
                </w14:textFill>
              </w:rPr>
            </w:pPr>
          </w:p>
        </w:tc>
        <w:tc>
          <w:tcPr>
            <w:tcW w:w="545" w:type="pct"/>
            <w:vAlign w:val="center"/>
          </w:tcPr>
          <w:p w14:paraId="12B51C12">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w:t>
            </w:r>
          </w:p>
        </w:tc>
      </w:tr>
      <w:tr w14:paraId="20059254">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69" w:hRule="atLeast"/>
          <w:jc w:val="center"/>
        </w:trPr>
        <w:tc>
          <w:tcPr>
            <w:tcW w:w="638" w:type="pct"/>
            <w:vAlign w:val="center"/>
          </w:tcPr>
          <w:p w14:paraId="12FE51FA">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合计</w:t>
            </w:r>
          </w:p>
        </w:tc>
        <w:tc>
          <w:tcPr>
            <w:tcW w:w="545" w:type="pct"/>
            <w:vAlign w:val="center"/>
          </w:tcPr>
          <w:p w14:paraId="605CD020">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22</w:t>
            </w:r>
          </w:p>
        </w:tc>
        <w:tc>
          <w:tcPr>
            <w:tcW w:w="547" w:type="pct"/>
            <w:vAlign w:val="center"/>
          </w:tcPr>
          <w:p w14:paraId="110C4A2A">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12</w:t>
            </w:r>
          </w:p>
        </w:tc>
        <w:tc>
          <w:tcPr>
            <w:tcW w:w="545" w:type="pct"/>
            <w:vAlign w:val="center"/>
          </w:tcPr>
          <w:p w14:paraId="1D79AA31">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15</w:t>
            </w:r>
          </w:p>
        </w:tc>
        <w:tc>
          <w:tcPr>
            <w:tcW w:w="545" w:type="pct"/>
            <w:vAlign w:val="center"/>
          </w:tcPr>
          <w:p w14:paraId="48338EF0">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11</w:t>
            </w:r>
          </w:p>
        </w:tc>
        <w:tc>
          <w:tcPr>
            <w:tcW w:w="545" w:type="pct"/>
            <w:vAlign w:val="center"/>
          </w:tcPr>
          <w:p w14:paraId="2DC86680">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w:t>
            </w:r>
          </w:p>
        </w:tc>
        <w:tc>
          <w:tcPr>
            <w:tcW w:w="545" w:type="pct"/>
            <w:vAlign w:val="center"/>
          </w:tcPr>
          <w:p w14:paraId="5D8A6D3B">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w:t>
            </w:r>
          </w:p>
        </w:tc>
        <w:tc>
          <w:tcPr>
            <w:tcW w:w="545" w:type="pct"/>
            <w:vAlign w:val="center"/>
          </w:tcPr>
          <w:p w14:paraId="3F3DEDE7">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w:t>
            </w:r>
          </w:p>
        </w:tc>
        <w:tc>
          <w:tcPr>
            <w:tcW w:w="545" w:type="pct"/>
            <w:vAlign w:val="center"/>
          </w:tcPr>
          <w:p w14:paraId="3932FF98">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6</w:t>
            </w:r>
          </w:p>
        </w:tc>
      </w:tr>
    </w:tbl>
    <w:p w14:paraId="50F152FC">
      <w:pPr>
        <w:spacing w:before="163" w:beforeLines="5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由于溢油事故将对海洋生态环境产生巨大破坏，以下通过建立溢油数学模型，模拟计算不同情况下溢油扩散轨迹与影响范围，为及时采取有效的应对措施提供参考。</w:t>
      </w:r>
    </w:p>
    <w:p w14:paraId="5F7F9CBA">
      <w:pPr>
        <w:pStyle w:val="6"/>
        <w:ind w:left="0"/>
        <w:rPr>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 溢油漂移轨迹模型简介</w:t>
      </w:r>
    </w:p>
    <w:p w14:paraId="19C74E97">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溢油自身的扩展是影响其漂移轨迹的重要因素之一。事故溢油多为突发性，因此计算其扩展时，通常将其视为自由状态。油比重较小，溢油初期在海面上受自身重力、粘性力、惯性力和表面张力等作用而扩展。由于随着油入海时间增加，各作用力都将发生变化，按主要作用力来组合，油膜的连续扩展可分为三个阶段，各阶段油膜扩展可近似看成以R为半径的等效圆，其半径的计算公式如下：</w:t>
      </w:r>
    </w:p>
    <w:p w14:paraId="216F8682">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惯性重力阶段：</w:t>
      </w:r>
    </w:p>
    <w:p w14:paraId="620FF5FD">
      <w:pPr>
        <w:ind w:firstLine="480"/>
        <w:jc w:val="center"/>
        <w:rPr>
          <w:color w:val="000000" w:themeColor="text1"/>
          <w14:textFill>
            <w14:solidFill>
              <w14:schemeClr w14:val="tx1"/>
            </w14:solidFill>
          </w14:textFill>
        </w:rPr>
      </w:pPr>
      <w:r>
        <w:rPr>
          <w:color w:val="000000" w:themeColor="text1"/>
          <w:position w:val="-10"/>
          <w14:textFill>
            <w14:solidFill>
              <w14:schemeClr w14:val="tx1"/>
            </w14:solidFill>
          </w14:textFill>
        </w:rPr>
        <w:drawing>
          <wp:inline distT="0" distB="0" distL="0" distR="0">
            <wp:extent cx="1296035" cy="270510"/>
            <wp:effectExtent l="0" t="0" r="0" b="0"/>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a:xfrm>
                      <a:off x="0" y="0"/>
                      <a:ext cx="1296035" cy="270510"/>
                    </a:xfrm>
                    <a:prstGeom prst="rect">
                      <a:avLst/>
                    </a:prstGeom>
                    <a:noFill/>
                    <a:ln>
                      <a:noFill/>
                    </a:ln>
                  </pic:spPr>
                </pic:pic>
              </a:graphicData>
            </a:graphic>
          </wp:inline>
        </w:drawing>
      </w:r>
    </w:p>
    <w:p w14:paraId="369EFA4C">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重力粘性阶段：</w:t>
      </w:r>
    </w:p>
    <w:p w14:paraId="79D694F8">
      <w:pPr>
        <w:ind w:firstLine="480"/>
        <w:jc w:val="center"/>
        <w:rPr>
          <w:color w:val="000000" w:themeColor="text1"/>
          <w14:textFill>
            <w14:solidFill>
              <w14:schemeClr w14:val="tx1"/>
            </w14:solidFill>
          </w14:textFill>
        </w:rPr>
      </w:pPr>
      <w:r>
        <w:rPr>
          <w:color w:val="000000" w:themeColor="text1"/>
          <w:position w:val="-10"/>
          <w14:textFill>
            <w14:solidFill>
              <w14:schemeClr w14:val="tx1"/>
            </w14:solidFill>
          </w14:textFill>
        </w:rPr>
        <w:drawing>
          <wp:inline distT="0" distB="0" distL="0" distR="0">
            <wp:extent cx="1916430" cy="270510"/>
            <wp:effectExtent l="0" t="0" r="0" b="0"/>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a:xfrm>
                      <a:off x="0" y="0"/>
                      <a:ext cx="1916430" cy="270510"/>
                    </a:xfrm>
                    <a:prstGeom prst="rect">
                      <a:avLst/>
                    </a:prstGeom>
                    <a:noFill/>
                    <a:ln>
                      <a:noFill/>
                    </a:ln>
                  </pic:spPr>
                </pic:pic>
              </a:graphicData>
            </a:graphic>
          </wp:inline>
        </w:drawing>
      </w:r>
    </w:p>
    <w:p w14:paraId="784E568F">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粘性张力阶段：</w:t>
      </w:r>
    </w:p>
    <w:p w14:paraId="056A2EC0">
      <w:pPr>
        <w:ind w:firstLine="480"/>
        <w:jc w:val="center"/>
        <w:rPr>
          <w:color w:val="000000" w:themeColor="text1"/>
          <w14:textFill>
            <w14:solidFill>
              <w14:schemeClr w14:val="tx1"/>
            </w14:solidFill>
          </w14:textFill>
        </w:rPr>
      </w:pPr>
      <w:r>
        <w:rPr>
          <w:color w:val="000000" w:themeColor="text1"/>
          <w:position w:val="-12"/>
          <w14:textFill>
            <w14:solidFill>
              <w14:schemeClr w14:val="tx1"/>
            </w14:solidFill>
          </w14:textFill>
        </w:rPr>
        <w:drawing>
          <wp:inline distT="0" distB="0" distL="0" distR="0">
            <wp:extent cx="1534795" cy="278130"/>
            <wp:effectExtent l="0" t="0" r="0" b="0"/>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a:xfrm>
                      <a:off x="0" y="0"/>
                      <a:ext cx="1534795" cy="278130"/>
                    </a:xfrm>
                    <a:prstGeom prst="rect">
                      <a:avLst/>
                    </a:prstGeom>
                    <a:noFill/>
                    <a:ln>
                      <a:noFill/>
                    </a:ln>
                  </pic:spPr>
                </pic:pic>
              </a:graphicData>
            </a:graphic>
          </wp:inline>
        </w:drawing>
      </w:r>
    </w:p>
    <w:p w14:paraId="0D3DC62C">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上述各式中，</w:t>
      </w:r>
      <w:r>
        <w:rPr>
          <w:color w:val="000000" w:themeColor="text1"/>
          <w:position w:val="-12"/>
          <w14:textFill>
            <w14:solidFill>
              <w14:schemeClr w14:val="tx1"/>
            </w14:solidFill>
          </w14:textFill>
        </w:rPr>
        <w:drawing>
          <wp:inline distT="0" distB="0" distL="0" distR="0">
            <wp:extent cx="914400" cy="230505"/>
            <wp:effectExtent l="0" t="0" r="0" b="0"/>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a:xfrm>
                      <a:off x="0" y="0"/>
                      <a:ext cx="914400" cy="230505"/>
                    </a:xfrm>
                    <a:prstGeom prst="rect">
                      <a:avLst/>
                    </a:prstGeom>
                    <a:noFill/>
                    <a:ln>
                      <a:noFill/>
                    </a:ln>
                  </pic:spPr>
                </pic:pic>
              </a:graphicData>
            </a:graphic>
          </wp:inline>
        </w:drawing>
      </w:r>
      <w:r>
        <w:rPr>
          <w:rFonts w:hint="eastAsia"/>
          <w:color w:val="000000" w:themeColor="text1"/>
          <w14:textFill>
            <w14:solidFill>
              <w14:schemeClr w14:val="tx1"/>
            </w14:solidFill>
          </w14:textFill>
        </w:rPr>
        <w:t>；</w:t>
      </w:r>
      <w:r>
        <w:rPr>
          <w:color w:val="000000" w:themeColor="text1"/>
          <w:position w:val="-12"/>
          <w14:textFill>
            <w14:solidFill>
              <w14:schemeClr w14:val="tx1"/>
            </w14:solidFill>
          </w14:textFill>
        </w:rPr>
        <w:drawing>
          <wp:inline distT="0" distB="0" distL="0" distR="0">
            <wp:extent cx="191135" cy="230505"/>
            <wp:effectExtent l="0" t="0" r="0" b="0"/>
            <wp:docPr id="134"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a:xfrm>
                      <a:off x="0" y="0"/>
                      <a:ext cx="191135" cy="230505"/>
                    </a:xfrm>
                    <a:prstGeom prst="rect">
                      <a:avLst/>
                    </a:prstGeom>
                    <a:noFill/>
                    <a:ln>
                      <a:noFill/>
                    </a:ln>
                  </pic:spPr>
                </pic:pic>
              </a:graphicData>
            </a:graphic>
          </wp:inline>
        </w:drawing>
      </w:r>
      <w:r>
        <w:rPr>
          <w:rFonts w:hint="eastAsia"/>
          <w:color w:val="000000" w:themeColor="text1"/>
          <w14:textFill>
            <w14:solidFill>
              <w14:schemeClr w14:val="tx1"/>
            </w14:solidFill>
          </w14:textFill>
        </w:rPr>
        <w:t>，</w:t>
      </w:r>
      <w:r>
        <w:rPr>
          <w:color w:val="000000" w:themeColor="text1"/>
          <w:position w:val="-12"/>
          <w14:textFill>
            <w14:solidFill>
              <w14:schemeClr w14:val="tx1"/>
            </w14:solidFill>
          </w14:textFill>
        </w:rPr>
        <w:drawing>
          <wp:inline distT="0" distB="0" distL="0" distR="0">
            <wp:extent cx="198755" cy="230505"/>
            <wp:effectExtent l="0" t="0" r="0" b="0"/>
            <wp:docPr id="172" name="图片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72"/>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a:xfrm>
                      <a:off x="0" y="0"/>
                      <a:ext cx="198755" cy="230505"/>
                    </a:xfrm>
                    <a:prstGeom prst="rect">
                      <a:avLst/>
                    </a:prstGeom>
                    <a:noFill/>
                    <a:ln>
                      <a:noFill/>
                    </a:ln>
                  </pic:spPr>
                </pic:pic>
              </a:graphicData>
            </a:graphic>
          </wp:inline>
        </w:drawing>
      </w:r>
      <w:r>
        <w:rPr>
          <w:rFonts w:hint="eastAsia"/>
          <w:color w:val="000000" w:themeColor="text1"/>
          <w14:textFill>
            <w14:solidFill>
              <w14:schemeClr w14:val="tx1"/>
            </w14:solidFill>
          </w14:textFill>
        </w:rPr>
        <w:t>分别为油和海水的密度(</w:t>
      </w:r>
      <w:r>
        <w:rPr>
          <w:color w:val="000000" w:themeColor="text1"/>
          <w14:textFill>
            <w14:solidFill>
              <w14:schemeClr w14:val="tx1"/>
            </w14:solidFill>
          </w14:textFill>
        </w:rPr>
        <w:t>1012</w:t>
      </w:r>
      <w:r>
        <w:rPr>
          <w:color w:val="000000" w:themeColor="text1"/>
          <w:position w:val="-10"/>
          <w14:textFill>
            <w14:solidFill>
              <w14:schemeClr w14:val="tx1"/>
            </w14:solidFill>
          </w14:textFill>
        </w:rPr>
        <w:drawing>
          <wp:inline distT="0" distB="0" distL="0" distR="0">
            <wp:extent cx="445135" cy="230505"/>
            <wp:effectExtent l="0" t="0" r="0" b="0"/>
            <wp:docPr id="193" name="图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93"/>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a:xfrm>
                      <a:off x="0" y="0"/>
                      <a:ext cx="445135" cy="230505"/>
                    </a:xfrm>
                    <a:prstGeom prst="rect">
                      <a:avLst/>
                    </a:prstGeom>
                    <a:noFill/>
                    <a:ln>
                      <a:noFill/>
                    </a:ln>
                  </pic:spPr>
                </pic:pic>
              </a:graphicData>
            </a:graphic>
          </wp:inline>
        </w:drawing>
      </w:r>
      <w:r>
        <w:rPr>
          <w:rFonts w:hint="eastAsia"/>
          <w:color w:val="000000" w:themeColor="text1"/>
          <w14:textFill>
            <w14:solidFill>
              <w14:schemeClr w14:val="tx1"/>
            </w14:solidFill>
          </w14:textFill>
        </w:rPr>
        <w:t>)；</w:t>
      </w:r>
      <w:r>
        <w:rPr>
          <w:color w:val="000000" w:themeColor="text1"/>
          <w:position w:val="-6"/>
          <w14:textFill>
            <w14:solidFill>
              <w14:schemeClr w14:val="tx1"/>
            </w14:solidFill>
          </w14:textFill>
        </w:rPr>
        <w:drawing>
          <wp:inline distT="0" distB="0" distL="0" distR="0">
            <wp:extent cx="151130" cy="182880"/>
            <wp:effectExtent l="0" t="0" r="0" b="0"/>
            <wp:docPr id="194" name="图片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94"/>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a:xfrm>
                      <a:off x="0" y="0"/>
                      <a:ext cx="151130" cy="182880"/>
                    </a:xfrm>
                    <a:prstGeom prst="rect">
                      <a:avLst/>
                    </a:prstGeom>
                    <a:noFill/>
                    <a:ln>
                      <a:noFill/>
                    </a:ln>
                  </pic:spPr>
                </pic:pic>
              </a:graphicData>
            </a:graphic>
          </wp:inline>
        </w:drawing>
      </w:r>
      <w:r>
        <w:rPr>
          <w:rFonts w:hint="eastAsia"/>
          <w:color w:val="000000" w:themeColor="text1"/>
          <w14:textFill>
            <w14:solidFill>
              <w14:schemeClr w14:val="tx1"/>
            </w14:solidFill>
          </w14:textFill>
        </w:rPr>
        <w:t>为溢油体积；</w:t>
      </w:r>
      <w:r>
        <w:rPr>
          <w:color w:val="000000" w:themeColor="text1"/>
          <w:position w:val="-6"/>
          <w14:textFill>
            <w14:solidFill>
              <w14:schemeClr w14:val="tx1"/>
            </w14:solidFill>
          </w14:textFill>
        </w:rPr>
        <w:drawing>
          <wp:inline distT="0" distB="0" distL="0" distR="0">
            <wp:extent cx="87630" cy="151130"/>
            <wp:effectExtent l="0" t="0" r="0" b="0"/>
            <wp:docPr id="195" name="图片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95"/>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a:xfrm>
                      <a:off x="0" y="0"/>
                      <a:ext cx="87630" cy="151130"/>
                    </a:xfrm>
                    <a:prstGeom prst="rect">
                      <a:avLst/>
                    </a:prstGeom>
                    <a:noFill/>
                    <a:ln>
                      <a:noFill/>
                    </a:ln>
                  </pic:spPr>
                </pic:pic>
              </a:graphicData>
            </a:graphic>
          </wp:inline>
        </w:drawing>
      </w:r>
      <w:r>
        <w:rPr>
          <w:rFonts w:hint="eastAsia"/>
          <w:color w:val="000000" w:themeColor="text1"/>
          <w14:textFill>
            <w14:solidFill>
              <w14:schemeClr w14:val="tx1"/>
            </w14:solidFill>
          </w14:textFill>
        </w:rPr>
        <w:t>为入海后时间；</w:t>
      </w:r>
      <w:r>
        <w:rPr>
          <w:color w:val="000000" w:themeColor="text1"/>
          <w:position w:val="-10"/>
          <w14:textFill>
            <w14:solidFill>
              <w14:schemeClr w14:val="tx1"/>
            </w14:solidFill>
          </w14:textFill>
        </w:rPr>
        <w:drawing>
          <wp:inline distT="0" distB="0" distL="0" distR="0">
            <wp:extent cx="127000" cy="158750"/>
            <wp:effectExtent l="0" t="0" r="0" b="0"/>
            <wp:docPr id="196" name="图片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96"/>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a:xfrm>
                      <a:off x="0" y="0"/>
                      <a:ext cx="127000" cy="158750"/>
                    </a:xfrm>
                    <a:prstGeom prst="rect">
                      <a:avLst/>
                    </a:prstGeom>
                    <a:noFill/>
                    <a:ln>
                      <a:noFill/>
                    </a:ln>
                  </pic:spPr>
                </pic:pic>
              </a:graphicData>
            </a:graphic>
          </wp:inline>
        </w:drawing>
      </w:r>
      <w:r>
        <w:rPr>
          <w:rFonts w:hint="eastAsia"/>
          <w:color w:val="000000" w:themeColor="text1"/>
          <w14:textFill>
            <w14:solidFill>
              <w14:schemeClr w14:val="tx1"/>
            </w14:solidFill>
          </w14:textFill>
        </w:rPr>
        <w:t>为水的运动粘度(</w:t>
      </w:r>
      <w:r>
        <w:rPr>
          <w:color w:val="000000" w:themeColor="text1"/>
          <w:position w:val="-6"/>
          <w14:textFill>
            <w14:solidFill>
              <w14:schemeClr w14:val="tx1"/>
            </w14:solidFill>
          </w14:textFill>
        </w:rPr>
        <w:drawing>
          <wp:inline distT="0" distB="0" distL="0" distR="0">
            <wp:extent cx="1025525" cy="198755"/>
            <wp:effectExtent l="0" t="0" r="0" b="0"/>
            <wp:docPr id="198" name="图片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198"/>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a:xfrm>
                      <a:off x="0" y="0"/>
                      <a:ext cx="1025525" cy="198755"/>
                    </a:xfrm>
                    <a:prstGeom prst="rect">
                      <a:avLst/>
                    </a:prstGeom>
                    <a:noFill/>
                    <a:ln>
                      <a:noFill/>
                    </a:ln>
                  </pic:spPr>
                </pic:pic>
              </a:graphicData>
            </a:graphic>
          </wp:inline>
        </w:drawing>
      </w:r>
      <w:r>
        <w:rPr>
          <w:rFonts w:hint="eastAsia"/>
          <w:color w:val="000000" w:themeColor="text1"/>
          <w14:textFill>
            <w14:solidFill>
              <w14:schemeClr w14:val="tx1"/>
            </w14:solidFill>
          </w14:textFill>
        </w:rPr>
        <w:t>)；</w:t>
      </w:r>
      <w:r>
        <w:rPr>
          <w:color w:val="000000" w:themeColor="text1"/>
          <w:position w:val="-6"/>
          <w14:textFill>
            <w14:solidFill>
              <w14:schemeClr w14:val="tx1"/>
            </w14:solidFill>
          </w14:textFill>
        </w:rPr>
        <w:drawing>
          <wp:inline distT="0" distB="0" distL="0" distR="0">
            <wp:extent cx="142875" cy="182880"/>
            <wp:effectExtent l="0" t="0" r="0" b="0"/>
            <wp:docPr id="201" name="图片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201"/>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a:xfrm>
                      <a:off x="0" y="0"/>
                      <a:ext cx="142875" cy="182880"/>
                    </a:xfrm>
                    <a:prstGeom prst="rect">
                      <a:avLst/>
                    </a:prstGeom>
                    <a:noFill/>
                    <a:ln>
                      <a:noFill/>
                    </a:ln>
                  </pic:spPr>
                </pic:pic>
              </a:graphicData>
            </a:graphic>
          </wp:inline>
        </w:drawing>
      </w:r>
      <w:r>
        <w:rPr>
          <w:rFonts w:hint="eastAsia"/>
          <w:color w:val="000000" w:themeColor="text1"/>
          <w14:textFill>
            <w14:solidFill>
              <w14:schemeClr w14:val="tx1"/>
            </w14:solidFill>
          </w14:textFill>
        </w:rPr>
        <w:t>为表面张力。</w:t>
      </w:r>
    </w:p>
    <w:p w14:paraId="5ACD86BF">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当溢油连续扩展，油膜厚度减小到某一临界值时，在波浪湍流的作用下，油膜被撕裂成碎片，即进入碎片紊动扩散阶段。这时的碎片扩散受表面尺度涡流所支配，碎片呈高斯分布，油膜碎片覆盖的污染区的相当半径为：</w:t>
      </w:r>
      <w:r>
        <w:rPr>
          <w:color w:val="000000" w:themeColor="text1"/>
          <w:position w:val="-10"/>
          <w14:textFill>
            <w14:solidFill>
              <w14:schemeClr w14:val="tx1"/>
            </w14:solidFill>
          </w14:textFill>
        </w:rPr>
        <w:drawing>
          <wp:inline distT="0" distB="0" distL="0" distR="0">
            <wp:extent cx="1248410" cy="238760"/>
            <wp:effectExtent l="0" t="0" r="0" b="0"/>
            <wp:docPr id="202" name="图片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202"/>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a:xfrm>
                      <a:off x="0" y="0"/>
                      <a:ext cx="1248410" cy="238760"/>
                    </a:xfrm>
                    <a:prstGeom prst="rect">
                      <a:avLst/>
                    </a:prstGeom>
                    <a:noFill/>
                    <a:ln>
                      <a:noFill/>
                    </a:ln>
                  </pic:spPr>
                </pic:pic>
              </a:graphicData>
            </a:graphic>
          </wp:inline>
        </w:drawing>
      </w:r>
      <w:r>
        <w:rPr>
          <w:rFonts w:hint="eastAsia"/>
          <w:color w:val="000000" w:themeColor="text1"/>
          <w14:textFill>
            <w14:solidFill>
              <w14:schemeClr w14:val="tx1"/>
            </w14:solidFill>
          </w14:textFill>
        </w:rPr>
        <w:t>，在各向异性的海洋中，油膜主要运动方向(</w:t>
      </w:r>
      <w:r>
        <w:rPr>
          <w:color w:val="000000" w:themeColor="text1"/>
          <w:position w:val="-6"/>
          <w14:textFill>
            <w14:solidFill>
              <w14:schemeClr w14:val="tx1"/>
            </w14:solidFill>
          </w14:textFill>
        </w:rPr>
        <w:drawing>
          <wp:inline distT="0" distB="0" distL="0" distR="0">
            <wp:extent cx="111125" cy="142875"/>
            <wp:effectExtent l="0" t="0" r="0" b="0"/>
            <wp:docPr id="203" name="图片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203"/>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a:xfrm>
                      <a:off x="0" y="0"/>
                      <a:ext cx="111125" cy="142875"/>
                    </a:xfrm>
                    <a:prstGeom prst="rect">
                      <a:avLst/>
                    </a:prstGeom>
                    <a:noFill/>
                    <a:ln>
                      <a:noFill/>
                    </a:ln>
                  </pic:spPr>
                </pic:pic>
              </a:graphicData>
            </a:graphic>
          </wp:inline>
        </w:drawing>
      </w:r>
      <w:r>
        <w:rPr>
          <w:rFonts w:hint="eastAsia"/>
          <w:color w:val="000000" w:themeColor="text1"/>
          <w14:textFill>
            <w14:solidFill>
              <w14:schemeClr w14:val="tx1"/>
            </w14:solidFill>
          </w14:textFill>
        </w:rPr>
        <w:t>)和次要运动方向(</w:t>
      </w:r>
      <w:r>
        <w:rPr>
          <w:color w:val="000000" w:themeColor="text1"/>
          <w:position w:val="-6"/>
          <w14:textFill>
            <w14:solidFill>
              <w14:schemeClr w14:val="tx1"/>
            </w14:solidFill>
          </w14:textFill>
        </w:rPr>
        <w:drawing>
          <wp:inline distT="0" distB="0" distL="0" distR="0">
            <wp:extent cx="127000" cy="142875"/>
            <wp:effectExtent l="0" t="0" r="0" b="0"/>
            <wp:docPr id="204" name="图片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204"/>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a:xfrm>
                      <a:off x="0" y="0"/>
                      <a:ext cx="127000" cy="142875"/>
                    </a:xfrm>
                    <a:prstGeom prst="rect">
                      <a:avLst/>
                    </a:prstGeom>
                    <a:noFill/>
                    <a:ln>
                      <a:noFill/>
                    </a:ln>
                  </pic:spPr>
                </pic:pic>
              </a:graphicData>
            </a:graphic>
          </wp:inline>
        </w:drawing>
      </w:r>
      <w:r>
        <w:rPr>
          <w:rFonts w:hint="eastAsia"/>
          <w:color w:val="000000" w:themeColor="text1"/>
          <w14:textFill>
            <w14:solidFill>
              <w14:schemeClr w14:val="tx1"/>
            </w14:solidFill>
          </w14:textFill>
        </w:rPr>
        <w:t>)的扩展尺度</w:t>
      </w:r>
      <w:r>
        <w:rPr>
          <w:color w:val="000000" w:themeColor="text1"/>
          <w:position w:val="-6"/>
          <w14:textFill>
            <w14:solidFill>
              <w14:schemeClr w14:val="tx1"/>
            </w14:solidFill>
          </w14:textFill>
        </w:rPr>
        <w:drawing>
          <wp:inline distT="0" distB="0" distL="0" distR="0">
            <wp:extent cx="191135" cy="182880"/>
            <wp:effectExtent l="0" t="0" r="0" b="0"/>
            <wp:docPr id="205" name="图片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205"/>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a:xfrm>
                      <a:off x="0" y="0"/>
                      <a:ext cx="191135" cy="182880"/>
                    </a:xfrm>
                    <a:prstGeom prst="rect">
                      <a:avLst/>
                    </a:prstGeom>
                    <a:noFill/>
                    <a:ln>
                      <a:noFill/>
                    </a:ln>
                  </pic:spPr>
                </pic:pic>
              </a:graphicData>
            </a:graphic>
          </wp:inline>
        </w:drawing>
      </w:r>
      <w:r>
        <w:rPr>
          <w:rFonts w:hint="eastAsia"/>
          <w:color w:val="000000" w:themeColor="text1"/>
          <w14:textFill>
            <w14:solidFill>
              <w14:schemeClr w14:val="tx1"/>
            </w14:solidFill>
          </w14:textFill>
        </w:rPr>
        <w:t>和</w:t>
      </w:r>
      <w:r>
        <w:rPr>
          <w:color w:val="000000" w:themeColor="text1"/>
          <w:position w:val="-6"/>
          <w14:textFill>
            <w14:solidFill>
              <w14:schemeClr w14:val="tx1"/>
            </w14:solidFill>
          </w14:textFill>
        </w:rPr>
        <w:drawing>
          <wp:inline distT="0" distB="0" distL="0" distR="0">
            <wp:extent cx="198755" cy="182880"/>
            <wp:effectExtent l="0" t="0" r="0" b="0"/>
            <wp:docPr id="206" name="图片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206"/>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a:xfrm>
                      <a:off x="0" y="0"/>
                      <a:ext cx="198755" cy="182880"/>
                    </a:xfrm>
                    <a:prstGeom prst="rect">
                      <a:avLst/>
                    </a:prstGeom>
                    <a:noFill/>
                    <a:ln>
                      <a:noFill/>
                    </a:ln>
                  </pic:spPr>
                </pic:pic>
              </a:graphicData>
            </a:graphic>
          </wp:inline>
        </w:drawing>
      </w:r>
      <w:r>
        <w:rPr>
          <w:rFonts w:hint="eastAsia"/>
          <w:color w:val="000000" w:themeColor="text1"/>
          <w14:textFill>
            <w14:solidFill>
              <w14:schemeClr w14:val="tx1"/>
            </w14:solidFill>
          </w14:textFill>
        </w:rPr>
        <w:t>可按下式计算：</w:t>
      </w:r>
      <w:r>
        <w:rPr>
          <w:color w:val="000000" w:themeColor="text1"/>
          <w:position w:val="-12"/>
          <w14:textFill>
            <w14:solidFill>
              <w14:schemeClr w14:val="tx1"/>
            </w14:solidFill>
          </w14:textFill>
        </w:rPr>
        <w:drawing>
          <wp:inline distT="0" distB="0" distL="0" distR="0">
            <wp:extent cx="596265" cy="230505"/>
            <wp:effectExtent l="0" t="0" r="0" b="0"/>
            <wp:docPr id="207" name="图片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207"/>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a:xfrm>
                      <a:off x="0" y="0"/>
                      <a:ext cx="596265" cy="230505"/>
                    </a:xfrm>
                    <a:prstGeom prst="rect">
                      <a:avLst/>
                    </a:prstGeom>
                    <a:noFill/>
                    <a:ln>
                      <a:noFill/>
                    </a:ln>
                  </pic:spPr>
                </pic:pic>
              </a:graphicData>
            </a:graphic>
          </wp:inline>
        </w:drawing>
      </w:r>
      <w:r>
        <w:rPr>
          <w:rFonts w:hint="eastAsia"/>
          <w:color w:val="000000" w:themeColor="text1"/>
          <w14:textFill>
            <w14:solidFill>
              <w14:schemeClr w14:val="tx1"/>
            </w14:solidFill>
          </w14:textFill>
        </w:rPr>
        <w:t>，</w:t>
      </w:r>
      <w:r>
        <w:rPr>
          <w:color w:val="000000" w:themeColor="text1"/>
          <w:position w:val="-12"/>
          <w14:textFill>
            <w14:solidFill>
              <w14:schemeClr w14:val="tx1"/>
            </w14:solidFill>
          </w14:textFill>
        </w:rPr>
        <w:drawing>
          <wp:inline distT="0" distB="0" distL="0" distR="0">
            <wp:extent cx="612140" cy="230505"/>
            <wp:effectExtent l="0" t="0" r="0" b="0"/>
            <wp:docPr id="208" name="图片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208"/>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a:xfrm>
                      <a:off x="0" y="0"/>
                      <a:ext cx="612140" cy="230505"/>
                    </a:xfrm>
                    <a:prstGeom prst="rect">
                      <a:avLst/>
                    </a:prstGeom>
                    <a:noFill/>
                    <a:ln>
                      <a:noFill/>
                    </a:ln>
                  </pic:spPr>
                </pic:pic>
              </a:graphicData>
            </a:graphic>
          </wp:inline>
        </w:drawing>
      </w:r>
      <w:r>
        <w:rPr>
          <w:rFonts w:hint="eastAsia"/>
          <w:color w:val="000000" w:themeColor="text1"/>
          <w14:textFill>
            <w14:solidFill>
              <w14:schemeClr w14:val="tx1"/>
            </w14:solidFill>
          </w14:textFill>
        </w:rPr>
        <w:t>。</w:t>
      </w:r>
    </w:p>
    <w:p w14:paraId="1D98259C">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本次预测</w:t>
      </w:r>
      <w:r>
        <w:rPr>
          <w:color w:val="000000" w:themeColor="text1"/>
          <w:position w:val="-6"/>
          <w14:textFill>
            <w14:solidFill>
              <w14:schemeClr w14:val="tx1"/>
            </w14:solidFill>
          </w14:textFill>
        </w:rPr>
        <w:drawing>
          <wp:inline distT="0" distB="0" distL="0" distR="0">
            <wp:extent cx="151130" cy="142875"/>
            <wp:effectExtent l="0" t="0" r="0" b="0"/>
            <wp:docPr id="209" name="图片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209"/>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a:xfrm>
                      <a:off x="0" y="0"/>
                      <a:ext cx="151130" cy="142875"/>
                    </a:xfrm>
                    <a:prstGeom prst="rect">
                      <a:avLst/>
                    </a:prstGeom>
                    <a:noFill/>
                    <a:ln>
                      <a:noFill/>
                    </a:ln>
                  </pic:spPr>
                </pic:pic>
              </a:graphicData>
            </a:graphic>
          </wp:inline>
        </w:drawing>
      </w:r>
      <w:r>
        <w:rPr>
          <w:rFonts w:hint="eastAsia"/>
          <w:color w:val="000000" w:themeColor="text1"/>
          <w14:textFill>
            <w14:solidFill>
              <w14:schemeClr w14:val="tx1"/>
            </w14:solidFill>
          </w14:textFill>
        </w:rPr>
        <w:t>值按Okubo等人的经验公式（</w:t>
      </w:r>
      <w:r>
        <w:rPr>
          <w:color w:val="000000" w:themeColor="text1"/>
          <w:position w:val="-6"/>
          <w14:textFill>
            <w14:solidFill>
              <w14:schemeClr w14:val="tx1"/>
            </w14:solidFill>
          </w14:textFill>
        </w:rPr>
        <w:drawing>
          <wp:inline distT="0" distB="0" distL="0" distR="0">
            <wp:extent cx="850900" cy="198755"/>
            <wp:effectExtent l="0" t="0" r="0" b="0"/>
            <wp:docPr id="210" name="图片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210"/>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a:xfrm>
                      <a:off x="0" y="0"/>
                      <a:ext cx="850900" cy="198755"/>
                    </a:xfrm>
                    <a:prstGeom prst="rect">
                      <a:avLst/>
                    </a:prstGeom>
                    <a:noFill/>
                    <a:ln>
                      <a:noFill/>
                    </a:ln>
                  </pic:spPr>
                </pic:pic>
              </a:graphicData>
            </a:graphic>
          </wp:inline>
        </w:drawing>
      </w:r>
      <w:r>
        <w:rPr>
          <w:rFonts w:hint="eastAsia"/>
          <w:color w:val="000000" w:themeColor="text1"/>
          <w14:textFill>
            <w14:solidFill>
              <w14:schemeClr w14:val="tx1"/>
            </w14:solidFill>
          </w14:textFill>
        </w:rPr>
        <w:t>）求取，</w:t>
      </w:r>
      <w:r>
        <w:rPr>
          <w:color w:val="000000" w:themeColor="text1"/>
          <w:position w:val="-6"/>
          <w14:textFill>
            <w14:solidFill>
              <w14:schemeClr w14:val="tx1"/>
            </w14:solidFill>
          </w14:textFill>
        </w:rPr>
        <w:drawing>
          <wp:inline distT="0" distB="0" distL="0" distR="0">
            <wp:extent cx="151130" cy="142875"/>
            <wp:effectExtent l="0" t="0" r="0" b="0"/>
            <wp:docPr id="211" name="图片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211"/>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a:xfrm>
                      <a:off x="0" y="0"/>
                      <a:ext cx="151130" cy="142875"/>
                    </a:xfrm>
                    <a:prstGeom prst="rect">
                      <a:avLst/>
                    </a:prstGeom>
                    <a:noFill/>
                    <a:ln>
                      <a:noFill/>
                    </a:ln>
                  </pic:spPr>
                </pic:pic>
              </a:graphicData>
            </a:graphic>
          </wp:inline>
        </w:drawing>
      </w:r>
      <w:r>
        <w:rPr>
          <w:rFonts w:hint="eastAsia"/>
          <w:color w:val="000000" w:themeColor="text1"/>
          <w14:textFill>
            <w14:solidFill>
              <w14:schemeClr w14:val="tx1"/>
            </w14:solidFill>
          </w14:textFill>
        </w:rPr>
        <w:t>及</w:t>
      </w:r>
      <w:r>
        <w:rPr>
          <w:color w:val="000000" w:themeColor="text1"/>
          <w:position w:val="-6"/>
          <w14:textFill>
            <w14:solidFill>
              <w14:schemeClr w14:val="tx1"/>
            </w14:solidFill>
          </w14:textFill>
        </w:rPr>
        <w:drawing>
          <wp:inline distT="0" distB="0" distL="0" distR="0">
            <wp:extent cx="158750" cy="142875"/>
            <wp:effectExtent l="0" t="0" r="0" b="0"/>
            <wp:docPr id="212" name="图片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212"/>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a:xfrm>
                      <a:off x="0" y="0"/>
                      <a:ext cx="158750" cy="142875"/>
                    </a:xfrm>
                    <a:prstGeom prst="rect">
                      <a:avLst/>
                    </a:prstGeom>
                    <a:noFill/>
                    <a:ln>
                      <a:noFill/>
                    </a:ln>
                  </pic:spPr>
                </pic:pic>
              </a:graphicData>
            </a:graphic>
          </wp:inline>
        </w:drawing>
      </w:r>
      <w:r>
        <w:rPr>
          <w:rFonts w:hint="eastAsia"/>
          <w:color w:val="000000" w:themeColor="text1"/>
          <w14:textFill>
            <w14:solidFill>
              <w14:schemeClr w14:val="tx1"/>
            </w14:solidFill>
          </w14:textFill>
        </w:rPr>
        <w:t>分别取</w:t>
      </w:r>
      <w:r>
        <w:rPr>
          <w:color w:val="000000" w:themeColor="text1"/>
          <w:position w:val="-10"/>
          <w14:textFill>
            <w14:solidFill>
              <w14:schemeClr w14:val="tx1"/>
            </w14:solidFill>
          </w14:textFill>
        </w:rPr>
        <w:drawing>
          <wp:inline distT="0" distB="0" distL="0" distR="0">
            <wp:extent cx="421640" cy="238760"/>
            <wp:effectExtent l="0" t="0" r="0" b="0"/>
            <wp:docPr id="213" name="图片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213"/>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a:xfrm>
                      <a:off x="0" y="0"/>
                      <a:ext cx="421640" cy="238760"/>
                    </a:xfrm>
                    <a:prstGeom prst="rect">
                      <a:avLst/>
                    </a:prstGeom>
                    <a:noFill/>
                    <a:ln>
                      <a:noFill/>
                    </a:ln>
                  </pic:spPr>
                </pic:pic>
              </a:graphicData>
            </a:graphic>
          </wp:inline>
        </w:drawing>
      </w:r>
      <w:r>
        <w:rPr>
          <w:rFonts w:hint="eastAsia"/>
          <w:color w:val="000000" w:themeColor="text1"/>
          <w14:textFill>
            <w14:solidFill>
              <w14:schemeClr w14:val="tx1"/>
            </w14:solidFill>
          </w14:textFill>
        </w:rPr>
        <w:t>和</w:t>
      </w:r>
      <w:r>
        <w:rPr>
          <w:color w:val="000000" w:themeColor="text1"/>
          <w:position w:val="-10"/>
          <w14:textFill>
            <w14:solidFill>
              <w14:schemeClr w14:val="tx1"/>
            </w14:solidFill>
          </w14:textFill>
        </w:rPr>
        <w:drawing>
          <wp:inline distT="0" distB="0" distL="0" distR="0">
            <wp:extent cx="421640" cy="238760"/>
            <wp:effectExtent l="0" t="0" r="0" b="0"/>
            <wp:docPr id="214" name="图片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214"/>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a:xfrm>
                      <a:off x="0" y="0"/>
                      <a:ext cx="421640" cy="238760"/>
                    </a:xfrm>
                    <a:prstGeom prst="rect">
                      <a:avLst/>
                    </a:prstGeom>
                    <a:noFill/>
                    <a:ln>
                      <a:noFill/>
                    </a:ln>
                  </pic:spPr>
                </pic:pic>
              </a:graphicData>
            </a:graphic>
          </wp:inline>
        </w:drawing>
      </w:r>
      <w:r>
        <w:rPr>
          <w:rFonts w:hint="eastAsia"/>
          <w:color w:val="000000" w:themeColor="text1"/>
          <w14:textFill>
            <w14:solidFill>
              <w14:schemeClr w14:val="tx1"/>
            </w14:solidFill>
          </w14:textFill>
        </w:rPr>
        <w:t>。</w:t>
      </w:r>
    </w:p>
    <w:p w14:paraId="72620C5C">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溢油入海后，很快便扩展成油膜，在风和流的作用下，发生水平漂移的同时，溢油本身扩展的等效圆油膜还不断地增大。因此，溢油污染范围就是这个不断扩大而漂移的等效圆油膜所经过的海面面积。溢油的漂移与扩展不同，它与溢油量无关。漂移大小通常以溢油等效圆中心位移来判断，其拉格朗日迁移矢量为：</w:t>
      </w:r>
    </w:p>
    <w:p w14:paraId="68C9C40A">
      <w:pPr>
        <w:ind w:firstLine="480"/>
        <w:jc w:val="center"/>
        <w:rPr>
          <w:color w:val="000000" w:themeColor="text1"/>
          <w14:textFill>
            <w14:solidFill>
              <w14:schemeClr w14:val="tx1"/>
            </w14:solidFill>
          </w14:textFill>
        </w:rPr>
      </w:pPr>
      <w:r>
        <w:rPr>
          <w:color w:val="000000" w:themeColor="text1"/>
          <w:position w:val="-22"/>
          <w14:textFill>
            <w14:solidFill>
              <w14:schemeClr w14:val="tx1"/>
            </w14:solidFill>
          </w14:textFill>
        </w:rPr>
        <w:drawing>
          <wp:inline distT="0" distB="0" distL="0" distR="0">
            <wp:extent cx="1248410" cy="349885"/>
            <wp:effectExtent l="0" t="0" r="0" b="0"/>
            <wp:docPr id="216" name="图片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216"/>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a:xfrm>
                      <a:off x="0" y="0"/>
                      <a:ext cx="1248410" cy="349885"/>
                    </a:xfrm>
                    <a:prstGeom prst="rect">
                      <a:avLst/>
                    </a:prstGeom>
                    <a:noFill/>
                    <a:ln>
                      <a:noFill/>
                    </a:ln>
                  </pic:spPr>
                </pic:pic>
              </a:graphicData>
            </a:graphic>
          </wp:inline>
        </w:drawing>
      </w:r>
    </w:p>
    <w:p w14:paraId="4945FA2D">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式中：</w:t>
      </w:r>
      <w:r>
        <w:rPr>
          <w:color w:val="000000" w:themeColor="text1"/>
          <w:position w:val="-12"/>
          <w14:textFill>
            <w14:solidFill>
              <w14:schemeClr w14:val="tx1"/>
            </w14:solidFill>
          </w14:textFill>
        </w:rPr>
        <w:drawing>
          <wp:inline distT="0" distB="0" distL="0" distR="0">
            <wp:extent cx="1288415" cy="270510"/>
            <wp:effectExtent l="0" t="0" r="0" b="0"/>
            <wp:docPr id="217" name="图片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217"/>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a:xfrm>
                      <a:off x="0" y="0"/>
                      <a:ext cx="1288415" cy="270510"/>
                    </a:xfrm>
                    <a:prstGeom prst="rect">
                      <a:avLst/>
                    </a:prstGeom>
                    <a:noFill/>
                    <a:ln>
                      <a:noFill/>
                    </a:ln>
                  </pic:spPr>
                </pic:pic>
              </a:graphicData>
            </a:graphic>
          </wp:inline>
        </w:drawing>
      </w:r>
      <w:r>
        <w:rPr>
          <w:rFonts w:hint="eastAsia"/>
          <w:color w:val="000000" w:themeColor="text1"/>
          <w14:textFill>
            <w14:solidFill>
              <w14:schemeClr w14:val="tx1"/>
            </w14:solidFill>
          </w14:textFill>
        </w:rPr>
        <w:t>，</w:t>
      </w:r>
      <w:r>
        <w:rPr>
          <w:color w:val="000000" w:themeColor="text1"/>
          <w:position w:val="-6"/>
          <w14:textFill>
            <w14:solidFill>
              <w14:schemeClr w14:val="tx1"/>
            </w14:solidFill>
          </w14:textFill>
        </w:rPr>
        <w:drawing>
          <wp:inline distT="0" distB="0" distL="0" distR="0">
            <wp:extent cx="238760" cy="230505"/>
            <wp:effectExtent l="0" t="0" r="0" b="0"/>
            <wp:docPr id="218" name="图片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218"/>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a:xfrm>
                      <a:off x="0" y="0"/>
                      <a:ext cx="238760" cy="230505"/>
                    </a:xfrm>
                    <a:prstGeom prst="rect">
                      <a:avLst/>
                    </a:prstGeom>
                    <a:noFill/>
                    <a:ln>
                      <a:noFill/>
                    </a:ln>
                  </pic:spPr>
                </pic:pic>
              </a:graphicData>
            </a:graphic>
          </wp:inline>
        </w:drawing>
      </w:r>
      <w:r>
        <w:rPr>
          <w:rFonts w:hint="eastAsia"/>
          <w:color w:val="000000" w:themeColor="text1"/>
          <w14:textFill>
            <w14:solidFill>
              <w14:schemeClr w14:val="tx1"/>
            </w14:solidFill>
          </w14:textFill>
        </w:rPr>
        <w:t>为垂向平均的海流速度，</w:t>
      </w:r>
      <w:r>
        <w:rPr>
          <w:color w:val="000000" w:themeColor="text1"/>
          <w:position w:val="-6"/>
          <w14:textFill>
            <w14:solidFill>
              <w14:schemeClr w14:val="tx1"/>
            </w14:solidFill>
          </w14:textFill>
        </w:rPr>
        <w:drawing>
          <wp:inline distT="0" distB="0" distL="0" distR="0">
            <wp:extent cx="254635" cy="230505"/>
            <wp:effectExtent l="0" t="0" r="0" b="0"/>
            <wp:docPr id="219" name="图片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219"/>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a:xfrm>
                      <a:off x="0" y="0"/>
                      <a:ext cx="254635" cy="230505"/>
                    </a:xfrm>
                    <a:prstGeom prst="rect">
                      <a:avLst/>
                    </a:prstGeom>
                    <a:noFill/>
                    <a:ln>
                      <a:noFill/>
                    </a:ln>
                  </pic:spPr>
                </pic:pic>
              </a:graphicData>
            </a:graphic>
          </wp:inline>
        </w:drawing>
      </w:r>
      <w:r>
        <w:rPr>
          <w:rFonts w:hint="eastAsia"/>
          <w:color w:val="000000" w:themeColor="text1"/>
          <w14:textFill>
            <w14:solidFill>
              <w14:schemeClr w14:val="tx1"/>
            </w14:solidFill>
          </w14:textFill>
        </w:rPr>
        <w:t>为海面上</w:t>
      </w:r>
      <w:r>
        <w:rPr>
          <w:color w:val="000000" w:themeColor="text1"/>
          <w14:textFill>
            <w14:solidFill>
              <w14:schemeClr w14:val="tx1"/>
            </w14:solidFill>
          </w14:textFill>
        </w:rPr>
        <w:t>10</w:t>
      </w:r>
      <w:r>
        <w:rPr>
          <w:rFonts w:hint="eastAsia"/>
          <w:color w:val="000000" w:themeColor="text1"/>
          <w14:textFill>
            <w14:solidFill>
              <w14:schemeClr w14:val="tx1"/>
            </w14:solidFill>
          </w14:textFill>
        </w:rPr>
        <w:t>m处的风速，</w:t>
      </w:r>
      <w:r>
        <w:rPr>
          <w:color w:val="000000" w:themeColor="text1"/>
          <w:position w:val="-12"/>
          <w14:textFill>
            <w14:solidFill>
              <w14:schemeClr w14:val="tx1"/>
            </w14:solidFill>
          </w14:textFill>
        </w:rPr>
        <w:drawing>
          <wp:inline distT="0" distB="0" distL="0" distR="0">
            <wp:extent cx="198755" cy="230505"/>
            <wp:effectExtent l="0" t="0" r="0" b="0"/>
            <wp:docPr id="220" name="图片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220"/>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a:xfrm>
                      <a:off x="0" y="0"/>
                      <a:ext cx="198755" cy="230505"/>
                    </a:xfrm>
                    <a:prstGeom prst="rect">
                      <a:avLst/>
                    </a:prstGeom>
                    <a:noFill/>
                    <a:ln>
                      <a:noFill/>
                    </a:ln>
                  </pic:spPr>
                </pic:pic>
              </a:graphicData>
            </a:graphic>
          </wp:inline>
        </w:drawing>
      </w:r>
      <w:r>
        <w:rPr>
          <w:rFonts w:hint="eastAsia"/>
          <w:color w:val="000000" w:themeColor="text1"/>
          <w14:textFill>
            <w14:solidFill>
              <w14:schemeClr w14:val="tx1"/>
            </w14:solidFill>
          </w14:textFill>
        </w:rPr>
        <w:t>取</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10</w:t>
      </w:r>
      <w:r>
        <w:rPr>
          <w:rFonts w:hint="eastAsia"/>
          <w:color w:val="000000" w:themeColor="text1"/>
          <w14:textFill>
            <w14:solidFill>
              <w14:schemeClr w14:val="tx1"/>
            </w14:solidFill>
          </w14:textFill>
        </w:rPr>
        <w:t>，</w:t>
      </w:r>
      <w:r>
        <w:rPr>
          <w:color w:val="000000" w:themeColor="text1"/>
          <w:position w:val="-12"/>
          <w14:textFill>
            <w14:solidFill>
              <w14:schemeClr w14:val="tx1"/>
            </w14:solidFill>
          </w14:textFill>
        </w:rPr>
        <w:drawing>
          <wp:inline distT="0" distB="0" distL="0" distR="0">
            <wp:extent cx="230505" cy="230505"/>
            <wp:effectExtent l="0" t="0" r="0" b="0"/>
            <wp:docPr id="221" name="图片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221"/>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a:xfrm>
                      <a:off x="0" y="0"/>
                      <a:ext cx="230505" cy="230505"/>
                    </a:xfrm>
                    <a:prstGeom prst="rect">
                      <a:avLst/>
                    </a:prstGeom>
                    <a:noFill/>
                    <a:ln>
                      <a:noFill/>
                    </a:ln>
                  </pic:spPr>
                </pic:pic>
              </a:graphicData>
            </a:graphic>
          </wp:inline>
        </w:drawing>
      </w:r>
      <w:r>
        <w:rPr>
          <w:rFonts w:hint="eastAsia"/>
          <w:color w:val="000000" w:themeColor="text1"/>
          <w14:textFill>
            <w14:solidFill>
              <w14:schemeClr w14:val="tx1"/>
            </w14:solidFill>
          </w14:textFill>
        </w:rPr>
        <w:t>视油的密度大小取</w:t>
      </w:r>
      <w:r>
        <w:rPr>
          <w:color w:val="000000" w:themeColor="text1"/>
          <w14:textFill>
            <w14:solidFill>
              <w14:schemeClr w14:val="tx1"/>
            </w14:solidFill>
          </w14:textFill>
        </w:rPr>
        <w:t>0</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030</w:t>
      </w:r>
      <w:r>
        <w:rPr>
          <w:rFonts w:hint="eastAsia"/>
          <w:color w:val="000000" w:themeColor="text1"/>
          <w14:textFill>
            <w14:solidFill>
              <w14:schemeClr w14:val="tx1"/>
            </w14:solidFill>
          </w14:textFill>
        </w:rPr>
        <w:t>～0.035。</w:t>
      </w:r>
    </w:p>
    <w:p w14:paraId="03380F2F">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在油膜漂移过程扩展中，油的源强变化也是影响油膜漂移轨迹的原因之一，引起油的源强衰减的主要原因是蒸发和分散作用。</w:t>
      </w:r>
    </w:p>
    <w:p w14:paraId="516352C1">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油溢出后，海面浮油中低碳数组分很快蒸发到大气中。其蒸发的速率取决于溢油的组分、油膜的表面积、气温、海水温度、海面状况以及太阳辐射强弱等多种因素。因此，按一般蒸发和溢油总量来估算源损，不能反映影响蒸发的上述各种条件，因为蒸发是溢油量与溢油时间的变化率，也就是蒸发随溢油迁移过程变化的。但是给出确切的蒸发计算公式也是相当困难的。为简化计算，多把蒸发理想化处理。参考Fallash和Stark求取公式：</w:t>
      </w:r>
    </w:p>
    <w:p w14:paraId="570101A9">
      <w:pPr>
        <w:ind w:firstLine="480"/>
        <w:jc w:val="center"/>
        <w:rPr>
          <w:color w:val="000000" w:themeColor="text1"/>
          <w14:textFill>
            <w14:solidFill>
              <w14:schemeClr w14:val="tx1"/>
            </w14:solidFill>
          </w14:textFill>
        </w:rPr>
      </w:pPr>
      <w:r>
        <w:rPr>
          <w:color w:val="000000" w:themeColor="text1"/>
          <w:position w:val="-18"/>
          <w14:textFill>
            <w14:solidFill>
              <w14:schemeClr w14:val="tx1"/>
            </w14:solidFill>
          </w14:textFill>
        </w:rPr>
        <w:drawing>
          <wp:inline distT="0" distB="0" distL="0" distR="0">
            <wp:extent cx="1478915" cy="302260"/>
            <wp:effectExtent l="0" t="0" r="0" b="0"/>
            <wp:docPr id="222" name="图片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222"/>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a:xfrm>
                      <a:off x="0" y="0"/>
                      <a:ext cx="1478915" cy="302260"/>
                    </a:xfrm>
                    <a:prstGeom prst="rect">
                      <a:avLst/>
                    </a:prstGeom>
                    <a:noFill/>
                    <a:ln>
                      <a:noFill/>
                    </a:ln>
                  </pic:spPr>
                </pic:pic>
              </a:graphicData>
            </a:graphic>
          </wp:inline>
        </w:drawing>
      </w:r>
    </w:p>
    <w:p w14:paraId="2157F78D">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式中，</w:t>
      </w:r>
      <w:r>
        <w:rPr>
          <w:color w:val="000000" w:themeColor="text1"/>
          <w:position w:val="-4"/>
          <w14:textFill>
            <w14:solidFill>
              <w14:schemeClr w14:val="tx1"/>
            </w14:solidFill>
          </w14:textFill>
        </w:rPr>
        <w:drawing>
          <wp:inline distT="0" distB="0" distL="0" distR="0">
            <wp:extent cx="151130" cy="158750"/>
            <wp:effectExtent l="0" t="0" r="0" b="0"/>
            <wp:docPr id="223" name="图片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223"/>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a:xfrm>
                      <a:off x="0" y="0"/>
                      <a:ext cx="151130" cy="158750"/>
                    </a:xfrm>
                    <a:prstGeom prst="rect">
                      <a:avLst/>
                    </a:prstGeom>
                    <a:noFill/>
                    <a:ln>
                      <a:noFill/>
                    </a:ln>
                  </pic:spPr>
                </pic:pic>
              </a:graphicData>
            </a:graphic>
          </wp:inline>
        </w:drawing>
      </w:r>
      <w:r>
        <w:rPr>
          <w:rFonts w:hint="eastAsia"/>
          <w:color w:val="000000" w:themeColor="text1"/>
          <w14:textFill>
            <w14:solidFill>
              <w14:schemeClr w14:val="tx1"/>
            </w14:solidFill>
          </w14:textFill>
        </w:rPr>
        <w:t>-油膜表面积；</w:t>
      </w:r>
      <w:r>
        <w:rPr>
          <w:color w:val="000000" w:themeColor="text1"/>
          <w:position w:val="-6"/>
          <w14:textFill>
            <w14:solidFill>
              <w14:schemeClr w14:val="tx1"/>
            </w14:solidFill>
          </w14:textFill>
        </w:rPr>
        <w:drawing>
          <wp:inline distT="0" distB="0" distL="0" distR="0">
            <wp:extent cx="182880" cy="182880"/>
            <wp:effectExtent l="0" t="0" r="0" b="0"/>
            <wp:docPr id="224" name="图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224"/>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a:xfrm>
                      <a:off x="0" y="0"/>
                      <a:ext cx="182880" cy="182880"/>
                    </a:xfrm>
                    <a:prstGeom prst="rect">
                      <a:avLst/>
                    </a:prstGeom>
                    <a:noFill/>
                    <a:ln>
                      <a:noFill/>
                    </a:ln>
                  </pic:spPr>
                </pic:pic>
              </a:graphicData>
            </a:graphic>
          </wp:inline>
        </w:drawing>
      </w:r>
      <w:r>
        <w:rPr>
          <w:rFonts w:hint="eastAsia"/>
          <w:color w:val="000000" w:themeColor="text1"/>
          <w14:textFill>
            <w14:solidFill>
              <w14:schemeClr w14:val="tx1"/>
            </w14:solidFill>
          </w14:textFill>
        </w:rPr>
        <w:t>为油膜上某高度的风速；</w:t>
      </w:r>
      <w:r>
        <w:rPr>
          <w:color w:val="000000" w:themeColor="text1"/>
          <w:position w:val="-12"/>
          <w14:textFill>
            <w14:solidFill>
              <w14:schemeClr w14:val="tx1"/>
            </w14:solidFill>
          </w14:textFill>
        </w:rPr>
        <w:drawing>
          <wp:inline distT="0" distB="0" distL="0" distR="0">
            <wp:extent cx="158750" cy="230505"/>
            <wp:effectExtent l="0" t="0" r="0" b="0"/>
            <wp:docPr id="225" name="图片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225"/>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a:xfrm>
                      <a:off x="0" y="0"/>
                      <a:ext cx="158750" cy="230505"/>
                    </a:xfrm>
                    <a:prstGeom prst="rect">
                      <a:avLst/>
                    </a:prstGeom>
                    <a:noFill/>
                    <a:ln>
                      <a:noFill/>
                    </a:ln>
                  </pic:spPr>
                </pic:pic>
              </a:graphicData>
            </a:graphic>
          </wp:inline>
        </w:drawing>
      </w:r>
      <w:r>
        <w:rPr>
          <w:rFonts w:hint="eastAsia"/>
          <w:color w:val="000000" w:themeColor="text1"/>
          <w14:textFill>
            <w14:solidFill>
              <w14:schemeClr w14:val="tx1"/>
            </w14:solidFill>
          </w14:textFill>
        </w:rPr>
        <w:t>为油温为</w:t>
      </w:r>
      <w:r>
        <w:rPr>
          <w:color w:val="000000" w:themeColor="text1"/>
          <w:position w:val="-6"/>
          <w14:textFill>
            <w14:solidFill>
              <w14:schemeClr w14:val="tx1"/>
            </w14:solidFill>
          </w14:textFill>
        </w:rPr>
        <w:drawing>
          <wp:inline distT="0" distB="0" distL="0" distR="0">
            <wp:extent cx="142875" cy="182880"/>
            <wp:effectExtent l="0" t="0" r="0" b="0"/>
            <wp:docPr id="226" name="图片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226"/>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a:xfrm>
                      <a:off x="0" y="0"/>
                      <a:ext cx="142875" cy="182880"/>
                    </a:xfrm>
                    <a:prstGeom prst="rect">
                      <a:avLst/>
                    </a:prstGeom>
                    <a:noFill/>
                    <a:ln>
                      <a:noFill/>
                    </a:ln>
                  </pic:spPr>
                </pic:pic>
              </a:graphicData>
            </a:graphic>
          </wp:inline>
        </w:drawing>
      </w:r>
      <w:r>
        <w:rPr>
          <w:rFonts w:hint="eastAsia"/>
          <w:color w:val="000000" w:themeColor="text1"/>
          <w14:textFill>
            <w14:solidFill>
              <w14:schemeClr w14:val="tx1"/>
            </w14:solidFill>
          </w14:textFill>
        </w:rPr>
        <w:t>时的饱和蒸气压；</w:t>
      </w:r>
      <w:r>
        <w:rPr>
          <w:color w:val="000000" w:themeColor="text1"/>
          <w:position w:val="-12"/>
          <w14:textFill>
            <w14:solidFill>
              <w14:schemeClr w14:val="tx1"/>
            </w14:solidFill>
          </w14:textFill>
        </w:rPr>
        <w:drawing>
          <wp:inline distT="0" distB="0" distL="0" distR="0">
            <wp:extent cx="182880" cy="230505"/>
            <wp:effectExtent l="0" t="0" r="0" b="0"/>
            <wp:docPr id="227" name="图片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227"/>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a:xfrm>
                      <a:off x="0" y="0"/>
                      <a:ext cx="182880" cy="230505"/>
                    </a:xfrm>
                    <a:prstGeom prst="rect">
                      <a:avLst/>
                    </a:prstGeom>
                    <a:noFill/>
                    <a:ln>
                      <a:noFill/>
                    </a:ln>
                  </pic:spPr>
                </pic:pic>
              </a:graphicData>
            </a:graphic>
          </wp:inline>
        </w:drawing>
      </w:r>
      <w:r>
        <w:rPr>
          <w:rFonts w:hint="eastAsia"/>
          <w:color w:val="000000" w:themeColor="text1"/>
          <w14:textFill>
            <w14:solidFill>
              <w14:schemeClr w14:val="tx1"/>
            </w14:solidFill>
          </w14:textFill>
        </w:rPr>
        <w:t>为大气中某高度上蒸气压；</w:t>
      </w:r>
      <w:r>
        <w:rPr>
          <w:color w:val="000000" w:themeColor="text1"/>
          <w:position w:val="-6"/>
          <w14:textFill>
            <w14:solidFill>
              <w14:schemeClr w14:val="tx1"/>
            </w14:solidFill>
          </w14:textFill>
        </w:rPr>
        <w:drawing>
          <wp:inline distT="0" distB="0" distL="0" distR="0">
            <wp:extent cx="111125" cy="142875"/>
            <wp:effectExtent l="0" t="0" r="0" b="0"/>
            <wp:docPr id="229" name="图片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229"/>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a:xfrm>
                      <a:off x="0" y="0"/>
                      <a:ext cx="111125" cy="142875"/>
                    </a:xfrm>
                    <a:prstGeom prst="rect">
                      <a:avLst/>
                    </a:prstGeom>
                    <a:noFill/>
                    <a:ln>
                      <a:noFill/>
                    </a:ln>
                  </pic:spPr>
                </pic:pic>
              </a:graphicData>
            </a:graphic>
          </wp:inline>
        </w:drawing>
      </w:r>
      <w:r>
        <w:rPr>
          <w:rFonts w:hint="eastAsia"/>
          <w:color w:val="000000" w:themeColor="text1"/>
          <w14:textFill>
            <w14:solidFill>
              <w14:schemeClr w14:val="tx1"/>
            </w14:solidFill>
          </w14:textFill>
        </w:rPr>
        <w:t>为溢油体积；</w:t>
      </w:r>
      <w:r>
        <w:rPr>
          <w:color w:val="000000" w:themeColor="text1"/>
          <w:position w:val="-6"/>
          <w14:textFill>
            <w14:solidFill>
              <w14:schemeClr w14:val="tx1"/>
            </w14:solidFill>
          </w14:textFill>
        </w:rPr>
        <w:drawing>
          <wp:inline distT="0" distB="0" distL="0" distR="0">
            <wp:extent cx="87630" cy="151130"/>
            <wp:effectExtent l="0" t="0" r="0" b="0"/>
            <wp:docPr id="230" name="图片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230"/>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a:xfrm>
                      <a:off x="0" y="0"/>
                      <a:ext cx="87630" cy="151130"/>
                    </a:xfrm>
                    <a:prstGeom prst="rect">
                      <a:avLst/>
                    </a:prstGeom>
                    <a:noFill/>
                    <a:ln>
                      <a:noFill/>
                    </a:ln>
                  </pic:spPr>
                </pic:pic>
              </a:graphicData>
            </a:graphic>
          </wp:inline>
        </w:drawing>
      </w:r>
      <w:r>
        <w:rPr>
          <w:rFonts w:hint="eastAsia"/>
          <w:color w:val="000000" w:themeColor="text1"/>
          <w14:textFill>
            <w14:solidFill>
              <w14:schemeClr w14:val="tx1"/>
            </w14:solidFill>
          </w14:textFill>
        </w:rPr>
        <w:t>为时间；</w:t>
      </w:r>
      <w:r>
        <w:rPr>
          <w:color w:val="000000" w:themeColor="text1"/>
          <w:position w:val="-10"/>
          <w14:textFill>
            <w14:solidFill>
              <w14:schemeClr w14:val="tx1"/>
            </w14:solidFill>
          </w14:textFill>
        </w:rPr>
        <w:drawing>
          <wp:inline distT="0" distB="0" distL="0" distR="0">
            <wp:extent cx="659765" cy="198755"/>
            <wp:effectExtent l="0" t="0" r="0" b="0"/>
            <wp:docPr id="231" name="图片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a:xfrm>
                      <a:off x="0" y="0"/>
                      <a:ext cx="659765" cy="198755"/>
                    </a:xfrm>
                    <a:prstGeom prst="rect">
                      <a:avLst/>
                    </a:prstGeom>
                    <a:noFill/>
                    <a:ln>
                      <a:noFill/>
                    </a:ln>
                  </pic:spPr>
                </pic:pic>
              </a:graphicData>
            </a:graphic>
          </wp:inline>
        </w:drawing>
      </w:r>
      <w:r>
        <w:rPr>
          <w:rFonts w:hint="eastAsia"/>
          <w:color w:val="000000" w:themeColor="text1"/>
          <w14:textFill>
            <w14:solidFill>
              <w14:schemeClr w14:val="tx1"/>
            </w14:solidFill>
          </w14:textFill>
        </w:rPr>
        <w:t>为常数。这一公式表示了溢油蒸发与溢油量和溢油时间有关，说明不同溢油时间有不同的蒸发率。本次按Aravamudan建议取值：</w:t>
      </w:r>
      <w:r>
        <w:rPr>
          <w:color w:val="000000" w:themeColor="text1"/>
          <w:position w:val="-10"/>
          <w14:textFill>
            <w14:solidFill>
              <w14:schemeClr w14:val="tx1"/>
            </w14:solidFill>
          </w14:textFill>
        </w:rPr>
        <w:drawing>
          <wp:inline distT="0" distB="0" distL="0" distR="0">
            <wp:extent cx="620395" cy="198755"/>
            <wp:effectExtent l="0" t="0" r="0" b="0"/>
            <wp:docPr id="232" name="图片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232"/>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a:xfrm>
                      <a:off x="0" y="0"/>
                      <a:ext cx="620395" cy="198755"/>
                    </a:xfrm>
                    <a:prstGeom prst="rect">
                      <a:avLst/>
                    </a:prstGeom>
                    <a:noFill/>
                    <a:ln>
                      <a:noFill/>
                    </a:ln>
                  </pic:spPr>
                </pic:pic>
              </a:graphicData>
            </a:graphic>
          </wp:inline>
        </w:drawing>
      </w:r>
      <w:r>
        <w:rPr>
          <w:rFonts w:hint="eastAsia"/>
          <w:color w:val="000000" w:themeColor="text1"/>
          <w14:textFill>
            <w14:solidFill>
              <w14:schemeClr w14:val="tx1"/>
            </w14:solidFill>
          </w14:textFill>
        </w:rPr>
        <w:t>。</w:t>
      </w:r>
    </w:p>
    <w:p w14:paraId="2ECE93A9">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由于破碎波的分散作用引起溢油以油滴形式进入水体，致使油膜的总油量减小的变化率为：</w:t>
      </w:r>
    </w:p>
    <w:p w14:paraId="46F9F045">
      <w:pPr>
        <w:ind w:firstLine="480"/>
        <w:jc w:val="center"/>
        <w:rPr>
          <w:color w:val="000000" w:themeColor="text1"/>
          <w14:textFill>
            <w14:solidFill>
              <w14:schemeClr w14:val="tx1"/>
            </w14:solidFill>
          </w14:textFill>
        </w:rPr>
      </w:pPr>
      <w:r>
        <w:rPr>
          <w:color w:val="000000" w:themeColor="text1"/>
          <w:position w:val="-24"/>
          <w14:textFill>
            <w14:solidFill>
              <w14:schemeClr w14:val="tx1"/>
            </w14:solidFill>
          </w14:textFill>
        </w:rPr>
        <w:drawing>
          <wp:inline distT="0" distB="0" distL="0" distR="0">
            <wp:extent cx="731520" cy="389890"/>
            <wp:effectExtent l="0" t="0" r="0" b="0"/>
            <wp:docPr id="233" name="图片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233"/>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a:xfrm>
                      <a:off x="0" y="0"/>
                      <a:ext cx="731520" cy="389890"/>
                    </a:xfrm>
                    <a:prstGeom prst="rect">
                      <a:avLst/>
                    </a:prstGeom>
                    <a:noFill/>
                    <a:ln>
                      <a:noFill/>
                    </a:ln>
                  </pic:spPr>
                </pic:pic>
              </a:graphicData>
            </a:graphic>
          </wp:inline>
        </w:drawing>
      </w:r>
    </w:p>
    <w:p w14:paraId="6A84F3BE">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式中，</w:t>
      </w:r>
      <w:r>
        <w:rPr>
          <w:color w:val="000000" w:themeColor="text1"/>
          <w:position w:val="-6"/>
          <w14:textFill>
            <w14:solidFill>
              <w14:schemeClr w14:val="tx1"/>
            </w14:solidFill>
          </w14:textFill>
        </w:rPr>
        <w:drawing>
          <wp:inline distT="0" distB="0" distL="0" distR="0">
            <wp:extent cx="182880" cy="182880"/>
            <wp:effectExtent l="0" t="0" r="0" b="0"/>
            <wp:docPr id="234" name="图片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234"/>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a:xfrm>
                      <a:off x="0" y="0"/>
                      <a:ext cx="182880" cy="182880"/>
                    </a:xfrm>
                    <a:prstGeom prst="rect">
                      <a:avLst/>
                    </a:prstGeom>
                    <a:noFill/>
                    <a:ln>
                      <a:noFill/>
                    </a:ln>
                  </pic:spPr>
                </pic:pic>
              </a:graphicData>
            </a:graphic>
          </wp:inline>
        </w:drawing>
      </w:r>
      <w:r>
        <w:rPr>
          <w:rFonts w:hint="eastAsia"/>
          <w:color w:val="000000" w:themeColor="text1"/>
          <w14:textFill>
            <w14:solidFill>
              <w14:schemeClr w14:val="tx1"/>
            </w14:solidFill>
          </w14:textFill>
        </w:rPr>
        <w:t>为单位时间中的油膜范围内破碎作用的机率。对于充分成熟的波浪，按Pierson-Moskvititz谱理论，破浪机率为常数，如令破碎波波长等于平均波波长，则可求得</w:t>
      </w:r>
      <w:r>
        <w:rPr>
          <w:color w:val="000000" w:themeColor="text1"/>
          <w:position w:val="-6"/>
          <w14:textFill>
            <w14:solidFill>
              <w14:schemeClr w14:val="tx1"/>
            </w14:solidFill>
          </w14:textFill>
        </w:rPr>
        <w:drawing>
          <wp:inline distT="0" distB="0" distL="0" distR="0">
            <wp:extent cx="182880" cy="182880"/>
            <wp:effectExtent l="0" t="0" r="0" b="0"/>
            <wp:docPr id="235" name="图片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235"/>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a:xfrm>
                      <a:off x="0" y="0"/>
                      <a:ext cx="182880" cy="182880"/>
                    </a:xfrm>
                    <a:prstGeom prst="rect">
                      <a:avLst/>
                    </a:prstGeom>
                    <a:noFill/>
                    <a:ln>
                      <a:noFill/>
                    </a:ln>
                  </pic:spPr>
                </pic:pic>
              </a:graphicData>
            </a:graphic>
          </wp:inline>
        </w:drawing>
      </w:r>
      <w:r>
        <w:rPr>
          <w:rFonts w:hint="eastAsia"/>
          <w:color w:val="000000" w:themeColor="text1"/>
          <w14:textFill>
            <w14:solidFill>
              <w14:schemeClr w14:val="tx1"/>
            </w14:solidFill>
          </w14:textFill>
        </w:rPr>
        <w:t>值如下：</w:t>
      </w:r>
      <w:r>
        <w:rPr>
          <w:color w:val="000000" w:themeColor="text1"/>
          <w:position w:val="-24"/>
          <w14:textFill>
            <w14:solidFill>
              <w14:schemeClr w14:val="tx1"/>
            </w14:solidFill>
          </w14:textFill>
        </w:rPr>
        <w:drawing>
          <wp:inline distT="0" distB="0" distL="0" distR="0">
            <wp:extent cx="914400" cy="389890"/>
            <wp:effectExtent l="0" t="0" r="0" b="0"/>
            <wp:docPr id="236" name="图片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236"/>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a:xfrm>
                      <a:off x="0" y="0"/>
                      <a:ext cx="914400" cy="389890"/>
                    </a:xfrm>
                    <a:prstGeom prst="rect">
                      <a:avLst/>
                    </a:prstGeom>
                    <a:noFill/>
                    <a:ln>
                      <a:noFill/>
                    </a:ln>
                  </pic:spPr>
                </pic:pic>
              </a:graphicData>
            </a:graphic>
          </wp:inline>
        </w:drawing>
      </w:r>
      <w:r>
        <w:rPr>
          <w:rFonts w:hint="eastAsia"/>
          <w:color w:val="000000" w:themeColor="text1"/>
          <w14:textFill>
            <w14:solidFill>
              <w14:schemeClr w14:val="tx1"/>
            </w14:solidFill>
          </w14:textFill>
        </w:rPr>
        <w:t>，式中</w:t>
      </w:r>
      <w:r>
        <w:rPr>
          <w:color w:val="000000" w:themeColor="text1"/>
          <w:position w:val="-4"/>
          <w14:textFill>
            <w14:solidFill>
              <w14:schemeClr w14:val="tx1"/>
            </w14:solidFill>
          </w14:textFill>
        </w:rPr>
        <w:drawing>
          <wp:inline distT="0" distB="0" distL="0" distR="0">
            <wp:extent cx="142875" cy="158750"/>
            <wp:effectExtent l="0" t="0" r="0" b="0"/>
            <wp:docPr id="237" name="图片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237"/>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a:xfrm>
                      <a:off x="0" y="0"/>
                      <a:ext cx="142875" cy="158750"/>
                    </a:xfrm>
                    <a:prstGeom prst="rect">
                      <a:avLst/>
                    </a:prstGeom>
                    <a:noFill/>
                    <a:ln>
                      <a:noFill/>
                    </a:ln>
                  </pic:spPr>
                </pic:pic>
              </a:graphicData>
            </a:graphic>
          </wp:inline>
        </w:drawing>
      </w:r>
      <w:r>
        <w:rPr>
          <w:rFonts w:hint="eastAsia"/>
          <w:color w:val="000000" w:themeColor="text1"/>
          <w14:textFill>
            <w14:solidFill>
              <w14:schemeClr w14:val="tx1"/>
            </w14:solidFill>
          </w14:textFill>
        </w:rPr>
        <w:t>为波浪平均周期。</w:t>
      </w:r>
    </w:p>
    <w:p w14:paraId="7768B033">
      <w:pPr>
        <w:pStyle w:val="6"/>
        <w:ind w:left="0"/>
        <w:rPr>
          <w:color w:val="000000" w:themeColor="text1"/>
          <w14:textFill>
            <w14:solidFill>
              <w14:schemeClr w14:val="tx1"/>
            </w14:solidFill>
          </w14:textFill>
        </w:rPr>
      </w:pPr>
      <w:r>
        <w:rPr>
          <w:rFonts w:hint="eastAsia"/>
          <w:color w:val="000000" w:themeColor="text1"/>
          <w14:textFill>
            <w14:solidFill>
              <w14:schemeClr w14:val="tx1"/>
            </w14:solidFill>
          </w14:textFill>
        </w:rPr>
        <w:t>溢油模型计算结果</w:t>
      </w:r>
    </w:p>
    <w:p w14:paraId="364B93A7">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根据《水上溢油环境风险评估技术导则》（JT/T1143-2017），已运营的水运工程项目最大可信水上船舶溢油事故溢油量按照实际航行和作业船舶中载油量最大船型的1个货油边舱或燃料边舱容积确定，本项目运输船型为</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万吨级船舶，非货油运输船型，可能最大事故泄漏量取</w:t>
      </w:r>
      <w:r>
        <w:rPr>
          <w:color w:val="000000" w:themeColor="text1"/>
          <w14:textFill>
            <w14:solidFill>
              <w14:schemeClr w14:val="tx1"/>
            </w14:solidFill>
          </w14:textFill>
        </w:rPr>
        <w:t>930.13</w:t>
      </w:r>
      <w:r>
        <w:rPr>
          <w:rFonts w:hint="eastAsia"/>
          <w:color w:val="000000" w:themeColor="text1"/>
          <w14:textFill>
            <w14:solidFill>
              <w14:schemeClr w14:val="tx1"/>
            </w14:solidFill>
          </w14:textFill>
        </w:rPr>
        <w:t>t（具体见表5.4-7）.</w:t>
      </w:r>
    </w:p>
    <w:p w14:paraId="611D35C7">
      <w:pPr>
        <w:ind w:firstLine="48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假设本次溢油发生在钦州港金鼓江航道与本项目回旋水域附近。</w:t>
      </w:r>
      <w:r>
        <w:rPr>
          <w:color w:val="000000" w:themeColor="text1"/>
          <w:u w:val="single"/>
          <w14:textFill>
            <w14:solidFill>
              <w14:schemeClr w14:val="tx1"/>
            </w14:solidFill>
          </w14:textFill>
        </w:rPr>
        <w:t>对</w:t>
      </w:r>
      <w:r>
        <w:rPr>
          <w:rFonts w:hint="eastAsia"/>
          <w:color w:val="000000" w:themeColor="text1"/>
          <w:u w:val="single"/>
          <w14:textFill>
            <w14:solidFill>
              <w14:schemeClr w14:val="tx1"/>
            </w14:solidFill>
          </w14:textFill>
        </w:rPr>
        <w:t>于</w:t>
      </w:r>
      <w:r>
        <w:rPr>
          <w:color w:val="000000" w:themeColor="text1"/>
          <w:u w:val="single"/>
          <w14:textFill>
            <w14:solidFill>
              <w14:schemeClr w14:val="tx1"/>
            </w14:solidFill>
          </w14:textFill>
        </w:rPr>
        <w:t>溢油而言，</w:t>
      </w:r>
      <w:r>
        <w:rPr>
          <w:rFonts w:hint="eastAsia"/>
          <w:color w:val="000000" w:themeColor="text1"/>
          <w:u w:val="single"/>
          <w14:textFill>
            <w14:solidFill>
              <w14:schemeClr w14:val="tx1"/>
            </w14:solidFill>
          </w14:textFill>
        </w:rPr>
        <w:t>风</w:t>
      </w:r>
      <w:r>
        <w:rPr>
          <w:color w:val="000000" w:themeColor="text1"/>
          <w:u w:val="single"/>
          <w14:textFill>
            <w14:solidFill>
              <w14:schemeClr w14:val="tx1"/>
            </w14:solidFill>
          </w14:textFill>
        </w:rPr>
        <w:t>是</w:t>
      </w:r>
      <w:r>
        <w:rPr>
          <w:rFonts w:hint="eastAsia"/>
          <w:color w:val="000000" w:themeColor="text1"/>
          <w:u w:val="single"/>
          <w14:textFill>
            <w14:solidFill>
              <w14:schemeClr w14:val="tx1"/>
            </w14:solidFill>
          </w14:textFill>
        </w:rPr>
        <w:t>一种重要的</w:t>
      </w:r>
      <w:r>
        <w:rPr>
          <w:color w:val="000000" w:themeColor="text1"/>
          <w:u w:val="single"/>
          <w14:textFill>
            <w14:solidFill>
              <w14:schemeClr w14:val="tx1"/>
            </w14:solidFill>
          </w14:textFill>
        </w:rPr>
        <w:t>驱动力</w:t>
      </w:r>
      <w:r>
        <w:rPr>
          <w:rFonts w:hint="eastAsia"/>
          <w:color w:val="000000" w:themeColor="text1"/>
          <w:u w:val="single"/>
          <w14:textFill>
            <w14:solidFill>
              <w14:schemeClr w14:val="tx1"/>
            </w14:solidFill>
          </w14:textFill>
        </w:rPr>
        <w:t>，本次计算</w:t>
      </w:r>
      <w:r>
        <w:rPr>
          <w:color w:val="000000" w:themeColor="text1"/>
          <w:u w:val="single"/>
          <w14:textFill>
            <w14:solidFill>
              <w14:schemeClr w14:val="tx1"/>
            </w14:solidFill>
          </w14:textFill>
        </w:rPr>
        <w:t>选取区域代表性的冬季主导风向、夏季主导风向</w:t>
      </w:r>
      <w:r>
        <w:rPr>
          <w:rFonts w:hint="eastAsia"/>
          <w:color w:val="000000" w:themeColor="text1"/>
          <w:u w:val="single"/>
          <w14:textFill>
            <w14:solidFill>
              <w14:schemeClr w14:val="tx1"/>
            </w14:solidFill>
          </w14:textFill>
        </w:rPr>
        <w:t>、</w:t>
      </w:r>
      <w:r>
        <w:rPr>
          <w:color w:val="000000" w:themeColor="text1"/>
          <w:u w:val="single"/>
          <w14:textFill>
            <w14:solidFill>
              <w14:schemeClr w14:val="tx1"/>
            </w14:solidFill>
          </w14:textFill>
        </w:rPr>
        <w:t>不利风向等</w:t>
      </w:r>
      <w:r>
        <w:rPr>
          <w:rFonts w:hint="eastAsia"/>
          <w:color w:val="000000" w:themeColor="text1"/>
          <w:u w:val="single"/>
          <w14:textFill>
            <w14:solidFill>
              <w14:schemeClr w14:val="tx1"/>
            </w14:solidFill>
          </w14:textFill>
        </w:rPr>
        <w:t>6种</w:t>
      </w:r>
      <w:r>
        <w:rPr>
          <w:color w:val="000000" w:themeColor="text1"/>
          <w:u w:val="single"/>
          <w14:textFill>
            <w14:solidFill>
              <w14:schemeClr w14:val="tx1"/>
            </w14:solidFill>
          </w14:textFill>
        </w:rPr>
        <w:t>在不同涨落潮态构成典型风险条件，具体见表</w:t>
      </w:r>
      <w:r>
        <w:rPr>
          <w:rFonts w:hint="eastAsia"/>
          <w:color w:val="000000" w:themeColor="text1"/>
          <w:u w:val="single"/>
          <w14:textFill>
            <w14:solidFill>
              <w14:schemeClr w14:val="tx1"/>
            </w14:solidFill>
          </w14:textFill>
        </w:rPr>
        <w:t>5.5-</w:t>
      </w:r>
      <w:r>
        <w:rPr>
          <w:color w:val="000000" w:themeColor="text1"/>
          <w:u w:val="single"/>
          <w14:textFill>
            <w14:solidFill>
              <w14:schemeClr w14:val="tx1"/>
            </w14:solidFill>
          </w14:textFill>
        </w:rPr>
        <w:t>2</w:t>
      </w:r>
      <w:r>
        <w:rPr>
          <w:rFonts w:hint="eastAsia"/>
          <w:color w:val="000000" w:themeColor="text1"/>
          <w:u w:val="single"/>
          <w14:textFill>
            <w14:solidFill>
              <w14:schemeClr w14:val="tx1"/>
            </w14:solidFill>
          </w14:textFill>
        </w:rPr>
        <w:t>。本次预测按一级环境风险评价等级进行预测，即预测溢油发生7</w:t>
      </w:r>
      <w:r>
        <w:rPr>
          <w:color w:val="000000" w:themeColor="text1"/>
          <w:u w:val="single"/>
          <w14:textFill>
            <w14:solidFill>
              <w14:schemeClr w14:val="tx1"/>
            </w14:solidFill>
          </w14:textFill>
        </w:rPr>
        <w:t>2</w:t>
      </w:r>
      <w:r>
        <w:rPr>
          <w:rFonts w:hint="eastAsia"/>
          <w:color w:val="000000" w:themeColor="text1"/>
          <w:u w:val="single"/>
          <w14:textFill>
            <w14:solidFill>
              <w14:schemeClr w14:val="tx1"/>
            </w14:solidFill>
          </w14:textFill>
        </w:rPr>
        <w:t>小时对海洋环境的影响。</w:t>
      </w:r>
    </w:p>
    <w:p w14:paraId="6ED01954">
      <w:pPr>
        <w:pStyle w:val="7"/>
        <w:rPr>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 </w:t>
      </w:r>
      <w:r>
        <w:rPr>
          <w:color w:val="000000" w:themeColor="text1"/>
          <w14:textFill>
            <w14:solidFill>
              <w14:schemeClr w14:val="tx1"/>
            </w14:solidFill>
          </w14:textFill>
        </w:rPr>
        <w:t>溢油事故情景参数</w:t>
      </w:r>
    </w:p>
    <w:tbl>
      <w:tblPr>
        <w:tblStyle w:val="43"/>
        <w:tblW w:w="8292" w:type="dxa"/>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1289"/>
        <w:gridCol w:w="1478"/>
        <w:gridCol w:w="959"/>
        <w:gridCol w:w="2182"/>
        <w:gridCol w:w="1435"/>
        <w:gridCol w:w="949"/>
      </w:tblGrid>
      <w:tr w14:paraId="1D55B7A2">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cantSplit/>
          <w:trHeight w:val="467" w:hRule="atLeast"/>
          <w:jc w:val="center"/>
        </w:trPr>
        <w:tc>
          <w:tcPr>
            <w:tcW w:w="1289" w:type="dxa"/>
            <w:vAlign w:val="center"/>
          </w:tcPr>
          <w:p w14:paraId="55229104">
            <w:pPr>
              <w:spacing w:line="240" w:lineRule="atLeast"/>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溢油位置</w:t>
            </w:r>
          </w:p>
        </w:tc>
        <w:tc>
          <w:tcPr>
            <w:tcW w:w="1478" w:type="dxa"/>
            <w:vAlign w:val="center"/>
          </w:tcPr>
          <w:p w14:paraId="67EC5F8B">
            <w:pPr>
              <w:spacing w:line="240" w:lineRule="atLeast"/>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溢油规模</w:t>
            </w:r>
          </w:p>
        </w:tc>
        <w:tc>
          <w:tcPr>
            <w:tcW w:w="959" w:type="dxa"/>
            <w:vAlign w:val="center"/>
          </w:tcPr>
          <w:p w14:paraId="4943BEA9">
            <w:pPr>
              <w:spacing w:line="240" w:lineRule="atLeast"/>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油种</w:t>
            </w:r>
          </w:p>
        </w:tc>
        <w:tc>
          <w:tcPr>
            <w:tcW w:w="2182" w:type="dxa"/>
            <w:vAlign w:val="center"/>
          </w:tcPr>
          <w:p w14:paraId="26B8FA96">
            <w:pPr>
              <w:spacing w:line="240" w:lineRule="atLeast"/>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典型风向</w:t>
            </w:r>
          </w:p>
        </w:tc>
        <w:tc>
          <w:tcPr>
            <w:tcW w:w="1435" w:type="dxa"/>
            <w:vAlign w:val="center"/>
          </w:tcPr>
          <w:p w14:paraId="0AA89151">
            <w:pPr>
              <w:spacing w:line="240" w:lineRule="atLeast"/>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代表风速m/s</w:t>
            </w:r>
          </w:p>
        </w:tc>
        <w:tc>
          <w:tcPr>
            <w:tcW w:w="949" w:type="dxa"/>
            <w:vAlign w:val="center"/>
          </w:tcPr>
          <w:p w14:paraId="6D6382F9">
            <w:pPr>
              <w:spacing w:line="240" w:lineRule="atLeast"/>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涨落潮</w:t>
            </w:r>
          </w:p>
        </w:tc>
      </w:tr>
      <w:tr w14:paraId="526A0641">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cantSplit/>
          <w:trHeight w:val="429" w:hRule="atLeast"/>
          <w:jc w:val="center"/>
        </w:trPr>
        <w:tc>
          <w:tcPr>
            <w:tcW w:w="1289" w:type="dxa"/>
            <w:vMerge w:val="restart"/>
            <w:vAlign w:val="center"/>
          </w:tcPr>
          <w:p w14:paraId="6EABB884">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本项目回旋水域与金鼓江航道交汇处附近</w:t>
            </w:r>
          </w:p>
        </w:tc>
        <w:tc>
          <w:tcPr>
            <w:tcW w:w="1478" w:type="dxa"/>
            <w:vMerge w:val="restart"/>
            <w:vAlign w:val="center"/>
          </w:tcPr>
          <w:p w14:paraId="6F3743F1">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930.13</w:t>
            </w:r>
            <w:r>
              <w:rPr>
                <w:rFonts w:hint="eastAsia"/>
                <w:color w:val="000000" w:themeColor="text1"/>
                <w:sz w:val="21"/>
                <w:szCs w:val="21"/>
                <w14:textFill>
                  <w14:solidFill>
                    <w14:schemeClr w14:val="tx1"/>
                  </w14:solidFill>
                </w14:textFill>
              </w:rPr>
              <w:t>t，</w:t>
            </w:r>
            <w:r>
              <w:rPr>
                <w:color w:val="000000" w:themeColor="text1"/>
                <w:sz w:val="21"/>
                <w:szCs w:val="21"/>
                <w14:textFill>
                  <w14:solidFill>
                    <w14:schemeClr w14:val="tx1"/>
                  </w14:solidFill>
                </w14:textFill>
              </w:rPr>
              <w:t>1</w:t>
            </w:r>
            <w:r>
              <w:rPr>
                <w:rFonts w:hint="eastAsia"/>
                <w:color w:val="000000" w:themeColor="text1"/>
                <w:sz w:val="21"/>
                <w:szCs w:val="21"/>
                <w14:textFill>
                  <w14:solidFill>
                    <w14:schemeClr w14:val="tx1"/>
                  </w14:solidFill>
                </w14:textFill>
              </w:rPr>
              <w:t>小时</w:t>
            </w:r>
          </w:p>
        </w:tc>
        <w:tc>
          <w:tcPr>
            <w:tcW w:w="959" w:type="dxa"/>
            <w:vMerge w:val="restart"/>
            <w:vAlign w:val="center"/>
          </w:tcPr>
          <w:p w14:paraId="61A273B0">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燃料油</w:t>
            </w:r>
            <w:r>
              <w:rPr>
                <w:rFonts w:hint="eastAsia"/>
                <w:color w:val="000000" w:themeColor="text1"/>
                <w:sz w:val="21"/>
                <w:szCs w:val="21"/>
                <w14:textFill>
                  <w14:solidFill>
                    <w14:schemeClr w14:val="tx1"/>
                  </w14:solidFill>
                </w14:textFill>
              </w:rPr>
              <w:t>（生物柴油）</w:t>
            </w:r>
          </w:p>
        </w:tc>
        <w:tc>
          <w:tcPr>
            <w:tcW w:w="2182" w:type="dxa"/>
            <w:vMerge w:val="restart"/>
            <w:vAlign w:val="center"/>
          </w:tcPr>
          <w:p w14:paraId="6E9ED19E">
            <w:pPr>
              <w:spacing w:line="240" w:lineRule="atLeast"/>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N</w:t>
            </w:r>
            <w:r>
              <w:rPr>
                <w:rFonts w:hint="eastAsia"/>
                <w:color w:val="000000" w:themeColor="text1"/>
                <w:sz w:val="21"/>
                <w:szCs w:val="21"/>
                <w14:textFill>
                  <w14:solidFill>
                    <w14:schemeClr w14:val="tx1"/>
                  </w14:solidFill>
                </w14:textFill>
              </w:rPr>
              <w:t>风，冬</w:t>
            </w:r>
            <w:r>
              <w:rPr>
                <w:color w:val="000000" w:themeColor="text1"/>
                <w:sz w:val="21"/>
                <w:szCs w:val="21"/>
                <w14:textFill>
                  <w14:solidFill>
                    <w14:schemeClr w14:val="tx1"/>
                  </w14:solidFill>
                </w14:textFill>
              </w:rPr>
              <w:t>季主导风</w:t>
            </w:r>
          </w:p>
        </w:tc>
        <w:tc>
          <w:tcPr>
            <w:tcW w:w="1435" w:type="dxa"/>
            <w:vMerge w:val="restart"/>
            <w:vAlign w:val="center"/>
          </w:tcPr>
          <w:p w14:paraId="6B153807">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6</w:t>
            </w:r>
            <w:r>
              <w:rPr>
                <w:rFonts w:hint="eastAsia"/>
                <w:color w:val="000000" w:themeColor="text1"/>
                <w:sz w:val="21"/>
                <w:szCs w:val="21"/>
                <w14:textFill>
                  <w14:solidFill>
                    <w14:schemeClr w14:val="tx1"/>
                  </w14:solidFill>
                </w14:textFill>
              </w:rPr>
              <w:t>.7</w:t>
            </w:r>
          </w:p>
        </w:tc>
        <w:tc>
          <w:tcPr>
            <w:tcW w:w="949" w:type="dxa"/>
            <w:vAlign w:val="center"/>
          </w:tcPr>
          <w:p w14:paraId="1D41113D">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涨潮</w:t>
            </w:r>
          </w:p>
        </w:tc>
      </w:tr>
      <w:tr w14:paraId="7064E32E">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cantSplit/>
          <w:trHeight w:val="401" w:hRule="atLeast"/>
          <w:jc w:val="center"/>
        </w:trPr>
        <w:tc>
          <w:tcPr>
            <w:tcW w:w="1289" w:type="dxa"/>
            <w:vMerge w:val="continue"/>
            <w:vAlign w:val="center"/>
          </w:tcPr>
          <w:p w14:paraId="56FC8944">
            <w:pPr>
              <w:spacing w:line="240" w:lineRule="atLeast"/>
              <w:ind w:firstLine="0" w:firstLineChars="0"/>
              <w:jc w:val="center"/>
              <w:rPr>
                <w:color w:val="000000" w:themeColor="text1"/>
                <w:sz w:val="21"/>
                <w:szCs w:val="21"/>
                <w14:textFill>
                  <w14:solidFill>
                    <w14:schemeClr w14:val="tx1"/>
                  </w14:solidFill>
                </w14:textFill>
              </w:rPr>
            </w:pPr>
          </w:p>
        </w:tc>
        <w:tc>
          <w:tcPr>
            <w:tcW w:w="1478" w:type="dxa"/>
            <w:vMerge w:val="continue"/>
            <w:vAlign w:val="center"/>
          </w:tcPr>
          <w:p w14:paraId="26D218C4">
            <w:pPr>
              <w:spacing w:line="240" w:lineRule="atLeast"/>
              <w:ind w:firstLine="0" w:firstLineChars="0"/>
              <w:jc w:val="center"/>
              <w:rPr>
                <w:color w:val="000000" w:themeColor="text1"/>
                <w:sz w:val="21"/>
                <w:szCs w:val="21"/>
                <w14:textFill>
                  <w14:solidFill>
                    <w14:schemeClr w14:val="tx1"/>
                  </w14:solidFill>
                </w14:textFill>
              </w:rPr>
            </w:pPr>
          </w:p>
        </w:tc>
        <w:tc>
          <w:tcPr>
            <w:tcW w:w="959" w:type="dxa"/>
            <w:vMerge w:val="continue"/>
            <w:vAlign w:val="center"/>
          </w:tcPr>
          <w:p w14:paraId="27B364DE">
            <w:pPr>
              <w:spacing w:line="240" w:lineRule="atLeast"/>
              <w:ind w:firstLine="0" w:firstLineChars="0"/>
              <w:jc w:val="center"/>
              <w:rPr>
                <w:color w:val="000000" w:themeColor="text1"/>
                <w:sz w:val="21"/>
                <w:szCs w:val="21"/>
                <w14:textFill>
                  <w14:solidFill>
                    <w14:schemeClr w14:val="tx1"/>
                  </w14:solidFill>
                </w14:textFill>
              </w:rPr>
            </w:pPr>
          </w:p>
        </w:tc>
        <w:tc>
          <w:tcPr>
            <w:tcW w:w="2182" w:type="dxa"/>
            <w:vMerge w:val="continue"/>
            <w:vAlign w:val="center"/>
          </w:tcPr>
          <w:p w14:paraId="3FCC2131">
            <w:pPr>
              <w:spacing w:line="240" w:lineRule="atLeast"/>
              <w:ind w:firstLine="0" w:firstLineChars="0"/>
              <w:jc w:val="center"/>
              <w:rPr>
                <w:color w:val="000000" w:themeColor="text1"/>
                <w:sz w:val="21"/>
                <w:szCs w:val="21"/>
                <w14:textFill>
                  <w14:solidFill>
                    <w14:schemeClr w14:val="tx1"/>
                  </w14:solidFill>
                </w14:textFill>
              </w:rPr>
            </w:pPr>
          </w:p>
        </w:tc>
        <w:tc>
          <w:tcPr>
            <w:tcW w:w="1435" w:type="dxa"/>
            <w:vMerge w:val="continue"/>
            <w:vAlign w:val="center"/>
          </w:tcPr>
          <w:p w14:paraId="00BA7B0B">
            <w:pPr>
              <w:spacing w:line="240" w:lineRule="atLeast"/>
              <w:ind w:firstLine="0" w:firstLineChars="0"/>
              <w:jc w:val="center"/>
              <w:rPr>
                <w:color w:val="000000" w:themeColor="text1"/>
                <w:sz w:val="21"/>
                <w:szCs w:val="21"/>
                <w14:textFill>
                  <w14:solidFill>
                    <w14:schemeClr w14:val="tx1"/>
                  </w14:solidFill>
                </w14:textFill>
              </w:rPr>
            </w:pPr>
          </w:p>
        </w:tc>
        <w:tc>
          <w:tcPr>
            <w:tcW w:w="949" w:type="dxa"/>
            <w:vAlign w:val="center"/>
          </w:tcPr>
          <w:p w14:paraId="714BFEA2">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落潮</w:t>
            </w:r>
          </w:p>
        </w:tc>
      </w:tr>
      <w:tr w14:paraId="2D5C8421">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cantSplit/>
          <w:trHeight w:val="639" w:hRule="atLeast"/>
          <w:jc w:val="center"/>
        </w:trPr>
        <w:tc>
          <w:tcPr>
            <w:tcW w:w="1289" w:type="dxa"/>
            <w:vMerge w:val="continue"/>
            <w:vAlign w:val="center"/>
          </w:tcPr>
          <w:p w14:paraId="2032FDD8">
            <w:pPr>
              <w:spacing w:line="240" w:lineRule="atLeast"/>
              <w:ind w:firstLine="0" w:firstLineChars="0"/>
              <w:jc w:val="center"/>
              <w:rPr>
                <w:color w:val="000000" w:themeColor="text1"/>
                <w:sz w:val="21"/>
                <w:szCs w:val="21"/>
                <w14:textFill>
                  <w14:solidFill>
                    <w14:schemeClr w14:val="tx1"/>
                  </w14:solidFill>
                </w14:textFill>
              </w:rPr>
            </w:pPr>
          </w:p>
        </w:tc>
        <w:tc>
          <w:tcPr>
            <w:tcW w:w="1478" w:type="dxa"/>
            <w:vMerge w:val="continue"/>
            <w:vAlign w:val="center"/>
          </w:tcPr>
          <w:p w14:paraId="2C963257">
            <w:pPr>
              <w:spacing w:line="240" w:lineRule="atLeast"/>
              <w:ind w:firstLine="0" w:firstLineChars="0"/>
              <w:jc w:val="center"/>
              <w:rPr>
                <w:color w:val="000000" w:themeColor="text1"/>
                <w:sz w:val="21"/>
                <w:szCs w:val="21"/>
                <w14:textFill>
                  <w14:solidFill>
                    <w14:schemeClr w14:val="tx1"/>
                  </w14:solidFill>
                </w14:textFill>
              </w:rPr>
            </w:pPr>
          </w:p>
        </w:tc>
        <w:tc>
          <w:tcPr>
            <w:tcW w:w="959" w:type="dxa"/>
            <w:vMerge w:val="continue"/>
            <w:vAlign w:val="center"/>
          </w:tcPr>
          <w:p w14:paraId="6BAA7240">
            <w:pPr>
              <w:spacing w:line="240" w:lineRule="atLeast"/>
              <w:ind w:firstLine="0" w:firstLineChars="0"/>
              <w:jc w:val="center"/>
              <w:rPr>
                <w:color w:val="000000" w:themeColor="text1"/>
                <w:sz w:val="21"/>
                <w:szCs w:val="21"/>
                <w14:textFill>
                  <w14:solidFill>
                    <w14:schemeClr w14:val="tx1"/>
                  </w14:solidFill>
                </w14:textFill>
              </w:rPr>
            </w:pPr>
          </w:p>
        </w:tc>
        <w:tc>
          <w:tcPr>
            <w:tcW w:w="2182" w:type="dxa"/>
            <w:vMerge w:val="restart"/>
            <w:vAlign w:val="center"/>
          </w:tcPr>
          <w:p w14:paraId="58FED5CA">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S风，夏季主导</w:t>
            </w:r>
            <w:r>
              <w:rPr>
                <w:color w:val="000000" w:themeColor="text1"/>
                <w:sz w:val="21"/>
                <w:szCs w:val="21"/>
                <w14:textFill>
                  <w14:solidFill>
                    <w14:schemeClr w14:val="tx1"/>
                  </w14:solidFill>
                </w14:textFill>
              </w:rPr>
              <w:t>风向</w:t>
            </w:r>
          </w:p>
        </w:tc>
        <w:tc>
          <w:tcPr>
            <w:tcW w:w="1435" w:type="dxa"/>
            <w:vMerge w:val="restart"/>
            <w:vAlign w:val="center"/>
          </w:tcPr>
          <w:p w14:paraId="2D6A33ED">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5.</w:t>
            </w:r>
            <w:r>
              <w:rPr>
                <w:rFonts w:hint="eastAsia"/>
                <w:color w:val="000000" w:themeColor="text1"/>
                <w:sz w:val="21"/>
                <w:szCs w:val="21"/>
                <w14:textFill>
                  <w14:solidFill>
                    <w14:schemeClr w14:val="tx1"/>
                  </w14:solidFill>
                </w14:textFill>
              </w:rPr>
              <w:t>1</w:t>
            </w:r>
          </w:p>
        </w:tc>
        <w:tc>
          <w:tcPr>
            <w:tcW w:w="949" w:type="dxa"/>
            <w:vAlign w:val="center"/>
          </w:tcPr>
          <w:p w14:paraId="1A1D77C0">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涨潮</w:t>
            </w:r>
          </w:p>
        </w:tc>
      </w:tr>
      <w:tr w14:paraId="7F490552">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cantSplit/>
          <w:trHeight w:val="194" w:hRule="atLeast"/>
          <w:jc w:val="center"/>
        </w:trPr>
        <w:tc>
          <w:tcPr>
            <w:tcW w:w="1289" w:type="dxa"/>
            <w:vMerge w:val="continue"/>
            <w:vAlign w:val="center"/>
          </w:tcPr>
          <w:p w14:paraId="0EE13861">
            <w:pPr>
              <w:spacing w:line="240" w:lineRule="atLeast"/>
              <w:ind w:firstLine="0" w:firstLineChars="0"/>
              <w:jc w:val="center"/>
              <w:rPr>
                <w:color w:val="000000" w:themeColor="text1"/>
                <w:sz w:val="21"/>
                <w:szCs w:val="21"/>
                <w14:textFill>
                  <w14:solidFill>
                    <w14:schemeClr w14:val="tx1"/>
                  </w14:solidFill>
                </w14:textFill>
              </w:rPr>
            </w:pPr>
          </w:p>
        </w:tc>
        <w:tc>
          <w:tcPr>
            <w:tcW w:w="1478" w:type="dxa"/>
            <w:vMerge w:val="continue"/>
            <w:vAlign w:val="center"/>
          </w:tcPr>
          <w:p w14:paraId="52056836">
            <w:pPr>
              <w:spacing w:line="240" w:lineRule="atLeast"/>
              <w:ind w:firstLine="0" w:firstLineChars="0"/>
              <w:jc w:val="center"/>
              <w:rPr>
                <w:color w:val="000000" w:themeColor="text1"/>
                <w:sz w:val="21"/>
                <w:szCs w:val="21"/>
                <w14:textFill>
                  <w14:solidFill>
                    <w14:schemeClr w14:val="tx1"/>
                  </w14:solidFill>
                </w14:textFill>
              </w:rPr>
            </w:pPr>
          </w:p>
        </w:tc>
        <w:tc>
          <w:tcPr>
            <w:tcW w:w="959" w:type="dxa"/>
            <w:vMerge w:val="continue"/>
            <w:vAlign w:val="center"/>
          </w:tcPr>
          <w:p w14:paraId="04B3131D">
            <w:pPr>
              <w:spacing w:line="240" w:lineRule="atLeast"/>
              <w:ind w:firstLine="0" w:firstLineChars="0"/>
              <w:jc w:val="center"/>
              <w:rPr>
                <w:color w:val="000000" w:themeColor="text1"/>
                <w:sz w:val="21"/>
                <w:szCs w:val="21"/>
                <w14:textFill>
                  <w14:solidFill>
                    <w14:schemeClr w14:val="tx1"/>
                  </w14:solidFill>
                </w14:textFill>
              </w:rPr>
            </w:pPr>
          </w:p>
        </w:tc>
        <w:tc>
          <w:tcPr>
            <w:tcW w:w="2182" w:type="dxa"/>
            <w:vMerge w:val="continue"/>
            <w:vAlign w:val="center"/>
          </w:tcPr>
          <w:p w14:paraId="6BD3AFF9">
            <w:pPr>
              <w:spacing w:line="240" w:lineRule="atLeast"/>
              <w:ind w:firstLine="0" w:firstLineChars="0"/>
              <w:jc w:val="center"/>
              <w:rPr>
                <w:color w:val="000000" w:themeColor="text1"/>
                <w:sz w:val="21"/>
                <w:szCs w:val="21"/>
                <w14:textFill>
                  <w14:solidFill>
                    <w14:schemeClr w14:val="tx1"/>
                  </w14:solidFill>
                </w14:textFill>
              </w:rPr>
            </w:pPr>
          </w:p>
        </w:tc>
        <w:tc>
          <w:tcPr>
            <w:tcW w:w="1435" w:type="dxa"/>
            <w:vMerge w:val="continue"/>
            <w:vAlign w:val="center"/>
          </w:tcPr>
          <w:p w14:paraId="6BB34973">
            <w:pPr>
              <w:spacing w:line="240" w:lineRule="atLeast"/>
              <w:ind w:firstLine="0" w:firstLineChars="0"/>
              <w:jc w:val="center"/>
              <w:rPr>
                <w:color w:val="000000" w:themeColor="text1"/>
                <w:sz w:val="21"/>
                <w:szCs w:val="21"/>
                <w14:textFill>
                  <w14:solidFill>
                    <w14:schemeClr w14:val="tx1"/>
                  </w14:solidFill>
                </w14:textFill>
              </w:rPr>
            </w:pPr>
          </w:p>
        </w:tc>
        <w:tc>
          <w:tcPr>
            <w:tcW w:w="949" w:type="dxa"/>
            <w:vAlign w:val="center"/>
          </w:tcPr>
          <w:p w14:paraId="4E29F127">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落潮</w:t>
            </w:r>
          </w:p>
        </w:tc>
      </w:tr>
      <w:tr w14:paraId="19C5185E">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cantSplit/>
          <w:trHeight w:val="194" w:hRule="atLeast"/>
          <w:jc w:val="center"/>
        </w:trPr>
        <w:tc>
          <w:tcPr>
            <w:tcW w:w="1289" w:type="dxa"/>
            <w:vMerge w:val="continue"/>
            <w:vAlign w:val="center"/>
          </w:tcPr>
          <w:p w14:paraId="234140D1">
            <w:pPr>
              <w:spacing w:line="240" w:lineRule="atLeast"/>
              <w:ind w:firstLine="0" w:firstLineChars="0"/>
              <w:jc w:val="center"/>
              <w:rPr>
                <w:color w:val="000000" w:themeColor="text1"/>
                <w:sz w:val="21"/>
                <w:szCs w:val="21"/>
                <w14:textFill>
                  <w14:solidFill>
                    <w14:schemeClr w14:val="tx1"/>
                  </w14:solidFill>
                </w14:textFill>
              </w:rPr>
            </w:pPr>
          </w:p>
        </w:tc>
        <w:tc>
          <w:tcPr>
            <w:tcW w:w="1478" w:type="dxa"/>
            <w:vMerge w:val="continue"/>
            <w:vAlign w:val="center"/>
          </w:tcPr>
          <w:p w14:paraId="0428ABFC">
            <w:pPr>
              <w:spacing w:line="240" w:lineRule="atLeast"/>
              <w:ind w:firstLine="0" w:firstLineChars="0"/>
              <w:jc w:val="center"/>
              <w:rPr>
                <w:color w:val="000000" w:themeColor="text1"/>
                <w:sz w:val="21"/>
                <w:szCs w:val="21"/>
                <w14:textFill>
                  <w14:solidFill>
                    <w14:schemeClr w14:val="tx1"/>
                  </w14:solidFill>
                </w14:textFill>
              </w:rPr>
            </w:pPr>
          </w:p>
        </w:tc>
        <w:tc>
          <w:tcPr>
            <w:tcW w:w="959" w:type="dxa"/>
            <w:vMerge w:val="continue"/>
            <w:vAlign w:val="center"/>
          </w:tcPr>
          <w:p w14:paraId="0251D9D5">
            <w:pPr>
              <w:spacing w:line="240" w:lineRule="atLeast"/>
              <w:ind w:firstLine="0" w:firstLineChars="0"/>
              <w:jc w:val="center"/>
              <w:rPr>
                <w:color w:val="000000" w:themeColor="text1"/>
                <w:sz w:val="21"/>
                <w:szCs w:val="21"/>
                <w14:textFill>
                  <w14:solidFill>
                    <w14:schemeClr w14:val="tx1"/>
                  </w14:solidFill>
                </w14:textFill>
              </w:rPr>
            </w:pPr>
          </w:p>
        </w:tc>
        <w:tc>
          <w:tcPr>
            <w:tcW w:w="2182" w:type="dxa"/>
            <w:vMerge w:val="restart"/>
            <w:vAlign w:val="center"/>
          </w:tcPr>
          <w:p w14:paraId="442BD643">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NE风，不利风向</w:t>
            </w:r>
          </w:p>
        </w:tc>
        <w:tc>
          <w:tcPr>
            <w:tcW w:w="1435" w:type="dxa"/>
            <w:vMerge w:val="restart"/>
            <w:vAlign w:val="center"/>
          </w:tcPr>
          <w:p w14:paraId="65E65F02">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6.9</w:t>
            </w:r>
          </w:p>
        </w:tc>
        <w:tc>
          <w:tcPr>
            <w:tcW w:w="949" w:type="dxa"/>
            <w:vAlign w:val="center"/>
          </w:tcPr>
          <w:p w14:paraId="0023CB6F">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涨潮</w:t>
            </w:r>
          </w:p>
        </w:tc>
      </w:tr>
      <w:tr w14:paraId="74BDA2E6">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cantSplit/>
          <w:trHeight w:val="410" w:hRule="atLeast"/>
          <w:jc w:val="center"/>
        </w:trPr>
        <w:tc>
          <w:tcPr>
            <w:tcW w:w="1289" w:type="dxa"/>
            <w:vMerge w:val="continue"/>
            <w:vAlign w:val="center"/>
          </w:tcPr>
          <w:p w14:paraId="12A59DE0">
            <w:pPr>
              <w:spacing w:line="240" w:lineRule="atLeast"/>
              <w:ind w:firstLine="0" w:firstLineChars="0"/>
              <w:jc w:val="center"/>
              <w:rPr>
                <w:color w:val="000000" w:themeColor="text1"/>
                <w:sz w:val="21"/>
                <w:szCs w:val="21"/>
                <w14:textFill>
                  <w14:solidFill>
                    <w14:schemeClr w14:val="tx1"/>
                  </w14:solidFill>
                </w14:textFill>
              </w:rPr>
            </w:pPr>
          </w:p>
        </w:tc>
        <w:tc>
          <w:tcPr>
            <w:tcW w:w="1478" w:type="dxa"/>
            <w:vMerge w:val="continue"/>
            <w:vAlign w:val="center"/>
          </w:tcPr>
          <w:p w14:paraId="318B45A4">
            <w:pPr>
              <w:spacing w:line="240" w:lineRule="atLeast"/>
              <w:ind w:firstLine="0" w:firstLineChars="0"/>
              <w:jc w:val="center"/>
              <w:rPr>
                <w:color w:val="000000" w:themeColor="text1"/>
                <w:sz w:val="21"/>
                <w:szCs w:val="21"/>
                <w14:textFill>
                  <w14:solidFill>
                    <w14:schemeClr w14:val="tx1"/>
                  </w14:solidFill>
                </w14:textFill>
              </w:rPr>
            </w:pPr>
          </w:p>
        </w:tc>
        <w:tc>
          <w:tcPr>
            <w:tcW w:w="959" w:type="dxa"/>
            <w:vMerge w:val="continue"/>
            <w:vAlign w:val="center"/>
          </w:tcPr>
          <w:p w14:paraId="2BEA45D3">
            <w:pPr>
              <w:spacing w:line="240" w:lineRule="atLeast"/>
              <w:ind w:firstLine="0" w:firstLineChars="0"/>
              <w:jc w:val="center"/>
              <w:rPr>
                <w:color w:val="000000" w:themeColor="text1"/>
                <w:sz w:val="21"/>
                <w:szCs w:val="21"/>
                <w14:textFill>
                  <w14:solidFill>
                    <w14:schemeClr w14:val="tx1"/>
                  </w14:solidFill>
                </w14:textFill>
              </w:rPr>
            </w:pPr>
          </w:p>
        </w:tc>
        <w:tc>
          <w:tcPr>
            <w:tcW w:w="2182" w:type="dxa"/>
            <w:vMerge w:val="continue"/>
            <w:vAlign w:val="center"/>
          </w:tcPr>
          <w:p w14:paraId="7C38BB49">
            <w:pPr>
              <w:spacing w:line="240" w:lineRule="atLeast"/>
              <w:ind w:firstLine="0" w:firstLineChars="0"/>
              <w:jc w:val="center"/>
              <w:rPr>
                <w:color w:val="000000" w:themeColor="text1"/>
                <w:sz w:val="21"/>
                <w:szCs w:val="21"/>
                <w14:textFill>
                  <w14:solidFill>
                    <w14:schemeClr w14:val="tx1"/>
                  </w14:solidFill>
                </w14:textFill>
              </w:rPr>
            </w:pPr>
          </w:p>
        </w:tc>
        <w:tc>
          <w:tcPr>
            <w:tcW w:w="1435" w:type="dxa"/>
            <w:vMerge w:val="continue"/>
            <w:vAlign w:val="center"/>
          </w:tcPr>
          <w:p w14:paraId="4088C55E">
            <w:pPr>
              <w:spacing w:line="240" w:lineRule="atLeast"/>
              <w:ind w:firstLine="0" w:firstLineChars="0"/>
              <w:jc w:val="center"/>
              <w:rPr>
                <w:color w:val="000000" w:themeColor="text1"/>
                <w:sz w:val="21"/>
                <w:szCs w:val="21"/>
                <w14:textFill>
                  <w14:solidFill>
                    <w14:schemeClr w14:val="tx1"/>
                  </w14:solidFill>
                </w14:textFill>
              </w:rPr>
            </w:pPr>
          </w:p>
        </w:tc>
        <w:tc>
          <w:tcPr>
            <w:tcW w:w="949" w:type="dxa"/>
            <w:vAlign w:val="center"/>
          </w:tcPr>
          <w:p w14:paraId="778F40E1">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落潮</w:t>
            </w:r>
          </w:p>
        </w:tc>
      </w:tr>
    </w:tbl>
    <w:p w14:paraId="2E344417">
      <w:pPr>
        <w:spacing w:before="163" w:beforeLines="5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（1）冬</w:t>
      </w:r>
      <w:r>
        <w:rPr>
          <w:color w:val="000000" w:themeColor="text1"/>
          <w14:textFill>
            <w14:solidFill>
              <w14:schemeClr w14:val="tx1"/>
            </w14:solidFill>
          </w14:textFill>
        </w:rPr>
        <w:t>季主导风</w:t>
      </w:r>
      <w:r>
        <w:rPr>
          <w:rFonts w:hint="eastAsia"/>
          <w:color w:val="000000" w:themeColor="text1"/>
          <w14:textFill>
            <w14:solidFill>
              <w14:schemeClr w14:val="tx1"/>
            </w14:solidFill>
          </w14:textFill>
        </w:rPr>
        <w:t>N，大潮涨潮</w:t>
      </w:r>
    </w:p>
    <w:p w14:paraId="4322BD5B">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大</w:t>
      </w:r>
      <w:r>
        <w:rPr>
          <w:rFonts w:hint="eastAsia"/>
          <w:color w:val="000000" w:themeColor="text1"/>
          <w:u w:val="single"/>
          <w14:textFill>
            <w14:solidFill>
              <w14:schemeClr w14:val="tx1"/>
            </w14:solidFill>
          </w14:textFill>
        </w:rPr>
        <w:t>潮涨潮时，在N</w:t>
      </w:r>
      <w:r>
        <w:rPr>
          <w:color w:val="000000" w:themeColor="text1"/>
          <w:u w:val="single"/>
          <w14:textFill>
            <w14:solidFill>
              <w14:schemeClr w14:val="tx1"/>
            </w14:solidFill>
          </w14:textFill>
        </w:rPr>
        <w:t>向风及涨潮流作用下</w:t>
      </w:r>
      <w:r>
        <w:rPr>
          <w:rFonts w:hint="eastAsia"/>
          <w:color w:val="000000" w:themeColor="text1"/>
          <w:u w:val="single"/>
          <w14:textFill>
            <w14:solidFill>
              <w14:schemeClr w14:val="tx1"/>
            </w14:solidFill>
          </w14:textFill>
        </w:rPr>
        <w:t>，</w:t>
      </w:r>
      <w:r>
        <w:rPr>
          <w:color w:val="000000" w:themeColor="text1"/>
          <w:u w:val="single"/>
          <w14:textFill>
            <w14:solidFill>
              <w14:schemeClr w14:val="tx1"/>
            </w14:solidFill>
          </w14:textFill>
        </w:rPr>
        <w:t>油膜向</w:t>
      </w:r>
      <w:r>
        <w:rPr>
          <w:rFonts w:hint="eastAsia"/>
          <w:color w:val="000000" w:themeColor="text1"/>
          <w:u w:val="single"/>
          <w14:textFill>
            <w14:solidFill>
              <w14:schemeClr w14:val="tx1"/>
            </w14:solidFill>
          </w14:textFill>
        </w:rPr>
        <w:t>金鼓江上游</w:t>
      </w:r>
      <w:r>
        <w:rPr>
          <w:color w:val="000000" w:themeColor="text1"/>
          <w:u w:val="single"/>
          <w14:textFill>
            <w14:solidFill>
              <w14:schemeClr w14:val="tx1"/>
            </w14:solidFill>
          </w14:textFill>
        </w:rPr>
        <w:t>飘去</w:t>
      </w:r>
      <w:r>
        <w:rPr>
          <w:rFonts w:hint="eastAsia"/>
          <w:color w:val="000000" w:themeColor="text1"/>
          <w:u w:val="single"/>
          <w14:textFill>
            <w14:solidFill>
              <w14:schemeClr w14:val="tx1"/>
            </w14:solidFill>
          </w14:textFill>
        </w:rPr>
        <w:t>，</w:t>
      </w:r>
      <w:r>
        <w:rPr>
          <w:color w:val="000000" w:themeColor="text1"/>
          <w:u w:val="single"/>
          <w14:textFill>
            <w14:solidFill>
              <w14:schemeClr w14:val="tx1"/>
            </w14:solidFill>
          </w14:textFill>
        </w:rPr>
        <w:t>3</w:t>
      </w:r>
      <w:r>
        <w:rPr>
          <w:rFonts w:hint="eastAsia"/>
          <w:color w:val="000000" w:themeColor="text1"/>
          <w:u w:val="single"/>
          <w14:textFill>
            <w14:solidFill>
              <w14:schemeClr w14:val="tx1"/>
            </w14:solidFill>
          </w14:textFill>
        </w:rPr>
        <w:t>小时后部分油膜进入淡水湾海域并逐渐靠岸登陆，另有部分油膜继续沿金鼓江北上，6小时油膜到达金鼓江大桥上游望鸦江口门附近，此后继续沿着金鼓江主流北上，逐渐污染整个金鼓江水面，1</w:t>
      </w:r>
      <w:r>
        <w:rPr>
          <w:color w:val="000000" w:themeColor="text1"/>
          <w:u w:val="single"/>
          <w14:textFill>
            <w14:solidFill>
              <w14:schemeClr w14:val="tx1"/>
            </w14:solidFill>
          </w14:textFill>
        </w:rPr>
        <w:t>0</w:t>
      </w:r>
      <w:r>
        <w:rPr>
          <w:rFonts w:hint="eastAsia"/>
          <w:color w:val="000000" w:themeColor="text1"/>
          <w:u w:val="single"/>
          <w14:textFill>
            <w14:solidFill>
              <w14:schemeClr w14:val="tx1"/>
            </w14:solidFill>
          </w14:textFill>
        </w:rPr>
        <w:t>小时后受金鼓江两岸曲折岸线的阻挡和吸附，剩余油膜全部在沿线登陆，由于金鼓江海域地形狭窄，1</w:t>
      </w:r>
      <w:r>
        <w:rPr>
          <w:color w:val="000000" w:themeColor="text1"/>
          <w:u w:val="single"/>
          <w14:textFill>
            <w14:solidFill>
              <w14:schemeClr w14:val="tx1"/>
            </w14:solidFill>
          </w14:textFill>
        </w:rPr>
        <w:t>0</w:t>
      </w:r>
      <w:r>
        <w:rPr>
          <w:rFonts w:hint="eastAsia"/>
          <w:color w:val="000000" w:themeColor="text1"/>
          <w:u w:val="single"/>
          <w14:textFill>
            <w14:solidFill>
              <w14:schemeClr w14:val="tx1"/>
            </w14:solidFill>
          </w14:textFill>
        </w:rPr>
        <w:t>小时后残油油膜平均厚度仍有</w:t>
      </w:r>
      <w:r>
        <w:rPr>
          <w:color w:val="000000" w:themeColor="text1"/>
          <w:u w:val="single"/>
          <w14:textFill>
            <w14:solidFill>
              <w14:schemeClr w14:val="tx1"/>
            </w14:solidFill>
          </w14:textFill>
        </w:rPr>
        <w:t>200.94mm</w:t>
      </w:r>
      <w:r>
        <w:rPr>
          <w:rFonts w:hint="eastAsia"/>
          <w:color w:val="000000" w:themeColor="text1"/>
          <w:u w:val="single"/>
          <w14:textFill>
            <w14:solidFill>
              <w14:schemeClr w14:val="tx1"/>
            </w14:solidFill>
          </w14:textFill>
        </w:rPr>
        <w:t>。受岸线阻挡吸附及风、流顶托作用，此后油膜基本停止运动。溢油发生</w:t>
      </w:r>
      <w:r>
        <w:rPr>
          <w:color w:val="000000" w:themeColor="text1"/>
          <w:u w:val="single"/>
          <w14:textFill>
            <w14:solidFill>
              <w14:schemeClr w14:val="tx1"/>
            </w14:solidFill>
          </w14:textFill>
        </w:rPr>
        <w:t>72</w:t>
      </w:r>
      <w:r>
        <w:rPr>
          <w:rFonts w:hint="eastAsia"/>
          <w:color w:val="000000" w:themeColor="text1"/>
          <w:u w:val="single"/>
          <w14:textFill>
            <w14:solidFill>
              <w14:schemeClr w14:val="tx1"/>
            </w14:solidFill>
          </w14:textFill>
        </w:rPr>
        <w:t>小时内油膜扫海面积及残油油膜平均厚度见表5.3-</w:t>
      </w:r>
      <w:r>
        <w:rPr>
          <w:color w:val="000000" w:themeColor="text1"/>
          <w:u w:val="single"/>
          <w14:textFill>
            <w14:solidFill>
              <w14:schemeClr w14:val="tx1"/>
            </w14:solidFill>
          </w14:textFill>
        </w:rPr>
        <w:t>3</w:t>
      </w:r>
      <w:r>
        <w:rPr>
          <w:rFonts w:hint="eastAsia"/>
          <w:color w:val="000000" w:themeColor="text1"/>
          <w:u w:val="single"/>
          <w14:textFill>
            <w14:solidFill>
              <w14:schemeClr w14:val="tx1"/>
            </w14:solidFill>
          </w14:textFill>
        </w:rPr>
        <w:t>，72小时内油膜合计影响范围见图</w:t>
      </w:r>
      <w:r>
        <w:rPr>
          <w:rFonts w:hint="eastAsia"/>
          <w:color w:val="000000" w:themeColor="text1"/>
          <w:kern w:val="0"/>
          <w:u w:val="single"/>
          <w14:textFill>
            <w14:solidFill>
              <w14:schemeClr w14:val="tx1"/>
            </w14:solidFill>
          </w14:textFill>
        </w:rPr>
        <w:t>5.5.3</w:t>
      </w:r>
      <w:r>
        <w:rPr>
          <w:color w:val="000000" w:themeColor="text1"/>
          <w:u w:val="single"/>
          <w14:textFill>
            <w14:solidFill>
              <w14:schemeClr w14:val="tx1"/>
            </w14:solidFill>
          </w14:textFill>
        </w:rPr>
        <w:t>-1</w:t>
      </w:r>
      <w:r>
        <w:rPr>
          <w:rFonts w:hint="eastAsia"/>
          <w:color w:val="000000" w:themeColor="text1"/>
          <w:u w:val="single"/>
          <w14:textFill>
            <w14:solidFill>
              <w14:schemeClr w14:val="tx1"/>
            </w14:solidFill>
          </w14:textFill>
        </w:rPr>
        <w:t>，油膜运动趋势与环境敏感目标叠置如图</w:t>
      </w:r>
      <w:r>
        <w:rPr>
          <w:rFonts w:hint="eastAsia"/>
          <w:color w:val="000000" w:themeColor="text1"/>
          <w:kern w:val="0"/>
          <w:u w:val="single"/>
          <w14:textFill>
            <w14:solidFill>
              <w14:schemeClr w14:val="tx1"/>
            </w14:solidFill>
          </w14:textFill>
        </w:rPr>
        <w:t>5.5.3</w:t>
      </w:r>
      <w:r>
        <w:rPr>
          <w:rFonts w:hint="eastAsia"/>
          <w:color w:val="000000" w:themeColor="text1"/>
          <w:u w:val="single"/>
          <w14:textFill>
            <w14:solidFill>
              <w14:schemeClr w14:val="tx1"/>
            </w14:solidFill>
          </w14:textFill>
        </w:rPr>
        <w:t>-</w:t>
      </w:r>
      <w:r>
        <w:rPr>
          <w:color w:val="000000" w:themeColor="text1"/>
          <w:u w:val="single"/>
          <w14:textFill>
            <w14:solidFill>
              <w14:schemeClr w14:val="tx1"/>
            </w14:solidFill>
          </w14:textFill>
        </w:rPr>
        <w:t>2</w:t>
      </w:r>
      <w:r>
        <w:rPr>
          <w:rFonts w:hint="eastAsia"/>
          <w:color w:val="000000" w:themeColor="text1"/>
          <w:u w:val="single"/>
          <w14:textFill>
            <w14:solidFill>
              <w14:schemeClr w14:val="tx1"/>
            </w14:solidFill>
          </w14:textFill>
        </w:rPr>
        <w:t>所示</w:t>
      </w:r>
      <w:r>
        <w:rPr>
          <w:rFonts w:hint="eastAsia"/>
          <w:color w:val="000000" w:themeColor="text1"/>
          <w14:textFill>
            <w14:solidFill>
              <w14:schemeClr w14:val="tx1"/>
            </w14:solidFill>
          </w14:textFill>
        </w:rPr>
        <w:t>。</w:t>
      </w:r>
    </w:p>
    <w:p w14:paraId="7283A3E6">
      <w:pPr>
        <w:pStyle w:val="7"/>
        <w:rPr>
          <w:color w:val="000000" w:themeColor="text1"/>
          <w14:textFill>
            <w14:solidFill>
              <w14:schemeClr w14:val="tx1"/>
            </w14:solidFill>
          </w14:textFill>
        </w:rPr>
      </w:pPr>
      <w:r>
        <w:rPr>
          <w:rFonts w:hint="eastAsia"/>
          <w:color w:val="000000" w:themeColor="text1"/>
          <w14:textFill>
            <w14:solidFill>
              <w14:schemeClr w14:val="tx1"/>
            </w14:solidFill>
          </w14:textFill>
        </w:rPr>
        <w:t>冬</w:t>
      </w:r>
      <w:r>
        <w:rPr>
          <w:color w:val="000000" w:themeColor="text1"/>
          <w14:textFill>
            <w14:solidFill>
              <w14:schemeClr w14:val="tx1"/>
            </w14:solidFill>
          </w14:textFill>
        </w:rPr>
        <w:t>季主导风</w:t>
      </w:r>
      <w:r>
        <w:rPr>
          <w:rFonts w:hint="eastAsia"/>
          <w:color w:val="000000" w:themeColor="text1"/>
          <w14:textFill>
            <w14:solidFill>
              <w14:schemeClr w14:val="tx1"/>
            </w14:solidFill>
          </w14:textFill>
        </w:rPr>
        <w:t>N条件下涨潮时溢油扫海面积</w:t>
      </w:r>
    </w:p>
    <w:tbl>
      <w:tblPr>
        <w:tblStyle w:val="43"/>
        <w:tblW w:w="4905"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441"/>
        <w:gridCol w:w="1383"/>
        <w:gridCol w:w="1384"/>
        <w:gridCol w:w="1383"/>
        <w:gridCol w:w="1384"/>
        <w:gridCol w:w="1385"/>
      </w:tblGrid>
      <w:tr w14:paraId="735922A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40" w:hRule="atLeast"/>
          <w:jc w:val="center"/>
        </w:trPr>
        <w:tc>
          <w:tcPr>
            <w:tcW w:w="862" w:type="pct"/>
            <w:vMerge w:val="restart"/>
            <w:tcMar>
              <w:top w:w="57" w:type="dxa"/>
              <w:bottom w:w="57" w:type="dxa"/>
            </w:tcMar>
            <w:vAlign w:val="center"/>
          </w:tcPr>
          <w:p w14:paraId="585C60FF">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项目</w:t>
            </w:r>
          </w:p>
        </w:tc>
        <w:tc>
          <w:tcPr>
            <w:tcW w:w="4138" w:type="pct"/>
            <w:gridSpan w:val="5"/>
            <w:tcMar>
              <w:top w:w="57" w:type="dxa"/>
              <w:bottom w:w="57" w:type="dxa"/>
            </w:tcMar>
            <w:vAlign w:val="center"/>
          </w:tcPr>
          <w:p w14:paraId="0D6DD99E">
            <w:pPr>
              <w:spacing w:line="240" w:lineRule="atLeast"/>
              <w:ind w:firstLine="0" w:firstLineChars="0"/>
              <w:jc w:val="center"/>
              <w:rPr>
                <w:b/>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泄漏发生经历时间（小时）</w:t>
            </w:r>
          </w:p>
        </w:tc>
      </w:tr>
      <w:tr w14:paraId="7787CA3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5" w:hRule="atLeast"/>
          <w:jc w:val="center"/>
        </w:trPr>
        <w:tc>
          <w:tcPr>
            <w:tcW w:w="862" w:type="pct"/>
            <w:vMerge w:val="continue"/>
            <w:tcMar>
              <w:top w:w="57" w:type="dxa"/>
              <w:bottom w:w="57" w:type="dxa"/>
            </w:tcMar>
            <w:vAlign w:val="center"/>
          </w:tcPr>
          <w:p w14:paraId="4A74D9BF">
            <w:pPr>
              <w:spacing w:line="240" w:lineRule="atLeast"/>
              <w:ind w:firstLine="0" w:firstLineChars="0"/>
              <w:jc w:val="center"/>
              <w:rPr>
                <w:color w:val="000000" w:themeColor="text1"/>
                <w:sz w:val="21"/>
                <w:szCs w:val="21"/>
                <w14:textFill>
                  <w14:solidFill>
                    <w14:schemeClr w14:val="tx1"/>
                  </w14:solidFill>
                </w14:textFill>
              </w:rPr>
            </w:pPr>
          </w:p>
        </w:tc>
        <w:tc>
          <w:tcPr>
            <w:tcW w:w="827" w:type="pct"/>
            <w:tcMar>
              <w:top w:w="57" w:type="dxa"/>
              <w:bottom w:w="57" w:type="dxa"/>
            </w:tcMar>
            <w:vAlign w:val="center"/>
          </w:tcPr>
          <w:p w14:paraId="66061E7E">
            <w:pPr>
              <w:spacing w:line="240" w:lineRule="atLeast"/>
              <w:ind w:firstLine="0" w:firstLineChars="0"/>
              <w:jc w:val="center"/>
              <w:rPr>
                <w:b/>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1</w:t>
            </w:r>
          </w:p>
        </w:tc>
        <w:tc>
          <w:tcPr>
            <w:tcW w:w="828" w:type="pct"/>
            <w:tcMar>
              <w:top w:w="57" w:type="dxa"/>
              <w:bottom w:w="57" w:type="dxa"/>
            </w:tcMar>
            <w:vAlign w:val="center"/>
          </w:tcPr>
          <w:p w14:paraId="2ED0F6D2">
            <w:pPr>
              <w:spacing w:line="240" w:lineRule="atLeast"/>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3</w:t>
            </w:r>
          </w:p>
        </w:tc>
        <w:tc>
          <w:tcPr>
            <w:tcW w:w="827" w:type="pct"/>
            <w:tcMar>
              <w:top w:w="57" w:type="dxa"/>
              <w:bottom w:w="57" w:type="dxa"/>
            </w:tcMar>
            <w:vAlign w:val="center"/>
          </w:tcPr>
          <w:p w14:paraId="11AE54F8">
            <w:pPr>
              <w:spacing w:line="240" w:lineRule="atLeast"/>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6</w:t>
            </w:r>
          </w:p>
        </w:tc>
        <w:tc>
          <w:tcPr>
            <w:tcW w:w="828" w:type="pct"/>
            <w:tcBorders>
              <w:right w:val="single" w:color="auto" w:sz="12" w:space="0"/>
            </w:tcBorders>
            <w:vAlign w:val="center"/>
          </w:tcPr>
          <w:p w14:paraId="62D33B71">
            <w:pPr>
              <w:spacing w:line="240" w:lineRule="atLeast"/>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10（登陆）</w:t>
            </w:r>
          </w:p>
        </w:tc>
        <w:tc>
          <w:tcPr>
            <w:tcW w:w="828" w:type="pct"/>
            <w:tcBorders>
              <w:left w:val="single" w:color="auto" w:sz="12" w:space="0"/>
            </w:tcBorders>
            <w:vAlign w:val="center"/>
          </w:tcPr>
          <w:p w14:paraId="055BB12C">
            <w:pPr>
              <w:ind w:firstLine="0" w:firstLineChars="0"/>
              <w:jc w:val="center"/>
              <w:rPr>
                <w:b/>
                <w:color w:val="000000" w:themeColor="text1"/>
                <w:szCs w:val="21"/>
                <w14:textFill>
                  <w14:solidFill>
                    <w14:schemeClr w14:val="tx1"/>
                  </w14:solidFill>
                </w14:textFill>
              </w:rPr>
            </w:pPr>
            <w:r>
              <w:rPr>
                <w:rFonts w:hint="eastAsia"/>
                <w:b/>
                <w:color w:val="000000" w:themeColor="text1"/>
                <w:szCs w:val="21"/>
                <w14:textFill>
                  <w14:solidFill>
                    <w14:schemeClr w14:val="tx1"/>
                  </w14:solidFill>
                </w14:textFill>
              </w:rPr>
              <w:t>7</w:t>
            </w:r>
            <w:r>
              <w:rPr>
                <w:b/>
                <w:color w:val="000000" w:themeColor="text1"/>
                <w:szCs w:val="21"/>
                <w14:textFill>
                  <w14:solidFill>
                    <w14:schemeClr w14:val="tx1"/>
                  </w14:solidFill>
                </w14:textFill>
              </w:rPr>
              <w:t>2</w:t>
            </w:r>
          </w:p>
        </w:tc>
      </w:tr>
      <w:tr w14:paraId="475C2F6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862" w:type="pct"/>
            <w:tcMar>
              <w:top w:w="57" w:type="dxa"/>
              <w:bottom w:w="57" w:type="dxa"/>
            </w:tcMar>
            <w:vAlign w:val="center"/>
          </w:tcPr>
          <w:p w14:paraId="34D40D01">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油膜扫海面积（km</w:t>
            </w:r>
            <w:r>
              <w:rPr>
                <w:rFonts w:hint="eastAsia"/>
                <w:color w:val="000000" w:themeColor="text1"/>
                <w:sz w:val="21"/>
                <w:szCs w:val="21"/>
                <w:vertAlign w:val="superscript"/>
                <w14:textFill>
                  <w14:solidFill>
                    <w14:schemeClr w14:val="tx1"/>
                  </w14:solidFill>
                </w14:textFill>
              </w:rPr>
              <w:t>2</w:t>
            </w:r>
            <w:r>
              <w:rPr>
                <w:rFonts w:hint="eastAsia"/>
                <w:color w:val="000000" w:themeColor="text1"/>
                <w:sz w:val="21"/>
                <w:szCs w:val="21"/>
                <w14:textFill>
                  <w14:solidFill>
                    <w14:schemeClr w14:val="tx1"/>
                  </w14:solidFill>
                </w14:textFill>
              </w:rPr>
              <w:t>）</w:t>
            </w:r>
          </w:p>
        </w:tc>
        <w:tc>
          <w:tcPr>
            <w:tcW w:w="827" w:type="pct"/>
            <w:tcMar>
              <w:top w:w="57" w:type="dxa"/>
              <w:bottom w:w="57" w:type="dxa"/>
            </w:tcMar>
            <w:vAlign w:val="center"/>
          </w:tcPr>
          <w:p w14:paraId="3BD026C5">
            <w:pPr>
              <w:widowControl/>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0.39</w:t>
            </w:r>
            <w:r>
              <w:rPr>
                <w:color w:val="000000" w:themeColor="text1"/>
                <w:sz w:val="21"/>
                <w:szCs w:val="21"/>
                <w14:textFill>
                  <w14:solidFill>
                    <w14:schemeClr w14:val="tx1"/>
                  </w14:solidFill>
                </w14:textFill>
              </w:rPr>
              <w:t>6</w:t>
            </w:r>
          </w:p>
        </w:tc>
        <w:tc>
          <w:tcPr>
            <w:tcW w:w="828" w:type="pct"/>
            <w:tcMar>
              <w:top w:w="57" w:type="dxa"/>
              <w:bottom w:w="57" w:type="dxa"/>
            </w:tcMar>
            <w:vAlign w:val="center"/>
          </w:tcPr>
          <w:p w14:paraId="26E09433">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1.5</w:t>
            </w:r>
            <w:r>
              <w:rPr>
                <w:color w:val="000000" w:themeColor="text1"/>
                <w:sz w:val="21"/>
                <w:szCs w:val="21"/>
                <w14:textFill>
                  <w14:solidFill>
                    <w14:schemeClr w14:val="tx1"/>
                  </w14:solidFill>
                </w14:textFill>
              </w:rPr>
              <w:t>92</w:t>
            </w:r>
          </w:p>
        </w:tc>
        <w:tc>
          <w:tcPr>
            <w:tcW w:w="827" w:type="pct"/>
            <w:tcMar>
              <w:top w:w="57" w:type="dxa"/>
              <w:bottom w:w="57" w:type="dxa"/>
            </w:tcMar>
            <w:vAlign w:val="center"/>
          </w:tcPr>
          <w:p w14:paraId="1A445ADF">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4.1</w:t>
            </w:r>
            <w:r>
              <w:rPr>
                <w:color w:val="000000" w:themeColor="text1"/>
                <w:sz w:val="21"/>
                <w:szCs w:val="21"/>
                <w14:textFill>
                  <w14:solidFill>
                    <w14:schemeClr w14:val="tx1"/>
                  </w14:solidFill>
                </w14:textFill>
              </w:rPr>
              <w:t>64</w:t>
            </w:r>
          </w:p>
        </w:tc>
        <w:tc>
          <w:tcPr>
            <w:tcW w:w="828" w:type="pct"/>
            <w:tcBorders>
              <w:right w:val="single" w:color="auto" w:sz="12" w:space="0"/>
            </w:tcBorders>
            <w:vAlign w:val="center"/>
          </w:tcPr>
          <w:p w14:paraId="66ED2FB4">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5.8</w:t>
            </w:r>
            <w:r>
              <w:rPr>
                <w:color w:val="000000" w:themeColor="text1"/>
                <w:sz w:val="21"/>
                <w:szCs w:val="21"/>
                <w14:textFill>
                  <w14:solidFill>
                    <w14:schemeClr w14:val="tx1"/>
                  </w14:solidFill>
                </w14:textFill>
              </w:rPr>
              <w:t>64</w:t>
            </w:r>
          </w:p>
        </w:tc>
        <w:tc>
          <w:tcPr>
            <w:tcW w:w="828" w:type="pct"/>
            <w:tcBorders>
              <w:left w:val="single" w:color="auto" w:sz="12" w:space="0"/>
            </w:tcBorders>
            <w:vAlign w:val="center"/>
          </w:tcPr>
          <w:p w14:paraId="45208FE2">
            <w:pPr>
              <w:ind w:firstLine="0" w:firstLineChars="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5</w:t>
            </w:r>
            <w:r>
              <w:rPr>
                <w:color w:val="000000" w:themeColor="text1"/>
                <w:szCs w:val="21"/>
                <w14:textFill>
                  <w14:solidFill>
                    <w14:schemeClr w14:val="tx1"/>
                  </w14:solidFill>
                </w14:textFill>
              </w:rPr>
              <w:t>.876</w:t>
            </w:r>
          </w:p>
        </w:tc>
      </w:tr>
      <w:tr w14:paraId="2C3E47D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862" w:type="pct"/>
            <w:tcMar>
              <w:top w:w="57" w:type="dxa"/>
              <w:bottom w:w="57" w:type="dxa"/>
            </w:tcMar>
            <w:vAlign w:val="center"/>
          </w:tcPr>
          <w:p w14:paraId="64D273EB">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残油油膜平均厚度（m</w:t>
            </w:r>
            <w:r>
              <w:rPr>
                <w:color w:val="000000" w:themeColor="text1"/>
                <w:sz w:val="21"/>
                <w:szCs w:val="21"/>
                <w14:textFill>
                  <w14:solidFill>
                    <w14:schemeClr w14:val="tx1"/>
                  </w14:solidFill>
                </w14:textFill>
              </w:rPr>
              <w:t>m</w:t>
            </w:r>
            <w:r>
              <w:rPr>
                <w:rFonts w:hint="eastAsia"/>
                <w:color w:val="000000" w:themeColor="text1"/>
                <w:sz w:val="21"/>
                <w:szCs w:val="21"/>
                <w14:textFill>
                  <w14:solidFill>
                    <w14:schemeClr w14:val="tx1"/>
                  </w14:solidFill>
                </w14:textFill>
              </w:rPr>
              <w:t>）</w:t>
            </w:r>
          </w:p>
        </w:tc>
        <w:tc>
          <w:tcPr>
            <w:tcW w:w="827" w:type="pct"/>
            <w:tcMar>
              <w:top w:w="57" w:type="dxa"/>
              <w:bottom w:w="57" w:type="dxa"/>
            </w:tcMar>
            <w:vAlign w:val="center"/>
          </w:tcPr>
          <w:p w14:paraId="6EB96B5D">
            <w:pPr>
              <w:widowControl/>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4143.82 </w:t>
            </w:r>
          </w:p>
        </w:tc>
        <w:tc>
          <w:tcPr>
            <w:tcW w:w="828" w:type="pct"/>
            <w:tcMar>
              <w:top w:w="57" w:type="dxa"/>
              <w:bottom w:w="57" w:type="dxa"/>
            </w:tcMar>
            <w:vAlign w:val="center"/>
          </w:tcPr>
          <w:p w14:paraId="62CD3BFC">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1910.30 </w:t>
            </w:r>
          </w:p>
        </w:tc>
        <w:tc>
          <w:tcPr>
            <w:tcW w:w="827" w:type="pct"/>
            <w:tcMar>
              <w:top w:w="57" w:type="dxa"/>
              <w:bottom w:w="57" w:type="dxa"/>
            </w:tcMar>
            <w:vAlign w:val="center"/>
          </w:tcPr>
          <w:p w14:paraId="7FAC0DCF">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218.92 </w:t>
            </w:r>
          </w:p>
        </w:tc>
        <w:tc>
          <w:tcPr>
            <w:tcW w:w="828" w:type="pct"/>
            <w:tcBorders>
              <w:right w:val="single" w:color="auto" w:sz="12" w:space="0"/>
            </w:tcBorders>
            <w:vAlign w:val="center"/>
          </w:tcPr>
          <w:p w14:paraId="348E2C69">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200.94 </w:t>
            </w:r>
          </w:p>
        </w:tc>
        <w:tc>
          <w:tcPr>
            <w:tcW w:w="828" w:type="pct"/>
            <w:tcBorders>
              <w:left w:val="single" w:color="auto" w:sz="12" w:space="0"/>
            </w:tcBorders>
            <w:vAlign w:val="center"/>
          </w:tcPr>
          <w:p w14:paraId="61CB429E">
            <w:pPr>
              <w:ind w:firstLine="0" w:firstLineChars="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w:t>
            </w:r>
            <w:r>
              <w:rPr>
                <w:color w:val="000000" w:themeColor="text1"/>
                <w:szCs w:val="21"/>
                <w14:textFill>
                  <w14:solidFill>
                    <w14:schemeClr w14:val="tx1"/>
                  </w14:solidFill>
                </w14:textFill>
              </w:rPr>
              <w:t>00.62</w:t>
            </w:r>
          </w:p>
        </w:tc>
      </w:tr>
    </w:tbl>
    <w:p w14:paraId="03CCD43D">
      <w:pPr>
        <w:ind w:firstLine="482"/>
        <w:jc w:val="center"/>
        <w:rPr>
          <w:rFonts w:ascii="宋体" w:hAnsi="宋体"/>
          <w:b/>
          <w:color w:val="000000" w:themeColor="text1"/>
          <w14:textFill>
            <w14:solidFill>
              <w14:schemeClr w14:val="tx1"/>
            </w14:solidFill>
          </w14:textFill>
        </w:rPr>
      </w:pPr>
      <w:r>
        <w:rPr>
          <w:rFonts w:ascii="宋体" w:hAnsi="宋体"/>
          <w:b/>
          <w:color w:val="000000" w:themeColor="text1"/>
          <w14:textFill>
            <w14:solidFill>
              <w14:schemeClr w14:val="tx1"/>
            </w14:solidFill>
          </w14:textFill>
        </w:rPr>
        <w:drawing>
          <wp:inline distT="0" distB="0" distL="0" distR="0">
            <wp:extent cx="3037840" cy="3819525"/>
            <wp:effectExtent l="0" t="0" r="0" b="0"/>
            <wp:docPr id="238" name="图片 238" descr="G:\project\2022\jingujiang14-15#\yiyou\zhangn251128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238" descr="G:\project\2022\jingujiang14-15#\yiyou\zhangn251128油.jpg"/>
                    <pic:cNvPicPr>
                      <a:picLocks noChangeAspect="1" noChangeArrowheads="1"/>
                    </pic:cNvPicPr>
                  </pic:nvPicPr>
                  <pic:blipFill>
                    <a:blip r:embed="rId232" cstate="print">
                      <a:extLst>
                        <a:ext uri="{28A0092B-C50C-407E-A947-70E740481C1C}">
                          <a14:useLocalDpi xmlns:a14="http://schemas.microsoft.com/office/drawing/2010/main" val="0"/>
                        </a:ext>
                      </a:extLst>
                    </a:blip>
                    <a:srcRect t="1230" r="2673" b="11886"/>
                    <a:stretch>
                      <a:fillRect/>
                    </a:stretch>
                  </pic:blipFill>
                  <pic:spPr>
                    <a:xfrm>
                      <a:off x="0" y="0"/>
                      <a:ext cx="3036304" cy="3817212"/>
                    </a:xfrm>
                    <a:prstGeom prst="rect">
                      <a:avLst/>
                    </a:prstGeom>
                    <a:noFill/>
                    <a:ln>
                      <a:noFill/>
                    </a:ln>
                  </pic:spPr>
                </pic:pic>
              </a:graphicData>
            </a:graphic>
          </wp:inline>
        </w:drawing>
      </w:r>
    </w:p>
    <w:p w14:paraId="72C79445">
      <w:pPr>
        <w:ind w:firstLine="482"/>
        <w:jc w:val="center"/>
        <w:rPr>
          <w:rFonts w:ascii="宋体" w:hAnsi="宋体"/>
          <w:b/>
          <w:color w:val="000000" w:themeColor="text1"/>
          <w14:textFill>
            <w14:solidFill>
              <w14:schemeClr w14:val="tx1"/>
            </w14:solidFill>
          </w14:textFill>
        </w:rPr>
      </w:pPr>
      <w:r>
        <w:rPr>
          <w:rFonts w:hint="eastAsia"/>
          <w:b/>
          <w:color w:val="000000" w:themeColor="text1"/>
          <w14:textFill>
            <w14:solidFill>
              <w14:schemeClr w14:val="tx1"/>
            </w14:solidFill>
          </w14:textFill>
        </w:rPr>
        <w:t>图</w:t>
      </w:r>
      <w:r>
        <w:rPr>
          <w:rFonts w:hint="eastAsia"/>
          <w:color w:val="000000" w:themeColor="text1"/>
          <w:kern w:val="0"/>
          <w14:textFill>
            <w14:solidFill>
              <w14:schemeClr w14:val="tx1"/>
            </w14:solidFill>
          </w14:textFill>
        </w:rPr>
        <w:t>5.5.3</w:t>
      </w:r>
      <w:r>
        <w:rPr>
          <w:b/>
          <w:color w:val="000000" w:themeColor="text1"/>
          <w14:textFill>
            <w14:solidFill>
              <w14:schemeClr w14:val="tx1"/>
            </w14:solidFill>
          </w14:textFill>
        </w:rPr>
        <w:t>-1</w:t>
      </w:r>
      <w:r>
        <w:rPr>
          <w:rFonts w:hint="eastAsia"/>
          <w:b/>
          <w:color w:val="000000" w:themeColor="text1"/>
          <w14:textFill>
            <w14:solidFill>
              <w14:schemeClr w14:val="tx1"/>
            </w14:solidFill>
          </w14:textFill>
        </w:rPr>
        <w:t xml:space="preserve"> 冬</w:t>
      </w:r>
      <w:r>
        <w:rPr>
          <w:b/>
          <w:color w:val="000000" w:themeColor="text1"/>
          <w14:textFill>
            <w14:solidFill>
              <w14:schemeClr w14:val="tx1"/>
            </w14:solidFill>
          </w14:textFill>
        </w:rPr>
        <w:t>季主导风</w:t>
      </w:r>
      <w:r>
        <w:rPr>
          <w:rFonts w:hint="eastAsia"/>
          <w:b/>
          <w:color w:val="000000" w:themeColor="text1"/>
          <w14:textFill>
            <w14:solidFill>
              <w14:schemeClr w14:val="tx1"/>
            </w14:solidFill>
          </w14:textFill>
        </w:rPr>
        <w:t>N下涨潮时溢油油膜影响范围示意</w:t>
      </w:r>
    </w:p>
    <w:p w14:paraId="237C23F4">
      <w:pPr>
        <w:widowControl/>
        <w:ind w:firstLine="480"/>
        <w:jc w:val="center"/>
        <w:rPr>
          <w:rFonts w:ascii="宋体" w:hAnsi="宋体" w:cs="宋体"/>
          <w:color w:val="000000" w:themeColor="text1"/>
          <w:kern w:val="0"/>
          <w14:textFill>
            <w14:solidFill>
              <w14:schemeClr w14:val="tx1"/>
            </w14:solidFill>
          </w14:textFill>
        </w:rPr>
      </w:pPr>
      <w:r>
        <w:rPr>
          <w:color w:val="000000" w:themeColor="text1"/>
          <w14:textFill>
            <w14:solidFill>
              <w14:schemeClr w14:val="tx1"/>
            </w14:solidFill>
          </w14:textFill>
        </w:rPr>
        <w:drawing>
          <wp:inline distT="0" distB="0" distL="0" distR="0">
            <wp:extent cx="3033395" cy="3959860"/>
            <wp:effectExtent l="0" t="0" r="0" b="0"/>
            <wp:docPr id="242" name="图片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242"/>
                    <pic:cNvPicPr>
                      <a:picLocks noChangeAspect="1"/>
                    </pic:cNvPicPr>
                  </pic:nvPicPr>
                  <pic:blipFill>
                    <a:blip r:embed="rId233"/>
                    <a:stretch>
                      <a:fillRect/>
                    </a:stretch>
                  </pic:blipFill>
                  <pic:spPr>
                    <a:xfrm>
                      <a:off x="0" y="0"/>
                      <a:ext cx="3033735" cy="3960000"/>
                    </a:xfrm>
                    <a:prstGeom prst="rect">
                      <a:avLst/>
                    </a:prstGeom>
                  </pic:spPr>
                </pic:pic>
              </a:graphicData>
            </a:graphic>
          </wp:inline>
        </w:drawing>
      </w:r>
    </w:p>
    <w:p w14:paraId="34471266">
      <w:pPr>
        <w:ind w:firstLine="482"/>
        <w:jc w:val="center"/>
        <w:rPr>
          <w:b/>
          <w:color w:val="000000" w:themeColor="text1"/>
          <w14:textFill>
            <w14:solidFill>
              <w14:schemeClr w14:val="tx1"/>
            </w14:solidFill>
          </w14:textFill>
        </w:rPr>
      </w:pPr>
      <w:r>
        <w:rPr>
          <w:rFonts w:hint="eastAsia"/>
          <w:b/>
          <w:color w:val="000000" w:themeColor="text1"/>
          <w14:textFill>
            <w14:solidFill>
              <w14:schemeClr w14:val="tx1"/>
            </w14:solidFill>
          </w14:textFill>
        </w:rPr>
        <w:t>图</w:t>
      </w:r>
      <w:r>
        <w:rPr>
          <w:rFonts w:hint="eastAsia"/>
          <w:color w:val="000000" w:themeColor="text1"/>
          <w:kern w:val="0"/>
          <w14:textFill>
            <w14:solidFill>
              <w14:schemeClr w14:val="tx1"/>
            </w14:solidFill>
          </w14:textFill>
        </w:rPr>
        <w:t>5.5.3</w:t>
      </w:r>
      <w:r>
        <w:rPr>
          <w:b/>
          <w:color w:val="000000" w:themeColor="text1"/>
          <w14:textFill>
            <w14:solidFill>
              <w14:schemeClr w14:val="tx1"/>
            </w14:solidFill>
          </w14:textFill>
        </w:rPr>
        <w:t>-2</w:t>
      </w:r>
      <w:r>
        <w:rPr>
          <w:rFonts w:hint="eastAsia"/>
          <w:b/>
          <w:color w:val="000000" w:themeColor="text1"/>
          <w14:textFill>
            <w14:solidFill>
              <w14:schemeClr w14:val="tx1"/>
            </w14:solidFill>
          </w14:textFill>
        </w:rPr>
        <w:t xml:space="preserve"> 冬</w:t>
      </w:r>
      <w:r>
        <w:rPr>
          <w:b/>
          <w:color w:val="000000" w:themeColor="text1"/>
          <w14:textFill>
            <w14:solidFill>
              <w14:schemeClr w14:val="tx1"/>
            </w14:solidFill>
          </w14:textFill>
        </w:rPr>
        <w:t>季主导风</w:t>
      </w:r>
      <w:r>
        <w:rPr>
          <w:rFonts w:hint="eastAsia"/>
          <w:b/>
          <w:color w:val="000000" w:themeColor="text1"/>
          <w14:textFill>
            <w14:solidFill>
              <w14:schemeClr w14:val="tx1"/>
            </w14:solidFill>
          </w14:textFill>
        </w:rPr>
        <w:t>N下涨潮时溢油油膜运动轨迹（叠加敏感目标）</w:t>
      </w:r>
    </w:p>
    <w:p w14:paraId="0002E3A5">
      <w:pPr>
        <w:ind w:firstLine="480"/>
        <w:rPr>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（2）</w:t>
      </w:r>
      <w:r>
        <w:rPr>
          <w:rFonts w:hint="eastAsia"/>
          <w:color w:val="000000" w:themeColor="text1"/>
          <w14:textFill>
            <w14:solidFill>
              <w14:schemeClr w14:val="tx1"/>
            </w14:solidFill>
          </w14:textFill>
        </w:rPr>
        <w:t>冬</w:t>
      </w:r>
      <w:r>
        <w:rPr>
          <w:color w:val="000000" w:themeColor="text1"/>
          <w14:textFill>
            <w14:solidFill>
              <w14:schemeClr w14:val="tx1"/>
            </w14:solidFill>
          </w14:textFill>
        </w:rPr>
        <w:t>季主导风</w:t>
      </w:r>
      <w:r>
        <w:rPr>
          <w:rFonts w:hint="eastAsia"/>
          <w:color w:val="000000" w:themeColor="text1"/>
          <w14:textFill>
            <w14:solidFill>
              <w14:schemeClr w14:val="tx1"/>
            </w14:solidFill>
          </w14:textFill>
        </w:rPr>
        <w:t>N，大潮落潮</w:t>
      </w:r>
    </w:p>
    <w:p w14:paraId="0BD00A66">
      <w:pPr>
        <w:ind w:firstLine="48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大潮落潮时，当溢油发生后，油膜随着落潮流向南漂移，1</w:t>
      </w:r>
      <w:r>
        <w:rPr>
          <w:color w:val="000000" w:themeColor="text1"/>
          <w:u w:val="single"/>
          <w14:textFill>
            <w14:solidFill>
              <w14:schemeClr w14:val="tx1"/>
            </w14:solidFill>
          </w14:textFill>
        </w:rPr>
        <w:t>2</w:t>
      </w:r>
      <w:r>
        <w:rPr>
          <w:rFonts w:hint="eastAsia"/>
          <w:color w:val="000000" w:themeColor="text1"/>
          <w:u w:val="single"/>
          <w14:textFill>
            <w14:solidFill>
              <w14:schemeClr w14:val="tx1"/>
            </w14:solidFill>
          </w14:textFill>
        </w:rPr>
        <w:t>时后运动至钦州湾湾口三墩西南端附近海域；在涨潮流和N风的作用下，12-24时油膜在钦州湾口附近徘徊；随后在落潮流及风的作用下，2</w:t>
      </w:r>
      <w:r>
        <w:rPr>
          <w:color w:val="000000" w:themeColor="text1"/>
          <w:u w:val="single"/>
          <w14:textFill>
            <w14:solidFill>
              <w14:schemeClr w14:val="tx1"/>
            </w14:solidFill>
          </w14:textFill>
        </w:rPr>
        <w:t>8</w:t>
      </w:r>
      <w:r>
        <w:rPr>
          <w:rFonts w:hint="eastAsia"/>
          <w:color w:val="000000" w:themeColor="text1"/>
          <w:u w:val="single"/>
          <w14:textFill>
            <w14:solidFill>
              <w14:schemeClr w14:val="tx1"/>
            </w14:solidFill>
          </w14:textFill>
        </w:rPr>
        <w:t>时油膜进入北部湾二长棘鲷长毛对虾国家级种质资源保护区（实验区），</w:t>
      </w:r>
      <w:r>
        <w:rPr>
          <w:color w:val="000000" w:themeColor="text1"/>
          <w:u w:val="single"/>
          <w14:textFill>
            <w14:solidFill>
              <w14:schemeClr w14:val="tx1"/>
            </w14:solidFill>
          </w14:textFill>
        </w:rPr>
        <w:t>28-48</w:t>
      </w:r>
      <w:r>
        <w:rPr>
          <w:rFonts w:hint="eastAsia"/>
          <w:color w:val="000000" w:themeColor="text1"/>
          <w:u w:val="single"/>
          <w14:textFill>
            <w14:solidFill>
              <w14:schemeClr w14:val="tx1"/>
            </w14:solidFill>
          </w14:textFill>
        </w:rPr>
        <w:t>时油膜在保护区的实验区内往复运动并逐渐漂向外海，</w:t>
      </w:r>
      <w:r>
        <w:rPr>
          <w:color w:val="000000" w:themeColor="text1"/>
          <w:u w:val="single"/>
          <w14:textFill>
            <w14:solidFill>
              <w14:schemeClr w14:val="tx1"/>
            </w14:solidFill>
          </w14:textFill>
        </w:rPr>
        <w:t>40</w:t>
      </w:r>
      <w:r>
        <w:rPr>
          <w:rFonts w:hint="eastAsia"/>
          <w:color w:val="000000" w:themeColor="text1"/>
          <w:u w:val="single"/>
          <w14:textFill>
            <w14:solidFill>
              <w14:schemeClr w14:val="tx1"/>
            </w14:solidFill>
          </w14:textFill>
        </w:rPr>
        <w:t>时进入三娘湾离岸浅海养殖区南侧海域，4</w:t>
      </w:r>
      <w:r>
        <w:rPr>
          <w:color w:val="000000" w:themeColor="text1"/>
          <w:u w:val="single"/>
          <w14:textFill>
            <w14:solidFill>
              <w14:schemeClr w14:val="tx1"/>
            </w14:solidFill>
          </w14:textFill>
        </w:rPr>
        <w:t>8-71</w:t>
      </w:r>
      <w:r>
        <w:rPr>
          <w:rFonts w:hint="eastAsia"/>
          <w:color w:val="000000" w:themeColor="text1"/>
          <w:u w:val="single"/>
          <w14:textFill>
            <w14:solidFill>
              <w14:schemeClr w14:val="tx1"/>
            </w14:solidFill>
          </w14:textFill>
        </w:rPr>
        <w:t>时油膜继续向南运动，约6</w:t>
      </w:r>
      <w:r>
        <w:rPr>
          <w:color w:val="000000" w:themeColor="text1"/>
          <w:u w:val="single"/>
          <w14:textFill>
            <w14:solidFill>
              <w14:schemeClr w14:val="tx1"/>
            </w14:solidFill>
          </w14:textFill>
        </w:rPr>
        <w:t>8</w:t>
      </w:r>
      <w:r>
        <w:rPr>
          <w:rFonts w:hint="eastAsia"/>
          <w:color w:val="000000" w:themeColor="text1"/>
          <w:u w:val="single"/>
          <w14:textFill>
            <w14:solidFill>
              <w14:schemeClr w14:val="tx1"/>
            </w14:solidFill>
          </w14:textFill>
        </w:rPr>
        <w:t>时进入海洋牧场，7</w:t>
      </w:r>
      <w:r>
        <w:rPr>
          <w:color w:val="000000" w:themeColor="text1"/>
          <w:u w:val="single"/>
          <w14:textFill>
            <w14:solidFill>
              <w14:schemeClr w14:val="tx1"/>
            </w14:solidFill>
          </w14:textFill>
        </w:rPr>
        <w:t>1</w:t>
      </w:r>
      <w:r>
        <w:rPr>
          <w:rFonts w:hint="eastAsia"/>
          <w:color w:val="000000" w:themeColor="text1"/>
          <w:u w:val="single"/>
          <w14:textFill>
            <w14:solidFill>
              <w14:schemeClr w14:val="tx1"/>
            </w14:solidFill>
          </w14:textFill>
        </w:rPr>
        <w:t>~72时逐渐飘出计算域，由于溢油量较大，此时残油油膜平均厚度仍有</w:t>
      </w:r>
      <w:r>
        <w:rPr>
          <w:color w:val="000000" w:themeColor="text1"/>
          <w:u w:val="single"/>
          <w14:textFill>
            <w14:solidFill>
              <w14:schemeClr w14:val="tx1"/>
            </w14:solidFill>
          </w14:textFill>
        </w:rPr>
        <w:t>53.70mm</w:t>
      </w:r>
      <w:r>
        <w:rPr>
          <w:rFonts w:hint="eastAsia"/>
          <w:color w:val="000000" w:themeColor="text1"/>
          <w:u w:val="single"/>
          <w14:textFill>
            <w14:solidFill>
              <w14:schemeClr w14:val="tx1"/>
            </w14:solidFill>
          </w14:textFill>
        </w:rPr>
        <w:t>。因计算区域外海开边界距北部湾二长棘鲷长毛对虾国家级种质资源保护区（核心区）仅5.5km，</w:t>
      </w:r>
      <w:r>
        <w:rPr>
          <w:color w:val="000000" w:themeColor="text1"/>
          <w:u w:val="single"/>
          <w14:textFill>
            <w14:solidFill>
              <w14:schemeClr w14:val="tx1"/>
            </w14:solidFill>
          </w14:textFill>
        </w:rPr>
        <w:t>72</w:t>
      </w:r>
      <w:r>
        <w:rPr>
          <w:rFonts w:hint="eastAsia"/>
          <w:color w:val="000000" w:themeColor="text1"/>
          <w:u w:val="single"/>
          <w14:textFill>
            <w14:solidFill>
              <w14:schemeClr w14:val="tx1"/>
            </w14:solidFill>
          </w14:textFill>
        </w:rPr>
        <w:t>-</w:t>
      </w:r>
      <w:r>
        <w:rPr>
          <w:color w:val="000000" w:themeColor="text1"/>
          <w:u w:val="single"/>
          <w14:textFill>
            <w14:solidFill>
              <w14:schemeClr w14:val="tx1"/>
            </w14:solidFill>
          </w14:textFill>
        </w:rPr>
        <w:t>84</w:t>
      </w:r>
      <w:r>
        <w:rPr>
          <w:rFonts w:hint="eastAsia"/>
          <w:color w:val="000000" w:themeColor="text1"/>
          <w:u w:val="single"/>
          <w14:textFill>
            <w14:solidFill>
              <w14:schemeClr w14:val="tx1"/>
            </w14:solidFill>
          </w14:textFill>
        </w:rPr>
        <w:t>时为涨潮阶段，根据估算油膜将继续在实验区南部边缘徘徊，溢油发生</w:t>
      </w:r>
      <w:r>
        <w:rPr>
          <w:color w:val="000000" w:themeColor="text1"/>
          <w:u w:val="single"/>
          <w14:textFill>
            <w14:solidFill>
              <w14:schemeClr w14:val="tx1"/>
            </w14:solidFill>
          </w14:textFill>
        </w:rPr>
        <w:t>85</w:t>
      </w:r>
      <w:r>
        <w:rPr>
          <w:rFonts w:hint="eastAsia"/>
          <w:color w:val="000000" w:themeColor="text1"/>
          <w:u w:val="single"/>
          <w14:textFill>
            <w14:solidFill>
              <w14:schemeClr w14:val="tx1"/>
            </w14:solidFill>
          </w14:textFill>
        </w:rPr>
        <w:t>小时左右进入核心区。溢油发生</w:t>
      </w:r>
      <w:r>
        <w:rPr>
          <w:color w:val="000000" w:themeColor="text1"/>
          <w:u w:val="single"/>
          <w14:textFill>
            <w14:solidFill>
              <w14:schemeClr w14:val="tx1"/>
            </w14:solidFill>
          </w14:textFill>
        </w:rPr>
        <w:t>7</w:t>
      </w:r>
      <w:r>
        <w:rPr>
          <w:rFonts w:hint="eastAsia"/>
          <w:color w:val="000000" w:themeColor="text1"/>
          <w:u w:val="single"/>
          <w14:textFill>
            <w14:solidFill>
              <w14:schemeClr w14:val="tx1"/>
            </w14:solidFill>
          </w14:textFill>
        </w:rPr>
        <w:t>2小时内油膜扫海面积及残油油膜平均厚度见表5.5-</w:t>
      </w:r>
      <w:r>
        <w:rPr>
          <w:color w:val="000000" w:themeColor="text1"/>
          <w:u w:val="single"/>
          <w14:textFill>
            <w14:solidFill>
              <w14:schemeClr w14:val="tx1"/>
            </w14:solidFill>
          </w14:textFill>
        </w:rPr>
        <w:t>4</w:t>
      </w:r>
      <w:r>
        <w:rPr>
          <w:rFonts w:hint="eastAsia"/>
          <w:color w:val="000000" w:themeColor="text1"/>
          <w:u w:val="single"/>
          <w14:textFill>
            <w14:solidFill>
              <w14:schemeClr w14:val="tx1"/>
            </w14:solidFill>
          </w14:textFill>
        </w:rPr>
        <w:t>，</w:t>
      </w:r>
      <w:r>
        <w:rPr>
          <w:color w:val="000000" w:themeColor="text1"/>
          <w:u w:val="single"/>
          <w14:textFill>
            <w14:solidFill>
              <w14:schemeClr w14:val="tx1"/>
            </w14:solidFill>
          </w14:textFill>
        </w:rPr>
        <w:t>7</w:t>
      </w:r>
      <w:r>
        <w:rPr>
          <w:rFonts w:hint="eastAsia"/>
          <w:color w:val="000000" w:themeColor="text1"/>
          <w:u w:val="single"/>
          <w14:textFill>
            <w14:solidFill>
              <w14:schemeClr w14:val="tx1"/>
            </w14:solidFill>
          </w14:textFill>
        </w:rPr>
        <w:t>2小时内油膜合计影响范围见图</w:t>
      </w:r>
      <w:r>
        <w:rPr>
          <w:rFonts w:hint="eastAsia"/>
          <w:color w:val="000000" w:themeColor="text1"/>
          <w:kern w:val="0"/>
          <w:u w:val="single"/>
          <w14:textFill>
            <w14:solidFill>
              <w14:schemeClr w14:val="tx1"/>
            </w14:solidFill>
          </w14:textFill>
        </w:rPr>
        <w:t>5.5.3</w:t>
      </w:r>
      <w:r>
        <w:rPr>
          <w:color w:val="000000" w:themeColor="text1"/>
          <w:u w:val="single"/>
          <w14:textFill>
            <w14:solidFill>
              <w14:schemeClr w14:val="tx1"/>
            </w14:solidFill>
          </w14:textFill>
        </w:rPr>
        <w:t>-3</w:t>
      </w:r>
      <w:r>
        <w:rPr>
          <w:rFonts w:hint="eastAsia"/>
          <w:color w:val="000000" w:themeColor="text1"/>
          <w:u w:val="single"/>
          <w14:textFill>
            <w14:solidFill>
              <w14:schemeClr w14:val="tx1"/>
            </w14:solidFill>
          </w14:textFill>
        </w:rPr>
        <w:t>，油膜运动趋势与环境敏感目标叠置如图</w:t>
      </w:r>
      <w:r>
        <w:rPr>
          <w:rFonts w:hint="eastAsia"/>
          <w:color w:val="000000" w:themeColor="text1"/>
          <w:kern w:val="0"/>
          <w:u w:val="single"/>
          <w14:textFill>
            <w14:solidFill>
              <w14:schemeClr w14:val="tx1"/>
            </w14:solidFill>
          </w14:textFill>
        </w:rPr>
        <w:t>5.5.3</w:t>
      </w:r>
      <w:r>
        <w:rPr>
          <w:rFonts w:hint="eastAsia"/>
          <w:color w:val="000000" w:themeColor="text1"/>
          <w:u w:val="single"/>
          <w14:textFill>
            <w14:solidFill>
              <w14:schemeClr w14:val="tx1"/>
            </w14:solidFill>
          </w14:textFill>
        </w:rPr>
        <w:t>-</w:t>
      </w:r>
      <w:r>
        <w:rPr>
          <w:color w:val="000000" w:themeColor="text1"/>
          <w:u w:val="single"/>
          <w14:textFill>
            <w14:solidFill>
              <w14:schemeClr w14:val="tx1"/>
            </w14:solidFill>
          </w14:textFill>
        </w:rPr>
        <w:t>4</w:t>
      </w:r>
      <w:r>
        <w:rPr>
          <w:rFonts w:hint="eastAsia"/>
          <w:color w:val="000000" w:themeColor="text1"/>
          <w:u w:val="single"/>
          <w14:textFill>
            <w14:solidFill>
              <w14:schemeClr w14:val="tx1"/>
            </w14:solidFill>
          </w14:textFill>
        </w:rPr>
        <w:t>所示。</w:t>
      </w:r>
    </w:p>
    <w:p w14:paraId="405ED7B8">
      <w:pPr>
        <w:pStyle w:val="7"/>
        <w:rPr>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 冬</w:t>
      </w:r>
      <w:r>
        <w:rPr>
          <w:color w:val="000000" w:themeColor="text1"/>
          <w14:textFill>
            <w14:solidFill>
              <w14:schemeClr w14:val="tx1"/>
            </w14:solidFill>
          </w14:textFill>
        </w:rPr>
        <w:t>季主导风</w:t>
      </w:r>
      <w:r>
        <w:rPr>
          <w:rFonts w:hint="eastAsia"/>
          <w:color w:val="000000" w:themeColor="text1"/>
          <w14:textFill>
            <w14:solidFill>
              <w14:schemeClr w14:val="tx1"/>
            </w14:solidFill>
          </w14:textFill>
        </w:rPr>
        <w:t>N条件下落潮时溢油扫海面积</w:t>
      </w:r>
    </w:p>
    <w:tbl>
      <w:tblPr>
        <w:tblStyle w:val="43"/>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583"/>
        <w:gridCol w:w="1387"/>
        <w:gridCol w:w="1387"/>
        <w:gridCol w:w="1387"/>
        <w:gridCol w:w="1388"/>
        <w:gridCol w:w="1390"/>
      </w:tblGrid>
      <w:tr w14:paraId="04EF626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40" w:hRule="atLeast"/>
          <w:jc w:val="center"/>
        </w:trPr>
        <w:tc>
          <w:tcPr>
            <w:tcW w:w="929" w:type="pct"/>
            <w:vMerge w:val="restart"/>
            <w:tcMar>
              <w:top w:w="57" w:type="dxa"/>
              <w:bottom w:w="57" w:type="dxa"/>
            </w:tcMar>
            <w:vAlign w:val="center"/>
          </w:tcPr>
          <w:p w14:paraId="5A3721E9">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项目</w:t>
            </w:r>
          </w:p>
        </w:tc>
        <w:tc>
          <w:tcPr>
            <w:tcW w:w="4071" w:type="pct"/>
            <w:gridSpan w:val="5"/>
            <w:tcMar>
              <w:top w:w="57" w:type="dxa"/>
              <w:bottom w:w="57" w:type="dxa"/>
            </w:tcMar>
            <w:vAlign w:val="center"/>
          </w:tcPr>
          <w:p w14:paraId="52051C18">
            <w:pPr>
              <w:spacing w:line="240" w:lineRule="atLeast"/>
              <w:ind w:firstLine="0" w:firstLineChars="0"/>
              <w:jc w:val="center"/>
              <w:rPr>
                <w:b/>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泄漏发生经历时间（小时）</w:t>
            </w:r>
          </w:p>
        </w:tc>
      </w:tr>
      <w:tr w14:paraId="19A22F4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5" w:hRule="atLeast"/>
          <w:jc w:val="center"/>
        </w:trPr>
        <w:tc>
          <w:tcPr>
            <w:tcW w:w="929" w:type="pct"/>
            <w:vMerge w:val="continue"/>
            <w:tcMar>
              <w:top w:w="57" w:type="dxa"/>
              <w:bottom w:w="57" w:type="dxa"/>
            </w:tcMar>
            <w:vAlign w:val="center"/>
          </w:tcPr>
          <w:p w14:paraId="646DF347">
            <w:pPr>
              <w:spacing w:line="240" w:lineRule="atLeast"/>
              <w:ind w:firstLine="0" w:firstLineChars="0"/>
              <w:jc w:val="center"/>
              <w:rPr>
                <w:color w:val="000000" w:themeColor="text1"/>
                <w:sz w:val="21"/>
                <w:szCs w:val="21"/>
                <w14:textFill>
                  <w14:solidFill>
                    <w14:schemeClr w14:val="tx1"/>
                  </w14:solidFill>
                </w14:textFill>
              </w:rPr>
            </w:pPr>
          </w:p>
        </w:tc>
        <w:tc>
          <w:tcPr>
            <w:tcW w:w="814" w:type="pct"/>
            <w:tcMar>
              <w:top w:w="57" w:type="dxa"/>
              <w:bottom w:w="57" w:type="dxa"/>
            </w:tcMar>
            <w:vAlign w:val="center"/>
          </w:tcPr>
          <w:p w14:paraId="7B046004">
            <w:pPr>
              <w:spacing w:line="240" w:lineRule="atLeast"/>
              <w:ind w:firstLine="0" w:firstLineChars="0"/>
              <w:jc w:val="center"/>
              <w:rPr>
                <w:b/>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1</w:t>
            </w:r>
          </w:p>
        </w:tc>
        <w:tc>
          <w:tcPr>
            <w:tcW w:w="814" w:type="pct"/>
            <w:vAlign w:val="center"/>
          </w:tcPr>
          <w:p w14:paraId="6862AE16">
            <w:pPr>
              <w:spacing w:line="240" w:lineRule="atLeast"/>
              <w:ind w:firstLine="0" w:firstLineChars="0"/>
              <w:jc w:val="center"/>
              <w:rPr>
                <w:b/>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12</w:t>
            </w:r>
          </w:p>
        </w:tc>
        <w:tc>
          <w:tcPr>
            <w:tcW w:w="814" w:type="pct"/>
            <w:tcMar>
              <w:top w:w="57" w:type="dxa"/>
              <w:bottom w:w="57" w:type="dxa"/>
            </w:tcMar>
            <w:vAlign w:val="center"/>
          </w:tcPr>
          <w:p w14:paraId="10509517">
            <w:pPr>
              <w:spacing w:line="240" w:lineRule="atLeast"/>
              <w:ind w:firstLine="0" w:firstLineChars="0"/>
              <w:jc w:val="center"/>
              <w:rPr>
                <w:b/>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24</w:t>
            </w:r>
          </w:p>
        </w:tc>
        <w:tc>
          <w:tcPr>
            <w:tcW w:w="814" w:type="pct"/>
            <w:tcMar>
              <w:top w:w="57" w:type="dxa"/>
              <w:bottom w:w="57" w:type="dxa"/>
            </w:tcMar>
            <w:vAlign w:val="center"/>
          </w:tcPr>
          <w:p w14:paraId="5F6250A6">
            <w:pPr>
              <w:spacing w:line="240" w:lineRule="atLeast"/>
              <w:ind w:firstLine="0" w:firstLineChars="0"/>
              <w:jc w:val="center"/>
              <w:rPr>
                <w:b/>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48</w:t>
            </w:r>
          </w:p>
        </w:tc>
        <w:tc>
          <w:tcPr>
            <w:tcW w:w="815" w:type="pct"/>
            <w:vAlign w:val="center"/>
          </w:tcPr>
          <w:p w14:paraId="19373B0D">
            <w:pPr>
              <w:spacing w:line="240" w:lineRule="atLeast"/>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7</w:t>
            </w:r>
            <w:r>
              <w:rPr>
                <w:rFonts w:hint="eastAsia"/>
                <w:b/>
                <w:color w:val="000000" w:themeColor="text1"/>
                <w:sz w:val="21"/>
                <w:szCs w:val="21"/>
                <w14:textFill>
                  <w14:solidFill>
                    <w14:schemeClr w14:val="tx1"/>
                  </w14:solidFill>
                </w14:textFill>
              </w:rPr>
              <w:t>2</w:t>
            </w:r>
          </w:p>
        </w:tc>
      </w:tr>
      <w:tr w14:paraId="2B8469C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929" w:type="pct"/>
            <w:tcMar>
              <w:top w:w="57" w:type="dxa"/>
              <w:bottom w:w="57" w:type="dxa"/>
            </w:tcMar>
            <w:vAlign w:val="center"/>
          </w:tcPr>
          <w:p w14:paraId="1EFDF8D9">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油膜扫海面积（km</w:t>
            </w:r>
            <w:r>
              <w:rPr>
                <w:rFonts w:hint="eastAsia"/>
                <w:color w:val="000000" w:themeColor="text1"/>
                <w:sz w:val="21"/>
                <w:szCs w:val="21"/>
                <w:vertAlign w:val="superscript"/>
                <w14:textFill>
                  <w14:solidFill>
                    <w14:schemeClr w14:val="tx1"/>
                  </w14:solidFill>
                </w14:textFill>
              </w:rPr>
              <w:t>2</w:t>
            </w:r>
            <w:r>
              <w:rPr>
                <w:rFonts w:hint="eastAsia"/>
                <w:color w:val="000000" w:themeColor="text1"/>
                <w:sz w:val="21"/>
                <w:szCs w:val="21"/>
                <w14:textFill>
                  <w14:solidFill>
                    <w14:schemeClr w14:val="tx1"/>
                  </w14:solidFill>
                </w14:textFill>
              </w:rPr>
              <w:t>）</w:t>
            </w:r>
          </w:p>
        </w:tc>
        <w:tc>
          <w:tcPr>
            <w:tcW w:w="814" w:type="pct"/>
            <w:tcMar>
              <w:top w:w="57" w:type="dxa"/>
              <w:bottom w:w="57" w:type="dxa"/>
            </w:tcMar>
            <w:vAlign w:val="center"/>
          </w:tcPr>
          <w:p w14:paraId="545AE4F3">
            <w:pPr>
              <w:widowControl/>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0.30</w:t>
            </w:r>
            <w:r>
              <w:rPr>
                <w:color w:val="000000" w:themeColor="text1"/>
                <w:sz w:val="21"/>
                <w:szCs w:val="21"/>
                <w14:textFill>
                  <w14:solidFill>
                    <w14:schemeClr w14:val="tx1"/>
                  </w14:solidFill>
                </w14:textFill>
              </w:rPr>
              <w:t>6</w:t>
            </w:r>
          </w:p>
        </w:tc>
        <w:tc>
          <w:tcPr>
            <w:tcW w:w="814" w:type="pct"/>
            <w:vAlign w:val="center"/>
          </w:tcPr>
          <w:p w14:paraId="6EA49705">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8.</w:t>
            </w:r>
            <w:r>
              <w:rPr>
                <w:color w:val="000000" w:themeColor="text1"/>
                <w:sz w:val="21"/>
                <w:szCs w:val="21"/>
                <w14:textFill>
                  <w14:solidFill>
                    <w14:schemeClr w14:val="tx1"/>
                  </w14:solidFill>
                </w14:textFill>
              </w:rPr>
              <w:t>4</w:t>
            </w:r>
            <w:r>
              <w:rPr>
                <w:rFonts w:hint="eastAsia"/>
                <w:color w:val="000000" w:themeColor="text1"/>
                <w:sz w:val="21"/>
                <w:szCs w:val="21"/>
                <w14:textFill>
                  <w14:solidFill>
                    <w14:schemeClr w14:val="tx1"/>
                  </w14:solidFill>
                </w14:textFill>
              </w:rPr>
              <w:t>5</w:t>
            </w:r>
            <w:r>
              <w:rPr>
                <w:color w:val="000000" w:themeColor="text1"/>
                <w:sz w:val="21"/>
                <w:szCs w:val="21"/>
                <w14:textFill>
                  <w14:solidFill>
                    <w14:schemeClr w14:val="tx1"/>
                  </w14:solidFill>
                </w14:textFill>
              </w:rPr>
              <w:t>6</w:t>
            </w:r>
          </w:p>
        </w:tc>
        <w:tc>
          <w:tcPr>
            <w:tcW w:w="814" w:type="pct"/>
            <w:tcMar>
              <w:top w:w="57" w:type="dxa"/>
              <w:bottom w:w="57" w:type="dxa"/>
            </w:tcMar>
            <w:vAlign w:val="center"/>
          </w:tcPr>
          <w:p w14:paraId="0A20B4DC">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33.</w:t>
            </w:r>
            <w:r>
              <w:rPr>
                <w:color w:val="000000" w:themeColor="text1"/>
                <w:sz w:val="21"/>
                <w:szCs w:val="21"/>
                <w14:textFill>
                  <w14:solidFill>
                    <w14:schemeClr w14:val="tx1"/>
                  </w14:solidFill>
                </w14:textFill>
              </w:rPr>
              <w:t>5</w:t>
            </w:r>
            <w:r>
              <w:rPr>
                <w:rFonts w:hint="eastAsia"/>
                <w:color w:val="000000" w:themeColor="text1"/>
                <w:sz w:val="21"/>
                <w:szCs w:val="21"/>
                <w14:textFill>
                  <w14:solidFill>
                    <w14:schemeClr w14:val="tx1"/>
                  </w14:solidFill>
                </w14:textFill>
              </w:rPr>
              <w:t>4</w:t>
            </w:r>
            <w:r>
              <w:rPr>
                <w:color w:val="000000" w:themeColor="text1"/>
                <w:sz w:val="21"/>
                <w:szCs w:val="21"/>
                <w14:textFill>
                  <w14:solidFill>
                    <w14:schemeClr w14:val="tx1"/>
                  </w14:solidFill>
                </w14:textFill>
              </w:rPr>
              <w:t>6</w:t>
            </w:r>
          </w:p>
        </w:tc>
        <w:tc>
          <w:tcPr>
            <w:tcW w:w="814" w:type="pct"/>
            <w:tcMar>
              <w:top w:w="57" w:type="dxa"/>
              <w:bottom w:w="57" w:type="dxa"/>
            </w:tcMar>
            <w:vAlign w:val="center"/>
          </w:tcPr>
          <w:p w14:paraId="7B1F1B61">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12</w:t>
            </w:r>
            <w:r>
              <w:rPr>
                <w:color w:val="000000" w:themeColor="text1"/>
                <w:sz w:val="21"/>
                <w:szCs w:val="21"/>
                <w14:textFill>
                  <w14:solidFill>
                    <w14:schemeClr w14:val="tx1"/>
                  </w14:solidFill>
                </w14:textFill>
              </w:rPr>
              <w:t>7</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112</w:t>
            </w:r>
          </w:p>
        </w:tc>
        <w:tc>
          <w:tcPr>
            <w:tcW w:w="815" w:type="pct"/>
            <w:vAlign w:val="center"/>
          </w:tcPr>
          <w:p w14:paraId="14D85A86">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206.689</w:t>
            </w:r>
          </w:p>
        </w:tc>
      </w:tr>
      <w:tr w14:paraId="06DDF8B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929" w:type="pct"/>
            <w:tcMar>
              <w:top w:w="57" w:type="dxa"/>
              <w:bottom w:w="57" w:type="dxa"/>
            </w:tcMar>
            <w:vAlign w:val="center"/>
          </w:tcPr>
          <w:p w14:paraId="02FD7377">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残油油膜平均厚度（m</w:t>
            </w:r>
            <w:r>
              <w:rPr>
                <w:color w:val="000000" w:themeColor="text1"/>
                <w:sz w:val="21"/>
                <w:szCs w:val="21"/>
                <w14:textFill>
                  <w14:solidFill>
                    <w14:schemeClr w14:val="tx1"/>
                  </w14:solidFill>
                </w14:textFill>
              </w:rPr>
              <w:t>m</w:t>
            </w:r>
            <w:r>
              <w:rPr>
                <w:rFonts w:hint="eastAsia"/>
                <w:color w:val="000000" w:themeColor="text1"/>
                <w:sz w:val="21"/>
                <w:szCs w:val="21"/>
                <w14:textFill>
                  <w14:solidFill>
                    <w14:schemeClr w14:val="tx1"/>
                  </w14:solidFill>
                </w14:textFill>
              </w:rPr>
              <w:t>）</w:t>
            </w:r>
          </w:p>
        </w:tc>
        <w:tc>
          <w:tcPr>
            <w:tcW w:w="814" w:type="pct"/>
            <w:tcMar>
              <w:top w:w="57" w:type="dxa"/>
              <w:bottom w:w="57" w:type="dxa"/>
            </w:tcMar>
            <w:vAlign w:val="center"/>
          </w:tcPr>
          <w:p w14:paraId="58945C4B">
            <w:pPr>
              <w:widowControl/>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4998.21 </w:t>
            </w:r>
          </w:p>
        </w:tc>
        <w:tc>
          <w:tcPr>
            <w:tcW w:w="814" w:type="pct"/>
            <w:vAlign w:val="center"/>
          </w:tcPr>
          <w:p w14:paraId="418BDF45">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606.60 </w:t>
            </w:r>
          </w:p>
        </w:tc>
        <w:tc>
          <w:tcPr>
            <w:tcW w:w="814" w:type="pct"/>
            <w:tcMar>
              <w:top w:w="57" w:type="dxa"/>
              <w:bottom w:w="57" w:type="dxa"/>
            </w:tcMar>
            <w:vAlign w:val="center"/>
          </w:tcPr>
          <w:p w14:paraId="34D17F00">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130.67 </w:t>
            </w:r>
          </w:p>
        </w:tc>
        <w:tc>
          <w:tcPr>
            <w:tcW w:w="814" w:type="pct"/>
            <w:tcMar>
              <w:top w:w="57" w:type="dxa"/>
              <w:bottom w:w="57" w:type="dxa"/>
            </w:tcMar>
            <w:vAlign w:val="center"/>
          </w:tcPr>
          <w:p w14:paraId="203072D6">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65.24 </w:t>
            </w:r>
          </w:p>
        </w:tc>
        <w:tc>
          <w:tcPr>
            <w:tcW w:w="815" w:type="pct"/>
            <w:vAlign w:val="center"/>
          </w:tcPr>
          <w:p w14:paraId="1139AE0D">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 xml:space="preserve">53.13 </w:t>
            </w:r>
            <w:r>
              <w:rPr>
                <w:rFonts w:hint="eastAsia"/>
                <w:color w:val="000000" w:themeColor="text1"/>
                <w:sz w:val="21"/>
                <w:szCs w:val="21"/>
                <w14:textFill>
                  <w14:solidFill>
                    <w14:schemeClr w14:val="tx1"/>
                  </w14:solidFill>
                </w14:textFill>
              </w:rPr>
              <w:t xml:space="preserve"> </w:t>
            </w:r>
          </w:p>
        </w:tc>
      </w:tr>
    </w:tbl>
    <w:p w14:paraId="1F32DDE3">
      <w:pPr>
        <w:widowControl/>
        <w:ind w:firstLine="480"/>
        <w:jc w:val="center"/>
        <w:rPr>
          <w:rFonts w:ascii="宋体" w:hAnsi="宋体" w:cs="宋体"/>
          <w:color w:val="000000" w:themeColor="text1"/>
          <w:kern w:val="0"/>
          <w14:textFill>
            <w14:solidFill>
              <w14:schemeClr w14:val="tx1"/>
            </w14:solidFill>
          </w14:textFill>
        </w:rPr>
      </w:pPr>
    </w:p>
    <w:p w14:paraId="1B1ED1CD">
      <w:pPr>
        <w:widowControl/>
        <w:ind w:firstLine="480"/>
        <w:jc w:val="center"/>
        <w:rPr>
          <w:rFonts w:ascii="宋体" w:hAnsi="宋体" w:cs="宋体"/>
          <w:color w:val="000000" w:themeColor="text1"/>
          <w:kern w:val="0"/>
          <w14:textFill>
            <w14:solidFill>
              <w14:schemeClr w14:val="tx1"/>
            </w14:solidFill>
          </w14:textFill>
        </w:rPr>
      </w:pPr>
      <w:r>
        <w:rPr>
          <w:rFonts w:ascii="宋体" w:hAnsi="宋体" w:cs="宋体"/>
          <w:color w:val="000000" w:themeColor="text1"/>
          <w:kern w:val="0"/>
          <w14:textFill>
            <w14:solidFill>
              <w14:schemeClr w14:val="tx1"/>
            </w14:solidFill>
          </w14:textFill>
        </w:rPr>
        <w:drawing>
          <wp:inline distT="0" distB="0" distL="0" distR="0">
            <wp:extent cx="3009900" cy="3848100"/>
            <wp:effectExtent l="0" t="0" r="0" b="0"/>
            <wp:docPr id="243" name="图片 243" descr="G:\project\2022\jingujiang14-15#\yiyou\luon251128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243" descr="G:\project\2022\jingujiang14-15#\yiyou\luon251128油.jpg"/>
                    <pic:cNvPicPr>
                      <a:picLocks noChangeAspect="1" noChangeArrowheads="1"/>
                    </pic:cNvPicPr>
                  </pic:nvPicPr>
                  <pic:blipFill>
                    <a:blip r:embed="rId234" cstate="print">
                      <a:extLst>
                        <a:ext uri="{28A0092B-C50C-407E-A947-70E740481C1C}">
                          <a14:useLocalDpi xmlns:a14="http://schemas.microsoft.com/office/drawing/2010/main" val="0"/>
                        </a:ext>
                      </a:extLst>
                    </a:blip>
                    <a:srcRect l="655" t="1231" r="3000" b="12101"/>
                    <a:stretch>
                      <a:fillRect/>
                    </a:stretch>
                  </pic:blipFill>
                  <pic:spPr>
                    <a:xfrm>
                      <a:off x="0" y="0"/>
                      <a:ext cx="3013167" cy="3852277"/>
                    </a:xfrm>
                    <a:prstGeom prst="rect">
                      <a:avLst/>
                    </a:prstGeom>
                    <a:noFill/>
                    <a:ln>
                      <a:noFill/>
                    </a:ln>
                  </pic:spPr>
                </pic:pic>
              </a:graphicData>
            </a:graphic>
          </wp:inline>
        </w:drawing>
      </w:r>
    </w:p>
    <w:p w14:paraId="579DFBE8">
      <w:pPr>
        <w:widowControl/>
        <w:ind w:firstLine="482"/>
        <w:jc w:val="center"/>
        <w:rPr>
          <w:rFonts w:ascii="宋体" w:hAnsi="宋体" w:cs="宋体"/>
          <w:color w:val="000000" w:themeColor="text1"/>
          <w:kern w:val="0"/>
          <w14:textFill>
            <w14:solidFill>
              <w14:schemeClr w14:val="tx1"/>
            </w14:solidFill>
          </w14:textFill>
        </w:rPr>
      </w:pPr>
      <w:r>
        <w:rPr>
          <w:rFonts w:hint="eastAsia"/>
          <w:b/>
          <w:color w:val="000000" w:themeColor="text1"/>
          <w14:textFill>
            <w14:solidFill>
              <w14:schemeClr w14:val="tx1"/>
            </w14:solidFill>
          </w14:textFill>
        </w:rPr>
        <w:t>图</w:t>
      </w:r>
      <w:r>
        <w:rPr>
          <w:rFonts w:hint="eastAsia"/>
          <w:color w:val="000000" w:themeColor="text1"/>
          <w:kern w:val="0"/>
          <w14:textFill>
            <w14:solidFill>
              <w14:schemeClr w14:val="tx1"/>
            </w14:solidFill>
          </w14:textFill>
        </w:rPr>
        <w:t>5.5.3</w:t>
      </w:r>
      <w:r>
        <w:rPr>
          <w:rFonts w:hint="eastAsia"/>
          <w:b/>
          <w:color w:val="000000" w:themeColor="text1"/>
          <w14:textFill>
            <w14:solidFill>
              <w14:schemeClr w14:val="tx1"/>
            </w14:solidFill>
          </w14:textFill>
        </w:rPr>
        <w:t>-</w:t>
      </w:r>
      <w:r>
        <w:rPr>
          <w:b/>
          <w:color w:val="000000" w:themeColor="text1"/>
          <w14:textFill>
            <w14:solidFill>
              <w14:schemeClr w14:val="tx1"/>
            </w14:solidFill>
          </w14:textFill>
        </w:rPr>
        <w:t>3</w:t>
      </w:r>
      <w:r>
        <w:rPr>
          <w:rFonts w:hint="eastAsia"/>
          <w:b/>
          <w:color w:val="000000" w:themeColor="text1"/>
          <w14:textFill>
            <w14:solidFill>
              <w14:schemeClr w14:val="tx1"/>
            </w14:solidFill>
          </w14:textFill>
        </w:rPr>
        <w:t xml:space="preserve"> 冬</w:t>
      </w:r>
      <w:r>
        <w:rPr>
          <w:b/>
          <w:color w:val="000000" w:themeColor="text1"/>
          <w14:textFill>
            <w14:solidFill>
              <w14:schemeClr w14:val="tx1"/>
            </w14:solidFill>
          </w14:textFill>
        </w:rPr>
        <w:t>季主导风</w:t>
      </w:r>
      <w:r>
        <w:rPr>
          <w:rFonts w:hint="eastAsia"/>
          <w:b/>
          <w:color w:val="000000" w:themeColor="text1"/>
          <w14:textFill>
            <w14:solidFill>
              <w14:schemeClr w14:val="tx1"/>
            </w14:solidFill>
          </w14:textFill>
        </w:rPr>
        <w:t>N下落潮时溢油油膜影响范围示意</w:t>
      </w:r>
    </w:p>
    <w:p w14:paraId="76521333">
      <w:pPr>
        <w:widowControl/>
        <w:ind w:firstLine="480"/>
        <w:jc w:val="center"/>
        <w:rPr>
          <w:rFonts w:ascii="宋体" w:hAnsi="宋体" w:cs="宋体"/>
          <w:color w:val="000000" w:themeColor="text1"/>
          <w:kern w:val="0"/>
          <w14:textFill>
            <w14:solidFill>
              <w14:schemeClr w14:val="tx1"/>
            </w14:solidFill>
          </w14:textFill>
        </w:rPr>
      </w:pPr>
      <w:r>
        <w:rPr>
          <w:color w:val="000000" w:themeColor="text1"/>
          <w14:textFill>
            <w14:solidFill>
              <w14:schemeClr w14:val="tx1"/>
            </w14:solidFill>
          </w14:textFill>
        </w:rPr>
        <w:drawing>
          <wp:inline distT="0" distB="0" distL="0" distR="0">
            <wp:extent cx="3021965" cy="3959860"/>
            <wp:effectExtent l="0" t="0" r="0" b="0"/>
            <wp:docPr id="244" name="图片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244"/>
                    <pic:cNvPicPr>
                      <a:picLocks noChangeAspect="1"/>
                    </pic:cNvPicPr>
                  </pic:nvPicPr>
                  <pic:blipFill>
                    <a:blip r:embed="rId235"/>
                    <a:stretch>
                      <a:fillRect/>
                    </a:stretch>
                  </pic:blipFill>
                  <pic:spPr>
                    <a:xfrm>
                      <a:off x="0" y="0"/>
                      <a:ext cx="3022306" cy="3960000"/>
                    </a:xfrm>
                    <a:prstGeom prst="rect">
                      <a:avLst/>
                    </a:prstGeom>
                  </pic:spPr>
                </pic:pic>
              </a:graphicData>
            </a:graphic>
          </wp:inline>
        </w:drawing>
      </w:r>
    </w:p>
    <w:p w14:paraId="7D9EFB51">
      <w:pPr>
        <w:ind w:firstLine="482"/>
        <w:jc w:val="center"/>
        <w:rPr>
          <w:b/>
          <w:color w:val="000000" w:themeColor="text1"/>
          <w14:textFill>
            <w14:solidFill>
              <w14:schemeClr w14:val="tx1"/>
            </w14:solidFill>
          </w14:textFill>
        </w:rPr>
      </w:pPr>
      <w:r>
        <w:rPr>
          <w:rFonts w:hint="eastAsia"/>
          <w:b/>
          <w:color w:val="000000" w:themeColor="text1"/>
          <w14:textFill>
            <w14:solidFill>
              <w14:schemeClr w14:val="tx1"/>
            </w14:solidFill>
          </w14:textFill>
        </w:rPr>
        <w:t>图</w:t>
      </w:r>
      <w:r>
        <w:rPr>
          <w:rFonts w:hint="eastAsia"/>
          <w:color w:val="000000" w:themeColor="text1"/>
          <w:kern w:val="0"/>
          <w14:textFill>
            <w14:solidFill>
              <w14:schemeClr w14:val="tx1"/>
            </w14:solidFill>
          </w14:textFill>
        </w:rPr>
        <w:t>5.5.3</w:t>
      </w:r>
      <w:r>
        <w:rPr>
          <w:rFonts w:hint="eastAsia"/>
          <w:b/>
          <w:color w:val="000000" w:themeColor="text1"/>
          <w14:textFill>
            <w14:solidFill>
              <w14:schemeClr w14:val="tx1"/>
            </w14:solidFill>
          </w14:textFill>
        </w:rPr>
        <w:t>-</w:t>
      </w:r>
      <w:r>
        <w:rPr>
          <w:b/>
          <w:color w:val="000000" w:themeColor="text1"/>
          <w14:textFill>
            <w14:solidFill>
              <w14:schemeClr w14:val="tx1"/>
            </w14:solidFill>
          </w14:textFill>
        </w:rPr>
        <w:t>4</w:t>
      </w:r>
      <w:r>
        <w:rPr>
          <w:rFonts w:hint="eastAsia"/>
          <w:b/>
          <w:color w:val="000000" w:themeColor="text1"/>
          <w14:textFill>
            <w14:solidFill>
              <w14:schemeClr w14:val="tx1"/>
            </w14:solidFill>
          </w14:textFill>
        </w:rPr>
        <w:t xml:space="preserve"> 冬</w:t>
      </w:r>
      <w:r>
        <w:rPr>
          <w:b/>
          <w:color w:val="000000" w:themeColor="text1"/>
          <w14:textFill>
            <w14:solidFill>
              <w14:schemeClr w14:val="tx1"/>
            </w14:solidFill>
          </w14:textFill>
        </w:rPr>
        <w:t>季主导风</w:t>
      </w:r>
      <w:r>
        <w:rPr>
          <w:rFonts w:hint="eastAsia"/>
          <w:b/>
          <w:color w:val="000000" w:themeColor="text1"/>
          <w14:textFill>
            <w14:solidFill>
              <w14:schemeClr w14:val="tx1"/>
            </w14:solidFill>
          </w14:textFill>
        </w:rPr>
        <w:t>N下落潮时溢油油膜运动轨迹（叠加敏感目标）</w:t>
      </w:r>
    </w:p>
    <w:p w14:paraId="1F5BC75D">
      <w:pPr>
        <w:ind w:firstLine="480"/>
        <w:rPr>
          <w:color w:val="000000" w:themeColor="text1"/>
          <w14:textFill>
            <w14:solidFill>
              <w14:schemeClr w14:val="tx1"/>
            </w14:solidFill>
          </w14:textFill>
        </w:rPr>
      </w:pPr>
      <w:r>
        <w:rPr>
          <w:rFonts w:hAnsi="宋体"/>
          <w:color w:val="000000" w:themeColor="text1"/>
          <w14:textFill>
            <w14:solidFill>
              <w14:schemeClr w14:val="tx1"/>
            </w14:solidFill>
          </w14:textFill>
        </w:rPr>
        <w:t>（</w:t>
      </w:r>
      <w:r>
        <w:rPr>
          <w:rFonts w:hint="eastAsia"/>
          <w:color w:val="000000" w:themeColor="text1"/>
          <w14:textFill>
            <w14:solidFill>
              <w14:schemeClr w14:val="tx1"/>
            </w14:solidFill>
          </w14:textFill>
        </w:rPr>
        <w:t>3</w:t>
      </w:r>
      <w:r>
        <w:rPr>
          <w:rFonts w:hAnsi="宋体"/>
          <w:color w:val="000000" w:themeColor="text1"/>
          <w14:textFill>
            <w14:solidFill>
              <w14:schemeClr w14:val="tx1"/>
            </w14:solidFill>
          </w14:textFill>
        </w:rPr>
        <w:t>）</w:t>
      </w:r>
      <w:r>
        <w:rPr>
          <w:rFonts w:hint="eastAsia"/>
          <w:color w:val="000000" w:themeColor="text1"/>
          <w14:textFill>
            <w14:solidFill>
              <w14:schemeClr w14:val="tx1"/>
            </w14:solidFill>
          </w14:textFill>
        </w:rPr>
        <w:t>夏</w:t>
      </w:r>
      <w:r>
        <w:rPr>
          <w:color w:val="000000" w:themeColor="text1"/>
          <w14:textFill>
            <w14:solidFill>
              <w14:schemeClr w14:val="tx1"/>
            </w14:solidFill>
          </w14:textFill>
        </w:rPr>
        <w:t>季主导风</w:t>
      </w:r>
      <w:r>
        <w:rPr>
          <w:rFonts w:hint="eastAsia"/>
          <w:color w:val="000000" w:themeColor="text1"/>
          <w14:textFill>
            <w14:solidFill>
              <w14:schemeClr w14:val="tx1"/>
            </w14:solidFill>
          </w14:textFill>
        </w:rPr>
        <w:t>S，大潮涨潮</w:t>
      </w:r>
    </w:p>
    <w:p w14:paraId="7FB9CC37">
      <w:pPr>
        <w:ind w:firstLine="480"/>
        <w:rPr>
          <w:rFonts w:hAnsi="宋体"/>
          <w:color w:val="000000" w:themeColor="text1"/>
          <w:u w:val="single"/>
          <w14:textFill>
            <w14:solidFill>
              <w14:schemeClr w14:val="tx1"/>
            </w14:solidFill>
          </w14:textFill>
        </w:rPr>
      </w:pPr>
      <w:r>
        <w:rPr>
          <w:rFonts w:hint="eastAsia" w:hAnsi="宋体"/>
          <w:color w:val="000000" w:themeColor="text1"/>
          <w:u w:val="single"/>
          <w14:textFill>
            <w14:solidFill>
              <w14:schemeClr w14:val="tx1"/>
            </w14:solidFill>
          </w14:textFill>
        </w:rPr>
        <w:t>在5.1m/s的S风以及涨潮流作用下</w:t>
      </w:r>
      <w:r>
        <w:rPr>
          <w:rFonts w:hAnsi="宋体"/>
          <w:color w:val="000000" w:themeColor="text1"/>
          <w:u w:val="single"/>
          <w14:textFill>
            <w14:solidFill>
              <w14:schemeClr w14:val="tx1"/>
            </w14:solidFill>
          </w14:textFill>
        </w:rPr>
        <w:t>，</w:t>
      </w:r>
      <w:r>
        <w:rPr>
          <w:rFonts w:hint="eastAsia"/>
          <w:color w:val="000000" w:themeColor="text1"/>
          <w:u w:val="single"/>
          <w14:textFill>
            <w14:solidFill>
              <w14:schemeClr w14:val="tx1"/>
            </w14:solidFill>
          </w14:textFill>
        </w:rPr>
        <w:t>溢油发生1小时后部分油膜在本项目北侧临近岸线登陆，剩余油膜继续向金鼓江上游运动，</w:t>
      </w:r>
      <w:r>
        <w:rPr>
          <w:color w:val="000000" w:themeColor="text1"/>
          <w:u w:val="single"/>
          <w14:textFill>
            <w14:solidFill>
              <w14:schemeClr w14:val="tx1"/>
            </w14:solidFill>
          </w14:textFill>
        </w:rPr>
        <w:t>3</w:t>
      </w:r>
      <w:r>
        <w:rPr>
          <w:rFonts w:hint="eastAsia"/>
          <w:color w:val="000000" w:themeColor="text1"/>
          <w:u w:val="single"/>
          <w14:textFill>
            <w14:solidFill>
              <w14:schemeClr w14:val="tx1"/>
            </w14:solidFill>
          </w14:textFill>
        </w:rPr>
        <w:t>小时后油膜到达金鼓江支流-望鸦江口，油膜一支沿望鸦江北上6小时后受岸线阻挡吸附而完全登陆，油膜另一支继续沿金鼓江主流北上逐渐扫过整个江面，1</w:t>
      </w:r>
      <w:r>
        <w:rPr>
          <w:color w:val="000000" w:themeColor="text1"/>
          <w:u w:val="single"/>
          <w14:textFill>
            <w14:solidFill>
              <w14:schemeClr w14:val="tx1"/>
            </w14:solidFill>
          </w14:textFill>
        </w:rPr>
        <w:t>0</w:t>
      </w:r>
      <w:r>
        <w:rPr>
          <w:rFonts w:hint="eastAsia"/>
          <w:color w:val="000000" w:themeColor="text1"/>
          <w:u w:val="single"/>
          <w14:textFill>
            <w14:solidFill>
              <w14:schemeClr w14:val="tx1"/>
            </w14:solidFill>
          </w14:textFill>
        </w:rPr>
        <w:t>时后受岸线阻挡而全部登陆</w:t>
      </w:r>
      <w:r>
        <w:rPr>
          <w:rFonts w:hAnsi="宋体"/>
          <w:color w:val="000000" w:themeColor="text1"/>
          <w:u w:val="single"/>
          <w14:textFill>
            <w14:solidFill>
              <w14:schemeClr w14:val="tx1"/>
            </w14:solidFill>
          </w14:textFill>
        </w:rPr>
        <w:t>。</w:t>
      </w:r>
      <w:r>
        <w:rPr>
          <w:rFonts w:hint="eastAsia"/>
          <w:color w:val="000000" w:themeColor="text1"/>
          <w:u w:val="single"/>
          <w14:textFill>
            <w14:solidFill>
              <w14:schemeClr w14:val="tx1"/>
            </w14:solidFill>
          </w14:textFill>
        </w:rPr>
        <w:t>由于扩散区域地形限制，1</w:t>
      </w:r>
      <w:r>
        <w:rPr>
          <w:color w:val="000000" w:themeColor="text1"/>
          <w:u w:val="single"/>
          <w14:textFill>
            <w14:solidFill>
              <w14:schemeClr w14:val="tx1"/>
            </w14:solidFill>
          </w14:textFill>
        </w:rPr>
        <w:t>0</w:t>
      </w:r>
      <w:r>
        <w:rPr>
          <w:rFonts w:hint="eastAsia"/>
          <w:color w:val="000000" w:themeColor="text1"/>
          <w:u w:val="single"/>
          <w14:textFill>
            <w14:solidFill>
              <w14:schemeClr w14:val="tx1"/>
            </w14:solidFill>
          </w14:textFill>
        </w:rPr>
        <w:t>小时后残油油膜平均厚度仍有</w:t>
      </w:r>
      <w:r>
        <w:rPr>
          <w:color w:val="000000" w:themeColor="text1"/>
          <w:u w:val="single"/>
          <w14:textFill>
            <w14:solidFill>
              <w14:schemeClr w14:val="tx1"/>
            </w14:solidFill>
          </w14:textFill>
        </w:rPr>
        <w:t>98.90mm</w:t>
      </w:r>
      <w:r>
        <w:rPr>
          <w:rFonts w:hint="eastAsia"/>
          <w:color w:val="000000" w:themeColor="text1"/>
          <w:u w:val="single"/>
          <w14:textFill>
            <w14:solidFill>
              <w14:schemeClr w14:val="tx1"/>
            </w14:solidFill>
          </w14:textFill>
        </w:rPr>
        <w:t>。受岸线阻挡吸附及风、流顶托作用，此后油膜基本停止运动。溢油发生</w:t>
      </w:r>
      <w:r>
        <w:rPr>
          <w:color w:val="000000" w:themeColor="text1"/>
          <w:u w:val="single"/>
          <w14:textFill>
            <w14:solidFill>
              <w14:schemeClr w14:val="tx1"/>
            </w14:solidFill>
          </w14:textFill>
        </w:rPr>
        <w:t>72</w:t>
      </w:r>
      <w:r>
        <w:rPr>
          <w:rFonts w:hint="eastAsia"/>
          <w:color w:val="000000" w:themeColor="text1"/>
          <w:u w:val="single"/>
          <w14:textFill>
            <w14:solidFill>
              <w14:schemeClr w14:val="tx1"/>
            </w14:solidFill>
          </w14:textFill>
        </w:rPr>
        <w:t>小时内油膜扫海面积及残油油膜平均厚度见表5.5-</w:t>
      </w:r>
      <w:r>
        <w:rPr>
          <w:color w:val="000000" w:themeColor="text1"/>
          <w:u w:val="single"/>
          <w14:textFill>
            <w14:solidFill>
              <w14:schemeClr w14:val="tx1"/>
            </w14:solidFill>
          </w14:textFill>
        </w:rPr>
        <w:t>5</w:t>
      </w:r>
      <w:r>
        <w:rPr>
          <w:rFonts w:hint="eastAsia"/>
          <w:color w:val="000000" w:themeColor="text1"/>
          <w:u w:val="single"/>
          <w14:textFill>
            <w14:solidFill>
              <w14:schemeClr w14:val="tx1"/>
            </w14:solidFill>
          </w14:textFill>
        </w:rPr>
        <w:t>，72小时内油膜合计影响范围见图</w:t>
      </w:r>
      <w:r>
        <w:rPr>
          <w:rFonts w:hint="eastAsia"/>
          <w:color w:val="000000" w:themeColor="text1"/>
          <w:kern w:val="0"/>
          <w:u w:val="single"/>
          <w14:textFill>
            <w14:solidFill>
              <w14:schemeClr w14:val="tx1"/>
            </w14:solidFill>
          </w14:textFill>
        </w:rPr>
        <w:t>5.5.3</w:t>
      </w:r>
      <w:r>
        <w:rPr>
          <w:color w:val="000000" w:themeColor="text1"/>
          <w:u w:val="single"/>
          <w14:textFill>
            <w14:solidFill>
              <w14:schemeClr w14:val="tx1"/>
            </w14:solidFill>
          </w14:textFill>
        </w:rPr>
        <w:t>-5</w:t>
      </w:r>
      <w:r>
        <w:rPr>
          <w:rFonts w:hint="eastAsia"/>
          <w:color w:val="000000" w:themeColor="text1"/>
          <w:u w:val="single"/>
          <w14:textFill>
            <w14:solidFill>
              <w14:schemeClr w14:val="tx1"/>
            </w14:solidFill>
          </w14:textFill>
        </w:rPr>
        <w:t>，油膜运动趋势与环境敏感目标叠置如图</w:t>
      </w:r>
      <w:r>
        <w:rPr>
          <w:rFonts w:hint="eastAsia"/>
          <w:color w:val="000000" w:themeColor="text1"/>
          <w:kern w:val="0"/>
          <w:u w:val="single"/>
          <w14:textFill>
            <w14:solidFill>
              <w14:schemeClr w14:val="tx1"/>
            </w14:solidFill>
          </w14:textFill>
        </w:rPr>
        <w:t>5.5.3</w:t>
      </w:r>
      <w:r>
        <w:rPr>
          <w:rFonts w:hint="eastAsia"/>
          <w:color w:val="000000" w:themeColor="text1"/>
          <w:u w:val="single"/>
          <w14:textFill>
            <w14:solidFill>
              <w14:schemeClr w14:val="tx1"/>
            </w14:solidFill>
          </w14:textFill>
        </w:rPr>
        <w:t>-</w:t>
      </w:r>
      <w:r>
        <w:rPr>
          <w:color w:val="000000" w:themeColor="text1"/>
          <w:u w:val="single"/>
          <w14:textFill>
            <w14:solidFill>
              <w14:schemeClr w14:val="tx1"/>
            </w14:solidFill>
          </w14:textFill>
        </w:rPr>
        <w:t>6</w:t>
      </w:r>
      <w:r>
        <w:rPr>
          <w:rFonts w:hint="eastAsia"/>
          <w:color w:val="000000" w:themeColor="text1"/>
          <w:u w:val="single"/>
          <w14:textFill>
            <w14:solidFill>
              <w14:schemeClr w14:val="tx1"/>
            </w14:solidFill>
          </w14:textFill>
        </w:rPr>
        <w:t>所示。</w:t>
      </w:r>
    </w:p>
    <w:p w14:paraId="20B3F206">
      <w:pPr>
        <w:pStyle w:val="7"/>
        <w:rPr>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 冬</w:t>
      </w:r>
      <w:r>
        <w:rPr>
          <w:color w:val="000000" w:themeColor="text1"/>
          <w14:textFill>
            <w14:solidFill>
              <w14:schemeClr w14:val="tx1"/>
            </w14:solidFill>
          </w14:textFill>
        </w:rPr>
        <w:t>季主导风</w:t>
      </w:r>
      <w:r>
        <w:rPr>
          <w:rFonts w:hint="eastAsia"/>
          <w:color w:val="000000" w:themeColor="text1"/>
          <w14:textFill>
            <w14:solidFill>
              <w14:schemeClr w14:val="tx1"/>
            </w14:solidFill>
          </w14:textFill>
        </w:rPr>
        <w:t>S条件下涨潮时溢油扫海面积</w:t>
      </w:r>
    </w:p>
    <w:tbl>
      <w:tblPr>
        <w:tblStyle w:val="43"/>
        <w:tblW w:w="4905"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2521"/>
        <w:gridCol w:w="1167"/>
        <w:gridCol w:w="1169"/>
        <w:gridCol w:w="1169"/>
        <w:gridCol w:w="1169"/>
        <w:gridCol w:w="1165"/>
      </w:tblGrid>
      <w:tr w14:paraId="48B6E91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40" w:hRule="atLeast"/>
          <w:jc w:val="center"/>
        </w:trPr>
        <w:tc>
          <w:tcPr>
            <w:tcW w:w="1508" w:type="pct"/>
            <w:vMerge w:val="restart"/>
            <w:tcMar>
              <w:top w:w="57" w:type="dxa"/>
              <w:bottom w:w="57" w:type="dxa"/>
            </w:tcMar>
            <w:vAlign w:val="center"/>
          </w:tcPr>
          <w:p w14:paraId="34CE3243">
            <w:pPr>
              <w:spacing w:line="240" w:lineRule="atLeast"/>
              <w:ind w:firstLine="0" w:firstLineChars="0"/>
              <w:jc w:val="center"/>
              <w:rPr>
                <w:b/>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项目</w:t>
            </w:r>
          </w:p>
        </w:tc>
        <w:tc>
          <w:tcPr>
            <w:tcW w:w="3492" w:type="pct"/>
            <w:gridSpan w:val="5"/>
            <w:tcMar>
              <w:top w:w="57" w:type="dxa"/>
              <w:bottom w:w="57" w:type="dxa"/>
            </w:tcMar>
            <w:vAlign w:val="center"/>
          </w:tcPr>
          <w:p w14:paraId="089E9FC0">
            <w:pPr>
              <w:spacing w:line="240" w:lineRule="atLeast"/>
              <w:ind w:firstLine="0" w:firstLineChars="0"/>
              <w:jc w:val="center"/>
              <w:rPr>
                <w:b/>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泄漏发生经历时间（小时）</w:t>
            </w:r>
          </w:p>
        </w:tc>
      </w:tr>
      <w:tr w14:paraId="7A4DA37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75" w:hRule="atLeast"/>
          <w:jc w:val="center"/>
        </w:trPr>
        <w:tc>
          <w:tcPr>
            <w:tcW w:w="1508" w:type="pct"/>
            <w:vMerge w:val="continue"/>
            <w:tcMar>
              <w:top w:w="57" w:type="dxa"/>
              <w:bottom w:w="57" w:type="dxa"/>
            </w:tcMar>
            <w:vAlign w:val="center"/>
          </w:tcPr>
          <w:p w14:paraId="3BCE1B7E">
            <w:pPr>
              <w:spacing w:line="240" w:lineRule="atLeast"/>
              <w:ind w:firstLine="0" w:firstLineChars="0"/>
              <w:jc w:val="center"/>
              <w:rPr>
                <w:b/>
                <w:color w:val="000000" w:themeColor="text1"/>
                <w:sz w:val="21"/>
                <w:szCs w:val="21"/>
                <w14:textFill>
                  <w14:solidFill>
                    <w14:schemeClr w14:val="tx1"/>
                  </w14:solidFill>
                </w14:textFill>
              </w:rPr>
            </w:pPr>
          </w:p>
        </w:tc>
        <w:tc>
          <w:tcPr>
            <w:tcW w:w="698" w:type="pct"/>
            <w:tcMar>
              <w:top w:w="57" w:type="dxa"/>
              <w:bottom w:w="57" w:type="dxa"/>
            </w:tcMar>
            <w:vAlign w:val="center"/>
          </w:tcPr>
          <w:p w14:paraId="4B31EBF3">
            <w:pPr>
              <w:spacing w:line="240" w:lineRule="atLeast"/>
              <w:ind w:firstLine="0" w:firstLineChars="0"/>
              <w:jc w:val="center"/>
              <w:rPr>
                <w:b/>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1</w:t>
            </w:r>
          </w:p>
        </w:tc>
        <w:tc>
          <w:tcPr>
            <w:tcW w:w="699" w:type="pct"/>
            <w:tcMar>
              <w:top w:w="57" w:type="dxa"/>
              <w:bottom w:w="57" w:type="dxa"/>
            </w:tcMar>
            <w:vAlign w:val="center"/>
          </w:tcPr>
          <w:p w14:paraId="716F1A42">
            <w:pPr>
              <w:spacing w:line="240" w:lineRule="atLeast"/>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3</w:t>
            </w:r>
          </w:p>
        </w:tc>
        <w:tc>
          <w:tcPr>
            <w:tcW w:w="699" w:type="pct"/>
            <w:tcMar>
              <w:top w:w="57" w:type="dxa"/>
              <w:bottom w:w="57" w:type="dxa"/>
            </w:tcMar>
            <w:vAlign w:val="center"/>
          </w:tcPr>
          <w:p w14:paraId="52054355">
            <w:pPr>
              <w:spacing w:line="240" w:lineRule="atLeast"/>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6</w:t>
            </w:r>
          </w:p>
        </w:tc>
        <w:tc>
          <w:tcPr>
            <w:tcW w:w="699" w:type="pct"/>
            <w:vAlign w:val="center"/>
          </w:tcPr>
          <w:p w14:paraId="7725369A">
            <w:pPr>
              <w:spacing w:line="240" w:lineRule="atLeast"/>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10（登陆）</w:t>
            </w:r>
          </w:p>
        </w:tc>
        <w:tc>
          <w:tcPr>
            <w:tcW w:w="699" w:type="pct"/>
            <w:vAlign w:val="center"/>
          </w:tcPr>
          <w:p w14:paraId="462A7454">
            <w:pPr>
              <w:spacing w:line="240" w:lineRule="atLeast"/>
              <w:ind w:firstLine="0" w:firstLineChars="0"/>
              <w:jc w:val="center"/>
              <w:rPr>
                <w:b/>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72</w:t>
            </w:r>
          </w:p>
        </w:tc>
      </w:tr>
      <w:tr w14:paraId="4FA7E7C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508" w:type="pct"/>
            <w:tcMar>
              <w:top w:w="57" w:type="dxa"/>
              <w:bottom w:w="57" w:type="dxa"/>
            </w:tcMar>
            <w:vAlign w:val="center"/>
          </w:tcPr>
          <w:p w14:paraId="7A79D03B">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油膜扫海面积（km</w:t>
            </w:r>
            <w:r>
              <w:rPr>
                <w:rFonts w:hint="eastAsia"/>
                <w:color w:val="000000" w:themeColor="text1"/>
                <w:sz w:val="21"/>
                <w:szCs w:val="21"/>
                <w:vertAlign w:val="superscript"/>
                <w14:textFill>
                  <w14:solidFill>
                    <w14:schemeClr w14:val="tx1"/>
                  </w14:solidFill>
                </w14:textFill>
              </w:rPr>
              <w:t>2</w:t>
            </w:r>
            <w:r>
              <w:rPr>
                <w:rFonts w:hint="eastAsia"/>
                <w:color w:val="000000" w:themeColor="text1"/>
                <w:sz w:val="21"/>
                <w:szCs w:val="21"/>
                <w14:textFill>
                  <w14:solidFill>
                    <w14:schemeClr w14:val="tx1"/>
                  </w14:solidFill>
                </w14:textFill>
              </w:rPr>
              <w:t>）</w:t>
            </w:r>
          </w:p>
        </w:tc>
        <w:tc>
          <w:tcPr>
            <w:tcW w:w="698" w:type="pct"/>
            <w:tcMar>
              <w:top w:w="57" w:type="dxa"/>
              <w:bottom w:w="57" w:type="dxa"/>
            </w:tcMar>
            <w:vAlign w:val="center"/>
          </w:tcPr>
          <w:p w14:paraId="681891E9">
            <w:pPr>
              <w:widowControl/>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0.14</w:t>
            </w:r>
            <w:r>
              <w:rPr>
                <w:color w:val="000000" w:themeColor="text1"/>
                <w:sz w:val="21"/>
                <w:szCs w:val="21"/>
                <w14:textFill>
                  <w14:solidFill>
                    <w14:schemeClr w14:val="tx1"/>
                  </w14:solidFill>
                </w14:textFill>
              </w:rPr>
              <w:t>6</w:t>
            </w:r>
          </w:p>
        </w:tc>
        <w:tc>
          <w:tcPr>
            <w:tcW w:w="699" w:type="pct"/>
            <w:tcMar>
              <w:top w:w="57" w:type="dxa"/>
              <w:bottom w:w="57" w:type="dxa"/>
            </w:tcMar>
            <w:vAlign w:val="center"/>
          </w:tcPr>
          <w:p w14:paraId="2669761A">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0.6</w:t>
            </w:r>
            <w:r>
              <w:rPr>
                <w:color w:val="000000" w:themeColor="text1"/>
                <w:sz w:val="21"/>
                <w:szCs w:val="21"/>
                <w14:textFill>
                  <w14:solidFill>
                    <w14:schemeClr w14:val="tx1"/>
                  </w14:solidFill>
                </w14:textFill>
              </w:rPr>
              <w:t>48</w:t>
            </w:r>
          </w:p>
        </w:tc>
        <w:tc>
          <w:tcPr>
            <w:tcW w:w="699" w:type="pct"/>
            <w:tcMar>
              <w:top w:w="57" w:type="dxa"/>
              <w:bottom w:w="57" w:type="dxa"/>
            </w:tcMar>
            <w:vAlign w:val="center"/>
          </w:tcPr>
          <w:p w14:paraId="26CE8698">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2.6</w:t>
            </w:r>
            <w:r>
              <w:rPr>
                <w:color w:val="000000" w:themeColor="text1"/>
                <w:sz w:val="21"/>
                <w:szCs w:val="21"/>
                <w14:textFill>
                  <w14:solidFill>
                    <w14:schemeClr w14:val="tx1"/>
                  </w14:solidFill>
                </w14:textFill>
              </w:rPr>
              <w:t>39</w:t>
            </w:r>
          </w:p>
        </w:tc>
        <w:tc>
          <w:tcPr>
            <w:tcW w:w="699" w:type="pct"/>
            <w:vAlign w:val="center"/>
          </w:tcPr>
          <w:p w14:paraId="40673620">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4.5</w:t>
            </w:r>
            <w:r>
              <w:rPr>
                <w:color w:val="000000" w:themeColor="text1"/>
                <w:sz w:val="21"/>
                <w:szCs w:val="21"/>
                <w14:textFill>
                  <w14:solidFill>
                    <w14:schemeClr w14:val="tx1"/>
                  </w14:solidFill>
                </w14:textFill>
              </w:rPr>
              <w:t>88</w:t>
            </w:r>
          </w:p>
        </w:tc>
        <w:tc>
          <w:tcPr>
            <w:tcW w:w="699" w:type="pct"/>
            <w:vAlign w:val="center"/>
          </w:tcPr>
          <w:p w14:paraId="1AE8E55A">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4.595</w:t>
            </w:r>
          </w:p>
        </w:tc>
      </w:tr>
      <w:tr w14:paraId="4063DAE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508" w:type="pct"/>
            <w:tcMar>
              <w:top w:w="57" w:type="dxa"/>
              <w:bottom w:w="57" w:type="dxa"/>
            </w:tcMar>
            <w:vAlign w:val="center"/>
          </w:tcPr>
          <w:p w14:paraId="3E89803F">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残油油膜平均厚度（m</w:t>
            </w:r>
            <w:r>
              <w:rPr>
                <w:color w:val="000000" w:themeColor="text1"/>
                <w:sz w:val="21"/>
                <w:szCs w:val="21"/>
                <w14:textFill>
                  <w14:solidFill>
                    <w14:schemeClr w14:val="tx1"/>
                  </w14:solidFill>
                </w14:textFill>
              </w:rPr>
              <w:t>m</w:t>
            </w:r>
            <w:r>
              <w:rPr>
                <w:rFonts w:hint="eastAsia"/>
                <w:color w:val="000000" w:themeColor="text1"/>
                <w:sz w:val="21"/>
                <w:szCs w:val="21"/>
                <w14:textFill>
                  <w14:solidFill>
                    <w14:schemeClr w14:val="tx1"/>
                  </w14:solidFill>
                </w14:textFill>
              </w:rPr>
              <w:t>）</w:t>
            </w:r>
          </w:p>
        </w:tc>
        <w:tc>
          <w:tcPr>
            <w:tcW w:w="698" w:type="pct"/>
            <w:tcMar>
              <w:top w:w="57" w:type="dxa"/>
              <w:bottom w:w="57" w:type="dxa"/>
            </w:tcMar>
            <w:vAlign w:val="center"/>
          </w:tcPr>
          <w:p w14:paraId="1740C718">
            <w:pPr>
              <w:widowControl/>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5518.43</w:t>
            </w:r>
          </w:p>
        </w:tc>
        <w:tc>
          <w:tcPr>
            <w:tcW w:w="699" w:type="pct"/>
            <w:tcMar>
              <w:top w:w="57" w:type="dxa"/>
              <w:bottom w:w="57" w:type="dxa"/>
            </w:tcMar>
            <w:vAlign w:val="center"/>
          </w:tcPr>
          <w:p w14:paraId="00057EA1">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3419.22</w:t>
            </w:r>
          </w:p>
        </w:tc>
        <w:tc>
          <w:tcPr>
            <w:tcW w:w="699" w:type="pct"/>
            <w:tcMar>
              <w:top w:w="57" w:type="dxa"/>
              <w:bottom w:w="57" w:type="dxa"/>
            </w:tcMar>
            <w:vAlign w:val="center"/>
          </w:tcPr>
          <w:p w14:paraId="55454886">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1355.72</w:t>
            </w:r>
          </w:p>
        </w:tc>
        <w:tc>
          <w:tcPr>
            <w:tcW w:w="699" w:type="pct"/>
            <w:vAlign w:val="center"/>
          </w:tcPr>
          <w:p w14:paraId="75B91946">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98.90</w:t>
            </w:r>
          </w:p>
        </w:tc>
        <w:tc>
          <w:tcPr>
            <w:tcW w:w="699" w:type="pct"/>
            <w:vAlign w:val="center"/>
          </w:tcPr>
          <w:p w14:paraId="6BFE1F5E">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98.76</w:t>
            </w:r>
          </w:p>
        </w:tc>
      </w:tr>
    </w:tbl>
    <w:p w14:paraId="1E609C50">
      <w:pPr>
        <w:widowControl/>
        <w:ind w:firstLine="480"/>
        <w:jc w:val="center"/>
        <w:rPr>
          <w:rFonts w:ascii="宋体" w:hAnsi="宋体" w:cs="宋体"/>
          <w:color w:val="000000" w:themeColor="text1"/>
          <w:kern w:val="0"/>
          <w14:textFill>
            <w14:solidFill>
              <w14:schemeClr w14:val="tx1"/>
            </w14:solidFill>
          </w14:textFill>
        </w:rPr>
      </w:pPr>
      <w:r>
        <w:rPr>
          <w:rFonts w:ascii="宋体" w:hAnsi="宋体" w:cs="宋体"/>
          <w:color w:val="000000" w:themeColor="text1"/>
          <w:kern w:val="0"/>
          <w14:textFill>
            <w14:solidFill>
              <w14:schemeClr w14:val="tx1"/>
            </w14:solidFill>
          </w14:textFill>
        </w:rPr>
        <w:drawing>
          <wp:inline distT="0" distB="0" distL="0" distR="0">
            <wp:extent cx="3028315" cy="3838575"/>
            <wp:effectExtent l="0" t="0" r="635" b="0"/>
            <wp:docPr id="245" name="图片 245" descr="G:\project\2022\jingujiang14-15#\yiyou\zhangs251128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245" descr="G:\project\2022\jingujiang14-15#\yiyou\zhangs251128油.jpg"/>
                    <pic:cNvPicPr>
                      <a:picLocks noChangeAspect="1" noChangeArrowheads="1"/>
                    </pic:cNvPicPr>
                  </pic:nvPicPr>
                  <pic:blipFill>
                    <a:blip r:embed="rId236" cstate="print">
                      <a:extLst>
                        <a:ext uri="{28A0092B-C50C-407E-A947-70E740481C1C}">
                          <a14:useLocalDpi xmlns:a14="http://schemas.microsoft.com/office/drawing/2010/main" val="0"/>
                        </a:ext>
                      </a:extLst>
                    </a:blip>
                    <a:srcRect t="1231" r="3000" b="11897"/>
                    <a:stretch>
                      <a:fillRect/>
                    </a:stretch>
                  </pic:blipFill>
                  <pic:spPr>
                    <a:xfrm>
                      <a:off x="0" y="0"/>
                      <a:ext cx="3026503" cy="3836250"/>
                    </a:xfrm>
                    <a:prstGeom prst="rect">
                      <a:avLst/>
                    </a:prstGeom>
                    <a:noFill/>
                    <a:ln>
                      <a:noFill/>
                    </a:ln>
                  </pic:spPr>
                </pic:pic>
              </a:graphicData>
            </a:graphic>
          </wp:inline>
        </w:drawing>
      </w:r>
    </w:p>
    <w:p w14:paraId="5AACAD6E">
      <w:pPr>
        <w:widowControl/>
        <w:ind w:firstLine="482"/>
        <w:jc w:val="center"/>
        <w:rPr>
          <w:rFonts w:ascii="宋体" w:hAnsi="宋体" w:cs="宋体"/>
          <w:color w:val="000000" w:themeColor="text1"/>
          <w:kern w:val="0"/>
          <w14:textFill>
            <w14:solidFill>
              <w14:schemeClr w14:val="tx1"/>
            </w14:solidFill>
          </w14:textFill>
        </w:rPr>
      </w:pPr>
      <w:r>
        <w:rPr>
          <w:rFonts w:hint="eastAsia"/>
          <w:b/>
          <w:color w:val="000000" w:themeColor="text1"/>
          <w14:textFill>
            <w14:solidFill>
              <w14:schemeClr w14:val="tx1"/>
            </w14:solidFill>
          </w14:textFill>
        </w:rPr>
        <w:t>图</w:t>
      </w:r>
      <w:r>
        <w:rPr>
          <w:rFonts w:hint="eastAsia"/>
          <w:color w:val="000000" w:themeColor="text1"/>
          <w:kern w:val="0"/>
          <w14:textFill>
            <w14:solidFill>
              <w14:schemeClr w14:val="tx1"/>
            </w14:solidFill>
          </w14:textFill>
        </w:rPr>
        <w:t>5.5.3</w:t>
      </w:r>
      <w:r>
        <w:rPr>
          <w:rFonts w:hint="eastAsia"/>
          <w:b/>
          <w:color w:val="000000" w:themeColor="text1"/>
          <w14:textFill>
            <w14:solidFill>
              <w14:schemeClr w14:val="tx1"/>
            </w14:solidFill>
          </w14:textFill>
        </w:rPr>
        <w:t>-</w:t>
      </w:r>
      <w:r>
        <w:rPr>
          <w:b/>
          <w:color w:val="000000" w:themeColor="text1"/>
          <w14:textFill>
            <w14:solidFill>
              <w14:schemeClr w14:val="tx1"/>
            </w14:solidFill>
          </w14:textFill>
        </w:rPr>
        <w:t>5</w:t>
      </w:r>
      <w:r>
        <w:rPr>
          <w:rFonts w:hint="eastAsia"/>
          <w:b/>
          <w:color w:val="000000" w:themeColor="text1"/>
          <w14:textFill>
            <w14:solidFill>
              <w14:schemeClr w14:val="tx1"/>
            </w14:solidFill>
          </w14:textFill>
        </w:rPr>
        <w:t xml:space="preserve"> 夏季主导风S条件下涨潮时溢油油膜影响范围示意</w:t>
      </w:r>
    </w:p>
    <w:p w14:paraId="19E54003">
      <w:pPr>
        <w:widowControl/>
        <w:ind w:firstLine="480"/>
        <w:jc w:val="center"/>
        <w:rPr>
          <w:rFonts w:ascii="宋体" w:hAnsi="宋体" w:cs="宋体"/>
          <w:color w:val="000000" w:themeColor="text1"/>
          <w:kern w:val="0"/>
          <w14:textFill>
            <w14:solidFill>
              <w14:schemeClr w14:val="tx1"/>
            </w14:solidFill>
          </w14:textFill>
        </w:rPr>
      </w:pPr>
      <w:r>
        <w:rPr>
          <w:color w:val="000000" w:themeColor="text1"/>
          <w14:textFill>
            <w14:solidFill>
              <w14:schemeClr w14:val="tx1"/>
            </w14:solidFill>
          </w14:textFill>
        </w:rPr>
        <w:drawing>
          <wp:inline distT="0" distB="0" distL="0" distR="0">
            <wp:extent cx="3013075" cy="3959860"/>
            <wp:effectExtent l="0" t="0" r="0" b="0"/>
            <wp:docPr id="246" name="图片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246"/>
                    <pic:cNvPicPr>
                      <a:picLocks noChangeAspect="1"/>
                    </pic:cNvPicPr>
                  </pic:nvPicPr>
                  <pic:blipFill>
                    <a:blip r:embed="rId237"/>
                    <a:stretch>
                      <a:fillRect/>
                    </a:stretch>
                  </pic:blipFill>
                  <pic:spPr>
                    <a:xfrm>
                      <a:off x="0" y="0"/>
                      <a:ext cx="3013170" cy="3960000"/>
                    </a:xfrm>
                    <a:prstGeom prst="rect">
                      <a:avLst/>
                    </a:prstGeom>
                  </pic:spPr>
                </pic:pic>
              </a:graphicData>
            </a:graphic>
          </wp:inline>
        </w:drawing>
      </w:r>
    </w:p>
    <w:p w14:paraId="5042805F">
      <w:pPr>
        <w:ind w:firstLine="482"/>
        <w:jc w:val="center"/>
        <w:rPr>
          <w:b/>
          <w:color w:val="000000" w:themeColor="text1"/>
          <w14:textFill>
            <w14:solidFill>
              <w14:schemeClr w14:val="tx1"/>
            </w14:solidFill>
          </w14:textFill>
        </w:rPr>
      </w:pPr>
      <w:r>
        <w:rPr>
          <w:rFonts w:hint="eastAsia" w:ascii="宋体" w:hAnsi="宋体"/>
          <w:b/>
          <w:color w:val="000000" w:themeColor="text1"/>
          <w14:textFill>
            <w14:solidFill>
              <w14:schemeClr w14:val="tx1"/>
            </w14:solidFill>
          </w14:textFill>
        </w:rPr>
        <w:t>图</w:t>
      </w:r>
      <w:r>
        <w:rPr>
          <w:rFonts w:hint="eastAsia"/>
          <w:color w:val="000000" w:themeColor="text1"/>
          <w:kern w:val="0"/>
          <w14:textFill>
            <w14:solidFill>
              <w14:schemeClr w14:val="tx1"/>
            </w14:solidFill>
          </w14:textFill>
        </w:rPr>
        <w:t>5.5.3</w:t>
      </w:r>
      <w:r>
        <w:rPr>
          <w:rFonts w:hint="eastAsia" w:ascii="宋体" w:hAnsi="宋体"/>
          <w:b/>
          <w:color w:val="000000" w:themeColor="text1"/>
          <w14:textFill>
            <w14:solidFill>
              <w14:schemeClr w14:val="tx1"/>
            </w14:solidFill>
          </w14:textFill>
        </w:rPr>
        <w:t>-</w:t>
      </w:r>
      <w:r>
        <w:rPr>
          <w:rFonts w:ascii="宋体" w:hAnsi="宋体"/>
          <w:b/>
          <w:color w:val="000000" w:themeColor="text1"/>
          <w14:textFill>
            <w14:solidFill>
              <w14:schemeClr w14:val="tx1"/>
            </w14:solidFill>
          </w14:textFill>
        </w:rPr>
        <w:t>6</w:t>
      </w:r>
      <w:r>
        <w:rPr>
          <w:rFonts w:hint="eastAsia" w:ascii="宋体" w:hAnsi="宋体"/>
          <w:b/>
          <w:color w:val="000000" w:themeColor="text1"/>
          <w14:textFill>
            <w14:solidFill>
              <w14:schemeClr w14:val="tx1"/>
            </w14:solidFill>
          </w14:textFill>
        </w:rPr>
        <w:t xml:space="preserve"> 夏季主导风S条件下涨潮时溢油油膜运动轨迹</w:t>
      </w:r>
      <w:r>
        <w:rPr>
          <w:rFonts w:hint="eastAsia"/>
          <w:b/>
          <w:color w:val="000000" w:themeColor="text1"/>
          <w14:textFill>
            <w14:solidFill>
              <w14:schemeClr w14:val="tx1"/>
            </w14:solidFill>
          </w14:textFill>
        </w:rPr>
        <w:t>（叠加敏感目标）</w:t>
      </w:r>
    </w:p>
    <w:p w14:paraId="580579C6">
      <w:pPr>
        <w:ind w:firstLine="480"/>
        <w:rPr>
          <w:rFonts w:hAnsi="宋体"/>
          <w:color w:val="000000" w:themeColor="text1"/>
          <w14:textFill>
            <w14:solidFill>
              <w14:schemeClr w14:val="tx1"/>
            </w14:solidFill>
          </w14:textFill>
        </w:rPr>
      </w:pPr>
      <w:r>
        <w:rPr>
          <w:rFonts w:hAnsi="宋体"/>
          <w:color w:val="000000" w:themeColor="text1"/>
          <w14:textFill>
            <w14:solidFill>
              <w14:schemeClr w14:val="tx1"/>
            </w14:solidFill>
          </w14:textFill>
        </w:rPr>
        <w:t>（</w:t>
      </w:r>
      <w:r>
        <w:rPr>
          <w:rFonts w:hint="eastAsia"/>
          <w:color w:val="000000" w:themeColor="text1"/>
          <w14:textFill>
            <w14:solidFill>
              <w14:schemeClr w14:val="tx1"/>
            </w14:solidFill>
          </w14:textFill>
        </w:rPr>
        <w:t>4</w:t>
      </w:r>
      <w:r>
        <w:rPr>
          <w:rFonts w:hAnsi="宋体"/>
          <w:color w:val="000000" w:themeColor="text1"/>
          <w14:textFill>
            <w14:solidFill>
              <w14:schemeClr w14:val="tx1"/>
            </w14:solidFill>
          </w14:textFill>
        </w:rPr>
        <w:t>）</w:t>
      </w:r>
      <w:r>
        <w:rPr>
          <w:rFonts w:hint="eastAsia"/>
          <w:color w:val="000000" w:themeColor="text1"/>
          <w14:textFill>
            <w14:solidFill>
              <w14:schemeClr w14:val="tx1"/>
            </w14:solidFill>
          </w14:textFill>
        </w:rPr>
        <w:t>夏</w:t>
      </w:r>
      <w:r>
        <w:rPr>
          <w:color w:val="000000" w:themeColor="text1"/>
          <w14:textFill>
            <w14:solidFill>
              <w14:schemeClr w14:val="tx1"/>
            </w14:solidFill>
          </w14:textFill>
        </w:rPr>
        <w:t>季主导风</w:t>
      </w:r>
      <w:r>
        <w:rPr>
          <w:rFonts w:hint="eastAsia"/>
          <w:color w:val="000000" w:themeColor="text1"/>
          <w14:textFill>
            <w14:solidFill>
              <w14:schemeClr w14:val="tx1"/>
            </w14:solidFill>
          </w14:textFill>
        </w:rPr>
        <w:t>S</w:t>
      </w:r>
      <w:r>
        <w:rPr>
          <w:rFonts w:hint="eastAsia" w:hAnsi="宋体"/>
          <w:color w:val="000000" w:themeColor="text1"/>
          <w14:textFill>
            <w14:solidFill>
              <w14:schemeClr w14:val="tx1"/>
            </w14:solidFill>
          </w14:textFill>
        </w:rPr>
        <w:t>，</w:t>
      </w:r>
      <w:r>
        <w:rPr>
          <w:rFonts w:hAnsi="宋体"/>
          <w:color w:val="000000" w:themeColor="text1"/>
          <w14:textFill>
            <w14:solidFill>
              <w14:schemeClr w14:val="tx1"/>
            </w14:solidFill>
          </w14:textFill>
        </w:rPr>
        <w:t>大潮</w:t>
      </w:r>
      <w:r>
        <w:rPr>
          <w:rFonts w:hint="eastAsia" w:hAnsi="宋体"/>
          <w:color w:val="000000" w:themeColor="text1"/>
          <w14:textFill>
            <w14:solidFill>
              <w14:schemeClr w14:val="tx1"/>
            </w14:solidFill>
          </w14:textFill>
        </w:rPr>
        <w:t>落潮</w:t>
      </w:r>
    </w:p>
    <w:p w14:paraId="6F419B6E">
      <w:pPr>
        <w:ind w:firstLine="480"/>
        <w:rPr>
          <w:color w:val="000000" w:themeColor="text1"/>
          <w:u w:val="single"/>
          <w14:textFill>
            <w14:solidFill>
              <w14:schemeClr w14:val="tx1"/>
            </w14:solidFill>
          </w14:textFill>
        </w:rPr>
      </w:pPr>
      <w:r>
        <w:rPr>
          <w:rFonts w:hint="eastAsia" w:hAnsi="宋体"/>
          <w:color w:val="000000" w:themeColor="text1"/>
          <w:u w:val="single"/>
          <w14:textFill>
            <w14:solidFill>
              <w14:schemeClr w14:val="tx1"/>
            </w14:solidFill>
          </w14:textFill>
        </w:rPr>
        <w:t>在5.1m/s的S风以及落潮流作用下，</w:t>
      </w:r>
      <w:r>
        <w:rPr>
          <w:rFonts w:hint="eastAsia"/>
          <w:color w:val="000000" w:themeColor="text1"/>
          <w:u w:val="single"/>
          <w14:textFill>
            <w14:solidFill>
              <w14:schemeClr w14:val="tx1"/>
            </w14:solidFill>
          </w14:textFill>
        </w:rPr>
        <w:t>当溢油发生1小时后油膜逐渐向本项目西南方岸线靠近</w:t>
      </w:r>
      <w:r>
        <w:rPr>
          <w:rFonts w:hint="eastAsia" w:hAnsi="宋体"/>
          <w:color w:val="000000" w:themeColor="text1"/>
          <w:u w:val="single"/>
          <w14:textFill>
            <w14:solidFill>
              <w14:schemeClr w14:val="tx1"/>
            </w14:solidFill>
          </w14:textFill>
        </w:rPr>
        <w:t>，</w:t>
      </w:r>
      <w:r>
        <w:rPr>
          <w:rFonts w:hAnsi="宋体"/>
          <w:color w:val="000000" w:themeColor="text1"/>
          <w:u w:val="single"/>
          <w14:textFill>
            <w14:solidFill>
              <w14:schemeClr w14:val="tx1"/>
            </w14:solidFill>
          </w14:textFill>
        </w:rPr>
        <w:t>3</w:t>
      </w:r>
      <w:r>
        <w:rPr>
          <w:rFonts w:hint="eastAsia" w:hAnsi="宋体"/>
          <w:color w:val="000000" w:themeColor="text1"/>
          <w:u w:val="single"/>
          <w14:textFill>
            <w14:solidFill>
              <w14:schemeClr w14:val="tx1"/>
            </w14:solidFill>
          </w14:textFill>
        </w:rPr>
        <w:t>小时后油膜受钦州燃煤电厂</w:t>
      </w:r>
      <w:r>
        <w:rPr>
          <w:rFonts w:hint="eastAsia"/>
          <w:color w:val="000000" w:themeColor="text1"/>
          <w:u w:val="single"/>
          <w14:textFill>
            <w14:solidFill>
              <w14:schemeClr w14:val="tx1"/>
            </w14:solidFill>
          </w14:textFill>
        </w:rPr>
        <w:t>东南部岸线阻挡及吸附而登陆，5小时后油膜全部登陆。由于溢油量较大且扩散区域地形限制，</w:t>
      </w:r>
      <w:r>
        <w:rPr>
          <w:color w:val="000000" w:themeColor="text1"/>
          <w:u w:val="single"/>
          <w14:textFill>
            <w14:solidFill>
              <w14:schemeClr w14:val="tx1"/>
            </w14:solidFill>
          </w14:textFill>
        </w:rPr>
        <w:t>5</w:t>
      </w:r>
      <w:r>
        <w:rPr>
          <w:rFonts w:hint="eastAsia"/>
          <w:color w:val="000000" w:themeColor="text1"/>
          <w:u w:val="single"/>
          <w14:textFill>
            <w14:solidFill>
              <w14:schemeClr w14:val="tx1"/>
            </w14:solidFill>
          </w14:textFill>
        </w:rPr>
        <w:t>小时后残油油膜在岸边堆积的平均厚度仍有</w:t>
      </w:r>
      <w:r>
        <w:rPr>
          <w:color w:val="000000" w:themeColor="text1"/>
          <w:sz w:val="22"/>
          <w:szCs w:val="22"/>
          <w:u w:val="single"/>
          <w14:textFill>
            <w14:solidFill>
              <w14:schemeClr w14:val="tx1"/>
            </w14:solidFill>
          </w14:textFill>
        </w:rPr>
        <w:t>4816.51</w:t>
      </w:r>
      <w:r>
        <w:rPr>
          <w:color w:val="000000" w:themeColor="text1"/>
          <w:u w:val="single"/>
          <w14:textFill>
            <w14:solidFill>
              <w14:schemeClr w14:val="tx1"/>
            </w14:solidFill>
          </w14:textFill>
        </w:rPr>
        <w:t>mm</w:t>
      </w:r>
      <w:bookmarkStart w:id="732" w:name="OLE_LINK3"/>
      <w:bookmarkStart w:id="733" w:name="OLE_LINK2"/>
      <w:r>
        <w:rPr>
          <w:color w:val="000000" w:themeColor="text1"/>
          <w:u w:val="single"/>
          <w14:textFill>
            <w14:solidFill>
              <w14:schemeClr w14:val="tx1"/>
            </w14:solidFill>
          </w14:textFill>
        </w:rPr>
        <w:t>，</w:t>
      </w:r>
      <w:r>
        <w:rPr>
          <w:rFonts w:hint="eastAsia"/>
          <w:color w:val="000000" w:themeColor="text1"/>
          <w:u w:val="single"/>
          <w14:textFill>
            <w14:solidFill>
              <w14:schemeClr w14:val="tx1"/>
            </w14:solidFill>
          </w14:textFill>
        </w:rPr>
        <w:t>受岸线阻挡吸附及风、流顶托作用，此后油膜基本停止运动</w:t>
      </w:r>
      <w:bookmarkEnd w:id="732"/>
      <w:bookmarkEnd w:id="733"/>
      <w:r>
        <w:rPr>
          <w:rFonts w:hint="eastAsia"/>
          <w:color w:val="000000" w:themeColor="text1"/>
          <w:u w:val="single"/>
          <w14:textFill>
            <w14:solidFill>
              <w14:schemeClr w14:val="tx1"/>
            </w14:solidFill>
          </w14:textFill>
        </w:rPr>
        <w:t>。溢油发生72小时内油膜扫海面积及残油油膜平均厚度见表5.5-</w:t>
      </w:r>
      <w:r>
        <w:rPr>
          <w:color w:val="000000" w:themeColor="text1"/>
          <w:u w:val="single"/>
          <w14:textFill>
            <w14:solidFill>
              <w14:schemeClr w14:val="tx1"/>
            </w14:solidFill>
          </w14:textFill>
        </w:rPr>
        <w:t>6</w:t>
      </w:r>
      <w:r>
        <w:rPr>
          <w:rFonts w:hint="eastAsia"/>
          <w:color w:val="000000" w:themeColor="text1"/>
          <w:u w:val="single"/>
          <w14:textFill>
            <w14:solidFill>
              <w14:schemeClr w14:val="tx1"/>
            </w14:solidFill>
          </w14:textFill>
        </w:rPr>
        <w:t>，</w:t>
      </w:r>
      <w:r>
        <w:rPr>
          <w:color w:val="000000" w:themeColor="text1"/>
          <w:u w:val="single"/>
          <w14:textFill>
            <w14:solidFill>
              <w14:schemeClr w14:val="tx1"/>
            </w14:solidFill>
          </w14:textFill>
        </w:rPr>
        <w:t>5</w:t>
      </w:r>
      <w:r>
        <w:rPr>
          <w:rFonts w:hint="eastAsia"/>
          <w:color w:val="000000" w:themeColor="text1"/>
          <w:u w:val="single"/>
          <w14:textFill>
            <w14:solidFill>
              <w14:schemeClr w14:val="tx1"/>
            </w14:solidFill>
          </w14:textFill>
        </w:rPr>
        <w:t>小时内油膜合计影响范围见图</w:t>
      </w:r>
      <w:r>
        <w:rPr>
          <w:rFonts w:hint="eastAsia"/>
          <w:color w:val="000000" w:themeColor="text1"/>
          <w:kern w:val="0"/>
          <w:u w:val="single"/>
          <w14:textFill>
            <w14:solidFill>
              <w14:schemeClr w14:val="tx1"/>
            </w14:solidFill>
          </w14:textFill>
        </w:rPr>
        <w:t>5.5.3</w:t>
      </w:r>
      <w:r>
        <w:rPr>
          <w:color w:val="000000" w:themeColor="text1"/>
          <w:u w:val="single"/>
          <w14:textFill>
            <w14:solidFill>
              <w14:schemeClr w14:val="tx1"/>
            </w14:solidFill>
          </w14:textFill>
        </w:rPr>
        <w:t>-7</w:t>
      </w:r>
      <w:r>
        <w:rPr>
          <w:rFonts w:hint="eastAsia"/>
          <w:color w:val="000000" w:themeColor="text1"/>
          <w:u w:val="single"/>
          <w14:textFill>
            <w14:solidFill>
              <w14:schemeClr w14:val="tx1"/>
            </w14:solidFill>
          </w14:textFill>
        </w:rPr>
        <w:t>，油膜运动趋势与环境敏感目标叠置如图</w:t>
      </w:r>
      <w:r>
        <w:rPr>
          <w:rFonts w:hint="eastAsia"/>
          <w:color w:val="000000" w:themeColor="text1"/>
          <w:kern w:val="0"/>
          <w:u w:val="single"/>
          <w14:textFill>
            <w14:solidFill>
              <w14:schemeClr w14:val="tx1"/>
            </w14:solidFill>
          </w14:textFill>
        </w:rPr>
        <w:t>5.5.3</w:t>
      </w:r>
      <w:r>
        <w:rPr>
          <w:rFonts w:hint="eastAsia"/>
          <w:color w:val="000000" w:themeColor="text1"/>
          <w:u w:val="single"/>
          <w14:textFill>
            <w14:solidFill>
              <w14:schemeClr w14:val="tx1"/>
            </w14:solidFill>
          </w14:textFill>
        </w:rPr>
        <w:t>-</w:t>
      </w:r>
      <w:r>
        <w:rPr>
          <w:color w:val="000000" w:themeColor="text1"/>
          <w:u w:val="single"/>
          <w14:textFill>
            <w14:solidFill>
              <w14:schemeClr w14:val="tx1"/>
            </w14:solidFill>
          </w14:textFill>
        </w:rPr>
        <w:t>8</w:t>
      </w:r>
      <w:r>
        <w:rPr>
          <w:rFonts w:hint="eastAsia"/>
          <w:color w:val="000000" w:themeColor="text1"/>
          <w:u w:val="single"/>
          <w14:textFill>
            <w14:solidFill>
              <w14:schemeClr w14:val="tx1"/>
            </w14:solidFill>
          </w14:textFill>
        </w:rPr>
        <w:t>所示。</w:t>
      </w:r>
    </w:p>
    <w:p w14:paraId="77921375">
      <w:pPr>
        <w:pStyle w:val="7"/>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 xml:space="preserve"> 冬</w:t>
      </w:r>
      <w:r>
        <w:rPr>
          <w:color w:val="000000" w:themeColor="text1"/>
          <w:u w:val="single"/>
          <w14:textFill>
            <w14:solidFill>
              <w14:schemeClr w14:val="tx1"/>
            </w14:solidFill>
          </w14:textFill>
        </w:rPr>
        <w:t>季主导风</w:t>
      </w:r>
      <w:r>
        <w:rPr>
          <w:rFonts w:hint="eastAsia"/>
          <w:color w:val="000000" w:themeColor="text1"/>
          <w:u w:val="single"/>
          <w14:textFill>
            <w14:solidFill>
              <w14:schemeClr w14:val="tx1"/>
            </w14:solidFill>
          </w14:textFill>
        </w:rPr>
        <w:t>S条件下落潮时溢油扫海面积</w:t>
      </w:r>
    </w:p>
    <w:tbl>
      <w:tblPr>
        <w:tblStyle w:val="43"/>
        <w:tblW w:w="4905"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553"/>
        <w:gridCol w:w="1700"/>
        <w:gridCol w:w="1702"/>
        <w:gridCol w:w="1700"/>
        <w:gridCol w:w="1705"/>
      </w:tblGrid>
      <w:tr w14:paraId="345EC06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40" w:hRule="atLeast"/>
          <w:jc w:val="center"/>
        </w:trPr>
        <w:tc>
          <w:tcPr>
            <w:tcW w:w="929" w:type="pct"/>
            <w:vMerge w:val="restart"/>
            <w:tcMar>
              <w:top w:w="57" w:type="dxa"/>
              <w:bottom w:w="57" w:type="dxa"/>
            </w:tcMar>
            <w:vAlign w:val="center"/>
          </w:tcPr>
          <w:p w14:paraId="61A16885">
            <w:pPr>
              <w:spacing w:line="240" w:lineRule="atLeast"/>
              <w:ind w:firstLine="0" w:firstLineChars="0"/>
              <w:jc w:val="center"/>
              <w:rPr>
                <w:b/>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项目</w:t>
            </w:r>
          </w:p>
        </w:tc>
        <w:tc>
          <w:tcPr>
            <w:tcW w:w="4071" w:type="pct"/>
            <w:gridSpan w:val="4"/>
            <w:tcMar>
              <w:top w:w="57" w:type="dxa"/>
              <w:bottom w:w="57" w:type="dxa"/>
            </w:tcMar>
            <w:vAlign w:val="center"/>
          </w:tcPr>
          <w:p w14:paraId="4CD23F3B">
            <w:pPr>
              <w:spacing w:line="240" w:lineRule="atLeast"/>
              <w:ind w:firstLine="0" w:firstLineChars="0"/>
              <w:jc w:val="center"/>
              <w:rPr>
                <w:b/>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泄漏发生经历时间（小时）</w:t>
            </w:r>
          </w:p>
        </w:tc>
      </w:tr>
      <w:tr w14:paraId="6D035DB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5" w:hRule="atLeast"/>
          <w:jc w:val="center"/>
        </w:trPr>
        <w:tc>
          <w:tcPr>
            <w:tcW w:w="929" w:type="pct"/>
            <w:vMerge w:val="continue"/>
            <w:tcMar>
              <w:top w:w="57" w:type="dxa"/>
              <w:bottom w:w="57" w:type="dxa"/>
            </w:tcMar>
            <w:vAlign w:val="center"/>
          </w:tcPr>
          <w:p w14:paraId="71D6125D">
            <w:pPr>
              <w:spacing w:line="240" w:lineRule="atLeast"/>
              <w:ind w:firstLine="0" w:firstLineChars="0"/>
              <w:jc w:val="center"/>
              <w:rPr>
                <w:b/>
                <w:color w:val="000000" w:themeColor="text1"/>
                <w:sz w:val="21"/>
                <w:szCs w:val="21"/>
                <w14:textFill>
                  <w14:solidFill>
                    <w14:schemeClr w14:val="tx1"/>
                  </w14:solidFill>
                </w14:textFill>
              </w:rPr>
            </w:pPr>
          </w:p>
        </w:tc>
        <w:tc>
          <w:tcPr>
            <w:tcW w:w="1017" w:type="pct"/>
            <w:tcMar>
              <w:top w:w="57" w:type="dxa"/>
              <w:bottom w:w="57" w:type="dxa"/>
            </w:tcMar>
            <w:vAlign w:val="center"/>
          </w:tcPr>
          <w:p w14:paraId="1CD9A82A">
            <w:pPr>
              <w:spacing w:line="240" w:lineRule="atLeast"/>
              <w:ind w:firstLine="0" w:firstLineChars="0"/>
              <w:jc w:val="center"/>
              <w:rPr>
                <w:b/>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1</w:t>
            </w:r>
          </w:p>
        </w:tc>
        <w:tc>
          <w:tcPr>
            <w:tcW w:w="1018" w:type="pct"/>
            <w:tcMar>
              <w:top w:w="57" w:type="dxa"/>
              <w:bottom w:w="57" w:type="dxa"/>
            </w:tcMar>
            <w:vAlign w:val="center"/>
          </w:tcPr>
          <w:p w14:paraId="344C2895">
            <w:pPr>
              <w:spacing w:line="240" w:lineRule="atLeast"/>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3</w:t>
            </w:r>
          </w:p>
        </w:tc>
        <w:tc>
          <w:tcPr>
            <w:tcW w:w="1017" w:type="pct"/>
            <w:tcMar>
              <w:top w:w="57" w:type="dxa"/>
              <w:bottom w:w="57" w:type="dxa"/>
            </w:tcMar>
            <w:vAlign w:val="center"/>
          </w:tcPr>
          <w:p w14:paraId="19EAB13C">
            <w:pPr>
              <w:spacing w:line="240" w:lineRule="atLeast"/>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5（登陆）</w:t>
            </w:r>
          </w:p>
        </w:tc>
        <w:tc>
          <w:tcPr>
            <w:tcW w:w="1018" w:type="pct"/>
            <w:vAlign w:val="center"/>
          </w:tcPr>
          <w:p w14:paraId="0A5ACC9F">
            <w:pPr>
              <w:spacing w:line="240" w:lineRule="atLeast"/>
              <w:ind w:firstLine="0" w:firstLineChars="0"/>
              <w:jc w:val="center"/>
              <w:rPr>
                <w:b/>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72</w:t>
            </w:r>
          </w:p>
        </w:tc>
      </w:tr>
      <w:tr w14:paraId="769257F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929" w:type="pct"/>
            <w:tcMar>
              <w:top w:w="57" w:type="dxa"/>
              <w:bottom w:w="57" w:type="dxa"/>
            </w:tcMar>
            <w:vAlign w:val="center"/>
          </w:tcPr>
          <w:p w14:paraId="5FCCC05B">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油膜扫海面积（km</w:t>
            </w:r>
            <w:r>
              <w:rPr>
                <w:rFonts w:hint="eastAsia"/>
                <w:color w:val="000000" w:themeColor="text1"/>
                <w:sz w:val="21"/>
                <w:szCs w:val="21"/>
                <w:vertAlign w:val="superscript"/>
                <w14:textFill>
                  <w14:solidFill>
                    <w14:schemeClr w14:val="tx1"/>
                  </w14:solidFill>
                </w14:textFill>
              </w:rPr>
              <w:t>2</w:t>
            </w:r>
            <w:r>
              <w:rPr>
                <w:rFonts w:hint="eastAsia"/>
                <w:color w:val="000000" w:themeColor="text1"/>
                <w:sz w:val="21"/>
                <w:szCs w:val="21"/>
                <w14:textFill>
                  <w14:solidFill>
                    <w14:schemeClr w14:val="tx1"/>
                  </w14:solidFill>
                </w14:textFill>
              </w:rPr>
              <w:t>）</w:t>
            </w:r>
          </w:p>
        </w:tc>
        <w:tc>
          <w:tcPr>
            <w:tcW w:w="1017" w:type="pct"/>
            <w:tcMar>
              <w:top w:w="57" w:type="dxa"/>
              <w:bottom w:w="57" w:type="dxa"/>
            </w:tcMar>
            <w:vAlign w:val="center"/>
          </w:tcPr>
          <w:p w14:paraId="05005DED">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r>
              <w:rPr>
                <w:color w:val="000000" w:themeColor="text1"/>
                <w:sz w:val="21"/>
                <w:szCs w:val="21"/>
                <w14:textFill>
                  <w14:solidFill>
                    <w14:schemeClr w14:val="tx1"/>
                  </w14:solidFill>
                </w14:textFill>
              </w:rPr>
              <w:t>.471</w:t>
            </w:r>
          </w:p>
        </w:tc>
        <w:tc>
          <w:tcPr>
            <w:tcW w:w="1018" w:type="pct"/>
            <w:tcMar>
              <w:top w:w="57" w:type="dxa"/>
              <w:bottom w:w="57" w:type="dxa"/>
            </w:tcMar>
            <w:vAlign w:val="center"/>
          </w:tcPr>
          <w:p w14:paraId="7B8A63C3">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1.268</w:t>
            </w:r>
          </w:p>
        </w:tc>
        <w:tc>
          <w:tcPr>
            <w:tcW w:w="1017" w:type="pct"/>
            <w:tcMar>
              <w:top w:w="57" w:type="dxa"/>
              <w:bottom w:w="57" w:type="dxa"/>
            </w:tcMar>
            <w:vAlign w:val="center"/>
          </w:tcPr>
          <w:p w14:paraId="67EC0701">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1.741</w:t>
            </w:r>
          </w:p>
        </w:tc>
        <w:tc>
          <w:tcPr>
            <w:tcW w:w="1018" w:type="pct"/>
            <w:vAlign w:val="center"/>
          </w:tcPr>
          <w:p w14:paraId="659F1FA4">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1.752</w:t>
            </w:r>
          </w:p>
        </w:tc>
      </w:tr>
      <w:tr w14:paraId="3083336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929" w:type="pct"/>
            <w:tcMar>
              <w:top w:w="57" w:type="dxa"/>
              <w:bottom w:w="57" w:type="dxa"/>
            </w:tcMar>
            <w:vAlign w:val="center"/>
          </w:tcPr>
          <w:p w14:paraId="3C2BB18E">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残油油膜平均厚度（m</w:t>
            </w:r>
            <w:r>
              <w:rPr>
                <w:color w:val="000000" w:themeColor="text1"/>
                <w:sz w:val="21"/>
                <w:szCs w:val="21"/>
                <w14:textFill>
                  <w14:solidFill>
                    <w14:schemeClr w14:val="tx1"/>
                  </w14:solidFill>
                </w14:textFill>
              </w:rPr>
              <w:t>m</w:t>
            </w:r>
            <w:r>
              <w:rPr>
                <w:rFonts w:hint="eastAsia"/>
                <w:color w:val="000000" w:themeColor="text1"/>
                <w:sz w:val="21"/>
                <w:szCs w:val="21"/>
                <w14:textFill>
                  <w14:solidFill>
                    <w14:schemeClr w14:val="tx1"/>
                  </w14:solidFill>
                </w14:textFill>
              </w:rPr>
              <w:t>）</w:t>
            </w:r>
          </w:p>
        </w:tc>
        <w:tc>
          <w:tcPr>
            <w:tcW w:w="1017" w:type="pct"/>
            <w:tcMar>
              <w:top w:w="57" w:type="dxa"/>
              <w:bottom w:w="57" w:type="dxa"/>
            </w:tcMar>
            <w:vAlign w:val="center"/>
          </w:tcPr>
          <w:p w14:paraId="6954B6A1">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6012.23</w:t>
            </w:r>
          </w:p>
        </w:tc>
        <w:tc>
          <w:tcPr>
            <w:tcW w:w="1018" w:type="pct"/>
            <w:tcMar>
              <w:top w:w="57" w:type="dxa"/>
              <w:bottom w:w="57" w:type="dxa"/>
            </w:tcMar>
            <w:vAlign w:val="center"/>
          </w:tcPr>
          <w:p w14:paraId="72F69292">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5062.33</w:t>
            </w:r>
          </w:p>
        </w:tc>
        <w:tc>
          <w:tcPr>
            <w:tcW w:w="1017" w:type="pct"/>
            <w:tcMar>
              <w:top w:w="57" w:type="dxa"/>
              <w:bottom w:w="57" w:type="dxa"/>
            </w:tcMar>
            <w:vAlign w:val="center"/>
          </w:tcPr>
          <w:p w14:paraId="60EF9E46">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4816.51</w:t>
            </w:r>
          </w:p>
        </w:tc>
        <w:tc>
          <w:tcPr>
            <w:tcW w:w="1018" w:type="pct"/>
            <w:vAlign w:val="center"/>
          </w:tcPr>
          <w:p w14:paraId="4C94B9EC">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4816.28</w:t>
            </w:r>
          </w:p>
        </w:tc>
      </w:tr>
    </w:tbl>
    <w:p w14:paraId="0AA2E3CD">
      <w:pPr>
        <w:ind w:firstLine="480"/>
        <w:jc w:val="cente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3016885" cy="3819525"/>
            <wp:effectExtent l="0" t="0" r="0" b="0"/>
            <wp:docPr id="247" name="图片 247" descr="G:\project\2022\jingujiang14-15#\yiyou\luos251128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247" descr="G:\project\2022\jingujiang14-15#\yiyou\luos251128油.jpg"/>
                    <pic:cNvPicPr>
                      <a:picLocks noChangeAspect="1" noChangeArrowheads="1"/>
                    </pic:cNvPicPr>
                  </pic:nvPicPr>
                  <pic:blipFill>
                    <a:blip r:embed="rId238" cstate="print">
                      <a:extLst>
                        <a:ext uri="{28A0092B-C50C-407E-A947-70E740481C1C}">
                          <a14:useLocalDpi xmlns:a14="http://schemas.microsoft.com/office/drawing/2010/main" val="0"/>
                        </a:ext>
                      </a:extLst>
                    </a:blip>
                    <a:srcRect l="327" t="1232" r="3163" b="12009"/>
                    <a:stretch>
                      <a:fillRect/>
                    </a:stretch>
                  </pic:blipFill>
                  <pic:spPr>
                    <a:xfrm>
                      <a:off x="0" y="0"/>
                      <a:ext cx="3015072" cy="3817212"/>
                    </a:xfrm>
                    <a:prstGeom prst="rect">
                      <a:avLst/>
                    </a:prstGeom>
                    <a:noFill/>
                    <a:ln>
                      <a:noFill/>
                    </a:ln>
                  </pic:spPr>
                </pic:pic>
              </a:graphicData>
            </a:graphic>
          </wp:inline>
        </w:drawing>
      </w:r>
    </w:p>
    <w:p w14:paraId="5FB3AEFF">
      <w:pPr>
        <w:ind w:firstLine="482"/>
        <w:jc w:val="center"/>
        <w:rPr>
          <w:color w:val="000000" w:themeColor="text1"/>
          <w14:textFill>
            <w14:solidFill>
              <w14:schemeClr w14:val="tx1"/>
            </w14:solidFill>
          </w14:textFill>
        </w:rPr>
      </w:pPr>
      <w:r>
        <w:rPr>
          <w:rFonts w:hint="eastAsia" w:ascii="宋体" w:hAnsi="宋体"/>
          <w:b/>
          <w:color w:val="000000" w:themeColor="text1"/>
          <w14:textFill>
            <w14:solidFill>
              <w14:schemeClr w14:val="tx1"/>
            </w14:solidFill>
          </w14:textFill>
        </w:rPr>
        <w:t>图</w:t>
      </w:r>
      <w:r>
        <w:rPr>
          <w:rFonts w:hint="eastAsia"/>
          <w:color w:val="000000" w:themeColor="text1"/>
          <w:kern w:val="0"/>
          <w14:textFill>
            <w14:solidFill>
              <w14:schemeClr w14:val="tx1"/>
            </w14:solidFill>
          </w14:textFill>
        </w:rPr>
        <w:t>5.5.3</w:t>
      </w:r>
      <w:r>
        <w:rPr>
          <w:rFonts w:hint="eastAsia" w:ascii="宋体" w:hAnsi="宋体"/>
          <w:b/>
          <w:color w:val="000000" w:themeColor="text1"/>
          <w14:textFill>
            <w14:solidFill>
              <w14:schemeClr w14:val="tx1"/>
            </w14:solidFill>
          </w14:textFill>
        </w:rPr>
        <w:t>-</w:t>
      </w:r>
      <w:r>
        <w:rPr>
          <w:rFonts w:ascii="宋体" w:hAnsi="宋体"/>
          <w:b/>
          <w:color w:val="000000" w:themeColor="text1"/>
          <w14:textFill>
            <w14:solidFill>
              <w14:schemeClr w14:val="tx1"/>
            </w14:solidFill>
          </w14:textFill>
        </w:rPr>
        <w:t>7</w:t>
      </w:r>
      <w:r>
        <w:rPr>
          <w:rFonts w:hint="eastAsia" w:ascii="宋体" w:hAnsi="宋体"/>
          <w:b/>
          <w:color w:val="000000" w:themeColor="text1"/>
          <w14:textFill>
            <w14:solidFill>
              <w14:schemeClr w14:val="tx1"/>
            </w14:solidFill>
          </w14:textFill>
        </w:rPr>
        <w:t xml:space="preserve"> 夏季主导S条件下落潮时溢油</w:t>
      </w:r>
      <w:r>
        <w:rPr>
          <w:rFonts w:hint="eastAsia"/>
          <w:b/>
          <w:color w:val="000000" w:themeColor="text1"/>
          <w14:textFill>
            <w14:solidFill>
              <w14:schemeClr w14:val="tx1"/>
            </w14:solidFill>
          </w14:textFill>
        </w:rPr>
        <w:t>油膜影响范围示意</w:t>
      </w:r>
    </w:p>
    <w:p w14:paraId="123402DA">
      <w:pPr>
        <w:widowControl/>
        <w:ind w:firstLine="480"/>
        <w:jc w:val="center"/>
        <w:rPr>
          <w:rFonts w:ascii="宋体" w:hAnsi="宋体" w:cs="宋体"/>
          <w:color w:val="000000" w:themeColor="text1"/>
          <w:kern w:val="0"/>
          <w14:textFill>
            <w14:solidFill>
              <w14:schemeClr w14:val="tx1"/>
            </w14:solidFill>
          </w14:textFill>
        </w:rPr>
      </w:pPr>
      <w:r>
        <w:rPr>
          <w:color w:val="000000" w:themeColor="text1"/>
          <w14:textFill>
            <w14:solidFill>
              <w14:schemeClr w14:val="tx1"/>
            </w14:solidFill>
          </w14:textFill>
        </w:rPr>
        <w:drawing>
          <wp:inline distT="0" distB="0" distL="0" distR="0">
            <wp:extent cx="3015615" cy="3959860"/>
            <wp:effectExtent l="0" t="0" r="0" b="0"/>
            <wp:docPr id="248" name="图片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248"/>
                    <pic:cNvPicPr>
                      <a:picLocks noChangeAspect="1"/>
                    </pic:cNvPicPr>
                  </pic:nvPicPr>
                  <pic:blipFill>
                    <a:blip r:embed="rId239"/>
                    <a:stretch>
                      <a:fillRect/>
                    </a:stretch>
                  </pic:blipFill>
                  <pic:spPr>
                    <a:xfrm>
                      <a:off x="0" y="0"/>
                      <a:ext cx="3016209" cy="3960000"/>
                    </a:xfrm>
                    <a:prstGeom prst="rect">
                      <a:avLst/>
                    </a:prstGeom>
                  </pic:spPr>
                </pic:pic>
              </a:graphicData>
            </a:graphic>
          </wp:inline>
        </w:drawing>
      </w:r>
    </w:p>
    <w:p w14:paraId="1FF70A62">
      <w:pPr>
        <w:ind w:firstLine="482"/>
        <w:jc w:val="center"/>
        <w:rPr>
          <w:rFonts w:ascii="宋体" w:hAnsi="宋体"/>
          <w:b/>
          <w:color w:val="000000" w:themeColor="text1"/>
          <w14:textFill>
            <w14:solidFill>
              <w14:schemeClr w14:val="tx1"/>
            </w14:solidFill>
          </w14:textFill>
        </w:rPr>
      </w:pPr>
      <w:r>
        <w:rPr>
          <w:rFonts w:hint="eastAsia"/>
          <w:b/>
          <w:color w:val="000000" w:themeColor="text1"/>
          <w14:textFill>
            <w14:solidFill>
              <w14:schemeClr w14:val="tx1"/>
            </w14:solidFill>
          </w14:textFill>
        </w:rPr>
        <w:t>图</w:t>
      </w:r>
      <w:r>
        <w:rPr>
          <w:rFonts w:hint="eastAsia"/>
          <w:color w:val="000000" w:themeColor="text1"/>
          <w:kern w:val="0"/>
          <w14:textFill>
            <w14:solidFill>
              <w14:schemeClr w14:val="tx1"/>
            </w14:solidFill>
          </w14:textFill>
        </w:rPr>
        <w:t>5.5.3</w:t>
      </w:r>
      <w:r>
        <w:rPr>
          <w:rFonts w:hint="eastAsia"/>
          <w:b/>
          <w:color w:val="000000" w:themeColor="text1"/>
          <w14:textFill>
            <w14:solidFill>
              <w14:schemeClr w14:val="tx1"/>
            </w14:solidFill>
          </w14:textFill>
        </w:rPr>
        <w:t>-</w:t>
      </w:r>
      <w:r>
        <w:rPr>
          <w:b/>
          <w:color w:val="000000" w:themeColor="text1"/>
          <w14:textFill>
            <w14:solidFill>
              <w14:schemeClr w14:val="tx1"/>
            </w14:solidFill>
          </w14:textFill>
        </w:rPr>
        <w:t>8</w:t>
      </w:r>
      <w:r>
        <w:rPr>
          <w:rFonts w:hint="eastAsia"/>
          <w:b/>
          <w:color w:val="000000" w:themeColor="text1"/>
          <w14:textFill>
            <w14:solidFill>
              <w14:schemeClr w14:val="tx1"/>
            </w14:solidFill>
          </w14:textFill>
        </w:rPr>
        <w:t xml:space="preserve"> 夏季主导S条件下落潮时溢油油膜运动轨迹（叠加敏感目标）</w:t>
      </w:r>
    </w:p>
    <w:p w14:paraId="6D996747">
      <w:pPr>
        <w:ind w:firstLine="480"/>
        <w:rPr>
          <w:rFonts w:hAnsi="宋体"/>
          <w:color w:val="000000" w:themeColor="text1"/>
          <w14:textFill>
            <w14:solidFill>
              <w14:schemeClr w14:val="tx1"/>
            </w14:solidFill>
          </w14:textFill>
        </w:rPr>
      </w:pPr>
      <w:r>
        <w:rPr>
          <w:rFonts w:hint="eastAsia" w:hAnsi="宋体"/>
          <w:color w:val="000000" w:themeColor="text1"/>
          <w14:textFill>
            <w14:solidFill>
              <w14:schemeClr w14:val="tx1"/>
            </w14:solidFill>
          </w14:textFill>
        </w:rPr>
        <w:t>（5）不利风向NE，大潮涨潮</w:t>
      </w:r>
    </w:p>
    <w:p w14:paraId="382CF8F8">
      <w:pPr>
        <w:ind w:firstLine="48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大潮涨潮时，在NE</w:t>
      </w:r>
      <w:r>
        <w:rPr>
          <w:color w:val="000000" w:themeColor="text1"/>
          <w:u w:val="single"/>
          <w14:textFill>
            <w14:solidFill>
              <w14:schemeClr w14:val="tx1"/>
            </w14:solidFill>
          </w14:textFill>
        </w:rPr>
        <w:t>向风及涨潮流作用下</w:t>
      </w:r>
      <w:r>
        <w:rPr>
          <w:rFonts w:hint="eastAsia"/>
          <w:color w:val="000000" w:themeColor="text1"/>
          <w:u w:val="single"/>
          <w14:textFill>
            <w14:solidFill>
              <w14:schemeClr w14:val="tx1"/>
            </w14:solidFill>
          </w14:textFill>
        </w:rPr>
        <w:t>，溢油发生1小时后部分油膜在本项目北侧临近岸线登陆，剩余油膜继续沿金鼓江西侧向北运动，</w:t>
      </w:r>
      <w:r>
        <w:rPr>
          <w:color w:val="000000" w:themeColor="text1"/>
          <w:u w:val="single"/>
          <w14:textFill>
            <w14:solidFill>
              <w14:schemeClr w14:val="tx1"/>
            </w14:solidFill>
          </w14:textFill>
        </w:rPr>
        <w:t>3</w:t>
      </w:r>
      <w:r>
        <w:rPr>
          <w:rFonts w:hint="eastAsia"/>
          <w:color w:val="000000" w:themeColor="text1"/>
          <w:u w:val="single"/>
          <w14:textFill>
            <w14:solidFill>
              <w14:schemeClr w14:val="tx1"/>
            </w14:solidFill>
          </w14:textFill>
        </w:rPr>
        <w:t>小时后油膜到达金鼓江大桥附近，6时左右到达金鼓江支流-望鸦江口，油膜一支沿望鸦江北上8</w:t>
      </w:r>
      <w:r>
        <w:rPr>
          <w:color w:val="000000" w:themeColor="text1"/>
          <w:u w:val="single"/>
          <w14:textFill>
            <w14:solidFill>
              <w14:schemeClr w14:val="tx1"/>
            </w14:solidFill>
          </w14:textFill>
        </w:rPr>
        <w:t>-9</w:t>
      </w:r>
      <w:r>
        <w:rPr>
          <w:rFonts w:hint="eastAsia"/>
          <w:color w:val="000000" w:themeColor="text1"/>
          <w:u w:val="single"/>
          <w14:textFill>
            <w14:solidFill>
              <w14:schemeClr w14:val="tx1"/>
            </w14:solidFill>
          </w14:textFill>
        </w:rPr>
        <w:t>小时后受岸线阻挡吸附而完全登陆，油膜另一支继续沿金鼓江主流北上逐渐扫过整个江面，1</w:t>
      </w:r>
      <w:r>
        <w:rPr>
          <w:color w:val="000000" w:themeColor="text1"/>
          <w:u w:val="single"/>
          <w14:textFill>
            <w14:solidFill>
              <w14:schemeClr w14:val="tx1"/>
            </w14:solidFill>
          </w14:textFill>
        </w:rPr>
        <w:t>0</w:t>
      </w:r>
      <w:r>
        <w:rPr>
          <w:rFonts w:hint="eastAsia"/>
          <w:color w:val="000000" w:themeColor="text1"/>
          <w:u w:val="single"/>
          <w14:textFill>
            <w14:solidFill>
              <w14:schemeClr w14:val="tx1"/>
            </w14:solidFill>
          </w14:textFill>
        </w:rPr>
        <w:t>时后受岸线阻挡而全部登陆。由于扩散区域地形限制，</w:t>
      </w:r>
      <w:r>
        <w:rPr>
          <w:color w:val="000000" w:themeColor="text1"/>
          <w:u w:val="single"/>
          <w14:textFill>
            <w14:solidFill>
              <w14:schemeClr w14:val="tx1"/>
            </w14:solidFill>
          </w14:textFill>
        </w:rPr>
        <w:t>10</w:t>
      </w:r>
      <w:r>
        <w:rPr>
          <w:rFonts w:hint="eastAsia"/>
          <w:color w:val="000000" w:themeColor="text1"/>
          <w:u w:val="single"/>
          <w14:textFill>
            <w14:solidFill>
              <w14:schemeClr w14:val="tx1"/>
            </w14:solidFill>
          </w14:textFill>
        </w:rPr>
        <w:t>小时后残油油膜在岸边堆积的平均厚度仍有</w:t>
      </w:r>
      <w:r>
        <w:rPr>
          <w:color w:val="000000" w:themeColor="text1"/>
          <w:u w:val="single"/>
          <w14:textFill>
            <w14:solidFill>
              <w14:schemeClr w14:val="tx1"/>
            </w14:solidFill>
          </w14:textFill>
        </w:rPr>
        <w:t>191.47mm</w:t>
      </w:r>
      <w:r>
        <w:rPr>
          <w:rFonts w:hint="eastAsia"/>
          <w:color w:val="000000" w:themeColor="text1"/>
          <w:u w:val="single"/>
          <w14:textFill>
            <w14:solidFill>
              <w14:schemeClr w14:val="tx1"/>
            </w14:solidFill>
          </w14:textFill>
        </w:rPr>
        <w:t>。受岸线阻挡吸附及风、流顶托作用，此后油膜基本停止运动。溢油发生72小时内油膜扫海面积及残油油膜平均厚度见表5.5-</w:t>
      </w:r>
      <w:r>
        <w:rPr>
          <w:color w:val="000000" w:themeColor="text1"/>
          <w:u w:val="single"/>
          <w14:textFill>
            <w14:solidFill>
              <w14:schemeClr w14:val="tx1"/>
            </w14:solidFill>
          </w14:textFill>
        </w:rPr>
        <w:t>7</w:t>
      </w:r>
      <w:r>
        <w:rPr>
          <w:rFonts w:hint="eastAsia"/>
          <w:color w:val="000000" w:themeColor="text1"/>
          <w:u w:val="single"/>
          <w14:textFill>
            <w14:solidFill>
              <w14:schemeClr w14:val="tx1"/>
            </w14:solidFill>
          </w14:textFill>
        </w:rPr>
        <w:t>，</w:t>
      </w:r>
      <w:r>
        <w:rPr>
          <w:color w:val="000000" w:themeColor="text1"/>
          <w:u w:val="single"/>
          <w14:textFill>
            <w14:solidFill>
              <w14:schemeClr w14:val="tx1"/>
            </w14:solidFill>
          </w14:textFill>
        </w:rPr>
        <w:t>10</w:t>
      </w:r>
      <w:r>
        <w:rPr>
          <w:rFonts w:hint="eastAsia"/>
          <w:color w:val="000000" w:themeColor="text1"/>
          <w:u w:val="single"/>
          <w14:textFill>
            <w14:solidFill>
              <w14:schemeClr w14:val="tx1"/>
            </w14:solidFill>
          </w14:textFill>
        </w:rPr>
        <w:t>小时内油膜合计影响范围见图</w:t>
      </w:r>
      <w:r>
        <w:rPr>
          <w:rFonts w:hint="eastAsia"/>
          <w:color w:val="000000" w:themeColor="text1"/>
          <w:kern w:val="0"/>
          <w:u w:val="single"/>
          <w14:textFill>
            <w14:solidFill>
              <w14:schemeClr w14:val="tx1"/>
            </w14:solidFill>
          </w14:textFill>
        </w:rPr>
        <w:t>5.5.3</w:t>
      </w:r>
      <w:r>
        <w:rPr>
          <w:color w:val="000000" w:themeColor="text1"/>
          <w:u w:val="single"/>
          <w14:textFill>
            <w14:solidFill>
              <w14:schemeClr w14:val="tx1"/>
            </w14:solidFill>
          </w14:textFill>
        </w:rPr>
        <w:t>-9</w:t>
      </w:r>
      <w:r>
        <w:rPr>
          <w:rFonts w:hint="eastAsia"/>
          <w:color w:val="000000" w:themeColor="text1"/>
          <w:u w:val="single"/>
          <w14:textFill>
            <w14:solidFill>
              <w14:schemeClr w14:val="tx1"/>
            </w14:solidFill>
          </w14:textFill>
        </w:rPr>
        <w:t>，油膜运动趋势与环境敏感目标叠置如图</w:t>
      </w:r>
      <w:r>
        <w:rPr>
          <w:rFonts w:hint="eastAsia"/>
          <w:color w:val="000000" w:themeColor="text1"/>
          <w:kern w:val="0"/>
          <w:u w:val="single"/>
          <w14:textFill>
            <w14:solidFill>
              <w14:schemeClr w14:val="tx1"/>
            </w14:solidFill>
          </w14:textFill>
        </w:rPr>
        <w:t>5.5.3</w:t>
      </w:r>
      <w:r>
        <w:rPr>
          <w:rFonts w:hint="eastAsia"/>
          <w:color w:val="000000" w:themeColor="text1"/>
          <w:u w:val="single"/>
          <w14:textFill>
            <w14:solidFill>
              <w14:schemeClr w14:val="tx1"/>
            </w14:solidFill>
          </w14:textFill>
        </w:rPr>
        <w:t>-</w:t>
      </w:r>
      <w:r>
        <w:rPr>
          <w:color w:val="000000" w:themeColor="text1"/>
          <w:u w:val="single"/>
          <w14:textFill>
            <w14:solidFill>
              <w14:schemeClr w14:val="tx1"/>
            </w14:solidFill>
          </w14:textFill>
        </w:rPr>
        <w:t>10</w:t>
      </w:r>
      <w:r>
        <w:rPr>
          <w:rFonts w:hint="eastAsia"/>
          <w:color w:val="000000" w:themeColor="text1"/>
          <w:u w:val="single"/>
          <w14:textFill>
            <w14:solidFill>
              <w14:schemeClr w14:val="tx1"/>
            </w14:solidFill>
          </w14:textFill>
        </w:rPr>
        <w:t>所示。</w:t>
      </w:r>
    </w:p>
    <w:p w14:paraId="5C3B5460">
      <w:pPr>
        <w:ind w:firstLine="480"/>
        <w:rPr>
          <w:color w:val="000000" w:themeColor="text1"/>
          <w:u w:val="single"/>
          <w14:textFill>
            <w14:solidFill>
              <w14:schemeClr w14:val="tx1"/>
            </w14:solidFill>
          </w14:textFill>
        </w:rPr>
      </w:pPr>
    </w:p>
    <w:p w14:paraId="2956DF0E">
      <w:pPr>
        <w:ind w:firstLine="480"/>
        <w:rPr>
          <w:color w:val="000000" w:themeColor="text1"/>
          <w14:textFill>
            <w14:solidFill>
              <w14:schemeClr w14:val="tx1"/>
            </w14:solidFill>
          </w14:textFill>
        </w:rPr>
      </w:pPr>
    </w:p>
    <w:p w14:paraId="6AA913F1">
      <w:pPr>
        <w:ind w:firstLine="480"/>
        <w:rPr>
          <w:color w:val="000000" w:themeColor="text1"/>
          <w14:textFill>
            <w14:solidFill>
              <w14:schemeClr w14:val="tx1"/>
            </w14:solidFill>
          </w14:textFill>
        </w:rPr>
      </w:pPr>
    </w:p>
    <w:p w14:paraId="5455A3A8">
      <w:pPr>
        <w:pStyle w:val="7"/>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 xml:space="preserve"> 不利风向NE条件下涨潮时溢油扫海面积</w:t>
      </w:r>
    </w:p>
    <w:tbl>
      <w:tblPr>
        <w:tblStyle w:val="43"/>
        <w:tblW w:w="4905"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2438"/>
        <w:gridCol w:w="1184"/>
        <w:gridCol w:w="1184"/>
        <w:gridCol w:w="1185"/>
        <w:gridCol w:w="1184"/>
        <w:gridCol w:w="1185"/>
      </w:tblGrid>
      <w:tr w14:paraId="48C1BA4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40" w:hRule="atLeast"/>
          <w:jc w:val="center"/>
        </w:trPr>
        <w:tc>
          <w:tcPr>
            <w:tcW w:w="1458" w:type="pct"/>
            <w:vMerge w:val="restart"/>
            <w:tcMar>
              <w:top w:w="57" w:type="dxa"/>
              <w:bottom w:w="57" w:type="dxa"/>
            </w:tcMar>
            <w:vAlign w:val="center"/>
          </w:tcPr>
          <w:p w14:paraId="51815869">
            <w:pPr>
              <w:spacing w:line="240" w:lineRule="atLeast"/>
              <w:ind w:firstLine="0" w:firstLineChars="0"/>
              <w:jc w:val="center"/>
              <w:rPr>
                <w:b/>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项目</w:t>
            </w:r>
          </w:p>
        </w:tc>
        <w:tc>
          <w:tcPr>
            <w:tcW w:w="3542" w:type="pct"/>
            <w:gridSpan w:val="5"/>
            <w:tcMar>
              <w:top w:w="57" w:type="dxa"/>
              <w:bottom w:w="57" w:type="dxa"/>
            </w:tcMar>
            <w:vAlign w:val="center"/>
          </w:tcPr>
          <w:p w14:paraId="1CAAC972">
            <w:pPr>
              <w:spacing w:line="240" w:lineRule="atLeast"/>
              <w:ind w:firstLine="0" w:firstLineChars="0"/>
              <w:jc w:val="center"/>
              <w:rPr>
                <w:b/>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泄漏发生经历时间（小时）</w:t>
            </w:r>
          </w:p>
        </w:tc>
      </w:tr>
      <w:tr w14:paraId="3AC8B72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75" w:hRule="atLeast"/>
          <w:jc w:val="center"/>
        </w:trPr>
        <w:tc>
          <w:tcPr>
            <w:tcW w:w="1458" w:type="pct"/>
            <w:vMerge w:val="continue"/>
            <w:tcMar>
              <w:top w:w="57" w:type="dxa"/>
              <w:bottom w:w="57" w:type="dxa"/>
            </w:tcMar>
            <w:vAlign w:val="center"/>
          </w:tcPr>
          <w:p w14:paraId="36A3EA8D">
            <w:pPr>
              <w:spacing w:line="240" w:lineRule="atLeast"/>
              <w:ind w:firstLine="0" w:firstLineChars="0"/>
              <w:jc w:val="center"/>
              <w:rPr>
                <w:b/>
                <w:color w:val="000000" w:themeColor="text1"/>
                <w:sz w:val="21"/>
                <w:szCs w:val="21"/>
                <w14:textFill>
                  <w14:solidFill>
                    <w14:schemeClr w14:val="tx1"/>
                  </w14:solidFill>
                </w14:textFill>
              </w:rPr>
            </w:pPr>
          </w:p>
        </w:tc>
        <w:tc>
          <w:tcPr>
            <w:tcW w:w="708" w:type="pct"/>
            <w:tcMar>
              <w:top w:w="57" w:type="dxa"/>
              <w:bottom w:w="57" w:type="dxa"/>
            </w:tcMar>
            <w:vAlign w:val="center"/>
          </w:tcPr>
          <w:p w14:paraId="01E87448">
            <w:pPr>
              <w:spacing w:line="240" w:lineRule="atLeast"/>
              <w:ind w:firstLine="0" w:firstLineChars="0"/>
              <w:jc w:val="center"/>
              <w:rPr>
                <w:b/>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1</w:t>
            </w:r>
          </w:p>
        </w:tc>
        <w:tc>
          <w:tcPr>
            <w:tcW w:w="708" w:type="pct"/>
            <w:vAlign w:val="center"/>
          </w:tcPr>
          <w:p w14:paraId="2AFB54FE">
            <w:pPr>
              <w:spacing w:line="240" w:lineRule="atLeast"/>
              <w:ind w:firstLine="0" w:firstLineChars="0"/>
              <w:jc w:val="center"/>
              <w:rPr>
                <w:b/>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3</w:t>
            </w:r>
          </w:p>
        </w:tc>
        <w:tc>
          <w:tcPr>
            <w:tcW w:w="709" w:type="pct"/>
            <w:tcMar>
              <w:top w:w="57" w:type="dxa"/>
              <w:bottom w:w="57" w:type="dxa"/>
            </w:tcMar>
            <w:vAlign w:val="center"/>
          </w:tcPr>
          <w:p w14:paraId="53DA57A2">
            <w:pPr>
              <w:spacing w:line="240" w:lineRule="atLeast"/>
              <w:ind w:firstLine="0" w:firstLineChars="0"/>
              <w:jc w:val="center"/>
              <w:rPr>
                <w:b/>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6</w:t>
            </w:r>
          </w:p>
        </w:tc>
        <w:tc>
          <w:tcPr>
            <w:tcW w:w="708" w:type="pct"/>
            <w:vAlign w:val="center"/>
          </w:tcPr>
          <w:p w14:paraId="5758D57F">
            <w:pPr>
              <w:spacing w:line="240" w:lineRule="atLeast"/>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10（登陆）</w:t>
            </w:r>
          </w:p>
        </w:tc>
        <w:tc>
          <w:tcPr>
            <w:tcW w:w="709" w:type="pct"/>
            <w:vAlign w:val="center"/>
          </w:tcPr>
          <w:p w14:paraId="5D6B05AA">
            <w:pPr>
              <w:spacing w:line="240" w:lineRule="atLeast"/>
              <w:ind w:firstLine="0" w:firstLineChars="0"/>
              <w:jc w:val="center"/>
              <w:rPr>
                <w:b/>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72</w:t>
            </w:r>
          </w:p>
        </w:tc>
      </w:tr>
      <w:tr w14:paraId="65CCE37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458" w:type="pct"/>
            <w:tcMar>
              <w:top w:w="57" w:type="dxa"/>
              <w:bottom w:w="57" w:type="dxa"/>
            </w:tcMar>
            <w:vAlign w:val="center"/>
          </w:tcPr>
          <w:p w14:paraId="47DD9BF8">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油膜扫海面积（km2）</w:t>
            </w:r>
          </w:p>
        </w:tc>
        <w:tc>
          <w:tcPr>
            <w:tcW w:w="708" w:type="pct"/>
            <w:tcMar>
              <w:top w:w="57" w:type="dxa"/>
              <w:bottom w:w="57" w:type="dxa"/>
            </w:tcMar>
            <w:vAlign w:val="center"/>
          </w:tcPr>
          <w:p w14:paraId="0D2D7F40">
            <w:pPr>
              <w:widowControl/>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0.21</w:t>
            </w:r>
            <w:r>
              <w:rPr>
                <w:color w:val="000000" w:themeColor="text1"/>
                <w:sz w:val="21"/>
                <w:szCs w:val="21"/>
                <w14:textFill>
                  <w14:solidFill>
                    <w14:schemeClr w14:val="tx1"/>
                  </w14:solidFill>
                </w14:textFill>
              </w:rPr>
              <w:t>8</w:t>
            </w:r>
          </w:p>
        </w:tc>
        <w:tc>
          <w:tcPr>
            <w:tcW w:w="708" w:type="pct"/>
            <w:vAlign w:val="center"/>
          </w:tcPr>
          <w:p w14:paraId="49CEDD71">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0.68</w:t>
            </w:r>
            <w:r>
              <w:rPr>
                <w:color w:val="000000" w:themeColor="text1"/>
                <w:sz w:val="21"/>
                <w:szCs w:val="21"/>
                <w14:textFill>
                  <w14:solidFill>
                    <w14:schemeClr w14:val="tx1"/>
                  </w14:solidFill>
                </w14:textFill>
              </w:rPr>
              <w:t>9</w:t>
            </w:r>
          </w:p>
        </w:tc>
        <w:tc>
          <w:tcPr>
            <w:tcW w:w="709" w:type="pct"/>
            <w:tcMar>
              <w:top w:w="57" w:type="dxa"/>
              <w:bottom w:w="57" w:type="dxa"/>
            </w:tcMar>
            <w:vAlign w:val="center"/>
          </w:tcPr>
          <w:p w14:paraId="5C1B3448">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1.7</w:t>
            </w:r>
            <w:r>
              <w:rPr>
                <w:color w:val="000000" w:themeColor="text1"/>
                <w:sz w:val="21"/>
                <w:szCs w:val="21"/>
                <w14:textFill>
                  <w14:solidFill>
                    <w14:schemeClr w14:val="tx1"/>
                  </w14:solidFill>
                </w14:textFill>
              </w:rPr>
              <w:t>46</w:t>
            </w:r>
          </w:p>
        </w:tc>
        <w:tc>
          <w:tcPr>
            <w:tcW w:w="708" w:type="pct"/>
            <w:vAlign w:val="center"/>
          </w:tcPr>
          <w:p w14:paraId="46F67BA8">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3.5</w:t>
            </w:r>
            <w:r>
              <w:rPr>
                <w:color w:val="000000" w:themeColor="text1"/>
                <w:sz w:val="21"/>
                <w:szCs w:val="21"/>
                <w14:textFill>
                  <w14:solidFill>
                    <w14:schemeClr w14:val="tx1"/>
                  </w14:solidFill>
                </w14:textFill>
              </w:rPr>
              <w:t>8</w:t>
            </w:r>
            <w:r>
              <w:rPr>
                <w:rFonts w:hint="eastAsia"/>
                <w:color w:val="000000" w:themeColor="text1"/>
                <w:sz w:val="21"/>
                <w:szCs w:val="21"/>
                <w14:textFill>
                  <w14:solidFill>
                    <w14:schemeClr w14:val="tx1"/>
                  </w14:solidFill>
                </w14:textFill>
              </w:rPr>
              <w:t>9</w:t>
            </w:r>
          </w:p>
        </w:tc>
        <w:tc>
          <w:tcPr>
            <w:tcW w:w="709" w:type="pct"/>
            <w:vAlign w:val="center"/>
          </w:tcPr>
          <w:p w14:paraId="3B8BEEDE">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3.592</w:t>
            </w:r>
          </w:p>
        </w:tc>
      </w:tr>
      <w:tr w14:paraId="4588B73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458" w:type="pct"/>
            <w:tcMar>
              <w:top w:w="57" w:type="dxa"/>
              <w:bottom w:w="57" w:type="dxa"/>
            </w:tcMar>
            <w:vAlign w:val="center"/>
          </w:tcPr>
          <w:p w14:paraId="486A1D27">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残油油膜平均厚度（m</w:t>
            </w:r>
            <w:r>
              <w:rPr>
                <w:color w:val="000000" w:themeColor="text1"/>
                <w:sz w:val="21"/>
                <w:szCs w:val="21"/>
                <w14:textFill>
                  <w14:solidFill>
                    <w14:schemeClr w14:val="tx1"/>
                  </w14:solidFill>
                </w14:textFill>
              </w:rPr>
              <w:t>m</w:t>
            </w:r>
            <w:r>
              <w:rPr>
                <w:rFonts w:hint="eastAsia"/>
                <w:color w:val="000000" w:themeColor="text1"/>
                <w:sz w:val="21"/>
                <w:szCs w:val="21"/>
                <w14:textFill>
                  <w14:solidFill>
                    <w14:schemeClr w14:val="tx1"/>
                  </w14:solidFill>
                </w14:textFill>
              </w:rPr>
              <w:t>）</w:t>
            </w:r>
          </w:p>
        </w:tc>
        <w:tc>
          <w:tcPr>
            <w:tcW w:w="708" w:type="pct"/>
            <w:tcMar>
              <w:top w:w="57" w:type="dxa"/>
              <w:bottom w:w="57" w:type="dxa"/>
            </w:tcMar>
            <w:vAlign w:val="center"/>
          </w:tcPr>
          <w:p w14:paraId="512B4FF1">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5829.53</w:t>
            </w:r>
          </w:p>
        </w:tc>
        <w:tc>
          <w:tcPr>
            <w:tcW w:w="708" w:type="pct"/>
            <w:vAlign w:val="center"/>
          </w:tcPr>
          <w:p w14:paraId="3AC52974">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4501.50</w:t>
            </w:r>
          </w:p>
        </w:tc>
        <w:tc>
          <w:tcPr>
            <w:tcW w:w="709" w:type="pct"/>
            <w:tcMar>
              <w:top w:w="57" w:type="dxa"/>
              <w:bottom w:w="57" w:type="dxa"/>
            </w:tcMar>
            <w:vAlign w:val="center"/>
          </w:tcPr>
          <w:p w14:paraId="4CE1906B">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2224.49</w:t>
            </w:r>
          </w:p>
        </w:tc>
        <w:tc>
          <w:tcPr>
            <w:tcW w:w="708" w:type="pct"/>
            <w:vAlign w:val="center"/>
          </w:tcPr>
          <w:p w14:paraId="2E76ECB0">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191.47</w:t>
            </w:r>
          </w:p>
        </w:tc>
        <w:tc>
          <w:tcPr>
            <w:tcW w:w="709" w:type="pct"/>
            <w:vAlign w:val="center"/>
          </w:tcPr>
          <w:p w14:paraId="60E9B47E">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191.22</w:t>
            </w:r>
          </w:p>
        </w:tc>
      </w:tr>
    </w:tbl>
    <w:p w14:paraId="5D17C05E">
      <w:pPr>
        <w:widowControl/>
        <w:ind w:firstLine="480"/>
        <w:jc w:val="center"/>
        <w:rPr>
          <w:rFonts w:ascii="宋体" w:hAnsi="宋体" w:cs="宋体"/>
          <w:color w:val="000000" w:themeColor="text1"/>
          <w:kern w:val="0"/>
          <w14:textFill>
            <w14:solidFill>
              <w14:schemeClr w14:val="tx1"/>
            </w14:solidFill>
          </w14:textFill>
        </w:rPr>
      </w:pPr>
      <w:r>
        <w:rPr>
          <w:rFonts w:ascii="宋体" w:hAnsi="宋体" w:cs="宋体"/>
          <w:color w:val="000000" w:themeColor="text1"/>
          <w:kern w:val="0"/>
          <w14:textFill>
            <w14:solidFill>
              <w14:schemeClr w14:val="tx1"/>
            </w14:solidFill>
          </w14:textFill>
        </w:rPr>
        <w:drawing>
          <wp:inline distT="0" distB="0" distL="0" distR="0">
            <wp:extent cx="3019425" cy="3771900"/>
            <wp:effectExtent l="0" t="0" r="9525" b="0"/>
            <wp:docPr id="249" name="图片 249" descr="G:\project\2022\jingujiang14-15#\yiyou\zhangne251128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249" descr="G:\project\2022\jingujiang14-15#\yiyou\zhangne251128油.jpg"/>
                    <pic:cNvPicPr>
                      <a:picLocks noChangeAspect="1" noChangeArrowheads="1"/>
                    </pic:cNvPicPr>
                  </pic:nvPicPr>
                  <pic:blipFill>
                    <a:blip r:embed="rId240" cstate="print">
                      <a:extLst>
                        <a:ext uri="{28A0092B-C50C-407E-A947-70E740481C1C}">
                          <a14:useLocalDpi xmlns:a14="http://schemas.microsoft.com/office/drawing/2010/main" val="0"/>
                        </a:ext>
                      </a:extLst>
                    </a:blip>
                    <a:srcRect l="491" t="1345" r="3000" b="12008"/>
                    <a:stretch>
                      <a:fillRect/>
                    </a:stretch>
                  </pic:blipFill>
                  <pic:spPr>
                    <a:xfrm>
                      <a:off x="0" y="0"/>
                      <a:ext cx="3018971" cy="3771333"/>
                    </a:xfrm>
                    <a:prstGeom prst="rect">
                      <a:avLst/>
                    </a:prstGeom>
                    <a:noFill/>
                    <a:ln>
                      <a:noFill/>
                    </a:ln>
                  </pic:spPr>
                </pic:pic>
              </a:graphicData>
            </a:graphic>
          </wp:inline>
        </w:drawing>
      </w:r>
    </w:p>
    <w:p w14:paraId="11DCEDFF">
      <w:pPr>
        <w:widowControl/>
        <w:ind w:firstLine="482"/>
        <w:jc w:val="center"/>
        <w:rPr>
          <w:rFonts w:ascii="宋体" w:hAnsi="宋体" w:cs="宋体"/>
          <w:color w:val="000000" w:themeColor="text1"/>
          <w:kern w:val="0"/>
          <w14:textFill>
            <w14:solidFill>
              <w14:schemeClr w14:val="tx1"/>
            </w14:solidFill>
          </w14:textFill>
        </w:rPr>
      </w:pPr>
      <w:r>
        <w:rPr>
          <w:rFonts w:hint="eastAsia"/>
          <w:b/>
          <w:color w:val="000000" w:themeColor="text1"/>
          <w14:textFill>
            <w14:solidFill>
              <w14:schemeClr w14:val="tx1"/>
            </w14:solidFill>
          </w14:textFill>
        </w:rPr>
        <w:t>图</w:t>
      </w:r>
      <w:r>
        <w:rPr>
          <w:rFonts w:hint="eastAsia"/>
          <w:color w:val="000000" w:themeColor="text1"/>
          <w:kern w:val="0"/>
          <w14:textFill>
            <w14:solidFill>
              <w14:schemeClr w14:val="tx1"/>
            </w14:solidFill>
          </w14:textFill>
        </w:rPr>
        <w:t>5.5.3</w:t>
      </w:r>
      <w:r>
        <w:rPr>
          <w:rFonts w:hint="eastAsia"/>
          <w:b/>
          <w:color w:val="000000" w:themeColor="text1"/>
          <w14:textFill>
            <w14:solidFill>
              <w14:schemeClr w14:val="tx1"/>
            </w14:solidFill>
          </w14:textFill>
        </w:rPr>
        <w:t>-</w:t>
      </w:r>
      <w:r>
        <w:rPr>
          <w:b/>
          <w:color w:val="000000" w:themeColor="text1"/>
          <w14:textFill>
            <w14:solidFill>
              <w14:schemeClr w14:val="tx1"/>
            </w14:solidFill>
          </w14:textFill>
        </w:rPr>
        <w:t>9</w:t>
      </w:r>
      <w:r>
        <w:rPr>
          <w:rFonts w:hint="eastAsia"/>
          <w:b/>
          <w:color w:val="000000" w:themeColor="text1"/>
          <w14:textFill>
            <w14:solidFill>
              <w14:schemeClr w14:val="tx1"/>
            </w14:solidFill>
          </w14:textFill>
        </w:rPr>
        <w:t xml:space="preserve"> 不利风向NE条件下涨潮时溢油油膜影响范围示意</w:t>
      </w:r>
    </w:p>
    <w:p w14:paraId="3D30CC1D">
      <w:pPr>
        <w:widowControl/>
        <w:ind w:firstLine="480"/>
        <w:jc w:val="center"/>
        <w:rPr>
          <w:rFonts w:ascii="宋体" w:hAnsi="宋体" w:cs="宋体"/>
          <w:color w:val="000000" w:themeColor="text1"/>
          <w:kern w:val="0"/>
          <w14:textFill>
            <w14:solidFill>
              <w14:schemeClr w14:val="tx1"/>
            </w14:solidFill>
          </w14:textFill>
        </w:rPr>
      </w:pPr>
      <w:r>
        <w:rPr>
          <w:color w:val="000000" w:themeColor="text1"/>
          <w14:textFill>
            <w14:solidFill>
              <w14:schemeClr w14:val="tx1"/>
            </w14:solidFill>
          </w14:textFill>
        </w:rPr>
        <w:drawing>
          <wp:inline distT="0" distB="0" distL="0" distR="0">
            <wp:extent cx="3008630" cy="3959860"/>
            <wp:effectExtent l="0" t="0" r="0" b="0"/>
            <wp:docPr id="250" name="图片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250"/>
                    <pic:cNvPicPr>
                      <a:picLocks noChangeAspect="1"/>
                    </pic:cNvPicPr>
                  </pic:nvPicPr>
                  <pic:blipFill>
                    <a:blip r:embed="rId241"/>
                    <a:stretch>
                      <a:fillRect/>
                    </a:stretch>
                  </pic:blipFill>
                  <pic:spPr>
                    <a:xfrm>
                      <a:off x="0" y="0"/>
                      <a:ext cx="3008760" cy="3960000"/>
                    </a:xfrm>
                    <a:prstGeom prst="rect">
                      <a:avLst/>
                    </a:prstGeom>
                  </pic:spPr>
                </pic:pic>
              </a:graphicData>
            </a:graphic>
          </wp:inline>
        </w:drawing>
      </w:r>
    </w:p>
    <w:p w14:paraId="24F21ACE">
      <w:pPr>
        <w:ind w:firstLine="482"/>
        <w:jc w:val="center"/>
        <w:rPr>
          <w:rFonts w:ascii="宋体" w:hAnsi="宋体"/>
          <w:b/>
          <w:color w:val="000000" w:themeColor="text1"/>
          <w14:textFill>
            <w14:solidFill>
              <w14:schemeClr w14:val="tx1"/>
            </w14:solidFill>
          </w14:textFill>
        </w:rPr>
      </w:pPr>
      <w:r>
        <w:rPr>
          <w:rFonts w:hint="eastAsia"/>
          <w:b/>
          <w:color w:val="000000" w:themeColor="text1"/>
          <w14:textFill>
            <w14:solidFill>
              <w14:schemeClr w14:val="tx1"/>
            </w14:solidFill>
          </w14:textFill>
        </w:rPr>
        <w:t>图</w:t>
      </w:r>
      <w:r>
        <w:rPr>
          <w:rFonts w:hint="eastAsia"/>
          <w:color w:val="000000" w:themeColor="text1"/>
          <w:kern w:val="0"/>
          <w14:textFill>
            <w14:solidFill>
              <w14:schemeClr w14:val="tx1"/>
            </w14:solidFill>
          </w14:textFill>
        </w:rPr>
        <w:t>5.5.3</w:t>
      </w:r>
      <w:r>
        <w:rPr>
          <w:rFonts w:hint="eastAsia"/>
          <w:b/>
          <w:color w:val="000000" w:themeColor="text1"/>
          <w14:textFill>
            <w14:solidFill>
              <w14:schemeClr w14:val="tx1"/>
            </w14:solidFill>
          </w14:textFill>
        </w:rPr>
        <w:t>-</w:t>
      </w:r>
      <w:r>
        <w:rPr>
          <w:b/>
          <w:color w:val="000000" w:themeColor="text1"/>
          <w14:textFill>
            <w14:solidFill>
              <w14:schemeClr w14:val="tx1"/>
            </w14:solidFill>
          </w14:textFill>
        </w:rPr>
        <w:t>10</w:t>
      </w:r>
      <w:r>
        <w:rPr>
          <w:rFonts w:hint="eastAsia"/>
          <w:b/>
          <w:color w:val="000000" w:themeColor="text1"/>
          <w14:textFill>
            <w14:solidFill>
              <w14:schemeClr w14:val="tx1"/>
            </w14:solidFill>
          </w14:textFill>
        </w:rPr>
        <w:t xml:space="preserve"> 不利风向NE条件下涨潮时溢油油膜运动轨迹（叠加敏感目标）</w:t>
      </w:r>
    </w:p>
    <w:p w14:paraId="2146D029">
      <w:pPr>
        <w:ind w:firstLine="480"/>
        <w:rPr>
          <w:rFonts w:hAnsi="宋体"/>
          <w:color w:val="000000" w:themeColor="text1"/>
          <w14:textFill>
            <w14:solidFill>
              <w14:schemeClr w14:val="tx1"/>
            </w14:solidFill>
          </w14:textFill>
        </w:rPr>
      </w:pPr>
      <w:r>
        <w:rPr>
          <w:rFonts w:hint="eastAsia" w:hAnsi="宋体"/>
          <w:color w:val="000000" w:themeColor="text1"/>
          <w14:textFill>
            <w14:solidFill>
              <w14:schemeClr w14:val="tx1"/>
            </w14:solidFill>
          </w14:textFill>
        </w:rPr>
        <w:t>（6）不利风向NE，大潮落潮</w:t>
      </w:r>
    </w:p>
    <w:p w14:paraId="7A42A293">
      <w:pPr>
        <w:ind w:firstLine="48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大潮落潮时，溢油油膜沿着西南向运动，12小时油膜主流达到钦州湾口三墩西南海域；12-24时在涨潮流及NE风作用下，油膜主流沿着西向运动再转为北向，油膜在钦州湾口海域徘徊（另一部油膜则向茅尾海运动，并逐渐污染龙门岛周边海域）；此后，在落潮流携带下，油膜重新转为偏南向运动，</w:t>
      </w:r>
      <w:r>
        <w:rPr>
          <w:color w:val="000000" w:themeColor="text1"/>
          <w:u w:val="single"/>
          <w14:textFill>
            <w14:solidFill>
              <w14:schemeClr w14:val="tx1"/>
            </w14:solidFill>
          </w14:textFill>
        </w:rPr>
        <w:t>30</w:t>
      </w:r>
      <w:r>
        <w:rPr>
          <w:rFonts w:hint="eastAsia"/>
          <w:color w:val="000000" w:themeColor="text1"/>
          <w:u w:val="single"/>
          <w14:textFill>
            <w14:solidFill>
              <w14:schemeClr w14:val="tx1"/>
            </w14:solidFill>
          </w14:textFill>
        </w:rPr>
        <w:t>时左右油膜主流进入北部湾二长棘鲷长毛对虾国家级种质资源保护区（实验区），并持续在该保护区的实验区运动。</w:t>
      </w:r>
      <w:r>
        <w:rPr>
          <w:color w:val="000000" w:themeColor="text1"/>
          <w:u w:val="single"/>
          <w14:textFill>
            <w14:solidFill>
              <w14:schemeClr w14:val="tx1"/>
            </w14:solidFill>
          </w14:textFill>
        </w:rPr>
        <w:t>24</w:t>
      </w:r>
      <w:r>
        <w:rPr>
          <w:rFonts w:hint="eastAsia"/>
          <w:color w:val="000000" w:themeColor="text1"/>
          <w:u w:val="single"/>
          <w14:textFill>
            <w14:solidFill>
              <w14:schemeClr w14:val="tx1"/>
            </w14:solidFill>
          </w14:textFill>
        </w:rPr>
        <w:t>-48时，油膜向南运动至距离计算区域外海开边界</w:t>
      </w:r>
      <w:r>
        <w:rPr>
          <w:color w:val="000000" w:themeColor="text1"/>
          <w:u w:val="single"/>
          <w14:textFill>
            <w14:solidFill>
              <w14:schemeClr w14:val="tx1"/>
            </w14:solidFill>
          </w14:textFill>
        </w:rPr>
        <w:t>16</w:t>
      </w:r>
      <w:r>
        <w:rPr>
          <w:rFonts w:hint="eastAsia"/>
          <w:color w:val="000000" w:themeColor="text1"/>
          <w:u w:val="single"/>
          <w14:textFill>
            <w14:solidFill>
              <w14:schemeClr w14:val="tx1"/>
            </w14:solidFill>
          </w14:textFill>
        </w:rPr>
        <w:t>km附近海域，48时后在落潮流作用下，油膜沿南向飘向外海，</w:t>
      </w:r>
      <w:r>
        <w:rPr>
          <w:color w:val="000000" w:themeColor="text1"/>
          <w:u w:val="single"/>
          <w14:textFill>
            <w14:solidFill>
              <w14:schemeClr w14:val="tx1"/>
            </w14:solidFill>
          </w14:textFill>
        </w:rPr>
        <w:t>7</w:t>
      </w:r>
      <w:r>
        <w:rPr>
          <w:rFonts w:hint="eastAsia"/>
          <w:color w:val="000000" w:themeColor="text1"/>
          <w:u w:val="single"/>
          <w14:textFill>
            <w14:solidFill>
              <w14:schemeClr w14:val="tx1"/>
            </w14:solidFill>
          </w14:textFill>
        </w:rPr>
        <w:t>2时后油膜到达外海开边界附近并折向西运动，因溢油量较大，此时残油油膜平均厚度仍有</w:t>
      </w:r>
      <w:r>
        <w:rPr>
          <w:color w:val="000000" w:themeColor="text1"/>
          <w:u w:val="single"/>
          <w14:textFill>
            <w14:solidFill>
              <w14:schemeClr w14:val="tx1"/>
            </w14:solidFill>
          </w14:textFill>
        </w:rPr>
        <w:t>25.36mm</w:t>
      </w:r>
      <w:r>
        <w:rPr>
          <w:rFonts w:hint="eastAsia"/>
          <w:color w:val="000000" w:themeColor="text1"/>
          <w:u w:val="single"/>
          <w14:textFill>
            <w14:solidFill>
              <w14:schemeClr w14:val="tx1"/>
            </w14:solidFill>
          </w14:textFill>
        </w:rPr>
        <w:t>，此后在NE风及潮流的携带下继续向外海运动。溢油发生</w:t>
      </w:r>
      <w:r>
        <w:rPr>
          <w:color w:val="000000" w:themeColor="text1"/>
          <w:u w:val="single"/>
          <w14:textFill>
            <w14:solidFill>
              <w14:schemeClr w14:val="tx1"/>
            </w14:solidFill>
          </w14:textFill>
        </w:rPr>
        <w:t>7</w:t>
      </w:r>
      <w:r>
        <w:rPr>
          <w:rFonts w:hint="eastAsia"/>
          <w:color w:val="000000" w:themeColor="text1"/>
          <w:u w:val="single"/>
          <w14:textFill>
            <w14:solidFill>
              <w14:schemeClr w14:val="tx1"/>
            </w14:solidFill>
          </w14:textFill>
        </w:rPr>
        <w:t>2小时内油膜扫海面积及残油油膜平均厚度见表5.5-</w:t>
      </w:r>
      <w:r>
        <w:rPr>
          <w:color w:val="000000" w:themeColor="text1"/>
          <w:u w:val="single"/>
          <w14:textFill>
            <w14:solidFill>
              <w14:schemeClr w14:val="tx1"/>
            </w14:solidFill>
          </w14:textFill>
        </w:rPr>
        <w:t>8</w:t>
      </w:r>
      <w:r>
        <w:rPr>
          <w:rFonts w:hint="eastAsia"/>
          <w:color w:val="000000" w:themeColor="text1"/>
          <w:u w:val="single"/>
          <w14:textFill>
            <w14:solidFill>
              <w14:schemeClr w14:val="tx1"/>
            </w14:solidFill>
          </w14:textFill>
        </w:rPr>
        <w:t>，</w:t>
      </w:r>
      <w:r>
        <w:rPr>
          <w:color w:val="000000" w:themeColor="text1"/>
          <w:u w:val="single"/>
          <w14:textFill>
            <w14:solidFill>
              <w14:schemeClr w14:val="tx1"/>
            </w14:solidFill>
          </w14:textFill>
        </w:rPr>
        <w:t>7</w:t>
      </w:r>
      <w:r>
        <w:rPr>
          <w:rFonts w:hint="eastAsia"/>
          <w:color w:val="000000" w:themeColor="text1"/>
          <w:u w:val="single"/>
          <w14:textFill>
            <w14:solidFill>
              <w14:schemeClr w14:val="tx1"/>
            </w14:solidFill>
          </w14:textFill>
        </w:rPr>
        <w:t>2小时内油膜合计影响范围见图</w:t>
      </w:r>
      <w:r>
        <w:rPr>
          <w:rFonts w:hint="eastAsia"/>
          <w:color w:val="000000" w:themeColor="text1"/>
          <w:kern w:val="0"/>
          <w:u w:val="single"/>
          <w14:textFill>
            <w14:solidFill>
              <w14:schemeClr w14:val="tx1"/>
            </w14:solidFill>
          </w14:textFill>
        </w:rPr>
        <w:t>5.5.3</w:t>
      </w:r>
      <w:r>
        <w:rPr>
          <w:color w:val="000000" w:themeColor="text1"/>
          <w:u w:val="single"/>
          <w14:textFill>
            <w14:solidFill>
              <w14:schemeClr w14:val="tx1"/>
            </w14:solidFill>
          </w14:textFill>
        </w:rPr>
        <w:t>-11</w:t>
      </w:r>
      <w:r>
        <w:rPr>
          <w:rFonts w:hint="eastAsia"/>
          <w:color w:val="000000" w:themeColor="text1"/>
          <w:u w:val="single"/>
          <w14:textFill>
            <w14:solidFill>
              <w14:schemeClr w14:val="tx1"/>
            </w14:solidFill>
          </w14:textFill>
        </w:rPr>
        <w:t>，油膜运动趋势与环境敏感目标叠置如图</w:t>
      </w:r>
      <w:r>
        <w:rPr>
          <w:rFonts w:hint="eastAsia"/>
          <w:color w:val="000000" w:themeColor="text1"/>
          <w:kern w:val="0"/>
          <w:u w:val="single"/>
          <w14:textFill>
            <w14:solidFill>
              <w14:schemeClr w14:val="tx1"/>
            </w14:solidFill>
          </w14:textFill>
        </w:rPr>
        <w:t>5.5.3</w:t>
      </w:r>
      <w:r>
        <w:rPr>
          <w:rFonts w:hint="eastAsia"/>
          <w:color w:val="000000" w:themeColor="text1"/>
          <w:u w:val="single"/>
          <w14:textFill>
            <w14:solidFill>
              <w14:schemeClr w14:val="tx1"/>
            </w14:solidFill>
          </w14:textFill>
        </w:rPr>
        <w:t>-</w:t>
      </w:r>
      <w:r>
        <w:rPr>
          <w:color w:val="000000" w:themeColor="text1"/>
          <w:u w:val="single"/>
          <w14:textFill>
            <w14:solidFill>
              <w14:schemeClr w14:val="tx1"/>
            </w14:solidFill>
          </w14:textFill>
        </w:rPr>
        <w:t>12</w:t>
      </w:r>
      <w:r>
        <w:rPr>
          <w:rFonts w:hint="eastAsia"/>
          <w:color w:val="000000" w:themeColor="text1"/>
          <w:u w:val="single"/>
          <w14:textFill>
            <w14:solidFill>
              <w14:schemeClr w14:val="tx1"/>
            </w14:solidFill>
          </w14:textFill>
        </w:rPr>
        <w:t>所示。</w:t>
      </w:r>
    </w:p>
    <w:p w14:paraId="45377351">
      <w:pPr>
        <w:pStyle w:val="13"/>
        <w:rPr>
          <w:color w:val="000000" w:themeColor="text1"/>
          <w:u w:val="single"/>
          <w14:textFill>
            <w14:solidFill>
              <w14:schemeClr w14:val="tx1"/>
            </w14:solidFill>
          </w14:textFill>
        </w:rPr>
      </w:pPr>
    </w:p>
    <w:p w14:paraId="7C85B678">
      <w:pPr>
        <w:pStyle w:val="7"/>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 xml:space="preserve"> 不利风向NE条件下落潮时溢油扫海面积</w:t>
      </w:r>
    </w:p>
    <w:tbl>
      <w:tblPr>
        <w:tblStyle w:val="43"/>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583"/>
        <w:gridCol w:w="1387"/>
        <w:gridCol w:w="1387"/>
        <w:gridCol w:w="1387"/>
        <w:gridCol w:w="1388"/>
        <w:gridCol w:w="1390"/>
      </w:tblGrid>
      <w:tr w14:paraId="0BC7B1B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40" w:hRule="atLeast"/>
          <w:jc w:val="center"/>
        </w:trPr>
        <w:tc>
          <w:tcPr>
            <w:tcW w:w="929" w:type="pct"/>
            <w:vMerge w:val="restart"/>
            <w:tcMar>
              <w:top w:w="57" w:type="dxa"/>
              <w:bottom w:w="57" w:type="dxa"/>
            </w:tcMar>
            <w:vAlign w:val="center"/>
          </w:tcPr>
          <w:p w14:paraId="2DBCCF2B">
            <w:pPr>
              <w:spacing w:line="240" w:lineRule="atLeast"/>
              <w:ind w:firstLine="0" w:firstLineChars="0"/>
              <w:jc w:val="center"/>
              <w:rPr>
                <w:b/>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项目</w:t>
            </w:r>
          </w:p>
        </w:tc>
        <w:tc>
          <w:tcPr>
            <w:tcW w:w="4071" w:type="pct"/>
            <w:gridSpan w:val="5"/>
            <w:tcMar>
              <w:top w:w="57" w:type="dxa"/>
              <w:bottom w:w="57" w:type="dxa"/>
            </w:tcMar>
            <w:vAlign w:val="center"/>
          </w:tcPr>
          <w:p w14:paraId="1E2D4B4E">
            <w:pPr>
              <w:spacing w:line="240" w:lineRule="atLeast"/>
              <w:ind w:firstLine="0" w:firstLineChars="0"/>
              <w:jc w:val="center"/>
              <w:rPr>
                <w:b/>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泄漏发生经历时间（小时）</w:t>
            </w:r>
          </w:p>
        </w:tc>
      </w:tr>
      <w:tr w14:paraId="65508D2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5" w:hRule="atLeast"/>
          <w:jc w:val="center"/>
        </w:trPr>
        <w:tc>
          <w:tcPr>
            <w:tcW w:w="929" w:type="pct"/>
            <w:vMerge w:val="continue"/>
            <w:tcMar>
              <w:top w:w="57" w:type="dxa"/>
              <w:bottom w:w="57" w:type="dxa"/>
            </w:tcMar>
            <w:vAlign w:val="center"/>
          </w:tcPr>
          <w:p w14:paraId="018FEDAE">
            <w:pPr>
              <w:spacing w:line="240" w:lineRule="atLeast"/>
              <w:ind w:firstLine="0" w:firstLineChars="0"/>
              <w:jc w:val="center"/>
              <w:rPr>
                <w:b/>
                <w:color w:val="000000" w:themeColor="text1"/>
                <w:sz w:val="21"/>
                <w:szCs w:val="21"/>
                <w14:textFill>
                  <w14:solidFill>
                    <w14:schemeClr w14:val="tx1"/>
                  </w14:solidFill>
                </w14:textFill>
              </w:rPr>
            </w:pPr>
          </w:p>
        </w:tc>
        <w:tc>
          <w:tcPr>
            <w:tcW w:w="814" w:type="pct"/>
            <w:tcMar>
              <w:top w:w="57" w:type="dxa"/>
              <w:bottom w:w="57" w:type="dxa"/>
            </w:tcMar>
            <w:vAlign w:val="center"/>
          </w:tcPr>
          <w:p w14:paraId="1EE86DBD">
            <w:pPr>
              <w:spacing w:line="240" w:lineRule="atLeast"/>
              <w:ind w:firstLine="0" w:firstLineChars="0"/>
              <w:jc w:val="center"/>
              <w:rPr>
                <w:b/>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1</w:t>
            </w:r>
          </w:p>
        </w:tc>
        <w:tc>
          <w:tcPr>
            <w:tcW w:w="814" w:type="pct"/>
            <w:vAlign w:val="center"/>
          </w:tcPr>
          <w:p w14:paraId="4982A4D8">
            <w:pPr>
              <w:spacing w:line="240" w:lineRule="atLeast"/>
              <w:ind w:firstLine="0" w:firstLineChars="0"/>
              <w:jc w:val="center"/>
              <w:rPr>
                <w:b/>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12</w:t>
            </w:r>
          </w:p>
        </w:tc>
        <w:tc>
          <w:tcPr>
            <w:tcW w:w="814" w:type="pct"/>
            <w:tcMar>
              <w:top w:w="57" w:type="dxa"/>
              <w:bottom w:w="57" w:type="dxa"/>
            </w:tcMar>
            <w:vAlign w:val="center"/>
          </w:tcPr>
          <w:p w14:paraId="76862669">
            <w:pPr>
              <w:spacing w:line="240" w:lineRule="atLeast"/>
              <w:ind w:firstLine="0" w:firstLineChars="0"/>
              <w:jc w:val="center"/>
              <w:rPr>
                <w:b/>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24</w:t>
            </w:r>
          </w:p>
        </w:tc>
        <w:tc>
          <w:tcPr>
            <w:tcW w:w="814" w:type="pct"/>
            <w:tcMar>
              <w:top w:w="57" w:type="dxa"/>
              <w:bottom w:w="57" w:type="dxa"/>
            </w:tcMar>
            <w:vAlign w:val="center"/>
          </w:tcPr>
          <w:p w14:paraId="6BA19707">
            <w:pPr>
              <w:spacing w:line="240" w:lineRule="atLeast"/>
              <w:ind w:firstLine="0" w:firstLineChars="0"/>
              <w:jc w:val="center"/>
              <w:rPr>
                <w:b/>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48</w:t>
            </w:r>
          </w:p>
        </w:tc>
        <w:tc>
          <w:tcPr>
            <w:tcW w:w="815" w:type="pct"/>
            <w:vAlign w:val="center"/>
          </w:tcPr>
          <w:p w14:paraId="1476E41B">
            <w:pPr>
              <w:spacing w:line="240" w:lineRule="atLeast"/>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7</w:t>
            </w:r>
            <w:r>
              <w:rPr>
                <w:rFonts w:hint="eastAsia"/>
                <w:b/>
                <w:color w:val="000000" w:themeColor="text1"/>
                <w:sz w:val="21"/>
                <w:szCs w:val="21"/>
                <w14:textFill>
                  <w14:solidFill>
                    <w14:schemeClr w14:val="tx1"/>
                  </w14:solidFill>
                </w14:textFill>
              </w:rPr>
              <w:t>2</w:t>
            </w:r>
          </w:p>
        </w:tc>
      </w:tr>
      <w:tr w14:paraId="2599F71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929" w:type="pct"/>
            <w:tcMar>
              <w:top w:w="57" w:type="dxa"/>
              <w:bottom w:w="57" w:type="dxa"/>
            </w:tcMar>
            <w:vAlign w:val="center"/>
          </w:tcPr>
          <w:p w14:paraId="49532312">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油膜扫海面积（km</w:t>
            </w:r>
            <w:r>
              <w:rPr>
                <w:rFonts w:hint="eastAsia"/>
                <w:color w:val="000000" w:themeColor="text1"/>
                <w:sz w:val="21"/>
                <w:szCs w:val="21"/>
                <w:vertAlign w:val="superscript"/>
                <w14:textFill>
                  <w14:solidFill>
                    <w14:schemeClr w14:val="tx1"/>
                  </w14:solidFill>
                </w14:textFill>
              </w:rPr>
              <w:t>2</w:t>
            </w:r>
            <w:r>
              <w:rPr>
                <w:rFonts w:hint="eastAsia"/>
                <w:color w:val="000000" w:themeColor="text1"/>
                <w:sz w:val="21"/>
                <w:szCs w:val="21"/>
                <w14:textFill>
                  <w14:solidFill>
                    <w14:schemeClr w14:val="tx1"/>
                  </w14:solidFill>
                </w14:textFill>
              </w:rPr>
              <w:t>）</w:t>
            </w:r>
          </w:p>
        </w:tc>
        <w:tc>
          <w:tcPr>
            <w:tcW w:w="814" w:type="pct"/>
            <w:tcMar>
              <w:top w:w="57" w:type="dxa"/>
              <w:bottom w:w="57" w:type="dxa"/>
            </w:tcMar>
            <w:vAlign w:val="center"/>
          </w:tcPr>
          <w:p w14:paraId="7A702B00">
            <w:pPr>
              <w:widowControl/>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0.29</w:t>
            </w:r>
            <w:r>
              <w:rPr>
                <w:color w:val="000000" w:themeColor="text1"/>
                <w:sz w:val="21"/>
                <w:szCs w:val="21"/>
                <w14:textFill>
                  <w14:solidFill>
                    <w14:schemeClr w14:val="tx1"/>
                  </w14:solidFill>
                </w14:textFill>
              </w:rPr>
              <w:t>9</w:t>
            </w:r>
          </w:p>
        </w:tc>
        <w:tc>
          <w:tcPr>
            <w:tcW w:w="814" w:type="pct"/>
            <w:vAlign w:val="center"/>
          </w:tcPr>
          <w:p w14:paraId="685A550E">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17.5</w:t>
            </w:r>
            <w:r>
              <w:rPr>
                <w:color w:val="000000" w:themeColor="text1"/>
                <w:sz w:val="21"/>
                <w:szCs w:val="21"/>
                <w14:textFill>
                  <w14:solidFill>
                    <w14:schemeClr w14:val="tx1"/>
                  </w14:solidFill>
                </w14:textFill>
              </w:rPr>
              <w:t>94</w:t>
            </w:r>
          </w:p>
        </w:tc>
        <w:tc>
          <w:tcPr>
            <w:tcW w:w="814" w:type="pct"/>
            <w:tcMar>
              <w:top w:w="57" w:type="dxa"/>
              <w:bottom w:w="57" w:type="dxa"/>
            </w:tcMar>
            <w:vAlign w:val="center"/>
          </w:tcPr>
          <w:p w14:paraId="76AA1996">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10</w:t>
            </w:r>
            <w:r>
              <w:rPr>
                <w:color w:val="000000" w:themeColor="text1"/>
                <w:sz w:val="21"/>
                <w:szCs w:val="21"/>
                <w14:textFill>
                  <w14:solidFill>
                    <w14:schemeClr w14:val="tx1"/>
                  </w14:solidFill>
                </w14:textFill>
              </w:rPr>
              <w:t>7</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526</w:t>
            </w:r>
          </w:p>
        </w:tc>
        <w:tc>
          <w:tcPr>
            <w:tcW w:w="814" w:type="pct"/>
            <w:tcMar>
              <w:top w:w="57" w:type="dxa"/>
              <w:bottom w:w="57" w:type="dxa"/>
            </w:tcMar>
            <w:vAlign w:val="center"/>
          </w:tcPr>
          <w:p w14:paraId="2BD19708">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26</w:t>
            </w:r>
            <w:r>
              <w:rPr>
                <w:color w:val="000000" w:themeColor="text1"/>
                <w:sz w:val="21"/>
                <w:szCs w:val="21"/>
                <w14:textFill>
                  <w14:solidFill>
                    <w14:schemeClr w14:val="tx1"/>
                  </w14:solidFill>
                </w14:textFill>
              </w:rPr>
              <w:t>8</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159</w:t>
            </w:r>
          </w:p>
        </w:tc>
        <w:tc>
          <w:tcPr>
            <w:tcW w:w="815" w:type="pct"/>
            <w:vAlign w:val="center"/>
          </w:tcPr>
          <w:p w14:paraId="32938EC3">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463.663</w:t>
            </w:r>
          </w:p>
        </w:tc>
      </w:tr>
      <w:tr w14:paraId="7251A3F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929" w:type="pct"/>
            <w:tcMar>
              <w:top w:w="57" w:type="dxa"/>
              <w:bottom w:w="57" w:type="dxa"/>
            </w:tcMar>
            <w:vAlign w:val="center"/>
          </w:tcPr>
          <w:p w14:paraId="542165DE">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残油油膜平均厚度（m</w:t>
            </w:r>
            <w:r>
              <w:rPr>
                <w:color w:val="000000" w:themeColor="text1"/>
                <w:sz w:val="21"/>
                <w:szCs w:val="21"/>
                <w14:textFill>
                  <w14:solidFill>
                    <w14:schemeClr w14:val="tx1"/>
                  </w14:solidFill>
                </w14:textFill>
              </w:rPr>
              <w:t>m</w:t>
            </w:r>
            <w:r>
              <w:rPr>
                <w:rFonts w:hint="eastAsia"/>
                <w:color w:val="000000" w:themeColor="text1"/>
                <w:sz w:val="21"/>
                <w:szCs w:val="21"/>
                <w14:textFill>
                  <w14:solidFill>
                    <w14:schemeClr w14:val="tx1"/>
                  </w14:solidFill>
                </w14:textFill>
              </w:rPr>
              <w:t>）</w:t>
            </w:r>
          </w:p>
        </w:tc>
        <w:tc>
          <w:tcPr>
            <w:tcW w:w="814" w:type="pct"/>
            <w:tcMar>
              <w:top w:w="57" w:type="dxa"/>
              <w:bottom w:w="57" w:type="dxa"/>
            </w:tcMar>
            <w:vAlign w:val="center"/>
          </w:tcPr>
          <w:p w14:paraId="6959BB85">
            <w:pPr>
              <w:widowControl/>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4675.74</w:t>
            </w:r>
          </w:p>
        </w:tc>
        <w:tc>
          <w:tcPr>
            <w:tcW w:w="814" w:type="pct"/>
            <w:vAlign w:val="center"/>
          </w:tcPr>
          <w:p w14:paraId="52A91715">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313.20</w:t>
            </w:r>
          </w:p>
        </w:tc>
        <w:tc>
          <w:tcPr>
            <w:tcW w:w="814" w:type="pct"/>
            <w:tcMar>
              <w:top w:w="57" w:type="dxa"/>
              <w:bottom w:w="57" w:type="dxa"/>
            </w:tcMar>
            <w:vAlign w:val="center"/>
          </w:tcPr>
          <w:p w14:paraId="3A13A5A5">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118.42</w:t>
            </w:r>
          </w:p>
        </w:tc>
        <w:tc>
          <w:tcPr>
            <w:tcW w:w="814" w:type="pct"/>
            <w:tcMar>
              <w:top w:w="57" w:type="dxa"/>
              <w:bottom w:w="57" w:type="dxa"/>
            </w:tcMar>
            <w:vAlign w:val="center"/>
          </w:tcPr>
          <w:p w14:paraId="2B3AC6B8">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58.49</w:t>
            </w:r>
          </w:p>
        </w:tc>
        <w:tc>
          <w:tcPr>
            <w:tcW w:w="815" w:type="pct"/>
            <w:vAlign w:val="center"/>
          </w:tcPr>
          <w:p w14:paraId="05CD631C">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25.18</w:t>
            </w:r>
          </w:p>
        </w:tc>
      </w:tr>
    </w:tbl>
    <w:p w14:paraId="19F8F084">
      <w:pPr>
        <w:ind w:firstLine="482"/>
        <w:jc w:val="center"/>
        <w:rPr>
          <w:rFonts w:ascii="宋体" w:hAnsi="宋体"/>
          <w:b/>
          <w:color w:val="000000" w:themeColor="text1"/>
          <w14:textFill>
            <w14:solidFill>
              <w14:schemeClr w14:val="tx1"/>
            </w14:solidFill>
          </w14:textFill>
        </w:rPr>
      </w:pPr>
      <w:r>
        <w:rPr>
          <w:rFonts w:ascii="宋体" w:hAnsi="宋体"/>
          <w:b/>
          <w:color w:val="000000" w:themeColor="text1"/>
          <w14:textFill>
            <w14:solidFill>
              <w14:schemeClr w14:val="tx1"/>
            </w14:solidFill>
          </w14:textFill>
        </w:rPr>
        <w:drawing>
          <wp:inline distT="0" distB="0" distL="0" distR="0">
            <wp:extent cx="3009265" cy="3959860"/>
            <wp:effectExtent l="0" t="0" r="0" b="0"/>
            <wp:docPr id="251" name="图片 251" descr="G:\project\2022\jingujiang14-15#\yiyou\luone251128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251" descr="G:\project\2022\jingujiang14-15#\yiyou\luone251128油.jpg"/>
                    <pic:cNvPicPr>
                      <a:picLocks noChangeAspect="1" noChangeArrowheads="1"/>
                    </pic:cNvPicPr>
                  </pic:nvPicPr>
                  <pic:blipFill>
                    <a:blip r:embed="rId242" cstate="print">
                      <a:extLst>
                        <a:ext uri="{28A0092B-C50C-407E-A947-70E740481C1C}">
                          <a14:useLocalDpi xmlns:a14="http://schemas.microsoft.com/office/drawing/2010/main" val="0"/>
                        </a:ext>
                      </a:extLst>
                    </a:blip>
                    <a:srcRect l="490" t="1231" r="3176" b="12007"/>
                    <a:stretch>
                      <a:fillRect/>
                    </a:stretch>
                  </pic:blipFill>
                  <pic:spPr>
                    <a:xfrm>
                      <a:off x="0" y="0"/>
                      <a:ext cx="3009501" cy="3960000"/>
                    </a:xfrm>
                    <a:prstGeom prst="rect">
                      <a:avLst/>
                    </a:prstGeom>
                    <a:noFill/>
                    <a:ln>
                      <a:noFill/>
                    </a:ln>
                  </pic:spPr>
                </pic:pic>
              </a:graphicData>
            </a:graphic>
          </wp:inline>
        </w:drawing>
      </w:r>
    </w:p>
    <w:p w14:paraId="232734E9">
      <w:pPr>
        <w:ind w:firstLine="482"/>
        <w:jc w:val="center"/>
        <w:rPr>
          <w:rFonts w:ascii="宋体" w:hAnsi="宋体"/>
          <w:b/>
          <w:color w:val="000000" w:themeColor="text1"/>
          <w14:textFill>
            <w14:solidFill>
              <w14:schemeClr w14:val="tx1"/>
            </w14:solidFill>
          </w14:textFill>
        </w:rPr>
      </w:pPr>
      <w:r>
        <w:rPr>
          <w:rFonts w:hint="eastAsia"/>
          <w:b/>
          <w:color w:val="000000" w:themeColor="text1"/>
          <w14:textFill>
            <w14:solidFill>
              <w14:schemeClr w14:val="tx1"/>
            </w14:solidFill>
          </w14:textFill>
        </w:rPr>
        <w:t>图</w:t>
      </w:r>
      <w:r>
        <w:rPr>
          <w:rFonts w:hint="eastAsia"/>
          <w:color w:val="000000" w:themeColor="text1"/>
          <w:kern w:val="0"/>
          <w14:textFill>
            <w14:solidFill>
              <w14:schemeClr w14:val="tx1"/>
            </w14:solidFill>
          </w14:textFill>
        </w:rPr>
        <w:t>5.5.3</w:t>
      </w:r>
      <w:r>
        <w:rPr>
          <w:rFonts w:hint="eastAsia"/>
          <w:b/>
          <w:color w:val="000000" w:themeColor="text1"/>
          <w14:textFill>
            <w14:solidFill>
              <w14:schemeClr w14:val="tx1"/>
            </w14:solidFill>
          </w14:textFill>
        </w:rPr>
        <w:t>-</w:t>
      </w:r>
      <w:r>
        <w:rPr>
          <w:b/>
          <w:color w:val="000000" w:themeColor="text1"/>
          <w14:textFill>
            <w14:solidFill>
              <w14:schemeClr w14:val="tx1"/>
            </w14:solidFill>
          </w14:textFill>
        </w:rPr>
        <w:t>11</w:t>
      </w:r>
      <w:r>
        <w:rPr>
          <w:rFonts w:hint="eastAsia"/>
          <w:b/>
          <w:color w:val="000000" w:themeColor="text1"/>
          <w14:textFill>
            <w14:solidFill>
              <w14:schemeClr w14:val="tx1"/>
            </w14:solidFill>
          </w14:textFill>
        </w:rPr>
        <w:t xml:space="preserve"> 不利风向NE条件下落潮时溢油油膜影响范围示意</w:t>
      </w:r>
    </w:p>
    <w:p w14:paraId="33ED6770">
      <w:pPr>
        <w:ind w:firstLine="480"/>
        <w:jc w:val="center"/>
        <w:rPr>
          <w:rFonts w:ascii="宋体" w:hAnsi="宋体"/>
          <w:b/>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3013710" cy="3959860"/>
            <wp:effectExtent l="0" t="0" r="0" b="0"/>
            <wp:docPr id="252" name="图片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252"/>
                    <pic:cNvPicPr>
                      <a:picLocks noChangeAspect="1"/>
                    </pic:cNvPicPr>
                  </pic:nvPicPr>
                  <pic:blipFill>
                    <a:blip r:embed="rId243"/>
                    <a:stretch>
                      <a:fillRect/>
                    </a:stretch>
                  </pic:blipFill>
                  <pic:spPr>
                    <a:xfrm>
                      <a:off x="0" y="0"/>
                      <a:ext cx="3014274" cy="3960000"/>
                    </a:xfrm>
                    <a:prstGeom prst="rect">
                      <a:avLst/>
                    </a:prstGeom>
                  </pic:spPr>
                </pic:pic>
              </a:graphicData>
            </a:graphic>
          </wp:inline>
        </w:drawing>
      </w:r>
    </w:p>
    <w:p w14:paraId="3612729C">
      <w:pPr>
        <w:ind w:firstLine="482"/>
        <w:jc w:val="center"/>
        <w:rPr>
          <w:rFonts w:ascii="宋体" w:hAnsi="宋体"/>
          <w:b/>
          <w:color w:val="000000" w:themeColor="text1"/>
          <w14:textFill>
            <w14:solidFill>
              <w14:schemeClr w14:val="tx1"/>
            </w14:solidFill>
          </w14:textFill>
        </w:rPr>
      </w:pPr>
      <w:r>
        <w:rPr>
          <w:rFonts w:hint="eastAsia" w:ascii="宋体" w:hAnsi="宋体"/>
          <w:b/>
          <w:color w:val="000000" w:themeColor="text1"/>
          <w14:textFill>
            <w14:solidFill>
              <w14:schemeClr w14:val="tx1"/>
            </w14:solidFill>
          </w14:textFill>
        </w:rPr>
        <w:t>图</w:t>
      </w:r>
      <w:r>
        <w:rPr>
          <w:rFonts w:hint="eastAsia"/>
          <w:color w:val="000000" w:themeColor="text1"/>
          <w:kern w:val="0"/>
          <w14:textFill>
            <w14:solidFill>
              <w14:schemeClr w14:val="tx1"/>
            </w14:solidFill>
          </w14:textFill>
        </w:rPr>
        <w:t>5.5.3</w:t>
      </w:r>
      <w:r>
        <w:rPr>
          <w:rFonts w:hint="eastAsia" w:ascii="宋体" w:hAnsi="宋体"/>
          <w:b/>
          <w:color w:val="000000" w:themeColor="text1"/>
          <w14:textFill>
            <w14:solidFill>
              <w14:schemeClr w14:val="tx1"/>
            </w14:solidFill>
          </w14:textFill>
        </w:rPr>
        <w:t>-</w:t>
      </w:r>
      <w:r>
        <w:rPr>
          <w:rFonts w:ascii="宋体" w:hAnsi="宋体"/>
          <w:b/>
          <w:color w:val="000000" w:themeColor="text1"/>
          <w14:textFill>
            <w14:solidFill>
              <w14:schemeClr w14:val="tx1"/>
            </w14:solidFill>
          </w14:textFill>
        </w:rPr>
        <w:t>12</w:t>
      </w:r>
      <w:r>
        <w:rPr>
          <w:rFonts w:hint="eastAsia" w:ascii="宋体" w:hAnsi="宋体"/>
          <w:b/>
          <w:color w:val="000000" w:themeColor="text1"/>
          <w14:textFill>
            <w14:solidFill>
              <w14:schemeClr w14:val="tx1"/>
            </w14:solidFill>
          </w14:textFill>
        </w:rPr>
        <w:t xml:space="preserve"> 不利风向NE条件下落潮时溢油油膜运动轨迹</w:t>
      </w:r>
      <w:r>
        <w:rPr>
          <w:rFonts w:hint="eastAsia"/>
          <w:b/>
          <w:color w:val="000000" w:themeColor="text1"/>
          <w14:textFill>
            <w14:solidFill>
              <w14:schemeClr w14:val="tx1"/>
            </w14:solidFill>
          </w14:textFill>
        </w:rPr>
        <w:t>（叠加敏感目标）</w:t>
      </w:r>
    </w:p>
    <w:p w14:paraId="59F57549">
      <w:pPr>
        <w:pStyle w:val="6"/>
        <w:ind w:left="0"/>
        <w:rPr>
          <w:color w:val="000000" w:themeColor="text1"/>
          <w14:textFill>
            <w14:solidFill>
              <w14:schemeClr w14:val="tx1"/>
            </w14:solidFill>
          </w14:textFill>
        </w:rPr>
      </w:pPr>
      <w:r>
        <w:rPr>
          <w:rFonts w:hint="eastAsia"/>
          <w:color w:val="000000" w:themeColor="text1"/>
          <w14:textFill>
            <w14:solidFill>
              <w14:schemeClr w14:val="tx1"/>
            </w14:solidFill>
          </w14:textFill>
        </w:rPr>
        <w:t>不可溶化学品</w:t>
      </w:r>
      <w:r>
        <w:rPr>
          <w:rFonts w:hint="eastAsia"/>
          <w:color w:val="000000" w:themeColor="text1"/>
          <w:lang w:eastAsia="zh-CN"/>
          <w14:textFill>
            <w14:solidFill>
              <w14:schemeClr w14:val="tx1"/>
            </w14:solidFill>
          </w14:textFill>
        </w:rPr>
        <w:t>泄漏</w:t>
      </w:r>
      <w:r>
        <w:rPr>
          <w:rFonts w:hint="eastAsia"/>
          <w:color w:val="000000" w:themeColor="text1"/>
          <w14:textFill>
            <w14:solidFill>
              <w14:schemeClr w14:val="tx1"/>
            </w14:solidFill>
          </w14:textFill>
        </w:rPr>
        <w:t>扩散基本原理</w:t>
      </w:r>
    </w:p>
    <w:p w14:paraId="676638BD">
      <w:pPr>
        <w:ind w:firstLine="480"/>
        <w:rPr>
          <w:color w:val="000000" w:themeColor="text1"/>
          <w:u w:val="single"/>
          <w14:textFill>
            <w14:solidFill>
              <w14:schemeClr w14:val="tx1"/>
            </w14:solidFill>
          </w14:textFill>
        </w:rPr>
      </w:pPr>
      <w:r>
        <w:rPr>
          <w:rFonts w:ascii="宋体" w:hAnsi="宋体"/>
          <w:color w:val="000000" w:themeColor="text1"/>
          <w:u w:val="single"/>
          <w14:textFill>
            <w14:solidFill>
              <w14:schemeClr w14:val="tx1"/>
            </w14:solidFill>
          </w14:textFill>
        </w:rPr>
        <w:t>本项目不可溶性化学品代表物质为苯乙烯</w:t>
      </w:r>
      <w:r>
        <w:rPr>
          <w:rFonts w:hint="eastAsia" w:ascii="宋体" w:hAnsi="宋体"/>
          <w:color w:val="000000" w:themeColor="text1"/>
          <w:u w:val="single"/>
          <w14:textFill>
            <w14:solidFill>
              <w14:schemeClr w14:val="tx1"/>
            </w14:solidFill>
          </w14:textFill>
        </w:rPr>
        <w:t>，其密度比水小、难溶于水，在水体中的物理性质与油类物质型类似，因此其</w:t>
      </w:r>
      <w:r>
        <w:rPr>
          <w:rFonts w:ascii="宋体" w:hAnsi="宋体"/>
          <w:color w:val="000000" w:themeColor="text1"/>
          <w:u w:val="single"/>
          <w14:textFill>
            <w14:solidFill>
              <w14:schemeClr w14:val="tx1"/>
            </w14:solidFill>
          </w14:textFill>
        </w:rPr>
        <w:t>预测模式可采用</w:t>
      </w:r>
      <w:r>
        <w:rPr>
          <w:rFonts w:hint="eastAsia" w:ascii="宋体" w:hAnsi="宋体"/>
          <w:color w:val="000000" w:themeColor="text1"/>
          <w:u w:val="single"/>
          <w14:textFill>
            <w14:solidFill>
              <w14:schemeClr w14:val="tx1"/>
            </w14:solidFill>
          </w14:textFill>
        </w:rPr>
        <w:t>溢油</w:t>
      </w:r>
      <w:r>
        <w:rPr>
          <w:rFonts w:ascii="宋体" w:hAnsi="宋体"/>
          <w:color w:val="000000" w:themeColor="text1"/>
          <w:u w:val="single"/>
          <w14:textFill>
            <w14:solidFill>
              <w14:schemeClr w14:val="tx1"/>
            </w14:solidFill>
          </w14:textFill>
        </w:rPr>
        <w:t>泄漏的扩散模式，</w:t>
      </w:r>
      <w:r>
        <w:rPr>
          <w:rFonts w:hint="eastAsia" w:ascii="宋体" w:hAnsi="宋体"/>
          <w:color w:val="000000" w:themeColor="text1"/>
          <w:u w:val="single"/>
          <w14:textFill>
            <w14:solidFill>
              <w14:schemeClr w14:val="tx1"/>
            </w14:solidFill>
          </w14:textFill>
        </w:rPr>
        <w:t>通过</w:t>
      </w:r>
      <w:r>
        <w:rPr>
          <w:rFonts w:ascii="宋体" w:hAnsi="宋体"/>
          <w:color w:val="000000" w:themeColor="text1"/>
          <w:u w:val="single"/>
          <w14:textFill>
            <w14:solidFill>
              <w14:schemeClr w14:val="tx1"/>
            </w14:solidFill>
          </w14:textFill>
        </w:rPr>
        <w:t>采用粒子追踪模型预测苯乙烯的漂移扩散对海洋环境的影响</w:t>
      </w:r>
      <w:r>
        <w:rPr>
          <w:rFonts w:hint="eastAsia" w:ascii="宋体" w:hAnsi="宋体"/>
          <w:color w:val="000000" w:themeColor="text1"/>
          <w:u w:val="single"/>
          <w14:textFill>
            <w14:solidFill>
              <w14:schemeClr w14:val="tx1"/>
            </w14:solidFill>
          </w14:textFill>
        </w:rPr>
        <w:t>，</w:t>
      </w:r>
      <w:r>
        <w:rPr>
          <w:rFonts w:ascii="宋体" w:hAnsi="宋体"/>
          <w:color w:val="000000" w:themeColor="text1"/>
          <w:u w:val="single"/>
          <w14:textFill>
            <w14:solidFill>
              <w14:schemeClr w14:val="tx1"/>
            </w14:solidFill>
          </w14:textFill>
        </w:rPr>
        <w:t>基本原理可参考本报告溢油模型的介绍</w:t>
      </w:r>
      <w:r>
        <w:rPr>
          <w:rFonts w:hint="eastAsia" w:ascii="宋体" w:hAnsi="宋体"/>
          <w:color w:val="000000" w:themeColor="text1"/>
          <w:u w:val="single"/>
          <w14:textFill>
            <w14:solidFill>
              <w14:schemeClr w14:val="tx1"/>
            </w14:solidFill>
          </w14:textFill>
        </w:rPr>
        <w:t>，</w:t>
      </w:r>
      <w:r>
        <w:rPr>
          <w:rFonts w:ascii="宋体" w:hAnsi="宋体"/>
          <w:color w:val="000000" w:themeColor="text1"/>
          <w:u w:val="single"/>
          <w14:textFill>
            <w14:solidFill>
              <w14:schemeClr w14:val="tx1"/>
            </w14:solidFill>
          </w14:textFill>
        </w:rPr>
        <w:t>不再赘述</w:t>
      </w:r>
      <w:r>
        <w:rPr>
          <w:rFonts w:hint="eastAsia" w:ascii="宋体" w:hAnsi="宋体"/>
          <w:color w:val="000000" w:themeColor="text1"/>
          <w:u w:val="single"/>
          <w14:textFill>
            <w14:solidFill>
              <w14:schemeClr w14:val="tx1"/>
            </w14:solidFill>
          </w14:textFill>
        </w:rPr>
        <w:t>。</w:t>
      </w:r>
    </w:p>
    <w:p w14:paraId="2A9D6ED6">
      <w:pPr>
        <w:pStyle w:val="6"/>
        <w:ind w:left="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不可溶化学品苯乙烯的源强</w:t>
      </w:r>
    </w:p>
    <w:p w14:paraId="2255853F">
      <w:pPr>
        <w:ind w:firstLine="480"/>
        <w:rPr>
          <w:bCs/>
          <w:color w:val="000000" w:themeColor="text1"/>
          <w:u w:val="single"/>
          <w14:textFill>
            <w14:solidFill>
              <w14:schemeClr w14:val="tx1"/>
            </w14:solidFill>
          </w14:textFill>
        </w:rPr>
      </w:pPr>
      <w:r>
        <w:rPr>
          <w:rFonts w:ascii="宋体" w:hAnsi="宋体"/>
          <w:bCs/>
          <w:color w:val="000000" w:themeColor="text1"/>
          <w:u w:val="single"/>
          <w14:textFill>
            <w14:solidFill>
              <w14:schemeClr w14:val="tx1"/>
            </w14:solidFill>
          </w14:textFill>
        </w:rPr>
        <w:t>本</w:t>
      </w:r>
      <w:r>
        <w:rPr>
          <w:rFonts w:hint="eastAsia" w:ascii="宋体" w:hAnsi="宋体"/>
          <w:bCs/>
          <w:color w:val="000000" w:themeColor="text1"/>
          <w:u w:val="single"/>
          <w14:textFill>
            <w14:solidFill>
              <w14:schemeClr w14:val="tx1"/>
            </w14:solidFill>
          </w14:textFill>
        </w:rPr>
        <w:t>项目运输</w:t>
      </w:r>
      <w:r>
        <w:rPr>
          <w:rFonts w:ascii="宋体" w:hAnsi="宋体"/>
          <w:bCs/>
          <w:color w:val="000000" w:themeColor="text1"/>
          <w:u w:val="single"/>
          <w14:textFill>
            <w14:solidFill>
              <w14:schemeClr w14:val="tx1"/>
            </w14:solidFill>
          </w14:textFill>
        </w:rPr>
        <w:t>船型为</w:t>
      </w:r>
      <w:r>
        <w:rPr>
          <w:bCs/>
          <w:color w:val="000000" w:themeColor="text1"/>
          <w:u w:val="single"/>
          <w14:textFill>
            <w14:solidFill>
              <w14:schemeClr w14:val="tx1"/>
            </w14:solidFill>
          </w14:textFill>
        </w:rPr>
        <w:t>10000 DWT</w:t>
      </w:r>
      <w:r>
        <w:rPr>
          <w:rFonts w:ascii="宋体" w:hAnsi="宋体"/>
          <w:bCs/>
          <w:color w:val="000000" w:themeColor="text1"/>
          <w:u w:val="single"/>
          <w14:textFill>
            <w14:solidFill>
              <w14:schemeClr w14:val="tx1"/>
            </w14:solidFill>
          </w14:textFill>
        </w:rPr>
        <w:t>化学品船，其可能发生的泄漏风险为</w:t>
      </w:r>
      <w:r>
        <w:rPr>
          <w:rFonts w:hint="eastAsia" w:ascii="宋体" w:hAnsi="宋体"/>
          <w:bCs/>
          <w:color w:val="000000" w:themeColor="text1"/>
          <w:u w:val="single"/>
          <w14:textFill>
            <w14:solidFill>
              <w14:schemeClr w14:val="tx1"/>
            </w14:solidFill>
          </w14:textFill>
        </w:rPr>
        <w:t>船舶从金鼓江航道进入本项目回旋水域</w:t>
      </w:r>
      <w:r>
        <w:rPr>
          <w:rFonts w:ascii="宋体" w:hAnsi="宋体"/>
          <w:bCs/>
          <w:color w:val="000000" w:themeColor="text1"/>
          <w:u w:val="single"/>
          <w14:textFill>
            <w14:solidFill>
              <w14:schemeClr w14:val="tx1"/>
            </w14:solidFill>
          </w14:textFill>
        </w:rPr>
        <w:t>的碰撞。以船舶进入本</w:t>
      </w:r>
      <w:r>
        <w:rPr>
          <w:rFonts w:hint="eastAsia" w:ascii="宋体" w:hAnsi="宋体"/>
          <w:bCs/>
          <w:color w:val="000000" w:themeColor="text1"/>
          <w:u w:val="single"/>
          <w14:textFill>
            <w14:solidFill>
              <w14:schemeClr w14:val="tx1"/>
            </w14:solidFill>
          </w14:textFill>
        </w:rPr>
        <w:t>项目回旋水域附近</w:t>
      </w:r>
      <w:r>
        <w:rPr>
          <w:rFonts w:ascii="宋体" w:hAnsi="宋体"/>
          <w:bCs/>
          <w:color w:val="000000" w:themeColor="text1"/>
          <w:u w:val="single"/>
          <w14:textFill>
            <w14:solidFill>
              <w14:schemeClr w14:val="tx1"/>
            </w14:solidFill>
          </w14:textFill>
        </w:rPr>
        <w:t>最有可能发生的碰撞事故导致化学品泄漏事件考虑，本报告以苯乙烯为模拟计算物质，参考《水上溢油环境风险评估技术导则》（</w:t>
      </w:r>
      <w:r>
        <w:rPr>
          <w:bCs/>
          <w:color w:val="000000" w:themeColor="text1"/>
          <w:u w:val="single"/>
          <w14:textFill>
            <w14:solidFill>
              <w14:schemeClr w14:val="tx1"/>
            </w14:solidFill>
          </w14:textFill>
        </w:rPr>
        <w:t>JT/T114-2017</w:t>
      </w:r>
      <w:r>
        <w:rPr>
          <w:rFonts w:ascii="宋体" w:hAnsi="宋体"/>
          <w:bCs/>
          <w:color w:val="000000" w:themeColor="text1"/>
          <w:u w:val="single"/>
          <w14:textFill>
            <w14:solidFill>
              <w14:schemeClr w14:val="tx1"/>
            </w14:solidFill>
          </w14:textFill>
        </w:rPr>
        <w:t>）表</w:t>
      </w:r>
      <w:r>
        <w:rPr>
          <w:bCs/>
          <w:color w:val="000000" w:themeColor="text1"/>
          <w:u w:val="single"/>
          <w14:textFill>
            <w14:solidFill>
              <w14:schemeClr w14:val="tx1"/>
            </w14:solidFill>
          </w14:textFill>
        </w:rPr>
        <w:t>C.1</w:t>
      </w:r>
      <w:r>
        <w:rPr>
          <w:rFonts w:ascii="宋体" w:hAnsi="宋体"/>
          <w:bCs/>
          <w:color w:val="000000" w:themeColor="text1"/>
          <w:u w:val="single"/>
          <w14:textFill>
            <w14:solidFill>
              <w14:schemeClr w14:val="tx1"/>
            </w14:solidFill>
          </w14:textFill>
        </w:rPr>
        <w:t>中</w:t>
      </w:r>
      <w:r>
        <w:rPr>
          <w:bCs/>
          <w:color w:val="000000" w:themeColor="text1"/>
          <w:u w:val="single"/>
          <w14:textFill>
            <w14:solidFill>
              <w14:schemeClr w14:val="tx1"/>
            </w14:solidFill>
          </w14:textFill>
        </w:rPr>
        <w:t>10000</w:t>
      </w:r>
      <w:r>
        <w:rPr>
          <w:rFonts w:ascii="宋体" w:hAnsi="宋体"/>
          <w:bCs/>
          <w:color w:val="000000" w:themeColor="text1"/>
          <w:u w:val="single"/>
          <w14:textFill>
            <w14:solidFill>
              <w14:schemeClr w14:val="tx1"/>
            </w14:solidFill>
          </w14:textFill>
        </w:rPr>
        <w:t>吨级单个舱容</w:t>
      </w:r>
      <w:r>
        <w:rPr>
          <w:rFonts w:hint="eastAsia" w:ascii="宋体" w:hAnsi="宋体"/>
          <w:bCs/>
          <w:color w:val="000000" w:themeColor="text1"/>
          <w:u w:val="single"/>
          <w14:textFill>
            <w14:solidFill>
              <w14:schemeClr w14:val="tx1"/>
            </w14:solidFill>
          </w14:textFill>
        </w:rPr>
        <w:t>全部泄露</w:t>
      </w:r>
      <w:r>
        <w:rPr>
          <w:rFonts w:ascii="宋体" w:hAnsi="宋体"/>
          <w:bCs/>
          <w:color w:val="000000" w:themeColor="text1"/>
          <w:u w:val="single"/>
          <w14:textFill>
            <w14:solidFill>
              <w14:schemeClr w14:val="tx1"/>
            </w14:solidFill>
          </w14:textFill>
        </w:rPr>
        <w:t>，则苯乙烯最大泄露量约合</w:t>
      </w:r>
      <w:r>
        <w:rPr>
          <w:bCs/>
          <w:color w:val="000000" w:themeColor="text1"/>
          <w:u w:val="single"/>
          <w14:textFill>
            <w14:solidFill>
              <w14:schemeClr w14:val="tx1"/>
            </w14:solidFill>
          </w14:textFill>
        </w:rPr>
        <w:t>1031.11t</w:t>
      </w:r>
      <w:r>
        <w:rPr>
          <w:rFonts w:ascii="宋体" w:hAnsi="宋体"/>
          <w:bCs/>
          <w:color w:val="000000" w:themeColor="text1"/>
          <w:u w:val="single"/>
          <w14:textFill>
            <w14:solidFill>
              <w14:schemeClr w14:val="tx1"/>
            </w14:solidFill>
          </w14:textFill>
        </w:rPr>
        <w:t>，按</w:t>
      </w:r>
      <w:r>
        <w:rPr>
          <w:bCs/>
          <w:color w:val="000000" w:themeColor="text1"/>
          <w:u w:val="single"/>
          <w14:textFill>
            <w14:solidFill>
              <w14:schemeClr w14:val="tx1"/>
            </w14:solidFill>
          </w14:textFill>
        </w:rPr>
        <w:t>1</w:t>
      </w:r>
      <w:r>
        <w:rPr>
          <w:rFonts w:ascii="宋体" w:hAnsi="宋体"/>
          <w:bCs/>
          <w:color w:val="000000" w:themeColor="text1"/>
          <w:u w:val="single"/>
          <w14:textFill>
            <w14:solidFill>
              <w14:schemeClr w14:val="tx1"/>
            </w14:solidFill>
          </w14:textFill>
        </w:rPr>
        <w:t>小时内一次溢出计算。</w:t>
      </w:r>
    </w:p>
    <w:p w14:paraId="36C668B0">
      <w:pPr>
        <w:pStyle w:val="6"/>
        <w:ind w:left="0"/>
        <w:rPr>
          <w:color w:val="000000" w:themeColor="text1"/>
          <w14:textFill>
            <w14:solidFill>
              <w14:schemeClr w14:val="tx1"/>
            </w14:solidFill>
          </w14:textFill>
        </w:rPr>
      </w:pPr>
      <w:r>
        <w:rPr>
          <w:rFonts w:hint="eastAsia"/>
          <w:color w:val="000000" w:themeColor="text1"/>
          <w14:textFill>
            <w14:solidFill>
              <w14:schemeClr w14:val="tx1"/>
            </w14:solidFill>
          </w14:textFill>
        </w:rPr>
        <w:t>不可溶化学品苯</w:t>
      </w:r>
      <w:r>
        <w:rPr>
          <w:rFonts w:hint="eastAsia"/>
          <w:color w:val="000000" w:themeColor="text1"/>
          <w:lang w:eastAsia="zh-CN"/>
          <w14:textFill>
            <w14:solidFill>
              <w14:schemeClr w14:val="tx1"/>
            </w14:solidFill>
          </w14:textFill>
        </w:rPr>
        <w:t>乙烯泄漏</w:t>
      </w:r>
      <w:r>
        <w:rPr>
          <w:rFonts w:hint="eastAsia"/>
          <w:color w:val="000000" w:themeColor="text1"/>
          <w14:textFill>
            <w14:solidFill>
              <w14:schemeClr w14:val="tx1"/>
            </w14:solidFill>
          </w14:textFill>
        </w:rPr>
        <w:t>的</w:t>
      </w:r>
      <w:r>
        <w:rPr>
          <w:color w:val="000000" w:themeColor="text1"/>
          <w14:textFill>
            <w14:solidFill>
              <w14:schemeClr w14:val="tx1"/>
            </w14:solidFill>
          </w14:textFill>
        </w:rPr>
        <w:t>预测结果</w:t>
      </w:r>
    </w:p>
    <w:p w14:paraId="4CF92742">
      <w:pPr>
        <w:ind w:firstLine="480"/>
        <w:rPr>
          <w:color w:val="000000" w:themeColor="text1"/>
          <w14:textFill>
            <w14:solidFill>
              <w14:schemeClr w14:val="tx1"/>
            </w14:solidFill>
          </w14:textFill>
        </w:rPr>
      </w:pPr>
      <w:r>
        <w:rPr>
          <w:rFonts w:ascii="宋体" w:hAnsi="宋体"/>
          <w:color w:val="000000" w:themeColor="text1"/>
          <w14:textFill>
            <w14:solidFill>
              <w14:schemeClr w14:val="tx1"/>
            </w14:solidFill>
          </w14:textFill>
        </w:rPr>
        <w:t>选取区域代表性的冬季、夏季主导风向</w:t>
      </w:r>
      <w:r>
        <w:rPr>
          <w:rFonts w:hint="eastAsia" w:ascii="宋体" w:hAnsi="宋体"/>
          <w:color w:val="000000" w:themeColor="text1"/>
          <w14:textFill>
            <w14:solidFill>
              <w14:schemeClr w14:val="tx1"/>
            </w14:solidFill>
          </w14:textFill>
        </w:rPr>
        <w:t>、</w:t>
      </w:r>
      <w:r>
        <w:rPr>
          <w:rFonts w:ascii="宋体" w:hAnsi="宋体"/>
          <w:color w:val="000000" w:themeColor="text1"/>
          <w14:textFill>
            <w14:solidFill>
              <w14:schemeClr w14:val="tx1"/>
            </w14:solidFill>
          </w14:textFill>
        </w:rPr>
        <w:t>不利风向等</w:t>
      </w:r>
      <w:r>
        <w:rPr>
          <w:rFonts w:hint="eastAsia"/>
          <w:color w:val="000000" w:themeColor="text1"/>
          <w14:textFill>
            <w14:solidFill>
              <w14:schemeClr w14:val="tx1"/>
            </w14:solidFill>
          </w14:textFill>
        </w:rPr>
        <w:t>6</w:t>
      </w:r>
      <w:r>
        <w:rPr>
          <w:rFonts w:hint="eastAsia" w:ascii="宋体" w:hAnsi="宋体"/>
          <w:color w:val="000000" w:themeColor="text1"/>
          <w14:textFill>
            <w14:solidFill>
              <w14:schemeClr w14:val="tx1"/>
            </w14:solidFill>
          </w14:textFill>
        </w:rPr>
        <w:t>种</w:t>
      </w:r>
      <w:r>
        <w:rPr>
          <w:rFonts w:ascii="宋体" w:hAnsi="宋体"/>
          <w:color w:val="000000" w:themeColor="text1"/>
          <w14:textFill>
            <w14:solidFill>
              <w14:schemeClr w14:val="tx1"/>
            </w14:solidFill>
          </w14:textFill>
        </w:rPr>
        <w:t>在不同涨落潮态构成典型风险条件</w:t>
      </w:r>
      <w:r>
        <w:rPr>
          <w:rFonts w:hint="eastAsia" w:ascii="宋体" w:hAnsi="宋体"/>
          <w:color w:val="000000" w:themeColor="text1"/>
          <w14:textFill>
            <w14:solidFill>
              <w14:schemeClr w14:val="tx1"/>
            </w14:solidFill>
          </w14:textFill>
        </w:rPr>
        <w:t>，</w:t>
      </w:r>
      <w:r>
        <w:rPr>
          <w:rFonts w:ascii="宋体" w:hAnsi="宋体"/>
          <w:color w:val="000000" w:themeColor="text1"/>
          <w14:textFill>
            <w14:solidFill>
              <w14:schemeClr w14:val="tx1"/>
            </w14:solidFill>
          </w14:textFill>
        </w:rPr>
        <w:t>具体见表</w:t>
      </w:r>
      <w:r>
        <w:rPr>
          <w:rFonts w:hint="eastAsia"/>
          <w:color w:val="000000" w:themeColor="text1"/>
          <w14:textFill>
            <w14:solidFill>
              <w14:schemeClr w14:val="tx1"/>
            </w14:solidFill>
          </w14:textFill>
        </w:rPr>
        <w:t>5.5-</w:t>
      </w:r>
      <w:r>
        <w:rPr>
          <w:color w:val="000000" w:themeColor="text1"/>
          <w14:textFill>
            <w14:solidFill>
              <w14:schemeClr w14:val="tx1"/>
            </w14:solidFill>
          </w14:textFill>
        </w:rPr>
        <w:t>9</w:t>
      </w:r>
      <w:r>
        <w:rPr>
          <w:rFonts w:ascii="宋体" w:hAnsi="宋体"/>
          <w:color w:val="000000" w:themeColor="text1"/>
          <w14:textFill>
            <w14:solidFill>
              <w14:schemeClr w14:val="tx1"/>
            </w14:solidFill>
          </w14:textFill>
        </w:rPr>
        <w:t>，</w:t>
      </w:r>
      <w:r>
        <w:rPr>
          <w:rFonts w:hint="eastAsia" w:ascii="宋体" w:hAnsi="宋体"/>
          <w:color w:val="000000" w:themeColor="text1"/>
          <w14:textFill>
            <w14:solidFill>
              <w14:schemeClr w14:val="tx1"/>
            </w14:solidFill>
          </w14:textFill>
        </w:rPr>
        <w:t>类似地按一级环境风险评价等级</w:t>
      </w:r>
      <w:r>
        <w:rPr>
          <w:rFonts w:ascii="宋体" w:hAnsi="宋体"/>
          <w:color w:val="000000" w:themeColor="text1"/>
          <w14:textFill>
            <w14:solidFill>
              <w14:schemeClr w14:val="tx1"/>
            </w14:solidFill>
          </w14:textFill>
        </w:rPr>
        <w:t>预测苯乙烯泄漏</w:t>
      </w:r>
      <w:r>
        <w:rPr>
          <w:rFonts w:hint="eastAsia" w:ascii="宋体" w:hAnsi="宋体"/>
          <w:color w:val="000000" w:themeColor="text1"/>
          <w14:textFill>
            <w14:solidFill>
              <w14:schemeClr w14:val="tx1"/>
            </w14:solidFill>
          </w14:textFill>
        </w:rPr>
        <w:t>7</w:t>
      </w:r>
      <w:r>
        <w:rPr>
          <w:rFonts w:ascii="宋体" w:hAnsi="宋体"/>
          <w:color w:val="000000" w:themeColor="text1"/>
          <w14:textFill>
            <w14:solidFill>
              <w14:schemeClr w14:val="tx1"/>
            </w14:solidFill>
          </w14:textFill>
        </w:rPr>
        <w:t>2</w:t>
      </w:r>
      <w:r>
        <w:rPr>
          <w:rFonts w:hint="eastAsia" w:ascii="宋体" w:hAnsi="宋体"/>
          <w:color w:val="000000" w:themeColor="text1"/>
          <w14:textFill>
            <w14:solidFill>
              <w14:schemeClr w14:val="tx1"/>
            </w14:solidFill>
          </w14:textFill>
        </w:rPr>
        <w:t>小时</w:t>
      </w:r>
      <w:r>
        <w:rPr>
          <w:rFonts w:ascii="宋体" w:hAnsi="宋体"/>
          <w:color w:val="000000" w:themeColor="text1"/>
          <w14:textFill>
            <w14:solidFill>
              <w14:schemeClr w14:val="tx1"/>
            </w14:solidFill>
          </w14:textFill>
        </w:rPr>
        <w:t>后漂移轨迹及扫海范围</w:t>
      </w:r>
      <w:r>
        <w:rPr>
          <w:rFonts w:hint="eastAsia" w:ascii="宋体" w:hAnsi="宋体"/>
          <w:color w:val="000000" w:themeColor="text1"/>
          <w14:textFill>
            <w14:solidFill>
              <w14:schemeClr w14:val="tx1"/>
            </w14:solidFill>
          </w14:textFill>
        </w:rPr>
        <w:t>。</w:t>
      </w:r>
    </w:p>
    <w:p w14:paraId="326D1D29">
      <w:pPr>
        <w:pStyle w:val="7"/>
        <w:rPr>
          <w:color w:val="000000" w:themeColor="text1"/>
          <w14:textFill>
            <w14:solidFill>
              <w14:schemeClr w14:val="tx1"/>
            </w14:solidFill>
          </w14:textFill>
        </w:rPr>
      </w:pPr>
      <w:r>
        <w:rPr>
          <w:rFonts w:hint="eastAsia"/>
          <w:color w:val="000000" w:themeColor="text1"/>
          <w14:textFill>
            <w14:solidFill>
              <w14:schemeClr w14:val="tx1"/>
            </w14:solidFill>
          </w14:textFill>
        </w:rPr>
        <w:t>苯乙烯乙烯</w:t>
      </w:r>
      <w:r>
        <w:rPr>
          <w:color w:val="000000" w:themeColor="text1"/>
          <w14:textFill>
            <w14:solidFill>
              <w14:schemeClr w14:val="tx1"/>
            </w14:solidFill>
          </w14:textFill>
        </w:rPr>
        <w:t>泄漏事故情景参数</w:t>
      </w:r>
    </w:p>
    <w:tbl>
      <w:tblPr>
        <w:tblStyle w:val="43"/>
        <w:tblW w:w="8292" w:type="dxa"/>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1289"/>
        <w:gridCol w:w="1256"/>
        <w:gridCol w:w="1181"/>
        <w:gridCol w:w="2182"/>
        <w:gridCol w:w="1435"/>
        <w:gridCol w:w="949"/>
      </w:tblGrid>
      <w:tr w14:paraId="40A58FC1">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cantSplit/>
          <w:trHeight w:val="467" w:hRule="atLeast"/>
          <w:jc w:val="center"/>
        </w:trPr>
        <w:tc>
          <w:tcPr>
            <w:tcW w:w="1289" w:type="dxa"/>
            <w:vAlign w:val="center"/>
          </w:tcPr>
          <w:p w14:paraId="1FD69FB0">
            <w:pPr>
              <w:spacing w:line="240" w:lineRule="atLeast"/>
              <w:ind w:firstLine="0" w:firstLineChars="0"/>
              <w:jc w:val="center"/>
              <w:rPr>
                <w:b/>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泄漏</w:t>
            </w:r>
            <w:r>
              <w:rPr>
                <w:b/>
                <w:color w:val="000000" w:themeColor="text1"/>
                <w:sz w:val="21"/>
                <w:szCs w:val="21"/>
                <w14:textFill>
                  <w14:solidFill>
                    <w14:schemeClr w14:val="tx1"/>
                  </w14:solidFill>
                </w14:textFill>
              </w:rPr>
              <w:t>位置</w:t>
            </w:r>
          </w:p>
        </w:tc>
        <w:tc>
          <w:tcPr>
            <w:tcW w:w="1256" w:type="dxa"/>
            <w:vAlign w:val="center"/>
          </w:tcPr>
          <w:p w14:paraId="08A778E9">
            <w:pPr>
              <w:spacing w:line="240" w:lineRule="atLeast"/>
              <w:ind w:firstLine="0" w:firstLineChars="0"/>
              <w:jc w:val="center"/>
              <w:rPr>
                <w:b/>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泄漏</w:t>
            </w:r>
            <w:r>
              <w:rPr>
                <w:b/>
                <w:color w:val="000000" w:themeColor="text1"/>
                <w:sz w:val="21"/>
                <w:szCs w:val="21"/>
                <w14:textFill>
                  <w14:solidFill>
                    <w14:schemeClr w14:val="tx1"/>
                  </w14:solidFill>
                </w14:textFill>
              </w:rPr>
              <w:t>规模</w:t>
            </w:r>
          </w:p>
        </w:tc>
        <w:tc>
          <w:tcPr>
            <w:tcW w:w="1181" w:type="dxa"/>
            <w:vAlign w:val="center"/>
          </w:tcPr>
          <w:p w14:paraId="0230474A">
            <w:pPr>
              <w:spacing w:line="240" w:lineRule="atLeast"/>
              <w:ind w:firstLine="0" w:firstLineChars="0"/>
              <w:jc w:val="center"/>
              <w:rPr>
                <w:b/>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泄漏</w:t>
            </w:r>
            <w:r>
              <w:rPr>
                <w:b/>
                <w:color w:val="000000" w:themeColor="text1"/>
                <w:sz w:val="21"/>
                <w:szCs w:val="21"/>
                <w14:textFill>
                  <w14:solidFill>
                    <w14:schemeClr w14:val="tx1"/>
                  </w14:solidFill>
                </w14:textFill>
              </w:rPr>
              <w:t>物质</w:t>
            </w:r>
          </w:p>
        </w:tc>
        <w:tc>
          <w:tcPr>
            <w:tcW w:w="2182" w:type="dxa"/>
            <w:vAlign w:val="center"/>
          </w:tcPr>
          <w:p w14:paraId="69D31FCC">
            <w:pPr>
              <w:spacing w:line="240" w:lineRule="atLeast"/>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典型风向</w:t>
            </w:r>
          </w:p>
        </w:tc>
        <w:tc>
          <w:tcPr>
            <w:tcW w:w="1435" w:type="dxa"/>
            <w:vAlign w:val="center"/>
          </w:tcPr>
          <w:p w14:paraId="448694A9">
            <w:pPr>
              <w:spacing w:line="240" w:lineRule="atLeast"/>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代表风速m/s</w:t>
            </w:r>
          </w:p>
        </w:tc>
        <w:tc>
          <w:tcPr>
            <w:tcW w:w="949" w:type="dxa"/>
            <w:vAlign w:val="center"/>
          </w:tcPr>
          <w:p w14:paraId="04667795">
            <w:pPr>
              <w:spacing w:line="240" w:lineRule="atLeast"/>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涨落潮</w:t>
            </w:r>
          </w:p>
        </w:tc>
      </w:tr>
      <w:tr w14:paraId="3FC364A2">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cantSplit/>
          <w:trHeight w:val="429" w:hRule="atLeast"/>
          <w:jc w:val="center"/>
        </w:trPr>
        <w:tc>
          <w:tcPr>
            <w:tcW w:w="1289" w:type="dxa"/>
            <w:vMerge w:val="restart"/>
            <w:vAlign w:val="center"/>
          </w:tcPr>
          <w:p w14:paraId="7FDDEB00">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本项目回旋水域与金鼓江航道交汇附近</w:t>
            </w:r>
          </w:p>
        </w:tc>
        <w:tc>
          <w:tcPr>
            <w:tcW w:w="1256" w:type="dxa"/>
            <w:vMerge w:val="restart"/>
            <w:vAlign w:val="center"/>
          </w:tcPr>
          <w:p w14:paraId="547E411D">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1031.11t，</w:t>
            </w:r>
            <w:r>
              <w:rPr>
                <w:rFonts w:hint="eastAsia"/>
                <w:color w:val="000000" w:themeColor="text1"/>
                <w:sz w:val="21"/>
                <w:szCs w:val="21"/>
                <w14:textFill>
                  <w14:solidFill>
                    <w14:schemeClr w14:val="tx1"/>
                  </w14:solidFill>
                </w14:textFill>
              </w:rPr>
              <w:t>1小</w:t>
            </w:r>
            <w:r>
              <w:rPr>
                <w:color w:val="000000" w:themeColor="text1"/>
                <w:sz w:val="21"/>
                <w:szCs w:val="21"/>
                <w14:textFill>
                  <w14:solidFill>
                    <w14:schemeClr w14:val="tx1"/>
                  </w14:solidFill>
                </w14:textFill>
              </w:rPr>
              <w:t>时</w:t>
            </w:r>
          </w:p>
        </w:tc>
        <w:tc>
          <w:tcPr>
            <w:tcW w:w="1181" w:type="dxa"/>
            <w:vMerge w:val="restart"/>
            <w:vAlign w:val="center"/>
          </w:tcPr>
          <w:p w14:paraId="23515DE2">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苯乙烯</w:t>
            </w:r>
          </w:p>
        </w:tc>
        <w:tc>
          <w:tcPr>
            <w:tcW w:w="2182" w:type="dxa"/>
            <w:vMerge w:val="restart"/>
            <w:vAlign w:val="center"/>
          </w:tcPr>
          <w:p w14:paraId="0E3D7256">
            <w:pPr>
              <w:spacing w:line="240" w:lineRule="atLeast"/>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N</w:t>
            </w:r>
            <w:r>
              <w:rPr>
                <w:rFonts w:hint="eastAsia"/>
                <w:color w:val="000000" w:themeColor="text1"/>
                <w:sz w:val="21"/>
                <w:szCs w:val="21"/>
                <w14:textFill>
                  <w14:solidFill>
                    <w14:schemeClr w14:val="tx1"/>
                  </w14:solidFill>
                </w14:textFill>
              </w:rPr>
              <w:t>风，冬</w:t>
            </w:r>
            <w:r>
              <w:rPr>
                <w:color w:val="000000" w:themeColor="text1"/>
                <w:sz w:val="21"/>
                <w:szCs w:val="21"/>
                <w14:textFill>
                  <w14:solidFill>
                    <w14:schemeClr w14:val="tx1"/>
                  </w14:solidFill>
                </w14:textFill>
              </w:rPr>
              <w:t>季主导风</w:t>
            </w:r>
          </w:p>
        </w:tc>
        <w:tc>
          <w:tcPr>
            <w:tcW w:w="1435" w:type="dxa"/>
            <w:vMerge w:val="restart"/>
            <w:vAlign w:val="center"/>
          </w:tcPr>
          <w:p w14:paraId="55529476">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6</w:t>
            </w:r>
            <w:r>
              <w:rPr>
                <w:rFonts w:hint="eastAsia"/>
                <w:color w:val="000000" w:themeColor="text1"/>
                <w:sz w:val="21"/>
                <w:szCs w:val="21"/>
                <w14:textFill>
                  <w14:solidFill>
                    <w14:schemeClr w14:val="tx1"/>
                  </w14:solidFill>
                </w14:textFill>
              </w:rPr>
              <w:t>.7</w:t>
            </w:r>
          </w:p>
        </w:tc>
        <w:tc>
          <w:tcPr>
            <w:tcW w:w="949" w:type="dxa"/>
            <w:vAlign w:val="center"/>
          </w:tcPr>
          <w:p w14:paraId="6ADBC403">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涨潮</w:t>
            </w:r>
          </w:p>
        </w:tc>
      </w:tr>
      <w:tr w14:paraId="2AF0841D">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cantSplit/>
          <w:trHeight w:val="401" w:hRule="atLeast"/>
          <w:jc w:val="center"/>
        </w:trPr>
        <w:tc>
          <w:tcPr>
            <w:tcW w:w="1289" w:type="dxa"/>
            <w:vMerge w:val="continue"/>
            <w:vAlign w:val="center"/>
          </w:tcPr>
          <w:p w14:paraId="2036C4E7">
            <w:pPr>
              <w:spacing w:line="240" w:lineRule="atLeast"/>
              <w:ind w:firstLine="0" w:firstLineChars="0"/>
              <w:jc w:val="center"/>
              <w:rPr>
                <w:color w:val="000000" w:themeColor="text1"/>
                <w:sz w:val="21"/>
                <w:szCs w:val="21"/>
                <w14:textFill>
                  <w14:solidFill>
                    <w14:schemeClr w14:val="tx1"/>
                  </w14:solidFill>
                </w14:textFill>
              </w:rPr>
            </w:pPr>
          </w:p>
        </w:tc>
        <w:tc>
          <w:tcPr>
            <w:tcW w:w="1256" w:type="dxa"/>
            <w:vMerge w:val="continue"/>
            <w:vAlign w:val="center"/>
          </w:tcPr>
          <w:p w14:paraId="47C48B91">
            <w:pPr>
              <w:spacing w:line="240" w:lineRule="atLeast"/>
              <w:ind w:firstLine="0" w:firstLineChars="0"/>
              <w:jc w:val="center"/>
              <w:rPr>
                <w:color w:val="000000" w:themeColor="text1"/>
                <w:sz w:val="21"/>
                <w:szCs w:val="21"/>
                <w14:textFill>
                  <w14:solidFill>
                    <w14:schemeClr w14:val="tx1"/>
                  </w14:solidFill>
                </w14:textFill>
              </w:rPr>
            </w:pPr>
          </w:p>
        </w:tc>
        <w:tc>
          <w:tcPr>
            <w:tcW w:w="1181" w:type="dxa"/>
            <w:vMerge w:val="continue"/>
            <w:vAlign w:val="center"/>
          </w:tcPr>
          <w:p w14:paraId="062E092F">
            <w:pPr>
              <w:spacing w:line="240" w:lineRule="atLeast"/>
              <w:ind w:firstLine="0" w:firstLineChars="0"/>
              <w:jc w:val="center"/>
              <w:rPr>
                <w:color w:val="000000" w:themeColor="text1"/>
                <w:sz w:val="21"/>
                <w:szCs w:val="21"/>
                <w14:textFill>
                  <w14:solidFill>
                    <w14:schemeClr w14:val="tx1"/>
                  </w14:solidFill>
                </w14:textFill>
              </w:rPr>
            </w:pPr>
          </w:p>
        </w:tc>
        <w:tc>
          <w:tcPr>
            <w:tcW w:w="2182" w:type="dxa"/>
            <w:vMerge w:val="continue"/>
            <w:vAlign w:val="center"/>
          </w:tcPr>
          <w:p w14:paraId="7C428473">
            <w:pPr>
              <w:spacing w:line="240" w:lineRule="atLeast"/>
              <w:ind w:firstLine="0" w:firstLineChars="0"/>
              <w:jc w:val="center"/>
              <w:rPr>
                <w:color w:val="000000" w:themeColor="text1"/>
                <w:sz w:val="21"/>
                <w:szCs w:val="21"/>
                <w14:textFill>
                  <w14:solidFill>
                    <w14:schemeClr w14:val="tx1"/>
                  </w14:solidFill>
                </w14:textFill>
              </w:rPr>
            </w:pPr>
          </w:p>
        </w:tc>
        <w:tc>
          <w:tcPr>
            <w:tcW w:w="1435" w:type="dxa"/>
            <w:vMerge w:val="continue"/>
            <w:vAlign w:val="center"/>
          </w:tcPr>
          <w:p w14:paraId="212147BD">
            <w:pPr>
              <w:spacing w:line="240" w:lineRule="atLeast"/>
              <w:ind w:firstLine="0" w:firstLineChars="0"/>
              <w:jc w:val="center"/>
              <w:rPr>
                <w:color w:val="000000" w:themeColor="text1"/>
                <w:sz w:val="21"/>
                <w:szCs w:val="21"/>
                <w14:textFill>
                  <w14:solidFill>
                    <w14:schemeClr w14:val="tx1"/>
                  </w14:solidFill>
                </w14:textFill>
              </w:rPr>
            </w:pPr>
          </w:p>
        </w:tc>
        <w:tc>
          <w:tcPr>
            <w:tcW w:w="949" w:type="dxa"/>
            <w:vAlign w:val="center"/>
          </w:tcPr>
          <w:p w14:paraId="3D3622A6">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落潮</w:t>
            </w:r>
          </w:p>
        </w:tc>
      </w:tr>
      <w:tr w14:paraId="34FA9EFC">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cantSplit/>
          <w:trHeight w:val="204" w:hRule="atLeast"/>
          <w:jc w:val="center"/>
        </w:trPr>
        <w:tc>
          <w:tcPr>
            <w:tcW w:w="1289" w:type="dxa"/>
            <w:vMerge w:val="continue"/>
            <w:vAlign w:val="center"/>
          </w:tcPr>
          <w:p w14:paraId="58A63477">
            <w:pPr>
              <w:spacing w:line="240" w:lineRule="atLeast"/>
              <w:ind w:firstLine="0" w:firstLineChars="0"/>
              <w:jc w:val="center"/>
              <w:rPr>
                <w:color w:val="000000" w:themeColor="text1"/>
                <w:sz w:val="21"/>
                <w:szCs w:val="21"/>
                <w14:textFill>
                  <w14:solidFill>
                    <w14:schemeClr w14:val="tx1"/>
                  </w14:solidFill>
                </w14:textFill>
              </w:rPr>
            </w:pPr>
          </w:p>
        </w:tc>
        <w:tc>
          <w:tcPr>
            <w:tcW w:w="1256" w:type="dxa"/>
            <w:vMerge w:val="continue"/>
            <w:vAlign w:val="center"/>
          </w:tcPr>
          <w:p w14:paraId="2A9007DA">
            <w:pPr>
              <w:spacing w:line="240" w:lineRule="atLeast"/>
              <w:ind w:firstLine="0" w:firstLineChars="0"/>
              <w:jc w:val="center"/>
              <w:rPr>
                <w:color w:val="000000" w:themeColor="text1"/>
                <w:sz w:val="21"/>
                <w:szCs w:val="21"/>
                <w14:textFill>
                  <w14:solidFill>
                    <w14:schemeClr w14:val="tx1"/>
                  </w14:solidFill>
                </w14:textFill>
              </w:rPr>
            </w:pPr>
          </w:p>
        </w:tc>
        <w:tc>
          <w:tcPr>
            <w:tcW w:w="1181" w:type="dxa"/>
            <w:vMerge w:val="continue"/>
            <w:vAlign w:val="center"/>
          </w:tcPr>
          <w:p w14:paraId="0667743C">
            <w:pPr>
              <w:spacing w:line="240" w:lineRule="atLeast"/>
              <w:ind w:firstLine="0" w:firstLineChars="0"/>
              <w:jc w:val="center"/>
              <w:rPr>
                <w:color w:val="000000" w:themeColor="text1"/>
                <w:sz w:val="21"/>
                <w:szCs w:val="21"/>
                <w14:textFill>
                  <w14:solidFill>
                    <w14:schemeClr w14:val="tx1"/>
                  </w14:solidFill>
                </w14:textFill>
              </w:rPr>
            </w:pPr>
          </w:p>
        </w:tc>
        <w:tc>
          <w:tcPr>
            <w:tcW w:w="2182" w:type="dxa"/>
            <w:vMerge w:val="restart"/>
            <w:vAlign w:val="center"/>
          </w:tcPr>
          <w:p w14:paraId="57F77EC7">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S，夏季主导</w:t>
            </w:r>
            <w:r>
              <w:rPr>
                <w:color w:val="000000" w:themeColor="text1"/>
                <w:sz w:val="21"/>
                <w:szCs w:val="21"/>
                <w14:textFill>
                  <w14:solidFill>
                    <w14:schemeClr w14:val="tx1"/>
                  </w14:solidFill>
                </w14:textFill>
              </w:rPr>
              <w:t>风向</w:t>
            </w:r>
          </w:p>
        </w:tc>
        <w:tc>
          <w:tcPr>
            <w:tcW w:w="1435" w:type="dxa"/>
            <w:vMerge w:val="restart"/>
            <w:vAlign w:val="center"/>
          </w:tcPr>
          <w:p w14:paraId="5ADF724A">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5.</w:t>
            </w:r>
            <w:r>
              <w:rPr>
                <w:rFonts w:hint="eastAsia"/>
                <w:color w:val="000000" w:themeColor="text1"/>
                <w:sz w:val="21"/>
                <w:szCs w:val="21"/>
                <w14:textFill>
                  <w14:solidFill>
                    <w14:schemeClr w14:val="tx1"/>
                  </w14:solidFill>
                </w14:textFill>
              </w:rPr>
              <w:t>1</w:t>
            </w:r>
          </w:p>
        </w:tc>
        <w:tc>
          <w:tcPr>
            <w:tcW w:w="949" w:type="dxa"/>
            <w:vAlign w:val="center"/>
          </w:tcPr>
          <w:p w14:paraId="310D9EE6">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涨潮</w:t>
            </w:r>
          </w:p>
        </w:tc>
      </w:tr>
      <w:tr w14:paraId="31C39439">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cantSplit/>
          <w:trHeight w:val="194" w:hRule="atLeast"/>
          <w:jc w:val="center"/>
        </w:trPr>
        <w:tc>
          <w:tcPr>
            <w:tcW w:w="1289" w:type="dxa"/>
            <w:vMerge w:val="continue"/>
            <w:vAlign w:val="center"/>
          </w:tcPr>
          <w:p w14:paraId="5C512C4F">
            <w:pPr>
              <w:spacing w:line="240" w:lineRule="atLeast"/>
              <w:ind w:firstLine="0" w:firstLineChars="0"/>
              <w:jc w:val="center"/>
              <w:rPr>
                <w:color w:val="000000" w:themeColor="text1"/>
                <w:sz w:val="21"/>
                <w:szCs w:val="21"/>
                <w14:textFill>
                  <w14:solidFill>
                    <w14:schemeClr w14:val="tx1"/>
                  </w14:solidFill>
                </w14:textFill>
              </w:rPr>
            </w:pPr>
          </w:p>
        </w:tc>
        <w:tc>
          <w:tcPr>
            <w:tcW w:w="1256" w:type="dxa"/>
            <w:vMerge w:val="continue"/>
            <w:vAlign w:val="center"/>
          </w:tcPr>
          <w:p w14:paraId="51E9AA5F">
            <w:pPr>
              <w:spacing w:line="240" w:lineRule="atLeast"/>
              <w:ind w:firstLine="0" w:firstLineChars="0"/>
              <w:jc w:val="center"/>
              <w:rPr>
                <w:color w:val="000000" w:themeColor="text1"/>
                <w:sz w:val="21"/>
                <w:szCs w:val="21"/>
                <w14:textFill>
                  <w14:solidFill>
                    <w14:schemeClr w14:val="tx1"/>
                  </w14:solidFill>
                </w14:textFill>
              </w:rPr>
            </w:pPr>
          </w:p>
        </w:tc>
        <w:tc>
          <w:tcPr>
            <w:tcW w:w="1181" w:type="dxa"/>
            <w:vMerge w:val="continue"/>
            <w:vAlign w:val="center"/>
          </w:tcPr>
          <w:p w14:paraId="4F937CD1">
            <w:pPr>
              <w:spacing w:line="240" w:lineRule="atLeast"/>
              <w:ind w:firstLine="0" w:firstLineChars="0"/>
              <w:jc w:val="center"/>
              <w:rPr>
                <w:color w:val="000000" w:themeColor="text1"/>
                <w:sz w:val="21"/>
                <w:szCs w:val="21"/>
                <w14:textFill>
                  <w14:solidFill>
                    <w14:schemeClr w14:val="tx1"/>
                  </w14:solidFill>
                </w14:textFill>
              </w:rPr>
            </w:pPr>
          </w:p>
        </w:tc>
        <w:tc>
          <w:tcPr>
            <w:tcW w:w="2182" w:type="dxa"/>
            <w:vMerge w:val="continue"/>
            <w:vAlign w:val="center"/>
          </w:tcPr>
          <w:p w14:paraId="2FE5B5E9">
            <w:pPr>
              <w:spacing w:line="240" w:lineRule="atLeast"/>
              <w:ind w:firstLine="0" w:firstLineChars="0"/>
              <w:jc w:val="center"/>
              <w:rPr>
                <w:color w:val="000000" w:themeColor="text1"/>
                <w:sz w:val="21"/>
                <w:szCs w:val="21"/>
                <w14:textFill>
                  <w14:solidFill>
                    <w14:schemeClr w14:val="tx1"/>
                  </w14:solidFill>
                </w14:textFill>
              </w:rPr>
            </w:pPr>
          </w:p>
        </w:tc>
        <w:tc>
          <w:tcPr>
            <w:tcW w:w="1435" w:type="dxa"/>
            <w:vMerge w:val="continue"/>
            <w:vAlign w:val="center"/>
          </w:tcPr>
          <w:p w14:paraId="29DC0A20">
            <w:pPr>
              <w:spacing w:line="240" w:lineRule="atLeast"/>
              <w:ind w:firstLine="0" w:firstLineChars="0"/>
              <w:jc w:val="center"/>
              <w:rPr>
                <w:color w:val="000000" w:themeColor="text1"/>
                <w:sz w:val="21"/>
                <w:szCs w:val="21"/>
                <w14:textFill>
                  <w14:solidFill>
                    <w14:schemeClr w14:val="tx1"/>
                  </w14:solidFill>
                </w14:textFill>
              </w:rPr>
            </w:pPr>
          </w:p>
        </w:tc>
        <w:tc>
          <w:tcPr>
            <w:tcW w:w="949" w:type="dxa"/>
            <w:vAlign w:val="center"/>
          </w:tcPr>
          <w:p w14:paraId="1ECF601E">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落潮</w:t>
            </w:r>
          </w:p>
        </w:tc>
      </w:tr>
      <w:tr w14:paraId="201AA886">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cantSplit/>
          <w:trHeight w:val="194" w:hRule="atLeast"/>
          <w:jc w:val="center"/>
        </w:trPr>
        <w:tc>
          <w:tcPr>
            <w:tcW w:w="1289" w:type="dxa"/>
            <w:vMerge w:val="continue"/>
            <w:vAlign w:val="center"/>
          </w:tcPr>
          <w:p w14:paraId="34797D0D">
            <w:pPr>
              <w:spacing w:line="240" w:lineRule="atLeast"/>
              <w:ind w:firstLine="0" w:firstLineChars="0"/>
              <w:jc w:val="center"/>
              <w:rPr>
                <w:color w:val="000000" w:themeColor="text1"/>
                <w:sz w:val="21"/>
                <w:szCs w:val="21"/>
                <w14:textFill>
                  <w14:solidFill>
                    <w14:schemeClr w14:val="tx1"/>
                  </w14:solidFill>
                </w14:textFill>
              </w:rPr>
            </w:pPr>
          </w:p>
        </w:tc>
        <w:tc>
          <w:tcPr>
            <w:tcW w:w="1256" w:type="dxa"/>
            <w:vMerge w:val="continue"/>
            <w:vAlign w:val="center"/>
          </w:tcPr>
          <w:p w14:paraId="38617683">
            <w:pPr>
              <w:spacing w:line="240" w:lineRule="atLeast"/>
              <w:ind w:firstLine="0" w:firstLineChars="0"/>
              <w:jc w:val="center"/>
              <w:rPr>
                <w:color w:val="000000" w:themeColor="text1"/>
                <w:sz w:val="21"/>
                <w:szCs w:val="21"/>
                <w14:textFill>
                  <w14:solidFill>
                    <w14:schemeClr w14:val="tx1"/>
                  </w14:solidFill>
                </w14:textFill>
              </w:rPr>
            </w:pPr>
          </w:p>
        </w:tc>
        <w:tc>
          <w:tcPr>
            <w:tcW w:w="1181" w:type="dxa"/>
            <w:vMerge w:val="continue"/>
            <w:vAlign w:val="center"/>
          </w:tcPr>
          <w:p w14:paraId="6D6B7449">
            <w:pPr>
              <w:spacing w:line="240" w:lineRule="atLeast"/>
              <w:ind w:firstLine="0" w:firstLineChars="0"/>
              <w:jc w:val="center"/>
              <w:rPr>
                <w:color w:val="000000" w:themeColor="text1"/>
                <w:sz w:val="21"/>
                <w:szCs w:val="21"/>
                <w14:textFill>
                  <w14:solidFill>
                    <w14:schemeClr w14:val="tx1"/>
                  </w14:solidFill>
                </w14:textFill>
              </w:rPr>
            </w:pPr>
          </w:p>
        </w:tc>
        <w:tc>
          <w:tcPr>
            <w:tcW w:w="2182" w:type="dxa"/>
            <w:vMerge w:val="restart"/>
            <w:vAlign w:val="center"/>
          </w:tcPr>
          <w:p w14:paraId="1AAFF662">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NE，不利风向</w:t>
            </w:r>
          </w:p>
        </w:tc>
        <w:tc>
          <w:tcPr>
            <w:tcW w:w="1435" w:type="dxa"/>
            <w:vMerge w:val="restart"/>
            <w:vAlign w:val="center"/>
          </w:tcPr>
          <w:p w14:paraId="6BD4EBBB">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6.9</w:t>
            </w:r>
          </w:p>
        </w:tc>
        <w:tc>
          <w:tcPr>
            <w:tcW w:w="949" w:type="dxa"/>
            <w:vAlign w:val="center"/>
          </w:tcPr>
          <w:p w14:paraId="6710DA39">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涨潮</w:t>
            </w:r>
          </w:p>
        </w:tc>
      </w:tr>
      <w:tr w14:paraId="3FD110B6">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cantSplit/>
          <w:trHeight w:val="410" w:hRule="atLeast"/>
          <w:jc w:val="center"/>
        </w:trPr>
        <w:tc>
          <w:tcPr>
            <w:tcW w:w="1289" w:type="dxa"/>
            <w:vMerge w:val="continue"/>
            <w:vAlign w:val="center"/>
          </w:tcPr>
          <w:p w14:paraId="725C8A79">
            <w:pPr>
              <w:spacing w:line="240" w:lineRule="atLeast"/>
              <w:ind w:firstLine="0" w:firstLineChars="0"/>
              <w:jc w:val="center"/>
              <w:rPr>
                <w:color w:val="000000" w:themeColor="text1"/>
                <w:sz w:val="21"/>
                <w:szCs w:val="21"/>
                <w14:textFill>
                  <w14:solidFill>
                    <w14:schemeClr w14:val="tx1"/>
                  </w14:solidFill>
                </w14:textFill>
              </w:rPr>
            </w:pPr>
          </w:p>
        </w:tc>
        <w:tc>
          <w:tcPr>
            <w:tcW w:w="1256" w:type="dxa"/>
            <w:vMerge w:val="continue"/>
            <w:vAlign w:val="center"/>
          </w:tcPr>
          <w:p w14:paraId="3CD8254B">
            <w:pPr>
              <w:spacing w:line="240" w:lineRule="atLeast"/>
              <w:ind w:firstLine="0" w:firstLineChars="0"/>
              <w:jc w:val="center"/>
              <w:rPr>
                <w:color w:val="000000" w:themeColor="text1"/>
                <w:sz w:val="21"/>
                <w:szCs w:val="21"/>
                <w14:textFill>
                  <w14:solidFill>
                    <w14:schemeClr w14:val="tx1"/>
                  </w14:solidFill>
                </w14:textFill>
              </w:rPr>
            </w:pPr>
          </w:p>
        </w:tc>
        <w:tc>
          <w:tcPr>
            <w:tcW w:w="1181" w:type="dxa"/>
            <w:vMerge w:val="continue"/>
            <w:vAlign w:val="center"/>
          </w:tcPr>
          <w:p w14:paraId="026A87F1">
            <w:pPr>
              <w:spacing w:line="240" w:lineRule="atLeast"/>
              <w:ind w:firstLine="0" w:firstLineChars="0"/>
              <w:jc w:val="center"/>
              <w:rPr>
                <w:color w:val="000000" w:themeColor="text1"/>
                <w:sz w:val="21"/>
                <w:szCs w:val="21"/>
                <w14:textFill>
                  <w14:solidFill>
                    <w14:schemeClr w14:val="tx1"/>
                  </w14:solidFill>
                </w14:textFill>
              </w:rPr>
            </w:pPr>
          </w:p>
        </w:tc>
        <w:tc>
          <w:tcPr>
            <w:tcW w:w="2182" w:type="dxa"/>
            <w:vMerge w:val="continue"/>
            <w:vAlign w:val="center"/>
          </w:tcPr>
          <w:p w14:paraId="506070A7">
            <w:pPr>
              <w:spacing w:line="240" w:lineRule="atLeast"/>
              <w:ind w:firstLine="0" w:firstLineChars="0"/>
              <w:jc w:val="center"/>
              <w:rPr>
                <w:color w:val="000000" w:themeColor="text1"/>
                <w:sz w:val="21"/>
                <w:szCs w:val="21"/>
                <w14:textFill>
                  <w14:solidFill>
                    <w14:schemeClr w14:val="tx1"/>
                  </w14:solidFill>
                </w14:textFill>
              </w:rPr>
            </w:pPr>
          </w:p>
        </w:tc>
        <w:tc>
          <w:tcPr>
            <w:tcW w:w="1435" w:type="dxa"/>
            <w:vMerge w:val="continue"/>
            <w:vAlign w:val="center"/>
          </w:tcPr>
          <w:p w14:paraId="4D1A4CEE">
            <w:pPr>
              <w:spacing w:line="240" w:lineRule="atLeast"/>
              <w:ind w:firstLine="0" w:firstLineChars="0"/>
              <w:jc w:val="center"/>
              <w:rPr>
                <w:color w:val="000000" w:themeColor="text1"/>
                <w:sz w:val="21"/>
                <w:szCs w:val="21"/>
                <w14:textFill>
                  <w14:solidFill>
                    <w14:schemeClr w14:val="tx1"/>
                  </w14:solidFill>
                </w14:textFill>
              </w:rPr>
            </w:pPr>
          </w:p>
        </w:tc>
        <w:tc>
          <w:tcPr>
            <w:tcW w:w="949" w:type="dxa"/>
            <w:vAlign w:val="center"/>
          </w:tcPr>
          <w:p w14:paraId="6ECE782F">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落潮</w:t>
            </w:r>
          </w:p>
        </w:tc>
      </w:tr>
    </w:tbl>
    <w:p w14:paraId="1BC0AC60">
      <w:pPr>
        <w:spacing w:before="163" w:beforeLines="50"/>
        <w:ind w:firstLine="48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（1）冬</w:t>
      </w:r>
      <w:r>
        <w:rPr>
          <w:color w:val="000000" w:themeColor="text1"/>
          <w:u w:val="single"/>
          <w14:textFill>
            <w14:solidFill>
              <w14:schemeClr w14:val="tx1"/>
            </w14:solidFill>
          </w14:textFill>
        </w:rPr>
        <w:t>季主导风</w:t>
      </w:r>
      <w:r>
        <w:rPr>
          <w:rFonts w:hint="eastAsia"/>
          <w:color w:val="000000" w:themeColor="text1"/>
          <w:u w:val="single"/>
          <w14:textFill>
            <w14:solidFill>
              <w14:schemeClr w14:val="tx1"/>
            </w14:solidFill>
          </w14:textFill>
        </w:rPr>
        <w:t>N，大潮涨潮</w:t>
      </w:r>
    </w:p>
    <w:p w14:paraId="0193655C">
      <w:pPr>
        <w:ind w:firstLine="480"/>
        <w:rPr>
          <w:color w:val="000000" w:themeColor="text1"/>
          <w14:textFill>
            <w14:solidFill>
              <w14:schemeClr w14:val="tx1"/>
            </w14:solidFill>
          </w14:textFill>
        </w:rPr>
      </w:pPr>
      <w:r>
        <w:rPr>
          <w:rFonts w:hint="eastAsia"/>
          <w:color w:val="000000" w:themeColor="text1"/>
          <w:u w:val="single"/>
          <w14:textFill>
            <w14:solidFill>
              <w14:schemeClr w14:val="tx1"/>
            </w14:solidFill>
          </w14:textFill>
        </w:rPr>
        <w:t>大潮涨潮时，在N</w:t>
      </w:r>
      <w:r>
        <w:rPr>
          <w:color w:val="000000" w:themeColor="text1"/>
          <w:u w:val="single"/>
          <w14:textFill>
            <w14:solidFill>
              <w14:schemeClr w14:val="tx1"/>
            </w14:solidFill>
          </w14:textFill>
        </w:rPr>
        <w:t>向风及涨潮流作用下</w:t>
      </w:r>
      <w:r>
        <w:rPr>
          <w:rFonts w:hint="eastAsia"/>
          <w:color w:val="000000" w:themeColor="text1"/>
          <w:u w:val="single"/>
          <w14:textFill>
            <w14:solidFill>
              <w14:schemeClr w14:val="tx1"/>
            </w14:solidFill>
          </w14:textFill>
        </w:rPr>
        <w:t>，泄露的</w:t>
      </w:r>
      <w:r>
        <w:rPr>
          <w:color w:val="000000" w:themeColor="text1"/>
          <w:u w:val="single"/>
          <w14:textFill>
            <w14:solidFill>
              <w14:schemeClr w14:val="tx1"/>
            </w14:solidFill>
          </w14:textFill>
        </w:rPr>
        <w:t>苯乙烯向</w:t>
      </w:r>
      <w:r>
        <w:rPr>
          <w:rFonts w:hint="eastAsia"/>
          <w:color w:val="000000" w:themeColor="text1"/>
          <w:u w:val="single"/>
          <w14:textFill>
            <w14:solidFill>
              <w14:schemeClr w14:val="tx1"/>
            </w14:solidFill>
          </w14:textFill>
        </w:rPr>
        <w:t>金鼓江上游</w:t>
      </w:r>
      <w:r>
        <w:rPr>
          <w:color w:val="000000" w:themeColor="text1"/>
          <w:u w:val="single"/>
          <w14:textFill>
            <w14:solidFill>
              <w14:schemeClr w14:val="tx1"/>
            </w14:solidFill>
          </w14:textFill>
        </w:rPr>
        <w:t>飘去</w:t>
      </w:r>
      <w:r>
        <w:rPr>
          <w:rFonts w:hint="eastAsia"/>
          <w:color w:val="000000" w:themeColor="text1"/>
          <w:u w:val="single"/>
          <w14:textFill>
            <w14:solidFill>
              <w14:schemeClr w14:val="tx1"/>
            </w14:solidFill>
          </w14:textFill>
        </w:rPr>
        <w:t>，</w:t>
      </w:r>
      <w:r>
        <w:rPr>
          <w:color w:val="000000" w:themeColor="text1"/>
          <w:u w:val="single"/>
          <w14:textFill>
            <w14:solidFill>
              <w14:schemeClr w14:val="tx1"/>
            </w14:solidFill>
          </w14:textFill>
        </w:rPr>
        <w:t>3</w:t>
      </w:r>
      <w:r>
        <w:rPr>
          <w:rFonts w:hint="eastAsia"/>
          <w:color w:val="000000" w:themeColor="text1"/>
          <w:u w:val="single"/>
          <w14:textFill>
            <w14:solidFill>
              <w14:schemeClr w14:val="tx1"/>
            </w14:solidFill>
          </w14:textFill>
        </w:rPr>
        <w:t>小时后部分苯乙烯进入淡水湾海域并逐渐靠岸登陆，另有部分苯乙烯继续沿金鼓江北上，6小时到达金鼓江大桥上游望鸦江口门附近，此后继续沿着金鼓江主流北上，逐渐污染整个金鼓江水面，1</w:t>
      </w:r>
      <w:r>
        <w:rPr>
          <w:color w:val="000000" w:themeColor="text1"/>
          <w:u w:val="single"/>
          <w14:textFill>
            <w14:solidFill>
              <w14:schemeClr w14:val="tx1"/>
            </w14:solidFill>
          </w14:textFill>
        </w:rPr>
        <w:t>0</w:t>
      </w:r>
      <w:r>
        <w:rPr>
          <w:rFonts w:hint="eastAsia"/>
          <w:color w:val="000000" w:themeColor="text1"/>
          <w:u w:val="single"/>
          <w14:textFill>
            <w14:solidFill>
              <w14:schemeClr w14:val="tx1"/>
            </w14:solidFill>
          </w14:textFill>
        </w:rPr>
        <w:t>小时后受金鼓江两岸曲折岸线的阻挡和吸附作用</w:t>
      </w:r>
      <w:r>
        <w:rPr>
          <w:color w:val="000000" w:themeColor="text1"/>
          <w:u w:val="single"/>
          <w14:textFill>
            <w14:solidFill>
              <w14:schemeClr w14:val="tx1"/>
            </w14:solidFill>
          </w14:textFill>
        </w:rPr>
        <w:t>，</w:t>
      </w:r>
      <w:r>
        <w:rPr>
          <w:rFonts w:hint="eastAsia"/>
          <w:color w:val="000000" w:themeColor="text1"/>
          <w:u w:val="single"/>
          <w14:textFill>
            <w14:solidFill>
              <w14:schemeClr w14:val="tx1"/>
            </w14:solidFill>
          </w14:textFill>
        </w:rPr>
        <w:t>剩余苯乙烯逐渐登陆。受岸线阻挡吸附及风、流顶托作用，此后油膜基本停止运动。苯乙烯</w:t>
      </w:r>
      <w:r>
        <w:rPr>
          <w:rFonts w:hint="eastAsia"/>
          <w:color w:val="000000" w:themeColor="text1"/>
          <w:u w:val="single"/>
          <w:lang w:eastAsia="zh-CN"/>
          <w14:textFill>
            <w14:solidFill>
              <w14:schemeClr w14:val="tx1"/>
            </w14:solidFill>
          </w14:textFill>
        </w:rPr>
        <w:t>泄漏</w:t>
      </w:r>
      <w:r>
        <w:rPr>
          <w:rFonts w:hint="eastAsia"/>
          <w:color w:val="000000" w:themeColor="text1"/>
          <w:u w:val="single"/>
          <w14:textFill>
            <w14:solidFill>
              <w14:schemeClr w14:val="tx1"/>
            </w14:solidFill>
          </w14:textFill>
        </w:rPr>
        <w:t>发生</w:t>
      </w:r>
      <w:r>
        <w:rPr>
          <w:color w:val="000000" w:themeColor="text1"/>
          <w:u w:val="single"/>
          <w14:textFill>
            <w14:solidFill>
              <w14:schemeClr w14:val="tx1"/>
            </w14:solidFill>
          </w14:textFill>
        </w:rPr>
        <w:t>72</w:t>
      </w:r>
      <w:r>
        <w:rPr>
          <w:rFonts w:hint="eastAsia"/>
          <w:color w:val="000000" w:themeColor="text1"/>
          <w:u w:val="single"/>
          <w14:textFill>
            <w14:solidFill>
              <w14:schemeClr w14:val="tx1"/>
            </w14:solidFill>
          </w14:textFill>
        </w:rPr>
        <w:t>小时内扫海面积及残余厚度见表5</w:t>
      </w:r>
      <w:r>
        <w:rPr>
          <w:rFonts w:hint="eastAsia"/>
          <w:color w:val="000000" w:themeColor="text1"/>
          <w14:textFill>
            <w14:solidFill>
              <w14:schemeClr w14:val="tx1"/>
            </w14:solidFill>
          </w14:textFill>
        </w:rPr>
        <w:t>.5-</w:t>
      </w:r>
      <w:r>
        <w:rPr>
          <w:color w:val="000000" w:themeColor="text1"/>
          <w14:textFill>
            <w14:solidFill>
              <w14:schemeClr w14:val="tx1"/>
            </w14:solidFill>
          </w14:textFill>
        </w:rPr>
        <w:t>10</w:t>
      </w:r>
      <w:r>
        <w:rPr>
          <w:rFonts w:hint="eastAsia"/>
          <w:color w:val="000000" w:themeColor="text1"/>
          <w14:textFill>
            <w14:solidFill>
              <w14:schemeClr w14:val="tx1"/>
            </w14:solidFill>
          </w14:textFill>
        </w:rPr>
        <w:t>，苯</w:t>
      </w:r>
      <w:r>
        <w:rPr>
          <w:rFonts w:hint="eastAsia"/>
          <w:color w:val="000000" w:themeColor="text1"/>
          <w:lang w:eastAsia="zh-CN"/>
          <w14:textFill>
            <w14:solidFill>
              <w14:schemeClr w14:val="tx1"/>
            </w14:solidFill>
          </w14:textFill>
        </w:rPr>
        <w:t>乙烯</w:t>
      </w:r>
      <w:r>
        <w:rPr>
          <w:rFonts w:hint="eastAsia"/>
          <w:color w:val="000000" w:themeColor="text1"/>
          <w14:textFill>
            <w14:solidFill>
              <w14:schemeClr w14:val="tx1"/>
            </w14:solidFill>
          </w14:textFill>
        </w:rPr>
        <w:t>运动趋势及扩散范围如图</w:t>
      </w:r>
      <w:r>
        <w:rPr>
          <w:rFonts w:hint="eastAsia"/>
          <w:color w:val="000000" w:themeColor="text1"/>
          <w:kern w:val="0"/>
          <w14:textFill>
            <w14:solidFill>
              <w14:schemeClr w14:val="tx1"/>
            </w14:solidFill>
          </w14:textFill>
        </w:rPr>
        <w:t>5.5.3</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13~</w:t>
      </w:r>
      <w:r>
        <w:rPr>
          <w:rFonts w:hint="eastAsia"/>
          <w:color w:val="000000" w:themeColor="text1"/>
          <w14:textFill>
            <w14:solidFill>
              <w14:schemeClr w14:val="tx1"/>
            </w14:solidFill>
          </w14:textFill>
        </w:rPr>
        <w:t>图</w:t>
      </w:r>
      <w:r>
        <w:rPr>
          <w:rFonts w:hint="eastAsia"/>
          <w:color w:val="000000" w:themeColor="text1"/>
          <w:kern w:val="0"/>
          <w14:textFill>
            <w14:solidFill>
              <w14:schemeClr w14:val="tx1"/>
            </w14:solidFill>
          </w14:textFill>
        </w:rPr>
        <w:t>5.5.3</w:t>
      </w:r>
      <w:r>
        <w:rPr>
          <w:color w:val="000000" w:themeColor="text1"/>
          <w14:textFill>
            <w14:solidFill>
              <w14:schemeClr w14:val="tx1"/>
            </w14:solidFill>
          </w14:textFill>
        </w:rPr>
        <w:t>-14</w:t>
      </w:r>
      <w:r>
        <w:rPr>
          <w:rFonts w:hint="eastAsia"/>
          <w:color w:val="000000" w:themeColor="text1"/>
          <w14:textFill>
            <w14:solidFill>
              <w14:schemeClr w14:val="tx1"/>
            </w14:solidFill>
          </w14:textFill>
        </w:rPr>
        <w:t>所示。</w:t>
      </w:r>
    </w:p>
    <w:p w14:paraId="4CF2460D">
      <w:pPr>
        <w:pStyle w:val="7"/>
        <w:rPr>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 冬</w:t>
      </w:r>
      <w:r>
        <w:rPr>
          <w:color w:val="000000" w:themeColor="text1"/>
          <w14:textFill>
            <w14:solidFill>
              <w14:schemeClr w14:val="tx1"/>
            </w14:solidFill>
          </w14:textFill>
        </w:rPr>
        <w:t>季主导风</w:t>
      </w:r>
      <w:r>
        <w:rPr>
          <w:rFonts w:hint="eastAsia"/>
          <w:color w:val="000000" w:themeColor="text1"/>
          <w14:textFill>
            <w14:solidFill>
              <w14:schemeClr w14:val="tx1"/>
            </w14:solidFill>
          </w14:textFill>
        </w:rPr>
        <w:t>N条件下涨潮时苯</w:t>
      </w:r>
      <w:r>
        <w:rPr>
          <w:rFonts w:hint="eastAsia"/>
          <w:color w:val="000000" w:themeColor="text1"/>
          <w:lang w:eastAsia="zh-CN"/>
          <w14:textFill>
            <w14:solidFill>
              <w14:schemeClr w14:val="tx1"/>
            </w14:solidFill>
          </w14:textFill>
        </w:rPr>
        <w:t>乙烯泄漏</w:t>
      </w:r>
      <w:r>
        <w:rPr>
          <w:rFonts w:hint="eastAsia"/>
          <w:color w:val="000000" w:themeColor="text1"/>
          <w14:textFill>
            <w14:solidFill>
              <w14:schemeClr w14:val="tx1"/>
            </w14:solidFill>
          </w14:textFill>
        </w:rPr>
        <w:t>扫海面积</w:t>
      </w:r>
    </w:p>
    <w:tbl>
      <w:tblPr>
        <w:tblStyle w:val="43"/>
        <w:tblW w:w="4905"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553"/>
        <w:gridCol w:w="1361"/>
        <w:gridCol w:w="1361"/>
        <w:gridCol w:w="1361"/>
        <w:gridCol w:w="1361"/>
        <w:gridCol w:w="1363"/>
      </w:tblGrid>
      <w:tr w14:paraId="7DABAC4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40" w:hRule="atLeast"/>
          <w:jc w:val="center"/>
        </w:trPr>
        <w:tc>
          <w:tcPr>
            <w:tcW w:w="929" w:type="pct"/>
            <w:vMerge w:val="restart"/>
            <w:tcMar>
              <w:top w:w="57" w:type="dxa"/>
              <w:bottom w:w="57" w:type="dxa"/>
            </w:tcMar>
            <w:vAlign w:val="center"/>
          </w:tcPr>
          <w:p w14:paraId="1F810B0E">
            <w:pPr>
              <w:spacing w:line="240" w:lineRule="atLeast"/>
              <w:ind w:firstLine="0" w:firstLineChars="0"/>
              <w:jc w:val="center"/>
              <w:rPr>
                <w:b/>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项目</w:t>
            </w:r>
          </w:p>
        </w:tc>
        <w:tc>
          <w:tcPr>
            <w:tcW w:w="4071" w:type="pct"/>
            <w:gridSpan w:val="5"/>
            <w:tcMar>
              <w:top w:w="57" w:type="dxa"/>
              <w:bottom w:w="57" w:type="dxa"/>
            </w:tcMar>
            <w:vAlign w:val="center"/>
          </w:tcPr>
          <w:p w14:paraId="493C56BA">
            <w:pPr>
              <w:spacing w:line="240" w:lineRule="atLeast"/>
              <w:ind w:firstLine="0" w:firstLineChars="0"/>
              <w:jc w:val="center"/>
              <w:rPr>
                <w:b/>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泄漏发生经历时间（小时）</w:t>
            </w:r>
          </w:p>
        </w:tc>
      </w:tr>
      <w:tr w14:paraId="33A74CB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5" w:hRule="atLeast"/>
          <w:jc w:val="center"/>
        </w:trPr>
        <w:tc>
          <w:tcPr>
            <w:tcW w:w="929" w:type="pct"/>
            <w:vMerge w:val="continue"/>
            <w:tcMar>
              <w:top w:w="57" w:type="dxa"/>
              <w:bottom w:w="57" w:type="dxa"/>
            </w:tcMar>
            <w:vAlign w:val="center"/>
          </w:tcPr>
          <w:p w14:paraId="0DE693E1">
            <w:pPr>
              <w:spacing w:line="240" w:lineRule="atLeast"/>
              <w:ind w:firstLine="0" w:firstLineChars="0"/>
              <w:jc w:val="center"/>
              <w:rPr>
                <w:b/>
                <w:color w:val="000000" w:themeColor="text1"/>
                <w:sz w:val="21"/>
                <w:szCs w:val="21"/>
                <w14:textFill>
                  <w14:solidFill>
                    <w14:schemeClr w14:val="tx1"/>
                  </w14:solidFill>
                </w14:textFill>
              </w:rPr>
            </w:pPr>
          </w:p>
        </w:tc>
        <w:tc>
          <w:tcPr>
            <w:tcW w:w="814" w:type="pct"/>
            <w:tcMar>
              <w:top w:w="57" w:type="dxa"/>
              <w:bottom w:w="57" w:type="dxa"/>
            </w:tcMar>
            <w:vAlign w:val="center"/>
          </w:tcPr>
          <w:p w14:paraId="4B7F4146">
            <w:pPr>
              <w:spacing w:line="240" w:lineRule="atLeast"/>
              <w:ind w:firstLine="0" w:firstLineChars="0"/>
              <w:jc w:val="center"/>
              <w:rPr>
                <w:b/>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1</w:t>
            </w:r>
          </w:p>
        </w:tc>
        <w:tc>
          <w:tcPr>
            <w:tcW w:w="814" w:type="pct"/>
            <w:tcMar>
              <w:top w:w="57" w:type="dxa"/>
              <w:bottom w:w="57" w:type="dxa"/>
            </w:tcMar>
            <w:vAlign w:val="center"/>
          </w:tcPr>
          <w:p w14:paraId="4E9837AB">
            <w:pPr>
              <w:spacing w:line="240" w:lineRule="atLeast"/>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3</w:t>
            </w:r>
          </w:p>
        </w:tc>
        <w:tc>
          <w:tcPr>
            <w:tcW w:w="814" w:type="pct"/>
            <w:tcMar>
              <w:top w:w="57" w:type="dxa"/>
              <w:bottom w:w="57" w:type="dxa"/>
            </w:tcMar>
            <w:vAlign w:val="center"/>
          </w:tcPr>
          <w:p w14:paraId="5AE5B633">
            <w:pPr>
              <w:spacing w:line="240" w:lineRule="atLeast"/>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6</w:t>
            </w:r>
          </w:p>
        </w:tc>
        <w:tc>
          <w:tcPr>
            <w:tcW w:w="814" w:type="pct"/>
            <w:vAlign w:val="center"/>
          </w:tcPr>
          <w:p w14:paraId="729CF370">
            <w:pPr>
              <w:spacing w:line="240" w:lineRule="atLeast"/>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10（登陆）</w:t>
            </w:r>
          </w:p>
        </w:tc>
        <w:tc>
          <w:tcPr>
            <w:tcW w:w="815" w:type="pct"/>
            <w:vAlign w:val="center"/>
          </w:tcPr>
          <w:p w14:paraId="2A6CAB3B">
            <w:pPr>
              <w:spacing w:line="240" w:lineRule="atLeast"/>
              <w:ind w:firstLine="0" w:firstLineChars="0"/>
              <w:jc w:val="center"/>
              <w:rPr>
                <w:b/>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72</w:t>
            </w:r>
          </w:p>
        </w:tc>
      </w:tr>
      <w:tr w14:paraId="1F727AD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929" w:type="pct"/>
            <w:tcMar>
              <w:top w:w="57" w:type="dxa"/>
              <w:bottom w:w="57" w:type="dxa"/>
            </w:tcMar>
            <w:vAlign w:val="center"/>
          </w:tcPr>
          <w:p w14:paraId="5FECA5F9">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扫海面积（km</w:t>
            </w:r>
            <w:r>
              <w:rPr>
                <w:rFonts w:hint="eastAsia"/>
                <w:color w:val="000000" w:themeColor="text1"/>
                <w:sz w:val="21"/>
                <w:szCs w:val="21"/>
                <w:vertAlign w:val="superscript"/>
                <w14:textFill>
                  <w14:solidFill>
                    <w14:schemeClr w14:val="tx1"/>
                  </w14:solidFill>
                </w14:textFill>
              </w:rPr>
              <w:t>2</w:t>
            </w:r>
            <w:r>
              <w:rPr>
                <w:rFonts w:hint="eastAsia"/>
                <w:color w:val="000000" w:themeColor="text1"/>
                <w:sz w:val="21"/>
                <w:szCs w:val="21"/>
                <w14:textFill>
                  <w14:solidFill>
                    <w14:schemeClr w14:val="tx1"/>
                  </w14:solidFill>
                </w14:textFill>
              </w:rPr>
              <w:t>）</w:t>
            </w:r>
          </w:p>
        </w:tc>
        <w:tc>
          <w:tcPr>
            <w:tcW w:w="814" w:type="pct"/>
            <w:tcMar>
              <w:top w:w="57" w:type="dxa"/>
              <w:bottom w:w="57" w:type="dxa"/>
            </w:tcMar>
            <w:vAlign w:val="center"/>
          </w:tcPr>
          <w:p w14:paraId="5450ED77">
            <w:pPr>
              <w:widowControl/>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0.39</w:t>
            </w:r>
            <w:r>
              <w:rPr>
                <w:color w:val="000000" w:themeColor="text1"/>
                <w:sz w:val="21"/>
                <w:szCs w:val="21"/>
                <w14:textFill>
                  <w14:solidFill>
                    <w14:schemeClr w14:val="tx1"/>
                  </w14:solidFill>
                </w14:textFill>
              </w:rPr>
              <w:t>7</w:t>
            </w:r>
          </w:p>
        </w:tc>
        <w:tc>
          <w:tcPr>
            <w:tcW w:w="814" w:type="pct"/>
            <w:tcMar>
              <w:top w:w="57" w:type="dxa"/>
              <w:bottom w:w="57" w:type="dxa"/>
            </w:tcMar>
            <w:vAlign w:val="center"/>
          </w:tcPr>
          <w:p w14:paraId="0EED314E">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w:t>
            </w:r>
            <w:r>
              <w:rPr>
                <w:color w:val="000000" w:themeColor="text1"/>
                <w:sz w:val="21"/>
                <w:szCs w:val="21"/>
                <w14:textFill>
                  <w14:solidFill>
                    <w14:schemeClr w14:val="tx1"/>
                  </w14:solidFill>
                </w14:textFill>
              </w:rPr>
              <w:t>682</w:t>
            </w:r>
          </w:p>
        </w:tc>
        <w:tc>
          <w:tcPr>
            <w:tcW w:w="814" w:type="pct"/>
            <w:tcMar>
              <w:top w:w="57" w:type="dxa"/>
              <w:bottom w:w="57" w:type="dxa"/>
            </w:tcMar>
            <w:vAlign w:val="center"/>
          </w:tcPr>
          <w:p w14:paraId="481C31A5">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4.</w:t>
            </w:r>
            <w:r>
              <w:rPr>
                <w:color w:val="000000" w:themeColor="text1"/>
                <w:sz w:val="21"/>
                <w:szCs w:val="21"/>
                <w14:textFill>
                  <w14:solidFill>
                    <w14:schemeClr w14:val="tx1"/>
                  </w14:solidFill>
                </w14:textFill>
              </w:rPr>
              <w:t>202</w:t>
            </w:r>
          </w:p>
        </w:tc>
        <w:tc>
          <w:tcPr>
            <w:tcW w:w="814" w:type="pct"/>
            <w:vAlign w:val="center"/>
          </w:tcPr>
          <w:p w14:paraId="6A153E40">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5.</w:t>
            </w:r>
            <w:r>
              <w:rPr>
                <w:color w:val="000000" w:themeColor="text1"/>
                <w:sz w:val="21"/>
                <w:szCs w:val="21"/>
                <w14:textFill>
                  <w14:solidFill>
                    <w14:schemeClr w14:val="tx1"/>
                  </w14:solidFill>
                </w14:textFill>
              </w:rPr>
              <w:t>912</w:t>
            </w:r>
          </w:p>
        </w:tc>
        <w:tc>
          <w:tcPr>
            <w:tcW w:w="815" w:type="pct"/>
            <w:vAlign w:val="center"/>
          </w:tcPr>
          <w:p w14:paraId="109155B5">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5</w:t>
            </w:r>
            <w:r>
              <w:rPr>
                <w:color w:val="000000" w:themeColor="text1"/>
                <w:sz w:val="21"/>
                <w:szCs w:val="21"/>
                <w14:textFill>
                  <w14:solidFill>
                    <w14:schemeClr w14:val="tx1"/>
                  </w14:solidFill>
                </w14:textFill>
              </w:rPr>
              <w:t>.921</w:t>
            </w:r>
          </w:p>
        </w:tc>
      </w:tr>
      <w:tr w14:paraId="0B49A3B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929" w:type="pct"/>
            <w:tcMar>
              <w:top w:w="57" w:type="dxa"/>
              <w:bottom w:w="57" w:type="dxa"/>
            </w:tcMar>
            <w:vAlign w:val="center"/>
          </w:tcPr>
          <w:p w14:paraId="29CBAD95">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残余苯乙烯平均厚度（m</w:t>
            </w:r>
            <w:r>
              <w:rPr>
                <w:color w:val="000000" w:themeColor="text1"/>
                <w:sz w:val="21"/>
                <w:szCs w:val="21"/>
                <w14:textFill>
                  <w14:solidFill>
                    <w14:schemeClr w14:val="tx1"/>
                  </w14:solidFill>
                </w14:textFill>
              </w:rPr>
              <w:t>m</w:t>
            </w:r>
            <w:r>
              <w:rPr>
                <w:rFonts w:hint="eastAsia"/>
                <w:color w:val="000000" w:themeColor="text1"/>
                <w:sz w:val="21"/>
                <w:szCs w:val="21"/>
                <w14:textFill>
                  <w14:solidFill>
                    <w14:schemeClr w14:val="tx1"/>
                  </w14:solidFill>
                </w14:textFill>
              </w:rPr>
              <w:t>）</w:t>
            </w:r>
          </w:p>
        </w:tc>
        <w:tc>
          <w:tcPr>
            <w:tcW w:w="814" w:type="pct"/>
            <w:tcMar>
              <w:top w:w="57" w:type="dxa"/>
              <w:bottom w:w="57" w:type="dxa"/>
            </w:tcMar>
            <w:vAlign w:val="center"/>
          </w:tcPr>
          <w:p w14:paraId="4E729894">
            <w:pPr>
              <w:widowControl/>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4351.01</w:t>
            </w:r>
          </w:p>
        </w:tc>
        <w:tc>
          <w:tcPr>
            <w:tcW w:w="814" w:type="pct"/>
            <w:tcMar>
              <w:top w:w="57" w:type="dxa"/>
              <w:bottom w:w="57" w:type="dxa"/>
            </w:tcMar>
            <w:vAlign w:val="center"/>
          </w:tcPr>
          <w:p w14:paraId="579C4690">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2005.81</w:t>
            </w:r>
          </w:p>
        </w:tc>
        <w:tc>
          <w:tcPr>
            <w:tcW w:w="814" w:type="pct"/>
            <w:tcMar>
              <w:top w:w="57" w:type="dxa"/>
              <w:bottom w:w="57" w:type="dxa"/>
            </w:tcMar>
            <w:vAlign w:val="center"/>
          </w:tcPr>
          <w:p w14:paraId="49B2FE17">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223.29</w:t>
            </w:r>
          </w:p>
        </w:tc>
        <w:tc>
          <w:tcPr>
            <w:tcW w:w="814" w:type="pct"/>
            <w:vAlign w:val="center"/>
          </w:tcPr>
          <w:p w14:paraId="254AE564">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202.95</w:t>
            </w:r>
          </w:p>
        </w:tc>
        <w:tc>
          <w:tcPr>
            <w:tcW w:w="815" w:type="pct"/>
            <w:vAlign w:val="center"/>
          </w:tcPr>
          <w:p w14:paraId="55FCB380">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w:t>
            </w:r>
            <w:r>
              <w:rPr>
                <w:color w:val="000000" w:themeColor="text1"/>
                <w:sz w:val="21"/>
                <w:szCs w:val="21"/>
                <w14:textFill>
                  <w14:solidFill>
                    <w14:schemeClr w14:val="tx1"/>
                  </w14:solidFill>
                </w14:textFill>
              </w:rPr>
              <w:t>02.82</w:t>
            </w:r>
          </w:p>
        </w:tc>
      </w:tr>
    </w:tbl>
    <w:p w14:paraId="79BE2965">
      <w:pPr>
        <w:ind w:firstLine="482"/>
        <w:jc w:val="center"/>
        <w:rPr>
          <w:rFonts w:ascii="宋体" w:hAnsi="宋体"/>
          <w:b/>
          <w:color w:val="000000" w:themeColor="text1"/>
          <w14:textFill>
            <w14:solidFill>
              <w14:schemeClr w14:val="tx1"/>
            </w14:solidFill>
          </w14:textFill>
        </w:rPr>
      </w:pPr>
      <w:r>
        <w:rPr>
          <w:rFonts w:ascii="宋体" w:hAnsi="宋体"/>
          <w:b/>
          <w:color w:val="000000" w:themeColor="text1"/>
          <w14:textFill>
            <w14:solidFill>
              <w14:schemeClr w14:val="tx1"/>
            </w14:solidFill>
          </w14:textFill>
        </w:rPr>
        <w:drawing>
          <wp:inline distT="0" distB="0" distL="0" distR="0">
            <wp:extent cx="3028315" cy="3959860"/>
            <wp:effectExtent l="0" t="0" r="0" b="0"/>
            <wp:docPr id="253" name="图片 253" descr="G:\project\2022\jingujiang14-15#\yiyou\zhangn251128苯乙烯.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253" descr="G:\project\2022\jingujiang14-15#\yiyou\zhangn251128苯乙烯.jpg"/>
                    <pic:cNvPicPr>
                      <a:picLocks noChangeAspect="1" noChangeArrowheads="1"/>
                    </pic:cNvPicPr>
                  </pic:nvPicPr>
                  <pic:blipFill>
                    <a:blip r:embed="rId244" cstate="print">
                      <a:extLst>
                        <a:ext uri="{28A0092B-C50C-407E-A947-70E740481C1C}">
                          <a14:useLocalDpi xmlns:a14="http://schemas.microsoft.com/office/drawing/2010/main" val="0"/>
                        </a:ext>
                      </a:extLst>
                    </a:blip>
                    <a:srcRect l="327" t="1232" r="2848" b="12115"/>
                    <a:stretch>
                      <a:fillRect/>
                    </a:stretch>
                  </pic:blipFill>
                  <pic:spPr>
                    <a:xfrm>
                      <a:off x="0" y="0"/>
                      <a:ext cx="3028673" cy="3960000"/>
                    </a:xfrm>
                    <a:prstGeom prst="rect">
                      <a:avLst/>
                    </a:prstGeom>
                    <a:noFill/>
                    <a:ln>
                      <a:noFill/>
                    </a:ln>
                  </pic:spPr>
                </pic:pic>
              </a:graphicData>
            </a:graphic>
          </wp:inline>
        </w:drawing>
      </w:r>
    </w:p>
    <w:p w14:paraId="5D34A941">
      <w:pPr>
        <w:ind w:firstLine="482"/>
        <w:jc w:val="center"/>
        <w:rPr>
          <w:rFonts w:ascii="宋体" w:hAnsi="宋体"/>
          <w:b/>
          <w:color w:val="000000" w:themeColor="text1"/>
          <w14:textFill>
            <w14:solidFill>
              <w14:schemeClr w14:val="tx1"/>
            </w14:solidFill>
          </w14:textFill>
        </w:rPr>
      </w:pPr>
      <w:r>
        <w:rPr>
          <w:rFonts w:hint="eastAsia"/>
          <w:b/>
          <w:color w:val="000000" w:themeColor="text1"/>
          <w14:textFill>
            <w14:solidFill>
              <w14:schemeClr w14:val="tx1"/>
            </w14:solidFill>
          </w14:textFill>
        </w:rPr>
        <w:t>图</w:t>
      </w:r>
      <w:r>
        <w:rPr>
          <w:rFonts w:hint="eastAsia"/>
          <w:color w:val="000000" w:themeColor="text1"/>
          <w:kern w:val="0"/>
          <w14:textFill>
            <w14:solidFill>
              <w14:schemeClr w14:val="tx1"/>
            </w14:solidFill>
          </w14:textFill>
        </w:rPr>
        <w:t>5.5.3</w:t>
      </w:r>
      <w:r>
        <w:rPr>
          <w:b/>
          <w:color w:val="000000" w:themeColor="text1"/>
          <w14:textFill>
            <w14:solidFill>
              <w14:schemeClr w14:val="tx1"/>
            </w14:solidFill>
          </w14:textFill>
        </w:rPr>
        <w:t>-13</w:t>
      </w:r>
      <w:r>
        <w:rPr>
          <w:rFonts w:hint="eastAsia"/>
          <w:b/>
          <w:color w:val="000000" w:themeColor="text1"/>
          <w14:textFill>
            <w14:solidFill>
              <w14:schemeClr w14:val="tx1"/>
            </w14:solidFill>
          </w14:textFill>
        </w:rPr>
        <w:t xml:space="preserve"> 冬</w:t>
      </w:r>
      <w:r>
        <w:rPr>
          <w:b/>
          <w:color w:val="000000" w:themeColor="text1"/>
          <w14:textFill>
            <w14:solidFill>
              <w14:schemeClr w14:val="tx1"/>
            </w14:solidFill>
          </w14:textFill>
        </w:rPr>
        <w:t>季主导风</w:t>
      </w:r>
      <w:r>
        <w:rPr>
          <w:rFonts w:hint="eastAsia"/>
          <w:b/>
          <w:color w:val="000000" w:themeColor="text1"/>
          <w14:textFill>
            <w14:solidFill>
              <w14:schemeClr w14:val="tx1"/>
            </w14:solidFill>
          </w14:textFill>
        </w:rPr>
        <w:t>N下涨潮时苯乙烯</w:t>
      </w:r>
      <w:r>
        <w:rPr>
          <w:rFonts w:hint="eastAsia"/>
          <w:b/>
          <w:color w:val="000000" w:themeColor="text1"/>
          <w:lang w:eastAsia="zh-CN"/>
          <w14:textFill>
            <w14:solidFill>
              <w14:schemeClr w14:val="tx1"/>
            </w14:solidFill>
          </w14:textFill>
        </w:rPr>
        <w:t>泄漏</w:t>
      </w:r>
      <w:r>
        <w:rPr>
          <w:rFonts w:hint="eastAsia"/>
          <w:b/>
          <w:color w:val="000000" w:themeColor="text1"/>
          <w14:textFill>
            <w14:solidFill>
              <w14:schemeClr w14:val="tx1"/>
            </w14:solidFill>
          </w14:textFill>
        </w:rPr>
        <w:t>影响范围示意</w:t>
      </w:r>
    </w:p>
    <w:p w14:paraId="61537D8E">
      <w:pPr>
        <w:widowControl/>
        <w:ind w:firstLine="480"/>
        <w:jc w:val="center"/>
        <w:rPr>
          <w:rFonts w:ascii="宋体" w:hAnsi="宋体" w:cs="宋体"/>
          <w:color w:val="000000" w:themeColor="text1"/>
          <w:kern w:val="0"/>
          <w14:textFill>
            <w14:solidFill>
              <w14:schemeClr w14:val="tx1"/>
            </w14:solidFill>
          </w14:textFill>
        </w:rPr>
      </w:pPr>
      <w:r>
        <w:rPr>
          <w:color w:val="000000" w:themeColor="text1"/>
          <w14:textFill>
            <w14:solidFill>
              <w14:schemeClr w14:val="tx1"/>
            </w14:solidFill>
          </w14:textFill>
        </w:rPr>
        <w:drawing>
          <wp:inline distT="0" distB="0" distL="0" distR="0">
            <wp:extent cx="3033395" cy="3959860"/>
            <wp:effectExtent l="0" t="0" r="0" b="0"/>
            <wp:docPr id="254" name="图片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254"/>
                    <pic:cNvPicPr>
                      <a:picLocks noChangeAspect="1"/>
                    </pic:cNvPicPr>
                  </pic:nvPicPr>
                  <pic:blipFill>
                    <a:blip r:embed="rId245"/>
                    <a:stretch>
                      <a:fillRect/>
                    </a:stretch>
                  </pic:blipFill>
                  <pic:spPr>
                    <a:xfrm>
                      <a:off x="0" y="0"/>
                      <a:ext cx="3034015" cy="3960000"/>
                    </a:xfrm>
                    <a:prstGeom prst="rect">
                      <a:avLst/>
                    </a:prstGeom>
                  </pic:spPr>
                </pic:pic>
              </a:graphicData>
            </a:graphic>
          </wp:inline>
        </w:drawing>
      </w:r>
    </w:p>
    <w:p w14:paraId="6B9165A6">
      <w:pPr>
        <w:ind w:firstLine="482"/>
        <w:jc w:val="center"/>
        <w:rPr>
          <w:b/>
          <w:color w:val="000000" w:themeColor="text1"/>
          <w14:textFill>
            <w14:solidFill>
              <w14:schemeClr w14:val="tx1"/>
            </w14:solidFill>
          </w14:textFill>
        </w:rPr>
      </w:pPr>
      <w:r>
        <w:rPr>
          <w:rFonts w:hint="eastAsia"/>
          <w:b/>
          <w:color w:val="000000" w:themeColor="text1"/>
          <w14:textFill>
            <w14:solidFill>
              <w14:schemeClr w14:val="tx1"/>
            </w14:solidFill>
          </w14:textFill>
        </w:rPr>
        <w:t>图</w:t>
      </w:r>
      <w:r>
        <w:rPr>
          <w:rFonts w:hint="eastAsia"/>
          <w:color w:val="000000" w:themeColor="text1"/>
          <w:kern w:val="0"/>
          <w14:textFill>
            <w14:solidFill>
              <w14:schemeClr w14:val="tx1"/>
            </w14:solidFill>
          </w14:textFill>
        </w:rPr>
        <w:t>5.5.3</w:t>
      </w:r>
      <w:r>
        <w:rPr>
          <w:b/>
          <w:color w:val="000000" w:themeColor="text1"/>
          <w14:textFill>
            <w14:solidFill>
              <w14:schemeClr w14:val="tx1"/>
            </w14:solidFill>
          </w14:textFill>
        </w:rPr>
        <w:t>-14</w:t>
      </w:r>
      <w:r>
        <w:rPr>
          <w:rFonts w:hint="eastAsia"/>
          <w:b/>
          <w:color w:val="000000" w:themeColor="text1"/>
          <w14:textFill>
            <w14:solidFill>
              <w14:schemeClr w14:val="tx1"/>
            </w14:solidFill>
          </w14:textFill>
        </w:rPr>
        <w:t xml:space="preserve"> 冬</w:t>
      </w:r>
      <w:r>
        <w:rPr>
          <w:b/>
          <w:color w:val="000000" w:themeColor="text1"/>
          <w14:textFill>
            <w14:solidFill>
              <w14:schemeClr w14:val="tx1"/>
            </w14:solidFill>
          </w14:textFill>
        </w:rPr>
        <w:t>季主导风</w:t>
      </w:r>
      <w:r>
        <w:rPr>
          <w:rFonts w:hint="eastAsia"/>
          <w:b/>
          <w:color w:val="000000" w:themeColor="text1"/>
          <w14:textFill>
            <w14:solidFill>
              <w14:schemeClr w14:val="tx1"/>
            </w14:solidFill>
          </w14:textFill>
        </w:rPr>
        <w:t>N下涨潮时苯乙烯</w:t>
      </w:r>
      <w:r>
        <w:rPr>
          <w:rFonts w:hint="eastAsia"/>
          <w:b/>
          <w:color w:val="000000" w:themeColor="text1"/>
          <w:lang w:eastAsia="zh-CN"/>
          <w14:textFill>
            <w14:solidFill>
              <w14:schemeClr w14:val="tx1"/>
            </w14:solidFill>
          </w14:textFill>
        </w:rPr>
        <w:t>泄漏</w:t>
      </w:r>
      <w:r>
        <w:rPr>
          <w:rFonts w:hint="eastAsia"/>
          <w:b/>
          <w:color w:val="000000" w:themeColor="text1"/>
          <w14:textFill>
            <w14:solidFill>
              <w14:schemeClr w14:val="tx1"/>
            </w14:solidFill>
          </w14:textFill>
        </w:rPr>
        <w:t>的运动轨迹</w:t>
      </w:r>
    </w:p>
    <w:p w14:paraId="78037FD0">
      <w:pPr>
        <w:ind w:firstLine="480"/>
        <w:rPr>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（2）</w:t>
      </w:r>
      <w:r>
        <w:rPr>
          <w:rFonts w:hint="eastAsia"/>
          <w:color w:val="000000" w:themeColor="text1"/>
          <w14:textFill>
            <w14:solidFill>
              <w14:schemeClr w14:val="tx1"/>
            </w14:solidFill>
          </w14:textFill>
        </w:rPr>
        <w:t>冬</w:t>
      </w:r>
      <w:r>
        <w:rPr>
          <w:color w:val="000000" w:themeColor="text1"/>
          <w14:textFill>
            <w14:solidFill>
              <w14:schemeClr w14:val="tx1"/>
            </w14:solidFill>
          </w14:textFill>
        </w:rPr>
        <w:t>季主导风</w:t>
      </w:r>
      <w:r>
        <w:rPr>
          <w:rFonts w:hint="eastAsia"/>
          <w:color w:val="000000" w:themeColor="text1"/>
          <w14:textFill>
            <w14:solidFill>
              <w14:schemeClr w14:val="tx1"/>
            </w14:solidFill>
          </w14:textFill>
        </w:rPr>
        <w:t>N，大潮落潮</w:t>
      </w:r>
    </w:p>
    <w:p w14:paraId="30DE96BA">
      <w:pPr>
        <w:ind w:firstLine="48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大潮落潮时，当苯乙烯泄露后，苯乙烯物质随着落潮流向南漂移，1</w:t>
      </w:r>
      <w:r>
        <w:rPr>
          <w:color w:val="000000" w:themeColor="text1"/>
          <w:u w:val="single"/>
          <w14:textFill>
            <w14:solidFill>
              <w14:schemeClr w14:val="tx1"/>
            </w14:solidFill>
          </w14:textFill>
        </w:rPr>
        <w:t>2</w:t>
      </w:r>
      <w:r>
        <w:rPr>
          <w:rFonts w:hint="eastAsia"/>
          <w:color w:val="000000" w:themeColor="text1"/>
          <w:u w:val="single"/>
          <w14:textFill>
            <w14:solidFill>
              <w14:schemeClr w14:val="tx1"/>
            </w14:solidFill>
          </w14:textFill>
        </w:rPr>
        <w:t>时后运动至钦州湾湾口三墩西南端附近海域，在涨潮流和N风的作用下，12-24时苯乙烯在钦州湾口附近徘徊；随后在落潮流及风的作用下，2</w:t>
      </w:r>
      <w:r>
        <w:rPr>
          <w:color w:val="000000" w:themeColor="text1"/>
          <w:u w:val="single"/>
          <w14:textFill>
            <w14:solidFill>
              <w14:schemeClr w14:val="tx1"/>
            </w14:solidFill>
          </w14:textFill>
        </w:rPr>
        <w:t>8</w:t>
      </w:r>
      <w:r>
        <w:rPr>
          <w:rFonts w:hint="eastAsia"/>
          <w:color w:val="000000" w:themeColor="text1"/>
          <w:u w:val="single"/>
          <w14:textFill>
            <w14:solidFill>
              <w14:schemeClr w14:val="tx1"/>
            </w14:solidFill>
          </w14:textFill>
        </w:rPr>
        <w:t>时苯乙烯进入北部湾二长棘鲷长毛对虾国家级种质资源保护区（实验区），</w:t>
      </w:r>
      <w:r>
        <w:rPr>
          <w:color w:val="000000" w:themeColor="text1"/>
          <w:u w:val="single"/>
          <w14:textFill>
            <w14:solidFill>
              <w14:schemeClr w14:val="tx1"/>
            </w14:solidFill>
          </w14:textFill>
        </w:rPr>
        <w:t>28-48</w:t>
      </w:r>
      <w:r>
        <w:rPr>
          <w:rFonts w:hint="eastAsia"/>
          <w:color w:val="000000" w:themeColor="text1"/>
          <w:u w:val="single"/>
          <w14:textFill>
            <w14:solidFill>
              <w14:schemeClr w14:val="tx1"/>
            </w14:solidFill>
          </w14:textFill>
        </w:rPr>
        <w:t>时在保护区的实验区内往复运动并逐渐漂向外海，</w:t>
      </w:r>
      <w:r>
        <w:rPr>
          <w:color w:val="000000" w:themeColor="text1"/>
          <w:u w:val="single"/>
          <w14:textFill>
            <w14:solidFill>
              <w14:schemeClr w14:val="tx1"/>
            </w14:solidFill>
          </w14:textFill>
        </w:rPr>
        <w:t>40</w:t>
      </w:r>
      <w:r>
        <w:rPr>
          <w:rFonts w:hint="eastAsia"/>
          <w:color w:val="000000" w:themeColor="text1"/>
          <w:u w:val="single"/>
          <w14:textFill>
            <w14:solidFill>
              <w14:schemeClr w14:val="tx1"/>
            </w14:solidFill>
          </w14:textFill>
        </w:rPr>
        <w:t>时进入三娘湾离岸浅海养殖区南侧海域，4</w:t>
      </w:r>
      <w:r>
        <w:rPr>
          <w:color w:val="000000" w:themeColor="text1"/>
          <w:u w:val="single"/>
          <w14:textFill>
            <w14:solidFill>
              <w14:schemeClr w14:val="tx1"/>
            </w14:solidFill>
          </w14:textFill>
        </w:rPr>
        <w:t>8-71</w:t>
      </w:r>
      <w:r>
        <w:rPr>
          <w:rFonts w:hint="eastAsia"/>
          <w:color w:val="000000" w:themeColor="text1"/>
          <w:u w:val="single"/>
          <w14:textFill>
            <w14:solidFill>
              <w14:schemeClr w14:val="tx1"/>
            </w14:solidFill>
          </w14:textFill>
        </w:rPr>
        <w:t>时苯乙烯继续向南运动，约6</w:t>
      </w:r>
      <w:r>
        <w:rPr>
          <w:color w:val="000000" w:themeColor="text1"/>
          <w:u w:val="single"/>
          <w14:textFill>
            <w14:solidFill>
              <w14:schemeClr w14:val="tx1"/>
            </w14:solidFill>
          </w14:textFill>
        </w:rPr>
        <w:t>8</w:t>
      </w:r>
      <w:r>
        <w:rPr>
          <w:rFonts w:hint="eastAsia"/>
          <w:color w:val="000000" w:themeColor="text1"/>
          <w:u w:val="single"/>
          <w14:textFill>
            <w14:solidFill>
              <w14:schemeClr w14:val="tx1"/>
            </w14:solidFill>
          </w14:textFill>
        </w:rPr>
        <w:t>时进入海洋牧场，7</w:t>
      </w:r>
      <w:r>
        <w:rPr>
          <w:color w:val="000000" w:themeColor="text1"/>
          <w:u w:val="single"/>
          <w14:textFill>
            <w14:solidFill>
              <w14:schemeClr w14:val="tx1"/>
            </w14:solidFill>
          </w14:textFill>
        </w:rPr>
        <w:t>1</w:t>
      </w:r>
      <w:r>
        <w:rPr>
          <w:rFonts w:hint="eastAsia"/>
          <w:color w:val="000000" w:themeColor="text1"/>
          <w:u w:val="single"/>
          <w14:textFill>
            <w14:solidFill>
              <w14:schemeClr w14:val="tx1"/>
            </w14:solidFill>
          </w14:textFill>
        </w:rPr>
        <w:t>~72时逐渐飘出计算域，由于计算区域外海开边界距北部湾二长棘鲷长毛对虾国家级种质资源保护区（核心区）仅5.5km，</w:t>
      </w:r>
      <w:r>
        <w:rPr>
          <w:color w:val="000000" w:themeColor="text1"/>
          <w:u w:val="single"/>
          <w14:textFill>
            <w14:solidFill>
              <w14:schemeClr w14:val="tx1"/>
            </w14:solidFill>
          </w14:textFill>
        </w:rPr>
        <w:t>72</w:t>
      </w:r>
      <w:r>
        <w:rPr>
          <w:rFonts w:hint="eastAsia"/>
          <w:color w:val="000000" w:themeColor="text1"/>
          <w:u w:val="single"/>
          <w14:textFill>
            <w14:solidFill>
              <w14:schemeClr w14:val="tx1"/>
            </w14:solidFill>
          </w14:textFill>
        </w:rPr>
        <w:t>-</w:t>
      </w:r>
      <w:r>
        <w:rPr>
          <w:color w:val="000000" w:themeColor="text1"/>
          <w:u w:val="single"/>
          <w14:textFill>
            <w14:solidFill>
              <w14:schemeClr w14:val="tx1"/>
            </w14:solidFill>
          </w14:textFill>
        </w:rPr>
        <w:t>84</w:t>
      </w:r>
      <w:r>
        <w:rPr>
          <w:rFonts w:hint="eastAsia"/>
          <w:color w:val="000000" w:themeColor="text1"/>
          <w:u w:val="single"/>
          <w14:textFill>
            <w14:solidFill>
              <w14:schemeClr w14:val="tx1"/>
            </w14:solidFill>
          </w14:textFill>
        </w:rPr>
        <w:t>时为涨潮阶段，据估算苯乙烯物质将继续在实验区南部边缘徘徊，苯乙烯</w:t>
      </w:r>
      <w:r>
        <w:rPr>
          <w:rFonts w:hint="eastAsia"/>
          <w:color w:val="000000" w:themeColor="text1"/>
          <w:u w:val="single"/>
          <w:lang w:eastAsia="zh-CN"/>
          <w14:textFill>
            <w14:solidFill>
              <w14:schemeClr w14:val="tx1"/>
            </w14:solidFill>
          </w14:textFill>
        </w:rPr>
        <w:t>泄漏</w:t>
      </w:r>
      <w:r>
        <w:rPr>
          <w:rFonts w:hint="eastAsia"/>
          <w:color w:val="000000" w:themeColor="text1"/>
          <w:u w:val="single"/>
          <w14:textFill>
            <w14:solidFill>
              <w14:schemeClr w14:val="tx1"/>
            </w14:solidFill>
          </w14:textFill>
        </w:rPr>
        <w:t>发生</w:t>
      </w:r>
      <w:r>
        <w:rPr>
          <w:color w:val="000000" w:themeColor="text1"/>
          <w:u w:val="single"/>
          <w14:textFill>
            <w14:solidFill>
              <w14:schemeClr w14:val="tx1"/>
            </w14:solidFill>
          </w14:textFill>
        </w:rPr>
        <w:t>85</w:t>
      </w:r>
      <w:r>
        <w:rPr>
          <w:rFonts w:hint="eastAsia"/>
          <w:color w:val="000000" w:themeColor="text1"/>
          <w:u w:val="single"/>
          <w14:textFill>
            <w14:solidFill>
              <w14:schemeClr w14:val="tx1"/>
            </w14:solidFill>
          </w14:textFill>
        </w:rPr>
        <w:t>小时左右进入核心区。苯乙烯</w:t>
      </w:r>
      <w:r>
        <w:rPr>
          <w:rFonts w:hint="eastAsia"/>
          <w:color w:val="000000" w:themeColor="text1"/>
          <w:u w:val="single"/>
          <w:lang w:eastAsia="zh-CN"/>
          <w14:textFill>
            <w14:solidFill>
              <w14:schemeClr w14:val="tx1"/>
            </w14:solidFill>
          </w14:textFill>
        </w:rPr>
        <w:t>泄漏</w:t>
      </w:r>
      <w:r>
        <w:rPr>
          <w:rFonts w:hint="eastAsia"/>
          <w:color w:val="000000" w:themeColor="text1"/>
          <w:u w:val="single"/>
          <w14:textFill>
            <w14:solidFill>
              <w14:schemeClr w14:val="tx1"/>
            </w14:solidFill>
          </w14:textFill>
        </w:rPr>
        <w:t>发生</w:t>
      </w:r>
      <w:r>
        <w:rPr>
          <w:color w:val="000000" w:themeColor="text1"/>
          <w:u w:val="single"/>
          <w14:textFill>
            <w14:solidFill>
              <w14:schemeClr w14:val="tx1"/>
            </w14:solidFill>
          </w14:textFill>
        </w:rPr>
        <w:t>7</w:t>
      </w:r>
      <w:r>
        <w:rPr>
          <w:rFonts w:hint="eastAsia"/>
          <w:color w:val="000000" w:themeColor="text1"/>
          <w:u w:val="single"/>
          <w14:textFill>
            <w14:solidFill>
              <w14:schemeClr w14:val="tx1"/>
            </w14:solidFill>
          </w14:textFill>
        </w:rPr>
        <w:t>2小时内的扫海面积见表5.5-</w:t>
      </w:r>
      <w:r>
        <w:rPr>
          <w:color w:val="000000" w:themeColor="text1"/>
          <w:u w:val="single"/>
          <w14:textFill>
            <w14:solidFill>
              <w14:schemeClr w14:val="tx1"/>
            </w14:solidFill>
          </w14:textFill>
        </w:rPr>
        <w:t>11</w:t>
      </w:r>
      <w:r>
        <w:rPr>
          <w:rFonts w:hint="eastAsia"/>
          <w:color w:val="000000" w:themeColor="text1"/>
          <w:u w:val="single"/>
          <w14:textFill>
            <w14:solidFill>
              <w14:schemeClr w14:val="tx1"/>
            </w14:solidFill>
          </w14:textFill>
        </w:rPr>
        <w:t>，漂移轨迹及扫海范围见图</w:t>
      </w:r>
      <w:r>
        <w:rPr>
          <w:rFonts w:hint="eastAsia"/>
          <w:color w:val="000000" w:themeColor="text1"/>
          <w:kern w:val="0"/>
          <w:u w:val="single"/>
          <w14:textFill>
            <w14:solidFill>
              <w14:schemeClr w14:val="tx1"/>
            </w14:solidFill>
          </w14:textFill>
        </w:rPr>
        <w:t>5.5.3</w:t>
      </w:r>
      <w:r>
        <w:rPr>
          <w:rFonts w:hint="eastAsia"/>
          <w:color w:val="000000" w:themeColor="text1"/>
          <w:u w:val="single"/>
          <w14:textFill>
            <w14:solidFill>
              <w14:schemeClr w14:val="tx1"/>
            </w14:solidFill>
          </w14:textFill>
        </w:rPr>
        <w:t>-</w:t>
      </w:r>
      <w:r>
        <w:rPr>
          <w:color w:val="000000" w:themeColor="text1"/>
          <w:u w:val="single"/>
          <w14:textFill>
            <w14:solidFill>
              <w14:schemeClr w14:val="tx1"/>
            </w14:solidFill>
          </w14:textFill>
        </w:rPr>
        <w:t>15~</w:t>
      </w:r>
      <w:r>
        <w:rPr>
          <w:rFonts w:hint="eastAsia"/>
          <w:color w:val="000000" w:themeColor="text1"/>
          <w:u w:val="single"/>
          <w14:textFill>
            <w14:solidFill>
              <w14:schemeClr w14:val="tx1"/>
            </w14:solidFill>
          </w14:textFill>
        </w:rPr>
        <w:t>图</w:t>
      </w:r>
      <w:r>
        <w:rPr>
          <w:rFonts w:hint="eastAsia"/>
          <w:color w:val="000000" w:themeColor="text1"/>
          <w:kern w:val="0"/>
          <w:u w:val="single"/>
          <w14:textFill>
            <w14:solidFill>
              <w14:schemeClr w14:val="tx1"/>
            </w14:solidFill>
          </w14:textFill>
        </w:rPr>
        <w:t>5.5.3</w:t>
      </w:r>
      <w:r>
        <w:rPr>
          <w:color w:val="000000" w:themeColor="text1"/>
          <w:u w:val="single"/>
          <w14:textFill>
            <w14:solidFill>
              <w14:schemeClr w14:val="tx1"/>
            </w14:solidFill>
          </w14:textFill>
        </w:rPr>
        <w:t>-16</w:t>
      </w:r>
      <w:r>
        <w:rPr>
          <w:rFonts w:hint="eastAsia"/>
          <w:color w:val="000000" w:themeColor="text1"/>
          <w:u w:val="single"/>
          <w14:textFill>
            <w14:solidFill>
              <w14:schemeClr w14:val="tx1"/>
            </w14:solidFill>
          </w14:textFill>
        </w:rPr>
        <w:t>。</w:t>
      </w:r>
    </w:p>
    <w:p w14:paraId="6CA435C3">
      <w:pPr>
        <w:pStyle w:val="7"/>
        <w:rPr>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 冬</w:t>
      </w:r>
      <w:r>
        <w:rPr>
          <w:color w:val="000000" w:themeColor="text1"/>
          <w14:textFill>
            <w14:solidFill>
              <w14:schemeClr w14:val="tx1"/>
            </w14:solidFill>
          </w14:textFill>
        </w:rPr>
        <w:t>季主导风</w:t>
      </w:r>
      <w:r>
        <w:rPr>
          <w:rFonts w:hint="eastAsia"/>
          <w:color w:val="000000" w:themeColor="text1"/>
          <w14:textFill>
            <w14:solidFill>
              <w14:schemeClr w14:val="tx1"/>
            </w14:solidFill>
          </w14:textFill>
        </w:rPr>
        <w:t>N条件下落潮时苯乙烯泄露扫海面积</w:t>
      </w:r>
    </w:p>
    <w:tbl>
      <w:tblPr>
        <w:tblStyle w:val="43"/>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583"/>
        <w:gridCol w:w="1387"/>
        <w:gridCol w:w="1387"/>
        <w:gridCol w:w="1387"/>
        <w:gridCol w:w="1388"/>
        <w:gridCol w:w="1390"/>
      </w:tblGrid>
      <w:tr w14:paraId="73C19DC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40" w:hRule="atLeast"/>
          <w:jc w:val="center"/>
        </w:trPr>
        <w:tc>
          <w:tcPr>
            <w:tcW w:w="929" w:type="pct"/>
            <w:vMerge w:val="restart"/>
            <w:tcMar>
              <w:top w:w="57" w:type="dxa"/>
              <w:bottom w:w="57" w:type="dxa"/>
            </w:tcMar>
            <w:vAlign w:val="center"/>
          </w:tcPr>
          <w:p w14:paraId="526A8BE6">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项目</w:t>
            </w:r>
          </w:p>
        </w:tc>
        <w:tc>
          <w:tcPr>
            <w:tcW w:w="4071" w:type="pct"/>
            <w:gridSpan w:val="5"/>
            <w:tcMar>
              <w:top w:w="57" w:type="dxa"/>
              <w:bottom w:w="57" w:type="dxa"/>
            </w:tcMar>
            <w:vAlign w:val="center"/>
          </w:tcPr>
          <w:p w14:paraId="200A126D">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泄漏发生经历时间（小时）</w:t>
            </w:r>
          </w:p>
        </w:tc>
      </w:tr>
      <w:tr w14:paraId="534BA68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5" w:hRule="atLeast"/>
          <w:jc w:val="center"/>
        </w:trPr>
        <w:tc>
          <w:tcPr>
            <w:tcW w:w="929" w:type="pct"/>
            <w:vMerge w:val="continue"/>
            <w:tcMar>
              <w:top w:w="57" w:type="dxa"/>
              <w:bottom w:w="57" w:type="dxa"/>
            </w:tcMar>
            <w:vAlign w:val="center"/>
          </w:tcPr>
          <w:p w14:paraId="6FEC45D7">
            <w:pPr>
              <w:spacing w:line="240" w:lineRule="atLeast"/>
              <w:ind w:firstLine="0" w:firstLineChars="0"/>
              <w:jc w:val="center"/>
              <w:rPr>
                <w:color w:val="000000" w:themeColor="text1"/>
                <w:sz w:val="21"/>
                <w:szCs w:val="21"/>
                <w14:textFill>
                  <w14:solidFill>
                    <w14:schemeClr w14:val="tx1"/>
                  </w14:solidFill>
                </w14:textFill>
              </w:rPr>
            </w:pPr>
          </w:p>
        </w:tc>
        <w:tc>
          <w:tcPr>
            <w:tcW w:w="814" w:type="pct"/>
            <w:tcMar>
              <w:top w:w="57" w:type="dxa"/>
              <w:bottom w:w="57" w:type="dxa"/>
            </w:tcMar>
            <w:vAlign w:val="center"/>
          </w:tcPr>
          <w:p w14:paraId="2D477257">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w:t>
            </w:r>
          </w:p>
        </w:tc>
        <w:tc>
          <w:tcPr>
            <w:tcW w:w="814" w:type="pct"/>
            <w:vAlign w:val="center"/>
          </w:tcPr>
          <w:p w14:paraId="3A02DE1B">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12</w:t>
            </w:r>
          </w:p>
        </w:tc>
        <w:tc>
          <w:tcPr>
            <w:tcW w:w="814" w:type="pct"/>
            <w:tcMar>
              <w:top w:w="57" w:type="dxa"/>
              <w:bottom w:w="57" w:type="dxa"/>
            </w:tcMar>
            <w:vAlign w:val="center"/>
          </w:tcPr>
          <w:p w14:paraId="6BEB00B2">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24</w:t>
            </w:r>
          </w:p>
        </w:tc>
        <w:tc>
          <w:tcPr>
            <w:tcW w:w="814" w:type="pct"/>
            <w:tcMar>
              <w:top w:w="57" w:type="dxa"/>
              <w:bottom w:w="57" w:type="dxa"/>
            </w:tcMar>
            <w:vAlign w:val="center"/>
          </w:tcPr>
          <w:p w14:paraId="5659F917">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48</w:t>
            </w:r>
          </w:p>
        </w:tc>
        <w:tc>
          <w:tcPr>
            <w:tcW w:w="815" w:type="pct"/>
            <w:vAlign w:val="center"/>
          </w:tcPr>
          <w:p w14:paraId="0C6E0A58">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7</w:t>
            </w:r>
            <w:r>
              <w:rPr>
                <w:rFonts w:hint="eastAsia"/>
                <w:color w:val="000000" w:themeColor="text1"/>
                <w:sz w:val="21"/>
                <w:szCs w:val="21"/>
                <w14:textFill>
                  <w14:solidFill>
                    <w14:schemeClr w14:val="tx1"/>
                  </w14:solidFill>
                </w14:textFill>
              </w:rPr>
              <w:t>2</w:t>
            </w:r>
          </w:p>
        </w:tc>
      </w:tr>
      <w:tr w14:paraId="7CF51B9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929" w:type="pct"/>
            <w:tcMar>
              <w:top w:w="57" w:type="dxa"/>
              <w:bottom w:w="57" w:type="dxa"/>
            </w:tcMar>
            <w:vAlign w:val="center"/>
          </w:tcPr>
          <w:p w14:paraId="2655C98A">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扫海面积（km</w:t>
            </w:r>
            <w:r>
              <w:rPr>
                <w:rFonts w:hint="eastAsia"/>
                <w:color w:val="000000" w:themeColor="text1"/>
                <w:sz w:val="21"/>
                <w:szCs w:val="21"/>
                <w:vertAlign w:val="superscript"/>
                <w14:textFill>
                  <w14:solidFill>
                    <w14:schemeClr w14:val="tx1"/>
                  </w14:solidFill>
                </w14:textFill>
              </w:rPr>
              <w:t>2</w:t>
            </w:r>
            <w:r>
              <w:rPr>
                <w:rFonts w:hint="eastAsia"/>
                <w:color w:val="000000" w:themeColor="text1"/>
                <w:sz w:val="21"/>
                <w:szCs w:val="21"/>
                <w14:textFill>
                  <w14:solidFill>
                    <w14:schemeClr w14:val="tx1"/>
                  </w14:solidFill>
                </w14:textFill>
              </w:rPr>
              <w:t>）</w:t>
            </w:r>
          </w:p>
        </w:tc>
        <w:tc>
          <w:tcPr>
            <w:tcW w:w="814" w:type="pct"/>
            <w:tcMar>
              <w:top w:w="57" w:type="dxa"/>
              <w:bottom w:w="57" w:type="dxa"/>
            </w:tcMar>
            <w:vAlign w:val="center"/>
          </w:tcPr>
          <w:p w14:paraId="498A2B52">
            <w:pPr>
              <w:widowControl/>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0.3</w:t>
            </w:r>
            <w:r>
              <w:rPr>
                <w:color w:val="000000" w:themeColor="text1"/>
                <w:sz w:val="21"/>
                <w:szCs w:val="21"/>
                <w14:textFill>
                  <w14:solidFill>
                    <w14:schemeClr w14:val="tx1"/>
                  </w14:solidFill>
                </w14:textFill>
              </w:rPr>
              <w:t>09</w:t>
            </w:r>
          </w:p>
        </w:tc>
        <w:tc>
          <w:tcPr>
            <w:tcW w:w="814" w:type="pct"/>
            <w:vAlign w:val="center"/>
          </w:tcPr>
          <w:p w14:paraId="272F5F2A">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8.846</w:t>
            </w:r>
          </w:p>
        </w:tc>
        <w:tc>
          <w:tcPr>
            <w:tcW w:w="814" w:type="pct"/>
            <w:tcMar>
              <w:top w:w="57" w:type="dxa"/>
              <w:bottom w:w="57" w:type="dxa"/>
            </w:tcMar>
            <w:vAlign w:val="center"/>
          </w:tcPr>
          <w:p w14:paraId="4BB38A41">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w:t>
            </w:r>
            <w:r>
              <w:rPr>
                <w:color w:val="000000" w:themeColor="text1"/>
                <w:sz w:val="21"/>
                <w:szCs w:val="21"/>
                <w14:textFill>
                  <w14:solidFill>
                    <w14:schemeClr w14:val="tx1"/>
                  </w14:solidFill>
                </w14:textFill>
              </w:rPr>
              <w:t>4</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159</w:t>
            </w:r>
          </w:p>
        </w:tc>
        <w:tc>
          <w:tcPr>
            <w:tcW w:w="814" w:type="pct"/>
            <w:tcMar>
              <w:top w:w="57" w:type="dxa"/>
              <w:bottom w:w="57" w:type="dxa"/>
            </w:tcMar>
            <w:vAlign w:val="center"/>
          </w:tcPr>
          <w:p w14:paraId="45EEB8E8">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12</w:t>
            </w:r>
            <w:r>
              <w:rPr>
                <w:color w:val="000000" w:themeColor="text1"/>
                <w:sz w:val="21"/>
                <w:szCs w:val="21"/>
                <w14:textFill>
                  <w14:solidFill>
                    <w14:schemeClr w14:val="tx1"/>
                  </w14:solidFill>
                </w14:textFill>
              </w:rPr>
              <w:t>8</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043</w:t>
            </w:r>
          </w:p>
        </w:tc>
        <w:tc>
          <w:tcPr>
            <w:tcW w:w="815" w:type="pct"/>
            <w:vAlign w:val="center"/>
          </w:tcPr>
          <w:p w14:paraId="2C6860C6">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206.309</w:t>
            </w:r>
          </w:p>
        </w:tc>
      </w:tr>
      <w:tr w14:paraId="5A6744D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929" w:type="pct"/>
            <w:tcMar>
              <w:top w:w="57" w:type="dxa"/>
              <w:bottom w:w="57" w:type="dxa"/>
            </w:tcMar>
            <w:vAlign w:val="center"/>
          </w:tcPr>
          <w:p w14:paraId="59C0B5F2">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残余苯乙烯平均厚度（m</w:t>
            </w:r>
            <w:r>
              <w:rPr>
                <w:color w:val="000000" w:themeColor="text1"/>
                <w:sz w:val="21"/>
                <w:szCs w:val="21"/>
                <w14:textFill>
                  <w14:solidFill>
                    <w14:schemeClr w14:val="tx1"/>
                  </w14:solidFill>
                </w14:textFill>
              </w:rPr>
              <w:t>m</w:t>
            </w:r>
            <w:r>
              <w:rPr>
                <w:rFonts w:hint="eastAsia"/>
                <w:color w:val="000000" w:themeColor="text1"/>
                <w:sz w:val="21"/>
                <w:szCs w:val="21"/>
                <w14:textFill>
                  <w14:solidFill>
                    <w14:schemeClr w14:val="tx1"/>
                  </w14:solidFill>
                </w14:textFill>
              </w:rPr>
              <w:t>）</w:t>
            </w:r>
          </w:p>
        </w:tc>
        <w:tc>
          <w:tcPr>
            <w:tcW w:w="814" w:type="pct"/>
            <w:tcMar>
              <w:top w:w="57" w:type="dxa"/>
              <w:bottom w:w="57" w:type="dxa"/>
            </w:tcMar>
            <w:vAlign w:val="center"/>
          </w:tcPr>
          <w:p w14:paraId="42BC3A42">
            <w:pPr>
              <w:widowControl/>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5248.12</w:t>
            </w:r>
          </w:p>
        </w:tc>
        <w:tc>
          <w:tcPr>
            <w:tcW w:w="814" w:type="pct"/>
            <w:vAlign w:val="center"/>
          </w:tcPr>
          <w:p w14:paraId="2746D33C">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636.93</w:t>
            </w:r>
          </w:p>
        </w:tc>
        <w:tc>
          <w:tcPr>
            <w:tcW w:w="814" w:type="pct"/>
            <w:tcMar>
              <w:top w:w="57" w:type="dxa"/>
              <w:bottom w:w="57" w:type="dxa"/>
            </w:tcMar>
            <w:vAlign w:val="center"/>
          </w:tcPr>
          <w:p w14:paraId="0106695C">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133.28</w:t>
            </w:r>
          </w:p>
        </w:tc>
        <w:tc>
          <w:tcPr>
            <w:tcW w:w="814" w:type="pct"/>
            <w:tcMar>
              <w:top w:w="57" w:type="dxa"/>
              <w:bottom w:w="57" w:type="dxa"/>
            </w:tcMar>
            <w:vAlign w:val="center"/>
          </w:tcPr>
          <w:p w14:paraId="263350D3">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65.90</w:t>
            </w:r>
          </w:p>
        </w:tc>
        <w:tc>
          <w:tcPr>
            <w:tcW w:w="815" w:type="pct"/>
            <w:vAlign w:val="center"/>
          </w:tcPr>
          <w:p w14:paraId="22B7291B">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54.11</w:t>
            </w:r>
          </w:p>
        </w:tc>
      </w:tr>
    </w:tbl>
    <w:p w14:paraId="2E0FAB40">
      <w:pPr>
        <w:widowControl/>
        <w:ind w:firstLine="480"/>
        <w:jc w:val="cente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3009265" cy="3959860"/>
            <wp:effectExtent l="0" t="0" r="0" b="0"/>
            <wp:docPr id="255" name="图片 255" descr="G:\project\2022\jingujiang14-15#\yiyou\luon251128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255" descr="G:\project\2022\jingujiang14-15#\yiyou\luon251128油.jpg"/>
                    <pic:cNvPicPr>
                      <a:picLocks noChangeAspect="1" noChangeArrowheads="1"/>
                    </pic:cNvPicPr>
                  </pic:nvPicPr>
                  <pic:blipFill>
                    <a:blip r:embed="rId246" cstate="print">
                      <a:extLst>
                        <a:ext uri="{28A0092B-C50C-407E-A947-70E740481C1C}">
                          <a14:useLocalDpi xmlns:a14="http://schemas.microsoft.com/office/drawing/2010/main" val="0"/>
                        </a:ext>
                      </a:extLst>
                    </a:blip>
                    <a:srcRect l="490" t="1230" r="3163" b="11996"/>
                    <a:stretch>
                      <a:fillRect/>
                    </a:stretch>
                  </pic:blipFill>
                  <pic:spPr>
                    <a:xfrm>
                      <a:off x="0" y="0"/>
                      <a:ext cx="3009500" cy="3960000"/>
                    </a:xfrm>
                    <a:prstGeom prst="rect">
                      <a:avLst/>
                    </a:prstGeom>
                    <a:noFill/>
                    <a:ln>
                      <a:noFill/>
                    </a:ln>
                  </pic:spPr>
                </pic:pic>
              </a:graphicData>
            </a:graphic>
          </wp:inline>
        </w:drawing>
      </w:r>
    </w:p>
    <w:p w14:paraId="43E77403">
      <w:pPr>
        <w:widowControl/>
        <w:ind w:firstLine="482"/>
        <w:jc w:val="center"/>
        <w:rPr>
          <w:color w:val="000000" w:themeColor="text1"/>
          <w14:textFill>
            <w14:solidFill>
              <w14:schemeClr w14:val="tx1"/>
            </w14:solidFill>
          </w14:textFill>
        </w:rPr>
      </w:pPr>
      <w:r>
        <w:rPr>
          <w:rFonts w:hint="eastAsia"/>
          <w:b/>
          <w:color w:val="000000" w:themeColor="text1"/>
          <w14:textFill>
            <w14:solidFill>
              <w14:schemeClr w14:val="tx1"/>
            </w14:solidFill>
          </w14:textFill>
        </w:rPr>
        <w:t>图</w:t>
      </w:r>
      <w:r>
        <w:rPr>
          <w:rFonts w:hint="eastAsia"/>
          <w:color w:val="000000" w:themeColor="text1"/>
          <w:kern w:val="0"/>
          <w14:textFill>
            <w14:solidFill>
              <w14:schemeClr w14:val="tx1"/>
            </w14:solidFill>
          </w14:textFill>
        </w:rPr>
        <w:t>5.5.3</w:t>
      </w:r>
      <w:r>
        <w:rPr>
          <w:b/>
          <w:color w:val="000000" w:themeColor="text1"/>
          <w14:textFill>
            <w14:solidFill>
              <w14:schemeClr w14:val="tx1"/>
            </w14:solidFill>
          </w14:textFill>
        </w:rPr>
        <w:t>-15</w:t>
      </w:r>
      <w:r>
        <w:rPr>
          <w:rFonts w:hint="eastAsia"/>
          <w:b/>
          <w:color w:val="000000" w:themeColor="text1"/>
          <w14:textFill>
            <w14:solidFill>
              <w14:schemeClr w14:val="tx1"/>
            </w14:solidFill>
          </w14:textFill>
        </w:rPr>
        <w:t xml:space="preserve"> 冬</w:t>
      </w:r>
      <w:r>
        <w:rPr>
          <w:b/>
          <w:color w:val="000000" w:themeColor="text1"/>
          <w14:textFill>
            <w14:solidFill>
              <w14:schemeClr w14:val="tx1"/>
            </w14:solidFill>
          </w14:textFill>
        </w:rPr>
        <w:t>季主导风</w:t>
      </w:r>
      <w:r>
        <w:rPr>
          <w:rFonts w:hint="eastAsia"/>
          <w:b/>
          <w:color w:val="000000" w:themeColor="text1"/>
          <w14:textFill>
            <w14:solidFill>
              <w14:schemeClr w14:val="tx1"/>
            </w14:solidFill>
          </w14:textFill>
        </w:rPr>
        <w:t>N下落潮时苯乙烯</w:t>
      </w:r>
      <w:r>
        <w:rPr>
          <w:rFonts w:hint="eastAsia"/>
          <w:b/>
          <w:color w:val="000000" w:themeColor="text1"/>
          <w:lang w:eastAsia="zh-CN"/>
          <w14:textFill>
            <w14:solidFill>
              <w14:schemeClr w14:val="tx1"/>
            </w14:solidFill>
          </w14:textFill>
        </w:rPr>
        <w:t>泄漏</w:t>
      </w:r>
      <w:r>
        <w:rPr>
          <w:rFonts w:hint="eastAsia"/>
          <w:b/>
          <w:color w:val="000000" w:themeColor="text1"/>
          <w14:textFill>
            <w14:solidFill>
              <w14:schemeClr w14:val="tx1"/>
            </w14:solidFill>
          </w14:textFill>
        </w:rPr>
        <w:t>影响范围示意</w:t>
      </w:r>
    </w:p>
    <w:p w14:paraId="364694AC">
      <w:pPr>
        <w:widowControl/>
        <w:ind w:firstLine="480"/>
        <w:jc w:val="center"/>
        <w:rPr>
          <w:rFonts w:ascii="宋体" w:hAnsi="宋体" w:cs="宋体"/>
          <w:color w:val="000000" w:themeColor="text1"/>
          <w:kern w:val="0"/>
          <w14:textFill>
            <w14:solidFill>
              <w14:schemeClr w14:val="tx1"/>
            </w14:solidFill>
          </w14:textFill>
        </w:rPr>
      </w:pPr>
      <w:r>
        <w:rPr>
          <w:color w:val="000000" w:themeColor="text1"/>
          <w14:textFill>
            <w14:solidFill>
              <w14:schemeClr w14:val="tx1"/>
            </w14:solidFill>
          </w14:textFill>
        </w:rPr>
        <w:drawing>
          <wp:inline distT="0" distB="0" distL="0" distR="0">
            <wp:extent cx="3022600" cy="3959860"/>
            <wp:effectExtent l="0" t="0" r="0" b="0"/>
            <wp:docPr id="256" name="图片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256"/>
                    <pic:cNvPicPr>
                      <a:picLocks noChangeAspect="1"/>
                    </pic:cNvPicPr>
                  </pic:nvPicPr>
                  <pic:blipFill>
                    <a:blip r:embed="rId247"/>
                    <a:stretch>
                      <a:fillRect/>
                    </a:stretch>
                  </pic:blipFill>
                  <pic:spPr>
                    <a:xfrm>
                      <a:off x="0" y="0"/>
                      <a:ext cx="3023140" cy="3960000"/>
                    </a:xfrm>
                    <a:prstGeom prst="rect">
                      <a:avLst/>
                    </a:prstGeom>
                  </pic:spPr>
                </pic:pic>
              </a:graphicData>
            </a:graphic>
          </wp:inline>
        </w:drawing>
      </w:r>
    </w:p>
    <w:p w14:paraId="6B0A9946">
      <w:pPr>
        <w:ind w:firstLine="482"/>
        <w:jc w:val="center"/>
        <w:rPr>
          <w:b/>
          <w:color w:val="000000" w:themeColor="text1"/>
          <w14:textFill>
            <w14:solidFill>
              <w14:schemeClr w14:val="tx1"/>
            </w14:solidFill>
          </w14:textFill>
        </w:rPr>
      </w:pPr>
      <w:r>
        <w:rPr>
          <w:rFonts w:hint="eastAsia"/>
          <w:b/>
          <w:color w:val="000000" w:themeColor="text1"/>
          <w14:textFill>
            <w14:solidFill>
              <w14:schemeClr w14:val="tx1"/>
            </w14:solidFill>
          </w14:textFill>
        </w:rPr>
        <w:t>图</w:t>
      </w:r>
      <w:r>
        <w:rPr>
          <w:rFonts w:hint="eastAsia"/>
          <w:color w:val="000000" w:themeColor="text1"/>
          <w:kern w:val="0"/>
          <w14:textFill>
            <w14:solidFill>
              <w14:schemeClr w14:val="tx1"/>
            </w14:solidFill>
          </w14:textFill>
        </w:rPr>
        <w:t>5.5.3</w:t>
      </w:r>
      <w:r>
        <w:rPr>
          <w:b/>
          <w:color w:val="000000" w:themeColor="text1"/>
          <w14:textFill>
            <w14:solidFill>
              <w14:schemeClr w14:val="tx1"/>
            </w14:solidFill>
          </w14:textFill>
        </w:rPr>
        <w:t>-16</w:t>
      </w:r>
      <w:r>
        <w:rPr>
          <w:rFonts w:hint="eastAsia"/>
          <w:b/>
          <w:color w:val="000000" w:themeColor="text1"/>
          <w14:textFill>
            <w14:solidFill>
              <w14:schemeClr w14:val="tx1"/>
            </w14:solidFill>
          </w14:textFill>
        </w:rPr>
        <w:t xml:space="preserve"> 冬</w:t>
      </w:r>
      <w:r>
        <w:rPr>
          <w:b/>
          <w:color w:val="000000" w:themeColor="text1"/>
          <w14:textFill>
            <w14:solidFill>
              <w14:schemeClr w14:val="tx1"/>
            </w14:solidFill>
          </w14:textFill>
        </w:rPr>
        <w:t>季主导风</w:t>
      </w:r>
      <w:r>
        <w:rPr>
          <w:rFonts w:hint="eastAsia"/>
          <w:b/>
          <w:color w:val="000000" w:themeColor="text1"/>
          <w14:textFill>
            <w14:solidFill>
              <w14:schemeClr w14:val="tx1"/>
            </w14:solidFill>
          </w14:textFill>
        </w:rPr>
        <w:t>N下落潮时苯乙烯</w:t>
      </w:r>
      <w:r>
        <w:rPr>
          <w:rFonts w:hint="eastAsia"/>
          <w:b/>
          <w:color w:val="000000" w:themeColor="text1"/>
          <w:lang w:eastAsia="zh-CN"/>
          <w14:textFill>
            <w14:solidFill>
              <w14:schemeClr w14:val="tx1"/>
            </w14:solidFill>
          </w14:textFill>
        </w:rPr>
        <w:t>泄漏</w:t>
      </w:r>
      <w:r>
        <w:rPr>
          <w:rFonts w:hint="eastAsia"/>
          <w:b/>
          <w:color w:val="000000" w:themeColor="text1"/>
          <w14:textFill>
            <w14:solidFill>
              <w14:schemeClr w14:val="tx1"/>
            </w14:solidFill>
          </w14:textFill>
        </w:rPr>
        <w:t>的运动轨迹</w:t>
      </w:r>
    </w:p>
    <w:p w14:paraId="167B7CDC">
      <w:pPr>
        <w:ind w:firstLine="480"/>
        <w:rPr>
          <w:color w:val="000000" w:themeColor="text1"/>
          <w14:textFill>
            <w14:solidFill>
              <w14:schemeClr w14:val="tx1"/>
            </w14:solidFill>
          </w14:textFill>
        </w:rPr>
      </w:pPr>
      <w:r>
        <w:rPr>
          <w:rFonts w:hAnsi="宋体"/>
          <w:color w:val="000000" w:themeColor="text1"/>
          <w14:textFill>
            <w14:solidFill>
              <w14:schemeClr w14:val="tx1"/>
            </w14:solidFill>
          </w14:textFill>
        </w:rPr>
        <w:t>（</w:t>
      </w:r>
      <w:r>
        <w:rPr>
          <w:rFonts w:hint="eastAsia"/>
          <w:color w:val="000000" w:themeColor="text1"/>
          <w14:textFill>
            <w14:solidFill>
              <w14:schemeClr w14:val="tx1"/>
            </w14:solidFill>
          </w14:textFill>
        </w:rPr>
        <w:t>3</w:t>
      </w:r>
      <w:r>
        <w:rPr>
          <w:rFonts w:hAnsi="宋体"/>
          <w:color w:val="000000" w:themeColor="text1"/>
          <w14:textFill>
            <w14:solidFill>
              <w14:schemeClr w14:val="tx1"/>
            </w14:solidFill>
          </w14:textFill>
        </w:rPr>
        <w:t>）</w:t>
      </w:r>
      <w:r>
        <w:rPr>
          <w:rFonts w:hint="eastAsia"/>
          <w:color w:val="000000" w:themeColor="text1"/>
          <w14:textFill>
            <w14:solidFill>
              <w14:schemeClr w14:val="tx1"/>
            </w14:solidFill>
          </w14:textFill>
        </w:rPr>
        <w:t>夏</w:t>
      </w:r>
      <w:r>
        <w:rPr>
          <w:color w:val="000000" w:themeColor="text1"/>
          <w14:textFill>
            <w14:solidFill>
              <w14:schemeClr w14:val="tx1"/>
            </w14:solidFill>
          </w14:textFill>
        </w:rPr>
        <w:t>季主导风</w:t>
      </w:r>
      <w:r>
        <w:rPr>
          <w:rFonts w:hint="eastAsia"/>
          <w:color w:val="000000" w:themeColor="text1"/>
          <w14:textFill>
            <w14:solidFill>
              <w14:schemeClr w14:val="tx1"/>
            </w14:solidFill>
          </w14:textFill>
        </w:rPr>
        <w:t>S，大潮涨潮</w:t>
      </w:r>
    </w:p>
    <w:p w14:paraId="1C8B8F2D">
      <w:pPr>
        <w:ind w:firstLine="480"/>
        <w:rPr>
          <w:rFonts w:hAnsi="宋体"/>
          <w:color w:val="000000" w:themeColor="text1"/>
          <w:u w:val="single"/>
          <w14:textFill>
            <w14:solidFill>
              <w14:schemeClr w14:val="tx1"/>
            </w14:solidFill>
          </w14:textFill>
        </w:rPr>
      </w:pPr>
      <w:r>
        <w:rPr>
          <w:rFonts w:hint="eastAsia" w:hAnsi="宋体"/>
          <w:color w:val="000000" w:themeColor="text1"/>
          <w:u w:val="single"/>
          <w14:textFill>
            <w14:solidFill>
              <w14:schemeClr w14:val="tx1"/>
            </w14:solidFill>
          </w14:textFill>
        </w:rPr>
        <w:t>在5.1m/s的S风以及涨潮流作用下</w:t>
      </w:r>
      <w:r>
        <w:rPr>
          <w:rFonts w:hAnsi="宋体"/>
          <w:color w:val="000000" w:themeColor="text1"/>
          <w:u w:val="single"/>
          <w14:textFill>
            <w14:solidFill>
              <w14:schemeClr w14:val="tx1"/>
            </w14:solidFill>
          </w14:textFill>
        </w:rPr>
        <w:t>，</w:t>
      </w:r>
      <w:r>
        <w:rPr>
          <w:rFonts w:hint="eastAsia" w:hAnsi="宋体"/>
          <w:color w:val="000000" w:themeColor="text1"/>
          <w:u w:val="single"/>
          <w14:textFill>
            <w14:solidFill>
              <w14:schemeClr w14:val="tx1"/>
            </w14:solidFill>
          </w14:textFill>
        </w:rPr>
        <w:t>苯乙烯</w:t>
      </w:r>
      <w:r>
        <w:rPr>
          <w:rFonts w:hint="eastAsia" w:hAnsi="宋体"/>
          <w:color w:val="000000" w:themeColor="text1"/>
          <w:u w:val="single"/>
          <w:lang w:eastAsia="zh-CN"/>
          <w14:textFill>
            <w14:solidFill>
              <w14:schemeClr w14:val="tx1"/>
            </w14:solidFill>
          </w14:textFill>
        </w:rPr>
        <w:t>泄漏</w:t>
      </w:r>
      <w:r>
        <w:rPr>
          <w:rFonts w:hint="eastAsia"/>
          <w:color w:val="000000" w:themeColor="text1"/>
          <w:u w:val="single"/>
          <w14:textFill>
            <w14:solidFill>
              <w14:schemeClr w14:val="tx1"/>
            </w14:solidFill>
          </w14:textFill>
        </w:rPr>
        <w:t>发生1小时后部分苯乙烯在本项目北侧临近岸线登陆，剩余苯乙烯物质继续向金鼓江上游运动，</w:t>
      </w:r>
      <w:r>
        <w:rPr>
          <w:color w:val="000000" w:themeColor="text1"/>
          <w:u w:val="single"/>
          <w14:textFill>
            <w14:solidFill>
              <w14:schemeClr w14:val="tx1"/>
            </w14:solidFill>
          </w14:textFill>
        </w:rPr>
        <w:t>3</w:t>
      </w:r>
      <w:r>
        <w:rPr>
          <w:rFonts w:hint="eastAsia"/>
          <w:color w:val="000000" w:themeColor="text1"/>
          <w:u w:val="single"/>
          <w14:textFill>
            <w14:solidFill>
              <w14:schemeClr w14:val="tx1"/>
            </w14:solidFill>
          </w14:textFill>
        </w:rPr>
        <w:t>小时后到达金鼓江支流-望鸦江口，泄露的苯乙烯一支沿望鸦江北上6小时后受岸线阻挡吸附而完全登陆，另一支继续沿金鼓江主流北上逐渐扫过整个江面，1</w:t>
      </w:r>
      <w:r>
        <w:rPr>
          <w:color w:val="000000" w:themeColor="text1"/>
          <w:u w:val="single"/>
          <w14:textFill>
            <w14:solidFill>
              <w14:schemeClr w14:val="tx1"/>
            </w14:solidFill>
          </w14:textFill>
        </w:rPr>
        <w:t>0</w:t>
      </w:r>
      <w:r>
        <w:rPr>
          <w:rFonts w:hint="eastAsia"/>
          <w:color w:val="000000" w:themeColor="text1"/>
          <w:u w:val="single"/>
          <w14:textFill>
            <w14:solidFill>
              <w14:schemeClr w14:val="tx1"/>
            </w14:solidFill>
          </w14:textFill>
        </w:rPr>
        <w:t>时后受岸线阻挡而登陆。受岸线阻挡吸附及风、流顶托作用，此后油膜基本停止运动。苯乙烯</w:t>
      </w:r>
      <w:r>
        <w:rPr>
          <w:rFonts w:hint="eastAsia"/>
          <w:color w:val="000000" w:themeColor="text1"/>
          <w:u w:val="single"/>
          <w:lang w:eastAsia="zh-CN"/>
          <w14:textFill>
            <w14:solidFill>
              <w14:schemeClr w14:val="tx1"/>
            </w14:solidFill>
          </w14:textFill>
        </w:rPr>
        <w:t>泄漏</w:t>
      </w:r>
      <w:r>
        <w:rPr>
          <w:rFonts w:hint="eastAsia"/>
          <w:color w:val="000000" w:themeColor="text1"/>
          <w:u w:val="single"/>
          <w14:textFill>
            <w14:solidFill>
              <w14:schemeClr w14:val="tx1"/>
            </w14:solidFill>
          </w14:textFill>
        </w:rPr>
        <w:t>发生</w:t>
      </w:r>
      <w:r>
        <w:rPr>
          <w:color w:val="000000" w:themeColor="text1"/>
          <w:u w:val="single"/>
          <w14:textFill>
            <w14:solidFill>
              <w14:schemeClr w14:val="tx1"/>
            </w14:solidFill>
          </w14:textFill>
        </w:rPr>
        <w:t>72</w:t>
      </w:r>
      <w:r>
        <w:rPr>
          <w:rFonts w:hint="eastAsia"/>
          <w:color w:val="000000" w:themeColor="text1"/>
          <w:u w:val="single"/>
          <w14:textFill>
            <w14:solidFill>
              <w14:schemeClr w14:val="tx1"/>
            </w14:solidFill>
          </w14:textFill>
        </w:rPr>
        <w:t>小时的扫海面积见表5.5</w:t>
      </w:r>
      <w:r>
        <w:rPr>
          <w:color w:val="000000" w:themeColor="text1"/>
          <w:u w:val="single"/>
          <w14:textFill>
            <w14:solidFill>
              <w14:schemeClr w14:val="tx1"/>
            </w14:solidFill>
          </w14:textFill>
        </w:rPr>
        <w:t>-12</w:t>
      </w:r>
      <w:r>
        <w:rPr>
          <w:rFonts w:hint="eastAsia"/>
          <w:color w:val="000000" w:themeColor="text1"/>
          <w:u w:val="single"/>
          <w14:textFill>
            <w14:solidFill>
              <w14:schemeClr w14:val="tx1"/>
            </w14:solidFill>
          </w14:textFill>
        </w:rPr>
        <w:t>，运动趋势及扩散范围如图</w:t>
      </w:r>
      <w:r>
        <w:rPr>
          <w:rFonts w:hint="eastAsia"/>
          <w:color w:val="000000" w:themeColor="text1"/>
          <w:kern w:val="0"/>
          <w:u w:val="single"/>
          <w14:textFill>
            <w14:solidFill>
              <w14:schemeClr w14:val="tx1"/>
            </w14:solidFill>
          </w14:textFill>
        </w:rPr>
        <w:t>5.5.3</w:t>
      </w:r>
      <w:r>
        <w:rPr>
          <w:rFonts w:hint="eastAsia"/>
          <w:color w:val="000000" w:themeColor="text1"/>
          <w:u w:val="single"/>
          <w14:textFill>
            <w14:solidFill>
              <w14:schemeClr w14:val="tx1"/>
            </w14:solidFill>
          </w14:textFill>
        </w:rPr>
        <w:t>-</w:t>
      </w:r>
      <w:r>
        <w:rPr>
          <w:color w:val="000000" w:themeColor="text1"/>
          <w:u w:val="single"/>
          <w14:textFill>
            <w14:solidFill>
              <w14:schemeClr w14:val="tx1"/>
            </w14:solidFill>
          </w14:textFill>
        </w:rPr>
        <w:t>17~</w:t>
      </w:r>
      <w:r>
        <w:rPr>
          <w:rFonts w:hint="eastAsia"/>
          <w:color w:val="000000" w:themeColor="text1"/>
          <w:u w:val="single"/>
          <w14:textFill>
            <w14:solidFill>
              <w14:schemeClr w14:val="tx1"/>
            </w14:solidFill>
          </w14:textFill>
        </w:rPr>
        <w:t>图</w:t>
      </w:r>
      <w:r>
        <w:rPr>
          <w:rFonts w:hint="eastAsia"/>
          <w:color w:val="000000" w:themeColor="text1"/>
          <w:kern w:val="0"/>
          <w:u w:val="single"/>
          <w14:textFill>
            <w14:solidFill>
              <w14:schemeClr w14:val="tx1"/>
            </w14:solidFill>
          </w14:textFill>
        </w:rPr>
        <w:t>5.5.3</w:t>
      </w:r>
      <w:r>
        <w:rPr>
          <w:color w:val="000000" w:themeColor="text1"/>
          <w:u w:val="single"/>
          <w14:textFill>
            <w14:solidFill>
              <w14:schemeClr w14:val="tx1"/>
            </w14:solidFill>
          </w14:textFill>
        </w:rPr>
        <w:t>-18</w:t>
      </w:r>
      <w:r>
        <w:rPr>
          <w:rFonts w:hint="eastAsia"/>
          <w:color w:val="000000" w:themeColor="text1"/>
          <w:u w:val="single"/>
          <w14:textFill>
            <w14:solidFill>
              <w14:schemeClr w14:val="tx1"/>
            </w14:solidFill>
          </w14:textFill>
        </w:rPr>
        <w:t>所示</w:t>
      </w:r>
      <w:r>
        <w:rPr>
          <w:rFonts w:hAnsi="宋体"/>
          <w:color w:val="000000" w:themeColor="text1"/>
          <w:u w:val="single"/>
          <w14:textFill>
            <w14:solidFill>
              <w14:schemeClr w14:val="tx1"/>
            </w14:solidFill>
          </w14:textFill>
        </w:rPr>
        <w:t>。</w:t>
      </w:r>
    </w:p>
    <w:p w14:paraId="2E867E97">
      <w:pPr>
        <w:pStyle w:val="7"/>
        <w:rPr>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 冬</w:t>
      </w:r>
      <w:r>
        <w:rPr>
          <w:color w:val="000000" w:themeColor="text1"/>
          <w14:textFill>
            <w14:solidFill>
              <w14:schemeClr w14:val="tx1"/>
            </w14:solidFill>
          </w14:textFill>
        </w:rPr>
        <w:t>季主导风</w:t>
      </w:r>
      <w:r>
        <w:rPr>
          <w:rFonts w:hint="eastAsia"/>
          <w:color w:val="000000" w:themeColor="text1"/>
          <w14:textFill>
            <w14:solidFill>
              <w14:schemeClr w14:val="tx1"/>
            </w14:solidFill>
          </w14:textFill>
        </w:rPr>
        <w:t>S条件下涨潮时苯乙烯泄露扫海面积</w:t>
      </w:r>
    </w:p>
    <w:tbl>
      <w:tblPr>
        <w:tblStyle w:val="43"/>
        <w:tblW w:w="4905"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553"/>
        <w:gridCol w:w="1361"/>
        <w:gridCol w:w="1361"/>
        <w:gridCol w:w="1361"/>
        <w:gridCol w:w="1361"/>
        <w:gridCol w:w="1363"/>
      </w:tblGrid>
      <w:tr w14:paraId="02B3FF7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40" w:hRule="atLeast"/>
          <w:jc w:val="center"/>
        </w:trPr>
        <w:tc>
          <w:tcPr>
            <w:tcW w:w="929" w:type="pct"/>
            <w:vMerge w:val="restart"/>
            <w:tcMar>
              <w:top w:w="57" w:type="dxa"/>
              <w:bottom w:w="57" w:type="dxa"/>
            </w:tcMar>
            <w:vAlign w:val="center"/>
          </w:tcPr>
          <w:p w14:paraId="0CBC32F2">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项目</w:t>
            </w:r>
          </w:p>
        </w:tc>
        <w:tc>
          <w:tcPr>
            <w:tcW w:w="4071" w:type="pct"/>
            <w:gridSpan w:val="5"/>
            <w:tcMar>
              <w:top w:w="57" w:type="dxa"/>
              <w:bottom w:w="57" w:type="dxa"/>
            </w:tcMar>
            <w:vAlign w:val="center"/>
          </w:tcPr>
          <w:p w14:paraId="5C142C4A">
            <w:pPr>
              <w:spacing w:line="240" w:lineRule="atLeast"/>
              <w:ind w:firstLine="0" w:firstLineChars="0"/>
              <w:jc w:val="center"/>
              <w:rPr>
                <w:b/>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泄漏发生经历时间（小时）</w:t>
            </w:r>
          </w:p>
        </w:tc>
      </w:tr>
      <w:tr w14:paraId="381323C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5" w:hRule="atLeast"/>
          <w:jc w:val="center"/>
        </w:trPr>
        <w:tc>
          <w:tcPr>
            <w:tcW w:w="929" w:type="pct"/>
            <w:vMerge w:val="continue"/>
            <w:tcMar>
              <w:top w:w="57" w:type="dxa"/>
              <w:bottom w:w="57" w:type="dxa"/>
            </w:tcMar>
            <w:vAlign w:val="center"/>
          </w:tcPr>
          <w:p w14:paraId="789BC420">
            <w:pPr>
              <w:spacing w:line="240" w:lineRule="atLeast"/>
              <w:ind w:firstLine="0" w:firstLineChars="0"/>
              <w:jc w:val="center"/>
              <w:rPr>
                <w:b/>
                <w:color w:val="000000" w:themeColor="text1"/>
                <w:sz w:val="21"/>
                <w:szCs w:val="21"/>
                <w14:textFill>
                  <w14:solidFill>
                    <w14:schemeClr w14:val="tx1"/>
                  </w14:solidFill>
                </w14:textFill>
              </w:rPr>
            </w:pPr>
          </w:p>
        </w:tc>
        <w:tc>
          <w:tcPr>
            <w:tcW w:w="814" w:type="pct"/>
            <w:tcMar>
              <w:top w:w="57" w:type="dxa"/>
              <w:bottom w:w="57" w:type="dxa"/>
            </w:tcMar>
            <w:vAlign w:val="center"/>
          </w:tcPr>
          <w:p w14:paraId="5BC4E0F8">
            <w:pPr>
              <w:spacing w:line="240" w:lineRule="atLeast"/>
              <w:ind w:firstLine="0" w:firstLineChars="0"/>
              <w:jc w:val="center"/>
              <w:rPr>
                <w:b/>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1</w:t>
            </w:r>
          </w:p>
        </w:tc>
        <w:tc>
          <w:tcPr>
            <w:tcW w:w="814" w:type="pct"/>
            <w:tcMar>
              <w:top w:w="57" w:type="dxa"/>
              <w:bottom w:w="57" w:type="dxa"/>
            </w:tcMar>
            <w:vAlign w:val="center"/>
          </w:tcPr>
          <w:p w14:paraId="0FF25ADE">
            <w:pPr>
              <w:spacing w:line="240" w:lineRule="atLeast"/>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3</w:t>
            </w:r>
          </w:p>
        </w:tc>
        <w:tc>
          <w:tcPr>
            <w:tcW w:w="814" w:type="pct"/>
            <w:tcMar>
              <w:top w:w="57" w:type="dxa"/>
              <w:bottom w:w="57" w:type="dxa"/>
            </w:tcMar>
            <w:vAlign w:val="center"/>
          </w:tcPr>
          <w:p w14:paraId="56522ABC">
            <w:pPr>
              <w:spacing w:line="240" w:lineRule="atLeast"/>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6</w:t>
            </w:r>
          </w:p>
        </w:tc>
        <w:tc>
          <w:tcPr>
            <w:tcW w:w="814" w:type="pct"/>
            <w:vAlign w:val="center"/>
          </w:tcPr>
          <w:p w14:paraId="1AA19929">
            <w:pPr>
              <w:spacing w:line="240" w:lineRule="atLeast"/>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10（登陆）</w:t>
            </w:r>
          </w:p>
        </w:tc>
        <w:tc>
          <w:tcPr>
            <w:tcW w:w="815" w:type="pct"/>
            <w:vAlign w:val="center"/>
          </w:tcPr>
          <w:p w14:paraId="77B45301">
            <w:pPr>
              <w:spacing w:line="240" w:lineRule="atLeast"/>
              <w:ind w:firstLine="0" w:firstLineChars="0"/>
              <w:jc w:val="center"/>
              <w:rPr>
                <w:b/>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72</w:t>
            </w:r>
          </w:p>
        </w:tc>
      </w:tr>
      <w:tr w14:paraId="7B0CC20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929" w:type="pct"/>
            <w:tcMar>
              <w:top w:w="57" w:type="dxa"/>
              <w:bottom w:w="57" w:type="dxa"/>
            </w:tcMar>
            <w:vAlign w:val="center"/>
          </w:tcPr>
          <w:p w14:paraId="372F5EA3">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扫海面积（km</w:t>
            </w:r>
            <w:r>
              <w:rPr>
                <w:rFonts w:hint="eastAsia"/>
                <w:color w:val="000000" w:themeColor="text1"/>
                <w:sz w:val="21"/>
                <w:szCs w:val="21"/>
                <w:vertAlign w:val="superscript"/>
                <w14:textFill>
                  <w14:solidFill>
                    <w14:schemeClr w14:val="tx1"/>
                  </w14:solidFill>
                </w14:textFill>
              </w:rPr>
              <w:t>2</w:t>
            </w:r>
            <w:r>
              <w:rPr>
                <w:rFonts w:hint="eastAsia"/>
                <w:color w:val="000000" w:themeColor="text1"/>
                <w:sz w:val="21"/>
                <w:szCs w:val="21"/>
                <w14:textFill>
                  <w14:solidFill>
                    <w14:schemeClr w14:val="tx1"/>
                  </w14:solidFill>
                </w14:textFill>
              </w:rPr>
              <w:t>）</w:t>
            </w:r>
          </w:p>
        </w:tc>
        <w:tc>
          <w:tcPr>
            <w:tcW w:w="814" w:type="pct"/>
            <w:tcMar>
              <w:top w:w="57" w:type="dxa"/>
              <w:bottom w:w="57" w:type="dxa"/>
            </w:tcMar>
            <w:vAlign w:val="center"/>
          </w:tcPr>
          <w:p w14:paraId="457FAA77">
            <w:pPr>
              <w:widowControl/>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0.1</w:t>
            </w:r>
            <w:r>
              <w:rPr>
                <w:color w:val="000000" w:themeColor="text1"/>
                <w:sz w:val="21"/>
                <w:szCs w:val="21"/>
                <w14:textFill>
                  <w14:solidFill>
                    <w14:schemeClr w14:val="tx1"/>
                  </w14:solidFill>
                </w14:textFill>
              </w:rPr>
              <w:t>50</w:t>
            </w:r>
          </w:p>
        </w:tc>
        <w:tc>
          <w:tcPr>
            <w:tcW w:w="814" w:type="pct"/>
            <w:tcMar>
              <w:top w:w="57" w:type="dxa"/>
              <w:bottom w:w="57" w:type="dxa"/>
            </w:tcMar>
            <w:vAlign w:val="center"/>
          </w:tcPr>
          <w:p w14:paraId="64FFF338">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r>
              <w:rPr>
                <w:color w:val="000000" w:themeColor="text1"/>
                <w:sz w:val="21"/>
                <w:szCs w:val="21"/>
                <w14:textFill>
                  <w14:solidFill>
                    <w14:schemeClr w14:val="tx1"/>
                  </w14:solidFill>
                </w14:textFill>
              </w:rPr>
              <w:t>695</w:t>
            </w:r>
          </w:p>
        </w:tc>
        <w:tc>
          <w:tcPr>
            <w:tcW w:w="814" w:type="pct"/>
            <w:tcMar>
              <w:top w:w="57" w:type="dxa"/>
              <w:bottom w:w="57" w:type="dxa"/>
            </w:tcMar>
            <w:vAlign w:val="center"/>
          </w:tcPr>
          <w:p w14:paraId="52CB7504">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w:t>
            </w:r>
            <w:r>
              <w:rPr>
                <w:color w:val="000000" w:themeColor="text1"/>
                <w:sz w:val="21"/>
                <w:szCs w:val="21"/>
                <w14:textFill>
                  <w14:solidFill>
                    <w14:schemeClr w14:val="tx1"/>
                  </w14:solidFill>
                </w14:textFill>
              </w:rPr>
              <w:t>707</w:t>
            </w:r>
          </w:p>
        </w:tc>
        <w:tc>
          <w:tcPr>
            <w:tcW w:w="814" w:type="pct"/>
            <w:vAlign w:val="center"/>
          </w:tcPr>
          <w:p w14:paraId="746DF190">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4.</w:t>
            </w:r>
            <w:r>
              <w:rPr>
                <w:color w:val="000000" w:themeColor="text1"/>
                <w:sz w:val="21"/>
                <w:szCs w:val="21"/>
                <w14:textFill>
                  <w14:solidFill>
                    <w14:schemeClr w14:val="tx1"/>
                  </w14:solidFill>
                </w14:textFill>
              </w:rPr>
              <w:t>665</w:t>
            </w:r>
          </w:p>
        </w:tc>
        <w:tc>
          <w:tcPr>
            <w:tcW w:w="815" w:type="pct"/>
            <w:vAlign w:val="center"/>
          </w:tcPr>
          <w:p w14:paraId="32BBD848">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4.674</w:t>
            </w:r>
          </w:p>
        </w:tc>
      </w:tr>
      <w:tr w14:paraId="411083A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929" w:type="pct"/>
            <w:tcMar>
              <w:top w:w="57" w:type="dxa"/>
              <w:bottom w:w="57" w:type="dxa"/>
            </w:tcMar>
            <w:vAlign w:val="center"/>
          </w:tcPr>
          <w:p w14:paraId="47B4F8B5">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残余苯乙烯平均厚度（m</w:t>
            </w:r>
            <w:r>
              <w:rPr>
                <w:color w:val="000000" w:themeColor="text1"/>
                <w:sz w:val="21"/>
                <w:szCs w:val="21"/>
                <w14:textFill>
                  <w14:solidFill>
                    <w14:schemeClr w14:val="tx1"/>
                  </w14:solidFill>
                </w14:textFill>
              </w:rPr>
              <w:t>m</w:t>
            </w:r>
            <w:r>
              <w:rPr>
                <w:rFonts w:hint="eastAsia"/>
                <w:color w:val="000000" w:themeColor="text1"/>
                <w:sz w:val="21"/>
                <w:szCs w:val="21"/>
                <w14:textFill>
                  <w14:solidFill>
                    <w14:schemeClr w14:val="tx1"/>
                  </w14:solidFill>
                </w14:textFill>
              </w:rPr>
              <w:t>）</w:t>
            </w:r>
          </w:p>
        </w:tc>
        <w:tc>
          <w:tcPr>
            <w:tcW w:w="814" w:type="pct"/>
            <w:tcMar>
              <w:top w:w="57" w:type="dxa"/>
              <w:bottom w:w="57" w:type="dxa"/>
            </w:tcMar>
            <w:vAlign w:val="center"/>
          </w:tcPr>
          <w:p w14:paraId="0E126FB3">
            <w:pPr>
              <w:widowControl/>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5</w:t>
            </w:r>
            <w:r>
              <w:rPr>
                <w:color w:val="000000" w:themeColor="text1"/>
                <w:sz w:val="21"/>
                <w:szCs w:val="21"/>
                <w14:textFill>
                  <w14:solidFill>
                    <w14:schemeClr w14:val="tx1"/>
                  </w14:solidFill>
                </w14:textFill>
              </w:rPr>
              <w:t>622.13</w:t>
            </w:r>
          </w:p>
        </w:tc>
        <w:tc>
          <w:tcPr>
            <w:tcW w:w="814" w:type="pct"/>
            <w:tcMar>
              <w:top w:w="57" w:type="dxa"/>
              <w:bottom w:w="57" w:type="dxa"/>
            </w:tcMar>
            <w:vAlign w:val="center"/>
          </w:tcPr>
          <w:p w14:paraId="5D4B81A6">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w:t>
            </w:r>
            <w:r>
              <w:rPr>
                <w:color w:val="000000" w:themeColor="text1"/>
                <w:sz w:val="21"/>
                <w:szCs w:val="21"/>
                <w14:textFill>
                  <w14:solidFill>
                    <w14:schemeClr w14:val="tx1"/>
                  </w14:solidFill>
                </w14:textFill>
              </w:rPr>
              <w:t>579.91</w:t>
            </w:r>
          </w:p>
        </w:tc>
        <w:tc>
          <w:tcPr>
            <w:tcW w:w="814" w:type="pct"/>
            <w:tcMar>
              <w:top w:w="57" w:type="dxa"/>
              <w:bottom w:w="57" w:type="dxa"/>
            </w:tcMar>
            <w:vAlign w:val="center"/>
          </w:tcPr>
          <w:p w14:paraId="5E75381A">
            <w:pPr>
              <w:widowControl/>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1382.83</w:t>
            </w:r>
          </w:p>
        </w:tc>
        <w:tc>
          <w:tcPr>
            <w:tcW w:w="814" w:type="pct"/>
            <w:vAlign w:val="center"/>
          </w:tcPr>
          <w:p w14:paraId="364463DD">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99.89</w:t>
            </w:r>
          </w:p>
        </w:tc>
        <w:tc>
          <w:tcPr>
            <w:tcW w:w="815" w:type="pct"/>
            <w:vAlign w:val="center"/>
          </w:tcPr>
          <w:p w14:paraId="3E0C3181">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99.73</w:t>
            </w:r>
          </w:p>
        </w:tc>
      </w:tr>
    </w:tbl>
    <w:p w14:paraId="5B1CAAAC">
      <w:pPr>
        <w:widowControl/>
        <w:ind w:firstLine="480"/>
        <w:jc w:val="center"/>
        <w:rPr>
          <w:rFonts w:ascii="宋体" w:hAnsi="宋体" w:cs="宋体"/>
          <w:color w:val="000000" w:themeColor="text1"/>
          <w:kern w:val="0"/>
          <w14:textFill>
            <w14:solidFill>
              <w14:schemeClr w14:val="tx1"/>
            </w14:solidFill>
          </w14:textFill>
        </w:rPr>
      </w:pPr>
    </w:p>
    <w:p w14:paraId="39879500">
      <w:pPr>
        <w:ind w:firstLine="482"/>
        <w:jc w:val="center"/>
        <w:rPr>
          <w:rFonts w:ascii="宋体" w:hAnsi="宋体"/>
          <w:b/>
          <w:color w:val="000000" w:themeColor="text1"/>
          <w14:textFill>
            <w14:solidFill>
              <w14:schemeClr w14:val="tx1"/>
            </w14:solidFill>
          </w14:textFill>
        </w:rPr>
      </w:pPr>
      <w:r>
        <w:rPr>
          <w:rFonts w:ascii="宋体" w:hAnsi="宋体"/>
          <w:b/>
          <w:color w:val="000000" w:themeColor="text1"/>
          <w14:textFill>
            <w14:solidFill>
              <w14:schemeClr w14:val="tx1"/>
            </w14:solidFill>
          </w14:textFill>
        </w:rPr>
        <w:drawing>
          <wp:inline distT="0" distB="0" distL="0" distR="0">
            <wp:extent cx="3018790" cy="3959860"/>
            <wp:effectExtent l="0" t="0" r="0" b="0"/>
            <wp:docPr id="257" name="图片 257" descr="G:\project\2022\jingujiang14-15#\yiyou\zhangs251128苯乙烯.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257" descr="G:\project\2022\jingujiang14-15#\yiyou\zhangs251128苯乙烯.jpg"/>
                    <pic:cNvPicPr>
                      <a:picLocks noChangeAspect="1" noChangeArrowheads="1"/>
                    </pic:cNvPicPr>
                  </pic:nvPicPr>
                  <pic:blipFill>
                    <a:blip r:embed="rId248" cstate="print">
                      <a:extLst>
                        <a:ext uri="{28A0092B-C50C-407E-A947-70E740481C1C}">
                          <a14:useLocalDpi xmlns:a14="http://schemas.microsoft.com/office/drawing/2010/main" val="0"/>
                        </a:ext>
                      </a:extLst>
                    </a:blip>
                    <a:srcRect l="328" t="1231" r="3000" b="11980"/>
                    <a:stretch>
                      <a:fillRect/>
                    </a:stretch>
                  </pic:blipFill>
                  <pic:spPr>
                    <a:xfrm>
                      <a:off x="0" y="0"/>
                      <a:ext cx="3019188" cy="3960000"/>
                    </a:xfrm>
                    <a:prstGeom prst="rect">
                      <a:avLst/>
                    </a:prstGeom>
                    <a:noFill/>
                    <a:ln>
                      <a:noFill/>
                    </a:ln>
                  </pic:spPr>
                </pic:pic>
              </a:graphicData>
            </a:graphic>
          </wp:inline>
        </w:drawing>
      </w:r>
    </w:p>
    <w:p w14:paraId="008FA480">
      <w:pPr>
        <w:ind w:firstLine="482"/>
        <w:jc w:val="center"/>
        <w:rPr>
          <w:rFonts w:ascii="宋体" w:hAnsi="宋体"/>
          <w:b/>
          <w:color w:val="000000" w:themeColor="text1"/>
          <w14:textFill>
            <w14:solidFill>
              <w14:schemeClr w14:val="tx1"/>
            </w14:solidFill>
          </w14:textFill>
        </w:rPr>
      </w:pPr>
      <w:r>
        <w:rPr>
          <w:rFonts w:hint="eastAsia"/>
          <w:b/>
          <w:color w:val="000000" w:themeColor="text1"/>
          <w14:textFill>
            <w14:solidFill>
              <w14:schemeClr w14:val="tx1"/>
            </w14:solidFill>
          </w14:textFill>
        </w:rPr>
        <w:t>图</w:t>
      </w:r>
      <w:r>
        <w:rPr>
          <w:rFonts w:hint="eastAsia"/>
          <w:color w:val="000000" w:themeColor="text1"/>
          <w:kern w:val="0"/>
          <w14:textFill>
            <w14:solidFill>
              <w14:schemeClr w14:val="tx1"/>
            </w14:solidFill>
          </w14:textFill>
        </w:rPr>
        <w:t>5.5.3</w:t>
      </w:r>
      <w:r>
        <w:rPr>
          <w:b/>
          <w:color w:val="000000" w:themeColor="text1"/>
          <w14:textFill>
            <w14:solidFill>
              <w14:schemeClr w14:val="tx1"/>
            </w14:solidFill>
          </w14:textFill>
        </w:rPr>
        <w:t>-17</w:t>
      </w:r>
      <w:r>
        <w:rPr>
          <w:rFonts w:hint="eastAsia"/>
          <w:b/>
          <w:color w:val="000000" w:themeColor="text1"/>
          <w14:textFill>
            <w14:solidFill>
              <w14:schemeClr w14:val="tx1"/>
            </w14:solidFill>
          </w14:textFill>
        </w:rPr>
        <w:t xml:space="preserve"> 夏</w:t>
      </w:r>
      <w:r>
        <w:rPr>
          <w:b/>
          <w:color w:val="000000" w:themeColor="text1"/>
          <w14:textFill>
            <w14:solidFill>
              <w14:schemeClr w14:val="tx1"/>
            </w14:solidFill>
          </w14:textFill>
        </w:rPr>
        <w:t>季主导风</w:t>
      </w:r>
      <w:r>
        <w:rPr>
          <w:rFonts w:hint="eastAsia"/>
          <w:b/>
          <w:color w:val="000000" w:themeColor="text1"/>
          <w14:textFill>
            <w14:solidFill>
              <w14:schemeClr w14:val="tx1"/>
            </w14:solidFill>
          </w14:textFill>
        </w:rPr>
        <w:t>S下涨潮时苯乙烯</w:t>
      </w:r>
      <w:r>
        <w:rPr>
          <w:rFonts w:hint="eastAsia"/>
          <w:b/>
          <w:color w:val="000000" w:themeColor="text1"/>
          <w:lang w:eastAsia="zh-CN"/>
          <w14:textFill>
            <w14:solidFill>
              <w14:schemeClr w14:val="tx1"/>
            </w14:solidFill>
          </w14:textFill>
        </w:rPr>
        <w:t>泄漏</w:t>
      </w:r>
      <w:r>
        <w:rPr>
          <w:rFonts w:hint="eastAsia"/>
          <w:b/>
          <w:color w:val="000000" w:themeColor="text1"/>
          <w14:textFill>
            <w14:solidFill>
              <w14:schemeClr w14:val="tx1"/>
            </w14:solidFill>
          </w14:textFill>
        </w:rPr>
        <w:t>影响范围示意</w:t>
      </w:r>
    </w:p>
    <w:p w14:paraId="1B2ADA66">
      <w:pPr>
        <w:ind w:firstLine="480"/>
        <w:jc w:val="center"/>
        <w:rPr>
          <w:rFonts w:ascii="宋体" w:hAnsi="宋体"/>
          <w:b/>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3025140" cy="3959860"/>
            <wp:effectExtent l="0" t="0" r="0" b="0"/>
            <wp:docPr id="258" name="图片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258"/>
                    <pic:cNvPicPr>
                      <a:picLocks noChangeAspect="1"/>
                    </pic:cNvPicPr>
                  </pic:nvPicPr>
                  <pic:blipFill>
                    <a:blip r:embed="rId249"/>
                    <a:stretch>
                      <a:fillRect/>
                    </a:stretch>
                  </pic:blipFill>
                  <pic:spPr>
                    <a:xfrm>
                      <a:off x="0" y="0"/>
                      <a:ext cx="3025364" cy="3960000"/>
                    </a:xfrm>
                    <a:prstGeom prst="rect">
                      <a:avLst/>
                    </a:prstGeom>
                  </pic:spPr>
                </pic:pic>
              </a:graphicData>
            </a:graphic>
          </wp:inline>
        </w:drawing>
      </w:r>
    </w:p>
    <w:p w14:paraId="148E6E73">
      <w:pPr>
        <w:ind w:firstLine="482"/>
        <w:jc w:val="center"/>
        <w:rPr>
          <w:rFonts w:ascii="宋体" w:hAnsi="宋体"/>
          <w:b/>
          <w:color w:val="000000" w:themeColor="text1"/>
          <w14:textFill>
            <w14:solidFill>
              <w14:schemeClr w14:val="tx1"/>
            </w14:solidFill>
          </w14:textFill>
        </w:rPr>
      </w:pPr>
      <w:r>
        <w:rPr>
          <w:rFonts w:hint="eastAsia" w:ascii="宋体" w:hAnsi="宋体"/>
          <w:b/>
          <w:color w:val="000000" w:themeColor="text1"/>
          <w14:textFill>
            <w14:solidFill>
              <w14:schemeClr w14:val="tx1"/>
            </w14:solidFill>
          </w14:textFill>
        </w:rPr>
        <w:t>图</w:t>
      </w:r>
      <w:r>
        <w:rPr>
          <w:rFonts w:hint="eastAsia"/>
          <w:color w:val="000000" w:themeColor="text1"/>
          <w:kern w:val="0"/>
          <w14:textFill>
            <w14:solidFill>
              <w14:schemeClr w14:val="tx1"/>
            </w14:solidFill>
          </w14:textFill>
        </w:rPr>
        <w:t>5.5.3</w:t>
      </w:r>
      <w:r>
        <w:rPr>
          <w:rFonts w:ascii="宋体" w:hAnsi="宋体"/>
          <w:b/>
          <w:color w:val="000000" w:themeColor="text1"/>
          <w14:textFill>
            <w14:solidFill>
              <w14:schemeClr w14:val="tx1"/>
            </w14:solidFill>
          </w14:textFill>
        </w:rPr>
        <w:t>-18</w:t>
      </w:r>
      <w:r>
        <w:rPr>
          <w:rFonts w:hint="eastAsia" w:ascii="宋体" w:hAnsi="宋体"/>
          <w:b/>
          <w:color w:val="000000" w:themeColor="text1"/>
          <w14:textFill>
            <w14:solidFill>
              <w14:schemeClr w14:val="tx1"/>
            </w14:solidFill>
          </w14:textFill>
        </w:rPr>
        <w:t xml:space="preserve"> 夏季主导风S条件下涨潮时苯乙烯</w:t>
      </w:r>
      <w:r>
        <w:rPr>
          <w:rFonts w:hint="eastAsia" w:ascii="宋体" w:hAnsi="宋体"/>
          <w:b/>
          <w:color w:val="000000" w:themeColor="text1"/>
          <w:lang w:eastAsia="zh-CN"/>
          <w14:textFill>
            <w14:solidFill>
              <w14:schemeClr w14:val="tx1"/>
            </w14:solidFill>
          </w14:textFill>
        </w:rPr>
        <w:t>泄漏</w:t>
      </w:r>
      <w:r>
        <w:rPr>
          <w:rFonts w:hint="eastAsia" w:ascii="宋体" w:hAnsi="宋体"/>
          <w:b/>
          <w:color w:val="000000" w:themeColor="text1"/>
          <w14:textFill>
            <w14:solidFill>
              <w14:schemeClr w14:val="tx1"/>
            </w14:solidFill>
          </w14:textFill>
        </w:rPr>
        <w:t>的运动轨迹</w:t>
      </w:r>
    </w:p>
    <w:p w14:paraId="1E890775">
      <w:pPr>
        <w:ind w:firstLine="480"/>
        <w:rPr>
          <w:rFonts w:hAnsi="宋体"/>
          <w:color w:val="000000" w:themeColor="text1"/>
          <w14:textFill>
            <w14:solidFill>
              <w14:schemeClr w14:val="tx1"/>
            </w14:solidFill>
          </w14:textFill>
        </w:rPr>
      </w:pPr>
      <w:r>
        <w:rPr>
          <w:rFonts w:hAnsi="宋体"/>
          <w:color w:val="000000" w:themeColor="text1"/>
          <w14:textFill>
            <w14:solidFill>
              <w14:schemeClr w14:val="tx1"/>
            </w14:solidFill>
          </w14:textFill>
        </w:rPr>
        <w:t>（</w:t>
      </w:r>
      <w:r>
        <w:rPr>
          <w:rFonts w:hint="eastAsia"/>
          <w:color w:val="000000" w:themeColor="text1"/>
          <w14:textFill>
            <w14:solidFill>
              <w14:schemeClr w14:val="tx1"/>
            </w14:solidFill>
          </w14:textFill>
        </w:rPr>
        <w:t>4</w:t>
      </w:r>
      <w:r>
        <w:rPr>
          <w:rFonts w:hAnsi="宋体"/>
          <w:color w:val="000000" w:themeColor="text1"/>
          <w14:textFill>
            <w14:solidFill>
              <w14:schemeClr w14:val="tx1"/>
            </w14:solidFill>
          </w14:textFill>
        </w:rPr>
        <w:t>）</w:t>
      </w:r>
      <w:r>
        <w:rPr>
          <w:rFonts w:hint="eastAsia"/>
          <w:color w:val="000000" w:themeColor="text1"/>
          <w14:textFill>
            <w14:solidFill>
              <w14:schemeClr w14:val="tx1"/>
            </w14:solidFill>
          </w14:textFill>
        </w:rPr>
        <w:t>夏</w:t>
      </w:r>
      <w:r>
        <w:rPr>
          <w:color w:val="000000" w:themeColor="text1"/>
          <w14:textFill>
            <w14:solidFill>
              <w14:schemeClr w14:val="tx1"/>
            </w14:solidFill>
          </w14:textFill>
        </w:rPr>
        <w:t>季主导风</w:t>
      </w:r>
      <w:r>
        <w:rPr>
          <w:rFonts w:hint="eastAsia"/>
          <w:color w:val="000000" w:themeColor="text1"/>
          <w14:textFill>
            <w14:solidFill>
              <w14:schemeClr w14:val="tx1"/>
            </w14:solidFill>
          </w14:textFill>
        </w:rPr>
        <w:t>S</w:t>
      </w:r>
      <w:r>
        <w:rPr>
          <w:rFonts w:hint="eastAsia" w:hAnsi="宋体"/>
          <w:color w:val="000000" w:themeColor="text1"/>
          <w14:textFill>
            <w14:solidFill>
              <w14:schemeClr w14:val="tx1"/>
            </w14:solidFill>
          </w14:textFill>
        </w:rPr>
        <w:t>，</w:t>
      </w:r>
      <w:r>
        <w:rPr>
          <w:rFonts w:hAnsi="宋体"/>
          <w:color w:val="000000" w:themeColor="text1"/>
          <w14:textFill>
            <w14:solidFill>
              <w14:schemeClr w14:val="tx1"/>
            </w14:solidFill>
          </w14:textFill>
        </w:rPr>
        <w:t>大潮</w:t>
      </w:r>
      <w:r>
        <w:rPr>
          <w:rFonts w:hint="eastAsia" w:hAnsi="宋体"/>
          <w:color w:val="000000" w:themeColor="text1"/>
          <w14:textFill>
            <w14:solidFill>
              <w14:schemeClr w14:val="tx1"/>
            </w14:solidFill>
          </w14:textFill>
        </w:rPr>
        <w:t>落潮</w:t>
      </w:r>
    </w:p>
    <w:p w14:paraId="028AEDE9">
      <w:pPr>
        <w:ind w:firstLine="480"/>
        <w:rPr>
          <w:color w:val="000000" w:themeColor="text1"/>
          <w14:textFill>
            <w14:solidFill>
              <w14:schemeClr w14:val="tx1"/>
            </w14:solidFill>
          </w14:textFill>
        </w:rPr>
      </w:pPr>
      <w:r>
        <w:rPr>
          <w:rFonts w:hint="eastAsia" w:hAnsi="宋体"/>
          <w:color w:val="000000" w:themeColor="text1"/>
          <w14:textFill>
            <w14:solidFill>
              <w14:schemeClr w14:val="tx1"/>
            </w14:solidFill>
          </w14:textFill>
        </w:rPr>
        <w:t>在5.1m/s的S风以及落潮流作用下，</w:t>
      </w:r>
      <w:r>
        <w:rPr>
          <w:rFonts w:hint="eastAsia"/>
          <w:color w:val="000000" w:themeColor="text1"/>
          <w14:textFill>
            <w14:solidFill>
              <w14:schemeClr w14:val="tx1"/>
            </w14:solidFill>
          </w14:textFill>
        </w:rPr>
        <w:t>当苯乙烯</w:t>
      </w:r>
      <w:r>
        <w:rPr>
          <w:rFonts w:hint="eastAsia"/>
          <w:color w:val="000000" w:themeColor="text1"/>
          <w:lang w:eastAsia="zh-CN"/>
          <w14:textFill>
            <w14:solidFill>
              <w14:schemeClr w14:val="tx1"/>
            </w14:solidFill>
          </w14:textFill>
        </w:rPr>
        <w:t>泄漏</w:t>
      </w:r>
      <w:r>
        <w:rPr>
          <w:rFonts w:hint="eastAsia"/>
          <w:color w:val="000000" w:themeColor="text1"/>
          <w14:textFill>
            <w14:solidFill>
              <w14:schemeClr w14:val="tx1"/>
            </w14:solidFill>
          </w14:textFill>
        </w:rPr>
        <w:t>发生1小时后苯乙烯逐渐向本项目西南方岸线靠近</w:t>
      </w:r>
      <w:r>
        <w:rPr>
          <w:rFonts w:hint="eastAsia" w:hAnsi="宋体"/>
          <w:color w:val="000000" w:themeColor="text1"/>
          <w14:textFill>
            <w14:solidFill>
              <w14:schemeClr w14:val="tx1"/>
            </w14:solidFill>
          </w14:textFill>
        </w:rPr>
        <w:t>，</w:t>
      </w:r>
      <w:r>
        <w:rPr>
          <w:rFonts w:hAnsi="宋体"/>
          <w:color w:val="000000" w:themeColor="text1"/>
          <w14:textFill>
            <w14:solidFill>
              <w14:schemeClr w14:val="tx1"/>
            </w14:solidFill>
          </w14:textFill>
        </w:rPr>
        <w:t>3</w:t>
      </w:r>
      <w:r>
        <w:rPr>
          <w:rFonts w:hint="eastAsia" w:hAnsi="宋体"/>
          <w:color w:val="000000" w:themeColor="text1"/>
          <w14:textFill>
            <w14:solidFill>
              <w14:schemeClr w14:val="tx1"/>
            </w14:solidFill>
          </w14:textFill>
        </w:rPr>
        <w:t>小时后苯乙烯物质受钦州燃煤电厂</w:t>
      </w:r>
      <w:r>
        <w:rPr>
          <w:rFonts w:hint="eastAsia"/>
          <w:color w:val="000000" w:themeColor="text1"/>
          <w14:textFill>
            <w14:solidFill>
              <w14:schemeClr w14:val="tx1"/>
            </w14:solidFill>
          </w14:textFill>
        </w:rPr>
        <w:t>东南部岸线阻挡及吸附而登陆，5小时后苯乙烯全部登陆。苯乙烯</w:t>
      </w:r>
      <w:r>
        <w:rPr>
          <w:rFonts w:hint="eastAsia"/>
          <w:color w:val="000000" w:themeColor="text1"/>
          <w:lang w:eastAsia="zh-CN"/>
          <w14:textFill>
            <w14:solidFill>
              <w14:schemeClr w14:val="tx1"/>
            </w14:solidFill>
          </w14:textFill>
        </w:rPr>
        <w:t>泄漏</w:t>
      </w:r>
      <w:r>
        <w:rPr>
          <w:rFonts w:hint="eastAsia"/>
          <w:color w:val="000000" w:themeColor="text1"/>
          <w14:textFill>
            <w14:solidFill>
              <w14:schemeClr w14:val="tx1"/>
            </w14:solidFill>
          </w14:textFill>
        </w:rPr>
        <w:t>发生</w:t>
      </w:r>
      <w:r>
        <w:rPr>
          <w:color w:val="000000" w:themeColor="text1"/>
          <w14:textFill>
            <w14:solidFill>
              <w14:schemeClr w14:val="tx1"/>
            </w14:solidFill>
          </w14:textFill>
        </w:rPr>
        <w:t>5</w:t>
      </w:r>
      <w:r>
        <w:rPr>
          <w:rFonts w:hint="eastAsia"/>
          <w:color w:val="000000" w:themeColor="text1"/>
          <w14:textFill>
            <w14:solidFill>
              <w14:schemeClr w14:val="tx1"/>
            </w14:solidFill>
          </w14:textFill>
        </w:rPr>
        <w:t>小时后的扫海面积为</w:t>
      </w:r>
      <w:r>
        <w:rPr>
          <w:color w:val="000000" w:themeColor="text1"/>
          <w14:textFill>
            <w14:solidFill>
              <w14:schemeClr w14:val="tx1"/>
            </w14:solidFill>
          </w14:textFill>
        </w:rPr>
        <w:t>1.773</w:t>
      </w:r>
      <w:r>
        <w:rPr>
          <w:rFonts w:hint="eastAsia"/>
          <w:color w:val="000000" w:themeColor="text1"/>
          <w14:textFill>
            <w14:solidFill>
              <w14:schemeClr w14:val="tx1"/>
            </w14:solidFill>
          </w14:textFill>
        </w:rPr>
        <w:t>km</w:t>
      </w:r>
      <w:r>
        <w:rPr>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，漂移轨迹及扫海范围见图</w:t>
      </w:r>
      <w:r>
        <w:rPr>
          <w:rFonts w:hint="eastAsia"/>
          <w:color w:val="000000" w:themeColor="text1"/>
          <w:kern w:val="0"/>
          <w14:textFill>
            <w14:solidFill>
              <w14:schemeClr w14:val="tx1"/>
            </w14:solidFill>
          </w14:textFill>
        </w:rPr>
        <w:t>5.5.3</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19~</w:t>
      </w:r>
      <w:r>
        <w:rPr>
          <w:rFonts w:hint="eastAsia"/>
          <w:color w:val="000000" w:themeColor="text1"/>
          <w14:textFill>
            <w14:solidFill>
              <w14:schemeClr w14:val="tx1"/>
            </w14:solidFill>
          </w14:textFill>
        </w:rPr>
        <w:t>图</w:t>
      </w:r>
      <w:r>
        <w:rPr>
          <w:rFonts w:hint="eastAsia"/>
          <w:color w:val="000000" w:themeColor="text1"/>
          <w:kern w:val="0"/>
          <w14:textFill>
            <w14:solidFill>
              <w14:schemeClr w14:val="tx1"/>
            </w14:solidFill>
          </w14:textFill>
        </w:rPr>
        <w:t>5.5.3</w:t>
      </w:r>
      <w:r>
        <w:rPr>
          <w:color w:val="000000" w:themeColor="text1"/>
          <w14:textFill>
            <w14:solidFill>
              <w14:schemeClr w14:val="tx1"/>
            </w14:solidFill>
          </w14:textFill>
        </w:rPr>
        <w:t>-20</w:t>
      </w:r>
      <w:r>
        <w:rPr>
          <w:rFonts w:hint="eastAsia"/>
          <w:color w:val="000000" w:themeColor="text1"/>
          <w14:textFill>
            <w14:solidFill>
              <w14:schemeClr w14:val="tx1"/>
            </w14:solidFill>
          </w14:textFill>
        </w:rPr>
        <w:t>。</w:t>
      </w:r>
    </w:p>
    <w:p w14:paraId="67BF65CC">
      <w:pPr>
        <w:widowControl/>
        <w:ind w:firstLine="480"/>
        <w:jc w:val="cente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3009265" cy="3959860"/>
            <wp:effectExtent l="0" t="0" r="0" b="0"/>
            <wp:docPr id="259" name="图片 259" descr="G:\project\2022\jingujiang14-15#\yiyou\luos251128苯乙烯.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259" descr="G:\project\2022\jingujiang14-15#\yiyou\luos251128苯乙烯.jpg"/>
                    <pic:cNvPicPr>
                      <a:picLocks noChangeAspect="1" noChangeArrowheads="1"/>
                    </pic:cNvPicPr>
                  </pic:nvPicPr>
                  <pic:blipFill>
                    <a:blip r:embed="rId250" cstate="print">
                      <a:extLst>
                        <a:ext uri="{28A0092B-C50C-407E-A947-70E740481C1C}">
                          <a14:useLocalDpi xmlns:a14="http://schemas.microsoft.com/office/drawing/2010/main" val="0"/>
                        </a:ext>
                      </a:extLst>
                    </a:blip>
                    <a:srcRect l="490" t="1119" r="3176" b="12113"/>
                    <a:stretch>
                      <a:fillRect/>
                    </a:stretch>
                  </pic:blipFill>
                  <pic:spPr>
                    <a:xfrm>
                      <a:off x="0" y="0"/>
                      <a:ext cx="3009310" cy="3960000"/>
                    </a:xfrm>
                    <a:prstGeom prst="rect">
                      <a:avLst/>
                    </a:prstGeom>
                    <a:noFill/>
                    <a:ln>
                      <a:noFill/>
                    </a:ln>
                  </pic:spPr>
                </pic:pic>
              </a:graphicData>
            </a:graphic>
          </wp:inline>
        </w:drawing>
      </w:r>
    </w:p>
    <w:p w14:paraId="5E07E21F">
      <w:pPr>
        <w:widowControl/>
        <w:ind w:firstLine="482"/>
        <w:jc w:val="center"/>
        <w:rPr>
          <w:color w:val="000000" w:themeColor="text1"/>
          <w14:textFill>
            <w14:solidFill>
              <w14:schemeClr w14:val="tx1"/>
            </w14:solidFill>
          </w14:textFill>
        </w:rPr>
      </w:pPr>
      <w:r>
        <w:rPr>
          <w:rFonts w:hint="eastAsia"/>
          <w:b/>
          <w:color w:val="000000" w:themeColor="text1"/>
          <w14:textFill>
            <w14:solidFill>
              <w14:schemeClr w14:val="tx1"/>
            </w14:solidFill>
          </w14:textFill>
        </w:rPr>
        <w:t>图</w:t>
      </w:r>
      <w:r>
        <w:rPr>
          <w:rFonts w:hint="eastAsia"/>
          <w:color w:val="000000" w:themeColor="text1"/>
          <w:kern w:val="0"/>
          <w14:textFill>
            <w14:solidFill>
              <w14:schemeClr w14:val="tx1"/>
            </w14:solidFill>
          </w14:textFill>
        </w:rPr>
        <w:t>5.5.3</w:t>
      </w:r>
      <w:r>
        <w:rPr>
          <w:b/>
          <w:color w:val="000000" w:themeColor="text1"/>
          <w14:textFill>
            <w14:solidFill>
              <w14:schemeClr w14:val="tx1"/>
            </w14:solidFill>
          </w14:textFill>
        </w:rPr>
        <w:t>-19</w:t>
      </w:r>
      <w:r>
        <w:rPr>
          <w:rFonts w:hint="eastAsia"/>
          <w:b/>
          <w:color w:val="000000" w:themeColor="text1"/>
          <w14:textFill>
            <w14:solidFill>
              <w14:schemeClr w14:val="tx1"/>
            </w14:solidFill>
          </w14:textFill>
        </w:rPr>
        <w:t xml:space="preserve"> 夏</w:t>
      </w:r>
      <w:r>
        <w:rPr>
          <w:b/>
          <w:color w:val="000000" w:themeColor="text1"/>
          <w14:textFill>
            <w14:solidFill>
              <w14:schemeClr w14:val="tx1"/>
            </w14:solidFill>
          </w14:textFill>
        </w:rPr>
        <w:t>季主导风</w:t>
      </w:r>
      <w:r>
        <w:rPr>
          <w:rFonts w:hint="eastAsia"/>
          <w:b/>
          <w:color w:val="000000" w:themeColor="text1"/>
          <w14:textFill>
            <w14:solidFill>
              <w14:schemeClr w14:val="tx1"/>
            </w14:solidFill>
          </w14:textFill>
        </w:rPr>
        <w:t>S下落潮时苯乙烯</w:t>
      </w:r>
      <w:r>
        <w:rPr>
          <w:rFonts w:hint="eastAsia"/>
          <w:b/>
          <w:color w:val="000000" w:themeColor="text1"/>
          <w:lang w:eastAsia="zh-CN"/>
          <w14:textFill>
            <w14:solidFill>
              <w14:schemeClr w14:val="tx1"/>
            </w14:solidFill>
          </w14:textFill>
        </w:rPr>
        <w:t>泄漏</w:t>
      </w:r>
      <w:r>
        <w:rPr>
          <w:rFonts w:hint="eastAsia"/>
          <w:b/>
          <w:color w:val="000000" w:themeColor="text1"/>
          <w14:textFill>
            <w14:solidFill>
              <w14:schemeClr w14:val="tx1"/>
            </w14:solidFill>
          </w14:textFill>
        </w:rPr>
        <w:t>影响范围示意</w:t>
      </w:r>
    </w:p>
    <w:p w14:paraId="1890D82F">
      <w:pPr>
        <w:widowControl/>
        <w:ind w:firstLine="480"/>
        <w:jc w:val="center"/>
        <w:rPr>
          <w:rFonts w:ascii="宋体" w:hAnsi="宋体" w:cs="宋体"/>
          <w:color w:val="000000" w:themeColor="text1"/>
          <w:kern w:val="0"/>
          <w14:textFill>
            <w14:solidFill>
              <w14:schemeClr w14:val="tx1"/>
            </w14:solidFill>
          </w14:textFill>
        </w:rPr>
      </w:pPr>
      <w:r>
        <w:rPr>
          <w:color w:val="000000" w:themeColor="text1"/>
          <w14:textFill>
            <w14:solidFill>
              <w14:schemeClr w14:val="tx1"/>
            </w14:solidFill>
          </w14:textFill>
        </w:rPr>
        <w:drawing>
          <wp:inline distT="0" distB="0" distL="0" distR="0">
            <wp:extent cx="3023870" cy="3959860"/>
            <wp:effectExtent l="0" t="0" r="0" b="0"/>
            <wp:docPr id="260" name="图片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260"/>
                    <pic:cNvPicPr>
                      <a:picLocks noChangeAspect="1"/>
                    </pic:cNvPicPr>
                  </pic:nvPicPr>
                  <pic:blipFill>
                    <a:blip r:embed="rId251"/>
                    <a:stretch>
                      <a:fillRect/>
                    </a:stretch>
                  </pic:blipFill>
                  <pic:spPr>
                    <a:xfrm>
                      <a:off x="0" y="0"/>
                      <a:ext cx="3023974" cy="3960000"/>
                    </a:xfrm>
                    <a:prstGeom prst="rect">
                      <a:avLst/>
                    </a:prstGeom>
                  </pic:spPr>
                </pic:pic>
              </a:graphicData>
            </a:graphic>
          </wp:inline>
        </w:drawing>
      </w:r>
    </w:p>
    <w:p w14:paraId="009B5EE7">
      <w:pPr>
        <w:ind w:firstLine="482"/>
        <w:jc w:val="center"/>
        <w:rPr>
          <w:rFonts w:ascii="宋体" w:hAnsi="宋体"/>
          <w:b/>
          <w:color w:val="000000" w:themeColor="text1"/>
          <w14:textFill>
            <w14:solidFill>
              <w14:schemeClr w14:val="tx1"/>
            </w14:solidFill>
          </w14:textFill>
        </w:rPr>
      </w:pPr>
      <w:r>
        <w:rPr>
          <w:rFonts w:hint="eastAsia" w:ascii="宋体" w:hAnsi="宋体"/>
          <w:b/>
          <w:color w:val="000000" w:themeColor="text1"/>
          <w14:textFill>
            <w14:solidFill>
              <w14:schemeClr w14:val="tx1"/>
            </w14:solidFill>
          </w14:textFill>
        </w:rPr>
        <w:t>图</w:t>
      </w:r>
      <w:r>
        <w:rPr>
          <w:rFonts w:hint="eastAsia"/>
          <w:color w:val="000000" w:themeColor="text1"/>
          <w:kern w:val="0"/>
          <w14:textFill>
            <w14:solidFill>
              <w14:schemeClr w14:val="tx1"/>
            </w14:solidFill>
          </w14:textFill>
        </w:rPr>
        <w:t>5.5.3</w:t>
      </w:r>
      <w:r>
        <w:rPr>
          <w:rFonts w:hint="eastAsia" w:ascii="宋体" w:hAnsi="宋体"/>
          <w:b/>
          <w:color w:val="000000" w:themeColor="text1"/>
          <w14:textFill>
            <w14:solidFill>
              <w14:schemeClr w14:val="tx1"/>
            </w14:solidFill>
          </w14:textFill>
        </w:rPr>
        <w:t>-</w:t>
      </w:r>
      <w:r>
        <w:rPr>
          <w:rFonts w:ascii="宋体" w:hAnsi="宋体"/>
          <w:b/>
          <w:color w:val="000000" w:themeColor="text1"/>
          <w14:textFill>
            <w14:solidFill>
              <w14:schemeClr w14:val="tx1"/>
            </w14:solidFill>
          </w14:textFill>
        </w:rPr>
        <w:t>20</w:t>
      </w:r>
      <w:r>
        <w:rPr>
          <w:rFonts w:hint="eastAsia" w:ascii="宋体" w:hAnsi="宋体"/>
          <w:b/>
          <w:color w:val="000000" w:themeColor="text1"/>
          <w14:textFill>
            <w14:solidFill>
              <w14:schemeClr w14:val="tx1"/>
            </w14:solidFill>
          </w14:textFill>
        </w:rPr>
        <w:t xml:space="preserve"> 夏季主导S条件下落潮时苯乙烯</w:t>
      </w:r>
      <w:r>
        <w:rPr>
          <w:rFonts w:hint="eastAsia" w:ascii="宋体" w:hAnsi="宋体"/>
          <w:b/>
          <w:color w:val="000000" w:themeColor="text1"/>
          <w:lang w:eastAsia="zh-CN"/>
          <w14:textFill>
            <w14:solidFill>
              <w14:schemeClr w14:val="tx1"/>
            </w14:solidFill>
          </w14:textFill>
        </w:rPr>
        <w:t>泄漏</w:t>
      </w:r>
      <w:r>
        <w:rPr>
          <w:rFonts w:hint="eastAsia" w:ascii="宋体" w:hAnsi="宋体"/>
          <w:b/>
          <w:color w:val="000000" w:themeColor="text1"/>
          <w14:textFill>
            <w14:solidFill>
              <w14:schemeClr w14:val="tx1"/>
            </w14:solidFill>
          </w14:textFill>
        </w:rPr>
        <w:t>的运动轨迹</w:t>
      </w:r>
    </w:p>
    <w:p w14:paraId="19B0D856">
      <w:pPr>
        <w:ind w:firstLine="480"/>
        <w:rPr>
          <w:rFonts w:hAnsi="宋体"/>
          <w:color w:val="000000" w:themeColor="text1"/>
          <w14:textFill>
            <w14:solidFill>
              <w14:schemeClr w14:val="tx1"/>
            </w14:solidFill>
          </w14:textFill>
        </w:rPr>
      </w:pPr>
      <w:r>
        <w:rPr>
          <w:rFonts w:hint="eastAsia" w:hAnsi="宋体"/>
          <w:color w:val="000000" w:themeColor="text1"/>
          <w14:textFill>
            <w14:solidFill>
              <w14:schemeClr w14:val="tx1"/>
            </w14:solidFill>
          </w14:textFill>
        </w:rPr>
        <w:t>（5）不利风向NE，大潮涨潮</w:t>
      </w:r>
    </w:p>
    <w:p w14:paraId="787B799C">
      <w:pPr>
        <w:ind w:firstLine="480"/>
        <w:rPr>
          <w:color w:val="000000" w:themeColor="text1"/>
          <w14:textFill>
            <w14:solidFill>
              <w14:schemeClr w14:val="tx1"/>
            </w14:solidFill>
          </w14:textFill>
        </w:rPr>
      </w:pPr>
      <w:r>
        <w:rPr>
          <w:rFonts w:hint="eastAsia"/>
          <w:color w:val="000000" w:themeColor="text1"/>
          <w:u w:val="single"/>
          <w14:textFill>
            <w14:solidFill>
              <w14:schemeClr w14:val="tx1"/>
            </w14:solidFill>
          </w14:textFill>
        </w:rPr>
        <w:t>大潮涨潮时，在NE</w:t>
      </w:r>
      <w:r>
        <w:rPr>
          <w:color w:val="000000" w:themeColor="text1"/>
          <w:u w:val="single"/>
          <w14:textFill>
            <w14:solidFill>
              <w14:schemeClr w14:val="tx1"/>
            </w14:solidFill>
          </w14:textFill>
        </w:rPr>
        <w:t>向风及涨潮流作用下</w:t>
      </w:r>
      <w:r>
        <w:rPr>
          <w:rFonts w:hint="eastAsia"/>
          <w:color w:val="000000" w:themeColor="text1"/>
          <w:u w:val="single"/>
          <w14:textFill>
            <w14:solidFill>
              <w14:schemeClr w14:val="tx1"/>
            </w14:solidFill>
          </w14:textFill>
        </w:rPr>
        <w:t>，苯乙烯</w:t>
      </w:r>
      <w:r>
        <w:rPr>
          <w:rFonts w:hint="eastAsia"/>
          <w:color w:val="000000" w:themeColor="text1"/>
          <w:u w:val="single"/>
          <w:lang w:eastAsia="zh-CN"/>
          <w14:textFill>
            <w14:solidFill>
              <w14:schemeClr w14:val="tx1"/>
            </w14:solidFill>
          </w14:textFill>
        </w:rPr>
        <w:t>泄漏</w:t>
      </w:r>
      <w:r>
        <w:rPr>
          <w:rFonts w:hint="eastAsia"/>
          <w:color w:val="000000" w:themeColor="text1"/>
          <w:u w:val="single"/>
          <w14:textFill>
            <w14:solidFill>
              <w14:schemeClr w14:val="tx1"/>
            </w14:solidFill>
          </w14:textFill>
        </w:rPr>
        <w:t>发生1小时后部分苯乙烯物质在本项目北侧临近岸线登陆，剩余苯乙烯继续沿金鼓江西侧向北运动，</w:t>
      </w:r>
      <w:r>
        <w:rPr>
          <w:color w:val="000000" w:themeColor="text1"/>
          <w:u w:val="single"/>
          <w14:textFill>
            <w14:solidFill>
              <w14:schemeClr w14:val="tx1"/>
            </w14:solidFill>
          </w14:textFill>
        </w:rPr>
        <w:t>3</w:t>
      </w:r>
      <w:r>
        <w:rPr>
          <w:rFonts w:hint="eastAsia"/>
          <w:color w:val="000000" w:themeColor="text1"/>
          <w:u w:val="single"/>
          <w14:textFill>
            <w14:solidFill>
              <w14:schemeClr w14:val="tx1"/>
            </w14:solidFill>
          </w14:textFill>
        </w:rPr>
        <w:t>小时后到达金鼓江大桥附近，6时左右到达金鼓江支流-望鸦江口，苯乙烯一支沿望鸦江北上8</w:t>
      </w:r>
      <w:r>
        <w:rPr>
          <w:color w:val="000000" w:themeColor="text1"/>
          <w:u w:val="single"/>
          <w14:textFill>
            <w14:solidFill>
              <w14:schemeClr w14:val="tx1"/>
            </w14:solidFill>
          </w14:textFill>
        </w:rPr>
        <w:t>-9</w:t>
      </w:r>
      <w:r>
        <w:rPr>
          <w:rFonts w:hint="eastAsia"/>
          <w:color w:val="000000" w:themeColor="text1"/>
          <w:u w:val="single"/>
          <w14:textFill>
            <w14:solidFill>
              <w14:schemeClr w14:val="tx1"/>
            </w14:solidFill>
          </w14:textFill>
        </w:rPr>
        <w:t>小时后受岸线阻挡吸附而完全登陆，另一支继续沿金鼓江主流北上逐渐扫过整个江面，1</w:t>
      </w:r>
      <w:r>
        <w:rPr>
          <w:color w:val="000000" w:themeColor="text1"/>
          <w:u w:val="single"/>
          <w14:textFill>
            <w14:solidFill>
              <w14:schemeClr w14:val="tx1"/>
            </w14:solidFill>
          </w14:textFill>
        </w:rPr>
        <w:t>0</w:t>
      </w:r>
      <w:r>
        <w:rPr>
          <w:rFonts w:hint="eastAsia"/>
          <w:color w:val="000000" w:themeColor="text1"/>
          <w:u w:val="single"/>
          <w14:textFill>
            <w14:solidFill>
              <w14:schemeClr w14:val="tx1"/>
            </w14:solidFill>
          </w14:textFill>
        </w:rPr>
        <w:t>时后受岸线阻挡而全部登陆。受岸线阻挡吸附及风、流顶托作用，此后油膜基本停止运动。苯乙烯</w:t>
      </w:r>
      <w:r>
        <w:rPr>
          <w:rFonts w:hint="eastAsia"/>
          <w:color w:val="000000" w:themeColor="text1"/>
          <w:u w:val="single"/>
          <w:lang w:eastAsia="zh-CN"/>
          <w14:textFill>
            <w14:solidFill>
              <w14:schemeClr w14:val="tx1"/>
            </w14:solidFill>
          </w14:textFill>
        </w:rPr>
        <w:t>泄漏</w:t>
      </w:r>
      <w:r>
        <w:rPr>
          <w:rFonts w:hint="eastAsia"/>
          <w:color w:val="000000" w:themeColor="text1"/>
          <w:u w:val="single"/>
          <w14:textFill>
            <w14:solidFill>
              <w14:schemeClr w14:val="tx1"/>
            </w14:solidFill>
          </w14:textFill>
        </w:rPr>
        <w:t>发生</w:t>
      </w:r>
      <w:r>
        <w:rPr>
          <w:color w:val="000000" w:themeColor="text1"/>
          <w:u w:val="single"/>
          <w14:textFill>
            <w14:solidFill>
              <w14:schemeClr w14:val="tx1"/>
            </w14:solidFill>
          </w14:textFill>
        </w:rPr>
        <w:t>72</w:t>
      </w:r>
      <w:r>
        <w:rPr>
          <w:rFonts w:hint="eastAsia"/>
          <w:color w:val="000000" w:themeColor="text1"/>
          <w:u w:val="single"/>
          <w14:textFill>
            <w14:solidFill>
              <w14:schemeClr w14:val="tx1"/>
            </w14:solidFill>
          </w14:textFill>
        </w:rPr>
        <w:t>小时内的扫海面积见表5.5-</w:t>
      </w:r>
      <w:r>
        <w:rPr>
          <w:color w:val="000000" w:themeColor="text1"/>
          <w:u w:val="single"/>
          <w14:textFill>
            <w14:solidFill>
              <w14:schemeClr w14:val="tx1"/>
            </w14:solidFill>
          </w14:textFill>
        </w:rPr>
        <w:t>13</w:t>
      </w:r>
      <w:r>
        <w:rPr>
          <w:rFonts w:hint="eastAsia"/>
          <w:color w:val="000000" w:themeColor="text1"/>
          <w:u w:val="single"/>
          <w14:textFill>
            <w14:solidFill>
              <w14:schemeClr w14:val="tx1"/>
            </w14:solidFill>
          </w14:textFill>
        </w:rPr>
        <w:t>，运动趋势及扩散范围如图</w:t>
      </w:r>
      <w:r>
        <w:rPr>
          <w:rFonts w:hint="eastAsia"/>
          <w:color w:val="000000" w:themeColor="text1"/>
          <w:kern w:val="0"/>
          <w:u w:val="single"/>
          <w14:textFill>
            <w14:solidFill>
              <w14:schemeClr w14:val="tx1"/>
            </w14:solidFill>
          </w14:textFill>
        </w:rPr>
        <w:t>5.5.3</w:t>
      </w:r>
      <w:r>
        <w:rPr>
          <w:rFonts w:hint="eastAsia"/>
          <w:color w:val="000000" w:themeColor="text1"/>
          <w:u w:val="single"/>
          <w14:textFill>
            <w14:solidFill>
              <w14:schemeClr w14:val="tx1"/>
            </w14:solidFill>
          </w14:textFill>
        </w:rPr>
        <w:t>-</w:t>
      </w:r>
      <w:r>
        <w:rPr>
          <w:color w:val="000000" w:themeColor="text1"/>
          <w:u w:val="single"/>
          <w14:textFill>
            <w14:solidFill>
              <w14:schemeClr w14:val="tx1"/>
            </w14:solidFill>
          </w14:textFill>
        </w:rPr>
        <w:t>21~</w:t>
      </w:r>
      <w:r>
        <w:rPr>
          <w:rFonts w:hint="eastAsia"/>
          <w:color w:val="000000" w:themeColor="text1"/>
          <w:u w:val="single"/>
          <w14:textFill>
            <w14:solidFill>
              <w14:schemeClr w14:val="tx1"/>
            </w14:solidFill>
          </w14:textFill>
        </w:rPr>
        <w:t>图</w:t>
      </w:r>
      <w:r>
        <w:rPr>
          <w:rFonts w:hint="eastAsia"/>
          <w:color w:val="000000" w:themeColor="text1"/>
          <w:kern w:val="0"/>
          <w:u w:val="single"/>
          <w14:textFill>
            <w14:solidFill>
              <w14:schemeClr w14:val="tx1"/>
            </w14:solidFill>
          </w14:textFill>
        </w:rPr>
        <w:t>5.5.3</w:t>
      </w:r>
      <w:r>
        <w:rPr>
          <w:color w:val="000000" w:themeColor="text1"/>
          <w:u w:val="single"/>
          <w14:textFill>
            <w14:solidFill>
              <w14:schemeClr w14:val="tx1"/>
            </w14:solidFill>
          </w14:textFill>
        </w:rPr>
        <w:t>-22</w:t>
      </w:r>
      <w:r>
        <w:rPr>
          <w:rFonts w:hint="eastAsia"/>
          <w:color w:val="000000" w:themeColor="text1"/>
          <w:u w:val="single"/>
          <w14:textFill>
            <w14:solidFill>
              <w14:schemeClr w14:val="tx1"/>
            </w14:solidFill>
          </w14:textFill>
        </w:rPr>
        <w:t>所示</w:t>
      </w:r>
      <w:r>
        <w:rPr>
          <w:rFonts w:hint="eastAsia"/>
          <w:color w:val="000000" w:themeColor="text1"/>
          <w14:textFill>
            <w14:solidFill>
              <w14:schemeClr w14:val="tx1"/>
            </w14:solidFill>
          </w14:textFill>
        </w:rPr>
        <w:t>。</w:t>
      </w:r>
    </w:p>
    <w:p w14:paraId="3D44BD7A">
      <w:pPr>
        <w:pStyle w:val="7"/>
        <w:rPr>
          <w:color w:val="000000" w:themeColor="text1"/>
          <w14:textFill>
            <w14:solidFill>
              <w14:schemeClr w14:val="tx1"/>
            </w14:solidFill>
          </w14:textFill>
        </w:rPr>
      </w:pPr>
      <w:r>
        <w:rPr>
          <w:rFonts w:hint="eastAsia"/>
          <w:color w:val="000000" w:themeColor="text1"/>
          <w14:textFill>
            <w14:solidFill>
              <w14:schemeClr w14:val="tx1"/>
            </w14:solidFill>
          </w14:textFill>
        </w:rPr>
        <w:t>不利风向NE条件下涨潮时溢油扫海面积</w:t>
      </w:r>
    </w:p>
    <w:tbl>
      <w:tblPr>
        <w:tblStyle w:val="43"/>
        <w:tblW w:w="4905"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553"/>
        <w:gridCol w:w="1361"/>
        <w:gridCol w:w="1361"/>
        <w:gridCol w:w="1361"/>
        <w:gridCol w:w="1361"/>
        <w:gridCol w:w="1363"/>
      </w:tblGrid>
      <w:tr w14:paraId="53826A9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40" w:hRule="atLeast"/>
          <w:jc w:val="center"/>
        </w:trPr>
        <w:tc>
          <w:tcPr>
            <w:tcW w:w="929" w:type="pct"/>
            <w:vMerge w:val="restart"/>
            <w:tcMar>
              <w:top w:w="57" w:type="dxa"/>
              <w:bottom w:w="57" w:type="dxa"/>
            </w:tcMar>
            <w:vAlign w:val="center"/>
          </w:tcPr>
          <w:p w14:paraId="1BA5D51E">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项目</w:t>
            </w:r>
          </w:p>
        </w:tc>
        <w:tc>
          <w:tcPr>
            <w:tcW w:w="4071" w:type="pct"/>
            <w:gridSpan w:val="5"/>
            <w:tcMar>
              <w:top w:w="57" w:type="dxa"/>
              <w:bottom w:w="57" w:type="dxa"/>
            </w:tcMar>
            <w:vAlign w:val="center"/>
          </w:tcPr>
          <w:p w14:paraId="7DE858C4">
            <w:pPr>
              <w:spacing w:line="240" w:lineRule="atLeast"/>
              <w:ind w:firstLine="0" w:firstLineChars="0"/>
              <w:jc w:val="center"/>
              <w:rPr>
                <w:b/>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泄漏发生经历时间（小时）</w:t>
            </w:r>
          </w:p>
        </w:tc>
      </w:tr>
      <w:tr w14:paraId="70B02CA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5" w:hRule="atLeast"/>
          <w:jc w:val="center"/>
        </w:trPr>
        <w:tc>
          <w:tcPr>
            <w:tcW w:w="929" w:type="pct"/>
            <w:vMerge w:val="continue"/>
            <w:tcMar>
              <w:top w:w="57" w:type="dxa"/>
              <w:bottom w:w="57" w:type="dxa"/>
            </w:tcMar>
            <w:vAlign w:val="center"/>
          </w:tcPr>
          <w:p w14:paraId="5D2160AA">
            <w:pPr>
              <w:spacing w:line="240" w:lineRule="atLeast"/>
              <w:ind w:firstLine="0" w:firstLineChars="0"/>
              <w:jc w:val="center"/>
              <w:rPr>
                <w:color w:val="000000" w:themeColor="text1"/>
                <w:sz w:val="21"/>
                <w:szCs w:val="21"/>
                <w14:textFill>
                  <w14:solidFill>
                    <w14:schemeClr w14:val="tx1"/>
                  </w14:solidFill>
                </w14:textFill>
              </w:rPr>
            </w:pPr>
          </w:p>
        </w:tc>
        <w:tc>
          <w:tcPr>
            <w:tcW w:w="814" w:type="pct"/>
            <w:tcMar>
              <w:top w:w="57" w:type="dxa"/>
              <w:bottom w:w="57" w:type="dxa"/>
            </w:tcMar>
            <w:vAlign w:val="center"/>
          </w:tcPr>
          <w:p w14:paraId="0455194C">
            <w:pPr>
              <w:spacing w:line="240" w:lineRule="atLeast"/>
              <w:ind w:firstLine="0" w:firstLineChars="0"/>
              <w:jc w:val="center"/>
              <w:rPr>
                <w:b/>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1</w:t>
            </w:r>
          </w:p>
        </w:tc>
        <w:tc>
          <w:tcPr>
            <w:tcW w:w="814" w:type="pct"/>
            <w:vAlign w:val="center"/>
          </w:tcPr>
          <w:p w14:paraId="6DCBFF88">
            <w:pPr>
              <w:spacing w:line="240" w:lineRule="atLeast"/>
              <w:ind w:firstLine="0" w:firstLineChars="0"/>
              <w:jc w:val="center"/>
              <w:rPr>
                <w:b/>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3</w:t>
            </w:r>
          </w:p>
        </w:tc>
        <w:tc>
          <w:tcPr>
            <w:tcW w:w="814" w:type="pct"/>
            <w:tcMar>
              <w:top w:w="57" w:type="dxa"/>
              <w:bottom w:w="57" w:type="dxa"/>
            </w:tcMar>
            <w:vAlign w:val="center"/>
          </w:tcPr>
          <w:p w14:paraId="652F8313">
            <w:pPr>
              <w:spacing w:line="240" w:lineRule="atLeast"/>
              <w:ind w:firstLine="0" w:firstLineChars="0"/>
              <w:jc w:val="center"/>
              <w:rPr>
                <w:b/>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6</w:t>
            </w:r>
          </w:p>
        </w:tc>
        <w:tc>
          <w:tcPr>
            <w:tcW w:w="814" w:type="pct"/>
            <w:vAlign w:val="center"/>
          </w:tcPr>
          <w:p w14:paraId="7CDDDE3E">
            <w:pPr>
              <w:spacing w:line="240" w:lineRule="atLeast"/>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10（登陆）</w:t>
            </w:r>
          </w:p>
        </w:tc>
        <w:tc>
          <w:tcPr>
            <w:tcW w:w="815" w:type="pct"/>
            <w:vAlign w:val="center"/>
          </w:tcPr>
          <w:p w14:paraId="75C5EC5C">
            <w:pPr>
              <w:spacing w:line="240" w:lineRule="atLeast"/>
              <w:ind w:firstLine="0" w:firstLineChars="0"/>
              <w:jc w:val="center"/>
              <w:rPr>
                <w:b/>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72</w:t>
            </w:r>
          </w:p>
        </w:tc>
      </w:tr>
      <w:tr w14:paraId="36734C2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929" w:type="pct"/>
            <w:tcMar>
              <w:top w:w="57" w:type="dxa"/>
              <w:bottom w:w="57" w:type="dxa"/>
            </w:tcMar>
            <w:vAlign w:val="center"/>
          </w:tcPr>
          <w:p w14:paraId="46534EAF">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扫海面积（km</w:t>
            </w:r>
            <w:r>
              <w:rPr>
                <w:rFonts w:hint="eastAsia"/>
                <w:color w:val="000000" w:themeColor="text1"/>
                <w:sz w:val="21"/>
                <w:szCs w:val="21"/>
                <w:vertAlign w:val="superscript"/>
                <w14:textFill>
                  <w14:solidFill>
                    <w14:schemeClr w14:val="tx1"/>
                  </w14:solidFill>
                </w14:textFill>
              </w:rPr>
              <w:t>2</w:t>
            </w:r>
            <w:r>
              <w:rPr>
                <w:rFonts w:hint="eastAsia"/>
                <w:color w:val="000000" w:themeColor="text1"/>
                <w:sz w:val="21"/>
                <w:szCs w:val="21"/>
                <w14:textFill>
                  <w14:solidFill>
                    <w14:schemeClr w14:val="tx1"/>
                  </w14:solidFill>
                </w14:textFill>
              </w:rPr>
              <w:t>）</w:t>
            </w:r>
          </w:p>
        </w:tc>
        <w:tc>
          <w:tcPr>
            <w:tcW w:w="814" w:type="pct"/>
            <w:tcMar>
              <w:top w:w="57" w:type="dxa"/>
              <w:bottom w:w="57" w:type="dxa"/>
            </w:tcMar>
            <w:vAlign w:val="center"/>
          </w:tcPr>
          <w:p w14:paraId="265105B3">
            <w:pPr>
              <w:widowControl/>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0.2</w:t>
            </w:r>
            <w:r>
              <w:rPr>
                <w:color w:val="000000" w:themeColor="text1"/>
                <w:sz w:val="21"/>
                <w:szCs w:val="21"/>
                <w14:textFill>
                  <w14:solidFill>
                    <w14:schemeClr w14:val="tx1"/>
                  </w14:solidFill>
                </w14:textFill>
              </w:rPr>
              <w:t>25</w:t>
            </w:r>
          </w:p>
        </w:tc>
        <w:tc>
          <w:tcPr>
            <w:tcW w:w="814" w:type="pct"/>
            <w:vAlign w:val="center"/>
          </w:tcPr>
          <w:p w14:paraId="6A45DDF5">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r>
              <w:rPr>
                <w:color w:val="000000" w:themeColor="text1"/>
                <w:sz w:val="21"/>
                <w:szCs w:val="21"/>
                <w14:textFill>
                  <w14:solidFill>
                    <w14:schemeClr w14:val="tx1"/>
                  </w14:solidFill>
                </w14:textFill>
              </w:rPr>
              <w:t>762</w:t>
            </w:r>
          </w:p>
        </w:tc>
        <w:tc>
          <w:tcPr>
            <w:tcW w:w="814" w:type="pct"/>
            <w:tcMar>
              <w:top w:w="57" w:type="dxa"/>
              <w:bottom w:w="57" w:type="dxa"/>
            </w:tcMar>
            <w:vAlign w:val="center"/>
          </w:tcPr>
          <w:p w14:paraId="20236FE8">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w:t>
            </w:r>
            <w:r>
              <w:rPr>
                <w:color w:val="000000" w:themeColor="text1"/>
                <w:sz w:val="21"/>
                <w:szCs w:val="21"/>
                <w14:textFill>
                  <w14:solidFill>
                    <w14:schemeClr w14:val="tx1"/>
                  </w14:solidFill>
                </w14:textFill>
              </w:rPr>
              <w:t>843</w:t>
            </w:r>
          </w:p>
        </w:tc>
        <w:tc>
          <w:tcPr>
            <w:tcW w:w="814" w:type="pct"/>
            <w:vAlign w:val="center"/>
          </w:tcPr>
          <w:p w14:paraId="59C7C7CC">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w:t>
            </w:r>
            <w:r>
              <w:rPr>
                <w:color w:val="000000" w:themeColor="text1"/>
                <w:sz w:val="21"/>
                <w:szCs w:val="21"/>
                <w14:textFill>
                  <w14:solidFill>
                    <w14:schemeClr w14:val="tx1"/>
                  </w14:solidFill>
                </w14:textFill>
              </w:rPr>
              <w:t>714</w:t>
            </w:r>
          </w:p>
        </w:tc>
        <w:tc>
          <w:tcPr>
            <w:tcW w:w="815" w:type="pct"/>
            <w:vAlign w:val="center"/>
          </w:tcPr>
          <w:p w14:paraId="47346F70">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3.722</w:t>
            </w:r>
          </w:p>
        </w:tc>
      </w:tr>
      <w:tr w14:paraId="455DD60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929" w:type="pct"/>
            <w:tcMar>
              <w:top w:w="57" w:type="dxa"/>
              <w:bottom w:w="57" w:type="dxa"/>
            </w:tcMar>
            <w:vAlign w:val="center"/>
          </w:tcPr>
          <w:p w14:paraId="1AAA6069">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残余苯乙烯平均厚度（m</w:t>
            </w:r>
            <w:r>
              <w:rPr>
                <w:color w:val="000000" w:themeColor="text1"/>
                <w:sz w:val="21"/>
                <w:szCs w:val="21"/>
                <w14:textFill>
                  <w14:solidFill>
                    <w14:schemeClr w14:val="tx1"/>
                  </w14:solidFill>
                </w14:textFill>
              </w:rPr>
              <w:t>m</w:t>
            </w:r>
            <w:r>
              <w:rPr>
                <w:rFonts w:hint="eastAsia"/>
                <w:color w:val="000000" w:themeColor="text1"/>
                <w:sz w:val="21"/>
                <w:szCs w:val="21"/>
                <w14:textFill>
                  <w14:solidFill>
                    <w14:schemeClr w14:val="tx1"/>
                  </w14:solidFill>
                </w14:textFill>
              </w:rPr>
              <w:t>）</w:t>
            </w:r>
          </w:p>
        </w:tc>
        <w:tc>
          <w:tcPr>
            <w:tcW w:w="814" w:type="pct"/>
            <w:tcMar>
              <w:top w:w="57" w:type="dxa"/>
              <w:bottom w:w="57" w:type="dxa"/>
            </w:tcMar>
            <w:vAlign w:val="center"/>
          </w:tcPr>
          <w:p w14:paraId="50AA3678">
            <w:pPr>
              <w:widowControl/>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5</w:t>
            </w:r>
            <w:r>
              <w:rPr>
                <w:color w:val="000000" w:themeColor="text1"/>
                <w:sz w:val="21"/>
                <w:szCs w:val="21"/>
                <w14:textFill>
                  <w14:solidFill>
                    <w14:schemeClr w14:val="tx1"/>
                  </w14:solidFill>
                </w14:textFill>
              </w:rPr>
              <w:t>956.21</w:t>
            </w:r>
          </w:p>
        </w:tc>
        <w:tc>
          <w:tcPr>
            <w:tcW w:w="814" w:type="pct"/>
            <w:vAlign w:val="center"/>
          </w:tcPr>
          <w:p w14:paraId="5A5F4682">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4</w:t>
            </w:r>
            <w:r>
              <w:rPr>
                <w:color w:val="000000" w:themeColor="text1"/>
                <w:sz w:val="21"/>
                <w:szCs w:val="21"/>
                <w14:textFill>
                  <w14:solidFill>
                    <w14:schemeClr w14:val="tx1"/>
                  </w14:solidFill>
                </w14:textFill>
              </w:rPr>
              <w:t>646.58</w:t>
            </w:r>
          </w:p>
        </w:tc>
        <w:tc>
          <w:tcPr>
            <w:tcW w:w="814" w:type="pct"/>
            <w:tcMar>
              <w:top w:w="57" w:type="dxa"/>
              <w:bottom w:w="57" w:type="dxa"/>
            </w:tcMar>
            <w:vAlign w:val="center"/>
          </w:tcPr>
          <w:p w14:paraId="1928834C">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w:t>
            </w:r>
            <w:r>
              <w:rPr>
                <w:color w:val="000000" w:themeColor="text1"/>
                <w:sz w:val="21"/>
                <w:szCs w:val="21"/>
                <w14:textFill>
                  <w14:solidFill>
                    <w14:schemeClr w14:val="tx1"/>
                  </w14:solidFill>
                </w14:textFill>
              </w:rPr>
              <w:t>268.98</w:t>
            </w:r>
          </w:p>
        </w:tc>
        <w:tc>
          <w:tcPr>
            <w:tcW w:w="814" w:type="pct"/>
            <w:vAlign w:val="center"/>
          </w:tcPr>
          <w:p w14:paraId="35173A44">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w:t>
            </w:r>
            <w:r>
              <w:rPr>
                <w:color w:val="000000" w:themeColor="text1"/>
                <w:sz w:val="21"/>
                <w:szCs w:val="21"/>
                <w14:textFill>
                  <w14:solidFill>
                    <w14:schemeClr w14:val="tx1"/>
                  </w14:solidFill>
                </w14:textFill>
              </w:rPr>
              <w:t>93.38</w:t>
            </w:r>
          </w:p>
        </w:tc>
        <w:tc>
          <w:tcPr>
            <w:tcW w:w="815" w:type="pct"/>
            <w:vAlign w:val="center"/>
          </w:tcPr>
          <w:p w14:paraId="618B4EF5">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193.15</w:t>
            </w:r>
          </w:p>
        </w:tc>
      </w:tr>
    </w:tbl>
    <w:p w14:paraId="57C298A3">
      <w:pPr>
        <w:widowControl/>
        <w:ind w:firstLine="480"/>
        <w:jc w:val="center"/>
        <w:rPr>
          <w:rFonts w:ascii="宋体" w:hAnsi="宋体" w:cs="宋体"/>
          <w:color w:val="000000" w:themeColor="text1"/>
          <w:kern w:val="0"/>
          <w14:textFill>
            <w14:solidFill>
              <w14:schemeClr w14:val="tx1"/>
            </w14:solidFill>
          </w14:textFill>
        </w:rPr>
      </w:pPr>
      <w:r>
        <w:rPr>
          <w:rFonts w:ascii="宋体" w:hAnsi="宋体" w:cs="宋体"/>
          <w:color w:val="000000" w:themeColor="text1"/>
          <w:kern w:val="0"/>
          <w14:textFill>
            <w14:solidFill>
              <w14:schemeClr w14:val="tx1"/>
            </w14:solidFill>
          </w14:textFill>
        </w:rPr>
        <w:drawing>
          <wp:inline distT="0" distB="0" distL="0" distR="0">
            <wp:extent cx="3041650" cy="3959860"/>
            <wp:effectExtent l="0" t="0" r="0" b="0"/>
            <wp:docPr id="261" name="图片 261" descr="G:\project\2022\jingujiang14-15#\yiyou\zhangne251128苯乙烯.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261" descr="G:\project\2022\jingujiang14-15#\yiyou\zhangne251128苯乙烯.jpg"/>
                    <pic:cNvPicPr>
                      <a:picLocks noChangeAspect="1" noChangeArrowheads="1"/>
                    </pic:cNvPicPr>
                  </pic:nvPicPr>
                  <pic:blipFill>
                    <a:blip r:embed="rId252" cstate="print">
                      <a:extLst>
                        <a:ext uri="{28A0092B-C50C-407E-A947-70E740481C1C}">
                          <a14:useLocalDpi xmlns:a14="http://schemas.microsoft.com/office/drawing/2010/main" val="0"/>
                        </a:ext>
                      </a:extLst>
                    </a:blip>
                    <a:srcRect t="1307" r="2920" b="12193"/>
                    <a:stretch>
                      <a:fillRect/>
                    </a:stretch>
                  </pic:blipFill>
                  <pic:spPr>
                    <a:xfrm>
                      <a:off x="0" y="0"/>
                      <a:ext cx="3042032" cy="3960000"/>
                    </a:xfrm>
                    <a:prstGeom prst="rect">
                      <a:avLst/>
                    </a:prstGeom>
                    <a:noFill/>
                    <a:ln>
                      <a:noFill/>
                    </a:ln>
                  </pic:spPr>
                </pic:pic>
              </a:graphicData>
            </a:graphic>
          </wp:inline>
        </w:drawing>
      </w:r>
    </w:p>
    <w:p w14:paraId="4EC8B34A">
      <w:pPr>
        <w:widowControl/>
        <w:ind w:firstLine="482"/>
        <w:jc w:val="center"/>
        <w:rPr>
          <w:rFonts w:ascii="宋体" w:hAnsi="宋体" w:cs="宋体"/>
          <w:color w:val="000000" w:themeColor="text1"/>
          <w:kern w:val="0"/>
          <w14:textFill>
            <w14:solidFill>
              <w14:schemeClr w14:val="tx1"/>
            </w14:solidFill>
          </w14:textFill>
        </w:rPr>
      </w:pPr>
      <w:r>
        <w:rPr>
          <w:rFonts w:hint="eastAsia"/>
          <w:b/>
          <w:color w:val="000000" w:themeColor="text1"/>
          <w14:textFill>
            <w14:solidFill>
              <w14:schemeClr w14:val="tx1"/>
            </w14:solidFill>
          </w14:textFill>
        </w:rPr>
        <w:t>图</w:t>
      </w:r>
      <w:r>
        <w:rPr>
          <w:b/>
          <w:color w:val="000000" w:themeColor="text1"/>
          <w14:textFill>
            <w14:solidFill>
              <w14:schemeClr w14:val="tx1"/>
            </w14:solidFill>
          </w14:textFill>
        </w:rPr>
        <w:t>1.3-21</w:t>
      </w:r>
      <w:r>
        <w:rPr>
          <w:rFonts w:hint="eastAsia"/>
          <w:b/>
          <w:color w:val="000000" w:themeColor="text1"/>
          <w14:textFill>
            <w14:solidFill>
              <w14:schemeClr w14:val="tx1"/>
            </w14:solidFill>
          </w14:textFill>
        </w:rPr>
        <w:t xml:space="preserve"> 不利风N</w:t>
      </w:r>
      <w:r>
        <w:rPr>
          <w:b/>
          <w:color w:val="000000" w:themeColor="text1"/>
          <w14:textFill>
            <w14:solidFill>
              <w14:schemeClr w14:val="tx1"/>
            </w14:solidFill>
          </w14:textFill>
        </w:rPr>
        <w:t>E</w:t>
      </w:r>
      <w:r>
        <w:rPr>
          <w:rFonts w:hint="eastAsia"/>
          <w:b/>
          <w:color w:val="000000" w:themeColor="text1"/>
          <w14:textFill>
            <w14:solidFill>
              <w14:schemeClr w14:val="tx1"/>
            </w14:solidFill>
          </w14:textFill>
        </w:rPr>
        <w:t>下涨潮时苯乙烯</w:t>
      </w:r>
      <w:r>
        <w:rPr>
          <w:rFonts w:hint="eastAsia"/>
          <w:b/>
          <w:color w:val="000000" w:themeColor="text1"/>
          <w:lang w:eastAsia="zh-CN"/>
          <w14:textFill>
            <w14:solidFill>
              <w14:schemeClr w14:val="tx1"/>
            </w14:solidFill>
          </w14:textFill>
        </w:rPr>
        <w:t>泄漏</w:t>
      </w:r>
      <w:r>
        <w:rPr>
          <w:rFonts w:hint="eastAsia"/>
          <w:b/>
          <w:color w:val="000000" w:themeColor="text1"/>
          <w14:textFill>
            <w14:solidFill>
              <w14:schemeClr w14:val="tx1"/>
            </w14:solidFill>
          </w14:textFill>
        </w:rPr>
        <w:t>影响范围示意</w:t>
      </w:r>
    </w:p>
    <w:p w14:paraId="40EF385E">
      <w:pPr>
        <w:widowControl/>
        <w:ind w:firstLine="480"/>
        <w:jc w:val="center"/>
        <w:rPr>
          <w:rFonts w:ascii="宋体" w:hAnsi="宋体" w:cs="宋体"/>
          <w:color w:val="000000" w:themeColor="text1"/>
          <w:kern w:val="0"/>
          <w14:textFill>
            <w14:solidFill>
              <w14:schemeClr w14:val="tx1"/>
            </w14:solidFill>
          </w14:textFill>
        </w:rPr>
      </w:pPr>
      <w:r>
        <w:rPr>
          <w:color w:val="000000" w:themeColor="text1"/>
          <w14:textFill>
            <w14:solidFill>
              <w14:schemeClr w14:val="tx1"/>
            </w14:solidFill>
          </w14:textFill>
        </w:rPr>
        <w:drawing>
          <wp:inline distT="0" distB="0" distL="0" distR="0">
            <wp:extent cx="3008630" cy="3959860"/>
            <wp:effectExtent l="0" t="0" r="0" b="0"/>
            <wp:docPr id="262" name="图片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262"/>
                    <pic:cNvPicPr>
                      <a:picLocks noChangeAspect="1"/>
                    </pic:cNvPicPr>
                  </pic:nvPicPr>
                  <pic:blipFill>
                    <a:blip r:embed="rId253"/>
                    <a:stretch>
                      <a:fillRect/>
                    </a:stretch>
                  </pic:blipFill>
                  <pic:spPr>
                    <a:xfrm>
                      <a:off x="0" y="0"/>
                      <a:ext cx="3008760" cy="3960000"/>
                    </a:xfrm>
                    <a:prstGeom prst="rect">
                      <a:avLst/>
                    </a:prstGeom>
                  </pic:spPr>
                </pic:pic>
              </a:graphicData>
            </a:graphic>
          </wp:inline>
        </w:drawing>
      </w:r>
    </w:p>
    <w:p w14:paraId="76CCAE75">
      <w:pPr>
        <w:ind w:firstLine="482"/>
        <w:jc w:val="center"/>
        <w:rPr>
          <w:rFonts w:ascii="宋体" w:hAnsi="宋体"/>
          <w:b/>
          <w:color w:val="000000" w:themeColor="text1"/>
          <w14:textFill>
            <w14:solidFill>
              <w14:schemeClr w14:val="tx1"/>
            </w14:solidFill>
          </w14:textFill>
        </w:rPr>
      </w:pPr>
      <w:r>
        <w:rPr>
          <w:rFonts w:hint="eastAsia" w:ascii="宋体" w:hAnsi="宋体"/>
          <w:b/>
          <w:color w:val="000000" w:themeColor="text1"/>
          <w14:textFill>
            <w14:solidFill>
              <w14:schemeClr w14:val="tx1"/>
            </w14:solidFill>
          </w14:textFill>
        </w:rPr>
        <w:t>图</w:t>
      </w:r>
      <w:r>
        <w:rPr>
          <w:rFonts w:hint="eastAsia"/>
          <w:color w:val="000000" w:themeColor="text1"/>
          <w:kern w:val="0"/>
          <w14:textFill>
            <w14:solidFill>
              <w14:schemeClr w14:val="tx1"/>
            </w14:solidFill>
          </w14:textFill>
        </w:rPr>
        <w:t>5.5.3</w:t>
      </w:r>
      <w:r>
        <w:rPr>
          <w:rFonts w:hint="eastAsia" w:ascii="宋体" w:hAnsi="宋体"/>
          <w:b/>
          <w:color w:val="000000" w:themeColor="text1"/>
          <w14:textFill>
            <w14:solidFill>
              <w14:schemeClr w14:val="tx1"/>
            </w14:solidFill>
          </w14:textFill>
        </w:rPr>
        <w:t>-</w:t>
      </w:r>
      <w:r>
        <w:rPr>
          <w:rFonts w:ascii="宋体" w:hAnsi="宋体"/>
          <w:b/>
          <w:color w:val="000000" w:themeColor="text1"/>
          <w14:textFill>
            <w14:solidFill>
              <w14:schemeClr w14:val="tx1"/>
            </w14:solidFill>
          </w14:textFill>
        </w:rPr>
        <w:t>22</w:t>
      </w:r>
      <w:r>
        <w:rPr>
          <w:rFonts w:hint="eastAsia" w:ascii="宋体" w:hAnsi="宋体"/>
          <w:b/>
          <w:color w:val="000000" w:themeColor="text1"/>
          <w14:textFill>
            <w14:solidFill>
              <w14:schemeClr w14:val="tx1"/>
            </w14:solidFill>
          </w14:textFill>
        </w:rPr>
        <w:t xml:space="preserve"> 不利风向NE条件下涨潮时苯乙烯</w:t>
      </w:r>
      <w:r>
        <w:rPr>
          <w:rFonts w:hint="eastAsia" w:ascii="宋体" w:hAnsi="宋体"/>
          <w:b/>
          <w:color w:val="000000" w:themeColor="text1"/>
          <w:lang w:eastAsia="zh-CN"/>
          <w14:textFill>
            <w14:solidFill>
              <w14:schemeClr w14:val="tx1"/>
            </w14:solidFill>
          </w14:textFill>
        </w:rPr>
        <w:t>泄漏</w:t>
      </w:r>
      <w:r>
        <w:rPr>
          <w:rFonts w:hint="eastAsia" w:ascii="宋体" w:hAnsi="宋体"/>
          <w:b/>
          <w:color w:val="000000" w:themeColor="text1"/>
          <w14:textFill>
            <w14:solidFill>
              <w14:schemeClr w14:val="tx1"/>
            </w14:solidFill>
          </w14:textFill>
        </w:rPr>
        <w:t>的运动轨迹</w:t>
      </w:r>
    </w:p>
    <w:p w14:paraId="53C3E93E">
      <w:pPr>
        <w:ind w:firstLine="480"/>
        <w:rPr>
          <w:rFonts w:hAnsi="宋体"/>
          <w:color w:val="000000" w:themeColor="text1"/>
          <w14:textFill>
            <w14:solidFill>
              <w14:schemeClr w14:val="tx1"/>
            </w14:solidFill>
          </w14:textFill>
        </w:rPr>
      </w:pPr>
      <w:r>
        <w:rPr>
          <w:rFonts w:hint="eastAsia" w:hAnsi="宋体"/>
          <w:color w:val="000000" w:themeColor="text1"/>
          <w14:textFill>
            <w14:solidFill>
              <w14:schemeClr w14:val="tx1"/>
            </w14:solidFill>
          </w14:textFill>
        </w:rPr>
        <w:t>（6）不利风向NE，大潮落潮</w:t>
      </w:r>
    </w:p>
    <w:p w14:paraId="416EFB7D">
      <w:pPr>
        <w:ind w:firstLine="480"/>
        <w:rPr>
          <w:color w:val="000000" w:themeColor="text1"/>
          <w:u w:val="single"/>
          <w14:textFill>
            <w14:solidFill>
              <w14:schemeClr w14:val="tx1"/>
            </w14:solidFill>
          </w14:textFill>
        </w:rPr>
      </w:pPr>
      <w:r>
        <w:rPr>
          <w:rFonts w:hint="eastAsia"/>
          <w:color w:val="000000" w:themeColor="text1"/>
          <w14:textFill>
            <w14:solidFill>
              <w14:schemeClr w14:val="tx1"/>
            </w14:solidFill>
          </w14:textFill>
        </w:rPr>
        <w:t>大</w:t>
      </w:r>
      <w:r>
        <w:rPr>
          <w:rFonts w:hint="eastAsia"/>
          <w:color w:val="000000" w:themeColor="text1"/>
          <w:u w:val="single"/>
          <w14:textFill>
            <w14:solidFill>
              <w14:schemeClr w14:val="tx1"/>
            </w14:solidFill>
          </w14:textFill>
        </w:rPr>
        <w:t>潮落潮时，当苯乙烯</w:t>
      </w:r>
      <w:r>
        <w:rPr>
          <w:rFonts w:hint="eastAsia"/>
          <w:color w:val="000000" w:themeColor="text1"/>
          <w:u w:val="single"/>
          <w:lang w:eastAsia="zh-CN"/>
          <w14:textFill>
            <w14:solidFill>
              <w14:schemeClr w14:val="tx1"/>
            </w14:solidFill>
          </w14:textFill>
        </w:rPr>
        <w:t>泄漏</w:t>
      </w:r>
      <w:r>
        <w:rPr>
          <w:rFonts w:hint="eastAsia"/>
          <w:color w:val="000000" w:themeColor="text1"/>
          <w:u w:val="single"/>
          <w14:textFill>
            <w14:solidFill>
              <w14:schemeClr w14:val="tx1"/>
            </w14:solidFill>
          </w14:textFill>
        </w:rPr>
        <w:t>发生后，苯乙烯沿着西南向运动，12小时苯乙烯物质主流达到钦州湾口三墩西南海域；12-24时在涨潮流及NE风作用下，苯乙烯物质主流先沿着西向运动再转为北向，苯乙烯物质在钦州湾口海域徘徊（另一部</w:t>
      </w:r>
      <w:r>
        <w:rPr>
          <w:rFonts w:hint="eastAsia"/>
          <w:color w:val="000000" w:themeColor="text1"/>
          <w:u w:val="single"/>
          <w:lang w:val="en-US" w:eastAsia="zh-CN"/>
          <w14:textFill>
            <w14:solidFill>
              <w14:schemeClr w14:val="tx1"/>
            </w14:solidFill>
          </w14:textFill>
        </w:rPr>
        <w:t>分</w:t>
      </w:r>
      <w:r>
        <w:rPr>
          <w:rFonts w:hint="eastAsia"/>
          <w:color w:val="000000" w:themeColor="text1"/>
          <w:u w:val="single"/>
          <w14:textFill>
            <w14:solidFill>
              <w14:schemeClr w14:val="tx1"/>
            </w14:solidFill>
          </w14:textFill>
        </w:rPr>
        <w:t>苯乙烯则转向茅尾海运动逐渐污染龙门岛周边海域）；此后，在落潮流携带下，苯乙烯再次转为偏南向运动，</w:t>
      </w:r>
      <w:r>
        <w:rPr>
          <w:color w:val="000000" w:themeColor="text1"/>
          <w:u w:val="single"/>
          <w14:textFill>
            <w14:solidFill>
              <w14:schemeClr w14:val="tx1"/>
            </w14:solidFill>
          </w14:textFill>
        </w:rPr>
        <w:t>30</w:t>
      </w:r>
      <w:r>
        <w:rPr>
          <w:rFonts w:hint="eastAsia"/>
          <w:color w:val="000000" w:themeColor="text1"/>
          <w:u w:val="single"/>
          <w14:textFill>
            <w14:solidFill>
              <w14:schemeClr w14:val="tx1"/>
            </w14:solidFill>
          </w14:textFill>
        </w:rPr>
        <w:t>时左右苯乙烯主要部分进入北部湾二长棘鲷长毛对虾国家级种质资源保护区（实验区）。</w:t>
      </w:r>
      <w:r>
        <w:rPr>
          <w:color w:val="000000" w:themeColor="text1"/>
          <w:u w:val="single"/>
          <w14:textFill>
            <w14:solidFill>
              <w14:schemeClr w14:val="tx1"/>
            </w14:solidFill>
          </w14:textFill>
        </w:rPr>
        <w:t>24</w:t>
      </w:r>
      <w:r>
        <w:rPr>
          <w:rFonts w:hint="eastAsia"/>
          <w:color w:val="000000" w:themeColor="text1"/>
          <w:u w:val="single"/>
          <w14:textFill>
            <w14:solidFill>
              <w14:schemeClr w14:val="tx1"/>
            </w14:solidFill>
          </w14:textFill>
        </w:rPr>
        <w:t>-48时，苯乙烯向南运动至距离计算区域外海开边界</w:t>
      </w:r>
      <w:r>
        <w:rPr>
          <w:color w:val="000000" w:themeColor="text1"/>
          <w:u w:val="single"/>
          <w14:textFill>
            <w14:solidFill>
              <w14:schemeClr w14:val="tx1"/>
            </w14:solidFill>
          </w14:textFill>
        </w:rPr>
        <w:t>16</w:t>
      </w:r>
      <w:r>
        <w:rPr>
          <w:rFonts w:hint="eastAsia"/>
          <w:color w:val="000000" w:themeColor="text1"/>
          <w:u w:val="single"/>
          <w14:textFill>
            <w14:solidFill>
              <w14:schemeClr w14:val="tx1"/>
            </w14:solidFill>
          </w14:textFill>
        </w:rPr>
        <w:t>km附近海域，48时后在落潮流作用下，苯乙烯沿南向飘向外海，</w:t>
      </w:r>
      <w:r>
        <w:rPr>
          <w:color w:val="000000" w:themeColor="text1"/>
          <w:u w:val="single"/>
          <w14:textFill>
            <w14:solidFill>
              <w14:schemeClr w14:val="tx1"/>
            </w14:solidFill>
          </w14:textFill>
        </w:rPr>
        <w:t>71</w:t>
      </w:r>
      <w:r>
        <w:rPr>
          <w:rFonts w:hint="eastAsia"/>
          <w:color w:val="000000" w:themeColor="text1"/>
          <w:u w:val="single"/>
          <w14:textFill>
            <w14:solidFill>
              <w14:schemeClr w14:val="tx1"/>
            </w14:solidFill>
          </w14:textFill>
        </w:rPr>
        <w:t>~72时后到达外海开边界附近并折向西运动，此后在NE风及潮流的携带下继续向外海运动。苯乙烯物质发生</w:t>
      </w:r>
      <w:r>
        <w:rPr>
          <w:color w:val="000000" w:themeColor="text1"/>
          <w:u w:val="single"/>
          <w14:textFill>
            <w14:solidFill>
              <w14:schemeClr w14:val="tx1"/>
            </w14:solidFill>
          </w14:textFill>
        </w:rPr>
        <w:t>7</w:t>
      </w:r>
      <w:r>
        <w:rPr>
          <w:rFonts w:hint="eastAsia"/>
          <w:color w:val="000000" w:themeColor="text1"/>
          <w:u w:val="single"/>
          <w14:textFill>
            <w14:solidFill>
              <w14:schemeClr w14:val="tx1"/>
            </w14:solidFill>
          </w14:textFill>
        </w:rPr>
        <w:t>2小时内的扫海面积见表5.5-</w:t>
      </w:r>
      <w:r>
        <w:rPr>
          <w:color w:val="000000" w:themeColor="text1"/>
          <w:u w:val="single"/>
          <w14:textFill>
            <w14:solidFill>
              <w14:schemeClr w14:val="tx1"/>
            </w14:solidFill>
          </w14:textFill>
        </w:rPr>
        <w:t>14</w:t>
      </w:r>
      <w:r>
        <w:rPr>
          <w:rFonts w:hint="eastAsia"/>
          <w:color w:val="000000" w:themeColor="text1"/>
          <w:u w:val="single"/>
          <w14:textFill>
            <w14:solidFill>
              <w14:schemeClr w14:val="tx1"/>
            </w14:solidFill>
          </w14:textFill>
        </w:rPr>
        <w:t>，苯乙烯漂移轨迹及扫海范围见图</w:t>
      </w:r>
      <w:r>
        <w:rPr>
          <w:rFonts w:hint="eastAsia"/>
          <w:color w:val="000000" w:themeColor="text1"/>
          <w:kern w:val="0"/>
          <w:u w:val="single"/>
          <w14:textFill>
            <w14:solidFill>
              <w14:schemeClr w14:val="tx1"/>
            </w14:solidFill>
          </w14:textFill>
        </w:rPr>
        <w:t>5.5.3</w:t>
      </w:r>
      <w:r>
        <w:rPr>
          <w:color w:val="000000" w:themeColor="text1"/>
          <w:u w:val="single"/>
          <w14:textFill>
            <w14:solidFill>
              <w14:schemeClr w14:val="tx1"/>
            </w14:solidFill>
          </w14:textFill>
        </w:rPr>
        <w:t>-23~</w:t>
      </w:r>
      <w:r>
        <w:rPr>
          <w:rFonts w:hint="eastAsia"/>
          <w:color w:val="000000" w:themeColor="text1"/>
          <w:u w:val="single"/>
          <w14:textFill>
            <w14:solidFill>
              <w14:schemeClr w14:val="tx1"/>
            </w14:solidFill>
          </w14:textFill>
        </w:rPr>
        <w:t>图</w:t>
      </w:r>
      <w:r>
        <w:rPr>
          <w:rFonts w:hint="eastAsia"/>
          <w:color w:val="000000" w:themeColor="text1"/>
          <w:kern w:val="0"/>
          <w:u w:val="single"/>
          <w14:textFill>
            <w14:solidFill>
              <w14:schemeClr w14:val="tx1"/>
            </w14:solidFill>
          </w14:textFill>
        </w:rPr>
        <w:t>5.5.3</w:t>
      </w:r>
      <w:r>
        <w:rPr>
          <w:color w:val="000000" w:themeColor="text1"/>
          <w:u w:val="single"/>
          <w14:textFill>
            <w14:solidFill>
              <w14:schemeClr w14:val="tx1"/>
            </w14:solidFill>
          </w14:textFill>
        </w:rPr>
        <w:t>-24</w:t>
      </w:r>
      <w:r>
        <w:rPr>
          <w:rFonts w:hint="eastAsia"/>
          <w:color w:val="000000" w:themeColor="text1"/>
          <w:u w:val="single"/>
          <w14:textFill>
            <w14:solidFill>
              <w14:schemeClr w14:val="tx1"/>
            </w14:solidFill>
          </w14:textFill>
        </w:rPr>
        <w:t>。</w:t>
      </w:r>
    </w:p>
    <w:p w14:paraId="2D27C5FE">
      <w:pPr>
        <w:ind w:firstLine="480"/>
        <w:rPr>
          <w:color w:val="000000" w:themeColor="text1"/>
          <w14:textFill>
            <w14:solidFill>
              <w14:schemeClr w14:val="tx1"/>
            </w14:solidFill>
          </w14:textFill>
        </w:rPr>
      </w:pPr>
    </w:p>
    <w:p w14:paraId="38BE42BB">
      <w:pPr>
        <w:ind w:firstLine="480"/>
        <w:rPr>
          <w:color w:val="000000" w:themeColor="text1"/>
          <w14:textFill>
            <w14:solidFill>
              <w14:schemeClr w14:val="tx1"/>
            </w14:solidFill>
          </w14:textFill>
        </w:rPr>
      </w:pPr>
    </w:p>
    <w:p w14:paraId="0E846B6A">
      <w:pPr>
        <w:pStyle w:val="7"/>
        <w:rPr>
          <w:color w:val="000000" w:themeColor="text1"/>
          <w14:textFill>
            <w14:solidFill>
              <w14:schemeClr w14:val="tx1"/>
            </w14:solidFill>
          </w14:textFill>
        </w:rPr>
      </w:pPr>
      <w:r>
        <w:rPr>
          <w:rFonts w:hint="eastAsia"/>
          <w:color w:val="000000" w:themeColor="text1"/>
          <w14:textFill>
            <w14:solidFill>
              <w14:schemeClr w14:val="tx1"/>
            </w14:solidFill>
          </w14:textFill>
        </w:rPr>
        <w:t>不利风向NE条件下落潮时苯乙烯泄露扫海面积</w:t>
      </w:r>
    </w:p>
    <w:tbl>
      <w:tblPr>
        <w:tblStyle w:val="43"/>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583"/>
        <w:gridCol w:w="1387"/>
        <w:gridCol w:w="1387"/>
        <w:gridCol w:w="1387"/>
        <w:gridCol w:w="1388"/>
        <w:gridCol w:w="1390"/>
      </w:tblGrid>
      <w:tr w14:paraId="111AB7E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40" w:hRule="atLeast"/>
          <w:jc w:val="center"/>
        </w:trPr>
        <w:tc>
          <w:tcPr>
            <w:tcW w:w="929" w:type="pct"/>
            <w:vMerge w:val="restart"/>
            <w:tcMar>
              <w:top w:w="57" w:type="dxa"/>
              <w:bottom w:w="57" w:type="dxa"/>
            </w:tcMar>
            <w:vAlign w:val="center"/>
          </w:tcPr>
          <w:p w14:paraId="08B12A35">
            <w:pPr>
              <w:spacing w:line="240" w:lineRule="atLeast"/>
              <w:ind w:firstLine="0" w:firstLineChars="0"/>
              <w:jc w:val="center"/>
              <w:rPr>
                <w:b/>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项目</w:t>
            </w:r>
          </w:p>
        </w:tc>
        <w:tc>
          <w:tcPr>
            <w:tcW w:w="4071" w:type="pct"/>
            <w:gridSpan w:val="5"/>
            <w:tcMar>
              <w:top w:w="57" w:type="dxa"/>
              <w:bottom w:w="57" w:type="dxa"/>
            </w:tcMar>
            <w:vAlign w:val="center"/>
          </w:tcPr>
          <w:p w14:paraId="548FE7DF">
            <w:pPr>
              <w:spacing w:line="240" w:lineRule="atLeast"/>
              <w:ind w:firstLine="0" w:firstLineChars="0"/>
              <w:jc w:val="center"/>
              <w:rPr>
                <w:b/>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泄漏发生经历时间（小时）</w:t>
            </w:r>
          </w:p>
        </w:tc>
      </w:tr>
      <w:tr w14:paraId="0C576FA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5" w:hRule="atLeast"/>
          <w:jc w:val="center"/>
        </w:trPr>
        <w:tc>
          <w:tcPr>
            <w:tcW w:w="929" w:type="pct"/>
            <w:vMerge w:val="continue"/>
            <w:tcMar>
              <w:top w:w="57" w:type="dxa"/>
              <w:bottom w:w="57" w:type="dxa"/>
            </w:tcMar>
            <w:vAlign w:val="center"/>
          </w:tcPr>
          <w:p w14:paraId="4F9A574F">
            <w:pPr>
              <w:spacing w:line="240" w:lineRule="atLeast"/>
              <w:ind w:firstLine="0" w:firstLineChars="0"/>
              <w:jc w:val="center"/>
              <w:rPr>
                <w:b/>
                <w:color w:val="000000" w:themeColor="text1"/>
                <w:sz w:val="21"/>
                <w:szCs w:val="21"/>
                <w14:textFill>
                  <w14:solidFill>
                    <w14:schemeClr w14:val="tx1"/>
                  </w14:solidFill>
                </w14:textFill>
              </w:rPr>
            </w:pPr>
          </w:p>
        </w:tc>
        <w:tc>
          <w:tcPr>
            <w:tcW w:w="814" w:type="pct"/>
            <w:tcMar>
              <w:top w:w="57" w:type="dxa"/>
              <w:bottom w:w="57" w:type="dxa"/>
            </w:tcMar>
            <w:vAlign w:val="center"/>
          </w:tcPr>
          <w:p w14:paraId="47836D31">
            <w:pPr>
              <w:spacing w:line="240" w:lineRule="atLeast"/>
              <w:ind w:firstLine="0" w:firstLineChars="0"/>
              <w:jc w:val="center"/>
              <w:rPr>
                <w:b/>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1</w:t>
            </w:r>
          </w:p>
        </w:tc>
        <w:tc>
          <w:tcPr>
            <w:tcW w:w="814" w:type="pct"/>
            <w:vAlign w:val="center"/>
          </w:tcPr>
          <w:p w14:paraId="403B7FE6">
            <w:pPr>
              <w:spacing w:line="240" w:lineRule="atLeast"/>
              <w:ind w:firstLine="0" w:firstLineChars="0"/>
              <w:jc w:val="center"/>
              <w:rPr>
                <w:b/>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12</w:t>
            </w:r>
          </w:p>
        </w:tc>
        <w:tc>
          <w:tcPr>
            <w:tcW w:w="814" w:type="pct"/>
            <w:tcMar>
              <w:top w:w="57" w:type="dxa"/>
              <w:bottom w:w="57" w:type="dxa"/>
            </w:tcMar>
            <w:vAlign w:val="center"/>
          </w:tcPr>
          <w:p w14:paraId="1647EC35">
            <w:pPr>
              <w:spacing w:line="240" w:lineRule="atLeast"/>
              <w:ind w:firstLine="0" w:firstLineChars="0"/>
              <w:jc w:val="center"/>
              <w:rPr>
                <w:b/>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24</w:t>
            </w:r>
          </w:p>
        </w:tc>
        <w:tc>
          <w:tcPr>
            <w:tcW w:w="814" w:type="pct"/>
            <w:tcMar>
              <w:top w:w="57" w:type="dxa"/>
              <w:bottom w:w="57" w:type="dxa"/>
            </w:tcMar>
            <w:vAlign w:val="center"/>
          </w:tcPr>
          <w:p w14:paraId="3DF4104E">
            <w:pPr>
              <w:spacing w:line="240" w:lineRule="atLeast"/>
              <w:ind w:firstLine="0" w:firstLineChars="0"/>
              <w:jc w:val="center"/>
              <w:rPr>
                <w:b/>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48</w:t>
            </w:r>
          </w:p>
        </w:tc>
        <w:tc>
          <w:tcPr>
            <w:tcW w:w="815" w:type="pct"/>
            <w:vAlign w:val="center"/>
          </w:tcPr>
          <w:p w14:paraId="415AA700">
            <w:pPr>
              <w:spacing w:line="240" w:lineRule="atLeast"/>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7</w:t>
            </w:r>
            <w:r>
              <w:rPr>
                <w:rFonts w:hint="eastAsia"/>
                <w:b/>
                <w:color w:val="000000" w:themeColor="text1"/>
                <w:sz w:val="21"/>
                <w:szCs w:val="21"/>
                <w14:textFill>
                  <w14:solidFill>
                    <w14:schemeClr w14:val="tx1"/>
                  </w14:solidFill>
                </w14:textFill>
              </w:rPr>
              <w:t>2</w:t>
            </w:r>
          </w:p>
        </w:tc>
      </w:tr>
      <w:tr w14:paraId="5F128B8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929" w:type="pct"/>
            <w:tcMar>
              <w:top w:w="57" w:type="dxa"/>
              <w:bottom w:w="57" w:type="dxa"/>
            </w:tcMar>
            <w:vAlign w:val="center"/>
          </w:tcPr>
          <w:p w14:paraId="2481B9C0">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扫海面积（km</w:t>
            </w:r>
            <w:r>
              <w:rPr>
                <w:rFonts w:hint="eastAsia"/>
                <w:color w:val="000000" w:themeColor="text1"/>
                <w:sz w:val="21"/>
                <w:szCs w:val="21"/>
                <w:vertAlign w:val="superscript"/>
                <w14:textFill>
                  <w14:solidFill>
                    <w14:schemeClr w14:val="tx1"/>
                  </w14:solidFill>
                </w14:textFill>
              </w:rPr>
              <w:t>2</w:t>
            </w:r>
            <w:r>
              <w:rPr>
                <w:rFonts w:hint="eastAsia"/>
                <w:color w:val="000000" w:themeColor="text1"/>
                <w:sz w:val="21"/>
                <w:szCs w:val="21"/>
                <w14:textFill>
                  <w14:solidFill>
                    <w14:schemeClr w14:val="tx1"/>
                  </w14:solidFill>
                </w14:textFill>
              </w:rPr>
              <w:t>）</w:t>
            </w:r>
          </w:p>
        </w:tc>
        <w:tc>
          <w:tcPr>
            <w:tcW w:w="814" w:type="pct"/>
            <w:tcMar>
              <w:top w:w="57" w:type="dxa"/>
              <w:bottom w:w="57" w:type="dxa"/>
            </w:tcMar>
            <w:vAlign w:val="center"/>
          </w:tcPr>
          <w:p w14:paraId="3B85411B">
            <w:pPr>
              <w:widowControl/>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r>
              <w:rPr>
                <w:color w:val="000000" w:themeColor="text1"/>
                <w:sz w:val="21"/>
                <w:szCs w:val="21"/>
                <w14:textFill>
                  <w14:solidFill>
                    <w14:schemeClr w14:val="tx1"/>
                  </w14:solidFill>
                </w14:textFill>
              </w:rPr>
              <w:t>303</w:t>
            </w:r>
          </w:p>
        </w:tc>
        <w:tc>
          <w:tcPr>
            <w:tcW w:w="814" w:type="pct"/>
            <w:vAlign w:val="center"/>
          </w:tcPr>
          <w:p w14:paraId="7B149BA0">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17.</w:t>
            </w:r>
            <w:r>
              <w:rPr>
                <w:color w:val="000000" w:themeColor="text1"/>
                <w:sz w:val="21"/>
                <w:szCs w:val="21"/>
                <w14:textFill>
                  <w14:solidFill>
                    <w14:schemeClr w14:val="tx1"/>
                  </w14:solidFill>
                </w14:textFill>
              </w:rPr>
              <w:t>649</w:t>
            </w:r>
          </w:p>
        </w:tc>
        <w:tc>
          <w:tcPr>
            <w:tcW w:w="814" w:type="pct"/>
            <w:tcMar>
              <w:top w:w="57" w:type="dxa"/>
              <w:bottom w:w="57" w:type="dxa"/>
            </w:tcMar>
            <w:vAlign w:val="center"/>
          </w:tcPr>
          <w:p w14:paraId="655CFC65">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10</w:t>
            </w:r>
            <w:r>
              <w:rPr>
                <w:color w:val="000000" w:themeColor="text1"/>
                <w:sz w:val="21"/>
                <w:szCs w:val="21"/>
                <w14:textFill>
                  <w14:solidFill>
                    <w14:schemeClr w14:val="tx1"/>
                  </w14:solidFill>
                </w14:textFill>
              </w:rPr>
              <w:t>9.149</w:t>
            </w:r>
          </w:p>
        </w:tc>
        <w:tc>
          <w:tcPr>
            <w:tcW w:w="814" w:type="pct"/>
            <w:tcMar>
              <w:top w:w="57" w:type="dxa"/>
              <w:bottom w:w="57" w:type="dxa"/>
            </w:tcMar>
            <w:vAlign w:val="center"/>
          </w:tcPr>
          <w:p w14:paraId="75180817">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w:t>
            </w:r>
            <w:r>
              <w:rPr>
                <w:color w:val="000000" w:themeColor="text1"/>
                <w:sz w:val="21"/>
                <w:szCs w:val="21"/>
                <w14:textFill>
                  <w14:solidFill>
                    <w14:schemeClr w14:val="tx1"/>
                  </w14:solidFill>
                </w14:textFill>
              </w:rPr>
              <w:t>80.241</w:t>
            </w:r>
          </w:p>
        </w:tc>
        <w:tc>
          <w:tcPr>
            <w:tcW w:w="815" w:type="pct"/>
            <w:vAlign w:val="center"/>
          </w:tcPr>
          <w:p w14:paraId="2D9CDBDB">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4</w:t>
            </w:r>
            <w:r>
              <w:rPr>
                <w:color w:val="000000" w:themeColor="text1"/>
                <w:sz w:val="21"/>
                <w:szCs w:val="21"/>
                <w14:textFill>
                  <w14:solidFill>
                    <w14:schemeClr w14:val="tx1"/>
                  </w14:solidFill>
                </w14:textFill>
              </w:rPr>
              <w:t>70</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1</w:t>
            </w:r>
            <w:r>
              <w:rPr>
                <w:rFonts w:hint="eastAsia"/>
                <w:color w:val="000000" w:themeColor="text1"/>
                <w:sz w:val="21"/>
                <w:szCs w:val="21"/>
                <w14:textFill>
                  <w14:solidFill>
                    <w14:schemeClr w14:val="tx1"/>
                  </w14:solidFill>
                </w14:textFill>
              </w:rPr>
              <w:t>38</w:t>
            </w:r>
          </w:p>
        </w:tc>
      </w:tr>
      <w:tr w14:paraId="0469B06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929" w:type="pct"/>
            <w:tcMar>
              <w:top w:w="57" w:type="dxa"/>
              <w:bottom w:w="57" w:type="dxa"/>
            </w:tcMar>
            <w:vAlign w:val="center"/>
          </w:tcPr>
          <w:p w14:paraId="232443CB">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残余苯乙烯平均厚度（m</w:t>
            </w:r>
            <w:r>
              <w:rPr>
                <w:color w:val="000000" w:themeColor="text1"/>
                <w:sz w:val="21"/>
                <w:szCs w:val="21"/>
                <w14:textFill>
                  <w14:solidFill>
                    <w14:schemeClr w14:val="tx1"/>
                  </w14:solidFill>
                </w14:textFill>
              </w:rPr>
              <w:t>m</w:t>
            </w:r>
            <w:r>
              <w:rPr>
                <w:rFonts w:hint="eastAsia"/>
                <w:color w:val="000000" w:themeColor="text1"/>
                <w:sz w:val="21"/>
                <w:szCs w:val="21"/>
                <w14:textFill>
                  <w14:solidFill>
                    <w14:schemeClr w14:val="tx1"/>
                  </w14:solidFill>
                </w14:textFill>
              </w:rPr>
              <w:t>）</w:t>
            </w:r>
          </w:p>
        </w:tc>
        <w:tc>
          <w:tcPr>
            <w:tcW w:w="814" w:type="pct"/>
            <w:tcMar>
              <w:top w:w="57" w:type="dxa"/>
              <w:bottom w:w="57" w:type="dxa"/>
            </w:tcMar>
            <w:vAlign w:val="center"/>
          </w:tcPr>
          <w:p w14:paraId="4A4F87FA">
            <w:pPr>
              <w:widowControl/>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4</w:t>
            </w:r>
            <w:r>
              <w:rPr>
                <w:color w:val="000000" w:themeColor="text1"/>
                <w:sz w:val="21"/>
                <w:szCs w:val="21"/>
                <w14:textFill>
                  <w14:solidFill>
                    <w14:schemeClr w14:val="tx1"/>
                  </w14:solidFill>
                </w14:textFill>
              </w:rPr>
              <w:t>77</w:t>
            </w:r>
            <w:r>
              <w:rPr>
                <w:rFonts w:hint="eastAsia"/>
                <w:color w:val="000000" w:themeColor="text1"/>
                <w:sz w:val="21"/>
                <w:szCs w:val="21"/>
                <w14:textFill>
                  <w14:solidFill>
                    <w14:schemeClr w14:val="tx1"/>
                  </w14:solidFill>
                </w14:textFill>
              </w:rPr>
              <w:t>9.53</w:t>
            </w:r>
          </w:p>
        </w:tc>
        <w:tc>
          <w:tcPr>
            <w:tcW w:w="814" w:type="pct"/>
            <w:vAlign w:val="center"/>
          </w:tcPr>
          <w:p w14:paraId="0F502C69">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328.86</w:t>
            </w:r>
          </w:p>
        </w:tc>
        <w:tc>
          <w:tcPr>
            <w:tcW w:w="814" w:type="pct"/>
            <w:tcMar>
              <w:top w:w="57" w:type="dxa"/>
              <w:bottom w:w="57" w:type="dxa"/>
            </w:tcMar>
            <w:vAlign w:val="center"/>
          </w:tcPr>
          <w:p w14:paraId="6B6D9F40">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120.79</w:t>
            </w:r>
          </w:p>
        </w:tc>
        <w:tc>
          <w:tcPr>
            <w:tcW w:w="814" w:type="pct"/>
            <w:tcMar>
              <w:top w:w="57" w:type="dxa"/>
              <w:bottom w:w="57" w:type="dxa"/>
            </w:tcMar>
            <w:vAlign w:val="center"/>
          </w:tcPr>
          <w:p w14:paraId="144694AB">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59.08</w:t>
            </w:r>
          </w:p>
        </w:tc>
        <w:tc>
          <w:tcPr>
            <w:tcW w:w="815" w:type="pct"/>
            <w:vAlign w:val="center"/>
          </w:tcPr>
          <w:p w14:paraId="3428E49B">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25.53</w:t>
            </w:r>
          </w:p>
        </w:tc>
      </w:tr>
    </w:tbl>
    <w:p w14:paraId="1EB25314">
      <w:pPr>
        <w:ind w:firstLine="480"/>
        <w:jc w:val="cente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3019425" cy="3781425"/>
            <wp:effectExtent l="0" t="0" r="9525" b="9525"/>
            <wp:docPr id="263" name="图片 263" descr="G:\project\2022\jingujiang14-15#\yiyou\luone251128苯乙烯.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263" descr="G:\project\2022\jingujiang14-15#\yiyou\luone251128苯乙烯.jpg"/>
                    <pic:cNvPicPr>
                      <a:picLocks noChangeAspect="1" noChangeArrowheads="1"/>
                    </pic:cNvPicPr>
                  </pic:nvPicPr>
                  <pic:blipFill>
                    <a:blip r:embed="rId254" cstate="print">
                      <a:extLst>
                        <a:ext uri="{28A0092B-C50C-407E-A947-70E740481C1C}">
                          <a14:useLocalDpi xmlns:a14="http://schemas.microsoft.com/office/drawing/2010/main" val="0"/>
                        </a:ext>
                      </a:extLst>
                    </a:blip>
                    <a:srcRect l="490" t="1232" r="2849" b="12004"/>
                    <a:stretch>
                      <a:fillRect/>
                    </a:stretch>
                  </pic:blipFill>
                  <pic:spPr>
                    <a:xfrm>
                      <a:off x="0" y="0"/>
                      <a:ext cx="3019658" cy="3781717"/>
                    </a:xfrm>
                    <a:prstGeom prst="rect">
                      <a:avLst/>
                    </a:prstGeom>
                    <a:noFill/>
                    <a:ln>
                      <a:noFill/>
                    </a:ln>
                  </pic:spPr>
                </pic:pic>
              </a:graphicData>
            </a:graphic>
          </wp:inline>
        </w:drawing>
      </w:r>
    </w:p>
    <w:p w14:paraId="03ED4FCD">
      <w:pPr>
        <w:ind w:firstLine="482"/>
        <w:jc w:val="center"/>
        <w:rPr>
          <w:color w:val="000000" w:themeColor="text1"/>
          <w14:textFill>
            <w14:solidFill>
              <w14:schemeClr w14:val="tx1"/>
            </w14:solidFill>
          </w14:textFill>
        </w:rPr>
      </w:pPr>
      <w:r>
        <w:rPr>
          <w:rFonts w:hint="eastAsia"/>
          <w:b/>
          <w:color w:val="000000" w:themeColor="text1"/>
          <w14:textFill>
            <w14:solidFill>
              <w14:schemeClr w14:val="tx1"/>
            </w14:solidFill>
          </w14:textFill>
        </w:rPr>
        <w:t>图</w:t>
      </w:r>
      <w:r>
        <w:rPr>
          <w:rFonts w:hint="eastAsia"/>
          <w:color w:val="000000" w:themeColor="text1"/>
          <w:kern w:val="0"/>
          <w14:textFill>
            <w14:solidFill>
              <w14:schemeClr w14:val="tx1"/>
            </w14:solidFill>
          </w14:textFill>
        </w:rPr>
        <w:t>5.5.3</w:t>
      </w:r>
      <w:r>
        <w:rPr>
          <w:b/>
          <w:color w:val="000000" w:themeColor="text1"/>
          <w14:textFill>
            <w14:solidFill>
              <w14:schemeClr w14:val="tx1"/>
            </w14:solidFill>
          </w14:textFill>
        </w:rPr>
        <w:t>-23</w:t>
      </w:r>
      <w:r>
        <w:rPr>
          <w:rFonts w:hint="eastAsia"/>
          <w:b/>
          <w:color w:val="000000" w:themeColor="text1"/>
          <w14:textFill>
            <w14:solidFill>
              <w14:schemeClr w14:val="tx1"/>
            </w14:solidFill>
          </w14:textFill>
        </w:rPr>
        <w:t xml:space="preserve"> 不利风N</w:t>
      </w:r>
      <w:r>
        <w:rPr>
          <w:b/>
          <w:color w:val="000000" w:themeColor="text1"/>
          <w14:textFill>
            <w14:solidFill>
              <w14:schemeClr w14:val="tx1"/>
            </w14:solidFill>
          </w14:textFill>
        </w:rPr>
        <w:t>E</w:t>
      </w:r>
      <w:r>
        <w:rPr>
          <w:rFonts w:hint="eastAsia"/>
          <w:b/>
          <w:color w:val="000000" w:themeColor="text1"/>
          <w14:textFill>
            <w14:solidFill>
              <w14:schemeClr w14:val="tx1"/>
            </w14:solidFill>
          </w14:textFill>
        </w:rPr>
        <w:t>下落潮时苯乙烯</w:t>
      </w:r>
      <w:r>
        <w:rPr>
          <w:rFonts w:hint="eastAsia"/>
          <w:b/>
          <w:color w:val="000000" w:themeColor="text1"/>
          <w:lang w:eastAsia="zh-CN"/>
          <w14:textFill>
            <w14:solidFill>
              <w14:schemeClr w14:val="tx1"/>
            </w14:solidFill>
          </w14:textFill>
        </w:rPr>
        <w:t>泄漏</w:t>
      </w:r>
      <w:r>
        <w:rPr>
          <w:rFonts w:hint="eastAsia"/>
          <w:b/>
          <w:color w:val="000000" w:themeColor="text1"/>
          <w14:textFill>
            <w14:solidFill>
              <w14:schemeClr w14:val="tx1"/>
            </w14:solidFill>
          </w14:textFill>
        </w:rPr>
        <w:t>影响范围示意</w:t>
      </w:r>
    </w:p>
    <w:p w14:paraId="1964F5DE">
      <w:pPr>
        <w:ind w:firstLine="480"/>
        <w:jc w:val="center"/>
        <w:rPr>
          <w:rFonts w:ascii="宋体" w:hAnsi="宋体"/>
          <w:b/>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3013710" cy="3959860"/>
            <wp:effectExtent l="0" t="0" r="0" b="0"/>
            <wp:docPr id="264" name="图片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264"/>
                    <pic:cNvPicPr>
                      <a:picLocks noChangeAspect="1"/>
                    </pic:cNvPicPr>
                  </pic:nvPicPr>
                  <pic:blipFill>
                    <a:blip r:embed="rId255"/>
                    <a:stretch>
                      <a:fillRect/>
                    </a:stretch>
                  </pic:blipFill>
                  <pic:spPr>
                    <a:xfrm>
                      <a:off x="0" y="0"/>
                      <a:ext cx="3014274" cy="3960000"/>
                    </a:xfrm>
                    <a:prstGeom prst="rect">
                      <a:avLst/>
                    </a:prstGeom>
                  </pic:spPr>
                </pic:pic>
              </a:graphicData>
            </a:graphic>
          </wp:inline>
        </w:drawing>
      </w:r>
    </w:p>
    <w:p w14:paraId="280F70A8">
      <w:pPr>
        <w:spacing w:before="163" w:beforeLines="50"/>
        <w:ind w:firstLine="482"/>
        <w:jc w:val="center"/>
        <w:rPr>
          <w:rFonts w:ascii="宋体" w:hAnsi="宋体"/>
          <w:b/>
          <w:color w:val="000000" w:themeColor="text1"/>
          <w14:textFill>
            <w14:solidFill>
              <w14:schemeClr w14:val="tx1"/>
            </w14:solidFill>
          </w14:textFill>
        </w:rPr>
      </w:pPr>
      <w:r>
        <w:rPr>
          <w:rFonts w:hint="eastAsia" w:ascii="宋体" w:hAnsi="宋体"/>
          <w:b/>
          <w:color w:val="000000" w:themeColor="text1"/>
          <w14:textFill>
            <w14:solidFill>
              <w14:schemeClr w14:val="tx1"/>
            </w14:solidFill>
          </w14:textFill>
        </w:rPr>
        <w:t>图</w:t>
      </w:r>
      <w:r>
        <w:rPr>
          <w:rFonts w:hint="eastAsia"/>
          <w:color w:val="000000" w:themeColor="text1"/>
          <w:kern w:val="0"/>
          <w14:textFill>
            <w14:solidFill>
              <w14:schemeClr w14:val="tx1"/>
            </w14:solidFill>
          </w14:textFill>
        </w:rPr>
        <w:t>5.5.3</w:t>
      </w:r>
      <w:r>
        <w:rPr>
          <w:rFonts w:hint="eastAsia" w:ascii="宋体" w:hAnsi="宋体"/>
          <w:b/>
          <w:color w:val="000000" w:themeColor="text1"/>
          <w14:textFill>
            <w14:solidFill>
              <w14:schemeClr w14:val="tx1"/>
            </w14:solidFill>
          </w14:textFill>
        </w:rPr>
        <w:t>-</w:t>
      </w:r>
      <w:r>
        <w:rPr>
          <w:rFonts w:ascii="宋体" w:hAnsi="宋体"/>
          <w:b/>
          <w:color w:val="000000" w:themeColor="text1"/>
          <w14:textFill>
            <w14:solidFill>
              <w14:schemeClr w14:val="tx1"/>
            </w14:solidFill>
          </w14:textFill>
        </w:rPr>
        <w:t>24</w:t>
      </w:r>
      <w:r>
        <w:rPr>
          <w:rFonts w:hint="eastAsia" w:ascii="宋体" w:hAnsi="宋体"/>
          <w:b/>
          <w:color w:val="000000" w:themeColor="text1"/>
          <w14:textFill>
            <w14:solidFill>
              <w14:schemeClr w14:val="tx1"/>
            </w14:solidFill>
          </w14:textFill>
        </w:rPr>
        <w:t xml:space="preserve"> 不利风向NE条件下落潮时苯乙烯</w:t>
      </w:r>
      <w:r>
        <w:rPr>
          <w:rFonts w:hint="eastAsia" w:ascii="宋体" w:hAnsi="宋体"/>
          <w:b/>
          <w:color w:val="000000" w:themeColor="text1"/>
          <w:lang w:eastAsia="zh-CN"/>
          <w14:textFill>
            <w14:solidFill>
              <w14:schemeClr w14:val="tx1"/>
            </w14:solidFill>
          </w14:textFill>
        </w:rPr>
        <w:t>泄漏</w:t>
      </w:r>
      <w:r>
        <w:rPr>
          <w:rFonts w:hint="eastAsia" w:ascii="宋体" w:hAnsi="宋体"/>
          <w:b/>
          <w:color w:val="000000" w:themeColor="text1"/>
          <w14:textFill>
            <w14:solidFill>
              <w14:schemeClr w14:val="tx1"/>
            </w14:solidFill>
          </w14:textFill>
        </w:rPr>
        <w:t>的运动轨迹</w:t>
      </w:r>
    </w:p>
    <w:p w14:paraId="5AEE02E7">
      <w:pPr>
        <w:pStyle w:val="4"/>
        <w:rPr>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 可溶性化学品泄漏风险事故预测与分析</w:t>
      </w:r>
    </w:p>
    <w:p w14:paraId="7319DF1E">
      <w:pPr>
        <w:pStyle w:val="13"/>
        <w:spacing w:line="360" w:lineRule="auto"/>
        <w:ind w:firstLineChars="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本项目新增可溶性液态危险物质，包括</w:t>
      </w:r>
      <w:r>
        <w:rPr>
          <w:rFonts w:hint="eastAsia" w:ascii="宋体" w:hAnsi="宋体"/>
          <w:color w:val="000000" w:themeColor="text1"/>
          <w:sz w:val="24"/>
          <w14:textFill>
            <w14:solidFill>
              <w14:schemeClr w14:val="tx1"/>
            </w14:solidFill>
          </w14:textFill>
        </w:rPr>
        <w:t>液碱、发烟硫酸</w:t>
      </w:r>
      <w:r>
        <w:rPr>
          <w:rFonts w:hint="eastAsia"/>
          <w:color w:val="000000" w:themeColor="text1"/>
          <w:sz w:val="24"/>
          <w14:textFill>
            <w14:solidFill>
              <w14:schemeClr w14:val="tx1"/>
            </w14:solidFill>
          </w14:textFill>
        </w:rPr>
        <w:t>等，该类危险物质一旦发生泄漏事故，难以收集和处理，若发生大量泄漏入海事件将会给周围海域生态环境带来一定的污染损害。因此，选择</w:t>
      </w:r>
      <w:r>
        <w:rPr>
          <w:rFonts w:hint="eastAsia" w:ascii="宋体" w:hAnsi="宋体"/>
          <w:color w:val="000000" w:themeColor="text1"/>
          <w:sz w:val="24"/>
          <w14:textFill>
            <w14:solidFill>
              <w14:schemeClr w14:val="tx1"/>
            </w14:solidFill>
          </w14:textFill>
        </w:rPr>
        <w:t>液碱、发烟硫酸</w:t>
      </w:r>
      <w:r>
        <w:rPr>
          <w:rFonts w:hint="eastAsia"/>
          <w:color w:val="000000" w:themeColor="text1"/>
          <w:sz w:val="24"/>
          <w14:textFill>
            <w14:solidFill>
              <w14:schemeClr w14:val="tx1"/>
            </w14:solidFill>
          </w14:textFill>
        </w:rPr>
        <w:t>为此类型代表性物质进行预测评价。</w:t>
      </w:r>
    </w:p>
    <w:p w14:paraId="207ADD42">
      <w:pPr>
        <w:pStyle w:val="6"/>
        <w:ind w:left="0"/>
        <w:rPr>
          <w:color w:val="000000" w:themeColor="text1"/>
          <w14:textFill>
            <w14:solidFill>
              <w14:schemeClr w14:val="tx1"/>
            </w14:solidFill>
          </w14:textFill>
        </w:rPr>
      </w:pPr>
      <w:r>
        <w:rPr>
          <w:rFonts w:hint="eastAsia"/>
          <w:color w:val="000000" w:themeColor="text1"/>
          <w14:textFill>
            <w14:solidFill>
              <w14:schemeClr w14:val="tx1"/>
            </w14:solidFill>
          </w14:textFill>
        </w:rPr>
        <w:t>基本</w:t>
      </w:r>
      <w:r>
        <w:rPr>
          <w:color w:val="000000" w:themeColor="text1"/>
          <w14:textFill>
            <w14:solidFill>
              <w14:schemeClr w14:val="tx1"/>
            </w14:solidFill>
          </w14:textFill>
        </w:rPr>
        <w:t>方程</w:t>
      </w:r>
    </w:p>
    <w:p w14:paraId="0AFA1B21">
      <w:pPr>
        <w:pStyle w:val="13"/>
        <w:spacing w:line="360" w:lineRule="auto"/>
        <w:ind w:firstLineChars="0"/>
        <w:rPr>
          <w:color w:val="000000" w:themeColor="text1"/>
          <w:sz w:val="24"/>
          <w14:textFill>
            <w14:solidFill>
              <w14:schemeClr w14:val="tx1"/>
            </w14:solidFill>
          </w14:textFill>
        </w:rPr>
      </w:pPr>
      <w:r>
        <w:rPr>
          <w:color w:val="000000" w:themeColor="text1"/>
          <w:sz w:val="24"/>
          <w14:textFill>
            <w14:solidFill>
              <w14:schemeClr w14:val="tx1"/>
            </w14:solidFill>
          </w14:textFill>
        </w:rPr>
        <w:t>预测模式采用污染物扩散模式，与二维水流预测模式联解，即可得到可溶性物质浓度分布，模式如下：</w:t>
      </w:r>
    </w:p>
    <w:tbl>
      <w:tblPr>
        <w:tblStyle w:val="43"/>
        <w:tblW w:w="0" w:type="auto"/>
        <w:tblInd w:w="0" w:type="dxa"/>
        <w:tblLayout w:type="fixed"/>
        <w:tblCellMar>
          <w:top w:w="0" w:type="dxa"/>
          <w:left w:w="108" w:type="dxa"/>
          <w:bottom w:w="0" w:type="dxa"/>
          <w:right w:w="108" w:type="dxa"/>
        </w:tblCellMar>
      </w:tblPr>
      <w:tblGrid>
        <w:gridCol w:w="7443"/>
        <w:gridCol w:w="1079"/>
      </w:tblGrid>
      <w:tr w14:paraId="351FBB01">
        <w:tblPrEx>
          <w:tblCellMar>
            <w:top w:w="0" w:type="dxa"/>
            <w:left w:w="108" w:type="dxa"/>
            <w:bottom w:w="0" w:type="dxa"/>
            <w:right w:w="108" w:type="dxa"/>
          </w:tblCellMar>
        </w:tblPrEx>
        <w:tc>
          <w:tcPr>
            <w:tcW w:w="7443" w:type="dxa"/>
            <w:vAlign w:val="center"/>
          </w:tcPr>
          <w:p w14:paraId="5AC7BF9C">
            <w:pPr>
              <w:ind w:firstLine="440"/>
              <w:jc w:val="center"/>
              <w:rPr>
                <w:color w:val="000000" w:themeColor="text1"/>
                <w14:textFill>
                  <w14:solidFill>
                    <w14:schemeClr w14:val="tx1"/>
                  </w14:solidFill>
                </w14:textFill>
              </w:rPr>
            </w:pPr>
            <m:oMathPara>
              <m:oMath>
                <m:f>
                  <m:fPr>
                    <m:ctrlPr>
                      <w:rPr>
                        <w:rFonts w:ascii="Cambria Math" w:hAnsi="Cambria Math"/>
                        <w:color w:val="000000" w:themeColor="text1"/>
                        <w:sz w:val="22"/>
                        <w:szCs w:val="22"/>
                        <w14:textFill>
                          <w14:solidFill>
                            <w14:schemeClr w14:val="tx1"/>
                          </w14:solidFill>
                        </w14:textFill>
                      </w:rPr>
                    </m:ctrlPr>
                  </m:fPr>
                  <m:num>
                    <m:r>
                      <m:rPr>
                        <m:sty m:val="p"/>
                      </m:rPr>
                      <w:rPr>
                        <w:rFonts w:ascii="Cambria Math" w:hAnsi="Cambria Math"/>
                        <w:color w:val="000000" w:themeColor="text1"/>
                        <w:sz w:val="22"/>
                        <w:szCs w:val="22"/>
                        <w14:textFill>
                          <w14:solidFill>
                            <w14:schemeClr w14:val="tx1"/>
                          </w14:solidFill>
                        </w14:textFill>
                      </w:rPr>
                      <m:t>∂(</m:t>
                    </m:r>
                    <m:r>
                      <m:rPr/>
                      <w:rPr>
                        <w:rFonts w:ascii="Cambria Math" w:hAnsi="Cambria Math"/>
                        <w:color w:val="000000" w:themeColor="text1"/>
                        <w:sz w:val="22"/>
                        <w:szCs w:val="22"/>
                        <w14:textFill>
                          <w14:solidFill>
                            <w14:schemeClr w14:val="tx1"/>
                          </w14:solidFill>
                        </w14:textFill>
                      </w:rPr>
                      <m:t>dC</m:t>
                    </m:r>
                    <m:r>
                      <m:rPr>
                        <m:sty m:val="p"/>
                      </m:rPr>
                      <w:rPr>
                        <w:rFonts w:ascii="Cambria Math" w:hAnsi="Cambria Math"/>
                        <w:color w:val="000000" w:themeColor="text1"/>
                        <w:sz w:val="22"/>
                        <w:szCs w:val="22"/>
                        <w14:textFill>
                          <w14:solidFill>
                            <w14:schemeClr w14:val="tx1"/>
                          </w14:solidFill>
                        </w14:textFill>
                      </w:rPr>
                      <m:t>)</m:t>
                    </m:r>
                    <m:ctrlPr>
                      <w:rPr>
                        <w:rFonts w:ascii="Cambria Math" w:hAnsi="Cambria Math"/>
                        <w:color w:val="000000" w:themeColor="text1"/>
                        <w:sz w:val="22"/>
                        <w:szCs w:val="22"/>
                        <w14:textFill>
                          <w14:solidFill>
                            <w14:schemeClr w14:val="tx1"/>
                          </w14:solidFill>
                        </w14:textFill>
                      </w:rPr>
                    </m:ctrlPr>
                  </m:num>
                  <m:den>
                    <m:r>
                      <m:rPr>
                        <m:sty m:val="p"/>
                      </m:rPr>
                      <w:rPr>
                        <w:rFonts w:ascii="Cambria Math" w:hAnsi="Cambria Math"/>
                        <w:color w:val="000000" w:themeColor="text1"/>
                        <w:sz w:val="22"/>
                        <w:szCs w:val="22"/>
                        <w14:textFill>
                          <w14:solidFill>
                            <w14:schemeClr w14:val="tx1"/>
                          </w14:solidFill>
                        </w14:textFill>
                      </w:rPr>
                      <m:t>∂</m:t>
                    </m:r>
                    <m:r>
                      <m:rPr/>
                      <w:rPr>
                        <w:rFonts w:ascii="Cambria Math" w:hAnsi="Cambria Math"/>
                        <w:color w:val="000000" w:themeColor="text1"/>
                        <w:sz w:val="22"/>
                        <w:szCs w:val="22"/>
                        <w14:textFill>
                          <w14:solidFill>
                            <w14:schemeClr w14:val="tx1"/>
                          </w14:solidFill>
                        </w14:textFill>
                      </w:rPr>
                      <m:t>t</m:t>
                    </m:r>
                    <m:ctrlPr>
                      <w:rPr>
                        <w:rFonts w:ascii="Cambria Math" w:hAnsi="Cambria Math"/>
                        <w:color w:val="000000" w:themeColor="text1"/>
                        <w:sz w:val="22"/>
                        <w:szCs w:val="22"/>
                        <w14:textFill>
                          <w14:solidFill>
                            <w14:schemeClr w14:val="tx1"/>
                          </w14:solidFill>
                        </w14:textFill>
                      </w:rPr>
                    </m:ctrlPr>
                  </m:den>
                </m:f>
                <m:r>
                  <m:rPr/>
                  <w:rPr>
                    <w:rFonts w:ascii="Cambria Math" w:hAnsi="Cambria Math"/>
                    <w:color w:val="000000" w:themeColor="text1"/>
                    <w:sz w:val="22"/>
                    <w:szCs w:val="22"/>
                    <w14:textFill>
                      <w14:solidFill>
                        <w14:schemeClr w14:val="tx1"/>
                      </w14:solidFill>
                    </w14:textFill>
                  </w:rPr>
                  <m:t>+</m:t>
                </m:r>
                <m:f>
                  <m:fPr>
                    <m:ctrlPr>
                      <w:rPr>
                        <w:rFonts w:ascii="Cambria Math" w:hAnsi="Cambria Math"/>
                        <w:color w:val="000000" w:themeColor="text1"/>
                        <w:sz w:val="22"/>
                        <w:szCs w:val="22"/>
                        <w14:textFill>
                          <w14:solidFill>
                            <w14:schemeClr w14:val="tx1"/>
                          </w14:solidFill>
                        </w14:textFill>
                      </w:rPr>
                    </m:ctrlPr>
                  </m:fPr>
                  <m:num>
                    <m:r>
                      <m:rPr>
                        <m:sty m:val="p"/>
                      </m:rPr>
                      <w:rPr>
                        <w:rFonts w:ascii="Cambria Math" w:hAnsi="Cambria Math"/>
                        <w:color w:val="000000" w:themeColor="text1"/>
                        <w:sz w:val="22"/>
                        <w:szCs w:val="22"/>
                        <w14:textFill>
                          <w14:solidFill>
                            <w14:schemeClr w14:val="tx1"/>
                          </w14:solidFill>
                        </w14:textFill>
                      </w:rPr>
                      <m:t>∂(</m:t>
                    </m:r>
                    <m:r>
                      <m:rPr/>
                      <w:rPr>
                        <w:rFonts w:ascii="Cambria Math" w:hAnsi="Cambria Math"/>
                        <w:color w:val="000000" w:themeColor="text1"/>
                        <w:sz w:val="22"/>
                        <w:szCs w:val="22"/>
                        <w14:textFill>
                          <w14:solidFill>
                            <w14:schemeClr w14:val="tx1"/>
                          </w14:solidFill>
                        </w14:textFill>
                      </w:rPr>
                      <m:t>duC</m:t>
                    </m:r>
                    <m:r>
                      <m:rPr>
                        <m:sty m:val="p"/>
                      </m:rPr>
                      <w:rPr>
                        <w:rFonts w:ascii="Cambria Math" w:hAnsi="Cambria Math"/>
                        <w:color w:val="000000" w:themeColor="text1"/>
                        <w:sz w:val="22"/>
                        <w:szCs w:val="22"/>
                        <w14:textFill>
                          <w14:solidFill>
                            <w14:schemeClr w14:val="tx1"/>
                          </w14:solidFill>
                        </w14:textFill>
                      </w:rPr>
                      <m:t>)</m:t>
                    </m:r>
                    <m:ctrlPr>
                      <w:rPr>
                        <w:rFonts w:ascii="Cambria Math" w:hAnsi="Cambria Math"/>
                        <w:color w:val="000000" w:themeColor="text1"/>
                        <w:sz w:val="22"/>
                        <w:szCs w:val="22"/>
                        <w14:textFill>
                          <w14:solidFill>
                            <w14:schemeClr w14:val="tx1"/>
                          </w14:solidFill>
                        </w14:textFill>
                      </w:rPr>
                    </m:ctrlPr>
                  </m:num>
                  <m:den>
                    <m:r>
                      <m:rPr>
                        <m:sty m:val="p"/>
                      </m:rPr>
                      <w:rPr>
                        <w:rFonts w:ascii="Cambria Math" w:hAnsi="Cambria Math"/>
                        <w:color w:val="000000" w:themeColor="text1"/>
                        <w:sz w:val="22"/>
                        <w:szCs w:val="22"/>
                        <w14:textFill>
                          <w14:solidFill>
                            <w14:schemeClr w14:val="tx1"/>
                          </w14:solidFill>
                        </w14:textFill>
                      </w:rPr>
                      <m:t>∂</m:t>
                    </m:r>
                    <m:r>
                      <m:rPr/>
                      <w:rPr>
                        <w:rFonts w:ascii="Cambria Math" w:hAnsi="Cambria Math"/>
                        <w:color w:val="000000" w:themeColor="text1"/>
                        <w:sz w:val="22"/>
                        <w:szCs w:val="22"/>
                        <w14:textFill>
                          <w14:solidFill>
                            <w14:schemeClr w14:val="tx1"/>
                          </w14:solidFill>
                        </w14:textFill>
                      </w:rPr>
                      <m:t>x</m:t>
                    </m:r>
                    <m:ctrlPr>
                      <w:rPr>
                        <w:rFonts w:ascii="Cambria Math" w:hAnsi="Cambria Math"/>
                        <w:color w:val="000000" w:themeColor="text1"/>
                        <w:sz w:val="22"/>
                        <w:szCs w:val="22"/>
                        <w14:textFill>
                          <w14:solidFill>
                            <w14:schemeClr w14:val="tx1"/>
                          </w14:solidFill>
                        </w14:textFill>
                      </w:rPr>
                    </m:ctrlPr>
                  </m:den>
                </m:f>
                <m:r>
                  <m:rPr/>
                  <w:rPr>
                    <w:rFonts w:ascii="Cambria Math" w:hAnsi="Cambria Math"/>
                    <w:color w:val="000000" w:themeColor="text1"/>
                    <w:sz w:val="22"/>
                    <w:szCs w:val="22"/>
                    <w14:textFill>
                      <w14:solidFill>
                        <w14:schemeClr w14:val="tx1"/>
                      </w14:solidFill>
                    </w14:textFill>
                  </w:rPr>
                  <m:t>+</m:t>
                </m:r>
                <m:f>
                  <m:fPr>
                    <m:ctrlPr>
                      <w:rPr>
                        <w:rFonts w:ascii="Cambria Math" w:hAnsi="Cambria Math"/>
                        <w:color w:val="000000" w:themeColor="text1"/>
                        <w:sz w:val="22"/>
                        <w:szCs w:val="22"/>
                        <w14:textFill>
                          <w14:solidFill>
                            <w14:schemeClr w14:val="tx1"/>
                          </w14:solidFill>
                        </w14:textFill>
                      </w:rPr>
                    </m:ctrlPr>
                  </m:fPr>
                  <m:num>
                    <m:r>
                      <m:rPr>
                        <m:sty m:val="p"/>
                      </m:rPr>
                      <w:rPr>
                        <w:rFonts w:ascii="Cambria Math" w:hAnsi="Cambria Math"/>
                        <w:color w:val="000000" w:themeColor="text1"/>
                        <w:sz w:val="22"/>
                        <w:szCs w:val="22"/>
                        <w14:textFill>
                          <w14:solidFill>
                            <w14:schemeClr w14:val="tx1"/>
                          </w14:solidFill>
                        </w14:textFill>
                      </w:rPr>
                      <m:t>∂(</m:t>
                    </m:r>
                    <m:r>
                      <m:rPr/>
                      <w:rPr>
                        <w:rFonts w:ascii="Cambria Math" w:hAnsi="Cambria Math"/>
                        <w:color w:val="000000" w:themeColor="text1"/>
                        <w:sz w:val="22"/>
                        <w:szCs w:val="22"/>
                        <w14:textFill>
                          <w14:solidFill>
                            <w14:schemeClr w14:val="tx1"/>
                          </w14:solidFill>
                        </w14:textFill>
                      </w:rPr>
                      <m:t>dvC</m:t>
                    </m:r>
                    <m:r>
                      <m:rPr>
                        <m:sty m:val="p"/>
                      </m:rPr>
                      <w:rPr>
                        <w:rFonts w:ascii="Cambria Math" w:hAnsi="Cambria Math"/>
                        <w:color w:val="000000" w:themeColor="text1"/>
                        <w:sz w:val="22"/>
                        <w:szCs w:val="22"/>
                        <w14:textFill>
                          <w14:solidFill>
                            <w14:schemeClr w14:val="tx1"/>
                          </w14:solidFill>
                        </w14:textFill>
                      </w:rPr>
                      <m:t>)</m:t>
                    </m:r>
                    <m:ctrlPr>
                      <w:rPr>
                        <w:rFonts w:ascii="Cambria Math" w:hAnsi="Cambria Math"/>
                        <w:color w:val="000000" w:themeColor="text1"/>
                        <w:sz w:val="22"/>
                        <w:szCs w:val="22"/>
                        <w14:textFill>
                          <w14:solidFill>
                            <w14:schemeClr w14:val="tx1"/>
                          </w14:solidFill>
                        </w14:textFill>
                      </w:rPr>
                    </m:ctrlPr>
                  </m:num>
                  <m:den>
                    <m:r>
                      <m:rPr>
                        <m:sty m:val="p"/>
                      </m:rPr>
                      <w:rPr>
                        <w:rFonts w:ascii="Cambria Math" w:hAnsi="Cambria Math"/>
                        <w:color w:val="000000" w:themeColor="text1"/>
                        <w:sz w:val="22"/>
                        <w:szCs w:val="22"/>
                        <w14:textFill>
                          <w14:solidFill>
                            <w14:schemeClr w14:val="tx1"/>
                          </w14:solidFill>
                        </w14:textFill>
                      </w:rPr>
                      <m:t>∂</m:t>
                    </m:r>
                    <m:r>
                      <m:rPr/>
                      <w:rPr>
                        <w:rFonts w:ascii="Cambria Math" w:hAnsi="Cambria Math"/>
                        <w:color w:val="000000" w:themeColor="text1"/>
                        <w:sz w:val="22"/>
                        <w:szCs w:val="22"/>
                        <w14:textFill>
                          <w14:solidFill>
                            <w14:schemeClr w14:val="tx1"/>
                          </w14:solidFill>
                        </w14:textFill>
                      </w:rPr>
                      <m:t>y</m:t>
                    </m:r>
                    <m:ctrlPr>
                      <w:rPr>
                        <w:rFonts w:ascii="Cambria Math" w:hAnsi="Cambria Math"/>
                        <w:color w:val="000000" w:themeColor="text1"/>
                        <w:sz w:val="22"/>
                        <w:szCs w:val="22"/>
                        <w14:textFill>
                          <w14:solidFill>
                            <w14:schemeClr w14:val="tx1"/>
                          </w14:solidFill>
                        </w14:textFill>
                      </w:rPr>
                    </m:ctrlPr>
                  </m:den>
                </m:f>
                <m:r>
                  <m:rPr/>
                  <w:rPr>
                    <w:rFonts w:ascii="Cambria Math" w:hAnsi="Cambria Math"/>
                    <w:color w:val="000000" w:themeColor="text1"/>
                    <w:sz w:val="22"/>
                    <w:szCs w:val="22"/>
                    <w14:textFill>
                      <w14:solidFill>
                        <w14:schemeClr w14:val="tx1"/>
                      </w14:solidFill>
                    </w14:textFill>
                  </w:rPr>
                  <m:t>=</m:t>
                </m:r>
                <m:f>
                  <m:fPr>
                    <m:ctrlPr>
                      <w:rPr>
                        <w:rFonts w:ascii="Cambria Math" w:hAnsi="Cambria Math"/>
                        <w:color w:val="000000" w:themeColor="text1"/>
                        <w:sz w:val="22"/>
                        <w:szCs w:val="22"/>
                        <w14:textFill>
                          <w14:solidFill>
                            <w14:schemeClr w14:val="tx1"/>
                          </w14:solidFill>
                        </w14:textFill>
                      </w:rPr>
                    </m:ctrlPr>
                  </m:fPr>
                  <m:num>
                    <m:r>
                      <m:rPr>
                        <m:sty m:val="p"/>
                      </m:rPr>
                      <w:rPr>
                        <w:rFonts w:ascii="Cambria Math" w:hAnsi="Cambria Math"/>
                        <w:color w:val="000000" w:themeColor="text1"/>
                        <w:sz w:val="22"/>
                        <w:szCs w:val="22"/>
                        <w14:textFill>
                          <w14:solidFill>
                            <w14:schemeClr w14:val="tx1"/>
                          </w14:solidFill>
                        </w14:textFill>
                      </w:rPr>
                      <m:t>∂</m:t>
                    </m:r>
                    <m:ctrlPr>
                      <w:rPr>
                        <w:rFonts w:ascii="Cambria Math" w:hAnsi="Cambria Math"/>
                        <w:color w:val="000000" w:themeColor="text1"/>
                        <w:sz w:val="22"/>
                        <w:szCs w:val="22"/>
                        <w14:textFill>
                          <w14:solidFill>
                            <w14:schemeClr w14:val="tx1"/>
                          </w14:solidFill>
                        </w14:textFill>
                      </w:rPr>
                    </m:ctrlPr>
                  </m:num>
                  <m:den>
                    <m:r>
                      <m:rPr>
                        <m:sty m:val="p"/>
                      </m:rPr>
                      <w:rPr>
                        <w:rFonts w:ascii="Cambria Math" w:hAnsi="Cambria Math"/>
                        <w:color w:val="000000" w:themeColor="text1"/>
                        <w:sz w:val="22"/>
                        <w:szCs w:val="22"/>
                        <w14:textFill>
                          <w14:solidFill>
                            <w14:schemeClr w14:val="tx1"/>
                          </w14:solidFill>
                        </w14:textFill>
                      </w:rPr>
                      <m:t>∂</m:t>
                    </m:r>
                    <m:r>
                      <m:rPr/>
                      <w:rPr>
                        <w:rFonts w:ascii="Cambria Math" w:hAnsi="Cambria Math"/>
                        <w:color w:val="000000" w:themeColor="text1"/>
                        <w:sz w:val="22"/>
                        <w:szCs w:val="22"/>
                        <w14:textFill>
                          <w14:solidFill>
                            <w14:schemeClr w14:val="tx1"/>
                          </w14:solidFill>
                        </w14:textFill>
                      </w:rPr>
                      <m:t>x</m:t>
                    </m:r>
                    <m:ctrlPr>
                      <w:rPr>
                        <w:rFonts w:ascii="Cambria Math" w:hAnsi="Cambria Math"/>
                        <w:color w:val="000000" w:themeColor="text1"/>
                        <w:sz w:val="22"/>
                        <w:szCs w:val="22"/>
                        <w14:textFill>
                          <w14:solidFill>
                            <w14:schemeClr w14:val="tx1"/>
                          </w14:solidFill>
                        </w14:textFill>
                      </w:rPr>
                    </m:ctrlPr>
                  </m:den>
                </m:f>
                <m:d>
                  <m:dPr>
                    <m:ctrlPr>
                      <w:rPr>
                        <w:rFonts w:ascii="Cambria Math" w:hAnsi="Cambria Math"/>
                        <w:i/>
                        <w:color w:val="000000" w:themeColor="text1"/>
                        <w:sz w:val="22"/>
                        <w:szCs w:val="22"/>
                        <w14:textFill>
                          <w14:solidFill>
                            <w14:schemeClr w14:val="tx1"/>
                          </w14:solidFill>
                        </w14:textFill>
                      </w:rPr>
                    </m:ctrlPr>
                  </m:dPr>
                  <m:e>
                    <m:r>
                      <m:rPr/>
                      <w:rPr>
                        <w:rFonts w:ascii="Cambria Math" w:hAnsi="Cambria Math"/>
                        <w:color w:val="000000" w:themeColor="text1"/>
                        <w:sz w:val="22"/>
                        <w:szCs w:val="22"/>
                        <w14:textFill>
                          <w14:solidFill>
                            <w14:schemeClr w14:val="tx1"/>
                          </w14:solidFill>
                        </w14:textFill>
                      </w:rPr>
                      <m:t>d</m:t>
                    </m:r>
                    <m:sSub>
                      <m:sSubPr>
                        <m:ctrlPr>
                          <w:rPr>
                            <w:rFonts w:ascii="Cambria Math" w:hAnsi="Cambria Math"/>
                            <w:i/>
                            <w:color w:val="000000" w:themeColor="text1"/>
                            <w:sz w:val="22"/>
                            <w:szCs w:val="22"/>
                            <w14:textFill>
                              <w14:solidFill>
                                <w14:schemeClr w14:val="tx1"/>
                              </w14:solidFill>
                            </w14:textFill>
                          </w:rPr>
                        </m:ctrlPr>
                      </m:sSubPr>
                      <m:e>
                        <m:r>
                          <m:rPr/>
                          <w:rPr>
                            <w:rFonts w:ascii="Cambria Math" w:hAnsi="Cambria Math"/>
                            <w:color w:val="000000" w:themeColor="text1"/>
                            <w:sz w:val="22"/>
                            <w:szCs w:val="22"/>
                            <w14:textFill>
                              <w14:solidFill>
                                <w14:schemeClr w14:val="tx1"/>
                              </w14:solidFill>
                            </w14:textFill>
                          </w:rPr>
                          <m:t>ε</m:t>
                        </m:r>
                        <m:ctrlPr>
                          <w:rPr>
                            <w:rFonts w:ascii="Cambria Math" w:hAnsi="Cambria Math"/>
                            <w:i/>
                            <w:color w:val="000000" w:themeColor="text1"/>
                            <w:sz w:val="22"/>
                            <w:szCs w:val="22"/>
                            <w14:textFill>
                              <w14:solidFill>
                                <w14:schemeClr w14:val="tx1"/>
                              </w14:solidFill>
                            </w14:textFill>
                          </w:rPr>
                        </m:ctrlPr>
                      </m:e>
                      <m:sub>
                        <m:r>
                          <m:rPr/>
                          <w:rPr>
                            <w:rFonts w:ascii="Cambria Math" w:hAnsi="Cambria Math"/>
                            <w:color w:val="000000" w:themeColor="text1"/>
                            <w:sz w:val="22"/>
                            <w:szCs w:val="22"/>
                            <w14:textFill>
                              <w14:solidFill>
                                <w14:schemeClr w14:val="tx1"/>
                              </w14:solidFill>
                            </w14:textFill>
                          </w:rPr>
                          <m:t>x</m:t>
                        </m:r>
                        <m:ctrlPr>
                          <w:rPr>
                            <w:rFonts w:ascii="Cambria Math" w:hAnsi="Cambria Math"/>
                            <w:i/>
                            <w:color w:val="000000" w:themeColor="text1"/>
                            <w:sz w:val="22"/>
                            <w:szCs w:val="22"/>
                            <w14:textFill>
                              <w14:solidFill>
                                <w14:schemeClr w14:val="tx1"/>
                              </w14:solidFill>
                            </w14:textFill>
                          </w:rPr>
                        </m:ctrlPr>
                      </m:sub>
                    </m:sSub>
                    <m:f>
                      <m:fPr>
                        <m:ctrlPr>
                          <w:rPr>
                            <w:rFonts w:ascii="Cambria Math" w:hAnsi="Cambria Math"/>
                            <w:color w:val="000000" w:themeColor="text1"/>
                            <w:sz w:val="22"/>
                            <w:szCs w:val="22"/>
                            <w14:textFill>
                              <w14:solidFill>
                                <w14:schemeClr w14:val="tx1"/>
                              </w14:solidFill>
                            </w14:textFill>
                          </w:rPr>
                        </m:ctrlPr>
                      </m:fPr>
                      <m:num>
                        <m:r>
                          <m:rPr>
                            <m:sty m:val="p"/>
                          </m:rPr>
                          <w:rPr>
                            <w:rFonts w:ascii="Cambria Math" w:hAnsi="Cambria Math"/>
                            <w:color w:val="000000" w:themeColor="text1"/>
                            <w:sz w:val="22"/>
                            <w:szCs w:val="22"/>
                            <w14:textFill>
                              <w14:solidFill>
                                <w14:schemeClr w14:val="tx1"/>
                              </w14:solidFill>
                            </w14:textFill>
                          </w:rPr>
                          <m:t>∂</m:t>
                        </m:r>
                        <m:r>
                          <m:rPr/>
                          <w:rPr>
                            <w:rFonts w:ascii="Cambria Math" w:hAnsi="Cambria Math"/>
                            <w:color w:val="000000" w:themeColor="text1"/>
                            <w:sz w:val="22"/>
                            <w:szCs w:val="22"/>
                            <w14:textFill>
                              <w14:solidFill>
                                <w14:schemeClr w14:val="tx1"/>
                              </w14:solidFill>
                            </w14:textFill>
                          </w:rPr>
                          <m:t>C</m:t>
                        </m:r>
                        <m:ctrlPr>
                          <w:rPr>
                            <w:rFonts w:ascii="Cambria Math" w:hAnsi="Cambria Math"/>
                            <w:color w:val="000000" w:themeColor="text1"/>
                            <w:sz w:val="22"/>
                            <w:szCs w:val="22"/>
                            <w14:textFill>
                              <w14:solidFill>
                                <w14:schemeClr w14:val="tx1"/>
                              </w14:solidFill>
                            </w14:textFill>
                          </w:rPr>
                        </m:ctrlPr>
                      </m:num>
                      <m:den>
                        <m:r>
                          <m:rPr>
                            <m:sty m:val="p"/>
                          </m:rPr>
                          <w:rPr>
                            <w:rFonts w:ascii="Cambria Math" w:hAnsi="Cambria Math"/>
                            <w:color w:val="000000" w:themeColor="text1"/>
                            <w:sz w:val="22"/>
                            <w:szCs w:val="22"/>
                            <w14:textFill>
                              <w14:solidFill>
                                <w14:schemeClr w14:val="tx1"/>
                              </w14:solidFill>
                            </w14:textFill>
                          </w:rPr>
                          <m:t>∂</m:t>
                        </m:r>
                        <m:r>
                          <m:rPr/>
                          <w:rPr>
                            <w:rFonts w:ascii="Cambria Math" w:hAnsi="Cambria Math"/>
                            <w:color w:val="000000" w:themeColor="text1"/>
                            <w:sz w:val="22"/>
                            <w:szCs w:val="22"/>
                            <w14:textFill>
                              <w14:solidFill>
                                <w14:schemeClr w14:val="tx1"/>
                              </w14:solidFill>
                            </w14:textFill>
                          </w:rPr>
                          <m:t>x</m:t>
                        </m:r>
                        <m:ctrlPr>
                          <w:rPr>
                            <w:rFonts w:ascii="Cambria Math" w:hAnsi="Cambria Math"/>
                            <w:color w:val="000000" w:themeColor="text1"/>
                            <w:sz w:val="22"/>
                            <w:szCs w:val="22"/>
                            <w14:textFill>
                              <w14:solidFill>
                                <w14:schemeClr w14:val="tx1"/>
                              </w14:solidFill>
                            </w14:textFill>
                          </w:rPr>
                        </m:ctrlPr>
                      </m:den>
                    </m:f>
                    <m:ctrlPr>
                      <w:rPr>
                        <w:rFonts w:ascii="Cambria Math" w:hAnsi="Cambria Math"/>
                        <w:i/>
                        <w:color w:val="000000" w:themeColor="text1"/>
                        <w:sz w:val="22"/>
                        <w:szCs w:val="22"/>
                        <w14:textFill>
                          <w14:solidFill>
                            <w14:schemeClr w14:val="tx1"/>
                          </w14:solidFill>
                        </w14:textFill>
                      </w:rPr>
                    </m:ctrlPr>
                  </m:e>
                </m:d>
                <m:r>
                  <m:rPr/>
                  <w:rPr>
                    <w:rFonts w:ascii="Cambria Math" w:hAnsi="Cambria Math"/>
                    <w:color w:val="000000" w:themeColor="text1"/>
                    <w:sz w:val="22"/>
                    <w:szCs w:val="22"/>
                    <w14:textFill>
                      <w14:solidFill>
                        <w14:schemeClr w14:val="tx1"/>
                      </w14:solidFill>
                    </w14:textFill>
                  </w:rPr>
                  <m:t>+</m:t>
                </m:r>
                <m:f>
                  <m:fPr>
                    <m:ctrlPr>
                      <w:rPr>
                        <w:rFonts w:ascii="Cambria Math" w:hAnsi="Cambria Math"/>
                        <w:color w:val="000000" w:themeColor="text1"/>
                        <w:sz w:val="22"/>
                        <w:szCs w:val="22"/>
                        <w14:textFill>
                          <w14:solidFill>
                            <w14:schemeClr w14:val="tx1"/>
                          </w14:solidFill>
                        </w14:textFill>
                      </w:rPr>
                    </m:ctrlPr>
                  </m:fPr>
                  <m:num>
                    <m:r>
                      <m:rPr>
                        <m:sty m:val="p"/>
                      </m:rPr>
                      <w:rPr>
                        <w:rFonts w:ascii="Cambria Math" w:hAnsi="Cambria Math"/>
                        <w:color w:val="000000" w:themeColor="text1"/>
                        <w:sz w:val="22"/>
                        <w:szCs w:val="22"/>
                        <w14:textFill>
                          <w14:solidFill>
                            <w14:schemeClr w14:val="tx1"/>
                          </w14:solidFill>
                        </w14:textFill>
                      </w:rPr>
                      <m:t>∂</m:t>
                    </m:r>
                    <m:ctrlPr>
                      <w:rPr>
                        <w:rFonts w:ascii="Cambria Math" w:hAnsi="Cambria Math"/>
                        <w:color w:val="000000" w:themeColor="text1"/>
                        <w:sz w:val="22"/>
                        <w:szCs w:val="22"/>
                        <w14:textFill>
                          <w14:solidFill>
                            <w14:schemeClr w14:val="tx1"/>
                          </w14:solidFill>
                        </w14:textFill>
                      </w:rPr>
                    </m:ctrlPr>
                  </m:num>
                  <m:den>
                    <m:r>
                      <m:rPr>
                        <m:sty m:val="p"/>
                      </m:rPr>
                      <w:rPr>
                        <w:rFonts w:ascii="Cambria Math" w:hAnsi="Cambria Math"/>
                        <w:color w:val="000000" w:themeColor="text1"/>
                        <w:sz w:val="22"/>
                        <w:szCs w:val="22"/>
                        <w14:textFill>
                          <w14:solidFill>
                            <w14:schemeClr w14:val="tx1"/>
                          </w14:solidFill>
                        </w14:textFill>
                      </w:rPr>
                      <m:t>∂</m:t>
                    </m:r>
                    <m:r>
                      <m:rPr/>
                      <w:rPr>
                        <w:rFonts w:ascii="Cambria Math" w:hAnsi="Cambria Math"/>
                        <w:color w:val="000000" w:themeColor="text1"/>
                        <w:sz w:val="22"/>
                        <w:szCs w:val="22"/>
                        <w14:textFill>
                          <w14:solidFill>
                            <w14:schemeClr w14:val="tx1"/>
                          </w14:solidFill>
                        </w14:textFill>
                      </w:rPr>
                      <m:t>y</m:t>
                    </m:r>
                    <m:ctrlPr>
                      <w:rPr>
                        <w:rFonts w:ascii="Cambria Math" w:hAnsi="Cambria Math"/>
                        <w:color w:val="000000" w:themeColor="text1"/>
                        <w:sz w:val="22"/>
                        <w:szCs w:val="22"/>
                        <w14:textFill>
                          <w14:solidFill>
                            <w14:schemeClr w14:val="tx1"/>
                          </w14:solidFill>
                        </w14:textFill>
                      </w:rPr>
                    </m:ctrlPr>
                  </m:den>
                </m:f>
                <m:d>
                  <m:dPr>
                    <m:ctrlPr>
                      <w:rPr>
                        <w:rFonts w:ascii="Cambria Math" w:hAnsi="Cambria Math"/>
                        <w:i/>
                        <w:color w:val="000000" w:themeColor="text1"/>
                        <w:sz w:val="22"/>
                        <w:szCs w:val="22"/>
                        <w14:textFill>
                          <w14:solidFill>
                            <w14:schemeClr w14:val="tx1"/>
                          </w14:solidFill>
                        </w14:textFill>
                      </w:rPr>
                    </m:ctrlPr>
                  </m:dPr>
                  <m:e>
                    <m:r>
                      <m:rPr/>
                      <w:rPr>
                        <w:rFonts w:ascii="Cambria Math" w:hAnsi="Cambria Math"/>
                        <w:color w:val="000000" w:themeColor="text1"/>
                        <w:sz w:val="22"/>
                        <w:szCs w:val="22"/>
                        <w14:textFill>
                          <w14:solidFill>
                            <w14:schemeClr w14:val="tx1"/>
                          </w14:solidFill>
                        </w14:textFill>
                      </w:rPr>
                      <m:t>d</m:t>
                    </m:r>
                    <m:sSub>
                      <m:sSubPr>
                        <m:ctrlPr>
                          <w:rPr>
                            <w:rFonts w:ascii="Cambria Math" w:hAnsi="Cambria Math"/>
                            <w:i/>
                            <w:color w:val="000000" w:themeColor="text1"/>
                            <w:sz w:val="22"/>
                            <w:szCs w:val="22"/>
                            <w14:textFill>
                              <w14:solidFill>
                                <w14:schemeClr w14:val="tx1"/>
                              </w14:solidFill>
                            </w14:textFill>
                          </w:rPr>
                        </m:ctrlPr>
                      </m:sSubPr>
                      <m:e>
                        <m:r>
                          <m:rPr/>
                          <w:rPr>
                            <w:rFonts w:ascii="Cambria Math" w:hAnsi="Cambria Math"/>
                            <w:color w:val="000000" w:themeColor="text1"/>
                            <w:sz w:val="22"/>
                            <w:szCs w:val="22"/>
                            <w14:textFill>
                              <w14:solidFill>
                                <w14:schemeClr w14:val="tx1"/>
                              </w14:solidFill>
                            </w14:textFill>
                          </w:rPr>
                          <m:t>ε</m:t>
                        </m:r>
                        <m:ctrlPr>
                          <w:rPr>
                            <w:rFonts w:ascii="Cambria Math" w:hAnsi="Cambria Math"/>
                            <w:i/>
                            <w:color w:val="000000" w:themeColor="text1"/>
                            <w:sz w:val="22"/>
                            <w:szCs w:val="22"/>
                            <w14:textFill>
                              <w14:solidFill>
                                <w14:schemeClr w14:val="tx1"/>
                              </w14:solidFill>
                            </w14:textFill>
                          </w:rPr>
                        </m:ctrlPr>
                      </m:e>
                      <m:sub>
                        <m:r>
                          <m:rPr/>
                          <w:rPr>
                            <w:rFonts w:ascii="Cambria Math" w:hAnsi="Cambria Math"/>
                            <w:color w:val="000000" w:themeColor="text1"/>
                            <w:sz w:val="22"/>
                            <w:szCs w:val="22"/>
                            <w14:textFill>
                              <w14:solidFill>
                                <w14:schemeClr w14:val="tx1"/>
                              </w14:solidFill>
                            </w14:textFill>
                          </w:rPr>
                          <m:t>y</m:t>
                        </m:r>
                        <m:ctrlPr>
                          <w:rPr>
                            <w:rFonts w:ascii="Cambria Math" w:hAnsi="Cambria Math"/>
                            <w:i/>
                            <w:color w:val="000000" w:themeColor="text1"/>
                            <w:sz w:val="22"/>
                            <w:szCs w:val="22"/>
                            <w14:textFill>
                              <w14:solidFill>
                                <w14:schemeClr w14:val="tx1"/>
                              </w14:solidFill>
                            </w14:textFill>
                          </w:rPr>
                        </m:ctrlPr>
                      </m:sub>
                    </m:sSub>
                    <m:f>
                      <m:fPr>
                        <m:ctrlPr>
                          <w:rPr>
                            <w:rFonts w:ascii="Cambria Math" w:hAnsi="Cambria Math"/>
                            <w:color w:val="000000" w:themeColor="text1"/>
                            <w:sz w:val="22"/>
                            <w:szCs w:val="22"/>
                            <w14:textFill>
                              <w14:solidFill>
                                <w14:schemeClr w14:val="tx1"/>
                              </w14:solidFill>
                            </w14:textFill>
                          </w:rPr>
                        </m:ctrlPr>
                      </m:fPr>
                      <m:num>
                        <m:r>
                          <m:rPr>
                            <m:sty m:val="p"/>
                          </m:rPr>
                          <w:rPr>
                            <w:rFonts w:ascii="Cambria Math" w:hAnsi="Cambria Math"/>
                            <w:color w:val="000000" w:themeColor="text1"/>
                            <w:sz w:val="22"/>
                            <w:szCs w:val="22"/>
                            <w14:textFill>
                              <w14:solidFill>
                                <w14:schemeClr w14:val="tx1"/>
                              </w14:solidFill>
                            </w14:textFill>
                          </w:rPr>
                          <m:t>∂</m:t>
                        </m:r>
                        <m:r>
                          <m:rPr/>
                          <w:rPr>
                            <w:rFonts w:ascii="Cambria Math" w:hAnsi="Cambria Math"/>
                            <w:color w:val="000000" w:themeColor="text1"/>
                            <w:sz w:val="22"/>
                            <w:szCs w:val="22"/>
                            <w14:textFill>
                              <w14:solidFill>
                                <w14:schemeClr w14:val="tx1"/>
                              </w14:solidFill>
                            </w14:textFill>
                          </w:rPr>
                          <m:t>C</m:t>
                        </m:r>
                        <m:ctrlPr>
                          <w:rPr>
                            <w:rFonts w:ascii="Cambria Math" w:hAnsi="Cambria Math"/>
                            <w:color w:val="000000" w:themeColor="text1"/>
                            <w:sz w:val="22"/>
                            <w:szCs w:val="22"/>
                            <w14:textFill>
                              <w14:solidFill>
                                <w14:schemeClr w14:val="tx1"/>
                              </w14:solidFill>
                            </w14:textFill>
                          </w:rPr>
                        </m:ctrlPr>
                      </m:num>
                      <m:den>
                        <m:r>
                          <m:rPr>
                            <m:sty m:val="p"/>
                          </m:rPr>
                          <w:rPr>
                            <w:rFonts w:ascii="Cambria Math" w:hAnsi="Cambria Math"/>
                            <w:color w:val="000000" w:themeColor="text1"/>
                            <w:sz w:val="22"/>
                            <w:szCs w:val="22"/>
                            <w14:textFill>
                              <w14:solidFill>
                                <w14:schemeClr w14:val="tx1"/>
                              </w14:solidFill>
                            </w14:textFill>
                          </w:rPr>
                          <m:t>∂</m:t>
                        </m:r>
                        <m:r>
                          <m:rPr/>
                          <w:rPr>
                            <w:rFonts w:ascii="Cambria Math" w:hAnsi="Cambria Math"/>
                            <w:color w:val="000000" w:themeColor="text1"/>
                            <w:sz w:val="22"/>
                            <w:szCs w:val="22"/>
                            <w14:textFill>
                              <w14:solidFill>
                                <w14:schemeClr w14:val="tx1"/>
                              </w14:solidFill>
                            </w14:textFill>
                          </w:rPr>
                          <m:t>y</m:t>
                        </m:r>
                        <m:ctrlPr>
                          <w:rPr>
                            <w:rFonts w:ascii="Cambria Math" w:hAnsi="Cambria Math"/>
                            <w:color w:val="000000" w:themeColor="text1"/>
                            <w:sz w:val="22"/>
                            <w:szCs w:val="22"/>
                            <w14:textFill>
                              <w14:solidFill>
                                <w14:schemeClr w14:val="tx1"/>
                              </w14:solidFill>
                            </w14:textFill>
                          </w:rPr>
                        </m:ctrlPr>
                      </m:den>
                    </m:f>
                    <m:ctrlPr>
                      <w:rPr>
                        <w:rFonts w:ascii="Cambria Math" w:hAnsi="Cambria Math"/>
                        <w:i/>
                        <w:color w:val="000000" w:themeColor="text1"/>
                        <w:sz w:val="22"/>
                        <w:szCs w:val="22"/>
                        <w14:textFill>
                          <w14:solidFill>
                            <w14:schemeClr w14:val="tx1"/>
                          </w14:solidFill>
                        </w14:textFill>
                      </w:rPr>
                    </m:ctrlPr>
                  </m:e>
                </m:d>
                <m:r>
                  <m:rPr/>
                  <w:rPr>
                    <w:rFonts w:ascii="Cambria Math" w:hAnsi="Cambria Math"/>
                    <w:color w:val="000000" w:themeColor="text1"/>
                    <w:sz w:val="22"/>
                    <w:szCs w:val="22"/>
                    <w14:textFill>
                      <w14:solidFill>
                        <w14:schemeClr w14:val="tx1"/>
                      </w14:solidFill>
                    </w14:textFill>
                  </w:rPr>
                  <m:t>+M−KC</m:t>
                </m:r>
              </m:oMath>
            </m:oMathPara>
          </w:p>
        </w:tc>
        <w:tc>
          <w:tcPr>
            <w:tcW w:w="1079" w:type="dxa"/>
            <w:vAlign w:val="center"/>
          </w:tcPr>
          <w:p w14:paraId="658BFBFC">
            <w:pPr>
              <w:ind w:firstLine="48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8</w:t>
            </w:r>
            <w:r>
              <w:rPr>
                <w:rFonts w:hint="eastAsia"/>
                <w:color w:val="000000" w:themeColor="text1"/>
                <w14:textFill>
                  <w14:solidFill>
                    <w14:schemeClr w14:val="tx1"/>
                  </w14:solidFill>
                </w14:textFill>
              </w:rPr>
              <w:t>）</w:t>
            </w:r>
          </w:p>
        </w:tc>
      </w:tr>
    </w:tbl>
    <w:p w14:paraId="489AE4F7">
      <w:pPr>
        <w:pStyle w:val="35"/>
        <w:spacing w:after="0" w:line="360" w:lineRule="auto"/>
        <w:ind w:left="0" w:leftChars="0"/>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式中：</w:t>
      </w:r>
      <w:r>
        <w:rPr>
          <w:rFonts w:hint="eastAsia"/>
          <w:i/>
          <w:color w:val="000000" w:themeColor="text1"/>
          <w:sz w:val="24"/>
          <w:szCs w:val="24"/>
          <w14:textFill>
            <w14:solidFill>
              <w14:schemeClr w14:val="tx1"/>
            </w14:solidFill>
          </w14:textFill>
        </w:rPr>
        <w:t>C</w:t>
      </w:r>
      <w:r>
        <w:rPr>
          <w:rFonts w:hint="eastAsia"/>
          <w:color w:val="000000" w:themeColor="text1"/>
          <w:sz w:val="24"/>
          <w:szCs w:val="24"/>
          <w14:textFill>
            <w14:solidFill>
              <w14:schemeClr w14:val="tx1"/>
            </w14:solidFill>
          </w14:textFill>
        </w:rPr>
        <w:t>为</w:t>
      </w:r>
      <w:r>
        <w:rPr>
          <w:color w:val="000000" w:themeColor="text1"/>
          <w:sz w:val="24"/>
          <w:szCs w:val="24"/>
          <w14:textFill>
            <w14:solidFill>
              <w14:schemeClr w14:val="tx1"/>
            </w14:solidFill>
          </w14:textFill>
        </w:rPr>
        <w:t>污染物浓度；</w:t>
      </w:r>
      <w:r>
        <w:rPr>
          <w:i/>
          <w:color w:val="000000" w:themeColor="text1"/>
          <w:sz w:val="24"/>
          <w:szCs w:val="24"/>
          <w14:textFill>
            <w14:solidFill>
              <w14:schemeClr w14:val="tx1"/>
            </w14:solidFill>
          </w14:textFill>
        </w:rPr>
        <w:t>M</w:t>
      </w:r>
      <w:r>
        <w:rPr>
          <w:color w:val="000000" w:themeColor="text1"/>
          <w:sz w:val="24"/>
          <w:szCs w:val="24"/>
          <w14:textFill>
            <w14:solidFill>
              <w14:schemeClr w14:val="tx1"/>
            </w14:solidFill>
          </w14:textFill>
        </w:rPr>
        <w:t>为源项；</w:t>
      </w:r>
      <w:r>
        <w:rPr>
          <w:rFonts w:hint="eastAsia"/>
          <w:i/>
          <w:color w:val="000000" w:themeColor="text1"/>
          <w:sz w:val="24"/>
          <w14:textFill>
            <w14:solidFill>
              <w14:schemeClr w14:val="tx1"/>
            </w14:solidFill>
          </w14:textFill>
        </w:rPr>
        <w:t>KC</w:t>
      </w:r>
      <w:r>
        <w:rPr>
          <w:rFonts w:hint="eastAsia"/>
          <w:color w:val="000000" w:themeColor="text1"/>
          <w:sz w:val="24"/>
          <w14:textFill>
            <w14:solidFill>
              <w14:schemeClr w14:val="tx1"/>
            </w14:solidFill>
          </w14:textFill>
        </w:rPr>
        <w:t>为耗散项，</w:t>
      </w:r>
      <w:r>
        <w:rPr>
          <w:rFonts w:hint="eastAsia"/>
          <w:i/>
          <w:color w:val="000000" w:themeColor="text1"/>
          <w:sz w:val="24"/>
          <w14:textFill>
            <w14:solidFill>
              <w14:schemeClr w14:val="tx1"/>
            </w14:solidFill>
          </w14:textFill>
        </w:rPr>
        <w:t>K</w:t>
      </w:r>
      <w:r>
        <w:rPr>
          <w:rFonts w:hint="eastAsia"/>
          <w:color w:val="000000" w:themeColor="text1"/>
          <w:sz w:val="24"/>
          <w14:textFill>
            <w14:solidFill>
              <w14:schemeClr w14:val="tx1"/>
            </w14:solidFill>
          </w14:textFill>
        </w:rPr>
        <w:t>为耗散系数（衰减系数），从保守偏安全角度考虑，本次预测衰减系数</w:t>
      </w:r>
      <w:r>
        <w:rPr>
          <w:rFonts w:hint="eastAsia"/>
          <w:i/>
          <w:color w:val="000000" w:themeColor="text1"/>
          <w:sz w:val="24"/>
          <w14:textFill>
            <w14:solidFill>
              <w14:schemeClr w14:val="tx1"/>
            </w14:solidFill>
          </w14:textFill>
        </w:rPr>
        <w:t>K</w:t>
      </w:r>
      <w:r>
        <w:rPr>
          <w:rFonts w:hint="eastAsia"/>
          <w:color w:val="000000" w:themeColor="text1"/>
          <w:sz w:val="24"/>
          <w14:textFill>
            <w14:solidFill>
              <w14:schemeClr w14:val="tx1"/>
            </w14:solidFill>
          </w14:textFill>
        </w:rPr>
        <w:t>取值为零；</w:t>
      </w:r>
      <w:r>
        <w:rPr>
          <w:rFonts w:hint="eastAsia"/>
          <w:color w:val="000000" w:themeColor="text1"/>
          <w:sz w:val="24"/>
          <w:lang w:eastAsia="zh-CN"/>
          <w14:textFill>
            <w14:solidFill>
              <w14:schemeClr w14:val="tx1"/>
            </w14:solidFill>
          </w14:textFill>
        </w:rPr>
        <w:t>其他</w:t>
      </w:r>
      <w:r>
        <w:rPr>
          <w:color w:val="000000" w:themeColor="text1"/>
          <w:sz w:val="24"/>
          <w:szCs w:val="24"/>
          <w14:textFill>
            <w14:solidFill>
              <w14:schemeClr w14:val="tx1"/>
            </w14:solidFill>
          </w14:textFill>
        </w:rPr>
        <w:t>符号同前。</w:t>
      </w:r>
      <w:r>
        <w:rPr>
          <w:rFonts w:hint="eastAsia"/>
          <w:color w:val="000000" w:themeColor="text1"/>
          <w:sz w:val="24"/>
          <w14:textFill>
            <w14:solidFill>
              <w14:schemeClr w14:val="tx1"/>
            </w14:solidFill>
          </w14:textFill>
        </w:rPr>
        <w:t>通过联立水动力方程（1）-（3）数值求解污染物扩散方程。</w:t>
      </w:r>
    </w:p>
    <w:p w14:paraId="6DE82267">
      <w:pPr>
        <w:pStyle w:val="6"/>
        <w:ind w:left="0"/>
        <w:rPr>
          <w:color w:val="000000" w:themeColor="text1"/>
          <w14:textFill>
            <w14:solidFill>
              <w14:schemeClr w14:val="tx1"/>
            </w14:solidFill>
          </w14:textFill>
        </w:rPr>
      </w:pPr>
      <w:r>
        <w:rPr>
          <w:rFonts w:hint="eastAsia"/>
          <w:color w:val="000000" w:themeColor="text1"/>
          <w14:textFill>
            <w14:solidFill>
              <w14:schemeClr w14:val="tx1"/>
            </w14:solidFill>
          </w14:textFill>
        </w:rPr>
        <w:t>源强</w:t>
      </w:r>
    </w:p>
    <w:p w14:paraId="0C88BDAB">
      <w:pPr>
        <w:pStyle w:val="13"/>
        <w:spacing w:line="360" w:lineRule="auto"/>
        <w:ind w:firstLineChars="0"/>
        <w:rPr>
          <w:rFonts w:ascii="宋体" w:hAnsi="宋体"/>
          <w:color w:val="000000" w:themeColor="text1"/>
          <w:sz w:val="24"/>
          <w14:textFill>
            <w14:solidFill>
              <w14:schemeClr w14:val="tx1"/>
            </w14:solidFill>
          </w14:textFill>
        </w:rPr>
      </w:pPr>
      <w:r>
        <w:rPr>
          <w:rFonts w:ascii="宋体" w:hAnsi="宋体"/>
          <w:color w:val="000000" w:themeColor="text1"/>
          <w:sz w:val="24"/>
          <w14:textFill>
            <w14:solidFill>
              <w14:schemeClr w14:val="tx1"/>
            </w14:solidFill>
          </w14:textFill>
        </w:rPr>
        <w:t>参考《水上溢油环境风险评估技术导则》（</w:t>
      </w:r>
      <w:r>
        <w:rPr>
          <w:color w:val="000000" w:themeColor="text1"/>
          <w:sz w:val="24"/>
          <w14:textFill>
            <w14:solidFill>
              <w14:schemeClr w14:val="tx1"/>
            </w14:solidFill>
          </w14:textFill>
        </w:rPr>
        <w:t>JT/T114-2017</w:t>
      </w:r>
      <w:r>
        <w:rPr>
          <w:rFonts w:ascii="宋体" w:hAnsi="宋体"/>
          <w:color w:val="000000" w:themeColor="text1"/>
          <w:sz w:val="24"/>
          <w14:textFill>
            <w14:solidFill>
              <w14:schemeClr w14:val="tx1"/>
            </w14:solidFill>
          </w14:textFill>
        </w:rPr>
        <w:t>）表</w:t>
      </w:r>
      <w:r>
        <w:rPr>
          <w:color w:val="000000" w:themeColor="text1"/>
          <w:sz w:val="24"/>
          <w14:textFill>
            <w14:solidFill>
              <w14:schemeClr w14:val="tx1"/>
            </w14:solidFill>
          </w14:textFill>
        </w:rPr>
        <w:t>C.</w:t>
      </w:r>
      <w:r>
        <w:rPr>
          <w:rFonts w:hint="eastAsia"/>
          <w:color w:val="000000" w:themeColor="text1"/>
          <w:sz w:val="24"/>
          <w14:textFill>
            <w14:solidFill>
              <w14:schemeClr w14:val="tx1"/>
            </w14:solidFill>
          </w14:textFill>
        </w:rPr>
        <w:t>1</w:t>
      </w:r>
      <w:r>
        <w:rPr>
          <w:rFonts w:ascii="宋体" w:hAnsi="宋体"/>
          <w:color w:val="000000" w:themeColor="text1"/>
          <w:sz w:val="24"/>
          <w14:textFill>
            <w14:solidFill>
              <w14:schemeClr w14:val="tx1"/>
            </w14:solidFill>
          </w14:textFill>
        </w:rPr>
        <w:t>中</w:t>
      </w:r>
      <w:r>
        <w:rPr>
          <w:rFonts w:hint="eastAsia"/>
          <w:color w:val="000000" w:themeColor="text1"/>
          <w:sz w:val="24"/>
          <w14:textFill>
            <w14:solidFill>
              <w14:schemeClr w14:val="tx1"/>
            </w14:solidFill>
          </w14:textFill>
        </w:rPr>
        <w:t>5000</w:t>
      </w:r>
      <w:r>
        <w:rPr>
          <w:rFonts w:hint="eastAsia" w:ascii="宋体" w:hAnsi="宋体"/>
          <w:color w:val="000000" w:themeColor="text1"/>
          <w:sz w:val="24"/>
          <w14:textFill>
            <w14:solidFill>
              <w14:schemeClr w14:val="tx1"/>
            </w14:solidFill>
          </w14:textFill>
        </w:rPr>
        <w:t>～</w:t>
      </w:r>
      <w:r>
        <w:rPr>
          <w:rFonts w:hint="eastAsia"/>
          <w:color w:val="000000" w:themeColor="text1"/>
          <w:sz w:val="24"/>
          <w14:textFill>
            <w14:solidFill>
              <w14:schemeClr w14:val="tx1"/>
            </w14:solidFill>
          </w14:textFill>
        </w:rPr>
        <w:t>1</w:t>
      </w:r>
      <w:r>
        <w:rPr>
          <w:color w:val="000000" w:themeColor="text1"/>
          <w:sz w:val="24"/>
          <w14:textFill>
            <w14:solidFill>
              <w14:schemeClr w14:val="tx1"/>
            </w14:solidFill>
          </w14:textFill>
        </w:rPr>
        <w:t>0000</w:t>
      </w:r>
      <w:r>
        <w:rPr>
          <w:rFonts w:ascii="宋体" w:hAnsi="宋体"/>
          <w:color w:val="000000" w:themeColor="text1"/>
          <w:sz w:val="24"/>
          <w14:textFill>
            <w14:solidFill>
              <w14:schemeClr w14:val="tx1"/>
            </w14:solidFill>
          </w14:textFill>
        </w:rPr>
        <w:t>吨级单个舱容取</w:t>
      </w:r>
      <w:r>
        <w:rPr>
          <w:rFonts w:hint="eastAsia"/>
          <w:color w:val="000000" w:themeColor="text1"/>
          <w:sz w:val="24"/>
          <w14:textFill>
            <w14:solidFill>
              <w14:schemeClr w14:val="tx1"/>
            </w14:solidFill>
          </w14:textFill>
        </w:rPr>
        <w:t>425</w:t>
      </w:r>
      <w:r>
        <w:rPr>
          <w:rFonts w:hint="eastAsia" w:ascii="宋体" w:hAnsi="宋体"/>
          <w:color w:val="000000" w:themeColor="text1"/>
          <w:sz w:val="24"/>
          <w14:textFill>
            <w14:solidFill>
              <w14:schemeClr w14:val="tx1"/>
            </w14:solidFill>
          </w14:textFill>
        </w:rPr>
        <w:t>～</w:t>
      </w:r>
      <w:r>
        <w:rPr>
          <w:rFonts w:hint="eastAsia"/>
          <w:color w:val="000000" w:themeColor="text1"/>
          <w:sz w:val="24"/>
          <w14:textFill>
            <w14:solidFill>
              <w14:schemeClr w14:val="tx1"/>
            </w14:solidFill>
          </w14:textFill>
        </w:rPr>
        <w:t>1063</w:t>
      </w:r>
      <w:r>
        <w:rPr>
          <w:color w:val="000000" w:themeColor="text1"/>
          <w:sz w:val="24"/>
          <w14:textFill>
            <w14:solidFill>
              <w14:schemeClr w14:val="tx1"/>
            </w14:solidFill>
          </w14:textFill>
        </w:rPr>
        <w:t>m</w:t>
      </w:r>
      <w:r>
        <w:rPr>
          <w:color w:val="000000" w:themeColor="text1"/>
          <w:sz w:val="24"/>
          <w:vertAlign w:val="superscript"/>
          <w14:textFill>
            <w14:solidFill>
              <w14:schemeClr w14:val="tx1"/>
            </w14:solidFill>
          </w14:textFill>
        </w:rPr>
        <w:t>3</w:t>
      </w:r>
      <w:r>
        <w:rPr>
          <w:rFonts w:ascii="宋体" w:hAnsi="宋体"/>
          <w:color w:val="000000" w:themeColor="text1"/>
          <w:sz w:val="24"/>
          <w14:textFill>
            <w14:solidFill>
              <w14:schemeClr w14:val="tx1"/>
            </w14:solidFill>
          </w14:textFill>
        </w:rPr>
        <w:t>，可能最大水上泄漏量为</w:t>
      </w:r>
      <w:r>
        <w:rPr>
          <w:color w:val="000000" w:themeColor="text1"/>
          <w:sz w:val="24"/>
          <w14:textFill>
            <w14:solidFill>
              <w14:schemeClr w14:val="tx1"/>
            </w14:solidFill>
          </w14:textFill>
        </w:rPr>
        <w:t>1</w:t>
      </w:r>
      <w:r>
        <w:rPr>
          <w:rFonts w:ascii="宋体" w:hAnsi="宋体"/>
          <w:color w:val="000000" w:themeColor="text1"/>
          <w:sz w:val="24"/>
          <w14:textFill>
            <w14:solidFill>
              <w14:schemeClr w14:val="tx1"/>
            </w14:solidFill>
          </w14:textFill>
        </w:rPr>
        <w:t>个货油边舱全部</w:t>
      </w:r>
      <w:r>
        <w:rPr>
          <w:rFonts w:hint="eastAsia" w:ascii="宋体" w:hAnsi="宋体"/>
          <w:color w:val="000000" w:themeColor="text1"/>
          <w:sz w:val="24"/>
          <w14:textFill>
            <w14:solidFill>
              <w14:schemeClr w14:val="tx1"/>
            </w14:solidFill>
          </w14:textFill>
        </w:rPr>
        <w:t>泄漏。</w:t>
      </w:r>
      <w:r>
        <w:rPr>
          <w:rFonts w:ascii="宋体" w:hAnsi="宋体"/>
          <w:color w:val="000000" w:themeColor="text1"/>
          <w:sz w:val="24"/>
          <w14:textFill>
            <w14:solidFill>
              <w14:schemeClr w14:val="tx1"/>
            </w14:solidFill>
          </w14:textFill>
        </w:rPr>
        <w:t>本次选</w:t>
      </w:r>
      <w:r>
        <w:rPr>
          <w:rFonts w:hint="eastAsia" w:ascii="宋体" w:hAnsi="宋体"/>
          <w:color w:val="000000" w:themeColor="text1"/>
          <w:sz w:val="24"/>
          <w14:textFill>
            <w14:solidFill>
              <w14:schemeClr w14:val="tx1"/>
            </w14:solidFill>
          </w14:textFill>
        </w:rPr>
        <w:t>取的液碱、发烟硫酸最大船型为5000吨级，</w:t>
      </w:r>
      <w:r>
        <w:rPr>
          <w:rFonts w:ascii="宋体" w:hAnsi="宋体"/>
          <w:color w:val="000000" w:themeColor="text1"/>
          <w:sz w:val="24"/>
          <w14:textFill>
            <w14:solidFill>
              <w14:schemeClr w14:val="tx1"/>
            </w14:solidFill>
          </w14:textFill>
        </w:rPr>
        <w:t>根据各物质密度</w:t>
      </w:r>
      <w:r>
        <w:rPr>
          <w:rFonts w:hint="eastAsia" w:ascii="宋体" w:hAnsi="宋体"/>
          <w:color w:val="000000" w:themeColor="text1"/>
          <w:sz w:val="24"/>
          <w14:textFill>
            <w14:solidFill>
              <w14:schemeClr w14:val="tx1"/>
            </w14:solidFill>
          </w14:textFill>
        </w:rPr>
        <w:t>，计算得到液碱、发烟硫酸可能最大事故</w:t>
      </w:r>
      <w:r>
        <w:rPr>
          <w:rFonts w:hint="eastAsia" w:ascii="宋体" w:hAnsi="宋体"/>
          <w:color w:val="000000" w:themeColor="text1"/>
          <w:sz w:val="24"/>
          <w:lang w:eastAsia="zh-CN"/>
          <w14:textFill>
            <w14:solidFill>
              <w14:schemeClr w14:val="tx1"/>
            </w14:solidFill>
          </w14:textFill>
        </w:rPr>
        <w:t>泄漏</w:t>
      </w:r>
      <w:r>
        <w:rPr>
          <w:rFonts w:hint="eastAsia" w:ascii="宋体" w:hAnsi="宋体"/>
          <w:color w:val="000000" w:themeColor="text1"/>
          <w:sz w:val="24"/>
          <w14:textFill>
            <w14:solidFill>
              <w14:schemeClr w14:val="tx1"/>
            </w14:solidFill>
          </w14:textFill>
        </w:rPr>
        <w:t>量分别为</w:t>
      </w:r>
      <w:r>
        <w:rPr>
          <w:color w:val="000000" w:themeColor="text1"/>
          <w:sz w:val="24"/>
          <w14:textFill>
            <w14:solidFill>
              <w14:schemeClr w14:val="tx1"/>
            </w14:solidFill>
          </w14:textFill>
        </w:rPr>
        <w:t>552.5t、807.5t</w:t>
      </w:r>
      <w:r>
        <w:rPr>
          <w:rFonts w:hint="eastAsia" w:ascii="宋体" w:hAnsi="宋体"/>
          <w:color w:val="000000" w:themeColor="text1"/>
          <w:sz w:val="24"/>
          <w14:textFill>
            <w14:solidFill>
              <w14:schemeClr w14:val="tx1"/>
            </w14:solidFill>
          </w14:textFill>
        </w:rPr>
        <w:t>。</w:t>
      </w:r>
      <w:r>
        <w:rPr>
          <w:rFonts w:hint="eastAsia" w:ascii="宋体" w:hAnsi="宋体"/>
          <w:color w:val="000000" w:themeColor="text1"/>
          <w:sz w:val="24"/>
          <w:lang w:eastAsia="zh-CN"/>
          <w14:textFill>
            <w14:solidFill>
              <w14:schemeClr w14:val="tx1"/>
            </w14:solidFill>
          </w14:textFill>
        </w:rPr>
        <w:t>泄漏</w:t>
      </w:r>
      <w:r>
        <w:rPr>
          <w:rFonts w:hint="eastAsia" w:ascii="宋体" w:hAnsi="宋体"/>
          <w:color w:val="000000" w:themeColor="text1"/>
          <w:sz w:val="24"/>
          <w14:textFill>
            <w14:solidFill>
              <w14:schemeClr w14:val="tx1"/>
            </w14:solidFill>
          </w14:textFill>
        </w:rPr>
        <w:t>位置假设为本项目码头前沿水域。</w:t>
      </w:r>
    </w:p>
    <w:p w14:paraId="3073E9F5">
      <w:pPr>
        <w:pStyle w:val="6"/>
        <w:ind w:left="0"/>
        <w:rPr>
          <w:color w:val="000000" w:themeColor="text1"/>
          <w14:textFill>
            <w14:solidFill>
              <w14:schemeClr w14:val="tx1"/>
            </w14:solidFill>
          </w14:textFill>
        </w:rPr>
      </w:pPr>
      <w:r>
        <w:rPr>
          <w:color w:val="000000" w:themeColor="text1"/>
          <w14:textFill>
            <w14:solidFill>
              <w14:schemeClr w14:val="tx1"/>
            </w14:solidFill>
          </w14:textFill>
        </w:rPr>
        <w:t>预测结果</w:t>
      </w:r>
    </w:p>
    <w:p w14:paraId="44628EF1">
      <w:pPr>
        <w:pStyle w:val="13"/>
        <w:spacing w:line="360" w:lineRule="auto"/>
        <w:ind w:firstLineChars="175"/>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（1）液碱</w:t>
      </w:r>
    </w:p>
    <w:p w14:paraId="11A6EBE8">
      <w:pPr>
        <w:pStyle w:val="13"/>
        <w:spacing w:line="360" w:lineRule="auto"/>
        <w:ind w:firstLineChars="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类似地，根</w:t>
      </w:r>
      <w:r>
        <w:rPr>
          <w:color w:val="000000" w:themeColor="text1"/>
          <w:sz w:val="24"/>
          <w14:textFill>
            <w14:solidFill>
              <w14:schemeClr w14:val="tx1"/>
            </w14:solidFill>
          </w14:textFill>
        </w:rPr>
        <w:t>据</w:t>
      </w:r>
      <w:r>
        <w:rPr>
          <w:rFonts w:hint="eastAsia"/>
          <w:color w:val="000000" w:themeColor="text1"/>
          <w:sz w:val="24"/>
          <w14:textFill>
            <w14:solidFill>
              <w14:schemeClr w14:val="tx1"/>
            </w14:solidFill>
          </w14:textFill>
        </w:rPr>
        <w:t>前</w:t>
      </w:r>
      <w:r>
        <w:rPr>
          <w:color w:val="000000" w:themeColor="text1"/>
          <w:sz w:val="24"/>
          <w14:textFill>
            <w14:solidFill>
              <w14:schemeClr w14:val="tx1"/>
            </w14:solidFill>
          </w14:textFill>
        </w:rPr>
        <w:t>述条件进行预测计算，</w:t>
      </w:r>
      <w:r>
        <w:rPr>
          <w:rFonts w:hint="eastAsia"/>
          <w:color w:val="000000" w:themeColor="text1"/>
          <w:sz w:val="24"/>
          <w14:textFill>
            <w14:solidFill>
              <w14:schemeClr w14:val="tx1"/>
            </w14:solidFill>
          </w14:textFill>
        </w:rPr>
        <w:t>得到</w:t>
      </w:r>
      <w:r>
        <w:rPr>
          <w:rFonts w:hint="eastAsia" w:ascii="宋体" w:hAnsi="宋体"/>
          <w:color w:val="000000" w:themeColor="text1"/>
          <w:sz w:val="24"/>
          <w14:textFill>
            <w14:solidFill>
              <w14:schemeClr w14:val="tx1"/>
            </w14:solidFill>
          </w14:textFill>
        </w:rPr>
        <w:t>液碱</w:t>
      </w:r>
      <w:r>
        <w:rPr>
          <w:rFonts w:hint="eastAsia"/>
          <w:color w:val="000000" w:themeColor="text1"/>
          <w:sz w:val="24"/>
          <w14:textFill>
            <w14:solidFill>
              <w14:schemeClr w14:val="tx1"/>
            </w14:solidFill>
          </w14:textFill>
        </w:rPr>
        <w:t>分别在</w:t>
      </w:r>
      <w:r>
        <w:rPr>
          <w:color w:val="000000" w:themeColor="text1"/>
          <w:sz w:val="24"/>
          <w14:textFill>
            <w14:solidFill>
              <w14:schemeClr w14:val="tx1"/>
            </w14:solidFill>
          </w14:textFill>
        </w:rPr>
        <w:t>涨潮</w:t>
      </w:r>
      <w:r>
        <w:rPr>
          <w:rFonts w:hint="eastAsia"/>
          <w:color w:val="000000" w:themeColor="text1"/>
          <w:sz w:val="24"/>
          <w14:textFill>
            <w14:solidFill>
              <w14:schemeClr w14:val="tx1"/>
            </w14:solidFill>
          </w14:textFill>
        </w:rPr>
        <w:t>阶段、</w:t>
      </w:r>
      <w:r>
        <w:rPr>
          <w:color w:val="000000" w:themeColor="text1"/>
          <w:sz w:val="24"/>
          <w14:textFill>
            <w14:solidFill>
              <w14:schemeClr w14:val="tx1"/>
            </w14:solidFill>
          </w14:textFill>
        </w:rPr>
        <w:t>落潮</w:t>
      </w:r>
      <w:r>
        <w:rPr>
          <w:rFonts w:hint="eastAsia"/>
          <w:color w:val="000000" w:themeColor="text1"/>
          <w:sz w:val="24"/>
          <w14:textFill>
            <w14:solidFill>
              <w14:schemeClr w14:val="tx1"/>
            </w14:solidFill>
          </w14:textFill>
        </w:rPr>
        <w:t>阶段泄漏后不同</w:t>
      </w:r>
      <w:r>
        <w:rPr>
          <w:color w:val="000000" w:themeColor="text1"/>
          <w:sz w:val="24"/>
          <w14:textFill>
            <w14:solidFill>
              <w14:schemeClr w14:val="tx1"/>
            </w14:solidFill>
          </w14:textFill>
        </w:rPr>
        <w:t>浓度</w:t>
      </w:r>
      <w:r>
        <w:rPr>
          <w:rFonts w:hint="eastAsia"/>
          <w:color w:val="000000" w:themeColor="text1"/>
          <w:sz w:val="24"/>
          <w14:textFill>
            <w14:solidFill>
              <w14:schemeClr w14:val="tx1"/>
            </w14:solidFill>
          </w14:textFill>
        </w:rPr>
        <w:t>增量的</w:t>
      </w:r>
      <w:r>
        <w:rPr>
          <w:color w:val="000000" w:themeColor="text1"/>
          <w:sz w:val="24"/>
          <w14:textFill>
            <w14:solidFill>
              <w14:schemeClr w14:val="tx1"/>
            </w14:solidFill>
          </w14:textFill>
        </w:rPr>
        <w:t>影响包络</w:t>
      </w:r>
      <w:r>
        <w:rPr>
          <w:rFonts w:hint="eastAsia"/>
          <w:color w:val="000000" w:themeColor="text1"/>
          <w:sz w:val="24"/>
          <w14:textFill>
            <w14:solidFill>
              <w14:schemeClr w14:val="tx1"/>
            </w14:solidFill>
          </w14:textFill>
        </w:rPr>
        <w:t>范围(</w:t>
      </w:r>
      <w:r>
        <w:rPr>
          <w:color w:val="000000" w:themeColor="text1"/>
          <w:sz w:val="24"/>
          <w14:textFill>
            <w14:solidFill>
              <w14:schemeClr w14:val="tx1"/>
            </w14:solidFill>
          </w14:textFill>
        </w:rPr>
        <w:t>见图</w:t>
      </w:r>
      <w:r>
        <w:rPr>
          <w:rFonts w:hint="eastAsia"/>
          <w:b/>
          <w:color w:val="000000" w:themeColor="text1"/>
          <w:sz w:val="24"/>
          <w14:textFill>
            <w14:solidFill>
              <w14:schemeClr w14:val="tx1"/>
            </w14:solidFill>
          </w14:textFill>
        </w:rPr>
        <w:t>5.5.4</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3</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图</w:t>
      </w:r>
      <w:r>
        <w:rPr>
          <w:rFonts w:hint="eastAsia"/>
          <w:b/>
          <w:color w:val="000000" w:themeColor="text1"/>
          <w:sz w:val="24"/>
          <w14:textFill>
            <w14:solidFill>
              <w14:schemeClr w14:val="tx1"/>
            </w14:solidFill>
          </w14:textFill>
        </w:rPr>
        <w:t>5.5.4</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4</w:t>
      </w:r>
      <w:r>
        <w:rPr>
          <w:rFonts w:hint="eastAsia"/>
          <w:color w:val="000000" w:themeColor="text1"/>
          <w:sz w:val="24"/>
          <w14:textFill>
            <w14:solidFill>
              <w14:schemeClr w14:val="tx1"/>
            </w14:solidFill>
          </w14:textFill>
        </w:rPr>
        <w:t>)，其中最外层</w:t>
      </w:r>
      <w:r>
        <w:rPr>
          <w:rFonts w:hint="eastAsia" w:ascii="宋体" w:hAnsi="宋体"/>
          <w:color w:val="000000" w:themeColor="text1"/>
          <w:sz w:val="24"/>
          <w14:textFill>
            <w14:solidFill>
              <w14:schemeClr w14:val="tx1"/>
            </w14:solidFill>
          </w14:textFill>
        </w:rPr>
        <w:t>液碱</w:t>
      </w:r>
      <w:r>
        <w:rPr>
          <w:rFonts w:hint="eastAsia"/>
          <w:color w:val="000000" w:themeColor="text1"/>
          <w:sz w:val="24"/>
          <w14:textFill>
            <w14:solidFill>
              <w14:schemeClr w14:val="tx1"/>
            </w14:solidFill>
          </w14:textFill>
        </w:rPr>
        <w:t>浓度为</w:t>
      </w:r>
      <w:r>
        <w:rPr>
          <w:color w:val="000000" w:themeColor="text1"/>
          <w:sz w:val="24"/>
          <w14:textFill>
            <w14:solidFill>
              <w14:schemeClr w14:val="tx1"/>
            </w14:solidFill>
          </w14:textFill>
        </w:rPr>
        <w:t>0.001mg/L</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对应的影响区域面积和最远扩散距离见表</w:t>
      </w:r>
      <w:r>
        <w:rPr>
          <w:rFonts w:hint="eastAsia"/>
          <w:color w:val="000000" w:themeColor="text1"/>
          <w:sz w:val="24"/>
          <w14:textFill>
            <w14:solidFill>
              <w14:schemeClr w14:val="tx1"/>
            </w14:solidFill>
          </w14:textFill>
        </w:rPr>
        <w:t>5.5-16</w:t>
      </w:r>
      <w:r>
        <w:rPr>
          <w:color w:val="000000" w:themeColor="text1"/>
          <w:sz w:val="24"/>
          <w14:textFill>
            <w14:solidFill>
              <w14:schemeClr w14:val="tx1"/>
            </w14:solidFill>
          </w14:textFill>
        </w:rPr>
        <w:t>。</w:t>
      </w:r>
    </w:p>
    <w:p w14:paraId="2494F7F1">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从图</w:t>
      </w:r>
      <w:r>
        <w:rPr>
          <w:rFonts w:hint="eastAsia"/>
          <w:b/>
          <w:color w:val="000000" w:themeColor="text1"/>
          <w14:textFill>
            <w14:solidFill>
              <w14:schemeClr w14:val="tx1"/>
            </w14:solidFill>
          </w14:textFill>
        </w:rPr>
        <w:t>5.5.4</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3</w:t>
      </w:r>
      <w:r>
        <w:rPr>
          <w:rFonts w:hint="eastAsia"/>
          <w:color w:val="000000" w:themeColor="text1"/>
          <w14:textFill>
            <w14:solidFill>
              <w14:schemeClr w14:val="tx1"/>
            </w14:solidFill>
          </w14:textFill>
        </w:rPr>
        <w:t>~图</w:t>
      </w:r>
      <w:r>
        <w:rPr>
          <w:rFonts w:hint="eastAsia"/>
          <w:b/>
          <w:color w:val="000000" w:themeColor="text1"/>
          <w14:textFill>
            <w14:solidFill>
              <w14:schemeClr w14:val="tx1"/>
            </w14:solidFill>
          </w14:textFill>
        </w:rPr>
        <w:t>5.5.4</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4</w:t>
      </w:r>
      <w:r>
        <w:rPr>
          <w:rFonts w:hint="eastAsia"/>
          <w:color w:val="000000" w:themeColor="text1"/>
          <w14:textFill>
            <w14:solidFill>
              <w14:schemeClr w14:val="tx1"/>
            </w14:solidFill>
          </w14:textFill>
        </w:rPr>
        <w:t>及表5.5-16可以看出，涨潮阶段发生</w:t>
      </w:r>
      <w:r>
        <w:rPr>
          <w:rFonts w:hint="eastAsia" w:ascii="宋体" w:hAnsi="宋体"/>
          <w:color w:val="000000" w:themeColor="text1"/>
          <w14:textFill>
            <w14:solidFill>
              <w14:schemeClr w14:val="tx1"/>
            </w14:solidFill>
          </w14:textFill>
        </w:rPr>
        <w:t>液碱</w:t>
      </w:r>
      <w:r>
        <w:rPr>
          <w:rFonts w:hint="eastAsia" w:ascii="宋体" w:hAnsi="宋体"/>
          <w:color w:val="000000" w:themeColor="text1"/>
          <w:lang w:eastAsia="zh-CN"/>
          <w14:textFill>
            <w14:solidFill>
              <w14:schemeClr w14:val="tx1"/>
            </w14:solidFill>
          </w14:textFill>
        </w:rPr>
        <w:t>泄漏</w:t>
      </w:r>
      <w:r>
        <w:rPr>
          <w:rFonts w:hint="eastAsia"/>
          <w:color w:val="000000" w:themeColor="text1"/>
          <w14:textFill>
            <w14:solidFill>
              <w14:schemeClr w14:val="tx1"/>
            </w14:solidFill>
          </w14:textFill>
        </w:rPr>
        <w:t>事故时，</w:t>
      </w:r>
      <w:r>
        <w:rPr>
          <w:rFonts w:hint="eastAsia" w:ascii="宋体" w:hAnsi="宋体"/>
          <w:color w:val="000000" w:themeColor="text1"/>
          <w14:textFill>
            <w14:solidFill>
              <w14:schemeClr w14:val="tx1"/>
            </w14:solidFill>
          </w14:textFill>
        </w:rPr>
        <w:t>液碱</w:t>
      </w:r>
      <w:r>
        <w:rPr>
          <w:rFonts w:hint="eastAsia"/>
          <w:color w:val="000000" w:themeColor="text1"/>
          <w14:textFill>
            <w14:solidFill>
              <w14:schemeClr w14:val="tx1"/>
            </w14:solidFill>
          </w14:textFill>
        </w:rPr>
        <w:t>浓度大于</w:t>
      </w:r>
      <w:r>
        <w:rPr>
          <w:color w:val="000000" w:themeColor="text1"/>
          <w14:textFill>
            <w14:solidFill>
              <w14:schemeClr w14:val="tx1"/>
            </w14:solidFill>
          </w14:textFill>
        </w:rPr>
        <w:t>1mg/L</w:t>
      </w:r>
      <w:r>
        <w:rPr>
          <w:rFonts w:hint="eastAsia"/>
          <w:color w:val="000000" w:themeColor="text1"/>
          <w14:textFill>
            <w14:solidFill>
              <w14:schemeClr w14:val="tx1"/>
            </w14:solidFill>
          </w14:textFill>
        </w:rPr>
        <w:t>、0</w:t>
      </w:r>
      <w:r>
        <w:rPr>
          <w:color w:val="000000" w:themeColor="text1"/>
          <w14:textFill>
            <w14:solidFill>
              <w14:schemeClr w14:val="tx1"/>
            </w14:solidFill>
          </w14:textFill>
        </w:rPr>
        <w:t>.001 mg/L</w:t>
      </w:r>
      <w:r>
        <w:rPr>
          <w:rFonts w:hint="eastAsia"/>
          <w:color w:val="000000" w:themeColor="text1"/>
          <w14:textFill>
            <w14:solidFill>
              <w14:schemeClr w14:val="tx1"/>
            </w14:solidFill>
          </w14:textFill>
        </w:rPr>
        <w:t>向北扩散的距离分别为</w:t>
      </w:r>
      <w:r>
        <w:rPr>
          <w:color w:val="000000" w:themeColor="text1"/>
          <w14:textFill>
            <w14:solidFill>
              <w14:schemeClr w14:val="tx1"/>
            </w14:solidFill>
          </w14:textFill>
        </w:rPr>
        <w:t>9.266</w:t>
      </w:r>
      <w:r>
        <w:rPr>
          <w:rFonts w:hint="eastAsia"/>
          <w:color w:val="000000" w:themeColor="text1"/>
          <w14:textFill>
            <w14:solidFill>
              <w14:schemeClr w14:val="tx1"/>
            </w14:solidFill>
          </w14:textFill>
        </w:rPr>
        <w:t>k</w:t>
      </w:r>
      <w:r>
        <w:rPr>
          <w:color w:val="000000" w:themeColor="text1"/>
          <w14:textFill>
            <w14:solidFill>
              <w14:schemeClr w14:val="tx1"/>
            </w14:solidFill>
          </w14:textFill>
        </w:rPr>
        <w:t>m</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16.748km</w:t>
      </w:r>
      <w:r>
        <w:rPr>
          <w:rFonts w:hint="eastAsia"/>
          <w:color w:val="000000" w:themeColor="text1"/>
          <w14:textFill>
            <w14:solidFill>
              <w14:schemeClr w14:val="tx1"/>
            </w14:solidFill>
          </w14:textFill>
        </w:rPr>
        <w:t>，向南扩散的距离分别为</w:t>
      </w:r>
      <w:r>
        <w:rPr>
          <w:color w:val="000000" w:themeColor="text1"/>
          <w14:textFill>
            <w14:solidFill>
              <w14:schemeClr w14:val="tx1"/>
            </w14:solidFill>
          </w14:textFill>
        </w:rPr>
        <w:t>9.424</w:t>
      </w:r>
      <w:r>
        <w:rPr>
          <w:rFonts w:hint="eastAsia"/>
          <w:color w:val="000000" w:themeColor="text1"/>
          <w14:textFill>
            <w14:solidFill>
              <w14:schemeClr w14:val="tx1"/>
            </w14:solidFill>
          </w14:textFill>
        </w:rPr>
        <w:t>k</w:t>
      </w:r>
      <w:r>
        <w:rPr>
          <w:color w:val="000000" w:themeColor="text1"/>
          <w14:textFill>
            <w14:solidFill>
              <w14:schemeClr w14:val="tx1"/>
            </w14:solidFill>
          </w14:textFill>
        </w:rPr>
        <w:t>m</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20.109</w:t>
      </w:r>
      <w:r>
        <w:rPr>
          <w:rFonts w:hint="eastAsia"/>
          <w:color w:val="000000" w:themeColor="text1"/>
          <w14:textFill>
            <w14:solidFill>
              <w14:schemeClr w14:val="tx1"/>
            </w14:solidFill>
          </w14:textFill>
        </w:rPr>
        <w:t xml:space="preserve"> k</w:t>
      </w:r>
      <w:r>
        <w:rPr>
          <w:color w:val="000000" w:themeColor="text1"/>
          <w14:textFill>
            <w14:solidFill>
              <w14:schemeClr w14:val="tx1"/>
            </w14:solidFill>
          </w14:textFill>
        </w:rPr>
        <w:t>m</w:t>
      </w:r>
      <w:r>
        <w:rPr>
          <w:rFonts w:hint="eastAsia"/>
          <w:color w:val="000000" w:themeColor="text1"/>
          <w14:textFill>
            <w14:solidFill>
              <w14:schemeClr w14:val="tx1"/>
            </w14:solidFill>
          </w14:textFill>
        </w:rPr>
        <w:t>，包络面积分别为</w:t>
      </w:r>
      <w:r>
        <w:rPr>
          <w:color w:val="000000" w:themeColor="text1"/>
          <w14:textFill>
            <w14:solidFill>
              <w14:schemeClr w14:val="tx1"/>
            </w14:solidFill>
          </w14:textFill>
        </w:rPr>
        <w:t>31.243km</w:t>
      </w:r>
      <w:r>
        <w:rPr>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283.352 km</w:t>
      </w:r>
      <w:r>
        <w:rPr>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；落潮阶段</w:t>
      </w:r>
      <w:r>
        <w:rPr>
          <w:rFonts w:hint="eastAsia"/>
          <w:color w:val="000000" w:themeColor="text1"/>
          <w:lang w:eastAsia="zh-CN"/>
          <w14:textFill>
            <w14:solidFill>
              <w14:schemeClr w14:val="tx1"/>
            </w14:solidFill>
          </w14:textFill>
        </w:rPr>
        <w:t>泄漏</w:t>
      </w:r>
      <w:r>
        <w:rPr>
          <w:rFonts w:hint="eastAsia"/>
          <w:color w:val="000000" w:themeColor="text1"/>
          <w14:textFill>
            <w14:solidFill>
              <w14:schemeClr w14:val="tx1"/>
            </w14:solidFill>
          </w14:textFill>
        </w:rPr>
        <w:t>，</w:t>
      </w:r>
      <w:r>
        <w:rPr>
          <w:rFonts w:hint="eastAsia" w:ascii="宋体" w:hAnsi="宋体"/>
          <w:color w:val="000000" w:themeColor="text1"/>
          <w14:textFill>
            <w14:solidFill>
              <w14:schemeClr w14:val="tx1"/>
            </w14:solidFill>
          </w14:textFill>
        </w:rPr>
        <w:t>液碱</w:t>
      </w:r>
      <w:r>
        <w:rPr>
          <w:rFonts w:hint="eastAsia"/>
          <w:color w:val="000000" w:themeColor="text1"/>
          <w14:textFill>
            <w14:solidFill>
              <w14:schemeClr w14:val="tx1"/>
            </w14:solidFill>
          </w14:textFill>
        </w:rPr>
        <w:t>浓度大于</w:t>
      </w:r>
      <w:r>
        <w:rPr>
          <w:color w:val="000000" w:themeColor="text1"/>
          <w14:textFill>
            <w14:solidFill>
              <w14:schemeClr w14:val="tx1"/>
            </w14:solidFill>
          </w14:textFill>
        </w:rPr>
        <w:t>1mg/L</w:t>
      </w:r>
      <w:r>
        <w:rPr>
          <w:rFonts w:hint="eastAsia"/>
          <w:color w:val="000000" w:themeColor="text1"/>
          <w14:textFill>
            <w14:solidFill>
              <w14:schemeClr w14:val="tx1"/>
            </w14:solidFill>
          </w14:textFill>
        </w:rPr>
        <w:t>、0</w:t>
      </w:r>
      <w:r>
        <w:rPr>
          <w:color w:val="000000" w:themeColor="text1"/>
          <w14:textFill>
            <w14:solidFill>
              <w14:schemeClr w14:val="tx1"/>
            </w14:solidFill>
          </w14:textFill>
        </w:rPr>
        <w:t>.001 mg/L</w:t>
      </w:r>
      <w:r>
        <w:rPr>
          <w:rFonts w:hint="eastAsia"/>
          <w:color w:val="000000" w:themeColor="text1"/>
          <w14:textFill>
            <w14:solidFill>
              <w14:schemeClr w14:val="tx1"/>
            </w14:solidFill>
          </w14:textFill>
        </w:rPr>
        <w:t>向北扩散的距离分别为</w:t>
      </w:r>
      <w:r>
        <w:rPr>
          <w:color w:val="000000" w:themeColor="text1"/>
          <w14:textFill>
            <w14:solidFill>
              <w14:schemeClr w14:val="tx1"/>
            </w14:solidFill>
          </w14:textFill>
        </w:rPr>
        <w:t>8.966</w:t>
      </w:r>
      <w:r>
        <w:rPr>
          <w:rFonts w:hint="eastAsia"/>
          <w:color w:val="000000" w:themeColor="text1"/>
          <w14:textFill>
            <w14:solidFill>
              <w14:schemeClr w14:val="tx1"/>
            </w14:solidFill>
          </w14:textFill>
        </w:rPr>
        <w:t>k</w:t>
      </w:r>
      <w:r>
        <w:rPr>
          <w:color w:val="000000" w:themeColor="text1"/>
          <w14:textFill>
            <w14:solidFill>
              <w14:schemeClr w14:val="tx1"/>
            </w14:solidFill>
          </w14:textFill>
        </w:rPr>
        <w:t>m</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16.136km</w:t>
      </w:r>
      <w:r>
        <w:rPr>
          <w:rFonts w:hint="eastAsia"/>
          <w:color w:val="000000" w:themeColor="text1"/>
          <w14:textFill>
            <w14:solidFill>
              <w14:schemeClr w14:val="tx1"/>
            </w14:solidFill>
          </w14:textFill>
        </w:rPr>
        <w:t>，向南扩散的距离分别为</w:t>
      </w:r>
      <w:r>
        <w:rPr>
          <w:color w:val="000000" w:themeColor="text1"/>
          <w14:textFill>
            <w14:solidFill>
              <w14:schemeClr w14:val="tx1"/>
            </w14:solidFill>
          </w14:textFill>
        </w:rPr>
        <w:t>17.331</w:t>
      </w:r>
      <w:r>
        <w:rPr>
          <w:rFonts w:hint="eastAsia"/>
          <w:color w:val="000000" w:themeColor="text1"/>
          <w14:textFill>
            <w14:solidFill>
              <w14:schemeClr w14:val="tx1"/>
            </w14:solidFill>
          </w14:textFill>
        </w:rPr>
        <w:t>k</w:t>
      </w:r>
      <w:r>
        <w:rPr>
          <w:color w:val="000000" w:themeColor="text1"/>
          <w14:textFill>
            <w14:solidFill>
              <w14:schemeClr w14:val="tx1"/>
            </w14:solidFill>
          </w14:textFill>
        </w:rPr>
        <w:t>m</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22.892</w:t>
      </w:r>
      <w:r>
        <w:rPr>
          <w:rFonts w:hint="eastAsia"/>
          <w:color w:val="000000" w:themeColor="text1"/>
          <w14:textFill>
            <w14:solidFill>
              <w14:schemeClr w14:val="tx1"/>
            </w14:solidFill>
          </w14:textFill>
        </w:rPr>
        <w:t xml:space="preserve"> k</w:t>
      </w:r>
      <w:r>
        <w:rPr>
          <w:color w:val="000000" w:themeColor="text1"/>
          <w14:textFill>
            <w14:solidFill>
              <w14:schemeClr w14:val="tx1"/>
            </w14:solidFill>
          </w14:textFill>
        </w:rPr>
        <w:t>m</w:t>
      </w:r>
      <w:r>
        <w:rPr>
          <w:rFonts w:hint="eastAsia"/>
          <w:color w:val="000000" w:themeColor="text1"/>
          <w14:textFill>
            <w14:solidFill>
              <w14:schemeClr w14:val="tx1"/>
            </w14:solidFill>
          </w14:textFill>
        </w:rPr>
        <w:t>，包络面积分别可达</w:t>
      </w:r>
      <w:r>
        <w:rPr>
          <w:color w:val="000000" w:themeColor="text1"/>
          <w14:textFill>
            <w14:solidFill>
              <w14:schemeClr w14:val="tx1"/>
            </w14:solidFill>
          </w14:textFill>
        </w:rPr>
        <w:t>94.381km</w:t>
      </w:r>
      <w:r>
        <w:rPr>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365.561 km</w:t>
      </w:r>
      <w:r>
        <w:rPr>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，显然，落潮阶段泄露比涨潮阶段泄露扩散的影响范围大。总之，在本项目附近发生</w:t>
      </w:r>
      <w:r>
        <w:rPr>
          <w:rFonts w:hint="eastAsia" w:ascii="宋体" w:hAnsi="宋体"/>
          <w:color w:val="000000" w:themeColor="text1"/>
          <w14:textFill>
            <w14:solidFill>
              <w14:schemeClr w14:val="tx1"/>
            </w14:solidFill>
          </w14:textFill>
        </w:rPr>
        <w:t>液碱</w:t>
      </w:r>
      <w:r>
        <w:rPr>
          <w:rFonts w:hint="eastAsia"/>
          <w:color w:val="000000" w:themeColor="text1"/>
          <w14:textFill>
            <w14:solidFill>
              <w14:schemeClr w14:val="tx1"/>
            </w14:solidFill>
          </w14:textFill>
        </w:rPr>
        <w:t>严重泄漏事故</w:t>
      </w:r>
      <w:r>
        <w:rPr>
          <w:color w:val="000000" w:themeColor="text1"/>
          <w14:textFill>
            <w14:solidFill>
              <w14:schemeClr w14:val="tx1"/>
            </w14:solidFill>
          </w14:textFill>
        </w:rPr>
        <w:t>会对</w:t>
      </w:r>
      <w:r>
        <w:rPr>
          <w:rFonts w:hint="eastAsia"/>
          <w:color w:val="000000" w:themeColor="text1"/>
          <w14:textFill>
            <w14:solidFill>
              <w14:schemeClr w14:val="tx1"/>
            </w14:solidFill>
          </w14:textFill>
        </w:rPr>
        <w:t>钦州湾</w:t>
      </w:r>
      <w:r>
        <w:rPr>
          <w:color w:val="000000" w:themeColor="text1"/>
          <w14:textFill>
            <w14:solidFill>
              <w14:schemeClr w14:val="tx1"/>
            </w14:solidFill>
          </w14:textFill>
        </w:rPr>
        <w:t>海域的海洋环境造成</w:t>
      </w:r>
      <w:r>
        <w:rPr>
          <w:rFonts w:hint="eastAsia"/>
          <w:color w:val="000000" w:themeColor="text1"/>
          <w14:textFill>
            <w14:solidFill>
              <w14:schemeClr w14:val="tx1"/>
            </w14:solidFill>
          </w14:textFill>
        </w:rPr>
        <w:t>极大的</w:t>
      </w:r>
      <w:r>
        <w:rPr>
          <w:color w:val="000000" w:themeColor="text1"/>
          <w14:textFill>
            <w14:solidFill>
              <w14:schemeClr w14:val="tx1"/>
            </w14:solidFill>
          </w14:textFill>
        </w:rPr>
        <w:t>影响</w:t>
      </w:r>
      <w:r>
        <w:rPr>
          <w:rFonts w:hint="eastAsia"/>
          <w:color w:val="000000" w:themeColor="text1"/>
          <w14:textFill>
            <w14:solidFill>
              <w14:schemeClr w14:val="tx1"/>
            </w14:solidFill>
          </w14:textFill>
        </w:rPr>
        <w:t>和危害。</w:t>
      </w:r>
    </w:p>
    <w:p w14:paraId="7F0F6036">
      <w:pPr>
        <w:pStyle w:val="7"/>
        <w:rPr>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 液碱</w:t>
      </w:r>
      <w:r>
        <w:rPr>
          <w:color w:val="000000" w:themeColor="text1"/>
          <w14:textFill>
            <w14:solidFill>
              <w14:schemeClr w14:val="tx1"/>
            </w14:solidFill>
          </w14:textFill>
        </w:rPr>
        <w:t>泄漏入海扩散距离与包络面积</w:t>
      </w:r>
    </w:p>
    <w:tbl>
      <w:tblPr>
        <w:tblStyle w:val="43"/>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526"/>
        <w:gridCol w:w="992"/>
        <w:gridCol w:w="1132"/>
        <w:gridCol w:w="1217"/>
        <w:gridCol w:w="1219"/>
        <w:gridCol w:w="1217"/>
        <w:gridCol w:w="1219"/>
      </w:tblGrid>
      <w:tr w14:paraId="3AE2740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17" w:hRule="atLeast"/>
          <w:jc w:val="center"/>
        </w:trPr>
        <w:tc>
          <w:tcPr>
            <w:tcW w:w="895" w:type="pct"/>
            <w:vMerge w:val="restart"/>
            <w:vAlign w:val="center"/>
          </w:tcPr>
          <w:p w14:paraId="4E7A45B7">
            <w:pPr>
              <w:spacing w:line="240" w:lineRule="atLeast"/>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指  标</w:t>
            </w:r>
          </w:p>
        </w:tc>
        <w:tc>
          <w:tcPr>
            <w:tcW w:w="1246" w:type="pct"/>
            <w:gridSpan w:val="2"/>
            <w:vMerge w:val="restart"/>
            <w:vAlign w:val="center"/>
          </w:tcPr>
          <w:p w14:paraId="6311A8E8">
            <w:pPr>
              <w:spacing w:line="240" w:lineRule="atLeast"/>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包络面积(km</w:t>
            </w:r>
            <w:r>
              <w:rPr>
                <w:b/>
                <w:color w:val="000000" w:themeColor="text1"/>
                <w:sz w:val="21"/>
                <w:szCs w:val="21"/>
                <w:vertAlign w:val="superscript"/>
                <w14:textFill>
                  <w14:solidFill>
                    <w14:schemeClr w14:val="tx1"/>
                  </w14:solidFill>
                </w14:textFill>
              </w:rPr>
              <w:t>2</w:t>
            </w:r>
            <w:r>
              <w:rPr>
                <w:b/>
                <w:color w:val="000000" w:themeColor="text1"/>
                <w:sz w:val="21"/>
                <w:szCs w:val="21"/>
                <w14:textFill>
                  <w14:solidFill>
                    <w14:schemeClr w14:val="tx1"/>
                  </w14:solidFill>
                </w14:textFill>
              </w:rPr>
              <w:t>)</w:t>
            </w:r>
          </w:p>
        </w:tc>
        <w:tc>
          <w:tcPr>
            <w:tcW w:w="2858" w:type="pct"/>
            <w:gridSpan w:val="4"/>
            <w:vAlign w:val="center"/>
          </w:tcPr>
          <w:p w14:paraId="1FDA67BC">
            <w:pPr>
              <w:spacing w:line="240" w:lineRule="atLeast"/>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最远扩散距离（km）</w:t>
            </w:r>
            <w:r>
              <w:rPr>
                <w:rFonts w:hint="eastAsia"/>
                <w:b/>
                <w:color w:val="000000" w:themeColor="text1"/>
                <w:sz w:val="21"/>
                <w:szCs w:val="21"/>
                <w14:textFill>
                  <w14:solidFill>
                    <w14:schemeClr w14:val="tx1"/>
                  </w14:solidFill>
                </w14:textFill>
              </w:rPr>
              <w:t>，泄漏点起算</w:t>
            </w:r>
          </w:p>
        </w:tc>
      </w:tr>
      <w:tr w14:paraId="4CB330F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96" w:hRule="atLeast"/>
          <w:jc w:val="center"/>
        </w:trPr>
        <w:tc>
          <w:tcPr>
            <w:tcW w:w="895" w:type="pct"/>
            <w:vMerge w:val="continue"/>
            <w:vAlign w:val="center"/>
          </w:tcPr>
          <w:p w14:paraId="2BBE62B1">
            <w:pPr>
              <w:spacing w:line="240" w:lineRule="atLeast"/>
              <w:ind w:firstLine="0" w:firstLineChars="0"/>
              <w:jc w:val="center"/>
              <w:rPr>
                <w:b/>
                <w:color w:val="000000" w:themeColor="text1"/>
                <w:sz w:val="21"/>
                <w:szCs w:val="21"/>
                <w14:textFill>
                  <w14:solidFill>
                    <w14:schemeClr w14:val="tx1"/>
                  </w14:solidFill>
                </w14:textFill>
              </w:rPr>
            </w:pPr>
          </w:p>
        </w:tc>
        <w:tc>
          <w:tcPr>
            <w:tcW w:w="1246" w:type="pct"/>
            <w:gridSpan w:val="2"/>
            <w:vMerge w:val="continue"/>
            <w:vAlign w:val="center"/>
          </w:tcPr>
          <w:p w14:paraId="02D22751">
            <w:pPr>
              <w:spacing w:line="240" w:lineRule="atLeast"/>
              <w:ind w:firstLine="0" w:firstLineChars="0"/>
              <w:jc w:val="center"/>
              <w:rPr>
                <w:b/>
                <w:color w:val="000000" w:themeColor="text1"/>
                <w:sz w:val="21"/>
                <w:szCs w:val="21"/>
                <w14:textFill>
                  <w14:solidFill>
                    <w14:schemeClr w14:val="tx1"/>
                  </w14:solidFill>
                </w14:textFill>
              </w:rPr>
            </w:pPr>
          </w:p>
        </w:tc>
        <w:tc>
          <w:tcPr>
            <w:tcW w:w="1429" w:type="pct"/>
            <w:gridSpan w:val="2"/>
            <w:vAlign w:val="center"/>
          </w:tcPr>
          <w:p w14:paraId="635A1725">
            <w:pPr>
              <w:spacing w:line="240" w:lineRule="atLeast"/>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偏北向</w:t>
            </w:r>
          </w:p>
        </w:tc>
        <w:tc>
          <w:tcPr>
            <w:tcW w:w="1429" w:type="pct"/>
            <w:gridSpan w:val="2"/>
            <w:vAlign w:val="center"/>
          </w:tcPr>
          <w:p w14:paraId="2ABBC4B6">
            <w:pPr>
              <w:spacing w:line="240" w:lineRule="atLeast"/>
              <w:ind w:firstLine="0" w:firstLineChars="0"/>
              <w:jc w:val="center"/>
              <w:rPr>
                <w:b/>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偏</w:t>
            </w:r>
            <w:r>
              <w:rPr>
                <w:b/>
                <w:color w:val="000000" w:themeColor="text1"/>
                <w:sz w:val="21"/>
                <w:szCs w:val="21"/>
                <w14:textFill>
                  <w14:solidFill>
                    <w14:schemeClr w14:val="tx1"/>
                  </w14:solidFill>
                </w14:textFill>
              </w:rPr>
              <w:t>南向</w:t>
            </w:r>
          </w:p>
        </w:tc>
      </w:tr>
      <w:tr w14:paraId="3CC1272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jc w:val="center"/>
        </w:trPr>
        <w:tc>
          <w:tcPr>
            <w:tcW w:w="895" w:type="pct"/>
            <w:vAlign w:val="center"/>
          </w:tcPr>
          <w:p w14:paraId="19ECDAD3">
            <w:pPr>
              <w:spacing w:line="240" w:lineRule="atLeast"/>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泄漏</w:t>
            </w:r>
            <w:r>
              <w:rPr>
                <w:rFonts w:hint="eastAsia"/>
                <w:b/>
                <w:color w:val="000000" w:themeColor="text1"/>
                <w:sz w:val="21"/>
                <w:szCs w:val="21"/>
                <w14:textFill>
                  <w14:solidFill>
                    <w14:schemeClr w14:val="tx1"/>
                  </w14:solidFill>
                </w14:textFill>
              </w:rPr>
              <w:t>潮期</w:t>
            </w:r>
          </w:p>
        </w:tc>
        <w:tc>
          <w:tcPr>
            <w:tcW w:w="582" w:type="pct"/>
            <w:vAlign w:val="center"/>
          </w:tcPr>
          <w:p w14:paraId="01832E3E">
            <w:pPr>
              <w:spacing w:line="240" w:lineRule="atLeast"/>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涨潮</w:t>
            </w:r>
          </w:p>
        </w:tc>
        <w:tc>
          <w:tcPr>
            <w:tcW w:w="664" w:type="pct"/>
            <w:vAlign w:val="center"/>
          </w:tcPr>
          <w:p w14:paraId="2E51657D">
            <w:pPr>
              <w:spacing w:line="240" w:lineRule="atLeast"/>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落潮</w:t>
            </w:r>
          </w:p>
        </w:tc>
        <w:tc>
          <w:tcPr>
            <w:tcW w:w="714" w:type="pct"/>
            <w:vAlign w:val="center"/>
          </w:tcPr>
          <w:p w14:paraId="4434F82C">
            <w:pPr>
              <w:spacing w:line="240" w:lineRule="atLeast"/>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涨潮</w:t>
            </w:r>
          </w:p>
        </w:tc>
        <w:tc>
          <w:tcPr>
            <w:tcW w:w="715" w:type="pct"/>
            <w:vAlign w:val="center"/>
          </w:tcPr>
          <w:p w14:paraId="673A3B85">
            <w:pPr>
              <w:spacing w:line="240" w:lineRule="atLeast"/>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落潮</w:t>
            </w:r>
          </w:p>
        </w:tc>
        <w:tc>
          <w:tcPr>
            <w:tcW w:w="714" w:type="pct"/>
            <w:vAlign w:val="center"/>
          </w:tcPr>
          <w:p w14:paraId="626C4FE0">
            <w:pPr>
              <w:spacing w:line="240" w:lineRule="atLeast"/>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涨潮</w:t>
            </w:r>
          </w:p>
        </w:tc>
        <w:tc>
          <w:tcPr>
            <w:tcW w:w="715" w:type="pct"/>
            <w:vAlign w:val="center"/>
          </w:tcPr>
          <w:p w14:paraId="021D24A5">
            <w:pPr>
              <w:spacing w:line="240" w:lineRule="atLeast"/>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落潮</w:t>
            </w:r>
          </w:p>
        </w:tc>
      </w:tr>
      <w:tr w14:paraId="77BF0AA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895" w:type="pct"/>
            <w:vAlign w:val="center"/>
          </w:tcPr>
          <w:p w14:paraId="3D0D4AD7">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＞1000mg/L</w:t>
            </w:r>
          </w:p>
        </w:tc>
        <w:tc>
          <w:tcPr>
            <w:tcW w:w="582" w:type="pct"/>
            <w:vAlign w:val="center"/>
          </w:tcPr>
          <w:p w14:paraId="19E577DF">
            <w:pPr>
              <w:widowControl/>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0.079</w:t>
            </w:r>
          </w:p>
        </w:tc>
        <w:tc>
          <w:tcPr>
            <w:tcW w:w="664" w:type="pct"/>
          </w:tcPr>
          <w:p w14:paraId="35810D52">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0.107</w:t>
            </w:r>
          </w:p>
        </w:tc>
        <w:tc>
          <w:tcPr>
            <w:tcW w:w="714" w:type="pct"/>
            <w:vAlign w:val="center"/>
          </w:tcPr>
          <w:p w14:paraId="0793D507">
            <w:pPr>
              <w:widowControl/>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0.571</w:t>
            </w:r>
          </w:p>
        </w:tc>
        <w:tc>
          <w:tcPr>
            <w:tcW w:w="715" w:type="pct"/>
          </w:tcPr>
          <w:p w14:paraId="688AB1FE">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714" w:type="pct"/>
          </w:tcPr>
          <w:p w14:paraId="7801CE11">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715" w:type="pct"/>
          </w:tcPr>
          <w:p w14:paraId="6FBED22D">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0.847</w:t>
            </w:r>
          </w:p>
        </w:tc>
      </w:tr>
      <w:tr w14:paraId="44FF288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895" w:type="pct"/>
            <w:vAlign w:val="center"/>
          </w:tcPr>
          <w:p w14:paraId="3918A7DA">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r>
              <w:rPr>
                <w:rFonts w:hint="eastAsia"/>
                <w:color w:val="000000" w:themeColor="text1"/>
                <w:sz w:val="21"/>
                <w:szCs w:val="21"/>
                <w14:textFill>
                  <w14:solidFill>
                    <w14:schemeClr w14:val="tx1"/>
                  </w14:solidFill>
                </w14:textFill>
              </w:rPr>
              <w:t>1</w:t>
            </w:r>
            <w:r>
              <w:rPr>
                <w:color w:val="000000" w:themeColor="text1"/>
                <w:sz w:val="21"/>
                <w:szCs w:val="21"/>
                <w14:textFill>
                  <w14:solidFill>
                    <w14:schemeClr w14:val="tx1"/>
                  </w14:solidFill>
                </w14:textFill>
              </w:rPr>
              <w:t>mg/L</w:t>
            </w:r>
          </w:p>
        </w:tc>
        <w:tc>
          <w:tcPr>
            <w:tcW w:w="582" w:type="pct"/>
            <w:vAlign w:val="center"/>
          </w:tcPr>
          <w:p w14:paraId="5BF070E7">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31.243</w:t>
            </w:r>
          </w:p>
        </w:tc>
        <w:tc>
          <w:tcPr>
            <w:tcW w:w="664" w:type="pct"/>
          </w:tcPr>
          <w:p w14:paraId="545B5547">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94.381</w:t>
            </w:r>
          </w:p>
        </w:tc>
        <w:tc>
          <w:tcPr>
            <w:tcW w:w="714" w:type="pct"/>
            <w:vAlign w:val="center"/>
          </w:tcPr>
          <w:p w14:paraId="1DCF66C7">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9.266</w:t>
            </w:r>
          </w:p>
        </w:tc>
        <w:tc>
          <w:tcPr>
            <w:tcW w:w="715" w:type="pct"/>
          </w:tcPr>
          <w:p w14:paraId="678C17B5">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8.966</w:t>
            </w:r>
          </w:p>
        </w:tc>
        <w:tc>
          <w:tcPr>
            <w:tcW w:w="714" w:type="pct"/>
          </w:tcPr>
          <w:p w14:paraId="324EDDD1">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9.424</w:t>
            </w:r>
          </w:p>
        </w:tc>
        <w:tc>
          <w:tcPr>
            <w:tcW w:w="715" w:type="pct"/>
          </w:tcPr>
          <w:p w14:paraId="6410572E">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17.331</w:t>
            </w:r>
          </w:p>
        </w:tc>
      </w:tr>
      <w:tr w14:paraId="51E1870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895" w:type="pct"/>
            <w:vAlign w:val="center"/>
          </w:tcPr>
          <w:p w14:paraId="03910170">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＞0.1mg/L</w:t>
            </w:r>
          </w:p>
        </w:tc>
        <w:tc>
          <w:tcPr>
            <w:tcW w:w="582" w:type="pct"/>
            <w:vAlign w:val="center"/>
          </w:tcPr>
          <w:p w14:paraId="35A5D265">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159.016</w:t>
            </w:r>
          </w:p>
        </w:tc>
        <w:tc>
          <w:tcPr>
            <w:tcW w:w="664" w:type="pct"/>
          </w:tcPr>
          <w:p w14:paraId="1433A444">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213.112</w:t>
            </w:r>
          </w:p>
        </w:tc>
        <w:tc>
          <w:tcPr>
            <w:tcW w:w="714" w:type="pct"/>
            <w:vAlign w:val="center"/>
          </w:tcPr>
          <w:p w14:paraId="4C4FFA17">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15.012</w:t>
            </w:r>
          </w:p>
        </w:tc>
        <w:tc>
          <w:tcPr>
            <w:tcW w:w="715" w:type="pct"/>
          </w:tcPr>
          <w:p w14:paraId="41DF150A">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11.544</w:t>
            </w:r>
          </w:p>
        </w:tc>
        <w:tc>
          <w:tcPr>
            <w:tcW w:w="714" w:type="pct"/>
          </w:tcPr>
          <w:p w14:paraId="4D705E3C">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15.454</w:t>
            </w:r>
          </w:p>
        </w:tc>
        <w:tc>
          <w:tcPr>
            <w:tcW w:w="715" w:type="pct"/>
          </w:tcPr>
          <w:p w14:paraId="32DAFD43">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19.129</w:t>
            </w:r>
          </w:p>
        </w:tc>
      </w:tr>
      <w:tr w14:paraId="54C7418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895" w:type="pct"/>
            <w:vAlign w:val="center"/>
          </w:tcPr>
          <w:p w14:paraId="6F3ECD7E">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＞0.01mg/L</w:t>
            </w:r>
          </w:p>
        </w:tc>
        <w:tc>
          <w:tcPr>
            <w:tcW w:w="582" w:type="pct"/>
            <w:vAlign w:val="center"/>
          </w:tcPr>
          <w:p w14:paraId="7DC25E7B">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239.728</w:t>
            </w:r>
          </w:p>
        </w:tc>
        <w:tc>
          <w:tcPr>
            <w:tcW w:w="664" w:type="pct"/>
          </w:tcPr>
          <w:p w14:paraId="1B85F46D">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301.269</w:t>
            </w:r>
          </w:p>
        </w:tc>
        <w:tc>
          <w:tcPr>
            <w:tcW w:w="714" w:type="pct"/>
            <w:vAlign w:val="center"/>
          </w:tcPr>
          <w:p w14:paraId="2FC2626E">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15.913</w:t>
            </w:r>
          </w:p>
        </w:tc>
        <w:tc>
          <w:tcPr>
            <w:tcW w:w="715" w:type="pct"/>
          </w:tcPr>
          <w:p w14:paraId="3AEACF38">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14.112</w:t>
            </w:r>
          </w:p>
        </w:tc>
        <w:tc>
          <w:tcPr>
            <w:tcW w:w="714" w:type="pct"/>
          </w:tcPr>
          <w:p w14:paraId="7C76CEA7">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18.889</w:t>
            </w:r>
          </w:p>
        </w:tc>
        <w:tc>
          <w:tcPr>
            <w:tcW w:w="715" w:type="pct"/>
          </w:tcPr>
          <w:p w14:paraId="5C9B34AC">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20.365</w:t>
            </w:r>
          </w:p>
        </w:tc>
      </w:tr>
      <w:tr w14:paraId="4937317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895" w:type="pct"/>
            <w:vAlign w:val="center"/>
          </w:tcPr>
          <w:p w14:paraId="68E72D1B">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&gt;</w:t>
            </w:r>
            <w:r>
              <w:rPr>
                <w:color w:val="000000" w:themeColor="text1"/>
                <w:sz w:val="21"/>
                <w:szCs w:val="21"/>
                <w14:textFill>
                  <w14:solidFill>
                    <w14:schemeClr w14:val="tx1"/>
                  </w14:solidFill>
                </w14:textFill>
              </w:rPr>
              <w:t>0.001 mg/L</w:t>
            </w:r>
          </w:p>
        </w:tc>
        <w:tc>
          <w:tcPr>
            <w:tcW w:w="582" w:type="pct"/>
            <w:vAlign w:val="center"/>
          </w:tcPr>
          <w:p w14:paraId="52A94A9B">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283.352</w:t>
            </w:r>
          </w:p>
        </w:tc>
        <w:tc>
          <w:tcPr>
            <w:tcW w:w="664" w:type="pct"/>
          </w:tcPr>
          <w:p w14:paraId="3C24A6D0">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365.561</w:t>
            </w:r>
          </w:p>
        </w:tc>
        <w:tc>
          <w:tcPr>
            <w:tcW w:w="714" w:type="pct"/>
            <w:vAlign w:val="center"/>
          </w:tcPr>
          <w:p w14:paraId="0261D0A7">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16.748</w:t>
            </w:r>
          </w:p>
        </w:tc>
        <w:tc>
          <w:tcPr>
            <w:tcW w:w="715" w:type="pct"/>
          </w:tcPr>
          <w:p w14:paraId="51C77058">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16.136</w:t>
            </w:r>
          </w:p>
        </w:tc>
        <w:tc>
          <w:tcPr>
            <w:tcW w:w="714" w:type="pct"/>
          </w:tcPr>
          <w:p w14:paraId="59525D60">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20.109</w:t>
            </w:r>
          </w:p>
        </w:tc>
        <w:tc>
          <w:tcPr>
            <w:tcW w:w="715" w:type="pct"/>
          </w:tcPr>
          <w:p w14:paraId="6D4E602B">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22.892</w:t>
            </w:r>
          </w:p>
        </w:tc>
      </w:tr>
    </w:tbl>
    <w:p w14:paraId="79FDC3C1">
      <w:pPr>
        <w:widowControl/>
        <w:ind w:firstLine="480"/>
        <w:jc w:val="center"/>
        <w:rPr>
          <w:rFonts w:ascii="宋体" w:hAnsi="宋体" w:cs="宋体"/>
          <w:color w:val="000000" w:themeColor="text1"/>
          <w:kern w:val="0"/>
          <w14:textFill>
            <w14:solidFill>
              <w14:schemeClr w14:val="tx1"/>
            </w14:solidFill>
          </w14:textFill>
        </w:rPr>
      </w:pPr>
      <w:r>
        <w:rPr>
          <w:color w:val="000000" w:themeColor="text1"/>
          <w14:textFill>
            <w14:solidFill>
              <w14:schemeClr w14:val="tx1"/>
            </w14:solidFill>
          </w14:textFill>
        </w:rPr>
        <w:drawing>
          <wp:inline distT="0" distB="0" distL="0" distR="0">
            <wp:extent cx="5276215" cy="4972050"/>
            <wp:effectExtent l="0" t="0" r="635" b="0"/>
            <wp:docPr id="266" name="图片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266"/>
                    <pic:cNvPicPr>
                      <a:picLocks noChangeAspect="1"/>
                    </pic:cNvPicPr>
                  </pic:nvPicPr>
                  <pic:blipFill>
                    <a:blip r:embed="rId256"/>
                    <a:stretch>
                      <a:fillRect/>
                    </a:stretch>
                  </pic:blipFill>
                  <pic:spPr>
                    <a:xfrm>
                      <a:off x="0" y="0"/>
                      <a:ext cx="5274310" cy="4970239"/>
                    </a:xfrm>
                    <a:prstGeom prst="rect">
                      <a:avLst/>
                    </a:prstGeom>
                  </pic:spPr>
                </pic:pic>
              </a:graphicData>
            </a:graphic>
          </wp:inline>
        </w:drawing>
      </w:r>
    </w:p>
    <w:p w14:paraId="04E1A57C">
      <w:pPr>
        <w:pStyle w:val="13"/>
        <w:spacing w:line="360" w:lineRule="auto"/>
        <w:ind w:firstLineChars="0"/>
        <w:jc w:val="center"/>
        <w:rPr>
          <w:b/>
          <w:color w:val="000000" w:themeColor="text1"/>
          <w:sz w:val="24"/>
          <w14:textFill>
            <w14:solidFill>
              <w14:schemeClr w14:val="tx1"/>
            </w14:solidFill>
          </w14:textFill>
        </w:rPr>
      </w:pPr>
      <w:r>
        <w:rPr>
          <w:rFonts w:hint="eastAsia"/>
          <w:b/>
          <w:color w:val="000000" w:themeColor="text1"/>
          <w:sz w:val="24"/>
          <w14:textFill>
            <w14:solidFill>
              <w14:schemeClr w14:val="tx1"/>
            </w14:solidFill>
          </w14:textFill>
        </w:rPr>
        <w:t>图5.5.4</w:t>
      </w:r>
      <w:r>
        <w:rPr>
          <w:rFonts w:hint="eastAsia"/>
          <w:color w:val="000000" w:themeColor="text1"/>
          <w14:textFill>
            <w14:solidFill>
              <w14:schemeClr w14:val="tx1"/>
            </w14:solidFill>
          </w14:textFill>
        </w:rPr>
        <w:t>-</w:t>
      </w:r>
      <w:r>
        <w:rPr>
          <w:rFonts w:hint="eastAsia"/>
          <w:b/>
          <w:color w:val="000000" w:themeColor="text1"/>
          <w:sz w:val="24"/>
          <w14:textFill>
            <w14:solidFill>
              <w14:schemeClr w14:val="tx1"/>
            </w14:solidFill>
          </w14:textFill>
        </w:rPr>
        <w:t>-</w:t>
      </w:r>
      <w:r>
        <w:rPr>
          <w:b/>
          <w:color w:val="000000" w:themeColor="text1"/>
          <w:sz w:val="24"/>
          <w14:textFill>
            <w14:solidFill>
              <w14:schemeClr w14:val="tx1"/>
            </w14:solidFill>
          </w14:textFill>
        </w:rPr>
        <w:t>3</w:t>
      </w:r>
      <w:r>
        <w:rPr>
          <w:rFonts w:hint="eastAsia"/>
          <w:b/>
          <w:color w:val="000000" w:themeColor="text1"/>
          <w:sz w:val="24"/>
          <w14:textFill>
            <w14:solidFill>
              <w14:schemeClr w14:val="tx1"/>
            </w14:solidFill>
          </w14:textFill>
        </w:rPr>
        <w:t xml:space="preserve"> 涨潮阶段液碱泄漏入海影响水域面积的包络</w:t>
      </w:r>
    </w:p>
    <w:p w14:paraId="19C18600">
      <w:pPr>
        <w:widowControl/>
        <w:ind w:firstLine="480"/>
        <w:jc w:val="center"/>
        <w:rPr>
          <w:rFonts w:ascii="宋体" w:hAnsi="宋体" w:cs="宋体"/>
          <w:color w:val="000000" w:themeColor="text1"/>
          <w:kern w:val="0"/>
          <w14:textFill>
            <w14:solidFill>
              <w14:schemeClr w14:val="tx1"/>
            </w14:solidFill>
          </w14:textFill>
        </w:rPr>
      </w:pPr>
      <w:r>
        <w:rPr>
          <w:color w:val="000000" w:themeColor="text1"/>
          <w14:textFill>
            <w14:solidFill>
              <w14:schemeClr w14:val="tx1"/>
            </w14:solidFill>
          </w14:textFill>
        </w:rPr>
        <w:drawing>
          <wp:inline distT="0" distB="0" distL="0" distR="0">
            <wp:extent cx="5274310" cy="5238750"/>
            <wp:effectExtent l="0" t="0" r="0" b="0"/>
            <wp:docPr id="268" name="图片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268"/>
                    <pic:cNvPicPr>
                      <a:picLocks noChangeAspect="1"/>
                    </pic:cNvPicPr>
                  </pic:nvPicPr>
                  <pic:blipFill>
                    <a:blip r:embed="rId257"/>
                    <a:stretch>
                      <a:fillRect/>
                    </a:stretch>
                  </pic:blipFill>
                  <pic:spPr>
                    <a:xfrm>
                      <a:off x="0" y="0"/>
                      <a:ext cx="5274310" cy="5238750"/>
                    </a:xfrm>
                    <a:prstGeom prst="rect">
                      <a:avLst/>
                    </a:prstGeom>
                  </pic:spPr>
                </pic:pic>
              </a:graphicData>
            </a:graphic>
          </wp:inline>
        </w:drawing>
      </w:r>
    </w:p>
    <w:p w14:paraId="34076A23">
      <w:pPr>
        <w:ind w:firstLine="482"/>
        <w:jc w:val="center"/>
        <w:rPr>
          <w:b/>
          <w:color w:val="000000" w:themeColor="text1"/>
          <w14:textFill>
            <w14:solidFill>
              <w14:schemeClr w14:val="tx1"/>
            </w14:solidFill>
          </w14:textFill>
        </w:rPr>
      </w:pPr>
      <w:r>
        <w:rPr>
          <w:rFonts w:hint="eastAsia"/>
          <w:b/>
          <w:color w:val="000000" w:themeColor="text1"/>
          <w14:textFill>
            <w14:solidFill>
              <w14:schemeClr w14:val="tx1"/>
            </w14:solidFill>
          </w14:textFill>
        </w:rPr>
        <w:t>图5.5.4</w:t>
      </w:r>
      <w:r>
        <w:rPr>
          <w:rFonts w:hint="eastAsia"/>
          <w:color w:val="000000" w:themeColor="text1"/>
          <w14:textFill>
            <w14:solidFill>
              <w14:schemeClr w14:val="tx1"/>
            </w14:solidFill>
          </w14:textFill>
        </w:rPr>
        <w:t>-</w:t>
      </w:r>
      <w:r>
        <w:rPr>
          <w:rFonts w:hint="eastAsia"/>
          <w:b/>
          <w:color w:val="000000" w:themeColor="text1"/>
          <w14:textFill>
            <w14:solidFill>
              <w14:schemeClr w14:val="tx1"/>
            </w14:solidFill>
          </w14:textFill>
        </w:rPr>
        <w:t>-</w:t>
      </w:r>
      <w:r>
        <w:rPr>
          <w:b/>
          <w:color w:val="000000" w:themeColor="text1"/>
          <w14:textFill>
            <w14:solidFill>
              <w14:schemeClr w14:val="tx1"/>
            </w14:solidFill>
          </w14:textFill>
        </w:rPr>
        <w:t>4</w:t>
      </w:r>
      <w:r>
        <w:rPr>
          <w:rFonts w:hint="eastAsia"/>
          <w:b/>
          <w:color w:val="000000" w:themeColor="text1"/>
          <w14:textFill>
            <w14:solidFill>
              <w14:schemeClr w14:val="tx1"/>
            </w14:solidFill>
          </w14:textFill>
        </w:rPr>
        <w:t xml:space="preserve"> 落潮阶段液碱泄漏入海影响水域面积的包络</w:t>
      </w:r>
    </w:p>
    <w:p w14:paraId="3D355240">
      <w:pPr>
        <w:pStyle w:val="13"/>
        <w:spacing w:line="360" w:lineRule="auto"/>
        <w:ind w:firstLineChars="175"/>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（2）</w:t>
      </w:r>
      <w:r>
        <w:rPr>
          <w:rFonts w:hint="eastAsia" w:ascii="宋体" w:hAnsi="宋体"/>
          <w:color w:val="000000" w:themeColor="text1"/>
          <w:sz w:val="24"/>
          <w14:textFill>
            <w14:solidFill>
              <w14:schemeClr w14:val="tx1"/>
            </w14:solidFill>
          </w14:textFill>
        </w:rPr>
        <w:t>发烟硫酸</w:t>
      </w:r>
    </w:p>
    <w:p w14:paraId="5702A5DC">
      <w:pPr>
        <w:pStyle w:val="13"/>
        <w:spacing w:line="360" w:lineRule="auto"/>
        <w:ind w:firstLineChars="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类似地，根</w:t>
      </w:r>
      <w:r>
        <w:rPr>
          <w:color w:val="000000" w:themeColor="text1"/>
          <w:sz w:val="24"/>
          <w14:textFill>
            <w14:solidFill>
              <w14:schemeClr w14:val="tx1"/>
            </w14:solidFill>
          </w14:textFill>
        </w:rPr>
        <w:t>据</w:t>
      </w:r>
      <w:r>
        <w:rPr>
          <w:rFonts w:hint="eastAsia"/>
          <w:color w:val="000000" w:themeColor="text1"/>
          <w:sz w:val="24"/>
          <w14:textFill>
            <w14:solidFill>
              <w14:schemeClr w14:val="tx1"/>
            </w14:solidFill>
          </w14:textFill>
        </w:rPr>
        <w:t>前</w:t>
      </w:r>
      <w:r>
        <w:rPr>
          <w:color w:val="000000" w:themeColor="text1"/>
          <w:sz w:val="24"/>
          <w14:textFill>
            <w14:solidFill>
              <w14:schemeClr w14:val="tx1"/>
            </w14:solidFill>
          </w14:textFill>
        </w:rPr>
        <w:t>述条件进行预测计算，</w:t>
      </w:r>
      <w:r>
        <w:rPr>
          <w:rFonts w:hint="eastAsia"/>
          <w:color w:val="000000" w:themeColor="text1"/>
          <w:sz w:val="24"/>
          <w14:textFill>
            <w14:solidFill>
              <w14:schemeClr w14:val="tx1"/>
            </w14:solidFill>
          </w14:textFill>
        </w:rPr>
        <w:t>得到</w:t>
      </w:r>
      <w:r>
        <w:rPr>
          <w:rFonts w:hint="eastAsia" w:ascii="宋体" w:hAnsi="宋体"/>
          <w:color w:val="000000" w:themeColor="text1"/>
          <w:sz w:val="24"/>
          <w14:textFill>
            <w14:solidFill>
              <w14:schemeClr w14:val="tx1"/>
            </w14:solidFill>
          </w14:textFill>
        </w:rPr>
        <w:t>发烟硫酸</w:t>
      </w:r>
      <w:r>
        <w:rPr>
          <w:rFonts w:hint="eastAsia"/>
          <w:color w:val="000000" w:themeColor="text1"/>
          <w:sz w:val="24"/>
          <w14:textFill>
            <w14:solidFill>
              <w14:schemeClr w14:val="tx1"/>
            </w14:solidFill>
          </w14:textFill>
        </w:rPr>
        <w:t>分别在</w:t>
      </w:r>
      <w:r>
        <w:rPr>
          <w:color w:val="000000" w:themeColor="text1"/>
          <w:sz w:val="24"/>
          <w14:textFill>
            <w14:solidFill>
              <w14:schemeClr w14:val="tx1"/>
            </w14:solidFill>
          </w14:textFill>
        </w:rPr>
        <w:t>涨潮</w:t>
      </w:r>
      <w:r>
        <w:rPr>
          <w:rFonts w:hint="eastAsia"/>
          <w:color w:val="000000" w:themeColor="text1"/>
          <w:sz w:val="24"/>
          <w14:textFill>
            <w14:solidFill>
              <w14:schemeClr w14:val="tx1"/>
            </w14:solidFill>
          </w14:textFill>
        </w:rPr>
        <w:t>阶段、</w:t>
      </w:r>
      <w:r>
        <w:rPr>
          <w:color w:val="000000" w:themeColor="text1"/>
          <w:sz w:val="24"/>
          <w14:textFill>
            <w14:solidFill>
              <w14:schemeClr w14:val="tx1"/>
            </w14:solidFill>
          </w14:textFill>
        </w:rPr>
        <w:t>落潮</w:t>
      </w:r>
      <w:r>
        <w:rPr>
          <w:rFonts w:hint="eastAsia"/>
          <w:color w:val="000000" w:themeColor="text1"/>
          <w:sz w:val="24"/>
          <w14:textFill>
            <w14:solidFill>
              <w14:schemeClr w14:val="tx1"/>
            </w14:solidFill>
          </w14:textFill>
        </w:rPr>
        <w:t>阶段泄漏后不同</w:t>
      </w:r>
      <w:r>
        <w:rPr>
          <w:color w:val="000000" w:themeColor="text1"/>
          <w:sz w:val="24"/>
          <w14:textFill>
            <w14:solidFill>
              <w14:schemeClr w14:val="tx1"/>
            </w14:solidFill>
          </w14:textFill>
        </w:rPr>
        <w:t>浓度</w:t>
      </w:r>
      <w:r>
        <w:rPr>
          <w:rFonts w:hint="eastAsia"/>
          <w:color w:val="000000" w:themeColor="text1"/>
          <w:sz w:val="24"/>
          <w14:textFill>
            <w14:solidFill>
              <w14:schemeClr w14:val="tx1"/>
            </w14:solidFill>
          </w14:textFill>
        </w:rPr>
        <w:t>增量的</w:t>
      </w:r>
      <w:r>
        <w:rPr>
          <w:color w:val="000000" w:themeColor="text1"/>
          <w:sz w:val="24"/>
          <w14:textFill>
            <w14:solidFill>
              <w14:schemeClr w14:val="tx1"/>
            </w14:solidFill>
          </w14:textFill>
        </w:rPr>
        <w:t>影响包络</w:t>
      </w:r>
      <w:r>
        <w:rPr>
          <w:rFonts w:hint="eastAsia"/>
          <w:color w:val="000000" w:themeColor="text1"/>
          <w:sz w:val="24"/>
          <w14:textFill>
            <w14:solidFill>
              <w14:schemeClr w14:val="tx1"/>
            </w14:solidFill>
          </w14:textFill>
        </w:rPr>
        <w:t>范围(</w:t>
      </w:r>
      <w:r>
        <w:rPr>
          <w:color w:val="000000" w:themeColor="text1"/>
          <w:sz w:val="24"/>
          <w14:textFill>
            <w14:solidFill>
              <w14:schemeClr w14:val="tx1"/>
            </w14:solidFill>
          </w14:textFill>
        </w:rPr>
        <w:t>见图</w:t>
      </w:r>
      <w:r>
        <w:rPr>
          <w:rFonts w:hint="eastAsia"/>
          <w:b/>
          <w:color w:val="000000" w:themeColor="text1"/>
          <w:sz w:val="24"/>
          <w14:textFill>
            <w14:solidFill>
              <w14:schemeClr w14:val="tx1"/>
            </w14:solidFill>
          </w14:textFill>
        </w:rPr>
        <w:t>5.5.4</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5</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图</w:t>
      </w:r>
      <w:r>
        <w:rPr>
          <w:rFonts w:hint="eastAsia"/>
          <w:b/>
          <w:color w:val="000000" w:themeColor="text1"/>
          <w:sz w:val="24"/>
          <w14:textFill>
            <w14:solidFill>
              <w14:schemeClr w14:val="tx1"/>
            </w14:solidFill>
          </w14:textFill>
        </w:rPr>
        <w:t>5.5.4</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6</w:t>
      </w:r>
      <w:r>
        <w:rPr>
          <w:rFonts w:hint="eastAsia"/>
          <w:color w:val="000000" w:themeColor="text1"/>
          <w:sz w:val="24"/>
          <w14:textFill>
            <w14:solidFill>
              <w14:schemeClr w14:val="tx1"/>
            </w14:solidFill>
          </w14:textFill>
        </w:rPr>
        <w:t>)，其中最外层</w:t>
      </w:r>
      <w:r>
        <w:rPr>
          <w:rFonts w:hint="eastAsia" w:ascii="宋体" w:hAnsi="宋体"/>
          <w:color w:val="000000" w:themeColor="text1"/>
          <w:sz w:val="24"/>
          <w14:textFill>
            <w14:solidFill>
              <w14:schemeClr w14:val="tx1"/>
            </w14:solidFill>
          </w14:textFill>
        </w:rPr>
        <w:t>发烟硫酸</w:t>
      </w:r>
      <w:r>
        <w:rPr>
          <w:rFonts w:hint="eastAsia"/>
          <w:color w:val="000000" w:themeColor="text1"/>
          <w:sz w:val="24"/>
          <w14:textFill>
            <w14:solidFill>
              <w14:schemeClr w14:val="tx1"/>
            </w14:solidFill>
          </w14:textFill>
        </w:rPr>
        <w:t>浓度为</w:t>
      </w:r>
      <w:r>
        <w:rPr>
          <w:color w:val="000000" w:themeColor="text1"/>
          <w:sz w:val="24"/>
          <w14:textFill>
            <w14:solidFill>
              <w14:schemeClr w14:val="tx1"/>
            </w14:solidFill>
          </w14:textFill>
        </w:rPr>
        <w:t>0.001mg/L</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对应的影响区域面积和最远扩散距离见表</w:t>
      </w:r>
      <w:r>
        <w:rPr>
          <w:rFonts w:hint="eastAsia"/>
          <w:color w:val="000000" w:themeColor="text1"/>
          <w:sz w:val="24"/>
          <w14:textFill>
            <w14:solidFill>
              <w14:schemeClr w14:val="tx1"/>
            </w14:solidFill>
          </w14:textFill>
        </w:rPr>
        <w:t>5.5-17</w:t>
      </w:r>
      <w:r>
        <w:rPr>
          <w:color w:val="000000" w:themeColor="text1"/>
          <w:sz w:val="24"/>
          <w14:textFill>
            <w14:solidFill>
              <w14:schemeClr w14:val="tx1"/>
            </w14:solidFill>
          </w14:textFill>
        </w:rPr>
        <w:t>。</w:t>
      </w:r>
    </w:p>
    <w:p w14:paraId="140D2547">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从图</w:t>
      </w:r>
      <w:r>
        <w:rPr>
          <w:rFonts w:hint="eastAsia"/>
          <w:b/>
          <w:color w:val="000000" w:themeColor="text1"/>
          <w14:textFill>
            <w14:solidFill>
              <w14:schemeClr w14:val="tx1"/>
            </w14:solidFill>
          </w14:textFill>
        </w:rPr>
        <w:t>5.5.4</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5</w:t>
      </w:r>
      <w:r>
        <w:rPr>
          <w:rFonts w:hint="eastAsia"/>
          <w:color w:val="000000" w:themeColor="text1"/>
          <w14:textFill>
            <w14:solidFill>
              <w14:schemeClr w14:val="tx1"/>
            </w14:solidFill>
          </w14:textFill>
        </w:rPr>
        <w:t>~图</w:t>
      </w:r>
      <w:r>
        <w:rPr>
          <w:rFonts w:hint="eastAsia"/>
          <w:b/>
          <w:color w:val="000000" w:themeColor="text1"/>
          <w14:textFill>
            <w14:solidFill>
              <w14:schemeClr w14:val="tx1"/>
            </w14:solidFill>
          </w14:textFill>
        </w:rPr>
        <w:t>5.5.4</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6</w:t>
      </w:r>
      <w:r>
        <w:rPr>
          <w:rFonts w:hint="eastAsia"/>
          <w:color w:val="000000" w:themeColor="text1"/>
          <w14:textFill>
            <w14:solidFill>
              <w14:schemeClr w14:val="tx1"/>
            </w14:solidFill>
          </w14:textFill>
        </w:rPr>
        <w:t>及表5.5-17可以看出，涨潮阶段发生</w:t>
      </w:r>
      <w:r>
        <w:rPr>
          <w:rFonts w:hint="eastAsia" w:ascii="宋体" w:hAnsi="宋体"/>
          <w:color w:val="000000" w:themeColor="text1"/>
          <w14:textFill>
            <w14:solidFill>
              <w14:schemeClr w14:val="tx1"/>
            </w14:solidFill>
          </w14:textFill>
        </w:rPr>
        <w:t>发烟硫酸</w:t>
      </w:r>
      <w:r>
        <w:rPr>
          <w:rFonts w:hint="eastAsia" w:ascii="宋体" w:hAnsi="宋体"/>
          <w:color w:val="000000" w:themeColor="text1"/>
          <w:lang w:eastAsia="zh-CN"/>
          <w14:textFill>
            <w14:solidFill>
              <w14:schemeClr w14:val="tx1"/>
            </w14:solidFill>
          </w14:textFill>
        </w:rPr>
        <w:t>泄漏</w:t>
      </w:r>
      <w:r>
        <w:rPr>
          <w:rFonts w:hint="eastAsia"/>
          <w:color w:val="000000" w:themeColor="text1"/>
          <w14:textFill>
            <w14:solidFill>
              <w14:schemeClr w14:val="tx1"/>
            </w14:solidFill>
          </w14:textFill>
        </w:rPr>
        <w:t>事故时，</w:t>
      </w:r>
      <w:r>
        <w:rPr>
          <w:rFonts w:hint="eastAsia" w:ascii="宋体" w:hAnsi="宋体"/>
          <w:color w:val="000000" w:themeColor="text1"/>
          <w14:textFill>
            <w14:solidFill>
              <w14:schemeClr w14:val="tx1"/>
            </w14:solidFill>
          </w14:textFill>
        </w:rPr>
        <w:t>发烟硫酸</w:t>
      </w:r>
      <w:r>
        <w:rPr>
          <w:rFonts w:hint="eastAsia"/>
          <w:color w:val="000000" w:themeColor="text1"/>
          <w14:textFill>
            <w14:solidFill>
              <w14:schemeClr w14:val="tx1"/>
            </w14:solidFill>
          </w14:textFill>
        </w:rPr>
        <w:t>浓度大于</w:t>
      </w:r>
      <w:r>
        <w:rPr>
          <w:color w:val="000000" w:themeColor="text1"/>
          <w14:textFill>
            <w14:solidFill>
              <w14:schemeClr w14:val="tx1"/>
            </w14:solidFill>
          </w14:textFill>
        </w:rPr>
        <w:t>1mg/L</w:t>
      </w:r>
      <w:r>
        <w:rPr>
          <w:rFonts w:hint="eastAsia"/>
          <w:color w:val="000000" w:themeColor="text1"/>
          <w14:textFill>
            <w14:solidFill>
              <w14:schemeClr w14:val="tx1"/>
            </w14:solidFill>
          </w14:textFill>
        </w:rPr>
        <w:t>、0</w:t>
      </w:r>
      <w:r>
        <w:rPr>
          <w:color w:val="000000" w:themeColor="text1"/>
          <w14:textFill>
            <w14:solidFill>
              <w14:schemeClr w14:val="tx1"/>
            </w14:solidFill>
          </w14:textFill>
        </w:rPr>
        <w:t>.001 mg/L</w:t>
      </w:r>
      <w:r>
        <w:rPr>
          <w:rFonts w:hint="eastAsia"/>
          <w:color w:val="000000" w:themeColor="text1"/>
          <w14:textFill>
            <w14:solidFill>
              <w14:schemeClr w14:val="tx1"/>
            </w14:solidFill>
          </w14:textFill>
        </w:rPr>
        <w:t>向北扩散的距离分别为</w:t>
      </w:r>
      <w:r>
        <w:rPr>
          <w:color w:val="000000" w:themeColor="text1"/>
          <w14:textFill>
            <w14:solidFill>
              <w14:schemeClr w14:val="tx1"/>
            </w14:solidFill>
          </w14:textFill>
        </w:rPr>
        <w:t>13.166</w:t>
      </w:r>
      <w:r>
        <w:rPr>
          <w:rFonts w:hint="eastAsia"/>
          <w:color w:val="000000" w:themeColor="text1"/>
          <w14:textFill>
            <w14:solidFill>
              <w14:schemeClr w14:val="tx1"/>
            </w14:solidFill>
          </w14:textFill>
        </w:rPr>
        <w:t>k</w:t>
      </w:r>
      <w:r>
        <w:rPr>
          <w:color w:val="000000" w:themeColor="text1"/>
          <w14:textFill>
            <w14:solidFill>
              <w14:schemeClr w14:val="tx1"/>
            </w14:solidFill>
          </w14:textFill>
        </w:rPr>
        <w:t>m</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19.976km</w:t>
      </w:r>
      <w:r>
        <w:rPr>
          <w:rFonts w:hint="eastAsia"/>
          <w:color w:val="000000" w:themeColor="text1"/>
          <w14:textFill>
            <w14:solidFill>
              <w14:schemeClr w14:val="tx1"/>
            </w14:solidFill>
          </w14:textFill>
        </w:rPr>
        <w:t>，向南扩散的距离分别为</w:t>
      </w:r>
      <w:r>
        <w:rPr>
          <w:color w:val="000000" w:themeColor="text1"/>
          <w14:textFill>
            <w14:solidFill>
              <w14:schemeClr w14:val="tx1"/>
            </w14:solidFill>
          </w14:textFill>
        </w:rPr>
        <w:t>10.569</w:t>
      </w:r>
      <w:r>
        <w:rPr>
          <w:rFonts w:hint="eastAsia"/>
          <w:color w:val="000000" w:themeColor="text1"/>
          <w14:textFill>
            <w14:solidFill>
              <w14:schemeClr w14:val="tx1"/>
            </w14:solidFill>
          </w14:textFill>
        </w:rPr>
        <w:t>k</w:t>
      </w:r>
      <w:r>
        <w:rPr>
          <w:color w:val="000000" w:themeColor="text1"/>
          <w14:textFill>
            <w14:solidFill>
              <w14:schemeClr w14:val="tx1"/>
            </w14:solidFill>
          </w14:textFill>
        </w:rPr>
        <w:t>m</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20.166</w:t>
      </w:r>
      <w:r>
        <w:rPr>
          <w:rFonts w:hint="eastAsia"/>
          <w:color w:val="000000" w:themeColor="text1"/>
          <w14:textFill>
            <w14:solidFill>
              <w14:schemeClr w14:val="tx1"/>
            </w14:solidFill>
          </w14:textFill>
        </w:rPr>
        <w:t xml:space="preserve"> k</w:t>
      </w:r>
      <w:r>
        <w:rPr>
          <w:color w:val="000000" w:themeColor="text1"/>
          <w14:textFill>
            <w14:solidFill>
              <w14:schemeClr w14:val="tx1"/>
            </w14:solidFill>
          </w14:textFill>
        </w:rPr>
        <w:t>m</w:t>
      </w:r>
      <w:r>
        <w:rPr>
          <w:rFonts w:hint="eastAsia"/>
          <w:color w:val="000000" w:themeColor="text1"/>
          <w14:textFill>
            <w14:solidFill>
              <w14:schemeClr w14:val="tx1"/>
            </w14:solidFill>
          </w14:textFill>
        </w:rPr>
        <w:t>，包络面积分别可达</w:t>
      </w:r>
      <w:r>
        <w:rPr>
          <w:color w:val="000000" w:themeColor="text1"/>
          <w14:textFill>
            <w14:solidFill>
              <w14:schemeClr w14:val="tx1"/>
            </w14:solidFill>
          </w14:textFill>
        </w:rPr>
        <w:t>44.696km</w:t>
      </w:r>
      <w:r>
        <w:rPr>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288.712 km</w:t>
      </w:r>
      <w:r>
        <w:rPr>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；落潮阶段</w:t>
      </w:r>
      <w:r>
        <w:rPr>
          <w:rFonts w:hint="eastAsia"/>
          <w:color w:val="000000" w:themeColor="text1"/>
          <w:lang w:eastAsia="zh-CN"/>
          <w14:textFill>
            <w14:solidFill>
              <w14:schemeClr w14:val="tx1"/>
            </w14:solidFill>
          </w14:textFill>
        </w:rPr>
        <w:t>泄漏</w:t>
      </w:r>
      <w:r>
        <w:rPr>
          <w:rFonts w:hint="eastAsia"/>
          <w:color w:val="000000" w:themeColor="text1"/>
          <w14:textFill>
            <w14:solidFill>
              <w14:schemeClr w14:val="tx1"/>
            </w14:solidFill>
          </w14:textFill>
        </w:rPr>
        <w:t>，</w:t>
      </w:r>
      <w:r>
        <w:rPr>
          <w:rFonts w:hint="eastAsia" w:ascii="宋体" w:hAnsi="宋体"/>
          <w:color w:val="000000" w:themeColor="text1"/>
          <w14:textFill>
            <w14:solidFill>
              <w14:schemeClr w14:val="tx1"/>
            </w14:solidFill>
          </w14:textFill>
        </w:rPr>
        <w:t>发烟硫酸</w:t>
      </w:r>
      <w:r>
        <w:rPr>
          <w:rFonts w:hint="eastAsia"/>
          <w:color w:val="000000" w:themeColor="text1"/>
          <w14:textFill>
            <w14:solidFill>
              <w14:schemeClr w14:val="tx1"/>
            </w14:solidFill>
          </w14:textFill>
        </w:rPr>
        <w:t>浓度大于</w:t>
      </w:r>
      <w:r>
        <w:rPr>
          <w:color w:val="000000" w:themeColor="text1"/>
          <w14:textFill>
            <w14:solidFill>
              <w14:schemeClr w14:val="tx1"/>
            </w14:solidFill>
          </w14:textFill>
        </w:rPr>
        <w:t>1mg/L</w:t>
      </w:r>
      <w:r>
        <w:rPr>
          <w:rFonts w:hint="eastAsia"/>
          <w:color w:val="000000" w:themeColor="text1"/>
          <w14:textFill>
            <w14:solidFill>
              <w14:schemeClr w14:val="tx1"/>
            </w14:solidFill>
          </w14:textFill>
        </w:rPr>
        <w:t>、0</w:t>
      </w:r>
      <w:r>
        <w:rPr>
          <w:color w:val="000000" w:themeColor="text1"/>
          <w14:textFill>
            <w14:solidFill>
              <w14:schemeClr w14:val="tx1"/>
            </w14:solidFill>
          </w14:textFill>
        </w:rPr>
        <w:t>.001 mg/L</w:t>
      </w:r>
      <w:r>
        <w:rPr>
          <w:rFonts w:hint="eastAsia"/>
          <w:color w:val="000000" w:themeColor="text1"/>
          <w14:textFill>
            <w14:solidFill>
              <w14:schemeClr w14:val="tx1"/>
            </w14:solidFill>
          </w14:textFill>
        </w:rPr>
        <w:t>向北扩散的距离分别为</w:t>
      </w:r>
      <w:r>
        <w:rPr>
          <w:color w:val="000000" w:themeColor="text1"/>
          <w14:textFill>
            <w14:solidFill>
              <w14:schemeClr w14:val="tx1"/>
            </w14:solidFill>
          </w14:textFill>
        </w:rPr>
        <w:t>9.468</w:t>
      </w:r>
      <w:r>
        <w:rPr>
          <w:rFonts w:hint="eastAsia"/>
          <w:color w:val="000000" w:themeColor="text1"/>
          <w14:textFill>
            <w14:solidFill>
              <w14:schemeClr w14:val="tx1"/>
            </w14:solidFill>
          </w14:textFill>
        </w:rPr>
        <w:t>k</w:t>
      </w:r>
      <w:r>
        <w:rPr>
          <w:color w:val="000000" w:themeColor="text1"/>
          <w14:textFill>
            <w14:solidFill>
              <w14:schemeClr w14:val="tx1"/>
            </w14:solidFill>
          </w14:textFill>
        </w:rPr>
        <w:t>m</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16.423km</w:t>
      </w:r>
      <w:r>
        <w:rPr>
          <w:rFonts w:hint="eastAsia"/>
          <w:color w:val="000000" w:themeColor="text1"/>
          <w14:textFill>
            <w14:solidFill>
              <w14:schemeClr w14:val="tx1"/>
            </w14:solidFill>
          </w14:textFill>
        </w:rPr>
        <w:t>，向南扩散的距离分别为</w:t>
      </w:r>
      <w:r>
        <w:rPr>
          <w:color w:val="000000" w:themeColor="text1"/>
          <w14:textFill>
            <w14:solidFill>
              <w14:schemeClr w14:val="tx1"/>
            </w14:solidFill>
          </w14:textFill>
        </w:rPr>
        <w:t>17.377</w:t>
      </w:r>
      <w:r>
        <w:rPr>
          <w:rFonts w:hint="eastAsia"/>
          <w:color w:val="000000" w:themeColor="text1"/>
          <w14:textFill>
            <w14:solidFill>
              <w14:schemeClr w14:val="tx1"/>
            </w14:solidFill>
          </w14:textFill>
        </w:rPr>
        <w:t>k</w:t>
      </w:r>
      <w:r>
        <w:rPr>
          <w:color w:val="000000" w:themeColor="text1"/>
          <w14:textFill>
            <w14:solidFill>
              <w14:schemeClr w14:val="tx1"/>
            </w14:solidFill>
          </w14:textFill>
        </w:rPr>
        <w:t>m</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23.128</w:t>
      </w:r>
      <w:r>
        <w:rPr>
          <w:rFonts w:hint="eastAsia"/>
          <w:color w:val="000000" w:themeColor="text1"/>
          <w14:textFill>
            <w14:solidFill>
              <w14:schemeClr w14:val="tx1"/>
            </w14:solidFill>
          </w14:textFill>
        </w:rPr>
        <w:t xml:space="preserve"> k</w:t>
      </w:r>
      <w:r>
        <w:rPr>
          <w:color w:val="000000" w:themeColor="text1"/>
          <w14:textFill>
            <w14:solidFill>
              <w14:schemeClr w14:val="tx1"/>
            </w14:solidFill>
          </w14:textFill>
        </w:rPr>
        <w:t>m</w:t>
      </w:r>
      <w:r>
        <w:rPr>
          <w:rFonts w:hint="eastAsia"/>
          <w:color w:val="000000" w:themeColor="text1"/>
          <w14:textFill>
            <w14:solidFill>
              <w14:schemeClr w14:val="tx1"/>
            </w14:solidFill>
          </w14:textFill>
        </w:rPr>
        <w:t>，包络面积分别可达</w:t>
      </w:r>
      <w:r>
        <w:rPr>
          <w:color w:val="000000" w:themeColor="text1"/>
          <w14:textFill>
            <w14:solidFill>
              <w14:schemeClr w14:val="tx1"/>
            </w14:solidFill>
          </w14:textFill>
        </w:rPr>
        <w:t>113.263km</w:t>
      </w:r>
      <w:r>
        <w:rPr>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377.536 km</w:t>
      </w:r>
      <w:r>
        <w:rPr>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，落潮阶段</w:t>
      </w:r>
      <w:r>
        <w:rPr>
          <w:rFonts w:hint="eastAsia"/>
          <w:color w:val="000000" w:themeColor="text1"/>
          <w:lang w:eastAsia="zh-CN"/>
          <w14:textFill>
            <w14:solidFill>
              <w14:schemeClr w14:val="tx1"/>
            </w14:solidFill>
          </w14:textFill>
        </w:rPr>
        <w:t>泄漏</w:t>
      </w:r>
      <w:r>
        <w:rPr>
          <w:rFonts w:hint="eastAsia"/>
          <w:color w:val="000000" w:themeColor="text1"/>
          <w14:textFill>
            <w14:solidFill>
              <w14:schemeClr w14:val="tx1"/>
            </w14:solidFill>
          </w14:textFill>
        </w:rPr>
        <w:t>比涨潮阶段</w:t>
      </w:r>
      <w:r>
        <w:rPr>
          <w:rFonts w:hint="eastAsia"/>
          <w:color w:val="000000" w:themeColor="text1"/>
          <w:lang w:eastAsia="zh-CN"/>
          <w14:textFill>
            <w14:solidFill>
              <w14:schemeClr w14:val="tx1"/>
            </w14:solidFill>
          </w14:textFill>
        </w:rPr>
        <w:t>泄漏</w:t>
      </w:r>
      <w:r>
        <w:rPr>
          <w:rFonts w:hint="eastAsia"/>
          <w:color w:val="000000" w:themeColor="text1"/>
          <w14:textFill>
            <w14:solidFill>
              <w14:schemeClr w14:val="tx1"/>
            </w14:solidFill>
          </w14:textFill>
        </w:rPr>
        <w:t>扩散的影响范围大。总之，在本项目附近发生</w:t>
      </w:r>
      <w:r>
        <w:rPr>
          <w:rFonts w:hint="eastAsia" w:ascii="宋体" w:hAnsi="宋体"/>
          <w:color w:val="000000" w:themeColor="text1"/>
          <w14:textFill>
            <w14:solidFill>
              <w14:schemeClr w14:val="tx1"/>
            </w14:solidFill>
          </w14:textFill>
        </w:rPr>
        <w:t>发烟硫酸</w:t>
      </w:r>
      <w:r>
        <w:rPr>
          <w:rFonts w:hint="eastAsia"/>
          <w:color w:val="000000" w:themeColor="text1"/>
          <w14:textFill>
            <w14:solidFill>
              <w14:schemeClr w14:val="tx1"/>
            </w14:solidFill>
          </w14:textFill>
        </w:rPr>
        <w:t>严重泄漏事故</w:t>
      </w:r>
      <w:r>
        <w:rPr>
          <w:color w:val="000000" w:themeColor="text1"/>
          <w14:textFill>
            <w14:solidFill>
              <w14:schemeClr w14:val="tx1"/>
            </w14:solidFill>
          </w14:textFill>
        </w:rPr>
        <w:t>会对</w:t>
      </w:r>
      <w:r>
        <w:rPr>
          <w:rFonts w:hint="eastAsia"/>
          <w:color w:val="000000" w:themeColor="text1"/>
          <w14:textFill>
            <w14:solidFill>
              <w14:schemeClr w14:val="tx1"/>
            </w14:solidFill>
          </w14:textFill>
        </w:rPr>
        <w:t>钦州湾</w:t>
      </w:r>
      <w:r>
        <w:rPr>
          <w:color w:val="000000" w:themeColor="text1"/>
          <w14:textFill>
            <w14:solidFill>
              <w14:schemeClr w14:val="tx1"/>
            </w14:solidFill>
          </w14:textFill>
        </w:rPr>
        <w:t>海域的海洋环境造成</w:t>
      </w:r>
      <w:r>
        <w:rPr>
          <w:rFonts w:hint="eastAsia"/>
          <w:color w:val="000000" w:themeColor="text1"/>
          <w14:textFill>
            <w14:solidFill>
              <w14:schemeClr w14:val="tx1"/>
            </w14:solidFill>
          </w14:textFill>
        </w:rPr>
        <w:t>重大的</w:t>
      </w:r>
      <w:r>
        <w:rPr>
          <w:color w:val="000000" w:themeColor="text1"/>
          <w14:textFill>
            <w14:solidFill>
              <w14:schemeClr w14:val="tx1"/>
            </w14:solidFill>
          </w14:textFill>
        </w:rPr>
        <w:t>影响</w:t>
      </w:r>
      <w:r>
        <w:rPr>
          <w:rFonts w:hint="eastAsia"/>
          <w:color w:val="000000" w:themeColor="text1"/>
          <w14:textFill>
            <w14:solidFill>
              <w14:schemeClr w14:val="tx1"/>
            </w14:solidFill>
          </w14:textFill>
        </w:rPr>
        <w:t>。</w:t>
      </w:r>
    </w:p>
    <w:p w14:paraId="16649E4D">
      <w:pPr>
        <w:pStyle w:val="7"/>
        <w:rPr>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 发烟硫酸</w:t>
      </w:r>
      <w:r>
        <w:rPr>
          <w:color w:val="000000" w:themeColor="text1"/>
          <w14:textFill>
            <w14:solidFill>
              <w14:schemeClr w14:val="tx1"/>
            </w14:solidFill>
          </w14:textFill>
        </w:rPr>
        <w:t>泄漏入海扩散距离与包络面积</w:t>
      </w:r>
    </w:p>
    <w:tbl>
      <w:tblPr>
        <w:tblStyle w:val="43"/>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526"/>
        <w:gridCol w:w="992"/>
        <w:gridCol w:w="1132"/>
        <w:gridCol w:w="1217"/>
        <w:gridCol w:w="1219"/>
        <w:gridCol w:w="1217"/>
        <w:gridCol w:w="1219"/>
      </w:tblGrid>
      <w:tr w14:paraId="55F9731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81" w:hRule="atLeast"/>
          <w:jc w:val="center"/>
        </w:trPr>
        <w:tc>
          <w:tcPr>
            <w:tcW w:w="895" w:type="pct"/>
            <w:vMerge w:val="restart"/>
            <w:vAlign w:val="center"/>
          </w:tcPr>
          <w:p w14:paraId="754497EA">
            <w:pPr>
              <w:spacing w:line="240" w:lineRule="atLeast"/>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指  标</w:t>
            </w:r>
          </w:p>
        </w:tc>
        <w:tc>
          <w:tcPr>
            <w:tcW w:w="1246" w:type="pct"/>
            <w:gridSpan w:val="2"/>
            <w:vMerge w:val="restart"/>
            <w:vAlign w:val="center"/>
          </w:tcPr>
          <w:p w14:paraId="62B958A5">
            <w:pPr>
              <w:spacing w:line="240" w:lineRule="atLeast"/>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包络面积(km2)</w:t>
            </w:r>
          </w:p>
        </w:tc>
        <w:tc>
          <w:tcPr>
            <w:tcW w:w="2858" w:type="pct"/>
            <w:gridSpan w:val="4"/>
            <w:vAlign w:val="center"/>
          </w:tcPr>
          <w:p w14:paraId="31DC4E0E">
            <w:pPr>
              <w:spacing w:line="240" w:lineRule="atLeast"/>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最远扩散距离（km）</w:t>
            </w:r>
            <w:r>
              <w:rPr>
                <w:rFonts w:hint="eastAsia"/>
                <w:b/>
                <w:color w:val="000000" w:themeColor="text1"/>
                <w:sz w:val="21"/>
                <w:szCs w:val="21"/>
                <w14:textFill>
                  <w14:solidFill>
                    <w14:schemeClr w14:val="tx1"/>
                  </w14:solidFill>
                </w14:textFill>
              </w:rPr>
              <w:t>，泄漏点起算</w:t>
            </w:r>
          </w:p>
        </w:tc>
      </w:tr>
      <w:tr w14:paraId="179F0B6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3" w:hRule="atLeast"/>
          <w:jc w:val="center"/>
        </w:trPr>
        <w:tc>
          <w:tcPr>
            <w:tcW w:w="895" w:type="pct"/>
            <w:vMerge w:val="continue"/>
            <w:vAlign w:val="center"/>
          </w:tcPr>
          <w:p w14:paraId="6F04648F">
            <w:pPr>
              <w:spacing w:line="240" w:lineRule="atLeast"/>
              <w:ind w:firstLine="0" w:firstLineChars="0"/>
              <w:jc w:val="center"/>
              <w:rPr>
                <w:b/>
                <w:color w:val="000000" w:themeColor="text1"/>
                <w:sz w:val="21"/>
                <w:szCs w:val="21"/>
                <w14:textFill>
                  <w14:solidFill>
                    <w14:schemeClr w14:val="tx1"/>
                  </w14:solidFill>
                </w14:textFill>
              </w:rPr>
            </w:pPr>
          </w:p>
        </w:tc>
        <w:tc>
          <w:tcPr>
            <w:tcW w:w="1246" w:type="pct"/>
            <w:gridSpan w:val="2"/>
            <w:vMerge w:val="continue"/>
            <w:vAlign w:val="center"/>
          </w:tcPr>
          <w:p w14:paraId="2E709D85">
            <w:pPr>
              <w:spacing w:line="240" w:lineRule="atLeast"/>
              <w:ind w:firstLine="0" w:firstLineChars="0"/>
              <w:jc w:val="center"/>
              <w:rPr>
                <w:b/>
                <w:color w:val="000000" w:themeColor="text1"/>
                <w:sz w:val="21"/>
                <w:szCs w:val="21"/>
                <w14:textFill>
                  <w14:solidFill>
                    <w14:schemeClr w14:val="tx1"/>
                  </w14:solidFill>
                </w14:textFill>
              </w:rPr>
            </w:pPr>
          </w:p>
        </w:tc>
        <w:tc>
          <w:tcPr>
            <w:tcW w:w="1429" w:type="pct"/>
            <w:gridSpan w:val="2"/>
            <w:vAlign w:val="center"/>
          </w:tcPr>
          <w:p w14:paraId="3ECA21DD">
            <w:pPr>
              <w:spacing w:line="240" w:lineRule="atLeast"/>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偏北向</w:t>
            </w:r>
          </w:p>
        </w:tc>
        <w:tc>
          <w:tcPr>
            <w:tcW w:w="1429" w:type="pct"/>
            <w:gridSpan w:val="2"/>
            <w:vAlign w:val="center"/>
          </w:tcPr>
          <w:p w14:paraId="48E50517">
            <w:pPr>
              <w:spacing w:line="240" w:lineRule="atLeast"/>
              <w:ind w:firstLine="0" w:firstLineChars="0"/>
              <w:jc w:val="center"/>
              <w:rPr>
                <w:b/>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偏</w:t>
            </w:r>
            <w:r>
              <w:rPr>
                <w:b/>
                <w:color w:val="000000" w:themeColor="text1"/>
                <w:sz w:val="21"/>
                <w:szCs w:val="21"/>
                <w14:textFill>
                  <w14:solidFill>
                    <w14:schemeClr w14:val="tx1"/>
                  </w14:solidFill>
                </w14:textFill>
              </w:rPr>
              <w:t>南向</w:t>
            </w:r>
          </w:p>
        </w:tc>
      </w:tr>
      <w:tr w14:paraId="6EBBB08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3" w:hRule="atLeast"/>
          <w:jc w:val="center"/>
        </w:trPr>
        <w:tc>
          <w:tcPr>
            <w:tcW w:w="895" w:type="pct"/>
            <w:vAlign w:val="center"/>
          </w:tcPr>
          <w:p w14:paraId="26EB8685">
            <w:pPr>
              <w:spacing w:line="240" w:lineRule="atLeast"/>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泄漏</w:t>
            </w:r>
            <w:r>
              <w:rPr>
                <w:rFonts w:hint="eastAsia"/>
                <w:b/>
                <w:color w:val="000000" w:themeColor="text1"/>
                <w:sz w:val="21"/>
                <w:szCs w:val="21"/>
                <w14:textFill>
                  <w14:solidFill>
                    <w14:schemeClr w14:val="tx1"/>
                  </w14:solidFill>
                </w14:textFill>
              </w:rPr>
              <w:t>潮期</w:t>
            </w:r>
          </w:p>
        </w:tc>
        <w:tc>
          <w:tcPr>
            <w:tcW w:w="582" w:type="pct"/>
            <w:vAlign w:val="center"/>
          </w:tcPr>
          <w:p w14:paraId="05A664D4">
            <w:pPr>
              <w:spacing w:line="240" w:lineRule="atLeast"/>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涨潮</w:t>
            </w:r>
          </w:p>
        </w:tc>
        <w:tc>
          <w:tcPr>
            <w:tcW w:w="664" w:type="pct"/>
            <w:vAlign w:val="center"/>
          </w:tcPr>
          <w:p w14:paraId="54DEC3E5">
            <w:pPr>
              <w:spacing w:line="240" w:lineRule="atLeast"/>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落潮</w:t>
            </w:r>
          </w:p>
        </w:tc>
        <w:tc>
          <w:tcPr>
            <w:tcW w:w="714" w:type="pct"/>
            <w:vAlign w:val="center"/>
          </w:tcPr>
          <w:p w14:paraId="6A6FFFB2">
            <w:pPr>
              <w:spacing w:line="240" w:lineRule="atLeast"/>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涨潮</w:t>
            </w:r>
          </w:p>
        </w:tc>
        <w:tc>
          <w:tcPr>
            <w:tcW w:w="715" w:type="pct"/>
            <w:vAlign w:val="center"/>
          </w:tcPr>
          <w:p w14:paraId="0DE31203">
            <w:pPr>
              <w:spacing w:line="240" w:lineRule="atLeast"/>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落潮</w:t>
            </w:r>
          </w:p>
        </w:tc>
        <w:tc>
          <w:tcPr>
            <w:tcW w:w="714" w:type="pct"/>
            <w:vAlign w:val="center"/>
          </w:tcPr>
          <w:p w14:paraId="60D3A76C">
            <w:pPr>
              <w:spacing w:line="240" w:lineRule="atLeast"/>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涨潮</w:t>
            </w:r>
          </w:p>
        </w:tc>
        <w:tc>
          <w:tcPr>
            <w:tcW w:w="715" w:type="pct"/>
            <w:vAlign w:val="center"/>
          </w:tcPr>
          <w:p w14:paraId="23566618">
            <w:pPr>
              <w:spacing w:line="240" w:lineRule="atLeast"/>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落潮</w:t>
            </w:r>
          </w:p>
        </w:tc>
      </w:tr>
      <w:tr w14:paraId="01BC89A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895" w:type="pct"/>
            <w:vAlign w:val="center"/>
          </w:tcPr>
          <w:p w14:paraId="7189DF3C">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＞1000mg/L</w:t>
            </w:r>
          </w:p>
        </w:tc>
        <w:tc>
          <w:tcPr>
            <w:tcW w:w="582" w:type="pct"/>
            <w:vAlign w:val="center"/>
          </w:tcPr>
          <w:p w14:paraId="78418F25">
            <w:pPr>
              <w:widowControl/>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0.102</w:t>
            </w:r>
          </w:p>
        </w:tc>
        <w:tc>
          <w:tcPr>
            <w:tcW w:w="664" w:type="pct"/>
          </w:tcPr>
          <w:p w14:paraId="7B888A03">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0.111</w:t>
            </w:r>
          </w:p>
        </w:tc>
        <w:tc>
          <w:tcPr>
            <w:tcW w:w="714" w:type="pct"/>
            <w:vAlign w:val="center"/>
          </w:tcPr>
          <w:p w14:paraId="1B6DB779">
            <w:pPr>
              <w:widowControl/>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0.629</w:t>
            </w:r>
          </w:p>
        </w:tc>
        <w:tc>
          <w:tcPr>
            <w:tcW w:w="715" w:type="pct"/>
          </w:tcPr>
          <w:p w14:paraId="1ED440A3">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714" w:type="pct"/>
          </w:tcPr>
          <w:p w14:paraId="3D5DC771">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715" w:type="pct"/>
          </w:tcPr>
          <w:p w14:paraId="279BD5D4">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1.016</w:t>
            </w:r>
          </w:p>
        </w:tc>
      </w:tr>
      <w:tr w14:paraId="2225736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895" w:type="pct"/>
            <w:vAlign w:val="center"/>
          </w:tcPr>
          <w:p w14:paraId="210EDE4A">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r>
              <w:rPr>
                <w:rFonts w:hint="eastAsia"/>
                <w:color w:val="000000" w:themeColor="text1"/>
                <w:sz w:val="21"/>
                <w:szCs w:val="21"/>
                <w14:textFill>
                  <w14:solidFill>
                    <w14:schemeClr w14:val="tx1"/>
                  </w14:solidFill>
                </w14:textFill>
              </w:rPr>
              <w:t>1</w:t>
            </w:r>
            <w:r>
              <w:rPr>
                <w:color w:val="000000" w:themeColor="text1"/>
                <w:sz w:val="21"/>
                <w:szCs w:val="21"/>
                <w14:textFill>
                  <w14:solidFill>
                    <w14:schemeClr w14:val="tx1"/>
                  </w14:solidFill>
                </w14:textFill>
              </w:rPr>
              <w:t>mg/L</w:t>
            </w:r>
          </w:p>
        </w:tc>
        <w:tc>
          <w:tcPr>
            <w:tcW w:w="582" w:type="pct"/>
            <w:vAlign w:val="center"/>
          </w:tcPr>
          <w:p w14:paraId="00710248">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44.696</w:t>
            </w:r>
          </w:p>
        </w:tc>
        <w:tc>
          <w:tcPr>
            <w:tcW w:w="664" w:type="pct"/>
          </w:tcPr>
          <w:p w14:paraId="4B885011">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113.263</w:t>
            </w:r>
          </w:p>
        </w:tc>
        <w:tc>
          <w:tcPr>
            <w:tcW w:w="714" w:type="pct"/>
            <w:vAlign w:val="center"/>
          </w:tcPr>
          <w:p w14:paraId="66E6C959">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13.166</w:t>
            </w:r>
          </w:p>
        </w:tc>
        <w:tc>
          <w:tcPr>
            <w:tcW w:w="715" w:type="pct"/>
          </w:tcPr>
          <w:p w14:paraId="0669B4A2">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9.468</w:t>
            </w:r>
          </w:p>
        </w:tc>
        <w:tc>
          <w:tcPr>
            <w:tcW w:w="714" w:type="pct"/>
          </w:tcPr>
          <w:p w14:paraId="72F304B7">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10.569</w:t>
            </w:r>
          </w:p>
        </w:tc>
        <w:tc>
          <w:tcPr>
            <w:tcW w:w="715" w:type="pct"/>
          </w:tcPr>
          <w:p w14:paraId="50D44ABB">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17.377</w:t>
            </w:r>
          </w:p>
        </w:tc>
      </w:tr>
      <w:tr w14:paraId="5936B90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895" w:type="pct"/>
            <w:vAlign w:val="center"/>
          </w:tcPr>
          <w:p w14:paraId="31EE0979">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＞0.1mg/L</w:t>
            </w:r>
          </w:p>
        </w:tc>
        <w:tc>
          <w:tcPr>
            <w:tcW w:w="582" w:type="pct"/>
            <w:vAlign w:val="center"/>
          </w:tcPr>
          <w:p w14:paraId="5949FD11">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171.012</w:t>
            </w:r>
          </w:p>
        </w:tc>
        <w:tc>
          <w:tcPr>
            <w:tcW w:w="664" w:type="pct"/>
          </w:tcPr>
          <w:p w14:paraId="1F7F3DBD">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222.632</w:t>
            </w:r>
          </w:p>
        </w:tc>
        <w:tc>
          <w:tcPr>
            <w:tcW w:w="714" w:type="pct"/>
            <w:vAlign w:val="center"/>
          </w:tcPr>
          <w:p w14:paraId="19557186">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15.189</w:t>
            </w:r>
          </w:p>
        </w:tc>
        <w:tc>
          <w:tcPr>
            <w:tcW w:w="715" w:type="pct"/>
          </w:tcPr>
          <w:p w14:paraId="42DD1074">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12.366</w:t>
            </w:r>
          </w:p>
        </w:tc>
        <w:tc>
          <w:tcPr>
            <w:tcW w:w="714" w:type="pct"/>
          </w:tcPr>
          <w:p w14:paraId="65456281">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16.186</w:t>
            </w:r>
          </w:p>
        </w:tc>
        <w:tc>
          <w:tcPr>
            <w:tcW w:w="715" w:type="pct"/>
          </w:tcPr>
          <w:p w14:paraId="2A3C1ADC">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19.289</w:t>
            </w:r>
          </w:p>
        </w:tc>
      </w:tr>
      <w:tr w14:paraId="5293AC8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895" w:type="pct"/>
            <w:vAlign w:val="center"/>
          </w:tcPr>
          <w:p w14:paraId="52D1FC9A">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＞0.01mg/L</w:t>
            </w:r>
          </w:p>
        </w:tc>
        <w:tc>
          <w:tcPr>
            <w:tcW w:w="582" w:type="pct"/>
            <w:vAlign w:val="center"/>
          </w:tcPr>
          <w:p w14:paraId="5D56DA92">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243.939</w:t>
            </w:r>
          </w:p>
        </w:tc>
        <w:tc>
          <w:tcPr>
            <w:tcW w:w="664" w:type="pct"/>
          </w:tcPr>
          <w:p w14:paraId="4D9B66FC">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303.695</w:t>
            </w:r>
          </w:p>
        </w:tc>
        <w:tc>
          <w:tcPr>
            <w:tcW w:w="714" w:type="pct"/>
            <w:vAlign w:val="center"/>
          </w:tcPr>
          <w:p w14:paraId="5FC1E1BD">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16.010</w:t>
            </w:r>
          </w:p>
        </w:tc>
        <w:tc>
          <w:tcPr>
            <w:tcW w:w="715" w:type="pct"/>
          </w:tcPr>
          <w:p w14:paraId="6B29A05A">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14.945</w:t>
            </w:r>
          </w:p>
        </w:tc>
        <w:tc>
          <w:tcPr>
            <w:tcW w:w="714" w:type="pct"/>
          </w:tcPr>
          <w:p w14:paraId="39BAC696">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18.953</w:t>
            </w:r>
          </w:p>
        </w:tc>
        <w:tc>
          <w:tcPr>
            <w:tcW w:w="715" w:type="pct"/>
          </w:tcPr>
          <w:p w14:paraId="77457678">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20.965</w:t>
            </w:r>
          </w:p>
        </w:tc>
      </w:tr>
      <w:tr w14:paraId="6AE63E7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895" w:type="pct"/>
            <w:vAlign w:val="center"/>
          </w:tcPr>
          <w:p w14:paraId="1EC49CD9">
            <w:pPr>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&gt;</w:t>
            </w:r>
            <w:r>
              <w:rPr>
                <w:color w:val="000000" w:themeColor="text1"/>
                <w:sz w:val="21"/>
                <w:szCs w:val="21"/>
                <w14:textFill>
                  <w14:solidFill>
                    <w14:schemeClr w14:val="tx1"/>
                  </w14:solidFill>
                </w14:textFill>
              </w:rPr>
              <w:t>0.001 mg/L</w:t>
            </w:r>
          </w:p>
        </w:tc>
        <w:tc>
          <w:tcPr>
            <w:tcW w:w="582" w:type="pct"/>
            <w:vAlign w:val="center"/>
          </w:tcPr>
          <w:p w14:paraId="1D5D8E87">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288.712</w:t>
            </w:r>
          </w:p>
        </w:tc>
        <w:tc>
          <w:tcPr>
            <w:tcW w:w="664" w:type="pct"/>
          </w:tcPr>
          <w:p w14:paraId="41EC29E6">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377.536</w:t>
            </w:r>
          </w:p>
        </w:tc>
        <w:tc>
          <w:tcPr>
            <w:tcW w:w="714" w:type="pct"/>
            <w:vAlign w:val="center"/>
          </w:tcPr>
          <w:p w14:paraId="2291F322">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19.976</w:t>
            </w:r>
          </w:p>
        </w:tc>
        <w:tc>
          <w:tcPr>
            <w:tcW w:w="715" w:type="pct"/>
          </w:tcPr>
          <w:p w14:paraId="237DBE1C">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16.423</w:t>
            </w:r>
          </w:p>
        </w:tc>
        <w:tc>
          <w:tcPr>
            <w:tcW w:w="714" w:type="pct"/>
          </w:tcPr>
          <w:p w14:paraId="470392C7">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20.166</w:t>
            </w:r>
          </w:p>
        </w:tc>
        <w:tc>
          <w:tcPr>
            <w:tcW w:w="715" w:type="pct"/>
          </w:tcPr>
          <w:p w14:paraId="44750579">
            <w:pPr>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23.128</w:t>
            </w:r>
          </w:p>
        </w:tc>
      </w:tr>
    </w:tbl>
    <w:p w14:paraId="55D54D31">
      <w:pPr>
        <w:pStyle w:val="13"/>
        <w:spacing w:line="360" w:lineRule="auto"/>
        <w:ind w:left="2880" w:firstLine="482"/>
        <w:jc w:val="center"/>
        <w:rPr>
          <w:b/>
          <w:color w:val="000000" w:themeColor="text1"/>
          <w:sz w:val="24"/>
          <w14:textFill>
            <w14:solidFill>
              <w14:schemeClr w14:val="tx1"/>
            </w14:solidFill>
          </w14:textFill>
        </w:rPr>
      </w:pPr>
    </w:p>
    <w:p w14:paraId="22656C72">
      <w:pPr>
        <w:widowControl/>
        <w:ind w:firstLine="480"/>
        <w:jc w:val="center"/>
        <w:rPr>
          <w:rFonts w:ascii="宋体" w:hAnsi="宋体" w:cs="宋体"/>
          <w:color w:val="000000" w:themeColor="text1"/>
          <w:kern w:val="0"/>
          <w14:textFill>
            <w14:solidFill>
              <w14:schemeClr w14:val="tx1"/>
            </w14:solidFill>
          </w14:textFill>
        </w:rPr>
      </w:pPr>
      <w:r>
        <w:rPr>
          <w:color w:val="000000" w:themeColor="text1"/>
          <w14:textFill>
            <w14:solidFill>
              <w14:schemeClr w14:val="tx1"/>
            </w14:solidFill>
          </w14:textFill>
        </w:rPr>
        <w:drawing>
          <wp:inline distT="0" distB="0" distL="0" distR="0">
            <wp:extent cx="5274310" cy="5233035"/>
            <wp:effectExtent l="0" t="0" r="0" b="0"/>
            <wp:docPr id="269" name="图片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269"/>
                    <pic:cNvPicPr>
                      <a:picLocks noChangeAspect="1"/>
                    </pic:cNvPicPr>
                  </pic:nvPicPr>
                  <pic:blipFill>
                    <a:blip r:embed="rId258"/>
                    <a:stretch>
                      <a:fillRect/>
                    </a:stretch>
                  </pic:blipFill>
                  <pic:spPr>
                    <a:xfrm>
                      <a:off x="0" y="0"/>
                      <a:ext cx="5274310" cy="5233035"/>
                    </a:xfrm>
                    <a:prstGeom prst="rect">
                      <a:avLst/>
                    </a:prstGeom>
                  </pic:spPr>
                </pic:pic>
              </a:graphicData>
            </a:graphic>
          </wp:inline>
        </w:drawing>
      </w:r>
    </w:p>
    <w:p w14:paraId="0FA651FF">
      <w:pPr>
        <w:pStyle w:val="13"/>
        <w:spacing w:line="360" w:lineRule="auto"/>
        <w:ind w:firstLineChars="0"/>
        <w:jc w:val="center"/>
        <w:rPr>
          <w:b/>
          <w:color w:val="000000" w:themeColor="text1"/>
          <w:sz w:val="24"/>
          <w14:textFill>
            <w14:solidFill>
              <w14:schemeClr w14:val="tx1"/>
            </w14:solidFill>
          </w14:textFill>
        </w:rPr>
      </w:pPr>
      <w:r>
        <w:rPr>
          <w:rFonts w:hint="eastAsia"/>
          <w:b/>
          <w:color w:val="000000" w:themeColor="text1"/>
          <w:sz w:val="24"/>
          <w14:textFill>
            <w14:solidFill>
              <w14:schemeClr w14:val="tx1"/>
            </w14:solidFill>
          </w14:textFill>
        </w:rPr>
        <w:t>图5.5.4-</w:t>
      </w:r>
      <w:r>
        <w:rPr>
          <w:b/>
          <w:color w:val="000000" w:themeColor="text1"/>
          <w:sz w:val="24"/>
          <w14:textFill>
            <w14:solidFill>
              <w14:schemeClr w14:val="tx1"/>
            </w14:solidFill>
          </w14:textFill>
        </w:rPr>
        <w:t>5</w:t>
      </w:r>
      <w:r>
        <w:rPr>
          <w:rFonts w:hint="eastAsia"/>
          <w:b/>
          <w:color w:val="000000" w:themeColor="text1"/>
          <w:sz w:val="24"/>
          <w14:textFill>
            <w14:solidFill>
              <w14:schemeClr w14:val="tx1"/>
            </w14:solidFill>
          </w14:textFill>
        </w:rPr>
        <w:t xml:space="preserve"> 涨潮阶段发烟硫酸泄漏入海影响水域面积的包络</w:t>
      </w:r>
    </w:p>
    <w:p w14:paraId="05586029">
      <w:pPr>
        <w:widowControl/>
        <w:ind w:firstLine="480"/>
        <w:jc w:val="center"/>
        <w:rPr>
          <w:rFonts w:ascii="宋体" w:hAnsi="宋体" w:cs="宋体"/>
          <w:color w:val="000000" w:themeColor="text1"/>
          <w:kern w:val="0"/>
          <w14:textFill>
            <w14:solidFill>
              <w14:schemeClr w14:val="tx1"/>
            </w14:solidFill>
          </w14:textFill>
        </w:rPr>
      </w:pPr>
      <w:r>
        <w:rPr>
          <w:color w:val="000000" w:themeColor="text1"/>
          <w14:textFill>
            <w14:solidFill>
              <w14:schemeClr w14:val="tx1"/>
            </w14:solidFill>
          </w14:textFill>
        </w:rPr>
        <w:drawing>
          <wp:inline distT="0" distB="0" distL="0" distR="0">
            <wp:extent cx="5274310" cy="5221605"/>
            <wp:effectExtent l="0" t="0" r="0" b="0"/>
            <wp:docPr id="270" name="图片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270"/>
                    <pic:cNvPicPr>
                      <a:picLocks noChangeAspect="1"/>
                    </pic:cNvPicPr>
                  </pic:nvPicPr>
                  <pic:blipFill>
                    <a:blip r:embed="rId259"/>
                    <a:stretch>
                      <a:fillRect/>
                    </a:stretch>
                  </pic:blipFill>
                  <pic:spPr>
                    <a:xfrm>
                      <a:off x="0" y="0"/>
                      <a:ext cx="5274310" cy="5221605"/>
                    </a:xfrm>
                    <a:prstGeom prst="rect">
                      <a:avLst/>
                    </a:prstGeom>
                  </pic:spPr>
                </pic:pic>
              </a:graphicData>
            </a:graphic>
          </wp:inline>
        </w:drawing>
      </w:r>
    </w:p>
    <w:p w14:paraId="6CCD3F97">
      <w:pPr>
        <w:ind w:firstLine="482"/>
        <w:jc w:val="center"/>
        <w:rPr>
          <w:b/>
          <w:color w:val="000000" w:themeColor="text1"/>
          <w14:textFill>
            <w14:solidFill>
              <w14:schemeClr w14:val="tx1"/>
            </w14:solidFill>
          </w14:textFill>
        </w:rPr>
      </w:pPr>
      <w:r>
        <w:rPr>
          <w:rFonts w:hint="eastAsia"/>
          <w:b/>
          <w:color w:val="000000" w:themeColor="text1"/>
          <w14:textFill>
            <w14:solidFill>
              <w14:schemeClr w14:val="tx1"/>
            </w14:solidFill>
          </w14:textFill>
        </w:rPr>
        <w:t>图5.5.4-</w:t>
      </w:r>
      <w:r>
        <w:rPr>
          <w:b/>
          <w:color w:val="000000" w:themeColor="text1"/>
          <w14:textFill>
            <w14:solidFill>
              <w14:schemeClr w14:val="tx1"/>
            </w14:solidFill>
          </w14:textFill>
        </w:rPr>
        <w:t>6</w:t>
      </w:r>
      <w:r>
        <w:rPr>
          <w:rFonts w:hint="eastAsia"/>
          <w:b/>
          <w:color w:val="000000" w:themeColor="text1"/>
          <w14:textFill>
            <w14:solidFill>
              <w14:schemeClr w14:val="tx1"/>
            </w14:solidFill>
          </w14:textFill>
        </w:rPr>
        <w:t xml:space="preserve"> 落潮阶段发烟硫酸泄漏入海影响水域面积的包络</w:t>
      </w:r>
    </w:p>
    <w:p w14:paraId="4ED39956">
      <w:pPr>
        <w:pStyle w:val="5"/>
        <w:rPr>
          <w:color w:val="000000" w:themeColor="text1"/>
          <w14:textFill>
            <w14:solidFill>
              <w14:schemeClr w14:val="tx1"/>
            </w14:solidFill>
          </w14:textFill>
        </w:rPr>
      </w:pPr>
      <w:r>
        <w:rPr>
          <w:color w:val="000000" w:themeColor="text1"/>
          <w14:textFill>
            <w14:solidFill>
              <w14:schemeClr w14:val="tx1"/>
            </w14:solidFill>
          </w14:textFill>
        </w:rPr>
        <w:t>陆域风险事故预测</w:t>
      </w:r>
    </w:p>
    <w:p w14:paraId="4020A9C4">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根据物质危险性识别可知，项目货种沸点为34℃，因其沸点高于环境温度以及储存温度，故蒸发只考虑质量蒸发。同时根据表5.1-3及表5.4-2，选取发烟硫酸、苯乙烯作为预测货种（从数量、燃烧、毒性等综合筛选）。</w:t>
      </w:r>
    </w:p>
    <w:p w14:paraId="418E6ACE">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根据《建设项目环境风险评价技术导则》（HJ 169-2018）蒸发时间应结合物质特性、气象条件、工况等综合考虑，一般情况下，本次按最不利原则，发烟硫酸</w:t>
      </w:r>
      <w:r>
        <w:rPr>
          <w:rFonts w:hint="eastAsia"/>
          <w:color w:val="000000" w:themeColor="text1"/>
          <w:lang w:eastAsia="zh-CN"/>
          <w14:textFill>
            <w14:solidFill>
              <w14:schemeClr w14:val="tx1"/>
            </w14:solidFill>
          </w14:textFill>
        </w:rPr>
        <w:t>泄漏</w:t>
      </w:r>
      <w:r>
        <w:rPr>
          <w:rFonts w:hint="eastAsia"/>
          <w:color w:val="000000" w:themeColor="text1"/>
          <w14:textFill>
            <w14:solidFill>
              <w14:schemeClr w14:val="tx1"/>
            </w14:solidFill>
          </w14:textFill>
        </w:rPr>
        <w:t>量4.48t，苯乙烯</w:t>
      </w:r>
      <w:r>
        <w:rPr>
          <w:rFonts w:hint="eastAsia"/>
          <w:color w:val="000000" w:themeColor="text1"/>
          <w:lang w:eastAsia="zh-CN"/>
          <w14:textFill>
            <w14:solidFill>
              <w14:schemeClr w14:val="tx1"/>
            </w14:solidFill>
          </w14:textFill>
        </w:rPr>
        <w:t>泄漏</w:t>
      </w:r>
      <w:r>
        <w:rPr>
          <w:rFonts w:hint="eastAsia"/>
          <w:color w:val="000000" w:themeColor="text1"/>
          <w14:textFill>
            <w14:solidFill>
              <w14:schemeClr w14:val="tx1"/>
            </w14:solidFill>
          </w14:textFill>
        </w:rPr>
        <w:t>量2.85t。考虑泄漏蒸发时间为5min。故本项目发烟硫酸泄漏蒸发速率为</w:t>
      </w:r>
      <w:r>
        <w:rPr>
          <w:rFonts w:hint="eastAsia" w:eastAsiaTheme="minorEastAsia"/>
          <w:color w:val="000000" w:themeColor="text1"/>
          <w14:textFill>
            <w14:solidFill>
              <w14:schemeClr w14:val="tx1"/>
            </w14:solidFill>
          </w14:textFill>
        </w:rPr>
        <w:t>0.0149</w:t>
      </w:r>
      <w:r>
        <w:rPr>
          <w:rFonts w:hint="eastAsia"/>
          <w:color w:val="000000" w:themeColor="text1"/>
          <w14:textFill>
            <w14:solidFill>
              <w14:schemeClr w14:val="tx1"/>
            </w14:solidFill>
          </w14:textFill>
        </w:rPr>
        <w:t>kg/s，液体蒸发总量为</w:t>
      </w:r>
      <w:r>
        <w:rPr>
          <w:rFonts w:hint="eastAsia" w:eastAsiaTheme="minorEastAsia"/>
          <w:color w:val="000000" w:themeColor="text1"/>
          <w14:textFill>
            <w14:solidFill>
              <w14:schemeClr w14:val="tx1"/>
            </w14:solidFill>
          </w14:textFill>
        </w:rPr>
        <w:t>4.47</w:t>
      </w:r>
      <w:r>
        <w:rPr>
          <w:rFonts w:hint="eastAsia"/>
          <w:color w:val="000000" w:themeColor="text1"/>
          <w14:textFill>
            <w14:solidFill>
              <w14:schemeClr w14:val="tx1"/>
            </w14:solidFill>
          </w14:textFill>
        </w:rPr>
        <w:t>kg；苯乙烯泄漏蒸发速率为</w:t>
      </w:r>
      <w:r>
        <w:rPr>
          <w:rFonts w:hint="eastAsia" w:eastAsiaTheme="minorEastAsia"/>
          <w:color w:val="000000" w:themeColor="text1"/>
          <w14:textFill>
            <w14:solidFill>
              <w14:schemeClr w14:val="tx1"/>
            </w14:solidFill>
          </w14:textFill>
        </w:rPr>
        <w:t>0.0158</w:t>
      </w:r>
      <w:r>
        <w:rPr>
          <w:rFonts w:hint="eastAsia"/>
          <w:color w:val="000000" w:themeColor="text1"/>
          <w14:textFill>
            <w14:solidFill>
              <w14:schemeClr w14:val="tx1"/>
            </w14:solidFill>
          </w14:textFill>
        </w:rPr>
        <w:t>kg/s，液体蒸发总量为</w:t>
      </w:r>
      <w:r>
        <w:rPr>
          <w:rFonts w:hint="eastAsia" w:eastAsiaTheme="minorEastAsia"/>
          <w:color w:val="000000" w:themeColor="text1"/>
          <w14:textFill>
            <w14:solidFill>
              <w14:schemeClr w14:val="tx1"/>
            </w14:solidFill>
          </w14:textFill>
        </w:rPr>
        <w:t>4.74</w:t>
      </w:r>
      <w:r>
        <w:rPr>
          <w:rFonts w:hint="eastAsia"/>
          <w:color w:val="000000" w:themeColor="text1"/>
          <w14:textFill>
            <w14:solidFill>
              <w14:schemeClr w14:val="tx1"/>
            </w14:solidFill>
          </w14:textFill>
        </w:rPr>
        <w:t>kg，。</w:t>
      </w:r>
    </w:p>
    <w:p w14:paraId="5639F06F">
      <w:pPr>
        <w:ind w:firstLine="480"/>
        <w:rPr>
          <w:color w:val="000000" w:themeColor="text1"/>
          <w:kern w:val="0"/>
          <w:szCs w:val="20"/>
          <w14:textFill>
            <w14:solidFill>
              <w14:schemeClr w14:val="tx1"/>
            </w14:solidFill>
          </w14:textFill>
        </w:rPr>
      </w:pPr>
      <w:r>
        <w:rPr>
          <w:rFonts w:hint="eastAsia"/>
          <w:color w:val="000000" w:themeColor="text1"/>
          <w:kern w:val="0"/>
          <w:szCs w:val="20"/>
          <w14:textFill>
            <w14:solidFill>
              <w14:schemeClr w14:val="tx1"/>
            </w14:solidFill>
          </w14:textFill>
        </w:rPr>
        <w:t>火灾时间按15min计，则参与燃烧的苯乙烯为</w:t>
      </w:r>
      <w:r>
        <w:rPr>
          <w:color w:val="000000" w:themeColor="text1"/>
          <w:kern w:val="0"/>
          <w:szCs w:val="20"/>
          <w14:textFill>
            <w14:solidFill>
              <w14:schemeClr w14:val="tx1"/>
            </w14:solidFill>
          </w14:textFill>
        </w:rPr>
        <w:t>0.003167</w:t>
      </w:r>
      <w:r>
        <w:rPr>
          <w:rFonts w:hint="eastAsia"/>
          <w:color w:val="000000" w:themeColor="text1"/>
          <w:kern w:val="0"/>
          <w:szCs w:val="20"/>
          <w14:textFill>
            <w14:solidFill>
              <w14:schemeClr w14:val="tx1"/>
            </w14:solidFill>
          </w14:textFill>
        </w:rPr>
        <w:t>t/s。经计算，得到苯乙烯燃烧时一氧化碳的产生速率为0.102</w:t>
      </w:r>
      <w:r>
        <w:rPr>
          <w:color w:val="000000" w:themeColor="text1"/>
          <w:kern w:val="0"/>
          <w:szCs w:val="20"/>
          <w14:textFill>
            <w14:solidFill>
              <w14:schemeClr w14:val="tx1"/>
            </w14:solidFill>
          </w14:textFill>
        </w:rPr>
        <w:t>kg/s</w:t>
      </w:r>
      <w:r>
        <w:rPr>
          <w:rFonts w:hint="eastAsia"/>
          <w:color w:val="000000" w:themeColor="text1"/>
          <w:kern w:val="0"/>
          <w:szCs w:val="20"/>
          <w14:textFill>
            <w14:solidFill>
              <w14:schemeClr w14:val="tx1"/>
            </w14:solidFill>
          </w14:textFill>
        </w:rPr>
        <w:t>。</w:t>
      </w:r>
    </w:p>
    <w:p w14:paraId="1AE44B55">
      <w:pPr>
        <w:pStyle w:val="4"/>
        <w:rPr>
          <w:color w:val="000000" w:themeColor="text1"/>
          <w14:textFill>
            <w14:solidFill>
              <w14:schemeClr w14:val="tx1"/>
            </w14:solidFill>
          </w14:textFill>
        </w:rPr>
      </w:pPr>
      <w:r>
        <w:rPr>
          <w:rFonts w:hint="eastAsia"/>
          <w:color w:val="000000" w:themeColor="text1"/>
          <w14:textFill>
            <w14:solidFill>
              <w14:schemeClr w14:val="tx1"/>
            </w14:solidFill>
          </w14:textFill>
        </w:rPr>
        <w:t>预测模型筛选</w:t>
      </w:r>
    </w:p>
    <w:p w14:paraId="39E8CACA">
      <w:pPr>
        <w:ind w:firstLine="480"/>
        <w:rPr>
          <w:color w:val="000000" w:themeColor="text1"/>
          <w14:textFill>
            <w14:solidFill>
              <w14:schemeClr w14:val="tx1"/>
            </w14:solidFill>
          </w14:textFill>
        </w:rPr>
      </w:pPr>
      <w:r>
        <w:rPr>
          <w:color w:val="000000" w:themeColor="text1"/>
          <w14:textFill>
            <w14:solidFill>
              <w14:schemeClr w14:val="tx1"/>
            </w14:solidFill>
          </w14:textFill>
        </w:rPr>
        <w:t>根据《建设项目环境风险评价技术导则》（HJ169-2018）附录G，依据排放类型，理查德森数的计算分连续排放、瞬时排放两种形式：</w:t>
      </w:r>
    </w:p>
    <w:p w14:paraId="3A7556C2">
      <w:pPr>
        <w:ind w:firstLine="480"/>
        <w:rPr>
          <w:color w:val="000000" w:themeColor="text1"/>
          <w14:textFill>
            <w14:solidFill>
              <w14:schemeClr w14:val="tx1"/>
            </w14:solidFill>
          </w14:textFill>
        </w:rPr>
      </w:pPr>
      <w:r>
        <w:rPr>
          <w:color w:val="000000" w:themeColor="text1"/>
          <w14:textFill>
            <w14:solidFill>
              <w14:schemeClr w14:val="tx1"/>
            </w14:solidFill>
          </w14:textFill>
        </w:rPr>
        <w:t>连续排放：</w:t>
      </w:r>
    </w:p>
    <w:p w14:paraId="3F57E416">
      <w:pPr>
        <w:ind w:firstLine="480"/>
        <w:jc w:val="cente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2171700" cy="866775"/>
            <wp:effectExtent l="0" t="0" r="0" b="0"/>
            <wp:docPr id="271" name="图片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271"/>
                    <pic:cNvPicPr>
                      <a:picLocks noChangeAspect="1" noChangeArrowheads="1"/>
                    </pic:cNvPicPr>
                  </pic:nvPicPr>
                  <pic:blipFill>
                    <a:blip r:embed="rId260">
                      <a:lum bright="-66000"/>
                      <a:extLst>
                        <a:ext uri="{28A0092B-C50C-407E-A947-70E740481C1C}">
                          <a14:useLocalDpi xmlns:a14="http://schemas.microsoft.com/office/drawing/2010/main" val="0"/>
                        </a:ext>
                      </a:extLst>
                    </a:blip>
                    <a:srcRect/>
                    <a:stretch>
                      <a:fillRect/>
                    </a:stretch>
                  </pic:blipFill>
                  <pic:spPr>
                    <a:xfrm>
                      <a:off x="0" y="0"/>
                      <a:ext cx="2171700" cy="866775"/>
                    </a:xfrm>
                    <a:prstGeom prst="rect">
                      <a:avLst/>
                    </a:prstGeom>
                    <a:noFill/>
                    <a:ln>
                      <a:noFill/>
                    </a:ln>
                    <a:effectLst/>
                  </pic:spPr>
                </pic:pic>
              </a:graphicData>
            </a:graphic>
          </wp:inline>
        </w:drawing>
      </w:r>
    </w:p>
    <w:p w14:paraId="11EB05F9">
      <w:pPr>
        <w:ind w:firstLine="480"/>
        <w:rPr>
          <w:color w:val="000000" w:themeColor="text1"/>
          <w14:textFill>
            <w14:solidFill>
              <w14:schemeClr w14:val="tx1"/>
            </w14:solidFill>
          </w14:textFill>
        </w:rPr>
      </w:pPr>
      <w:r>
        <w:rPr>
          <w:color w:val="000000" w:themeColor="text1"/>
          <w14:textFill>
            <w14:solidFill>
              <w14:schemeClr w14:val="tx1"/>
            </w14:solidFill>
          </w14:textFill>
        </w:rPr>
        <w:t>瞬时排放：</w:t>
      </w:r>
    </w:p>
    <w:p w14:paraId="4DCFE56D">
      <w:pPr>
        <w:ind w:firstLine="0" w:firstLineChars="0"/>
        <w:jc w:val="cente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2295525" cy="762000"/>
            <wp:effectExtent l="0" t="0" r="9525" b="0"/>
            <wp:docPr id="273" name="图片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273"/>
                    <pic:cNvPicPr>
                      <a:picLocks noChangeAspect="1" noChangeArrowheads="1"/>
                    </pic:cNvPicPr>
                  </pic:nvPicPr>
                  <pic:blipFill>
                    <a:blip r:embed="rId261">
                      <a:lum bright="-36000"/>
                      <a:extLst>
                        <a:ext uri="{28A0092B-C50C-407E-A947-70E740481C1C}">
                          <a14:useLocalDpi xmlns:a14="http://schemas.microsoft.com/office/drawing/2010/main" val="0"/>
                        </a:ext>
                      </a:extLst>
                    </a:blip>
                    <a:srcRect/>
                    <a:stretch>
                      <a:fillRect/>
                    </a:stretch>
                  </pic:blipFill>
                  <pic:spPr>
                    <a:xfrm>
                      <a:off x="0" y="0"/>
                      <a:ext cx="2295525" cy="762000"/>
                    </a:xfrm>
                    <a:prstGeom prst="rect">
                      <a:avLst/>
                    </a:prstGeom>
                    <a:noFill/>
                    <a:ln>
                      <a:noFill/>
                    </a:ln>
                    <a:effectLst/>
                  </pic:spPr>
                </pic:pic>
              </a:graphicData>
            </a:graphic>
          </wp:inline>
        </w:drawing>
      </w:r>
    </w:p>
    <w:p w14:paraId="03A53032">
      <w:pPr>
        <w:ind w:firstLine="480"/>
        <w:rPr>
          <w:color w:val="000000" w:themeColor="text1"/>
          <w14:textFill>
            <w14:solidFill>
              <w14:schemeClr w14:val="tx1"/>
            </w14:solidFill>
          </w14:textFill>
        </w:rPr>
      </w:pPr>
      <w:r>
        <w:rPr>
          <w:i/>
          <w:iCs/>
          <w:color w:val="000000" w:themeColor="text1"/>
          <w14:textFill>
            <w14:solidFill>
              <w14:schemeClr w14:val="tx1"/>
            </w14:solidFill>
          </w14:textFill>
        </w:rPr>
        <w:t>ρ</w:t>
      </w:r>
      <w:r>
        <w:rPr>
          <w:i/>
          <w:iCs/>
          <w:color w:val="000000" w:themeColor="text1"/>
          <w:vertAlign w:val="subscript"/>
          <w14:textFill>
            <w14:solidFill>
              <w14:schemeClr w14:val="tx1"/>
            </w14:solidFill>
          </w14:textFill>
        </w:rPr>
        <w:t>rel</w:t>
      </w:r>
      <w:r>
        <w:rPr>
          <w:color w:val="000000" w:themeColor="text1"/>
          <w14:textFill>
            <w14:solidFill>
              <w14:schemeClr w14:val="tx1"/>
            </w14:solidFill>
          </w14:textFill>
        </w:rPr>
        <w:t>——排放物质进入大气的初始密度，kg/m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w:t>
      </w:r>
    </w:p>
    <w:p w14:paraId="6DE25D5F">
      <w:pPr>
        <w:ind w:firstLine="480"/>
        <w:rPr>
          <w:color w:val="000000" w:themeColor="text1"/>
          <w14:textFill>
            <w14:solidFill>
              <w14:schemeClr w14:val="tx1"/>
            </w14:solidFill>
          </w14:textFill>
        </w:rPr>
      </w:pPr>
      <w:r>
        <w:rPr>
          <w:i/>
          <w:iCs/>
          <w:color w:val="000000" w:themeColor="text1"/>
          <w14:textFill>
            <w14:solidFill>
              <w14:schemeClr w14:val="tx1"/>
            </w14:solidFill>
          </w14:textFill>
        </w:rPr>
        <w:t>ρ</w:t>
      </w:r>
      <w:r>
        <w:rPr>
          <w:i/>
          <w:iCs/>
          <w:color w:val="000000" w:themeColor="text1"/>
          <w:vertAlign w:val="subscript"/>
          <w14:textFill>
            <w14:solidFill>
              <w14:schemeClr w14:val="tx1"/>
            </w14:solidFill>
          </w14:textFill>
        </w:rPr>
        <w:t>a</w:t>
      </w:r>
      <w:r>
        <w:rPr>
          <w:color w:val="000000" w:themeColor="text1"/>
          <w14:textFill>
            <w14:solidFill>
              <w14:schemeClr w14:val="tx1"/>
            </w14:solidFill>
          </w14:textFill>
        </w:rPr>
        <w:t>——环境空气密度，kg/m</w:t>
      </w:r>
      <w:r>
        <w:rPr>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，取1.29</w:t>
      </w:r>
      <w:r>
        <w:rPr>
          <w:color w:val="000000" w:themeColor="text1"/>
          <w14:textFill>
            <w14:solidFill>
              <w14:schemeClr w14:val="tx1"/>
            </w14:solidFill>
          </w14:textFill>
        </w:rPr>
        <w:t>kg/m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w:t>
      </w:r>
    </w:p>
    <w:p w14:paraId="30DCCF27">
      <w:pPr>
        <w:ind w:firstLine="480"/>
        <w:rPr>
          <w:color w:val="000000" w:themeColor="text1"/>
          <w14:textFill>
            <w14:solidFill>
              <w14:schemeClr w14:val="tx1"/>
            </w14:solidFill>
          </w14:textFill>
        </w:rPr>
      </w:pPr>
      <w:r>
        <w:rPr>
          <w:i/>
          <w:iCs/>
          <w:color w:val="000000" w:themeColor="text1"/>
          <w14:textFill>
            <w14:solidFill>
              <w14:schemeClr w14:val="tx1"/>
            </w14:solidFill>
          </w14:textFill>
        </w:rPr>
        <w:t>Q</w:t>
      </w:r>
      <w:r>
        <w:rPr>
          <w:color w:val="000000" w:themeColor="text1"/>
          <w14:textFill>
            <w14:solidFill>
              <w14:schemeClr w14:val="tx1"/>
            </w14:solidFill>
          </w14:textFill>
        </w:rPr>
        <w:t>——连续排放烟羽的排放速率，kg/s；</w:t>
      </w:r>
    </w:p>
    <w:p w14:paraId="332AC33F">
      <w:pPr>
        <w:ind w:firstLine="480"/>
        <w:rPr>
          <w:color w:val="000000" w:themeColor="text1"/>
          <w14:textFill>
            <w14:solidFill>
              <w14:schemeClr w14:val="tx1"/>
            </w14:solidFill>
          </w14:textFill>
        </w:rPr>
      </w:pPr>
      <w:r>
        <w:rPr>
          <w:i/>
          <w:iCs/>
          <w:color w:val="000000" w:themeColor="text1"/>
          <w14:textFill>
            <w14:solidFill>
              <w14:schemeClr w14:val="tx1"/>
            </w14:solidFill>
          </w14:textFill>
        </w:rPr>
        <w:t>Q</w:t>
      </w:r>
      <w:r>
        <w:rPr>
          <w:color w:val="000000" w:themeColor="text1"/>
          <w:vertAlign w:val="subscript"/>
          <w14:textFill>
            <w14:solidFill>
              <w14:schemeClr w14:val="tx1"/>
            </w14:solidFill>
          </w14:textFill>
        </w:rPr>
        <w:t>t</w:t>
      </w:r>
      <w:r>
        <w:rPr>
          <w:color w:val="000000" w:themeColor="text1"/>
          <w14:textFill>
            <w14:solidFill>
              <w14:schemeClr w14:val="tx1"/>
            </w14:solidFill>
          </w14:textFill>
        </w:rPr>
        <w:t>——瞬时排放的物质质量，kg</w:t>
      </w:r>
      <w:r>
        <w:rPr>
          <w:rFonts w:hint="eastAsia"/>
          <w:color w:val="000000" w:themeColor="text1"/>
          <w14:textFill>
            <w14:solidFill>
              <w14:schemeClr w14:val="tx1"/>
            </w14:solidFill>
          </w14:textFill>
        </w:rPr>
        <w:t>，发烟硫酸为336kg；苯乙烯为357kg</w:t>
      </w:r>
      <w:r>
        <w:rPr>
          <w:color w:val="000000" w:themeColor="text1"/>
          <w14:textFill>
            <w14:solidFill>
              <w14:schemeClr w14:val="tx1"/>
            </w14:solidFill>
          </w14:textFill>
        </w:rPr>
        <w:t>；</w:t>
      </w:r>
    </w:p>
    <w:p w14:paraId="3A62E300">
      <w:pPr>
        <w:ind w:firstLine="480"/>
        <w:rPr>
          <w:color w:val="000000" w:themeColor="text1"/>
          <w14:textFill>
            <w14:solidFill>
              <w14:schemeClr w14:val="tx1"/>
            </w14:solidFill>
          </w14:textFill>
        </w:rPr>
      </w:pPr>
      <w:r>
        <w:rPr>
          <w:i/>
          <w:iCs/>
          <w:color w:val="000000" w:themeColor="text1"/>
          <w14:textFill>
            <w14:solidFill>
              <w14:schemeClr w14:val="tx1"/>
            </w14:solidFill>
          </w14:textFill>
        </w:rPr>
        <w:t>D</w:t>
      </w:r>
      <w:r>
        <w:rPr>
          <w:i/>
          <w:iCs/>
          <w:color w:val="000000" w:themeColor="text1"/>
          <w:vertAlign w:val="subscript"/>
          <w14:textFill>
            <w14:solidFill>
              <w14:schemeClr w14:val="tx1"/>
            </w14:solidFill>
          </w14:textFill>
        </w:rPr>
        <w:t>rel</w:t>
      </w:r>
      <w:r>
        <w:rPr>
          <w:color w:val="000000" w:themeColor="text1"/>
          <w14:textFill>
            <w14:solidFill>
              <w14:schemeClr w14:val="tx1"/>
            </w14:solidFill>
          </w14:textFill>
        </w:rPr>
        <w:t>——初始的烟团宽度，即源直径，m；</w:t>
      </w:r>
    </w:p>
    <w:p w14:paraId="48BB4E83">
      <w:pPr>
        <w:ind w:firstLine="480"/>
        <w:rPr>
          <w:color w:val="000000" w:themeColor="text1"/>
          <w14:textFill>
            <w14:solidFill>
              <w14:schemeClr w14:val="tx1"/>
            </w14:solidFill>
          </w14:textFill>
        </w:rPr>
      </w:pPr>
      <w:r>
        <w:rPr>
          <w:i/>
          <w:iCs/>
          <w:color w:val="000000" w:themeColor="text1"/>
          <w14:textFill>
            <w14:solidFill>
              <w14:schemeClr w14:val="tx1"/>
            </w14:solidFill>
          </w14:textFill>
        </w:rPr>
        <w:t>U</w:t>
      </w:r>
      <w:r>
        <w:rPr>
          <w:i/>
          <w:iCs/>
          <w:color w:val="000000" w:themeColor="text1"/>
          <w:vertAlign w:val="subscript"/>
          <w14:textFill>
            <w14:solidFill>
              <w14:schemeClr w14:val="tx1"/>
            </w14:solidFill>
          </w14:textFill>
        </w:rPr>
        <w:t>r</w:t>
      </w:r>
      <w:r>
        <w:rPr>
          <w:color w:val="000000" w:themeColor="text1"/>
          <w14:textFill>
            <w14:solidFill>
              <w14:schemeClr w14:val="tx1"/>
            </w14:solidFill>
          </w14:textFill>
        </w:rPr>
        <w:t>——10m高处风速，m/s</w:t>
      </w:r>
      <w:r>
        <w:rPr>
          <w:rFonts w:hint="eastAsia"/>
          <w:color w:val="000000" w:themeColor="text1"/>
          <w14:textFill>
            <w14:solidFill>
              <w14:schemeClr w14:val="tx1"/>
            </w14:solidFill>
          </w14:textFill>
        </w:rPr>
        <w:t>，取1.5</w:t>
      </w:r>
      <w:r>
        <w:rPr>
          <w:color w:val="000000" w:themeColor="text1"/>
          <w14:textFill>
            <w14:solidFill>
              <w14:schemeClr w14:val="tx1"/>
            </w14:solidFill>
          </w14:textFill>
        </w:rPr>
        <w:t>m/s。</w:t>
      </w:r>
    </w:p>
    <w:p w14:paraId="36ED2B72">
      <w:pPr>
        <w:ind w:firstLine="480"/>
        <w:rPr>
          <w:color w:val="000000" w:themeColor="text1"/>
          <w14:textFill>
            <w14:solidFill>
              <w14:schemeClr w14:val="tx1"/>
            </w14:solidFill>
          </w14:textFill>
        </w:rPr>
      </w:pPr>
      <w:r>
        <w:rPr>
          <w:color w:val="000000" w:themeColor="text1"/>
          <w14:textFill>
            <w14:solidFill>
              <w14:schemeClr w14:val="tx1"/>
            </w14:solidFill>
          </w14:textFill>
        </w:rPr>
        <w:t>判断连续排放还是瞬时排放，通过对比排放时间</w:t>
      </w:r>
      <w:r>
        <w:rPr>
          <w:i/>
          <w:iCs/>
          <w:color w:val="000000" w:themeColor="text1"/>
          <w14:textFill>
            <w14:solidFill>
              <w14:schemeClr w14:val="tx1"/>
            </w14:solidFill>
          </w14:textFill>
        </w:rPr>
        <w:t>T</w:t>
      </w:r>
      <w:r>
        <w:rPr>
          <w:i/>
          <w:iCs/>
          <w:color w:val="000000" w:themeColor="text1"/>
          <w:vertAlign w:val="subscript"/>
          <w14:textFill>
            <w14:solidFill>
              <w14:schemeClr w14:val="tx1"/>
            </w14:solidFill>
          </w14:textFill>
        </w:rPr>
        <w:t>d</w:t>
      </w:r>
      <w:r>
        <w:rPr>
          <w:iCs/>
          <w:color w:val="000000" w:themeColor="text1"/>
          <w14:textFill>
            <w14:solidFill>
              <w14:schemeClr w14:val="tx1"/>
            </w14:solidFill>
          </w14:textFill>
        </w:rPr>
        <w:t>（</w:t>
      </w:r>
      <w:r>
        <w:rPr>
          <w:rFonts w:hint="eastAsia"/>
          <w:iCs/>
          <w:color w:val="000000" w:themeColor="text1"/>
          <w14:textFill>
            <w14:solidFill>
              <w14:schemeClr w14:val="tx1"/>
            </w14:solidFill>
          </w14:textFill>
        </w:rPr>
        <w:t>5min</w:t>
      </w:r>
      <w:r>
        <w:rPr>
          <w:iCs/>
          <w:color w:val="000000" w:themeColor="text1"/>
          <w14:textFill>
            <w14:solidFill>
              <w14:schemeClr w14:val="tx1"/>
            </w14:solidFill>
          </w14:textFill>
        </w:rPr>
        <w:t>）</w:t>
      </w:r>
      <w:r>
        <w:rPr>
          <w:color w:val="000000" w:themeColor="text1"/>
          <w14:textFill>
            <w14:solidFill>
              <w14:schemeClr w14:val="tx1"/>
            </w14:solidFill>
          </w14:textFill>
        </w:rPr>
        <w:t>和污染物到达最近的受体点（网格点或敏感点）的时间T确定。</w:t>
      </w:r>
    </w:p>
    <w:p w14:paraId="32642C7F">
      <w:pPr>
        <w:ind w:firstLine="480"/>
        <w:jc w:val="center"/>
        <w:rPr>
          <w:color w:val="000000" w:themeColor="text1"/>
          <w14:textFill>
            <w14:solidFill>
              <w14:schemeClr w14:val="tx1"/>
            </w14:solidFill>
          </w14:textFill>
        </w:rPr>
      </w:pPr>
      <w:r>
        <w:rPr>
          <w:i/>
          <w:iCs/>
          <w:color w:val="000000" w:themeColor="text1"/>
          <w14:textFill>
            <w14:solidFill>
              <w14:schemeClr w14:val="tx1"/>
            </w14:solidFill>
          </w14:textFill>
        </w:rPr>
        <w:t>T</w:t>
      </w:r>
      <w:r>
        <w:rPr>
          <w:color w:val="000000" w:themeColor="text1"/>
          <w14:textFill>
            <w14:solidFill>
              <w14:schemeClr w14:val="tx1"/>
            </w14:solidFill>
          </w14:textFill>
        </w:rPr>
        <w:t>=2</w:t>
      </w:r>
      <w:r>
        <w:rPr>
          <w:i/>
          <w:iCs/>
          <w:color w:val="000000" w:themeColor="text1"/>
          <w14:textFill>
            <w14:solidFill>
              <w14:schemeClr w14:val="tx1"/>
            </w14:solidFill>
          </w14:textFill>
        </w:rPr>
        <w:t>X</w:t>
      </w:r>
      <w:r>
        <w:rPr>
          <w:color w:val="000000" w:themeColor="text1"/>
          <w14:textFill>
            <w14:solidFill>
              <w14:schemeClr w14:val="tx1"/>
            </w14:solidFill>
          </w14:textFill>
        </w:rPr>
        <w:t>/</w:t>
      </w:r>
      <w:r>
        <w:rPr>
          <w:i/>
          <w:iCs/>
          <w:color w:val="000000" w:themeColor="text1"/>
          <w14:textFill>
            <w14:solidFill>
              <w14:schemeClr w14:val="tx1"/>
            </w14:solidFill>
          </w14:textFill>
        </w:rPr>
        <w:t>U</w:t>
      </w:r>
      <w:r>
        <w:rPr>
          <w:i/>
          <w:iCs/>
          <w:color w:val="000000" w:themeColor="text1"/>
          <w:vertAlign w:val="subscript"/>
          <w14:textFill>
            <w14:solidFill>
              <w14:schemeClr w14:val="tx1"/>
            </w14:solidFill>
          </w14:textFill>
        </w:rPr>
        <w:t>r</w:t>
      </w:r>
    </w:p>
    <w:p w14:paraId="7205DC4F">
      <w:pPr>
        <w:ind w:firstLine="480"/>
        <w:rPr>
          <w:color w:val="000000" w:themeColor="text1"/>
          <w14:textFill>
            <w14:solidFill>
              <w14:schemeClr w14:val="tx1"/>
            </w14:solidFill>
          </w14:textFill>
        </w:rPr>
      </w:pPr>
      <w:r>
        <w:rPr>
          <w:i/>
          <w:iCs/>
          <w:color w:val="000000" w:themeColor="text1"/>
          <w14:textFill>
            <w14:solidFill>
              <w14:schemeClr w14:val="tx1"/>
            </w14:solidFill>
          </w14:textFill>
        </w:rPr>
        <w:t>X</w:t>
      </w:r>
      <w:r>
        <w:rPr>
          <w:color w:val="000000" w:themeColor="text1"/>
          <w14:textFill>
            <w14:solidFill>
              <w14:schemeClr w14:val="tx1"/>
            </w14:solidFill>
          </w14:textFill>
        </w:rPr>
        <w:t>——事故发生地点与计算点的距离，m；</w:t>
      </w:r>
    </w:p>
    <w:p w14:paraId="012176E8">
      <w:pPr>
        <w:ind w:firstLine="480"/>
        <w:rPr>
          <w:color w:val="000000" w:themeColor="text1"/>
          <w14:textFill>
            <w14:solidFill>
              <w14:schemeClr w14:val="tx1"/>
            </w14:solidFill>
          </w14:textFill>
        </w:rPr>
      </w:pPr>
      <w:r>
        <w:rPr>
          <w:i/>
          <w:iCs/>
          <w:color w:val="000000" w:themeColor="text1"/>
          <w14:textFill>
            <w14:solidFill>
              <w14:schemeClr w14:val="tx1"/>
            </w14:solidFill>
          </w14:textFill>
        </w:rPr>
        <w:t>U</w:t>
      </w:r>
      <w:r>
        <w:rPr>
          <w:i/>
          <w:iCs/>
          <w:color w:val="000000" w:themeColor="text1"/>
          <w:vertAlign w:val="subscript"/>
          <w14:textFill>
            <w14:solidFill>
              <w14:schemeClr w14:val="tx1"/>
            </w14:solidFill>
          </w14:textFill>
        </w:rPr>
        <w:t>r</w:t>
      </w:r>
      <w:r>
        <w:rPr>
          <w:color w:val="000000" w:themeColor="text1"/>
          <w14:textFill>
            <w14:solidFill>
              <w14:schemeClr w14:val="tx1"/>
            </w14:solidFill>
          </w14:textFill>
        </w:rPr>
        <w:t>——10m高处风速，m/s。假设风速和风向在T时间段内保持不变，按</w:t>
      </w:r>
      <w:r>
        <w:rPr>
          <w:rFonts w:hint="eastAsia"/>
          <w:color w:val="000000" w:themeColor="text1"/>
          <w14:textFill>
            <w14:solidFill>
              <w14:schemeClr w14:val="tx1"/>
            </w14:solidFill>
          </w14:textFill>
        </w:rPr>
        <w:t>导</w:t>
      </w:r>
      <w:r>
        <w:rPr>
          <w:color w:val="000000" w:themeColor="text1"/>
          <w14:textFill>
            <w14:solidFill>
              <w14:schemeClr w14:val="tx1"/>
            </w14:solidFill>
          </w14:textFill>
        </w:rPr>
        <w:t>则推荐最不利风速1.5m/s取值。</w:t>
      </w:r>
    </w:p>
    <w:p w14:paraId="02B5864B">
      <w:pPr>
        <w:ind w:firstLine="480"/>
        <w:rPr>
          <w:color w:val="000000" w:themeColor="text1"/>
          <w14:textFill>
            <w14:solidFill>
              <w14:schemeClr w14:val="tx1"/>
            </w14:solidFill>
          </w14:textFill>
        </w:rPr>
      </w:pPr>
      <w:r>
        <w:rPr>
          <w:color w:val="000000" w:themeColor="text1"/>
          <w14:textFill>
            <w14:solidFill>
              <w14:schemeClr w14:val="tx1"/>
            </w14:solidFill>
          </w14:textFill>
        </w:rPr>
        <w:t>当</w:t>
      </w:r>
      <w:r>
        <w:rPr>
          <w:i/>
          <w:iCs/>
          <w:color w:val="000000" w:themeColor="text1"/>
          <w14:textFill>
            <w14:solidFill>
              <w14:schemeClr w14:val="tx1"/>
            </w14:solidFill>
          </w14:textFill>
        </w:rPr>
        <w:t>T</w:t>
      </w:r>
      <w:r>
        <w:rPr>
          <w:i/>
          <w:iCs/>
          <w:color w:val="000000" w:themeColor="text1"/>
          <w:vertAlign w:val="subscript"/>
          <w14:textFill>
            <w14:solidFill>
              <w14:schemeClr w14:val="tx1"/>
            </w14:solidFill>
          </w14:textFill>
        </w:rPr>
        <w:t>d</w:t>
      </w:r>
      <w:r>
        <w:rPr>
          <w:color w:val="000000" w:themeColor="text1"/>
          <w14:textFill>
            <w14:solidFill>
              <w14:schemeClr w14:val="tx1"/>
            </w14:solidFill>
          </w14:textFill>
        </w:rPr>
        <w:t>&gt;</w:t>
      </w:r>
      <w:r>
        <w:rPr>
          <w:i/>
          <w:iCs/>
          <w:color w:val="000000" w:themeColor="text1"/>
          <w14:textFill>
            <w14:solidFill>
              <w14:schemeClr w14:val="tx1"/>
            </w14:solidFill>
          </w14:textFill>
        </w:rPr>
        <w:t>T</w:t>
      </w:r>
      <w:r>
        <w:rPr>
          <w:color w:val="000000" w:themeColor="text1"/>
          <w14:textFill>
            <w14:solidFill>
              <w14:schemeClr w14:val="tx1"/>
            </w14:solidFill>
          </w14:textFill>
        </w:rPr>
        <w:t>时，可被认为是连续排放；当</w:t>
      </w:r>
      <w:r>
        <w:rPr>
          <w:i/>
          <w:iCs/>
          <w:color w:val="000000" w:themeColor="text1"/>
          <w14:textFill>
            <w14:solidFill>
              <w14:schemeClr w14:val="tx1"/>
            </w14:solidFill>
          </w14:textFill>
        </w:rPr>
        <w:t>T</w:t>
      </w:r>
      <w:r>
        <w:rPr>
          <w:i/>
          <w:iCs/>
          <w:color w:val="000000" w:themeColor="text1"/>
          <w:vertAlign w:val="subscript"/>
          <w14:textFill>
            <w14:solidFill>
              <w14:schemeClr w14:val="tx1"/>
            </w14:solidFill>
          </w14:textFill>
        </w:rPr>
        <w:t>d</w:t>
      </w:r>
      <w:r>
        <w:rPr>
          <w:color w:val="000000" w:themeColor="text1"/>
          <w14:textFill>
            <w14:solidFill>
              <w14:schemeClr w14:val="tx1"/>
            </w14:solidFill>
          </w14:textFill>
        </w:rPr>
        <w:t>≤</w:t>
      </w:r>
      <w:r>
        <w:rPr>
          <w:i/>
          <w:iCs/>
          <w:color w:val="000000" w:themeColor="text1"/>
          <w14:textFill>
            <w14:solidFill>
              <w14:schemeClr w14:val="tx1"/>
            </w14:solidFill>
          </w14:textFill>
        </w:rPr>
        <w:t>T</w:t>
      </w:r>
      <w:r>
        <w:rPr>
          <w:color w:val="000000" w:themeColor="text1"/>
          <w14:textFill>
            <w14:solidFill>
              <w14:schemeClr w14:val="tx1"/>
            </w14:solidFill>
          </w14:textFill>
        </w:rPr>
        <w:t>时可被认为是瞬时排放。</w:t>
      </w:r>
    </w:p>
    <w:p w14:paraId="40607536">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本项目距最近的敏感点淡水湾村1.9km，最不利气象条件风速为1.5m/s。</w:t>
      </w:r>
      <w:r>
        <w:rPr>
          <w:color w:val="000000" w:themeColor="text1"/>
          <w14:textFill>
            <w14:solidFill>
              <w14:schemeClr w14:val="tx1"/>
            </w14:solidFill>
          </w14:textFill>
        </w:rPr>
        <w:t>根据计算，T=</w:t>
      </w:r>
      <w:r>
        <w:rPr>
          <w:rFonts w:hint="eastAsia"/>
          <w:color w:val="000000" w:themeColor="text1"/>
          <w14:textFill>
            <w14:solidFill>
              <w14:schemeClr w14:val="tx1"/>
            </w14:solidFill>
          </w14:textFill>
        </w:rPr>
        <w:t>2533S</w:t>
      </w:r>
      <w:r>
        <w:rPr>
          <w:color w:val="000000" w:themeColor="text1"/>
          <w14:textFill>
            <w14:solidFill>
              <w14:schemeClr w14:val="tx1"/>
            </w14:solidFill>
          </w14:textFill>
        </w:rPr>
        <w:t>，大于源项分析的排放时间，因此排放形式认为是瞬时排放。</w:t>
      </w:r>
    </w:p>
    <w:p w14:paraId="0D3BFE7E">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气体性质判断标准为：对于连续排放，</w:t>
      </w:r>
      <w:r>
        <w:rPr>
          <w:rFonts w:hint="eastAsia"/>
          <w:i/>
          <w:iCs/>
          <w:color w:val="000000" w:themeColor="text1"/>
          <w14:textFill>
            <w14:solidFill>
              <w14:schemeClr w14:val="tx1"/>
            </w14:solidFill>
          </w14:textFill>
        </w:rPr>
        <w:t>R</w:t>
      </w:r>
      <w:r>
        <w:rPr>
          <w:rFonts w:hint="eastAsia"/>
          <w:i/>
          <w:iCs/>
          <w:color w:val="000000" w:themeColor="text1"/>
          <w:vertAlign w:val="subscript"/>
          <w14:textFill>
            <w14:solidFill>
              <w14:schemeClr w14:val="tx1"/>
            </w14:solidFill>
          </w14:textFill>
        </w:rPr>
        <w:t>i</w:t>
      </w:r>
      <w:r>
        <w:rPr>
          <w:rFonts w:hint="eastAsia"/>
          <w:color w:val="000000" w:themeColor="text1"/>
          <w14:textFill>
            <w14:solidFill>
              <w14:schemeClr w14:val="tx1"/>
            </w14:solidFill>
          </w14:textFill>
        </w:rPr>
        <w:t>≥1/6为重质气体，</w:t>
      </w:r>
      <w:r>
        <w:rPr>
          <w:rFonts w:hint="eastAsia"/>
          <w:i/>
          <w:iCs/>
          <w:color w:val="000000" w:themeColor="text1"/>
          <w14:textFill>
            <w14:solidFill>
              <w14:schemeClr w14:val="tx1"/>
            </w14:solidFill>
          </w14:textFill>
        </w:rPr>
        <w:t>R</w:t>
      </w:r>
      <w:r>
        <w:rPr>
          <w:rFonts w:hint="eastAsia"/>
          <w:i/>
          <w:iCs/>
          <w:color w:val="000000" w:themeColor="text1"/>
          <w:vertAlign w:val="subscript"/>
          <w14:textFill>
            <w14:solidFill>
              <w14:schemeClr w14:val="tx1"/>
            </w14:solidFill>
          </w14:textFill>
        </w:rPr>
        <w:t>i</w:t>
      </w:r>
      <w:r>
        <w:rPr>
          <w:rFonts w:hint="eastAsia"/>
          <w:color w:val="000000" w:themeColor="text1"/>
          <w14:textFill>
            <w14:solidFill>
              <w14:schemeClr w14:val="tx1"/>
            </w14:solidFill>
          </w14:textFill>
        </w:rPr>
        <w:t>&lt;1/6为轻质气体。当Rg处于临界值附近时，说明烟团/烟羽既不是典型的重质气体扩散，也不是典型的轻质气体扩散。可以进行敏感性分析，分别采用重质气体模型和轻质气体模型进行模拟，选取影响范围最大的结果。</w:t>
      </w:r>
    </w:p>
    <w:p w14:paraId="14031461">
      <w:pPr>
        <w:ind w:firstLine="480"/>
        <w:rPr>
          <w:color w:val="000000" w:themeColor="text1"/>
          <w14:textFill>
            <w14:solidFill>
              <w14:schemeClr w14:val="tx1"/>
            </w14:solidFill>
          </w14:textFill>
        </w:rPr>
      </w:pPr>
      <w:r>
        <w:rPr>
          <w:color w:val="000000" w:themeColor="text1"/>
          <w14:textFill>
            <w14:solidFill>
              <w14:schemeClr w14:val="tx1"/>
            </w14:solidFill>
          </w14:textFill>
        </w:rPr>
        <w:t>根据计算，本项目采用风险导则中推荐的预测模型如下表所示：</w:t>
      </w:r>
    </w:p>
    <w:p w14:paraId="41750D10">
      <w:pPr>
        <w:pStyle w:val="7"/>
        <w:rPr>
          <w:color w:val="000000" w:themeColor="text1"/>
          <w14:textFill>
            <w14:solidFill>
              <w14:schemeClr w14:val="tx1"/>
            </w14:solidFill>
          </w14:textFill>
        </w:rPr>
      </w:pPr>
      <w:r>
        <w:rPr>
          <w:color w:val="000000" w:themeColor="text1"/>
          <w14:textFill>
            <w14:solidFill>
              <w14:schemeClr w14:val="tx1"/>
            </w14:solidFill>
          </w14:textFill>
        </w:rPr>
        <w:t>大气风险预测模型主要参数表</w:t>
      </w:r>
    </w:p>
    <w:tbl>
      <w:tblPr>
        <w:tblStyle w:val="43"/>
        <w:tblW w:w="5092"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555"/>
        <w:gridCol w:w="859"/>
        <w:gridCol w:w="863"/>
        <w:gridCol w:w="647"/>
        <w:gridCol w:w="929"/>
        <w:gridCol w:w="4826"/>
      </w:tblGrid>
      <w:tr w14:paraId="5E489F5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20" w:type="pct"/>
            <w:vAlign w:val="center"/>
          </w:tcPr>
          <w:p w14:paraId="28ABEBEA">
            <w:pPr>
              <w:spacing w:line="240" w:lineRule="auto"/>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区域</w:t>
            </w:r>
          </w:p>
        </w:tc>
        <w:tc>
          <w:tcPr>
            <w:tcW w:w="495" w:type="pct"/>
            <w:vAlign w:val="center"/>
          </w:tcPr>
          <w:p w14:paraId="54F70044">
            <w:pPr>
              <w:spacing w:line="240" w:lineRule="auto"/>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气体名称</w:t>
            </w:r>
          </w:p>
        </w:tc>
        <w:tc>
          <w:tcPr>
            <w:tcW w:w="497" w:type="pct"/>
            <w:vAlign w:val="center"/>
          </w:tcPr>
          <w:p w14:paraId="4BCE5DFD">
            <w:pPr>
              <w:spacing w:line="240" w:lineRule="auto"/>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排放形式</w:t>
            </w:r>
          </w:p>
        </w:tc>
        <w:tc>
          <w:tcPr>
            <w:tcW w:w="373" w:type="pct"/>
            <w:vAlign w:val="center"/>
          </w:tcPr>
          <w:p w14:paraId="5587790D">
            <w:pPr>
              <w:spacing w:line="240" w:lineRule="auto"/>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稳定度</w:t>
            </w:r>
          </w:p>
        </w:tc>
        <w:tc>
          <w:tcPr>
            <w:tcW w:w="535" w:type="pct"/>
            <w:vAlign w:val="center"/>
          </w:tcPr>
          <w:p w14:paraId="3B551431">
            <w:pPr>
              <w:spacing w:line="240" w:lineRule="auto"/>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风速（m/s）</w:t>
            </w:r>
          </w:p>
        </w:tc>
        <w:tc>
          <w:tcPr>
            <w:tcW w:w="2780" w:type="pct"/>
            <w:vAlign w:val="center"/>
          </w:tcPr>
          <w:p w14:paraId="1F04DC31">
            <w:pPr>
              <w:spacing w:line="240" w:lineRule="auto"/>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选取预测模型</w:t>
            </w:r>
          </w:p>
        </w:tc>
      </w:tr>
      <w:tr w14:paraId="2E4BD09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20" w:type="pct"/>
            <w:vMerge w:val="restart"/>
            <w:vAlign w:val="center"/>
          </w:tcPr>
          <w:p w14:paraId="7F755EA0">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码头</w:t>
            </w:r>
          </w:p>
        </w:tc>
        <w:tc>
          <w:tcPr>
            <w:tcW w:w="495" w:type="pct"/>
            <w:vAlign w:val="center"/>
          </w:tcPr>
          <w:p w14:paraId="5EF02D1E">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苯乙烯</w:t>
            </w:r>
          </w:p>
        </w:tc>
        <w:tc>
          <w:tcPr>
            <w:tcW w:w="497" w:type="pct"/>
            <w:vAlign w:val="center"/>
          </w:tcPr>
          <w:p w14:paraId="260A2977">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瞬时排放</w:t>
            </w:r>
          </w:p>
        </w:tc>
        <w:tc>
          <w:tcPr>
            <w:tcW w:w="373" w:type="pct"/>
            <w:vAlign w:val="center"/>
          </w:tcPr>
          <w:p w14:paraId="0BDE9D14">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F</w:t>
            </w:r>
          </w:p>
        </w:tc>
        <w:tc>
          <w:tcPr>
            <w:tcW w:w="535" w:type="pct"/>
            <w:vAlign w:val="center"/>
          </w:tcPr>
          <w:p w14:paraId="6034C0BD">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1.5</w:t>
            </w:r>
          </w:p>
        </w:tc>
        <w:tc>
          <w:tcPr>
            <w:tcW w:w="2780" w:type="pct"/>
            <w:vAlign w:val="center"/>
          </w:tcPr>
          <w:p w14:paraId="36DFB0A3">
            <w:pPr>
              <w:spacing w:line="240" w:lineRule="auto"/>
              <w:ind w:firstLine="0" w:firstLineChars="0"/>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进行初步计算，烟团初始密度未大于空气密度，不计算理查德森数。扩散计算建议采用 AFTOX 模式。</w:t>
            </w:r>
          </w:p>
        </w:tc>
      </w:tr>
      <w:tr w14:paraId="32C5C74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20" w:type="pct"/>
            <w:vMerge w:val="continue"/>
            <w:vAlign w:val="center"/>
          </w:tcPr>
          <w:p w14:paraId="5DFDBF48">
            <w:pPr>
              <w:spacing w:line="240" w:lineRule="auto"/>
              <w:ind w:firstLine="0" w:firstLineChars="0"/>
              <w:jc w:val="center"/>
              <w:rPr>
                <w:color w:val="000000" w:themeColor="text1"/>
                <w:sz w:val="21"/>
                <w:szCs w:val="21"/>
                <w14:textFill>
                  <w14:solidFill>
                    <w14:schemeClr w14:val="tx1"/>
                  </w14:solidFill>
                </w14:textFill>
              </w:rPr>
            </w:pPr>
          </w:p>
        </w:tc>
        <w:tc>
          <w:tcPr>
            <w:tcW w:w="495" w:type="pct"/>
            <w:vAlign w:val="center"/>
          </w:tcPr>
          <w:p w14:paraId="4985B074">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发烟硫酸</w:t>
            </w:r>
          </w:p>
        </w:tc>
        <w:tc>
          <w:tcPr>
            <w:tcW w:w="497" w:type="pct"/>
            <w:vAlign w:val="center"/>
          </w:tcPr>
          <w:p w14:paraId="5ECA2906">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瞬时排放</w:t>
            </w:r>
          </w:p>
        </w:tc>
        <w:tc>
          <w:tcPr>
            <w:tcW w:w="373" w:type="pct"/>
            <w:vAlign w:val="center"/>
          </w:tcPr>
          <w:p w14:paraId="15124C1B">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F</w:t>
            </w:r>
          </w:p>
        </w:tc>
        <w:tc>
          <w:tcPr>
            <w:tcW w:w="535" w:type="pct"/>
            <w:vAlign w:val="center"/>
          </w:tcPr>
          <w:p w14:paraId="702D51F5">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1.5</w:t>
            </w:r>
          </w:p>
        </w:tc>
        <w:tc>
          <w:tcPr>
            <w:tcW w:w="2780" w:type="pct"/>
            <w:vAlign w:val="center"/>
          </w:tcPr>
          <w:p w14:paraId="5E38AA2E">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理查德森数 Ri = 1.420321E-04,Ri&lt;1/6，为轻质气体。扩散计算建议采用 AFTOX 模式。</w:t>
            </w:r>
          </w:p>
        </w:tc>
      </w:tr>
      <w:tr w14:paraId="1198B93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20" w:type="pct"/>
            <w:vMerge w:val="continue"/>
            <w:vAlign w:val="center"/>
          </w:tcPr>
          <w:p w14:paraId="6C8F995A">
            <w:pPr>
              <w:spacing w:line="240" w:lineRule="auto"/>
              <w:ind w:firstLine="0" w:firstLineChars="0"/>
              <w:jc w:val="center"/>
              <w:rPr>
                <w:color w:val="000000" w:themeColor="text1"/>
                <w:sz w:val="21"/>
                <w:szCs w:val="21"/>
                <w14:textFill>
                  <w14:solidFill>
                    <w14:schemeClr w14:val="tx1"/>
                  </w14:solidFill>
                </w14:textFill>
              </w:rPr>
            </w:pPr>
          </w:p>
        </w:tc>
        <w:tc>
          <w:tcPr>
            <w:tcW w:w="495" w:type="pct"/>
            <w:vAlign w:val="center"/>
          </w:tcPr>
          <w:p w14:paraId="08C79798">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CO</w:t>
            </w:r>
          </w:p>
        </w:tc>
        <w:tc>
          <w:tcPr>
            <w:tcW w:w="497" w:type="pct"/>
            <w:vAlign w:val="center"/>
          </w:tcPr>
          <w:p w14:paraId="594568F6">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瞬时排放</w:t>
            </w:r>
          </w:p>
        </w:tc>
        <w:tc>
          <w:tcPr>
            <w:tcW w:w="373" w:type="pct"/>
            <w:vAlign w:val="center"/>
          </w:tcPr>
          <w:p w14:paraId="768A39C6">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535" w:type="pct"/>
            <w:vAlign w:val="center"/>
          </w:tcPr>
          <w:p w14:paraId="649CD031">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2780" w:type="pct"/>
            <w:vAlign w:val="center"/>
          </w:tcPr>
          <w:p w14:paraId="6973D603">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烟团初始密度未大于空气密度，不计算理查德森数。扩散计算建议采用 AFTOX 模式。</w:t>
            </w:r>
          </w:p>
        </w:tc>
      </w:tr>
    </w:tbl>
    <w:p w14:paraId="4D194FB3">
      <w:pPr>
        <w:ind w:firstLine="480"/>
        <w:rPr>
          <w:color w:val="000000" w:themeColor="text1"/>
          <w14:textFill>
            <w14:solidFill>
              <w14:schemeClr w14:val="tx1"/>
            </w14:solidFill>
          </w14:textFill>
        </w:rPr>
      </w:pPr>
      <w:r>
        <w:rPr>
          <w:color w:val="000000" w:themeColor="text1"/>
          <w14:textFill>
            <w14:solidFill>
              <w14:schemeClr w14:val="tx1"/>
            </w14:solidFill>
          </w14:textFill>
        </w:rPr>
        <w:t>根据《建设项目环境风险评价技术导则》（HJ169-2018）要求，二级评价需预测最不利气象条件。最不利气象条件取F类稳定度，1.5m/s风速，温度25℃</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相对湿度50%。</w:t>
      </w:r>
    </w:p>
    <w:p w14:paraId="2F05888B">
      <w:pPr>
        <w:pStyle w:val="4"/>
        <w:rPr>
          <w:color w:val="000000" w:themeColor="text1"/>
          <w14:textFill>
            <w14:solidFill>
              <w14:schemeClr w14:val="tx1"/>
            </w14:solidFill>
          </w14:textFill>
        </w:rPr>
      </w:pPr>
      <w:r>
        <w:rPr>
          <w:rFonts w:hint="eastAsia"/>
          <w:color w:val="000000" w:themeColor="text1"/>
          <w14:textFill>
            <w14:solidFill>
              <w14:schemeClr w14:val="tx1"/>
            </w14:solidFill>
          </w14:textFill>
        </w:rPr>
        <w:t>苯乙烯、发烟硫酸</w:t>
      </w:r>
      <w:r>
        <w:rPr>
          <w:color w:val="000000" w:themeColor="text1"/>
          <w14:textFill>
            <w14:solidFill>
              <w14:schemeClr w14:val="tx1"/>
            </w14:solidFill>
          </w14:textFill>
        </w:rPr>
        <w:t>泄漏预测</w:t>
      </w:r>
    </w:p>
    <w:p w14:paraId="73D1F83A">
      <w:pPr>
        <w:pStyle w:val="120"/>
        <w:numPr>
          <w:ilvl w:val="0"/>
          <w:numId w:val="17"/>
        </w:numPr>
        <w:ind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预测参数</w:t>
      </w:r>
    </w:p>
    <w:p w14:paraId="5D796FF3">
      <w:pPr>
        <w:pStyle w:val="7"/>
        <w:rPr>
          <w:color w:val="000000" w:themeColor="text1"/>
          <w14:textFill>
            <w14:solidFill>
              <w14:schemeClr w14:val="tx1"/>
            </w14:solidFill>
          </w14:textFill>
        </w:rPr>
      </w:pPr>
      <w:r>
        <w:rPr>
          <w:rFonts w:hint="eastAsia"/>
          <w:color w:val="000000" w:themeColor="text1"/>
          <w14:textFill>
            <w14:solidFill>
              <w14:schemeClr w14:val="tx1"/>
            </w14:solidFill>
          </w14:textFill>
        </w:rPr>
        <w:t>苯乙烯、发烟硫酸</w:t>
      </w:r>
      <w:r>
        <w:rPr>
          <w:color w:val="000000" w:themeColor="text1"/>
          <w14:textFill>
            <w14:solidFill>
              <w14:schemeClr w14:val="tx1"/>
            </w14:solidFill>
          </w14:textFill>
        </w:rPr>
        <w:t>大气风险预测模型主要参数表</w:t>
      </w:r>
    </w:p>
    <w:tbl>
      <w:tblPr>
        <w:tblStyle w:val="43"/>
        <w:tblW w:w="5004"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800"/>
        <w:gridCol w:w="4181"/>
        <w:gridCol w:w="2548"/>
      </w:tblGrid>
      <w:tr w14:paraId="2640352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0" w:hRule="atLeast"/>
          <w:tblHeader/>
          <w:jc w:val="center"/>
        </w:trPr>
        <w:tc>
          <w:tcPr>
            <w:tcW w:w="1055" w:type="pct"/>
            <w:vAlign w:val="center"/>
          </w:tcPr>
          <w:p w14:paraId="250EB1A5">
            <w:pPr>
              <w:spacing w:line="240" w:lineRule="auto"/>
              <w:ind w:firstLine="422"/>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参数类型</w:t>
            </w:r>
          </w:p>
        </w:tc>
        <w:tc>
          <w:tcPr>
            <w:tcW w:w="2450" w:type="pct"/>
            <w:vAlign w:val="center"/>
          </w:tcPr>
          <w:p w14:paraId="211D3A09">
            <w:pPr>
              <w:spacing w:line="240" w:lineRule="auto"/>
              <w:ind w:firstLine="422"/>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选项</w:t>
            </w:r>
          </w:p>
        </w:tc>
        <w:tc>
          <w:tcPr>
            <w:tcW w:w="1493" w:type="pct"/>
            <w:vAlign w:val="center"/>
          </w:tcPr>
          <w:p w14:paraId="76A970E9">
            <w:pPr>
              <w:spacing w:line="240" w:lineRule="auto"/>
              <w:ind w:firstLine="422"/>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参数</w:t>
            </w:r>
          </w:p>
        </w:tc>
      </w:tr>
      <w:tr w14:paraId="3B08BBC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8" w:hRule="atLeast"/>
          <w:jc w:val="center"/>
        </w:trPr>
        <w:tc>
          <w:tcPr>
            <w:tcW w:w="1055" w:type="pct"/>
            <w:vMerge w:val="restart"/>
            <w:vAlign w:val="center"/>
          </w:tcPr>
          <w:p w14:paraId="27F3451D">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基本情况</w:t>
            </w:r>
          </w:p>
        </w:tc>
        <w:tc>
          <w:tcPr>
            <w:tcW w:w="2450" w:type="pct"/>
            <w:vAlign w:val="center"/>
          </w:tcPr>
          <w:p w14:paraId="33AEBAB1">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事故源经度/(°)</w:t>
            </w:r>
          </w:p>
        </w:tc>
        <w:tc>
          <w:tcPr>
            <w:tcW w:w="1493" w:type="pct"/>
            <w:vAlign w:val="center"/>
          </w:tcPr>
          <w:p w14:paraId="3487B31B">
            <w:pPr>
              <w:spacing w:line="240" w:lineRule="auto"/>
              <w:ind w:firstLine="42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108.63076568</w:t>
            </w:r>
          </w:p>
        </w:tc>
      </w:tr>
      <w:tr w14:paraId="2192BBA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8" w:hRule="atLeast"/>
          <w:jc w:val="center"/>
        </w:trPr>
        <w:tc>
          <w:tcPr>
            <w:tcW w:w="1055" w:type="pct"/>
            <w:vMerge w:val="continue"/>
            <w:vAlign w:val="center"/>
          </w:tcPr>
          <w:p w14:paraId="591CB64C">
            <w:pPr>
              <w:spacing w:line="240" w:lineRule="auto"/>
              <w:ind w:firstLine="420"/>
              <w:jc w:val="center"/>
              <w:rPr>
                <w:color w:val="000000" w:themeColor="text1"/>
                <w:sz w:val="21"/>
                <w:szCs w:val="21"/>
                <w14:textFill>
                  <w14:solidFill>
                    <w14:schemeClr w14:val="tx1"/>
                  </w14:solidFill>
                </w14:textFill>
              </w:rPr>
            </w:pPr>
          </w:p>
        </w:tc>
        <w:tc>
          <w:tcPr>
            <w:tcW w:w="2450" w:type="pct"/>
            <w:vAlign w:val="center"/>
          </w:tcPr>
          <w:p w14:paraId="656D4ED8">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事故源纬度/(°)</w:t>
            </w:r>
          </w:p>
        </w:tc>
        <w:tc>
          <w:tcPr>
            <w:tcW w:w="1493" w:type="pct"/>
            <w:vAlign w:val="center"/>
          </w:tcPr>
          <w:p w14:paraId="53BAC176">
            <w:pPr>
              <w:spacing w:line="240" w:lineRule="auto"/>
              <w:ind w:firstLine="42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21.71193521</w:t>
            </w:r>
          </w:p>
        </w:tc>
      </w:tr>
      <w:tr w14:paraId="7AE5437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5" w:hRule="atLeast"/>
          <w:jc w:val="center"/>
        </w:trPr>
        <w:tc>
          <w:tcPr>
            <w:tcW w:w="1055" w:type="pct"/>
            <w:vMerge w:val="continue"/>
            <w:vAlign w:val="center"/>
          </w:tcPr>
          <w:p w14:paraId="2F346C56">
            <w:pPr>
              <w:spacing w:line="240" w:lineRule="auto"/>
              <w:ind w:firstLine="420"/>
              <w:jc w:val="center"/>
              <w:rPr>
                <w:color w:val="000000" w:themeColor="text1"/>
                <w:sz w:val="21"/>
                <w:szCs w:val="21"/>
                <w14:textFill>
                  <w14:solidFill>
                    <w14:schemeClr w14:val="tx1"/>
                  </w14:solidFill>
                </w14:textFill>
              </w:rPr>
            </w:pPr>
          </w:p>
        </w:tc>
        <w:tc>
          <w:tcPr>
            <w:tcW w:w="2450" w:type="pct"/>
            <w:vAlign w:val="center"/>
          </w:tcPr>
          <w:p w14:paraId="1EA5F060">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事故源类型</w:t>
            </w:r>
          </w:p>
        </w:tc>
        <w:tc>
          <w:tcPr>
            <w:tcW w:w="1493" w:type="pct"/>
            <w:vAlign w:val="center"/>
          </w:tcPr>
          <w:p w14:paraId="558222A1">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泄漏、火灾</w:t>
            </w:r>
          </w:p>
        </w:tc>
      </w:tr>
      <w:tr w14:paraId="6C81613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8" w:hRule="atLeast"/>
          <w:jc w:val="center"/>
        </w:trPr>
        <w:tc>
          <w:tcPr>
            <w:tcW w:w="1055" w:type="pct"/>
            <w:vMerge w:val="restart"/>
            <w:vAlign w:val="center"/>
          </w:tcPr>
          <w:p w14:paraId="031453FF">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气象参数</w:t>
            </w:r>
          </w:p>
        </w:tc>
        <w:tc>
          <w:tcPr>
            <w:tcW w:w="2450" w:type="pct"/>
            <w:vAlign w:val="center"/>
          </w:tcPr>
          <w:p w14:paraId="043717AB">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气象条件类型</w:t>
            </w:r>
          </w:p>
        </w:tc>
        <w:tc>
          <w:tcPr>
            <w:tcW w:w="1493" w:type="pct"/>
            <w:vAlign w:val="center"/>
          </w:tcPr>
          <w:p w14:paraId="2A2FB5A8">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最不利气象</w:t>
            </w:r>
          </w:p>
        </w:tc>
      </w:tr>
      <w:tr w14:paraId="0C7AD0B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8" w:hRule="atLeast"/>
          <w:jc w:val="center"/>
        </w:trPr>
        <w:tc>
          <w:tcPr>
            <w:tcW w:w="1055" w:type="pct"/>
            <w:vMerge w:val="continue"/>
            <w:vAlign w:val="center"/>
          </w:tcPr>
          <w:p w14:paraId="7171D650">
            <w:pPr>
              <w:spacing w:line="240" w:lineRule="auto"/>
              <w:ind w:firstLine="420"/>
              <w:jc w:val="center"/>
              <w:rPr>
                <w:color w:val="000000" w:themeColor="text1"/>
                <w:sz w:val="21"/>
                <w:szCs w:val="21"/>
                <w14:textFill>
                  <w14:solidFill>
                    <w14:schemeClr w14:val="tx1"/>
                  </w14:solidFill>
                </w14:textFill>
              </w:rPr>
            </w:pPr>
          </w:p>
        </w:tc>
        <w:tc>
          <w:tcPr>
            <w:tcW w:w="2450" w:type="pct"/>
            <w:vAlign w:val="center"/>
          </w:tcPr>
          <w:p w14:paraId="6B8A7E5B">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风速/（m/s）</w:t>
            </w:r>
          </w:p>
        </w:tc>
        <w:tc>
          <w:tcPr>
            <w:tcW w:w="1493" w:type="pct"/>
            <w:vAlign w:val="center"/>
          </w:tcPr>
          <w:p w14:paraId="0CCCD450">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1.5</w:t>
            </w:r>
          </w:p>
        </w:tc>
      </w:tr>
      <w:tr w14:paraId="58D99C4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5" w:hRule="atLeast"/>
          <w:jc w:val="center"/>
        </w:trPr>
        <w:tc>
          <w:tcPr>
            <w:tcW w:w="1055" w:type="pct"/>
            <w:vMerge w:val="continue"/>
            <w:vAlign w:val="center"/>
          </w:tcPr>
          <w:p w14:paraId="5F809085">
            <w:pPr>
              <w:spacing w:line="240" w:lineRule="auto"/>
              <w:ind w:firstLine="420"/>
              <w:jc w:val="center"/>
              <w:rPr>
                <w:color w:val="000000" w:themeColor="text1"/>
                <w:sz w:val="21"/>
                <w:szCs w:val="21"/>
                <w14:textFill>
                  <w14:solidFill>
                    <w14:schemeClr w14:val="tx1"/>
                  </w14:solidFill>
                </w14:textFill>
              </w:rPr>
            </w:pPr>
          </w:p>
        </w:tc>
        <w:tc>
          <w:tcPr>
            <w:tcW w:w="2450" w:type="pct"/>
            <w:vAlign w:val="center"/>
          </w:tcPr>
          <w:p w14:paraId="5561DEA5">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环境温度/C</w:t>
            </w:r>
          </w:p>
        </w:tc>
        <w:tc>
          <w:tcPr>
            <w:tcW w:w="1493" w:type="pct"/>
            <w:vAlign w:val="center"/>
          </w:tcPr>
          <w:p w14:paraId="09DAF0AA">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25</w:t>
            </w:r>
          </w:p>
        </w:tc>
      </w:tr>
      <w:tr w14:paraId="4E3CFB1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8" w:hRule="atLeast"/>
          <w:jc w:val="center"/>
        </w:trPr>
        <w:tc>
          <w:tcPr>
            <w:tcW w:w="1055" w:type="pct"/>
            <w:vMerge w:val="continue"/>
            <w:vAlign w:val="center"/>
          </w:tcPr>
          <w:p w14:paraId="55555B52">
            <w:pPr>
              <w:spacing w:line="240" w:lineRule="auto"/>
              <w:ind w:firstLine="420"/>
              <w:jc w:val="center"/>
              <w:rPr>
                <w:color w:val="000000" w:themeColor="text1"/>
                <w:sz w:val="21"/>
                <w:szCs w:val="21"/>
                <w14:textFill>
                  <w14:solidFill>
                    <w14:schemeClr w14:val="tx1"/>
                  </w14:solidFill>
                </w14:textFill>
              </w:rPr>
            </w:pPr>
          </w:p>
        </w:tc>
        <w:tc>
          <w:tcPr>
            <w:tcW w:w="2450" w:type="pct"/>
            <w:vAlign w:val="center"/>
          </w:tcPr>
          <w:p w14:paraId="740683BC">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相对湿度/%</w:t>
            </w:r>
          </w:p>
        </w:tc>
        <w:tc>
          <w:tcPr>
            <w:tcW w:w="1493" w:type="pct"/>
            <w:vAlign w:val="center"/>
          </w:tcPr>
          <w:p w14:paraId="1C475476">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50</w:t>
            </w:r>
          </w:p>
        </w:tc>
      </w:tr>
      <w:tr w14:paraId="3DCF1BC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8" w:hRule="atLeast"/>
          <w:jc w:val="center"/>
        </w:trPr>
        <w:tc>
          <w:tcPr>
            <w:tcW w:w="1055" w:type="pct"/>
            <w:vMerge w:val="continue"/>
            <w:vAlign w:val="center"/>
          </w:tcPr>
          <w:p w14:paraId="28088EB6">
            <w:pPr>
              <w:spacing w:line="240" w:lineRule="auto"/>
              <w:ind w:firstLine="420"/>
              <w:jc w:val="center"/>
              <w:rPr>
                <w:color w:val="000000" w:themeColor="text1"/>
                <w:sz w:val="21"/>
                <w:szCs w:val="21"/>
                <w14:textFill>
                  <w14:solidFill>
                    <w14:schemeClr w14:val="tx1"/>
                  </w14:solidFill>
                </w14:textFill>
              </w:rPr>
            </w:pPr>
          </w:p>
        </w:tc>
        <w:tc>
          <w:tcPr>
            <w:tcW w:w="2450" w:type="pct"/>
            <w:vAlign w:val="center"/>
          </w:tcPr>
          <w:p w14:paraId="408D03A8">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稳定度</w:t>
            </w:r>
          </w:p>
        </w:tc>
        <w:tc>
          <w:tcPr>
            <w:tcW w:w="1493" w:type="pct"/>
            <w:vAlign w:val="center"/>
          </w:tcPr>
          <w:p w14:paraId="5E1BB007">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F稳定度</w:t>
            </w:r>
          </w:p>
        </w:tc>
      </w:tr>
      <w:tr w14:paraId="57A2B6C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5" w:hRule="atLeast"/>
          <w:jc w:val="center"/>
        </w:trPr>
        <w:tc>
          <w:tcPr>
            <w:tcW w:w="1055" w:type="pct"/>
            <w:vMerge w:val="restart"/>
            <w:vAlign w:val="center"/>
          </w:tcPr>
          <w:p w14:paraId="651C3D2C">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其他参数</w:t>
            </w:r>
          </w:p>
        </w:tc>
        <w:tc>
          <w:tcPr>
            <w:tcW w:w="2450" w:type="pct"/>
            <w:vAlign w:val="center"/>
          </w:tcPr>
          <w:p w14:paraId="3C3C2465">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地表粗糙度/m</w:t>
            </w:r>
          </w:p>
        </w:tc>
        <w:tc>
          <w:tcPr>
            <w:tcW w:w="1493" w:type="pct"/>
            <w:vAlign w:val="center"/>
          </w:tcPr>
          <w:p w14:paraId="47E52BBF">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0.3</w:t>
            </w:r>
          </w:p>
        </w:tc>
      </w:tr>
      <w:tr w14:paraId="47222A4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8" w:hRule="atLeast"/>
          <w:jc w:val="center"/>
        </w:trPr>
        <w:tc>
          <w:tcPr>
            <w:tcW w:w="1055" w:type="pct"/>
            <w:vMerge w:val="continue"/>
            <w:vAlign w:val="center"/>
          </w:tcPr>
          <w:p w14:paraId="3FD67AFB">
            <w:pPr>
              <w:spacing w:line="240" w:lineRule="auto"/>
              <w:ind w:firstLine="420"/>
              <w:jc w:val="center"/>
              <w:rPr>
                <w:color w:val="000000" w:themeColor="text1"/>
                <w:sz w:val="21"/>
                <w:szCs w:val="21"/>
                <w14:textFill>
                  <w14:solidFill>
                    <w14:schemeClr w14:val="tx1"/>
                  </w14:solidFill>
                </w14:textFill>
              </w:rPr>
            </w:pPr>
          </w:p>
        </w:tc>
        <w:tc>
          <w:tcPr>
            <w:tcW w:w="2450" w:type="pct"/>
            <w:vAlign w:val="center"/>
          </w:tcPr>
          <w:p w14:paraId="395EBA59">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是否考虑地形</w:t>
            </w:r>
          </w:p>
        </w:tc>
        <w:tc>
          <w:tcPr>
            <w:tcW w:w="1493" w:type="pct"/>
            <w:vAlign w:val="center"/>
          </w:tcPr>
          <w:p w14:paraId="3BB9BE15">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是</w:t>
            </w:r>
          </w:p>
        </w:tc>
      </w:tr>
      <w:tr w14:paraId="7E25D13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2" w:hRule="atLeast"/>
          <w:jc w:val="center"/>
        </w:trPr>
        <w:tc>
          <w:tcPr>
            <w:tcW w:w="1055" w:type="pct"/>
            <w:vMerge w:val="continue"/>
            <w:vAlign w:val="center"/>
          </w:tcPr>
          <w:p w14:paraId="00CC9C60">
            <w:pPr>
              <w:spacing w:line="240" w:lineRule="auto"/>
              <w:ind w:firstLine="420"/>
              <w:jc w:val="center"/>
              <w:rPr>
                <w:color w:val="000000" w:themeColor="text1"/>
                <w:sz w:val="21"/>
                <w:szCs w:val="21"/>
                <w14:textFill>
                  <w14:solidFill>
                    <w14:schemeClr w14:val="tx1"/>
                  </w14:solidFill>
                </w14:textFill>
              </w:rPr>
            </w:pPr>
          </w:p>
        </w:tc>
        <w:tc>
          <w:tcPr>
            <w:tcW w:w="2450" w:type="pct"/>
            <w:vAlign w:val="center"/>
          </w:tcPr>
          <w:p w14:paraId="63CE0A97">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地形数据精度</w:t>
            </w:r>
          </w:p>
        </w:tc>
        <w:tc>
          <w:tcPr>
            <w:tcW w:w="1493" w:type="pct"/>
            <w:vAlign w:val="center"/>
          </w:tcPr>
          <w:p w14:paraId="34B35CF1">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90</w:t>
            </w:r>
          </w:p>
        </w:tc>
      </w:tr>
    </w:tbl>
    <w:p w14:paraId="0CB63EEA">
      <w:pPr>
        <w:pStyle w:val="41"/>
        <w:ind w:firstLine="240"/>
        <w:rPr>
          <w:color w:val="000000" w:themeColor="text1"/>
          <w14:textFill>
            <w14:solidFill>
              <w14:schemeClr w14:val="tx1"/>
            </w14:solidFill>
          </w14:textFill>
        </w:rPr>
      </w:pPr>
    </w:p>
    <w:p w14:paraId="2F42A32A">
      <w:pPr>
        <w:pStyle w:val="42"/>
        <w:ind w:left="480" w:firstLine="480"/>
        <w:rPr>
          <w:color w:val="000000" w:themeColor="text1"/>
          <w14:textFill>
            <w14:solidFill>
              <w14:schemeClr w14:val="tx1"/>
            </w14:solidFill>
          </w14:textFill>
        </w:rPr>
      </w:pPr>
    </w:p>
    <w:p w14:paraId="48C758AE">
      <w:pPr>
        <w:pStyle w:val="7"/>
        <w:rPr>
          <w:color w:val="000000" w:themeColor="text1"/>
          <w14:textFill>
            <w14:solidFill>
              <w14:schemeClr w14:val="tx1"/>
            </w14:solidFill>
          </w14:textFill>
        </w:rPr>
      </w:pPr>
      <w:r>
        <w:rPr>
          <w:color w:val="000000" w:themeColor="text1"/>
          <w14:textFill>
            <w14:solidFill>
              <w14:schemeClr w14:val="tx1"/>
            </w14:solidFill>
          </w14:textFill>
        </w:rPr>
        <w:t>危险物质大气毒性终点浓度选取值</w:t>
      </w:r>
    </w:p>
    <w:tbl>
      <w:tblPr>
        <w:tblStyle w:val="43"/>
        <w:tblW w:w="4934"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354"/>
        <w:gridCol w:w="2020"/>
        <w:gridCol w:w="2533"/>
        <w:gridCol w:w="2503"/>
      </w:tblGrid>
      <w:tr w14:paraId="7508000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340" w:hRule="atLeast"/>
          <w:jc w:val="center"/>
        </w:trPr>
        <w:tc>
          <w:tcPr>
            <w:tcW w:w="805" w:type="pct"/>
            <w:vAlign w:val="center"/>
          </w:tcPr>
          <w:p w14:paraId="5D2814FB">
            <w:pPr>
              <w:spacing w:line="240" w:lineRule="auto"/>
              <w:ind w:firstLine="422"/>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污染物</w:t>
            </w:r>
          </w:p>
        </w:tc>
        <w:tc>
          <w:tcPr>
            <w:tcW w:w="1201" w:type="pct"/>
            <w:vAlign w:val="center"/>
          </w:tcPr>
          <w:p w14:paraId="0E741978">
            <w:pPr>
              <w:spacing w:line="240" w:lineRule="auto"/>
              <w:ind w:firstLine="422"/>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相对蒸</w:t>
            </w:r>
            <w:r>
              <w:rPr>
                <w:rFonts w:hint="eastAsia"/>
                <w:b/>
                <w:color w:val="000000" w:themeColor="text1"/>
                <w:sz w:val="21"/>
                <w:szCs w:val="21"/>
                <w14:textFill>
                  <w14:solidFill>
                    <w14:schemeClr w14:val="tx1"/>
                  </w14:solidFill>
                </w14:textFill>
              </w:rPr>
              <w:t>气</w:t>
            </w:r>
            <w:r>
              <w:rPr>
                <w:b/>
                <w:color w:val="000000" w:themeColor="text1"/>
                <w:sz w:val="21"/>
                <w:szCs w:val="21"/>
                <w14:textFill>
                  <w14:solidFill>
                    <w14:schemeClr w14:val="tx1"/>
                  </w14:solidFill>
                </w14:textFill>
              </w:rPr>
              <w:t>密度（kg/m</w:t>
            </w:r>
            <w:r>
              <w:rPr>
                <w:b/>
                <w:color w:val="000000" w:themeColor="text1"/>
                <w:sz w:val="21"/>
                <w:szCs w:val="21"/>
                <w:vertAlign w:val="superscript"/>
                <w14:textFill>
                  <w14:solidFill>
                    <w14:schemeClr w14:val="tx1"/>
                  </w14:solidFill>
                </w14:textFill>
              </w:rPr>
              <w:t>3</w:t>
            </w:r>
            <w:r>
              <w:rPr>
                <w:b/>
                <w:color w:val="000000" w:themeColor="text1"/>
                <w:sz w:val="21"/>
                <w:szCs w:val="21"/>
                <w14:textFill>
                  <w14:solidFill>
                    <w14:schemeClr w14:val="tx1"/>
                  </w14:solidFill>
                </w14:textFill>
              </w:rPr>
              <w:t>）</w:t>
            </w:r>
          </w:p>
        </w:tc>
        <w:tc>
          <w:tcPr>
            <w:tcW w:w="1506" w:type="pct"/>
            <w:vAlign w:val="center"/>
          </w:tcPr>
          <w:p w14:paraId="580B6476">
            <w:pPr>
              <w:spacing w:line="240" w:lineRule="auto"/>
              <w:ind w:firstLine="422"/>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毒性终点浓度-1（mg/m</w:t>
            </w:r>
            <w:r>
              <w:rPr>
                <w:b/>
                <w:color w:val="000000" w:themeColor="text1"/>
                <w:sz w:val="21"/>
                <w:szCs w:val="21"/>
                <w:vertAlign w:val="superscript"/>
                <w14:textFill>
                  <w14:solidFill>
                    <w14:schemeClr w14:val="tx1"/>
                  </w14:solidFill>
                </w14:textFill>
              </w:rPr>
              <w:t>3</w:t>
            </w:r>
            <w:r>
              <w:rPr>
                <w:b/>
                <w:color w:val="000000" w:themeColor="text1"/>
                <w:sz w:val="21"/>
                <w:szCs w:val="21"/>
                <w14:textFill>
                  <w14:solidFill>
                    <w14:schemeClr w14:val="tx1"/>
                  </w14:solidFill>
                </w14:textFill>
              </w:rPr>
              <w:t>）</w:t>
            </w:r>
          </w:p>
        </w:tc>
        <w:tc>
          <w:tcPr>
            <w:tcW w:w="1488" w:type="pct"/>
            <w:vAlign w:val="center"/>
          </w:tcPr>
          <w:p w14:paraId="048EC048">
            <w:pPr>
              <w:spacing w:line="240" w:lineRule="auto"/>
              <w:ind w:firstLine="422"/>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毒性终点浓度-2（mg/m</w:t>
            </w:r>
            <w:r>
              <w:rPr>
                <w:b/>
                <w:color w:val="000000" w:themeColor="text1"/>
                <w:sz w:val="21"/>
                <w:szCs w:val="21"/>
                <w:vertAlign w:val="superscript"/>
                <w14:textFill>
                  <w14:solidFill>
                    <w14:schemeClr w14:val="tx1"/>
                  </w14:solidFill>
                </w14:textFill>
              </w:rPr>
              <w:t>3</w:t>
            </w:r>
            <w:r>
              <w:rPr>
                <w:b/>
                <w:color w:val="000000" w:themeColor="text1"/>
                <w:sz w:val="21"/>
                <w:szCs w:val="21"/>
                <w14:textFill>
                  <w14:solidFill>
                    <w14:schemeClr w14:val="tx1"/>
                  </w14:solidFill>
                </w14:textFill>
              </w:rPr>
              <w:t>）</w:t>
            </w:r>
          </w:p>
        </w:tc>
      </w:tr>
      <w:tr w14:paraId="7F17EA8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05" w:type="pct"/>
            <w:vAlign w:val="center"/>
          </w:tcPr>
          <w:p w14:paraId="6290FF27">
            <w:pPr>
              <w:spacing w:line="240" w:lineRule="auto"/>
              <w:ind w:firstLine="0" w:firstLineChars="0"/>
              <w:jc w:val="center"/>
              <w:rPr>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苯乙烯</w:t>
            </w:r>
          </w:p>
        </w:tc>
        <w:tc>
          <w:tcPr>
            <w:tcW w:w="1201" w:type="pct"/>
            <w:vAlign w:val="center"/>
          </w:tcPr>
          <w:p w14:paraId="3F0E2763">
            <w:pPr>
              <w:spacing w:line="240" w:lineRule="auto"/>
              <w:ind w:firstLine="42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3.6</w:t>
            </w:r>
          </w:p>
        </w:tc>
        <w:tc>
          <w:tcPr>
            <w:tcW w:w="1506" w:type="pct"/>
            <w:vAlign w:val="center"/>
          </w:tcPr>
          <w:p w14:paraId="0B0C05EA">
            <w:pPr>
              <w:spacing w:line="240" w:lineRule="auto"/>
              <w:ind w:firstLine="42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47000</w:t>
            </w:r>
          </w:p>
        </w:tc>
        <w:tc>
          <w:tcPr>
            <w:tcW w:w="1488" w:type="pct"/>
            <w:vAlign w:val="center"/>
          </w:tcPr>
          <w:p w14:paraId="2DD76C90">
            <w:pPr>
              <w:spacing w:line="240" w:lineRule="auto"/>
              <w:ind w:firstLine="42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550</w:t>
            </w:r>
          </w:p>
        </w:tc>
      </w:tr>
      <w:tr w14:paraId="5EF56F5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05" w:type="pct"/>
            <w:vAlign w:val="center"/>
          </w:tcPr>
          <w:p w14:paraId="1A05AEBD">
            <w:pPr>
              <w:spacing w:line="240" w:lineRule="auto"/>
              <w:ind w:firstLine="0" w:firstLineChars="0"/>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发烟硫酸</w:t>
            </w:r>
          </w:p>
        </w:tc>
        <w:tc>
          <w:tcPr>
            <w:tcW w:w="1201" w:type="pct"/>
            <w:vAlign w:val="center"/>
          </w:tcPr>
          <w:p w14:paraId="27C36F68">
            <w:pPr>
              <w:spacing w:line="240" w:lineRule="auto"/>
              <w:ind w:firstLine="42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3.0</w:t>
            </w:r>
          </w:p>
        </w:tc>
        <w:tc>
          <w:tcPr>
            <w:tcW w:w="1506" w:type="pct"/>
            <w:vAlign w:val="center"/>
          </w:tcPr>
          <w:p w14:paraId="16B858B4">
            <w:pPr>
              <w:spacing w:line="240" w:lineRule="auto"/>
              <w:ind w:firstLine="42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160</w:t>
            </w:r>
          </w:p>
        </w:tc>
        <w:tc>
          <w:tcPr>
            <w:tcW w:w="1488" w:type="pct"/>
            <w:vAlign w:val="center"/>
          </w:tcPr>
          <w:p w14:paraId="144F21C7">
            <w:pPr>
              <w:spacing w:line="240" w:lineRule="auto"/>
              <w:ind w:firstLine="42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8.7</w:t>
            </w:r>
          </w:p>
        </w:tc>
      </w:tr>
    </w:tbl>
    <w:p w14:paraId="1B8C3B6D">
      <w:pPr>
        <w:pStyle w:val="41"/>
        <w:ind w:firstLine="480" w:firstLineChars="200"/>
        <w:rPr>
          <w:color w:val="000000" w:themeColor="text1"/>
          <w14:textFill>
            <w14:solidFill>
              <w14:schemeClr w14:val="tx1"/>
            </w14:solidFill>
          </w14:textFill>
        </w:rPr>
      </w:pPr>
      <w:r>
        <w:rPr>
          <w:rFonts w:hint="eastAsia"/>
          <w:color w:val="000000" w:themeColor="text1"/>
          <w14:textFill>
            <w14:solidFill>
              <w14:schemeClr w14:val="tx1"/>
            </w14:solidFill>
          </w14:textFill>
        </w:rPr>
        <w:t>2、预测结果</w:t>
      </w:r>
    </w:p>
    <w:p w14:paraId="4CF1368C">
      <w:pPr>
        <w:ind w:firstLine="482"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本项目</w:t>
      </w:r>
      <w:r>
        <w:rPr>
          <w:rFonts w:hint="eastAsia"/>
          <w:bCs/>
          <w:color w:val="000000" w:themeColor="text1"/>
          <w14:textFill>
            <w14:solidFill>
              <w14:schemeClr w14:val="tx1"/>
            </w14:solidFill>
          </w14:textFill>
        </w:rPr>
        <w:t>苯乙烯</w:t>
      </w:r>
      <w:r>
        <w:rPr>
          <w:rFonts w:hint="eastAsia"/>
          <w:color w:val="000000" w:themeColor="text1"/>
          <w14:textFill>
            <w14:solidFill>
              <w14:schemeClr w14:val="tx1"/>
            </w14:solidFill>
          </w14:textFill>
        </w:rPr>
        <w:t>泄漏时，在377.6m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围油坎内形成液池后，</w:t>
      </w:r>
      <w:r>
        <w:rPr>
          <w:rFonts w:hint="eastAsia"/>
          <w:bCs/>
          <w:color w:val="000000" w:themeColor="text1"/>
          <w14:textFill>
            <w14:solidFill>
              <w14:schemeClr w14:val="tx1"/>
            </w14:solidFill>
          </w14:textFill>
        </w:rPr>
        <w:t>苯乙烯</w:t>
      </w:r>
      <w:r>
        <w:rPr>
          <w:rFonts w:hint="eastAsia"/>
          <w:color w:val="000000" w:themeColor="text1"/>
          <w14:textFill>
            <w14:solidFill>
              <w14:schemeClr w14:val="tx1"/>
            </w14:solidFill>
          </w14:textFill>
        </w:rPr>
        <w:t>在最不利气象条件下（F类稳定度，1.5m/s风速，温度25℃，相对湿度50%）的蒸发速率为</w:t>
      </w:r>
      <w:r>
        <w:rPr>
          <w:rFonts w:hint="eastAsia" w:eastAsiaTheme="minorEastAsia"/>
          <w:color w:val="000000" w:themeColor="text1"/>
          <w14:textFill>
            <w14:solidFill>
              <w14:schemeClr w14:val="tx1"/>
            </w14:solidFill>
          </w14:textFill>
        </w:rPr>
        <w:t>0.0158</w:t>
      </w:r>
      <w:r>
        <w:rPr>
          <w:rFonts w:hint="eastAsia"/>
          <w:color w:val="000000" w:themeColor="text1"/>
          <w14:textFill>
            <w14:solidFill>
              <w14:schemeClr w14:val="tx1"/>
            </w14:solidFill>
          </w14:textFill>
        </w:rPr>
        <w:t>kg/s。</w:t>
      </w:r>
    </w:p>
    <w:p w14:paraId="1438073E">
      <w:pPr>
        <w:ind w:firstLine="482"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本项目</w:t>
      </w:r>
      <w:r>
        <w:rPr>
          <w:rFonts w:hint="eastAsia"/>
          <w:bCs/>
          <w:color w:val="000000" w:themeColor="text1"/>
          <w14:textFill>
            <w14:solidFill>
              <w14:schemeClr w14:val="tx1"/>
            </w14:solidFill>
          </w14:textFill>
        </w:rPr>
        <w:t>发烟硫酸</w:t>
      </w:r>
      <w:r>
        <w:rPr>
          <w:rFonts w:hint="eastAsia"/>
          <w:color w:val="000000" w:themeColor="text1"/>
          <w14:textFill>
            <w14:solidFill>
              <w14:schemeClr w14:val="tx1"/>
            </w14:solidFill>
          </w14:textFill>
        </w:rPr>
        <w:t>泄漏时，在377.6m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围油坎内形成液池后，</w:t>
      </w:r>
      <w:r>
        <w:rPr>
          <w:rFonts w:hint="eastAsia"/>
          <w:bCs/>
          <w:color w:val="000000" w:themeColor="text1"/>
          <w14:textFill>
            <w14:solidFill>
              <w14:schemeClr w14:val="tx1"/>
            </w14:solidFill>
          </w14:textFill>
        </w:rPr>
        <w:t>发烟硫酸</w:t>
      </w:r>
      <w:r>
        <w:rPr>
          <w:rFonts w:hint="eastAsia"/>
          <w:color w:val="000000" w:themeColor="text1"/>
          <w14:textFill>
            <w14:solidFill>
              <w14:schemeClr w14:val="tx1"/>
            </w14:solidFill>
          </w14:textFill>
        </w:rPr>
        <w:t>在最不利气象条件下（F类稳定度，1.5m/s风速，温度25℃，相对湿度50%）的蒸发速率为</w:t>
      </w:r>
      <w:r>
        <w:rPr>
          <w:rFonts w:hint="eastAsia" w:eastAsiaTheme="minorEastAsia"/>
          <w:color w:val="000000" w:themeColor="text1"/>
          <w14:textFill>
            <w14:solidFill>
              <w14:schemeClr w14:val="tx1"/>
            </w14:solidFill>
          </w14:textFill>
        </w:rPr>
        <w:t>0.0149</w:t>
      </w:r>
      <w:r>
        <w:rPr>
          <w:rFonts w:hint="eastAsia"/>
          <w:color w:val="000000" w:themeColor="text1"/>
          <w14:textFill>
            <w14:solidFill>
              <w14:schemeClr w14:val="tx1"/>
            </w14:solidFill>
          </w14:textFill>
        </w:rPr>
        <w:t>kg/s。</w:t>
      </w:r>
    </w:p>
    <w:p w14:paraId="6BE512F2">
      <w:pPr>
        <w:pStyle w:val="7"/>
        <w:rPr>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  下风向不同距离苯乙烯的最大浓度</w:t>
      </w:r>
    </w:p>
    <w:tbl>
      <w:tblPr>
        <w:tblStyle w:val="43"/>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2341"/>
        <w:gridCol w:w="2812"/>
        <w:gridCol w:w="3369"/>
      </w:tblGrid>
      <w:tr w14:paraId="5D22EE6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2341" w:type="dxa"/>
            <w:vAlign w:val="center"/>
          </w:tcPr>
          <w:p w14:paraId="41085536">
            <w:pPr>
              <w:spacing w:line="240" w:lineRule="atLeast"/>
              <w:ind w:firstLine="0" w:firstLineChars="0"/>
              <w:jc w:val="center"/>
              <w:rPr>
                <w:b/>
                <w:color w:val="000000" w:themeColor="text1"/>
                <w:kern w:val="0"/>
                <w:sz w:val="21"/>
                <w:szCs w:val="21"/>
                <w14:textFill>
                  <w14:solidFill>
                    <w14:schemeClr w14:val="tx1"/>
                  </w14:solidFill>
                </w14:textFill>
              </w:rPr>
            </w:pPr>
            <w:r>
              <w:rPr>
                <w:b/>
                <w:color w:val="000000" w:themeColor="text1"/>
                <w:kern w:val="0"/>
                <w:sz w:val="21"/>
                <w:szCs w:val="21"/>
                <w14:textFill>
                  <w14:solidFill>
                    <w14:schemeClr w14:val="tx1"/>
                  </w14:solidFill>
                </w14:textFill>
              </w:rPr>
              <w:t>下风向距离（m）</w:t>
            </w:r>
          </w:p>
        </w:tc>
        <w:tc>
          <w:tcPr>
            <w:tcW w:w="2812" w:type="dxa"/>
            <w:vAlign w:val="center"/>
          </w:tcPr>
          <w:p w14:paraId="4645BF68">
            <w:pPr>
              <w:spacing w:line="240" w:lineRule="atLeast"/>
              <w:ind w:firstLine="0" w:firstLineChars="0"/>
              <w:jc w:val="center"/>
              <w:rPr>
                <w:b/>
                <w:color w:val="000000" w:themeColor="text1"/>
                <w:kern w:val="0"/>
                <w:sz w:val="21"/>
                <w:szCs w:val="21"/>
                <w14:textFill>
                  <w14:solidFill>
                    <w14:schemeClr w14:val="tx1"/>
                  </w14:solidFill>
                </w14:textFill>
              </w:rPr>
            </w:pPr>
            <w:r>
              <w:rPr>
                <w:b/>
                <w:color w:val="000000" w:themeColor="text1"/>
                <w:kern w:val="0"/>
                <w:sz w:val="21"/>
                <w:szCs w:val="21"/>
                <w14:textFill>
                  <w14:solidFill>
                    <w14:schemeClr w14:val="tx1"/>
                  </w14:solidFill>
                </w14:textFill>
              </w:rPr>
              <w:t>浓度出现时间（min）</w:t>
            </w:r>
          </w:p>
        </w:tc>
        <w:tc>
          <w:tcPr>
            <w:tcW w:w="3369" w:type="dxa"/>
            <w:vAlign w:val="center"/>
          </w:tcPr>
          <w:p w14:paraId="2F976A20">
            <w:pPr>
              <w:spacing w:line="240" w:lineRule="atLeast"/>
              <w:ind w:firstLine="0" w:firstLineChars="0"/>
              <w:jc w:val="center"/>
              <w:rPr>
                <w:b/>
                <w:color w:val="000000" w:themeColor="text1"/>
                <w:kern w:val="0"/>
                <w:sz w:val="21"/>
                <w:szCs w:val="21"/>
                <w14:textFill>
                  <w14:solidFill>
                    <w14:schemeClr w14:val="tx1"/>
                  </w14:solidFill>
                </w14:textFill>
              </w:rPr>
            </w:pPr>
            <w:r>
              <w:rPr>
                <w:b/>
                <w:color w:val="000000" w:themeColor="text1"/>
                <w:kern w:val="0"/>
                <w:sz w:val="21"/>
                <w:szCs w:val="21"/>
                <w14:textFill>
                  <w14:solidFill>
                    <w14:schemeClr w14:val="tx1"/>
                  </w14:solidFill>
                </w14:textFill>
              </w:rPr>
              <w:t>下风向高峰浓度（mg/m</w:t>
            </w:r>
            <w:r>
              <w:rPr>
                <w:b/>
                <w:color w:val="000000" w:themeColor="text1"/>
                <w:kern w:val="0"/>
                <w:sz w:val="21"/>
                <w:szCs w:val="21"/>
                <w:vertAlign w:val="superscript"/>
                <w14:textFill>
                  <w14:solidFill>
                    <w14:schemeClr w14:val="tx1"/>
                  </w14:solidFill>
                </w14:textFill>
              </w:rPr>
              <w:t>3</w:t>
            </w:r>
            <w:r>
              <w:rPr>
                <w:b/>
                <w:color w:val="000000" w:themeColor="text1"/>
                <w:kern w:val="0"/>
                <w:sz w:val="21"/>
                <w:szCs w:val="21"/>
                <w14:textFill>
                  <w14:solidFill>
                    <w14:schemeClr w14:val="tx1"/>
                  </w14:solidFill>
                </w14:textFill>
              </w:rPr>
              <w:t>）</w:t>
            </w:r>
          </w:p>
        </w:tc>
      </w:tr>
      <w:tr w14:paraId="3D00CF5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41" w:type="dxa"/>
            <w:tcBorders>
              <w:top w:val="single" w:color="auto" w:sz="12" w:space="0"/>
              <w:left w:val="single" w:color="auto" w:sz="12" w:space="0"/>
              <w:bottom w:val="single" w:color="auto" w:sz="6" w:space="0"/>
              <w:right w:val="single" w:color="auto" w:sz="6" w:space="0"/>
            </w:tcBorders>
            <w:shd w:val="clear" w:color="000000" w:fill="FFFFFF"/>
            <w:vAlign w:val="center"/>
          </w:tcPr>
          <w:p w14:paraId="0269C1BC">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10</w:t>
            </w:r>
          </w:p>
        </w:tc>
        <w:tc>
          <w:tcPr>
            <w:tcW w:w="2812" w:type="dxa"/>
            <w:tcBorders>
              <w:top w:val="single" w:color="auto" w:sz="12" w:space="0"/>
              <w:left w:val="single" w:color="auto" w:sz="6" w:space="0"/>
              <w:bottom w:val="single" w:color="auto" w:sz="6" w:space="0"/>
              <w:right w:val="single" w:color="auto" w:sz="6" w:space="0"/>
            </w:tcBorders>
            <w:shd w:val="clear" w:color="000000" w:fill="FFFFFF"/>
            <w:vAlign w:val="center"/>
          </w:tcPr>
          <w:p w14:paraId="24CE285B">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0.08 </w:t>
            </w:r>
          </w:p>
        </w:tc>
        <w:tc>
          <w:tcPr>
            <w:tcW w:w="3369" w:type="dxa"/>
            <w:tcBorders>
              <w:top w:val="single" w:color="auto" w:sz="12" w:space="0"/>
              <w:left w:val="single" w:color="auto" w:sz="6" w:space="0"/>
              <w:bottom w:val="single" w:color="auto" w:sz="6" w:space="0"/>
              <w:right w:val="single" w:color="auto" w:sz="12" w:space="0"/>
            </w:tcBorders>
            <w:shd w:val="clear" w:color="000000" w:fill="FFFFFF"/>
            <w:vAlign w:val="center"/>
          </w:tcPr>
          <w:p w14:paraId="6CF250F0">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0.00 </w:t>
            </w:r>
          </w:p>
        </w:tc>
      </w:tr>
      <w:tr w14:paraId="6D1423D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41" w:type="dxa"/>
            <w:tcBorders>
              <w:top w:val="single" w:color="auto" w:sz="6" w:space="0"/>
              <w:left w:val="single" w:color="auto" w:sz="12" w:space="0"/>
              <w:bottom w:val="single" w:color="auto" w:sz="6" w:space="0"/>
              <w:right w:val="single" w:color="auto" w:sz="6" w:space="0"/>
            </w:tcBorders>
            <w:shd w:val="clear" w:color="000000" w:fill="FFFFFF"/>
            <w:vAlign w:val="center"/>
          </w:tcPr>
          <w:p w14:paraId="7B98E14A">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20</w:t>
            </w:r>
          </w:p>
        </w:tc>
        <w:tc>
          <w:tcPr>
            <w:tcW w:w="2812" w:type="dxa"/>
            <w:tcBorders>
              <w:top w:val="single" w:color="auto" w:sz="6" w:space="0"/>
              <w:left w:val="single" w:color="auto" w:sz="6" w:space="0"/>
              <w:bottom w:val="single" w:color="auto" w:sz="6" w:space="0"/>
              <w:right w:val="single" w:color="auto" w:sz="6" w:space="0"/>
            </w:tcBorders>
            <w:shd w:val="clear" w:color="000000" w:fill="FFFFFF"/>
            <w:vAlign w:val="center"/>
          </w:tcPr>
          <w:p w14:paraId="2DBE107C">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0.17 </w:t>
            </w:r>
          </w:p>
        </w:tc>
        <w:tc>
          <w:tcPr>
            <w:tcW w:w="3369" w:type="dxa"/>
            <w:tcBorders>
              <w:top w:val="single" w:color="auto" w:sz="6" w:space="0"/>
              <w:left w:val="single" w:color="auto" w:sz="6" w:space="0"/>
              <w:bottom w:val="single" w:color="auto" w:sz="6" w:space="0"/>
              <w:right w:val="single" w:color="auto" w:sz="12" w:space="0"/>
            </w:tcBorders>
            <w:shd w:val="clear" w:color="000000" w:fill="FFFFFF"/>
            <w:vAlign w:val="center"/>
          </w:tcPr>
          <w:p w14:paraId="2E33435A">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1.18 </w:t>
            </w:r>
          </w:p>
        </w:tc>
      </w:tr>
      <w:tr w14:paraId="30684FB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41" w:type="dxa"/>
            <w:tcBorders>
              <w:top w:val="single" w:color="auto" w:sz="6" w:space="0"/>
              <w:left w:val="single" w:color="auto" w:sz="12" w:space="0"/>
              <w:bottom w:val="single" w:color="auto" w:sz="6" w:space="0"/>
              <w:right w:val="single" w:color="auto" w:sz="6" w:space="0"/>
            </w:tcBorders>
            <w:shd w:val="clear" w:color="000000" w:fill="FFFFFF"/>
            <w:vAlign w:val="center"/>
          </w:tcPr>
          <w:p w14:paraId="7F8FAAC2">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50</w:t>
            </w:r>
          </w:p>
        </w:tc>
        <w:tc>
          <w:tcPr>
            <w:tcW w:w="2812" w:type="dxa"/>
            <w:tcBorders>
              <w:top w:val="single" w:color="auto" w:sz="6" w:space="0"/>
              <w:left w:val="single" w:color="auto" w:sz="6" w:space="0"/>
              <w:bottom w:val="single" w:color="auto" w:sz="6" w:space="0"/>
              <w:right w:val="single" w:color="auto" w:sz="6" w:space="0"/>
            </w:tcBorders>
            <w:shd w:val="clear" w:color="000000" w:fill="FFFFFF"/>
            <w:vAlign w:val="center"/>
          </w:tcPr>
          <w:p w14:paraId="3AD5F86D">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0.42 </w:t>
            </w:r>
          </w:p>
        </w:tc>
        <w:tc>
          <w:tcPr>
            <w:tcW w:w="3369" w:type="dxa"/>
            <w:tcBorders>
              <w:top w:val="single" w:color="auto" w:sz="6" w:space="0"/>
              <w:left w:val="single" w:color="auto" w:sz="6" w:space="0"/>
              <w:bottom w:val="single" w:color="auto" w:sz="6" w:space="0"/>
              <w:right w:val="single" w:color="auto" w:sz="12" w:space="0"/>
            </w:tcBorders>
            <w:shd w:val="clear" w:color="000000" w:fill="FFFFFF"/>
            <w:vAlign w:val="center"/>
          </w:tcPr>
          <w:p w14:paraId="1A5F67EE">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69.70 </w:t>
            </w:r>
          </w:p>
        </w:tc>
      </w:tr>
      <w:tr w14:paraId="538AA0D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41" w:type="dxa"/>
            <w:tcBorders>
              <w:top w:val="single" w:color="auto" w:sz="6" w:space="0"/>
              <w:left w:val="single" w:color="auto" w:sz="12" w:space="0"/>
              <w:bottom w:val="single" w:color="auto" w:sz="6" w:space="0"/>
              <w:right w:val="single" w:color="auto" w:sz="6" w:space="0"/>
            </w:tcBorders>
            <w:shd w:val="clear" w:color="000000" w:fill="FFFFFF"/>
            <w:vAlign w:val="center"/>
          </w:tcPr>
          <w:p w14:paraId="13A04A73">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100</w:t>
            </w:r>
          </w:p>
        </w:tc>
        <w:tc>
          <w:tcPr>
            <w:tcW w:w="2812" w:type="dxa"/>
            <w:tcBorders>
              <w:top w:val="single" w:color="auto" w:sz="6" w:space="0"/>
              <w:left w:val="single" w:color="auto" w:sz="6" w:space="0"/>
              <w:bottom w:val="single" w:color="auto" w:sz="6" w:space="0"/>
              <w:right w:val="single" w:color="auto" w:sz="6" w:space="0"/>
            </w:tcBorders>
            <w:shd w:val="clear" w:color="000000" w:fill="FFFFFF"/>
            <w:vAlign w:val="center"/>
          </w:tcPr>
          <w:p w14:paraId="6C9867B6">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0.83 </w:t>
            </w:r>
          </w:p>
        </w:tc>
        <w:tc>
          <w:tcPr>
            <w:tcW w:w="3369" w:type="dxa"/>
            <w:tcBorders>
              <w:top w:val="single" w:color="auto" w:sz="6" w:space="0"/>
              <w:left w:val="single" w:color="auto" w:sz="6" w:space="0"/>
              <w:bottom w:val="single" w:color="auto" w:sz="6" w:space="0"/>
              <w:right w:val="single" w:color="auto" w:sz="12" w:space="0"/>
            </w:tcBorders>
            <w:shd w:val="clear" w:color="000000" w:fill="FFFFFF"/>
            <w:vAlign w:val="center"/>
          </w:tcPr>
          <w:p w14:paraId="624C817A">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76.03 </w:t>
            </w:r>
          </w:p>
        </w:tc>
      </w:tr>
      <w:tr w14:paraId="0339094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41" w:type="dxa"/>
            <w:tcBorders>
              <w:top w:val="single" w:color="auto" w:sz="6" w:space="0"/>
              <w:left w:val="single" w:color="auto" w:sz="12" w:space="0"/>
              <w:bottom w:val="single" w:color="auto" w:sz="6" w:space="0"/>
              <w:right w:val="single" w:color="auto" w:sz="6" w:space="0"/>
            </w:tcBorders>
            <w:shd w:val="clear" w:color="000000" w:fill="FFFFFF"/>
            <w:vAlign w:val="center"/>
          </w:tcPr>
          <w:p w14:paraId="46112841">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150</w:t>
            </w:r>
          </w:p>
        </w:tc>
        <w:tc>
          <w:tcPr>
            <w:tcW w:w="2812" w:type="dxa"/>
            <w:tcBorders>
              <w:top w:val="single" w:color="auto" w:sz="6" w:space="0"/>
              <w:left w:val="single" w:color="auto" w:sz="6" w:space="0"/>
              <w:bottom w:val="single" w:color="auto" w:sz="6" w:space="0"/>
              <w:right w:val="single" w:color="auto" w:sz="6" w:space="0"/>
            </w:tcBorders>
            <w:shd w:val="clear" w:color="000000" w:fill="FFFFFF"/>
            <w:vAlign w:val="center"/>
          </w:tcPr>
          <w:p w14:paraId="3236CD35">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1.25 </w:t>
            </w:r>
          </w:p>
        </w:tc>
        <w:tc>
          <w:tcPr>
            <w:tcW w:w="3369" w:type="dxa"/>
            <w:tcBorders>
              <w:top w:val="single" w:color="auto" w:sz="6" w:space="0"/>
              <w:left w:val="single" w:color="auto" w:sz="6" w:space="0"/>
              <w:bottom w:val="single" w:color="auto" w:sz="6" w:space="0"/>
              <w:right w:val="single" w:color="auto" w:sz="12" w:space="0"/>
            </w:tcBorders>
            <w:shd w:val="clear" w:color="000000" w:fill="FFFFFF"/>
            <w:vAlign w:val="center"/>
          </w:tcPr>
          <w:p w14:paraId="4124AEC1">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59.69 </w:t>
            </w:r>
          </w:p>
        </w:tc>
      </w:tr>
      <w:tr w14:paraId="488D95E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41" w:type="dxa"/>
            <w:tcBorders>
              <w:top w:val="single" w:color="auto" w:sz="6" w:space="0"/>
              <w:left w:val="single" w:color="auto" w:sz="12" w:space="0"/>
              <w:bottom w:val="single" w:color="auto" w:sz="6" w:space="0"/>
              <w:right w:val="single" w:color="auto" w:sz="6" w:space="0"/>
            </w:tcBorders>
            <w:shd w:val="clear" w:color="000000" w:fill="FFFFFF"/>
            <w:vAlign w:val="center"/>
          </w:tcPr>
          <w:p w14:paraId="540B22D4">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200</w:t>
            </w:r>
          </w:p>
        </w:tc>
        <w:tc>
          <w:tcPr>
            <w:tcW w:w="2812" w:type="dxa"/>
            <w:tcBorders>
              <w:top w:val="single" w:color="auto" w:sz="6" w:space="0"/>
              <w:left w:val="single" w:color="auto" w:sz="6" w:space="0"/>
              <w:bottom w:val="single" w:color="auto" w:sz="6" w:space="0"/>
              <w:right w:val="single" w:color="auto" w:sz="6" w:space="0"/>
            </w:tcBorders>
            <w:shd w:val="clear" w:color="000000" w:fill="FFFFFF"/>
            <w:vAlign w:val="center"/>
          </w:tcPr>
          <w:p w14:paraId="7F43DFF4">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1.67 </w:t>
            </w:r>
          </w:p>
        </w:tc>
        <w:tc>
          <w:tcPr>
            <w:tcW w:w="3369" w:type="dxa"/>
            <w:tcBorders>
              <w:top w:val="single" w:color="auto" w:sz="6" w:space="0"/>
              <w:left w:val="single" w:color="auto" w:sz="6" w:space="0"/>
              <w:bottom w:val="single" w:color="auto" w:sz="6" w:space="0"/>
              <w:right w:val="single" w:color="auto" w:sz="12" w:space="0"/>
            </w:tcBorders>
            <w:shd w:val="clear" w:color="000000" w:fill="FFFFFF"/>
            <w:vAlign w:val="center"/>
          </w:tcPr>
          <w:p w14:paraId="22751F70">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46.86 </w:t>
            </w:r>
          </w:p>
        </w:tc>
      </w:tr>
      <w:tr w14:paraId="5E41478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41" w:type="dxa"/>
            <w:tcBorders>
              <w:top w:val="single" w:color="auto" w:sz="6" w:space="0"/>
              <w:left w:val="single" w:color="auto" w:sz="12" w:space="0"/>
              <w:bottom w:val="single" w:color="auto" w:sz="6" w:space="0"/>
              <w:right w:val="single" w:color="auto" w:sz="6" w:space="0"/>
            </w:tcBorders>
            <w:shd w:val="clear" w:color="000000" w:fill="FFFFFF"/>
            <w:vAlign w:val="center"/>
          </w:tcPr>
          <w:p w14:paraId="09CED488">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250</w:t>
            </w:r>
          </w:p>
        </w:tc>
        <w:tc>
          <w:tcPr>
            <w:tcW w:w="2812" w:type="dxa"/>
            <w:tcBorders>
              <w:top w:val="single" w:color="auto" w:sz="6" w:space="0"/>
              <w:left w:val="single" w:color="auto" w:sz="6" w:space="0"/>
              <w:bottom w:val="single" w:color="auto" w:sz="6" w:space="0"/>
              <w:right w:val="single" w:color="auto" w:sz="6" w:space="0"/>
            </w:tcBorders>
            <w:shd w:val="clear" w:color="000000" w:fill="FFFFFF"/>
            <w:vAlign w:val="center"/>
          </w:tcPr>
          <w:p w14:paraId="0C51D819">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2.08 </w:t>
            </w:r>
          </w:p>
        </w:tc>
        <w:tc>
          <w:tcPr>
            <w:tcW w:w="3369" w:type="dxa"/>
            <w:tcBorders>
              <w:top w:val="single" w:color="auto" w:sz="6" w:space="0"/>
              <w:left w:val="single" w:color="auto" w:sz="6" w:space="0"/>
              <w:bottom w:val="single" w:color="auto" w:sz="6" w:space="0"/>
              <w:right w:val="single" w:color="auto" w:sz="12" w:space="0"/>
            </w:tcBorders>
            <w:shd w:val="clear" w:color="000000" w:fill="FFFFFF"/>
            <w:vAlign w:val="center"/>
          </w:tcPr>
          <w:p w14:paraId="5C707A89">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37.26 </w:t>
            </w:r>
          </w:p>
        </w:tc>
      </w:tr>
      <w:tr w14:paraId="7E0CCD5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41" w:type="dxa"/>
            <w:tcBorders>
              <w:top w:val="single" w:color="auto" w:sz="6" w:space="0"/>
              <w:left w:val="single" w:color="auto" w:sz="12" w:space="0"/>
              <w:bottom w:val="single" w:color="auto" w:sz="6" w:space="0"/>
              <w:right w:val="single" w:color="auto" w:sz="6" w:space="0"/>
            </w:tcBorders>
            <w:shd w:val="clear" w:color="000000" w:fill="FFFFFF"/>
            <w:vAlign w:val="center"/>
          </w:tcPr>
          <w:p w14:paraId="70EF7025">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300</w:t>
            </w:r>
          </w:p>
        </w:tc>
        <w:tc>
          <w:tcPr>
            <w:tcW w:w="2812" w:type="dxa"/>
            <w:tcBorders>
              <w:top w:val="single" w:color="auto" w:sz="6" w:space="0"/>
              <w:left w:val="single" w:color="auto" w:sz="6" w:space="0"/>
              <w:bottom w:val="single" w:color="auto" w:sz="6" w:space="0"/>
              <w:right w:val="single" w:color="auto" w:sz="6" w:space="0"/>
            </w:tcBorders>
            <w:shd w:val="clear" w:color="000000" w:fill="FFFFFF"/>
            <w:vAlign w:val="center"/>
          </w:tcPr>
          <w:p w14:paraId="69BDC306">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2.50 </w:t>
            </w:r>
          </w:p>
        </w:tc>
        <w:tc>
          <w:tcPr>
            <w:tcW w:w="3369" w:type="dxa"/>
            <w:tcBorders>
              <w:top w:val="single" w:color="auto" w:sz="6" w:space="0"/>
              <w:left w:val="single" w:color="auto" w:sz="6" w:space="0"/>
              <w:bottom w:val="single" w:color="auto" w:sz="6" w:space="0"/>
              <w:right w:val="single" w:color="auto" w:sz="12" w:space="0"/>
            </w:tcBorders>
            <w:shd w:val="clear" w:color="000000" w:fill="FFFFFF"/>
            <w:vAlign w:val="center"/>
          </w:tcPr>
          <w:p w14:paraId="3F1172EF">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30.13 </w:t>
            </w:r>
          </w:p>
        </w:tc>
      </w:tr>
      <w:tr w14:paraId="280255F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41" w:type="dxa"/>
            <w:tcBorders>
              <w:top w:val="single" w:color="auto" w:sz="6" w:space="0"/>
              <w:left w:val="single" w:color="auto" w:sz="12" w:space="0"/>
              <w:bottom w:val="single" w:color="auto" w:sz="6" w:space="0"/>
              <w:right w:val="single" w:color="auto" w:sz="6" w:space="0"/>
            </w:tcBorders>
            <w:shd w:val="clear" w:color="000000" w:fill="FFFFFF"/>
            <w:vAlign w:val="center"/>
          </w:tcPr>
          <w:p w14:paraId="652390C1">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350</w:t>
            </w:r>
          </w:p>
        </w:tc>
        <w:tc>
          <w:tcPr>
            <w:tcW w:w="2812" w:type="dxa"/>
            <w:tcBorders>
              <w:top w:val="single" w:color="auto" w:sz="6" w:space="0"/>
              <w:left w:val="single" w:color="auto" w:sz="6" w:space="0"/>
              <w:bottom w:val="single" w:color="auto" w:sz="6" w:space="0"/>
              <w:right w:val="single" w:color="auto" w:sz="6" w:space="0"/>
            </w:tcBorders>
            <w:shd w:val="clear" w:color="000000" w:fill="FFFFFF"/>
            <w:vAlign w:val="center"/>
          </w:tcPr>
          <w:p w14:paraId="6890C84B">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2.92 </w:t>
            </w:r>
          </w:p>
        </w:tc>
        <w:tc>
          <w:tcPr>
            <w:tcW w:w="3369" w:type="dxa"/>
            <w:tcBorders>
              <w:top w:val="single" w:color="auto" w:sz="6" w:space="0"/>
              <w:left w:val="single" w:color="auto" w:sz="6" w:space="0"/>
              <w:bottom w:val="single" w:color="auto" w:sz="6" w:space="0"/>
              <w:right w:val="single" w:color="auto" w:sz="12" w:space="0"/>
            </w:tcBorders>
            <w:shd w:val="clear" w:color="000000" w:fill="FFFFFF"/>
            <w:vAlign w:val="center"/>
          </w:tcPr>
          <w:p w14:paraId="3218C24C">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24.80 </w:t>
            </w:r>
          </w:p>
        </w:tc>
      </w:tr>
      <w:tr w14:paraId="1937B9B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41" w:type="dxa"/>
            <w:tcBorders>
              <w:top w:val="single" w:color="auto" w:sz="6" w:space="0"/>
              <w:left w:val="single" w:color="auto" w:sz="12" w:space="0"/>
              <w:bottom w:val="single" w:color="auto" w:sz="6" w:space="0"/>
              <w:right w:val="single" w:color="auto" w:sz="6" w:space="0"/>
            </w:tcBorders>
            <w:shd w:val="clear" w:color="000000" w:fill="FFFFFF"/>
            <w:vAlign w:val="center"/>
          </w:tcPr>
          <w:p w14:paraId="60A2BD5F">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400</w:t>
            </w:r>
          </w:p>
        </w:tc>
        <w:tc>
          <w:tcPr>
            <w:tcW w:w="2812" w:type="dxa"/>
            <w:tcBorders>
              <w:top w:val="single" w:color="auto" w:sz="6" w:space="0"/>
              <w:left w:val="single" w:color="auto" w:sz="6" w:space="0"/>
              <w:bottom w:val="single" w:color="auto" w:sz="6" w:space="0"/>
              <w:right w:val="single" w:color="auto" w:sz="6" w:space="0"/>
            </w:tcBorders>
            <w:shd w:val="clear" w:color="000000" w:fill="FFFFFF"/>
            <w:vAlign w:val="center"/>
          </w:tcPr>
          <w:p w14:paraId="445AB483">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3.33 </w:t>
            </w:r>
          </w:p>
        </w:tc>
        <w:tc>
          <w:tcPr>
            <w:tcW w:w="3369" w:type="dxa"/>
            <w:tcBorders>
              <w:top w:val="single" w:color="auto" w:sz="6" w:space="0"/>
              <w:left w:val="single" w:color="auto" w:sz="6" w:space="0"/>
              <w:bottom w:val="single" w:color="auto" w:sz="6" w:space="0"/>
              <w:right w:val="single" w:color="auto" w:sz="12" w:space="0"/>
            </w:tcBorders>
            <w:shd w:val="clear" w:color="000000" w:fill="FFFFFF"/>
            <w:vAlign w:val="center"/>
          </w:tcPr>
          <w:p w14:paraId="6B019988">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20.75 </w:t>
            </w:r>
          </w:p>
        </w:tc>
      </w:tr>
      <w:tr w14:paraId="0C7E1CB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41" w:type="dxa"/>
            <w:tcBorders>
              <w:top w:val="single" w:color="auto" w:sz="6" w:space="0"/>
              <w:left w:val="single" w:color="auto" w:sz="12" w:space="0"/>
              <w:bottom w:val="single" w:color="auto" w:sz="6" w:space="0"/>
              <w:right w:val="single" w:color="auto" w:sz="6" w:space="0"/>
            </w:tcBorders>
            <w:shd w:val="clear" w:color="000000" w:fill="FFFFFF"/>
            <w:vAlign w:val="center"/>
          </w:tcPr>
          <w:p w14:paraId="7EAAC00B">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450</w:t>
            </w:r>
          </w:p>
        </w:tc>
        <w:tc>
          <w:tcPr>
            <w:tcW w:w="2812" w:type="dxa"/>
            <w:tcBorders>
              <w:top w:val="single" w:color="auto" w:sz="6" w:space="0"/>
              <w:left w:val="single" w:color="auto" w:sz="6" w:space="0"/>
              <w:bottom w:val="single" w:color="auto" w:sz="6" w:space="0"/>
              <w:right w:val="single" w:color="auto" w:sz="6" w:space="0"/>
            </w:tcBorders>
            <w:shd w:val="clear" w:color="000000" w:fill="FFFFFF"/>
            <w:vAlign w:val="center"/>
          </w:tcPr>
          <w:p w14:paraId="16F7A80E">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3.75 </w:t>
            </w:r>
          </w:p>
        </w:tc>
        <w:tc>
          <w:tcPr>
            <w:tcW w:w="3369" w:type="dxa"/>
            <w:tcBorders>
              <w:top w:val="single" w:color="auto" w:sz="6" w:space="0"/>
              <w:left w:val="single" w:color="auto" w:sz="6" w:space="0"/>
              <w:bottom w:val="single" w:color="auto" w:sz="6" w:space="0"/>
              <w:right w:val="single" w:color="auto" w:sz="12" w:space="0"/>
            </w:tcBorders>
            <w:shd w:val="clear" w:color="000000" w:fill="FFFFFF"/>
            <w:vAlign w:val="center"/>
          </w:tcPr>
          <w:p w14:paraId="7C0F7EEF">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17.62 </w:t>
            </w:r>
          </w:p>
        </w:tc>
      </w:tr>
      <w:tr w14:paraId="36D85BD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41" w:type="dxa"/>
            <w:tcBorders>
              <w:top w:val="single" w:color="auto" w:sz="6" w:space="0"/>
              <w:left w:val="single" w:color="auto" w:sz="12" w:space="0"/>
              <w:bottom w:val="single" w:color="auto" w:sz="6" w:space="0"/>
              <w:right w:val="single" w:color="auto" w:sz="6" w:space="0"/>
            </w:tcBorders>
            <w:shd w:val="clear" w:color="000000" w:fill="FFFFFF"/>
            <w:vAlign w:val="center"/>
          </w:tcPr>
          <w:p w14:paraId="47E35BA1">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500</w:t>
            </w:r>
          </w:p>
        </w:tc>
        <w:tc>
          <w:tcPr>
            <w:tcW w:w="2812" w:type="dxa"/>
            <w:tcBorders>
              <w:top w:val="single" w:color="auto" w:sz="6" w:space="0"/>
              <w:left w:val="single" w:color="auto" w:sz="6" w:space="0"/>
              <w:bottom w:val="single" w:color="auto" w:sz="6" w:space="0"/>
              <w:right w:val="single" w:color="auto" w:sz="6" w:space="0"/>
            </w:tcBorders>
            <w:shd w:val="clear" w:color="000000" w:fill="FFFFFF"/>
            <w:vAlign w:val="center"/>
          </w:tcPr>
          <w:p w14:paraId="590AB1B2">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4.17 </w:t>
            </w:r>
          </w:p>
        </w:tc>
        <w:tc>
          <w:tcPr>
            <w:tcW w:w="3369" w:type="dxa"/>
            <w:tcBorders>
              <w:top w:val="single" w:color="auto" w:sz="6" w:space="0"/>
              <w:left w:val="single" w:color="auto" w:sz="6" w:space="0"/>
              <w:bottom w:val="single" w:color="auto" w:sz="6" w:space="0"/>
              <w:right w:val="single" w:color="auto" w:sz="12" w:space="0"/>
            </w:tcBorders>
            <w:shd w:val="clear" w:color="000000" w:fill="FFFFFF"/>
            <w:vAlign w:val="center"/>
          </w:tcPr>
          <w:p w14:paraId="3432E58E">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15.15 </w:t>
            </w:r>
          </w:p>
        </w:tc>
      </w:tr>
      <w:tr w14:paraId="2501D23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41" w:type="dxa"/>
            <w:tcBorders>
              <w:top w:val="single" w:color="auto" w:sz="6" w:space="0"/>
              <w:left w:val="single" w:color="auto" w:sz="12" w:space="0"/>
              <w:bottom w:val="single" w:color="auto" w:sz="6" w:space="0"/>
              <w:right w:val="single" w:color="auto" w:sz="6" w:space="0"/>
            </w:tcBorders>
            <w:shd w:val="clear" w:color="000000" w:fill="FFFFFF"/>
            <w:vAlign w:val="center"/>
          </w:tcPr>
          <w:p w14:paraId="096C2EA3">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550</w:t>
            </w:r>
          </w:p>
        </w:tc>
        <w:tc>
          <w:tcPr>
            <w:tcW w:w="2812" w:type="dxa"/>
            <w:tcBorders>
              <w:top w:val="single" w:color="auto" w:sz="6" w:space="0"/>
              <w:left w:val="single" w:color="auto" w:sz="6" w:space="0"/>
              <w:bottom w:val="single" w:color="auto" w:sz="6" w:space="0"/>
              <w:right w:val="single" w:color="auto" w:sz="6" w:space="0"/>
            </w:tcBorders>
            <w:shd w:val="clear" w:color="000000" w:fill="FFFFFF"/>
            <w:vAlign w:val="center"/>
          </w:tcPr>
          <w:p w14:paraId="51F1D441">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4.58 </w:t>
            </w:r>
          </w:p>
        </w:tc>
        <w:tc>
          <w:tcPr>
            <w:tcW w:w="3369" w:type="dxa"/>
            <w:tcBorders>
              <w:top w:val="single" w:color="auto" w:sz="6" w:space="0"/>
              <w:left w:val="single" w:color="auto" w:sz="6" w:space="0"/>
              <w:bottom w:val="single" w:color="auto" w:sz="6" w:space="0"/>
              <w:right w:val="single" w:color="auto" w:sz="12" w:space="0"/>
            </w:tcBorders>
            <w:shd w:val="clear" w:color="000000" w:fill="FFFFFF"/>
            <w:vAlign w:val="center"/>
          </w:tcPr>
          <w:p w14:paraId="6D5623A3">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13.18 </w:t>
            </w:r>
          </w:p>
        </w:tc>
      </w:tr>
      <w:tr w14:paraId="4C11D4F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41" w:type="dxa"/>
            <w:tcBorders>
              <w:top w:val="single" w:color="auto" w:sz="6" w:space="0"/>
              <w:left w:val="single" w:color="auto" w:sz="12" w:space="0"/>
              <w:bottom w:val="single" w:color="auto" w:sz="6" w:space="0"/>
              <w:right w:val="single" w:color="auto" w:sz="6" w:space="0"/>
            </w:tcBorders>
            <w:shd w:val="clear" w:color="000000" w:fill="FFFFFF"/>
            <w:vAlign w:val="center"/>
          </w:tcPr>
          <w:p w14:paraId="21DF47BD">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600</w:t>
            </w:r>
          </w:p>
        </w:tc>
        <w:tc>
          <w:tcPr>
            <w:tcW w:w="2812" w:type="dxa"/>
            <w:tcBorders>
              <w:top w:val="single" w:color="auto" w:sz="6" w:space="0"/>
              <w:left w:val="single" w:color="auto" w:sz="6" w:space="0"/>
              <w:bottom w:val="single" w:color="auto" w:sz="6" w:space="0"/>
              <w:right w:val="single" w:color="auto" w:sz="6" w:space="0"/>
            </w:tcBorders>
            <w:shd w:val="clear" w:color="000000" w:fill="FFFFFF"/>
            <w:vAlign w:val="center"/>
          </w:tcPr>
          <w:p w14:paraId="5A495EBB">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5.00 </w:t>
            </w:r>
          </w:p>
        </w:tc>
        <w:tc>
          <w:tcPr>
            <w:tcW w:w="3369" w:type="dxa"/>
            <w:tcBorders>
              <w:top w:val="single" w:color="auto" w:sz="6" w:space="0"/>
              <w:left w:val="single" w:color="auto" w:sz="6" w:space="0"/>
              <w:bottom w:val="single" w:color="auto" w:sz="6" w:space="0"/>
              <w:right w:val="single" w:color="auto" w:sz="12" w:space="0"/>
            </w:tcBorders>
            <w:shd w:val="clear" w:color="000000" w:fill="FFFFFF"/>
            <w:vAlign w:val="center"/>
          </w:tcPr>
          <w:p w14:paraId="6304AB8E">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11.57 </w:t>
            </w:r>
          </w:p>
        </w:tc>
      </w:tr>
      <w:tr w14:paraId="1FD3C3D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41" w:type="dxa"/>
            <w:tcBorders>
              <w:top w:val="single" w:color="auto" w:sz="6" w:space="0"/>
              <w:left w:val="single" w:color="auto" w:sz="12" w:space="0"/>
              <w:bottom w:val="single" w:color="auto" w:sz="6" w:space="0"/>
              <w:right w:val="single" w:color="auto" w:sz="6" w:space="0"/>
            </w:tcBorders>
            <w:shd w:val="clear" w:color="000000" w:fill="FFFFFF"/>
            <w:vAlign w:val="center"/>
          </w:tcPr>
          <w:p w14:paraId="31E0206A">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800</w:t>
            </w:r>
          </w:p>
        </w:tc>
        <w:tc>
          <w:tcPr>
            <w:tcW w:w="2812" w:type="dxa"/>
            <w:tcBorders>
              <w:top w:val="single" w:color="auto" w:sz="6" w:space="0"/>
              <w:left w:val="single" w:color="auto" w:sz="6" w:space="0"/>
              <w:bottom w:val="single" w:color="auto" w:sz="6" w:space="0"/>
              <w:right w:val="single" w:color="auto" w:sz="6" w:space="0"/>
            </w:tcBorders>
            <w:shd w:val="clear" w:color="000000" w:fill="FFFFFF"/>
            <w:vAlign w:val="center"/>
          </w:tcPr>
          <w:p w14:paraId="421FD203">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6.67 </w:t>
            </w:r>
          </w:p>
        </w:tc>
        <w:tc>
          <w:tcPr>
            <w:tcW w:w="3369" w:type="dxa"/>
            <w:tcBorders>
              <w:top w:val="single" w:color="auto" w:sz="6" w:space="0"/>
              <w:left w:val="single" w:color="auto" w:sz="6" w:space="0"/>
              <w:bottom w:val="single" w:color="auto" w:sz="6" w:space="0"/>
              <w:right w:val="single" w:color="auto" w:sz="12" w:space="0"/>
            </w:tcBorders>
            <w:shd w:val="clear" w:color="000000" w:fill="FFFFFF"/>
            <w:vAlign w:val="center"/>
          </w:tcPr>
          <w:p w14:paraId="33415ED1">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7.44 </w:t>
            </w:r>
          </w:p>
        </w:tc>
      </w:tr>
      <w:tr w14:paraId="5D0CF35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41" w:type="dxa"/>
            <w:tcBorders>
              <w:top w:val="single" w:color="auto" w:sz="6" w:space="0"/>
              <w:left w:val="single" w:color="auto" w:sz="12" w:space="0"/>
              <w:bottom w:val="single" w:color="auto" w:sz="12" w:space="0"/>
              <w:right w:val="single" w:color="auto" w:sz="6" w:space="0"/>
            </w:tcBorders>
            <w:shd w:val="clear" w:color="000000" w:fill="FFFFFF"/>
            <w:vAlign w:val="center"/>
          </w:tcPr>
          <w:p w14:paraId="24BC3B24">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1000</w:t>
            </w:r>
          </w:p>
        </w:tc>
        <w:tc>
          <w:tcPr>
            <w:tcW w:w="2812" w:type="dxa"/>
            <w:tcBorders>
              <w:top w:val="single" w:color="auto" w:sz="6" w:space="0"/>
              <w:left w:val="single" w:color="auto" w:sz="6" w:space="0"/>
              <w:bottom w:val="single" w:color="auto" w:sz="12" w:space="0"/>
              <w:right w:val="single" w:color="auto" w:sz="6" w:space="0"/>
            </w:tcBorders>
            <w:shd w:val="clear" w:color="000000" w:fill="FFFFFF"/>
            <w:vAlign w:val="center"/>
          </w:tcPr>
          <w:p w14:paraId="35389E7A">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8.33 </w:t>
            </w:r>
          </w:p>
        </w:tc>
        <w:tc>
          <w:tcPr>
            <w:tcW w:w="3369" w:type="dxa"/>
            <w:tcBorders>
              <w:top w:val="single" w:color="auto" w:sz="6" w:space="0"/>
              <w:left w:val="single" w:color="auto" w:sz="6" w:space="0"/>
              <w:bottom w:val="single" w:color="auto" w:sz="12" w:space="0"/>
              <w:right w:val="single" w:color="auto" w:sz="12" w:space="0"/>
            </w:tcBorders>
            <w:shd w:val="clear" w:color="000000" w:fill="FFFFFF"/>
            <w:vAlign w:val="center"/>
          </w:tcPr>
          <w:p w14:paraId="1D686A92">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5.23 </w:t>
            </w:r>
          </w:p>
        </w:tc>
      </w:tr>
    </w:tbl>
    <w:p w14:paraId="692730E2">
      <w:pPr>
        <w:pStyle w:val="41"/>
        <w:ind w:firstLine="240"/>
        <w:rPr>
          <w:color w:val="000000" w:themeColor="text1"/>
          <w14:textFill>
            <w14:solidFill>
              <w14:schemeClr w14:val="tx1"/>
            </w14:solidFill>
          </w14:textFill>
        </w:rPr>
      </w:pPr>
    </w:p>
    <w:p w14:paraId="64B009E1">
      <w:pPr>
        <w:pStyle w:val="42"/>
        <w:ind w:left="480" w:firstLine="480"/>
        <w:rPr>
          <w:color w:val="000000" w:themeColor="text1"/>
          <w14:textFill>
            <w14:solidFill>
              <w14:schemeClr w14:val="tx1"/>
            </w14:solidFill>
          </w14:textFill>
        </w:rPr>
      </w:pPr>
    </w:p>
    <w:p w14:paraId="17E08D9F">
      <w:pPr>
        <w:pStyle w:val="7"/>
        <w:rPr>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  苯乙烯泄漏超出阈值的范围</w:t>
      </w:r>
    </w:p>
    <w:tbl>
      <w:tblPr>
        <w:tblStyle w:val="43"/>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3226"/>
        <w:gridCol w:w="2700"/>
        <w:gridCol w:w="2596"/>
      </w:tblGrid>
      <w:tr w14:paraId="4C94394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228" w:type="dxa"/>
            <w:vMerge w:val="restart"/>
            <w:vAlign w:val="center"/>
          </w:tcPr>
          <w:p w14:paraId="29D0F7BD">
            <w:pPr>
              <w:pStyle w:val="128"/>
              <w:widowControl w:val="0"/>
              <w:adjustRightInd w:val="0"/>
              <w:snapToGrid w:val="0"/>
              <w:spacing w:line="240" w:lineRule="exact"/>
              <w:ind w:firstLine="48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超过大气毒性终点浓度-1</w:t>
            </w:r>
          </w:p>
        </w:tc>
        <w:tc>
          <w:tcPr>
            <w:tcW w:w="2702" w:type="dxa"/>
            <w:vAlign w:val="center"/>
          </w:tcPr>
          <w:p w14:paraId="6578FB72">
            <w:pPr>
              <w:pStyle w:val="128"/>
              <w:widowControl w:val="0"/>
              <w:adjustRightInd w:val="0"/>
              <w:snapToGrid w:val="0"/>
              <w:spacing w:line="240" w:lineRule="exact"/>
              <w:ind w:firstLine="48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阈值（mg/m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w:t>
            </w:r>
          </w:p>
        </w:tc>
        <w:tc>
          <w:tcPr>
            <w:tcW w:w="2598" w:type="dxa"/>
            <w:vAlign w:val="center"/>
          </w:tcPr>
          <w:p w14:paraId="6D0646D6">
            <w:pPr>
              <w:pStyle w:val="128"/>
              <w:widowControl w:val="0"/>
              <w:adjustRightInd w:val="0"/>
              <w:snapToGrid w:val="0"/>
              <w:spacing w:line="240" w:lineRule="exact"/>
              <w:ind w:firstLine="480"/>
              <w:jc w:val="center"/>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4700</w:t>
            </w:r>
          </w:p>
        </w:tc>
      </w:tr>
      <w:tr w14:paraId="5674204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228" w:type="dxa"/>
            <w:vMerge w:val="continue"/>
            <w:vAlign w:val="center"/>
          </w:tcPr>
          <w:p w14:paraId="665CDE62">
            <w:pPr>
              <w:pStyle w:val="128"/>
              <w:widowControl w:val="0"/>
              <w:spacing w:line="240" w:lineRule="exact"/>
              <w:ind w:firstLine="480"/>
              <w:jc w:val="center"/>
              <w:rPr>
                <w:rFonts w:ascii="Times New Roman" w:hAnsi="Times New Roman" w:cs="Times New Roman"/>
                <w:color w:val="000000" w:themeColor="text1"/>
                <w14:textFill>
                  <w14:solidFill>
                    <w14:schemeClr w14:val="tx1"/>
                  </w14:solidFill>
                </w14:textFill>
              </w:rPr>
            </w:pPr>
          </w:p>
        </w:tc>
        <w:tc>
          <w:tcPr>
            <w:tcW w:w="2702" w:type="dxa"/>
            <w:vAlign w:val="center"/>
          </w:tcPr>
          <w:p w14:paraId="0E87735C">
            <w:pPr>
              <w:pStyle w:val="128"/>
              <w:widowControl w:val="0"/>
              <w:spacing w:line="240" w:lineRule="exact"/>
              <w:ind w:firstLine="48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最大</w:t>
            </w:r>
            <w:r>
              <w:rPr>
                <w:rFonts w:hint="eastAsia" w:ascii="Times New Roman" w:hAnsi="Times New Roman" w:cs="Times New Roman"/>
                <w:color w:val="000000" w:themeColor="text1"/>
                <w14:textFill>
                  <w14:solidFill>
                    <w14:schemeClr w14:val="tx1"/>
                  </w14:solidFill>
                </w14:textFill>
              </w:rPr>
              <w:t>影响距离</w:t>
            </w:r>
            <w:r>
              <w:rPr>
                <w:rFonts w:ascii="Times New Roman" w:hAnsi="Times New Roman" w:cs="Times New Roman"/>
                <w:color w:val="000000" w:themeColor="text1"/>
                <w14:textFill>
                  <w14:solidFill>
                    <w14:schemeClr w14:val="tx1"/>
                  </w14:solidFill>
                </w14:textFill>
              </w:rPr>
              <w:t>（m）</w:t>
            </w:r>
          </w:p>
        </w:tc>
        <w:tc>
          <w:tcPr>
            <w:tcW w:w="2598" w:type="dxa"/>
            <w:vAlign w:val="center"/>
          </w:tcPr>
          <w:p w14:paraId="56550B25">
            <w:pPr>
              <w:pStyle w:val="128"/>
              <w:widowControl w:val="0"/>
              <w:spacing w:line="240" w:lineRule="exact"/>
              <w:ind w:firstLine="480"/>
              <w:jc w:val="center"/>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0</w:t>
            </w:r>
          </w:p>
        </w:tc>
      </w:tr>
      <w:tr w14:paraId="2D5485A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228" w:type="dxa"/>
            <w:vMerge w:val="continue"/>
            <w:vAlign w:val="center"/>
          </w:tcPr>
          <w:p w14:paraId="7E294D0E">
            <w:pPr>
              <w:pStyle w:val="128"/>
              <w:widowControl w:val="0"/>
              <w:spacing w:line="240" w:lineRule="exact"/>
              <w:ind w:firstLine="480"/>
              <w:jc w:val="center"/>
              <w:rPr>
                <w:rFonts w:ascii="Times New Roman" w:hAnsi="Times New Roman" w:cs="Times New Roman"/>
                <w:color w:val="000000" w:themeColor="text1"/>
                <w14:textFill>
                  <w14:solidFill>
                    <w14:schemeClr w14:val="tx1"/>
                  </w14:solidFill>
                </w14:textFill>
              </w:rPr>
            </w:pPr>
          </w:p>
        </w:tc>
        <w:tc>
          <w:tcPr>
            <w:tcW w:w="2702" w:type="dxa"/>
            <w:vAlign w:val="center"/>
          </w:tcPr>
          <w:p w14:paraId="40929A1A">
            <w:pPr>
              <w:pStyle w:val="128"/>
              <w:widowControl w:val="0"/>
              <w:spacing w:line="240" w:lineRule="exact"/>
              <w:ind w:firstLine="48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影响范围（m</w:t>
            </w:r>
            <w:r>
              <w:rPr>
                <w:rFonts w:hint="eastAsia"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w:t>
            </w:r>
          </w:p>
        </w:tc>
        <w:tc>
          <w:tcPr>
            <w:tcW w:w="2598" w:type="dxa"/>
            <w:vAlign w:val="center"/>
          </w:tcPr>
          <w:p w14:paraId="52557CB3">
            <w:pPr>
              <w:pStyle w:val="128"/>
              <w:widowControl w:val="0"/>
              <w:spacing w:line="240" w:lineRule="exact"/>
              <w:ind w:firstLine="480"/>
              <w:jc w:val="center"/>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0</w:t>
            </w:r>
          </w:p>
        </w:tc>
      </w:tr>
      <w:tr w14:paraId="20F4BB8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228" w:type="dxa"/>
            <w:vMerge w:val="restart"/>
            <w:vAlign w:val="center"/>
          </w:tcPr>
          <w:p w14:paraId="0D835222">
            <w:pPr>
              <w:pStyle w:val="128"/>
              <w:widowControl w:val="0"/>
              <w:spacing w:line="240" w:lineRule="exact"/>
              <w:ind w:firstLine="48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超过大气毒性终点浓度-2</w:t>
            </w:r>
          </w:p>
        </w:tc>
        <w:tc>
          <w:tcPr>
            <w:tcW w:w="2702" w:type="dxa"/>
            <w:vAlign w:val="center"/>
          </w:tcPr>
          <w:p w14:paraId="2B8A3AEA">
            <w:pPr>
              <w:pStyle w:val="128"/>
              <w:widowControl w:val="0"/>
              <w:spacing w:line="240" w:lineRule="exact"/>
              <w:ind w:firstLine="48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阈值（mg/m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w:t>
            </w:r>
          </w:p>
        </w:tc>
        <w:tc>
          <w:tcPr>
            <w:tcW w:w="2598" w:type="dxa"/>
            <w:vAlign w:val="center"/>
          </w:tcPr>
          <w:p w14:paraId="7736711D">
            <w:pPr>
              <w:pStyle w:val="128"/>
              <w:widowControl w:val="0"/>
              <w:spacing w:line="240" w:lineRule="exact"/>
              <w:ind w:firstLine="480"/>
              <w:jc w:val="center"/>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550</w:t>
            </w:r>
          </w:p>
        </w:tc>
      </w:tr>
      <w:tr w14:paraId="47D747E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228" w:type="dxa"/>
            <w:vMerge w:val="continue"/>
            <w:vAlign w:val="center"/>
          </w:tcPr>
          <w:p w14:paraId="25E06741">
            <w:pPr>
              <w:pStyle w:val="128"/>
              <w:widowControl w:val="0"/>
              <w:spacing w:line="240" w:lineRule="exact"/>
              <w:ind w:firstLine="480"/>
              <w:jc w:val="center"/>
              <w:rPr>
                <w:rFonts w:ascii="Times New Roman" w:hAnsi="Times New Roman" w:cs="Times New Roman"/>
                <w:color w:val="000000" w:themeColor="text1"/>
                <w14:textFill>
                  <w14:solidFill>
                    <w14:schemeClr w14:val="tx1"/>
                  </w14:solidFill>
                </w14:textFill>
              </w:rPr>
            </w:pPr>
          </w:p>
        </w:tc>
        <w:tc>
          <w:tcPr>
            <w:tcW w:w="2702" w:type="dxa"/>
            <w:vAlign w:val="center"/>
          </w:tcPr>
          <w:p w14:paraId="7B06950E">
            <w:pPr>
              <w:pStyle w:val="128"/>
              <w:widowControl w:val="0"/>
              <w:spacing w:line="240" w:lineRule="exact"/>
              <w:ind w:firstLine="48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最大</w:t>
            </w:r>
            <w:r>
              <w:rPr>
                <w:rFonts w:hint="eastAsia" w:ascii="Times New Roman" w:hAnsi="Times New Roman" w:cs="Times New Roman"/>
                <w:color w:val="000000" w:themeColor="text1"/>
                <w14:textFill>
                  <w14:solidFill>
                    <w14:schemeClr w14:val="tx1"/>
                  </w14:solidFill>
                </w14:textFill>
              </w:rPr>
              <w:t>影响距离</w:t>
            </w:r>
            <w:r>
              <w:rPr>
                <w:rFonts w:ascii="Times New Roman" w:hAnsi="Times New Roman" w:cs="Times New Roman"/>
                <w:color w:val="000000" w:themeColor="text1"/>
                <w14:textFill>
                  <w14:solidFill>
                    <w14:schemeClr w14:val="tx1"/>
                  </w14:solidFill>
                </w14:textFill>
              </w:rPr>
              <w:t>（m）</w:t>
            </w:r>
          </w:p>
        </w:tc>
        <w:tc>
          <w:tcPr>
            <w:tcW w:w="2598" w:type="dxa"/>
            <w:vAlign w:val="center"/>
          </w:tcPr>
          <w:p w14:paraId="5EA830C2">
            <w:pPr>
              <w:pStyle w:val="128"/>
              <w:widowControl w:val="0"/>
              <w:spacing w:line="240" w:lineRule="exact"/>
              <w:ind w:firstLine="480"/>
              <w:jc w:val="center"/>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0</w:t>
            </w:r>
          </w:p>
        </w:tc>
      </w:tr>
      <w:tr w14:paraId="4DFDCF5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228" w:type="dxa"/>
            <w:vMerge w:val="continue"/>
            <w:vAlign w:val="center"/>
          </w:tcPr>
          <w:p w14:paraId="1320ED2C">
            <w:pPr>
              <w:pStyle w:val="128"/>
              <w:widowControl w:val="0"/>
              <w:spacing w:line="240" w:lineRule="exact"/>
              <w:ind w:firstLine="480"/>
              <w:jc w:val="center"/>
              <w:rPr>
                <w:rFonts w:ascii="Times New Roman" w:hAnsi="Times New Roman" w:cs="Times New Roman"/>
                <w:color w:val="000000" w:themeColor="text1"/>
                <w14:textFill>
                  <w14:solidFill>
                    <w14:schemeClr w14:val="tx1"/>
                  </w14:solidFill>
                </w14:textFill>
              </w:rPr>
            </w:pPr>
          </w:p>
        </w:tc>
        <w:tc>
          <w:tcPr>
            <w:tcW w:w="2702" w:type="dxa"/>
            <w:vAlign w:val="center"/>
          </w:tcPr>
          <w:p w14:paraId="77E41514">
            <w:pPr>
              <w:pStyle w:val="128"/>
              <w:widowControl w:val="0"/>
              <w:spacing w:line="240" w:lineRule="exact"/>
              <w:ind w:firstLine="48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影响范围（</w:t>
            </w:r>
            <w:r>
              <w:rPr>
                <w:rFonts w:hint="eastAsia" w:ascii="Times New Roman" w:hAnsi="Times New Roman" w:cs="Times New Roman"/>
                <w:color w:val="000000" w:themeColor="text1"/>
                <w14:textFill>
                  <w14:solidFill>
                    <w14:schemeClr w14:val="tx1"/>
                  </w14:solidFill>
                </w14:textFill>
              </w:rPr>
              <w:t>h</w:t>
            </w:r>
            <w:r>
              <w:rPr>
                <w:rFonts w:ascii="Times New Roman" w:hAnsi="Times New Roman" w:cs="Times New Roman"/>
                <w:color w:val="000000" w:themeColor="text1"/>
                <w14:textFill>
                  <w14:solidFill>
                    <w14:schemeClr w14:val="tx1"/>
                  </w14:solidFill>
                </w14:textFill>
              </w:rPr>
              <w:t>m</w:t>
            </w:r>
            <w:r>
              <w:rPr>
                <w:rFonts w:hint="eastAsia"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w:t>
            </w:r>
          </w:p>
        </w:tc>
        <w:tc>
          <w:tcPr>
            <w:tcW w:w="2598" w:type="dxa"/>
            <w:vAlign w:val="center"/>
          </w:tcPr>
          <w:p w14:paraId="5820D092">
            <w:pPr>
              <w:pStyle w:val="128"/>
              <w:widowControl w:val="0"/>
              <w:spacing w:line="240" w:lineRule="exact"/>
              <w:ind w:firstLine="480"/>
              <w:jc w:val="center"/>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0</w:t>
            </w:r>
          </w:p>
        </w:tc>
      </w:tr>
    </w:tbl>
    <w:p w14:paraId="3018B897">
      <w:pPr>
        <w:pStyle w:val="7"/>
        <w:rPr>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  下风向不同距离发烟硫酸的最大浓度</w:t>
      </w:r>
    </w:p>
    <w:tbl>
      <w:tblPr>
        <w:tblStyle w:val="43"/>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2341"/>
        <w:gridCol w:w="2812"/>
        <w:gridCol w:w="3369"/>
      </w:tblGrid>
      <w:tr w14:paraId="5982C27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2341" w:type="dxa"/>
            <w:vAlign w:val="center"/>
          </w:tcPr>
          <w:p w14:paraId="0143EB68">
            <w:pPr>
              <w:spacing w:line="240" w:lineRule="atLeast"/>
              <w:ind w:firstLine="0" w:firstLineChars="0"/>
              <w:jc w:val="center"/>
              <w:rPr>
                <w:b/>
                <w:color w:val="000000" w:themeColor="text1"/>
                <w:kern w:val="0"/>
                <w:sz w:val="21"/>
                <w:szCs w:val="21"/>
                <w14:textFill>
                  <w14:solidFill>
                    <w14:schemeClr w14:val="tx1"/>
                  </w14:solidFill>
                </w14:textFill>
              </w:rPr>
            </w:pPr>
            <w:r>
              <w:rPr>
                <w:b/>
                <w:color w:val="000000" w:themeColor="text1"/>
                <w:kern w:val="0"/>
                <w:sz w:val="21"/>
                <w:szCs w:val="21"/>
                <w14:textFill>
                  <w14:solidFill>
                    <w14:schemeClr w14:val="tx1"/>
                  </w14:solidFill>
                </w14:textFill>
              </w:rPr>
              <w:t>下风向距离（m）</w:t>
            </w:r>
          </w:p>
        </w:tc>
        <w:tc>
          <w:tcPr>
            <w:tcW w:w="2812" w:type="dxa"/>
            <w:vAlign w:val="center"/>
          </w:tcPr>
          <w:p w14:paraId="4E58EE25">
            <w:pPr>
              <w:spacing w:line="240" w:lineRule="atLeast"/>
              <w:ind w:firstLine="0" w:firstLineChars="0"/>
              <w:jc w:val="center"/>
              <w:rPr>
                <w:b/>
                <w:color w:val="000000" w:themeColor="text1"/>
                <w:kern w:val="0"/>
                <w:sz w:val="21"/>
                <w:szCs w:val="21"/>
                <w14:textFill>
                  <w14:solidFill>
                    <w14:schemeClr w14:val="tx1"/>
                  </w14:solidFill>
                </w14:textFill>
              </w:rPr>
            </w:pPr>
            <w:r>
              <w:rPr>
                <w:b/>
                <w:color w:val="000000" w:themeColor="text1"/>
                <w:kern w:val="0"/>
                <w:sz w:val="21"/>
                <w:szCs w:val="21"/>
                <w14:textFill>
                  <w14:solidFill>
                    <w14:schemeClr w14:val="tx1"/>
                  </w14:solidFill>
                </w14:textFill>
              </w:rPr>
              <w:t>浓度出现时间（min）</w:t>
            </w:r>
          </w:p>
        </w:tc>
        <w:tc>
          <w:tcPr>
            <w:tcW w:w="3369" w:type="dxa"/>
            <w:vAlign w:val="center"/>
          </w:tcPr>
          <w:p w14:paraId="7A529101">
            <w:pPr>
              <w:spacing w:line="240" w:lineRule="atLeast"/>
              <w:ind w:firstLine="0" w:firstLineChars="0"/>
              <w:jc w:val="center"/>
              <w:rPr>
                <w:b/>
                <w:color w:val="000000" w:themeColor="text1"/>
                <w:kern w:val="0"/>
                <w:sz w:val="21"/>
                <w:szCs w:val="21"/>
                <w14:textFill>
                  <w14:solidFill>
                    <w14:schemeClr w14:val="tx1"/>
                  </w14:solidFill>
                </w14:textFill>
              </w:rPr>
            </w:pPr>
            <w:r>
              <w:rPr>
                <w:b/>
                <w:color w:val="000000" w:themeColor="text1"/>
                <w:kern w:val="0"/>
                <w:sz w:val="21"/>
                <w:szCs w:val="21"/>
                <w14:textFill>
                  <w14:solidFill>
                    <w14:schemeClr w14:val="tx1"/>
                  </w14:solidFill>
                </w14:textFill>
              </w:rPr>
              <w:t>下风向高峰浓度（mg/m</w:t>
            </w:r>
            <w:r>
              <w:rPr>
                <w:b/>
                <w:color w:val="000000" w:themeColor="text1"/>
                <w:kern w:val="0"/>
                <w:sz w:val="21"/>
                <w:szCs w:val="21"/>
                <w:vertAlign w:val="superscript"/>
                <w14:textFill>
                  <w14:solidFill>
                    <w14:schemeClr w14:val="tx1"/>
                  </w14:solidFill>
                </w14:textFill>
              </w:rPr>
              <w:t>3</w:t>
            </w:r>
            <w:r>
              <w:rPr>
                <w:b/>
                <w:color w:val="000000" w:themeColor="text1"/>
                <w:kern w:val="0"/>
                <w:sz w:val="21"/>
                <w:szCs w:val="21"/>
                <w14:textFill>
                  <w14:solidFill>
                    <w14:schemeClr w14:val="tx1"/>
                  </w14:solidFill>
                </w14:textFill>
              </w:rPr>
              <w:t>）</w:t>
            </w:r>
          </w:p>
        </w:tc>
      </w:tr>
      <w:tr w14:paraId="63716D1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41" w:type="dxa"/>
            <w:shd w:val="clear" w:color="000000" w:fill="FFFFFF"/>
            <w:vAlign w:val="center"/>
          </w:tcPr>
          <w:p w14:paraId="475BDB84">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10</w:t>
            </w:r>
          </w:p>
        </w:tc>
        <w:tc>
          <w:tcPr>
            <w:tcW w:w="2812" w:type="dxa"/>
            <w:shd w:val="clear" w:color="000000" w:fill="FFFFFF"/>
            <w:vAlign w:val="center"/>
          </w:tcPr>
          <w:p w14:paraId="3E6F0BE9">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0.08 </w:t>
            </w:r>
          </w:p>
        </w:tc>
        <w:tc>
          <w:tcPr>
            <w:tcW w:w="3369" w:type="dxa"/>
            <w:shd w:val="clear" w:color="000000" w:fill="FFFFFF"/>
            <w:vAlign w:val="center"/>
          </w:tcPr>
          <w:p w14:paraId="60F7F6F9">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0.73 </w:t>
            </w:r>
          </w:p>
        </w:tc>
      </w:tr>
      <w:tr w14:paraId="55689DA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41" w:type="dxa"/>
            <w:shd w:val="clear" w:color="000000" w:fill="FFFFFF"/>
            <w:vAlign w:val="center"/>
          </w:tcPr>
          <w:p w14:paraId="615DF760">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20</w:t>
            </w:r>
          </w:p>
        </w:tc>
        <w:tc>
          <w:tcPr>
            <w:tcW w:w="2812" w:type="dxa"/>
            <w:shd w:val="clear" w:color="000000" w:fill="FFFFFF"/>
            <w:vAlign w:val="center"/>
          </w:tcPr>
          <w:p w14:paraId="094C84FB">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0.17 </w:t>
            </w:r>
          </w:p>
        </w:tc>
        <w:tc>
          <w:tcPr>
            <w:tcW w:w="3369" w:type="dxa"/>
            <w:shd w:val="clear" w:color="000000" w:fill="FFFFFF"/>
            <w:vAlign w:val="center"/>
          </w:tcPr>
          <w:p w14:paraId="0CA4EB34">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143.35 </w:t>
            </w:r>
          </w:p>
        </w:tc>
      </w:tr>
      <w:tr w14:paraId="236C77B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41" w:type="dxa"/>
            <w:shd w:val="clear" w:color="000000" w:fill="FFFFFF"/>
            <w:vAlign w:val="center"/>
          </w:tcPr>
          <w:p w14:paraId="5A90DCE1">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50</w:t>
            </w:r>
          </w:p>
        </w:tc>
        <w:tc>
          <w:tcPr>
            <w:tcW w:w="2812" w:type="dxa"/>
            <w:shd w:val="clear" w:color="000000" w:fill="FFFFFF"/>
            <w:vAlign w:val="center"/>
          </w:tcPr>
          <w:p w14:paraId="6255D6E7">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0.42 </w:t>
            </w:r>
          </w:p>
        </w:tc>
        <w:tc>
          <w:tcPr>
            <w:tcW w:w="3369" w:type="dxa"/>
            <w:shd w:val="clear" w:color="000000" w:fill="FFFFFF"/>
            <w:vAlign w:val="center"/>
          </w:tcPr>
          <w:p w14:paraId="5BF4F120">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634.50 </w:t>
            </w:r>
          </w:p>
        </w:tc>
      </w:tr>
      <w:tr w14:paraId="73D04A2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41" w:type="dxa"/>
            <w:shd w:val="clear" w:color="000000" w:fill="FFFFFF"/>
            <w:vAlign w:val="center"/>
          </w:tcPr>
          <w:p w14:paraId="0FB2D366">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100</w:t>
            </w:r>
          </w:p>
        </w:tc>
        <w:tc>
          <w:tcPr>
            <w:tcW w:w="2812" w:type="dxa"/>
            <w:shd w:val="clear" w:color="000000" w:fill="FFFFFF"/>
            <w:vAlign w:val="center"/>
          </w:tcPr>
          <w:p w14:paraId="33D3684B">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0.83 </w:t>
            </w:r>
          </w:p>
        </w:tc>
        <w:tc>
          <w:tcPr>
            <w:tcW w:w="3369" w:type="dxa"/>
            <w:shd w:val="clear" w:color="000000" w:fill="FFFFFF"/>
            <w:vAlign w:val="center"/>
          </w:tcPr>
          <w:p w14:paraId="37FE284A">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208.87 </w:t>
            </w:r>
          </w:p>
        </w:tc>
      </w:tr>
      <w:tr w14:paraId="52C213C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41" w:type="dxa"/>
            <w:shd w:val="clear" w:color="000000" w:fill="FFFFFF"/>
            <w:vAlign w:val="center"/>
          </w:tcPr>
          <w:p w14:paraId="6244AD0D">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150</w:t>
            </w:r>
          </w:p>
        </w:tc>
        <w:tc>
          <w:tcPr>
            <w:tcW w:w="2812" w:type="dxa"/>
            <w:shd w:val="clear" w:color="000000" w:fill="FFFFFF"/>
            <w:vAlign w:val="center"/>
          </w:tcPr>
          <w:p w14:paraId="6D80249C">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1.25 </w:t>
            </w:r>
          </w:p>
        </w:tc>
        <w:tc>
          <w:tcPr>
            <w:tcW w:w="3369" w:type="dxa"/>
            <w:shd w:val="clear" w:color="000000" w:fill="FFFFFF"/>
            <w:vAlign w:val="center"/>
          </w:tcPr>
          <w:p w14:paraId="2A2B7071">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102.56 </w:t>
            </w:r>
          </w:p>
        </w:tc>
      </w:tr>
      <w:tr w14:paraId="49F5D0E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41" w:type="dxa"/>
            <w:shd w:val="clear" w:color="000000" w:fill="FFFFFF"/>
            <w:vAlign w:val="center"/>
          </w:tcPr>
          <w:p w14:paraId="21796402">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200</w:t>
            </w:r>
          </w:p>
        </w:tc>
        <w:tc>
          <w:tcPr>
            <w:tcW w:w="2812" w:type="dxa"/>
            <w:shd w:val="clear" w:color="000000" w:fill="FFFFFF"/>
            <w:vAlign w:val="center"/>
          </w:tcPr>
          <w:p w14:paraId="482A552C">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1.67 </w:t>
            </w:r>
          </w:p>
        </w:tc>
        <w:tc>
          <w:tcPr>
            <w:tcW w:w="3369" w:type="dxa"/>
            <w:shd w:val="clear" w:color="000000" w:fill="FFFFFF"/>
            <w:vAlign w:val="center"/>
          </w:tcPr>
          <w:p w14:paraId="0EA027E3">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61.27 </w:t>
            </w:r>
          </w:p>
        </w:tc>
      </w:tr>
      <w:tr w14:paraId="70A6914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41" w:type="dxa"/>
            <w:shd w:val="clear" w:color="000000" w:fill="FFFFFF"/>
            <w:vAlign w:val="center"/>
          </w:tcPr>
          <w:p w14:paraId="25963603">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250</w:t>
            </w:r>
          </w:p>
        </w:tc>
        <w:tc>
          <w:tcPr>
            <w:tcW w:w="2812" w:type="dxa"/>
            <w:shd w:val="clear" w:color="000000" w:fill="FFFFFF"/>
            <w:vAlign w:val="center"/>
          </w:tcPr>
          <w:p w14:paraId="2EB25F31">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2.08 </w:t>
            </w:r>
          </w:p>
        </w:tc>
        <w:tc>
          <w:tcPr>
            <w:tcW w:w="3369" w:type="dxa"/>
            <w:shd w:val="clear" w:color="000000" w:fill="FFFFFF"/>
            <w:vAlign w:val="center"/>
          </w:tcPr>
          <w:p w14:paraId="69853496">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40.90 </w:t>
            </w:r>
          </w:p>
        </w:tc>
      </w:tr>
      <w:tr w14:paraId="090A691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41" w:type="dxa"/>
            <w:shd w:val="clear" w:color="000000" w:fill="FFFFFF"/>
            <w:vAlign w:val="center"/>
          </w:tcPr>
          <w:p w14:paraId="6BECA9D8">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300</w:t>
            </w:r>
          </w:p>
        </w:tc>
        <w:tc>
          <w:tcPr>
            <w:tcW w:w="2812" w:type="dxa"/>
            <w:shd w:val="clear" w:color="000000" w:fill="FFFFFF"/>
            <w:vAlign w:val="center"/>
          </w:tcPr>
          <w:p w14:paraId="58AC3E43">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2.50 </w:t>
            </w:r>
          </w:p>
        </w:tc>
        <w:tc>
          <w:tcPr>
            <w:tcW w:w="3369" w:type="dxa"/>
            <w:shd w:val="clear" w:color="000000" w:fill="FFFFFF"/>
            <w:vAlign w:val="center"/>
          </w:tcPr>
          <w:p w14:paraId="431E08A4">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29.37 </w:t>
            </w:r>
          </w:p>
        </w:tc>
      </w:tr>
      <w:tr w14:paraId="11E7097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41" w:type="dxa"/>
            <w:shd w:val="clear" w:color="000000" w:fill="FFFFFF"/>
            <w:vAlign w:val="center"/>
          </w:tcPr>
          <w:p w14:paraId="4EB5023A">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350</w:t>
            </w:r>
          </w:p>
        </w:tc>
        <w:tc>
          <w:tcPr>
            <w:tcW w:w="2812" w:type="dxa"/>
            <w:shd w:val="clear" w:color="000000" w:fill="FFFFFF"/>
            <w:vAlign w:val="center"/>
          </w:tcPr>
          <w:p w14:paraId="1CADA52F">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2.92 </w:t>
            </w:r>
          </w:p>
        </w:tc>
        <w:tc>
          <w:tcPr>
            <w:tcW w:w="3369" w:type="dxa"/>
            <w:shd w:val="clear" w:color="000000" w:fill="FFFFFF"/>
            <w:vAlign w:val="center"/>
          </w:tcPr>
          <w:p w14:paraId="4696989D">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22.20 </w:t>
            </w:r>
          </w:p>
        </w:tc>
      </w:tr>
      <w:tr w14:paraId="15032C1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41" w:type="dxa"/>
            <w:shd w:val="clear" w:color="000000" w:fill="FFFFFF"/>
            <w:vAlign w:val="center"/>
          </w:tcPr>
          <w:p w14:paraId="3B8FDAEF">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400</w:t>
            </w:r>
          </w:p>
        </w:tc>
        <w:tc>
          <w:tcPr>
            <w:tcW w:w="2812" w:type="dxa"/>
            <w:shd w:val="clear" w:color="000000" w:fill="FFFFFF"/>
            <w:vAlign w:val="center"/>
          </w:tcPr>
          <w:p w14:paraId="529F1D5E">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3.33 </w:t>
            </w:r>
          </w:p>
        </w:tc>
        <w:tc>
          <w:tcPr>
            <w:tcW w:w="3369" w:type="dxa"/>
            <w:shd w:val="clear" w:color="000000" w:fill="FFFFFF"/>
            <w:vAlign w:val="center"/>
          </w:tcPr>
          <w:p w14:paraId="7F3189A5">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17.41 </w:t>
            </w:r>
          </w:p>
        </w:tc>
      </w:tr>
      <w:tr w14:paraId="5C2DB05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41" w:type="dxa"/>
            <w:shd w:val="clear" w:color="000000" w:fill="FFFFFF"/>
            <w:vAlign w:val="center"/>
          </w:tcPr>
          <w:p w14:paraId="4D6CCF01">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450</w:t>
            </w:r>
          </w:p>
        </w:tc>
        <w:tc>
          <w:tcPr>
            <w:tcW w:w="2812" w:type="dxa"/>
            <w:shd w:val="clear" w:color="000000" w:fill="FFFFFF"/>
            <w:vAlign w:val="center"/>
          </w:tcPr>
          <w:p w14:paraId="113BD7F0">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3.75 </w:t>
            </w:r>
          </w:p>
        </w:tc>
        <w:tc>
          <w:tcPr>
            <w:tcW w:w="3369" w:type="dxa"/>
            <w:shd w:val="clear" w:color="000000" w:fill="FFFFFF"/>
            <w:vAlign w:val="center"/>
          </w:tcPr>
          <w:p w14:paraId="1519157A">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14.02 </w:t>
            </w:r>
          </w:p>
        </w:tc>
      </w:tr>
      <w:tr w14:paraId="6E33C51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41" w:type="dxa"/>
            <w:shd w:val="clear" w:color="000000" w:fill="FFFFFF"/>
            <w:vAlign w:val="center"/>
          </w:tcPr>
          <w:p w14:paraId="673A79D6">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500</w:t>
            </w:r>
          </w:p>
        </w:tc>
        <w:tc>
          <w:tcPr>
            <w:tcW w:w="2812" w:type="dxa"/>
            <w:shd w:val="clear" w:color="000000" w:fill="FFFFFF"/>
            <w:vAlign w:val="center"/>
          </w:tcPr>
          <w:p w14:paraId="4108F898">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4.17 </w:t>
            </w:r>
          </w:p>
        </w:tc>
        <w:tc>
          <w:tcPr>
            <w:tcW w:w="3369" w:type="dxa"/>
            <w:shd w:val="clear" w:color="000000" w:fill="FFFFFF"/>
            <w:vAlign w:val="center"/>
          </w:tcPr>
          <w:p w14:paraId="41B716CC">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11.53 </w:t>
            </w:r>
          </w:p>
        </w:tc>
      </w:tr>
      <w:tr w14:paraId="57D64E3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41" w:type="dxa"/>
            <w:shd w:val="clear" w:color="000000" w:fill="FFFFFF"/>
            <w:vAlign w:val="center"/>
          </w:tcPr>
          <w:p w14:paraId="4224001F">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600</w:t>
            </w:r>
          </w:p>
        </w:tc>
        <w:tc>
          <w:tcPr>
            <w:tcW w:w="2812" w:type="dxa"/>
            <w:shd w:val="clear" w:color="000000" w:fill="FFFFFF"/>
            <w:vAlign w:val="center"/>
          </w:tcPr>
          <w:p w14:paraId="6089ECD8">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5.00 </w:t>
            </w:r>
          </w:p>
        </w:tc>
        <w:tc>
          <w:tcPr>
            <w:tcW w:w="3369" w:type="dxa"/>
            <w:shd w:val="clear" w:color="000000" w:fill="FFFFFF"/>
            <w:vAlign w:val="center"/>
          </w:tcPr>
          <w:p w14:paraId="7C5125A2">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8.15 </w:t>
            </w:r>
          </w:p>
        </w:tc>
      </w:tr>
      <w:tr w14:paraId="292925B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41" w:type="dxa"/>
            <w:shd w:val="clear" w:color="000000" w:fill="FFFFFF"/>
            <w:vAlign w:val="center"/>
          </w:tcPr>
          <w:p w14:paraId="46EF6E8D">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800</w:t>
            </w:r>
          </w:p>
        </w:tc>
        <w:tc>
          <w:tcPr>
            <w:tcW w:w="2812" w:type="dxa"/>
            <w:shd w:val="clear" w:color="000000" w:fill="FFFFFF"/>
            <w:vAlign w:val="center"/>
          </w:tcPr>
          <w:p w14:paraId="0588BA8F">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6.67 </w:t>
            </w:r>
          </w:p>
        </w:tc>
        <w:tc>
          <w:tcPr>
            <w:tcW w:w="3369" w:type="dxa"/>
            <w:shd w:val="clear" w:color="000000" w:fill="FFFFFF"/>
            <w:vAlign w:val="center"/>
          </w:tcPr>
          <w:p w14:paraId="49662A68">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4.56 </w:t>
            </w:r>
          </w:p>
        </w:tc>
      </w:tr>
      <w:tr w14:paraId="213F341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41" w:type="dxa"/>
            <w:shd w:val="clear" w:color="000000" w:fill="FFFFFF"/>
            <w:vAlign w:val="center"/>
          </w:tcPr>
          <w:p w14:paraId="645B4464">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1000</w:t>
            </w:r>
          </w:p>
        </w:tc>
        <w:tc>
          <w:tcPr>
            <w:tcW w:w="2812" w:type="dxa"/>
            <w:shd w:val="clear" w:color="000000" w:fill="FFFFFF"/>
            <w:vAlign w:val="center"/>
          </w:tcPr>
          <w:p w14:paraId="4C3FBF84">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8.33 </w:t>
            </w:r>
          </w:p>
        </w:tc>
        <w:tc>
          <w:tcPr>
            <w:tcW w:w="3369" w:type="dxa"/>
            <w:shd w:val="clear" w:color="000000" w:fill="FFFFFF"/>
            <w:vAlign w:val="center"/>
          </w:tcPr>
          <w:p w14:paraId="127A6F2D">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2.82 </w:t>
            </w:r>
          </w:p>
        </w:tc>
      </w:tr>
      <w:tr w14:paraId="5AFD93A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41" w:type="dxa"/>
            <w:shd w:val="clear" w:color="000000" w:fill="FFFFFF"/>
            <w:vAlign w:val="center"/>
          </w:tcPr>
          <w:p w14:paraId="523E0779">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5000</w:t>
            </w:r>
          </w:p>
        </w:tc>
        <w:tc>
          <w:tcPr>
            <w:tcW w:w="2812" w:type="dxa"/>
            <w:shd w:val="clear" w:color="000000" w:fill="FFFFFF"/>
            <w:vAlign w:val="center"/>
          </w:tcPr>
          <w:p w14:paraId="2787A28B">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41.67 </w:t>
            </w:r>
          </w:p>
        </w:tc>
        <w:tc>
          <w:tcPr>
            <w:tcW w:w="3369" w:type="dxa"/>
            <w:shd w:val="clear" w:color="000000" w:fill="FFFFFF"/>
            <w:vAlign w:val="center"/>
          </w:tcPr>
          <w:p w14:paraId="406CCA05">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0.09 </w:t>
            </w:r>
          </w:p>
        </w:tc>
      </w:tr>
    </w:tbl>
    <w:p w14:paraId="3ABA3AF4">
      <w:pPr>
        <w:pStyle w:val="7"/>
        <w:rPr>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 发烟硫酸泄漏超出阈值的范围</w:t>
      </w:r>
    </w:p>
    <w:tbl>
      <w:tblPr>
        <w:tblStyle w:val="43"/>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3226"/>
        <w:gridCol w:w="2700"/>
        <w:gridCol w:w="2596"/>
      </w:tblGrid>
      <w:tr w14:paraId="1642545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228" w:type="dxa"/>
            <w:vMerge w:val="restart"/>
            <w:vAlign w:val="center"/>
          </w:tcPr>
          <w:p w14:paraId="5A701930">
            <w:pPr>
              <w:pStyle w:val="128"/>
              <w:widowControl w:val="0"/>
              <w:adjustRightInd w:val="0"/>
              <w:snapToGrid w:val="0"/>
              <w:spacing w:line="240" w:lineRule="exact"/>
              <w:ind w:firstLine="48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超过大气毒性终点浓度-1</w:t>
            </w:r>
          </w:p>
        </w:tc>
        <w:tc>
          <w:tcPr>
            <w:tcW w:w="2702" w:type="dxa"/>
            <w:vAlign w:val="center"/>
          </w:tcPr>
          <w:p w14:paraId="2D756E5D">
            <w:pPr>
              <w:pStyle w:val="128"/>
              <w:widowControl w:val="0"/>
              <w:adjustRightInd w:val="0"/>
              <w:snapToGrid w:val="0"/>
              <w:spacing w:line="240" w:lineRule="exact"/>
              <w:ind w:firstLine="48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阈值（mg/m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w:t>
            </w:r>
          </w:p>
        </w:tc>
        <w:tc>
          <w:tcPr>
            <w:tcW w:w="2598" w:type="dxa"/>
            <w:vAlign w:val="center"/>
          </w:tcPr>
          <w:p w14:paraId="0364F300">
            <w:pPr>
              <w:pStyle w:val="128"/>
              <w:widowControl w:val="0"/>
              <w:adjustRightInd w:val="0"/>
              <w:snapToGrid w:val="0"/>
              <w:spacing w:line="240" w:lineRule="exact"/>
              <w:ind w:firstLine="480"/>
              <w:jc w:val="center"/>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160</w:t>
            </w:r>
          </w:p>
        </w:tc>
      </w:tr>
      <w:tr w14:paraId="21B5A03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228" w:type="dxa"/>
            <w:vMerge w:val="continue"/>
            <w:vAlign w:val="center"/>
          </w:tcPr>
          <w:p w14:paraId="0A8F7FF8">
            <w:pPr>
              <w:pStyle w:val="128"/>
              <w:widowControl w:val="0"/>
              <w:spacing w:line="240" w:lineRule="exact"/>
              <w:ind w:firstLine="480"/>
              <w:jc w:val="center"/>
              <w:rPr>
                <w:rFonts w:ascii="Times New Roman" w:hAnsi="Times New Roman" w:cs="Times New Roman"/>
                <w:color w:val="000000" w:themeColor="text1"/>
                <w14:textFill>
                  <w14:solidFill>
                    <w14:schemeClr w14:val="tx1"/>
                  </w14:solidFill>
                </w14:textFill>
              </w:rPr>
            </w:pPr>
          </w:p>
        </w:tc>
        <w:tc>
          <w:tcPr>
            <w:tcW w:w="2702" w:type="dxa"/>
            <w:vAlign w:val="center"/>
          </w:tcPr>
          <w:p w14:paraId="20880138">
            <w:pPr>
              <w:pStyle w:val="128"/>
              <w:widowControl w:val="0"/>
              <w:spacing w:line="240" w:lineRule="exact"/>
              <w:ind w:firstLine="48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最大</w:t>
            </w:r>
            <w:r>
              <w:rPr>
                <w:rFonts w:hint="eastAsia" w:ascii="Times New Roman" w:hAnsi="Times New Roman" w:cs="Times New Roman"/>
                <w:color w:val="000000" w:themeColor="text1"/>
                <w14:textFill>
                  <w14:solidFill>
                    <w14:schemeClr w14:val="tx1"/>
                  </w14:solidFill>
                </w14:textFill>
              </w:rPr>
              <w:t>影响距离</w:t>
            </w:r>
            <w:r>
              <w:rPr>
                <w:rFonts w:ascii="Times New Roman" w:hAnsi="Times New Roman" w:cs="Times New Roman"/>
                <w:color w:val="000000" w:themeColor="text1"/>
                <w14:textFill>
                  <w14:solidFill>
                    <w14:schemeClr w14:val="tx1"/>
                  </w14:solidFill>
                </w14:textFill>
              </w:rPr>
              <w:t>（m）</w:t>
            </w:r>
          </w:p>
        </w:tc>
        <w:tc>
          <w:tcPr>
            <w:tcW w:w="2598" w:type="dxa"/>
            <w:vAlign w:val="center"/>
          </w:tcPr>
          <w:p w14:paraId="58371F6A">
            <w:pPr>
              <w:pStyle w:val="128"/>
              <w:widowControl w:val="0"/>
              <w:spacing w:line="240" w:lineRule="exact"/>
              <w:ind w:firstLine="480"/>
              <w:jc w:val="center"/>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4</w:t>
            </w:r>
          </w:p>
        </w:tc>
      </w:tr>
      <w:tr w14:paraId="09B0D3B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228" w:type="dxa"/>
            <w:vMerge w:val="continue"/>
            <w:vAlign w:val="center"/>
          </w:tcPr>
          <w:p w14:paraId="5595CB59">
            <w:pPr>
              <w:pStyle w:val="128"/>
              <w:widowControl w:val="0"/>
              <w:spacing w:line="240" w:lineRule="exact"/>
              <w:ind w:firstLine="480"/>
              <w:jc w:val="center"/>
              <w:rPr>
                <w:rFonts w:ascii="Times New Roman" w:hAnsi="Times New Roman" w:cs="Times New Roman"/>
                <w:color w:val="000000" w:themeColor="text1"/>
                <w14:textFill>
                  <w14:solidFill>
                    <w14:schemeClr w14:val="tx1"/>
                  </w14:solidFill>
                </w14:textFill>
              </w:rPr>
            </w:pPr>
          </w:p>
        </w:tc>
        <w:tc>
          <w:tcPr>
            <w:tcW w:w="2702" w:type="dxa"/>
            <w:vAlign w:val="center"/>
          </w:tcPr>
          <w:p w14:paraId="319E6738">
            <w:pPr>
              <w:pStyle w:val="128"/>
              <w:widowControl w:val="0"/>
              <w:spacing w:line="240" w:lineRule="exact"/>
              <w:ind w:firstLine="48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影响范围（m</w:t>
            </w:r>
            <w:r>
              <w:rPr>
                <w:rFonts w:hint="eastAsia"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w:t>
            </w:r>
          </w:p>
        </w:tc>
        <w:tc>
          <w:tcPr>
            <w:tcW w:w="2598" w:type="dxa"/>
            <w:vAlign w:val="center"/>
          </w:tcPr>
          <w:p w14:paraId="0623179C">
            <w:pPr>
              <w:pStyle w:val="128"/>
              <w:widowControl w:val="0"/>
              <w:spacing w:line="240" w:lineRule="exact"/>
              <w:ind w:firstLine="480"/>
              <w:jc w:val="center"/>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0.02</w:t>
            </w:r>
          </w:p>
        </w:tc>
      </w:tr>
      <w:tr w14:paraId="7F433DC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228" w:type="dxa"/>
            <w:vMerge w:val="restart"/>
            <w:vAlign w:val="center"/>
          </w:tcPr>
          <w:p w14:paraId="1ED09BA3">
            <w:pPr>
              <w:pStyle w:val="128"/>
              <w:widowControl w:val="0"/>
              <w:spacing w:line="240" w:lineRule="exact"/>
              <w:ind w:firstLine="48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超过大气毒性终点浓度-2</w:t>
            </w:r>
          </w:p>
        </w:tc>
        <w:tc>
          <w:tcPr>
            <w:tcW w:w="2702" w:type="dxa"/>
            <w:vAlign w:val="center"/>
          </w:tcPr>
          <w:p w14:paraId="3FE5F08D">
            <w:pPr>
              <w:pStyle w:val="128"/>
              <w:widowControl w:val="0"/>
              <w:spacing w:line="240" w:lineRule="exact"/>
              <w:ind w:firstLine="48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阈值（mg/m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w:t>
            </w:r>
          </w:p>
        </w:tc>
        <w:tc>
          <w:tcPr>
            <w:tcW w:w="2598" w:type="dxa"/>
            <w:vAlign w:val="center"/>
          </w:tcPr>
          <w:p w14:paraId="2DAE798D">
            <w:pPr>
              <w:pStyle w:val="128"/>
              <w:widowControl w:val="0"/>
              <w:spacing w:line="240" w:lineRule="exact"/>
              <w:ind w:firstLine="480"/>
              <w:jc w:val="center"/>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8.7</w:t>
            </w:r>
          </w:p>
        </w:tc>
      </w:tr>
      <w:tr w14:paraId="4A4060E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228" w:type="dxa"/>
            <w:vMerge w:val="continue"/>
            <w:vAlign w:val="center"/>
          </w:tcPr>
          <w:p w14:paraId="17469CF6">
            <w:pPr>
              <w:pStyle w:val="128"/>
              <w:widowControl w:val="0"/>
              <w:spacing w:line="240" w:lineRule="exact"/>
              <w:ind w:firstLine="480"/>
              <w:jc w:val="center"/>
              <w:rPr>
                <w:rFonts w:ascii="Times New Roman" w:hAnsi="Times New Roman" w:cs="Times New Roman"/>
                <w:color w:val="000000" w:themeColor="text1"/>
                <w14:textFill>
                  <w14:solidFill>
                    <w14:schemeClr w14:val="tx1"/>
                  </w14:solidFill>
                </w14:textFill>
              </w:rPr>
            </w:pPr>
          </w:p>
        </w:tc>
        <w:tc>
          <w:tcPr>
            <w:tcW w:w="2702" w:type="dxa"/>
            <w:vAlign w:val="center"/>
          </w:tcPr>
          <w:p w14:paraId="5B0424FD">
            <w:pPr>
              <w:pStyle w:val="128"/>
              <w:widowControl w:val="0"/>
              <w:spacing w:line="240" w:lineRule="exact"/>
              <w:ind w:firstLine="48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最大</w:t>
            </w:r>
            <w:r>
              <w:rPr>
                <w:rFonts w:hint="eastAsia" w:ascii="Times New Roman" w:hAnsi="Times New Roman" w:cs="Times New Roman"/>
                <w:color w:val="000000" w:themeColor="text1"/>
                <w14:textFill>
                  <w14:solidFill>
                    <w14:schemeClr w14:val="tx1"/>
                  </w14:solidFill>
                </w14:textFill>
              </w:rPr>
              <w:t>影响距离</w:t>
            </w:r>
            <w:r>
              <w:rPr>
                <w:rFonts w:ascii="Times New Roman" w:hAnsi="Times New Roman" w:cs="Times New Roman"/>
                <w:color w:val="000000" w:themeColor="text1"/>
                <w14:textFill>
                  <w14:solidFill>
                    <w14:schemeClr w14:val="tx1"/>
                  </w14:solidFill>
                </w14:textFill>
              </w:rPr>
              <w:t>（m）</w:t>
            </w:r>
          </w:p>
        </w:tc>
        <w:tc>
          <w:tcPr>
            <w:tcW w:w="2598" w:type="dxa"/>
            <w:vAlign w:val="center"/>
          </w:tcPr>
          <w:p w14:paraId="295B2BBC">
            <w:pPr>
              <w:pStyle w:val="128"/>
              <w:widowControl w:val="0"/>
              <w:spacing w:line="240" w:lineRule="exact"/>
              <w:ind w:firstLine="480"/>
              <w:jc w:val="center"/>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20</w:t>
            </w:r>
          </w:p>
        </w:tc>
      </w:tr>
      <w:tr w14:paraId="4EB8EF1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228" w:type="dxa"/>
            <w:vMerge w:val="continue"/>
            <w:vAlign w:val="center"/>
          </w:tcPr>
          <w:p w14:paraId="375A6BC4">
            <w:pPr>
              <w:pStyle w:val="128"/>
              <w:widowControl w:val="0"/>
              <w:spacing w:line="240" w:lineRule="exact"/>
              <w:ind w:firstLine="480"/>
              <w:jc w:val="center"/>
              <w:rPr>
                <w:rFonts w:ascii="Times New Roman" w:hAnsi="Times New Roman" w:cs="Times New Roman"/>
                <w:color w:val="000000" w:themeColor="text1"/>
                <w14:textFill>
                  <w14:solidFill>
                    <w14:schemeClr w14:val="tx1"/>
                  </w14:solidFill>
                </w14:textFill>
              </w:rPr>
            </w:pPr>
          </w:p>
        </w:tc>
        <w:tc>
          <w:tcPr>
            <w:tcW w:w="2702" w:type="dxa"/>
            <w:vAlign w:val="center"/>
          </w:tcPr>
          <w:p w14:paraId="5791ED9D">
            <w:pPr>
              <w:pStyle w:val="128"/>
              <w:widowControl w:val="0"/>
              <w:spacing w:line="240" w:lineRule="exact"/>
              <w:ind w:firstLine="48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影响范围（</w:t>
            </w:r>
            <w:r>
              <w:rPr>
                <w:rFonts w:hint="eastAsia" w:ascii="Times New Roman" w:hAnsi="Times New Roman" w:cs="Times New Roman"/>
                <w:color w:val="000000" w:themeColor="text1"/>
                <w14:textFill>
                  <w14:solidFill>
                    <w14:schemeClr w14:val="tx1"/>
                  </w14:solidFill>
                </w14:textFill>
              </w:rPr>
              <w:t>h</w:t>
            </w:r>
            <w:r>
              <w:rPr>
                <w:rFonts w:ascii="Times New Roman" w:hAnsi="Times New Roman" w:cs="Times New Roman"/>
                <w:color w:val="000000" w:themeColor="text1"/>
                <w14:textFill>
                  <w14:solidFill>
                    <w14:schemeClr w14:val="tx1"/>
                  </w14:solidFill>
                </w14:textFill>
              </w:rPr>
              <w:t>m</w:t>
            </w:r>
            <w:r>
              <w:rPr>
                <w:rFonts w:hint="eastAsia"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w:t>
            </w:r>
          </w:p>
        </w:tc>
        <w:tc>
          <w:tcPr>
            <w:tcW w:w="2598" w:type="dxa"/>
            <w:vAlign w:val="center"/>
          </w:tcPr>
          <w:p w14:paraId="452F59B4">
            <w:pPr>
              <w:pStyle w:val="128"/>
              <w:widowControl w:val="0"/>
              <w:spacing w:line="240" w:lineRule="exact"/>
              <w:ind w:firstLine="480"/>
              <w:jc w:val="center"/>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0.85</w:t>
            </w:r>
          </w:p>
        </w:tc>
      </w:tr>
    </w:tbl>
    <w:p w14:paraId="71BFFF86">
      <w:pPr>
        <w:ind w:firstLine="199" w:firstLineChars="83"/>
        <w:jc w:val="cente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5274310" cy="3149600"/>
            <wp:effectExtent l="19050" t="19050" r="21590" b="12700"/>
            <wp:docPr id="274" name="图片 274" descr="D:\weinxin\xwechat_files\Aicandoit_f66a\temp\InputTemp\06ef105d-522b-4737-b116-ee56e0c5bf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274" descr="D:\weinxin\xwechat_files\Aicandoit_f66a\temp\InputTemp\06ef105d-522b-4737-b116-ee56e0c5bf75.png"/>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a:xfrm>
                      <a:off x="0" y="0"/>
                      <a:ext cx="5274310" cy="3149935"/>
                    </a:xfrm>
                    <a:prstGeom prst="rect">
                      <a:avLst/>
                    </a:prstGeom>
                    <a:noFill/>
                    <a:ln>
                      <a:solidFill>
                        <a:schemeClr val="tx1"/>
                      </a:solidFill>
                    </a:ln>
                  </pic:spPr>
                </pic:pic>
              </a:graphicData>
            </a:graphic>
          </wp:inline>
        </w:drawing>
      </w:r>
    </w:p>
    <w:p w14:paraId="09977493">
      <w:pPr>
        <w:ind w:firstLine="482"/>
        <w:jc w:val="center"/>
        <w:rPr>
          <w:b/>
          <w:color w:val="000000" w:themeColor="text1"/>
          <w14:textFill>
            <w14:solidFill>
              <w14:schemeClr w14:val="tx1"/>
            </w14:solidFill>
          </w14:textFill>
        </w:rPr>
      </w:pPr>
      <w:r>
        <w:rPr>
          <w:rFonts w:hint="eastAsia"/>
          <w:b/>
          <w:color w:val="000000" w:themeColor="text1"/>
          <w14:textFill>
            <w14:solidFill>
              <w14:schemeClr w14:val="tx1"/>
            </w14:solidFill>
          </w14:textFill>
        </w:rPr>
        <w:t>图5.6-1   发烟硫酸泄漏最大影响范围示意图</w:t>
      </w:r>
    </w:p>
    <w:p w14:paraId="39A36D15">
      <w:pPr>
        <w:ind w:firstLine="0" w:firstLineChars="0"/>
        <w:jc w:val="center"/>
        <w:rPr>
          <w:b/>
          <w:bCs/>
          <w:color w:val="000000" w:themeColor="text1"/>
          <w14:textFill>
            <w14:solidFill>
              <w14:schemeClr w14:val="tx1"/>
            </w14:solidFill>
          </w14:textFill>
        </w:rPr>
      </w:pPr>
      <w:r>
        <w:rPr>
          <w:rFonts w:hint="eastAsia"/>
          <w:b/>
          <w:bCs/>
          <w:color w:val="000000" w:themeColor="text1"/>
          <w:szCs w:val="21"/>
          <w14:textFill>
            <w14:solidFill>
              <w14:schemeClr w14:val="tx1"/>
            </w14:solidFill>
          </w14:textFill>
        </w:rPr>
        <w:t>表5.6-12   大气敏感保护目标发烟硫酸最大影响预测结果</w:t>
      </w:r>
      <w:r>
        <w:rPr>
          <w:rFonts w:hint="eastAsia"/>
          <w:b/>
          <w:bCs/>
          <w:color w:val="000000" w:themeColor="text1"/>
          <w14:textFill>
            <w14:solidFill>
              <w14:schemeClr w14:val="tx1"/>
            </w14:solidFill>
          </w14:textFill>
        </w:rPr>
        <w:t xml:space="preserve">     单位：mg/m</w:t>
      </w:r>
      <w:r>
        <w:rPr>
          <w:rFonts w:hint="eastAsia"/>
          <w:b/>
          <w:bCs/>
          <w:color w:val="000000" w:themeColor="text1"/>
          <w:vertAlign w:val="superscript"/>
          <w14:textFill>
            <w14:solidFill>
              <w14:schemeClr w14:val="tx1"/>
            </w14:solidFill>
          </w14:textFill>
        </w:rPr>
        <w:t>3</w:t>
      </w:r>
    </w:p>
    <w:tbl>
      <w:tblPr>
        <w:tblStyle w:val="43"/>
        <w:tblW w:w="5707"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0" w:type="dxa"/>
          <w:bottom w:w="0" w:type="dxa"/>
          <w:right w:w="0" w:type="dxa"/>
        </w:tblCellMar>
      </w:tblPr>
      <w:tblGrid>
        <w:gridCol w:w="326"/>
        <w:gridCol w:w="1135"/>
        <w:gridCol w:w="720"/>
        <w:gridCol w:w="819"/>
        <w:gridCol w:w="540"/>
        <w:gridCol w:w="600"/>
        <w:gridCol w:w="596"/>
        <w:gridCol w:w="607"/>
        <w:gridCol w:w="676"/>
        <w:gridCol w:w="617"/>
        <w:gridCol w:w="659"/>
        <w:gridCol w:w="808"/>
        <w:gridCol w:w="631"/>
        <w:gridCol w:w="781"/>
      </w:tblGrid>
      <w:tr w14:paraId="047CFB0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504" w:hRule="atLeast"/>
          <w:jc w:val="center"/>
        </w:trPr>
        <w:tc>
          <w:tcPr>
            <w:tcW w:w="325" w:type="dxa"/>
            <w:vMerge w:val="restart"/>
            <w:noWrap/>
            <w:vAlign w:val="center"/>
          </w:tcPr>
          <w:p w14:paraId="1833B178">
            <w:pPr>
              <w:widowControl/>
              <w:adjustRightInd w:val="0"/>
              <w:snapToGrid w:val="0"/>
              <w:spacing w:line="240" w:lineRule="auto"/>
              <w:ind w:firstLine="0" w:firstLineChars="0"/>
              <w:jc w:val="center"/>
              <w:textAlignment w:val="center"/>
              <w:rPr>
                <w:rFonts w:cs="宋体"/>
                <w:b/>
                <w:bCs/>
                <w:color w:val="000000" w:themeColor="text1"/>
                <w:sz w:val="21"/>
                <w:szCs w:val="21"/>
                <w14:textFill>
                  <w14:solidFill>
                    <w14:schemeClr w14:val="tx1"/>
                  </w14:solidFill>
                </w14:textFill>
              </w:rPr>
            </w:pPr>
            <w:r>
              <w:rPr>
                <w:rFonts w:hint="eastAsia" w:cs="宋体"/>
                <w:b/>
                <w:bCs/>
                <w:color w:val="000000" w:themeColor="text1"/>
                <w:kern w:val="0"/>
                <w:sz w:val="21"/>
                <w:szCs w:val="21"/>
                <w:lang w:bidi="ar"/>
                <w14:textFill>
                  <w14:solidFill>
                    <w14:schemeClr w14:val="tx1"/>
                  </w14:solidFill>
                </w14:textFill>
              </w:rPr>
              <w:t>序号</w:t>
            </w:r>
          </w:p>
        </w:tc>
        <w:tc>
          <w:tcPr>
            <w:tcW w:w="1132" w:type="dxa"/>
            <w:vMerge w:val="restart"/>
            <w:noWrap/>
            <w:vAlign w:val="center"/>
          </w:tcPr>
          <w:p w14:paraId="38BAE873">
            <w:pPr>
              <w:widowControl/>
              <w:adjustRightInd w:val="0"/>
              <w:snapToGrid w:val="0"/>
              <w:spacing w:line="240" w:lineRule="auto"/>
              <w:ind w:firstLine="0" w:firstLineChars="0"/>
              <w:jc w:val="center"/>
              <w:textAlignment w:val="center"/>
              <w:rPr>
                <w:rFonts w:cs="宋体"/>
                <w:b/>
                <w:bCs/>
                <w:color w:val="000000" w:themeColor="text1"/>
                <w:sz w:val="21"/>
                <w:szCs w:val="21"/>
                <w14:textFill>
                  <w14:solidFill>
                    <w14:schemeClr w14:val="tx1"/>
                  </w14:solidFill>
                </w14:textFill>
              </w:rPr>
            </w:pPr>
            <w:r>
              <w:rPr>
                <w:rFonts w:hint="eastAsia" w:cs="宋体"/>
                <w:b/>
                <w:bCs/>
                <w:color w:val="000000" w:themeColor="text1"/>
                <w:kern w:val="0"/>
                <w:sz w:val="21"/>
                <w:szCs w:val="21"/>
                <w:lang w:bidi="ar"/>
                <w14:textFill>
                  <w14:solidFill>
                    <w14:schemeClr w14:val="tx1"/>
                  </w14:solidFill>
                </w14:textFill>
              </w:rPr>
              <w:t>名称</w:t>
            </w:r>
          </w:p>
        </w:tc>
        <w:tc>
          <w:tcPr>
            <w:tcW w:w="718" w:type="dxa"/>
            <w:vMerge w:val="restart"/>
            <w:noWrap/>
            <w:vAlign w:val="center"/>
          </w:tcPr>
          <w:p w14:paraId="4C4C7B10">
            <w:pPr>
              <w:widowControl/>
              <w:adjustRightInd w:val="0"/>
              <w:snapToGrid w:val="0"/>
              <w:spacing w:line="240" w:lineRule="auto"/>
              <w:ind w:firstLine="0" w:firstLineChars="0"/>
              <w:jc w:val="center"/>
              <w:textAlignment w:val="center"/>
              <w:rPr>
                <w:rFonts w:cs="宋体"/>
                <w:b/>
                <w:bCs/>
                <w:color w:val="000000" w:themeColor="text1"/>
                <w:kern w:val="0"/>
                <w:sz w:val="21"/>
                <w:szCs w:val="21"/>
                <w:lang w:bidi="ar"/>
                <w14:textFill>
                  <w14:solidFill>
                    <w14:schemeClr w14:val="tx1"/>
                  </w14:solidFill>
                </w14:textFill>
              </w:rPr>
            </w:pPr>
            <w:r>
              <w:rPr>
                <w:rFonts w:hint="eastAsia" w:cs="宋体"/>
                <w:b/>
                <w:bCs/>
                <w:color w:val="000000" w:themeColor="text1"/>
                <w:kern w:val="0"/>
                <w:sz w:val="21"/>
                <w:szCs w:val="21"/>
                <w:lang w:bidi="ar"/>
                <w14:textFill>
                  <w14:solidFill>
                    <w14:schemeClr w14:val="tx1"/>
                  </w14:solidFill>
                </w14:textFill>
              </w:rPr>
              <w:t>与事故源的相对距离（km）</w:t>
            </w:r>
          </w:p>
        </w:tc>
        <w:tc>
          <w:tcPr>
            <w:tcW w:w="817" w:type="dxa"/>
            <w:vMerge w:val="restart"/>
            <w:noWrap/>
            <w:vAlign w:val="center"/>
          </w:tcPr>
          <w:p w14:paraId="4891F446">
            <w:pPr>
              <w:widowControl/>
              <w:adjustRightInd w:val="0"/>
              <w:snapToGrid w:val="0"/>
              <w:spacing w:line="240" w:lineRule="auto"/>
              <w:ind w:firstLine="0" w:firstLineChars="0"/>
              <w:jc w:val="center"/>
              <w:textAlignment w:val="center"/>
              <w:rPr>
                <w:rFonts w:cs="宋体"/>
                <w:b/>
                <w:bCs/>
                <w:color w:val="000000" w:themeColor="text1"/>
                <w:sz w:val="21"/>
                <w:szCs w:val="21"/>
                <w14:textFill>
                  <w14:solidFill>
                    <w14:schemeClr w14:val="tx1"/>
                  </w14:solidFill>
                </w14:textFill>
              </w:rPr>
            </w:pPr>
            <w:r>
              <w:rPr>
                <w:rFonts w:hint="eastAsia" w:cs="宋体"/>
                <w:b/>
                <w:bCs/>
                <w:color w:val="000000" w:themeColor="text1"/>
                <w:kern w:val="0"/>
                <w:sz w:val="21"/>
                <w:szCs w:val="21"/>
                <w:lang w:bidi="ar"/>
                <w14:textFill>
                  <w14:solidFill>
                    <w14:schemeClr w14:val="tx1"/>
                  </w14:solidFill>
                </w14:textFill>
              </w:rPr>
              <w:t>最大浓度|时间(min)</w:t>
            </w:r>
          </w:p>
        </w:tc>
        <w:tc>
          <w:tcPr>
            <w:tcW w:w="539" w:type="dxa"/>
            <w:vMerge w:val="restart"/>
            <w:noWrap/>
            <w:vAlign w:val="center"/>
          </w:tcPr>
          <w:p w14:paraId="06275744">
            <w:pPr>
              <w:widowControl/>
              <w:adjustRightInd w:val="0"/>
              <w:snapToGrid w:val="0"/>
              <w:spacing w:line="240" w:lineRule="auto"/>
              <w:ind w:firstLine="0" w:firstLineChars="0"/>
              <w:jc w:val="center"/>
              <w:textAlignment w:val="center"/>
              <w:rPr>
                <w:rFonts w:cs="宋体"/>
                <w:b/>
                <w:bCs/>
                <w:color w:val="000000" w:themeColor="text1"/>
                <w:sz w:val="21"/>
                <w:szCs w:val="21"/>
                <w14:textFill>
                  <w14:solidFill>
                    <w14:schemeClr w14:val="tx1"/>
                  </w14:solidFill>
                </w14:textFill>
              </w:rPr>
            </w:pPr>
            <w:r>
              <w:rPr>
                <w:rFonts w:hint="eastAsia" w:cs="宋体"/>
                <w:b/>
                <w:bCs/>
                <w:color w:val="000000" w:themeColor="text1"/>
                <w:kern w:val="0"/>
                <w:sz w:val="21"/>
                <w:szCs w:val="21"/>
                <w:lang w:bidi="ar"/>
                <w14:textFill>
                  <w14:solidFill>
                    <w14:schemeClr w14:val="tx1"/>
                  </w14:solidFill>
                </w14:textFill>
              </w:rPr>
              <w:t>5min</w:t>
            </w:r>
          </w:p>
        </w:tc>
        <w:tc>
          <w:tcPr>
            <w:tcW w:w="599" w:type="dxa"/>
            <w:vMerge w:val="restart"/>
            <w:noWrap/>
            <w:vAlign w:val="center"/>
          </w:tcPr>
          <w:p w14:paraId="111C5ABF">
            <w:pPr>
              <w:widowControl/>
              <w:adjustRightInd w:val="0"/>
              <w:snapToGrid w:val="0"/>
              <w:spacing w:line="240" w:lineRule="auto"/>
              <w:ind w:firstLine="0" w:firstLineChars="0"/>
              <w:jc w:val="center"/>
              <w:textAlignment w:val="center"/>
              <w:rPr>
                <w:rFonts w:cs="宋体"/>
                <w:b/>
                <w:bCs/>
                <w:color w:val="000000" w:themeColor="text1"/>
                <w:sz w:val="21"/>
                <w:szCs w:val="21"/>
                <w14:textFill>
                  <w14:solidFill>
                    <w14:schemeClr w14:val="tx1"/>
                  </w14:solidFill>
                </w14:textFill>
              </w:rPr>
            </w:pPr>
            <w:r>
              <w:rPr>
                <w:rFonts w:hint="eastAsia" w:cs="宋体"/>
                <w:b/>
                <w:bCs/>
                <w:color w:val="000000" w:themeColor="text1"/>
                <w:kern w:val="0"/>
                <w:sz w:val="21"/>
                <w:szCs w:val="21"/>
                <w:lang w:bidi="ar"/>
                <w14:textFill>
                  <w14:solidFill>
                    <w14:schemeClr w14:val="tx1"/>
                  </w14:solidFill>
                </w14:textFill>
              </w:rPr>
              <w:t>10min</w:t>
            </w:r>
          </w:p>
        </w:tc>
        <w:tc>
          <w:tcPr>
            <w:tcW w:w="595" w:type="dxa"/>
            <w:vMerge w:val="restart"/>
            <w:noWrap/>
            <w:vAlign w:val="center"/>
          </w:tcPr>
          <w:p w14:paraId="579B1705">
            <w:pPr>
              <w:widowControl/>
              <w:adjustRightInd w:val="0"/>
              <w:snapToGrid w:val="0"/>
              <w:spacing w:line="240" w:lineRule="auto"/>
              <w:ind w:firstLine="0" w:firstLineChars="0"/>
              <w:jc w:val="center"/>
              <w:textAlignment w:val="center"/>
              <w:rPr>
                <w:rFonts w:cs="宋体"/>
                <w:b/>
                <w:bCs/>
                <w:color w:val="000000" w:themeColor="text1"/>
                <w:sz w:val="21"/>
                <w:szCs w:val="21"/>
                <w14:textFill>
                  <w14:solidFill>
                    <w14:schemeClr w14:val="tx1"/>
                  </w14:solidFill>
                </w14:textFill>
              </w:rPr>
            </w:pPr>
            <w:r>
              <w:rPr>
                <w:rFonts w:hint="eastAsia" w:cs="宋体"/>
                <w:b/>
                <w:bCs/>
                <w:color w:val="000000" w:themeColor="text1"/>
                <w:kern w:val="0"/>
                <w:sz w:val="21"/>
                <w:szCs w:val="21"/>
                <w:lang w:bidi="ar"/>
                <w14:textFill>
                  <w14:solidFill>
                    <w14:schemeClr w14:val="tx1"/>
                  </w14:solidFill>
                </w14:textFill>
              </w:rPr>
              <w:t>15min</w:t>
            </w:r>
          </w:p>
        </w:tc>
        <w:tc>
          <w:tcPr>
            <w:tcW w:w="606" w:type="dxa"/>
            <w:vMerge w:val="restart"/>
            <w:noWrap/>
            <w:vAlign w:val="center"/>
          </w:tcPr>
          <w:p w14:paraId="56A7F3B6">
            <w:pPr>
              <w:widowControl/>
              <w:adjustRightInd w:val="0"/>
              <w:snapToGrid w:val="0"/>
              <w:spacing w:line="240" w:lineRule="auto"/>
              <w:ind w:firstLine="0" w:firstLineChars="0"/>
              <w:jc w:val="center"/>
              <w:textAlignment w:val="center"/>
              <w:rPr>
                <w:rFonts w:cs="宋体"/>
                <w:b/>
                <w:bCs/>
                <w:color w:val="000000" w:themeColor="text1"/>
                <w:sz w:val="21"/>
                <w:szCs w:val="21"/>
                <w14:textFill>
                  <w14:solidFill>
                    <w14:schemeClr w14:val="tx1"/>
                  </w14:solidFill>
                </w14:textFill>
              </w:rPr>
            </w:pPr>
            <w:r>
              <w:rPr>
                <w:rFonts w:hint="eastAsia" w:cs="宋体"/>
                <w:b/>
                <w:bCs/>
                <w:color w:val="000000" w:themeColor="text1"/>
                <w:kern w:val="0"/>
                <w:sz w:val="21"/>
                <w:szCs w:val="21"/>
                <w:lang w:bidi="ar"/>
                <w14:textFill>
                  <w14:solidFill>
                    <w14:schemeClr w14:val="tx1"/>
                  </w14:solidFill>
                </w14:textFill>
              </w:rPr>
              <w:t>20min</w:t>
            </w:r>
          </w:p>
        </w:tc>
        <w:tc>
          <w:tcPr>
            <w:tcW w:w="674" w:type="dxa"/>
            <w:vMerge w:val="restart"/>
            <w:noWrap/>
            <w:vAlign w:val="center"/>
          </w:tcPr>
          <w:p w14:paraId="593D99FF">
            <w:pPr>
              <w:widowControl/>
              <w:adjustRightInd w:val="0"/>
              <w:snapToGrid w:val="0"/>
              <w:spacing w:line="240" w:lineRule="auto"/>
              <w:ind w:firstLine="0" w:firstLineChars="0"/>
              <w:jc w:val="center"/>
              <w:textAlignment w:val="center"/>
              <w:rPr>
                <w:rFonts w:cs="宋体"/>
                <w:b/>
                <w:bCs/>
                <w:color w:val="000000" w:themeColor="text1"/>
                <w:sz w:val="21"/>
                <w:szCs w:val="21"/>
                <w14:textFill>
                  <w14:solidFill>
                    <w14:schemeClr w14:val="tx1"/>
                  </w14:solidFill>
                </w14:textFill>
              </w:rPr>
            </w:pPr>
            <w:r>
              <w:rPr>
                <w:rFonts w:hint="eastAsia" w:cs="宋体"/>
                <w:b/>
                <w:bCs/>
                <w:color w:val="000000" w:themeColor="text1"/>
                <w:kern w:val="0"/>
                <w:sz w:val="21"/>
                <w:szCs w:val="21"/>
                <w:lang w:bidi="ar"/>
                <w14:textFill>
                  <w14:solidFill>
                    <w14:schemeClr w14:val="tx1"/>
                  </w14:solidFill>
                </w14:textFill>
              </w:rPr>
              <w:t>25min</w:t>
            </w:r>
          </w:p>
        </w:tc>
        <w:tc>
          <w:tcPr>
            <w:tcW w:w="616" w:type="dxa"/>
            <w:vMerge w:val="restart"/>
            <w:noWrap/>
            <w:vAlign w:val="center"/>
          </w:tcPr>
          <w:p w14:paraId="64F26ED7">
            <w:pPr>
              <w:widowControl/>
              <w:adjustRightInd w:val="0"/>
              <w:snapToGrid w:val="0"/>
              <w:spacing w:line="240" w:lineRule="auto"/>
              <w:ind w:firstLine="0" w:firstLineChars="0"/>
              <w:jc w:val="center"/>
              <w:textAlignment w:val="center"/>
              <w:rPr>
                <w:rFonts w:cs="宋体"/>
                <w:b/>
                <w:bCs/>
                <w:color w:val="000000" w:themeColor="text1"/>
                <w:sz w:val="21"/>
                <w:szCs w:val="21"/>
                <w14:textFill>
                  <w14:solidFill>
                    <w14:schemeClr w14:val="tx1"/>
                  </w14:solidFill>
                </w14:textFill>
              </w:rPr>
            </w:pPr>
            <w:r>
              <w:rPr>
                <w:rFonts w:hint="eastAsia" w:cs="宋体"/>
                <w:b/>
                <w:bCs/>
                <w:color w:val="000000" w:themeColor="text1"/>
                <w:kern w:val="0"/>
                <w:sz w:val="21"/>
                <w:szCs w:val="21"/>
                <w:lang w:bidi="ar"/>
                <w14:textFill>
                  <w14:solidFill>
                    <w14:schemeClr w14:val="tx1"/>
                  </w14:solidFill>
                </w14:textFill>
              </w:rPr>
              <w:t>30min</w:t>
            </w:r>
          </w:p>
        </w:tc>
        <w:tc>
          <w:tcPr>
            <w:tcW w:w="1463" w:type="dxa"/>
            <w:gridSpan w:val="2"/>
            <w:noWrap/>
            <w:vAlign w:val="center"/>
          </w:tcPr>
          <w:p w14:paraId="7ECAFF8D">
            <w:pPr>
              <w:spacing w:line="240" w:lineRule="atLeast"/>
              <w:ind w:firstLine="0" w:firstLineChars="0"/>
              <w:jc w:val="center"/>
              <w:rPr>
                <w:rFonts w:cs="宋体"/>
                <w:b/>
                <w:bCs/>
                <w:color w:val="000000" w:themeColor="text1"/>
                <w:kern w:val="0"/>
                <w:sz w:val="21"/>
                <w:szCs w:val="21"/>
                <w:lang w:bidi="ar"/>
                <w14:textFill>
                  <w14:solidFill>
                    <w14:schemeClr w14:val="tx1"/>
                  </w14:solidFill>
                </w14:textFill>
              </w:rPr>
            </w:pPr>
            <w:r>
              <w:rPr>
                <w:b/>
                <w:bCs/>
                <w:color w:val="000000" w:themeColor="text1"/>
                <w:sz w:val="21"/>
                <w:szCs w:val="21"/>
                <w14:textFill>
                  <w14:solidFill>
                    <w14:schemeClr w14:val="tx1"/>
                  </w14:solidFill>
                </w14:textFill>
              </w:rPr>
              <w:t>大气毒性终点浓度-1</w:t>
            </w:r>
          </w:p>
        </w:tc>
        <w:tc>
          <w:tcPr>
            <w:tcW w:w="1408" w:type="dxa"/>
            <w:gridSpan w:val="2"/>
            <w:noWrap/>
            <w:vAlign w:val="center"/>
          </w:tcPr>
          <w:p w14:paraId="62E41F0F">
            <w:pPr>
              <w:spacing w:line="240" w:lineRule="atLeast"/>
              <w:ind w:firstLine="0" w:firstLineChars="0"/>
              <w:jc w:val="center"/>
              <w:rPr>
                <w:b/>
                <w:bCs/>
                <w:color w:val="000000" w:themeColor="text1"/>
                <w:kern w:val="0"/>
                <w:sz w:val="21"/>
                <w:szCs w:val="21"/>
                <w14:textFill>
                  <w14:solidFill>
                    <w14:schemeClr w14:val="tx1"/>
                  </w14:solidFill>
                </w14:textFill>
              </w:rPr>
            </w:pPr>
            <w:r>
              <w:rPr>
                <w:b/>
                <w:bCs/>
                <w:color w:val="000000" w:themeColor="text1"/>
                <w:sz w:val="21"/>
                <w:szCs w:val="21"/>
                <w14:textFill>
                  <w14:solidFill>
                    <w14:schemeClr w14:val="tx1"/>
                  </w14:solidFill>
                </w14:textFill>
              </w:rPr>
              <w:t>大气毒性终点浓度-</w:t>
            </w:r>
            <w:r>
              <w:rPr>
                <w:rFonts w:hint="eastAsia"/>
                <w:b/>
                <w:bCs/>
                <w:color w:val="000000" w:themeColor="text1"/>
                <w:sz w:val="21"/>
                <w:szCs w:val="21"/>
                <w14:textFill>
                  <w14:solidFill>
                    <w14:schemeClr w14:val="tx1"/>
                  </w14:solidFill>
                </w14:textFill>
              </w:rPr>
              <w:t>2</w:t>
            </w:r>
          </w:p>
        </w:tc>
      </w:tr>
      <w:tr w14:paraId="1F0155D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504" w:hRule="atLeast"/>
          <w:jc w:val="center"/>
        </w:trPr>
        <w:tc>
          <w:tcPr>
            <w:tcW w:w="325" w:type="dxa"/>
            <w:vMerge w:val="continue"/>
            <w:noWrap/>
            <w:vAlign w:val="center"/>
          </w:tcPr>
          <w:p w14:paraId="793832E2">
            <w:pPr>
              <w:spacing w:line="240" w:lineRule="atLeast"/>
              <w:ind w:firstLine="0" w:firstLineChars="0"/>
              <w:jc w:val="center"/>
              <w:rPr>
                <w:b/>
                <w:bCs/>
                <w:color w:val="000000" w:themeColor="text1"/>
                <w:sz w:val="21"/>
                <w:szCs w:val="21"/>
                <w14:textFill>
                  <w14:solidFill>
                    <w14:schemeClr w14:val="tx1"/>
                  </w14:solidFill>
                </w14:textFill>
              </w:rPr>
            </w:pPr>
          </w:p>
        </w:tc>
        <w:tc>
          <w:tcPr>
            <w:tcW w:w="1132" w:type="dxa"/>
            <w:vMerge w:val="continue"/>
            <w:noWrap/>
            <w:vAlign w:val="center"/>
          </w:tcPr>
          <w:p w14:paraId="0893F3F4">
            <w:pPr>
              <w:spacing w:line="240" w:lineRule="atLeast"/>
              <w:ind w:firstLine="0" w:firstLineChars="0"/>
              <w:jc w:val="center"/>
              <w:rPr>
                <w:b/>
                <w:bCs/>
                <w:color w:val="000000" w:themeColor="text1"/>
                <w:sz w:val="21"/>
                <w:szCs w:val="21"/>
                <w14:textFill>
                  <w14:solidFill>
                    <w14:schemeClr w14:val="tx1"/>
                  </w14:solidFill>
                </w14:textFill>
              </w:rPr>
            </w:pPr>
          </w:p>
        </w:tc>
        <w:tc>
          <w:tcPr>
            <w:tcW w:w="718" w:type="dxa"/>
            <w:vMerge w:val="continue"/>
            <w:noWrap/>
            <w:vAlign w:val="center"/>
          </w:tcPr>
          <w:p w14:paraId="692A19F9">
            <w:pPr>
              <w:spacing w:line="240" w:lineRule="atLeast"/>
              <w:ind w:firstLine="0" w:firstLineChars="0"/>
              <w:jc w:val="center"/>
              <w:rPr>
                <w:b/>
                <w:bCs/>
                <w:color w:val="000000" w:themeColor="text1"/>
                <w:sz w:val="21"/>
                <w:szCs w:val="21"/>
                <w14:textFill>
                  <w14:solidFill>
                    <w14:schemeClr w14:val="tx1"/>
                  </w14:solidFill>
                </w14:textFill>
              </w:rPr>
            </w:pPr>
          </w:p>
        </w:tc>
        <w:tc>
          <w:tcPr>
            <w:tcW w:w="817" w:type="dxa"/>
            <w:vMerge w:val="continue"/>
            <w:noWrap/>
            <w:vAlign w:val="center"/>
          </w:tcPr>
          <w:p w14:paraId="68FDFFDD">
            <w:pPr>
              <w:spacing w:line="240" w:lineRule="atLeast"/>
              <w:ind w:firstLine="0" w:firstLineChars="0"/>
              <w:jc w:val="center"/>
              <w:rPr>
                <w:b/>
                <w:bCs/>
                <w:color w:val="000000" w:themeColor="text1"/>
                <w:sz w:val="21"/>
                <w:szCs w:val="21"/>
                <w14:textFill>
                  <w14:solidFill>
                    <w14:schemeClr w14:val="tx1"/>
                  </w14:solidFill>
                </w14:textFill>
              </w:rPr>
            </w:pPr>
          </w:p>
        </w:tc>
        <w:tc>
          <w:tcPr>
            <w:tcW w:w="539" w:type="dxa"/>
            <w:vMerge w:val="continue"/>
            <w:noWrap/>
            <w:vAlign w:val="center"/>
          </w:tcPr>
          <w:p w14:paraId="3E617178">
            <w:pPr>
              <w:spacing w:line="240" w:lineRule="atLeast"/>
              <w:ind w:firstLine="0" w:firstLineChars="0"/>
              <w:jc w:val="center"/>
              <w:rPr>
                <w:b/>
                <w:bCs/>
                <w:color w:val="000000" w:themeColor="text1"/>
                <w:sz w:val="21"/>
                <w:szCs w:val="21"/>
                <w14:textFill>
                  <w14:solidFill>
                    <w14:schemeClr w14:val="tx1"/>
                  </w14:solidFill>
                </w14:textFill>
              </w:rPr>
            </w:pPr>
          </w:p>
        </w:tc>
        <w:tc>
          <w:tcPr>
            <w:tcW w:w="599" w:type="dxa"/>
            <w:vMerge w:val="continue"/>
            <w:noWrap/>
            <w:vAlign w:val="center"/>
          </w:tcPr>
          <w:p w14:paraId="10DC7562">
            <w:pPr>
              <w:spacing w:line="240" w:lineRule="atLeast"/>
              <w:ind w:firstLine="0" w:firstLineChars="0"/>
              <w:jc w:val="center"/>
              <w:rPr>
                <w:b/>
                <w:bCs/>
                <w:color w:val="000000" w:themeColor="text1"/>
                <w:sz w:val="21"/>
                <w:szCs w:val="21"/>
                <w14:textFill>
                  <w14:solidFill>
                    <w14:schemeClr w14:val="tx1"/>
                  </w14:solidFill>
                </w14:textFill>
              </w:rPr>
            </w:pPr>
          </w:p>
        </w:tc>
        <w:tc>
          <w:tcPr>
            <w:tcW w:w="595" w:type="dxa"/>
            <w:vMerge w:val="continue"/>
            <w:noWrap/>
            <w:vAlign w:val="center"/>
          </w:tcPr>
          <w:p w14:paraId="36A8ABAB">
            <w:pPr>
              <w:spacing w:line="240" w:lineRule="atLeast"/>
              <w:ind w:firstLine="0" w:firstLineChars="0"/>
              <w:jc w:val="center"/>
              <w:rPr>
                <w:b/>
                <w:bCs/>
                <w:color w:val="000000" w:themeColor="text1"/>
                <w:sz w:val="21"/>
                <w:szCs w:val="21"/>
                <w14:textFill>
                  <w14:solidFill>
                    <w14:schemeClr w14:val="tx1"/>
                  </w14:solidFill>
                </w14:textFill>
              </w:rPr>
            </w:pPr>
          </w:p>
        </w:tc>
        <w:tc>
          <w:tcPr>
            <w:tcW w:w="606" w:type="dxa"/>
            <w:vMerge w:val="continue"/>
            <w:noWrap/>
            <w:vAlign w:val="center"/>
          </w:tcPr>
          <w:p w14:paraId="48F346E2">
            <w:pPr>
              <w:spacing w:line="240" w:lineRule="atLeast"/>
              <w:ind w:firstLine="0" w:firstLineChars="0"/>
              <w:jc w:val="center"/>
              <w:rPr>
                <w:b/>
                <w:bCs/>
                <w:color w:val="000000" w:themeColor="text1"/>
                <w:sz w:val="21"/>
                <w:szCs w:val="21"/>
                <w14:textFill>
                  <w14:solidFill>
                    <w14:schemeClr w14:val="tx1"/>
                  </w14:solidFill>
                </w14:textFill>
              </w:rPr>
            </w:pPr>
          </w:p>
        </w:tc>
        <w:tc>
          <w:tcPr>
            <w:tcW w:w="674" w:type="dxa"/>
            <w:vMerge w:val="continue"/>
            <w:noWrap/>
            <w:vAlign w:val="center"/>
          </w:tcPr>
          <w:p w14:paraId="7257142B">
            <w:pPr>
              <w:spacing w:line="240" w:lineRule="atLeast"/>
              <w:ind w:firstLine="0" w:firstLineChars="0"/>
              <w:jc w:val="center"/>
              <w:rPr>
                <w:b/>
                <w:bCs/>
                <w:color w:val="000000" w:themeColor="text1"/>
                <w:sz w:val="21"/>
                <w:szCs w:val="21"/>
                <w14:textFill>
                  <w14:solidFill>
                    <w14:schemeClr w14:val="tx1"/>
                  </w14:solidFill>
                </w14:textFill>
              </w:rPr>
            </w:pPr>
          </w:p>
        </w:tc>
        <w:tc>
          <w:tcPr>
            <w:tcW w:w="616" w:type="dxa"/>
            <w:vMerge w:val="continue"/>
            <w:noWrap/>
            <w:vAlign w:val="center"/>
          </w:tcPr>
          <w:p w14:paraId="27CECA9C">
            <w:pPr>
              <w:spacing w:line="240" w:lineRule="atLeast"/>
              <w:ind w:firstLine="0" w:firstLineChars="0"/>
              <w:jc w:val="center"/>
              <w:rPr>
                <w:b/>
                <w:bCs/>
                <w:color w:val="000000" w:themeColor="text1"/>
                <w:sz w:val="21"/>
                <w:szCs w:val="21"/>
                <w14:textFill>
                  <w14:solidFill>
                    <w14:schemeClr w14:val="tx1"/>
                  </w14:solidFill>
                </w14:textFill>
              </w:rPr>
            </w:pPr>
          </w:p>
        </w:tc>
        <w:tc>
          <w:tcPr>
            <w:tcW w:w="657" w:type="dxa"/>
            <w:noWrap/>
            <w:vAlign w:val="center"/>
          </w:tcPr>
          <w:p w14:paraId="7ABB763B">
            <w:pPr>
              <w:spacing w:line="240" w:lineRule="exact"/>
              <w:ind w:firstLine="0" w:firstLineChars="0"/>
              <w:jc w:val="center"/>
              <w:rPr>
                <w:b/>
                <w:bCs/>
                <w:color w:val="000000" w:themeColor="text1"/>
                <w:kern w:val="0"/>
                <w:sz w:val="21"/>
                <w:szCs w:val="21"/>
                <w14:textFill>
                  <w14:solidFill>
                    <w14:schemeClr w14:val="tx1"/>
                  </w14:solidFill>
                </w14:textFill>
              </w:rPr>
            </w:pPr>
            <w:r>
              <w:rPr>
                <w:rFonts w:hint="eastAsia"/>
                <w:b/>
                <w:bCs/>
                <w:color w:val="000000" w:themeColor="text1"/>
                <w:kern w:val="0"/>
                <w:sz w:val="21"/>
                <w:szCs w:val="21"/>
                <w14:textFill>
                  <w14:solidFill>
                    <w14:schemeClr w14:val="tx1"/>
                  </w14:solidFill>
                </w14:textFill>
              </w:rPr>
              <w:t>超标时间min</w:t>
            </w:r>
          </w:p>
        </w:tc>
        <w:tc>
          <w:tcPr>
            <w:tcW w:w="806" w:type="dxa"/>
            <w:noWrap/>
            <w:vAlign w:val="center"/>
          </w:tcPr>
          <w:p w14:paraId="54EEA7EF">
            <w:pPr>
              <w:spacing w:line="240" w:lineRule="exact"/>
              <w:ind w:firstLine="0" w:firstLineChars="0"/>
              <w:jc w:val="center"/>
              <w:rPr>
                <w:b/>
                <w:bCs/>
                <w:color w:val="000000" w:themeColor="text1"/>
                <w:kern w:val="0"/>
                <w:sz w:val="21"/>
                <w:szCs w:val="21"/>
                <w14:textFill>
                  <w14:solidFill>
                    <w14:schemeClr w14:val="tx1"/>
                  </w14:solidFill>
                </w14:textFill>
              </w:rPr>
            </w:pPr>
            <w:r>
              <w:rPr>
                <w:rFonts w:hint="eastAsia"/>
                <w:b/>
                <w:bCs/>
                <w:color w:val="000000" w:themeColor="text1"/>
                <w:kern w:val="0"/>
                <w:sz w:val="21"/>
                <w:szCs w:val="21"/>
                <w14:textFill>
                  <w14:solidFill>
                    <w14:schemeClr w14:val="tx1"/>
                  </w14:solidFill>
                </w14:textFill>
              </w:rPr>
              <w:t>超标持续时间min</w:t>
            </w:r>
          </w:p>
        </w:tc>
        <w:tc>
          <w:tcPr>
            <w:tcW w:w="629" w:type="dxa"/>
            <w:noWrap/>
            <w:vAlign w:val="center"/>
          </w:tcPr>
          <w:p w14:paraId="3FC45CA9">
            <w:pPr>
              <w:spacing w:line="240" w:lineRule="exact"/>
              <w:ind w:firstLine="0" w:firstLineChars="0"/>
              <w:jc w:val="center"/>
              <w:rPr>
                <w:b/>
                <w:bCs/>
                <w:color w:val="000000" w:themeColor="text1"/>
                <w:kern w:val="0"/>
                <w:sz w:val="21"/>
                <w:szCs w:val="21"/>
                <w14:textFill>
                  <w14:solidFill>
                    <w14:schemeClr w14:val="tx1"/>
                  </w14:solidFill>
                </w14:textFill>
              </w:rPr>
            </w:pPr>
            <w:r>
              <w:rPr>
                <w:rFonts w:hint="eastAsia"/>
                <w:b/>
                <w:bCs/>
                <w:color w:val="000000" w:themeColor="text1"/>
                <w:kern w:val="0"/>
                <w:sz w:val="21"/>
                <w:szCs w:val="21"/>
                <w14:textFill>
                  <w14:solidFill>
                    <w14:schemeClr w14:val="tx1"/>
                  </w14:solidFill>
                </w14:textFill>
              </w:rPr>
              <w:t>超标时间min</w:t>
            </w:r>
          </w:p>
        </w:tc>
        <w:tc>
          <w:tcPr>
            <w:tcW w:w="779" w:type="dxa"/>
            <w:noWrap/>
            <w:vAlign w:val="center"/>
          </w:tcPr>
          <w:p w14:paraId="589CE266">
            <w:pPr>
              <w:spacing w:line="240" w:lineRule="exact"/>
              <w:ind w:firstLine="0" w:firstLineChars="0"/>
              <w:jc w:val="center"/>
              <w:rPr>
                <w:b/>
                <w:bCs/>
                <w:color w:val="000000" w:themeColor="text1"/>
                <w:kern w:val="0"/>
                <w:sz w:val="21"/>
                <w:szCs w:val="21"/>
                <w14:textFill>
                  <w14:solidFill>
                    <w14:schemeClr w14:val="tx1"/>
                  </w14:solidFill>
                </w14:textFill>
              </w:rPr>
            </w:pPr>
            <w:r>
              <w:rPr>
                <w:rFonts w:hint="eastAsia"/>
                <w:b/>
                <w:bCs/>
                <w:color w:val="000000" w:themeColor="text1"/>
                <w:kern w:val="0"/>
                <w:sz w:val="21"/>
                <w:szCs w:val="21"/>
                <w14:textFill>
                  <w14:solidFill>
                    <w14:schemeClr w14:val="tx1"/>
                  </w14:solidFill>
                </w14:textFill>
              </w:rPr>
              <w:t>超标持续时间min</w:t>
            </w:r>
          </w:p>
        </w:tc>
      </w:tr>
      <w:tr w14:paraId="558B8EB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25" w:type="dxa"/>
            <w:noWrap/>
            <w:vAlign w:val="center"/>
          </w:tcPr>
          <w:p w14:paraId="17DCCFF6">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rFonts w:hint="eastAsia" w:cs="宋体"/>
                <w:color w:val="000000" w:themeColor="text1"/>
                <w:kern w:val="0"/>
                <w:sz w:val="21"/>
                <w:szCs w:val="21"/>
                <w:lang w:bidi="ar"/>
                <w14:textFill>
                  <w14:solidFill>
                    <w14:schemeClr w14:val="tx1"/>
                  </w14:solidFill>
                </w14:textFill>
              </w:rPr>
              <w:t>1</w:t>
            </w:r>
          </w:p>
        </w:tc>
        <w:tc>
          <w:tcPr>
            <w:tcW w:w="1132" w:type="dxa"/>
            <w:noWrap/>
            <w:vAlign w:val="center"/>
          </w:tcPr>
          <w:p w14:paraId="151C6CD9">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color w:val="000000" w:themeColor="text1"/>
                <w:sz w:val="21"/>
                <w:szCs w:val="21"/>
                <w14:textFill>
                  <w14:solidFill>
                    <w14:schemeClr w14:val="tx1"/>
                  </w14:solidFill>
                </w14:textFill>
              </w:rPr>
              <w:t>淡水湾</w:t>
            </w:r>
          </w:p>
        </w:tc>
        <w:tc>
          <w:tcPr>
            <w:tcW w:w="718" w:type="dxa"/>
            <w:noWrap/>
            <w:vAlign w:val="center"/>
          </w:tcPr>
          <w:p w14:paraId="5EC0EECB">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color w:val="000000" w:themeColor="text1"/>
                <w:sz w:val="21"/>
                <w:szCs w:val="21"/>
                <w14:textFill>
                  <w14:solidFill>
                    <w14:schemeClr w14:val="tx1"/>
                  </w14:solidFill>
                </w14:textFill>
              </w:rPr>
              <w:t>1.98</w:t>
            </w:r>
          </w:p>
        </w:tc>
        <w:tc>
          <w:tcPr>
            <w:tcW w:w="817" w:type="dxa"/>
            <w:noWrap/>
            <w:vAlign w:val="center"/>
          </w:tcPr>
          <w:p w14:paraId="4986B5AB">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39" w:type="dxa"/>
            <w:noWrap/>
            <w:vAlign w:val="center"/>
          </w:tcPr>
          <w:p w14:paraId="09EB18EF">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99" w:type="dxa"/>
            <w:noWrap/>
            <w:vAlign w:val="center"/>
          </w:tcPr>
          <w:p w14:paraId="19422168">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95" w:type="dxa"/>
            <w:noWrap/>
            <w:vAlign w:val="center"/>
          </w:tcPr>
          <w:p w14:paraId="30E3489E">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06" w:type="dxa"/>
            <w:noWrap/>
            <w:vAlign w:val="center"/>
          </w:tcPr>
          <w:p w14:paraId="05EA110F">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74" w:type="dxa"/>
            <w:noWrap/>
            <w:vAlign w:val="center"/>
          </w:tcPr>
          <w:p w14:paraId="6D1D1FB9">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16" w:type="dxa"/>
            <w:noWrap/>
            <w:vAlign w:val="center"/>
          </w:tcPr>
          <w:p w14:paraId="5E4E1F7D">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57" w:type="dxa"/>
            <w:noWrap/>
            <w:vAlign w:val="center"/>
          </w:tcPr>
          <w:p w14:paraId="43D62E0F">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806" w:type="dxa"/>
            <w:noWrap/>
            <w:vAlign w:val="center"/>
          </w:tcPr>
          <w:p w14:paraId="79580D53">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29" w:type="dxa"/>
            <w:noWrap/>
            <w:vAlign w:val="center"/>
          </w:tcPr>
          <w:p w14:paraId="65B34C14">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779" w:type="dxa"/>
            <w:noWrap/>
            <w:vAlign w:val="center"/>
          </w:tcPr>
          <w:p w14:paraId="3D9B5CDB">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r>
      <w:tr w14:paraId="19AF2D4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25" w:type="dxa"/>
            <w:noWrap/>
            <w:vAlign w:val="center"/>
          </w:tcPr>
          <w:p w14:paraId="150C9297">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rFonts w:hint="eastAsia" w:cs="宋体"/>
                <w:color w:val="000000" w:themeColor="text1"/>
                <w:kern w:val="0"/>
                <w:sz w:val="21"/>
                <w:szCs w:val="21"/>
                <w:lang w:bidi="ar"/>
                <w14:textFill>
                  <w14:solidFill>
                    <w14:schemeClr w14:val="tx1"/>
                  </w14:solidFill>
                </w14:textFill>
              </w:rPr>
              <w:t>2</w:t>
            </w:r>
          </w:p>
        </w:tc>
        <w:tc>
          <w:tcPr>
            <w:tcW w:w="1132" w:type="dxa"/>
            <w:noWrap/>
            <w:vAlign w:val="center"/>
          </w:tcPr>
          <w:p w14:paraId="2B5913D7">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color w:val="000000" w:themeColor="text1"/>
                <w:sz w:val="21"/>
                <w:szCs w:val="21"/>
                <w14:textFill>
                  <w14:solidFill>
                    <w14:schemeClr w14:val="tx1"/>
                  </w14:solidFill>
                </w14:textFill>
              </w:rPr>
              <w:t>果子山村</w:t>
            </w:r>
          </w:p>
        </w:tc>
        <w:tc>
          <w:tcPr>
            <w:tcW w:w="718" w:type="dxa"/>
            <w:noWrap/>
            <w:vAlign w:val="center"/>
          </w:tcPr>
          <w:p w14:paraId="21BFAE61">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color w:val="000000" w:themeColor="text1"/>
                <w:sz w:val="21"/>
                <w:szCs w:val="21"/>
                <w14:textFill>
                  <w14:solidFill>
                    <w14:schemeClr w14:val="tx1"/>
                  </w14:solidFill>
                </w14:textFill>
              </w:rPr>
              <w:t>3.27</w:t>
            </w:r>
          </w:p>
        </w:tc>
        <w:tc>
          <w:tcPr>
            <w:tcW w:w="817" w:type="dxa"/>
            <w:noWrap/>
            <w:vAlign w:val="center"/>
          </w:tcPr>
          <w:p w14:paraId="32EAFC81">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39" w:type="dxa"/>
            <w:noWrap/>
            <w:vAlign w:val="center"/>
          </w:tcPr>
          <w:p w14:paraId="67DC38B3">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99" w:type="dxa"/>
            <w:noWrap/>
            <w:vAlign w:val="center"/>
          </w:tcPr>
          <w:p w14:paraId="430F5667">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95" w:type="dxa"/>
            <w:noWrap/>
            <w:vAlign w:val="center"/>
          </w:tcPr>
          <w:p w14:paraId="5A620E68">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06" w:type="dxa"/>
            <w:noWrap/>
            <w:vAlign w:val="center"/>
          </w:tcPr>
          <w:p w14:paraId="78244BE3">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74" w:type="dxa"/>
            <w:noWrap/>
            <w:vAlign w:val="center"/>
          </w:tcPr>
          <w:p w14:paraId="71301ECE">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16" w:type="dxa"/>
            <w:noWrap/>
            <w:vAlign w:val="center"/>
          </w:tcPr>
          <w:p w14:paraId="066DC9F3">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57" w:type="dxa"/>
            <w:noWrap/>
            <w:vAlign w:val="center"/>
          </w:tcPr>
          <w:p w14:paraId="0B40D379">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806" w:type="dxa"/>
            <w:noWrap/>
            <w:vAlign w:val="center"/>
          </w:tcPr>
          <w:p w14:paraId="4E72203A">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29" w:type="dxa"/>
            <w:noWrap/>
            <w:vAlign w:val="center"/>
          </w:tcPr>
          <w:p w14:paraId="414B8668">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779" w:type="dxa"/>
            <w:noWrap/>
            <w:vAlign w:val="center"/>
          </w:tcPr>
          <w:p w14:paraId="658F2031">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r>
      <w:tr w14:paraId="24BB019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25" w:type="dxa"/>
            <w:noWrap/>
            <w:vAlign w:val="center"/>
          </w:tcPr>
          <w:p w14:paraId="587D3988">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rFonts w:hint="eastAsia" w:cs="宋体"/>
                <w:color w:val="000000" w:themeColor="text1"/>
                <w:kern w:val="0"/>
                <w:sz w:val="21"/>
                <w:szCs w:val="21"/>
                <w:lang w:bidi="ar"/>
                <w14:textFill>
                  <w14:solidFill>
                    <w14:schemeClr w14:val="tx1"/>
                  </w14:solidFill>
                </w14:textFill>
              </w:rPr>
              <w:t>3</w:t>
            </w:r>
          </w:p>
        </w:tc>
        <w:tc>
          <w:tcPr>
            <w:tcW w:w="1132" w:type="dxa"/>
            <w:noWrap/>
            <w:vAlign w:val="center"/>
          </w:tcPr>
          <w:p w14:paraId="73FF199D">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color w:val="000000" w:themeColor="text1"/>
                <w:sz w:val="21"/>
                <w:szCs w:val="21"/>
                <w14:textFill>
                  <w14:solidFill>
                    <w14:schemeClr w14:val="tx1"/>
                  </w14:solidFill>
                </w14:textFill>
              </w:rPr>
              <w:t>厚福沙村</w:t>
            </w:r>
          </w:p>
        </w:tc>
        <w:tc>
          <w:tcPr>
            <w:tcW w:w="718" w:type="dxa"/>
            <w:noWrap/>
            <w:vAlign w:val="center"/>
          </w:tcPr>
          <w:p w14:paraId="2F3908EF">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color w:val="000000" w:themeColor="text1"/>
                <w:sz w:val="21"/>
                <w:szCs w:val="21"/>
                <w14:textFill>
                  <w14:solidFill>
                    <w14:schemeClr w14:val="tx1"/>
                  </w14:solidFill>
                </w14:textFill>
              </w:rPr>
              <w:t>2.64</w:t>
            </w:r>
          </w:p>
        </w:tc>
        <w:tc>
          <w:tcPr>
            <w:tcW w:w="817" w:type="dxa"/>
            <w:noWrap/>
            <w:vAlign w:val="center"/>
          </w:tcPr>
          <w:p w14:paraId="03E0A77C">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39" w:type="dxa"/>
            <w:noWrap/>
            <w:vAlign w:val="center"/>
          </w:tcPr>
          <w:p w14:paraId="7684AB31">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99" w:type="dxa"/>
            <w:noWrap/>
            <w:vAlign w:val="center"/>
          </w:tcPr>
          <w:p w14:paraId="5621C8A7">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95" w:type="dxa"/>
            <w:noWrap/>
            <w:vAlign w:val="center"/>
          </w:tcPr>
          <w:p w14:paraId="13772C4C">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06" w:type="dxa"/>
            <w:noWrap/>
            <w:vAlign w:val="center"/>
          </w:tcPr>
          <w:p w14:paraId="0107D83C">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74" w:type="dxa"/>
            <w:noWrap/>
            <w:vAlign w:val="center"/>
          </w:tcPr>
          <w:p w14:paraId="245D0E57">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16" w:type="dxa"/>
            <w:noWrap/>
            <w:vAlign w:val="center"/>
          </w:tcPr>
          <w:p w14:paraId="6131F58A">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57" w:type="dxa"/>
            <w:noWrap/>
            <w:vAlign w:val="center"/>
          </w:tcPr>
          <w:p w14:paraId="19C94293">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806" w:type="dxa"/>
            <w:noWrap/>
            <w:vAlign w:val="center"/>
          </w:tcPr>
          <w:p w14:paraId="066ACE94">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29" w:type="dxa"/>
            <w:noWrap/>
            <w:vAlign w:val="center"/>
          </w:tcPr>
          <w:p w14:paraId="2DBC710A">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779" w:type="dxa"/>
            <w:noWrap/>
            <w:vAlign w:val="center"/>
          </w:tcPr>
          <w:p w14:paraId="0C2735F6">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r>
      <w:tr w14:paraId="15B757D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25" w:type="dxa"/>
            <w:noWrap/>
            <w:vAlign w:val="center"/>
          </w:tcPr>
          <w:p w14:paraId="65D92C84">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rFonts w:hint="eastAsia" w:cs="宋体"/>
                <w:color w:val="000000" w:themeColor="text1"/>
                <w:kern w:val="0"/>
                <w:sz w:val="21"/>
                <w:szCs w:val="21"/>
                <w:lang w:bidi="ar"/>
                <w14:textFill>
                  <w14:solidFill>
                    <w14:schemeClr w14:val="tx1"/>
                  </w14:solidFill>
                </w14:textFill>
              </w:rPr>
              <w:t>4</w:t>
            </w:r>
          </w:p>
        </w:tc>
        <w:tc>
          <w:tcPr>
            <w:tcW w:w="1132" w:type="dxa"/>
            <w:noWrap/>
            <w:vAlign w:val="center"/>
          </w:tcPr>
          <w:p w14:paraId="0EC2C8D5">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color w:val="000000" w:themeColor="text1"/>
                <w:sz w:val="21"/>
                <w:szCs w:val="21"/>
                <w14:textFill>
                  <w14:solidFill>
                    <w14:schemeClr w14:val="tx1"/>
                  </w14:solidFill>
                </w14:textFill>
              </w:rPr>
              <w:t>滨海社区</w:t>
            </w:r>
          </w:p>
        </w:tc>
        <w:tc>
          <w:tcPr>
            <w:tcW w:w="718" w:type="dxa"/>
            <w:noWrap/>
            <w:vAlign w:val="center"/>
          </w:tcPr>
          <w:p w14:paraId="70164478">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color w:val="000000" w:themeColor="text1"/>
                <w:sz w:val="21"/>
                <w:szCs w:val="21"/>
                <w14:textFill>
                  <w14:solidFill>
                    <w14:schemeClr w14:val="tx1"/>
                  </w14:solidFill>
                </w14:textFill>
              </w:rPr>
              <w:t>3.38</w:t>
            </w:r>
          </w:p>
        </w:tc>
        <w:tc>
          <w:tcPr>
            <w:tcW w:w="817" w:type="dxa"/>
            <w:noWrap/>
            <w:vAlign w:val="center"/>
          </w:tcPr>
          <w:p w14:paraId="0AC93505">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39" w:type="dxa"/>
            <w:noWrap/>
            <w:vAlign w:val="center"/>
          </w:tcPr>
          <w:p w14:paraId="5575F2E7">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99" w:type="dxa"/>
            <w:noWrap/>
            <w:vAlign w:val="center"/>
          </w:tcPr>
          <w:p w14:paraId="28C9B537">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95" w:type="dxa"/>
            <w:noWrap/>
            <w:vAlign w:val="center"/>
          </w:tcPr>
          <w:p w14:paraId="25C3868B">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06" w:type="dxa"/>
            <w:noWrap/>
            <w:vAlign w:val="center"/>
          </w:tcPr>
          <w:p w14:paraId="6716599F">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74" w:type="dxa"/>
            <w:noWrap/>
            <w:vAlign w:val="center"/>
          </w:tcPr>
          <w:p w14:paraId="2D9F1749">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16" w:type="dxa"/>
            <w:noWrap/>
            <w:vAlign w:val="center"/>
          </w:tcPr>
          <w:p w14:paraId="2D8F20D9">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57" w:type="dxa"/>
            <w:noWrap/>
            <w:vAlign w:val="center"/>
          </w:tcPr>
          <w:p w14:paraId="7B7AFC3B">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806" w:type="dxa"/>
            <w:noWrap/>
            <w:vAlign w:val="center"/>
          </w:tcPr>
          <w:p w14:paraId="2641151A">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29" w:type="dxa"/>
            <w:noWrap/>
            <w:vAlign w:val="center"/>
          </w:tcPr>
          <w:p w14:paraId="1ED0271E">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779" w:type="dxa"/>
            <w:noWrap/>
            <w:vAlign w:val="center"/>
          </w:tcPr>
          <w:p w14:paraId="7AD58340">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r>
      <w:tr w14:paraId="797C966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25" w:type="dxa"/>
            <w:noWrap/>
            <w:vAlign w:val="center"/>
          </w:tcPr>
          <w:p w14:paraId="0BC0567B">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rFonts w:hint="eastAsia" w:cs="宋体"/>
                <w:color w:val="000000" w:themeColor="text1"/>
                <w:kern w:val="0"/>
                <w:sz w:val="21"/>
                <w:szCs w:val="21"/>
                <w:lang w:bidi="ar"/>
                <w14:textFill>
                  <w14:solidFill>
                    <w14:schemeClr w14:val="tx1"/>
                  </w14:solidFill>
                </w14:textFill>
              </w:rPr>
              <w:t>5</w:t>
            </w:r>
          </w:p>
        </w:tc>
        <w:tc>
          <w:tcPr>
            <w:tcW w:w="1132" w:type="dxa"/>
            <w:noWrap/>
            <w:vAlign w:val="center"/>
          </w:tcPr>
          <w:p w14:paraId="33BA40CC">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color w:val="000000" w:themeColor="text1"/>
                <w:sz w:val="21"/>
                <w:szCs w:val="21"/>
                <w14:textFill>
                  <w14:solidFill>
                    <w14:schemeClr w14:val="tx1"/>
                  </w14:solidFill>
                </w14:textFill>
              </w:rPr>
              <w:t>鰮鱼潭</w:t>
            </w:r>
          </w:p>
        </w:tc>
        <w:tc>
          <w:tcPr>
            <w:tcW w:w="718" w:type="dxa"/>
            <w:noWrap/>
            <w:vAlign w:val="center"/>
          </w:tcPr>
          <w:p w14:paraId="476CD245">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color w:val="000000" w:themeColor="text1"/>
                <w:sz w:val="21"/>
                <w:szCs w:val="21"/>
                <w14:textFill>
                  <w14:solidFill>
                    <w14:schemeClr w14:val="tx1"/>
                  </w14:solidFill>
                </w14:textFill>
              </w:rPr>
              <w:t>2.90</w:t>
            </w:r>
          </w:p>
        </w:tc>
        <w:tc>
          <w:tcPr>
            <w:tcW w:w="817" w:type="dxa"/>
            <w:noWrap/>
            <w:vAlign w:val="center"/>
          </w:tcPr>
          <w:p w14:paraId="57216A29">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39" w:type="dxa"/>
            <w:noWrap/>
            <w:vAlign w:val="center"/>
          </w:tcPr>
          <w:p w14:paraId="0C53CC00">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99" w:type="dxa"/>
            <w:noWrap/>
            <w:vAlign w:val="center"/>
          </w:tcPr>
          <w:p w14:paraId="36580442">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95" w:type="dxa"/>
            <w:noWrap/>
            <w:vAlign w:val="center"/>
          </w:tcPr>
          <w:p w14:paraId="789A3948">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06" w:type="dxa"/>
            <w:noWrap/>
            <w:vAlign w:val="center"/>
          </w:tcPr>
          <w:p w14:paraId="63AEB4B7">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74" w:type="dxa"/>
            <w:noWrap/>
            <w:vAlign w:val="center"/>
          </w:tcPr>
          <w:p w14:paraId="4DC665E4">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16" w:type="dxa"/>
            <w:noWrap/>
            <w:vAlign w:val="center"/>
          </w:tcPr>
          <w:p w14:paraId="3F26DFD7">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57" w:type="dxa"/>
            <w:noWrap/>
            <w:vAlign w:val="center"/>
          </w:tcPr>
          <w:p w14:paraId="0BFA95B1">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806" w:type="dxa"/>
            <w:noWrap/>
            <w:vAlign w:val="center"/>
          </w:tcPr>
          <w:p w14:paraId="30C32D8F">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29" w:type="dxa"/>
            <w:noWrap/>
            <w:vAlign w:val="center"/>
          </w:tcPr>
          <w:p w14:paraId="29F150BF">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779" w:type="dxa"/>
            <w:noWrap/>
            <w:vAlign w:val="center"/>
          </w:tcPr>
          <w:p w14:paraId="3318AD0D">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r>
      <w:tr w14:paraId="21DD982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25" w:type="dxa"/>
            <w:noWrap/>
            <w:vAlign w:val="center"/>
          </w:tcPr>
          <w:p w14:paraId="43C8EEF5">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rFonts w:hint="eastAsia" w:cs="宋体"/>
                <w:color w:val="000000" w:themeColor="text1"/>
                <w:kern w:val="0"/>
                <w:sz w:val="21"/>
                <w:szCs w:val="21"/>
                <w:lang w:bidi="ar"/>
                <w14:textFill>
                  <w14:solidFill>
                    <w14:schemeClr w14:val="tx1"/>
                  </w14:solidFill>
                </w14:textFill>
              </w:rPr>
              <w:t>6</w:t>
            </w:r>
          </w:p>
        </w:tc>
        <w:tc>
          <w:tcPr>
            <w:tcW w:w="1132" w:type="dxa"/>
            <w:noWrap/>
            <w:vAlign w:val="center"/>
          </w:tcPr>
          <w:p w14:paraId="7793362A">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color w:val="000000" w:themeColor="text1"/>
                <w:sz w:val="21"/>
                <w:szCs w:val="21"/>
                <w14:textFill>
                  <w14:solidFill>
                    <w14:schemeClr w14:val="tx1"/>
                  </w14:solidFill>
                </w14:textFill>
              </w:rPr>
              <w:t>沙岗头</w:t>
            </w:r>
          </w:p>
        </w:tc>
        <w:tc>
          <w:tcPr>
            <w:tcW w:w="718" w:type="dxa"/>
            <w:noWrap/>
            <w:vAlign w:val="center"/>
          </w:tcPr>
          <w:p w14:paraId="1C9DC149">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color w:val="000000" w:themeColor="text1"/>
                <w:sz w:val="21"/>
                <w:szCs w:val="21"/>
                <w14:textFill>
                  <w14:solidFill>
                    <w14:schemeClr w14:val="tx1"/>
                  </w14:solidFill>
                </w14:textFill>
              </w:rPr>
              <w:t>2.51</w:t>
            </w:r>
          </w:p>
        </w:tc>
        <w:tc>
          <w:tcPr>
            <w:tcW w:w="817" w:type="dxa"/>
            <w:noWrap/>
            <w:vAlign w:val="center"/>
          </w:tcPr>
          <w:p w14:paraId="09305F11">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39" w:type="dxa"/>
            <w:noWrap/>
            <w:vAlign w:val="center"/>
          </w:tcPr>
          <w:p w14:paraId="187647B5">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99" w:type="dxa"/>
            <w:noWrap/>
            <w:vAlign w:val="center"/>
          </w:tcPr>
          <w:p w14:paraId="04E0CD64">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95" w:type="dxa"/>
            <w:noWrap/>
            <w:vAlign w:val="center"/>
          </w:tcPr>
          <w:p w14:paraId="3594AF5D">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06" w:type="dxa"/>
            <w:noWrap/>
            <w:vAlign w:val="center"/>
          </w:tcPr>
          <w:p w14:paraId="11F909A9">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74" w:type="dxa"/>
            <w:noWrap/>
            <w:vAlign w:val="center"/>
          </w:tcPr>
          <w:p w14:paraId="2654BF0A">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16" w:type="dxa"/>
            <w:noWrap/>
            <w:vAlign w:val="center"/>
          </w:tcPr>
          <w:p w14:paraId="49FFDD37">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57" w:type="dxa"/>
            <w:noWrap/>
            <w:vAlign w:val="center"/>
          </w:tcPr>
          <w:p w14:paraId="6FA088E0">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806" w:type="dxa"/>
            <w:noWrap/>
            <w:vAlign w:val="center"/>
          </w:tcPr>
          <w:p w14:paraId="089A30DF">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29" w:type="dxa"/>
            <w:noWrap/>
            <w:vAlign w:val="center"/>
          </w:tcPr>
          <w:p w14:paraId="1EE0A7E2">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779" w:type="dxa"/>
            <w:noWrap/>
            <w:vAlign w:val="center"/>
          </w:tcPr>
          <w:p w14:paraId="239F4D16">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r>
      <w:tr w14:paraId="14FA842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25" w:type="dxa"/>
            <w:noWrap/>
            <w:vAlign w:val="center"/>
          </w:tcPr>
          <w:p w14:paraId="26AAB06C">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rFonts w:hint="eastAsia" w:cs="宋体"/>
                <w:color w:val="000000" w:themeColor="text1"/>
                <w:kern w:val="0"/>
                <w:sz w:val="21"/>
                <w:szCs w:val="21"/>
                <w:lang w:bidi="ar"/>
                <w14:textFill>
                  <w14:solidFill>
                    <w14:schemeClr w14:val="tx1"/>
                  </w14:solidFill>
                </w14:textFill>
              </w:rPr>
              <w:t>7</w:t>
            </w:r>
          </w:p>
        </w:tc>
        <w:tc>
          <w:tcPr>
            <w:tcW w:w="1132" w:type="dxa"/>
            <w:noWrap/>
            <w:vAlign w:val="center"/>
          </w:tcPr>
          <w:p w14:paraId="5FBC3AD6">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color w:val="000000" w:themeColor="text1"/>
                <w:sz w:val="21"/>
                <w:szCs w:val="21"/>
                <w14:textFill>
                  <w14:solidFill>
                    <w14:schemeClr w14:val="tx1"/>
                  </w14:solidFill>
                </w14:textFill>
              </w:rPr>
              <w:t>旧村</w:t>
            </w:r>
          </w:p>
        </w:tc>
        <w:tc>
          <w:tcPr>
            <w:tcW w:w="718" w:type="dxa"/>
            <w:noWrap/>
            <w:vAlign w:val="center"/>
          </w:tcPr>
          <w:p w14:paraId="48BEA706">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color w:val="000000" w:themeColor="text1"/>
                <w:sz w:val="21"/>
                <w:szCs w:val="21"/>
                <w14:textFill>
                  <w14:solidFill>
                    <w14:schemeClr w14:val="tx1"/>
                  </w14:solidFill>
                </w14:textFill>
              </w:rPr>
              <w:t>2.59</w:t>
            </w:r>
          </w:p>
        </w:tc>
        <w:tc>
          <w:tcPr>
            <w:tcW w:w="817" w:type="dxa"/>
            <w:noWrap/>
            <w:vAlign w:val="center"/>
          </w:tcPr>
          <w:p w14:paraId="72FEB1B6">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39" w:type="dxa"/>
            <w:noWrap/>
            <w:vAlign w:val="center"/>
          </w:tcPr>
          <w:p w14:paraId="27F08935">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99" w:type="dxa"/>
            <w:noWrap/>
            <w:vAlign w:val="center"/>
          </w:tcPr>
          <w:p w14:paraId="58E494FE">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95" w:type="dxa"/>
            <w:noWrap/>
            <w:vAlign w:val="center"/>
          </w:tcPr>
          <w:p w14:paraId="739D160D">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06" w:type="dxa"/>
            <w:noWrap/>
            <w:vAlign w:val="center"/>
          </w:tcPr>
          <w:p w14:paraId="0042D375">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74" w:type="dxa"/>
            <w:noWrap/>
            <w:vAlign w:val="center"/>
          </w:tcPr>
          <w:p w14:paraId="164B5E25">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16" w:type="dxa"/>
            <w:noWrap/>
            <w:vAlign w:val="center"/>
          </w:tcPr>
          <w:p w14:paraId="0CA2196E">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57" w:type="dxa"/>
            <w:noWrap/>
            <w:vAlign w:val="center"/>
          </w:tcPr>
          <w:p w14:paraId="12DCF791">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806" w:type="dxa"/>
            <w:noWrap/>
            <w:vAlign w:val="center"/>
          </w:tcPr>
          <w:p w14:paraId="5FECF993">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29" w:type="dxa"/>
            <w:noWrap/>
            <w:vAlign w:val="center"/>
          </w:tcPr>
          <w:p w14:paraId="42153540">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779" w:type="dxa"/>
            <w:noWrap/>
            <w:vAlign w:val="center"/>
          </w:tcPr>
          <w:p w14:paraId="3D0E35C7">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r>
      <w:tr w14:paraId="4AEB79E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25" w:type="dxa"/>
            <w:noWrap/>
            <w:vAlign w:val="center"/>
          </w:tcPr>
          <w:p w14:paraId="43B1C457">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rFonts w:hint="eastAsia" w:cs="宋体"/>
                <w:color w:val="000000" w:themeColor="text1"/>
                <w:kern w:val="0"/>
                <w:sz w:val="21"/>
                <w:szCs w:val="21"/>
                <w:lang w:bidi="ar"/>
                <w14:textFill>
                  <w14:solidFill>
                    <w14:schemeClr w14:val="tx1"/>
                  </w14:solidFill>
                </w14:textFill>
              </w:rPr>
              <w:t>8</w:t>
            </w:r>
          </w:p>
        </w:tc>
        <w:tc>
          <w:tcPr>
            <w:tcW w:w="1132" w:type="dxa"/>
            <w:noWrap/>
            <w:vAlign w:val="center"/>
          </w:tcPr>
          <w:p w14:paraId="36D89DAD">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color w:val="000000" w:themeColor="text1"/>
                <w:sz w:val="21"/>
                <w:szCs w:val="21"/>
                <w14:textFill>
                  <w14:solidFill>
                    <w14:schemeClr w14:val="tx1"/>
                  </w14:solidFill>
                </w14:textFill>
              </w:rPr>
              <w:t>金鼓村</w:t>
            </w:r>
          </w:p>
        </w:tc>
        <w:tc>
          <w:tcPr>
            <w:tcW w:w="718" w:type="dxa"/>
            <w:noWrap/>
            <w:vAlign w:val="center"/>
          </w:tcPr>
          <w:p w14:paraId="0DD75754">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color w:val="000000" w:themeColor="text1"/>
                <w:sz w:val="21"/>
                <w:szCs w:val="21"/>
                <w14:textFill>
                  <w14:solidFill>
                    <w14:schemeClr w14:val="tx1"/>
                  </w14:solidFill>
                </w14:textFill>
              </w:rPr>
              <w:t>2.60</w:t>
            </w:r>
          </w:p>
        </w:tc>
        <w:tc>
          <w:tcPr>
            <w:tcW w:w="817" w:type="dxa"/>
            <w:noWrap/>
            <w:vAlign w:val="center"/>
          </w:tcPr>
          <w:p w14:paraId="22607367">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39" w:type="dxa"/>
            <w:noWrap/>
            <w:vAlign w:val="center"/>
          </w:tcPr>
          <w:p w14:paraId="6601DE46">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99" w:type="dxa"/>
            <w:noWrap/>
            <w:vAlign w:val="center"/>
          </w:tcPr>
          <w:p w14:paraId="3CE0F0CE">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95" w:type="dxa"/>
            <w:noWrap/>
            <w:vAlign w:val="center"/>
          </w:tcPr>
          <w:p w14:paraId="521DC785">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06" w:type="dxa"/>
            <w:noWrap/>
            <w:vAlign w:val="center"/>
          </w:tcPr>
          <w:p w14:paraId="538C4891">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74" w:type="dxa"/>
            <w:noWrap/>
            <w:vAlign w:val="center"/>
          </w:tcPr>
          <w:p w14:paraId="5287BE9B">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16" w:type="dxa"/>
            <w:noWrap/>
            <w:vAlign w:val="center"/>
          </w:tcPr>
          <w:p w14:paraId="2F7B000D">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57" w:type="dxa"/>
            <w:noWrap/>
            <w:vAlign w:val="center"/>
          </w:tcPr>
          <w:p w14:paraId="135F43CB">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806" w:type="dxa"/>
            <w:noWrap/>
            <w:vAlign w:val="center"/>
          </w:tcPr>
          <w:p w14:paraId="7CBA6DE2">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29" w:type="dxa"/>
            <w:noWrap/>
            <w:vAlign w:val="center"/>
          </w:tcPr>
          <w:p w14:paraId="158EAC91">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779" w:type="dxa"/>
            <w:noWrap/>
            <w:vAlign w:val="center"/>
          </w:tcPr>
          <w:p w14:paraId="5429EFB7">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r>
      <w:tr w14:paraId="1738B75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25" w:type="dxa"/>
            <w:noWrap/>
            <w:vAlign w:val="center"/>
          </w:tcPr>
          <w:p w14:paraId="55832FD2">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rFonts w:hint="eastAsia" w:cs="宋体"/>
                <w:color w:val="000000" w:themeColor="text1"/>
                <w:kern w:val="0"/>
                <w:sz w:val="21"/>
                <w:szCs w:val="21"/>
                <w:lang w:bidi="ar"/>
                <w14:textFill>
                  <w14:solidFill>
                    <w14:schemeClr w14:val="tx1"/>
                  </w14:solidFill>
                </w14:textFill>
              </w:rPr>
              <w:t>9</w:t>
            </w:r>
          </w:p>
        </w:tc>
        <w:tc>
          <w:tcPr>
            <w:tcW w:w="1132" w:type="dxa"/>
            <w:noWrap/>
            <w:vAlign w:val="center"/>
          </w:tcPr>
          <w:p w14:paraId="18802B31">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color w:val="000000" w:themeColor="text1"/>
                <w:sz w:val="21"/>
                <w:szCs w:val="21"/>
                <w14:textFill>
                  <w14:solidFill>
                    <w14:schemeClr w14:val="tx1"/>
                  </w14:solidFill>
                </w14:textFill>
              </w:rPr>
              <w:t>竹笼</w:t>
            </w:r>
          </w:p>
        </w:tc>
        <w:tc>
          <w:tcPr>
            <w:tcW w:w="718" w:type="dxa"/>
            <w:noWrap/>
            <w:vAlign w:val="center"/>
          </w:tcPr>
          <w:p w14:paraId="566C8E18">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color w:val="000000" w:themeColor="text1"/>
                <w:sz w:val="21"/>
                <w:szCs w:val="21"/>
                <w14:textFill>
                  <w14:solidFill>
                    <w14:schemeClr w14:val="tx1"/>
                  </w14:solidFill>
                </w14:textFill>
              </w:rPr>
              <w:t>2.92</w:t>
            </w:r>
          </w:p>
        </w:tc>
        <w:tc>
          <w:tcPr>
            <w:tcW w:w="817" w:type="dxa"/>
            <w:noWrap/>
            <w:vAlign w:val="center"/>
          </w:tcPr>
          <w:p w14:paraId="7B27EA87">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39" w:type="dxa"/>
            <w:noWrap/>
            <w:vAlign w:val="center"/>
          </w:tcPr>
          <w:p w14:paraId="3AF95092">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99" w:type="dxa"/>
            <w:noWrap/>
            <w:vAlign w:val="center"/>
          </w:tcPr>
          <w:p w14:paraId="5981E458">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95" w:type="dxa"/>
            <w:noWrap/>
            <w:vAlign w:val="center"/>
          </w:tcPr>
          <w:p w14:paraId="4F93EC63">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06" w:type="dxa"/>
            <w:noWrap/>
            <w:vAlign w:val="center"/>
          </w:tcPr>
          <w:p w14:paraId="0BE4934B">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74" w:type="dxa"/>
            <w:noWrap/>
            <w:vAlign w:val="center"/>
          </w:tcPr>
          <w:p w14:paraId="66D2CE36">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16" w:type="dxa"/>
            <w:noWrap/>
            <w:vAlign w:val="center"/>
          </w:tcPr>
          <w:p w14:paraId="29F41AC9">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57" w:type="dxa"/>
            <w:noWrap/>
            <w:vAlign w:val="center"/>
          </w:tcPr>
          <w:p w14:paraId="79F98002">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806" w:type="dxa"/>
            <w:noWrap/>
            <w:vAlign w:val="center"/>
          </w:tcPr>
          <w:p w14:paraId="69E38903">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29" w:type="dxa"/>
            <w:noWrap/>
            <w:vAlign w:val="center"/>
          </w:tcPr>
          <w:p w14:paraId="62ED13DB">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779" w:type="dxa"/>
            <w:noWrap/>
            <w:vAlign w:val="center"/>
          </w:tcPr>
          <w:p w14:paraId="7928E680">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r>
      <w:tr w14:paraId="1BBAD6D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25" w:type="dxa"/>
            <w:noWrap/>
            <w:vAlign w:val="center"/>
          </w:tcPr>
          <w:p w14:paraId="2E3412A8">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rFonts w:hint="eastAsia" w:cs="宋体"/>
                <w:color w:val="000000" w:themeColor="text1"/>
                <w:kern w:val="0"/>
                <w:sz w:val="21"/>
                <w:szCs w:val="21"/>
                <w:lang w:bidi="ar"/>
                <w14:textFill>
                  <w14:solidFill>
                    <w14:schemeClr w14:val="tx1"/>
                  </w14:solidFill>
                </w14:textFill>
              </w:rPr>
              <w:t>10</w:t>
            </w:r>
          </w:p>
        </w:tc>
        <w:tc>
          <w:tcPr>
            <w:tcW w:w="1132" w:type="dxa"/>
            <w:noWrap/>
            <w:vAlign w:val="center"/>
          </w:tcPr>
          <w:p w14:paraId="46195D1B">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color w:val="000000" w:themeColor="text1"/>
                <w:sz w:val="21"/>
                <w:szCs w:val="21"/>
                <w14:textFill>
                  <w14:solidFill>
                    <w14:schemeClr w14:val="tx1"/>
                  </w14:solidFill>
                </w14:textFill>
              </w:rPr>
              <w:t>佛子坳</w:t>
            </w:r>
          </w:p>
        </w:tc>
        <w:tc>
          <w:tcPr>
            <w:tcW w:w="718" w:type="dxa"/>
            <w:noWrap/>
            <w:vAlign w:val="center"/>
          </w:tcPr>
          <w:p w14:paraId="74344318">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color w:val="000000" w:themeColor="text1"/>
                <w:sz w:val="21"/>
                <w:szCs w:val="21"/>
                <w14:textFill>
                  <w14:solidFill>
                    <w14:schemeClr w14:val="tx1"/>
                  </w14:solidFill>
                </w14:textFill>
              </w:rPr>
              <w:t>3.46</w:t>
            </w:r>
          </w:p>
        </w:tc>
        <w:tc>
          <w:tcPr>
            <w:tcW w:w="817" w:type="dxa"/>
            <w:noWrap/>
            <w:vAlign w:val="center"/>
          </w:tcPr>
          <w:p w14:paraId="5504F6A0">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39" w:type="dxa"/>
            <w:noWrap/>
            <w:vAlign w:val="center"/>
          </w:tcPr>
          <w:p w14:paraId="538F8C1E">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99" w:type="dxa"/>
            <w:noWrap/>
            <w:vAlign w:val="center"/>
          </w:tcPr>
          <w:p w14:paraId="7BEB6EB5">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95" w:type="dxa"/>
            <w:noWrap/>
            <w:vAlign w:val="center"/>
          </w:tcPr>
          <w:p w14:paraId="2EC830B3">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06" w:type="dxa"/>
            <w:noWrap/>
            <w:vAlign w:val="center"/>
          </w:tcPr>
          <w:p w14:paraId="380AAC73">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74" w:type="dxa"/>
            <w:noWrap/>
            <w:vAlign w:val="center"/>
          </w:tcPr>
          <w:p w14:paraId="6783AEC1">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16" w:type="dxa"/>
            <w:noWrap/>
            <w:vAlign w:val="center"/>
          </w:tcPr>
          <w:p w14:paraId="165DE187">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57" w:type="dxa"/>
            <w:noWrap/>
            <w:vAlign w:val="center"/>
          </w:tcPr>
          <w:p w14:paraId="66A997A3">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806" w:type="dxa"/>
            <w:noWrap/>
            <w:vAlign w:val="center"/>
          </w:tcPr>
          <w:p w14:paraId="76A26BA7">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29" w:type="dxa"/>
            <w:noWrap/>
            <w:vAlign w:val="center"/>
          </w:tcPr>
          <w:p w14:paraId="05765C81">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779" w:type="dxa"/>
            <w:noWrap/>
            <w:vAlign w:val="center"/>
          </w:tcPr>
          <w:p w14:paraId="637466BE">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r>
      <w:tr w14:paraId="13EC6D8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25" w:type="dxa"/>
            <w:noWrap/>
            <w:vAlign w:val="center"/>
          </w:tcPr>
          <w:p w14:paraId="73354373">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rFonts w:hint="eastAsia" w:cs="宋体"/>
                <w:color w:val="000000" w:themeColor="text1"/>
                <w:kern w:val="0"/>
                <w:sz w:val="21"/>
                <w:szCs w:val="21"/>
                <w:lang w:bidi="ar"/>
                <w14:textFill>
                  <w14:solidFill>
                    <w14:schemeClr w14:val="tx1"/>
                  </w14:solidFill>
                </w14:textFill>
              </w:rPr>
              <w:t>11</w:t>
            </w:r>
          </w:p>
        </w:tc>
        <w:tc>
          <w:tcPr>
            <w:tcW w:w="1132" w:type="dxa"/>
            <w:noWrap/>
            <w:vAlign w:val="center"/>
          </w:tcPr>
          <w:p w14:paraId="6EBD9D2E">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color w:val="000000" w:themeColor="text1"/>
                <w:sz w:val="21"/>
                <w:szCs w:val="21"/>
                <w14:textFill>
                  <w14:solidFill>
                    <w14:schemeClr w14:val="tx1"/>
                  </w14:solidFill>
                </w14:textFill>
              </w:rPr>
              <w:t>第一垌</w:t>
            </w:r>
          </w:p>
        </w:tc>
        <w:tc>
          <w:tcPr>
            <w:tcW w:w="718" w:type="dxa"/>
            <w:noWrap/>
            <w:vAlign w:val="center"/>
          </w:tcPr>
          <w:p w14:paraId="4A2F2F2B">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color w:val="000000" w:themeColor="text1"/>
                <w:sz w:val="21"/>
                <w:szCs w:val="21"/>
                <w14:textFill>
                  <w14:solidFill>
                    <w14:schemeClr w14:val="tx1"/>
                  </w14:solidFill>
                </w14:textFill>
              </w:rPr>
              <w:t>3.47</w:t>
            </w:r>
          </w:p>
        </w:tc>
        <w:tc>
          <w:tcPr>
            <w:tcW w:w="817" w:type="dxa"/>
            <w:noWrap/>
            <w:vAlign w:val="center"/>
          </w:tcPr>
          <w:p w14:paraId="2090432A">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39" w:type="dxa"/>
            <w:noWrap/>
            <w:vAlign w:val="center"/>
          </w:tcPr>
          <w:p w14:paraId="7D9ABD87">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99" w:type="dxa"/>
            <w:noWrap/>
            <w:vAlign w:val="center"/>
          </w:tcPr>
          <w:p w14:paraId="0CC59BEC">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95" w:type="dxa"/>
            <w:noWrap/>
            <w:vAlign w:val="center"/>
          </w:tcPr>
          <w:p w14:paraId="5921C9FF">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06" w:type="dxa"/>
            <w:noWrap/>
            <w:vAlign w:val="center"/>
          </w:tcPr>
          <w:p w14:paraId="56EB65AF">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74" w:type="dxa"/>
            <w:noWrap/>
            <w:vAlign w:val="center"/>
          </w:tcPr>
          <w:p w14:paraId="79B9D226">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16" w:type="dxa"/>
            <w:noWrap/>
            <w:vAlign w:val="center"/>
          </w:tcPr>
          <w:p w14:paraId="0586B57F">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57" w:type="dxa"/>
            <w:noWrap/>
            <w:vAlign w:val="center"/>
          </w:tcPr>
          <w:p w14:paraId="05818357">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806" w:type="dxa"/>
            <w:noWrap/>
            <w:vAlign w:val="center"/>
          </w:tcPr>
          <w:p w14:paraId="7FCF4036">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29" w:type="dxa"/>
            <w:noWrap/>
            <w:vAlign w:val="center"/>
          </w:tcPr>
          <w:p w14:paraId="537B83E3">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779" w:type="dxa"/>
            <w:noWrap/>
            <w:vAlign w:val="center"/>
          </w:tcPr>
          <w:p w14:paraId="1CF5C24D">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r>
      <w:tr w14:paraId="6760BB8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25" w:type="dxa"/>
            <w:noWrap/>
            <w:vAlign w:val="center"/>
          </w:tcPr>
          <w:p w14:paraId="216DC75D">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rFonts w:hint="eastAsia" w:cs="宋体"/>
                <w:color w:val="000000" w:themeColor="text1"/>
                <w:kern w:val="0"/>
                <w:sz w:val="21"/>
                <w:szCs w:val="21"/>
                <w:lang w:bidi="ar"/>
                <w14:textFill>
                  <w14:solidFill>
                    <w14:schemeClr w14:val="tx1"/>
                  </w14:solidFill>
                </w14:textFill>
              </w:rPr>
              <w:t>12</w:t>
            </w:r>
          </w:p>
        </w:tc>
        <w:tc>
          <w:tcPr>
            <w:tcW w:w="1132" w:type="dxa"/>
            <w:noWrap/>
            <w:vAlign w:val="center"/>
          </w:tcPr>
          <w:p w14:paraId="3F630866">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color w:val="000000" w:themeColor="text1"/>
                <w:sz w:val="21"/>
                <w:szCs w:val="21"/>
                <w14:textFill>
                  <w14:solidFill>
                    <w14:schemeClr w14:val="tx1"/>
                  </w14:solidFill>
                </w14:textFill>
              </w:rPr>
              <w:t>鸡墩头</w:t>
            </w:r>
          </w:p>
        </w:tc>
        <w:tc>
          <w:tcPr>
            <w:tcW w:w="718" w:type="dxa"/>
            <w:noWrap/>
            <w:vAlign w:val="center"/>
          </w:tcPr>
          <w:p w14:paraId="6BE764F6">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color w:val="000000" w:themeColor="text1"/>
                <w:sz w:val="21"/>
                <w:szCs w:val="21"/>
                <w14:textFill>
                  <w14:solidFill>
                    <w14:schemeClr w14:val="tx1"/>
                  </w14:solidFill>
                </w14:textFill>
              </w:rPr>
              <w:t>3.85</w:t>
            </w:r>
          </w:p>
        </w:tc>
        <w:tc>
          <w:tcPr>
            <w:tcW w:w="817" w:type="dxa"/>
            <w:noWrap/>
            <w:vAlign w:val="center"/>
          </w:tcPr>
          <w:p w14:paraId="6F4B9F07">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39" w:type="dxa"/>
            <w:noWrap/>
            <w:vAlign w:val="center"/>
          </w:tcPr>
          <w:p w14:paraId="186428BD">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99" w:type="dxa"/>
            <w:noWrap/>
            <w:vAlign w:val="center"/>
          </w:tcPr>
          <w:p w14:paraId="4C89A779">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95" w:type="dxa"/>
            <w:noWrap/>
            <w:vAlign w:val="center"/>
          </w:tcPr>
          <w:p w14:paraId="6A4DB58E">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06" w:type="dxa"/>
            <w:noWrap/>
            <w:vAlign w:val="center"/>
          </w:tcPr>
          <w:p w14:paraId="2E29ED73">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74" w:type="dxa"/>
            <w:noWrap/>
            <w:vAlign w:val="center"/>
          </w:tcPr>
          <w:p w14:paraId="25C2E77F">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16" w:type="dxa"/>
            <w:noWrap/>
            <w:vAlign w:val="center"/>
          </w:tcPr>
          <w:p w14:paraId="65475AB9">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57" w:type="dxa"/>
            <w:noWrap/>
            <w:vAlign w:val="center"/>
          </w:tcPr>
          <w:p w14:paraId="2A95CB9A">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806" w:type="dxa"/>
            <w:noWrap/>
            <w:vAlign w:val="center"/>
          </w:tcPr>
          <w:p w14:paraId="7FF9F9C4">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29" w:type="dxa"/>
            <w:noWrap/>
            <w:vAlign w:val="center"/>
          </w:tcPr>
          <w:p w14:paraId="7EA5303A">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779" w:type="dxa"/>
            <w:noWrap/>
            <w:vAlign w:val="center"/>
          </w:tcPr>
          <w:p w14:paraId="17498A87">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r>
      <w:tr w14:paraId="292BC7C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25" w:type="dxa"/>
            <w:noWrap/>
            <w:vAlign w:val="center"/>
          </w:tcPr>
          <w:p w14:paraId="63383044">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rFonts w:hint="eastAsia" w:cs="宋体"/>
                <w:color w:val="000000" w:themeColor="text1"/>
                <w:kern w:val="0"/>
                <w:sz w:val="21"/>
                <w:szCs w:val="21"/>
                <w:lang w:bidi="ar"/>
                <w14:textFill>
                  <w14:solidFill>
                    <w14:schemeClr w14:val="tx1"/>
                  </w14:solidFill>
                </w14:textFill>
              </w:rPr>
              <w:t>13</w:t>
            </w:r>
          </w:p>
        </w:tc>
        <w:tc>
          <w:tcPr>
            <w:tcW w:w="1132" w:type="dxa"/>
            <w:noWrap/>
            <w:vAlign w:val="center"/>
          </w:tcPr>
          <w:p w14:paraId="2E77BFBD">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color w:val="000000" w:themeColor="text1"/>
                <w:sz w:val="21"/>
                <w:szCs w:val="21"/>
                <w14:textFill>
                  <w14:solidFill>
                    <w14:schemeClr w14:val="tx1"/>
                  </w14:solidFill>
                </w14:textFill>
              </w:rPr>
              <w:t>钦州港经济技术开发区中学</w:t>
            </w:r>
          </w:p>
        </w:tc>
        <w:tc>
          <w:tcPr>
            <w:tcW w:w="718" w:type="dxa"/>
            <w:noWrap/>
            <w:vAlign w:val="center"/>
          </w:tcPr>
          <w:p w14:paraId="3DEC9976">
            <w:pPr>
              <w:widowControl/>
              <w:adjustRightInd w:val="0"/>
              <w:snapToGrid w:val="0"/>
              <w:spacing w:line="240" w:lineRule="auto"/>
              <w:ind w:firstLine="0" w:firstLineChars="0"/>
              <w:textAlignment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3.11</w:t>
            </w:r>
          </w:p>
        </w:tc>
        <w:tc>
          <w:tcPr>
            <w:tcW w:w="817" w:type="dxa"/>
            <w:noWrap/>
            <w:vAlign w:val="center"/>
          </w:tcPr>
          <w:p w14:paraId="78FF6C56">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39" w:type="dxa"/>
            <w:noWrap/>
            <w:vAlign w:val="center"/>
          </w:tcPr>
          <w:p w14:paraId="27D6B993">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99" w:type="dxa"/>
            <w:noWrap/>
            <w:vAlign w:val="center"/>
          </w:tcPr>
          <w:p w14:paraId="1B96CA1C">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95" w:type="dxa"/>
            <w:noWrap/>
            <w:vAlign w:val="center"/>
          </w:tcPr>
          <w:p w14:paraId="66FC7AFF">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06" w:type="dxa"/>
            <w:noWrap/>
            <w:vAlign w:val="center"/>
          </w:tcPr>
          <w:p w14:paraId="211580A9">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74" w:type="dxa"/>
            <w:noWrap/>
            <w:vAlign w:val="center"/>
          </w:tcPr>
          <w:p w14:paraId="7CECFC14">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16" w:type="dxa"/>
            <w:noWrap/>
            <w:vAlign w:val="center"/>
          </w:tcPr>
          <w:p w14:paraId="13CA5C42">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57" w:type="dxa"/>
            <w:noWrap/>
            <w:vAlign w:val="center"/>
          </w:tcPr>
          <w:p w14:paraId="6763FFA9">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806" w:type="dxa"/>
            <w:noWrap/>
            <w:vAlign w:val="center"/>
          </w:tcPr>
          <w:p w14:paraId="0DC231F2">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29" w:type="dxa"/>
            <w:noWrap/>
            <w:vAlign w:val="center"/>
          </w:tcPr>
          <w:p w14:paraId="54FEC901">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779" w:type="dxa"/>
            <w:noWrap/>
            <w:vAlign w:val="center"/>
          </w:tcPr>
          <w:p w14:paraId="775A05B2">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r>
      <w:tr w14:paraId="15B000C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25" w:type="dxa"/>
            <w:noWrap/>
            <w:vAlign w:val="center"/>
          </w:tcPr>
          <w:p w14:paraId="48E6B355">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rFonts w:hint="eastAsia" w:cs="宋体"/>
                <w:color w:val="000000" w:themeColor="text1"/>
                <w:kern w:val="0"/>
                <w:sz w:val="21"/>
                <w:szCs w:val="21"/>
                <w:lang w:bidi="ar"/>
                <w14:textFill>
                  <w14:solidFill>
                    <w14:schemeClr w14:val="tx1"/>
                  </w14:solidFill>
                </w14:textFill>
              </w:rPr>
              <w:t>14</w:t>
            </w:r>
          </w:p>
        </w:tc>
        <w:tc>
          <w:tcPr>
            <w:tcW w:w="1132" w:type="dxa"/>
            <w:noWrap/>
            <w:vAlign w:val="center"/>
          </w:tcPr>
          <w:p w14:paraId="1DF20955">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color w:val="000000" w:themeColor="text1"/>
                <w:sz w:val="21"/>
                <w:szCs w:val="21"/>
                <w14:textFill>
                  <w14:solidFill>
                    <w14:schemeClr w14:val="tx1"/>
                  </w14:solidFill>
                </w14:textFill>
              </w:rPr>
              <w:t>钦州港经济技术开发区第四小学</w:t>
            </w:r>
          </w:p>
        </w:tc>
        <w:tc>
          <w:tcPr>
            <w:tcW w:w="718" w:type="dxa"/>
            <w:noWrap/>
            <w:vAlign w:val="center"/>
          </w:tcPr>
          <w:p w14:paraId="0B4420A9">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3.00</w:t>
            </w:r>
          </w:p>
        </w:tc>
        <w:tc>
          <w:tcPr>
            <w:tcW w:w="817" w:type="dxa"/>
            <w:noWrap/>
            <w:vAlign w:val="center"/>
          </w:tcPr>
          <w:p w14:paraId="2A63613B">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39" w:type="dxa"/>
            <w:noWrap/>
            <w:vAlign w:val="center"/>
          </w:tcPr>
          <w:p w14:paraId="67036A3F">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99" w:type="dxa"/>
            <w:noWrap/>
            <w:vAlign w:val="center"/>
          </w:tcPr>
          <w:p w14:paraId="7C57DDFE">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95" w:type="dxa"/>
            <w:noWrap/>
            <w:vAlign w:val="center"/>
          </w:tcPr>
          <w:p w14:paraId="3706B6A2">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06" w:type="dxa"/>
            <w:noWrap/>
            <w:vAlign w:val="center"/>
          </w:tcPr>
          <w:p w14:paraId="3651140E">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74" w:type="dxa"/>
            <w:noWrap/>
            <w:vAlign w:val="center"/>
          </w:tcPr>
          <w:p w14:paraId="50F4F833">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16" w:type="dxa"/>
            <w:noWrap/>
            <w:vAlign w:val="center"/>
          </w:tcPr>
          <w:p w14:paraId="329CD7C1">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57" w:type="dxa"/>
            <w:noWrap/>
            <w:vAlign w:val="center"/>
          </w:tcPr>
          <w:p w14:paraId="623AC835">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806" w:type="dxa"/>
            <w:noWrap/>
            <w:vAlign w:val="center"/>
          </w:tcPr>
          <w:p w14:paraId="042A8A0A">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29" w:type="dxa"/>
            <w:noWrap/>
            <w:vAlign w:val="center"/>
          </w:tcPr>
          <w:p w14:paraId="7D45DB51">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779" w:type="dxa"/>
            <w:noWrap/>
            <w:vAlign w:val="center"/>
          </w:tcPr>
          <w:p w14:paraId="4B205A95">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r>
    </w:tbl>
    <w:p w14:paraId="579D4C71">
      <w:pPr>
        <w:pStyle w:val="4"/>
        <w:rPr>
          <w:color w:val="000000" w:themeColor="text1"/>
          <w14:textFill>
            <w14:solidFill>
              <w14:schemeClr w14:val="tx1"/>
            </w14:solidFill>
          </w14:textFill>
        </w:rPr>
      </w:pPr>
      <w:r>
        <w:rPr>
          <w:rFonts w:hint="eastAsia"/>
          <w:color w:val="000000" w:themeColor="text1"/>
          <w14:textFill>
            <w14:solidFill>
              <w14:schemeClr w14:val="tx1"/>
            </w14:solidFill>
          </w14:textFill>
        </w:rPr>
        <w:t>火灾爆炸事故CO预测结果</w:t>
      </w:r>
    </w:p>
    <w:p w14:paraId="7F2097A6">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1、预测参数</w:t>
      </w:r>
    </w:p>
    <w:p w14:paraId="7BEE8974">
      <w:pPr>
        <w:pStyle w:val="7"/>
        <w:rPr>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 CO</w:t>
      </w:r>
      <w:r>
        <w:rPr>
          <w:color w:val="000000" w:themeColor="text1"/>
          <w14:textFill>
            <w14:solidFill>
              <w14:schemeClr w14:val="tx1"/>
            </w14:solidFill>
          </w14:textFill>
        </w:rPr>
        <w:t>大气风险预测模型主要参数表</w:t>
      </w:r>
    </w:p>
    <w:tbl>
      <w:tblPr>
        <w:tblStyle w:val="43"/>
        <w:tblW w:w="5004"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800"/>
        <w:gridCol w:w="4181"/>
        <w:gridCol w:w="2548"/>
      </w:tblGrid>
      <w:tr w14:paraId="37D5D35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0" w:hRule="atLeast"/>
          <w:jc w:val="center"/>
        </w:trPr>
        <w:tc>
          <w:tcPr>
            <w:tcW w:w="1055" w:type="pct"/>
            <w:vAlign w:val="center"/>
          </w:tcPr>
          <w:p w14:paraId="5CD8FEAE">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参数类型</w:t>
            </w:r>
          </w:p>
        </w:tc>
        <w:tc>
          <w:tcPr>
            <w:tcW w:w="2451" w:type="pct"/>
            <w:vAlign w:val="center"/>
          </w:tcPr>
          <w:p w14:paraId="18DA5550">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选项</w:t>
            </w:r>
          </w:p>
        </w:tc>
        <w:tc>
          <w:tcPr>
            <w:tcW w:w="1494" w:type="pct"/>
            <w:vAlign w:val="center"/>
          </w:tcPr>
          <w:p w14:paraId="25A260F5">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参数</w:t>
            </w:r>
          </w:p>
        </w:tc>
      </w:tr>
      <w:tr w14:paraId="7424540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8" w:hRule="atLeast"/>
          <w:jc w:val="center"/>
        </w:trPr>
        <w:tc>
          <w:tcPr>
            <w:tcW w:w="1055" w:type="pct"/>
            <w:vMerge w:val="restart"/>
            <w:vAlign w:val="center"/>
          </w:tcPr>
          <w:p w14:paraId="77F76734">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基本情况</w:t>
            </w:r>
          </w:p>
        </w:tc>
        <w:tc>
          <w:tcPr>
            <w:tcW w:w="2451" w:type="pct"/>
            <w:vAlign w:val="center"/>
          </w:tcPr>
          <w:p w14:paraId="60A4EA92">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事故源经度/(°)</w:t>
            </w:r>
          </w:p>
        </w:tc>
        <w:tc>
          <w:tcPr>
            <w:tcW w:w="1494" w:type="pct"/>
            <w:vAlign w:val="center"/>
          </w:tcPr>
          <w:p w14:paraId="10135CAE">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108.63076568</w:t>
            </w:r>
          </w:p>
        </w:tc>
      </w:tr>
      <w:tr w14:paraId="217D072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8" w:hRule="atLeast"/>
          <w:jc w:val="center"/>
        </w:trPr>
        <w:tc>
          <w:tcPr>
            <w:tcW w:w="1055" w:type="pct"/>
            <w:vMerge w:val="continue"/>
            <w:vAlign w:val="center"/>
          </w:tcPr>
          <w:p w14:paraId="0D20D3EC">
            <w:pPr>
              <w:spacing w:line="240" w:lineRule="auto"/>
              <w:ind w:firstLine="420"/>
              <w:jc w:val="center"/>
              <w:rPr>
                <w:color w:val="000000" w:themeColor="text1"/>
                <w:sz w:val="21"/>
                <w:szCs w:val="21"/>
                <w14:textFill>
                  <w14:solidFill>
                    <w14:schemeClr w14:val="tx1"/>
                  </w14:solidFill>
                </w14:textFill>
              </w:rPr>
            </w:pPr>
          </w:p>
        </w:tc>
        <w:tc>
          <w:tcPr>
            <w:tcW w:w="2451" w:type="pct"/>
            <w:vAlign w:val="center"/>
          </w:tcPr>
          <w:p w14:paraId="1A8AE1D9">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事故源纬度/(°)</w:t>
            </w:r>
          </w:p>
        </w:tc>
        <w:tc>
          <w:tcPr>
            <w:tcW w:w="1494" w:type="pct"/>
            <w:vAlign w:val="center"/>
          </w:tcPr>
          <w:p w14:paraId="26F658AF">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21.71193521</w:t>
            </w:r>
          </w:p>
        </w:tc>
      </w:tr>
      <w:tr w14:paraId="2ED26CB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5" w:hRule="atLeast"/>
          <w:jc w:val="center"/>
        </w:trPr>
        <w:tc>
          <w:tcPr>
            <w:tcW w:w="1055" w:type="pct"/>
            <w:vMerge w:val="continue"/>
            <w:vAlign w:val="center"/>
          </w:tcPr>
          <w:p w14:paraId="676FD986">
            <w:pPr>
              <w:spacing w:line="240" w:lineRule="auto"/>
              <w:ind w:firstLine="420"/>
              <w:jc w:val="center"/>
              <w:rPr>
                <w:color w:val="000000" w:themeColor="text1"/>
                <w:sz w:val="21"/>
                <w:szCs w:val="21"/>
                <w14:textFill>
                  <w14:solidFill>
                    <w14:schemeClr w14:val="tx1"/>
                  </w14:solidFill>
                </w14:textFill>
              </w:rPr>
            </w:pPr>
          </w:p>
        </w:tc>
        <w:tc>
          <w:tcPr>
            <w:tcW w:w="2451" w:type="pct"/>
            <w:vAlign w:val="center"/>
          </w:tcPr>
          <w:p w14:paraId="1C29F409">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事故源类型</w:t>
            </w:r>
          </w:p>
        </w:tc>
        <w:tc>
          <w:tcPr>
            <w:tcW w:w="1494" w:type="pct"/>
            <w:vAlign w:val="center"/>
          </w:tcPr>
          <w:p w14:paraId="290CE654">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泄漏、火灾</w:t>
            </w:r>
          </w:p>
        </w:tc>
      </w:tr>
      <w:tr w14:paraId="36B4FE8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8" w:hRule="atLeast"/>
          <w:jc w:val="center"/>
        </w:trPr>
        <w:tc>
          <w:tcPr>
            <w:tcW w:w="1055" w:type="pct"/>
            <w:vMerge w:val="restart"/>
            <w:vAlign w:val="center"/>
          </w:tcPr>
          <w:p w14:paraId="0C53CFBD">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气象参数</w:t>
            </w:r>
          </w:p>
        </w:tc>
        <w:tc>
          <w:tcPr>
            <w:tcW w:w="2451" w:type="pct"/>
            <w:vAlign w:val="center"/>
          </w:tcPr>
          <w:p w14:paraId="435648DC">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气象条件类型</w:t>
            </w:r>
          </w:p>
        </w:tc>
        <w:tc>
          <w:tcPr>
            <w:tcW w:w="1494" w:type="pct"/>
            <w:vAlign w:val="center"/>
          </w:tcPr>
          <w:p w14:paraId="52888E84">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最不利气象</w:t>
            </w:r>
          </w:p>
        </w:tc>
      </w:tr>
      <w:tr w14:paraId="180EE9A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8" w:hRule="atLeast"/>
          <w:jc w:val="center"/>
        </w:trPr>
        <w:tc>
          <w:tcPr>
            <w:tcW w:w="1055" w:type="pct"/>
            <w:vMerge w:val="continue"/>
            <w:vAlign w:val="center"/>
          </w:tcPr>
          <w:p w14:paraId="0907775E">
            <w:pPr>
              <w:spacing w:line="240" w:lineRule="auto"/>
              <w:ind w:firstLine="420"/>
              <w:jc w:val="center"/>
              <w:rPr>
                <w:color w:val="000000" w:themeColor="text1"/>
                <w:sz w:val="21"/>
                <w:szCs w:val="21"/>
                <w14:textFill>
                  <w14:solidFill>
                    <w14:schemeClr w14:val="tx1"/>
                  </w14:solidFill>
                </w14:textFill>
              </w:rPr>
            </w:pPr>
          </w:p>
        </w:tc>
        <w:tc>
          <w:tcPr>
            <w:tcW w:w="2451" w:type="pct"/>
            <w:vAlign w:val="center"/>
          </w:tcPr>
          <w:p w14:paraId="357DD51E">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风速/（m/s）</w:t>
            </w:r>
          </w:p>
        </w:tc>
        <w:tc>
          <w:tcPr>
            <w:tcW w:w="1494" w:type="pct"/>
            <w:vAlign w:val="center"/>
          </w:tcPr>
          <w:p w14:paraId="1EB57E4D">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1.5</w:t>
            </w:r>
          </w:p>
        </w:tc>
      </w:tr>
      <w:tr w14:paraId="5A465BB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5" w:hRule="atLeast"/>
          <w:jc w:val="center"/>
        </w:trPr>
        <w:tc>
          <w:tcPr>
            <w:tcW w:w="1055" w:type="pct"/>
            <w:vMerge w:val="continue"/>
            <w:vAlign w:val="center"/>
          </w:tcPr>
          <w:p w14:paraId="30885E3F">
            <w:pPr>
              <w:spacing w:line="240" w:lineRule="auto"/>
              <w:ind w:firstLine="420"/>
              <w:jc w:val="center"/>
              <w:rPr>
                <w:color w:val="000000" w:themeColor="text1"/>
                <w:sz w:val="21"/>
                <w:szCs w:val="21"/>
                <w14:textFill>
                  <w14:solidFill>
                    <w14:schemeClr w14:val="tx1"/>
                  </w14:solidFill>
                </w14:textFill>
              </w:rPr>
            </w:pPr>
          </w:p>
        </w:tc>
        <w:tc>
          <w:tcPr>
            <w:tcW w:w="2451" w:type="pct"/>
            <w:vAlign w:val="center"/>
          </w:tcPr>
          <w:p w14:paraId="733FF11F">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环境温度/C</w:t>
            </w:r>
          </w:p>
        </w:tc>
        <w:tc>
          <w:tcPr>
            <w:tcW w:w="1494" w:type="pct"/>
            <w:vAlign w:val="center"/>
          </w:tcPr>
          <w:p w14:paraId="2EB3E0F5">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25</w:t>
            </w:r>
          </w:p>
        </w:tc>
      </w:tr>
      <w:tr w14:paraId="200EC48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8" w:hRule="atLeast"/>
          <w:jc w:val="center"/>
        </w:trPr>
        <w:tc>
          <w:tcPr>
            <w:tcW w:w="1055" w:type="pct"/>
            <w:vMerge w:val="continue"/>
            <w:vAlign w:val="center"/>
          </w:tcPr>
          <w:p w14:paraId="609E1577">
            <w:pPr>
              <w:spacing w:line="240" w:lineRule="auto"/>
              <w:ind w:firstLine="420"/>
              <w:jc w:val="center"/>
              <w:rPr>
                <w:color w:val="000000" w:themeColor="text1"/>
                <w:sz w:val="21"/>
                <w:szCs w:val="21"/>
                <w14:textFill>
                  <w14:solidFill>
                    <w14:schemeClr w14:val="tx1"/>
                  </w14:solidFill>
                </w14:textFill>
              </w:rPr>
            </w:pPr>
          </w:p>
        </w:tc>
        <w:tc>
          <w:tcPr>
            <w:tcW w:w="2451" w:type="pct"/>
            <w:vAlign w:val="center"/>
          </w:tcPr>
          <w:p w14:paraId="2061E5B7">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相对湿度/%</w:t>
            </w:r>
          </w:p>
        </w:tc>
        <w:tc>
          <w:tcPr>
            <w:tcW w:w="1494" w:type="pct"/>
            <w:vAlign w:val="center"/>
          </w:tcPr>
          <w:p w14:paraId="5EE90357">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50</w:t>
            </w:r>
          </w:p>
        </w:tc>
      </w:tr>
      <w:tr w14:paraId="41B1AE2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8" w:hRule="atLeast"/>
          <w:jc w:val="center"/>
        </w:trPr>
        <w:tc>
          <w:tcPr>
            <w:tcW w:w="1055" w:type="pct"/>
            <w:vMerge w:val="continue"/>
            <w:vAlign w:val="center"/>
          </w:tcPr>
          <w:p w14:paraId="6C51A6F2">
            <w:pPr>
              <w:spacing w:line="240" w:lineRule="auto"/>
              <w:ind w:firstLine="420"/>
              <w:jc w:val="center"/>
              <w:rPr>
                <w:color w:val="000000" w:themeColor="text1"/>
                <w:sz w:val="21"/>
                <w:szCs w:val="21"/>
                <w14:textFill>
                  <w14:solidFill>
                    <w14:schemeClr w14:val="tx1"/>
                  </w14:solidFill>
                </w14:textFill>
              </w:rPr>
            </w:pPr>
          </w:p>
        </w:tc>
        <w:tc>
          <w:tcPr>
            <w:tcW w:w="2451" w:type="pct"/>
            <w:vAlign w:val="center"/>
          </w:tcPr>
          <w:p w14:paraId="238C6C8D">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稳定度</w:t>
            </w:r>
          </w:p>
        </w:tc>
        <w:tc>
          <w:tcPr>
            <w:tcW w:w="1494" w:type="pct"/>
            <w:vAlign w:val="center"/>
          </w:tcPr>
          <w:p w14:paraId="5D938BAF">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F稳定度</w:t>
            </w:r>
          </w:p>
        </w:tc>
      </w:tr>
      <w:tr w14:paraId="49D0AA8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5" w:hRule="atLeast"/>
          <w:jc w:val="center"/>
        </w:trPr>
        <w:tc>
          <w:tcPr>
            <w:tcW w:w="1055" w:type="pct"/>
            <w:vMerge w:val="restart"/>
            <w:vAlign w:val="center"/>
          </w:tcPr>
          <w:p w14:paraId="7A27690E">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其他参数</w:t>
            </w:r>
          </w:p>
        </w:tc>
        <w:tc>
          <w:tcPr>
            <w:tcW w:w="2451" w:type="pct"/>
            <w:vAlign w:val="center"/>
          </w:tcPr>
          <w:p w14:paraId="719CA417">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地表粗糙度/m</w:t>
            </w:r>
          </w:p>
        </w:tc>
        <w:tc>
          <w:tcPr>
            <w:tcW w:w="1494" w:type="pct"/>
            <w:vAlign w:val="center"/>
          </w:tcPr>
          <w:p w14:paraId="53E9F4A8">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0.3</w:t>
            </w:r>
          </w:p>
        </w:tc>
      </w:tr>
      <w:tr w14:paraId="08F130C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8" w:hRule="atLeast"/>
          <w:jc w:val="center"/>
        </w:trPr>
        <w:tc>
          <w:tcPr>
            <w:tcW w:w="1055" w:type="pct"/>
            <w:vMerge w:val="continue"/>
            <w:vAlign w:val="center"/>
          </w:tcPr>
          <w:p w14:paraId="3F645417">
            <w:pPr>
              <w:spacing w:line="240" w:lineRule="auto"/>
              <w:ind w:firstLine="420"/>
              <w:jc w:val="center"/>
              <w:rPr>
                <w:color w:val="000000" w:themeColor="text1"/>
                <w:sz w:val="21"/>
                <w:szCs w:val="21"/>
                <w14:textFill>
                  <w14:solidFill>
                    <w14:schemeClr w14:val="tx1"/>
                  </w14:solidFill>
                </w14:textFill>
              </w:rPr>
            </w:pPr>
          </w:p>
        </w:tc>
        <w:tc>
          <w:tcPr>
            <w:tcW w:w="2451" w:type="pct"/>
            <w:vAlign w:val="center"/>
          </w:tcPr>
          <w:p w14:paraId="7C3C6E13">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是否考虑地形</w:t>
            </w:r>
          </w:p>
        </w:tc>
        <w:tc>
          <w:tcPr>
            <w:tcW w:w="1494" w:type="pct"/>
            <w:vAlign w:val="center"/>
          </w:tcPr>
          <w:p w14:paraId="11D352EE">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是</w:t>
            </w:r>
          </w:p>
        </w:tc>
      </w:tr>
      <w:tr w14:paraId="2947298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2" w:hRule="atLeast"/>
          <w:jc w:val="center"/>
        </w:trPr>
        <w:tc>
          <w:tcPr>
            <w:tcW w:w="1055" w:type="pct"/>
            <w:vMerge w:val="continue"/>
            <w:vAlign w:val="center"/>
          </w:tcPr>
          <w:p w14:paraId="47C0F167">
            <w:pPr>
              <w:spacing w:line="240" w:lineRule="auto"/>
              <w:ind w:firstLine="420"/>
              <w:jc w:val="center"/>
              <w:rPr>
                <w:color w:val="000000" w:themeColor="text1"/>
                <w:sz w:val="21"/>
                <w:szCs w:val="21"/>
                <w14:textFill>
                  <w14:solidFill>
                    <w14:schemeClr w14:val="tx1"/>
                  </w14:solidFill>
                </w14:textFill>
              </w:rPr>
            </w:pPr>
          </w:p>
        </w:tc>
        <w:tc>
          <w:tcPr>
            <w:tcW w:w="2451" w:type="pct"/>
            <w:vAlign w:val="center"/>
          </w:tcPr>
          <w:p w14:paraId="303D6743">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地形数据精度</w:t>
            </w:r>
          </w:p>
        </w:tc>
        <w:tc>
          <w:tcPr>
            <w:tcW w:w="1494" w:type="pct"/>
            <w:vAlign w:val="center"/>
          </w:tcPr>
          <w:p w14:paraId="7FB26E3C">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90</w:t>
            </w:r>
          </w:p>
        </w:tc>
      </w:tr>
    </w:tbl>
    <w:p w14:paraId="79CB833A">
      <w:pPr>
        <w:pStyle w:val="7"/>
        <w:rPr>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 </w:t>
      </w:r>
      <w:r>
        <w:rPr>
          <w:color w:val="000000" w:themeColor="text1"/>
          <w14:textFill>
            <w14:solidFill>
              <w14:schemeClr w14:val="tx1"/>
            </w14:solidFill>
          </w14:textFill>
        </w:rPr>
        <w:t>危险物质大气毒性终点浓度选取值</w:t>
      </w:r>
    </w:p>
    <w:tbl>
      <w:tblPr>
        <w:tblStyle w:val="43"/>
        <w:tblW w:w="4939"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353"/>
        <w:gridCol w:w="2023"/>
        <w:gridCol w:w="2535"/>
        <w:gridCol w:w="2507"/>
      </w:tblGrid>
      <w:tr w14:paraId="77BDF37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03" w:type="pct"/>
            <w:vAlign w:val="center"/>
          </w:tcPr>
          <w:p w14:paraId="74CE39A1">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污染物</w:t>
            </w:r>
          </w:p>
        </w:tc>
        <w:tc>
          <w:tcPr>
            <w:tcW w:w="1201" w:type="pct"/>
            <w:vAlign w:val="center"/>
          </w:tcPr>
          <w:p w14:paraId="7707C5BF">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相对蒸</w:t>
            </w:r>
            <w:r>
              <w:rPr>
                <w:rFonts w:hint="eastAsia"/>
                <w:color w:val="000000" w:themeColor="text1"/>
                <w:sz w:val="21"/>
                <w:szCs w:val="21"/>
                <w14:textFill>
                  <w14:solidFill>
                    <w14:schemeClr w14:val="tx1"/>
                  </w14:solidFill>
                </w14:textFill>
              </w:rPr>
              <w:t>气</w:t>
            </w:r>
            <w:r>
              <w:rPr>
                <w:color w:val="000000" w:themeColor="text1"/>
                <w:sz w:val="21"/>
                <w:szCs w:val="21"/>
                <w14:textFill>
                  <w14:solidFill>
                    <w14:schemeClr w14:val="tx1"/>
                  </w14:solidFill>
                </w14:textFill>
              </w:rPr>
              <w:t>密度（kg/m</w:t>
            </w:r>
            <w:r>
              <w:rPr>
                <w:color w:val="000000" w:themeColor="text1"/>
                <w:sz w:val="21"/>
                <w:szCs w:val="21"/>
                <w:vertAlign w:val="superscript"/>
                <w14:textFill>
                  <w14:solidFill>
                    <w14:schemeClr w14:val="tx1"/>
                  </w14:solidFill>
                </w14:textFill>
              </w:rPr>
              <w:t>3</w:t>
            </w:r>
            <w:r>
              <w:rPr>
                <w:color w:val="000000" w:themeColor="text1"/>
                <w:sz w:val="21"/>
                <w:szCs w:val="21"/>
                <w14:textFill>
                  <w14:solidFill>
                    <w14:schemeClr w14:val="tx1"/>
                  </w14:solidFill>
                </w14:textFill>
              </w:rPr>
              <w:t>）</w:t>
            </w:r>
          </w:p>
        </w:tc>
        <w:tc>
          <w:tcPr>
            <w:tcW w:w="1505" w:type="pct"/>
            <w:vAlign w:val="center"/>
          </w:tcPr>
          <w:p w14:paraId="3C82036F">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毒性终点浓度-1（mg/m</w:t>
            </w:r>
            <w:r>
              <w:rPr>
                <w:color w:val="000000" w:themeColor="text1"/>
                <w:sz w:val="21"/>
                <w:szCs w:val="21"/>
                <w:vertAlign w:val="superscript"/>
                <w14:textFill>
                  <w14:solidFill>
                    <w14:schemeClr w14:val="tx1"/>
                  </w14:solidFill>
                </w14:textFill>
              </w:rPr>
              <w:t>3</w:t>
            </w:r>
            <w:r>
              <w:rPr>
                <w:color w:val="000000" w:themeColor="text1"/>
                <w:sz w:val="21"/>
                <w:szCs w:val="21"/>
                <w14:textFill>
                  <w14:solidFill>
                    <w14:schemeClr w14:val="tx1"/>
                  </w14:solidFill>
                </w14:textFill>
              </w:rPr>
              <w:t>）</w:t>
            </w:r>
          </w:p>
        </w:tc>
        <w:tc>
          <w:tcPr>
            <w:tcW w:w="1488" w:type="pct"/>
            <w:vAlign w:val="center"/>
          </w:tcPr>
          <w:p w14:paraId="4D40B7A0">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毒性终点浓度-2（mg/m</w:t>
            </w:r>
            <w:r>
              <w:rPr>
                <w:color w:val="000000" w:themeColor="text1"/>
                <w:sz w:val="21"/>
                <w:szCs w:val="21"/>
                <w:vertAlign w:val="superscript"/>
                <w14:textFill>
                  <w14:solidFill>
                    <w14:schemeClr w14:val="tx1"/>
                  </w14:solidFill>
                </w14:textFill>
              </w:rPr>
              <w:t>3</w:t>
            </w:r>
            <w:r>
              <w:rPr>
                <w:color w:val="000000" w:themeColor="text1"/>
                <w:sz w:val="21"/>
                <w:szCs w:val="21"/>
                <w14:textFill>
                  <w14:solidFill>
                    <w14:schemeClr w14:val="tx1"/>
                  </w14:solidFill>
                </w14:textFill>
              </w:rPr>
              <w:t>）</w:t>
            </w:r>
          </w:p>
        </w:tc>
      </w:tr>
      <w:tr w14:paraId="11C5C5F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03" w:type="pct"/>
            <w:vAlign w:val="center"/>
          </w:tcPr>
          <w:p w14:paraId="153C7F8C">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CO</w:t>
            </w:r>
          </w:p>
        </w:tc>
        <w:tc>
          <w:tcPr>
            <w:tcW w:w="1201" w:type="pct"/>
            <w:vAlign w:val="center"/>
          </w:tcPr>
          <w:p w14:paraId="656268D6">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0.97</w:t>
            </w:r>
          </w:p>
        </w:tc>
        <w:tc>
          <w:tcPr>
            <w:tcW w:w="1505" w:type="pct"/>
            <w:vAlign w:val="center"/>
          </w:tcPr>
          <w:p w14:paraId="3DF9B584">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380</w:t>
            </w:r>
          </w:p>
        </w:tc>
        <w:tc>
          <w:tcPr>
            <w:tcW w:w="1488" w:type="pct"/>
            <w:vAlign w:val="center"/>
          </w:tcPr>
          <w:p w14:paraId="4FBBBBD3">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95</w:t>
            </w:r>
          </w:p>
        </w:tc>
      </w:tr>
    </w:tbl>
    <w:p w14:paraId="37EB06E0">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2、预测结果</w:t>
      </w:r>
    </w:p>
    <w:p w14:paraId="1648E413">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由预测结果可知，在最不利气象条件（F类稳定度，1.5m/s风速，温度25</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，相对湿度50%）下，苯乙烯泄漏并发生火灾伴生CO事故，CO浓度达到大气毒性终点浓度-1（380mg/m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）的最大影响范围约为32m，达到大气毒性终点浓度-2（95mg/m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）的最大影响范围约为16m，该范围内主要影响人群为码头及周边企业职工。</w:t>
      </w:r>
    </w:p>
    <w:p w14:paraId="7B98E8B6">
      <w:pPr>
        <w:ind w:firstLine="480"/>
        <w:rPr>
          <w:color w:val="000000" w:themeColor="text1"/>
          <w14:textFill>
            <w14:solidFill>
              <w14:schemeClr w14:val="tx1"/>
            </w14:solidFill>
          </w14:textFill>
        </w:rPr>
      </w:pPr>
      <w:r>
        <w:rPr>
          <w:color w:val="000000" w:themeColor="text1"/>
          <w14:textFill>
            <w14:solidFill>
              <w14:schemeClr w14:val="tx1"/>
            </w14:solidFill>
          </w14:textFill>
        </w:rPr>
        <w:t>事故发生后，预测到达</w:t>
      </w:r>
      <w:r>
        <w:rPr>
          <w:rFonts w:hint="eastAsia"/>
          <w:color w:val="000000" w:themeColor="text1"/>
          <w14:textFill>
            <w14:solidFill>
              <w14:schemeClr w14:val="tx1"/>
            </w14:solidFill>
          </w14:textFill>
        </w:rPr>
        <w:t>居民点</w:t>
      </w:r>
      <w:r>
        <w:rPr>
          <w:color w:val="000000" w:themeColor="text1"/>
          <w14:textFill>
            <w14:solidFill>
              <w14:schemeClr w14:val="tx1"/>
            </w14:solidFill>
          </w14:textFill>
        </w:rPr>
        <w:t>的</w:t>
      </w:r>
      <w:r>
        <w:rPr>
          <w:rFonts w:hint="eastAsia"/>
          <w:color w:val="000000" w:themeColor="text1"/>
          <w14:textFill>
            <w14:solidFill>
              <w14:schemeClr w14:val="tx1"/>
            </w14:solidFill>
          </w14:textFill>
        </w:rPr>
        <w:t>CO最大</w:t>
      </w:r>
      <w:r>
        <w:rPr>
          <w:color w:val="000000" w:themeColor="text1"/>
          <w14:textFill>
            <w14:solidFill>
              <w14:schemeClr w14:val="tx1"/>
            </w14:solidFill>
          </w14:textFill>
        </w:rPr>
        <w:t>贡献值</w:t>
      </w:r>
      <w:r>
        <w:rPr>
          <w:rFonts w:hint="eastAsia"/>
          <w:color w:val="000000" w:themeColor="text1"/>
          <w14:textFill>
            <w14:solidFill>
              <w14:schemeClr w14:val="tx1"/>
            </w14:solidFill>
          </w14:textFill>
        </w:rPr>
        <w:t>出现在淡水湾村，浓度为0.02mg/m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均未超出</w:t>
      </w:r>
      <w:r>
        <w:rPr>
          <w:color w:val="000000" w:themeColor="text1"/>
          <w14:textFill>
            <w14:solidFill>
              <w14:schemeClr w14:val="tx1"/>
            </w14:solidFill>
          </w14:textFill>
        </w:rPr>
        <w:t>大气毒性终点浓度-1</w:t>
      </w:r>
      <w:r>
        <w:rPr>
          <w:rFonts w:hint="eastAsia"/>
          <w:color w:val="000000" w:themeColor="text1"/>
          <w14:textFill>
            <w14:solidFill>
              <w14:schemeClr w14:val="tx1"/>
            </w14:solidFill>
          </w14:textFill>
        </w:rPr>
        <w:t>及</w:t>
      </w:r>
      <w:r>
        <w:rPr>
          <w:color w:val="000000" w:themeColor="text1"/>
          <w14:textFill>
            <w14:solidFill>
              <w14:schemeClr w14:val="tx1"/>
            </w14:solidFill>
          </w14:textFill>
        </w:rPr>
        <w:t>大气毒性终点浓度-</w:t>
      </w:r>
      <w:r>
        <w:rPr>
          <w:rFonts w:hint="eastAsia"/>
          <w:color w:val="000000" w:themeColor="text1"/>
          <w14:textFill>
            <w14:solidFill>
              <w14:schemeClr w14:val="tx1"/>
            </w14:solidFill>
          </w14:textFill>
        </w:rPr>
        <w:t>2范围。</w:t>
      </w:r>
      <w:r>
        <w:rPr>
          <w:bCs/>
          <w:color w:val="000000" w:themeColor="text1"/>
          <w14:textFill>
            <w14:solidFill>
              <w14:schemeClr w14:val="tx1"/>
            </w14:solidFill>
          </w14:textFill>
        </w:rPr>
        <w:t>项目</w:t>
      </w:r>
      <w:r>
        <w:rPr>
          <w:rFonts w:hint="eastAsia"/>
          <w:color w:val="000000" w:themeColor="text1"/>
          <w14:textFill>
            <w14:solidFill>
              <w14:schemeClr w14:val="tx1"/>
            </w14:solidFill>
          </w14:textFill>
        </w:rPr>
        <w:t>CO</w:t>
      </w:r>
      <w:r>
        <w:rPr>
          <w:rFonts w:hint="eastAsia"/>
          <w:bCs/>
          <w:color w:val="000000" w:themeColor="text1"/>
          <w14:textFill>
            <w14:solidFill>
              <w14:schemeClr w14:val="tx1"/>
            </w14:solidFill>
          </w14:textFill>
        </w:rPr>
        <w:t>泄漏</w:t>
      </w:r>
      <w:r>
        <w:rPr>
          <w:bCs/>
          <w:color w:val="000000" w:themeColor="text1"/>
          <w14:textFill>
            <w14:solidFill>
              <w14:schemeClr w14:val="tx1"/>
            </w14:solidFill>
          </w14:textFill>
        </w:rPr>
        <w:t>对项目周边环境影响较</w:t>
      </w:r>
      <w:r>
        <w:rPr>
          <w:rFonts w:hint="eastAsia"/>
          <w:bCs/>
          <w:color w:val="000000" w:themeColor="text1"/>
          <w14:textFill>
            <w14:solidFill>
              <w14:schemeClr w14:val="tx1"/>
            </w14:solidFill>
          </w14:textFill>
        </w:rPr>
        <w:t>小</w:t>
      </w:r>
      <w:r>
        <w:rPr>
          <w:bCs/>
          <w:color w:val="000000" w:themeColor="text1"/>
          <w14:textFill>
            <w14:solidFill>
              <w14:schemeClr w14:val="tx1"/>
            </w14:solidFill>
          </w14:textFill>
        </w:rPr>
        <w:t>。</w:t>
      </w:r>
      <w:r>
        <w:rPr>
          <w:rFonts w:hint="eastAsia"/>
          <w:color w:val="000000" w:themeColor="text1"/>
          <w14:textFill>
            <w14:solidFill>
              <w14:schemeClr w14:val="tx1"/>
            </w14:solidFill>
          </w14:textFill>
        </w:rPr>
        <w:t>一旦发生事故后，应立即采取相关防护措施，及时启动应急预案，减缓事故对厂区周边敏感点的影响。</w:t>
      </w:r>
    </w:p>
    <w:p w14:paraId="56FB6D7C">
      <w:pPr>
        <w:ind w:firstLine="480"/>
        <w:rPr>
          <w:color w:val="000000" w:themeColor="text1"/>
          <w14:textFill>
            <w14:solidFill>
              <w14:schemeClr w14:val="tx1"/>
            </w14:solidFill>
          </w14:textFill>
        </w:rPr>
      </w:pPr>
    </w:p>
    <w:p w14:paraId="0E478EEE">
      <w:pPr>
        <w:ind w:firstLine="480"/>
        <w:rPr>
          <w:color w:val="000000" w:themeColor="text1"/>
          <w14:textFill>
            <w14:solidFill>
              <w14:schemeClr w14:val="tx1"/>
            </w14:solidFill>
          </w14:textFill>
        </w:rPr>
      </w:pPr>
    </w:p>
    <w:p w14:paraId="761AFD93">
      <w:pPr>
        <w:pStyle w:val="7"/>
        <w:rPr>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 </w:t>
      </w:r>
      <w:r>
        <w:rPr>
          <w:color w:val="000000" w:themeColor="text1"/>
          <w14:textFill>
            <w14:solidFill>
              <w14:schemeClr w14:val="tx1"/>
            </w14:solidFill>
          </w14:textFill>
        </w:rPr>
        <w:t>下风向不同距离</w:t>
      </w:r>
      <w:r>
        <w:rPr>
          <w:rFonts w:hint="eastAsia"/>
          <w:color w:val="000000" w:themeColor="text1"/>
          <w14:textFill>
            <w14:solidFill>
              <w14:schemeClr w14:val="tx1"/>
            </w14:solidFill>
          </w14:textFill>
        </w:rPr>
        <w:t>CO</w:t>
      </w:r>
      <w:r>
        <w:rPr>
          <w:color w:val="000000" w:themeColor="text1"/>
          <w14:textFill>
            <w14:solidFill>
              <w14:schemeClr w14:val="tx1"/>
            </w14:solidFill>
          </w14:textFill>
        </w:rPr>
        <w:t>的最大浓度</w:t>
      </w:r>
    </w:p>
    <w:tbl>
      <w:tblPr>
        <w:tblStyle w:val="43"/>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2338"/>
        <w:gridCol w:w="2811"/>
        <w:gridCol w:w="3373"/>
      </w:tblGrid>
      <w:tr w14:paraId="5AF219C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2338" w:type="dxa"/>
            <w:vAlign w:val="center"/>
          </w:tcPr>
          <w:p w14:paraId="70173C10">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下风向距离（m）</w:t>
            </w:r>
          </w:p>
        </w:tc>
        <w:tc>
          <w:tcPr>
            <w:tcW w:w="2811" w:type="dxa"/>
            <w:vAlign w:val="center"/>
          </w:tcPr>
          <w:p w14:paraId="1D7F0A7E">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浓度出现时间（min）</w:t>
            </w:r>
          </w:p>
        </w:tc>
        <w:tc>
          <w:tcPr>
            <w:tcW w:w="3373" w:type="dxa"/>
            <w:vAlign w:val="center"/>
          </w:tcPr>
          <w:p w14:paraId="2CBC6514">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下风向高峰浓度（mg/m</w:t>
            </w:r>
            <w:r>
              <w:rPr>
                <w:color w:val="000000" w:themeColor="text1"/>
                <w:kern w:val="0"/>
                <w:sz w:val="21"/>
                <w:szCs w:val="21"/>
                <w:vertAlign w:val="superscript"/>
                <w14:textFill>
                  <w14:solidFill>
                    <w14:schemeClr w14:val="tx1"/>
                  </w14:solidFill>
                </w14:textFill>
              </w:rPr>
              <w:t>3</w:t>
            </w:r>
            <w:r>
              <w:rPr>
                <w:color w:val="000000" w:themeColor="text1"/>
                <w:kern w:val="0"/>
                <w:sz w:val="21"/>
                <w:szCs w:val="21"/>
                <w14:textFill>
                  <w14:solidFill>
                    <w14:schemeClr w14:val="tx1"/>
                  </w14:solidFill>
                </w14:textFill>
              </w:rPr>
              <w:t>）</w:t>
            </w:r>
          </w:p>
        </w:tc>
      </w:tr>
      <w:tr w14:paraId="7CB10A5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38" w:type="dxa"/>
            <w:shd w:val="clear" w:color="000000" w:fill="FFFFFF"/>
            <w:vAlign w:val="center"/>
          </w:tcPr>
          <w:p w14:paraId="5D9B76C8">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10</w:t>
            </w:r>
          </w:p>
        </w:tc>
        <w:tc>
          <w:tcPr>
            <w:tcW w:w="2811" w:type="dxa"/>
            <w:shd w:val="clear" w:color="000000" w:fill="FFFFFF"/>
            <w:vAlign w:val="center"/>
          </w:tcPr>
          <w:p w14:paraId="36C3E5AB">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0.08 </w:t>
            </w:r>
          </w:p>
        </w:tc>
        <w:tc>
          <w:tcPr>
            <w:tcW w:w="3373" w:type="dxa"/>
            <w:shd w:val="clear" w:color="000000" w:fill="FFFFFF"/>
            <w:vAlign w:val="center"/>
          </w:tcPr>
          <w:p w14:paraId="7E587A16">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2220.80 </w:t>
            </w:r>
          </w:p>
        </w:tc>
      </w:tr>
      <w:tr w14:paraId="3EE05B5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38" w:type="dxa"/>
            <w:shd w:val="clear" w:color="000000" w:fill="FFFFFF"/>
            <w:vAlign w:val="center"/>
          </w:tcPr>
          <w:p w14:paraId="29C67DD7">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20</w:t>
            </w:r>
          </w:p>
        </w:tc>
        <w:tc>
          <w:tcPr>
            <w:tcW w:w="2811" w:type="dxa"/>
            <w:shd w:val="clear" w:color="000000" w:fill="FFFFFF"/>
            <w:vAlign w:val="center"/>
          </w:tcPr>
          <w:p w14:paraId="2202CF12">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0.17 </w:t>
            </w:r>
          </w:p>
        </w:tc>
        <w:tc>
          <w:tcPr>
            <w:tcW w:w="3373" w:type="dxa"/>
            <w:shd w:val="clear" w:color="000000" w:fill="FFFFFF"/>
            <w:vAlign w:val="center"/>
          </w:tcPr>
          <w:p w14:paraId="3946625C">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570.34 </w:t>
            </w:r>
          </w:p>
        </w:tc>
      </w:tr>
      <w:tr w14:paraId="75B0E8F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38" w:type="dxa"/>
            <w:shd w:val="clear" w:color="000000" w:fill="FFFFFF"/>
            <w:vAlign w:val="center"/>
          </w:tcPr>
          <w:p w14:paraId="1DFD5982">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50</w:t>
            </w:r>
          </w:p>
        </w:tc>
        <w:tc>
          <w:tcPr>
            <w:tcW w:w="2811" w:type="dxa"/>
            <w:shd w:val="clear" w:color="000000" w:fill="FFFFFF"/>
            <w:vAlign w:val="center"/>
          </w:tcPr>
          <w:p w14:paraId="308CB214">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0.42 </w:t>
            </w:r>
          </w:p>
        </w:tc>
        <w:tc>
          <w:tcPr>
            <w:tcW w:w="3373" w:type="dxa"/>
            <w:shd w:val="clear" w:color="000000" w:fill="FFFFFF"/>
            <w:vAlign w:val="center"/>
          </w:tcPr>
          <w:p w14:paraId="7511723C">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119.80 </w:t>
            </w:r>
          </w:p>
        </w:tc>
      </w:tr>
      <w:tr w14:paraId="0C108F7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38" w:type="dxa"/>
            <w:shd w:val="clear" w:color="000000" w:fill="FFFFFF"/>
            <w:vAlign w:val="center"/>
          </w:tcPr>
          <w:p w14:paraId="4113D46F">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100</w:t>
            </w:r>
          </w:p>
        </w:tc>
        <w:tc>
          <w:tcPr>
            <w:tcW w:w="2811" w:type="dxa"/>
            <w:shd w:val="clear" w:color="000000" w:fill="FFFFFF"/>
            <w:vAlign w:val="center"/>
          </w:tcPr>
          <w:p w14:paraId="783B043B">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0.83 </w:t>
            </w:r>
          </w:p>
        </w:tc>
        <w:tc>
          <w:tcPr>
            <w:tcW w:w="3373" w:type="dxa"/>
            <w:shd w:val="clear" w:color="000000" w:fill="FFFFFF"/>
            <w:vAlign w:val="center"/>
          </w:tcPr>
          <w:p w14:paraId="59BF6705">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27.58 </w:t>
            </w:r>
          </w:p>
        </w:tc>
      </w:tr>
      <w:tr w14:paraId="72242DB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38" w:type="dxa"/>
            <w:shd w:val="clear" w:color="000000" w:fill="FFFFFF"/>
            <w:vAlign w:val="center"/>
          </w:tcPr>
          <w:p w14:paraId="06359794">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200</w:t>
            </w:r>
          </w:p>
        </w:tc>
        <w:tc>
          <w:tcPr>
            <w:tcW w:w="2811" w:type="dxa"/>
            <w:shd w:val="clear" w:color="000000" w:fill="FFFFFF"/>
            <w:vAlign w:val="center"/>
          </w:tcPr>
          <w:p w14:paraId="673B4846">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1.67 </w:t>
            </w:r>
          </w:p>
        </w:tc>
        <w:tc>
          <w:tcPr>
            <w:tcW w:w="3373" w:type="dxa"/>
            <w:shd w:val="clear" w:color="000000" w:fill="FFFFFF"/>
            <w:vAlign w:val="center"/>
          </w:tcPr>
          <w:p w14:paraId="6CF7169A">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6.01 </w:t>
            </w:r>
          </w:p>
        </w:tc>
      </w:tr>
      <w:tr w14:paraId="27F2BD0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38" w:type="dxa"/>
            <w:shd w:val="clear" w:color="000000" w:fill="FFFFFF"/>
            <w:vAlign w:val="center"/>
          </w:tcPr>
          <w:p w14:paraId="33F6BE05">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300</w:t>
            </w:r>
          </w:p>
        </w:tc>
        <w:tc>
          <w:tcPr>
            <w:tcW w:w="2811" w:type="dxa"/>
            <w:shd w:val="clear" w:color="000000" w:fill="FFFFFF"/>
            <w:vAlign w:val="center"/>
          </w:tcPr>
          <w:p w14:paraId="1A8F3D72">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2.50 </w:t>
            </w:r>
          </w:p>
        </w:tc>
        <w:tc>
          <w:tcPr>
            <w:tcW w:w="3373" w:type="dxa"/>
            <w:shd w:val="clear" w:color="000000" w:fill="FFFFFF"/>
            <w:vAlign w:val="center"/>
          </w:tcPr>
          <w:p w14:paraId="2C4B6434">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2.45 </w:t>
            </w:r>
          </w:p>
        </w:tc>
      </w:tr>
      <w:tr w14:paraId="3DDEFA2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38" w:type="dxa"/>
            <w:shd w:val="clear" w:color="000000" w:fill="FFFFFF"/>
            <w:vAlign w:val="center"/>
          </w:tcPr>
          <w:p w14:paraId="52F18F72">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400</w:t>
            </w:r>
          </w:p>
        </w:tc>
        <w:tc>
          <w:tcPr>
            <w:tcW w:w="2811" w:type="dxa"/>
            <w:shd w:val="clear" w:color="000000" w:fill="FFFFFF"/>
            <w:vAlign w:val="center"/>
          </w:tcPr>
          <w:p w14:paraId="12E68E8B">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3.33 </w:t>
            </w:r>
          </w:p>
        </w:tc>
        <w:tc>
          <w:tcPr>
            <w:tcW w:w="3373" w:type="dxa"/>
            <w:shd w:val="clear" w:color="000000" w:fill="FFFFFF"/>
            <w:vAlign w:val="center"/>
          </w:tcPr>
          <w:p w14:paraId="533FB93E">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1.30 </w:t>
            </w:r>
          </w:p>
        </w:tc>
      </w:tr>
      <w:tr w14:paraId="3E47AE3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38" w:type="dxa"/>
            <w:shd w:val="clear" w:color="000000" w:fill="FFFFFF"/>
            <w:vAlign w:val="center"/>
          </w:tcPr>
          <w:p w14:paraId="4B08064E">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500</w:t>
            </w:r>
          </w:p>
        </w:tc>
        <w:tc>
          <w:tcPr>
            <w:tcW w:w="2811" w:type="dxa"/>
            <w:shd w:val="clear" w:color="000000" w:fill="FFFFFF"/>
            <w:vAlign w:val="center"/>
          </w:tcPr>
          <w:p w14:paraId="0B854D67">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4.17 </w:t>
            </w:r>
          </w:p>
        </w:tc>
        <w:tc>
          <w:tcPr>
            <w:tcW w:w="3373" w:type="dxa"/>
            <w:shd w:val="clear" w:color="000000" w:fill="FFFFFF"/>
            <w:vAlign w:val="center"/>
          </w:tcPr>
          <w:p w14:paraId="2B0BE3E9">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0.79 </w:t>
            </w:r>
          </w:p>
        </w:tc>
      </w:tr>
      <w:tr w14:paraId="272978D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38" w:type="dxa"/>
            <w:shd w:val="clear" w:color="000000" w:fill="FFFFFF"/>
            <w:vAlign w:val="center"/>
          </w:tcPr>
          <w:p w14:paraId="2DF0841D">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1000</w:t>
            </w:r>
          </w:p>
        </w:tc>
        <w:tc>
          <w:tcPr>
            <w:tcW w:w="2811" w:type="dxa"/>
            <w:shd w:val="clear" w:color="000000" w:fill="FFFFFF"/>
            <w:vAlign w:val="center"/>
          </w:tcPr>
          <w:p w14:paraId="403DC677">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8.33 </w:t>
            </w:r>
          </w:p>
        </w:tc>
        <w:tc>
          <w:tcPr>
            <w:tcW w:w="3373" w:type="dxa"/>
            <w:shd w:val="clear" w:color="000000" w:fill="FFFFFF"/>
            <w:vAlign w:val="center"/>
          </w:tcPr>
          <w:p w14:paraId="53A925AA">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0.14 </w:t>
            </w:r>
          </w:p>
        </w:tc>
      </w:tr>
      <w:tr w14:paraId="590B178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38" w:type="dxa"/>
            <w:shd w:val="clear" w:color="000000" w:fill="FFFFFF"/>
            <w:vAlign w:val="center"/>
          </w:tcPr>
          <w:p w14:paraId="46DB87DB">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1500</w:t>
            </w:r>
          </w:p>
        </w:tc>
        <w:tc>
          <w:tcPr>
            <w:tcW w:w="2811" w:type="dxa"/>
            <w:shd w:val="clear" w:color="000000" w:fill="FFFFFF"/>
            <w:vAlign w:val="center"/>
          </w:tcPr>
          <w:p w14:paraId="2879AF89">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12.50 </w:t>
            </w:r>
          </w:p>
        </w:tc>
        <w:tc>
          <w:tcPr>
            <w:tcW w:w="3373" w:type="dxa"/>
            <w:shd w:val="clear" w:color="000000" w:fill="FFFFFF"/>
            <w:vAlign w:val="center"/>
          </w:tcPr>
          <w:p w14:paraId="06018FF7">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0.04 </w:t>
            </w:r>
          </w:p>
        </w:tc>
      </w:tr>
      <w:tr w14:paraId="1D0FDAB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38" w:type="dxa"/>
            <w:shd w:val="clear" w:color="000000" w:fill="FFFFFF"/>
            <w:vAlign w:val="center"/>
          </w:tcPr>
          <w:p w14:paraId="78715C11">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2000</w:t>
            </w:r>
          </w:p>
        </w:tc>
        <w:tc>
          <w:tcPr>
            <w:tcW w:w="2811" w:type="dxa"/>
            <w:shd w:val="clear" w:color="000000" w:fill="FFFFFF"/>
            <w:vAlign w:val="center"/>
          </w:tcPr>
          <w:p w14:paraId="0AFE7393">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23.67 </w:t>
            </w:r>
          </w:p>
        </w:tc>
        <w:tc>
          <w:tcPr>
            <w:tcW w:w="3373" w:type="dxa"/>
            <w:shd w:val="clear" w:color="000000" w:fill="FFFFFF"/>
            <w:vAlign w:val="center"/>
          </w:tcPr>
          <w:p w14:paraId="752A0E71">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0.02 </w:t>
            </w:r>
          </w:p>
        </w:tc>
      </w:tr>
      <w:tr w14:paraId="33E5DBF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38" w:type="dxa"/>
            <w:shd w:val="clear" w:color="000000" w:fill="FFFFFF"/>
            <w:vAlign w:val="center"/>
          </w:tcPr>
          <w:p w14:paraId="4DA2B2E7">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3000</w:t>
            </w:r>
          </w:p>
        </w:tc>
        <w:tc>
          <w:tcPr>
            <w:tcW w:w="2811" w:type="dxa"/>
            <w:shd w:val="clear" w:color="000000" w:fill="FFFFFF"/>
            <w:vAlign w:val="center"/>
          </w:tcPr>
          <w:p w14:paraId="7BA21138">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32.00 </w:t>
            </w:r>
          </w:p>
        </w:tc>
        <w:tc>
          <w:tcPr>
            <w:tcW w:w="3373" w:type="dxa"/>
            <w:shd w:val="clear" w:color="000000" w:fill="FFFFFF"/>
            <w:vAlign w:val="center"/>
          </w:tcPr>
          <w:p w14:paraId="32AFCA8B">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0.00 </w:t>
            </w:r>
          </w:p>
        </w:tc>
      </w:tr>
      <w:tr w14:paraId="42B5B08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38" w:type="dxa"/>
            <w:shd w:val="clear" w:color="000000" w:fill="FFFFFF"/>
            <w:vAlign w:val="center"/>
          </w:tcPr>
          <w:p w14:paraId="2EE33BF6">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4000</w:t>
            </w:r>
          </w:p>
        </w:tc>
        <w:tc>
          <w:tcPr>
            <w:tcW w:w="2811" w:type="dxa"/>
            <w:shd w:val="clear" w:color="000000" w:fill="FFFFFF"/>
            <w:vAlign w:val="center"/>
          </w:tcPr>
          <w:p w14:paraId="4A8D5AA2">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40.33 </w:t>
            </w:r>
          </w:p>
        </w:tc>
        <w:tc>
          <w:tcPr>
            <w:tcW w:w="3373" w:type="dxa"/>
            <w:shd w:val="clear" w:color="000000" w:fill="FFFFFF"/>
            <w:vAlign w:val="center"/>
          </w:tcPr>
          <w:p w14:paraId="2BFA2482">
            <w:pPr>
              <w:spacing w:line="240" w:lineRule="atLeas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0.00 </w:t>
            </w:r>
          </w:p>
        </w:tc>
      </w:tr>
    </w:tbl>
    <w:p w14:paraId="2E0A3C04">
      <w:pPr>
        <w:pStyle w:val="7"/>
        <w:rPr>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  CO泄漏超出阈值的范围</w:t>
      </w:r>
    </w:p>
    <w:tbl>
      <w:tblPr>
        <w:tblStyle w:val="43"/>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3226"/>
        <w:gridCol w:w="2700"/>
        <w:gridCol w:w="2596"/>
      </w:tblGrid>
      <w:tr w14:paraId="599BF47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3228" w:type="dxa"/>
            <w:vMerge w:val="restart"/>
            <w:vAlign w:val="center"/>
          </w:tcPr>
          <w:p w14:paraId="7768FDC9">
            <w:pPr>
              <w:pStyle w:val="128"/>
              <w:widowControl w:val="0"/>
              <w:adjustRightInd w:val="0"/>
              <w:snapToGrid w:val="0"/>
              <w:spacing w:line="240" w:lineRule="exact"/>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超过大气毒性终点浓度-1</w:t>
            </w:r>
          </w:p>
        </w:tc>
        <w:tc>
          <w:tcPr>
            <w:tcW w:w="2702" w:type="dxa"/>
            <w:vAlign w:val="center"/>
          </w:tcPr>
          <w:p w14:paraId="6DF489C0">
            <w:pPr>
              <w:pStyle w:val="128"/>
              <w:widowControl w:val="0"/>
              <w:adjustRightInd w:val="0"/>
              <w:snapToGrid w:val="0"/>
              <w:spacing w:line="240" w:lineRule="exact"/>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阈值（mg/m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w:t>
            </w:r>
          </w:p>
        </w:tc>
        <w:tc>
          <w:tcPr>
            <w:tcW w:w="2598" w:type="dxa"/>
            <w:vAlign w:val="center"/>
          </w:tcPr>
          <w:p w14:paraId="73998060">
            <w:pPr>
              <w:pStyle w:val="128"/>
              <w:widowControl w:val="0"/>
              <w:adjustRightInd w:val="0"/>
              <w:snapToGrid w:val="0"/>
              <w:spacing w:line="240" w:lineRule="exact"/>
              <w:jc w:val="center"/>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380</w:t>
            </w:r>
          </w:p>
        </w:tc>
      </w:tr>
      <w:tr w14:paraId="340E353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3228" w:type="dxa"/>
            <w:vMerge w:val="continue"/>
            <w:vAlign w:val="center"/>
          </w:tcPr>
          <w:p w14:paraId="63AA527E">
            <w:pPr>
              <w:pStyle w:val="128"/>
              <w:widowControl w:val="0"/>
              <w:spacing w:line="240" w:lineRule="exact"/>
              <w:jc w:val="center"/>
              <w:rPr>
                <w:rFonts w:ascii="Times New Roman" w:hAnsi="Times New Roman" w:cs="Times New Roman"/>
                <w:color w:val="000000" w:themeColor="text1"/>
                <w14:textFill>
                  <w14:solidFill>
                    <w14:schemeClr w14:val="tx1"/>
                  </w14:solidFill>
                </w14:textFill>
              </w:rPr>
            </w:pPr>
          </w:p>
        </w:tc>
        <w:tc>
          <w:tcPr>
            <w:tcW w:w="2702" w:type="dxa"/>
            <w:vAlign w:val="center"/>
          </w:tcPr>
          <w:p w14:paraId="7E72D0B9">
            <w:pPr>
              <w:pStyle w:val="128"/>
              <w:widowControl w:val="0"/>
              <w:spacing w:line="240" w:lineRule="exact"/>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最大</w:t>
            </w:r>
            <w:r>
              <w:rPr>
                <w:rFonts w:hint="eastAsia" w:ascii="Times New Roman" w:hAnsi="Times New Roman" w:cs="Times New Roman"/>
                <w:color w:val="000000" w:themeColor="text1"/>
                <w14:textFill>
                  <w14:solidFill>
                    <w14:schemeClr w14:val="tx1"/>
                  </w14:solidFill>
                </w14:textFill>
              </w:rPr>
              <w:t>影响距离</w:t>
            </w:r>
            <w:r>
              <w:rPr>
                <w:rFonts w:ascii="Times New Roman" w:hAnsi="Times New Roman" w:cs="Times New Roman"/>
                <w:color w:val="000000" w:themeColor="text1"/>
                <w14:textFill>
                  <w14:solidFill>
                    <w14:schemeClr w14:val="tx1"/>
                  </w14:solidFill>
                </w14:textFill>
              </w:rPr>
              <w:t>（m）</w:t>
            </w:r>
          </w:p>
        </w:tc>
        <w:tc>
          <w:tcPr>
            <w:tcW w:w="2598" w:type="dxa"/>
            <w:vAlign w:val="center"/>
          </w:tcPr>
          <w:p w14:paraId="42E879B1">
            <w:pPr>
              <w:pStyle w:val="128"/>
              <w:widowControl w:val="0"/>
              <w:spacing w:line="240" w:lineRule="exact"/>
              <w:jc w:val="center"/>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32</w:t>
            </w:r>
          </w:p>
        </w:tc>
      </w:tr>
      <w:tr w14:paraId="59DB94A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3228" w:type="dxa"/>
            <w:vMerge w:val="continue"/>
            <w:vAlign w:val="center"/>
          </w:tcPr>
          <w:p w14:paraId="50934BB8">
            <w:pPr>
              <w:pStyle w:val="128"/>
              <w:widowControl w:val="0"/>
              <w:spacing w:line="240" w:lineRule="exact"/>
              <w:jc w:val="center"/>
              <w:rPr>
                <w:rFonts w:ascii="Times New Roman" w:hAnsi="Times New Roman" w:cs="Times New Roman"/>
                <w:color w:val="000000" w:themeColor="text1"/>
                <w14:textFill>
                  <w14:solidFill>
                    <w14:schemeClr w14:val="tx1"/>
                  </w14:solidFill>
                </w14:textFill>
              </w:rPr>
            </w:pPr>
          </w:p>
        </w:tc>
        <w:tc>
          <w:tcPr>
            <w:tcW w:w="2702" w:type="dxa"/>
            <w:vAlign w:val="center"/>
          </w:tcPr>
          <w:p w14:paraId="5365FB12">
            <w:pPr>
              <w:pStyle w:val="128"/>
              <w:widowControl w:val="0"/>
              <w:spacing w:line="240" w:lineRule="exact"/>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影响范围（</w:t>
            </w:r>
            <w:r>
              <w:rPr>
                <w:rFonts w:hint="eastAsia" w:ascii="Times New Roman" w:hAnsi="Times New Roman" w:cs="Times New Roman"/>
                <w:color w:val="000000" w:themeColor="text1"/>
                <w14:textFill>
                  <w14:solidFill>
                    <w14:schemeClr w14:val="tx1"/>
                  </w14:solidFill>
                </w14:textFill>
              </w:rPr>
              <w:t>h</w:t>
            </w:r>
            <w:r>
              <w:rPr>
                <w:rFonts w:ascii="Times New Roman" w:hAnsi="Times New Roman" w:cs="Times New Roman"/>
                <w:color w:val="000000" w:themeColor="text1"/>
                <w14:textFill>
                  <w14:solidFill>
                    <w14:schemeClr w14:val="tx1"/>
                  </w14:solidFill>
                </w14:textFill>
              </w:rPr>
              <w:t>m</w:t>
            </w:r>
            <w:r>
              <w:rPr>
                <w:rFonts w:hint="eastAsia"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w:t>
            </w:r>
          </w:p>
        </w:tc>
        <w:tc>
          <w:tcPr>
            <w:tcW w:w="2598" w:type="dxa"/>
            <w:vAlign w:val="center"/>
          </w:tcPr>
          <w:p w14:paraId="0E8DB96C">
            <w:pPr>
              <w:pStyle w:val="128"/>
              <w:widowControl w:val="0"/>
              <w:spacing w:line="240" w:lineRule="exact"/>
              <w:jc w:val="center"/>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0.62</w:t>
            </w:r>
          </w:p>
        </w:tc>
      </w:tr>
      <w:tr w14:paraId="0194F9E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3228" w:type="dxa"/>
            <w:vMerge w:val="restart"/>
            <w:vAlign w:val="center"/>
          </w:tcPr>
          <w:p w14:paraId="540B6B5F">
            <w:pPr>
              <w:pStyle w:val="128"/>
              <w:widowControl w:val="0"/>
              <w:spacing w:line="240" w:lineRule="exact"/>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超过大气毒性终点浓度-2</w:t>
            </w:r>
          </w:p>
        </w:tc>
        <w:tc>
          <w:tcPr>
            <w:tcW w:w="2702" w:type="dxa"/>
            <w:vAlign w:val="center"/>
          </w:tcPr>
          <w:p w14:paraId="77402015">
            <w:pPr>
              <w:pStyle w:val="128"/>
              <w:widowControl w:val="0"/>
              <w:spacing w:line="240" w:lineRule="exact"/>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阈值（mg/m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w:t>
            </w:r>
          </w:p>
        </w:tc>
        <w:tc>
          <w:tcPr>
            <w:tcW w:w="2598" w:type="dxa"/>
            <w:vAlign w:val="center"/>
          </w:tcPr>
          <w:p w14:paraId="35FA75AF">
            <w:pPr>
              <w:pStyle w:val="128"/>
              <w:widowControl w:val="0"/>
              <w:spacing w:line="240" w:lineRule="exact"/>
              <w:jc w:val="center"/>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95</w:t>
            </w:r>
          </w:p>
        </w:tc>
      </w:tr>
      <w:tr w14:paraId="3631BCC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3228" w:type="dxa"/>
            <w:vMerge w:val="continue"/>
            <w:vAlign w:val="center"/>
          </w:tcPr>
          <w:p w14:paraId="182BA064">
            <w:pPr>
              <w:pStyle w:val="128"/>
              <w:widowControl w:val="0"/>
              <w:spacing w:line="240" w:lineRule="exact"/>
              <w:jc w:val="center"/>
              <w:rPr>
                <w:rFonts w:ascii="Times New Roman" w:hAnsi="Times New Roman" w:cs="Times New Roman"/>
                <w:color w:val="000000" w:themeColor="text1"/>
                <w14:textFill>
                  <w14:solidFill>
                    <w14:schemeClr w14:val="tx1"/>
                  </w14:solidFill>
                </w14:textFill>
              </w:rPr>
            </w:pPr>
          </w:p>
        </w:tc>
        <w:tc>
          <w:tcPr>
            <w:tcW w:w="2702" w:type="dxa"/>
            <w:vAlign w:val="center"/>
          </w:tcPr>
          <w:p w14:paraId="214C3753">
            <w:pPr>
              <w:pStyle w:val="128"/>
              <w:widowControl w:val="0"/>
              <w:spacing w:line="240" w:lineRule="exact"/>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最大</w:t>
            </w:r>
            <w:r>
              <w:rPr>
                <w:rFonts w:hint="eastAsia" w:ascii="Times New Roman" w:hAnsi="Times New Roman" w:cs="Times New Roman"/>
                <w:color w:val="000000" w:themeColor="text1"/>
                <w14:textFill>
                  <w14:solidFill>
                    <w14:schemeClr w14:val="tx1"/>
                  </w14:solidFill>
                </w14:textFill>
              </w:rPr>
              <w:t>影响距离</w:t>
            </w:r>
            <w:r>
              <w:rPr>
                <w:rFonts w:ascii="Times New Roman" w:hAnsi="Times New Roman" w:cs="Times New Roman"/>
                <w:color w:val="000000" w:themeColor="text1"/>
                <w14:textFill>
                  <w14:solidFill>
                    <w14:schemeClr w14:val="tx1"/>
                  </w14:solidFill>
                </w14:textFill>
              </w:rPr>
              <w:t>（m）</w:t>
            </w:r>
          </w:p>
        </w:tc>
        <w:tc>
          <w:tcPr>
            <w:tcW w:w="2598" w:type="dxa"/>
            <w:vAlign w:val="center"/>
          </w:tcPr>
          <w:p w14:paraId="1F539328">
            <w:pPr>
              <w:pStyle w:val="128"/>
              <w:widowControl w:val="0"/>
              <w:spacing w:line="240" w:lineRule="exact"/>
              <w:jc w:val="center"/>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16</w:t>
            </w:r>
          </w:p>
        </w:tc>
      </w:tr>
      <w:tr w14:paraId="2354A02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3228" w:type="dxa"/>
            <w:vMerge w:val="continue"/>
            <w:vAlign w:val="center"/>
          </w:tcPr>
          <w:p w14:paraId="7AD98541">
            <w:pPr>
              <w:pStyle w:val="128"/>
              <w:widowControl w:val="0"/>
              <w:spacing w:line="240" w:lineRule="exact"/>
              <w:jc w:val="center"/>
              <w:rPr>
                <w:rFonts w:ascii="Times New Roman" w:hAnsi="Times New Roman" w:cs="Times New Roman"/>
                <w:color w:val="000000" w:themeColor="text1"/>
                <w14:textFill>
                  <w14:solidFill>
                    <w14:schemeClr w14:val="tx1"/>
                  </w14:solidFill>
                </w14:textFill>
              </w:rPr>
            </w:pPr>
          </w:p>
        </w:tc>
        <w:tc>
          <w:tcPr>
            <w:tcW w:w="2702" w:type="dxa"/>
            <w:vAlign w:val="center"/>
          </w:tcPr>
          <w:p w14:paraId="165CC48E">
            <w:pPr>
              <w:pStyle w:val="128"/>
              <w:widowControl w:val="0"/>
              <w:spacing w:line="240" w:lineRule="exact"/>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影响范围（</w:t>
            </w:r>
            <w:r>
              <w:rPr>
                <w:rFonts w:hint="eastAsia" w:ascii="Times New Roman" w:hAnsi="Times New Roman" w:cs="Times New Roman"/>
                <w:color w:val="000000" w:themeColor="text1"/>
                <w14:textFill>
                  <w14:solidFill>
                    <w14:schemeClr w14:val="tx1"/>
                  </w14:solidFill>
                </w14:textFill>
              </w:rPr>
              <w:t>h</w:t>
            </w:r>
            <w:r>
              <w:rPr>
                <w:rFonts w:ascii="Times New Roman" w:hAnsi="Times New Roman" w:cs="Times New Roman"/>
                <w:color w:val="000000" w:themeColor="text1"/>
                <w14:textFill>
                  <w14:solidFill>
                    <w14:schemeClr w14:val="tx1"/>
                  </w14:solidFill>
                </w14:textFill>
              </w:rPr>
              <w:t>m</w:t>
            </w:r>
            <w:r>
              <w:rPr>
                <w:rFonts w:hint="eastAsia"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w:t>
            </w:r>
          </w:p>
        </w:tc>
        <w:tc>
          <w:tcPr>
            <w:tcW w:w="2598" w:type="dxa"/>
            <w:vAlign w:val="center"/>
          </w:tcPr>
          <w:p w14:paraId="7E361A54">
            <w:pPr>
              <w:pStyle w:val="128"/>
              <w:widowControl w:val="0"/>
              <w:spacing w:line="240" w:lineRule="exact"/>
              <w:jc w:val="center"/>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3.29</w:t>
            </w:r>
          </w:p>
        </w:tc>
      </w:tr>
    </w:tbl>
    <w:p w14:paraId="0EA5AF13">
      <w:pPr>
        <w:ind w:firstLine="480"/>
        <w:rPr>
          <w:color w:val="000000" w:themeColor="text1"/>
          <w14:textFill>
            <w14:solidFill>
              <w14:schemeClr w14:val="tx1"/>
            </w14:solidFill>
          </w14:textFill>
        </w:rPr>
      </w:pPr>
    </w:p>
    <w:p w14:paraId="179F7339">
      <w:pPr>
        <w:ind w:firstLine="0" w:firstLineChars="0"/>
        <w:jc w:val="center"/>
        <w:rPr>
          <w:b/>
          <w:bCs/>
          <w:color w:val="000000" w:themeColor="text1"/>
          <w14:textFill>
            <w14:solidFill>
              <w14:schemeClr w14:val="tx1"/>
            </w14:solidFill>
          </w14:textFill>
        </w:rPr>
      </w:pPr>
      <w:r>
        <w:rPr>
          <w:rFonts w:hint="eastAsia"/>
          <w:b/>
          <w:bCs/>
          <w:color w:val="000000" w:themeColor="text1"/>
          <w:szCs w:val="21"/>
          <w14:textFill>
            <w14:solidFill>
              <w14:schemeClr w14:val="tx1"/>
            </w14:solidFill>
          </w14:textFill>
        </w:rPr>
        <w:t xml:space="preserve">表5.6-12   大气敏感保护目标CO最大影响预测结果  </w:t>
      </w:r>
      <w:r>
        <w:rPr>
          <w:rFonts w:hint="eastAsia"/>
          <w:b/>
          <w:bCs/>
          <w:color w:val="000000" w:themeColor="text1"/>
          <w14:textFill>
            <w14:solidFill>
              <w14:schemeClr w14:val="tx1"/>
            </w14:solidFill>
          </w14:textFill>
        </w:rPr>
        <w:t xml:space="preserve">   单位：mg/m</w:t>
      </w:r>
      <w:r>
        <w:rPr>
          <w:rFonts w:hint="eastAsia"/>
          <w:b/>
          <w:bCs/>
          <w:color w:val="000000" w:themeColor="text1"/>
          <w:vertAlign w:val="superscript"/>
          <w14:textFill>
            <w14:solidFill>
              <w14:schemeClr w14:val="tx1"/>
            </w14:solidFill>
          </w14:textFill>
        </w:rPr>
        <w:t>3</w:t>
      </w:r>
    </w:p>
    <w:tbl>
      <w:tblPr>
        <w:tblStyle w:val="43"/>
        <w:tblW w:w="5707"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0" w:type="dxa"/>
          <w:bottom w:w="0" w:type="dxa"/>
          <w:right w:w="0" w:type="dxa"/>
        </w:tblCellMar>
      </w:tblPr>
      <w:tblGrid>
        <w:gridCol w:w="326"/>
        <w:gridCol w:w="1135"/>
        <w:gridCol w:w="720"/>
        <w:gridCol w:w="819"/>
        <w:gridCol w:w="540"/>
        <w:gridCol w:w="600"/>
        <w:gridCol w:w="596"/>
        <w:gridCol w:w="607"/>
        <w:gridCol w:w="676"/>
        <w:gridCol w:w="617"/>
        <w:gridCol w:w="659"/>
        <w:gridCol w:w="808"/>
        <w:gridCol w:w="631"/>
        <w:gridCol w:w="781"/>
      </w:tblGrid>
      <w:tr w14:paraId="4528C03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504" w:hRule="atLeast"/>
          <w:tblHeader/>
          <w:jc w:val="center"/>
        </w:trPr>
        <w:tc>
          <w:tcPr>
            <w:tcW w:w="325" w:type="dxa"/>
            <w:vMerge w:val="restart"/>
            <w:noWrap/>
            <w:vAlign w:val="center"/>
          </w:tcPr>
          <w:p w14:paraId="766221CA">
            <w:pPr>
              <w:widowControl/>
              <w:adjustRightInd w:val="0"/>
              <w:snapToGrid w:val="0"/>
              <w:spacing w:line="240" w:lineRule="auto"/>
              <w:ind w:firstLine="0" w:firstLineChars="0"/>
              <w:jc w:val="center"/>
              <w:textAlignment w:val="center"/>
              <w:rPr>
                <w:rFonts w:cs="宋体"/>
                <w:b/>
                <w:bCs/>
                <w:color w:val="000000" w:themeColor="text1"/>
                <w:sz w:val="21"/>
                <w:szCs w:val="21"/>
                <w14:textFill>
                  <w14:solidFill>
                    <w14:schemeClr w14:val="tx1"/>
                  </w14:solidFill>
                </w14:textFill>
              </w:rPr>
            </w:pPr>
            <w:r>
              <w:rPr>
                <w:rFonts w:hint="eastAsia" w:cs="宋体"/>
                <w:b/>
                <w:bCs/>
                <w:color w:val="000000" w:themeColor="text1"/>
                <w:kern w:val="0"/>
                <w:sz w:val="21"/>
                <w:szCs w:val="21"/>
                <w:lang w:bidi="ar"/>
                <w14:textFill>
                  <w14:solidFill>
                    <w14:schemeClr w14:val="tx1"/>
                  </w14:solidFill>
                </w14:textFill>
              </w:rPr>
              <w:t>序号</w:t>
            </w:r>
          </w:p>
        </w:tc>
        <w:tc>
          <w:tcPr>
            <w:tcW w:w="1132" w:type="dxa"/>
            <w:vMerge w:val="restart"/>
            <w:noWrap/>
            <w:vAlign w:val="center"/>
          </w:tcPr>
          <w:p w14:paraId="48544A50">
            <w:pPr>
              <w:widowControl/>
              <w:adjustRightInd w:val="0"/>
              <w:snapToGrid w:val="0"/>
              <w:spacing w:line="240" w:lineRule="auto"/>
              <w:ind w:firstLine="0" w:firstLineChars="0"/>
              <w:jc w:val="center"/>
              <w:textAlignment w:val="center"/>
              <w:rPr>
                <w:rFonts w:cs="宋体"/>
                <w:b/>
                <w:bCs/>
                <w:color w:val="000000" w:themeColor="text1"/>
                <w:sz w:val="21"/>
                <w:szCs w:val="21"/>
                <w14:textFill>
                  <w14:solidFill>
                    <w14:schemeClr w14:val="tx1"/>
                  </w14:solidFill>
                </w14:textFill>
              </w:rPr>
            </w:pPr>
            <w:r>
              <w:rPr>
                <w:rFonts w:hint="eastAsia" w:cs="宋体"/>
                <w:b/>
                <w:bCs/>
                <w:color w:val="000000" w:themeColor="text1"/>
                <w:kern w:val="0"/>
                <w:sz w:val="21"/>
                <w:szCs w:val="21"/>
                <w:lang w:bidi="ar"/>
                <w14:textFill>
                  <w14:solidFill>
                    <w14:schemeClr w14:val="tx1"/>
                  </w14:solidFill>
                </w14:textFill>
              </w:rPr>
              <w:t>名称</w:t>
            </w:r>
          </w:p>
        </w:tc>
        <w:tc>
          <w:tcPr>
            <w:tcW w:w="718" w:type="dxa"/>
            <w:vMerge w:val="restart"/>
            <w:noWrap/>
            <w:vAlign w:val="center"/>
          </w:tcPr>
          <w:p w14:paraId="2E18C59F">
            <w:pPr>
              <w:widowControl/>
              <w:adjustRightInd w:val="0"/>
              <w:snapToGrid w:val="0"/>
              <w:spacing w:line="240" w:lineRule="auto"/>
              <w:ind w:firstLine="0" w:firstLineChars="0"/>
              <w:jc w:val="center"/>
              <w:textAlignment w:val="center"/>
              <w:rPr>
                <w:rFonts w:cs="宋体"/>
                <w:b/>
                <w:bCs/>
                <w:color w:val="000000" w:themeColor="text1"/>
                <w:kern w:val="0"/>
                <w:sz w:val="21"/>
                <w:szCs w:val="21"/>
                <w:lang w:bidi="ar"/>
                <w14:textFill>
                  <w14:solidFill>
                    <w14:schemeClr w14:val="tx1"/>
                  </w14:solidFill>
                </w14:textFill>
              </w:rPr>
            </w:pPr>
            <w:r>
              <w:rPr>
                <w:rFonts w:hint="eastAsia" w:cs="宋体"/>
                <w:b/>
                <w:bCs/>
                <w:color w:val="000000" w:themeColor="text1"/>
                <w:kern w:val="0"/>
                <w:sz w:val="21"/>
                <w:szCs w:val="21"/>
                <w:lang w:bidi="ar"/>
                <w14:textFill>
                  <w14:solidFill>
                    <w14:schemeClr w14:val="tx1"/>
                  </w14:solidFill>
                </w14:textFill>
              </w:rPr>
              <w:t>与事故源的相对距离（km）</w:t>
            </w:r>
          </w:p>
        </w:tc>
        <w:tc>
          <w:tcPr>
            <w:tcW w:w="817" w:type="dxa"/>
            <w:vMerge w:val="restart"/>
            <w:noWrap/>
            <w:vAlign w:val="center"/>
          </w:tcPr>
          <w:p w14:paraId="7A376016">
            <w:pPr>
              <w:widowControl/>
              <w:adjustRightInd w:val="0"/>
              <w:snapToGrid w:val="0"/>
              <w:spacing w:line="240" w:lineRule="auto"/>
              <w:ind w:firstLine="0" w:firstLineChars="0"/>
              <w:jc w:val="center"/>
              <w:textAlignment w:val="center"/>
              <w:rPr>
                <w:rFonts w:cs="宋体"/>
                <w:b/>
                <w:bCs/>
                <w:color w:val="000000" w:themeColor="text1"/>
                <w:sz w:val="21"/>
                <w:szCs w:val="21"/>
                <w14:textFill>
                  <w14:solidFill>
                    <w14:schemeClr w14:val="tx1"/>
                  </w14:solidFill>
                </w14:textFill>
              </w:rPr>
            </w:pPr>
            <w:r>
              <w:rPr>
                <w:rFonts w:hint="eastAsia" w:cs="宋体"/>
                <w:b/>
                <w:bCs/>
                <w:color w:val="000000" w:themeColor="text1"/>
                <w:kern w:val="0"/>
                <w:sz w:val="21"/>
                <w:szCs w:val="21"/>
                <w:lang w:bidi="ar"/>
                <w14:textFill>
                  <w14:solidFill>
                    <w14:schemeClr w14:val="tx1"/>
                  </w14:solidFill>
                </w14:textFill>
              </w:rPr>
              <w:t>最大浓度|时间(min)</w:t>
            </w:r>
          </w:p>
        </w:tc>
        <w:tc>
          <w:tcPr>
            <w:tcW w:w="539" w:type="dxa"/>
            <w:vMerge w:val="restart"/>
            <w:noWrap/>
            <w:vAlign w:val="center"/>
          </w:tcPr>
          <w:p w14:paraId="7AD45135">
            <w:pPr>
              <w:widowControl/>
              <w:adjustRightInd w:val="0"/>
              <w:snapToGrid w:val="0"/>
              <w:spacing w:line="240" w:lineRule="auto"/>
              <w:ind w:firstLine="0" w:firstLineChars="0"/>
              <w:jc w:val="center"/>
              <w:textAlignment w:val="center"/>
              <w:rPr>
                <w:rFonts w:cs="宋体"/>
                <w:b/>
                <w:bCs/>
                <w:color w:val="000000" w:themeColor="text1"/>
                <w:sz w:val="21"/>
                <w:szCs w:val="21"/>
                <w14:textFill>
                  <w14:solidFill>
                    <w14:schemeClr w14:val="tx1"/>
                  </w14:solidFill>
                </w14:textFill>
              </w:rPr>
            </w:pPr>
            <w:r>
              <w:rPr>
                <w:rFonts w:hint="eastAsia" w:cs="宋体"/>
                <w:b/>
                <w:bCs/>
                <w:color w:val="000000" w:themeColor="text1"/>
                <w:kern w:val="0"/>
                <w:sz w:val="21"/>
                <w:szCs w:val="21"/>
                <w:lang w:bidi="ar"/>
                <w14:textFill>
                  <w14:solidFill>
                    <w14:schemeClr w14:val="tx1"/>
                  </w14:solidFill>
                </w14:textFill>
              </w:rPr>
              <w:t>5min</w:t>
            </w:r>
          </w:p>
        </w:tc>
        <w:tc>
          <w:tcPr>
            <w:tcW w:w="599" w:type="dxa"/>
            <w:vMerge w:val="restart"/>
            <w:noWrap/>
            <w:vAlign w:val="center"/>
          </w:tcPr>
          <w:p w14:paraId="5398C3D7">
            <w:pPr>
              <w:widowControl/>
              <w:adjustRightInd w:val="0"/>
              <w:snapToGrid w:val="0"/>
              <w:spacing w:line="240" w:lineRule="auto"/>
              <w:ind w:firstLine="0" w:firstLineChars="0"/>
              <w:jc w:val="center"/>
              <w:textAlignment w:val="center"/>
              <w:rPr>
                <w:rFonts w:cs="宋体"/>
                <w:b/>
                <w:bCs/>
                <w:color w:val="000000" w:themeColor="text1"/>
                <w:sz w:val="21"/>
                <w:szCs w:val="21"/>
                <w14:textFill>
                  <w14:solidFill>
                    <w14:schemeClr w14:val="tx1"/>
                  </w14:solidFill>
                </w14:textFill>
              </w:rPr>
            </w:pPr>
            <w:r>
              <w:rPr>
                <w:rFonts w:hint="eastAsia" w:cs="宋体"/>
                <w:b/>
                <w:bCs/>
                <w:color w:val="000000" w:themeColor="text1"/>
                <w:kern w:val="0"/>
                <w:sz w:val="21"/>
                <w:szCs w:val="21"/>
                <w:lang w:bidi="ar"/>
                <w14:textFill>
                  <w14:solidFill>
                    <w14:schemeClr w14:val="tx1"/>
                  </w14:solidFill>
                </w14:textFill>
              </w:rPr>
              <w:t>10min</w:t>
            </w:r>
          </w:p>
        </w:tc>
        <w:tc>
          <w:tcPr>
            <w:tcW w:w="595" w:type="dxa"/>
            <w:vMerge w:val="restart"/>
            <w:noWrap/>
            <w:vAlign w:val="center"/>
          </w:tcPr>
          <w:p w14:paraId="3D98BD48">
            <w:pPr>
              <w:widowControl/>
              <w:adjustRightInd w:val="0"/>
              <w:snapToGrid w:val="0"/>
              <w:spacing w:line="240" w:lineRule="auto"/>
              <w:ind w:firstLine="0" w:firstLineChars="0"/>
              <w:jc w:val="center"/>
              <w:textAlignment w:val="center"/>
              <w:rPr>
                <w:rFonts w:cs="宋体"/>
                <w:b/>
                <w:bCs/>
                <w:color w:val="000000" w:themeColor="text1"/>
                <w:sz w:val="21"/>
                <w:szCs w:val="21"/>
                <w14:textFill>
                  <w14:solidFill>
                    <w14:schemeClr w14:val="tx1"/>
                  </w14:solidFill>
                </w14:textFill>
              </w:rPr>
            </w:pPr>
            <w:r>
              <w:rPr>
                <w:rFonts w:hint="eastAsia" w:cs="宋体"/>
                <w:b/>
                <w:bCs/>
                <w:color w:val="000000" w:themeColor="text1"/>
                <w:kern w:val="0"/>
                <w:sz w:val="21"/>
                <w:szCs w:val="21"/>
                <w:lang w:bidi="ar"/>
                <w14:textFill>
                  <w14:solidFill>
                    <w14:schemeClr w14:val="tx1"/>
                  </w14:solidFill>
                </w14:textFill>
              </w:rPr>
              <w:t>15min</w:t>
            </w:r>
          </w:p>
        </w:tc>
        <w:tc>
          <w:tcPr>
            <w:tcW w:w="606" w:type="dxa"/>
            <w:vMerge w:val="restart"/>
            <w:noWrap/>
            <w:vAlign w:val="center"/>
          </w:tcPr>
          <w:p w14:paraId="79849709">
            <w:pPr>
              <w:widowControl/>
              <w:adjustRightInd w:val="0"/>
              <w:snapToGrid w:val="0"/>
              <w:spacing w:line="240" w:lineRule="auto"/>
              <w:ind w:firstLine="0" w:firstLineChars="0"/>
              <w:jc w:val="center"/>
              <w:textAlignment w:val="center"/>
              <w:rPr>
                <w:rFonts w:cs="宋体"/>
                <w:b/>
                <w:bCs/>
                <w:color w:val="000000" w:themeColor="text1"/>
                <w:sz w:val="21"/>
                <w:szCs w:val="21"/>
                <w14:textFill>
                  <w14:solidFill>
                    <w14:schemeClr w14:val="tx1"/>
                  </w14:solidFill>
                </w14:textFill>
              </w:rPr>
            </w:pPr>
            <w:r>
              <w:rPr>
                <w:rFonts w:hint="eastAsia" w:cs="宋体"/>
                <w:b/>
                <w:bCs/>
                <w:color w:val="000000" w:themeColor="text1"/>
                <w:kern w:val="0"/>
                <w:sz w:val="21"/>
                <w:szCs w:val="21"/>
                <w:lang w:bidi="ar"/>
                <w14:textFill>
                  <w14:solidFill>
                    <w14:schemeClr w14:val="tx1"/>
                  </w14:solidFill>
                </w14:textFill>
              </w:rPr>
              <w:t>20min</w:t>
            </w:r>
          </w:p>
        </w:tc>
        <w:tc>
          <w:tcPr>
            <w:tcW w:w="674" w:type="dxa"/>
            <w:vMerge w:val="restart"/>
            <w:noWrap/>
            <w:vAlign w:val="center"/>
          </w:tcPr>
          <w:p w14:paraId="196689E3">
            <w:pPr>
              <w:widowControl/>
              <w:adjustRightInd w:val="0"/>
              <w:snapToGrid w:val="0"/>
              <w:spacing w:line="240" w:lineRule="auto"/>
              <w:ind w:firstLine="0" w:firstLineChars="0"/>
              <w:jc w:val="center"/>
              <w:textAlignment w:val="center"/>
              <w:rPr>
                <w:rFonts w:cs="宋体"/>
                <w:b/>
                <w:bCs/>
                <w:color w:val="000000" w:themeColor="text1"/>
                <w:sz w:val="21"/>
                <w:szCs w:val="21"/>
                <w14:textFill>
                  <w14:solidFill>
                    <w14:schemeClr w14:val="tx1"/>
                  </w14:solidFill>
                </w14:textFill>
              </w:rPr>
            </w:pPr>
            <w:r>
              <w:rPr>
                <w:rFonts w:hint="eastAsia" w:cs="宋体"/>
                <w:b/>
                <w:bCs/>
                <w:color w:val="000000" w:themeColor="text1"/>
                <w:kern w:val="0"/>
                <w:sz w:val="21"/>
                <w:szCs w:val="21"/>
                <w:lang w:bidi="ar"/>
                <w14:textFill>
                  <w14:solidFill>
                    <w14:schemeClr w14:val="tx1"/>
                  </w14:solidFill>
                </w14:textFill>
              </w:rPr>
              <w:t>25min</w:t>
            </w:r>
          </w:p>
        </w:tc>
        <w:tc>
          <w:tcPr>
            <w:tcW w:w="616" w:type="dxa"/>
            <w:vMerge w:val="restart"/>
            <w:noWrap/>
            <w:vAlign w:val="center"/>
          </w:tcPr>
          <w:p w14:paraId="68CEB309">
            <w:pPr>
              <w:widowControl/>
              <w:adjustRightInd w:val="0"/>
              <w:snapToGrid w:val="0"/>
              <w:spacing w:line="240" w:lineRule="auto"/>
              <w:ind w:firstLine="0" w:firstLineChars="0"/>
              <w:jc w:val="center"/>
              <w:textAlignment w:val="center"/>
              <w:rPr>
                <w:rFonts w:cs="宋体"/>
                <w:b/>
                <w:bCs/>
                <w:color w:val="000000" w:themeColor="text1"/>
                <w:sz w:val="21"/>
                <w:szCs w:val="21"/>
                <w14:textFill>
                  <w14:solidFill>
                    <w14:schemeClr w14:val="tx1"/>
                  </w14:solidFill>
                </w14:textFill>
              </w:rPr>
            </w:pPr>
            <w:r>
              <w:rPr>
                <w:rFonts w:hint="eastAsia" w:cs="宋体"/>
                <w:b/>
                <w:bCs/>
                <w:color w:val="000000" w:themeColor="text1"/>
                <w:kern w:val="0"/>
                <w:sz w:val="21"/>
                <w:szCs w:val="21"/>
                <w:lang w:bidi="ar"/>
                <w14:textFill>
                  <w14:solidFill>
                    <w14:schemeClr w14:val="tx1"/>
                  </w14:solidFill>
                </w14:textFill>
              </w:rPr>
              <w:t>30min</w:t>
            </w:r>
          </w:p>
        </w:tc>
        <w:tc>
          <w:tcPr>
            <w:tcW w:w="1463" w:type="dxa"/>
            <w:gridSpan w:val="2"/>
            <w:noWrap/>
            <w:vAlign w:val="center"/>
          </w:tcPr>
          <w:p w14:paraId="519C1F86">
            <w:pPr>
              <w:spacing w:line="240" w:lineRule="atLeast"/>
              <w:ind w:firstLine="0" w:firstLineChars="0"/>
              <w:jc w:val="center"/>
              <w:rPr>
                <w:rFonts w:cs="宋体"/>
                <w:b/>
                <w:bCs/>
                <w:color w:val="000000" w:themeColor="text1"/>
                <w:kern w:val="0"/>
                <w:sz w:val="21"/>
                <w:szCs w:val="21"/>
                <w:lang w:bidi="ar"/>
                <w14:textFill>
                  <w14:solidFill>
                    <w14:schemeClr w14:val="tx1"/>
                  </w14:solidFill>
                </w14:textFill>
              </w:rPr>
            </w:pPr>
            <w:r>
              <w:rPr>
                <w:b/>
                <w:bCs/>
                <w:color w:val="000000" w:themeColor="text1"/>
                <w:sz w:val="21"/>
                <w:szCs w:val="21"/>
                <w14:textFill>
                  <w14:solidFill>
                    <w14:schemeClr w14:val="tx1"/>
                  </w14:solidFill>
                </w14:textFill>
              </w:rPr>
              <w:t>大气毒性终点浓度-1</w:t>
            </w:r>
          </w:p>
        </w:tc>
        <w:tc>
          <w:tcPr>
            <w:tcW w:w="1408" w:type="dxa"/>
            <w:gridSpan w:val="2"/>
            <w:noWrap/>
            <w:vAlign w:val="center"/>
          </w:tcPr>
          <w:p w14:paraId="6A0AEA91">
            <w:pPr>
              <w:spacing w:line="240" w:lineRule="atLeast"/>
              <w:ind w:firstLine="0" w:firstLineChars="0"/>
              <w:jc w:val="center"/>
              <w:rPr>
                <w:b/>
                <w:bCs/>
                <w:color w:val="000000" w:themeColor="text1"/>
                <w:kern w:val="0"/>
                <w:sz w:val="21"/>
                <w:szCs w:val="21"/>
                <w14:textFill>
                  <w14:solidFill>
                    <w14:schemeClr w14:val="tx1"/>
                  </w14:solidFill>
                </w14:textFill>
              </w:rPr>
            </w:pPr>
            <w:r>
              <w:rPr>
                <w:b/>
                <w:bCs/>
                <w:color w:val="000000" w:themeColor="text1"/>
                <w:sz w:val="21"/>
                <w:szCs w:val="21"/>
                <w14:textFill>
                  <w14:solidFill>
                    <w14:schemeClr w14:val="tx1"/>
                  </w14:solidFill>
                </w14:textFill>
              </w:rPr>
              <w:t>大气毒性终点浓度-</w:t>
            </w:r>
            <w:r>
              <w:rPr>
                <w:rFonts w:hint="eastAsia"/>
                <w:b/>
                <w:bCs/>
                <w:color w:val="000000" w:themeColor="text1"/>
                <w:sz w:val="21"/>
                <w:szCs w:val="21"/>
                <w14:textFill>
                  <w14:solidFill>
                    <w14:schemeClr w14:val="tx1"/>
                  </w14:solidFill>
                </w14:textFill>
              </w:rPr>
              <w:t>2</w:t>
            </w:r>
          </w:p>
        </w:tc>
      </w:tr>
      <w:tr w14:paraId="02CD4BE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504" w:hRule="atLeast"/>
          <w:tblHeader/>
          <w:jc w:val="center"/>
        </w:trPr>
        <w:tc>
          <w:tcPr>
            <w:tcW w:w="325" w:type="dxa"/>
            <w:vMerge w:val="continue"/>
            <w:noWrap/>
            <w:vAlign w:val="center"/>
          </w:tcPr>
          <w:p w14:paraId="3527C4AC">
            <w:pPr>
              <w:spacing w:line="240" w:lineRule="atLeast"/>
              <w:ind w:firstLine="0" w:firstLineChars="0"/>
              <w:jc w:val="center"/>
              <w:rPr>
                <w:b/>
                <w:bCs/>
                <w:color w:val="000000" w:themeColor="text1"/>
                <w:sz w:val="21"/>
                <w:szCs w:val="21"/>
                <w14:textFill>
                  <w14:solidFill>
                    <w14:schemeClr w14:val="tx1"/>
                  </w14:solidFill>
                </w14:textFill>
              </w:rPr>
            </w:pPr>
          </w:p>
        </w:tc>
        <w:tc>
          <w:tcPr>
            <w:tcW w:w="1132" w:type="dxa"/>
            <w:vMerge w:val="continue"/>
            <w:noWrap/>
            <w:vAlign w:val="center"/>
          </w:tcPr>
          <w:p w14:paraId="19983F7A">
            <w:pPr>
              <w:spacing w:line="240" w:lineRule="atLeast"/>
              <w:ind w:firstLine="0" w:firstLineChars="0"/>
              <w:jc w:val="center"/>
              <w:rPr>
                <w:b/>
                <w:bCs/>
                <w:color w:val="000000" w:themeColor="text1"/>
                <w:sz w:val="21"/>
                <w:szCs w:val="21"/>
                <w14:textFill>
                  <w14:solidFill>
                    <w14:schemeClr w14:val="tx1"/>
                  </w14:solidFill>
                </w14:textFill>
              </w:rPr>
            </w:pPr>
          </w:p>
        </w:tc>
        <w:tc>
          <w:tcPr>
            <w:tcW w:w="718" w:type="dxa"/>
            <w:vMerge w:val="continue"/>
            <w:noWrap/>
            <w:vAlign w:val="center"/>
          </w:tcPr>
          <w:p w14:paraId="54BA3B02">
            <w:pPr>
              <w:spacing w:line="240" w:lineRule="atLeast"/>
              <w:ind w:firstLine="0" w:firstLineChars="0"/>
              <w:jc w:val="center"/>
              <w:rPr>
                <w:b/>
                <w:bCs/>
                <w:color w:val="000000" w:themeColor="text1"/>
                <w:sz w:val="21"/>
                <w:szCs w:val="21"/>
                <w14:textFill>
                  <w14:solidFill>
                    <w14:schemeClr w14:val="tx1"/>
                  </w14:solidFill>
                </w14:textFill>
              </w:rPr>
            </w:pPr>
          </w:p>
        </w:tc>
        <w:tc>
          <w:tcPr>
            <w:tcW w:w="817" w:type="dxa"/>
            <w:vMerge w:val="continue"/>
            <w:noWrap/>
            <w:vAlign w:val="center"/>
          </w:tcPr>
          <w:p w14:paraId="63FCD485">
            <w:pPr>
              <w:spacing w:line="240" w:lineRule="atLeast"/>
              <w:ind w:firstLine="0" w:firstLineChars="0"/>
              <w:jc w:val="center"/>
              <w:rPr>
                <w:b/>
                <w:bCs/>
                <w:color w:val="000000" w:themeColor="text1"/>
                <w:sz w:val="21"/>
                <w:szCs w:val="21"/>
                <w14:textFill>
                  <w14:solidFill>
                    <w14:schemeClr w14:val="tx1"/>
                  </w14:solidFill>
                </w14:textFill>
              </w:rPr>
            </w:pPr>
          </w:p>
        </w:tc>
        <w:tc>
          <w:tcPr>
            <w:tcW w:w="539" w:type="dxa"/>
            <w:vMerge w:val="continue"/>
            <w:noWrap/>
            <w:vAlign w:val="center"/>
          </w:tcPr>
          <w:p w14:paraId="7D3BC547">
            <w:pPr>
              <w:spacing w:line="240" w:lineRule="atLeast"/>
              <w:ind w:firstLine="0" w:firstLineChars="0"/>
              <w:jc w:val="center"/>
              <w:rPr>
                <w:b/>
                <w:bCs/>
                <w:color w:val="000000" w:themeColor="text1"/>
                <w:sz w:val="21"/>
                <w:szCs w:val="21"/>
                <w14:textFill>
                  <w14:solidFill>
                    <w14:schemeClr w14:val="tx1"/>
                  </w14:solidFill>
                </w14:textFill>
              </w:rPr>
            </w:pPr>
          </w:p>
        </w:tc>
        <w:tc>
          <w:tcPr>
            <w:tcW w:w="599" w:type="dxa"/>
            <w:vMerge w:val="continue"/>
            <w:noWrap/>
            <w:vAlign w:val="center"/>
          </w:tcPr>
          <w:p w14:paraId="36612C9B">
            <w:pPr>
              <w:spacing w:line="240" w:lineRule="atLeast"/>
              <w:ind w:firstLine="0" w:firstLineChars="0"/>
              <w:jc w:val="center"/>
              <w:rPr>
                <w:b/>
                <w:bCs/>
                <w:color w:val="000000" w:themeColor="text1"/>
                <w:sz w:val="21"/>
                <w:szCs w:val="21"/>
                <w14:textFill>
                  <w14:solidFill>
                    <w14:schemeClr w14:val="tx1"/>
                  </w14:solidFill>
                </w14:textFill>
              </w:rPr>
            </w:pPr>
          </w:p>
        </w:tc>
        <w:tc>
          <w:tcPr>
            <w:tcW w:w="595" w:type="dxa"/>
            <w:vMerge w:val="continue"/>
            <w:noWrap/>
            <w:vAlign w:val="center"/>
          </w:tcPr>
          <w:p w14:paraId="2837A009">
            <w:pPr>
              <w:spacing w:line="240" w:lineRule="atLeast"/>
              <w:ind w:firstLine="0" w:firstLineChars="0"/>
              <w:jc w:val="center"/>
              <w:rPr>
                <w:b/>
                <w:bCs/>
                <w:color w:val="000000" w:themeColor="text1"/>
                <w:sz w:val="21"/>
                <w:szCs w:val="21"/>
                <w14:textFill>
                  <w14:solidFill>
                    <w14:schemeClr w14:val="tx1"/>
                  </w14:solidFill>
                </w14:textFill>
              </w:rPr>
            </w:pPr>
          </w:p>
        </w:tc>
        <w:tc>
          <w:tcPr>
            <w:tcW w:w="606" w:type="dxa"/>
            <w:vMerge w:val="continue"/>
            <w:noWrap/>
            <w:vAlign w:val="center"/>
          </w:tcPr>
          <w:p w14:paraId="1A5ECC04">
            <w:pPr>
              <w:spacing w:line="240" w:lineRule="atLeast"/>
              <w:ind w:firstLine="0" w:firstLineChars="0"/>
              <w:jc w:val="center"/>
              <w:rPr>
                <w:b/>
                <w:bCs/>
                <w:color w:val="000000" w:themeColor="text1"/>
                <w:sz w:val="21"/>
                <w:szCs w:val="21"/>
                <w14:textFill>
                  <w14:solidFill>
                    <w14:schemeClr w14:val="tx1"/>
                  </w14:solidFill>
                </w14:textFill>
              </w:rPr>
            </w:pPr>
          </w:p>
        </w:tc>
        <w:tc>
          <w:tcPr>
            <w:tcW w:w="674" w:type="dxa"/>
            <w:vMerge w:val="continue"/>
            <w:noWrap/>
            <w:vAlign w:val="center"/>
          </w:tcPr>
          <w:p w14:paraId="438B3A3D">
            <w:pPr>
              <w:spacing w:line="240" w:lineRule="atLeast"/>
              <w:ind w:firstLine="0" w:firstLineChars="0"/>
              <w:jc w:val="center"/>
              <w:rPr>
                <w:b/>
                <w:bCs/>
                <w:color w:val="000000" w:themeColor="text1"/>
                <w:sz w:val="21"/>
                <w:szCs w:val="21"/>
                <w14:textFill>
                  <w14:solidFill>
                    <w14:schemeClr w14:val="tx1"/>
                  </w14:solidFill>
                </w14:textFill>
              </w:rPr>
            </w:pPr>
          </w:p>
        </w:tc>
        <w:tc>
          <w:tcPr>
            <w:tcW w:w="616" w:type="dxa"/>
            <w:vMerge w:val="continue"/>
            <w:noWrap/>
            <w:vAlign w:val="center"/>
          </w:tcPr>
          <w:p w14:paraId="7A4049B3">
            <w:pPr>
              <w:spacing w:line="240" w:lineRule="atLeast"/>
              <w:ind w:firstLine="0" w:firstLineChars="0"/>
              <w:jc w:val="center"/>
              <w:rPr>
                <w:b/>
                <w:bCs/>
                <w:color w:val="000000" w:themeColor="text1"/>
                <w:sz w:val="21"/>
                <w:szCs w:val="21"/>
                <w14:textFill>
                  <w14:solidFill>
                    <w14:schemeClr w14:val="tx1"/>
                  </w14:solidFill>
                </w14:textFill>
              </w:rPr>
            </w:pPr>
          </w:p>
        </w:tc>
        <w:tc>
          <w:tcPr>
            <w:tcW w:w="657" w:type="dxa"/>
            <w:noWrap/>
            <w:vAlign w:val="center"/>
          </w:tcPr>
          <w:p w14:paraId="58D21A3C">
            <w:pPr>
              <w:spacing w:line="240" w:lineRule="atLeast"/>
              <w:ind w:firstLine="0" w:firstLineChars="0"/>
              <w:jc w:val="center"/>
              <w:rPr>
                <w:b/>
                <w:bCs/>
                <w:color w:val="000000" w:themeColor="text1"/>
                <w:kern w:val="0"/>
                <w:sz w:val="21"/>
                <w:szCs w:val="21"/>
                <w14:textFill>
                  <w14:solidFill>
                    <w14:schemeClr w14:val="tx1"/>
                  </w14:solidFill>
                </w14:textFill>
              </w:rPr>
            </w:pPr>
            <w:r>
              <w:rPr>
                <w:rFonts w:hint="eastAsia"/>
                <w:b/>
                <w:bCs/>
                <w:color w:val="000000" w:themeColor="text1"/>
                <w:kern w:val="0"/>
                <w:sz w:val="21"/>
                <w:szCs w:val="21"/>
                <w14:textFill>
                  <w14:solidFill>
                    <w14:schemeClr w14:val="tx1"/>
                  </w14:solidFill>
                </w14:textFill>
              </w:rPr>
              <w:t>超标时间min</w:t>
            </w:r>
          </w:p>
        </w:tc>
        <w:tc>
          <w:tcPr>
            <w:tcW w:w="806" w:type="dxa"/>
            <w:noWrap/>
            <w:vAlign w:val="center"/>
          </w:tcPr>
          <w:p w14:paraId="433F6036">
            <w:pPr>
              <w:spacing w:line="240" w:lineRule="atLeast"/>
              <w:ind w:firstLine="0" w:firstLineChars="0"/>
              <w:jc w:val="center"/>
              <w:rPr>
                <w:b/>
                <w:bCs/>
                <w:color w:val="000000" w:themeColor="text1"/>
                <w:kern w:val="0"/>
                <w:sz w:val="21"/>
                <w:szCs w:val="21"/>
                <w14:textFill>
                  <w14:solidFill>
                    <w14:schemeClr w14:val="tx1"/>
                  </w14:solidFill>
                </w14:textFill>
              </w:rPr>
            </w:pPr>
            <w:r>
              <w:rPr>
                <w:rFonts w:hint="eastAsia"/>
                <w:b/>
                <w:bCs/>
                <w:color w:val="000000" w:themeColor="text1"/>
                <w:kern w:val="0"/>
                <w:sz w:val="21"/>
                <w:szCs w:val="21"/>
                <w14:textFill>
                  <w14:solidFill>
                    <w14:schemeClr w14:val="tx1"/>
                  </w14:solidFill>
                </w14:textFill>
              </w:rPr>
              <w:t>超标持续时间min</w:t>
            </w:r>
          </w:p>
        </w:tc>
        <w:tc>
          <w:tcPr>
            <w:tcW w:w="629" w:type="dxa"/>
            <w:noWrap/>
            <w:vAlign w:val="center"/>
          </w:tcPr>
          <w:p w14:paraId="2B5BF7C8">
            <w:pPr>
              <w:spacing w:line="240" w:lineRule="atLeast"/>
              <w:ind w:firstLine="0" w:firstLineChars="0"/>
              <w:jc w:val="center"/>
              <w:rPr>
                <w:b/>
                <w:bCs/>
                <w:color w:val="000000" w:themeColor="text1"/>
                <w:kern w:val="0"/>
                <w:sz w:val="21"/>
                <w:szCs w:val="21"/>
                <w14:textFill>
                  <w14:solidFill>
                    <w14:schemeClr w14:val="tx1"/>
                  </w14:solidFill>
                </w14:textFill>
              </w:rPr>
            </w:pPr>
            <w:r>
              <w:rPr>
                <w:rFonts w:hint="eastAsia"/>
                <w:b/>
                <w:bCs/>
                <w:color w:val="000000" w:themeColor="text1"/>
                <w:kern w:val="0"/>
                <w:sz w:val="21"/>
                <w:szCs w:val="21"/>
                <w14:textFill>
                  <w14:solidFill>
                    <w14:schemeClr w14:val="tx1"/>
                  </w14:solidFill>
                </w14:textFill>
              </w:rPr>
              <w:t>超标时间min</w:t>
            </w:r>
          </w:p>
        </w:tc>
        <w:tc>
          <w:tcPr>
            <w:tcW w:w="779" w:type="dxa"/>
            <w:noWrap/>
            <w:vAlign w:val="center"/>
          </w:tcPr>
          <w:p w14:paraId="2BCA741A">
            <w:pPr>
              <w:spacing w:line="240" w:lineRule="atLeast"/>
              <w:ind w:firstLine="0" w:firstLineChars="0"/>
              <w:jc w:val="center"/>
              <w:rPr>
                <w:b/>
                <w:bCs/>
                <w:color w:val="000000" w:themeColor="text1"/>
                <w:kern w:val="0"/>
                <w:sz w:val="21"/>
                <w:szCs w:val="21"/>
                <w14:textFill>
                  <w14:solidFill>
                    <w14:schemeClr w14:val="tx1"/>
                  </w14:solidFill>
                </w14:textFill>
              </w:rPr>
            </w:pPr>
            <w:r>
              <w:rPr>
                <w:rFonts w:hint="eastAsia"/>
                <w:b/>
                <w:bCs/>
                <w:color w:val="000000" w:themeColor="text1"/>
                <w:kern w:val="0"/>
                <w:sz w:val="21"/>
                <w:szCs w:val="21"/>
                <w14:textFill>
                  <w14:solidFill>
                    <w14:schemeClr w14:val="tx1"/>
                  </w14:solidFill>
                </w14:textFill>
              </w:rPr>
              <w:t>超标持续时间min</w:t>
            </w:r>
          </w:p>
        </w:tc>
      </w:tr>
      <w:tr w14:paraId="7D48D25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25" w:type="dxa"/>
            <w:noWrap/>
            <w:vAlign w:val="center"/>
          </w:tcPr>
          <w:p w14:paraId="1B2D1E39">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rFonts w:hint="eastAsia" w:cs="宋体"/>
                <w:color w:val="000000" w:themeColor="text1"/>
                <w:kern w:val="0"/>
                <w:sz w:val="21"/>
                <w:szCs w:val="21"/>
                <w:lang w:bidi="ar"/>
                <w14:textFill>
                  <w14:solidFill>
                    <w14:schemeClr w14:val="tx1"/>
                  </w14:solidFill>
                </w14:textFill>
              </w:rPr>
              <w:t>1</w:t>
            </w:r>
          </w:p>
        </w:tc>
        <w:tc>
          <w:tcPr>
            <w:tcW w:w="1132" w:type="dxa"/>
            <w:noWrap/>
            <w:vAlign w:val="center"/>
          </w:tcPr>
          <w:p w14:paraId="6CF7455D">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color w:val="000000" w:themeColor="text1"/>
                <w:sz w:val="21"/>
                <w:szCs w:val="21"/>
                <w14:textFill>
                  <w14:solidFill>
                    <w14:schemeClr w14:val="tx1"/>
                  </w14:solidFill>
                </w14:textFill>
              </w:rPr>
              <w:t>淡水湾</w:t>
            </w:r>
          </w:p>
        </w:tc>
        <w:tc>
          <w:tcPr>
            <w:tcW w:w="718" w:type="dxa"/>
            <w:noWrap/>
            <w:vAlign w:val="center"/>
          </w:tcPr>
          <w:p w14:paraId="7BE1D0D4">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color w:val="000000" w:themeColor="text1"/>
                <w:sz w:val="21"/>
                <w:szCs w:val="21"/>
                <w14:textFill>
                  <w14:solidFill>
                    <w14:schemeClr w14:val="tx1"/>
                  </w14:solidFill>
                </w14:textFill>
              </w:rPr>
              <w:t>1.98</w:t>
            </w:r>
          </w:p>
        </w:tc>
        <w:tc>
          <w:tcPr>
            <w:tcW w:w="817" w:type="dxa"/>
            <w:noWrap/>
            <w:vAlign w:val="center"/>
          </w:tcPr>
          <w:p w14:paraId="6C2F889E">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39" w:type="dxa"/>
            <w:noWrap/>
            <w:vAlign w:val="center"/>
          </w:tcPr>
          <w:p w14:paraId="51E9D2A7">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99" w:type="dxa"/>
            <w:noWrap/>
            <w:vAlign w:val="center"/>
          </w:tcPr>
          <w:p w14:paraId="0AE89358">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95" w:type="dxa"/>
            <w:noWrap/>
            <w:vAlign w:val="center"/>
          </w:tcPr>
          <w:p w14:paraId="33F70CBD">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06" w:type="dxa"/>
            <w:noWrap/>
            <w:vAlign w:val="center"/>
          </w:tcPr>
          <w:p w14:paraId="6CF1198D">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74" w:type="dxa"/>
            <w:noWrap/>
            <w:vAlign w:val="center"/>
          </w:tcPr>
          <w:p w14:paraId="69751A18">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16" w:type="dxa"/>
            <w:noWrap/>
            <w:vAlign w:val="center"/>
          </w:tcPr>
          <w:p w14:paraId="3A4C2F44">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0.02</w:t>
            </w:r>
          </w:p>
        </w:tc>
        <w:tc>
          <w:tcPr>
            <w:tcW w:w="657" w:type="dxa"/>
            <w:noWrap/>
            <w:vAlign w:val="center"/>
          </w:tcPr>
          <w:p w14:paraId="100EE01B">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806" w:type="dxa"/>
            <w:noWrap/>
            <w:vAlign w:val="center"/>
          </w:tcPr>
          <w:p w14:paraId="47CD469E">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29" w:type="dxa"/>
            <w:noWrap/>
            <w:vAlign w:val="center"/>
          </w:tcPr>
          <w:p w14:paraId="6252E157">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779" w:type="dxa"/>
            <w:noWrap/>
            <w:vAlign w:val="center"/>
          </w:tcPr>
          <w:p w14:paraId="1B5EBA7A">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r>
      <w:tr w14:paraId="7DAB3B1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25" w:type="dxa"/>
            <w:noWrap/>
            <w:vAlign w:val="center"/>
          </w:tcPr>
          <w:p w14:paraId="1AE13305">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rFonts w:hint="eastAsia" w:cs="宋体"/>
                <w:color w:val="000000" w:themeColor="text1"/>
                <w:kern w:val="0"/>
                <w:sz w:val="21"/>
                <w:szCs w:val="21"/>
                <w:lang w:bidi="ar"/>
                <w14:textFill>
                  <w14:solidFill>
                    <w14:schemeClr w14:val="tx1"/>
                  </w14:solidFill>
                </w14:textFill>
              </w:rPr>
              <w:t>2</w:t>
            </w:r>
          </w:p>
        </w:tc>
        <w:tc>
          <w:tcPr>
            <w:tcW w:w="1132" w:type="dxa"/>
            <w:noWrap/>
            <w:vAlign w:val="center"/>
          </w:tcPr>
          <w:p w14:paraId="57BD09BA">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color w:val="000000" w:themeColor="text1"/>
                <w:sz w:val="21"/>
                <w:szCs w:val="21"/>
                <w14:textFill>
                  <w14:solidFill>
                    <w14:schemeClr w14:val="tx1"/>
                  </w14:solidFill>
                </w14:textFill>
              </w:rPr>
              <w:t>果子山村</w:t>
            </w:r>
          </w:p>
        </w:tc>
        <w:tc>
          <w:tcPr>
            <w:tcW w:w="718" w:type="dxa"/>
            <w:noWrap/>
            <w:vAlign w:val="center"/>
          </w:tcPr>
          <w:p w14:paraId="26D8ACDF">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color w:val="000000" w:themeColor="text1"/>
                <w:sz w:val="21"/>
                <w:szCs w:val="21"/>
                <w14:textFill>
                  <w14:solidFill>
                    <w14:schemeClr w14:val="tx1"/>
                  </w14:solidFill>
                </w14:textFill>
              </w:rPr>
              <w:t>3.27</w:t>
            </w:r>
          </w:p>
        </w:tc>
        <w:tc>
          <w:tcPr>
            <w:tcW w:w="817" w:type="dxa"/>
            <w:noWrap/>
            <w:vAlign w:val="center"/>
          </w:tcPr>
          <w:p w14:paraId="7A6AD1E3">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39" w:type="dxa"/>
            <w:noWrap/>
            <w:vAlign w:val="center"/>
          </w:tcPr>
          <w:p w14:paraId="577A6605">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99" w:type="dxa"/>
            <w:noWrap/>
            <w:vAlign w:val="center"/>
          </w:tcPr>
          <w:p w14:paraId="611A698B">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95" w:type="dxa"/>
            <w:noWrap/>
            <w:vAlign w:val="center"/>
          </w:tcPr>
          <w:p w14:paraId="6136F417">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06" w:type="dxa"/>
            <w:noWrap/>
            <w:vAlign w:val="center"/>
          </w:tcPr>
          <w:p w14:paraId="75F67B2A">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74" w:type="dxa"/>
            <w:noWrap/>
            <w:vAlign w:val="center"/>
          </w:tcPr>
          <w:p w14:paraId="274277DF">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16" w:type="dxa"/>
            <w:noWrap/>
            <w:vAlign w:val="center"/>
          </w:tcPr>
          <w:p w14:paraId="3A42F8C6">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57" w:type="dxa"/>
            <w:noWrap/>
            <w:vAlign w:val="center"/>
          </w:tcPr>
          <w:p w14:paraId="29FC2897">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806" w:type="dxa"/>
            <w:noWrap/>
            <w:vAlign w:val="center"/>
          </w:tcPr>
          <w:p w14:paraId="50A2979B">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29" w:type="dxa"/>
            <w:noWrap/>
            <w:vAlign w:val="center"/>
          </w:tcPr>
          <w:p w14:paraId="1BD6B4E0">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779" w:type="dxa"/>
            <w:noWrap/>
            <w:vAlign w:val="center"/>
          </w:tcPr>
          <w:p w14:paraId="11700FC3">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r>
      <w:tr w14:paraId="5A91B5D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25" w:type="dxa"/>
            <w:noWrap/>
            <w:vAlign w:val="center"/>
          </w:tcPr>
          <w:p w14:paraId="622A33ED">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rFonts w:hint="eastAsia" w:cs="宋体"/>
                <w:color w:val="000000" w:themeColor="text1"/>
                <w:kern w:val="0"/>
                <w:sz w:val="21"/>
                <w:szCs w:val="21"/>
                <w:lang w:bidi="ar"/>
                <w14:textFill>
                  <w14:solidFill>
                    <w14:schemeClr w14:val="tx1"/>
                  </w14:solidFill>
                </w14:textFill>
              </w:rPr>
              <w:t>3</w:t>
            </w:r>
          </w:p>
        </w:tc>
        <w:tc>
          <w:tcPr>
            <w:tcW w:w="1132" w:type="dxa"/>
            <w:noWrap/>
            <w:vAlign w:val="center"/>
          </w:tcPr>
          <w:p w14:paraId="2220D719">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color w:val="000000" w:themeColor="text1"/>
                <w:sz w:val="21"/>
                <w:szCs w:val="21"/>
                <w14:textFill>
                  <w14:solidFill>
                    <w14:schemeClr w14:val="tx1"/>
                  </w14:solidFill>
                </w14:textFill>
              </w:rPr>
              <w:t>厚福沙村</w:t>
            </w:r>
          </w:p>
        </w:tc>
        <w:tc>
          <w:tcPr>
            <w:tcW w:w="718" w:type="dxa"/>
            <w:noWrap/>
            <w:vAlign w:val="center"/>
          </w:tcPr>
          <w:p w14:paraId="71A5CDB7">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color w:val="000000" w:themeColor="text1"/>
                <w:sz w:val="21"/>
                <w:szCs w:val="21"/>
                <w14:textFill>
                  <w14:solidFill>
                    <w14:schemeClr w14:val="tx1"/>
                  </w14:solidFill>
                </w14:textFill>
              </w:rPr>
              <w:t>2.64</w:t>
            </w:r>
          </w:p>
        </w:tc>
        <w:tc>
          <w:tcPr>
            <w:tcW w:w="817" w:type="dxa"/>
            <w:noWrap/>
            <w:vAlign w:val="center"/>
          </w:tcPr>
          <w:p w14:paraId="2E89B061">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39" w:type="dxa"/>
            <w:noWrap/>
            <w:vAlign w:val="center"/>
          </w:tcPr>
          <w:p w14:paraId="35588BB6">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99" w:type="dxa"/>
            <w:noWrap/>
            <w:vAlign w:val="center"/>
          </w:tcPr>
          <w:p w14:paraId="76549DBB">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95" w:type="dxa"/>
            <w:noWrap/>
            <w:vAlign w:val="center"/>
          </w:tcPr>
          <w:p w14:paraId="4917E878">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06" w:type="dxa"/>
            <w:noWrap/>
            <w:vAlign w:val="center"/>
          </w:tcPr>
          <w:p w14:paraId="2CE4E844">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74" w:type="dxa"/>
            <w:noWrap/>
            <w:vAlign w:val="center"/>
          </w:tcPr>
          <w:p w14:paraId="60C9280E">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16" w:type="dxa"/>
            <w:noWrap/>
            <w:vAlign w:val="center"/>
          </w:tcPr>
          <w:p w14:paraId="50C01A2F">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57" w:type="dxa"/>
            <w:noWrap/>
            <w:vAlign w:val="center"/>
          </w:tcPr>
          <w:p w14:paraId="134CED5E">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806" w:type="dxa"/>
            <w:noWrap/>
            <w:vAlign w:val="center"/>
          </w:tcPr>
          <w:p w14:paraId="7081DFAA">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29" w:type="dxa"/>
            <w:noWrap/>
            <w:vAlign w:val="center"/>
          </w:tcPr>
          <w:p w14:paraId="02F54208">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779" w:type="dxa"/>
            <w:noWrap/>
            <w:vAlign w:val="center"/>
          </w:tcPr>
          <w:p w14:paraId="2FE0D9E8">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r>
      <w:tr w14:paraId="2780AFD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25" w:type="dxa"/>
            <w:noWrap/>
            <w:vAlign w:val="center"/>
          </w:tcPr>
          <w:p w14:paraId="52D579B2">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rFonts w:hint="eastAsia" w:cs="宋体"/>
                <w:color w:val="000000" w:themeColor="text1"/>
                <w:kern w:val="0"/>
                <w:sz w:val="21"/>
                <w:szCs w:val="21"/>
                <w:lang w:bidi="ar"/>
                <w14:textFill>
                  <w14:solidFill>
                    <w14:schemeClr w14:val="tx1"/>
                  </w14:solidFill>
                </w14:textFill>
              </w:rPr>
              <w:t>4</w:t>
            </w:r>
          </w:p>
        </w:tc>
        <w:tc>
          <w:tcPr>
            <w:tcW w:w="1132" w:type="dxa"/>
            <w:noWrap/>
            <w:vAlign w:val="center"/>
          </w:tcPr>
          <w:p w14:paraId="6F449B10">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color w:val="000000" w:themeColor="text1"/>
                <w:sz w:val="21"/>
                <w:szCs w:val="21"/>
                <w14:textFill>
                  <w14:solidFill>
                    <w14:schemeClr w14:val="tx1"/>
                  </w14:solidFill>
                </w14:textFill>
              </w:rPr>
              <w:t>滨海社区</w:t>
            </w:r>
          </w:p>
        </w:tc>
        <w:tc>
          <w:tcPr>
            <w:tcW w:w="718" w:type="dxa"/>
            <w:noWrap/>
            <w:vAlign w:val="center"/>
          </w:tcPr>
          <w:p w14:paraId="0CF85ACC">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color w:val="000000" w:themeColor="text1"/>
                <w:sz w:val="21"/>
                <w:szCs w:val="21"/>
                <w14:textFill>
                  <w14:solidFill>
                    <w14:schemeClr w14:val="tx1"/>
                  </w14:solidFill>
                </w14:textFill>
              </w:rPr>
              <w:t>3.38</w:t>
            </w:r>
          </w:p>
        </w:tc>
        <w:tc>
          <w:tcPr>
            <w:tcW w:w="817" w:type="dxa"/>
            <w:noWrap/>
            <w:vAlign w:val="center"/>
          </w:tcPr>
          <w:p w14:paraId="5AE715E7">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39" w:type="dxa"/>
            <w:noWrap/>
            <w:vAlign w:val="center"/>
          </w:tcPr>
          <w:p w14:paraId="0CFECD53">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99" w:type="dxa"/>
            <w:noWrap/>
            <w:vAlign w:val="center"/>
          </w:tcPr>
          <w:p w14:paraId="5C1DB4CA">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95" w:type="dxa"/>
            <w:noWrap/>
            <w:vAlign w:val="center"/>
          </w:tcPr>
          <w:p w14:paraId="53DF9CF5">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06" w:type="dxa"/>
            <w:noWrap/>
            <w:vAlign w:val="center"/>
          </w:tcPr>
          <w:p w14:paraId="78577AD0">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74" w:type="dxa"/>
            <w:noWrap/>
            <w:vAlign w:val="center"/>
          </w:tcPr>
          <w:p w14:paraId="3AD76C70">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16" w:type="dxa"/>
            <w:noWrap/>
            <w:vAlign w:val="center"/>
          </w:tcPr>
          <w:p w14:paraId="1EFE4F7C">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57" w:type="dxa"/>
            <w:noWrap/>
            <w:vAlign w:val="center"/>
          </w:tcPr>
          <w:p w14:paraId="21F208BA">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806" w:type="dxa"/>
            <w:noWrap/>
            <w:vAlign w:val="center"/>
          </w:tcPr>
          <w:p w14:paraId="7A8BF885">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29" w:type="dxa"/>
            <w:noWrap/>
            <w:vAlign w:val="center"/>
          </w:tcPr>
          <w:p w14:paraId="6E8767E9">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779" w:type="dxa"/>
            <w:noWrap/>
            <w:vAlign w:val="center"/>
          </w:tcPr>
          <w:p w14:paraId="0C049585">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r>
      <w:tr w14:paraId="400CCDB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25" w:type="dxa"/>
            <w:noWrap/>
            <w:vAlign w:val="center"/>
          </w:tcPr>
          <w:p w14:paraId="4A5361DC">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rFonts w:hint="eastAsia" w:cs="宋体"/>
                <w:color w:val="000000" w:themeColor="text1"/>
                <w:kern w:val="0"/>
                <w:sz w:val="21"/>
                <w:szCs w:val="21"/>
                <w:lang w:bidi="ar"/>
                <w14:textFill>
                  <w14:solidFill>
                    <w14:schemeClr w14:val="tx1"/>
                  </w14:solidFill>
                </w14:textFill>
              </w:rPr>
              <w:t>5</w:t>
            </w:r>
          </w:p>
        </w:tc>
        <w:tc>
          <w:tcPr>
            <w:tcW w:w="1132" w:type="dxa"/>
            <w:noWrap/>
            <w:vAlign w:val="center"/>
          </w:tcPr>
          <w:p w14:paraId="6DE515C4">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color w:val="000000" w:themeColor="text1"/>
                <w:sz w:val="21"/>
                <w:szCs w:val="21"/>
                <w14:textFill>
                  <w14:solidFill>
                    <w14:schemeClr w14:val="tx1"/>
                  </w14:solidFill>
                </w14:textFill>
              </w:rPr>
              <w:t>鰮鱼潭</w:t>
            </w:r>
          </w:p>
        </w:tc>
        <w:tc>
          <w:tcPr>
            <w:tcW w:w="718" w:type="dxa"/>
            <w:noWrap/>
            <w:vAlign w:val="center"/>
          </w:tcPr>
          <w:p w14:paraId="25B48B88">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color w:val="000000" w:themeColor="text1"/>
                <w:sz w:val="21"/>
                <w:szCs w:val="21"/>
                <w14:textFill>
                  <w14:solidFill>
                    <w14:schemeClr w14:val="tx1"/>
                  </w14:solidFill>
                </w14:textFill>
              </w:rPr>
              <w:t>2.90</w:t>
            </w:r>
          </w:p>
        </w:tc>
        <w:tc>
          <w:tcPr>
            <w:tcW w:w="817" w:type="dxa"/>
            <w:noWrap/>
            <w:vAlign w:val="center"/>
          </w:tcPr>
          <w:p w14:paraId="334A5773">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39" w:type="dxa"/>
            <w:noWrap/>
            <w:vAlign w:val="center"/>
          </w:tcPr>
          <w:p w14:paraId="3D8A929B">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99" w:type="dxa"/>
            <w:noWrap/>
            <w:vAlign w:val="center"/>
          </w:tcPr>
          <w:p w14:paraId="4ACCED75">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95" w:type="dxa"/>
            <w:noWrap/>
            <w:vAlign w:val="center"/>
          </w:tcPr>
          <w:p w14:paraId="0BAB011D">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06" w:type="dxa"/>
            <w:noWrap/>
            <w:vAlign w:val="center"/>
          </w:tcPr>
          <w:p w14:paraId="737C859A">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74" w:type="dxa"/>
            <w:noWrap/>
            <w:vAlign w:val="center"/>
          </w:tcPr>
          <w:p w14:paraId="5202C7DC">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16" w:type="dxa"/>
            <w:noWrap/>
            <w:vAlign w:val="center"/>
          </w:tcPr>
          <w:p w14:paraId="37905539">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57" w:type="dxa"/>
            <w:noWrap/>
            <w:vAlign w:val="center"/>
          </w:tcPr>
          <w:p w14:paraId="2C62D6BC">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806" w:type="dxa"/>
            <w:noWrap/>
            <w:vAlign w:val="center"/>
          </w:tcPr>
          <w:p w14:paraId="224F078A">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29" w:type="dxa"/>
            <w:noWrap/>
            <w:vAlign w:val="center"/>
          </w:tcPr>
          <w:p w14:paraId="5F1CB724">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779" w:type="dxa"/>
            <w:noWrap/>
            <w:vAlign w:val="center"/>
          </w:tcPr>
          <w:p w14:paraId="4941A052">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r>
      <w:tr w14:paraId="22A2674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25" w:type="dxa"/>
            <w:noWrap/>
            <w:vAlign w:val="center"/>
          </w:tcPr>
          <w:p w14:paraId="0570FE3A">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rFonts w:hint="eastAsia" w:cs="宋体"/>
                <w:color w:val="000000" w:themeColor="text1"/>
                <w:kern w:val="0"/>
                <w:sz w:val="21"/>
                <w:szCs w:val="21"/>
                <w:lang w:bidi="ar"/>
                <w14:textFill>
                  <w14:solidFill>
                    <w14:schemeClr w14:val="tx1"/>
                  </w14:solidFill>
                </w14:textFill>
              </w:rPr>
              <w:t>6</w:t>
            </w:r>
          </w:p>
        </w:tc>
        <w:tc>
          <w:tcPr>
            <w:tcW w:w="1132" w:type="dxa"/>
            <w:noWrap/>
            <w:vAlign w:val="center"/>
          </w:tcPr>
          <w:p w14:paraId="7A1BD7F2">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color w:val="000000" w:themeColor="text1"/>
                <w:sz w:val="21"/>
                <w:szCs w:val="21"/>
                <w14:textFill>
                  <w14:solidFill>
                    <w14:schemeClr w14:val="tx1"/>
                  </w14:solidFill>
                </w14:textFill>
              </w:rPr>
              <w:t>沙岗头</w:t>
            </w:r>
          </w:p>
        </w:tc>
        <w:tc>
          <w:tcPr>
            <w:tcW w:w="718" w:type="dxa"/>
            <w:noWrap/>
            <w:vAlign w:val="center"/>
          </w:tcPr>
          <w:p w14:paraId="3B0C1C32">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color w:val="000000" w:themeColor="text1"/>
                <w:sz w:val="21"/>
                <w:szCs w:val="21"/>
                <w14:textFill>
                  <w14:solidFill>
                    <w14:schemeClr w14:val="tx1"/>
                  </w14:solidFill>
                </w14:textFill>
              </w:rPr>
              <w:t>2.51</w:t>
            </w:r>
          </w:p>
        </w:tc>
        <w:tc>
          <w:tcPr>
            <w:tcW w:w="817" w:type="dxa"/>
            <w:noWrap/>
            <w:vAlign w:val="center"/>
          </w:tcPr>
          <w:p w14:paraId="28B32ACD">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39" w:type="dxa"/>
            <w:noWrap/>
            <w:vAlign w:val="center"/>
          </w:tcPr>
          <w:p w14:paraId="0D366110">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99" w:type="dxa"/>
            <w:noWrap/>
            <w:vAlign w:val="center"/>
          </w:tcPr>
          <w:p w14:paraId="1838F5AD">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95" w:type="dxa"/>
            <w:noWrap/>
            <w:vAlign w:val="center"/>
          </w:tcPr>
          <w:p w14:paraId="3AAEB17D">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06" w:type="dxa"/>
            <w:noWrap/>
            <w:vAlign w:val="center"/>
          </w:tcPr>
          <w:p w14:paraId="767E27D0">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74" w:type="dxa"/>
            <w:noWrap/>
            <w:vAlign w:val="center"/>
          </w:tcPr>
          <w:p w14:paraId="45606867">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16" w:type="dxa"/>
            <w:noWrap/>
            <w:vAlign w:val="center"/>
          </w:tcPr>
          <w:p w14:paraId="297FAE35">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57" w:type="dxa"/>
            <w:noWrap/>
            <w:vAlign w:val="center"/>
          </w:tcPr>
          <w:p w14:paraId="46C1D992">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806" w:type="dxa"/>
            <w:noWrap/>
            <w:vAlign w:val="center"/>
          </w:tcPr>
          <w:p w14:paraId="7B47D3FD">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29" w:type="dxa"/>
            <w:noWrap/>
            <w:vAlign w:val="center"/>
          </w:tcPr>
          <w:p w14:paraId="3DEAEB56">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779" w:type="dxa"/>
            <w:noWrap/>
            <w:vAlign w:val="center"/>
          </w:tcPr>
          <w:p w14:paraId="5C77B6C3">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r>
      <w:tr w14:paraId="2A062EE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25" w:type="dxa"/>
            <w:noWrap/>
            <w:vAlign w:val="center"/>
          </w:tcPr>
          <w:p w14:paraId="547FC64F">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rFonts w:hint="eastAsia" w:cs="宋体"/>
                <w:color w:val="000000" w:themeColor="text1"/>
                <w:kern w:val="0"/>
                <w:sz w:val="21"/>
                <w:szCs w:val="21"/>
                <w:lang w:bidi="ar"/>
                <w14:textFill>
                  <w14:solidFill>
                    <w14:schemeClr w14:val="tx1"/>
                  </w14:solidFill>
                </w14:textFill>
              </w:rPr>
              <w:t>7</w:t>
            </w:r>
          </w:p>
        </w:tc>
        <w:tc>
          <w:tcPr>
            <w:tcW w:w="1132" w:type="dxa"/>
            <w:noWrap/>
            <w:vAlign w:val="center"/>
          </w:tcPr>
          <w:p w14:paraId="4602DC74">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color w:val="000000" w:themeColor="text1"/>
                <w:sz w:val="21"/>
                <w:szCs w:val="21"/>
                <w14:textFill>
                  <w14:solidFill>
                    <w14:schemeClr w14:val="tx1"/>
                  </w14:solidFill>
                </w14:textFill>
              </w:rPr>
              <w:t>旧村</w:t>
            </w:r>
          </w:p>
        </w:tc>
        <w:tc>
          <w:tcPr>
            <w:tcW w:w="718" w:type="dxa"/>
            <w:noWrap/>
            <w:vAlign w:val="center"/>
          </w:tcPr>
          <w:p w14:paraId="2E5479BA">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color w:val="000000" w:themeColor="text1"/>
                <w:sz w:val="21"/>
                <w:szCs w:val="21"/>
                <w14:textFill>
                  <w14:solidFill>
                    <w14:schemeClr w14:val="tx1"/>
                  </w14:solidFill>
                </w14:textFill>
              </w:rPr>
              <w:t>2.59</w:t>
            </w:r>
          </w:p>
        </w:tc>
        <w:tc>
          <w:tcPr>
            <w:tcW w:w="817" w:type="dxa"/>
            <w:noWrap/>
            <w:vAlign w:val="center"/>
          </w:tcPr>
          <w:p w14:paraId="10FFD08B">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39" w:type="dxa"/>
            <w:noWrap/>
            <w:vAlign w:val="center"/>
          </w:tcPr>
          <w:p w14:paraId="3C10DF5B">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99" w:type="dxa"/>
            <w:noWrap/>
            <w:vAlign w:val="center"/>
          </w:tcPr>
          <w:p w14:paraId="6B114702">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95" w:type="dxa"/>
            <w:noWrap/>
            <w:vAlign w:val="center"/>
          </w:tcPr>
          <w:p w14:paraId="2E10ABF8">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06" w:type="dxa"/>
            <w:noWrap/>
            <w:vAlign w:val="center"/>
          </w:tcPr>
          <w:p w14:paraId="74FACFAD">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74" w:type="dxa"/>
            <w:noWrap/>
            <w:vAlign w:val="center"/>
          </w:tcPr>
          <w:p w14:paraId="44CB817E">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16" w:type="dxa"/>
            <w:noWrap/>
            <w:vAlign w:val="center"/>
          </w:tcPr>
          <w:p w14:paraId="4D612377">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57" w:type="dxa"/>
            <w:noWrap/>
            <w:vAlign w:val="center"/>
          </w:tcPr>
          <w:p w14:paraId="6B6D2FE4">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806" w:type="dxa"/>
            <w:noWrap/>
            <w:vAlign w:val="center"/>
          </w:tcPr>
          <w:p w14:paraId="44D4E198">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29" w:type="dxa"/>
            <w:noWrap/>
            <w:vAlign w:val="center"/>
          </w:tcPr>
          <w:p w14:paraId="24B2E62F">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779" w:type="dxa"/>
            <w:noWrap/>
            <w:vAlign w:val="center"/>
          </w:tcPr>
          <w:p w14:paraId="1E8F3EA6">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r>
      <w:tr w14:paraId="63708D1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25" w:type="dxa"/>
            <w:noWrap/>
            <w:vAlign w:val="center"/>
          </w:tcPr>
          <w:p w14:paraId="172A451C">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rFonts w:hint="eastAsia" w:cs="宋体"/>
                <w:color w:val="000000" w:themeColor="text1"/>
                <w:kern w:val="0"/>
                <w:sz w:val="21"/>
                <w:szCs w:val="21"/>
                <w:lang w:bidi="ar"/>
                <w14:textFill>
                  <w14:solidFill>
                    <w14:schemeClr w14:val="tx1"/>
                  </w14:solidFill>
                </w14:textFill>
              </w:rPr>
              <w:t>8</w:t>
            </w:r>
          </w:p>
        </w:tc>
        <w:tc>
          <w:tcPr>
            <w:tcW w:w="1132" w:type="dxa"/>
            <w:noWrap/>
            <w:vAlign w:val="center"/>
          </w:tcPr>
          <w:p w14:paraId="4F831BA9">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color w:val="000000" w:themeColor="text1"/>
                <w:sz w:val="21"/>
                <w:szCs w:val="21"/>
                <w14:textFill>
                  <w14:solidFill>
                    <w14:schemeClr w14:val="tx1"/>
                  </w14:solidFill>
                </w14:textFill>
              </w:rPr>
              <w:t>金鼓村</w:t>
            </w:r>
          </w:p>
        </w:tc>
        <w:tc>
          <w:tcPr>
            <w:tcW w:w="718" w:type="dxa"/>
            <w:noWrap/>
            <w:vAlign w:val="center"/>
          </w:tcPr>
          <w:p w14:paraId="6DD6A630">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color w:val="000000" w:themeColor="text1"/>
                <w:sz w:val="21"/>
                <w:szCs w:val="21"/>
                <w14:textFill>
                  <w14:solidFill>
                    <w14:schemeClr w14:val="tx1"/>
                  </w14:solidFill>
                </w14:textFill>
              </w:rPr>
              <w:t>2.60</w:t>
            </w:r>
          </w:p>
        </w:tc>
        <w:tc>
          <w:tcPr>
            <w:tcW w:w="817" w:type="dxa"/>
            <w:noWrap/>
            <w:vAlign w:val="center"/>
          </w:tcPr>
          <w:p w14:paraId="1B43144C">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39" w:type="dxa"/>
            <w:noWrap/>
            <w:vAlign w:val="center"/>
          </w:tcPr>
          <w:p w14:paraId="428FF859">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99" w:type="dxa"/>
            <w:noWrap/>
            <w:vAlign w:val="center"/>
          </w:tcPr>
          <w:p w14:paraId="05AA0D33">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95" w:type="dxa"/>
            <w:noWrap/>
            <w:vAlign w:val="center"/>
          </w:tcPr>
          <w:p w14:paraId="733BFE49">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06" w:type="dxa"/>
            <w:noWrap/>
            <w:vAlign w:val="center"/>
          </w:tcPr>
          <w:p w14:paraId="7EF32022">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74" w:type="dxa"/>
            <w:noWrap/>
            <w:vAlign w:val="center"/>
          </w:tcPr>
          <w:p w14:paraId="5B5AEA49">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16" w:type="dxa"/>
            <w:noWrap/>
            <w:vAlign w:val="center"/>
          </w:tcPr>
          <w:p w14:paraId="186ED0C4">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57" w:type="dxa"/>
            <w:noWrap/>
            <w:vAlign w:val="center"/>
          </w:tcPr>
          <w:p w14:paraId="7C7BCC36">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806" w:type="dxa"/>
            <w:noWrap/>
            <w:vAlign w:val="center"/>
          </w:tcPr>
          <w:p w14:paraId="34484651">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29" w:type="dxa"/>
            <w:noWrap/>
            <w:vAlign w:val="center"/>
          </w:tcPr>
          <w:p w14:paraId="2D2CCDC1">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779" w:type="dxa"/>
            <w:noWrap/>
            <w:vAlign w:val="center"/>
          </w:tcPr>
          <w:p w14:paraId="0D0F9AD8">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r>
      <w:tr w14:paraId="24079FA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25" w:type="dxa"/>
            <w:noWrap/>
            <w:vAlign w:val="center"/>
          </w:tcPr>
          <w:p w14:paraId="5D7A7411">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rFonts w:hint="eastAsia" w:cs="宋体"/>
                <w:color w:val="000000" w:themeColor="text1"/>
                <w:kern w:val="0"/>
                <w:sz w:val="21"/>
                <w:szCs w:val="21"/>
                <w:lang w:bidi="ar"/>
                <w14:textFill>
                  <w14:solidFill>
                    <w14:schemeClr w14:val="tx1"/>
                  </w14:solidFill>
                </w14:textFill>
              </w:rPr>
              <w:t>9</w:t>
            </w:r>
          </w:p>
        </w:tc>
        <w:tc>
          <w:tcPr>
            <w:tcW w:w="1132" w:type="dxa"/>
            <w:noWrap/>
            <w:vAlign w:val="center"/>
          </w:tcPr>
          <w:p w14:paraId="1A20BFF3">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color w:val="000000" w:themeColor="text1"/>
                <w:sz w:val="21"/>
                <w:szCs w:val="21"/>
                <w14:textFill>
                  <w14:solidFill>
                    <w14:schemeClr w14:val="tx1"/>
                  </w14:solidFill>
                </w14:textFill>
              </w:rPr>
              <w:t>竹笼</w:t>
            </w:r>
          </w:p>
        </w:tc>
        <w:tc>
          <w:tcPr>
            <w:tcW w:w="718" w:type="dxa"/>
            <w:noWrap/>
            <w:vAlign w:val="center"/>
          </w:tcPr>
          <w:p w14:paraId="43F802C1">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color w:val="000000" w:themeColor="text1"/>
                <w:sz w:val="21"/>
                <w:szCs w:val="21"/>
                <w14:textFill>
                  <w14:solidFill>
                    <w14:schemeClr w14:val="tx1"/>
                  </w14:solidFill>
                </w14:textFill>
              </w:rPr>
              <w:t>2.92</w:t>
            </w:r>
          </w:p>
        </w:tc>
        <w:tc>
          <w:tcPr>
            <w:tcW w:w="817" w:type="dxa"/>
            <w:noWrap/>
            <w:vAlign w:val="center"/>
          </w:tcPr>
          <w:p w14:paraId="2F134696">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39" w:type="dxa"/>
            <w:noWrap/>
            <w:vAlign w:val="center"/>
          </w:tcPr>
          <w:p w14:paraId="1ED0FBF3">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99" w:type="dxa"/>
            <w:noWrap/>
            <w:vAlign w:val="center"/>
          </w:tcPr>
          <w:p w14:paraId="097C7F6B">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95" w:type="dxa"/>
            <w:noWrap/>
            <w:vAlign w:val="center"/>
          </w:tcPr>
          <w:p w14:paraId="5CA8ACF8">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06" w:type="dxa"/>
            <w:noWrap/>
            <w:vAlign w:val="center"/>
          </w:tcPr>
          <w:p w14:paraId="37EE739A">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74" w:type="dxa"/>
            <w:noWrap/>
            <w:vAlign w:val="center"/>
          </w:tcPr>
          <w:p w14:paraId="5084C848">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16" w:type="dxa"/>
            <w:noWrap/>
            <w:vAlign w:val="center"/>
          </w:tcPr>
          <w:p w14:paraId="15D96746">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57" w:type="dxa"/>
            <w:noWrap/>
            <w:vAlign w:val="center"/>
          </w:tcPr>
          <w:p w14:paraId="1C23E77F">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806" w:type="dxa"/>
            <w:noWrap/>
            <w:vAlign w:val="center"/>
          </w:tcPr>
          <w:p w14:paraId="6337A105">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29" w:type="dxa"/>
            <w:noWrap/>
            <w:vAlign w:val="center"/>
          </w:tcPr>
          <w:p w14:paraId="554C6950">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779" w:type="dxa"/>
            <w:noWrap/>
            <w:vAlign w:val="center"/>
          </w:tcPr>
          <w:p w14:paraId="1DDE942A">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r>
      <w:tr w14:paraId="2CF1EAD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25" w:type="dxa"/>
            <w:noWrap/>
            <w:vAlign w:val="center"/>
          </w:tcPr>
          <w:p w14:paraId="1E5CFA41">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rFonts w:hint="eastAsia" w:cs="宋体"/>
                <w:color w:val="000000" w:themeColor="text1"/>
                <w:kern w:val="0"/>
                <w:sz w:val="21"/>
                <w:szCs w:val="21"/>
                <w:lang w:bidi="ar"/>
                <w14:textFill>
                  <w14:solidFill>
                    <w14:schemeClr w14:val="tx1"/>
                  </w14:solidFill>
                </w14:textFill>
              </w:rPr>
              <w:t>10</w:t>
            </w:r>
          </w:p>
        </w:tc>
        <w:tc>
          <w:tcPr>
            <w:tcW w:w="1132" w:type="dxa"/>
            <w:noWrap/>
            <w:vAlign w:val="center"/>
          </w:tcPr>
          <w:p w14:paraId="6CE2EB10">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color w:val="000000" w:themeColor="text1"/>
                <w:sz w:val="21"/>
                <w:szCs w:val="21"/>
                <w14:textFill>
                  <w14:solidFill>
                    <w14:schemeClr w14:val="tx1"/>
                  </w14:solidFill>
                </w14:textFill>
              </w:rPr>
              <w:t>佛子坳</w:t>
            </w:r>
          </w:p>
        </w:tc>
        <w:tc>
          <w:tcPr>
            <w:tcW w:w="718" w:type="dxa"/>
            <w:noWrap/>
            <w:vAlign w:val="center"/>
          </w:tcPr>
          <w:p w14:paraId="7C65ACF0">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color w:val="000000" w:themeColor="text1"/>
                <w:sz w:val="21"/>
                <w:szCs w:val="21"/>
                <w14:textFill>
                  <w14:solidFill>
                    <w14:schemeClr w14:val="tx1"/>
                  </w14:solidFill>
                </w14:textFill>
              </w:rPr>
              <w:t>3.46</w:t>
            </w:r>
          </w:p>
        </w:tc>
        <w:tc>
          <w:tcPr>
            <w:tcW w:w="817" w:type="dxa"/>
            <w:noWrap/>
            <w:vAlign w:val="center"/>
          </w:tcPr>
          <w:p w14:paraId="3B8501D8">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39" w:type="dxa"/>
            <w:noWrap/>
            <w:vAlign w:val="center"/>
          </w:tcPr>
          <w:p w14:paraId="340EA8A8">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99" w:type="dxa"/>
            <w:noWrap/>
            <w:vAlign w:val="center"/>
          </w:tcPr>
          <w:p w14:paraId="54241D81">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95" w:type="dxa"/>
            <w:noWrap/>
            <w:vAlign w:val="center"/>
          </w:tcPr>
          <w:p w14:paraId="4A1B6CA2">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06" w:type="dxa"/>
            <w:noWrap/>
            <w:vAlign w:val="center"/>
          </w:tcPr>
          <w:p w14:paraId="6B0046DB">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74" w:type="dxa"/>
            <w:noWrap/>
            <w:vAlign w:val="center"/>
          </w:tcPr>
          <w:p w14:paraId="446D6263">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16" w:type="dxa"/>
            <w:noWrap/>
            <w:vAlign w:val="center"/>
          </w:tcPr>
          <w:p w14:paraId="31F2FF62">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57" w:type="dxa"/>
            <w:noWrap/>
            <w:vAlign w:val="center"/>
          </w:tcPr>
          <w:p w14:paraId="5D180DCB">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806" w:type="dxa"/>
            <w:noWrap/>
            <w:vAlign w:val="center"/>
          </w:tcPr>
          <w:p w14:paraId="25088E88">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29" w:type="dxa"/>
            <w:noWrap/>
            <w:vAlign w:val="center"/>
          </w:tcPr>
          <w:p w14:paraId="7C34F3F4">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779" w:type="dxa"/>
            <w:noWrap/>
            <w:vAlign w:val="center"/>
          </w:tcPr>
          <w:p w14:paraId="2DD31E03">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r>
      <w:tr w14:paraId="1AD65C7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25" w:type="dxa"/>
            <w:noWrap/>
            <w:vAlign w:val="center"/>
          </w:tcPr>
          <w:p w14:paraId="108EA85C">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rFonts w:hint="eastAsia" w:cs="宋体"/>
                <w:color w:val="000000" w:themeColor="text1"/>
                <w:kern w:val="0"/>
                <w:sz w:val="21"/>
                <w:szCs w:val="21"/>
                <w:lang w:bidi="ar"/>
                <w14:textFill>
                  <w14:solidFill>
                    <w14:schemeClr w14:val="tx1"/>
                  </w14:solidFill>
                </w14:textFill>
              </w:rPr>
              <w:t>11</w:t>
            </w:r>
          </w:p>
        </w:tc>
        <w:tc>
          <w:tcPr>
            <w:tcW w:w="1132" w:type="dxa"/>
            <w:noWrap/>
            <w:vAlign w:val="center"/>
          </w:tcPr>
          <w:p w14:paraId="6C14EB80">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color w:val="000000" w:themeColor="text1"/>
                <w:sz w:val="21"/>
                <w:szCs w:val="21"/>
                <w14:textFill>
                  <w14:solidFill>
                    <w14:schemeClr w14:val="tx1"/>
                  </w14:solidFill>
                </w14:textFill>
              </w:rPr>
              <w:t>第一垌</w:t>
            </w:r>
          </w:p>
        </w:tc>
        <w:tc>
          <w:tcPr>
            <w:tcW w:w="718" w:type="dxa"/>
            <w:noWrap/>
            <w:vAlign w:val="center"/>
          </w:tcPr>
          <w:p w14:paraId="75195DA7">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color w:val="000000" w:themeColor="text1"/>
                <w:sz w:val="21"/>
                <w:szCs w:val="21"/>
                <w14:textFill>
                  <w14:solidFill>
                    <w14:schemeClr w14:val="tx1"/>
                  </w14:solidFill>
                </w14:textFill>
              </w:rPr>
              <w:t>3.47</w:t>
            </w:r>
          </w:p>
        </w:tc>
        <w:tc>
          <w:tcPr>
            <w:tcW w:w="817" w:type="dxa"/>
            <w:noWrap/>
            <w:vAlign w:val="center"/>
          </w:tcPr>
          <w:p w14:paraId="1AF7651B">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39" w:type="dxa"/>
            <w:noWrap/>
            <w:vAlign w:val="center"/>
          </w:tcPr>
          <w:p w14:paraId="111984A1">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99" w:type="dxa"/>
            <w:noWrap/>
            <w:vAlign w:val="center"/>
          </w:tcPr>
          <w:p w14:paraId="4B6E703B">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95" w:type="dxa"/>
            <w:noWrap/>
            <w:vAlign w:val="center"/>
          </w:tcPr>
          <w:p w14:paraId="74B413C1">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06" w:type="dxa"/>
            <w:noWrap/>
            <w:vAlign w:val="center"/>
          </w:tcPr>
          <w:p w14:paraId="2E6C5366">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74" w:type="dxa"/>
            <w:noWrap/>
            <w:vAlign w:val="center"/>
          </w:tcPr>
          <w:p w14:paraId="67D0E310">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16" w:type="dxa"/>
            <w:noWrap/>
            <w:vAlign w:val="center"/>
          </w:tcPr>
          <w:p w14:paraId="4F328F33">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57" w:type="dxa"/>
            <w:noWrap/>
            <w:vAlign w:val="center"/>
          </w:tcPr>
          <w:p w14:paraId="28912E16">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806" w:type="dxa"/>
            <w:noWrap/>
            <w:vAlign w:val="center"/>
          </w:tcPr>
          <w:p w14:paraId="7B485EB0">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29" w:type="dxa"/>
            <w:noWrap/>
            <w:vAlign w:val="center"/>
          </w:tcPr>
          <w:p w14:paraId="7F4B7361">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779" w:type="dxa"/>
            <w:noWrap/>
            <w:vAlign w:val="center"/>
          </w:tcPr>
          <w:p w14:paraId="54EDC71E">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r>
      <w:tr w14:paraId="4DAC1D3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25" w:type="dxa"/>
            <w:noWrap/>
            <w:vAlign w:val="center"/>
          </w:tcPr>
          <w:p w14:paraId="42C454EA">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rFonts w:hint="eastAsia" w:cs="宋体"/>
                <w:color w:val="000000" w:themeColor="text1"/>
                <w:kern w:val="0"/>
                <w:sz w:val="21"/>
                <w:szCs w:val="21"/>
                <w:lang w:bidi="ar"/>
                <w14:textFill>
                  <w14:solidFill>
                    <w14:schemeClr w14:val="tx1"/>
                  </w14:solidFill>
                </w14:textFill>
              </w:rPr>
              <w:t>12</w:t>
            </w:r>
          </w:p>
        </w:tc>
        <w:tc>
          <w:tcPr>
            <w:tcW w:w="1132" w:type="dxa"/>
            <w:noWrap/>
            <w:vAlign w:val="center"/>
          </w:tcPr>
          <w:p w14:paraId="4F21A81C">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color w:val="000000" w:themeColor="text1"/>
                <w:sz w:val="21"/>
                <w:szCs w:val="21"/>
                <w14:textFill>
                  <w14:solidFill>
                    <w14:schemeClr w14:val="tx1"/>
                  </w14:solidFill>
                </w14:textFill>
              </w:rPr>
              <w:t>鸡墩头</w:t>
            </w:r>
          </w:p>
        </w:tc>
        <w:tc>
          <w:tcPr>
            <w:tcW w:w="718" w:type="dxa"/>
            <w:noWrap/>
            <w:vAlign w:val="center"/>
          </w:tcPr>
          <w:p w14:paraId="4777ED12">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color w:val="000000" w:themeColor="text1"/>
                <w:sz w:val="21"/>
                <w:szCs w:val="21"/>
                <w14:textFill>
                  <w14:solidFill>
                    <w14:schemeClr w14:val="tx1"/>
                  </w14:solidFill>
                </w14:textFill>
              </w:rPr>
              <w:t>3.85</w:t>
            </w:r>
          </w:p>
        </w:tc>
        <w:tc>
          <w:tcPr>
            <w:tcW w:w="817" w:type="dxa"/>
            <w:noWrap/>
            <w:vAlign w:val="center"/>
          </w:tcPr>
          <w:p w14:paraId="24AB08E5">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39" w:type="dxa"/>
            <w:noWrap/>
            <w:vAlign w:val="center"/>
          </w:tcPr>
          <w:p w14:paraId="5FD24E74">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99" w:type="dxa"/>
            <w:noWrap/>
            <w:vAlign w:val="center"/>
          </w:tcPr>
          <w:p w14:paraId="0F1B733E">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95" w:type="dxa"/>
            <w:noWrap/>
            <w:vAlign w:val="center"/>
          </w:tcPr>
          <w:p w14:paraId="53F36CFE">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06" w:type="dxa"/>
            <w:noWrap/>
            <w:vAlign w:val="center"/>
          </w:tcPr>
          <w:p w14:paraId="5AEDA887">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74" w:type="dxa"/>
            <w:noWrap/>
            <w:vAlign w:val="center"/>
          </w:tcPr>
          <w:p w14:paraId="6CD0B861">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16" w:type="dxa"/>
            <w:noWrap/>
            <w:vAlign w:val="center"/>
          </w:tcPr>
          <w:p w14:paraId="25A05688">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57" w:type="dxa"/>
            <w:noWrap/>
            <w:vAlign w:val="center"/>
          </w:tcPr>
          <w:p w14:paraId="34BBC364">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806" w:type="dxa"/>
            <w:noWrap/>
            <w:vAlign w:val="center"/>
          </w:tcPr>
          <w:p w14:paraId="5041AA57">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29" w:type="dxa"/>
            <w:noWrap/>
            <w:vAlign w:val="center"/>
          </w:tcPr>
          <w:p w14:paraId="704ED2BA">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779" w:type="dxa"/>
            <w:noWrap/>
            <w:vAlign w:val="center"/>
          </w:tcPr>
          <w:p w14:paraId="6CA8BAE5">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r>
      <w:tr w14:paraId="4EBCA27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25" w:type="dxa"/>
            <w:noWrap/>
            <w:vAlign w:val="center"/>
          </w:tcPr>
          <w:p w14:paraId="477F4FE1">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rFonts w:hint="eastAsia" w:cs="宋体"/>
                <w:color w:val="000000" w:themeColor="text1"/>
                <w:kern w:val="0"/>
                <w:sz w:val="21"/>
                <w:szCs w:val="21"/>
                <w:lang w:bidi="ar"/>
                <w14:textFill>
                  <w14:solidFill>
                    <w14:schemeClr w14:val="tx1"/>
                  </w14:solidFill>
                </w14:textFill>
              </w:rPr>
              <w:t>13</w:t>
            </w:r>
          </w:p>
        </w:tc>
        <w:tc>
          <w:tcPr>
            <w:tcW w:w="1132" w:type="dxa"/>
            <w:noWrap/>
            <w:vAlign w:val="center"/>
          </w:tcPr>
          <w:p w14:paraId="341F281E">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color w:val="000000" w:themeColor="text1"/>
                <w:sz w:val="21"/>
                <w:szCs w:val="21"/>
                <w14:textFill>
                  <w14:solidFill>
                    <w14:schemeClr w14:val="tx1"/>
                  </w14:solidFill>
                </w14:textFill>
              </w:rPr>
              <w:t>钦州港经济技术开发区中学</w:t>
            </w:r>
          </w:p>
        </w:tc>
        <w:tc>
          <w:tcPr>
            <w:tcW w:w="718" w:type="dxa"/>
            <w:noWrap/>
            <w:vAlign w:val="center"/>
          </w:tcPr>
          <w:p w14:paraId="5E1BFA2F">
            <w:pPr>
              <w:widowControl/>
              <w:adjustRightInd w:val="0"/>
              <w:snapToGrid w:val="0"/>
              <w:spacing w:line="240" w:lineRule="auto"/>
              <w:ind w:firstLine="0" w:firstLineChars="0"/>
              <w:textAlignment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3.11</w:t>
            </w:r>
          </w:p>
        </w:tc>
        <w:tc>
          <w:tcPr>
            <w:tcW w:w="817" w:type="dxa"/>
            <w:noWrap/>
            <w:vAlign w:val="center"/>
          </w:tcPr>
          <w:p w14:paraId="15724CFE">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39" w:type="dxa"/>
            <w:noWrap/>
            <w:vAlign w:val="center"/>
          </w:tcPr>
          <w:p w14:paraId="09A02382">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99" w:type="dxa"/>
            <w:noWrap/>
            <w:vAlign w:val="center"/>
          </w:tcPr>
          <w:p w14:paraId="7FFCB25D">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95" w:type="dxa"/>
            <w:noWrap/>
            <w:vAlign w:val="center"/>
          </w:tcPr>
          <w:p w14:paraId="6023E996">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06" w:type="dxa"/>
            <w:noWrap/>
            <w:vAlign w:val="center"/>
          </w:tcPr>
          <w:p w14:paraId="56799C5C">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74" w:type="dxa"/>
            <w:noWrap/>
            <w:vAlign w:val="center"/>
          </w:tcPr>
          <w:p w14:paraId="59E622FA">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16" w:type="dxa"/>
            <w:noWrap/>
            <w:vAlign w:val="center"/>
          </w:tcPr>
          <w:p w14:paraId="5743663D">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57" w:type="dxa"/>
            <w:noWrap/>
            <w:vAlign w:val="center"/>
          </w:tcPr>
          <w:p w14:paraId="4B93E780">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806" w:type="dxa"/>
            <w:noWrap/>
            <w:vAlign w:val="center"/>
          </w:tcPr>
          <w:p w14:paraId="3C6D4296">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29" w:type="dxa"/>
            <w:noWrap/>
            <w:vAlign w:val="center"/>
          </w:tcPr>
          <w:p w14:paraId="3D0E283C">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779" w:type="dxa"/>
            <w:noWrap/>
            <w:vAlign w:val="center"/>
          </w:tcPr>
          <w:p w14:paraId="578D60B3">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r>
      <w:tr w14:paraId="3F7E814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25" w:type="dxa"/>
            <w:noWrap/>
            <w:vAlign w:val="center"/>
          </w:tcPr>
          <w:p w14:paraId="79276519">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rFonts w:hint="eastAsia" w:cs="宋体"/>
                <w:color w:val="000000" w:themeColor="text1"/>
                <w:kern w:val="0"/>
                <w:sz w:val="21"/>
                <w:szCs w:val="21"/>
                <w:lang w:bidi="ar"/>
                <w14:textFill>
                  <w14:solidFill>
                    <w14:schemeClr w14:val="tx1"/>
                  </w14:solidFill>
                </w14:textFill>
              </w:rPr>
              <w:t>14</w:t>
            </w:r>
          </w:p>
        </w:tc>
        <w:tc>
          <w:tcPr>
            <w:tcW w:w="1132" w:type="dxa"/>
            <w:noWrap/>
            <w:vAlign w:val="center"/>
          </w:tcPr>
          <w:p w14:paraId="37EDB6BA">
            <w:pPr>
              <w:widowControl/>
              <w:adjustRightInd w:val="0"/>
              <w:snapToGrid w:val="0"/>
              <w:spacing w:line="240" w:lineRule="auto"/>
              <w:ind w:firstLine="0" w:firstLineChars="0"/>
              <w:jc w:val="center"/>
              <w:textAlignment w:val="center"/>
              <w:rPr>
                <w:rFonts w:cs="宋体"/>
                <w:color w:val="000000" w:themeColor="text1"/>
                <w:kern w:val="0"/>
                <w:sz w:val="21"/>
                <w:szCs w:val="21"/>
                <w:lang w:bidi="ar"/>
                <w14:textFill>
                  <w14:solidFill>
                    <w14:schemeClr w14:val="tx1"/>
                  </w14:solidFill>
                </w14:textFill>
              </w:rPr>
            </w:pPr>
            <w:r>
              <w:rPr>
                <w:color w:val="000000" w:themeColor="text1"/>
                <w:sz w:val="21"/>
                <w:szCs w:val="21"/>
                <w14:textFill>
                  <w14:solidFill>
                    <w14:schemeClr w14:val="tx1"/>
                  </w14:solidFill>
                </w14:textFill>
              </w:rPr>
              <w:t>钦州港经济技术开发区第四小学</w:t>
            </w:r>
          </w:p>
        </w:tc>
        <w:tc>
          <w:tcPr>
            <w:tcW w:w="718" w:type="dxa"/>
            <w:noWrap/>
            <w:vAlign w:val="center"/>
          </w:tcPr>
          <w:p w14:paraId="6E3EA5C9">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3.00</w:t>
            </w:r>
          </w:p>
        </w:tc>
        <w:tc>
          <w:tcPr>
            <w:tcW w:w="817" w:type="dxa"/>
            <w:noWrap/>
            <w:vAlign w:val="center"/>
          </w:tcPr>
          <w:p w14:paraId="70C1F237">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39" w:type="dxa"/>
            <w:noWrap/>
            <w:vAlign w:val="center"/>
          </w:tcPr>
          <w:p w14:paraId="14B94D65">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99" w:type="dxa"/>
            <w:noWrap/>
            <w:vAlign w:val="center"/>
          </w:tcPr>
          <w:p w14:paraId="4B4F2626">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595" w:type="dxa"/>
            <w:noWrap/>
            <w:vAlign w:val="center"/>
          </w:tcPr>
          <w:p w14:paraId="20519C8E">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06" w:type="dxa"/>
            <w:noWrap/>
            <w:vAlign w:val="center"/>
          </w:tcPr>
          <w:p w14:paraId="4A059473">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74" w:type="dxa"/>
            <w:noWrap/>
            <w:vAlign w:val="center"/>
          </w:tcPr>
          <w:p w14:paraId="03E10DA6">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16" w:type="dxa"/>
            <w:noWrap/>
            <w:vAlign w:val="center"/>
          </w:tcPr>
          <w:p w14:paraId="1CDA9D0F">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57" w:type="dxa"/>
            <w:noWrap/>
            <w:vAlign w:val="center"/>
          </w:tcPr>
          <w:p w14:paraId="2C0A6C3A">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806" w:type="dxa"/>
            <w:noWrap/>
            <w:vAlign w:val="center"/>
          </w:tcPr>
          <w:p w14:paraId="0CA7D762">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629" w:type="dxa"/>
            <w:noWrap/>
            <w:vAlign w:val="center"/>
          </w:tcPr>
          <w:p w14:paraId="2992BE21">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779" w:type="dxa"/>
            <w:noWrap/>
            <w:vAlign w:val="center"/>
          </w:tcPr>
          <w:p w14:paraId="5AC1DD4C">
            <w:pPr>
              <w:widowControl/>
              <w:adjustRightInd w:val="0"/>
              <w:snapToGrid w:val="0"/>
              <w:spacing w:line="240" w:lineRule="auto"/>
              <w:ind w:firstLine="0" w:firstLineChars="0"/>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r>
    </w:tbl>
    <w:p w14:paraId="22AFDC99">
      <w:pPr>
        <w:ind w:firstLine="199" w:firstLineChars="83"/>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5274310" cy="3149600"/>
            <wp:effectExtent l="19050" t="19050" r="21590" b="12700"/>
            <wp:docPr id="275" name="图片 275" descr="D:\weinxin\xwechat_files\Aicandoit_f66a\temp\InputTemp\4a5e6452-c899-4856-8e77-a23c2895fc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275" descr="D:\weinxin\xwechat_files\Aicandoit_f66a\temp\InputTemp\4a5e6452-c899-4856-8e77-a23c2895fc98.png"/>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a:xfrm>
                      <a:off x="0" y="0"/>
                      <a:ext cx="5274310" cy="3149935"/>
                    </a:xfrm>
                    <a:prstGeom prst="rect">
                      <a:avLst/>
                    </a:prstGeom>
                    <a:noFill/>
                    <a:ln>
                      <a:solidFill>
                        <a:schemeClr val="tx1"/>
                      </a:solidFill>
                    </a:ln>
                  </pic:spPr>
                </pic:pic>
              </a:graphicData>
            </a:graphic>
          </wp:inline>
        </w:drawing>
      </w:r>
    </w:p>
    <w:p w14:paraId="02CD3B2A">
      <w:pPr>
        <w:ind w:firstLine="482"/>
        <w:jc w:val="center"/>
        <w:rPr>
          <w:b/>
          <w:color w:val="000000" w:themeColor="text1"/>
          <w14:textFill>
            <w14:solidFill>
              <w14:schemeClr w14:val="tx1"/>
            </w14:solidFill>
          </w14:textFill>
        </w:rPr>
      </w:pPr>
      <w:r>
        <w:rPr>
          <w:rFonts w:hint="eastAsia"/>
          <w:b/>
          <w:color w:val="000000" w:themeColor="text1"/>
          <w14:textFill>
            <w14:solidFill>
              <w14:schemeClr w14:val="tx1"/>
            </w14:solidFill>
          </w14:textFill>
        </w:rPr>
        <w:t>图5.6-2   CO最大影响范围示意图</w:t>
      </w:r>
    </w:p>
    <w:p w14:paraId="07479886">
      <w:pPr>
        <w:pStyle w:val="5"/>
        <w:keepNext w:val="0"/>
        <w:keepLines w:val="0"/>
        <w:rPr>
          <w:color w:val="000000" w:themeColor="text1"/>
          <w14:textFill>
            <w14:solidFill>
              <w14:schemeClr w14:val="tx1"/>
            </w14:solidFill>
          </w14:textFill>
        </w:rPr>
      </w:pPr>
      <w:r>
        <w:rPr>
          <w:color w:val="000000" w:themeColor="text1"/>
          <w14:textFill>
            <w14:solidFill>
              <w14:schemeClr w14:val="tx1"/>
            </w14:solidFill>
          </w14:textFill>
        </w:rPr>
        <w:t>风险管理</w:t>
      </w:r>
    </w:p>
    <w:p w14:paraId="5C90917B">
      <w:pPr>
        <w:pStyle w:val="4"/>
        <w:rPr>
          <w:color w:val="000000" w:themeColor="text1"/>
          <w14:textFill>
            <w14:solidFill>
              <w14:schemeClr w14:val="tx1"/>
            </w14:solidFill>
          </w14:textFill>
        </w:rPr>
      </w:pPr>
      <w:r>
        <w:rPr>
          <w:rFonts w:hint="eastAsia"/>
          <w:color w:val="000000" w:themeColor="text1"/>
          <w14:textFill>
            <w14:solidFill>
              <w14:schemeClr w14:val="tx1"/>
            </w14:solidFill>
          </w14:textFill>
        </w:rPr>
        <w:t>环境风险管理目标</w:t>
      </w:r>
    </w:p>
    <w:p w14:paraId="71DB1654">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环境风险管理目标是采用最低合理可靠原则管控环境风险。采取的环境风险防范措施应与社会经济技术发展水平相适应，运用科学的技术手段和管理方法，对环境风险进行有效</w:t>
      </w:r>
      <w:r>
        <w:rPr>
          <w:rFonts w:hint="eastAsia"/>
          <w:color w:val="000000" w:themeColor="text1"/>
          <w:lang w:eastAsia="zh-CN"/>
          <w14:textFill>
            <w14:solidFill>
              <w14:schemeClr w14:val="tx1"/>
            </w14:solidFill>
          </w14:textFill>
        </w:rPr>
        <w:t>地</w:t>
      </w:r>
      <w:r>
        <w:rPr>
          <w:rFonts w:hint="eastAsia"/>
          <w:color w:val="000000" w:themeColor="text1"/>
          <w14:textFill>
            <w14:solidFill>
              <w14:schemeClr w14:val="tx1"/>
            </w14:solidFill>
          </w14:textFill>
        </w:rPr>
        <w:t>预防、监控、响应。</w:t>
      </w:r>
    </w:p>
    <w:p w14:paraId="76618684">
      <w:pPr>
        <w:pStyle w:val="4"/>
        <w:rPr>
          <w:color w:val="000000" w:themeColor="text1"/>
          <w14:textFill>
            <w14:solidFill>
              <w14:schemeClr w14:val="tx1"/>
            </w14:solidFill>
          </w14:textFill>
        </w:rPr>
      </w:pPr>
      <w:r>
        <w:rPr>
          <w:rFonts w:hint="eastAsia"/>
          <w:color w:val="000000" w:themeColor="text1"/>
          <w14:textFill>
            <w14:solidFill>
              <w14:schemeClr w14:val="tx1"/>
            </w14:solidFill>
          </w14:textFill>
        </w:rPr>
        <w:t>现有环境风险防范措施及可靠性、有效性分析</w:t>
      </w:r>
    </w:p>
    <w:p w14:paraId="1663EC49">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项目增加货种装卸，涉及的危险物质及可能发生的环境风险事故，主要新增装卸的危险物质为苯乙烯、裂解C9、棕榈酸化油、脂肪酸甲酯、脂肪酸混合物、工业级混合油、脂肪酸甲酯、纯生物柴油、航空煤油、液硫、碱液、发烟硫酸（硫酸），主要风险事故为危险货物泄漏和溢油事故。广西自贸区逸海港务有限责任公司于2025年5月发布了突发环境事件应急预案，并已取得钦州市生态环境局备案（预案编号450702-2025-0036-H，见附件5）。公司成立突发环境事件应急组织机构。现有环境风险防范措施及应急物资较完善。因此，现有工程采取的环境风险防范措施及配备应急物资，依托可行可靠，有效（具体见章节5.7.3-5.7.11）。</w:t>
      </w:r>
    </w:p>
    <w:p w14:paraId="20D13011">
      <w:pPr>
        <w:pStyle w:val="13"/>
        <w:spacing w:line="360" w:lineRule="auto"/>
        <w:ind w:firstLine="48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拟建项目后续需根据建设内容、建设单位内部管理规定等特征，</w:t>
      </w:r>
      <w:r>
        <w:rPr>
          <w:color w:val="000000" w:themeColor="text1"/>
          <w:sz w:val="24"/>
          <w14:textFill>
            <w14:solidFill>
              <w14:schemeClr w14:val="tx1"/>
            </w14:solidFill>
          </w14:textFill>
        </w:rPr>
        <w:t xml:space="preserve"> 在投入运营前，修订完善现有的环境风险应急预案并进行报备。</w:t>
      </w:r>
    </w:p>
    <w:p w14:paraId="5CD577D6">
      <w:pPr>
        <w:pStyle w:val="4"/>
        <w:keepNext w:val="0"/>
        <w:keepLines w:val="0"/>
        <w:rPr>
          <w:color w:val="000000" w:themeColor="text1"/>
          <w14:textFill>
            <w14:solidFill>
              <w14:schemeClr w14:val="tx1"/>
            </w14:solidFill>
          </w14:textFill>
        </w:rPr>
      </w:pPr>
      <w:r>
        <w:rPr>
          <w:color w:val="000000" w:themeColor="text1"/>
          <w14:textFill>
            <w14:solidFill>
              <w14:schemeClr w14:val="tx1"/>
            </w14:solidFill>
          </w14:textFill>
        </w:rPr>
        <w:t>陆域风险管理措施</w:t>
      </w:r>
    </w:p>
    <w:p w14:paraId="557E16A9">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拟建工程环境风险防范措施主要是指为了防止事故产生的有毒有害物质进入环境而采取的措施。</w:t>
      </w:r>
    </w:p>
    <w:p w14:paraId="4BFD7196">
      <w:pPr>
        <w:ind w:firstLine="482"/>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1、监控措施</w:t>
      </w:r>
    </w:p>
    <w:p w14:paraId="0494C739">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目前码头区域已有监控措施包括：</w:t>
      </w:r>
    </w:p>
    <w:p w14:paraId="5294FE3D">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①码头、值班室等处安装报警电话和应急广播，一旦发生火警可及时和监控中心、消防值班室联络，及时启动应急处理预案。</w:t>
      </w:r>
    </w:p>
    <w:p w14:paraId="5C7C19B1">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②港区设有监控系统，监控摄像头安装在码头前沿、监控视频设在港区综合办公楼中控室内，可以随时监控码头作业区的作业情况。</w:t>
      </w:r>
    </w:p>
    <w:p w14:paraId="2963FC62">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③设有消防灭火系统，具备较完善消防设备、防污染设施和应急救援物资。 </w:t>
      </w:r>
    </w:p>
    <w:p w14:paraId="6DD4BDFB">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④设置火灾报警系统，该系统由火灾报警控制器、火灾探测器、手动报警按钮等组成，以利于自动预警和及时组织灭火扑救。</w:t>
      </w:r>
    </w:p>
    <w:p w14:paraId="1490CF40">
      <w:pPr>
        <w:ind w:firstLine="480"/>
        <w:rPr>
          <w:b/>
          <w:bCs/>
          <w:color w:val="000000" w:themeColor="text1"/>
          <w14:textFill>
            <w14:solidFill>
              <w14:schemeClr w14:val="tx1"/>
            </w14:solidFill>
          </w14:textFill>
        </w:rPr>
      </w:pPr>
      <w:r>
        <w:rPr>
          <w:rFonts w:hint="eastAsia"/>
          <w:color w:val="000000" w:themeColor="text1"/>
          <w14:textFill>
            <w14:solidFill>
              <w14:schemeClr w14:val="tx1"/>
            </w14:solidFill>
          </w14:textFill>
        </w:rPr>
        <w:t>⑤安装有毒有害气体报警器，实时监测环境中有毒有害气体的浓度，一旦浓度超过预设的安全阈值，报警器会立即发出声光警报，从而迅速提醒现场工作人员采取相应的安全措施，防止气体泄漏引发的事故和危害。</w:t>
      </w:r>
    </w:p>
    <w:p w14:paraId="5F62A98D">
      <w:pPr>
        <w:widowControl/>
        <w:ind w:firstLine="482"/>
        <w:jc w:val="left"/>
        <w:rPr>
          <w:color w:val="000000" w:themeColor="text1"/>
          <w14:textFill>
            <w14:solidFill>
              <w14:schemeClr w14:val="tx1"/>
            </w14:solidFill>
          </w14:textFill>
        </w:rPr>
      </w:pPr>
      <w:r>
        <w:rPr>
          <w:rFonts w:hint="eastAsia"/>
          <w:b/>
          <w:bCs/>
          <w:color w:val="000000" w:themeColor="text1"/>
          <w14:textFill>
            <w14:solidFill>
              <w14:schemeClr w14:val="tx1"/>
            </w14:solidFill>
          </w14:textFill>
        </w:rPr>
        <w:t>2、</w:t>
      </w:r>
      <w:r>
        <w:rPr>
          <w:rFonts w:hint="eastAsia" w:cs="宋体"/>
          <w:b/>
          <w:bCs/>
          <w:color w:val="000000" w:themeColor="text1"/>
          <w:kern w:val="0"/>
          <w:lang w:bidi="ar"/>
          <w14:textFill>
            <w14:solidFill>
              <w14:schemeClr w14:val="tx1"/>
            </w14:solidFill>
          </w14:textFill>
        </w:rPr>
        <w:t>危险货物管道装卸作业风险防范措施</w:t>
      </w:r>
    </w:p>
    <w:p w14:paraId="73890572">
      <w:pPr>
        <w:widowControl/>
        <w:ind w:firstLine="480"/>
        <w:jc w:val="left"/>
        <w:rPr>
          <w:color w:val="000000" w:themeColor="text1"/>
          <w14:textFill>
            <w14:solidFill>
              <w14:schemeClr w14:val="tx1"/>
            </w14:solidFill>
          </w14:textFill>
        </w:rPr>
      </w:pPr>
      <w:r>
        <w:rPr>
          <w:rFonts w:hint="eastAsia" w:cs="宋体"/>
          <w:color w:val="000000" w:themeColor="text1"/>
          <w:kern w:val="0"/>
          <w:lang w:bidi="ar"/>
          <w14:textFill>
            <w14:solidFill>
              <w14:schemeClr w14:val="tx1"/>
            </w14:solidFill>
          </w14:textFill>
        </w:rPr>
        <w:t>①货物管道装卸作业，码头作业人员应严格按照装卸船操作工艺规程进行各项装卸船操作。</w:t>
      </w:r>
    </w:p>
    <w:p w14:paraId="35C6FCA8">
      <w:pPr>
        <w:widowControl/>
        <w:ind w:firstLine="480"/>
        <w:jc w:val="left"/>
        <w:rPr>
          <w:color w:val="000000" w:themeColor="text1"/>
          <w14:textFill>
            <w14:solidFill>
              <w14:schemeClr w14:val="tx1"/>
            </w14:solidFill>
          </w14:textFill>
        </w:rPr>
      </w:pPr>
      <w:r>
        <w:rPr>
          <w:rFonts w:hint="eastAsia" w:cs="宋体"/>
          <w:color w:val="000000" w:themeColor="text1"/>
          <w:kern w:val="0"/>
          <w:lang w:bidi="ar"/>
          <w14:textFill>
            <w14:solidFill>
              <w14:schemeClr w14:val="tx1"/>
            </w14:solidFill>
          </w14:textFill>
        </w:rPr>
        <w:t>②码头员工与当班班长通信必须保持畅通（对讲机或手机），码头员工与船方时刻保持联系，视野可见范围或电话联系。</w:t>
      </w:r>
    </w:p>
    <w:p w14:paraId="6332E6BA">
      <w:pPr>
        <w:widowControl/>
        <w:ind w:firstLine="480"/>
        <w:jc w:val="left"/>
        <w:rPr>
          <w:color w:val="000000" w:themeColor="text1"/>
          <w14:textFill>
            <w14:solidFill>
              <w14:schemeClr w14:val="tx1"/>
            </w14:solidFill>
          </w14:textFill>
        </w:rPr>
      </w:pPr>
      <w:r>
        <w:rPr>
          <w:rFonts w:hint="eastAsia" w:cs="宋体"/>
          <w:color w:val="000000" w:themeColor="text1"/>
          <w:kern w:val="0"/>
          <w:lang w:bidi="ar"/>
          <w14:textFill>
            <w14:solidFill>
              <w14:schemeClr w14:val="tx1"/>
            </w14:solidFill>
          </w14:textFill>
        </w:rPr>
        <w:t>③码头操作人员注意潮涨潮落及到港船舶吃水情况，及时调整船岸间输送软管及固定绳的位置及紧度，预防输送软管被船压坏或者拉断，同时加强管路巡查，发现问题及时处理并报告。</w:t>
      </w:r>
    </w:p>
    <w:p w14:paraId="4BE34AE7">
      <w:pPr>
        <w:widowControl/>
        <w:ind w:firstLine="480"/>
        <w:jc w:val="left"/>
        <w:rPr>
          <w:color w:val="000000" w:themeColor="text1"/>
          <w14:textFill>
            <w14:solidFill>
              <w14:schemeClr w14:val="tx1"/>
            </w14:solidFill>
          </w14:textFill>
        </w:rPr>
      </w:pPr>
      <w:r>
        <w:rPr>
          <w:rFonts w:hint="eastAsia" w:cs="宋体"/>
          <w:color w:val="000000" w:themeColor="text1"/>
          <w:kern w:val="0"/>
          <w:lang w:bidi="ar"/>
          <w14:textFill>
            <w14:solidFill>
              <w14:schemeClr w14:val="tx1"/>
            </w14:solidFill>
          </w14:textFill>
        </w:rPr>
        <w:t>④班长负责本班码头作业阀门的开启和关闭，对管线各阀门等进行巡视，确保阀门开启和关闭的正确性，杜绝跑、冒、滴、漏等现象的发生，发现问题及时处理并及时报告。</w:t>
      </w:r>
    </w:p>
    <w:p w14:paraId="19D0D551">
      <w:pPr>
        <w:widowControl/>
        <w:ind w:firstLine="480"/>
        <w:jc w:val="left"/>
        <w:rPr>
          <w:color w:val="000000" w:themeColor="text1"/>
          <w14:textFill>
            <w14:solidFill>
              <w14:schemeClr w14:val="tx1"/>
            </w14:solidFill>
          </w14:textFill>
        </w:rPr>
      </w:pPr>
      <w:r>
        <w:rPr>
          <w:rFonts w:hint="eastAsia" w:cs="宋体"/>
          <w:color w:val="000000" w:themeColor="text1"/>
          <w:kern w:val="0"/>
          <w:lang w:bidi="ar"/>
          <w14:textFill>
            <w14:solidFill>
              <w14:schemeClr w14:val="tx1"/>
            </w14:solidFill>
          </w14:textFill>
        </w:rPr>
        <w:t>⑤输送软管使用前应先试压确保无泄漏。软管连接、移位、拆卸过程中严禁用叉车拖、拉或推软管，需要移位则拆下法兰螺栓后逐根叉走（软管移位过程中不可与地面接触），对于暂不使用的软管应上好盲板并妥善放置。</w:t>
      </w:r>
    </w:p>
    <w:p w14:paraId="75B36578">
      <w:pPr>
        <w:widowControl/>
        <w:ind w:firstLine="480"/>
        <w:jc w:val="left"/>
        <w:rPr>
          <w:color w:val="000000" w:themeColor="text1"/>
          <w:u w:val="single"/>
          <w14:textFill>
            <w14:solidFill>
              <w14:schemeClr w14:val="tx1"/>
            </w14:solidFill>
          </w14:textFill>
        </w:rPr>
      </w:pPr>
      <w:r>
        <w:rPr>
          <w:rFonts w:hint="eastAsia" w:cs="宋体"/>
          <w:color w:val="000000" w:themeColor="text1"/>
          <w:kern w:val="0"/>
          <w:lang w:bidi="ar"/>
          <w14:textFill>
            <w14:solidFill>
              <w14:schemeClr w14:val="tx1"/>
            </w14:solidFill>
          </w14:textFill>
        </w:rPr>
        <w:t>⑥到港船舶靠港期间，应在码头前沿布设围油栏，并注意观察海面情况，发现油污应及时清理。</w:t>
      </w:r>
    </w:p>
    <w:p w14:paraId="68D3DEA0">
      <w:pPr>
        <w:ind w:firstLine="480"/>
        <w:rPr>
          <w:color w:val="000000" w:themeColor="text1"/>
          <w14:textFill>
            <w14:solidFill>
              <w14:schemeClr w14:val="tx1"/>
            </w14:solidFill>
          </w14:textFill>
        </w:rPr>
      </w:pPr>
      <w:r>
        <w:rPr>
          <w:rFonts w:hint="eastAsia" w:cs="宋体"/>
          <w:color w:val="000000" w:themeColor="text1"/>
          <w:kern w:val="0"/>
          <w:lang w:bidi="ar"/>
          <w14:textFill>
            <w14:solidFill>
              <w14:schemeClr w14:val="tx1"/>
            </w14:solidFill>
          </w14:textFill>
        </w:rPr>
        <w:t>⑦</w:t>
      </w:r>
      <w:r>
        <w:rPr>
          <w:rFonts w:hint="eastAsia"/>
          <w:color w:val="000000" w:themeColor="text1"/>
          <w14:textFill>
            <w14:solidFill>
              <w14:schemeClr w14:val="tx1"/>
            </w14:solidFill>
          </w14:textFill>
        </w:rPr>
        <w:t>注重培养危险货物作业人员的安全意识，定期开展安全教育培训；作业时应做到谨慎操作，稳起稳落，严格避免野蛮作业行为。</w:t>
      </w:r>
    </w:p>
    <w:p w14:paraId="74A7AA34">
      <w:pPr>
        <w:widowControl/>
        <w:ind w:firstLine="480"/>
        <w:jc w:val="left"/>
        <w:rPr>
          <w:rFonts w:cs="宋体"/>
          <w:color w:val="000000" w:themeColor="text1"/>
          <w:kern w:val="0"/>
          <w:lang w:bidi="ar"/>
          <w14:textFill>
            <w14:solidFill>
              <w14:schemeClr w14:val="tx1"/>
            </w14:solidFill>
          </w14:textFill>
        </w:rPr>
      </w:pPr>
      <w:r>
        <w:rPr>
          <w:rFonts w:hint="eastAsia" w:cs="宋体"/>
          <w:color w:val="000000" w:themeColor="text1"/>
          <w:kern w:val="0"/>
          <w:lang w:bidi="ar"/>
          <w14:textFill>
            <w14:solidFill>
              <w14:schemeClr w14:val="tx1"/>
            </w14:solidFill>
          </w14:textFill>
        </w:rPr>
        <w:t>⑧严禁烟火，避免接触火焰。</w:t>
      </w:r>
    </w:p>
    <w:p w14:paraId="205EAC57">
      <w:pPr>
        <w:widowControl/>
        <w:ind w:firstLine="480"/>
        <w:jc w:val="left"/>
        <w:rPr>
          <w:rFonts w:cs="宋体"/>
          <w:color w:val="000000" w:themeColor="text1"/>
          <w:kern w:val="0"/>
          <w:lang w:bidi="ar"/>
          <w14:textFill>
            <w14:solidFill>
              <w14:schemeClr w14:val="tx1"/>
            </w14:solidFill>
          </w14:textFill>
        </w:rPr>
      </w:pPr>
      <w:r>
        <w:rPr>
          <w:rFonts w:hint="eastAsia" w:cs="宋体"/>
          <w:color w:val="000000" w:themeColor="text1"/>
          <w:kern w:val="0"/>
          <w:lang w:bidi="ar"/>
          <w14:textFill>
            <w14:solidFill>
              <w14:schemeClr w14:val="tx1"/>
            </w14:solidFill>
          </w14:textFill>
        </w:rPr>
        <w:t>⑨不得在雨天装卸。</w:t>
      </w:r>
    </w:p>
    <w:p w14:paraId="2EDC4B6D">
      <w:pPr>
        <w:ind w:firstLine="482"/>
        <w:rPr>
          <w:b/>
          <w:bCs/>
          <w:color w:val="000000" w:themeColor="text1"/>
          <w:u w:val="single"/>
          <w14:textFill>
            <w14:solidFill>
              <w14:schemeClr w14:val="tx1"/>
            </w14:solidFill>
          </w14:textFill>
        </w:rPr>
      </w:pPr>
      <w:r>
        <w:rPr>
          <w:rFonts w:hint="eastAsia"/>
          <w:b/>
          <w:bCs/>
          <w:color w:val="000000" w:themeColor="text1"/>
          <w:u w:val="single"/>
          <w14:textFill>
            <w14:solidFill>
              <w14:schemeClr w14:val="tx1"/>
            </w14:solidFill>
          </w14:textFill>
        </w:rPr>
        <w:t>3、依托可行性</w:t>
      </w:r>
    </w:p>
    <w:p w14:paraId="691A0FF2">
      <w:pPr>
        <w:widowControl/>
        <w:ind w:firstLine="480"/>
        <w:jc w:val="left"/>
        <w:rPr>
          <w:color w:val="000000" w:themeColor="text1"/>
          <w:u w:val="single"/>
          <w:lang w:bidi="ar"/>
          <w14:textFill>
            <w14:solidFill>
              <w14:schemeClr w14:val="tx1"/>
            </w14:solidFill>
          </w14:textFill>
        </w:rPr>
      </w:pPr>
      <w:r>
        <w:rPr>
          <w:rFonts w:hint="eastAsia" w:cs="宋体"/>
          <w:color w:val="000000" w:themeColor="text1"/>
          <w:kern w:val="0"/>
          <w:u w:val="single"/>
          <w:lang w:bidi="ar"/>
          <w14:textFill>
            <w14:solidFill>
              <w14:schemeClr w14:val="tx1"/>
            </w14:solidFill>
          </w14:textFill>
        </w:rPr>
        <w:t>项目在现有码头上增加货种，每次作业时仅停靠一艘船，一个货种作业，现有陆域风险管理措施完全满足拟建项目运行时的需求。</w:t>
      </w:r>
    </w:p>
    <w:p w14:paraId="623E56B6">
      <w:pPr>
        <w:pStyle w:val="4"/>
        <w:rPr>
          <w:color w:val="000000" w:themeColor="text1"/>
          <w14:textFill>
            <w14:solidFill>
              <w14:schemeClr w14:val="tx1"/>
            </w14:solidFill>
          </w14:textFill>
        </w:rPr>
      </w:pPr>
      <w:r>
        <w:rPr>
          <w:rFonts w:hint="eastAsia"/>
          <w:color w:val="000000" w:themeColor="text1"/>
          <w14:textFill>
            <w14:solidFill>
              <w14:schemeClr w14:val="tx1"/>
            </w14:solidFill>
          </w14:textFill>
        </w:rPr>
        <w:t>大气风险防范措施</w:t>
      </w:r>
    </w:p>
    <w:p w14:paraId="38963240">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（1）现有泄漏防范和泄漏监控措施</w:t>
      </w:r>
    </w:p>
    <w:p w14:paraId="1C52C964">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①定期检查码头上的装卸臂等设备以及输送管道，定期进行压力管道检测和管道、阀门维护保养，防止输送管道和装卸设备泄漏。</w:t>
      </w:r>
    </w:p>
    <w:p w14:paraId="24825B7C">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②码头现有工程已设有可燃气体、有毒气体监测系统（简称GDS），独立于过程控制系统DCS。GDS系统由控制器，辅助机柜和操作站构成，具备时间顺序记录功能。GDS系统对可燃易爆气体泄漏监测显示和报警，通过网络将数据送至DCS系统，操作员可在DCS系统操作员站上对GDS系统进行实时监控。</w:t>
      </w:r>
      <w:r>
        <w:rPr>
          <w:bCs/>
          <w:color w:val="000000" w:themeColor="text1"/>
          <w14:textFill>
            <w14:solidFill>
              <w14:schemeClr w14:val="tx1"/>
            </w14:solidFill>
          </w14:textFill>
        </w:rPr>
        <w:t>SIS系统依托现有，在新增管线及引桥根部新增紧急切断阀，紧急切断阀满足SIL2安全完整性和可靠性要求</w:t>
      </w:r>
      <w:r>
        <w:rPr>
          <w:color w:val="000000" w:themeColor="text1"/>
          <w14:textFill>
            <w14:solidFill>
              <w14:schemeClr w14:val="tx1"/>
            </w14:solidFill>
          </w14:textFill>
        </w:rPr>
        <w:t>。</w:t>
      </w:r>
    </w:p>
    <w:p w14:paraId="72D4255E">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（2）现有物料泄漏应急、救援及减缓措施</w:t>
      </w:r>
    </w:p>
    <w:p w14:paraId="345A7215">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当发生易燃易爆或有毒物料泄漏时，可根据物料性质，选择采取以下措施，防止事态进一步发展：</w:t>
      </w:r>
    </w:p>
    <w:p w14:paraId="3E1FB708">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①根据事故级别启动应急预案。</w:t>
      </w:r>
    </w:p>
    <w:p w14:paraId="58EE014C">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②将无关人员迅速疏散到上风向安全区，对危险区域进行隔离，并严格控制出入，切断火源；根据需要疏散周围居住区人群。</w:t>
      </w:r>
    </w:p>
    <w:p w14:paraId="16A37AC7">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⑥比空气重的易挥发易燃液体泄漏时，用工业覆盖层或吸附/吸收剂盖住泄漏点附近的下水道等地方，防止气体进入。</w:t>
      </w:r>
    </w:p>
    <w:p w14:paraId="35C421D3">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⑦喷雾状水稀释，构筑临时围堤收容产生的大量废水。</w:t>
      </w:r>
    </w:p>
    <w:p w14:paraId="6FC8886B">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⑧小量液体泄漏：用砂土、吸附材料、中和材料吸收或中和，也可以用大量水冲洗，稀释水排入废水系统。大量液体泄漏：构筑临时围堤收容。用泡沫覆盖，降低挥发蒸气灾害。用防爆泵转移至槽车或专用收集器内，运至有资质单位处置。</w:t>
      </w:r>
    </w:p>
    <w:p w14:paraId="050FA2F8">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⑨喷雾吸收或中和：对某些可通过物理、化学反应中和或吸收的气体发生泄漏，可喷相关雾状液进行中和或吸收。</w:t>
      </w:r>
    </w:p>
    <w:p w14:paraId="0B179BA4">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（3）现有火灾爆炸防范措施</w:t>
      </w:r>
    </w:p>
    <w:p w14:paraId="0EED0C18">
      <w:pPr>
        <w:tabs>
          <w:tab w:val="left" w:pos="420"/>
        </w:tabs>
        <w:ind w:firstLine="480"/>
        <w:rPr>
          <w:color w:val="000000" w:themeColor="text1"/>
          <w14:textFill>
            <w14:solidFill>
              <w14:schemeClr w14:val="tx1"/>
            </w14:solidFill>
          </w14:textFill>
        </w:rPr>
      </w:pPr>
      <w:r>
        <w:rPr>
          <w:bCs/>
          <w:color w:val="000000" w:themeColor="text1"/>
          <w14:textFill>
            <w14:solidFill>
              <w14:schemeClr w14:val="tx1"/>
            </w14:solidFill>
          </w14:textFill>
        </w:rPr>
        <w:t>火灾报警系统</w:t>
      </w:r>
      <w:r>
        <w:rPr>
          <w:rFonts w:hint="eastAsia"/>
          <w:bCs/>
          <w:color w:val="000000" w:themeColor="text1"/>
          <w14:textFill>
            <w14:solidFill>
              <w14:schemeClr w14:val="tx1"/>
            </w14:solidFill>
          </w14:textFill>
        </w:rPr>
        <w:t>和</w:t>
      </w:r>
      <w:r>
        <w:rPr>
          <w:bCs/>
          <w:color w:val="000000" w:themeColor="text1"/>
          <w14:textFill>
            <w14:solidFill>
              <w14:schemeClr w14:val="tx1"/>
            </w14:solidFill>
          </w14:textFill>
        </w:rPr>
        <w:t>消防控制系统依托已建系统，满足本项目需要。</w:t>
      </w:r>
    </w:p>
    <w:p w14:paraId="2A908470">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①控制与消除火源。装卸作业过程中可能遇到的火源主要是吸烟、维修用火、电器火灾、静电打火、雷击、撞击火星和自燃发热。为此应采取如下措施：</w:t>
      </w:r>
    </w:p>
    <w:p w14:paraId="33D60259">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a有火灾爆炸危险的区域严禁吸烟，禁止携带火种、穿戴钉子皮鞋进入；</w:t>
      </w:r>
    </w:p>
    <w:p w14:paraId="2F74AD90">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b进入有火灾爆炸危险的区域的车辆必须佩戴防火罩；</w:t>
      </w:r>
    </w:p>
    <w:p w14:paraId="360D0170">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c管线及设备等如需维修动火，必须彻底吹扫、置换泄压和强制通风换气；</w:t>
      </w:r>
    </w:p>
    <w:p w14:paraId="18DFCE21">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d在有火灾爆炸危险的区域使用的工具、手电等应为防爆型；</w:t>
      </w:r>
    </w:p>
    <w:p w14:paraId="36380DC2">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e管线应接地良好、可靠，定期检查，</w:t>
      </w:r>
      <w:r>
        <w:rPr>
          <w:color w:val="000000" w:themeColor="text1"/>
          <w14:textFill>
            <w14:solidFill>
              <w14:schemeClr w14:val="tx1"/>
            </w14:solidFill>
          </w14:textFill>
        </w:rPr>
        <w:t>管线的防静电接地电阻应＜10Ω</w:t>
      </w:r>
      <w:r>
        <w:rPr>
          <w:rFonts w:hint="eastAsia"/>
          <w:color w:val="000000" w:themeColor="text1"/>
          <w14:textFill>
            <w14:solidFill>
              <w14:schemeClr w14:val="tx1"/>
            </w14:solidFill>
          </w14:textFill>
        </w:rPr>
        <w:t>。装卸货时应控制流速，防止静电引起事故；</w:t>
      </w:r>
    </w:p>
    <w:p w14:paraId="111E2A97">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f油抹布、油棉纱等都是易于自燃起火的物质，不能堆积过多，且应远离热源，及时清除，放置于安全地点；</w:t>
      </w:r>
    </w:p>
    <w:p w14:paraId="256F91B9">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g在有火灾爆炸危险的区域设置固定式可燃气体检测报警仪，也可配置一定数量的便携式可燃气体检测报警仪代替固定式检测报警仪。</w:t>
      </w:r>
    </w:p>
    <w:p w14:paraId="00D93C41">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②防止泄漏。一旦发生物料因跑、冒、滴、漏，化学品会到处蔓延和扩散，低处积聚是安全生产一大隐患，必须坚持巡回检查，加强设备维修保养，提高设备完好率，努力消除一切隐患。</w:t>
      </w:r>
    </w:p>
    <w:p w14:paraId="6F5D2988">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③安全作业措施</w:t>
      </w:r>
    </w:p>
    <w:p w14:paraId="03C03A87">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a在整个装卸作业期间，船岸双方应派出足够的作业人员、值班人员，这些人员应了解装卸作业过程中存在的危险危害因素，并具备应急处理能力；</w:t>
      </w:r>
    </w:p>
    <w:p w14:paraId="00285D98">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b装卸作业过程中，应密切注意码头管线和装卸臂的工作状况，防止跑、冒、滴、漏情况发生；</w:t>
      </w:r>
    </w:p>
    <w:p w14:paraId="4C41F710">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c在作业现场应设置冲洗设施和急救药箱，以便在油品溅到作业人员身体、手、眼时，能及时冲洗并进行药物处理。</w:t>
      </w:r>
    </w:p>
    <w:p w14:paraId="77734BD9">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④出现下列情况时，应立即停止装卸作业：</w:t>
      </w:r>
    </w:p>
    <w:p w14:paraId="3D8BA745">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a遇有雷电；</w:t>
      </w:r>
    </w:p>
    <w:p w14:paraId="3DCF163E">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b检测到存在可燃气体或发生液体化工品泄漏事故；</w:t>
      </w:r>
    </w:p>
    <w:p w14:paraId="53DEA3DD">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c接到主管部门下达的终止作业通知；</w:t>
      </w:r>
    </w:p>
    <w:p w14:paraId="3E5D0688">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d船岸双方任何一方认为作业有危险。</w:t>
      </w:r>
    </w:p>
    <w:p w14:paraId="2BE91261">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（4）现有火灾、爆炸应急、减缓措施</w:t>
      </w:r>
    </w:p>
    <w:p w14:paraId="560D5E30">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当发生火灾或爆炸时：</w:t>
      </w:r>
    </w:p>
    <w:p w14:paraId="630D2DC6">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①根据事故级别启动应急预案；</w:t>
      </w:r>
    </w:p>
    <w:p w14:paraId="5CCF5CCA">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②根据需要，切断着火设施上、下游物料，防止发生连锁效应；</w:t>
      </w:r>
    </w:p>
    <w:p w14:paraId="6FE04AF1">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③救火的同时，采用水幕或喷淋的方法，防止引发继发事故；</w:t>
      </w:r>
    </w:p>
    <w:p w14:paraId="1D2B1943">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④用干粉、二氧化碳、砂土、泡沫等进行灭火；</w:t>
      </w:r>
    </w:p>
    <w:p w14:paraId="312F32B8">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⑤据事故级别疏散周边人员。</w:t>
      </w:r>
    </w:p>
    <w:p w14:paraId="084CE5DB">
      <w:pPr>
        <w:ind w:firstLine="48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（5）依托可行性</w:t>
      </w:r>
    </w:p>
    <w:p w14:paraId="2A6B4B22">
      <w:pPr>
        <w:widowControl/>
        <w:ind w:firstLine="480"/>
        <w:jc w:val="left"/>
        <w:rPr>
          <w:color w:val="000000" w:themeColor="text1"/>
          <w:u w:val="single"/>
          <w14:textFill>
            <w14:solidFill>
              <w14:schemeClr w14:val="tx1"/>
            </w14:solidFill>
          </w14:textFill>
        </w:rPr>
      </w:pPr>
      <w:r>
        <w:rPr>
          <w:rFonts w:hint="eastAsia" w:cs="宋体"/>
          <w:color w:val="000000" w:themeColor="text1"/>
          <w:kern w:val="0"/>
          <w:u w:val="single"/>
          <w:lang w:bidi="ar"/>
          <w14:textFill>
            <w14:solidFill>
              <w14:schemeClr w14:val="tx1"/>
            </w14:solidFill>
          </w14:textFill>
        </w:rPr>
        <w:t>项目在现有码头上增加货种，每次作业时仅停靠一艘船，一个货种作业，现有陆域风险管理措施完全满足拟建项目运行时的需求。但</w:t>
      </w:r>
      <w:r>
        <w:rPr>
          <w:rFonts w:hint="eastAsia"/>
          <w:color w:val="000000" w:themeColor="text1"/>
          <w:u w:val="single"/>
          <w14:textFill>
            <w14:solidFill>
              <w14:schemeClr w14:val="tx1"/>
            </w14:solidFill>
          </w14:textFill>
        </w:rPr>
        <w:t>后续需根据建设内容、建设单位内部管理规定等特征，</w:t>
      </w:r>
      <w:r>
        <w:rPr>
          <w:color w:val="000000" w:themeColor="text1"/>
          <w:u w:val="single"/>
          <w14:textFill>
            <w14:solidFill>
              <w14:schemeClr w14:val="tx1"/>
            </w14:solidFill>
          </w14:textFill>
        </w:rPr>
        <w:t xml:space="preserve"> 在投入运营前，修订完善现有的环境风险应急预案并进行报备。</w:t>
      </w:r>
    </w:p>
    <w:p w14:paraId="3104048D">
      <w:pPr>
        <w:pStyle w:val="4"/>
        <w:rPr>
          <w:color w:val="000000" w:themeColor="text1"/>
          <w14:textFill>
            <w14:solidFill>
              <w14:schemeClr w14:val="tx1"/>
            </w14:solidFill>
          </w14:textFill>
        </w:rPr>
      </w:pPr>
      <w:r>
        <w:rPr>
          <w:color w:val="000000" w:themeColor="text1"/>
          <w14:textFill>
            <w14:solidFill>
              <w14:schemeClr w14:val="tx1"/>
            </w14:solidFill>
          </w14:textFill>
        </w:rPr>
        <w:t>海域环境风险防范措施</w:t>
      </w:r>
    </w:p>
    <w:p w14:paraId="3F622751">
      <w:pPr>
        <w:pStyle w:val="6"/>
        <w:rPr>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 现有</w:t>
      </w:r>
      <w:r>
        <w:rPr>
          <w:color w:val="000000" w:themeColor="text1"/>
          <w14:textFill>
            <w14:solidFill>
              <w14:schemeClr w14:val="tx1"/>
            </w14:solidFill>
          </w14:textFill>
        </w:rPr>
        <w:t>装卸、运输作业风险防范措施</w:t>
      </w:r>
    </w:p>
    <w:p w14:paraId="154CADE9">
      <w:pPr>
        <w:ind w:firstLine="480"/>
        <w:rPr>
          <w:color w:val="000000" w:themeColor="text1"/>
          <w14:textFill>
            <w14:solidFill>
              <w14:schemeClr w14:val="tx1"/>
            </w14:solidFill>
          </w14:textFill>
        </w:rPr>
      </w:pPr>
      <w:r>
        <w:rPr>
          <w:color w:val="000000" w:themeColor="text1"/>
          <w14:textFill>
            <w14:solidFill>
              <w14:schemeClr w14:val="tx1"/>
            </w14:solidFill>
          </w14:textFill>
        </w:rPr>
        <w:t>（1）在装卸作业过程中严格执行《装卸作业规程》和码头有关设备《安全技术操作规程》等制度，密切注意码头面管线和化学品输送臂的工作状况。</w:t>
      </w:r>
    </w:p>
    <w:p w14:paraId="1E905039">
      <w:pPr>
        <w:ind w:firstLine="480"/>
        <w:rPr>
          <w:color w:val="000000" w:themeColor="text1"/>
          <w14:textFill>
            <w14:solidFill>
              <w14:schemeClr w14:val="tx1"/>
            </w14:solidFill>
          </w14:textFill>
        </w:rPr>
      </w:pPr>
      <w:r>
        <w:rPr>
          <w:color w:val="000000" w:themeColor="text1"/>
          <w14:textFill>
            <w14:solidFill>
              <w14:schemeClr w14:val="tx1"/>
            </w14:solidFill>
          </w14:textFill>
        </w:rPr>
        <w:t>（2）加强作业过程中的现场盯靠和巡检，公司调度与船方、货主密切联系，码头与船方配备足够的、满足安全生产需要的作业人员。</w:t>
      </w:r>
    </w:p>
    <w:p w14:paraId="28192253">
      <w:pPr>
        <w:ind w:firstLine="480"/>
        <w:rPr>
          <w:color w:val="000000" w:themeColor="text1"/>
          <w14:textFill>
            <w14:solidFill>
              <w14:schemeClr w14:val="tx1"/>
            </w14:solidFill>
          </w14:textFill>
        </w:rPr>
      </w:pPr>
      <w:r>
        <w:rPr>
          <w:color w:val="000000" w:themeColor="text1"/>
          <w14:textFill>
            <w14:solidFill>
              <w14:schemeClr w14:val="tx1"/>
            </w14:solidFill>
          </w14:textFill>
        </w:rPr>
        <w:t>（3）严格落实《设备管理办法》，加强设备的</w:t>
      </w:r>
      <w:r>
        <w:rPr>
          <w:rFonts w:hint="eastAsia"/>
          <w:color w:val="000000" w:themeColor="text1"/>
          <w14:textFill>
            <w14:solidFill>
              <w14:schemeClr w14:val="tx1"/>
            </w14:solidFill>
          </w14:textFill>
        </w:rPr>
        <w:t>“管、用、养、修”</w:t>
      </w:r>
      <w:r>
        <w:rPr>
          <w:color w:val="000000" w:themeColor="text1"/>
          <w14:textFill>
            <w14:solidFill>
              <w14:schemeClr w14:val="tx1"/>
            </w14:solidFill>
          </w14:textFill>
        </w:rPr>
        <w:t>，防止设备、设施的损坏造成泄漏。保持泄漏监视报警装置的完好有效，发现泄漏及时报告，启动应急预案组织抢险。</w:t>
      </w:r>
    </w:p>
    <w:p w14:paraId="46DD0105">
      <w:pPr>
        <w:ind w:firstLine="480"/>
        <w:rPr>
          <w:color w:val="000000" w:themeColor="text1"/>
          <w14:textFill>
            <w14:solidFill>
              <w14:schemeClr w14:val="tx1"/>
            </w14:solidFill>
          </w14:textFill>
        </w:rPr>
      </w:pPr>
      <w:r>
        <w:rPr>
          <w:color w:val="000000" w:themeColor="text1"/>
          <w14:textFill>
            <w14:solidFill>
              <w14:schemeClr w14:val="tx1"/>
            </w14:solidFill>
          </w14:textFill>
        </w:rPr>
        <w:t>（4）落实船岸联检制度，并严格按《船岸安全检查表》的内容要求进行检查和填写，同时应接受海事部门的监督检查。做好与船方必要的沟通与交流，明确作业期间的通讯联络方式及交流语言，并明确规定紧急情况下的应急信号。如果在作业过程中出现通讯中断或联系有误等情况，应停止作业，以免发生误装、冒顶或泄漏等事故。</w:t>
      </w:r>
    </w:p>
    <w:p w14:paraId="776470AE">
      <w:pPr>
        <w:ind w:firstLine="480"/>
        <w:rPr>
          <w:color w:val="000000" w:themeColor="text1"/>
          <w14:textFill>
            <w14:solidFill>
              <w14:schemeClr w14:val="tx1"/>
            </w14:solidFill>
          </w14:textFill>
        </w:rPr>
      </w:pPr>
      <w:r>
        <w:rPr>
          <w:color w:val="000000" w:themeColor="text1"/>
          <w14:textFill>
            <w14:solidFill>
              <w14:schemeClr w14:val="tx1"/>
            </w14:solidFill>
          </w14:textFill>
        </w:rPr>
        <w:t>（5）对于泵、阀门、法兰等泄漏，应严格按照《船舶接卸安全操作程序》等技术要求操作。操作前，对泵、阀门、法兰等仔细检查，作业时，由专人负责正常巡视，并配备泄漏探测报警设备，发现泄漏及时处理。</w:t>
      </w:r>
    </w:p>
    <w:p w14:paraId="0DFAAD82">
      <w:pPr>
        <w:ind w:firstLine="480"/>
        <w:rPr>
          <w:color w:val="000000" w:themeColor="text1"/>
          <w14:textFill>
            <w14:solidFill>
              <w14:schemeClr w14:val="tx1"/>
            </w14:solidFill>
          </w14:textFill>
        </w:rPr>
      </w:pPr>
      <w:r>
        <w:rPr>
          <w:color w:val="000000" w:themeColor="text1"/>
          <w14:textFill>
            <w14:solidFill>
              <w14:schemeClr w14:val="tx1"/>
            </w14:solidFill>
          </w14:textFill>
        </w:rPr>
        <w:t>（6）采用计算机控制系统，将化学品输运、设备报警和应急监控以及消防设备设施操控统一到中控室。一旦发生化学品泄漏或火灾事故，可确保由计算机发出明确信息，向指挥系统和抢险人员提供快速准确的指令，最大限度控制事故影响。</w:t>
      </w:r>
    </w:p>
    <w:p w14:paraId="706848DC">
      <w:pPr>
        <w:ind w:firstLine="480"/>
        <w:rPr>
          <w:color w:val="000000" w:themeColor="text1"/>
          <w14:textFill>
            <w14:solidFill>
              <w14:schemeClr w14:val="tx1"/>
            </w14:solidFill>
          </w14:textFill>
        </w:rPr>
      </w:pPr>
      <w:r>
        <w:rPr>
          <w:color w:val="000000" w:themeColor="text1"/>
          <w14:textFill>
            <w14:solidFill>
              <w14:schemeClr w14:val="tx1"/>
            </w14:solidFill>
          </w14:textFill>
        </w:rPr>
        <w:t>（7）化学品输送臂配备紧急脱离装置，设可燃性气体检测报警仪，控制和消除火源，按照《装卸油品码头防火设计规范》配备消防设施。</w:t>
      </w:r>
    </w:p>
    <w:p w14:paraId="6868E5D8">
      <w:pPr>
        <w:ind w:firstLine="480"/>
        <w:rPr>
          <w:color w:val="000000" w:themeColor="text1"/>
          <w14:textFill>
            <w14:solidFill>
              <w14:schemeClr w14:val="tx1"/>
            </w14:solidFill>
          </w14:textFill>
        </w:rPr>
      </w:pPr>
      <w:r>
        <w:rPr>
          <w:color w:val="000000" w:themeColor="text1"/>
          <w14:textFill>
            <w14:solidFill>
              <w14:schemeClr w14:val="tx1"/>
            </w14:solidFill>
          </w14:textFill>
        </w:rPr>
        <w:t>（</w:t>
      </w:r>
      <w:r>
        <w:rPr>
          <w:rFonts w:hint="eastAsia"/>
          <w:color w:val="000000" w:themeColor="text1"/>
          <w14:textFill>
            <w14:solidFill>
              <w14:schemeClr w14:val="tx1"/>
            </w14:solidFill>
          </w14:textFill>
        </w:rPr>
        <w:t>8</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在码头平台以及管廊带处设有火灾手动报警按钮和报警器，且均采用防爆结构。码头平台设置消防炮塔5座，炮塔设有固定式电动遥控炮。码头平台消防炮、消防电动阀门的控制由设置在综合用房消防控制室内的消防炮控制柜以及电动阀门控制柜完成。消防炮控制系统采用PLC控制，可以控制消防炮和电动阀门，并与可燃气体检测报警系统和火灾报警系统联锁。</w:t>
      </w:r>
    </w:p>
    <w:p w14:paraId="48D8E1A3">
      <w:pPr>
        <w:ind w:firstLine="480"/>
        <w:rPr>
          <w:color w:val="000000" w:themeColor="text1"/>
          <w14:textFill>
            <w14:solidFill>
              <w14:schemeClr w14:val="tx1"/>
            </w14:solidFill>
          </w14:textFill>
        </w:rPr>
      </w:pPr>
      <w:r>
        <w:rPr>
          <w:color w:val="000000" w:themeColor="text1"/>
          <w14:textFill>
            <w14:solidFill>
              <w14:schemeClr w14:val="tx1"/>
            </w14:solidFill>
          </w14:textFill>
        </w:rPr>
        <w:t>（</w:t>
      </w:r>
      <w:r>
        <w:rPr>
          <w:rFonts w:hint="eastAsia"/>
          <w:color w:val="000000" w:themeColor="text1"/>
          <w14:textFill>
            <w14:solidFill>
              <w14:schemeClr w14:val="tx1"/>
            </w14:solidFill>
          </w14:textFill>
        </w:rPr>
        <w:t>9</w:t>
      </w:r>
      <w:r>
        <w:rPr>
          <w:color w:val="000000" w:themeColor="text1"/>
          <w14:textFill>
            <w14:solidFill>
              <w14:schemeClr w14:val="tx1"/>
            </w14:solidFill>
          </w14:textFill>
        </w:rPr>
        <w:t>）对可能释放可燃、有毒气体的码头装卸区等部位设置可燃/有毒气体检测报警器</w:t>
      </w:r>
      <w:r>
        <w:rPr>
          <w:rFonts w:hint="eastAsia"/>
          <w:color w:val="000000" w:themeColor="text1"/>
          <w14:textFill>
            <w14:solidFill>
              <w14:schemeClr w14:val="tx1"/>
            </w14:solidFill>
          </w14:textFill>
        </w:rPr>
        <w:t>。已建工程设有可燃气体、有毒气体监测系统（简称GDS）。GDS系统对可燃易爆气体泄漏监测显示和报警，通过网络将数据送至DCS系统并由操作员实时监控。预警浓度满足风险防范和应急要求。</w:t>
      </w:r>
    </w:p>
    <w:p w14:paraId="7BCEFB0D">
      <w:pPr>
        <w:ind w:firstLine="480"/>
        <w:rPr>
          <w:color w:val="000000" w:themeColor="text1"/>
          <w14:textFill>
            <w14:solidFill>
              <w14:schemeClr w14:val="tx1"/>
            </w14:solidFill>
          </w14:textFill>
        </w:rPr>
      </w:pPr>
      <w:r>
        <w:rPr>
          <w:color w:val="000000" w:themeColor="text1"/>
          <w14:textFill>
            <w14:solidFill>
              <w14:schemeClr w14:val="tx1"/>
            </w14:solidFill>
          </w14:textFill>
        </w:rPr>
        <w:t>（</w:t>
      </w:r>
      <w:r>
        <w:rPr>
          <w:rFonts w:hint="eastAsia"/>
          <w:color w:val="000000" w:themeColor="text1"/>
          <w14:textFill>
            <w14:solidFill>
              <w14:schemeClr w14:val="tx1"/>
            </w14:solidFill>
          </w14:textFill>
        </w:rPr>
        <w:t>10</w:t>
      </w:r>
      <w:r>
        <w:rPr>
          <w:color w:val="000000" w:themeColor="text1"/>
          <w14:textFill>
            <w14:solidFill>
              <w14:schemeClr w14:val="tx1"/>
            </w14:solidFill>
          </w14:textFill>
        </w:rPr>
        <w:t>）化学品船应按靠泊标准和作业标准进行作业。出现下列情况时，应立即停止装卸作业：遇有雷电或烟囱冒火星；检测到存在可燃气体或发生化学品泄漏事故；接到主管部门下达的终止作业通知；船岸双方任何一方认为作业有危险。</w:t>
      </w:r>
    </w:p>
    <w:p w14:paraId="07AD740E">
      <w:pPr>
        <w:ind w:firstLine="480"/>
        <w:rPr>
          <w:color w:val="000000" w:themeColor="text1"/>
          <w14:textFill>
            <w14:solidFill>
              <w14:schemeClr w14:val="tx1"/>
            </w14:solidFill>
          </w14:textFill>
        </w:rPr>
      </w:pPr>
      <w:r>
        <w:rPr>
          <w:color w:val="000000" w:themeColor="text1"/>
          <w14:textFill>
            <w14:solidFill>
              <w14:schemeClr w14:val="tx1"/>
            </w14:solidFill>
          </w14:textFill>
        </w:rPr>
        <w:t>（</w:t>
      </w:r>
      <w:r>
        <w:rPr>
          <w:rFonts w:hint="eastAsia"/>
          <w:color w:val="000000" w:themeColor="text1"/>
          <w14:textFill>
            <w14:solidFill>
              <w14:schemeClr w14:val="tx1"/>
            </w14:solidFill>
          </w14:textFill>
        </w:rPr>
        <w:t>11</w:t>
      </w:r>
      <w:r>
        <w:rPr>
          <w:color w:val="000000" w:themeColor="text1"/>
          <w14:textFill>
            <w14:solidFill>
              <w14:schemeClr w14:val="tx1"/>
            </w14:solidFill>
          </w14:textFill>
        </w:rPr>
        <w:t>）根据JTS196-12-20</w:t>
      </w:r>
      <w:r>
        <w:rPr>
          <w:rFonts w:hint="eastAsia"/>
          <w:color w:val="000000" w:themeColor="text1"/>
          <w:lang w:val="en-US" w:eastAsia="zh-CN"/>
          <w14:textFill>
            <w14:solidFill>
              <w14:schemeClr w14:val="tx1"/>
            </w14:solidFill>
          </w14:textFill>
        </w:rPr>
        <w:t>23</w:t>
      </w:r>
      <w:r>
        <w:rPr>
          <w:color w:val="000000" w:themeColor="text1"/>
          <w14:textFill>
            <w14:solidFill>
              <w14:schemeClr w14:val="tx1"/>
            </w14:solidFill>
          </w14:textFill>
        </w:rPr>
        <w:t>《码头油气回收设施建设技术规范》的要求，船岸安全装置需设有紧急切断阀、压力/真空释放阀、气液分离器、防爆轰型阻火器等管件，以及油气浓度、含氧量、压力、温度、流量监测和报警，用于码头装船废气的安全接收。</w:t>
      </w:r>
    </w:p>
    <w:p w14:paraId="1564CCD9">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12）输送软管使用前应先试压确保无泄漏。软管连接、移位、拆卸过程中严禁用叉车拖、拉或推软管，需要移位则拆下法兰螺栓后逐根叉走（软管移位过程中不可与地面接触），对于暂不使用的软管应上好盲板并妥善放置。</w:t>
      </w:r>
    </w:p>
    <w:p w14:paraId="129999DF">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（13）到港船舶靠港期间，应在码头前沿布设围油栏，并注意观察海面情况，发现油污应及时清理。</w:t>
      </w:r>
    </w:p>
    <w:p w14:paraId="08E51742">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（14）注重培养危险货物作业人员的安全意识，定期开展安全教育培训；作业时应做到谨慎操作，稳起稳落，严格避免野蛮作业行为。</w:t>
      </w:r>
    </w:p>
    <w:p w14:paraId="4A603B21">
      <w:pPr>
        <w:ind w:firstLine="48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（15）上述措施依托可行性</w:t>
      </w:r>
    </w:p>
    <w:p w14:paraId="4D8CCD48">
      <w:pPr>
        <w:bidi w:val="0"/>
        <w:rPr>
          <w:rFonts w:hint="eastAsia" w:cs="宋体"/>
          <w:color w:val="000000" w:themeColor="text1"/>
          <w:kern w:val="0"/>
          <w:u w:val="single"/>
          <w:lang w:bidi="ar"/>
          <w14:textFill>
            <w14:solidFill>
              <w14:schemeClr w14:val="tx1"/>
            </w14:solidFill>
          </w14:textFill>
        </w:rPr>
      </w:pPr>
      <w:r>
        <w:rPr>
          <w:rFonts w:hint="eastAsia" w:cs="宋体"/>
          <w:color w:val="000000" w:themeColor="text1"/>
          <w:kern w:val="0"/>
          <w:u w:val="single"/>
          <w:lang w:bidi="ar"/>
          <w14:textFill>
            <w14:solidFill>
              <w14:schemeClr w14:val="tx1"/>
            </w14:solidFill>
          </w14:textFill>
        </w:rPr>
        <w:t>项目在现有码头上增加货种，每次作业时仅停靠一艘船，一个货种作业，现有陆域风险管理措施完全满足拟建项目运行时的需求。</w:t>
      </w:r>
    </w:p>
    <w:p w14:paraId="6075DCF5">
      <w:pPr>
        <w:bidi w:val="0"/>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尾气工艺回收处理流程如下：</w:t>
      </w:r>
    </w:p>
    <w:p w14:paraId="657E4C72">
      <w:pPr>
        <w:bidi w:val="0"/>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化工品船→双管装卸臂的气相管→船岸安全装置→后方罐区的尾气风机→恒逸厂区RTO炉</w:t>
      </w:r>
      <w:r>
        <w:rPr>
          <w:rFonts w:hint="eastAsia"/>
          <w:color w:val="000000" w:themeColor="text1"/>
          <w:lang w:val="en-US" w:eastAsia="zh-CN"/>
          <w14:textFill>
            <w14:solidFill>
              <w14:schemeClr w14:val="tx1"/>
            </w14:solidFill>
          </w14:textFill>
        </w:rPr>
        <w:t>。</w:t>
      </w:r>
    </w:p>
    <w:p w14:paraId="4B171FED">
      <w:pPr>
        <w:bidi w:val="0"/>
        <w:rPr>
          <w:rFonts w:hint="default"/>
          <w:color w:val="000000" w:themeColor="text1"/>
          <w:u w:val="single"/>
          <w:lang w:val="en-US"/>
          <w14:textFill>
            <w14:solidFill>
              <w14:schemeClr w14:val="tx1"/>
            </w14:solidFill>
          </w14:textFill>
        </w:rPr>
      </w:pPr>
      <w:r>
        <w:rPr>
          <w:rFonts w:hint="default"/>
          <w:color w:val="000000" w:themeColor="text1"/>
          <w:lang w:val="en-US" w:eastAsia="zh-CN"/>
          <w14:textFill>
            <w14:solidFill>
              <w14:schemeClr w14:val="tx1"/>
            </w14:solidFill>
          </w14:textFill>
        </w:rPr>
        <w:t>船岸安全装置在进气端、出气端之间的管道上设置有紧急切断阀、压力/真空释放阀、气液分离器、防爆轰型阻火器、紧急充氮接入口、含氧量传感器、VOC测定仪、压力表、温度计等。管道运行压力高于或低于船舶设定的超压或超真空状态规定时，压力/真空释放阀泄压，延时超压时自动关闭切断阀，同时开启电磁阀。管道内油气含氧量体积比高于6%时报警，并同时开启阀门补入惰性气体；含氧量体积比高于8%时，系统自动关闭紧急切断阀，同时开启电磁阀实施紧急排放。船岸安全装置</w:t>
      </w:r>
      <w:r>
        <w:rPr>
          <w:rFonts w:hint="eastAsia"/>
          <w:color w:val="000000" w:themeColor="text1"/>
          <w:lang w:val="en-US" w:eastAsia="zh-CN"/>
          <w14:textFill>
            <w14:solidFill>
              <w14:schemeClr w14:val="tx1"/>
            </w14:solidFill>
          </w14:textFill>
        </w:rPr>
        <w:t>利用</w:t>
      </w:r>
      <w:r>
        <w:rPr>
          <w:rFonts w:hint="default"/>
          <w:color w:val="000000" w:themeColor="text1"/>
          <w:lang w:val="en-US" w:eastAsia="zh-CN"/>
          <w14:textFill>
            <w14:solidFill>
              <w14:schemeClr w14:val="tx1"/>
            </w14:solidFill>
          </w14:textFill>
        </w:rPr>
        <w:t>现场已有设备，本次设计</w:t>
      </w:r>
      <w:r>
        <w:rPr>
          <w:rFonts w:hint="eastAsia"/>
          <w:color w:val="000000" w:themeColor="text1"/>
          <w:lang w:val="en-US" w:eastAsia="zh-CN"/>
          <w14:textFill>
            <w14:solidFill>
              <w14:schemeClr w14:val="tx1"/>
            </w14:solidFill>
          </w14:textFill>
        </w:rPr>
        <w:t>油品装卸臂</w:t>
      </w:r>
      <w:r>
        <w:rPr>
          <w:rFonts w:hint="default"/>
          <w:color w:val="000000" w:themeColor="text1"/>
          <w:lang w:val="en-US" w:eastAsia="zh-CN"/>
          <w14:textFill>
            <w14:solidFill>
              <w14:schemeClr w14:val="tx1"/>
            </w14:solidFill>
          </w14:textFill>
        </w:rPr>
        <w:t>尾气管接至船岸安全装置总管。</w:t>
      </w:r>
      <w:r>
        <w:rPr>
          <w:rFonts w:hint="eastAsia"/>
          <w:color w:val="000000" w:themeColor="text1"/>
          <w:lang w:val="en-US" w:eastAsia="zh-CN"/>
          <w14:textFill>
            <w14:solidFill>
              <w14:schemeClr w14:val="tx1"/>
            </w14:solidFill>
          </w14:textFill>
        </w:rPr>
        <w:t>油气回收装置可行。</w:t>
      </w:r>
    </w:p>
    <w:p w14:paraId="4F790CAD">
      <w:pPr>
        <w:pStyle w:val="6"/>
        <w:rPr>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 </w:t>
      </w:r>
      <w:r>
        <w:rPr>
          <w:color w:val="000000" w:themeColor="text1"/>
          <w14:textFill>
            <w14:solidFill>
              <w14:schemeClr w14:val="tx1"/>
            </w14:solidFill>
          </w14:textFill>
        </w:rPr>
        <w:t>船舶交通事故风险防范措施</w:t>
      </w:r>
    </w:p>
    <w:p w14:paraId="5F058786">
      <w:pPr>
        <w:adjustRightInd w:val="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现有船舶助航、导航、其他船舶禁航等安全措施</w:t>
      </w:r>
    </w:p>
    <w:p w14:paraId="09C2352A">
      <w:pPr>
        <w:adjustRightInd w:val="0"/>
        <w:ind w:firstLine="480"/>
        <w:rPr>
          <w:color w:val="000000" w:themeColor="text1"/>
          <w14:textFill>
            <w14:solidFill>
              <w14:schemeClr w14:val="tx1"/>
            </w14:solidFill>
          </w14:textFill>
        </w:rPr>
      </w:pPr>
      <w:r>
        <w:rPr>
          <w:color w:val="000000" w:themeColor="text1"/>
          <w14:textFill>
            <w14:solidFill>
              <w14:schemeClr w14:val="tx1"/>
            </w14:solidFill>
          </w14:textFill>
        </w:rPr>
        <w:t>为保障本项目附近水域及进港航道船舶的航行安全，建设单位应接受当地海事局对船舶交通、船舶报告等方面的协调、监督和管理。应加强码头前沿水域和进港航道的维护和管理，确保码头前沿现有助航导航设施的有效性，并根据主管部门的要求，不断完善船舶靠泊、助航导航等安全设施。此外，当大型油轮进港时，应禁止其他船舶在此进港航道通行。</w:t>
      </w:r>
    </w:p>
    <w:p w14:paraId="1958E40F">
      <w:pPr>
        <w:adjustRightInd w:val="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2、现有</w:t>
      </w:r>
      <w:r>
        <w:rPr>
          <w:color w:val="000000" w:themeColor="text1"/>
          <w14:textFill>
            <w14:solidFill>
              <w14:schemeClr w14:val="tx1"/>
            </w14:solidFill>
          </w14:textFill>
        </w:rPr>
        <w:t>督促进出港船舶加强港内航行与靠离泊风险控制</w:t>
      </w:r>
    </w:p>
    <w:p w14:paraId="1CF90AEA">
      <w:pPr>
        <w:adjustRightInd w:val="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加强航行组织与进出该项目所在码头水域的准备。到港船舶进出港口前，船长应督促相关人员严格按照检查表中的检查项目清单逐项认真地检查、试验、测试和落实，做好相关记录并签字确认，以确保每一项检查、试验或测试都得到认真落实。</w:t>
      </w:r>
    </w:p>
    <w:p w14:paraId="78D77DA3">
      <w:pPr>
        <w:adjustRightInd w:val="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color w:val="000000" w:themeColor="text1"/>
          <w14:textFill>
            <w14:solidFill>
              <w14:schemeClr w14:val="tx1"/>
            </w14:solidFill>
          </w14:textFill>
        </w:rPr>
        <w:t>督促到港船舶在进出港口、靠离泊前制订周密的航行与操纵计划和程序。</w:t>
      </w:r>
    </w:p>
    <w:p w14:paraId="1FA41861">
      <w:pPr>
        <w:adjustRightInd w:val="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（3）</w:t>
      </w:r>
      <w:r>
        <w:rPr>
          <w:color w:val="000000" w:themeColor="text1"/>
          <w14:textFill>
            <w14:solidFill>
              <w14:schemeClr w14:val="tx1"/>
            </w14:solidFill>
          </w14:textFill>
        </w:rPr>
        <w:t>到港船舶应及时掌握最新海图、港口航道、潮汐潮流、水文气象、助航标志、水深底质、船舶密度等通航相关资料，了解并严格遵守有关规章、航行法规和通讯、报告制度，充分考虑环境和自然因素对船舶操纵的影响。</w:t>
      </w:r>
    </w:p>
    <w:p w14:paraId="792CBB3E">
      <w:pPr>
        <w:adjustRightInd w:val="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（4）</w:t>
      </w:r>
      <w:r>
        <w:rPr>
          <w:color w:val="000000" w:themeColor="text1"/>
          <w14:textFill>
            <w14:solidFill>
              <w14:schemeClr w14:val="tx1"/>
            </w14:solidFill>
          </w14:textFill>
        </w:rPr>
        <w:t>船舶应对动力设备工况进行充分分析与评价，根据应急预案做好应急准备措施，做到早检查、早发现、早解决，防止船舶因设备问题造成紧迫局面。必要时请求岸基提供帮助。</w:t>
      </w:r>
    </w:p>
    <w:p w14:paraId="0DFEE67C">
      <w:pPr>
        <w:adjustRightInd w:val="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（5）</w:t>
      </w:r>
      <w:r>
        <w:rPr>
          <w:color w:val="000000" w:themeColor="text1"/>
          <w14:textFill>
            <w14:solidFill>
              <w14:schemeClr w14:val="tx1"/>
            </w14:solidFill>
          </w14:textFill>
        </w:rPr>
        <w:t>充分利用和管理驾驶台资源，合理组织值班船员，明确驾驶台团队各自的位置、角度、常规职责、应急职责、信息沟通交流方式、记录、应急处置、驾驶台工作规程等，做到严守职责，坚守岗位。</w:t>
      </w:r>
    </w:p>
    <w:p w14:paraId="4FBF6652">
      <w:pPr>
        <w:adjustRightInd w:val="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（6）</w:t>
      </w:r>
      <w:r>
        <w:rPr>
          <w:color w:val="000000" w:themeColor="text1"/>
          <w14:textFill>
            <w14:solidFill>
              <w14:schemeClr w14:val="tx1"/>
            </w14:solidFill>
          </w14:textFill>
        </w:rPr>
        <w:t>切实做好通信与沟通工作。VHF应在指定频道收听并保持与港口的控制台、导航雷达站、海上交通指挥中心等有关方面的联系，并听从其指导。</w:t>
      </w:r>
    </w:p>
    <w:p w14:paraId="39CD1C06">
      <w:pPr>
        <w:adjustRightInd w:val="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（7）</w:t>
      </w:r>
      <w:r>
        <w:rPr>
          <w:color w:val="000000" w:themeColor="text1"/>
          <w14:textFill>
            <w14:solidFill>
              <w14:schemeClr w14:val="tx1"/>
            </w14:solidFill>
          </w14:textFill>
        </w:rPr>
        <w:t>禁止船舶在动力、助导航设备存在隐患的情况下进出港，禁止疲劳驾驶。</w:t>
      </w:r>
    </w:p>
    <w:p w14:paraId="3EF36202">
      <w:pPr>
        <w:adjustRightInd w:val="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3、</w:t>
      </w:r>
      <w:r>
        <w:rPr>
          <w:color w:val="000000" w:themeColor="text1"/>
          <w14:textFill>
            <w14:solidFill>
              <w14:schemeClr w14:val="tx1"/>
            </w14:solidFill>
          </w14:textFill>
        </w:rPr>
        <w:t>现有航海人员培训教育，提高操作技能和安全意识</w:t>
      </w:r>
    </w:p>
    <w:p w14:paraId="788CB69A">
      <w:pPr>
        <w:adjustRightInd w:val="0"/>
        <w:ind w:firstLine="480"/>
        <w:rPr>
          <w:color w:val="000000" w:themeColor="text1"/>
          <w14:textFill>
            <w14:solidFill>
              <w14:schemeClr w14:val="tx1"/>
            </w14:solidFill>
          </w14:textFill>
        </w:rPr>
      </w:pPr>
      <w:r>
        <w:rPr>
          <w:color w:val="000000" w:themeColor="text1"/>
          <w14:textFill>
            <w14:solidFill>
              <w14:schemeClr w14:val="tx1"/>
            </w14:solidFill>
          </w14:textFill>
        </w:rPr>
        <w:t>海难性事故发生的原因，除恶劣天气人类很难控制外，多数与操作人员的管理密切相关。减少事故的发生，就是要加强操作人员的安全意识及操作技能。船公司要组织经常性的海上安全意识教育和海上安全技能训练，</w:t>
      </w:r>
      <w:r>
        <w:rPr>
          <w:rFonts w:hint="eastAsia"/>
          <w:color w:val="000000" w:themeColor="text1"/>
          <w14:textFill>
            <w14:solidFill>
              <w14:schemeClr w14:val="tx1"/>
            </w14:solidFill>
          </w14:textFill>
        </w:rPr>
        <w:t>做好</w:t>
      </w:r>
      <w:r>
        <w:rPr>
          <w:color w:val="000000" w:themeColor="text1"/>
          <w14:textFill>
            <w14:solidFill>
              <w14:schemeClr w14:val="tx1"/>
            </w14:solidFill>
          </w14:textFill>
        </w:rPr>
        <w:t>船舶的定期检查和养护工作，确保各种设备安全有效、性能良好。普及安全知识提高船员素质，加强船员对安全生产知识的了解和对安全技术的熟练掌握。科学合理安排作息时间，避免船员疲劳造成反应迟缓、注意力不集中等现象，减少人为海难因素。</w:t>
      </w:r>
    </w:p>
    <w:p w14:paraId="104D3DEC">
      <w:pPr>
        <w:pStyle w:val="13"/>
        <w:ind w:firstLine="480"/>
        <w:rPr>
          <w:color w:val="000000" w:themeColor="text1"/>
          <w:sz w:val="24"/>
          <w:u w:val="single"/>
          <w14:textFill>
            <w14:solidFill>
              <w14:schemeClr w14:val="tx1"/>
            </w14:solidFill>
          </w14:textFill>
        </w:rPr>
      </w:pPr>
      <w:r>
        <w:rPr>
          <w:rFonts w:hint="eastAsia"/>
          <w:color w:val="000000" w:themeColor="text1"/>
          <w:sz w:val="24"/>
          <w:u w:val="single"/>
          <w14:textFill>
            <w14:solidFill>
              <w14:schemeClr w14:val="tx1"/>
            </w14:solidFill>
          </w14:textFill>
        </w:rPr>
        <w:t>4、上述措施依托可行性</w:t>
      </w:r>
    </w:p>
    <w:p w14:paraId="798CE10D">
      <w:pPr>
        <w:ind w:firstLine="480"/>
        <w:rPr>
          <w:color w:val="000000" w:themeColor="text1"/>
          <w:u w:val="single"/>
          <w14:textFill>
            <w14:solidFill>
              <w14:schemeClr w14:val="tx1"/>
            </w14:solidFill>
          </w14:textFill>
        </w:rPr>
      </w:pPr>
      <w:r>
        <w:rPr>
          <w:rFonts w:hint="eastAsia" w:cs="宋体"/>
          <w:color w:val="000000" w:themeColor="text1"/>
          <w:kern w:val="0"/>
          <w:u w:val="single"/>
          <w:lang w:bidi="ar"/>
          <w14:textFill>
            <w14:solidFill>
              <w14:schemeClr w14:val="tx1"/>
            </w14:solidFill>
          </w14:textFill>
        </w:rPr>
        <w:t>项目在现有码头上增加货种，每次作业时仅停靠一艘船，一个货种作业，现有陆域风险管理措施完全满足拟建项目运行时的需求。</w:t>
      </w:r>
    </w:p>
    <w:p w14:paraId="42A2AC8A">
      <w:pPr>
        <w:pStyle w:val="6"/>
        <w:rPr>
          <w:color w:val="000000" w:themeColor="text1"/>
          <w14:textFill>
            <w14:solidFill>
              <w14:schemeClr w14:val="tx1"/>
            </w14:solidFill>
          </w14:textFill>
        </w:rPr>
      </w:pPr>
      <w:r>
        <w:rPr>
          <w:color w:val="000000" w:themeColor="text1"/>
          <w14:textFill>
            <w14:solidFill>
              <w14:schemeClr w14:val="tx1"/>
            </w14:solidFill>
          </w14:textFill>
        </w:rPr>
        <w:t>施工期事故防范措施</w:t>
      </w:r>
    </w:p>
    <w:p w14:paraId="5C53F243">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本项目的施工方案主要包括管道安装施工、设备安装施工和电仪安装，施工顺序为：设备安装-管道焊接-电气仪表安装-设备调试。施工区域在</w:t>
      </w:r>
      <w:r>
        <w:rPr>
          <w:rFonts w:hint="eastAsia" w:cs="宋体"/>
          <w:bCs/>
          <w:color w:val="000000" w:themeColor="text1"/>
          <w14:textFill>
            <w14:solidFill>
              <w14:schemeClr w14:val="tx1"/>
            </w14:solidFill>
          </w14:textFill>
        </w:rPr>
        <w:t>装卸点。</w:t>
      </w:r>
      <w:r>
        <w:rPr>
          <w:rFonts w:hint="eastAsia"/>
          <w:color w:val="000000" w:themeColor="text1"/>
          <w14:textFill>
            <w14:solidFill>
              <w14:schemeClr w14:val="tx1"/>
            </w14:solidFill>
          </w14:textFill>
        </w:rPr>
        <w:t>大型设备如装卸臂，设备较大而且空间较狭窄，安装过程中应注意设备安全和人身伤害风险，装卸臂吊装的工期一般为3～5天。管廊管线均架空敷设，涉及管线较多，而引桥宽度有限，两面临海，存在一定的施工安全风险。</w:t>
      </w:r>
      <w:r>
        <w:rPr>
          <w:color w:val="000000" w:themeColor="text1"/>
          <w14:textFill>
            <w14:solidFill>
              <w14:schemeClr w14:val="tx1"/>
            </w14:solidFill>
          </w14:textFill>
        </w:rPr>
        <w:t>本码头为化工品泊位，装卸货种多数为易燃易爆液体，在码头上管线安装前，应对已有管道进行安全隔离或将残留的物料进行清理，在满足相关安全规程的前提下，方可进行码头区域的改造施工。</w:t>
      </w:r>
    </w:p>
    <w:p w14:paraId="0ECB7FC1">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1、风险识别及负面影响</w:t>
      </w:r>
    </w:p>
    <w:p w14:paraId="624D5E4E">
      <w:pPr>
        <w:ind w:firstLine="480"/>
        <w:rPr>
          <w:color w:val="000000" w:themeColor="text1"/>
          <w14:textFill>
            <w14:solidFill>
              <w14:schemeClr w14:val="tx1"/>
            </w14:solidFill>
          </w14:textFill>
        </w:rPr>
      </w:pPr>
      <w:r>
        <w:rPr>
          <w:color w:val="000000" w:themeColor="text1"/>
          <w14:textFill>
            <w14:solidFill>
              <w14:schemeClr w14:val="tx1"/>
            </w14:solidFill>
          </w14:textFill>
        </w:rPr>
        <w:t>（1）船舶作业过程中发生碰撞，可能会造成船舶燃料油泄漏。</w:t>
      </w:r>
    </w:p>
    <w:p w14:paraId="4162BFEE">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2</w:t>
      </w:r>
      <w:r>
        <w:rPr>
          <w:rFonts w:hint="eastAsia"/>
          <w:color w:val="000000" w:themeColor="text1"/>
          <w14:textFill>
            <w14:solidFill>
              <w14:schemeClr w14:val="tx1"/>
            </w14:solidFill>
          </w14:textFill>
        </w:rPr>
        <w:t>）施工期主要包括设备设施和管道的安装、建筑材料运输等活动，项目中存在交叉施工问题。施工中无法避免要进行动火等作业，在这些作业中，如果对安全方面的预防措施不到位，则施工当中的火源可能对码头运营造成危害。</w:t>
      </w:r>
    </w:p>
    <w:p w14:paraId="0D323D98">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（3）无可避免施工人员、施工设备、车辆、材料等要通过已建的引桥、码头进行运输，若未采取有效的措施，一旦发生事故会对正常的生产造成影响甚至引发火灾、爆炸等次生灾害。</w:t>
      </w:r>
    </w:p>
    <w:p w14:paraId="211ED3D0">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（4）企业若对施工管理不到位，施工设备、材料等乱堆乱放，占用原有引桥等，一旦发生事故，会对应急救援造成一定影响。施工要特别注意现有码头及管线的安全性。</w:t>
      </w:r>
    </w:p>
    <w:p w14:paraId="545607EC">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2、防范措施</w:t>
      </w:r>
    </w:p>
    <w:p w14:paraId="3845E50E">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施工前要求制定具体可行的《施工期间安全管理工作规定》，从技术和管理上采取有效措施，防止各类事故发生。</w:t>
      </w:r>
    </w:p>
    <w:p w14:paraId="20505570">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color w:val="000000" w:themeColor="text1"/>
          <w14:textFill>
            <w14:solidFill>
              <w14:schemeClr w14:val="tx1"/>
            </w14:solidFill>
          </w14:textFill>
        </w:rPr>
        <w:t>施工前将施工作业的时间、地点、作业方式和施工强度等信息进行公告；加强施工船舶管理和调度，避让航道内其他船只，避免船舶碰撞事故的发生</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严禁施工作业单位擅自扩大施工作业安全区，严禁无关船舶进入施工作业水域，并提前、定时发布航行公告</w:t>
      </w:r>
      <w:r>
        <w:rPr>
          <w:rFonts w:hint="eastAsia"/>
          <w:color w:val="000000" w:themeColor="text1"/>
          <w14:textFill>
            <w14:solidFill>
              <w14:schemeClr w14:val="tx1"/>
            </w14:solidFill>
          </w14:textFill>
        </w:rPr>
        <w:t>。</w:t>
      </w:r>
    </w:p>
    <w:p w14:paraId="1EF6362A">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（3）</w:t>
      </w:r>
      <w:r>
        <w:rPr>
          <w:color w:val="000000" w:themeColor="text1"/>
          <w14:textFill>
            <w14:solidFill>
              <w14:schemeClr w14:val="tx1"/>
            </w14:solidFill>
          </w14:textFill>
        </w:rPr>
        <w:t>施工作业期间所有施工船舶须按照规定显示信号，在施工期间加强值班瞭望，施工作业人员应严格按照操作规程进行操作；合理安排各个施工船舶的施工时序，加强施工秩序管理，防止施工船舶之间发生碰撞；做好防风暴潮工作，恶劣天气情况禁止作业</w:t>
      </w:r>
      <w:r>
        <w:rPr>
          <w:rFonts w:hint="eastAsia"/>
          <w:color w:val="000000" w:themeColor="text1"/>
          <w14:textFill>
            <w14:solidFill>
              <w14:schemeClr w14:val="tx1"/>
            </w14:solidFill>
          </w14:textFill>
        </w:rPr>
        <w:t>。</w:t>
      </w:r>
    </w:p>
    <w:p w14:paraId="3DBCD60C">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（4）</w:t>
      </w:r>
      <w:r>
        <w:rPr>
          <w:color w:val="000000" w:themeColor="text1"/>
          <w14:textFill>
            <w14:solidFill>
              <w14:schemeClr w14:val="tx1"/>
            </w14:solidFill>
          </w14:textFill>
        </w:rPr>
        <w:t>组织环境风险</w:t>
      </w:r>
      <w:r>
        <w:rPr>
          <w:rFonts w:hint="eastAsia"/>
          <w:color w:val="000000" w:themeColor="text1"/>
          <w14:textFill>
            <w14:solidFill>
              <w14:schemeClr w14:val="tx1"/>
            </w14:solidFill>
          </w14:textFill>
        </w:rPr>
        <w:t>事故培训</w:t>
      </w:r>
      <w:r>
        <w:rPr>
          <w:color w:val="000000" w:themeColor="text1"/>
          <w14:textFill>
            <w14:solidFill>
              <w14:schemeClr w14:val="tx1"/>
            </w14:solidFill>
          </w14:textFill>
        </w:rPr>
        <w:t>，提高施工人员的应急处置能力</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船舶含油污水禁止外排。</w:t>
      </w:r>
    </w:p>
    <w:p w14:paraId="357A1502">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5）高风险施工作业（包括但不限于：动火作业、吊装作业、高空作业、临时用电作业、无损探伤、压力测试等）必须有工作安全分析，制定专门施工安全方案，并经业主方、监理方、施工方确认和审批。施工方须严格按码头施工作业票管理程序做好动火作业、吊装作业、高空作业、临时用电作业、无损探伤、压力测试等安全防范措施，确保现场施工安全。</w:t>
      </w:r>
    </w:p>
    <w:p w14:paraId="015BFF17">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（6）管线改造及新建过程中应严格执行安全动火的相关规定，制定严格的防范措施，制定完善的爆炸事故、泄漏事故应急预案。</w:t>
      </w:r>
    </w:p>
    <w:p w14:paraId="02954B7B">
      <w:pPr>
        <w:ind w:firstLine="480"/>
        <w:rPr>
          <w:color w:val="000000" w:themeColor="text1"/>
          <w:szCs w:val="20"/>
          <w14:textFill>
            <w14:solidFill>
              <w14:schemeClr w14:val="tx1"/>
            </w14:solidFill>
          </w14:textFill>
        </w:rPr>
      </w:pPr>
      <w:r>
        <w:rPr>
          <w:color w:val="000000" w:themeColor="text1"/>
          <w14:textFill>
            <w14:solidFill>
              <w14:schemeClr w14:val="tx1"/>
            </w14:solidFill>
          </w14:textFill>
        </w:rPr>
        <w:t>（</w:t>
      </w:r>
      <w:r>
        <w:rPr>
          <w:rFonts w:hint="eastAsia"/>
          <w:color w:val="000000" w:themeColor="text1"/>
          <w14:textFill>
            <w14:solidFill>
              <w14:schemeClr w14:val="tx1"/>
            </w14:solidFill>
          </w14:textFill>
        </w:rPr>
        <w:t>7</w:t>
      </w:r>
      <w:r>
        <w:rPr>
          <w:color w:val="000000" w:themeColor="text1"/>
          <w:szCs w:val="20"/>
          <w14:textFill>
            <w14:solidFill>
              <w14:schemeClr w14:val="tx1"/>
            </w14:solidFill>
          </w14:textFill>
        </w:rPr>
        <w:t>）</w:t>
      </w:r>
      <w:r>
        <w:rPr>
          <w:rFonts w:hint="eastAsia"/>
          <w:color w:val="000000" w:themeColor="text1"/>
          <w:szCs w:val="20"/>
          <w14:textFill>
            <w14:solidFill>
              <w14:schemeClr w14:val="tx1"/>
            </w14:solidFill>
          </w14:textFill>
        </w:rPr>
        <w:t>根据</w:t>
      </w:r>
      <w:r>
        <w:rPr>
          <w:color w:val="000000" w:themeColor="text1"/>
          <w:szCs w:val="20"/>
          <w14:textFill>
            <w14:solidFill>
              <w14:schemeClr w14:val="tx1"/>
            </w14:solidFill>
          </w14:textFill>
        </w:rPr>
        <w:t>《安全用火管理制度》</w:t>
      </w:r>
      <w:r>
        <w:rPr>
          <w:rFonts w:hint="eastAsia"/>
          <w:color w:val="000000" w:themeColor="text1"/>
          <w:szCs w:val="20"/>
          <w14:textFill>
            <w14:solidFill>
              <w14:schemeClr w14:val="tx1"/>
            </w14:solidFill>
          </w14:textFill>
        </w:rPr>
        <w:t>第五条、第六条，在具有火灾、爆炸危险的场所内进行以下作业或使用其中设施（各种焊接、切割作业；烧、烤、煨管及其他产生火花的作业；使用不防爆的电动工具、电器）均应纳入用火审批范围。凡在用火管理范围内的用火作业必须办理用火许可证，方可实施。</w:t>
      </w:r>
    </w:p>
    <w:p w14:paraId="70325173">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（8）</w:t>
      </w:r>
      <w:r>
        <w:rPr>
          <w:rFonts w:hint="eastAsia"/>
          <w:color w:val="000000" w:themeColor="text1"/>
          <w:szCs w:val="20"/>
          <w14:textFill>
            <w14:solidFill>
              <w14:schemeClr w14:val="tx1"/>
            </w14:solidFill>
          </w14:textFill>
        </w:rPr>
        <w:t>根据</w:t>
      </w:r>
      <w:r>
        <w:rPr>
          <w:color w:val="000000" w:themeColor="text1"/>
          <w:szCs w:val="20"/>
          <w14:textFill>
            <w14:solidFill>
              <w14:schemeClr w14:val="tx1"/>
            </w14:solidFill>
          </w14:textFill>
        </w:rPr>
        <w:t>《安全用火管理制度》</w:t>
      </w:r>
      <w:r>
        <w:rPr>
          <w:rFonts w:hint="eastAsia"/>
          <w:color w:val="000000" w:themeColor="text1"/>
          <w:szCs w:val="20"/>
          <w14:textFill>
            <w14:solidFill>
              <w14:schemeClr w14:val="tx1"/>
            </w14:solidFill>
          </w14:textFill>
        </w:rPr>
        <w:t>第八条，</w:t>
      </w:r>
      <w:r>
        <w:rPr>
          <w:rFonts w:hint="eastAsia"/>
          <w:color w:val="000000" w:themeColor="text1"/>
          <w14:textFill>
            <w14:solidFill>
              <w14:schemeClr w14:val="tx1"/>
            </w14:solidFill>
          </w14:textFill>
        </w:rPr>
        <w:t>进行电焊、气焊等具有火灾危险作业的特殊工种操作人员，必须持证上岗，并遵守消防安全规定，落实相应的消防安全措施。</w:t>
      </w:r>
      <w:r>
        <w:rPr>
          <w:color w:val="000000" w:themeColor="text1"/>
          <w14:textFill>
            <w14:solidFill>
              <w14:schemeClr w14:val="tx1"/>
            </w14:solidFill>
          </w14:textFill>
        </w:rPr>
        <w:t>按要求对作业区域易燃易爆物</w:t>
      </w:r>
      <w:r>
        <w:rPr>
          <w:rFonts w:hint="eastAsia"/>
          <w:color w:val="000000" w:themeColor="text1"/>
          <w14:textFill>
            <w14:solidFill>
              <w14:schemeClr w14:val="tx1"/>
            </w14:solidFill>
          </w14:textFill>
        </w:rPr>
        <w:t>、施工废料</w:t>
      </w:r>
      <w:r>
        <w:rPr>
          <w:color w:val="000000" w:themeColor="text1"/>
          <w14:textFill>
            <w14:solidFill>
              <w14:schemeClr w14:val="tx1"/>
            </w14:solidFill>
          </w14:textFill>
        </w:rPr>
        <w:t>进行清理</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有涉及动火的施工作业时，尽量避开周边码头装卸作业时段。</w:t>
      </w:r>
    </w:p>
    <w:p w14:paraId="4C11235D">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（9）本项目</w:t>
      </w:r>
      <w:r>
        <w:rPr>
          <w:rFonts w:hint="eastAsia"/>
          <w:color w:val="000000" w:themeColor="text1"/>
          <w:szCs w:val="21"/>
          <w14:textFill>
            <w14:solidFill>
              <w14:schemeClr w14:val="tx1"/>
            </w14:solidFill>
          </w14:textFill>
        </w:rPr>
        <w:t>新增管线的施工与已投用设施和管线必须采取有效的安全隔离设施，涉及工艺管线采取切断或者物理隔离阀门的措施，其他工作界面用波纹板和防火毯进行隔离。管道安装前，应当提前规划，统筹考虑新增管线的安装空间；安装时，应对旁边的管道进行防护。</w:t>
      </w:r>
    </w:p>
    <w:p w14:paraId="49850BBA">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3、监控措施</w:t>
      </w:r>
    </w:p>
    <w:p w14:paraId="60492819">
      <w:pPr>
        <w:ind w:firstLine="480"/>
        <w:rPr>
          <w:color w:val="000000" w:themeColor="text1"/>
          <w:szCs w:val="28"/>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码头综合用房内已设有消防控制室和火灾报警系统，负责码头消防报警系统的监控。</w:t>
      </w:r>
      <w:r>
        <w:rPr>
          <w:color w:val="000000" w:themeColor="text1"/>
          <w:szCs w:val="28"/>
          <w14:textFill>
            <w14:solidFill>
              <w14:schemeClr w14:val="tx1"/>
            </w14:solidFill>
          </w14:textFill>
        </w:rPr>
        <w:t>在码头平台以及管廊带处设有火灾手动报警按钮和报警器，且均采用防爆结构。</w:t>
      </w:r>
    </w:p>
    <w:p w14:paraId="441C4035">
      <w:pPr>
        <w:ind w:firstLine="480"/>
        <w:rPr>
          <w:color w:val="000000" w:themeColor="text1"/>
          <w:szCs w:val="28"/>
          <w14:textFill>
            <w14:solidFill>
              <w14:schemeClr w14:val="tx1"/>
            </w14:solidFill>
          </w14:textFill>
        </w:rPr>
      </w:pPr>
      <w:r>
        <w:rPr>
          <w:rFonts w:hint="eastAsia"/>
          <w:color w:val="000000" w:themeColor="text1"/>
          <w:szCs w:val="28"/>
          <w14:textFill>
            <w14:solidFill>
              <w14:schemeClr w14:val="tx1"/>
            </w14:solidFill>
          </w14:textFill>
        </w:rPr>
        <w:t>（2</w:t>
      </w:r>
      <w:r>
        <w:rPr>
          <w:color w:val="000000" w:themeColor="text1"/>
          <w:szCs w:val="28"/>
          <w14:textFill>
            <w14:solidFill>
              <w14:schemeClr w14:val="tx1"/>
            </w14:solidFill>
          </w14:textFill>
        </w:rPr>
        <w:t>）本工程依托已建的工业电视监视系统。该监视系统与后方库区工业电视监视系统组成一个统一的监视系统。监视系统的监控室设置在后方库区中控室内。工业电视监控系统和计算机网络系统设备采用UPS不间断电源供电。</w:t>
      </w:r>
    </w:p>
    <w:p w14:paraId="0B779506">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（3）</w:t>
      </w:r>
      <w:r>
        <w:rPr>
          <w:color w:val="000000" w:themeColor="text1"/>
          <w14:textFill>
            <w14:solidFill>
              <w14:schemeClr w14:val="tx1"/>
            </w14:solidFill>
          </w14:textFill>
        </w:rPr>
        <w:t>消防控制室值班人员可通过室内工业电视监视器对整个作业区进行监控，及时发现火情，启动消防系统，通过操作台实现有线远距离控制消防系统设备运行或近距离使用遥控器控制消防系统设备运行。</w:t>
      </w:r>
    </w:p>
    <w:p w14:paraId="4741FE42">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（4）高风险施工作业现场应落实现场监护人，将施工区和使用区进行防火分隔，落实高风险施工作业区域</w:t>
      </w:r>
      <w:r>
        <w:rPr>
          <w:rFonts w:hint="eastAsia"/>
          <w:color w:val="000000" w:themeColor="text1"/>
          <w:szCs w:val="21"/>
          <w14:textFill>
            <w14:solidFill>
              <w14:schemeClr w14:val="tx1"/>
            </w14:solidFill>
          </w14:textFill>
        </w:rPr>
        <w:t>的安全隔离设施，</w:t>
      </w:r>
      <w:r>
        <w:rPr>
          <w:rFonts w:hint="eastAsia"/>
          <w:color w:val="000000" w:themeColor="text1"/>
          <w14:textFill>
            <w14:solidFill>
              <w14:schemeClr w14:val="tx1"/>
            </w14:solidFill>
          </w14:textFill>
        </w:rPr>
        <w:t>清除用火区域的易燃、可燃物，配置消防器材，专人监护，在确认无火灾、爆炸危险后方可用火施工。</w:t>
      </w:r>
    </w:p>
    <w:p w14:paraId="3864F69B">
      <w:pPr>
        <w:ind w:firstLine="480"/>
        <w:rPr>
          <w:color w:val="000000" w:themeColor="text1"/>
          <w:szCs w:val="28"/>
          <w14:textFill>
            <w14:solidFill>
              <w14:schemeClr w14:val="tx1"/>
            </w14:solidFill>
          </w14:textFill>
        </w:rPr>
      </w:pPr>
      <w:r>
        <w:rPr>
          <w:rFonts w:hint="eastAsia"/>
          <w:color w:val="000000" w:themeColor="text1"/>
          <w:szCs w:val="28"/>
          <w14:textFill>
            <w14:solidFill>
              <w14:schemeClr w14:val="tx1"/>
            </w14:solidFill>
          </w14:textFill>
        </w:rPr>
        <w:t>（5</w:t>
      </w:r>
      <w:r>
        <w:rPr>
          <w:color w:val="000000" w:themeColor="text1"/>
          <w:szCs w:val="28"/>
          <w14:textFill>
            <w14:solidFill>
              <w14:schemeClr w14:val="tx1"/>
            </w14:solidFill>
          </w14:textFill>
        </w:rPr>
        <w:t>）</w:t>
      </w:r>
      <w:r>
        <w:rPr>
          <w:rFonts w:hint="eastAsia"/>
          <w:color w:val="000000" w:themeColor="text1"/>
          <w:szCs w:val="28"/>
          <w14:textFill>
            <w14:solidFill>
              <w14:schemeClr w14:val="tx1"/>
            </w14:solidFill>
          </w14:textFill>
        </w:rPr>
        <w:t>施工期间加强</w:t>
      </w:r>
      <w:r>
        <w:rPr>
          <w:color w:val="000000" w:themeColor="text1"/>
          <w:szCs w:val="28"/>
          <w14:textFill>
            <w14:solidFill>
              <w14:schemeClr w14:val="tx1"/>
            </w14:solidFill>
          </w14:textFill>
        </w:rPr>
        <w:t>检查</w:t>
      </w:r>
      <w:r>
        <w:rPr>
          <w:rFonts w:hint="eastAsia"/>
          <w:color w:val="000000" w:themeColor="text1"/>
          <w:szCs w:val="28"/>
          <w14:textFill>
            <w14:solidFill>
              <w14:schemeClr w14:val="tx1"/>
            </w14:solidFill>
          </w14:textFill>
        </w:rPr>
        <w:t>现有</w:t>
      </w:r>
      <w:r>
        <w:rPr>
          <w:color w:val="000000" w:themeColor="text1"/>
          <w:szCs w:val="28"/>
          <w14:textFill>
            <w14:solidFill>
              <w14:schemeClr w14:val="tx1"/>
            </w14:solidFill>
          </w14:textFill>
        </w:rPr>
        <w:t>管线接头和阀门等处的密封状况，发现故障及时报告并安排维修</w:t>
      </w:r>
      <w:r>
        <w:rPr>
          <w:rFonts w:hint="eastAsia"/>
          <w:color w:val="000000" w:themeColor="text1"/>
          <w:szCs w:val="28"/>
          <w14:textFill>
            <w14:solidFill>
              <w14:schemeClr w14:val="tx1"/>
            </w14:solidFill>
          </w14:textFill>
        </w:rPr>
        <w:t>，降低本项目施工引起火灾、爆炸的风险。</w:t>
      </w:r>
    </w:p>
    <w:p w14:paraId="6E2FA733">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4、应急措施</w:t>
      </w:r>
    </w:p>
    <w:p w14:paraId="04A1FB48">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（1）各种管线设置有明显的标识，危险场所、应急疏散通道设置有醒目的安全标志和警示标志。</w:t>
      </w:r>
    </w:p>
    <w:p w14:paraId="6BCF490D">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（2）施工场地配备救生器材，设置安全防护栏、挂好安全网及救生圈等必要的设备</w:t>
      </w:r>
      <w:r>
        <w:rPr>
          <w:color w:val="000000" w:themeColor="text1"/>
          <w:szCs w:val="28"/>
          <w14:textFill>
            <w14:solidFill>
              <w14:schemeClr w14:val="tx1"/>
            </w14:solidFill>
          </w14:textFill>
        </w:rPr>
        <w:t>。</w:t>
      </w:r>
      <w:r>
        <w:rPr>
          <w:color w:val="000000" w:themeColor="text1"/>
          <w14:textFill>
            <w14:solidFill>
              <w14:schemeClr w14:val="tx1"/>
            </w14:solidFill>
          </w14:textFill>
        </w:rPr>
        <w:t>装卸设备前设置水幕，</w:t>
      </w:r>
      <w:r>
        <w:rPr>
          <w:color w:val="000000" w:themeColor="text1"/>
          <w:szCs w:val="20"/>
          <w14:textFill>
            <w14:solidFill>
              <w14:schemeClr w14:val="tx1"/>
            </w14:solidFill>
          </w14:textFill>
        </w:rPr>
        <w:t>泊位前沿靠水侧1.5米内工作</w:t>
      </w:r>
      <w:r>
        <w:rPr>
          <w:rFonts w:hint="eastAsia"/>
          <w:color w:val="000000" w:themeColor="text1"/>
          <w:szCs w:val="20"/>
          <w14:textFill>
            <w14:solidFill>
              <w14:schemeClr w14:val="tx1"/>
            </w14:solidFill>
          </w14:textFill>
        </w:rPr>
        <w:t>人员</w:t>
      </w:r>
      <w:r>
        <w:rPr>
          <w:color w:val="000000" w:themeColor="text1"/>
          <w:szCs w:val="20"/>
          <w14:textFill>
            <w14:solidFill>
              <w14:schemeClr w14:val="tx1"/>
            </w14:solidFill>
          </w14:textFill>
        </w:rPr>
        <w:t>应穿工作救生衣</w:t>
      </w:r>
      <w:r>
        <w:rPr>
          <w:rFonts w:hint="eastAsia"/>
          <w:color w:val="000000" w:themeColor="text1"/>
          <w:szCs w:val="20"/>
          <w14:textFill>
            <w14:solidFill>
              <w14:schemeClr w14:val="tx1"/>
            </w14:solidFill>
          </w14:textFill>
        </w:rPr>
        <w:t>。</w:t>
      </w:r>
      <w:r>
        <w:rPr>
          <w:color w:val="000000" w:themeColor="text1"/>
          <w14:textFill>
            <w14:solidFill>
              <w14:schemeClr w14:val="tx1"/>
            </w14:solidFill>
          </w14:textFill>
        </w:rPr>
        <w:t>保护设施和人员的安全。</w:t>
      </w:r>
    </w:p>
    <w:p w14:paraId="4D03751F">
      <w:pPr>
        <w:tabs>
          <w:tab w:val="left" w:pos="0"/>
        </w:tabs>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（3</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码头综合用房内已设有消防控制室和火灾报警系统，负责码头消防报警系统的监控，在码头平台以及管廊带处设有火灾手动报警按钮和报警器。</w:t>
      </w:r>
      <w:r>
        <w:rPr>
          <w:color w:val="000000" w:themeColor="text1"/>
          <w14:textFill>
            <w14:solidFill>
              <w14:schemeClr w14:val="tx1"/>
            </w14:solidFill>
          </w14:textFill>
        </w:rPr>
        <w:t>码头</w:t>
      </w:r>
      <w:r>
        <w:rPr>
          <w:rFonts w:hint="eastAsia"/>
          <w:color w:val="000000" w:themeColor="text1"/>
          <w14:textFill>
            <w14:solidFill>
              <w14:schemeClr w14:val="tx1"/>
            </w14:solidFill>
          </w14:textFill>
        </w:rPr>
        <w:t>已</w:t>
      </w:r>
      <w:r>
        <w:rPr>
          <w:color w:val="000000" w:themeColor="text1"/>
          <w14:textFill>
            <w14:solidFill>
              <w14:schemeClr w14:val="tx1"/>
            </w14:solidFill>
          </w14:textFill>
        </w:rPr>
        <w:t>设置固定式水冷却和泡沫灭火系统</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并配备移动式消防炮、消防水枪等辅助灭火设施。</w:t>
      </w:r>
    </w:p>
    <w:p w14:paraId="004C2AF5">
      <w:pPr>
        <w:tabs>
          <w:tab w:val="left" w:pos="0"/>
        </w:tabs>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（4</w:t>
      </w:r>
      <w:r>
        <w:rPr>
          <w:color w:val="000000" w:themeColor="text1"/>
          <w14:textFill>
            <w14:solidFill>
              <w14:schemeClr w14:val="tx1"/>
            </w14:solidFill>
          </w14:textFill>
        </w:rPr>
        <w:t>）</w:t>
      </w:r>
      <w:r>
        <w:rPr>
          <w:color w:val="000000" w:themeColor="text1"/>
          <w:szCs w:val="28"/>
          <w14:textFill>
            <w14:solidFill>
              <w14:schemeClr w14:val="tx1"/>
            </w14:solidFill>
          </w14:textFill>
        </w:rPr>
        <w:t>码头泊位设置有阻燃型围油栏。</w:t>
      </w:r>
      <w:r>
        <w:rPr>
          <w:color w:val="000000" w:themeColor="text1"/>
          <w14:textFill>
            <w14:solidFill>
              <w14:schemeClr w14:val="tx1"/>
            </w14:solidFill>
          </w14:textFill>
        </w:rPr>
        <w:t>水域配备消防船或拖消二用船，码头作业时应有消防船（或拖消船）监护。</w:t>
      </w:r>
    </w:p>
    <w:p w14:paraId="75C482C5">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（5）</w:t>
      </w:r>
      <w:r>
        <w:rPr>
          <w:color w:val="000000" w:themeColor="text1"/>
          <w:szCs w:val="28"/>
          <w14:textFill>
            <w14:solidFill>
              <w14:schemeClr w14:val="tx1"/>
            </w14:solidFill>
          </w14:textFill>
        </w:rPr>
        <w:t>码头平台设置消防炮塔</w:t>
      </w:r>
      <w:r>
        <w:rPr>
          <w:rFonts w:hint="eastAsia"/>
          <w:color w:val="000000" w:themeColor="text1"/>
          <w:szCs w:val="28"/>
          <w14:textFill>
            <w14:solidFill>
              <w14:schemeClr w14:val="tx1"/>
            </w14:solidFill>
          </w14:textFill>
        </w:rPr>
        <w:t>2</w:t>
      </w:r>
      <w:r>
        <w:rPr>
          <w:color w:val="000000" w:themeColor="text1"/>
          <w:szCs w:val="28"/>
          <w14:textFill>
            <w14:solidFill>
              <w14:schemeClr w14:val="tx1"/>
            </w14:solidFill>
          </w14:textFill>
        </w:rPr>
        <w:t>座，炮塔设有固定式电动遥控炮。消防炮控制系统采用PLC控制，可以控制消防炮和电动阀门，并与可燃气体检测报警系统和火灾报警系统联锁。</w:t>
      </w:r>
      <w:r>
        <w:rPr>
          <w:color w:val="000000" w:themeColor="text1"/>
          <w14:textFill>
            <w14:solidFill>
              <w14:schemeClr w14:val="tx1"/>
            </w14:solidFill>
          </w14:textFill>
        </w:rPr>
        <w:t>消防水源由后方孚宝库区保障，消防管道平时由厂区稳压，确保消防泡沫和消防水到达火场的时间不超过5min。</w:t>
      </w:r>
    </w:p>
    <w:p w14:paraId="3056B8B0">
      <w:pPr>
        <w:ind w:firstLine="480"/>
        <w:rPr>
          <w:color w:val="000000" w:themeColor="text1"/>
          <w14:textFill>
            <w14:solidFill>
              <w14:schemeClr w14:val="tx1"/>
            </w14:solidFill>
          </w14:textFill>
        </w:rPr>
      </w:pPr>
      <w:r>
        <w:rPr>
          <w:rFonts w:hint="eastAsia"/>
          <w:color w:val="000000" w:themeColor="text1"/>
          <w:szCs w:val="28"/>
          <w14:textFill>
            <w14:solidFill>
              <w14:schemeClr w14:val="tx1"/>
            </w14:solidFill>
          </w14:textFill>
        </w:rPr>
        <w:t>（6）若因</w:t>
      </w:r>
      <w:r>
        <w:rPr>
          <w:rFonts w:hint="eastAsia"/>
          <w:color w:val="000000" w:themeColor="text1"/>
          <w14:textFill>
            <w14:solidFill>
              <w14:schemeClr w14:val="tx1"/>
            </w14:solidFill>
          </w14:textFill>
        </w:rPr>
        <w:t>码头施工引起火情，现场人员应立即按事故报告程序进行报告，切断泄漏源，立即停止附近一切码头作业。随后通过无线或有线电话及控制室的报警系统立即通知后方消防中心，消防中心在接到报警后立即启动消防水泵向码头前方输送压力水，与此同时码头消防控制室内值班人员应立即启动泡沫比例混合器中的泡沫液泵，配制泡沫混合液并根据火灾地点，开启码头水幕、消防水炮及泡沫炮进行消防作业。</w:t>
      </w:r>
    </w:p>
    <w:p w14:paraId="26CB8A99">
      <w:pPr>
        <w:widowControl/>
        <w:ind w:firstLine="480"/>
        <w:jc w:val="left"/>
        <w:rPr>
          <w:color w:val="000000" w:themeColor="text1"/>
          <w14:textFill>
            <w14:solidFill>
              <w14:schemeClr w14:val="tx1"/>
            </w14:solidFill>
          </w14:textFill>
        </w:rPr>
      </w:pPr>
      <w:r>
        <w:rPr>
          <w:color w:val="000000" w:themeColor="text1"/>
          <w:kern w:val="0"/>
          <w:lang w:bidi="ar"/>
          <w14:textFill>
            <w14:solidFill>
              <w14:schemeClr w14:val="tx1"/>
            </w14:solidFill>
          </w14:textFill>
        </w:rPr>
        <w:t>（</w:t>
      </w:r>
      <w:r>
        <w:rPr>
          <w:rFonts w:hint="eastAsia"/>
          <w:color w:val="000000" w:themeColor="text1"/>
          <w:kern w:val="0"/>
          <w:lang w:bidi="ar"/>
          <w14:textFill>
            <w14:solidFill>
              <w14:schemeClr w14:val="tx1"/>
            </w14:solidFill>
          </w14:textFill>
        </w:rPr>
        <w:t>7</w:t>
      </w:r>
      <w:r>
        <w:rPr>
          <w:color w:val="000000" w:themeColor="text1"/>
          <w:kern w:val="0"/>
          <w:lang w:bidi="ar"/>
          <w14:textFill>
            <w14:solidFill>
              <w14:schemeClr w14:val="tx1"/>
            </w14:solidFill>
          </w14:textFill>
        </w:rPr>
        <w:t>）各施工队伍各工段、各班组、各工种都要形成人员预案网络，都要有专人负责，在接到撤离通知后整个网络要上下左右形成协调联动。现场与施工总部保持联络，及时了解相关动态，遇紧急情况时，在接到通知后迅速组织现场施工队伍撤离。</w:t>
      </w:r>
    </w:p>
    <w:p w14:paraId="073A8510">
      <w:pPr>
        <w:widowControl/>
        <w:ind w:firstLine="480"/>
        <w:jc w:val="left"/>
        <w:rPr>
          <w:color w:val="000000" w:themeColor="text1"/>
          <w14:textFill>
            <w14:solidFill>
              <w14:schemeClr w14:val="tx1"/>
            </w14:solidFill>
          </w14:textFill>
        </w:rPr>
      </w:pPr>
      <w:r>
        <w:rPr>
          <w:color w:val="000000" w:themeColor="text1"/>
          <w:kern w:val="0"/>
          <w:lang w:bidi="ar"/>
          <w14:textFill>
            <w14:solidFill>
              <w14:schemeClr w14:val="tx1"/>
            </w14:solidFill>
          </w14:textFill>
        </w:rPr>
        <w:t>（</w:t>
      </w:r>
      <w:r>
        <w:rPr>
          <w:rFonts w:hint="eastAsia"/>
          <w:color w:val="000000" w:themeColor="text1"/>
          <w:kern w:val="0"/>
          <w:lang w:bidi="ar"/>
          <w14:textFill>
            <w14:solidFill>
              <w14:schemeClr w14:val="tx1"/>
            </w14:solidFill>
          </w14:textFill>
        </w:rPr>
        <w:t>8</w:t>
      </w:r>
      <w:r>
        <w:rPr>
          <w:color w:val="000000" w:themeColor="text1"/>
          <w:kern w:val="0"/>
          <w:lang w:bidi="ar"/>
          <w14:textFill>
            <w14:solidFill>
              <w14:schemeClr w14:val="tx1"/>
            </w14:solidFill>
          </w14:textFill>
        </w:rPr>
        <w:t>）在施工期间加强对该水域的监控，尽可能避免大型船在施工水域段会船。沿进出港航道航行的船舶通过施工水域时应加强</w:t>
      </w:r>
      <w:r>
        <w:rPr>
          <w:rFonts w:hint="eastAsia"/>
          <w:color w:val="000000" w:themeColor="text1"/>
          <w:kern w:val="0"/>
          <w:lang w:bidi="ar"/>
          <w14:textFill>
            <w14:solidFill>
              <w14:schemeClr w14:val="tx1"/>
            </w14:solidFill>
          </w14:textFill>
        </w:rPr>
        <w:t>瞭望</w:t>
      </w:r>
      <w:r>
        <w:rPr>
          <w:color w:val="000000" w:themeColor="text1"/>
          <w:kern w:val="0"/>
          <w:lang w:bidi="ar"/>
          <w14:textFill>
            <w14:solidFill>
              <w14:schemeClr w14:val="tx1"/>
            </w14:solidFill>
          </w14:textFill>
        </w:rPr>
        <w:t>，避免与施工船舶之间发生碰撞。</w:t>
      </w:r>
    </w:p>
    <w:p w14:paraId="4C2689BD">
      <w:pPr>
        <w:pStyle w:val="4"/>
        <w:rPr>
          <w:color w:val="000000" w:themeColor="text1"/>
          <w14:textFill>
            <w14:solidFill>
              <w14:schemeClr w14:val="tx1"/>
            </w14:solidFill>
          </w14:textFill>
        </w:rPr>
      </w:pPr>
      <w:r>
        <w:rPr>
          <w:color w:val="000000" w:themeColor="text1"/>
          <w14:textFill>
            <w14:solidFill>
              <w14:schemeClr w14:val="tx1"/>
            </w14:solidFill>
          </w14:textFill>
        </w:rPr>
        <w:t>风险管理措施</w:t>
      </w:r>
    </w:p>
    <w:p w14:paraId="64D55B61">
      <w:pPr>
        <w:ind w:firstLine="480"/>
        <w:rPr>
          <w:color w:val="000000" w:themeColor="text1"/>
          <w14:textFill>
            <w14:solidFill>
              <w14:schemeClr w14:val="tx1"/>
            </w14:solidFill>
          </w14:textFill>
        </w:rPr>
      </w:pPr>
      <w:r>
        <w:rPr>
          <w:color w:val="000000" w:themeColor="text1"/>
          <w14:textFill>
            <w14:solidFill>
              <w14:schemeClr w14:val="tx1"/>
            </w14:solidFill>
          </w14:textFill>
        </w:rPr>
        <w:t>（1）选用优质设备器材。根据</w:t>
      </w:r>
      <w:r>
        <w:rPr>
          <w:rFonts w:hint="eastAsia"/>
          <w:color w:val="000000" w:themeColor="text1"/>
          <w14:textFill>
            <w14:solidFill>
              <w14:schemeClr w14:val="tx1"/>
            </w14:solidFill>
          </w14:textFill>
        </w:rPr>
        <w:t>装卸物种</w:t>
      </w:r>
      <w:r>
        <w:rPr>
          <w:color w:val="000000" w:themeColor="text1"/>
          <w14:textFill>
            <w14:solidFill>
              <w14:schemeClr w14:val="tx1"/>
            </w14:solidFill>
          </w14:textFill>
        </w:rPr>
        <w:t>的特点和工艺要求，采用合理的工艺流程，选用高效密封安全可靠的设备材料，做到防止跑、冒、滴、漏、防爆防雷以及防静电。工艺管道应满足输送液体化学品对温度、压力的要求，并满足耐腐蚀的要求。</w:t>
      </w:r>
    </w:p>
    <w:p w14:paraId="7230ECC4">
      <w:pPr>
        <w:ind w:firstLine="480"/>
        <w:rPr>
          <w:color w:val="000000" w:themeColor="text1"/>
          <w14:textFill>
            <w14:solidFill>
              <w14:schemeClr w14:val="tx1"/>
            </w14:solidFill>
          </w14:textFill>
        </w:rPr>
      </w:pPr>
      <w:r>
        <w:rPr>
          <w:color w:val="000000" w:themeColor="text1"/>
          <w14:textFill>
            <w14:solidFill>
              <w14:schemeClr w14:val="tx1"/>
            </w14:solidFill>
          </w14:textFill>
        </w:rPr>
        <w:t>（2）阀门、法兰等按工艺要求选定，安装后生产单位要认真进行核查确认。</w:t>
      </w:r>
    </w:p>
    <w:p w14:paraId="5B479D5C">
      <w:pPr>
        <w:ind w:firstLine="480"/>
        <w:rPr>
          <w:color w:val="000000" w:themeColor="text1"/>
          <w14:textFill>
            <w14:solidFill>
              <w14:schemeClr w14:val="tx1"/>
            </w14:solidFill>
          </w14:textFill>
        </w:rPr>
      </w:pPr>
      <w:r>
        <w:rPr>
          <w:color w:val="000000" w:themeColor="text1"/>
          <w14:textFill>
            <w14:solidFill>
              <w14:schemeClr w14:val="tx1"/>
            </w14:solidFill>
          </w14:textFill>
        </w:rPr>
        <w:t>（3）所有压力容器、可燃气体检测仪、安全阀以及远距离控制阀等，应按规定周期定期检验，确保安全、灵敏、可靠。</w:t>
      </w:r>
    </w:p>
    <w:p w14:paraId="7882406C">
      <w:pPr>
        <w:ind w:firstLine="480"/>
        <w:rPr>
          <w:bCs/>
          <w:color w:val="000000" w:themeColor="text1"/>
          <w14:textFill>
            <w14:solidFill>
              <w14:schemeClr w14:val="tx1"/>
            </w14:solidFill>
          </w14:textFill>
        </w:rPr>
      </w:pPr>
      <w:r>
        <w:rPr>
          <w:color w:val="000000" w:themeColor="text1"/>
          <w14:textFill>
            <w14:solidFill>
              <w14:schemeClr w14:val="tx1"/>
            </w14:solidFill>
          </w14:textFill>
        </w:rPr>
        <w:t>（4）加强对易腐蚀系统的设备和管线的壁厚监测工作，随时掌握壁厚减薄等情况，以利随时更换腐蚀较严重的设施。</w:t>
      </w:r>
      <w:r>
        <w:rPr>
          <w:color w:val="000000" w:themeColor="text1"/>
          <w:szCs w:val="28"/>
          <w14:textFill>
            <w14:solidFill>
              <w14:schemeClr w14:val="tx1"/>
            </w14:solidFill>
          </w14:textFill>
        </w:rPr>
        <w:t>工艺管道上压力、温度的测量采用就地显示，并设置压力变送器远程显示管道压力。</w:t>
      </w:r>
      <w:r>
        <w:rPr>
          <w:bCs/>
          <w:color w:val="000000" w:themeColor="text1"/>
          <w14:textFill>
            <w14:solidFill>
              <w14:schemeClr w14:val="tx1"/>
            </w14:solidFill>
          </w14:textFill>
        </w:rPr>
        <w:t>压力的测量采用隔膜压力变送器。本项目依托现有仪表控制室内控制系统，对新增管道紧急切断阀门（气动阀）、压力变送器等进行数据采集和集中控制。</w:t>
      </w:r>
    </w:p>
    <w:p w14:paraId="5C55F682">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（5）</w:t>
      </w:r>
      <w:r>
        <w:rPr>
          <w:color w:val="000000" w:themeColor="text1"/>
          <w14:textFill>
            <w14:solidFill>
              <w14:schemeClr w14:val="tx1"/>
            </w14:solidFill>
          </w14:textFill>
        </w:rPr>
        <w:t>对可能释放可燃、有毒气体的码头装卸区等部位设置可燃/有毒气体检测报警器</w:t>
      </w:r>
      <w:r>
        <w:rPr>
          <w:rFonts w:hint="eastAsia"/>
          <w:color w:val="000000" w:themeColor="text1"/>
          <w14:textFill>
            <w14:solidFill>
              <w14:schemeClr w14:val="tx1"/>
            </w14:solidFill>
          </w14:textFill>
        </w:rPr>
        <w:t>。GDS系统对可燃易爆气体泄漏监测显示和报警，通过网络将数据送至DCS系统并由操作员实时监控。</w:t>
      </w:r>
      <w:r>
        <w:rPr>
          <w:color w:val="000000" w:themeColor="text1"/>
          <w14:textFill>
            <w14:solidFill>
              <w14:schemeClr w14:val="tx1"/>
            </w14:solidFill>
          </w14:textFill>
        </w:rPr>
        <w:t>采用计算机控制系统，将化学品</w:t>
      </w:r>
      <w:r>
        <w:rPr>
          <w:rFonts w:hint="eastAsia"/>
          <w:color w:val="000000" w:themeColor="text1"/>
          <w:lang w:eastAsia="zh-CN"/>
          <w14:textFill>
            <w14:solidFill>
              <w14:schemeClr w14:val="tx1"/>
            </w14:solidFill>
          </w14:textFill>
        </w:rPr>
        <w:t>运输</w:t>
      </w:r>
      <w:r>
        <w:rPr>
          <w:color w:val="000000" w:themeColor="text1"/>
          <w14:textFill>
            <w14:solidFill>
              <w14:schemeClr w14:val="tx1"/>
            </w14:solidFill>
          </w14:textFill>
        </w:rPr>
        <w:t>、设备报警和应急监控以及消防设备设施操控统一到中控室。一旦发生化学品泄漏或火灾事故，可确保由计算机发出明确信息，向指挥系统和抢险人员提供快速准确的指令，最大限度</w:t>
      </w:r>
      <w:r>
        <w:rPr>
          <w:rFonts w:hint="eastAsia"/>
          <w:color w:val="000000" w:themeColor="text1"/>
          <w14:textFill>
            <w14:solidFill>
              <w14:schemeClr w14:val="tx1"/>
            </w14:solidFill>
          </w14:textFill>
        </w:rPr>
        <w:t>地</w:t>
      </w:r>
      <w:r>
        <w:rPr>
          <w:color w:val="000000" w:themeColor="text1"/>
          <w14:textFill>
            <w14:solidFill>
              <w14:schemeClr w14:val="tx1"/>
            </w14:solidFill>
          </w14:textFill>
        </w:rPr>
        <w:t>控制事故影响。</w:t>
      </w:r>
    </w:p>
    <w:p w14:paraId="4B7C2498">
      <w:pPr>
        <w:ind w:firstLine="480"/>
        <w:rPr>
          <w:color w:val="000000" w:themeColor="text1"/>
          <w14:textFill>
            <w14:solidFill>
              <w14:schemeClr w14:val="tx1"/>
            </w14:solidFill>
          </w14:textFill>
        </w:rPr>
      </w:pPr>
      <w:r>
        <w:rPr>
          <w:color w:val="000000" w:themeColor="text1"/>
          <w14:textFill>
            <w14:solidFill>
              <w14:schemeClr w14:val="tx1"/>
            </w14:solidFill>
          </w14:textFill>
        </w:rPr>
        <w:t>（</w:t>
      </w:r>
      <w:r>
        <w:rPr>
          <w:rFonts w:hint="eastAsia"/>
          <w:color w:val="000000" w:themeColor="text1"/>
          <w14:textFill>
            <w14:solidFill>
              <w14:schemeClr w14:val="tx1"/>
            </w14:solidFill>
          </w14:textFill>
        </w:rPr>
        <w:t>6</w:t>
      </w:r>
      <w:r>
        <w:rPr>
          <w:color w:val="000000" w:themeColor="text1"/>
          <w14:textFill>
            <w14:solidFill>
              <w14:schemeClr w14:val="tx1"/>
            </w14:solidFill>
          </w14:textFill>
        </w:rPr>
        <w:t>）工艺管线设置防静电接地装置，管线应采取防腐措施。</w:t>
      </w:r>
    </w:p>
    <w:p w14:paraId="51E54FD6">
      <w:pPr>
        <w:ind w:firstLine="480"/>
        <w:rPr>
          <w:color w:val="000000" w:themeColor="text1"/>
          <w14:textFill>
            <w14:solidFill>
              <w14:schemeClr w14:val="tx1"/>
            </w14:solidFill>
          </w14:textFill>
        </w:rPr>
      </w:pPr>
      <w:r>
        <w:rPr>
          <w:color w:val="000000" w:themeColor="text1"/>
          <w14:textFill>
            <w14:solidFill>
              <w14:schemeClr w14:val="tx1"/>
            </w14:solidFill>
          </w14:textFill>
        </w:rPr>
        <w:t>（</w:t>
      </w:r>
      <w:r>
        <w:rPr>
          <w:rFonts w:hint="eastAsia"/>
          <w:color w:val="000000" w:themeColor="text1"/>
          <w14:textFill>
            <w14:solidFill>
              <w14:schemeClr w14:val="tx1"/>
            </w14:solidFill>
          </w14:textFill>
        </w:rPr>
        <w:t>7</w:t>
      </w:r>
      <w:r>
        <w:rPr>
          <w:color w:val="000000" w:themeColor="text1"/>
          <w14:textFill>
            <w14:solidFill>
              <w14:schemeClr w14:val="tx1"/>
            </w14:solidFill>
          </w14:textFill>
        </w:rPr>
        <w:t>）在金属软管根部设置的工艺管线紧急切断阀门，当采用电动控制方式时，还应有手动操作功能，并有操作</w:t>
      </w:r>
      <w:r>
        <w:rPr>
          <w:rFonts w:hint="eastAsia"/>
          <w:color w:val="000000" w:themeColor="text1"/>
          <w14:textFill>
            <w14:solidFill>
              <w14:schemeClr w14:val="tx1"/>
            </w14:solidFill>
          </w14:textFill>
        </w:rPr>
        <w:t>标识牌</w:t>
      </w:r>
      <w:r>
        <w:rPr>
          <w:color w:val="000000" w:themeColor="text1"/>
          <w14:textFill>
            <w14:solidFill>
              <w14:schemeClr w14:val="tx1"/>
            </w14:solidFill>
          </w14:textFill>
        </w:rPr>
        <w:t>。安装固定可燃报警仪器，并配备便携式可燃气体报警仪。</w:t>
      </w:r>
    </w:p>
    <w:p w14:paraId="2FD74BC3">
      <w:pPr>
        <w:ind w:firstLine="480"/>
        <w:rPr>
          <w:color w:val="000000" w:themeColor="text1"/>
          <w14:textFill>
            <w14:solidFill>
              <w14:schemeClr w14:val="tx1"/>
            </w14:solidFill>
          </w14:textFill>
        </w:rPr>
      </w:pPr>
      <w:r>
        <w:rPr>
          <w:color w:val="000000" w:themeColor="text1"/>
          <w14:textFill>
            <w14:solidFill>
              <w14:schemeClr w14:val="tx1"/>
            </w14:solidFill>
          </w14:textFill>
        </w:rPr>
        <w:t>（</w:t>
      </w:r>
      <w:r>
        <w:rPr>
          <w:rFonts w:hint="eastAsia"/>
          <w:color w:val="000000" w:themeColor="text1"/>
          <w14:textFill>
            <w14:solidFill>
              <w14:schemeClr w14:val="tx1"/>
            </w14:solidFill>
          </w14:textFill>
        </w:rPr>
        <w:t>8</w:t>
      </w:r>
      <w:r>
        <w:rPr>
          <w:color w:val="000000" w:themeColor="text1"/>
          <w14:textFill>
            <w14:solidFill>
              <w14:schemeClr w14:val="tx1"/>
            </w14:solidFill>
          </w14:textFill>
        </w:rPr>
        <w:t>）扫线介质压力应满足扫线作业的要求，并不得大于被扫工艺管道设计的压力。工艺管道的排液和排气口应设置放空阀。</w:t>
      </w:r>
    </w:p>
    <w:p w14:paraId="6A20FC14">
      <w:pPr>
        <w:ind w:firstLine="480"/>
        <w:rPr>
          <w:color w:val="000000" w:themeColor="text1"/>
          <w14:textFill>
            <w14:solidFill>
              <w14:schemeClr w14:val="tx1"/>
            </w14:solidFill>
          </w14:textFill>
        </w:rPr>
      </w:pPr>
      <w:r>
        <w:rPr>
          <w:color w:val="000000" w:themeColor="text1"/>
          <w14:textFill>
            <w14:solidFill>
              <w14:schemeClr w14:val="tx1"/>
            </w14:solidFill>
          </w14:textFill>
        </w:rPr>
        <w:t>（</w:t>
      </w:r>
      <w:r>
        <w:rPr>
          <w:rFonts w:hint="eastAsia"/>
          <w:color w:val="000000" w:themeColor="text1"/>
          <w14:textFill>
            <w14:solidFill>
              <w14:schemeClr w14:val="tx1"/>
            </w14:solidFill>
          </w14:textFill>
        </w:rPr>
        <w:t>9</w:t>
      </w:r>
      <w:r>
        <w:rPr>
          <w:color w:val="000000" w:themeColor="text1"/>
          <w14:textFill>
            <w14:solidFill>
              <w14:schemeClr w14:val="tx1"/>
            </w14:solidFill>
          </w14:textFill>
        </w:rPr>
        <w:t>）建立重大危险源的特征污染物的自动报警和控制系统</w:t>
      </w:r>
      <w:r>
        <w:rPr>
          <w:rFonts w:hint="eastAsia"/>
          <w:color w:val="000000" w:themeColor="text1"/>
          <w14:textFill>
            <w14:solidFill>
              <w14:schemeClr w14:val="tx1"/>
            </w14:solidFill>
          </w14:textFill>
        </w:rPr>
        <w:t>，并</w:t>
      </w:r>
      <w:r>
        <w:rPr>
          <w:color w:val="000000" w:themeColor="text1"/>
          <w14:textFill>
            <w14:solidFill>
              <w14:schemeClr w14:val="tx1"/>
            </w14:solidFill>
          </w14:textFill>
        </w:rPr>
        <w:t>配备事故初级救护器材和</w:t>
      </w:r>
      <w:r>
        <w:rPr>
          <w:rFonts w:hint="eastAsia"/>
          <w:color w:val="000000" w:themeColor="text1"/>
          <w14:textFill>
            <w14:solidFill>
              <w14:schemeClr w14:val="tx1"/>
            </w14:solidFill>
          </w14:textFill>
        </w:rPr>
        <w:t>物资</w:t>
      </w:r>
      <w:r>
        <w:rPr>
          <w:color w:val="000000" w:themeColor="text1"/>
          <w14:textFill>
            <w14:solidFill>
              <w14:schemeClr w14:val="tx1"/>
            </w14:solidFill>
          </w14:textFill>
        </w:rPr>
        <w:t>。</w:t>
      </w:r>
    </w:p>
    <w:p w14:paraId="0F9D939D">
      <w:pPr>
        <w:ind w:firstLine="480"/>
        <w:rPr>
          <w:color w:val="000000" w:themeColor="text1"/>
          <w14:textFill>
            <w14:solidFill>
              <w14:schemeClr w14:val="tx1"/>
            </w14:solidFill>
          </w14:textFill>
        </w:rPr>
      </w:pPr>
      <w:r>
        <w:rPr>
          <w:color w:val="000000" w:themeColor="text1"/>
          <w14:textFill>
            <w14:solidFill>
              <w14:schemeClr w14:val="tx1"/>
            </w14:solidFill>
          </w14:textFill>
        </w:rPr>
        <w:t>（</w:t>
      </w:r>
      <w:r>
        <w:rPr>
          <w:rFonts w:hint="eastAsia"/>
          <w:color w:val="000000" w:themeColor="text1"/>
          <w14:textFill>
            <w14:solidFill>
              <w14:schemeClr w14:val="tx1"/>
            </w14:solidFill>
          </w14:textFill>
        </w:rPr>
        <w:t>10</w:t>
      </w:r>
      <w:r>
        <w:rPr>
          <w:color w:val="000000" w:themeColor="text1"/>
          <w14:textFill>
            <w14:solidFill>
              <w14:schemeClr w14:val="tx1"/>
            </w14:solidFill>
          </w14:textFill>
        </w:rPr>
        <w:t>）保证所有节点阀门封闭，焊点和管道接头处设置接收盘，收集的化学品应由有危险废物资质的单位处置，不得随意丢弃。</w:t>
      </w:r>
    </w:p>
    <w:p w14:paraId="0A0FCCA4">
      <w:pPr>
        <w:ind w:firstLine="480"/>
        <w:rPr>
          <w:color w:val="000000" w:themeColor="text1"/>
          <w14:textFill>
            <w14:solidFill>
              <w14:schemeClr w14:val="tx1"/>
            </w14:solidFill>
          </w14:textFill>
        </w:rPr>
      </w:pPr>
      <w:r>
        <w:rPr>
          <w:color w:val="000000" w:themeColor="text1"/>
          <w14:textFill>
            <w14:solidFill>
              <w14:schemeClr w14:val="tx1"/>
            </w14:solidFill>
          </w14:textFill>
        </w:rPr>
        <w:t>（1</w:t>
      </w:r>
      <w:r>
        <w:rPr>
          <w:rFonts w:hint="eastAsia"/>
          <w:color w:val="000000" w:themeColor="text1"/>
          <w14:textFill>
            <w14:solidFill>
              <w14:schemeClr w14:val="tx1"/>
            </w14:solidFill>
          </w14:textFill>
        </w:rPr>
        <w:t>1</w:t>
      </w:r>
      <w:r>
        <w:rPr>
          <w:color w:val="000000" w:themeColor="text1"/>
          <w14:textFill>
            <w14:solidFill>
              <w14:schemeClr w14:val="tx1"/>
            </w14:solidFill>
          </w14:textFill>
        </w:rPr>
        <w:t>）规范船舶装卸作业行为。船岸双方应严格落实船岸安全检查制度，认真执行操作规程，遵守安全注意事项，合理控制装卸货物的压力、流速等参数，加强值班和巡视，注意作业现场及周边环境，维护船舶靠泊秩序，合理为船舶积载，确保船岸双方的安全。</w:t>
      </w:r>
    </w:p>
    <w:p w14:paraId="2FA9CFEE">
      <w:pPr>
        <w:ind w:firstLine="480"/>
        <w:rPr>
          <w:color w:val="000000" w:themeColor="text1"/>
          <w14:textFill>
            <w14:solidFill>
              <w14:schemeClr w14:val="tx1"/>
            </w14:solidFill>
          </w14:textFill>
        </w:rPr>
      </w:pPr>
      <w:r>
        <w:rPr>
          <w:color w:val="000000" w:themeColor="text1"/>
          <w14:textFill>
            <w14:solidFill>
              <w14:schemeClr w14:val="tx1"/>
            </w14:solidFill>
          </w14:textFill>
        </w:rPr>
        <w:t>（1</w:t>
      </w:r>
      <w:r>
        <w:rPr>
          <w:rFonts w:hint="eastAsia"/>
          <w:color w:val="000000" w:themeColor="text1"/>
          <w14:textFill>
            <w14:solidFill>
              <w14:schemeClr w14:val="tx1"/>
            </w14:solidFill>
          </w14:textFill>
        </w:rPr>
        <w:t>2</w:t>
      </w:r>
      <w:r>
        <w:rPr>
          <w:color w:val="000000" w:themeColor="text1"/>
          <w14:textFill>
            <w14:solidFill>
              <w14:schemeClr w14:val="tx1"/>
            </w14:solidFill>
          </w14:textFill>
        </w:rPr>
        <w:t>）船舶停靠码头后，在进行装卸作业前，检查管路、阀门等有关设备，使其处于良好状态，检查双方系泊是否安全。</w:t>
      </w:r>
    </w:p>
    <w:p w14:paraId="62445B8B">
      <w:pPr>
        <w:ind w:firstLine="480"/>
        <w:rPr>
          <w:color w:val="000000" w:themeColor="text1"/>
          <w14:textFill>
            <w14:solidFill>
              <w14:schemeClr w14:val="tx1"/>
            </w14:solidFill>
          </w14:textFill>
        </w:rPr>
      </w:pPr>
      <w:r>
        <w:rPr>
          <w:color w:val="000000" w:themeColor="text1"/>
          <w14:textFill>
            <w14:solidFill>
              <w14:schemeClr w14:val="tx1"/>
            </w14:solidFill>
          </w14:textFill>
        </w:rPr>
        <w:t>（1</w:t>
      </w:r>
      <w:r>
        <w:rPr>
          <w:rFonts w:hint="eastAsia"/>
          <w:color w:val="000000" w:themeColor="text1"/>
          <w14:textFill>
            <w14:solidFill>
              <w14:schemeClr w14:val="tx1"/>
            </w14:solidFill>
          </w14:textFill>
        </w:rPr>
        <w:t>3</w:t>
      </w:r>
      <w:r>
        <w:rPr>
          <w:color w:val="000000" w:themeColor="text1"/>
          <w14:textFill>
            <w14:solidFill>
              <w14:schemeClr w14:val="tx1"/>
            </w14:solidFill>
          </w14:textFill>
        </w:rPr>
        <w:t>）配备与靠泊船舶相适应的消拖轮，消拖轮的功率和消防供水量应满足船舶的应急需要。</w:t>
      </w:r>
    </w:p>
    <w:p w14:paraId="2E22ABC9">
      <w:pPr>
        <w:ind w:firstLine="480"/>
        <w:rPr>
          <w:color w:val="000000" w:themeColor="text1"/>
          <w14:textFill>
            <w14:solidFill>
              <w14:schemeClr w14:val="tx1"/>
            </w14:solidFill>
          </w14:textFill>
        </w:rPr>
      </w:pPr>
      <w:r>
        <w:rPr>
          <w:color w:val="000000" w:themeColor="text1"/>
          <w14:textFill>
            <w14:solidFill>
              <w14:schemeClr w14:val="tx1"/>
            </w14:solidFill>
          </w14:textFill>
        </w:rPr>
        <w:t>（1</w:t>
      </w:r>
      <w:r>
        <w:rPr>
          <w:rFonts w:hint="eastAsia"/>
          <w:color w:val="000000" w:themeColor="text1"/>
          <w14:textFill>
            <w14:solidFill>
              <w14:schemeClr w14:val="tx1"/>
            </w14:solidFill>
          </w14:textFill>
        </w:rPr>
        <w:t>4</w:t>
      </w:r>
      <w:r>
        <w:rPr>
          <w:color w:val="000000" w:themeColor="text1"/>
          <w14:textFill>
            <w14:solidFill>
              <w14:schemeClr w14:val="tx1"/>
            </w14:solidFill>
          </w14:textFill>
        </w:rPr>
        <w:t>）利用实时监控设备，对船舶靠离泊、装卸作业过程进行实时远程监控，一旦出现险情，及时反应，防止事态扩大。</w:t>
      </w:r>
    </w:p>
    <w:p w14:paraId="06BA42DF">
      <w:pPr>
        <w:ind w:firstLine="480"/>
        <w:rPr>
          <w:color w:val="000000" w:themeColor="text1"/>
          <w14:textFill>
            <w14:solidFill>
              <w14:schemeClr w14:val="tx1"/>
            </w14:solidFill>
          </w14:textFill>
        </w:rPr>
      </w:pPr>
      <w:r>
        <w:rPr>
          <w:color w:val="000000" w:themeColor="text1"/>
          <w14:textFill>
            <w14:solidFill>
              <w14:schemeClr w14:val="tx1"/>
            </w14:solidFill>
          </w14:textFill>
        </w:rPr>
        <w:t>（1</w:t>
      </w:r>
      <w:r>
        <w:rPr>
          <w:rFonts w:hint="eastAsia"/>
          <w:color w:val="000000" w:themeColor="text1"/>
          <w14:textFill>
            <w14:solidFill>
              <w14:schemeClr w14:val="tx1"/>
            </w14:solidFill>
          </w14:textFill>
        </w:rPr>
        <w:t>5</w:t>
      </w:r>
      <w:r>
        <w:rPr>
          <w:color w:val="000000" w:themeColor="text1"/>
          <w14:textFill>
            <w14:solidFill>
              <w14:schemeClr w14:val="tx1"/>
            </w14:solidFill>
          </w14:textFill>
        </w:rPr>
        <w:t>）建设单位应根据化学品输送管道的特点加强环境健康安全的管理；建立健全的岗位操作规程和管理程序，并确保贯彻执行。调度人员应熟悉管辖范围内的工艺流程和管道的运行情况，能根据管道的输送量、环境条件，确定其输送温度和输送方案；能根据管道运行参数的变化，判断管道运行是否正常，并能够及时采取措施，消除管道的事故隐患。</w:t>
      </w:r>
    </w:p>
    <w:p w14:paraId="09D9D2E5">
      <w:pPr>
        <w:pStyle w:val="13"/>
        <w:ind w:firstLine="480"/>
        <w:rPr>
          <w:color w:val="000000" w:themeColor="text1"/>
          <w:sz w:val="24"/>
          <w:u w:val="single"/>
          <w14:textFill>
            <w14:solidFill>
              <w14:schemeClr w14:val="tx1"/>
            </w14:solidFill>
          </w14:textFill>
        </w:rPr>
      </w:pPr>
      <w:r>
        <w:rPr>
          <w:rFonts w:hint="eastAsia"/>
          <w:color w:val="000000" w:themeColor="text1"/>
          <w:sz w:val="24"/>
          <w:u w:val="single"/>
          <w14:textFill>
            <w14:solidFill>
              <w14:schemeClr w14:val="tx1"/>
            </w14:solidFill>
          </w14:textFill>
        </w:rPr>
        <w:t>（16）上述的管理措施完全满足拟建项目的要求。</w:t>
      </w:r>
    </w:p>
    <w:p w14:paraId="0827D78A">
      <w:pPr>
        <w:pStyle w:val="4"/>
        <w:rPr>
          <w:color w:val="000000" w:themeColor="text1"/>
          <w14:textFill>
            <w14:solidFill>
              <w14:schemeClr w14:val="tx1"/>
            </w14:solidFill>
          </w14:textFill>
        </w:rPr>
      </w:pPr>
      <w:r>
        <w:rPr>
          <w:color w:val="000000" w:themeColor="text1"/>
          <w14:textFill>
            <w14:solidFill>
              <w14:schemeClr w14:val="tx1"/>
            </w14:solidFill>
          </w14:textFill>
        </w:rPr>
        <w:t>风险应急措施</w:t>
      </w:r>
    </w:p>
    <w:p w14:paraId="10144981">
      <w:pPr>
        <w:pStyle w:val="6"/>
        <w:ind w:left="0"/>
        <w:rPr>
          <w:color w:val="000000" w:themeColor="text1"/>
          <w14:textFill>
            <w14:solidFill>
              <w14:schemeClr w14:val="tx1"/>
            </w14:solidFill>
          </w14:textFill>
        </w:rPr>
      </w:pPr>
      <w:r>
        <w:rPr>
          <w:color w:val="000000" w:themeColor="text1"/>
          <w14:textFill>
            <w14:solidFill>
              <w14:schemeClr w14:val="tx1"/>
            </w14:solidFill>
          </w14:textFill>
        </w:rPr>
        <w:t>现有风险事故应急措施</w:t>
      </w:r>
    </w:p>
    <w:p w14:paraId="2F522735">
      <w:pPr>
        <w:ind w:firstLine="480"/>
        <w:rPr>
          <w:color w:val="000000" w:themeColor="text1"/>
          <w14:textFill>
            <w14:solidFill>
              <w14:schemeClr w14:val="tx1"/>
            </w14:solidFill>
          </w14:textFill>
        </w:rPr>
      </w:pPr>
      <w:r>
        <w:rPr>
          <w:color w:val="000000" w:themeColor="text1"/>
          <w14:textFill>
            <w14:solidFill>
              <w14:schemeClr w14:val="tx1"/>
            </w14:solidFill>
          </w14:textFill>
        </w:rPr>
        <w:t>为防止出现灾害事故，减少风险，要求项目工程设计、施工和运行，要科学规划，合理布置，严格按照防火安全设计规范设计，保证施工质量，严格安全生产制度，严格管理，提高操作人员素质和水平，以减少事故的发生。风险事故发生后，应根据事故严重情况采取相应的应急措施，控制事态发展，减缓事故灾害。</w:t>
      </w:r>
    </w:p>
    <w:p w14:paraId="22C5E8A5">
      <w:pPr>
        <w:pStyle w:val="6"/>
        <w:ind w:left="0"/>
        <w:rPr>
          <w:color w:val="000000" w:themeColor="text1"/>
          <w14:textFill>
            <w14:solidFill>
              <w14:schemeClr w14:val="tx1"/>
            </w14:solidFill>
          </w14:textFill>
        </w:rPr>
      </w:pPr>
      <w:r>
        <w:rPr>
          <w:color w:val="000000" w:themeColor="text1"/>
          <w14:textFill>
            <w14:solidFill>
              <w14:schemeClr w14:val="tx1"/>
            </w14:solidFill>
          </w14:textFill>
        </w:rPr>
        <w:t>现有化学品泄漏处置措施</w:t>
      </w:r>
    </w:p>
    <w:p w14:paraId="3BE8FF71">
      <w:pPr>
        <w:ind w:firstLine="480"/>
        <w:rPr>
          <w:color w:val="000000" w:themeColor="text1"/>
          <w14:textFill>
            <w14:solidFill>
              <w14:schemeClr w14:val="tx1"/>
            </w14:solidFill>
          </w14:textFill>
        </w:rPr>
      </w:pPr>
      <w:r>
        <w:rPr>
          <w:color w:val="000000" w:themeColor="text1"/>
          <w14:textFill>
            <w14:solidFill>
              <w14:schemeClr w14:val="tx1"/>
            </w14:solidFill>
          </w14:textFill>
        </w:rPr>
        <w:t>应急处理方案应当从化学品泄漏行为动态、危险危害特性、事故规模、海况条件、处理设备性能等方面入手，充分考虑应急行动的应急措施的安全性、经济性和有效性，其中化学品泄漏行为动态是首要考虑因素。</w:t>
      </w:r>
    </w:p>
    <w:p w14:paraId="73C20EE8">
      <w:pPr>
        <w:ind w:firstLine="480"/>
        <w:rPr>
          <w:color w:val="000000" w:themeColor="text1"/>
          <w14:textFill>
            <w14:solidFill>
              <w14:schemeClr w14:val="tx1"/>
            </w14:solidFill>
          </w14:textFill>
        </w:rPr>
      </w:pPr>
      <w:r>
        <w:rPr>
          <w:color w:val="000000" w:themeColor="text1"/>
          <w14:textFill>
            <w14:solidFill>
              <w14:schemeClr w14:val="tx1"/>
            </w14:solidFill>
          </w14:textFill>
        </w:rPr>
        <w:t>（</w:t>
      </w:r>
      <w:r>
        <w:rPr>
          <w:rFonts w:hint="eastAsia"/>
          <w:color w:val="000000" w:themeColor="text1"/>
          <w14:textFill>
            <w14:solidFill>
              <w14:schemeClr w14:val="tx1"/>
            </w14:solidFill>
          </w14:textFill>
        </w:rPr>
        <w:t>1</w:t>
      </w:r>
      <w:r>
        <w:rPr>
          <w:color w:val="000000" w:themeColor="text1"/>
          <w14:textFill>
            <w14:solidFill>
              <w14:schemeClr w14:val="tx1"/>
            </w14:solidFill>
          </w14:textFill>
        </w:rPr>
        <w:t>）挥发类化学品</w:t>
      </w:r>
    </w:p>
    <w:p w14:paraId="268060B1">
      <w:pPr>
        <w:ind w:firstLine="480"/>
        <w:rPr>
          <w:color w:val="000000" w:themeColor="text1"/>
          <w14:textFill>
            <w14:solidFill>
              <w14:schemeClr w14:val="tx1"/>
            </w14:solidFill>
          </w14:textFill>
        </w:rPr>
      </w:pPr>
      <w:r>
        <w:rPr>
          <w:color w:val="000000" w:themeColor="text1"/>
          <w14:textFill>
            <w14:solidFill>
              <w14:schemeClr w14:val="tx1"/>
            </w14:solidFill>
          </w14:textFill>
        </w:rPr>
        <w:t>挥发类化学品泄漏处理难度很大，其造成环境危害的程度主要从有害蒸气浓度及其持续时间两个方面衡量。因此，在处理此类化学品泄漏事故时，应定量描述散化事故中蒸汽危害区（一定浓度的有害蒸气的空间范围）与事故危害期（有害蒸汽持续时间）；对于稳定烟流排放，计算出危害区最大下风向距离及最大横风向危害距离。</w:t>
      </w:r>
    </w:p>
    <w:p w14:paraId="5319050F">
      <w:pPr>
        <w:ind w:firstLine="480"/>
        <w:rPr>
          <w:color w:val="000000" w:themeColor="text1"/>
          <w14:textFill>
            <w14:solidFill>
              <w14:schemeClr w14:val="tx1"/>
            </w14:solidFill>
          </w14:textFill>
        </w:rPr>
      </w:pPr>
      <w:r>
        <w:rPr>
          <w:color w:val="000000" w:themeColor="text1"/>
          <w14:textFill>
            <w14:solidFill>
              <w14:schemeClr w14:val="tx1"/>
            </w14:solidFill>
          </w14:textFill>
        </w:rPr>
        <w:t>根据模拟计算结果和有毒蒸气对人员的伤害浓度剂量标准，划定危险区域，对危险区域内的人群实施掩蔽或疏散。在气体和蒸气大量释放的情况下，唯一可行的应对措施是回避。</w:t>
      </w:r>
    </w:p>
    <w:p w14:paraId="455BA5E3">
      <w:pPr>
        <w:ind w:firstLine="480"/>
        <w:rPr>
          <w:color w:val="000000" w:themeColor="text1"/>
          <w14:textFill>
            <w14:solidFill>
              <w14:schemeClr w14:val="tx1"/>
            </w14:solidFill>
          </w14:textFill>
        </w:rPr>
      </w:pPr>
      <w:r>
        <w:rPr>
          <w:color w:val="000000" w:themeColor="text1"/>
          <w14:textFill>
            <w14:solidFill>
              <w14:schemeClr w14:val="tx1"/>
            </w14:solidFill>
          </w14:textFill>
        </w:rPr>
        <w:t>泄漏蒸发物的另外一个危害在于可能造成火灾爆炸危险。当可燃混合气体的浓度超过爆炸下限（LEL）就会有发生爆炸的危险。一般情况下通过扩散模型计算蒸气大致浓度，并用仪器检测气体浓度是否达到10%LEL，以确定火灾危险区域的外部边界。</w:t>
      </w:r>
    </w:p>
    <w:p w14:paraId="79441FFB">
      <w:pPr>
        <w:ind w:firstLine="480"/>
        <w:rPr>
          <w:color w:val="000000" w:themeColor="text1"/>
          <w14:textFill>
            <w14:solidFill>
              <w14:schemeClr w14:val="tx1"/>
            </w14:solidFill>
          </w14:textFill>
        </w:rPr>
      </w:pPr>
      <w:r>
        <w:rPr>
          <w:color w:val="000000" w:themeColor="text1"/>
          <w14:textFill>
            <w14:solidFill>
              <w14:schemeClr w14:val="tx1"/>
            </w14:solidFill>
          </w14:textFill>
        </w:rPr>
        <w:t>当泄漏蒸气浓度通过大气或水的消散或稀释而降至可接受的水平时，最终宣布安全。</w:t>
      </w:r>
    </w:p>
    <w:p w14:paraId="499EB95F">
      <w:pPr>
        <w:ind w:firstLine="480"/>
        <w:rPr>
          <w:color w:val="000000" w:themeColor="text1"/>
          <w14:textFill>
            <w14:solidFill>
              <w14:schemeClr w14:val="tx1"/>
            </w14:solidFill>
          </w14:textFill>
        </w:rPr>
      </w:pPr>
      <w:r>
        <w:rPr>
          <w:color w:val="000000" w:themeColor="text1"/>
          <w14:textFill>
            <w14:solidFill>
              <w14:schemeClr w14:val="tx1"/>
            </w14:solidFill>
          </w14:textFill>
        </w:rPr>
        <w:t>（</w:t>
      </w:r>
      <w:r>
        <w:rPr>
          <w:rFonts w:hint="eastAsia"/>
          <w:color w:val="000000" w:themeColor="text1"/>
          <w14:textFill>
            <w14:solidFill>
              <w14:schemeClr w14:val="tx1"/>
            </w14:solidFill>
          </w14:textFill>
        </w:rPr>
        <w:t>2</w:t>
      </w:r>
      <w:r>
        <w:rPr>
          <w:color w:val="000000" w:themeColor="text1"/>
          <w14:textFill>
            <w14:solidFill>
              <w14:schemeClr w14:val="tx1"/>
            </w14:solidFill>
          </w14:textFill>
        </w:rPr>
        <w:t>）漂浮在水面的化学品</w:t>
      </w:r>
    </w:p>
    <w:p w14:paraId="41D0BB27">
      <w:pPr>
        <w:ind w:firstLine="480"/>
        <w:rPr>
          <w:color w:val="000000" w:themeColor="text1"/>
          <w14:textFill>
            <w14:solidFill>
              <w14:schemeClr w14:val="tx1"/>
            </w14:solidFill>
          </w14:textFill>
        </w:rPr>
      </w:pPr>
      <w:r>
        <w:rPr>
          <w:color w:val="000000" w:themeColor="text1"/>
          <w14:textFill>
            <w14:solidFill>
              <w14:schemeClr w14:val="tx1"/>
            </w14:solidFill>
          </w14:textFill>
        </w:rPr>
        <w:t>漂浮在水面的有毒液体物质进入水面后的基本状态有四种：FD类（边漂浮边溶解于水）、FE类（边漂浮边蒸发到空气中）、FED类（边漂浮边蒸发边溶解于水）和F类（既不溶解也不蒸发）。</w:t>
      </w:r>
      <w:r>
        <w:rPr>
          <w:rFonts w:hint="eastAsia"/>
          <w:color w:val="000000" w:themeColor="text1"/>
          <w14:textFill>
            <w14:solidFill>
              <w14:schemeClr w14:val="tx1"/>
            </w14:solidFill>
          </w14:textFill>
        </w:rPr>
        <w:t>在采用适当的处理剂或吸附剂处理后，可用不同类型的撇油器回收。这类化学品泄漏可借鉴海上溢油的防治技术，加以调整，如下图</w:t>
      </w:r>
      <w:r>
        <w:rPr>
          <w:color w:val="000000" w:themeColor="text1"/>
          <w14:textFill>
            <w14:solidFill>
              <w14:schemeClr w14:val="tx1"/>
            </w14:solidFill>
          </w14:textFill>
        </w:rPr>
        <w:t>5.</w:t>
      </w:r>
      <w:r>
        <w:rPr>
          <w:rFonts w:hint="eastAsia"/>
          <w:color w:val="000000" w:themeColor="text1"/>
          <w14:textFill>
            <w14:solidFill>
              <w14:schemeClr w14:val="tx1"/>
            </w14:solidFill>
          </w14:textFill>
        </w:rPr>
        <w:t>7-1所示。具体应急措施包括：</w:t>
      </w:r>
    </w:p>
    <w:p w14:paraId="349AE09B">
      <w:pPr>
        <w:spacing w:line="240" w:lineRule="auto"/>
        <w:ind w:firstLine="0" w:firstLineChars="0"/>
        <w:jc w:val="center"/>
        <w:rPr>
          <w:color w:val="000000" w:themeColor="text1"/>
          <w:sz w:val="20"/>
          <w:szCs w:val="20"/>
          <w14:textFill>
            <w14:solidFill>
              <w14:schemeClr w14:val="tx1"/>
            </w14:solidFill>
          </w14:textFill>
        </w:rPr>
      </w:pPr>
      <w:r>
        <w:rPr>
          <w:color w:val="000000" w:themeColor="text1"/>
          <w:sz w:val="20"/>
          <w:szCs w:val="20"/>
          <w14:textFill>
            <w14:solidFill>
              <w14:schemeClr w14:val="tx1"/>
            </w14:solidFill>
          </w14:textFill>
        </w:rPr>
        <w:drawing>
          <wp:inline distT="0" distB="0" distL="0" distR="0">
            <wp:extent cx="4105275" cy="2466975"/>
            <wp:effectExtent l="0" t="0" r="9525" b="9525"/>
            <wp:docPr id="286" name="图片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286"/>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a:xfrm>
                      <a:off x="0" y="0"/>
                      <a:ext cx="4105275" cy="2466975"/>
                    </a:xfrm>
                    <a:prstGeom prst="rect">
                      <a:avLst/>
                    </a:prstGeom>
                    <a:noFill/>
                    <a:ln>
                      <a:noFill/>
                    </a:ln>
                    <a:effectLst/>
                  </pic:spPr>
                </pic:pic>
              </a:graphicData>
            </a:graphic>
          </wp:inline>
        </w:drawing>
      </w:r>
    </w:p>
    <w:p w14:paraId="1ADC147D">
      <w:pPr>
        <w:spacing w:line="240" w:lineRule="auto"/>
        <w:ind w:firstLine="0" w:firstLineChars="0"/>
        <w:jc w:val="center"/>
        <w:rPr>
          <w:b/>
          <w:color w:val="000000" w:themeColor="text1"/>
          <w14:textFill>
            <w14:solidFill>
              <w14:schemeClr w14:val="tx1"/>
            </w14:solidFill>
          </w14:textFill>
        </w:rPr>
      </w:pPr>
      <w:r>
        <w:rPr>
          <w:rFonts w:hint="eastAsia"/>
          <w:b/>
          <w:color w:val="000000" w:themeColor="text1"/>
          <w14:textFill>
            <w14:solidFill>
              <w14:schemeClr w14:val="tx1"/>
            </w14:solidFill>
          </w14:textFill>
        </w:rPr>
        <w:t xml:space="preserve">图5.7-1 </w:t>
      </w:r>
      <w:r>
        <w:rPr>
          <w:b/>
          <w:color w:val="000000" w:themeColor="text1"/>
          <w14:textFill>
            <w14:solidFill>
              <w14:schemeClr w14:val="tx1"/>
            </w14:solidFill>
          </w14:textFill>
        </w:rPr>
        <w:t xml:space="preserve"> </w:t>
      </w:r>
      <w:r>
        <w:rPr>
          <w:rFonts w:hint="eastAsia"/>
          <w:b/>
          <w:color w:val="000000" w:themeColor="text1"/>
          <w14:textFill>
            <w14:solidFill>
              <w14:schemeClr w14:val="tx1"/>
            </w14:solidFill>
          </w14:textFill>
        </w:rPr>
        <w:t>化学品泄漏防治技术流程图</w:t>
      </w:r>
    </w:p>
    <w:p w14:paraId="034C5C8A">
      <w:pPr>
        <w:ind w:firstLine="480"/>
        <w:rPr>
          <w:color w:val="000000" w:themeColor="text1"/>
          <w14:textFill>
            <w14:solidFill>
              <w14:schemeClr w14:val="tx1"/>
            </w14:solidFill>
          </w14:textFill>
        </w:rPr>
      </w:pPr>
      <w:r>
        <w:rPr>
          <w:rFonts w:hint="eastAsia" w:cs="宋体"/>
          <w:color w:val="000000" w:themeColor="text1"/>
          <w14:textFill>
            <w14:solidFill>
              <w14:schemeClr w14:val="tx1"/>
            </w14:solidFill>
          </w14:textFill>
        </w:rPr>
        <w:t>①</w:t>
      </w:r>
      <w:r>
        <w:rPr>
          <w:rFonts w:hint="eastAsia"/>
          <w:color w:val="000000" w:themeColor="text1"/>
          <w14:textFill>
            <w14:solidFill>
              <w14:schemeClr w14:val="tx1"/>
            </w14:solidFill>
          </w14:textFill>
        </w:rPr>
        <w:t>围油栏围控。为了防止漂浮型危险品的扩散，便于漂浮型危险化学品的清除，而采用的一种能够把危险化学品漂浮层限制在一定范围的方法。</w:t>
      </w:r>
    </w:p>
    <w:p w14:paraId="65A96D0A">
      <w:pPr>
        <w:ind w:firstLine="480"/>
        <w:rPr>
          <w:color w:val="000000" w:themeColor="text1"/>
          <w14:textFill>
            <w14:solidFill>
              <w14:schemeClr w14:val="tx1"/>
            </w14:solidFill>
          </w14:textFill>
        </w:rPr>
      </w:pPr>
      <w:r>
        <w:rPr>
          <w:rFonts w:hint="eastAsia" w:cs="宋体"/>
          <w:color w:val="000000" w:themeColor="text1"/>
          <w14:textFill>
            <w14:solidFill>
              <w14:schemeClr w14:val="tx1"/>
            </w14:solidFill>
          </w14:textFill>
        </w:rPr>
        <w:t>②</w:t>
      </w:r>
      <w:r>
        <w:rPr>
          <w:rFonts w:hint="eastAsia"/>
          <w:color w:val="000000" w:themeColor="text1"/>
          <w14:textFill>
            <w14:solidFill>
              <w14:schemeClr w14:val="tx1"/>
            </w14:solidFill>
          </w14:textFill>
        </w:rPr>
        <w:t>分散剂法。喷洒分散剂能使漂浮型危险化学品分散成微小颗粒，使其在波浪或外加搅拌力的作用下分散到水体中，从而加速水上危险化学品被水中微生物降解的过程，达到降低污染的目的。</w:t>
      </w:r>
    </w:p>
    <w:p w14:paraId="5787A6C9">
      <w:pPr>
        <w:ind w:firstLine="480"/>
        <w:rPr>
          <w:color w:val="000000" w:themeColor="text1"/>
          <w14:textFill>
            <w14:solidFill>
              <w14:schemeClr w14:val="tx1"/>
            </w14:solidFill>
          </w14:textFill>
        </w:rPr>
      </w:pPr>
      <w:r>
        <w:rPr>
          <w:rFonts w:hint="eastAsia" w:cs="宋体"/>
          <w:color w:val="000000" w:themeColor="text1"/>
          <w14:textFill>
            <w14:solidFill>
              <w14:schemeClr w14:val="tx1"/>
            </w14:solidFill>
          </w14:textFill>
        </w:rPr>
        <w:t>③</w:t>
      </w:r>
      <w:r>
        <w:rPr>
          <w:rFonts w:hint="eastAsia"/>
          <w:color w:val="000000" w:themeColor="text1"/>
          <w14:textFill>
            <w14:solidFill>
              <w14:schemeClr w14:val="tx1"/>
            </w14:solidFill>
          </w14:textFill>
        </w:rPr>
        <w:t>机械回收。通过浮油回收器、浮油回收船等作用于水体表面，对漂浮型危险化学品进行回收处理。</w:t>
      </w:r>
    </w:p>
    <w:p w14:paraId="439CA0A6">
      <w:pPr>
        <w:ind w:firstLine="480"/>
        <w:rPr>
          <w:color w:val="000000" w:themeColor="text1"/>
          <w14:textFill>
            <w14:solidFill>
              <w14:schemeClr w14:val="tx1"/>
            </w14:solidFill>
          </w14:textFill>
        </w:rPr>
      </w:pPr>
      <w:r>
        <w:rPr>
          <w:rFonts w:hint="eastAsia" w:cs="宋体"/>
          <w:color w:val="000000" w:themeColor="text1"/>
          <w14:textFill>
            <w14:solidFill>
              <w14:schemeClr w14:val="tx1"/>
            </w14:solidFill>
          </w14:textFill>
        </w:rPr>
        <w:t>④</w:t>
      </w:r>
      <w:r>
        <w:rPr>
          <w:rFonts w:hint="eastAsia"/>
          <w:color w:val="000000" w:themeColor="text1"/>
          <w14:textFill>
            <w14:solidFill>
              <w14:schemeClr w14:val="tx1"/>
            </w14:solidFill>
          </w14:textFill>
        </w:rPr>
        <w:t>吸附剂法。对漂浮的液体、或慢慢挥发和溶解的漂浮型泄漏物可采用传统的溢油吸附剂。</w:t>
      </w:r>
    </w:p>
    <w:p w14:paraId="32408126">
      <w:pPr>
        <w:ind w:firstLine="480"/>
        <w:rPr>
          <w:color w:val="000000" w:themeColor="text1"/>
          <w14:textFill>
            <w14:solidFill>
              <w14:schemeClr w14:val="tx1"/>
            </w14:solidFill>
          </w14:textFill>
        </w:rPr>
      </w:pPr>
      <w:r>
        <w:rPr>
          <w:color w:val="000000" w:themeColor="text1"/>
          <w14:textFill>
            <w14:solidFill>
              <w14:schemeClr w14:val="tx1"/>
            </w14:solidFill>
          </w14:textFill>
        </w:rPr>
        <w:t>（</w:t>
      </w:r>
      <w:r>
        <w:rPr>
          <w:rFonts w:hint="eastAsia"/>
          <w:color w:val="000000" w:themeColor="text1"/>
          <w14:textFill>
            <w14:solidFill>
              <w14:schemeClr w14:val="tx1"/>
            </w14:solidFill>
          </w14:textFill>
        </w:rPr>
        <w:t>3</w:t>
      </w:r>
      <w:r>
        <w:rPr>
          <w:color w:val="000000" w:themeColor="text1"/>
          <w14:textFill>
            <w14:solidFill>
              <w14:schemeClr w14:val="tx1"/>
            </w14:solidFill>
          </w14:textFill>
        </w:rPr>
        <w:t>）水溶性化学品</w:t>
      </w:r>
    </w:p>
    <w:p w14:paraId="3A48DC6C">
      <w:pPr>
        <w:widowControl/>
        <w:ind w:firstLine="480"/>
        <w:rPr>
          <w:rFonts w:cs="宋体"/>
          <w:color w:val="000000" w:themeColor="text1"/>
          <w:kern w:val="0"/>
          <w:lang w:bidi="ar"/>
          <w14:textFill>
            <w14:solidFill>
              <w14:schemeClr w14:val="tx1"/>
            </w14:solidFill>
          </w14:textFill>
        </w:rPr>
      </w:pPr>
      <w:r>
        <w:rPr>
          <w:color w:val="000000" w:themeColor="text1"/>
          <w14:textFill>
            <w14:solidFill>
              <w14:schemeClr w14:val="tx1"/>
            </w14:solidFill>
          </w14:textFill>
        </w:rPr>
        <w:t>水溶性化学品一旦进入水中后，</w:t>
      </w:r>
      <w:r>
        <w:rPr>
          <w:rFonts w:hint="eastAsia"/>
          <w:color w:val="000000" w:themeColor="text1"/>
          <w14:textFill>
            <w14:solidFill>
              <w14:schemeClr w14:val="tx1"/>
            </w14:solidFill>
          </w14:textFill>
        </w:rPr>
        <w:t>针对溶解型化学品泄漏的处置响应措施有如下：利用活性炭对溶解型危化品进行吸附，使其吸附在活性炭上，从而降低其污染程度。现有工程已于码头前沿配备活性炭2t，可满足本项目风险防控需求。废弃物料由槽车或专用收集器收集，运至有资质单位处置。码头前沿已配备有泄漏应急桶总容量（20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）。除活性炭吸附外，还可以采取中和处理措施，以降低水溶性化学品的毒性并减少其对环境的影响。</w:t>
      </w:r>
      <w:r>
        <w:rPr>
          <w:rFonts w:hint="eastAsia" w:cs="宋体"/>
          <w:color w:val="000000" w:themeColor="text1"/>
          <w:kern w:val="0"/>
          <w:lang w:bidi="ar"/>
          <w14:textFill>
            <w14:solidFill>
              <w14:schemeClr w14:val="tx1"/>
            </w14:solidFill>
          </w14:textFill>
        </w:rPr>
        <w:t>在一些特殊区域对己溶解的有毒液体物质可以进行中和剂处理，狭窄、敏感的水域中如海湾、港口、湖泊、多岛海)大的泄漏可以用中和剂处理。</w:t>
      </w:r>
      <w:r>
        <w:rPr>
          <w:rFonts w:hint="eastAsia"/>
          <w:color w:val="000000" w:themeColor="text1"/>
          <w14:textFill>
            <w14:solidFill>
              <w14:schemeClr w14:val="tx1"/>
            </w14:solidFill>
          </w14:textFill>
        </w:rPr>
        <w:t>中和剂是</w:t>
      </w:r>
      <w:r>
        <w:rPr>
          <w:color w:val="000000" w:themeColor="text1"/>
          <w14:textFill>
            <w14:solidFill>
              <w14:schemeClr w14:val="tx1"/>
            </w14:solidFill>
          </w14:textFill>
        </w:rPr>
        <w:t>水溶性化学品</w:t>
      </w:r>
      <w:r>
        <w:rPr>
          <w:rFonts w:hint="eastAsia"/>
          <w:color w:val="000000" w:themeColor="text1"/>
          <w14:textFill>
            <w14:solidFill>
              <w14:schemeClr w14:val="tx1"/>
            </w14:solidFill>
          </w14:textFill>
        </w:rPr>
        <w:t>泄漏处理中的重要试剂，其作用是与水溶性化学品发生化学反应，生成无毒或低毒的物质。常用的中和剂包括稀释后的碳酸钠溶液等。这些中和剂不仅能够有效降低</w:t>
      </w:r>
      <w:r>
        <w:rPr>
          <w:color w:val="000000" w:themeColor="text1"/>
          <w14:textFill>
            <w14:solidFill>
              <w14:schemeClr w14:val="tx1"/>
            </w14:solidFill>
          </w14:textFill>
        </w:rPr>
        <w:t>水溶性化学品</w:t>
      </w:r>
      <w:r>
        <w:rPr>
          <w:rFonts w:hint="eastAsia"/>
          <w:color w:val="000000" w:themeColor="text1"/>
          <w14:textFill>
            <w14:solidFill>
              <w14:schemeClr w14:val="tx1"/>
            </w14:solidFill>
          </w14:textFill>
        </w:rPr>
        <w:t>的毒性，还能减少其在环境中的残留。在使用中和剂时，需要注意以下几点：首先，中和剂的选择应根据泄漏物质的性质和泄漏量来决定，避免因反应失控引发二次事故；其次，</w:t>
      </w:r>
      <w:r>
        <w:rPr>
          <w:rFonts w:hint="eastAsia" w:cs="宋体"/>
          <w:color w:val="000000" w:themeColor="text1"/>
          <w:kern w:val="0"/>
          <w:lang w:bidi="ar"/>
          <w14:textFill>
            <w14:solidFill>
              <w14:schemeClr w14:val="tx1"/>
            </w14:solidFill>
          </w14:textFill>
        </w:rPr>
        <w:t>处理过程要与当地的环境、生态专家进行磋商，</w:t>
      </w:r>
      <w:r>
        <w:rPr>
          <w:rFonts w:hint="eastAsia"/>
          <w:color w:val="000000" w:themeColor="text1"/>
          <w14:textFill>
            <w14:solidFill>
              <w14:schemeClr w14:val="tx1"/>
            </w14:solidFill>
          </w14:textFill>
        </w:rPr>
        <w:t>中和剂的使用应在专业人员的指导下进行，</w:t>
      </w:r>
      <w:r>
        <w:rPr>
          <w:rFonts w:hint="eastAsia" w:cs="宋体"/>
          <w:color w:val="000000" w:themeColor="text1"/>
          <w:kern w:val="0"/>
          <w:lang w:bidi="ar"/>
          <w14:textFill>
            <w14:solidFill>
              <w14:schemeClr w14:val="tx1"/>
            </w14:solidFill>
          </w14:textFill>
        </w:rPr>
        <w:t>尽可能快地</w:t>
      </w:r>
      <w:r>
        <w:rPr>
          <w:color w:val="000000" w:themeColor="text1"/>
          <w:kern w:val="0"/>
          <w:lang w:bidi="ar"/>
          <w14:textFill>
            <w14:solidFill>
              <w14:schemeClr w14:val="tx1"/>
            </w14:solidFill>
          </w14:textFill>
        </w:rPr>
        <w:t>进行。处理前要进行估算，决定中和剂的用量。本项目可依托钦州港金谷港区金鼓江作业区1</w:t>
      </w:r>
      <w:r>
        <w:rPr>
          <w:rFonts w:hint="eastAsia"/>
          <w:color w:val="000000" w:themeColor="text1"/>
          <w:kern w:val="0"/>
          <w:lang w:bidi="ar"/>
          <w14:textFill>
            <w14:solidFill>
              <w14:schemeClr w14:val="tx1"/>
            </w14:solidFill>
          </w14:textFill>
        </w:rPr>
        <w:t>4</w:t>
      </w:r>
      <w:r>
        <w:rPr>
          <w:color w:val="000000" w:themeColor="text1"/>
          <w:kern w:val="0"/>
          <w:lang w:bidi="ar"/>
          <w14:textFill>
            <w14:solidFill>
              <w14:schemeClr w14:val="tx1"/>
            </w14:solidFill>
          </w14:textFill>
        </w:rPr>
        <w:t>号、17号泊位扩建工程的风险应急物资。</w:t>
      </w:r>
    </w:p>
    <w:p w14:paraId="5ADE2352">
      <w:pPr>
        <w:pStyle w:val="6"/>
        <w:ind w:left="0"/>
        <w:rPr>
          <w:color w:val="000000" w:themeColor="text1"/>
          <w14:textFill>
            <w14:solidFill>
              <w14:schemeClr w14:val="tx1"/>
            </w14:solidFill>
          </w14:textFill>
        </w:rPr>
      </w:pPr>
      <w:r>
        <w:rPr>
          <w:color w:val="000000" w:themeColor="text1"/>
          <w14:textFill>
            <w14:solidFill>
              <w14:schemeClr w14:val="tx1"/>
            </w14:solidFill>
          </w14:textFill>
        </w:rPr>
        <w:t>现有装卸、运输作业事故处置措施</w:t>
      </w:r>
    </w:p>
    <w:p w14:paraId="19CC72DE">
      <w:pPr>
        <w:ind w:firstLine="480"/>
        <w:rPr>
          <w:color w:val="000000" w:themeColor="text1"/>
          <w14:textFill>
            <w14:solidFill>
              <w14:schemeClr w14:val="tx1"/>
            </w14:solidFill>
          </w14:textFill>
        </w:rPr>
      </w:pPr>
      <w:r>
        <w:rPr>
          <w:color w:val="000000" w:themeColor="text1"/>
          <w14:textFill>
            <w14:solidFill>
              <w14:schemeClr w14:val="tx1"/>
            </w14:solidFill>
          </w14:textFill>
        </w:rPr>
        <w:t>在装卸作业过程中严格执行《装卸作业规程》和码头有关设备《安全技术操作规程》等制度，密切注意码头管线和化学品输送臂的工作状况，要求化学品船停靠码头期间，与移船有关的设备都保持在待用状态。</w:t>
      </w:r>
    </w:p>
    <w:p w14:paraId="05B287FF">
      <w:pPr>
        <w:ind w:firstLine="480"/>
        <w:rPr>
          <w:color w:val="000000" w:themeColor="text1"/>
          <w14:textFill>
            <w14:solidFill>
              <w14:schemeClr w14:val="tx1"/>
            </w14:solidFill>
          </w14:textFill>
        </w:rPr>
      </w:pPr>
      <w:r>
        <w:rPr>
          <w:color w:val="000000" w:themeColor="text1"/>
          <w14:textFill>
            <w14:solidFill>
              <w14:schemeClr w14:val="tx1"/>
            </w14:solidFill>
          </w14:textFill>
        </w:rPr>
        <w:t>船舶装卸作业前，严格按《船岸安全检查表》的内容要求进行检查和填写，同时应接受海事部门的监督检查。做好与船方必要的沟通与交流，明确作业期间的通讯联络方式及交流语言，并明确规定紧急情况下的应急信号。如果在作业过程中出现通讯中断或联系有误等情况，应停止作业，以免发生误装、冒顶或泄漏等事故。</w:t>
      </w:r>
    </w:p>
    <w:p w14:paraId="53E6996E">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一般泄漏事故</w:t>
      </w:r>
    </w:p>
    <w:p w14:paraId="41338F79">
      <w:pPr>
        <w:ind w:firstLine="480"/>
        <w:rPr>
          <w:color w:val="000000" w:themeColor="text1"/>
          <w14:textFill>
            <w14:solidFill>
              <w14:schemeClr w14:val="tx1"/>
            </w14:solidFill>
          </w14:textFill>
        </w:rPr>
      </w:pPr>
      <w:r>
        <w:rPr>
          <w:color w:val="000000" w:themeColor="text1"/>
          <w14:textFill>
            <w14:solidFill>
              <w14:schemeClr w14:val="tx1"/>
            </w14:solidFill>
          </w14:textFill>
        </w:rPr>
        <w:t>对于大型泄漏，可选择依托码头平台隔膜泵将泄漏出的物料抽入槽车内；对于小型泄漏，根据物质特性依托码头平台砂土、吸附材料等吸收。</w:t>
      </w:r>
      <w:r>
        <w:rPr>
          <w:rFonts w:hint="eastAsia"/>
          <w:color w:val="000000" w:themeColor="text1"/>
          <w14:textFill>
            <w14:solidFill>
              <w14:schemeClr w14:val="tx1"/>
            </w14:solidFill>
          </w14:textFill>
        </w:rPr>
        <w:t>废弃物料由防爆泵转移至槽车或专用收集器内，运至有资质单位处置。</w:t>
      </w:r>
    </w:p>
    <w:p w14:paraId="53B86CB8">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根据物质特性，码头配备相应的应急物资见下表。</w:t>
      </w:r>
    </w:p>
    <w:p w14:paraId="521B9CB5">
      <w:pPr>
        <w:pStyle w:val="7"/>
        <w:rPr>
          <w:color w:val="000000" w:themeColor="text1"/>
          <w14:textFill>
            <w14:solidFill>
              <w14:schemeClr w14:val="tx1"/>
            </w14:solidFill>
          </w14:textFill>
        </w:rPr>
      </w:pPr>
      <w:r>
        <w:rPr>
          <w:rFonts w:hint="eastAsia"/>
          <w:color w:val="000000" w:themeColor="text1"/>
          <w14:textFill>
            <w14:solidFill>
              <w14:schemeClr w14:val="tx1"/>
            </w14:solidFill>
          </w14:textFill>
        </w:rPr>
        <w:t>应急物资配备一览表</w:t>
      </w:r>
    </w:p>
    <w:tbl>
      <w:tblPr>
        <w:tblStyle w:val="43"/>
        <w:tblW w:w="4879" w:type="pct"/>
        <w:tblInd w:w="102"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2583"/>
        <w:gridCol w:w="2188"/>
        <w:gridCol w:w="3545"/>
      </w:tblGrid>
      <w:tr w14:paraId="785D2BB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553" w:type="pct"/>
            <w:vAlign w:val="center"/>
          </w:tcPr>
          <w:p w14:paraId="244574A2">
            <w:pPr>
              <w:spacing w:line="240" w:lineRule="auto"/>
              <w:ind w:firstLine="420"/>
              <w:jc w:val="center"/>
              <w:rPr>
                <w:color w:val="000000" w:themeColor="text1"/>
                <w:szCs w:val="20"/>
                <w14:textFill>
                  <w14:solidFill>
                    <w14:schemeClr w14:val="tx1"/>
                  </w14:solidFill>
                </w14:textFill>
              </w:rPr>
            </w:pPr>
            <w:r>
              <w:rPr>
                <w:rFonts w:hint="eastAsia"/>
                <w:color w:val="000000" w:themeColor="text1"/>
                <w:sz w:val="21"/>
                <w:szCs w:val="21"/>
                <w14:textFill>
                  <w14:solidFill>
                    <w14:schemeClr w14:val="tx1"/>
                  </w14:solidFill>
                </w14:textFill>
              </w:rPr>
              <w:t>名称</w:t>
            </w:r>
          </w:p>
        </w:tc>
        <w:tc>
          <w:tcPr>
            <w:tcW w:w="1315" w:type="pct"/>
            <w:vAlign w:val="center"/>
          </w:tcPr>
          <w:p w14:paraId="31C25FF1">
            <w:pPr>
              <w:spacing w:line="240" w:lineRule="auto"/>
              <w:ind w:firstLine="420"/>
              <w:jc w:val="center"/>
              <w:rPr>
                <w:color w:val="000000" w:themeColor="text1"/>
                <w:szCs w:val="20"/>
                <w14:textFill>
                  <w14:solidFill>
                    <w14:schemeClr w14:val="tx1"/>
                  </w14:solidFill>
                </w14:textFill>
              </w:rPr>
            </w:pPr>
            <w:r>
              <w:rPr>
                <w:rFonts w:hint="eastAsia"/>
                <w:color w:val="000000" w:themeColor="text1"/>
                <w:sz w:val="21"/>
                <w:szCs w:val="21"/>
                <w14:textFill>
                  <w14:solidFill>
                    <w14:schemeClr w14:val="tx1"/>
                  </w14:solidFill>
                </w14:textFill>
              </w:rPr>
              <w:t>应用情景</w:t>
            </w:r>
          </w:p>
        </w:tc>
        <w:tc>
          <w:tcPr>
            <w:tcW w:w="2131" w:type="pct"/>
            <w:vAlign w:val="center"/>
          </w:tcPr>
          <w:p w14:paraId="552F25D7">
            <w:pPr>
              <w:spacing w:line="240" w:lineRule="auto"/>
              <w:ind w:firstLine="420"/>
              <w:jc w:val="center"/>
              <w:rPr>
                <w:color w:val="000000" w:themeColor="text1"/>
                <w:szCs w:val="20"/>
                <w14:textFill>
                  <w14:solidFill>
                    <w14:schemeClr w14:val="tx1"/>
                  </w14:solidFill>
                </w14:textFill>
              </w:rPr>
            </w:pPr>
            <w:r>
              <w:rPr>
                <w:rFonts w:hint="eastAsia"/>
                <w:color w:val="000000" w:themeColor="text1"/>
                <w:sz w:val="21"/>
                <w:szCs w:val="21"/>
                <w14:textFill>
                  <w14:solidFill>
                    <w14:schemeClr w14:val="tx1"/>
                  </w14:solidFill>
                </w14:textFill>
              </w:rPr>
              <w:t>备注</w:t>
            </w:r>
          </w:p>
        </w:tc>
      </w:tr>
      <w:tr w14:paraId="76AE886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553" w:type="pct"/>
            <w:vAlign w:val="center"/>
          </w:tcPr>
          <w:p w14:paraId="2FFC396B">
            <w:pPr>
              <w:widowControl/>
              <w:spacing w:line="240" w:lineRule="auto"/>
              <w:ind w:firstLine="420"/>
              <w:jc w:val="center"/>
              <w:rPr>
                <w:color w:val="000000" w:themeColor="text1"/>
                <w:szCs w:val="20"/>
                <w14:textFill>
                  <w14:solidFill>
                    <w14:schemeClr w14:val="tx1"/>
                  </w14:solidFill>
                </w14:textFill>
              </w:rPr>
            </w:pPr>
            <w:r>
              <w:rPr>
                <w:rFonts w:hint="eastAsia" w:cs="宋体"/>
                <w:color w:val="000000" w:themeColor="text1"/>
                <w:kern w:val="0"/>
                <w:sz w:val="21"/>
                <w:szCs w:val="21"/>
                <w:lang w:bidi="ar"/>
                <w14:textFill>
                  <w14:solidFill>
                    <w14:schemeClr w14:val="tx1"/>
                  </w14:solidFill>
                </w14:textFill>
              </w:rPr>
              <w:t>吸附材料</w:t>
            </w:r>
          </w:p>
        </w:tc>
        <w:tc>
          <w:tcPr>
            <w:tcW w:w="1315" w:type="pct"/>
            <w:vAlign w:val="center"/>
          </w:tcPr>
          <w:p w14:paraId="7009FCF6">
            <w:pPr>
              <w:spacing w:line="240" w:lineRule="auto"/>
              <w:ind w:firstLine="420"/>
              <w:jc w:val="center"/>
              <w:rPr>
                <w:color w:val="000000" w:themeColor="text1"/>
                <w:szCs w:val="20"/>
                <w14:textFill>
                  <w14:solidFill>
                    <w14:schemeClr w14:val="tx1"/>
                  </w14:solidFill>
                </w14:textFill>
              </w:rPr>
            </w:pPr>
            <w:r>
              <w:rPr>
                <w:rFonts w:hint="eastAsia"/>
                <w:color w:val="000000" w:themeColor="text1"/>
                <w:sz w:val="21"/>
                <w:szCs w:val="21"/>
                <w14:textFill>
                  <w14:solidFill>
                    <w14:schemeClr w14:val="tx1"/>
                  </w14:solidFill>
                </w14:textFill>
              </w:rPr>
              <w:t>小型事故</w:t>
            </w:r>
          </w:p>
        </w:tc>
        <w:tc>
          <w:tcPr>
            <w:tcW w:w="2131" w:type="pct"/>
            <w:vAlign w:val="center"/>
          </w:tcPr>
          <w:p w14:paraId="415F0F00">
            <w:pPr>
              <w:spacing w:line="240" w:lineRule="auto"/>
              <w:ind w:firstLine="420"/>
              <w:jc w:val="center"/>
              <w:rPr>
                <w:color w:val="000000" w:themeColor="text1"/>
                <w:szCs w:val="20"/>
                <w14:textFill>
                  <w14:solidFill>
                    <w14:schemeClr w14:val="tx1"/>
                  </w14:solidFill>
                </w14:textFill>
              </w:rPr>
            </w:pPr>
            <w:r>
              <w:rPr>
                <w:rFonts w:hint="eastAsia"/>
                <w:color w:val="000000" w:themeColor="text1"/>
                <w:sz w:val="21"/>
                <w:szCs w:val="21"/>
                <w14:textFill>
                  <w14:solidFill>
                    <w14:schemeClr w14:val="tx1"/>
                  </w14:solidFill>
                </w14:textFill>
              </w:rPr>
              <w:t>砂土、吸附棉、吸附垫、活性炭等</w:t>
            </w:r>
          </w:p>
        </w:tc>
      </w:tr>
      <w:tr w14:paraId="11D94D9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553" w:type="pct"/>
            <w:vAlign w:val="center"/>
          </w:tcPr>
          <w:p w14:paraId="2672B356">
            <w:pPr>
              <w:spacing w:line="240" w:lineRule="auto"/>
              <w:ind w:firstLine="420"/>
              <w:jc w:val="center"/>
              <w:rPr>
                <w:color w:val="000000" w:themeColor="text1"/>
                <w:szCs w:val="20"/>
                <w14:textFill>
                  <w14:solidFill>
                    <w14:schemeClr w14:val="tx1"/>
                  </w14:solidFill>
                </w14:textFill>
              </w:rPr>
            </w:pPr>
            <w:r>
              <w:rPr>
                <w:rFonts w:hint="eastAsia"/>
                <w:color w:val="000000" w:themeColor="text1"/>
                <w:sz w:val="21"/>
                <w:szCs w:val="21"/>
                <w14:textFill>
                  <w14:solidFill>
                    <w14:schemeClr w14:val="tx1"/>
                  </w14:solidFill>
                </w14:textFill>
              </w:rPr>
              <w:t>灭火抢险救援车、灭火器</w:t>
            </w:r>
          </w:p>
        </w:tc>
        <w:tc>
          <w:tcPr>
            <w:tcW w:w="1315" w:type="pct"/>
            <w:vAlign w:val="center"/>
          </w:tcPr>
          <w:p w14:paraId="76F57754">
            <w:pPr>
              <w:spacing w:line="240" w:lineRule="auto"/>
              <w:ind w:firstLine="420"/>
              <w:jc w:val="center"/>
              <w:rPr>
                <w:color w:val="000000" w:themeColor="text1"/>
                <w:szCs w:val="20"/>
                <w14:textFill>
                  <w14:solidFill>
                    <w14:schemeClr w14:val="tx1"/>
                  </w14:solidFill>
                </w14:textFill>
              </w:rPr>
            </w:pPr>
            <w:r>
              <w:rPr>
                <w:rFonts w:hint="eastAsia"/>
                <w:color w:val="000000" w:themeColor="text1"/>
                <w:sz w:val="21"/>
                <w:szCs w:val="21"/>
                <w14:textFill>
                  <w14:solidFill>
                    <w14:schemeClr w14:val="tx1"/>
                  </w14:solidFill>
                </w14:textFill>
              </w:rPr>
              <w:t>火灾事故</w:t>
            </w:r>
          </w:p>
        </w:tc>
        <w:tc>
          <w:tcPr>
            <w:tcW w:w="2131" w:type="pct"/>
            <w:vAlign w:val="center"/>
          </w:tcPr>
          <w:p w14:paraId="3F7338EA">
            <w:pPr>
              <w:spacing w:line="240" w:lineRule="auto"/>
              <w:ind w:firstLine="480"/>
              <w:jc w:val="center"/>
              <w:rPr>
                <w:color w:val="000000" w:themeColor="text1"/>
                <w:szCs w:val="20"/>
                <w14:textFill>
                  <w14:solidFill>
                    <w14:schemeClr w14:val="tx1"/>
                  </w14:solidFill>
                </w14:textFill>
              </w:rPr>
            </w:pPr>
          </w:p>
        </w:tc>
      </w:tr>
      <w:tr w14:paraId="5DD87C2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553" w:type="pct"/>
            <w:vAlign w:val="center"/>
          </w:tcPr>
          <w:p w14:paraId="0626B97C">
            <w:pPr>
              <w:spacing w:line="240" w:lineRule="auto"/>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水幕喷头</w:t>
            </w:r>
          </w:p>
        </w:tc>
        <w:tc>
          <w:tcPr>
            <w:tcW w:w="1315" w:type="pct"/>
            <w:vAlign w:val="center"/>
          </w:tcPr>
          <w:p w14:paraId="1BB08D7F">
            <w:pPr>
              <w:spacing w:line="240" w:lineRule="auto"/>
              <w:ind w:firstLine="42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小型事故</w:t>
            </w:r>
          </w:p>
        </w:tc>
        <w:tc>
          <w:tcPr>
            <w:tcW w:w="2131" w:type="pct"/>
            <w:vAlign w:val="center"/>
          </w:tcPr>
          <w:p w14:paraId="484101D5">
            <w:pPr>
              <w:spacing w:line="240" w:lineRule="auto"/>
              <w:ind w:firstLine="480"/>
              <w:jc w:val="center"/>
              <w:rPr>
                <w:color w:val="000000" w:themeColor="text1"/>
                <w:szCs w:val="20"/>
                <w14:textFill>
                  <w14:solidFill>
                    <w14:schemeClr w14:val="tx1"/>
                  </w14:solidFill>
                </w14:textFill>
              </w:rPr>
            </w:pPr>
          </w:p>
        </w:tc>
      </w:tr>
      <w:tr w14:paraId="54B3F6D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553" w:type="pct"/>
            <w:vAlign w:val="center"/>
          </w:tcPr>
          <w:p w14:paraId="50A2FAB1">
            <w:pPr>
              <w:spacing w:line="240" w:lineRule="auto"/>
              <w:ind w:firstLine="420"/>
              <w:jc w:val="center"/>
              <w:rPr>
                <w:color w:val="000000" w:themeColor="text1"/>
                <w:szCs w:val="20"/>
                <w14:textFill>
                  <w14:solidFill>
                    <w14:schemeClr w14:val="tx1"/>
                  </w14:solidFill>
                </w14:textFill>
              </w:rPr>
            </w:pPr>
            <w:r>
              <w:rPr>
                <w:rFonts w:hint="eastAsia"/>
                <w:color w:val="000000" w:themeColor="text1"/>
                <w:sz w:val="21"/>
                <w:szCs w:val="21"/>
                <w14:textFill>
                  <w14:solidFill>
                    <w14:schemeClr w14:val="tx1"/>
                  </w14:solidFill>
                </w14:textFill>
              </w:rPr>
              <w:t>槽车</w:t>
            </w:r>
          </w:p>
        </w:tc>
        <w:tc>
          <w:tcPr>
            <w:tcW w:w="1315" w:type="pct"/>
            <w:vAlign w:val="center"/>
          </w:tcPr>
          <w:p w14:paraId="3495D7F7">
            <w:pPr>
              <w:spacing w:line="240" w:lineRule="auto"/>
              <w:ind w:firstLine="420"/>
              <w:jc w:val="center"/>
              <w:rPr>
                <w:color w:val="000000" w:themeColor="text1"/>
                <w:szCs w:val="20"/>
                <w14:textFill>
                  <w14:solidFill>
                    <w14:schemeClr w14:val="tx1"/>
                  </w14:solidFill>
                </w14:textFill>
              </w:rPr>
            </w:pPr>
            <w:r>
              <w:rPr>
                <w:rFonts w:hint="eastAsia"/>
                <w:color w:val="000000" w:themeColor="text1"/>
                <w:sz w:val="21"/>
                <w:szCs w:val="21"/>
                <w14:textFill>
                  <w14:solidFill>
                    <w14:schemeClr w14:val="tx1"/>
                  </w14:solidFill>
                </w14:textFill>
              </w:rPr>
              <w:t>大型事故</w:t>
            </w:r>
          </w:p>
        </w:tc>
        <w:tc>
          <w:tcPr>
            <w:tcW w:w="2131" w:type="pct"/>
            <w:vAlign w:val="center"/>
          </w:tcPr>
          <w:p w14:paraId="67808F96">
            <w:pPr>
              <w:spacing w:line="240" w:lineRule="auto"/>
              <w:ind w:firstLine="480"/>
              <w:jc w:val="center"/>
              <w:rPr>
                <w:color w:val="000000" w:themeColor="text1"/>
                <w:szCs w:val="20"/>
                <w14:textFill>
                  <w14:solidFill>
                    <w14:schemeClr w14:val="tx1"/>
                  </w14:solidFill>
                </w14:textFill>
              </w:rPr>
            </w:pPr>
          </w:p>
        </w:tc>
      </w:tr>
      <w:tr w14:paraId="5CD0A01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553" w:type="pct"/>
            <w:vAlign w:val="center"/>
          </w:tcPr>
          <w:p w14:paraId="4802D0E4">
            <w:pPr>
              <w:spacing w:line="240" w:lineRule="auto"/>
              <w:ind w:firstLine="420"/>
              <w:jc w:val="center"/>
              <w:rPr>
                <w:color w:val="000000" w:themeColor="text1"/>
                <w:szCs w:val="20"/>
                <w14:textFill>
                  <w14:solidFill>
                    <w14:schemeClr w14:val="tx1"/>
                  </w14:solidFill>
                </w14:textFill>
              </w:rPr>
            </w:pPr>
            <w:r>
              <w:rPr>
                <w:rFonts w:hint="eastAsia"/>
                <w:color w:val="000000" w:themeColor="text1"/>
                <w:sz w:val="21"/>
                <w:szCs w:val="21"/>
                <w14:textFill>
                  <w14:solidFill>
                    <w14:schemeClr w14:val="tx1"/>
                  </w14:solidFill>
                </w14:textFill>
              </w:rPr>
              <w:t>转移泵</w:t>
            </w:r>
          </w:p>
        </w:tc>
        <w:tc>
          <w:tcPr>
            <w:tcW w:w="1315" w:type="pct"/>
            <w:vAlign w:val="center"/>
          </w:tcPr>
          <w:p w14:paraId="38D2A70C">
            <w:pPr>
              <w:spacing w:line="240" w:lineRule="auto"/>
              <w:ind w:firstLine="420"/>
              <w:jc w:val="center"/>
              <w:rPr>
                <w:color w:val="000000" w:themeColor="text1"/>
                <w:szCs w:val="20"/>
                <w14:textFill>
                  <w14:solidFill>
                    <w14:schemeClr w14:val="tx1"/>
                  </w14:solidFill>
                </w14:textFill>
              </w:rPr>
            </w:pPr>
            <w:r>
              <w:rPr>
                <w:rFonts w:hint="eastAsia"/>
                <w:color w:val="000000" w:themeColor="text1"/>
                <w:sz w:val="21"/>
                <w:szCs w:val="21"/>
                <w14:textFill>
                  <w14:solidFill>
                    <w14:schemeClr w14:val="tx1"/>
                  </w14:solidFill>
                </w14:textFill>
              </w:rPr>
              <w:t>大型事故</w:t>
            </w:r>
          </w:p>
        </w:tc>
        <w:tc>
          <w:tcPr>
            <w:tcW w:w="2131" w:type="pct"/>
            <w:vAlign w:val="center"/>
          </w:tcPr>
          <w:p w14:paraId="77C40A7B">
            <w:pPr>
              <w:spacing w:line="240" w:lineRule="auto"/>
              <w:ind w:firstLine="480"/>
              <w:jc w:val="center"/>
              <w:rPr>
                <w:color w:val="000000" w:themeColor="text1"/>
                <w:szCs w:val="20"/>
                <w14:textFill>
                  <w14:solidFill>
                    <w14:schemeClr w14:val="tx1"/>
                  </w14:solidFill>
                </w14:textFill>
              </w:rPr>
            </w:pPr>
          </w:p>
        </w:tc>
      </w:tr>
    </w:tbl>
    <w:p w14:paraId="6E2E83E9">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码头已配备应急物资基本满足要求，后续应根据实际情况适当完善应急物资配备。</w:t>
      </w:r>
    </w:p>
    <w:p w14:paraId="7C5155F8">
      <w:pPr>
        <w:ind w:firstLine="480"/>
        <w:rPr>
          <w:color w:val="000000" w:themeColor="text1"/>
          <w14:textFill>
            <w14:solidFill>
              <w14:schemeClr w14:val="tx1"/>
            </w14:solidFill>
          </w14:textFill>
        </w:rPr>
      </w:pPr>
      <w:r>
        <w:rPr>
          <w:color w:val="000000" w:themeColor="text1"/>
          <w14:textFill>
            <w14:solidFill>
              <w14:schemeClr w14:val="tx1"/>
            </w14:solidFill>
          </w14:textFill>
        </w:rPr>
        <w:t>待事故结束后，再依托码头平台废水收集系统将事故冲洗废水和泄漏物质排入码头污水池，污水池内设置自动感应提升泵，当达到设定水位后开始运行，将废水提升至后方罐区污水管道，最终</w:t>
      </w:r>
      <w:r>
        <w:rPr>
          <w:rFonts w:hint="eastAsia"/>
          <w:color w:val="000000" w:themeColor="text1"/>
          <w14:textFill>
            <w14:solidFill>
              <w14:schemeClr w14:val="tx1"/>
            </w14:solidFill>
          </w14:textFill>
        </w:rPr>
        <w:t>广西恒逸污水处理厂进行处理</w:t>
      </w:r>
      <w:r>
        <w:rPr>
          <w:color w:val="000000" w:themeColor="text1"/>
          <w14:textFill>
            <w14:solidFill>
              <w14:schemeClr w14:val="tx1"/>
            </w14:solidFill>
          </w14:textFill>
        </w:rPr>
        <w:t>。</w:t>
      </w:r>
    </w:p>
    <w:p w14:paraId="5742BCAD">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color w:val="000000" w:themeColor="text1"/>
          <w14:textFill>
            <w14:solidFill>
              <w14:schemeClr w14:val="tx1"/>
            </w14:solidFill>
          </w14:textFill>
        </w:rPr>
        <w:t>泄漏、火灾事故</w:t>
      </w:r>
    </w:p>
    <w:p w14:paraId="7B85DB84">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根据码头装卸物料特性，发生泄漏、火灾事故时，采用泡沫为主要灭火介质。水为主要冷却介质，采用雾状水或者喷淋的方式，慢慢冷却，同时确保通风，能有效降低泄漏物质的浓度，减少爆炸的可能性。本项目所在14号泊位码头设置有事故池、围堰、防火堤、收集泄漏液化品及消防废水，码头事故废水已建立污染源头、过程处理和最终排放的“三级防控”机制，发生泄漏事故时，通过采取相应环境风险应急措施，泄漏液态物料会被截留在码头的事故水三级防控设施内，消防废水最终进入广西恒逸污水处理厂进行处理。</w:t>
      </w:r>
    </w:p>
    <w:p w14:paraId="1E3CC345">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本码头依托码头及后方库区消防设施：码头采取分区收集初期雨水方式，在码头泊位装卸区四周设置围堰（长宽高：29.5m×13.3m×0.2m，有效容积78m3），围堰内设置集污池（有效容积2m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），设置3200m³消防水罐2座，配套消防炮塔、消防水泵、消防栓、消防队伍等。可满足本项目所在码头的消防要求。</w:t>
      </w:r>
    </w:p>
    <w:p w14:paraId="17650F61">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码头及化工液体船舶发生火情时，现场人员立即按事故报告程序进行报告，切断泄漏源，立即停止附近一切码头作业。随后通过无线或有线电话及控制室的报警系统立即通知后方消防中心，消防中心在接到报警后立即启动消防水泵向码头前方输送压力水，与此同时码头消防控制室内值班人员应立即启动泡沫比例混合器中的泡沫液泵，配制泡沫混合液并根据火灾地点，开启码头水幕、消防水炮及泡沫炮进行消防作业。</w:t>
      </w:r>
    </w:p>
    <w:p w14:paraId="233C0A96">
      <w:pPr>
        <w:ind w:firstLine="480"/>
        <w:rPr>
          <w:color w:val="000000" w:themeColor="text1"/>
          <w14:textFill>
            <w14:solidFill>
              <w14:schemeClr w14:val="tx1"/>
            </w14:solidFill>
          </w14:textFill>
        </w:rPr>
      </w:pPr>
      <w:r>
        <w:rPr>
          <w:color w:val="000000" w:themeColor="text1"/>
          <w14:textFill>
            <w14:solidFill>
              <w14:schemeClr w14:val="tx1"/>
            </w14:solidFill>
          </w14:textFill>
        </w:rPr>
        <w:t>冲洗废水、消防水通过码头收集系统引入码头污水池，污水池内设置自动感应提升泵，当达到设定水位后开始运行，将废水提升至后方罐区污水管道，最终进入</w:t>
      </w:r>
      <w:r>
        <w:rPr>
          <w:rFonts w:hint="eastAsia"/>
          <w:color w:val="000000" w:themeColor="text1"/>
          <w14:textFill>
            <w14:solidFill>
              <w14:schemeClr w14:val="tx1"/>
            </w14:solidFill>
          </w14:textFill>
        </w:rPr>
        <w:t>广西恒逸污水处理厂</w:t>
      </w:r>
      <w:r>
        <w:rPr>
          <w:color w:val="000000" w:themeColor="text1"/>
          <w14:textFill>
            <w14:solidFill>
              <w14:schemeClr w14:val="tx1"/>
            </w14:solidFill>
          </w14:textFill>
        </w:rPr>
        <w:t>进行处理。</w:t>
      </w:r>
    </w:p>
    <w:p w14:paraId="5AF16FE3">
      <w:pPr>
        <w:pStyle w:val="7"/>
        <w:rPr>
          <w:color w:val="000000" w:themeColor="text1"/>
          <w14:textFill>
            <w14:solidFill>
              <w14:schemeClr w14:val="tx1"/>
            </w14:solidFill>
          </w14:textFill>
        </w:rPr>
      </w:pPr>
      <w:r>
        <w:rPr>
          <w:color w:val="000000" w:themeColor="text1"/>
          <w14:textFill>
            <w14:solidFill>
              <w14:schemeClr w14:val="tx1"/>
            </w14:solidFill>
          </w14:textFill>
        </w:rPr>
        <w:t>危险化学品突发环境事件的应急措施</w:t>
      </w:r>
    </w:p>
    <w:tbl>
      <w:tblPr>
        <w:tblStyle w:val="43"/>
        <w:tblW w:w="9617" w:type="dxa"/>
        <w:tblInd w:w="-413"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0" w:type="dxa"/>
          <w:bottom w:w="0" w:type="dxa"/>
          <w:right w:w="0" w:type="dxa"/>
        </w:tblCellMar>
      </w:tblPr>
      <w:tblGrid>
        <w:gridCol w:w="570"/>
        <w:gridCol w:w="1050"/>
        <w:gridCol w:w="2205"/>
        <w:gridCol w:w="3195"/>
        <w:gridCol w:w="2597"/>
      </w:tblGrid>
      <w:tr w14:paraId="7EDA518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674" w:hRule="atLeast"/>
          <w:tblHeader/>
        </w:trPr>
        <w:tc>
          <w:tcPr>
            <w:tcW w:w="1620" w:type="dxa"/>
            <w:gridSpan w:val="2"/>
            <w:vAlign w:val="center"/>
          </w:tcPr>
          <w:p w14:paraId="2A9552DE">
            <w:pPr>
              <w:adjustRightInd w:val="0"/>
              <w:snapToGrid w:val="0"/>
              <w:spacing w:line="240" w:lineRule="auto"/>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危险化学品类别</w:t>
            </w:r>
          </w:p>
        </w:tc>
        <w:tc>
          <w:tcPr>
            <w:tcW w:w="2205" w:type="dxa"/>
            <w:vAlign w:val="center"/>
          </w:tcPr>
          <w:p w14:paraId="2141CFD5">
            <w:pPr>
              <w:adjustRightInd w:val="0"/>
              <w:snapToGrid w:val="0"/>
              <w:spacing w:line="240" w:lineRule="auto"/>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需配备的专用应急器材</w:t>
            </w:r>
          </w:p>
        </w:tc>
        <w:tc>
          <w:tcPr>
            <w:tcW w:w="3195" w:type="dxa"/>
            <w:vAlign w:val="center"/>
          </w:tcPr>
          <w:p w14:paraId="117A8299">
            <w:pPr>
              <w:adjustRightInd w:val="0"/>
              <w:snapToGrid w:val="0"/>
              <w:spacing w:line="240" w:lineRule="auto"/>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泄漏应急行动</w:t>
            </w:r>
          </w:p>
        </w:tc>
        <w:tc>
          <w:tcPr>
            <w:tcW w:w="2597" w:type="dxa"/>
            <w:vAlign w:val="center"/>
          </w:tcPr>
          <w:p w14:paraId="4A9605D2">
            <w:pPr>
              <w:adjustRightInd w:val="0"/>
              <w:snapToGrid w:val="0"/>
              <w:spacing w:line="240" w:lineRule="auto"/>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火灾（爆炸）应急行动</w:t>
            </w:r>
          </w:p>
        </w:tc>
      </w:tr>
      <w:tr w14:paraId="455DE3D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c>
          <w:tcPr>
            <w:tcW w:w="570" w:type="dxa"/>
            <w:vMerge w:val="restart"/>
            <w:vAlign w:val="center"/>
          </w:tcPr>
          <w:p w14:paraId="464651FE">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第3类</w:t>
            </w:r>
          </w:p>
        </w:tc>
        <w:tc>
          <w:tcPr>
            <w:tcW w:w="1050" w:type="dxa"/>
            <w:vAlign w:val="center"/>
          </w:tcPr>
          <w:p w14:paraId="0739B4B2">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易燃液体，有毒的和/或腐蚀性的，不与水反应</w:t>
            </w:r>
          </w:p>
        </w:tc>
        <w:tc>
          <w:tcPr>
            <w:tcW w:w="2205" w:type="dxa"/>
            <w:vAlign w:val="center"/>
          </w:tcPr>
          <w:p w14:paraId="7D789448">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适合的防护服（手套、靴子、连体工作服、安全帽)、自给式呼吸器</w:t>
            </w:r>
            <w:r>
              <w:rPr>
                <w:rFonts w:hint="eastAsia"/>
                <w:color w:val="000000" w:themeColor="text1"/>
                <w:sz w:val="21"/>
                <w:szCs w:val="21"/>
                <w14:textFill>
                  <w14:solidFill>
                    <w14:schemeClr w14:val="tx1"/>
                  </w14:solidFill>
                </w14:textFill>
              </w:rPr>
              <w:t>、雾状水幕装置</w:t>
            </w:r>
          </w:p>
        </w:tc>
        <w:tc>
          <w:tcPr>
            <w:tcW w:w="3195" w:type="dxa"/>
            <w:vAlign w:val="center"/>
          </w:tcPr>
          <w:p w14:paraId="3E7075AC">
            <w:pPr>
              <w:adjustRightInd w:val="0"/>
              <w:snapToGrid w:val="0"/>
              <w:spacing w:line="240" w:lineRule="auto"/>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及时用砂土覆盖或用松软材料吸附，集中收集后移至空旷安全处销毁。急救时防止液体流入雨水井、海域造成污染，更有可能引起火灾和爆炸</w:t>
            </w:r>
          </w:p>
        </w:tc>
        <w:tc>
          <w:tcPr>
            <w:tcW w:w="2597" w:type="dxa"/>
            <w:vAlign w:val="center"/>
          </w:tcPr>
          <w:p w14:paraId="043FEBBF">
            <w:pPr>
              <w:adjustRightInd w:val="0"/>
              <w:snapToGrid w:val="0"/>
              <w:spacing w:line="240" w:lineRule="auto"/>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如可能，使用水雾、泡沫或干粉灭火（与水相溶的物质不能用泡沫）。不能使用水射流。</w:t>
            </w:r>
          </w:p>
        </w:tc>
      </w:tr>
      <w:tr w14:paraId="234EE26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c>
          <w:tcPr>
            <w:tcW w:w="570" w:type="dxa"/>
            <w:vMerge w:val="continue"/>
            <w:vAlign w:val="center"/>
          </w:tcPr>
          <w:p w14:paraId="02D06A51">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1050" w:type="dxa"/>
            <w:vAlign w:val="center"/>
          </w:tcPr>
          <w:p w14:paraId="57A541DC">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lang w:eastAsia="zh-CN"/>
                <w14:textFill>
                  <w14:solidFill>
                    <w14:schemeClr w14:val="tx1"/>
                  </w14:solidFill>
                </w14:textFill>
              </w:rPr>
              <w:t>其他</w:t>
            </w:r>
            <w:r>
              <w:rPr>
                <w:color w:val="000000" w:themeColor="text1"/>
                <w:sz w:val="21"/>
                <w:szCs w:val="21"/>
                <w14:textFill>
                  <w14:solidFill>
                    <w14:schemeClr w14:val="tx1"/>
                  </w14:solidFill>
                </w14:textFill>
              </w:rPr>
              <w:t>易燃液体</w:t>
            </w:r>
          </w:p>
        </w:tc>
        <w:tc>
          <w:tcPr>
            <w:tcW w:w="2205" w:type="dxa"/>
            <w:vAlign w:val="center"/>
          </w:tcPr>
          <w:p w14:paraId="7ABF1AC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防护手套和靴子、自给式呼吸器、喷雾水枪</w:t>
            </w:r>
            <w:r>
              <w:rPr>
                <w:rFonts w:hint="eastAsia"/>
                <w:color w:val="000000" w:themeColor="text1"/>
                <w:sz w:val="21"/>
                <w:szCs w:val="21"/>
                <w14:textFill>
                  <w14:solidFill>
                    <w14:schemeClr w14:val="tx1"/>
                  </w14:solidFill>
                </w14:textFill>
              </w:rPr>
              <w:t>、雾状水幕装置</w:t>
            </w:r>
          </w:p>
        </w:tc>
        <w:tc>
          <w:tcPr>
            <w:tcW w:w="3195" w:type="dxa"/>
            <w:vAlign w:val="center"/>
          </w:tcPr>
          <w:p w14:paraId="0B3D60CD">
            <w:pPr>
              <w:adjustRightInd w:val="0"/>
              <w:snapToGrid w:val="0"/>
              <w:spacing w:line="240" w:lineRule="auto"/>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及时用砂土覆盖或用松软材料吸附，集中收集后移至空旷安全处销毁。急救时防止液体流入雨水井、海域造成污染，更有可能引起火灾和爆炸</w:t>
            </w:r>
          </w:p>
        </w:tc>
        <w:tc>
          <w:tcPr>
            <w:tcW w:w="2597" w:type="dxa"/>
            <w:vAlign w:val="center"/>
          </w:tcPr>
          <w:p w14:paraId="628D0FC0">
            <w:pPr>
              <w:adjustRightInd w:val="0"/>
              <w:snapToGrid w:val="0"/>
              <w:spacing w:line="240" w:lineRule="auto"/>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如可能，使水雾、泡沫或干粉灭火（与水相溶或溶于易燃溶剂的特质不能用泡沫）。不能使用水射流。</w:t>
            </w:r>
          </w:p>
        </w:tc>
      </w:tr>
      <w:tr w14:paraId="2FB849D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c>
          <w:tcPr>
            <w:tcW w:w="570" w:type="dxa"/>
            <w:vAlign w:val="center"/>
          </w:tcPr>
          <w:p w14:paraId="037E2778">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6.1有毒物质（非剧毒品）</w:t>
            </w:r>
          </w:p>
        </w:tc>
        <w:tc>
          <w:tcPr>
            <w:tcW w:w="1050" w:type="dxa"/>
            <w:vAlign w:val="center"/>
          </w:tcPr>
          <w:p w14:paraId="4F296A67">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有毒液体</w:t>
            </w:r>
          </w:p>
        </w:tc>
        <w:tc>
          <w:tcPr>
            <w:tcW w:w="2205" w:type="dxa"/>
            <w:vAlign w:val="center"/>
          </w:tcPr>
          <w:p w14:paraId="0938CBBD">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防护服（手套、靴子、连体工作服、安全帽)、自给式呼吸器、喷雾水枪</w:t>
            </w:r>
            <w:r>
              <w:rPr>
                <w:rFonts w:hint="eastAsia"/>
                <w:color w:val="000000" w:themeColor="text1"/>
                <w:sz w:val="21"/>
                <w:szCs w:val="21"/>
                <w14:textFill>
                  <w14:solidFill>
                    <w14:schemeClr w14:val="tx1"/>
                  </w14:solidFill>
                </w14:textFill>
              </w:rPr>
              <w:t>、雾状水幕装置</w:t>
            </w:r>
          </w:p>
        </w:tc>
        <w:tc>
          <w:tcPr>
            <w:tcW w:w="3195" w:type="dxa"/>
            <w:vAlign w:val="center"/>
          </w:tcPr>
          <w:p w14:paraId="6996CF32">
            <w:pPr>
              <w:adjustRightInd w:val="0"/>
              <w:snapToGrid w:val="0"/>
              <w:spacing w:line="240" w:lineRule="auto"/>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如实际可行，用吸收材料（砂土、锯末等）收集起溢漏物</w:t>
            </w:r>
          </w:p>
        </w:tc>
        <w:tc>
          <w:tcPr>
            <w:tcW w:w="2597" w:type="dxa"/>
            <w:vAlign w:val="center"/>
          </w:tcPr>
          <w:p w14:paraId="31003FB7">
            <w:pPr>
              <w:adjustRightInd w:val="0"/>
              <w:snapToGrid w:val="0"/>
              <w:spacing w:line="240" w:lineRule="auto"/>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如可能，转移可能卷入火中的集装箱，将事故集装箱吊升至危险品应急处置容器内，使用大量的水或其他方法灭火（如物品易燃，使用水雾，不得使用水射流）</w:t>
            </w:r>
          </w:p>
        </w:tc>
      </w:tr>
      <w:tr w14:paraId="0CF9B13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c>
          <w:tcPr>
            <w:tcW w:w="1620" w:type="dxa"/>
            <w:gridSpan w:val="2"/>
            <w:vAlign w:val="center"/>
          </w:tcPr>
          <w:p w14:paraId="3022D3D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第8类：</w:t>
            </w:r>
            <w:r>
              <w:rPr>
                <w:color w:val="000000" w:themeColor="text1"/>
                <w:sz w:val="21"/>
                <w:szCs w:val="21"/>
                <w14:textFill>
                  <w14:solidFill>
                    <w14:schemeClr w14:val="tx1"/>
                  </w14:solidFill>
                </w14:textFill>
              </w:rPr>
              <w:t>腐蚀品</w:t>
            </w:r>
          </w:p>
        </w:tc>
        <w:tc>
          <w:tcPr>
            <w:tcW w:w="2205" w:type="dxa"/>
            <w:vAlign w:val="center"/>
          </w:tcPr>
          <w:p w14:paraId="17AB0ECA">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防护服（手套、靴子、连体工作服、安全帽)、自给式呼吸器、喷雾水枪</w:t>
            </w:r>
            <w:r>
              <w:rPr>
                <w:rFonts w:hint="eastAsia"/>
                <w:color w:val="000000" w:themeColor="text1"/>
                <w:sz w:val="21"/>
                <w:szCs w:val="21"/>
                <w14:textFill>
                  <w14:solidFill>
                    <w14:schemeClr w14:val="tx1"/>
                  </w14:solidFill>
                </w14:textFill>
              </w:rPr>
              <w:t>、雾状水幕装置</w:t>
            </w:r>
          </w:p>
        </w:tc>
        <w:tc>
          <w:tcPr>
            <w:tcW w:w="3195" w:type="dxa"/>
            <w:vAlign w:val="center"/>
          </w:tcPr>
          <w:p w14:paraId="01EB1285">
            <w:pPr>
              <w:adjustRightInd w:val="0"/>
              <w:snapToGrid w:val="0"/>
              <w:spacing w:line="240" w:lineRule="auto"/>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用干砂、干土或其他惰性材料吸收，清扫干净后再用水扫刷。如大量溢漏，或用干砂干土不足以吸收时，可视溢漏物的酸碱性，分别用稀碱或稀酸中和。中和时注意不要使反应太激烈。用水扫刷现场时，不能直接喷射而只能缓缓地浇洗，防止带酸碱性的水珠飞溅伤人</w:t>
            </w:r>
          </w:p>
        </w:tc>
        <w:tc>
          <w:tcPr>
            <w:tcW w:w="2597" w:type="dxa"/>
            <w:vAlign w:val="center"/>
          </w:tcPr>
          <w:p w14:paraId="462BA45A">
            <w:pPr>
              <w:adjustRightInd w:val="0"/>
              <w:snapToGrid w:val="0"/>
              <w:spacing w:line="240" w:lineRule="auto"/>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有选择</w:t>
            </w:r>
            <w:r>
              <w:rPr>
                <w:rFonts w:hint="eastAsia"/>
                <w:color w:val="000000" w:themeColor="text1"/>
                <w:sz w:val="21"/>
                <w:szCs w:val="21"/>
                <w:lang w:eastAsia="zh-CN"/>
                <w14:textFill>
                  <w14:solidFill>
                    <w14:schemeClr w14:val="tx1"/>
                  </w14:solidFill>
                </w14:textFill>
              </w:rPr>
              <w:t>地</w:t>
            </w:r>
            <w:r>
              <w:rPr>
                <w:color w:val="000000" w:themeColor="text1"/>
                <w:sz w:val="21"/>
                <w:szCs w:val="21"/>
                <w14:textFill>
                  <w14:solidFill>
                    <w14:schemeClr w14:val="tx1"/>
                  </w14:solidFill>
                </w14:textFill>
              </w:rPr>
              <w:t>使用水雾和水射流（征求专家意见），保持邻近容器的冷却，如有可能，转移可能卷入火中的集装箱</w:t>
            </w:r>
          </w:p>
        </w:tc>
      </w:tr>
      <w:tr w14:paraId="5C985A0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c>
          <w:tcPr>
            <w:tcW w:w="1620" w:type="dxa"/>
            <w:gridSpan w:val="2"/>
            <w:vAlign w:val="center"/>
          </w:tcPr>
          <w:p w14:paraId="2651D1D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第9类：</w:t>
            </w:r>
            <w:r>
              <w:rPr>
                <w:color w:val="000000" w:themeColor="text1"/>
                <w:sz w:val="21"/>
                <w:szCs w:val="21"/>
                <w14:textFill>
                  <w14:solidFill>
                    <w14:schemeClr w14:val="tx1"/>
                  </w14:solidFill>
                </w14:textFill>
              </w:rPr>
              <w:t>杂类危险品</w:t>
            </w:r>
          </w:p>
        </w:tc>
        <w:tc>
          <w:tcPr>
            <w:tcW w:w="2205" w:type="dxa"/>
            <w:vAlign w:val="center"/>
          </w:tcPr>
          <w:p w14:paraId="3E3054B7">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根据突发环境事件危险品性质，结合上述危险品类别定</w:t>
            </w:r>
          </w:p>
        </w:tc>
        <w:tc>
          <w:tcPr>
            <w:tcW w:w="3195" w:type="dxa"/>
            <w:vAlign w:val="center"/>
          </w:tcPr>
          <w:p w14:paraId="0ABEB769">
            <w:pPr>
              <w:adjustRightInd w:val="0"/>
              <w:snapToGrid w:val="0"/>
              <w:spacing w:line="240" w:lineRule="auto"/>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根据该危险品具体性质，结合上述危险品类别确定应对措施</w:t>
            </w:r>
          </w:p>
        </w:tc>
        <w:tc>
          <w:tcPr>
            <w:tcW w:w="2597" w:type="dxa"/>
            <w:vAlign w:val="center"/>
          </w:tcPr>
          <w:p w14:paraId="5A2EA83A">
            <w:pPr>
              <w:adjustRightInd w:val="0"/>
              <w:snapToGrid w:val="0"/>
              <w:spacing w:line="240" w:lineRule="auto"/>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根据某种危险品性质，结合上述危险品类别确定应对措施</w:t>
            </w:r>
          </w:p>
        </w:tc>
      </w:tr>
    </w:tbl>
    <w:p w14:paraId="0DA63669">
      <w:pPr>
        <w:pStyle w:val="6"/>
        <w:ind w:left="0"/>
        <w:rPr>
          <w:color w:val="000000" w:themeColor="text1"/>
          <w14:textFill>
            <w14:solidFill>
              <w14:schemeClr w14:val="tx1"/>
            </w14:solidFill>
          </w14:textFill>
        </w:rPr>
      </w:pPr>
      <w:r>
        <w:rPr>
          <w:color w:val="000000" w:themeColor="text1"/>
          <w14:textFill>
            <w14:solidFill>
              <w14:schemeClr w14:val="tx1"/>
            </w14:solidFill>
          </w14:textFill>
        </w:rPr>
        <w:t>现有燃料油泄漏处置措施</w:t>
      </w:r>
    </w:p>
    <w:p w14:paraId="1E746A5A">
      <w:pPr>
        <w:ind w:firstLine="482"/>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w:t>
      </w:r>
      <w:r>
        <w:rPr>
          <w:b/>
          <w:bCs/>
          <w:color w:val="000000" w:themeColor="text1"/>
          <w14:textFill>
            <w14:solidFill>
              <w14:schemeClr w14:val="tx1"/>
            </w14:solidFill>
          </w14:textFill>
        </w:rPr>
        <w:t>1</w:t>
      </w:r>
      <w:r>
        <w:rPr>
          <w:rFonts w:hint="eastAsia"/>
          <w:b/>
          <w:bCs/>
          <w:color w:val="000000" w:themeColor="text1"/>
          <w14:textFill>
            <w14:solidFill>
              <w14:schemeClr w14:val="tx1"/>
            </w14:solidFill>
          </w14:textFill>
        </w:rPr>
        <w:t>）针对环境敏感区的应急措施</w:t>
      </w:r>
      <w:r>
        <w:rPr>
          <w:b/>
          <w:bCs/>
          <w:color w:val="000000" w:themeColor="text1"/>
          <w14:textFill>
            <w14:solidFill>
              <w14:schemeClr w14:val="tx1"/>
            </w14:solidFill>
          </w14:textFill>
        </w:rPr>
        <w:t xml:space="preserve"> </w:t>
      </w:r>
    </w:p>
    <w:p w14:paraId="29C56391">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一旦发生溢油风险事故</w:t>
      </w:r>
      <w:r>
        <w:rPr>
          <w:rFonts w:hint="eastAsia"/>
          <w:color w:val="000000" w:themeColor="text1"/>
          <w:spacing w:val="-24"/>
          <w14:textFill>
            <w14:solidFill>
              <w14:schemeClr w14:val="tx1"/>
            </w14:solidFill>
          </w14:textFill>
        </w:rPr>
        <w:t>，</w:t>
      </w:r>
      <w:r>
        <w:rPr>
          <w:rFonts w:hint="eastAsia"/>
          <w:color w:val="000000" w:themeColor="text1"/>
          <w14:textFill>
            <w14:solidFill>
              <w14:schemeClr w14:val="tx1"/>
            </w14:solidFill>
          </w14:textFill>
        </w:rPr>
        <w:t>应立即采取有效措施封堵泄漏口</w:t>
      </w:r>
      <w:r>
        <w:rPr>
          <w:rFonts w:hint="eastAsia"/>
          <w:color w:val="000000" w:themeColor="text1"/>
          <w:spacing w:val="-24"/>
          <w14:textFill>
            <w14:solidFill>
              <w14:schemeClr w14:val="tx1"/>
            </w14:solidFill>
          </w14:textFill>
        </w:rPr>
        <w:t>，</w:t>
      </w:r>
      <w:r>
        <w:rPr>
          <w:rFonts w:hint="eastAsia"/>
          <w:color w:val="000000" w:themeColor="text1"/>
          <w14:textFill>
            <w14:solidFill>
              <w14:schemeClr w14:val="tx1"/>
            </w14:solidFill>
          </w14:textFill>
        </w:rPr>
        <w:t>密切注意是否有发生火灾爆炸的危险</w:t>
      </w:r>
      <w:r>
        <w:rPr>
          <w:rFonts w:hint="eastAsia"/>
          <w:color w:val="000000" w:themeColor="text1"/>
          <w:spacing w:val="-24"/>
          <w14:textFill>
            <w14:solidFill>
              <w14:schemeClr w14:val="tx1"/>
            </w14:solidFill>
          </w14:textFill>
        </w:rPr>
        <w:t>；</w:t>
      </w:r>
      <w:r>
        <w:rPr>
          <w:rFonts w:hint="eastAsia"/>
          <w:color w:val="000000" w:themeColor="text1"/>
          <w14:textFill>
            <w14:solidFill>
              <w14:schemeClr w14:val="tx1"/>
            </w14:solidFill>
          </w14:textFill>
        </w:rPr>
        <w:t>事故现场及周边区域全部禁止明火</w:t>
      </w:r>
      <w:r>
        <w:rPr>
          <w:rFonts w:hint="eastAsia"/>
          <w:color w:val="000000" w:themeColor="text1"/>
          <w:spacing w:val="-24"/>
          <w14:textFill>
            <w14:solidFill>
              <w14:schemeClr w14:val="tx1"/>
            </w14:solidFill>
          </w14:textFill>
        </w:rPr>
        <w:t>，</w:t>
      </w:r>
      <w:r>
        <w:rPr>
          <w:rFonts w:hint="eastAsia"/>
          <w:color w:val="000000" w:themeColor="text1"/>
          <w14:textFill>
            <w14:solidFill>
              <w14:schemeClr w14:val="tx1"/>
            </w14:solidFill>
          </w14:textFill>
        </w:rPr>
        <w:t>注意消除其他可能诱发火灾爆炸的因素</w:t>
      </w:r>
      <w:r>
        <w:rPr>
          <w:rFonts w:hint="eastAsia"/>
          <w:color w:val="000000" w:themeColor="text1"/>
          <w:spacing w:val="-12"/>
          <w14:textFill>
            <w14:solidFill>
              <w14:schemeClr w14:val="tx1"/>
            </w14:solidFill>
          </w14:textFill>
        </w:rPr>
        <w:t>；</w:t>
      </w:r>
      <w:r>
        <w:rPr>
          <w:rFonts w:hint="eastAsia"/>
          <w:color w:val="000000" w:themeColor="text1"/>
          <w14:textFill>
            <w14:solidFill>
              <w14:schemeClr w14:val="tx1"/>
            </w14:solidFill>
          </w14:textFill>
        </w:rPr>
        <w:t>隔离和疏散可能受伤的人员</w:t>
      </w:r>
      <w:r>
        <w:rPr>
          <w:rFonts w:hint="eastAsia"/>
          <w:color w:val="000000" w:themeColor="text1"/>
          <w:spacing w:val="-12"/>
          <w14:textFill>
            <w14:solidFill>
              <w14:schemeClr w14:val="tx1"/>
            </w14:solidFill>
          </w14:textFill>
        </w:rPr>
        <w:t>，</w:t>
      </w:r>
      <w:r>
        <w:rPr>
          <w:rFonts w:hint="eastAsia"/>
          <w:color w:val="000000" w:themeColor="text1"/>
          <w14:textFill>
            <w14:solidFill>
              <w14:schemeClr w14:val="tx1"/>
            </w14:solidFill>
          </w14:textFill>
        </w:rPr>
        <w:t>核实遇险人数</w:t>
      </w:r>
      <w:r>
        <w:rPr>
          <w:rFonts w:hint="eastAsia"/>
          <w:color w:val="000000" w:themeColor="text1"/>
          <w:spacing w:val="-12"/>
          <w14:textFill>
            <w14:solidFill>
              <w14:schemeClr w14:val="tx1"/>
            </w14:solidFill>
          </w14:textFill>
        </w:rPr>
        <w:t>、</w:t>
      </w:r>
      <w:r>
        <w:rPr>
          <w:rFonts w:hint="eastAsia"/>
          <w:color w:val="000000" w:themeColor="text1"/>
          <w14:textFill>
            <w14:solidFill>
              <w14:schemeClr w14:val="tx1"/>
            </w14:solidFill>
          </w14:textFill>
        </w:rPr>
        <w:t>遇险水域的气象海况</w:t>
      </w:r>
      <w:r>
        <w:rPr>
          <w:rFonts w:hint="eastAsia"/>
          <w:color w:val="000000" w:themeColor="text1"/>
          <w:spacing w:val="-12"/>
          <w14:textFill>
            <w14:solidFill>
              <w14:schemeClr w14:val="tx1"/>
            </w14:solidFill>
          </w14:textFill>
        </w:rPr>
        <w:t>、</w:t>
      </w:r>
      <w:r>
        <w:rPr>
          <w:rFonts w:hint="eastAsia"/>
          <w:color w:val="000000" w:themeColor="text1"/>
          <w14:textFill>
            <w14:solidFill>
              <w14:schemeClr w14:val="tx1"/>
            </w14:solidFill>
          </w14:textFill>
        </w:rPr>
        <w:t>水温及救助要求等情况；组织救助遇险人员，对受伤人员进行救护。</w:t>
      </w:r>
    </w:p>
    <w:p w14:paraId="71189C63">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根据可能受到威胁的环境敏感区的优先保护次序</w:t>
      </w:r>
      <w:r>
        <w:rPr>
          <w:rFonts w:hint="eastAsia"/>
          <w:color w:val="000000" w:themeColor="text1"/>
          <w:spacing w:val="-48"/>
          <w14:textFill>
            <w14:solidFill>
              <w14:schemeClr w14:val="tx1"/>
            </w14:solidFill>
          </w14:textFill>
        </w:rPr>
        <w:t>，</w:t>
      </w:r>
      <w:r>
        <w:rPr>
          <w:rFonts w:hint="eastAsia"/>
          <w:color w:val="000000" w:themeColor="text1"/>
          <w14:textFill>
            <w14:solidFill>
              <w14:schemeClr w14:val="tx1"/>
            </w14:solidFill>
          </w14:textFill>
        </w:rPr>
        <w:t>根据不同环境敏感资源的保护内容及特性制定有针对性的溢油应急措施。</w:t>
      </w:r>
    </w:p>
    <w:p w14:paraId="78DA040C">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溢油事故发生后</w:t>
      </w:r>
      <w:r>
        <w:rPr>
          <w:rFonts w:hint="eastAsia"/>
          <w:color w:val="000000" w:themeColor="text1"/>
          <w:spacing w:val="-17"/>
          <w14:textFill>
            <w14:solidFill>
              <w14:schemeClr w14:val="tx1"/>
            </w14:solidFill>
          </w14:textFill>
        </w:rPr>
        <w:t>，</w:t>
      </w:r>
      <w:r>
        <w:rPr>
          <w:rFonts w:hint="eastAsia"/>
          <w:color w:val="000000" w:themeColor="text1"/>
          <w14:textFill>
            <w14:solidFill>
              <w14:schemeClr w14:val="tx1"/>
            </w14:solidFill>
          </w14:textFill>
        </w:rPr>
        <w:t>根据溢油漂移轨迹</w:t>
      </w:r>
      <w:r>
        <w:rPr>
          <w:rFonts w:hint="eastAsia"/>
          <w:color w:val="000000" w:themeColor="text1"/>
          <w:spacing w:val="-17"/>
          <w14:textFill>
            <w14:solidFill>
              <w14:schemeClr w14:val="tx1"/>
            </w14:solidFill>
          </w14:textFill>
        </w:rPr>
        <w:t>，</w:t>
      </w:r>
      <w:r>
        <w:rPr>
          <w:rFonts w:hint="eastAsia"/>
          <w:color w:val="000000" w:themeColor="text1"/>
          <w14:textFill>
            <w14:solidFill>
              <w14:schemeClr w14:val="tx1"/>
            </w14:solidFill>
          </w14:textFill>
        </w:rPr>
        <w:t>在可能受影响的保护区附近</w:t>
      </w:r>
      <w:r>
        <w:rPr>
          <w:rFonts w:hint="eastAsia"/>
          <w:color w:val="000000" w:themeColor="text1"/>
          <w:spacing w:val="-17"/>
          <w14:textFill>
            <w14:solidFill>
              <w14:schemeClr w14:val="tx1"/>
            </w14:solidFill>
          </w14:textFill>
        </w:rPr>
        <w:t>，</w:t>
      </w:r>
      <w:r>
        <w:rPr>
          <w:rFonts w:hint="eastAsia"/>
          <w:color w:val="000000" w:themeColor="text1"/>
          <w14:textFill>
            <w14:solidFill>
              <w14:schemeClr w14:val="tx1"/>
            </w14:solidFill>
          </w14:textFill>
        </w:rPr>
        <w:t>沿保护区边界</w:t>
      </w:r>
      <w:r>
        <w:rPr>
          <w:rFonts w:hint="eastAsia"/>
          <w:color w:val="000000" w:themeColor="text1"/>
          <w:position w:val="-3"/>
          <w14:textFill>
            <w14:solidFill>
              <w14:schemeClr w14:val="tx1"/>
            </w14:solidFill>
          </w14:textFill>
        </w:rPr>
        <w:t>线布放一般用途围油栏</w:t>
      </w:r>
      <w:r>
        <w:rPr>
          <w:rFonts w:hint="eastAsia"/>
          <w:color w:val="000000" w:themeColor="text1"/>
          <w:spacing w:val="-17"/>
          <w:position w:val="-3"/>
          <w14:textFill>
            <w14:solidFill>
              <w14:schemeClr w14:val="tx1"/>
            </w14:solidFill>
          </w14:textFill>
        </w:rPr>
        <w:t>，</w:t>
      </w:r>
      <w:r>
        <w:rPr>
          <w:rFonts w:hint="eastAsia"/>
          <w:color w:val="000000" w:themeColor="text1"/>
          <w:position w:val="-3"/>
          <w14:textFill>
            <w14:solidFill>
              <w14:schemeClr w14:val="tx1"/>
            </w14:solidFill>
          </w14:textFill>
        </w:rPr>
        <w:t>尽量避免或延缓油膜向保护区扩散</w:t>
      </w:r>
      <w:r>
        <w:rPr>
          <w:rFonts w:hint="eastAsia"/>
          <w:color w:val="000000" w:themeColor="text1"/>
          <w:spacing w:val="-17"/>
          <w:position w:val="-3"/>
          <w14:textFill>
            <w14:solidFill>
              <w14:schemeClr w14:val="tx1"/>
            </w14:solidFill>
          </w14:textFill>
        </w:rPr>
        <w:t>，</w:t>
      </w:r>
      <w:r>
        <w:rPr>
          <w:rFonts w:hint="eastAsia"/>
          <w:color w:val="000000" w:themeColor="text1"/>
          <w:spacing w:val="1"/>
          <w:position w:val="-3"/>
          <w14:textFill>
            <w14:solidFill>
              <w14:schemeClr w14:val="tx1"/>
            </w14:solidFill>
          </w14:textFill>
        </w:rPr>
        <w:t>同</w:t>
      </w:r>
      <w:r>
        <w:rPr>
          <w:rFonts w:hint="eastAsia"/>
          <w:color w:val="000000" w:themeColor="text1"/>
          <w:position w:val="-3"/>
          <w14:textFill>
            <w14:solidFill>
              <w14:schemeClr w14:val="tx1"/>
            </w14:solidFill>
          </w14:textFill>
        </w:rPr>
        <w:t>时用浮油回收船</w:t>
      </w:r>
      <w:r>
        <w:rPr>
          <w:rFonts w:hint="eastAsia"/>
          <w:color w:val="000000" w:themeColor="text1"/>
          <w:spacing w:val="-17"/>
          <w:position w:val="-3"/>
          <w14:textFill>
            <w14:solidFill>
              <w14:schemeClr w14:val="tx1"/>
            </w14:solidFill>
          </w14:textFill>
        </w:rPr>
        <w:t>、</w:t>
      </w:r>
      <w:r>
        <w:rPr>
          <w:rFonts w:hint="eastAsia"/>
          <w:color w:val="000000" w:themeColor="text1"/>
          <w:position w:val="-3"/>
          <w14:textFill>
            <w14:solidFill>
              <w14:schemeClr w14:val="tx1"/>
            </w14:solidFill>
          </w14:textFill>
        </w:rPr>
        <w:t>围油</w:t>
      </w:r>
    </w:p>
    <w:p w14:paraId="0C91F1B8">
      <w:pPr>
        <w:ind w:firstLine="488"/>
        <w:rPr>
          <w:color w:val="000000" w:themeColor="text1"/>
          <w14:textFill>
            <w14:solidFill>
              <w14:schemeClr w14:val="tx1"/>
            </w14:solidFill>
          </w14:textFill>
        </w:rPr>
      </w:pPr>
      <w:r>
        <w:rPr>
          <w:rFonts w:hint="eastAsia"/>
          <w:color w:val="000000" w:themeColor="text1"/>
          <w:spacing w:val="2"/>
          <w14:textFill>
            <w14:solidFill>
              <w14:schemeClr w14:val="tx1"/>
            </w14:solidFill>
          </w14:textFill>
        </w:rPr>
        <w:t>栏布</w:t>
      </w:r>
      <w:r>
        <w:rPr>
          <w:rFonts w:hint="eastAsia"/>
          <w:color w:val="000000" w:themeColor="text1"/>
          <w14:textFill>
            <w14:solidFill>
              <w14:schemeClr w14:val="tx1"/>
            </w14:solidFill>
          </w14:textFill>
        </w:rPr>
        <w:t>放</w:t>
      </w:r>
      <w:r>
        <w:rPr>
          <w:rFonts w:hint="eastAsia"/>
          <w:color w:val="000000" w:themeColor="text1"/>
          <w:spacing w:val="2"/>
          <w14:textFill>
            <w14:solidFill>
              <w14:schemeClr w14:val="tx1"/>
            </w14:solidFill>
          </w14:textFill>
        </w:rPr>
        <w:t>艇</w:t>
      </w:r>
      <w:r>
        <w:rPr>
          <w:rFonts w:hint="eastAsia"/>
          <w:color w:val="000000" w:themeColor="text1"/>
          <w14:textFill>
            <w14:solidFill>
              <w14:schemeClr w14:val="tx1"/>
            </w14:solidFill>
          </w14:textFill>
        </w:rPr>
        <w:t>拖</w:t>
      </w:r>
      <w:r>
        <w:rPr>
          <w:rFonts w:hint="eastAsia"/>
          <w:color w:val="000000" w:themeColor="text1"/>
          <w:spacing w:val="2"/>
          <w14:textFill>
            <w14:solidFill>
              <w14:schemeClr w14:val="tx1"/>
            </w14:solidFill>
          </w14:textFill>
        </w:rPr>
        <w:t>带</w:t>
      </w:r>
      <w:r>
        <w:rPr>
          <w:rFonts w:hint="eastAsia"/>
          <w:color w:val="000000" w:themeColor="text1"/>
          <w14:textFill>
            <w14:solidFill>
              <w14:schemeClr w14:val="tx1"/>
            </w14:solidFill>
          </w14:textFill>
        </w:rPr>
        <w:t>导</w:t>
      </w:r>
      <w:r>
        <w:rPr>
          <w:rFonts w:hint="eastAsia"/>
          <w:color w:val="000000" w:themeColor="text1"/>
          <w:spacing w:val="2"/>
          <w14:textFill>
            <w14:solidFill>
              <w14:schemeClr w14:val="tx1"/>
            </w14:solidFill>
          </w14:textFill>
        </w:rPr>
        <w:t>流</w:t>
      </w:r>
      <w:r>
        <w:rPr>
          <w:rFonts w:hint="eastAsia"/>
          <w:color w:val="000000" w:themeColor="text1"/>
          <w14:textFill>
            <w14:solidFill>
              <w14:schemeClr w14:val="tx1"/>
            </w14:solidFill>
          </w14:textFill>
        </w:rPr>
        <w:t>型围</w:t>
      </w:r>
      <w:r>
        <w:rPr>
          <w:rFonts w:hint="eastAsia"/>
          <w:color w:val="000000" w:themeColor="text1"/>
          <w:spacing w:val="2"/>
          <w14:textFill>
            <w14:solidFill>
              <w14:schemeClr w14:val="tx1"/>
            </w14:solidFill>
          </w14:textFill>
        </w:rPr>
        <w:t>油栏</w:t>
      </w:r>
      <w:r>
        <w:rPr>
          <w:rFonts w:hint="eastAsia"/>
          <w:color w:val="000000" w:themeColor="text1"/>
          <w14:textFill>
            <w14:solidFill>
              <w14:schemeClr w14:val="tx1"/>
            </w14:solidFill>
          </w14:textFill>
        </w:rPr>
        <w:t>组</w:t>
      </w:r>
      <w:r>
        <w:rPr>
          <w:rFonts w:hint="eastAsia"/>
          <w:color w:val="000000" w:themeColor="text1"/>
          <w:spacing w:val="5"/>
          <w14:textFill>
            <w14:solidFill>
              <w14:schemeClr w14:val="tx1"/>
            </w14:solidFill>
          </w14:textFill>
        </w:rPr>
        <w:t>成</w:t>
      </w:r>
      <w:r>
        <w:rPr>
          <w:color w:val="000000" w:themeColor="text1"/>
          <w:spacing w:val="-1"/>
          <w14:textFill>
            <w14:solidFill>
              <w14:schemeClr w14:val="tx1"/>
            </w14:solidFill>
          </w14:textFill>
        </w:rPr>
        <w:t>“</w:t>
      </w:r>
      <w:r>
        <w:rPr>
          <w:color w:val="000000" w:themeColor="text1"/>
          <w14:textFill>
            <w14:solidFill>
              <w14:schemeClr w14:val="tx1"/>
            </w14:solidFill>
          </w14:textFill>
        </w:rPr>
        <w:t>V</w:t>
      </w:r>
      <w:r>
        <w:rPr>
          <w:color w:val="000000" w:themeColor="text1"/>
          <w:spacing w:val="1"/>
          <w14:textFill>
            <w14:solidFill>
              <w14:schemeClr w14:val="tx1"/>
            </w14:solidFill>
          </w14:textFill>
        </w:rPr>
        <w:t>”</w:t>
      </w:r>
      <w:r>
        <w:rPr>
          <w:rFonts w:hint="eastAsia"/>
          <w:color w:val="000000" w:themeColor="text1"/>
          <w:spacing w:val="2"/>
          <w14:textFill>
            <w14:solidFill>
              <w14:schemeClr w14:val="tx1"/>
            </w14:solidFill>
          </w14:textFill>
        </w:rPr>
        <w:t>字</w:t>
      </w:r>
      <w:r>
        <w:rPr>
          <w:rFonts w:hint="eastAsia"/>
          <w:color w:val="000000" w:themeColor="text1"/>
          <w14:textFill>
            <w14:solidFill>
              <w14:schemeClr w14:val="tx1"/>
            </w14:solidFill>
          </w14:textFill>
        </w:rPr>
        <w:t>型</w:t>
      </w:r>
      <w:r>
        <w:rPr>
          <w:rFonts w:hint="eastAsia"/>
          <w:color w:val="000000" w:themeColor="text1"/>
          <w:spacing w:val="2"/>
          <w14:textFill>
            <w14:solidFill>
              <w14:schemeClr w14:val="tx1"/>
            </w14:solidFill>
          </w14:textFill>
        </w:rPr>
        <w:t>高</w:t>
      </w:r>
      <w:r>
        <w:rPr>
          <w:rFonts w:hint="eastAsia"/>
          <w:color w:val="000000" w:themeColor="text1"/>
          <w14:textFill>
            <w14:solidFill>
              <w14:schemeClr w14:val="tx1"/>
            </w14:solidFill>
          </w14:textFill>
        </w:rPr>
        <w:t>效</w:t>
      </w:r>
      <w:r>
        <w:rPr>
          <w:rFonts w:hint="eastAsia"/>
          <w:color w:val="000000" w:themeColor="text1"/>
          <w:spacing w:val="2"/>
          <w14:textFill>
            <w14:solidFill>
              <w14:schemeClr w14:val="tx1"/>
            </w14:solidFill>
          </w14:textFill>
        </w:rPr>
        <w:t>应急</w:t>
      </w:r>
      <w:r>
        <w:rPr>
          <w:rFonts w:hint="eastAsia"/>
          <w:color w:val="000000" w:themeColor="text1"/>
          <w14:textFill>
            <w14:solidFill>
              <w14:schemeClr w14:val="tx1"/>
            </w14:solidFill>
          </w14:textFill>
        </w:rPr>
        <w:t>组</w:t>
      </w:r>
      <w:r>
        <w:rPr>
          <w:rFonts w:hint="eastAsia"/>
          <w:color w:val="000000" w:themeColor="text1"/>
          <w:spacing w:val="2"/>
          <w14:textFill>
            <w14:solidFill>
              <w14:schemeClr w14:val="tx1"/>
            </w14:solidFill>
          </w14:textFill>
        </w:rPr>
        <w:t>合</w:t>
      </w:r>
      <w:r>
        <w:rPr>
          <w:rFonts w:hint="eastAsia"/>
          <w:color w:val="000000" w:themeColor="text1"/>
          <w14:textFill>
            <w14:solidFill>
              <w14:schemeClr w14:val="tx1"/>
            </w14:solidFill>
          </w14:textFill>
        </w:rPr>
        <w:t>，</w:t>
      </w:r>
      <w:r>
        <w:rPr>
          <w:rFonts w:hint="eastAsia"/>
          <w:color w:val="000000" w:themeColor="text1"/>
          <w:spacing w:val="2"/>
          <w14:textFill>
            <w14:solidFill>
              <w14:schemeClr w14:val="tx1"/>
            </w14:solidFill>
          </w14:textFill>
        </w:rPr>
        <w:t>在</w:t>
      </w:r>
      <w:r>
        <w:rPr>
          <w:rFonts w:hint="eastAsia"/>
          <w:color w:val="000000" w:themeColor="text1"/>
          <w14:textFill>
            <w14:solidFill>
              <w14:schemeClr w14:val="tx1"/>
            </w14:solidFill>
          </w14:textFill>
        </w:rPr>
        <w:t>溢</w:t>
      </w:r>
      <w:r>
        <w:rPr>
          <w:rFonts w:hint="eastAsia"/>
          <w:color w:val="000000" w:themeColor="text1"/>
          <w:spacing w:val="2"/>
          <w14:textFill>
            <w14:solidFill>
              <w14:schemeClr w14:val="tx1"/>
            </w14:solidFill>
          </w14:textFill>
        </w:rPr>
        <w:t>油</w:t>
      </w:r>
      <w:r>
        <w:rPr>
          <w:rFonts w:hint="eastAsia"/>
          <w:color w:val="000000" w:themeColor="text1"/>
          <w14:textFill>
            <w14:solidFill>
              <w14:schemeClr w14:val="tx1"/>
            </w14:solidFill>
          </w14:textFill>
        </w:rPr>
        <w:t>流向</w:t>
      </w:r>
      <w:r>
        <w:rPr>
          <w:rFonts w:hint="eastAsia"/>
          <w:color w:val="000000" w:themeColor="text1"/>
          <w:spacing w:val="2"/>
          <w14:textFill>
            <w14:solidFill>
              <w14:schemeClr w14:val="tx1"/>
            </w14:solidFill>
          </w14:textFill>
        </w:rPr>
        <w:t>的下</w:t>
      </w:r>
      <w:r>
        <w:rPr>
          <w:rFonts w:hint="eastAsia"/>
          <w:color w:val="000000" w:themeColor="text1"/>
          <w14:textFill>
            <w14:solidFill>
              <w14:schemeClr w14:val="tx1"/>
            </w14:solidFill>
          </w14:textFill>
        </w:rPr>
        <w:t>风</w:t>
      </w:r>
      <w:r>
        <w:rPr>
          <w:rFonts w:hint="eastAsia"/>
          <w:color w:val="000000" w:themeColor="text1"/>
          <w:spacing w:val="2"/>
          <w14:textFill>
            <w14:solidFill>
              <w14:schemeClr w14:val="tx1"/>
            </w14:solidFill>
          </w14:textFill>
        </w:rPr>
        <w:t>向</w:t>
      </w:r>
      <w:r>
        <w:rPr>
          <w:rFonts w:hint="eastAsia"/>
          <w:color w:val="000000" w:themeColor="text1"/>
          <w14:textFill>
            <w14:solidFill>
              <w14:schemeClr w14:val="tx1"/>
            </w14:solidFill>
          </w14:textFill>
        </w:rPr>
        <w:t>，</w:t>
      </w:r>
      <w:r>
        <w:rPr>
          <w:rFonts w:hint="eastAsia"/>
          <w:color w:val="000000" w:themeColor="text1"/>
          <w:spacing w:val="2"/>
          <w14:textFill>
            <w14:solidFill>
              <w14:schemeClr w14:val="tx1"/>
            </w14:solidFill>
          </w14:textFill>
        </w:rPr>
        <w:t>进行</w:t>
      </w:r>
      <w:r>
        <w:rPr>
          <w:rFonts w:hint="eastAsia"/>
          <w:color w:val="000000" w:themeColor="text1"/>
          <w14:textFill>
            <w14:solidFill>
              <w14:schemeClr w14:val="tx1"/>
            </w14:solidFill>
          </w14:textFill>
        </w:rPr>
        <w:t>溢</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油回收处置。</w:t>
      </w:r>
    </w:p>
    <w:p w14:paraId="10D3151F">
      <w:pPr>
        <w:ind w:firstLine="482"/>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（2）在港池内溢油污染的围控和清除</w:t>
      </w:r>
    </w:p>
    <w:p w14:paraId="3410A90D">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根据溢油量判断，小规模溢油事故可采取主</w:t>
      </w:r>
      <w:r>
        <w:rPr>
          <w:rFonts w:hint="eastAsia"/>
          <w:color w:val="000000" w:themeColor="text1"/>
          <w:spacing w:val="1"/>
          <w14:textFill>
            <w14:solidFill>
              <w14:schemeClr w14:val="tx1"/>
            </w14:solidFill>
          </w14:textFill>
        </w:rPr>
        <w:t>动</w:t>
      </w:r>
      <w:r>
        <w:rPr>
          <w:rFonts w:hint="eastAsia"/>
          <w:color w:val="000000" w:themeColor="text1"/>
          <w14:textFill>
            <w14:solidFill>
              <w14:schemeClr w14:val="tx1"/>
            </w14:solidFill>
          </w14:textFill>
        </w:rPr>
        <w:t>围控措施，调用应急设备库围油栏，利用布防艇或拖船对溢油点进行主动围控</w:t>
      </w:r>
      <w:r>
        <w:rPr>
          <w:rFonts w:hint="eastAsia"/>
          <w:color w:val="000000" w:themeColor="text1"/>
          <w:spacing w:val="-24"/>
          <w14:textFill>
            <w14:solidFill>
              <w14:schemeClr w14:val="tx1"/>
            </w14:solidFill>
          </w14:textFill>
        </w:rPr>
        <w:t>，</w:t>
      </w:r>
      <w:r>
        <w:rPr>
          <w:rFonts w:hint="eastAsia"/>
          <w:color w:val="000000" w:themeColor="text1"/>
          <w14:textFill>
            <w14:solidFill>
              <w14:schemeClr w14:val="tx1"/>
            </w14:solidFill>
          </w14:textFill>
        </w:rPr>
        <w:t>实现溢油控制在围油栏内</w:t>
      </w:r>
      <w:r>
        <w:rPr>
          <w:rFonts w:hint="eastAsia"/>
          <w:color w:val="000000" w:themeColor="text1"/>
          <w:spacing w:val="-24"/>
          <w14:textFill>
            <w14:solidFill>
              <w14:schemeClr w14:val="tx1"/>
            </w14:solidFill>
          </w14:textFill>
        </w:rPr>
        <w:t>，再</w:t>
      </w:r>
      <w:r>
        <w:rPr>
          <w:rFonts w:hint="eastAsia"/>
          <w:color w:val="000000" w:themeColor="text1"/>
          <w14:textFill>
            <w14:solidFill>
              <w14:schemeClr w14:val="tx1"/>
            </w14:solidFill>
          </w14:textFill>
        </w:rPr>
        <w:t>利用吊机将收油机放入围油栏，配以适用动力和储油设备，将溢油回收起来。</w:t>
      </w:r>
    </w:p>
    <w:p w14:paraId="155145E7">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如发生中等规模以上溢油事故，应采取主动围控措施。调用港区所有围油栏设备，采取主动围控同时</w:t>
      </w:r>
      <w:r>
        <w:rPr>
          <w:rFonts w:hint="eastAsia"/>
          <w:color w:val="000000" w:themeColor="text1"/>
          <w:spacing w:val="-29"/>
          <w14:textFill>
            <w14:solidFill>
              <w14:schemeClr w14:val="tx1"/>
            </w14:solidFill>
          </w14:textFill>
        </w:rPr>
        <w:t>，</w:t>
      </w:r>
      <w:r>
        <w:rPr>
          <w:rFonts w:hint="eastAsia"/>
          <w:color w:val="000000" w:themeColor="text1"/>
          <w14:textFill>
            <w14:solidFill>
              <w14:schemeClr w14:val="tx1"/>
            </w14:solidFill>
          </w14:textFill>
        </w:rPr>
        <w:t>在易受到污染威胁的敏感资源外围布置</w:t>
      </w:r>
      <w:r>
        <w:rPr>
          <w:color w:val="000000" w:themeColor="text1"/>
          <w14:textFill>
            <w14:solidFill>
              <w14:schemeClr w14:val="tx1"/>
            </w14:solidFill>
          </w14:textFill>
        </w:rPr>
        <w:t>2~3</w:t>
      </w:r>
      <w:r>
        <w:rPr>
          <w:rFonts w:hint="eastAsia"/>
          <w:color w:val="000000" w:themeColor="text1"/>
          <w14:textFill>
            <w14:solidFill>
              <w14:schemeClr w14:val="tx1"/>
            </w14:solidFill>
          </w14:textFill>
        </w:rPr>
        <w:t>道封堵围油栏</w:t>
      </w:r>
      <w:r>
        <w:rPr>
          <w:rFonts w:hint="eastAsia"/>
          <w:color w:val="000000" w:themeColor="text1"/>
          <w:spacing w:val="-29"/>
          <w14:textFill>
            <w14:solidFill>
              <w14:schemeClr w14:val="tx1"/>
            </w14:solidFill>
          </w14:textFill>
        </w:rPr>
        <w:t>，</w:t>
      </w:r>
      <w:r>
        <w:rPr>
          <w:rFonts w:hint="eastAsia"/>
          <w:color w:val="000000" w:themeColor="text1"/>
          <w14:textFill>
            <w14:solidFill>
              <w14:schemeClr w14:val="tx1"/>
            </w14:solidFill>
          </w14:textFill>
        </w:rPr>
        <w:t>确保溢油可控在港池水域，再利用收油设备，开展溢油回收工作。</w:t>
      </w:r>
    </w:p>
    <w:p w14:paraId="0FBCE7AB">
      <w:pPr>
        <w:ind w:firstLine="482"/>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（3）航道、锚地溢油污染的围控和清除</w:t>
      </w:r>
    </w:p>
    <w:p w14:paraId="6E959AAF">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航道、锚地处溢油由于水流速度大于</w:t>
      </w:r>
      <w:r>
        <w:rPr>
          <w:color w:val="000000" w:themeColor="text1"/>
          <w:spacing w:val="-55"/>
          <w14:textFill>
            <w14:solidFill>
              <w14:schemeClr w14:val="tx1"/>
            </w14:solidFill>
          </w14:textFill>
        </w:rPr>
        <w:t xml:space="preserve"> </w:t>
      </w:r>
      <w:r>
        <w:rPr>
          <w:color w:val="000000" w:themeColor="text1"/>
          <w14:textFill>
            <w14:solidFill>
              <w14:schemeClr w14:val="tx1"/>
            </w14:solidFill>
          </w14:textFill>
        </w:rPr>
        <w:t>0.7</w:t>
      </w:r>
      <w:r>
        <w:rPr>
          <w:rFonts w:hint="eastAsia"/>
          <w:color w:val="000000" w:themeColor="text1"/>
          <w14:textFill>
            <w14:solidFill>
              <w14:schemeClr w14:val="tx1"/>
            </w14:solidFill>
          </w14:textFill>
        </w:rPr>
        <w:t>节</w:t>
      </w:r>
      <w:r>
        <w:rPr>
          <w:rFonts w:hint="eastAsia"/>
          <w:color w:val="000000" w:themeColor="text1"/>
          <w:spacing w:val="2"/>
          <w14:textFill>
            <w14:solidFill>
              <w14:schemeClr w14:val="tx1"/>
            </w14:solidFill>
          </w14:textFill>
        </w:rPr>
        <w:t>，</w:t>
      </w:r>
      <w:r>
        <w:rPr>
          <w:rFonts w:hint="eastAsia"/>
          <w:color w:val="000000" w:themeColor="text1"/>
          <w14:textFill>
            <w14:solidFill>
              <w14:schemeClr w14:val="tx1"/>
            </w14:solidFill>
          </w14:textFill>
        </w:rPr>
        <w:t>溢油除平潮期间可以短时间围住溢油</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外</w:t>
      </w:r>
      <w:r>
        <w:rPr>
          <w:rFonts w:hint="eastAsia"/>
          <w:color w:val="000000" w:themeColor="text1"/>
          <w:spacing w:val="-12"/>
          <w14:textFill>
            <w14:solidFill>
              <w14:schemeClr w14:val="tx1"/>
            </w14:solidFill>
          </w14:textFill>
        </w:rPr>
        <w:t>，</w:t>
      </w:r>
      <w:r>
        <w:rPr>
          <w:rFonts w:hint="eastAsia"/>
          <w:color w:val="000000" w:themeColor="text1"/>
          <w14:textFill>
            <w14:solidFill>
              <w14:schemeClr w14:val="tx1"/>
            </w14:solidFill>
          </w14:textFill>
        </w:rPr>
        <w:t>公认多数时间是围不住的</w:t>
      </w:r>
      <w:r>
        <w:rPr>
          <w:rFonts w:hint="eastAsia"/>
          <w:color w:val="000000" w:themeColor="text1"/>
          <w:spacing w:val="-12"/>
          <w14:textFill>
            <w14:solidFill>
              <w14:schemeClr w14:val="tx1"/>
            </w14:solidFill>
          </w14:textFill>
        </w:rPr>
        <w:t>。</w:t>
      </w:r>
      <w:r>
        <w:rPr>
          <w:rFonts w:hint="eastAsia"/>
          <w:color w:val="000000" w:themeColor="text1"/>
          <w14:textFill>
            <w14:solidFill>
              <w14:schemeClr w14:val="tx1"/>
            </w14:solidFill>
          </w14:textFill>
        </w:rPr>
        <w:t>多数</w:t>
      </w:r>
      <w:r>
        <w:rPr>
          <w:rFonts w:hint="eastAsia"/>
          <w:color w:val="000000" w:themeColor="text1"/>
          <w:spacing w:val="1"/>
          <w14:textFill>
            <w14:solidFill>
              <w14:schemeClr w14:val="tx1"/>
            </w14:solidFill>
          </w14:textFill>
        </w:rPr>
        <w:t>溢</w:t>
      </w:r>
      <w:r>
        <w:rPr>
          <w:rFonts w:hint="eastAsia"/>
          <w:color w:val="000000" w:themeColor="text1"/>
          <w14:textFill>
            <w14:solidFill>
              <w14:schemeClr w14:val="tx1"/>
            </w14:solidFill>
          </w14:textFill>
        </w:rPr>
        <w:t>油会从围油栏下部流走</w:t>
      </w:r>
      <w:r>
        <w:rPr>
          <w:rFonts w:hint="eastAsia"/>
          <w:color w:val="000000" w:themeColor="text1"/>
          <w:spacing w:val="-12"/>
          <w14:textFill>
            <w14:solidFill>
              <w14:schemeClr w14:val="tx1"/>
            </w14:solidFill>
          </w14:textFill>
        </w:rPr>
        <w:t>，</w:t>
      </w:r>
      <w:r>
        <w:rPr>
          <w:rFonts w:hint="eastAsia"/>
          <w:color w:val="000000" w:themeColor="text1"/>
          <w14:textFill>
            <w14:solidFill>
              <w14:schemeClr w14:val="tx1"/>
            </w14:solidFill>
          </w14:textFill>
        </w:rPr>
        <w:t>如果风力稍大</w:t>
      </w:r>
      <w:r>
        <w:rPr>
          <w:rFonts w:hint="eastAsia"/>
          <w:color w:val="000000" w:themeColor="text1"/>
          <w:spacing w:val="-12"/>
          <w14:textFill>
            <w14:solidFill>
              <w14:schemeClr w14:val="tx1"/>
            </w14:solidFill>
          </w14:textFill>
        </w:rPr>
        <w:t>，</w:t>
      </w:r>
      <w:r>
        <w:rPr>
          <w:rFonts w:hint="eastAsia"/>
          <w:color w:val="000000" w:themeColor="text1"/>
          <w14:textFill>
            <w14:solidFill>
              <w14:schemeClr w14:val="tx1"/>
            </w14:solidFill>
          </w14:textFill>
        </w:rPr>
        <w:t>也可能</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从倾斜的围油栏上部翻过流散。为此，采取下列处理方法：</w:t>
      </w:r>
    </w:p>
    <w:p w14:paraId="5F5E6411">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一旦在航道、锚地海域发生溢油事故，围控设备、清污设备要尽快到达溢油现场。</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视风和流速情况，能围则围，否则溢油扩散，给后续工作造成更大困难。</w:t>
      </w:r>
    </w:p>
    <w:p w14:paraId="1858BE19">
      <w:pPr>
        <w:ind w:firstLine="488"/>
        <w:rPr>
          <w:color w:val="000000" w:themeColor="text1"/>
          <w14:textFill>
            <w14:solidFill>
              <w14:schemeClr w14:val="tx1"/>
            </w14:solidFill>
          </w14:textFill>
        </w:rPr>
      </w:pPr>
      <w:r>
        <w:rPr>
          <w:rFonts w:hint="eastAsia"/>
          <w:color w:val="000000" w:themeColor="text1"/>
          <w:spacing w:val="2"/>
          <w14:textFill>
            <w14:solidFill>
              <w14:schemeClr w14:val="tx1"/>
            </w14:solidFill>
          </w14:textFill>
        </w:rPr>
        <w:t>用浮</w:t>
      </w:r>
      <w:r>
        <w:rPr>
          <w:rFonts w:hint="eastAsia"/>
          <w:color w:val="000000" w:themeColor="text1"/>
          <w14:textFill>
            <w14:solidFill>
              <w14:schemeClr w14:val="tx1"/>
            </w14:solidFill>
          </w14:textFill>
        </w:rPr>
        <w:t>油</w:t>
      </w:r>
      <w:r>
        <w:rPr>
          <w:rFonts w:hint="eastAsia"/>
          <w:color w:val="000000" w:themeColor="text1"/>
          <w:spacing w:val="2"/>
          <w14:textFill>
            <w14:solidFill>
              <w14:schemeClr w14:val="tx1"/>
            </w14:solidFill>
          </w14:textFill>
        </w:rPr>
        <w:t>回</w:t>
      </w:r>
      <w:r>
        <w:rPr>
          <w:rFonts w:hint="eastAsia"/>
          <w:color w:val="000000" w:themeColor="text1"/>
          <w14:textFill>
            <w14:solidFill>
              <w14:schemeClr w14:val="tx1"/>
            </w14:solidFill>
          </w14:textFill>
        </w:rPr>
        <w:t>收</w:t>
      </w:r>
      <w:r>
        <w:rPr>
          <w:rFonts w:hint="eastAsia"/>
          <w:color w:val="000000" w:themeColor="text1"/>
          <w:spacing w:val="2"/>
          <w14:textFill>
            <w14:solidFill>
              <w14:schemeClr w14:val="tx1"/>
            </w14:solidFill>
          </w14:textFill>
        </w:rPr>
        <w:t>船</w:t>
      </w:r>
      <w:r>
        <w:rPr>
          <w:rFonts w:hint="eastAsia"/>
          <w:color w:val="000000" w:themeColor="text1"/>
          <w14:textFill>
            <w14:solidFill>
              <w14:schemeClr w14:val="tx1"/>
            </w14:solidFill>
          </w14:textFill>
        </w:rPr>
        <w:t>、</w:t>
      </w:r>
      <w:r>
        <w:rPr>
          <w:rFonts w:hint="eastAsia"/>
          <w:color w:val="000000" w:themeColor="text1"/>
          <w:spacing w:val="2"/>
          <w14:textFill>
            <w14:solidFill>
              <w14:schemeClr w14:val="tx1"/>
            </w14:solidFill>
          </w14:textFill>
        </w:rPr>
        <w:t>围油</w:t>
      </w:r>
      <w:r>
        <w:rPr>
          <w:rFonts w:hint="eastAsia"/>
          <w:color w:val="000000" w:themeColor="text1"/>
          <w14:textFill>
            <w14:solidFill>
              <w14:schemeClr w14:val="tx1"/>
            </w14:solidFill>
          </w14:textFill>
        </w:rPr>
        <w:t>栏</w:t>
      </w:r>
      <w:r>
        <w:rPr>
          <w:rFonts w:hint="eastAsia"/>
          <w:color w:val="000000" w:themeColor="text1"/>
          <w:spacing w:val="2"/>
          <w14:textFill>
            <w14:solidFill>
              <w14:schemeClr w14:val="tx1"/>
            </w14:solidFill>
          </w14:textFill>
        </w:rPr>
        <w:t>布放</w:t>
      </w:r>
      <w:r>
        <w:rPr>
          <w:rFonts w:hint="eastAsia"/>
          <w:color w:val="000000" w:themeColor="text1"/>
          <w14:textFill>
            <w14:solidFill>
              <w14:schemeClr w14:val="tx1"/>
            </w14:solidFill>
          </w14:textFill>
        </w:rPr>
        <w:t>艇</w:t>
      </w:r>
      <w:r>
        <w:rPr>
          <w:rFonts w:hint="eastAsia"/>
          <w:color w:val="000000" w:themeColor="text1"/>
          <w:spacing w:val="2"/>
          <w14:textFill>
            <w14:solidFill>
              <w14:schemeClr w14:val="tx1"/>
            </w14:solidFill>
          </w14:textFill>
        </w:rPr>
        <w:t>拖</w:t>
      </w:r>
      <w:r>
        <w:rPr>
          <w:rFonts w:hint="eastAsia"/>
          <w:color w:val="000000" w:themeColor="text1"/>
          <w14:textFill>
            <w14:solidFill>
              <w14:schemeClr w14:val="tx1"/>
            </w14:solidFill>
          </w14:textFill>
        </w:rPr>
        <w:t>带</w:t>
      </w:r>
      <w:r>
        <w:rPr>
          <w:rFonts w:hint="eastAsia"/>
          <w:color w:val="000000" w:themeColor="text1"/>
          <w:spacing w:val="2"/>
          <w14:textFill>
            <w14:solidFill>
              <w14:schemeClr w14:val="tx1"/>
            </w14:solidFill>
          </w14:textFill>
        </w:rPr>
        <w:t>导</w:t>
      </w:r>
      <w:r>
        <w:rPr>
          <w:rFonts w:hint="eastAsia"/>
          <w:color w:val="000000" w:themeColor="text1"/>
          <w14:textFill>
            <w14:solidFill>
              <w14:schemeClr w14:val="tx1"/>
            </w14:solidFill>
          </w14:textFill>
        </w:rPr>
        <w:t>流</w:t>
      </w:r>
      <w:r>
        <w:rPr>
          <w:rFonts w:hint="eastAsia"/>
          <w:color w:val="000000" w:themeColor="text1"/>
          <w:spacing w:val="2"/>
          <w14:textFill>
            <w14:solidFill>
              <w14:schemeClr w14:val="tx1"/>
            </w14:solidFill>
          </w14:textFill>
        </w:rPr>
        <w:t>型围</w:t>
      </w:r>
      <w:r>
        <w:rPr>
          <w:rFonts w:hint="eastAsia"/>
          <w:color w:val="000000" w:themeColor="text1"/>
          <w14:textFill>
            <w14:solidFill>
              <w14:schemeClr w14:val="tx1"/>
            </w14:solidFill>
          </w14:textFill>
        </w:rPr>
        <w:t>油</w:t>
      </w:r>
      <w:r>
        <w:rPr>
          <w:rFonts w:hint="eastAsia"/>
          <w:color w:val="000000" w:themeColor="text1"/>
          <w:spacing w:val="2"/>
          <w14:textFill>
            <w14:solidFill>
              <w14:schemeClr w14:val="tx1"/>
            </w14:solidFill>
          </w14:textFill>
        </w:rPr>
        <w:t>栏组</w:t>
      </w:r>
      <w:r>
        <w:rPr>
          <w:rFonts w:hint="eastAsia"/>
          <w:color w:val="000000" w:themeColor="text1"/>
          <w:spacing w:val="7"/>
          <w14:textFill>
            <w14:solidFill>
              <w14:schemeClr w14:val="tx1"/>
            </w14:solidFill>
          </w14:textFill>
        </w:rPr>
        <w:t>成</w:t>
      </w:r>
      <w:r>
        <w:rPr>
          <w:color w:val="000000" w:themeColor="text1"/>
          <w:spacing w:val="-1"/>
          <w14:textFill>
            <w14:solidFill>
              <w14:schemeClr w14:val="tx1"/>
            </w14:solidFill>
          </w14:textFill>
        </w:rPr>
        <w:t>“</w:t>
      </w:r>
      <w:r>
        <w:rPr>
          <w:color w:val="000000" w:themeColor="text1"/>
          <w14:textFill>
            <w14:solidFill>
              <w14:schemeClr w14:val="tx1"/>
            </w14:solidFill>
          </w14:textFill>
        </w:rPr>
        <w:t>V</w:t>
      </w:r>
      <w:r>
        <w:rPr>
          <w:color w:val="000000" w:themeColor="text1"/>
          <w:spacing w:val="1"/>
          <w14:textFill>
            <w14:solidFill>
              <w14:schemeClr w14:val="tx1"/>
            </w14:solidFill>
          </w14:textFill>
        </w:rPr>
        <w:t>”</w:t>
      </w:r>
      <w:r>
        <w:rPr>
          <w:rFonts w:hint="eastAsia"/>
          <w:color w:val="000000" w:themeColor="text1"/>
          <w14:textFill>
            <w14:solidFill>
              <w14:schemeClr w14:val="tx1"/>
            </w14:solidFill>
          </w14:textFill>
        </w:rPr>
        <w:t>字</w:t>
      </w:r>
      <w:r>
        <w:rPr>
          <w:rFonts w:hint="eastAsia"/>
          <w:color w:val="000000" w:themeColor="text1"/>
          <w:spacing w:val="2"/>
          <w14:textFill>
            <w14:solidFill>
              <w14:schemeClr w14:val="tx1"/>
            </w14:solidFill>
          </w14:textFill>
        </w:rPr>
        <w:t>型</w:t>
      </w:r>
      <w:r>
        <w:rPr>
          <w:rFonts w:hint="eastAsia"/>
          <w:color w:val="000000" w:themeColor="text1"/>
          <w14:textFill>
            <w14:solidFill>
              <w14:schemeClr w14:val="tx1"/>
            </w14:solidFill>
          </w14:textFill>
        </w:rPr>
        <w:t>高</w:t>
      </w:r>
      <w:r>
        <w:rPr>
          <w:rFonts w:hint="eastAsia"/>
          <w:color w:val="000000" w:themeColor="text1"/>
          <w:spacing w:val="2"/>
          <w14:textFill>
            <w14:solidFill>
              <w14:schemeClr w14:val="tx1"/>
            </w14:solidFill>
          </w14:textFill>
        </w:rPr>
        <w:t>效</w:t>
      </w:r>
      <w:r>
        <w:rPr>
          <w:rFonts w:hint="eastAsia"/>
          <w:color w:val="000000" w:themeColor="text1"/>
          <w14:textFill>
            <w14:solidFill>
              <w14:schemeClr w14:val="tx1"/>
            </w14:solidFill>
          </w14:textFill>
        </w:rPr>
        <w:t>应</w:t>
      </w:r>
      <w:r>
        <w:rPr>
          <w:rFonts w:hint="eastAsia"/>
          <w:color w:val="000000" w:themeColor="text1"/>
          <w:spacing w:val="2"/>
          <w14:textFill>
            <w14:solidFill>
              <w14:schemeClr w14:val="tx1"/>
            </w14:solidFill>
          </w14:textFill>
        </w:rPr>
        <w:t>急组</w:t>
      </w:r>
      <w:r>
        <w:rPr>
          <w:rFonts w:hint="eastAsia"/>
          <w:color w:val="000000" w:themeColor="text1"/>
          <w14:textFill>
            <w14:solidFill>
              <w14:schemeClr w14:val="tx1"/>
            </w14:solidFill>
          </w14:textFill>
        </w:rPr>
        <w:t>合</w:t>
      </w:r>
      <w:r>
        <w:rPr>
          <w:rFonts w:hint="eastAsia"/>
          <w:color w:val="000000" w:themeColor="text1"/>
          <w:spacing w:val="2"/>
          <w14:textFill>
            <w14:solidFill>
              <w14:schemeClr w14:val="tx1"/>
            </w14:solidFill>
          </w14:textFill>
        </w:rPr>
        <w:t>，在</w:t>
      </w:r>
      <w:r>
        <w:rPr>
          <w:rFonts w:hint="eastAsia"/>
          <w:color w:val="000000" w:themeColor="text1"/>
          <w14:textFill>
            <w14:solidFill>
              <w14:schemeClr w14:val="tx1"/>
            </w14:solidFill>
          </w14:textFill>
        </w:rPr>
        <w:t>溢</w:t>
      </w:r>
      <w:r>
        <w:rPr>
          <w:color w:val="000000" w:themeColor="text1"/>
          <w14:textFill>
            <w14:solidFill>
              <w14:schemeClr w14:val="tx1"/>
            </w14:solidFill>
          </w14:textFill>
        </w:rPr>
        <w:t xml:space="preserve"> </w:t>
      </w:r>
      <w:r>
        <w:rPr>
          <w:rFonts w:hint="eastAsia"/>
          <w:color w:val="000000" w:themeColor="text1"/>
          <w:spacing w:val="2"/>
          <w14:textFill>
            <w14:solidFill>
              <w14:schemeClr w14:val="tx1"/>
            </w14:solidFill>
          </w14:textFill>
        </w:rPr>
        <w:t>油流</w:t>
      </w:r>
      <w:r>
        <w:rPr>
          <w:rFonts w:hint="eastAsia"/>
          <w:color w:val="000000" w:themeColor="text1"/>
          <w14:textFill>
            <w14:solidFill>
              <w14:schemeClr w14:val="tx1"/>
            </w14:solidFill>
          </w14:textFill>
        </w:rPr>
        <w:t>向</w:t>
      </w:r>
      <w:r>
        <w:rPr>
          <w:rFonts w:hint="eastAsia"/>
          <w:color w:val="000000" w:themeColor="text1"/>
          <w:spacing w:val="2"/>
          <w14:textFill>
            <w14:solidFill>
              <w14:schemeClr w14:val="tx1"/>
            </w14:solidFill>
          </w14:textFill>
        </w:rPr>
        <w:t>的</w:t>
      </w:r>
      <w:r>
        <w:rPr>
          <w:rFonts w:hint="eastAsia"/>
          <w:color w:val="000000" w:themeColor="text1"/>
          <w14:textFill>
            <w14:solidFill>
              <w14:schemeClr w14:val="tx1"/>
            </w14:solidFill>
          </w14:textFill>
        </w:rPr>
        <w:t>下</w:t>
      </w:r>
      <w:r>
        <w:rPr>
          <w:rFonts w:hint="eastAsia"/>
          <w:color w:val="000000" w:themeColor="text1"/>
          <w:spacing w:val="2"/>
          <w14:textFill>
            <w14:solidFill>
              <w14:schemeClr w14:val="tx1"/>
            </w14:solidFill>
          </w14:textFill>
        </w:rPr>
        <w:t>风</w:t>
      </w:r>
      <w:r>
        <w:rPr>
          <w:rFonts w:hint="eastAsia"/>
          <w:color w:val="000000" w:themeColor="text1"/>
          <w14:textFill>
            <w14:solidFill>
              <w14:schemeClr w14:val="tx1"/>
            </w14:solidFill>
          </w14:textFill>
        </w:rPr>
        <w:t>向</w:t>
      </w:r>
      <w:r>
        <w:rPr>
          <w:rFonts w:hint="eastAsia"/>
          <w:color w:val="000000" w:themeColor="text1"/>
          <w:spacing w:val="2"/>
          <w14:textFill>
            <w14:solidFill>
              <w14:schemeClr w14:val="tx1"/>
            </w14:solidFill>
          </w14:textFill>
        </w:rPr>
        <w:t>，</w:t>
      </w:r>
      <w:r>
        <w:rPr>
          <w:rFonts w:hint="eastAsia"/>
          <w:color w:val="000000" w:themeColor="text1"/>
          <w14:textFill>
            <w14:solidFill>
              <w14:schemeClr w14:val="tx1"/>
            </w14:solidFill>
          </w14:textFill>
        </w:rPr>
        <w:t>迎着</w:t>
      </w:r>
      <w:r>
        <w:rPr>
          <w:rFonts w:hint="eastAsia"/>
          <w:color w:val="000000" w:themeColor="text1"/>
          <w:spacing w:val="2"/>
          <w14:textFill>
            <w14:solidFill>
              <w14:schemeClr w14:val="tx1"/>
            </w14:solidFill>
          </w14:textFill>
        </w:rPr>
        <w:t>回收</w:t>
      </w:r>
      <w:r>
        <w:rPr>
          <w:rFonts w:hint="eastAsia"/>
          <w:color w:val="000000" w:themeColor="text1"/>
          <w14:textFill>
            <w14:solidFill>
              <w14:schemeClr w14:val="tx1"/>
            </w14:solidFill>
          </w14:textFill>
        </w:rPr>
        <w:t>。</w:t>
      </w:r>
      <w:r>
        <w:rPr>
          <w:rFonts w:hint="eastAsia"/>
          <w:color w:val="000000" w:themeColor="text1"/>
          <w:spacing w:val="2"/>
          <w14:textFill>
            <w14:solidFill>
              <w14:schemeClr w14:val="tx1"/>
            </w14:solidFill>
          </w14:textFill>
        </w:rPr>
        <w:t>并</w:t>
      </w:r>
      <w:r>
        <w:rPr>
          <w:rFonts w:hint="eastAsia"/>
          <w:color w:val="000000" w:themeColor="text1"/>
          <w14:textFill>
            <w14:solidFill>
              <w14:schemeClr w14:val="tx1"/>
            </w14:solidFill>
          </w14:textFill>
        </w:rPr>
        <w:t>随</w:t>
      </w:r>
      <w:r>
        <w:rPr>
          <w:rFonts w:hint="eastAsia"/>
          <w:color w:val="000000" w:themeColor="text1"/>
          <w:spacing w:val="2"/>
          <w14:textFill>
            <w14:solidFill>
              <w14:schemeClr w14:val="tx1"/>
            </w14:solidFill>
          </w14:textFill>
        </w:rPr>
        <w:t>时</w:t>
      </w:r>
      <w:r>
        <w:rPr>
          <w:rFonts w:hint="eastAsia"/>
          <w:color w:val="000000" w:themeColor="text1"/>
          <w14:textFill>
            <w14:solidFill>
              <w14:schemeClr w14:val="tx1"/>
            </w14:solidFill>
          </w14:textFill>
        </w:rPr>
        <w:t>调</w:t>
      </w:r>
      <w:r>
        <w:rPr>
          <w:rFonts w:hint="eastAsia"/>
          <w:color w:val="000000" w:themeColor="text1"/>
          <w:spacing w:val="5"/>
          <w14:textFill>
            <w14:solidFill>
              <w14:schemeClr w14:val="tx1"/>
            </w14:solidFill>
          </w14:textFill>
        </w:rPr>
        <w:t>整</w:t>
      </w:r>
      <w:r>
        <w:rPr>
          <w:color w:val="000000" w:themeColor="text1"/>
          <w:spacing w:val="-1"/>
          <w14:textFill>
            <w14:solidFill>
              <w14:schemeClr w14:val="tx1"/>
            </w14:solidFill>
          </w14:textFill>
        </w:rPr>
        <w:t>“</w:t>
      </w:r>
      <w:r>
        <w:rPr>
          <w:color w:val="000000" w:themeColor="text1"/>
          <w14:textFill>
            <w14:solidFill>
              <w14:schemeClr w14:val="tx1"/>
            </w14:solidFill>
          </w14:textFill>
        </w:rPr>
        <w:t>V</w:t>
      </w:r>
      <w:r>
        <w:rPr>
          <w:color w:val="000000" w:themeColor="text1"/>
          <w:spacing w:val="1"/>
          <w14:textFill>
            <w14:solidFill>
              <w14:schemeClr w14:val="tx1"/>
            </w14:solidFill>
          </w14:textFill>
        </w:rPr>
        <w:t>”</w:t>
      </w:r>
      <w:r>
        <w:rPr>
          <w:rFonts w:hint="eastAsia"/>
          <w:color w:val="000000" w:themeColor="text1"/>
          <w:spacing w:val="2"/>
          <w14:textFill>
            <w14:solidFill>
              <w14:schemeClr w14:val="tx1"/>
            </w14:solidFill>
          </w14:textFill>
        </w:rPr>
        <w:t>的张</w:t>
      </w:r>
      <w:r>
        <w:rPr>
          <w:rFonts w:hint="eastAsia"/>
          <w:color w:val="000000" w:themeColor="text1"/>
          <w14:textFill>
            <w14:solidFill>
              <w14:schemeClr w14:val="tx1"/>
            </w14:solidFill>
          </w14:textFill>
        </w:rPr>
        <w:t>口</w:t>
      </w:r>
      <w:r>
        <w:rPr>
          <w:rFonts w:hint="eastAsia"/>
          <w:color w:val="000000" w:themeColor="text1"/>
          <w:spacing w:val="2"/>
          <w14:textFill>
            <w14:solidFill>
              <w14:schemeClr w14:val="tx1"/>
            </w14:solidFill>
          </w14:textFill>
        </w:rPr>
        <w:t>或</w:t>
      </w:r>
      <w:r>
        <w:rPr>
          <w:rFonts w:hint="eastAsia"/>
          <w:color w:val="000000" w:themeColor="text1"/>
          <w14:textFill>
            <w14:solidFill>
              <w14:schemeClr w14:val="tx1"/>
            </w14:solidFill>
          </w14:textFill>
        </w:rPr>
        <w:t>进</w:t>
      </w:r>
      <w:r>
        <w:rPr>
          <w:rFonts w:hint="eastAsia"/>
          <w:color w:val="000000" w:themeColor="text1"/>
          <w:spacing w:val="2"/>
          <w14:textFill>
            <w14:solidFill>
              <w14:schemeClr w14:val="tx1"/>
            </w14:solidFill>
          </w14:textFill>
        </w:rPr>
        <w:t>行</w:t>
      </w:r>
      <w:r>
        <w:rPr>
          <w:rFonts w:hint="eastAsia"/>
          <w:color w:val="000000" w:themeColor="text1"/>
          <w14:textFill>
            <w14:solidFill>
              <w14:schemeClr w14:val="tx1"/>
            </w14:solidFill>
          </w14:textFill>
        </w:rPr>
        <w:t>流</w:t>
      </w:r>
      <w:r>
        <w:rPr>
          <w:rFonts w:hint="eastAsia"/>
          <w:color w:val="000000" w:themeColor="text1"/>
          <w:spacing w:val="2"/>
          <w14:textFill>
            <w14:solidFill>
              <w14:schemeClr w14:val="tx1"/>
            </w14:solidFill>
          </w14:textFill>
        </w:rPr>
        <w:t>动</w:t>
      </w:r>
      <w:r>
        <w:rPr>
          <w:rFonts w:hint="eastAsia"/>
          <w:color w:val="000000" w:themeColor="text1"/>
          <w14:textFill>
            <w14:solidFill>
              <w14:schemeClr w14:val="tx1"/>
            </w14:solidFill>
          </w14:textFill>
        </w:rPr>
        <w:t>回收</w:t>
      </w:r>
      <w:r>
        <w:rPr>
          <w:rFonts w:hint="eastAsia"/>
          <w:color w:val="000000" w:themeColor="text1"/>
          <w:spacing w:val="2"/>
          <w14:textFill>
            <w14:solidFill>
              <w14:schemeClr w14:val="tx1"/>
            </w14:solidFill>
          </w14:textFill>
        </w:rPr>
        <w:t>，哪</w:t>
      </w:r>
      <w:r>
        <w:rPr>
          <w:rFonts w:hint="eastAsia"/>
          <w:color w:val="000000" w:themeColor="text1"/>
          <w14:textFill>
            <w14:solidFill>
              <w14:schemeClr w14:val="tx1"/>
            </w14:solidFill>
          </w14:textFill>
        </w:rPr>
        <w:t>里</w:t>
      </w:r>
      <w:r>
        <w:rPr>
          <w:rFonts w:hint="eastAsia"/>
          <w:color w:val="000000" w:themeColor="text1"/>
          <w:spacing w:val="2"/>
          <w14:textFill>
            <w14:solidFill>
              <w14:schemeClr w14:val="tx1"/>
            </w14:solidFill>
          </w14:textFill>
        </w:rPr>
        <w:t>有</w:t>
      </w:r>
      <w:r>
        <w:rPr>
          <w:rFonts w:hint="eastAsia"/>
          <w:color w:val="000000" w:themeColor="text1"/>
          <w14:textFill>
            <w14:solidFill>
              <w14:schemeClr w14:val="tx1"/>
            </w14:solidFill>
          </w14:textFill>
        </w:rPr>
        <w:t>油</w:t>
      </w:r>
      <w:r>
        <w:rPr>
          <w:rFonts w:hint="eastAsia"/>
          <w:color w:val="000000" w:themeColor="text1"/>
          <w:spacing w:val="2"/>
          <w14:textFill>
            <w14:solidFill>
              <w14:schemeClr w14:val="tx1"/>
            </w14:solidFill>
          </w14:textFill>
        </w:rPr>
        <w:t>污带</w:t>
      </w:r>
      <w:r>
        <w:rPr>
          <w:rFonts w:hint="eastAsia"/>
          <w:color w:val="000000" w:themeColor="text1"/>
          <w14:textFill>
            <w14:solidFill>
              <w14:schemeClr w14:val="tx1"/>
            </w14:solidFill>
          </w14:textFill>
        </w:rPr>
        <w:t>就</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在哪里回收。</w:t>
      </w:r>
    </w:p>
    <w:p w14:paraId="54AB4BCC">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迅速调动其他或社会清污能力予以支援</w:t>
      </w:r>
      <w:r>
        <w:rPr>
          <w:rFonts w:hint="eastAsia"/>
          <w:color w:val="000000" w:themeColor="text1"/>
          <w:spacing w:val="-22"/>
          <w14:textFill>
            <w14:solidFill>
              <w14:schemeClr w14:val="tx1"/>
            </w14:solidFill>
          </w14:textFill>
        </w:rPr>
        <w:t>，</w:t>
      </w:r>
      <w:r>
        <w:rPr>
          <w:rFonts w:hint="eastAsia"/>
          <w:color w:val="000000" w:themeColor="text1"/>
          <w14:textFill>
            <w14:solidFill>
              <w14:schemeClr w14:val="tx1"/>
            </w14:solidFill>
          </w14:textFill>
        </w:rPr>
        <w:t>组织另一</w:t>
      </w:r>
      <w:r>
        <w:rPr>
          <w:rFonts w:hint="eastAsia"/>
          <w:color w:val="000000" w:themeColor="text1"/>
          <w:spacing w:val="1"/>
          <w14:textFill>
            <w14:solidFill>
              <w14:schemeClr w14:val="tx1"/>
            </w14:solidFill>
          </w14:textFill>
        </w:rPr>
        <w:t>组</w:t>
      </w:r>
      <w:r>
        <w:rPr>
          <w:color w:val="000000" w:themeColor="text1"/>
          <w:spacing w:val="-1"/>
          <w14:textFill>
            <w14:solidFill>
              <w14:schemeClr w14:val="tx1"/>
            </w14:solidFill>
          </w14:textFill>
        </w:rPr>
        <w:t>“</w:t>
      </w:r>
      <w:r>
        <w:rPr>
          <w:rFonts w:hint="eastAsia"/>
          <w:color w:val="000000" w:themeColor="text1"/>
          <w14:textFill>
            <w14:solidFill>
              <w14:schemeClr w14:val="tx1"/>
            </w14:solidFill>
          </w14:textFill>
        </w:rPr>
        <w:t>高效应急组合</w:t>
      </w:r>
      <w:r>
        <w:rPr>
          <w:color w:val="000000" w:themeColor="text1"/>
          <w:spacing w:val="1"/>
          <w14:textFill>
            <w14:solidFill>
              <w14:schemeClr w14:val="tx1"/>
            </w14:solidFill>
          </w14:textFill>
        </w:rPr>
        <w:t>”</w:t>
      </w:r>
      <w:r>
        <w:rPr>
          <w:rFonts w:hint="eastAsia"/>
          <w:color w:val="000000" w:themeColor="text1"/>
          <w14:textFill>
            <w14:solidFill>
              <w14:schemeClr w14:val="tx1"/>
            </w14:solidFill>
          </w14:textFill>
        </w:rPr>
        <w:t>第二防线的回</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收作业，而后才组织其他清污处置。</w:t>
      </w:r>
    </w:p>
    <w:p w14:paraId="5E621746">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吸油材料进行吸附回收，慎用分散剂</w:t>
      </w:r>
      <w:r>
        <w:rPr>
          <w:rFonts w:hint="eastAsia"/>
          <w:color w:val="000000" w:themeColor="text1"/>
          <w:spacing w:val="1"/>
          <w14:textFill>
            <w14:solidFill>
              <w14:schemeClr w14:val="tx1"/>
            </w14:solidFill>
          </w14:textFill>
        </w:rPr>
        <w:t>，</w:t>
      </w:r>
      <w:r>
        <w:rPr>
          <w:rFonts w:hint="eastAsia"/>
          <w:color w:val="000000" w:themeColor="text1"/>
          <w14:textFill>
            <w14:solidFill>
              <w14:schemeClr w14:val="tx1"/>
            </w14:solidFill>
          </w14:textFill>
        </w:rPr>
        <w:t>确保周围保护区不受二次污染。</w:t>
      </w:r>
    </w:p>
    <w:p w14:paraId="71EA91D8">
      <w:pPr>
        <w:pStyle w:val="13"/>
        <w:rPr>
          <w:color w:val="000000" w:themeColor="text1"/>
          <w14:textFill>
            <w14:solidFill>
              <w14:schemeClr w14:val="tx1"/>
            </w14:solidFill>
          </w14:textFill>
        </w:rPr>
      </w:pPr>
    </w:p>
    <w:p w14:paraId="69A5A33C">
      <w:pPr>
        <w:ind w:firstLine="482"/>
        <w:rPr>
          <w:b/>
          <w:bCs/>
          <w:color w:val="000000" w:themeColor="text1"/>
          <w:u w:val="single"/>
          <w14:textFill>
            <w14:solidFill>
              <w14:schemeClr w14:val="tx1"/>
            </w14:solidFill>
          </w14:textFill>
        </w:rPr>
      </w:pPr>
      <w:r>
        <w:rPr>
          <w:rFonts w:hint="eastAsia"/>
          <w:b/>
          <w:bCs/>
          <w:color w:val="000000" w:themeColor="text1"/>
          <w:u w:val="single"/>
          <w14:textFill>
            <w14:solidFill>
              <w14:schemeClr w14:val="tx1"/>
            </w14:solidFill>
          </w14:textFill>
        </w:rPr>
        <w:t>（4）上述措施依托可行性</w:t>
      </w:r>
    </w:p>
    <w:p w14:paraId="2DA277B7">
      <w:pPr>
        <w:ind w:firstLine="480"/>
        <w:rPr>
          <w:color w:val="000000" w:themeColor="text1"/>
          <w:u w:val="single"/>
          <w14:textFill>
            <w14:solidFill>
              <w14:schemeClr w14:val="tx1"/>
            </w14:solidFill>
          </w14:textFill>
        </w:rPr>
      </w:pPr>
      <w:r>
        <w:rPr>
          <w:rFonts w:hint="eastAsia" w:cs="宋体"/>
          <w:color w:val="000000" w:themeColor="text1"/>
          <w:kern w:val="0"/>
          <w:u w:val="single"/>
          <w:lang w:bidi="ar"/>
          <w14:textFill>
            <w14:solidFill>
              <w14:schemeClr w14:val="tx1"/>
            </w14:solidFill>
          </w14:textFill>
        </w:rPr>
        <w:t>项目在现有码头上增加货种，每次作业时仅停靠一艘船，一个货种作业，完全与现状一样，现有陆域风险管理措施完全满足拟建项目运行时的需求。</w:t>
      </w:r>
    </w:p>
    <w:p w14:paraId="753E4CD0">
      <w:pPr>
        <w:pStyle w:val="4"/>
        <w:rPr>
          <w:color w:val="000000" w:themeColor="text1"/>
          <w:u w:val="single"/>
          <w14:textFill>
            <w14:solidFill>
              <w14:schemeClr w14:val="tx1"/>
            </w14:solidFill>
          </w14:textFill>
        </w:rPr>
      </w:pPr>
      <w:r>
        <w:rPr>
          <w:color w:val="000000" w:themeColor="text1"/>
          <w:u w:val="single"/>
          <w14:textFill>
            <w14:solidFill>
              <w14:schemeClr w14:val="tx1"/>
            </w14:solidFill>
          </w14:textFill>
        </w:rPr>
        <w:t>风险应急预案</w:t>
      </w:r>
    </w:p>
    <w:p w14:paraId="5736D7BC">
      <w:pPr>
        <w:pStyle w:val="13"/>
        <w:spacing w:line="360" w:lineRule="auto"/>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1）项目已编制了《广西自贸区逸海港务有限责任公司突发环境事件应急预案》并备案（备案编号：450702-2025-0036-H）；《钦州港金谷港区金鼓江作业区14号泊位工程船舶污染海洋环境风险评价报告》并获得审查意见（桂海危防函〔2025〕142号）。</w:t>
      </w:r>
      <w:r>
        <w:rPr>
          <w:rFonts w:hint="eastAsia"/>
          <w:color w:val="000000" w:themeColor="text1"/>
          <w:sz w:val="24"/>
          <w:u w:val="single"/>
          <w14:textFill>
            <w14:solidFill>
              <w14:schemeClr w14:val="tx1"/>
            </w14:solidFill>
          </w14:textFill>
        </w:rPr>
        <w:t>拟建项目后续需根据建设内容、建设单位内部管理规定等特征，</w:t>
      </w:r>
      <w:r>
        <w:rPr>
          <w:color w:val="000000" w:themeColor="text1"/>
          <w:sz w:val="24"/>
          <w:u w:val="single"/>
          <w14:textFill>
            <w14:solidFill>
              <w14:schemeClr w14:val="tx1"/>
            </w14:solidFill>
          </w14:textFill>
        </w:rPr>
        <w:t xml:space="preserve"> 在投入运营前，修订完善现有的环境风险应急预案并进行报备。</w:t>
      </w:r>
    </w:p>
    <w:p w14:paraId="484B1D29">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（2）项目于陆域厂区东北侧设置初期雨水池、事故应急池各1座，有效容积分别为850m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、6400m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。同时，在码头作业平台装卸区设置围堰（长宽高：29.5m×13.3m×0.2m，有效容积78m3），围堰内设置集污池（有效容积2m3）；在液氨储罐区设置围堰，高0.4m，围堰区面积1736.55m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，有效容积（含与围堰连通的储液池）7072m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w:t>
      </w:r>
    </w:p>
    <w:p w14:paraId="57688C3F">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（3）码头后方罐区、初期雨水池、事故应急池等重点防渗区域设置防渗涂层；在码头作业区设置围堰和导流设施；危废暂存间采用一体化设备房，设置防渗托盘。</w:t>
      </w:r>
    </w:p>
    <w:p w14:paraId="08167D89">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4）项目于陆域厂区南部、引桥旁设置应急物资库1座。应急物资库按照《钦州港金谷港区金鼓江作业区14号泊位工程船舶污染海洋环境风险评价报告》（广西海事局出具审查意见，桂海危防函〔2025〕142号）中的规定进行环境风险应急物资储备。</w:t>
      </w:r>
    </w:p>
    <w:p w14:paraId="7A3F32F2">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5）项目在码头操作区域设置有毒及可燃气体监测仪、紧急阀门，每隔一定距离设置火灾报警按钮。码头前方装卸平台上设置一体化防爆摄像机，在陆域消防控制室设置监视器。同时，在码头外侧设置溢油报警、检测器，并在水域设置1段640m长度的永久布放型围油栏，作为防溢油设施将码头区域包围，有效减少事故状态下的污染物外溢。</w:t>
      </w:r>
    </w:p>
    <w:p w14:paraId="147432E2">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（6）项目在现场设置警示牌及操作流程告示牌，制定相关巡检制度定期对储罐进行检查。</w:t>
      </w:r>
    </w:p>
    <w:p w14:paraId="6FD8DAB2">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（7）项目在现有码头上新增货种，每次仅停靠一条船，进行单一货种装卸，现有的风险措施及预案，完全满足项目要求。</w:t>
      </w:r>
    </w:p>
    <w:p w14:paraId="3CC24BE1">
      <w:pPr>
        <w:pStyle w:val="4"/>
        <w:rPr>
          <w:color w:val="000000" w:themeColor="text1"/>
          <w14:textFill>
            <w14:solidFill>
              <w14:schemeClr w14:val="tx1"/>
            </w14:solidFill>
          </w14:textFill>
        </w:rPr>
      </w:pPr>
      <w:r>
        <w:rPr>
          <w:rFonts w:hint="eastAsia"/>
          <w:color w:val="000000" w:themeColor="text1"/>
          <w14:textFill>
            <w14:solidFill>
              <w14:schemeClr w14:val="tx1"/>
            </w14:solidFill>
          </w14:textFill>
        </w:rPr>
        <w:t>区域应急设施</w:t>
      </w:r>
    </w:p>
    <w:p w14:paraId="269A4C90">
      <w:pPr>
        <w:pStyle w:val="4"/>
        <w:rPr>
          <w:rFonts w:eastAsia="宋体"/>
          <w:color w:val="000000" w:themeColor="text1"/>
          <w14:textFill>
            <w14:solidFill>
              <w14:schemeClr w14:val="tx1"/>
            </w14:solidFill>
          </w14:textFill>
        </w:rPr>
      </w:pPr>
      <w:r>
        <w:rPr>
          <w:rFonts w:hint="eastAsia" w:eastAsia="宋体"/>
          <w:color w:val="000000" w:themeColor="text1"/>
          <w14:textFill>
            <w14:solidFill>
              <w14:schemeClr w14:val="tx1"/>
            </w14:solidFill>
          </w14:textFill>
        </w:rPr>
        <w:t xml:space="preserve"> </w:t>
      </w:r>
      <w:r>
        <w:rPr>
          <w:rFonts w:eastAsia="宋体"/>
          <w:color w:val="000000" w:themeColor="text1"/>
          <w14:textFill>
            <w14:solidFill>
              <w14:schemeClr w14:val="tx1"/>
            </w14:solidFill>
          </w14:textFill>
        </w:rPr>
        <w:t>船舶污染应急资源</w:t>
      </w:r>
    </w:p>
    <w:p w14:paraId="2DF4B7C7">
      <w:pPr>
        <w:ind w:firstLine="480"/>
        <w:rPr>
          <w:color w:val="000000" w:themeColor="text1"/>
          <w14:textFill>
            <w14:solidFill>
              <w14:schemeClr w14:val="tx1"/>
            </w14:solidFill>
          </w14:textFill>
        </w:rPr>
      </w:pPr>
      <w:r>
        <w:rPr>
          <w:color w:val="000000" w:themeColor="text1"/>
          <w14:textFill>
            <w14:solidFill>
              <w14:schemeClr w14:val="tx1"/>
            </w14:solidFill>
          </w14:textFill>
        </w:rPr>
        <w:t>钦州市现有船舶污染应急资源主要由钦州溢油应急设备库、船舶污染清除作业单位和港口企业建设的应急设备库组成。根据广西海事局统计资料，钦州市现有应急资源主要包括浮油回收船6艘、辅助船舶18艘、围油栏28250</w:t>
      </w:r>
      <w:r>
        <w:rPr>
          <w:rFonts w:hint="eastAsia"/>
          <w:color w:val="000000" w:themeColor="text1"/>
          <w14:textFill>
            <w14:solidFill>
              <w14:schemeClr w14:val="tx1"/>
            </w14:solidFill>
          </w14:textFill>
        </w:rPr>
        <w:t>m</w:t>
      </w:r>
      <w:r>
        <w:rPr>
          <w:color w:val="000000" w:themeColor="text1"/>
          <w14:textFill>
            <w14:solidFill>
              <w14:schemeClr w14:val="tx1"/>
            </w14:solidFill>
          </w14:textFill>
        </w:rPr>
        <w:t>、收油机21台、清洗机12台、喷洒装置29台、应急卸载泵5台、临时储存装置4603</w:t>
      </w:r>
      <w:r>
        <w:rPr>
          <w:rFonts w:hint="eastAsia"/>
          <w:color w:val="000000" w:themeColor="text1"/>
          <w14:textFill>
            <w14:solidFill>
              <w14:schemeClr w14:val="tx1"/>
            </w14:solidFill>
          </w14:textFill>
        </w:rPr>
        <w:t>m</w:t>
      </w:r>
      <w:r>
        <w:rPr>
          <w:rFonts w:hint="eastAsia"/>
          <w:color w:val="000000" w:themeColor="text1"/>
          <w:vertAlign w:val="superscript"/>
          <w14:textFill>
            <w14:solidFill>
              <w14:schemeClr w14:val="tx1"/>
            </w14:solidFill>
          </w14:textFill>
        </w:rPr>
        <w:t>3</w:t>
      </w:r>
      <w:r>
        <w:rPr>
          <w:color w:val="000000" w:themeColor="text1"/>
          <w14:textFill>
            <w14:solidFill>
              <w14:schemeClr w14:val="tx1"/>
            </w14:solidFill>
          </w14:textFill>
        </w:rPr>
        <w:t>、吸油毡53</w:t>
      </w:r>
      <w:r>
        <w:rPr>
          <w:rFonts w:hint="eastAsia"/>
          <w:color w:val="000000" w:themeColor="text1"/>
          <w14:textFill>
            <w14:solidFill>
              <w14:schemeClr w14:val="tx1"/>
            </w14:solidFill>
          </w14:textFill>
        </w:rPr>
        <w:t>t</w:t>
      </w:r>
      <w:r>
        <w:rPr>
          <w:color w:val="000000" w:themeColor="text1"/>
          <w14:textFill>
            <w14:solidFill>
              <w14:schemeClr w14:val="tx1"/>
            </w14:solidFill>
          </w14:textFill>
        </w:rPr>
        <w:t>、吸油拖栏12200</w:t>
      </w:r>
      <w:r>
        <w:rPr>
          <w:rFonts w:hint="eastAsia"/>
          <w:color w:val="000000" w:themeColor="text1"/>
          <w14:textFill>
            <w14:solidFill>
              <w14:schemeClr w14:val="tx1"/>
            </w14:solidFill>
          </w14:textFill>
        </w:rPr>
        <w:t>m</w:t>
      </w:r>
      <w:r>
        <w:rPr>
          <w:color w:val="000000" w:themeColor="text1"/>
          <w14:textFill>
            <w14:solidFill>
              <w14:schemeClr w14:val="tx1"/>
            </w14:solidFill>
          </w14:textFill>
        </w:rPr>
        <w:t>和消油剂55</w:t>
      </w:r>
      <w:r>
        <w:rPr>
          <w:rFonts w:hint="eastAsia"/>
          <w:color w:val="000000" w:themeColor="text1"/>
          <w14:textFill>
            <w14:solidFill>
              <w14:schemeClr w14:val="tx1"/>
            </w14:solidFill>
          </w14:textFill>
        </w:rPr>
        <w:t>t。</w:t>
      </w:r>
    </w:p>
    <w:p w14:paraId="709A8D3E">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（1）钦州溢油应急设备库</w:t>
      </w:r>
    </w:p>
    <w:p w14:paraId="1F1D2F28">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钦州溢油应急设备库是由交通运输部投资建设的国家中型应急设备库，按照一次综合溢油清除控制能力500t标准建设。</w:t>
      </w:r>
    </w:p>
    <w:p w14:paraId="5B898472">
      <w:pPr>
        <w:ind w:firstLine="480"/>
        <w:rPr>
          <w:color w:val="000000" w:themeColor="text1"/>
          <w14:textFill>
            <w14:solidFill>
              <w14:schemeClr w14:val="tx1"/>
            </w14:solidFill>
          </w14:textFill>
        </w:rPr>
      </w:pPr>
      <w:r>
        <w:rPr>
          <w:color w:val="000000" w:themeColor="text1"/>
          <w14:textFill>
            <w14:solidFill>
              <w14:schemeClr w14:val="tx1"/>
            </w14:solidFill>
          </w14:textFill>
        </w:rPr>
        <w:t>根据交通运输部《关于广西海事局钦州溢油应急设备库工程可行性研究报告的批复》（交规划发</w:t>
      </w:r>
      <w:r>
        <w:rPr>
          <w:rFonts w:hint="eastAsia"/>
          <w:color w:val="000000" w:themeColor="text1"/>
          <w14:textFill>
            <w14:solidFill>
              <w14:schemeClr w14:val="tx1"/>
            </w14:solidFill>
          </w14:textFill>
        </w:rPr>
        <w:t>〔2009〕507号</w:t>
      </w:r>
      <w:r>
        <w:rPr>
          <w:color w:val="000000" w:themeColor="text1"/>
          <w14:textFill>
            <w14:solidFill>
              <w14:schemeClr w14:val="tx1"/>
            </w14:solidFill>
          </w14:textFill>
        </w:rPr>
        <w:t>），设备库建设面积1000m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，设备操作训练场所2592m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，配备应急卸载、围控、回收、储运等应急设备（表</w:t>
      </w:r>
      <w:r>
        <w:rPr>
          <w:rFonts w:hint="eastAsia"/>
          <w:color w:val="000000" w:themeColor="text1"/>
          <w14:textFill>
            <w14:solidFill>
              <w14:schemeClr w14:val="tx1"/>
            </w14:solidFill>
          </w14:textFill>
        </w:rPr>
        <w:t>5.8-1</w:t>
      </w:r>
      <w:r>
        <w:rPr>
          <w:color w:val="000000" w:themeColor="text1"/>
          <w14:textFill>
            <w14:solidFill>
              <w14:schemeClr w14:val="tx1"/>
            </w14:solidFill>
          </w14:textFill>
        </w:rPr>
        <w:t>）总投资3300万元。该设备库位于钦州海巡基地（钦州港金谷港区勒沟作业区），地理位置有利于应急出海作业，相关设备设施已完成采购。</w:t>
      </w:r>
    </w:p>
    <w:p w14:paraId="55A6AA56">
      <w:pPr>
        <w:ind w:firstLine="480"/>
        <w:rPr>
          <w:color w:val="000000" w:themeColor="text1"/>
          <w14:textFill>
            <w14:solidFill>
              <w14:schemeClr w14:val="tx1"/>
            </w14:solidFill>
          </w14:textFill>
        </w:rPr>
      </w:pPr>
      <w:r>
        <w:rPr>
          <w:color w:val="000000" w:themeColor="text1"/>
          <w14:textFill>
            <w14:solidFill>
              <w14:schemeClr w14:val="tx1"/>
            </w14:solidFill>
          </w14:textFill>
        </w:rPr>
        <w:t>2012年4月，交通运输部投资6500万元建造的</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海巡1002</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在钦州应急反应基地列编。</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海巡1002</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主要用于广西沿海近岸海域船舶溢油事故的应急处置，包括溢油回收（回收舱舱容639</w:t>
      </w:r>
      <w:r>
        <w:rPr>
          <w:rFonts w:hint="eastAsia"/>
          <w:color w:val="000000" w:themeColor="text1"/>
          <w14:textFill>
            <w14:solidFill>
              <w14:schemeClr w14:val="tx1"/>
            </w14:solidFill>
          </w14:textFill>
        </w:rPr>
        <w:t>m</w:t>
      </w:r>
      <w:r>
        <w:rPr>
          <w:rFonts w:hint="eastAsia"/>
          <w:color w:val="000000" w:themeColor="text1"/>
          <w:vertAlign w:val="superscript"/>
          <w14:textFill>
            <w14:solidFill>
              <w14:schemeClr w14:val="tx1"/>
            </w14:solidFill>
          </w14:textFill>
        </w:rPr>
        <w:t>3</w:t>
      </w:r>
      <w:r>
        <w:rPr>
          <w:color w:val="000000" w:themeColor="text1"/>
          <w14:textFill>
            <w14:solidFill>
              <w14:schemeClr w14:val="tx1"/>
            </w14:solidFill>
          </w14:textFill>
        </w:rPr>
        <w:t>，回收能力200</w:t>
      </w:r>
      <w:r>
        <w:rPr>
          <w:rFonts w:hint="eastAsia"/>
          <w:color w:val="000000" w:themeColor="text1"/>
          <w14:textFill>
            <w14:solidFill>
              <w14:schemeClr w14:val="tx1"/>
            </w14:solidFill>
          </w14:textFill>
        </w:rPr>
        <w:t>m</w:t>
      </w:r>
      <w:r>
        <w:rPr>
          <w:rFonts w:hint="eastAsia"/>
          <w:color w:val="000000" w:themeColor="text1"/>
          <w:vertAlign w:val="superscript"/>
          <w14:textFill>
            <w14:solidFill>
              <w14:schemeClr w14:val="tx1"/>
            </w14:solidFill>
          </w14:textFill>
        </w:rPr>
        <w:t>3</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h</w:t>
      </w:r>
      <w:r>
        <w:rPr>
          <w:color w:val="000000" w:themeColor="text1"/>
          <w14:textFill>
            <w14:solidFill>
              <w14:schemeClr w14:val="tx1"/>
            </w14:solidFill>
          </w14:textFill>
        </w:rPr>
        <w:t>）、临时储存、处理等，并兼顾溢油围控、消油剂喷洒、应急辅助卸载、溢油监视和重点污染源监护等功能。</w:t>
      </w:r>
    </w:p>
    <w:p w14:paraId="5F997B14">
      <w:pPr>
        <w:ind w:firstLine="480"/>
        <w:rPr>
          <w:color w:val="000000" w:themeColor="text1"/>
          <w14:textFill>
            <w14:solidFill>
              <w14:schemeClr w14:val="tx1"/>
            </w14:solidFill>
          </w14:textFill>
        </w:rPr>
      </w:pPr>
      <w:r>
        <w:rPr>
          <w:color w:val="000000" w:themeColor="text1"/>
          <w14:textFill>
            <w14:solidFill>
              <w14:schemeClr w14:val="tx1"/>
            </w14:solidFill>
          </w14:textFill>
        </w:rPr>
        <w:t>钦州市海事局已配备围油栏2600</w:t>
      </w:r>
      <w:r>
        <w:rPr>
          <w:rFonts w:hint="eastAsia"/>
          <w:color w:val="000000" w:themeColor="text1"/>
          <w14:textFill>
            <w14:solidFill>
              <w14:schemeClr w14:val="tx1"/>
            </w14:solidFill>
          </w14:textFill>
        </w:rPr>
        <w:t>m</w:t>
      </w:r>
      <w:r>
        <w:rPr>
          <w:color w:val="000000" w:themeColor="text1"/>
          <w14:textFill>
            <w14:solidFill>
              <w14:schemeClr w14:val="tx1"/>
            </w14:solidFill>
          </w14:textFill>
        </w:rPr>
        <w:t>、收油机3台、吸油毡19</w:t>
      </w:r>
      <w:r>
        <w:rPr>
          <w:rFonts w:hint="eastAsia"/>
          <w:color w:val="000000" w:themeColor="text1"/>
          <w14:textFill>
            <w14:solidFill>
              <w14:schemeClr w14:val="tx1"/>
            </w14:solidFill>
          </w14:textFill>
        </w:rPr>
        <w:t>t</w:t>
      </w:r>
      <w:r>
        <w:rPr>
          <w:color w:val="000000" w:themeColor="text1"/>
          <w14:textFill>
            <w14:solidFill>
              <w14:schemeClr w14:val="tx1"/>
            </w14:solidFill>
          </w14:textFill>
        </w:rPr>
        <w:t>、吸油拖栏5600</w:t>
      </w:r>
      <w:r>
        <w:rPr>
          <w:rFonts w:hint="eastAsia"/>
          <w:color w:val="000000" w:themeColor="text1"/>
          <w14:textFill>
            <w14:solidFill>
              <w14:schemeClr w14:val="tx1"/>
            </w14:solidFill>
          </w14:textFill>
        </w:rPr>
        <w:t>m</w:t>
      </w:r>
      <w:r>
        <w:rPr>
          <w:color w:val="000000" w:themeColor="text1"/>
          <w14:textFill>
            <w14:solidFill>
              <w14:schemeClr w14:val="tx1"/>
            </w14:solidFill>
          </w14:textFill>
        </w:rPr>
        <w:t>等应急设备</w:t>
      </w:r>
      <w:r>
        <w:rPr>
          <w:rFonts w:hint="eastAsia"/>
          <w:color w:val="000000" w:themeColor="text1"/>
          <w14:textFill>
            <w14:solidFill>
              <w14:schemeClr w14:val="tx1"/>
            </w14:solidFill>
          </w14:textFill>
        </w:rPr>
        <w:t>。</w:t>
      </w:r>
    </w:p>
    <w:p w14:paraId="15B7B106">
      <w:pPr>
        <w:pStyle w:val="13"/>
        <w:rPr>
          <w:color w:val="000000" w:themeColor="text1"/>
          <w14:textFill>
            <w14:solidFill>
              <w14:schemeClr w14:val="tx1"/>
            </w14:solidFill>
          </w14:textFill>
        </w:rPr>
      </w:pPr>
    </w:p>
    <w:p w14:paraId="59D16B58">
      <w:pPr>
        <w:ind w:firstLine="480"/>
        <w:rPr>
          <w:color w:val="000000" w:themeColor="text1"/>
          <w14:textFill>
            <w14:solidFill>
              <w14:schemeClr w14:val="tx1"/>
            </w14:solidFill>
          </w14:textFill>
        </w:rPr>
      </w:pPr>
    </w:p>
    <w:p w14:paraId="1E1CF8E0">
      <w:pPr>
        <w:pStyle w:val="13"/>
        <w:rPr>
          <w:color w:val="000000" w:themeColor="text1"/>
          <w14:textFill>
            <w14:solidFill>
              <w14:schemeClr w14:val="tx1"/>
            </w14:solidFill>
          </w14:textFill>
        </w:rPr>
      </w:pPr>
    </w:p>
    <w:p w14:paraId="454ED1D7">
      <w:pPr>
        <w:pStyle w:val="7"/>
        <w:rPr>
          <w:color w:val="000000" w:themeColor="text1"/>
          <w14:textFill>
            <w14:solidFill>
              <w14:schemeClr w14:val="tx1"/>
            </w14:solidFill>
          </w14:textFill>
        </w:rPr>
      </w:pPr>
      <w:r>
        <w:rPr>
          <w:color w:val="000000" w:themeColor="text1"/>
          <w14:textFill>
            <w14:solidFill>
              <w14:schemeClr w14:val="tx1"/>
            </w14:solidFill>
          </w14:textFill>
        </w:rPr>
        <w:t>广西海事局钦州溢油应急设备库设备配备情况</w:t>
      </w:r>
    </w:p>
    <w:tbl>
      <w:tblPr>
        <w:tblStyle w:val="43"/>
        <w:tblW w:w="4951"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57" w:type="dxa"/>
          <w:bottom w:w="0" w:type="dxa"/>
          <w:right w:w="57" w:type="dxa"/>
        </w:tblCellMar>
      </w:tblPr>
      <w:tblGrid>
        <w:gridCol w:w="897"/>
        <w:gridCol w:w="4347"/>
        <w:gridCol w:w="1144"/>
        <w:gridCol w:w="1949"/>
      </w:tblGrid>
      <w:tr w14:paraId="3C78C89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340" w:hRule="atLeast"/>
          <w:tblHeader/>
          <w:jc w:val="center"/>
        </w:trPr>
        <w:tc>
          <w:tcPr>
            <w:tcW w:w="3145" w:type="pct"/>
            <w:gridSpan w:val="2"/>
            <w:vAlign w:val="center"/>
          </w:tcPr>
          <w:p w14:paraId="58BDA316">
            <w:pPr>
              <w:spacing w:line="240" w:lineRule="auto"/>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应急设备名称</w:t>
            </w:r>
          </w:p>
        </w:tc>
        <w:tc>
          <w:tcPr>
            <w:tcW w:w="686" w:type="pct"/>
            <w:vAlign w:val="center"/>
          </w:tcPr>
          <w:p w14:paraId="29AC4F1B">
            <w:pPr>
              <w:spacing w:line="240" w:lineRule="auto"/>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单位</w:t>
            </w:r>
          </w:p>
        </w:tc>
        <w:tc>
          <w:tcPr>
            <w:tcW w:w="1168" w:type="pct"/>
            <w:vAlign w:val="center"/>
          </w:tcPr>
          <w:p w14:paraId="77677D35">
            <w:pPr>
              <w:spacing w:line="240" w:lineRule="auto"/>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数量</w:t>
            </w:r>
          </w:p>
        </w:tc>
      </w:tr>
      <w:tr w14:paraId="2789F6D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5000" w:type="pct"/>
            <w:gridSpan w:val="4"/>
            <w:vAlign w:val="center"/>
          </w:tcPr>
          <w:p w14:paraId="0566CF89">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一、应急卸载设备</w:t>
            </w:r>
          </w:p>
        </w:tc>
      </w:tr>
      <w:tr w14:paraId="43FBAB8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538" w:type="pct"/>
            <w:vAlign w:val="center"/>
          </w:tcPr>
          <w:p w14:paraId="05CA4F6D">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1.1</w:t>
            </w:r>
          </w:p>
        </w:tc>
        <w:tc>
          <w:tcPr>
            <w:tcW w:w="2607" w:type="pct"/>
            <w:vAlign w:val="center"/>
          </w:tcPr>
          <w:p w14:paraId="5C55AE1A">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大型防腐蚀离心泵</w:t>
            </w:r>
          </w:p>
        </w:tc>
        <w:tc>
          <w:tcPr>
            <w:tcW w:w="686" w:type="pct"/>
            <w:vAlign w:val="center"/>
          </w:tcPr>
          <w:p w14:paraId="22DBEBFA">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套</w:t>
            </w:r>
          </w:p>
        </w:tc>
        <w:tc>
          <w:tcPr>
            <w:tcW w:w="1168" w:type="pct"/>
            <w:vAlign w:val="center"/>
          </w:tcPr>
          <w:p w14:paraId="381D536B">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w:t>
            </w:r>
          </w:p>
        </w:tc>
      </w:tr>
      <w:tr w14:paraId="1BD554D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538" w:type="pct"/>
            <w:vAlign w:val="center"/>
          </w:tcPr>
          <w:p w14:paraId="28098D6D">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1.2</w:t>
            </w:r>
          </w:p>
        </w:tc>
        <w:tc>
          <w:tcPr>
            <w:tcW w:w="2607" w:type="pct"/>
            <w:vAlign w:val="center"/>
          </w:tcPr>
          <w:p w14:paraId="2307370C">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大型螺杆卸载泵</w:t>
            </w:r>
          </w:p>
        </w:tc>
        <w:tc>
          <w:tcPr>
            <w:tcW w:w="686" w:type="pct"/>
            <w:vAlign w:val="center"/>
          </w:tcPr>
          <w:p w14:paraId="65758FD1">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套</w:t>
            </w:r>
          </w:p>
        </w:tc>
        <w:tc>
          <w:tcPr>
            <w:tcW w:w="1168" w:type="pct"/>
            <w:vAlign w:val="center"/>
          </w:tcPr>
          <w:p w14:paraId="55D3D815">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w:t>
            </w:r>
          </w:p>
        </w:tc>
      </w:tr>
      <w:tr w14:paraId="7A21B3C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538" w:type="pct"/>
            <w:vAlign w:val="center"/>
          </w:tcPr>
          <w:p w14:paraId="76973CE3">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1.3</w:t>
            </w:r>
          </w:p>
        </w:tc>
        <w:tc>
          <w:tcPr>
            <w:tcW w:w="2607" w:type="pct"/>
            <w:vAlign w:val="center"/>
          </w:tcPr>
          <w:p w14:paraId="70E46BB7">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中型螺杆卸载泵</w:t>
            </w:r>
          </w:p>
        </w:tc>
        <w:tc>
          <w:tcPr>
            <w:tcW w:w="686" w:type="pct"/>
            <w:vAlign w:val="center"/>
          </w:tcPr>
          <w:p w14:paraId="6A2FB63B">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套</w:t>
            </w:r>
          </w:p>
        </w:tc>
        <w:tc>
          <w:tcPr>
            <w:tcW w:w="1168" w:type="pct"/>
            <w:vAlign w:val="center"/>
          </w:tcPr>
          <w:p w14:paraId="0E2FADC1">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w:t>
            </w:r>
          </w:p>
        </w:tc>
      </w:tr>
      <w:tr w14:paraId="07C7CB0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538" w:type="pct"/>
            <w:vAlign w:val="center"/>
          </w:tcPr>
          <w:p w14:paraId="7376434E">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1.4</w:t>
            </w:r>
          </w:p>
        </w:tc>
        <w:tc>
          <w:tcPr>
            <w:tcW w:w="2607" w:type="pct"/>
            <w:vAlign w:val="center"/>
          </w:tcPr>
          <w:p w14:paraId="764E0789">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小型螺杆卸载泵</w:t>
            </w:r>
          </w:p>
        </w:tc>
        <w:tc>
          <w:tcPr>
            <w:tcW w:w="686" w:type="pct"/>
            <w:vAlign w:val="center"/>
          </w:tcPr>
          <w:p w14:paraId="4CB9EA7B">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套</w:t>
            </w:r>
          </w:p>
        </w:tc>
        <w:tc>
          <w:tcPr>
            <w:tcW w:w="1168" w:type="pct"/>
            <w:vAlign w:val="center"/>
          </w:tcPr>
          <w:p w14:paraId="2AB13479">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w:t>
            </w:r>
          </w:p>
        </w:tc>
      </w:tr>
      <w:tr w14:paraId="11B65CE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5000" w:type="pct"/>
            <w:gridSpan w:val="4"/>
            <w:vAlign w:val="center"/>
          </w:tcPr>
          <w:p w14:paraId="457BE586">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二、溢油围控设备</w:t>
            </w:r>
          </w:p>
        </w:tc>
      </w:tr>
      <w:tr w14:paraId="3D91D20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538" w:type="pct"/>
            <w:vAlign w:val="center"/>
          </w:tcPr>
          <w:p w14:paraId="31A2DCCC">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2.1</w:t>
            </w:r>
          </w:p>
        </w:tc>
        <w:tc>
          <w:tcPr>
            <w:tcW w:w="2607" w:type="pct"/>
            <w:vAlign w:val="center"/>
          </w:tcPr>
          <w:p w14:paraId="5F384C96">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海洋型充气式围油栏</w:t>
            </w:r>
          </w:p>
        </w:tc>
        <w:tc>
          <w:tcPr>
            <w:tcW w:w="686" w:type="pct"/>
            <w:vAlign w:val="center"/>
          </w:tcPr>
          <w:p w14:paraId="09F59D35">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m</w:t>
            </w:r>
          </w:p>
        </w:tc>
        <w:tc>
          <w:tcPr>
            <w:tcW w:w="1168" w:type="pct"/>
            <w:vAlign w:val="center"/>
          </w:tcPr>
          <w:p w14:paraId="18576CBB">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800</w:t>
            </w:r>
          </w:p>
        </w:tc>
      </w:tr>
      <w:tr w14:paraId="56B99AF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538" w:type="pct"/>
            <w:vAlign w:val="center"/>
          </w:tcPr>
          <w:p w14:paraId="6A6530EF">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2.2</w:t>
            </w:r>
          </w:p>
        </w:tc>
        <w:tc>
          <w:tcPr>
            <w:tcW w:w="2607" w:type="pct"/>
            <w:vAlign w:val="center"/>
          </w:tcPr>
          <w:p w14:paraId="77FACBFC">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防火围油栏</w:t>
            </w:r>
          </w:p>
        </w:tc>
        <w:tc>
          <w:tcPr>
            <w:tcW w:w="686" w:type="pct"/>
            <w:vAlign w:val="center"/>
          </w:tcPr>
          <w:p w14:paraId="3D056898">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m</w:t>
            </w:r>
          </w:p>
        </w:tc>
        <w:tc>
          <w:tcPr>
            <w:tcW w:w="1168" w:type="pct"/>
            <w:vAlign w:val="center"/>
          </w:tcPr>
          <w:p w14:paraId="068D9303">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500</w:t>
            </w:r>
          </w:p>
        </w:tc>
      </w:tr>
      <w:tr w14:paraId="0558EE8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5000" w:type="pct"/>
            <w:gridSpan w:val="4"/>
            <w:vAlign w:val="center"/>
          </w:tcPr>
          <w:p w14:paraId="6B7D03D6">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三、溢油回收设备</w:t>
            </w:r>
          </w:p>
        </w:tc>
      </w:tr>
      <w:tr w14:paraId="3E523B6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538" w:type="pct"/>
            <w:vAlign w:val="center"/>
          </w:tcPr>
          <w:p w14:paraId="09579023">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3.1</w:t>
            </w:r>
          </w:p>
        </w:tc>
        <w:tc>
          <w:tcPr>
            <w:tcW w:w="2607" w:type="pct"/>
            <w:vAlign w:val="center"/>
          </w:tcPr>
          <w:p w14:paraId="3EC6BD08">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大型收油机</w:t>
            </w:r>
          </w:p>
        </w:tc>
        <w:tc>
          <w:tcPr>
            <w:tcW w:w="686" w:type="pct"/>
            <w:vAlign w:val="center"/>
          </w:tcPr>
          <w:p w14:paraId="4EE19157">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套</w:t>
            </w:r>
          </w:p>
        </w:tc>
        <w:tc>
          <w:tcPr>
            <w:tcW w:w="1168" w:type="pct"/>
            <w:vAlign w:val="center"/>
          </w:tcPr>
          <w:p w14:paraId="5286E02A">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w:t>
            </w:r>
          </w:p>
        </w:tc>
      </w:tr>
      <w:tr w14:paraId="53053CB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538" w:type="pct"/>
            <w:vAlign w:val="center"/>
          </w:tcPr>
          <w:p w14:paraId="316A20DF">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3.2</w:t>
            </w:r>
          </w:p>
        </w:tc>
        <w:tc>
          <w:tcPr>
            <w:tcW w:w="2607" w:type="pct"/>
            <w:vAlign w:val="center"/>
          </w:tcPr>
          <w:p w14:paraId="0D5E68A0">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中型收油机</w:t>
            </w:r>
          </w:p>
        </w:tc>
        <w:tc>
          <w:tcPr>
            <w:tcW w:w="686" w:type="pct"/>
            <w:vAlign w:val="center"/>
          </w:tcPr>
          <w:p w14:paraId="5C05CFCF">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套</w:t>
            </w:r>
          </w:p>
        </w:tc>
        <w:tc>
          <w:tcPr>
            <w:tcW w:w="1168" w:type="pct"/>
            <w:vAlign w:val="center"/>
          </w:tcPr>
          <w:p w14:paraId="58EB9B5A">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w:t>
            </w:r>
          </w:p>
        </w:tc>
      </w:tr>
      <w:tr w14:paraId="0475D34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538" w:type="pct"/>
            <w:vAlign w:val="center"/>
          </w:tcPr>
          <w:p w14:paraId="324A431D">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3.3</w:t>
            </w:r>
          </w:p>
        </w:tc>
        <w:tc>
          <w:tcPr>
            <w:tcW w:w="2607" w:type="pct"/>
            <w:vAlign w:val="center"/>
          </w:tcPr>
          <w:p w14:paraId="07F5C885">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小型收油机</w:t>
            </w:r>
          </w:p>
        </w:tc>
        <w:tc>
          <w:tcPr>
            <w:tcW w:w="686" w:type="pct"/>
            <w:vAlign w:val="center"/>
          </w:tcPr>
          <w:p w14:paraId="3FDD83ED">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套</w:t>
            </w:r>
          </w:p>
        </w:tc>
        <w:tc>
          <w:tcPr>
            <w:tcW w:w="1168" w:type="pct"/>
            <w:vAlign w:val="center"/>
          </w:tcPr>
          <w:p w14:paraId="4B768AE8">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w:t>
            </w:r>
          </w:p>
        </w:tc>
      </w:tr>
      <w:tr w14:paraId="0C67474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538" w:type="pct"/>
            <w:vAlign w:val="center"/>
          </w:tcPr>
          <w:p w14:paraId="6E8A5922">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3.4</w:t>
            </w:r>
          </w:p>
        </w:tc>
        <w:tc>
          <w:tcPr>
            <w:tcW w:w="2607" w:type="pct"/>
            <w:vAlign w:val="center"/>
          </w:tcPr>
          <w:p w14:paraId="59276FBE">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自航式收油机</w:t>
            </w:r>
          </w:p>
        </w:tc>
        <w:tc>
          <w:tcPr>
            <w:tcW w:w="686" w:type="pct"/>
            <w:vAlign w:val="center"/>
          </w:tcPr>
          <w:p w14:paraId="4B4A8E93">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套</w:t>
            </w:r>
          </w:p>
        </w:tc>
        <w:tc>
          <w:tcPr>
            <w:tcW w:w="1168" w:type="pct"/>
            <w:vAlign w:val="center"/>
          </w:tcPr>
          <w:p w14:paraId="2771C155">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w:t>
            </w:r>
          </w:p>
        </w:tc>
      </w:tr>
      <w:tr w14:paraId="7224334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5000" w:type="pct"/>
            <w:gridSpan w:val="4"/>
            <w:vAlign w:val="center"/>
          </w:tcPr>
          <w:p w14:paraId="726B3DCB">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四、油污储运设备</w:t>
            </w:r>
          </w:p>
        </w:tc>
      </w:tr>
      <w:tr w14:paraId="24E3964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538" w:type="pct"/>
            <w:vAlign w:val="center"/>
          </w:tcPr>
          <w:p w14:paraId="3F3AC454">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4.1</w:t>
            </w:r>
          </w:p>
        </w:tc>
        <w:tc>
          <w:tcPr>
            <w:tcW w:w="2607" w:type="pct"/>
            <w:vAlign w:val="center"/>
          </w:tcPr>
          <w:p w14:paraId="3A0EE12A">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轻便储油囊</w:t>
            </w:r>
          </w:p>
        </w:tc>
        <w:tc>
          <w:tcPr>
            <w:tcW w:w="686" w:type="pct"/>
            <w:vAlign w:val="center"/>
          </w:tcPr>
          <w:p w14:paraId="72F7443D">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个</w:t>
            </w:r>
          </w:p>
        </w:tc>
        <w:tc>
          <w:tcPr>
            <w:tcW w:w="1168" w:type="pct"/>
            <w:vAlign w:val="center"/>
          </w:tcPr>
          <w:p w14:paraId="10D64032">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w:t>
            </w:r>
          </w:p>
        </w:tc>
      </w:tr>
      <w:tr w14:paraId="1064CF5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5000" w:type="pct"/>
            <w:gridSpan w:val="4"/>
            <w:vAlign w:val="center"/>
          </w:tcPr>
          <w:p w14:paraId="01ECCF2C">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五、溢油分散物质</w:t>
            </w:r>
          </w:p>
        </w:tc>
      </w:tr>
      <w:tr w14:paraId="2758AD6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538" w:type="pct"/>
            <w:vAlign w:val="center"/>
          </w:tcPr>
          <w:p w14:paraId="77E9127A">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5.1</w:t>
            </w:r>
          </w:p>
        </w:tc>
        <w:tc>
          <w:tcPr>
            <w:tcW w:w="2607" w:type="pct"/>
            <w:vAlign w:val="center"/>
          </w:tcPr>
          <w:p w14:paraId="06A9ECD3">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浓缩分散剂</w:t>
            </w:r>
          </w:p>
        </w:tc>
        <w:tc>
          <w:tcPr>
            <w:tcW w:w="686" w:type="pct"/>
            <w:vAlign w:val="center"/>
          </w:tcPr>
          <w:p w14:paraId="2121BF5E">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吨</w:t>
            </w:r>
          </w:p>
        </w:tc>
        <w:tc>
          <w:tcPr>
            <w:tcW w:w="1168" w:type="pct"/>
            <w:vAlign w:val="center"/>
          </w:tcPr>
          <w:p w14:paraId="3D5D1A83">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4</w:t>
            </w:r>
          </w:p>
        </w:tc>
      </w:tr>
      <w:tr w14:paraId="4A53356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538" w:type="pct"/>
            <w:vAlign w:val="center"/>
          </w:tcPr>
          <w:p w14:paraId="36C9F4D2">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5.2</w:t>
            </w:r>
          </w:p>
        </w:tc>
        <w:tc>
          <w:tcPr>
            <w:tcW w:w="2607" w:type="pct"/>
            <w:vAlign w:val="center"/>
          </w:tcPr>
          <w:p w14:paraId="5FF3A0F3">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船用喷洒装置</w:t>
            </w:r>
          </w:p>
        </w:tc>
        <w:tc>
          <w:tcPr>
            <w:tcW w:w="686" w:type="pct"/>
            <w:vAlign w:val="center"/>
          </w:tcPr>
          <w:p w14:paraId="3EAE1031">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套</w:t>
            </w:r>
          </w:p>
        </w:tc>
        <w:tc>
          <w:tcPr>
            <w:tcW w:w="1168" w:type="pct"/>
            <w:vAlign w:val="center"/>
          </w:tcPr>
          <w:p w14:paraId="6AE80F2D">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w:t>
            </w:r>
          </w:p>
        </w:tc>
      </w:tr>
      <w:tr w14:paraId="17E9445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5000" w:type="pct"/>
            <w:gridSpan w:val="4"/>
            <w:vAlign w:val="center"/>
          </w:tcPr>
          <w:p w14:paraId="7597EBDB">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六、溢油吸附材料</w:t>
            </w:r>
          </w:p>
        </w:tc>
      </w:tr>
      <w:tr w14:paraId="2300E1F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538" w:type="pct"/>
            <w:vAlign w:val="center"/>
          </w:tcPr>
          <w:p w14:paraId="42C5BB69">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6.1</w:t>
            </w:r>
          </w:p>
        </w:tc>
        <w:tc>
          <w:tcPr>
            <w:tcW w:w="2607" w:type="pct"/>
            <w:vAlign w:val="center"/>
          </w:tcPr>
          <w:p w14:paraId="547221DD">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吸油毡</w:t>
            </w:r>
          </w:p>
        </w:tc>
        <w:tc>
          <w:tcPr>
            <w:tcW w:w="686" w:type="pct"/>
            <w:vAlign w:val="center"/>
          </w:tcPr>
          <w:p w14:paraId="71068186">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吨</w:t>
            </w:r>
          </w:p>
        </w:tc>
        <w:tc>
          <w:tcPr>
            <w:tcW w:w="1168" w:type="pct"/>
            <w:vAlign w:val="center"/>
          </w:tcPr>
          <w:p w14:paraId="479ED0A0">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5</w:t>
            </w:r>
          </w:p>
        </w:tc>
      </w:tr>
      <w:tr w14:paraId="67DF239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538" w:type="pct"/>
            <w:vAlign w:val="center"/>
          </w:tcPr>
          <w:p w14:paraId="4CB3D029">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6.2</w:t>
            </w:r>
          </w:p>
        </w:tc>
        <w:tc>
          <w:tcPr>
            <w:tcW w:w="2607" w:type="pct"/>
            <w:vAlign w:val="center"/>
          </w:tcPr>
          <w:p w14:paraId="1F015215">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吸油拖栏</w:t>
            </w:r>
          </w:p>
        </w:tc>
        <w:tc>
          <w:tcPr>
            <w:tcW w:w="686" w:type="pct"/>
            <w:vAlign w:val="center"/>
          </w:tcPr>
          <w:p w14:paraId="1938E995">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套</w:t>
            </w:r>
          </w:p>
        </w:tc>
        <w:tc>
          <w:tcPr>
            <w:tcW w:w="1168" w:type="pct"/>
            <w:vAlign w:val="center"/>
          </w:tcPr>
          <w:p w14:paraId="47B552A9">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400</w:t>
            </w:r>
          </w:p>
        </w:tc>
      </w:tr>
      <w:tr w14:paraId="7770B57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5000" w:type="pct"/>
            <w:gridSpan w:val="4"/>
            <w:vAlign w:val="center"/>
          </w:tcPr>
          <w:p w14:paraId="29597D8A">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七、配套设备</w:t>
            </w:r>
          </w:p>
        </w:tc>
      </w:tr>
      <w:tr w14:paraId="6FFD1C8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538" w:type="pct"/>
            <w:vAlign w:val="center"/>
          </w:tcPr>
          <w:p w14:paraId="24AA3C30">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7.1</w:t>
            </w:r>
          </w:p>
        </w:tc>
        <w:tc>
          <w:tcPr>
            <w:tcW w:w="2607" w:type="pct"/>
            <w:vAlign w:val="center"/>
          </w:tcPr>
          <w:p w14:paraId="0DF93192">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高压热水清洗机</w:t>
            </w:r>
          </w:p>
        </w:tc>
        <w:tc>
          <w:tcPr>
            <w:tcW w:w="686" w:type="pct"/>
            <w:vAlign w:val="center"/>
          </w:tcPr>
          <w:p w14:paraId="7D67FF32">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台</w:t>
            </w:r>
          </w:p>
        </w:tc>
        <w:tc>
          <w:tcPr>
            <w:tcW w:w="1168" w:type="pct"/>
            <w:vAlign w:val="center"/>
          </w:tcPr>
          <w:p w14:paraId="52A57DEB">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w:t>
            </w:r>
          </w:p>
        </w:tc>
      </w:tr>
      <w:tr w14:paraId="260E9E5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538" w:type="pct"/>
            <w:vAlign w:val="center"/>
          </w:tcPr>
          <w:p w14:paraId="4475D079">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7.2</w:t>
            </w:r>
          </w:p>
        </w:tc>
        <w:tc>
          <w:tcPr>
            <w:tcW w:w="2607" w:type="pct"/>
            <w:vAlign w:val="center"/>
          </w:tcPr>
          <w:p w14:paraId="0ABA27B5">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防护用品1</w:t>
            </w:r>
          </w:p>
        </w:tc>
        <w:tc>
          <w:tcPr>
            <w:tcW w:w="686" w:type="pct"/>
            <w:vAlign w:val="center"/>
          </w:tcPr>
          <w:p w14:paraId="29CD8C0C">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套</w:t>
            </w:r>
          </w:p>
        </w:tc>
        <w:tc>
          <w:tcPr>
            <w:tcW w:w="1168" w:type="pct"/>
            <w:vAlign w:val="center"/>
          </w:tcPr>
          <w:p w14:paraId="5409C138">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20</w:t>
            </w:r>
          </w:p>
        </w:tc>
      </w:tr>
      <w:tr w14:paraId="6C5132A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538" w:type="pct"/>
            <w:vAlign w:val="center"/>
          </w:tcPr>
          <w:p w14:paraId="1F1ED964">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7.3</w:t>
            </w:r>
          </w:p>
        </w:tc>
        <w:tc>
          <w:tcPr>
            <w:tcW w:w="2607" w:type="pct"/>
            <w:vAlign w:val="center"/>
          </w:tcPr>
          <w:p w14:paraId="0B7C368C">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防护用品2</w:t>
            </w:r>
          </w:p>
        </w:tc>
        <w:tc>
          <w:tcPr>
            <w:tcW w:w="686" w:type="pct"/>
            <w:vAlign w:val="center"/>
          </w:tcPr>
          <w:p w14:paraId="67B0716A">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套</w:t>
            </w:r>
          </w:p>
        </w:tc>
        <w:tc>
          <w:tcPr>
            <w:tcW w:w="1168" w:type="pct"/>
            <w:vAlign w:val="center"/>
          </w:tcPr>
          <w:p w14:paraId="3F40BEE3">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15</w:t>
            </w:r>
          </w:p>
        </w:tc>
      </w:tr>
      <w:tr w14:paraId="23B9BCE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538" w:type="pct"/>
            <w:vAlign w:val="center"/>
          </w:tcPr>
          <w:p w14:paraId="14B70C78">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7.4</w:t>
            </w:r>
          </w:p>
        </w:tc>
        <w:tc>
          <w:tcPr>
            <w:tcW w:w="2607" w:type="pct"/>
            <w:vAlign w:val="center"/>
          </w:tcPr>
          <w:p w14:paraId="336A58C6">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后勤保障用品</w:t>
            </w:r>
          </w:p>
        </w:tc>
        <w:tc>
          <w:tcPr>
            <w:tcW w:w="686" w:type="pct"/>
            <w:vAlign w:val="center"/>
          </w:tcPr>
          <w:p w14:paraId="4CB69C5D">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套</w:t>
            </w:r>
          </w:p>
        </w:tc>
        <w:tc>
          <w:tcPr>
            <w:tcW w:w="1168" w:type="pct"/>
            <w:vAlign w:val="center"/>
          </w:tcPr>
          <w:p w14:paraId="02065CDA">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w:t>
            </w:r>
          </w:p>
        </w:tc>
      </w:tr>
    </w:tbl>
    <w:p w14:paraId="3F946C0A">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（2）船舶污染清除单位</w:t>
      </w:r>
    </w:p>
    <w:p w14:paraId="4993C7E4">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钦州辖区现有钦州市桂通船舶服务有限公司、广西鑫丰海洋科技环保有限公司、钦州市苏南船舶服务有限公司3家专业船舶污染清除单位，共配备应急处置船6艘、辅助船舶18艘、围油栏18800m、收油机12台、喷洒装置24台、应急卸载泵5台、临时储存装置4602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、吸油毡24t、高压清洗机12台、吸油拖栏6000m、消油剂44t。</w:t>
      </w:r>
    </w:p>
    <w:p w14:paraId="1B6D9084">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综上，本项目所在钦州港域社会力量和港口码头企业应急资源较丰富，应急能力较强，而且距离本项目较近，可以及时为本项目提供有效应急支持，减轻溢油进入海域。</w:t>
      </w:r>
    </w:p>
    <w:p w14:paraId="7187D70E">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3</w:t>
      </w:r>
      <w:r>
        <w:rPr>
          <w:rFonts w:hint="eastAsia"/>
          <w:color w:val="000000" w:themeColor="text1"/>
          <w14:textFill>
            <w14:solidFill>
              <w14:schemeClr w14:val="tx1"/>
            </w14:solidFill>
          </w14:textFill>
        </w:rPr>
        <w:t>）完善应急设备和物资的相关建议</w:t>
      </w:r>
    </w:p>
    <w:p w14:paraId="23771B58">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根据《北部湾港总体规划（2035年）环境影响报告书》，目前北部湾配备的应急设备和物资，主要是针对油品或类油类物质的应急，针对化学品应急的设备较少。根据航道交汇处最大化学品船可能最大泄漏量，化学品应急目标为6800t，港区化学品应急物资配备应为区域应急目标的5~10%，考虑未来北部湾港化学品吞吐量迅速增长，建议按高值配备，取值10%，则北部湾港化学品清污能力应达到680t。</w:t>
      </w:r>
    </w:p>
    <w:p w14:paraId="2B411C18">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建议北海市、钦州市、防城港市加快辖区的化学品应急反应能力的建设。政府设备库、船舶污染企业对危化品应急物资进行适当补充。应急物资针对主要危险品货种配备相应的大气、水质监测设备、防治化学品在水中扩散和蒸发设备等，防治化学品如针对</w:t>
      </w:r>
      <w:r>
        <w:rPr>
          <w:color w:val="000000" w:themeColor="text1"/>
          <w14:textFill>
            <w14:solidFill>
              <w14:schemeClr w14:val="tx1"/>
            </w14:solidFill>
          </w14:textFill>
        </w:rPr>
        <w:t>水溶性化学品</w:t>
      </w:r>
      <w:r>
        <w:rPr>
          <w:rFonts w:hint="eastAsia"/>
          <w:color w:val="000000" w:themeColor="text1"/>
          <w14:textFill>
            <w14:solidFill>
              <w14:schemeClr w14:val="tx1"/>
            </w14:solidFill>
          </w14:textFill>
        </w:rPr>
        <w:t>泄漏入海的氧化还原剂、中和剂、絮凝剂、多孔性活性炭等。此外，为了有效防范危险化学品在运输、装卸、停泊中发生的泄漏事故，保障港区内危险化学品码头作业、危险化学品船舶运输以及人民群众生命、财产安全，建议港区也应进一步加强危化品应急设备及物资的储备。</w:t>
      </w:r>
    </w:p>
    <w:p w14:paraId="12F163EF">
      <w:pPr>
        <w:pStyle w:val="4"/>
        <w:rPr>
          <w:rFonts w:eastAsia="宋体"/>
          <w:color w:val="000000" w:themeColor="text1"/>
          <w14:textFill>
            <w14:solidFill>
              <w14:schemeClr w14:val="tx1"/>
            </w14:solidFill>
          </w14:textFill>
        </w:rPr>
      </w:pPr>
      <w:r>
        <w:rPr>
          <w:rFonts w:hint="eastAsia" w:eastAsia="宋体"/>
          <w:color w:val="000000" w:themeColor="text1"/>
          <w14:textFill>
            <w14:solidFill>
              <w14:schemeClr w14:val="tx1"/>
            </w14:solidFill>
          </w14:textFill>
        </w:rPr>
        <w:t>可协调的外部应急救援资源</w:t>
      </w:r>
    </w:p>
    <w:p w14:paraId="6FBDBD8D">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周边可协调的外部应急救援资源主要有中国石油广西石化公司码头库区、广西广明码头仓储有限公司、广西华谊能源化工有限公司、广西华临码头有限公司等单位。</w:t>
      </w:r>
    </w:p>
    <w:p w14:paraId="096870F5">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（1）中国石油广西石化公司</w:t>
      </w:r>
    </w:p>
    <w:p w14:paraId="53FD4F30">
      <w:pPr>
        <w:ind w:firstLine="480"/>
        <w:rPr>
          <w:b/>
          <w:bCs/>
          <w:color w:val="000000" w:themeColor="text1"/>
          <w14:textFill>
            <w14:solidFill>
              <w14:schemeClr w14:val="tx1"/>
            </w14:solidFill>
          </w14:textFill>
        </w:rPr>
      </w:pPr>
      <w:r>
        <w:rPr>
          <w:rFonts w:hint="eastAsia"/>
          <w:color w:val="000000" w:themeColor="text1"/>
          <w14:textFill>
            <w14:solidFill>
              <w14:schemeClr w14:val="tx1"/>
            </w14:solidFill>
          </w14:textFill>
        </w:rPr>
        <w:t>中国石油广西石化公司码头库区应急资源情况详见表5.7-4、表5.8-3所示。</w:t>
      </w:r>
    </w:p>
    <w:p w14:paraId="6E6FB715">
      <w:pPr>
        <w:pStyle w:val="7"/>
        <w:rPr>
          <w:color w:val="000000" w:themeColor="text1"/>
          <w14:textFill>
            <w14:solidFill>
              <w14:schemeClr w14:val="tx1"/>
            </w14:solidFill>
          </w14:textFill>
        </w:rPr>
      </w:pPr>
      <w:r>
        <w:rPr>
          <w:color w:val="000000" w:themeColor="text1"/>
          <w14:textFill>
            <w14:solidFill>
              <w14:schemeClr w14:val="tx1"/>
            </w14:solidFill>
          </w14:textFill>
        </w:rPr>
        <w:t>中国石油广西石化公司码头溢油应急物资清单</w:t>
      </w:r>
    </w:p>
    <w:tbl>
      <w:tblPr>
        <w:tblStyle w:val="43"/>
        <w:tblW w:w="4889" w:type="pct"/>
        <w:tblInd w:w="101"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950"/>
        <w:gridCol w:w="2332"/>
        <w:gridCol w:w="2314"/>
        <w:gridCol w:w="1619"/>
        <w:gridCol w:w="1118"/>
      </w:tblGrid>
      <w:tr w14:paraId="214FFDA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trPr>
        <w:tc>
          <w:tcPr>
            <w:tcW w:w="570" w:type="pct"/>
            <w:vAlign w:val="center"/>
          </w:tcPr>
          <w:p w14:paraId="57AAABD6">
            <w:pPr>
              <w:adjustRightInd w:val="0"/>
              <w:snapToGrid w:val="0"/>
              <w:spacing w:line="240" w:lineRule="auto"/>
              <w:ind w:firstLine="0" w:firstLineChars="0"/>
              <w:jc w:val="center"/>
              <w:rPr>
                <w:b/>
                <w:bCs/>
                <w:color w:val="000000" w:themeColor="text1"/>
                <w:kern w:val="0"/>
                <w:sz w:val="21"/>
                <w:szCs w:val="21"/>
                <w14:textFill>
                  <w14:solidFill>
                    <w14:schemeClr w14:val="tx1"/>
                  </w14:solidFill>
                </w14:textFill>
              </w:rPr>
            </w:pPr>
            <w:r>
              <w:rPr>
                <w:b/>
                <w:bCs/>
                <w:color w:val="000000" w:themeColor="text1"/>
                <w:kern w:val="0"/>
                <w:sz w:val="21"/>
                <w:szCs w:val="21"/>
                <w14:textFill>
                  <w14:solidFill>
                    <w14:schemeClr w14:val="tx1"/>
                  </w14:solidFill>
                </w14:textFill>
              </w:rPr>
              <w:t>序号</w:t>
            </w:r>
          </w:p>
        </w:tc>
        <w:tc>
          <w:tcPr>
            <w:tcW w:w="1399" w:type="pct"/>
            <w:vAlign w:val="center"/>
          </w:tcPr>
          <w:p w14:paraId="6FBB321D">
            <w:pPr>
              <w:adjustRightInd w:val="0"/>
              <w:snapToGrid w:val="0"/>
              <w:spacing w:line="240" w:lineRule="auto"/>
              <w:ind w:firstLine="0" w:firstLineChars="0"/>
              <w:jc w:val="center"/>
              <w:rPr>
                <w:b/>
                <w:bCs/>
                <w:color w:val="000000" w:themeColor="text1"/>
                <w:kern w:val="0"/>
                <w:sz w:val="21"/>
                <w:szCs w:val="21"/>
                <w14:textFill>
                  <w14:solidFill>
                    <w14:schemeClr w14:val="tx1"/>
                  </w14:solidFill>
                </w14:textFill>
              </w:rPr>
            </w:pPr>
            <w:r>
              <w:rPr>
                <w:b/>
                <w:bCs/>
                <w:color w:val="000000" w:themeColor="text1"/>
                <w:kern w:val="0"/>
                <w:sz w:val="21"/>
                <w:szCs w:val="21"/>
                <w14:textFill>
                  <w14:solidFill>
                    <w14:schemeClr w14:val="tx1"/>
                  </w14:solidFill>
                </w14:textFill>
              </w:rPr>
              <w:t>应急物资名称</w:t>
            </w:r>
          </w:p>
        </w:tc>
        <w:tc>
          <w:tcPr>
            <w:tcW w:w="1388" w:type="pct"/>
            <w:vAlign w:val="center"/>
          </w:tcPr>
          <w:p w14:paraId="3630D115">
            <w:pPr>
              <w:adjustRightInd w:val="0"/>
              <w:snapToGrid w:val="0"/>
              <w:spacing w:line="240" w:lineRule="auto"/>
              <w:ind w:firstLine="0" w:firstLineChars="0"/>
              <w:jc w:val="center"/>
              <w:rPr>
                <w:b/>
                <w:bCs/>
                <w:color w:val="000000" w:themeColor="text1"/>
                <w:kern w:val="0"/>
                <w:sz w:val="21"/>
                <w:szCs w:val="21"/>
                <w14:textFill>
                  <w14:solidFill>
                    <w14:schemeClr w14:val="tx1"/>
                  </w14:solidFill>
                </w14:textFill>
              </w:rPr>
            </w:pPr>
            <w:r>
              <w:rPr>
                <w:b/>
                <w:bCs/>
                <w:color w:val="000000" w:themeColor="text1"/>
                <w:kern w:val="0"/>
                <w:sz w:val="21"/>
                <w:szCs w:val="21"/>
                <w14:textFill>
                  <w14:solidFill>
                    <w14:schemeClr w14:val="tx1"/>
                  </w14:solidFill>
                </w14:textFill>
              </w:rPr>
              <w:t>规格（型号）/主要参数</w:t>
            </w:r>
          </w:p>
        </w:tc>
        <w:tc>
          <w:tcPr>
            <w:tcW w:w="971" w:type="pct"/>
            <w:vAlign w:val="center"/>
          </w:tcPr>
          <w:p w14:paraId="65D87978">
            <w:pPr>
              <w:adjustRightInd w:val="0"/>
              <w:snapToGrid w:val="0"/>
              <w:spacing w:line="240" w:lineRule="auto"/>
              <w:ind w:firstLine="0" w:firstLineChars="0"/>
              <w:jc w:val="center"/>
              <w:rPr>
                <w:b/>
                <w:bCs/>
                <w:color w:val="000000" w:themeColor="text1"/>
                <w:kern w:val="0"/>
                <w:sz w:val="21"/>
                <w:szCs w:val="21"/>
                <w14:textFill>
                  <w14:solidFill>
                    <w14:schemeClr w14:val="tx1"/>
                  </w14:solidFill>
                </w14:textFill>
              </w:rPr>
            </w:pPr>
            <w:r>
              <w:rPr>
                <w:b/>
                <w:bCs/>
                <w:color w:val="000000" w:themeColor="text1"/>
                <w:kern w:val="0"/>
                <w:sz w:val="21"/>
                <w:szCs w:val="21"/>
                <w14:textFill>
                  <w14:solidFill>
                    <w14:schemeClr w14:val="tx1"/>
                  </w14:solidFill>
                </w14:textFill>
              </w:rPr>
              <w:t>存放地点</w:t>
            </w:r>
          </w:p>
        </w:tc>
        <w:tc>
          <w:tcPr>
            <w:tcW w:w="670" w:type="pct"/>
            <w:vAlign w:val="center"/>
          </w:tcPr>
          <w:p w14:paraId="493C0A79">
            <w:pPr>
              <w:adjustRightInd w:val="0"/>
              <w:snapToGrid w:val="0"/>
              <w:spacing w:line="240" w:lineRule="auto"/>
              <w:ind w:firstLine="0" w:firstLineChars="0"/>
              <w:jc w:val="center"/>
              <w:rPr>
                <w:b/>
                <w:bCs/>
                <w:color w:val="000000" w:themeColor="text1"/>
                <w:kern w:val="0"/>
                <w:sz w:val="21"/>
                <w:szCs w:val="21"/>
                <w14:textFill>
                  <w14:solidFill>
                    <w14:schemeClr w14:val="tx1"/>
                  </w14:solidFill>
                </w14:textFill>
              </w:rPr>
            </w:pPr>
            <w:r>
              <w:rPr>
                <w:b/>
                <w:bCs/>
                <w:color w:val="000000" w:themeColor="text1"/>
                <w:kern w:val="0"/>
                <w:sz w:val="21"/>
                <w:szCs w:val="21"/>
                <w14:textFill>
                  <w14:solidFill>
                    <w14:schemeClr w14:val="tx1"/>
                  </w14:solidFill>
                </w14:textFill>
              </w:rPr>
              <w:t>数量</w:t>
            </w:r>
          </w:p>
        </w:tc>
      </w:tr>
      <w:tr w14:paraId="22BECEC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570" w:type="pct"/>
            <w:vAlign w:val="center"/>
          </w:tcPr>
          <w:p w14:paraId="0814F54E">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1</w:t>
            </w:r>
          </w:p>
        </w:tc>
        <w:tc>
          <w:tcPr>
            <w:tcW w:w="1399" w:type="pct"/>
            <w:vAlign w:val="center"/>
          </w:tcPr>
          <w:p w14:paraId="12670603">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叉车</w:t>
            </w:r>
          </w:p>
        </w:tc>
        <w:tc>
          <w:tcPr>
            <w:tcW w:w="1388" w:type="pct"/>
            <w:vAlign w:val="center"/>
          </w:tcPr>
          <w:p w14:paraId="76446AD0">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8吨</w:t>
            </w:r>
          </w:p>
        </w:tc>
        <w:tc>
          <w:tcPr>
            <w:tcW w:w="971" w:type="pct"/>
            <w:vAlign w:val="center"/>
          </w:tcPr>
          <w:p w14:paraId="12935375">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库区门口</w:t>
            </w:r>
          </w:p>
        </w:tc>
        <w:tc>
          <w:tcPr>
            <w:tcW w:w="670" w:type="pct"/>
            <w:vAlign w:val="center"/>
          </w:tcPr>
          <w:p w14:paraId="2A48E21A">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1辆</w:t>
            </w:r>
          </w:p>
        </w:tc>
      </w:tr>
      <w:tr w14:paraId="3EB65D3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570" w:type="pct"/>
            <w:vAlign w:val="center"/>
          </w:tcPr>
          <w:p w14:paraId="1AB1136D">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2</w:t>
            </w:r>
          </w:p>
        </w:tc>
        <w:tc>
          <w:tcPr>
            <w:tcW w:w="1399" w:type="pct"/>
            <w:vAlign w:val="center"/>
          </w:tcPr>
          <w:p w14:paraId="04DBFEFE">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吸油毡</w:t>
            </w:r>
          </w:p>
        </w:tc>
        <w:tc>
          <w:tcPr>
            <w:tcW w:w="1388" w:type="pct"/>
            <w:vAlign w:val="center"/>
          </w:tcPr>
          <w:p w14:paraId="2AA4795D">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pp-1、pp-2</w:t>
            </w:r>
          </w:p>
        </w:tc>
        <w:tc>
          <w:tcPr>
            <w:tcW w:w="971" w:type="pct"/>
            <w:vAlign w:val="center"/>
          </w:tcPr>
          <w:p w14:paraId="6495B1E8">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应急仓库</w:t>
            </w:r>
          </w:p>
        </w:tc>
        <w:tc>
          <w:tcPr>
            <w:tcW w:w="670" w:type="pct"/>
            <w:vAlign w:val="center"/>
          </w:tcPr>
          <w:p w14:paraId="4330C80F">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4吨</w:t>
            </w:r>
          </w:p>
        </w:tc>
      </w:tr>
      <w:tr w14:paraId="37738DE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570" w:type="pct"/>
            <w:vAlign w:val="center"/>
          </w:tcPr>
          <w:p w14:paraId="3AC7B768">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3</w:t>
            </w:r>
          </w:p>
        </w:tc>
        <w:tc>
          <w:tcPr>
            <w:tcW w:w="1399" w:type="pct"/>
            <w:vAlign w:val="center"/>
          </w:tcPr>
          <w:p w14:paraId="6B4A1FF2">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石棉布</w:t>
            </w:r>
          </w:p>
        </w:tc>
        <w:tc>
          <w:tcPr>
            <w:tcW w:w="1388" w:type="pct"/>
            <w:vAlign w:val="center"/>
          </w:tcPr>
          <w:p w14:paraId="0E05CC38">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JC210-2000</w:t>
            </w:r>
          </w:p>
        </w:tc>
        <w:tc>
          <w:tcPr>
            <w:tcW w:w="971" w:type="pct"/>
            <w:vAlign w:val="center"/>
          </w:tcPr>
          <w:p w14:paraId="57AA5530">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应急仓库</w:t>
            </w:r>
          </w:p>
        </w:tc>
        <w:tc>
          <w:tcPr>
            <w:tcW w:w="670" w:type="pct"/>
            <w:vAlign w:val="center"/>
          </w:tcPr>
          <w:p w14:paraId="56EEFEF7">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3包</w:t>
            </w:r>
          </w:p>
        </w:tc>
      </w:tr>
      <w:tr w14:paraId="147B987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570" w:type="pct"/>
            <w:vAlign w:val="center"/>
          </w:tcPr>
          <w:p w14:paraId="560E7908">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4</w:t>
            </w:r>
          </w:p>
        </w:tc>
        <w:tc>
          <w:tcPr>
            <w:tcW w:w="1399" w:type="pct"/>
            <w:vAlign w:val="center"/>
          </w:tcPr>
          <w:p w14:paraId="6A58E6F5">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充气式围油栏</w:t>
            </w:r>
          </w:p>
        </w:tc>
        <w:tc>
          <w:tcPr>
            <w:tcW w:w="1388" w:type="pct"/>
            <w:vAlign w:val="center"/>
          </w:tcPr>
          <w:p w14:paraId="47580BD2">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XPW-1100</w:t>
            </w:r>
          </w:p>
        </w:tc>
        <w:tc>
          <w:tcPr>
            <w:tcW w:w="971" w:type="pct"/>
            <w:vAlign w:val="center"/>
          </w:tcPr>
          <w:p w14:paraId="20E1978D">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应急仓库</w:t>
            </w:r>
          </w:p>
        </w:tc>
        <w:tc>
          <w:tcPr>
            <w:tcW w:w="670" w:type="pct"/>
            <w:vAlign w:val="center"/>
          </w:tcPr>
          <w:p w14:paraId="60E33359">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800m</w:t>
            </w:r>
          </w:p>
        </w:tc>
      </w:tr>
      <w:tr w14:paraId="6E2B794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570" w:type="pct"/>
            <w:vAlign w:val="center"/>
          </w:tcPr>
          <w:p w14:paraId="7F2BB50B">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5</w:t>
            </w:r>
          </w:p>
        </w:tc>
        <w:tc>
          <w:tcPr>
            <w:tcW w:w="1399" w:type="pct"/>
            <w:vAlign w:val="center"/>
          </w:tcPr>
          <w:p w14:paraId="5B1A839D">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溢油分散剂</w:t>
            </w:r>
          </w:p>
        </w:tc>
        <w:tc>
          <w:tcPr>
            <w:tcW w:w="1388" w:type="pct"/>
            <w:vAlign w:val="center"/>
          </w:tcPr>
          <w:p w14:paraId="63411446">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浓缩型</w:t>
            </w:r>
          </w:p>
        </w:tc>
        <w:tc>
          <w:tcPr>
            <w:tcW w:w="971" w:type="pct"/>
            <w:vAlign w:val="center"/>
          </w:tcPr>
          <w:p w14:paraId="0E8B3E6B">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应急仓库</w:t>
            </w:r>
          </w:p>
        </w:tc>
        <w:tc>
          <w:tcPr>
            <w:tcW w:w="670" w:type="pct"/>
            <w:vAlign w:val="center"/>
          </w:tcPr>
          <w:p w14:paraId="547FF4B7">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5吨</w:t>
            </w:r>
          </w:p>
        </w:tc>
      </w:tr>
      <w:tr w14:paraId="4CB994F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570" w:type="pct"/>
            <w:vAlign w:val="center"/>
          </w:tcPr>
          <w:p w14:paraId="2B8BB3BB">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6</w:t>
            </w:r>
          </w:p>
        </w:tc>
        <w:tc>
          <w:tcPr>
            <w:tcW w:w="1399" w:type="pct"/>
            <w:vAlign w:val="center"/>
          </w:tcPr>
          <w:p w14:paraId="28830C54">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快速布防围油栏</w:t>
            </w:r>
          </w:p>
        </w:tc>
        <w:tc>
          <w:tcPr>
            <w:tcW w:w="1388" w:type="pct"/>
            <w:vAlign w:val="center"/>
          </w:tcPr>
          <w:p w14:paraId="77825AA1">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WGV1200R</w:t>
            </w:r>
          </w:p>
        </w:tc>
        <w:tc>
          <w:tcPr>
            <w:tcW w:w="971" w:type="pct"/>
            <w:vAlign w:val="center"/>
          </w:tcPr>
          <w:p w14:paraId="50F14E42">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应急仓库</w:t>
            </w:r>
          </w:p>
        </w:tc>
        <w:tc>
          <w:tcPr>
            <w:tcW w:w="670" w:type="pct"/>
            <w:vAlign w:val="center"/>
          </w:tcPr>
          <w:p w14:paraId="2482331C">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600m</w:t>
            </w:r>
          </w:p>
        </w:tc>
      </w:tr>
      <w:tr w14:paraId="6674CDA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570" w:type="pct"/>
            <w:vAlign w:val="center"/>
          </w:tcPr>
          <w:p w14:paraId="4A075A8B">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7</w:t>
            </w:r>
          </w:p>
        </w:tc>
        <w:tc>
          <w:tcPr>
            <w:tcW w:w="1399" w:type="pct"/>
            <w:vAlign w:val="center"/>
          </w:tcPr>
          <w:p w14:paraId="1754C400">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防火围油栏</w:t>
            </w:r>
          </w:p>
        </w:tc>
        <w:tc>
          <w:tcPr>
            <w:tcW w:w="1388" w:type="pct"/>
            <w:vAlign w:val="center"/>
          </w:tcPr>
          <w:p w14:paraId="298E0F5C">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FW1100</w:t>
            </w:r>
          </w:p>
        </w:tc>
        <w:tc>
          <w:tcPr>
            <w:tcW w:w="971" w:type="pct"/>
            <w:vAlign w:val="center"/>
          </w:tcPr>
          <w:p w14:paraId="1A1EA2D2">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应急仓库</w:t>
            </w:r>
          </w:p>
        </w:tc>
        <w:tc>
          <w:tcPr>
            <w:tcW w:w="670" w:type="pct"/>
            <w:vAlign w:val="center"/>
          </w:tcPr>
          <w:p w14:paraId="39658D27">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200m</w:t>
            </w:r>
          </w:p>
        </w:tc>
      </w:tr>
      <w:tr w14:paraId="0831A0C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570" w:type="pct"/>
            <w:vAlign w:val="center"/>
          </w:tcPr>
          <w:p w14:paraId="457F270F">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8</w:t>
            </w:r>
          </w:p>
        </w:tc>
        <w:tc>
          <w:tcPr>
            <w:tcW w:w="1399" w:type="pct"/>
            <w:vAlign w:val="center"/>
          </w:tcPr>
          <w:p w14:paraId="496163E3">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手持溢油分散剂喷洒装置</w:t>
            </w:r>
          </w:p>
        </w:tc>
        <w:tc>
          <w:tcPr>
            <w:tcW w:w="1388" w:type="pct"/>
            <w:vAlign w:val="center"/>
          </w:tcPr>
          <w:p w14:paraId="5A138ECE">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PS40</w:t>
            </w:r>
          </w:p>
        </w:tc>
        <w:tc>
          <w:tcPr>
            <w:tcW w:w="971" w:type="pct"/>
            <w:vAlign w:val="center"/>
          </w:tcPr>
          <w:p w14:paraId="17C0E118">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应急仓库</w:t>
            </w:r>
          </w:p>
        </w:tc>
        <w:tc>
          <w:tcPr>
            <w:tcW w:w="670" w:type="pct"/>
            <w:vAlign w:val="center"/>
          </w:tcPr>
          <w:p w14:paraId="34333439">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4套</w:t>
            </w:r>
          </w:p>
        </w:tc>
      </w:tr>
      <w:tr w14:paraId="7E56338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570" w:type="pct"/>
            <w:vAlign w:val="center"/>
          </w:tcPr>
          <w:p w14:paraId="24B45B2D">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9</w:t>
            </w:r>
          </w:p>
        </w:tc>
        <w:tc>
          <w:tcPr>
            <w:tcW w:w="1399" w:type="pct"/>
            <w:vAlign w:val="center"/>
          </w:tcPr>
          <w:p w14:paraId="45D6C8AD">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轻便储油罐</w:t>
            </w:r>
          </w:p>
        </w:tc>
        <w:tc>
          <w:tcPr>
            <w:tcW w:w="1388" w:type="pct"/>
            <w:vAlign w:val="center"/>
          </w:tcPr>
          <w:p w14:paraId="0276A718">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QG-V10</w:t>
            </w:r>
          </w:p>
        </w:tc>
        <w:tc>
          <w:tcPr>
            <w:tcW w:w="971" w:type="pct"/>
            <w:vAlign w:val="center"/>
          </w:tcPr>
          <w:p w14:paraId="484D3C60">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应急仓库</w:t>
            </w:r>
          </w:p>
        </w:tc>
        <w:tc>
          <w:tcPr>
            <w:tcW w:w="670" w:type="pct"/>
            <w:vAlign w:val="center"/>
          </w:tcPr>
          <w:p w14:paraId="106991FF">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7台</w:t>
            </w:r>
          </w:p>
        </w:tc>
      </w:tr>
      <w:tr w14:paraId="3803074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570" w:type="pct"/>
            <w:vAlign w:val="center"/>
          </w:tcPr>
          <w:p w14:paraId="0CBC7C36">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10</w:t>
            </w:r>
          </w:p>
        </w:tc>
        <w:tc>
          <w:tcPr>
            <w:tcW w:w="1399" w:type="pct"/>
            <w:vAlign w:val="center"/>
          </w:tcPr>
          <w:p w14:paraId="3481473C">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收油机</w:t>
            </w:r>
          </w:p>
        </w:tc>
        <w:tc>
          <w:tcPr>
            <w:tcW w:w="1388" w:type="pct"/>
            <w:vAlign w:val="center"/>
          </w:tcPr>
          <w:p w14:paraId="16938640">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DXS40</w:t>
            </w:r>
          </w:p>
        </w:tc>
        <w:tc>
          <w:tcPr>
            <w:tcW w:w="971" w:type="pct"/>
            <w:vAlign w:val="center"/>
          </w:tcPr>
          <w:p w14:paraId="5809B518">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应急仓库</w:t>
            </w:r>
          </w:p>
        </w:tc>
        <w:tc>
          <w:tcPr>
            <w:tcW w:w="670" w:type="pct"/>
            <w:vAlign w:val="center"/>
          </w:tcPr>
          <w:p w14:paraId="664F3FBC">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3台</w:t>
            </w:r>
          </w:p>
        </w:tc>
      </w:tr>
      <w:tr w14:paraId="204175F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570" w:type="pct"/>
            <w:vAlign w:val="center"/>
          </w:tcPr>
          <w:p w14:paraId="28377D44">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11</w:t>
            </w:r>
          </w:p>
        </w:tc>
        <w:tc>
          <w:tcPr>
            <w:tcW w:w="1399" w:type="pct"/>
            <w:vAlign w:val="center"/>
          </w:tcPr>
          <w:p w14:paraId="498541D7">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环保作业回收船</w:t>
            </w:r>
          </w:p>
        </w:tc>
        <w:tc>
          <w:tcPr>
            <w:tcW w:w="1388" w:type="pct"/>
            <w:vAlign w:val="center"/>
          </w:tcPr>
          <w:p w14:paraId="474C8FE4">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p>
        </w:tc>
        <w:tc>
          <w:tcPr>
            <w:tcW w:w="971" w:type="pct"/>
            <w:vAlign w:val="center"/>
          </w:tcPr>
          <w:p w14:paraId="667E9384">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轮驳公司</w:t>
            </w:r>
          </w:p>
        </w:tc>
        <w:tc>
          <w:tcPr>
            <w:tcW w:w="670" w:type="pct"/>
            <w:vAlign w:val="center"/>
          </w:tcPr>
          <w:p w14:paraId="53B5731C">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1艘</w:t>
            </w:r>
          </w:p>
        </w:tc>
      </w:tr>
      <w:tr w14:paraId="2DC1EBF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570" w:type="pct"/>
            <w:vAlign w:val="center"/>
          </w:tcPr>
          <w:p w14:paraId="7AF1D900">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12</w:t>
            </w:r>
          </w:p>
        </w:tc>
        <w:tc>
          <w:tcPr>
            <w:tcW w:w="1399" w:type="pct"/>
            <w:vAlign w:val="center"/>
          </w:tcPr>
          <w:p w14:paraId="1DF396D8">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围油栏布放艇</w:t>
            </w:r>
          </w:p>
        </w:tc>
        <w:tc>
          <w:tcPr>
            <w:tcW w:w="1388" w:type="pct"/>
            <w:vAlign w:val="center"/>
          </w:tcPr>
          <w:p w14:paraId="7E8849DB">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p>
        </w:tc>
        <w:tc>
          <w:tcPr>
            <w:tcW w:w="971" w:type="pct"/>
            <w:vAlign w:val="center"/>
          </w:tcPr>
          <w:p w14:paraId="328A7E8E">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轮驳公司</w:t>
            </w:r>
          </w:p>
        </w:tc>
        <w:tc>
          <w:tcPr>
            <w:tcW w:w="670" w:type="pct"/>
            <w:vAlign w:val="center"/>
          </w:tcPr>
          <w:p w14:paraId="7D23A110">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1艘</w:t>
            </w:r>
          </w:p>
        </w:tc>
      </w:tr>
      <w:tr w14:paraId="588D686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570" w:type="pct"/>
            <w:vAlign w:val="center"/>
          </w:tcPr>
          <w:p w14:paraId="44E8F5CD">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13</w:t>
            </w:r>
          </w:p>
        </w:tc>
        <w:tc>
          <w:tcPr>
            <w:tcW w:w="1399" w:type="pct"/>
            <w:vAlign w:val="center"/>
          </w:tcPr>
          <w:p w14:paraId="59AAD59B">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油拖网</w:t>
            </w:r>
          </w:p>
        </w:tc>
        <w:tc>
          <w:tcPr>
            <w:tcW w:w="1388" w:type="pct"/>
            <w:vAlign w:val="center"/>
          </w:tcPr>
          <w:p w14:paraId="03CE71F0">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TYT-3m</w:t>
            </w:r>
            <w:r>
              <w:rPr>
                <w:bCs/>
                <w:color w:val="000000" w:themeColor="text1"/>
                <w:kern w:val="0"/>
                <w:sz w:val="21"/>
                <w:szCs w:val="21"/>
                <w:vertAlign w:val="superscript"/>
                <w14:textFill>
                  <w14:solidFill>
                    <w14:schemeClr w14:val="tx1"/>
                  </w14:solidFill>
                </w14:textFill>
              </w:rPr>
              <w:t>3</w:t>
            </w:r>
          </w:p>
        </w:tc>
        <w:tc>
          <w:tcPr>
            <w:tcW w:w="971" w:type="pct"/>
            <w:vAlign w:val="center"/>
          </w:tcPr>
          <w:p w14:paraId="54BC6925">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应急仓库</w:t>
            </w:r>
          </w:p>
        </w:tc>
        <w:tc>
          <w:tcPr>
            <w:tcW w:w="670" w:type="pct"/>
            <w:vAlign w:val="center"/>
          </w:tcPr>
          <w:p w14:paraId="033F3C58">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4套</w:t>
            </w:r>
          </w:p>
        </w:tc>
      </w:tr>
      <w:tr w14:paraId="5ACE683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570" w:type="pct"/>
            <w:vAlign w:val="center"/>
          </w:tcPr>
          <w:p w14:paraId="1CB8CA96">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14</w:t>
            </w:r>
          </w:p>
        </w:tc>
        <w:tc>
          <w:tcPr>
            <w:tcW w:w="1399" w:type="pct"/>
            <w:vAlign w:val="center"/>
          </w:tcPr>
          <w:p w14:paraId="2AF01640">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固体橡胶围油栏</w:t>
            </w:r>
          </w:p>
        </w:tc>
        <w:tc>
          <w:tcPr>
            <w:tcW w:w="1388" w:type="pct"/>
            <w:vAlign w:val="center"/>
          </w:tcPr>
          <w:p w14:paraId="6D784773">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CWJ1100</w:t>
            </w:r>
          </w:p>
        </w:tc>
        <w:tc>
          <w:tcPr>
            <w:tcW w:w="971" w:type="pct"/>
            <w:vAlign w:val="center"/>
          </w:tcPr>
          <w:p w14:paraId="6E6EF899">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应急仓库</w:t>
            </w:r>
          </w:p>
        </w:tc>
        <w:tc>
          <w:tcPr>
            <w:tcW w:w="670" w:type="pct"/>
            <w:vAlign w:val="center"/>
          </w:tcPr>
          <w:p w14:paraId="3D8D6B02">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4145m</w:t>
            </w:r>
          </w:p>
        </w:tc>
      </w:tr>
      <w:tr w14:paraId="376188A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570" w:type="pct"/>
            <w:vAlign w:val="center"/>
          </w:tcPr>
          <w:p w14:paraId="4516B8F7">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15</w:t>
            </w:r>
          </w:p>
        </w:tc>
        <w:tc>
          <w:tcPr>
            <w:tcW w:w="1399" w:type="pct"/>
            <w:vAlign w:val="center"/>
          </w:tcPr>
          <w:p w14:paraId="70BDDC99">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液压动力站及充气机</w:t>
            </w:r>
          </w:p>
        </w:tc>
        <w:tc>
          <w:tcPr>
            <w:tcW w:w="1388" w:type="pct"/>
            <w:vAlign w:val="center"/>
          </w:tcPr>
          <w:p w14:paraId="72630827">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p>
        </w:tc>
        <w:tc>
          <w:tcPr>
            <w:tcW w:w="971" w:type="pct"/>
            <w:vAlign w:val="center"/>
          </w:tcPr>
          <w:p w14:paraId="607AECB2">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应急仓库</w:t>
            </w:r>
          </w:p>
        </w:tc>
        <w:tc>
          <w:tcPr>
            <w:tcW w:w="670" w:type="pct"/>
            <w:vAlign w:val="center"/>
          </w:tcPr>
          <w:p w14:paraId="617E2E70">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2套</w:t>
            </w:r>
          </w:p>
        </w:tc>
      </w:tr>
      <w:tr w14:paraId="7D84A34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570" w:type="pct"/>
            <w:vAlign w:val="center"/>
          </w:tcPr>
          <w:p w14:paraId="2C94B0CE">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16</w:t>
            </w:r>
          </w:p>
        </w:tc>
        <w:tc>
          <w:tcPr>
            <w:tcW w:w="1399" w:type="pct"/>
            <w:vAlign w:val="center"/>
          </w:tcPr>
          <w:p w14:paraId="24C2DFAF">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吸油索</w:t>
            </w:r>
          </w:p>
        </w:tc>
        <w:tc>
          <w:tcPr>
            <w:tcW w:w="1388" w:type="pct"/>
            <w:vAlign w:val="center"/>
          </w:tcPr>
          <w:p w14:paraId="56E27ECE">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76mm*1200mm</w:t>
            </w:r>
          </w:p>
        </w:tc>
        <w:tc>
          <w:tcPr>
            <w:tcW w:w="971" w:type="pct"/>
            <w:vAlign w:val="center"/>
          </w:tcPr>
          <w:p w14:paraId="40DE98B8">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应急仓库</w:t>
            </w:r>
          </w:p>
        </w:tc>
        <w:tc>
          <w:tcPr>
            <w:tcW w:w="670" w:type="pct"/>
            <w:vAlign w:val="center"/>
          </w:tcPr>
          <w:p w14:paraId="2A0C09A2">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660m</w:t>
            </w:r>
          </w:p>
        </w:tc>
      </w:tr>
      <w:tr w14:paraId="5537B28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570" w:type="pct"/>
            <w:vAlign w:val="center"/>
          </w:tcPr>
          <w:p w14:paraId="44E74AA7">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17</w:t>
            </w:r>
          </w:p>
        </w:tc>
        <w:tc>
          <w:tcPr>
            <w:tcW w:w="1399" w:type="pct"/>
            <w:vAlign w:val="center"/>
          </w:tcPr>
          <w:p w14:paraId="7E9E318E">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溢油回收装置</w:t>
            </w:r>
          </w:p>
        </w:tc>
        <w:tc>
          <w:tcPr>
            <w:tcW w:w="1388" w:type="pct"/>
            <w:vAlign w:val="center"/>
          </w:tcPr>
          <w:p w14:paraId="0FF2DEF8">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10 m</w:t>
            </w:r>
            <w:r>
              <w:rPr>
                <w:bCs/>
                <w:color w:val="000000" w:themeColor="text1"/>
                <w:kern w:val="0"/>
                <w:sz w:val="21"/>
                <w:szCs w:val="21"/>
                <w:vertAlign w:val="superscript"/>
                <w14:textFill>
                  <w14:solidFill>
                    <w14:schemeClr w14:val="tx1"/>
                  </w14:solidFill>
                </w14:textFill>
              </w:rPr>
              <w:t>3</w:t>
            </w:r>
          </w:p>
        </w:tc>
        <w:tc>
          <w:tcPr>
            <w:tcW w:w="971" w:type="pct"/>
            <w:vAlign w:val="center"/>
          </w:tcPr>
          <w:p w14:paraId="4ED49697">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应急仓库</w:t>
            </w:r>
          </w:p>
        </w:tc>
        <w:tc>
          <w:tcPr>
            <w:tcW w:w="670" w:type="pct"/>
            <w:vAlign w:val="center"/>
          </w:tcPr>
          <w:p w14:paraId="7871FA0A">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7个</w:t>
            </w:r>
          </w:p>
        </w:tc>
      </w:tr>
      <w:tr w14:paraId="18BE466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570" w:type="pct"/>
            <w:vAlign w:val="center"/>
          </w:tcPr>
          <w:p w14:paraId="728D814A">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18</w:t>
            </w:r>
          </w:p>
        </w:tc>
        <w:tc>
          <w:tcPr>
            <w:tcW w:w="1399" w:type="pct"/>
            <w:vAlign w:val="center"/>
          </w:tcPr>
          <w:p w14:paraId="6C3AF224">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长管呼吸器</w:t>
            </w:r>
          </w:p>
        </w:tc>
        <w:tc>
          <w:tcPr>
            <w:tcW w:w="1388" w:type="pct"/>
            <w:vAlign w:val="center"/>
          </w:tcPr>
          <w:p w14:paraId="70FE8F23">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正压式</w:t>
            </w:r>
          </w:p>
        </w:tc>
        <w:tc>
          <w:tcPr>
            <w:tcW w:w="971" w:type="pct"/>
            <w:vAlign w:val="center"/>
          </w:tcPr>
          <w:p w14:paraId="6873C2E0">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应急仓库</w:t>
            </w:r>
          </w:p>
        </w:tc>
        <w:tc>
          <w:tcPr>
            <w:tcW w:w="670" w:type="pct"/>
            <w:vAlign w:val="center"/>
          </w:tcPr>
          <w:p w14:paraId="68F87D90">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2个</w:t>
            </w:r>
          </w:p>
        </w:tc>
      </w:tr>
      <w:tr w14:paraId="269A41A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570" w:type="pct"/>
            <w:vAlign w:val="center"/>
          </w:tcPr>
          <w:p w14:paraId="38E95570">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19</w:t>
            </w:r>
          </w:p>
        </w:tc>
        <w:tc>
          <w:tcPr>
            <w:tcW w:w="1399" w:type="pct"/>
            <w:vAlign w:val="center"/>
          </w:tcPr>
          <w:p w14:paraId="7B5C7B26">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收油机</w:t>
            </w:r>
          </w:p>
        </w:tc>
        <w:tc>
          <w:tcPr>
            <w:tcW w:w="1388" w:type="pct"/>
            <w:vAlign w:val="center"/>
          </w:tcPr>
          <w:p w14:paraId="1DD04405">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多功能收油机，收油速率不小于20-50 m</w:t>
            </w:r>
            <w:r>
              <w:rPr>
                <w:bCs/>
                <w:color w:val="000000" w:themeColor="text1"/>
                <w:kern w:val="0"/>
                <w:sz w:val="21"/>
                <w:szCs w:val="21"/>
                <w:vertAlign w:val="superscript"/>
                <w14:textFill>
                  <w14:solidFill>
                    <w14:schemeClr w14:val="tx1"/>
                  </w14:solidFill>
                </w14:textFill>
              </w:rPr>
              <w:t>3</w:t>
            </w:r>
            <w:r>
              <w:rPr>
                <w:bCs/>
                <w:color w:val="000000" w:themeColor="text1"/>
                <w:kern w:val="0"/>
                <w:sz w:val="21"/>
                <w:szCs w:val="21"/>
                <w14:textFill>
                  <w14:solidFill>
                    <w14:schemeClr w14:val="tx1"/>
                  </w14:solidFill>
                </w14:textFill>
              </w:rPr>
              <w:t>/h。</w:t>
            </w:r>
          </w:p>
        </w:tc>
        <w:tc>
          <w:tcPr>
            <w:tcW w:w="971" w:type="pct"/>
            <w:vAlign w:val="center"/>
          </w:tcPr>
          <w:p w14:paraId="4552153D">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应急仓库</w:t>
            </w:r>
          </w:p>
        </w:tc>
        <w:tc>
          <w:tcPr>
            <w:tcW w:w="670" w:type="pct"/>
            <w:vAlign w:val="center"/>
          </w:tcPr>
          <w:p w14:paraId="1B54D531">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2个</w:t>
            </w:r>
          </w:p>
        </w:tc>
      </w:tr>
      <w:tr w14:paraId="4F1B6FE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570" w:type="pct"/>
            <w:vAlign w:val="center"/>
          </w:tcPr>
          <w:p w14:paraId="2F209572">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20</w:t>
            </w:r>
          </w:p>
        </w:tc>
        <w:tc>
          <w:tcPr>
            <w:tcW w:w="1399" w:type="pct"/>
            <w:vAlign w:val="center"/>
          </w:tcPr>
          <w:p w14:paraId="2DADE7CA">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围油栏</w:t>
            </w:r>
          </w:p>
        </w:tc>
        <w:tc>
          <w:tcPr>
            <w:tcW w:w="1388" w:type="pct"/>
            <w:vAlign w:val="center"/>
          </w:tcPr>
          <w:p w14:paraId="5C363177">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高度600-1200。</w:t>
            </w:r>
          </w:p>
        </w:tc>
        <w:tc>
          <w:tcPr>
            <w:tcW w:w="971" w:type="pct"/>
            <w:vAlign w:val="center"/>
          </w:tcPr>
          <w:p w14:paraId="16B19C63">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应急仓库</w:t>
            </w:r>
          </w:p>
        </w:tc>
        <w:tc>
          <w:tcPr>
            <w:tcW w:w="670" w:type="pct"/>
            <w:vAlign w:val="center"/>
          </w:tcPr>
          <w:p w14:paraId="19157E27">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2000米</w:t>
            </w:r>
          </w:p>
        </w:tc>
      </w:tr>
      <w:tr w14:paraId="33D5530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570" w:type="pct"/>
            <w:vAlign w:val="center"/>
          </w:tcPr>
          <w:p w14:paraId="02E6BEB0">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21</w:t>
            </w:r>
          </w:p>
        </w:tc>
        <w:tc>
          <w:tcPr>
            <w:tcW w:w="1399" w:type="pct"/>
            <w:vAlign w:val="center"/>
          </w:tcPr>
          <w:p w14:paraId="7376B7CF">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小型履带吊</w:t>
            </w:r>
          </w:p>
        </w:tc>
        <w:tc>
          <w:tcPr>
            <w:tcW w:w="1388" w:type="pct"/>
            <w:vAlign w:val="center"/>
          </w:tcPr>
          <w:p w14:paraId="76D337C8">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额定起重能力小于3-6吨。</w:t>
            </w:r>
          </w:p>
        </w:tc>
        <w:tc>
          <w:tcPr>
            <w:tcW w:w="971" w:type="pct"/>
            <w:vAlign w:val="center"/>
          </w:tcPr>
          <w:p w14:paraId="49E2169B">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应急仓库</w:t>
            </w:r>
          </w:p>
        </w:tc>
        <w:tc>
          <w:tcPr>
            <w:tcW w:w="670" w:type="pct"/>
            <w:vAlign w:val="center"/>
          </w:tcPr>
          <w:p w14:paraId="03891F9E">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一辆</w:t>
            </w:r>
          </w:p>
        </w:tc>
      </w:tr>
      <w:tr w14:paraId="556A6B7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570" w:type="pct"/>
            <w:vAlign w:val="center"/>
          </w:tcPr>
          <w:p w14:paraId="6E56CF4F">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22</w:t>
            </w:r>
          </w:p>
        </w:tc>
        <w:tc>
          <w:tcPr>
            <w:tcW w:w="1399" w:type="pct"/>
            <w:vAlign w:val="center"/>
          </w:tcPr>
          <w:p w14:paraId="6858A1E7">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多功能组合艇</w:t>
            </w:r>
          </w:p>
        </w:tc>
        <w:tc>
          <w:tcPr>
            <w:tcW w:w="1388" w:type="pct"/>
            <w:vAlign w:val="center"/>
          </w:tcPr>
          <w:p w14:paraId="7FCE6F1B">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p>
        </w:tc>
        <w:tc>
          <w:tcPr>
            <w:tcW w:w="971" w:type="pct"/>
            <w:vAlign w:val="center"/>
          </w:tcPr>
          <w:p w14:paraId="6AFCC9A9">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应急仓库</w:t>
            </w:r>
          </w:p>
        </w:tc>
        <w:tc>
          <w:tcPr>
            <w:tcW w:w="670" w:type="pct"/>
            <w:vAlign w:val="center"/>
          </w:tcPr>
          <w:p w14:paraId="2A56B8DD">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一套</w:t>
            </w:r>
          </w:p>
        </w:tc>
      </w:tr>
      <w:tr w14:paraId="0452B05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570" w:type="pct"/>
            <w:vAlign w:val="center"/>
          </w:tcPr>
          <w:p w14:paraId="182A1B2C">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23</w:t>
            </w:r>
          </w:p>
        </w:tc>
        <w:tc>
          <w:tcPr>
            <w:tcW w:w="1399" w:type="pct"/>
            <w:vAlign w:val="center"/>
          </w:tcPr>
          <w:p w14:paraId="1626D190">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导油泵</w:t>
            </w:r>
          </w:p>
        </w:tc>
        <w:tc>
          <w:tcPr>
            <w:tcW w:w="1388" w:type="pct"/>
            <w:vAlign w:val="center"/>
          </w:tcPr>
          <w:p w14:paraId="0F24EC11">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p>
        </w:tc>
        <w:tc>
          <w:tcPr>
            <w:tcW w:w="971" w:type="pct"/>
            <w:vAlign w:val="center"/>
          </w:tcPr>
          <w:p w14:paraId="6DC841A4">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应急仓库</w:t>
            </w:r>
          </w:p>
        </w:tc>
        <w:tc>
          <w:tcPr>
            <w:tcW w:w="670" w:type="pct"/>
            <w:vAlign w:val="center"/>
          </w:tcPr>
          <w:p w14:paraId="6910D091">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2台</w:t>
            </w:r>
          </w:p>
        </w:tc>
      </w:tr>
      <w:tr w14:paraId="100898F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570" w:type="pct"/>
            <w:vAlign w:val="center"/>
          </w:tcPr>
          <w:p w14:paraId="2F888EA0">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24</w:t>
            </w:r>
          </w:p>
        </w:tc>
        <w:tc>
          <w:tcPr>
            <w:tcW w:w="1399" w:type="pct"/>
            <w:vAlign w:val="center"/>
          </w:tcPr>
          <w:p w14:paraId="30F5EB7E">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照明设备</w:t>
            </w:r>
          </w:p>
        </w:tc>
        <w:tc>
          <w:tcPr>
            <w:tcW w:w="1388" w:type="pct"/>
            <w:vAlign w:val="center"/>
          </w:tcPr>
          <w:p w14:paraId="05A8E6E4">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p>
        </w:tc>
        <w:tc>
          <w:tcPr>
            <w:tcW w:w="971" w:type="pct"/>
            <w:vAlign w:val="center"/>
          </w:tcPr>
          <w:p w14:paraId="1336BCC0">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应急仓库</w:t>
            </w:r>
          </w:p>
        </w:tc>
        <w:tc>
          <w:tcPr>
            <w:tcW w:w="670" w:type="pct"/>
            <w:vAlign w:val="center"/>
          </w:tcPr>
          <w:p w14:paraId="7761519E">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3台</w:t>
            </w:r>
          </w:p>
        </w:tc>
      </w:tr>
      <w:tr w14:paraId="43549A9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570" w:type="pct"/>
            <w:vAlign w:val="center"/>
          </w:tcPr>
          <w:p w14:paraId="60F8E691">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25</w:t>
            </w:r>
          </w:p>
        </w:tc>
        <w:tc>
          <w:tcPr>
            <w:tcW w:w="1399" w:type="pct"/>
            <w:vAlign w:val="center"/>
          </w:tcPr>
          <w:p w14:paraId="3852FDDE">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轻型储油槽</w:t>
            </w:r>
          </w:p>
        </w:tc>
        <w:tc>
          <w:tcPr>
            <w:tcW w:w="1388" w:type="pct"/>
            <w:vAlign w:val="center"/>
          </w:tcPr>
          <w:p w14:paraId="26A30DDD">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5m</w:t>
            </w:r>
            <w:r>
              <w:rPr>
                <w:bCs/>
                <w:color w:val="000000" w:themeColor="text1"/>
                <w:kern w:val="0"/>
                <w:sz w:val="21"/>
                <w:szCs w:val="21"/>
                <w:vertAlign w:val="superscript"/>
                <w14:textFill>
                  <w14:solidFill>
                    <w14:schemeClr w14:val="tx1"/>
                  </w14:solidFill>
                </w14:textFill>
              </w:rPr>
              <w:t>3</w:t>
            </w:r>
          </w:p>
        </w:tc>
        <w:tc>
          <w:tcPr>
            <w:tcW w:w="971" w:type="pct"/>
            <w:vAlign w:val="center"/>
          </w:tcPr>
          <w:p w14:paraId="521CBACC">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应急仓库</w:t>
            </w:r>
          </w:p>
        </w:tc>
        <w:tc>
          <w:tcPr>
            <w:tcW w:w="670" w:type="pct"/>
            <w:vAlign w:val="center"/>
          </w:tcPr>
          <w:p w14:paraId="30C7EAB0">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10个</w:t>
            </w:r>
          </w:p>
        </w:tc>
      </w:tr>
      <w:tr w14:paraId="2AC476F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570" w:type="pct"/>
            <w:vAlign w:val="center"/>
          </w:tcPr>
          <w:p w14:paraId="1C3413FD">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26</w:t>
            </w:r>
          </w:p>
        </w:tc>
        <w:tc>
          <w:tcPr>
            <w:tcW w:w="1399" w:type="pct"/>
            <w:vAlign w:val="center"/>
          </w:tcPr>
          <w:p w14:paraId="51DD9524">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吸附材料</w:t>
            </w:r>
          </w:p>
        </w:tc>
        <w:tc>
          <w:tcPr>
            <w:tcW w:w="1388" w:type="pct"/>
            <w:vAlign w:val="center"/>
          </w:tcPr>
          <w:p w14:paraId="11D0122E">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p>
        </w:tc>
        <w:tc>
          <w:tcPr>
            <w:tcW w:w="971" w:type="pct"/>
            <w:vAlign w:val="center"/>
          </w:tcPr>
          <w:p w14:paraId="6FD473F3">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应急仓库</w:t>
            </w:r>
          </w:p>
        </w:tc>
        <w:tc>
          <w:tcPr>
            <w:tcW w:w="670" w:type="pct"/>
            <w:vAlign w:val="center"/>
          </w:tcPr>
          <w:p w14:paraId="7AAAD265">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140箱</w:t>
            </w:r>
          </w:p>
        </w:tc>
      </w:tr>
      <w:tr w14:paraId="069F9E8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570" w:type="pct"/>
            <w:vAlign w:val="center"/>
          </w:tcPr>
          <w:p w14:paraId="5350064D">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27</w:t>
            </w:r>
          </w:p>
        </w:tc>
        <w:tc>
          <w:tcPr>
            <w:tcW w:w="1399" w:type="pct"/>
            <w:vAlign w:val="center"/>
          </w:tcPr>
          <w:p w14:paraId="22057C6A">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吸油棉</w:t>
            </w:r>
          </w:p>
        </w:tc>
        <w:tc>
          <w:tcPr>
            <w:tcW w:w="1388" w:type="pct"/>
            <w:vAlign w:val="center"/>
          </w:tcPr>
          <w:p w14:paraId="71713554">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ACF-TM-500</w:t>
            </w:r>
          </w:p>
        </w:tc>
        <w:tc>
          <w:tcPr>
            <w:tcW w:w="971" w:type="pct"/>
            <w:vAlign w:val="center"/>
          </w:tcPr>
          <w:p w14:paraId="2583857C">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应急仓库</w:t>
            </w:r>
          </w:p>
        </w:tc>
        <w:tc>
          <w:tcPr>
            <w:tcW w:w="670" w:type="pct"/>
            <w:vAlign w:val="center"/>
          </w:tcPr>
          <w:p w14:paraId="5D3CE6FC">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70箱</w:t>
            </w:r>
          </w:p>
        </w:tc>
      </w:tr>
      <w:tr w14:paraId="44E6367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570" w:type="pct"/>
            <w:vAlign w:val="center"/>
          </w:tcPr>
          <w:p w14:paraId="4193B858">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28</w:t>
            </w:r>
          </w:p>
        </w:tc>
        <w:tc>
          <w:tcPr>
            <w:tcW w:w="1399" w:type="pct"/>
            <w:vAlign w:val="center"/>
          </w:tcPr>
          <w:p w14:paraId="3662A114">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吸附剂</w:t>
            </w:r>
          </w:p>
        </w:tc>
        <w:tc>
          <w:tcPr>
            <w:tcW w:w="1388" w:type="pct"/>
            <w:vAlign w:val="center"/>
          </w:tcPr>
          <w:p w14:paraId="00C612B3">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CF33</w:t>
            </w:r>
          </w:p>
        </w:tc>
        <w:tc>
          <w:tcPr>
            <w:tcW w:w="971" w:type="pct"/>
            <w:vAlign w:val="center"/>
          </w:tcPr>
          <w:p w14:paraId="587A3F5E">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应急仓库</w:t>
            </w:r>
          </w:p>
        </w:tc>
        <w:tc>
          <w:tcPr>
            <w:tcW w:w="670" w:type="pct"/>
            <w:vAlign w:val="center"/>
          </w:tcPr>
          <w:p w14:paraId="0847FB3B">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80箱</w:t>
            </w:r>
          </w:p>
        </w:tc>
      </w:tr>
      <w:tr w14:paraId="2E24C40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570" w:type="pct"/>
            <w:vAlign w:val="center"/>
          </w:tcPr>
          <w:p w14:paraId="672ECE98">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29</w:t>
            </w:r>
          </w:p>
        </w:tc>
        <w:tc>
          <w:tcPr>
            <w:tcW w:w="1399" w:type="pct"/>
            <w:vAlign w:val="center"/>
          </w:tcPr>
          <w:p w14:paraId="78BD949B">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环保回收船</w:t>
            </w:r>
          </w:p>
        </w:tc>
        <w:tc>
          <w:tcPr>
            <w:tcW w:w="1388" w:type="pct"/>
            <w:vAlign w:val="center"/>
          </w:tcPr>
          <w:p w14:paraId="7DF03B5C">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3000P</w:t>
            </w:r>
          </w:p>
        </w:tc>
        <w:tc>
          <w:tcPr>
            <w:tcW w:w="971" w:type="pct"/>
            <w:vAlign w:val="center"/>
          </w:tcPr>
          <w:p w14:paraId="60367945">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轮驳公司码头</w:t>
            </w:r>
          </w:p>
        </w:tc>
        <w:tc>
          <w:tcPr>
            <w:tcW w:w="670" w:type="pct"/>
            <w:vAlign w:val="center"/>
          </w:tcPr>
          <w:p w14:paraId="00D71DDB">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1艘</w:t>
            </w:r>
          </w:p>
        </w:tc>
      </w:tr>
      <w:tr w14:paraId="2D05DE6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570" w:type="pct"/>
            <w:vAlign w:val="center"/>
          </w:tcPr>
          <w:p w14:paraId="18CD9321">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30</w:t>
            </w:r>
          </w:p>
        </w:tc>
        <w:tc>
          <w:tcPr>
            <w:tcW w:w="1399" w:type="pct"/>
            <w:vAlign w:val="center"/>
          </w:tcPr>
          <w:p w14:paraId="38E0432B">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消拖两用船</w:t>
            </w:r>
          </w:p>
        </w:tc>
        <w:tc>
          <w:tcPr>
            <w:tcW w:w="1388" w:type="pct"/>
            <w:vAlign w:val="center"/>
          </w:tcPr>
          <w:p w14:paraId="4A1BD4E1">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4000P</w:t>
            </w:r>
          </w:p>
        </w:tc>
        <w:tc>
          <w:tcPr>
            <w:tcW w:w="971" w:type="pct"/>
            <w:vAlign w:val="center"/>
          </w:tcPr>
          <w:p w14:paraId="551579DB">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轮驳公司码头</w:t>
            </w:r>
          </w:p>
        </w:tc>
        <w:tc>
          <w:tcPr>
            <w:tcW w:w="670" w:type="pct"/>
            <w:vAlign w:val="center"/>
          </w:tcPr>
          <w:p w14:paraId="0C7383CF">
            <w:pPr>
              <w:adjustRightInd w:val="0"/>
              <w:snapToGrid w:val="0"/>
              <w:spacing w:line="240" w:lineRule="auto"/>
              <w:ind w:firstLine="0" w:firstLineChars="0"/>
              <w:jc w:val="center"/>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2艘</w:t>
            </w:r>
          </w:p>
        </w:tc>
      </w:tr>
    </w:tbl>
    <w:p w14:paraId="647DA0A3">
      <w:pPr>
        <w:pStyle w:val="7"/>
        <w:rPr>
          <w:color w:val="000000" w:themeColor="text1"/>
          <w14:textFill>
            <w14:solidFill>
              <w14:schemeClr w14:val="tx1"/>
            </w14:solidFill>
          </w14:textFill>
        </w:rPr>
      </w:pPr>
      <w:r>
        <w:rPr>
          <w:rFonts w:hint="eastAsia"/>
          <w:color w:val="000000" w:themeColor="text1"/>
          <w14:textFill>
            <w14:solidFill>
              <w14:schemeClr w14:val="tx1"/>
            </w14:solidFill>
          </w14:textFill>
        </w:rPr>
        <w:t>中国石油广西石化公司消防队车辆配备一览表</w:t>
      </w:r>
    </w:p>
    <w:tbl>
      <w:tblPr>
        <w:tblStyle w:val="43"/>
        <w:tblW w:w="9071"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839"/>
        <w:gridCol w:w="3825"/>
        <w:gridCol w:w="1059"/>
        <w:gridCol w:w="1004"/>
        <w:gridCol w:w="2344"/>
      </w:tblGrid>
      <w:tr w14:paraId="3C24539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711" w:type="dxa"/>
            <w:tcMar>
              <w:top w:w="17" w:type="dxa"/>
              <w:bottom w:w="17" w:type="dxa"/>
            </w:tcMar>
            <w:vAlign w:val="center"/>
          </w:tcPr>
          <w:p w14:paraId="381D7097">
            <w:pPr>
              <w:adjustRightInd w:val="0"/>
              <w:snapToGrid w:val="0"/>
              <w:spacing w:line="240" w:lineRule="auto"/>
              <w:ind w:firstLine="0" w:firstLineChars="0"/>
              <w:jc w:val="center"/>
              <w:rPr>
                <w:b/>
                <w:color w:val="000000" w:themeColor="text1"/>
                <w:kern w:val="0"/>
                <w:sz w:val="21"/>
                <w:szCs w:val="21"/>
                <w14:textFill>
                  <w14:solidFill>
                    <w14:schemeClr w14:val="tx1"/>
                  </w14:solidFill>
                </w14:textFill>
              </w:rPr>
            </w:pPr>
            <w:r>
              <w:rPr>
                <w:rFonts w:hint="eastAsia"/>
                <w:b/>
                <w:color w:val="000000" w:themeColor="text1"/>
                <w:kern w:val="0"/>
                <w:sz w:val="21"/>
                <w:szCs w:val="21"/>
                <w14:textFill>
                  <w14:solidFill>
                    <w14:schemeClr w14:val="tx1"/>
                  </w14:solidFill>
                </w14:textFill>
              </w:rPr>
              <w:t>序号</w:t>
            </w:r>
          </w:p>
        </w:tc>
        <w:tc>
          <w:tcPr>
            <w:tcW w:w="3240" w:type="dxa"/>
            <w:tcMar>
              <w:top w:w="17" w:type="dxa"/>
              <w:bottom w:w="17" w:type="dxa"/>
            </w:tcMar>
            <w:vAlign w:val="center"/>
          </w:tcPr>
          <w:p w14:paraId="634F430D">
            <w:pPr>
              <w:adjustRightInd w:val="0"/>
              <w:snapToGrid w:val="0"/>
              <w:spacing w:line="240" w:lineRule="auto"/>
              <w:ind w:firstLine="0" w:firstLineChars="0"/>
              <w:jc w:val="center"/>
              <w:rPr>
                <w:b/>
                <w:color w:val="000000" w:themeColor="text1"/>
                <w:kern w:val="0"/>
                <w:sz w:val="21"/>
                <w:szCs w:val="21"/>
                <w14:textFill>
                  <w14:solidFill>
                    <w14:schemeClr w14:val="tx1"/>
                  </w14:solidFill>
                </w14:textFill>
              </w:rPr>
            </w:pPr>
            <w:r>
              <w:rPr>
                <w:rFonts w:hint="eastAsia"/>
                <w:b/>
                <w:color w:val="000000" w:themeColor="text1"/>
                <w:kern w:val="0"/>
                <w:sz w:val="21"/>
                <w:szCs w:val="21"/>
                <w14:textFill>
                  <w14:solidFill>
                    <w14:schemeClr w14:val="tx1"/>
                  </w14:solidFill>
                </w14:textFill>
              </w:rPr>
              <w:t>车辆名称</w:t>
            </w:r>
          </w:p>
        </w:tc>
        <w:tc>
          <w:tcPr>
            <w:tcW w:w="897" w:type="dxa"/>
            <w:tcMar>
              <w:top w:w="17" w:type="dxa"/>
              <w:bottom w:w="17" w:type="dxa"/>
            </w:tcMar>
            <w:vAlign w:val="center"/>
          </w:tcPr>
          <w:p w14:paraId="03F5B48B">
            <w:pPr>
              <w:adjustRightInd w:val="0"/>
              <w:snapToGrid w:val="0"/>
              <w:spacing w:line="240" w:lineRule="auto"/>
              <w:ind w:firstLine="0" w:firstLineChars="0"/>
              <w:jc w:val="center"/>
              <w:rPr>
                <w:b/>
                <w:color w:val="000000" w:themeColor="text1"/>
                <w:kern w:val="0"/>
                <w:sz w:val="21"/>
                <w:szCs w:val="21"/>
                <w14:textFill>
                  <w14:solidFill>
                    <w14:schemeClr w14:val="tx1"/>
                  </w14:solidFill>
                </w14:textFill>
              </w:rPr>
            </w:pPr>
            <w:r>
              <w:rPr>
                <w:rFonts w:hint="eastAsia"/>
                <w:b/>
                <w:color w:val="000000" w:themeColor="text1"/>
                <w:kern w:val="0"/>
                <w:sz w:val="21"/>
                <w:szCs w:val="21"/>
                <w14:textFill>
                  <w14:solidFill>
                    <w14:schemeClr w14:val="tx1"/>
                  </w14:solidFill>
                </w14:textFill>
              </w:rPr>
              <w:t>产地</w:t>
            </w:r>
          </w:p>
        </w:tc>
        <w:tc>
          <w:tcPr>
            <w:tcW w:w="850" w:type="dxa"/>
            <w:tcMar>
              <w:top w:w="17" w:type="dxa"/>
              <w:bottom w:w="17" w:type="dxa"/>
            </w:tcMar>
            <w:vAlign w:val="center"/>
          </w:tcPr>
          <w:p w14:paraId="252A9A8E">
            <w:pPr>
              <w:adjustRightInd w:val="0"/>
              <w:snapToGrid w:val="0"/>
              <w:spacing w:line="240" w:lineRule="auto"/>
              <w:ind w:firstLine="0" w:firstLineChars="0"/>
              <w:jc w:val="center"/>
              <w:rPr>
                <w:b/>
                <w:color w:val="000000" w:themeColor="text1"/>
                <w:kern w:val="0"/>
                <w:sz w:val="21"/>
                <w:szCs w:val="21"/>
                <w14:textFill>
                  <w14:solidFill>
                    <w14:schemeClr w14:val="tx1"/>
                  </w14:solidFill>
                </w14:textFill>
              </w:rPr>
            </w:pPr>
            <w:r>
              <w:rPr>
                <w:rFonts w:hint="eastAsia"/>
                <w:b/>
                <w:color w:val="000000" w:themeColor="text1"/>
                <w:kern w:val="0"/>
                <w:sz w:val="21"/>
                <w:szCs w:val="21"/>
                <w14:textFill>
                  <w14:solidFill>
                    <w14:schemeClr w14:val="tx1"/>
                  </w14:solidFill>
                </w14:textFill>
              </w:rPr>
              <w:t>数量</w:t>
            </w:r>
          </w:p>
        </w:tc>
        <w:tc>
          <w:tcPr>
            <w:tcW w:w="1985" w:type="dxa"/>
            <w:tcMar>
              <w:top w:w="17" w:type="dxa"/>
              <w:bottom w:w="17" w:type="dxa"/>
            </w:tcMar>
            <w:vAlign w:val="center"/>
          </w:tcPr>
          <w:p w14:paraId="34A18D3C">
            <w:pPr>
              <w:adjustRightInd w:val="0"/>
              <w:snapToGrid w:val="0"/>
              <w:spacing w:line="240" w:lineRule="auto"/>
              <w:ind w:firstLine="0" w:firstLineChars="0"/>
              <w:jc w:val="center"/>
              <w:rPr>
                <w:b/>
                <w:color w:val="000000" w:themeColor="text1"/>
                <w:kern w:val="0"/>
                <w:sz w:val="21"/>
                <w:szCs w:val="21"/>
                <w14:textFill>
                  <w14:solidFill>
                    <w14:schemeClr w14:val="tx1"/>
                  </w14:solidFill>
                </w14:textFill>
              </w:rPr>
            </w:pPr>
            <w:r>
              <w:rPr>
                <w:rFonts w:hint="eastAsia"/>
                <w:b/>
                <w:color w:val="000000" w:themeColor="text1"/>
                <w:kern w:val="0"/>
                <w:sz w:val="21"/>
                <w:szCs w:val="21"/>
                <w14:textFill>
                  <w14:solidFill>
                    <w14:schemeClr w14:val="tx1"/>
                  </w14:solidFill>
                </w14:textFill>
              </w:rPr>
              <w:t>灭火剂</w:t>
            </w:r>
          </w:p>
        </w:tc>
      </w:tr>
      <w:tr w14:paraId="36BDE32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11" w:type="dxa"/>
            <w:tcMar>
              <w:top w:w="17" w:type="dxa"/>
              <w:bottom w:w="17" w:type="dxa"/>
            </w:tcMar>
            <w:vAlign w:val="center"/>
          </w:tcPr>
          <w:p w14:paraId="00A34197">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w:t>
            </w:r>
          </w:p>
        </w:tc>
        <w:tc>
          <w:tcPr>
            <w:tcW w:w="3240" w:type="dxa"/>
            <w:tcMar>
              <w:top w:w="17" w:type="dxa"/>
              <w:bottom w:w="17" w:type="dxa"/>
            </w:tcMar>
            <w:vAlign w:val="center"/>
          </w:tcPr>
          <w:p w14:paraId="7EBADCA9">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42</w:t>
            </w:r>
            <w:r>
              <w:rPr>
                <w:rFonts w:hint="eastAsia"/>
                <w:color w:val="000000" w:themeColor="text1"/>
                <w:kern w:val="0"/>
                <w:sz w:val="21"/>
                <w:szCs w:val="21"/>
                <w14:textFill>
                  <w14:solidFill>
                    <w14:schemeClr w14:val="tx1"/>
                  </w14:solidFill>
                </w14:textFill>
              </w:rPr>
              <w:t>米曲直臂举高喷射消防车</w:t>
            </w:r>
          </w:p>
        </w:tc>
        <w:tc>
          <w:tcPr>
            <w:tcW w:w="897" w:type="dxa"/>
            <w:tcMar>
              <w:top w:w="17" w:type="dxa"/>
              <w:bottom w:w="17" w:type="dxa"/>
            </w:tcMar>
            <w:vAlign w:val="center"/>
          </w:tcPr>
          <w:p w14:paraId="0D27E457">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进口</w:t>
            </w:r>
          </w:p>
        </w:tc>
        <w:tc>
          <w:tcPr>
            <w:tcW w:w="850" w:type="dxa"/>
            <w:tcMar>
              <w:top w:w="17" w:type="dxa"/>
              <w:bottom w:w="17" w:type="dxa"/>
            </w:tcMar>
            <w:vAlign w:val="center"/>
          </w:tcPr>
          <w:p w14:paraId="676B3D56">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w:t>
            </w:r>
          </w:p>
        </w:tc>
        <w:tc>
          <w:tcPr>
            <w:tcW w:w="1985" w:type="dxa"/>
            <w:tcMar>
              <w:top w:w="17" w:type="dxa"/>
              <w:bottom w:w="17" w:type="dxa"/>
            </w:tcMar>
            <w:vAlign w:val="center"/>
          </w:tcPr>
          <w:p w14:paraId="1C7CE877">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泡沫和水各</w:t>
            </w:r>
            <w:r>
              <w:rPr>
                <w:color w:val="000000" w:themeColor="text1"/>
                <w:kern w:val="0"/>
                <w:sz w:val="21"/>
                <w:szCs w:val="21"/>
                <w14:textFill>
                  <w14:solidFill>
                    <w14:schemeClr w14:val="tx1"/>
                  </w14:solidFill>
                </w14:textFill>
              </w:rPr>
              <w:t>3</w:t>
            </w:r>
            <w:r>
              <w:rPr>
                <w:rFonts w:hint="eastAsia"/>
                <w:color w:val="000000" w:themeColor="text1"/>
                <w:kern w:val="0"/>
                <w:sz w:val="21"/>
                <w:szCs w:val="21"/>
                <w14:textFill>
                  <w14:solidFill>
                    <w14:schemeClr w14:val="tx1"/>
                  </w14:solidFill>
                </w14:textFill>
              </w:rPr>
              <w:t>吨</w:t>
            </w:r>
          </w:p>
        </w:tc>
      </w:tr>
      <w:tr w14:paraId="1326FBA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11" w:type="dxa"/>
            <w:tcMar>
              <w:top w:w="17" w:type="dxa"/>
              <w:bottom w:w="17" w:type="dxa"/>
            </w:tcMar>
            <w:vAlign w:val="center"/>
          </w:tcPr>
          <w:p w14:paraId="2463F73C">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w:t>
            </w:r>
          </w:p>
        </w:tc>
        <w:tc>
          <w:tcPr>
            <w:tcW w:w="3240" w:type="dxa"/>
            <w:tcMar>
              <w:top w:w="17" w:type="dxa"/>
              <w:bottom w:w="17" w:type="dxa"/>
            </w:tcMar>
            <w:vAlign w:val="center"/>
          </w:tcPr>
          <w:p w14:paraId="73DB9B29">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重型泡沫消防车</w:t>
            </w:r>
          </w:p>
        </w:tc>
        <w:tc>
          <w:tcPr>
            <w:tcW w:w="897" w:type="dxa"/>
            <w:tcMar>
              <w:top w:w="17" w:type="dxa"/>
              <w:bottom w:w="17" w:type="dxa"/>
            </w:tcMar>
            <w:vAlign w:val="center"/>
          </w:tcPr>
          <w:p w14:paraId="4C7BC566">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进口</w:t>
            </w:r>
          </w:p>
        </w:tc>
        <w:tc>
          <w:tcPr>
            <w:tcW w:w="850" w:type="dxa"/>
            <w:tcMar>
              <w:top w:w="17" w:type="dxa"/>
              <w:bottom w:w="17" w:type="dxa"/>
            </w:tcMar>
            <w:vAlign w:val="center"/>
          </w:tcPr>
          <w:p w14:paraId="48A3B9FB">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w:t>
            </w:r>
          </w:p>
        </w:tc>
        <w:tc>
          <w:tcPr>
            <w:tcW w:w="1985" w:type="dxa"/>
            <w:tcMar>
              <w:top w:w="17" w:type="dxa"/>
              <w:bottom w:w="17" w:type="dxa"/>
            </w:tcMar>
            <w:vAlign w:val="center"/>
          </w:tcPr>
          <w:p w14:paraId="239171E8">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泡沫和水各</w:t>
            </w:r>
            <w:r>
              <w:rPr>
                <w:color w:val="000000" w:themeColor="text1"/>
                <w:kern w:val="0"/>
                <w:sz w:val="21"/>
                <w:szCs w:val="21"/>
                <w14:textFill>
                  <w14:solidFill>
                    <w14:schemeClr w14:val="tx1"/>
                  </w14:solidFill>
                </w14:textFill>
              </w:rPr>
              <w:t>6</w:t>
            </w:r>
            <w:r>
              <w:rPr>
                <w:rFonts w:hint="eastAsia"/>
                <w:color w:val="000000" w:themeColor="text1"/>
                <w:kern w:val="0"/>
                <w:sz w:val="21"/>
                <w:szCs w:val="21"/>
                <w14:textFill>
                  <w14:solidFill>
                    <w14:schemeClr w14:val="tx1"/>
                  </w14:solidFill>
                </w14:textFill>
              </w:rPr>
              <w:t>吨</w:t>
            </w:r>
          </w:p>
        </w:tc>
      </w:tr>
      <w:tr w14:paraId="3870893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11" w:type="dxa"/>
            <w:tcMar>
              <w:top w:w="17" w:type="dxa"/>
              <w:bottom w:w="17" w:type="dxa"/>
            </w:tcMar>
            <w:vAlign w:val="center"/>
          </w:tcPr>
          <w:p w14:paraId="7983B122">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w:t>
            </w:r>
          </w:p>
        </w:tc>
        <w:tc>
          <w:tcPr>
            <w:tcW w:w="3240" w:type="dxa"/>
            <w:tcMar>
              <w:top w:w="17" w:type="dxa"/>
              <w:bottom w:w="17" w:type="dxa"/>
            </w:tcMar>
            <w:vAlign w:val="center"/>
          </w:tcPr>
          <w:p w14:paraId="79FAC8EE">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干粉车</w:t>
            </w:r>
          </w:p>
        </w:tc>
        <w:tc>
          <w:tcPr>
            <w:tcW w:w="897" w:type="dxa"/>
            <w:tcMar>
              <w:top w:w="17" w:type="dxa"/>
              <w:bottom w:w="17" w:type="dxa"/>
            </w:tcMar>
            <w:vAlign w:val="center"/>
          </w:tcPr>
          <w:p w14:paraId="44591749">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进口</w:t>
            </w:r>
          </w:p>
        </w:tc>
        <w:tc>
          <w:tcPr>
            <w:tcW w:w="850" w:type="dxa"/>
            <w:tcMar>
              <w:top w:w="17" w:type="dxa"/>
              <w:bottom w:w="17" w:type="dxa"/>
            </w:tcMar>
            <w:vAlign w:val="center"/>
          </w:tcPr>
          <w:p w14:paraId="7029F58C">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w:t>
            </w:r>
          </w:p>
        </w:tc>
        <w:tc>
          <w:tcPr>
            <w:tcW w:w="1985" w:type="dxa"/>
            <w:tcMar>
              <w:top w:w="17" w:type="dxa"/>
              <w:bottom w:w="17" w:type="dxa"/>
            </w:tcMar>
            <w:vAlign w:val="center"/>
          </w:tcPr>
          <w:p w14:paraId="4E89507D">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6</w:t>
            </w:r>
            <w:r>
              <w:rPr>
                <w:rFonts w:hint="eastAsia"/>
                <w:color w:val="000000" w:themeColor="text1"/>
                <w:kern w:val="0"/>
                <w:sz w:val="21"/>
                <w:szCs w:val="21"/>
                <w14:textFill>
                  <w14:solidFill>
                    <w14:schemeClr w14:val="tx1"/>
                  </w14:solidFill>
                </w14:textFill>
              </w:rPr>
              <w:t>吨干粉</w:t>
            </w:r>
          </w:p>
        </w:tc>
      </w:tr>
      <w:tr w14:paraId="4FD9D00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11" w:type="dxa"/>
            <w:vAlign w:val="center"/>
          </w:tcPr>
          <w:p w14:paraId="5FA405F8">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4</w:t>
            </w:r>
          </w:p>
        </w:tc>
        <w:tc>
          <w:tcPr>
            <w:tcW w:w="3240" w:type="dxa"/>
            <w:tcMar>
              <w:left w:w="51" w:type="dxa"/>
              <w:right w:w="51" w:type="dxa"/>
            </w:tcMar>
            <w:vAlign w:val="center"/>
          </w:tcPr>
          <w:p w14:paraId="32102312">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32</w:t>
            </w:r>
            <w:r>
              <w:rPr>
                <w:rFonts w:hint="eastAsia"/>
                <w:color w:val="000000" w:themeColor="text1"/>
                <w:kern w:val="0"/>
                <w:sz w:val="21"/>
                <w:szCs w:val="21"/>
                <w14:textFill>
                  <w14:solidFill>
                    <w14:schemeClr w14:val="tx1"/>
                  </w14:solidFill>
                </w14:textFill>
              </w:rPr>
              <w:t>米举高喷射消防车</w:t>
            </w:r>
          </w:p>
        </w:tc>
        <w:tc>
          <w:tcPr>
            <w:tcW w:w="897" w:type="dxa"/>
            <w:tcMar>
              <w:left w:w="51" w:type="dxa"/>
              <w:right w:w="51" w:type="dxa"/>
            </w:tcMar>
            <w:vAlign w:val="center"/>
          </w:tcPr>
          <w:p w14:paraId="5C129063">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国产</w:t>
            </w:r>
          </w:p>
        </w:tc>
        <w:tc>
          <w:tcPr>
            <w:tcW w:w="850" w:type="dxa"/>
            <w:tcMar>
              <w:left w:w="51" w:type="dxa"/>
              <w:right w:w="51" w:type="dxa"/>
            </w:tcMar>
            <w:vAlign w:val="center"/>
          </w:tcPr>
          <w:p w14:paraId="727FB7AE">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w:t>
            </w:r>
          </w:p>
        </w:tc>
        <w:tc>
          <w:tcPr>
            <w:tcW w:w="1985" w:type="dxa"/>
            <w:tcMar>
              <w:left w:w="51" w:type="dxa"/>
              <w:right w:w="51" w:type="dxa"/>
            </w:tcMar>
            <w:vAlign w:val="center"/>
          </w:tcPr>
          <w:p w14:paraId="01301691">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泡沫和水各</w:t>
            </w:r>
            <w:r>
              <w:rPr>
                <w:color w:val="000000" w:themeColor="text1"/>
                <w:kern w:val="0"/>
                <w:sz w:val="21"/>
                <w:szCs w:val="21"/>
                <w14:textFill>
                  <w14:solidFill>
                    <w14:schemeClr w14:val="tx1"/>
                  </w14:solidFill>
                </w14:textFill>
              </w:rPr>
              <w:t>3</w:t>
            </w:r>
            <w:r>
              <w:rPr>
                <w:rFonts w:hint="eastAsia"/>
                <w:color w:val="000000" w:themeColor="text1"/>
                <w:kern w:val="0"/>
                <w:sz w:val="21"/>
                <w:szCs w:val="21"/>
                <w14:textFill>
                  <w14:solidFill>
                    <w14:schemeClr w14:val="tx1"/>
                  </w14:solidFill>
                </w14:textFill>
              </w:rPr>
              <w:t>吨</w:t>
            </w:r>
          </w:p>
        </w:tc>
      </w:tr>
      <w:tr w14:paraId="01E9163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11" w:type="dxa"/>
            <w:tcMar>
              <w:top w:w="17" w:type="dxa"/>
              <w:bottom w:w="17" w:type="dxa"/>
            </w:tcMar>
            <w:vAlign w:val="center"/>
          </w:tcPr>
          <w:p w14:paraId="39ED5A29">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5</w:t>
            </w:r>
          </w:p>
        </w:tc>
        <w:tc>
          <w:tcPr>
            <w:tcW w:w="3240" w:type="dxa"/>
            <w:tcMar>
              <w:top w:w="17" w:type="dxa"/>
              <w:bottom w:w="17" w:type="dxa"/>
            </w:tcMar>
            <w:vAlign w:val="center"/>
          </w:tcPr>
          <w:p w14:paraId="1D32038A">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重型泡沫消防车</w:t>
            </w:r>
          </w:p>
        </w:tc>
        <w:tc>
          <w:tcPr>
            <w:tcW w:w="897" w:type="dxa"/>
            <w:tcMar>
              <w:top w:w="17" w:type="dxa"/>
              <w:bottom w:w="17" w:type="dxa"/>
            </w:tcMar>
            <w:vAlign w:val="center"/>
          </w:tcPr>
          <w:p w14:paraId="48518FA1">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国产</w:t>
            </w:r>
          </w:p>
        </w:tc>
        <w:tc>
          <w:tcPr>
            <w:tcW w:w="850" w:type="dxa"/>
            <w:tcMar>
              <w:top w:w="17" w:type="dxa"/>
              <w:bottom w:w="17" w:type="dxa"/>
            </w:tcMar>
            <w:vAlign w:val="center"/>
          </w:tcPr>
          <w:p w14:paraId="0BCFD039">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w:t>
            </w:r>
          </w:p>
        </w:tc>
        <w:tc>
          <w:tcPr>
            <w:tcW w:w="1985" w:type="dxa"/>
            <w:tcMar>
              <w:top w:w="17" w:type="dxa"/>
              <w:left w:w="45" w:type="dxa"/>
              <w:bottom w:w="17" w:type="dxa"/>
              <w:right w:w="45" w:type="dxa"/>
            </w:tcMar>
            <w:vAlign w:val="center"/>
          </w:tcPr>
          <w:p w14:paraId="06E27444">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泡沫和水各</w:t>
            </w:r>
            <w:r>
              <w:rPr>
                <w:color w:val="000000" w:themeColor="text1"/>
                <w:kern w:val="0"/>
                <w:sz w:val="21"/>
                <w:szCs w:val="21"/>
                <w14:textFill>
                  <w14:solidFill>
                    <w14:schemeClr w14:val="tx1"/>
                  </w14:solidFill>
                </w14:textFill>
              </w:rPr>
              <w:t>6</w:t>
            </w:r>
            <w:r>
              <w:rPr>
                <w:rFonts w:hint="eastAsia"/>
                <w:color w:val="000000" w:themeColor="text1"/>
                <w:kern w:val="0"/>
                <w:sz w:val="21"/>
                <w:szCs w:val="21"/>
                <w14:textFill>
                  <w14:solidFill>
                    <w14:schemeClr w14:val="tx1"/>
                  </w14:solidFill>
                </w14:textFill>
              </w:rPr>
              <w:t>吨</w:t>
            </w:r>
          </w:p>
        </w:tc>
      </w:tr>
      <w:tr w14:paraId="66C5B33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11" w:type="dxa"/>
            <w:tcMar>
              <w:top w:w="17" w:type="dxa"/>
              <w:bottom w:w="17" w:type="dxa"/>
            </w:tcMar>
            <w:vAlign w:val="center"/>
          </w:tcPr>
          <w:p w14:paraId="466DDF11">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6</w:t>
            </w:r>
          </w:p>
        </w:tc>
        <w:tc>
          <w:tcPr>
            <w:tcW w:w="3240" w:type="dxa"/>
            <w:tcMar>
              <w:top w:w="17" w:type="dxa"/>
              <w:bottom w:w="17" w:type="dxa"/>
            </w:tcMar>
            <w:vAlign w:val="center"/>
          </w:tcPr>
          <w:p w14:paraId="6DE81EE1">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干粉</w:t>
            </w:r>
            <w:r>
              <w:rPr>
                <w:color w:val="000000" w:themeColor="text1"/>
                <w:kern w:val="0"/>
                <w:sz w:val="21"/>
                <w:szCs w:val="21"/>
                <w14:textFill>
                  <w14:solidFill>
                    <w14:schemeClr w14:val="tx1"/>
                  </w14:solidFill>
                </w14:textFill>
              </w:rPr>
              <w:t>/</w:t>
            </w:r>
            <w:r>
              <w:rPr>
                <w:rFonts w:hint="eastAsia"/>
                <w:color w:val="000000" w:themeColor="text1"/>
                <w:kern w:val="0"/>
                <w:sz w:val="21"/>
                <w:szCs w:val="21"/>
                <w14:textFill>
                  <w14:solidFill>
                    <w14:schemeClr w14:val="tx1"/>
                  </w14:solidFill>
                </w14:textFill>
              </w:rPr>
              <w:t>泡沫联用车</w:t>
            </w:r>
          </w:p>
        </w:tc>
        <w:tc>
          <w:tcPr>
            <w:tcW w:w="897" w:type="dxa"/>
            <w:tcMar>
              <w:top w:w="17" w:type="dxa"/>
              <w:bottom w:w="17" w:type="dxa"/>
            </w:tcMar>
            <w:vAlign w:val="center"/>
          </w:tcPr>
          <w:p w14:paraId="2288C841">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国产</w:t>
            </w:r>
          </w:p>
        </w:tc>
        <w:tc>
          <w:tcPr>
            <w:tcW w:w="850" w:type="dxa"/>
            <w:tcMar>
              <w:top w:w="17" w:type="dxa"/>
              <w:bottom w:w="17" w:type="dxa"/>
            </w:tcMar>
            <w:vAlign w:val="center"/>
          </w:tcPr>
          <w:p w14:paraId="10994933">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w:t>
            </w:r>
          </w:p>
        </w:tc>
        <w:tc>
          <w:tcPr>
            <w:tcW w:w="1985" w:type="dxa"/>
            <w:tcMar>
              <w:top w:w="17" w:type="dxa"/>
              <w:bottom w:w="17" w:type="dxa"/>
            </w:tcMar>
            <w:vAlign w:val="center"/>
          </w:tcPr>
          <w:p w14:paraId="2C9692C0">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干粉、泡沫和水各</w:t>
            </w:r>
            <w:r>
              <w:rPr>
                <w:color w:val="000000" w:themeColor="text1"/>
                <w:kern w:val="0"/>
                <w:sz w:val="21"/>
                <w:szCs w:val="21"/>
                <w14:textFill>
                  <w14:solidFill>
                    <w14:schemeClr w14:val="tx1"/>
                  </w14:solidFill>
                </w14:textFill>
              </w:rPr>
              <w:t>3</w:t>
            </w:r>
            <w:r>
              <w:rPr>
                <w:rFonts w:hint="eastAsia"/>
                <w:color w:val="000000" w:themeColor="text1"/>
                <w:kern w:val="0"/>
                <w:sz w:val="21"/>
                <w:szCs w:val="21"/>
                <w14:textFill>
                  <w14:solidFill>
                    <w14:schemeClr w14:val="tx1"/>
                  </w14:solidFill>
                </w14:textFill>
              </w:rPr>
              <w:t>吨</w:t>
            </w:r>
          </w:p>
        </w:tc>
      </w:tr>
      <w:tr w14:paraId="167A4E9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11" w:type="dxa"/>
            <w:tcMar>
              <w:top w:w="17" w:type="dxa"/>
              <w:bottom w:w="17" w:type="dxa"/>
            </w:tcMar>
            <w:vAlign w:val="center"/>
          </w:tcPr>
          <w:p w14:paraId="0D96CCDC">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7</w:t>
            </w:r>
          </w:p>
        </w:tc>
        <w:tc>
          <w:tcPr>
            <w:tcW w:w="3240" w:type="dxa"/>
            <w:tcMar>
              <w:top w:w="17" w:type="dxa"/>
              <w:bottom w:w="17" w:type="dxa"/>
            </w:tcMar>
            <w:vAlign w:val="center"/>
          </w:tcPr>
          <w:p w14:paraId="79C004AC">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抢险救援车</w:t>
            </w:r>
          </w:p>
        </w:tc>
        <w:tc>
          <w:tcPr>
            <w:tcW w:w="897" w:type="dxa"/>
            <w:tcMar>
              <w:top w:w="17" w:type="dxa"/>
              <w:bottom w:w="17" w:type="dxa"/>
            </w:tcMar>
            <w:vAlign w:val="center"/>
          </w:tcPr>
          <w:p w14:paraId="771C3FBD">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国产</w:t>
            </w:r>
          </w:p>
        </w:tc>
        <w:tc>
          <w:tcPr>
            <w:tcW w:w="850" w:type="dxa"/>
            <w:tcMar>
              <w:top w:w="17" w:type="dxa"/>
              <w:bottom w:w="17" w:type="dxa"/>
            </w:tcMar>
            <w:vAlign w:val="center"/>
          </w:tcPr>
          <w:p w14:paraId="50782AB6">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w:t>
            </w:r>
          </w:p>
        </w:tc>
        <w:tc>
          <w:tcPr>
            <w:tcW w:w="1985" w:type="dxa"/>
            <w:tcMar>
              <w:top w:w="17" w:type="dxa"/>
              <w:bottom w:w="17" w:type="dxa"/>
            </w:tcMar>
            <w:vAlign w:val="center"/>
          </w:tcPr>
          <w:p w14:paraId="213F9566">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p>
        </w:tc>
      </w:tr>
      <w:tr w14:paraId="702A90E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11" w:type="dxa"/>
            <w:tcMar>
              <w:top w:w="17" w:type="dxa"/>
              <w:bottom w:w="17" w:type="dxa"/>
            </w:tcMar>
            <w:vAlign w:val="center"/>
          </w:tcPr>
          <w:p w14:paraId="02622F01">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8</w:t>
            </w:r>
          </w:p>
        </w:tc>
        <w:tc>
          <w:tcPr>
            <w:tcW w:w="3240" w:type="dxa"/>
            <w:tcMar>
              <w:top w:w="17" w:type="dxa"/>
              <w:bottom w:w="17" w:type="dxa"/>
            </w:tcMar>
            <w:vAlign w:val="center"/>
          </w:tcPr>
          <w:p w14:paraId="7CF0FED9">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大型通信指挥车</w:t>
            </w:r>
          </w:p>
        </w:tc>
        <w:tc>
          <w:tcPr>
            <w:tcW w:w="897" w:type="dxa"/>
            <w:tcMar>
              <w:top w:w="17" w:type="dxa"/>
              <w:bottom w:w="17" w:type="dxa"/>
            </w:tcMar>
            <w:vAlign w:val="center"/>
          </w:tcPr>
          <w:p w14:paraId="56D2CA15">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国产</w:t>
            </w:r>
          </w:p>
        </w:tc>
        <w:tc>
          <w:tcPr>
            <w:tcW w:w="850" w:type="dxa"/>
            <w:tcMar>
              <w:top w:w="17" w:type="dxa"/>
              <w:bottom w:w="17" w:type="dxa"/>
            </w:tcMar>
            <w:vAlign w:val="center"/>
          </w:tcPr>
          <w:p w14:paraId="07D6D077">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w:t>
            </w:r>
          </w:p>
        </w:tc>
        <w:tc>
          <w:tcPr>
            <w:tcW w:w="1985" w:type="dxa"/>
            <w:tcMar>
              <w:top w:w="17" w:type="dxa"/>
              <w:bottom w:w="17" w:type="dxa"/>
            </w:tcMar>
            <w:vAlign w:val="center"/>
          </w:tcPr>
          <w:p w14:paraId="14532751">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p>
        </w:tc>
      </w:tr>
      <w:tr w14:paraId="74D7D53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11" w:type="dxa"/>
            <w:tcMar>
              <w:top w:w="17" w:type="dxa"/>
              <w:bottom w:w="17" w:type="dxa"/>
            </w:tcMar>
            <w:vAlign w:val="center"/>
          </w:tcPr>
          <w:p w14:paraId="30C8A718">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9</w:t>
            </w:r>
          </w:p>
        </w:tc>
        <w:tc>
          <w:tcPr>
            <w:tcW w:w="3240" w:type="dxa"/>
            <w:tcMar>
              <w:top w:w="17" w:type="dxa"/>
              <w:bottom w:w="17" w:type="dxa"/>
            </w:tcMar>
            <w:vAlign w:val="center"/>
          </w:tcPr>
          <w:p w14:paraId="5B36E345">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气防车</w:t>
            </w:r>
          </w:p>
        </w:tc>
        <w:tc>
          <w:tcPr>
            <w:tcW w:w="897" w:type="dxa"/>
            <w:tcMar>
              <w:top w:w="17" w:type="dxa"/>
              <w:bottom w:w="17" w:type="dxa"/>
            </w:tcMar>
            <w:vAlign w:val="center"/>
          </w:tcPr>
          <w:p w14:paraId="30FDA3DC">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国产</w:t>
            </w:r>
          </w:p>
        </w:tc>
        <w:tc>
          <w:tcPr>
            <w:tcW w:w="850" w:type="dxa"/>
            <w:tcMar>
              <w:top w:w="17" w:type="dxa"/>
              <w:bottom w:w="17" w:type="dxa"/>
            </w:tcMar>
            <w:vAlign w:val="center"/>
          </w:tcPr>
          <w:p w14:paraId="45A154D1">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w:t>
            </w:r>
          </w:p>
        </w:tc>
        <w:tc>
          <w:tcPr>
            <w:tcW w:w="1985" w:type="dxa"/>
            <w:tcMar>
              <w:top w:w="17" w:type="dxa"/>
              <w:bottom w:w="17" w:type="dxa"/>
            </w:tcMar>
            <w:vAlign w:val="center"/>
          </w:tcPr>
          <w:p w14:paraId="5A9BF054">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p>
        </w:tc>
      </w:tr>
      <w:tr w14:paraId="21026AD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11" w:type="dxa"/>
            <w:tcMar>
              <w:top w:w="17" w:type="dxa"/>
              <w:bottom w:w="17" w:type="dxa"/>
            </w:tcMar>
            <w:vAlign w:val="center"/>
          </w:tcPr>
          <w:p w14:paraId="761B4A93">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10</w:t>
            </w:r>
          </w:p>
        </w:tc>
        <w:tc>
          <w:tcPr>
            <w:tcW w:w="3240" w:type="dxa"/>
            <w:tcMar>
              <w:top w:w="17" w:type="dxa"/>
              <w:bottom w:w="17" w:type="dxa"/>
            </w:tcMar>
            <w:vAlign w:val="center"/>
          </w:tcPr>
          <w:p w14:paraId="3260BADE">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16</w:t>
            </w:r>
            <w:r>
              <w:rPr>
                <w:rFonts w:hint="eastAsia"/>
                <w:color w:val="000000" w:themeColor="text1"/>
                <w:kern w:val="0"/>
                <w:sz w:val="21"/>
                <w:szCs w:val="21"/>
                <w14:textFill>
                  <w14:solidFill>
                    <w14:schemeClr w14:val="tx1"/>
                  </w14:solidFill>
                </w14:textFill>
              </w:rPr>
              <w:t>米举高喷射消防车</w:t>
            </w:r>
          </w:p>
        </w:tc>
        <w:tc>
          <w:tcPr>
            <w:tcW w:w="897" w:type="dxa"/>
            <w:tcMar>
              <w:top w:w="17" w:type="dxa"/>
              <w:bottom w:w="17" w:type="dxa"/>
            </w:tcMar>
            <w:vAlign w:val="center"/>
          </w:tcPr>
          <w:p w14:paraId="25707198">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国产</w:t>
            </w:r>
          </w:p>
        </w:tc>
        <w:tc>
          <w:tcPr>
            <w:tcW w:w="850" w:type="dxa"/>
            <w:tcMar>
              <w:top w:w="17" w:type="dxa"/>
              <w:bottom w:w="17" w:type="dxa"/>
            </w:tcMar>
            <w:vAlign w:val="center"/>
          </w:tcPr>
          <w:p w14:paraId="5D94AE3A">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w:t>
            </w:r>
          </w:p>
        </w:tc>
        <w:tc>
          <w:tcPr>
            <w:tcW w:w="1985" w:type="dxa"/>
            <w:tcMar>
              <w:top w:w="17" w:type="dxa"/>
              <w:bottom w:w="17" w:type="dxa"/>
            </w:tcMar>
            <w:vAlign w:val="center"/>
          </w:tcPr>
          <w:p w14:paraId="7644398D">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p>
        </w:tc>
      </w:tr>
      <w:tr w14:paraId="51030AC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11" w:type="dxa"/>
            <w:tcMar>
              <w:top w:w="17" w:type="dxa"/>
              <w:bottom w:w="17" w:type="dxa"/>
            </w:tcMar>
            <w:vAlign w:val="center"/>
          </w:tcPr>
          <w:p w14:paraId="3BC2EAA8">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11</w:t>
            </w:r>
          </w:p>
        </w:tc>
        <w:tc>
          <w:tcPr>
            <w:tcW w:w="3240" w:type="dxa"/>
            <w:tcMar>
              <w:top w:w="17" w:type="dxa"/>
              <w:bottom w:w="17" w:type="dxa"/>
            </w:tcMar>
            <w:vAlign w:val="center"/>
          </w:tcPr>
          <w:p w14:paraId="74B46BCC">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56</w:t>
            </w:r>
            <w:r>
              <w:rPr>
                <w:rFonts w:hint="eastAsia"/>
                <w:color w:val="000000" w:themeColor="text1"/>
                <w:kern w:val="0"/>
                <w:sz w:val="21"/>
                <w:szCs w:val="21"/>
                <w14:textFill>
                  <w14:solidFill>
                    <w14:schemeClr w14:val="tx1"/>
                  </w14:solidFill>
                </w14:textFill>
              </w:rPr>
              <w:t>米举高喷射消防车</w:t>
            </w:r>
          </w:p>
        </w:tc>
        <w:tc>
          <w:tcPr>
            <w:tcW w:w="897" w:type="dxa"/>
            <w:tcMar>
              <w:top w:w="17" w:type="dxa"/>
              <w:bottom w:w="17" w:type="dxa"/>
            </w:tcMar>
            <w:vAlign w:val="center"/>
          </w:tcPr>
          <w:p w14:paraId="5F61BBFD">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国产</w:t>
            </w:r>
          </w:p>
        </w:tc>
        <w:tc>
          <w:tcPr>
            <w:tcW w:w="850" w:type="dxa"/>
            <w:tcMar>
              <w:top w:w="17" w:type="dxa"/>
              <w:bottom w:w="17" w:type="dxa"/>
            </w:tcMar>
            <w:vAlign w:val="center"/>
          </w:tcPr>
          <w:p w14:paraId="051D97FF">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w:t>
            </w:r>
          </w:p>
        </w:tc>
        <w:tc>
          <w:tcPr>
            <w:tcW w:w="1985" w:type="dxa"/>
            <w:tcMar>
              <w:top w:w="17" w:type="dxa"/>
              <w:bottom w:w="17" w:type="dxa"/>
            </w:tcMar>
            <w:vAlign w:val="center"/>
          </w:tcPr>
          <w:p w14:paraId="13547180">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p>
        </w:tc>
      </w:tr>
      <w:tr w14:paraId="66C45B2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11" w:type="dxa"/>
            <w:tcMar>
              <w:top w:w="17" w:type="dxa"/>
              <w:bottom w:w="17" w:type="dxa"/>
            </w:tcMar>
            <w:vAlign w:val="center"/>
          </w:tcPr>
          <w:p w14:paraId="1B53B6B7">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12</w:t>
            </w:r>
          </w:p>
        </w:tc>
        <w:tc>
          <w:tcPr>
            <w:tcW w:w="3240" w:type="dxa"/>
            <w:tcMar>
              <w:top w:w="17" w:type="dxa"/>
              <w:bottom w:w="17" w:type="dxa"/>
            </w:tcMar>
            <w:vAlign w:val="center"/>
          </w:tcPr>
          <w:p w14:paraId="3321F5F2">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JP18</w:t>
            </w:r>
            <w:r>
              <w:rPr>
                <w:rFonts w:hint="eastAsia"/>
                <w:color w:val="000000" w:themeColor="text1"/>
                <w:kern w:val="0"/>
                <w:sz w:val="21"/>
                <w:szCs w:val="21"/>
                <w14:textFill>
                  <w14:solidFill>
                    <w14:schemeClr w14:val="tx1"/>
                  </w14:solidFill>
                </w14:textFill>
              </w:rPr>
              <w:t>高喷消防车</w:t>
            </w:r>
          </w:p>
        </w:tc>
        <w:tc>
          <w:tcPr>
            <w:tcW w:w="897" w:type="dxa"/>
            <w:tcMar>
              <w:top w:w="17" w:type="dxa"/>
              <w:bottom w:w="17" w:type="dxa"/>
            </w:tcMar>
            <w:vAlign w:val="center"/>
          </w:tcPr>
          <w:p w14:paraId="35F9A8FA">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国产</w:t>
            </w:r>
          </w:p>
        </w:tc>
        <w:tc>
          <w:tcPr>
            <w:tcW w:w="850" w:type="dxa"/>
            <w:tcMar>
              <w:top w:w="17" w:type="dxa"/>
              <w:bottom w:w="17" w:type="dxa"/>
            </w:tcMar>
            <w:vAlign w:val="center"/>
          </w:tcPr>
          <w:p w14:paraId="389B05ED">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w:t>
            </w:r>
          </w:p>
        </w:tc>
        <w:tc>
          <w:tcPr>
            <w:tcW w:w="1985" w:type="dxa"/>
            <w:tcMar>
              <w:top w:w="17" w:type="dxa"/>
              <w:bottom w:w="17" w:type="dxa"/>
            </w:tcMar>
            <w:vAlign w:val="center"/>
          </w:tcPr>
          <w:p w14:paraId="0215E9A6">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p>
        </w:tc>
      </w:tr>
      <w:tr w14:paraId="2C5E1BC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11" w:type="dxa"/>
            <w:tcMar>
              <w:top w:w="17" w:type="dxa"/>
              <w:bottom w:w="17" w:type="dxa"/>
            </w:tcMar>
            <w:vAlign w:val="center"/>
          </w:tcPr>
          <w:p w14:paraId="0CDD3AA9">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13</w:t>
            </w:r>
          </w:p>
        </w:tc>
        <w:tc>
          <w:tcPr>
            <w:tcW w:w="3240" w:type="dxa"/>
            <w:tcMar>
              <w:top w:w="17" w:type="dxa"/>
              <w:bottom w:w="17" w:type="dxa"/>
            </w:tcMar>
            <w:vAlign w:val="center"/>
          </w:tcPr>
          <w:p w14:paraId="2AC81F3B">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雷达通讯车</w:t>
            </w:r>
          </w:p>
        </w:tc>
        <w:tc>
          <w:tcPr>
            <w:tcW w:w="897" w:type="dxa"/>
            <w:tcMar>
              <w:top w:w="17" w:type="dxa"/>
              <w:bottom w:w="17" w:type="dxa"/>
            </w:tcMar>
            <w:vAlign w:val="center"/>
          </w:tcPr>
          <w:p w14:paraId="5AF0C0D8">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国产</w:t>
            </w:r>
          </w:p>
        </w:tc>
        <w:tc>
          <w:tcPr>
            <w:tcW w:w="850" w:type="dxa"/>
            <w:tcMar>
              <w:top w:w="17" w:type="dxa"/>
              <w:bottom w:w="17" w:type="dxa"/>
            </w:tcMar>
            <w:vAlign w:val="center"/>
          </w:tcPr>
          <w:p w14:paraId="2D98ED94">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w:t>
            </w:r>
          </w:p>
        </w:tc>
        <w:tc>
          <w:tcPr>
            <w:tcW w:w="1985" w:type="dxa"/>
            <w:tcMar>
              <w:top w:w="17" w:type="dxa"/>
              <w:bottom w:w="17" w:type="dxa"/>
            </w:tcMar>
            <w:vAlign w:val="center"/>
          </w:tcPr>
          <w:p w14:paraId="286D5476">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p>
        </w:tc>
      </w:tr>
      <w:tr w14:paraId="37192AA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11" w:type="dxa"/>
            <w:tcMar>
              <w:top w:w="17" w:type="dxa"/>
              <w:bottom w:w="17" w:type="dxa"/>
            </w:tcMar>
            <w:vAlign w:val="center"/>
          </w:tcPr>
          <w:p w14:paraId="49CFE730">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14</w:t>
            </w:r>
          </w:p>
        </w:tc>
        <w:tc>
          <w:tcPr>
            <w:tcW w:w="3240" w:type="dxa"/>
            <w:tcMar>
              <w:top w:w="17" w:type="dxa"/>
              <w:bottom w:w="17" w:type="dxa"/>
            </w:tcMar>
            <w:vAlign w:val="center"/>
          </w:tcPr>
          <w:p w14:paraId="10389470">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涡喷消防车</w:t>
            </w:r>
          </w:p>
        </w:tc>
        <w:tc>
          <w:tcPr>
            <w:tcW w:w="897" w:type="dxa"/>
            <w:tcMar>
              <w:top w:w="17" w:type="dxa"/>
              <w:bottom w:w="17" w:type="dxa"/>
            </w:tcMar>
            <w:vAlign w:val="center"/>
          </w:tcPr>
          <w:p w14:paraId="1FC76D90">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国产</w:t>
            </w:r>
          </w:p>
        </w:tc>
        <w:tc>
          <w:tcPr>
            <w:tcW w:w="850" w:type="dxa"/>
            <w:tcMar>
              <w:top w:w="17" w:type="dxa"/>
              <w:bottom w:w="17" w:type="dxa"/>
            </w:tcMar>
            <w:vAlign w:val="center"/>
          </w:tcPr>
          <w:p w14:paraId="028CFEAA">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w:t>
            </w:r>
          </w:p>
        </w:tc>
        <w:tc>
          <w:tcPr>
            <w:tcW w:w="1985" w:type="dxa"/>
            <w:tcMar>
              <w:top w:w="17" w:type="dxa"/>
              <w:bottom w:w="17" w:type="dxa"/>
            </w:tcMar>
            <w:vAlign w:val="center"/>
          </w:tcPr>
          <w:p w14:paraId="44D1CED7">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p>
        </w:tc>
      </w:tr>
      <w:tr w14:paraId="2FED0C6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11" w:type="dxa"/>
            <w:tcMar>
              <w:top w:w="17" w:type="dxa"/>
              <w:bottom w:w="17" w:type="dxa"/>
            </w:tcMar>
            <w:vAlign w:val="center"/>
          </w:tcPr>
          <w:p w14:paraId="664013CD">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15</w:t>
            </w:r>
          </w:p>
        </w:tc>
        <w:tc>
          <w:tcPr>
            <w:tcW w:w="3240" w:type="dxa"/>
            <w:tcMar>
              <w:top w:w="17" w:type="dxa"/>
              <w:bottom w:w="17" w:type="dxa"/>
            </w:tcMar>
            <w:vAlign w:val="center"/>
          </w:tcPr>
          <w:p w14:paraId="60D32A6C">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移动供气消防车</w:t>
            </w:r>
          </w:p>
        </w:tc>
        <w:tc>
          <w:tcPr>
            <w:tcW w:w="897" w:type="dxa"/>
            <w:tcMar>
              <w:top w:w="17" w:type="dxa"/>
              <w:bottom w:w="17" w:type="dxa"/>
            </w:tcMar>
            <w:vAlign w:val="center"/>
          </w:tcPr>
          <w:p w14:paraId="65B334D1">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国产</w:t>
            </w:r>
          </w:p>
        </w:tc>
        <w:tc>
          <w:tcPr>
            <w:tcW w:w="850" w:type="dxa"/>
            <w:tcMar>
              <w:top w:w="17" w:type="dxa"/>
              <w:bottom w:w="17" w:type="dxa"/>
            </w:tcMar>
            <w:vAlign w:val="center"/>
          </w:tcPr>
          <w:p w14:paraId="38271704">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w:t>
            </w:r>
          </w:p>
        </w:tc>
        <w:tc>
          <w:tcPr>
            <w:tcW w:w="1985" w:type="dxa"/>
            <w:tcMar>
              <w:top w:w="17" w:type="dxa"/>
              <w:bottom w:w="17" w:type="dxa"/>
            </w:tcMar>
            <w:vAlign w:val="center"/>
          </w:tcPr>
          <w:p w14:paraId="31FD74CA">
            <w:pPr>
              <w:adjustRightInd w:val="0"/>
              <w:snapToGrid w:val="0"/>
              <w:spacing w:line="240" w:lineRule="auto"/>
              <w:ind w:firstLine="0" w:firstLineChars="0"/>
              <w:jc w:val="center"/>
              <w:rPr>
                <w:color w:val="000000" w:themeColor="text1"/>
                <w:kern w:val="0"/>
                <w:sz w:val="21"/>
                <w:szCs w:val="21"/>
                <w14:textFill>
                  <w14:solidFill>
                    <w14:schemeClr w14:val="tx1"/>
                  </w14:solidFill>
                </w14:textFill>
              </w:rPr>
            </w:pPr>
          </w:p>
        </w:tc>
      </w:tr>
    </w:tbl>
    <w:p w14:paraId="215428D1">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（2）广西广明码头仓储有限公司</w:t>
      </w:r>
    </w:p>
    <w:p w14:paraId="055E237C">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广西广明码头仓储有限公司应急资源情况详见表5.7-6所示。</w:t>
      </w:r>
    </w:p>
    <w:p w14:paraId="14C03DCA">
      <w:pPr>
        <w:pStyle w:val="7"/>
        <w:rPr>
          <w:color w:val="000000" w:themeColor="text1"/>
          <w14:textFill>
            <w14:solidFill>
              <w14:schemeClr w14:val="tx1"/>
            </w14:solidFill>
          </w14:textFill>
        </w:rPr>
      </w:pPr>
      <w:r>
        <w:rPr>
          <w:rFonts w:hint="eastAsia"/>
          <w:color w:val="000000" w:themeColor="text1"/>
          <w14:textFill>
            <w14:solidFill>
              <w14:schemeClr w14:val="tx1"/>
            </w14:solidFill>
          </w14:textFill>
        </w:rPr>
        <w:t>广西广明码头仓储有限公司应急资源表</w:t>
      </w:r>
    </w:p>
    <w:tbl>
      <w:tblPr>
        <w:tblStyle w:val="43"/>
        <w:tblW w:w="9074" w:type="dxa"/>
        <w:tblInd w:w="23"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23" w:type="dxa"/>
          <w:bottom w:w="0" w:type="dxa"/>
          <w:right w:w="23" w:type="dxa"/>
        </w:tblCellMar>
      </w:tblPr>
      <w:tblGrid>
        <w:gridCol w:w="770"/>
        <w:gridCol w:w="1548"/>
        <w:gridCol w:w="1475"/>
        <w:gridCol w:w="701"/>
        <w:gridCol w:w="755"/>
        <w:gridCol w:w="1586"/>
        <w:gridCol w:w="1050"/>
        <w:gridCol w:w="1189"/>
      </w:tblGrid>
      <w:tr w14:paraId="56BBA63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rPr>
          <w:trHeight w:val="584" w:hRule="atLeast"/>
          <w:tblHeader/>
        </w:trPr>
        <w:tc>
          <w:tcPr>
            <w:tcW w:w="770" w:type="dxa"/>
            <w:noWrap/>
            <w:vAlign w:val="center"/>
          </w:tcPr>
          <w:p w14:paraId="22E0AA59">
            <w:pPr>
              <w:adjustRightInd w:val="0"/>
              <w:snapToGrid w:val="0"/>
              <w:spacing w:line="240" w:lineRule="auto"/>
              <w:ind w:firstLine="0" w:firstLineChars="0"/>
              <w:jc w:val="center"/>
              <w:rPr>
                <w:b/>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序号</w:t>
            </w:r>
          </w:p>
        </w:tc>
        <w:tc>
          <w:tcPr>
            <w:tcW w:w="1548" w:type="dxa"/>
            <w:noWrap/>
            <w:vAlign w:val="center"/>
          </w:tcPr>
          <w:p w14:paraId="4D7957FA">
            <w:pPr>
              <w:adjustRightInd w:val="0"/>
              <w:snapToGrid w:val="0"/>
              <w:spacing w:line="240" w:lineRule="auto"/>
              <w:ind w:firstLine="0" w:firstLineChars="0"/>
              <w:jc w:val="center"/>
              <w:rPr>
                <w:b/>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设备或物质名称</w:t>
            </w:r>
          </w:p>
        </w:tc>
        <w:tc>
          <w:tcPr>
            <w:tcW w:w="1475" w:type="dxa"/>
            <w:noWrap/>
            <w:vAlign w:val="center"/>
          </w:tcPr>
          <w:p w14:paraId="5A22D231">
            <w:pPr>
              <w:adjustRightInd w:val="0"/>
              <w:snapToGrid w:val="0"/>
              <w:spacing w:line="240" w:lineRule="auto"/>
              <w:ind w:firstLine="0" w:firstLineChars="0"/>
              <w:jc w:val="center"/>
              <w:rPr>
                <w:b/>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规格型号</w:t>
            </w:r>
          </w:p>
        </w:tc>
        <w:tc>
          <w:tcPr>
            <w:tcW w:w="701" w:type="dxa"/>
            <w:noWrap/>
            <w:vAlign w:val="center"/>
          </w:tcPr>
          <w:p w14:paraId="04A2CA4C">
            <w:pPr>
              <w:adjustRightInd w:val="0"/>
              <w:snapToGrid w:val="0"/>
              <w:spacing w:line="240" w:lineRule="auto"/>
              <w:ind w:firstLine="0" w:firstLineChars="0"/>
              <w:jc w:val="center"/>
              <w:rPr>
                <w:b/>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单位</w:t>
            </w:r>
          </w:p>
        </w:tc>
        <w:tc>
          <w:tcPr>
            <w:tcW w:w="755" w:type="dxa"/>
            <w:noWrap/>
            <w:vAlign w:val="center"/>
          </w:tcPr>
          <w:p w14:paraId="0072527A">
            <w:pPr>
              <w:adjustRightInd w:val="0"/>
              <w:snapToGrid w:val="0"/>
              <w:spacing w:line="240" w:lineRule="auto"/>
              <w:ind w:firstLine="0" w:firstLineChars="0"/>
              <w:jc w:val="center"/>
              <w:rPr>
                <w:b/>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数量</w:t>
            </w:r>
          </w:p>
        </w:tc>
        <w:tc>
          <w:tcPr>
            <w:tcW w:w="1586" w:type="dxa"/>
            <w:noWrap/>
            <w:vAlign w:val="center"/>
          </w:tcPr>
          <w:p w14:paraId="0FBAF03B">
            <w:pPr>
              <w:adjustRightInd w:val="0"/>
              <w:snapToGrid w:val="0"/>
              <w:spacing w:line="240" w:lineRule="auto"/>
              <w:ind w:firstLine="0" w:firstLineChars="0"/>
              <w:jc w:val="center"/>
              <w:rPr>
                <w:b/>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用途</w:t>
            </w:r>
          </w:p>
        </w:tc>
        <w:tc>
          <w:tcPr>
            <w:tcW w:w="1050" w:type="dxa"/>
            <w:vAlign w:val="center"/>
          </w:tcPr>
          <w:p w14:paraId="34B6356E">
            <w:pPr>
              <w:adjustRightInd w:val="0"/>
              <w:snapToGrid w:val="0"/>
              <w:spacing w:line="240" w:lineRule="auto"/>
              <w:ind w:firstLine="0" w:firstLineChars="0"/>
              <w:jc w:val="center"/>
              <w:rPr>
                <w:b/>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使用状况</w:t>
            </w:r>
          </w:p>
        </w:tc>
        <w:tc>
          <w:tcPr>
            <w:tcW w:w="1189" w:type="dxa"/>
            <w:vAlign w:val="center"/>
          </w:tcPr>
          <w:p w14:paraId="2C03BFCB">
            <w:pPr>
              <w:adjustRightInd w:val="0"/>
              <w:snapToGrid w:val="0"/>
              <w:spacing w:line="240" w:lineRule="auto"/>
              <w:ind w:firstLine="0" w:firstLineChars="0"/>
              <w:jc w:val="center"/>
              <w:rPr>
                <w:b/>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储备场所</w:t>
            </w:r>
          </w:p>
        </w:tc>
      </w:tr>
      <w:tr w14:paraId="2779646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rPr>
          <w:trHeight w:val="402" w:hRule="atLeast"/>
        </w:trPr>
        <w:tc>
          <w:tcPr>
            <w:tcW w:w="770" w:type="dxa"/>
            <w:noWrap/>
            <w:vAlign w:val="center"/>
          </w:tcPr>
          <w:p w14:paraId="3D99D66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w:t>
            </w:r>
          </w:p>
        </w:tc>
        <w:tc>
          <w:tcPr>
            <w:tcW w:w="1548" w:type="dxa"/>
            <w:noWrap/>
            <w:vAlign w:val="center"/>
          </w:tcPr>
          <w:p w14:paraId="4EAFD5AA">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水枪头</w:t>
            </w:r>
          </w:p>
        </w:tc>
        <w:tc>
          <w:tcPr>
            <w:tcW w:w="1475" w:type="dxa"/>
            <w:noWrap/>
            <w:vAlign w:val="center"/>
          </w:tcPr>
          <w:p w14:paraId="5F6129DC">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直流/喷雾两用</w:t>
            </w:r>
          </w:p>
        </w:tc>
        <w:tc>
          <w:tcPr>
            <w:tcW w:w="701" w:type="dxa"/>
            <w:noWrap/>
            <w:vAlign w:val="center"/>
          </w:tcPr>
          <w:p w14:paraId="79AD215A">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支</w:t>
            </w:r>
          </w:p>
        </w:tc>
        <w:tc>
          <w:tcPr>
            <w:tcW w:w="755" w:type="dxa"/>
            <w:noWrap/>
            <w:vAlign w:val="center"/>
          </w:tcPr>
          <w:p w14:paraId="3C0FE68E">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w:t>
            </w:r>
          </w:p>
        </w:tc>
        <w:tc>
          <w:tcPr>
            <w:tcW w:w="1586" w:type="dxa"/>
            <w:noWrap/>
            <w:vAlign w:val="center"/>
          </w:tcPr>
          <w:p w14:paraId="2794D38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消防灭火</w:t>
            </w:r>
          </w:p>
        </w:tc>
        <w:tc>
          <w:tcPr>
            <w:tcW w:w="1050" w:type="dxa"/>
            <w:noWrap/>
            <w:vAlign w:val="center"/>
          </w:tcPr>
          <w:p w14:paraId="679D1667">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良好</w:t>
            </w:r>
          </w:p>
        </w:tc>
        <w:tc>
          <w:tcPr>
            <w:tcW w:w="1189" w:type="dxa"/>
            <w:noWrap/>
            <w:vAlign w:val="center"/>
          </w:tcPr>
          <w:p w14:paraId="581BE807">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油库门岗</w:t>
            </w:r>
          </w:p>
        </w:tc>
      </w:tr>
      <w:tr w14:paraId="01B644B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rPr>
          <w:trHeight w:val="402" w:hRule="atLeast"/>
        </w:trPr>
        <w:tc>
          <w:tcPr>
            <w:tcW w:w="770" w:type="dxa"/>
            <w:noWrap/>
            <w:vAlign w:val="center"/>
          </w:tcPr>
          <w:p w14:paraId="612BAEAA">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w:t>
            </w:r>
          </w:p>
        </w:tc>
        <w:tc>
          <w:tcPr>
            <w:tcW w:w="1548" w:type="dxa"/>
            <w:noWrap/>
            <w:vAlign w:val="center"/>
          </w:tcPr>
          <w:p w14:paraId="310A4BBE">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消防水带</w:t>
            </w:r>
          </w:p>
        </w:tc>
        <w:tc>
          <w:tcPr>
            <w:tcW w:w="1475" w:type="dxa"/>
            <w:noWrap/>
            <w:vAlign w:val="center"/>
          </w:tcPr>
          <w:p w14:paraId="55C113C8">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16型-DN65-20米</w:t>
            </w:r>
          </w:p>
        </w:tc>
        <w:tc>
          <w:tcPr>
            <w:tcW w:w="701" w:type="dxa"/>
            <w:noWrap/>
            <w:vAlign w:val="center"/>
          </w:tcPr>
          <w:p w14:paraId="57A9FA49">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盘</w:t>
            </w:r>
          </w:p>
        </w:tc>
        <w:tc>
          <w:tcPr>
            <w:tcW w:w="755" w:type="dxa"/>
            <w:noWrap/>
            <w:vAlign w:val="center"/>
          </w:tcPr>
          <w:p w14:paraId="28AA63E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6</w:t>
            </w:r>
          </w:p>
        </w:tc>
        <w:tc>
          <w:tcPr>
            <w:tcW w:w="1586" w:type="dxa"/>
            <w:noWrap/>
            <w:vAlign w:val="center"/>
          </w:tcPr>
          <w:p w14:paraId="25FFB629">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消防灭火</w:t>
            </w:r>
          </w:p>
        </w:tc>
        <w:tc>
          <w:tcPr>
            <w:tcW w:w="1050" w:type="dxa"/>
            <w:noWrap/>
            <w:vAlign w:val="center"/>
          </w:tcPr>
          <w:p w14:paraId="3BF26FEC">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良好</w:t>
            </w:r>
          </w:p>
        </w:tc>
        <w:tc>
          <w:tcPr>
            <w:tcW w:w="1189" w:type="dxa"/>
            <w:noWrap/>
            <w:vAlign w:val="center"/>
          </w:tcPr>
          <w:p w14:paraId="6D3E2BC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油库门岗</w:t>
            </w:r>
          </w:p>
        </w:tc>
      </w:tr>
      <w:tr w14:paraId="2D74ACD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rPr>
          <w:trHeight w:val="402" w:hRule="atLeast"/>
        </w:trPr>
        <w:tc>
          <w:tcPr>
            <w:tcW w:w="770" w:type="dxa"/>
            <w:noWrap/>
            <w:vAlign w:val="center"/>
          </w:tcPr>
          <w:p w14:paraId="01E73770">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w:t>
            </w:r>
          </w:p>
        </w:tc>
        <w:tc>
          <w:tcPr>
            <w:tcW w:w="1548" w:type="dxa"/>
            <w:noWrap/>
            <w:vAlign w:val="center"/>
          </w:tcPr>
          <w:p w14:paraId="30B7B677">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外线电话</w:t>
            </w:r>
          </w:p>
        </w:tc>
        <w:tc>
          <w:tcPr>
            <w:tcW w:w="1475" w:type="dxa"/>
            <w:noWrap/>
            <w:vAlign w:val="center"/>
          </w:tcPr>
          <w:p w14:paraId="27368DA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录音功能</w:t>
            </w:r>
          </w:p>
        </w:tc>
        <w:tc>
          <w:tcPr>
            <w:tcW w:w="701" w:type="dxa"/>
            <w:noWrap/>
            <w:vAlign w:val="center"/>
          </w:tcPr>
          <w:p w14:paraId="249CDFA7">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台</w:t>
            </w:r>
          </w:p>
        </w:tc>
        <w:tc>
          <w:tcPr>
            <w:tcW w:w="755" w:type="dxa"/>
            <w:noWrap/>
            <w:vAlign w:val="center"/>
          </w:tcPr>
          <w:p w14:paraId="44FFCC89">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w:t>
            </w:r>
          </w:p>
        </w:tc>
        <w:tc>
          <w:tcPr>
            <w:tcW w:w="1586" w:type="dxa"/>
            <w:noWrap/>
            <w:vAlign w:val="center"/>
          </w:tcPr>
          <w:p w14:paraId="1B51BDDD">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应急联络</w:t>
            </w:r>
          </w:p>
        </w:tc>
        <w:tc>
          <w:tcPr>
            <w:tcW w:w="1050" w:type="dxa"/>
            <w:noWrap/>
            <w:vAlign w:val="center"/>
          </w:tcPr>
          <w:p w14:paraId="026E373E">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良好</w:t>
            </w:r>
          </w:p>
        </w:tc>
        <w:tc>
          <w:tcPr>
            <w:tcW w:w="1189" w:type="dxa"/>
            <w:noWrap/>
            <w:vAlign w:val="center"/>
          </w:tcPr>
          <w:p w14:paraId="16EEF3B3">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油库门岗</w:t>
            </w:r>
          </w:p>
        </w:tc>
      </w:tr>
      <w:tr w14:paraId="3121C3C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rPr>
          <w:trHeight w:val="402" w:hRule="atLeast"/>
        </w:trPr>
        <w:tc>
          <w:tcPr>
            <w:tcW w:w="770" w:type="dxa"/>
            <w:noWrap/>
            <w:vAlign w:val="center"/>
          </w:tcPr>
          <w:p w14:paraId="4DB29CF4">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4</w:t>
            </w:r>
          </w:p>
        </w:tc>
        <w:tc>
          <w:tcPr>
            <w:tcW w:w="1548" w:type="dxa"/>
            <w:noWrap/>
            <w:vAlign w:val="center"/>
          </w:tcPr>
          <w:p w14:paraId="0DA2C360">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手持对讲机</w:t>
            </w:r>
          </w:p>
        </w:tc>
        <w:tc>
          <w:tcPr>
            <w:tcW w:w="1475" w:type="dxa"/>
            <w:noWrap/>
            <w:vAlign w:val="center"/>
          </w:tcPr>
          <w:p w14:paraId="2C7A7E7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摩托罗拉GB328</w:t>
            </w:r>
          </w:p>
        </w:tc>
        <w:tc>
          <w:tcPr>
            <w:tcW w:w="701" w:type="dxa"/>
            <w:noWrap/>
            <w:vAlign w:val="center"/>
          </w:tcPr>
          <w:p w14:paraId="159C6BC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台</w:t>
            </w:r>
          </w:p>
        </w:tc>
        <w:tc>
          <w:tcPr>
            <w:tcW w:w="755" w:type="dxa"/>
            <w:noWrap/>
            <w:vAlign w:val="center"/>
          </w:tcPr>
          <w:p w14:paraId="20BF68EF">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6</w:t>
            </w:r>
          </w:p>
        </w:tc>
        <w:tc>
          <w:tcPr>
            <w:tcW w:w="1586" w:type="dxa"/>
            <w:noWrap/>
            <w:vAlign w:val="center"/>
          </w:tcPr>
          <w:p w14:paraId="69D4AA2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应急联络</w:t>
            </w:r>
          </w:p>
        </w:tc>
        <w:tc>
          <w:tcPr>
            <w:tcW w:w="1050" w:type="dxa"/>
            <w:noWrap/>
            <w:vAlign w:val="center"/>
          </w:tcPr>
          <w:p w14:paraId="52E9F61A">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良好</w:t>
            </w:r>
          </w:p>
        </w:tc>
        <w:tc>
          <w:tcPr>
            <w:tcW w:w="1189" w:type="dxa"/>
            <w:noWrap/>
            <w:vAlign w:val="center"/>
          </w:tcPr>
          <w:p w14:paraId="6D52B803">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油库门岗</w:t>
            </w:r>
          </w:p>
        </w:tc>
      </w:tr>
      <w:tr w14:paraId="67F54DA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rPr>
          <w:trHeight w:val="402" w:hRule="atLeast"/>
        </w:trPr>
        <w:tc>
          <w:tcPr>
            <w:tcW w:w="770" w:type="dxa"/>
            <w:noWrap/>
            <w:vAlign w:val="center"/>
          </w:tcPr>
          <w:p w14:paraId="244B51FD">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5</w:t>
            </w:r>
          </w:p>
        </w:tc>
        <w:tc>
          <w:tcPr>
            <w:tcW w:w="1548" w:type="dxa"/>
            <w:noWrap/>
            <w:vAlign w:val="center"/>
          </w:tcPr>
          <w:p w14:paraId="3B296A8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防爆手电筒</w:t>
            </w:r>
          </w:p>
        </w:tc>
        <w:tc>
          <w:tcPr>
            <w:tcW w:w="1475" w:type="dxa"/>
            <w:noWrap/>
            <w:vAlign w:val="center"/>
          </w:tcPr>
          <w:p w14:paraId="344B285E">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701" w:type="dxa"/>
            <w:noWrap/>
            <w:vAlign w:val="center"/>
          </w:tcPr>
          <w:p w14:paraId="73FE1693">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支</w:t>
            </w:r>
          </w:p>
        </w:tc>
        <w:tc>
          <w:tcPr>
            <w:tcW w:w="755" w:type="dxa"/>
            <w:noWrap/>
            <w:vAlign w:val="center"/>
          </w:tcPr>
          <w:p w14:paraId="1CE43BC7">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w:t>
            </w:r>
          </w:p>
        </w:tc>
        <w:tc>
          <w:tcPr>
            <w:tcW w:w="1586" w:type="dxa"/>
            <w:noWrap/>
            <w:vAlign w:val="center"/>
          </w:tcPr>
          <w:p w14:paraId="716C619E">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应急照明</w:t>
            </w:r>
          </w:p>
        </w:tc>
        <w:tc>
          <w:tcPr>
            <w:tcW w:w="1050" w:type="dxa"/>
            <w:noWrap/>
            <w:vAlign w:val="center"/>
          </w:tcPr>
          <w:p w14:paraId="724DA2DD">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良好</w:t>
            </w:r>
          </w:p>
        </w:tc>
        <w:tc>
          <w:tcPr>
            <w:tcW w:w="1189" w:type="dxa"/>
            <w:noWrap/>
            <w:vAlign w:val="center"/>
          </w:tcPr>
          <w:p w14:paraId="203E6548">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油库门岗</w:t>
            </w:r>
          </w:p>
        </w:tc>
      </w:tr>
      <w:tr w14:paraId="3D2D967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rPr>
          <w:trHeight w:val="402" w:hRule="atLeast"/>
        </w:trPr>
        <w:tc>
          <w:tcPr>
            <w:tcW w:w="770" w:type="dxa"/>
            <w:noWrap/>
            <w:vAlign w:val="center"/>
          </w:tcPr>
          <w:p w14:paraId="30A87093">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6</w:t>
            </w:r>
          </w:p>
        </w:tc>
        <w:tc>
          <w:tcPr>
            <w:tcW w:w="1548" w:type="dxa"/>
            <w:noWrap/>
            <w:vAlign w:val="center"/>
          </w:tcPr>
          <w:p w14:paraId="756FD7EC">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消防头盔</w:t>
            </w:r>
          </w:p>
        </w:tc>
        <w:tc>
          <w:tcPr>
            <w:tcW w:w="1475" w:type="dxa"/>
            <w:noWrap/>
            <w:vAlign w:val="center"/>
          </w:tcPr>
          <w:p w14:paraId="0CF3DCA7">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701" w:type="dxa"/>
            <w:noWrap/>
            <w:vAlign w:val="center"/>
          </w:tcPr>
          <w:p w14:paraId="017D8E82">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顶</w:t>
            </w:r>
          </w:p>
        </w:tc>
        <w:tc>
          <w:tcPr>
            <w:tcW w:w="755" w:type="dxa"/>
            <w:noWrap/>
            <w:vAlign w:val="center"/>
          </w:tcPr>
          <w:p w14:paraId="1679AD4F">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6</w:t>
            </w:r>
          </w:p>
        </w:tc>
        <w:tc>
          <w:tcPr>
            <w:tcW w:w="1586" w:type="dxa"/>
            <w:noWrap/>
            <w:vAlign w:val="center"/>
          </w:tcPr>
          <w:p w14:paraId="332FE990">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消防灭火</w:t>
            </w:r>
          </w:p>
        </w:tc>
        <w:tc>
          <w:tcPr>
            <w:tcW w:w="1050" w:type="dxa"/>
            <w:noWrap/>
            <w:vAlign w:val="center"/>
          </w:tcPr>
          <w:p w14:paraId="64F67FD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良好</w:t>
            </w:r>
          </w:p>
        </w:tc>
        <w:tc>
          <w:tcPr>
            <w:tcW w:w="1189" w:type="dxa"/>
            <w:noWrap/>
            <w:vAlign w:val="center"/>
          </w:tcPr>
          <w:p w14:paraId="3EE13E74">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油库门岗</w:t>
            </w:r>
          </w:p>
        </w:tc>
      </w:tr>
      <w:tr w14:paraId="0FCF084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rPr>
          <w:trHeight w:val="402" w:hRule="atLeast"/>
        </w:trPr>
        <w:tc>
          <w:tcPr>
            <w:tcW w:w="770" w:type="dxa"/>
            <w:noWrap/>
            <w:vAlign w:val="center"/>
          </w:tcPr>
          <w:p w14:paraId="09EBC2EC">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7</w:t>
            </w:r>
          </w:p>
        </w:tc>
        <w:tc>
          <w:tcPr>
            <w:tcW w:w="1548" w:type="dxa"/>
            <w:noWrap/>
            <w:vAlign w:val="center"/>
          </w:tcPr>
          <w:p w14:paraId="0A9787A0">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灭火防护服</w:t>
            </w:r>
          </w:p>
        </w:tc>
        <w:tc>
          <w:tcPr>
            <w:tcW w:w="1475" w:type="dxa"/>
            <w:noWrap/>
            <w:vAlign w:val="center"/>
          </w:tcPr>
          <w:p w14:paraId="1B1AB3D5">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701" w:type="dxa"/>
            <w:noWrap/>
            <w:vAlign w:val="center"/>
          </w:tcPr>
          <w:p w14:paraId="299A829C">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套</w:t>
            </w:r>
          </w:p>
        </w:tc>
        <w:tc>
          <w:tcPr>
            <w:tcW w:w="755" w:type="dxa"/>
            <w:noWrap/>
            <w:vAlign w:val="center"/>
          </w:tcPr>
          <w:p w14:paraId="723CEE1E">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6</w:t>
            </w:r>
          </w:p>
        </w:tc>
        <w:tc>
          <w:tcPr>
            <w:tcW w:w="1586" w:type="dxa"/>
            <w:noWrap/>
            <w:vAlign w:val="center"/>
          </w:tcPr>
          <w:p w14:paraId="099434ED">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消防灭火</w:t>
            </w:r>
          </w:p>
        </w:tc>
        <w:tc>
          <w:tcPr>
            <w:tcW w:w="1050" w:type="dxa"/>
            <w:noWrap/>
            <w:vAlign w:val="center"/>
          </w:tcPr>
          <w:p w14:paraId="648C9850">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良好</w:t>
            </w:r>
          </w:p>
        </w:tc>
        <w:tc>
          <w:tcPr>
            <w:tcW w:w="1189" w:type="dxa"/>
            <w:noWrap/>
            <w:vAlign w:val="center"/>
          </w:tcPr>
          <w:p w14:paraId="2D4DCFA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油库门岗</w:t>
            </w:r>
          </w:p>
        </w:tc>
      </w:tr>
      <w:tr w14:paraId="3DC5EAB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rPr>
          <w:trHeight w:val="402" w:hRule="atLeast"/>
        </w:trPr>
        <w:tc>
          <w:tcPr>
            <w:tcW w:w="770" w:type="dxa"/>
            <w:noWrap/>
            <w:vAlign w:val="center"/>
          </w:tcPr>
          <w:p w14:paraId="54D50510">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8</w:t>
            </w:r>
          </w:p>
        </w:tc>
        <w:tc>
          <w:tcPr>
            <w:tcW w:w="1548" w:type="dxa"/>
            <w:noWrap/>
            <w:vAlign w:val="center"/>
          </w:tcPr>
          <w:p w14:paraId="7F536C8F">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防护靴</w:t>
            </w:r>
          </w:p>
        </w:tc>
        <w:tc>
          <w:tcPr>
            <w:tcW w:w="1475" w:type="dxa"/>
            <w:noWrap/>
            <w:vAlign w:val="center"/>
          </w:tcPr>
          <w:p w14:paraId="1CEBCABB">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701" w:type="dxa"/>
            <w:noWrap/>
            <w:vAlign w:val="center"/>
          </w:tcPr>
          <w:p w14:paraId="6EA9322F">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双</w:t>
            </w:r>
          </w:p>
        </w:tc>
        <w:tc>
          <w:tcPr>
            <w:tcW w:w="755" w:type="dxa"/>
            <w:noWrap/>
            <w:vAlign w:val="center"/>
          </w:tcPr>
          <w:p w14:paraId="461A4904">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6</w:t>
            </w:r>
          </w:p>
        </w:tc>
        <w:tc>
          <w:tcPr>
            <w:tcW w:w="1586" w:type="dxa"/>
            <w:noWrap/>
            <w:vAlign w:val="center"/>
          </w:tcPr>
          <w:p w14:paraId="6D7B751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消防灭火</w:t>
            </w:r>
          </w:p>
        </w:tc>
        <w:tc>
          <w:tcPr>
            <w:tcW w:w="1050" w:type="dxa"/>
            <w:noWrap/>
            <w:vAlign w:val="center"/>
          </w:tcPr>
          <w:p w14:paraId="73B85A00">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良好</w:t>
            </w:r>
          </w:p>
        </w:tc>
        <w:tc>
          <w:tcPr>
            <w:tcW w:w="1189" w:type="dxa"/>
            <w:noWrap/>
            <w:vAlign w:val="center"/>
          </w:tcPr>
          <w:p w14:paraId="68BA8A58">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油库门岗</w:t>
            </w:r>
          </w:p>
        </w:tc>
      </w:tr>
      <w:tr w14:paraId="727B61D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rPr>
          <w:trHeight w:val="402" w:hRule="atLeast"/>
        </w:trPr>
        <w:tc>
          <w:tcPr>
            <w:tcW w:w="770" w:type="dxa"/>
            <w:noWrap/>
            <w:vAlign w:val="center"/>
          </w:tcPr>
          <w:p w14:paraId="7FFE31C8">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9</w:t>
            </w:r>
          </w:p>
        </w:tc>
        <w:tc>
          <w:tcPr>
            <w:tcW w:w="1548" w:type="dxa"/>
            <w:noWrap/>
            <w:vAlign w:val="center"/>
          </w:tcPr>
          <w:p w14:paraId="54CB0EBE">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消防腰斧</w:t>
            </w:r>
          </w:p>
        </w:tc>
        <w:tc>
          <w:tcPr>
            <w:tcW w:w="1475" w:type="dxa"/>
            <w:noWrap/>
            <w:vAlign w:val="center"/>
          </w:tcPr>
          <w:p w14:paraId="19D29DB1">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701" w:type="dxa"/>
            <w:noWrap/>
            <w:vAlign w:val="center"/>
          </w:tcPr>
          <w:p w14:paraId="12621363">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把</w:t>
            </w:r>
          </w:p>
        </w:tc>
        <w:tc>
          <w:tcPr>
            <w:tcW w:w="755" w:type="dxa"/>
            <w:noWrap/>
            <w:vAlign w:val="center"/>
          </w:tcPr>
          <w:p w14:paraId="7628D9E8">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6</w:t>
            </w:r>
          </w:p>
        </w:tc>
        <w:tc>
          <w:tcPr>
            <w:tcW w:w="1586" w:type="dxa"/>
            <w:noWrap/>
            <w:vAlign w:val="center"/>
          </w:tcPr>
          <w:p w14:paraId="5373D69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消防灭火</w:t>
            </w:r>
          </w:p>
        </w:tc>
        <w:tc>
          <w:tcPr>
            <w:tcW w:w="1050" w:type="dxa"/>
            <w:noWrap/>
            <w:vAlign w:val="center"/>
          </w:tcPr>
          <w:p w14:paraId="0C6E7337">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良好</w:t>
            </w:r>
          </w:p>
        </w:tc>
        <w:tc>
          <w:tcPr>
            <w:tcW w:w="1189" w:type="dxa"/>
            <w:noWrap/>
            <w:vAlign w:val="center"/>
          </w:tcPr>
          <w:p w14:paraId="1692E52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油库门岗</w:t>
            </w:r>
          </w:p>
        </w:tc>
      </w:tr>
      <w:tr w14:paraId="25DA73D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rPr>
          <w:trHeight w:val="402" w:hRule="atLeast"/>
        </w:trPr>
        <w:tc>
          <w:tcPr>
            <w:tcW w:w="770" w:type="dxa"/>
            <w:noWrap/>
            <w:vAlign w:val="center"/>
          </w:tcPr>
          <w:p w14:paraId="017F9E9F">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10</w:t>
            </w:r>
          </w:p>
        </w:tc>
        <w:tc>
          <w:tcPr>
            <w:tcW w:w="1548" w:type="dxa"/>
            <w:noWrap/>
            <w:vAlign w:val="center"/>
          </w:tcPr>
          <w:p w14:paraId="44CDDD7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隔热服</w:t>
            </w:r>
          </w:p>
        </w:tc>
        <w:tc>
          <w:tcPr>
            <w:tcW w:w="1475" w:type="dxa"/>
            <w:noWrap/>
            <w:vAlign w:val="center"/>
          </w:tcPr>
          <w:p w14:paraId="060B1169">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701" w:type="dxa"/>
            <w:noWrap/>
            <w:vAlign w:val="center"/>
          </w:tcPr>
          <w:p w14:paraId="4A3D8018">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套</w:t>
            </w:r>
          </w:p>
        </w:tc>
        <w:tc>
          <w:tcPr>
            <w:tcW w:w="755" w:type="dxa"/>
            <w:noWrap/>
            <w:vAlign w:val="center"/>
          </w:tcPr>
          <w:p w14:paraId="42236967">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w:t>
            </w:r>
          </w:p>
        </w:tc>
        <w:tc>
          <w:tcPr>
            <w:tcW w:w="1586" w:type="dxa"/>
            <w:noWrap/>
            <w:vAlign w:val="center"/>
          </w:tcPr>
          <w:p w14:paraId="55839FF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消防灭火</w:t>
            </w:r>
          </w:p>
        </w:tc>
        <w:tc>
          <w:tcPr>
            <w:tcW w:w="1050" w:type="dxa"/>
            <w:noWrap/>
            <w:vAlign w:val="center"/>
          </w:tcPr>
          <w:p w14:paraId="65DB10AE">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良好</w:t>
            </w:r>
          </w:p>
        </w:tc>
        <w:tc>
          <w:tcPr>
            <w:tcW w:w="1189" w:type="dxa"/>
            <w:noWrap/>
            <w:vAlign w:val="center"/>
          </w:tcPr>
          <w:p w14:paraId="25C33BC8">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油库门岗</w:t>
            </w:r>
          </w:p>
        </w:tc>
      </w:tr>
      <w:tr w14:paraId="7B6BEE5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rPr>
          <w:trHeight w:val="402" w:hRule="atLeast"/>
        </w:trPr>
        <w:tc>
          <w:tcPr>
            <w:tcW w:w="770" w:type="dxa"/>
            <w:noWrap/>
            <w:vAlign w:val="center"/>
          </w:tcPr>
          <w:p w14:paraId="3D72FAD4">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11</w:t>
            </w:r>
          </w:p>
        </w:tc>
        <w:tc>
          <w:tcPr>
            <w:tcW w:w="1548" w:type="dxa"/>
            <w:noWrap/>
            <w:vAlign w:val="center"/>
          </w:tcPr>
          <w:p w14:paraId="350C7819">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水带快接</w:t>
            </w:r>
          </w:p>
        </w:tc>
        <w:tc>
          <w:tcPr>
            <w:tcW w:w="1475" w:type="dxa"/>
            <w:noWrap/>
            <w:vAlign w:val="center"/>
          </w:tcPr>
          <w:p w14:paraId="2DE5997A">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DN65快速接头</w:t>
            </w:r>
          </w:p>
        </w:tc>
        <w:tc>
          <w:tcPr>
            <w:tcW w:w="701" w:type="dxa"/>
            <w:noWrap/>
            <w:vAlign w:val="center"/>
          </w:tcPr>
          <w:p w14:paraId="324EF61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对</w:t>
            </w:r>
          </w:p>
        </w:tc>
        <w:tc>
          <w:tcPr>
            <w:tcW w:w="755" w:type="dxa"/>
            <w:noWrap/>
            <w:vAlign w:val="center"/>
          </w:tcPr>
          <w:p w14:paraId="67E1793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5</w:t>
            </w:r>
          </w:p>
        </w:tc>
        <w:tc>
          <w:tcPr>
            <w:tcW w:w="1586" w:type="dxa"/>
            <w:noWrap/>
            <w:vAlign w:val="center"/>
          </w:tcPr>
          <w:p w14:paraId="062EF1BE">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消防灭火</w:t>
            </w:r>
          </w:p>
        </w:tc>
        <w:tc>
          <w:tcPr>
            <w:tcW w:w="1050" w:type="dxa"/>
            <w:noWrap/>
            <w:vAlign w:val="center"/>
          </w:tcPr>
          <w:p w14:paraId="076EFC6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良好</w:t>
            </w:r>
          </w:p>
        </w:tc>
        <w:tc>
          <w:tcPr>
            <w:tcW w:w="1189" w:type="dxa"/>
            <w:noWrap/>
            <w:vAlign w:val="center"/>
          </w:tcPr>
          <w:p w14:paraId="0D6142E8">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油库门岗</w:t>
            </w:r>
          </w:p>
        </w:tc>
      </w:tr>
      <w:tr w14:paraId="2C8E0F2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rPr>
          <w:trHeight w:val="402" w:hRule="atLeast"/>
        </w:trPr>
        <w:tc>
          <w:tcPr>
            <w:tcW w:w="770" w:type="dxa"/>
            <w:noWrap/>
            <w:vAlign w:val="center"/>
          </w:tcPr>
          <w:p w14:paraId="0076D67E">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12</w:t>
            </w:r>
          </w:p>
        </w:tc>
        <w:tc>
          <w:tcPr>
            <w:tcW w:w="1548" w:type="dxa"/>
            <w:noWrap/>
            <w:vAlign w:val="center"/>
          </w:tcPr>
          <w:p w14:paraId="0B6B905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泡沫枪头</w:t>
            </w:r>
          </w:p>
        </w:tc>
        <w:tc>
          <w:tcPr>
            <w:tcW w:w="1475" w:type="dxa"/>
            <w:noWrap/>
            <w:vAlign w:val="center"/>
          </w:tcPr>
          <w:p w14:paraId="3AF0E967">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PQ8</w:t>
            </w:r>
          </w:p>
        </w:tc>
        <w:tc>
          <w:tcPr>
            <w:tcW w:w="701" w:type="dxa"/>
            <w:noWrap/>
            <w:vAlign w:val="center"/>
          </w:tcPr>
          <w:p w14:paraId="4CE511C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支</w:t>
            </w:r>
          </w:p>
        </w:tc>
        <w:tc>
          <w:tcPr>
            <w:tcW w:w="755" w:type="dxa"/>
            <w:noWrap/>
            <w:vAlign w:val="center"/>
          </w:tcPr>
          <w:p w14:paraId="4384164E">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w:t>
            </w:r>
          </w:p>
        </w:tc>
        <w:tc>
          <w:tcPr>
            <w:tcW w:w="1586" w:type="dxa"/>
            <w:noWrap/>
            <w:vAlign w:val="center"/>
          </w:tcPr>
          <w:p w14:paraId="7A3BD512">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消防灭火</w:t>
            </w:r>
          </w:p>
        </w:tc>
        <w:tc>
          <w:tcPr>
            <w:tcW w:w="1050" w:type="dxa"/>
            <w:noWrap/>
            <w:vAlign w:val="center"/>
          </w:tcPr>
          <w:p w14:paraId="1533205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良好</w:t>
            </w:r>
          </w:p>
        </w:tc>
        <w:tc>
          <w:tcPr>
            <w:tcW w:w="1189" w:type="dxa"/>
            <w:noWrap/>
            <w:vAlign w:val="center"/>
          </w:tcPr>
          <w:p w14:paraId="4A770A6D">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油库门岗</w:t>
            </w:r>
          </w:p>
        </w:tc>
      </w:tr>
      <w:tr w14:paraId="6C0B6D9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rPr>
          <w:trHeight w:val="402" w:hRule="atLeast"/>
        </w:trPr>
        <w:tc>
          <w:tcPr>
            <w:tcW w:w="770" w:type="dxa"/>
            <w:noWrap/>
            <w:vAlign w:val="center"/>
          </w:tcPr>
          <w:p w14:paraId="2323CC78">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13</w:t>
            </w:r>
          </w:p>
        </w:tc>
        <w:tc>
          <w:tcPr>
            <w:tcW w:w="1548" w:type="dxa"/>
            <w:noWrap/>
            <w:vAlign w:val="center"/>
          </w:tcPr>
          <w:p w14:paraId="4F250CA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防毒面具</w:t>
            </w:r>
          </w:p>
        </w:tc>
        <w:tc>
          <w:tcPr>
            <w:tcW w:w="1475" w:type="dxa"/>
            <w:noWrap/>
            <w:vAlign w:val="center"/>
          </w:tcPr>
          <w:p w14:paraId="48A0C430">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TF-A型P-B-3</w:t>
            </w:r>
          </w:p>
        </w:tc>
        <w:tc>
          <w:tcPr>
            <w:tcW w:w="701" w:type="dxa"/>
            <w:noWrap/>
            <w:vAlign w:val="center"/>
          </w:tcPr>
          <w:p w14:paraId="197E5FDF">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套</w:t>
            </w:r>
          </w:p>
        </w:tc>
        <w:tc>
          <w:tcPr>
            <w:tcW w:w="755" w:type="dxa"/>
            <w:noWrap/>
            <w:vAlign w:val="center"/>
          </w:tcPr>
          <w:p w14:paraId="3BB94D7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5</w:t>
            </w:r>
          </w:p>
        </w:tc>
        <w:tc>
          <w:tcPr>
            <w:tcW w:w="1586" w:type="dxa"/>
            <w:noWrap/>
            <w:vAlign w:val="center"/>
          </w:tcPr>
          <w:p w14:paraId="6942C63F">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个人防护</w:t>
            </w:r>
          </w:p>
        </w:tc>
        <w:tc>
          <w:tcPr>
            <w:tcW w:w="1050" w:type="dxa"/>
            <w:noWrap/>
            <w:vAlign w:val="center"/>
          </w:tcPr>
          <w:p w14:paraId="5D71200C">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良好</w:t>
            </w:r>
          </w:p>
        </w:tc>
        <w:tc>
          <w:tcPr>
            <w:tcW w:w="1189" w:type="dxa"/>
            <w:noWrap/>
            <w:vAlign w:val="center"/>
          </w:tcPr>
          <w:p w14:paraId="1F20A16D">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油库门岗</w:t>
            </w:r>
          </w:p>
        </w:tc>
      </w:tr>
      <w:tr w14:paraId="55E44C2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rPr>
          <w:trHeight w:val="402" w:hRule="atLeast"/>
        </w:trPr>
        <w:tc>
          <w:tcPr>
            <w:tcW w:w="770" w:type="dxa"/>
            <w:noWrap/>
            <w:vAlign w:val="center"/>
          </w:tcPr>
          <w:p w14:paraId="677A78FD">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14</w:t>
            </w:r>
          </w:p>
        </w:tc>
        <w:tc>
          <w:tcPr>
            <w:tcW w:w="1548" w:type="dxa"/>
            <w:noWrap/>
            <w:vAlign w:val="center"/>
          </w:tcPr>
          <w:p w14:paraId="489D5FC8">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灭火毯</w:t>
            </w:r>
          </w:p>
        </w:tc>
        <w:tc>
          <w:tcPr>
            <w:tcW w:w="1475" w:type="dxa"/>
            <w:noWrap/>
            <w:vAlign w:val="center"/>
          </w:tcPr>
          <w:p w14:paraId="28B79AD7">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1×1米</w:t>
            </w:r>
          </w:p>
        </w:tc>
        <w:tc>
          <w:tcPr>
            <w:tcW w:w="701" w:type="dxa"/>
            <w:noWrap/>
            <w:vAlign w:val="center"/>
          </w:tcPr>
          <w:p w14:paraId="1E3082B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张</w:t>
            </w:r>
          </w:p>
        </w:tc>
        <w:tc>
          <w:tcPr>
            <w:tcW w:w="755" w:type="dxa"/>
            <w:noWrap/>
            <w:vAlign w:val="center"/>
          </w:tcPr>
          <w:p w14:paraId="13B57762">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6</w:t>
            </w:r>
          </w:p>
        </w:tc>
        <w:tc>
          <w:tcPr>
            <w:tcW w:w="1586" w:type="dxa"/>
            <w:noWrap/>
            <w:vAlign w:val="center"/>
          </w:tcPr>
          <w:p w14:paraId="27B4CD58">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消防灭火</w:t>
            </w:r>
          </w:p>
        </w:tc>
        <w:tc>
          <w:tcPr>
            <w:tcW w:w="1050" w:type="dxa"/>
            <w:noWrap/>
            <w:vAlign w:val="center"/>
          </w:tcPr>
          <w:p w14:paraId="2649A3D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良好</w:t>
            </w:r>
          </w:p>
        </w:tc>
        <w:tc>
          <w:tcPr>
            <w:tcW w:w="1189" w:type="dxa"/>
            <w:noWrap/>
            <w:vAlign w:val="center"/>
          </w:tcPr>
          <w:p w14:paraId="0E0AC199">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油库门岗</w:t>
            </w:r>
          </w:p>
        </w:tc>
      </w:tr>
      <w:tr w14:paraId="4248456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rPr>
          <w:trHeight w:val="402" w:hRule="atLeast"/>
        </w:trPr>
        <w:tc>
          <w:tcPr>
            <w:tcW w:w="770" w:type="dxa"/>
            <w:noWrap/>
            <w:vAlign w:val="center"/>
          </w:tcPr>
          <w:p w14:paraId="6CDC3A5A">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15</w:t>
            </w:r>
          </w:p>
        </w:tc>
        <w:tc>
          <w:tcPr>
            <w:tcW w:w="1548" w:type="dxa"/>
            <w:noWrap/>
            <w:vAlign w:val="center"/>
          </w:tcPr>
          <w:p w14:paraId="794A83F4">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救生绳</w:t>
            </w:r>
          </w:p>
        </w:tc>
        <w:tc>
          <w:tcPr>
            <w:tcW w:w="1475" w:type="dxa"/>
            <w:noWrap/>
            <w:vAlign w:val="center"/>
          </w:tcPr>
          <w:p w14:paraId="063514E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R16mm</w:t>
            </w:r>
          </w:p>
        </w:tc>
        <w:tc>
          <w:tcPr>
            <w:tcW w:w="701" w:type="dxa"/>
            <w:noWrap/>
            <w:vAlign w:val="center"/>
          </w:tcPr>
          <w:p w14:paraId="5279C8E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米</w:t>
            </w:r>
          </w:p>
        </w:tc>
        <w:tc>
          <w:tcPr>
            <w:tcW w:w="755" w:type="dxa"/>
            <w:noWrap/>
            <w:vAlign w:val="center"/>
          </w:tcPr>
          <w:p w14:paraId="2FD509E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50</w:t>
            </w:r>
          </w:p>
        </w:tc>
        <w:tc>
          <w:tcPr>
            <w:tcW w:w="1586" w:type="dxa"/>
            <w:noWrap/>
            <w:vAlign w:val="center"/>
          </w:tcPr>
          <w:p w14:paraId="6491E91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应急救援</w:t>
            </w:r>
          </w:p>
        </w:tc>
        <w:tc>
          <w:tcPr>
            <w:tcW w:w="1050" w:type="dxa"/>
            <w:noWrap/>
            <w:vAlign w:val="center"/>
          </w:tcPr>
          <w:p w14:paraId="6B07C90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良好</w:t>
            </w:r>
          </w:p>
        </w:tc>
        <w:tc>
          <w:tcPr>
            <w:tcW w:w="1189" w:type="dxa"/>
            <w:noWrap/>
            <w:vAlign w:val="center"/>
          </w:tcPr>
          <w:p w14:paraId="47C30FF0">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油库门岗</w:t>
            </w:r>
          </w:p>
        </w:tc>
      </w:tr>
      <w:tr w14:paraId="21430CD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rPr>
          <w:trHeight w:val="402" w:hRule="atLeast"/>
        </w:trPr>
        <w:tc>
          <w:tcPr>
            <w:tcW w:w="770" w:type="dxa"/>
            <w:noWrap/>
            <w:vAlign w:val="center"/>
          </w:tcPr>
          <w:p w14:paraId="3A6C5CA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16</w:t>
            </w:r>
          </w:p>
        </w:tc>
        <w:tc>
          <w:tcPr>
            <w:tcW w:w="1548" w:type="dxa"/>
            <w:noWrap/>
            <w:vAlign w:val="center"/>
          </w:tcPr>
          <w:p w14:paraId="051105D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正压式空气呼吸器</w:t>
            </w:r>
          </w:p>
        </w:tc>
        <w:tc>
          <w:tcPr>
            <w:tcW w:w="1475" w:type="dxa"/>
            <w:noWrap/>
            <w:vAlign w:val="center"/>
          </w:tcPr>
          <w:p w14:paraId="6F70F020">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RHZK系列</w:t>
            </w:r>
          </w:p>
        </w:tc>
        <w:tc>
          <w:tcPr>
            <w:tcW w:w="701" w:type="dxa"/>
            <w:noWrap/>
            <w:vAlign w:val="center"/>
          </w:tcPr>
          <w:p w14:paraId="21396484">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套</w:t>
            </w:r>
          </w:p>
        </w:tc>
        <w:tc>
          <w:tcPr>
            <w:tcW w:w="755" w:type="dxa"/>
            <w:noWrap/>
            <w:vAlign w:val="center"/>
          </w:tcPr>
          <w:p w14:paraId="6CDD0D0F">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w:t>
            </w:r>
          </w:p>
        </w:tc>
        <w:tc>
          <w:tcPr>
            <w:tcW w:w="1586" w:type="dxa"/>
            <w:noWrap/>
            <w:vAlign w:val="center"/>
          </w:tcPr>
          <w:p w14:paraId="6F182983">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个人防护</w:t>
            </w:r>
          </w:p>
        </w:tc>
        <w:tc>
          <w:tcPr>
            <w:tcW w:w="1050" w:type="dxa"/>
            <w:noWrap/>
            <w:vAlign w:val="center"/>
          </w:tcPr>
          <w:p w14:paraId="1070C25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良好</w:t>
            </w:r>
          </w:p>
        </w:tc>
        <w:tc>
          <w:tcPr>
            <w:tcW w:w="1189" w:type="dxa"/>
            <w:noWrap/>
            <w:vAlign w:val="center"/>
          </w:tcPr>
          <w:p w14:paraId="53E7DDF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油库门岗</w:t>
            </w:r>
          </w:p>
        </w:tc>
      </w:tr>
      <w:tr w14:paraId="4603FB6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rPr>
          <w:trHeight w:val="402" w:hRule="atLeast"/>
        </w:trPr>
        <w:tc>
          <w:tcPr>
            <w:tcW w:w="770" w:type="dxa"/>
            <w:noWrap/>
            <w:vAlign w:val="center"/>
          </w:tcPr>
          <w:p w14:paraId="1267F16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17</w:t>
            </w:r>
          </w:p>
        </w:tc>
        <w:tc>
          <w:tcPr>
            <w:tcW w:w="1548" w:type="dxa"/>
            <w:noWrap/>
            <w:vAlign w:val="center"/>
          </w:tcPr>
          <w:p w14:paraId="0DDE0BCF">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正压式空气呼吸器</w:t>
            </w:r>
          </w:p>
        </w:tc>
        <w:tc>
          <w:tcPr>
            <w:tcW w:w="1475" w:type="dxa"/>
            <w:noWrap/>
            <w:vAlign w:val="center"/>
          </w:tcPr>
          <w:p w14:paraId="0B1FD3D2">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RHZK系列</w:t>
            </w:r>
          </w:p>
        </w:tc>
        <w:tc>
          <w:tcPr>
            <w:tcW w:w="701" w:type="dxa"/>
            <w:noWrap/>
            <w:vAlign w:val="center"/>
          </w:tcPr>
          <w:p w14:paraId="1AA72963">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套</w:t>
            </w:r>
          </w:p>
        </w:tc>
        <w:tc>
          <w:tcPr>
            <w:tcW w:w="755" w:type="dxa"/>
            <w:noWrap/>
            <w:vAlign w:val="center"/>
          </w:tcPr>
          <w:p w14:paraId="7482A129">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8</w:t>
            </w:r>
          </w:p>
        </w:tc>
        <w:tc>
          <w:tcPr>
            <w:tcW w:w="1586" w:type="dxa"/>
            <w:noWrap/>
            <w:vAlign w:val="center"/>
          </w:tcPr>
          <w:p w14:paraId="4A9A4E4C">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个人防护</w:t>
            </w:r>
          </w:p>
        </w:tc>
        <w:tc>
          <w:tcPr>
            <w:tcW w:w="1050" w:type="dxa"/>
            <w:noWrap/>
            <w:vAlign w:val="center"/>
          </w:tcPr>
          <w:p w14:paraId="1376B08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良好</w:t>
            </w:r>
          </w:p>
        </w:tc>
        <w:tc>
          <w:tcPr>
            <w:tcW w:w="1189" w:type="dxa"/>
            <w:noWrap/>
            <w:vAlign w:val="center"/>
          </w:tcPr>
          <w:p w14:paraId="6A7303FA">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溢油应急库</w:t>
            </w:r>
          </w:p>
        </w:tc>
      </w:tr>
      <w:tr w14:paraId="34A5CDA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rPr>
          <w:trHeight w:val="402" w:hRule="atLeast"/>
        </w:trPr>
        <w:tc>
          <w:tcPr>
            <w:tcW w:w="770" w:type="dxa"/>
            <w:noWrap/>
            <w:vAlign w:val="center"/>
          </w:tcPr>
          <w:p w14:paraId="345341CC">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18</w:t>
            </w:r>
          </w:p>
        </w:tc>
        <w:tc>
          <w:tcPr>
            <w:tcW w:w="1548" w:type="dxa"/>
            <w:noWrap/>
            <w:vAlign w:val="center"/>
          </w:tcPr>
          <w:p w14:paraId="57904554">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防毒面具</w:t>
            </w:r>
          </w:p>
        </w:tc>
        <w:tc>
          <w:tcPr>
            <w:tcW w:w="1475" w:type="dxa"/>
            <w:noWrap/>
            <w:vAlign w:val="center"/>
          </w:tcPr>
          <w:p w14:paraId="679BBF2B">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701" w:type="dxa"/>
            <w:noWrap/>
            <w:vAlign w:val="center"/>
          </w:tcPr>
          <w:p w14:paraId="42AA89E4">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套</w:t>
            </w:r>
          </w:p>
        </w:tc>
        <w:tc>
          <w:tcPr>
            <w:tcW w:w="755" w:type="dxa"/>
            <w:noWrap/>
            <w:vAlign w:val="center"/>
          </w:tcPr>
          <w:p w14:paraId="5FA95A70">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10</w:t>
            </w:r>
          </w:p>
        </w:tc>
        <w:tc>
          <w:tcPr>
            <w:tcW w:w="1586" w:type="dxa"/>
            <w:noWrap/>
            <w:vAlign w:val="center"/>
          </w:tcPr>
          <w:p w14:paraId="76FA49F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个人防护</w:t>
            </w:r>
          </w:p>
        </w:tc>
        <w:tc>
          <w:tcPr>
            <w:tcW w:w="1050" w:type="dxa"/>
            <w:noWrap/>
            <w:vAlign w:val="center"/>
          </w:tcPr>
          <w:p w14:paraId="7B5A912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良好</w:t>
            </w:r>
          </w:p>
        </w:tc>
        <w:tc>
          <w:tcPr>
            <w:tcW w:w="1189" w:type="dxa"/>
            <w:noWrap/>
            <w:vAlign w:val="center"/>
          </w:tcPr>
          <w:p w14:paraId="198B1763">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溢油应急库</w:t>
            </w:r>
          </w:p>
        </w:tc>
      </w:tr>
      <w:tr w14:paraId="53DAF6E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rPr>
          <w:trHeight w:val="402" w:hRule="atLeast"/>
        </w:trPr>
        <w:tc>
          <w:tcPr>
            <w:tcW w:w="770" w:type="dxa"/>
            <w:noWrap/>
            <w:vAlign w:val="center"/>
          </w:tcPr>
          <w:p w14:paraId="464B5FF0">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19</w:t>
            </w:r>
          </w:p>
        </w:tc>
        <w:tc>
          <w:tcPr>
            <w:tcW w:w="1548" w:type="dxa"/>
            <w:noWrap/>
            <w:vAlign w:val="center"/>
          </w:tcPr>
          <w:p w14:paraId="471C0BD3">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护目镜</w:t>
            </w:r>
          </w:p>
        </w:tc>
        <w:tc>
          <w:tcPr>
            <w:tcW w:w="1475" w:type="dxa"/>
            <w:noWrap/>
            <w:vAlign w:val="center"/>
          </w:tcPr>
          <w:p w14:paraId="1E4D5122">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701" w:type="dxa"/>
            <w:noWrap/>
            <w:vAlign w:val="center"/>
          </w:tcPr>
          <w:p w14:paraId="0AC8266D">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个</w:t>
            </w:r>
          </w:p>
        </w:tc>
        <w:tc>
          <w:tcPr>
            <w:tcW w:w="755" w:type="dxa"/>
            <w:noWrap/>
            <w:vAlign w:val="center"/>
          </w:tcPr>
          <w:p w14:paraId="53CBB61D">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10</w:t>
            </w:r>
          </w:p>
        </w:tc>
        <w:tc>
          <w:tcPr>
            <w:tcW w:w="1586" w:type="dxa"/>
            <w:noWrap/>
            <w:vAlign w:val="center"/>
          </w:tcPr>
          <w:p w14:paraId="34E2D7F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个人防护</w:t>
            </w:r>
          </w:p>
        </w:tc>
        <w:tc>
          <w:tcPr>
            <w:tcW w:w="1050" w:type="dxa"/>
            <w:noWrap/>
            <w:vAlign w:val="center"/>
          </w:tcPr>
          <w:p w14:paraId="4E86A87A">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良好</w:t>
            </w:r>
          </w:p>
        </w:tc>
        <w:tc>
          <w:tcPr>
            <w:tcW w:w="1189" w:type="dxa"/>
            <w:noWrap/>
            <w:vAlign w:val="center"/>
          </w:tcPr>
          <w:p w14:paraId="412C49EA">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溢油应急库</w:t>
            </w:r>
          </w:p>
        </w:tc>
      </w:tr>
      <w:tr w14:paraId="6ACB4BA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rPr>
          <w:trHeight w:val="402" w:hRule="atLeast"/>
        </w:trPr>
        <w:tc>
          <w:tcPr>
            <w:tcW w:w="770" w:type="dxa"/>
            <w:noWrap/>
            <w:vAlign w:val="center"/>
          </w:tcPr>
          <w:p w14:paraId="629B3314">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20</w:t>
            </w:r>
          </w:p>
        </w:tc>
        <w:tc>
          <w:tcPr>
            <w:tcW w:w="1548" w:type="dxa"/>
            <w:noWrap/>
            <w:vAlign w:val="center"/>
          </w:tcPr>
          <w:p w14:paraId="5CEC42D8">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防护衣</w:t>
            </w:r>
          </w:p>
        </w:tc>
        <w:tc>
          <w:tcPr>
            <w:tcW w:w="1475" w:type="dxa"/>
            <w:noWrap/>
            <w:vAlign w:val="center"/>
          </w:tcPr>
          <w:p w14:paraId="35A8B25A">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701" w:type="dxa"/>
            <w:noWrap/>
            <w:vAlign w:val="center"/>
          </w:tcPr>
          <w:p w14:paraId="6BFDC2FD">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套</w:t>
            </w:r>
          </w:p>
        </w:tc>
        <w:tc>
          <w:tcPr>
            <w:tcW w:w="755" w:type="dxa"/>
            <w:noWrap/>
            <w:vAlign w:val="center"/>
          </w:tcPr>
          <w:p w14:paraId="3DB54083">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20</w:t>
            </w:r>
          </w:p>
        </w:tc>
        <w:tc>
          <w:tcPr>
            <w:tcW w:w="1586" w:type="dxa"/>
            <w:noWrap/>
            <w:vAlign w:val="center"/>
          </w:tcPr>
          <w:p w14:paraId="184EF50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个人防护</w:t>
            </w:r>
          </w:p>
        </w:tc>
        <w:tc>
          <w:tcPr>
            <w:tcW w:w="1050" w:type="dxa"/>
            <w:noWrap/>
            <w:vAlign w:val="center"/>
          </w:tcPr>
          <w:p w14:paraId="2689A8C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良好</w:t>
            </w:r>
          </w:p>
        </w:tc>
        <w:tc>
          <w:tcPr>
            <w:tcW w:w="1189" w:type="dxa"/>
            <w:noWrap/>
            <w:vAlign w:val="center"/>
          </w:tcPr>
          <w:p w14:paraId="4B6D328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溢油应急库</w:t>
            </w:r>
          </w:p>
        </w:tc>
      </w:tr>
      <w:tr w14:paraId="1CBD7F5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rPr>
          <w:trHeight w:val="402" w:hRule="atLeast"/>
        </w:trPr>
        <w:tc>
          <w:tcPr>
            <w:tcW w:w="770" w:type="dxa"/>
            <w:noWrap/>
            <w:vAlign w:val="center"/>
          </w:tcPr>
          <w:p w14:paraId="7FDDA3C2">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21</w:t>
            </w:r>
          </w:p>
        </w:tc>
        <w:tc>
          <w:tcPr>
            <w:tcW w:w="1548" w:type="dxa"/>
            <w:noWrap/>
            <w:vAlign w:val="center"/>
          </w:tcPr>
          <w:p w14:paraId="713C834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防护鞋</w:t>
            </w:r>
          </w:p>
        </w:tc>
        <w:tc>
          <w:tcPr>
            <w:tcW w:w="1475" w:type="dxa"/>
            <w:noWrap/>
            <w:vAlign w:val="center"/>
          </w:tcPr>
          <w:p w14:paraId="66F2AFC9">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701" w:type="dxa"/>
            <w:noWrap/>
            <w:vAlign w:val="center"/>
          </w:tcPr>
          <w:p w14:paraId="0C78A41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双</w:t>
            </w:r>
          </w:p>
        </w:tc>
        <w:tc>
          <w:tcPr>
            <w:tcW w:w="755" w:type="dxa"/>
            <w:noWrap/>
            <w:vAlign w:val="center"/>
          </w:tcPr>
          <w:p w14:paraId="06622588">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10</w:t>
            </w:r>
          </w:p>
        </w:tc>
        <w:tc>
          <w:tcPr>
            <w:tcW w:w="1586" w:type="dxa"/>
            <w:noWrap/>
            <w:vAlign w:val="center"/>
          </w:tcPr>
          <w:p w14:paraId="47A4A4B4">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个人防护</w:t>
            </w:r>
          </w:p>
        </w:tc>
        <w:tc>
          <w:tcPr>
            <w:tcW w:w="1050" w:type="dxa"/>
            <w:noWrap/>
            <w:vAlign w:val="center"/>
          </w:tcPr>
          <w:p w14:paraId="18D1F09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良好</w:t>
            </w:r>
          </w:p>
        </w:tc>
        <w:tc>
          <w:tcPr>
            <w:tcW w:w="1189" w:type="dxa"/>
            <w:noWrap/>
            <w:vAlign w:val="center"/>
          </w:tcPr>
          <w:p w14:paraId="4A66FEFE">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溢油应急库</w:t>
            </w:r>
          </w:p>
        </w:tc>
      </w:tr>
      <w:tr w14:paraId="6855054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rPr>
          <w:trHeight w:val="402" w:hRule="atLeast"/>
        </w:trPr>
        <w:tc>
          <w:tcPr>
            <w:tcW w:w="770" w:type="dxa"/>
            <w:noWrap/>
            <w:vAlign w:val="center"/>
          </w:tcPr>
          <w:p w14:paraId="63A83BAD">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22</w:t>
            </w:r>
          </w:p>
        </w:tc>
        <w:tc>
          <w:tcPr>
            <w:tcW w:w="1548" w:type="dxa"/>
            <w:noWrap/>
            <w:vAlign w:val="center"/>
          </w:tcPr>
          <w:p w14:paraId="03F1624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泄漏处置桶</w:t>
            </w:r>
          </w:p>
        </w:tc>
        <w:tc>
          <w:tcPr>
            <w:tcW w:w="1475" w:type="dxa"/>
            <w:noWrap/>
            <w:vAlign w:val="center"/>
          </w:tcPr>
          <w:p w14:paraId="46F5CF89">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701" w:type="dxa"/>
            <w:noWrap/>
            <w:vAlign w:val="center"/>
          </w:tcPr>
          <w:p w14:paraId="2D62A67E">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个</w:t>
            </w:r>
          </w:p>
        </w:tc>
        <w:tc>
          <w:tcPr>
            <w:tcW w:w="755" w:type="dxa"/>
            <w:noWrap/>
            <w:vAlign w:val="center"/>
          </w:tcPr>
          <w:p w14:paraId="38A99F5E">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5</w:t>
            </w:r>
          </w:p>
        </w:tc>
        <w:tc>
          <w:tcPr>
            <w:tcW w:w="1586" w:type="dxa"/>
            <w:noWrap/>
            <w:vAlign w:val="center"/>
          </w:tcPr>
          <w:p w14:paraId="5A00E44E">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应急抢险</w:t>
            </w:r>
          </w:p>
        </w:tc>
        <w:tc>
          <w:tcPr>
            <w:tcW w:w="1050" w:type="dxa"/>
            <w:noWrap/>
            <w:vAlign w:val="center"/>
          </w:tcPr>
          <w:p w14:paraId="68EE51C7">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良好</w:t>
            </w:r>
          </w:p>
        </w:tc>
        <w:tc>
          <w:tcPr>
            <w:tcW w:w="1189" w:type="dxa"/>
            <w:noWrap/>
            <w:vAlign w:val="center"/>
          </w:tcPr>
          <w:p w14:paraId="6FF2BA88">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溢油应急库</w:t>
            </w:r>
          </w:p>
        </w:tc>
      </w:tr>
      <w:tr w14:paraId="23A0003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rPr>
          <w:trHeight w:val="402" w:hRule="atLeast"/>
        </w:trPr>
        <w:tc>
          <w:tcPr>
            <w:tcW w:w="770" w:type="dxa"/>
            <w:noWrap/>
            <w:vAlign w:val="center"/>
          </w:tcPr>
          <w:p w14:paraId="267DB192">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23</w:t>
            </w:r>
          </w:p>
        </w:tc>
        <w:tc>
          <w:tcPr>
            <w:tcW w:w="1548" w:type="dxa"/>
            <w:noWrap/>
            <w:vAlign w:val="center"/>
          </w:tcPr>
          <w:p w14:paraId="7456914A">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塑料软刷</w:t>
            </w:r>
          </w:p>
        </w:tc>
        <w:tc>
          <w:tcPr>
            <w:tcW w:w="1475" w:type="dxa"/>
            <w:noWrap/>
            <w:vAlign w:val="center"/>
          </w:tcPr>
          <w:p w14:paraId="278BACA2">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701" w:type="dxa"/>
            <w:noWrap/>
            <w:vAlign w:val="center"/>
          </w:tcPr>
          <w:p w14:paraId="5148E2F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把</w:t>
            </w:r>
          </w:p>
        </w:tc>
        <w:tc>
          <w:tcPr>
            <w:tcW w:w="755" w:type="dxa"/>
            <w:noWrap/>
            <w:vAlign w:val="center"/>
          </w:tcPr>
          <w:p w14:paraId="2E5F18C0">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5</w:t>
            </w:r>
          </w:p>
        </w:tc>
        <w:tc>
          <w:tcPr>
            <w:tcW w:w="1586" w:type="dxa"/>
            <w:noWrap/>
            <w:vAlign w:val="center"/>
          </w:tcPr>
          <w:p w14:paraId="6578668A">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应急抢险</w:t>
            </w:r>
          </w:p>
        </w:tc>
        <w:tc>
          <w:tcPr>
            <w:tcW w:w="1050" w:type="dxa"/>
            <w:noWrap/>
            <w:vAlign w:val="center"/>
          </w:tcPr>
          <w:p w14:paraId="4B44814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良好</w:t>
            </w:r>
          </w:p>
        </w:tc>
        <w:tc>
          <w:tcPr>
            <w:tcW w:w="1189" w:type="dxa"/>
            <w:noWrap/>
            <w:vAlign w:val="center"/>
          </w:tcPr>
          <w:p w14:paraId="08AAEE3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溢油应急库</w:t>
            </w:r>
          </w:p>
        </w:tc>
      </w:tr>
      <w:tr w14:paraId="35C0713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rPr>
          <w:trHeight w:val="402" w:hRule="atLeast"/>
        </w:trPr>
        <w:tc>
          <w:tcPr>
            <w:tcW w:w="770" w:type="dxa"/>
            <w:noWrap/>
            <w:vAlign w:val="center"/>
          </w:tcPr>
          <w:p w14:paraId="7D0C7710">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24</w:t>
            </w:r>
          </w:p>
        </w:tc>
        <w:tc>
          <w:tcPr>
            <w:tcW w:w="1548" w:type="dxa"/>
            <w:noWrap/>
            <w:vAlign w:val="center"/>
          </w:tcPr>
          <w:p w14:paraId="2F5B95B3">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塑料簸箕</w:t>
            </w:r>
          </w:p>
        </w:tc>
        <w:tc>
          <w:tcPr>
            <w:tcW w:w="1475" w:type="dxa"/>
            <w:noWrap/>
            <w:vAlign w:val="center"/>
          </w:tcPr>
          <w:p w14:paraId="5FB26B13">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701" w:type="dxa"/>
            <w:noWrap/>
            <w:vAlign w:val="center"/>
          </w:tcPr>
          <w:p w14:paraId="7F981C1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个</w:t>
            </w:r>
          </w:p>
        </w:tc>
        <w:tc>
          <w:tcPr>
            <w:tcW w:w="755" w:type="dxa"/>
            <w:noWrap/>
            <w:vAlign w:val="center"/>
          </w:tcPr>
          <w:p w14:paraId="583C114D">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5</w:t>
            </w:r>
          </w:p>
        </w:tc>
        <w:tc>
          <w:tcPr>
            <w:tcW w:w="1586" w:type="dxa"/>
            <w:noWrap/>
            <w:vAlign w:val="center"/>
          </w:tcPr>
          <w:p w14:paraId="49ED828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应急抢险</w:t>
            </w:r>
          </w:p>
        </w:tc>
        <w:tc>
          <w:tcPr>
            <w:tcW w:w="1050" w:type="dxa"/>
            <w:noWrap/>
            <w:vAlign w:val="center"/>
          </w:tcPr>
          <w:p w14:paraId="180D2108">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良好</w:t>
            </w:r>
          </w:p>
        </w:tc>
        <w:tc>
          <w:tcPr>
            <w:tcW w:w="1189" w:type="dxa"/>
            <w:noWrap/>
            <w:vAlign w:val="center"/>
          </w:tcPr>
          <w:p w14:paraId="2C4E6CEC">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溢油应急库</w:t>
            </w:r>
          </w:p>
        </w:tc>
      </w:tr>
      <w:tr w14:paraId="4286C52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rPr>
          <w:trHeight w:val="402" w:hRule="atLeast"/>
        </w:trPr>
        <w:tc>
          <w:tcPr>
            <w:tcW w:w="770" w:type="dxa"/>
            <w:noWrap/>
            <w:vAlign w:val="center"/>
          </w:tcPr>
          <w:p w14:paraId="4C0F3F2F">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25</w:t>
            </w:r>
          </w:p>
        </w:tc>
        <w:tc>
          <w:tcPr>
            <w:tcW w:w="1548" w:type="dxa"/>
            <w:noWrap/>
            <w:vAlign w:val="center"/>
          </w:tcPr>
          <w:p w14:paraId="77EDBF9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胶布</w:t>
            </w:r>
          </w:p>
        </w:tc>
        <w:tc>
          <w:tcPr>
            <w:tcW w:w="1475" w:type="dxa"/>
            <w:noWrap/>
            <w:vAlign w:val="center"/>
          </w:tcPr>
          <w:p w14:paraId="198DFB62">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701" w:type="dxa"/>
            <w:noWrap/>
            <w:vAlign w:val="center"/>
          </w:tcPr>
          <w:p w14:paraId="2796F089">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卷</w:t>
            </w:r>
          </w:p>
        </w:tc>
        <w:tc>
          <w:tcPr>
            <w:tcW w:w="755" w:type="dxa"/>
            <w:noWrap/>
            <w:vAlign w:val="center"/>
          </w:tcPr>
          <w:p w14:paraId="55ADA769">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5</w:t>
            </w:r>
          </w:p>
        </w:tc>
        <w:tc>
          <w:tcPr>
            <w:tcW w:w="1586" w:type="dxa"/>
            <w:noWrap/>
            <w:vAlign w:val="center"/>
          </w:tcPr>
          <w:p w14:paraId="13E801A4">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应急抢险</w:t>
            </w:r>
          </w:p>
        </w:tc>
        <w:tc>
          <w:tcPr>
            <w:tcW w:w="1050" w:type="dxa"/>
            <w:noWrap/>
            <w:vAlign w:val="center"/>
          </w:tcPr>
          <w:p w14:paraId="221FAA14">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良好</w:t>
            </w:r>
          </w:p>
        </w:tc>
        <w:tc>
          <w:tcPr>
            <w:tcW w:w="1189" w:type="dxa"/>
            <w:noWrap/>
            <w:vAlign w:val="center"/>
          </w:tcPr>
          <w:p w14:paraId="1EDDBF1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溢油应急库</w:t>
            </w:r>
          </w:p>
        </w:tc>
      </w:tr>
      <w:tr w14:paraId="367676B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rPr>
          <w:trHeight w:val="402" w:hRule="atLeast"/>
        </w:trPr>
        <w:tc>
          <w:tcPr>
            <w:tcW w:w="770" w:type="dxa"/>
            <w:noWrap/>
            <w:vAlign w:val="center"/>
          </w:tcPr>
          <w:p w14:paraId="269FC4AA">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26</w:t>
            </w:r>
          </w:p>
        </w:tc>
        <w:tc>
          <w:tcPr>
            <w:tcW w:w="1548" w:type="dxa"/>
            <w:noWrap/>
            <w:vAlign w:val="center"/>
          </w:tcPr>
          <w:p w14:paraId="30506BA2">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肥皂</w:t>
            </w:r>
          </w:p>
        </w:tc>
        <w:tc>
          <w:tcPr>
            <w:tcW w:w="1475" w:type="dxa"/>
            <w:noWrap/>
            <w:vAlign w:val="center"/>
          </w:tcPr>
          <w:p w14:paraId="36F441B3">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701" w:type="dxa"/>
            <w:noWrap/>
            <w:vAlign w:val="center"/>
          </w:tcPr>
          <w:p w14:paraId="33FE8933">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个</w:t>
            </w:r>
          </w:p>
        </w:tc>
        <w:tc>
          <w:tcPr>
            <w:tcW w:w="755" w:type="dxa"/>
            <w:noWrap/>
            <w:vAlign w:val="center"/>
          </w:tcPr>
          <w:p w14:paraId="3D4F3D1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5</w:t>
            </w:r>
          </w:p>
        </w:tc>
        <w:tc>
          <w:tcPr>
            <w:tcW w:w="1586" w:type="dxa"/>
            <w:noWrap/>
            <w:vAlign w:val="center"/>
          </w:tcPr>
          <w:p w14:paraId="6FBB1960">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应急抢险</w:t>
            </w:r>
          </w:p>
        </w:tc>
        <w:tc>
          <w:tcPr>
            <w:tcW w:w="1050" w:type="dxa"/>
            <w:noWrap/>
            <w:vAlign w:val="center"/>
          </w:tcPr>
          <w:p w14:paraId="30CB6F53">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良好</w:t>
            </w:r>
          </w:p>
        </w:tc>
        <w:tc>
          <w:tcPr>
            <w:tcW w:w="1189" w:type="dxa"/>
            <w:noWrap/>
            <w:vAlign w:val="center"/>
          </w:tcPr>
          <w:p w14:paraId="2CF06407">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溢油应急库</w:t>
            </w:r>
          </w:p>
        </w:tc>
      </w:tr>
      <w:tr w14:paraId="27BBFB3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rPr>
          <w:trHeight w:val="402" w:hRule="atLeast"/>
        </w:trPr>
        <w:tc>
          <w:tcPr>
            <w:tcW w:w="770" w:type="dxa"/>
            <w:noWrap/>
            <w:vAlign w:val="center"/>
          </w:tcPr>
          <w:p w14:paraId="44A458CE">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27</w:t>
            </w:r>
          </w:p>
        </w:tc>
        <w:tc>
          <w:tcPr>
            <w:tcW w:w="1548" w:type="dxa"/>
            <w:noWrap/>
            <w:vAlign w:val="center"/>
          </w:tcPr>
          <w:p w14:paraId="062FB4FD">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耐酸碱手套</w:t>
            </w:r>
          </w:p>
        </w:tc>
        <w:tc>
          <w:tcPr>
            <w:tcW w:w="1475" w:type="dxa"/>
            <w:noWrap/>
            <w:vAlign w:val="center"/>
          </w:tcPr>
          <w:p w14:paraId="6EE67018">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701" w:type="dxa"/>
            <w:noWrap/>
            <w:vAlign w:val="center"/>
          </w:tcPr>
          <w:p w14:paraId="20762212">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双</w:t>
            </w:r>
          </w:p>
        </w:tc>
        <w:tc>
          <w:tcPr>
            <w:tcW w:w="755" w:type="dxa"/>
            <w:noWrap/>
            <w:vAlign w:val="center"/>
          </w:tcPr>
          <w:p w14:paraId="5F62A5E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10</w:t>
            </w:r>
          </w:p>
        </w:tc>
        <w:tc>
          <w:tcPr>
            <w:tcW w:w="1586" w:type="dxa"/>
            <w:noWrap/>
            <w:vAlign w:val="center"/>
          </w:tcPr>
          <w:p w14:paraId="51BDA95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个人防护</w:t>
            </w:r>
          </w:p>
        </w:tc>
        <w:tc>
          <w:tcPr>
            <w:tcW w:w="1050" w:type="dxa"/>
            <w:noWrap/>
            <w:vAlign w:val="center"/>
          </w:tcPr>
          <w:p w14:paraId="5974D207">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良好</w:t>
            </w:r>
          </w:p>
        </w:tc>
        <w:tc>
          <w:tcPr>
            <w:tcW w:w="1189" w:type="dxa"/>
            <w:noWrap/>
            <w:vAlign w:val="center"/>
          </w:tcPr>
          <w:p w14:paraId="53DA0347">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溢油应急库</w:t>
            </w:r>
          </w:p>
        </w:tc>
      </w:tr>
      <w:tr w14:paraId="4C2F933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rPr>
          <w:trHeight w:val="402" w:hRule="atLeast"/>
        </w:trPr>
        <w:tc>
          <w:tcPr>
            <w:tcW w:w="770" w:type="dxa"/>
            <w:noWrap/>
            <w:vAlign w:val="center"/>
          </w:tcPr>
          <w:p w14:paraId="0CFC9683">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28</w:t>
            </w:r>
          </w:p>
        </w:tc>
        <w:tc>
          <w:tcPr>
            <w:tcW w:w="1548" w:type="dxa"/>
            <w:noWrap/>
            <w:vAlign w:val="center"/>
          </w:tcPr>
          <w:p w14:paraId="5073AE2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堵漏工具</w:t>
            </w:r>
          </w:p>
        </w:tc>
        <w:tc>
          <w:tcPr>
            <w:tcW w:w="1475" w:type="dxa"/>
            <w:noWrap/>
            <w:vAlign w:val="center"/>
          </w:tcPr>
          <w:p w14:paraId="571E5DDC">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701" w:type="dxa"/>
            <w:noWrap/>
            <w:vAlign w:val="center"/>
          </w:tcPr>
          <w:p w14:paraId="22089744">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套</w:t>
            </w:r>
          </w:p>
        </w:tc>
        <w:tc>
          <w:tcPr>
            <w:tcW w:w="755" w:type="dxa"/>
            <w:noWrap/>
            <w:vAlign w:val="center"/>
          </w:tcPr>
          <w:p w14:paraId="1C4E0A93">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w:t>
            </w:r>
          </w:p>
        </w:tc>
        <w:tc>
          <w:tcPr>
            <w:tcW w:w="1586" w:type="dxa"/>
            <w:noWrap/>
            <w:vAlign w:val="center"/>
          </w:tcPr>
          <w:p w14:paraId="7451AFC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应急抢险</w:t>
            </w:r>
          </w:p>
        </w:tc>
        <w:tc>
          <w:tcPr>
            <w:tcW w:w="1050" w:type="dxa"/>
            <w:noWrap/>
            <w:vAlign w:val="center"/>
          </w:tcPr>
          <w:p w14:paraId="4C8CF288">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良好</w:t>
            </w:r>
          </w:p>
        </w:tc>
        <w:tc>
          <w:tcPr>
            <w:tcW w:w="1189" w:type="dxa"/>
            <w:noWrap/>
            <w:vAlign w:val="center"/>
          </w:tcPr>
          <w:p w14:paraId="00372730">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发车值班室</w:t>
            </w:r>
          </w:p>
        </w:tc>
      </w:tr>
      <w:tr w14:paraId="1F5B20E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rPr>
          <w:trHeight w:val="402" w:hRule="atLeast"/>
        </w:trPr>
        <w:tc>
          <w:tcPr>
            <w:tcW w:w="770" w:type="dxa"/>
            <w:noWrap/>
            <w:vAlign w:val="center"/>
          </w:tcPr>
          <w:p w14:paraId="5BAF49AD">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29</w:t>
            </w:r>
          </w:p>
        </w:tc>
        <w:tc>
          <w:tcPr>
            <w:tcW w:w="1548" w:type="dxa"/>
            <w:noWrap/>
            <w:vAlign w:val="center"/>
          </w:tcPr>
          <w:p w14:paraId="0376215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油罐车</w:t>
            </w:r>
          </w:p>
        </w:tc>
        <w:tc>
          <w:tcPr>
            <w:tcW w:w="1475" w:type="dxa"/>
            <w:noWrap/>
            <w:vAlign w:val="center"/>
          </w:tcPr>
          <w:p w14:paraId="45AA7979">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11m</w:t>
            </w:r>
            <w:r>
              <w:rPr>
                <w:rFonts w:hint="eastAsia"/>
                <w:color w:val="000000" w:themeColor="text1"/>
                <w:sz w:val="21"/>
                <w:szCs w:val="21"/>
                <w:vertAlign w:val="superscript"/>
                <w14:textFill>
                  <w14:solidFill>
                    <w14:schemeClr w14:val="tx1"/>
                  </w14:solidFill>
                </w14:textFill>
              </w:rPr>
              <w:t>3</w:t>
            </w:r>
          </w:p>
        </w:tc>
        <w:tc>
          <w:tcPr>
            <w:tcW w:w="701" w:type="dxa"/>
            <w:noWrap/>
            <w:vAlign w:val="center"/>
          </w:tcPr>
          <w:p w14:paraId="1EEC0347">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辆</w:t>
            </w:r>
          </w:p>
        </w:tc>
        <w:tc>
          <w:tcPr>
            <w:tcW w:w="755" w:type="dxa"/>
            <w:noWrap/>
            <w:vAlign w:val="center"/>
          </w:tcPr>
          <w:p w14:paraId="4345576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w:t>
            </w:r>
          </w:p>
        </w:tc>
        <w:tc>
          <w:tcPr>
            <w:tcW w:w="1586" w:type="dxa"/>
            <w:noWrap/>
            <w:vAlign w:val="center"/>
          </w:tcPr>
          <w:p w14:paraId="065F3E58">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应急抢险</w:t>
            </w:r>
          </w:p>
        </w:tc>
        <w:tc>
          <w:tcPr>
            <w:tcW w:w="1050" w:type="dxa"/>
            <w:noWrap/>
            <w:vAlign w:val="center"/>
          </w:tcPr>
          <w:p w14:paraId="2D6896A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良好</w:t>
            </w:r>
          </w:p>
        </w:tc>
        <w:tc>
          <w:tcPr>
            <w:tcW w:w="1189" w:type="dxa"/>
            <w:noWrap/>
            <w:vAlign w:val="center"/>
          </w:tcPr>
          <w:p w14:paraId="36DBE8E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库区</w:t>
            </w:r>
          </w:p>
        </w:tc>
      </w:tr>
      <w:tr w14:paraId="32918F9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rPr>
          <w:trHeight w:val="402" w:hRule="atLeast"/>
        </w:trPr>
        <w:tc>
          <w:tcPr>
            <w:tcW w:w="770" w:type="dxa"/>
            <w:noWrap/>
            <w:vAlign w:val="center"/>
          </w:tcPr>
          <w:p w14:paraId="0D8559B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30</w:t>
            </w:r>
          </w:p>
        </w:tc>
        <w:tc>
          <w:tcPr>
            <w:tcW w:w="1548" w:type="dxa"/>
            <w:noWrap/>
            <w:vAlign w:val="center"/>
          </w:tcPr>
          <w:p w14:paraId="68563369">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固体浮子式PVC围油栏</w:t>
            </w:r>
          </w:p>
        </w:tc>
        <w:tc>
          <w:tcPr>
            <w:tcW w:w="1475" w:type="dxa"/>
            <w:noWrap/>
            <w:vAlign w:val="center"/>
          </w:tcPr>
          <w:p w14:paraId="60604CA2">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GW1000</w:t>
            </w:r>
          </w:p>
        </w:tc>
        <w:tc>
          <w:tcPr>
            <w:tcW w:w="701" w:type="dxa"/>
            <w:noWrap/>
            <w:vAlign w:val="center"/>
          </w:tcPr>
          <w:p w14:paraId="259E2209">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米</w:t>
            </w:r>
          </w:p>
        </w:tc>
        <w:tc>
          <w:tcPr>
            <w:tcW w:w="755" w:type="dxa"/>
            <w:noWrap/>
            <w:vAlign w:val="center"/>
          </w:tcPr>
          <w:p w14:paraId="0271DDA9">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1200</w:t>
            </w:r>
          </w:p>
        </w:tc>
        <w:tc>
          <w:tcPr>
            <w:tcW w:w="1586" w:type="dxa"/>
            <w:noWrap/>
            <w:vAlign w:val="center"/>
          </w:tcPr>
          <w:p w14:paraId="1584A8F9">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应急抢险</w:t>
            </w:r>
          </w:p>
        </w:tc>
        <w:tc>
          <w:tcPr>
            <w:tcW w:w="1050" w:type="dxa"/>
            <w:noWrap/>
            <w:vAlign w:val="center"/>
          </w:tcPr>
          <w:p w14:paraId="67827A1E">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良好</w:t>
            </w:r>
          </w:p>
        </w:tc>
        <w:tc>
          <w:tcPr>
            <w:tcW w:w="1189" w:type="dxa"/>
            <w:noWrap/>
            <w:vAlign w:val="center"/>
          </w:tcPr>
          <w:p w14:paraId="4389D3B9">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溢油应急库</w:t>
            </w:r>
          </w:p>
        </w:tc>
      </w:tr>
      <w:tr w14:paraId="3AF2943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rPr>
          <w:trHeight w:val="402" w:hRule="atLeast"/>
        </w:trPr>
        <w:tc>
          <w:tcPr>
            <w:tcW w:w="770" w:type="dxa"/>
            <w:noWrap/>
            <w:vAlign w:val="center"/>
          </w:tcPr>
          <w:p w14:paraId="1647AE00">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31</w:t>
            </w:r>
          </w:p>
        </w:tc>
        <w:tc>
          <w:tcPr>
            <w:tcW w:w="1548" w:type="dxa"/>
            <w:noWrap/>
            <w:vAlign w:val="center"/>
          </w:tcPr>
          <w:p w14:paraId="659BB6C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固体浮子式PVC围油栏</w:t>
            </w:r>
          </w:p>
        </w:tc>
        <w:tc>
          <w:tcPr>
            <w:tcW w:w="1475" w:type="dxa"/>
            <w:noWrap/>
            <w:vAlign w:val="center"/>
          </w:tcPr>
          <w:p w14:paraId="2438EFD9">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GW1100</w:t>
            </w:r>
          </w:p>
        </w:tc>
        <w:tc>
          <w:tcPr>
            <w:tcW w:w="701" w:type="dxa"/>
            <w:noWrap/>
            <w:vAlign w:val="center"/>
          </w:tcPr>
          <w:p w14:paraId="3520CE14">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米</w:t>
            </w:r>
          </w:p>
        </w:tc>
        <w:tc>
          <w:tcPr>
            <w:tcW w:w="755" w:type="dxa"/>
            <w:noWrap/>
            <w:vAlign w:val="center"/>
          </w:tcPr>
          <w:p w14:paraId="44A1B0A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660</w:t>
            </w:r>
          </w:p>
        </w:tc>
        <w:tc>
          <w:tcPr>
            <w:tcW w:w="1586" w:type="dxa"/>
            <w:noWrap/>
            <w:vAlign w:val="center"/>
          </w:tcPr>
          <w:p w14:paraId="59DBC00A">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应急抢险</w:t>
            </w:r>
          </w:p>
        </w:tc>
        <w:tc>
          <w:tcPr>
            <w:tcW w:w="1050" w:type="dxa"/>
            <w:noWrap/>
            <w:vAlign w:val="center"/>
          </w:tcPr>
          <w:p w14:paraId="0F527683">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良好</w:t>
            </w:r>
          </w:p>
        </w:tc>
        <w:tc>
          <w:tcPr>
            <w:tcW w:w="1189" w:type="dxa"/>
            <w:noWrap/>
            <w:vAlign w:val="center"/>
          </w:tcPr>
          <w:p w14:paraId="28E78FA2">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溢油应急库</w:t>
            </w:r>
          </w:p>
        </w:tc>
      </w:tr>
      <w:tr w14:paraId="3C78356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rPr>
          <w:trHeight w:val="402" w:hRule="atLeast"/>
        </w:trPr>
        <w:tc>
          <w:tcPr>
            <w:tcW w:w="770" w:type="dxa"/>
            <w:noWrap/>
            <w:vAlign w:val="center"/>
          </w:tcPr>
          <w:p w14:paraId="751ACBC8">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32</w:t>
            </w:r>
          </w:p>
        </w:tc>
        <w:tc>
          <w:tcPr>
            <w:tcW w:w="1548" w:type="dxa"/>
            <w:noWrap/>
            <w:vAlign w:val="center"/>
          </w:tcPr>
          <w:p w14:paraId="11C7304E">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浮子式橡胶围油栏</w:t>
            </w:r>
          </w:p>
        </w:tc>
        <w:tc>
          <w:tcPr>
            <w:tcW w:w="1475" w:type="dxa"/>
            <w:noWrap/>
            <w:vAlign w:val="center"/>
          </w:tcPr>
          <w:p w14:paraId="3A5FF7E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WGT1100</w:t>
            </w:r>
          </w:p>
        </w:tc>
        <w:tc>
          <w:tcPr>
            <w:tcW w:w="701" w:type="dxa"/>
            <w:noWrap/>
            <w:vAlign w:val="center"/>
          </w:tcPr>
          <w:p w14:paraId="4CDB99C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米</w:t>
            </w:r>
          </w:p>
        </w:tc>
        <w:tc>
          <w:tcPr>
            <w:tcW w:w="755" w:type="dxa"/>
            <w:noWrap/>
            <w:vAlign w:val="center"/>
          </w:tcPr>
          <w:p w14:paraId="342E5A1E">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740</w:t>
            </w:r>
          </w:p>
        </w:tc>
        <w:tc>
          <w:tcPr>
            <w:tcW w:w="1586" w:type="dxa"/>
            <w:noWrap/>
            <w:vAlign w:val="center"/>
          </w:tcPr>
          <w:p w14:paraId="1C25D31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应急抢险</w:t>
            </w:r>
          </w:p>
        </w:tc>
        <w:tc>
          <w:tcPr>
            <w:tcW w:w="1050" w:type="dxa"/>
            <w:noWrap/>
            <w:vAlign w:val="center"/>
          </w:tcPr>
          <w:p w14:paraId="17BC6AD9">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良好</w:t>
            </w:r>
          </w:p>
        </w:tc>
        <w:tc>
          <w:tcPr>
            <w:tcW w:w="1189" w:type="dxa"/>
            <w:noWrap/>
            <w:vAlign w:val="center"/>
          </w:tcPr>
          <w:p w14:paraId="10564569">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溢油应急库</w:t>
            </w:r>
          </w:p>
        </w:tc>
      </w:tr>
      <w:tr w14:paraId="568A8F9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rPr>
          <w:trHeight w:val="402" w:hRule="atLeast"/>
        </w:trPr>
        <w:tc>
          <w:tcPr>
            <w:tcW w:w="770" w:type="dxa"/>
            <w:noWrap/>
            <w:vAlign w:val="center"/>
          </w:tcPr>
          <w:p w14:paraId="317FC3F7">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33</w:t>
            </w:r>
          </w:p>
        </w:tc>
        <w:tc>
          <w:tcPr>
            <w:tcW w:w="1548" w:type="dxa"/>
            <w:noWrap/>
            <w:vAlign w:val="center"/>
          </w:tcPr>
          <w:p w14:paraId="2C2763F9">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应急型围油栏</w:t>
            </w:r>
          </w:p>
        </w:tc>
        <w:tc>
          <w:tcPr>
            <w:tcW w:w="1475" w:type="dxa"/>
            <w:noWrap/>
            <w:vAlign w:val="center"/>
          </w:tcPr>
          <w:p w14:paraId="0685CA8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WGTU1300</w:t>
            </w:r>
          </w:p>
        </w:tc>
        <w:tc>
          <w:tcPr>
            <w:tcW w:w="701" w:type="dxa"/>
            <w:noWrap/>
            <w:vAlign w:val="center"/>
          </w:tcPr>
          <w:p w14:paraId="233BBF27">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米</w:t>
            </w:r>
          </w:p>
        </w:tc>
        <w:tc>
          <w:tcPr>
            <w:tcW w:w="755" w:type="dxa"/>
            <w:noWrap/>
            <w:vAlign w:val="center"/>
          </w:tcPr>
          <w:p w14:paraId="4BD1772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200</w:t>
            </w:r>
          </w:p>
        </w:tc>
        <w:tc>
          <w:tcPr>
            <w:tcW w:w="1586" w:type="dxa"/>
            <w:noWrap/>
            <w:vAlign w:val="center"/>
          </w:tcPr>
          <w:p w14:paraId="06E33EDC">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应急抢险</w:t>
            </w:r>
          </w:p>
        </w:tc>
        <w:tc>
          <w:tcPr>
            <w:tcW w:w="1050" w:type="dxa"/>
            <w:noWrap/>
            <w:vAlign w:val="center"/>
          </w:tcPr>
          <w:p w14:paraId="5A64128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良好</w:t>
            </w:r>
          </w:p>
        </w:tc>
        <w:tc>
          <w:tcPr>
            <w:tcW w:w="1189" w:type="dxa"/>
            <w:noWrap/>
            <w:vAlign w:val="center"/>
          </w:tcPr>
          <w:p w14:paraId="52467B4E">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溢油应急库</w:t>
            </w:r>
          </w:p>
        </w:tc>
      </w:tr>
      <w:tr w14:paraId="6FF8A44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rPr>
          <w:trHeight w:val="402" w:hRule="atLeast"/>
        </w:trPr>
        <w:tc>
          <w:tcPr>
            <w:tcW w:w="770" w:type="dxa"/>
            <w:noWrap/>
            <w:vAlign w:val="center"/>
          </w:tcPr>
          <w:p w14:paraId="62A1D794">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34</w:t>
            </w:r>
          </w:p>
        </w:tc>
        <w:tc>
          <w:tcPr>
            <w:tcW w:w="1548" w:type="dxa"/>
            <w:noWrap/>
            <w:vAlign w:val="center"/>
          </w:tcPr>
          <w:p w14:paraId="4DFDAD1C">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防火型围油栏</w:t>
            </w:r>
          </w:p>
        </w:tc>
        <w:tc>
          <w:tcPr>
            <w:tcW w:w="1475" w:type="dxa"/>
            <w:noWrap/>
            <w:vAlign w:val="center"/>
          </w:tcPr>
          <w:p w14:paraId="2B7284DC">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WGF1300</w:t>
            </w:r>
          </w:p>
        </w:tc>
        <w:tc>
          <w:tcPr>
            <w:tcW w:w="701" w:type="dxa"/>
            <w:noWrap/>
            <w:vAlign w:val="center"/>
          </w:tcPr>
          <w:p w14:paraId="52785538">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米</w:t>
            </w:r>
          </w:p>
        </w:tc>
        <w:tc>
          <w:tcPr>
            <w:tcW w:w="755" w:type="dxa"/>
            <w:noWrap/>
            <w:vAlign w:val="center"/>
          </w:tcPr>
          <w:p w14:paraId="4C74081D">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200</w:t>
            </w:r>
          </w:p>
        </w:tc>
        <w:tc>
          <w:tcPr>
            <w:tcW w:w="1586" w:type="dxa"/>
            <w:noWrap/>
            <w:vAlign w:val="center"/>
          </w:tcPr>
          <w:p w14:paraId="0C87658C">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应急抢险</w:t>
            </w:r>
          </w:p>
        </w:tc>
        <w:tc>
          <w:tcPr>
            <w:tcW w:w="1050" w:type="dxa"/>
            <w:noWrap/>
            <w:vAlign w:val="center"/>
          </w:tcPr>
          <w:p w14:paraId="4D1C2F72">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良好</w:t>
            </w:r>
          </w:p>
        </w:tc>
        <w:tc>
          <w:tcPr>
            <w:tcW w:w="1189" w:type="dxa"/>
            <w:noWrap/>
            <w:vAlign w:val="center"/>
          </w:tcPr>
          <w:p w14:paraId="756D7774">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溢油应急库</w:t>
            </w:r>
          </w:p>
        </w:tc>
      </w:tr>
      <w:tr w14:paraId="2BEDD8A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rPr>
          <w:trHeight w:val="402" w:hRule="atLeast"/>
        </w:trPr>
        <w:tc>
          <w:tcPr>
            <w:tcW w:w="770" w:type="dxa"/>
            <w:noWrap/>
            <w:vAlign w:val="center"/>
          </w:tcPr>
          <w:p w14:paraId="3AC6CB18">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35</w:t>
            </w:r>
          </w:p>
        </w:tc>
        <w:tc>
          <w:tcPr>
            <w:tcW w:w="1548" w:type="dxa"/>
            <w:noWrap/>
            <w:vAlign w:val="center"/>
          </w:tcPr>
          <w:p w14:paraId="091E59A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吸油毡</w:t>
            </w:r>
          </w:p>
        </w:tc>
        <w:tc>
          <w:tcPr>
            <w:tcW w:w="1475" w:type="dxa"/>
            <w:noWrap/>
            <w:vAlign w:val="center"/>
          </w:tcPr>
          <w:p w14:paraId="0E9C014D">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PP-2纤维类</w:t>
            </w:r>
            <w:r>
              <w:rPr>
                <w:rFonts w:hint="eastAsia"/>
                <w:color w:val="000000" w:themeColor="text1"/>
                <w:sz w:val="21"/>
                <w:szCs w:val="21"/>
                <w14:textFill>
                  <w14:solidFill>
                    <w14:schemeClr w14:val="tx1"/>
                  </w14:solidFill>
                </w14:textFill>
              </w:rPr>
              <w:br w:type="textWrapping"/>
            </w:r>
            <w:r>
              <w:rPr>
                <w:rFonts w:hint="eastAsia"/>
                <w:color w:val="000000" w:themeColor="text1"/>
                <w:sz w:val="21"/>
                <w:szCs w:val="21"/>
                <w14:textFill>
                  <w14:solidFill>
                    <w14:schemeClr w14:val="tx1"/>
                  </w14:solidFill>
                </w14:textFill>
              </w:rPr>
              <w:t>XTL-170</w:t>
            </w:r>
          </w:p>
        </w:tc>
        <w:tc>
          <w:tcPr>
            <w:tcW w:w="701" w:type="dxa"/>
            <w:noWrap/>
            <w:vAlign w:val="center"/>
          </w:tcPr>
          <w:p w14:paraId="0D1C4F9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吨</w:t>
            </w:r>
          </w:p>
        </w:tc>
        <w:tc>
          <w:tcPr>
            <w:tcW w:w="755" w:type="dxa"/>
            <w:noWrap/>
            <w:vAlign w:val="center"/>
          </w:tcPr>
          <w:p w14:paraId="77D00AAA">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6</w:t>
            </w:r>
          </w:p>
        </w:tc>
        <w:tc>
          <w:tcPr>
            <w:tcW w:w="1586" w:type="dxa"/>
            <w:noWrap/>
            <w:vAlign w:val="center"/>
          </w:tcPr>
          <w:p w14:paraId="14CA287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应急抢险</w:t>
            </w:r>
          </w:p>
        </w:tc>
        <w:tc>
          <w:tcPr>
            <w:tcW w:w="1050" w:type="dxa"/>
            <w:noWrap/>
            <w:vAlign w:val="center"/>
          </w:tcPr>
          <w:p w14:paraId="50314224">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良好</w:t>
            </w:r>
          </w:p>
        </w:tc>
        <w:tc>
          <w:tcPr>
            <w:tcW w:w="1189" w:type="dxa"/>
            <w:noWrap/>
            <w:vAlign w:val="center"/>
          </w:tcPr>
          <w:p w14:paraId="12BD5A79">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溢油应急库</w:t>
            </w:r>
          </w:p>
        </w:tc>
      </w:tr>
      <w:tr w14:paraId="24920D5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rPr>
          <w:trHeight w:val="402" w:hRule="atLeast"/>
        </w:trPr>
        <w:tc>
          <w:tcPr>
            <w:tcW w:w="770" w:type="dxa"/>
            <w:noWrap/>
            <w:vAlign w:val="center"/>
          </w:tcPr>
          <w:p w14:paraId="6A2F457F">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36</w:t>
            </w:r>
          </w:p>
        </w:tc>
        <w:tc>
          <w:tcPr>
            <w:tcW w:w="1548" w:type="dxa"/>
            <w:noWrap/>
            <w:vAlign w:val="center"/>
          </w:tcPr>
          <w:p w14:paraId="4DC10A10">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溢油分散剂</w:t>
            </w:r>
          </w:p>
        </w:tc>
        <w:tc>
          <w:tcPr>
            <w:tcW w:w="1475" w:type="dxa"/>
            <w:noWrap/>
            <w:vAlign w:val="center"/>
          </w:tcPr>
          <w:p w14:paraId="370657E8">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富肯5号浓缩型</w:t>
            </w:r>
          </w:p>
        </w:tc>
        <w:tc>
          <w:tcPr>
            <w:tcW w:w="701" w:type="dxa"/>
            <w:noWrap/>
            <w:vAlign w:val="center"/>
          </w:tcPr>
          <w:p w14:paraId="1241A0C0">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吨</w:t>
            </w:r>
          </w:p>
        </w:tc>
        <w:tc>
          <w:tcPr>
            <w:tcW w:w="755" w:type="dxa"/>
            <w:noWrap/>
            <w:vAlign w:val="center"/>
          </w:tcPr>
          <w:p w14:paraId="08F125CC">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3.5</w:t>
            </w:r>
          </w:p>
        </w:tc>
        <w:tc>
          <w:tcPr>
            <w:tcW w:w="1586" w:type="dxa"/>
            <w:noWrap/>
            <w:vAlign w:val="center"/>
          </w:tcPr>
          <w:p w14:paraId="0B757018">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洗消</w:t>
            </w:r>
          </w:p>
        </w:tc>
        <w:tc>
          <w:tcPr>
            <w:tcW w:w="1050" w:type="dxa"/>
            <w:noWrap/>
            <w:vAlign w:val="center"/>
          </w:tcPr>
          <w:p w14:paraId="14399817">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良好</w:t>
            </w:r>
          </w:p>
        </w:tc>
        <w:tc>
          <w:tcPr>
            <w:tcW w:w="1189" w:type="dxa"/>
            <w:noWrap/>
            <w:vAlign w:val="center"/>
          </w:tcPr>
          <w:p w14:paraId="46CF2B3C">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溢油应急库</w:t>
            </w:r>
          </w:p>
        </w:tc>
      </w:tr>
      <w:tr w14:paraId="4D9B307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rPr>
          <w:trHeight w:val="402" w:hRule="atLeast"/>
        </w:trPr>
        <w:tc>
          <w:tcPr>
            <w:tcW w:w="770" w:type="dxa"/>
            <w:vMerge w:val="restart"/>
            <w:noWrap/>
            <w:vAlign w:val="center"/>
          </w:tcPr>
          <w:p w14:paraId="7D7711DC">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37</w:t>
            </w:r>
          </w:p>
        </w:tc>
        <w:tc>
          <w:tcPr>
            <w:tcW w:w="1548" w:type="dxa"/>
            <w:vMerge w:val="restart"/>
            <w:noWrap/>
            <w:vAlign w:val="center"/>
          </w:tcPr>
          <w:p w14:paraId="5FAFC9D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轻便储油罐</w:t>
            </w:r>
          </w:p>
        </w:tc>
        <w:tc>
          <w:tcPr>
            <w:tcW w:w="1475" w:type="dxa"/>
            <w:noWrap/>
            <w:vAlign w:val="center"/>
          </w:tcPr>
          <w:p w14:paraId="2C685AB7">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4立方米</w:t>
            </w:r>
          </w:p>
        </w:tc>
        <w:tc>
          <w:tcPr>
            <w:tcW w:w="701" w:type="dxa"/>
            <w:noWrap/>
            <w:vAlign w:val="center"/>
          </w:tcPr>
          <w:p w14:paraId="04164A1F">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个</w:t>
            </w:r>
          </w:p>
        </w:tc>
        <w:tc>
          <w:tcPr>
            <w:tcW w:w="755" w:type="dxa"/>
            <w:noWrap/>
            <w:vAlign w:val="center"/>
          </w:tcPr>
          <w:p w14:paraId="7C053887">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w:t>
            </w:r>
          </w:p>
        </w:tc>
        <w:tc>
          <w:tcPr>
            <w:tcW w:w="1586" w:type="dxa"/>
            <w:noWrap/>
            <w:vAlign w:val="center"/>
          </w:tcPr>
          <w:p w14:paraId="51860353">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应急抢险</w:t>
            </w:r>
          </w:p>
        </w:tc>
        <w:tc>
          <w:tcPr>
            <w:tcW w:w="1050" w:type="dxa"/>
            <w:noWrap/>
            <w:vAlign w:val="center"/>
          </w:tcPr>
          <w:p w14:paraId="0CE4399D">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良好</w:t>
            </w:r>
          </w:p>
        </w:tc>
        <w:tc>
          <w:tcPr>
            <w:tcW w:w="1189" w:type="dxa"/>
            <w:noWrap/>
            <w:vAlign w:val="center"/>
          </w:tcPr>
          <w:p w14:paraId="6A57CBA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溢油应急库</w:t>
            </w:r>
          </w:p>
        </w:tc>
      </w:tr>
      <w:tr w14:paraId="2C7CF90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rPr>
          <w:trHeight w:val="402" w:hRule="atLeast"/>
        </w:trPr>
        <w:tc>
          <w:tcPr>
            <w:tcW w:w="770" w:type="dxa"/>
            <w:vMerge w:val="continue"/>
            <w:noWrap/>
            <w:vAlign w:val="center"/>
          </w:tcPr>
          <w:p w14:paraId="4F9ED21B">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1548" w:type="dxa"/>
            <w:vMerge w:val="continue"/>
            <w:noWrap/>
            <w:vAlign w:val="center"/>
          </w:tcPr>
          <w:p w14:paraId="50FFD31D">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1475" w:type="dxa"/>
            <w:noWrap/>
            <w:vAlign w:val="center"/>
          </w:tcPr>
          <w:p w14:paraId="6478DC7C">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10立方米</w:t>
            </w:r>
          </w:p>
        </w:tc>
        <w:tc>
          <w:tcPr>
            <w:tcW w:w="701" w:type="dxa"/>
            <w:noWrap/>
            <w:vAlign w:val="center"/>
          </w:tcPr>
          <w:p w14:paraId="02AB6CDC">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个</w:t>
            </w:r>
          </w:p>
        </w:tc>
        <w:tc>
          <w:tcPr>
            <w:tcW w:w="755" w:type="dxa"/>
            <w:noWrap/>
            <w:vAlign w:val="center"/>
          </w:tcPr>
          <w:p w14:paraId="17D31AC8">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w:t>
            </w:r>
          </w:p>
        </w:tc>
        <w:tc>
          <w:tcPr>
            <w:tcW w:w="1586" w:type="dxa"/>
            <w:noWrap/>
            <w:vAlign w:val="center"/>
          </w:tcPr>
          <w:p w14:paraId="5B0A616A">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应急抢险</w:t>
            </w:r>
          </w:p>
        </w:tc>
        <w:tc>
          <w:tcPr>
            <w:tcW w:w="1050" w:type="dxa"/>
            <w:noWrap/>
            <w:vAlign w:val="center"/>
          </w:tcPr>
          <w:p w14:paraId="041FDBD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良好</w:t>
            </w:r>
          </w:p>
        </w:tc>
        <w:tc>
          <w:tcPr>
            <w:tcW w:w="1189" w:type="dxa"/>
            <w:noWrap/>
            <w:vAlign w:val="center"/>
          </w:tcPr>
          <w:p w14:paraId="3D89C898">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溢油应急库</w:t>
            </w:r>
          </w:p>
        </w:tc>
      </w:tr>
      <w:tr w14:paraId="472569C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rPr>
          <w:trHeight w:val="402" w:hRule="atLeast"/>
        </w:trPr>
        <w:tc>
          <w:tcPr>
            <w:tcW w:w="770" w:type="dxa"/>
            <w:noWrap/>
            <w:vAlign w:val="center"/>
          </w:tcPr>
          <w:p w14:paraId="016D338E">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38</w:t>
            </w:r>
          </w:p>
        </w:tc>
        <w:tc>
          <w:tcPr>
            <w:tcW w:w="1548" w:type="dxa"/>
            <w:noWrap/>
            <w:vAlign w:val="center"/>
          </w:tcPr>
          <w:p w14:paraId="1081F75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油拖网</w:t>
            </w:r>
          </w:p>
        </w:tc>
        <w:tc>
          <w:tcPr>
            <w:tcW w:w="1475" w:type="dxa"/>
            <w:noWrap/>
            <w:vAlign w:val="center"/>
          </w:tcPr>
          <w:p w14:paraId="7E5146F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6立方</w:t>
            </w:r>
          </w:p>
        </w:tc>
        <w:tc>
          <w:tcPr>
            <w:tcW w:w="701" w:type="dxa"/>
            <w:noWrap/>
            <w:vAlign w:val="center"/>
          </w:tcPr>
          <w:p w14:paraId="30DF6988">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个</w:t>
            </w:r>
          </w:p>
        </w:tc>
        <w:tc>
          <w:tcPr>
            <w:tcW w:w="755" w:type="dxa"/>
            <w:noWrap/>
            <w:vAlign w:val="center"/>
          </w:tcPr>
          <w:p w14:paraId="1EED8CDE">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4</w:t>
            </w:r>
          </w:p>
        </w:tc>
        <w:tc>
          <w:tcPr>
            <w:tcW w:w="1586" w:type="dxa"/>
            <w:noWrap/>
            <w:vAlign w:val="center"/>
          </w:tcPr>
          <w:p w14:paraId="489E8380">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应急抢险</w:t>
            </w:r>
          </w:p>
        </w:tc>
        <w:tc>
          <w:tcPr>
            <w:tcW w:w="1050" w:type="dxa"/>
            <w:noWrap/>
            <w:vAlign w:val="center"/>
          </w:tcPr>
          <w:p w14:paraId="5D22E89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良好</w:t>
            </w:r>
          </w:p>
        </w:tc>
        <w:tc>
          <w:tcPr>
            <w:tcW w:w="1189" w:type="dxa"/>
            <w:noWrap/>
            <w:vAlign w:val="center"/>
          </w:tcPr>
          <w:p w14:paraId="2B8EA44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溢油应急库</w:t>
            </w:r>
          </w:p>
        </w:tc>
      </w:tr>
      <w:tr w14:paraId="2EFE78D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rPr>
          <w:trHeight w:val="402" w:hRule="atLeast"/>
        </w:trPr>
        <w:tc>
          <w:tcPr>
            <w:tcW w:w="770" w:type="dxa"/>
            <w:noWrap/>
            <w:vAlign w:val="center"/>
          </w:tcPr>
          <w:p w14:paraId="4E96D140">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39</w:t>
            </w:r>
          </w:p>
        </w:tc>
        <w:tc>
          <w:tcPr>
            <w:tcW w:w="1548" w:type="dxa"/>
            <w:noWrap/>
            <w:vAlign w:val="center"/>
          </w:tcPr>
          <w:p w14:paraId="5C32630F">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吸油拖栏</w:t>
            </w:r>
          </w:p>
        </w:tc>
        <w:tc>
          <w:tcPr>
            <w:tcW w:w="1475" w:type="dxa"/>
            <w:noWrap/>
            <w:vAlign w:val="center"/>
          </w:tcPr>
          <w:p w14:paraId="11C88A6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XTL200</w:t>
            </w:r>
          </w:p>
        </w:tc>
        <w:tc>
          <w:tcPr>
            <w:tcW w:w="701" w:type="dxa"/>
            <w:noWrap/>
            <w:vAlign w:val="center"/>
          </w:tcPr>
          <w:p w14:paraId="79E5FB2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米</w:t>
            </w:r>
          </w:p>
        </w:tc>
        <w:tc>
          <w:tcPr>
            <w:tcW w:w="755" w:type="dxa"/>
            <w:noWrap/>
            <w:vAlign w:val="center"/>
          </w:tcPr>
          <w:p w14:paraId="5257B6B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400</w:t>
            </w:r>
          </w:p>
        </w:tc>
        <w:tc>
          <w:tcPr>
            <w:tcW w:w="1586" w:type="dxa"/>
            <w:noWrap/>
            <w:vAlign w:val="center"/>
          </w:tcPr>
          <w:p w14:paraId="706C143C">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应急抢险</w:t>
            </w:r>
          </w:p>
        </w:tc>
        <w:tc>
          <w:tcPr>
            <w:tcW w:w="1050" w:type="dxa"/>
            <w:noWrap/>
            <w:vAlign w:val="center"/>
          </w:tcPr>
          <w:p w14:paraId="7C4CCB23">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良好</w:t>
            </w:r>
          </w:p>
        </w:tc>
        <w:tc>
          <w:tcPr>
            <w:tcW w:w="1189" w:type="dxa"/>
            <w:noWrap/>
            <w:vAlign w:val="center"/>
          </w:tcPr>
          <w:p w14:paraId="5F16685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溢油应急库</w:t>
            </w:r>
          </w:p>
        </w:tc>
      </w:tr>
      <w:tr w14:paraId="538F83D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rPr>
          <w:trHeight w:val="402" w:hRule="atLeast"/>
        </w:trPr>
        <w:tc>
          <w:tcPr>
            <w:tcW w:w="770" w:type="dxa"/>
            <w:noWrap/>
            <w:vAlign w:val="center"/>
          </w:tcPr>
          <w:p w14:paraId="38B9CFCD">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40</w:t>
            </w:r>
          </w:p>
        </w:tc>
        <w:tc>
          <w:tcPr>
            <w:tcW w:w="1548" w:type="dxa"/>
            <w:noWrap/>
            <w:vAlign w:val="center"/>
          </w:tcPr>
          <w:p w14:paraId="4084B06D">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自吸式收油机</w:t>
            </w:r>
          </w:p>
        </w:tc>
        <w:tc>
          <w:tcPr>
            <w:tcW w:w="1475" w:type="dxa"/>
            <w:noWrap/>
            <w:vAlign w:val="center"/>
          </w:tcPr>
          <w:p w14:paraId="78D51E8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10立方米/小时</w:t>
            </w:r>
          </w:p>
        </w:tc>
        <w:tc>
          <w:tcPr>
            <w:tcW w:w="701" w:type="dxa"/>
            <w:noWrap/>
            <w:vAlign w:val="center"/>
          </w:tcPr>
          <w:p w14:paraId="0C339A3D">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台</w:t>
            </w:r>
          </w:p>
        </w:tc>
        <w:tc>
          <w:tcPr>
            <w:tcW w:w="755" w:type="dxa"/>
            <w:noWrap/>
            <w:vAlign w:val="center"/>
          </w:tcPr>
          <w:p w14:paraId="209CCBB9">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w:t>
            </w:r>
          </w:p>
        </w:tc>
        <w:tc>
          <w:tcPr>
            <w:tcW w:w="1586" w:type="dxa"/>
            <w:noWrap/>
            <w:vAlign w:val="center"/>
          </w:tcPr>
          <w:p w14:paraId="517619CA">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应急抢险</w:t>
            </w:r>
          </w:p>
        </w:tc>
        <w:tc>
          <w:tcPr>
            <w:tcW w:w="1050" w:type="dxa"/>
            <w:noWrap/>
            <w:vAlign w:val="center"/>
          </w:tcPr>
          <w:p w14:paraId="4902980F">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良好</w:t>
            </w:r>
          </w:p>
        </w:tc>
        <w:tc>
          <w:tcPr>
            <w:tcW w:w="1189" w:type="dxa"/>
            <w:noWrap/>
            <w:vAlign w:val="center"/>
          </w:tcPr>
          <w:p w14:paraId="34598CCD">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溢油应急库</w:t>
            </w:r>
          </w:p>
        </w:tc>
      </w:tr>
      <w:tr w14:paraId="655AF7D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rPr>
          <w:trHeight w:val="402" w:hRule="atLeast"/>
        </w:trPr>
        <w:tc>
          <w:tcPr>
            <w:tcW w:w="770" w:type="dxa"/>
            <w:noWrap/>
            <w:vAlign w:val="center"/>
          </w:tcPr>
          <w:p w14:paraId="54709C8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41</w:t>
            </w:r>
          </w:p>
        </w:tc>
        <w:tc>
          <w:tcPr>
            <w:tcW w:w="1548" w:type="dxa"/>
            <w:noWrap/>
            <w:vAlign w:val="center"/>
          </w:tcPr>
          <w:p w14:paraId="4A81080A">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动态斜面式收油机</w:t>
            </w:r>
          </w:p>
        </w:tc>
        <w:tc>
          <w:tcPr>
            <w:tcW w:w="1475" w:type="dxa"/>
            <w:noWrap/>
            <w:vAlign w:val="center"/>
          </w:tcPr>
          <w:p w14:paraId="7AD47504">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30立方米/小时</w:t>
            </w:r>
          </w:p>
        </w:tc>
        <w:tc>
          <w:tcPr>
            <w:tcW w:w="701" w:type="dxa"/>
            <w:noWrap/>
            <w:vAlign w:val="center"/>
          </w:tcPr>
          <w:p w14:paraId="08FDEAC9">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台</w:t>
            </w:r>
          </w:p>
        </w:tc>
        <w:tc>
          <w:tcPr>
            <w:tcW w:w="755" w:type="dxa"/>
            <w:noWrap/>
            <w:vAlign w:val="center"/>
          </w:tcPr>
          <w:p w14:paraId="3C5E07CA">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w:t>
            </w:r>
          </w:p>
        </w:tc>
        <w:tc>
          <w:tcPr>
            <w:tcW w:w="1586" w:type="dxa"/>
            <w:noWrap/>
            <w:vAlign w:val="center"/>
          </w:tcPr>
          <w:p w14:paraId="77E30BD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应急抢险</w:t>
            </w:r>
          </w:p>
        </w:tc>
        <w:tc>
          <w:tcPr>
            <w:tcW w:w="1050" w:type="dxa"/>
            <w:noWrap/>
            <w:vAlign w:val="center"/>
          </w:tcPr>
          <w:p w14:paraId="5AA3199C">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良好</w:t>
            </w:r>
          </w:p>
        </w:tc>
        <w:tc>
          <w:tcPr>
            <w:tcW w:w="1189" w:type="dxa"/>
            <w:noWrap/>
            <w:vAlign w:val="center"/>
          </w:tcPr>
          <w:p w14:paraId="4EC8D92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溢油应急库</w:t>
            </w:r>
          </w:p>
        </w:tc>
      </w:tr>
      <w:tr w14:paraId="3846FEB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rPr>
          <w:trHeight w:val="402" w:hRule="atLeast"/>
        </w:trPr>
        <w:tc>
          <w:tcPr>
            <w:tcW w:w="770" w:type="dxa"/>
            <w:noWrap/>
            <w:vAlign w:val="center"/>
          </w:tcPr>
          <w:p w14:paraId="766572B7">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42</w:t>
            </w:r>
          </w:p>
        </w:tc>
        <w:tc>
          <w:tcPr>
            <w:tcW w:w="1548" w:type="dxa"/>
            <w:noWrap/>
            <w:vAlign w:val="center"/>
          </w:tcPr>
          <w:p w14:paraId="2A226B0C">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溢油分散剂喷洒装置</w:t>
            </w:r>
          </w:p>
        </w:tc>
        <w:tc>
          <w:tcPr>
            <w:tcW w:w="1475" w:type="dxa"/>
            <w:noWrap/>
            <w:vAlign w:val="center"/>
          </w:tcPr>
          <w:p w14:paraId="286F523C">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40L/min</w:t>
            </w:r>
          </w:p>
        </w:tc>
        <w:tc>
          <w:tcPr>
            <w:tcW w:w="701" w:type="dxa"/>
            <w:noWrap/>
            <w:vAlign w:val="center"/>
          </w:tcPr>
          <w:p w14:paraId="68F3F72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台</w:t>
            </w:r>
          </w:p>
        </w:tc>
        <w:tc>
          <w:tcPr>
            <w:tcW w:w="755" w:type="dxa"/>
            <w:noWrap/>
            <w:vAlign w:val="center"/>
          </w:tcPr>
          <w:p w14:paraId="242B6FBC">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w:t>
            </w:r>
          </w:p>
        </w:tc>
        <w:tc>
          <w:tcPr>
            <w:tcW w:w="1586" w:type="dxa"/>
            <w:noWrap/>
            <w:vAlign w:val="center"/>
          </w:tcPr>
          <w:p w14:paraId="3CE5AD30">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洗消</w:t>
            </w:r>
          </w:p>
        </w:tc>
        <w:tc>
          <w:tcPr>
            <w:tcW w:w="1050" w:type="dxa"/>
            <w:noWrap/>
            <w:vAlign w:val="center"/>
          </w:tcPr>
          <w:p w14:paraId="721D5D6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良好</w:t>
            </w:r>
          </w:p>
        </w:tc>
        <w:tc>
          <w:tcPr>
            <w:tcW w:w="1189" w:type="dxa"/>
            <w:noWrap/>
            <w:vAlign w:val="center"/>
          </w:tcPr>
          <w:p w14:paraId="704182E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溢油应急库</w:t>
            </w:r>
          </w:p>
        </w:tc>
      </w:tr>
      <w:tr w14:paraId="13C8C8D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rPr>
          <w:trHeight w:val="402" w:hRule="atLeast"/>
        </w:trPr>
        <w:tc>
          <w:tcPr>
            <w:tcW w:w="770" w:type="dxa"/>
            <w:noWrap/>
            <w:vAlign w:val="center"/>
          </w:tcPr>
          <w:p w14:paraId="6E0BA18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43</w:t>
            </w:r>
          </w:p>
        </w:tc>
        <w:tc>
          <w:tcPr>
            <w:tcW w:w="1548" w:type="dxa"/>
            <w:noWrap/>
            <w:vAlign w:val="center"/>
          </w:tcPr>
          <w:p w14:paraId="6C3C8387">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清洁装置</w:t>
            </w:r>
          </w:p>
        </w:tc>
        <w:tc>
          <w:tcPr>
            <w:tcW w:w="1475" w:type="dxa"/>
            <w:noWrap/>
            <w:vAlign w:val="center"/>
          </w:tcPr>
          <w:p w14:paraId="0DE38D8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12Mpa</w:t>
            </w:r>
          </w:p>
        </w:tc>
        <w:tc>
          <w:tcPr>
            <w:tcW w:w="701" w:type="dxa"/>
            <w:noWrap/>
            <w:vAlign w:val="center"/>
          </w:tcPr>
          <w:p w14:paraId="5576F763">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台</w:t>
            </w:r>
          </w:p>
        </w:tc>
        <w:tc>
          <w:tcPr>
            <w:tcW w:w="755" w:type="dxa"/>
            <w:noWrap/>
            <w:vAlign w:val="center"/>
          </w:tcPr>
          <w:p w14:paraId="48EDFAAF">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w:t>
            </w:r>
          </w:p>
        </w:tc>
        <w:tc>
          <w:tcPr>
            <w:tcW w:w="1586" w:type="dxa"/>
            <w:noWrap/>
            <w:vAlign w:val="center"/>
          </w:tcPr>
          <w:p w14:paraId="6BB90FC0">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洗消</w:t>
            </w:r>
          </w:p>
        </w:tc>
        <w:tc>
          <w:tcPr>
            <w:tcW w:w="1050" w:type="dxa"/>
            <w:noWrap/>
            <w:vAlign w:val="center"/>
          </w:tcPr>
          <w:p w14:paraId="4829493C">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良好</w:t>
            </w:r>
          </w:p>
        </w:tc>
        <w:tc>
          <w:tcPr>
            <w:tcW w:w="1189" w:type="dxa"/>
            <w:noWrap/>
            <w:vAlign w:val="center"/>
          </w:tcPr>
          <w:p w14:paraId="77BE438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溢油应急库</w:t>
            </w:r>
          </w:p>
        </w:tc>
      </w:tr>
      <w:tr w14:paraId="0FFD023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rPr>
          <w:trHeight w:val="402" w:hRule="atLeast"/>
        </w:trPr>
        <w:tc>
          <w:tcPr>
            <w:tcW w:w="770" w:type="dxa"/>
            <w:noWrap/>
            <w:vAlign w:val="center"/>
          </w:tcPr>
          <w:p w14:paraId="04EDD01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44</w:t>
            </w:r>
          </w:p>
        </w:tc>
        <w:tc>
          <w:tcPr>
            <w:tcW w:w="1548" w:type="dxa"/>
            <w:noWrap/>
            <w:vAlign w:val="center"/>
          </w:tcPr>
          <w:p w14:paraId="6835EF58">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防火作战服</w:t>
            </w:r>
          </w:p>
        </w:tc>
        <w:tc>
          <w:tcPr>
            <w:tcW w:w="1475" w:type="dxa"/>
            <w:noWrap/>
            <w:vAlign w:val="center"/>
          </w:tcPr>
          <w:p w14:paraId="6761AB98">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701" w:type="dxa"/>
            <w:noWrap/>
            <w:vAlign w:val="center"/>
          </w:tcPr>
          <w:p w14:paraId="63DB1C23">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套</w:t>
            </w:r>
          </w:p>
        </w:tc>
        <w:tc>
          <w:tcPr>
            <w:tcW w:w="755" w:type="dxa"/>
            <w:noWrap/>
            <w:vAlign w:val="center"/>
          </w:tcPr>
          <w:p w14:paraId="33AD6AB3">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w:t>
            </w:r>
          </w:p>
        </w:tc>
        <w:tc>
          <w:tcPr>
            <w:tcW w:w="1586" w:type="dxa"/>
            <w:noWrap/>
            <w:vAlign w:val="center"/>
          </w:tcPr>
          <w:p w14:paraId="0866537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消防灭火</w:t>
            </w:r>
          </w:p>
        </w:tc>
        <w:tc>
          <w:tcPr>
            <w:tcW w:w="1050" w:type="dxa"/>
            <w:noWrap/>
            <w:vAlign w:val="center"/>
          </w:tcPr>
          <w:p w14:paraId="34FE4C1D">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良好</w:t>
            </w:r>
          </w:p>
        </w:tc>
        <w:tc>
          <w:tcPr>
            <w:tcW w:w="1189" w:type="dxa"/>
            <w:noWrap/>
            <w:vAlign w:val="center"/>
          </w:tcPr>
          <w:p w14:paraId="7A28261D">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铁路值班室</w:t>
            </w:r>
          </w:p>
        </w:tc>
      </w:tr>
      <w:tr w14:paraId="6B60135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rPr>
          <w:trHeight w:val="402" w:hRule="atLeast"/>
        </w:trPr>
        <w:tc>
          <w:tcPr>
            <w:tcW w:w="770" w:type="dxa"/>
            <w:noWrap/>
            <w:vAlign w:val="center"/>
          </w:tcPr>
          <w:p w14:paraId="56CD298A">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45</w:t>
            </w:r>
          </w:p>
        </w:tc>
        <w:tc>
          <w:tcPr>
            <w:tcW w:w="1548" w:type="dxa"/>
            <w:noWrap/>
            <w:vAlign w:val="center"/>
          </w:tcPr>
          <w:p w14:paraId="12635AEC">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耐油靴</w:t>
            </w:r>
          </w:p>
        </w:tc>
        <w:tc>
          <w:tcPr>
            <w:tcW w:w="1475" w:type="dxa"/>
            <w:noWrap/>
            <w:vAlign w:val="center"/>
          </w:tcPr>
          <w:p w14:paraId="3DE7693A">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701" w:type="dxa"/>
            <w:noWrap/>
            <w:vAlign w:val="center"/>
          </w:tcPr>
          <w:p w14:paraId="02DD303A">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双</w:t>
            </w:r>
          </w:p>
        </w:tc>
        <w:tc>
          <w:tcPr>
            <w:tcW w:w="755" w:type="dxa"/>
            <w:noWrap/>
            <w:vAlign w:val="center"/>
          </w:tcPr>
          <w:p w14:paraId="17D9F4D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5</w:t>
            </w:r>
          </w:p>
        </w:tc>
        <w:tc>
          <w:tcPr>
            <w:tcW w:w="1586" w:type="dxa"/>
            <w:noWrap/>
            <w:vAlign w:val="center"/>
          </w:tcPr>
          <w:p w14:paraId="05E3190F">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消防灭火</w:t>
            </w:r>
          </w:p>
        </w:tc>
        <w:tc>
          <w:tcPr>
            <w:tcW w:w="1050" w:type="dxa"/>
            <w:noWrap/>
            <w:vAlign w:val="center"/>
          </w:tcPr>
          <w:p w14:paraId="702EECF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良好</w:t>
            </w:r>
          </w:p>
        </w:tc>
        <w:tc>
          <w:tcPr>
            <w:tcW w:w="1189" w:type="dxa"/>
            <w:noWrap/>
            <w:vAlign w:val="center"/>
          </w:tcPr>
          <w:p w14:paraId="34B1814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铁路值班室</w:t>
            </w:r>
          </w:p>
        </w:tc>
      </w:tr>
      <w:tr w14:paraId="70C6265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rPr>
          <w:trHeight w:val="402" w:hRule="atLeast"/>
        </w:trPr>
        <w:tc>
          <w:tcPr>
            <w:tcW w:w="770" w:type="dxa"/>
            <w:noWrap/>
            <w:vAlign w:val="center"/>
          </w:tcPr>
          <w:p w14:paraId="577B9A7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46</w:t>
            </w:r>
          </w:p>
        </w:tc>
        <w:tc>
          <w:tcPr>
            <w:tcW w:w="1548" w:type="dxa"/>
            <w:noWrap/>
            <w:vAlign w:val="center"/>
          </w:tcPr>
          <w:p w14:paraId="2C5EB59A">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防毒面具</w:t>
            </w:r>
          </w:p>
        </w:tc>
        <w:tc>
          <w:tcPr>
            <w:tcW w:w="1475" w:type="dxa"/>
            <w:noWrap/>
            <w:vAlign w:val="center"/>
          </w:tcPr>
          <w:p w14:paraId="75B4CE73">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701" w:type="dxa"/>
            <w:noWrap/>
            <w:vAlign w:val="center"/>
          </w:tcPr>
          <w:p w14:paraId="7B71EEC2">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套</w:t>
            </w:r>
          </w:p>
        </w:tc>
        <w:tc>
          <w:tcPr>
            <w:tcW w:w="755" w:type="dxa"/>
            <w:noWrap/>
            <w:vAlign w:val="center"/>
          </w:tcPr>
          <w:p w14:paraId="34765D7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5</w:t>
            </w:r>
          </w:p>
        </w:tc>
        <w:tc>
          <w:tcPr>
            <w:tcW w:w="1586" w:type="dxa"/>
            <w:noWrap/>
            <w:vAlign w:val="center"/>
          </w:tcPr>
          <w:p w14:paraId="2010E1CF">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个人防护</w:t>
            </w:r>
          </w:p>
        </w:tc>
        <w:tc>
          <w:tcPr>
            <w:tcW w:w="1050" w:type="dxa"/>
            <w:noWrap/>
            <w:vAlign w:val="center"/>
          </w:tcPr>
          <w:p w14:paraId="12C2514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良好</w:t>
            </w:r>
          </w:p>
        </w:tc>
        <w:tc>
          <w:tcPr>
            <w:tcW w:w="1189" w:type="dxa"/>
            <w:noWrap/>
            <w:vAlign w:val="center"/>
          </w:tcPr>
          <w:p w14:paraId="2CAD490E">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铁路值班室</w:t>
            </w:r>
          </w:p>
        </w:tc>
      </w:tr>
      <w:tr w14:paraId="1DA983A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rPr>
          <w:trHeight w:val="402" w:hRule="atLeast"/>
        </w:trPr>
        <w:tc>
          <w:tcPr>
            <w:tcW w:w="770" w:type="dxa"/>
            <w:noWrap/>
            <w:vAlign w:val="center"/>
          </w:tcPr>
          <w:p w14:paraId="15176C3C">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47</w:t>
            </w:r>
          </w:p>
        </w:tc>
        <w:tc>
          <w:tcPr>
            <w:tcW w:w="1548" w:type="dxa"/>
            <w:noWrap/>
            <w:vAlign w:val="center"/>
          </w:tcPr>
          <w:p w14:paraId="7B615C57">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护目镜</w:t>
            </w:r>
          </w:p>
        </w:tc>
        <w:tc>
          <w:tcPr>
            <w:tcW w:w="1475" w:type="dxa"/>
            <w:noWrap/>
            <w:vAlign w:val="center"/>
          </w:tcPr>
          <w:p w14:paraId="7C01FEC8">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701" w:type="dxa"/>
            <w:noWrap/>
            <w:vAlign w:val="center"/>
          </w:tcPr>
          <w:p w14:paraId="11ECDFA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副</w:t>
            </w:r>
          </w:p>
        </w:tc>
        <w:tc>
          <w:tcPr>
            <w:tcW w:w="755" w:type="dxa"/>
            <w:noWrap/>
            <w:vAlign w:val="center"/>
          </w:tcPr>
          <w:p w14:paraId="1A34B11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5</w:t>
            </w:r>
          </w:p>
        </w:tc>
        <w:tc>
          <w:tcPr>
            <w:tcW w:w="1586" w:type="dxa"/>
            <w:noWrap/>
            <w:vAlign w:val="center"/>
          </w:tcPr>
          <w:p w14:paraId="2BFCC8E9">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个人防护</w:t>
            </w:r>
          </w:p>
        </w:tc>
        <w:tc>
          <w:tcPr>
            <w:tcW w:w="1050" w:type="dxa"/>
            <w:noWrap/>
            <w:vAlign w:val="center"/>
          </w:tcPr>
          <w:p w14:paraId="4A37BF6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良好</w:t>
            </w:r>
          </w:p>
        </w:tc>
        <w:tc>
          <w:tcPr>
            <w:tcW w:w="1189" w:type="dxa"/>
            <w:noWrap/>
            <w:vAlign w:val="center"/>
          </w:tcPr>
          <w:p w14:paraId="62DDA088">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铁路值班室</w:t>
            </w:r>
          </w:p>
        </w:tc>
      </w:tr>
      <w:tr w14:paraId="309F7B8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rPr>
          <w:trHeight w:val="402" w:hRule="atLeast"/>
        </w:trPr>
        <w:tc>
          <w:tcPr>
            <w:tcW w:w="770" w:type="dxa"/>
            <w:noWrap/>
            <w:vAlign w:val="center"/>
          </w:tcPr>
          <w:p w14:paraId="3BEED294">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48</w:t>
            </w:r>
          </w:p>
        </w:tc>
        <w:tc>
          <w:tcPr>
            <w:tcW w:w="1548" w:type="dxa"/>
            <w:noWrap/>
            <w:vAlign w:val="center"/>
          </w:tcPr>
          <w:p w14:paraId="76EBE94F">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正压式空气呼吸器</w:t>
            </w:r>
          </w:p>
        </w:tc>
        <w:tc>
          <w:tcPr>
            <w:tcW w:w="1475" w:type="dxa"/>
            <w:noWrap/>
            <w:vAlign w:val="center"/>
          </w:tcPr>
          <w:p w14:paraId="3707328F">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凯瑞达RHZK系列</w:t>
            </w:r>
          </w:p>
        </w:tc>
        <w:tc>
          <w:tcPr>
            <w:tcW w:w="701" w:type="dxa"/>
            <w:noWrap/>
            <w:vAlign w:val="center"/>
          </w:tcPr>
          <w:p w14:paraId="54D7CE9A">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套</w:t>
            </w:r>
          </w:p>
        </w:tc>
        <w:tc>
          <w:tcPr>
            <w:tcW w:w="755" w:type="dxa"/>
            <w:noWrap/>
            <w:vAlign w:val="center"/>
          </w:tcPr>
          <w:p w14:paraId="34A5BDCF">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w:t>
            </w:r>
          </w:p>
        </w:tc>
        <w:tc>
          <w:tcPr>
            <w:tcW w:w="1586" w:type="dxa"/>
            <w:noWrap/>
            <w:vAlign w:val="center"/>
          </w:tcPr>
          <w:p w14:paraId="1209132F">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个人防护</w:t>
            </w:r>
          </w:p>
        </w:tc>
        <w:tc>
          <w:tcPr>
            <w:tcW w:w="1050" w:type="dxa"/>
            <w:noWrap/>
            <w:vAlign w:val="center"/>
          </w:tcPr>
          <w:p w14:paraId="18BABE0D">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良好</w:t>
            </w:r>
          </w:p>
        </w:tc>
        <w:tc>
          <w:tcPr>
            <w:tcW w:w="1189" w:type="dxa"/>
            <w:noWrap/>
            <w:vAlign w:val="center"/>
          </w:tcPr>
          <w:p w14:paraId="49BC3C5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铁路值班室</w:t>
            </w:r>
          </w:p>
        </w:tc>
      </w:tr>
      <w:tr w14:paraId="3322A5A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rPr>
          <w:trHeight w:val="402" w:hRule="atLeast"/>
        </w:trPr>
        <w:tc>
          <w:tcPr>
            <w:tcW w:w="770" w:type="dxa"/>
            <w:noWrap/>
            <w:vAlign w:val="center"/>
          </w:tcPr>
          <w:p w14:paraId="0DDBE4B7">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49</w:t>
            </w:r>
          </w:p>
        </w:tc>
        <w:tc>
          <w:tcPr>
            <w:tcW w:w="1548" w:type="dxa"/>
            <w:noWrap/>
            <w:vAlign w:val="center"/>
          </w:tcPr>
          <w:p w14:paraId="63B0CC6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消防水带</w:t>
            </w:r>
          </w:p>
        </w:tc>
        <w:tc>
          <w:tcPr>
            <w:tcW w:w="1475" w:type="dxa"/>
            <w:noWrap/>
            <w:vAlign w:val="center"/>
          </w:tcPr>
          <w:p w14:paraId="54BAEC82">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DN65-PN16-20M</w:t>
            </w:r>
          </w:p>
        </w:tc>
        <w:tc>
          <w:tcPr>
            <w:tcW w:w="701" w:type="dxa"/>
            <w:noWrap/>
            <w:vAlign w:val="center"/>
          </w:tcPr>
          <w:p w14:paraId="32D04759">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条</w:t>
            </w:r>
          </w:p>
        </w:tc>
        <w:tc>
          <w:tcPr>
            <w:tcW w:w="755" w:type="dxa"/>
            <w:noWrap/>
            <w:vAlign w:val="center"/>
          </w:tcPr>
          <w:p w14:paraId="0E4EA56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w:t>
            </w:r>
          </w:p>
        </w:tc>
        <w:tc>
          <w:tcPr>
            <w:tcW w:w="1586" w:type="dxa"/>
            <w:noWrap/>
            <w:vAlign w:val="center"/>
          </w:tcPr>
          <w:p w14:paraId="7C283FF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消防灭火</w:t>
            </w:r>
          </w:p>
        </w:tc>
        <w:tc>
          <w:tcPr>
            <w:tcW w:w="1050" w:type="dxa"/>
            <w:noWrap/>
            <w:vAlign w:val="center"/>
          </w:tcPr>
          <w:p w14:paraId="5A98698D">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良好</w:t>
            </w:r>
          </w:p>
        </w:tc>
        <w:tc>
          <w:tcPr>
            <w:tcW w:w="1189" w:type="dxa"/>
            <w:noWrap/>
            <w:vAlign w:val="center"/>
          </w:tcPr>
          <w:p w14:paraId="32F584E2">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铁路值班室</w:t>
            </w:r>
          </w:p>
        </w:tc>
      </w:tr>
      <w:tr w14:paraId="73DFE4D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rPr>
          <w:trHeight w:val="402" w:hRule="atLeast"/>
        </w:trPr>
        <w:tc>
          <w:tcPr>
            <w:tcW w:w="770" w:type="dxa"/>
            <w:noWrap/>
            <w:vAlign w:val="center"/>
          </w:tcPr>
          <w:p w14:paraId="7029AC6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50</w:t>
            </w:r>
          </w:p>
        </w:tc>
        <w:tc>
          <w:tcPr>
            <w:tcW w:w="1548" w:type="dxa"/>
            <w:noWrap/>
            <w:vAlign w:val="center"/>
          </w:tcPr>
          <w:p w14:paraId="4CF15B2D">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消防枪头</w:t>
            </w:r>
          </w:p>
        </w:tc>
        <w:tc>
          <w:tcPr>
            <w:tcW w:w="1475" w:type="dxa"/>
            <w:noWrap/>
            <w:vAlign w:val="center"/>
          </w:tcPr>
          <w:p w14:paraId="3E6CA302">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直流/喷雾两用</w:t>
            </w:r>
          </w:p>
        </w:tc>
        <w:tc>
          <w:tcPr>
            <w:tcW w:w="701" w:type="dxa"/>
            <w:noWrap/>
            <w:vAlign w:val="center"/>
          </w:tcPr>
          <w:p w14:paraId="4EDDF190">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支</w:t>
            </w:r>
          </w:p>
        </w:tc>
        <w:tc>
          <w:tcPr>
            <w:tcW w:w="755" w:type="dxa"/>
            <w:noWrap/>
            <w:vAlign w:val="center"/>
          </w:tcPr>
          <w:p w14:paraId="431BE1FE">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w:t>
            </w:r>
          </w:p>
        </w:tc>
        <w:tc>
          <w:tcPr>
            <w:tcW w:w="1586" w:type="dxa"/>
            <w:noWrap/>
            <w:vAlign w:val="center"/>
          </w:tcPr>
          <w:p w14:paraId="25663137">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消防灭火</w:t>
            </w:r>
          </w:p>
        </w:tc>
        <w:tc>
          <w:tcPr>
            <w:tcW w:w="1050" w:type="dxa"/>
            <w:noWrap/>
            <w:vAlign w:val="center"/>
          </w:tcPr>
          <w:p w14:paraId="47E8401A">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良好</w:t>
            </w:r>
          </w:p>
        </w:tc>
        <w:tc>
          <w:tcPr>
            <w:tcW w:w="1189" w:type="dxa"/>
            <w:noWrap/>
            <w:vAlign w:val="center"/>
          </w:tcPr>
          <w:p w14:paraId="388463DC">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铁路值班室</w:t>
            </w:r>
          </w:p>
        </w:tc>
      </w:tr>
      <w:tr w14:paraId="7256541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rPr>
          <w:trHeight w:val="402" w:hRule="atLeast"/>
        </w:trPr>
        <w:tc>
          <w:tcPr>
            <w:tcW w:w="770" w:type="dxa"/>
            <w:noWrap/>
            <w:vAlign w:val="center"/>
          </w:tcPr>
          <w:p w14:paraId="6C3023B9">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51</w:t>
            </w:r>
          </w:p>
        </w:tc>
        <w:tc>
          <w:tcPr>
            <w:tcW w:w="1548" w:type="dxa"/>
            <w:noWrap/>
            <w:vAlign w:val="center"/>
          </w:tcPr>
          <w:p w14:paraId="3E2F7F8D">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灭火毯</w:t>
            </w:r>
          </w:p>
        </w:tc>
        <w:tc>
          <w:tcPr>
            <w:tcW w:w="1475" w:type="dxa"/>
            <w:noWrap/>
            <w:vAlign w:val="center"/>
          </w:tcPr>
          <w:p w14:paraId="739BF5BC">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1*1米</w:t>
            </w:r>
          </w:p>
        </w:tc>
        <w:tc>
          <w:tcPr>
            <w:tcW w:w="701" w:type="dxa"/>
            <w:noWrap/>
            <w:vAlign w:val="center"/>
          </w:tcPr>
          <w:p w14:paraId="575B39ED">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张</w:t>
            </w:r>
          </w:p>
        </w:tc>
        <w:tc>
          <w:tcPr>
            <w:tcW w:w="755" w:type="dxa"/>
            <w:noWrap/>
            <w:vAlign w:val="center"/>
          </w:tcPr>
          <w:p w14:paraId="61526AFD">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5</w:t>
            </w:r>
          </w:p>
        </w:tc>
        <w:tc>
          <w:tcPr>
            <w:tcW w:w="1586" w:type="dxa"/>
            <w:noWrap/>
            <w:vAlign w:val="center"/>
          </w:tcPr>
          <w:p w14:paraId="5B6A7FA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消防灭火</w:t>
            </w:r>
          </w:p>
        </w:tc>
        <w:tc>
          <w:tcPr>
            <w:tcW w:w="1050" w:type="dxa"/>
            <w:noWrap/>
            <w:vAlign w:val="center"/>
          </w:tcPr>
          <w:p w14:paraId="1C754E5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良好</w:t>
            </w:r>
          </w:p>
        </w:tc>
        <w:tc>
          <w:tcPr>
            <w:tcW w:w="1189" w:type="dxa"/>
            <w:noWrap/>
            <w:vAlign w:val="center"/>
          </w:tcPr>
          <w:p w14:paraId="4E9E981A">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铁路值班室</w:t>
            </w:r>
          </w:p>
        </w:tc>
      </w:tr>
      <w:tr w14:paraId="2B7545A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rPr>
          <w:trHeight w:val="402" w:hRule="atLeast"/>
        </w:trPr>
        <w:tc>
          <w:tcPr>
            <w:tcW w:w="770" w:type="dxa"/>
            <w:noWrap/>
            <w:vAlign w:val="center"/>
          </w:tcPr>
          <w:p w14:paraId="7A1BA60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52</w:t>
            </w:r>
          </w:p>
        </w:tc>
        <w:tc>
          <w:tcPr>
            <w:tcW w:w="1548" w:type="dxa"/>
            <w:noWrap/>
            <w:vAlign w:val="center"/>
          </w:tcPr>
          <w:p w14:paraId="1A7A13A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吸油毡</w:t>
            </w:r>
          </w:p>
        </w:tc>
        <w:tc>
          <w:tcPr>
            <w:tcW w:w="1475" w:type="dxa"/>
            <w:noWrap/>
            <w:vAlign w:val="center"/>
          </w:tcPr>
          <w:p w14:paraId="65F1BAF9">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PP-2纤维类</w:t>
            </w:r>
            <w:r>
              <w:rPr>
                <w:rFonts w:hint="eastAsia"/>
                <w:color w:val="000000" w:themeColor="text1"/>
                <w:sz w:val="21"/>
                <w:szCs w:val="21"/>
                <w14:textFill>
                  <w14:solidFill>
                    <w14:schemeClr w14:val="tx1"/>
                  </w14:solidFill>
                </w14:textFill>
              </w:rPr>
              <w:br w:type="textWrapping"/>
            </w:r>
            <w:r>
              <w:rPr>
                <w:rFonts w:hint="eastAsia"/>
                <w:color w:val="000000" w:themeColor="text1"/>
                <w:sz w:val="21"/>
                <w:szCs w:val="21"/>
                <w14:textFill>
                  <w14:solidFill>
                    <w14:schemeClr w14:val="tx1"/>
                  </w14:solidFill>
                </w14:textFill>
              </w:rPr>
              <w:t>XTL-170</w:t>
            </w:r>
          </w:p>
        </w:tc>
        <w:tc>
          <w:tcPr>
            <w:tcW w:w="701" w:type="dxa"/>
            <w:noWrap/>
            <w:vAlign w:val="center"/>
          </w:tcPr>
          <w:p w14:paraId="158EAE8F">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KG</w:t>
            </w:r>
          </w:p>
        </w:tc>
        <w:tc>
          <w:tcPr>
            <w:tcW w:w="755" w:type="dxa"/>
            <w:noWrap/>
            <w:vAlign w:val="center"/>
          </w:tcPr>
          <w:p w14:paraId="791C045D">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20</w:t>
            </w:r>
          </w:p>
        </w:tc>
        <w:tc>
          <w:tcPr>
            <w:tcW w:w="1586" w:type="dxa"/>
            <w:noWrap/>
            <w:vAlign w:val="center"/>
          </w:tcPr>
          <w:p w14:paraId="33780442">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消防灭火</w:t>
            </w:r>
          </w:p>
        </w:tc>
        <w:tc>
          <w:tcPr>
            <w:tcW w:w="1050" w:type="dxa"/>
            <w:noWrap/>
            <w:vAlign w:val="center"/>
          </w:tcPr>
          <w:p w14:paraId="28F433DA">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良好</w:t>
            </w:r>
          </w:p>
        </w:tc>
        <w:tc>
          <w:tcPr>
            <w:tcW w:w="1189" w:type="dxa"/>
            <w:noWrap/>
            <w:vAlign w:val="center"/>
          </w:tcPr>
          <w:p w14:paraId="637A82D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铁路值班室</w:t>
            </w:r>
          </w:p>
        </w:tc>
      </w:tr>
      <w:tr w14:paraId="27FE65A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rPr>
          <w:trHeight w:val="402" w:hRule="atLeast"/>
        </w:trPr>
        <w:tc>
          <w:tcPr>
            <w:tcW w:w="770" w:type="dxa"/>
            <w:noWrap/>
            <w:vAlign w:val="center"/>
          </w:tcPr>
          <w:p w14:paraId="1E58CF9D">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53</w:t>
            </w:r>
          </w:p>
        </w:tc>
        <w:tc>
          <w:tcPr>
            <w:tcW w:w="1548" w:type="dxa"/>
            <w:noWrap/>
            <w:vAlign w:val="center"/>
          </w:tcPr>
          <w:p w14:paraId="1630E45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应急铲</w:t>
            </w:r>
          </w:p>
        </w:tc>
        <w:tc>
          <w:tcPr>
            <w:tcW w:w="1475" w:type="dxa"/>
            <w:noWrap/>
            <w:vAlign w:val="center"/>
          </w:tcPr>
          <w:p w14:paraId="17E7E2EF">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701" w:type="dxa"/>
            <w:noWrap/>
            <w:vAlign w:val="center"/>
          </w:tcPr>
          <w:p w14:paraId="35060B94">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把</w:t>
            </w:r>
          </w:p>
        </w:tc>
        <w:tc>
          <w:tcPr>
            <w:tcW w:w="755" w:type="dxa"/>
            <w:noWrap/>
            <w:vAlign w:val="center"/>
          </w:tcPr>
          <w:p w14:paraId="5CA47183">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w:t>
            </w:r>
          </w:p>
        </w:tc>
        <w:tc>
          <w:tcPr>
            <w:tcW w:w="1586" w:type="dxa"/>
            <w:noWrap/>
            <w:vAlign w:val="center"/>
          </w:tcPr>
          <w:p w14:paraId="6CD32BA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应急抢险</w:t>
            </w:r>
          </w:p>
        </w:tc>
        <w:tc>
          <w:tcPr>
            <w:tcW w:w="1050" w:type="dxa"/>
            <w:noWrap/>
            <w:vAlign w:val="center"/>
          </w:tcPr>
          <w:p w14:paraId="33D87D13">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良好</w:t>
            </w:r>
          </w:p>
        </w:tc>
        <w:tc>
          <w:tcPr>
            <w:tcW w:w="1189" w:type="dxa"/>
            <w:noWrap/>
            <w:vAlign w:val="center"/>
          </w:tcPr>
          <w:p w14:paraId="3185A97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铁路值班室</w:t>
            </w:r>
          </w:p>
        </w:tc>
      </w:tr>
      <w:tr w14:paraId="2ADCDF5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rPr>
          <w:trHeight w:val="402" w:hRule="atLeast"/>
        </w:trPr>
        <w:tc>
          <w:tcPr>
            <w:tcW w:w="770" w:type="dxa"/>
            <w:noWrap/>
            <w:vAlign w:val="center"/>
          </w:tcPr>
          <w:p w14:paraId="18BE1F08">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54</w:t>
            </w:r>
          </w:p>
        </w:tc>
        <w:tc>
          <w:tcPr>
            <w:tcW w:w="1548" w:type="dxa"/>
            <w:noWrap/>
            <w:vAlign w:val="center"/>
          </w:tcPr>
          <w:p w14:paraId="67915254">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应急桶</w:t>
            </w:r>
          </w:p>
        </w:tc>
        <w:tc>
          <w:tcPr>
            <w:tcW w:w="1475" w:type="dxa"/>
            <w:noWrap/>
            <w:vAlign w:val="center"/>
          </w:tcPr>
          <w:p w14:paraId="731AA430">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701" w:type="dxa"/>
            <w:noWrap/>
            <w:vAlign w:val="center"/>
          </w:tcPr>
          <w:p w14:paraId="656E473D">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个</w:t>
            </w:r>
          </w:p>
        </w:tc>
        <w:tc>
          <w:tcPr>
            <w:tcW w:w="755" w:type="dxa"/>
            <w:noWrap/>
            <w:vAlign w:val="center"/>
          </w:tcPr>
          <w:p w14:paraId="3682DB8C">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w:t>
            </w:r>
          </w:p>
        </w:tc>
        <w:tc>
          <w:tcPr>
            <w:tcW w:w="1586" w:type="dxa"/>
            <w:noWrap/>
            <w:vAlign w:val="center"/>
          </w:tcPr>
          <w:p w14:paraId="514BE70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应急抢险</w:t>
            </w:r>
          </w:p>
        </w:tc>
        <w:tc>
          <w:tcPr>
            <w:tcW w:w="1050" w:type="dxa"/>
            <w:noWrap/>
            <w:vAlign w:val="center"/>
          </w:tcPr>
          <w:p w14:paraId="38DE6462">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良好</w:t>
            </w:r>
          </w:p>
        </w:tc>
        <w:tc>
          <w:tcPr>
            <w:tcW w:w="1189" w:type="dxa"/>
            <w:noWrap/>
            <w:vAlign w:val="center"/>
          </w:tcPr>
          <w:p w14:paraId="13515133">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铁路值班室</w:t>
            </w:r>
          </w:p>
        </w:tc>
      </w:tr>
      <w:tr w14:paraId="7847BFB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rPr>
          <w:trHeight w:val="402" w:hRule="atLeast"/>
        </w:trPr>
        <w:tc>
          <w:tcPr>
            <w:tcW w:w="770" w:type="dxa"/>
            <w:noWrap/>
            <w:vAlign w:val="center"/>
          </w:tcPr>
          <w:p w14:paraId="00B8E37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55</w:t>
            </w:r>
          </w:p>
        </w:tc>
        <w:tc>
          <w:tcPr>
            <w:tcW w:w="1548" w:type="dxa"/>
            <w:noWrap/>
            <w:vAlign w:val="center"/>
          </w:tcPr>
          <w:p w14:paraId="6E143093">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铜制防爆工具</w:t>
            </w:r>
          </w:p>
        </w:tc>
        <w:tc>
          <w:tcPr>
            <w:tcW w:w="1475" w:type="dxa"/>
            <w:noWrap/>
            <w:vAlign w:val="center"/>
          </w:tcPr>
          <w:p w14:paraId="54AFD86C">
            <w:pPr>
              <w:adjustRightInd w:val="0"/>
              <w:snapToGrid w:val="0"/>
              <w:spacing w:line="240" w:lineRule="auto"/>
              <w:ind w:firstLine="0" w:firstLineChars="0"/>
              <w:jc w:val="center"/>
              <w:rPr>
                <w:color w:val="000000" w:themeColor="text1"/>
                <w:sz w:val="21"/>
                <w:szCs w:val="21"/>
                <w14:textFill>
                  <w14:solidFill>
                    <w14:schemeClr w14:val="tx1"/>
                  </w14:solidFill>
                </w14:textFill>
              </w:rPr>
            </w:pPr>
          </w:p>
        </w:tc>
        <w:tc>
          <w:tcPr>
            <w:tcW w:w="701" w:type="dxa"/>
            <w:noWrap/>
            <w:vAlign w:val="center"/>
          </w:tcPr>
          <w:p w14:paraId="18412DA7">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套</w:t>
            </w:r>
          </w:p>
        </w:tc>
        <w:tc>
          <w:tcPr>
            <w:tcW w:w="755" w:type="dxa"/>
            <w:noWrap/>
            <w:vAlign w:val="center"/>
          </w:tcPr>
          <w:p w14:paraId="35EE5B7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w:t>
            </w:r>
          </w:p>
        </w:tc>
        <w:tc>
          <w:tcPr>
            <w:tcW w:w="1586" w:type="dxa"/>
            <w:noWrap/>
            <w:vAlign w:val="center"/>
          </w:tcPr>
          <w:p w14:paraId="65CA7D7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应急抢险</w:t>
            </w:r>
          </w:p>
        </w:tc>
        <w:tc>
          <w:tcPr>
            <w:tcW w:w="1050" w:type="dxa"/>
            <w:noWrap/>
            <w:vAlign w:val="center"/>
          </w:tcPr>
          <w:p w14:paraId="49A0D4E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良好</w:t>
            </w:r>
          </w:p>
        </w:tc>
        <w:tc>
          <w:tcPr>
            <w:tcW w:w="1189" w:type="dxa"/>
            <w:noWrap/>
            <w:vAlign w:val="center"/>
          </w:tcPr>
          <w:p w14:paraId="305DB567">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铁路值班室</w:t>
            </w:r>
          </w:p>
        </w:tc>
      </w:tr>
    </w:tbl>
    <w:p w14:paraId="0B84CD3B">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（3）广西华谊能源化工有限公司</w:t>
      </w:r>
    </w:p>
    <w:p w14:paraId="5A55B6C9">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广西华临码头有限公司消防安全主要依托华谊消防站，华谊消防站消防车辆具体</w:t>
      </w:r>
      <w:r>
        <w:rPr>
          <w:color w:val="000000" w:themeColor="text1"/>
          <w14:textFill>
            <w14:solidFill>
              <w14:schemeClr w14:val="tx1"/>
            </w14:solidFill>
          </w14:textFill>
        </w:rPr>
        <w:t>参数如</w:t>
      </w:r>
      <w:r>
        <w:rPr>
          <w:rFonts w:hint="eastAsia"/>
          <w:color w:val="000000" w:themeColor="text1"/>
          <w14:textFill>
            <w14:solidFill>
              <w14:schemeClr w14:val="tx1"/>
            </w14:solidFill>
          </w14:textFill>
        </w:rPr>
        <w:t>表5.7-7所示。</w:t>
      </w:r>
    </w:p>
    <w:p w14:paraId="420E796F">
      <w:pPr>
        <w:pStyle w:val="7"/>
        <w:rPr>
          <w:color w:val="000000" w:themeColor="text1"/>
          <w14:textFill>
            <w14:solidFill>
              <w14:schemeClr w14:val="tx1"/>
            </w14:solidFill>
          </w14:textFill>
        </w:rPr>
      </w:pPr>
      <w:r>
        <w:rPr>
          <w:rFonts w:hint="eastAsia"/>
          <w:color w:val="000000" w:themeColor="text1"/>
          <w14:textFill>
            <w14:solidFill>
              <w14:schemeClr w14:val="tx1"/>
            </w14:solidFill>
          </w14:textFill>
        </w:rPr>
        <w:t>华谊消防站消防车辆具体</w:t>
      </w:r>
      <w:r>
        <w:rPr>
          <w:color w:val="000000" w:themeColor="text1"/>
          <w14:textFill>
            <w14:solidFill>
              <w14:schemeClr w14:val="tx1"/>
            </w14:solidFill>
          </w14:textFill>
        </w:rPr>
        <w:t>参数</w:t>
      </w:r>
      <w:r>
        <w:rPr>
          <w:rFonts w:hint="eastAsia"/>
          <w:color w:val="000000" w:themeColor="text1"/>
          <w14:textFill>
            <w14:solidFill>
              <w14:schemeClr w14:val="tx1"/>
            </w14:solidFill>
          </w14:textFill>
        </w:rPr>
        <w:t>表</w:t>
      </w:r>
    </w:p>
    <w:tbl>
      <w:tblPr>
        <w:tblStyle w:val="43"/>
        <w:tblW w:w="9071"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0" w:type="dxa"/>
          <w:bottom w:w="0" w:type="dxa"/>
          <w:right w:w="0" w:type="dxa"/>
        </w:tblCellMar>
      </w:tblPr>
      <w:tblGrid>
        <w:gridCol w:w="440"/>
        <w:gridCol w:w="724"/>
        <w:gridCol w:w="540"/>
        <w:gridCol w:w="1514"/>
        <w:gridCol w:w="612"/>
        <w:gridCol w:w="635"/>
        <w:gridCol w:w="783"/>
        <w:gridCol w:w="710"/>
        <w:gridCol w:w="683"/>
        <w:gridCol w:w="482"/>
        <w:gridCol w:w="785"/>
        <w:gridCol w:w="611"/>
        <w:gridCol w:w="552"/>
      </w:tblGrid>
      <w:tr w14:paraId="19E5226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tblHeader/>
          <w:jc w:val="center"/>
        </w:trPr>
        <w:tc>
          <w:tcPr>
            <w:tcW w:w="440" w:type="dxa"/>
            <w:vMerge w:val="restart"/>
            <w:vAlign w:val="center"/>
          </w:tcPr>
          <w:p w14:paraId="7DCEED93">
            <w:pPr>
              <w:adjustRightInd w:val="0"/>
              <w:snapToGrid w:val="0"/>
              <w:spacing w:line="240" w:lineRule="auto"/>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序号</w:t>
            </w:r>
          </w:p>
        </w:tc>
        <w:tc>
          <w:tcPr>
            <w:tcW w:w="724" w:type="dxa"/>
            <w:vMerge w:val="restart"/>
            <w:vAlign w:val="center"/>
          </w:tcPr>
          <w:p w14:paraId="139CFF8D">
            <w:pPr>
              <w:adjustRightInd w:val="0"/>
              <w:snapToGrid w:val="0"/>
              <w:spacing w:line="240" w:lineRule="auto"/>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名称</w:t>
            </w:r>
          </w:p>
        </w:tc>
        <w:tc>
          <w:tcPr>
            <w:tcW w:w="540" w:type="dxa"/>
            <w:vMerge w:val="restart"/>
            <w:vAlign w:val="center"/>
          </w:tcPr>
          <w:p w14:paraId="0EABEABC">
            <w:pPr>
              <w:adjustRightInd w:val="0"/>
              <w:snapToGrid w:val="0"/>
              <w:spacing w:line="240" w:lineRule="auto"/>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数量</w:t>
            </w:r>
          </w:p>
        </w:tc>
        <w:tc>
          <w:tcPr>
            <w:tcW w:w="1514" w:type="dxa"/>
            <w:vMerge w:val="restart"/>
            <w:vAlign w:val="center"/>
          </w:tcPr>
          <w:p w14:paraId="272A62B0">
            <w:pPr>
              <w:adjustRightInd w:val="0"/>
              <w:snapToGrid w:val="0"/>
              <w:spacing w:line="240" w:lineRule="auto"/>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底盘</w:t>
            </w:r>
          </w:p>
        </w:tc>
        <w:tc>
          <w:tcPr>
            <w:tcW w:w="612" w:type="dxa"/>
            <w:vMerge w:val="restart"/>
            <w:vAlign w:val="center"/>
          </w:tcPr>
          <w:p w14:paraId="6928724D">
            <w:pPr>
              <w:adjustRightInd w:val="0"/>
              <w:snapToGrid w:val="0"/>
              <w:spacing w:line="240" w:lineRule="auto"/>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配备时间</w:t>
            </w:r>
          </w:p>
        </w:tc>
        <w:tc>
          <w:tcPr>
            <w:tcW w:w="1418" w:type="dxa"/>
            <w:gridSpan w:val="2"/>
            <w:vAlign w:val="center"/>
          </w:tcPr>
          <w:p w14:paraId="2FC2265D">
            <w:pPr>
              <w:adjustRightInd w:val="0"/>
              <w:snapToGrid w:val="0"/>
              <w:spacing w:line="240" w:lineRule="auto"/>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载液量（T）</w:t>
            </w:r>
          </w:p>
        </w:tc>
        <w:tc>
          <w:tcPr>
            <w:tcW w:w="1393" w:type="dxa"/>
            <w:gridSpan w:val="2"/>
            <w:vAlign w:val="center"/>
          </w:tcPr>
          <w:p w14:paraId="395B94A5">
            <w:pPr>
              <w:adjustRightInd w:val="0"/>
              <w:snapToGrid w:val="0"/>
              <w:spacing w:line="240" w:lineRule="auto"/>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水泵</w:t>
            </w:r>
          </w:p>
        </w:tc>
        <w:tc>
          <w:tcPr>
            <w:tcW w:w="2430" w:type="dxa"/>
            <w:gridSpan w:val="4"/>
            <w:vAlign w:val="center"/>
          </w:tcPr>
          <w:p w14:paraId="51559A9A">
            <w:pPr>
              <w:adjustRightInd w:val="0"/>
              <w:snapToGrid w:val="0"/>
              <w:spacing w:line="240" w:lineRule="auto"/>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消防炮</w:t>
            </w:r>
          </w:p>
        </w:tc>
      </w:tr>
      <w:tr w14:paraId="5EA7647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tblHeader/>
          <w:jc w:val="center"/>
        </w:trPr>
        <w:tc>
          <w:tcPr>
            <w:tcW w:w="440" w:type="dxa"/>
            <w:vMerge w:val="continue"/>
            <w:vAlign w:val="center"/>
          </w:tcPr>
          <w:p w14:paraId="40BDD5B4">
            <w:pPr>
              <w:adjustRightInd w:val="0"/>
              <w:snapToGrid w:val="0"/>
              <w:spacing w:line="240" w:lineRule="auto"/>
              <w:ind w:firstLine="0" w:firstLineChars="0"/>
              <w:jc w:val="center"/>
              <w:rPr>
                <w:b/>
                <w:color w:val="000000" w:themeColor="text1"/>
                <w:sz w:val="21"/>
                <w:szCs w:val="21"/>
                <w14:textFill>
                  <w14:solidFill>
                    <w14:schemeClr w14:val="tx1"/>
                  </w14:solidFill>
                </w14:textFill>
              </w:rPr>
            </w:pPr>
          </w:p>
        </w:tc>
        <w:tc>
          <w:tcPr>
            <w:tcW w:w="724" w:type="dxa"/>
            <w:vMerge w:val="continue"/>
            <w:vAlign w:val="center"/>
          </w:tcPr>
          <w:p w14:paraId="39522A39">
            <w:pPr>
              <w:adjustRightInd w:val="0"/>
              <w:snapToGrid w:val="0"/>
              <w:spacing w:line="240" w:lineRule="auto"/>
              <w:ind w:firstLine="0" w:firstLineChars="0"/>
              <w:jc w:val="center"/>
              <w:rPr>
                <w:b/>
                <w:color w:val="000000" w:themeColor="text1"/>
                <w:sz w:val="21"/>
                <w:szCs w:val="21"/>
                <w14:textFill>
                  <w14:solidFill>
                    <w14:schemeClr w14:val="tx1"/>
                  </w14:solidFill>
                </w14:textFill>
              </w:rPr>
            </w:pPr>
          </w:p>
        </w:tc>
        <w:tc>
          <w:tcPr>
            <w:tcW w:w="540" w:type="dxa"/>
            <w:vMerge w:val="continue"/>
            <w:vAlign w:val="center"/>
          </w:tcPr>
          <w:p w14:paraId="56E657D7">
            <w:pPr>
              <w:adjustRightInd w:val="0"/>
              <w:snapToGrid w:val="0"/>
              <w:spacing w:line="240" w:lineRule="auto"/>
              <w:ind w:firstLine="0" w:firstLineChars="0"/>
              <w:jc w:val="center"/>
              <w:rPr>
                <w:b/>
                <w:color w:val="000000" w:themeColor="text1"/>
                <w:sz w:val="21"/>
                <w:szCs w:val="21"/>
                <w14:textFill>
                  <w14:solidFill>
                    <w14:schemeClr w14:val="tx1"/>
                  </w14:solidFill>
                </w14:textFill>
              </w:rPr>
            </w:pPr>
          </w:p>
        </w:tc>
        <w:tc>
          <w:tcPr>
            <w:tcW w:w="1514" w:type="dxa"/>
            <w:vMerge w:val="continue"/>
            <w:vAlign w:val="center"/>
          </w:tcPr>
          <w:p w14:paraId="5A9A55F5">
            <w:pPr>
              <w:adjustRightInd w:val="0"/>
              <w:snapToGrid w:val="0"/>
              <w:spacing w:line="240" w:lineRule="auto"/>
              <w:ind w:firstLine="0" w:firstLineChars="0"/>
              <w:jc w:val="center"/>
              <w:rPr>
                <w:b/>
                <w:color w:val="000000" w:themeColor="text1"/>
                <w:sz w:val="21"/>
                <w:szCs w:val="21"/>
                <w14:textFill>
                  <w14:solidFill>
                    <w14:schemeClr w14:val="tx1"/>
                  </w14:solidFill>
                </w14:textFill>
              </w:rPr>
            </w:pPr>
          </w:p>
        </w:tc>
        <w:tc>
          <w:tcPr>
            <w:tcW w:w="612" w:type="dxa"/>
            <w:vMerge w:val="continue"/>
            <w:vAlign w:val="center"/>
          </w:tcPr>
          <w:p w14:paraId="2003A2B8">
            <w:pPr>
              <w:adjustRightInd w:val="0"/>
              <w:snapToGrid w:val="0"/>
              <w:spacing w:line="240" w:lineRule="auto"/>
              <w:ind w:firstLine="0" w:firstLineChars="0"/>
              <w:jc w:val="center"/>
              <w:rPr>
                <w:b/>
                <w:color w:val="000000" w:themeColor="text1"/>
                <w:sz w:val="21"/>
                <w:szCs w:val="21"/>
                <w14:textFill>
                  <w14:solidFill>
                    <w14:schemeClr w14:val="tx1"/>
                  </w14:solidFill>
                </w14:textFill>
              </w:rPr>
            </w:pPr>
          </w:p>
        </w:tc>
        <w:tc>
          <w:tcPr>
            <w:tcW w:w="635" w:type="dxa"/>
            <w:vMerge w:val="restart"/>
            <w:vAlign w:val="center"/>
          </w:tcPr>
          <w:p w14:paraId="7EA37259">
            <w:pPr>
              <w:adjustRightInd w:val="0"/>
              <w:snapToGrid w:val="0"/>
              <w:spacing w:line="240" w:lineRule="auto"/>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水</w:t>
            </w:r>
          </w:p>
        </w:tc>
        <w:tc>
          <w:tcPr>
            <w:tcW w:w="783" w:type="dxa"/>
            <w:vMerge w:val="restart"/>
            <w:vAlign w:val="center"/>
          </w:tcPr>
          <w:p w14:paraId="62BD6EF8">
            <w:pPr>
              <w:adjustRightInd w:val="0"/>
              <w:snapToGrid w:val="0"/>
              <w:spacing w:line="240" w:lineRule="auto"/>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泡沫干粉</w:t>
            </w:r>
          </w:p>
        </w:tc>
        <w:tc>
          <w:tcPr>
            <w:tcW w:w="710" w:type="dxa"/>
            <w:vMerge w:val="restart"/>
            <w:vAlign w:val="center"/>
          </w:tcPr>
          <w:p w14:paraId="523DB36F">
            <w:pPr>
              <w:adjustRightInd w:val="0"/>
              <w:snapToGrid w:val="0"/>
              <w:spacing w:line="240" w:lineRule="auto"/>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定压力MPa</w:t>
            </w:r>
          </w:p>
        </w:tc>
        <w:tc>
          <w:tcPr>
            <w:tcW w:w="683" w:type="dxa"/>
            <w:vMerge w:val="restart"/>
            <w:vAlign w:val="center"/>
          </w:tcPr>
          <w:p w14:paraId="55A731D0">
            <w:pPr>
              <w:adjustRightInd w:val="0"/>
              <w:snapToGrid w:val="0"/>
              <w:spacing w:line="240" w:lineRule="auto"/>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额定流量</w:t>
            </w:r>
          </w:p>
          <w:p w14:paraId="204F9DE0">
            <w:pPr>
              <w:adjustRightInd w:val="0"/>
              <w:snapToGrid w:val="0"/>
              <w:spacing w:line="240" w:lineRule="auto"/>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L/s</w:t>
            </w:r>
          </w:p>
        </w:tc>
        <w:tc>
          <w:tcPr>
            <w:tcW w:w="482" w:type="dxa"/>
            <w:vMerge w:val="restart"/>
            <w:vAlign w:val="center"/>
          </w:tcPr>
          <w:p w14:paraId="10A30776">
            <w:pPr>
              <w:adjustRightInd w:val="0"/>
              <w:snapToGrid w:val="0"/>
              <w:spacing w:line="240" w:lineRule="auto"/>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定压力</w:t>
            </w:r>
          </w:p>
          <w:p w14:paraId="056F68C8">
            <w:pPr>
              <w:adjustRightInd w:val="0"/>
              <w:snapToGrid w:val="0"/>
              <w:spacing w:line="240" w:lineRule="auto"/>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MPa</w:t>
            </w:r>
          </w:p>
        </w:tc>
        <w:tc>
          <w:tcPr>
            <w:tcW w:w="785" w:type="dxa"/>
            <w:vMerge w:val="restart"/>
            <w:vAlign w:val="center"/>
          </w:tcPr>
          <w:p w14:paraId="4C68B86E">
            <w:pPr>
              <w:adjustRightInd w:val="0"/>
              <w:snapToGrid w:val="0"/>
              <w:spacing w:line="240" w:lineRule="auto"/>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额定流量</w:t>
            </w:r>
          </w:p>
          <w:p w14:paraId="5E38BC6F">
            <w:pPr>
              <w:adjustRightInd w:val="0"/>
              <w:snapToGrid w:val="0"/>
              <w:spacing w:line="240" w:lineRule="auto"/>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L/s</w:t>
            </w:r>
          </w:p>
        </w:tc>
        <w:tc>
          <w:tcPr>
            <w:tcW w:w="1163" w:type="dxa"/>
            <w:gridSpan w:val="2"/>
            <w:vAlign w:val="center"/>
          </w:tcPr>
          <w:p w14:paraId="400E4571">
            <w:pPr>
              <w:adjustRightInd w:val="0"/>
              <w:snapToGrid w:val="0"/>
              <w:spacing w:line="240" w:lineRule="auto"/>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射程（m）</w:t>
            </w:r>
          </w:p>
        </w:tc>
      </w:tr>
      <w:tr w14:paraId="5174EF4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tblHeader/>
          <w:jc w:val="center"/>
        </w:trPr>
        <w:tc>
          <w:tcPr>
            <w:tcW w:w="440" w:type="dxa"/>
            <w:vMerge w:val="continue"/>
            <w:vAlign w:val="center"/>
          </w:tcPr>
          <w:p w14:paraId="69EDC29C">
            <w:pPr>
              <w:adjustRightInd w:val="0"/>
              <w:snapToGrid w:val="0"/>
              <w:spacing w:line="240" w:lineRule="auto"/>
              <w:ind w:firstLine="0" w:firstLineChars="0"/>
              <w:jc w:val="center"/>
              <w:rPr>
                <w:b/>
                <w:color w:val="000000" w:themeColor="text1"/>
                <w:sz w:val="21"/>
                <w:szCs w:val="21"/>
                <w14:textFill>
                  <w14:solidFill>
                    <w14:schemeClr w14:val="tx1"/>
                  </w14:solidFill>
                </w14:textFill>
              </w:rPr>
            </w:pPr>
          </w:p>
        </w:tc>
        <w:tc>
          <w:tcPr>
            <w:tcW w:w="724" w:type="dxa"/>
            <w:vMerge w:val="continue"/>
            <w:vAlign w:val="center"/>
          </w:tcPr>
          <w:p w14:paraId="326D6823">
            <w:pPr>
              <w:adjustRightInd w:val="0"/>
              <w:snapToGrid w:val="0"/>
              <w:spacing w:line="240" w:lineRule="auto"/>
              <w:ind w:firstLine="0" w:firstLineChars="0"/>
              <w:jc w:val="center"/>
              <w:rPr>
                <w:b/>
                <w:color w:val="000000" w:themeColor="text1"/>
                <w:sz w:val="21"/>
                <w:szCs w:val="21"/>
                <w14:textFill>
                  <w14:solidFill>
                    <w14:schemeClr w14:val="tx1"/>
                  </w14:solidFill>
                </w14:textFill>
              </w:rPr>
            </w:pPr>
          </w:p>
        </w:tc>
        <w:tc>
          <w:tcPr>
            <w:tcW w:w="540" w:type="dxa"/>
            <w:vMerge w:val="continue"/>
            <w:vAlign w:val="center"/>
          </w:tcPr>
          <w:p w14:paraId="1EFFACD5">
            <w:pPr>
              <w:adjustRightInd w:val="0"/>
              <w:snapToGrid w:val="0"/>
              <w:spacing w:line="240" w:lineRule="auto"/>
              <w:ind w:firstLine="0" w:firstLineChars="0"/>
              <w:jc w:val="center"/>
              <w:rPr>
                <w:b/>
                <w:color w:val="000000" w:themeColor="text1"/>
                <w:sz w:val="21"/>
                <w:szCs w:val="21"/>
                <w14:textFill>
                  <w14:solidFill>
                    <w14:schemeClr w14:val="tx1"/>
                  </w14:solidFill>
                </w14:textFill>
              </w:rPr>
            </w:pPr>
          </w:p>
        </w:tc>
        <w:tc>
          <w:tcPr>
            <w:tcW w:w="1514" w:type="dxa"/>
            <w:vMerge w:val="continue"/>
            <w:vAlign w:val="center"/>
          </w:tcPr>
          <w:p w14:paraId="26AA0119">
            <w:pPr>
              <w:adjustRightInd w:val="0"/>
              <w:snapToGrid w:val="0"/>
              <w:spacing w:line="240" w:lineRule="auto"/>
              <w:ind w:firstLine="0" w:firstLineChars="0"/>
              <w:jc w:val="center"/>
              <w:rPr>
                <w:b/>
                <w:color w:val="000000" w:themeColor="text1"/>
                <w:sz w:val="21"/>
                <w:szCs w:val="21"/>
                <w14:textFill>
                  <w14:solidFill>
                    <w14:schemeClr w14:val="tx1"/>
                  </w14:solidFill>
                </w14:textFill>
              </w:rPr>
            </w:pPr>
          </w:p>
        </w:tc>
        <w:tc>
          <w:tcPr>
            <w:tcW w:w="612" w:type="dxa"/>
            <w:vMerge w:val="continue"/>
            <w:vAlign w:val="center"/>
          </w:tcPr>
          <w:p w14:paraId="591C5E76">
            <w:pPr>
              <w:adjustRightInd w:val="0"/>
              <w:snapToGrid w:val="0"/>
              <w:spacing w:line="240" w:lineRule="auto"/>
              <w:ind w:firstLine="0" w:firstLineChars="0"/>
              <w:jc w:val="center"/>
              <w:rPr>
                <w:b/>
                <w:color w:val="000000" w:themeColor="text1"/>
                <w:sz w:val="21"/>
                <w:szCs w:val="21"/>
                <w14:textFill>
                  <w14:solidFill>
                    <w14:schemeClr w14:val="tx1"/>
                  </w14:solidFill>
                </w14:textFill>
              </w:rPr>
            </w:pPr>
          </w:p>
        </w:tc>
        <w:tc>
          <w:tcPr>
            <w:tcW w:w="635" w:type="dxa"/>
            <w:vMerge w:val="continue"/>
            <w:vAlign w:val="center"/>
          </w:tcPr>
          <w:p w14:paraId="638E1223">
            <w:pPr>
              <w:adjustRightInd w:val="0"/>
              <w:snapToGrid w:val="0"/>
              <w:spacing w:line="240" w:lineRule="auto"/>
              <w:ind w:firstLine="0" w:firstLineChars="0"/>
              <w:jc w:val="center"/>
              <w:rPr>
                <w:b/>
                <w:color w:val="000000" w:themeColor="text1"/>
                <w:sz w:val="21"/>
                <w:szCs w:val="21"/>
                <w14:textFill>
                  <w14:solidFill>
                    <w14:schemeClr w14:val="tx1"/>
                  </w14:solidFill>
                </w14:textFill>
              </w:rPr>
            </w:pPr>
          </w:p>
        </w:tc>
        <w:tc>
          <w:tcPr>
            <w:tcW w:w="783" w:type="dxa"/>
            <w:vMerge w:val="continue"/>
            <w:vAlign w:val="center"/>
          </w:tcPr>
          <w:p w14:paraId="426E83C3">
            <w:pPr>
              <w:adjustRightInd w:val="0"/>
              <w:snapToGrid w:val="0"/>
              <w:spacing w:line="240" w:lineRule="auto"/>
              <w:ind w:firstLine="0" w:firstLineChars="0"/>
              <w:jc w:val="center"/>
              <w:rPr>
                <w:b/>
                <w:color w:val="000000" w:themeColor="text1"/>
                <w:sz w:val="21"/>
                <w:szCs w:val="21"/>
                <w14:textFill>
                  <w14:solidFill>
                    <w14:schemeClr w14:val="tx1"/>
                  </w14:solidFill>
                </w14:textFill>
              </w:rPr>
            </w:pPr>
          </w:p>
        </w:tc>
        <w:tc>
          <w:tcPr>
            <w:tcW w:w="710" w:type="dxa"/>
            <w:vMerge w:val="continue"/>
            <w:vAlign w:val="center"/>
          </w:tcPr>
          <w:p w14:paraId="4531F32F">
            <w:pPr>
              <w:adjustRightInd w:val="0"/>
              <w:snapToGrid w:val="0"/>
              <w:spacing w:line="240" w:lineRule="auto"/>
              <w:ind w:firstLine="0" w:firstLineChars="0"/>
              <w:jc w:val="center"/>
              <w:rPr>
                <w:b/>
                <w:color w:val="000000" w:themeColor="text1"/>
                <w:sz w:val="21"/>
                <w:szCs w:val="21"/>
                <w14:textFill>
                  <w14:solidFill>
                    <w14:schemeClr w14:val="tx1"/>
                  </w14:solidFill>
                </w14:textFill>
              </w:rPr>
            </w:pPr>
          </w:p>
        </w:tc>
        <w:tc>
          <w:tcPr>
            <w:tcW w:w="683" w:type="dxa"/>
            <w:vMerge w:val="continue"/>
            <w:vAlign w:val="center"/>
          </w:tcPr>
          <w:p w14:paraId="792FF592">
            <w:pPr>
              <w:adjustRightInd w:val="0"/>
              <w:snapToGrid w:val="0"/>
              <w:spacing w:line="240" w:lineRule="auto"/>
              <w:ind w:firstLine="0" w:firstLineChars="0"/>
              <w:jc w:val="center"/>
              <w:rPr>
                <w:b/>
                <w:color w:val="000000" w:themeColor="text1"/>
                <w:sz w:val="21"/>
                <w:szCs w:val="21"/>
                <w14:textFill>
                  <w14:solidFill>
                    <w14:schemeClr w14:val="tx1"/>
                  </w14:solidFill>
                </w14:textFill>
              </w:rPr>
            </w:pPr>
          </w:p>
        </w:tc>
        <w:tc>
          <w:tcPr>
            <w:tcW w:w="482" w:type="dxa"/>
            <w:vMerge w:val="continue"/>
            <w:vAlign w:val="center"/>
          </w:tcPr>
          <w:p w14:paraId="422264F3">
            <w:pPr>
              <w:adjustRightInd w:val="0"/>
              <w:snapToGrid w:val="0"/>
              <w:spacing w:line="240" w:lineRule="auto"/>
              <w:ind w:firstLine="0" w:firstLineChars="0"/>
              <w:jc w:val="center"/>
              <w:rPr>
                <w:b/>
                <w:color w:val="000000" w:themeColor="text1"/>
                <w:sz w:val="21"/>
                <w:szCs w:val="21"/>
                <w14:textFill>
                  <w14:solidFill>
                    <w14:schemeClr w14:val="tx1"/>
                  </w14:solidFill>
                </w14:textFill>
              </w:rPr>
            </w:pPr>
          </w:p>
        </w:tc>
        <w:tc>
          <w:tcPr>
            <w:tcW w:w="785" w:type="dxa"/>
            <w:vMerge w:val="continue"/>
            <w:vAlign w:val="center"/>
          </w:tcPr>
          <w:p w14:paraId="2471E023">
            <w:pPr>
              <w:adjustRightInd w:val="0"/>
              <w:snapToGrid w:val="0"/>
              <w:spacing w:line="240" w:lineRule="auto"/>
              <w:ind w:firstLine="0" w:firstLineChars="0"/>
              <w:jc w:val="center"/>
              <w:rPr>
                <w:b/>
                <w:color w:val="000000" w:themeColor="text1"/>
                <w:sz w:val="21"/>
                <w:szCs w:val="21"/>
                <w14:textFill>
                  <w14:solidFill>
                    <w14:schemeClr w14:val="tx1"/>
                  </w14:solidFill>
                </w14:textFill>
              </w:rPr>
            </w:pPr>
          </w:p>
        </w:tc>
        <w:tc>
          <w:tcPr>
            <w:tcW w:w="611" w:type="dxa"/>
            <w:vAlign w:val="center"/>
          </w:tcPr>
          <w:p w14:paraId="35E30ED5">
            <w:pPr>
              <w:adjustRightInd w:val="0"/>
              <w:snapToGrid w:val="0"/>
              <w:spacing w:line="240" w:lineRule="auto"/>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水</w:t>
            </w:r>
          </w:p>
        </w:tc>
        <w:tc>
          <w:tcPr>
            <w:tcW w:w="552" w:type="dxa"/>
            <w:vAlign w:val="center"/>
          </w:tcPr>
          <w:p w14:paraId="04EB56DB">
            <w:pPr>
              <w:adjustRightInd w:val="0"/>
              <w:snapToGrid w:val="0"/>
              <w:spacing w:line="240" w:lineRule="auto"/>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泡沫</w:t>
            </w:r>
          </w:p>
        </w:tc>
      </w:tr>
      <w:tr w14:paraId="1C3549E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440" w:type="dxa"/>
            <w:vAlign w:val="center"/>
          </w:tcPr>
          <w:p w14:paraId="4AA2280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w:t>
            </w:r>
          </w:p>
        </w:tc>
        <w:tc>
          <w:tcPr>
            <w:tcW w:w="724" w:type="dxa"/>
            <w:vAlign w:val="center"/>
          </w:tcPr>
          <w:p w14:paraId="6AE9CD02">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16泡沫消防车</w:t>
            </w:r>
          </w:p>
        </w:tc>
        <w:tc>
          <w:tcPr>
            <w:tcW w:w="540" w:type="dxa"/>
            <w:vAlign w:val="center"/>
          </w:tcPr>
          <w:p w14:paraId="35376E2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w:t>
            </w:r>
          </w:p>
        </w:tc>
        <w:tc>
          <w:tcPr>
            <w:tcW w:w="1514" w:type="dxa"/>
            <w:vAlign w:val="center"/>
          </w:tcPr>
          <w:p w14:paraId="2A7D2887">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中国重汽豪沃</w:t>
            </w:r>
          </w:p>
          <w:p w14:paraId="45F98A9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ZZ5347V4647E5型</w:t>
            </w:r>
          </w:p>
          <w:p w14:paraId="7FD11813">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二类底盘</w:t>
            </w:r>
          </w:p>
        </w:tc>
        <w:tc>
          <w:tcPr>
            <w:tcW w:w="612" w:type="dxa"/>
            <w:vAlign w:val="center"/>
          </w:tcPr>
          <w:p w14:paraId="0F08AE4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2021.1</w:t>
            </w:r>
          </w:p>
        </w:tc>
        <w:tc>
          <w:tcPr>
            <w:tcW w:w="635" w:type="dxa"/>
            <w:vAlign w:val="center"/>
          </w:tcPr>
          <w:p w14:paraId="2A17FA67">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12T</w:t>
            </w:r>
          </w:p>
        </w:tc>
        <w:tc>
          <w:tcPr>
            <w:tcW w:w="783" w:type="dxa"/>
            <w:vAlign w:val="center"/>
          </w:tcPr>
          <w:p w14:paraId="5A6DB48A">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泡沫4T</w:t>
            </w:r>
          </w:p>
        </w:tc>
        <w:tc>
          <w:tcPr>
            <w:tcW w:w="710" w:type="dxa"/>
            <w:vAlign w:val="center"/>
          </w:tcPr>
          <w:p w14:paraId="6AA5494D">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1.03</w:t>
            </w:r>
          </w:p>
        </w:tc>
        <w:tc>
          <w:tcPr>
            <w:tcW w:w="683" w:type="dxa"/>
            <w:vAlign w:val="center"/>
          </w:tcPr>
          <w:p w14:paraId="02DF13A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100</w:t>
            </w:r>
          </w:p>
        </w:tc>
        <w:tc>
          <w:tcPr>
            <w:tcW w:w="482" w:type="dxa"/>
            <w:vAlign w:val="center"/>
          </w:tcPr>
          <w:p w14:paraId="5C7E7FC4">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1.0</w:t>
            </w:r>
          </w:p>
        </w:tc>
        <w:tc>
          <w:tcPr>
            <w:tcW w:w="785" w:type="dxa"/>
            <w:vAlign w:val="center"/>
          </w:tcPr>
          <w:p w14:paraId="0ACAFA1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80L/S</w:t>
            </w:r>
          </w:p>
        </w:tc>
        <w:tc>
          <w:tcPr>
            <w:tcW w:w="611" w:type="dxa"/>
            <w:vAlign w:val="center"/>
          </w:tcPr>
          <w:p w14:paraId="1D7B2F29">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75</w:t>
            </w:r>
          </w:p>
        </w:tc>
        <w:tc>
          <w:tcPr>
            <w:tcW w:w="552" w:type="dxa"/>
            <w:vAlign w:val="center"/>
          </w:tcPr>
          <w:p w14:paraId="25FB99B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≥70</w:t>
            </w:r>
          </w:p>
        </w:tc>
      </w:tr>
      <w:tr w14:paraId="2636829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440" w:type="dxa"/>
            <w:vAlign w:val="center"/>
          </w:tcPr>
          <w:p w14:paraId="74AB0783">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w:t>
            </w:r>
          </w:p>
        </w:tc>
        <w:tc>
          <w:tcPr>
            <w:tcW w:w="724" w:type="dxa"/>
            <w:vAlign w:val="center"/>
          </w:tcPr>
          <w:p w14:paraId="30D7D80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18吨泡沫车</w:t>
            </w:r>
          </w:p>
        </w:tc>
        <w:tc>
          <w:tcPr>
            <w:tcW w:w="540" w:type="dxa"/>
            <w:vAlign w:val="center"/>
          </w:tcPr>
          <w:p w14:paraId="3D85F60E">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w:t>
            </w:r>
          </w:p>
        </w:tc>
        <w:tc>
          <w:tcPr>
            <w:tcW w:w="1514" w:type="dxa"/>
            <w:vAlign w:val="center"/>
          </w:tcPr>
          <w:p w14:paraId="21DE6AA3">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中国重汽豪沃</w:t>
            </w:r>
          </w:p>
          <w:p w14:paraId="3E4939A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ZZ5447TXFV466MF5</w:t>
            </w:r>
          </w:p>
        </w:tc>
        <w:tc>
          <w:tcPr>
            <w:tcW w:w="612" w:type="dxa"/>
            <w:vAlign w:val="center"/>
          </w:tcPr>
          <w:p w14:paraId="77127E1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2022.10</w:t>
            </w:r>
          </w:p>
        </w:tc>
        <w:tc>
          <w:tcPr>
            <w:tcW w:w="635" w:type="dxa"/>
            <w:vAlign w:val="center"/>
          </w:tcPr>
          <w:p w14:paraId="1043C72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3T</w:t>
            </w:r>
          </w:p>
        </w:tc>
        <w:tc>
          <w:tcPr>
            <w:tcW w:w="783" w:type="dxa"/>
            <w:vAlign w:val="center"/>
          </w:tcPr>
          <w:p w14:paraId="27A0EDFD">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泡沫15T</w:t>
            </w:r>
          </w:p>
        </w:tc>
        <w:tc>
          <w:tcPr>
            <w:tcW w:w="710" w:type="dxa"/>
            <w:vAlign w:val="center"/>
          </w:tcPr>
          <w:p w14:paraId="7DAAE210">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1.03</w:t>
            </w:r>
          </w:p>
        </w:tc>
        <w:tc>
          <w:tcPr>
            <w:tcW w:w="683" w:type="dxa"/>
            <w:vAlign w:val="center"/>
          </w:tcPr>
          <w:p w14:paraId="10BF19F0">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170L/S</w:t>
            </w:r>
          </w:p>
        </w:tc>
        <w:tc>
          <w:tcPr>
            <w:tcW w:w="482" w:type="dxa"/>
            <w:vAlign w:val="center"/>
          </w:tcPr>
          <w:p w14:paraId="1572740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1.0</w:t>
            </w:r>
          </w:p>
        </w:tc>
        <w:tc>
          <w:tcPr>
            <w:tcW w:w="785" w:type="dxa"/>
            <w:vAlign w:val="center"/>
          </w:tcPr>
          <w:p w14:paraId="56DB49E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150L/S</w:t>
            </w:r>
          </w:p>
        </w:tc>
        <w:tc>
          <w:tcPr>
            <w:tcW w:w="611" w:type="dxa"/>
            <w:vAlign w:val="center"/>
          </w:tcPr>
          <w:p w14:paraId="567D0F17">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≥80</w:t>
            </w:r>
          </w:p>
        </w:tc>
        <w:tc>
          <w:tcPr>
            <w:tcW w:w="552" w:type="dxa"/>
            <w:vAlign w:val="center"/>
          </w:tcPr>
          <w:p w14:paraId="7CC2E77E">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≥75</w:t>
            </w:r>
          </w:p>
        </w:tc>
      </w:tr>
      <w:tr w14:paraId="1537588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440" w:type="dxa"/>
            <w:vAlign w:val="center"/>
          </w:tcPr>
          <w:p w14:paraId="12691DFE">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w:t>
            </w:r>
          </w:p>
        </w:tc>
        <w:tc>
          <w:tcPr>
            <w:tcW w:w="724" w:type="dxa"/>
            <w:vAlign w:val="center"/>
          </w:tcPr>
          <w:p w14:paraId="5F297929">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21吨泡沫车</w:t>
            </w:r>
          </w:p>
        </w:tc>
        <w:tc>
          <w:tcPr>
            <w:tcW w:w="540" w:type="dxa"/>
            <w:vAlign w:val="center"/>
          </w:tcPr>
          <w:p w14:paraId="1284DD28">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w:t>
            </w:r>
          </w:p>
        </w:tc>
        <w:tc>
          <w:tcPr>
            <w:tcW w:w="1514" w:type="dxa"/>
            <w:vAlign w:val="center"/>
          </w:tcPr>
          <w:p w14:paraId="098D4A3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中国重汽豪沃</w:t>
            </w:r>
          </w:p>
          <w:p w14:paraId="423DD7D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ZZ5447TXFV466MF5</w:t>
            </w:r>
          </w:p>
          <w:p w14:paraId="0C411E02">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二类底盘</w:t>
            </w:r>
          </w:p>
        </w:tc>
        <w:tc>
          <w:tcPr>
            <w:tcW w:w="612" w:type="dxa"/>
            <w:vAlign w:val="center"/>
          </w:tcPr>
          <w:p w14:paraId="668B7CC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2022.7</w:t>
            </w:r>
          </w:p>
        </w:tc>
        <w:tc>
          <w:tcPr>
            <w:tcW w:w="635" w:type="dxa"/>
            <w:vAlign w:val="center"/>
          </w:tcPr>
          <w:p w14:paraId="6B89B67D">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12T</w:t>
            </w:r>
          </w:p>
        </w:tc>
        <w:tc>
          <w:tcPr>
            <w:tcW w:w="783" w:type="dxa"/>
            <w:vAlign w:val="center"/>
          </w:tcPr>
          <w:p w14:paraId="74EC9B09">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泡沫9T</w:t>
            </w:r>
          </w:p>
        </w:tc>
        <w:tc>
          <w:tcPr>
            <w:tcW w:w="710" w:type="dxa"/>
            <w:vAlign w:val="center"/>
          </w:tcPr>
          <w:p w14:paraId="4C3D2939">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1.03</w:t>
            </w:r>
          </w:p>
        </w:tc>
        <w:tc>
          <w:tcPr>
            <w:tcW w:w="683" w:type="dxa"/>
            <w:vAlign w:val="center"/>
          </w:tcPr>
          <w:p w14:paraId="4D70CB0E">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100</w:t>
            </w:r>
          </w:p>
        </w:tc>
        <w:tc>
          <w:tcPr>
            <w:tcW w:w="482" w:type="dxa"/>
            <w:vAlign w:val="center"/>
          </w:tcPr>
          <w:p w14:paraId="3660CDB9">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1.0</w:t>
            </w:r>
          </w:p>
        </w:tc>
        <w:tc>
          <w:tcPr>
            <w:tcW w:w="785" w:type="dxa"/>
            <w:vAlign w:val="center"/>
          </w:tcPr>
          <w:p w14:paraId="4B528E0D">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80L/S</w:t>
            </w:r>
          </w:p>
        </w:tc>
        <w:tc>
          <w:tcPr>
            <w:tcW w:w="611" w:type="dxa"/>
            <w:vAlign w:val="center"/>
          </w:tcPr>
          <w:p w14:paraId="57602D5F">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≥75</w:t>
            </w:r>
          </w:p>
        </w:tc>
        <w:tc>
          <w:tcPr>
            <w:tcW w:w="552" w:type="dxa"/>
            <w:vAlign w:val="center"/>
          </w:tcPr>
          <w:p w14:paraId="4334309E">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≥70</w:t>
            </w:r>
          </w:p>
        </w:tc>
      </w:tr>
      <w:tr w14:paraId="6AFF317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440" w:type="dxa"/>
            <w:vAlign w:val="center"/>
          </w:tcPr>
          <w:p w14:paraId="6FCFDECE">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4</w:t>
            </w:r>
          </w:p>
        </w:tc>
        <w:tc>
          <w:tcPr>
            <w:tcW w:w="724" w:type="dxa"/>
            <w:vAlign w:val="center"/>
          </w:tcPr>
          <w:p w14:paraId="4F1B27CF">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干粉水联消防车</w:t>
            </w:r>
          </w:p>
        </w:tc>
        <w:tc>
          <w:tcPr>
            <w:tcW w:w="540" w:type="dxa"/>
            <w:vAlign w:val="center"/>
          </w:tcPr>
          <w:p w14:paraId="63A51002">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w:t>
            </w:r>
          </w:p>
        </w:tc>
        <w:tc>
          <w:tcPr>
            <w:tcW w:w="1514" w:type="dxa"/>
            <w:vAlign w:val="center"/>
          </w:tcPr>
          <w:p w14:paraId="105A5DF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中国重汽豪沃</w:t>
            </w:r>
          </w:p>
          <w:p w14:paraId="42102B3C">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ZZ5347V4647E5型</w:t>
            </w:r>
          </w:p>
          <w:p w14:paraId="686F448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二类底盘</w:t>
            </w:r>
          </w:p>
        </w:tc>
        <w:tc>
          <w:tcPr>
            <w:tcW w:w="612" w:type="dxa"/>
            <w:vAlign w:val="center"/>
          </w:tcPr>
          <w:p w14:paraId="5380F28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2021.1</w:t>
            </w:r>
          </w:p>
        </w:tc>
        <w:tc>
          <w:tcPr>
            <w:tcW w:w="635" w:type="dxa"/>
            <w:vAlign w:val="center"/>
          </w:tcPr>
          <w:p w14:paraId="26A6C3EC">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8T</w:t>
            </w:r>
          </w:p>
        </w:tc>
        <w:tc>
          <w:tcPr>
            <w:tcW w:w="783" w:type="dxa"/>
            <w:vAlign w:val="center"/>
          </w:tcPr>
          <w:p w14:paraId="13C681D7">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干粉3T</w:t>
            </w:r>
          </w:p>
        </w:tc>
        <w:tc>
          <w:tcPr>
            <w:tcW w:w="710" w:type="dxa"/>
            <w:vAlign w:val="center"/>
          </w:tcPr>
          <w:p w14:paraId="5EB5582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1.03</w:t>
            </w:r>
          </w:p>
        </w:tc>
        <w:tc>
          <w:tcPr>
            <w:tcW w:w="683" w:type="dxa"/>
            <w:vAlign w:val="center"/>
          </w:tcPr>
          <w:p w14:paraId="7F6C1E6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80</w:t>
            </w:r>
          </w:p>
        </w:tc>
        <w:tc>
          <w:tcPr>
            <w:tcW w:w="482" w:type="dxa"/>
            <w:vAlign w:val="center"/>
          </w:tcPr>
          <w:p w14:paraId="3B5C26BF">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1.0</w:t>
            </w:r>
          </w:p>
        </w:tc>
        <w:tc>
          <w:tcPr>
            <w:tcW w:w="785" w:type="dxa"/>
            <w:vAlign w:val="center"/>
          </w:tcPr>
          <w:p w14:paraId="39E6F948">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60L/S</w:t>
            </w:r>
          </w:p>
        </w:tc>
        <w:tc>
          <w:tcPr>
            <w:tcW w:w="611" w:type="dxa"/>
            <w:vAlign w:val="center"/>
          </w:tcPr>
          <w:p w14:paraId="616E77F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≥70</w:t>
            </w:r>
          </w:p>
        </w:tc>
        <w:tc>
          <w:tcPr>
            <w:tcW w:w="552" w:type="dxa"/>
            <w:vAlign w:val="center"/>
          </w:tcPr>
          <w:p w14:paraId="458CCE93">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干粉</w:t>
            </w:r>
          </w:p>
          <w:p w14:paraId="1B97332C">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40m</w:t>
            </w:r>
          </w:p>
        </w:tc>
      </w:tr>
      <w:tr w14:paraId="133DBAC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440" w:type="dxa"/>
            <w:vAlign w:val="center"/>
          </w:tcPr>
          <w:p w14:paraId="50447628">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5</w:t>
            </w:r>
          </w:p>
        </w:tc>
        <w:tc>
          <w:tcPr>
            <w:tcW w:w="724" w:type="dxa"/>
            <w:vAlign w:val="center"/>
          </w:tcPr>
          <w:p w14:paraId="5C70FF52">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干粉泡沫车</w:t>
            </w:r>
          </w:p>
        </w:tc>
        <w:tc>
          <w:tcPr>
            <w:tcW w:w="540" w:type="dxa"/>
            <w:vAlign w:val="center"/>
          </w:tcPr>
          <w:p w14:paraId="40CB1A8A">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w:t>
            </w:r>
          </w:p>
        </w:tc>
        <w:tc>
          <w:tcPr>
            <w:tcW w:w="1514" w:type="dxa"/>
            <w:vAlign w:val="center"/>
          </w:tcPr>
          <w:p w14:paraId="0D204453">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中国重汽豪沃</w:t>
            </w:r>
          </w:p>
          <w:p w14:paraId="2A73ACCD">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LZZWBMSH6LN761492</w:t>
            </w:r>
          </w:p>
          <w:p w14:paraId="106535E0">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二类底盘</w:t>
            </w:r>
          </w:p>
        </w:tc>
        <w:tc>
          <w:tcPr>
            <w:tcW w:w="612" w:type="dxa"/>
            <w:vAlign w:val="center"/>
          </w:tcPr>
          <w:p w14:paraId="14184144">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2022.10</w:t>
            </w:r>
          </w:p>
        </w:tc>
        <w:tc>
          <w:tcPr>
            <w:tcW w:w="635" w:type="dxa"/>
            <w:vAlign w:val="center"/>
          </w:tcPr>
          <w:p w14:paraId="0631004F">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7T</w:t>
            </w:r>
          </w:p>
        </w:tc>
        <w:tc>
          <w:tcPr>
            <w:tcW w:w="783" w:type="dxa"/>
            <w:vAlign w:val="center"/>
          </w:tcPr>
          <w:p w14:paraId="5FC2BCBC">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泡沫2T干粉3T</w:t>
            </w:r>
          </w:p>
        </w:tc>
        <w:tc>
          <w:tcPr>
            <w:tcW w:w="710" w:type="dxa"/>
            <w:vAlign w:val="center"/>
          </w:tcPr>
          <w:p w14:paraId="1806B73E">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1.03</w:t>
            </w:r>
          </w:p>
        </w:tc>
        <w:tc>
          <w:tcPr>
            <w:tcW w:w="683" w:type="dxa"/>
            <w:vAlign w:val="center"/>
          </w:tcPr>
          <w:p w14:paraId="4E7BB60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80</w:t>
            </w:r>
          </w:p>
        </w:tc>
        <w:tc>
          <w:tcPr>
            <w:tcW w:w="482" w:type="dxa"/>
            <w:vAlign w:val="center"/>
          </w:tcPr>
          <w:p w14:paraId="616A338E">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1.0</w:t>
            </w:r>
          </w:p>
        </w:tc>
        <w:tc>
          <w:tcPr>
            <w:tcW w:w="785" w:type="dxa"/>
            <w:vAlign w:val="center"/>
          </w:tcPr>
          <w:p w14:paraId="6CD3FE4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64L/S</w:t>
            </w:r>
          </w:p>
        </w:tc>
        <w:tc>
          <w:tcPr>
            <w:tcW w:w="611" w:type="dxa"/>
            <w:vAlign w:val="center"/>
          </w:tcPr>
          <w:p w14:paraId="3EE0A0A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≥70</w:t>
            </w:r>
          </w:p>
        </w:tc>
        <w:tc>
          <w:tcPr>
            <w:tcW w:w="552" w:type="dxa"/>
            <w:vAlign w:val="center"/>
          </w:tcPr>
          <w:p w14:paraId="2263B49A">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≥65</w:t>
            </w:r>
          </w:p>
        </w:tc>
      </w:tr>
      <w:tr w14:paraId="3BC9490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440" w:type="dxa"/>
            <w:vAlign w:val="center"/>
          </w:tcPr>
          <w:p w14:paraId="35E48EC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6</w:t>
            </w:r>
          </w:p>
        </w:tc>
        <w:tc>
          <w:tcPr>
            <w:tcW w:w="724" w:type="dxa"/>
            <w:vAlign w:val="center"/>
          </w:tcPr>
          <w:p w14:paraId="4774D6B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25米高喷消防车</w:t>
            </w:r>
          </w:p>
        </w:tc>
        <w:tc>
          <w:tcPr>
            <w:tcW w:w="540" w:type="dxa"/>
            <w:vAlign w:val="center"/>
          </w:tcPr>
          <w:p w14:paraId="5E4AC5B4">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w:t>
            </w:r>
          </w:p>
        </w:tc>
        <w:tc>
          <w:tcPr>
            <w:tcW w:w="1514" w:type="dxa"/>
            <w:vAlign w:val="center"/>
          </w:tcPr>
          <w:p w14:paraId="54B6615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中国重汽汕德卡</w:t>
            </w:r>
          </w:p>
          <w:p w14:paraId="6392AC6E">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ZZ5356V524MF1</w:t>
            </w:r>
          </w:p>
          <w:p w14:paraId="0BAB3B2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二类底盘</w:t>
            </w:r>
          </w:p>
        </w:tc>
        <w:tc>
          <w:tcPr>
            <w:tcW w:w="612" w:type="dxa"/>
            <w:vAlign w:val="center"/>
          </w:tcPr>
          <w:p w14:paraId="69C161DF">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2021.1</w:t>
            </w:r>
          </w:p>
        </w:tc>
        <w:tc>
          <w:tcPr>
            <w:tcW w:w="635" w:type="dxa"/>
            <w:vAlign w:val="center"/>
          </w:tcPr>
          <w:p w14:paraId="59F693FA">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8T</w:t>
            </w:r>
          </w:p>
        </w:tc>
        <w:tc>
          <w:tcPr>
            <w:tcW w:w="783" w:type="dxa"/>
            <w:vAlign w:val="center"/>
          </w:tcPr>
          <w:p w14:paraId="2B314662">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泡沫2T</w:t>
            </w:r>
          </w:p>
        </w:tc>
        <w:tc>
          <w:tcPr>
            <w:tcW w:w="710" w:type="dxa"/>
            <w:vAlign w:val="center"/>
          </w:tcPr>
          <w:p w14:paraId="43A1F962">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1.03</w:t>
            </w:r>
          </w:p>
        </w:tc>
        <w:tc>
          <w:tcPr>
            <w:tcW w:w="683" w:type="dxa"/>
            <w:vAlign w:val="center"/>
          </w:tcPr>
          <w:p w14:paraId="07CFB647">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100</w:t>
            </w:r>
          </w:p>
        </w:tc>
        <w:tc>
          <w:tcPr>
            <w:tcW w:w="482" w:type="dxa"/>
            <w:vAlign w:val="center"/>
          </w:tcPr>
          <w:p w14:paraId="12300B6D">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1.0</w:t>
            </w:r>
          </w:p>
        </w:tc>
        <w:tc>
          <w:tcPr>
            <w:tcW w:w="785" w:type="dxa"/>
            <w:vAlign w:val="center"/>
          </w:tcPr>
          <w:p w14:paraId="0EFE6699">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4800L/min</w:t>
            </w:r>
          </w:p>
        </w:tc>
        <w:tc>
          <w:tcPr>
            <w:tcW w:w="611" w:type="dxa"/>
            <w:vAlign w:val="center"/>
          </w:tcPr>
          <w:p w14:paraId="01AFE210">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≥75</w:t>
            </w:r>
          </w:p>
        </w:tc>
        <w:tc>
          <w:tcPr>
            <w:tcW w:w="552" w:type="dxa"/>
            <w:vAlign w:val="center"/>
          </w:tcPr>
          <w:p w14:paraId="53CCE235">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≥70</w:t>
            </w:r>
          </w:p>
        </w:tc>
      </w:tr>
      <w:tr w14:paraId="1A05434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440" w:type="dxa"/>
            <w:vAlign w:val="center"/>
          </w:tcPr>
          <w:p w14:paraId="18C233D4">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7</w:t>
            </w:r>
          </w:p>
        </w:tc>
        <w:tc>
          <w:tcPr>
            <w:tcW w:w="724" w:type="dxa"/>
            <w:vAlign w:val="center"/>
          </w:tcPr>
          <w:p w14:paraId="58B7D6E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42/42米高喷车</w:t>
            </w:r>
          </w:p>
        </w:tc>
        <w:tc>
          <w:tcPr>
            <w:tcW w:w="540" w:type="dxa"/>
            <w:vAlign w:val="center"/>
          </w:tcPr>
          <w:p w14:paraId="10DCB544">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w:t>
            </w:r>
          </w:p>
        </w:tc>
        <w:tc>
          <w:tcPr>
            <w:tcW w:w="1514" w:type="dxa"/>
            <w:vAlign w:val="center"/>
          </w:tcPr>
          <w:p w14:paraId="5186E6D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沃尔沃FM460</w:t>
            </w:r>
          </w:p>
          <w:p w14:paraId="6B8CC98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二类底盘</w:t>
            </w:r>
          </w:p>
        </w:tc>
        <w:tc>
          <w:tcPr>
            <w:tcW w:w="612" w:type="dxa"/>
            <w:vAlign w:val="center"/>
          </w:tcPr>
          <w:p w14:paraId="665445E3">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2022.9</w:t>
            </w:r>
          </w:p>
        </w:tc>
        <w:tc>
          <w:tcPr>
            <w:tcW w:w="635" w:type="dxa"/>
            <w:vAlign w:val="center"/>
          </w:tcPr>
          <w:p w14:paraId="6033CB30">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3.5T</w:t>
            </w:r>
          </w:p>
        </w:tc>
        <w:tc>
          <w:tcPr>
            <w:tcW w:w="783" w:type="dxa"/>
            <w:vAlign w:val="center"/>
          </w:tcPr>
          <w:p w14:paraId="7B67F9D8">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泡沫1.5T</w:t>
            </w:r>
          </w:p>
        </w:tc>
        <w:tc>
          <w:tcPr>
            <w:tcW w:w="710" w:type="dxa"/>
            <w:vAlign w:val="center"/>
          </w:tcPr>
          <w:p w14:paraId="40780B8D">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1.03</w:t>
            </w:r>
          </w:p>
        </w:tc>
        <w:tc>
          <w:tcPr>
            <w:tcW w:w="683" w:type="dxa"/>
            <w:vAlign w:val="center"/>
          </w:tcPr>
          <w:p w14:paraId="0DEBBD38">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100</w:t>
            </w:r>
          </w:p>
        </w:tc>
        <w:tc>
          <w:tcPr>
            <w:tcW w:w="482" w:type="dxa"/>
            <w:vAlign w:val="center"/>
          </w:tcPr>
          <w:p w14:paraId="72CCEC5F">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1.0</w:t>
            </w:r>
          </w:p>
        </w:tc>
        <w:tc>
          <w:tcPr>
            <w:tcW w:w="785" w:type="dxa"/>
            <w:vAlign w:val="center"/>
          </w:tcPr>
          <w:p w14:paraId="2842EBA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4800L/min</w:t>
            </w:r>
          </w:p>
        </w:tc>
        <w:tc>
          <w:tcPr>
            <w:tcW w:w="611" w:type="dxa"/>
            <w:vAlign w:val="center"/>
          </w:tcPr>
          <w:p w14:paraId="5483F1C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≥75</w:t>
            </w:r>
          </w:p>
        </w:tc>
        <w:tc>
          <w:tcPr>
            <w:tcW w:w="552" w:type="dxa"/>
            <w:vAlign w:val="center"/>
          </w:tcPr>
          <w:p w14:paraId="7B7BE9FF">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≥70</w:t>
            </w:r>
          </w:p>
        </w:tc>
      </w:tr>
      <w:tr w14:paraId="5797D63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440" w:type="dxa"/>
            <w:vAlign w:val="center"/>
          </w:tcPr>
          <w:p w14:paraId="29832C6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8</w:t>
            </w:r>
          </w:p>
        </w:tc>
        <w:tc>
          <w:tcPr>
            <w:tcW w:w="724" w:type="dxa"/>
            <w:vAlign w:val="center"/>
          </w:tcPr>
          <w:p w14:paraId="70C5C3BB">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63/43米高喷车</w:t>
            </w:r>
          </w:p>
        </w:tc>
        <w:tc>
          <w:tcPr>
            <w:tcW w:w="540" w:type="dxa"/>
            <w:vAlign w:val="center"/>
          </w:tcPr>
          <w:p w14:paraId="5FA86F8E">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w:t>
            </w:r>
          </w:p>
        </w:tc>
        <w:tc>
          <w:tcPr>
            <w:tcW w:w="1514" w:type="dxa"/>
            <w:vAlign w:val="center"/>
          </w:tcPr>
          <w:p w14:paraId="5684A287">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沃尔沃FM540二类底盘</w:t>
            </w:r>
          </w:p>
        </w:tc>
        <w:tc>
          <w:tcPr>
            <w:tcW w:w="612" w:type="dxa"/>
            <w:vAlign w:val="center"/>
          </w:tcPr>
          <w:p w14:paraId="6AC7B3B1">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2022.9</w:t>
            </w:r>
          </w:p>
        </w:tc>
        <w:tc>
          <w:tcPr>
            <w:tcW w:w="635" w:type="dxa"/>
            <w:vAlign w:val="center"/>
          </w:tcPr>
          <w:p w14:paraId="6DD164C9">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5T</w:t>
            </w:r>
          </w:p>
        </w:tc>
        <w:tc>
          <w:tcPr>
            <w:tcW w:w="783" w:type="dxa"/>
            <w:vAlign w:val="center"/>
          </w:tcPr>
          <w:p w14:paraId="06DED203">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泡沫1T</w:t>
            </w:r>
          </w:p>
        </w:tc>
        <w:tc>
          <w:tcPr>
            <w:tcW w:w="710" w:type="dxa"/>
            <w:vAlign w:val="center"/>
          </w:tcPr>
          <w:p w14:paraId="4C73A6A0">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1.03</w:t>
            </w:r>
          </w:p>
        </w:tc>
        <w:tc>
          <w:tcPr>
            <w:tcW w:w="683" w:type="dxa"/>
            <w:vAlign w:val="center"/>
          </w:tcPr>
          <w:p w14:paraId="04E350EC">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170L/S</w:t>
            </w:r>
          </w:p>
        </w:tc>
        <w:tc>
          <w:tcPr>
            <w:tcW w:w="482" w:type="dxa"/>
            <w:vAlign w:val="center"/>
          </w:tcPr>
          <w:p w14:paraId="20550D2D">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1.0</w:t>
            </w:r>
          </w:p>
        </w:tc>
        <w:tc>
          <w:tcPr>
            <w:tcW w:w="785" w:type="dxa"/>
            <w:vAlign w:val="center"/>
          </w:tcPr>
          <w:p w14:paraId="1567E7C6">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4800L/min</w:t>
            </w:r>
          </w:p>
        </w:tc>
        <w:tc>
          <w:tcPr>
            <w:tcW w:w="611" w:type="dxa"/>
            <w:vAlign w:val="center"/>
          </w:tcPr>
          <w:p w14:paraId="2E5D7C24">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≥75</w:t>
            </w:r>
          </w:p>
        </w:tc>
        <w:tc>
          <w:tcPr>
            <w:tcW w:w="552" w:type="dxa"/>
            <w:vAlign w:val="center"/>
          </w:tcPr>
          <w:p w14:paraId="7F73E7A9">
            <w:pPr>
              <w:adjustRightInd w:val="0"/>
              <w:snapToGrid w:val="0"/>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≥70</w:t>
            </w:r>
          </w:p>
        </w:tc>
      </w:tr>
    </w:tbl>
    <w:p w14:paraId="1A1B1C1A">
      <w:pPr>
        <w:widowControl/>
        <w:spacing w:line="240" w:lineRule="exact"/>
        <w:ind w:firstLine="0" w:firstLineChars="0"/>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注：华谊钦州化工新材料一体化基地依据有关规定建设一座特勤消防站。该消防站占地面积4000m</w:t>
      </w:r>
      <w:r>
        <w:rPr>
          <w:color w:val="000000" w:themeColor="text1"/>
          <w:sz w:val="18"/>
          <w:szCs w:val="18"/>
          <w:vertAlign w:val="superscript"/>
          <w14:textFill>
            <w14:solidFill>
              <w14:schemeClr w14:val="tx1"/>
            </w14:solidFill>
          </w14:textFill>
        </w:rPr>
        <w:t>2</w:t>
      </w:r>
      <w:r>
        <w:rPr>
          <w:color w:val="000000" w:themeColor="text1"/>
          <w:sz w:val="18"/>
          <w:szCs w:val="18"/>
          <w14:textFill>
            <w14:solidFill>
              <w14:schemeClr w14:val="tx1"/>
            </w14:solidFill>
          </w14:textFill>
        </w:rPr>
        <w:t>，建筑面积约2700m</w:t>
      </w:r>
      <w:r>
        <w:rPr>
          <w:color w:val="000000" w:themeColor="text1"/>
          <w:sz w:val="18"/>
          <w:szCs w:val="18"/>
          <w:vertAlign w:val="superscript"/>
          <w14:textFill>
            <w14:solidFill>
              <w14:schemeClr w14:val="tx1"/>
            </w14:solidFill>
          </w14:textFill>
        </w:rPr>
        <w:t>2</w:t>
      </w:r>
      <w:r>
        <w:rPr>
          <w:color w:val="000000" w:themeColor="text1"/>
          <w:sz w:val="18"/>
          <w:szCs w:val="18"/>
          <w14:textFill>
            <w14:solidFill>
              <w14:schemeClr w14:val="tx1"/>
            </w14:solidFill>
          </w14:textFill>
        </w:rPr>
        <w:t>，消防车库按12库设计，配备12辆消防车，以达到特勤消防站的要求。消防气防站总定员86人，同一个班次执勤人数为57人，实行上四休二上班模式，24小时在岗执勤。</w:t>
      </w:r>
    </w:p>
    <w:p w14:paraId="114598C2">
      <w:pPr>
        <w:pStyle w:val="120"/>
        <w:widowControl/>
        <w:numPr>
          <w:ilvl w:val="0"/>
          <w:numId w:val="6"/>
        </w:numPr>
        <w:ind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广西华临码头有限公司</w:t>
      </w:r>
      <w:r>
        <w:rPr>
          <w:color w:val="000000" w:themeColor="text1"/>
          <w14:textFill>
            <w14:solidFill>
              <w14:schemeClr w14:val="tx1"/>
            </w14:solidFill>
          </w14:textFill>
        </w:rPr>
        <w:t>配置了围油栏、收油机、溢油分散剂、消油剂喷洒装置、吸油拖栏等风险事故应急设施。各类应急设备堆存于</w:t>
      </w:r>
      <w:r>
        <w:rPr>
          <w:rFonts w:hint="eastAsia"/>
          <w:color w:val="000000" w:themeColor="text1"/>
          <w14:textFill>
            <w14:solidFill>
              <w14:schemeClr w14:val="tx1"/>
            </w14:solidFill>
          </w14:textFill>
        </w:rPr>
        <w:t>码头集装箱及综合用房内</w:t>
      </w:r>
      <w:r>
        <w:rPr>
          <w:color w:val="000000" w:themeColor="text1"/>
          <w14:textFill>
            <w14:solidFill>
              <w14:schemeClr w14:val="tx1"/>
            </w14:solidFill>
          </w14:textFill>
        </w:rPr>
        <w:t>，并配有</w:t>
      </w:r>
      <w:r>
        <w:rPr>
          <w:rFonts w:hint="eastAsia"/>
          <w:color w:val="000000" w:themeColor="text1"/>
          <w14:textFill>
            <w14:solidFill>
              <w14:schemeClr w14:val="tx1"/>
            </w14:solidFill>
          </w14:textFill>
        </w:rPr>
        <w:t>应急清污船、围油栏布放艇等，见表5.7-8</w:t>
      </w:r>
      <w:r>
        <w:rPr>
          <w:color w:val="000000" w:themeColor="text1"/>
          <w14:textFill>
            <w14:solidFill>
              <w14:schemeClr w14:val="tx1"/>
            </w14:solidFill>
          </w14:textFill>
        </w:rPr>
        <w:t>。</w:t>
      </w:r>
    </w:p>
    <w:p w14:paraId="32509302">
      <w:pPr>
        <w:pStyle w:val="7"/>
        <w:rPr>
          <w:color w:val="000000" w:themeColor="text1"/>
          <w14:textFill>
            <w14:solidFill>
              <w14:schemeClr w14:val="tx1"/>
            </w14:solidFill>
          </w14:textFill>
        </w:rPr>
      </w:pPr>
      <w:r>
        <w:rPr>
          <w:rFonts w:hint="eastAsia"/>
          <w:color w:val="000000" w:themeColor="text1"/>
          <w14:textFill>
            <w14:solidFill>
              <w14:schemeClr w14:val="tx1"/>
            </w14:solidFill>
          </w14:textFill>
        </w:rPr>
        <w:t>广西华临码头有限公司船舶污染事故应急设备配备情况表</w:t>
      </w:r>
    </w:p>
    <w:tbl>
      <w:tblPr>
        <w:tblStyle w:val="43"/>
        <w:tblW w:w="4884"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614"/>
        <w:gridCol w:w="2424"/>
        <w:gridCol w:w="3125"/>
        <w:gridCol w:w="1307"/>
        <w:gridCol w:w="854"/>
      </w:tblGrid>
      <w:tr w14:paraId="5B8AA3A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69" w:type="pct"/>
            <w:noWrap/>
            <w:vAlign w:val="center"/>
          </w:tcPr>
          <w:p w14:paraId="13C22828">
            <w:pPr>
              <w:spacing w:line="240" w:lineRule="auto"/>
              <w:ind w:firstLine="0" w:firstLineChars="0"/>
              <w:contextualSpacing/>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序号</w:t>
            </w:r>
          </w:p>
        </w:tc>
        <w:tc>
          <w:tcPr>
            <w:tcW w:w="1455" w:type="pct"/>
            <w:noWrap/>
            <w:vAlign w:val="center"/>
          </w:tcPr>
          <w:p w14:paraId="386AA88C">
            <w:pPr>
              <w:spacing w:line="240" w:lineRule="auto"/>
              <w:ind w:firstLine="0" w:firstLineChars="0"/>
              <w:contextualSpacing/>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产品名称</w:t>
            </w:r>
          </w:p>
        </w:tc>
        <w:tc>
          <w:tcPr>
            <w:tcW w:w="1876" w:type="pct"/>
            <w:noWrap/>
            <w:vAlign w:val="center"/>
          </w:tcPr>
          <w:p w14:paraId="75582543">
            <w:pPr>
              <w:spacing w:line="240" w:lineRule="auto"/>
              <w:ind w:firstLine="0" w:firstLineChars="0"/>
              <w:contextualSpacing/>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规格型号</w:t>
            </w:r>
          </w:p>
        </w:tc>
        <w:tc>
          <w:tcPr>
            <w:tcW w:w="785" w:type="pct"/>
            <w:noWrap/>
            <w:vAlign w:val="center"/>
          </w:tcPr>
          <w:p w14:paraId="1DC45DE7">
            <w:pPr>
              <w:spacing w:line="240" w:lineRule="auto"/>
              <w:ind w:firstLine="0" w:firstLineChars="0"/>
              <w:contextualSpacing/>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存放位置</w:t>
            </w:r>
          </w:p>
        </w:tc>
        <w:tc>
          <w:tcPr>
            <w:tcW w:w="513" w:type="pct"/>
            <w:noWrap/>
            <w:vAlign w:val="center"/>
          </w:tcPr>
          <w:p w14:paraId="51B913B0">
            <w:pPr>
              <w:spacing w:line="240" w:lineRule="auto"/>
              <w:ind w:firstLine="0" w:firstLineChars="0"/>
              <w:contextualSpacing/>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数量</w:t>
            </w:r>
          </w:p>
        </w:tc>
      </w:tr>
      <w:tr w14:paraId="6E77608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69" w:type="pct"/>
            <w:vMerge w:val="restart"/>
            <w:noWrap/>
            <w:vAlign w:val="center"/>
          </w:tcPr>
          <w:p w14:paraId="2AE5A18E">
            <w:pPr>
              <w:spacing w:line="240" w:lineRule="auto"/>
              <w:ind w:firstLine="0" w:firstLineChars="0"/>
              <w:contextualSpacing/>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1</w:t>
            </w:r>
          </w:p>
        </w:tc>
        <w:tc>
          <w:tcPr>
            <w:tcW w:w="1455" w:type="pct"/>
            <w:vMerge w:val="restart"/>
            <w:vAlign w:val="center"/>
          </w:tcPr>
          <w:p w14:paraId="7E3A622E">
            <w:pPr>
              <w:spacing w:line="240" w:lineRule="auto"/>
              <w:ind w:firstLine="0" w:firstLineChars="0"/>
              <w:contextualSpacing/>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应急型围油栏</w:t>
            </w:r>
          </w:p>
        </w:tc>
        <w:tc>
          <w:tcPr>
            <w:tcW w:w="1876" w:type="pct"/>
            <w:noWrap/>
            <w:vAlign w:val="center"/>
          </w:tcPr>
          <w:p w14:paraId="44482DD8">
            <w:pPr>
              <w:spacing w:line="240" w:lineRule="auto"/>
              <w:ind w:firstLine="0" w:firstLineChars="0"/>
              <w:contextualSpacing/>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快速布放型</w:t>
            </w:r>
          </w:p>
        </w:tc>
        <w:tc>
          <w:tcPr>
            <w:tcW w:w="785" w:type="pct"/>
            <w:noWrap/>
            <w:vAlign w:val="center"/>
          </w:tcPr>
          <w:p w14:paraId="6A241874">
            <w:pPr>
              <w:spacing w:line="240" w:lineRule="auto"/>
              <w:ind w:firstLine="0" w:firstLineChars="0"/>
              <w:contextualSpacing/>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码头集装箱</w:t>
            </w:r>
          </w:p>
        </w:tc>
        <w:tc>
          <w:tcPr>
            <w:tcW w:w="513" w:type="pct"/>
            <w:noWrap/>
            <w:vAlign w:val="center"/>
          </w:tcPr>
          <w:p w14:paraId="6989300E">
            <w:pPr>
              <w:spacing w:line="240" w:lineRule="auto"/>
              <w:ind w:firstLine="0" w:firstLineChars="0"/>
              <w:contextualSpacing/>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700m</w:t>
            </w:r>
          </w:p>
        </w:tc>
      </w:tr>
      <w:tr w14:paraId="3AA5E5A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69" w:type="pct"/>
            <w:vMerge w:val="continue"/>
            <w:noWrap/>
            <w:vAlign w:val="center"/>
          </w:tcPr>
          <w:p w14:paraId="079A0EE0">
            <w:pPr>
              <w:spacing w:line="240" w:lineRule="auto"/>
              <w:ind w:firstLine="0" w:firstLineChars="0"/>
              <w:contextualSpacing/>
              <w:jc w:val="center"/>
              <w:rPr>
                <w:bCs/>
                <w:color w:val="000000" w:themeColor="text1"/>
                <w:sz w:val="21"/>
                <w:szCs w:val="21"/>
                <w14:textFill>
                  <w14:solidFill>
                    <w14:schemeClr w14:val="tx1"/>
                  </w14:solidFill>
                </w14:textFill>
              </w:rPr>
            </w:pPr>
          </w:p>
        </w:tc>
        <w:tc>
          <w:tcPr>
            <w:tcW w:w="1455" w:type="pct"/>
            <w:vMerge w:val="continue"/>
            <w:vAlign w:val="center"/>
          </w:tcPr>
          <w:p w14:paraId="6375C7AD">
            <w:pPr>
              <w:spacing w:line="240" w:lineRule="auto"/>
              <w:ind w:firstLine="0" w:firstLineChars="0"/>
              <w:contextualSpacing/>
              <w:jc w:val="center"/>
              <w:rPr>
                <w:bCs/>
                <w:color w:val="000000" w:themeColor="text1"/>
                <w:sz w:val="21"/>
                <w:szCs w:val="21"/>
                <w14:textFill>
                  <w14:solidFill>
                    <w14:schemeClr w14:val="tx1"/>
                  </w14:solidFill>
                </w14:textFill>
              </w:rPr>
            </w:pPr>
          </w:p>
        </w:tc>
        <w:tc>
          <w:tcPr>
            <w:tcW w:w="1876" w:type="pct"/>
            <w:noWrap/>
            <w:vAlign w:val="center"/>
          </w:tcPr>
          <w:p w14:paraId="03744C22">
            <w:pPr>
              <w:spacing w:line="240" w:lineRule="auto"/>
              <w:ind w:firstLine="0" w:firstLineChars="0"/>
              <w:contextualSpacing/>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固体浮子式围油栏</w:t>
            </w:r>
          </w:p>
        </w:tc>
        <w:tc>
          <w:tcPr>
            <w:tcW w:w="785" w:type="pct"/>
            <w:noWrap/>
            <w:vAlign w:val="center"/>
          </w:tcPr>
          <w:p w14:paraId="65E261DF">
            <w:pPr>
              <w:spacing w:line="240" w:lineRule="auto"/>
              <w:ind w:firstLine="0" w:firstLineChars="0"/>
              <w:contextualSpacing/>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泊位</w:t>
            </w:r>
          </w:p>
        </w:tc>
        <w:tc>
          <w:tcPr>
            <w:tcW w:w="513" w:type="pct"/>
            <w:noWrap/>
            <w:vAlign w:val="center"/>
          </w:tcPr>
          <w:p w14:paraId="146A3736">
            <w:pPr>
              <w:spacing w:line="240" w:lineRule="auto"/>
              <w:ind w:firstLine="0" w:firstLineChars="0"/>
              <w:contextualSpacing/>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750m</w:t>
            </w:r>
          </w:p>
        </w:tc>
      </w:tr>
      <w:tr w14:paraId="5C2CAF7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69" w:type="pct"/>
            <w:noWrap/>
            <w:vAlign w:val="center"/>
          </w:tcPr>
          <w:p w14:paraId="0579FF99">
            <w:pPr>
              <w:spacing w:line="240" w:lineRule="auto"/>
              <w:ind w:firstLine="0" w:firstLineChars="0"/>
              <w:contextualSpacing/>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2</w:t>
            </w:r>
          </w:p>
        </w:tc>
        <w:tc>
          <w:tcPr>
            <w:tcW w:w="1455" w:type="pct"/>
            <w:vAlign w:val="center"/>
          </w:tcPr>
          <w:p w14:paraId="5B104DE3">
            <w:pPr>
              <w:spacing w:line="240" w:lineRule="auto"/>
              <w:ind w:firstLine="0" w:firstLineChars="0"/>
              <w:contextualSpacing/>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依托应急卸载泵</w:t>
            </w:r>
          </w:p>
        </w:tc>
        <w:tc>
          <w:tcPr>
            <w:tcW w:w="1876" w:type="pct"/>
            <w:noWrap/>
            <w:vAlign w:val="center"/>
          </w:tcPr>
          <w:p w14:paraId="1D0E8559">
            <w:pPr>
              <w:spacing w:line="240" w:lineRule="auto"/>
              <w:ind w:firstLine="0" w:firstLineChars="0"/>
              <w:contextualSpacing/>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总卸载能力大于30t/h，T1级防爆型</w:t>
            </w:r>
          </w:p>
        </w:tc>
        <w:tc>
          <w:tcPr>
            <w:tcW w:w="785" w:type="pct"/>
            <w:noWrap/>
            <w:vAlign w:val="center"/>
          </w:tcPr>
          <w:p w14:paraId="63B81A86">
            <w:pPr>
              <w:spacing w:line="240" w:lineRule="auto"/>
              <w:ind w:firstLine="0" w:firstLineChars="0"/>
              <w:contextualSpacing/>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w:t>
            </w:r>
          </w:p>
        </w:tc>
        <w:tc>
          <w:tcPr>
            <w:tcW w:w="513" w:type="pct"/>
            <w:noWrap/>
            <w:vAlign w:val="center"/>
          </w:tcPr>
          <w:p w14:paraId="601B314F">
            <w:pPr>
              <w:spacing w:line="240" w:lineRule="auto"/>
              <w:ind w:firstLine="0" w:firstLineChars="0"/>
              <w:contextualSpacing/>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1台</w:t>
            </w:r>
          </w:p>
        </w:tc>
      </w:tr>
      <w:tr w14:paraId="0D544EA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69" w:type="pct"/>
            <w:noWrap/>
            <w:vAlign w:val="center"/>
          </w:tcPr>
          <w:p w14:paraId="213B651F">
            <w:pPr>
              <w:spacing w:line="240" w:lineRule="auto"/>
              <w:ind w:firstLine="0" w:firstLineChars="0"/>
              <w:contextualSpacing/>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3</w:t>
            </w:r>
          </w:p>
        </w:tc>
        <w:tc>
          <w:tcPr>
            <w:tcW w:w="1455" w:type="pct"/>
            <w:vAlign w:val="center"/>
          </w:tcPr>
          <w:p w14:paraId="73FA3526">
            <w:pPr>
              <w:spacing w:line="240" w:lineRule="auto"/>
              <w:ind w:firstLine="0" w:firstLineChars="0"/>
              <w:contextualSpacing/>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收油机</w:t>
            </w:r>
          </w:p>
        </w:tc>
        <w:tc>
          <w:tcPr>
            <w:tcW w:w="1876" w:type="pct"/>
            <w:noWrap/>
            <w:vAlign w:val="center"/>
          </w:tcPr>
          <w:p w14:paraId="2D4615AA">
            <w:pPr>
              <w:spacing w:line="240" w:lineRule="auto"/>
              <w:ind w:firstLine="0" w:firstLineChars="0"/>
              <w:contextualSpacing/>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回收能力高于15m</w:t>
            </w:r>
            <w:r>
              <w:rPr>
                <w:bCs/>
                <w:color w:val="000000" w:themeColor="text1"/>
                <w:sz w:val="21"/>
                <w:szCs w:val="21"/>
                <w:vertAlign w:val="superscript"/>
                <w14:textFill>
                  <w14:solidFill>
                    <w14:schemeClr w14:val="tx1"/>
                  </w14:solidFill>
                </w14:textFill>
              </w:rPr>
              <w:t>3</w:t>
            </w:r>
            <w:r>
              <w:rPr>
                <w:bCs/>
                <w:color w:val="000000" w:themeColor="text1"/>
                <w:sz w:val="21"/>
                <w:szCs w:val="21"/>
                <w14:textFill>
                  <w14:solidFill>
                    <w14:schemeClr w14:val="tx1"/>
                  </w14:solidFill>
                </w14:textFill>
              </w:rPr>
              <w:t>/h</w:t>
            </w:r>
          </w:p>
        </w:tc>
        <w:tc>
          <w:tcPr>
            <w:tcW w:w="785" w:type="pct"/>
            <w:noWrap/>
            <w:vAlign w:val="center"/>
          </w:tcPr>
          <w:p w14:paraId="01A6A57F">
            <w:pPr>
              <w:spacing w:line="240" w:lineRule="auto"/>
              <w:ind w:firstLine="0" w:firstLineChars="0"/>
              <w:contextualSpacing/>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码头集装箱</w:t>
            </w:r>
          </w:p>
        </w:tc>
        <w:tc>
          <w:tcPr>
            <w:tcW w:w="513" w:type="pct"/>
            <w:noWrap/>
            <w:vAlign w:val="center"/>
          </w:tcPr>
          <w:p w14:paraId="12CECA30">
            <w:pPr>
              <w:spacing w:line="240" w:lineRule="auto"/>
              <w:ind w:firstLine="0" w:firstLineChars="0"/>
              <w:contextualSpacing/>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1台</w:t>
            </w:r>
          </w:p>
        </w:tc>
      </w:tr>
      <w:tr w14:paraId="0E9A8B1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69" w:type="pct"/>
            <w:noWrap/>
            <w:vAlign w:val="center"/>
          </w:tcPr>
          <w:p w14:paraId="066DF213">
            <w:pPr>
              <w:spacing w:line="240" w:lineRule="auto"/>
              <w:ind w:firstLine="0" w:firstLineChars="0"/>
              <w:contextualSpacing/>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4</w:t>
            </w:r>
          </w:p>
        </w:tc>
        <w:tc>
          <w:tcPr>
            <w:tcW w:w="1455" w:type="pct"/>
            <w:noWrap/>
            <w:vAlign w:val="center"/>
          </w:tcPr>
          <w:p w14:paraId="129452E0">
            <w:pPr>
              <w:spacing w:line="240" w:lineRule="auto"/>
              <w:ind w:firstLine="0" w:firstLineChars="0"/>
              <w:contextualSpacing/>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吸油毡</w:t>
            </w:r>
          </w:p>
        </w:tc>
        <w:tc>
          <w:tcPr>
            <w:tcW w:w="1876" w:type="pct"/>
            <w:noWrap/>
            <w:vAlign w:val="center"/>
          </w:tcPr>
          <w:p w14:paraId="4246EE03">
            <w:pPr>
              <w:spacing w:line="240" w:lineRule="auto"/>
              <w:ind w:firstLine="0" w:firstLineChars="0"/>
              <w:contextualSpacing/>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吸油性达到本身重量10倍以上，吸水性为本身重量10%以下，持油性保持率80%以上</w:t>
            </w:r>
          </w:p>
        </w:tc>
        <w:tc>
          <w:tcPr>
            <w:tcW w:w="785" w:type="pct"/>
            <w:noWrap/>
            <w:vAlign w:val="center"/>
          </w:tcPr>
          <w:p w14:paraId="1B9E5D03">
            <w:pPr>
              <w:spacing w:line="240" w:lineRule="auto"/>
              <w:ind w:firstLine="0" w:firstLineChars="0"/>
              <w:contextualSpacing/>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码头集装箱</w:t>
            </w:r>
          </w:p>
        </w:tc>
        <w:tc>
          <w:tcPr>
            <w:tcW w:w="513" w:type="pct"/>
            <w:noWrap/>
            <w:vAlign w:val="center"/>
          </w:tcPr>
          <w:p w14:paraId="699B443D">
            <w:pPr>
              <w:spacing w:line="240" w:lineRule="auto"/>
              <w:ind w:firstLine="0" w:firstLineChars="0"/>
              <w:contextualSpacing/>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2.5t</w:t>
            </w:r>
          </w:p>
        </w:tc>
      </w:tr>
      <w:tr w14:paraId="70EEADC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69" w:type="pct"/>
            <w:noWrap/>
            <w:vAlign w:val="center"/>
          </w:tcPr>
          <w:p w14:paraId="4F78EE37">
            <w:pPr>
              <w:spacing w:line="240" w:lineRule="auto"/>
              <w:ind w:firstLine="0" w:firstLineChars="0"/>
              <w:contextualSpacing/>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5</w:t>
            </w:r>
          </w:p>
        </w:tc>
        <w:tc>
          <w:tcPr>
            <w:tcW w:w="1455" w:type="pct"/>
            <w:noWrap/>
            <w:vAlign w:val="center"/>
          </w:tcPr>
          <w:p w14:paraId="3DAA63A7">
            <w:pPr>
              <w:spacing w:line="240" w:lineRule="auto"/>
              <w:ind w:firstLine="0" w:firstLineChars="0"/>
              <w:contextualSpacing/>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吸油拖栏</w:t>
            </w:r>
          </w:p>
        </w:tc>
        <w:tc>
          <w:tcPr>
            <w:tcW w:w="1876" w:type="pct"/>
            <w:noWrap/>
            <w:vAlign w:val="center"/>
          </w:tcPr>
          <w:p w14:paraId="622849F1">
            <w:pPr>
              <w:spacing w:line="240" w:lineRule="auto"/>
              <w:ind w:firstLine="0" w:firstLineChars="0"/>
              <w:contextualSpacing/>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直径≥200mm</w:t>
            </w:r>
          </w:p>
        </w:tc>
        <w:tc>
          <w:tcPr>
            <w:tcW w:w="785" w:type="pct"/>
            <w:noWrap/>
            <w:vAlign w:val="center"/>
          </w:tcPr>
          <w:p w14:paraId="134ABF91">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码头集装箱</w:t>
            </w:r>
          </w:p>
        </w:tc>
        <w:tc>
          <w:tcPr>
            <w:tcW w:w="513" w:type="pct"/>
            <w:noWrap/>
            <w:vAlign w:val="center"/>
          </w:tcPr>
          <w:p w14:paraId="716E53E5">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300m</w:t>
            </w:r>
          </w:p>
        </w:tc>
      </w:tr>
      <w:tr w14:paraId="20003B7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69" w:type="pct"/>
            <w:noWrap/>
            <w:vAlign w:val="center"/>
          </w:tcPr>
          <w:p w14:paraId="5BF5C775">
            <w:pPr>
              <w:spacing w:line="240" w:lineRule="auto"/>
              <w:ind w:firstLine="0" w:firstLineChars="0"/>
              <w:contextualSpacing/>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6</w:t>
            </w:r>
          </w:p>
        </w:tc>
        <w:tc>
          <w:tcPr>
            <w:tcW w:w="1455" w:type="pct"/>
            <w:noWrap/>
            <w:vAlign w:val="center"/>
          </w:tcPr>
          <w:p w14:paraId="3E1C7900">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临时储存设备</w:t>
            </w:r>
          </w:p>
        </w:tc>
        <w:tc>
          <w:tcPr>
            <w:tcW w:w="1876" w:type="pct"/>
            <w:noWrap/>
            <w:vAlign w:val="center"/>
          </w:tcPr>
          <w:p w14:paraId="0FE5B334">
            <w:pPr>
              <w:spacing w:line="240" w:lineRule="auto"/>
              <w:ind w:firstLine="0" w:firstLineChars="0"/>
              <w:contextualSpacing/>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总容量高于180m</w:t>
            </w:r>
            <w:r>
              <w:rPr>
                <w:rFonts w:hint="eastAsia"/>
                <w:bCs/>
                <w:color w:val="000000" w:themeColor="text1"/>
                <w:sz w:val="21"/>
                <w:szCs w:val="21"/>
                <w:vertAlign w:val="superscript"/>
                <w14:textFill>
                  <w14:solidFill>
                    <w14:schemeClr w14:val="tx1"/>
                  </w14:solidFill>
                </w14:textFill>
              </w:rPr>
              <w:t>3</w:t>
            </w:r>
            <w:r>
              <w:rPr>
                <w:bCs/>
                <w:color w:val="000000" w:themeColor="text1"/>
                <w:sz w:val="21"/>
                <w:szCs w:val="21"/>
                <w14:textFill>
                  <w14:solidFill>
                    <w14:schemeClr w14:val="tx1"/>
                  </w14:solidFill>
                </w14:textFill>
              </w:rPr>
              <w:t>，其中临时储罐形式大于36m</w:t>
            </w:r>
            <w:r>
              <w:rPr>
                <w:rFonts w:hint="eastAsia"/>
                <w:bCs/>
                <w:color w:val="000000" w:themeColor="text1"/>
                <w:sz w:val="21"/>
                <w:szCs w:val="21"/>
                <w:vertAlign w:val="superscript"/>
                <w14:textFill>
                  <w14:solidFill>
                    <w14:schemeClr w14:val="tx1"/>
                  </w14:solidFill>
                </w14:textFill>
              </w:rPr>
              <w:t>3</w:t>
            </w:r>
            <w:r>
              <w:rPr>
                <w:bCs/>
                <w:color w:val="000000" w:themeColor="text1"/>
                <w:sz w:val="21"/>
                <w:szCs w:val="21"/>
                <w14:textFill>
                  <w14:solidFill>
                    <w14:schemeClr w14:val="tx1"/>
                  </w14:solidFill>
                </w14:textFill>
              </w:rPr>
              <w:t>，不足部分由应急清污船舱补足</w:t>
            </w:r>
          </w:p>
        </w:tc>
        <w:tc>
          <w:tcPr>
            <w:tcW w:w="785" w:type="pct"/>
            <w:noWrap/>
            <w:vAlign w:val="center"/>
          </w:tcPr>
          <w:p w14:paraId="73AE8D33">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码头集装箱</w:t>
            </w:r>
          </w:p>
        </w:tc>
        <w:tc>
          <w:tcPr>
            <w:tcW w:w="513" w:type="pct"/>
            <w:noWrap/>
            <w:vAlign w:val="center"/>
          </w:tcPr>
          <w:p w14:paraId="0F3C45B5">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6套</w:t>
            </w:r>
          </w:p>
        </w:tc>
      </w:tr>
      <w:tr w14:paraId="4DD304E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69" w:type="pct"/>
            <w:noWrap/>
            <w:vAlign w:val="center"/>
          </w:tcPr>
          <w:p w14:paraId="44D73F78">
            <w:pPr>
              <w:spacing w:line="240" w:lineRule="auto"/>
              <w:ind w:firstLine="0" w:firstLineChars="0"/>
              <w:contextualSpacing/>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7</w:t>
            </w:r>
          </w:p>
        </w:tc>
        <w:tc>
          <w:tcPr>
            <w:tcW w:w="1455" w:type="pct"/>
            <w:noWrap/>
            <w:vAlign w:val="center"/>
          </w:tcPr>
          <w:p w14:paraId="687BB96D">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溢油分散剂</w:t>
            </w:r>
          </w:p>
        </w:tc>
        <w:tc>
          <w:tcPr>
            <w:tcW w:w="1876" w:type="pct"/>
            <w:noWrap/>
            <w:vAlign w:val="center"/>
          </w:tcPr>
          <w:p w14:paraId="3FDC5576">
            <w:pPr>
              <w:spacing w:line="240" w:lineRule="auto"/>
              <w:ind w:firstLine="0" w:firstLineChars="0"/>
              <w:contextualSpacing/>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环保型分散剂，自购3t，另外由分散剂厂商协议配备3t</w:t>
            </w:r>
          </w:p>
        </w:tc>
        <w:tc>
          <w:tcPr>
            <w:tcW w:w="785" w:type="pct"/>
            <w:noWrap/>
            <w:vAlign w:val="center"/>
          </w:tcPr>
          <w:p w14:paraId="632A7138">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码头集装箱</w:t>
            </w:r>
          </w:p>
        </w:tc>
        <w:tc>
          <w:tcPr>
            <w:tcW w:w="513" w:type="pct"/>
            <w:noWrap/>
            <w:vAlign w:val="center"/>
          </w:tcPr>
          <w:p w14:paraId="3DFC8CFE">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3t</w:t>
            </w:r>
          </w:p>
        </w:tc>
      </w:tr>
      <w:tr w14:paraId="6075498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69" w:type="pct"/>
            <w:noWrap/>
            <w:vAlign w:val="center"/>
          </w:tcPr>
          <w:p w14:paraId="6B326B60">
            <w:pPr>
              <w:spacing w:line="240" w:lineRule="auto"/>
              <w:ind w:firstLine="0" w:firstLineChars="0"/>
              <w:contextualSpacing/>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8</w:t>
            </w:r>
          </w:p>
        </w:tc>
        <w:tc>
          <w:tcPr>
            <w:tcW w:w="1455" w:type="pct"/>
            <w:noWrap/>
            <w:vAlign w:val="center"/>
          </w:tcPr>
          <w:p w14:paraId="670BD0A3">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溢油分散剂喷洒装置</w:t>
            </w:r>
          </w:p>
        </w:tc>
        <w:tc>
          <w:tcPr>
            <w:tcW w:w="1876" w:type="pct"/>
            <w:noWrap/>
            <w:vAlign w:val="center"/>
          </w:tcPr>
          <w:p w14:paraId="6862B183">
            <w:pPr>
              <w:spacing w:line="240" w:lineRule="auto"/>
              <w:ind w:firstLine="0" w:firstLineChars="0"/>
              <w:contextualSpacing/>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便携式，喷洒速率大于0.25t/h套</w:t>
            </w:r>
          </w:p>
        </w:tc>
        <w:tc>
          <w:tcPr>
            <w:tcW w:w="785" w:type="pct"/>
            <w:noWrap/>
            <w:vAlign w:val="center"/>
          </w:tcPr>
          <w:p w14:paraId="1CBD3873">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码头集装箱</w:t>
            </w:r>
          </w:p>
        </w:tc>
        <w:tc>
          <w:tcPr>
            <w:tcW w:w="513" w:type="pct"/>
            <w:noWrap/>
            <w:vAlign w:val="center"/>
          </w:tcPr>
          <w:p w14:paraId="2BE27A7D">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1套</w:t>
            </w:r>
          </w:p>
        </w:tc>
      </w:tr>
      <w:tr w14:paraId="0044DD2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69" w:type="pct"/>
            <w:noWrap/>
            <w:vAlign w:val="center"/>
          </w:tcPr>
          <w:p w14:paraId="3EAE1893">
            <w:pPr>
              <w:spacing w:line="240" w:lineRule="auto"/>
              <w:ind w:firstLine="0" w:firstLineChars="0"/>
              <w:contextualSpacing/>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9</w:t>
            </w:r>
          </w:p>
        </w:tc>
        <w:tc>
          <w:tcPr>
            <w:tcW w:w="1455" w:type="pct"/>
            <w:noWrap/>
            <w:vAlign w:val="center"/>
          </w:tcPr>
          <w:p w14:paraId="1990777A">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油拖网</w:t>
            </w:r>
          </w:p>
        </w:tc>
        <w:tc>
          <w:tcPr>
            <w:tcW w:w="1876" w:type="pct"/>
            <w:noWrap/>
            <w:vAlign w:val="center"/>
          </w:tcPr>
          <w:p w14:paraId="6B42AA17">
            <w:pPr>
              <w:spacing w:line="240" w:lineRule="auto"/>
              <w:ind w:firstLine="0" w:firstLineChars="0"/>
              <w:contextualSpacing/>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容量大于6m</w:t>
            </w:r>
            <w:r>
              <w:rPr>
                <w:rFonts w:hint="eastAsia"/>
                <w:bCs/>
                <w:color w:val="000000" w:themeColor="text1"/>
                <w:sz w:val="21"/>
                <w:szCs w:val="21"/>
                <w:vertAlign w:val="superscript"/>
                <w14:textFill>
                  <w14:solidFill>
                    <w14:schemeClr w14:val="tx1"/>
                  </w14:solidFill>
                </w14:textFill>
              </w:rPr>
              <w:t>3</w:t>
            </w:r>
          </w:p>
        </w:tc>
        <w:tc>
          <w:tcPr>
            <w:tcW w:w="785" w:type="pct"/>
            <w:noWrap/>
            <w:vAlign w:val="center"/>
          </w:tcPr>
          <w:p w14:paraId="45F9B67E">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码头集装箱</w:t>
            </w:r>
          </w:p>
        </w:tc>
        <w:tc>
          <w:tcPr>
            <w:tcW w:w="513" w:type="pct"/>
            <w:noWrap/>
            <w:vAlign w:val="center"/>
          </w:tcPr>
          <w:p w14:paraId="22DA0DBE">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2套</w:t>
            </w:r>
          </w:p>
        </w:tc>
      </w:tr>
      <w:tr w14:paraId="0A2A903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69" w:type="pct"/>
            <w:noWrap/>
            <w:vAlign w:val="center"/>
          </w:tcPr>
          <w:p w14:paraId="72ECAF34">
            <w:pPr>
              <w:spacing w:line="240" w:lineRule="auto"/>
              <w:ind w:firstLine="0" w:firstLineChars="0"/>
              <w:contextualSpacing/>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10</w:t>
            </w:r>
          </w:p>
        </w:tc>
        <w:tc>
          <w:tcPr>
            <w:tcW w:w="1455" w:type="pct"/>
            <w:noWrap/>
            <w:vAlign w:val="center"/>
          </w:tcPr>
          <w:p w14:paraId="51D06E6C">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*应急清污船</w:t>
            </w:r>
          </w:p>
        </w:tc>
        <w:tc>
          <w:tcPr>
            <w:tcW w:w="1876" w:type="pct"/>
            <w:noWrap/>
            <w:vAlign w:val="center"/>
          </w:tcPr>
          <w:p w14:paraId="2BBEBA92">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w:t>
            </w:r>
          </w:p>
        </w:tc>
        <w:tc>
          <w:tcPr>
            <w:tcW w:w="785" w:type="pct"/>
            <w:noWrap/>
            <w:vAlign w:val="center"/>
          </w:tcPr>
          <w:p w14:paraId="643E1B9B">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泊位</w:t>
            </w:r>
          </w:p>
        </w:tc>
        <w:tc>
          <w:tcPr>
            <w:tcW w:w="513" w:type="pct"/>
            <w:noWrap/>
            <w:vAlign w:val="center"/>
          </w:tcPr>
          <w:p w14:paraId="087C3AA9">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1艘</w:t>
            </w:r>
          </w:p>
        </w:tc>
      </w:tr>
      <w:tr w14:paraId="04D5655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69" w:type="pct"/>
            <w:noWrap/>
            <w:vAlign w:val="center"/>
          </w:tcPr>
          <w:p w14:paraId="12F73013">
            <w:pPr>
              <w:spacing w:line="240" w:lineRule="auto"/>
              <w:ind w:firstLine="0" w:firstLineChars="0"/>
              <w:contextualSpacing/>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11</w:t>
            </w:r>
          </w:p>
        </w:tc>
        <w:tc>
          <w:tcPr>
            <w:tcW w:w="1455" w:type="pct"/>
            <w:noWrap/>
            <w:vAlign w:val="center"/>
          </w:tcPr>
          <w:p w14:paraId="05A14535">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*围油栏布放艇</w:t>
            </w:r>
          </w:p>
        </w:tc>
        <w:tc>
          <w:tcPr>
            <w:tcW w:w="1876" w:type="pct"/>
            <w:noWrap/>
            <w:vAlign w:val="center"/>
          </w:tcPr>
          <w:p w14:paraId="41947705">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w:t>
            </w:r>
          </w:p>
        </w:tc>
        <w:tc>
          <w:tcPr>
            <w:tcW w:w="785" w:type="pct"/>
            <w:noWrap/>
            <w:vAlign w:val="center"/>
          </w:tcPr>
          <w:p w14:paraId="1FB6C3BD">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泊位</w:t>
            </w:r>
          </w:p>
        </w:tc>
        <w:tc>
          <w:tcPr>
            <w:tcW w:w="513" w:type="pct"/>
            <w:noWrap/>
            <w:vAlign w:val="center"/>
          </w:tcPr>
          <w:p w14:paraId="49377E29">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1艘</w:t>
            </w:r>
          </w:p>
        </w:tc>
      </w:tr>
      <w:tr w14:paraId="2B28625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69" w:type="pct"/>
            <w:noWrap/>
            <w:vAlign w:val="center"/>
          </w:tcPr>
          <w:p w14:paraId="1D37B687">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12</w:t>
            </w:r>
          </w:p>
        </w:tc>
        <w:tc>
          <w:tcPr>
            <w:tcW w:w="1455" w:type="pct"/>
            <w:noWrap/>
            <w:vAlign w:val="center"/>
          </w:tcPr>
          <w:p w14:paraId="623501FF">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应急物资集装箱</w:t>
            </w:r>
          </w:p>
        </w:tc>
        <w:tc>
          <w:tcPr>
            <w:tcW w:w="1876" w:type="pct"/>
            <w:noWrap/>
            <w:vAlign w:val="center"/>
          </w:tcPr>
          <w:p w14:paraId="07AEE11E">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w:t>
            </w:r>
          </w:p>
        </w:tc>
        <w:tc>
          <w:tcPr>
            <w:tcW w:w="785" w:type="pct"/>
            <w:noWrap/>
            <w:vAlign w:val="center"/>
          </w:tcPr>
          <w:p w14:paraId="5C381AC2">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码头面</w:t>
            </w:r>
          </w:p>
        </w:tc>
        <w:tc>
          <w:tcPr>
            <w:tcW w:w="513" w:type="pct"/>
            <w:noWrap/>
            <w:vAlign w:val="center"/>
          </w:tcPr>
          <w:p w14:paraId="7522EE4B">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2个</w:t>
            </w:r>
          </w:p>
        </w:tc>
      </w:tr>
      <w:tr w14:paraId="448499A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69" w:type="pct"/>
            <w:noWrap/>
            <w:vAlign w:val="center"/>
          </w:tcPr>
          <w:p w14:paraId="76B20BB8">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13</w:t>
            </w:r>
          </w:p>
        </w:tc>
        <w:tc>
          <w:tcPr>
            <w:tcW w:w="1455" w:type="pct"/>
            <w:noWrap/>
            <w:vAlign w:val="center"/>
          </w:tcPr>
          <w:p w14:paraId="366BBB62">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防火隔热服</w:t>
            </w:r>
          </w:p>
        </w:tc>
        <w:tc>
          <w:tcPr>
            <w:tcW w:w="1876" w:type="pct"/>
            <w:noWrap/>
            <w:vAlign w:val="center"/>
          </w:tcPr>
          <w:p w14:paraId="1AF4F42A">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w:t>
            </w:r>
          </w:p>
        </w:tc>
        <w:tc>
          <w:tcPr>
            <w:tcW w:w="785" w:type="pct"/>
            <w:noWrap/>
            <w:vAlign w:val="center"/>
          </w:tcPr>
          <w:p w14:paraId="288770DF">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综合用房</w:t>
            </w:r>
          </w:p>
        </w:tc>
        <w:tc>
          <w:tcPr>
            <w:tcW w:w="513" w:type="pct"/>
            <w:noWrap/>
            <w:vAlign w:val="center"/>
          </w:tcPr>
          <w:p w14:paraId="32DB8814">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4套</w:t>
            </w:r>
          </w:p>
        </w:tc>
      </w:tr>
      <w:tr w14:paraId="1DECBA3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69" w:type="pct"/>
            <w:noWrap/>
            <w:vAlign w:val="center"/>
          </w:tcPr>
          <w:p w14:paraId="123BC04E">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14</w:t>
            </w:r>
          </w:p>
        </w:tc>
        <w:tc>
          <w:tcPr>
            <w:tcW w:w="1455" w:type="pct"/>
            <w:noWrap/>
            <w:vAlign w:val="center"/>
          </w:tcPr>
          <w:p w14:paraId="1DF7C696">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防冻服</w:t>
            </w:r>
          </w:p>
        </w:tc>
        <w:tc>
          <w:tcPr>
            <w:tcW w:w="1876" w:type="pct"/>
            <w:noWrap/>
            <w:vAlign w:val="center"/>
          </w:tcPr>
          <w:p w14:paraId="72744579">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w:t>
            </w:r>
          </w:p>
        </w:tc>
        <w:tc>
          <w:tcPr>
            <w:tcW w:w="785" w:type="pct"/>
            <w:noWrap/>
            <w:vAlign w:val="center"/>
          </w:tcPr>
          <w:p w14:paraId="1BD5FFD0">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综合用房</w:t>
            </w:r>
          </w:p>
        </w:tc>
        <w:tc>
          <w:tcPr>
            <w:tcW w:w="513" w:type="pct"/>
            <w:noWrap/>
            <w:vAlign w:val="center"/>
          </w:tcPr>
          <w:p w14:paraId="5C15841B">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10套</w:t>
            </w:r>
          </w:p>
        </w:tc>
      </w:tr>
      <w:tr w14:paraId="6ABC211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69" w:type="pct"/>
            <w:noWrap/>
            <w:vAlign w:val="center"/>
          </w:tcPr>
          <w:p w14:paraId="08E8B12A">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15</w:t>
            </w:r>
          </w:p>
        </w:tc>
        <w:tc>
          <w:tcPr>
            <w:tcW w:w="1455" w:type="pct"/>
            <w:noWrap/>
            <w:vAlign w:val="center"/>
          </w:tcPr>
          <w:p w14:paraId="637900E8">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防护衣</w:t>
            </w:r>
          </w:p>
        </w:tc>
        <w:tc>
          <w:tcPr>
            <w:tcW w:w="1876" w:type="pct"/>
            <w:noWrap/>
            <w:vAlign w:val="center"/>
          </w:tcPr>
          <w:p w14:paraId="47A89CC1">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w:t>
            </w:r>
          </w:p>
        </w:tc>
        <w:tc>
          <w:tcPr>
            <w:tcW w:w="785" w:type="pct"/>
            <w:noWrap/>
            <w:vAlign w:val="center"/>
          </w:tcPr>
          <w:p w14:paraId="64EE16B9">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综合用房</w:t>
            </w:r>
          </w:p>
        </w:tc>
        <w:tc>
          <w:tcPr>
            <w:tcW w:w="513" w:type="pct"/>
            <w:noWrap/>
            <w:vAlign w:val="center"/>
          </w:tcPr>
          <w:p w14:paraId="20EF24D1">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10套</w:t>
            </w:r>
          </w:p>
        </w:tc>
      </w:tr>
      <w:tr w14:paraId="210C71B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69" w:type="pct"/>
            <w:noWrap/>
            <w:vAlign w:val="center"/>
          </w:tcPr>
          <w:p w14:paraId="0A3273AE">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16</w:t>
            </w:r>
          </w:p>
        </w:tc>
        <w:tc>
          <w:tcPr>
            <w:tcW w:w="1455" w:type="pct"/>
            <w:noWrap/>
            <w:vAlign w:val="center"/>
          </w:tcPr>
          <w:p w14:paraId="5814440F">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空气呼吸器</w:t>
            </w:r>
          </w:p>
        </w:tc>
        <w:tc>
          <w:tcPr>
            <w:tcW w:w="1876" w:type="pct"/>
            <w:noWrap/>
            <w:vAlign w:val="center"/>
          </w:tcPr>
          <w:p w14:paraId="0425CA56">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w:t>
            </w:r>
          </w:p>
        </w:tc>
        <w:tc>
          <w:tcPr>
            <w:tcW w:w="785" w:type="pct"/>
            <w:noWrap/>
            <w:vAlign w:val="center"/>
          </w:tcPr>
          <w:p w14:paraId="3D58E8EA">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综合用房</w:t>
            </w:r>
          </w:p>
        </w:tc>
        <w:tc>
          <w:tcPr>
            <w:tcW w:w="513" w:type="pct"/>
            <w:noWrap/>
            <w:vAlign w:val="center"/>
          </w:tcPr>
          <w:p w14:paraId="1E0E70FB">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10套</w:t>
            </w:r>
          </w:p>
        </w:tc>
      </w:tr>
      <w:tr w14:paraId="7F02D19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69" w:type="pct"/>
            <w:noWrap/>
            <w:vAlign w:val="center"/>
          </w:tcPr>
          <w:p w14:paraId="3319AE8D">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17</w:t>
            </w:r>
          </w:p>
        </w:tc>
        <w:tc>
          <w:tcPr>
            <w:tcW w:w="1455" w:type="pct"/>
            <w:noWrap/>
            <w:vAlign w:val="center"/>
          </w:tcPr>
          <w:p w14:paraId="55B38D2A">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防毒面具</w:t>
            </w:r>
          </w:p>
        </w:tc>
        <w:tc>
          <w:tcPr>
            <w:tcW w:w="1876" w:type="pct"/>
            <w:noWrap/>
            <w:vAlign w:val="center"/>
          </w:tcPr>
          <w:p w14:paraId="0F9C65C8">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w:t>
            </w:r>
          </w:p>
        </w:tc>
        <w:tc>
          <w:tcPr>
            <w:tcW w:w="785" w:type="pct"/>
            <w:noWrap/>
            <w:vAlign w:val="center"/>
          </w:tcPr>
          <w:p w14:paraId="695ED649">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综合用房</w:t>
            </w:r>
          </w:p>
        </w:tc>
        <w:tc>
          <w:tcPr>
            <w:tcW w:w="513" w:type="pct"/>
            <w:noWrap/>
            <w:vAlign w:val="center"/>
          </w:tcPr>
          <w:p w14:paraId="18A85C3F">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10个</w:t>
            </w:r>
          </w:p>
        </w:tc>
      </w:tr>
      <w:tr w14:paraId="7CD4A21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69" w:type="pct"/>
            <w:noWrap/>
            <w:vAlign w:val="center"/>
          </w:tcPr>
          <w:p w14:paraId="0F4FEB5C">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18</w:t>
            </w:r>
          </w:p>
        </w:tc>
        <w:tc>
          <w:tcPr>
            <w:tcW w:w="1455" w:type="pct"/>
            <w:noWrap/>
            <w:vAlign w:val="center"/>
          </w:tcPr>
          <w:p w14:paraId="29815A02">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护目罩</w:t>
            </w:r>
          </w:p>
        </w:tc>
        <w:tc>
          <w:tcPr>
            <w:tcW w:w="1876" w:type="pct"/>
            <w:noWrap/>
            <w:vAlign w:val="center"/>
          </w:tcPr>
          <w:p w14:paraId="08089192">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w:t>
            </w:r>
          </w:p>
        </w:tc>
        <w:tc>
          <w:tcPr>
            <w:tcW w:w="785" w:type="pct"/>
            <w:noWrap/>
            <w:vAlign w:val="center"/>
          </w:tcPr>
          <w:p w14:paraId="1B3BE176">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综合用房</w:t>
            </w:r>
          </w:p>
        </w:tc>
        <w:tc>
          <w:tcPr>
            <w:tcW w:w="513" w:type="pct"/>
            <w:noWrap/>
            <w:vAlign w:val="center"/>
          </w:tcPr>
          <w:p w14:paraId="519BA1BA">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10个</w:t>
            </w:r>
          </w:p>
        </w:tc>
      </w:tr>
      <w:tr w14:paraId="39FF4E0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69" w:type="pct"/>
            <w:noWrap/>
            <w:vAlign w:val="center"/>
          </w:tcPr>
          <w:p w14:paraId="220CB5BF">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19</w:t>
            </w:r>
          </w:p>
        </w:tc>
        <w:tc>
          <w:tcPr>
            <w:tcW w:w="1455" w:type="pct"/>
            <w:noWrap/>
            <w:vAlign w:val="center"/>
          </w:tcPr>
          <w:p w14:paraId="752A9243">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防尘口罩</w:t>
            </w:r>
          </w:p>
        </w:tc>
        <w:tc>
          <w:tcPr>
            <w:tcW w:w="1876" w:type="pct"/>
            <w:noWrap/>
            <w:vAlign w:val="center"/>
          </w:tcPr>
          <w:p w14:paraId="7FC14B6C">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w:t>
            </w:r>
          </w:p>
        </w:tc>
        <w:tc>
          <w:tcPr>
            <w:tcW w:w="785" w:type="pct"/>
            <w:noWrap/>
            <w:vAlign w:val="center"/>
          </w:tcPr>
          <w:p w14:paraId="797ECE0A">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综合用房</w:t>
            </w:r>
          </w:p>
        </w:tc>
        <w:tc>
          <w:tcPr>
            <w:tcW w:w="513" w:type="pct"/>
            <w:noWrap/>
            <w:vAlign w:val="center"/>
          </w:tcPr>
          <w:p w14:paraId="0DA78EFC">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10个</w:t>
            </w:r>
          </w:p>
        </w:tc>
      </w:tr>
      <w:tr w14:paraId="4644808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69" w:type="pct"/>
            <w:noWrap/>
            <w:vAlign w:val="center"/>
          </w:tcPr>
          <w:p w14:paraId="4467A75A">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20</w:t>
            </w:r>
          </w:p>
        </w:tc>
        <w:tc>
          <w:tcPr>
            <w:tcW w:w="1455" w:type="pct"/>
            <w:noWrap/>
            <w:vAlign w:val="center"/>
          </w:tcPr>
          <w:p w14:paraId="01DAE1B1">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耐酸碱手套</w:t>
            </w:r>
          </w:p>
        </w:tc>
        <w:tc>
          <w:tcPr>
            <w:tcW w:w="1876" w:type="pct"/>
            <w:noWrap/>
            <w:vAlign w:val="center"/>
          </w:tcPr>
          <w:p w14:paraId="301A77F2">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w:t>
            </w:r>
          </w:p>
        </w:tc>
        <w:tc>
          <w:tcPr>
            <w:tcW w:w="785" w:type="pct"/>
            <w:noWrap/>
            <w:vAlign w:val="center"/>
          </w:tcPr>
          <w:p w14:paraId="44C7514D">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综合用房</w:t>
            </w:r>
          </w:p>
        </w:tc>
        <w:tc>
          <w:tcPr>
            <w:tcW w:w="513" w:type="pct"/>
            <w:noWrap/>
            <w:vAlign w:val="center"/>
          </w:tcPr>
          <w:p w14:paraId="58867668">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10双</w:t>
            </w:r>
          </w:p>
        </w:tc>
      </w:tr>
      <w:tr w14:paraId="60EE0ED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69" w:type="pct"/>
            <w:noWrap/>
            <w:vAlign w:val="center"/>
          </w:tcPr>
          <w:p w14:paraId="2F3C8AFB">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21</w:t>
            </w:r>
          </w:p>
        </w:tc>
        <w:tc>
          <w:tcPr>
            <w:tcW w:w="1455" w:type="pct"/>
            <w:noWrap/>
            <w:vAlign w:val="center"/>
          </w:tcPr>
          <w:p w14:paraId="1E594F18">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防冻手套</w:t>
            </w:r>
          </w:p>
        </w:tc>
        <w:tc>
          <w:tcPr>
            <w:tcW w:w="1876" w:type="pct"/>
            <w:noWrap/>
            <w:vAlign w:val="center"/>
          </w:tcPr>
          <w:p w14:paraId="02C7C1B3">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w:t>
            </w:r>
          </w:p>
        </w:tc>
        <w:tc>
          <w:tcPr>
            <w:tcW w:w="785" w:type="pct"/>
            <w:noWrap/>
            <w:vAlign w:val="center"/>
          </w:tcPr>
          <w:p w14:paraId="4F6F68FC">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综合用房</w:t>
            </w:r>
          </w:p>
        </w:tc>
        <w:tc>
          <w:tcPr>
            <w:tcW w:w="513" w:type="pct"/>
            <w:noWrap/>
            <w:vAlign w:val="center"/>
          </w:tcPr>
          <w:p w14:paraId="70968104">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10双</w:t>
            </w:r>
          </w:p>
        </w:tc>
      </w:tr>
      <w:tr w14:paraId="72F248E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69" w:type="pct"/>
            <w:noWrap/>
            <w:vAlign w:val="center"/>
          </w:tcPr>
          <w:p w14:paraId="1E6BA355">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22</w:t>
            </w:r>
          </w:p>
        </w:tc>
        <w:tc>
          <w:tcPr>
            <w:tcW w:w="1455" w:type="pct"/>
            <w:noWrap/>
            <w:vAlign w:val="center"/>
          </w:tcPr>
          <w:p w14:paraId="5E1FDCC4">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安全鞋</w:t>
            </w:r>
          </w:p>
        </w:tc>
        <w:tc>
          <w:tcPr>
            <w:tcW w:w="1876" w:type="pct"/>
            <w:noWrap/>
            <w:vAlign w:val="center"/>
          </w:tcPr>
          <w:p w14:paraId="0A898ADB">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w:t>
            </w:r>
          </w:p>
        </w:tc>
        <w:tc>
          <w:tcPr>
            <w:tcW w:w="785" w:type="pct"/>
            <w:noWrap/>
            <w:vAlign w:val="center"/>
          </w:tcPr>
          <w:p w14:paraId="56F20809">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综合用房</w:t>
            </w:r>
          </w:p>
        </w:tc>
        <w:tc>
          <w:tcPr>
            <w:tcW w:w="513" w:type="pct"/>
            <w:noWrap/>
            <w:vAlign w:val="center"/>
          </w:tcPr>
          <w:p w14:paraId="078B5679">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10双</w:t>
            </w:r>
          </w:p>
        </w:tc>
      </w:tr>
      <w:tr w14:paraId="41C257B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69" w:type="pct"/>
            <w:noWrap/>
            <w:vAlign w:val="center"/>
          </w:tcPr>
          <w:p w14:paraId="6F9826E2">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23</w:t>
            </w:r>
          </w:p>
        </w:tc>
        <w:tc>
          <w:tcPr>
            <w:tcW w:w="1455" w:type="pct"/>
            <w:noWrap/>
            <w:vAlign w:val="center"/>
          </w:tcPr>
          <w:p w14:paraId="0D6136D1">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便携式可燃气体检测仪</w:t>
            </w:r>
          </w:p>
        </w:tc>
        <w:tc>
          <w:tcPr>
            <w:tcW w:w="1876" w:type="pct"/>
            <w:noWrap/>
            <w:vAlign w:val="center"/>
          </w:tcPr>
          <w:p w14:paraId="01AA28CB">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w:t>
            </w:r>
          </w:p>
        </w:tc>
        <w:tc>
          <w:tcPr>
            <w:tcW w:w="785" w:type="pct"/>
            <w:noWrap/>
            <w:vAlign w:val="center"/>
          </w:tcPr>
          <w:p w14:paraId="282B1C03">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综合用房</w:t>
            </w:r>
          </w:p>
        </w:tc>
        <w:tc>
          <w:tcPr>
            <w:tcW w:w="513" w:type="pct"/>
            <w:noWrap/>
            <w:vAlign w:val="center"/>
          </w:tcPr>
          <w:p w14:paraId="1276B12F">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4台</w:t>
            </w:r>
          </w:p>
        </w:tc>
      </w:tr>
      <w:tr w14:paraId="59347C6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69" w:type="pct"/>
            <w:noWrap/>
            <w:vAlign w:val="center"/>
          </w:tcPr>
          <w:p w14:paraId="4D39DFA5">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24</w:t>
            </w:r>
          </w:p>
        </w:tc>
        <w:tc>
          <w:tcPr>
            <w:tcW w:w="1455" w:type="pct"/>
            <w:noWrap/>
            <w:vAlign w:val="center"/>
          </w:tcPr>
          <w:p w14:paraId="146F49D5">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便携仪氧气浓度检测仪</w:t>
            </w:r>
          </w:p>
        </w:tc>
        <w:tc>
          <w:tcPr>
            <w:tcW w:w="1876" w:type="pct"/>
            <w:noWrap/>
            <w:vAlign w:val="center"/>
          </w:tcPr>
          <w:p w14:paraId="6D2860C4">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w:t>
            </w:r>
          </w:p>
        </w:tc>
        <w:tc>
          <w:tcPr>
            <w:tcW w:w="785" w:type="pct"/>
            <w:noWrap/>
            <w:vAlign w:val="center"/>
          </w:tcPr>
          <w:p w14:paraId="5B451750">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综合用房</w:t>
            </w:r>
          </w:p>
        </w:tc>
        <w:tc>
          <w:tcPr>
            <w:tcW w:w="513" w:type="pct"/>
            <w:noWrap/>
            <w:vAlign w:val="center"/>
          </w:tcPr>
          <w:p w14:paraId="668F2BA9">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4台</w:t>
            </w:r>
          </w:p>
        </w:tc>
      </w:tr>
      <w:tr w14:paraId="18A8FF4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69" w:type="pct"/>
            <w:noWrap/>
            <w:vAlign w:val="center"/>
          </w:tcPr>
          <w:p w14:paraId="18185A35">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25</w:t>
            </w:r>
          </w:p>
        </w:tc>
        <w:tc>
          <w:tcPr>
            <w:tcW w:w="1455" w:type="pct"/>
            <w:noWrap/>
            <w:vAlign w:val="center"/>
          </w:tcPr>
          <w:p w14:paraId="44851AC2">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有毒气体检测仪</w:t>
            </w:r>
          </w:p>
        </w:tc>
        <w:tc>
          <w:tcPr>
            <w:tcW w:w="1876" w:type="pct"/>
            <w:noWrap/>
            <w:vAlign w:val="center"/>
          </w:tcPr>
          <w:p w14:paraId="6A7792F2">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w:t>
            </w:r>
          </w:p>
        </w:tc>
        <w:tc>
          <w:tcPr>
            <w:tcW w:w="785" w:type="pct"/>
            <w:noWrap/>
            <w:vAlign w:val="center"/>
          </w:tcPr>
          <w:p w14:paraId="1AAF89C1">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综合用房</w:t>
            </w:r>
          </w:p>
        </w:tc>
        <w:tc>
          <w:tcPr>
            <w:tcW w:w="513" w:type="pct"/>
            <w:noWrap/>
            <w:vAlign w:val="center"/>
          </w:tcPr>
          <w:p w14:paraId="0CB10A26">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4台</w:t>
            </w:r>
          </w:p>
        </w:tc>
      </w:tr>
      <w:tr w14:paraId="3358754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69" w:type="pct"/>
            <w:noWrap/>
            <w:vAlign w:val="center"/>
          </w:tcPr>
          <w:p w14:paraId="72986120">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26</w:t>
            </w:r>
          </w:p>
        </w:tc>
        <w:tc>
          <w:tcPr>
            <w:tcW w:w="1455" w:type="pct"/>
            <w:noWrap/>
            <w:vAlign w:val="center"/>
          </w:tcPr>
          <w:p w14:paraId="363DCA87">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便携仪多功能水质检测仪</w:t>
            </w:r>
          </w:p>
        </w:tc>
        <w:tc>
          <w:tcPr>
            <w:tcW w:w="1876" w:type="pct"/>
            <w:noWrap/>
            <w:vAlign w:val="center"/>
          </w:tcPr>
          <w:p w14:paraId="68A245BF">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w:t>
            </w:r>
          </w:p>
        </w:tc>
        <w:tc>
          <w:tcPr>
            <w:tcW w:w="785" w:type="pct"/>
            <w:noWrap/>
            <w:vAlign w:val="center"/>
          </w:tcPr>
          <w:p w14:paraId="1687C2A8">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综合用房</w:t>
            </w:r>
          </w:p>
        </w:tc>
        <w:tc>
          <w:tcPr>
            <w:tcW w:w="513" w:type="pct"/>
            <w:noWrap/>
            <w:vAlign w:val="center"/>
          </w:tcPr>
          <w:p w14:paraId="16E699A2">
            <w:pPr>
              <w:spacing w:line="240" w:lineRule="auto"/>
              <w:ind w:firstLine="0" w:firstLineChars="0"/>
              <w:contextualSpacing/>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4台</w:t>
            </w:r>
          </w:p>
        </w:tc>
      </w:tr>
    </w:tbl>
    <w:p w14:paraId="5A747FCB">
      <w:pPr>
        <w:pStyle w:val="5"/>
        <w:keepNext w:val="0"/>
        <w:keepLines w:val="0"/>
        <w:rPr>
          <w:color w:val="000000" w:themeColor="text1"/>
          <w14:textFill>
            <w14:solidFill>
              <w14:schemeClr w14:val="tx1"/>
            </w14:solidFill>
          </w14:textFill>
        </w:rPr>
      </w:pPr>
      <w:r>
        <w:rPr>
          <w:rFonts w:hint="eastAsia"/>
          <w:color w:val="000000" w:themeColor="text1"/>
          <w14:textFill>
            <w14:solidFill>
              <w14:schemeClr w14:val="tx1"/>
            </w14:solidFill>
          </w14:textFill>
        </w:rPr>
        <w:t>环境风险评价结论</w:t>
      </w:r>
    </w:p>
    <w:p w14:paraId="69F8DF4A">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（1）环境敏感性及事故环境影响</w:t>
      </w:r>
    </w:p>
    <w:p w14:paraId="4F6C741D">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本项目</w:t>
      </w:r>
      <w:r>
        <w:rPr>
          <w:color w:val="000000" w:themeColor="text1"/>
          <w14:textFill>
            <w14:solidFill>
              <w14:schemeClr w14:val="tx1"/>
            </w14:solidFill>
          </w14:textFill>
        </w:rPr>
        <w:t>厂址周边500m范围内</w:t>
      </w:r>
      <w:r>
        <w:rPr>
          <w:rFonts w:hint="eastAsia"/>
          <w:color w:val="000000" w:themeColor="text1"/>
          <w14:textFill>
            <w14:solidFill>
              <w14:schemeClr w14:val="tx1"/>
            </w14:solidFill>
          </w14:textFill>
        </w:rPr>
        <w:t>无居民区分布。</w:t>
      </w:r>
    </w:p>
    <w:p w14:paraId="2056F896">
      <w:pPr>
        <w:ind w:firstLine="480"/>
        <w:rPr>
          <w:rFonts w:cs="宋体"/>
          <w:color w:val="000000" w:themeColor="text1"/>
          <w:kern w:val="0"/>
          <w14:textFill>
            <w14:solidFill>
              <w14:schemeClr w14:val="tx1"/>
            </w14:solidFill>
          </w14:textFill>
        </w:rPr>
      </w:pPr>
      <w:r>
        <w:rPr>
          <w:rFonts w:hint="eastAsia" w:cs="宋体"/>
          <w:color w:val="000000" w:themeColor="text1"/>
          <w:kern w:val="0"/>
          <w14:textFill>
            <w14:solidFill>
              <w14:schemeClr w14:val="tx1"/>
            </w14:solidFill>
          </w14:textFill>
        </w:rPr>
        <w:t>（2）海域事故影响</w:t>
      </w:r>
    </w:p>
    <w:p w14:paraId="5C5D1ACE">
      <w:pPr>
        <w:ind w:firstLine="480"/>
        <w:rPr>
          <w:color w:val="000000" w:themeColor="text1"/>
          <w:kern w:val="0"/>
          <w14:textFill>
            <w14:solidFill>
              <w14:schemeClr w14:val="tx1"/>
            </w14:solidFill>
          </w14:textFill>
        </w:rPr>
      </w:pPr>
      <w:r>
        <w:rPr>
          <w:rFonts w:hint="eastAsia"/>
          <w:color w:val="000000" w:themeColor="text1"/>
          <w:kern w:val="0"/>
          <w14:textFill>
            <w14:solidFill>
              <w14:schemeClr w14:val="tx1"/>
            </w14:solidFill>
          </w14:textFill>
        </w:rPr>
        <w:t>根据预测结果：</w:t>
      </w:r>
    </w:p>
    <w:p w14:paraId="1948D765">
      <w:pPr>
        <w:ind w:firstLine="482"/>
        <w:rPr>
          <w:color w:val="000000" w:themeColor="text1"/>
          <w:kern w:val="0"/>
          <w14:textFill>
            <w14:solidFill>
              <w14:schemeClr w14:val="tx1"/>
            </w14:solidFill>
          </w14:textFill>
        </w:rPr>
      </w:pPr>
      <w:r>
        <w:rPr>
          <w:rFonts w:hint="eastAsia"/>
          <w:b/>
          <w:color w:val="000000" w:themeColor="text1"/>
          <w:kern w:val="0"/>
          <w14:textFill>
            <w14:solidFill>
              <w14:schemeClr w14:val="tx1"/>
            </w14:solidFill>
          </w14:textFill>
        </w:rPr>
        <w:t>溢油</w:t>
      </w:r>
      <w:r>
        <w:rPr>
          <w:rFonts w:hint="eastAsia"/>
          <w:color w:val="000000" w:themeColor="text1"/>
          <w:kern w:val="0"/>
          <w14:textFill>
            <w14:solidFill>
              <w14:schemeClr w14:val="tx1"/>
            </w14:solidFill>
          </w14:textFill>
        </w:rPr>
        <w:t>大潮落潮时，溢油油膜沿着西南向运动，12小时油膜主流达到钦州湾口三墩西南海域；12-24时在涨潮流及NE风作用下，油膜主流沿着西向运动再转为北向，油膜在钦州湾口海域徘徊（另一部油膜则向茅尾海运动，并逐渐污染龙门岛周边海域）；此后，在落潮流携带下，油膜重新转为偏南向运动，30时左右油膜主流进入北部湾二长棘鲷长毛对虾国家级种质资源保护区（实验区），并持续在该保护区的实验区运动。24-48时，油膜向南运动至距离计算区域外海开边界16km附近海域，48时后在落潮流作用下，油膜沿南向飘向外海，71时后油膜到达外海开边界附近并折向西运动，因溢油量较大，此时残油油膜平均厚度仍有25.36mm，此后在NE风及潮流的携带下继续向外海运动。</w:t>
      </w:r>
    </w:p>
    <w:p w14:paraId="40DFAB9E">
      <w:pPr>
        <w:ind w:firstLine="482"/>
        <w:rPr>
          <w:color w:val="000000" w:themeColor="text1"/>
          <w:kern w:val="0"/>
          <w14:textFill>
            <w14:solidFill>
              <w14:schemeClr w14:val="tx1"/>
            </w14:solidFill>
          </w14:textFill>
        </w:rPr>
      </w:pPr>
      <w:r>
        <w:rPr>
          <w:rFonts w:hint="eastAsia"/>
          <w:b/>
          <w:color w:val="000000" w:themeColor="text1"/>
          <w14:textFill>
            <w14:solidFill>
              <w14:schemeClr w14:val="tx1"/>
            </w14:solidFill>
          </w14:textFill>
        </w:rPr>
        <w:t>苯乙烯</w:t>
      </w:r>
      <w:r>
        <w:rPr>
          <w:rFonts w:hint="eastAsia"/>
          <w:color w:val="000000" w:themeColor="text1"/>
          <w14:textFill>
            <w14:solidFill>
              <w14:schemeClr w14:val="tx1"/>
            </w14:solidFill>
          </w14:textFill>
        </w:rPr>
        <w:t>大潮落潮时，当</w:t>
      </w:r>
      <w:r>
        <w:rPr>
          <w:rFonts w:hint="eastAsia"/>
          <w:color w:val="000000" w:themeColor="text1"/>
          <w:lang w:eastAsia="zh-CN"/>
          <w14:textFill>
            <w14:solidFill>
              <w14:schemeClr w14:val="tx1"/>
            </w14:solidFill>
          </w14:textFill>
        </w:rPr>
        <w:t>泄漏</w:t>
      </w:r>
      <w:r>
        <w:rPr>
          <w:rFonts w:hint="eastAsia"/>
          <w:color w:val="000000" w:themeColor="text1"/>
          <w14:textFill>
            <w14:solidFill>
              <w14:schemeClr w14:val="tx1"/>
            </w14:solidFill>
          </w14:textFill>
        </w:rPr>
        <w:t>发生后，苯乙烯沿着西南向运动，12小时苯乙烯物质主流达到钦州湾口三墩西南海域；12-24时在涨潮流及NE风作用下，苯乙烯物质主流先沿着西向运动再转为北向，苯乙烯物质在钦州湾口海域徘徊（另一部</w:t>
      </w:r>
      <w:r>
        <w:rPr>
          <w:rFonts w:hint="eastAsia"/>
          <w:color w:val="000000" w:themeColor="text1"/>
          <w:lang w:val="en-US" w:eastAsia="zh-CN"/>
          <w14:textFill>
            <w14:solidFill>
              <w14:schemeClr w14:val="tx1"/>
            </w14:solidFill>
          </w14:textFill>
        </w:rPr>
        <w:t>分</w:t>
      </w:r>
      <w:r>
        <w:rPr>
          <w:rFonts w:hint="eastAsia"/>
          <w:color w:val="000000" w:themeColor="text1"/>
          <w14:textFill>
            <w14:solidFill>
              <w14:schemeClr w14:val="tx1"/>
            </w14:solidFill>
          </w14:textFill>
        </w:rPr>
        <w:t>苯乙烯则转向茅尾海运动逐渐污染龙门岛周边海域）；此后，在落潮流携带下，苯乙烯再次转为偏南向运动，</w:t>
      </w:r>
      <w:r>
        <w:rPr>
          <w:color w:val="000000" w:themeColor="text1"/>
          <w14:textFill>
            <w14:solidFill>
              <w14:schemeClr w14:val="tx1"/>
            </w14:solidFill>
          </w14:textFill>
        </w:rPr>
        <w:t>30</w:t>
      </w:r>
      <w:r>
        <w:rPr>
          <w:rFonts w:hint="eastAsia"/>
          <w:color w:val="000000" w:themeColor="text1"/>
          <w14:textFill>
            <w14:solidFill>
              <w14:schemeClr w14:val="tx1"/>
            </w14:solidFill>
          </w14:textFill>
        </w:rPr>
        <w:t>时左右苯乙烯主要部分进入北部湾二长棘鲷长毛对虾国家级种质资源保护区（实验区）。</w:t>
      </w:r>
      <w:r>
        <w:rPr>
          <w:color w:val="000000" w:themeColor="text1"/>
          <w14:textFill>
            <w14:solidFill>
              <w14:schemeClr w14:val="tx1"/>
            </w14:solidFill>
          </w14:textFill>
        </w:rPr>
        <w:t>24</w:t>
      </w:r>
      <w:r>
        <w:rPr>
          <w:rFonts w:hint="eastAsia"/>
          <w:color w:val="000000" w:themeColor="text1"/>
          <w14:textFill>
            <w14:solidFill>
              <w14:schemeClr w14:val="tx1"/>
            </w14:solidFill>
          </w14:textFill>
        </w:rPr>
        <w:t>-48时，苯乙烯向南运动至距离计算区域外海开边界</w:t>
      </w:r>
      <w:r>
        <w:rPr>
          <w:color w:val="000000" w:themeColor="text1"/>
          <w14:textFill>
            <w14:solidFill>
              <w14:schemeClr w14:val="tx1"/>
            </w14:solidFill>
          </w14:textFill>
        </w:rPr>
        <w:t>16</w:t>
      </w:r>
      <w:r>
        <w:rPr>
          <w:rFonts w:hint="eastAsia"/>
          <w:color w:val="000000" w:themeColor="text1"/>
          <w14:textFill>
            <w14:solidFill>
              <w14:schemeClr w14:val="tx1"/>
            </w14:solidFill>
          </w14:textFill>
        </w:rPr>
        <w:t>km附近海域，48时后在落潮流作用下，苯乙烯沿南向飘向外海，</w:t>
      </w:r>
      <w:r>
        <w:rPr>
          <w:color w:val="000000" w:themeColor="text1"/>
          <w14:textFill>
            <w14:solidFill>
              <w14:schemeClr w14:val="tx1"/>
            </w14:solidFill>
          </w14:textFill>
        </w:rPr>
        <w:t>71</w:t>
      </w:r>
      <w:r>
        <w:rPr>
          <w:rFonts w:hint="eastAsia"/>
          <w:color w:val="000000" w:themeColor="text1"/>
          <w14:textFill>
            <w14:solidFill>
              <w14:schemeClr w14:val="tx1"/>
            </w14:solidFill>
          </w14:textFill>
        </w:rPr>
        <w:t>时后到达外海开边界附近并折向西运动，此后在NE风及潮流的携带下继续向外海运动。</w:t>
      </w:r>
    </w:p>
    <w:p w14:paraId="046A8DFF">
      <w:pPr>
        <w:ind w:firstLine="482"/>
        <w:rPr>
          <w:color w:val="000000" w:themeColor="text1"/>
          <w:kern w:val="0"/>
          <w14:textFill>
            <w14:solidFill>
              <w14:schemeClr w14:val="tx1"/>
            </w14:solidFill>
          </w14:textFill>
        </w:rPr>
      </w:pPr>
      <w:r>
        <w:rPr>
          <w:rFonts w:hint="eastAsia" w:ascii="宋体" w:hAnsi="宋体"/>
          <w:b/>
          <w:color w:val="000000" w:themeColor="text1"/>
          <w14:textFill>
            <w14:solidFill>
              <w14:schemeClr w14:val="tx1"/>
            </w14:solidFill>
          </w14:textFill>
        </w:rPr>
        <w:t>液碱</w:t>
      </w:r>
      <w:r>
        <w:rPr>
          <w:rFonts w:hint="eastAsia"/>
          <w:color w:val="000000" w:themeColor="text1"/>
          <w14:textFill>
            <w14:solidFill>
              <w14:schemeClr w14:val="tx1"/>
            </w14:solidFill>
          </w14:textFill>
        </w:rPr>
        <w:t>涨潮阶段发生</w:t>
      </w:r>
      <w:r>
        <w:rPr>
          <w:rFonts w:hint="eastAsia"/>
          <w:color w:val="000000" w:themeColor="text1"/>
          <w:lang w:eastAsia="zh-CN"/>
          <w14:textFill>
            <w14:solidFill>
              <w14:schemeClr w14:val="tx1"/>
            </w14:solidFill>
          </w14:textFill>
        </w:rPr>
        <w:t>泄漏</w:t>
      </w:r>
      <w:r>
        <w:rPr>
          <w:rFonts w:hint="eastAsia"/>
          <w:color w:val="000000" w:themeColor="text1"/>
          <w14:textFill>
            <w14:solidFill>
              <w14:schemeClr w14:val="tx1"/>
            </w14:solidFill>
          </w14:textFill>
        </w:rPr>
        <w:t>事故时，</w:t>
      </w:r>
      <w:r>
        <w:rPr>
          <w:rFonts w:hint="eastAsia" w:ascii="宋体" w:hAnsi="宋体"/>
          <w:color w:val="000000" w:themeColor="text1"/>
          <w14:textFill>
            <w14:solidFill>
              <w14:schemeClr w14:val="tx1"/>
            </w14:solidFill>
          </w14:textFill>
        </w:rPr>
        <w:t>液碱</w:t>
      </w:r>
      <w:r>
        <w:rPr>
          <w:rFonts w:hint="eastAsia"/>
          <w:color w:val="000000" w:themeColor="text1"/>
          <w14:textFill>
            <w14:solidFill>
              <w14:schemeClr w14:val="tx1"/>
            </w14:solidFill>
          </w14:textFill>
        </w:rPr>
        <w:t>浓度大于</w:t>
      </w:r>
      <w:r>
        <w:rPr>
          <w:color w:val="000000" w:themeColor="text1"/>
          <w14:textFill>
            <w14:solidFill>
              <w14:schemeClr w14:val="tx1"/>
            </w14:solidFill>
          </w14:textFill>
        </w:rPr>
        <w:t>1mg/L</w:t>
      </w:r>
      <w:r>
        <w:rPr>
          <w:rFonts w:hint="eastAsia"/>
          <w:color w:val="000000" w:themeColor="text1"/>
          <w14:textFill>
            <w14:solidFill>
              <w14:schemeClr w14:val="tx1"/>
            </w14:solidFill>
          </w14:textFill>
        </w:rPr>
        <w:t>、0</w:t>
      </w:r>
      <w:r>
        <w:rPr>
          <w:color w:val="000000" w:themeColor="text1"/>
          <w14:textFill>
            <w14:solidFill>
              <w14:schemeClr w14:val="tx1"/>
            </w14:solidFill>
          </w14:textFill>
        </w:rPr>
        <w:t>.001 mg/L</w:t>
      </w:r>
      <w:r>
        <w:rPr>
          <w:rFonts w:hint="eastAsia"/>
          <w:color w:val="000000" w:themeColor="text1"/>
          <w14:textFill>
            <w14:solidFill>
              <w14:schemeClr w14:val="tx1"/>
            </w14:solidFill>
          </w14:textFill>
        </w:rPr>
        <w:t>向北扩散的距离分别为</w:t>
      </w:r>
      <w:r>
        <w:rPr>
          <w:color w:val="000000" w:themeColor="text1"/>
          <w14:textFill>
            <w14:solidFill>
              <w14:schemeClr w14:val="tx1"/>
            </w14:solidFill>
          </w14:textFill>
        </w:rPr>
        <w:t>9.266</w:t>
      </w:r>
      <w:r>
        <w:rPr>
          <w:rFonts w:hint="eastAsia"/>
          <w:color w:val="000000" w:themeColor="text1"/>
          <w14:textFill>
            <w14:solidFill>
              <w14:schemeClr w14:val="tx1"/>
            </w14:solidFill>
          </w14:textFill>
        </w:rPr>
        <w:t>k</w:t>
      </w:r>
      <w:r>
        <w:rPr>
          <w:color w:val="000000" w:themeColor="text1"/>
          <w14:textFill>
            <w14:solidFill>
              <w14:schemeClr w14:val="tx1"/>
            </w14:solidFill>
          </w14:textFill>
        </w:rPr>
        <w:t>m</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16.748km</w:t>
      </w:r>
      <w:r>
        <w:rPr>
          <w:rFonts w:hint="eastAsia"/>
          <w:color w:val="000000" w:themeColor="text1"/>
          <w14:textFill>
            <w14:solidFill>
              <w14:schemeClr w14:val="tx1"/>
            </w14:solidFill>
          </w14:textFill>
        </w:rPr>
        <w:t>，向南扩散的距离分别为</w:t>
      </w:r>
      <w:r>
        <w:rPr>
          <w:color w:val="000000" w:themeColor="text1"/>
          <w14:textFill>
            <w14:solidFill>
              <w14:schemeClr w14:val="tx1"/>
            </w14:solidFill>
          </w14:textFill>
        </w:rPr>
        <w:t>9.424</w:t>
      </w:r>
      <w:r>
        <w:rPr>
          <w:rFonts w:hint="eastAsia"/>
          <w:color w:val="000000" w:themeColor="text1"/>
          <w14:textFill>
            <w14:solidFill>
              <w14:schemeClr w14:val="tx1"/>
            </w14:solidFill>
          </w14:textFill>
        </w:rPr>
        <w:t>k</w:t>
      </w:r>
      <w:r>
        <w:rPr>
          <w:color w:val="000000" w:themeColor="text1"/>
          <w14:textFill>
            <w14:solidFill>
              <w14:schemeClr w14:val="tx1"/>
            </w14:solidFill>
          </w14:textFill>
        </w:rPr>
        <w:t>m</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20.109</w:t>
      </w:r>
      <w:r>
        <w:rPr>
          <w:rFonts w:hint="eastAsia"/>
          <w:color w:val="000000" w:themeColor="text1"/>
          <w14:textFill>
            <w14:solidFill>
              <w14:schemeClr w14:val="tx1"/>
            </w14:solidFill>
          </w14:textFill>
        </w:rPr>
        <w:t xml:space="preserve"> k</w:t>
      </w:r>
      <w:r>
        <w:rPr>
          <w:color w:val="000000" w:themeColor="text1"/>
          <w14:textFill>
            <w14:solidFill>
              <w14:schemeClr w14:val="tx1"/>
            </w14:solidFill>
          </w14:textFill>
        </w:rPr>
        <w:t>m</w:t>
      </w:r>
      <w:r>
        <w:rPr>
          <w:rFonts w:hint="eastAsia"/>
          <w:color w:val="000000" w:themeColor="text1"/>
          <w14:textFill>
            <w14:solidFill>
              <w14:schemeClr w14:val="tx1"/>
            </w14:solidFill>
          </w14:textFill>
        </w:rPr>
        <w:t>，包络面积分别为</w:t>
      </w:r>
      <w:r>
        <w:rPr>
          <w:color w:val="000000" w:themeColor="text1"/>
          <w14:textFill>
            <w14:solidFill>
              <w14:schemeClr w14:val="tx1"/>
            </w14:solidFill>
          </w14:textFill>
        </w:rPr>
        <w:t>31.243km</w:t>
      </w:r>
      <w:r>
        <w:rPr>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283.352 km</w:t>
      </w:r>
      <w:r>
        <w:rPr>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；落潮阶段</w:t>
      </w:r>
      <w:r>
        <w:rPr>
          <w:rFonts w:hint="eastAsia"/>
          <w:color w:val="000000" w:themeColor="text1"/>
          <w:lang w:eastAsia="zh-CN"/>
          <w14:textFill>
            <w14:solidFill>
              <w14:schemeClr w14:val="tx1"/>
            </w14:solidFill>
          </w14:textFill>
        </w:rPr>
        <w:t>泄漏</w:t>
      </w:r>
      <w:r>
        <w:rPr>
          <w:rFonts w:hint="eastAsia"/>
          <w:color w:val="000000" w:themeColor="text1"/>
          <w14:textFill>
            <w14:solidFill>
              <w14:schemeClr w14:val="tx1"/>
            </w14:solidFill>
          </w14:textFill>
        </w:rPr>
        <w:t>，</w:t>
      </w:r>
      <w:r>
        <w:rPr>
          <w:rFonts w:hint="eastAsia" w:ascii="宋体" w:hAnsi="宋体"/>
          <w:color w:val="000000" w:themeColor="text1"/>
          <w14:textFill>
            <w14:solidFill>
              <w14:schemeClr w14:val="tx1"/>
            </w14:solidFill>
          </w14:textFill>
        </w:rPr>
        <w:t>液碱</w:t>
      </w:r>
      <w:r>
        <w:rPr>
          <w:rFonts w:hint="eastAsia"/>
          <w:color w:val="000000" w:themeColor="text1"/>
          <w14:textFill>
            <w14:solidFill>
              <w14:schemeClr w14:val="tx1"/>
            </w14:solidFill>
          </w14:textFill>
        </w:rPr>
        <w:t>浓度大于</w:t>
      </w:r>
      <w:r>
        <w:rPr>
          <w:color w:val="000000" w:themeColor="text1"/>
          <w14:textFill>
            <w14:solidFill>
              <w14:schemeClr w14:val="tx1"/>
            </w14:solidFill>
          </w14:textFill>
        </w:rPr>
        <w:t>1mg/L</w:t>
      </w:r>
      <w:r>
        <w:rPr>
          <w:rFonts w:hint="eastAsia"/>
          <w:color w:val="000000" w:themeColor="text1"/>
          <w14:textFill>
            <w14:solidFill>
              <w14:schemeClr w14:val="tx1"/>
            </w14:solidFill>
          </w14:textFill>
        </w:rPr>
        <w:t>、0</w:t>
      </w:r>
      <w:r>
        <w:rPr>
          <w:color w:val="000000" w:themeColor="text1"/>
          <w14:textFill>
            <w14:solidFill>
              <w14:schemeClr w14:val="tx1"/>
            </w14:solidFill>
          </w14:textFill>
        </w:rPr>
        <w:t>.001 mg/L</w:t>
      </w:r>
      <w:r>
        <w:rPr>
          <w:rFonts w:hint="eastAsia"/>
          <w:color w:val="000000" w:themeColor="text1"/>
          <w14:textFill>
            <w14:solidFill>
              <w14:schemeClr w14:val="tx1"/>
            </w14:solidFill>
          </w14:textFill>
        </w:rPr>
        <w:t>向北扩散的距离分别为</w:t>
      </w:r>
      <w:r>
        <w:rPr>
          <w:color w:val="000000" w:themeColor="text1"/>
          <w14:textFill>
            <w14:solidFill>
              <w14:schemeClr w14:val="tx1"/>
            </w14:solidFill>
          </w14:textFill>
        </w:rPr>
        <w:t>8.966</w:t>
      </w:r>
      <w:r>
        <w:rPr>
          <w:rFonts w:hint="eastAsia"/>
          <w:color w:val="000000" w:themeColor="text1"/>
          <w14:textFill>
            <w14:solidFill>
              <w14:schemeClr w14:val="tx1"/>
            </w14:solidFill>
          </w14:textFill>
        </w:rPr>
        <w:t>k</w:t>
      </w:r>
      <w:r>
        <w:rPr>
          <w:color w:val="000000" w:themeColor="text1"/>
          <w14:textFill>
            <w14:solidFill>
              <w14:schemeClr w14:val="tx1"/>
            </w14:solidFill>
          </w14:textFill>
        </w:rPr>
        <w:t>m</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16.136km</w:t>
      </w:r>
      <w:r>
        <w:rPr>
          <w:rFonts w:hint="eastAsia"/>
          <w:color w:val="000000" w:themeColor="text1"/>
          <w14:textFill>
            <w14:solidFill>
              <w14:schemeClr w14:val="tx1"/>
            </w14:solidFill>
          </w14:textFill>
        </w:rPr>
        <w:t>，向南扩散的距离分别为</w:t>
      </w:r>
      <w:r>
        <w:rPr>
          <w:color w:val="000000" w:themeColor="text1"/>
          <w14:textFill>
            <w14:solidFill>
              <w14:schemeClr w14:val="tx1"/>
            </w14:solidFill>
          </w14:textFill>
        </w:rPr>
        <w:t>17.331</w:t>
      </w:r>
      <w:r>
        <w:rPr>
          <w:rFonts w:hint="eastAsia"/>
          <w:color w:val="000000" w:themeColor="text1"/>
          <w14:textFill>
            <w14:solidFill>
              <w14:schemeClr w14:val="tx1"/>
            </w14:solidFill>
          </w14:textFill>
        </w:rPr>
        <w:t>k</w:t>
      </w:r>
      <w:r>
        <w:rPr>
          <w:color w:val="000000" w:themeColor="text1"/>
          <w14:textFill>
            <w14:solidFill>
              <w14:schemeClr w14:val="tx1"/>
            </w14:solidFill>
          </w14:textFill>
        </w:rPr>
        <w:t>m</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22.892</w:t>
      </w:r>
      <w:r>
        <w:rPr>
          <w:rFonts w:hint="eastAsia"/>
          <w:color w:val="000000" w:themeColor="text1"/>
          <w14:textFill>
            <w14:solidFill>
              <w14:schemeClr w14:val="tx1"/>
            </w14:solidFill>
          </w14:textFill>
        </w:rPr>
        <w:t xml:space="preserve"> k</w:t>
      </w:r>
      <w:r>
        <w:rPr>
          <w:color w:val="000000" w:themeColor="text1"/>
          <w14:textFill>
            <w14:solidFill>
              <w14:schemeClr w14:val="tx1"/>
            </w14:solidFill>
          </w14:textFill>
        </w:rPr>
        <w:t>m</w:t>
      </w:r>
      <w:r>
        <w:rPr>
          <w:rFonts w:hint="eastAsia"/>
          <w:color w:val="000000" w:themeColor="text1"/>
          <w14:textFill>
            <w14:solidFill>
              <w14:schemeClr w14:val="tx1"/>
            </w14:solidFill>
          </w14:textFill>
        </w:rPr>
        <w:t>，包络面积分别可达</w:t>
      </w:r>
      <w:r>
        <w:rPr>
          <w:color w:val="000000" w:themeColor="text1"/>
          <w14:textFill>
            <w14:solidFill>
              <w14:schemeClr w14:val="tx1"/>
            </w14:solidFill>
          </w14:textFill>
        </w:rPr>
        <w:t>94.381km</w:t>
      </w:r>
      <w:r>
        <w:rPr>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365.561 km</w:t>
      </w:r>
      <w:r>
        <w:rPr>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，显然，落潮阶段泄露比涨潮阶段泄露扩散的影响范围大。</w:t>
      </w:r>
    </w:p>
    <w:p w14:paraId="21E65C1F">
      <w:pPr>
        <w:ind w:firstLine="482"/>
        <w:rPr>
          <w:color w:val="000000" w:themeColor="text1"/>
          <w:kern w:val="0"/>
          <w14:textFill>
            <w14:solidFill>
              <w14:schemeClr w14:val="tx1"/>
            </w14:solidFill>
          </w14:textFill>
        </w:rPr>
      </w:pPr>
      <w:r>
        <w:rPr>
          <w:rFonts w:hint="eastAsia"/>
          <w:b/>
          <w:color w:val="000000" w:themeColor="text1"/>
          <w:kern w:val="0"/>
          <w14:textFill>
            <w14:solidFill>
              <w14:schemeClr w14:val="tx1"/>
            </w14:solidFill>
          </w14:textFill>
        </w:rPr>
        <w:t>发烟硫酸</w:t>
      </w:r>
      <w:r>
        <w:rPr>
          <w:rFonts w:hint="eastAsia"/>
          <w:color w:val="000000" w:themeColor="text1"/>
          <w:kern w:val="0"/>
          <w14:textFill>
            <w14:solidFill>
              <w14:schemeClr w14:val="tx1"/>
            </w14:solidFill>
          </w14:textFill>
        </w:rPr>
        <w:t>涨潮阶段发生</w:t>
      </w:r>
      <w:r>
        <w:rPr>
          <w:rFonts w:hint="eastAsia"/>
          <w:color w:val="000000" w:themeColor="text1"/>
          <w:kern w:val="0"/>
          <w:lang w:eastAsia="zh-CN"/>
          <w14:textFill>
            <w14:solidFill>
              <w14:schemeClr w14:val="tx1"/>
            </w14:solidFill>
          </w14:textFill>
        </w:rPr>
        <w:t>泄漏</w:t>
      </w:r>
      <w:r>
        <w:rPr>
          <w:rFonts w:hint="eastAsia"/>
          <w:color w:val="000000" w:themeColor="text1"/>
          <w:kern w:val="0"/>
          <w14:textFill>
            <w14:solidFill>
              <w14:schemeClr w14:val="tx1"/>
            </w14:solidFill>
          </w14:textFill>
        </w:rPr>
        <w:t>事故时，发烟硫酸浓度大于</w:t>
      </w:r>
      <w:r>
        <w:rPr>
          <w:color w:val="000000" w:themeColor="text1"/>
          <w:kern w:val="0"/>
          <w14:textFill>
            <w14:solidFill>
              <w14:schemeClr w14:val="tx1"/>
            </w14:solidFill>
          </w14:textFill>
        </w:rPr>
        <w:t>1mg/L</w:t>
      </w:r>
      <w:r>
        <w:rPr>
          <w:rFonts w:hint="eastAsia"/>
          <w:color w:val="000000" w:themeColor="text1"/>
          <w:kern w:val="0"/>
          <w14:textFill>
            <w14:solidFill>
              <w14:schemeClr w14:val="tx1"/>
            </w14:solidFill>
          </w14:textFill>
        </w:rPr>
        <w:t>、0</w:t>
      </w:r>
      <w:r>
        <w:rPr>
          <w:color w:val="000000" w:themeColor="text1"/>
          <w:kern w:val="0"/>
          <w14:textFill>
            <w14:solidFill>
              <w14:schemeClr w14:val="tx1"/>
            </w14:solidFill>
          </w14:textFill>
        </w:rPr>
        <w:t>.001 mg/L</w:t>
      </w:r>
      <w:r>
        <w:rPr>
          <w:rFonts w:hint="eastAsia"/>
          <w:color w:val="000000" w:themeColor="text1"/>
          <w:kern w:val="0"/>
          <w14:textFill>
            <w14:solidFill>
              <w14:schemeClr w14:val="tx1"/>
            </w14:solidFill>
          </w14:textFill>
        </w:rPr>
        <w:t>向北扩散的距离分别为</w:t>
      </w:r>
      <w:r>
        <w:rPr>
          <w:color w:val="000000" w:themeColor="text1"/>
          <w:kern w:val="0"/>
          <w14:textFill>
            <w14:solidFill>
              <w14:schemeClr w14:val="tx1"/>
            </w14:solidFill>
          </w14:textFill>
        </w:rPr>
        <w:t>13.166</w:t>
      </w:r>
      <w:r>
        <w:rPr>
          <w:rFonts w:hint="eastAsia"/>
          <w:color w:val="000000" w:themeColor="text1"/>
          <w:kern w:val="0"/>
          <w14:textFill>
            <w14:solidFill>
              <w14:schemeClr w14:val="tx1"/>
            </w14:solidFill>
          </w14:textFill>
        </w:rPr>
        <w:t>k</w:t>
      </w:r>
      <w:r>
        <w:rPr>
          <w:color w:val="000000" w:themeColor="text1"/>
          <w:kern w:val="0"/>
          <w14:textFill>
            <w14:solidFill>
              <w14:schemeClr w14:val="tx1"/>
            </w14:solidFill>
          </w14:textFill>
        </w:rPr>
        <w:t>m</w:t>
      </w:r>
      <w:r>
        <w:rPr>
          <w:rFonts w:hint="eastAsia"/>
          <w:color w:val="000000" w:themeColor="text1"/>
          <w:kern w:val="0"/>
          <w14:textFill>
            <w14:solidFill>
              <w14:schemeClr w14:val="tx1"/>
            </w14:solidFill>
          </w14:textFill>
        </w:rPr>
        <w:t>、</w:t>
      </w:r>
      <w:r>
        <w:rPr>
          <w:color w:val="000000" w:themeColor="text1"/>
          <w:kern w:val="0"/>
          <w14:textFill>
            <w14:solidFill>
              <w14:schemeClr w14:val="tx1"/>
            </w14:solidFill>
          </w14:textFill>
        </w:rPr>
        <w:t>19.976km</w:t>
      </w:r>
      <w:r>
        <w:rPr>
          <w:rFonts w:hint="eastAsia"/>
          <w:color w:val="000000" w:themeColor="text1"/>
          <w:kern w:val="0"/>
          <w14:textFill>
            <w14:solidFill>
              <w14:schemeClr w14:val="tx1"/>
            </w14:solidFill>
          </w14:textFill>
        </w:rPr>
        <w:t>，向南扩散的距离分别为</w:t>
      </w:r>
      <w:r>
        <w:rPr>
          <w:color w:val="000000" w:themeColor="text1"/>
          <w:kern w:val="0"/>
          <w14:textFill>
            <w14:solidFill>
              <w14:schemeClr w14:val="tx1"/>
            </w14:solidFill>
          </w14:textFill>
        </w:rPr>
        <w:t>10.569</w:t>
      </w:r>
      <w:r>
        <w:rPr>
          <w:rFonts w:hint="eastAsia"/>
          <w:color w:val="000000" w:themeColor="text1"/>
          <w:kern w:val="0"/>
          <w14:textFill>
            <w14:solidFill>
              <w14:schemeClr w14:val="tx1"/>
            </w14:solidFill>
          </w14:textFill>
        </w:rPr>
        <w:t>k</w:t>
      </w:r>
      <w:r>
        <w:rPr>
          <w:color w:val="000000" w:themeColor="text1"/>
          <w:kern w:val="0"/>
          <w14:textFill>
            <w14:solidFill>
              <w14:schemeClr w14:val="tx1"/>
            </w14:solidFill>
          </w14:textFill>
        </w:rPr>
        <w:t>m</w:t>
      </w:r>
      <w:r>
        <w:rPr>
          <w:rFonts w:hint="eastAsia"/>
          <w:color w:val="000000" w:themeColor="text1"/>
          <w:kern w:val="0"/>
          <w14:textFill>
            <w14:solidFill>
              <w14:schemeClr w14:val="tx1"/>
            </w14:solidFill>
          </w14:textFill>
        </w:rPr>
        <w:t>、</w:t>
      </w:r>
      <w:r>
        <w:rPr>
          <w:color w:val="000000" w:themeColor="text1"/>
          <w:kern w:val="0"/>
          <w14:textFill>
            <w14:solidFill>
              <w14:schemeClr w14:val="tx1"/>
            </w14:solidFill>
          </w14:textFill>
        </w:rPr>
        <w:t>20.166</w:t>
      </w:r>
      <w:r>
        <w:rPr>
          <w:rFonts w:hint="eastAsia"/>
          <w:color w:val="000000" w:themeColor="text1"/>
          <w:kern w:val="0"/>
          <w14:textFill>
            <w14:solidFill>
              <w14:schemeClr w14:val="tx1"/>
            </w14:solidFill>
          </w14:textFill>
        </w:rPr>
        <w:t xml:space="preserve"> k</w:t>
      </w:r>
      <w:r>
        <w:rPr>
          <w:color w:val="000000" w:themeColor="text1"/>
          <w:kern w:val="0"/>
          <w14:textFill>
            <w14:solidFill>
              <w14:schemeClr w14:val="tx1"/>
            </w14:solidFill>
          </w14:textFill>
        </w:rPr>
        <w:t>m</w:t>
      </w:r>
      <w:r>
        <w:rPr>
          <w:rFonts w:hint="eastAsia"/>
          <w:color w:val="000000" w:themeColor="text1"/>
          <w:kern w:val="0"/>
          <w14:textFill>
            <w14:solidFill>
              <w14:schemeClr w14:val="tx1"/>
            </w14:solidFill>
          </w14:textFill>
        </w:rPr>
        <w:t>，包络面积分别可达</w:t>
      </w:r>
      <w:r>
        <w:rPr>
          <w:color w:val="000000" w:themeColor="text1"/>
          <w:kern w:val="0"/>
          <w14:textFill>
            <w14:solidFill>
              <w14:schemeClr w14:val="tx1"/>
            </w14:solidFill>
          </w14:textFill>
        </w:rPr>
        <w:t>44.696km</w:t>
      </w:r>
      <w:r>
        <w:rPr>
          <w:color w:val="000000" w:themeColor="text1"/>
          <w:kern w:val="0"/>
          <w:vertAlign w:val="superscript"/>
          <w14:textFill>
            <w14:solidFill>
              <w14:schemeClr w14:val="tx1"/>
            </w14:solidFill>
          </w14:textFill>
        </w:rPr>
        <w:t>2</w:t>
      </w:r>
      <w:r>
        <w:rPr>
          <w:rFonts w:hint="eastAsia"/>
          <w:color w:val="000000" w:themeColor="text1"/>
          <w:kern w:val="0"/>
          <w14:textFill>
            <w14:solidFill>
              <w14:schemeClr w14:val="tx1"/>
            </w14:solidFill>
          </w14:textFill>
        </w:rPr>
        <w:t>、</w:t>
      </w:r>
      <w:r>
        <w:rPr>
          <w:color w:val="000000" w:themeColor="text1"/>
          <w:kern w:val="0"/>
          <w14:textFill>
            <w14:solidFill>
              <w14:schemeClr w14:val="tx1"/>
            </w14:solidFill>
          </w14:textFill>
        </w:rPr>
        <w:t>288.712 km</w:t>
      </w:r>
      <w:r>
        <w:rPr>
          <w:color w:val="000000" w:themeColor="text1"/>
          <w:kern w:val="0"/>
          <w:vertAlign w:val="superscript"/>
          <w14:textFill>
            <w14:solidFill>
              <w14:schemeClr w14:val="tx1"/>
            </w14:solidFill>
          </w14:textFill>
        </w:rPr>
        <w:t>2</w:t>
      </w:r>
      <w:r>
        <w:rPr>
          <w:rFonts w:hint="eastAsia"/>
          <w:color w:val="000000" w:themeColor="text1"/>
          <w:kern w:val="0"/>
          <w14:textFill>
            <w14:solidFill>
              <w14:schemeClr w14:val="tx1"/>
            </w14:solidFill>
          </w14:textFill>
        </w:rPr>
        <w:t>；落潮阶段</w:t>
      </w:r>
      <w:r>
        <w:rPr>
          <w:rFonts w:hint="eastAsia"/>
          <w:color w:val="000000" w:themeColor="text1"/>
          <w:kern w:val="0"/>
          <w:lang w:eastAsia="zh-CN"/>
          <w14:textFill>
            <w14:solidFill>
              <w14:schemeClr w14:val="tx1"/>
            </w14:solidFill>
          </w14:textFill>
        </w:rPr>
        <w:t>泄漏</w:t>
      </w:r>
      <w:r>
        <w:rPr>
          <w:rFonts w:hint="eastAsia"/>
          <w:color w:val="000000" w:themeColor="text1"/>
          <w:kern w:val="0"/>
          <w14:textFill>
            <w14:solidFill>
              <w14:schemeClr w14:val="tx1"/>
            </w14:solidFill>
          </w14:textFill>
        </w:rPr>
        <w:t>，发烟硫酸浓度大于</w:t>
      </w:r>
      <w:r>
        <w:rPr>
          <w:color w:val="000000" w:themeColor="text1"/>
          <w:kern w:val="0"/>
          <w14:textFill>
            <w14:solidFill>
              <w14:schemeClr w14:val="tx1"/>
            </w14:solidFill>
          </w14:textFill>
        </w:rPr>
        <w:t>1mg/L</w:t>
      </w:r>
      <w:r>
        <w:rPr>
          <w:rFonts w:hint="eastAsia"/>
          <w:color w:val="000000" w:themeColor="text1"/>
          <w:kern w:val="0"/>
          <w14:textFill>
            <w14:solidFill>
              <w14:schemeClr w14:val="tx1"/>
            </w14:solidFill>
          </w14:textFill>
        </w:rPr>
        <w:t>、0</w:t>
      </w:r>
      <w:r>
        <w:rPr>
          <w:color w:val="000000" w:themeColor="text1"/>
          <w:kern w:val="0"/>
          <w14:textFill>
            <w14:solidFill>
              <w14:schemeClr w14:val="tx1"/>
            </w14:solidFill>
          </w14:textFill>
        </w:rPr>
        <w:t>.001 mg/L</w:t>
      </w:r>
      <w:r>
        <w:rPr>
          <w:rFonts w:hint="eastAsia"/>
          <w:color w:val="000000" w:themeColor="text1"/>
          <w:kern w:val="0"/>
          <w14:textFill>
            <w14:solidFill>
              <w14:schemeClr w14:val="tx1"/>
            </w14:solidFill>
          </w14:textFill>
        </w:rPr>
        <w:t>向北扩散的距离分别为</w:t>
      </w:r>
      <w:r>
        <w:rPr>
          <w:color w:val="000000" w:themeColor="text1"/>
          <w:kern w:val="0"/>
          <w14:textFill>
            <w14:solidFill>
              <w14:schemeClr w14:val="tx1"/>
            </w14:solidFill>
          </w14:textFill>
        </w:rPr>
        <w:t>9.468</w:t>
      </w:r>
      <w:r>
        <w:rPr>
          <w:rFonts w:hint="eastAsia"/>
          <w:color w:val="000000" w:themeColor="text1"/>
          <w:kern w:val="0"/>
          <w14:textFill>
            <w14:solidFill>
              <w14:schemeClr w14:val="tx1"/>
            </w14:solidFill>
          </w14:textFill>
        </w:rPr>
        <w:t>k</w:t>
      </w:r>
      <w:r>
        <w:rPr>
          <w:color w:val="000000" w:themeColor="text1"/>
          <w:kern w:val="0"/>
          <w14:textFill>
            <w14:solidFill>
              <w14:schemeClr w14:val="tx1"/>
            </w14:solidFill>
          </w14:textFill>
        </w:rPr>
        <w:t>m</w:t>
      </w:r>
      <w:r>
        <w:rPr>
          <w:rFonts w:hint="eastAsia"/>
          <w:color w:val="000000" w:themeColor="text1"/>
          <w:kern w:val="0"/>
          <w14:textFill>
            <w14:solidFill>
              <w14:schemeClr w14:val="tx1"/>
            </w14:solidFill>
          </w14:textFill>
        </w:rPr>
        <w:t>、</w:t>
      </w:r>
      <w:r>
        <w:rPr>
          <w:color w:val="000000" w:themeColor="text1"/>
          <w:kern w:val="0"/>
          <w14:textFill>
            <w14:solidFill>
              <w14:schemeClr w14:val="tx1"/>
            </w14:solidFill>
          </w14:textFill>
        </w:rPr>
        <w:t>16.423km</w:t>
      </w:r>
      <w:r>
        <w:rPr>
          <w:rFonts w:hint="eastAsia"/>
          <w:color w:val="000000" w:themeColor="text1"/>
          <w:kern w:val="0"/>
          <w14:textFill>
            <w14:solidFill>
              <w14:schemeClr w14:val="tx1"/>
            </w14:solidFill>
          </w14:textFill>
        </w:rPr>
        <w:t>，向南扩散的距离分别为</w:t>
      </w:r>
      <w:r>
        <w:rPr>
          <w:color w:val="000000" w:themeColor="text1"/>
          <w:kern w:val="0"/>
          <w14:textFill>
            <w14:solidFill>
              <w14:schemeClr w14:val="tx1"/>
            </w14:solidFill>
          </w14:textFill>
        </w:rPr>
        <w:t>17.377</w:t>
      </w:r>
      <w:r>
        <w:rPr>
          <w:rFonts w:hint="eastAsia"/>
          <w:color w:val="000000" w:themeColor="text1"/>
          <w:kern w:val="0"/>
          <w14:textFill>
            <w14:solidFill>
              <w14:schemeClr w14:val="tx1"/>
            </w14:solidFill>
          </w14:textFill>
        </w:rPr>
        <w:t>k</w:t>
      </w:r>
      <w:r>
        <w:rPr>
          <w:color w:val="000000" w:themeColor="text1"/>
          <w:kern w:val="0"/>
          <w14:textFill>
            <w14:solidFill>
              <w14:schemeClr w14:val="tx1"/>
            </w14:solidFill>
          </w14:textFill>
        </w:rPr>
        <w:t>m</w:t>
      </w:r>
      <w:r>
        <w:rPr>
          <w:rFonts w:hint="eastAsia"/>
          <w:color w:val="000000" w:themeColor="text1"/>
          <w:kern w:val="0"/>
          <w14:textFill>
            <w14:solidFill>
              <w14:schemeClr w14:val="tx1"/>
            </w14:solidFill>
          </w14:textFill>
        </w:rPr>
        <w:t>、</w:t>
      </w:r>
      <w:r>
        <w:rPr>
          <w:color w:val="000000" w:themeColor="text1"/>
          <w:kern w:val="0"/>
          <w14:textFill>
            <w14:solidFill>
              <w14:schemeClr w14:val="tx1"/>
            </w14:solidFill>
          </w14:textFill>
        </w:rPr>
        <w:t>23.128</w:t>
      </w:r>
      <w:r>
        <w:rPr>
          <w:rFonts w:hint="eastAsia"/>
          <w:color w:val="000000" w:themeColor="text1"/>
          <w:kern w:val="0"/>
          <w14:textFill>
            <w14:solidFill>
              <w14:schemeClr w14:val="tx1"/>
            </w14:solidFill>
          </w14:textFill>
        </w:rPr>
        <w:t xml:space="preserve"> k</w:t>
      </w:r>
      <w:r>
        <w:rPr>
          <w:color w:val="000000" w:themeColor="text1"/>
          <w:kern w:val="0"/>
          <w14:textFill>
            <w14:solidFill>
              <w14:schemeClr w14:val="tx1"/>
            </w14:solidFill>
          </w14:textFill>
        </w:rPr>
        <w:t>m</w:t>
      </w:r>
      <w:r>
        <w:rPr>
          <w:rFonts w:hint="eastAsia"/>
          <w:color w:val="000000" w:themeColor="text1"/>
          <w:kern w:val="0"/>
          <w14:textFill>
            <w14:solidFill>
              <w14:schemeClr w14:val="tx1"/>
            </w14:solidFill>
          </w14:textFill>
        </w:rPr>
        <w:t>，包络面积分别可达</w:t>
      </w:r>
      <w:r>
        <w:rPr>
          <w:color w:val="000000" w:themeColor="text1"/>
          <w:kern w:val="0"/>
          <w14:textFill>
            <w14:solidFill>
              <w14:schemeClr w14:val="tx1"/>
            </w14:solidFill>
          </w14:textFill>
        </w:rPr>
        <w:t>113.263km</w:t>
      </w:r>
      <w:r>
        <w:rPr>
          <w:color w:val="000000" w:themeColor="text1"/>
          <w:kern w:val="0"/>
          <w:vertAlign w:val="superscript"/>
          <w14:textFill>
            <w14:solidFill>
              <w14:schemeClr w14:val="tx1"/>
            </w14:solidFill>
          </w14:textFill>
        </w:rPr>
        <w:t>2</w:t>
      </w:r>
      <w:r>
        <w:rPr>
          <w:rFonts w:hint="eastAsia"/>
          <w:color w:val="000000" w:themeColor="text1"/>
          <w:kern w:val="0"/>
          <w14:textFill>
            <w14:solidFill>
              <w14:schemeClr w14:val="tx1"/>
            </w14:solidFill>
          </w14:textFill>
        </w:rPr>
        <w:t>、</w:t>
      </w:r>
      <w:r>
        <w:rPr>
          <w:color w:val="000000" w:themeColor="text1"/>
          <w:kern w:val="0"/>
          <w14:textFill>
            <w14:solidFill>
              <w14:schemeClr w14:val="tx1"/>
            </w14:solidFill>
          </w14:textFill>
        </w:rPr>
        <w:t>377.536 km</w:t>
      </w:r>
      <w:r>
        <w:rPr>
          <w:color w:val="000000" w:themeColor="text1"/>
          <w:kern w:val="0"/>
          <w:vertAlign w:val="superscript"/>
          <w14:textFill>
            <w14:solidFill>
              <w14:schemeClr w14:val="tx1"/>
            </w14:solidFill>
          </w14:textFill>
        </w:rPr>
        <w:t>2</w:t>
      </w:r>
      <w:r>
        <w:rPr>
          <w:rFonts w:hint="eastAsia"/>
          <w:color w:val="000000" w:themeColor="text1"/>
          <w:kern w:val="0"/>
          <w14:textFill>
            <w14:solidFill>
              <w14:schemeClr w14:val="tx1"/>
            </w14:solidFill>
          </w14:textFill>
        </w:rPr>
        <w:t>，落潮阶段</w:t>
      </w:r>
      <w:r>
        <w:rPr>
          <w:rFonts w:hint="eastAsia"/>
          <w:color w:val="000000" w:themeColor="text1"/>
          <w:kern w:val="0"/>
          <w:lang w:eastAsia="zh-CN"/>
          <w14:textFill>
            <w14:solidFill>
              <w14:schemeClr w14:val="tx1"/>
            </w14:solidFill>
          </w14:textFill>
        </w:rPr>
        <w:t>泄漏</w:t>
      </w:r>
      <w:r>
        <w:rPr>
          <w:rFonts w:hint="eastAsia"/>
          <w:color w:val="000000" w:themeColor="text1"/>
          <w:kern w:val="0"/>
          <w14:textFill>
            <w14:solidFill>
              <w14:schemeClr w14:val="tx1"/>
            </w14:solidFill>
          </w14:textFill>
        </w:rPr>
        <w:t>比涨潮阶段</w:t>
      </w:r>
      <w:r>
        <w:rPr>
          <w:rFonts w:hint="eastAsia"/>
          <w:color w:val="000000" w:themeColor="text1"/>
          <w:kern w:val="0"/>
          <w:lang w:eastAsia="zh-CN"/>
          <w14:textFill>
            <w14:solidFill>
              <w14:schemeClr w14:val="tx1"/>
            </w14:solidFill>
          </w14:textFill>
        </w:rPr>
        <w:t>泄漏</w:t>
      </w:r>
      <w:r>
        <w:rPr>
          <w:rFonts w:hint="eastAsia"/>
          <w:color w:val="000000" w:themeColor="text1"/>
          <w:kern w:val="0"/>
          <w14:textFill>
            <w14:solidFill>
              <w14:schemeClr w14:val="tx1"/>
            </w14:solidFill>
          </w14:textFill>
        </w:rPr>
        <w:t>扩散的影响范围大。</w:t>
      </w:r>
    </w:p>
    <w:p w14:paraId="04C00CD2">
      <w:pPr>
        <w:ind w:firstLine="480"/>
        <w:rPr>
          <w:color w:val="000000" w:themeColor="text1"/>
          <w:kern w:val="0"/>
          <w14:textFill>
            <w14:solidFill>
              <w14:schemeClr w14:val="tx1"/>
            </w14:solidFill>
          </w14:textFill>
        </w:rPr>
      </w:pPr>
      <w:r>
        <w:rPr>
          <w:color w:val="000000" w:themeColor="text1"/>
          <w:kern w:val="0"/>
          <w14:textFill>
            <w14:solidFill>
              <w14:schemeClr w14:val="tx1"/>
            </w14:solidFill>
          </w14:textFill>
        </w:rPr>
        <w:t>因此需要加强管理，强化风险应急设施，以杜绝该类事故的发生。</w:t>
      </w:r>
    </w:p>
    <w:p w14:paraId="167ADEF7">
      <w:pPr>
        <w:ind w:firstLine="480"/>
        <w:rPr>
          <w:color w:val="000000" w:themeColor="text1"/>
          <w:kern w:val="0"/>
          <w14:textFill>
            <w14:solidFill>
              <w14:schemeClr w14:val="tx1"/>
            </w14:solidFill>
          </w14:textFill>
        </w:rPr>
      </w:pPr>
      <w:r>
        <w:rPr>
          <w:color w:val="000000" w:themeColor="text1"/>
          <w:kern w:val="0"/>
          <w14:textFill>
            <w14:solidFill>
              <w14:schemeClr w14:val="tx1"/>
            </w14:solidFill>
          </w14:textFill>
        </w:rPr>
        <w:t>（</w:t>
      </w:r>
      <w:r>
        <w:rPr>
          <w:rFonts w:hint="eastAsia"/>
          <w:color w:val="000000" w:themeColor="text1"/>
          <w:kern w:val="0"/>
          <w14:textFill>
            <w14:solidFill>
              <w14:schemeClr w14:val="tx1"/>
            </w14:solidFill>
          </w14:textFill>
        </w:rPr>
        <w:t>3</w:t>
      </w:r>
      <w:r>
        <w:rPr>
          <w:color w:val="000000" w:themeColor="text1"/>
          <w:kern w:val="0"/>
          <w14:textFill>
            <w14:solidFill>
              <w14:schemeClr w14:val="tx1"/>
            </w14:solidFill>
          </w14:textFill>
        </w:rPr>
        <w:t>）陆域事故影响</w:t>
      </w:r>
    </w:p>
    <w:p w14:paraId="2158176D">
      <w:pPr>
        <w:ind w:firstLine="480"/>
        <w:rPr>
          <w:color w:val="000000" w:themeColor="text1"/>
          <w14:textFill>
            <w14:solidFill>
              <w14:schemeClr w14:val="tx1"/>
            </w14:solidFill>
          </w14:textFill>
        </w:rPr>
      </w:pPr>
      <w:r>
        <w:rPr>
          <w:color w:val="000000" w:themeColor="text1"/>
          <w14:textFill>
            <w14:solidFill>
              <w14:schemeClr w14:val="tx1"/>
            </w14:solidFill>
          </w14:textFill>
        </w:rPr>
        <w:t>针对</w:t>
      </w:r>
      <w:r>
        <w:rPr>
          <w:rFonts w:hint="eastAsia"/>
          <w:color w:val="000000" w:themeColor="text1"/>
          <w14:textFill>
            <w14:solidFill>
              <w14:schemeClr w14:val="tx1"/>
            </w14:solidFill>
          </w14:textFill>
        </w:rPr>
        <w:t>陆域化学品</w:t>
      </w:r>
      <w:r>
        <w:rPr>
          <w:color w:val="000000" w:themeColor="text1"/>
          <w14:textFill>
            <w14:solidFill>
              <w14:schemeClr w14:val="tx1"/>
            </w14:solidFill>
          </w14:textFill>
        </w:rPr>
        <w:t>泄漏事故影响预测结果可知，在最不利气象条件（F类稳定度，1.5m/s风速，温度25</w:t>
      </w:r>
      <w:r>
        <w:rPr>
          <w:rFonts w:hint="eastAsia" w:cs="宋体"/>
          <w:color w:val="000000" w:themeColor="text1"/>
          <w14:textFill>
            <w14:solidFill>
              <w14:schemeClr w14:val="tx1"/>
            </w14:solidFill>
          </w14:textFill>
        </w:rPr>
        <w:t>℃</w:t>
      </w:r>
      <w:r>
        <w:rPr>
          <w:color w:val="000000" w:themeColor="text1"/>
          <w14:textFill>
            <w14:solidFill>
              <w14:schemeClr w14:val="tx1"/>
            </w14:solidFill>
          </w14:textFill>
        </w:rPr>
        <w:t>，相对湿度50%）下，</w:t>
      </w:r>
      <w:r>
        <w:rPr>
          <w:rFonts w:hint="eastAsia"/>
          <w:color w:val="000000" w:themeColor="text1"/>
          <w14:textFill>
            <w14:solidFill>
              <w14:schemeClr w14:val="tx1"/>
            </w14:solidFill>
          </w14:textFill>
        </w:rPr>
        <w:t>苯乙烯</w:t>
      </w:r>
      <w:r>
        <w:rPr>
          <w:color w:val="000000" w:themeColor="text1"/>
          <w14:textFill>
            <w14:solidFill>
              <w14:schemeClr w14:val="tx1"/>
            </w14:solidFill>
          </w14:textFill>
        </w:rPr>
        <w:t>浓度</w:t>
      </w:r>
      <w:r>
        <w:rPr>
          <w:rFonts w:hint="eastAsia"/>
          <w:color w:val="000000" w:themeColor="text1"/>
          <w14:textFill>
            <w14:solidFill>
              <w14:schemeClr w14:val="tx1"/>
            </w14:solidFill>
          </w14:textFill>
        </w:rPr>
        <w:t>未超出</w:t>
      </w:r>
      <w:r>
        <w:rPr>
          <w:color w:val="000000" w:themeColor="text1"/>
          <w14:textFill>
            <w14:solidFill>
              <w14:schemeClr w14:val="tx1"/>
            </w14:solidFill>
          </w14:textFill>
        </w:rPr>
        <w:t>大气毒性终点浓度-1</w:t>
      </w:r>
      <w:r>
        <w:rPr>
          <w:rFonts w:hint="eastAsia"/>
          <w:color w:val="000000" w:themeColor="text1"/>
          <w14:textFill>
            <w14:solidFill>
              <w14:schemeClr w14:val="tx1"/>
            </w14:solidFill>
          </w14:textFill>
        </w:rPr>
        <w:t>及</w:t>
      </w:r>
      <w:r>
        <w:rPr>
          <w:color w:val="000000" w:themeColor="text1"/>
          <w14:textFill>
            <w14:solidFill>
              <w14:schemeClr w14:val="tx1"/>
            </w14:solidFill>
          </w14:textFill>
        </w:rPr>
        <w:t>大气毒性终点浓度-2，事故发生后，预测到达居民点的</w:t>
      </w:r>
      <w:r>
        <w:rPr>
          <w:rFonts w:hint="eastAsia"/>
          <w:color w:val="000000" w:themeColor="text1"/>
          <w14:textFill>
            <w14:solidFill>
              <w14:schemeClr w14:val="tx1"/>
            </w14:solidFill>
          </w14:textFill>
        </w:rPr>
        <w:t>苯乙烯</w:t>
      </w:r>
      <w:r>
        <w:rPr>
          <w:color w:val="000000" w:themeColor="text1"/>
          <w14:textFill>
            <w14:solidFill>
              <w14:schemeClr w14:val="tx1"/>
            </w14:solidFill>
          </w14:textFill>
        </w:rPr>
        <w:t>浓度贡献值为0，未达到大气毒性终点浓度-1和大气毒性终点浓度-2</w:t>
      </w:r>
      <w:r>
        <w:rPr>
          <w:rFonts w:hint="eastAsia"/>
          <w:color w:val="000000" w:themeColor="text1"/>
          <w14:textFill>
            <w14:solidFill>
              <w14:schemeClr w14:val="tx1"/>
            </w14:solidFill>
          </w14:textFill>
        </w:rPr>
        <w:t>。</w:t>
      </w:r>
      <w:r>
        <w:rPr>
          <w:bCs/>
          <w:color w:val="000000" w:themeColor="text1"/>
          <w14:textFill>
            <w14:solidFill>
              <w14:schemeClr w14:val="tx1"/>
            </w14:solidFill>
          </w14:textFill>
        </w:rPr>
        <w:t>项目</w:t>
      </w:r>
      <w:r>
        <w:rPr>
          <w:rFonts w:hint="eastAsia"/>
          <w:color w:val="000000" w:themeColor="text1"/>
          <w14:textFill>
            <w14:solidFill>
              <w14:schemeClr w14:val="tx1"/>
            </w14:solidFill>
          </w14:textFill>
        </w:rPr>
        <w:t>苯乙烯</w:t>
      </w:r>
      <w:r>
        <w:rPr>
          <w:rFonts w:hint="eastAsia"/>
          <w:bCs/>
          <w:color w:val="000000" w:themeColor="text1"/>
          <w14:textFill>
            <w14:solidFill>
              <w14:schemeClr w14:val="tx1"/>
            </w14:solidFill>
          </w14:textFill>
        </w:rPr>
        <w:t>泄漏</w:t>
      </w:r>
      <w:r>
        <w:rPr>
          <w:bCs/>
          <w:color w:val="000000" w:themeColor="text1"/>
          <w14:textFill>
            <w14:solidFill>
              <w14:schemeClr w14:val="tx1"/>
            </w14:solidFill>
          </w14:textFill>
        </w:rPr>
        <w:t>对项目周边环境影响较</w:t>
      </w:r>
      <w:r>
        <w:rPr>
          <w:rFonts w:hint="eastAsia"/>
          <w:bCs/>
          <w:color w:val="000000" w:themeColor="text1"/>
          <w14:textFill>
            <w14:solidFill>
              <w14:schemeClr w14:val="tx1"/>
            </w14:solidFill>
          </w14:textFill>
        </w:rPr>
        <w:t>小</w:t>
      </w:r>
      <w:r>
        <w:rPr>
          <w:color w:val="000000" w:themeColor="text1"/>
          <w14:textFill>
            <w14:solidFill>
              <w14:schemeClr w14:val="tx1"/>
            </w14:solidFill>
          </w14:textFill>
        </w:rPr>
        <w:t>。</w:t>
      </w:r>
    </w:p>
    <w:p w14:paraId="2055074C">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发烟硫酸达到大气毒性终点浓度-1（160mg/m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）的最大影响范围约为4m，达到大气毒性终点浓度-2（8.7mg/m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）的最大影响范围约为20m；</w:t>
      </w:r>
      <w:r>
        <w:rPr>
          <w:color w:val="000000" w:themeColor="text1"/>
          <w14:textFill>
            <w14:solidFill>
              <w14:schemeClr w14:val="tx1"/>
            </w14:solidFill>
          </w14:textFill>
        </w:rPr>
        <w:t>事故发生后，预测到达居民点的</w:t>
      </w:r>
      <w:r>
        <w:rPr>
          <w:rFonts w:hint="eastAsia"/>
          <w:color w:val="000000" w:themeColor="text1"/>
          <w14:textFill>
            <w14:solidFill>
              <w14:schemeClr w14:val="tx1"/>
            </w14:solidFill>
          </w14:textFill>
        </w:rPr>
        <w:t>发烟硫酸</w:t>
      </w:r>
      <w:r>
        <w:rPr>
          <w:color w:val="000000" w:themeColor="text1"/>
          <w14:textFill>
            <w14:solidFill>
              <w14:schemeClr w14:val="tx1"/>
            </w14:solidFill>
          </w14:textFill>
        </w:rPr>
        <w:t>浓度贡献值为0，未达到大气毒性终点浓度-1和大气毒性终点浓度-2</w:t>
      </w:r>
      <w:r>
        <w:rPr>
          <w:rFonts w:hint="eastAsia"/>
          <w:color w:val="000000" w:themeColor="text1"/>
          <w14:textFill>
            <w14:solidFill>
              <w14:schemeClr w14:val="tx1"/>
            </w14:solidFill>
          </w14:textFill>
        </w:rPr>
        <w:t>。</w:t>
      </w:r>
      <w:r>
        <w:rPr>
          <w:bCs/>
          <w:color w:val="000000" w:themeColor="text1"/>
          <w14:textFill>
            <w14:solidFill>
              <w14:schemeClr w14:val="tx1"/>
            </w14:solidFill>
          </w14:textFill>
        </w:rPr>
        <w:t>项目</w:t>
      </w:r>
      <w:r>
        <w:rPr>
          <w:rFonts w:hint="eastAsia"/>
          <w:color w:val="000000" w:themeColor="text1"/>
          <w14:textFill>
            <w14:solidFill>
              <w14:schemeClr w14:val="tx1"/>
            </w14:solidFill>
          </w14:textFill>
        </w:rPr>
        <w:t>发烟硫酸</w:t>
      </w:r>
      <w:r>
        <w:rPr>
          <w:rFonts w:hint="eastAsia"/>
          <w:bCs/>
          <w:color w:val="000000" w:themeColor="text1"/>
          <w14:textFill>
            <w14:solidFill>
              <w14:schemeClr w14:val="tx1"/>
            </w14:solidFill>
          </w14:textFill>
        </w:rPr>
        <w:t>泄漏</w:t>
      </w:r>
      <w:r>
        <w:rPr>
          <w:bCs/>
          <w:color w:val="000000" w:themeColor="text1"/>
          <w14:textFill>
            <w14:solidFill>
              <w14:schemeClr w14:val="tx1"/>
            </w14:solidFill>
          </w14:textFill>
        </w:rPr>
        <w:t>对项目周边环境影响较</w:t>
      </w:r>
      <w:r>
        <w:rPr>
          <w:rFonts w:hint="eastAsia"/>
          <w:bCs/>
          <w:color w:val="000000" w:themeColor="text1"/>
          <w14:textFill>
            <w14:solidFill>
              <w14:schemeClr w14:val="tx1"/>
            </w14:solidFill>
          </w14:textFill>
        </w:rPr>
        <w:t>小</w:t>
      </w:r>
      <w:r>
        <w:rPr>
          <w:color w:val="000000" w:themeColor="text1"/>
          <w14:textFill>
            <w14:solidFill>
              <w14:schemeClr w14:val="tx1"/>
            </w14:solidFill>
          </w14:textFill>
        </w:rPr>
        <w:t>。</w:t>
      </w:r>
    </w:p>
    <w:p w14:paraId="0A52FF42">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苯乙烯泄漏并发生火灾伴生CO事故，CO浓度达到大气毒性终点浓度-1（380mg/m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）的最大影响范围约为32m，达到大气毒性终点浓度-2（95mg/m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）的最大影响范围约为12m；</w:t>
      </w:r>
      <w:r>
        <w:rPr>
          <w:color w:val="000000" w:themeColor="text1"/>
          <w14:textFill>
            <w14:solidFill>
              <w14:schemeClr w14:val="tx1"/>
            </w14:solidFill>
          </w14:textFill>
        </w:rPr>
        <w:t>预测到达</w:t>
      </w:r>
      <w:r>
        <w:rPr>
          <w:rFonts w:hint="eastAsia"/>
          <w:color w:val="000000" w:themeColor="text1"/>
          <w14:textFill>
            <w14:solidFill>
              <w14:schemeClr w14:val="tx1"/>
            </w14:solidFill>
          </w14:textFill>
        </w:rPr>
        <w:t>居民点</w:t>
      </w:r>
      <w:r>
        <w:rPr>
          <w:color w:val="000000" w:themeColor="text1"/>
          <w14:textFill>
            <w14:solidFill>
              <w14:schemeClr w14:val="tx1"/>
            </w14:solidFill>
          </w14:textFill>
        </w:rPr>
        <w:t>的</w:t>
      </w:r>
      <w:r>
        <w:rPr>
          <w:rFonts w:hint="eastAsia"/>
          <w:color w:val="000000" w:themeColor="text1"/>
          <w14:textFill>
            <w14:solidFill>
              <w14:schemeClr w14:val="tx1"/>
            </w14:solidFill>
          </w14:textFill>
        </w:rPr>
        <w:t>CO均未超出</w:t>
      </w:r>
      <w:r>
        <w:rPr>
          <w:color w:val="000000" w:themeColor="text1"/>
          <w14:textFill>
            <w14:solidFill>
              <w14:schemeClr w14:val="tx1"/>
            </w14:solidFill>
          </w14:textFill>
        </w:rPr>
        <w:t>大气毒性终点浓度-1</w:t>
      </w:r>
      <w:r>
        <w:rPr>
          <w:rFonts w:hint="eastAsia"/>
          <w:color w:val="000000" w:themeColor="text1"/>
          <w14:textFill>
            <w14:solidFill>
              <w14:schemeClr w14:val="tx1"/>
            </w14:solidFill>
          </w14:textFill>
        </w:rPr>
        <w:t>及</w:t>
      </w:r>
      <w:r>
        <w:rPr>
          <w:color w:val="000000" w:themeColor="text1"/>
          <w14:textFill>
            <w14:solidFill>
              <w14:schemeClr w14:val="tx1"/>
            </w14:solidFill>
          </w14:textFill>
        </w:rPr>
        <w:t>大气毒性终点浓度-</w:t>
      </w:r>
      <w:r>
        <w:rPr>
          <w:rFonts w:hint="eastAsia"/>
          <w:color w:val="000000" w:themeColor="text1"/>
          <w14:textFill>
            <w14:solidFill>
              <w14:schemeClr w14:val="tx1"/>
            </w14:solidFill>
          </w14:textFill>
        </w:rPr>
        <w:t>2范围。</w:t>
      </w:r>
      <w:r>
        <w:rPr>
          <w:bCs/>
          <w:color w:val="000000" w:themeColor="text1"/>
          <w14:textFill>
            <w14:solidFill>
              <w14:schemeClr w14:val="tx1"/>
            </w14:solidFill>
          </w14:textFill>
        </w:rPr>
        <w:t>项目</w:t>
      </w:r>
      <w:r>
        <w:rPr>
          <w:rFonts w:hint="eastAsia"/>
          <w:color w:val="000000" w:themeColor="text1"/>
          <w14:textFill>
            <w14:solidFill>
              <w14:schemeClr w14:val="tx1"/>
            </w14:solidFill>
          </w14:textFill>
        </w:rPr>
        <w:t>CO</w:t>
      </w:r>
      <w:r>
        <w:rPr>
          <w:rFonts w:hint="eastAsia"/>
          <w:bCs/>
          <w:color w:val="000000" w:themeColor="text1"/>
          <w14:textFill>
            <w14:solidFill>
              <w14:schemeClr w14:val="tx1"/>
            </w14:solidFill>
          </w14:textFill>
        </w:rPr>
        <w:t>泄漏</w:t>
      </w:r>
      <w:r>
        <w:rPr>
          <w:bCs/>
          <w:color w:val="000000" w:themeColor="text1"/>
          <w14:textFill>
            <w14:solidFill>
              <w14:schemeClr w14:val="tx1"/>
            </w14:solidFill>
          </w14:textFill>
        </w:rPr>
        <w:t>对项目周边环境影响较</w:t>
      </w:r>
      <w:r>
        <w:rPr>
          <w:rFonts w:hint="eastAsia"/>
          <w:bCs/>
          <w:color w:val="000000" w:themeColor="text1"/>
          <w14:textFill>
            <w14:solidFill>
              <w14:schemeClr w14:val="tx1"/>
            </w14:solidFill>
          </w14:textFill>
        </w:rPr>
        <w:t>小</w:t>
      </w:r>
      <w:r>
        <w:rPr>
          <w:bCs/>
          <w:color w:val="000000" w:themeColor="text1"/>
          <w14:textFill>
            <w14:solidFill>
              <w14:schemeClr w14:val="tx1"/>
            </w14:solidFill>
          </w14:textFill>
        </w:rPr>
        <w:t>。</w:t>
      </w:r>
    </w:p>
    <w:p w14:paraId="35728AFD">
      <w:pPr>
        <w:ind w:firstLine="48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（4）环境风险防范措施和应急预案</w:t>
      </w:r>
    </w:p>
    <w:p w14:paraId="5BA055EC">
      <w:pPr>
        <w:ind w:firstLine="48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本项目现有工程风险防范措施及应急预案合理、可行，应急预案应在企业现有应急预案的基础上，应急预案的重点关注内容应包括完整的环境风险应急体系、监控与预警、应急疏散救援以及应急监测等，纳入园区环境风险防控体系和管理的衔接要求，实现厂内与园区环境风险防控设施及管理的有效联动，有效防控环境风险。建设单位应及时修订环境风险应急预案，将本项目内容纳入企业现有整体环境风险应急预案体系中。</w:t>
      </w:r>
    </w:p>
    <w:p w14:paraId="70073851">
      <w:pPr>
        <w:pStyle w:val="13"/>
        <w:spacing w:line="360" w:lineRule="auto"/>
        <w:ind w:firstLine="480"/>
        <w:rPr>
          <w:color w:val="000000" w:themeColor="text1"/>
          <w:sz w:val="24"/>
          <w:u w:val="single"/>
          <w14:textFill>
            <w14:solidFill>
              <w14:schemeClr w14:val="tx1"/>
            </w14:solidFill>
          </w14:textFill>
        </w:rPr>
      </w:pPr>
      <w:r>
        <w:rPr>
          <w:rFonts w:hint="eastAsia"/>
          <w:color w:val="000000" w:themeColor="text1"/>
          <w:sz w:val="24"/>
          <w:u w:val="single"/>
          <w14:textFill>
            <w14:solidFill>
              <w14:schemeClr w14:val="tx1"/>
            </w14:solidFill>
          </w14:textFill>
        </w:rPr>
        <w:t>拟建项目后续需根据建设内容、建设单位内部管理规定等特征，</w:t>
      </w:r>
      <w:r>
        <w:rPr>
          <w:color w:val="000000" w:themeColor="text1"/>
          <w:sz w:val="24"/>
          <w:u w:val="single"/>
          <w14:textFill>
            <w14:solidFill>
              <w14:schemeClr w14:val="tx1"/>
            </w14:solidFill>
          </w14:textFill>
        </w:rPr>
        <w:t xml:space="preserve"> 在投入运营前，修订完善现有的环境风险应急预案并进行报备。</w:t>
      </w:r>
    </w:p>
    <w:p w14:paraId="54F96956">
      <w:pPr>
        <w:ind w:firstLine="48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（5）环境风险评价结论</w:t>
      </w:r>
    </w:p>
    <w:p w14:paraId="42DBEE31">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在落实各项环保措施和本评价所列出的各项环境风险防范措施、有效的环境风险应急预案，加强风险管理的条件下，本项目的大气、地表水环境风险是可防可控的。</w:t>
      </w:r>
    </w:p>
    <w:p w14:paraId="21425C64">
      <w:pPr>
        <w:ind w:firstLine="480"/>
        <w:rPr>
          <w:color w:val="000000" w:themeColor="text1"/>
          <w14:textFill>
            <w14:solidFill>
              <w14:schemeClr w14:val="tx1"/>
            </w14:solidFill>
          </w14:textFill>
        </w:rPr>
      </w:pPr>
    </w:p>
    <w:p w14:paraId="201AF80E">
      <w:pPr>
        <w:ind w:firstLine="480"/>
        <w:rPr>
          <w:color w:val="000000" w:themeColor="text1"/>
          <w14:textFill>
            <w14:solidFill>
              <w14:schemeClr w14:val="tx1"/>
            </w14:solidFill>
          </w14:textFill>
        </w:rPr>
      </w:pPr>
    </w:p>
    <w:p w14:paraId="1007ACF2">
      <w:pPr>
        <w:ind w:firstLine="480"/>
        <w:rPr>
          <w:color w:val="000000" w:themeColor="text1"/>
          <w14:textFill>
            <w14:solidFill>
              <w14:schemeClr w14:val="tx1"/>
            </w14:solidFill>
          </w14:textFill>
        </w:rPr>
      </w:pPr>
    </w:p>
    <w:p w14:paraId="14DC73FA">
      <w:pPr>
        <w:ind w:firstLine="480"/>
        <w:rPr>
          <w:color w:val="000000" w:themeColor="text1"/>
          <w14:textFill>
            <w14:solidFill>
              <w14:schemeClr w14:val="tx1"/>
            </w14:solidFill>
          </w14:textFill>
        </w:rPr>
      </w:pPr>
      <w:bookmarkStart w:id="734" w:name="_Hlk130845577"/>
    </w:p>
    <w:p w14:paraId="53969B8D">
      <w:pPr>
        <w:ind w:firstLine="480"/>
        <w:rPr>
          <w:color w:val="000000" w:themeColor="text1"/>
          <w14:textFill>
            <w14:solidFill>
              <w14:schemeClr w14:val="tx1"/>
            </w14:solidFill>
          </w14:textFill>
        </w:rPr>
      </w:pPr>
    </w:p>
    <w:p w14:paraId="1BBD2C99">
      <w:pPr>
        <w:ind w:firstLine="480"/>
        <w:rPr>
          <w:color w:val="000000" w:themeColor="text1"/>
          <w14:textFill>
            <w14:solidFill>
              <w14:schemeClr w14:val="tx1"/>
            </w14:solidFill>
          </w14:textFill>
        </w:rPr>
        <w:sectPr>
          <w:headerReference r:id="rId32" w:type="default"/>
          <w:pgSz w:w="11906" w:h="16838"/>
          <w:pgMar w:top="1440" w:right="1800" w:bottom="1440" w:left="1800" w:header="851" w:footer="680" w:gutter="0"/>
          <w:pgBorders>
            <w:top w:val="none" w:sz="0" w:space="0"/>
            <w:left w:val="none" w:sz="0" w:space="0"/>
            <w:bottom w:val="none" w:sz="0" w:space="0"/>
            <w:right w:val="none" w:sz="0" w:space="0"/>
          </w:pgBorders>
          <w:pgNumType w:fmt="numberInDash"/>
          <w:cols w:space="720" w:num="1"/>
          <w:docGrid w:type="lines" w:linePitch="326" w:charSpace="0"/>
        </w:sectPr>
      </w:pPr>
    </w:p>
    <w:bookmarkEnd w:id="734"/>
    <w:p w14:paraId="0D27ECDF">
      <w:pPr>
        <w:pStyle w:val="3"/>
        <w:rPr>
          <w:color w:val="000000" w:themeColor="text1"/>
          <w14:textFill>
            <w14:solidFill>
              <w14:schemeClr w14:val="tx1"/>
            </w14:solidFill>
          </w14:textFill>
        </w:rPr>
      </w:pPr>
      <w:bookmarkStart w:id="735" w:name="_Toc216620622"/>
      <w:r>
        <w:rPr>
          <w:color w:val="000000" w:themeColor="text1"/>
          <w14:textFill>
            <w14:solidFill>
              <w14:schemeClr w14:val="tx1"/>
            </w14:solidFill>
          </w14:textFill>
        </w:rPr>
        <w:t>环境保护措施及其可行性论证</w:t>
      </w:r>
      <w:bookmarkEnd w:id="735"/>
    </w:p>
    <w:p w14:paraId="136DA4AB">
      <w:pPr>
        <w:pStyle w:val="5"/>
        <w:rPr>
          <w:color w:val="000000" w:themeColor="text1"/>
          <w14:textFill>
            <w14:solidFill>
              <w14:schemeClr w14:val="tx1"/>
            </w14:solidFill>
          </w14:textFill>
        </w:rPr>
      </w:pPr>
      <w:bookmarkStart w:id="736" w:name="_Toc216620623"/>
      <w:r>
        <w:rPr>
          <w:color w:val="000000" w:themeColor="text1"/>
          <w14:textFill>
            <w14:solidFill>
              <w14:schemeClr w14:val="tx1"/>
            </w14:solidFill>
          </w14:textFill>
        </w:rPr>
        <w:t>施工期环境保护措施及其可行性分析</w:t>
      </w:r>
      <w:bookmarkEnd w:id="736"/>
    </w:p>
    <w:p w14:paraId="0CCF01AE">
      <w:pPr>
        <w:pStyle w:val="4"/>
        <w:rPr>
          <w:color w:val="000000" w:themeColor="text1"/>
          <w14:textFill>
            <w14:solidFill>
              <w14:schemeClr w14:val="tx1"/>
            </w14:solidFill>
          </w14:textFill>
        </w:rPr>
      </w:pPr>
      <w:bookmarkStart w:id="737" w:name="_Toc135090287"/>
      <w:bookmarkStart w:id="738" w:name="_Toc25437028"/>
      <w:bookmarkStart w:id="739" w:name="_Toc216103465"/>
      <w:bookmarkStart w:id="740" w:name="_Toc26910074"/>
      <w:bookmarkStart w:id="741" w:name="_Toc29131887"/>
      <w:bookmarkStart w:id="742" w:name="_Toc136878554"/>
      <w:bookmarkStart w:id="743" w:name="_Toc216620624"/>
      <w:r>
        <w:rPr>
          <w:color w:val="000000" w:themeColor="text1"/>
          <w14:textFill>
            <w14:solidFill>
              <w14:schemeClr w14:val="tx1"/>
            </w14:solidFill>
          </w14:textFill>
        </w:rPr>
        <w:t>大气环境保护措施及其可行性分析</w:t>
      </w:r>
      <w:bookmarkEnd w:id="737"/>
      <w:bookmarkEnd w:id="738"/>
      <w:bookmarkEnd w:id="739"/>
      <w:bookmarkEnd w:id="740"/>
      <w:bookmarkEnd w:id="741"/>
      <w:bookmarkEnd w:id="742"/>
      <w:bookmarkEnd w:id="743"/>
    </w:p>
    <w:p w14:paraId="325C8FFC">
      <w:pPr>
        <w:ind w:firstLine="480"/>
        <w:rPr>
          <w:color w:val="000000" w:themeColor="text1"/>
          <w14:textFill>
            <w14:solidFill>
              <w14:schemeClr w14:val="tx1"/>
            </w14:solidFill>
          </w14:textFill>
        </w:rPr>
      </w:pPr>
      <w:r>
        <w:rPr>
          <w:color w:val="000000" w:themeColor="text1"/>
          <w14:textFill>
            <w14:solidFill>
              <w14:schemeClr w14:val="tx1"/>
            </w14:solidFill>
          </w14:textFill>
        </w:rPr>
        <w:t>施工期环境空气中的污染物主要是施工现场扬尘、车辆运输道路和施工船舶排放废气。对于船舶废气排放的污染，一般不会造成太大的影响。对于施工作业及运输车辆道路扬尘，建议采取以下环保措施：</w:t>
      </w:r>
    </w:p>
    <w:p w14:paraId="65A395B2">
      <w:pPr>
        <w:ind w:firstLine="480"/>
        <w:rPr>
          <w:color w:val="000000" w:themeColor="text1"/>
          <w:kern w:val="0"/>
          <w:szCs w:val="20"/>
          <w14:textFill>
            <w14:solidFill>
              <w14:schemeClr w14:val="tx1"/>
            </w14:solidFill>
          </w14:textFill>
        </w:rPr>
      </w:pPr>
      <w:r>
        <w:rPr>
          <w:color w:val="000000" w:themeColor="text1"/>
          <w:kern w:val="0"/>
          <w:szCs w:val="20"/>
          <w14:textFill>
            <w14:solidFill>
              <w14:schemeClr w14:val="tx1"/>
            </w14:solidFill>
          </w14:textFill>
        </w:rPr>
        <w:t>（1）</w:t>
      </w:r>
      <w:r>
        <w:rPr>
          <w:rFonts w:hint="eastAsia"/>
          <w:color w:val="000000" w:themeColor="text1"/>
          <w:kern w:val="0"/>
          <w:szCs w:val="20"/>
          <w14:textFill>
            <w14:solidFill>
              <w14:schemeClr w14:val="tx1"/>
            </w14:solidFill>
          </w14:textFill>
        </w:rPr>
        <w:t>合理</w:t>
      </w:r>
      <w:r>
        <w:rPr>
          <w:color w:val="000000" w:themeColor="text1"/>
          <w:kern w:val="0"/>
          <w:szCs w:val="20"/>
          <w14:textFill>
            <w14:solidFill>
              <w14:schemeClr w14:val="tx1"/>
            </w14:solidFill>
          </w14:textFill>
        </w:rPr>
        <w:t>施工时间，提高施工效率</w:t>
      </w:r>
      <w:r>
        <w:rPr>
          <w:rFonts w:hint="eastAsia"/>
          <w:color w:val="000000" w:themeColor="text1"/>
          <w:kern w:val="0"/>
          <w:szCs w:val="20"/>
          <w14:textFill>
            <w14:solidFill>
              <w14:schemeClr w14:val="tx1"/>
            </w14:solidFill>
          </w14:textFill>
        </w:rPr>
        <w:t>。</w:t>
      </w:r>
    </w:p>
    <w:p w14:paraId="74BA6EF0">
      <w:pPr>
        <w:ind w:firstLine="480"/>
        <w:rPr>
          <w:color w:val="000000" w:themeColor="text1"/>
          <w:kern w:val="0"/>
          <w:szCs w:val="20"/>
          <w14:textFill>
            <w14:solidFill>
              <w14:schemeClr w14:val="tx1"/>
            </w14:solidFill>
          </w14:textFill>
        </w:rPr>
      </w:pPr>
      <w:r>
        <w:rPr>
          <w:rFonts w:hint="eastAsia"/>
          <w:color w:val="000000" w:themeColor="text1"/>
          <w:kern w:val="0"/>
          <w:szCs w:val="20"/>
          <w14:textFill>
            <w14:solidFill>
              <w14:schemeClr w14:val="tx1"/>
            </w14:solidFill>
          </w14:textFill>
        </w:rPr>
        <w:t>（</w:t>
      </w:r>
      <w:r>
        <w:rPr>
          <w:color w:val="000000" w:themeColor="text1"/>
          <w:kern w:val="0"/>
          <w:szCs w:val="20"/>
          <w14:textFill>
            <w14:solidFill>
              <w14:schemeClr w14:val="tx1"/>
            </w14:solidFill>
          </w14:textFill>
        </w:rPr>
        <w:t>2</w:t>
      </w:r>
      <w:r>
        <w:rPr>
          <w:rFonts w:hint="eastAsia"/>
          <w:color w:val="000000" w:themeColor="text1"/>
          <w:kern w:val="0"/>
          <w:szCs w:val="20"/>
          <w14:textFill>
            <w14:solidFill>
              <w14:schemeClr w14:val="tx1"/>
            </w14:solidFill>
          </w14:textFill>
        </w:rPr>
        <w:t>）加强对施工机械、施工船舶的维修保养，禁止以柴油为燃料的施工机械超负荷工作。</w:t>
      </w:r>
    </w:p>
    <w:p w14:paraId="74BDCEDB">
      <w:pPr>
        <w:ind w:firstLine="480"/>
        <w:rPr>
          <w:color w:val="000000" w:themeColor="text1"/>
          <w:kern w:val="0"/>
          <w:szCs w:val="20"/>
          <w14:textFill>
            <w14:solidFill>
              <w14:schemeClr w14:val="tx1"/>
            </w14:solidFill>
          </w14:textFill>
        </w:rPr>
      </w:pPr>
      <w:r>
        <w:rPr>
          <w:color w:val="000000" w:themeColor="text1"/>
          <w:kern w:val="0"/>
          <w:szCs w:val="20"/>
          <w14:textFill>
            <w14:solidFill>
              <w14:schemeClr w14:val="tx1"/>
            </w14:solidFill>
          </w14:textFill>
        </w:rPr>
        <w:t>（</w:t>
      </w:r>
      <w:r>
        <w:rPr>
          <w:rFonts w:hint="eastAsia"/>
          <w:color w:val="000000" w:themeColor="text1"/>
          <w:kern w:val="0"/>
          <w:szCs w:val="20"/>
          <w14:textFill>
            <w14:solidFill>
              <w14:schemeClr w14:val="tx1"/>
            </w14:solidFill>
          </w14:textFill>
        </w:rPr>
        <w:t>3</w:t>
      </w:r>
      <w:r>
        <w:rPr>
          <w:color w:val="000000" w:themeColor="text1"/>
          <w:kern w:val="0"/>
          <w:szCs w:val="20"/>
          <w14:textFill>
            <w14:solidFill>
              <w14:schemeClr w14:val="tx1"/>
            </w14:solidFill>
          </w14:textFill>
        </w:rPr>
        <w:t>）用汽车运输易起尘的物料时，要加盖蓬布并控制车速，防止物料洒落和产生扬尘；卸车时应尽量减少落差，减少扬尘；运输车辆进出的主干道应定期洒水清扫，保持车辆出入口路面清洁、润湿，并尽量要求运输车辆放慢行车速度，以减少地面扬尘污染</w:t>
      </w:r>
      <w:r>
        <w:rPr>
          <w:rFonts w:hint="eastAsia"/>
          <w:color w:val="000000" w:themeColor="text1"/>
          <w:kern w:val="0"/>
          <w:szCs w:val="20"/>
          <w14:textFill>
            <w14:solidFill>
              <w14:schemeClr w14:val="tx1"/>
            </w14:solidFill>
          </w14:textFill>
        </w:rPr>
        <w:t>。</w:t>
      </w:r>
    </w:p>
    <w:p w14:paraId="60C5F1C9">
      <w:pPr>
        <w:pStyle w:val="4"/>
        <w:rPr>
          <w:color w:val="000000" w:themeColor="text1"/>
          <w14:textFill>
            <w14:solidFill>
              <w14:schemeClr w14:val="tx1"/>
            </w14:solidFill>
          </w14:textFill>
        </w:rPr>
      </w:pPr>
      <w:bookmarkStart w:id="744" w:name="_Toc216103466"/>
      <w:bookmarkStart w:id="745" w:name="_Toc216620625"/>
      <w:bookmarkStart w:id="746" w:name="_Toc135090288"/>
      <w:bookmarkStart w:id="747" w:name="_Toc25437029"/>
      <w:bookmarkStart w:id="748" w:name="_Toc29131888"/>
      <w:bookmarkStart w:id="749" w:name="_Toc26910075"/>
      <w:bookmarkStart w:id="750" w:name="_Toc136878555"/>
      <w:r>
        <w:rPr>
          <w:color w:val="000000" w:themeColor="text1"/>
          <w14:textFill>
            <w14:solidFill>
              <w14:schemeClr w14:val="tx1"/>
            </w14:solidFill>
          </w14:textFill>
        </w:rPr>
        <w:t>水环境保护措施</w:t>
      </w:r>
      <w:bookmarkEnd w:id="744"/>
      <w:bookmarkEnd w:id="745"/>
      <w:bookmarkEnd w:id="746"/>
      <w:bookmarkEnd w:id="747"/>
      <w:bookmarkEnd w:id="748"/>
      <w:bookmarkEnd w:id="749"/>
      <w:bookmarkEnd w:id="750"/>
    </w:p>
    <w:p w14:paraId="5C33757F">
      <w:pPr>
        <w:pStyle w:val="6"/>
        <w:tabs>
          <w:tab w:val="left" w:pos="561"/>
        </w:tabs>
        <w:ind w:left="141"/>
        <w:rPr>
          <w:color w:val="000000" w:themeColor="text1"/>
          <w14:textFill>
            <w14:solidFill>
              <w14:schemeClr w14:val="tx1"/>
            </w14:solidFill>
          </w14:textFill>
        </w:rPr>
      </w:pPr>
      <w:r>
        <w:rPr>
          <w:color w:val="000000" w:themeColor="text1"/>
          <w14:textFill>
            <w14:solidFill>
              <w14:schemeClr w14:val="tx1"/>
            </w14:solidFill>
          </w14:textFill>
        </w:rPr>
        <w:t>陆域施工环保措施</w:t>
      </w:r>
    </w:p>
    <w:p w14:paraId="2545C96E">
      <w:pPr>
        <w:ind w:firstLine="480"/>
        <w:rPr>
          <w:color w:val="000000" w:themeColor="text1"/>
          <w:kern w:val="0"/>
          <w:szCs w:val="20"/>
          <w14:textFill>
            <w14:solidFill>
              <w14:schemeClr w14:val="tx1"/>
            </w14:solidFill>
          </w14:textFill>
        </w:rPr>
      </w:pPr>
      <w:r>
        <w:rPr>
          <w:color w:val="000000" w:themeColor="text1"/>
          <w:kern w:val="0"/>
          <w:szCs w:val="20"/>
          <w14:textFill>
            <w14:solidFill>
              <w14:schemeClr w14:val="tx1"/>
            </w14:solidFill>
          </w14:textFill>
        </w:rPr>
        <w:t>（1）落实材料使用的各个阶段，有针对性地采取保护和管理措施，尽量降低材料运输和堆放对管道沿线水环境的影响</w:t>
      </w:r>
      <w:r>
        <w:rPr>
          <w:rFonts w:hint="eastAsia"/>
          <w:color w:val="000000" w:themeColor="text1"/>
          <w:kern w:val="0"/>
          <w:szCs w:val="20"/>
          <w14:textFill>
            <w14:solidFill>
              <w14:schemeClr w14:val="tx1"/>
            </w14:solidFill>
          </w14:textFill>
        </w:rPr>
        <w:t>。</w:t>
      </w:r>
    </w:p>
    <w:p w14:paraId="0D7DDD4F">
      <w:pPr>
        <w:ind w:firstLine="480"/>
        <w:rPr>
          <w:color w:val="000000" w:themeColor="text1"/>
          <w:kern w:val="0"/>
          <w:szCs w:val="20"/>
          <w14:textFill>
            <w14:solidFill>
              <w14:schemeClr w14:val="tx1"/>
            </w14:solidFill>
          </w14:textFill>
        </w:rPr>
      </w:pPr>
      <w:r>
        <w:rPr>
          <w:color w:val="000000" w:themeColor="text1"/>
          <w:kern w:val="0"/>
          <w:szCs w:val="20"/>
          <w14:textFill>
            <w14:solidFill>
              <w14:schemeClr w14:val="tx1"/>
            </w14:solidFill>
          </w14:textFill>
        </w:rPr>
        <w:t>（2）施工期施工人员就近租用当地民房，施工期间加强管理，禁止施工弃渣、生活垃圾等排入水体</w:t>
      </w:r>
      <w:r>
        <w:rPr>
          <w:rFonts w:hint="eastAsia"/>
          <w:color w:val="000000" w:themeColor="text1"/>
          <w:kern w:val="0"/>
          <w:szCs w:val="20"/>
          <w14:textFill>
            <w14:solidFill>
              <w14:schemeClr w14:val="tx1"/>
            </w14:solidFill>
          </w14:textFill>
        </w:rPr>
        <w:t>。</w:t>
      </w:r>
    </w:p>
    <w:p w14:paraId="4785FA79">
      <w:pPr>
        <w:ind w:firstLine="480"/>
        <w:rPr>
          <w:color w:val="000000" w:themeColor="text1"/>
          <w:kern w:val="0"/>
          <w:szCs w:val="20"/>
          <w14:textFill>
            <w14:solidFill>
              <w14:schemeClr w14:val="tx1"/>
            </w14:solidFill>
          </w14:textFill>
        </w:rPr>
      </w:pPr>
      <w:r>
        <w:rPr>
          <w:color w:val="000000" w:themeColor="text1"/>
          <w:kern w:val="0"/>
          <w:szCs w:val="20"/>
          <w14:textFill>
            <w14:solidFill>
              <w14:schemeClr w14:val="tx1"/>
            </w14:solidFill>
          </w14:textFill>
        </w:rPr>
        <w:t>（</w:t>
      </w:r>
      <w:r>
        <w:rPr>
          <w:rFonts w:hint="eastAsia"/>
          <w:color w:val="000000" w:themeColor="text1"/>
          <w:kern w:val="0"/>
          <w:szCs w:val="20"/>
          <w14:textFill>
            <w14:solidFill>
              <w14:schemeClr w14:val="tx1"/>
            </w14:solidFill>
          </w14:textFill>
        </w:rPr>
        <w:t>3</w:t>
      </w:r>
      <w:r>
        <w:rPr>
          <w:color w:val="000000" w:themeColor="text1"/>
          <w:kern w:val="0"/>
          <w:szCs w:val="20"/>
          <w14:textFill>
            <w14:solidFill>
              <w14:schemeClr w14:val="tx1"/>
            </w14:solidFill>
          </w14:textFill>
        </w:rPr>
        <w:t>）</w:t>
      </w:r>
      <w:r>
        <w:rPr>
          <w:rFonts w:hint="eastAsia"/>
          <w:color w:val="000000" w:themeColor="text1"/>
          <w:kern w:val="0"/>
          <w:szCs w:val="20"/>
          <w14:textFill>
            <w14:solidFill>
              <w14:schemeClr w14:val="tx1"/>
            </w14:solidFill>
          </w14:textFill>
        </w:rPr>
        <w:t>试压废水经集污池收集后进入</w:t>
      </w:r>
      <w:r>
        <w:rPr>
          <w:color w:val="000000" w:themeColor="text1"/>
          <w14:textFill>
            <w14:solidFill>
              <w14:schemeClr w14:val="tx1"/>
            </w14:solidFill>
          </w14:textFill>
        </w:rPr>
        <w:t>恒逸</w:t>
      </w:r>
      <w:r>
        <w:rPr>
          <w:rFonts w:hint="eastAsia"/>
          <w:color w:val="000000" w:themeColor="text1"/>
          <w:kern w:val="0"/>
          <w:szCs w:val="20"/>
          <w14:textFill>
            <w14:solidFill>
              <w14:schemeClr w14:val="tx1"/>
            </w14:solidFill>
          </w14:textFill>
        </w:rPr>
        <w:t>污水处理厂</w:t>
      </w:r>
      <w:r>
        <w:rPr>
          <w:color w:val="000000" w:themeColor="text1"/>
          <w:kern w:val="0"/>
          <w:szCs w:val="20"/>
          <w14:textFill>
            <w14:solidFill>
              <w14:schemeClr w14:val="tx1"/>
            </w14:solidFill>
          </w14:textFill>
        </w:rPr>
        <w:t>进行处理</w:t>
      </w:r>
      <w:r>
        <w:rPr>
          <w:rFonts w:hint="eastAsia"/>
          <w:color w:val="000000" w:themeColor="text1"/>
          <w:kern w:val="0"/>
          <w:szCs w:val="20"/>
          <w14:textFill>
            <w14:solidFill>
              <w14:schemeClr w14:val="tx1"/>
            </w14:solidFill>
          </w14:textFill>
        </w:rPr>
        <w:t>。</w:t>
      </w:r>
    </w:p>
    <w:p w14:paraId="26EF450B">
      <w:pPr>
        <w:ind w:firstLine="480"/>
        <w:rPr>
          <w:color w:val="000000" w:themeColor="text1"/>
          <w:kern w:val="0"/>
          <w:szCs w:val="20"/>
          <w14:textFill>
            <w14:solidFill>
              <w14:schemeClr w14:val="tx1"/>
            </w14:solidFill>
          </w14:textFill>
        </w:rPr>
      </w:pPr>
      <w:r>
        <w:rPr>
          <w:rFonts w:hint="eastAsia"/>
          <w:color w:val="000000" w:themeColor="text1"/>
          <w:kern w:val="0"/>
          <w:szCs w:val="20"/>
          <w14:textFill>
            <w14:solidFill>
              <w14:schemeClr w14:val="tx1"/>
            </w14:solidFill>
          </w14:textFill>
        </w:rPr>
        <w:t>（4）合理规划施工进度，尽量减少船舶水上施工周期，做好船舶溢油风险防范措施。</w:t>
      </w:r>
    </w:p>
    <w:p w14:paraId="0E92FE57">
      <w:pPr>
        <w:ind w:firstLine="480"/>
        <w:rPr>
          <w:color w:val="000000" w:themeColor="text1"/>
          <w:kern w:val="0"/>
          <w:szCs w:val="20"/>
          <w14:textFill>
            <w14:solidFill>
              <w14:schemeClr w14:val="tx1"/>
            </w14:solidFill>
          </w14:textFill>
        </w:rPr>
      </w:pPr>
      <w:r>
        <w:rPr>
          <w:rFonts w:hint="eastAsia"/>
          <w:color w:val="000000" w:themeColor="text1"/>
          <w:kern w:val="0"/>
          <w:szCs w:val="20"/>
          <w14:textFill>
            <w14:solidFill>
              <w14:schemeClr w14:val="tx1"/>
            </w14:solidFill>
          </w14:textFill>
        </w:rPr>
        <w:t>（5）</w:t>
      </w:r>
      <w:r>
        <w:rPr>
          <w:color w:val="000000" w:themeColor="text1"/>
          <w:kern w:val="0"/>
          <w:szCs w:val="20"/>
          <w14:textFill>
            <w14:solidFill>
              <w14:schemeClr w14:val="tx1"/>
            </w14:solidFill>
          </w14:textFill>
        </w:rPr>
        <w:t>施工中加强现场管理，杜绝施工机具油料的跑冒滴漏。</w:t>
      </w:r>
    </w:p>
    <w:p w14:paraId="04BD181D">
      <w:pPr>
        <w:pStyle w:val="6"/>
        <w:tabs>
          <w:tab w:val="left" w:pos="561"/>
        </w:tabs>
        <w:ind w:left="141"/>
        <w:rPr>
          <w:color w:val="000000" w:themeColor="text1"/>
          <w14:textFill>
            <w14:solidFill>
              <w14:schemeClr w14:val="tx1"/>
            </w14:solidFill>
          </w14:textFill>
        </w:rPr>
      </w:pPr>
      <w:r>
        <w:rPr>
          <w:color w:val="000000" w:themeColor="text1"/>
          <w14:textFill>
            <w14:solidFill>
              <w14:schemeClr w14:val="tx1"/>
            </w14:solidFill>
          </w14:textFill>
        </w:rPr>
        <w:t>施工船舶污染物防治措施</w:t>
      </w:r>
    </w:p>
    <w:p w14:paraId="05B18464">
      <w:pPr>
        <w:ind w:firstLine="480"/>
        <w:rPr>
          <w:color w:val="000000" w:themeColor="text1"/>
          <w14:textFill>
            <w14:solidFill>
              <w14:schemeClr w14:val="tx1"/>
            </w14:solidFill>
          </w14:textFill>
        </w:rPr>
      </w:pPr>
      <w:r>
        <w:rPr>
          <w:color w:val="000000" w:themeColor="text1"/>
          <w14:textFill>
            <w14:solidFill>
              <w14:schemeClr w14:val="tx1"/>
            </w14:solidFill>
          </w14:textFill>
        </w:rPr>
        <w:t>船舶油污水由有资质单位接收处理，不在港区排放。</w:t>
      </w:r>
    </w:p>
    <w:p w14:paraId="5A048141">
      <w:pPr>
        <w:ind w:firstLine="480"/>
        <w:rPr>
          <w:color w:val="000000" w:themeColor="text1"/>
          <w14:textFill>
            <w14:solidFill>
              <w14:schemeClr w14:val="tx1"/>
            </w14:solidFill>
          </w14:textFill>
        </w:rPr>
      </w:pPr>
      <w:r>
        <w:rPr>
          <w:color w:val="000000" w:themeColor="text1"/>
          <w14:textFill>
            <w14:solidFill>
              <w14:schemeClr w14:val="tx1"/>
            </w14:solidFill>
          </w14:textFill>
        </w:rPr>
        <w:t>施工过程加强监督管理，施工船舶含油污水和生活污水不得在施工海域直接排放，施工船舶事先经海事部门对其排污设备实施铅封，船舶污水委托经海事部门批转具有资质的专业接收单位接收处理。</w:t>
      </w:r>
    </w:p>
    <w:p w14:paraId="118A6293">
      <w:pPr>
        <w:pStyle w:val="4"/>
        <w:rPr>
          <w:color w:val="000000" w:themeColor="text1"/>
          <w14:textFill>
            <w14:solidFill>
              <w14:schemeClr w14:val="tx1"/>
            </w14:solidFill>
          </w14:textFill>
        </w:rPr>
      </w:pPr>
      <w:bookmarkStart w:id="751" w:name="_Toc216103467"/>
      <w:bookmarkStart w:id="752" w:name="_Toc29131889"/>
      <w:bookmarkStart w:id="753" w:name="_Toc136878556"/>
      <w:bookmarkStart w:id="754" w:name="_Toc216620626"/>
      <w:bookmarkStart w:id="755" w:name="_Toc25437030"/>
      <w:bookmarkStart w:id="756" w:name="_Toc135090289"/>
      <w:bookmarkStart w:id="757" w:name="_Toc26910076"/>
      <w:r>
        <w:rPr>
          <w:color w:val="000000" w:themeColor="text1"/>
          <w14:textFill>
            <w14:solidFill>
              <w14:schemeClr w14:val="tx1"/>
            </w14:solidFill>
          </w14:textFill>
        </w:rPr>
        <w:t>噪声环保措施</w:t>
      </w:r>
      <w:bookmarkEnd w:id="751"/>
      <w:bookmarkEnd w:id="752"/>
      <w:bookmarkEnd w:id="753"/>
      <w:bookmarkEnd w:id="754"/>
      <w:bookmarkEnd w:id="755"/>
      <w:bookmarkEnd w:id="756"/>
      <w:bookmarkEnd w:id="757"/>
    </w:p>
    <w:p w14:paraId="4705F1FE">
      <w:pPr>
        <w:ind w:firstLine="480"/>
        <w:rPr>
          <w:color w:val="000000" w:themeColor="text1"/>
          <w14:textFill>
            <w14:solidFill>
              <w14:schemeClr w14:val="tx1"/>
            </w14:solidFill>
          </w14:textFill>
        </w:rPr>
      </w:pPr>
      <w:r>
        <w:rPr>
          <w:color w:val="000000" w:themeColor="text1"/>
          <w14:textFill>
            <w14:solidFill>
              <w14:schemeClr w14:val="tx1"/>
            </w14:solidFill>
          </w14:textFill>
        </w:rPr>
        <w:t>（1）施工机械要采用低噪声设备，加强设备的日常维修保养，使施工机械保持良好状态，避免超过正常噪声运转。对高噪声设备，应在其附近加设可移动的简单围障，以降低其噪音辐射。</w:t>
      </w:r>
    </w:p>
    <w:p w14:paraId="3FE6E9DE">
      <w:pPr>
        <w:ind w:firstLine="480"/>
        <w:rPr>
          <w:color w:val="000000" w:themeColor="text1"/>
          <w14:textFill>
            <w14:solidFill>
              <w14:schemeClr w14:val="tx1"/>
            </w14:solidFill>
          </w14:textFill>
        </w:rPr>
      </w:pPr>
      <w:r>
        <w:rPr>
          <w:color w:val="000000" w:themeColor="text1"/>
          <w14:textFill>
            <w14:solidFill>
              <w14:schemeClr w14:val="tx1"/>
            </w14:solidFill>
          </w14:textFill>
        </w:rPr>
        <w:t>（2）认真执行《建筑施工场界环境噪声排放标准》（GB12523-2011）对施工阶段噪声的要求，在夜间超标施工必须向主管环保部门提出申请，获准后方可在指定日期内进行。合理安排施工作业的时间，每天22点至次日晨6点禁止施工（因工艺需要须连续施工的除外），尽可能减少对周围环境的影响。</w:t>
      </w:r>
    </w:p>
    <w:p w14:paraId="23EF474D">
      <w:pPr>
        <w:ind w:firstLine="480"/>
        <w:rPr>
          <w:color w:val="000000" w:themeColor="text1"/>
          <w14:textFill>
            <w14:solidFill>
              <w14:schemeClr w14:val="tx1"/>
            </w14:solidFill>
          </w14:textFill>
        </w:rPr>
      </w:pPr>
      <w:r>
        <w:rPr>
          <w:color w:val="000000" w:themeColor="text1"/>
          <w14:textFill>
            <w14:solidFill>
              <w14:schemeClr w14:val="tx1"/>
            </w14:solidFill>
          </w14:textFill>
        </w:rPr>
        <w:t>（3）对施工机械实行施工前检定措施，未达到产品噪声限值者不准使用等措施。</w:t>
      </w:r>
    </w:p>
    <w:p w14:paraId="4AFE35FB">
      <w:pPr>
        <w:ind w:firstLine="480"/>
        <w:rPr>
          <w:color w:val="000000" w:themeColor="text1"/>
          <w14:textFill>
            <w14:solidFill>
              <w14:schemeClr w14:val="tx1"/>
            </w14:solidFill>
          </w14:textFill>
        </w:rPr>
      </w:pPr>
      <w:r>
        <w:rPr>
          <w:color w:val="000000" w:themeColor="text1"/>
          <w14:textFill>
            <w14:solidFill>
              <w14:schemeClr w14:val="tx1"/>
            </w14:solidFill>
          </w14:textFill>
        </w:rPr>
        <w:t>（4）加强施工区附近的交通管理，避免交通堵塞而增加车辆噪声，同时对噪声施工及加装减振装置。施工场地内禁止鸣笛，同时做好工作人员噪声防护。</w:t>
      </w:r>
    </w:p>
    <w:p w14:paraId="51DEAEE5">
      <w:pPr>
        <w:pStyle w:val="4"/>
        <w:rPr>
          <w:color w:val="000000" w:themeColor="text1"/>
          <w14:textFill>
            <w14:solidFill>
              <w14:schemeClr w14:val="tx1"/>
            </w14:solidFill>
          </w14:textFill>
        </w:rPr>
      </w:pPr>
      <w:bookmarkStart w:id="758" w:name="_Toc26910077"/>
      <w:bookmarkStart w:id="759" w:name="_Toc25437031"/>
      <w:bookmarkStart w:id="760" w:name="_Toc216620627"/>
      <w:bookmarkStart w:id="761" w:name="_Toc136878557"/>
      <w:bookmarkStart w:id="762" w:name="_Toc135090290"/>
      <w:bookmarkStart w:id="763" w:name="_Toc216103468"/>
      <w:bookmarkStart w:id="764" w:name="_Toc29131890"/>
      <w:r>
        <w:rPr>
          <w:color w:val="000000" w:themeColor="text1"/>
          <w14:textFill>
            <w14:solidFill>
              <w14:schemeClr w14:val="tx1"/>
            </w14:solidFill>
          </w14:textFill>
        </w:rPr>
        <w:t>固体废弃物防治措施</w:t>
      </w:r>
      <w:bookmarkEnd w:id="758"/>
      <w:bookmarkEnd w:id="759"/>
      <w:bookmarkEnd w:id="760"/>
      <w:bookmarkEnd w:id="761"/>
      <w:bookmarkEnd w:id="762"/>
      <w:bookmarkEnd w:id="763"/>
      <w:bookmarkEnd w:id="764"/>
    </w:p>
    <w:p w14:paraId="0F76D72A">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（1）对可再利用的施工废料应进行回收，剩余无法回收利用的集中后运往城建部门指定地点进行处置。</w:t>
      </w:r>
    </w:p>
    <w:p w14:paraId="1A0BDC54">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（2）施工人员生活垃圾处理依托当地的处理设施，由当地环卫部门清运处置。</w:t>
      </w:r>
    </w:p>
    <w:p w14:paraId="2E5F10C6">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（3）施工船舶垃圾严格按照船舶污染物监管“联单制度”进行管理，由有资质的单位接收处置。</w:t>
      </w:r>
    </w:p>
    <w:p w14:paraId="53D94BD6">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（4）危险废物委托有资质的单位清运处置。</w:t>
      </w:r>
    </w:p>
    <w:p w14:paraId="64FF92F5">
      <w:pPr>
        <w:pStyle w:val="4"/>
        <w:rPr>
          <w:color w:val="000000" w:themeColor="text1"/>
          <w14:textFill>
            <w14:solidFill>
              <w14:schemeClr w14:val="tx1"/>
            </w14:solidFill>
          </w14:textFill>
        </w:rPr>
      </w:pPr>
      <w:bookmarkStart w:id="765" w:name="_Toc216620628"/>
      <w:bookmarkStart w:id="766" w:name="_Toc26910078"/>
      <w:bookmarkStart w:id="767" w:name="_Toc29131891"/>
      <w:bookmarkStart w:id="768" w:name="_Toc216103469"/>
      <w:bookmarkStart w:id="769" w:name="_Toc25437032"/>
      <w:bookmarkStart w:id="770" w:name="_Toc136878558"/>
      <w:bookmarkStart w:id="771" w:name="_Toc135090291"/>
      <w:r>
        <w:rPr>
          <w:color w:val="000000" w:themeColor="text1"/>
          <w14:textFill>
            <w14:solidFill>
              <w14:schemeClr w14:val="tx1"/>
            </w14:solidFill>
          </w14:textFill>
        </w:rPr>
        <w:t>生态环境保护措施</w:t>
      </w:r>
      <w:bookmarkEnd w:id="765"/>
      <w:bookmarkEnd w:id="766"/>
      <w:bookmarkEnd w:id="767"/>
      <w:bookmarkEnd w:id="768"/>
      <w:bookmarkEnd w:id="769"/>
      <w:bookmarkEnd w:id="770"/>
      <w:bookmarkEnd w:id="771"/>
    </w:p>
    <w:p w14:paraId="37FE8B40">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（1）及时对施工机械、车辆的维修保养，禁止以柴油为燃料的施工机械超负荷工作，减少烟尘和颗粒物的排放。</w:t>
      </w:r>
    </w:p>
    <w:p w14:paraId="6C32EA1E">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（2）对船舶油污水进行收集处理，避免防止设备发生跑、冒、漏油事故对海洋生态环境产生影响。</w:t>
      </w:r>
    </w:p>
    <w:p w14:paraId="6E64C7CB">
      <w:pPr>
        <w:pStyle w:val="5"/>
        <w:rPr>
          <w:color w:val="000000" w:themeColor="text1"/>
          <w14:textFill>
            <w14:solidFill>
              <w14:schemeClr w14:val="tx1"/>
            </w14:solidFill>
          </w14:textFill>
        </w:rPr>
      </w:pPr>
      <w:bookmarkStart w:id="772" w:name="_Toc216620629"/>
      <w:r>
        <w:rPr>
          <w:color w:val="000000" w:themeColor="text1"/>
          <w14:textFill>
            <w14:solidFill>
              <w14:schemeClr w14:val="tx1"/>
            </w14:solidFill>
          </w14:textFill>
        </w:rPr>
        <w:t>营运期环境保护措施及其可行性分析</w:t>
      </w:r>
      <w:bookmarkEnd w:id="772"/>
    </w:p>
    <w:p w14:paraId="3CEBF0A1">
      <w:pPr>
        <w:pStyle w:val="4"/>
        <w:rPr>
          <w:color w:val="000000" w:themeColor="text1"/>
          <w14:textFill>
            <w14:solidFill>
              <w14:schemeClr w14:val="tx1"/>
            </w14:solidFill>
          </w14:textFill>
        </w:rPr>
      </w:pPr>
      <w:bookmarkStart w:id="773" w:name="_Toc216620630"/>
      <w:bookmarkStart w:id="774" w:name="_Toc216103471"/>
      <w:bookmarkStart w:id="775" w:name="_Toc136878560"/>
      <w:r>
        <w:rPr>
          <w:color w:val="000000" w:themeColor="text1"/>
          <w14:textFill>
            <w14:solidFill>
              <w14:schemeClr w14:val="tx1"/>
            </w14:solidFill>
          </w14:textFill>
        </w:rPr>
        <w:t>大气环境保护措施</w:t>
      </w:r>
      <w:bookmarkEnd w:id="773"/>
      <w:bookmarkEnd w:id="774"/>
      <w:bookmarkEnd w:id="775"/>
    </w:p>
    <w:p w14:paraId="578A0423">
      <w:pPr>
        <w:pStyle w:val="6"/>
        <w:rPr>
          <w:color w:val="000000" w:themeColor="text1"/>
          <w14:textFill>
            <w14:solidFill>
              <w14:schemeClr w14:val="tx1"/>
            </w14:solidFill>
          </w14:textFill>
        </w:rPr>
      </w:pPr>
      <w:bookmarkStart w:id="776" w:name="_Toc135090293"/>
      <w:bookmarkStart w:id="777" w:name="_Toc25437034"/>
      <w:bookmarkStart w:id="778" w:name="_Toc26910080"/>
      <w:bookmarkStart w:id="779" w:name="_Toc29131893"/>
      <w:r>
        <w:rPr>
          <w:color w:val="000000" w:themeColor="text1"/>
          <w14:textFill>
            <w14:solidFill>
              <w14:schemeClr w14:val="tx1"/>
            </w14:solidFill>
          </w14:textFill>
        </w:rPr>
        <w:t>到港船舶燃料废气污染防治措施</w:t>
      </w:r>
      <w:bookmarkEnd w:id="776"/>
      <w:bookmarkEnd w:id="777"/>
      <w:bookmarkEnd w:id="778"/>
      <w:bookmarkEnd w:id="779"/>
    </w:p>
    <w:p w14:paraId="372906A3">
      <w:pPr>
        <w:ind w:firstLine="480"/>
        <w:rPr>
          <w:color w:val="000000" w:themeColor="text1"/>
          <w14:textFill>
            <w14:solidFill>
              <w14:schemeClr w14:val="tx1"/>
            </w14:solidFill>
          </w14:textFill>
        </w:rPr>
      </w:pPr>
      <w:r>
        <w:rPr>
          <w:color w:val="000000" w:themeColor="text1"/>
          <w14:textFill>
            <w14:solidFill>
              <w14:schemeClr w14:val="tx1"/>
            </w14:solidFill>
          </w14:textFill>
        </w:rPr>
        <w:t>（1）船舶废气污染物，严格按照《Marpol73/78公约》附则VI的规定执行；</w:t>
      </w:r>
    </w:p>
    <w:p w14:paraId="0A00A762">
      <w:pPr>
        <w:ind w:firstLine="480"/>
        <w:rPr>
          <w:color w:val="000000" w:themeColor="text1"/>
          <w14:textFill>
            <w14:solidFill>
              <w14:schemeClr w14:val="tx1"/>
            </w14:solidFill>
          </w14:textFill>
        </w:rPr>
      </w:pPr>
      <w:r>
        <w:rPr>
          <w:color w:val="000000" w:themeColor="text1"/>
          <w14:textFill>
            <w14:solidFill>
              <w14:schemeClr w14:val="tx1"/>
            </w14:solidFill>
          </w14:textFill>
        </w:rPr>
        <w:t>（2）选用含硫量低的燃料，控制燃料的含硫量；</w:t>
      </w:r>
    </w:p>
    <w:p w14:paraId="1F714A1F">
      <w:pPr>
        <w:ind w:firstLine="480"/>
        <w:rPr>
          <w:color w:val="000000" w:themeColor="text1"/>
          <w14:textFill>
            <w14:solidFill>
              <w14:schemeClr w14:val="tx1"/>
            </w14:solidFill>
          </w14:textFill>
        </w:rPr>
      </w:pPr>
      <w:r>
        <w:rPr>
          <w:color w:val="000000" w:themeColor="text1"/>
          <w14:textFill>
            <w14:solidFill>
              <w14:schemeClr w14:val="tx1"/>
            </w14:solidFill>
          </w14:textFill>
        </w:rPr>
        <w:t>（3）尽可能降低辅机运转负荷，停泊时尽量启用单辅机发电，减少耗油量；</w:t>
      </w:r>
    </w:p>
    <w:p w14:paraId="142EDA0F">
      <w:pPr>
        <w:ind w:firstLine="480"/>
        <w:rPr>
          <w:color w:val="000000" w:themeColor="text1"/>
          <w:u w:val="single"/>
          <w14:textFill>
            <w14:solidFill>
              <w14:schemeClr w14:val="tx1"/>
            </w14:solidFill>
          </w14:textFill>
        </w:rPr>
      </w:pPr>
      <w:r>
        <w:rPr>
          <w:color w:val="000000" w:themeColor="text1"/>
          <w14:textFill>
            <w14:solidFill>
              <w14:schemeClr w14:val="tx1"/>
            </w14:solidFill>
          </w14:textFill>
        </w:rPr>
        <w:t>（4）船舶应优先选用功率大、转速快的发动机</w:t>
      </w:r>
      <w:r>
        <w:rPr>
          <w:rFonts w:hint="eastAsia"/>
          <w:color w:val="000000" w:themeColor="text1"/>
          <w14:textFill>
            <w14:solidFill>
              <w14:schemeClr w14:val="tx1"/>
            </w14:solidFill>
          </w14:textFill>
        </w:rPr>
        <w:t>。</w:t>
      </w:r>
    </w:p>
    <w:p w14:paraId="585CB283">
      <w:pPr>
        <w:pStyle w:val="6"/>
        <w:rPr>
          <w:color w:val="000000" w:themeColor="text1"/>
          <w14:textFill>
            <w14:solidFill>
              <w14:schemeClr w14:val="tx1"/>
            </w14:solidFill>
          </w14:textFill>
        </w:rPr>
      </w:pPr>
      <w:r>
        <w:rPr>
          <w:color w:val="000000" w:themeColor="text1"/>
          <w14:textFill>
            <w14:solidFill>
              <w14:schemeClr w14:val="tx1"/>
            </w14:solidFill>
          </w14:textFill>
        </w:rPr>
        <w:t>无组织废气治理措施</w:t>
      </w:r>
    </w:p>
    <w:p w14:paraId="43B70126">
      <w:pPr>
        <w:ind w:firstLine="480"/>
        <w:rPr>
          <w:color w:val="000000" w:themeColor="text1"/>
          <w14:textFill>
            <w14:solidFill>
              <w14:schemeClr w14:val="tx1"/>
            </w14:solidFill>
          </w14:textFill>
        </w:rPr>
      </w:pPr>
      <w:r>
        <w:rPr>
          <w:color w:val="000000" w:themeColor="text1"/>
          <w14:textFill>
            <w14:solidFill>
              <w14:schemeClr w14:val="tx1"/>
            </w14:solidFill>
          </w14:textFill>
        </w:rPr>
        <w:t>（1）加强设备维护保养，严格执行操作规程。所有管道、阀门等连接部位，运转部位和静密封点部位都应连接牢固，做到严密、不渗、不漏、不跑气；做到定期检查、清洗和校验</w:t>
      </w:r>
      <w:r>
        <w:rPr>
          <w:rFonts w:hint="eastAsia"/>
          <w:color w:val="000000" w:themeColor="text1"/>
          <w14:textFill>
            <w14:solidFill>
              <w14:schemeClr w14:val="tx1"/>
            </w14:solidFill>
          </w14:textFill>
        </w:rPr>
        <w:t>。</w:t>
      </w:r>
    </w:p>
    <w:p w14:paraId="31676D91">
      <w:pPr>
        <w:ind w:firstLine="480"/>
        <w:rPr>
          <w:color w:val="000000" w:themeColor="text1"/>
          <w14:textFill>
            <w14:solidFill>
              <w14:schemeClr w14:val="tx1"/>
            </w14:solidFill>
          </w14:textFill>
        </w:rPr>
      </w:pPr>
      <w:r>
        <w:rPr>
          <w:color w:val="000000" w:themeColor="text1"/>
          <w14:textFill>
            <w14:solidFill>
              <w14:schemeClr w14:val="tx1"/>
            </w14:solidFill>
          </w14:textFill>
        </w:rPr>
        <w:t>（2）加强管理、控制操作工艺</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严格按照《危险化学品码头安全管理制度》等规定或标准的要求</w:t>
      </w:r>
      <w:r>
        <w:rPr>
          <w:rFonts w:hint="eastAsia"/>
          <w:color w:val="000000" w:themeColor="text1"/>
          <w14:textFill>
            <w14:solidFill>
              <w14:schemeClr w14:val="tx1"/>
            </w14:solidFill>
          </w14:textFill>
        </w:rPr>
        <w:t>。</w:t>
      </w:r>
    </w:p>
    <w:p w14:paraId="7F546248">
      <w:pPr>
        <w:ind w:firstLine="480"/>
        <w:rPr>
          <w:color w:val="000000" w:themeColor="text1"/>
          <w14:textFill>
            <w14:solidFill>
              <w14:schemeClr w14:val="tx1"/>
            </w14:solidFill>
          </w14:textFill>
        </w:rPr>
      </w:pPr>
      <w:r>
        <w:rPr>
          <w:color w:val="000000" w:themeColor="text1"/>
          <w14:textFill>
            <w14:solidFill>
              <w14:schemeClr w14:val="tx1"/>
            </w14:solidFill>
          </w14:textFill>
        </w:rPr>
        <w:t>（3）定期检查管道、阀门及所有监控设备的工作状况，一旦发现有损坏的，应及时更换，保证系统正常安全运行。</w:t>
      </w:r>
    </w:p>
    <w:p w14:paraId="5D5B245C">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（4）</w:t>
      </w:r>
      <w:r>
        <w:rPr>
          <w:color w:val="000000" w:themeColor="text1"/>
          <w14:textFill>
            <w14:solidFill>
              <w14:schemeClr w14:val="tx1"/>
            </w14:solidFill>
          </w14:textFill>
        </w:rPr>
        <w:t>加强对本工程各类生产设施的维护和管理，减少由于“跑、冒、滴、漏”而产生的有机废气污染。</w:t>
      </w:r>
    </w:p>
    <w:p w14:paraId="266E9B6B">
      <w:pPr>
        <w:pStyle w:val="6"/>
        <w:rPr>
          <w:color w:val="000000" w:themeColor="text1"/>
          <w14:textFill>
            <w14:solidFill>
              <w14:schemeClr w14:val="tx1"/>
            </w14:solidFill>
          </w14:textFill>
        </w:rPr>
      </w:pPr>
      <w:r>
        <w:rPr>
          <w:color w:val="000000" w:themeColor="text1"/>
          <w14:textFill>
            <w14:solidFill>
              <w14:schemeClr w14:val="tx1"/>
            </w14:solidFill>
          </w14:textFill>
        </w:rPr>
        <w:t>有组织废气治理措施</w:t>
      </w:r>
    </w:p>
    <w:p w14:paraId="35FA71FA">
      <w:pPr>
        <w:ind w:firstLine="48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项目没有有组织废气产生，主要是依托后方的厂区进行处理。</w:t>
      </w:r>
    </w:p>
    <w:p w14:paraId="2F7685C7">
      <w:pPr>
        <w:ind w:firstLine="48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苯乙烯为卸船送至后方台湾见龙钦州高端聚苯乙烯新材料项目，其产生的废气依托台湾见龙钦州高端聚苯乙烯新材料项目进行处置。</w:t>
      </w:r>
    </w:p>
    <w:p w14:paraId="2E64D429">
      <w:pPr>
        <w:ind w:firstLine="48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根据《台湾见龙钦州高端聚苯乙烯新材料项目环境影响报告书》（报批稿）及环评批复（中马园审批环[2025]15号） “苯乙烯储罐呼吸废气以及危险废物暂存间废气经 2 套 RTO 装置处 理后分别由 2 根 28.4m 高排气筒（DA001~DA002）排放；苯乙烯执行《合成树脂工业污染物排放标准》（GB31572-2015，含 2024 年修改单）表 4 中大气污染物排放限值”。</w:t>
      </w:r>
    </w:p>
    <w:p w14:paraId="13E7D452">
      <w:pPr>
        <w:ind w:firstLine="48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棕榈酸化油、脂肪酸混合物为卸船至后方欧德年产 30 万吨生物柴油生产线项目，其产生废气依托欧德年产 30 万吨生物柴油生产线项目进行处置。</w:t>
      </w:r>
    </w:p>
    <w:p w14:paraId="792800E5">
      <w:pPr>
        <w:ind w:firstLine="48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根据《欧德年产 30 万吨生物柴油生产线项目环境影响报告书》（报批稿）及环评批复（中马园审批环[2025]33号）（附件？）“项目运营期生产线工艺废气和储罐大小呼吸废气经 RCO 催化燃烧装置处理后，通过 30m 高排气筒（DA001）排放，DA001 排气筒排放的非甲烷总烃执行《石油炼制工业污染物排放标准》（GB31570-2015，含 2024 年修改单）表 3 大气污染物排放限值要求，氨、硫化氢、臭气浓度执行《恶臭污染物排放标准》（GB14554-1993）表 2 恶臭污染物排放标准值，甲醇执行《大气污染物综合排放标准》（GB16297-1996）表 2 二级标准限值”。</w:t>
      </w:r>
    </w:p>
    <w:p w14:paraId="12F2F692">
      <w:pPr>
        <w:ind w:firstLine="48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裂解C9、工业级混合油、脂肪酸甲酯、纯生物柴油、航空煤油由后方厂区通过管道输送至码头前沿装船，其产生装船废气，通过现有气相管回到广西恒逸新材料有限公司（广西恒逸新材料有限公司年产120万吨己内酰胺—聚酰胺产业一体化及配套工程项目）进行处理（采用“RTO蓄热式焚烧炉”工艺）。经调查，广西恒逸新材料有限公司RTO蓄热式焚烧炉排气筒高35m，尾气排放执行《石油化学工业污染物排放标准》（GB 31571-2015）及修改单要求。</w:t>
      </w:r>
    </w:p>
    <w:p w14:paraId="433C3928">
      <w:pPr>
        <w:ind w:firstLine="480"/>
        <w:rPr>
          <w:color w:val="000000" w:themeColor="text1"/>
          <w:u w:val="single"/>
          <w14:textFill>
            <w14:solidFill>
              <w14:schemeClr w14:val="tx1"/>
            </w14:solidFill>
          </w14:textFill>
        </w:rPr>
      </w:pPr>
      <w:r>
        <w:rPr>
          <w:rFonts w:hint="eastAsia" w:ascii="宋体" w:hAnsi="宋体"/>
          <w:color w:val="000000" w:themeColor="text1"/>
          <w:u w:val="single"/>
          <w14:textFill>
            <w14:solidFill>
              <w14:schemeClr w14:val="tx1"/>
            </w14:solidFill>
          </w14:textFill>
        </w:rPr>
        <w:t>液硫、碱液、发烟硫酸（硫酸）依托后方罐区（同步进行环境影响评价、同步建设）的环保措施处置。</w:t>
      </w:r>
    </w:p>
    <w:p w14:paraId="3EFA3D9D">
      <w:pPr>
        <w:pStyle w:val="6"/>
        <w:rPr>
          <w:color w:val="000000" w:themeColor="text1"/>
          <w:u w:val="single"/>
          <w14:textFill>
            <w14:solidFill>
              <w14:schemeClr w14:val="tx1"/>
            </w14:solidFill>
          </w14:textFill>
        </w:rPr>
      </w:pPr>
      <w:r>
        <w:rPr>
          <w:color w:val="000000" w:themeColor="text1"/>
          <w:u w:val="single"/>
          <w14:textFill>
            <w14:solidFill>
              <w14:schemeClr w14:val="tx1"/>
            </w14:solidFill>
          </w14:textFill>
        </w:rPr>
        <w:t>措施可行性</w:t>
      </w:r>
    </w:p>
    <w:p w14:paraId="0CE2211B">
      <w:pPr>
        <w:ind w:firstLine="48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1、苯乙烯尾气</w:t>
      </w:r>
    </w:p>
    <w:p w14:paraId="03EA8C81">
      <w:pPr>
        <w:ind w:firstLine="48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根据2.1.1章节分析，台湾见龙钦州高端聚苯乙烯新材料项目目前建设中，预计2026年4月调试生产。根据建设单位与其协议，台湾见龙钦州高端聚苯乙烯新材料项目完全运行后，方从拟建项目装卸苯乙烯。《台湾见龙钦州高端聚苯乙烯新材料项目环境影响报告书》（报批稿）已经考虑了苯乙烯废气的处置，此报告书已经获得批复，由此可见，苯乙烯尾气处置可行。</w:t>
      </w:r>
    </w:p>
    <w:p w14:paraId="1A34B0C1">
      <w:pPr>
        <w:ind w:firstLine="48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2、棕榈酸化油、脂肪酸混合物尾气</w:t>
      </w:r>
    </w:p>
    <w:p w14:paraId="6BF21BD4">
      <w:pPr>
        <w:ind w:firstLine="48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根据2.1.1章节分析，欧德年产 30 万吨生物柴油生产线项目目前建设中，预计2026年6月调试生产。根据建设单位与其协议，欧德年产 30 万吨生物柴油生产线项目完全运行后，方从拟建项目装卸棕榈酸化油、脂肪酸混合物。《欧德年产 30 万吨生物柴油生产线项目环境影响报告书》（报批稿）已经考虑了棕榈酸化油、脂肪酸混合物废气的处置，此报告书已经获得批复，由此可见，棕榈酸化油、脂肪酸混合物尾气处置可行。</w:t>
      </w:r>
    </w:p>
    <w:p w14:paraId="45EA2EBA">
      <w:pPr>
        <w:ind w:firstLine="480"/>
        <w:rPr>
          <w:color w:val="000000" w:themeColor="text1"/>
          <w:u w:val="single"/>
          <w14:textFill>
            <w14:solidFill>
              <w14:schemeClr w14:val="tx1"/>
            </w14:solidFill>
          </w14:textFill>
        </w:rPr>
      </w:pPr>
    </w:p>
    <w:p w14:paraId="7630F6FD">
      <w:pPr>
        <w:ind w:firstLine="48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3、新增裂解C9、脂肪酸甲酯、工业级混合油、纯生物柴油、航空煤油尾气</w:t>
      </w:r>
    </w:p>
    <w:p w14:paraId="13317B8D">
      <w:pPr>
        <w:ind w:firstLine="48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上述尾气主要是装船，装船废气通过气相尾气回收管回至广西恒逸新材料有限公司年产120万吨己内酰胺—聚酰胺产业一体化及配套工程项目处置。</w:t>
      </w:r>
    </w:p>
    <w:p w14:paraId="5159A87B">
      <w:pPr>
        <w:ind w:firstLine="48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根据《钦州港金谷港区金鼓江作业区14号泊位码头（一期工程）竣工环境保护验收调查报告》：</w:t>
      </w:r>
    </w:p>
    <w:p w14:paraId="24668C2E">
      <w:pPr>
        <w:autoSpaceDE w:val="0"/>
        <w:autoSpaceDN w:val="0"/>
        <w:ind w:firstLine="480"/>
        <w:jc w:val="left"/>
        <w:rPr>
          <w:color w:val="000000" w:themeColor="text1"/>
          <w:u w:val="single"/>
          <w14:textFill>
            <w14:solidFill>
              <w14:schemeClr w14:val="tx1"/>
            </w14:solidFill>
          </w14:textFill>
        </w:rPr>
      </w:pPr>
      <w:r>
        <w:rPr>
          <w:rFonts w:hint="eastAsia"/>
          <w:color w:val="000000" w:themeColor="text1"/>
          <w:kern w:val="0"/>
          <w:u w:val="single"/>
          <w14:textFill>
            <w14:solidFill>
              <w14:schemeClr w14:val="tx1"/>
            </w14:solidFill>
          </w14:textFill>
        </w:rPr>
        <w:t>《广西恒逸新材料有限公司年产120万吨己内酰胺—聚酰胺产业一体化及配套工程项目（重大变动）环境影响报告书》及其于2025年6月12日获得钦州市生态环境局批复（中马园审批环〔2025〕9号），该项目对有机废气采用“RTO蓄热式焚烧炉”工艺进行处理，单台RTO炉废气处理能力增加至100000Nm</w:t>
      </w:r>
      <w:r>
        <w:rPr>
          <w:rFonts w:hint="eastAsia"/>
          <w:color w:val="000000" w:themeColor="text1"/>
          <w:kern w:val="0"/>
          <w:u w:val="single"/>
          <w:vertAlign w:val="superscript"/>
          <w14:textFill>
            <w14:solidFill>
              <w14:schemeClr w14:val="tx1"/>
            </w14:solidFill>
          </w14:textFill>
        </w:rPr>
        <w:t>3</w:t>
      </w:r>
      <w:r>
        <w:rPr>
          <w:rFonts w:hint="eastAsia"/>
          <w:color w:val="000000" w:themeColor="text1"/>
          <w:kern w:val="0"/>
          <w:u w:val="single"/>
          <w14:textFill>
            <w14:solidFill>
              <w14:schemeClr w14:val="tx1"/>
            </w14:solidFill>
          </w14:textFill>
        </w:rPr>
        <w:t>/h。经了解，该项目一期工程已开始运营，广西恒逸新材料有限公司已同意将本项目废气收集处理，本项目实际设置3台尾气输送风机、总风量2500Nm</w:t>
      </w:r>
      <w:r>
        <w:rPr>
          <w:rFonts w:hint="eastAsia"/>
          <w:color w:val="000000" w:themeColor="text1"/>
          <w:kern w:val="0"/>
          <w:u w:val="single"/>
          <w:vertAlign w:val="superscript"/>
          <w14:textFill>
            <w14:solidFill>
              <w14:schemeClr w14:val="tx1"/>
            </w14:solidFill>
          </w14:textFill>
        </w:rPr>
        <w:t>3</w:t>
      </w:r>
      <w:r>
        <w:rPr>
          <w:rFonts w:hint="eastAsia"/>
          <w:color w:val="000000" w:themeColor="text1"/>
          <w:kern w:val="0"/>
          <w:u w:val="single"/>
          <w14:textFill>
            <w14:solidFill>
              <w14:schemeClr w14:val="tx1"/>
            </w14:solidFill>
          </w14:textFill>
        </w:rPr>
        <w:t>/h。根据中国检验认证集团广西有限公司的《广西恒逸新材料有限公司2025年环境委托监测项目（RTO炉排气口DA016）》，RTO炉平均烟气流量为47821m³/h，剩余进风量52179m³/h，本项目仅占一期RTO蓄热式焚烧炉剩余风量的4.79%，不会对其处理工艺造成波动影响</w:t>
      </w:r>
      <w:r>
        <w:rPr>
          <w:rFonts w:hint="eastAsia" w:ascii="宋体" w:hAnsi="宋体"/>
          <w:color w:val="000000" w:themeColor="text1"/>
          <w:u w:val="single"/>
          <w14:textFill>
            <w14:solidFill>
              <w14:schemeClr w14:val="tx1"/>
            </w14:solidFill>
          </w14:textFill>
        </w:rPr>
        <w:t>。其工艺等见“章节2.1.2”。</w:t>
      </w:r>
    </w:p>
    <w:p w14:paraId="415D7A62">
      <w:pPr>
        <w:ind w:firstLine="480"/>
        <w:rPr>
          <w:color w:val="000000" w:themeColor="text1"/>
          <w:u w:val="single"/>
          <w14:textFill>
            <w14:solidFill>
              <w14:schemeClr w14:val="tx1"/>
            </w14:solidFill>
          </w14:textFill>
        </w:rPr>
      </w:pPr>
      <w:r>
        <w:rPr>
          <w:rFonts w:hint="eastAsia" w:ascii="宋体" w:hAnsi="宋体"/>
          <w:color w:val="000000" w:themeColor="text1"/>
          <w:u w:val="single"/>
          <w14:textFill>
            <w14:solidFill>
              <w14:schemeClr w14:val="tx1"/>
            </w14:solidFill>
          </w14:textFill>
        </w:rPr>
        <w:t>根据广西恒逸新材料有限公司委托中国检验认证集团广西有限公司于</w:t>
      </w:r>
      <w:r>
        <w:rPr>
          <w:rFonts w:hint="eastAsia"/>
          <w:color w:val="000000" w:themeColor="text1"/>
          <w:u w:val="single"/>
          <w14:textFill>
            <w14:solidFill>
              <w14:schemeClr w14:val="tx1"/>
            </w14:solidFill>
          </w14:textFill>
        </w:rPr>
        <w:t>2025</w:t>
      </w:r>
      <w:r>
        <w:rPr>
          <w:rFonts w:hint="eastAsia" w:ascii="宋体" w:hAnsi="宋体"/>
          <w:color w:val="000000" w:themeColor="text1"/>
          <w:u w:val="single"/>
          <w14:textFill>
            <w14:solidFill>
              <w14:schemeClr w14:val="tx1"/>
            </w14:solidFill>
          </w14:textFill>
        </w:rPr>
        <w:t>年</w:t>
      </w:r>
      <w:r>
        <w:rPr>
          <w:rFonts w:hint="eastAsia"/>
          <w:color w:val="000000" w:themeColor="text1"/>
          <w:u w:val="single"/>
          <w14:textFill>
            <w14:solidFill>
              <w14:schemeClr w14:val="tx1"/>
            </w14:solidFill>
          </w14:textFill>
        </w:rPr>
        <w:t>11</w:t>
      </w:r>
      <w:r>
        <w:rPr>
          <w:rFonts w:hint="eastAsia" w:ascii="宋体" w:hAnsi="宋体"/>
          <w:color w:val="000000" w:themeColor="text1"/>
          <w:u w:val="single"/>
          <w14:textFill>
            <w14:solidFill>
              <w14:schemeClr w14:val="tx1"/>
            </w14:solidFill>
          </w14:textFill>
        </w:rPr>
        <w:t>月28日开展采样的</w:t>
      </w:r>
      <w:r>
        <w:rPr>
          <w:rFonts w:hint="eastAsia"/>
          <w:color w:val="000000" w:themeColor="text1"/>
          <w:u w:val="single"/>
          <w14:textFill>
            <w14:solidFill>
              <w14:schemeClr w14:val="tx1"/>
            </w14:solidFill>
          </w14:textFill>
        </w:rPr>
        <w:t>RTO</w:t>
      </w:r>
      <w:r>
        <w:rPr>
          <w:rFonts w:hint="eastAsia" w:ascii="宋体" w:hAnsi="宋体"/>
          <w:color w:val="000000" w:themeColor="text1"/>
          <w:u w:val="single"/>
          <w14:textFill>
            <w14:solidFill>
              <w14:schemeClr w14:val="tx1"/>
            </w14:solidFill>
          </w14:textFill>
        </w:rPr>
        <w:t>炉进、排气口监测数据（见附件16、附件17），</w:t>
      </w:r>
      <w:r>
        <w:rPr>
          <w:rFonts w:hint="eastAsia"/>
          <w:color w:val="000000" w:themeColor="text1"/>
          <w:u w:val="single"/>
          <w14:textFill>
            <w14:solidFill>
              <w14:schemeClr w14:val="tx1"/>
            </w14:solidFill>
          </w14:textFill>
        </w:rPr>
        <w:t>RTO</w:t>
      </w:r>
      <w:r>
        <w:rPr>
          <w:rFonts w:hint="eastAsia" w:ascii="宋体" w:hAnsi="宋体"/>
          <w:color w:val="000000" w:themeColor="text1"/>
          <w:u w:val="single"/>
          <w14:textFill>
            <w14:solidFill>
              <w14:schemeClr w14:val="tx1"/>
            </w14:solidFill>
          </w14:textFill>
        </w:rPr>
        <w:t>炉进气口非甲烷总烃最大浓度为</w:t>
      </w:r>
      <w:r>
        <w:rPr>
          <w:rFonts w:hint="eastAsia"/>
          <w:color w:val="000000" w:themeColor="text1"/>
          <w:u w:val="single"/>
          <w14:textFill>
            <w14:solidFill>
              <w14:schemeClr w14:val="tx1"/>
            </w14:solidFill>
          </w14:textFill>
        </w:rPr>
        <w:t>2470mg/m</w:t>
      </w:r>
      <w:r>
        <w:rPr>
          <w:rFonts w:hint="eastAsia"/>
          <w:color w:val="000000" w:themeColor="text1"/>
          <w:u w:val="single"/>
          <w:vertAlign w:val="superscript"/>
          <w14:textFill>
            <w14:solidFill>
              <w14:schemeClr w14:val="tx1"/>
            </w14:solidFill>
          </w14:textFill>
        </w:rPr>
        <w:t>3</w:t>
      </w:r>
      <w:r>
        <w:rPr>
          <w:rFonts w:hint="eastAsia" w:ascii="宋体" w:hAnsi="宋体"/>
          <w:color w:val="000000" w:themeColor="text1"/>
          <w:u w:val="single"/>
          <w14:textFill>
            <w14:solidFill>
              <w14:schemeClr w14:val="tx1"/>
            </w14:solidFill>
          </w14:textFill>
        </w:rPr>
        <w:t>，对应时期排气口非甲烷总烃浓度为</w:t>
      </w:r>
      <w:r>
        <w:rPr>
          <w:rFonts w:hint="eastAsia"/>
          <w:color w:val="000000" w:themeColor="text1"/>
          <w:u w:val="single"/>
          <w14:textFill>
            <w14:solidFill>
              <w14:schemeClr w14:val="tx1"/>
            </w14:solidFill>
          </w14:textFill>
        </w:rPr>
        <w:t>86.4mg/m</w:t>
      </w:r>
      <w:r>
        <w:rPr>
          <w:rFonts w:hint="eastAsia"/>
          <w:color w:val="000000" w:themeColor="text1"/>
          <w:u w:val="single"/>
          <w:vertAlign w:val="superscript"/>
          <w14:textFill>
            <w14:solidFill>
              <w14:schemeClr w14:val="tx1"/>
            </w14:solidFill>
          </w14:textFill>
        </w:rPr>
        <w:t>3</w:t>
      </w:r>
      <w:r>
        <w:rPr>
          <w:rFonts w:hint="eastAsia" w:ascii="宋体" w:hAnsi="宋体"/>
          <w:color w:val="000000" w:themeColor="text1"/>
          <w:u w:val="single"/>
          <w14:textFill>
            <w14:solidFill>
              <w14:schemeClr w14:val="tx1"/>
            </w14:solidFill>
          </w14:textFill>
        </w:rPr>
        <w:t>，处理效率为</w:t>
      </w:r>
      <w:r>
        <w:rPr>
          <w:rFonts w:hint="eastAsia"/>
          <w:color w:val="000000" w:themeColor="text1"/>
          <w:u w:val="single"/>
          <w14:textFill>
            <w14:solidFill>
              <w14:schemeClr w14:val="tx1"/>
            </w14:solidFill>
          </w14:textFill>
        </w:rPr>
        <w:t>95.96%</w:t>
      </w:r>
      <w:r>
        <w:rPr>
          <w:rFonts w:hint="eastAsia" w:ascii="宋体" w:hAnsi="宋体"/>
          <w:color w:val="000000" w:themeColor="text1"/>
          <w:u w:val="single"/>
          <w14:textFill>
            <w14:solidFill>
              <w14:schemeClr w14:val="tx1"/>
            </w14:solidFill>
          </w14:textFill>
        </w:rPr>
        <w:t>。因此，项目依托</w:t>
      </w:r>
      <w:r>
        <w:rPr>
          <w:rFonts w:hint="eastAsia"/>
          <w:color w:val="000000" w:themeColor="text1"/>
          <w:u w:val="single"/>
          <w14:textFill>
            <w14:solidFill>
              <w14:schemeClr w14:val="tx1"/>
            </w14:solidFill>
          </w14:textFill>
        </w:rPr>
        <w:t>RTO</w:t>
      </w:r>
      <w:r>
        <w:rPr>
          <w:rFonts w:hint="eastAsia" w:ascii="宋体" w:hAnsi="宋体"/>
          <w:color w:val="000000" w:themeColor="text1"/>
          <w:u w:val="single"/>
          <w14:textFill>
            <w14:solidFill>
              <w14:schemeClr w14:val="tx1"/>
            </w14:solidFill>
          </w14:textFill>
        </w:rPr>
        <w:t>炉处理效率可满足环评中原废气处理设施和《石油化学工业污染物排放标准》（</w:t>
      </w:r>
      <w:r>
        <w:rPr>
          <w:rFonts w:hint="eastAsia"/>
          <w:color w:val="000000" w:themeColor="text1"/>
          <w:u w:val="single"/>
          <w14:textFill>
            <w14:solidFill>
              <w14:schemeClr w14:val="tx1"/>
            </w14:solidFill>
          </w14:textFill>
        </w:rPr>
        <w:t>GB 31571-2015</w:t>
      </w:r>
      <w:r>
        <w:rPr>
          <w:rFonts w:hint="eastAsia" w:ascii="宋体" w:hAnsi="宋体"/>
          <w:color w:val="000000" w:themeColor="text1"/>
          <w:u w:val="single"/>
          <w14:textFill>
            <w14:solidFill>
              <w14:schemeClr w14:val="tx1"/>
            </w14:solidFill>
          </w14:textFill>
        </w:rPr>
        <w:t>）中对非甲烷总烃的处理效率要求（均为</w:t>
      </w:r>
      <w:r>
        <w:rPr>
          <w:rFonts w:hint="eastAsia"/>
          <w:color w:val="000000" w:themeColor="text1"/>
          <w:u w:val="single"/>
          <w14:textFill>
            <w14:solidFill>
              <w14:schemeClr w14:val="tx1"/>
            </w14:solidFill>
          </w14:textFill>
        </w:rPr>
        <w:t>95%</w:t>
      </w:r>
      <w:r>
        <w:rPr>
          <w:rFonts w:hint="eastAsia" w:ascii="宋体" w:hAnsi="宋体"/>
          <w:color w:val="000000" w:themeColor="text1"/>
          <w:u w:val="single"/>
          <w14:textFill>
            <w14:solidFill>
              <w14:schemeClr w14:val="tx1"/>
            </w14:solidFill>
          </w14:textFill>
        </w:rPr>
        <w:t>）。</w:t>
      </w:r>
    </w:p>
    <w:p w14:paraId="5D5E0126">
      <w:pPr>
        <w:ind w:firstLine="48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同时委托广西交通设计集团有限公司对RTO蓄热式焚烧炉排气筒出口进行了监测，</w:t>
      </w:r>
      <w:r>
        <w:rPr>
          <w:rFonts w:hint="eastAsia" w:ascii="宋体" w:hAnsi="宋体"/>
          <w:color w:val="000000" w:themeColor="text1"/>
          <w:u w:val="single"/>
          <w14:textFill>
            <w14:solidFill>
              <w14:schemeClr w14:val="tx1"/>
            </w14:solidFill>
          </w14:textFill>
        </w:rPr>
        <w:t>工程</w:t>
      </w:r>
      <w:r>
        <w:rPr>
          <w:rFonts w:hint="eastAsia"/>
          <w:color w:val="000000" w:themeColor="text1"/>
          <w:u w:val="single"/>
          <w14:textFill>
            <w14:solidFill>
              <w14:schemeClr w14:val="tx1"/>
            </w14:solidFill>
          </w14:textFill>
        </w:rPr>
        <w:t>RTO</w:t>
      </w:r>
      <w:r>
        <w:rPr>
          <w:rFonts w:hint="eastAsia" w:ascii="宋体" w:hAnsi="宋体"/>
          <w:color w:val="000000" w:themeColor="text1"/>
          <w:u w:val="single"/>
          <w14:textFill>
            <w14:solidFill>
              <w14:schemeClr w14:val="tx1"/>
            </w14:solidFill>
          </w14:textFill>
        </w:rPr>
        <w:t>炉排气筒出口处，废气中苯、甲苯、二甲苯、甲醇浓度（折算）均能满足《石油化学工业污染物排放标准》（</w:t>
      </w:r>
      <w:r>
        <w:rPr>
          <w:rFonts w:hint="eastAsia"/>
          <w:color w:val="000000" w:themeColor="text1"/>
          <w:u w:val="single"/>
          <w14:textFill>
            <w14:solidFill>
              <w14:schemeClr w14:val="tx1"/>
            </w14:solidFill>
          </w14:textFill>
        </w:rPr>
        <w:t>GB31571-2015</w:t>
      </w:r>
      <w:r>
        <w:rPr>
          <w:rFonts w:hint="eastAsia" w:ascii="宋体" w:hAnsi="宋体"/>
          <w:color w:val="000000" w:themeColor="text1"/>
          <w:u w:val="single"/>
          <w14:textFill>
            <w14:solidFill>
              <w14:schemeClr w14:val="tx1"/>
            </w14:solidFill>
          </w14:textFill>
        </w:rPr>
        <w:t>）标准要求；非甲烷总烃浓度（实测）满足《大气污染物综合排放标准》（</w:t>
      </w:r>
      <w:r>
        <w:rPr>
          <w:rFonts w:hint="eastAsia"/>
          <w:color w:val="000000" w:themeColor="text1"/>
          <w:u w:val="single"/>
          <w14:textFill>
            <w14:solidFill>
              <w14:schemeClr w14:val="tx1"/>
            </w14:solidFill>
          </w14:textFill>
        </w:rPr>
        <w:t>GB16297</w:t>
      </w:r>
      <w:r>
        <w:rPr>
          <w:rFonts w:hint="eastAsia" w:ascii="宋体" w:hAnsi="宋体"/>
          <w:color w:val="000000" w:themeColor="text1"/>
          <w:u w:val="single"/>
          <w14:textFill>
            <w14:solidFill>
              <w14:schemeClr w14:val="tx1"/>
            </w14:solidFill>
          </w14:textFill>
        </w:rPr>
        <w:t>—</w:t>
      </w:r>
      <w:r>
        <w:rPr>
          <w:rFonts w:hint="eastAsia"/>
          <w:color w:val="000000" w:themeColor="text1"/>
          <w:u w:val="single"/>
          <w14:textFill>
            <w14:solidFill>
              <w14:schemeClr w14:val="tx1"/>
            </w14:solidFill>
          </w14:textFill>
        </w:rPr>
        <w:t>1996</w:t>
      </w:r>
      <w:r>
        <w:rPr>
          <w:rFonts w:hint="eastAsia" w:ascii="宋体" w:hAnsi="宋体"/>
          <w:color w:val="000000" w:themeColor="text1"/>
          <w:u w:val="single"/>
          <w14:textFill>
            <w14:solidFill>
              <w14:schemeClr w14:val="tx1"/>
            </w14:solidFill>
          </w14:textFill>
        </w:rPr>
        <w:t>）要求；上述指标的排放速率均能满足《大气污染物综合排放标准》（</w:t>
      </w:r>
      <w:r>
        <w:rPr>
          <w:rFonts w:hint="eastAsia"/>
          <w:color w:val="000000" w:themeColor="text1"/>
          <w:u w:val="single"/>
          <w14:textFill>
            <w14:solidFill>
              <w14:schemeClr w14:val="tx1"/>
            </w14:solidFill>
          </w14:textFill>
        </w:rPr>
        <w:t>GB16297</w:t>
      </w:r>
      <w:r>
        <w:rPr>
          <w:rFonts w:hint="eastAsia" w:ascii="宋体" w:hAnsi="宋体"/>
          <w:color w:val="000000" w:themeColor="text1"/>
          <w:u w:val="single"/>
          <w14:textFill>
            <w14:solidFill>
              <w14:schemeClr w14:val="tx1"/>
            </w14:solidFill>
          </w14:textFill>
        </w:rPr>
        <w:t>—</w:t>
      </w:r>
      <w:r>
        <w:rPr>
          <w:rFonts w:hint="eastAsia"/>
          <w:color w:val="000000" w:themeColor="text1"/>
          <w:u w:val="single"/>
          <w14:textFill>
            <w14:solidFill>
              <w14:schemeClr w14:val="tx1"/>
            </w14:solidFill>
          </w14:textFill>
        </w:rPr>
        <w:t>1996</w:t>
      </w:r>
      <w:r>
        <w:rPr>
          <w:rFonts w:hint="eastAsia" w:ascii="宋体" w:hAnsi="宋体"/>
          <w:color w:val="000000" w:themeColor="text1"/>
          <w:u w:val="single"/>
          <w14:textFill>
            <w14:solidFill>
              <w14:schemeClr w14:val="tx1"/>
            </w14:solidFill>
          </w14:textFill>
        </w:rPr>
        <w:t>）在</w:t>
      </w:r>
      <w:r>
        <w:rPr>
          <w:rFonts w:hint="eastAsia"/>
          <w:color w:val="000000" w:themeColor="text1"/>
          <w:u w:val="single"/>
          <w14:textFill>
            <w14:solidFill>
              <w14:schemeClr w14:val="tx1"/>
            </w14:solidFill>
          </w14:textFill>
        </w:rPr>
        <w:t>35m</w:t>
      </w:r>
      <w:r>
        <w:rPr>
          <w:rFonts w:hint="eastAsia" w:ascii="宋体" w:hAnsi="宋体"/>
          <w:color w:val="000000" w:themeColor="text1"/>
          <w:u w:val="single"/>
          <w14:textFill>
            <w14:solidFill>
              <w14:schemeClr w14:val="tx1"/>
            </w14:solidFill>
          </w14:textFill>
        </w:rPr>
        <w:t>高排气筒下的排放速率要求。</w:t>
      </w:r>
    </w:p>
    <w:p w14:paraId="0CA911D2">
      <w:pPr>
        <w:pStyle w:val="4"/>
        <w:rPr>
          <w:color w:val="000000" w:themeColor="text1"/>
          <w14:textFill>
            <w14:solidFill>
              <w14:schemeClr w14:val="tx1"/>
            </w14:solidFill>
          </w14:textFill>
        </w:rPr>
      </w:pPr>
      <w:bookmarkStart w:id="780" w:name="_Toc136878561"/>
      <w:bookmarkStart w:id="781" w:name="_Toc216620631"/>
      <w:bookmarkStart w:id="782" w:name="_Toc216103472"/>
      <w:r>
        <w:rPr>
          <w:color w:val="000000" w:themeColor="text1"/>
          <w14:textFill>
            <w14:solidFill>
              <w14:schemeClr w14:val="tx1"/>
            </w14:solidFill>
          </w14:textFill>
        </w:rPr>
        <w:t>水环境保护措施及可行性论证</w:t>
      </w:r>
      <w:bookmarkEnd w:id="780"/>
      <w:bookmarkEnd w:id="781"/>
      <w:bookmarkEnd w:id="782"/>
    </w:p>
    <w:p w14:paraId="1BA273FA">
      <w:pPr>
        <w:pStyle w:val="6"/>
        <w:rPr>
          <w:color w:val="000000" w:themeColor="text1"/>
          <w14:textFill>
            <w14:solidFill>
              <w14:schemeClr w14:val="tx1"/>
            </w14:solidFill>
          </w14:textFill>
        </w:rPr>
      </w:pPr>
      <w:bookmarkStart w:id="783" w:name="_Toc26910083"/>
      <w:bookmarkStart w:id="784" w:name="_Toc135090296"/>
      <w:bookmarkStart w:id="785" w:name="_Toc29131896"/>
      <w:bookmarkStart w:id="786" w:name="_Toc25437037"/>
      <w:r>
        <w:rPr>
          <w:color w:val="000000" w:themeColor="text1"/>
          <w14:textFill>
            <w14:solidFill>
              <w14:schemeClr w14:val="tx1"/>
            </w14:solidFill>
          </w14:textFill>
        </w:rPr>
        <w:t>船舶废水</w:t>
      </w:r>
      <w:bookmarkEnd w:id="783"/>
      <w:bookmarkEnd w:id="784"/>
      <w:bookmarkEnd w:id="785"/>
      <w:bookmarkEnd w:id="786"/>
    </w:p>
    <w:p w14:paraId="4F7EC7E4">
      <w:pPr>
        <w:adjustRightInd w:val="0"/>
        <w:snapToGrid w:val="0"/>
        <w:ind w:firstLine="480"/>
        <w:rPr>
          <w:color w:val="000000" w:themeColor="text1"/>
          <w14:textFill>
            <w14:solidFill>
              <w14:schemeClr w14:val="tx1"/>
            </w14:solidFill>
          </w14:textFill>
        </w:rPr>
      </w:pPr>
      <w:r>
        <w:rPr>
          <w:color w:val="000000" w:themeColor="text1"/>
          <w14:textFill>
            <w14:solidFill>
              <w14:schemeClr w14:val="tx1"/>
            </w14:solidFill>
          </w14:textFill>
        </w:rPr>
        <w:t>船舶废水包括船舶舱底油污水和船舶生活污水，由海事部门监督管理。根据《MARPOL73/78防污公约》，船舶应配备机舱油污水处理系统和生活污水处理设施，船舶废水严禁在钦州港水域范围内排放（含处理后的生活污水），须委托具有资质的船舶污染物接收单位接收处理。</w:t>
      </w:r>
    </w:p>
    <w:p w14:paraId="2579D26E">
      <w:pPr>
        <w:pStyle w:val="6"/>
        <w:rPr>
          <w:color w:val="000000" w:themeColor="text1"/>
          <w14:textFill>
            <w14:solidFill>
              <w14:schemeClr w14:val="tx1"/>
            </w14:solidFill>
          </w14:textFill>
        </w:rPr>
      </w:pPr>
      <w:bookmarkStart w:id="787" w:name="_Toc29131897"/>
      <w:bookmarkStart w:id="788" w:name="_Toc135090297"/>
      <w:bookmarkStart w:id="789" w:name="_Toc25437038"/>
      <w:bookmarkStart w:id="790" w:name="_Toc26910084"/>
      <w:r>
        <w:rPr>
          <w:color w:val="000000" w:themeColor="text1"/>
          <w14:textFill>
            <w14:solidFill>
              <w14:schemeClr w14:val="tx1"/>
            </w14:solidFill>
          </w14:textFill>
        </w:rPr>
        <w:t>码头废水</w:t>
      </w:r>
      <w:bookmarkEnd w:id="787"/>
      <w:bookmarkEnd w:id="788"/>
      <w:bookmarkEnd w:id="789"/>
      <w:bookmarkEnd w:id="790"/>
    </w:p>
    <w:p w14:paraId="12A2CB7B">
      <w:pPr>
        <w:autoSpaceDE w:val="0"/>
        <w:ind w:firstLine="480"/>
        <w:rPr>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本项目无新增员工，运营期废水主要来自</w:t>
      </w:r>
      <w:r>
        <w:rPr>
          <w:rFonts w:hint="eastAsia" w:ascii="宋体" w:hAnsi="宋体"/>
          <w:color w:val="000000" w:themeColor="text1"/>
          <w:lang w:val="en-US" w:eastAsia="zh-CN"/>
          <w14:textFill>
            <w14:solidFill>
              <w14:schemeClr w14:val="tx1"/>
            </w14:solidFill>
          </w14:textFill>
        </w:rPr>
        <w:t>码头</w:t>
      </w:r>
      <w:r>
        <w:rPr>
          <w:rFonts w:hint="eastAsia" w:ascii="宋体" w:hAnsi="宋体"/>
          <w:color w:val="0000FF"/>
          <w:lang w:val="en-US" w:eastAsia="zh-CN"/>
        </w:rPr>
        <w:t>冲洗废水</w:t>
      </w:r>
      <w:r>
        <w:rPr>
          <w:rFonts w:hint="eastAsia" w:ascii="宋体" w:hAnsi="宋体"/>
          <w:color w:val="0000FF"/>
        </w:rPr>
        <w:t>、船舶废水</w:t>
      </w:r>
      <w:r>
        <w:rPr>
          <w:rFonts w:hint="eastAsia" w:ascii="宋体" w:hAnsi="宋体"/>
          <w:color w:val="000000" w:themeColor="text1"/>
          <w14:textFill>
            <w14:solidFill>
              <w14:schemeClr w14:val="tx1"/>
            </w14:solidFill>
          </w14:textFill>
        </w:rPr>
        <w:t>。本项目仅在</w:t>
      </w:r>
      <w:r>
        <w:rPr>
          <w:rFonts w:hint="eastAsia"/>
          <w:color w:val="000000" w:themeColor="text1"/>
          <w14:textFill>
            <w14:solidFill>
              <w14:schemeClr w14:val="tx1"/>
            </w14:solidFill>
          </w14:textFill>
        </w:rPr>
        <w:t>14</w:t>
      </w:r>
      <w:r>
        <w:rPr>
          <w:rFonts w:hint="eastAsia" w:ascii="宋体" w:hAnsi="宋体"/>
          <w:color w:val="000000" w:themeColor="text1"/>
          <w14:textFill>
            <w14:solidFill>
              <w14:schemeClr w14:val="tx1"/>
            </w14:solidFill>
          </w14:textFill>
        </w:rPr>
        <w:t>号、泊位上进行改扩建，不改变项目原有总平面布置，</w:t>
      </w:r>
      <w:r>
        <w:rPr>
          <w:rFonts w:hint="eastAsia"/>
          <w:color w:val="000000" w:themeColor="text1"/>
          <w14:textFill>
            <w14:solidFill>
              <w14:schemeClr w14:val="tx1"/>
            </w14:solidFill>
          </w14:textFill>
        </w:rPr>
        <w:t>14</w:t>
      </w:r>
      <w:r>
        <w:rPr>
          <w:rFonts w:hint="eastAsia" w:ascii="宋体" w:hAnsi="宋体"/>
          <w:color w:val="000000" w:themeColor="text1"/>
          <w14:textFill>
            <w14:solidFill>
              <w14:schemeClr w14:val="tx1"/>
            </w14:solidFill>
          </w14:textFill>
        </w:rPr>
        <w:t>号泊位初期雨</w:t>
      </w:r>
      <w:r>
        <w:rPr>
          <w:color w:val="000000" w:themeColor="text1"/>
          <w14:textFill>
            <w14:solidFill>
              <w14:schemeClr w14:val="tx1"/>
            </w14:solidFill>
          </w14:textFill>
        </w:rPr>
        <w:t>水经码头装卸区四周围坎收集到集污池，污水池内设置自动感应提升泵，当达到设定水位后开始运行，初期雨水通过泵提升至污水管道，排入恒逸污水处理厂处理后达标排放。</w:t>
      </w:r>
    </w:p>
    <w:p w14:paraId="429FEE67">
      <w:pPr>
        <w:ind w:firstLine="480"/>
        <w:rPr>
          <w:color w:val="000000" w:themeColor="text1"/>
          <w14:textFill>
            <w14:solidFill>
              <w14:schemeClr w14:val="tx1"/>
            </w14:solidFill>
          </w14:textFill>
        </w:rPr>
      </w:pPr>
      <w:r>
        <w:rPr>
          <w:color w:val="000000" w:themeColor="text1"/>
          <w14:textFill>
            <w14:solidFill>
              <w14:schemeClr w14:val="tx1"/>
            </w14:solidFill>
          </w14:textFill>
        </w:rPr>
        <w:t>根据《钦州港金谷港区金鼓江作业区14号泊位码头（一期工程）竣工环境保护验收调查报告》：</w:t>
      </w:r>
    </w:p>
    <w:p w14:paraId="69309D49">
      <w:pPr>
        <w:autoSpaceDE w:val="0"/>
        <w:ind w:firstLine="480"/>
        <w:rPr>
          <w:color w:val="000000" w:themeColor="text1"/>
          <w14:textFill>
            <w14:solidFill>
              <w14:schemeClr w14:val="tx1"/>
            </w14:solidFill>
          </w14:textFill>
        </w:rPr>
      </w:pPr>
      <w:r>
        <w:rPr>
          <w:color w:val="000000" w:themeColor="text1"/>
          <w14:textFill>
            <w14:solidFill>
              <w14:schemeClr w14:val="tx1"/>
            </w14:solidFill>
          </w14:textFill>
        </w:rPr>
        <w:t>现状采取雨、污分流制排水系统。产生的废水主要为</w:t>
      </w:r>
      <w:r>
        <w:rPr>
          <w:rFonts w:hint="eastAsia"/>
          <w:color w:val="000000" w:themeColor="text1"/>
          <w:lang w:val="en-US" w:eastAsia="zh-CN"/>
          <w14:textFill>
            <w14:solidFill>
              <w14:schemeClr w14:val="tx1"/>
            </w14:solidFill>
          </w14:textFill>
        </w:rPr>
        <w:t>码头</w:t>
      </w:r>
      <w:r>
        <w:rPr>
          <w:color w:val="000000" w:themeColor="text1"/>
          <w14:textFill>
            <w14:solidFill>
              <w14:schemeClr w14:val="tx1"/>
            </w14:solidFill>
          </w14:textFill>
        </w:rPr>
        <w:t>冲洗废水、初期雨水。</w:t>
      </w:r>
    </w:p>
    <w:p w14:paraId="71214E8E">
      <w:pPr>
        <w:autoSpaceDE w:val="0"/>
        <w:ind w:firstLine="480"/>
        <w:rPr>
          <w:color w:val="000000" w:themeColor="text1"/>
          <w14:textFill>
            <w14:solidFill>
              <w14:schemeClr w14:val="tx1"/>
            </w14:solidFill>
          </w14:textFill>
        </w:rPr>
      </w:pPr>
      <w:r>
        <w:rPr>
          <w:color w:val="000000" w:themeColor="text1"/>
          <w14:textFill>
            <w14:solidFill>
              <w14:schemeClr w14:val="tx1"/>
            </w14:solidFill>
          </w14:textFill>
        </w:rPr>
        <w:t>码头不设置污水处理设施，采取分区收集初期雨水方式，在码头泊位装卸区四周设置围堰（长宽高：29.5m×13.3m×0.2m，有效容积78m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），围堰内设置集污池（有效容积2m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收集初期雨水和地面冲洗废水后进入初期雨水池；码头区域废水通过污水泵与经化粪池处理后的陆域区生活污水，一起排入污水管后进入恒逸污水处理厂处理。降雨后期地面洁净雨水经阀门切换至雨水排水管网，排至海域。</w:t>
      </w:r>
    </w:p>
    <w:p w14:paraId="149DE056">
      <w:pPr>
        <w:pStyle w:val="6"/>
        <w:rPr>
          <w:color w:val="000000" w:themeColor="text1"/>
          <w14:textFill>
            <w14:solidFill>
              <w14:schemeClr w14:val="tx1"/>
            </w14:solidFill>
          </w14:textFill>
        </w:rPr>
      </w:pPr>
      <w:r>
        <w:rPr>
          <w:rFonts w:hint="eastAsia"/>
          <w:color w:val="000000" w:themeColor="text1"/>
          <w14:textFill>
            <w14:solidFill>
              <w14:schemeClr w14:val="tx1"/>
            </w14:solidFill>
          </w14:textFill>
        </w:rPr>
        <w:t>污水依托处理情况分析</w:t>
      </w:r>
    </w:p>
    <w:p w14:paraId="39187ED1">
      <w:pPr>
        <w:ind w:firstLine="480"/>
        <w:rPr>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根据《广西恒逸环境科技有限公司</w:t>
      </w:r>
      <w:r>
        <w:rPr>
          <w:rFonts w:hint="eastAsia"/>
          <w:color w:val="000000" w:themeColor="text1"/>
          <w14:textFill>
            <w14:solidFill>
              <w14:schemeClr w14:val="tx1"/>
            </w14:solidFill>
          </w14:textFill>
        </w:rPr>
        <w:t>50000</w:t>
      </w:r>
      <w:r>
        <w:rPr>
          <w:rFonts w:hint="eastAsia" w:ascii="宋体" w:hAnsi="宋体"/>
          <w:color w:val="000000" w:themeColor="text1"/>
          <w14:textFill>
            <w14:solidFill>
              <w14:schemeClr w14:val="tx1"/>
            </w14:solidFill>
          </w14:textFill>
        </w:rPr>
        <w:t>吨</w:t>
      </w:r>
      <w:r>
        <w:rPr>
          <w:rFonts w:hint="eastAsia"/>
          <w:color w:val="000000" w:themeColor="text1"/>
          <w14:textFill>
            <w14:solidFill>
              <w14:schemeClr w14:val="tx1"/>
            </w14:solidFill>
          </w14:textFill>
        </w:rPr>
        <w:t>/</w:t>
      </w:r>
      <w:r>
        <w:rPr>
          <w:rFonts w:hint="eastAsia" w:ascii="宋体" w:hAnsi="宋体"/>
          <w:color w:val="000000" w:themeColor="text1"/>
          <w14:textFill>
            <w14:solidFill>
              <w14:schemeClr w14:val="tx1"/>
            </w14:solidFill>
          </w14:textFill>
        </w:rPr>
        <w:t>日污水处理厂项目（重大变动）环境影响报告书》（自贸钦审批环〔</w:t>
      </w:r>
      <w:r>
        <w:rPr>
          <w:rFonts w:hint="eastAsia"/>
          <w:color w:val="000000" w:themeColor="text1"/>
          <w14:textFill>
            <w14:solidFill>
              <w14:schemeClr w14:val="tx1"/>
            </w14:solidFill>
          </w14:textFill>
        </w:rPr>
        <w:t>2025</w:t>
      </w:r>
      <w:r>
        <w:rPr>
          <w:rFonts w:hint="eastAsia" w:ascii="宋体" w:hAnsi="宋体"/>
          <w:color w:val="000000" w:themeColor="text1"/>
          <w14:textFill>
            <w14:solidFill>
              <w14:schemeClr w14:val="tx1"/>
            </w14:solidFill>
          </w14:textFill>
        </w:rPr>
        <w:t>〕</w:t>
      </w:r>
      <w:r>
        <w:rPr>
          <w:rFonts w:hint="eastAsia"/>
          <w:color w:val="000000" w:themeColor="text1"/>
          <w14:textFill>
            <w14:solidFill>
              <w14:schemeClr w14:val="tx1"/>
            </w14:solidFill>
          </w14:textFill>
        </w:rPr>
        <w:t>9</w:t>
      </w:r>
      <w:r>
        <w:rPr>
          <w:rFonts w:hint="eastAsia" w:ascii="宋体" w:hAnsi="宋体"/>
          <w:color w:val="000000" w:themeColor="text1"/>
          <w14:textFill>
            <w14:solidFill>
              <w14:schemeClr w14:val="tx1"/>
            </w14:solidFill>
          </w14:textFill>
        </w:rPr>
        <w:t>号），项目总处理规模</w:t>
      </w:r>
      <w:r>
        <w:rPr>
          <w:rFonts w:hint="eastAsia"/>
          <w:color w:val="000000" w:themeColor="text1"/>
          <w14:textFill>
            <w14:solidFill>
              <w14:schemeClr w14:val="tx1"/>
            </w14:solidFill>
          </w14:textFill>
        </w:rPr>
        <w:t>3100m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/h</w:t>
      </w:r>
      <w:r>
        <w:rPr>
          <w:rFonts w:hint="eastAsia" w:ascii="宋体" w:hAnsi="宋体"/>
          <w:color w:val="000000" w:themeColor="text1"/>
          <w14:textFill>
            <w14:solidFill>
              <w14:schemeClr w14:val="tx1"/>
            </w14:solidFill>
          </w14:textFill>
        </w:rPr>
        <w:t>，其中一期工程处理规模为</w:t>
      </w:r>
      <w:r>
        <w:rPr>
          <w:rFonts w:hint="eastAsia"/>
          <w:color w:val="000000" w:themeColor="text1"/>
          <w14:textFill>
            <w14:solidFill>
              <w14:schemeClr w14:val="tx1"/>
            </w14:solidFill>
          </w14:textFill>
        </w:rPr>
        <w:t>1400m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/h</w:t>
      </w:r>
      <w:r>
        <w:rPr>
          <w:rFonts w:hint="eastAsia" w:ascii="宋体" w:hAnsi="宋体"/>
          <w:color w:val="000000" w:themeColor="text1"/>
          <w14:textFill>
            <w14:solidFill>
              <w14:schemeClr w14:val="tx1"/>
            </w14:solidFill>
          </w14:textFill>
        </w:rPr>
        <w:t>（包含综合污水处理单元</w:t>
      </w:r>
      <w:r>
        <w:rPr>
          <w:rFonts w:hint="eastAsia"/>
          <w:color w:val="000000" w:themeColor="text1"/>
          <w14:textFill>
            <w14:solidFill>
              <w14:schemeClr w14:val="tx1"/>
            </w14:solidFill>
          </w14:textFill>
        </w:rPr>
        <w:t>800m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/h</w:t>
      </w:r>
      <w:r>
        <w:rPr>
          <w:rFonts w:hint="eastAsia" w:ascii="宋体" w:hAnsi="宋体"/>
          <w:color w:val="000000" w:themeColor="text1"/>
          <w14:textFill>
            <w14:solidFill>
              <w14:schemeClr w14:val="tx1"/>
            </w14:solidFill>
          </w14:textFill>
        </w:rPr>
        <w:t>和清净处理单元废水</w:t>
      </w:r>
      <w:r>
        <w:rPr>
          <w:rFonts w:hint="eastAsia"/>
          <w:color w:val="000000" w:themeColor="text1"/>
          <w14:textFill>
            <w14:solidFill>
              <w14:schemeClr w14:val="tx1"/>
            </w14:solidFill>
          </w14:textFill>
        </w:rPr>
        <w:t>600m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/h</w:t>
      </w:r>
      <w:r>
        <w:rPr>
          <w:rFonts w:hint="eastAsia" w:ascii="宋体" w:hAnsi="宋体"/>
          <w:color w:val="000000" w:themeColor="text1"/>
          <w14:textFill>
            <w14:solidFill>
              <w14:schemeClr w14:val="tx1"/>
            </w14:solidFill>
          </w14:textFill>
        </w:rPr>
        <w:t>），中水回用系统</w:t>
      </w:r>
      <w:r>
        <w:rPr>
          <w:rFonts w:hint="eastAsia"/>
          <w:color w:val="000000" w:themeColor="text1"/>
          <w14:textFill>
            <w14:solidFill>
              <w14:schemeClr w14:val="tx1"/>
            </w14:solidFill>
          </w14:textFill>
        </w:rPr>
        <w:t>1600m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/h</w:t>
      </w:r>
      <w:r>
        <w:rPr>
          <w:rFonts w:hint="eastAsia" w:ascii="宋体" w:hAnsi="宋体"/>
          <w:color w:val="000000" w:themeColor="text1"/>
          <w14:textFill>
            <w14:solidFill>
              <w14:schemeClr w14:val="tx1"/>
            </w14:solidFill>
          </w14:textFill>
        </w:rPr>
        <w:t>；二期工程处理规模为</w:t>
      </w:r>
      <w:r>
        <w:rPr>
          <w:rFonts w:hint="eastAsia"/>
          <w:color w:val="000000" w:themeColor="text1"/>
          <w14:textFill>
            <w14:solidFill>
              <w14:schemeClr w14:val="tx1"/>
            </w14:solidFill>
          </w14:textFill>
        </w:rPr>
        <w:t>1700m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/h</w:t>
      </w:r>
      <w:r>
        <w:rPr>
          <w:rFonts w:hint="eastAsia" w:ascii="宋体" w:hAnsi="宋体"/>
          <w:color w:val="000000" w:themeColor="text1"/>
          <w14:textFill>
            <w14:solidFill>
              <w14:schemeClr w14:val="tx1"/>
            </w14:solidFill>
          </w14:textFill>
        </w:rPr>
        <w:t>（包含综合污水处理单元</w:t>
      </w:r>
      <w:r>
        <w:rPr>
          <w:rFonts w:hint="eastAsia"/>
          <w:color w:val="000000" w:themeColor="text1"/>
          <w14:textFill>
            <w14:solidFill>
              <w14:schemeClr w14:val="tx1"/>
            </w14:solidFill>
          </w14:textFill>
        </w:rPr>
        <w:t>1100m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/h</w:t>
      </w:r>
      <w:r>
        <w:rPr>
          <w:rFonts w:hint="eastAsia" w:ascii="宋体" w:hAnsi="宋体"/>
          <w:color w:val="000000" w:themeColor="text1"/>
          <w14:textFill>
            <w14:solidFill>
              <w14:schemeClr w14:val="tx1"/>
            </w14:solidFill>
          </w14:textFill>
        </w:rPr>
        <w:t>和清净处理单元废水</w:t>
      </w:r>
      <w:r>
        <w:rPr>
          <w:rFonts w:hint="eastAsia"/>
          <w:color w:val="000000" w:themeColor="text1"/>
          <w14:textFill>
            <w14:solidFill>
              <w14:schemeClr w14:val="tx1"/>
            </w14:solidFill>
          </w14:textFill>
        </w:rPr>
        <w:t>600m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/h</w:t>
      </w:r>
      <w:r>
        <w:rPr>
          <w:rFonts w:hint="eastAsia" w:ascii="宋体" w:hAnsi="宋体"/>
          <w:color w:val="000000" w:themeColor="text1"/>
          <w14:textFill>
            <w14:solidFill>
              <w14:schemeClr w14:val="tx1"/>
            </w14:solidFill>
          </w14:textFill>
        </w:rPr>
        <w:t>）。项目配套</w:t>
      </w:r>
      <w:r>
        <w:rPr>
          <w:rFonts w:hint="eastAsia"/>
          <w:color w:val="000000" w:themeColor="text1"/>
          <w14:textFill>
            <w14:solidFill>
              <w14:schemeClr w14:val="tx1"/>
            </w14:solidFill>
          </w14:textFill>
        </w:rPr>
        <w:t>1600m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/h</w:t>
      </w:r>
      <w:r>
        <w:rPr>
          <w:rFonts w:hint="eastAsia" w:ascii="宋体" w:hAnsi="宋体"/>
          <w:color w:val="000000" w:themeColor="text1"/>
          <w14:textFill>
            <w14:solidFill>
              <w14:schemeClr w14:val="tx1"/>
            </w14:solidFill>
          </w14:textFill>
        </w:rPr>
        <w:t>中水回用系统，</w:t>
      </w:r>
      <w:r>
        <w:rPr>
          <w:rFonts w:hint="eastAsia"/>
          <w:color w:val="000000" w:themeColor="text1"/>
          <w14:textFill>
            <w14:solidFill>
              <w14:schemeClr w14:val="tx1"/>
            </w14:solidFill>
          </w14:textFill>
        </w:rPr>
        <w:t>400m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/h</w:t>
      </w:r>
      <w:r>
        <w:rPr>
          <w:rFonts w:hint="eastAsia" w:ascii="宋体" w:hAnsi="宋体"/>
          <w:color w:val="000000" w:themeColor="text1"/>
          <w14:textFill>
            <w14:solidFill>
              <w14:schemeClr w14:val="tx1"/>
            </w14:solidFill>
          </w14:textFill>
        </w:rPr>
        <w:t>浓水处理系统，经处理后尾水排放总量为</w:t>
      </w:r>
      <w:r>
        <w:rPr>
          <w:rFonts w:hint="eastAsia"/>
          <w:color w:val="000000" w:themeColor="text1"/>
          <w14:textFill>
            <w14:solidFill>
              <w14:schemeClr w14:val="tx1"/>
            </w14:solidFill>
          </w14:textFill>
        </w:rPr>
        <w:t>2060m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/h</w:t>
      </w:r>
      <w:r>
        <w:rPr>
          <w:rFonts w:hint="eastAsia" w:ascii="宋体" w:hAnsi="宋体"/>
          <w:color w:val="000000" w:themeColor="text1"/>
          <w14:textFill>
            <w14:solidFill>
              <w14:schemeClr w14:val="tx1"/>
            </w14:solidFill>
          </w14:textFill>
        </w:rPr>
        <w:t>（</w:t>
      </w:r>
      <w:r>
        <w:rPr>
          <w:rFonts w:hint="eastAsia"/>
          <w:color w:val="000000" w:themeColor="text1"/>
          <w14:textFill>
            <w14:solidFill>
              <w14:schemeClr w14:val="tx1"/>
            </w14:solidFill>
          </w14:textFill>
        </w:rPr>
        <w:t>49440m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/d</w:t>
      </w:r>
      <w:r>
        <w:rPr>
          <w:rFonts w:hint="eastAsia" w:ascii="宋体" w:hAnsi="宋体"/>
          <w:color w:val="000000" w:themeColor="text1"/>
          <w14:textFill>
            <w14:solidFill>
              <w14:schemeClr w14:val="tx1"/>
            </w14:solidFill>
          </w14:textFill>
        </w:rPr>
        <w:t>）</w:t>
      </w:r>
      <w:r>
        <w:rPr>
          <w:rFonts w:ascii="宋体" w:hAnsi="宋体"/>
          <w:color w:val="000000" w:themeColor="text1"/>
          <w14:textFill>
            <w14:solidFill>
              <w14:schemeClr w14:val="tx1"/>
            </w14:solidFill>
          </w14:textFill>
        </w:rPr>
        <w:t>。</w:t>
      </w:r>
    </w:p>
    <w:p w14:paraId="1BE28388">
      <w:pPr>
        <w:pStyle w:val="18"/>
        <w:spacing w:line="360" w:lineRule="auto"/>
        <w:ind w:firstLine="480" w:firstLineChars="200"/>
        <w:jc w:val="both"/>
        <w:rPr>
          <w:rFonts w:ascii="Times New Roman" w:hAnsi="Times New Roman"/>
          <w:color w:val="000000" w:themeColor="text1"/>
          <w14:textFill>
            <w14:solidFill>
              <w14:schemeClr w14:val="tx1"/>
            </w14:solidFill>
          </w14:textFill>
        </w:rPr>
      </w:pPr>
      <w:r>
        <w:rPr>
          <w:rFonts w:hint="eastAsia"/>
          <w:color w:val="000000" w:themeColor="text1"/>
          <w14:textFill>
            <w14:solidFill>
              <w14:schemeClr w14:val="tx1"/>
            </w14:solidFill>
          </w14:textFill>
        </w:rPr>
        <w:t>恒逸环境科技有限公司</w:t>
      </w:r>
      <w:r>
        <w:rPr>
          <w:rFonts w:hint="eastAsia" w:ascii="Times New Roman" w:hAnsi="Times New Roman"/>
          <w:color w:val="000000" w:themeColor="text1"/>
          <w14:textFill>
            <w14:solidFill>
              <w14:schemeClr w14:val="tx1"/>
            </w14:solidFill>
          </w14:textFill>
        </w:rPr>
        <w:t>50000</w:t>
      </w:r>
      <w:r>
        <w:rPr>
          <w:rFonts w:hint="eastAsia"/>
          <w:color w:val="000000" w:themeColor="text1"/>
          <w14:textFill>
            <w14:solidFill>
              <w14:schemeClr w14:val="tx1"/>
            </w14:solidFill>
          </w14:textFill>
        </w:rPr>
        <w:t>吨</w:t>
      </w:r>
      <w:r>
        <w:rPr>
          <w:rFonts w:hint="eastAsia" w:ascii="Times New Roman" w:hAnsi="Times New Roman"/>
          <w:color w:val="000000" w:themeColor="text1"/>
          <w14:textFill>
            <w14:solidFill>
              <w14:schemeClr w14:val="tx1"/>
            </w14:solidFill>
          </w14:textFill>
        </w:rPr>
        <w:t>/</w:t>
      </w:r>
      <w:r>
        <w:rPr>
          <w:rFonts w:hint="eastAsia"/>
          <w:color w:val="000000" w:themeColor="text1"/>
          <w14:textFill>
            <w14:solidFill>
              <w14:schemeClr w14:val="tx1"/>
            </w14:solidFill>
          </w14:textFill>
        </w:rPr>
        <w:t>日污水处理厂项目除接纳恒逸新材料有限公司年产</w:t>
      </w:r>
      <w:r>
        <w:rPr>
          <w:rFonts w:hint="eastAsia" w:ascii="Times New Roman" w:hAnsi="Times New Roman"/>
          <w:color w:val="000000" w:themeColor="text1"/>
          <w14:textFill>
            <w14:solidFill>
              <w14:schemeClr w14:val="tx1"/>
            </w14:solidFill>
          </w14:textFill>
        </w:rPr>
        <w:t>120</w:t>
      </w:r>
      <w:r>
        <w:rPr>
          <w:rFonts w:hint="eastAsia"/>
          <w:color w:val="000000" w:themeColor="text1"/>
          <w14:textFill>
            <w14:solidFill>
              <w14:schemeClr w14:val="tx1"/>
            </w14:solidFill>
          </w14:textFill>
        </w:rPr>
        <w:t>万吨己内酰胺</w:t>
      </w:r>
      <w:r>
        <w:rPr>
          <w:rFonts w:hint="eastAsia" w:ascii="Times New Roman" w:hAnsi="Times New Roman"/>
          <w:color w:val="000000" w:themeColor="text1"/>
          <w14:textFill>
            <w14:solidFill>
              <w14:schemeClr w14:val="tx1"/>
            </w14:solidFill>
          </w14:textFill>
        </w:rPr>
        <w:t>-</w:t>
      </w:r>
      <w:r>
        <w:rPr>
          <w:rFonts w:hint="eastAsia"/>
          <w:color w:val="000000" w:themeColor="text1"/>
          <w14:textFill>
            <w14:solidFill>
              <w14:schemeClr w14:val="tx1"/>
            </w14:solidFill>
          </w14:textFill>
        </w:rPr>
        <w:t>聚酰胺产业一体化及配套工程项目产生的废水外，同时也服务园区入驻企业。</w:t>
      </w:r>
    </w:p>
    <w:p w14:paraId="112750E6">
      <w:pPr>
        <w:ind w:firstLine="480"/>
        <w:rPr>
          <w:rFonts w:ascii="宋体" w:hAnsi="宋体"/>
          <w:color w:val="000000" w:themeColor="text1"/>
          <w14:textFill>
            <w14:solidFill>
              <w14:schemeClr w14:val="tx1"/>
            </w14:solidFill>
          </w14:textFill>
        </w:rPr>
      </w:pPr>
      <w:r>
        <w:rPr>
          <w:color w:val="000000" w:themeColor="text1"/>
          <w14:textFill>
            <w14:solidFill>
              <w14:schemeClr w14:val="tx1"/>
            </w14:solidFill>
          </w14:textFill>
        </w:rPr>
        <w:t>根据《钦州港金谷港区金鼓江作业区14号泊位码头（一期工程）竣工环境保护验收调查报告》，</w:t>
      </w:r>
      <w:r>
        <w:rPr>
          <w:rFonts w:hint="eastAsia"/>
          <w:color w:val="000000" w:themeColor="text1"/>
          <w14:textFill>
            <w14:solidFill>
              <w14:schemeClr w14:val="tx1"/>
            </w14:solidFill>
          </w14:textFill>
        </w:rPr>
        <w:t>委托广西利华检测评价有限公司对污水处理厂出水口水质进行监测，</w:t>
      </w:r>
      <w:r>
        <w:rPr>
          <w:rFonts w:hint="eastAsia" w:ascii="宋体" w:hAnsi="宋体"/>
          <w:color w:val="000000" w:themeColor="text1"/>
          <w14:textFill>
            <w14:solidFill>
              <w14:schemeClr w14:val="tx1"/>
            </w14:solidFill>
          </w14:textFill>
        </w:rPr>
        <w:t>广西恒逸污水处理厂出水可满足相关排放标准（按照《石油化学工业污染物排放标准》（</w:t>
      </w:r>
      <w:r>
        <w:rPr>
          <w:rFonts w:hint="eastAsia"/>
          <w:color w:val="000000" w:themeColor="text1"/>
          <w14:textFill>
            <w14:solidFill>
              <w14:schemeClr w14:val="tx1"/>
            </w14:solidFill>
          </w14:textFill>
        </w:rPr>
        <w:t>GB31571-2015</w:t>
      </w:r>
      <w:r>
        <w:rPr>
          <w:rFonts w:hint="eastAsia" w:ascii="宋体" w:hAnsi="宋体"/>
          <w:color w:val="000000" w:themeColor="text1"/>
          <w14:textFill>
            <w14:solidFill>
              <w14:schemeClr w14:val="tx1"/>
            </w14:solidFill>
          </w14:textFill>
        </w:rPr>
        <w:t>）标准及《污水综合排放标准》（</w:t>
      </w:r>
      <w:r>
        <w:rPr>
          <w:rFonts w:hint="eastAsia"/>
          <w:color w:val="000000" w:themeColor="text1"/>
          <w14:textFill>
            <w14:solidFill>
              <w14:schemeClr w14:val="tx1"/>
            </w14:solidFill>
          </w14:textFill>
        </w:rPr>
        <w:t>GB8978-1996</w:t>
      </w:r>
      <w:r>
        <w:rPr>
          <w:rFonts w:hint="eastAsia" w:ascii="宋体" w:hAnsi="宋体"/>
          <w:color w:val="000000" w:themeColor="text1"/>
          <w14:textFill>
            <w14:solidFill>
              <w14:schemeClr w14:val="tx1"/>
            </w14:solidFill>
          </w14:textFill>
        </w:rPr>
        <w:t>）一级标准中更严格的限值进行取值）。</w:t>
      </w:r>
    </w:p>
    <w:p w14:paraId="18CE5221">
      <w:pPr>
        <w:ind w:firstLine="480"/>
        <w:rPr>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项目不新增占地，不新增初期雨水，</w:t>
      </w:r>
      <w:r>
        <w:rPr>
          <w:rFonts w:hint="eastAsia"/>
          <w:color w:val="000000" w:themeColor="text1"/>
          <w14:textFill>
            <w14:solidFill>
              <w14:schemeClr w14:val="tx1"/>
            </w14:solidFill>
          </w14:textFill>
        </w:rPr>
        <w:t>依托项目现有人员，不新增生活污水</w:t>
      </w:r>
      <w:r>
        <w:rPr>
          <w:color w:val="000000" w:themeColor="text1"/>
          <w14:textFill>
            <w14:solidFill>
              <w14:schemeClr w14:val="tx1"/>
            </w14:solidFill>
          </w14:textFill>
        </w:rPr>
        <w:t>。完全依托处理措施完全可行。</w:t>
      </w:r>
    </w:p>
    <w:p w14:paraId="26B8083F">
      <w:pPr>
        <w:pStyle w:val="4"/>
        <w:rPr>
          <w:color w:val="000000" w:themeColor="text1"/>
          <w14:textFill>
            <w14:solidFill>
              <w14:schemeClr w14:val="tx1"/>
            </w14:solidFill>
          </w14:textFill>
        </w:rPr>
      </w:pPr>
      <w:bookmarkStart w:id="791" w:name="_Toc136878564"/>
      <w:bookmarkStart w:id="792" w:name="_Toc216620632"/>
      <w:bookmarkStart w:id="793" w:name="_Toc216103473"/>
      <w:r>
        <w:rPr>
          <w:color w:val="000000" w:themeColor="text1"/>
          <w14:textFill>
            <w14:solidFill>
              <w14:schemeClr w14:val="tx1"/>
            </w14:solidFill>
          </w14:textFill>
        </w:rPr>
        <w:t>运营期噪声污染防治措施</w:t>
      </w:r>
      <w:bookmarkEnd w:id="791"/>
      <w:bookmarkEnd w:id="792"/>
      <w:bookmarkEnd w:id="793"/>
    </w:p>
    <w:p w14:paraId="5E6E0053">
      <w:pPr>
        <w:autoSpaceDE w:val="0"/>
        <w:ind w:firstLine="480"/>
        <w:rPr>
          <w:color w:val="000000" w:themeColor="text1"/>
          <w14:textFill>
            <w14:solidFill>
              <w14:schemeClr w14:val="tx1"/>
            </w14:solidFill>
          </w14:textFill>
        </w:rPr>
      </w:pPr>
      <w:r>
        <w:rPr>
          <w:rFonts w:ascii="宋体" w:hAnsi="宋体"/>
          <w:color w:val="000000" w:themeColor="text1"/>
          <w14:textFill>
            <w14:solidFill>
              <w14:schemeClr w14:val="tx1"/>
            </w14:solidFill>
          </w14:textFill>
        </w:rPr>
        <w:t>（</w:t>
      </w:r>
      <w:r>
        <w:rPr>
          <w:color w:val="000000" w:themeColor="text1"/>
          <w14:textFill>
            <w14:solidFill>
              <w14:schemeClr w14:val="tx1"/>
            </w14:solidFill>
          </w14:textFill>
        </w:rPr>
        <w:t>1</w:t>
      </w:r>
      <w:r>
        <w:rPr>
          <w:rFonts w:ascii="宋体" w:hAnsi="宋体"/>
          <w:color w:val="000000" w:themeColor="text1"/>
          <w14:textFill>
            <w14:solidFill>
              <w14:schemeClr w14:val="tx1"/>
            </w14:solidFill>
          </w14:textFill>
        </w:rPr>
        <w:t>）使用先进的、噪声小的装卸机械和泵设备，并对噪声、振动较大的设备采取消声、减震措施。</w:t>
      </w:r>
    </w:p>
    <w:p w14:paraId="4ECD4960">
      <w:pPr>
        <w:autoSpaceDE w:val="0"/>
        <w:ind w:firstLine="480"/>
        <w:rPr>
          <w:color w:val="000000" w:themeColor="text1"/>
          <w14:textFill>
            <w14:solidFill>
              <w14:schemeClr w14:val="tx1"/>
            </w14:solidFill>
          </w14:textFill>
        </w:rPr>
      </w:pPr>
      <w:r>
        <w:rPr>
          <w:rFonts w:ascii="宋体" w:hAnsi="宋体"/>
          <w:color w:val="000000" w:themeColor="text1"/>
          <w14:textFill>
            <w14:solidFill>
              <w14:schemeClr w14:val="tx1"/>
            </w14:solidFill>
          </w14:textFill>
        </w:rPr>
        <w:t>（</w:t>
      </w:r>
      <w:r>
        <w:rPr>
          <w:color w:val="000000" w:themeColor="text1"/>
          <w14:textFill>
            <w14:solidFill>
              <w14:schemeClr w14:val="tx1"/>
            </w14:solidFill>
          </w14:textFill>
        </w:rPr>
        <w:t>2</w:t>
      </w:r>
      <w:r>
        <w:rPr>
          <w:rFonts w:ascii="宋体" w:hAnsi="宋体"/>
          <w:color w:val="000000" w:themeColor="text1"/>
          <w14:textFill>
            <w14:solidFill>
              <w14:schemeClr w14:val="tx1"/>
            </w14:solidFill>
          </w14:textFill>
        </w:rPr>
        <w:t>）靠港船舶只开动辅机，关闭主机。通过加强管理，有效降低船舶噪声强度。</w:t>
      </w:r>
    </w:p>
    <w:p w14:paraId="26D13216">
      <w:pPr>
        <w:autoSpaceDE w:val="0"/>
        <w:ind w:firstLine="480"/>
        <w:rPr>
          <w:color w:val="000000" w:themeColor="text1"/>
          <w14:textFill>
            <w14:solidFill>
              <w14:schemeClr w14:val="tx1"/>
            </w14:solidFill>
          </w14:textFill>
        </w:rPr>
      </w:pPr>
      <w:r>
        <w:rPr>
          <w:rFonts w:ascii="宋体" w:hAnsi="宋体"/>
          <w:color w:val="000000" w:themeColor="text1"/>
          <w14:textFill>
            <w14:solidFill>
              <w14:schemeClr w14:val="tx1"/>
            </w14:solidFill>
          </w14:textFill>
        </w:rPr>
        <w:t>（</w:t>
      </w:r>
      <w:r>
        <w:rPr>
          <w:color w:val="000000" w:themeColor="text1"/>
          <w14:textFill>
            <w14:solidFill>
              <w14:schemeClr w14:val="tx1"/>
            </w14:solidFill>
          </w14:textFill>
        </w:rPr>
        <w:t>3</w:t>
      </w:r>
      <w:r>
        <w:rPr>
          <w:rFonts w:ascii="宋体" w:hAnsi="宋体"/>
          <w:color w:val="000000" w:themeColor="text1"/>
          <w14:textFill>
            <w14:solidFill>
              <w14:schemeClr w14:val="tx1"/>
            </w14:solidFill>
          </w14:textFill>
        </w:rPr>
        <w:t>）加强机械、设备的保养维修，保持正常运行、正常运转，降低噪声。</w:t>
      </w:r>
    </w:p>
    <w:p w14:paraId="1FD81FFA">
      <w:pPr>
        <w:autoSpaceDE w:val="0"/>
        <w:ind w:firstLine="480"/>
        <w:rPr>
          <w:color w:val="000000" w:themeColor="text1"/>
          <w14:textFill>
            <w14:solidFill>
              <w14:schemeClr w14:val="tx1"/>
            </w14:solidFill>
          </w14:textFill>
        </w:rPr>
      </w:pPr>
      <w:r>
        <w:rPr>
          <w:rFonts w:ascii="宋体" w:hAnsi="宋体"/>
          <w:color w:val="000000" w:themeColor="text1"/>
          <w14:textFill>
            <w14:solidFill>
              <w14:schemeClr w14:val="tx1"/>
            </w14:solidFill>
          </w14:textFill>
        </w:rPr>
        <w:t>（</w:t>
      </w:r>
      <w:r>
        <w:rPr>
          <w:color w:val="000000" w:themeColor="text1"/>
          <w14:textFill>
            <w14:solidFill>
              <w14:schemeClr w14:val="tx1"/>
            </w14:solidFill>
          </w14:textFill>
        </w:rPr>
        <w:t>4</w:t>
      </w:r>
      <w:r>
        <w:rPr>
          <w:rFonts w:ascii="宋体" w:hAnsi="宋体"/>
          <w:color w:val="000000" w:themeColor="text1"/>
          <w14:textFill>
            <w14:solidFill>
              <w14:schemeClr w14:val="tx1"/>
            </w14:solidFill>
          </w14:textFill>
        </w:rPr>
        <w:t>）根据有关环境噪声管理条例规定，船舶进入市区禁止使用汽笛，合理使用风笛、电笛。随着航道管理措施的进一步现代化，建议航运管理部门应逐步取消以鸣号作为船舶运行、联系、调度信号的手段，最终达到全面禁鸣。</w:t>
      </w:r>
    </w:p>
    <w:p w14:paraId="5F08391C">
      <w:pPr>
        <w:pStyle w:val="4"/>
        <w:rPr>
          <w:color w:val="000000" w:themeColor="text1"/>
          <w14:textFill>
            <w14:solidFill>
              <w14:schemeClr w14:val="tx1"/>
            </w14:solidFill>
          </w14:textFill>
        </w:rPr>
      </w:pPr>
      <w:bookmarkStart w:id="794" w:name="_Toc216620633"/>
      <w:bookmarkStart w:id="795" w:name="_Toc216103474"/>
      <w:bookmarkStart w:id="796" w:name="_Toc136878565"/>
      <w:r>
        <w:rPr>
          <w:color w:val="000000" w:themeColor="text1"/>
          <w14:textFill>
            <w14:solidFill>
              <w14:schemeClr w14:val="tx1"/>
            </w14:solidFill>
          </w14:textFill>
        </w:rPr>
        <w:t>固体废物环境保护措施</w:t>
      </w:r>
      <w:bookmarkEnd w:id="794"/>
      <w:bookmarkEnd w:id="795"/>
      <w:bookmarkEnd w:id="796"/>
    </w:p>
    <w:p w14:paraId="142A0873">
      <w:pPr>
        <w:pStyle w:val="6"/>
        <w:rPr>
          <w:color w:val="000000" w:themeColor="text1"/>
          <w14:textFill>
            <w14:solidFill>
              <w14:schemeClr w14:val="tx1"/>
            </w14:solidFill>
          </w14:textFill>
        </w:rPr>
      </w:pPr>
      <w:bookmarkStart w:id="797" w:name="_Toc135090300"/>
      <w:bookmarkStart w:id="798" w:name="_Toc29131902"/>
      <w:bookmarkStart w:id="799" w:name="_Toc25437042"/>
      <w:bookmarkStart w:id="800" w:name="_Toc26910089"/>
      <w:r>
        <w:rPr>
          <w:color w:val="000000" w:themeColor="text1"/>
          <w14:textFill>
            <w14:solidFill>
              <w14:schemeClr w14:val="tx1"/>
            </w14:solidFill>
          </w14:textFill>
        </w:rPr>
        <w:t>一般工业固废</w:t>
      </w:r>
      <w:bookmarkEnd w:id="797"/>
      <w:bookmarkEnd w:id="798"/>
      <w:bookmarkEnd w:id="799"/>
      <w:bookmarkEnd w:id="800"/>
    </w:p>
    <w:p w14:paraId="096CB888">
      <w:pPr>
        <w:ind w:firstLine="480"/>
        <w:rPr>
          <w:color w:val="000000" w:themeColor="text1"/>
          <w14:textFill>
            <w14:solidFill>
              <w14:schemeClr w14:val="tx1"/>
            </w14:solidFill>
          </w14:textFill>
        </w:rPr>
      </w:pPr>
      <w:r>
        <w:rPr>
          <w:color w:val="000000" w:themeColor="text1"/>
          <w14:textFill>
            <w14:solidFill>
              <w14:schemeClr w14:val="tx1"/>
            </w14:solidFill>
          </w14:textFill>
        </w:rPr>
        <w:t>（1）到港船舶固体废物</w:t>
      </w:r>
    </w:p>
    <w:p w14:paraId="24E4E032">
      <w:pPr>
        <w:ind w:firstLine="480"/>
        <w:rPr>
          <w:color w:val="000000" w:themeColor="text1"/>
          <w14:textFill>
            <w14:solidFill>
              <w14:schemeClr w14:val="tx1"/>
            </w14:solidFill>
          </w14:textFill>
        </w:rPr>
      </w:pPr>
      <w:r>
        <w:rPr>
          <w:color w:val="000000" w:themeColor="text1"/>
          <w14:textFill>
            <w14:solidFill>
              <w14:schemeClr w14:val="tx1"/>
            </w14:solidFill>
          </w14:textFill>
        </w:rPr>
        <w:t>到港船舶生活垃圾用密封式袋或桶盛装，统一收集上岸交由环卫部门清运；船舶保养产生的固体废物为交由有资质单位接收处理，禁止在港区金鼓江和钦州湾附近水域内丢弃垃圾。</w:t>
      </w:r>
    </w:p>
    <w:p w14:paraId="549004D1">
      <w:pPr>
        <w:ind w:firstLine="480"/>
        <w:rPr>
          <w:color w:val="000000" w:themeColor="text1"/>
          <w14:textFill>
            <w14:solidFill>
              <w14:schemeClr w14:val="tx1"/>
            </w14:solidFill>
          </w14:textFill>
        </w:rPr>
      </w:pPr>
      <w:r>
        <w:rPr>
          <w:color w:val="000000" w:themeColor="text1"/>
          <w14:textFill>
            <w14:solidFill>
              <w14:schemeClr w14:val="tx1"/>
            </w14:solidFill>
          </w14:textFill>
        </w:rPr>
        <w:t>（2）码头生活垃圾</w:t>
      </w:r>
    </w:p>
    <w:p w14:paraId="67B237CB">
      <w:pPr>
        <w:ind w:firstLine="480"/>
        <w:rPr>
          <w:color w:val="000000" w:themeColor="text1"/>
          <w14:textFill>
            <w14:solidFill>
              <w14:schemeClr w14:val="tx1"/>
            </w14:solidFill>
          </w14:textFill>
        </w:rPr>
      </w:pPr>
      <w:r>
        <w:rPr>
          <w:color w:val="000000" w:themeColor="text1"/>
          <w14:textFill>
            <w14:solidFill>
              <w14:schemeClr w14:val="tx1"/>
            </w14:solidFill>
          </w14:textFill>
        </w:rPr>
        <w:t>港区生活垃圾交环卫部门统一清运。</w:t>
      </w:r>
    </w:p>
    <w:p w14:paraId="40BB4491">
      <w:pPr>
        <w:pStyle w:val="6"/>
        <w:rPr>
          <w:color w:val="000000" w:themeColor="text1"/>
          <w14:textFill>
            <w14:solidFill>
              <w14:schemeClr w14:val="tx1"/>
            </w14:solidFill>
          </w14:textFill>
        </w:rPr>
      </w:pPr>
      <w:bookmarkStart w:id="801" w:name="_Toc135090301"/>
      <w:bookmarkStart w:id="802" w:name="_Toc26910091"/>
      <w:bookmarkStart w:id="803" w:name="_Toc25437044"/>
      <w:bookmarkStart w:id="804" w:name="_Toc29131904"/>
      <w:r>
        <w:rPr>
          <w:color w:val="000000" w:themeColor="text1"/>
          <w14:textFill>
            <w14:solidFill>
              <w14:schemeClr w14:val="tx1"/>
            </w14:solidFill>
          </w14:textFill>
        </w:rPr>
        <w:t>危废贮存场所（设施）污染防治措施</w:t>
      </w:r>
      <w:bookmarkEnd w:id="801"/>
      <w:bookmarkEnd w:id="802"/>
      <w:bookmarkEnd w:id="803"/>
      <w:bookmarkEnd w:id="804"/>
    </w:p>
    <w:p w14:paraId="632BD49C">
      <w:pPr>
        <w:ind w:firstLine="470" w:firstLineChars="196"/>
        <w:rPr>
          <w:color w:val="000000" w:themeColor="text1"/>
          <w14:textFill>
            <w14:solidFill>
              <w14:schemeClr w14:val="tx1"/>
            </w14:solidFill>
          </w14:textFill>
        </w:rPr>
      </w:pPr>
      <w:r>
        <w:rPr>
          <w:rFonts w:hint="eastAsia"/>
          <w:color w:val="000000" w:themeColor="text1"/>
          <w14:textFill>
            <w14:solidFill>
              <w14:schemeClr w14:val="tx1"/>
            </w14:solidFill>
          </w14:textFill>
        </w:rPr>
        <w:t>现状泊位于陆域厂区南部、引桥旁设置危废暂存间1座（见</w:t>
      </w:r>
      <w:r>
        <w:rPr>
          <w:rFonts w:hint="eastAsia" w:ascii="宋体" w:hAnsi="宋体"/>
          <w:color w:val="000000" w:themeColor="text1"/>
          <w14:textFill>
            <w14:solidFill>
              <w14:schemeClr w14:val="tx1"/>
            </w14:solidFill>
          </w14:textFill>
        </w:rPr>
        <w:t>章节2.1.2</w:t>
      </w:r>
      <w:r>
        <w:rPr>
          <w:rFonts w:hint="eastAsia"/>
          <w:color w:val="000000" w:themeColor="text1"/>
          <w14:textFill>
            <w14:solidFill>
              <w14:schemeClr w14:val="tx1"/>
            </w14:solidFill>
          </w14:textFill>
        </w:rPr>
        <w:t>）。新增管道维修过程中产生的含油或化学品的废布及棉纱属于危险固废，年产生量约0.05t/a，暂存于项目危废暂存间，定期交由钦州时昌再生资源有限公司接收处置（危险废物经营许可证编号：GXQZ2024001）。项目危废暂存间配套设置活性炭吸附装置，废气以无组织形式排放。</w:t>
      </w:r>
    </w:p>
    <w:p w14:paraId="5430CFB1">
      <w:pPr>
        <w:pStyle w:val="6"/>
        <w:rPr>
          <w:color w:val="000000" w:themeColor="text1"/>
          <w14:textFill>
            <w14:solidFill>
              <w14:schemeClr w14:val="tx1"/>
            </w14:solidFill>
          </w14:textFill>
        </w:rPr>
      </w:pPr>
      <w:r>
        <w:rPr>
          <w:color w:val="000000" w:themeColor="text1"/>
          <w14:textFill>
            <w14:solidFill>
              <w14:schemeClr w14:val="tx1"/>
            </w14:solidFill>
          </w14:textFill>
        </w:rPr>
        <w:t>依托危废措施可行性</w:t>
      </w:r>
    </w:p>
    <w:p w14:paraId="358CAAF8">
      <w:pPr>
        <w:ind w:firstLine="470" w:firstLineChars="196"/>
        <w:rPr>
          <w:color w:val="000000" w:themeColor="text1"/>
          <w14:textFill>
            <w14:solidFill>
              <w14:schemeClr w14:val="tx1"/>
            </w14:solidFill>
          </w14:textFill>
        </w:rPr>
      </w:pPr>
      <w:r>
        <w:rPr>
          <w:color w:val="000000" w:themeColor="text1"/>
          <w14:textFill>
            <w14:solidFill>
              <w14:schemeClr w14:val="tx1"/>
            </w14:solidFill>
          </w14:textFill>
        </w:rPr>
        <w:t>根据《钦州港金谷港区金鼓江作业区14号泊位码头（一期工程）竣工环境保护验收调查报告》，危废暂存间容积约</w:t>
      </w:r>
      <w:r>
        <w:rPr>
          <w:rFonts w:hint="eastAsia"/>
          <w:color w:val="000000" w:themeColor="text1"/>
          <w14:textFill>
            <w14:solidFill>
              <w14:schemeClr w14:val="tx1"/>
            </w14:solidFill>
          </w14:textFill>
        </w:rPr>
        <w:t>10m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，设施功能完善，项目年产生量0.05t/a，完全满足要求。</w:t>
      </w:r>
    </w:p>
    <w:p w14:paraId="3E133013">
      <w:pPr>
        <w:pStyle w:val="5"/>
        <w:rPr>
          <w:color w:val="000000" w:themeColor="text1"/>
          <w14:textFill>
            <w14:solidFill>
              <w14:schemeClr w14:val="tx1"/>
            </w14:solidFill>
          </w14:textFill>
        </w:rPr>
      </w:pPr>
      <w:bookmarkStart w:id="805" w:name="_Toc216620634"/>
      <w:r>
        <w:rPr>
          <w:color w:val="000000" w:themeColor="text1"/>
          <w14:textFill>
            <w14:solidFill>
              <w14:schemeClr w14:val="tx1"/>
            </w14:solidFill>
          </w14:textFill>
        </w:rPr>
        <w:t>生态环境保护措施</w:t>
      </w:r>
      <w:bookmarkEnd w:id="805"/>
    </w:p>
    <w:p w14:paraId="22555A13">
      <w:pPr>
        <w:ind w:firstLine="480"/>
        <w:rPr>
          <w:color w:val="000000" w:themeColor="text1"/>
          <w14:textFill>
            <w14:solidFill>
              <w14:schemeClr w14:val="tx1"/>
            </w14:solidFill>
          </w14:textFill>
        </w:rPr>
      </w:pPr>
      <w:r>
        <w:rPr>
          <w:color w:val="000000" w:themeColor="text1"/>
          <w14:textFill>
            <w14:solidFill>
              <w14:schemeClr w14:val="tx1"/>
            </w14:solidFill>
          </w14:textFill>
        </w:rPr>
        <w:t>发生危险事故溢油或化学品泄漏时，会对局部水域水生生物产生较大影响，对此提出以下生态环境保护措施：</w:t>
      </w:r>
    </w:p>
    <w:p w14:paraId="2B21CB94">
      <w:pPr>
        <w:ind w:firstLine="480"/>
        <w:rPr>
          <w:color w:val="000000" w:themeColor="text1"/>
          <w14:textFill>
            <w14:solidFill>
              <w14:schemeClr w14:val="tx1"/>
            </w14:solidFill>
          </w14:textFill>
        </w:rPr>
      </w:pPr>
      <w:r>
        <w:rPr>
          <w:color w:val="000000" w:themeColor="text1"/>
          <w14:textFill>
            <w14:solidFill>
              <w14:schemeClr w14:val="tx1"/>
            </w14:solidFill>
          </w14:textFill>
        </w:rPr>
        <w:t>（1）保护好项目影响水域水质，避免对该水域生境产生明显不利影响。严防事故排放，对水生生物造成直接伤害。</w:t>
      </w:r>
    </w:p>
    <w:p w14:paraId="260C2C19">
      <w:pPr>
        <w:ind w:firstLine="480"/>
        <w:rPr>
          <w:color w:val="000000" w:themeColor="text1"/>
          <w14:textFill>
            <w14:solidFill>
              <w14:schemeClr w14:val="tx1"/>
            </w14:solidFill>
          </w14:textFill>
        </w:rPr>
      </w:pPr>
      <w:r>
        <w:rPr>
          <w:color w:val="000000" w:themeColor="text1"/>
          <w14:textFill>
            <w14:solidFill>
              <w14:schemeClr w14:val="tx1"/>
            </w14:solidFill>
          </w14:textFill>
        </w:rPr>
        <w:t>（2）禁止在项目附近水域直接排污，避免污染金鼓江和钦州湾水质。</w:t>
      </w:r>
    </w:p>
    <w:p w14:paraId="3CCC169F">
      <w:pPr>
        <w:ind w:firstLine="480"/>
        <w:rPr>
          <w:color w:val="000000" w:themeColor="text1"/>
          <w14:textFill>
            <w14:solidFill>
              <w14:schemeClr w14:val="tx1"/>
            </w14:solidFill>
          </w14:textFill>
        </w:rPr>
      </w:pPr>
      <w:r>
        <w:rPr>
          <w:color w:val="000000" w:themeColor="text1"/>
          <w14:textFill>
            <w14:solidFill>
              <w14:schemeClr w14:val="tx1"/>
            </w14:solidFill>
          </w14:textFill>
        </w:rPr>
        <w:t>（3）加强管理，禁止捕捞濒危保护水生生物并设置水生生物保护警示牌，增强人员的环保意识。</w:t>
      </w:r>
    </w:p>
    <w:p w14:paraId="30A7CF65">
      <w:pPr>
        <w:ind w:firstLine="480"/>
        <w:rPr>
          <w:color w:val="000000" w:themeColor="text1"/>
          <w14:textFill>
            <w14:solidFill>
              <w14:schemeClr w14:val="tx1"/>
            </w14:solidFill>
          </w14:textFill>
        </w:rPr>
      </w:pPr>
      <w:r>
        <w:rPr>
          <w:color w:val="000000" w:themeColor="text1"/>
          <w14:textFill>
            <w14:solidFill>
              <w14:schemeClr w14:val="tx1"/>
            </w14:solidFill>
          </w14:textFill>
        </w:rPr>
        <w:t>（4）严格执行本报告提出的风险防范与应急措施，杜绝溢油和化学品泄漏事故发生，制定应急预案，一旦发生风险事故，及时实施油膜的拦截收集工作，尽量减少油膜扩散范围。</w:t>
      </w:r>
    </w:p>
    <w:p w14:paraId="55465E18">
      <w:pPr>
        <w:ind w:firstLine="439" w:firstLineChars="183"/>
        <w:rPr>
          <w:color w:val="000000" w:themeColor="text1"/>
          <w14:textFill>
            <w14:solidFill>
              <w14:schemeClr w14:val="tx1"/>
            </w14:solidFill>
          </w14:textFill>
        </w:rPr>
      </w:pPr>
      <w:r>
        <w:rPr>
          <w:color w:val="000000" w:themeColor="text1"/>
          <w14:textFill>
            <w14:solidFill>
              <w14:schemeClr w14:val="tx1"/>
            </w14:solidFill>
          </w14:textFill>
        </w:rPr>
        <w:t>（5）风险事故造成金鼓江和钦州湾水生生物资源及生态造成损害的，应由事故责任人负责相关渔业损失费用。并在当地渔业主管部门的指导下采取必要修复措施，投放一些该流域常见鱼苗，对受损的水生生物资源、水产资源进行补偿。</w:t>
      </w:r>
    </w:p>
    <w:p w14:paraId="6D1994A9">
      <w:pPr>
        <w:pStyle w:val="5"/>
        <w:keepNext w:val="0"/>
        <w:keepLines w:val="0"/>
        <w:rPr>
          <w:color w:val="000000" w:themeColor="text1"/>
          <w14:textFill>
            <w14:solidFill>
              <w14:schemeClr w14:val="tx1"/>
            </w14:solidFill>
          </w14:textFill>
        </w:rPr>
      </w:pPr>
      <w:bookmarkStart w:id="806" w:name="_Toc216620635"/>
      <w:r>
        <w:rPr>
          <w:color w:val="000000" w:themeColor="text1"/>
          <w14:textFill>
            <w14:solidFill>
              <w14:schemeClr w14:val="tx1"/>
            </w14:solidFill>
          </w14:textFill>
        </w:rPr>
        <w:t>风险防范措施</w:t>
      </w:r>
      <w:bookmarkEnd w:id="806"/>
    </w:p>
    <w:p w14:paraId="61FFE37C">
      <w:pPr>
        <w:ind w:firstLine="480"/>
        <w:rPr>
          <w:color w:val="000000" w:themeColor="text1"/>
          <w14:textFill>
            <w14:solidFill>
              <w14:schemeClr w14:val="tx1"/>
            </w14:solidFill>
          </w14:textFill>
        </w:rPr>
      </w:pPr>
      <w:r>
        <w:rPr>
          <w:color w:val="000000" w:themeColor="text1"/>
          <w14:textFill>
            <w14:solidFill>
              <w14:schemeClr w14:val="tx1"/>
            </w14:solidFill>
          </w14:textFill>
        </w:rPr>
        <w:t>码头业主应参照本评价风险章节，尽快建立完善项目应急预案，码头应急预案应纳入工业园区、钦州市应急预案中。现有码头的风险防范措施能满足拟建项目风险防范要求，具体见风险评价章节，还应加强以下环保措施：</w:t>
      </w:r>
    </w:p>
    <w:p w14:paraId="760BDEB6">
      <w:pPr>
        <w:ind w:firstLine="480"/>
        <w:rPr>
          <w:color w:val="000000" w:themeColor="text1"/>
          <w14:textFill>
            <w14:solidFill>
              <w14:schemeClr w14:val="tx1"/>
            </w14:solidFill>
          </w14:textFill>
        </w:rPr>
      </w:pPr>
      <w:r>
        <w:rPr>
          <w:color w:val="000000" w:themeColor="text1"/>
          <w14:textFill>
            <w14:solidFill>
              <w14:schemeClr w14:val="tx1"/>
            </w14:solidFill>
          </w14:textFill>
        </w:rPr>
        <w:t>（1）严格按照相关设计规范选择安全可靠的工艺流程和设备，确保生产工艺安全可靠；按相关规范要求布置总平面布置，配套安全、消防等设备和措施。</w:t>
      </w:r>
    </w:p>
    <w:p w14:paraId="397234F6">
      <w:pPr>
        <w:ind w:firstLine="480"/>
        <w:rPr>
          <w:color w:val="000000" w:themeColor="text1"/>
          <w14:textFill>
            <w14:solidFill>
              <w14:schemeClr w14:val="tx1"/>
            </w14:solidFill>
          </w14:textFill>
        </w:rPr>
      </w:pPr>
      <w:r>
        <w:rPr>
          <w:color w:val="000000" w:themeColor="text1"/>
          <w14:textFill>
            <w14:solidFill>
              <w14:schemeClr w14:val="tx1"/>
            </w14:solidFill>
          </w14:textFill>
        </w:rPr>
        <w:t>（2）码头作业必须遵守操作规程，操作人员要求持证上岗。</w:t>
      </w:r>
    </w:p>
    <w:p w14:paraId="3FAA5198">
      <w:pPr>
        <w:ind w:firstLine="480"/>
        <w:rPr>
          <w:color w:val="000000" w:themeColor="text1"/>
          <w14:textFill>
            <w14:solidFill>
              <w14:schemeClr w14:val="tx1"/>
            </w14:solidFill>
          </w14:textFill>
        </w:rPr>
      </w:pPr>
      <w:r>
        <w:rPr>
          <w:color w:val="000000" w:themeColor="text1"/>
          <w14:textFill>
            <w14:solidFill>
              <w14:schemeClr w14:val="tx1"/>
            </w14:solidFill>
          </w14:textFill>
        </w:rPr>
        <w:t>（4）加强管理，完善船舶助航、导航、其他船舶禁航等安全措施；规范码头管理，建立健全码头安全营运、防治污染管理体系、设备设施的保养更新制度。</w:t>
      </w:r>
    </w:p>
    <w:p w14:paraId="75142416">
      <w:pPr>
        <w:ind w:firstLine="480"/>
        <w:rPr>
          <w:color w:val="000000" w:themeColor="text1"/>
          <w14:textFill>
            <w14:solidFill>
              <w14:schemeClr w14:val="tx1"/>
            </w14:solidFill>
          </w14:textFill>
        </w:rPr>
      </w:pPr>
      <w:r>
        <w:rPr>
          <w:color w:val="000000" w:themeColor="text1"/>
          <w14:textFill>
            <w14:solidFill>
              <w14:schemeClr w14:val="tx1"/>
            </w14:solidFill>
          </w14:textFill>
        </w:rPr>
        <w:t>（5）</w:t>
      </w:r>
      <w:r>
        <w:rPr>
          <w:rFonts w:hint="eastAsia"/>
          <w:color w:val="0000FF"/>
          <w:lang w:val="en-US" w:eastAsia="zh-CN"/>
        </w:rPr>
        <w:t>本项目</w:t>
      </w:r>
      <w:r>
        <w:rPr>
          <w:color w:val="0000FF"/>
        </w:rPr>
        <w:t>根据《港口码头水上污染事故应急防备能力要求》（JT/T451-2017）配备风险应急物资。</w:t>
      </w:r>
    </w:p>
    <w:p w14:paraId="1B08F75E">
      <w:pPr>
        <w:pStyle w:val="5"/>
        <w:rPr>
          <w:color w:val="000000" w:themeColor="text1"/>
          <w14:textFill>
            <w14:solidFill>
              <w14:schemeClr w14:val="tx1"/>
            </w14:solidFill>
          </w14:textFill>
        </w:rPr>
      </w:pPr>
      <w:bookmarkStart w:id="807" w:name="_Toc216620636"/>
      <w:r>
        <w:rPr>
          <w:color w:val="000000" w:themeColor="text1"/>
          <w14:textFill>
            <w14:solidFill>
              <w14:schemeClr w14:val="tx1"/>
            </w14:solidFill>
          </w14:textFill>
        </w:rPr>
        <w:t>工程环保投资一览表</w:t>
      </w:r>
      <w:bookmarkEnd w:id="807"/>
    </w:p>
    <w:p w14:paraId="1968B21A">
      <w:pPr>
        <w:ind w:firstLine="480"/>
        <w:rPr>
          <w:color w:val="000000" w:themeColor="text1"/>
          <w14:textFill>
            <w14:solidFill>
              <w14:schemeClr w14:val="tx1"/>
            </w14:solidFill>
          </w14:textFill>
        </w:rPr>
      </w:pPr>
      <w:r>
        <w:rPr>
          <w:color w:val="000000" w:themeColor="text1"/>
          <w14:textFill>
            <w14:solidFill>
              <w14:schemeClr w14:val="tx1"/>
            </w14:solidFill>
          </w14:textFill>
        </w:rPr>
        <w:t>本项目环保投资为</w:t>
      </w:r>
      <w:r>
        <w:rPr>
          <w:rFonts w:hint="eastAsia"/>
          <w:color w:val="000000" w:themeColor="text1"/>
          <w14:textFill>
            <w14:solidFill>
              <w14:schemeClr w14:val="tx1"/>
            </w14:solidFill>
          </w14:textFill>
        </w:rPr>
        <w:t>96.0</w:t>
      </w:r>
      <w:r>
        <w:rPr>
          <w:color w:val="000000" w:themeColor="text1"/>
          <w14:textFill>
            <w14:solidFill>
              <w14:schemeClr w14:val="tx1"/>
            </w14:solidFill>
          </w14:textFill>
        </w:rPr>
        <w:t>万元，占项目总投资</w:t>
      </w:r>
      <w:r>
        <w:rPr>
          <w:rFonts w:hint="eastAsia"/>
          <w:color w:val="000000" w:themeColor="text1"/>
          <w14:textFill>
            <w14:solidFill>
              <w14:schemeClr w14:val="tx1"/>
            </w14:solidFill>
          </w14:textFill>
        </w:rPr>
        <w:t>750</w:t>
      </w:r>
      <w:r>
        <w:rPr>
          <w:color w:val="000000" w:themeColor="text1"/>
          <w14:textFill>
            <w14:solidFill>
              <w14:schemeClr w14:val="tx1"/>
            </w14:solidFill>
          </w14:textFill>
        </w:rPr>
        <w:t>万元的</w:t>
      </w:r>
      <w:r>
        <w:rPr>
          <w:rFonts w:hint="eastAsia"/>
          <w:color w:val="000000" w:themeColor="text1"/>
          <w14:textFill>
            <w14:solidFill>
              <w14:schemeClr w14:val="tx1"/>
            </w14:solidFill>
          </w14:textFill>
        </w:rPr>
        <w:t>12.8</w:t>
      </w:r>
      <w:r>
        <w:rPr>
          <w:color w:val="000000" w:themeColor="text1"/>
          <w14:textFill>
            <w14:solidFill>
              <w14:schemeClr w14:val="tx1"/>
            </w14:solidFill>
          </w14:textFill>
        </w:rPr>
        <w:t>%。</w:t>
      </w:r>
    </w:p>
    <w:p w14:paraId="4E61010E">
      <w:pPr>
        <w:pStyle w:val="7"/>
        <w:rPr>
          <w:color w:val="000000" w:themeColor="text1"/>
          <w14:textFill>
            <w14:solidFill>
              <w14:schemeClr w14:val="tx1"/>
            </w14:solidFill>
          </w14:textFill>
        </w:rPr>
      </w:pPr>
      <w:r>
        <w:rPr>
          <w:color w:val="000000" w:themeColor="text1"/>
          <w14:textFill>
            <w14:solidFill>
              <w14:schemeClr w14:val="tx1"/>
            </w14:solidFill>
          </w14:textFill>
        </w:rPr>
        <w:t>环保措施投资估算</w:t>
      </w:r>
    </w:p>
    <w:tbl>
      <w:tblPr>
        <w:tblStyle w:val="43"/>
        <w:tblW w:w="8276"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657"/>
        <w:gridCol w:w="1404"/>
        <w:gridCol w:w="1993"/>
        <w:gridCol w:w="861"/>
        <w:gridCol w:w="2216"/>
        <w:gridCol w:w="1145"/>
      </w:tblGrid>
      <w:tr w14:paraId="6A2C744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jc w:val="center"/>
        </w:trPr>
        <w:tc>
          <w:tcPr>
            <w:tcW w:w="2061" w:type="dxa"/>
            <w:gridSpan w:val="2"/>
            <w:vAlign w:val="center"/>
          </w:tcPr>
          <w:p w14:paraId="7FE2A1C3">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项目</w:t>
            </w:r>
          </w:p>
        </w:tc>
        <w:tc>
          <w:tcPr>
            <w:tcW w:w="1993" w:type="dxa"/>
            <w:tcMar>
              <w:left w:w="28" w:type="dxa"/>
              <w:right w:w="28" w:type="dxa"/>
            </w:tcMar>
            <w:vAlign w:val="center"/>
          </w:tcPr>
          <w:p w14:paraId="1E765FD4">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内容或估算方法</w:t>
            </w:r>
          </w:p>
        </w:tc>
        <w:tc>
          <w:tcPr>
            <w:tcW w:w="861" w:type="dxa"/>
            <w:tcMar>
              <w:left w:w="28" w:type="dxa"/>
              <w:right w:w="28" w:type="dxa"/>
            </w:tcMar>
            <w:vAlign w:val="center"/>
          </w:tcPr>
          <w:p w14:paraId="7BB1E237">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投资金额（万元）</w:t>
            </w:r>
          </w:p>
        </w:tc>
        <w:tc>
          <w:tcPr>
            <w:tcW w:w="2216" w:type="dxa"/>
            <w:tcMar>
              <w:left w:w="28" w:type="dxa"/>
              <w:right w:w="28" w:type="dxa"/>
            </w:tcMar>
            <w:vAlign w:val="center"/>
          </w:tcPr>
          <w:p w14:paraId="7BBD9C0B">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环境效益</w:t>
            </w:r>
          </w:p>
        </w:tc>
        <w:tc>
          <w:tcPr>
            <w:tcW w:w="1145" w:type="dxa"/>
            <w:tcMar>
              <w:left w:w="28" w:type="dxa"/>
              <w:right w:w="28" w:type="dxa"/>
            </w:tcMar>
            <w:vAlign w:val="center"/>
          </w:tcPr>
          <w:p w14:paraId="2B578BF5">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备注</w:t>
            </w:r>
          </w:p>
        </w:tc>
      </w:tr>
      <w:tr w14:paraId="1D2081A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657" w:type="dxa"/>
            <w:vMerge w:val="restart"/>
            <w:vAlign w:val="center"/>
          </w:tcPr>
          <w:p w14:paraId="1A21D14C">
            <w:pPr>
              <w:pStyle w:val="70"/>
              <w:rPr>
                <w:color w:val="000000" w:themeColor="text1"/>
                <w14:textFill>
                  <w14:solidFill>
                    <w14:schemeClr w14:val="tx1"/>
                  </w14:solidFill>
                </w14:textFill>
              </w:rPr>
            </w:pPr>
            <w:r>
              <w:rPr>
                <w:color w:val="000000" w:themeColor="text1"/>
                <w14:textFill>
                  <w14:solidFill>
                    <w14:schemeClr w14:val="tx1"/>
                  </w14:solidFill>
                </w14:textFill>
              </w:rPr>
              <w:t>大气</w:t>
            </w:r>
          </w:p>
        </w:tc>
        <w:tc>
          <w:tcPr>
            <w:tcW w:w="1404" w:type="dxa"/>
            <w:tcMar>
              <w:left w:w="28" w:type="dxa"/>
              <w:right w:w="28" w:type="dxa"/>
            </w:tcMar>
            <w:vAlign w:val="center"/>
          </w:tcPr>
          <w:p w14:paraId="6A2B25B0">
            <w:pPr>
              <w:pStyle w:val="70"/>
              <w:rPr>
                <w:color w:val="000000" w:themeColor="text1"/>
                <w14:textFill>
                  <w14:solidFill>
                    <w14:schemeClr w14:val="tx1"/>
                  </w14:solidFill>
                </w14:textFill>
              </w:rPr>
            </w:pPr>
            <w:r>
              <w:rPr>
                <w:color w:val="000000" w:themeColor="text1"/>
                <w14:textFill>
                  <w14:solidFill>
                    <w14:schemeClr w14:val="tx1"/>
                  </w14:solidFill>
                </w14:textFill>
              </w:rPr>
              <w:t>施工降尘</w:t>
            </w:r>
          </w:p>
        </w:tc>
        <w:tc>
          <w:tcPr>
            <w:tcW w:w="1993" w:type="dxa"/>
            <w:tcMar>
              <w:left w:w="28" w:type="dxa"/>
              <w:right w:w="28" w:type="dxa"/>
            </w:tcMar>
            <w:vAlign w:val="center"/>
          </w:tcPr>
          <w:p w14:paraId="2ED7D08D">
            <w:pPr>
              <w:pStyle w:val="70"/>
              <w:rPr>
                <w:color w:val="000000" w:themeColor="text1"/>
                <w14:textFill>
                  <w14:solidFill>
                    <w14:schemeClr w14:val="tx1"/>
                  </w14:solidFill>
                </w14:textFill>
              </w:rPr>
            </w:pPr>
            <w:r>
              <w:rPr>
                <w:color w:val="000000" w:themeColor="text1"/>
                <w14:textFill>
                  <w14:solidFill>
                    <w14:schemeClr w14:val="tx1"/>
                  </w14:solidFill>
                </w14:textFill>
              </w:rPr>
              <w:t>洒水降尘措施</w:t>
            </w:r>
          </w:p>
        </w:tc>
        <w:tc>
          <w:tcPr>
            <w:tcW w:w="861" w:type="dxa"/>
            <w:tcMar>
              <w:left w:w="28" w:type="dxa"/>
              <w:right w:w="28" w:type="dxa"/>
            </w:tcMar>
            <w:vAlign w:val="center"/>
          </w:tcPr>
          <w:p w14:paraId="73B989C5">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color w:val="000000" w:themeColor="text1"/>
                <w14:textFill>
                  <w14:solidFill>
                    <w14:schemeClr w14:val="tx1"/>
                  </w14:solidFill>
                </w14:textFill>
              </w:rPr>
              <w:t>.0</w:t>
            </w:r>
          </w:p>
        </w:tc>
        <w:tc>
          <w:tcPr>
            <w:tcW w:w="2216" w:type="dxa"/>
            <w:tcMar>
              <w:left w:w="28" w:type="dxa"/>
              <w:right w:w="28" w:type="dxa"/>
            </w:tcMar>
            <w:vAlign w:val="center"/>
          </w:tcPr>
          <w:p w14:paraId="56EDE836">
            <w:pPr>
              <w:pStyle w:val="70"/>
              <w:rPr>
                <w:color w:val="000000" w:themeColor="text1"/>
                <w14:textFill>
                  <w14:solidFill>
                    <w14:schemeClr w14:val="tx1"/>
                  </w14:solidFill>
                </w14:textFill>
              </w:rPr>
            </w:pPr>
            <w:r>
              <w:rPr>
                <w:color w:val="000000" w:themeColor="text1"/>
                <w14:textFill>
                  <w14:solidFill>
                    <w14:schemeClr w14:val="tx1"/>
                  </w14:solidFill>
                </w14:textFill>
              </w:rPr>
              <w:t>减轻空气污染（施工队自备洒水车）</w:t>
            </w:r>
          </w:p>
        </w:tc>
        <w:tc>
          <w:tcPr>
            <w:tcW w:w="1145" w:type="dxa"/>
            <w:tcMar>
              <w:left w:w="28" w:type="dxa"/>
              <w:right w:w="28" w:type="dxa"/>
            </w:tcMar>
            <w:vAlign w:val="center"/>
          </w:tcPr>
          <w:p w14:paraId="2DB4D3C3">
            <w:pPr>
              <w:pStyle w:val="70"/>
              <w:rPr>
                <w:color w:val="000000" w:themeColor="text1"/>
                <w14:textFill>
                  <w14:solidFill>
                    <w14:schemeClr w14:val="tx1"/>
                  </w14:solidFill>
                </w14:textFill>
              </w:rPr>
            </w:pPr>
            <w:r>
              <w:rPr>
                <w:color w:val="000000" w:themeColor="text1"/>
                <w14:textFill>
                  <w14:solidFill>
                    <w14:schemeClr w14:val="tx1"/>
                  </w14:solidFill>
                </w14:textFill>
              </w:rPr>
              <w:t>新增</w:t>
            </w:r>
          </w:p>
        </w:tc>
      </w:tr>
      <w:tr w14:paraId="4ECBC4A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4" w:hRule="atLeast"/>
          <w:jc w:val="center"/>
        </w:trPr>
        <w:tc>
          <w:tcPr>
            <w:tcW w:w="657" w:type="dxa"/>
            <w:vMerge w:val="continue"/>
            <w:vAlign w:val="center"/>
          </w:tcPr>
          <w:p w14:paraId="1B8D5FBB">
            <w:pPr>
              <w:pStyle w:val="70"/>
              <w:rPr>
                <w:color w:val="000000" w:themeColor="text1"/>
                <w14:textFill>
                  <w14:solidFill>
                    <w14:schemeClr w14:val="tx1"/>
                  </w14:solidFill>
                </w14:textFill>
              </w:rPr>
            </w:pPr>
          </w:p>
        </w:tc>
        <w:tc>
          <w:tcPr>
            <w:tcW w:w="1404" w:type="dxa"/>
            <w:tcMar>
              <w:left w:w="28" w:type="dxa"/>
              <w:right w:w="28" w:type="dxa"/>
            </w:tcMar>
            <w:vAlign w:val="center"/>
          </w:tcPr>
          <w:p w14:paraId="7A0FC2BC">
            <w:pPr>
              <w:pStyle w:val="70"/>
              <w:rPr>
                <w:color w:val="000000" w:themeColor="text1"/>
                <w14:textFill>
                  <w14:solidFill>
                    <w14:schemeClr w14:val="tx1"/>
                  </w14:solidFill>
                </w14:textFill>
              </w:rPr>
            </w:pPr>
            <w:r>
              <w:rPr>
                <w:color w:val="000000" w:themeColor="text1"/>
                <w14:textFill>
                  <w14:solidFill>
                    <w14:schemeClr w14:val="tx1"/>
                  </w14:solidFill>
                </w14:textFill>
              </w:rPr>
              <w:t>扫线管道</w:t>
            </w:r>
          </w:p>
        </w:tc>
        <w:tc>
          <w:tcPr>
            <w:tcW w:w="1993" w:type="dxa"/>
            <w:tcMar>
              <w:left w:w="28" w:type="dxa"/>
              <w:right w:w="28" w:type="dxa"/>
            </w:tcMar>
            <w:vAlign w:val="center"/>
          </w:tcPr>
          <w:p w14:paraId="1A076CE6">
            <w:pPr>
              <w:pStyle w:val="70"/>
              <w:rPr>
                <w:color w:val="000000" w:themeColor="text1"/>
                <w14:textFill>
                  <w14:solidFill>
                    <w14:schemeClr w14:val="tx1"/>
                  </w14:solidFill>
                </w14:textFill>
              </w:rPr>
            </w:pPr>
            <w:r>
              <w:rPr>
                <w:color w:val="000000" w:themeColor="text1"/>
                <w14:textFill>
                  <w14:solidFill>
                    <w14:schemeClr w14:val="tx1"/>
                  </w14:solidFill>
                </w14:textFill>
              </w:rPr>
              <w:t>液相回收后，依托方厂区RTO</w:t>
            </w:r>
            <w:r>
              <w:rPr>
                <w:rFonts w:hint="eastAsia"/>
                <w:color w:val="000000" w:themeColor="text1"/>
                <w14:textFill>
                  <w14:solidFill>
                    <w14:schemeClr w14:val="tx1"/>
                  </w14:solidFill>
                </w14:textFill>
              </w:rPr>
              <w:t>蓄热式焚烧炉处理</w:t>
            </w:r>
          </w:p>
        </w:tc>
        <w:tc>
          <w:tcPr>
            <w:tcW w:w="861" w:type="dxa"/>
            <w:tcMar>
              <w:left w:w="28" w:type="dxa"/>
              <w:right w:w="28" w:type="dxa"/>
            </w:tcMar>
            <w:vAlign w:val="center"/>
          </w:tcPr>
          <w:p w14:paraId="1F1C118A">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216" w:type="dxa"/>
            <w:tcMar>
              <w:left w:w="28" w:type="dxa"/>
              <w:right w:w="28" w:type="dxa"/>
            </w:tcMar>
            <w:vAlign w:val="center"/>
          </w:tcPr>
          <w:p w14:paraId="1CDE63DA">
            <w:pPr>
              <w:pStyle w:val="70"/>
              <w:rPr>
                <w:color w:val="000000" w:themeColor="text1"/>
                <w14:textFill>
                  <w14:solidFill>
                    <w14:schemeClr w14:val="tx1"/>
                  </w14:solidFill>
                </w14:textFill>
              </w:rPr>
            </w:pPr>
            <w:r>
              <w:rPr>
                <w:color w:val="000000" w:themeColor="text1"/>
                <w14:textFill>
                  <w14:solidFill>
                    <w14:schemeClr w14:val="tx1"/>
                  </w14:solidFill>
                </w14:textFill>
              </w:rPr>
              <w:t>减小废气排放</w:t>
            </w:r>
          </w:p>
        </w:tc>
        <w:tc>
          <w:tcPr>
            <w:tcW w:w="1145" w:type="dxa"/>
            <w:tcMar>
              <w:left w:w="28" w:type="dxa"/>
              <w:right w:w="28" w:type="dxa"/>
            </w:tcMar>
            <w:vAlign w:val="center"/>
          </w:tcPr>
          <w:p w14:paraId="632120F1">
            <w:pPr>
              <w:pStyle w:val="70"/>
              <w:rPr>
                <w:color w:val="000000" w:themeColor="text1"/>
                <w14:textFill>
                  <w14:solidFill>
                    <w14:schemeClr w14:val="tx1"/>
                  </w14:solidFill>
                </w14:textFill>
              </w:rPr>
            </w:pPr>
            <w:r>
              <w:rPr>
                <w:color w:val="000000" w:themeColor="text1"/>
                <w14:textFill>
                  <w14:solidFill>
                    <w14:schemeClr w14:val="tx1"/>
                  </w14:solidFill>
                </w14:textFill>
              </w:rPr>
              <w:t>主体工程已有及依托</w:t>
            </w:r>
          </w:p>
        </w:tc>
      </w:tr>
      <w:tr w14:paraId="38D608C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657" w:type="dxa"/>
            <w:vMerge w:val="restart"/>
            <w:vAlign w:val="center"/>
          </w:tcPr>
          <w:p w14:paraId="380A42FB">
            <w:pPr>
              <w:pStyle w:val="70"/>
              <w:rPr>
                <w:color w:val="000000" w:themeColor="text1"/>
                <w14:textFill>
                  <w14:solidFill>
                    <w14:schemeClr w14:val="tx1"/>
                  </w14:solidFill>
                </w14:textFill>
              </w:rPr>
            </w:pPr>
            <w:r>
              <w:rPr>
                <w:color w:val="000000" w:themeColor="text1"/>
                <w14:textFill>
                  <w14:solidFill>
                    <w14:schemeClr w14:val="tx1"/>
                  </w14:solidFill>
                </w14:textFill>
              </w:rPr>
              <w:t>噪声</w:t>
            </w:r>
          </w:p>
        </w:tc>
        <w:tc>
          <w:tcPr>
            <w:tcW w:w="1404" w:type="dxa"/>
            <w:tcMar>
              <w:left w:w="28" w:type="dxa"/>
              <w:right w:w="28" w:type="dxa"/>
            </w:tcMar>
            <w:vAlign w:val="center"/>
          </w:tcPr>
          <w:p w14:paraId="6D6A51A3">
            <w:pPr>
              <w:pStyle w:val="70"/>
              <w:rPr>
                <w:color w:val="000000" w:themeColor="text1"/>
                <w14:textFill>
                  <w14:solidFill>
                    <w14:schemeClr w14:val="tx1"/>
                  </w14:solidFill>
                </w14:textFill>
              </w:rPr>
            </w:pPr>
            <w:r>
              <w:rPr>
                <w:color w:val="000000" w:themeColor="text1"/>
                <w14:textFill>
                  <w14:solidFill>
                    <w14:schemeClr w14:val="tx1"/>
                  </w14:solidFill>
                </w14:textFill>
              </w:rPr>
              <w:t>施工期固定</w:t>
            </w:r>
          </w:p>
          <w:p w14:paraId="4385E375">
            <w:pPr>
              <w:pStyle w:val="70"/>
              <w:rPr>
                <w:color w:val="000000" w:themeColor="text1"/>
                <w14:textFill>
                  <w14:solidFill>
                    <w14:schemeClr w14:val="tx1"/>
                  </w14:solidFill>
                </w14:textFill>
              </w:rPr>
            </w:pPr>
            <w:r>
              <w:rPr>
                <w:color w:val="000000" w:themeColor="text1"/>
                <w14:textFill>
                  <w14:solidFill>
                    <w14:schemeClr w14:val="tx1"/>
                  </w14:solidFill>
                </w14:textFill>
              </w:rPr>
              <w:t>设备降噪</w:t>
            </w:r>
          </w:p>
        </w:tc>
        <w:tc>
          <w:tcPr>
            <w:tcW w:w="1993" w:type="dxa"/>
            <w:tcMar>
              <w:left w:w="28" w:type="dxa"/>
              <w:right w:w="28" w:type="dxa"/>
            </w:tcMar>
            <w:vAlign w:val="center"/>
          </w:tcPr>
          <w:p w14:paraId="44626D6B">
            <w:pPr>
              <w:pStyle w:val="70"/>
              <w:rPr>
                <w:color w:val="000000" w:themeColor="text1"/>
                <w14:textFill>
                  <w14:solidFill>
                    <w14:schemeClr w14:val="tx1"/>
                  </w14:solidFill>
                </w14:textFill>
              </w:rPr>
            </w:pPr>
            <w:r>
              <w:rPr>
                <w:color w:val="000000" w:themeColor="text1"/>
                <w14:textFill>
                  <w14:solidFill>
                    <w14:schemeClr w14:val="tx1"/>
                  </w14:solidFill>
                </w14:textFill>
              </w:rPr>
              <w:t>隔声罩、防声耳塞、头盔</w:t>
            </w:r>
          </w:p>
        </w:tc>
        <w:tc>
          <w:tcPr>
            <w:tcW w:w="861" w:type="dxa"/>
            <w:tcMar>
              <w:left w:w="28" w:type="dxa"/>
              <w:right w:w="28" w:type="dxa"/>
            </w:tcMar>
            <w:vAlign w:val="center"/>
          </w:tcPr>
          <w:p w14:paraId="6F748A5C">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3</w:t>
            </w:r>
            <w:r>
              <w:rPr>
                <w:color w:val="000000" w:themeColor="text1"/>
                <w14:textFill>
                  <w14:solidFill>
                    <w14:schemeClr w14:val="tx1"/>
                  </w14:solidFill>
                </w14:textFill>
              </w:rPr>
              <w:t>.0</w:t>
            </w:r>
          </w:p>
        </w:tc>
        <w:tc>
          <w:tcPr>
            <w:tcW w:w="2216" w:type="dxa"/>
            <w:tcMar>
              <w:left w:w="28" w:type="dxa"/>
              <w:right w:w="28" w:type="dxa"/>
            </w:tcMar>
            <w:vAlign w:val="center"/>
          </w:tcPr>
          <w:p w14:paraId="3D14A769">
            <w:pPr>
              <w:pStyle w:val="70"/>
              <w:rPr>
                <w:color w:val="000000" w:themeColor="text1"/>
                <w14:textFill>
                  <w14:solidFill>
                    <w14:schemeClr w14:val="tx1"/>
                  </w14:solidFill>
                </w14:textFill>
              </w:rPr>
            </w:pPr>
            <w:r>
              <w:rPr>
                <w:color w:val="000000" w:themeColor="text1"/>
                <w14:textFill>
                  <w14:solidFill>
                    <w14:schemeClr w14:val="tx1"/>
                  </w14:solidFill>
                </w14:textFill>
              </w:rPr>
              <w:t>减轻施工期设备噪声对环境的负面影响</w:t>
            </w:r>
          </w:p>
        </w:tc>
        <w:tc>
          <w:tcPr>
            <w:tcW w:w="1145" w:type="dxa"/>
            <w:tcMar>
              <w:left w:w="28" w:type="dxa"/>
              <w:right w:w="28" w:type="dxa"/>
            </w:tcMar>
            <w:vAlign w:val="center"/>
          </w:tcPr>
          <w:p w14:paraId="0AB0091D">
            <w:pPr>
              <w:pStyle w:val="70"/>
              <w:rPr>
                <w:color w:val="000000" w:themeColor="text1"/>
                <w14:textFill>
                  <w14:solidFill>
                    <w14:schemeClr w14:val="tx1"/>
                  </w14:solidFill>
                </w14:textFill>
              </w:rPr>
            </w:pPr>
            <w:r>
              <w:rPr>
                <w:color w:val="000000" w:themeColor="text1"/>
                <w14:textFill>
                  <w14:solidFill>
                    <w14:schemeClr w14:val="tx1"/>
                  </w14:solidFill>
                </w14:textFill>
              </w:rPr>
              <w:t>新增</w:t>
            </w:r>
          </w:p>
        </w:tc>
      </w:tr>
      <w:tr w14:paraId="1FB77EE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657" w:type="dxa"/>
            <w:vMerge w:val="continue"/>
            <w:vAlign w:val="center"/>
          </w:tcPr>
          <w:p w14:paraId="377A980B">
            <w:pPr>
              <w:pStyle w:val="70"/>
              <w:rPr>
                <w:color w:val="000000" w:themeColor="text1"/>
                <w14:textFill>
                  <w14:solidFill>
                    <w14:schemeClr w14:val="tx1"/>
                  </w14:solidFill>
                </w14:textFill>
              </w:rPr>
            </w:pPr>
          </w:p>
        </w:tc>
        <w:tc>
          <w:tcPr>
            <w:tcW w:w="1404" w:type="dxa"/>
            <w:tcMar>
              <w:left w:w="28" w:type="dxa"/>
              <w:right w:w="28" w:type="dxa"/>
            </w:tcMar>
            <w:vAlign w:val="center"/>
          </w:tcPr>
          <w:p w14:paraId="5698EC37">
            <w:pPr>
              <w:pStyle w:val="70"/>
              <w:rPr>
                <w:color w:val="000000" w:themeColor="text1"/>
                <w14:textFill>
                  <w14:solidFill>
                    <w14:schemeClr w14:val="tx1"/>
                  </w14:solidFill>
                </w14:textFill>
              </w:rPr>
            </w:pPr>
            <w:r>
              <w:rPr>
                <w:color w:val="000000" w:themeColor="text1"/>
                <w14:textFill>
                  <w14:solidFill>
                    <w14:schemeClr w14:val="tx1"/>
                  </w14:solidFill>
                </w14:textFill>
              </w:rPr>
              <w:t>营运期固定</w:t>
            </w:r>
          </w:p>
          <w:p w14:paraId="7EF83B5C">
            <w:pPr>
              <w:pStyle w:val="70"/>
              <w:rPr>
                <w:color w:val="000000" w:themeColor="text1"/>
                <w14:textFill>
                  <w14:solidFill>
                    <w14:schemeClr w14:val="tx1"/>
                  </w14:solidFill>
                </w14:textFill>
              </w:rPr>
            </w:pPr>
            <w:r>
              <w:rPr>
                <w:color w:val="000000" w:themeColor="text1"/>
                <w14:textFill>
                  <w14:solidFill>
                    <w14:schemeClr w14:val="tx1"/>
                  </w14:solidFill>
                </w14:textFill>
              </w:rPr>
              <w:t>设备降噪</w:t>
            </w:r>
          </w:p>
        </w:tc>
        <w:tc>
          <w:tcPr>
            <w:tcW w:w="1993" w:type="dxa"/>
            <w:tcMar>
              <w:left w:w="28" w:type="dxa"/>
              <w:right w:w="28" w:type="dxa"/>
            </w:tcMar>
            <w:vAlign w:val="center"/>
          </w:tcPr>
          <w:p w14:paraId="68D0330C">
            <w:pPr>
              <w:pStyle w:val="70"/>
              <w:rPr>
                <w:color w:val="000000" w:themeColor="text1"/>
                <w14:textFill>
                  <w14:solidFill>
                    <w14:schemeClr w14:val="tx1"/>
                  </w14:solidFill>
                </w14:textFill>
              </w:rPr>
            </w:pPr>
            <w:r>
              <w:rPr>
                <w:color w:val="0000FF"/>
              </w:rPr>
              <w:t>消声</w:t>
            </w:r>
            <w:r>
              <w:rPr>
                <w:rFonts w:hint="eastAsia"/>
                <w:color w:val="0000FF"/>
                <w:lang w:val="en-US" w:eastAsia="zh-CN"/>
              </w:rPr>
              <w:t>垫</w:t>
            </w:r>
            <w:r>
              <w:rPr>
                <w:color w:val="0000FF"/>
              </w:rPr>
              <w:t>、隔声罩</w:t>
            </w:r>
            <w:r>
              <w:rPr>
                <w:color w:val="000000" w:themeColor="text1"/>
                <w14:textFill>
                  <w14:solidFill>
                    <w14:schemeClr w14:val="tx1"/>
                  </w14:solidFill>
                </w14:textFill>
              </w:rPr>
              <w:t xml:space="preserve"> </w:t>
            </w:r>
          </w:p>
        </w:tc>
        <w:tc>
          <w:tcPr>
            <w:tcW w:w="861" w:type="dxa"/>
            <w:tcMar>
              <w:left w:w="28" w:type="dxa"/>
              <w:right w:w="28" w:type="dxa"/>
            </w:tcMar>
            <w:vAlign w:val="center"/>
          </w:tcPr>
          <w:p w14:paraId="3708B66D">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3</w:t>
            </w:r>
            <w:r>
              <w:rPr>
                <w:color w:val="000000" w:themeColor="text1"/>
                <w14:textFill>
                  <w14:solidFill>
                    <w14:schemeClr w14:val="tx1"/>
                  </w14:solidFill>
                </w14:textFill>
              </w:rPr>
              <w:t>.0</w:t>
            </w:r>
          </w:p>
        </w:tc>
        <w:tc>
          <w:tcPr>
            <w:tcW w:w="2216" w:type="dxa"/>
            <w:tcMar>
              <w:left w:w="28" w:type="dxa"/>
              <w:right w:w="28" w:type="dxa"/>
            </w:tcMar>
            <w:vAlign w:val="center"/>
          </w:tcPr>
          <w:p w14:paraId="07CD9B98">
            <w:pPr>
              <w:pStyle w:val="70"/>
              <w:rPr>
                <w:color w:val="000000" w:themeColor="text1"/>
                <w14:textFill>
                  <w14:solidFill>
                    <w14:schemeClr w14:val="tx1"/>
                  </w14:solidFill>
                </w14:textFill>
              </w:rPr>
            </w:pPr>
            <w:r>
              <w:rPr>
                <w:color w:val="000000" w:themeColor="text1"/>
                <w14:textFill>
                  <w14:solidFill>
                    <w14:schemeClr w14:val="tx1"/>
                  </w14:solidFill>
                </w14:textFill>
              </w:rPr>
              <w:t>营运期降噪</w:t>
            </w:r>
          </w:p>
        </w:tc>
        <w:tc>
          <w:tcPr>
            <w:tcW w:w="1145" w:type="dxa"/>
            <w:tcMar>
              <w:left w:w="28" w:type="dxa"/>
              <w:right w:w="28" w:type="dxa"/>
            </w:tcMar>
            <w:vAlign w:val="center"/>
          </w:tcPr>
          <w:p w14:paraId="63958AF9">
            <w:pPr>
              <w:pStyle w:val="70"/>
              <w:rPr>
                <w:color w:val="000000" w:themeColor="text1"/>
                <w14:textFill>
                  <w14:solidFill>
                    <w14:schemeClr w14:val="tx1"/>
                  </w14:solidFill>
                </w14:textFill>
              </w:rPr>
            </w:pPr>
            <w:r>
              <w:rPr>
                <w:color w:val="000000" w:themeColor="text1"/>
                <w14:textFill>
                  <w14:solidFill>
                    <w14:schemeClr w14:val="tx1"/>
                  </w14:solidFill>
                </w14:textFill>
              </w:rPr>
              <w:t>新增</w:t>
            </w:r>
          </w:p>
        </w:tc>
      </w:tr>
      <w:tr w14:paraId="2CE538C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657" w:type="dxa"/>
            <w:vMerge w:val="restart"/>
            <w:vAlign w:val="center"/>
          </w:tcPr>
          <w:p w14:paraId="2FDA4EED">
            <w:pPr>
              <w:pStyle w:val="70"/>
              <w:rPr>
                <w:color w:val="000000" w:themeColor="text1"/>
                <w14:textFill>
                  <w14:solidFill>
                    <w14:schemeClr w14:val="tx1"/>
                  </w14:solidFill>
                </w14:textFill>
              </w:rPr>
            </w:pPr>
            <w:r>
              <w:rPr>
                <w:color w:val="000000" w:themeColor="text1"/>
                <w14:textFill>
                  <w14:solidFill>
                    <w14:schemeClr w14:val="tx1"/>
                  </w14:solidFill>
                </w14:textFill>
              </w:rPr>
              <w:t>废水</w:t>
            </w:r>
          </w:p>
        </w:tc>
        <w:tc>
          <w:tcPr>
            <w:tcW w:w="1404" w:type="dxa"/>
            <w:tcMar>
              <w:left w:w="28" w:type="dxa"/>
              <w:right w:w="28" w:type="dxa"/>
            </w:tcMar>
            <w:vAlign w:val="center"/>
          </w:tcPr>
          <w:p w14:paraId="2CE0785C">
            <w:pPr>
              <w:pStyle w:val="70"/>
              <w:rPr>
                <w:color w:val="000000" w:themeColor="text1"/>
                <w14:textFill>
                  <w14:solidFill>
                    <w14:schemeClr w14:val="tx1"/>
                  </w14:solidFill>
                </w14:textFill>
              </w:rPr>
            </w:pPr>
            <w:r>
              <w:rPr>
                <w:color w:val="000000" w:themeColor="text1"/>
                <w14:textFill>
                  <w14:solidFill>
                    <w14:schemeClr w14:val="tx1"/>
                  </w14:solidFill>
                </w14:textFill>
              </w:rPr>
              <w:t>试压废水</w:t>
            </w:r>
          </w:p>
        </w:tc>
        <w:tc>
          <w:tcPr>
            <w:tcW w:w="1993" w:type="dxa"/>
            <w:tcMar>
              <w:left w:w="28" w:type="dxa"/>
              <w:right w:w="28" w:type="dxa"/>
            </w:tcMar>
            <w:vAlign w:val="center"/>
          </w:tcPr>
          <w:p w14:paraId="32039FB8">
            <w:pPr>
              <w:pStyle w:val="70"/>
              <w:rPr>
                <w:color w:val="000000" w:themeColor="text1"/>
                <w14:textFill>
                  <w14:solidFill>
                    <w14:schemeClr w14:val="tx1"/>
                  </w14:solidFill>
                </w14:textFill>
              </w:rPr>
            </w:pPr>
            <w:r>
              <w:rPr>
                <w:color w:val="000000" w:themeColor="text1"/>
                <w14:textFill>
                  <w14:solidFill>
                    <w14:schemeClr w14:val="tx1"/>
                  </w14:solidFill>
                </w14:textFill>
              </w:rPr>
              <w:t>生产废水处理</w:t>
            </w:r>
          </w:p>
        </w:tc>
        <w:tc>
          <w:tcPr>
            <w:tcW w:w="861" w:type="dxa"/>
            <w:tcMar>
              <w:left w:w="28" w:type="dxa"/>
              <w:right w:w="28" w:type="dxa"/>
            </w:tcMar>
            <w:vAlign w:val="center"/>
          </w:tcPr>
          <w:p w14:paraId="143EFA82">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5</w:t>
            </w:r>
            <w:r>
              <w:rPr>
                <w:color w:val="000000" w:themeColor="text1"/>
                <w14:textFill>
                  <w14:solidFill>
                    <w14:schemeClr w14:val="tx1"/>
                  </w14:solidFill>
                </w14:textFill>
              </w:rPr>
              <w:t>.0</w:t>
            </w:r>
          </w:p>
        </w:tc>
        <w:tc>
          <w:tcPr>
            <w:tcW w:w="2216" w:type="dxa"/>
            <w:tcMar>
              <w:left w:w="28" w:type="dxa"/>
              <w:right w:w="28" w:type="dxa"/>
            </w:tcMar>
            <w:vAlign w:val="center"/>
          </w:tcPr>
          <w:p w14:paraId="71DAA928">
            <w:pPr>
              <w:pStyle w:val="70"/>
              <w:rPr>
                <w:color w:val="000000" w:themeColor="text1"/>
                <w14:textFill>
                  <w14:solidFill>
                    <w14:schemeClr w14:val="tx1"/>
                  </w14:solidFill>
                </w14:textFill>
              </w:rPr>
            </w:pPr>
            <w:r>
              <w:rPr>
                <w:color w:val="000000" w:themeColor="text1"/>
                <w14:textFill>
                  <w14:solidFill>
                    <w14:schemeClr w14:val="tx1"/>
                  </w14:solidFill>
                </w14:textFill>
              </w:rPr>
              <w:t>依托污水处理厂</w:t>
            </w:r>
          </w:p>
        </w:tc>
        <w:tc>
          <w:tcPr>
            <w:tcW w:w="1145" w:type="dxa"/>
            <w:tcMar>
              <w:left w:w="28" w:type="dxa"/>
              <w:right w:w="28" w:type="dxa"/>
            </w:tcMar>
            <w:vAlign w:val="center"/>
          </w:tcPr>
          <w:p w14:paraId="0F1349DE">
            <w:pPr>
              <w:pStyle w:val="70"/>
              <w:rPr>
                <w:color w:val="000000" w:themeColor="text1"/>
                <w14:textFill>
                  <w14:solidFill>
                    <w14:schemeClr w14:val="tx1"/>
                  </w14:solidFill>
                </w14:textFill>
              </w:rPr>
            </w:pPr>
            <w:r>
              <w:rPr>
                <w:color w:val="000000" w:themeColor="text1"/>
                <w14:textFill>
                  <w14:solidFill>
                    <w14:schemeClr w14:val="tx1"/>
                  </w14:solidFill>
                </w14:textFill>
              </w:rPr>
              <w:t>新增</w:t>
            </w:r>
          </w:p>
        </w:tc>
      </w:tr>
      <w:tr w14:paraId="6B9DB92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657" w:type="dxa"/>
            <w:vMerge w:val="continue"/>
            <w:vAlign w:val="center"/>
          </w:tcPr>
          <w:p w14:paraId="3BCFAFB6">
            <w:pPr>
              <w:pStyle w:val="70"/>
              <w:rPr>
                <w:color w:val="000000" w:themeColor="text1"/>
                <w14:textFill>
                  <w14:solidFill>
                    <w14:schemeClr w14:val="tx1"/>
                  </w14:solidFill>
                </w14:textFill>
              </w:rPr>
            </w:pPr>
          </w:p>
        </w:tc>
        <w:tc>
          <w:tcPr>
            <w:tcW w:w="1404" w:type="dxa"/>
            <w:tcMar>
              <w:left w:w="28" w:type="dxa"/>
              <w:right w:w="28" w:type="dxa"/>
            </w:tcMar>
            <w:vAlign w:val="center"/>
          </w:tcPr>
          <w:p w14:paraId="5A866848">
            <w:pPr>
              <w:pStyle w:val="70"/>
              <w:rPr>
                <w:color w:val="000000" w:themeColor="text1"/>
                <w14:textFill>
                  <w14:solidFill>
                    <w14:schemeClr w14:val="tx1"/>
                  </w14:solidFill>
                </w14:textFill>
              </w:rPr>
            </w:pPr>
            <w:r>
              <w:rPr>
                <w:color w:val="000000" w:themeColor="text1"/>
                <w14:textFill>
                  <w14:solidFill>
                    <w14:schemeClr w14:val="tx1"/>
                  </w14:solidFill>
                </w14:textFill>
              </w:rPr>
              <w:t>施工生活污水</w:t>
            </w:r>
          </w:p>
        </w:tc>
        <w:tc>
          <w:tcPr>
            <w:tcW w:w="1993" w:type="dxa"/>
            <w:tcMar>
              <w:left w:w="28" w:type="dxa"/>
              <w:right w:w="28" w:type="dxa"/>
            </w:tcMar>
            <w:vAlign w:val="center"/>
          </w:tcPr>
          <w:p w14:paraId="2BBCC319">
            <w:pPr>
              <w:pStyle w:val="70"/>
              <w:rPr>
                <w:color w:val="000000" w:themeColor="text1"/>
                <w14:textFill>
                  <w14:solidFill>
                    <w14:schemeClr w14:val="tx1"/>
                  </w14:solidFill>
                </w14:textFill>
              </w:rPr>
            </w:pPr>
            <w:r>
              <w:rPr>
                <w:color w:val="000000" w:themeColor="text1"/>
                <w14:textFill>
                  <w14:solidFill>
                    <w14:schemeClr w14:val="tx1"/>
                  </w14:solidFill>
                </w14:textFill>
              </w:rPr>
              <w:t xml:space="preserve">化粪池 </w:t>
            </w:r>
          </w:p>
        </w:tc>
        <w:tc>
          <w:tcPr>
            <w:tcW w:w="861" w:type="dxa"/>
            <w:tcMar>
              <w:left w:w="28" w:type="dxa"/>
              <w:right w:w="28" w:type="dxa"/>
            </w:tcMar>
            <w:vAlign w:val="center"/>
          </w:tcPr>
          <w:p w14:paraId="06A60DEA">
            <w:pPr>
              <w:pStyle w:val="70"/>
              <w:rPr>
                <w:color w:val="000000" w:themeColor="text1"/>
                <w14:textFill>
                  <w14:solidFill>
                    <w14:schemeClr w14:val="tx1"/>
                  </w14:solidFill>
                </w14:textFill>
              </w:rPr>
            </w:pPr>
            <w:r>
              <w:rPr>
                <w:color w:val="000000" w:themeColor="text1"/>
                <w14:textFill>
                  <w14:solidFill>
                    <w14:schemeClr w14:val="tx1"/>
                  </w14:solidFill>
                </w14:textFill>
              </w:rPr>
              <w:t>5.0</w:t>
            </w:r>
          </w:p>
        </w:tc>
        <w:tc>
          <w:tcPr>
            <w:tcW w:w="2216" w:type="dxa"/>
            <w:tcMar>
              <w:left w:w="28" w:type="dxa"/>
              <w:right w:w="28" w:type="dxa"/>
            </w:tcMar>
            <w:vAlign w:val="center"/>
          </w:tcPr>
          <w:p w14:paraId="7E942446">
            <w:pPr>
              <w:pStyle w:val="70"/>
              <w:rPr>
                <w:color w:val="000000" w:themeColor="text1"/>
                <w14:textFill>
                  <w14:solidFill>
                    <w14:schemeClr w14:val="tx1"/>
                  </w14:solidFill>
                </w14:textFill>
              </w:rPr>
            </w:pPr>
            <w:r>
              <w:rPr>
                <w:color w:val="000000" w:themeColor="text1"/>
                <w14:textFill>
                  <w14:solidFill>
                    <w14:schemeClr w14:val="tx1"/>
                  </w14:solidFill>
                </w14:textFill>
              </w:rPr>
              <w:t>施工生产废水处理后排放</w:t>
            </w:r>
          </w:p>
        </w:tc>
        <w:tc>
          <w:tcPr>
            <w:tcW w:w="1145" w:type="dxa"/>
            <w:tcMar>
              <w:left w:w="28" w:type="dxa"/>
              <w:right w:w="28" w:type="dxa"/>
            </w:tcMar>
            <w:vAlign w:val="center"/>
          </w:tcPr>
          <w:p w14:paraId="7D42A0B6">
            <w:pPr>
              <w:pStyle w:val="70"/>
              <w:rPr>
                <w:color w:val="000000" w:themeColor="text1"/>
                <w14:textFill>
                  <w14:solidFill>
                    <w14:schemeClr w14:val="tx1"/>
                  </w14:solidFill>
                </w14:textFill>
              </w:rPr>
            </w:pPr>
            <w:r>
              <w:rPr>
                <w:color w:val="000000" w:themeColor="text1"/>
                <w14:textFill>
                  <w14:solidFill>
                    <w14:schemeClr w14:val="tx1"/>
                  </w14:solidFill>
                </w14:textFill>
              </w:rPr>
              <w:t>新增</w:t>
            </w:r>
          </w:p>
        </w:tc>
      </w:tr>
      <w:tr w14:paraId="1F4CF40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657" w:type="dxa"/>
            <w:vMerge w:val="continue"/>
            <w:vAlign w:val="center"/>
          </w:tcPr>
          <w:p w14:paraId="61918509">
            <w:pPr>
              <w:pStyle w:val="70"/>
              <w:rPr>
                <w:color w:val="000000" w:themeColor="text1"/>
                <w14:textFill>
                  <w14:solidFill>
                    <w14:schemeClr w14:val="tx1"/>
                  </w14:solidFill>
                </w14:textFill>
              </w:rPr>
            </w:pPr>
          </w:p>
        </w:tc>
        <w:tc>
          <w:tcPr>
            <w:tcW w:w="1404" w:type="dxa"/>
            <w:tcMar>
              <w:left w:w="28" w:type="dxa"/>
              <w:right w:w="28" w:type="dxa"/>
            </w:tcMar>
            <w:vAlign w:val="center"/>
          </w:tcPr>
          <w:p w14:paraId="100E138B">
            <w:pPr>
              <w:pStyle w:val="70"/>
              <w:rPr>
                <w:color w:val="000000" w:themeColor="text1"/>
                <w14:textFill>
                  <w14:solidFill>
                    <w14:schemeClr w14:val="tx1"/>
                  </w14:solidFill>
                </w14:textFill>
              </w:rPr>
            </w:pPr>
            <w:r>
              <w:rPr>
                <w:color w:val="000000" w:themeColor="text1"/>
                <w14:textFill>
                  <w14:solidFill>
                    <w14:schemeClr w14:val="tx1"/>
                  </w14:solidFill>
                </w14:textFill>
              </w:rPr>
              <w:t>船舶废水</w:t>
            </w:r>
          </w:p>
        </w:tc>
        <w:tc>
          <w:tcPr>
            <w:tcW w:w="1993" w:type="dxa"/>
            <w:tcMar>
              <w:left w:w="28" w:type="dxa"/>
              <w:right w:w="28" w:type="dxa"/>
            </w:tcMar>
            <w:vAlign w:val="center"/>
          </w:tcPr>
          <w:p w14:paraId="17C96B5F">
            <w:pPr>
              <w:pStyle w:val="70"/>
              <w:rPr>
                <w:color w:val="000000" w:themeColor="text1"/>
                <w14:textFill>
                  <w14:solidFill>
                    <w14:schemeClr w14:val="tx1"/>
                  </w14:solidFill>
                </w14:textFill>
              </w:rPr>
            </w:pPr>
            <w:r>
              <w:rPr>
                <w:color w:val="000000" w:themeColor="text1"/>
                <w14:textFill>
                  <w14:solidFill>
                    <w14:schemeClr w14:val="tx1"/>
                  </w14:solidFill>
                </w14:textFill>
              </w:rPr>
              <w:t>船舶污水</w:t>
            </w:r>
          </w:p>
        </w:tc>
        <w:tc>
          <w:tcPr>
            <w:tcW w:w="861" w:type="dxa"/>
            <w:tcMar>
              <w:left w:w="28" w:type="dxa"/>
              <w:right w:w="28" w:type="dxa"/>
            </w:tcMar>
            <w:vAlign w:val="center"/>
          </w:tcPr>
          <w:p w14:paraId="12A41785">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10.0</w:t>
            </w:r>
          </w:p>
        </w:tc>
        <w:tc>
          <w:tcPr>
            <w:tcW w:w="2216" w:type="dxa"/>
            <w:tcMar>
              <w:left w:w="28" w:type="dxa"/>
              <w:right w:w="28" w:type="dxa"/>
            </w:tcMar>
            <w:vAlign w:val="center"/>
          </w:tcPr>
          <w:p w14:paraId="41B94B93">
            <w:pPr>
              <w:pStyle w:val="70"/>
              <w:rPr>
                <w:color w:val="000000" w:themeColor="text1"/>
                <w14:textFill>
                  <w14:solidFill>
                    <w14:schemeClr w14:val="tx1"/>
                  </w14:solidFill>
                </w14:textFill>
              </w:rPr>
            </w:pPr>
            <w:r>
              <w:rPr>
                <w:color w:val="000000" w:themeColor="text1"/>
                <w14:textFill>
                  <w14:solidFill>
                    <w14:schemeClr w14:val="tx1"/>
                  </w14:solidFill>
                </w14:textFill>
              </w:rPr>
              <w:t>委托有资质单位处置</w:t>
            </w:r>
          </w:p>
        </w:tc>
        <w:tc>
          <w:tcPr>
            <w:tcW w:w="1145" w:type="dxa"/>
            <w:tcMar>
              <w:left w:w="28" w:type="dxa"/>
              <w:right w:w="28" w:type="dxa"/>
            </w:tcMar>
            <w:vAlign w:val="center"/>
          </w:tcPr>
          <w:p w14:paraId="54CAF924">
            <w:pPr>
              <w:pStyle w:val="70"/>
              <w:rPr>
                <w:color w:val="000000" w:themeColor="text1"/>
                <w14:textFill>
                  <w14:solidFill>
                    <w14:schemeClr w14:val="tx1"/>
                  </w14:solidFill>
                </w14:textFill>
              </w:rPr>
            </w:pPr>
            <w:r>
              <w:rPr>
                <w:color w:val="000000" w:themeColor="text1"/>
                <w14:textFill>
                  <w14:solidFill>
                    <w14:schemeClr w14:val="tx1"/>
                  </w14:solidFill>
                </w14:textFill>
              </w:rPr>
              <w:t>新增</w:t>
            </w:r>
          </w:p>
        </w:tc>
      </w:tr>
      <w:tr w14:paraId="1D70923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657" w:type="dxa"/>
            <w:vMerge w:val="continue"/>
            <w:vAlign w:val="center"/>
          </w:tcPr>
          <w:p w14:paraId="657D9B41">
            <w:pPr>
              <w:pStyle w:val="70"/>
              <w:rPr>
                <w:color w:val="000000" w:themeColor="text1"/>
                <w14:textFill>
                  <w14:solidFill>
                    <w14:schemeClr w14:val="tx1"/>
                  </w14:solidFill>
                </w14:textFill>
              </w:rPr>
            </w:pPr>
          </w:p>
        </w:tc>
        <w:tc>
          <w:tcPr>
            <w:tcW w:w="1404" w:type="dxa"/>
            <w:tcMar>
              <w:left w:w="28" w:type="dxa"/>
              <w:right w:w="28" w:type="dxa"/>
            </w:tcMar>
            <w:vAlign w:val="center"/>
          </w:tcPr>
          <w:p w14:paraId="7E2F3611">
            <w:pPr>
              <w:pStyle w:val="70"/>
              <w:rPr>
                <w:color w:val="000000" w:themeColor="text1"/>
                <w14:textFill>
                  <w14:solidFill>
                    <w14:schemeClr w14:val="tx1"/>
                  </w14:solidFill>
                </w14:textFill>
              </w:rPr>
            </w:pPr>
            <w:r>
              <w:rPr>
                <w:color w:val="000000" w:themeColor="text1"/>
                <w14:textFill>
                  <w14:solidFill>
                    <w14:schemeClr w14:val="tx1"/>
                  </w14:solidFill>
                </w14:textFill>
              </w:rPr>
              <w:t>生产废水</w:t>
            </w:r>
          </w:p>
        </w:tc>
        <w:tc>
          <w:tcPr>
            <w:tcW w:w="1993" w:type="dxa"/>
            <w:tcMar>
              <w:left w:w="28" w:type="dxa"/>
              <w:right w:w="28" w:type="dxa"/>
            </w:tcMar>
            <w:vAlign w:val="center"/>
          </w:tcPr>
          <w:p w14:paraId="71DAB6AF">
            <w:pPr>
              <w:pStyle w:val="70"/>
              <w:rPr>
                <w:color w:val="000000" w:themeColor="text1"/>
                <w14:textFill>
                  <w14:solidFill>
                    <w14:schemeClr w14:val="tx1"/>
                  </w14:solidFill>
                </w14:textFill>
              </w:rPr>
            </w:pPr>
            <w:r>
              <w:rPr>
                <w:color w:val="000000" w:themeColor="text1"/>
                <w14:textFill>
                  <w14:solidFill>
                    <w14:schemeClr w14:val="tx1"/>
                  </w14:solidFill>
                </w14:textFill>
              </w:rPr>
              <w:t>初期雨水收集池及配套管沟</w:t>
            </w:r>
          </w:p>
        </w:tc>
        <w:tc>
          <w:tcPr>
            <w:tcW w:w="861" w:type="dxa"/>
            <w:tcMar>
              <w:left w:w="28" w:type="dxa"/>
              <w:right w:w="28" w:type="dxa"/>
            </w:tcMar>
            <w:vAlign w:val="center"/>
          </w:tcPr>
          <w:p w14:paraId="18330380">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216" w:type="dxa"/>
            <w:tcMar>
              <w:left w:w="28" w:type="dxa"/>
              <w:right w:w="28" w:type="dxa"/>
            </w:tcMar>
            <w:vAlign w:val="center"/>
          </w:tcPr>
          <w:p w14:paraId="3ABB6D46">
            <w:pPr>
              <w:pStyle w:val="70"/>
              <w:rPr>
                <w:color w:val="000000" w:themeColor="text1"/>
                <w14:textFill>
                  <w14:solidFill>
                    <w14:schemeClr w14:val="tx1"/>
                  </w14:solidFill>
                </w14:textFill>
              </w:rPr>
            </w:pPr>
            <w:r>
              <w:rPr>
                <w:color w:val="000000" w:themeColor="text1"/>
                <w14:textFill>
                  <w14:solidFill>
                    <w14:schemeClr w14:val="tx1"/>
                  </w14:solidFill>
                </w14:textFill>
              </w:rPr>
              <w:t>减轻水环境污染</w:t>
            </w:r>
          </w:p>
        </w:tc>
        <w:tc>
          <w:tcPr>
            <w:tcW w:w="1145" w:type="dxa"/>
            <w:tcMar>
              <w:left w:w="28" w:type="dxa"/>
              <w:right w:w="28" w:type="dxa"/>
            </w:tcMar>
            <w:vAlign w:val="center"/>
          </w:tcPr>
          <w:p w14:paraId="08A0945D">
            <w:pPr>
              <w:pStyle w:val="70"/>
              <w:rPr>
                <w:color w:val="000000" w:themeColor="text1"/>
                <w14:textFill>
                  <w14:solidFill>
                    <w14:schemeClr w14:val="tx1"/>
                  </w14:solidFill>
                </w14:textFill>
              </w:rPr>
            </w:pPr>
            <w:r>
              <w:rPr>
                <w:color w:val="000000" w:themeColor="text1"/>
                <w14:textFill>
                  <w14:solidFill>
                    <w14:schemeClr w14:val="tx1"/>
                  </w14:solidFill>
                </w14:textFill>
              </w:rPr>
              <w:t>依托</w:t>
            </w:r>
          </w:p>
        </w:tc>
      </w:tr>
      <w:tr w14:paraId="29634B9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69" w:hRule="atLeast"/>
          <w:jc w:val="center"/>
        </w:trPr>
        <w:tc>
          <w:tcPr>
            <w:tcW w:w="657" w:type="dxa"/>
            <w:vMerge w:val="restart"/>
            <w:vAlign w:val="center"/>
          </w:tcPr>
          <w:p w14:paraId="37F38DC1">
            <w:pPr>
              <w:pStyle w:val="70"/>
              <w:rPr>
                <w:color w:val="000000" w:themeColor="text1"/>
                <w14:textFill>
                  <w14:solidFill>
                    <w14:schemeClr w14:val="tx1"/>
                  </w14:solidFill>
                </w14:textFill>
              </w:rPr>
            </w:pPr>
            <w:r>
              <w:rPr>
                <w:color w:val="000000" w:themeColor="text1"/>
                <w14:textFill>
                  <w14:solidFill>
                    <w14:schemeClr w14:val="tx1"/>
                  </w14:solidFill>
                </w14:textFill>
              </w:rPr>
              <w:t>固废</w:t>
            </w:r>
          </w:p>
        </w:tc>
        <w:tc>
          <w:tcPr>
            <w:tcW w:w="1404" w:type="dxa"/>
            <w:tcMar>
              <w:left w:w="28" w:type="dxa"/>
              <w:right w:w="28" w:type="dxa"/>
            </w:tcMar>
            <w:vAlign w:val="center"/>
          </w:tcPr>
          <w:p w14:paraId="5030B967">
            <w:pPr>
              <w:pStyle w:val="70"/>
              <w:rPr>
                <w:color w:val="000000" w:themeColor="text1"/>
                <w14:textFill>
                  <w14:solidFill>
                    <w14:schemeClr w14:val="tx1"/>
                  </w14:solidFill>
                </w14:textFill>
              </w:rPr>
            </w:pPr>
            <w:r>
              <w:rPr>
                <w:color w:val="000000" w:themeColor="text1"/>
                <w14:textFill>
                  <w14:solidFill>
                    <w14:schemeClr w14:val="tx1"/>
                  </w14:solidFill>
                </w14:textFill>
              </w:rPr>
              <w:t>施工垃圾清运</w:t>
            </w:r>
          </w:p>
        </w:tc>
        <w:tc>
          <w:tcPr>
            <w:tcW w:w="1993" w:type="dxa"/>
            <w:tcMar>
              <w:left w:w="28" w:type="dxa"/>
              <w:right w:w="28" w:type="dxa"/>
            </w:tcMar>
            <w:vAlign w:val="center"/>
          </w:tcPr>
          <w:p w14:paraId="3AE94E9F">
            <w:pPr>
              <w:pStyle w:val="70"/>
              <w:rPr>
                <w:color w:val="000000" w:themeColor="text1"/>
                <w14:textFill>
                  <w14:solidFill>
                    <w14:schemeClr w14:val="tx1"/>
                  </w14:solidFill>
                </w14:textFill>
              </w:rPr>
            </w:pPr>
            <w:r>
              <w:rPr>
                <w:color w:val="000000" w:themeColor="text1"/>
                <w14:textFill>
                  <w14:solidFill>
                    <w14:schemeClr w14:val="tx1"/>
                  </w14:solidFill>
                </w14:textFill>
              </w:rPr>
              <w:t>施工垃圾清运</w:t>
            </w:r>
          </w:p>
        </w:tc>
        <w:tc>
          <w:tcPr>
            <w:tcW w:w="861" w:type="dxa"/>
            <w:tcMar>
              <w:left w:w="28" w:type="dxa"/>
              <w:right w:w="28" w:type="dxa"/>
            </w:tcMar>
            <w:vAlign w:val="center"/>
          </w:tcPr>
          <w:p w14:paraId="419DE881">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3</w:t>
            </w:r>
            <w:r>
              <w:rPr>
                <w:color w:val="000000" w:themeColor="text1"/>
                <w14:textFill>
                  <w14:solidFill>
                    <w14:schemeClr w14:val="tx1"/>
                  </w14:solidFill>
                </w14:textFill>
              </w:rPr>
              <w:t>.0</w:t>
            </w:r>
          </w:p>
        </w:tc>
        <w:tc>
          <w:tcPr>
            <w:tcW w:w="2216" w:type="dxa"/>
            <w:vMerge w:val="restart"/>
            <w:tcMar>
              <w:left w:w="28" w:type="dxa"/>
              <w:right w:w="28" w:type="dxa"/>
            </w:tcMar>
            <w:vAlign w:val="center"/>
          </w:tcPr>
          <w:p w14:paraId="374542B3">
            <w:pPr>
              <w:pStyle w:val="70"/>
              <w:rPr>
                <w:color w:val="000000" w:themeColor="text1"/>
                <w14:textFill>
                  <w14:solidFill>
                    <w14:schemeClr w14:val="tx1"/>
                  </w14:solidFill>
                </w14:textFill>
              </w:rPr>
            </w:pPr>
            <w:r>
              <w:rPr>
                <w:color w:val="000000" w:themeColor="text1"/>
                <w14:textFill>
                  <w14:solidFill>
                    <w14:schemeClr w14:val="tx1"/>
                  </w14:solidFill>
                </w14:textFill>
              </w:rPr>
              <w:t>避免垃圾、废油等随意丢弃，影响景观</w:t>
            </w:r>
          </w:p>
        </w:tc>
        <w:tc>
          <w:tcPr>
            <w:tcW w:w="1145" w:type="dxa"/>
            <w:vMerge w:val="restart"/>
            <w:tcMar>
              <w:left w:w="28" w:type="dxa"/>
              <w:right w:w="28" w:type="dxa"/>
            </w:tcMar>
            <w:vAlign w:val="center"/>
          </w:tcPr>
          <w:p w14:paraId="058A1511">
            <w:pPr>
              <w:pStyle w:val="70"/>
              <w:rPr>
                <w:color w:val="000000" w:themeColor="text1"/>
                <w14:textFill>
                  <w14:solidFill>
                    <w14:schemeClr w14:val="tx1"/>
                  </w14:solidFill>
                </w14:textFill>
              </w:rPr>
            </w:pPr>
            <w:r>
              <w:rPr>
                <w:color w:val="000000" w:themeColor="text1"/>
                <w14:textFill>
                  <w14:solidFill>
                    <w14:schemeClr w14:val="tx1"/>
                  </w14:solidFill>
                </w14:textFill>
              </w:rPr>
              <w:t>新增</w:t>
            </w:r>
          </w:p>
        </w:tc>
      </w:tr>
      <w:tr w14:paraId="7720E4B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657" w:type="dxa"/>
            <w:vMerge w:val="continue"/>
            <w:vAlign w:val="center"/>
          </w:tcPr>
          <w:p w14:paraId="4F595B35">
            <w:pPr>
              <w:pStyle w:val="70"/>
              <w:rPr>
                <w:color w:val="000000" w:themeColor="text1"/>
                <w14:textFill>
                  <w14:solidFill>
                    <w14:schemeClr w14:val="tx1"/>
                  </w14:solidFill>
                </w14:textFill>
              </w:rPr>
            </w:pPr>
          </w:p>
        </w:tc>
        <w:tc>
          <w:tcPr>
            <w:tcW w:w="1404" w:type="dxa"/>
            <w:tcMar>
              <w:left w:w="28" w:type="dxa"/>
              <w:right w:w="28" w:type="dxa"/>
            </w:tcMar>
            <w:vAlign w:val="center"/>
          </w:tcPr>
          <w:p w14:paraId="254F07F0">
            <w:pPr>
              <w:pStyle w:val="70"/>
              <w:rPr>
                <w:color w:val="000000" w:themeColor="text1"/>
                <w14:textFill>
                  <w14:solidFill>
                    <w14:schemeClr w14:val="tx1"/>
                  </w14:solidFill>
                </w14:textFill>
              </w:rPr>
            </w:pPr>
            <w:r>
              <w:rPr>
                <w:color w:val="000000" w:themeColor="text1"/>
                <w14:textFill>
                  <w14:solidFill>
                    <w14:schemeClr w14:val="tx1"/>
                  </w14:solidFill>
                </w14:textFill>
              </w:rPr>
              <w:t>营运期一般垃圾收集</w:t>
            </w:r>
          </w:p>
        </w:tc>
        <w:tc>
          <w:tcPr>
            <w:tcW w:w="1993" w:type="dxa"/>
            <w:tcMar>
              <w:left w:w="28" w:type="dxa"/>
              <w:right w:w="28" w:type="dxa"/>
            </w:tcMar>
            <w:vAlign w:val="center"/>
          </w:tcPr>
          <w:p w14:paraId="082CA970">
            <w:pPr>
              <w:pStyle w:val="70"/>
              <w:rPr>
                <w:color w:val="000000" w:themeColor="text1"/>
                <w14:textFill>
                  <w14:solidFill>
                    <w14:schemeClr w14:val="tx1"/>
                  </w14:solidFill>
                </w14:textFill>
              </w:rPr>
            </w:pPr>
            <w:r>
              <w:rPr>
                <w:color w:val="000000" w:themeColor="text1"/>
                <w14:textFill>
                  <w14:solidFill>
                    <w14:schemeClr w14:val="tx1"/>
                  </w14:solidFill>
                </w14:textFill>
              </w:rPr>
              <w:t>垃圾桶，垃圾清运</w:t>
            </w:r>
          </w:p>
        </w:tc>
        <w:tc>
          <w:tcPr>
            <w:tcW w:w="861" w:type="dxa"/>
            <w:tcMar>
              <w:left w:w="28" w:type="dxa"/>
              <w:right w:w="28" w:type="dxa"/>
            </w:tcMar>
            <w:vAlign w:val="center"/>
          </w:tcPr>
          <w:p w14:paraId="288A2107">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5</w:t>
            </w:r>
            <w:r>
              <w:rPr>
                <w:color w:val="000000" w:themeColor="text1"/>
                <w14:textFill>
                  <w14:solidFill>
                    <w14:schemeClr w14:val="tx1"/>
                  </w14:solidFill>
                </w14:textFill>
              </w:rPr>
              <w:t>.0</w:t>
            </w:r>
          </w:p>
        </w:tc>
        <w:tc>
          <w:tcPr>
            <w:tcW w:w="2216" w:type="dxa"/>
            <w:vMerge w:val="continue"/>
            <w:tcMar>
              <w:left w:w="28" w:type="dxa"/>
              <w:right w:w="28" w:type="dxa"/>
            </w:tcMar>
            <w:vAlign w:val="center"/>
          </w:tcPr>
          <w:p w14:paraId="3259229E">
            <w:pPr>
              <w:pStyle w:val="70"/>
              <w:rPr>
                <w:color w:val="000000" w:themeColor="text1"/>
                <w14:textFill>
                  <w14:solidFill>
                    <w14:schemeClr w14:val="tx1"/>
                  </w14:solidFill>
                </w14:textFill>
              </w:rPr>
            </w:pPr>
          </w:p>
        </w:tc>
        <w:tc>
          <w:tcPr>
            <w:tcW w:w="1145" w:type="dxa"/>
            <w:vMerge w:val="continue"/>
            <w:tcMar>
              <w:left w:w="28" w:type="dxa"/>
              <w:right w:w="28" w:type="dxa"/>
            </w:tcMar>
            <w:vAlign w:val="center"/>
          </w:tcPr>
          <w:p w14:paraId="0DB457CF">
            <w:pPr>
              <w:pStyle w:val="70"/>
              <w:rPr>
                <w:color w:val="000000" w:themeColor="text1"/>
                <w14:textFill>
                  <w14:solidFill>
                    <w14:schemeClr w14:val="tx1"/>
                  </w14:solidFill>
                </w14:textFill>
              </w:rPr>
            </w:pPr>
          </w:p>
        </w:tc>
      </w:tr>
      <w:tr w14:paraId="2200446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6" w:hRule="atLeast"/>
          <w:jc w:val="center"/>
        </w:trPr>
        <w:tc>
          <w:tcPr>
            <w:tcW w:w="657" w:type="dxa"/>
            <w:vMerge w:val="continue"/>
            <w:vAlign w:val="center"/>
          </w:tcPr>
          <w:p w14:paraId="0AF7011D">
            <w:pPr>
              <w:pStyle w:val="70"/>
              <w:rPr>
                <w:color w:val="000000" w:themeColor="text1"/>
                <w14:textFill>
                  <w14:solidFill>
                    <w14:schemeClr w14:val="tx1"/>
                  </w14:solidFill>
                </w14:textFill>
              </w:rPr>
            </w:pPr>
          </w:p>
        </w:tc>
        <w:tc>
          <w:tcPr>
            <w:tcW w:w="1404" w:type="dxa"/>
            <w:tcMar>
              <w:left w:w="28" w:type="dxa"/>
              <w:right w:w="28" w:type="dxa"/>
            </w:tcMar>
            <w:vAlign w:val="center"/>
          </w:tcPr>
          <w:p w14:paraId="584439A9">
            <w:pPr>
              <w:pStyle w:val="70"/>
              <w:rPr>
                <w:color w:val="000000" w:themeColor="text1"/>
                <w14:textFill>
                  <w14:solidFill>
                    <w14:schemeClr w14:val="tx1"/>
                  </w14:solidFill>
                </w14:textFill>
              </w:rPr>
            </w:pPr>
            <w:r>
              <w:rPr>
                <w:color w:val="000000" w:themeColor="text1"/>
                <w14:textFill>
                  <w14:solidFill>
                    <w14:schemeClr w14:val="tx1"/>
                  </w14:solidFill>
                </w14:textFill>
              </w:rPr>
              <w:t>危废</w:t>
            </w:r>
          </w:p>
        </w:tc>
        <w:tc>
          <w:tcPr>
            <w:tcW w:w="1993" w:type="dxa"/>
            <w:tcMar>
              <w:left w:w="28" w:type="dxa"/>
              <w:right w:w="28" w:type="dxa"/>
            </w:tcMar>
            <w:vAlign w:val="center"/>
          </w:tcPr>
          <w:p w14:paraId="02FDEF3E">
            <w:pPr>
              <w:pStyle w:val="70"/>
              <w:rPr>
                <w:color w:val="000000" w:themeColor="text1"/>
                <w14:textFill>
                  <w14:solidFill>
                    <w14:schemeClr w14:val="tx1"/>
                  </w14:solidFill>
                </w14:textFill>
              </w:rPr>
            </w:pPr>
            <w:r>
              <w:rPr>
                <w:color w:val="000000" w:themeColor="text1"/>
                <w14:textFill>
                  <w14:solidFill>
                    <w14:schemeClr w14:val="tx1"/>
                  </w14:solidFill>
                </w14:textFill>
              </w:rPr>
              <w:t>危废贮存间</w:t>
            </w:r>
          </w:p>
        </w:tc>
        <w:tc>
          <w:tcPr>
            <w:tcW w:w="861" w:type="dxa"/>
            <w:tcMar>
              <w:left w:w="28" w:type="dxa"/>
              <w:right w:w="28" w:type="dxa"/>
            </w:tcMar>
            <w:vAlign w:val="center"/>
          </w:tcPr>
          <w:p w14:paraId="1E77745E">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216" w:type="dxa"/>
            <w:tcMar>
              <w:left w:w="28" w:type="dxa"/>
              <w:right w:w="28" w:type="dxa"/>
            </w:tcMar>
            <w:vAlign w:val="center"/>
          </w:tcPr>
          <w:p w14:paraId="093DD442">
            <w:pPr>
              <w:pStyle w:val="70"/>
              <w:rPr>
                <w:color w:val="000000" w:themeColor="text1"/>
                <w14:textFill>
                  <w14:solidFill>
                    <w14:schemeClr w14:val="tx1"/>
                  </w14:solidFill>
                </w14:textFill>
              </w:rPr>
            </w:pPr>
            <w:r>
              <w:rPr>
                <w:color w:val="000000" w:themeColor="text1"/>
                <w14:textFill>
                  <w14:solidFill>
                    <w14:schemeClr w14:val="tx1"/>
                  </w14:solidFill>
                </w14:textFill>
              </w:rPr>
              <w:t>避免危废影响环境</w:t>
            </w:r>
          </w:p>
        </w:tc>
        <w:tc>
          <w:tcPr>
            <w:tcW w:w="1145" w:type="dxa"/>
            <w:tcMar>
              <w:left w:w="28" w:type="dxa"/>
              <w:right w:w="28" w:type="dxa"/>
            </w:tcMar>
            <w:vAlign w:val="center"/>
          </w:tcPr>
          <w:p w14:paraId="7AEACDBE">
            <w:pPr>
              <w:pStyle w:val="70"/>
              <w:rPr>
                <w:color w:val="000000" w:themeColor="text1"/>
                <w14:textFill>
                  <w14:solidFill>
                    <w14:schemeClr w14:val="tx1"/>
                  </w14:solidFill>
                </w14:textFill>
              </w:rPr>
            </w:pPr>
            <w:r>
              <w:rPr>
                <w:color w:val="000000" w:themeColor="text1"/>
                <w14:textFill>
                  <w14:solidFill>
                    <w14:schemeClr w14:val="tx1"/>
                  </w14:solidFill>
                </w14:textFill>
              </w:rPr>
              <w:t>依托</w:t>
            </w:r>
          </w:p>
        </w:tc>
      </w:tr>
      <w:tr w14:paraId="5888BB3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657" w:type="dxa"/>
            <w:vMerge w:val="restart"/>
            <w:vAlign w:val="center"/>
          </w:tcPr>
          <w:p w14:paraId="017815E5">
            <w:pPr>
              <w:pStyle w:val="70"/>
              <w:rPr>
                <w:color w:val="000000" w:themeColor="text1"/>
                <w14:textFill>
                  <w14:solidFill>
                    <w14:schemeClr w14:val="tx1"/>
                  </w14:solidFill>
                </w14:textFill>
              </w:rPr>
            </w:pPr>
            <w:r>
              <w:rPr>
                <w:color w:val="000000" w:themeColor="text1"/>
                <w14:textFill>
                  <w14:solidFill>
                    <w14:schemeClr w14:val="tx1"/>
                  </w14:solidFill>
                </w14:textFill>
              </w:rPr>
              <w:t>风险防范</w:t>
            </w:r>
          </w:p>
        </w:tc>
        <w:tc>
          <w:tcPr>
            <w:tcW w:w="1404" w:type="dxa"/>
            <w:tcMar>
              <w:left w:w="28" w:type="dxa"/>
              <w:right w:w="28" w:type="dxa"/>
            </w:tcMar>
            <w:vAlign w:val="center"/>
          </w:tcPr>
          <w:p w14:paraId="5D324E6C">
            <w:pPr>
              <w:pStyle w:val="70"/>
              <w:rPr>
                <w:color w:val="000000" w:themeColor="text1"/>
                <w14:textFill>
                  <w14:solidFill>
                    <w14:schemeClr w14:val="tx1"/>
                  </w14:solidFill>
                </w14:textFill>
              </w:rPr>
            </w:pPr>
            <w:r>
              <w:rPr>
                <w:color w:val="000000" w:themeColor="text1"/>
                <w14:textFill>
                  <w14:solidFill>
                    <w14:schemeClr w14:val="tx1"/>
                  </w14:solidFill>
                </w14:textFill>
              </w:rPr>
              <w:t>溢液事故应急设备</w:t>
            </w:r>
          </w:p>
        </w:tc>
        <w:tc>
          <w:tcPr>
            <w:tcW w:w="1993" w:type="dxa"/>
            <w:tcMar>
              <w:left w:w="28" w:type="dxa"/>
              <w:right w:w="28" w:type="dxa"/>
            </w:tcMar>
            <w:vAlign w:val="center"/>
          </w:tcPr>
          <w:p w14:paraId="71BBA424">
            <w:pPr>
              <w:pStyle w:val="70"/>
              <w:rPr>
                <w:color w:val="000000" w:themeColor="text1"/>
                <w14:textFill>
                  <w14:solidFill>
                    <w14:schemeClr w14:val="tx1"/>
                  </w14:solidFill>
                </w14:textFill>
              </w:rPr>
            </w:pPr>
            <w:r>
              <w:rPr>
                <w:color w:val="000000" w:themeColor="text1"/>
                <w14:textFill>
                  <w14:solidFill>
                    <w14:schemeClr w14:val="tx1"/>
                  </w14:solidFill>
                </w14:textFill>
              </w:rPr>
              <w:t>围油栏、收油机等相应风险应急设施等</w:t>
            </w:r>
          </w:p>
        </w:tc>
        <w:tc>
          <w:tcPr>
            <w:tcW w:w="861" w:type="dxa"/>
            <w:tcMar>
              <w:left w:w="28" w:type="dxa"/>
              <w:right w:w="28" w:type="dxa"/>
            </w:tcMar>
            <w:vAlign w:val="center"/>
          </w:tcPr>
          <w:p w14:paraId="4F19E186">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216" w:type="dxa"/>
            <w:tcMar>
              <w:left w:w="28" w:type="dxa"/>
              <w:right w:w="28" w:type="dxa"/>
            </w:tcMar>
            <w:vAlign w:val="center"/>
          </w:tcPr>
          <w:p w14:paraId="3DF8D1B1">
            <w:pPr>
              <w:pStyle w:val="70"/>
              <w:rPr>
                <w:color w:val="000000" w:themeColor="text1"/>
                <w14:textFill>
                  <w14:solidFill>
                    <w14:schemeClr w14:val="tx1"/>
                  </w14:solidFill>
                </w14:textFill>
              </w:rPr>
            </w:pPr>
            <w:r>
              <w:rPr>
                <w:color w:val="000000" w:themeColor="text1"/>
                <w14:textFill>
                  <w14:solidFill>
                    <w14:schemeClr w14:val="tx1"/>
                  </w14:solidFill>
                </w14:textFill>
              </w:rPr>
              <w:t>防范事故溢液对海域环境影响</w:t>
            </w:r>
          </w:p>
        </w:tc>
        <w:tc>
          <w:tcPr>
            <w:tcW w:w="1145" w:type="dxa"/>
            <w:tcMar>
              <w:left w:w="28" w:type="dxa"/>
              <w:right w:w="28" w:type="dxa"/>
            </w:tcMar>
            <w:vAlign w:val="center"/>
          </w:tcPr>
          <w:p w14:paraId="20C8F292">
            <w:pPr>
              <w:pStyle w:val="70"/>
              <w:rPr>
                <w:color w:val="000000" w:themeColor="text1"/>
                <w14:textFill>
                  <w14:solidFill>
                    <w14:schemeClr w14:val="tx1"/>
                  </w14:solidFill>
                </w14:textFill>
              </w:rPr>
            </w:pPr>
            <w:r>
              <w:rPr>
                <w:color w:val="000000" w:themeColor="text1"/>
                <w14:textFill>
                  <w14:solidFill>
                    <w14:schemeClr w14:val="tx1"/>
                  </w14:solidFill>
                </w14:textFill>
              </w:rPr>
              <w:t>依托现有</w:t>
            </w:r>
          </w:p>
        </w:tc>
      </w:tr>
      <w:tr w14:paraId="21E20DA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657" w:type="dxa"/>
            <w:vMerge w:val="continue"/>
            <w:vAlign w:val="center"/>
          </w:tcPr>
          <w:p w14:paraId="7B5C2A83">
            <w:pPr>
              <w:pStyle w:val="70"/>
              <w:rPr>
                <w:bCs/>
                <w:color w:val="000000" w:themeColor="text1"/>
                <w14:textFill>
                  <w14:solidFill>
                    <w14:schemeClr w14:val="tx1"/>
                  </w14:solidFill>
                </w14:textFill>
              </w:rPr>
            </w:pPr>
          </w:p>
        </w:tc>
        <w:tc>
          <w:tcPr>
            <w:tcW w:w="1404" w:type="dxa"/>
            <w:tcMar>
              <w:left w:w="28" w:type="dxa"/>
              <w:right w:w="28" w:type="dxa"/>
            </w:tcMar>
            <w:vAlign w:val="center"/>
          </w:tcPr>
          <w:p w14:paraId="0AE6DACB">
            <w:pPr>
              <w:pStyle w:val="70"/>
              <w:rPr>
                <w:color w:val="000000" w:themeColor="text1"/>
                <w14:textFill>
                  <w14:solidFill>
                    <w14:schemeClr w14:val="tx1"/>
                  </w14:solidFill>
                </w14:textFill>
              </w:rPr>
            </w:pPr>
            <w:r>
              <w:rPr>
                <w:color w:val="000000" w:themeColor="text1"/>
                <w14:textFill>
                  <w14:solidFill>
                    <w14:schemeClr w14:val="tx1"/>
                  </w14:solidFill>
                </w14:textFill>
              </w:rPr>
              <w:t>事故池</w:t>
            </w:r>
          </w:p>
        </w:tc>
        <w:tc>
          <w:tcPr>
            <w:tcW w:w="1993" w:type="dxa"/>
            <w:tcMar>
              <w:left w:w="28" w:type="dxa"/>
              <w:right w:w="28" w:type="dxa"/>
            </w:tcMar>
            <w:vAlign w:val="center"/>
          </w:tcPr>
          <w:p w14:paraId="670B6BA3">
            <w:pPr>
              <w:pStyle w:val="70"/>
              <w:rPr>
                <w:color w:val="000000" w:themeColor="text1"/>
                <w14:textFill>
                  <w14:solidFill>
                    <w14:schemeClr w14:val="tx1"/>
                  </w14:solidFill>
                </w14:textFill>
              </w:rPr>
            </w:pPr>
            <w:r>
              <w:rPr>
                <w:color w:val="000000" w:themeColor="text1"/>
                <w14:textFill>
                  <w14:solidFill>
                    <w14:schemeClr w14:val="tx1"/>
                  </w14:solidFill>
                </w14:textFill>
              </w:rPr>
              <w:t>事故池</w:t>
            </w:r>
          </w:p>
        </w:tc>
        <w:tc>
          <w:tcPr>
            <w:tcW w:w="861" w:type="dxa"/>
            <w:tcMar>
              <w:left w:w="28" w:type="dxa"/>
              <w:right w:w="28" w:type="dxa"/>
            </w:tcMar>
            <w:vAlign w:val="center"/>
          </w:tcPr>
          <w:p w14:paraId="5C52A1B8">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216" w:type="dxa"/>
            <w:tcMar>
              <w:left w:w="28" w:type="dxa"/>
              <w:right w:w="28" w:type="dxa"/>
            </w:tcMar>
            <w:vAlign w:val="center"/>
          </w:tcPr>
          <w:p w14:paraId="23D36E29">
            <w:pPr>
              <w:pStyle w:val="70"/>
              <w:rPr>
                <w:color w:val="000000" w:themeColor="text1"/>
                <w14:textFill>
                  <w14:solidFill>
                    <w14:schemeClr w14:val="tx1"/>
                  </w14:solidFill>
                </w14:textFill>
              </w:rPr>
            </w:pPr>
            <w:r>
              <w:rPr>
                <w:color w:val="000000" w:themeColor="text1"/>
                <w14:textFill>
                  <w14:solidFill>
                    <w14:schemeClr w14:val="tx1"/>
                  </w14:solidFill>
                </w14:textFill>
              </w:rPr>
              <w:t>防范事故溢液对海域环境影响</w:t>
            </w:r>
          </w:p>
        </w:tc>
        <w:tc>
          <w:tcPr>
            <w:tcW w:w="1145" w:type="dxa"/>
            <w:tcMar>
              <w:left w:w="28" w:type="dxa"/>
              <w:right w:w="28" w:type="dxa"/>
            </w:tcMar>
            <w:vAlign w:val="center"/>
          </w:tcPr>
          <w:p w14:paraId="26E34AFA">
            <w:pPr>
              <w:pStyle w:val="70"/>
              <w:rPr>
                <w:color w:val="000000" w:themeColor="text1"/>
                <w14:textFill>
                  <w14:solidFill>
                    <w14:schemeClr w14:val="tx1"/>
                  </w14:solidFill>
                </w14:textFill>
              </w:rPr>
            </w:pPr>
            <w:r>
              <w:rPr>
                <w:color w:val="000000" w:themeColor="text1"/>
                <w14:textFill>
                  <w14:solidFill>
                    <w14:schemeClr w14:val="tx1"/>
                  </w14:solidFill>
                </w14:textFill>
              </w:rPr>
              <w:t>依托现有</w:t>
            </w:r>
          </w:p>
        </w:tc>
      </w:tr>
      <w:tr w14:paraId="1D8C8CE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657" w:type="dxa"/>
            <w:vMerge w:val="restart"/>
            <w:vAlign w:val="center"/>
          </w:tcPr>
          <w:p w14:paraId="78D05961">
            <w:pPr>
              <w:pStyle w:val="70"/>
              <w:rPr>
                <w:color w:val="000000" w:themeColor="text1"/>
                <w14:textFill>
                  <w14:solidFill>
                    <w14:schemeClr w14:val="tx1"/>
                  </w14:solidFill>
                </w14:textFill>
              </w:rPr>
            </w:pPr>
            <w:r>
              <w:rPr>
                <w:color w:val="000000" w:themeColor="text1"/>
                <w14:textFill>
                  <w14:solidFill>
                    <w14:schemeClr w14:val="tx1"/>
                  </w14:solidFill>
                </w14:textFill>
              </w:rPr>
              <w:t>环境管理</w:t>
            </w:r>
          </w:p>
        </w:tc>
        <w:tc>
          <w:tcPr>
            <w:tcW w:w="1404" w:type="dxa"/>
            <w:tcMar>
              <w:left w:w="28" w:type="dxa"/>
              <w:right w:w="28" w:type="dxa"/>
            </w:tcMar>
            <w:vAlign w:val="center"/>
          </w:tcPr>
          <w:p w14:paraId="2C44822D">
            <w:pPr>
              <w:pStyle w:val="70"/>
              <w:rPr>
                <w:color w:val="000000" w:themeColor="text1"/>
                <w14:textFill>
                  <w14:solidFill>
                    <w14:schemeClr w14:val="tx1"/>
                  </w14:solidFill>
                </w14:textFill>
              </w:rPr>
            </w:pPr>
            <w:r>
              <w:rPr>
                <w:color w:val="000000" w:themeColor="text1"/>
                <w14:textFill>
                  <w14:solidFill>
                    <w14:schemeClr w14:val="tx1"/>
                  </w14:solidFill>
                </w14:textFill>
              </w:rPr>
              <w:t>施工期</w:t>
            </w:r>
          </w:p>
          <w:p w14:paraId="05D6E09C">
            <w:pPr>
              <w:pStyle w:val="70"/>
              <w:rPr>
                <w:color w:val="000000" w:themeColor="text1"/>
                <w14:textFill>
                  <w14:solidFill>
                    <w14:schemeClr w14:val="tx1"/>
                  </w14:solidFill>
                </w14:textFill>
              </w:rPr>
            </w:pPr>
            <w:r>
              <w:rPr>
                <w:color w:val="000000" w:themeColor="text1"/>
                <w14:textFill>
                  <w14:solidFill>
                    <w14:schemeClr w14:val="tx1"/>
                  </w14:solidFill>
                </w14:textFill>
              </w:rPr>
              <w:t>环境监测</w:t>
            </w:r>
          </w:p>
        </w:tc>
        <w:tc>
          <w:tcPr>
            <w:tcW w:w="1993" w:type="dxa"/>
            <w:tcMar>
              <w:left w:w="28" w:type="dxa"/>
              <w:right w:w="28" w:type="dxa"/>
            </w:tcMar>
            <w:vAlign w:val="center"/>
          </w:tcPr>
          <w:p w14:paraId="522D938A">
            <w:pPr>
              <w:pStyle w:val="70"/>
              <w:rPr>
                <w:color w:val="000000" w:themeColor="text1"/>
                <w14:textFill>
                  <w14:solidFill>
                    <w14:schemeClr w14:val="tx1"/>
                  </w14:solidFill>
                </w14:textFill>
              </w:rPr>
            </w:pPr>
            <w:r>
              <w:rPr>
                <w:color w:val="000000" w:themeColor="text1"/>
                <w14:textFill>
                  <w14:solidFill>
                    <w14:schemeClr w14:val="tx1"/>
                  </w14:solidFill>
                </w14:textFill>
              </w:rPr>
              <w:t>水环境、声环境、环境空气监测</w:t>
            </w:r>
          </w:p>
        </w:tc>
        <w:tc>
          <w:tcPr>
            <w:tcW w:w="861" w:type="dxa"/>
            <w:tcMar>
              <w:left w:w="28" w:type="dxa"/>
              <w:right w:w="28" w:type="dxa"/>
            </w:tcMar>
            <w:vAlign w:val="center"/>
          </w:tcPr>
          <w:p w14:paraId="21FA10A3">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20</w:t>
            </w:r>
          </w:p>
        </w:tc>
        <w:tc>
          <w:tcPr>
            <w:tcW w:w="2216" w:type="dxa"/>
            <w:tcMar>
              <w:left w:w="28" w:type="dxa"/>
              <w:right w:w="28" w:type="dxa"/>
            </w:tcMar>
            <w:vAlign w:val="center"/>
          </w:tcPr>
          <w:p w14:paraId="5039E8E7">
            <w:pPr>
              <w:pStyle w:val="70"/>
              <w:rPr>
                <w:color w:val="000000" w:themeColor="text1"/>
                <w14:textFill>
                  <w14:solidFill>
                    <w14:schemeClr w14:val="tx1"/>
                  </w14:solidFill>
                </w14:textFill>
              </w:rPr>
            </w:pPr>
            <w:r>
              <w:rPr>
                <w:color w:val="000000" w:themeColor="text1"/>
                <w14:textFill>
                  <w14:solidFill>
                    <w14:schemeClr w14:val="tx1"/>
                  </w14:solidFill>
                </w14:textFill>
              </w:rPr>
              <w:t>掌握施工期环境变化并提出减缓措施</w:t>
            </w:r>
          </w:p>
        </w:tc>
        <w:tc>
          <w:tcPr>
            <w:tcW w:w="1145" w:type="dxa"/>
            <w:tcMar>
              <w:left w:w="28" w:type="dxa"/>
              <w:right w:w="28" w:type="dxa"/>
            </w:tcMar>
            <w:vAlign w:val="center"/>
          </w:tcPr>
          <w:p w14:paraId="4620F688">
            <w:pPr>
              <w:pStyle w:val="70"/>
              <w:rPr>
                <w:color w:val="000000" w:themeColor="text1"/>
                <w14:textFill>
                  <w14:solidFill>
                    <w14:schemeClr w14:val="tx1"/>
                  </w14:solidFill>
                </w14:textFill>
              </w:rPr>
            </w:pPr>
            <w:r>
              <w:rPr>
                <w:color w:val="000000" w:themeColor="text1"/>
                <w14:textFill>
                  <w14:solidFill>
                    <w14:schemeClr w14:val="tx1"/>
                  </w14:solidFill>
                </w14:textFill>
              </w:rPr>
              <w:t>新增</w:t>
            </w:r>
          </w:p>
        </w:tc>
      </w:tr>
      <w:tr w14:paraId="55B6576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657" w:type="dxa"/>
            <w:vMerge w:val="continue"/>
            <w:vAlign w:val="center"/>
          </w:tcPr>
          <w:p w14:paraId="306ECEB9">
            <w:pPr>
              <w:pStyle w:val="70"/>
              <w:rPr>
                <w:color w:val="000000" w:themeColor="text1"/>
                <w14:textFill>
                  <w14:solidFill>
                    <w14:schemeClr w14:val="tx1"/>
                  </w14:solidFill>
                </w14:textFill>
              </w:rPr>
            </w:pPr>
          </w:p>
        </w:tc>
        <w:tc>
          <w:tcPr>
            <w:tcW w:w="1404" w:type="dxa"/>
            <w:tcMar>
              <w:left w:w="28" w:type="dxa"/>
              <w:right w:w="28" w:type="dxa"/>
            </w:tcMar>
            <w:vAlign w:val="center"/>
          </w:tcPr>
          <w:p w14:paraId="73F03166">
            <w:pPr>
              <w:pStyle w:val="70"/>
              <w:rPr>
                <w:color w:val="000000" w:themeColor="text1"/>
                <w14:textFill>
                  <w14:solidFill>
                    <w14:schemeClr w14:val="tx1"/>
                  </w14:solidFill>
                </w14:textFill>
              </w:rPr>
            </w:pPr>
            <w:r>
              <w:rPr>
                <w:color w:val="000000" w:themeColor="text1"/>
                <w14:textFill>
                  <w14:solidFill>
                    <w14:schemeClr w14:val="tx1"/>
                  </w14:solidFill>
                </w14:textFill>
              </w:rPr>
              <w:t>运营期环境监测</w:t>
            </w:r>
          </w:p>
        </w:tc>
        <w:tc>
          <w:tcPr>
            <w:tcW w:w="1993" w:type="dxa"/>
            <w:tcMar>
              <w:left w:w="28" w:type="dxa"/>
              <w:right w:w="28" w:type="dxa"/>
            </w:tcMar>
            <w:vAlign w:val="center"/>
          </w:tcPr>
          <w:p w14:paraId="663135AC">
            <w:pPr>
              <w:pStyle w:val="70"/>
              <w:rPr>
                <w:color w:val="000000" w:themeColor="text1"/>
                <w14:textFill>
                  <w14:solidFill>
                    <w14:schemeClr w14:val="tx1"/>
                  </w14:solidFill>
                </w14:textFill>
              </w:rPr>
            </w:pPr>
            <w:r>
              <w:rPr>
                <w:color w:val="000000" w:themeColor="text1"/>
                <w14:textFill>
                  <w14:solidFill>
                    <w14:schemeClr w14:val="tx1"/>
                  </w14:solidFill>
                </w14:textFill>
              </w:rPr>
              <w:t>水环境、声环境、环境空气监测</w:t>
            </w:r>
          </w:p>
        </w:tc>
        <w:tc>
          <w:tcPr>
            <w:tcW w:w="861" w:type="dxa"/>
            <w:tcMar>
              <w:left w:w="28" w:type="dxa"/>
              <w:right w:w="28" w:type="dxa"/>
            </w:tcMar>
            <w:vAlign w:val="center"/>
          </w:tcPr>
          <w:p w14:paraId="5F1C4C60">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20</w:t>
            </w:r>
          </w:p>
        </w:tc>
        <w:tc>
          <w:tcPr>
            <w:tcW w:w="2216" w:type="dxa"/>
            <w:tcMar>
              <w:left w:w="28" w:type="dxa"/>
              <w:right w:w="28" w:type="dxa"/>
            </w:tcMar>
            <w:vAlign w:val="center"/>
          </w:tcPr>
          <w:p w14:paraId="32B1CEF2">
            <w:pPr>
              <w:pStyle w:val="70"/>
              <w:rPr>
                <w:color w:val="000000" w:themeColor="text1"/>
                <w14:textFill>
                  <w14:solidFill>
                    <w14:schemeClr w14:val="tx1"/>
                  </w14:solidFill>
                </w14:textFill>
              </w:rPr>
            </w:pPr>
            <w:r>
              <w:rPr>
                <w:color w:val="000000" w:themeColor="text1"/>
                <w14:textFill>
                  <w14:solidFill>
                    <w14:schemeClr w14:val="tx1"/>
                  </w14:solidFill>
                </w14:textFill>
              </w:rPr>
              <w:t>掌握运营期环境变化并提出减缓措施</w:t>
            </w:r>
          </w:p>
        </w:tc>
        <w:tc>
          <w:tcPr>
            <w:tcW w:w="1145" w:type="dxa"/>
            <w:tcMar>
              <w:left w:w="28" w:type="dxa"/>
              <w:right w:w="28" w:type="dxa"/>
            </w:tcMar>
            <w:vAlign w:val="center"/>
          </w:tcPr>
          <w:p w14:paraId="713BE478">
            <w:pPr>
              <w:pStyle w:val="70"/>
              <w:rPr>
                <w:color w:val="000000" w:themeColor="text1"/>
                <w14:textFill>
                  <w14:solidFill>
                    <w14:schemeClr w14:val="tx1"/>
                  </w14:solidFill>
                </w14:textFill>
              </w:rPr>
            </w:pPr>
            <w:r>
              <w:rPr>
                <w:color w:val="000000" w:themeColor="text1"/>
                <w14:textFill>
                  <w14:solidFill>
                    <w14:schemeClr w14:val="tx1"/>
                  </w14:solidFill>
                </w14:textFill>
              </w:rPr>
              <w:t>新增</w:t>
            </w:r>
          </w:p>
        </w:tc>
      </w:tr>
      <w:tr w14:paraId="65FD0F7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657" w:type="dxa"/>
            <w:vMerge w:val="continue"/>
            <w:vAlign w:val="center"/>
          </w:tcPr>
          <w:p w14:paraId="79C55E48">
            <w:pPr>
              <w:pStyle w:val="70"/>
              <w:rPr>
                <w:color w:val="000000" w:themeColor="text1"/>
                <w14:textFill>
                  <w14:solidFill>
                    <w14:schemeClr w14:val="tx1"/>
                  </w14:solidFill>
                </w14:textFill>
              </w:rPr>
            </w:pPr>
          </w:p>
        </w:tc>
        <w:tc>
          <w:tcPr>
            <w:tcW w:w="1404" w:type="dxa"/>
            <w:tcMar>
              <w:left w:w="28" w:type="dxa"/>
              <w:right w:w="28" w:type="dxa"/>
            </w:tcMar>
            <w:vAlign w:val="center"/>
          </w:tcPr>
          <w:p w14:paraId="3C76F5D8">
            <w:pPr>
              <w:pStyle w:val="70"/>
              <w:rPr>
                <w:color w:val="000000" w:themeColor="text1"/>
                <w14:textFill>
                  <w14:solidFill>
                    <w14:schemeClr w14:val="tx1"/>
                  </w14:solidFill>
                </w14:textFill>
              </w:rPr>
            </w:pPr>
            <w:r>
              <w:rPr>
                <w:color w:val="000000" w:themeColor="text1"/>
                <w14:textFill>
                  <w14:solidFill>
                    <w14:schemeClr w14:val="tx1"/>
                  </w14:solidFill>
                </w14:textFill>
              </w:rPr>
              <w:t>竣工环保验收</w:t>
            </w:r>
          </w:p>
        </w:tc>
        <w:tc>
          <w:tcPr>
            <w:tcW w:w="1993" w:type="dxa"/>
            <w:tcMar>
              <w:left w:w="28" w:type="dxa"/>
              <w:right w:w="28" w:type="dxa"/>
            </w:tcMar>
            <w:vAlign w:val="center"/>
          </w:tcPr>
          <w:p w14:paraId="514CC94C">
            <w:pPr>
              <w:pStyle w:val="70"/>
              <w:rPr>
                <w:color w:val="000000" w:themeColor="text1"/>
                <w14:textFill>
                  <w14:solidFill>
                    <w14:schemeClr w14:val="tx1"/>
                  </w14:solidFill>
                </w14:textFill>
              </w:rPr>
            </w:pPr>
            <w:r>
              <w:rPr>
                <w:color w:val="000000" w:themeColor="text1"/>
                <w14:textFill>
                  <w14:solidFill>
                    <w14:schemeClr w14:val="tx1"/>
                  </w14:solidFill>
                </w14:textFill>
              </w:rPr>
              <w:t>组织环保设施及其监测竣工验收</w:t>
            </w:r>
          </w:p>
        </w:tc>
        <w:tc>
          <w:tcPr>
            <w:tcW w:w="861" w:type="dxa"/>
            <w:tcMar>
              <w:left w:w="28" w:type="dxa"/>
              <w:right w:w="28" w:type="dxa"/>
            </w:tcMar>
            <w:vAlign w:val="center"/>
          </w:tcPr>
          <w:p w14:paraId="605628B2">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20</w:t>
            </w:r>
          </w:p>
        </w:tc>
        <w:tc>
          <w:tcPr>
            <w:tcW w:w="2216" w:type="dxa"/>
            <w:tcMar>
              <w:left w:w="28" w:type="dxa"/>
              <w:right w:w="28" w:type="dxa"/>
            </w:tcMar>
            <w:vAlign w:val="center"/>
          </w:tcPr>
          <w:p w14:paraId="3580179D">
            <w:pPr>
              <w:pStyle w:val="70"/>
              <w:rPr>
                <w:color w:val="000000" w:themeColor="text1"/>
                <w14:textFill>
                  <w14:solidFill>
                    <w14:schemeClr w14:val="tx1"/>
                  </w14:solidFill>
                </w14:textFill>
              </w:rPr>
            </w:pPr>
            <w:r>
              <w:rPr>
                <w:color w:val="000000" w:themeColor="text1"/>
                <w14:textFill>
                  <w14:solidFill>
                    <w14:schemeClr w14:val="tx1"/>
                  </w14:solidFill>
                </w14:textFill>
              </w:rPr>
              <w:t>环保管理要求</w:t>
            </w:r>
          </w:p>
        </w:tc>
        <w:tc>
          <w:tcPr>
            <w:tcW w:w="1145" w:type="dxa"/>
            <w:tcMar>
              <w:left w:w="28" w:type="dxa"/>
              <w:right w:w="28" w:type="dxa"/>
            </w:tcMar>
            <w:vAlign w:val="center"/>
          </w:tcPr>
          <w:p w14:paraId="18B9D889">
            <w:pPr>
              <w:pStyle w:val="70"/>
              <w:rPr>
                <w:color w:val="000000" w:themeColor="text1"/>
                <w14:textFill>
                  <w14:solidFill>
                    <w14:schemeClr w14:val="tx1"/>
                  </w14:solidFill>
                </w14:textFill>
              </w:rPr>
            </w:pPr>
            <w:r>
              <w:rPr>
                <w:color w:val="000000" w:themeColor="text1"/>
                <w14:textFill>
                  <w14:solidFill>
                    <w14:schemeClr w14:val="tx1"/>
                  </w14:solidFill>
                </w14:textFill>
              </w:rPr>
              <w:t>新增</w:t>
            </w:r>
          </w:p>
        </w:tc>
      </w:tr>
      <w:tr w14:paraId="4CCF9CA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4054" w:type="dxa"/>
            <w:gridSpan w:val="3"/>
            <w:vAlign w:val="center"/>
          </w:tcPr>
          <w:p w14:paraId="2E2575E6">
            <w:pPr>
              <w:pStyle w:val="70"/>
              <w:rPr>
                <w:color w:val="000000" w:themeColor="text1"/>
                <w14:textFill>
                  <w14:solidFill>
                    <w14:schemeClr w14:val="tx1"/>
                  </w14:solidFill>
                </w14:textFill>
              </w:rPr>
            </w:pPr>
            <w:r>
              <w:rPr>
                <w:color w:val="000000" w:themeColor="text1"/>
                <w14:textFill>
                  <w14:solidFill>
                    <w14:schemeClr w14:val="tx1"/>
                  </w14:solidFill>
                </w14:textFill>
              </w:rPr>
              <w:t>合计</w:t>
            </w:r>
          </w:p>
        </w:tc>
        <w:tc>
          <w:tcPr>
            <w:tcW w:w="861" w:type="dxa"/>
            <w:tcMar>
              <w:left w:w="28" w:type="dxa"/>
              <w:right w:w="28" w:type="dxa"/>
            </w:tcMar>
            <w:vAlign w:val="center"/>
          </w:tcPr>
          <w:p w14:paraId="6173A622">
            <w:pPr>
              <w:pStyle w:val="70"/>
              <w:rPr>
                <w:b/>
                <w:color w:val="000000" w:themeColor="text1"/>
                <w14:textFill>
                  <w14:solidFill>
                    <w14:schemeClr w14:val="tx1"/>
                  </w14:solidFill>
                </w14:textFill>
              </w:rPr>
            </w:pPr>
            <w:r>
              <w:rPr>
                <w:rFonts w:hint="eastAsia"/>
                <w:b/>
                <w:color w:val="000000" w:themeColor="text1"/>
                <w14:textFill>
                  <w14:solidFill>
                    <w14:schemeClr w14:val="tx1"/>
                  </w14:solidFill>
                </w14:textFill>
              </w:rPr>
              <w:t>96.0</w:t>
            </w:r>
          </w:p>
        </w:tc>
        <w:tc>
          <w:tcPr>
            <w:tcW w:w="2216" w:type="dxa"/>
            <w:tcMar>
              <w:left w:w="28" w:type="dxa"/>
              <w:right w:w="28" w:type="dxa"/>
            </w:tcMar>
            <w:vAlign w:val="center"/>
          </w:tcPr>
          <w:p w14:paraId="6A9A573D">
            <w:pPr>
              <w:pStyle w:val="70"/>
              <w:rPr>
                <w:color w:val="000000" w:themeColor="text1"/>
                <w14:textFill>
                  <w14:solidFill>
                    <w14:schemeClr w14:val="tx1"/>
                  </w14:solidFill>
                </w14:textFill>
              </w:rPr>
            </w:pPr>
          </w:p>
        </w:tc>
        <w:tc>
          <w:tcPr>
            <w:tcW w:w="1145" w:type="dxa"/>
            <w:tcMar>
              <w:left w:w="28" w:type="dxa"/>
              <w:right w:w="28" w:type="dxa"/>
            </w:tcMar>
            <w:vAlign w:val="center"/>
          </w:tcPr>
          <w:p w14:paraId="0896FB75">
            <w:pPr>
              <w:pStyle w:val="70"/>
              <w:rPr>
                <w:color w:val="000000" w:themeColor="text1"/>
                <w14:textFill>
                  <w14:solidFill>
                    <w14:schemeClr w14:val="tx1"/>
                  </w14:solidFill>
                </w14:textFill>
              </w:rPr>
            </w:pPr>
          </w:p>
        </w:tc>
      </w:tr>
    </w:tbl>
    <w:p w14:paraId="686ACEE6">
      <w:pPr>
        <w:ind w:firstLine="480"/>
        <w:rPr>
          <w:color w:val="000000" w:themeColor="text1"/>
          <w14:textFill>
            <w14:solidFill>
              <w14:schemeClr w14:val="tx1"/>
            </w14:solidFill>
          </w14:textFill>
        </w:rPr>
      </w:pPr>
    </w:p>
    <w:p w14:paraId="66C73498">
      <w:pPr>
        <w:ind w:firstLine="480"/>
        <w:rPr>
          <w:color w:val="000000" w:themeColor="text1"/>
          <w14:textFill>
            <w14:solidFill>
              <w14:schemeClr w14:val="tx1"/>
            </w14:solidFill>
          </w14:textFill>
        </w:rPr>
        <w:sectPr>
          <w:headerReference r:id="rId33" w:type="default"/>
          <w:pgSz w:w="11906" w:h="16838"/>
          <w:pgMar w:top="1440" w:right="1800" w:bottom="1440" w:left="1800" w:header="851" w:footer="680" w:gutter="0"/>
          <w:pgBorders>
            <w:top w:val="none" w:sz="0" w:space="0"/>
            <w:left w:val="none" w:sz="0" w:space="0"/>
            <w:bottom w:val="none" w:sz="0" w:space="0"/>
            <w:right w:val="none" w:sz="0" w:space="0"/>
          </w:pgBorders>
          <w:pgNumType w:fmt="numberInDash"/>
          <w:cols w:space="720" w:num="1"/>
          <w:docGrid w:type="lines" w:linePitch="312" w:charSpace="0"/>
        </w:sectPr>
      </w:pPr>
    </w:p>
    <w:p w14:paraId="74B59C2D">
      <w:pPr>
        <w:ind w:firstLine="480"/>
        <w:rPr>
          <w:color w:val="000000" w:themeColor="text1"/>
          <w14:textFill>
            <w14:solidFill>
              <w14:schemeClr w14:val="tx1"/>
            </w14:solidFill>
          </w14:textFill>
        </w:rPr>
      </w:pPr>
    </w:p>
    <w:p w14:paraId="3A416327">
      <w:pPr>
        <w:ind w:firstLine="480"/>
        <w:rPr>
          <w:color w:val="000000" w:themeColor="text1"/>
          <w14:textFill>
            <w14:solidFill>
              <w14:schemeClr w14:val="tx1"/>
            </w14:solidFill>
          </w14:textFill>
        </w:rPr>
      </w:pPr>
      <w:r>
        <w:rPr>
          <w:color w:val="000000" w:themeColor="text1"/>
          <w14:textFill>
            <w14:solidFill>
              <w14:schemeClr w14:val="tx1"/>
            </w14:solidFill>
          </w14:textFill>
        </w:rPr>
        <w:br w:type="page"/>
      </w:r>
    </w:p>
    <w:p w14:paraId="591DB2CA">
      <w:pPr>
        <w:pStyle w:val="3"/>
        <w:rPr>
          <w:color w:val="000000" w:themeColor="text1"/>
          <w14:textFill>
            <w14:solidFill>
              <w14:schemeClr w14:val="tx1"/>
            </w14:solidFill>
          </w14:textFill>
        </w:rPr>
      </w:pPr>
      <w:bookmarkStart w:id="808" w:name="_Toc216620637"/>
      <w:r>
        <w:rPr>
          <w:color w:val="000000" w:themeColor="text1"/>
          <w14:textFill>
            <w14:solidFill>
              <w14:schemeClr w14:val="tx1"/>
            </w14:solidFill>
          </w14:textFill>
        </w:rPr>
        <w:t>环境经济损益分析</w:t>
      </w:r>
      <w:bookmarkEnd w:id="808"/>
    </w:p>
    <w:p w14:paraId="07F4BF3D">
      <w:pPr>
        <w:pStyle w:val="5"/>
        <w:rPr>
          <w:color w:val="000000" w:themeColor="text1"/>
          <w14:textFill>
            <w14:solidFill>
              <w14:schemeClr w14:val="tx1"/>
            </w14:solidFill>
          </w14:textFill>
        </w:rPr>
      </w:pPr>
      <w:bookmarkStart w:id="809" w:name="_Toc216620638"/>
      <w:bookmarkStart w:id="810" w:name="_Toc135090305"/>
      <w:r>
        <w:rPr>
          <w:color w:val="000000" w:themeColor="text1"/>
          <w14:textFill>
            <w14:solidFill>
              <w14:schemeClr w14:val="tx1"/>
            </w14:solidFill>
          </w14:textFill>
        </w:rPr>
        <w:t>经济效益</w:t>
      </w:r>
      <w:bookmarkEnd w:id="809"/>
      <w:bookmarkEnd w:id="810"/>
    </w:p>
    <w:p w14:paraId="3D626CA4">
      <w:pPr>
        <w:ind w:firstLine="480"/>
        <w:rPr>
          <w:color w:val="000000" w:themeColor="text1"/>
          <w14:textFill>
            <w14:solidFill>
              <w14:schemeClr w14:val="tx1"/>
            </w14:solidFill>
          </w14:textFill>
        </w:rPr>
      </w:pPr>
      <w:r>
        <w:rPr>
          <w:color w:val="000000" w:themeColor="text1"/>
          <w14:textFill>
            <w14:solidFill>
              <w14:schemeClr w14:val="tx1"/>
            </w14:solidFill>
          </w14:textFill>
        </w:rPr>
        <w:t>本项目能促进钦州市、钦州港腹地工业快速发展，促进广西的石油化工产业中长期规划，可以充分发挥水运经济的优势，适应节能减排、环保和低碳经济的要求，如能发挥港区的规模能力，实现规模生产优势，本项目的效益将会更好。故本项目就经济而言是可行的。</w:t>
      </w:r>
    </w:p>
    <w:p w14:paraId="40981458">
      <w:pPr>
        <w:pStyle w:val="5"/>
        <w:rPr>
          <w:color w:val="000000" w:themeColor="text1"/>
          <w14:textFill>
            <w14:solidFill>
              <w14:schemeClr w14:val="tx1"/>
            </w14:solidFill>
          </w14:textFill>
        </w:rPr>
      </w:pPr>
      <w:bookmarkStart w:id="811" w:name="_Toc135090306"/>
      <w:bookmarkStart w:id="812" w:name="_Toc216620639"/>
      <w:r>
        <w:rPr>
          <w:color w:val="000000" w:themeColor="text1"/>
          <w14:textFill>
            <w14:solidFill>
              <w14:schemeClr w14:val="tx1"/>
            </w14:solidFill>
          </w14:textFill>
        </w:rPr>
        <w:t>社会效益</w:t>
      </w:r>
      <w:bookmarkEnd w:id="811"/>
      <w:bookmarkEnd w:id="812"/>
    </w:p>
    <w:p w14:paraId="60A5F91A">
      <w:pPr>
        <w:ind w:firstLine="480"/>
        <w:rPr>
          <w:color w:val="000000" w:themeColor="text1"/>
          <w14:textFill>
            <w14:solidFill>
              <w14:schemeClr w14:val="tx1"/>
            </w14:solidFill>
          </w14:textFill>
        </w:rPr>
      </w:pPr>
      <w:r>
        <w:rPr>
          <w:color w:val="000000" w:themeColor="text1"/>
          <w14:textFill>
            <w14:solidFill>
              <w14:schemeClr w14:val="tx1"/>
            </w14:solidFill>
          </w14:textFill>
        </w:rPr>
        <w:t>本项目建成后，由于项目投资规模的扩大使得对广西北部湾区域经济影响层次影响范围也逐渐扩大，社会影响区域的范围包括对区域产业空间布局、社会收入分配、市场竞争格局、地方财政收支、周边环境等方面带来一定程度的影响。</w:t>
      </w:r>
    </w:p>
    <w:p w14:paraId="062A225A">
      <w:pPr>
        <w:ind w:firstLine="480"/>
        <w:rPr>
          <w:color w:val="000000" w:themeColor="text1"/>
          <w14:textFill>
            <w14:solidFill>
              <w14:schemeClr w14:val="tx1"/>
            </w14:solidFill>
          </w14:textFill>
        </w:rPr>
      </w:pPr>
      <w:r>
        <w:rPr>
          <w:color w:val="000000" w:themeColor="text1"/>
          <w14:textFill>
            <w14:solidFill>
              <w14:schemeClr w14:val="tx1"/>
            </w14:solidFill>
          </w14:textFill>
        </w:rPr>
        <w:t>影响区域内受项目影响的机构和人群包括港口服务的相关生产企业、运输企业和个人、项目上马后新招聘的社会人员、地方政府财税部门和周边居住的居民等等。</w:t>
      </w:r>
    </w:p>
    <w:p w14:paraId="11D03B9A">
      <w:pPr>
        <w:ind w:firstLine="480"/>
        <w:rPr>
          <w:color w:val="000000" w:themeColor="text1"/>
          <w14:textFill>
            <w14:solidFill>
              <w14:schemeClr w14:val="tx1"/>
            </w14:solidFill>
          </w14:textFill>
        </w:rPr>
      </w:pPr>
      <w:r>
        <w:rPr>
          <w:color w:val="000000" w:themeColor="text1"/>
          <w14:textFill>
            <w14:solidFill>
              <w14:schemeClr w14:val="tx1"/>
            </w14:solidFill>
          </w14:textFill>
        </w:rPr>
        <w:t>项目可能导致的各种社会影响效果分为直接影响效果和间接影响果，直接影响果包括每年可为钦州石化产业园企业节省大量的装卸费用和运输费用，为地方创造一定数量的就业机会，为当地创造可观的税收益，由于项目征地所带来的一系列安置和环境问题，以及由于码头施工对周边环境和居民的影响等；间接影响效果由于项目的上马所带动的企业劳动力培训、职工社会保障投入增加、卫生保健和社区服务等。</w:t>
      </w:r>
    </w:p>
    <w:p w14:paraId="20561B55">
      <w:pPr>
        <w:ind w:firstLine="480"/>
        <w:rPr>
          <w:color w:val="000000" w:themeColor="text1"/>
          <w14:textFill>
            <w14:solidFill>
              <w14:schemeClr w14:val="tx1"/>
            </w14:solidFill>
          </w14:textFill>
        </w:rPr>
      </w:pPr>
      <w:r>
        <w:rPr>
          <w:color w:val="000000" w:themeColor="text1"/>
          <w14:textFill>
            <w14:solidFill>
              <w14:schemeClr w14:val="tx1"/>
            </w14:solidFill>
          </w14:textFill>
        </w:rPr>
        <w:t>本项目实施后，尤其是施工期间大量施工人员的进场，食品需求和日常生活用品的消耗均从当地购买，为当地居民增加了社会服务容量，所在地区的消费水平有所提高，同时对所在地区的居民收入带来积极影响，居民收入的提高主要是由于带动了运输业、服务业和制造业的发展，从而带动了当地居民收入的提高。</w:t>
      </w:r>
    </w:p>
    <w:p w14:paraId="1A80843B">
      <w:pPr>
        <w:pStyle w:val="5"/>
        <w:rPr>
          <w:color w:val="000000" w:themeColor="text1"/>
          <w14:textFill>
            <w14:solidFill>
              <w14:schemeClr w14:val="tx1"/>
            </w14:solidFill>
          </w14:textFill>
        </w:rPr>
      </w:pPr>
      <w:bookmarkStart w:id="813" w:name="_Toc135090307"/>
      <w:bookmarkStart w:id="814" w:name="_Toc216620640"/>
      <w:r>
        <w:rPr>
          <w:color w:val="000000" w:themeColor="text1"/>
          <w14:textFill>
            <w14:solidFill>
              <w14:schemeClr w14:val="tx1"/>
            </w14:solidFill>
          </w14:textFill>
        </w:rPr>
        <w:t>环境效益</w:t>
      </w:r>
      <w:bookmarkEnd w:id="813"/>
      <w:bookmarkEnd w:id="814"/>
    </w:p>
    <w:p w14:paraId="0D781116">
      <w:pPr>
        <w:ind w:firstLine="480"/>
        <w:rPr>
          <w:color w:val="000000" w:themeColor="text1"/>
          <w14:textFill>
            <w14:solidFill>
              <w14:schemeClr w14:val="tx1"/>
            </w14:solidFill>
          </w14:textFill>
        </w:rPr>
      </w:pPr>
      <w:r>
        <w:rPr>
          <w:color w:val="000000" w:themeColor="text1"/>
          <w14:textFill>
            <w14:solidFill>
              <w14:schemeClr w14:val="tx1"/>
            </w14:solidFill>
          </w14:textFill>
        </w:rPr>
        <w:t>（1）减少化工液体装卸过程中的损耗和挥发排放量，减轻大气环境影响</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目前化工液体最好的运输方式就是采用已被全球广泛应用的安全、稳定、高效的管道运输，本项目以管道输送代替铁路、公路运输，从而消除铁路、公路运输过程中产生的一定量大气污染物，如汽车尾气、二次扬尘等，由于管道输送采用密闭输送方式，运输过程中几乎没有物料损耗，有利于环境和生态保护，具有较好的环境效益。</w:t>
      </w:r>
    </w:p>
    <w:p w14:paraId="2BF3FC22">
      <w:pPr>
        <w:ind w:firstLine="480"/>
        <w:rPr>
          <w:color w:val="000000" w:themeColor="text1"/>
          <w14:textFill>
            <w14:solidFill>
              <w14:schemeClr w14:val="tx1"/>
            </w14:solidFill>
          </w14:textFill>
        </w:rPr>
      </w:pPr>
      <w:r>
        <w:rPr>
          <w:color w:val="000000" w:themeColor="text1"/>
          <w14:textFill>
            <w14:solidFill>
              <w14:schemeClr w14:val="tx1"/>
            </w14:solidFill>
          </w14:textFill>
        </w:rPr>
        <w:t>管道输送成品油与铁路、公路运输方式相比，挥发损耗要低很多，即管道运输方式散发到空气中烃类的量明显比铁路、公路少。因此，本项目在减少大气污染物排放，减轻大气环境影响方面效益显著。</w:t>
      </w:r>
    </w:p>
    <w:p w14:paraId="55B2EA39">
      <w:pPr>
        <w:ind w:firstLine="480"/>
        <w:rPr>
          <w:color w:val="000000" w:themeColor="text1"/>
          <w14:textFill>
            <w14:solidFill>
              <w14:schemeClr w14:val="tx1"/>
            </w14:solidFill>
          </w14:textFill>
        </w:rPr>
      </w:pPr>
      <w:r>
        <w:rPr>
          <w:color w:val="000000" w:themeColor="text1"/>
          <w14:textFill>
            <w14:solidFill>
              <w14:schemeClr w14:val="tx1"/>
            </w14:solidFill>
          </w14:textFill>
        </w:rPr>
        <w:t>（2）节省因交通运输而污染大气的治理费用</w:t>
      </w:r>
    </w:p>
    <w:p w14:paraId="76257152">
      <w:pPr>
        <w:ind w:firstLine="480"/>
        <w:rPr>
          <w:color w:val="000000" w:themeColor="text1"/>
          <w14:textFill>
            <w14:solidFill>
              <w14:schemeClr w14:val="tx1"/>
            </w14:solidFill>
          </w14:textFill>
        </w:rPr>
      </w:pPr>
      <w:r>
        <w:rPr>
          <w:color w:val="000000" w:themeColor="text1"/>
          <w14:textFill>
            <w14:solidFill>
              <w14:schemeClr w14:val="tx1"/>
            </w14:solidFill>
          </w14:textFill>
        </w:rPr>
        <w:t>本项目的运输方式，减少了交通工具运输过程中排放的大气污染物，从而节省了因此带来的排污治理费。</w:t>
      </w:r>
    </w:p>
    <w:p w14:paraId="77CA6163">
      <w:pPr>
        <w:ind w:firstLine="480"/>
        <w:rPr>
          <w:color w:val="000000" w:themeColor="text1"/>
          <w14:textFill>
            <w14:solidFill>
              <w14:schemeClr w14:val="tx1"/>
            </w14:solidFill>
          </w14:textFill>
        </w:rPr>
      </w:pPr>
      <w:r>
        <w:rPr>
          <w:color w:val="000000" w:themeColor="text1"/>
          <w14:textFill>
            <w14:solidFill>
              <w14:schemeClr w14:val="tx1"/>
            </w14:solidFill>
          </w14:textFill>
        </w:rPr>
        <w:t>（3）事故风险低</w:t>
      </w:r>
    </w:p>
    <w:p w14:paraId="7D9FEAAB">
      <w:pPr>
        <w:ind w:firstLine="480"/>
        <w:rPr>
          <w:color w:val="000000" w:themeColor="text1"/>
          <w14:textFill>
            <w14:solidFill>
              <w14:schemeClr w14:val="tx1"/>
            </w14:solidFill>
          </w14:textFill>
        </w:rPr>
      </w:pPr>
      <w:r>
        <w:rPr>
          <w:color w:val="000000" w:themeColor="text1"/>
          <w14:textFill>
            <w14:solidFill>
              <w14:schemeClr w14:val="tx1"/>
            </w14:solidFill>
          </w14:textFill>
        </w:rPr>
        <w:t>据资料介绍，陆地管线可以接受的事故概率范围为10</w:t>
      </w:r>
      <w:r>
        <w:rPr>
          <w:color w:val="000000" w:themeColor="text1"/>
          <w:vertAlign w:val="superscript"/>
          <w14:textFill>
            <w14:solidFill>
              <w14:schemeClr w14:val="tx1"/>
            </w14:solidFill>
          </w14:textFill>
        </w:rPr>
        <w:t>-4</w:t>
      </w:r>
      <w:r>
        <w:rPr>
          <w:color w:val="000000" w:themeColor="text1"/>
          <w14:textFill>
            <w14:solidFill>
              <w14:schemeClr w14:val="tx1"/>
            </w14:solidFill>
          </w14:textFill>
        </w:rPr>
        <w:t>数量级，现有的管道都采用了先进的防腐和保护措施，因此，与铁路、公路等运输方式相比，运输安全性高。</w:t>
      </w:r>
    </w:p>
    <w:p w14:paraId="3B23B552">
      <w:pPr>
        <w:ind w:firstLine="480"/>
        <w:rPr>
          <w:color w:val="000000" w:themeColor="text1"/>
          <w14:textFill>
            <w14:solidFill>
              <w14:schemeClr w14:val="tx1"/>
            </w14:solidFill>
          </w14:textFill>
        </w:rPr>
      </w:pPr>
      <w:r>
        <w:rPr>
          <w:color w:val="000000" w:themeColor="text1"/>
          <w14:textFill>
            <w14:solidFill>
              <w14:schemeClr w14:val="tx1"/>
            </w14:solidFill>
          </w14:textFill>
        </w:rPr>
        <w:t>（4）降低由环境空气污染引起的疾病</w:t>
      </w:r>
    </w:p>
    <w:p w14:paraId="468A7540">
      <w:pPr>
        <w:ind w:firstLine="480"/>
        <w:rPr>
          <w:color w:val="000000" w:themeColor="text1"/>
          <w14:textFill>
            <w14:solidFill>
              <w14:schemeClr w14:val="tx1"/>
            </w14:solidFill>
          </w14:textFill>
        </w:rPr>
      </w:pPr>
      <w:r>
        <w:rPr>
          <w:color w:val="000000" w:themeColor="text1"/>
          <w14:textFill>
            <w14:solidFill>
              <w14:schemeClr w14:val="tx1"/>
            </w14:solidFill>
          </w14:textFill>
        </w:rPr>
        <w:t>根据国内外统计资料介绍，环境空气污染可导致的疾病主要有慢性气管炎、哮喘、肺癌等。污染区（按二氧化硫超过国家二级标准计）比清洁区慢性气管炎发病率高9.4‰，肺、心病发病率高11‰。采用管道运输可减少交通运输排污，空气污染减轻，由此引发的发病率降低，因而相应减少治疗的医疗费及误工费。</w:t>
      </w:r>
    </w:p>
    <w:p w14:paraId="7EF1896F">
      <w:pPr>
        <w:pStyle w:val="5"/>
        <w:rPr>
          <w:color w:val="000000" w:themeColor="text1"/>
          <w14:textFill>
            <w14:solidFill>
              <w14:schemeClr w14:val="tx1"/>
            </w14:solidFill>
          </w14:textFill>
        </w:rPr>
      </w:pPr>
      <w:bookmarkStart w:id="815" w:name="_Toc135090308"/>
      <w:bookmarkStart w:id="816" w:name="_Toc216620641"/>
      <w:r>
        <w:rPr>
          <w:color w:val="000000" w:themeColor="text1"/>
          <w14:textFill>
            <w14:solidFill>
              <w14:schemeClr w14:val="tx1"/>
            </w14:solidFill>
          </w14:textFill>
        </w:rPr>
        <w:t>小结</w:t>
      </w:r>
      <w:bookmarkEnd w:id="815"/>
      <w:bookmarkEnd w:id="816"/>
    </w:p>
    <w:p w14:paraId="5058FBBB">
      <w:pPr>
        <w:ind w:firstLine="480"/>
        <w:rPr>
          <w:color w:val="000000" w:themeColor="text1"/>
          <w14:textFill>
            <w14:solidFill>
              <w14:schemeClr w14:val="tx1"/>
            </w14:solidFill>
          </w14:textFill>
        </w:rPr>
        <w:sectPr>
          <w:headerReference r:id="rId34" w:type="default"/>
          <w:type w:val="continuous"/>
          <w:pgSz w:w="11906" w:h="16838"/>
          <w:pgMar w:top="1440" w:right="1800" w:bottom="1440" w:left="1800" w:header="851" w:footer="680" w:gutter="0"/>
          <w:pgBorders>
            <w:top w:val="none" w:sz="0" w:space="0"/>
            <w:left w:val="none" w:sz="0" w:space="0"/>
            <w:bottom w:val="none" w:sz="0" w:space="0"/>
            <w:right w:val="none" w:sz="0" w:space="0"/>
          </w:pgBorders>
          <w:pgNumType w:fmt="numberInDash"/>
          <w:cols w:space="720" w:num="1"/>
          <w:docGrid w:type="lines" w:linePitch="312" w:charSpace="0"/>
        </w:sectPr>
      </w:pPr>
      <w:r>
        <w:rPr>
          <w:color w:val="000000" w:themeColor="text1"/>
          <w14:textFill>
            <w14:solidFill>
              <w14:schemeClr w14:val="tx1"/>
            </w14:solidFill>
          </w14:textFill>
        </w:rPr>
        <w:t>本项目环保投资为</w:t>
      </w:r>
      <w:r>
        <w:rPr>
          <w:rFonts w:hint="eastAsia"/>
          <w:color w:val="000000" w:themeColor="text1"/>
          <w14:textFill>
            <w14:solidFill>
              <w14:schemeClr w14:val="tx1"/>
            </w14:solidFill>
          </w14:textFill>
        </w:rPr>
        <w:t>96</w:t>
      </w:r>
      <w:r>
        <w:rPr>
          <w:color w:val="000000" w:themeColor="text1"/>
          <w14:textFill>
            <w14:solidFill>
              <w14:schemeClr w14:val="tx1"/>
            </w14:solidFill>
          </w14:textFill>
        </w:rPr>
        <w:t>万元，占项目总投资</w:t>
      </w:r>
      <w:r>
        <w:rPr>
          <w:rFonts w:hint="eastAsia"/>
          <w:color w:val="000000" w:themeColor="text1"/>
          <w14:textFill>
            <w14:solidFill>
              <w14:schemeClr w14:val="tx1"/>
            </w14:solidFill>
          </w14:textFill>
        </w:rPr>
        <w:t>750</w:t>
      </w:r>
      <w:r>
        <w:rPr>
          <w:color w:val="000000" w:themeColor="text1"/>
          <w14:textFill>
            <w14:solidFill>
              <w14:schemeClr w14:val="tx1"/>
            </w14:solidFill>
          </w14:textFill>
        </w:rPr>
        <w:t>万元的</w:t>
      </w:r>
      <w:r>
        <w:rPr>
          <w:rFonts w:hint="eastAsia"/>
          <w:color w:val="000000" w:themeColor="text1"/>
          <w14:textFill>
            <w14:solidFill>
              <w14:schemeClr w14:val="tx1"/>
            </w14:solidFill>
          </w14:textFill>
        </w:rPr>
        <w:t>12.8</w:t>
      </w:r>
      <w:r>
        <w:rPr>
          <w:color w:val="000000" w:themeColor="text1"/>
          <w14:textFill>
            <w14:solidFill>
              <w14:schemeClr w14:val="tx1"/>
            </w14:solidFill>
          </w14:textFill>
        </w:rPr>
        <w:t>%。综合</w:t>
      </w:r>
      <w:r>
        <w:rPr>
          <w:rFonts w:hint="eastAsia"/>
          <w:color w:val="000000" w:themeColor="text1"/>
          <w:lang w:eastAsia="zh-CN"/>
          <w14:textFill>
            <w14:solidFill>
              <w14:schemeClr w14:val="tx1"/>
            </w14:solidFill>
          </w14:textFill>
        </w:rPr>
        <w:t>考虑其他</w:t>
      </w:r>
      <w:r>
        <w:rPr>
          <w:color w:val="000000" w:themeColor="text1"/>
          <w14:textFill>
            <w14:solidFill>
              <w14:schemeClr w14:val="tx1"/>
            </w14:solidFill>
          </w14:textFill>
        </w:rPr>
        <w:t>无法用货币表征的环境效益和社会效益，本项目环保投资经济合理，所采取的环保措施在经济上是合理可行的，各项环保措施不仅较大程度</w:t>
      </w:r>
      <w:r>
        <w:rPr>
          <w:rFonts w:hint="eastAsia"/>
          <w:color w:val="000000" w:themeColor="text1"/>
          <w:lang w:eastAsia="zh-CN"/>
          <w14:textFill>
            <w14:solidFill>
              <w14:schemeClr w14:val="tx1"/>
            </w14:solidFill>
          </w14:textFill>
        </w:rPr>
        <w:t>地</w:t>
      </w:r>
      <w:r>
        <w:rPr>
          <w:color w:val="000000" w:themeColor="text1"/>
          <w14:textFill>
            <w14:solidFill>
              <w14:schemeClr w14:val="tx1"/>
            </w14:solidFill>
          </w14:textFill>
        </w:rPr>
        <w:t>减缓项目对环境产生的不利影响，还可以产生经济效益，其环境效益较显著。从环境经济观点的角度看，项目环保措施是合理可行的。</w:t>
      </w:r>
    </w:p>
    <w:p w14:paraId="02E814BB">
      <w:pPr>
        <w:pStyle w:val="3"/>
        <w:rPr>
          <w:color w:val="000000" w:themeColor="text1"/>
          <w14:textFill>
            <w14:solidFill>
              <w14:schemeClr w14:val="tx1"/>
            </w14:solidFill>
          </w14:textFill>
        </w:rPr>
      </w:pPr>
      <w:bookmarkStart w:id="817" w:name="_Toc216620642"/>
      <w:r>
        <w:rPr>
          <w:color w:val="000000" w:themeColor="text1"/>
          <w14:textFill>
            <w14:solidFill>
              <w14:schemeClr w14:val="tx1"/>
            </w14:solidFill>
          </w14:textFill>
        </w:rPr>
        <w:t>环境管理与监测计划</w:t>
      </w:r>
      <w:bookmarkEnd w:id="817"/>
    </w:p>
    <w:p w14:paraId="3800E1E2">
      <w:pPr>
        <w:pStyle w:val="5"/>
        <w:rPr>
          <w:color w:val="000000" w:themeColor="text1"/>
          <w14:textFill>
            <w14:solidFill>
              <w14:schemeClr w14:val="tx1"/>
            </w14:solidFill>
          </w14:textFill>
        </w:rPr>
      </w:pPr>
      <w:bookmarkStart w:id="818" w:name="_Toc216620643"/>
      <w:r>
        <w:rPr>
          <w:color w:val="000000" w:themeColor="text1"/>
          <w14:textFill>
            <w14:solidFill>
              <w14:schemeClr w14:val="tx1"/>
            </w14:solidFill>
          </w14:textFill>
        </w:rPr>
        <w:t>环境管理</w:t>
      </w:r>
      <w:bookmarkEnd w:id="818"/>
    </w:p>
    <w:p w14:paraId="11E61808">
      <w:pPr>
        <w:pStyle w:val="4"/>
        <w:rPr>
          <w:color w:val="000000" w:themeColor="text1"/>
          <w14:textFill>
            <w14:solidFill>
              <w14:schemeClr w14:val="tx1"/>
            </w14:solidFill>
          </w14:textFill>
        </w:rPr>
      </w:pPr>
      <w:bookmarkStart w:id="819" w:name="_Toc29131917"/>
      <w:bookmarkStart w:id="820" w:name="_Toc26910104"/>
      <w:bookmarkStart w:id="821" w:name="_Toc25437057"/>
      <w:bookmarkStart w:id="822" w:name="_Toc216620644"/>
      <w:bookmarkStart w:id="823" w:name="_Toc136878575"/>
      <w:bookmarkStart w:id="824" w:name="_Toc216103485"/>
      <w:bookmarkStart w:id="825" w:name="_Toc135090311"/>
      <w:r>
        <w:rPr>
          <w:color w:val="000000" w:themeColor="text1"/>
          <w14:textFill>
            <w14:solidFill>
              <w14:schemeClr w14:val="tx1"/>
            </w14:solidFill>
          </w14:textFill>
        </w:rPr>
        <w:t>环境</w:t>
      </w:r>
      <w:bookmarkEnd w:id="819"/>
      <w:bookmarkEnd w:id="820"/>
      <w:bookmarkEnd w:id="821"/>
      <w:r>
        <w:rPr>
          <w:color w:val="000000" w:themeColor="text1"/>
          <w14:textFill>
            <w14:solidFill>
              <w14:schemeClr w14:val="tx1"/>
            </w14:solidFill>
          </w14:textFill>
        </w:rPr>
        <w:t>保护管理体系</w:t>
      </w:r>
      <w:bookmarkEnd w:id="822"/>
      <w:bookmarkEnd w:id="823"/>
      <w:bookmarkEnd w:id="824"/>
      <w:bookmarkEnd w:id="825"/>
    </w:p>
    <w:p w14:paraId="7FE8BD1A">
      <w:pPr>
        <w:pStyle w:val="74"/>
        <w:rPr>
          <w:color w:val="000000" w:themeColor="text1"/>
          <w14:textFill>
            <w14:solidFill>
              <w14:schemeClr w14:val="tx1"/>
            </w14:solidFill>
          </w14:textFill>
        </w:rPr>
      </w:pPr>
      <w:r>
        <w:rPr>
          <w:color w:val="000000" w:themeColor="text1"/>
          <w14:textFill>
            <w14:solidFill>
              <w14:schemeClr w14:val="tx1"/>
            </w14:solidFill>
          </w14:textFill>
        </w:rPr>
        <w:t>项目运营单位负责本项目污染措施的监督管理，组织制定和实施整个现场环境保护管理工作，组织安排环境监测工作。设置专门的环境保护管理机构，负责组织、落实、监督本企业的环境保护工作：设置1名负责人分管环保工作，设安全环保部门负责安全生产及环境保护管理工作。至少配备2名环保工作人员，其中管理人员1人，设备维修、巡回检查人员1人，负责企业的环保监测管理工作。</w:t>
      </w:r>
    </w:p>
    <w:p w14:paraId="09702A67">
      <w:pPr>
        <w:pStyle w:val="74"/>
        <w:rPr>
          <w:color w:val="000000" w:themeColor="text1"/>
          <w14:textFill>
            <w14:solidFill>
              <w14:schemeClr w14:val="tx1"/>
            </w14:solidFill>
          </w14:textFill>
        </w:rPr>
      </w:pPr>
      <w:r>
        <w:rPr>
          <w:color w:val="000000" w:themeColor="text1"/>
          <w14:textFill>
            <w14:solidFill>
              <w14:schemeClr w14:val="tx1"/>
            </w14:solidFill>
          </w14:textFill>
        </w:rPr>
        <w:t>为做好环境保护工作，减轻项目在施工期及运营期对海洋环境的影响，建设单位以及施工单位应高度重视海洋环境保护工作，成立专门机构进行环境保护工作。</w:t>
      </w:r>
    </w:p>
    <w:p w14:paraId="406923D2">
      <w:pPr>
        <w:pStyle w:val="74"/>
        <w:rPr>
          <w:color w:val="000000" w:themeColor="text1"/>
          <w14:textFill>
            <w14:solidFill>
              <w14:schemeClr w14:val="tx1"/>
            </w14:solidFill>
          </w14:textFill>
        </w:rPr>
      </w:pPr>
      <w:r>
        <w:rPr>
          <w:color w:val="000000" w:themeColor="text1"/>
          <w14:textFill>
            <w14:solidFill>
              <w14:schemeClr w14:val="tx1"/>
            </w14:solidFill>
          </w14:textFill>
        </w:rPr>
        <w:t>根据项目的工程及其产污特点，施工期间，施工单位应设专人负责环境保护管理工作。工程投入运营后，建设单位应设立环境保护管理部门，负责项目所在海域的环保事宜。环境保护工作均应受当地海洋主管部门以及环境保护主管部门的指导和监督。</w:t>
      </w:r>
    </w:p>
    <w:p w14:paraId="6B852CD3">
      <w:pPr>
        <w:pStyle w:val="74"/>
        <w:rPr>
          <w:color w:val="000000" w:themeColor="text1"/>
          <w14:textFill>
            <w14:solidFill>
              <w14:schemeClr w14:val="tx1"/>
            </w14:solidFill>
          </w14:textFill>
        </w:rPr>
      </w:pPr>
      <w:r>
        <w:rPr>
          <w:color w:val="000000" w:themeColor="text1"/>
          <w14:textFill>
            <w14:solidFill>
              <w14:schemeClr w14:val="tx1"/>
            </w14:solidFill>
          </w14:textFill>
        </w:rPr>
        <w:t>项目环境保护管理与监督机构体系见图8.1-1。</w:t>
      </w:r>
    </w:p>
    <w:p w14:paraId="1FAAC49D">
      <w:pPr>
        <w:pStyle w:val="74"/>
        <w:rPr>
          <w:color w:val="000000" w:themeColor="text1"/>
          <w14:textFill>
            <w14:solidFill>
              <w14:schemeClr w14:val="tx1"/>
            </w14:solidFill>
          </w14:textFill>
        </w:rPr>
      </w:pPr>
    </w:p>
    <w:p w14:paraId="306D34E4">
      <w:pPr>
        <w:pStyle w:val="74"/>
        <w:rPr>
          <w:color w:val="000000" w:themeColor="text1"/>
          <w14:textFill>
            <w14:solidFill>
              <w14:schemeClr w14:val="tx1"/>
            </w14:solidFill>
          </w14:textFill>
        </w:rPr>
      </w:pPr>
    </w:p>
    <w:p w14:paraId="0839BEBC">
      <w:pPr>
        <w:pStyle w:val="74"/>
        <w:rPr>
          <w:color w:val="000000" w:themeColor="text1"/>
          <w14:textFill>
            <w14:solidFill>
              <w14:schemeClr w14:val="tx1"/>
            </w14:solidFill>
          </w14:textFill>
        </w:rPr>
      </w:pPr>
    </w:p>
    <w:p w14:paraId="2944F394">
      <w:pPr>
        <w:pStyle w:val="74"/>
        <w:rPr>
          <w:color w:val="000000" w:themeColor="text1"/>
          <w14:textFill>
            <w14:solidFill>
              <w14:schemeClr w14:val="tx1"/>
            </w14:solidFill>
          </w14:textFill>
        </w:rPr>
      </w:pPr>
    </w:p>
    <w:p w14:paraId="34689153">
      <w:pPr>
        <w:pStyle w:val="74"/>
        <w:rPr>
          <w:color w:val="000000" w:themeColor="text1"/>
          <w14:textFill>
            <w14:solidFill>
              <w14:schemeClr w14:val="tx1"/>
            </w14:solidFill>
          </w14:textFill>
        </w:rPr>
      </w:pPr>
    </w:p>
    <w:p w14:paraId="5FD16DAD">
      <w:pPr>
        <w:pStyle w:val="74"/>
        <w:rPr>
          <w:color w:val="000000" w:themeColor="text1"/>
          <w14:textFill>
            <w14:solidFill>
              <w14:schemeClr w14:val="tx1"/>
            </w14:solidFill>
          </w14:textFill>
        </w:rPr>
      </w:pPr>
    </w:p>
    <w:p w14:paraId="6FF541D2">
      <w:pPr>
        <w:pStyle w:val="74"/>
        <w:rPr>
          <w:color w:val="000000" w:themeColor="text1"/>
          <w14:textFill>
            <w14:solidFill>
              <w14:schemeClr w14:val="tx1"/>
            </w14:solidFill>
          </w14:textFill>
        </w:rPr>
      </w:pPr>
    </w:p>
    <w:p w14:paraId="28F5433B">
      <w:pPr>
        <w:pStyle w:val="74"/>
        <w:rPr>
          <w:color w:val="000000" w:themeColor="text1"/>
          <w14:textFill>
            <w14:solidFill>
              <w14:schemeClr w14:val="tx1"/>
            </w14:solidFill>
          </w14:textFill>
        </w:rPr>
      </w:pPr>
    </w:p>
    <w:p w14:paraId="141F6911">
      <w:pPr>
        <w:pStyle w:val="74"/>
        <w:rPr>
          <w:color w:val="000000" w:themeColor="text1"/>
          <w14:textFill>
            <w14:solidFill>
              <w14:schemeClr w14:val="tx1"/>
            </w14:solidFill>
          </w14:textFill>
        </w:rPr>
      </w:pPr>
    </w:p>
    <w:p w14:paraId="6E0959D0">
      <w:pPr>
        <w:pStyle w:val="74"/>
        <w:rPr>
          <w:color w:val="000000" w:themeColor="text1"/>
          <w14:textFill>
            <w14:solidFill>
              <w14:schemeClr w14:val="tx1"/>
            </w14:solidFill>
          </w14:textFill>
        </w:rPr>
      </w:pPr>
    </w:p>
    <w:p w14:paraId="00E74CB5">
      <w:pPr>
        <w:pStyle w:val="74"/>
        <w:rPr>
          <w:color w:val="000000" w:themeColor="text1"/>
          <w14:textFill>
            <w14:solidFill>
              <w14:schemeClr w14:val="tx1"/>
            </w14:solidFill>
          </w14:textFill>
        </w:rPr>
      </w:pPr>
    </w:p>
    <w:p w14:paraId="7ED2D1CB">
      <w:pPr>
        <w:pStyle w:val="74"/>
        <w:rPr>
          <w:color w:val="000000" w:themeColor="text1"/>
          <w14:textFill>
            <w14:solidFill>
              <w14:schemeClr w14:val="tx1"/>
            </w14:solidFill>
          </w14:textFill>
        </w:rPr>
      </w:pPr>
    </w:p>
    <w:p w14:paraId="48236814">
      <w:pPr>
        <w:pStyle w:val="74"/>
        <w:rPr>
          <w:color w:val="000000" w:themeColor="text1"/>
          <w14:textFill>
            <w14:solidFill>
              <w14:schemeClr w14:val="tx1"/>
            </w14:solidFill>
          </w14:textFill>
        </w:rPr>
      </w:pPr>
    </w:p>
    <w:tbl>
      <w:tblPr>
        <w:tblStyle w:val="43"/>
        <w:tblW w:w="8296" w:type="dxa"/>
        <w:jc w:val="center"/>
        <w:tblLayout w:type="fixed"/>
        <w:tblCellMar>
          <w:top w:w="0" w:type="dxa"/>
          <w:left w:w="108" w:type="dxa"/>
          <w:bottom w:w="0" w:type="dxa"/>
          <w:right w:w="108" w:type="dxa"/>
        </w:tblCellMar>
      </w:tblPr>
      <w:tblGrid>
        <w:gridCol w:w="640"/>
        <w:gridCol w:w="4868"/>
        <w:gridCol w:w="2788"/>
      </w:tblGrid>
      <w:tr w14:paraId="4B4B1D5E">
        <w:tblPrEx>
          <w:tblCellMar>
            <w:top w:w="0" w:type="dxa"/>
            <w:left w:w="108" w:type="dxa"/>
            <w:bottom w:w="0" w:type="dxa"/>
            <w:right w:w="108" w:type="dxa"/>
          </w:tblCellMar>
        </w:tblPrEx>
        <w:trPr>
          <w:jc w:val="center"/>
        </w:trPr>
        <w:tc>
          <w:tcPr>
            <w:tcW w:w="640" w:type="dxa"/>
            <w:tcBorders>
              <w:top w:val="dotted" w:color="auto" w:sz="4" w:space="0"/>
              <w:left w:val="dotted" w:color="auto" w:sz="4" w:space="0"/>
              <w:bottom w:val="dotted" w:color="auto" w:sz="4" w:space="0"/>
              <w:right w:val="dotted" w:color="auto" w:sz="4" w:space="0"/>
            </w:tcBorders>
            <w:vAlign w:val="center"/>
          </w:tcPr>
          <w:p w14:paraId="39013534">
            <w:pPr>
              <w:pStyle w:val="70"/>
              <w:spacing w:line="240" w:lineRule="atLeast"/>
              <w:rPr>
                <w:color w:val="000000" w:themeColor="text1"/>
                <w14:textFill>
                  <w14:solidFill>
                    <w14:schemeClr w14:val="tx1"/>
                  </w14:solidFill>
                </w14:textFill>
              </w:rPr>
            </w:pPr>
            <w:r>
              <w:rPr>
                <w:color w:val="000000" w:themeColor="text1"/>
                <w14:textFill>
                  <w14:solidFill>
                    <w14:schemeClr w14:val="tx1"/>
                  </w14:solidFill>
                </w14:textFill>
              </w:rPr>
              <w:br w:type="page"/>
            </w:r>
            <w:r>
              <w:rPr>
                <w:color w:val="000000" w:themeColor="text1"/>
                <w14:textFill>
                  <w14:solidFill>
                    <w14:schemeClr w14:val="tx1"/>
                  </w14:solidFill>
                </w14:textFill>
              </w:rPr>
              <w:t>时段</w:t>
            </w:r>
          </w:p>
        </w:tc>
        <w:tc>
          <w:tcPr>
            <w:tcW w:w="4868" w:type="dxa"/>
            <w:tcBorders>
              <w:top w:val="dotted" w:color="auto" w:sz="4" w:space="0"/>
              <w:left w:val="dotted" w:color="auto" w:sz="4" w:space="0"/>
              <w:bottom w:val="dotted" w:color="auto" w:sz="4" w:space="0"/>
              <w:right w:val="dotted" w:color="auto" w:sz="4" w:space="0"/>
            </w:tcBorders>
            <w:vAlign w:val="center"/>
          </w:tcPr>
          <w:p w14:paraId="605F0A1B">
            <w:pPr>
              <w:pStyle w:val="70"/>
              <w:spacing w:line="240" w:lineRule="atLeast"/>
              <w:rPr>
                <w:color w:val="000000" w:themeColor="text1"/>
                <w14:textFill>
                  <w14:solidFill>
                    <w14:schemeClr w14:val="tx1"/>
                  </w14:solidFill>
                </w14:textFill>
              </w:rPr>
            </w:pPr>
            <w:r>
              <w:rPr>
                <w:color w:val="000000" w:themeColor="text1"/>
                <w14:textFill>
                  <w14:solidFill>
                    <w14:schemeClr w14:val="tx1"/>
                  </w14:solidFill>
                </w14:textFill>
              </w:rPr>
              <w:t>环境管理机构</w:t>
            </w:r>
          </w:p>
        </w:tc>
        <w:tc>
          <w:tcPr>
            <w:tcW w:w="2788" w:type="dxa"/>
            <w:tcBorders>
              <w:top w:val="dotted" w:color="auto" w:sz="4" w:space="0"/>
              <w:left w:val="dotted" w:color="auto" w:sz="4" w:space="0"/>
              <w:bottom w:val="dotted" w:color="auto" w:sz="4" w:space="0"/>
              <w:right w:val="dotted" w:color="auto" w:sz="4" w:space="0"/>
            </w:tcBorders>
            <w:vAlign w:val="center"/>
          </w:tcPr>
          <w:p w14:paraId="3D9C73E9">
            <w:pPr>
              <w:pStyle w:val="70"/>
              <w:spacing w:line="240" w:lineRule="atLeast"/>
              <w:rPr>
                <w:color w:val="000000" w:themeColor="text1"/>
                <w14:textFill>
                  <w14:solidFill>
                    <w14:schemeClr w14:val="tx1"/>
                  </w14:solidFill>
                </w14:textFill>
              </w:rPr>
            </w:pPr>
            <w:r>
              <w:rPr>
                <w:color w:val="000000" w:themeColor="text1"/>
                <w14:textFill>
                  <w14:solidFill>
                    <w14:schemeClr w14:val="tx1"/>
                  </w14:solidFill>
                </w14:textFill>
              </w:rPr>
              <w:t>监督机构</w:t>
            </w:r>
          </w:p>
        </w:tc>
      </w:tr>
      <w:tr w14:paraId="3F5DBE94">
        <w:tblPrEx>
          <w:tblCellMar>
            <w:top w:w="0" w:type="dxa"/>
            <w:left w:w="108" w:type="dxa"/>
            <w:bottom w:w="0" w:type="dxa"/>
            <w:right w:w="108" w:type="dxa"/>
          </w:tblCellMar>
        </w:tblPrEx>
        <w:trPr>
          <w:trHeight w:val="1331" w:hRule="atLeast"/>
          <w:jc w:val="center"/>
        </w:trPr>
        <w:tc>
          <w:tcPr>
            <w:tcW w:w="640" w:type="dxa"/>
            <w:tcBorders>
              <w:top w:val="dotted" w:color="auto" w:sz="4" w:space="0"/>
              <w:left w:val="dotted" w:color="auto" w:sz="4" w:space="0"/>
              <w:bottom w:val="dotted" w:color="auto" w:sz="4" w:space="0"/>
              <w:right w:val="dotted" w:color="auto" w:sz="4" w:space="0"/>
            </w:tcBorders>
            <w:vAlign w:val="center"/>
          </w:tcPr>
          <w:p w14:paraId="4D9C1210">
            <w:pPr>
              <w:pStyle w:val="70"/>
              <w:spacing w:line="240" w:lineRule="atLeast"/>
              <w:rPr>
                <w:color w:val="000000" w:themeColor="text1"/>
                <w14:textFill>
                  <w14:solidFill>
                    <w14:schemeClr w14:val="tx1"/>
                  </w14:solidFill>
                </w14:textFill>
              </w:rPr>
            </w:pPr>
            <w:r>
              <w:rPr>
                <w:color w:val="000000" w:themeColor="text1"/>
                <w14:textFill>
                  <w14:solidFill>
                    <w14:schemeClr w14:val="tx1"/>
                  </w14:solidFill>
                </w14:textFill>
              </w:rPr>
              <w:t>设计施工运营</w:t>
            </w:r>
          </w:p>
        </w:tc>
        <w:tc>
          <w:tcPr>
            <w:tcW w:w="4868" w:type="dxa"/>
            <w:tcBorders>
              <w:top w:val="dotted" w:color="auto" w:sz="4" w:space="0"/>
              <w:left w:val="dotted" w:color="auto" w:sz="4" w:space="0"/>
              <w:bottom w:val="dotted" w:color="auto" w:sz="4" w:space="0"/>
              <w:right w:val="dotted" w:color="auto" w:sz="4" w:space="0"/>
            </w:tcBorders>
            <w:vAlign w:val="center"/>
          </w:tcPr>
          <w:p w14:paraId="4F2633DF">
            <w:pPr>
              <w:pStyle w:val="70"/>
              <w:spacing w:line="240" w:lineRule="atLeast"/>
              <w:rPr>
                <w:color w:val="000000" w:themeColor="text1"/>
                <w14:textFill>
                  <w14:solidFill>
                    <w14:schemeClr w14:val="tx1"/>
                  </w14:solidFill>
                </w14:textFill>
              </w:rPr>
            </w:pPr>
            <w:r>
              <w:rPr>
                <w:color w:val="000000" w:themeColor="text1"/>
                <w14:textFill>
                  <w14:solidFill>
                    <w14:schemeClr w14:val="tx1"/>
                  </w14:solidFill>
                </w14:textFill>
              </w:rPr>
              <mc:AlternateContent>
                <mc:Choice Requires="wps">
                  <w:drawing>
                    <wp:anchor distT="0" distB="0" distL="113665" distR="113665" simplePos="0" relativeHeight="251702272" behindDoc="0" locked="0" layoutInCell="1" allowOverlap="1">
                      <wp:simplePos x="0" y="0"/>
                      <wp:positionH relativeFrom="column">
                        <wp:posOffset>1188085</wp:posOffset>
                      </wp:positionH>
                      <wp:positionV relativeFrom="paragraph">
                        <wp:posOffset>527685</wp:posOffset>
                      </wp:positionV>
                      <wp:extent cx="0" cy="513715"/>
                      <wp:effectExtent l="0" t="0" r="0" b="635"/>
                      <wp:wrapNone/>
                      <wp:docPr id="79" name="Line 2551"/>
                      <wp:cNvGraphicFramePr/>
                      <a:graphic xmlns:a="http://schemas.openxmlformats.org/drawingml/2006/main">
                        <a:graphicData uri="http://schemas.microsoft.com/office/word/2010/wordprocessingShape">
                          <wps:wsp>
                            <wps:cNvCnPr>
                              <a:cxnSpLocks noChangeShapeType="1"/>
                            </wps:cNvCnPr>
                            <wps:spPr bwMode="auto">
                              <a:xfrm flipH="1">
                                <a:off x="0" y="0"/>
                                <a:ext cx="0" cy="513715"/>
                              </a:xfrm>
                              <a:prstGeom prst="line">
                                <a:avLst/>
                              </a:prstGeom>
                              <a:noFill/>
                              <a:ln w="9525">
                                <a:solidFill>
                                  <a:srgbClr val="000000"/>
                                </a:solidFill>
                                <a:round/>
                              </a:ln>
                            </wps:spPr>
                            <wps:bodyPr/>
                          </wps:wsp>
                        </a:graphicData>
                      </a:graphic>
                    </wp:anchor>
                  </w:drawing>
                </mc:Choice>
                <mc:Fallback>
                  <w:pict>
                    <v:line id="Line 2551" o:spid="_x0000_s1026" o:spt="20" style="position:absolute;left:0pt;flip:x;margin-left:93.55pt;margin-top:41.55pt;height:40.45pt;width:0pt;z-index:251702272;mso-width-relative:page;mso-height-relative:page;" filled="f" stroked="t" coordsize="21600,21600" o:gfxdata="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">
                      <v:fill on="f" focussize="0,0"/>
                      <v:stroke color="#000000" joinstyle="round"/>
                      <v:imagedata o:title=""/>
                      <o:lock v:ext="edit" aspectratio="f"/>
                    </v:lin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77696" behindDoc="0" locked="0" layoutInCell="1" allowOverlap="1">
                      <wp:simplePos x="0" y="0"/>
                      <wp:positionH relativeFrom="column">
                        <wp:posOffset>388620</wp:posOffset>
                      </wp:positionH>
                      <wp:positionV relativeFrom="paragraph">
                        <wp:posOffset>230505</wp:posOffset>
                      </wp:positionV>
                      <wp:extent cx="1870710" cy="297180"/>
                      <wp:effectExtent l="0" t="0" r="3175" b="3810"/>
                      <wp:wrapNone/>
                      <wp:docPr id="78" name="Text Box 2525"/>
                      <wp:cNvGraphicFramePr/>
                      <a:graphic xmlns:a="http://schemas.openxmlformats.org/drawingml/2006/main">
                        <a:graphicData uri="http://schemas.microsoft.com/office/word/2010/wordprocessingShape">
                          <wps:wsp>
                            <wps:cNvSpPr txBox="1">
                              <a:spLocks noChangeArrowheads="1"/>
                            </wps:cNvSpPr>
                            <wps:spPr bwMode="auto">
                              <a:xfrm>
                                <a:off x="0" y="0"/>
                                <a:ext cx="1870710" cy="297180"/>
                              </a:xfrm>
                              <a:prstGeom prst="rect">
                                <a:avLst/>
                              </a:prstGeom>
                              <a:solidFill>
                                <a:srgbClr val="FFFFFF"/>
                              </a:solidFill>
                              <a:ln w="9525">
                                <a:solidFill>
                                  <a:srgbClr val="000000"/>
                                </a:solidFill>
                                <a:miter lim="800000"/>
                              </a:ln>
                            </wps:spPr>
                            <wps:txbx>
                              <w:txbxContent>
                                <w:p w14:paraId="02EE0017">
                                  <w:pPr>
                                    <w:adjustRightInd w:val="0"/>
                                    <w:snapToGrid w:val="0"/>
                                    <w:spacing w:line="240" w:lineRule="atLeast"/>
                                    <w:ind w:firstLine="0" w:firstLineChars="0"/>
                                    <w:rPr>
                                      <w:sz w:val="21"/>
                                      <w:szCs w:val="21"/>
                                    </w:rPr>
                                  </w:pPr>
                                  <w:r>
                                    <w:rPr>
                                      <w:rFonts w:hint="eastAsia"/>
                                      <w:sz w:val="21"/>
                                      <w:szCs w:val="21"/>
                                    </w:rPr>
                                    <w:t>交通主管部门环保机构</w:t>
                                  </w:r>
                                </w:p>
                              </w:txbxContent>
                            </wps:txbx>
                            <wps:bodyPr rot="0" vert="horz" wrap="square" lIns="91440" tIns="45720" rIns="91440" bIns="45720" anchor="t" anchorCtr="0" upright="1">
                              <a:noAutofit/>
                            </wps:bodyPr>
                          </wps:wsp>
                        </a:graphicData>
                      </a:graphic>
                    </wp:anchor>
                  </w:drawing>
                </mc:Choice>
                <mc:Fallback>
                  <w:pict>
                    <v:shape id="Text Box 2525" o:spid="_x0000_s1026" o:spt="202" type="#_x0000_t202" style="position:absolute;left:0pt;margin-left:30.6pt;margin-top:18.15pt;height:23.4pt;width:147.3pt;z-index:251677696;mso-width-relative:page;mso-height-relative:page;" fillcolor="#FFFFFF" filled="t" stroked="t" coordsize="21600,21600" o:gfxdata="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FNMwaHXAAAACAEAAA8AAAAAAAAAAQAgAAAAIgAAAGRycy9kb3ducmV2LnhtbFBL&#10;AQIUABQAAAAIAIdO4kDx452MMAIAAIoEAAAOAAAAAAAAAAEAIAAAACYBAABkcnMvZTJvRG9jLnht&#10;bFBLBQYAAAAABgAGAFkBAADIBQAAAAA=&#10;">
                      <v:fill on="t" focussize="0,0"/>
                      <v:stroke color="#000000" miterlimit="8" joinstyle="miter"/>
                      <v:imagedata o:title=""/>
                      <o:lock v:ext="edit" aspectratio="f"/>
                      <v:textbox>
                        <w:txbxContent>
                          <w:p w14:paraId="02EE0017">
                            <w:pPr>
                              <w:adjustRightInd w:val="0"/>
                              <w:snapToGrid w:val="0"/>
                              <w:spacing w:line="240" w:lineRule="atLeast"/>
                              <w:ind w:firstLine="0" w:firstLineChars="0"/>
                              <w:rPr>
                                <w:sz w:val="21"/>
                                <w:szCs w:val="21"/>
                              </w:rPr>
                            </w:pPr>
                            <w:r>
                              <w:rPr>
                                <w:rFonts w:hint="eastAsia"/>
                                <w:sz w:val="21"/>
                                <w:szCs w:val="21"/>
                              </w:rPr>
                              <w:t>交通主管部门环保机构</w:t>
                            </w:r>
                          </w:p>
                        </w:txbxContent>
                      </v:textbox>
                    </v:shape>
                  </w:pict>
                </mc:Fallback>
              </mc:AlternateContent>
            </w:r>
          </w:p>
        </w:tc>
        <w:tc>
          <w:tcPr>
            <w:tcW w:w="2788" w:type="dxa"/>
            <w:vMerge w:val="restart"/>
            <w:tcBorders>
              <w:top w:val="dotted" w:color="auto" w:sz="4" w:space="0"/>
              <w:left w:val="dotted" w:color="auto" w:sz="4" w:space="0"/>
              <w:right w:val="dotted" w:color="auto" w:sz="4" w:space="0"/>
            </w:tcBorders>
            <w:vAlign w:val="center"/>
          </w:tcPr>
          <w:p w14:paraId="3FAA09FD">
            <w:pPr>
              <w:pStyle w:val="70"/>
              <w:spacing w:line="240" w:lineRule="atLeast"/>
              <w:rPr>
                <w:color w:val="000000" w:themeColor="text1"/>
                <w14:textFill>
                  <w14:solidFill>
                    <w14:schemeClr w14:val="tx1"/>
                  </w14:solidFill>
                </w14:textFill>
              </w:rPr>
            </w:pPr>
            <w:r>
              <w:rPr>
                <w:color w:val="000000" w:themeColor="text1"/>
                <w14:textFill>
                  <w14:solidFill>
                    <w14:schemeClr w14:val="tx1"/>
                  </w14:solidFill>
                </w14:textFill>
              </w:rPr>
              <mc:AlternateContent>
                <mc:Choice Requires="wps">
                  <w:drawing>
                    <wp:anchor distT="0" distB="0" distL="114300" distR="114300" simplePos="0" relativeHeight="251693056" behindDoc="0" locked="0" layoutInCell="1" allowOverlap="1">
                      <wp:simplePos x="0" y="0"/>
                      <wp:positionH relativeFrom="column">
                        <wp:posOffset>-17145</wp:posOffset>
                      </wp:positionH>
                      <wp:positionV relativeFrom="paragraph">
                        <wp:posOffset>1501775</wp:posOffset>
                      </wp:positionV>
                      <wp:extent cx="1714500" cy="552450"/>
                      <wp:effectExtent l="0" t="0" r="19050" b="19050"/>
                      <wp:wrapNone/>
                      <wp:docPr id="75" name="Text Box 2541"/>
                      <wp:cNvGraphicFramePr/>
                      <a:graphic xmlns:a="http://schemas.openxmlformats.org/drawingml/2006/main">
                        <a:graphicData uri="http://schemas.microsoft.com/office/word/2010/wordprocessingShape">
                          <wps:wsp>
                            <wps:cNvSpPr txBox="1">
                              <a:spLocks noChangeArrowheads="1"/>
                            </wps:cNvSpPr>
                            <wps:spPr bwMode="auto">
                              <a:xfrm>
                                <a:off x="0" y="0"/>
                                <a:ext cx="1714500" cy="552450"/>
                              </a:xfrm>
                              <a:prstGeom prst="rect">
                                <a:avLst/>
                              </a:prstGeom>
                              <a:solidFill>
                                <a:srgbClr val="FFFFFF"/>
                              </a:solidFill>
                              <a:ln w="9525">
                                <a:solidFill>
                                  <a:srgbClr val="000000"/>
                                </a:solidFill>
                                <a:miter lim="800000"/>
                              </a:ln>
                            </wps:spPr>
                            <wps:txbx>
                              <w:txbxContent>
                                <w:p w14:paraId="43822629">
                                  <w:pPr>
                                    <w:adjustRightInd w:val="0"/>
                                    <w:snapToGrid w:val="0"/>
                                    <w:spacing w:line="240" w:lineRule="atLeast"/>
                                    <w:ind w:firstLine="0" w:firstLineChars="0"/>
                                    <w:jc w:val="center"/>
                                    <w:rPr>
                                      <w:sz w:val="21"/>
                                      <w:szCs w:val="21"/>
                                    </w:rPr>
                                  </w:pPr>
                                  <w:r>
                                    <w:rPr>
                                      <w:rFonts w:hint="eastAsia"/>
                                      <w:sz w:val="21"/>
                                      <w:szCs w:val="21"/>
                                    </w:rPr>
                                    <w:t>钦州市生态环境局/港口分局</w:t>
                                  </w:r>
                                </w:p>
                              </w:txbxContent>
                            </wps:txbx>
                            <wps:bodyPr rot="0" vert="horz" wrap="square" lIns="91440" tIns="45720" rIns="91440" bIns="45720" anchor="t" anchorCtr="0" upright="1">
                              <a:noAutofit/>
                            </wps:bodyPr>
                          </wps:wsp>
                        </a:graphicData>
                      </a:graphic>
                    </wp:anchor>
                  </w:drawing>
                </mc:Choice>
                <mc:Fallback>
                  <w:pict>
                    <v:shape id="Text Box 2541" o:spid="_x0000_s1026" o:spt="202" type="#_x0000_t202" style="position:absolute;left:0pt;margin-left:-1.35pt;margin-top:118.25pt;height:43.5pt;width:135pt;z-index:251693056;mso-width-relative:page;mso-height-relative:page;" fillcolor="#FFFFFF" filled="t" stroked="t" coordsize="21600,21600" o:gfxdata="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AqNSxk2gAAAAoBAAAPAAAAAAAAAAEAIAAAACIAAABkcnMvZG93bnJldi54&#10;bWxQSwECFAAUAAAACACHTuJAAfeT2TECAACKBAAADgAAAAAAAAABACAAAAApAQAAZHJzL2Uyb0Rv&#10;Yy54bWxQSwUGAAAAAAYABgBZAQAAzAUAAAAA&#10;">
                      <v:fill on="t" focussize="0,0"/>
                      <v:stroke color="#000000" miterlimit="8" joinstyle="miter"/>
                      <v:imagedata o:title=""/>
                      <o:lock v:ext="edit" aspectratio="f"/>
                      <v:textbox>
                        <w:txbxContent>
                          <w:p w14:paraId="43822629">
                            <w:pPr>
                              <w:adjustRightInd w:val="0"/>
                              <w:snapToGrid w:val="0"/>
                              <w:spacing w:line="240" w:lineRule="atLeast"/>
                              <w:ind w:firstLine="0" w:firstLineChars="0"/>
                              <w:jc w:val="center"/>
                              <w:rPr>
                                <w:sz w:val="21"/>
                                <w:szCs w:val="21"/>
                              </w:rPr>
                            </w:pPr>
                            <w:r>
                              <w:rPr>
                                <w:rFonts w:hint="eastAsia"/>
                                <w:sz w:val="21"/>
                                <w:szCs w:val="21"/>
                              </w:rPr>
                              <w:t>钦州市生态环境局/港口分局</w:t>
                            </w:r>
                          </w:p>
                        </w:txbxContent>
                      </v:textbox>
                    </v:shape>
                  </w:pict>
                </mc:Fallback>
              </mc:AlternateContent>
            </w:r>
          </w:p>
        </w:tc>
      </w:tr>
      <w:tr w14:paraId="66853F01">
        <w:tblPrEx>
          <w:tblCellMar>
            <w:top w:w="0" w:type="dxa"/>
            <w:left w:w="108" w:type="dxa"/>
            <w:bottom w:w="0" w:type="dxa"/>
            <w:right w:w="108" w:type="dxa"/>
          </w:tblCellMar>
        </w:tblPrEx>
        <w:trPr>
          <w:trHeight w:val="3413" w:hRule="atLeast"/>
          <w:jc w:val="center"/>
        </w:trPr>
        <w:tc>
          <w:tcPr>
            <w:tcW w:w="640" w:type="dxa"/>
            <w:tcBorders>
              <w:top w:val="dotted" w:color="auto" w:sz="4" w:space="0"/>
              <w:left w:val="dotted" w:color="auto" w:sz="4" w:space="0"/>
              <w:bottom w:val="dotted" w:color="auto" w:sz="4" w:space="0"/>
              <w:right w:val="dotted" w:color="auto" w:sz="4" w:space="0"/>
            </w:tcBorders>
            <w:vAlign w:val="center"/>
          </w:tcPr>
          <w:p w14:paraId="1D8FBB95">
            <w:pPr>
              <w:pStyle w:val="70"/>
              <w:spacing w:line="240" w:lineRule="atLeast"/>
              <w:rPr>
                <w:color w:val="000000" w:themeColor="text1"/>
                <w14:textFill>
                  <w14:solidFill>
                    <w14:schemeClr w14:val="tx1"/>
                  </w14:solidFill>
                </w14:textFill>
              </w:rPr>
            </w:pPr>
            <w:r>
              <w:rPr>
                <w:color w:val="000000" w:themeColor="text1"/>
                <w14:textFill>
                  <w14:solidFill>
                    <w14:schemeClr w14:val="tx1"/>
                  </w14:solidFill>
                </w14:textFill>
              </w:rPr>
              <w:t>设计</w:t>
            </w:r>
          </w:p>
          <w:p w14:paraId="04379C42">
            <w:pPr>
              <w:pStyle w:val="70"/>
              <w:spacing w:line="240" w:lineRule="atLeast"/>
              <w:rPr>
                <w:color w:val="000000" w:themeColor="text1"/>
                <w14:textFill>
                  <w14:solidFill>
                    <w14:schemeClr w14:val="tx1"/>
                  </w14:solidFill>
                </w14:textFill>
              </w:rPr>
            </w:pPr>
            <w:r>
              <w:rPr>
                <w:color w:val="000000" w:themeColor="text1"/>
                <w14:textFill>
                  <w14:solidFill>
                    <w14:schemeClr w14:val="tx1"/>
                  </w14:solidFill>
                </w14:textFill>
              </w:rPr>
              <w:t>施工</w:t>
            </w:r>
          </w:p>
        </w:tc>
        <w:tc>
          <w:tcPr>
            <w:tcW w:w="4868" w:type="dxa"/>
            <w:tcBorders>
              <w:top w:val="dotted" w:color="auto" w:sz="4" w:space="0"/>
              <w:left w:val="dotted" w:color="auto" w:sz="4" w:space="0"/>
              <w:bottom w:val="dotted" w:color="auto" w:sz="4" w:space="0"/>
              <w:right w:val="dotted" w:color="auto" w:sz="4" w:space="0"/>
            </w:tcBorders>
            <w:vAlign w:val="center"/>
          </w:tcPr>
          <w:p w14:paraId="6A05C935">
            <w:pPr>
              <w:pStyle w:val="70"/>
              <w:spacing w:line="240" w:lineRule="atLeast"/>
              <w:rPr>
                <w:color w:val="000000" w:themeColor="text1"/>
                <w14:textFill>
                  <w14:solidFill>
                    <w14:schemeClr w14:val="tx1"/>
                  </w14:solidFill>
                </w14:textFill>
              </w:rPr>
            </w:pPr>
            <w:r>
              <w:rPr>
                <w:color w:val="000000" w:themeColor="text1"/>
                <w14:textFill>
                  <w14:solidFill>
                    <w14:schemeClr w14:val="tx1"/>
                  </w14:solidFill>
                </w14:textFill>
              </w:rPr>
              <mc:AlternateContent>
                <mc:Choice Requires="wps">
                  <w:drawing>
                    <wp:anchor distT="0" distB="0" distL="114300" distR="114300" simplePos="0" relativeHeight="251681792" behindDoc="0" locked="0" layoutInCell="1" allowOverlap="1">
                      <wp:simplePos x="0" y="0"/>
                      <wp:positionH relativeFrom="column">
                        <wp:posOffset>151765</wp:posOffset>
                      </wp:positionH>
                      <wp:positionV relativeFrom="paragraph">
                        <wp:posOffset>389255</wp:posOffset>
                      </wp:positionV>
                      <wp:extent cx="380365" cy="1344930"/>
                      <wp:effectExtent l="0" t="0" r="19685" b="26670"/>
                      <wp:wrapNone/>
                      <wp:docPr id="3446" name="Text Box 2529"/>
                      <wp:cNvGraphicFramePr/>
                      <a:graphic xmlns:a="http://schemas.openxmlformats.org/drawingml/2006/main">
                        <a:graphicData uri="http://schemas.microsoft.com/office/word/2010/wordprocessingShape">
                          <wps:wsp>
                            <wps:cNvSpPr txBox="1">
                              <a:spLocks noChangeArrowheads="1"/>
                            </wps:cNvSpPr>
                            <wps:spPr bwMode="auto">
                              <a:xfrm>
                                <a:off x="0" y="0"/>
                                <a:ext cx="380365" cy="1344930"/>
                              </a:xfrm>
                              <a:prstGeom prst="rect">
                                <a:avLst/>
                              </a:prstGeom>
                              <a:solidFill>
                                <a:srgbClr val="FFFFFF"/>
                              </a:solidFill>
                              <a:ln w="9525">
                                <a:solidFill>
                                  <a:srgbClr val="000000"/>
                                </a:solidFill>
                                <a:miter lim="800000"/>
                              </a:ln>
                            </wps:spPr>
                            <wps:txbx>
                              <w:txbxContent>
                                <w:p w14:paraId="657A747D">
                                  <w:pPr>
                                    <w:adjustRightInd w:val="0"/>
                                    <w:snapToGrid w:val="0"/>
                                    <w:spacing w:line="240" w:lineRule="atLeast"/>
                                    <w:ind w:firstLine="0" w:firstLineChars="0"/>
                                    <w:rPr>
                                      <w:sz w:val="21"/>
                                      <w:szCs w:val="21"/>
                                    </w:rPr>
                                  </w:pPr>
                                  <w:r>
                                    <w:rPr>
                                      <w:rFonts w:hint="eastAsia"/>
                                      <w:sz w:val="21"/>
                                      <w:szCs w:val="21"/>
                                    </w:rPr>
                                    <w:t>承包商</w:t>
                                  </w:r>
                                </w:p>
                              </w:txbxContent>
                            </wps:txbx>
                            <wps:bodyPr rot="0" vert="horz" wrap="square" lIns="91440" tIns="45720" rIns="91440" bIns="45720" anchor="t" anchorCtr="0" upright="1">
                              <a:noAutofit/>
                            </wps:bodyPr>
                          </wps:wsp>
                        </a:graphicData>
                      </a:graphic>
                    </wp:anchor>
                  </w:drawing>
                </mc:Choice>
                <mc:Fallback>
                  <w:pict>
                    <v:shape id="Text Box 2529" o:spid="_x0000_s1026" o:spt="202" type="#_x0000_t202" style="position:absolute;left:0pt;margin-left:11.95pt;margin-top:30.65pt;height:105.9pt;width:29.95pt;z-index:251681792;mso-width-relative:page;mso-height-relative:page;" fillcolor="#FFFFFF" filled="t" stroked="t" coordsize="21600,21600" o:gfxdata="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ezcvv9cAAAAIAQAADwAAAAAAAAABACAAAAAiAAAAZHJzL2Rvd25yZXYu&#10;eG1sUEsBAhQAFAAAAAgAh07iQGovN+I1AgAAjAQAAA4AAAAAAAAAAQAgAAAAJgEAAGRycy9lMm9E&#10;b2MueG1sUEsFBgAAAAAGAAYAWQEAAM0FAAAAAA==&#10;">
                      <v:fill on="t" focussize="0,0"/>
                      <v:stroke color="#000000" miterlimit="8" joinstyle="miter"/>
                      <v:imagedata o:title=""/>
                      <o:lock v:ext="edit" aspectratio="f"/>
                      <v:textbox>
                        <w:txbxContent>
                          <w:p w14:paraId="657A747D">
                            <w:pPr>
                              <w:adjustRightInd w:val="0"/>
                              <w:snapToGrid w:val="0"/>
                              <w:spacing w:line="240" w:lineRule="atLeast"/>
                              <w:ind w:firstLine="0" w:firstLineChars="0"/>
                              <w:rPr>
                                <w:sz w:val="21"/>
                                <w:szCs w:val="21"/>
                              </w:rPr>
                            </w:pPr>
                            <w:r>
                              <w:rPr>
                                <w:rFonts w:hint="eastAsia"/>
                                <w:sz w:val="21"/>
                                <w:szCs w:val="21"/>
                              </w:rPr>
                              <w:t>承包商</w:t>
                            </w:r>
                          </w:p>
                        </w:txbxContent>
                      </v:textbox>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82816" behindDoc="0" locked="0" layoutInCell="1" allowOverlap="1">
                      <wp:simplePos x="0" y="0"/>
                      <wp:positionH relativeFrom="column">
                        <wp:posOffset>655320</wp:posOffset>
                      </wp:positionH>
                      <wp:positionV relativeFrom="paragraph">
                        <wp:posOffset>354330</wp:posOffset>
                      </wp:positionV>
                      <wp:extent cx="342900" cy="1445260"/>
                      <wp:effectExtent l="0" t="0" r="0" b="4445"/>
                      <wp:wrapNone/>
                      <wp:docPr id="74" name="Text Box 2530"/>
                      <wp:cNvGraphicFramePr/>
                      <a:graphic xmlns:a="http://schemas.openxmlformats.org/drawingml/2006/main">
                        <a:graphicData uri="http://schemas.microsoft.com/office/word/2010/wordprocessingShape">
                          <wps:wsp>
                            <wps:cNvSpPr txBox="1">
                              <a:spLocks noChangeArrowheads="1"/>
                            </wps:cNvSpPr>
                            <wps:spPr bwMode="auto">
                              <a:xfrm>
                                <a:off x="0" y="0"/>
                                <a:ext cx="342900" cy="1445260"/>
                              </a:xfrm>
                              <a:prstGeom prst="rect">
                                <a:avLst/>
                              </a:prstGeom>
                              <a:solidFill>
                                <a:srgbClr val="FFFFFF"/>
                              </a:solidFill>
                              <a:ln w="9525">
                                <a:solidFill>
                                  <a:srgbClr val="000000"/>
                                </a:solidFill>
                                <a:miter lim="800000"/>
                              </a:ln>
                            </wps:spPr>
                            <wps:txbx>
                              <w:txbxContent>
                                <w:p w14:paraId="08C0AF93">
                                  <w:pPr>
                                    <w:adjustRightInd w:val="0"/>
                                    <w:snapToGrid w:val="0"/>
                                    <w:spacing w:line="240" w:lineRule="atLeast"/>
                                    <w:ind w:firstLine="0" w:firstLineChars="0"/>
                                  </w:pPr>
                                  <w:r>
                                    <w:rPr>
                                      <w:rFonts w:hint="eastAsia"/>
                                      <w:sz w:val="21"/>
                                      <w:szCs w:val="21"/>
                                    </w:rPr>
                                    <w:t>环境监理</w:t>
                                  </w:r>
                                  <w:r>
                                    <w:rPr>
                                      <w:rFonts w:hint="eastAsia"/>
                                    </w:rPr>
                                    <w:t>工</w:t>
                                  </w:r>
                                  <w:r>
                                    <w:rPr>
                                      <w:rFonts w:hint="eastAsia"/>
                                      <w:sz w:val="21"/>
                                      <w:szCs w:val="21"/>
                                    </w:rPr>
                                    <w:t>程师</w:t>
                                  </w:r>
                                </w:p>
                              </w:txbxContent>
                            </wps:txbx>
                            <wps:bodyPr rot="0" vert="horz" wrap="square" lIns="91440" tIns="45720" rIns="91440" bIns="45720" anchor="t" anchorCtr="0" upright="1">
                              <a:noAutofit/>
                            </wps:bodyPr>
                          </wps:wsp>
                        </a:graphicData>
                      </a:graphic>
                    </wp:anchor>
                  </w:drawing>
                </mc:Choice>
                <mc:Fallback>
                  <w:pict>
                    <v:shape id="Text Box 2530" o:spid="_x0000_s1026" o:spt="202" type="#_x0000_t202" style="position:absolute;left:0pt;margin-left:51.6pt;margin-top:27.9pt;height:113.8pt;width:27pt;z-index:251682816;mso-width-relative:page;mso-height-relative:page;" fillcolor="#FFFFFF" filled="t" stroked="t" coordsize="21600,21600" o:gfxdata="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MFqLPNgAAAAKAQAADwAAAAAAAAABACAAAAAiAAAAZHJzL2Rvd25yZXYu&#10;eG1sUEsBAhQAFAAAAAgAh07iQKvKOfU0AgAAigQAAA4AAAAAAAAAAQAgAAAAJwEAAGRycy9lMm9E&#10;b2MueG1sUEsFBgAAAAAGAAYAWQEAAM0FAAAAAA==&#10;">
                      <v:fill on="t" focussize="0,0"/>
                      <v:stroke color="#000000" miterlimit="8" joinstyle="miter"/>
                      <v:imagedata o:title=""/>
                      <o:lock v:ext="edit" aspectratio="f"/>
                      <v:textbox>
                        <w:txbxContent>
                          <w:p w14:paraId="08C0AF93">
                            <w:pPr>
                              <w:adjustRightInd w:val="0"/>
                              <w:snapToGrid w:val="0"/>
                              <w:spacing w:line="240" w:lineRule="atLeast"/>
                              <w:ind w:firstLine="0" w:firstLineChars="0"/>
                            </w:pPr>
                            <w:r>
                              <w:rPr>
                                <w:rFonts w:hint="eastAsia"/>
                                <w:sz w:val="21"/>
                                <w:szCs w:val="21"/>
                              </w:rPr>
                              <w:t>环境监理</w:t>
                            </w:r>
                            <w:r>
                              <w:rPr>
                                <w:rFonts w:hint="eastAsia"/>
                              </w:rPr>
                              <w:t>工</w:t>
                            </w:r>
                            <w:r>
                              <w:rPr>
                                <w:rFonts w:hint="eastAsia"/>
                                <w:sz w:val="21"/>
                                <w:szCs w:val="21"/>
                              </w:rPr>
                              <w:t>程师</w:t>
                            </w:r>
                          </w:p>
                        </w:txbxContent>
                      </v:textbox>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78720" behindDoc="0" locked="0" layoutInCell="1" allowOverlap="1">
                      <wp:simplePos x="0" y="0"/>
                      <wp:positionH relativeFrom="column">
                        <wp:posOffset>299085</wp:posOffset>
                      </wp:positionH>
                      <wp:positionV relativeFrom="paragraph">
                        <wp:posOffset>207010</wp:posOffset>
                      </wp:positionV>
                      <wp:extent cx="2272665" cy="12065"/>
                      <wp:effectExtent l="0" t="0" r="16510" b="12065"/>
                      <wp:wrapNone/>
                      <wp:docPr id="73" name="Line 2526"/>
                      <wp:cNvGraphicFramePr/>
                      <a:graphic xmlns:a="http://schemas.openxmlformats.org/drawingml/2006/main">
                        <a:graphicData uri="http://schemas.microsoft.com/office/word/2010/wordprocessingShape">
                          <wps:wsp>
                            <wps:cNvCnPr>
                              <a:cxnSpLocks noChangeShapeType="1"/>
                            </wps:cNvCnPr>
                            <wps:spPr bwMode="auto">
                              <a:xfrm>
                                <a:off x="0" y="0"/>
                                <a:ext cx="2272665" cy="12065"/>
                              </a:xfrm>
                              <a:prstGeom prst="line">
                                <a:avLst/>
                              </a:prstGeom>
                              <a:noFill/>
                              <a:ln w="9525">
                                <a:solidFill>
                                  <a:srgbClr val="000000"/>
                                </a:solidFill>
                                <a:round/>
                              </a:ln>
                            </wps:spPr>
                            <wps:bodyPr/>
                          </wps:wsp>
                        </a:graphicData>
                      </a:graphic>
                    </wp:anchor>
                  </w:drawing>
                </mc:Choice>
                <mc:Fallback>
                  <w:pict>
                    <v:line id="Line 2526" o:spid="_x0000_s1026" o:spt="20" style="position:absolute;left:0pt;margin-left:23.55pt;margin-top:16.3pt;height:0.95pt;width:178.95pt;z-index:251678720;mso-width-relative:page;mso-height-relative:page;" filled="f" stroked="t" coordsize="21600,21600" o:gfxdata="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">
                      <v:fill on="f" focussize="0,0"/>
                      <v:stroke color="#000000" joinstyle="round"/>
                      <v:imagedata o:title=""/>
                      <o:lock v:ext="edit" aspectratio="f"/>
                    </v:lin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01248" behindDoc="0" locked="0" layoutInCell="1" allowOverlap="1">
                      <wp:simplePos x="0" y="0"/>
                      <wp:positionH relativeFrom="column">
                        <wp:posOffset>1524000</wp:posOffset>
                      </wp:positionH>
                      <wp:positionV relativeFrom="paragraph">
                        <wp:posOffset>203835</wp:posOffset>
                      </wp:positionV>
                      <wp:extent cx="1905" cy="173355"/>
                      <wp:effectExtent l="0" t="0" r="18415" b="5715"/>
                      <wp:wrapNone/>
                      <wp:docPr id="38" name="Line 2550"/>
                      <wp:cNvGraphicFramePr/>
                      <a:graphic xmlns:a="http://schemas.openxmlformats.org/drawingml/2006/main">
                        <a:graphicData uri="http://schemas.microsoft.com/office/word/2010/wordprocessingShape">
                          <wps:wsp>
                            <wps:cNvCnPr>
                              <a:cxnSpLocks noChangeShapeType="1"/>
                            </wps:cNvCnPr>
                            <wps:spPr bwMode="auto">
                              <a:xfrm flipH="1">
                                <a:off x="0" y="0"/>
                                <a:ext cx="1905" cy="173355"/>
                              </a:xfrm>
                              <a:prstGeom prst="line">
                                <a:avLst/>
                              </a:prstGeom>
                              <a:noFill/>
                              <a:ln w="9525">
                                <a:solidFill>
                                  <a:srgbClr val="000000"/>
                                </a:solidFill>
                                <a:round/>
                              </a:ln>
                            </wps:spPr>
                            <wps:bodyPr/>
                          </wps:wsp>
                        </a:graphicData>
                      </a:graphic>
                    </wp:anchor>
                  </w:drawing>
                </mc:Choice>
                <mc:Fallback>
                  <w:pict>
                    <v:line id="Line 2550" o:spid="_x0000_s1026" o:spt="20" style="position:absolute;left:0pt;flip:x;margin-left:120pt;margin-top:16.05pt;height:13.65pt;width:0.15pt;z-index:251701248;mso-width-relative:page;mso-height-relative:page;" filled="f" stroked="t" coordsize="21600,21600" o:gfxdata="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">
                      <v:fill on="f" focussize="0,0"/>
                      <v:stroke color="#000000" joinstyle="round"/>
                      <v:imagedata o:title=""/>
                      <o:lock v:ext="edit" aspectratio="f"/>
                    </v:lin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84864" behindDoc="0" locked="0" layoutInCell="1" allowOverlap="1">
                      <wp:simplePos x="0" y="0"/>
                      <wp:positionH relativeFrom="column">
                        <wp:posOffset>1847215</wp:posOffset>
                      </wp:positionH>
                      <wp:positionV relativeFrom="paragraph">
                        <wp:posOffset>393065</wp:posOffset>
                      </wp:positionV>
                      <wp:extent cx="339725" cy="1346835"/>
                      <wp:effectExtent l="0" t="0" r="0" b="8890"/>
                      <wp:wrapNone/>
                      <wp:docPr id="52" name="Text Box 2532"/>
                      <wp:cNvGraphicFramePr/>
                      <a:graphic xmlns:a="http://schemas.openxmlformats.org/drawingml/2006/main">
                        <a:graphicData uri="http://schemas.microsoft.com/office/word/2010/wordprocessingShape">
                          <wps:wsp>
                            <wps:cNvSpPr txBox="1">
                              <a:spLocks noChangeArrowheads="1"/>
                            </wps:cNvSpPr>
                            <wps:spPr bwMode="auto">
                              <a:xfrm>
                                <a:off x="0" y="0"/>
                                <a:ext cx="339725" cy="1346835"/>
                              </a:xfrm>
                              <a:prstGeom prst="rect">
                                <a:avLst/>
                              </a:prstGeom>
                              <a:solidFill>
                                <a:srgbClr val="FFFFFF"/>
                              </a:solidFill>
                              <a:ln w="9525">
                                <a:solidFill>
                                  <a:srgbClr val="000000"/>
                                </a:solidFill>
                                <a:miter lim="800000"/>
                              </a:ln>
                            </wps:spPr>
                            <wps:txbx>
                              <w:txbxContent>
                                <w:p w14:paraId="586841AA">
                                  <w:pPr>
                                    <w:adjustRightInd w:val="0"/>
                                    <w:snapToGrid w:val="0"/>
                                    <w:spacing w:line="240" w:lineRule="atLeast"/>
                                    <w:ind w:firstLine="0" w:firstLineChars="0"/>
                                    <w:rPr>
                                      <w:sz w:val="21"/>
                                      <w:szCs w:val="21"/>
                                    </w:rPr>
                                  </w:pPr>
                                  <w:r>
                                    <w:rPr>
                                      <w:rFonts w:hint="eastAsia"/>
                                      <w:sz w:val="21"/>
                                      <w:szCs w:val="21"/>
                                    </w:rPr>
                                    <w:t>评价单位</w:t>
                                  </w:r>
                                </w:p>
                              </w:txbxContent>
                            </wps:txbx>
                            <wps:bodyPr rot="0" vert="horz" wrap="square" lIns="91440" tIns="45720" rIns="91440" bIns="45720" anchor="t" anchorCtr="0" upright="1">
                              <a:noAutofit/>
                            </wps:bodyPr>
                          </wps:wsp>
                        </a:graphicData>
                      </a:graphic>
                    </wp:anchor>
                  </w:drawing>
                </mc:Choice>
                <mc:Fallback>
                  <w:pict>
                    <v:shape id="Text Box 2532" o:spid="_x0000_s1026" o:spt="202" type="#_x0000_t202" style="position:absolute;left:0pt;margin-left:145.45pt;margin-top:30.95pt;height:106.05pt;width:26.75pt;z-index:251684864;mso-width-relative:page;mso-height-relative:page;" fillcolor="#FFFFFF" filled="t" stroked="t" coordsize="21600,21600" o:gfxdata="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ZDWEgNkAAAAKAQAADwAAAAAAAAABACAAAAAiAAAAZHJzL2Rvd25yZXYu&#10;eG1sUEsBAhQAFAAAAAgAh07iQFeTBu8zAgAAigQAAA4AAAAAAAAAAQAgAAAAKAEAAGRycy9lMm9E&#10;b2MueG1sUEsFBgAAAAAGAAYAWQEAAM0FAAAAAA==&#10;">
                      <v:fill on="t" focussize="0,0"/>
                      <v:stroke color="#000000" miterlimit="8" joinstyle="miter"/>
                      <v:imagedata o:title=""/>
                      <o:lock v:ext="edit" aspectratio="f"/>
                      <v:textbox>
                        <w:txbxContent>
                          <w:p w14:paraId="586841AA">
                            <w:pPr>
                              <w:adjustRightInd w:val="0"/>
                              <w:snapToGrid w:val="0"/>
                              <w:spacing w:line="240" w:lineRule="atLeast"/>
                              <w:ind w:firstLine="0" w:firstLineChars="0"/>
                              <w:rPr>
                                <w:sz w:val="21"/>
                                <w:szCs w:val="21"/>
                              </w:rPr>
                            </w:pPr>
                            <w:r>
                              <w:rPr>
                                <w:rFonts w:hint="eastAsia"/>
                                <w:sz w:val="21"/>
                                <w:szCs w:val="21"/>
                              </w:rPr>
                              <w:t>评价单位</w:t>
                            </w:r>
                          </w:p>
                        </w:txbxContent>
                      </v:textbox>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83840" behindDoc="0" locked="0" layoutInCell="1" allowOverlap="1">
                      <wp:simplePos x="0" y="0"/>
                      <wp:positionH relativeFrom="column">
                        <wp:posOffset>1370330</wp:posOffset>
                      </wp:positionH>
                      <wp:positionV relativeFrom="paragraph">
                        <wp:posOffset>396875</wp:posOffset>
                      </wp:positionV>
                      <wp:extent cx="342900" cy="1331595"/>
                      <wp:effectExtent l="0" t="0" r="0" b="0"/>
                      <wp:wrapNone/>
                      <wp:docPr id="2720" name="Text Box 2531"/>
                      <wp:cNvGraphicFramePr/>
                      <a:graphic xmlns:a="http://schemas.openxmlformats.org/drawingml/2006/main">
                        <a:graphicData uri="http://schemas.microsoft.com/office/word/2010/wordprocessingShape">
                          <wps:wsp>
                            <wps:cNvSpPr txBox="1">
                              <a:spLocks noChangeArrowheads="1"/>
                            </wps:cNvSpPr>
                            <wps:spPr bwMode="auto">
                              <a:xfrm>
                                <a:off x="0" y="0"/>
                                <a:ext cx="342900" cy="1331595"/>
                              </a:xfrm>
                              <a:prstGeom prst="rect">
                                <a:avLst/>
                              </a:prstGeom>
                              <a:solidFill>
                                <a:srgbClr val="FFFFFF"/>
                              </a:solidFill>
                              <a:ln w="9525">
                                <a:solidFill>
                                  <a:srgbClr val="000000"/>
                                </a:solidFill>
                                <a:miter lim="800000"/>
                              </a:ln>
                            </wps:spPr>
                            <wps:txbx>
                              <w:txbxContent>
                                <w:p w14:paraId="1A895F37">
                                  <w:pPr>
                                    <w:adjustRightInd w:val="0"/>
                                    <w:snapToGrid w:val="0"/>
                                    <w:spacing w:line="240" w:lineRule="atLeast"/>
                                    <w:ind w:firstLine="0" w:firstLineChars="0"/>
                                    <w:rPr>
                                      <w:sz w:val="21"/>
                                      <w:szCs w:val="21"/>
                                    </w:rPr>
                                  </w:pPr>
                                  <w:r>
                                    <w:rPr>
                                      <w:rFonts w:hint="eastAsia"/>
                                      <w:sz w:val="21"/>
                                      <w:szCs w:val="21"/>
                                    </w:rPr>
                                    <w:t>设计单位</w:t>
                                  </w:r>
                                </w:p>
                              </w:txbxContent>
                            </wps:txbx>
                            <wps:bodyPr rot="0" vert="horz" wrap="square" lIns="91440" tIns="45720" rIns="91440" bIns="45720" anchor="t" anchorCtr="0" upright="1">
                              <a:noAutofit/>
                            </wps:bodyPr>
                          </wps:wsp>
                        </a:graphicData>
                      </a:graphic>
                    </wp:anchor>
                  </w:drawing>
                </mc:Choice>
                <mc:Fallback>
                  <w:pict>
                    <v:shape id="Text Box 2531" o:spid="_x0000_s1026" o:spt="202" type="#_x0000_t202" style="position:absolute;left:0pt;margin-left:107.9pt;margin-top:31.25pt;height:104.85pt;width:27pt;z-index:251683840;mso-width-relative:page;mso-height-relative:page;" fillcolor="#FFFFFF" filled="t" stroked="t" coordsize="21600,21600" o:gfxdata="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JSVx23ZAAAACgEAAA8AAAAAAAAAAQAgAAAAIgAAAGRycy9kb3ducmV2&#10;LnhtbFBLAQIUABQAAAAIAIdO4kCtiNWJNAIAAIwEAAAOAAAAAAAAAAEAIAAAACgBAABkcnMvZTJv&#10;RG9jLnhtbFBLBQYAAAAABgAGAFkBAADOBQAAAAA=&#10;">
                      <v:fill on="t" focussize="0,0"/>
                      <v:stroke color="#000000" miterlimit="8" joinstyle="miter"/>
                      <v:imagedata o:title=""/>
                      <o:lock v:ext="edit" aspectratio="f"/>
                      <v:textbox>
                        <w:txbxContent>
                          <w:p w14:paraId="1A895F37">
                            <w:pPr>
                              <w:adjustRightInd w:val="0"/>
                              <w:snapToGrid w:val="0"/>
                              <w:spacing w:line="240" w:lineRule="atLeast"/>
                              <w:ind w:firstLine="0" w:firstLineChars="0"/>
                              <w:rPr>
                                <w:sz w:val="21"/>
                                <w:szCs w:val="21"/>
                              </w:rPr>
                            </w:pPr>
                            <w:r>
                              <w:rPr>
                                <w:rFonts w:hint="eastAsia"/>
                                <w:sz w:val="21"/>
                                <w:szCs w:val="21"/>
                              </w:rPr>
                              <w:t>设计单位</w:t>
                            </w:r>
                          </w:p>
                        </w:txbxContent>
                      </v:textbox>
                    </v:shape>
                  </w:pict>
                </mc:Fallback>
              </mc:AlternateContent>
            </w:r>
            <w:r>
              <w:rPr>
                <w:color w:val="000000" w:themeColor="text1"/>
                <w14:textFill>
                  <w14:solidFill>
                    <w14:schemeClr w14:val="tx1"/>
                  </w14:solidFill>
                </w14:textFill>
              </w:rPr>
              <mc:AlternateContent>
                <mc:Choice Requires="wps">
                  <w:drawing>
                    <wp:anchor distT="0" distB="0" distL="113665" distR="113665" simplePos="0" relativeHeight="251691008" behindDoc="0" locked="0" layoutInCell="1" allowOverlap="1">
                      <wp:simplePos x="0" y="0"/>
                      <wp:positionH relativeFrom="column">
                        <wp:posOffset>1529715</wp:posOffset>
                      </wp:positionH>
                      <wp:positionV relativeFrom="paragraph">
                        <wp:posOffset>1751330</wp:posOffset>
                      </wp:positionV>
                      <wp:extent cx="0" cy="297180"/>
                      <wp:effectExtent l="0" t="0" r="0" b="3810"/>
                      <wp:wrapNone/>
                      <wp:docPr id="2721" name="Line 2538"/>
                      <wp:cNvGraphicFramePr/>
                      <a:graphic xmlns:a="http://schemas.openxmlformats.org/drawingml/2006/main">
                        <a:graphicData uri="http://schemas.microsoft.com/office/word/2010/wordprocessingShape">
                          <wps:wsp>
                            <wps:cNvCnPr>
                              <a:cxnSpLocks noChangeShapeType="1"/>
                            </wps:cNvCnPr>
                            <wps:spPr bwMode="auto">
                              <a:xfrm>
                                <a:off x="0" y="0"/>
                                <a:ext cx="0" cy="297180"/>
                              </a:xfrm>
                              <a:prstGeom prst="line">
                                <a:avLst/>
                              </a:prstGeom>
                              <a:noFill/>
                              <a:ln w="9525">
                                <a:solidFill>
                                  <a:srgbClr val="000000"/>
                                </a:solidFill>
                                <a:round/>
                              </a:ln>
                            </wps:spPr>
                            <wps:bodyPr/>
                          </wps:wsp>
                        </a:graphicData>
                      </a:graphic>
                    </wp:anchor>
                  </w:drawing>
                </mc:Choice>
                <mc:Fallback>
                  <w:pict>
                    <v:line id="Line 2538" o:spid="_x0000_s1026" o:spt="20" style="position:absolute;left:0pt;margin-left:120.45pt;margin-top:137.9pt;height:23.4pt;width:0pt;z-index:251691008;mso-width-relative:page;mso-height-relative:page;" filled="f" stroked="t" coordsize="21600,21600" o:gfxdata="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">
                      <v:fill on="f" focussize="0,0"/>
                      <v:stroke color="#000000" joinstyle="round"/>
                      <v:imagedata o:title=""/>
                      <o:lock v:ext="edit" aspectratio="f"/>
                    </v:lin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99200" behindDoc="0" locked="0" layoutInCell="1" allowOverlap="1">
                      <wp:simplePos x="0" y="0"/>
                      <wp:positionH relativeFrom="column">
                        <wp:posOffset>1998345</wp:posOffset>
                      </wp:positionH>
                      <wp:positionV relativeFrom="paragraph">
                        <wp:posOffset>214630</wp:posOffset>
                      </wp:positionV>
                      <wp:extent cx="1905" cy="173355"/>
                      <wp:effectExtent l="0" t="0" r="18415" b="5715"/>
                      <wp:wrapNone/>
                      <wp:docPr id="2722" name="Line 2548"/>
                      <wp:cNvGraphicFramePr/>
                      <a:graphic xmlns:a="http://schemas.openxmlformats.org/drawingml/2006/main">
                        <a:graphicData uri="http://schemas.microsoft.com/office/word/2010/wordprocessingShape">
                          <wps:wsp>
                            <wps:cNvCnPr>
                              <a:cxnSpLocks noChangeShapeType="1"/>
                            </wps:cNvCnPr>
                            <wps:spPr bwMode="auto">
                              <a:xfrm flipH="1">
                                <a:off x="0" y="0"/>
                                <a:ext cx="1905" cy="173355"/>
                              </a:xfrm>
                              <a:prstGeom prst="line">
                                <a:avLst/>
                              </a:prstGeom>
                              <a:noFill/>
                              <a:ln w="9525">
                                <a:solidFill>
                                  <a:srgbClr val="000000"/>
                                </a:solidFill>
                                <a:round/>
                              </a:ln>
                            </wps:spPr>
                            <wps:bodyPr/>
                          </wps:wsp>
                        </a:graphicData>
                      </a:graphic>
                    </wp:anchor>
                  </w:drawing>
                </mc:Choice>
                <mc:Fallback>
                  <w:pict>
                    <v:line id="Line 2548" o:spid="_x0000_s1026" o:spt="20" style="position:absolute;left:0pt;flip:x;margin-left:157.35pt;margin-top:16.9pt;height:13.65pt;width:0.15pt;z-index:251699200;mso-width-relative:page;mso-height-relative:page;" filled="f" stroked="t" coordsize="21600,21600" o:gfxdata="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">
                      <v:fill on="f" focussize="0,0"/>
                      <v:stroke color="#000000" joinstyle="round"/>
                      <v:imagedata o:title=""/>
                      <o:lock v:ext="edit" aspectratio="f"/>
                    </v:lin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97152" behindDoc="0" locked="0" layoutInCell="1" allowOverlap="1">
                      <wp:simplePos x="0" y="0"/>
                      <wp:positionH relativeFrom="column">
                        <wp:posOffset>843915</wp:posOffset>
                      </wp:positionH>
                      <wp:positionV relativeFrom="paragraph">
                        <wp:posOffset>196850</wp:posOffset>
                      </wp:positionV>
                      <wp:extent cx="1905" cy="173355"/>
                      <wp:effectExtent l="0" t="0" r="18415" b="5715"/>
                      <wp:wrapNone/>
                      <wp:docPr id="2723" name="Line 2546"/>
                      <wp:cNvGraphicFramePr/>
                      <a:graphic xmlns:a="http://schemas.openxmlformats.org/drawingml/2006/main">
                        <a:graphicData uri="http://schemas.microsoft.com/office/word/2010/wordprocessingShape">
                          <wps:wsp>
                            <wps:cNvCnPr>
                              <a:cxnSpLocks noChangeShapeType="1"/>
                            </wps:cNvCnPr>
                            <wps:spPr bwMode="auto">
                              <a:xfrm flipH="1">
                                <a:off x="0" y="0"/>
                                <a:ext cx="1905" cy="173355"/>
                              </a:xfrm>
                              <a:prstGeom prst="line">
                                <a:avLst/>
                              </a:prstGeom>
                              <a:noFill/>
                              <a:ln w="9525">
                                <a:solidFill>
                                  <a:srgbClr val="000000"/>
                                </a:solidFill>
                                <a:round/>
                              </a:ln>
                            </wps:spPr>
                            <wps:bodyPr/>
                          </wps:wsp>
                        </a:graphicData>
                      </a:graphic>
                    </wp:anchor>
                  </w:drawing>
                </mc:Choice>
                <mc:Fallback>
                  <w:pict>
                    <v:line id="Line 2546" o:spid="_x0000_s1026" o:spt="20" style="position:absolute;left:0pt;flip:x;margin-left:66.45pt;margin-top:15.5pt;height:13.65pt;width:0.15pt;z-index:251697152;mso-width-relative:page;mso-height-relative:page;" filled="f" stroked="t" coordsize="21600,21600" o:gfxdata="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B0V5d71gAAAAkBAAAPAAAAAAAAAAEA&#10;IAAAACIAAABkcnMvZG93bnJldi54bWxQSwECFAAUAAAACACHTuJAvMphQdgBAACxAwAADgAAAAAA&#10;AAABACAAAAAlAQAAZHJzL2Uyb0RvYy54bWxQSwUGAAAAAAYABgBZAQAAbwUAAAAA&#10;">
                      <v:fill on="f" focussize="0,0"/>
                      <v:stroke color="#000000" joinstyle="round"/>
                      <v:imagedata o:title=""/>
                      <o:lock v:ext="edit" aspectratio="f"/>
                    </v:lin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98176" behindDoc="0" locked="0" layoutInCell="1" allowOverlap="1">
                      <wp:simplePos x="0" y="0"/>
                      <wp:positionH relativeFrom="column">
                        <wp:posOffset>307340</wp:posOffset>
                      </wp:positionH>
                      <wp:positionV relativeFrom="paragraph">
                        <wp:posOffset>205740</wp:posOffset>
                      </wp:positionV>
                      <wp:extent cx="1905" cy="173355"/>
                      <wp:effectExtent l="0" t="0" r="18415" b="5715"/>
                      <wp:wrapNone/>
                      <wp:docPr id="83" name="Line 2547"/>
                      <wp:cNvGraphicFramePr/>
                      <a:graphic xmlns:a="http://schemas.openxmlformats.org/drawingml/2006/main">
                        <a:graphicData uri="http://schemas.microsoft.com/office/word/2010/wordprocessingShape">
                          <wps:wsp>
                            <wps:cNvCnPr>
                              <a:cxnSpLocks noChangeShapeType="1"/>
                            </wps:cNvCnPr>
                            <wps:spPr bwMode="auto">
                              <a:xfrm flipH="1">
                                <a:off x="0" y="0"/>
                                <a:ext cx="1905" cy="173355"/>
                              </a:xfrm>
                              <a:prstGeom prst="line">
                                <a:avLst/>
                              </a:prstGeom>
                              <a:noFill/>
                              <a:ln w="9525">
                                <a:solidFill>
                                  <a:srgbClr val="000000"/>
                                </a:solidFill>
                                <a:round/>
                              </a:ln>
                            </wps:spPr>
                            <wps:bodyPr/>
                          </wps:wsp>
                        </a:graphicData>
                      </a:graphic>
                    </wp:anchor>
                  </w:drawing>
                </mc:Choice>
                <mc:Fallback>
                  <w:pict>
                    <v:line id="Line 2547" o:spid="_x0000_s1026" o:spt="20" style="position:absolute;left:0pt;flip:x;margin-left:24.2pt;margin-top:16.2pt;height:13.65pt;width:0.15pt;z-index:251698176;mso-width-relative:page;mso-height-relative:page;" filled="f" stroked="t" coordsize="21600,21600" o:gfxdata="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">
                      <v:fill on="f" focussize="0,0"/>
                      <v:stroke color="#000000" joinstyle="round"/>
                      <v:imagedata o:title=""/>
                      <o:lock v:ext="edit" aspectratio="f"/>
                    </v:lin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00224" behindDoc="0" locked="0" layoutInCell="1" allowOverlap="1">
                      <wp:simplePos x="0" y="0"/>
                      <wp:positionH relativeFrom="column">
                        <wp:posOffset>2555240</wp:posOffset>
                      </wp:positionH>
                      <wp:positionV relativeFrom="paragraph">
                        <wp:posOffset>219075</wp:posOffset>
                      </wp:positionV>
                      <wp:extent cx="1905" cy="173355"/>
                      <wp:effectExtent l="0" t="0" r="18415" b="5715"/>
                      <wp:wrapNone/>
                      <wp:docPr id="84" name="Line 2549"/>
                      <wp:cNvGraphicFramePr/>
                      <a:graphic xmlns:a="http://schemas.openxmlformats.org/drawingml/2006/main">
                        <a:graphicData uri="http://schemas.microsoft.com/office/word/2010/wordprocessingShape">
                          <wps:wsp>
                            <wps:cNvCnPr>
                              <a:cxnSpLocks noChangeShapeType="1"/>
                            </wps:cNvCnPr>
                            <wps:spPr bwMode="auto">
                              <a:xfrm flipH="1">
                                <a:off x="0" y="0"/>
                                <a:ext cx="1905" cy="173355"/>
                              </a:xfrm>
                              <a:prstGeom prst="line">
                                <a:avLst/>
                              </a:prstGeom>
                              <a:noFill/>
                              <a:ln w="9525">
                                <a:solidFill>
                                  <a:srgbClr val="000000"/>
                                </a:solidFill>
                                <a:round/>
                              </a:ln>
                            </wps:spPr>
                            <wps:bodyPr/>
                          </wps:wsp>
                        </a:graphicData>
                      </a:graphic>
                    </wp:anchor>
                  </w:drawing>
                </mc:Choice>
                <mc:Fallback>
                  <w:pict>
                    <v:line id="Line 2549" o:spid="_x0000_s1026" o:spt="20" style="position:absolute;left:0pt;flip:x;margin-left:201.2pt;margin-top:17.25pt;height:13.65pt;width:0.15pt;z-index:251700224;mso-width-relative:page;mso-height-relative:page;" filled="f" stroked="t" coordsize="21600,21600" o:gfxdata="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">
                      <v:fill on="f" focussize="0,0"/>
                      <v:stroke color="#000000" joinstyle="round"/>
                      <v:imagedata o:title=""/>
                      <o:lock v:ext="edit" aspectratio="f"/>
                    </v:lin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92032" behindDoc="0" locked="0" layoutInCell="1" allowOverlap="1">
                      <wp:simplePos x="0" y="0"/>
                      <wp:positionH relativeFrom="column">
                        <wp:posOffset>289560</wp:posOffset>
                      </wp:positionH>
                      <wp:positionV relativeFrom="paragraph">
                        <wp:posOffset>2051685</wp:posOffset>
                      </wp:positionV>
                      <wp:extent cx="2286000" cy="0"/>
                      <wp:effectExtent l="0" t="0" r="7620" b="0"/>
                      <wp:wrapNone/>
                      <wp:docPr id="85" name="Line 2539"/>
                      <wp:cNvGraphicFramePr/>
                      <a:graphic xmlns:a="http://schemas.openxmlformats.org/drawingml/2006/main">
                        <a:graphicData uri="http://schemas.microsoft.com/office/word/2010/wordprocessingShape">
                          <wps:wsp>
                            <wps:cNvCnPr>
                              <a:cxnSpLocks noChangeShapeType="1"/>
                            </wps:cNvCnPr>
                            <wps:spPr bwMode="auto">
                              <a:xfrm>
                                <a:off x="0" y="0"/>
                                <a:ext cx="2286000" cy="0"/>
                              </a:xfrm>
                              <a:prstGeom prst="line">
                                <a:avLst/>
                              </a:prstGeom>
                              <a:noFill/>
                              <a:ln w="9525">
                                <a:solidFill>
                                  <a:srgbClr val="000000"/>
                                </a:solidFill>
                                <a:round/>
                              </a:ln>
                            </wps:spPr>
                            <wps:bodyPr/>
                          </wps:wsp>
                        </a:graphicData>
                      </a:graphic>
                    </wp:anchor>
                  </w:drawing>
                </mc:Choice>
                <mc:Fallback>
                  <w:pict>
                    <v:line id="Line 2539" o:spid="_x0000_s1026" o:spt="20" style="position:absolute;left:0pt;margin-left:22.8pt;margin-top:161.55pt;height:0pt;width:180pt;z-index:251692032;mso-width-relative:page;mso-height-relative:page;" filled="f" stroked="t" coordsize="21600,21600" o:gfxdata="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&#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">
                      <v:fill on="f" focussize="0,0"/>
                      <v:stroke color="#000000" joinstyle="round"/>
                      <v:imagedata o:title=""/>
                      <o:lock v:ext="edit" aspectratio="f"/>
                    </v:line>
                  </w:pict>
                </mc:Fallback>
              </mc:AlternateContent>
            </w:r>
            <w:r>
              <w:rPr>
                <w:color w:val="000000" w:themeColor="text1"/>
                <w14:textFill>
                  <w14:solidFill>
                    <w14:schemeClr w14:val="tx1"/>
                  </w14:solidFill>
                </w14:textFill>
              </w:rPr>
              <mc:AlternateContent>
                <mc:Choice Requires="wps">
                  <w:drawing>
                    <wp:anchor distT="0" distB="0" distL="113665" distR="113665" simplePos="0" relativeHeight="251689984" behindDoc="0" locked="0" layoutInCell="1" allowOverlap="1">
                      <wp:simplePos x="0" y="0"/>
                      <wp:positionH relativeFrom="column">
                        <wp:posOffset>2567940</wp:posOffset>
                      </wp:positionH>
                      <wp:positionV relativeFrom="paragraph">
                        <wp:posOffset>1750695</wp:posOffset>
                      </wp:positionV>
                      <wp:extent cx="0" cy="297180"/>
                      <wp:effectExtent l="0" t="0" r="0" b="3810"/>
                      <wp:wrapNone/>
                      <wp:docPr id="86" name="Line 2537"/>
                      <wp:cNvGraphicFramePr/>
                      <a:graphic xmlns:a="http://schemas.openxmlformats.org/drawingml/2006/main">
                        <a:graphicData uri="http://schemas.microsoft.com/office/word/2010/wordprocessingShape">
                          <wps:wsp>
                            <wps:cNvCnPr>
                              <a:cxnSpLocks noChangeShapeType="1"/>
                            </wps:cNvCnPr>
                            <wps:spPr bwMode="auto">
                              <a:xfrm>
                                <a:off x="0" y="0"/>
                                <a:ext cx="0" cy="297180"/>
                              </a:xfrm>
                              <a:prstGeom prst="line">
                                <a:avLst/>
                              </a:prstGeom>
                              <a:noFill/>
                              <a:ln w="9525">
                                <a:solidFill>
                                  <a:srgbClr val="000000"/>
                                </a:solidFill>
                                <a:round/>
                              </a:ln>
                            </wps:spPr>
                            <wps:bodyPr/>
                          </wps:wsp>
                        </a:graphicData>
                      </a:graphic>
                    </wp:anchor>
                  </w:drawing>
                </mc:Choice>
                <mc:Fallback>
                  <w:pict>
                    <v:line id="Line 2537" o:spid="_x0000_s1026" o:spt="20" style="position:absolute;left:0pt;margin-left:202.2pt;margin-top:137.85pt;height:23.4pt;width:0pt;z-index:251689984;mso-width-relative:page;mso-height-relative:page;" filled="f" stroked="t" coordsize="21600,21600" o:gfxdata="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Af3lJf2AAAAAsBAAAPAAAAAAAAAAEAIAAAACIAAABk&#10;cnMvZG93bnJldi54bWxQSwECFAAUAAAACACHTuJAWYMiss0BAACiAwAADgAAAAAAAAABACAAAAAn&#10;AQAAZHJzL2Uyb0RvYy54bWxQSwUGAAAAAAYABgBZAQAAZgUAAAAA&#10;">
                      <v:fill on="f" focussize="0,0"/>
                      <v:stroke color="#000000" joinstyle="round"/>
                      <v:imagedata o:title=""/>
                      <o:lock v:ext="edit" aspectratio="f"/>
                    </v:line>
                  </w:pict>
                </mc:Fallback>
              </mc:AlternateContent>
            </w:r>
            <w:r>
              <w:rPr>
                <w:color w:val="000000" w:themeColor="text1"/>
                <w14:textFill>
                  <w14:solidFill>
                    <w14:schemeClr w14:val="tx1"/>
                  </w14:solidFill>
                </w14:textFill>
              </w:rPr>
              <mc:AlternateContent>
                <mc:Choice Requires="wps">
                  <w:drawing>
                    <wp:anchor distT="0" distB="0" distL="113665" distR="113665" simplePos="0" relativeHeight="251688960" behindDoc="0" locked="0" layoutInCell="1" allowOverlap="1">
                      <wp:simplePos x="0" y="0"/>
                      <wp:positionH relativeFrom="column">
                        <wp:posOffset>1981835</wp:posOffset>
                      </wp:positionH>
                      <wp:positionV relativeFrom="paragraph">
                        <wp:posOffset>1763395</wp:posOffset>
                      </wp:positionV>
                      <wp:extent cx="0" cy="297180"/>
                      <wp:effectExtent l="0" t="0" r="0" b="3810"/>
                      <wp:wrapNone/>
                      <wp:docPr id="92" name="Line 2536"/>
                      <wp:cNvGraphicFramePr/>
                      <a:graphic xmlns:a="http://schemas.openxmlformats.org/drawingml/2006/main">
                        <a:graphicData uri="http://schemas.microsoft.com/office/word/2010/wordprocessingShape">
                          <wps:wsp>
                            <wps:cNvCnPr>
                              <a:cxnSpLocks noChangeShapeType="1"/>
                            </wps:cNvCnPr>
                            <wps:spPr bwMode="auto">
                              <a:xfrm>
                                <a:off x="0" y="0"/>
                                <a:ext cx="0" cy="297180"/>
                              </a:xfrm>
                              <a:prstGeom prst="line">
                                <a:avLst/>
                              </a:prstGeom>
                              <a:noFill/>
                              <a:ln w="9525">
                                <a:solidFill>
                                  <a:srgbClr val="000000"/>
                                </a:solidFill>
                                <a:round/>
                              </a:ln>
                            </wps:spPr>
                            <wps:bodyPr/>
                          </wps:wsp>
                        </a:graphicData>
                      </a:graphic>
                    </wp:anchor>
                  </w:drawing>
                </mc:Choice>
                <mc:Fallback>
                  <w:pict>
                    <v:line id="Line 2536" o:spid="_x0000_s1026" o:spt="20" style="position:absolute;left:0pt;margin-left:156.05pt;margin-top:138.85pt;height:23.4pt;width:0pt;z-index:251688960;mso-width-relative:page;mso-height-relative:page;" filled="f" stroked="t" coordsize="21600,21600" o:gfxdata="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">
                      <v:fill on="f" focussize="0,0"/>
                      <v:stroke color="#000000" joinstyle="round"/>
                      <v:imagedata o:title=""/>
                      <o:lock v:ext="edit" aspectratio="f"/>
                    </v:line>
                  </w:pict>
                </mc:Fallback>
              </mc:AlternateContent>
            </w:r>
            <w:r>
              <w:rPr>
                <w:color w:val="000000" w:themeColor="text1"/>
                <w14:textFill>
                  <w14:solidFill>
                    <w14:schemeClr w14:val="tx1"/>
                  </w14:solidFill>
                </w14:textFill>
              </w:rPr>
              <mc:AlternateContent>
                <mc:Choice Requires="wps">
                  <w:drawing>
                    <wp:anchor distT="0" distB="0" distL="113665" distR="113665" simplePos="0" relativeHeight="251687936" behindDoc="0" locked="0" layoutInCell="1" allowOverlap="1">
                      <wp:simplePos x="0" y="0"/>
                      <wp:positionH relativeFrom="column">
                        <wp:posOffset>829310</wp:posOffset>
                      </wp:positionH>
                      <wp:positionV relativeFrom="paragraph">
                        <wp:posOffset>1763395</wp:posOffset>
                      </wp:positionV>
                      <wp:extent cx="0" cy="297180"/>
                      <wp:effectExtent l="0" t="0" r="0" b="3810"/>
                      <wp:wrapNone/>
                      <wp:docPr id="93" name="Line 2535"/>
                      <wp:cNvGraphicFramePr/>
                      <a:graphic xmlns:a="http://schemas.openxmlformats.org/drawingml/2006/main">
                        <a:graphicData uri="http://schemas.microsoft.com/office/word/2010/wordprocessingShape">
                          <wps:wsp>
                            <wps:cNvCnPr>
                              <a:cxnSpLocks noChangeShapeType="1"/>
                            </wps:cNvCnPr>
                            <wps:spPr bwMode="auto">
                              <a:xfrm>
                                <a:off x="0" y="0"/>
                                <a:ext cx="0" cy="297180"/>
                              </a:xfrm>
                              <a:prstGeom prst="line">
                                <a:avLst/>
                              </a:prstGeom>
                              <a:noFill/>
                              <a:ln w="9525">
                                <a:solidFill>
                                  <a:srgbClr val="000000"/>
                                </a:solidFill>
                                <a:round/>
                              </a:ln>
                            </wps:spPr>
                            <wps:bodyPr/>
                          </wps:wsp>
                        </a:graphicData>
                      </a:graphic>
                    </wp:anchor>
                  </w:drawing>
                </mc:Choice>
                <mc:Fallback>
                  <w:pict>
                    <v:line id="Line 2535" o:spid="_x0000_s1026" o:spt="20" style="position:absolute;left:0pt;margin-left:65.3pt;margin-top:138.85pt;height:23.4pt;width:0pt;z-index:251687936;mso-width-relative:page;mso-height-relative:page;" filled="f" stroked="t" coordsize="21600,21600" o:gfxdata="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&#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">
                      <v:fill on="f" focussize="0,0"/>
                      <v:stroke color="#000000" joinstyle="round"/>
                      <v:imagedata o:title=""/>
                      <o:lock v:ext="edit" aspectratio="f"/>
                    </v:line>
                  </w:pict>
                </mc:Fallback>
              </mc:AlternateContent>
            </w:r>
            <w:r>
              <w:rPr>
                <w:color w:val="000000" w:themeColor="text1"/>
                <w14:textFill>
                  <w14:solidFill>
                    <w14:schemeClr w14:val="tx1"/>
                  </w14:solidFill>
                </w14:textFill>
              </w:rPr>
              <mc:AlternateContent>
                <mc:Choice Requires="wps">
                  <w:drawing>
                    <wp:anchor distT="0" distB="0" distL="113665" distR="113665" simplePos="0" relativeHeight="251686912" behindDoc="0" locked="0" layoutInCell="1" allowOverlap="1">
                      <wp:simplePos x="0" y="0"/>
                      <wp:positionH relativeFrom="column">
                        <wp:posOffset>288290</wp:posOffset>
                      </wp:positionH>
                      <wp:positionV relativeFrom="paragraph">
                        <wp:posOffset>1744345</wp:posOffset>
                      </wp:positionV>
                      <wp:extent cx="0" cy="297180"/>
                      <wp:effectExtent l="0" t="0" r="0" b="3810"/>
                      <wp:wrapNone/>
                      <wp:docPr id="3444" name="Line 2534"/>
                      <wp:cNvGraphicFramePr/>
                      <a:graphic xmlns:a="http://schemas.openxmlformats.org/drawingml/2006/main">
                        <a:graphicData uri="http://schemas.microsoft.com/office/word/2010/wordprocessingShape">
                          <wps:wsp>
                            <wps:cNvCnPr>
                              <a:cxnSpLocks noChangeShapeType="1"/>
                            </wps:cNvCnPr>
                            <wps:spPr bwMode="auto">
                              <a:xfrm>
                                <a:off x="0" y="0"/>
                                <a:ext cx="0" cy="297180"/>
                              </a:xfrm>
                              <a:prstGeom prst="line">
                                <a:avLst/>
                              </a:prstGeom>
                              <a:noFill/>
                              <a:ln w="9525">
                                <a:solidFill>
                                  <a:srgbClr val="000000"/>
                                </a:solidFill>
                                <a:round/>
                              </a:ln>
                            </wps:spPr>
                            <wps:bodyPr/>
                          </wps:wsp>
                        </a:graphicData>
                      </a:graphic>
                    </wp:anchor>
                  </w:drawing>
                </mc:Choice>
                <mc:Fallback>
                  <w:pict>
                    <v:line id="Line 2534" o:spid="_x0000_s1026" o:spt="20" style="position:absolute;left:0pt;margin-left:22.7pt;margin-top:137.35pt;height:23.4pt;width:0pt;z-index:251686912;mso-width-relative:page;mso-height-relative:page;" filled="f" stroked="t" coordsize="21600,21600" o:gfxdata="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">
                      <v:fill on="f" focussize="0,0"/>
                      <v:stroke color="#000000" joinstyle="round"/>
                      <v:imagedata o:title=""/>
                      <o:lock v:ext="edit" aspectratio="f"/>
                    </v:lin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85888" behindDoc="0" locked="0" layoutInCell="1" allowOverlap="1">
                      <wp:simplePos x="0" y="0"/>
                      <wp:positionH relativeFrom="column">
                        <wp:posOffset>2371725</wp:posOffset>
                      </wp:positionH>
                      <wp:positionV relativeFrom="paragraph">
                        <wp:posOffset>408305</wp:posOffset>
                      </wp:positionV>
                      <wp:extent cx="342900" cy="1337310"/>
                      <wp:effectExtent l="0" t="0" r="0" b="0"/>
                      <wp:wrapNone/>
                      <wp:docPr id="3445" name="Text Box 2533"/>
                      <wp:cNvGraphicFramePr/>
                      <a:graphic xmlns:a="http://schemas.openxmlformats.org/drawingml/2006/main">
                        <a:graphicData uri="http://schemas.microsoft.com/office/word/2010/wordprocessingShape">
                          <wps:wsp>
                            <wps:cNvSpPr txBox="1">
                              <a:spLocks noChangeArrowheads="1"/>
                            </wps:cNvSpPr>
                            <wps:spPr bwMode="auto">
                              <a:xfrm>
                                <a:off x="0" y="0"/>
                                <a:ext cx="342900" cy="1337310"/>
                              </a:xfrm>
                              <a:prstGeom prst="rect">
                                <a:avLst/>
                              </a:prstGeom>
                              <a:solidFill>
                                <a:srgbClr val="FFFFFF"/>
                              </a:solidFill>
                              <a:ln w="9525">
                                <a:solidFill>
                                  <a:srgbClr val="000000"/>
                                </a:solidFill>
                                <a:miter lim="800000"/>
                              </a:ln>
                            </wps:spPr>
                            <wps:txbx>
                              <w:txbxContent>
                                <w:p w14:paraId="3B6A8B70">
                                  <w:pPr>
                                    <w:adjustRightInd w:val="0"/>
                                    <w:snapToGrid w:val="0"/>
                                    <w:spacing w:line="240" w:lineRule="atLeast"/>
                                    <w:ind w:firstLine="0" w:firstLineChars="0"/>
                                  </w:pPr>
                                  <w:r>
                                    <w:rPr>
                                      <w:rFonts w:hint="eastAsia"/>
                                      <w:sz w:val="21"/>
                                      <w:szCs w:val="21"/>
                                    </w:rPr>
                                    <w:t>环境监测单位</w:t>
                                  </w:r>
                                </w:p>
                              </w:txbxContent>
                            </wps:txbx>
                            <wps:bodyPr rot="0" vert="horz" wrap="square" lIns="91440" tIns="45720" rIns="91440" bIns="45720" anchor="t" anchorCtr="0" upright="1">
                              <a:noAutofit/>
                            </wps:bodyPr>
                          </wps:wsp>
                        </a:graphicData>
                      </a:graphic>
                    </wp:anchor>
                  </w:drawing>
                </mc:Choice>
                <mc:Fallback>
                  <w:pict>
                    <v:shape id="Text Box 2533" o:spid="_x0000_s1026" o:spt="202" type="#_x0000_t202" style="position:absolute;left:0pt;margin-left:186.75pt;margin-top:32.15pt;height:105.3pt;width:27pt;z-index:251685888;mso-width-relative:page;mso-height-relative:page;" fillcolor="#FFFFFF" filled="t" stroked="t" coordsize="21600,21600" o:gfxdata="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DvuwuY2QAAAAoBAAAPAAAAAAAAAAEAIAAAACIAAABkcnMvZG93bnJl&#10;di54bWxQSwECFAAUAAAACACHTuJAClOg/TUCAACMBAAADgAAAAAAAAABACAAAAAoAQAAZHJzL2Uy&#10;b0RvYy54bWxQSwUGAAAAAAYABgBZAQAAzwUAAAAA&#10;">
                      <v:fill on="t" focussize="0,0"/>
                      <v:stroke color="#000000" miterlimit="8" joinstyle="miter"/>
                      <v:imagedata o:title=""/>
                      <o:lock v:ext="edit" aspectratio="f"/>
                      <v:textbox>
                        <w:txbxContent>
                          <w:p w14:paraId="3B6A8B70">
                            <w:pPr>
                              <w:adjustRightInd w:val="0"/>
                              <w:snapToGrid w:val="0"/>
                              <w:spacing w:line="240" w:lineRule="atLeast"/>
                              <w:ind w:firstLine="0" w:firstLineChars="0"/>
                            </w:pPr>
                            <w:r>
                              <w:rPr>
                                <w:rFonts w:hint="eastAsia"/>
                                <w:sz w:val="21"/>
                                <w:szCs w:val="21"/>
                              </w:rPr>
                              <w:t>环境监测单位</w:t>
                            </w:r>
                          </w:p>
                        </w:txbxContent>
                      </v:textbox>
                    </v:shape>
                  </w:pict>
                </mc:Fallback>
              </mc:AlternateContent>
            </w:r>
          </w:p>
        </w:tc>
        <w:tc>
          <w:tcPr>
            <w:tcW w:w="2788" w:type="dxa"/>
            <w:vMerge w:val="continue"/>
            <w:tcBorders>
              <w:left w:val="dotted" w:color="auto" w:sz="4" w:space="0"/>
              <w:right w:val="dotted" w:color="auto" w:sz="4" w:space="0"/>
            </w:tcBorders>
            <w:vAlign w:val="center"/>
          </w:tcPr>
          <w:p w14:paraId="192A952B">
            <w:pPr>
              <w:pStyle w:val="70"/>
              <w:spacing w:line="240" w:lineRule="atLeast"/>
              <w:rPr>
                <w:color w:val="000000" w:themeColor="text1"/>
                <w14:textFill>
                  <w14:solidFill>
                    <w14:schemeClr w14:val="tx1"/>
                  </w14:solidFill>
                </w14:textFill>
              </w:rPr>
            </w:pPr>
          </w:p>
        </w:tc>
      </w:tr>
      <w:tr w14:paraId="5477924B">
        <w:tblPrEx>
          <w:tblCellMar>
            <w:top w:w="0" w:type="dxa"/>
            <w:left w:w="108" w:type="dxa"/>
            <w:bottom w:w="0" w:type="dxa"/>
            <w:right w:w="108" w:type="dxa"/>
          </w:tblCellMar>
        </w:tblPrEx>
        <w:trPr>
          <w:trHeight w:val="1805" w:hRule="atLeast"/>
          <w:jc w:val="center"/>
        </w:trPr>
        <w:tc>
          <w:tcPr>
            <w:tcW w:w="640" w:type="dxa"/>
            <w:tcBorders>
              <w:top w:val="dotted" w:color="auto" w:sz="4" w:space="0"/>
              <w:left w:val="dotted" w:color="auto" w:sz="4" w:space="0"/>
              <w:bottom w:val="dotted" w:color="auto" w:sz="4" w:space="0"/>
              <w:right w:val="dotted" w:color="auto" w:sz="4" w:space="0"/>
            </w:tcBorders>
            <w:vAlign w:val="center"/>
          </w:tcPr>
          <w:p w14:paraId="37F9A89B">
            <w:pPr>
              <w:pStyle w:val="70"/>
              <w:spacing w:line="240" w:lineRule="atLeast"/>
              <w:rPr>
                <w:color w:val="000000" w:themeColor="text1"/>
                <w14:textFill>
                  <w14:solidFill>
                    <w14:schemeClr w14:val="tx1"/>
                  </w14:solidFill>
                </w14:textFill>
              </w:rPr>
            </w:pPr>
            <w:r>
              <w:rPr>
                <w:color w:val="000000" w:themeColor="text1"/>
                <w14:textFill>
                  <w14:solidFill>
                    <w14:schemeClr w14:val="tx1"/>
                  </w14:solidFill>
                </w14:textFill>
              </w:rPr>
              <w:t>运</w:t>
            </w:r>
          </w:p>
          <w:p w14:paraId="1E88DAE6">
            <w:pPr>
              <w:pStyle w:val="70"/>
              <w:spacing w:line="240" w:lineRule="atLeast"/>
              <w:rPr>
                <w:color w:val="000000" w:themeColor="text1"/>
                <w14:textFill>
                  <w14:solidFill>
                    <w14:schemeClr w14:val="tx1"/>
                  </w14:solidFill>
                </w14:textFill>
              </w:rPr>
            </w:pPr>
            <w:r>
              <w:rPr>
                <w:color w:val="000000" w:themeColor="text1"/>
                <w14:textFill>
                  <w14:solidFill>
                    <w14:schemeClr w14:val="tx1"/>
                  </w14:solidFill>
                </w14:textFill>
              </w:rPr>
              <w:t>营</w:t>
            </w:r>
          </w:p>
          <w:p w14:paraId="5A0F40EB">
            <w:pPr>
              <w:pStyle w:val="70"/>
              <w:spacing w:line="240" w:lineRule="atLeast"/>
              <w:rPr>
                <w:color w:val="000000" w:themeColor="text1"/>
                <w14:textFill>
                  <w14:solidFill>
                    <w14:schemeClr w14:val="tx1"/>
                  </w14:solidFill>
                </w14:textFill>
              </w:rPr>
            </w:pPr>
            <w:r>
              <w:rPr>
                <w:color w:val="000000" w:themeColor="text1"/>
                <w14:textFill>
                  <w14:solidFill>
                    <w14:schemeClr w14:val="tx1"/>
                  </w14:solidFill>
                </w14:textFill>
              </w:rPr>
              <w:t>期</w:t>
            </w:r>
          </w:p>
        </w:tc>
        <w:tc>
          <w:tcPr>
            <w:tcW w:w="4868" w:type="dxa"/>
            <w:tcBorders>
              <w:top w:val="dotted" w:color="auto" w:sz="4" w:space="0"/>
              <w:left w:val="dotted" w:color="auto" w:sz="4" w:space="0"/>
              <w:bottom w:val="dotted" w:color="auto" w:sz="4" w:space="0"/>
              <w:right w:val="dotted" w:color="auto" w:sz="4" w:space="0"/>
            </w:tcBorders>
            <w:vAlign w:val="center"/>
          </w:tcPr>
          <w:p w14:paraId="51711A91">
            <w:pPr>
              <w:pStyle w:val="70"/>
              <w:spacing w:line="240" w:lineRule="atLeast"/>
              <w:rPr>
                <w:color w:val="000000" w:themeColor="text1"/>
                <w14:textFill>
                  <w14:solidFill>
                    <w14:schemeClr w14:val="tx1"/>
                  </w14:solidFill>
                </w14:textFill>
              </w:rPr>
            </w:pPr>
            <w:r>
              <w:rPr>
                <w:color w:val="000000" w:themeColor="text1"/>
                <w14:textFill>
                  <w14:solidFill>
                    <w14:schemeClr w14:val="tx1"/>
                  </w14:solidFill>
                </w14:textFill>
              </w:rPr>
              <mc:AlternateContent>
                <mc:Choice Requires="wps">
                  <w:drawing>
                    <wp:anchor distT="0" distB="0" distL="114300" distR="114300" simplePos="0" relativeHeight="251696128" behindDoc="0" locked="0" layoutInCell="1" allowOverlap="1">
                      <wp:simplePos x="0" y="0"/>
                      <wp:positionH relativeFrom="column">
                        <wp:posOffset>816610</wp:posOffset>
                      </wp:positionH>
                      <wp:positionV relativeFrom="paragraph">
                        <wp:posOffset>466725</wp:posOffset>
                      </wp:positionV>
                      <wp:extent cx="1905" cy="163830"/>
                      <wp:effectExtent l="0" t="0" r="18415" b="11430"/>
                      <wp:wrapNone/>
                      <wp:docPr id="3447" name="Line 2545"/>
                      <wp:cNvGraphicFramePr/>
                      <a:graphic xmlns:a="http://schemas.openxmlformats.org/drawingml/2006/main">
                        <a:graphicData uri="http://schemas.microsoft.com/office/word/2010/wordprocessingShape">
                          <wps:wsp>
                            <wps:cNvCnPr>
                              <a:cxnSpLocks noChangeShapeType="1"/>
                            </wps:cNvCnPr>
                            <wps:spPr bwMode="auto">
                              <a:xfrm flipH="1">
                                <a:off x="0" y="0"/>
                                <a:ext cx="1905" cy="163830"/>
                              </a:xfrm>
                              <a:prstGeom prst="line">
                                <a:avLst/>
                              </a:prstGeom>
                              <a:noFill/>
                              <a:ln w="9525">
                                <a:solidFill>
                                  <a:srgbClr val="000000"/>
                                </a:solidFill>
                                <a:round/>
                              </a:ln>
                            </wps:spPr>
                            <wps:bodyPr/>
                          </wps:wsp>
                        </a:graphicData>
                      </a:graphic>
                    </wp:anchor>
                  </w:drawing>
                </mc:Choice>
                <mc:Fallback>
                  <w:pict>
                    <v:line id="Line 2545" o:spid="_x0000_s1026" o:spt="20" style="position:absolute;left:0pt;flip:x;margin-left:64.3pt;margin-top:36.75pt;height:12.9pt;width:0.15pt;z-index:251696128;mso-width-relative:page;mso-height-relative:page;" filled="f" stroked="t" coordsize="21600,21600" o:gfxdata="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D5BQC71wAAAAkBAAAPAAAAAAAA&#10;AAEAIAAAACIAAABkcnMvZG93bnJldi54bWxQSwECFAAUAAAACACHTuJAxoFs1doBAACxAwAADgAA&#10;AAAAAAABACAAAAAmAQAAZHJzL2Uyb0RvYy54bWxQSwUGAAAAAAYABgBZAQAAcgUAAAAA&#10;">
                      <v:fill on="f" focussize="0,0"/>
                      <v:stroke color="#000000" joinstyle="round"/>
                      <v:imagedata o:title=""/>
                      <o:lock v:ext="edit" aspectratio="f"/>
                    </v:lin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79744" behindDoc="0" locked="0" layoutInCell="1" allowOverlap="1">
                      <wp:simplePos x="0" y="0"/>
                      <wp:positionH relativeFrom="column">
                        <wp:posOffset>52705</wp:posOffset>
                      </wp:positionH>
                      <wp:positionV relativeFrom="paragraph">
                        <wp:posOffset>173355</wp:posOffset>
                      </wp:positionV>
                      <wp:extent cx="2660650" cy="299720"/>
                      <wp:effectExtent l="0" t="0" r="635" b="1905"/>
                      <wp:wrapNone/>
                      <wp:docPr id="3448" name="Text Box 2527"/>
                      <wp:cNvGraphicFramePr/>
                      <a:graphic xmlns:a="http://schemas.openxmlformats.org/drawingml/2006/main">
                        <a:graphicData uri="http://schemas.microsoft.com/office/word/2010/wordprocessingShape">
                          <wps:wsp>
                            <wps:cNvSpPr txBox="1">
                              <a:spLocks noChangeArrowheads="1"/>
                            </wps:cNvSpPr>
                            <wps:spPr bwMode="auto">
                              <a:xfrm>
                                <a:off x="0" y="0"/>
                                <a:ext cx="2660650" cy="299720"/>
                              </a:xfrm>
                              <a:prstGeom prst="rect">
                                <a:avLst/>
                              </a:prstGeom>
                              <a:solidFill>
                                <a:srgbClr val="FFFFFF"/>
                              </a:solidFill>
                              <a:ln w="9525">
                                <a:solidFill>
                                  <a:srgbClr val="000000"/>
                                </a:solidFill>
                                <a:miter lim="800000"/>
                              </a:ln>
                            </wps:spPr>
                            <wps:txbx>
                              <w:txbxContent>
                                <w:p w14:paraId="614D16D2">
                                  <w:pPr>
                                    <w:adjustRightInd w:val="0"/>
                                    <w:snapToGrid w:val="0"/>
                                    <w:spacing w:line="240" w:lineRule="atLeast"/>
                                    <w:ind w:firstLine="0" w:firstLineChars="0"/>
                                    <w:jc w:val="center"/>
                                    <w:rPr>
                                      <w:sz w:val="21"/>
                                      <w:szCs w:val="21"/>
                                    </w:rPr>
                                  </w:pPr>
                                  <w:r>
                                    <w:rPr>
                                      <w:rFonts w:hint="eastAsia"/>
                                      <w:sz w:val="21"/>
                                      <w:szCs w:val="21"/>
                                    </w:rPr>
                                    <w:t>运营</w:t>
                                  </w:r>
                                  <w:r>
                                    <w:rPr>
                                      <w:sz w:val="21"/>
                                      <w:szCs w:val="21"/>
                                    </w:rPr>
                                    <w:t>单位</w:t>
                                  </w:r>
                                </w:p>
                              </w:txbxContent>
                            </wps:txbx>
                            <wps:bodyPr rot="0" vert="horz" wrap="square" lIns="91440" tIns="45720" rIns="91440" bIns="45720" anchor="t" anchorCtr="0" upright="1">
                              <a:noAutofit/>
                            </wps:bodyPr>
                          </wps:wsp>
                        </a:graphicData>
                      </a:graphic>
                    </wp:anchor>
                  </w:drawing>
                </mc:Choice>
                <mc:Fallback>
                  <w:pict>
                    <v:shape id="Text Box 2527" o:spid="_x0000_s1026" o:spt="202" type="#_x0000_t202" style="position:absolute;left:0pt;margin-left:4.15pt;margin-top:13.65pt;height:23.6pt;width:209.5pt;z-index:251679744;mso-width-relative:page;mso-height-relative:page;" fillcolor="#FFFFFF" filled="t" stroked="t" coordsize="21600,21600" o:gfxdata="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IMvkS3VAAAABwEAAA8AAAAAAAAAAQAgAAAAIgAAAGRycy9kb3ducmV2Lnht&#10;bFBLAQIUABQAAAAIAIdO4kCUfQjONQIAAIwEAAAOAAAAAAAAAAEAIAAAACQBAABkcnMvZTJvRG9j&#10;LnhtbFBLBQYAAAAABgAGAFkBAADLBQAAAAA=&#10;">
                      <v:fill on="t" focussize="0,0"/>
                      <v:stroke color="#000000" miterlimit="8" joinstyle="miter"/>
                      <v:imagedata o:title=""/>
                      <o:lock v:ext="edit" aspectratio="f"/>
                      <v:textbox>
                        <w:txbxContent>
                          <w:p w14:paraId="614D16D2">
                            <w:pPr>
                              <w:adjustRightInd w:val="0"/>
                              <w:snapToGrid w:val="0"/>
                              <w:spacing w:line="240" w:lineRule="atLeast"/>
                              <w:ind w:firstLine="0" w:firstLineChars="0"/>
                              <w:jc w:val="center"/>
                              <w:rPr>
                                <w:sz w:val="21"/>
                                <w:szCs w:val="21"/>
                              </w:rPr>
                            </w:pPr>
                            <w:r>
                              <w:rPr>
                                <w:rFonts w:hint="eastAsia"/>
                                <w:sz w:val="21"/>
                                <w:szCs w:val="21"/>
                              </w:rPr>
                              <w:t>运营</w:t>
                            </w:r>
                            <w:r>
                              <w:rPr>
                                <w:sz w:val="21"/>
                                <w:szCs w:val="21"/>
                              </w:rPr>
                              <w:t>单位</w:t>
                            </w:r>
                          </w:p>
                        </w:txbxContent>
                      </v:textbox>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80768" behindDoc="0" locked="0" layoutInCell="1" allowOverlap="1">
                      <wp:simplePos x="0" y="0"/>
                      <wp:positionH relativeFrom="column">
                        <wp:posOffset>261620</wp:posOffset>
                      </wp:positionH>
                      <wp:positionV relativeFrom="paragraph">
                        <wp:posOffset>637540</wp:posOffset>
                      </wp:positionV>
                      <wp:extent cx="1025525" cy="297180"/>
                      <wp:effectExtent l="0" t="0" r="1905" b="3810"/>
                      <wp:wrapNone/>
                      <wp:docPr id="3449" name="Text Box 2528"/>
                      <wp:cNvGraphicFramePr/>
                      <a:graphic xmlns:a="http://schemas.openxmlformats.org/drawingml/2006/main">
                        <a:graphicData uri="http://schemas.microsoft.com/office/word/2010/wordprocessingShape">
                          <wps:wsp>
                            <wps:cNvSpPr txBox="1">
                              <a:spLocks noChangeArrowheads="1"/>
                            </wps:cNvSpPr>
                            <wps:spPr bwMode="auto">
                              <a:xfrm>
                                <a:off x="0" y="0"/>
                                <a:ext cx="1025525" cy="297180"/>
                              </a:xfrm>
                              <a:prstGeom prst="rect">
                                <a:avLst/>
                              </a:prstGeom>
                              <a:solidFill>
                                <a:srgbClr val="FFFFFF"/>
                              </a:solidFill>
                              <a:ln w="9525">
                                <a:solidFill>
                                  <a:srgbClr val="000000"/>
                                </a:solidFill>
                                <a:miter lim="800000"/>
                              </a:ln>
                            </wps:spPr>
                            <wps:txbx>
                              <w:txbxContent>
                                <w:p w14:paraId="764D8FFF">
                                  <w:pPr>
                                    <w:adjustRightInd w:val="0"/>
                                    <w:snapToGrid w:val="0"/>
                                    <w:spacing w:line="240" w:lineRule="atLeast"/>
                                    <w:ind w:firstLine="0" w:firstLineChars="0"/>
                                    <w:jc w:val="center"/>
                                    <w:rPr>
                                      <w:sz w:val="21"/>
                                      <w:szCs w:val="21"/>
                                    </w:rPr>
                                  </w:pPr>
                                  <w:r>
                                    <w:rPr>
                                      <w:rFonts w:hint="eastAsia"/>
                                      <w:sz w:val="21"/>
                                      <w:szCs w:val="21"/>
                                    </w:rPr>
                                    <w:t>作业单位</w:t>
                                  </w:r>
                                </w:p>
                              </w:txbxContent>
                            </wps:txbx>
                            <wps:bodyPr rot="0" vert="horz" wrap="square" lIns="91440" tIns="45720" rIns="91440" bIns="45720" anchor="t" anchorCtr="0" upright="1">
                              <a:noAutofit/>
                            </wps:bodyPr>
                          </wps:wsp>
                        </a:graphicData>
                      </a:graphic>
                    </wp:anchor>
                  </w:drawing>
                </mc:Choice>
                <mc:Fallback>
                  <w:pict>
                    <v:shape id="Text Box 2528" o:spid="_x0000_s1026" o:spt="202" type="#_x0000_t202" style="position:absolute;left:0pt;margin-left:20.6pt;margin-top:50.2pt;height:23.4pt;width:80.75pt;z-index:251680768;mso-width-relative:page;mso-height-relative:page;" fillcolor="#FFFFFF" filled="t" stroked="t" coordsize="21600,21600" o:gfxdata="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BjhM9n2AAAAAoBAAAPAAAAAAAAAAEAIAAAACIAAABkcnMvZG93bnJldi54&#10;bWxQSwECFAAUAAAACACHTuJAzdoKkzMCAACMBAAADgAAAAAAAAABACAAAAAnAQAAZHJzL2Uyb0Rv&#10;Yy54bWxQSwUGAAAAAAYABgBZAQAAzAUAAAAA&#10;">
                      <v:fill on="t" focussize="0,0"/>
                      <v:stroke color="#000000" miterlimit="8" joinstyle="miter"/>
                      <v:imagedata o:title=""/>
                      <o:lock v:ext="edit" aspectratio="f"/>
                      <v:textbox>
                        <w:txbxContent>
                          <w:p w14:paraId="764D8FFF">
                            <w:pPr>
                              <w:adjustRightInd w:val="0"/>
                              <w:snapToGrid w:val="0"/>
                              <w:spacing w:line="240" w:lineRule="atLeast"/>
                              <w:ind w:firstLine="0" w:firstLineChars="0"/>
                              <w:jc w:val="center"/>
                              <w:rPr>
                                <w:sz w:val="21"/>
                                <w:szCs w:val="21"/>
                              </w:rPr>
                            </w:pPr>
                            <w:r>
                              <w:rPr>
                                <w:rFonts w:hint="eastAsia"/>
                                <w:sz w:val="21"/>
                                <w:szCs w:val="21"/>
                              </w:rPr>
                              <w:t>作业单位</w:t>
                            </w:r>
                          </w:p>
                        </w:txbxContent>
                      </v:textbox>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94080" behindDoc="0" locked="0" layoutInCell="1" allowOverlap="1">
                      <wp:simplePos x="0" y="0"/>
                      <wp:positionH relativeFrom="column">
                        <wp:posOffset>1549400</wp:posOffset>
                      </wp:positionH>
                      <wp:positionV relativeFrom="paragraph">
                        <wp:posOffset>638810</wp:posOffset>
                      </wp:positionV>
                      <wp:extent cx="1366520" cy="297180"/>
                      <wp:effectExtent l="0" t="0" r="0" b="3810"/>
                      <wp:wrapNone/>
                      <wp:docPr id="3450" name="Text Box 2542"/>
                      <wp:cNvGraphicFramePr/>
                      <a:graphic xmlns:a="http://schemas.openxmlformats.org/drawingml/2006/main">
                        <a:graphicData uri="http://schemas.microsoft.com/office/word/2010/wordprocessingShape">
                          <wps:wsp>
                            <wps:cNvSpPr txBox="1">
                              <a:spLocks noChangeArrowheads="1"/>
                            </wps:cNvSpPr>
                            <wps:spPr bwMode="auto">
                              <a:xfrm>
                                <a:off x="0" y="0"/>
                                <a:ext cx="1366520" cy="297180"/>
                              </a:xfrm>
                              <a:prstGeom prst="rect">
                                <a:avLst/>
                              </a:prstGeom>
                              <a:solidFill>
                                <a:srgbClr val="FFFFFF"/>
                              </a:solidFill>
                              <a:ln w="9525">
                                <a:solidFill>
                                  <a:srgbClr val="000000"/>
                                </a:solidFill>
                                <a:miter lim="800000"/>
                              </a:ln>
                            </wps:spPr>
                            <wps:txbx>
                              <w:txbxContent>
                                <w:p w14:paraId="074F019E">
                                  <w:pPr>
                                    <w:adjustRightInd w:val="0"/>
                                    <w:snapToGrid w:val="0"/>
                                    <w:spacing w:line="240" w:lineRule="atLeast"/>
                                    <w:ind w:firstLine="0" w:firstLineChars="0"/>
                                    <w:jc w:val="center"/>
                                    <w:rPr>
                                      <w:sz w:val="21"/>
                                      <w:szCs w:val="21"/>
                                    </w:rPr>
                                  </w:pPr>
                                  <w:r>
                                    <w:rPr>
                                      <w:rFonts w:hint="eastAsia"/>
                                      <w:sz w:val="21"/>
                                      <w:szCs w:val="21"/>
                                    </w:rPr>
                                    <w:t>环境治理执行单位</w:t>
                                  </w:r>
                                </w:p>
                              </w:txbxContent>
                            </wps:txbx>
                            <wps:bodyPr rot="0" vert="horz" wrap="square" lIns="91440" tIns="45720" rIns="91440" bIns="45720" anchor="t" anchorCtr="0" upright="1">
                              <a:noAutofit/>
                            </wps:bodyPr>
                          </wps:wsp>
                        </a:graphicData>
                      </a:graphic>
                    </wp:anchor>
                  </w:drawing>
                </mc:Choice>
                <mc:Fallback>
                  <w:pict>
                    <v:shape id="Text Box 2542" o:spid="_x0000_s1026" o:spt="202" type="#_x0000_t202" style="position:absolute;left:0pt;margin-left:122pt;margin-top:50.3pt;height:23.4pt;width:107.6pt;z-index:251694080;mso-width-relative:page;mso-height-relative:page;" fillcolor="#FFFFFF" filled="t" stroked="t" coordsize="21600,21600" o:gfxdata="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A9bwFi2QAAAAsBAAAPAAAAAAAAAAEAIAAAACIAAABkcnMvZG93bnJl&#10;di54bWxQSwECFAAUAAAACACHTuJA5CW54DUCAACMBAAADgAAAAAAAAABACAAAAAoAQAAZHJzL2Uy&#10;b0RvYy54bWxQSwUGAAAAAAYABgBZAQAAzwUAAAAA&#10;">
                      <v:fill on="t" focussize="0,0"/>
                      <v:stroke color="#000000" miterlimit="8" joinstyle="miter"/>
                      <v:imagedata o:title=""/>
                      <o:lock v:ext="edit" aspectratio="f"/>
                      <v:textbox>
                        <w:txbxContent>
                          <w:p w14:paraId="074F019E">
                            <w:pPr>
                              <w:adjustRightInd w:val="0"/>
                              <w:snapToGrid w:val="0"/>
                              <w:spacing w:line="240" w:lineRule="atLeast"/>
                              <w:ind w:firstLine="0" w:firstLineChars="0"/>
                              <w:jc w:val="center"/>
                              <w:rPr>
                                <w:sz w:val="21"/>
                                <w:szCs w:val="21"/>
                              </w:rPr>
                            </w:pPr>
                            <w:r>
                              <w:rPr>
                                <w:rFonts w:hint="eastAsia"/>
                                <w:sz w:val="21"/>
                                <w:szCs w:val="21"/>
                              </w:rPr>
                              <w:t>环境治理执行单位</w:t>
                            </w:r>
                          </w:p>
                        </w:txbxContent>
                      </v:textbox>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95104" behindDoc="0" locked="0" layoutInCell="1" allowOverlap="1">
                      <wp:simplePos x="0" y="0"/>
                      <wp:positionH relativeFrom="column">
                        <wp:posOffset>2220595</wp:posOffset>
                      </wp:positionH>
                      <wp:positionV relativeFrom="paragraph">
                        <wp:posOffset>469900</wp:posOffset>
                      </wp:positionV>
                      <wp:extent cx="1905" cy="173355"/>
                      <wp:effectExtent l="0" t="0" r="18415" b="5715"/>
                      <wp:wrapNone/>
                      <wp:docPr id="3451" name="Line 2544"/>
                      <wp:cNvGraphicFramePr/>
                      <a:graphic xmlns:a="http://schemas.openxmlformats.org/drawingml/2006/main">
                        <a:graphicData uri="http://schemas.microsoft.com/office/word/2010/wordprocessingShape">
                          <wps:wsp>
                            <wps:cNvCnPr>
                              <a:cxnSpLocks noChangeShapeType="1"/>
                            </wps:cNvCnPr>
                            <wps:spPr bwMode="auto">
                              <a:xfrm flipH="1">
                                <a:off x="0" y="0"/>
                                <a:ext cx="1905" cy="173355"/>
                              </a:xfrm>
                              <a:prstGeom prst="line">
                                <a:avLst/>
                              </a:prstGeom>
                              <a:noFill/>
                              <a:ln w="9525">
                                <a:solidFill>
                                  <a:srgbClr val="000000"/>
                                </a:solidFill>
                                <a:round/>
                              </a:ln>
                            </wps:spPr>
                            <wps:bodyPr/>
                          </wps:wsp>
                        </a:graphicData>
                      </a:graphic>
                    </wp:anchor>
                  </w:drawing>
                </mc:Choice>
                <mc:Fallback>
                  <w:pict>
                    <v:line id="Line 2544" o:spid="_x0000_s1026" o:spt="20" style="position:absolute;left:0pt;flip:x;margin-left:174.85pt;margin-top:37pt;height:13.65pt;width:0.15pt;z-index:251695104;mso-width-relative:page;mso-height-relative:page;" filled="f" stroked="t" coordsize="21600,21600" o:gfxdata="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">
                      <v:fill on="f" focussize="0,0"/>
                      <v:stroke color="#000000" joinstyle="round"/>
                      <v:imagedata o:title=""/>
                      <o:lock v:ext="edit" aspectratio="f"/>
                    </v:line>
                  </w:pict>
                </mc:Fallback>
              </mc:AlternateContent>
            </w:r>
          </w:p>
        </w:tc>
        <w:tc>
          <w:tcPr>
            <w:tcW w:w="2788" w:type="dxa"/>
            <w:vMerge w:val="continue"/>
            <w:tcBorders>
              <w:left w:val="dotted" w:color="auto" w:sz="4" w:space="0"/>
              <w:bottom w:val="dotted" w:color="auto" w:sz="4" w:space="0"/>
              <w:right w:val="dotted" w:color="auto" w:sz="4" w:space="0"/>
            </w:tcBorders>
            <w:vAlign w:val="center"/>
          </w:tcPr>
          <w:p w14:paraId="0C8C3B31">
            <w:pPr>
              <w:pStyle w:val="70"/>
              <w:spacing w:line="240" w:lineRule="atLeast"/>
              <w:rPr>
                <w:color w:val="000000" w:themeColor="text1"/>
                <w14:textFill>
                  <w14:solidFill>
                    <w14:schemeClr w14:val="tx1"/>
                  </w14:solidFill>
                </w14:textFill>
              </w:rPr>
            </w:pPr>
          </w:p>
        </w:tc>
      </w:tr>
    </w:tbl>
    <w:p w14:paraId="584A13F8">
      <w:pPr>
        <w:pStyle w:val="8"/>
        <w:rPr>
          <w:snapToGrid w:val="0"/>
          <w:color w:val="000000" w:themeColor="text1"/>
          <w14:textFill>
            <w14:solidFill>
              <w14:schemeClr w14:val="tx1"/>
            </w14:solidFill>
          </w14:textFill>
        </w:rPr>
      </w:pPr>
      <w:r>
        <w:rPr>
          <w:snapToGrid w:val="0"/>
          <w:color w:val="000000" w:themeColor="text1"/>
          <w14:textFill>
            <w14:solidFill>
              <w14:schemeClr w14:val="tx1"/>
            </w14:solidFill>
          </w14:textFill>
        </w:rPr>
        <w:t>环境管理与监督机构示意图</w:t>
      </w:r>
    </w:p>
    <w:p w14:paraId="1A0E52EC">
      <w:pPr>
        <w:pStyle w:val="4"/>
        <w:rPr>
          <w:color w:val="000000" w:themeColor="text1"/>
          <w14:textFill>
            <w14:solidFill>
              <w14:schemeClr w14:val="tx1"/>
            </w14:solidFill>
          </w14:textFill>
        </w:rPr>
      </w:pPr>
      <w:bookmarkStart w:id="826" w:name="_Toc135090312"/>
      <w:bookmarkStart w:id="827" w:name="_Toc216620645"/>
      <w:bookmarkStart w:id="828" w:name="_Toc216103486"/>
      <w:bookmarkStart w:id="829" w:name="_Toc136878576"/>
      <w:r>
        <w:rPr>
          <w:color w:val="000000" w:themeColor="text1"/>
          <w14:textFill>
            <w14:solidFill>
              <w14:schemeClr w14:val="tx1"/>
            </w14:solidFill>
          </w14:textFill>
        </w:rPr>
        <w:t>环境管理制度</w:t>
      </w:r>
      <w:bookmarkEnd w:id="826"/>
      <w:bookmarkEnd w:id="827"/>
      <w:bookmarkEnd w:id="828"/>
      <w:bookmarkEnd w:id="829"/>
    </w:p>
    <w:p w14:paraId="1148E89E">
      <w:pPr>
        <w:ind w:firstLine="480"/>
        <w:rPr>
          <w:color w:val="000000" w:themeColor="text1"/>
          <w14:textFill>
            <w14:solidFill>
              <w14:schemeClr w14:val="tx1"/>
            </w14:solidFill>
          </w14:textFill>
        </w:rPr>
      </w:pPr>
      <w:r>
        <w:rPr>
          <w:color w:val="000000" w:themeColor="text1"/>
          <w14:textFill>
            <w14:solidFill>
              <w14:schemeClr w14:val="tx1"/>
            </w14:solidFill>
          </w14:textFill>
        </w:rPr>
        <w:t>为了落实各项污染防治措施，加强环境保护管理工作，应根据实际特点，制定各种类型的环保制度，并以文件形式规定，形成一套公司级环境管理制度体系，如：</w:t>
      </w:r>
    </w:p>
    <w:p w14:paraId="5328869B">
      <w:pPr>
        <w:ind w:firstLine="480"/>
        <w:rPr>
          <w:color w:val="000000" w:themeColor="text1"/>
          <w14:textFill>
            <w14:solidFill>
              <w14:schemeClr w14:val="tx1"/>
            </w14:solidFill>
          </w14:textFill>
        </w:rPr>
      </w:pPr>
      <w:r>
        <w:rPr>
          <w:color w:val="000000" w:themeColor="text1"/>
          <w14:textFill>
            <w14:solidFill>
              <w14:schemeClr w14:val="tx1"/>
            </w14:solidFill>
          </w14:textFill>
        </w:rPr>
        <w:t>1、环境保护职责管理条例；</w:t>
      </w:r>
    </w:p>
    <w:p w14:paraId="18F31DDA">
      <w:pPr>
        <w:ind w:firstLine="480"/>
        <w:rPr>
          <w:color w:val="000000" w:themeColor="text1"/>
          <w14:textFill>
            <w14:solidFill>
              <w14:schemeClr w14:val="tx1"/>
            </w14:solidFill>
          </w14:textFill>
        </w:rPr>
      </w:pPr>
      <w:r>
        <w:rPr>
          <w:color w:val="000000" w:themeColor="text1"/>
          <w14:textFill>
            <w14:solidFill>
              <w14:schemeClr w14:val="tx1"/>
            </w14:solidFill>
          </w14:textFill>
        </w:rPr>
        <w:t>2、建设项目“三同时”管理制度；</w:t>
      </w:r>
    </w:p>
    <w:p w14:paraId="4BF2BC63">
      <w:pPr>
        <w:ind w:firstLine="480"/>
        <w:rPr>
          <w:color w:val="000000" w:themeColor="text1"/>
          <w14:textFill>
            <w14:solidFill>
              <w14:schemeClr w14:val="tx1"/>
            </w14:solidFill>
          </w14:textFill>
        </w:rPr>
      </w:pPr>
      <w:r>
        <w:rPr>
          <w:color w:val="000000" w:themeColor="text1"/>
          <w14:textFill>
            <w14:solidFill>
              <w14:schemeClr w14:val="tx1"/>
            </w14:solidFill>
          </w14:textFill>
        </w:rPr>
        <w:t>3、各种环保装置运行操作规程；</w:t>
      </w:r>
    </w:p>
    <w:p w14:paraId="0052B623">
      <w:pPr>
        <w:ind w:firstLine="480"/>
        <w:rPr>
          <w:color w:val="000000" w:themeColor="text1"/>
          <w14:textFill>
            <w14:solidFill>
              <w14:schemeClr w14:val="tx1"/>
            </w14:solidFill>
          </w14:textFill>
        </w:rPr>
      </w:pPr>
      <w:r>
        <w:rPr>
          <w:color w:val="000000" w:themeColor="text1"/>
          <w14:textFill>
            <w14:solidFill>
              <w14:schemeClr w14:val="tx1"/>
            </w14:solidFill>
          </w14:textFill>
        </w:rPr>
        <w:t>4、各种污染防治对策控制工艺参数；</w:t>
      </w:r>
    </w:p>
    <w:p w14:paraId="1A1C392A">
      <w:pPr>
        <w:ind w:firstLine="480"/>
        <w:rPr>
          <w:color w:val="000000" w:themeColor="text1"/>
          <w14:textFill>
            <w14:solidFill>
              <w14:schemeClr w14:val="tx1"/>
            </w14:solidFill>
          </w14:textFill>
        </w:rPr>
      </w:pPr>
      <w:r>
        <w:rPr>
          <w:color w:val="000000" w:themeColor="text1"/>
          <w14:textFill>
            <w14:solidFill>
              <w14:schemeClr w14:val="tx1"/>
            </w14:solidFill>
          </w14:textFill>
        </w:rPr>
        <w:t>5、各种环保设施检查、维护、保养规定；</w:t>
      </w:r>
    </w:p>
    <w:p w14:paraId="3C4CD0EC">
      <w:pPr>
        <w:ind w:firstLine="480"/>
        <w:rPr>
          <w:color w:val="000000" w:themeColor="text1"/>
          <w14:textFill>
            <w14:solidFill>
              <w14:schemeClr w14:val="tx1"/>
            </w14:solidFill>
          </w14:textFill>
        </w:rPr>
      </w:pPr>
      <w:r>
        <w:rPr>
          <w:color w:val="000000" w:themeColor="text1"/>
          <w14:textFill>
            <w14:solidFill>
              <w14:schemeClr w14:val="tx1"/>
            </w14:solidFill>
          </w14:textFill>
        </w:rPr>
        <w:t>6、环境保护工作实施计划；</w:t>
      </w:r>
    </w:p>
    <w:p w14:paraId="2C9EEFE5">
      <w:pPr>
        <w:ind w:firstLine="480"/>
        <w:rPr>
          <w:color w:val="000000" w:themeColor="text1"/>
          <w14:textFill>
            <w14:solidFill>
              <w14:schemeClr w14:val="tx1"/>
            </w14:solidFill>
          </w14:textFill>
        </w:rPr>
      </w:pPr>
      <w:r>
        <w:rPr>
          <w:color w:val="000000" w:themeColor="text1"/>
          <w14:textFill>
            <w14:solidFill>
              <w14:schemeClr w14:val="tx1"/>
            </w14:solidFill>
          </w14:textFill>
        </w:rPr>
        <w:t>7、固废综合利用管理办法；</w:t>
      </w:r>
    </w:p>
    <w:p w14:paraId="1BE2D2C9">
      <w:pPr>
        <w:ind w:firstLine="480"/>
        <w:rPr>
          <w:color w:val="000000" w:themeColor="text1"/>
          <w14:textFill>
            <w14:solidFill>
              <w14:schemeClr w14:val="tx1"/>
            </w14:solidFill>
          </w14:textFill>
        </w:rPr>
      </w:pPr>
      <w:r>
        <w:rPr>
          <w:color w:val="000000" w:themeColor="text1"/>
          <w14:textFill>
            <w14:solidFill>
              <w14:schemeClr w14:val="tx1"/>
            </w14:solidFill>
          </w14:textFill>
        </w:rPr>
        <w:t>8、污染事故应急预案；</w:t>
      </w:r>
    </w:p>
    <w:p w14:paraId="23F583E6">
      <w:pPr>
        <w:ind w:firstLine="480"/>
        <w:rPr>
          <w:color w:val="000000" w:themeColor="text1"/>
          <w14:textFill>
            <w14:solidFill>
              <w14:schemeClr w14:val="tx1"/>
            </w14:solidFill>
          </w14:textFill>
        </w:rPr>
      </w:pPr>
      <w:r>
        <w:rPr>
          <w:color w:val="000000" w:themeColor="text1"/>
          <w14:textFill>
            <w14:solidFill>
              <w14:schemeClr w14:val="tx1"/>
            </w14:solidFill>
          </w14:textFill>
        </w:rPr>
        <w:t>9、绿化工作年度计划；</w:t>
      </w:r>
    </w:p>
    <w:p w14:paraId="5EE669EB">
      <w:pPr>
        <w:ind w:firstLine="480"/>
        <w:rPr>
          <w:color w:val="000000" w:themeColor="text1"/>
          <w14:textFill>
            <w14:solidFill>
              <w14:schemeClr w14:val="tx1"/>
            </w14:solidFill>
          </w14:textFill>
        </w:rPr>
      </w:pPr>
      <w:r>
        <w:rPr>
          <w:color w:val="000000" w:themeColor="text1"/>
          <w14:textFill>
            <w14:solidFill>
              <w14:schemeClr w14:val="tx1"/>
            </w14:solidFill>
          </w14:textFill>
        </w:rPr>
        <w:t>10、环境保护指标考核管理办法；</w:t>
      </w:r>
    </w:p>
    <w:p w14:paraId="36FC9B93">
      <w:pPr>
        <w:ind w:firstLine="480"/>
        <w:rPr>
          <w:color w:val="000000" w:themeColor="text1"/>
          <w14:textFill>
            <w14:solidFill>
              <w14:schemeClr w14:val="tx1"/>
            </w14:solidFill>
          </w14:textFill>
        </w:rPr>
      </w:pPr>
      <w:r>
        <w:rPr>
          <w:color w:val="000000" w:themeColor="text1"/>
          <w14:textFill>
            <w14:solidFill>
              <w14:schemeClr w14:val="tx1"/>
            </w14:solidFill>
          </w14:textFill>
        </w:rPr>
        <w:t>11、规范化排污口建设管理规定；</w:t>
      </w:r>
    </w:p>
    <w:p w14:paraId="18E810AD">
      <w:pPr>
        <w:ind w:firstLine="480"/>
        <w:rPr>
          <w:color w:val="000000" w:themeColor="text1"/>
          <w14:textFill>
            <w14:solidFill>
              <w14:schemeClr w14:val="tx1"/>
            </w14:solidFill>
          </w14:textFill>
        </w:rPr>
      </w:pPr>
      <w:r>
        <w:rPr>
          <w:color w:val="000000" w:themeColor="text1"/>
          <w14:textFill>
            <w14:solidFill>
              <w14:schemeClr w14:val="tx1"/>
            </w14:solidFill>
          </w14:textFill>
        </w:rPr>
        <w:t>12、环保宣传及教育制度。</w:t>
      </w:r>
    </w:p>
    <w:p w14:paraId="25702C63">
      <w:pPr>
        <w:pStyle w:val="4"/>
        <w:rPr>
          <w:color w:val="000000" w:themeColor="text1"/>
          <w14:textFill>
            <w14:solidFill>
              <w14:schemeClr w14:val="tx1"/>
            </w14:solidFill>
          </w14:textFill>
        </w:rPr>
      </w:pPr>
      <w:bookmarkStart w:id="830" w:name="_Toc136878577"/>
      <w:bookmarkStart w:id="831" w:name="_Toc216620646"/>
      <w:bookmarkStart w:id="832" w:name="_Toc216103487"/>
      <w:bookmarkStart w:id="833" w:name="_Toc135090313"/>
      <w:r>
        <w:rPr>
          <w:color w:val="000000" w:themeColor="text1"/>
          <w14:textFill>
            <w14:solidFill>
              <w14:schemeClr w14:val="tx1"/>
            </w14:solidFill>
          </w14:textFill>
        </w:rPr>
        <w:t>建设单位环境管理</w:t>
      </w:r>
      <w:bookmarkEnd w:id="830"/>
      <w:bookmarkEnd w:id="831"/>
      <w:bookmarkEnd w:id="832"/>
      <w:bookmarkEnd w:id="833"/>
    </w:p>
    <w:p w14:paraId="7613F86E">
      <w:pPr>
        <w:ind w:firstLine="480"/>
        <w:rPr>
          <w:color w:val="000000" w:themeColor="text1"/>
          <w14:textFill>
            <w14:solidFill>
              <w14:schemeClr w14:val="tx1"/>
            </w14:solidFill>
          </w14:textFill>
        </w:rPr>
      </w:pPr>
      <w:r>
        <w:rPr>
          <w:color w:val="000000" w:themeColor="text1"/>
          <w14:textFill>
            <w14:solidFill>
              <w14:schemeClr w14:val="tx1"/>
            </w14:solidFill>
          </w14:textFill>
        </w:rPr>
        <w:t>建设单位应联合施工单位及施工监理单位成立施工期环境管理机构，并在项目经理部设立环保主管，由专人负责监督本工程施工的环境保护管理工作，该机构由建设单位直接领导，并取得当地海洋与渔业局、环保局等有关部门的指导和帮助。其主要职责：</w:t>
      </w:r>
    </w:p>
    <w:p w14:paraId="33C9F44C">
      <w:pPr>
        <w:ind w:firstLine="480"/>
        <w:rPr>
          <w:color w:val="000000" w:themeColor="text1"/>
          <w14:textFill>
            <w14:solidFill>
              <w14:schemeClr w14:val="tx1"/>
            </w14:solidFill>
          </w14:textFill>
        </w:rPr>
      </w:pPr>
      <w:r>
        <w:rPr>
          <w:color w:val="000000" w:themeColor="text1"/>
          <w14:textFill>
            <w14:solidFill>
              <w14:schemeClr w14:val="tx1"/>
            </w14:solidFill>
          </w14:textFill>
        </w:rPr>
        <w:t>1、宣传和执行</w:t>
      </w:r>
      <w:r>
        <w:rPr>
          <w:rFonts w:hint="eastAsia"/>
          <w:color w:val="000000" w:themeColor="text1"/>
          <w:lang w:eastAsia="zh-CN"/>
          <w14:textFill>
            <w14:solidFill>
              <w14:schemeClr w14:val="tx1"/>
            </w14:solidFill>
          </w14:textFill>
        </w:rPr>
        <w:t>《中华人民共和国环境保护法》</w:t>
      </w:r>
      <w:r>
        <w:rPr>
          <w:color w:val="000000" w:themeColor="text1"/>
          <w14:textFill>
            <w14:solidFill>
              <w14:schemeClr w14:val="tx1"/>
            </w14:solidFill>
          </w14:textFill>
        </w:rPr>
        <w:t>、海洋环境保护法、防治船舶污染海洋的有关国家法律、法规和有关海洋与资源保护法规。</w:t>
      </w:r>
    </w:p>
    <w:p w14:paraId="2868D73A">
      <w:pPr>
        <w:ind w:firstLine="480"/>
        <w:rPr>
          <w:color w:val="000000" w:themeColor="text1"/>
          <w14:textFill>
            <w14:solidFill>
              <w14:schemeClr w14:val="tx1"/>
            </w14:solidFill>
          </w14:textFill>
        </w:rPr>
      </w:pPr>
      <w:r>
        <w:rPr>
          <w:color w:val="000000" w:themeColor="text1"/>
          <w14:textFill>
            <w14:solidFill>
              <w14:schemeClr w14:val="tx1"/>
            </w14:solidFill>
          </w14:textFill>
        </w:rPr>
        <w:t>2、制定施工期的环境管理和环境保护行动计划，制定年度实施计划，并监督、落实监测计划等。</w:t>
      </w:r>
    </w:p>
    <w:p w14:paraId="6B4C2DA2">
      <w:pPr>
        <w:ind w:firstLine="480"/>
        <w:rPr>
          <w:color w:val="000000" w:themeColor="text1"/>
          <w14:textFill>
            <w14:solidFill>
              <w14:schemeClr w14:val="tx1"/>
            </w14:solidFill>
          </w14:textFill>
        </w:rPr>
      </w:pPr>
      <w:r>
        <w:rPr>
          <w:color w:val="000000" w:themeColor="text1"/>
          <w14:textFill>
            <w14:solidFill>
              <w14:schemeClr w14:val="tx1"/>
            </w14:solidFill>
          </w14:textFill>
        </w:rPr>
        <w:t>3、按报告书所提的环保措施与对策建议，与施工单位和施工监理单位签订环保措施责任书，并负责监督检查各类施工作业执行本报告提出各项环保措施的落实情况。</w:t>
      </w:r>
    </w:p>
    <w:p w14:paraId="3D7D515A">
      <w:pPr>
        <w:ind w:firstLine="480"/>
        <w:rPr>
          <w:color w:val="000000" w:themeColor="text1"/>
          <w14:textFill>
            <w14:solidFill>
              <w14:schemeClr w14:val="tx1"/>
            </w14:solidFill>
          </w14:textFill>
        </w:rPr>
      </w:pPr>
      <w:r>
        <w:rPr>
          <w:color w:val="000000" w:themeColor="text1"/>
          <w14:textFill>
            <w14:solidFill>
              <w14:schemeClr w14:val="tx1"/>
            </w14:solidFill>
          </w14:textFill>
        </w:rPr>
        <w:t>4、制定施工期安全措施，负责做好施工期污水、固体废物的合理处置工作。</w:t>
      </w:r>
    </w:p>
    <w:p w14:paraId="1F08D57A">
      <w:pPr>
        <w:ind w:firstLine="480"/>
        <w:rPr>
          <w:color w:val="000000" w:themeColor="text1"/>
          <w14:textFill>
            <w14:solidFill>
              <w14:schemeClr w14:val="tx1"/>
            </w14:solidFill>
          </w14:textFill>
        </w:rPr>
      </w:pPr>
      <w:r>
        <w:rPr>
          <w:color w:val="000000" w:themeColor="text1"/>
          <w14:textFill>
            <w14:solidFill>
              <w14:schemeClr w14:val="tx1"/>
            </w14:solidFill>
          </w14:textFill>
        </w:rPr>
        <w:t>5、制定本工程施工期监测计划，并组织监测计划的实施；组织人员定期检查和维修施工机械，监督其正常运转，减少事故的发生。</w:t>
      </w:r>
    </w:p>
    <w:p w14:paraId="0D6E52E0">
      <w:pPr>
        <w:ind w:firstLine="480"/>
        <w:rPr>
          <w:color w:val="000000" w:themeColor="text1"/>
          <w14:textFill>
            <w14:solidFill>
              <w14:schemeClr w14:val="tx1"/>
            </w14:solidFill>
          </w14:textFill>
        </w:rPr>
      </w:pPr>
      <w:r>
        <w:rPr>
          <w:color w:val="000000" w:themeColor="text1"/>
          <w14:textFill>
            <w14:solidFill>
              <w14:schemeClr w14:val="tx1"/>
            </w14:solidFill>
          </w14:textFill>
        </w:rPr>
        <w:t>6、负责环境状况及各种污染物排放监测数据的统计，上报与存档并定期向主管部门汇报。</w:t>
      </w:r>
    </w:p>
    <w:p w14:paraId="30535AD7">
      <w:pPr>
        <w:ind w:firstLine="480"/>
        <w:rPr>
          <w:color w:val="000000" w:themeColor="text1"/>
          <w14:textFill>
            <w14:solidFill>
              <w14:schemeClr w14:val="tx1"/>
            </w14:solidFill>
          </w14:textFill>
        </w:rPr>
      </w:pPr>
      <w:r>
        <w:rPr>
          <w:color w:val="000000" w:themeColor="text1"/>
          <w14:textFill>
            <w14:solidFill>
              <w14:schemeClr w14:val="tx1"/>
            </w14:solidFill>
          </w14:textFill>
        </w:rPr>
        <w:t>7、处理日常各种与环保有关事宜，以及其他环保、安全相关工作。</w:t>
      </w:r>
    </w:p>
    <w:p w14:paraId="3D657971">
      <w:pPr>
        <w:pStyle w:val="4"/>
        <w:rPr>
          <w:color w:val="000000" w:themeColor="text1"/>
          <w14:textFill>
            <w14:solidFill>
              <w14:schemeClr w14:val="tx1"/>
            </w14:solidFill>
          </w14:textFill>
        </w:rPr>
      </w:pPr>
      <w:bookmarkStart w:id="834" w:name="_Toc216620647"/>
      <w:bookmarkStart w:id="835" w:name="_Toc136878578"/>
      <w:bookmarkStart w:id="836" w:name="_Toc216103488"/>
      <w:bookmarkStart w:id="837" w:name="_Toc135090314"/>
      <w:r>
        <w:rPr>
          <w:color w:val="000000" w:themeColor="text1"/>
          <w14:textFill>
            <w14:solidFill>
              <w14:schemeClr w14:val="tx1"/>
            </w14:solidFill>
          </w14:textFill>
        </w:rPr>
        <w:t>施工单位环境管理</w:t>
      </w:r>
      <w:bookmarkEnd w:id="834"/>
      <w:bookmarkEnd w:id="835"/>
      <w:bookmarkEnd w:id="836"/>
      <w:bookmarkEnd w:id="837"/>
    </w:p>
    <w:p w14:paraId="1E65CCA3">
      <w:pPr>
        <w:ind w:firstLine="480"/>
        <w:rPr>
          <w:color w:val="000000" w:themeColor="text1"/>
          <w14:textFill>
            <w14:solidFill>
              <w14:schemeClr w14:val="tx1"/>
            </w14:solidFill>
          </w14:textFill>
        </w:rPr>
      </w:pPr>
      <w:r>
        <w:rPr>
          <w:color w:val="000000" w:themeColor="text1"/>
          <w14:textFill>
            <w14:solidFill>
              <w14:schemeClr w14:val="tx1"/>
            </w14:solidFill>
          </w14:textFill>
        </w:rPr>
        <w:t>为加强施工现场管理，防止施工扬尘污染和施工噪声扰民，施工单位设置一名专职或兼职环境保护人员，负责各个施工工序的环境管理工作，保证施工期环保设施的正常进行以及各项环保措施的落实。其主要职责为：</w:t>
      </w:r>
    </w:p>
    <w:p w14:paraId="54899DD7">
      <w:pPr>
        <w:ind w:firstLine="480"/>
        <w:rPr>
          <w:color w:val="000000" w:themeColor="text1"/>
          <w14:textFill>
            <w14:solidFill>
              <w14:schemeClr w14:val="tx1"/>
            </w14:solidFill>
          </w14:textFill>
        </w:rPr>
      </w:pPr>
      <w:r>
        <w:rPr>
          <w:color w:val="000000" w:themeColor="text1"/>
          <w14:textFill>
            <w14:solidFill>
              <w14:schemeClr w14:val="tx1"/>
            </w14:solidFill>
          </w14:textFill>
        </w:rPr>
        <w:t>（1）</w:t>
      </w:r>
      <w:r>
        <w:rPr>
          <w:color w:val="000000" w:themeColor="text1"/>
          <w14:textFill>
            <w14:solidFill>
              <w14:schemeClr w14:val="tx1"/>
            </w14:solidFill>
          </w14:textFill>
        </w:rPr>
        <w:tab/>
      </w:r>
      <w:r>
        <w:rPr>
          <w:color w:val="000000" w:themeColor="text1"/>
          <w14:textFill>
            <w14:solidFill>
              <w14:schemeClr w14:val="tx1"/>
            </w14:solidFill>
          </w14:textFill>
        </w:rPr>
        <w:t>按建设单位</w:t>
      </w:r>
      <w:r>
        <w:rPr>
          <w:rFonts w:hint="eastAsia"/>
          <w:color w:val="000000" w:themeColor="text1"/>
          <w:lang w:eastAsia="zh-CN"/>
          <w14:textFill>
            <w14:solidFill>
              <w14:schemeClr w14:val="tx1"/>
            </w14:solidFill>
          </w14:textFill>
        </w:rPr>
        <w:t>声环境影响评价</w:t>
      </w:r>
      <w:r>
        <w:rPr>
          <w:color w:val="000000" w:themeColor="text1"/>
          <w14:textFill>
            <w14:solidFill>
              <w14:schemeClr w14:val="tx1"/>
            </w14:solidFill>
          </w14:textFill>
        </w:rPr>
        <w:t>要求制定文明施工计划，向当地环保行政部门提交施工阶段环境保护报告。内容应包括：工程进度、主要施工内容及方法、造成的环境影响评述以及减缓环境影响措施的落实情况；</w:t>
      </w:r>
    </w:p>
    <w:p w14:paraId="1D52D90A">
      <w:pPr>
        <w:ind w:firstLine="480"/>
        <w:rPr>
          <w:color w:val="000000" w:themeColor="text1"/>
          <w14:textFill>
            <w14:solidFill>
              <w14:schemeClr w14:val="tx1"/>
            </w14:solidFill>
          </w14:textFill>
        </w:rPr>
      </w:pPr>
      <w:r>
        <w:rPr>
          <w:color w:val="000000" w:themeColor="text1"/>
          <w14:textFill>
            <w14:solidFill>
              <w14:schemeClr w14:val="tx1"/>
            </w14:solidFill>
          </w14:textFill>
        </w:rPr>
        <w:t>（2）</w:t>
      </w:r>
      <w:r>
        <w:rPr>
          <w:color w:val="000000" w:themeColor="text1"/>
          <w14:textFill>
            <w14:solidFill>
              <w14:schemeClr w14:val="tx1"/>
            </w14:solidFill>
          </w14:textFill>
        </w:rPr>
        <w:tab/>
      </w:r>
      <w:r>
        <w:rPr>
          <w:color w:val="000000" w:themeColor="text1"/>
          <w14:textFill>
            <w14:solidFill>
              <w14:schemeClr w14:val="tx1"/>
            </w14:solidFill>
          </w14:textFill>
        </w:rPr>
        <w:t>与业主单位环保人员一同制定本项目施工环境管理条例；</w:t>
      </w:r>
    </w:p>
    <w:p w14:paraId="733B0E34">
      <w:pPr>
        <w:ind w:firstLine="480"/>
        <w:rPr>
          <w:color w:val="000000" w:themeColor="text1"/>
          <w14:textFill>
            <w14:solidFill>
              <w14:schemeClr w14:val="tx1"/>
            </w14:solidFill>
          </w14:textFill>
        </w:rPr>
      </w:pPr>
      <w:r>
        <w:rPr>
          <w:color w:val="000000" w:themeColor="text1"/>
          <w14:textFill>
            <w14:solidFill>
              <w14:schemeClr w14:val="tx1"/>
            </w14:solidFill>
          </w14:textFill>
        </w:rPr>
        <w:t>（3）</w:t>
      </w:r>
      <w:r>
        <w:rPr>
          <w:color w:val="000000" w:themeColor="text1"/>
          <w14:textFill>
            <w14:solidFill>
              <w14:schemeClr w14:val="tx1"/>
            </w14:solidFill>
          </w14:textFill>
        </w:rPr>
        <w:tab/>
      </w:r>
      <w:r>
        <w:rPr>
          <w:color w:val="000000" w:themeColor="text1"/>
          <w14:textFill>
            <w14:solidFill>
              <w14:schemeClr w14:val="tx1"/>
            </w14:solidFill>
          </w14:textFill>
        </w:rPr>
        <w:t>定期检查施工环境管理条例实施情况，并督促有关人员进行整改；</w:t>
      </w:r>
    </w:p>
    <w:p w14:paraId="4570B482">
      <w:pPr>
        <w:ind w:firstLine="480"/>
        <w:rPr>
          <w:color w:val="000000" w:themeColor="text1"/>
          <w14:textFill>
            <w14:solidFill>
              <w14:schemeClr w14:val="tx1"/>
            </w14:solidFill>
          </w14:textFill>
        </w:rPr>
      </w:pPr>
      <w:r>
        <w:rPr>
          <w:color w:val="000000" w:themeColor="text1"/>
          <w14:textFill>
            <w14:solidFill>
              <w14:schemeClr w14:val="tx1"/>
            </w14:solidFill>
          </w14:textFill>
        </w:rPr>
        <w:t>（4）</w:t>
      </w:r>
      <w:r>
        <w:rPr>
          <w:color w:val="000000" w:themeColor="text1"/>
          <w14:textFill>
            <w14:solidFill>
              <w14:schemeClr w14:val="tx1"/>
            </w14:solidFill>
          </w14:textFill>
        </w:rPr>
        <w:tab/>
      </w:r>
      <w:r>
        <w:rPr>
          <w:color w:val="000000" w:themeColor="text1"/>
          <w14:textFill>
            <w14:solidFill>
              <w14:schemeClr w14:val="tx1"/>
            </w14:solidFill>
          </w14:textFill>
        </w:rPr>
        <w:t>定期听取环保部门、建设单位和周围居民对施工污染影响的意见，以便进一步加强文明施工。</w:t>
      </w:r>
    </w:p>
    <w:p w14:paraId="4FC072A6">
      <w:pPr>
        <w:pStyle w:val="5"/>
        <w:rPr>
          <w:color w:val="000000" w:themeColor="text1"/>
          <w14:textFill>
            <w14:solidFill>
              <w14:schemeClr w14:val="tx1"/>
            </w14:solidFill>
          </w14:textFill>
        </w:rPr>
      </w:pPr>
      <w:bookmarkStart w:id="838" w:name="_Toc216620648"/>
      <w:r>
        <w:rPr>
          <w:color w:val="000000" w:themeColor="text1"/>
          <w14:textFill>
            <w14:solidFill>
              <w14:schemeClr w14:val="tx1"/>
            </w14:solidFill>
          </w14:textFill>
        </w:rPr>
        <w:t>排污管理要求</w:t>
      </w:r>
      <w:bookmarkEnd w:id="838"/>
    </w:p>
    <w:p w14:paraId="1CC5BCB5">
      <w:pPr>
        <w:pStyle w:val="4"/>
        <w:rPr>
          <w:color w:val="000000" w:themeColor="text1"/>
          <w14:textFill>
            <w14:solidFill>
              <w14:schemeClr w14:val="tx1"/>
            </w14:solidFill>
          </w14:textFill>
        </w:rPr>
      </w:pPr>
      <w:bookmarkStart w:id="839" w:name="_Toc29131921"/>
      <w:bookmarkStart w:id="840" w:name="_Toc136878580"/>
      <w:bookmarkStart w:id="841" w:name="_Toc216103490"/>
      <w:bookmarkStart w:id="842" w:name="_Toc135090316"/>
      <w:bookmarkStart w:id="843" w:name="_Toc25437061"/>
      <w:bookmarkStart w:id="844" w:name="_Toc26910108"/>
      <w:bookmarkStart w:id="845" w:name="_Toc216620649"/>
      <w:r>
        <w:rPr>
          <w:color w:val="000000" w:themeColor="text1"/>
          <w14:textFill>
            <w14:solidFill>
              <w14:schemeClr w14:val="tx1"/>
            </w14:solidFill>
          </w14:textFill>
        </w:rPr>
        <w:t>污染物排放清单</w:t>
      </w:r>
      <w:bookmarkEnd w:id="839"/>
      <w:bookmarkEnd w:id="840"/>
      <w:bookmarkEnd w:id="841"/>
      <w:bookmarkEnd w:id="842"/>
      <w:bookmarkEnd w:id="843"/>
      <w:bookmarkEnd w:id="844"/>
      <w:bookmarkEnd w:id="845"/>
    </w:p>
    <w:p w14:paraId="6AED6317">
      <w:pPr>
        <w:ind w:firstLine="480"/>
        <w:rPr>
          <w:color w:val="000000" w:themeColor="text1"/>
          <w14:textFill>
            <w14:solidFill>
              <w14:schemeClr w14:val="tx1"/>
            </w14:solidFill>
          </w14:textFill>
        </w:rPr>
        <w:sectPr>
          <w:headerReference r:id="rId35" w:type="default"/>
          <w:pgSz w:w="11906" w:h="16838"/>
          <w:pgMar w:top="1440" w:right="1800" w:bottom="1440" w:left="1800" w:header="851" w:footer="680" w:gutter="0"/>
          <w:pgBorders>
            <w:top w:val="none" w:sz="0" w:space="0"/>
            <w:left w:val="none" w:sz="0" w:space="0"/>
            <w:bottom w:val="none" w:sz="0" w:space="0"/>
            <w:right w:val="none" w:sz="0" w:space="0"/>
          </w:pgBorders>
          <w:pgNumType w:fmt="numberInDash"/>
          <w:cols w:space="720" w:num="1"/>
          <w:docGrid w:type="lines" w:linePitch="312" w:charSpace="0"/>
        </w:sectPr>
      </w:pPr>
      <w:r>
        <w:rPr>
          <w:color w:val="000000" w:themeColor="text1"/>
          <w14:textFill>
            <w14:solidFill>
              <w14:schemeClr w14:val="tx1"/>
            </w14:solidFill>
          </w14:textFill>
        </w:rPr>
        <w:t>本项目污染物排放清单见表8.2-1。</w:t>
      </w:r>
    </w:p>
    <w:p w14:paraId="5D7062BC">
      <w:pPr>
        <w:pStyle w:val="7"/>
        <w:rPr>
          <w:color w:val="000000" w:themeColor="text1"/>
          <w14:textFill>
            <w14:solidFill>
              <w14:schemeClr w14:val="tx1"/>
            </w14:solidFill>
          </w14:textFill>
        </w:rPr>
      </w:pPr>
      <w:r>
        <w:rPr>
          <w:color w:val="000000" w:themeColor="text1"/>
          <w14:textFill>
            <w14:solidFill>
              <w14:schemeClr w14:val="tx1"/>
            </w14:solidFill>
          </w14:textFill>
        </w:rPr>
        <w:t>项目污染物排放情况表</w:t>
      </w:r>
    </w:p>
    <w:tbl>
      <w:tblPr>
        <w:tblStyle w:val="43"/>
        <w:tblW w:w="14220" w:type="dxa"/>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7"/>
        <w:gridCol w:w="686"/>
        <w:gridCol w:w="450"/>
        <w:gridCol w:w="259"/>
        <w:gridCol w:w="320"/>
        <w:gridCol w:w="1352"/>
        <w:gridCol w:w="227"/>
        <w:gridCol w:w="227"/>
        <w:gridCol w:w="608"/>
        <w:gridCol w:w="385"/>
        <w:gridCol w:w="165"/>
        <w:gridCol w:w="534"/>
        <w:gridCol w:w="157"/>
        <w:gridCol w:w="1292"/>
        <w:gridCol w:w="34"/>
        <w:gridCol w:w="676"/>
        <w:gridCol w:w="402"/>
        <w:gridCol w:w="1276"/>
        <w:gridCol w:w="708"/>
        <w:gridCol w:w="289"/>
        <w:gridCol w:w="372"/>
        <w:gridCol w:w="813"/>
        <w:gridCol w:w="121"/>
        <w:gridCol w:w="8"/>
        <w:gridCol w:w="440"/>
        <w:gridCol w:w="515"/>
        <w:gridCol w:w="433"/>
        <w:gridCol w:w="559"/>
        <w:gridCol w:w="895"/>
        <w:gridCol w:w="10"/>
      </w:tblGrid>
      <w:tr w14:paraId="4004A516">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gridAfter w:val="1"/>
          <w:wAfter w:w="10" w:type="dxa"/>
          <w:trHeight w:val="20" w:hRule="atLeast"/>
          <w:jc w:val="center"/>
        </w:trPr>
        <w:tc>
          <w:tcPr>
            <w:tcW w:w="14210" w:type="dxa"/>
            <w:gridSpan w:val="29"/>
            <w:vAlign w:val="center"/>
          </w:tcPr>
          <w:p w14:paraId="5C642E75">
            <w:pPr>
              <w:pStyle w:val="70"/>
              <w:rPr>
                <w:color w:val="000000" w:themeColor="text1"/>
                <w14:textFill>
                  <w14:solidFill>
                    <w14:schemeClr w14:val="tx1"/>
                  </w14:solidFill>
                </w14:textFill>
              </w:rPr>
            </w:pPr>
            <w:r>
              <w:rPr>
                <w:color w:val="000000" w:themeColor="text1"/>
                <w14:textFill>
                  <w14:solidFill>
                    <w14:schemeClr w14:val="tx1"/>
                  </w14:solidFill>
                </w14:textFill>
              </w:rPr>
              <w:t>一、工程组成</w:t>
            </w:r>
          </w:p>
        </w:tc>
      </w:tr>
      <w:tr w14:paraId="6E2317C1">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gridAfter w:val="1"/>
          <w:wAfter w:w="10" w:type="dxa"/>
          <w:trHeight w:val="20" w:hRule="atLeast"/>
          <w:jc w:val="center"/>
        </w:trPr>
        <w:tc>
          <w:tcPr>
            <w:tcW w:w="1402" w:type="dxa"/>
            <w:gridSpan w:val="4"/>
            <w:vAlign w:val="center"/>
          </w:tcPr>
          <w:p w14:paraId="518BDEF6">
            <w:pPr>
              <w:pStyle w:val="70"/>
              <w:rPr>
                <w:color w:val="000000" w:themeColor="text1"/>
                <w14:textFill>
                  <w14:solidFill>
                    <w14:schemeClr w14:val="tx1"/>
                  </w14:solidFill>
                </w14:textFill>
              </w:rPr>
            </w:pPr>
            <w:r>
              <w:rPr>
                <w:color w:val="000000" w:themeColor="text1"/>
                <w14:textFill>
                  <w14:solidFill>
                    <w14:schemeClr w14:val="tx1"/>
                  </w14:solidFill>
                </w14:textFill>
              </w:rPr>
              <w:t>1</w:t>
            </w:r>
          </w:p>
        </w:tc>
        <w:tc>
          <w:tcPr>
            <w:tcW w:w="2126" w:type="dxa"/>
            <w:gridSpan w:val="4"/>
            <w:vAlign w:val="center"/>
          </w:tcPr>
          <w:p w14:paraId="773AC1FC">
            <w:pPr>
              <w:pStyle w:val="70"/>
              <w:rPr>
                <w:color w:val="000000" w:themeColor="text1"/>
                <w14:textFill>
                  <w14:solidFill>
                    <w14:schemeClr w14:val="tx1"/>
                  </w14:solidFill>
                </w14:textFill>
              </w:rPr>
            </w:pPr>
            <w:r>
              <w:rPr>
                <w:color w:val="000000" w:themeColor="text1"/>
                <w14:textFill>
                  <w14:solidFill>
                    <w14:schemeClr w14:val="tx1"/>
                  </w14:solidFill>
                </w14:textFill>
              </w:rPr>
              <w:t>码头</w:t>
            </w:r>
          </w:p>
        </w:tc>
        <w:tc>
          <w:tcPr>
            <w:tcW w:w="10682" w:type="dxa"/>
            <w:gridSpan w:val="21"/>
            <w:vAlign w:val="center"/>
          </w:tcPr>
          <w:p w14:paraId="385DBA9E">
            <w:pPr>
              <w:pStyle w:val="70"/>
              <w:rPr>
                <w:color w:val="000000" w:themeColor="text1"/>
                <w14:textFill>
                  <w14:solidFill>
                    <w14:schemeClr w14:val="tx1"/>
                  </w14:solidFill>
                </w14:textFill>
              </w:rPr>
            </w:pPr>
            <w:r>
              <w:rPr>
                <w:color w:val="000000" w:themeColor="text1"/>
                <w14:textFill>
                  <w14:solidFill>
                    <w14:schemeClr w14:val="tx1"/>
                  </w14:solidFill>
                </w14:textFill>
              </w:rPr>
              <w:t>工程建设地点位于钦州港金鼓江西岸，距金鼓江航道口门约3km，</w:t>
            </w:r>
            <w:r>
              <w:rPr>
                <w:rFonts w:hint="eastAsia" w:ascii="宋体" w:hAnsi="宋体"/>
                <w:color w:val="000000" w:themeColor="text1"/>
                <w14:textFill>
                  <w14:solidFill>
                    <w14:schemeClr w14:val="tx1"/>
                  </w14:solidFill>
                </w14:textFill>
              </w:rPr>
              <w:t>新增苯乙烯利用现有笨装卸臂进行装卸，均为卸船后经管道至后方厂区。新增裂解C9、棕榈酸化油、脂肪酸混合物、工业级混合油、脂肪酸甲酯、纯生物柴油、航空煤油新建装卸臂进行装卸，纯生物柴油、航空煤油为后方厂区经管道装船，其余为卸船后经管道至后方厂区。新增液硫、碱液、发烟硫酸（硫酸）经卸船经管道至后方陆域罐区</w:t>
            </w:r>
          </w:p>
        </w:tc>
      </w:tr>
      <w:tr w14:paraId="313422C4">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gridAfter w:val="1"/>
          <w:wAfter w:w="10" w:type="dxa"/>
          <w:trHeight w:val="20" w:hRule="atLeast"/>
          <w:jc w:val="center"/>
        </w:trPr>
        <w:tc>
          <w:tcPr>
            <w:tcW w:w="14210" w:type="dxa"/>
            <w:gridSpan w:val="29"/>
            <w:vAlign w:val="center"/>
          </w:tcPr>
          <w:p w14:paraId="5559F208">
            <w:pPr>
              <w:pStyle w:val="70"/>
              <w:rPr>
                <w:color w:val="000000" w:themeColor="text1"/>
                <w14:textFill>
                  <w14:solidFill>
                    <w14:schemeClr w14:val="tx1"/>
                  </w14:solidFill>
                </w14:textFill>
              </w:rPr>
            </w:pPr>
            <w:r>
              <w:rPr>
                <w:color w:val="000000" w:themeColor="text1"/>
                <w14:textFill>
                  <w14:solidFill>
                    <w14:schemeClr w14:val="tx1"/>
                  </w14:solidFill>
                </w14:textFill>
              </w:rPr>
              <w:t>二、产排污环节、污染物及污染治理</w:t>
            </w:r>
          </w:p>
        </w:tc>
      </w:tr>
      <w:tr w14:paraId="3ACE224C">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gridAfter w:val="1"/>
          <w:wAfter w:w="10" w:type="dxa"/>
          <w:trHeight w:val="20" w:hRule="atLeast"/>
          <w:jc w:val="center"/>
        </w:trPr>
        <w:tc>
          <w:tcPr>
            <w:tcW w:w="14210" w:type="dxa"/>
            <w:gridSpan w:val="29"/>
            <w:vAlign w:val="center"/>
          </w:tcPr>
          <w:p w14:paraId="51D13446">
            <w:pPr>
              <w:pStyle w:val="70"/>
              <w:rPr>
                <w:color w:val="000000" w:themeColor="text1"/>
                <w14:textFill>
                  <w14:solidFill>
                    <w14:schemeClr w14:val="tx1"/>
                  </w14:solidFill>
                </w14:textFill>
              </w:rPr>
            </w:pPr>
            <w:r>
              <w:rPr>
                <w:color w:val="000000" w:themeColor="text1"/>
                <w14:textFill>
                  <w14:solidFill>
                    <w14:schemeClr w14:val="tx1"/>
                  </w14:solidFill>
                </w14:textFill>
              </w:rPr>
              <w:t>（1）废气产排污环节、污染物及污染治理设施清单</w:t>
            </w:r>
          </w:p>
        </w:tc>
      </w:tr>
      <w:tr w14:paraId="0BD4AE23">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gridAfter w:val="1"/>
          <w:wAfter w:w="10" w:type="dxa"/>
          <w:trHeight w:val="20" w:hRule="atLeast"/>
          <w:jc w:val="center"/>
        </w:trPr>
        <w:tc>
          <w:tcPr>
            <w:tcW w:w="1402" w:type="dxa"/>
            <w:gridSpan w:val="4"/>
            <w:vMerge w:val="restart"/>
            <w:vAlign w:val="center"/>
          </w:tcPr>
          <w:p w14:paraId="604599E4">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无组织废气</w:t>
            </w:r>
          </w:p>
        </w:tc>
        <w:tc>
          <w:tcPr>
            <w:tcW w:w="1672" w:type="dxa"/>
            <w:gridSpan w:val="2"/>
            <w:vMerge w:val="restart"/>
            <w:vAlign w:val="center"/>
          </w:tcPr>
          <w:p w14:paraId="22CB9CCE">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管线密封点溢出废气、装船及扫线废气</w:t>
            </w:r>
          </w:p>
        </w:tc>
        <w:tc>
          <w:tcPr>
            <w:tcW w:w="454" w:type="dxa"/>
            <w:gridSpan w:val="2"/>
            <w:vMerge w:val="restart"/>
            <w:vAlign w:val="center"/>
          </w:tcPr>
          <w:p w14:paraId="4A49E011">
            <w:pPr>
              <w:pStyle w:val="70"/>
              <w:rPr>
                <w:color w:val="000000" w:themeColor="text1"/>
                <w14:textFill>
                  <w14:solidFill>
                    <w14:schemeClr w14:val="tx1"/>
                  </w14:solidFill>
                </w14:textFill>
              </w:rPr>
            </w:pPr>
            <w:r>
              <w:rPr>
                <w:color w:val="000000" w:themeColor="text1"/>
                <w14:textFill>
                  <w14:solidFill>
                    <w14:schemeClr w14:val="tx1"/>
                  </w14:solidFill>
                </w14:textFill>
              </w:rPr>
              <w:t>污染物</w:t>
            </w:r>
          </w:p>
        </w:tc>
        <w:tc>
          <w:tcPr>
            <w:tcW w:w="4253" w:type="dxa"/>
            <w:gridSpan w:val="9"/>
            <w:vAlign w:val="center"/>
          </w:tcPr>
          <w:p w14:paraId="58CA4DC0">
            <w:pPr>
              <w:pStyle w:val="70"/>
              <w:rPr>
                <w:color w:val="000000" w:themeColor="text1"/>
                <w14:textFill>
                  <w14:solidFill>
                    <w14:schemeClr w14:val="tx1"/>
                  </w14:solidFill>
                </w14:textFill>
              </w:rPr>
            </w:pPr>
            <w:r>
              <w:rPr>
                <w:color w:val="000000" w:themeColor="text1"/>
                <w14:textFill>
                  <w14:solidFill>
                    <w14:schemeClr w14:val="tx1"/>
                  </w14:solidFill>
                </w14:textFill>
              </w:rPr>
              <w:t>污染物产生</w:t>
            </w:r>
          </w:p>
        </w:tc>
        <w:tc>
          <w:tcPr>
            <w:tcW w:w="1984" w:type="dxa"/>
            <w:gridSpan w:val="2"/>
            <w:vAlign w:val="center"/>
          </w:tcPr>
          <w:p w14:paraId="5311360B">
            <w:pPr>
              <w:pStyle w:val="70"/>
              <w:rPr>
                <w:color w:val="000000" w:themeColor="text1"/>
                <w14:textFill>
                  <w14:solidFill>
                    <w14:schemeClr w14:val="tx1"/>
                  </w14:solidFill>
                </w14:textFill>
              </w:rPr>
            </w:pPr>
            <w:r>
              <w:rPr>
                <w:color w:val="000000" w:themeColor="text1"/>
                <w14:textFill>
                  <w14:solidFill>
                    <w14:schemeClr w14:val="tx1"/>
                  </w14:solidFill>
                </w14:textFill>
              </w:rPr>
              <w:t>治理措施</w:t>
            </w:r>
          </w:p>
        </w:tc>
        <w:tc>
          <w:tcPr>
            <w:tcW w:w="3550" w:type="dxa"/>
            <w:gridSpan w:val="9"/>
            <w:vAlign w:val="center"/>
          </w:tcPr>
          <w:p w14:paraId="6C62CC81">
            <w:pPr>
              <w:pStyle w:val="70"/>
              <w:rPr>
                <w:color w:val="000000" w:themeColor="text1"/>
                <w14:textFill>
                  <w14:solidFill>
                    <w14:schemeClr w14:val="tx1"/>
                  </w14:solidFill>
                </w14:textFill>
              </w:rPr>
            </w:pPr>
            <w:r>
              <w:rPr>
                <w:color w:val="000000" w:themeColor="text1"/>
                <w14:textFill>
                  <w14:solidFill>
                    <w14:schemeClr w14:val="tx1"/>
                  </w14:solidFill>
                </w14:textFill>
              </w:rPr>
              <w:t>污染物排放</w:t>
            </w:r>
          </w:p>
        </w:tc>
        <w:tc>
          <w:tcPr>
            <w:tcW w:w="895" w:type="dxa"/>
            <w:vMerge w:val="restart"/>
            <w:vAlign w:val="center"/>
          </w:tcPr>
          <w:p w14:paraId="60E807D5">
            <w:pPr>
              <w:pStyle w:val="70"/>
              <w:rPr>
                <w:color w:val="000000" w:themeColor="text1"/>
                <w14:textFill>
                  <w14:solidFill>
                    <w14:schemeClr w14:val="tx1"/>
                  </w14:solidFill>
                </w14:textFill>
              </w:rPr>
            </w:pPr>
            <w:r>
              <w:rPr>
                <w:color w:val="000000" w:themeColor="text1"/>
                <w14:textFill>
                  <w14:solidFill>
                    <w14:schemeClr w14:val="tx1"/>
                  </w14:solidFill>
                </w14:textFill>
              </w:rPr>
              <w:t>排放时间/h</w:t>
            </w:r>
          </w:p>
        </w:tc>
      </w:tr>
      <w:tr w14:paraId="720DAD53">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gridAfter w:val="1"/>
          <w:wAfter w:w="10" w:type="dxa"/>
          <w:trHeight w:val="20" w:hRule="atLeast"/>
          <w:jc w:val="center"/>
        </w:trPr>
        <w:tc>
          <w:tcPr>
            <w:tcW w:w="1402" w:type="dxa"/>
            <w:gridSpan w:val="4"/>
            <w:vMerge w:val="continue"/>
            <w:vAlign w:val="center"/>
          </w:tcPr>
          <w:p w14:paraId="4FF7B620">
            <w:pPr>
              <w:pStyle w:val="70"/>
              <w:rPr>
                <w:color w:val="000000" w:themeColor="text1"/>
                <w14:textFill>
                  <w14:solidFill>
                    <w14:schemeClr w14:val="tx1"/>
                  </w14:solidFill>
                </w14:textFill>
              </w:rPr>
            </w:pPr>
          </w:p>
        </w:tc>
        <w:tc>
          <w:tcPr>
            <w:tcW w:w="1672" w:type="dxa"/>
            <w:gridSpan w:val="2"/>
            <w:vMerge w:val="continue"/>
            <w:vAlign w:val="center"/>
          </w:tcPr>
          <w:p w14:paraId="025742A6">
            <w:pPr>
              <w:pStyle w:val="70"/>
              <w:rPr>
                <w:color w:val="000000" w:themeColor="text1"/>
                <w14:textFill>
                  <w14:solidFill>
                    <w14:schemeClr w14:val="tx1"/>
                  </w14:solidFill>
                </w14:textFill>
              </w:rPr>
            </w:pPr>
          </w:p>
        </w:tc>
        <w:tc>
          <w:tcPr>
            <w:tcW w:w="454" w:type="dxa"/>
            <w:gridSpan w:val="2"/>
            <w:vMerge w:val="continue"/>
            <w:vAlign w:val="center"/>
          </w:tcPr>
          <w:p w14:paraId="6392A40A">
            <w:pPr>
              <w:pStyle w:val="70"/>
              <w:rPr>
                <w:color w:val="000000" w:themeColor="text1"/>
                <w14:textFill>
                  <w14:solidFill>
                    <w14:schemeClr w14:val="tx1"/>
                  </w14:solidFill>
                </w14:textFill>
              </w:rPr>
            </w:pPr>
          </w:p>
        </w:tc>
        <w:tc>
          <w:tcPr>
            <w:tcW w:w="993" w:type="dxa"/>
            <w:gridSpan w:val="2"/>
            <w:vAlign w:val="center"/>
          </w:tcPr>
          <w:p w14:paraId="6F3234C6">
            <w:pPr>
              <w:pStyle w:val="70"/>
              <w:rPr>
                <w:color w:val="000000" w:themeColor="text1"/>
                <w14:textFill>
                  <w14:solidFill>
                    <w14:schemeClr w14:val="tx1"/>
                  </w14:solidFill>
                </w14:textFill>
              </w:rPr>
            </w:pPr>
            <w:r>
              <w:rPr>
                <w:color w:val="000000" w:themeColor="text1"/>
                <w14:textFill>
                  <w14:solidFill>
                    <w14:schemeClr w14:val="tx1"/>
                  </w14:solidFill>
                </w14:textFill>
              </w:rPr>
              <w:t>核算方法</w:t>
            </w:r>
          </w:p>
        </w:tc>
        <w:tc>
          <w:tcPr>
            <w:tcW w:w="856" w:type="dxa"/>
            <w:gridSpan w:val="3"/>
            <w:vAlign w:val="center"/>
          </w:tcPr>
          <w:p w14:paraId="342ADA41">
            <w:pPr>
              <w:pStyle w:val="70"/>
              <w:rPr>
                <w:color w:val="000000" w:themeColor="text1"/>
                <w14:textFill>
                  <w14:solidFill>
                    <w14:schemeClr w14:val="tx1"/>
                  </w14:solidFill>
                </w14:textFill>
              </w:rPr>
            </w:pPr>
            <w:r>
              <w:rPr>
                <w:color w:val="000000" w:themeColor="text1"/>
                <w14:textFill>
                  <w14:solidFill>
                    <w14:schemeClr w14:val="tx1"/>
                  </w14:solidFill>
                </w14:textFill>
              </w:rPr>
              <w:t>废气生产量（m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/h）</w:t>
            </w:r>
          </w:p>
        </w:tc>
        <w:tc>
          <w:tcPr>
            <w:tcW w:w="1292" w:type="dxa"/>
            <w:vAlign w:val="center"/>
          </w:tcPr>
          <w:p w14:paraId="77054E84">
            <w:pPr>
              <w:pStyle w:val="70"/>
              <w:rPr>
                <w:color w:val="000000" w:themeColor="text1"/>
                <w14:textFill>
                  <w14:solidFill>
                    <w14:schemeClr w14:val="tx1"/>
                  </w14:solidFill>
                </w14:textFill>
              </w:rPr>
            </w:pPr>
            <w:r>
              <w:rPr>
                <w:color w:val="000000" w:themeColor="text1"/>
                <w14:textFill>
                  <w14:solidFill>
                    <w14:schemeClr w14:val="tx1"/>
                  </w14:solidFill>
                </w14:textFill>
              </w:rPr>
              <w:t>产生浓度(mg/m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w:t>
            </w:r>
          </w:p>
        </w:tc>
        <w:tc>
          <w:tcPr>
            <w:tcW w:w="1112" w:type="dxa"/>
            <w:gridSpan w:val="3"/>
            <w:vAlign w:val="center"/>
          </w:tcPr>
          <w:p w14:paraId="6FAC2D85">
            <w:pPr>
              <w:pStyle w:val="70"/>
              <w:rPr>
                <w:color w:val="000000" w:themeColor="text1"/>
                <w14:textFill>
                  <w14:solidFill>
                    <w14:schemeClr w14:val="tx1"/>
                  </w14:solidFill>
                </w14:textFill>
              </w:rPr>
            </w:pPr>
            <w:r>
              <w:rPr>
                <w:color w:val="000000" w:themeColor="text1"/>
                <w14:textFill>
                  <w14:solidFill>
                    <w14:schemeClr w14:val="tx1"/>
                  </w14:solidFill>
                </w14:textFill>
              </w:rPr>
              <w:t>产生量(</w:t>
            </w:r>
            <w:r>
              <w:rPr>
                <w:rFonts w:hint="eastAsia"/>
                <w:color w:val="000000" w:themeColor="text1"/>
                <w14:textFill>
                  <w14:solidFill>
                    <w14:schemeClr w14:val="tx1"/>
                  </w14:solidFill>
                </w14:textFill>
              </w:rPr>
              <w:t>t/a</w:t>
            </w:r>
            <w:r>
              <w:rPr>
                <w:color w:val="000000" w:themeColor="text1"/>
                <w14:textFill>
                  <w14:solidFill>
                    <w14:schemeClr w14:val="tx1"/>
                  </w14:solidFill>
                </w14:textFill>
              </w:rPr>
              <w:t>)</w:t>
            </w:r>
          </w:p>
        </w:tc>
        <w:tc>
          <w:tcPr>
            <w:tcW w:w="1276" w:type="dxa"/>
            <w:vAlign w:val="center"/>
          </w:tcPr>
          <w:p w14:paraId="3F36C167">
            <w:pPr>
              <w:pStyle w:val="70"/>
              <w:rPr>
                <w:color w:val="000000" w:themeColor="text1"/>
                <w14:textFill>
                  <w14:solidFill>
                    <w14:schemeClr w14:val="tx1"/>
                  </w14:solidFill>
                </w14:textFill>
              </w:rPr>
            </w:pPr>
            <w:r>
              <w:rPr>
                <w:color w:val="000000" w:themeColor="text1"/>
                <w14:textFill>
                  <w14:solidFill>
                    <w14:schemeClr w14:val="tx1"/>
                  </w14:solidFill>
                </w14:textFill>
              </w:rPr>
              <w:t>工艺</w:t>
            </w:r>
          </w:p>
        </w:tc>
        <w:tc>
          <w:tcPr>
            <w:tcW w:w="708" w:type="dxa"/>
            <w:vAlign w:val="center"/>
          </w:tcPr>
          <w:p w14:paraId="46633548">
            <w:pPr>
              <w:pStyle w:val="70"/>
              <w:rPr>
                <w:color w:val="000000" w:themeColor="text1"/>
                <w14:textFill>
                  <w14:solidFill>
                    <w14:schemeClr w14:val="tx1"/>
                  </w14:solidFill>
                </w14:textFill>
              </w:rPr>
            </w:pPr>
            <w:r>
              <w:rPr>
                <w:color w:val="000000" w:themeColor="text1"/>
                <w14:textFill>
                  <w14:solidFill>
                    <w14:schemeClr w14:val="tx1"/>
                  </w14:solidFill>
                </w14:textFill>
              </w:rPr>
              <w:t>效率/%</w:t>
            </w:r>
          </w:p>
        </w:tc>
        <w:tc>
          <w:tcPr>
            <w:tcW w:w="661" w:type="dxa"/>
            <w:gridSpan w:val="2"/>
            <w:vAlign w:val="center"/>
          </w:tcPr>
          <w:p w14:paraId="5C38BDDC">
            <w:pPr>
              <w:pStyle w:val="70"/>
              <w:rPr>
                <w:color w:val="000000" w:themeColor="text1"/>
                <w14:textFill>
                  <w14:solidFill>
                    <w14:schemeClr w14:val="tx1"/>
                  </w14:solidFill>
                </w14:textFill>
              </w:rPr>
            </w:pPr>
            <w:r>
              <w:rPr>
                <w:color w:val="000000" w:themeColor="text1"/>
                <w14:textFill>
                  <w14:solidFill>
                    <w14:schemeClr w14:val="tx1"/>
                  </w14:solidFill>
                </w14:textFill>
              </w:rPr>
              <w:t>核算方法</w:t>
            </w:r>
          </w:p>
        </w:tc>
        <w:tc>
          <w:tcPr>
            <w:tcW w:w="942" w:type="dxa"/>
            <w:gridSpan w:val="3"/>
            <w:vAlign w:val="center"/>
          </w:tcPr>
          <w:p w14:paraId="7C878D19">
            <w:pPr>
              <w:pStyle w:val="70"/>
              <w:rPr>
                <w:color w:val="000000" w:themeColor="text1"/>
                <w14:textFill>
                  <w14:solidFill>
                    <w14:schemeClr w14:val="tx1"/>
                  </w14:solidFill>
                </w14:textFill>
              </w:rPr>
            </w:pPr>
            <w:r>
              <w:rPr>
                <w:color w:val="000000" w:themeColor="text1"/>
                <w14:textFill>
                  <w14:solidFill>
                    <w14:schemeClr w14:val="tx1"/>
                  </w14:solidFill>
                </w14:textFill>
              </w:rPr>
              <w:t>废气排放量（m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/h）</w:t>
            </w:r>
          </w:p>
        </w:tc>
        <w:tc>
          <w:tcPr>
            <w:tcW w:w="955" w:type="dxa"/>
            <w:gridSpan w:val="2"/>
            <w:vAlign w:val="center"/>
          </w:tcPr>
          <w:p w14:paraId="227419D8">
            <w:pPr>
              <w:pStyle w:val="70"/>
              <w:rPr>
                <w:color w:val="000000" w:themeColor="text1"/>
                <w14:textFill>
                  <w14:solidFill>
                    <w14:schemeClr w14:val="tx1"/>
                  </w14:solidFill>
                </w14:textFill>
              </w:rPr>
            </w:pPr>
            <w:r>
              <w:rPr>
                <w:color w:val="000000" w:themeColor="text1"/>
                <w14:textFill>
                  <w14:solidFill>
                    <w14:schemeClr w14:val="tx1"/>
                  </w14:solidFill>
                </w14:textFill>
              </w:rPr>
              <w:t>排放浓度(mg/m</w:t>
            </w:r>
            <w:r>
              <w:rPr>
                <w:color w:val="000000" w:themeColor="text1"/>
                <w:vertAlign w:val="superscript"/>
                <w14:textFill>
                  <w14:solidFill>
                    <w14:schemeClr w14:val="tx1"/>
                  </w14:solidFill>
                </w14:textFill>
              </w:rPr>
              <w:t>3</w:t>
            </w:r>
          </w:p>
        </w:tc>
        <w:tc>
          <w:tcPr>
            <w:tcW w:w="992" w:type="dxa"/>
            <w:gridSpan w:val="2"/>
            <w:vAlign w:val="center"/>
          </w:tcPr>
          <w:p w14:paraId="6ECC75C3">
            <w:pPr>
              <w:pStyle w:val="70"/>
              <w:rPr>
                <w:color w:val="000000" w:themeColor="text1"/>
                <w14:textFill>
                  <w14:solidFill>
                    <w14:schemeClr w14:val="tx1"/>
                  </w14:solidFill>
                </w14:textFill>
              </w:rPr>
            </w:pPr>
            <w:r>
              <w:rPr>
                <w:color w:val="000000" w:themeColor="text1"/>
                <w14:textFill>
                  <w14:solidFill>
                    <w14:schemeClr w14:val="tx1"/>
                  </w14:solidFill>
                </w14:textFill>
              </w:rPr>
              <w:t>排放量(</w:t>
            </w:r>
            <w:r>
              <w:rPr>
                <w:rFonts w:hint="eastAsia"/>
                <w:color w:val="000000" w:themeColor="text1"/>
                <w14:textFill>
                  <w14:solidFill>
                    <w14:schemeClr w14:val="tx1"/>
                  </w14:solidFill>
                </w14:textFill>
              </w:rPr>
              <w:t>t/a</w:t>
            </w:r>
            <w:r>
              <w:rPr>
                <w:color w:val="000000" w:themeColor="text1"/>
                <w14:textFill>
                  <w14:solidFill>
                    <w14:schemeClr w14:val="tx1"/>
                  </w14:solidFill>
                </w14:textFill>
              </w:rPr>
              <w:t>)</w:t>
            </w:r>
          </w:p>
        </w:tc>
        <w:tc>
          <w:tcPr>
            <w:tcW w:w="895" w:type="dxa"/>
            <w:vMerge w:val="continue"/>
            <w:vAlign w:val="center"/>
          </w:tcPr>
          <w:p w14:paraId="67BDC8C3">
            <w:pPr>
              <w:pStyle w:val="70"/>
              <w:rPr>
                <w:color w:val="000000" w:themeColor="text1"/>
                <w14:textFill>
                  <w14:solidFill>
                    <w14:schemeClr w14:val="tx1"/>
                  </w14:solidFill>
                </w14:textFill>
              </w:rPr>
            </w:pPr>
          </w:p>
        </w:tc>
      </w:tr>
      <w:tr w14:paraId="0329D279">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gridAfter w:val="1"/>
          <w:wAfter w:w="10" w:type="dxa"/>
          <w:trHeight w:val="20" w:hRule="atLeast"/>
          <w:jc w:val="center"/>
        </w:trPr>
        <w:tc>
          <w:tcPr>
            <w:tcW w:w="1402" w:type="dxa"/>
            <w:gridSpan w:val="4"/>
            <w:vMerge w:val="continue"/>
            <w:vAlign w:val="center"/>
          </w:tcPr>
          <w:p w14:paraId="5EFC26D3">
            <w:pPr>
              <w:pStyle w:val="70"/>
              <w:rPr>
                <w:color w:val="000000" w:themeColor="text1"/>
                <w14:textFill>
                  <w14:solidFill>
                    <w14:schemeClr w14:val="tx1"/>
                  </w14:solidFill>
                </w14:textFill>
              </w:rPr>
            </w:pPr>
          </w:p>
        </w:tc>
        <w:tc>
          <w:tcPr>
            <w:tcW w:w="1672" w:type="dxa"/>
            <w:gridSpan w:val="2"/>
            <w:vMerge w:val="continue"/>
            <w:vAlign w:val="center"/>
          </w:tcPr>
          <w:p w14:paraId="41B8C72D">
            <w:pPr>
              <w:pStyle w:val="70"/>
              <w:rPr>
                <w:color w:val="000000" w:themeColor="text1"/>
                <w14:textFill>
                  <w14:solidFill>
                    <w14:schemeClr w14:val="tx1"/>
                  </w14:solidFill>
                </w14:textFill>
              </w:rPr>
            </w:pPr>
          </w:p>
        </w:tc>
        <w:tc>
          <w:tcPr>
            <w:tcW w:w="454" w:type="dxa"/>
            <w:gridSpan w:val="2"/>
            <w:vAlign w:val="center"/>
          </w:tcPr>
          <w:p w14:paraId="573B78A1">
            <w:pPr>
              <w:pStyle w:val="70"/>
              <w:rPr>
                <w:color w:val="000000" w:themeColor="text1"/>
                <w14:textFill>
                  <w14:solidFill>
                    <w14:schemeClr w14:val="tx1"/>
                  </w14:solidFill>
                </w14:textFill>
              </w:rPr>
            </w:pPr>
            <w:r>
              <w:rPr>
                <w:color w:val="000000" w:themeColor="text1"/>
                <w14:textFill>
                  <w14:solidFill>
                    <w14:schemeClr w14:val="tx1"/>
                  </w14:solidFill>
                </w14:textFill>
              </w:rPr>
              <w:t>苯乙烯</w:t>
            </w:r>
          </w:p>
        </w:tc>
        <w:tc>
          <w:tcPr>
            <w:tcW w:w="993" w:type="dxa"/>
            <w:gridSpan w:val="2"/>
            <w:vMerge w:val="restart"/>
            <w:vAlign w:val="center"/>
          </w:tcPr>
          <w:p w14:paraId="040BACB6">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856" w:type="dxa"/>
            <w:gridSpan w:val="3"/>
            <w:vAlign w:val="center"/>
          </w:tcPr>
          <w:p w14:paraId="79C486B6">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1292" w:type="dxa"/>
            <w:vAlign w:val="center"/>
          </w:tcPr>
          <w:p w14:paraId="6F004997">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1112" w:type="dxa"/>
            <w:gridSpan w:val="3"/>
            <w:vAlign w:val="bottom"/>
          </w:tcPr>
          <w:p w14:paraId="1320DB49">
            <w:pPr>
              <w:pStyle w:val="70"/>
              <w:rPr>
                <w:color w:val="000000" w:themeColor="text1"/>
                <w14:textFill>
                  <w14:solidFill>
                    <w14:schemeClr w14:val="tx1"/>
                  </w14:solidFill>
                </w14:textFill>
              </w:rPr>
            </w:pPr>
            <w:r>
              <w:rPr>
                <w:rFonts w:hint="eastAsia" w:eastAsia="等线"/>
                <w:color w:val="000000" w:themeColor="text1"/>
                <w14:textFill>
                  <w14:solidFill>
                    <w14:schemeClr w14:val="tx1"/>
                  </w14:solidFill>
                </w14:textFill>
              </w:rPr>
              <w:t>0.00024</w:t>
            </w:r>
          </w:p>
        </w:tc>
        <w:tc>
          <w:tcPr>
            <w:tcW w:w="1276" w:type="dxa"/>
            <w:vAlign w:val="center"/>
          </w:tcPr>
          <w:p w14:paraId="0FAFE62F">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708" w:type="dxa"/>
            <w:vAlign w:val="center"/>
          </w:tcPr>
          <w:p w14:paraId="4398ADD4">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661" w:type="dxa"/>
            <w:gridSpan w:val="2"/>
            <w:vMerge w:val="restart"/>
            <w:vAlign w:val="center"/>
          </w:tcPr>
          <w:p w14:paraId="171F7B8E">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942" w:type="dxa"/>
            <w:gridSpan w:val="3"/>
            <w:vAlign w:val="center"/>
          </w:tcPr>
          <w:p w14:paraId="02D522F8">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955" w:type="dxa"/>
            <w:gridSpan w:val="2"/>
            <w:vAlign w:val="center"/>
          </w:tcPr>
          <w:p w14:paraId="171C11E6">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992" w:type="dxa"/>
            <w:gridSpan w:val="2"/>
            <w:vAlign w:val="bottom"/>
          </w:tcPr>
          <w:p w14:paraId="51FA2EF1">
            <w:pPr>
              <w:pStyle w:val="70"/>
              <w:rPr>
                <w:color w:val="000000" w:themeColor="text1"/>
                <w14:textFill>
                  <w14:solidFill>
                    <w14:schemeClr w14:val="tx1"/>
                  </w14:solidFill>
                </w14:textFill>
              </w:rPr>
            </w:pPr>
            <w:r>
              <w:rPr>
                <w:rFonts w:hint="eastAsia" w:eastAsia="等线"/>
                <w:color w:val="000000" w:themeColor="text1"/>
                <w14:textFill>
                  <w14:solidFill>
                    <w14:schemeClr w14:val="tx1"/>
                  </w14:solidFill>
                </w14:textFill>
              </w:rPr>
              <w:t>0.00024</w:t>
            </w:r>
          </w:p>
        </w:tc>
        <w:tc>
          <w:tcPr>
            <w:tcW w:w="895" w:type="dxa"/>
            <w:vAlign w:val="center"/>
          </w:tcPr>
          <w:p w14:paraId="58CFF7A0">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8400</w:t>
            </w:r>
          </w:p>
        </w:tc>
      </w:tr>
      <w:tr w14:paraId="2274BC0B">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gridAfter w:val="1"/>
          <w:wAfter w:w="10" w:type="dxa"/>
          <w:trHeight w:val="20" w:hRule="atLeast"/>
          <w:jc w:val="center"/>
        </w:trPr>
        <w:tc>
          <w:tcPr>
            <w:tcW w:w="1402" w:type="dxa"/>
            <w:gridSpan w:val="4"/>
            <w:vMerge w:val="continue"/>
            <w:vAlign w:val="center"/>
          </w:tcPr>
          <w:p w14:paraId="6E9E62F5">
            <w:pPr>
              <w:pStyle w:val="70"/>
              <w:rPr>
                <w:color w:val="000000" w:themeColor="text1"/>
                <w14:textFill>
                  <w14:solidFill>
                    <w14:schemeClr w14:val="tx1"/>
                  </w14:solidFill>
                </w14:textFill>
              </w:rPr>
            </w:pPr>
          </w:p>
        </w:tc>
        <w:tc>
          <w:tcPr>
            <w:tcW w:w="1672" w:type="dxa"/>
            <w:gridSpan w:val="2"/>
            <w:vMerge w:val="continue"/>
            <w:vAlign w:val="center"/>
          </w:tcPr>
          <w:p w14:paraId="5417233C">
            <w:pPr>
              <w:pStyle w:val="70"/>
              <w:rPr>
                <w:color w:val="000000" w:themeColor="text1"/>
                <w14:textFill>
                  <w14:solidFill>
                    <w14:schemeClr w14:val="tx1"/>
                  </w14:solidFill>
                </w14:textFill>
              </w:rPr>
            </w:pPr>
          </w:p>
        </w:tc>
        <w:tc>
          <w:tcPr>
            <w:tcW w:w="454" w:type="dxa"/>
            <w:gridSpan w:val="2"/>
            <w:vAlign w:val="center"/>
          </w:tcPr>
          <w:p w14:paraId="41E5E5D3">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硫酸雾</w:t>
            </w:r>
          </w:p>
        </w:tc>
        <w:tc>
          <w:tcPr>
            <w:tcW w:w="993" w:type="dxa"/>
            <w:gridSpan w:val="2"/>
            <w:vMerge w:val="continue"/>
            <w:vAlign w:val="center"/>
          </w:tcPr>
          <w:p w14:paraId="4FD52A33">
            <w:pPr>
              <w:pStyle w:val="70"/>
              <w:rPr>
                <w:color w:val="000000" w:themeColor="text1"/>
                <w14:textFill>
                  <w14:solidFill>
                    <w14:schemeClr w14:val="tx1"/>
                  </w14:solidFill>
                </w14:textFill>
              </w:rPr>
            </w:pPr>
          </w:p>
        </w:tc>
        <w:tc>
          <w:tcPr>
            <w:tcW w:w="856" w:type="dxa"/>
            <w:gridSpan w:val="3"/>
            <w:vAlign w:val="center"/>
          </w:tcPr>
          <w:p w14:paraId="4EFBAD4C">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1292" w:type="dxa"/>
            <w:vAlign w:val="center"/>
          </w:tcPr>
          <w:p w14:paraId="06668F8A">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1112" w:type="dxa"/>
            <w:gridSpan w:val="3"/>
            <w:vAlign w:val="bottom"/>
          </w:tcPr>
          <w:p w14:paraId="4A42C60C">
            <w:pPr>
              <w:pStyle w:val="70"/>
              <w:rPr>
                <w:rFonts w:eastAsia="等线"/>
                <w:color w:val="000000" w:themeColor="text1"/>
                <w14:textFill>
                  <w14:solidFill>
                    <w14:schemeClr w14:val="tx1"/>
                  </w14:solidFill>
                </w14:textFill>
              </w:rPr>
            </w:pPr>
            <w:r>
              <w:rPr>
                <w:rFonts w:hint="eastAsia" w:eastAsia="等线"/>
                <w:color w:val="000000" w:themeColor="text1"/>
                <w14:textFill>
                  <w14:solidFill>
                    <w14:schemeClr w14:val="tx1"/>
                  </w14:solidFill>
                </w14:textFill>
              </w:rPr>
              <w:t>0.0011</w:t>
            </w:r>
          </w:p>
        </w:tc>
        <w:tc>
          <w:tcPr>
            <w:tcW w:w="1276" w:type="dxa"/>
            <w:vAlign w:val="center"/>
          </w:tcPr>
          <w:p w14:paraId="25CE0952">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708" w:type="dxa"/>
            <w:vAlign w:val="center"/>
          </w:tcPr>
          <w:p w14:paraId="49D8EB0D">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661" w:type="dxa"/>
            <w:gridSpan w:val="2"/>
            <w:vMerge w:val="continue"/>
            <w:vAlign w:val="center"/>
          </w:tcPr>
          <w:p w14:paraId="097152F7">
            <w:pPr>
              <w:pStyle w:val="70"/>
              <w:rPr>
                <w:color w:val="000000" w:themeColor="text1"/>
                <w14:textFill>
                  <w14:solidFill>
                    <w14:schemeClr w14:val="tx1"/>
                  </w14:solidFill>
                </w14:textFill>
              </w:rPr>
            </w:pPr>
          </w:p>
        </w:tc>
        <w:tc>
          <w:tcPr>
            <w:tcW w:w="942" w:type="dxa"/>
            <w:gridSpan w:val="3"/>
            <w:vAlign w:val="center"/>
          </w:tcPr>
          <w:p w14:paraId="7B14BE0A">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955" w:type="dxa"/>
            <w:gridSpan w:val="2"/>
            <w:vAlign w:val="center"/>
          </w:tcPr>
          <w:p w14:paraId="0F35D9BE">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992" w:type="dxa"/>
            <w:gridSpan w:val="2"/>
            <w:vAlign w:val="bottom"/>
          </w:tcPr>
          <w:p w14:paraId="30D4ABB6">
            <w:pPr>
              <w:pStyle w:val="70"/>
              <w:rPr>
                <w:rFonts w:eastAsia="等线"/>
                <w:color w:val="000000" w:themeColor="text1"/>
                <w14:textFill>
                  <w14:solidFill>
                    <w14:schemeClr w14:val="tx1"/>
                  </w14:solidFill>
                </w14:textFill>
              </w:rPr>
            </w:pPr>
            <w:r>
              <w:rPr>
                <w:rFonts w:hint="eastAsia" w:eastAsia="等线"/>
                <w:color w:val="000000" w:themeColor="text1"/>
                <w14:textFill>
                  <w14:solidFill>
                    <w14:schemeClr w14:val="tx1"/>
                  </w14:solidFill>
                </w14:textFill>
              </w:rPr>
              <w:t>0.0011</w:t>
            </w:r>
          </w:p>
        </w:tc>
        <w:tc>
          <w:tcPr>
            <w:tcW w:w="895" w:type="dxa"/>
            <w:vAlign w:val="center"/>
          </w:tcPr>
          <w:p w14:paraId="3B8E1BA6">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8400</w:t>
            </w:r>
          </w:p>
        </w:tc>
      </w:tr>
      <w:tr w14:paraId="4906A854">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gridAfter w:val="1"/>
          <w:wAfter w:w="10" w:type="dxa"/>
          <w:trHeight w:val="20" w:hRule="atLeast"/>
          <w:jc w:val="center"/>
        </w:trPr>
        <w:tc>
          <w:tcPr>
            <w:tcW w:w="1402" w:type="dxa"/>
            <w:gridSpan w:val="4"/>
            <w:vMerge w:val="continue"/>
            <w:vAlign w:val="center"/>
          </w:tcPr>
          <w:p w14:paraId="723D2AE8">
            <w:pPr>
              <w:pStyle w:val="70"/>
              <w:rPr>
                <w:color w:val="000000" w:themeColor="text1"/>
                <w14:textFill>
                  <w14:solidFill>
                    <w14:schemeClr w14:val="tx1"/>
                  </w14:solidFill>
                </w14:textFill>
              </w:rPr>
            </w:pPr>
          </w:p>
        </w:tc>
        <w:tc>
          <w:tcPr>
            <w:tcW w:w="1672" w:type="dxa"/>
            <w:gridSpan w:val="2"/>
            <w:vMerge w:val="continue"/>
            <w:vAlign w:val="center"/>
          </w:tcPr>
          <w:p w14:paraId="134DA65C">
            <w:pPr>
              <w:pStyle w:val="70"/>
              <w:rPr>
                <w:color w:val="000000" w:themeColor="text1"/>
                <w14:textFill>
                  <w14:solidFill>
                    <w14:schemeClr w14:val="tx1"/>
                  </w14:solidFill>
                </w14:textFill>
              </w:rPr>
            </w:pPr>
          </w:p>
        </w:tc>
        <w:tc>
          <w:tcPr>
            <w:tcW w:w="454" w:type="dxa"/>
            <w:gridSpan w:val="2"/>
            <w:vAlign w:val="center"/>
          </w:tcPr>
          <w:p w14:paraId="40D328EA">
            <w:pPr>
              <w:pStyle w:val="70"/>
              <w:rPr>
                <w:color w:val="000000" w:themeColor="text1"/>
                <w14:textFill>
                  <w14:solidFill>
                    <w14:schemeClr w14:val="tx1"/>
                  </w14:solidFill>
                </w14:textFill>
              </w:rPr>
            </w:pPr>
            <w:r>
              <w:rPr>
                <w:rFonts w:eastAsia="等线"/>
                <w:color w:val="000000" w:themeColor="text1"/>
                <w14:textFill>
                  <w14:solidFill>
                    <w14:schemeClr w14:val="tx1"/>
                  </w14:solidFill>
                </w14:textFill>
              </w:rPr>
              <w:t>VOCs</w:t>
            </w:r>
          </w:p>
        </w:tc>
        <w:tc>
          <w:tcPr>
            <w:tcW w:w="993" w:type="dxa"/>
            <w:gridSpan w:val="2"/>
            <w:vMerge w:val="continue"/>
            <w:vAlign w:val="center"/>
          </w:tcPr>
          <w:p w14:paraId="3CEFF9B9">
            <w:pPr>
              <w:pStyle w:val="70"/>
              <w:rPr>
                <w:color w:val="000000" w:themeColor="text1"/>
                <w14:textFill>
                  <w14:solidFill>
                    <w14:schemeClr w14:val="tx1"/>
                  </w14:solidFill>
                </w14:textFill>
              </w:rPr>
            </w:pPr>
          </w:p>
        </w:tc>
        <w:tc>
          <w:tcPr>
            <w:tcW w:w="856" w:type="dxa"/>
            <w:gridSpan w:val="3"/>
            <w:vAlign w:val="center"/>
          </w:tcPr>
          <w:p w14:paraId="56A6BAB5">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1292" w:type="dxa"/>
            <w:vAlign w:val="center"/>
          </w:tcPr>
          <w:p w14:paraId="237799F6">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1112" w:type="dxa"/>
            <w:gridSpan w:val="3"/>
            <w:vAlign w:val="bottom"/>
          </w:tcPr>
          <w:p w14:paraId="42171A62">
            <w:pPr>
              <w:pStyle w:val="70"/>
              <w:rPr>
                <w:color w:val="000000" w:themeColor="text1"/>
                <w14:textFill>
                  <w14:solidFill>
                    <w14:schemeClr w14:val="tx1"/>
                  </w14:solidFill>
                </w14:textFill>
              </w:rPr>
            </w:pPr>
            <w:r>
              <w:rPr>
                <w:rFonts w:hint="eastAsia" w:eastAsia="等线"/>
                <w:color w:val="000000" w:themeColor="text1"/>
                <w14:textFill>
                  <w14:solidFill>
                    <w14:schemeClr w14:val="tx1"/>
                  </w14:solidFill>
                </w14:textFill>
              </w:rPr>
              <w:t>0.0141</w:t>
            </w:r>
          </w:p>
        </w:tc>
        <w:tc>
          <w:tcPr>
            <w:tcW w:w="1276" w:type="dxa"/>
            <w:vAlign w:val="center"/>
          </w:tcPr>
          <w:p w14:paraId="3137635D">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708" w:type="dxa"/>
            <w:vAlign w:val="center"/>
          </w:tcPr>
          <w:p w14:paraId="0FFDB317">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661" w:type="dxa"/>
            <w:gridSpan w:val="2"/>
            <w:vMerge w:val="continue"/>
            <w:vAlign w:val="center"/>
          </w:tcPr>
          <w:p w14:paraId="73BBCDFA">
            <w:pPr>
              <w:pStyle w:val="70"/>
              <w:rPr>
                <w:color w:val="000000" w:themeColor="text1"/>
                <w14:textFill>
                  <w14:solidFill>
                    <w14:schemeClr w14:val="tx1"/>
                  </w14:solidFill>
                </w14:textFill>
              </w:rPr>
            </w:pPr>
          </w:p>
        </w:tc>
        <w:tc>
          <w:tcPr>
            <w:tcW w:w="942" w:type="dxa"/>
            <w:gridSpan w:val="3"/>
            <w:vAlign w:val="center"/>
          </w:tcPr>
          <w:p w14:paraId="2B6430C4">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955" w:type="dxa"/>
            <w:gridSpan w:val="2"/>
            <w:vAlign w:val="center"/>
          </w:tcPr>
          <w:p w14:paraId="7881CEEE">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992" w:type="dxa"/>
            <w:gridSpan w:val="2"/>
            <w:vAlign w:val="bottom"/>
          </w:tcPr>
          <w:p w14:paraId="44B9A3BD">
            <w:pPr>
              <w:pStyle w:val="70"/>
              <w:rPr>
                <w:color w:val="000000" w:themeColor="text1"/>
                <w14:textFill>
                  <w14:solidFill>
                    <w14:schemeClr w14:val="tx1"/>
                  </w14:solidFill>
                </w14:textFill>
              </w:rPr>
            </w:pPr>
            <w:r>
              <w:rPr>
                <w:rFonts w:hint="eastAsia" w:eastAsia="等线"/>
                <w:color w:val="000000" w:themeColor="text1"/>
                <w14:textFill>
                  <w14:solidFill>
                    <w14:schemeClr w14:val="tx1"/>
                  </w14:solidFill>
                </w14:textFill>
              </w:rPr>
              <w:t>0.0141</w:t>
            </w:r>
          </w:p>
        </w:tc>
        <w:tc>
          <w:tcPr>
            <w:tcW w:w="895" w:type="dxa"/>
            <w:vAlign w:val="center"/>
          </w:tcPr>
          <w:p w14:paraId="63DB9381">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8400</w:t>
            </w:r>
          </w:p>
        </w:tc>
      </w:tr>
      <w:tr w14:paraId="3CEF360A">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gridAfter w:val="1"/>
          <w:wAfter w:w="10" w:type="dxa"/>
          <w:trHeight w:val="20" w:hRule="atLeast"/>
          <w:jc w:val="center"/>
        </w:trPr>
        <w:tc>
          <w:tcPr>
            <w:tcW w:w="1402" w:type="dxa"/>
            <w:gridSpan w:val="4"/>
            <w:vMerge w:val="continue"/>
            <w:vAlign w:val="center"/>
          </w:tcPr>
          <w:p w14:paraId="6A1BD73E">
            <w:pPr>
              <w:pStyle w:val="70"/>
              <w:rPr>
                <w:color w:val="000000" w:themeColor="text1"/>
                <w14:textFill>
                  <w14:solidFill>
                    <w14:schemeClr w14:val="tx1"/>
                  </w14:solidFill>
                </w14:textFill>
              </w:rPr>
            </w:pPr>
          </w:p>
        </w:tc>
        <w:tc>
          <w:tcPr>
            <w:tcW w:w="1672" w:type="dxa"/>
            <w:gridSpan w:val="2"/>
            <w:vMerge w:val="restart"/>
            <w:vAlign w:val="center"/>
          </w:tcPr>
          <w:p w14:paraId="70FB3DAD">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船舶废气</w:t>
            </w:r>
          </w:p>
        </w:tc>
        <w:tc>
          <w:tcPr>
            <w:tcW w:w="454" w:type="dxa"/>
            <w:gridSpan w:val="2"/>
            <w:vAlign w:val="center"/>
          </w:tcPr>
          <w:p w14:paraId="3DBB6A79">
            <w:pPr>
              <w:pStyle w:val="70"/>
              <w:rPr>
                <w:rFonts w:eastAsia="等线"/>
                <w:color w:val="000000" w:themeColor="text1"/>
                <w14:textFill>
                  <w14:solidFill>
                    <w14:schemeClr w14:val="tx1"/>
                  </w14:solidFill>
                </w14:textFill>
              </w:rPr>
            </w:pPr>
            <w:r>
              <w:rPr>
                <w:color w:val="000000" w:themeColor="text1"/>
                <w14:textFill>
                  <w14:solidFill>
                    <w14:schemeClr w14:val="tx1"/>
                  </w14:solidFill>
                </w14:textFill>
              </w:rPr>
              <w:t>SO</w:t>
            </w:r>
            <w:r>
              <w:rPr>
                <w:color w:val="000000" w:themeColor="text1"/>
                <w:vertAlign w:val="subscript"/>
                <w14:textFill>
                  <w14:solidFill>
                    <w14:schemeClr w14:val="tx1"/>
                  </w14:solidFill>
                </w14:textFill>
              </w:rPr>
              <w:t>2</w:t>
            </w:r>
          </w:p>
        </w:tc>
        <w:tc>
          <w:tcPr>
            <w:tcW w:w="993" w:type="dxa"/>
            <w:gridSpan w:val="2"/>
            <w:vAlign w:val="center"/>
          </w:tcPr>
          <w:p w14:paraId="107CCF89">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856" w:type="dxa"/>
            <w:gridSpan w:val="3"/>
            <w:vAlign w:val="center"/>
          </w:tcPr>
          <w:p w14:paraId="29141796">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1292" w:type="dxa"/>
            <w:vAlign w:val="center"/>
          </w:tcPr>
          <w:p w14:paraId="2BBEA619">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1112" w:type="dxa"/>
            <w:gridSpan w:val="3"/>
            <w:vAlign w:val="bottom"/>
          </w:tcPr>
          <w:p w14:paraId="52E8AB9F">
            <w:pPr>
              <w:pStyle w:val="70"/>
              <w:rPr>
                <w:rFonts w:eastAsia="等线"/>
                <w:color w:val="000000" w:themeColor="text1"/>
                <w14:textFill>
                  <w14:solidFill>
                    <w14:schemeClr w14:val="tx1"/>
                  </w14:solidFill>
                </w14:textFill>
              </w:rPr>
            </w:pPr>
            <w:r>
              <w:rPr>
                <w:rFonts w:hint="eastAsia" w:eastAsia="等线"/>
                <w:color w:val="000000" w:themeColor="text1"/>
                <w14:textFill>
                  <w14:solidFill>
                    <w14:schemeClr w14:val="tx1"/>
                  </w14:solidFill>
                </w14:textFill>
              </w:rPr>
              <w:t>0.672</w:t>
            </w:r>
          </w:p>
        </w:tc>
        <w:tc>
          <w:tcPr>
            <w:tcW w:w="1276" w:type="dxa"/>
            <w:vAlign w:val="center"/>
          </w:tcPr>
          <w:p w14:paraId="03E18F83">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708" w:type="dxa"/>
            <w:vAlign w:val="center"/>
          </w:tcPr>
          <w:p w14:paraId="52D218A8">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661" w:type="dxa"/>
            <w:gridSpan w:val="2"/>
            <w:vAlign w:val="center"/>
          </w:tcPr>
          <w:p w14:paraId="53BA56D6">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942" w:type="dxa"/>
            <w:gridSpan w:val="3"/>
            <w:shd w:val="clear" w:color="auto" w:fill="auto"/>
            <w:vAlign w:val="center"/>
          </w:tcPr>
          <w:p w14:paraId="7463760E">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955" w:type="dxa"/>
            <w:gridSpan w:val="2"/>
            <w:shd w:val="clear" w:color="auto" w:fill="auto"/>
            <w:vAlign w:val="center"/>
          </w:tcPr>
          <w:p w14:paraId="271A6025">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992" w:type="dxa"/>
            <w:gridSpan w:val="2"/>
            <w:vAlign w:val="bottom"/>
          </w:tcPr>
          <w:p w14:paraId="3314AE33">
            <w:pPr>
              <w:pStyle w:val="70"/>
              <w:rPr>
                <w:rFonts w:eastAsia="等线"/>
                <w:color w:val="000000" w:themeColor="text1"/>
                <w14:textFill>
                  <w14:solidFill>
                    <w14:schemeClr w14:val="tx1"/>
                  </w14:solidFill>
                </w14:textFill>
              </w:rPr>
            </w:pPr>
            <w:r>
              <w:rPr>
                <w:rFonts w:hint="eastAsia" w:eastAsia="等线"/>
                <w:color w:val="000000" w:themeColor="text1"/>
                <w14:textFill>
                  <w14:solidFill>
                    <w14:schemeClr w14:val="tx1"/>
                  </w14:solidFill>
                </w14:textFill>
              </w:rPr>
              <w:t>0.672</w:t>
            </w:r>
          </w:p>
        </w:tc>
        <w:tc>
          <w:tcPr>
            <w:tcW w:w="895" w:type="dxa"/>
            <w:vAlign w:val="center"/>
          </w:tcPr>
          <w:p w14:paraId="254A0BC0">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7123749F">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gridAfter w:val="1"/>
          <w:wAfter w:w="10" w:type="dxa"/>
          <w:trHeight w:val="20" w:hRule="atLeast"/>
          <w:jc w:val="center"/>
        </w:trPr>
        <w:tc>
          <w:tcPr>
            <w:tcW w:w="1402" w:type="dxa"/>
            <w:gridSpan w:val="4"/>
            <w:vMerge w:val="continue"/>
            <w:vAlign w:val="center"/>
          </w:tcPr>
          <w:p w14:paraId="4C7F2EFE">
            <w:pPr>
              <w:pStyle w:val="70"/>
              <w:rPr>
                <w:color w:val="000000" w:themeColor="text1"/>
                <w14:textFill>
                  <w14:solidFill>
                    <w14:schemeClr w14:val="tx1"/>
                  </w14:solidFill>
                </w14:textFill>
              </w:rPr>
            </w:pPr>
          </w:p>
        </w:tc>
        <w:tc>
          <w:tcPr>
            <w:tcW w:w="1672" w:type="dxa"/>
            <w:gridSpan w:val="2"/>
            <w:vMerge w:val="continue"/>
            <w:vAlign w:val="center"/>
          </w:tcPr>
          <w:p w14:paraId="4C821E02">
            <w:pPr>
              <w:pStyle w:val="70"/>
              <w:rPr>
                <w:color w:val="000000" w:themeColor="text1"/>
                <w14:textFill>
                  <w14:solidFill>
                    <w14:schemeClr w14:val="tx1"/>
                  </w14:solidFill>
                </w14:textFill>
              </w:rPr>
            </w:pPr>
          </w:p>
        </w:tc>
        <w:tc>
          <w:tcPr>
            <w:tcW w:w="454" w:type="dxa"/>
            <w:gridSpan w:val="2"/>
            <w:vAlign w:val="center"/>
          </w:tcPr>
          <w:p w14:paraId="5E8D2809">
            <w:pPr>
              <w:pStyle w:val="70"/>
              <w:rPr>
                <w:rFonts w:eastAsia="等线"/>
                <w:color w:val="000000" w:themeColor="text1"/>
                <w14:textFill>
                  <w14:solidFill>
                    <w14:schemeClr w14:val="tx1"/>
                  </w14:solidFill>
                </w14:textFill>
              </w:rPr>
            </w:pPr>
            <w:r>
              <w:rPr>
                <w:color w:val="000000" w:themeColor="text1"/>
                <w14:textFill>
                  <w14:solidFill>
                    <w14:schemeClr w14:val="tx1"/>
                  </w14:solidFill>
                </w14:textFill>
              </w:rPr>
              <w:t>NO</w:t>
            </w:r>
            <w:r>
              <w:rPr>
                <w:color w:val="000000" w:themeColor="text1"/>
                <w:vertAlign w:val="subscript"/>
                <w14:textFill>
                  <w14:solidFill>
                    <w14:schemeClr w14:val="tx1"/>
                  </w14:solidFill>
                </w14:textFill>
              </w:rPr>
              <w:t>X</w:t>
            </w:r>
          </w:p>
        </w:tc>
        <w:tc>
          <w:tcPr>
            <w:tcW w:w="993" w:type="dxa"/>
            <w:gridSpan w:val="2"/>
            <w:vAlign w:val="center"/>
          </w:tcPr>
          <w:p w14:paraId="6114DA91">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856" w:type="dxa"/>
            <w:gridSpan w:val="3"/>
            <w:vAlign w:val="center"/>
          </w:tcPr>
          <w:p w14:paraId="20D8CFA1">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1292" w:type="dxa"/>
            <w:vAlign w:val="center"/>
          </w:tcPr>
          <w:p w14:paraId="260ED4C5">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1112" w:type="dxa"/>
            <w:gridSpan w:val="3"/>
            <w:vAlign w:val="bottom"/>
          </w:tcPr>
          <w:p w14:paraId="73372497">
            <w:pPr>
              <w:pStyle w:val="70"/>
              <w:rPr>
                <w:rFonts w:eastAsia="等线"/>
                <w:color w:val="000000" w:themeColor="text1"/>
                <w14:textFill>
                  <w14:solidFill>
                    <w14:schemeClr w14:val="tx1"/>
                  </w14:solidFill>
                </w14:textFill>
              </w:rPr>
            </w:pPr>
            <w:r>
              <w:rPr>
                <w:rFonts w:hint="eastAsia" w:eastAsia="等线"/>
                <w:color w:val="000000" w:themeColor="text1"/>
                <w14:textFill>
                  <w14:solidFill>
                    <w14:schemeClr w14:val="tx1"/>
                  </w14:solidFill>
                </w14:textFill>
              </w:rPr>
              <w:t>2.215</w:t>
            </w:r>
          </w:p>
        </w:tc>
        <w:tc>
          <w:tcPr>
            <w:tcW w:w="1276" w:type="dxa"/>
            <w:vAlign w:val="center"/>
          </w:tcPr>
          <w:p w14:paraId="5C01BB94">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708" w:type="dxa"/>
            <w:vAlign w:val="center"/>
          </w:tcPr>
          <w:p w14:paraId="11F2F934">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661" w:type="dxa"/>
            <w:gridSpan w:val="2"/>
            <w:vAlign w:val="center"/>
          </w:tcPr>
          <w:p w14:paraId="3DB6EE50">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942" w:type="dxa"/>
            <w:gridSpan w:val="3"/>
            <w:shd w:val="clear" w:color="auto" w:fill="auto"/>
            <w:vAlign w:val="center"/>
          </w:tcPr>
          <w:p w14:paraId="2960839E">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955" w:type="dxa"/>
            <w:gridSpan w:val="2"/>
            <w:shd w:val="clear" w:color="auto" w:fill="auto"/>
            <w:vAlign w:val="center"/>
          </w:tcPr>
          <w:p w14:paraId="38E55480">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992" w:type="dxa"/>
            <w:gridSpan w:val="2"/>
            <w:vAlign w:val="bottom"/>
          </w:tcPr>
          <w:p w14:paraId="4B6D2BB2">
            <w:pPr>
              <w:pStyle w:val="70"/>
              <w:rPr>
                <w:rFonts w:eastAsia="等线"/>
                <w:color w:val="000000" w:themeColor="text1"/>
                <w14:textFill>
                  <w14:solidFill>
                    <w14:schemeClr w14:val="tx1"/>
                  </w14:solidFill>
                </w14:textFill>
              </w:rPr>
            </w:pPr>
            <w:r>
              <w:rPr>
                <w:rFonts w:hint="eastAsia" w:eastAsia="等线"/>
                <w:color w:val="000000" w:themeColor="text1"/>
                <w14:textFill>
                  <w14:solidFill>
                    <w14:schemeClr w14:val="tx1"/>
                  </w14:solidFill>
                </w14:textFill>
              </w:rPr>
              <w:t>2.215</w:t>
            </w:r>
          </w:p>
        </w:tc>
        <w:tc>
          <w:tcPr>
            <w:tcW w:w="895" w:type="dxa"/>
            <w:vAlign w:val="center"/>
          </w:tcPr>
          <w:p w14:paraId="2B640219">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1912D9E6">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gridAfter w:val="1"/>
          <w:wAfter w:w="10" w:type="dxa"/>
          <w:trHeight w:val="20" w:hRule="atLeast"/>
          <w:jc w:val="center"/>
        </w:trPr>
        <w:tc>
          <w:tcPr>
            <w:tcW w:w="14210" w:type="dxa"/>
            <w:gridSpan w:val="29"/>
            <w:vAlign w:val="center"/>
          </w:tcPr>
          <w:p w14:paraId="63E84147">
            <w:pPr>
              <w:pStyle w:val="70"/>
              <w:rPr>
                <w:color w:val="000000" w:themeColor="text1"/>
                <w14:textFill>
                  <w14:solidFill>
                    <w14:schemeClr w14:val="tx1"/>
                  </w14:solidFill>
                </w14:textFill>
              </w:rPr>
            </w:pPr>
            <w:r>
              <w:rPr>
                <w:color w:val="000000" w:themeColor="text1"/>
                <w14:textFill>
                  <w14:solidFill>
                    <w14:schemeClr w14:val="tx1"/>
                  </w14:solidFill>
                </w14:textFill>
              </w:rPr>
              <w:t>（2）废水产排污环节、污染物及污染治理设施清单</w:t>
            </w:r>
          </w:p>
        </w:tc>
      </w:tr>
      <w:tr w14:paraId="46AF9350">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gridAfter w:val="1"/>
          <w:wAfter w:w="10" w:type="dxa"/>
          <w:trHeight w:val="20" w:hRule="atLeast"/>
          <w:jc w:val="center"/>
        </w:trPr>
        <w:tc>
          <w:tcPr>
            <w:tcW w:w="693" w:type="dxa"/>
            <w:gridSpan w:val="2"/>
            <w:vMerge w:val="restart"/>
            <w:vAlign w:val="center"/>
          </w:tcPr>
          <w:p w14:paraId="50552D13">
            <w:pPr>
              <w:pStyle w:val="70"/>
              <w:rPr>
                <w:color w:val="000000" w:themeColor="text1"/>
                <w14:textFill>
                  <w14:solidFill>
                    <w14:schemeClr w14:val="tx1"/>
                  </w14:solidFill>
                </w14:textFill>
              </w:rPr>
            </w:pPr>
            <w:r>
              <w:rPr>
                <w:color w:val="000000" w:themeColor="text1"/>
                <w14:textFill>
                  <w14:solidFill>
                    <w14:schemeClr w14:val="tx1"/>
                  </w14:solidFill>
                </w14:textFill>
              </w:rPr>
              <w:t>工序</w:t>
            </w:r>
          </w:p>
        </w:tc>
        <w:tc>
          <w:tcPr>
            <w:tcW w:w="2381" w:type="dxa"/>
            <w:gridSpan w:val="4"/>
            <w:vMerge w:val="restart"/>
            <w:vAlign w:val="center"/>
          </w:tcPr>
          <w:p w14:paraId="25B6DBCE">
            <w:pPr>
              <w:pStyle w:val="70"/>
              <w:rPr>
                <w:color w:val="000000" w:themeColor="text1"/>
                <w14:textFill>
                  <w14:solidFill>
                    <w14:schemeClr w14:val="tx1"/>
                  </w14:solidFill>
                </w14:textFill>
              </w:rPr>
            </w:pPr>
            <w:r>
              <w:rPr>
                <w:color w:val="000000" w:themeColor="text1"/>
                <w14:textFill>
                  <w14:solidFill>
                    <w14:schemeClr w14:val="tx1"/>
                  </w14:solidFill>
                </w14:textFill>
              </w:rPr>
              <w:t>污染源</w:t>
            </w:r>
          </w:p>
        </w:tc>
        <w:tc>
          <w:tcPr>
            <w:tcW w:w="454" w:type="dxa"/>
            <w:gridSpan w:val="2"/>
            <w:vMerge w:val="restart"/>
            <w:vAlign w:val="center"/>
          </w:tcPr>
          <w:p w14:paraId="38B80793">
            <w:pPr>
              <w:pStyle w:val="70"/>
              <w:rPr>
                <w:color w:val="000000" w:themeColor="text1"/>
                <w14:textFill>
                  <w14:solidFill>
                    <w14:schemeClr w14:val="tx1"/>
                  </w14:solidFill>
                </w14:textFill>
              </w:rPr>
            </w:pPr>
            <w:r>
              <w:rPr>
                <w:color w:val="000000" w:themeColor="text1"/>
                <w14:textFill>
                  <w14:solidFill>
                    <w14:schemeClr w14:val="tx1"/>
                  </w14:solidFill>
                </w14:textFill>
              </w:rPr>
              <w:t>污染物</w:t>
            </w:r>
          </w:p>
        </w:tc>
        <w:tc>
          <w:tcPr>
            <w:tcW w:w="4253" w:type="dxa"/>
            <w:gridSpan w:val="9"/>
            <w:vAlign w:val="center"/>
          </w:tcPr>
          <w:p w14:paraId="2D0A8A0F">
            <w:pPr>
              <w:pStyle w:val="70"/>
              <w:rPr>
                <w:color w:val="000000" w:themeColor="text1"/>
                <w14:textFill>
                  <w14:solidFill>
                    <w14:schemeClr w14:val="tx1"/>
                  </w14:solidFill>
                </w14:textFill>
              </w:rPr>
            </w:pPr>
            <w:r>
              <w:rPr>
                <w:color w:val="000000" w:themeColor="text1"/>
                <w14:textFill>
                  <w14:solidFill>
                    <w14:schemeClr w14:val="tx1"/>
                  </w14:solidFill>
                </w14:textFill>
              </w:rPr>
              <w:t>污染物产生</w:t>
            </w:r>
          </w:p>
        </w:tc>
        <w:tc>
          <w:tcPr>
            <w:tcW w:w="1276" w:type="dxa"/>
            <w:vAlign w:val="center"/>
          </w:tcPr>
          <w:p w14:paraId="5FE9EBC7">
            <w:pPr>
              <w:pStyle w:val="70"/>
              <w:rPr>
                <w:color w:val="000000" w:themeColor="text1"/>
                <w14:textFill>
                  <w14:solidFill>
                    <w14:schemeClr w14:val="tx1"/>
                  </w14:solidFill>
                </w14:textFill>
              </w:rPr>
            </w:pPr>
            <w:r>
              <w:rPr>
                <w:color w:val="000000" w:themeColor="text1"/>
                <w14:textFill>
                  <w14:solidFill>
                    <w14:schemeClr w14:val="tx1"/>
                  </w14:solidFill>
                </w14:textFill>
              </w:rPr>
              <w:t>治理措施</w:t>
            </w:r>
          </w:p>
        </w:tc>
        <w:tc>
          <w:tcPr>
            <w:tcW w:w="4258" w:type="dxa"/>
            <w:gridSpan w:val="10"/>
            <w:vAlign w:val="center"/>
          </w:tcPr>
          <w:p w14:paraId="71B3422F">
            <w:pPr>
              <w:pStyle w:val="70"/>
              <w:rPr>
                <w:color w:val="000000" w:themeColor="text1"/>
                <w14:textFill>
                  <w14:solidFill>
                    <w14:schemeClr w14:val="tx1"/>
                  </w14:solidFill>
                </w14:textFill>
              </w:rPr>
            </w:pPr>
            <w:r>
              <w:rPr>
                <w:color w:val="000000" w:themeColor="text1"/>
                <w14:textFill>
                  <w14:solidFill>
                    <w14:schemeClr w14:val="tx1"/>
                  </w14:solidFill>
                </w14:textFill>
              </w:rPr>
              <w:t>污染物排放</w:t>
            </w:r>
          </w:p>
        </w:tc>
        <w:tc>
          <w:tcPr>
            <w:tcW w:w="895" w:type="dxa"/>
            <w:vMerge w:val="restart"/>
            <w:vAlign w:val="center"/>
          </w:tcPr>
          <w:p w14:paraId="552E3202">
            <w:pPr>
              <w:pStyle w:val="70"/>
              <w:rPr>
                <w:color w:val="000000" w:themeColor="text1"/>
                <w14:textFill>
                  <w14:solidFill>
                    <w14:schemeClr w14:val="tx1"/>
                  </w14:solidFill>
                </w14:textFill>
              </w:rPr>
            </w:pPr>
            <w:r>
              <w:rPr>
                <w:color w:val="000000" w:themeColor="text1"/>
                <w14:textFill>
                  <w14:solidFill>
                    <w14:schemeClr w14:val="tx1"/>
                  </w14:solidFill>
                </w14:textFill>
              </w:rPr>
              <w:t>排放时间/h</w:t>
            </w:r>
          </w:p>
        </w:tc>
      </w:tr>
      <w:tr w14:paraId="59467343">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gridAfter w:val="1"/>
          <w:wAfter w:w="10" w:type="dxa"/>
          <w:trHeight w:val="20" w:hRule="atLeast"/>
          <w:jc w:val="center"/>
        </w:trPr>
        <w:tc>
          <w:tcPr>
            <w:tcW w:w="693" w:type="dxa"/>
            <w:gridSpan w:val="2"/>
            <w:vMerge w:val="continue"/>
            <w:vAlign w:val="center"/>
          </w:tcPr>
          <w:p w14:paraId="0C3D5DE7">
            <w:pPr>
              <w:pStyle w:val="70"/>
              <w:rPr>
                <w:color w:val="000000" w:themeColor="text1"/>
                <w14:textFill>
                  <w14:solidFill>
                    <w14:schemeClr w14:val="tx1"/>
                  </w14:solidFill>
                </w14:textFill>
              </w:rPr>
            </w:pPr>
          </w:p>
        </w:tc>
        <w:tc>
          <w:tcPr>
            <w:tcW w:w="2381" w:type="dxa"/>
            <w:gridSpan w:val="4"/>
            <w:vMerge w:val="continue"/>
            <w:vAlign w:val="center"/>
          </w:tcPr>
          <w:p w14:paraId="0D4A9A8F">
            <w:pPr>
              <w:pStyle w:val="70"/>
              <w:rPr>
                <w:color w:val="000000" w:themeColor="text1"/>
                <w14:textFill>
                  <w14:solidFill>
                    <w14:schemeClr w14:val="tx1"/>
                  </w14:solidFill>
                </w14:textFill>
              </w:rPr>
            </w:pPr>
          </w:p>
        </w:tc>
        <w:tc>
          <w:tcPr>
            <w:tcW w:w="454" w:type="dxa"/>
            <w:gridSpan w:val="2"/>
            <w:vMerge w:val="continue"/>
            <w:vAlign w:val="center"/>
          </w:tcPr>
          <w:p w14:paraId="05750F78">
            <w:pPr>
              <w:pStyle w:val="70"/>
              <w:rPr>
                <w:color w:val="000000" w:themeColor="text1"/>
                <w14:textFill>
                  <w14:solidFill>
                    <w14:schemeClr w14:val="tx1"/>
                  </w14:solidFill>
                </w14:textFill>
              </w:rPr>
            </w:pPr>
          </w:p>
        </w:tc>
        <w:tc>
          <w:tcPr>
            <w:tcW w:w="993" w:type="dxa"/>
            <w:gridSpan w:val="2"/>
            <w:vAlign w:val="center"/>
          </w:tcPr>
          <w:p w14:paraId="51EA21EE">
            <w:pPr>
              <w:pStyle w:val="70"/>
              <w:rPr>
                <w:color w:val="000000" w:themeColor="text1"/>
                <w14:textFill>
                  <w14:solidFill>
                    <w14:schemeClr w14:val="tx1"/>
                  </w14:solidFill>
                </w14:textFill>
              </w:rPr>
            </w:pPr>
            <w:r>
              <w:rPr>
                <w:color w:val="000000" w:themeColor="text1"/>
                <w14:textFill>
                  <w14:solidFill>
                    <w14:schemeClr w14:val="tx1"/>
                  </w14:solidFill>
                </w14:textFill>
              </w:rPr>
              <w:t>核算方法</w:t>
            </w:r>
          </w:p>
        </w:tc>
        <w:tc>
          <w:tcPr>
            <w:tcW w:w="856" w:type="dxa"/>
            <w:gridSpan w:val="3"/>
            <w:vAlign w:val="center"/>
          </w:tcPr>
          <w:p w14:paraId="2E643D76">
            <w:pPr>
              <w:pStyle w:val="70"/>
              <w:rPr>
                <w:color w:val="000000" w:themeColor="text1"/>
                <w14:textFill>
                  <w14:solidFill>
                    <w14:schemeClr w14:val="tx1"/>
                  </w14:solidFill>
                </w14:textFill>
              </w:rPr>
            </w:pPr>
            <w:r>
              <w:rPr>
                <w:color w:val="000000" w:themeColor="text1"/>
                <w14:textFill>
                  <w14:solidFill>
                    <w14:schemeClr w14:val="tx1"/>
                  </w14:solidFill>
                </w14:textFill>
              </w:rPr>
              <w:t>产生废水量（m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/a）</w:t>
            </w:r>
          </w:p>
        </w:tc>
        <w:tc>
          <w:tcPr>
            <w:tcW w:w="1326" w:type="dxa"/>
            <w:gridSpan w:val="2"/>
            <w:vAlign w:val="center"/>
          </w:tcPr>
          <w:p w14:paraId="0E912A42">
            <w:pPr>
              <w:pStyle w:val="70"/>
              <w:rPr>
                <w:color w:val="000000" w:themeColor="text1"/>
                <w14:textFill>
                  <w14:solidFill>
                    <w14:schemeClr w14:val="tx1"/>
                  </w14:solidFill>
                </w14:textFill>
              </w:rPr>
            </w:pPr>
            <w:r>
              <w:rPr>
                <w:color w:val="000000" w:themeColor="text1"/>
                <w14:textFill>
                  <w14:solidFill>
                    <w14:schemeClr w14:val="tx1"/>
                  </w14:solidFill>
                </w14:textFill>
              </w:rPr>
              <w:t>产生浓度(mg/l)</w:t>
            </w:r>
          </w:p>
        </w:tc>
        <w:tc>
          <w:tcPr>
            <w:tcW w:w="1078" w:type="dxa"/>
            <w:gridSpan w:val="2"/>
            <w:vAlign w:val="center"/>
          </w:tcPr>
          <w:p w14:paraId="0A3591FA">
            <w:pPr>
              <w:pStyle w:val="70"/>
              <w:rPr>
                <w:color w:val="000000" w:themeColor="text1"/>
                <w14:textFill>
                  <w14:solidFill>
                    <w14:schemeClr w14:val="tx1"/>
                  </w14:solidFill>
                </w14:textFill>
              </w:rPr>
            </w:pPr>
            <w:r>
              <w:rPr>
                <w:color w:val="000000" w:themeColor="text1"/>
                <w14:textFill>
                  <w14:solidFill>
                    <w14:schemeClr w14:val="tx1"/>
                  </w14:solidFill>
                </w14:textFill>
              </w:rPr>
              <w:t>产生量(t/a)</w:t>
            </w:r>
          </w:p>
        </w:tc>
        <w:tc>
          <w:tcPr>
            <w:tcW w:w="1276" w:type="dxa"/>
            <w:vAlign w:val="center"/>
          </w:tcPr>
          <w:p w14:paraId="1E5E7289">
            <w:pPr>
              <w:pStyle w:val="70"/>
              <w:rPr>
                <w:color w:val="000000" w:themeColor="text1"/>
                <w14:textFill>
                  <w14:solidFill>
                    <w14:schemeClr w14:val="tx1"/>
                  </w14:solidFill>
                </w14:textFill>
              </w:rPr>
            </w:pPr>
            <w:r>
              <w:rPr>
                <w:color w:val="000000" w:themeColor="text1"/>
                <w14:textFill>
                  <w14:solidFill>
                    <w14:schemeClr w14:val="tx1"/>
                  </w14:solidFill>
                </w14:textFill>
              </w:rPr>
              <w:t>工艺</w:t>
            </w:r>
          </w:p>
        </w:tc>
        <w:tc>
          <w:tcPr>
            <w:tcW w:w="708" w:type="dxa"/>
            <w:vAlign w:val="center"/>
          </w:tcPr>
          <w:p w14:paraId="08539CE0">
            <w:pPr>
              <w:pStyle w:val="70"/>
              <w:rPr>
                <w:color w:val="000000" w:themeColor="text1"/>
                <w14:textFill>
                  <w14:solidFill>
                    <w14:schemeClr w14:val="tx1"/>
                  </w14:solidFill>
                </w14:textFill>
              </w:rPr>
            </w:pPr>
            <w:r>
              <w:rPr>
                <w:color w:val="000000" w:themeColor="text1"/>
                <w14:textFill>
                  <w14:solidFill>
                    <w14:schemeClr w14:val="tx1"/>
                  </w14:solidFill>
                </w14:textFill>
              </w:rPr>
              <w:t>核算方法</w:t>
            </w:r>
          </w:p>
        </w:tc>
        <w:tc>
          <w:tcPr>
            <w:tcW w:w="1595" w:type="dxa"/>
            <w:gridSpan w:val="4"/>
            <w:vAlign w:val="center"/>
          </w:tcPr>
          <w:p w14:paraId="4761FFDF">
            <w:pPr>
              <w:pStyle w:val="70"/>
              <w:rPr>
                <w:color w:val="000000" w:themeColor="text1"/>
                <w14:textFill>
                  <w14:solidFill>
                    <w14:schemeClr w14:val="tx1"/>
                  </w14:solidFill>
                </w14:textFill>
              </w:rPr>
            </w:pPr>
            <w:r>
              <w:rPr>
                <w:color w:val="000000" w:themeColor="text1"/>
                <w14:textFill>
                  <w14:solidFill>
                    <w14:schemeClr w14:val="tx1"/>
                  </w14:solidFill>
                </w14:textFill>
              </w:rPr>
              <w:t>排放废水量（m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/a）</w:t>
            </w:r>
          </w:p>
        </w:tc>
        <w:tc>
          <w:tcPr>
            <w:tcW w:w="963" w:type="dxa"/>
            <w:gridSpan w:val="3"/>
            <w:vAlign w:val="center"/>
          </w:tcPr>
          <w:p w14:paraId="2FE05082">
            <w:pPr>
              <w:pStyle w:val="70"/>
              <w:rPr>
                <w:color w:val="000000" w:themeColor="text1"/>
                <w14:textFill>
                  <w14:solidFill>
                    <w14:schemeClr w14:val="tx1"/>
                  </w14:solidFill>
                </w14:textFill>
              </w:rPr>
            </w:pPr>
            <w:r>
              <w:rPr>
                <w:color w:val="000000" w:themeColor="text1"/>
                <w14:textFill>
                  <w14:solidFill>
                    <w14:schemeClr w14:val="tx1"/>
                  </w14:solidFill>
                </w14:textFill>
              </w:rPr>
              <w:t>排放浓度(mg/l)</w:t>
            </w:r>
          </w:p>
        </w:tc>
        <w:tc>
          <w:tcPr>
            <w:tcW w:w="992" w:type="dxa"/>
            <w:gridSpan w:val="2"/>
            <w:vAlign w:val="center"/>
          </w:tcPr>
          <w:p w14:paraId="5D382865">
            <w:pPr>
              <w:pStyle w:val="70"/>
              <w:rPr>
                <w:color w:val="000000" w:themeColor="text1"/>
                <w14:textFill>
                  <w14:solidFill>
                    <w14:schemeClr w14:val="tx1"/>
                  </w14:solidFill>
                </w14:textFill>
              </w:rPr>
            </w:pPr>
            <w:r>
              <w:rPr>
                <w:color w:val="000000" w:themeColor="text1"/>
                <w14:textFill>
                  <w14:solidFill>
                    <w14:schemeClr w14:val="tx1"/>
                  </w14:solidFill>
                </w14:textFill>
              </w:rPr>
              <w:t>排放量(t/a)</w:t>
            </w:r>
          </w:p>
        </w:tc>
        <w:tc>
          <w:tcPr>
            <w:tcW w:w="895" w:type="dxa"/>
            <w:vMerge w:val="continue"/>
            <w:vAlign w:val="center"/>
          </w:tcPr>
          <w:p w14:paraId="2EA15533">
            <w:pPr>
              <w:pStyle w:val="70"/>
              <w:rPr>
                <w:color w:val="000000" w:themeColor="text1"/>
                <w14:textFill>
                  <w14:solidFill>
                    <w14:schemeClr w14:val="tx1"/>
                  </w14:solidFill>
                </w14:textFill>
              </w:rPr>
            </w:pPr>
          </w:p>
        </w:tc>
      </w:tr>
      <w:tr w14:paraId="59EEFE2A">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gridAfter w:val="1"/>
          <w:wAfter w:w="10" w:type="dxa"/>
          <w:trHeight w:val="20" w:hRule="atLeast"/>
          <w:jc w:val="center"/>
        </w:trPr>
        <w:tc>
          <w:tcPr>
            <w:tcW w:w="693" w:type="dxa"/>
            <w:gridSpan w:val="2"/>
            <w:vMerge w:val="restart"/>
            <w:vAlign w:val="center"/>
          </w:tcPr>
          <w:p w14:paraId="4035A315">
            <w:pPr>
              <w:pStyle w:val="70"/>
              <w:rPr>
                <w:color w:val="000000" w:themeColor="text1"/>
                <w14:textFill>
                  <w14:solidFill>
                    <w14:schemeClr w14:val="tx1"/>
                  </w14:solidFill>
                </w14:textFill>
              </w:rPr>
            </w:pPr>
            <w:r>
              <w:rPr>
                <w:color w:val="000000" w:themeColor="text1"/>
                <w14:textFill>
                  <w14:solidFill>
                    <w14:schemeClr w14:val="tx1"/>
                  </w14:solidFill>
                </w14:textFill>
              </w:rPr>
              <w:t>船舶污水</w:t>
            </w:r>
          </w:p>
        </w:tc>
        <w:tc>
          <w:tcPr>
            <w:tcW w:w="2381" w:type="dxa"/>
            <w:gridSpan w:val="4"/>
            <w:vAlign w:val="center"/>
          </w:tcPr>
          <w:p w14:paraId="6591D0E8">
            <w:pPr>
              <w:pStyle w:val="70"/>
              <w:rPr>
                <w:color w:val="000000" w:themeColor="text1"/>
                <w14:textFill>
                  <w14:solidFill>
                    <w14:schemeClr w14:val="tx1"/>
                  </w14:solidFill>
                </w14:textFill>
              </w:rPr>
            </w:pPr>
            <w:r>
              <w:rPr>
                <w:color w:val="000000" w:themeColor="text1"/>
                <w14:textFill>
                  <w14:solidFill>
                    <w14:schemeClr w14:val="tx1"/>
                  </w14:solidFill>
                </w14:textFill>
              </w:rPr>
              <w:t>船舶机舱油污水</w:t>
            </w:r>
          </w:p>
        </w:tc>
        <w:tc>
          <w:tcPr>
            <w:tcW w:w="454" w:type="dxa"/>
            <w:gridSpan w:val="2"/>
            <w:vAlign w:val="center"/>
          </w:tcPr>
          <w:p w14:paraId="60A61027">
            <w:pPr>
              <w:pStyle w:val="70"/>
              <w:rPr>
                <w:color w:val="000000" w:themeColor="text1"/>
                <w14:textFill>
                  <w14:solidFill>
                    <w14:schemeClr w14:val="tx1"/>
                  </w14:solidFill>
                </w14:textFill>
              </w:rPr>
            </w:pPr>
            <w:r>
              <w:rPr>
                <w:color w:val="000000" w:themeColor="text1"/>
                <w14:textFill>
                  <w14:solidFill>
                    <w14:schemeClr w14:val="tx1"/>
                  </w14:solidFill>
                </w14:textFill>
              </w:rPr>
              <w:t>石油类</w:t>
            </w:r>
          </w:p>
        </w:tc>
        <w:tc>
          <w:tcPr>
            <w:tcW w:w="993" w:type="dxa"/>
            <w:gridSpan w:val="2"/>
            <w:vMerge w:val="restart"/>
            <w:vAlign w:val="center"/>
          </w:tcPr>
          <w:p w14:paraId="4A0E0D3E">
            <w:pPr>
              <w:pStyle w:val="70"/>
              <w:rPr>
                <w:color w:val="000000" w:themeColor="text1"/>
                <w14:textFill>
                  <w14:solidFill>
                    <w14:schemeClr w14:val="tx1"/>
                  </w14:solidFill>
                </w14:textFill>
              </w:rPr>
            </w:pPr>
            <w:r>
              <w:rPr>
                <w:color w:val="000000" w:themeColor="text1"/>
                <w14:textFill>
                  <w14:solidFill>
                    <w14:schemeClr w14:val="tx1"/>
                  </w14:solidFill>
                </w14:textFill>
              </w:rPr>
              <w:t>类比法</w:t>
            </w:r>
          </w:p>
        </w:tc>
        <w:tc>
          <w:tcPr>
            <w:tcW w:w="856" w:type="dxa"/>
            <w:gridSpan w:val="3"/>
            <w:vAlign w:val="center"/>
          </w:tcPr>
          <w:p w14:paraId="0FB948B7">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314</w:t>
            </w:r>
          </w:p>
        </w:tc>
        <w:tc>
          <w:tcPr>
            <w:tcW w:w="1326" w:type="dxa"/>
            <w:gridSpan w:val="2"/>
            <w:vAlign w:val="center"/>
          </w:tcPr>
          <w:p w14:paraId="65D48107">
            <w:pPr>
              <w:pStyle w:val="70"/>
              <w:rPr>
                <w:color w:val="000000" w:themeColor="text1"/>
                <w14:textFill>
                  <w14:solidFill>
                    <w14:schemeClr w14:val="tx1"/>
                  </w14:solidFill>
                </w14:textFill>
              </w:rPr>
            </w:pPr>
            <w:r>
              <w:rPr>
                <w:color w:val="000000" w:themeColor="text1"/>
                <w14:textFill>
                  <w14:solidFill>
                    <w14:schemeClr w14:val="tx1"/>
                  </w14:solidFill>
                </w14:textFill>
              </w:rPr>
              <w:t>5000</w:t>
            </w:r>
          </w:p>
        </w:tc>
        <w:tc>
          <w:tcPr>
            <w:tcW w:w="1078" w:type="dxa"/>
            <w:gridSpan w:val="2"/>
            <w:vAlign w:val="center"/>
          </w:tcPr>
          <w:p w14:paraId="6F132CD2">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1.58</w:t>
            </w:r>
          </w:p>
        </w:tc>
        <w:tc>
          <w:tcPr>
            <w:tcW w:w="1276" w:type="dxa"/>
            <w:vMerge w:val="restart"/>
            <w:vAlign w:val="center"/>
          </w:tcPr>
          <w:p w14:paraId="1613669B">
            <w:pPr>
              <w:pStyle w:val="70"/>
              <w:rPr>
                <w:color w:val="000000" w:themeColor="text1"/>
                <w14:textFill>
                  <w14:solidFill>
                    <w14:schemeClr w14:val="tx1"/>
                  </w14:solidFill>
                </w14:textFill>
              </w:rPr>
            </w:pPr>
            <w:r>
              <w:rPr>
                <w:color w:val="000000" w:themeColor="text1"/>
                <w14:textFill>
                  <w14:solidFill>
                    <w14:schemeClr w14:val="tx1"/>
                  </w14:solidFill>
                </w14:textFill>
              </w:rPr>
              <w:t>由具有相关资质的单位接收</w:t>
            </w:r>
          </w:p>
        </w:tc>
        <w:tc>
          <w:tcPr>
            <w:tcW w:w="708" w:type="dxa"/>
            <w:vMerge w:val="restart"/>
            <w:vAlign w:val="center"/>
          </w:tcPr>
          <w:p w14:paraId="423F735C">
            <w:pPr>
              <w:pStyle w:val="70"/>
              <w:rPr>
                <w:color w:val="000000" w:themeColor="text1"/>
                <w14:textFill>
                  <w14:solidFill>
                    <w14:schemeClr w14:val="tx1"/>
                  </w14:solidFill>
                </w14:textFill>
              </w:rPr>
            </w:pPr>
            <w:r>
              <w:rPr>
                <w:color w:val="000000" w:themeColor="text1"/>
                <w14:textFill>
                  <w14:solidFill>
                    <w14:schemeClr w14:val="tx1"/>
                  </w14:solidFill>
                </w14:textFill>
              </w:rPr>
              <w:t>类比法</w:t>
            </w:r>
          </w:p>
        </w:tc>
        <w:tc>
          <w:tcPr>
            <w:tcW w:w="1595" w:type="dxa"/>
            <w:gridSpan w:val="4"/>
            <w:vAlign w:val="center"/>
          </w:tcPr>
          <w:p w14:paraId="6B4E88A9">
            <w:pPr>
              <w:pStyle w:val="70"/>
              <w:rPr>
                <w:color w:val="000000" w:themeColor="text1"/>
                <w14:textFill>
                  <w14:solidFill>
                    <w14:schemeClr w14:val="tx1"/>
                  </w14:solidFill>
                </w14:textFill>
              </w:rPr>
            </w:pPr>
            <w:r>
              <w:rPr>
                <w:color w:val="000000" w:themeColor="text1"/>
                <w14:textFill>
                  <w14:solidFill>
                    <w14:schemeClr w14:val="tx1"/>
                  </w14:solidFill>
                </w14:textFill>
              </w:rPr>
              <w:t>0</w:t>
            </w:r>
          </w:p>
        </w:tc>
        <w:tc>
          <w:tcPr>
            <w:tcW w:w="963" w:type="dxa"/>
            <w:gridSpan w:val="3"/>
            <w:vAlign w:val="center"/>
          </w:tcPr>
          <w:p w14:paraId="75CF8AF8">
            <w:pPr>
              <w:pStyle w:val="70"/>
              <w:rPr>
                <w:color w:val="000000" w:themeColor="text1"/>
                <w14:textFill>
                  <w14:solidFill>
                    <w14:schemeClr w14:val="tx1"/>
                  </w14:solidFill>
                </w14:textFill>
              </w:rPr>
            </w:pPr>
            <w:r>
              <w:rPr>
                <w:color w:val="000000" w:themeColor="text1"/>
                <w14:textFill>
                  <w14:solidFill>
                    <w14:schemeClr w14:val="tx1"/>
                  </w14:solidFill>
                </w14:textFill>
              </w:rPr>
              <w:t>0</w:t>
            </w:r>
          </w:p>
        </w:tc>
        <w:tc>
          <w:tcPr>
            <w:tcW w:w="992" w:type="dxa"/>
            <w:gridSpan w:val="2"/>
            <w:vAlign w:val="center"/>
          </w:tcPr>
          <w:p w14:paraId="692AEAAA">
            <w:pPr>
              <w:pStyle w:val="70"/>
              <w:rPr>
                <w:color w:val="000000" w:themeColor="text1"/>
                <w14:textFill>
                  <w14:solidFill>
                    <w14:schemeClr w14:val="tx1"/>
                  </w14:solidFill>
                </w14:textFill>
              </w:rPr>
            </w:pPr>
            <w:r>
              <w:rPr>
                <w:color w:val="000000" w:themeColor="text1"/>
                <w14:textFill>
                  <w14:solidFill>
                    <w14:schemeClr w14:val="tx1"/>
                  </w14:solidFill>
                </w14:textFill>
              </w:rPr>
              <w:t>0</w:t>
            </w:r>
          </w:p>
        </w:tc>
        <w:tc>
          <w:tcPr>
            <w:tcW w:w="895" w:type="dxa"/>
            <w:vMerge w:val="restart"/>
            <w:vAlign w:val="center"/>
          </w:tcPr>
          <w:p w14:paraId="48BD5F2A">
            <w:pPr>
              <w:pStyle w:val="70"/>
              <w:rPr>
                <w:color w:val="000000" w:themeColor="text1"/>
                <w14:textFill>
                  <w14:solidFill>
                    <w14:schemeClr w14:val="tx1"/>
                  </w14:solidFill>
                </w14:textFill>
              </w:rPr>
            </w:pPr>
            <w:r>
              <w:rPr>
                <w:color w:val="000000" w:themeColor="text1"/>
                <w14:textFill>
                  <w14:solidFill>
                    <w14:schemeClr w14:val="tx1"/>
                  </w14:solidFill>
                </w14:textFill>
              </w:rPr>
              <w:t>不外排</w:t>
            </w:r>
          </w:p>
        </w:tc>
      </w:tr>
      <w:tr w14:paraId="370D9ADC">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gridAfter w:val="1"/>
          <w:wAfter w:w="10" w:type="dxa"/>
          <w:trHeight w:val="20" w:hRule="atLeast"/>
          <w:jc w:val="center"/>
        </w:trPr>
        <w:tc>
          <w:tcPr>
            <w:tcW w:w="693" w:type="dxa"/>
            <w:gridSpan w:val="2"/>
            <w:vMerge w:val="continue"/>
            <w:vAlign w:val="center"/>
          </w:tcPr>
          <w:p w14:paraId="211D20B2">
            <w:pPr>
              <w:pStyle w:val="70"/>
              <w:rPr>
                <w:color w:val="000000" w:themeColor="text1"/>
                <w14:textFill>
                  <w14:solidFill>
                    <w14:schemeClr w14:val="tx1"/>
                  </w14:solidFill>
                </w14:textFill>
              </w:rPr>
            </w:pPr>
          </w:p>
        </w:tc>
        <w:tc>
          <w:tcPr>
            <w:tcW w:w="2381" w:type="dxa"/>
            <w:gridSpan w:val="4"/>
            <w:vMerge w:val="restart"/>
            <w:vAlign w:val="center"/>
          </w:tcPr>
          <w:p w14:paraId="14A5145E">
            <w:pPr>
              <w:pStyle w:val="70"/>
              <w:rPr>
                <w:color w:val="000000" w:themeColor="text1"/>
                <w14:textFill>
                  <w14:solidFill>
                    <w14:schemeClr w14:val="tx1"/>
                  </w14:solidFill>
                </w14:textFill>
              </w:rPr>
            </w:pPr>
            <w:r>
              <w:rPr>
                <w:color w:val="000000" w:themeColor="text1"/>
                <w:lang w:eastAsia="en-US"/>
                <w14:textFill>
                  <w14:solidFill>
                    <w14:schemeClr w14:val="tx1"/>
                  </w14:solidFill>
                </w14:textFill>
              </w:rPr>
              <w:t>船舶生活污水</w:t>
            </w:r>
          </w:p>
        </w:tc>
        <w:tc>
          <w:tcPr>
            <w:tcW w:w="454" w:type="dxa"/>
            <w:gridSpan w:val="2"/>
            <w:vAlign w:val="center"/>
          </w:tcPr>
          <w:p w14:paraId="75ACBC23">
            <w:pPr>
              <w:pStyle w:val="70"/>
              <w:rPr>
                <w:color w:val="000000" w:themeColor="text1"/>
                <w14:textFill>
                  <w14:solidFill>
                    <w14:schemeClr w14:val="tx1"/>
                  </w14:solidFill>
                </w14:textFill>
              </w:rPr>
            </w:pPr>
            <w:r>
              <w:rPr>
                <w:color w:val="000000" w:themeColor="text1"/>
                <w14:textFill>
                  <w14:solidFill>
                    <w14:schemeClr w14:val="tx1"/>
                  </w14:solidFill>
                </w14:textFill>
              </w:rPr>
              <w:t>COD</w:t>
            </w:r>
          </w:p>
        </w:tc>
        <w:tc>
          <w:tcPr>
            <w:tcW w:w="993" w:type="dxa"/>
            <w:gridSpan w:val="2"/>
            <w:vMerge w:val="continue"/>
            <w:vAlign w:val="center"/>
          </w:tcPr>
          <w:p w14:paraId="31106035">
            <w:pPr>
              <w:pStyle w:val="70"/>
              <w:rPr>
                <w:color w:val="000000" w:themeColor="text1"/>
                <w14:textFill>
                  <w14:solidFill>
                    <w14:schemeClr w14:val="tx1"/>
                  </w14:solidFill>
                </w14:textFill>
              </w:rPr>
            </w:pPr>
          </w:p>
        </w:tc>
        <w:tc>
          <w:tcPr>
            <w:tcW w:w="856" w:type="dxa"/>
            <w:gridSpan w:val="3"/>
            <w:vMerge w:val="restart"/>
            <w:vAlign w:val="center"/>
          </w:tcPr>
          <w:p w14:paraId="355D549E">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158.4</w:t>
            </w:r>
          </w:p>
        </w:tc>
        <w:tc>
          <w:tcPr>
            <w:tcW w:w="1326" w:type="dxa"/>
            <w:gridSpan w:val="2"/>
            <w:vAlign w:val="center"/>
          </w:tcPr>
          <w:p w14:paraId="26C1DDE9">
            <w:pPr>
              <w:pStyle w:val="70"/>
              <w:rPr>
                <w:color w:val="000000" w:themeColor="text1"/>
                <w14:textFill>
                  <w14:solidFill>
                    <w14:schemeClr w14:val="tx1"/>
                  </w14:solidFill>
                </w14:textFill>
              </w:rPr>
            </w:pPr>
            <w:r>
              <w:rPr>
                <w:color w:val="000000" w:themeColor="text1"/>
                <w14:textFill>
                  <w14:solidFill>
                    <w14:schemeClr w14:val="tx1"/>
                  </w14:solidFill>
                </w14:textFill>
              </w:rPr>
              <w:t>350</w:t>
            </w:r>
          </w:p>
        </w:tc>
        <w:tc>
          <w:tcPr>
            <w:tcW w:w="1078" w:type="dxa"/>
            <w:gridSpan w:val="2"/>
            <w:vAlign w:val="center"/>
          </w:tcPr>
          <w:p w14:paraId="7282063D">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0.055</w:t>
            </w:r>
          </w:p>
        </w:tc>
        <w:tc>
          <w:tcPr>
            <w:tcW w:w="1276" w:type="dxa"/>
            <w:vMerge w:val="continue"/>
            <w:vAlign w:val="center"/>
          </w:tcPr>
          <w:p w14:paraId="7E70F1B0">
            <w:pPr>
              <w:pStyle w:val="70"/>
              <w:rPr>
                <w:color w:val="000000" w:themeColor="text1"/>
                <w14:textFill>
                  <w14:solidFill>
                    <w14:schemeClr w14:val="tx1"/>
                  </w14:solidFill>
                </w14:textFill>
              </w:rPr>
            </w:pPr>
          </w:p>
        </w:tc>
        <w:tc>
          <w:tcPr>
            <w:tcW w:w="708" w:type="dxa"/>
            <w:vMerge w:val="continue"/>
            <w:vAlign w:val="center"/>
          </w:tcPr>
          <w:p w14:paraId="4C5E34CA">
            <w:pPr>
              <w:pStyle w:val="70"/>
              <w:rPr>
                <w:color w:val="000000" w:themeColor="text1"/>
                <w14:textFill>
                  <w14:solidFill>
                    <w14:schemeClr w14:val="tx1"/>
                  </w14:solidFill>
                </w14:textFill>
              </w:rPr>
            </w:pPr>
          </w:p>
        </w:tc>
        <w:tc>
          <w:tcPr>
            <w:tcW w:w="1595" w:type="dxa"/>
            <w:gridSpan w:val="4"/>
            <w:vAlign w:val="center"/>
          </w:tcPr>
          <w:p w14:paraId="2B4142A1">
            <w:pPr>
              <w:pStyle w:val="70"/>
              <w:rPr>
                <w:color w:val="000000" w:themeColor="text1"/>
                <w14:textFill>
                  <w14:solidFill>
                    <w14:schemeClr w14:val="tx1"/>
                  </w14:solidFill>
                </w14:textFill>
              </w:rPr>
            </w:pPr>
            <w:r>
              <w:rPr>
                <w:color w:val="000000" w:themeColor="text1"/>
                <w14:textFill>
                  <w14:solidFill>
                    <w14:schemeClr w14:val="tx1"/>
                  </w14:solidFill>
                </w14:textFill>
              </w:rPr>
              <w:t>0</w:t>
            </w:r>
          </w:p>
        </w:tc>
        <w:tc>
          <w:tcPr>
            <w:tcW w:w="963" w:type="dxa"/>
            <w:gridSpan w:val="3"/>
            <w:vAlign w:val="center"/>
          </w:tcPr>
          <w:p w14:paraId="1FBB37D6">
            <w:pPr>
              <w:pStyle w:val="70"/>
              <w:rPr>
                <w:color w:val="000000" w:themeColor="text1"/>
                <w14:textFill>
                  <w14:solidFill>
                    <w14:schemeClr w14:val="tx1"/>
                  </w14:solidFill>
                </w14:textFill>
              </w:rPr>
            </w:pPr>
            <w:r>
              <w:rPr>
                <w:color w:val="000000" w:themeColor="text1"/>
                <w14:textFill>
                  <w14:solidFill>
                    <w14:schemeClr w14:val="tx1"/>
                  </w14:solidFill>
                </w14:textFill>
              </w:rPr>
              <w:t>0</w:t>
            </w:r>
          </w:p>
        </w:tc>
        <w:tc>
          <w:tcPr>
            <w:tcW w:w="992" w:type="dxa"/>
            <w:gridSpan w:val="2"/>
            <w:vAlign w:val="center"/>
          </w:tcPr>
          <w:p w14:paraId="7ED6AF32">
            <w:pPr>
              <w:pStyle w:val="70"/>
              <w:rPr>
                <w:color w:val="000000" w:themeColor="text1"/>
                <w14:textFill>
                  <w14:solidFill>
                    <w14:schemeClr w14:val="tx1"/>
                  </w14:solidFill>
                </w14:textFill>
              </w:rPr>
            </w:pPr>
            <w:r>
              <w:rPr>
                <w:color w:val="000000" w:themeColor="text1"/>
                <w14:textFill>
                  <w14:solidFill>
                    <w14:schemeClr w14:val="tx1"/>
                  </w14:solidFill>
                </w14:textFill>
              </w:rPr>
              <w:t>0</w:t>
            </w:r>
          </w:p>
        </w:tc>
        <w:tc>
          <w:tcPr>
            <w:tcW w:w="895" w:type="dxa"/>
            <w:vMerge w:val="continue"/>
            <w:vAlign w:val="center"/>
          </w:tcPr>
          <w:p w14:paraId="6BF05F72">
            <w:pPr>
              <w:pStyle w:val="70"/>
              <w:rPr>
                <w:color w:val="000000" w:themeColor="text1"/>
                <w14:textFill>
                  <w14:solidFill>
                    <w14:schemeClr w14:val="tx1"/>
                  </w14:solidFill>
                </w14:textFill>
              </w:rPr>
            </w:pPr>
          </w:p>
        </w:tc>
      </w:tr>
      <w:tr w14:paraId="79000427">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gridAfter w:val="1"/>
          <w:wAfter w:w="10" w:type="dxa"/>
          <w:trHeight w:val="20" w:hRule="atLeast"/>
          <w:jc w:val="center"/>
        </w:trPr>
        <w:tc>
          <w:tcPr>
            <w:tcW w:w="693" w:type="dxa"/>
            <w:gridSpan w:val="2"/>
            <w:vMerge w:val="continue"/>
            <w:vAlign w:val="center"/>
          </w:tcPr>
          <w:p w14:paraId="3BEE75F8">
            <w:pPr>
              <w:pStyle w:val="70"/>
              <w:rPr>
                <w:color w:val="000000" w:themeColor="text1"/>
                <w14:textFill>
                  <w14:solidFill>
                    <w14:schemeClr w14:val="tx1"/>
                  </w14:solidFill>
                </w14:textFill>
              </w:rPr>
            </w:pPr>
          </w:p>
        </w:tc>
        <w:tc>
          <w:tcPr>
            <w:tcW w:w="2381" w:type="dxa"/>
            <w:gridSpan w:val="4"/>
            <w:vMerge w:val="continue"/>
            <w:vAlign w:val="center"/>
          </w:tcPr>
          <w:p w14:paraId="1E311B10">
            <w:pPr>
              <w:pStyle w:val="70"/>
              <w:rPr>
                <w:color w:val="000000" w:themeColor="text1"/>
                <w:lang w:eastAsia="en-US"/>
                <w14:textFill>
                  <w14:solidFill>
                    <w14:schemeClr w14:val="tx1"/>
                  </w14:solidFill>
                </w14:textFill>
              </w:rPr>
            </w:pPr>
          </w:p>
        </w:tc>
        <w:tc>
          <w:tcPr>
            <w:tcW w:w="454" w:type="dxa"/>
            <w:gridSpan w:val="2"/>
            <w:vAlign w:val="center"/>
          </w:tcPr>
          <w:p w14:paraId="02973BFE">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氨氮</w:t>
            </w:r>
          </w:p>
        </w:tc>
        <w:tc>
          <w:tcPr>
            <w:tcW w:w="993" w:type="dxa"/>
            <w:gridSpan w:val="2"/>
            <w:vMerge w:val="continue"/>
            <w:vAlign w:val="center"/>
          </w:tcPr>
          <w:p w14:paraId="3A8FBFA2">
            <w:pPr>
              <w:pStyle w:val="70"/>
              <w:rPr>
                <w:color w:val="000000" w:themeColor="text1"/>
                <w14:textFill>
                  <w14:solidFill>
                    <w14:schemeClr w14:val="tx1"/>
                  </w14:solidFill>
                </w14:textFill>
              </w:rPr>
            </w:pPr>
          </w:p>
        </w:tc>
        <w:tc>
          <w:tcPr>
            <w:tcW w:w="856" w:type="dxa"/>
            <w:gridSpan w:val="3"/>
            <w:vMerge w:val="continue"/>
            <w:vAlign w:val="center"/>
          </w:tcPr>
          <w:p w14:paraId="4C69B29D">
            <w:pPr>
              <w:pStyle w:val="70"/>
              <w:rPr>
                <w:color w:val="000000" w:themeColor="text1"/>
                <w14:textFill>
                  <w14:solidFill>
                    <w14:schemeClr w14:val="tx1"/>
                  </w14:solidFill>
                </w14:textFill>
              </w:rPr>
            </w:pPr>
          </w:p>
        </w:tc>
        <w:tc>
          <w:tcPr>
            <w:tcW w:w="1326" w:type="dxa"/>
            <w:gridSpan w:val="2"/>
            <w:vAlign w:val="center"/>
          </w:tcPr>
          <w:p w14:paraId="1E334B5B">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35</w:t>
            </w:r>
          </w:p>
        </w:tc>
        <w:tc>
          <w:tcPr>
            <w:tcW w:w="1078" w:type="dxa"/>
            <w:gridSpan w:val="2"/>
            <w:vAlign w:val="center"/>
          </w:tcPr>
          <w:p w14:paraId="1D4F792F">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0.006</w:t>
            </w:r>
          </w:p>
        </w:tc>
        <w:tc>
          <w:tcPr>
            <w:tcW w:w="1276" w:type="dxa"/>
            <w:vMerge w:val="continue"/>
            <w:vAlign w:val="center"/>
          </w:tcPr>
          <w:p w14:paraId="23283968">
            <w:pPr>
              <w:pStyle w:val="70"/>
              <w:rPr>
                <w:color w:val="000000" w:themeColor="text1"/>
                <w14:textFill>
                  <w14:solidFill>
                    <w14:schemeClr w14:val="tx1"/>
                  </w14:solidFill>
                </w14:textFill>
              </w:rPr>
            </w:pPr>
          </w:p>
        </w:tc>
        <w:tc>
          <w:tcPr>
            <w:tcW w:w="708" w:type="dxa"/>
            <w:vMerge w:val="continue"/>
            <w:vAlign w:val="center"/>
          </w:tcPr>
          <w:p w14:paraId="099BF453">
            <w:pPr>
              <w:pStyle w:val="70"/>
              <w:rPr>
                <w:color w:val="000000" w:themeColor="text1"/>
                <w14:textFill>
                  <w14:solidFill>
                    <w14:schemeClr w14:val="tx1"/>
                  </w14:solidFill>
                </w14:textFill>
              </w:rPr>
            </w:pPr>
          </w:p>
        </w:tc>
        <w:tc>
          <w:tcPr>
            <w:tcW w:w="1595" w:type="dxa"/>
            <w:gridSpan w:val="4"/>
            <w:vAlign w:val="center"/>
          </w:tcPr>
          <w:p w14:paraId="2352799B">
            <w:pPr>
              <w:pStyle w:val="70"/>
              <w:rPr>
                <w:color w:val="000000" w:themeColor="text1"/>
                <w14:textFill>
                  <w14:solidFill>
                    <w14:schemeClr w14:val="tx1"/>
                  </w14:solidFill>
                </w14:textFill>
              </w:rPr>
            </w:pPr>
            <w:r>
              <w:rPr>
                <w:color w:val="000000" w:themeColor="text1"/>
                <w14:textFill>
                  <w14:solidFill>
                    <w14:schemeClr w14:val="tx1"/>
                  </w14:solidFill>
                </w14:textFill>
              </w:rPr>
              <w:t>0</w:t>
            </w:r>
          </w:p>
        </w:tc>
        <w:tc>
          <w:tcPr>
            <w:tcW w:w="963" w:type="dxa"/>
            <w:gridSpan w:val="3"/>
            <w:vAlign w:val="center"/>
          </w:tcPr>
          <w:p w14:paraId="494A5A07">
            <w:pPr>
              <w:pStyle w:val="70"/>
              <w:rPr>
                <w:color w:val="000000" w:themeColor="text1"/>
                <w14:textFill>
                  <w14:solidFill>
                    <w14:schemeClr w14:val="tx1"/>
                  </w14:solidFill>
                </w14:textFill>
              </w:rPr>
            </w:pPr>
            <w:r>
              <w:rPr>
                <w:color w:val="000000" w:themeColor="text1"/>
                <w14:textFill>
                  <w14:solidFill>
                    <w14:schemeClr w14:val="tx1"/>
                  </w14:solidFill>
                </w14:textFill>
              </w:rPr>
              <w:t>0</w:t>
            </w:r>
          </w:p>
        </w:tc>
        <w:tc>
          <w:tcPr>
            <w:tcW w:w="992" w:type="dxa"/>
            <w:gridSpan w:val="2"/>
            <w:vAlign w:val="center"/>
          </w:tcPr>
          <w:p w14:paraId="5D8D4B19">
            <w:pPr>
              <w:pStyle w:val="70"/>
              <w:rPr>
                <w:color w:val="000000" w:themeColor="text1"/>
                <w14:textFill>
                  <w14:solidFill>
                    <w14:schemeClr w14:val="tx1"/>
                  </w14:solidFill>
                </w14:textFill>
              </w:rPr>
            </w:pPr>
            <w:r>
              <w:rPr>
                <w:color w:val="000000" w:themeColor="text1"/>
                <w14:textFill>
                  <w14:solidFill>
                    <w14:schemeClr w14:val="tx1"/>
                  </w14:solidFill>
                </w14:textFill>
              </w:rPr>
              <w:t>0</w:t>
            </w:r>
          </w:p>
        </w:tc>
        <w:tc>
          <w:tcPr>
            <w:tcW w:w="895" w:type="dxa"/>
            <w:vMerge w:val="continue"/>
            <w:vAlign w:val="center"/>
          </w:tcPr>
          <w:p w14:paraId="645C7F31">
            <w:pPr>
              <w:pStyle w:val="70"/>
              <w:rPr>
                <w:color w:val="000000" w:themeColor="text1"/>
                <w14:textFill>
                  <w14:solidFill>
                    <w14:schemeClr w14:val="tx1"/>
                  </w14:solidFill>
                </w14:textFill>
              </w:rPr>
            </w:pPr>
          </w:p>
        </w:tc>
      </w:tr>
      <w:tr w14:paraId="66CD6415">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gridAfter w:val="1"/>
          <w:wAfter w:w="10" w:type="dxa"/>
          <w:trHeight w:val="20" w:hRule="atLeast"/>
          <w:jc w:val="center"/>
        </w:trPr>
        <w:tc>
          <w:tcPr>
            <w:tcW w:w="693" w:type="dxa"/>
            <w:gridSpan w:val="2"/>
            <w:vMerge w:val="continue"/>
            <w:vAlign w:val="center"/>
          </w:tcPr>
          <w:p w14:paraId="3F5ACFE4">
            <w:pPr>
              <w:pStyle w:val="70"/>
              <w:rPr>
                <w:color w:val="000000" w:themeColor="text1"/>
                <w14:textFill>
                  <w14:solidFill>
                    <w14:schemeClr w14:val="tx1"/>
                  </w14:solidFill>
                </w14:textFill>
              </w:rPr>
            </w:pPr>
          </w:p>
        </w:tc>
        <w:tc>
          <w:tcPr>
            <w:tcW w:w="2381" w:type="dxa"/>
            <w:gridSpan w:val="4"/>
            <w:vMerge w:val="continue"/>
            <w:vAlign w:val="center"/>
          </w:tcPr>
          <w:p w14:paraId="51CFBAF2">
            <w:pPr>
              <w:pStyle w:val="70"/>
              <w:rPr>
                <w:color w:val="000000" w:themeColor="text1"/>
                <w:lang w:eastAsia="en-US"/>
                <w14:textFill>
                  <w14:solidFill>
                    <w14:schemeClr w14:val="tx1"/>
                  </w14:solidFill>
                </w14:textFill>
              </w:rPr>
            </w:pPr>
          </w:p>
        </w:tc>
        <w:tc>
          <w:tcPr>
            <w:tcW w:w="454" w:type="dxa"/>
            <w:gridSpan w:val="2"/>
            <w:vAlign w:val="center"/>
          </w:tcPr>
          <w:p w14:paraId="13610BC0">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总氮</w:t>
            </w:r>
          </w:p>
        </w:tc>
        <w:tc>
          <w:tcPr>
            <w:tcW w:w="993" w:type="dxa"/>
            <w:gridSpan w:val="2"/>
            <w:vMerge w:val="continue"/>
            <w:vAlign w:val="center"/>
          </w:tcPr>
          <w:p w14:paraId="5C45AF1A">
            <w:pPr>
              <w:pStyle w:val="70"/>
              <w:rPr>
                <w:color w:val="000000" w:themeColor="text1"/>
                <w14:textFill>
                  <w14:solidFill>
                    <w14:schemeClr w14:val="tx1"/>
                  </w14:solidFill>
                </w14:textFill>
              </w:rPr>
            </w:pPr>
          </w:p>
        </w:tc>
        <w:tc>
          <w:tcPr>
            <w:tcW w:w="856" w:type="dxa"/>
            <w:gridSpan w:val="3"/>
            <w:vMerge w:val="continue"/>
            <w:vAlign w:val="center"/>
          </w:tcPr>
          <w:p w14:paraId="5E3F93BE">
            <w:pPr>
              <w:pStyle w:val="70"/>
              <w:rPr>
                <w:color w:val="000000" w:themeColor="text1"/>
                <w14:textFill>
                  <w14:solidFill>
                    <w14:schemeClr w14:val="tx1"/>
                  </w14:solidFill>
                </w14:textFill>
              </w:rPr>
            </w:pPr>
          </w:p>
        </w:tc>
        <w:tc>
          <w:tcPr>
            <w:tcW w:w="1326" w:type="dxa"/>
            <w:gridSpan w:val="2"/>
            <w:vAlign w:val="center"/>
          </w:tcPr>
          <w:p w14:paraId="51828482">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45</w:t>
            </w:r>
          </w:p>
        </w:tc>
        <w:tc>
          <w:tcPr>
            <w:tcW w:w="1078" w:type="dxa"/>
            <w:gridSpan w:val="2"/>
            <w:vAlign w:val="center"/>
          </w:tcPr>
          <w:p w14:paraId="086AC484">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0.071</w:t>
            </w:r>
          </w:p>
        </w:tc>
        <w:tc>
          <w:tcPr>
            <w:tcW w:w="1276" w:type="dxa"/>
            <w:vMerge w:val="continue"/>
            <w:vAlign w:val="center"/>
          </w:tcPr>
          <w:p w14:paraId="1E05BF22">
            <w:pPr>
              <w:pStyle w:val="70"/>
              <w:rPr>
                <w:color w:val="000000" w:themeColor="text1"/>
                <w14:textFill>
                  <w14:solidFill>
                    <w14:schemeClr w14:val="tx1"/>
                  </w14:solidFill>
                </w14:textFill>
              </w:rPr>
            </w:pPr>
          </w:p>
        </w:tc>
        <w:tc>
          <w:tcPr>
            <w:tcW w:w="708" w:type="dxa"/>
            <w:vMerge w:val="continue"/>
            <w:vAlign w:val="center"/>
          </w:tcPr>
          <w:p w14:paraId="133A2706">
            <w:pPr>
              <w:pStyle w:val="70"/>
              <w:rPr>
                <w:color w:val="000000" w:themeColor="text1"/>
                <w14:textFill>
                  <w14:solidFill>
                    <w14:schemeClr w14:val="tx1"/>
                  </w14:solidFill>
                </w14:textFill>
              </w:rPr>
            </w:pPr>
          </w:p>
        </w:tc>
        <w:tc>
          <w:tcPr>
            <w:tcW w:w="1595" w:type="dxa"/>
            <w:gridSpan w:val="4"/>
            <w:vAlign w:val="center"/>
          </w:tcPr>
          <w:p w14:paraId="64BB60B7">
            <w:pPr>
              <w:pStyle w:val="70"/>
              <w:rPr>
                <w:color w:val="000000" w:themeColor="text1"/>
                <w14:textFill>
                  <w14:solidFill>
                    <w14:schemeClr w14:val="tx1"/>
                  </w14:solidFill>
                </w14:textFill>
              </w:rPr>
            </w:pPr>
            <w:r>
              <w:rPr>
                <w:color w:val="000000" w:themeColor="text1"/>
                <w14:textFill>
                  <w14:solidFill>
                    <w14:schemeClr w14:val="tx1"/>
                  </w14:solidFill>
                </w14:textFill>
              </w:rPr>
              <w:t>0</w:t>
            </w:r>
          </w:p>
        </w:tc>
        <w:tc>
          <w:tcPr>
            <w:tcW w:w="963" w:type="dxa"/>
            <w:gridSpan w:val="3"/>
            <w:vAlign w:val="center"/>
          </w:tcPr>
          <w:p w14:paraId="72F92861">
            <w:pPr>
              <w:pStyle w:val="70"/>
              <w:rPr>
                <w:color w:val="000000" w:themeColor="text1"/>
                <w14:textFill>
                  <w14:solidFill>
                    <w14:schemeClr w14:val="tx1"/>
                  </w14:solidFill>
                </w14:textFill>
              </w:rPr>
            </w:pPr>
            <w:r>
              <w:rPr>
                <w:color w:val="000000" w:themeColor="text1"/>
                <w14:textFill>
                  <w14:solidFill>
                    <w14:schemeClr w14:val="tx1"/>
                  </w14:solidFill>
                </w14:textFill>
              </w:rPr>
              <w:t>0</w:t>
            </w:r>
          </w:p>
        </w:tc>
        <w:tc>
          <w:tcPr>
            <w:tcW w:w="992" w:type="dxa"/>
            <w:gridSpan w:val="2"/>
            <w:vAlign w:val="center"/>
          </w:tcPr>
          <w:p w14:paraId="0BCC2FD1">
            <w:pPr>
              <w:pStyle w:val="70"/>
              <w:rPr>
                <w:color w:val="000000" w:themeColor="text1"/>
                <w14:textFill>
                  <w14:solidFill>
                    <w14:schemeClr w14:val="tx1"/>
                  </w14:solidFill>
                </w14:textFill>
              </w:rPr>
            </w:pPr>
            <w:r>
              <w:rPr>
                <w:color w:val="000000" w:themeColor="text1"/>
                <w14:textFill>
                  <w14:solidFill>
                    <w14:schemeClr w14:val="tx1"/>
                  </w14:solidFill>
                </w14:textFill>
              </w:rPr>
              <w:t>0</w:t>
            </w:r>
          </w:p>
        </w:tc>
        <w:tc>
          <w:tcPr>
            <w:tcW w:w="895" w:type="dxa"/>
            <w:vMerge w:val="continue"/>
            <w:vAlign w:val="center"/>
          </w:tcPr>
          <w:p w14:paraId="4258FDB4">
            <w:pPr>
              <w:pStyle w:val="70"/>
              <w:rPr>
                <w:color w:val="000000" w:themeColor="text1"/>
                <w14:textFill>
                  <w14:solidFill>
                    <w14:schemeClr w14:val="tx1"/>
                  </w14:solidFill>
                </w14:textFill>
              </w:rPr>
            </w:pPr>
          </w:p>
        </w:tc>
      </w:tr>
      <w:tr w14:paraId="509E4C44">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gridAfter w:val="1"/>
          <w:wAfter w:w="10" w:type="dxa"/>
          <w:trHeight w:val="20" w:hRule="atLeast"/>
          <w:jc w:val="center"/>
        </w:trPr>
        <w:tc>
          <w:tcPr>
            <w:tcW w:w="693" w:type="dxa"/>
            <w:gridSpan w:val="2"/>
            <w:vMerge w:val="continue"/>
            <w:vAlign w:val="center"/>
          </w:tcPr>
          <w:p w14:paraId="42B5F1FB">
            <w:pPr>
              <w:pStyle w:val="70"/>
              <w:rPr>
                <w:color w:val="000000" w:themeColor="text1"/>
                <w14:textFill>
                  <w14:solidFill>
                    <w14:schemeClr w14:val="tx1"/>
                  </w14:solidFill>
                </w14:textFill>
              </w:rPr>
            </w:pPr>
          </w:p>
        </w:tc>
        <w:tc>
          <w:tcPr>
            <w:tcW w:w="2381" w:type="dxa"/>
            <w:gridSpan w:val="4"/>
            <w:vMerge w:val="continue"/>
            <w:vAlign w:val="center"/>
          </w:tcPr>
          <w:p w14:paraId="2F6EF2B3">
            <w:pPr>
              <w:pStyle w:val="70"/>
              <w:rPr>
                <w:color w:val="000000" w:themeColor="text1"/>
                <w:lang w:eastAsia="en-US"/>
                <w14:textFill>
                  <w14:solidFill>
                    <w14:schemeClr w14:val="tx1"/>
                  </w14:solidFill>
                </w14:textFill>
              </w:rPr>
            </w:pPr>
          </w:p>
        </w:tc>
        <w:tc>
          <w:tcPr>
            <w:tcW w:w="454" w:type="dxa"/>
            <w:gridSpan w:val="2"/>
            <w:vAlign w:val="center"/>
          </w:tcPr>
          <w:p w14:paraId="2CFF8B10">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总磷</w:t>
            </w:r>
          </w:p>
        </w:tc>
        <w:tc>
          <w:tcPr>
            <w:tcW w:w="993" w:type="dxa"/>
            <w:gridSpan w:val="2"/>
            <w:vMerge w:val="continue"/>
            <w:vAlign w:val="center"/>
          </w:tcPr>
          <w:p w14:paraId="603D482B">
            <w:pPr>
              <w:pStyle w:val="70"/>
              <w:rPr>
                <w:color w:val="000000" w:themeColor="text1"/>
                <w14:textFill>
                  <w14:solidFill>
                    <w14:schemeClr w14:val="tx1"/>
                  </w14:solidFill>
                </w14:textFill>
              </w:rPr>
            </w:pPr>
          </w:p>
        </w:tc>
        <w:tc>
          <w:tcPr>
            <w:tcW w:w="856" w:type="dxa"/>
            <w:gridSpan w:val="3"/>
            <w:vMerge w:val="continue"/>
            <w:vAlign w:val="center"/>
          </w:tcPr>
          <w:p w14:paraId="2DD3D90D">
            <w:pPr>
              <w:pStyle w:val="70"/>
              <w:rPr>
                <w:color w:val="000000" w:themeColor="text1"/>
                <w14:textFill>
                  <w14:solidFill>
                    <w14:schemeClr w14:val="tx1"/>
                  </w14:solidFill>
                </w14:textFill>
              </w:rPr>
            </w:pPr>
          </w:p>
        </w:tc>
        <w:tc>
          <w:tcPr>
            <w:tcW w:w="1326" w:type="dxa"/>
            <w:gridSpan w:val="2"/>
            <w:vAlign w:val="center"/>
          </w:tcPr>
          <w:p w14:paraId="7AE5942C">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6</w:t>
            </w:r>
          </w:p>
        </w:tc>
        <w:tc>
          <w:tcPr>
            <w:tcW w:w="1078" w:type="dxa"/>
            <w:gridSpan w:val="2"/>
            <w:vAlign w:val="center"/>
          </w:tcPr>
          <w:p w14:paraId="2AD87099">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0.001</w:t>
            </w:r>
          </w:p>
        </w:tc>
        <w:tc>
          <w:tcPr>
            <w:tcW w:w="1276" w:type="dxa"/>
            <w:vMerge w:val="continue"/>
            <w:vAlign w:val="center"/>
          </w:tcPr>
          <w:p w14:paraId="0EF32CCB">
            <w:pPr>
              <w:pStyle w:val="70"/>
              <w:rPr>
                <w:color w:val="000000" w:themeColor="text1"/>
                <w14:textFill>
                  <w14:solidFill>
                    <w14:schemeClr w14:val="tx1"/>
                  </w14:solidFill>
                </w14:textFill>
              </w:rPr>
            </w:pPr>
          </w:p>
        </w:tc>
        <w:tc>
          <w:tcPr>
            <w:tcW w:w="708" w:type="dxa"/>
            <w:vMerge w:val="continue"/>
            <w:vAlign w:val="center"/>
          </w:tcPr>
          <w:p w14:paraId="7BCAB718">
            <w:pPr>
              <w:pStyle w:val="70"/>
              <w:rPr>
                <w:color w:val="000000" w:themeColor="text1"/>
                <w14:textFill>
                  <w14:solidFill>
                    <w14:schemeClr w14:val="tx1"/>
                  </w14:solidFill>
                </w14:textFill>
              </w:rPr>
            </w:pPr>
          </w:p>
        </w:tc>
        <w:tc>
          <w:tcPr>
            <w:tcW w:w="1595" w:type="dxa"/>
            <w:gridSpan w:val="4"/>
            <w:vAlign w:val="center"/>
          </w:tcPr>
          <w:p w14:paraId="53BFA746">
            <w:pPr>
              <w:pStyle w:val="70"/>
              <w:rPr>
                <w:color w:val="000000" w:themeColor="text1"/>
                <w14:textFill>
                  <w14:solidFill>
                    <w14:schemeClr w14:val="tx1"/>
                  </w14:solidFill>
                </w14:textFill>
              </w:rPr>
            </w:pPr>
            <w:r>
              <w:rPr>
                <w:color w:val="000000" w:themeColor="text1"/>
                <w14:textFill>
                  <w14:solidFill>
                    <w14:schemeClr w14:val="tx1"/>
                  </w14:solidFill>
                </w14:textFill>
              </w:rPr>
              <w:t>0</w:t>
            </w:r>
          </w:p>
        </w:tc>
        <w:tc>
          <w:tcPr>
            <w:tcW w:w="963" w:type="dxa"/>
            <w:gridSpan w:val="3"/>
            <w:vAlign w:val="center"/>
          </w:tcPr>
          <w:p w14:paraId="75545334">
            <w:pPr>
              <w:pStyle w:val="70"/>
              <w:rPr>
                <w:color w:val="000000" w:themeColor="text1"/>
                <w14:textFill>
                  <w14:solidFill>
                    <w14:schemeClr w14:val="tx1"/>
                  </w14:solidFill>
                </w14:textFill>
              </w:rPr>
            </w:pPr>
            <w:r>
              <w:rPr>
                <w:color w:val="000000" w:themeColor="text1"/>
                <w14:textFill>
                  <w14:solidFill>
                    <w14:schemeClr w14:val="tx1"/>
                  </w14:solidFill>
                </w14:textFill>
              </w:rPr>
              <w:t>0</w:t>
            </w:r>
          </w:p>
        </w:tc>
        <w:tc>
          <w:tcPr>
            <w:tcW w:w="992" w:type="dxa"/>
            <w:gridSpan w:val="2"/>
            <w:vAlign w:val="center"/>
          </w:tcPr>
          <w:p w14:paraId="0120B97D">
            <w:pPr>
              <w:pStyle w:val="70"/>
              <w:rPr>
                <w:color w:val="000000" w:themeColor="text1"/>
                <w14:textFill>
                  <w14:solidFill>
                    <w14:schemeClr w14:val="tx1"/>
                  </w14:solidFill>
                </w14:textFill>
              </w:rPr>
            </w:pPr>
            <w:r>
              <w:rPr>
                <w:color w:val="000000" w:themeColor="text1"/>
                <w14:textFill>
                  <w14:solidFill>
                    <w14:schemeClr w14:val="tx1"/>
                  </w14:solidFill>
                </w14:textFill>
              </w:rPr>
              <w:t>0</w:t>
            </w:r>
          </w:p>
        </w:tc>
        <w:tc>
          <w:tcPr>
            <w:tcW w:w="895" w:type="dxa"/>
            <w:vMerge w:val="continue"/>
            <w:vAlign w:val="center"/>
          </w:tcPr>
          <w:p w14:paraId="5A6B657F">
            <w:pPr>
              <w:pStyle w:val="70"/>
              <w:rPr>
                <w:color w:val="000000" w:themeColor="text1"/>
                <w14:textFill>
                  <w14:solidFill>
                    <w14:schemeClr w14:val="tx1"/>
                  </w14:solidFill>
                </w14:textFill>
              </w:rPr>
            </w:pPr>
          </w:p>
        </w:tc>
      </w:tr>
      <w:tr w14:paraId="79BC6361">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gridAfter w:val="1"/>
          <w:wAfter w:w="10" w:type="dxa"/>
          <w:trHeight w:val="20" w:hRule="atLeast"/>
          <w:jc w:val="center"/>
        </w:trPr>
        <w:tc>
          <w:tcPr>
            <w:tcW w:w="14210" w:type="dxa"/>
            <w:gridSpan w:val="29"/>
            <w:vAlign w:val="center"/>
          </w:tcPr>
          <w:p w14:paraId="6726B07B">
            <w:pPr>
              <w:pStyle w:val="70"/>
              <w:rPr>
                <w:color w:val="000000" w:themeColor="text1"/>
                <w14:textFill>
                  <w14:solidFill>
                    <w14:schemeClr w14:val="tx1"/>
                  </w14:solidFill>
                </w14:textFill>
              </w:rPr>
            </w:pPr>
            <w:r>
              <w:rPr>
                <w:color w:val="000000" w:themeColor="text1"/>
                <w14:textFill>
                  <w14:solidFill>
                    <w14:schemeClr w14:val="tx1"/>
                  </w14:solidFill>
                </w14:textFill>
              </w:rPr>
              <w:t>（3）噪声产排污环节、污染物及污染治理设施清单</w:t>
            </w:r>
          </w:p>
        </w:tc>
      </w:tr>
      <w:tr w14:paraId="65DFB678">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gridBefore w:val="1"/>
          <w:wBefore w:w="7" w:type="dxa"/>
          <w:trHeight w:val="20" w:hRule="atLeast"/>
          <w:jc w:val="center"/>
        </w:trPr>
        <w:tc>
          <w:tcPr>
            <w:tcW w:w="1715" w:type="dxa"/>
            <w:gridSpan w:val="4"/>
            <w:vMerge w:val="restart"/>
            <w:vAlign w:val="center"/>
          </w:tcPr>
          <w:p w14:paraId="4640A65F">
            <w:pPr>
              <w:pStyle w:val="70"/>
              <w:rPr>
                <w:color w:val="000000" w:themeColor="text1"/>
                <w14:textFill>
                  <w14:solidFill>
                    <w14:schemeClr w14:val="tx1"/>
                  </w14:solidFill>
                </w14:textFill>
              </w:rPr>
            </w:pPr>
            <w:r>
              <w:rPr>
                <w:color w:val="000000" w:themeColor="text1"/>
                <w14:textFill>
                  <w14:solidFill>
                    <w14:schemeClr w14:val="tx1"/>
                  </w14:solidFill>
                </w14:textFill>
              </w:rPr>
              <w:t>装置</w:t>
            </w:r>
          </w:p>
        </w:tc>
        <w:tc>
          <w:tcPr>
            <w:tcW w:w="1579" w:type="dxa"/>
            <w:gridSpan w:val="2"/>
            <w:vMerge w:val="restart"/>
            <w:vAlign w:val="center"/>
          </w:tcPr>
          <w:p w14:paraId="42110322">
            <w:pPr>
              <w:pStyle w:val="70"/>
              <w:rPr>
                <w:color w:val="000000" w:themeColor="text1"/>
                <w14:textFill>
                  <w14:solidFill>
                    <w14:schemeClr w14:val="tx1"/>
                  </w14:solidFill>
                </w14:textFill>
              </w:rPr>
            </w:pPr>
            <w:r>
              <w:rPr>
                <w:color w:val="000000" w:themeColor="text1"/>
                <w14:textFill>
                  <w14:solidFill>
                    <w14:schemeClr w14:val="tx1"/>
                  </w14:solidFill>
                </w14:textFill>
              </w:rPr>
              <w:t>噪声源</w:t>
            </w:r>
          </w:p>
        </w:tc>
        <w:tc>
          <w:tcPr>
            <w:tcW w:w="835" w:type="dxa"/>
            <w:gridSpan w:val="2"/>
            <w:vMerge w:val="restart"/>
            <w:vAlign w:val="center"/>
          </w:tcPr>
          <w:p w14:paraId="123AA7A8">
            <w:pPr>
              <w:pStyle w:val="70"/>
              <w:rPr>
                <w:color w:val="000000" w:themeColor="text1"/>
                <w14:textFill>
                  <w14:solidFill>
                    <w14:schemeClr w14:val="tx1"/>
                  </w14:solidFill>
                </w14:textFill>
              </w:rPr>
            </w:pPr>
            <w:r>
              <w:rPr>
                <w:color w:val="000000" w:themeColor="text1"/>
                <w14:textFill>
                  <w14:solidFill>
                    <w14:schemeClr w14:val="tx1"/>
                  </w14:solidFill>
                </w14:textFill>
              </w:rPr>
              <w:t>数量</w:t>
            </w:r>
          </w:p>
        </w:tc>
        <w:tc>
          <w:tcPr>
            <w:tcW w:w="1084" w:type="dxa"/>
            <w:gridSpan w:val="3"/>
            <w:vMerge w:val="restart"/>
            <w:vAlign w:val="center"/>
          </w:tcPr>
          <w:p w14:paraId="580E0A4C">
            <w:pPr>
              <w:pStyle w:val="70"/>
              <w:rPr>
                <w:color w:val="000000" w:themeColor="text1"/>
                <w14:textFill>
                  <w14:solidFill>
                    <w14:schemeClr w14:val="tx1"/>
                  </w14:solidFill>
                </w14:textFill>
              </w:rPr>
            </w:pPr>
            <w:r>
              <w:rPr>
                <w:color w:val="000000" w:themeColor="text1"/>
                <w14:textFill>
                  <w14:solidFill>
                    <w14:schemeClr w14:val="tx1"/>
                  </w14:solidFill>
                </w14:textFill>
              </w:rPr>
              <w:t>声源类型</w:t>
            </w:r>
          </w:p>
        </w:tc>
        <w:tc>
          <w:tcPr>
            <w:tcW w:w="4834" w:type="dxa"/>
            <w:gridSpan w:val="8"/>
            <w:vMerge w:val="restart"/>
            <w:vAlign w:val="center"/>
          </w:tcPr>
          <w:p w14:paraId="51C7B7F6">
            <w:pPr>
              <w:pStyle w:val="70"/>
              <w:rPr>
                <w:color w:val="000000" w:themeColor="text1"/>
                <w14:textFill>
                  <w14:solidFill>
                    <w14:schemeClr w14:val="tx1"/>
                  </w14:solidFill>
                </w14:textFill>
              </w:rPr>
            </w:pPr>
            <w:r>
              <w:rPr>
                <w:color w:val="000000" w:themeColor="text1"/>
                <w14:textFill>
                  <w14:solidFill>
                    <w14:schemeClr w14:val="tx1"/>
                  </w14:solidFill>
                </w14:textFill>
              </w:rPr>
              <w:t>降噪措施</w:t>
            </w:r>
          </w:p>
        </w:tc>
        <w:tc>
          <w:tcPr>
            <w:tcW w:w="2702" w:type="dxa"/>
            <w:gridSpan w:val="7"/>
            <w:vAlign w:val="center"/>
          </w:tcPr>
          <w:p w14:paraId="0833B4B8">
            <w:pPr>
              <w:pStyle w:val="70"/>
              <w:rPr>
                <w:color w:val="000000" w:themeColor="text1"/>
                <w14:textFill>
                  <w14:solidFill>
                    <w14:schemeClr w14:val="tx1"/>
                  </w14:solidFill>
                </w14:textFill>
              </w:rPr>
            </w:pPr>
            <w:r>
              <w:rPr>
                <w:color w:val="000000" w:themeColor="text1"/>
                <w14:textFill>
                  <w14:solidFill>
                    <w14:schemeClr w14:val="tx1"/>
                  </w14:solidFill>
                </w14:textFill>
              </w:rPr>
              <w:t>噪声排放值</w:t>
            </w:r>
          </w:p>
        </w:tc>
        <w:tc>
          <w:tcPr>
            <w:tcW w:w="1464" w:type="dxa"/>
            <w:gridSpan w:val="3"/>
            <w:vMerge w:val="restart"/>
            <w:vAlign w:val="center"/>
          </w:tcPr>
          <w:p w14:paraId="34F016F7">
            <w:pPr>
              <w:pStyle w:val="70"/>
              <w:rPr>
                <w:color w:val="000000" w:themeColor="text1"/>
                <w14:textFill>
                  <w14:solidFill>
                    <w14:schemeClr w14:val="tx1"/>
                  </w14:solidFill>
                </w14:textFill>
              </w:rPr>
            </w:pPr>
            <w:r>
              <w:rPr>
                <w:color w:val="000000" w:themeColor="text1"/>
                <w14:textFill>
                  <w14:solidFill>
                    <w14:schemeClr w14:val="tx1"/>
                  </w14:solidFill>
                </w14:textFill>
              </w:rPr>
              <w:t>持续时间</w:t>
            </w:r>
          </w:p>
        </w:tc>
      </w:tr>
      <w:tr w14:paraId="31232C8A">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gridBefore w:val="1"/>
          <w:wBefore w:w="7" w:type="dxa"/>
          <w:trHeight w:val="20" w:hRule="atLeast"/>
          <w:jc w:val="center"/>
        </w:trPr>
        <w:tc>
          <w:tcPr>
            <w:tcW w:w="1715" w:type="dxa"/>
            <w:gridSpan w:val="4"/>
            <w:vMerge w:val="continue"/>
            <w:vAlign w:val="center"/>
          </w:tcPr>
          <w:p w14:paraId="389D97DB">
            <w:pPr>
              <w:pStyle w:val="70"/>
              <w:rPr>
                <w:color w:val="000000" w:themeColor="text1"/>
                <w14:textFill>
                  <w14:solidFill>
                    <w14:schemeClr w14:val="tx1"/>
                  </w14:solidFill>
                </w14:textFill>
              </w:rPr>
            </w:pPr>
          </w:p>
        </w:tc>
        <w:tc>
          <w:tcPr>
            <w:tcW w:w="1579" w:type="dxa"/>
            <w:gridSpan w:val="2"/>
            <w:vMerge w:val="continue"/>
            <w:vAlign w:val="center"/>
          </w:tcPr>
          <w:p w14:paraId="3D822741">
            <w:pPr>
              <w:pStyle w:val="70"/>
              <w:rPr>
                <w:color w:val="000000" w:themeColor="text1"/>
                <w14:textFill>
                  <w14:solidFill>
                    <w14:schemeClr w14:val="tx1"/>
                  </w14:solidFill>
                </w14:textFill>
              </w:rPr>
            </w:pPr>
          </w:p>
        </w:tc>
        <w:tc>
          <w:tcPr>
            <w:tcW w:w="835" w:type="dxa"/>
            <w:gridSpan w:val="2"/>
            <w:vMerge w:val="continue"/>
            <w:vAlign w:val="center"/>
          </w:tcPr>
          <w:p w14:paraId="4F154141">
            <w:pPr>
              <w:pStyle w:val="70"/>
              <w:rPr>
                <w:color w:val="000000" w:themeColor="text1"/>
                <w14:textFill>
                  <w14:solidFill>
                    <w14:schemeClr w14:val="tx1"/>
                  </w14:solidFill>
                </w14:textFill>
              </w:rPr>
            </w:pPr>
          </w:p>
        </w:tc>
        <w:tc>
          <w:tcPr>
            <w:tcW w:w="1084" w:type="dxa"/>
            <w:gridSpan w:val="3"/>
            <w:vMerge w:val="continue"/>
            <w:vAlign w:val="center"/>
          </w:tcPr>
          <w:p w14:paraId="71B59C88">
            <w:pPr>
              <w:pStyle w:val="70"/>
              <w:rPr>
                <w:color w:val="000000" w:themeColor="text1"/>
                <w14:textFill>
                  <w14:solidFill>
                    <w14:schemeClr w14:val="tx1"/>
                  </w14:solidFill>
                </w14:textFill>
              </w:rPr>
            </w:pPr>
          </w:p>
        </w:tc>
        <w:tc>
          <w:tcPr>
            <w:tcW w:w="4834" w:type="dxa"/>
            <w:gridSpan w:val="8"/>
            <w:vMerge w:val="continue"/>
            <w:vAlign w:val="center"/>
          </w:tcPr>
          <w:p w14:paraId="4AB3D1B5">
            <w:pPr>
              <w:pStyle w:val="70"/>
              <w:rPr>
                <w:color w:val="000000" w:themeColor="text1"/>
                <w14:textFill>
                  <w14:solidFill>
                    <w14:schemeClr w14:val="tx1"/>
                  </w14:solidFill>
                </w14:textFill>
              </w:rPr>
            </w:pPr>
          </w:p>
        </w:tc>
        <w:tc>
          <w:tcPr>
            <w:tcW w:w="1754" w:type="dxa"/>
            <w:gridSpan w:val="5"/>
            <w:vAlign w:val="center"/>
          </w:tcPr>
          <w:p w14:paraId="56C51081">
            <w:pPr>
              <w:pStyle w:val="70"/>
              <w:rPr>
                <w:color w:val="000000" w:themeColor="text1"/>
                <w14:textFill>
                  <w14:solidFill>
                    <w14:schemeClr w14:val="tx1"/>
                  </w14:solidFill>
                </w14:textFill>
              </w:rPr>
            </w:pPr>
            <w:r>
              <w:rPr>
                <w:color w:val="000000" w:themeColor="text1"/>
                <w14:textFill>
                  <w14:solidFill>
                    <w14:schemeClr w14:val="tx1"/>
                  </w14:solidFill>
                </w14:textFill>
              </w:rPr>
              <w:t>核算方法</w:t>
            </w:r>
          </w:p>
        </w:tc>
        <w:tc>
          <w:tcPr>
            <w:tcW w:w="948" w:type="dxa"/>
            <w:gridSpan w:val="2"/>
            <w:vAlign w:val="center"/>
          </w:tcPr>
          <w:p w14:paraId="1A319564">
            <w:pPr>
              <w:pStyle w:val="70"/>
              <w:rPr>
                <w:color w:val="000000" w:themeColor="text1"/>
                <w14:textFill>
                  <w14:solidFill>
                    <w14:schemeClr w14:val="tx1"/>
                  </w14:solidFill>
                </w14:textFill>
              </w:rPr>
            </w:pPr>
            <w:r>
              <w:rPr>
                <w:color w:val="000000" w:themeColor="text1"/>
                <w14:textFill>
                  <w14:solidFill>
                    <w14:schemeClr w14:val="tx1"/>
                  </w14:solidFill>
                </w14:textFill>
              </w:rPr>
              <w:t>噪声值</w:t>
            </w:r>
          </w:p>
        </w:tc>
        <w:tc>
          <w:tcPr>
            <w:tcW w:w="1464" w:type="dxa"/>
            <w:gridSpan w:val="3"/>
            <w:vMerge w:val="continue"/>
            <w:vAlign w:val="center"/>
          </w:tcPr>
          <w:p w14:paraId="2926F902">
            <w:pPr>
              <w:pStyle w:val="70"/>
              <w:rPr>
                <w:color w:val="000000" w:themeColor="text1"/>
                <w14:textFill>
                  <w14:solidFill>
                    <w14:schemeClr w14:val="tx1"/>
                  </w14:solidFill>
                </w14:textFill>
              </w:rPr>
            </w:pPr>
          </w:p>
        </w:tc>
      </w:tr>
      <w:tr w14:paraId="14561B0F">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gridBefore w:val="1"/>
          <w:wBefore w:w="7" w:type="dxa"/>
          <w:trHeight w:val="20" w:hRule="atLeast"/>
          <w:jc w:val="center"/>
        </w:trPr>
        <w:tc>
          <w:tcPr>
            <w:tcW w:w="1715" w:type="dxa"/>
            <w:gridSpan w:val="4"/>
            <w:vAlign w:val="center"/>
          </w:tcPr>
          <w:p w14:paraId="7AC0BB98">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装卸臂液压站</w:t>
            </w:r>
          </w:p>
        </w:tc>
        <w:tc>
          <w:tcPr>
            <w:tcW w:w="1579" w:type="dxa"/>
            <w:gridSpan w:val="2"/>
            <w:vAlign w:val="center"/>
          </w:tcPr>
          <w:p w14:paraId="68145084">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装卸臂</w:t>
            </w:r>
          </w:p>
        </w:tc>
        <w:tc>
          <w:tcPr>
            <w:tcW w:w="835" w:type="dxa"/>
            <w:gridSpan w:val="2"/>
            <w:vAlign w:val="center"/>
          </w:tcPr>
          <w:p w14:paraId="52EB8BC6">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1084" w:type="dxa"/>
            <w:gridSpan w:val="3"/>
            <w:vAlign w:val="center"/>
          </w:tcPr>
          <w:p w14:paraId="3FAEC2F9">
            <w:pPr>
              <w:pStyle w:val="70"/>
              <w:rPr>
                <w:color w:val="000000" w:themeColor="text1"/>
                <w14:textFill>
                  <w14:solidFill>
                    <w14:schemeClr w14:val="tx1"/>
                  </w14:solidFill>
                </w14:textFill>
              </w:rPr>
            </w:pPr>
            <w:r>
              <w:rPr>
                <w:color w:val="000000" w:themeColor="text1"/>
                <w14:textFill>
                  <w14:solidFill>
                    <w14:schemeClr w14:val="tx1"/>
                  </w14:solidFill>
                </w14:textFill>
              </w:rPr>
              <w:t>频发</w:t>
            </w:r>
          </w:p>
        </w:tc>
        <w:tc>
          <w:tcPr>
            <w:tcW w:w="4834" w:type="dxa"/>
            <w:gridSpan w:val="8"/>
            <w:vAlign w:val="center"/>
          </w:tcPr>
          <w:p w14:paraId="360FBDCA">
            <w:pPr>
              <w:pStyle w:val="70"/>
              <w:rPr>
                <w:color w:val="000000" w:themeColor="text1"/>
                <w14:textFill>
                  <w14:solidFill>
                    <w14:schemeClr w14:val="tx1"/>
                  </w14:solidFill>
                </w14:textFill>
              </w:rPr>
            </w:pPr>
            <w:r>
              <w:rPr>
                <w:color w:val="000000" w:themeColor="text1"/>
                <w14:textFill>
                  <w14:solidFill>
                    <w14:schemeClr w14:val="tx1"/>
                  </w14:solidFill>
                </w14:textFill>
              </w:rPr>
              <w:t>消声、减振</w:t>
            </w:r>
          </w:p>
        </w:tc>
        <w:tc>
          <w:tcPr>
            <w:tcW w:w="1754" w:type="dxa"/>
            <w:gridSpan w:val="5"/>
            <w:vMerge w:val="restart"/>
            <w:vAlign w:val="center"/>
          </w:tcPr>
          <w:p w14:paraId="5B2F2E86">
            <w:pPr>
              <w:pStyle w:val="70"/>
              <w:rPr>
                <w:color w:val="000000" w:themeColor="text1"/>
                <w14:textFill>
                  <w14:solidFill>
                    <w14:schemeClr w14:val="tx1"/>
                  </w14:solidFill>
                </w14:textFill>
              </w:rPr>
            </w:pPr>
            <w:r>
              <w:rPr>
                <w:color w:val="000000" w:themeColor="text1"/>
                <w14:textFill>
                  <w14:solidFill>
                    <w14:schemeClr w14:val="tx1"/>
                  </w14:solidFill>
                </w14:textFill>
              </w:rPr>
              <w:t>类比法</w:t>
            </w:r>
          </w:p>
        </w:tc>
        <w:tc>
          <w:tcPr>
            <w:tcW w:w="948" w:type="dxa"/>
            <w:gridSpan w:val="2"/>
            <w:vAlign w:val="center"/>
          </w:tcPr>
          <w:p w14:paraId="1B386A75">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65</w:t>
            </w:r>
          </w:p>
        </w:tc>
        <w:tc>
          <w:tcPr>
            <w:tcW w:w="1464" w:type="dxa"/>
            <w:gridSpan w:val="3"/>
            <w:vAlign w:val="center"/>
          </w:tcPr>
          <w:p w14:paraId="6C4DD82F">
            <w:pPr>
              <w:pStyle w:val="70"/>
              <w:rPr>
                <w:color w:val="000000" w:themeColor="text1"/>
                <w14:textFill>
                  <w14:solidFill>
                    <w14:schemeClr w14:val="tx1"/>
                  </w14:solidFill>
                </w14:textFill>
              </w:rPr>
            </w:pPr>
            <w:r>
              <w:rPr>
                <w:color w:val="000000" w:themeColor="text1"/>
                <w14:textFill>
                  <w14:solidFill>
                    <w14:schemeClr w14:val="tx1"/>
                  </w14:solidFill>
                </w14:textFill>
              </w:rPr>
              <w:t>频发</w:t>
            </w:r>
          </w:p>
        </w:tc>
      </w:tr>
      <w:tr w14:paraId="6BB49FD7">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gridBefore w:val="1"/>
          <w:wBefore w:w="7" w:type="dxa"/>
          <w:trHeight w:val="20" w:hRule="atLeast"/>
          <w:jc w:val="center"/>
        </w:trPr>
        <w:tc>
          <w:tcPr>
            <w:tcW w:w="1715" w:type="dxa"/>
            <w:gridSpan w:val="4"/>
            <w:vAlign w:val="center"/>
          </w:tcPr>
          <w:p w14:paraId="107A4FC7">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软管</w:t>
            </w:r>
          </w:p>
        </w:tc>
        <w:tc>
          <w:tcPr>
            <w:tcW w:w="1579" w:type="dxa"/>
            <w:gridSpan w:val="2"/>
            <w:vAlign w:val="center"/>
          </w:tcPr>
          <w:p w14:paraId="100C2811">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软管</w:t>
            </w:r>
          </w:p>
        </w:tc>
        <w:tc>
          <w:tcPr>
            <w:tcW w:w="835" w:type="dxa"/>
            <w:gridSpan w:val="2"/>
            <w:vAlign w:val="center"/>
          </w:tcPr>
          <w:p w14:paraId="02862A83">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3</w:t>
            </w:r>
          </w:p>
        </w:tc>
        <w:tc>
          <w:tcPr>
            <w:tcW w:w="1084" w:type="dxa"/>
            <w:gridSpan w:val="3"/>
            <w:vAlign w:val="center"/>
          </w:tcPr>
          <w:p w14:paraId="5A639C67">
            <w:pPr>
              <w:pStyle w:val="70"/>
              <w:rPr>
                <w:color w:val="000000" w:themeColor="text1"/>
                <w14:textFill>
                  <w14:solidFill>
                    <w14:schemeClr w14:val="tx1"/>
                  </w14:solidFill>
                </w14:textFill>
              </w:rPr>
            </w:pPr>
            <w:r>
              <w:rPr>
                <w:color w:val="000000" w:themeColor="text1"/>
                <w14:textFill>
                  <w14:solidFill>
                    <w14:schemeClr w14:val="tx1"/>
                  </w14:solidFill>
                </w14:textFill>
              </w:rPr>
              <w:t>频发</w:t>
            </w:r>
          </w:p>
        </w:tc>
        <w:tc>
          <w:tcPr>
            <w:tcW w:w="4834" w:type="dxa"/>
            <w:gridSpan w:val="8"/>
            <w:vAlign w:val="center"/>
          </w:tcPr>
          <w:p w14:paraId="22044A07">
            <w:pPr>
              <w:pStyle w:val="70"/>
              <w:rPr>
                <w:color w:val="000000" w:themeColor="text1"/>
                <w14:textFill>
                  <w14:solidFill>
                    <w14:schemeClr w14:val="tx1"/>
                  </w14:solidFill>
                </w14:textFill>
              </w:rPr>
            </w:pPr>
            <w:r>
              <w:rPr>
                <w:color w:val="000000" w:themeColor="text1"/>
                <w14:textFill>
                  <w14:solidFill>
                    <w14:schemeClr w14:val="tx1"/>
                  </w14:solidFill>
                </w14:textFill>
              </w:rPr>
              <w:t>消声、减震</w:t>
            </w:r>
          </w:p>
        </w:tc>
        <w:tc>
          <w:tcPr>
            <w:tcW w:w="1754" w:type="dxa"/>
            <w:gridSpan w:val="5"/>
            <w:vMerge w:val="continue"/>
            <w:vAlign w:val="center"/>
          </w:tcPr>
          <w:p w14:paraId="3CD631D7">
            <w:pPr>
              <w:pStyle w:val="70"/>
              <w:rPr>
                <w:color w:val="000000" w:themeColor="text1"/>
                <w14:textFill>
                  <w14:solidFill>
                    <w14:schemeClr w14:val="tx1"/>
                  </w14:solidFill>
                </w14:textFill>
              </w:rPr>
            </w:pPr>
          </w:p>
        </w:tc>
        <w:tc>
          <w:tcPr>
            <w:tcW w:w="948" w:type="dxa"/>
            <w:gridSpan w:val="2"/>
            <w:vAlign w:val="center"/>
          </w:tcPr>
          <w:p w14:paraId="1484A04D">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55</w:t>
            </w:r>
          </w:p>
        </w:tc>
        <w:tc>
          <w:tcPr>
            <w:tcW w:w="1464" w:type="dxa"/>
            <w:gridSpan w:val="3"/>
            <w:vAlign w:val="center"/>
          </w:tcPr>
          <w:p w14:paraId="7914E534">
            <w:pPr>
              <w:pStyle w:val="70"/>
              <w:rPr>
                <w:color w:val="000000" w:themeColor="text1"/>
                <w14:textFill>
                  <w14:solidFill>
                    <w14:schemeClr w14:val="tx1"/>
                  </w14:solidFill>
                </w14:textFill>
              </w:rPr>
            </w:pPr>
            <w:r>
              <w:rPr>
                <w:color w:val="000000" w:themeColor="text1"/>
                <w14:textFill>
                  <w14:solidFill>
                    <w14:schemeClr w14:val="tx1"/>
                  </w14:solidFill>
                </w14:textFill>
              </w:rPr>
              <w:t>频发</w:t>
            </w:r>
          </w:p>
        </w:tc>
      </w:tr>
      <w:tr w14:paraId="5CB49A0E">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gridBefore w:val="1"/>
          <w:wBefore w:w="7" w:type="dxa"/>
          <w:trHeight w:val="20" w:hRule="atLeast"/>
          <w:jc w:val="center"/>
        </w:trPr>
        <w:tc>
          <w:tcPr>
            <w:tcW w:w="14213" w:type="dxa"/>
            <w:gridSpan w:val="29"/>
            <w:vAlign w:val="center"/>
          </w:tcPr>
          <w:p w14:paraId="1665EDB3">
            <w:pPr>
              <w:pStyle w:val="70"/>
              <w:rPr>
                <w:color w:val="000000" w:themeColor="text1"/>
                <w14:textFill>
                  <w14:solidFill>
                    <w14:schemeClr w14:val="tx1"/>
                  </w14:solidFill>
                </w14:textFill>
              </w:rPr>
            </w:pPr>
            <w:r>
              <w:rPr>
                <w:color w:val="000000" w:themeColor="text1"/>
                <w14:textFill>
                  <w14:solidFill>
                    <w14:schemeClr w14:val="tx1"/>
                  </w14:solidFill>
                </w14:textFill>
              </w:rPr>
              <w:t>（4）固体废物产排污环节、污染物及污染治理设施清单</w:t>
            </w:r>
          </w:p>
        </w:tc>
      </w:tr>
      <w:tr w14:paraId="6697C79F">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gridBefore w:val="1"/>
          <w:wBefore w:w="7" w:type="dxa"/>
          <w:trHeight w:val="20" w:hRule="atLeast"/>
          <w:jc w:val="center"/>
        </w:trPr>
        <w:tc>
          <w:tcPr>
            <w:tcW w:w="1136" w:type="dxa"/>
            <w:gridSpan w:val="2"/>
            <w:vMerge w:val="restart"/>
            <w:vAlign w:val="center"/>
          </w:tcPr>
          <w:p w14:paraId="0BE1D127">
            <w:pPr>
              <w:pStyle w:val="70"/>
              <w:rPr>
                <w:color w:val="000000" w:themeColor="text1"/>
                <w14:textFill>
                  <w14:solidFill>
                    <w14:schemeClr w14:val="tx1"/>
                  </w14:solidFill>
                </w14:textFill>
              </w:rPr>
            </w:pPr>
            <w:r>
              <w:rPr>
                <w:color w:val="000000" w:themeColor="text1"/>
                <w14:textFill>
                  <w14:solidFill>
                    <w14:schemeClr w14:val="tx1"/>
                  </w14:solidFill>
                </w14:textFill>
              </w:rPr>
              <w:t>装置</w:t>
            </w:r>
          </w:p>
        </w:tc>
        <w:tc>
          <w:tcPr>
            <w:tcW w:w="1931" w:type="dxa"/>
            <w:gridSpan w:val="3"/>
            <w:vMerge w:val="restart"/>
            <w:vAlign w:val="center"/>
          </w:tcPr>
          <w:p w14:paraId="21D2B6A5">
            <w:pPr>
              <w:pStyle w:val="70"/>
              <w:rPr>
                <w:color w:val="000000" w:themeColor="text1"/>
                <w14:textFill>
                  <w14:solidFill>
                    <w14:schemeClr w14:val="tx1"/>
                  </w14:solidFill>
                </w14:textFill>
              </w:rPr>
            </w:pPr>
            <w:r>
              <w:rPr>
                <w:color w:val="000000" w:themeColor="text1"/>
                <w14:textFill>
                  <w14:solidFill>
                    <w14:schemeClr w14:val="tx1"/>
                  </w14:solidFill>
                </w14:textFill>
              </w:rPr>
              <w:t>固体废物名称</w:t>
            </w:r>
          </w:p>
        </w:tc>
        <w:tc>
          <w:tcPr>
            <w:tcW w:w="1612" w:type="dxa"/>
            <w:gridSpan w:val="5"/>
            <w:vMerge w:val="restart"/>
            <w:vAlign w:val="center"/>
          </w:tcPr>
          <w:p w14:paraId="6A5546F5">
            <w:pPr>
              <w:pStyle w:val="70"/>
              <w:rPr>
                <w:color w:val="000000" w:themeColor="text1"/>
                <w14:textFill>
                  <w14:solidFill>
                    <w14:schemeClr w14:val="tx1"/>
                  </w14:solidFill>
                </w14:textFill>
              </w:rPr>
            </w:pPr>
            <w:r>
              <w:rPr>
                <w:color w:val="000000" w:themeColor="text1"/>
                <w14:textFill>
                  <w14:solidFill>
                    <w14:schemeClr w14:val="tx1"/>
                  </w14:solidFill>
                </w14:textFill>
              </w:rPr>
              <w:t>固废属性</w:t>
            </w:r>
          </w:p>
        </w:tc>
        <w:tc>
          <w:tcPr>
            <w:tcW w:w="2693" w:type="dxa"/>
            <w:gridSpan w:val="5"/>
            <w:vAlign w:val="center"/>
          </w:tcPr>
          <w:p w14:paraId="6EB7BE99">
            <w:pPr>
              <w:pStyle w:val="70"/>
              <w:rPr>
                <w:color w:val="000000" w:themeColor="text1"/>
                <w14:textFill>
                  <w14:solidFill>
                    <w14:schemeClr w14:val="tx1"/>
                  </w14:solidFill>
                </w14:textFill>
              </w:rPr>
            </w:pPr>
            <w:r>
              <w:rPr>
                <w:color w:val="000000" w:themeColor="text1"/>
                <w14:textFill>
                  <w14:solidFill>
                    <w14:schemeClr w14:val="tx1"/>
                  </w14:solidFill>
                </w14:textFill>
              </w:rPr>
              <w:t>产生情况</w:t>
            </w:r>
          </w:p>
        </w:tc>
        <w:tc>
          <w:tcPr>
            <w:tcW w:w="3860" w:type="dxa"/>
            <w:gridSpan w:val="6"/>
            <w:vAlign w:val="center"/>
          </w:tcPr>
          <w:p w14:paraId="2ECE2DD5">
            <w:pPr>
              <w:pStyle w:val="70"/>
              <w:rPr>
                <w:color w:val="000000" w:themeColor="text1"/>
                <w14:textFill>
                  <w14:solidFill>
                    <w14:schemeClr w14:val="tx1"/>
                  </w14:solidFill>
                </w14:textFill>
              </w:rPr>
            </w:pPr>
            <w:r>
              <w:rPr>
                <w:color w:val="000000" w:themeColor="text1"/>
                <w14:textFill>
                  <w14:solidFill>
                    <w14:schemeClr w14:val="tx1"/>
                  </w14:solidFill>
                </w14:textFill>
              </w:rPr>
              <w:t>处置措施</w:t>
            </w:r>
          </w:p>
        </w:tc>
        <w:tc>
          <w:tcPr>
            <w:tcW w:w="2981" w:type="dxa"/>
            <w:gridSpan w:val="8"/>
            <w:vMerge w:val="restart"/>
            <w:vAlign w:val="center"/>
          </w:tcPr>
          <w:p w14:paraId="0DB1BEB4">
            <w:pPr>
              <w:pStyle w:val="70"/>
              <w:rPr>
                <w:color w:val="000000" w:themeColor="text1"/>
                <w14:textFill>
                  <w14:solidFill>
                    <w14:schemeClr w14:val="tx1"/>
                  </w14:solidFill>
                </w14:textFill>
              </w:rPr>
            </w:pPr>
            <w:r>
              <w:rPr>
                <w:color w:val="000000" w:themeColor="text1"/>
                <w14:textFill>
                  <w14:solidFill>
                    <w14:schemeClr w14:val="tx1"/>
                  </w14:solidFill>
                </w14:textFill>
              </w:rPr>
              <w:t>最终去向</w:t>
            </w:r>
          </w:p>
        </w:tc>
      </w:tr>
      <w:tr w14:paraId="46D36D63">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gridBefore w:val="1"/>
          <w:wBefore w:w="7" w:type="dxa"/>
          <w:trHeight w:val="20" w:hRule="atLeast"/>
          <w:jc w:val="center"/>
        </w:trPr>
        <w:tc>
          <w:tcPr>
            <w:tcW w:w="1136" w:type="dxa"/>
            <w:gridSpan w:val="2"/>
            <w:vMerge w:val="continue"/>
            <w:vAlign w:val="center"/>
          </w:tcPr>
          <w:p w14:paraId="3FF4B27F">
            <w:pPr>
              <w:pStyle w:val="70"/>
              <w:rPr>
                <w:color w:val="000000" w:themeColor="text1"/>
                <w14:textFill>
                  <w14:solidFill>
                    <w14:schemeClr w14:val="tx1"/>
                  </w14:solidFill>
                </w14:textFill>
              </w:rPr>
            </w:pPr>
          </w:p>
        </w:tc>
        <w:tc>
          <w:tcPr>
            <w:tcW w:w="1931" w:type="dxa"/>
            <w:gridSpan w:val="3"/>
            <w:vMerge w:val="continue"/>
            <w:vAlign w:val="center"/>
          </w:tcPr>
          <w:p w14:paraId="05AAA1A3">
            <w:pPr>
              <w:pStyle w:val="70"/>
              <w:rPr>
                <w:color w:val="000000" w:themeColor="text1"/>
                <w14:textFill>
                  <w14:solidFill>
                    <w14:schemeClr w14:val="tx1"/>
                  </w14:solidFill>
                </w14:textFill>
              </w:rPr>
            </w:pPr>
          </w:p>
        </w:tc>
        <w:tc>
          <w:tcPr>
            <w:tcW w:w="1612" w:type="dxa"/>
            <w:gridSpan w:val="5"/>
            <w:vMerge w:val="continue"/>
            <w:vAlign w:val="center"/>
          </w:tcPr>
          <w:p w14:paraId="477827CB">
            <w:pPr>
              <w:pStyle w:val="70"/>
              <w:rPr>
                <w:color w:val="000000" w:themeColor="text1"/>
                <w14:textFill>
                  <w14:solidFill>
                    <w14:schemeClr w14:val="tx1"/>
                  </w14:solidFill>
                </w14:textFill>
              </w:rPr>
            </w:pPr>
          </w:p>
        </w:tc>
        <w:tc>
          <w:tcPr>
            <w:tcW w:w="691" w:type="dxa"/>
            <w:gridSpan w:val="2"/>
            <w:vAlign w:val="center"/>
          </w:tcPr>
          <w:p w14:paraId="2A364307">
            <w:pPr>
              <w:pStyle w:val="70"/>
              <w:rPr>
                <w:color w:val="000000" w:themeColor="text1"/>
                <w14:textFill>
                  <w14:solidFill>
                    <w14:schemeClr w14:val="tx1"/>
                  </w14:solidFill>
                </w14:textFill>
              </w:rPr>
            </w:pPr>
            <w:r>
              <w:rPr>
                <w:color w:val="000000" w:themeColor="text1"/>
                <w14:textFill>
                  <w14:solidFill>
                    <w14:schemeClr w14:val="tx1"/>
                  </w14:solidFill>
                </w14:textFill>
              </w:rPr>
              <w:t>核算方法</w:t>
            </w:r>
          </w:p>
        </w:tc>
        <w:tc>
          <w:tcPr>
            <w:tcW w:w="2002" w:type="dxa"/>
            <w:gridSpan w:val="3"/>
            <w:vAlign w:val="center"/>
          </w:tcPr>
          <w:p w14:paraId="1B0F85FC">
            <w:pPr>
              <w:pStyle w:val="70"/>
              <w:rPr>
                <w:color w:val="000000" w:themeColor="text1"/>
                <w14:textFill>
                  <w14:solidFill>
                    <w14:schemeClr w14:val="tx1"/>
                  </w14:solidFill>
                </w14:textFill>
              </w:rPr>
            </w:pPr>
            <w:r>
              <w:rPr>
                <w:color w:val="000000" w:themeColor="text1"/>
                <w14:textFill>
                  <w14:solidFill>
                    <w14:schemeClr w14:val="tx1"/>
                  </w14:solidFill>
                </w14:textFill>
              </w:rPr>
              <w:t>产生量（t/a）</w:t>
            </w:r>
          </w:p>
        </w:tc>
        <w:tc>
          <w:tcPr>
            <w:tcW w:w="2675" w:type="dxa"/>
            <w:gridSpan w:val="4"/>
            <w:vAlign w:val="center"/>
          </w:tcPr>
          <w:p w14:paraId="5020D271">
            <w:pPr>
              <w:pStyle w:val="70"/>
              <w:rPr>
                <w:color w:val="000000" w:themeColor="text1"/>
                <w14:textFill>
                  <w14:solidFill>
                    <w14:schemeClr w14:val="tx1"/>
                  </w14:solidFill>
                </w14:textFill>
              </w:rPr>
            </w:pPr>
            <w:r>
              <w:rPr>
                <w:color w:val="000000" w:themeColor="text1"/>
                <w14:textFill>
                  <w14:solidFill>
                    <w14:schemeClr w14:val="tx1"/>
                  </w14:solidFill>
                </w14:textFill>
              </w:rPr>
              <w:t>工艺</w:t>
            </w:r>
          </w:p>
        </w:tc>
        <w:tc>
          <w:tcPr>
            <w:tcW w:w="1185" w:type="dxa"/>
            <w:gridSpan w:val="2"/>
            <w:vAlign w:val="center"/>
          </w:tcPr>
          <w:p w14:paraId="147518B1">
            <w:pPr>
              <w:pStyle w:val="70"/>
              <w:rPr>
                <w:color w:val="000000" w:themeColor="text1"/>
                <w14:textFill>
                  <w14:solidFill>
                    <w14:schemeClr w14:val="tx1"/>
                  </w14:solidFill>
                </w14:textFill>
              </w:rPr>
            </w:pPr>
            <w:r>
              <w:rPr>
                <w:color w:val="000000" w:themeColor="text1"/>
                <w14:textFill>
                  <w14:solidFill>
                    <w14:schemeClr w14:val="tx1"/>
                  </w14:solidFill>
                </w14:textFill>
              </w:rPr>
              <w:t>处置量（t/a）</w:t>
            </w:r>
          </w:p>
        </w:tc>
        <w:tc>
          <w:tcPr>
            <w:tcW w:w="2981" w:type="dxa"/>
            <w:gridSpan w:val="8"/>
            <w:vMerge w:val="continue"/>
            <w:vAlign w:val="center"/>
          </w:tcPr>
          <w:p w14:paraId="09AEFDB7">
            <w:pPr>
              <w:pStyle w:val="70"/>
              <w:rPr>
                <w:color w:val="000000" w:themeColor="text1"/>
                <w14:textFill>
                  <w14:solidFill>
                    <w14:schemeClr w14:val="tx1"/>
                  </w14:solidFill>
                </w14:textFill>
              </w:rPr>
            </w:pPr>
          </w:p>
        </w:tc>
      </w:tr>
      <w:tr w14:paraId="2FA10457">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gridBefore w:val="1"/>
          <w:wBefore w:w="7" w:type="dxa"/>
          <w:trHeight w:val="20" w:hRule="atLeast"/>
          <w:jc w:val="center"/>
        </w:trPr>
        <w:tc>
          <w:tcPr>
            <w:tcW w:w="1136" w:type="dxa"/>
            <w:gridSpan w:val="2"/>
            <w:vMerge w:val="restart"/>
            <w:vAlign w:val="center"/>
          </w:tcPr>
          <w:p w14:paraId="412B7339">
            <w:pPr>
              <w:pStyle w:val="70"/>
              <w:rPr>
                <w:color w:val="000000" w:themeColor="text1"/>
                <w14:textFill>
                  <w14:solidFill>
                    <w14:schemeClr w14:val="tx1"/>
                  </w14:solidFill>
                </w14:textFill>
              </w:rPr>
            </w:pPr>
            <w:r>
              <w:rPr>
                <w:color w:val="000000" w:themeColor="text1"/>
                <w14:textFill>
                  <w14:solidFill>
                    <w14:schemeClr w14:val="tx1"/>
                  </w14:solidFill>
                </w14:textFill>
              </w:rPr>
              <w:t>生活垃圾</w:t>
            </w:r>
          </w:p>
        </w:tc>
        <w:tc>
          <w:tcPr>
            <w:tcW w:w="1931" w:type="dxa"/>
            <w:gridSpan w:val="3"/>
            <w:vAlign w:val="center"/>
          </w:tcPr>
          <w:p w14:paraId="2BBF9272">
            <w:pPr>
              <w:pStyle w:val="70"/>
              <w:rPr>
                <w:color w:val="000000" w:themeColor="text1"/>
                <w14:textFill>
                  <w14:solidFill>
                    <w14:schemeClr w14:val="tx1"/>
                  </w14:solidFill>
                </w14:textFill>
              </w:rPr>
            </w:pPr>
            <w:r>
              <w:rPr>
                <w:rFonts w:eastAsiaTheme="minorEastAsia"/>
                <w:color w:val="000000" w:themeColor="text1"/>
                <w:lang w:eastAsia="en-US"/>
                <w14:textFill>
                  <w14:solidFill>
                    <w14:schemeClr w14:val="tx1"/>
                  </w14:solidFill>
                </w14:textFill>
              </w:rPr>
              <w:t>陆域生活垃圾</w:t>
            </w:r>
          </w:p>
        </w:tc>
        <w:tc>
          <w:tcPr>
            <w:tcW w:w="1612" w:type="dxa"/>
            <w:gridSpan w:val="5"/>
            <w:vAlign w:val="center"/>
          </w:tcPr>
          <w:p w14:paraId="7589FDDD">
            <w:pPr>
              <w:pStyle w:val="70"/>
              <w:rPr>
                <w:color w:val="000000" w:themeColor="text1"/>
                <w14:textFill>
                  <w14:solidFill>
                    <w14:schemeClr w14:val="tx1"/>
                  </w14:solidFill>
                </w14:textFill>
              </w:rPr>
            </w:pPr>
            <w:r>
              <w:rPr>
                <w:color w:val="000000" w:themeColor="text1"/>
                <w14:textFill>
                  <w14:solidFill>
                    <w14:schemeClr w14:val="tx1"/>
                  </w14:solidFill>
                </w14:textFill>
              </w:rPr>
              <w:t>一般固体废物</w:t>
            </w:r>
          </w:p>
        </w:tc>
        <w:tc>
          <w:tcPr>
            <w:tcW w:w="691" w:type="dxa"/>
            <w:gridSpan w:val="2"/>
            <w:vMerge w:val="restart"/>
            <w:vAlign w:val="center"/>
          </w:tcPr>
          <w:p w14:paraId="0E59E001">
            <w:pPr>
              <w:pStyle w:val="70"/>
              <w:rPr>
                <w:color w:val="000000" w:themeColor="text1"/>
                <w14:textFill>
                  <w14:solidFill>
                    <w14:schemeClr w14:val="tx1"/>
                  </w14:solidFill>
                </w14:textFill>
              </w:rPr>
            </w:pPr>
            <w:r>
              <w:rPr>
                <w:color w:val="000000" w:themeColor="text1"/>
                <w14:textFill>
                  <w14:solidFill>
                    <w14:schemeClr w14:val="tx1"/>
                  </w14:solidFill>
                </w14:textFill>
              </w:rPr>
              <w:t>类比法</w:t>
            </w:r>
          </w:p>
        </w:tc>
        <w:tc>
          <w:tcPr>
            <w:tcW w:w="2002" w:type="dxa"/>
            <w:gridSpan w:val="3"/>
            <w:vAlign w:val="center"/>
          </w:tcPr>
          <w:p w14:paraId="5E93D4F2">
            <w:pPr>
              <w:pStyle w:val="70"/>
              <w:rPr>
                <w:color w:val="000000" w:themeColor="text1"/>
                <w14:textFill>
                  <w14:solidFill>
                    <w14:schemeClr w14:val="tx1"/>
                  </w14:solidFill>
                </w14:textFill>
              </w:rPr>
            </w:pPr>
            <w:r>
              <w:rPr>
                <w:rFonts w:hint="eastAsia" w:eastAsiaTheme="minorEastAsia"/>
                <w:color w:val="000000" w:themeColor="text1"/>
                <w14:textFill>
                  <w14:solidFill>
                    <w14:schemeClr w14:val="tx1"/>
                  </w14:solidFill>
                </w14:textFill>
              </w:rPr>
              <w:t>0</w:t>
            </w:r>
          </w:p>
        </w:tc>
        <w:tc>
          <w:tcPr>
            <w:tcW w:w="2675" w:type="dxa"/>
            <w:gridSpan w:val="4"/>
            <w:vAlign w:val="center"/>
          </w:tcPr>
          <w:p w14:paraId="7FF29CC0">
            <w:pPr>
              <w:pStyle w:val="70"/>
              <w:rPr>
                <w:color w:val="000000" w:themeColor="text1"/>
                <w14:textFill>
                  <w14:solidFill>
                    <w14:schemeClr w14:val="tx1"/>
                  </w14:solidFill>
                </w14:textFill>
              </w:rPr>
            </w:pPr>
            <w:r>
              <w:rPr>
                <w:rFonts w:hint="eastAsia" w:eastAsiaTheme="minorEastAsia"/>
                <w:color w:val="000000" w:themeColor="text1"/>
                <w14:textFill>
                  <w14:solidFill>
                    <w14:schemeClr w14:val="tx1"/>
                  </w14:solidFill>
                </w14:textFill>
              </w:rPr>
              <w:t>/</w:t>
            </w:r>
          </w:p>
        </w:tc>
        <w:tc>
          <w:tcPr>
            <w:tcW w:w="1185" w:type="dxa"/>
            <w:gridSpan w:val="2"/>
            <w:vAlign w:val="center"/>
          </w:tcPr>
          <w:p w14:paraId="7D8B21EA">
            <w:pPr>
              <w:pStyle w:val="70"/>
              <w:rPr>
                <w:color w:val="000000" w:themeColor="text1"/>
                <w14:textFill>
                  <w14:solidFill>
                    <w14:schemeClr w14:val="tx1"/>
                  </w14:solidFill>
                </w14:textFill>
              </w:rPr>
            </w:pPr>
            <w:r>
              <w:rPr>
                <w:rFonts w:hint="eastAsia" w:eastAsiaTheme="minorEastAsia"/>
                <w:color w:val="000000" w:themeColor="text1"/>
                <w14:textFill>
                  <w14:solidFill>
                    <w14:schemeClr w14:val="tx1"/>
                  </w14:solidFill>
                </w14:textFill>
              </w:rPr>
              <w:t>0</w:t>
            </w:r>
          </w:p>
        </w:tc>
        <w:tc>
          <w:tcPr>
            <w:tcW w:w="2981" w:type="dxa"/>
            <w:gridSpan w:val="8"/>
            <w:vAlign w:val="center"/>
          </w:tcPr>
          <w:p w14:paraId="38B9E27D">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7AE5DBDF">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gridBefore w:val="1"/>
          <w:wBefore w:w="7" w:type="dxa"/>
          <w:trHeight w:val="255" w:hRule="atLeast"/>
          <w:jc w:val="center"/>
        </w:trPr>
        <w:tc>
          <w:tcPr>
            <w:tcW w:w="1136" w:type="dxa"/>
            <w:gridSpan w:val="2"/>
            <w:vMerge w:val="continue"/>
            <w:vAlign w:val="center"/>
          </w:tcPr>
          <w:p w14:paraId="65DDDC0F">
            <w:pPr>
              <w:pStyle w:val="70"/>
              <w:rPr>
                <w:color w:val="000000" w:themeColor="text1"/>
                <w14:textFill>
                  <w14:solidFill>
                    <w14:schemeClr w14:val="tx1"/>
                  </w14:solidFill>
                </w14:textFill>
              </w:rPr>
            </w:pPr>
          </w:p>
        </w:tc>
        <w:tc>
          <w:tcPr>
            <w:tcW w:w="1931" w:type="dxa"/>
            <w:gridSpan w:val="3"/>
            <w:vAlign w:val="center"/>
          </w:tcPr>
          <w:p w14:paraId="0F780866">
            <w:pPr>
              <w:pStyle w:val="70"/>
              <w:rPr>
                <w:color w:val="0000FF"/>
              </w:rPr>
            </w:pPr>
            <w:r>
              <w:rPr>
                <w:rFonts w:eastAsiaTheme="minorEastAsia"/>
                <w:color w:val="0000FF"/>
                <w:lang w:eastAsia="en-US"/>
              </w:rPr>
              <w:t>船舶生活垃圾</w:t>
            </w:r>
          </w:p>
        </w:tc>
        <w:tc>
          <w:tcPr>
            <w:tcW w:w="1612" w:type="dxa"/>
            <w:gridSpan w:val="5"/>
            <w:vAlign w:val="center"/>
          </w:tcPr>
          <w:p w14:paraId="09473464">
            <w:pPr>
              <w:pStyle w:val="70"/>
              <w:rPr>
                <w:color w:val="0000FF"/>
              </w:rPr>
            </w:pPr>
            <w:r>
              <w:rPr>
                <w:color w:val="0000FF"/>
              </w:rPr>
              <w:t>一般固体废物</w:t>
            </w:r>
          </w:p>
        </w:tc>
        <w:tc>
          <w:tcPr>
            <w:tcW w:w="691" w:type="dxa"/>
            <w:gridSpan w:val="2"/>
            <w:vMerge w:val="continue"/>
            <w:vAlign w:val="center"/>
          </w:tcPr>
          <w:p w14:paraId="05B66423">
            <w:pPr>
              <w:pStyle w:val="70"/>
              <w:rPr>
                <w:color w:val="0000FF"/>
              </w:rPr>
            </w:pPr>
          </w:p>
        </w:tc>
        <w:tc>
          <w:tcPr>
            <w:tcW w:w="2002" w:type="dxa"/>
            <w:gridSpan w:val="3"/>
            <w:vAlign w:val="center"/>
          </w:tcPr>
          <w:p w14:paraId="7FF0B937">
            <w:pPr>
              <w:pStyle w:val="70"/>
              <w:rPr>
                <w:color w:val="0000FF"/>
              </w:rPr>
            </w:pPr>
            <w:r>
              <w:rPr>
                <w:rFonts w:eastAsiaTheme="minorEastAsia"/>
                <w:color w:val="0000FF"/>
                <w:lang w:eastAsia="en-US"/>
              </w:rPr>
              <w:t>29.7</w:t>
            </w:r>
          </w:p>
        </w:tc>
        <w:tc>
          <w:tcPr>
            <w:tcW w:w="2675" w:type="dxa"/>
            <w:gridSpan w:val="4"/>
            <w:vAlign w:val="center"/>
          </w:tcPr>
          <w:p w14:paraId="71A02667">
            <w:pPr>
              <w:pStyle w:val="70"/>
              <w:rPr>
                <w:color w:val="0000FF"/>
              </w:rPr>
            </w:pPr>
            <w:r>
              <w:rPr>
                <w:rFonts w:eastAsiaTheme="minorEastAsia"/>
                <w:color w:val="0000FF"/>
              </w:rPr>
              <w:t>垃圾桶、塑料袋收集</w:t>
            </w:r>
          </w:p>
        </w:tc>
        <w:tc>
          <w:tcPr>
            <w:tcW w:w="1185" w:type="dxa"/>
            <w:gridSpan w:val="2"/>
            <w:vAlign w:val="center"/>
          </w:tcPr>
          <w:p w14:paraId="4A73552E">
            <w:pPr>
              <w:pStyle w:val="70"/>
              <w:rPr>
                <w:color w:val="0000FF"/>
              </w:rPr>
            </w:pPr>
            <w:r>
              <w:rPr>
                <w:rFonts w:eastAsiaTheme="minorEastAsia"/>
                <w:color w:val="0000FF"/>
                <w:lang w:eastAsia="en-US"/>
              </w:rPr>
              <w:t>29.7</w:t>
            </w:r>
          </w:p>
        </w:tc>
        <w:tc>
          <w:tcPr>
            <w:tcW w:w="2981" w:type="dxa"/>
            <w:gridSpan w:val="8"/>
            <w:vAlign w:val="center"/>
          </w:tcPr>
          <w:p w14:paraId="3F789AB0">
            <w:pPr>
              <w:pStyle w:val="70"/>
              <w:rPr>
                <w:rFonts w:hint="default" w:eastAsia="宋体"/>
                <w:color w:val="0000FF"/>
                <w:lang w:val="en-US" w:eastAsia="zh-CN"/>
              </w:rPr>
            </w:pPr>
            <w:r>
              <w:rPr>
                <w:rFonts w:hint="eastAsia" w:eastAsiaTheme="minorEastAsia"/>
                <w:color w:val="0000FF"/>
                <w:lang w:val="en-US" w:eastAsia="zh-CN"/>
              </w:rPr>
              <w:t>有资质单位接收处理</w:t>
            </w:r>
          </w:p>
        </w:tc>
      </w:tr>
      <w:tr w14:paraId="7F8A1800">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gridBefore w:val="1"/>
          <w:wBefore w:w="7" w:type="dxa"/>
          <w:trHeight w:val="20" w:hRule="atLeast"/>
          <w:jc w:val="center"/>
        </w:trPr>
        <w:tc>
          <w:tcPr>
            <w:tcW w:w="1136" w:type="dxa"/>
            <w:gridSpan w:val="2"/>
            <w:vMerge w:val="continue"/>
            <w:vAlign w:val="center"/>
          </w:tcPr>
          <w:p w14:paraId="2DED8AF2">
            <w:pPr>
              <w:pStyle w:val="70"/>
              <w:rPr>
                <w:color w:val="000000" w:themeColor="text1"/>
                <w14:textFill>
                  <w14:solidFill>
                    <w14:schemeClr w14:val="tx1"/>
                  </w14:solidFill>
                </w14:textFill>
              </w:rPr>
            </w:pPr>
          </w:p>
        </w:tc>
        <w:tc>
          <w:tcPr>
            <w:tcW w:w="1931" w:type="dxa"/>
            <w:gridSpan w:val="3"/>
            <w:vAlign w:val="center"/>
          </w:tcPr>
          <w:p w14:paraId="29F7A43E">
            <w:pPr>
              <w:pStyle w:val="70"/>
              <w:rPr>
                <w:color w:val="0000FF"/>
              </w:rPr>
            </w:pPr>
            <w:r>
              <w:rPr>
                <w:rFonts w:hint="eastAsia" w:asciiTheme="minorHAnsi" w:hAnsiTheme="minorHAnsi" w:eastAsiaTheme="minorEastAsia" w:cstheme="minorBidi"/>
                <w:color w:val="0000FF"/>
                <w:lang w:eastAsia="en-US"/>
              </w:rPr>
              <w:t>含油废布及</w:t>
            </w:r>
            <w:r>
              <w:rPr>
                <w:rFonts w:asciiTheme="minorHAnsi" w:hAnsiTheme="minorHAnsi" w:eastAsiaTheme="minorEastAsia" w:cstheme="minorBidi"/>
                <w:color w:val="0000FF"/>
                <w:lang w:eastAsia="en-US"/>
              </w:rPr>
              <w:t>棉纱</w:t>
            </w:r>
          </w:p>
        </w:tc>
        <w:tc>
          <w:tcPr>
            <w:tcW w:w="1612" w:type="dxa"/>
            <w:gridSpan w:val="5"/>
            <w:vAlign w:val="center"/>
          </w:tcPr>
          <w:p w14:paraId="744EC444">
            <w:pPr>
              <w:pStyle w:val="70"/>
              <w:rPr>
                <w:color w:val="0000FF"/>
              </w:rPr>
            </w:pPr>
            <w:r>
              <w:rPr>
                <w:rFonts w:eastAsiaTheme="minorEastAsia"/>
                <w:color w:val="0000FF"/>
                <w:lang w:eastAsia="en-US"/>
              </w:rPr>
              <w:t>HW49</w:t>
            </w:r>
          </w:p>
        </w:tc>
        <w:tc>
          <w:tcPr>
            <w:tcW w:w="691" w:type="dxa"/>
            <w:gridSpan w:val="2"/>
            <w:vMerge w:val="continue"/>
            <w:vAlign w:val="center"/>
          </w:tcPr>
          <w:p w14:paraId="28379ED4">
            <w:pPr>
              <w:pStyle w:val="70"/>
              <w:rPr>
                <w:color w:val="0000FF"/>
              </w:rPr>
            </w:pPr>
          </w:p>
        </w:tc>
        <w:tc>
          <w:tcPr>
            <w:tcW w:w="2002" w:type="dxa"/>
            <w:gridSpan w:val="3"/>
            <w:vAlign w:val="center"/>
          </w:tcPr>
          <w:p w14:paraId="5DD2B5FD">
            <w:pPr>
              <w:pStyle w:val="70"/>
              <w:rPr>
                <w:color w:val="0000FF"/>
              </w:rPr>
            </w:pPr>
            <w:r>
              <w:rPr>
                <w:rFonts w:hint="eastAsia" w:eastAsiaTheme="minorEastAsia"/>
                <w:color w:val="0000FF"/>
                <w:w w:val="99"/>
              </w:rPr>
              <w:t>0.05</w:t>
            </w:r>
          </w:p>
        </w:tc>
        <w:tc>
          <w:tcPr>
            <w:tcW w:w="2675" w:type="dxa"/>
            <w:gridSpan w:val="4"/>
            <w:vAlign w:val="center"/>
          </w:tcPr>
          <w:p w14:paraId="71AC355F">
            <w:pPr>
              <w:pStyle w:val="70"/>
              <w:rPr>
                <w:color w:val="0000FF"/>
              </w:rPr>
            </w:pPr>
            <w:r>
              <w:rPr>
                <w:rFonts w:hint="eastAsia"/>
                <w:color w:val="0000FF"/>
              </w:rPr>
              <w:t>危废暂存间暂存</w:t>
            </w:r>
          </w:p>
        </w:tc>
        <w:tc>
          <w:tcPr>
            <w:tcW w:w="1185" w:type="dxa"/>
            <w:gridSpan w:val="2"/>
            <w:vAlign w:val="center"/>
          </w:tcPr>
          <w:p w14:paraId="15C3B8F7">
            <w:pPr>
              <w:pStyle w:val="70"/>
              <w:rPr>
                <w:color w:val="0000FF"/>
              </w:rPr>
            </w:pPr>
            <w:r>
              <w:rPr>
                <w:rFonts w:hint="eastAsia" w:eastAsiaTheme="minorEastAsia"/>
                <w:color w:val="0000FF"/>
                <w:w w:val="99"/>
              </w:rPr>
              <w:t>0.05</w:t>
            </w:r>
          </w:p>
        </w:tc>
        <w:tc>
          <w:tcPr>
            <w:tcW w:w="2981" w:type="dxa"/>
            <w:gridSpan w:val="8"/>
            <w:vAlign w:val="center"/>
          </w:tcPr>
          <w:p w14:paraId="215AADAD">
            <w:pPr>
              <w:pStyle w:val="70"/>
              <w:rPr>
                <w:color w:val="0000FF"/>
              </w:rPr>
            </w:pPr>
            <w:r>
              <w:rPr>
                <w:rFonts w:hint="eastAsia"/>
                <w:color w:val="0000FF"/>
              </w:rPr>
              <w:t>委托有资质单位处置</w:t>
            </w:r>
          </w:p>
        </w:tc>
      </w:tr>
    </w:tbl>
    <w:p w14:paraId="0AFDD410">
      <w:pPr>
        <w:ind w:firstLine="480"/>
        <w:rPr>
          <w:color w:val="000000" w:themeColor="text1"/>
          <w14:textFill>
            <w14:solidFill>
              <w14:schemeClr w14:val="tx1"/>
            </w14:solidFill>
          </w14:textFill>
        </w:rPr>
      </w:pPr>
    </w:p>
    <w:p w14:paraId="57D83EC6">
      <w:pPr>
        <w:ind w:firstLine="480"/>
        <w:rPr>
          <w:color w:val="000000" w:themeColor="text1"/>
          <w14:textFill>
            <w14:solidFill>
              <w14:schemeClr w14:val="tx1"/>
            </w14:solidFill>
          </w14:textFill>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numberInDash"/>
          <w:cols w:space="720" w:num="1"/>
          <w:docGrid w:type="lines" w:linePitch="326" w:charSpace="0"/>
        </w:sectPr>
      </w:pPr>
    </w:p>
    <w:p w14:paraId="6CF0F2CE">
      <w:pPr>
        <w:pStyle w:val="4"/>
        <w:rPr>
          <w:color w:val="000000" w:themeColor="text1"/>
          <w14:textFill>
            <w14:solidFill>
              <w14:schemeClr w14:val="tx1"/>
            </w14:solidFill>
          </w14:textFill>
        </w:rPr>
      </w:pPr>
      <w:bookmarkStart w:id="846" w:name="_Toc216620650"/>
      <w:bookmarkStart w:id="847" w:name="_Toc135090317"/>
      <w:bookmarkStart w:id="848" w:name="_Toc29131922"/>
      <w:bookmarkStart w:id="849" w:name="_Toc26910109"/>
      <w:bookmarkStart w:id="850" w:name="_Toc136878581"/>
      <w:bookmarkStart w:id="851" w:name="_Toc216103491"/>
      <w:bookmarkStart w:id="852" w:name="_Toc25437062"/>
      <w:r>
        <w:rPr>
          <w:color w:val="000000" w:themeColor="text1"/>
          <w14:textFill>
            <w14:solidFill>
              <w14:schemeClr w14:val="tx1"/>
            </w14:solidFill>
          </w14:textFill>
        </w:rPr>
        <w:t>污染物总量控制指标</w:t>
      </w:r>
      <w:bookmarkEnd w:id="846"/>
      <w:bookmarkEnd w:id="847"/>
      <w:bookmarkEnd w:id="848"/>
      <w:bookmarkEnd w:id="849"/>
      <w:bookmarkEnd w:id="850"/>
      <w:bookmarkEnd w:id="851"/>
    </w:p>
    <w:p w14:paraId="7244AA2A">
      <w:pPr>
        <w:ind w:firstLine="480"/>
        <w:rPr>
          <w:color w:val="000000" w:themeColor="text1"/>
          <w14:textFill>
            <w14:solidFill>
              <w14:schemeClr w14:val="tx1"/>
            </w14:solidFill>
          </w14:textFill>
        </w:rPr>
      </w:pPr>
      <w:r>
        <w:rPr>
          <w:color w:val="000000" w:themeColor="text1"/>
          <w14:textFill>
            <w14:solidFill>
              <w14:schemeClr w14:val="tx1"/>
            </w14:solidFill>
          </w14:textFill>
        </w:rPr>
        <w:t>根据中华人民共和国生态环境部办公厅《关于印发</w:t>
      </w:r>
      <w:r>
        <w:rPr>
          <w:rFonts w:hint="eastAsia" w:ascii="方正仿宋_GBK" w:hAnsi="方正仿宋_GBK" w:eastAsia="方正仿宋_GBK" w:cs="方正仿宋_GBK"/>
          <w:color w:val="000000" w:themeColor="text1"/>
          <w14:textFill>
            <w14:solidFill>
              <w14:schemeClr w14:val="tx1"/>
            </w14:solidFill>
          </w14:textFill>
        </w:rPr>
        <w:t>〈</w:t>
      </w:r>
      <w:r>
        <w:rPr>
          <w:color w:val="000000" w:themeColor="text1"/>
          <w14:textFill>
            <w14:solidFill>
              <w14:schemeClr w14:val="tx1"/>
            </w14:solidFill>
          </w14:textFill>
        </w:rPr>
        <w:t>主要污染物总量减排核算技术指南(2022 年修订)</w:t>
      </w:r>
      <w:r>
        <w:rPr>
          <w:rFonts w:hint="eastAsia" w:ascii="方正仿宋_GBK" w:hAnsi="方正仿宋_GBK" w:eastAsia="方正仿宋_GBK" w:cs="方正仿宋_GBK"/>
          <w:color w:val="000000" w:themeColor="text1"/>
          <w14:textFill>
            <w14:solidFill>
              <w14:schemeClr w14:val="tx1"/>
            </w14:solidFill>
          </w14:textFill>
        </w:rPr>
        <w:t>〉</w:t>
      </w:r>
      <w:r>
        <w:rPr>
          <w:color w:val="000000" w:themeColor="text1"/>
          <w14:textFill>
            <w14:solidFill>
              <w14:schemeClr w14:val="tx1"/>
            </w14:solidFill>
          </w14:textFill>
        </w:rPr>
        <w:t>的通知》（环办综合函〔2022〕 350号），实施总量控制的主要污染物是指的化学需氧量(COD) 、氨氮(NH</w:t>
      </w:r>
      <w:r>
        <w:rPr>
          <w:color w:val="000000" w:themeColor="text1"/>
          <w:vertAlign w:val="subscript"/>
          <w14:textFill>
            <w14:solidFill>
              <w14:schemeClr w14:val="tx1"/>
            </w14:solidFill>
          </w14:textFill>
        </w:rPr>
        <w:t>3</w:t>
      </w:r>
      <w:r>
        <w:rPr>
          <w:color w:val="000000" w:themeColor="text1"/>
          <w14:textFill>
            <w14:solidFill>
              <w14:schemeClr w14:val="tx1"/>
            </w14:solidFill>
          </w14:textFill>
        </w:rPr>
        <w:t>-N)、氮氧化物 (NO</w:t>
      </w:r>
      <w:r>
        <w:rPr>
          <w:color w:val="000000" w:themeColor="text1"/>
          <w:vertAlign w:val="subscript"/>
          <w14:textFill>
            <w14:solidFill>
              <w14:schemeClr w14:val="tx1"/>
            </w14:solidFill>
          </w14:textFill>
        </w:rPr>
        <w:t>x</w:t>
      </w:r>
      <w:r>
        <w:rPr>
          <w:color w:val="000000" w:themeColor="text1"/>
          <w14:textFill>
            <w14:solidFill>
              <w14:schemeClr w14:val="tx1"/>
            </w14:solidFill>
          </w14:textFill>
        </w:rPr>
        <w:t>)、挥发性有机物(VOCs)等4项污染物。</w:t>
      </w:r>
    </w:p>
    <w:p w14:paraId="60006E65">
      <w:pPr>
        <w:ind w:firstLine="480"/>
        <w:rPr>
          <w:color w:val="000000" w:themeColor="text1"/>
          <w14:textFill>
            <w14:solidFill>
              <w14:schemeClr w14:val="tx1"/>
            </w14:solidFill>
          </w14:textFill>
        </w:rPr>
      </w:pPr>
      <w:r>
        <w:rPr>
          <w:color w:val="0000FF"/>
        </w:rPr>
        <w:t>本项目</w:t>
      </w:r>
      <w:r>
        <w:rPr>
          <w:rFonts w:hint="eastAsia"/>
          <w:color w:val="0000FF"/>
          <w:lang w:val="en-US" w:eastAsia="zh-CN"/>
        </w:rPr>
        <w:t>不新增劳动定员、不新增生活污水</w:t>
      </w:r>
      <w:r>
        <w:rPr>
          <w:color w:val="0000FF"/>
        </w:rPr>
        <w:t>，项目不提出废水总量控制指标；</w:t>
      </w:r>
      <w:r>
        <w:rPr>
          <w:rFonts w:hint="eastAsia"/>
          <w:color w:val="0000FF"/>
          <w:lang w:val="en-US" w:eastAsia="zh-CN"/>
        </w:rPr>
        <w:t>氮氧化物</w:t>
      </w:r>
      <w:r>
        <w:rPr>
          <w:rFonts w:hint="eastAsia"/>
          <w:color w:val="0000FF"/>
        </w:rPr>
        <w:t>为到港船舶排放尾气，排放量极少，不提出氮氧化物总量控制指标</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因此本项目仅对</w:t>
      </w:r>
      <w:r>
        <w:rPr>
          <w:rFonts w:hint="eastAsia"/>
          <w:color w:val="0000FF"/>
          <w:lang w:val="en-US" w:eastAsia="zh-CN"/>
        </w:rPr>
        <w:t>新增</w:t>
      </w:r>
      <w:r>
        <w:rPr>
          <w:color w:val="000000" w:themeColor="text1"/>
          <w14:textFill>
            <w14:solidFill>
              <w14:schemeClr w14:val="tx1"/>
            </w14:solidFill>
          </w14:textFill>
        </w:rPr>
        <w:t>主要污染物VOCs提出总量控制指标，即</w:t>
      </w:r>
      <w:r>
        <w:rPr>
          <w:rFonts w:hint="eastAsia"/>
          <w:color w:val="0000FF"/>
          <w:lang w:val="en-US" w:eastAsia="zh-CN"/>
        </w:rPr>
        <w:t>新增</w:t>
      </w:r>
      <w:r>
        <w:rPr>
          <w:color w:val="000000" w:themeColor="text1"/>
          <w14:textFill>
            <w14:solidFill>
              <w14:schemeClr w14:val="tx1"/>
            </w14:solidFill>
          </w14:textFill>
        </w:rPr>
        <w:t>VOCs总量控制指标为</w:t>
      </w:r>
      <w:r>
        <w:rPr>
          <w:rFonts w:hint="eastAsia"/>
          <w:color w:val="000000" w:themeColor="text1"/>
          <w14:textFill>
            <w14:solidFill>
              <w14:schemeClr w14:val="tx1"/>
            </w14:solidFill>
          </w14:textFill>
        </w:rPr>
        <w:t>0.0141</w:t>
      </w:r>
      <w:r>
        <w:rPr>
          <w:color w:val="000000" w:themeColor="text1"/>
          <w14:textFill>
            <w14:solidFill>
              <w14:schemeClr w14:val="tx1"/>
            </w14:solidFill>
          </w14:textFill>
        </w:rPr>
        <w:t>t/a。</w:t>
      </w:r>
    </w:p>
    <w:p w14:paraId="4E253763">
      <w:pPr>
        <w:pStyle w:val="4"/>
        <w:keepNext w:val="0"/>
        <w:keepLines w:val="0"/>
        <w:rPr>
          <w:color w:val="000000" w:themeColor="text1"/>
          <w14:textFill>
            <w14:solidFill>
              <w14:schemeClr w14:val="tx1"/>
            </w14:solidFill>
          </w14:textFill>
        </w:rPr>
      </w:pPr>
      <w:bookmarkStart w:id="853" w:name="_Toc136878582"/>
      <w:bookmarkStart w:id="854" w:name="_Toc216620651"/>
      <w:bookmarkStart w:id="855" w:name="_Toc216103492"/>
      <w:bookmarkStart w:id="856" w:name="_Toc135090318"/>
      <w:r>
        <w:rPr>
          <w:color w:val="000000" w:themeColor="text1"/>
          <w14:textFill>
            <w14:solidFill>
              <w14:schemeClr w14:val="tx1"/>
            </w14:solidFill>
          </w14:textFill>
        </w:rPr>
        <w:t>排污许可相关要求</w:t>
      </w:r>
      <w:bookmarkEnd w:id="853"/>
      <w:bookmarkEnd w:id="854"/>
      <w:bookmarkEnd w:id="855"/>
      <w:bookmarkEnd w:id="856"/>
    </w:p>
    <w:p w14:paraId="48F13984">
      <w:pPr>
        <w:pStyle w:val="74"/>
        <w:rPr>
          <w:color w:val="000000" w:themeColor="text1"/>
          <w14:textFill>
            <w14:solidFill>
              <w14:schemeClr w14:val="tx1"/>
            </w14:solidFill>
          </w14:textFill>
        </w:rPr>
      </w:pPr>
      <w:r>
        <w:rPr>
          <w:color w:val="000000" w:themeColor="text1"/>
          <w14:textFill>
            <w14:solidFill>
              <w14:schemeClr w14:val="tx1"/>
            </w14:solidFill>
          </w14:textFill>
        </w:rPr>
        <w:t>根据《国务院办公厅关于印发控制污染物排放许可制实施方案的通知》（国办发[2016]81 号）、《固定污染源排污许可分类管理名录（2019 年版）》等相关文件要求，企业事业单位和其他生产经营者应该按照名录的规定，在实施时限内申请排污许可证。</w:t>
      </w:r>
    </w:p>
    <w:p w14:paraId="735FFFFA">
      <w:pPr>
        <w:pStyle w:val="74"/>
        <w:rPr>
          <w:color w:val="000000" w:themeColor="text1"/>
          <w14:textFill>
            <w14:solidFill>
              <w14:schemeClr w14:val="tx1"/>
            </w14:solidFill>
          </w14:textFill>
        </w:rPr>
      </w:pPr>
      <w:r>
        <w:rPr>
          <w:color w:val="000000" w:themeColor="text1"/>
          <w14:textFill>
            <w14:solidFill>
              <w14:schemeClr w14:val="tx1"/>
            </w14:solidFill>
          </w14:textFill>
        </w:rPr>
        <w:t>根据《固定污染源排污许可分类管理名录（2019 年版）》，本项目属于“四十四、装卸搬运和仓储业·102 危险品仓储-总容量 10 万立方米及以上的油库（含油品码头后方配套油库， 不含储备油库）”，本项目应根据环保要求申请办理排污许可证。</w:t>
      </w:r>
    </w:p>
    <w:bookmarkEnd w:id="852"/>
    <w:p w14:paraId="10549860">
      <w:pPr>
        <w:pStyle w:val="4"/>
        <w:rPr>
          <w:color w:val="000000" w:themeColor="text1"/>
          <w14:textFill>
            <w14:solidFill>
              <w14:schemeClr w14:val="tx1"/>
            </w14:solidFill>
          </w14:textFill>
        </w:rPr>
      </w:pPr>
      <w:bookmarkStart w:id="857" w:name="_Toc136878583"/>
      <w:bookmarkStart w:id="858" w:name="_Toc25437063"/>
      <w:bookmarkStart w:id="859" w:name="_Toc216620652"/>
      <w:bookmarkStart w:id="860" w:name="_Toc29131924"/>
      <w:bookmarkStart w:id="861" w:name="_Toc216103493"/>
      <w:bookmarkStart w:id="862" w:name="_Toc26910111"/>
      <w:bookmarkStart w:id="863" w:name="_Toc135090319"/>
      <w:r>
        <w:rPr>
          <w:color w:val="000000" w:themeColor="text1"/>
          <w14:textFill>
            <w14:solidFill>
              <w14:schemeClr w14:val="tx1"/>
            </w14:solidFill>
          </w14:textFill>
        </w:rPr>
        <w:t>应向社会公开的信息</w:t>
      </w:r>
      <w:bookmarkEnd w:id="857"/>
      <w:bookmarkEnd w:id="858"/>
      <w:bookmarkEnd w:id="859"/>
      <w:bookmarkEnd w:id="860"/>
      <w:bookmarkEnd w:id="861"/>
      <w:bookmarkEnd w:id="862"/>
      <w:bookmarkEnd w:id="863"/>
    </w:p>
    <w:p w14:paraId="2FE27820">
      <w:pPr>
        <w:ind w:firstLine="480"/>
        <w:rPr>
          <w:color w:val="000000" w:themeColor="text1"/>
          <w14:textFill>
            <w14:solidFill>
              <w14:schemeClr w14:val="tx1"/>
            </w14:solidFill>
          </w14:textFill>
        </w:rPr>
      </w:pPr>
      <w:r>
        <w:rPr>
          <w:color w:val="000000" w:themeColor="text1"/>
          <w14:textFill>
            <w14:solidFill>
              <w14:schemeClr w14:val="tx1"/>
            </w14:solidFill>
          </w14:textFill>
        </w:rPr>
        <w:t>根据《企业事业单位环境信息公开办法》（环境保护部令 第31号），建设单位应向社会公开如下环境信息：</w:t>
      </w:r>
    </w:p>
    <w:p w14:paraId="06284039">
      <w:pPr>
        <w:ind w:firstLine="480"/>
        <w:rPr>
          <w:color w:val="000000" w:themeColor="text1"/>
          <w14:textFill>
            <w14:solidFill>
              <w14:schemeClr w14:val="tx1"/>
            </w14:solidFill>
          </w14:textFill>
        </w:rPr>
      </w:pPr>
      <w:r>
        <w:rPr>
          <w:color w:val="000000" w:themeColor="text1"/>
          <w14:textFill>
            <w14:solidFill>
              <w14:schemeClr w14:val="tx1"/>
            </w14:solidFill>
          </w14:textFill>
        </w:rPr>
        <w:t>（1）基础信息，包括单位名称、组织机构代码、法定代表人、生产地址、联系方式，以及生产经营和管理服务的主要内容、产品及规模；</w:t>
      </w:r>
    </w:p>
    <w:p w14:paraId="6A70FB60">
      <w:pPr>
        <w:ind w:firstLine="480"/>
        <w:rPr>
          <w:color w:val="000000" w:themeColor="text1"/>
          <w14:textFill>
            <w14:solidFill>
              <w14:schemeClr w14:val="tx1"/>
            </w14:solidFill>
          </w14:textFill>
        </w:rPr>
      </w:pPr>
      <w:r>
        <w:rPr>
          <w:color w:val="000000" w:themeColor="text1"/>
          <w14:textFill>
            <w14:solidFill>
              <w14:schemeClr w14:val="tx1"/>
            </w14:solidFill>
          </w14:textFill>
        </w:rPr>
        <w:t>（2）排污信息，包括主要污染物及特征污染物的名称、排放方式、排放口数量和分布情况、排放浓度和总量、超标情况，以及执行的污染物排放标准、核定的排放总量；</w:t>
      </w:r>
    </w:p>
    <w:p w14:paraId="51F07EA9">
      <w:pPr>
        <w:ind w:firstLine="480"/>
        <w:rPr>
          <w:color w:val="000000" w:themeColor="text1"/>
          <w14:textFill>
            <w14:solidFill>
              <w14:schemeClr w14:val="tx1"/>
            </w14:solidFill>
          </w14:textFill>
        </w:rPr>
      </w:pPr>
      <w:r>
        <w:rPr>
          <w:color w:val="000000" w:themeColor="text1"/>
          <w14:textFill>
            <w14:solidFill>
              <w14:schemeClr w14:val="tx1"/>
            </w14:solidFill>
          </w14:textFill>
        </w:rPr>
        <w:t>（3）防治污染设施的建设和运行情况；</w:t>
      </w:r>
    </w:p>
    <w:p w14:paraId="61D5E38F">
      <w:pPr>
        <w:ind w:firstLine="480"/>
        <w:rPr>
          <w:color w:val="000000" w:themeColor="text1"/>
          <w14:textFill>
            <w14:solidFill>
              <w14:schemeClr w14:val="tx1"/>
            </w14:solidFill>
          </w14:textFill>
        </w:rPr>
      </w:pPr>
      <w:r>
        <w:rPr>
          <w:color w:val="000000" w:themeColor="text1"/>
          <w14:textFill>
            <w14:solidFill>
              <w14:schemeClr w14:val="tx1"/>
            </w14:solidFill>
          </w14:textFill>
        </w:rPr>
        <w:t>（4）建设项目环境影响评价及其他环境保护行政许可情况；</w:t>
      </w:r>
    </w:p>
    <w:p w14:paraId="7C8252D6">
      <w:pPr>
        <w:ind w:firstLine="480"/>
        <w:rPr>
          <w:color w:val="000000" w:themeColor="text1"/>
          <w14:textFill>
            <w14:solidFill>
              <w14:schemeClr w14:val="tx1"/>
            </w14:solidFill>
          </w14:textFill>
        </w:rPr>
      </w:pPr>
      <w:r>
        <w:rPr>
          <w:color w:val="000000" w:themeColor="text1"/>
          <w14:textFill>
            <w14:solidFill>
              <w14:schemeClr w14:val="tx1"/>
            </w14:solidFill>
          </w14:textFill>
        </w:rPr>
        <w:t>（5）突发环境事件应急预案；</w:t>
      </w:r>
    </w:p>
    <w:p w14:paraId="248B815F">
      <w:pPr>
        <w:ind w:firstLine="480"/>
        <w:rPr>
          <w:color w:val="000000" w:themeColor="text1"/>
          <w14:textFill>
            <w14:solidFill>
              <w14:schemeClr w14:val="tx1"/>
            </w14:solidFill>
          </w14:textFill>
        </w:rPr>
      </w:pPr>
      <w:r>
        <w:rPr>
          <w:color w:val="000000" w:themeColor="text1"/>
          <w14:textFill>
            <w14:solidFill>
              <w14:schemeClr w14:val="tx1"/>
            </w14:solidFill>
          </w14:textFill>
        </w:rPr>
        <w:t>（6）其他应当公开的环境信息。</w:t>
      </w:r>
    </w:p>
    <w:p w14:paraId="4F03896A">
      <w:pPr>
        <w:pStyle w:val="5"/>
        <w:rPr>
          <w:color w:val="000000" w:themeColor="text1"/>
          <w14:textFill>
            <w14:solidFill>
              <w14:schemeClr w14:val="tx1"/>
            </w14:solidFill>
          </w14:textFill>
        </w:rPr>
      </w:pPr>
      <w:bookmarkStart w:id="864" w:name="_Toc216620653"/>
      <w:r>
        <w:rPr>
          <w:color w:val="000000" w:themeColor="text1"/>
          <w14:textFill>
            <w14:solidFill>
              <w14:schemeClr w14:val="tx1"/>
            </w14:solidFill>
          </w14:textFill>
        </w:rPr>
        <w:t>环境监测</w:t>
      </w:r>
      <w:bookmarkEnd w:id="864"/>
    </w:p>
    <w:p w14:paraId="06C948A0">
      <w:pPr>
        <w:ind w:firstLine="480"/>
        <w:rPr>
          <w:color w:val="000000" w:themeColor="text1"/>
          <w14:textFill>
            <w14:solidFill>
              <w14:schemeClr w14:val="tx1"/>
            </w14:solidFill>
          </w14:textFill>
        </w:rPr>
      </w:pPr>
      <w:r>
        <w:rPr>
          <w:color w:val="000000" w:themeColor="text1"/>
          <w14:textFill>
            <w14:solidFill>
              <w14:schemeClr w14:val="tx1"/>
            </w14:solidFill>
          </w14:textFill>
        </w:rPr>
        <w:t>实施环境监测的目的是为了及时了解建设项目在其施工期和运营期对所在区域的环境质量影响，以便对可能产生较大环境影响的关键环节事先进行制度性的监测，使可能造成环境影响的因素得以及时发现，为项目环境管理提供科学依据。同时，实施环境监测也是企业制定环境保护规划、判断环境治理效果、开展有效的环境管理的重要依据。</w:t>
      </w:r>
    </w:p>
    <w:p w14:paraId="25145749">
      <w:pPr>
        <w:pStyle w:val="4"/>
        <w:rPr>
          <w:color w:val="000000" w:themeColor="text1"/>
          <w14:textFill>
            <w14:solidFill>
              <w14:schemeClr w14:val="tx1"/>
            </w14:solidFill>
          </w14:textFill>
        </w:rPr>
      </w:pPr>
      <w:bookmarkStart w:id="865" w:name="_Toc136878585"/>
      <w:bookmarkStart w:id="866" w:name="_Toc25437065"/>
      <w:bookmarkStart w:id="867" w:name="_Toc29131926"/>
      <w:bookmarkStart w:id="868" w:name="_Toc26910113"/>
      <w:bookmarkStart w:id="869" w:name="_Toc216620654"/>
      <w:bookmarkStart w:id="870" w:name="_Toc216103495"/>
      <w:bookmarkStart w:id="871" w:name="_Toc135090321"/>
      <w:r>
        <w:rPr>
          <w:color w:val="000000" w:themeColor="text1"/>
          <w14:textFill>
            <w14:solidFill>
              <w14:schemeClr w14:val="tx1"/>
            </w14:solidFill>
          </w14:textFill>
        </w:rPr>
        <w:t>施工期环境监测计划</w:t>
      </w:r>
      <w:bookmarkEnd w:id="865"/>
      <w:bookmarkEnd w:id="866"/>
      <w:bookmarkEnd w:id="867"/>
      <w:bookmarkEnd w:id="868"/>
      <w:bookmarkEnd w:id="869"/>
      <w:bookmarkEnd w:id="870"/>
      <w:bookmarkEnd w:id="871"/>
    </w:p>
    <w:p w14:paraId="25C24143">
      <w:pPr>
        <w:ind w:firstLine="480"/>
        <w:rPr>
          <w:color w:val="000000" w:themeColor="text1"/>
          <w14:textFill>
            <w14:solidFill>
              <w14:schemeClr w14:val="tx1"/>
            </w14:solidFill>
          </w14:textFill>
        </w:rPr>
      </w:pPr>
      <w:r>
        <w:rPr>
          <w:color w:val="000000" w:themeColor="text1"/>
          <w14:textFill>
            <w14:solidFill>
              <w14:schemeClr w14:val="tx1"/>
            </w14:solidFill>
          </w14:textFill>
        </w:rPr>
        <w:t>项目施工期造成的环境影响主要为：</w:t>
      </w:r>
      <w:r>
        <w:rPr>
          <w:rFonts w:hint="eastAsia" w:ascii="宋体" w:hAnsi="宋体" w:cs="宋体"/>
          <w:color w:val="000000" w:themeColor="text1"/>
          <w14:textFill>
            <w14:solidFill>
              <w14:schemeClr w14:val="tx1"/>
            </w14:solidFill>
          </w14:textFill>
        </w:rPr>
        <w:t>②</w:t>
      </w:r>
      <w:r>
        <w:rPr>
          <w:color w:val="000000" w:themeColor="text1"/>
          <w14:textFill>
            <w14:solidFill>
              <w14:schemeClr w14:val="tx1"/>
            </w14:solidFill>
          </w14:textFill>
        </w:rPr>
        <w:t>码头施工产生的扬尘、噪声对周围环境的影响。依据《建设项目海洋环境影响跟踪监测技术规程》（国家海洋局2002年4月），制定如下监测计划，具体内容见表8.3-1。</w:t>
      </w:r>
    </w:p>
    <w:p w14:paraId="0581061F">
      <w:pPr>
        <w:pStyle w:val="7"/>
        <w:rPr>
          <w:color w:val="000000" w:themeColor="text1"/>
          <w14:textFill>
            <w14:solidFill>
              <w14:schemeClr w14:val="tx1"/>
            </w14:solidFill>
          </w14:textFill>
        </w:rPr>
      </w:pPr>
      <w:r>
        <w:rPr>
          <w:color w:val="000000" w:themeColor="text1"/>
          <w14:textFill>
            <w14:solidFill>
              <w14:schemeClr w14:val="tx1"/>
            </w14:solidFill>
          </w14:textFill>
        </w:rPr>
        <w:t>施工期环境监测计划</w:t>
      </w:r>
    </w:p>
    <w:tbl>
      <w:tblPr>
        <w:tblStyle w:val="43"/>
        <w:tblW w:w="8276"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268"/>
        <w:gridCol w:w="3064"/>
        <w:gridCol w:w="1852"/>
        <w:gridCol w:w="2092"/>
      </w:tblGrid>
      <w:tr w14:paraId="17824F5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268" w:type="dxa"/>
          </w:tcPr>
          <w:p w14:paraId="72F7FE6E">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环境影响</w:t>
            </w:r>
          </w:p>
        </w:tc>
        <w:tc>
          <w:tcPr>
            <w:tcW w:w="3064" w:type="dxa"/>
          </w:tcPr>
          <w:p w14:paraId="6CC01D1F">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监测项目</w:t>
            </w:r>
          </w:p>
        </w:tc>
        <w:tc>
          <w:tcPr>
            <w:tcW w:w="1852" w:type="dxa"/>
          </w:tcPr>
          <w:p w14:paraId="7CCB6D98">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监测点位</w:t>
            </w:r>
          </w:p>
        </w:tc>
        <w:tc>
          <w:tcPr>
            <w:tcW w:w="2092" w:type="dxa"/>
          </w:tcPr>
          <w:p w14:paraId="5AD0097B">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监测频次</w:t>
            </w:r>
          </w:p>
        </w:tc>
      </w:tr>
      <w:tr w14:paraId="1FBD490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268" w:type="dxa"/>
            <w:vAlign w:val="center"/>
          </w:tcPr>
          <w:p w14:paraId="77FF82D4">
            <w:pPr>
              <w:pStyle w:val="70"/>
              <w:rPr>
                <w:color w:val="000000" w:themeColor="text1"/>
                <w14:textFill>
                  <w14:solidFill>
                    <w14:schemeClr w14:val="tx1"/>
                  </w14:solidFill>
                </w14:textFill>
              </w:rPr>
            </w:pPr>
            <w:r>
              <w:rPr>
                <w:color w:val="000000" w:themeColor="text1"/>
                <w14:textFill>
                  <w14:solidFill>
                    <w14:schemeClr w14:val="tx1"/>
                  </w14:solidFill>
                </w14:textFill>
              </w:rPr>
              <w:t>环境空气</w:t>
            </w:r>
          </w:p>
        </w:tc>
        <w:tc>
          <w:tcPr>
            <w:tcW w:w="3064" w:type="dxa"/>
            <w:vAlign w:val="center"/>
          </w:tcPr>
          <w:p w14:paraId="6A58E30A">
            <w:pPr>
              <w:pStyle w:val="70"/>
              <w:rPr>
                <w:color w:val="000000" w:themeColor="text1"/>
                <w14:textFill>
                  <w14:solidFill>
                    <w14:schemeClr w14:val="tx1"/>
                  </w14:solidFill>
                </w14:textFill>
              </w:rPr>
            </w:pPr>
            <w:r>
              <w:rPr>
                <w:color w:val="000000" w:themeColor="text1"/>
                <w14:textFill>
                  <w14:solidFill>
                    <w14:schemeClr w14:val="tx1"/>
                  </w14:solidFill>
                </w14:textFill>
              </w:rPr>
              <w:t>TSP</w:t>
            </w:r>
          </w:p>
        </w:tc>
        <w:tc>
          <w:tcPr>
            <w:tcW w:w="1852" w:type="dxa"/>
            <w:vAlign w:val="center"/>
          </w:tcPr>
          <w:p w14:paraId="7B6D3AAC">
            <w:pPr>
              <w:pStyle w:val="70"/>
              <w:rPr>
                <w:color w:val="000000" w:themeColor="text1"/>
                <w14:textFill>
                  <w14:solidFill>
                    <w14:schemeClr w14:val="tx1"/>
                  </w14:solidFill>
                </w14:textFill>
              </w:rPr>
            </w:pPr>
            <w:r>
              <w:rPr>
                <w:color w:val="000000" w:themeColor="text1"/>
                <w14:textFill>
                  <w14:solidFill>
                    <w14:schemeClr w14:val="tx1"/>
                  </w14:solidFill>
                </w14:textFill>
              </w:rPr>
              <w:t>施工场区四周</w:t>
            </w:r>
          </w:p>
        </w:tc>
        <w:tc>
          <w:tcPr>
            <w:tcW w:w="2092" w:type="dxa"/>
            <w:vAlign w:val="center"/>
          </w:tcPr>
          <w:p w14:paraId="1567483B">
            <w:pPr>
              <w:pStyle w:val="70"/>
              <w:rPr>
                <w:color w:val="000000" w:themeColor="text1"/>
                <w14:textFill>
                  <w14:solidFill>
                    <w14:schemeClr w14:val="tx1"/>
                  </w14:solidFill>
                </w14:textFill>
              </w:rPr>
            </w:pPr>
            <w:r>
              <w:rPr>
                <w:color w:val="000000" w:themeColor="text1"/>
                <w14:textFill>
                  <w14:solidFill>
                    <w14:schemeClr w14:val="tx1"/>
                  </w14:solidFill>
                </w14:textFill>
              </w:rPr>
              <w:t>施工中期监测1次</w:t>
            </w:r>
          </w:p>
        </w:tc>
      </w:tr>
      <w:tr w14:paraId="07D811C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268" w:type="dxa"/>
            <w:vAlign w:val="center"/>
          </w:tcPr>
          <w:p w14:paraId="4EEC7224">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噪声</w:t>
            </w:r>
          </w:p>
        </w:tc>
        <w:tc>
          <w:tcPr>
            <w:tcW w:w="3064" w:type="dxa"/>
            <w:vAlign w:val="center"/>
          </w:tcPr>
          <w:p w14:paraId="13EA60AC">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等效连续A声级</w:t>
            </w:r>
          </w:p>
        </w:tc>
        <w:tc>
          <w:tcPr>
            <w:tcW w:w="1852" w:type="dxa"/>
            <w:vAlign w:val="center"/>
          </w:tcPr>
          <w:p w14:paraId="0288A9EC">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厂界四周</w:t>
            </w:r>
          </w:p>
        </w:tc>
        <w:tc>
          <w:tcPr>
            <w:tcW w:w="2092" w:type="dxa"/>
            <w:vAlign w:val="center"/>
          </w:tcPr>
          <w:p w14:paraId="10FE7F7E">
            <w:pPr>
              <w:pStyle w:val="70"/>
              <w:rPr>
                <w:color w:val="000000" w:themeColor="text1"/>
                <w14:textFill>
                  <w14:solidFill>
                    <w14:schemeClr w14:val="tx1"/>
                  </w14:solidFill>
                </w14:textFill>
              </w:rPr>
            </w:pPr>
            <w:r>
              <w:rPr>
                <w:color w:val="000000" w:themeColor="text1"/>
                <w14:textFill>
                  <w14:solidFill>
                    <w14:schemeClr w14:val="tx1"/>
                  </w14:solidFill>
                </w14:textFill>
              </w:rPr>
              <w:t>施工中期监测1次</w:t>
            </w:r>
          </w:p>
        </w:tc>
      </w:tr>
    </w:tbl>
    <w:p w14:paraId="14D7175B">
      <w:pPr>
        <w:spacing w:line="240" w:lineRule="exact"/>
        <w:ind w:firstLine="360"/>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注：具体监测频次和监测点位，应根据工程施工进度与强度作适当调整。</w:t>
      </w:r>
    </w:p>
    <w:p w14:paraId="3F5F0647">
      <w:pPr>
        <w:ind w:firstLine="480"/>
        <w:rPr>
          <w:color w:val="000000" w:themeColor="text1"/>
          <w14:textFill>
            <w14:solidFill>
              <w14:schemeClr w14:val="tx1"/>
            </w14:solidFill>
          </w14:textFill>
        </w:rPr>
      </w:pPr>
      <w:r>
        <w:rPr>
          <w:color w:val="000000" w:themeColor="text1"/>
          <w14:textFill>
            <w14:solidFill>
              <w14:schemeClr w14:val="tx1"/>
            </w14:solidFill>
          </w14:textFill>
        </w:rPr>
        <w:t>监测工作应委托有资质监测单位承担，按照《海洋监测规范》（GB17378-2007）规定的有关方法进行。</w:t>
      </w:r>
    </w:p>
    <w:p w14:paraId="727DE32E">
      <w:pPr>
        <w:pStyle w:val="4"/>
        <w:rPr>
          <w:color w:val="000000" w:themeColor="text1"/>
          <w14:textFill>
            <w14:solidFill>
              <w14:schemeClr w14:val="tx1"/>
            </w14:solidFill>
          </w14:textFill>
        </w:rPr>
      </w:pPr>
      <w:bookmarkStart w:id="872" w:name="_Toc216620655"/>
      <w:bookmarkStart w:id="873" w:name="_Toc136878586"/>
      <w:bookmarkStart w:id="874" w:name="_Toc29131927"/>
      <w:bookmarkStart w:id="875" w:name="_Toc216103496"/>
      <w:bookmarkStart w:id="876" w:name="_Toc135090322"/>
      <w:bookmarkStart w:id="877" w:name="_Toc25437066"/>
      <w:bookmarkStart w:id="878" w:name="_Toc26910114"/>
      <w:r>
        <w:rPr>
          <w:color w:val="000000" w:themeColor="text1"/>
          <w14:textFill>
            <w14:solidFill>
              <w14:schemeClr w14:val="tx1"/>
            </w14:solidFill>
          </w14:textFill>
        </w:rPr>
        <w:t>运营期环境监测计划</w:t>
      </w:r>
      <w:bookmarkEnd w:id="872"/>
      <w:bookmarkEnd w:id="873"/>
      <w:bookmarkEnd w:id="874"/>
      <w:bookmarkEnd w:id="875"/>
      <w:bookmarkEnd w:id="876"/>
      <w:bookmarkEnd w:id="877"/>
      <w:bookmarkEnd w:id="878"/>
    </w:p>
    <w:p w14:paraId="2AD1A5E6">
      <w:pPr>
        <w:ind w:firstLine="480"/>
        <w:rPr>
          <w:color w:val="000000" w:themeColor="text1"/>
          <w:u w:val="single"/>
          <w14:textFill>
            <w14:solidFill>
              <w14:schemeClr w14:val="tx1"/>
            </w14:solidFill>
          </w14:textFill>
        </w:rPr>
      </w:pPr>
      <w:bookmarkStart w:id="879" w:name="_Toc29131928"/>
      <w:bookmarkStart w:id="880" w:name="_Toc135090323"/>
      <w:bookmarkStart w:id="881" w:name="_Toc26910115"/>
      <w:bookmarkStart w:id="882" w:name="_Toc136878587"/>
      <w:bookmarkStart w:id="883" w:name="_Toc25437067"/>
      <w:bookmarkStart w:id="884" w:name="_Toc216103497"/>
      <w:r>
        <w:rPr>
          <w:color w:val="000000" w:themeColor="text1"/>
          <w:u w:val="single"/>
          <w14:textFill>
            <w14:solidFill>
              <w14:schemeClr w14:val="tx1"/>
            </w14:solidFill>
          </w14:textFill>
        </w:rPr>
        <w:t>根据《排污单位自行监测技术指南 总则》（HJ 819-2017）、《建设项目海洋环境影响跟踪监测技术规程》等文件要求，结合本项目运营期对环境的影响，确定对海洋环境、大气环境进行监测。监测计划见表8.3-2。</w:t>
      </w:r>
    </w:p>
    <w:p w14:paraId="18FB20E6">
      <w:pPr>
        <w:pStyle w:val="7"/>
        <w:rPr>
          <w:color w:val="000000" w:themeColor="text1"/>
          <w:u w:val="single"/>
          <w14:textFill>
            <w14:solidFill>
              <w14:schemeClr w14:val="tx1"/>
            </w14:solidFill>
          </w14:textFill>
        </w:rPr>
      </w:pPr>
      <w:r>
        <w:rPr>
          <w:color w:val="000000" w:themeColor="text1"/>
          <w:u w:val="single"/>
          <w14:textFill>
            <w14:solidFill>
              <w14:schemeClr w14:val="tx1"/>
            </w14:solidFill>
          </w14:textFill>
        </w:rPr>
        <w:t>运营期环境监测计划</w:t>
      </w:r>
    </w:p>
    <w:tbl>
      <w:tblPr>
        <w:tblStyle w:val="43"/>
        <w:tblW w:w="8276"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28" w:type="dxa"/>
          <w:bottom w:w="0" w:type="dxa"/>
          <w:right w:w="28" w:type="dxa"/>
        </w:tblCellMar>
      </w:tblPr>
      <w:tblGrid>
        <w:gridCol w:w="851"/>
        <w:gridCol w:w="1970"/>
        <w:gridCol w:w="4396"/>
        <w:gridCol w:w="1059"/>
      </w:tblGrid>
      <w:tr w14:paraId="2A19441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20" w:hRule="atLeast"/>
          <w:tblHeader/>
          <w:jc w:val="center"/>
        </w:trPr>
        <w:tc>
          <w:tcPr>
            <w:tcW w:w="851" w:type="dxa"/>
            <w:vAlign w:val="center"/>
          </w:tcPr>
          <w:p w14:paraId="61930446">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类别</w:t>
            </w:r>
          </w:p>
        </w:tc>
        <w:tc>
          <w:tcPr>
            <w:tcW w:w="1970" w:type="dxa"/>
            <w:vAlign w:val="center"/>
          </w:tcPr>
          <w:p w14:paraId="1CA86E53">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监测站位</w:t>
            </w:r>
          </w:p>
        </w:tc>
        <w:tc>
          <w:tcPr>
            <w:tcW w:w="4396" w:type="dxa"/>
            <w:vAlign w:val="center"/>
          </w:tcPr>
          <w:p w14:paraId="63136023">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监测项目</w:t>
            </w:r>
          </w:p>
        </w:tc>
        <w:tc>
          <w:tcPr>
            <w:tcW w:w="1059" w:type="dxa"/>
            <w:vAlign w:val="center"/>
          </w:tcPr>
          <w:p w14:paraId="29607669">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监测频次</w:t>
            </w:r>
          </w:p>
        </w:tc>
      </w:tr>
      <w:tr w14:paraId="5343151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20" w:hRule="atLeast"/>
          <w:jc w:val="center"/>
        </w:trPr>
        <w:tc>
          <w:tcPr>
            <w:tcW w:w="851" w:type="dxa"/>
            <w:vAlign w:val="center"/>
          </w:tcPr>
          <w:p w14:paraId="7E2C5338">
            <w:pPr>
              <w:pStyle w:val="70"/>
              <w:rPr>
                <w:color w:val="000000" w:themeColor="text1"/>
                <w14:textFill>
                  <w14:solidFill>
                    <w14:schemeClr w14:val="tx1"/>
                  </w14:solidFill>
                </w14:textFill>
              </w:rPr>
            </w:pPr>
            <w:r>
              <w:rPr>
                <w:color w:val="000000" w:themeColor="text1"/>
                <w14:textFill>
                  <w14:solidFill>
                    <w14:schemeClr w14:val="tx1"/>
                  </w14:solidFill>
                </w14:textFill>
              </w:rPr>
              <w:t>无组织大气</w:t>
            </w:r>
          </w:p>
        </w:tc>
        <w:tc>
          <w:tcPr>
            <w:tcW w:w="1970" w:type="dxa"/>
            <w:vAlign w:val="center"/>
          </w:tcPr>
          <w:p w14:paraId="07C6D031">
            <w:pPr>
              <w:pStyle w:val="70"/>
              <w:rPr>
                <w:color w:val="000000" w:themeColor="text1"/>
                <w14:textFill>
                  <w14:solidFill>
                    <w14:schemeClr w14:val="tx1"/>
                  </w14:solidFill>
                </w14:textFill>
              </w:rPr>
            </w:pPr>
            <w:r>
              <w:rPr>
                <w:color w:val="000000" w:themeColor="text1"/>
                <w14:textFill>
                  <w14:solidFill>
                    <w14:schemeClr w14:val="tx1"/>
                  </w14:solidFill>
                </w14:textFill>
              </w:rPr>
              <w:t>企业边界</w:t>
            </w:r>
          </w:p>
        </w:tc>
        <w:tc>
          <w:tcPr>
            <w:tcW w:w="4396" w:type="dxa"/>
            <w:vAlign w:val="center"/>
          </w:tcPr>
          <w:p w14:paraId="6AF6B201">
            <w:pPr>
              <w:pStyle w:val="70"/>
              <w:rPr>
                <w:color w:val="000000" w:themeColor="text1"/>
                <w14:textFill>
                  <w14:solidFill>
                    <w14:schemeClr w14:val="tx1"/>
                  </w14:solidFill>
                </w14:textFill>
              </w:rPr>
            </w:pPr>
            <w:r>
              <w:rPr>
                <w:color w:val="000000" w:themeColor="text1"/>
                <w14:textFill>
                  <w14:solidFill>
                    <w14:schemeClr w14:val="tx1"/>
                  </w14:solidFill>
                </w14:textFill>
              </w:rPr>
              <w:t>PM</w:t>
            </w:r>
            <w:r>
              <w:rPr>
                <w:color w:val="000000" w:themeColor="text1"/>
                <w:vertAlign w:val="subscript"/>
                <w14:textFill>
                  <w14:solidFill>
                    <w14:schemeClr w14:val="tx1"/>
                  </w14:solidFill>
                </w14:textFill>
              </w:rPr>
              <w:t>10</w:t>
            </w:r>
            <w:r>
              <w:rPr>
                <w:color w:val="000000" w:themeColor="text1"/>
                <w14:textFill>
                  <w14:solidFill>
                    <w14:schemeClr w14:val="tx1"/>
                  </w14:solidFill>
                </w14:textFill>
              </w:rPr>
              <w:t>、PM</w:t>
            </w:r>
            <w:r>
              <w:rPr>
                <w:color w:val="000000" w:themeColor="text1"/>
                <w:vertAlign w:val="subscript"/>
                <w14:textFill>
                  <w14:solidFill>
                    <w14:schemeClr w14:val="tx1"/>
                  </w14:solidFill>
                </w14:textFill>
              </w:rPr>
              <w:t>2.5</w:t>
            </w:r>
            <w:r>
              <w:rPr>
                <w:color w:val="000000" w:themeColor="text1"/>
                <w14:textFill>
                  <w14:solidFill>
                    <w14:schemeClr w14:val="tx1"/>
                  </w14:solidFill>
                </w14:textFill>
              </w:rPr>
              <w:t>、SO</w:t>
            </w:r>
            <w:r>
              <w:rPr>
                <w:color w:val="000000" w:themeColor="text1"/>
                <w:vertAlign w:val="subscript"/>
                <w14:textFill>
                  <w14:solidFill>
                    <w14:schemeClr w14:val="tx1"/>
                  </w14:solidFill>
                </w14:textFill>
              </w:rPr>
              <w:t>2</w:t>
            </w:r>
            <w:r>
              <w:rPr>
                <w:color w:val="000000" w:themeColor="text1"/>
                <w14:textFill>
                  <w14:solidFill>
                    <w14:schemeClr w14:val="tx1"/>
                  </w14:solidFill>
                </w14:textFill>
              </w:rPr>
              <w:t>、NO</w:t>
            </w:r>
            <w:r>
              <w:rPr>
                <w:color w:val="000000" w:themeColor="text1"/>
                <w:vertAlign w:val="subscript"/>
                <w14:textFill>
                  <w14:solidFill>
                    <w14:schemeClr w14:val="tx1"/>
                  </w14:solidFill>
                </w14:textFill>
              </w:rPr>
              <w:t>2</w:t>
            </w:r>
            <w:r>
              <w:rPr>
                <w:color w:val="000000" w:themeColor="text1"/>
                <w14:textFill>
                  <w14:solidFill>
                    <w14:schemeClr w14:val="tx1"/>
                  </w14:solidFill>
                </w14:textFill>
              </w:rPr>
              <w:t>、CO、</w:t>
            </w:r>
            <w:r>
              <w:rPr>
                <w:snapToGrid w:val="0"/>
                <w:color w:val="000000" w:themeColor="text1"/>
                <w:kern w:val="0"/>
                <w14:textFill>
                  <w14:solidFill>
                    <w14:schemeClr w14:val="tx1"/>
                  </w14:solidFill>
                </w14:textFill>
              </w:rPr>
              <w:t>苯乙烯、硫酸、非甲烷总烃</w:t>
            </w:r>
          </w:p>
        </w:tc>
        <w:tc>
          <w:tcPr>
            <w:tcW w:w="1059" w:type="dxa"/>
            <w:vAlign w:val="center"/>
          </w:tcPr>
          <w:p w14:paraId="5750BCDF">
            <w:pPr>
              <w:pStyle w:val="70"/>
              <w:rPr>
                <w:color w:val="000000" w:themeColor="text1"/>
                <w14:textFill>
                  <w14:solidFill>
                    <w14:schemeClr w14:val="tx1"/>
                  </w14:solidFill>
                </w14:textFill>
              </w:rPr>
            </w:pPr>
            <w:r>
              <w:rPr>
                <w:color w:val="000000" w:themeColor="text1"/>
                <w14:textFill>
                  <w14:solidFill>
                    <w14:schemeClr w14:val="tx1"/>
                  </w14:solidFill>
                </w14:textFill>
              </w:rPr>
              <w:t>1次/年</w:t>
            </w:r>
          </w:p>
        </w:tc>
      </w:tr>
      <w:tr w14:paraId="7B948F5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20" w:hRule="atLeast"/>
          <w:jc w:val="center"/>
        </w:trPr>
        <w:tc>
          <w:tcPr>
            <w:tcW w:w="851" w:type="dxa"/>
            <w:vAlign w:val="center"/>
          </w:tcPr>
          <w:p w14:paraId="388365C7">
            <w:pPr>
              <w:pStyle w:val="70"/>
              <w:rPr>
                <w:color w:val="000000" w:themeColor="text1"/>
                <w14:textFill>
                  <w14:solidFill>
                    <w14:schemeClr w14:val="tx1"/>
                  </w14:solidFill>
                </w14:textFill>
              </w:rPr>
            </w:pPr>
            <w:r>
              <w:rPr>
                <w:color w:val="000000" w:themeColor="text1"/>
                <w14:textFill>
                  <w14:solidFill>
                    <w14:schemeClr w14:val="tx1"/>
                  </w14:solidFill>
                </w14:textFill>
              </w:rPr>
              <w:t>海洋生态</w:t>
            </w:r>
          </w:p>
        </w:tc>
        <w:tc>
          <w:tcPr>
            <w:tcW w:w="1970" w:type="dxa"/>
            <w:vAlign w:val="center"/>
          </w:tcPr>
          <w:p w14:paraId="349FF4A5">
            <w:pPr>
              <w:pStyle w:val="70"/>
              <w:rPr>
                <w:color w:val="000000" w:themeColor="text1"/>
                <w14:textFill>
                  <w14:solidFill>
                    <w14:schemeClr w14:val="tx1"/>
                  </w14:solidFill>
                </w14:textFill>
              </w:rPr>
            </w:pPr>
            <w:r>
              <w:rPr>
                <w:color w:val="000000" w:themeColor="text1"/>
                <w14:textFill>
                  <w14:solidFill>
                    <w14:schemeClr w14:val="tx1"/>
                  </w14:solidFill>
                </w14:textFill>
              </w:rPr>
              <w:t>水质监测</w:t>
            </w:r>
          </w:p>
        </w:tc>
        <w:tc>
          <w:tcPr>
            <w:tcW w:w="4396" w:type="dxa"/>
            <w:vAlign w:val="center"/>
          </w:tcPr>
          <w:p w14:paraId="4CC5946D">
            <w:pPr>
              <w:pStyle w:val="70"/>
              <w:rPr>
                <w:color w:val="000000" w:themeColor="text1"/>
                <w14:textFill>
                  <w14:solidFill>
                    <w14:schemeClr w14:val="tx1"/>
                  </w14:solidFill>
                </w14:textFill>
              </w:rPr>
            </w:pPr>
            <w:r>
              <w:rPr>
                <w:color w:val="000000" w:themeColor="text1"/>
                <w14:textFill>
                  <w14:solidFill>
                    <w14:schemeClr w14:val="tx1"/>
                  </w14:solidFill>
                </w14:textFill>
              </w:rPr>
              <w:t>盐度、悬浮物、pH、化学需氧量、无机氮、活性磷酸盐、石油类、铜、铅、镉、总铬、汞、砷</w:t>
            </w:r>
          </w:p>
        </w:tc>
        <w:tc>
          <w:tcPr>
            <w:tcW w:w="1059" w:type="dxa"/>
            <w:vAlign w:val="center"/>
          </w:tcPr>
          <w:p w14:paraId="4048EB76">
            <w:pPr>
              <w:pStyle w:val="70"/>
              <w:rPr>
                <w:color w:val="000000" w:themeColor="text1"/>
                <w14:textFill>
                  <w14:solidFill>
                    <w14:schemeClr w14:val="tx1"/>
                  </w14:solidFill>
                </w14:textFill>
              </w:rPr>
            </w:pPr>
            <w:r>
              <w:rPr>
                <w:color w:val="000000" w:themeColor="text1"/>
                <w14:textFill>
                  <w14:solidFill>
                    <w14:schemeClr w14:val="tx1"/>
                  </w14:solidFill>
                </w14:textFill>
              </w:rPr>
              <w:t>每年春、秋两季进行调查</w:t>
            </w:r>
          </w:p>
        </w:tc>
      </w:tr>
    </w:tbl>
    <w:p w14:paraId="133536C4">
      <w:pPr>
        <w:spacing w:line="240" w:lineRule="exact"/>
        <w:ind w:firstLine="42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注：具体监测频次和监测点位，应根据项目实际运营情况作适当调整。</w:t>
      </w:r>
    </w:p>
    <w:p w14:paraId="05A83298">
      <w:pPr>
        <w:pStyle w:val="4"/>
        <w:rPr>
          <w:color w:val="000000" w:themeColor="text1"/>
          <w14:textFill>
            <w14:solidFill>
              <w14:schemeClr w14:val="tx1"/>
            </w14:solidFill>
          </w14:textFill>
        </w:rPr>
      </w:pPr>
      <w:bookmarkStart w:id="885" w:name="_Toc216620656"/>
      <w:r>
        <w:rPr>
          <w:color w:val="000000" w:themeColor="text1"/>
          <w14:textFill>
            <w14:solidFill>
              <w14:schemeClr w14:val="tx1"/>
            </w14:solidFill>
          </w14:textFill>
        </w:rPr>
        <w:t>环境风险事故监测计划</w:t>
      </w:r>
      <w:bookmarkEnd w:id="879"/>
      <w:bookmarkEnd w:id="880"/>
      <w:bookmarkEnd w:id="881"/>
      <w:bookmarkEnd w:id="882"/>
      <w:bookmarkEnd w:id="883"/>
      <w:bookmarkEnd w:id="884"/>
      <w:bookmarkEnd w:id="885"/>
    </w:p>
    <w:p w14:paraId="2505073E">
      <w:pPr>
        <w:ind w:firstLine="480"/>
        <w:rPr>
          <w:color w:val="000000" w:themeColor="text1"/>
          <w14:textFill>
            <w14:solidFill>
              <w14:schemeClr w14:val="tx1"/>
            </w14:solidFill>
          </w14:textFill>
        </w:rPr>
      </w:pPr>
      <w:r>
        <w:rPr>
          <w:color w:val="000000" w:themeColor="text1"/>
          <w14:textFill>
            <w14:solidFill>
              <w14:schemeClr w14:val="tx1"/>
            </w14:solidFill>
          </w14:textFill>
        </w:rPr>
        <w:t>建设单位应按照《突发环境事件应急监测技术规范》（HJ 589-2021）制定应急监测计划。应配备应急设备及人员，随时接受来自项目总调度室、各部门及社会人员的污染事故信息，及时采取应急监测方案，出动应急监测人员和分析人员，配合生态环境部门进行事故污染源的调查与处置。公司内部不能完成监测时应委托有资质的监测机构实施应急监测。</w:t>
      </w:r>
    </w:p>
    <w:p w14:paraId="11A3945E">
      <w:pPr>
        <w:ind w:firstLine="480"/>
        <w:rPr>
          <w:color w:val="000000" w:themeColor="text1"/>
          <w14:textFill>
            <w14:solidFill>
              <w14:schemeClr w14:val="tx1"/>
            </w14:solidFill>
          </w14:textFill>
        </w:rPr>
      </w:pPr>
      <w:r>
        <w:rPr>
          <w:color w:val="000000" w:themeColor="text1"/>
          <w14:textFill>
            <w14:solidFill>
              <w14:schemeClr w14:val="tx1"/>
            </w14:solidFill>
          </w14:textFill>
        </w:rPr>
        <w:t>在发生环境事故时，首先启动应急预案。监测人员应携带大气和水质等监测必要设备及时到达现场，对受污染影响的大气环境及相关水体进行监测。根据事故类型，对相关地点进行紧急高频次监测，根据事故情况选择检测项目，随时监测事故源动态和周围环境变化状况，为应急指挥提供依据。</w:t>
      </w:r>
    </w:p>
    <w:p w14:paraId="71A4ED7C">
      <w:pPr>
        <w:ind w:firstLine="480"/>
        <w:rPr>
          <w:color w:val="000000" w:themeColor="text1"/>
          <w14:textFill>
            <w14:solidFill>
              <w14:schemeClr w14:val="tx1"/>
            </w14:solidFill>
          </w14:textFill>
        </w:rPr>
      </w:pPr>
      <w:r>
        <w:rPr>
          <w:color w:val="000000" w:themeColor="text1"/>
          <w14:textFill>
            <w14:solidFill>
              <w14:schemeClr w14:val="tx1"/>
            </w14:solidFill>
          </w14:textFill>
        </w:rPr>
        <w:t>突发环境事件应急监测结果应以电话、传真、监测快报等形式立即上报，跟踪监测结果以监测简报形式监测次日报送。事故处理完毕后，应出具应急监测报告，上报当地生态环境部门监管，重大和特大突发环境事故还应报上一级环境监测部门。</w:t>
      </w:r>
    </w:p>
    <w:p w14:paraId="32A4069B">
      <w:pPr>
        <w:ind w:firstLine="480"/>
        <w:rPr>
          <w:color w:val="000000" w:themeColor="text1"/>
          <w14:textFill>
            <w14:solidFill>
              <w14:schemeClr w14:val="tx1"/>
            </w14:solidFill>
          </w14:textFill>
        </w:rPr>
      </w:pPr>
      <w:r>
        <w:rPr>
          <w:color w:val="000000" w:themeColor="text1"/>
          <w14:textFill>
            <w14:solidFill>
              <w14:schemeClr w14:val="tx1"/>
            </w14:solidFill>
          </w14:textFill>
        </w:rPr>
        <w:t>根据本项目特点，可能发生的事故为</w:t>
      </w:r>
      <w:r>
        <w:rPr>
          <w:color w:val="0000FF"/>
        </w:rPr>
        <w:t>船舶事故溢油</w:t>
      </w:r>
      <w:r>
        <w:rPr>
          <w:rFonts w:hint="eastAsia"/>
          <w:color w:val="0000FF"/>
          <w:lang w:eastAsia="zh-CN"/>
        </w:rPr>
        <w:t>、</w:t>
      </w:r>
      <w:r>
        <w:rPr>
          <w:rFonts w:hint="eastAsia"/>
          <w:color w:val="0000FF"/>
          <w:lang w:val="en-US" w:eastAsia="zh-CN"/>
        </w:rPr>
        <w:t>船舶化学品泄漏</w:t>
      </w:r>
      <w:r>
        <w:rPr>
          <w:color w:val="0000FF"/>
        </w:rPr>
        <w:t>和管道泄漏，</w:t>
      </w:r>
      <w:r>
        <w:rPr>
          <w:color w:val="000000" w:themeColor="text1"/>
          <w14:textFill>
            <w14:solidFill>
              <w14:schemeClr w14:val="tx1"/>
            </w14:solidFill>
          </w14:textFill>
        </w:rPr>
        <w:t>制定如下监测计划：</w:t>
      </w:r>
    </w:p>
    <w:p w14:paraId="1DC89486">
      <w:pPr>
        <w:pStyle w:val="7"/>
        <w:rPr>
          <w:color w:val="000000" w:themeColor="text1"/>
          <w14:textFill>
            <w14:solidFill>
              <w14:schemeClr w14:val="tx1"/>
            </w14:solidFill>
          </w14:textFill>
        </w:rPr>
      </w:pPr>
      <w:r>
        <w:rPr>
          <w:color w:val="000000" w:themeColor="text1"/>
          <w14:textFill>
            <w14:solidFill>
              <w14:schemeClr w14:val="tx1"/>
            </w14:solidFill>
          </w14:textFill>
        </w:rPr>
        <w:t>事故应急监测计划表</w:t>
      </w:r>
    </w:p>
    <w:tbl>
      <w:tblPr>
        <w:tblStyle w:val="43"/>
        <w:tblW w:w="8276"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409"/>
        <w:gridCol w:w="1273"/>
        <w:gridCol w:w="2290"/>
        <w:gridCol w:w="1652"/>
        <w:gridCol w:w="1652"/>
      </w:tblGrid>
      <w:tr w14:paraId="694E45B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409" w:type="dxa"/>
            <w:vAlign w:val="center"/>
          </w:tcPr>
          <w:p w14:paraId="377CB85F">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事故</w:t>
            </w:r>
          </w:p>
        </w:tc>
        <w:tc>
          <w:tcPr>
            <w:tcW w:w="1273" w:type="dxa"/>
            <w:vAlign w:val="center"/>
          </w:tcPr>
          <w:p w14:paraId="66470A8B">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环境要素</w:t>
            </w:r>
          </w:p>
        </w:tc>
        <w:tc>
          <w:tcPr>
            <w:tcW w:w="2290" w:type="dxa"/>
            <w:vAlign w:val="center"/>
          </w:tcPr>
          <w:p w14:paraId="04871064">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监测项目</w:t>
            </w:r>
          </w:p>
        </w:tc>
        <w:tc>
          <w:tcPr>
            <w:tcW w:w="1652" w:type="dxa"/>
            <w:vAlign w:val="center"/>
          </w:tcPr>
          <w:p w14:paraId="2A43C3F9">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监测点位</w:t>
            </w:r>
          </w:p>
        </w:tc>
        <w:tc>
          <w:tcPr>
            <w:tcW w:w="1652" w:type="dxa"/>
            <w:vAlign w:val="center"/>
          </w:tcPr>
          <w:p w14:paraId="4D64CA38">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监测频次</w:t>
            </w:r>
          </w:p>
        </w:tc>
      </w:tr>
      <w:tr w14:paraId="1708210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409" w:type="dxa"/>
            <w:vAlign w:val="center"/>
          </w:tcPr>
          <w:p w14:paraId="09F58CB3">
            <w:pPr>
              <w:pStyle w:val="70"/>
              <w:rPr>
                <w:color w:val="000000" w:themeColor="text1"/>
                <w14:textFill>
                  <w14:solidFill>
                    <w14:schemeClr w14:val="tx1"/>
                  </w14:solidFill>
                </w14:textFill>
              </w:rPr>
            </w:pPr>
            <w:r>
              <w:rPr>
                <w:color w:val="000000" w:themeColor="text1"/>
                <w14:textFill>
                  <w14:solidFill>
                    <w14:schemeClr w14:val="tx1"/>
                  </w14:solidFill>
                </w14:textFill>
              </w:rPr>
              <w:t>船舶溢油</w:t>
            </w:r>
          </w:p>
        </w:tc>
        <w:tc>
          <w:tcPr>
            <w:tcW w:w="1273" w:type="dxa"/>
            <w:vAlign w:val="center"/>
          </w:tcPr>
          <w:p w14:paraId="78D414CB">
            <w:pPr>
              <w:pStyle w:val="70"/>
              <w:rPr>
                <w:color w:val="000000" w:themeColor="text1"/>
                <w14:textFill>
                  <w14:solidFill>
                    <w14:schemeClr w14:val="tx1"/>
                  </w14:solidFill>
                </w14:textFill>
              </w:rPr>
            </w:pPr>
            <w:r>
              <w:rPr>
                <w:color w:val="000000" w:themeColor="text1"/>
                <w14:textFill>
                  <w14:solidFill>
                    <w14:schemeClr w14:val="tx1"/>
                  </w14:solidFill>
                </w14:textFill>
              </w:rPr>
              <w:t>水质</w:t>
            </w:r>
          </w:p>
        </w:tc>
        <w:tc>
          <w:tcPr>
            <w:tcW w:w="2290" w:type="dxa"/>
            <w:vAlign w:val="center"/>
          </w:tcPr>
          <w:p w14:paraId="71F69660">
            <w:pPr>
              <w:pStyle w:val="70"/>
              <w:rPr>
                <w:color w:val="000000" w:themeColor="text1"/>
                <w14:textFill>
                  <w14:solidFill>
                    <w14:schemeClr w14:val="tx1"/>
                  </w14:solidFill>
                </w14:textFill>
              </w:rPr>
            </w:pPr>
            <w:r>
              <w:rPr>
                <w:color w:val="000000" w:themeColor="text1"/>
                <w14:textFill>
                  <w14:solidFill>
                    <w14:schemeClr w14:val="tx1"/>
                  </w14:solidFill>
                </w14:textFill>
              </w:rPr>
              <w:t>COD、DO、石油类、泄漏化学物</w:t>
            </w:r>
          </w:p>
        </w:tc>
        <w:tc>
          <w:tcPr>
            <w:tcW w:w="1652" w:type="dxa"/>
            <w:vAlign w:val="center"/>
          </w:tcPr>
          <w:p w14:paraId="7D0519DD">
            <w:pPr>
              <w:pStyle w:val="70"/>
              <w:rPr>
                <w:color w:val="000000" w:themeColor="text1"/>
                <w14:textFill>
                  <w14:solidFill>
                    <w14:schemeClr w14:val="tx1"/>
                  </w14:solidFill>
                </w14:textFill>
              </w:rPr>
            </w:pPr>
            <w:r>
              <w:rPr>
                <w:color w:val="000000" w:themeColor="text1"/>
                <w14:textFill>
                  <w14:solidFill>
                    <w14:schemeClr w14:val="tx1"/>
                  </w14:solidFill>
                </w14:textFill>
              </w:rPr>
              <w:t>事故区周围设6个监测点</w:t>
            </w:r>
          </w:p>
        </w:tc>
        <w:tc>
          <w:tcPr>
            <w:tcW w:w="1652" w:type="dxa"/>
            <w:vAlign w:val="center"/>
          </w:tcPr>
          <w:p w14:paraId="0B8F67D2">
            <w:pPr>
              <w:pStyle w:val="70"/>
              <w:rPr>
                <w:color w:val="000000" w:themeColor="text1"/>
                <w14:textFill>
                  <w14:solidFill>
                    <w14:schemeClr w14:val="tx1"/>
                  </w14:solidFill>
                </w14:textFill>
              </w:rPr>
            </w:pPr>
            <w:r>
              <w:rPr>
                <w:color w:val="000000" w:themeColor="text1"/>
                <w14:textFill>
                  <w14:solidFill>
                    <w14:schemeClr w14:val="tx1"/>
                  </w14:solidFill>
                </w14:textFill>
              </w:rPr>
              <w:t>每4小时采样一次直至达标</w:t>
            </w:r>
          </w:p>
        </w:tc>
      </w:tr>
      <w:tr w14:paraId="0C61475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409" w:type="dxa"/>
            <w:vAlign w:val="center"/>
          </w:tcPr>
          <w:p w14:paraId="0D3410AB">
            <w:pPr>
              <w:pStyle w:val="70"/>
              <w:rPr>
                <w:color w:val="000000" w:themeColor="text1"/>
                <w14:textFill>
                  <w14:solidFill>
                    <w14:schemeClr w14:val="tx1"/>
                  </w14:solidFill>
                </w14:textFill>
              </w:rPr>
            </w:pPr>
            <w:r>
              <w:rPr>
                <w:color w:val="000000" w:themeColor="text1"/>
                <w14:textFill>
                  <w14:solidFill>
                    <w14:schemeClr w14:val="tx1"/>
                  </w14:solidFill>
                </w14:textFill>
              </w:rPr>
              <w:t>化学品泄漏</w:t>
            </w:r>
          </w:p>
        </w:tc>
        <w:tc>
          <w:tcPr>
            <w:tcW w:w="1273" w:type="dxa"/>
            <w:vAlign w:val="center"/>
          </w:tcPr>
          <w:p w14:paraId="010220E2">
            <w:pPr>
              <w:pStyle w:val="70"/>
              <w:rPr>
                <w:color w:val="000000" w:themeColor="text1"/>
                <w14:textFill>
                  <w14:solidFill>
                    <w14:schemeClr w14:val="tx1"/>
                  </w14:solidFill>
                </w14:textFill>
              </w:rPr>
            </w:pPr>
            <w:r>
              <w:rPr>
                <w:color w:val="000000" w:themeColor="text1"/>
                <w14:textFill>
                  <w14:solidFill>
                    <w14:schemeClr w14:val="tx1"/>
                  </w14:solidFill>
                </w14:textFill>
              </w:rPr>
              <w:t>环境空气</w:t>
            </w:r>
          </w:p>
        </w:tc>
        <w:tc>
          <w:tcPr>
            <w:tcW w:w="2290" w:type="dxa"/>
            <w:vAlign w:val="center"/>
          </w:tcPr>
          <w:p w14:paraId="3EC81AF8">
            <w:pPr>
              <w:pStyle w:val="70"/>
              <w:rPr>
                <w:color w:val="000000" w:themeColor="text1"/>
                <w14:textFill>
                  <w14:solidFill>
                    <w14:schemeClr w14:val="tx1"/>
                  </w14:solidFill>
                </w14:textFill>
              </w:rPr>
            </w:pPr>
            <w:r>
              <w:rPr>
                <w:color w:val="000000" w:themeColor="text1"/>
                <w14:textFill>
                  <w14:solidFill>
                    <w14:schemeClr w14:val="tx1"/>
                  </w14:solidFill>
                </w14:textFill>
              </w:rPr>
              <w:t>非甲烷总烃、泄漏化学物</w:t>
            </w:r>
          </w:p>
        </w:tc>
        <w:tc>
          <w:tcPr>
            <w:tcW w:w="1652" w:type="dxa"/>
            <w:vAlign w:val="center"/>
          </w:tcPr>
          <w:p w14:paraId="60199D8D">
            <w:pPr>
              <w:pStyle w:val="70"/>
              <w:rPr>
                <w:color w:val="000000" w:themeColor="text1"/>
                <w14:textFill>
                  <w14:solidFill>
                    <w14:schemeClr w14:val="tx1"/>
                  </w14:solidFill>
                </w14:textFill>
              </w:rPr>
            </w:pPr>
            <w:r>
              <w:rPr>
                <w:color w:val="000000" w:themeColor="text1"/>
                <w14:textFill>
                  <w14:solidFill>
                    <w14:schemeClr w14:val="tx1"/>
                  </w14:solidFill>
                </w14:textFill>
              </w:rPr>
              <w:t>事故区周围设3个监测点</w:t>
            </w:r>
          </w:p>
        </w:tc>
        <w:tc>
          <w:tcPr>
            <w:tcW w:w="1652" w:type="dxa"/>
            <w:vAlign w:val="center"/>
          </w:tcPr>
          <w:p w14:paraId="6379A376">
            <w:pPr>
              <w:pStyle w:val="70"/>
              <w:rPr>
                <w:color w:val="000000" w:themeColor="text1"/>
                <w14:textFill>
                  <w14:solidFill>
                    <w14:schemeClr w14:val="tx1"/>
                  </w14:solidFill>
                </w14:textFill>
              </w:rPr>
            </w:pPr>
            <w:r>
              <w:rPr>
                <w:color w:val="000000" w:themeColor="text1"/>
                <w14:textFill>
                  <w14:solidFill>
                    <w14:schemeClr w14:val="tx1"/>
                  </w14:solidFill>
                </w14:textFill>
              </w:rPr>
              <w:t>每小时采样1次直至达标</w:t>
            </w:r>
          </w:p>
        </w:tc>
      </w:tr>
    </w:tbl>
    <w:p w14:paraId="1C873D7E">
      <w:pPr>
        <w:pStyle w:val="5"/>
        <w:rPr>
          <w:color w:val="000000" w:themeColor="text1"/>
          <w14:textFill>
            <w14:solidFill>
              <w14:schemeClr w14:val="tx1"/>
            </w14:solidFill>
          </w14:textFill>
        </w:rPr>
      </w:pPr>
      <w:bookmarkStart w:id="886" w:name="_Toc25437068"/>
      <w:bookmarkStart w:id="887" w:name="_Toc216620657"/>
      <w:r>
        <w:rPr>
          <w:color w:val="000000" w:themeColor="text1"/>
          <w14:textFill>
            <w14:solidFill>
              <w14:schemeClr w14:val="tx1"/>
            </w14:solidFill>
          </w14:textFill>
        </w:rPr>
        <w:t>环境保护“三同时”验收一览表</w:t>
      </w:r>
      <w:bookmarkEnd w:id="886"/>
      <w:bookmarkEnd w:id="887"/>
    </w:p>
    <w:p w14:paraId="26ECFEAF">
      <w:pPr>
        <w:ind w:firstLine="480"/>
        <w:rPr>
          <w:color w:val="000000" w:themeColor="text1"/>
          <w14:textFill>
            <w14:solidFill>
              <w14:schemeClr w14:val="tx1"/>
            </w14:solidFill>
          </w14:textFill>
        </w:rPr>
      </w:pPr>
      <w:r>
        <w:rPr>
          <w:color w:val="000000" w:themeColor="text1"/>
          <w14:textFill>
            <w14:solidFill>
              <w14:schemeClr w14:val="tx1"/>
            </w14:solidFill>
          </w14:textFill>
        </w:rPr>
        <w:t>根据《关于发布</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建设项目竣工环境保护验收暂行办法</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的公告》（国环规环评〔2017〕4 号）、《建设项目竣工环境保护验收技术规范 港口》（HJ436-2008），项目建设中应严格执行环境保护“三同时”制度，并进行环境保护设施验收。</w:t>
      </w:r>
    </w:p>
    <w:p w14:paraId="0A638A56">
      <w:pPr>
        <w:ind w:firstLine="480"/>
        <w:rPr>
          <w:color w:val="000000" w:themeColor="text1"/>
          <w14:textFill>
            <w14:solidFill>
              <w14:schemeClr w14:val="tx1"/>
            </w14:solidFill>
          </w14:textFill>
        </w:rPr>
      </w:pPr>
    </w:p>
    <w:p w14:paraId="0ACEEE7B">
      <w:pPr>
        <w:ind w:firstLine="480"/>
        <w:rPr>
          <w:color w:val="000000" w:themeColor="text1"/>
          <w14:textFill>
            <w14:solidFill>
              <w14:schemeClr w14:val="tx1"/>
            </w14:solidFill>
          </w14:textFill>
        </w:rPr>
      </w:pPr>
    </w:p>
    <w:p w14:paraId="5F6CF540">
      <w:pPr>
        <w:ind w:firstLine="480"/>
        <w:rPr>
          <w:color w:val="000000" w:themeColor="text1"/>
          <w14:textFill>
            <w14:solidFill>
              <w14:schemeClr w14:val="tx1"/>
            </w14:solidFill>
          </w14:textFill>
        </w:rPr>
      </w:pPr>
    </w:p>
    <w:p w14:paraId="63B1A86E">
      <w:pPr>
        <w:ind w:firstLine="480"/>
        <w:rPr>
          <w:color w:val="000000" w:themeColor="text1"/>
          <w14:textFill>
            <w14:solidFill>
              <w14:schemeClr w14:val="tx1"/>
            </w14:solidFill>
          </w14:textFill>
        </w:rPr>
      </w:pPr>
    </w:p>
    <w:p w14:paraId="363EB8B7">
      <w:pPr>
        <w:ind w:firstLine="480"/>
        <w:rPr>
          <w:color w:val="000000" w:themeColor="text1"/>
          <w14:textFill>
            <w14:solidFill>
              <w14:schemeClr w14:val="tx1"/>
            </w14:solidFill>
          </w14:textFill>
        </w:rPr>
      </w:pPr>
    </w:p>
    <w:p w14:paraId="20E0634B">
      <w:pPr>
        <w:ind w:firstLine="480"/>
        <w:rPr>
          <w:color w:val="000000" w:themeColor="text1"/>
          <w14:textFill>
            <w14:solidFill>
              <w14:schemeClr w14:val="tx1"/>
            </w14:solidFill>
          </w14:textFill>
        </w:rPr>
      </w:pPr>
    </w:p>
    <w:p w14:paraId="0DF5690F">
      <w:pPr>
        <w:ind w:firstLine="480"/>
        <w:rPr>
          <w:color w:val="000000" w:themeColor="text1"/>
          <w14:textFill>
            <w14:solidFill>
              <w14:schemeClr w14:val="tx1"/>
            </w14:solidFill>
          </w14:textFill>
        </w:rPr>
      </w:pPr>
    </w:p>
    <w:p w14:paraId="02F14F8A">
      <w:pPr>
        <w:ind w:firstLine="480"/>
        <w:rPr>
          <w:color w:val="000000" w:themeColor="text1"/>
          <w14:textFill>
            <w14:solidFill>
              <w14:schemeClr w14:val="tx1"/>
            </w14:solidFill>
          </w14:textFill>
        </w:rPr>
      </w:pPr>
    </w:p>
    <w:p w14:paraId="5EBC5647">
      <w:pPr>
        <w:pStyle w:val="7"/>
        <w:rPr>
          <w:color w:val="000000" w:themeColor="text1"/>
          <w14:textFill>
            <w14:solidFill>
              <w14:schemeClr w14:val="tx1"/>
            </w14:solidFill>
          </w14:textFill>
        </w:rPr>
      </w:pPr>
      <w:r>
        <w:rPr>
          <w:color w:val="000000" w:themeColor="text1"/>
          <w14:textFill>
            <w14:solidFill>
              <w14:schemeClr w14:val="tx1"/>
            </w14:solidFill>
          </w14:textFill>
        </w:rPr>
        <w:t>环保设施竣工验收一览表</w:t>
      </w:r>
    </w:p>
    <w:tbl>
      <w:tblPr>
        <w:tblStyle w:val="43"/>
        <w:tblW w:w="8446" w:type="dxa"/>
        <w:jc w:val="right"/>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587"/>
        <w:gridCol w:w="460"/>
        <w:gridCol w:w="315"/>
        <w:gridCol w:w="948"/>
        <w:gridCol w:w="3059"/>
        <w:gridCol w:w="1236"/>
        <w:gridCol w:w="1841"/>
      </w:tblGrid>
      <w:tr w14:paraId="4701375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blHeader/>
          <w:jc w:val="right"/>
        </w:trPr>
        <w:tc>
          <w:tcPr>
            <w:tcW w:w="587" w:type="dxa"/>
            <w:tcMar>
              <w:left w:w="0" w:type="dxa"/>
              <w:right w:w="0" w:type="dxa"/>
            </w:tcMar>
            <w:vAlign w:val="center"/>
          </w:tcPr>
          <w:p w14:paraId="78C4B277">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项目</w:t>
            </w:r>
          </w:p>
        </w:tc>
        <w:tc>
          <w:tcPr>
            <w:tcW w:w="1723" w:type="dxa"/>
            <w:gridSpan w:val="3"/>
            <w:tcMar>
              <w:left w:w="0" w:type="dxa"/>
              <w:right w:w="0" w:type="dxa"/>
            </w:tcMar>
            <w:vAlign w:val="center"/>
          </w:tcPr>
          <w:p w14:paraId="3F35D17E">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污染源</w:t>
            </w:r>
          </w:p>
        </w:tc>
        <w:tc>
          <w:tcPr>
            <w:tcW w:w="3059" w:type="dxa"/>
            <w:tcMar>
              <w:left w:w="0" w:type="dxa"/>
              <w:right w:w="0" w:type="dxa"/>
            </w:tcMar>
            <w:vAlign w:val="center"/>
          </w:tcPr>
          <w:p w14:paraId="122B0FBA">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主要环保措施</w:t>
            </w:r>
          </w:p>
        </w:tc>
        <w:tc>
          <w:tcPr>
            <w:tcW w:w="1236" w:type="dxa"/>
            <w:tcMar>
              <w:left w:w="0" w:type="dxa"/>
              <w:right w:w="0" w:type="dxa"/>
            </w:tcMar>
            <w:vAlign w:val="center"/>
          </w:tcPr>
          <w:p w14:paraId="4F9FF087">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措施效果</w:t>
            </w:r>
          </w:p>
        </w:tc>
        <w:tc>
          <w:tcPr>
            <w:tcW w:w="1841" w:type="dxa"/>
            <w:tcMar>
              <w:left w:w="0" w:type="dxa"/>
              <w:right w:w="0" w:type="dxa"/>
            </w:tcMar>
            <w:vAlign w:val="center"/>
          </w:tcPr>
          <w:p w14:paraId="579B68DA">
            <w:pPr>
              <w:pStyle w:val="70"/>
              <w:rPr>
                <w:b/>
                <w:bCs/>
                <w:color w:val="000000" w:themeColor="text1"/>
                <w14:textFill>
                  <w14:solidFill>
                    <w14:schemeClr w14:val="tx1"/>
                  </w14:solidFill>
                </w14:textFill>
              </w:rPr>
            </w:pPr>
            <w:r>
              <w:rPr>
                <w:b/>
                <w:bCs/>
                <w:color w:val="000000" w:themeColor="text1"/>
                <w14:textFill>
                  <w14:solidFill>
                    <w14:schemeClr w14:val="tx1"/>
                  </w14:solidFill>
                </w14:textFill>
              </w:rPr>
              <w:t>验收要求</w:t>
            </w:r>
          </w:p>
        </w:tc>
      </w:tr>
      <w:tr w14:paraId="6313FD0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right"/>
        </w:trPr>
        <w:tc>
          <w:tcPr>
            <w:tcW w:w="587" w:type="dxa"/>
            <w:tcMar>
              <w:left w:w="0" w:type="dxa"/>
              <w:right w:w="0" w:type="dxa"/>
            </w:tcMar>
            <w:vAlign w:val="center"/>
          </w:tcPr>
          <w:p w14:paraId="31C8CD3D">
            <w:pPr>
              <w:pStyle w:val="70"/>
              <w:rPr>
                <w:color w:val="000000" w:themeColor="text1"/>
                <w14:textFill>
                  <w14:solidFill>
                    <w14:schemeClr w14:val="tx1"/>
                  </w14:solidFill>
                </w14:textFill>
              </w:rPr>
            </w:pPr>
            <w:r>
              <w:rPr>
                <w:color w:val="000000" w:themeColor="text1"/>
                <w14:textFill>
                  <w14:solidFill>
                    <w14:schemeClr w14:val="tx1"/>
                  </w14:solidFill>
                </w14:textFill>
              </w:rPr>
              <w:t>大气</w:t>
            </w:r>
          </w:p>
        </w:tc>
        <w:tc>
          <w:tcPr>
            <w:tcW w:w="1723" w:type="dxa"/>
            <w:gridSpan w:val="3"/>
            <w:tcMar>
              <w:left w:w="0" w:type="dxa"/>
              <w:right w:w="0" w:type="dxa"/>
            </w:tcMar>
            <w:vAlign w:val="center"/>
          </w:tcPr>
          <w:p w14:paraId="40A3B086">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装卸废气</w:t>
            </w:r>
          </w:p>
        </w:tc>
        <w:tc>
          <w:tcPr>
            <w:tcW w:w="3059" w:type="dxa"/>
            <w:tcMar>
              <w:left w:w="0" w:type="dxa"/>
              <w:right w:w="0" w:type="dxa"/>
            </w:tcMar>
            <w:vAlign w:val="center"/>
          </w:tcPr>
          <w:p w14:paraId="5A1C5883">
            <w:pPr>
              <w:pStyle w:val="70"/>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选用环保型高效装卸机械，加强维护保养</w:t>
            </w:r>
          </w:p>
        </w:tc>
        <w:tc>
          <w:tcPr>
            <w:tcW w:w="1236" w:type="dxa"/>
            <w:tcMar>
              <w:left w:w="0" w:type="dxa"/>
              <w:right w:w="0" w:type="dxa"/>
            </w:tcMar>
            <w:vAlign w:val="center"/>
          </w:tcPr>
          <w:p w14:paraId="1A8D0284">
            <w:pPr>
              <w:pStyle w:val="70"/>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综合废气处理效率为95%。</w:t>
            </w:r>
          </w:p>
        </w:tc>
        <w:tc>
          <w:tcPr>
            <w:tcW w:w="1841" w:type="dxa"/>
            <w:tcMar>
              <w:left w:w="0" w:type="dxa"/>
              <w:right w:w="0" w:type="dxa"/>
            </w:tcMar>
            <w:vAlign w:val="center"/>
          </w:tcPr>
          <w:p w14:paraId="78C5FF7A">
            <w:pPr>
              <w:pStyle w:val="70"/>
              <w:jc w:val="both"/>
              <w:rPr>
                <w:color w:val="000000" w:themeColor="text1"/>
                <w14:textFill>
                  <w14:solidFill>
                    <w14:schemeClr w14:val="tx1"/>
                  </w14:solidFill>
                </w14:textFill>
              </w:rPr>
            </w:pPr>
            <w:r>
              <w:rPr>
                <w:color w:val="000000" w:themeColor="text1"/>
                <w14:textFill>
                  <w14:solidFill>
                    <w14:schemeClr w14:val="tx1"/>
                  </w14:solidFill>
                </w14:textFill>
              </w:rPr>
              <w:t>《大气污染物综合排放标准》（GB16297—1996）</w:t>
            </w:r>
          </w:p>
        </w:tc>
      </w:tr>
      <w:tr w14:paraId="202DCF2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right"/>
        </w:trPr>
        <w:tc>
          <w:tcPr>
            <w:tcW w:w="587" w:type="dxa"/>
            <w:vMerge w:val="restart"/>
            <w:tcMar>
              <w:left w:w="0" w:type="dxa"/>
              <w:right w:w="0" w:type="dxa"/>
            </w:tcMar>
            <w:vAlign w:val="center"/>
          </w:tcPr>
          <w:p w14:paraId="22346DDB">
            <w:pPr>
              <w:pStyle w:val="70"/>
              <w:rPr>
                <w:color w:val="000000" w:themeColor="text1"/>
                <w14:textFill>
                  <w14:solidFill>
                    <w14:schemeClr w14:val="tx1"/>
                  </w14:solidFill>
                </w14:textFill>
              </w:rPr>
            </w:pPr>
            <w:r>
              <w:rPr>
                <w:color w:val="000000" w:themeColor="text1"/>
                <w14:textFill>
                  <w14:solidFill>
                    <w14:schemeClr w14:val="tx1"/>
                  </w14:solidFill>
                </w14:textFill>
              </w:rPr>
              <w:t>废水</w:t>
            </w:r>
          </w:p>
        </w:tc>
        <w:tc>
          <w:tcPr>
            <w:tcW w:w="1723" w:type="dxa"/>
            <w:gridSpan w:val="3"/>
            <w:tcMar>
              <w:left w:w="0" w:type="dxa"/>
              <w:right w:w="0" w:type="dxa"/>
            </w:tcMar>
            <w:vAlign w:val="center"/>
          </w:tcPr>
          <w:p w14:paraId="60E4701C">
            <w:pPr>
              <w:pStyle w:val="70"/>
              <w:rPr>
                <w:color w:val="000000" w:themeColor="text1"/>
                <w14:textFill>
                  <w14:solidFill>
                    <w14:schemeClr w14:val="tx1"/>
                  </w14:solidFill>
                </w14:textFill>
              </w:rPr>
            </w:pPr>
            <w:r>
              <w:rPr>
                <w:color w:val="000000" w:themeColor="text1"/>
                <w14:textFill>
                  <w14:solidFill>
                    <w14:schemeClr w14:val="tx1"/>
                  </w14:solidFill>
                </w14:textFill>
              </w:rPr>
              <w:t>生活污水</w:t>
            </w:r>
          </w:p>
        </w:tc>
        <w:tc>
          <w:tcPr>
            <w:tcW w:w="3059" w:type="dxa"/>
            <w:tcMar>
              <w:left w:w="0" w:type="dxa"/>
              <w:right w:w="0" w:type="dxa"/>
            </w:tcMar>
            <w:vAlign w:val="center"/>
          </w:tcPr>
          <w:p w14:paraId="608B46C1">
            <w:pPr>
              <w:pStyle w:val="70"/>
              <w:rPr>
                <w:rFonts w:hint="eastAsia" w:eastAsia="宋体"/>
                <w:color w:val="000000" w:themeColor="text1"/>
                <w:lang w:eastAsia="zh-CN"/>
                <w14:textFill>
                  <w14:solidFill>
                    <w14:schemeClr w14:val="tx1"/>
                  </w14:solidFill>
                </w14:textFill>
              </w:rPr>
            </w:pPr>
            <w:r>
              <w:rPr>
                <w:rFonts w:hint="eastAsia"/>
                <w:color w:val="0000FF"/>
                <w:lang w:val="en-US" w:eastAsia="zh-CN"/>
              </w:rPr>
              <w:t>不新增</w:t>
            </w:r>
          </w:p>
        </w:tc>
        <w:tc>
          <w:tcPr>
            <w:tcW w:w="1236" w:type="dxa"/>
            <w:vMerge w:val="restart"/>
            <w:tcMar>
              <w:left w:w="0" w:type="dxa"/>
              <w:right w:w="0" w:type="dxa"/>
            </w:tcMar>
            <w:vAlign w:val="center"/>
          </w:tcPr>
          <w:p w14:paraId="58CDC7E1">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1841" w:type="dxa"/>
            <w:vMerge w:val="restart"/>
            <w:tcMar>
              <w:left w:w="0" w:type="dxa"/>
              <w:right w:w="0" w:type="dxa"/>
            </w:tcMar>
            <w:vAlign w:val="center"/>
          </w:tcPr>
          <w:p w14:paraId="76BC7857">
            <w:pPr>
              <w:pStyle w:val="70"/>
              <w:rPr>
                <w:color w:val="000000" w:themeColor="text1"/>
                <w14:textFill>
                  <w14:solidFill>
                    <w14:schemeClr w14:val="tx1"/>
                  </w14:solidFill>
                </w14:textFill>
              </w:rPr>
            </w:pPr>
            <w:r>
              <w:rPr>
                <w:color w:val="000000" w:themeColor="text1"/>
                <w14:textFill>
                  <w14:solidFill>
                    <w14:schemeClr w14:val="tx1"/>
                  </w14:solidFill>
                </w14:textFill>
              </w:rPr>
              <w:t>满足污水处理厂进水水质要求</w:t>
            </w:r>
          </w:p>
        </w:tc>
      </w:tr>
      <w:tr w14:paraId="3808250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right"/>
        </w:trPr>
        <w:tc>
          <w:tcPr>
            <w:tcW w:w="587" w:type="dxa"/>
            <w:vMerge w:val="continue"/>
            <w:tcMar>
              <w:left w:w="0" w:type="dxa"/>
              <w:right w:w="0" w:type="dxa"/>
            </w:tcMar>
            <w:vAlign w:val="center"/>
          </w:tcPr>
          <w:p w14:paraId="2CADB990">
            <w:pPr>
              <w:pStyle w:val="70"/>
              <w:rPr>
                <w:color w:val="000000" w:themeColor="text1"/>
                <w:lang w:val="zh-CN"/>
                <w14:textFill>
                  <w14:solidFill>
                    <w14:schemeClr w14:val="tx1"/>
                  </w14:solidFill>
                </w14:textFill>
              </w:rPr>
            </w:pPr>
          </w:p>
        </w:tc>
        <w:tc>
          <w:tcPr>
            <w:tcW w:w="775" w:type="dxa"/>
            <w:gridSpan w:val="2"/>
            <w:vMerge w:val="restart"/>
            <w:tcMar>
              <w:left w:w="0" w:type="dxa"/>
              <w:right w:w="0" w:type="dxa"/>
            </w:tcMar>
            <w:vAlign w:val="center"/>
          </w:tcPr>
          <w:p w14:paraId="140F8D43">
            <w:pPr>
              <w:pStyle w:val="70"/>
              <w:rPr>
                <w:color w:val="000000" w:themeColor="text1"/>
                <w14:textFill>
                  <w14:solidFill>
                    <w14:schemeClr w14:val="tx1"/>
                  </w14:solidFill>
                </w14:textFill>
              </w:rPr>
            </w:pPr>
            <w:r>
              <w:rPr>
                <w:color w:val="000000" w:themeColor="text1"/>
                <w14:textFill>
                  <w14:solidFill>
                    <w14:schemeClr w14:val="tx1"/>
                  </w14:solidFill>
                </w14:textFill>
              </w:rPr>
              <w:t>生产废水</w:t>
            </w:r>
          </w:p>
        </w:tc>
        <w:tc>
          <w:tcPr>
            <w:tcW w:w="948" w:type="dxa"/>
            <w:tcMar>
              <w:left w:w="0" w:type="dxa"/>
              <w:right w:w="0" w:type="dxa"/>
            </w:tcMar>
            <w:vAlign w:val="center"/>
          </w:tcPr>
          <w:p w14:paraId="2B34C080">
            <w:pPr>
              <w:pStyle w:val="70"/>
              <w:rPr>
                <w:color w:val="000000" w:themeColor="text1"/>
                <w14:textFill>
                  <w14:solidFill>
                    <w14:schemeClr w14:val="tx1"/>
                  </w14:solidFill>
                </w14:textFill>
              </w:rPr>
            </w:pPr>
            <w:r>
              <w:rPr>
                <w:color w:val="000000" w:themeColor="text1"/>
                <w14:textFill>
                  <w14:solidFill>
                    <w14:schemeClr w14:val="tx1"/>
                  </w14:solidFill>
                </w14:textFill>
              </w:rPr>
              <w:t>码头冲洗废水、初期雨水等</w:t>
            </w:r>
          </w:p>
        </w:tc>
        <w:tc>
          <w:tcPr>
            <w:tcW w:w="3059" w:type="dxa"/>
            <w:tcMar>
              <w:left w:w="0" w:type="dxa"/>
              <w:right w:w="0" w:type="dxa"/>
            </w:tcMar>
            <w:vAlign w:val="center"/>
          </w:tcPr>
          <w:p w14:paraId="00C12CE9">
            <w:pPr>
              <w:pStyle w:val="70"/>
              <w:rPr>
                <w:color w:val="000000" w:themeColor="text1"/>
                <w:lang w:val="zh-CN"/>
                <w14:textFill>
                  <w14:solidFill>
                    <w14:schemeClr w14:val="tx1"/>
                  </w14:solidFill>
                </w14:textFill>
              </w:rPr>
            </w:pPr>
            <w:r>
              <w:rPr>
                <w:rFonts w:hint="eastAsia"/>
                <w:color w:val="000000" w:themeColor="text1"/>
                <w:lang w:val="en-US" w:eastAsia="zh-CN"/>
                <w14:textFill>
                  <w14:solidFill>
                    <w14:schemeClr w14:val="tx1"/>
                  </w14:solidFill>
                </w14:textFill>
              </w:rPr>
              <w:t>不新增</w:t>
            </w:r>
            <w:r>
              <w:rPr>
                <w:color w:val="000000" w:themeColor="text1"/>
                <w14:textFill>
                  <w14:solidFill>
                    <w14:schemeClr w14:val="tx1"/>
                  </w14:solidFill>
                </w14:textFill>
              </w:rPr>
              <w:t>冲洗废水、初期雨水</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码头冲洗废水、初期雨水</w:t>
            </w:r>
            <w:r>
              <w:rPr>
                <w:color w:val="000000" w:themeColor="text1"/>
                <w14:textFill>
                  <w14:solidFill>
                    <w14:schemeClr w14:val="tx1"/>
                  </w14:solidFill>
                </w14:textFill>
              </w:rPr>
              <w:t>依托</w:t>
            </w:r>
            <w:r>
              <w:rPr>
                <w:rFonts w:hint="eastAsia"/>
                <w:color w:val="000000" w:themeColor="text1"/>
                <w:lang w:val="en-US" w:eastAsia="zh-CN"/>
                <w14:textFill>
                  <w14:solidFill>
                    <w14:schemeClr w14:val="tx1"/>
                  </w14:solidFill>
                </w14:textFill>
              </w:rPr>
              <w:t>集污池、初期雨水池及</w:t>
            </w:r>
            <w:r>
              <w:rPr>
                <w:color w:val="000000" w:themeColor="text1"/>
                <w14:textFill>
                  <w14:solidFill>
                    <w14:schemeClr w14:val="tx1"/>
                  </w14:solidFill>
                </w14:textFill>
              </w:rPr>
              <w:t>广西恒逸污水处理厂进行处理。</w:t>
            </w:r>
          </w:p>
        </w:tc>
        <w:tc>
          <w:tcPr>
            <w:tcW w:w="1236" w:type="dxa"/>
            <w:vMerge w:val="continue"/>
            <w:tcMar>
              <w:left w:w="0" w:type="dxa"/>
              <w:right w:w="0" w:type="dxa"/>
            </w:tcMar>
            <w:vAlign w:val="center"/>
          </w:tcPr>
          <w:p w14:paraId="26E6AE82">
            <w:pPr>
              <w:pStyle w:val="70"/>
              <w:rPr>
                <w:color w:val="000000" w:themeColor="text1"/>
                <w:lang w:val="zh-CN"/>
                <w14:textFill>
                  <w14:solidFill>
                    <w14:schemeClr w14:val="tx1"/>
                  </w14:solidFill>
                </w14:textFill>
              </w:rPr>
            </w:pPr>
          </w:p>
        </w:tc>
        <w:tc>
          <w:tcPr>
            <w:tcW w:w="1841" w:type="dxa"/>
            <w:vMerge w:val="continue"/>
            <w:tcMar>
              <w:left w:w="0" w:type="dxa"/>
              <w:right w:w="0" w:type="dxa"/>
            </w:tcMar>
            <w:vAlign w:val="center"/>
          </w:tcPr>
          <w:p w14:paraId="2462EFEB">
            <w:pPr>
              <w:pStyle w:val="70"/>
              <w:rPr>
                <w:color w:val="000000" w:themeColor="text1"/>
                <w:lang w:val="zh-CN"/>
                <w14:textFill>
                  <w14:solidFill>
                    <w14:schemeClr w14:val="tx1"/>
                  </w14:solidFill>
                </w14:textFill>
              </w:rPr>
            </w:pPr>
          </w:p>
        </w:tc>
      </w:tr>
      <w:tr w14:paraId="37528A3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right"/>
        </w:trPr>
        <w:tc>
          <w:tcPr>
            <w:tcW w:w="587" w:type="dxa"/>
            <w:vMerge w:val="continue"/>
            <w:tcMar>
              <w:left w:w="0" w:type="dxa"/>
              <w:right w:w="0" w:type="dxa"/>
            </w:tcMar>
            <w:vAlign w:val="center"/>
          </w:tcPr>
          <w:p w14:paraId="2B3BA499">
            <w:pPr>
              <w:pStyle w:val="70"/>
              <w:rPr>
                <w:color w:val="000000" w:themeColor="text1"/>
                <w:lang w:val="zh-CN"/>
                <w14:textFill>
                  <w14:solidFill>
                    <w14:schemeClr w14:val="tx1"/>
                  </w14:solidFill>
                </w14:textFill>
              </w:rPr>
            </w:pPr>
          </w:p>
        </w:tc>
        <w:tc>
          <w:tcPr>
            <w:tcW w:w="775" w:type="dxa"/>
            <w:gridSpan w:val="2"/>
            <w:vMerge w:val="continue"/>
            <w:tcMar>
              <w:left w:w="0" w:type="dxa"/>
              <w:right w:w="0" w:type="dxa"/>
            </w:tcMar>
            <w:vAlign w:val="center"/>
          </w:tcPr>
          <w:p w14:paraId="1B5497FD">
            <w:pPr>
              <w:pStyle w:val="70"/>
              <w:rPr>
                <w:color w:val="000000" w:themeColor="text1"/>
                <w:lang w:val="zh-CN"/>
                <w14:textFill>
                  <w14:solidFill>
                    <w14:schemeClr w14:val="tx1"/>
                  </w14:solidFill>
                </w14:textFill>
              </w:rPr>
            </w:pPr>
          </w:p>
        </w:tc>
        <w:tc>
          <w:tcPr>
            <w:tcW w:w="948" w:type="dxa"/>
            <w:tcMar>
              <w:left w:w="0" w:type="dxa"/>
              <w:right w:w="0" w:type="dxa"/>
            </w:tcMar>
            <w:vAlign w:val="center"/>
          </w:tcPr>
          <w:p w14:paraId="1E58681B">
            <w:pPr>
              <w:pStyle w:val="70"/>
              <w:rPr>
                <w:color w:val="000000" w:themeColor="text1"/>
                <w14:textFill>
                  <w14:solidFill>
                    <w14:schemeClr w14:val="tx1"/>
                  </w14:solidFill>
                </w14:textFill>
              </w:rPr>
            </w:pPr>
            <w:r>
              <w:rPr>
                <w:color w:val="000000" w:themeColor="text1"/>
                <w14:textFill>
                  <w14:solidFill>
                    <w14:schemeClr w14:val="tx1"/>
                  </w14:solidFill>
                </w14:textFill>
              </w:rPr>
              <w:t>来港船舶船舱油污水、船舶洗舱水、船舶生活污水</w:t>
            </w:r>
          </w:p>
        </w:tc>
        <w:tc>
          <w:tcPr>
            <w:tcW w:w="3059" w:type="dxa"/>
            <w:tcMar>
              <w:left w:w="0" w:type="dxa"/>
              <w:right w:w="0" w:type="dxa"/>
            </w:tcMar>
            <w:vAlign w:val="center"/>
          </w:tcPr>
          <w:p w14:paraId="42E4FE8D">
            <w:pPr>
              <w:pStyle w:val="70"/>
              <w:rPr>
                <w:color w:val="000000" w:themeColor="text1"/>
                <w14:textFill>
                  <w14:solidFill>
                    <w14:schemeClr w14:val="tx1"/>
                  </w14:solidFill>
                </w14:textFill>
              </w:rPr>
            </w:pPr>
            <w:r>
              <w:rPr>
                <w:color w:val="000000" w:themeColor="text1"/>
                <w14:textFill>
                  <w14:solidFill>
                    <w14:schemeClr w14:val="tx1"/>
                  </w14:solidFill>
                </w14:textFill>
              </w:rPr>
              <w:t>由具有相关资质的单位接收</w:t>
            </w:r>
          </w:p>
        </w:tc>
        <w:tc>
          <w:tcPr>
            <w:tcW w:w="1236" w:type="dxa"/>
            <w:tcMar>
              <w:left w:w="0" w:type="dxa"/>
              <w:right w:w="0" w:type="dxa"/>
            </w:tcMar>
            <w:vAlign w:val="center"/>
          </w:tcPr>
          <w:p w14:paraId="761E3D0E">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1841" w:type="dxa"/>
            <w:tcMar>
              <w:left w:w="0" w:type="dxa"/>
              <w:right w:w="0" w:type="dxa"/>
            </w:tcMar>
            <w:vAlign w:val="center"/>
          </w:tcPr>
          <w:p w14:paraId="1B09A10A">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r>
      <w:tr w14:paraId="7AD0CED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right"/>
        </w:trPr>
        <w:tc>
          <w:tcPr>
            <w:tcW w:w="587" w:type="dxa"/>
            <w:tcMar>
              <w:left w:w="0" w:type="dxa"/>
              <w:right w:w="0" w:type="dxa"/>
            </w:tcMar>
            <w:vAlign w:val="center"/>
          </w:tcPr>
          <w:p w14:paraId="6390DC9F">
            <w:pPr>
              <w:pStyle w:val="70"/>
              <w:rPr>
                <w:color w:val="000000" w:themeColor="text1"/>
                <w14:textFill>
                  <w14:solidFill>
                    <w14:schemeClr w14:val="tx1"/>
                  </w14:solidFill>
                </w14:textFill>
              </w:rPr>
            </w:pPr>
            <w:r>
              <w:rPr>
                <w:color w:val="000000" w:themeColor="text1"/>
                <w14:textFill>
                  <w14:solidFill>
                    <w14:schemeClr w14:val="tx1"/>
                  </w14:solidFill>
                </w14:textFill>
              </w:rPr>
              <w:t>噪声</w:t>
            </w:r>
          </w:p>
        </w:tc>
        <w:tc>
          <w:tcPr>
            <w:tcW w:w="1723" w:type="dxa"/>
            <w:gridSpan w:val="3"/>
            <w:tcMar>
              <w:left w:w="0" w:type="dxa"/>
              <w:right w:w="0" w:type="dxa"/>
            </w:tcMar>
            <w:vAlign w:val="center"/>
          </w:tcPr>
          <w:p w14:paraId="59B260FD">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设备噪声、船舶噪声</w:t>
            </w:r>
          </w:p>
        </w:tc>
        <w:tc>
          <w:tcPr>
            <w:tcW w:w="3059" w:type="dxa"/>
            <w:tcMar>
              <w:left w:w="0" w:type="dxa"/>
              <w:right w:w="0" w:type="dxa"/>
            </w:tcMar>
            <w:vAlign w:val="center"/>
          </w:tcPr>
          <w:p w14:paraId="350422B7">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使用先进的、噪声小的装卸机械和泵设备，并对噪声、振动较大的设备采取消声、减振措施；禁止船舶使用汽笛</w:t>
            </w:r>
          </w:p>
        </w:tc>
        <w:tc>
          <w:tcPr>
            <w:tcW w:w="1236" w:type="dxa"/>
            <w:tcMar>
              <w:left w:w="0" w:type="dxa"/>
              <w:right w:w="0" w:type="dxa"/>
            </w:tcMar>
            <w:vAlign w:val="center"/>
          </w:tcPr>
          <w:p w14:paraId="7625EC0F">
            <w:pPr>
              <w:pStyle w:val="70"/>
              <w:rPr>
                <w:color w:val="000000" w:themeColor="text1"/>
                <w14:textFill>
                  <w14:solidFill>
                    <w14:schemeClr w14:val="tx1"/>
                  </w14:solidFill>
                </w14:textFill>
              </w:rPr>
            </w:pPr>
            <w:r>
              <w:rPr>
                <w:color w:val="000000" w:themeColor="text1"/>
                <w14:textFill>
                  <w14:solidFill>
                    <w14:schemeClr w14:val="tx1"/>
                  </w14:solidFill>
                </w14:textFill>
              </w:rPr>
              <w:t>港界噪声</w:t>
            </w:r>
          </w:p>
          <w:p w14:paraId="1E294A81">
            <w:pPr>
              <w:pStyle w:val="70"/>
              <w:rPr>
                <w:color w:val="000000" w:themeColor="text1"/>
                <w14:textFill>
                  <w14:solidFill>
                    <w14:schemeClr w14:val="tx1"/>
                  </w14:solidFill>
                </w14:textFill>
              </w:rPr>
            </w:pPr>
            <w:r>
              <w:rPr>
                <w:color w:val="000000" w:themeColor="text1"/>
                <w14:textFill>
                  <w14:solidFill>
                    <w14:schemeClr w14:val="tx1"/>
                  </w14:solidFill>
                </w14:textFill>
              </w:rPr>
              <w:t>达标</w:t>
            </w:r>
          </w:p>
        </w:tc>
        <w:tc>
          <w:tcPr>
            <w:tcW w:w="1841" w:type="dxa"/>
            <w:tcMar>
              <w:left w:w="0" w:type="dxa"/>
              <w:right w:w="0" w:type="dxa"/>
            </w:tcMar>
            <w:vAlign w:val="center"/>
          </w:tcPr>
          <w:p w14:paraId="33B9D9B9">
            <w:pPr>
              <w:pStyle w:val="70"/>
              <w:rPr>
                <w:color w:val="000000" w:themeColor="text1"/>
                <w14:textFill>
                  <w14:solidFill>
                    <w14:schemeClr w14:val="tx1"/>
                  </w14:solidFill>
                </w14:textFill>
              </w:rPr>
            </w:pPr>
            <w:r>
              <w:rPr>
                <w:color w:val="000000" w:themeColor="text1"/>
                <w14:textFill>
                  <w14:solidFill>
                    <w14:schemeClr w14:val="tx1"/>
                  </w14:solidFill>
                </w14:textFill>
              </w:rPr>
              <w:t>《工业企业厂界环境噪声排放标准》(GB12348-2008)中的3类标准</w:t>
            </w:r>
          </w:p>
        </w:tc>
      </w:tr>
      <w:tr w14:paraId="08F04CA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right"/>
        </w:trPr>
        <w:tc>
          <w:tcPr>
            <w:tcW w:w="587" w:type="dxa"/>
            <w:vMerge w:val="restart"/>
            <w:tcMar>
              <w:left w:w="0" w:type="dxa"/>
              <w:right w:w="0" w:type="dxa"/>
            </w:tcMar>
            <w:vAlign w:val="center"/>
          </w:tcPr>
          <w:p w14:paraId="3E6E3A55">
            <w:pPr>
              <w:pStyle w:val="70"/>
              <w:rPr>
                <w:color w:val="000000" w:themeColor="text1"/>
                <w14:textFill>
                  <w14:solidFill>
                    <w14:schemeClr w14:val="tx1"/>
                  </w14:solidFill>
                </w14:textFill>
              </w:rPr>
            </w:pPr>
            <w:r>
              <w:rPr>
                <w:color w:val="000000" w:themeColor="text1"/>
                <w14:textFill>
                  <w14:solidFill>
                    <w14:schemeClr w14:val="tx1"/>
                  </w14:solidFill>
                </w14:textFill>
              </w:rPr>
              <w:t>固体废物</w:t>
            </w:r>
          </w:p>
        </w:tc>
        <w:tc>
          <w:tcPr>
            <w:tcW w:w="1723" w:type="dxa"/>
            <w:gridSpan w:val="3"/>
            <w:tcMar>
              <w:left w:w="0" w:type="dxa"/>
              <w:right w:w="0" w:type="dxa"/>
            </w:tcMar>
            <w:vAlign w:val="center"/>
          </w:tcPr>
          <w:p w14:paraId="62881E6F">
            <w:pPr>
              <w:pStyle w:val="70"/>
              <w:rPr>
                <w:color w:val="0000FF"/>
              </w:rPr>
            </w:pPr>
            <w:r>
              <w:rPr>
                <w:color w:val="0000FF"/>
              </w:rPr>
              <w:t>船舶垃圾</w:t>
            </w:r>
          </w:p>
        </w:tc>
        <w:tc>
          <w:tcPr>
            <w:tcW w:w="3059" w:type="dxa"/>
            <w:tcMar>
              <w:left w:w="0" w:type="dxa"/>
              <w:right w:w="0" w:type="dxa"/>
            </w:tcMar>
            <w:vAlign w:val="center"/>
          </w:tcPr>
          <w:p w14:paraId="0018159B">
            <w:pPr>
              <w:pStyle w:val="70"/>
              <w:rPr>
                <w:rFonts w:hint="default" w:eastAsia="宋体"/>
                <w:color w:val="0000FF"/>
                <w:lang w:val="en-US" w:eastAsia="zh-CN"/>
              </w:rPr>
            </w:pPr>
            <w:r>
              <w:rPr>
                <w:rFonts w:hint="eastAsia"/>
                <w:color w:val="0000FF"/>
                <w:lang w:val="en-US" w:eastAsia="zh-CN"/>
              </w:rPr>
              <w:t>有资质单位接收</w:t>
            </w:r>
          </w:p>
        </w:tc>
        <w:tc>
          <w:tcPr>
            <w:tcW w:w="1236" w:type="dxa"/>
            <w:vMerge w:val="restart"/>
            <w:tcMar>
              <w:left w:w="0" w:type="dxa"/>
              <w:right w:w="0" w:type="dxa"/>
            </w:tcMar>
            <w:vAlign w:val="center"/>
          </w:tcPr>
          <w:p w14:paraId="620BDB2E">
            <w:pPr>
              <w:pStyle w:val="70"/>
              <w:rPr>
                <w:color w:val="0000FF"/>
              </w:rPr>
            </w:pPr>
            <w:r>
              <w:rPr>
                <w:color w:val="0000FF"/>
              </w:rPr>
              <w:t>固体废物均能得到有效处理</w:t>
            </w:r>
          </w:p>
        </w:tc>
        <w:tc>
          <w:tcPr>
            <w:tcW w:w="1841" w:type="dxa"/>
            <w:tcMar>
              <w:left w:w="0" w:type="dxa"/>
              <w:right w:w="0" w:type="dxa"/>
            </w:tcMar>
            <w:vAlign w:val="center"/>
          </w:tcPr>
          <w:p w14:paraId="3CCC4992">
            <w:pPr>
              <w:pStyle w:val="70"/>
              <w:rPr>
                <w:color w:val="0000FF"/>
              </w:rPr>
            </w:pPr>
            <w:r>
              <w:rPr>
                <w:rFonts w:hint="eastAsia"/>
                <w:color w:val="0000FF"/>
                <w:lang w:val="en-US" w:eastAsia="zh-CN"/>
              </w:rPr>
              <w:t>有资质单位接收</w:t>
            </w:r>
          </w:p>
        </w:tc>
      </w:tr>
      <w:tr w14:paraId="0A46481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right"/>
        </w:trPr>
        <w:tc>
          <w:tcPr>
            <w:tcW w:w="587" w:type="dxa"/>
            <w:vMerge w:val="continue"/>
            <w:tcMar>
              <w:left w:w="0" w:type="dxa"/>
              <w:right w:w="0" w:type="dxa"/>
            </w:tcMar>
            <w:vAlign w:val="center"/>
          </w:tcPr>
          <w:p w14:paraId="6CE6AAF8">
            <w:pPr>
              <w:pStyle w:val="70"/>
              <w:rPr>
                <w:color w:val="000000" w:themeColor="text1"/>
                <w14:textFill>
                  <w14:solidFill>
                    <w14:schemeClr w14:val="tx1"/>
                  </w14:solidFill>
                </w14:textFill>
              </w:rPr>
            </w:pPr>
          </w:p>
        </w:tc>
        <w:tc>
          <w:tcPr>
            <w:tcW w:w="460" w:type="dxa"/>
            <w:tcMar>
              <w:left w:w="0" w:type="dxa"/>
              <w:right w:w="0" w:type="dxa"/>
            </w:tcMar>
            <w:vAlign w:val="center"/>
          </w:tcPr>
          <w:p w14:paraId="2303C256">
            <w:pPr>
              <w:pStyle w:val="70"/>
              <w:rPr>
                <w:color w:val="000000" w:themeColor="text1"/>
                <w14:textFill>
                  <w14:solidFill>
                    <w14:schemeClr w14:val="tx1"/>
                  </w14:solidFill>
                </w14:textFill>
              </w:rPr>
            </w:pPr>
            <w:r>
              <w:rPr>
                <w:color w:val="000000" w:themeColor="text1"/>
                <w14:textFill>
                  <w14:solidFill>
                    <w14:schemeClr w14:val="tx1"/>
                  </w14:solidFill>
                </w14:textFill>
              </w:rPr>
              <w:t>危险废物</w:t>
            </w:r>
          </w:p>
        </w:tc>
        <w:tc>
          <w:tcPr>
            <w:tcW w:w="1263" w:type="dxa"/>
            <w:gridSpan w:val="2"/>
            <w:tcMar>
              <w:left w:w="0" w:type="dxa"/>
              <w:right w:w="0" w:type="dxa"/>
            </w:tcMar>
            <w:vAlign w:val="center"/>
          </w:tcPr>
          <w:p w14:paraId="36F39828">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含油或化学品的废布及棉纱</w:t>
            </w:r>
          </w:p>
        </w:tc>
        <w:tc>
          <w:tcPr>
            <w:tcW w:w="3059" w:type="dxa"/>
            <w:tcMar>
              <w:left w:w="0" w:type="dxa"/>
              <w:right w:w="0" w:type="dxa"/>
            </w:tcMar>
            <w:vAlign w:val="center"/>
          </w:tcPr>
          <w:p w14:paraId="3FB1CC8D">
            <w:pPr>
              <w:pStyle w:val="70"/>
              <w:rPr>
                <w:color w:val="000000" w:themeColor="text1"/>
                <w14:textFill>
                  <w14:solidFill>
                    <w14:schemeClr w14:val="tx1"/>
                  </w14:solidFill>
                </w14:textFill>
              </w:rPr>
            </w:pPr>
            <w:r>
              <w:rPr>
                <w:rFonts w:hint="eastAsia"/>
                <w:color w:val="000000" w:themeColor="text1"/>
                <w14:textFill>
                  <w14:solidFill>
                    <w14:schemeClr w14:val="tx1"/>
                  </w14:solidFill>
                </w14:textFill>
              </w:rPr>
              <w:t>暂存于项目危废暂存间，定期交由钦州时昌再生资源有限公司接收处置</w:t>
            </w:r>
          </w:p>
        </w:tc>
        <w:tc>
          <w:tcPr>
            <w:tcW w:w="1236" w:type="dxa"/>
            <w:vMerge w:val="continue"/>
            <w:tcMar>
              <w:left w:w="0" w:type="dxa"/>
              <w:right w:w="0" w:type="dxa"/>
            </w:tcMar>
            <w:vAlign w:val="center"/>
          </w:tcPr>
          <w:p w14:paraId="2F6C7A54">
            <w:pPr>
              <w:pStyle w:val="70"/>
              <w:rPr>
                <w:color w:val="000000" w:themeColor="text1"/>
                <w:lang w:val="zh-CN"/>
                <w14:textFill>
                  <w14:solidFill>
                    <w14:schemeClr w14:val="tx1"/>
                  </w14:solidFill>
                </w14:textFill>
              </w:rPr>
            </w:pPr>
          </w:p>
        </w:tc>
        <w:tc>
          <w:tcPr>
            <w:tcW w:w="1841" w:type="dxa"/>
            <w:tcMar>
              <w:left w:w="0" w:type="dxa"/>
              <w:right w:w="0" w:type="dxa"/>
            </w:tcMar>
            <w:vAlign w:val="center"/>
          </w:tcPr>
          <w:p w14:paraId="206759EF">
            <w:pPr>
              <w:pStyle w:val="70"/>
              <w:rPr>
                <w:color w:val="000000" w:themeColor="text1"/>
                <w14:textFill>
                  <w14:solidFill>
                    <w14:schemeClr w14:val="tx1"/>
                  </w14:solidFill>
                </w14:textFill>
              </w:rPr>
            </w:pPr>
            <w:r>
              <w:rPr>
                <w:rFonts w:eastAsiaTheme="minorEastAsia"/>
                <w:color w:val="000000" w:themeColor="text1"/>
                <w14:textFill>
                  <w14:solidFill>
                    <w14:schemeClr w14:val="tx1"/>
                  </w14:solidFill>
                </w14:textFill>
              </w:rPr>
              <w:t>《危险废物贮存污染控制标准》（GB18597-2023）</w:t>
            </w:r>
          </w:p>
        </w:tc>
      </w:tr>
      <w:tr w14:paraId="6BCA243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right"/>
        </w:trPr>
        <w:tc>
          <w:tcPr>
            <w:tcW w:w="587" w:type="dxa"/>
            <w:tcMar>
              <w:left w:w="0" w:type="dxa"/>
              <w:right w:w="0" w:type="dxa"/>
            </w:tcMar>
            <w:vAlign w:val="center"/>
          </w:tcPr>
          <w:p w14:paraId="046C5865">
            <w:pPr>
              <w:pStyle w:val="70"/>
              <w:rPr>
                <w:color w:val="000000" w:themeColor="text1"/>
                <w14:textFill>
                  <w14:solidFill>
                    <w14:schemeClr w14:val="tx1"/>
                  </w14:solidFill>
                </w14:textFill>
              </w:rPr>
            </w:pPr>
            <w:r>
              <w:rPr>
                <w:color w:val="000000" w:themeColor="text1"/>
                <w14:textFill>
                  <w14:solidFill>
                    <w14:schemeClr w14:val="tx1"/>
                  </w14:solidFill>
                </w14:textFill>
              </w:rPr>
              <w:t>风险</w:t>
            </w:r>
          </w:p>
        </w:tc>
        <w:tc>
          <w:tcPr>
            <w:tcW w:w="1723" w:type="dxa"/>
            <w:gridSpan w:val="3"/>
            <w:tcMar>
              <w:left w:w="0" w:type="dxa"/>
              <w:right w:w="0" w:type="dxa"/>
            </w:tcMar>
            <w:vAlign w:val="center"/>
          </w:tcPr>
          <w:p w14:paraId="521A7B5A">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3059" w:type="dxa"/>
            <w:tcMar>
              <w:left w:w="0" w:type="dxa"/>
              <w:right w:w="0" w:type="dxa"/>
            </w:tcMar>
            <w:vAlign w:val="center"/>
          </w:tcPr>
          <w:p w14:paraId="1DCA4128">
            <w:pPr>
              <w:pStyle w:val="70"/>
              <w:rPr>
                <w:color w:val="000000" w:themeColor="text1"/>
                <w14:textFill>
                  <w14:solidFill>
                    <w14:schemeClr w14:val="tx1"/>
                  </w14:solidFill>
                </w14:textFill>
              </w:rPr>
            </w:pPr>
            <w:r>
              <w:rPr>
                <w:rFonts w:hint="eastAsia"/>
                <w:color w:val="0000FF"/>
                <w:lang w:val="en-US" w:eastAsia="zh-CN"/>
              </w:rPr>
              <w:t>依托</w:t>
            </w:r>
            <w:r>
              <w:rPr>
                <w:rFonts w:hint="eastAsia"/>
                <w:color w:val="0000FF"/>
              </w:rPr>
              <w:t>陆域厂区东北侧设置</w:t>
            </w:r>
            <w:r>
              <w:rPr>
                <w:rFonts w:hint="eastAsia"/>
                <w:color w:val="0000FF"/>
                <w:lang w:val="en-US" w:eastAsia="zh-CN"/>
              </w:rPr>
              <w:t>的</w:t>
            </w:r>
            <w:r>
              <w:rPr>
                <w:rFonts w:hint="eastAsia"/>
                <w:color w:val="0000FF"/>
              </w:rPr>
              <w:t>初期雨水池</w:t>
            </w:r>
            <w:r>
              <w:rPr>
                <w:rFonts w:hint="eastAsia"/>
                <w:color w:val="000000" w:themeColor="text1"/>
                <w14:textFill>
                  <w14:solidFill>
                    <w14:schemeClr w14:val="tx1"/>
                  </w14:solidFill>
                </w14:textFill>
              </w:rPr>
              <w:t>、事故应急池各1座，在码头作业平台装卸区设置围堰（长宽高：29.5m×13.3m×0.2m，有效容积78m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），围堰内设置集污池（有效容积2m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于陆域厂区南部、引桥旁设置应急物资库1座码头操作区域设置有毒及可燃气体监测仪、紧急阀门，每隔一定距离设置火灾报警按钮。码头前方装卸平台上设置一体化防爆摄像机，在陆域消防控制室设置监视器。同时，在码头外侧设置溢油报警、检测器，并在水域设置1段640m长度的永久布放型围油栏</w:t>
            </w:r>
          </w:p>
        </w:tc>
        <w:tc>
          <w:tcPr>
            <w:tcW w:w="1236" w:type="dxa"/>
            <w:tcMar>
              <w:left w:w="0" w:type="dxa"/>
              <w:right w:w="0" w:type="dxa"/>
            </w:tcMar>
            <w:vAlign w:val="center"/>
          </w:tcPr>
          <w:p w14:paraId="1823F70E">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1841" w:type="dxa"/>
            <w:tcMar>
              <w:left w:w="0" w:type="dxa"/>
              <w:right w:w="0" w:type="dxa"/>
            </w:tcMar>
            <w:vAlign w:val="center"/>
          </w:tcPr>
          <w:p w14:paraId="0F6116B6">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r>
      <w:tr w14:paraId="36838FC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right"/>
        </w:trPr>
        <w:tc>
          <w:tcPr>
            <w:tcW w:w="587" w:type="dxa"/>
            <w:tcMar>
              <w:left w:w="0" w:type="dxa"/>
              <w:right w:w="0" w:type="dxa"/>
            </w:tcMar>
            <w:vAlign w:val="center"/>
          </w:tcPr>
          <w:p w14:paraId="235D01F6">
            <w:pPr>
              <w:pStyle w:val="70"/>
              <w:rPr>
                <w:color w:val="000000" w:themeColor="text1"/>
                <w14:textFill>
                  <w14:solidFill>
                    <w14:schemeClr w14:val="tx1"/>
                  </w14:solidFill>
                </w14:textFill>
              </w:rPr>
            </w:pPr>
            <w:r>
              <w:rPr>
                <w:color w:val="000000" w:themeColor="text1"/>
                <w14:textFill>
                  <w14:solidFill>
                    <w14:schemeClr w14:val="tx1"/>
                  </w14:solidFill>
                </w14:textFill>
              </w:rPr>
              <w:t>监测监理</w:t>
            </w:r>
          </w:p>
        </w:tc>
        <w:tc>
          <w:tcPr>
            <w:tcW w:w="1723" w:type="dxa"/>
            <w:gridSpan w:val="3"/>
            <w:tcMar>
              <w:left w:w="0" w:type="dxa"/>
              <w:right w:w="0" w:type="dxa"/>
            </w:tcMar>
            <w:vAlign w:val="center"/>
          </w:tcPr>
          <w:p w14:paraId="1620FDF3">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3059" w:type="dxa"/>
            <w:tcMar>
              <w:left w:w="0" w:type="dxa"/>
              <w:right w:w="0" w:type="dxa"/>
            </w:tcMar>
            <w:vAlign w:val="center"/>
          </w:tcPr>
          <w:p w14:paraId="301DD05A">
            <w:pPr>
              <w:pStyle w:val="70"/>
              <w:rPr>
                <w:color w:val="000000" w:themeColor="text1"/>
                <w14:textFill>
                  <w14:solidFill>
                    <w14:schemeClr w14:val="tx1"/>
                  </w14:solidFill>
                </w14:textFill>
              </w:rPr>
            </w:pPr>
            <w:r>
              <w:rPr>
                <w:color w:val="000000" w:themeColor="text1"/>
                <w14:textFill>
                  <w14:solidFill>
                    <w14:schemeClr w14:val="tx1"/>
                  </w14:solidFill>
                </w14:textFill>
              </w:rPr>
              <w:t>开展施工期环境监测与监理，编制施工期环境监理报告</w:t>
            </w:r>
          </w:p>
        </w:tc>
        <w:tc>
          <w:tcPr>
            <w:tcW w:w="1236" w:type="dxa"/>
            <w:tcMar>
              <w:left w:w="0" w:type="dxa"/>
              <w:right w:w="0" w:type="dxa"/>
            </w:tcMar>
            <w:vAlign w:val="center"/>
          </w:tcPr>
          <w:p w14:paraId="08CA40F8">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c>
          <w:tcPr>
            <w:tcW w:w="1841" w:type="dxa"/>
            <w:tcMar>
              <w:left w:w="0" w:type="dxa"/>
              <w:right w:w="0" w:type="dxa"/>
            </w:tcMar>
            <w:vAlign w:val="center"/>
          </w:tcPr>
          <w:p w14:paraId="1A699201">
            <w:pPr>
              <w:pStyle w:val="70"/>
              <w:rPr>
                <w:color w:val="000000" w:themeColor="text1"/>
                <w14:textFill>
                  <w14:solidFill>
                    <w14:schemeClr w14:val="tx1"/>
                  </w14:solidFill>
                </w14:textFill>
              </w:rPr>
            </w:pPr>
            <w:r>
              <w:rPr>
                <w:color w:val="000000" w:themeColor="text1"/>
                <w14:textFill>
                  <w14:solidFill>
                    <w14:schemeClr w14:val="tx1"/>
                  </w14:solidFill>
                </w14:textFill>
              </w:rPr>
              <w:t>/</w:t>
            </w:r>
          </w:p>
        </w:tc>
      </w:tr>
    </w:tbl>
    <w:p w14:paraId="685658BF">
      <w:pPr>
        <w:ind w:firstLine="480"/>
        <w:rPr>
          <w:color w:val="000000" w:themeColor="text1"/>
          <w14:textFill>
            <w14:solidFill>
              <w14:schemeClr w14:val="tx1"/>
            </w14:solidFill>
          </w14:textFill>
        </w:rPr>
        <w:sectPr>
          <w:pgSz w:w="11906" w:h="16838"/>
          <w:pgMar w:top="1440" w:right="1800" w:bottom="1440" w:left="1800" w:header="851" w:footer="680" w:gutter="0"/>
          <w:pgBorders>
            <w:top w:val="none" w:sz="0" w:space="0"/>
            <w:left w:val="none" w:sz="0" w:space="0"/>
            <w:bottom w:val="none" w:sz="0" w:space="0"/>
            <w:right w:val="none" w:sz="0" w:space="0"/>
          </w:pgBorders>
          <w:pgNumType w:fmt="numberInDash"/>
          <w:cols w:space="720" w:num="1"/>
          <w:docGrid w:type="lines" w:linePitch="312" w:charSpace="0"/>
        </w:sectPr>
      </w:pPr>
    </w:p>
    <w:p w14:paraId="6E6BE9FB">
      <w:pPr>
        <w:pStyle w:val="3"/>
        <w:rPr>
          <w:color w:val="000000" w:themeColor="text1"/>
          <w14:textFill>
            <w14:solidFill>
              <w14:schemeClr w14:val="tx1"/>
            </w14:solidFill>
          </w14:textFill>
        </w:rPr>
      </w:pPr>
      <w:bookmarkStart w:id="888" w:name="_Toc216620658"/>
      <w:bookmarkStart w:id="889" w:name="_Toc22716725"/>
      <w:r>
        <w:rPr>
          <w:color w:val="000000" w:themeColor="text1"/>
          <w14:textFill>
            <w14:solidFill>
              <w14:schemeClr w14:val="tx1"/>
            </w14:solidFill>
          </w14:textFill>
        </w:rPr>
        <w:t>环境影响评价结论</w:t>
      </w:r>
      <w:bookmarkEnd w:id="888"/>
      <w:bookmarkEnd w:id="889"/>
    </w:p>
    <w:p w14:paraId="2CA48E03">
      <w:pPr>
        <w:pStyle w:val="5"/>
        <w:rPr>
          <w:color w:val="000000" w:themeColor="text1"/>
          <w14:textFill>
            <w14:solidFill>
              <w14:schemeClr w14:val="tx1"/>
            </w14:solidFill>
          </w14:textFill>
        </w:rPr>
      </w:pPr>
      <w:bookmarkStart w:id="890" w:name="_Toc216620659"/>
      <w:bookmarkStart w:id="891" w:name="_Toc22716726"/>
      <w:bookmarkStart w:id="892" w:name="_Toc25437070"/>
      <w:r>
        <w:rPr>
          <w:color w:val="000000" w:themeColor="text1"/>
          <w14:textFill>
            <w14:solidFill>
              <w14:schemeClr w14:val="tx1"/>
            </w14:solidFill>
          </w14:textFill>
        </w:rPr>
        <w:t>项目概况</w:t>
      </w:r>
      <w:bookmarkEnd w:id="890"/>
      <w:bookmarkEnd w:id="891"/>
      <w:bookmarkEnd w:id="892"/>
    </w:p>
    <w:p w14:paraId="45129EB9">
      <w:pPr>
        <w:ind w:firstLine="480"/>
        <w:rPr>
          <w:iCs/>
          <w:color w:val="000000" w:themeColor="text1"/>
          <w:szCs w:val="28"/>
          <w:u w:val="single"/>
          <w14:textFill>
            <w14:solidFill>
              <w14:schemeClr w14:val="tx1"/>
            </w14:solidFill>
          </w14:textFill>
        </w:rPr>
      </w:pPr>
      <w:r>
        <w:rPr>
          <w:rFonts w:hint="eastAsia"/>
          <w:color w:val="000000" w:themeColor="text1"/>
          <w:szCs w:val="28"/>
          <w14:textFill>
            <w14:solidFill>
              <w14:schemeClr w14:val="tx1"/>
            </w14:solidFill>
          </w14:textFill>
        </w:rPr>
        <w:t>北</w:t>
      </w:r>
      <w:r>
        <w:rPr>
          <w:rFonts w:hint="eastAsia"/>
          <w:color w:val="000000" w:themeColor="text1"/>
          <w:szCs w:val="28"/>
          <w:u w:val="single"/>
          <w14:textFill>
            <w14:solidFill>
              <w14:schemeClr w14:val="tx1"/>
            </w14:solidFill>
          </w14:textFill>
        </w:rPr>
        <w:t>部湾港钦州港域金谷港区金鼓江作业区14号泊位扩建工程（新增液硫、苯乙烯等装卸设施）</w:t>
      </w:r>
      <w:r>
        <w:rPr>
          <w:color w:val="000000" w:themeColor="text1"/>
          <w:szCs w:val="28"/>
          <w:u w:val="single"/>
          <w14:textFill>
            <w14:solidFill>
              <w14:schemeClr w14:val="tx1"/>
            </w14:solidFill>
          </w14:textFill>
        </w:rPr>
        <w:t>位于</w:t>
      </w:r>
      <w:r>
        <w:rPr>
          <w:color w:val="000000" w:themeColor="text1"/>
          <w:u w:val="single"/>
          <w14:textFill>
            <w14:solidFill>
              <w14:schemeClr w14:val="tx1"/>
            </w14:solidFill>
          </w14:textFill>
        </w:rPr>
        <w:t>钦州港金鼓江西岸</w:t>
      </w:r>
      <w:r>
        <w:rPr>
          <w:iCs/>
          <w:color w:val="000000" w:themeColor="text1"/>
          <w:szCs w:val="28"/>
          <w:u w:val="single"/>
          <w14:textFill>
            <w14:solidFill>
              <w14:schemeClr w14:val="tx1"/>
            </w14:solidFill>
          </w14:textFill>
        </w:rPr>
        <w:t>规划的13#和1</w:t>
      </w:r>
      <w:r>
        <w:rPr>
          <w:rFonts w:hint="eastAsia"/>
          <w:iCs/>
          <w:color w:val="000000" w:themeColor="text1"/>
          <w:szCs w:val="28"/>
          <w:u w:val="single"/>
          <w14:textFill>
            <w14:solidFill>
              <w14:schemeClr w14:val="tx1"/>
            </w14:solidFill>
          </w14:textFill>
        </w:rPr>
        <w:t>5</w:t>
      </w:r>
      <w:r>
        <w:rPr>
          <w:iCs/>
          <w:color w:val="000000" w:themeColor="text1"/>
          <w:szCs w:val="28"/>
          <w:u w:val="single"/>
          <w14:textFill>
            <w14:solidFill>
              <w14:schemeClr w14:val="tx1"/>
            </w14:solidFill>
          </w14:textFill>
        </w:rPr>
        <w:t>#泊位之间。</w:t>
      </w:r>
    </w:p>
    <w:p w14:paraId="73B0A5DD">
      <w:pPr>
        <w:ind w:firstLine="480"/>
        <w:rPr>
          <w:rFonts w:ascii="宋体" w:hAnsi="宋体"/>
          <w:color w:val="000000" w:themeColor="text1"/>
          <w:u w:val="single"/>
          <w14:textFill>
            <w14:solidFill>
              <w14:schemeClr w14:val="tx1"/>
            </w14:solidFill>
          </w14:textFill>
        </w:rPr>
      </w:pPr>
      <w:r>
        <w:rPr>
          <w:rFonts w:hint="eastAsia"/>
          <w:iCs/>
          <w:color w:val="000000" w:themeColor="text1"/>
          <w:szCs w:val="28"/>
          <w:u w:val="single"/>
          <w14:textFill>
            <w14:solidFill>
              <w14:schemeClr w14:val="tx1"/>
            </w14:solidFill>
          </w14:textFill>
        </w:rPr>
        <w:t>项目在现有基础上</w:t>
      </w:r>
      <w:r>
        <w:rPr>
          <w:rFonts w:hint="eastAsia" w:ascii="宋体" w:hAnsi="宋体"/>
          <w:color w:val="000000" w:themeColor="text1"/>
          <w:u w:val="single"/>
          <w14:textFill>
            <w14:solidFill>
              <w14:schemeClr w14:val="tx1"/>
            </w14:solidFill>
          </w14:textFill>
        </w:rPr>
        <w:t>新增苯乙烯利用现有装卸臂进行装卸，均为卸船后经管道至后方</w:t>
      </w:r>
      <w:r>
        <w:rPr>
          <w:rFonts w:hint="eastAsia"/>
          <w:color w:val="000000" w:themeColor="text1"/>
          <w:u w:val="single"/>
          <w14:textFill>
            <w14:solidFill>
              <w14:schemeClr w14:val="tx1"/>
            </w14:solidFill>
          </w14:textFill>
        </w:rPr>
        <w:t>台湾见龙钦州高端聚苯乙烯新材料项目</w:t>
      </w:r>
      <w:r>
        <w:rPr>
          <w:rFonts w:hint="eastAsia" w:ascii="宋体" w:hAnsi="宋体"/>
          <w:color w:val="000000" w:themeColor="text1"/>
          <w:u w:val="single"/>
          <w14:textFill>
            <w14:solidFill>
              <w14:schemeClr w14:val="tx1"/>
            </w14:solidFill>
          </w14:textFill>
        </w:rPr>
        <w:t>厂区。</w:t>
      </w:r>
      <w:r>
        <w:rPr>
          <w:rFonts w:hint="eastAsia"/>
          <w:color w:val="000000" w:themeColor="text1"/>
          <w:u w:val="single"/>
          <w14:textFill>
            <w14:solidFill>
              <w14:schemeClr w14:val="tx1"/>
            </w14:solidFill>
          </w14:textFill>
        </w:rPr>
        <w:t>棕榈酸化油、脂肪酸混合物由</w:t>
      </w:r>
      <w:r>
        <w:rPr>
          <w:rFonts w:hint="eastAsia" w:ascii="宋体" w:hAnsi="宋体"/>
          <w:color w:val="000000" w:themeColor="text1"/>
          <w:u w:val="single"/>
          <w14:textFill>
            <w14:solidFill>
              <w14:schemeClr w14:val="tx1"/>
            </w14:solidFill>
          </w14:textFill>
        </w:rPr>
        <w:t>新建装卸臂</w:t>
      </w:r>
      <w:r>
        <w:rPr>
          <w:rFonts w:hint="eastAsia"/>
          <w:color w:val="000000" w:themeColor="text1"/>
          <w:u w:val="single"/>
          <w14:textFill>
            <w14:solidFill>
              <w14:schemeClr w14:val="tx1"/>
            </w14:solidFill>
          </w14:textFill>
        </w:rPr>
        <w:t>卸船至后方欧德年产 30 万吨生物柴油生产线项目厂区。</w:t>
      </w:r>
      <w:r>
        <w:rPr>
          <w:rFonts w:hint="eastAsia" w:ascii="宋体" w:hAnsi="宋体"/>
          <w:color w:val="000000" w:themeColor="text1"/>
          <w:u w:val="single"/>
          <w14:textFill>
            <w14:solidFill>
              <w14:schemeClr w14:val="tx1"/>
            </w14:solidFill>
          </w14:textFill>
        </w:rPr>
        <w:t>裂解C9、工业级混合油、脂肪酸甲酯、纯生物柴油、航空煤油由后方厂区及公共管廊至码头管廊后至新建装卸臂进行装船。液硫、碱液、发烟硫酸、硫酸经卸船经管道至后方陆域罐区（新增罐区环境影响评价报告</w:t>
      </w:r>
      <w:r>
        <w:rPr>
          <w:rFonts w:hint="eastAsia" w:ascii="宋体" w:hAnsi="宋体"/>
          <w:color w:val="000000" w:themeColor="text1"/>
          <w:u w:val="single"/>
          <w:lang w:eastAsia="zh-CN"/>
          <w14:textFill>
            <w14:solidFill>
              <w14:schemeClr w14:val="tx1"/>
            </w14:solidFill>
          </w14:textFill>
        </w:rPr>
        <w:t>同步进行</w:t>
      </w:r>
      <w:r>
        <w:rPr>
          <w:rFonts w:hint="eastAsia" w:ascii="宋体" w:hAnsi="宋体"/>
          <w:color w:val="000000" w:themeColor="text1"/>
          <w:u w:val="single"/>
          <w14:textFill>
            <w14:solidFill>
              <w14:schemeClr w14:val="tx1"/>
            </w14:solidFill>
          </w14:textFill>
        </w:rPr>
        <w:t>）</w:t>
      </w:r>
    </w:p>
    <w:p w14:paraId="4DCDE20E">
      <w:pPr>
        <w:ind w:firstLine="48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新增吞吐货运量84万吨/年，方案同时调整了原来的装卸量，具体见概述“表1”，调整后码头251万吨/年。满足设计吞吐量276万吨/年、设计年通过能力300万吨/年的要求</w:t>
      </w:r>
    </w:p>
    <w:p w14:paraId="10EA8773">
      <w:pPr>
        <w:ind w:firstLine="480"/>
        <w:rPr>
          <w:iCs/>
          <w:color w:val="000000" w:themeColor="text1"/>
          <w:szCs w:val="28"/>
          <w:u w:val="single"/>
          <w14:textFill>
            <w14:solidFill>
              <w14:schemeClr w14:val="tx1"/>
            </w14:solidFill>
          </w14:textFill>
        </w:rPr>
      </w:pPr>
      <w:r>
        <w:rPr>
          <w:color w:val="000000" w:themeColor="text1"/>
          <w:u w:val="single"/>
          <w14:textFill>
            <w14:solidFill>
              <w14:schemeClr w14:val="tx1"/>
            </w14:solidFill>
          </w14:textFill>
        </w:rPr>
        <w:t>建设内容：</w:t>
      </w:r>
      <w:r>
        <w:rPr>
          <w:color w:val="000000" w:themeColor="text1"/>
          <w:szCs w:val="28"/>
          <w:u w:val="single"/>
          <w14:textFill>
            <w14:solidFill>
              <w14:schemeClr w14:val="tx1"/>
            </w14:solidFill>
          </w14:textFill>
        </w:rPr>
        <w:t>装卸臂、管道工程等。</w:t>
      </w:r>
    </w:p>
    <w:p w14:paraId="5B3FADE9">
      <w:pPr>
        <w:ind w:firstLine="480"/>
        <w:rPr>
          <w:color w:val="000000" w:themeColor="text1"/>
          <w:u w:val="single"/>
          <w14:textFill>
            <w14:solidFill>
              <w14:schemeClr w14:val="tx1"/>
            </w14:solidFill>
          </w14:textFill>
        </w:rPr>
      </w:pPr>
      <w:r>
        <w:rPr>
          <w:color w:val="000000" w:themeColor="text1"/>
          <w:u w:val="single"/>
          <w14:textFill>
            <w14:solidFill>
              <w14:schemeClr w14:val="tx1"/>
            </w14:solidFill>
          </w14:textFill>
        </w:rPr>
        <w:t>工程总投资</w:t>
      </w:r>
      <w:r>
        <w:rPr>
          <w:rFonts w:hint="eastAsia"/>
          <w:color w:val="000000" w:themeColor="text1"/>
          <w:u w:val="single"/>
          <w14:textFill>
            <w14:solidFill>
              <w14:schemeClr w14:val="tx1"/>
            </w14:solidFill>
          </w14:textFill>
        </w:rPr>
        <w:t>750</w:t>
      </w:r>
      <w:r>
        <w:rPr>
          <w:color w:val="000000" w:themeColor="text1"/>
          <w:u w:val="single"/>
          <w14:textFill>
            <w14:solidFill>
              <w14:schemeClr w14:val="tx1"/>
            </w14:solidFill>
          </w14:textFill>
        </w:rPr>
        <w:t>万元，环保设施投资</w:t>
      </w:r>
      <w:r>
        <w:rPr>
          <w:rFonts w:hint="eastAsia"/>
          <w:color w:val="000000" w:themeColor="text1"/>
          <w:u w:val="single"/>
          <w14:textFill>
            <w14:solidFill>
              <w14:schemeClr w14:val="tx1"/>
            </w14:solidFill>
          </w14:textFill>
        </w:rPr>
        <w:t>96.0</w:t>
      </w:r>
      <w:r>
        <w:rPr>
          <w:color w:val="000000" w:themeColor="text1"/>
          <w:u w:val="single"/>
          <w14:textFill>
            <w14:solidFill>
              <w14:schemeClr w14:val="tx1"/>
            </w14:solidFill>
          </w14:textFill>
        </w:rPr>
        <w:t>万元，环保投资占总投资的比例为</w:t>
      </w:r>
      <w:r>
        <w:rPr>
          <w:rFonts w:hint="eastAsia"/>
          <w:color w:val="000000" w:themeColor="text1"/>
          <w:u w:val="single"/>
          <w14:textFill>
            <w14:solidFill>
              <w14:schemeClr w14:val="tx1"/>
            </w14:solidFill>
          </w14:textFill>
        </w:rPr>
        <w:t>12.8</w:t>
      </w:r>
      <w:r>
        <w:rPr>
          <w:color w:val="000000" w:themeColor="text1"/>
          <w:u w:val="single"/>
          <w14:textFill>
            <w14:solidFill>
              <w14:schemeClr w14:val="tx1"/>
            </w14:solidFill>
          </w14:textFill>
        </w:rPr>
        <w:t>%。</w:t>
      </w:r>
    </w:p>
    <w:p w14:paraId="6AB5AAB0">
      <w:pPr>
        <w:pStyle w:val="5"/>
        <w:rPr>
          <w:color w:val="000000" w:themeColor="text1"/>
          <w14:textFill>
            <w14:solidFill>
              <w14:schemeClr w14:val="tx1"/>
            </w14:solidFill>
          </w14:textFill>
        </w:rPr>
      </w:pPr>
      <w:bookmarkStart w:id="893" w:name="_Toc216620660"/>
      <w:bookmarkStart w:id="894" w:name="_Toc25437071"/>
      <w:bookmarkStart w:id="895" w:name="_Toc22716727"/>
      <w:r>
        <w:rPr>
          <w:color w:val="000000" w:themeColor="text1"/>
          <w14:textFill>
            <w14:solidFill>
              <w14:schemeClr w14:val="tx1"/>
            </w14:solidFill>
          </w14:textFill>
        </w:rPr>
        <w:t>环境质量现状</w:t>
      </w:r>
      <w:bookmarkEnd w:id="893"/>
      <w:bookmarkEnd w:id="894"/>
      <w:bookmarkEnd w:id="895"/>
    </w:p>
    <w:p w14:paraId="5B277DCA">
      <w:pPr>
        <w:pStyle w:val="4"/>
        <w:rPr>
          <w:color w:val="000000" w:themeColor="text1"/>
          <w14:textFill>
            <w14:solidFill>
              <w14:schemeClr w14:val="tx1"/>
            </w14:solidFill>
          </w14:textFill>
        </w:rPr>
      </w:pPr>
      <w:bookmarkStart w:id="896" w:name="_Toc135090328"/>
      <w:bookmarkStart w:id="897" w:name="_Toc136878592"/>
      <w:bookmarkStart w:id="898" w:name="_Toc216620661"/>
      <w:bookmarkStart w:id="899" w:name="_Toc26910120"/>
      <w:bookmarkStart w:id="900" w:name="_Toc216103502"/>
      <w:bookmarkStart w:id="901" w:name="_Toc29131933"/>
      <w:bookmarkStart w:id="902" w:name="_Toc25437072"/>
      <w:r>
        <w:rPr>
          <w:color w:val="000000" w:themeColor="text1"/>
          <w14:textFill>
            <w14:solidFill>
              <w14:schemeClr w14:val="tx1"/>
            </w14:solidFill>
          </w14:textFill>
        </w:rPr>
        <w:t>环境空气质量现状</w:t>
      </w:r>
      <w:bookmarkEnd w:id="896"/>
      <w:bookmarkEnd w:id="897"/>
      <w:bookmarkEnd w:id="898"/>
      <w:bookmarkEnd w:id="899"/>
      <w:bookmarkEnd w:id="900"/>
      <w:bookmarkEnd w:id="901"/>
      <w:bookmarkEnd w:id="902"/>
    </w:p>
    <w:p w14:paraId="3C205BF2">
      <w:pPr>
        <w:ind w:firstLine="480"/>
        <w:rPr>
          <w:color w:val="000000" w:themeColor="text1"/>
          <w14:textFill>
            <w14:solidFill>
              <w14:schemeClr w14:val="tx1"/>
            </w14:solidFill>
          </w14:textFill>
        </w:rPr>
      </w:pPr>
      <w:r>
        <w:rPr>
          <w:color w:val="000000" w:themeColor="text1"/>
          <w14:textFill>
            <w14:solidFill>
              <w14:schemeClr w14:val="tx1"/>
            </w14:solidFill>
          </w14:textFill>
        </w:rPr>
        <w:t>根据《自治区生态环境厅关于通报202</w:t>
      </w:r>
      <w:r>
        <w:rPr>
          <w:rFonts w:hint="eastAsia"/>
          <w:color w:val="000000" w:themeColor="text1"/>
          <w14:textFill>
            <w14:solidFill>
              <w14:schemeClr w14:val="tx1"/>
            </w14:solidFill>
          </w14:textFill>
        </w:rPr>
        <w:t>3</w:t>
      </w:r>
      <w:r>
        <w:rPr>
          <w:color w:val="000000" w:themeColor="text1"/>
          <w14:textFill>
            <w14:solidFill>
              <w14:schemeClr w14:val="tx1"/>
            </w14:solidFill>
          </w14:textFill>
        </w:rPr>
        <w:t>年设区城市及各县（市、区）环境空气质量的函》（桂环函〔2021〕40号）中，</w:t>
      </w:r>
      <w:r>
        <w:rPr>
          <w:color w:val="000000" w:themeColor="text1"/>
          <w:lang w:bidi="zh-CN"/>
          <w14:textFill>
            <w14:solidFill>
              <w14:schemeClr w14:val="tx1"/>
            </w14:solidFill>
          </w14:textFill>
        </w:rPr>
        <w:t>202</w:t>
      </w:r>
      <w:r>
        <w:rPr>
          <w:rFonts w:hint="eastAsia"/>
          <w:color w:val="000000" w:themeColor="text1"/>
          <w:lang w:bidi="zh-CN"/>
          <w14:textFill>
            <w14:solidFill>
              <w14:schemeClr w14:val="tx1"/>
            </w14:solidFill>
          </w14:textFill>
        </w:rPr>
        <w:t>3</w:t>
      </w:r>
      <w:r>
        <w:rPr>
          <w:color w:val="000000" w:themeColor="text1"/>
          <w:lang w:bidi="zh-CN"/>
          <w14:textFill>
            <w14:solidFill>
              <w14:schemeClr w14:val="tx1"/>
            </w14:solidFill>
          </w14:textFill>
        </w:rPr>
        <w:t>年钦州市自贸区钦州港片区环境空气中 SO</w:t>
      </w:r>
      <w:r>
        <w:rPr>
          <w:color w:val="000000" w:themeColor="text1"/>
          <w:vertAlign w:val="subscript"/>
          <w:lang w:bidi="zh-CN"/>
          <w14:textFill>
            <w14:solidFill>
              <w14:schemeClr w14:val="tx1"/>
            </w14:solidFill>
          </w14:textFill>
        </w:rPr>
        <w:t>2</w:t>
      </w:r>
      <w:r>
        <w:rPr>
          <w:color w:val="000000" w:themeColor="text1"/>
          <w:lang w:bidi="zh-CN"/>
          <w14:textFill>
            <w14:solidFill>
              <w14:schemeClr w14:val="tx1"/>
            </w14:solidFill>
          </w14:textFill>
        </w:rPr>
        <w:t>、 NO</w:t>
      </w:r>
      <w:r>
        <w:rPr>
          <w:color w:val="000000" w:themeColor="text1"/>
          <w:vertAlign w:val="subscript"/>
          <w:lang w:bidi="zh-CN"/>
          <w14:textFill>
            <w14:solidFill>
              <w14:schemeClr w14:val="tx1"/>
            </w14:solidFill>
          </w14:textFill>
        </w:rPr>
        <w:t>2</w:t>
      </w:r>
      <w:r>
        <w:rPr>
          <w:color w:val="000000" w:themeColor="text1"/>
          <w:lang w:bidi="zh-CN"/>
          <w14:textFill>
            <w14:solidFill>
              <w14:schemeClr w14:val="tx1"/>
            </w14:solidFill>
          </w14:textFill>
        </w:rPr>
        <w:t xml:space="preserve"> 年平均及24 小时平均第98 百分位数浓度达到《环境空气质量标准》（GB3095-2012） 二级标准；PM</w:t>
      </w:r>
      <w:r>
        <w:rPr>
          <w:color w:val="000000" w:themeColor="text1"/>
          <w:vertAlign w:val="subscript"/>
          <w:lang w:bidi="zh-CN"/>
          <w14:textFill>
            <w14:solidFill>
              <w14:schemeClr w14:val="tx1"/>
            </w14:solidFill>
          </w14:textFill>
        </w:rPr>
        <w:t>10</w:t>
      </w:r>
      <w:r>
        <w:rPr>
          <w:color w:val="000000" w:themeColor="text1"/>
          <w:lang w:bidi="zh-CN"/>
          <w14:textFill>
            <w14:solidFill>
              <w14:schemeClr w14:val="tx1"/>
            </w14:solidFill>
          </w14:textFill>
        </w:rPr>
        <w:t xml:space="preserve"> 、PM</w:t>
      </w:r>
      <w:r>
        <w:rPr>
          <w:color w:val="000000" w:themeColor="text1"/>
          <w:vertAlign w:val="subscript"/>
          <w:lang w:bidi="zh-CN"/>
          <w14:textFill>
            <w14:solidFill>
              <w14:schemeClr w14:val="tx1"/>
            </w14:solidFill>
          </w14:textFill>
        </w:rPr>
        <w:t>2.5</w:t>
      </w:r>
      <w:r>
        <w:rPr>
          <w:color w:val="000000" w:themeColor="text1"/>
          <w:lang w:bidi="zh-CN"/>
          <w14:textFill>
            <w14:solidFill>
              <w14:schemeClr w14:val="tx1"/>
            </w14:solidFill>
          </w14:textFill>
        </w:rPr>
        <w:t xml:space="preserve"> 年平均及 24 小时平均第 95 百分位数浓度达到《环境空气质量标准》（GB3095-2012）二级标准；CO </w:t>
      </w:r>
      <w:r>
        <w:rPr>
          <w:color w:val="000000" w:themeColor="text1"/>
          <w:vertAlign w:val="subscript"/>
          <w:lang w:bidi="zh-CN"/>
          <w14:textFill>
            <w14:solidFill>
              <w14:schemeClr w14:val="tx1"/>
            </w14:solidFill>
          </w14:textFill>
        </w:rPr>
        <w:t xml:space="preserve">24 </w:t>
      </w:r>
      <w:r>
        <w:rPr>
          <w:color w:val="000000" w:themeColor="text1"/>
          <w:lang w:bidi="zh-CN"/>
          <w14:textFill>
            <w14:solidFill>
              <w14:schemeClr w14:val="tx1"/>
            </w14:solidFill>
          </w14:textFill>
        </w:rPr>
        <w:t>小时平均第 95 百分位数、O</w:t>
      </w:r>
      <w:r>
        <w:rPr>
          <w:color w:val="000000" w:themeColor="text1"/>
          <w:vertAlign w:val="subscript"/>
          <w:lang w:bidi="zh-CN"/>
          <w14:textFill>
            <w14:solidFill>
              <w14:schemeClr w14:val="tx1"/>
            </w14:solidFill>
          </w14:textFill>
        </w:rPr>
        <w:t>3</w:t>
      </w:r>
      <w:r>
        <w:rPr>
          <w:color w:val="000000" w:themeColor="text1"/>
          <w:lang w:bidi="zh-CN"/>
          <w14:textFill>
            <w14:solidFill>
              <w14:schemeClr w14:val="tx1"/>
            </w14:solidFill>
          </w14:textFill>
        </w:rPr>
        <w:t xml:space="preserve"> 日最大 8 小时平均第 90 百分位数浓度达到《环境空气质量标准》（GB3095-2012）二级标准。</w:t>
      </w:r>
    </w:p>
    <w:p w14:paraId="358C68EB">
      <w:pPr>
        <w:ind w:firstLine="480"/>
        <w:rPr>
          <w:color w:val="000000" w:themeColor="text1"/>
          <w14:textFill>
            <w14:solidFill>
              <w14:schemeClr w14:val="tx1"/>
            </w14:solidFill>
          </w14:textFill>
        </w:rPr>
      </w:pPr>
      <w:r>
        <w:rPr>
          <w:color w:val="000000" w:themeColor="text1"/>
          <w14:textFill>
            <w14:solidFill>
              <w14:schemeClr w14:val="tx1"/>
            </w14:solidFill>
          </w14:textFill>
        </w:rPr>
        <w:t>根据补充监测结果，各特征因子均能满足《环境影响评价技术导则 大气环境》（HJ2.2-2018）中附录D空气质量浓度参考限值和《大气污染物综合排放标准详解》相关要求。</w:t>
      </w:r>
    </w:p>
    <w:p w14:paraId="26E885C7">
      <w:pPr>
        <w:pStyle w:val="4"/>
        <w:rPr>
          <w:color w:val="000000" w:themeColor="text1"/>
          <w14:textFill>
            <w14:solidFill>
              <w14:schemeClr w14:val="tx1"/>
            </w14:solidFill>
          </w14:textFill>
        </w:rPr>
      </w:pPr>
      <w:bookmarkStart w:id="903" w:name="_Toc135090330"/>
      <w:bookmarkStart w:id="904" w:name="_Toc216103503"/>
      <w:bookmarkStart w:id="905" w:name="_Toc26910122"/>
      <w:bookmarkStart w:id="906" w:name="_Toc216620662"/>
      <w:bookmarkStart w:id="907" w:name="_Toc29131935"/>
      <w:bookmarkStart w:id="908" w:name="_Toc25437074"/>
      <w:bookmarkStart w:id="909" w:name="_Toc136878593"/>
      <w:bookmarkStart w:id="910" w:name="_Toc135090329"/>
      <w:bookmarkStart w:id="911" w:name="_Toc29131934"/>
      <w:bookmarkStart w:id="912" w:name="_Toc26910121"/>
      <w:bookmarkStart w:id="913" w:name="_Toc25437073"/>
      <w:r>
        <w:rPr>
          <w:color w:val="000000" w:themeColor="text1"/>
          <w14:textFill>
            <w14:solidFill>
              <w14:schemeClr w14:val="tx1"/>
            </w14:solidFill>
          </w14:textFill>
        </w:rPr>
        <w:t>地下水环境质量现状</w:t>
      </w:r>
      <w:bookmarkEnd w:id="903"/>
      <w:bookmarkEnd w:id="904"/>
      <w:bookmarkEnd w:id="905"/>
      <w:bookmarkEnd w:id="906"/>
      <w:bookmarkEnd w:id="907"/>
      <w:bookmarkEnd w:id="908"/>
      <w:bookmarkEnd w:id="909"/>
    </w:p>
    <w:p w14:paraId="0319897F">
      <w:pPr>
        <w:ind w:firstLine="480"/>
        <w:rPr>
          <w:color w:val="000000" w:themeColor="text1"/>
          <w14:textFill>
            <w14:solidFill>
              <w14:schemeClr w14:val="tx1"/>
            </w14:solidFill>
          </w14:textFill>
        </w:rPr>
      </w:pPr>
      <w:r>
        <w:rPr>
          <w:color w:val="000000" w:themeColor="text1"/>
          <w14:textFill>
            <w14:solidFill>
              <w14:schemeClr w14:val="tx1"/>
            </w14:solidFill>
          </w14:textFill>
        </w:rPr>
        <w:t>由地下水监测结果可</w:t>
      </w:r>
      <w:r>
        <w:rPr>
          <w:color w:val="000000" w:themeColor="text1"/>
          <w:u w:val="none"/>
          <w14:textFill>
            <w14:solidFill>
              <w14:schemeClr w14:val="tx1"/>
            </w14:solidFill>
          </w14:textFill>
        </w:rPr>
        <w:t>知</w:t>
      </w:r>
      <w:r>
        <w:rPr>
          <w:color w:val="FF0000"/>
          <w:u w:val="none"/>
        </w:rPr>
        <w:t>：</w:t>
      </w:r>
      <w:r>
        <w:rPr>
          <w:rFonts w:hint="eastAsia"/>
          <w:color w:val="FF0000"/>
          <w:kern w:val="0"/>
          <w:szCs w:val="22"/>
          <w:u w:val="none"/>
        </w:rPr>
        <w:t>D1</w:t>
      </w:r>
      <w:r>
        <w:rPr>
          <w:color w:val="FF0000"/>
          <w:kern w:val="0"/>
          <w:szCs w:val="22"/>
          <w:u w:val="none"/>
        </w:rPr>
        <w:t>监测点出现</w:t>
      </w:r>
      <w:r>
        <w:rPr>
          <w:rFonts w:hint="eastAsia"/>
          <w:color w:val="FF0000"/>
          <w:kern w:val="0"/>
          <w:szCs w:val="22"/>
          <w:u w:val="none"/>
        </w:rPr>
        <w:t>氟化物</w:t>
      </w:r>
      <w:r>
        <w:rPr>
          <w:color w:val="FF0000"/>
          <w:kern w:val="0"/>
          <w:szCs w:val="22"/>
          <w:u w:val="none"/>
        </w:rPr>
        <w:t>超标现象</w:t>
      </w:r>
      <w:r>
        <w:rPr>
          <w:rFonts w:hint="eastAsia"/>
          <w:color w:val="FF0000"/>
          <w:kern w:val="0"/>
          <w:szCs w:val="22"/>
          <w:u w:val="none"/>
        </w:rPr>
        <w:t>，</w:t>
      </w:r>
      <w:r>
        <w:rPr>
          <w:rFonts w:hint="eastAsia"/>
          <w:b w:val="0"/>
          <w:bCs w:val="0"/>
          <w:color w:val="FF0000"/>
          <w:kern w:val="0"/>
          <w:szCs w:val="22"/>
          <w:u w:val="none"/>
          <w:lang w:val="en-US" w:eastAsia="zh-CN"/>
        </w:rPr>
        <w:t>初步推断为上游企业撒漏，随地表径流下渗引起的氟化物浓度超标</w:t>
      </w:r>
      <w:r>
        <w:rPr>
          <w:rFonts w:hint="eastAsia"/>
          <w:b w:val="0"/>
          <w:bCs w:val="0"/>
          <w:color w:val="FF0000"/>
          <w:kern w:val="0"/>
          <w:szCs w:val="22"/>
          <w:u w:val="none"/>
        </w:rPr>
        <w:t>。</w:t>
      </w:r>
      <w:r>
        <w:rPr>
          <w:color w:val="000000" w:themeColor="text1"/>
          <w:kern w:val="0"/>
          <w:szCs w:val="22"/>
          <w14:textFill>
            <w14:solidFill>
              <w14:schemeClr w14:val="tx1"/>
            </w14:solidFill>
          </w14:textFill>
        </w:rPr>
        <w:t>其余监测指标均能满足《地下水质量标准》（GB/T14848-2017）Ⅲ类标准要求。超标原因可能是由于区域存在生活污水下渗</w:t>
      </w:r>
      <w:r>
        <w:rPr>
          <w:color w:val="000000" w:themeColor="text1"/>
          <w14:textFill>
            <w14:solidFill>
              <w14:schemeClr w14:val="tx1"/>
            </w14:solidFill>
          </w14:textFill>
        </w:rPr>
        <w:t>。</w:t>
      </w:r>
    </w:p>
    <w:p w14:paraId="07165D2C">
      <w:pPr>
        <w:pStyle w:val="4"/>
        <w:rPr>
          <w:color w:val="000000" w:themeColor="text1"/>
          <w14:textFill>
            <w14:solidFill>
              <w14:schemeClr w14:val="tx1"/>
            </w14:solidFill>
          </w14:textFill>
        </w:rPr>
      </w:pPr>
      <w:bookmarkStart w:id="914" w:name="_Toc135090331"/>
      <w:bookmarkStart w:id="915" w:name="_Toc26910123"/>
      <w:bookmarkStart w:id="916" w:name="_Toc216103504"/>
      <w:bookmarkStart w:id="917" w:name="_Toc25437075"/>
      <w:bookmarkStart w:id="918" w:name="_Toc216620663"/>
      <w:bookmarkStart w:id="919" w:name="_Toc136878594"/>
      <w:bookmarkStart w:id="920" w:name="_Toc29131936"/>
      <w:r>
        <w:rPr>
          <w:color w:val="000000" w:themeColor="text1"/>
          <w14:textFill>
            <w14:solidFill>
              <w14:schemeClr w14:val="tx1"/>
            </w14:solidFill>
          </w14:textFill>
        </w:rPr>
        <w:t>声环境质量现状</w:t>
      </w:r>
      <w:bookmarkEnd w:id="914"/>
      <w:bookmarkEnd w:id="915"/>
      <w:bookmarkEnd w:id="916"/>
      <w:bookmarkEnd w:id="917"/>
      <w:bookmarkEnd w:id="918"/>
      <w:bookmarkEnd w:id="919"/>
      <w:bookmarkEnd w:id="920"/>
    </w:p>
    <w:p w14:paraId="7EEB1ED0">
      <w:pPr>
        <w:ind w:firstLine="480"/>
        <w:rPr>
          <w:color w:val="000000" w:themeColor="text1"/>
          <w14:textFill>
            <w14:solidFill>
              <w14:schemeClr w14:val="tx1"/>
            </w14:solidFill>
          </w14:textFill>
        </w:rPr>
      </w:pPr>
      <w:r>
        <w:rPr>
          <w:color w:val="000000" w:themeColor="text1"/>
          <w14:textFill>
            <w14:solidFill>
              <w14:schemeClr w14:val="tx1"/>
            </w14:solidFill>
          </w14:textFill>
        </w:rPr>
        <w:t>由声环境监测结果可知：项目厂界四周监测期间昼间、夜间噪声值均符合</w:t>
      </w:r>
      <w:r>
        <w:rPr>
          <w:color w:val="0000FF"/>
          <w:u w:val="none"/>
        </w:rPr>
        <w:t>《工业企业场界环境噪声排放标准》（GB12348-2008）</w:t>
      </w:r>
      <w:r>
        <w:rPr>
          <w:color w:val="000000" w:themeColor="text1"/>
          <w14:textFill>
            <w14:solidFill>
              <w14:schemeClr w14:val="tx1"/>
            </w14:solidFill>
          </w14:textFill>
        </w:rPr>
        <w:t>3类标准要求。</w:t>
      </w:r>
    </w:p>
    <w:p w14:paraId="7DF2D6E5">
      <w:pPr>
        <w:pStyle w:val="4"/>
        <w:rPr>
          <w:color w:val="000000" w:themeColor="text1"/>
          <w14:textFill>
            <w14:solidFill>
              <w14:schemeClr w14:val="tx1"/>
            </w14:solidFill>
          </w14:textFill>
        </w:rPr>
      </w:pPr>
      <w:bookmarkStart w:id="921" w:name="_Toc136878595"/>
      <w:bookmarkStart w:id="922" w:name="_Toc216103505"/>
      <w:bookmarkStart w:id="923" w:name="_Toc216620664"/>
      <w:r>
        <w:rPr>
          <w:color w:val="000000" w:themeColor="text1"/>
          <w14:textFill>
            <w14:solidFill>
              <w14:schemeClr w14:val="tx1"/>
            </w14:solidFill>
          </w14:textFill>
        </w:rPr>
        <w:t>土壤环境质量现状</w:t>
      </w:r>
      <w:bookmarkEnd w:id="921"/>
      <w:bookmarkEnd w:id="922"/>
      <w:bookmarkEnd w:id="923"/>
    </w:p>
    <w:p w14:paraId="113187A4">
      <w:pPr>
        <w:ind w:firstLine="480"/>
        <w:rPr>
          <w:color w:val="000000" w:themeColor="text1"/>
          <w14:textFill>
            <w14:solidFill>
              <w14:schemeClr w14:val="tx1"/>
            </w14:solidFill>
          </w14:textFill>
        </w:rPr>
      </w:pPr>
      <w:r>
        <w:rPr>
          <w:color w:val="000000" w:themeColor="text1"/>
          <w14:textFill>
            <w14:solidFill>
              <w14:schemeClr w14:val="tx1"/>
            </w14:solidFill>
          </w14:textFill>
        </w:rPr>
        <w:t>根据土壤环境现状监测统计结果，项目土壤现状各指标均满足《土壤环境质量建设用地土壤污染风险管控标准（试行）》（GB36600-2018）中第二类用地筛选值限制要求。</w:t>
      </w:r>
    </w:p>
    <w:p w14:paraId="5A7F5B23">
      <w:pPr>
        <w:pStyle w:val="4"/>
        <w:rPr>
          <w:color w:val="000000" w:themeColor="text1"/>
          <w14:textFill>
            <w14:solidFill>
              <w14:schemeClr w14:val="tx1"/>
            </w14:solidFill>
          </w14:textFill>
        </w:rPr>
      </w:pPr>
      <w:bookmarkStart w:id="924" w:name="_Toc216103506"/>
      <w:bookmarkStart w:id="925" w:name="_Toc216620665"/>
      <w:bookmarkStart w:id="926" w:name="_Toc136878596"/>
      <w:r>
        <w:rPr>
          <w:color w:val="000000" w:themeColor="text1"/>
          <w14:textFill>
            <w14:solidFill>
              <w14:schemeClr w14:val="tx1"/>
            </w14:solidFill>
          </w14:textFill>
        </w:rPr>
        <w:t>海洋环境质量现状</w:t>
      </w:r>
      <w:bookmarkEnd w:id="910"/>
      <w:bookmarkEnd w:id="911"/>
      <w:bookmarkEnd w:id="912"/>
      <w:bookmarkEnd w:id="913"/>
      <w:bookmarkEnd w:id="924"/>
      <w:bookmarkEnd w:id="925"/>
      <w:bookmarkEnd w:id="926"/>
    </w:p>
    <w:p w14:paraId="63BBECC8">
      <w:pPr>
        <w:pStyle w:val="6"/>
        <w:rPr>
          <w:color w:val="000000" w:themeColor="text1"/>
          <w14:textFill>
            <w14:solidFill>
              <w14:schemeClr w14:val="tx1"/>
            </w14:solidFill>
          </w14:textFill>
        </w:rPr>
      </w:pPr>
      <w:r>
        <w:rPr>
          <w:color w:val="000000" w:themeColor="text1"/>
          <w14:textFill>
            <w14:solidFill>
              <w14:schemeClr w14:val="tx1"/>
            </w14:solidFill>
          </w14:textFill>
        </w:rPr>
        <w:t>海洋水质</w:t>
      </w:r>
    </w:p>
    <w:p w14:paraId="61B63116">
      <w:pPr>
        <w:ind w:firstLine="480"/>
        <w:rPr>
          <w:color w:val="000000" w:themeColor="text1"/>
          <w:u w:val="single"/>
          <w:lang w:bidi="zh-CN"/>
          <w14:textFill>
            <w14:solidFill>
              <w14:schemeClr w14:val="tx1"/>
            </w14:solidFill>
          </w14:textFill>
        </w:rPr>
      </w:pPr>
      <w:r>
        <w:rPr>
          <w:rFonts w:hint="eastAsia"/>
          <w:color w:val="000000" w:themeColor="text1"/>
          <w:lang w:val="zh-CN" w:bidi="zh-CN"/>
          <w14:textFill>
            <w14:solidFill>
              <w14:schemeClr w14:val="tx1"/>
            </w14:solidFill>
          </w14:textFill>
        </w:rPr>
        <w:t>根据海水水质监测结果，区域海水水质除S1、S2、S5点位的活性磷酸盐，S5点位的无机氮指标超标外，其余指标均能满足《海水水质标准》（GB3097-1997）相应标准限值。</w:t>
      </w:r>
    </w:p>
    <w:p w14:paraId="6A695B24">
      <w:pPr>
        <w:pStyle w:val="6"/>
        <w:rPr>
          <w:color w:val="000000" w:themeColor="text1"/>
          <w14:textFill>
            <w14:solidFill>
              <w14:schemeClr w14:val="tx1"/>
            </w14:solidFill>
          </w14:textFill>
        </w:rPr>
      </w:pPr>
      <w:r>
        <w:rPr>
          <w:color w:val="000000" w:themeColor="text1"/>
          <w14:textFill>
            <w14:solidFill>
              <w14:schemeClr w14:val="tx1"/>
            </w14:solidFill>
          </w14:textFill>
        </w:rPr>
        <w:t>海洋沉积物</w:t>
      </w:r>
    </w:p>
    <w:p w14:paraId="3E628AB1">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根据监测，测站的铜、铅、锌、镉、铬、砷、油类、有机碳、硫化物等评价因子的标准指数小于1，各测站海洋沉积物环境质量现状均符合《海洋沉积物质量》（GB18668-2002）中的第一类或第三类（35#、40#测站）评价标准</w:t>
      </w:r>
      <w:r>
        <w:rPr>
          <w:rFonts w:hint="eastAsia"/>
          <w:color w:val="000000" w:themeColor="text1"/>
          <w:lang w:eastAsia="zh-CN"/>
          <w14:textFill>
            <w14:solidFill>
              <w14:schemeClr w14:val="tx1"/>
            </w14:solidFill>
          </w14:textFill>
        </w:rPr>
        <w:t>。</w:t>
      </w:r>
      <w:r>
        <w:rPr>
          <w:rFonts w:hint="eastAsia"/>
          <w:color w:val="0000FF"/>
          <w:lang w:val="en-US" w:eastAsia="zh-CN"/>
        </w:rPr>
        <w:t>S4、S5站位汞出现超标，</w:t>
      </w:r>
      <w:r>
        <w:rPr>
          <w:rFonts w:hint="eastAsia"/>
          <w:color w:val="0000FF"/>
          <w:u w:val="single"/>
        </w:rPr>
        <w:t>汞超标站位</w:t>
      </w:r>
      <w:r>
        <w:rPr>
          <w:rFonts w:hint="eastAsia"/>
          <w:color w:val="0000FF"/>
          <w:u w:val="single"/>
          <w:lang w:val="en-US" w:eastAsia="zh-CN"/>
        </w:rPr>
        <w:t>均</w:t>
      </w:r>
      <w:r>
        <w:rPr>
          <w:rFonts w:hint="eastAsia"/>
          <w:color w:val="0000FF"/>
          <w:u w:val="single"/>
        </w:rPr>
        <w:t>为一类海域，其水质要求较高，受内陆河流带入污染物后容易出现超标现象。</w:t>
      </w:r>
      <w:r>
        <w:rPr>
          <w:rFonts w:hint="eastAsia"/>
          <w:color w:val="000000" w:themeColor="text1"/>
          <w14:textFill>
            <w14:solidFill>
              <w14:schemeClr w14:val="tx1"/>
            </w14:solidFill>
          </w14:textFill>
        </w:rPr>
        <w:t>符合相应环境功能区环境保护目标要求。</w:t>
      </w:r>
    </w:p>
    <w:p w14:paraId="08D7CF88">
      <w:pPr>
        <w:pStyle w:val="6"/>
        <w:rPr>
          <w:color w:val="000000" w:themeColor="text1"/>
          <w14:textFill>
            <w14:solidFill>
              <w14:schemeClr w14:val="tx1"/>
            </w14:solidFill>
          </w14:textFill>
        </w:rPr>
      </w:pPr>
      <w:r>
        <w:rPr>
          <w:color w:val="000000" w:themeColor="text1"/>
          <w14:textFill>
            <w14:solidFill>
              <w14:schemeClr w14:val="tx1"/>
            </w14:solidFill>
          </w14:textFill>
        </w:rPr>
        <w:t>海洋生物质量</w:t>
      </w:r>
    </w:p>
    <w:p w14:paraId="5969705A">
      <w:pPr>
        <w:ind w:firstLine="480"/>
        <w:rPr>
          <w:color w:val="000000" w:themeColor="text1"/>
          <w:szCs w:val="22"/>
          <w:lang w:val="zh-CN" w:bidi="zh-CN"/>
          <w14:textFill>
            <w14:solidFill>
              <w14:schemeClr w14:val="tx1"/>
            </w14:solidFill>
          </w14:textFill>
        </w:rPr>
      </w:pPr>
      <w:r>
        <w:rPr>
          <w:rFonts w:hint="eastAsia"/>
          <w:color w:val="000000" w:themeColor="text1"/>
          <w:szCs w:val="22"/>
          <w:lang w:val="zh-CN" w:bidi="zh-CN"/>
          <w14:textFill>
            <w14:solidFill>
              <w14:schemeClr w14:val="tx1"/>
            </w14:solidFill>
          </w14:textFill>
        </w:rPr>
        <w:t xml:space="preserve">1、浮游植物调查结果 </w:t>
      </w:r>
    </w:p>
    <w:p w14:paraId="51D3A76A">
      <w:pPr>
        <w:overflowPunct w:val="0"/>
        <w:spacing w:after="160"/>
        <w:ind w:firstLine="480"/>
        <w:rPr>
          <w:color w:val="000000" w:themeColor="text1"/>
          <w:szCs w:val="22"/>
          <w:u w:val="single"/>
          <w:lang w:val="zh-CN" w:bidi="zh-CN"/>
          <w14:textFill>
            <w14:solidFill>
              <w14:schemeClr w14:val="tx1"/>
            </w14:solidFill>
          </w14:textFill>
        </w:rPr>
      </w:pPr>
      <w:r>
        <w:rPr>
          <w:rFonts w:hint="eastAsia"/>
          <w:color w:val="000000" w:themeColor="text1"/>
          <w:szCs w:val="22"/>
          <w:u w:val="single"/>
          <w:lang w:val="zh-CN" w:bidi="zh-CN"/>
          <w14:textFill>
            <w14:solidFill>
              <w14:schemeClr w14:val="tx1"/>
            </w14:solidFill>
          </w14:textFill>
        </w:rPr>
        <w:t>调查海域的5个站位中，浮游植物的种数最多的是 S3 站，为 34 种；S1 站和 S4 站次之，均为 32 种；最少的是 S2 站和 S5 站，均为 26 种。根据各站位物种密度累加计算，调查海域5个站位的浮游植物平均密度为 172,983.4 个/L。最高密度站位：S4 站密度最高，总密度达 705,400 个/L（主要由旋链角毛藻 和柔弱管藻</w:t>
      </w:r>
      <w:r>
        <w:rPr>
          <w:rFonts w:hint="eastAsia"/>
          <w:color w:val="000000" w:themeColor="text1"/>
          <w:szCs w:val="22"/>
          <w:u w:val="single"/>
          <w:lang w:bidi="zh-CN"/>
          <w14:textFill>
            <w14:solidFill>
              <w14:schemeClr w14:val="tx1"/>
            </w14:solidFill>
          </w14:textFill>
        </w:rPr>
        <w:t>贡</w:t>
      </w:r>
      <w:r>
        <w:rPr>
          <w:rFonts w:hint="eastAsia"/>
          <w:color w:val="000000" w:themeColor="text1"/>
          <w:szCs w:val="22"/>
          <w:u w:val="single"/>
          <w:lang w:val="zh-CN" w:bidi="zh-CN"/>
          <w14:textFill>
            <w14:solidFill>
              <w14:schemeClr w14:val="tx1"/>
            </w14:solidFill>
          </w14:textFill>
        </w:rPr>
        <w:t>献）。S5 站密度最低，总密度为 20,339 个/L。S1站为 57,560 个/L，S3站为 52,618 个/L，S2站为 29,000 个/L。单个物种的密度变化范围为 175 个/L（如S5站的多个物种）至 284,000 个/L（S4站的旋链角毛藻）。</w:t>
      </w:r>
    </w:p>
    <w:p w14:paraId="0BF2EC17">
      <w:pPr>
        <w:ind w:firstLine="480"/>
        <w:rPr>
          <w:bCs/>
          <w:color w:val="000000" w:themeColor="text1"/>
          <w:u w:val="single"/>
          <w:lang w:bidi="zh-CN"/>
          <w14:textFill>
            <w14:solidFill>
              <w14:schemeClr w14:val="tx1"/>
            </w14:solidFill>
          </w14:textFill>
        </w:rPr>
      </w:pPr>
      <w:r>
        <w:rPr>
          <w:rFonts w:hint="eastAsia"/>
          <w:bCs/>
          <w:color w:val="000000" w:themeColor="text1"/>
          <w:u w:val="single"/>
          <w:lang w:bidi="zh-CN"/>
          <w14:textFill>
            <w14:solidFill>
              <w14:schemeClr w14:val="tx1"/>
            </w14:solidFill>
          </w14:textFill>
        </w:rPr>
        <w:t>2、</w:t>
      </w:r>
      <w:r>
        <w:rPr>
          <w:bCs/>
          <w:color w:val="000000" w:themeColor="text1"/>
          <w:u w:val="single"/>
          <w:lang w:bidi="zh-CN"/>
          <w14:textFill>
            <w14:solidFill>
              <w14:schemeClr w14:val="tx1"/>
            </w14:solidFill>
          </w14:textFill>
        </w:rPr>
        <w:t xml:space="preserve">浮游动物 </w:t>
      </w:r>
    </w:p>
    <w:p w14:paraId="2F65FA64">
      <w:pPr>
        <w:pStyle w:val="41"/>
        <w:ind w:firstLine="240"/>
        <w:rPr>
          <w:color w:val="000000" w:themeColor="text1"/>
          <w:szCs w:val="21"/>
          <w:u w:val="single"/>
          <w14:textFill>
            <w14:solidFill>
              <w14:schemeClr w14:val="tx1"/>
            </w14:solidFill>
          </w14:textFill>
        </w:rPr>
      </w:pPr>
      <w:r>
        <w:rPr>
          <w:rFonts w:hint="eastAsia"/>
          <w:color w:val="000000" w:themeColor="text1"/>
          <w:u w:val="single"/>
          <w14:textFill>
            <w14:solidFill>
              <w14:schemeClr w14:val="tx1"/>
            </w14:solidFill>
          </w14:textFill>
        </w:rPr>
        <w:t>本次调查共鉴定出浮游动物成体 16种，浮游幼体 3类，其中桡足类种类最多（10种），其次为毛颚类（2种）。各测站浮游动物种类数在 6～15种 之间。其中 S4站 种类数最多，为 15 种；S1站次之，为 14 种；S2、S5站 种类数最少，均为 6 种。调查期间，各测站浮游动物的总密度介于 935.9 ~ 2067.2 个/m³ 之间，总体平均密度为 1355.2 个/m³。最高密度出现在 S4站，为 2067.2 个/m³；最低密度出现在 S2站，为 935.9 个/m³。调查期间，各测站浮游动物生物量变化范围为 95.8 ~ 345 mg/m³，平均值为 188.76 mg/m³。最大值出现在 S4站（345 mg/m³）；最小值出现在 S2站（95.8 mg/m³）。</w:t>
      </w:r>
    </w:p>
    <w:p w14:paraId="4B4E6325">
      <w:pPr>
        <w:ind w:firstLine="480"/>
        <w:rPr>
          <w:bCs/>
          <w:color w:val="000000" w:themeColor="text1"/>
          <w:u w:val="single"/>
          <w:lang w:bidi="zh-CN"/>
          <w14:textFill>
            <w14:solidFill>
              <w14:schemeClr w14:val="tx1"/>
            </w14:solidFill>
          </w14:textFill>
        </w:rPr>
      </w:pPr>
      <w:r>
        <w:rPr>
          <w:rFonts w:hint="eastAsia"/>
          <w:bCs/>
          <w:color w:val="000000" w:themeColor="text1"/>
          <w:u w:val="single"/>
          <w:lang w:bidi="zh-CN"/>
          <w14:textFill>
            <w14:solidFill>
              <w14:schemeClr w14:val="tx1"/>
            </w14:solidFill>
          </w14:textFill>
        </w:rPr>
        <w:t>3、</w:t>
      </w:r>
      <w:r>
        <w:rPr>
          <w:bCs/>
          <w:color w:val="000000" w:themeColor="text1"/>
          <w:u w:val="single"/>
          <w:lang w:bidi="zh-CN"/>
          <w14:textFill>
            <w14:solidFill>
              <w14:schemeClr w14:val="tx1"/>
            </w14:solidFill>
          </w14:textFill>
        </w:rPr>
        <w:t xml:space="preserve">大型底栖动物 </w:t>
      </w:r>
    </w:p>
    <w:p w14:paraId="0596BB0E">
      <w:pPr>
        <w:pStyle w:val="41"/>
        <w:ind w:firstLine="24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本次调查共鉴定出底栖生物4大类群（环节动物多毛类、软体动物、脊索动物、棘皮动物），其中，多毛类种类数最多（8种/类）。调查海域5个测站中，S5站采集到的底栖生物种类数最多，为4种；S1、S2站次之，均采集到3种；S3、S4站最少，均仅采集到1种。调查海域底栖生物的总密度变化范围为 3.0 ~ 43.0 个/m²，平均密度为 19.6 个/m²。密度最高站位为S4站，为 43.0 个/m²；密度最低的站位为S3站，为 3.0 个/m²。调查海域底栖生物的总生物量变化范围为 0.27 ~ 2.80 g/m²，平均生物量为 1.24 g/m²。生物量最高的站位为S1站，为 2.80 g/m²；生物量最低的站位：S3站，为 0.27 g/m²。</w:t>
      </w:r>
    </w:p>
    <w:p w14:paraId="525B6BCB">
      <w:pPr>
        <w:ind w:firstLine="480"/>
        <w:rPr>
          <w:bCs/>
          <w:color w:val="000000" w:themeColor="text1"/>
          <w:lang w:bidi="zh-CN"/>
          <w14:textFill>
            <w14:solidFill>
              <w14:schemeClr w14:val="tx1"/>
            </w14:solidFill>
          </w14:textFill>
        </w:rPr>
      </w:pPr>
      <w:r>
        <w:rPr>
          <w:rFonts w:hint="eastAsia"/>
          <w:bCs/>
          <w:color w:val="000000" w:themeColor="text1"/>
          <w:lang w:bidi="zh-CN"/>
          <w14:textFill>
            <w14:solidFill>
              <w14:schemeClr w14:val="tx1"/>
            </w14:solidFill>
          </w14:textFill>
        </w:rPr>
        <w:t>4、游泳动物</w:t>
      </w:r>
    </w:p>
    <w:p w14:paraId="4BE70CB1">
      <w:pPr>
        <w:ind w:firstLine="480"/>
        <w:rPr>
          <w:color w:val="000000" w:themeColor="text1"/>
          <w:lang w:val="zh-CN" w:bidi="zh-CN"/>
          <w14:textFill>
            <w14:solidFill>
              <w14:schemeClr w14:val="tx1"/>
            </w14:solidFill>
          </w14:textFill>
        </w:rPr>
      </w:pPr>
      <w:r>
        <w:rPr>
          <w:color w:val="000000" w:themeColor="text1"/>
          <w14:textFill>
            <w14:solidFill>
              <w14:schemeClr w14:val="tx1"/>
            </w14:solidFill>
          </w14:textFill>
        </w:rPr>
        <w:t>本次调查</w:t>
      </w:r>
      <w:r>
        <w:rPr>
          <w:rFonts w:hint="eastAsia"/>
          <w:color w:val="000000" w:themeColor="text1"/>
          <w14:textFill>
            <w14:solidFill>
              <w14:schemeClr w14:val="tx1"/>
            </w14:solidFill>
          </w14:textFill>
        </w:rPr>
        <w:t>共采集到渔获物18种，其中鱼类14种，蟹类3种，头足类1种。</w:t>
      </w:r>
    </w:p>
    <w:p w14:paraId="03662962">
      <w:pPr>
        <w:pStyle w:val="5"/>
        <w:rPr>
          <w:color w:val="000000" w:themeColor="text1"/>
          <w14:textFill>
            <w14:solidFill>
              <w14:schemeClr w14:val="tx1"/>
            </w14:solidFill>
          </w14:textFill>
        </w:rPr>
      </w:pPr>
      <w:bookmarkStart w:id="927" w:name="_Toc22716728"/>
      <w:bookmarkStart w:id="928" w:name="_Toc216620666"/>
      <w:r>
        <w:rPr>
          <w:color w:val="000000" w:themeColor="text1"/>
          <w14:textFill>
            <w14:solidFill>
              <w14:schemeClr w14:val="tx1"/>
            </w14:solidFill>
          </w14:textFill>
        </w:rPr>
        <w:t>环境影响</w:t>
      </w:r>
      <w:bookmarkEnd w:id="927"/>
      <w:r>
        <w:rPr>
          <w:color w:val="000000" w:themeColor="text1"/>
          <w14:textFill>
            <w14:solidFill>
              <w14:schemeClr w14:val="tx1"/>
            </w14:solidFill>
          </w14:textFill>
        </w:rPr>
        <w:t>预测与评价结论</w:t>
      </w:r>
      <w:bookmarkEnd w:id="928"/>
    </w:p>
    <w:p w14:paraId="44B868BD">
      <w:pPr>
        <w:pStyle w:val="4"/>
        <w:rPr>
          <w:color w:val="000000" w:themeColor="text1"/>
          <w14:textFill>
            <w14:solidFill>
              <w14:schemeClr w14:val="tx1"/>
            </w14:solidFill>
          </w14:textFill>
        </w:rPr>
      </w:pPr>
      <w:bookmarkStart w:id="929" w:name="_Toc216620667"/>
      <w:bookmarkStart w:id="930" w:name="_Toc29131938"/>
      <w:bookmarkStart w:id="931" w:name="_Toc25437077"/>
      <w:bookmarkStart w:id="932" w:name="_Toc135090333"/>
      <w:bookmarkStart w:id="933" w:name="_Toc26910125"/>
      <w:bookmarkStart w:id="934" w:name="_Toc26910133"/>
      <w:bookmarkStart w:id="935" w:name="_Toc29131946"/>
      <w:bookmarkStart w:id="936" w:name="_Toc135090341"/>
      <w:bookmarkStart w:id="937" w:name="_Toc216103515"/>
      <w:bookmarkStart w:id="938" w:name="_Toc136878605"/>
      <w:r>
        <w:rPr>
          <w:color w:val="000000" w:themeColor="text1"/>
          <w14:textFill>
            <w14:solidFill>
              <w14:schemeClr w14:val="tx1"/>
            </w14:solidFill>
          </w14:textFill>
        </w:rPr>
        <w:t>水环境影响分析</w:t>
      </w:r>
      <w:bookmarkEnd w:id="929"/>
    </w:p>
    <w:p w14:paraId="51F044E0">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①施工期</w:t>
      </w:r>
    </w:p>
    <w:p w14:paraId="754D65E2">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工程管道施工结束后进行清管和试压，试压前应采用清管器进行清管。试压废水产生量较小，主要污染物为少量铁锈和泥沙等悬浮物，经沉淀后即可去除。</w:t>
      </w:r>
    </w:p>
    <w:p w14:paraId="596C04DA">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根据以往施工经验，施工营地一般租用沿线居民房，生活污水中的粪便污水经居民房自设的化粪池处理后用作有机肥，洗涤、洗漱等生活污水回用于场地洒水降尘，处理后对水环境影响较小。</w:t>
      </w:r>
    </w:p>
    <w:p w14:paraId="07B8419F">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②营运期</w:t>
      </w:r>
    </w:p>
    <w:p w14:paraId="1439B7E6">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本项目无新增定员，不增加生活污水。</w:t>
      </w:r>
    </w:p>
    <w:p w14:paraId="5C9BF7CD">
      <w:pPr>
        <w:ind w:firstLine="480"/>
        <w:rPr>
          <w:color w:val="000000" w:themeColor="text1"/>
          <w14:textFill>
            <w14:solidFill>
              <w14:schemeClr w14:val="tx1"/>
            </w14:solidFill>
          </w14:textFill>
        </w:rPr>
      </w:pPr>
      <w:r>
        <w:rPr>
          <w:rFonts w:hint="eastAsia"/>
          <w:color w:val="0000FF"/>
        </w:rPr>
        <w:t>本项目</w:t>
      </w:r>
      <w:r>
        <w:rPr>
          <w:rFonts w:hint="eastAsia"/>
          <w:color w:val="0000FF"/>
          <w:lang w:val="en-US" w:eastAsia="zh-CN"/>
        </w:rPr>
        <w:t>无新增码头面积，不新增初期雨水及码头冲洗废水，初期雨水及码头冲洗废水</w:t>
      </w:r>
      <w:r>
        <w:rPr>
          <w:rFonts w:hint="eastAsia"/>
          <w:color w:val="0000FF"/>
        </w:rPr>
        <w:t>经</w:t>
      </w:r>
      <w:r>
        <w:rPr>
          <w:color w:val="0000FF"/>
        </w:rPr>
        <w:t>围堰内设置集污池（有效容积2m</w:t>
      </w:r>
      <w:r>
        <w:rPr>
          <w:color w:val="0000FF"/>
          <w:vertAlign w:val="superscript"/>
        </w:rPr>
        <w:t>3</w:t>
      </w:r>
      <w:r>
        <w:rPr>
          <w:color w:val="0000FF"/>
        </w:rPr>
        <w:t>），收集初期雨水和地面冲洗废水后进入初期雨水池；码头区域废水通过污水泵与经化粪池处理后的陆域区生活污水，一起排入污水管后进入恒逸污水处理厂处理</w:t>
      </w:r>
      <w:r>
        <w:rPr>
          <w:rFonts w:hint="eastAsia"/>
          <w:color w:val="0000FF"/>
        </w:rPr>
        <w:t>。</w:t>
      </w:r>
      <w:r>
        <w:rPr>
          <w:rFonts w:hint="eastAsia"/>
          <w:color w:val="000000" w:themeColor="text1"/>
          <w14:textFill>
            <w14:solidFill>
              <w14:schemeClr w14:val="tx1"/>
            </w14:solidFill>
          </w14:textFill>
        </w:rPr>
        <w:t>本项目到港船舶生活污水和机舱油污水由钦州市桂通船舶服务有限公司接收处置。</w:t>
      </w:r>
    </w:p>
    <w:p w14:paraId="252C2493">
      <w:pPr>
        <w:pStyle w:val="4"/>
        <w:rPr>
          <w:color w:val="000000" w:themeColor="text1"/>
          <w14:textFill>
            <w14:solidFill>
              <w14:schemeClr w14:val="tx1"/>
            </w14:solidFill>
          </w14:textFill>
        </w:rPr>
      </w:pPr>
      <w:bookmarkStart w:id="939" w:name="_Toc136878599"/>
      <w:bookmarkStart w:id="940" w:name="_Toc216620668"/>
      <w:r>
        <w:rPr>
          <w:color w:val="000000" w:themeColor="text1"/>
          <w14:textFill>
            <w14:solidFill>
              <w14:schemeClr w14:val="tx1"/>
            </w14:solidFill>
          </w14:textFill>
        </w:rPr>
        <w:t>大气环境影响</w:t>
      </w:r>
      <w:bookmarkEnd w:id="930"/>
      <w:bookmarkEnd w:id="931"/>
      <w:bookmarkEnd w:id="932"/>
      <w:bookmarkEnd w:id="933"/>
      <w:r>
        <w:rPr>
          <w:color w:val="000000" w:themeColor="text1"/>
          <w14:textFill>
            <w14:solidFill>
              <w14:schemeClr w14:val="tx1"/>
            </w14:solidFill>
          </w14:textFill>
        </w:rPr>
        <w:t>评价</w:t>
      </w:r>
      <w:bookmarkEnd w:id="939"/>
      <w:bookmarkEnd w:id="940"/>
    </w:p>
    <w:p w14:paraId="6633F755">
      <w:pPr>
        <w:numPr>
          <w:ilvl w:val="0"/>
          <w:numId w:val="18"/>
        </w:numPr>
        <w:ind w:firstLine="480"/>
        <w:rPr>
          <w:color w:val="000000" w:themeColor="text1"/>
          <w14:textFill>
            <w14:solidFill>
              <w14:schemeClr w14:val="tx1"/>
            </w14:solidFill>
          </w14:textFill>
        </w:rPr>
      </w:pPr>
      <w:r>
        <w:rPr>
          <w:color w:val="000000" w:themeColor="text1"/>
          <w14:textFill>
            <w14:solidFill>
              <w14:schemeClr w14:val="tx1"/>
            </w14:solidFill>
          </w14:textFill>
        </w:rPr>
        <w:t>施工期</w:t>
      </w:r>
    </w:p>
    <w:p w14:paraId="0DA3C905">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施工期</w:t>
      </w:r>
      <w:r>
        <w:rPr>
          <w:color w:val="000000" w:themeColor="text1"/>
          <w14:textFill>
            <w14:solidFill>
              <w14:schemeClr w14:val="tx1"/>
            </w14:solidFill>
          </w14:textFill>
        </w:rPr>
        <w:t>主要大气污染源为施工扬尘和施工机械、船舶废气等，</w:t>
      </w:r>
      <w:r>
        <w:rPr>
          <w:rFonts w:hint="eastAsia"/>
          <w:color w:val="000000" w:themeColor="text1"/>
          <w14:textFill>
            <w14:solidFill>
              <w14:schemeClr w14:val="tx1"/>
            </w14:solidFill>
          </w14:textFill>
        </w:rPr>
        <w:t>本项目所在区域地势开阔，有利于空气的扩散，同时空气污染源具有间歇性和流动性，因此对局部地区的环境影响较轻。同时，这些不利影响也会随着工程结束而消失。</w:t>
      </w:r>
    </w:p>
    <w:p w14:paraId="4E76CF6B">
      <w:pPr>
        <w:numPr>
          <w:ilvl w:val="0"/>
          <w:numId w:val="18"/>
        </w:num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营运</w:t>
      </w:r>
      <w:r>
        <w:rPr>
          <w:color w:val="000000" w:themeColor="text1"/>
          <w14:textFill>
            <w14:solidFill>
              <w14:schemeClr w14:val="tx1"/>
            </w14:solidFill>
          </w14:textFill>
        </w:rPr>
        <w:t>期</w:t>
      </w:r>
    </w:p>
    <w:p w14:paraId="593F2C15">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本项目营运期大气污染源无组织废气为管线密封点溢出废气、装船废气及扫线废气、船舶废气。经过预测，苯乙烯最大预测浓度0.329ug/m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,浓度占标率3.29%，硫酸雾最大预测浓度4.45ug/m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,浓度占标率1.48%，VOCs最大预测浓度5.31ug/m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,浓度占标率0.44%，均能达到《大气污染物综合排放标准》（GB 16297-1996）相应标准限值。</w:t>
      </w:r>
    </w:p>
    <w:p w14:paraId="14B898DE">
      <w:pPr>
        <w:pStyle w:val="4"/>
        <w:rPr>
          <w:color w:val="000000" w:themeColor="text1"/>
          <w14:textFill>
            <w14:solidFill>
              <w14:schemeClr w14:val="tx1"/>
            </w14:solidFill>
          </w14:textFill>
        </w:rPr>
      </w:pPr>
      <w:bookmarkStart w:id="941" w:name="_Toc25437080"/>
      <w:bookmarkStart w:id="942" w:name="_Toc135090336"/>
      <w:bookmarkStart w:id="943" w:name="_Toc26910128"/>
      <w:bookmarkStart w:id="944" w:name="_Toc29131941"/>
      <w:bookmarkStart w:id="945" w:name="_Toc136878600"/>
      <w:bookmarkStart w:id="946" w:name="_Toc216620669"/>
      <w:r>
        <w:rPr>
          <w:color w:val="000000" w:themeColor="text1"/>
          <w14:textFill>
            <w14:solidFill>
              <w14:schemeClr w14:val="tx1"/>
            </w14:solidFill>
          </w14:textFill>
        </w:rPr>
        <w:t>噪声环境影响</w:t>
      </w:r>
      <w:bookmarkEnd w:id="941"/>
      <w:bookmarkEnd w:id="942"/>
      <w:bookmarkEnd w:id="943"/>
      <w:bookmarkEnd w:id="944"/>
      <w:r>
        <w:rPr>
          <w:color w:val="000000" w:themeColor="text1"/>
          <w14:textFill>
            <w14:solidFill>
              <w14:schemeClr w14:val="tx1"/>
            </w14:solidFill>
          </w14:textFill>
        </w:rPr>
        <w:t>评价</w:t>
      </w:r>
      <w:bookmarkEnd w:id="945"/>
      <w:bookmarkEnd w:id="946"/>
    </w:p>
    <w:p w14:paraId="21B4BD89">
      <w:pPr>
        <w:ind w:firstLine="480"/>
        <w:rPr>
          <w:color w:val="000000" w:themeColor="text1"/>
          <w14:textFill>
            <w14:solidFill>
              <w14:schemeClr w14:val="tx1"/>
            </w14:solidFill>
          </w14:textFill>
        </w:rPr>
      </w:pPr>
      <w:r>
        <w:rPr>
          <w:color w:val="000000" w:themeColor="text1"/>
          <w14:textFill>
            <w14:solidFill>
              <w14:schemeClr w14:val="tx1"/>
            </w14:solidFill>
          </w14:textFill>
        </w:rPr>
        <w:t>本项目运营期厂界噪声预测贡献值</w:t>
      </w:r>
      <w:r>
        <w:rPr>
          <w:rFonts w:hint="eastAsia"/>
          <w:color w:val="000000" w:themeColor="text1"/>
          <w14:textFill>
            <w14:solidFill>
              <w14:schemeClr w14:val="tx1"/>
            </w14:solidFill>
          </w14:textFill>
        </w:rPr>
        <w:t>均</w:t>
      </w:r>
      <w:r>
        <w:rPr>
          <w:color w:val="000000" w:themeColor="text1"/>
          <w14:textFill>
            <w14:solidFill>
              <w14:schemeClr w14:val="tx1"/>
            </w14:solidFill>
          </w14:textFill>
        </w:rPr>
        <w:t>可以达到《工业企业厂界环境噪声排放标准》（GB12348-2008）3类噪声排放限值要求，噪声评价范围内无敏感点，噪声排放对周围环境影响不大。</w:t>
      </w:r>
    </w:p>
    <w:p w14:paraId="112313EA">
      <w:pPr>
        <w:pStyle w:val="4"/>
        <w:rPr>
          <w:color w:val="000000" w:themeColor="text1"/>
          <w14:textFill>
            <w14:solidFill>
              <w14:schemeClr w14:val="tx1"/>
            </w14:solidFill>
          </w14:textFill>
        </w:rPr>
      </w:pPr>
      <w:bookmarkStart w:id="947" w:name="_Toc29131942"/>
      <w:bookmarkStart w:id="948" w:name="_Toc26910129"/>
      <w:bookmarkStart w:id="949" w:name="_Toc25437081"/>
      <w:bookmarkStart w:id="950" w:name="_Toc135090337"/>
      <w:bookmarkStart w:id="951" w:name="_Toc136878601"/>
      <w:bookmarkStart w:id="952" w:name="_Toc216620670"/>
      <w:r>
        <w:rPr>
          <w:color w:val="000000" w:themeColor="text1"/>
          <w14:textFill>
            <w14:solidFill>
              <w14:schemeClr w14:val="tx1"/>
            </w14:solidFill>
          </w14:textFill>
        </w:rPr>
        <w:t>固体</w:t>
      </w:r>
      <w:bookmarkEnd w:id="947"/>
      <w:bookmarkEnd w:id="948"/>
      <w:bookmarkEnd w:id="949"/>
      <w:bookmarkEnd w:id="950"/>
      <w:r>
        <w:rPr>
          <w:color w:val="000000" w:themeColor="text1"/>
          <w14:textFill>
            <w14:solidFill>
              <w14:schemeClr w14:val="tx1"/>
            </w14:solidFill>
          </w14:textFill>
        </w:rPr>
        <w:t>废物影响评价</w:t>
      </w:r>
      <w:bookmarkEnd w:id="951"/>
      <w:bookmarkEnd w:id="952"/>
    </w:p>
    <w:p w14:paraId="1F077402">
      <w:pPr>
        <w:ind w:firstLine="480"/>
        <w:rPr>
          <w:color w:val="000000" w:themeColor="text1"/>
          <w14:textFill>
            <w14:solidFill>
              <w14:schemeClr w14:val="tx1"/>
            </w14:solidFill>
          </w14:textFill>
        </w:rPr>
      </w:pPr>
      <w:r>
        <w:rPr>
          <w:color w:val="000000" w:themeColor="text1"/>
          <w14:textFill>
            <w14:solidFill>
              <w14:schemeClr w14:val="tx1"/>
            </w14:solidFill>
          </w14:textFill>
        </w:rPr>
        <w:t>项目船舶污染物交资质单位接收处置；生活垃圾由环卫部门统一清运。危险废物暂存在危废暂存间，交有资质单位定期转运处置。项目产生的固废</w:t>
      </w:r>
      <w:r>
        <w:rPr>
          <w:rFonts w:hint="eastAsia"/>
          <w:color w:val="000000" w:themeColor="text1"/>
          <w14:textFill>
            <w14:solidFill>
              <w14:schemeClr w14:val="tx1"/>
            </w14:solidFill>
          </w14:textFill>
        </w:rPr>
        <w:t>经</w:t>
      </w:r>
      <w:r>
        <w:rPr>
          <w:color w:val="000000" w:themeColor="text1"/>
          <w14:textFill>
            <w14:solidFill>
              <w14:schemeClr w14:val="tx1"/>
            </w14:solidFill>
          </w14:textFill>
        </w:rPr>
        <w:t>妥善处置，</w:t>
      </w:r>
      <w:r>
        <w:rPr>
          <w:rFonts w:hint="eastAsia"/>
          <w:color w:val="000000" w:themeColor="text1"/>
          <w14:textFill>
            <w14:solidFill>
              <w14:schemeClr w14:val="tx1"/>
            </w14:solidFill>
          </w14:textFill>
        </w:rPr>
        <w:t>对</w:t>
      </w:r>
      <w:r>
        <w:rPr>
          <w:color w:val="000000" w:themeColor="text1"/>
          <w14:textFill>
            <w14:solidFill>
              <w14:schemeClr w14:val="tx1"/>
            </w14:solidFill>
          </w14:textFill>
        </w:rPr>
        <w:t>环境影响不大。</w:t>
      </w:r>
    </w:p>
    <w:p w14:paraId="15891E05">
      <w:pPr>
        <w:pStyle w:val="4"/>
        <w:rPr>
          <w:color w:val="000000" w:themeColor="text1"/>
          <w14:textFill>
            <w14:solidFill>
              <w14:schemeClr w14:val="tx1"/>
            </w14:solidFill>
          </w14:textFill>
        </w:rPr>
      </w:pPr>
      <w:bookmarkStart w:id="953" w:name="_Toc136878602"/>
      <w:bookmarkStart w:id="954" w:name="_Toc135090338"/>
      <w:bookmarkStart w:id="955" w:name="_Toc216620671"/>
      <w:bookmarkStart w:id="956" w:name="_Toc29131943"/>
      <w:bookmarkStart w:id="957" w:name="_Toc25437082"/>
      <w:bookmarkStart w:id="958" w:name="_Toc26910130"/>
      <w:r>
        <w:rPr>
          <w:color w:val="000000" w:themeColor="text1"/>
          <w14:textFill>
            <w14:solidFill>
              <w14:schemeClr w14:val="tx1"/>
            </w14:solidFill>
          </w14:textFill>
        </w:rPr>
        <w:t>生态环境影响</w:t>
      </w:r>
      <w:bookmarkEnd w:id="953"/>
      <w:bookmarkEnd w:id="954"/>
      <w:bookmarkEnd w:id="955"/>
      <w:bookmarkEnd w:id="956"/>
      <w:bookmarkEnd w:id="957"/>
      <w:bookmarkEnd w:id="958"/>
    </w:p>
    <w:p w14:paraId="5B2573B8">
      <w:pPr>
        <w:pStyle w:val="6"/>
        <w:rPr>
          <w:color w:val="000000" w:themeColor="text1"/>
          <w14:textFill>
            <w14:solidFill>
              <w14:schemeClr w14:val="tx1"/>
            </w14:solidFill>
          </w14:textFill>
        </w:rPr>
      </w:pPr>
      <w:r>
        <w:rPr>
          <w:color w:val="000000" w:themeColor="text1"/>
          <w14:textFill>
            <w14:solidFill>
              <w14:schemeClr w14:val="tx1"/>
            </w14:solidFill>
          </w14:textFill>
        </w:rPr>
        <w:t>施工期</w:t>
      </w:r>
    </w:p>
    <w:p w14:paraId="5A1AEE8D">
      <w:pPr>
        <w:ind w:firstLine="480"/>
        <w:rPr>
          <w:color w:val="000000" w:themeColor="text1"/>
          <w14:textFill>
            <w14:solidFill>
              <w14:schemeClr w14:val="tx1"/>
            </w14:solidFill>
          </w14:textFill>
        </w:rPr>
      </w:pPr>
      <w:r>
        <w:rPr>
          <w:color w:val="000000" w:themeColor="text1"/>
          <w14:textFill>
            <w14:solidFill>
              <w14:schemeClr w14:val="tx1"/>
            </w14:solidFill>
          </w14:textFill>
        </w:rPr>
        <w:t>本项目</w:t>
      </w:r>
      <w:r>
        <w:rPr>
          <w:rFonts w:hint="eastAsia"/>
          <w:color w:val="000000" w:themeColor="text1"/>
          <w14:textFill>
            <w14:solidFill>
              <w14:schemeClr w14:val="tx1"/>
            </w14:solidFill>
          </w14:textFill>
        </w:rPr>
        <w:t>不涉及水上施工及陆地施工，仅在现有泊位增加装卸臂和软管，对生态环境影响很小</w:t>
      </w:r>
      <w:r>
        <w:rPr>
          <w:color w:val="000000" w:themeColor="text1"/>
          <w14:textFill>
            <w14:solidFill>
              <w14:schemeClr w14:val="tx1"/>
            </w14:solidFill>
          </w14:textFill>
        </w:rPr>
        <w:t>。</w:t>
      </w:r>
    </w:p>
    <w:p w14:paraId="71C37757">
      <w:pPr>
        <w:pStyle w:val="6"/>
        <w:rPr>
          <w:color w:val="000000" w:themeColor="text1"/>
          <w14:textFill>
            <w14:solidFill>
              <w14:schemeClr w14:val="tx1"/>
            </w14:solidFill>
          </w14:textFill>
        </w:rPr>
      </w:pPr>
      <w:r>
        <w:rPr>
          <w:color w:val="000000" w:themeColor="text1"/>
          <w14:textFill>
            <w14:solidFill>
              <w14:schemeClr w14:val="tx1"/>
            </w14:solidFill>
          </w14:textFill>
        </w:rPr>
        <w:t>运营期</w:t>
      </w:r>
    </w:p>
    <w:p w14:paraId="39D3C34E">
      <w:pPr>
        <w:ind w:firstLine="480"/>
        <w:rPr>
          <w:color w:val="000000" w:themeColor="text1"/>
          <w14:textFill>
            <w14:solidFill>
              <w14:schemeClr w14:val="tx1"/>
            </w14:solidFill>
          </w14:textFill>
        </w:rPr>
      </w:pPr>
      <w:r>
        <w:rPr>
          <w:color w:val="000000" w:themeColor="text1"/>
          <w14:textFill>
            <w14:solidFill>
              <w14:schemeClr w14:val="tx1"/>
            </w14:solidFill>
          </w14:textFill>
        </w:rPr>
        <w:t>本项目建成后，</w:t>
      </w:r>
      <w:r>
        <w:rPr>
          <w:rFonts w:hint="eastAsia"/>
          <w:color w:val="000000" w:themeColor="text1"/>
          <w14:textFill>
            <w14:solidFill>
              <w14:schemeClr w14:val="tx1"/>
            </w14:solidFill>
          </w14:textFill>
        </w:rPr>
        <w:t>由于码头作业、船舶运行的密度增加及相关污染物排放会对水域的生态环境质量造成一定影响。</w:t>
      </w:r>
      <w:r>
        <w:rPr>
          <w:color w:val="000000" w:themeColor="text1"/>
          <w14:textFill>
            <w14:solidFill>
              <w14:schemeClr w14:val="tx1"/>
            </w14:solidFill>
          </w14:textFill>
        </w:rPr>
        <w:t>船舶污水由资质单位接收处置；码头生活污水、初期雨水、冲洗废水</w:t>
      </w:r>
      <w:r>
        <w:rPr>
          <w:snapToGrid w:val="0"/>
          <w:color w:val="000000" w:themeColor="text1"/>
          <w:kern w:val="0"/>
          <w14:textFill>
            <w14:solidFill>
              <w14:schemeClr w14:val="tx1"/>
            </w14:solidFill>
          </w14:textFill>
        </w:rPr>
        <w:t>设置集污池收集后，排放至</w:t>
      </w:r>
      <w:r>
        <w:rPr>
          <w:color w:val="000000" w:themeColor="text1"/>
          <w14:textFill>
            <w14:solidFill>
              <w14:schemeClr w14:val="tx1"/>
            </w14:solidFill>
          </w14:textFill>
        </w:rPr>
        <w:t>广西恒逸污水处理厂</w:t>
      </w:r>
      <w:r>
        <w:rPr>
          <w:snapToGrid w:val="0"/>
          <w:color w:val="000000" w:themeColor="text1"/>
          <w:kern w:val="0"/>
          <w14:textFill>
            <w14:solidFill>
              <w14:schemeClr w14:val="tx1"/>
            </w14:solidFill>
          </w14:textFill>
        </w:rPr>
        <w:t>处理后排放，</w:t>
      </w:r>
      <w:r>
        <w:rPr>
          <w:color w:val="000000" w:themeColor="text1"/>
          <w14:textFill>
            <w14:solidFill>
              <w14:schemeClr w14:val="tx1"/>
            </w14:solidFill>
          </w14:textFill>
        </w:rPr>
        <w:t>不会对周边海域水环境造成影响</w:t>
      </w:r>
      <w:r>
        <w:rPr>
          <w:snapToGrid w:val="0"/>
          <w:color w:val="000000" w:themeColor="text1"/>
          <w:kern w:val="0"/>
          <w14:textFill>
            <w14:solidFill>
              <w14:schemeClr w14:val="tx1"/>
            </w14:solidFill>
          </w14:textFill>
        </w:rPr>
        <w:t>。</w:t>
      </w:r>
      <w:r>
        <w:rPr>
          <w:color w:val="000000" w:themeColor="text1"/>
          <w14:textFill>
            <w14:solidFill>
              <w14:schemeClr w14:val="tx1"/>
            </w14:solidFill>
          </w14:textFill>
        </w:rPr>
        <w:t>船舶污染物交资质单位接收处置；生活垃圾由环卫部门统一清运。危险废物暂存在危废暂存间，交有资质单位定期转运处置。项目产生的固废</w:t>
      </w:r>
      <w:r>
        <w:rPr>
          <w:rFonts w:hint="eastAsia"/>
          <w:color w:val="000000" w:themeColor="text1"/>
          <w14:textFill>
            <w14:solidFill>
              <w14:schemeClr w14:val="tx1"/>
            </w14:solidFill>
          </w14:textFill>
        </w:rPr>
        <w:t>经</w:t>
      </w:r>
      <w:r>
        <w:rPr>
          <w:color w:val="000000" w:themeColor="text1"/>
          <w14:textFill>
            <w14:solidFill>
              <w14:schemeClr w14:val="tx1"/>
            </w14:solidFill>
          </w14:textFill>
        </w:rPr>
        <w:t>妥善处置，</w:t>
      </w:r>
      <w:r>
        <w:rPr>
          <w:rFonts w:hint="eastAsia"/>
          <w:color w:val="000000" w:themeColor="text1"/>
          <w14:textFill>
            <w14:solidFill>
              <w14:schemeClr w14:val="tx1"/>
            </w14:solidFill>
          </w14:textFill>
        </w:rPr>
        <w:t>对</w:t>
      </w:r>
      <w:r>
        <w:rPr>
          <w:color w:val="000000" w:themeColor="text1"/>
          <w14:textFill>
            <w14:solidFill>
              <w14:schemeClr w14:val="tx1"/>
            </w14:solidFill>
          </w14:textFill>
        </w:rPr>
        <w:t>环境影响不大。</w:t>
      </w:r>
      <w:r>
        <w:rPr>
          <w:rFonts w:hint="eastAsia"/>
          <w:color w:val="000000" w:themeColor="text1"/>
          <w14:textFill>
            <w14:solidFill>
              <w14:schemeClr w14:val="tx1"/>
            </w14:solidFill>
          </w14:textFill>
        </w:rPr>
        <w:t>因此在落实各项环境保护措施后，本项目</w:t>
      </w:r>
      <w:r>
        <w:rPr>
          <w:color w:val="000000" w:themeColor="text1"/>
          <w14:textFill>
            <w14:solidFill>
              <w14:schemeClr w14:val="tx1"/>
            </w14:solidFill>
          </w14:textFill>
        </w:rPr>
        <w:t>对海洋生态</w:t>
      </w:r>
      <w:r>
        <w:rPr>
          <w:rFonts w:hint="eastAsia"/>
          <w:color w:val="000000" w:themeColor="text1"/>
          <w:lang w:eastAsia="zh-CN"/>
          <w14:textFill>
            <w14:solidFill>
              <w14:schemeClr w14:val="tx1"/>
            </w14:solidFill>
          </w14:textFill>
        </w:rPr>
        <w:t>环境影响</w:t>
      </w:r>
      <w:r>
        <w:rPr>
          <w:rFonts w:hint="eastAsia"/>
          <w:color w:val="000000" w:themeColor="text1"/>
          <w14:textFill>
            <w14:solidFill>
              <w14:schemeClr w14:val="tx1"/>
            </w14:solidFill>
          </w14:textFill>
        </w:rPr>
        <w:t>不大</w:t>
      </w:r>
      <w:r>
        <w:rPr>
          <w:color w:val="000000" w:themeColor="text1"/>
          <w14:textFill>
            <w14:solidFill>
              <w14:schemeClr w14:val="tx1"/>
            </w14:solidFill>
          </w14:textFill>
        </w:rPr>
        <w:t>。</w:t>
      </w:r>
    </w:p>
    <w:p w14:paraId="556D8BCA">
      <w:pPr>
        <w:pStyle w:val="5"/>
        <w:rPr>
          <w:color w:val="000000" w:themeColor="text1"/>
          <w14:textFill>
            <w14:solidFill>
              <w14:schemeClr w14:val="tx1"/>
            </w14:solidFill>
          </w14:textFill>
        </w:rPr>
      </w:pPr>
      <w:bookmarkStart w:id="959" w:name="_Toc136878603"/>
      <w:bookmarkStart w:id="960" w:name="_Toc25433663"/>
      <w:bookmarkStart w:id="961" w:name="_Toc22716729"/>
      <w:bookmarkStart w:id="962" w:name="_Toc216620672"/>
      <w:r>
        <w:rPr>
          <w:color w:val="000000" w:themeColor="text1"/>
          <w14:textFill>
            <w14:solidFill>
              <w14:schemeClr w14:val="tx1"/>
            </w14:solidFill>
          </w14:textFill>
        </w:rPr>
        <w:t>环境保护措施</w:t>
      </w:r>
      <w:bookmarkEnd w:id="959"/>
      <w:bookmarkEnd w:id="960"/>
      <w:bookmarkEnd w:id="961"/>
      <w:bookmarkEnd w:id="962"/>
    </w:p>
    <w:p w14:paraId="7BD44453">
      <w:pPr>
        <w:pStyle w:val="4"/>
        <w:rPr>
          <w:color w:val="000000" w:themeColor="text1"/>
          <w14:textFill>
            <w14:solidFill>
              <w14:schemeClr w14:val="tx1"/>
            </w14:solidFill>
          </w14:textFill>
        </w:rPr>
      </w:pPr>
      <w:bookmarkStart w:id="963" w:name="_Toc216620673"/>
      <w:bookmarkStart w:id="964" w:name="_Toc29131945"/>
      <w:bookmarkStart w:id="965" w:name="_Toc135090340"/>
      <w:bookmarkStart w:id="966" w:name="_Toc26910132"/>
      <w:bookmarkStart w:id="967" w:name="_Toc136878604"/>
      <w:r>
        <w:rPr>
          <w:color w:val="000000" w:themeColor="text1"/>
          <w14:textFill>
            <w14:solidFill>
              <w14:schemeClr w14:val="tx1"/>
            </w14:solidFill>
          </w14:textFill>
        </w:rPr>
        <w:t>大气污染防治措施</w:t>
      </w:r>
      <w:bookmarkEnd w:id="963"/>
      <w:bookmarkEnd w:id="964"/>
      <w:bookmarkEnd w:id="965"/>
      <w:bookmarkEnd w:id="966"/>
      <w:bookmarkEnd w:id="967"/>
    </w:p>
    <w:p w14:paraId="0B90B3C8">
      <w:pPr>
        <w:numPr>
          <w:ilvl w:val="0"/>
          <w:numId w:val="19"/>
        </w:numPr>
        <w:ind w:firstLine="480"/>
        <w:rPr>
          <w:color w:val="000000" w:themeColor="text1"/>
          <w14:textFill>
            <w14:solidFill>
              <w14:schemeClr w14:val="tx1"/>
            </w14:solidFill>
          </w14:textFill>
        </w:rPr>
      </w:pPr>
      <w:r>
        <w:rPr>
          <w:color w:val="000000" w:themeColor="text1"/>
          <w14:textFill>
            <w14:solidFill>
              <w14:schemeClr w14:val="tx1"/>
            </w14:solidFill>
          </w14:textFill>
        </w:rPr>
        <w:t>船舶废气</w:t>
      </w:r>
    </w:p>
    <w:p w14:paraId="4A96DA78">
      <w:pPr>
        <w:ind w:firstLine="480"/>
        <w:rPr>
          <w:color w:val="000000" w:themeColor="text1"/>
          <w14:textFill>
            <w14:solidFill>
              <w14:schemeClr w14:val="tx1"/>
            </w14:solidFill>
          </w14:textFill>
        </w:rPr>
      </w:pPr>
      <w:r>
        <w:rPr>
          <w:color w:val="000000" w:themeColor="text1"/>
          <w14:textFill>
            <w14:solidFill>
              <w14:schemeClr w14:val="tx1"/>
            </w14:solidFill>
          </w14:textFill>
        </w:rPr>
        <w:t>污染物严格按照《Marpol73/78公约》附则VI的规定执行；选用含硫量低的燃料，控制燃料的含硫量；尽可能降低辅机运转负荷，停泊时尽量启用单辅机发电，减少耗油量；船舶应优先选用功率大、转速快的发动机。</w:t>
      </w:r>
    </w:p>
    <w:p w14:paraId="3B3FE763">
      <w:pPr>
        <w:ind w:firstLine="480"/>
        <w:rPr>
          <w:snapToGrid w:val="0"/>
          <w:color w:val="000000" w:themeColor="text1"/>
          <w14:textFill>
            <w14:solidFill>
              <w14:schemeClr w14:val="tx1"/>
            </w14:solidFill>
          </w14:textFill>
        </w:rPr>
      </w:pPr>
      <w:r>
        <w:rPr>
          <w:color w:val="000000" w:themeColor="text1"/>
          <w14:textFill>
            <w14:solidFill>
              <w14:schemeClr w14:val="tx1"/>
            </w14:solidFill>
          </w14:textFill>
        </w:rPr>
        <w:t>2、</w:t>
      </w:r>
      <w:r>
        <w:rPr>
          <w:rFonts w:hint="eastAsia"/>
          <w:snapToGrid w:val="0"/>
          <w:color w:val="000000" w:themeColor="text1"/>
          <w14:textFill>
            <w14:solidFill>
              <w14:schemeClr w14:val="tx1"/>
            </w14:solidFill>
          </w14:textFill>
        </w:rPr>
        <w:t>无组织废气</w:t>
      </w:r>
    </w:p>
    <w:p w14:paraId="6E98B6A2">
      <w:pPr>
        <w:ind w:firstLine="48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项目没有有组织废气产生，主要是依托后方的厂区进行处理。</w:t>
      </w:r>
    </w:p>
    <w:p w14:paraId="5B2BC2B0">
      <w:pPr>
        <w:ind w:firstLine="48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苯乙烯为卸船送至后方台湾见龙钦州高端聚苯乙烯新材料项目，其产生的废气依托台湾见龙钦州高端聚苯乙烯新材料项目进行处置。</w:t>
      </w:r>
    </w:p>
    <w:p w14:paraId="6B3C22A6">
      <w:pPr>
        <w:ind w:firstLine="48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根据《台湾见龙钦州高端聚苯乙烯新材料项目环境影响报告书》（报批稿）及环评批复（中马园审批环[2025]15号） “苯乙烯储罐呼吸废气以及危险废物暂存间废气经 2 套 RTO 装置处 理后分别由 2 根 28.4m 高排气筒（DA001~DA002）排放；苯乙烯执行《合成树脂工业污染物排放标准》（GB31572-2015，含 2024 年修改单）表 4 中大气污染物排放限值”。</w:t>
      </w:r>
    </w:p>
    <w:p w14:paraId="03DEE1A7">
      <w:pPr>
        <w:ind w:firstLine="48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棕榈酸化油、脂肪酸混合物为卸船至后方欧德年产 30 万吨生物柴油生产线项目，其产生废气依托欧德年产 30 万吨生物柴油生产线项目进行处置。</w:t>
      </w:r>
    </w:p>
    <w:p w14:paraId="1F2EFC17">
      <w:pPr>
        <w:ind w:firstLine="48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根据《欧德年产 30 万吨生物柴油生产线项目环境影响报告书》（报批稿）及环评批复（中马园审批环[2025]33号） “项目运营期生产线工艺废气和储罐大小呼吸废气经 RCO 催化燃烧装置处理后，通过 30m 高排气筒（DA001）排放，DA001 排气筒排放的非甲烷总烃执行《石油炼制工业污染物排放标准》（GB31570-2015，含 2024 年修改单）表 3 大气污染物排放限值要求，氨、硫化氢、臭气浓度执行《恶臭污染物排放标准》（GB14554-1993）表 2 恶臭污染物排放标准值，甲醇执行《大气污染物综合排放标准》（GB16297-1996）表 2 二级标准限值”。</w:t>
      </w:r>
    </w:p>
    <w:p w14:paraId="6F7D5764">
      <w:pPr>
        <w:ind w:firstLine="48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裂解C9、工业级混合油、脂肪酸甲酯、纯生物柴油、航空煤油由后方厂区通过管道输送至码头前沿装船，其产生装船废气，通过现有气相管回到广西恒逸新材料有限公司（广西恒逸新材料有限公司年产120万吨己内酰胺—聚酰胺产业一体化及配套工程项目）进行处理（采用“RTO蓄热式焚烧炉”工艺）。经调查，广西恒逸新材料有限公司RTO蓄热式焚烧炉排气筒高35m，尾气排放执行《石油化学工业污染物排放标准》（GB 31571-2015）及修改单要求。</w:t>
      </w:r>
    </w:p>
    <w:p w14:paraId="05919DBE">
      <w:pPr>
        <w:ind w:firstLine="480"/>
        <w:rPr>
          <w:color w:val="000000" w:themeColor="text1"/>
          <w:u w:val="single"/>
          <w14:textFill>
            <w14:solidFill>
              <w14:schemeClr w14:val="tx1"/>
            </w14:solidFill>
          </w14:textFill>
        </w:rPr>
      </w:pPr>
      <w:r>
        <w:rPr>
          <w:rFonts w:hint="eastAsia" w:ascii="宋体" w:hAnsi="宋体"/>
          <w:color w:val="000000" w:themeColor="text1"/>
          <w:u w:val="single"/>
          <w14:textFill>
            <w14:solidFill>
              <w14:schemeClr w14:val="tx1"/>
            </w14:solidFill>
          </w14:textFill>
        </w:rPr>
        <w:t>液硫、碱液、发烟硫酸（硫酸）依托后方罐区（同步进行环境影响评价、同步建设）的环保措施处置。</w:t>
      </w:r>
    </w:p>
    <w:p w14:paraId="3199EAB9">
      <w:pPr>
        <w:ind w:firstLine="480"/>
        <w:rPr>
          <w:color w:val="000000" w:themeColor="text1"/>
          <w:u w:val="single"/>
          <w14:textFill>
            <w14:solidFill>
              <w14:schemeClr w14:val="tx1"/>
            </w14:solidFill>
          </w14:textFill>
        </w:rPr>
      </w:pPr>
      <w:r>
        <w:rPr>
          <w:color w:val="000000" w:themeColor="text1"/>
          <w:u w:val="single"/>
          <w14:textFill>
            <w14:solidFill>
              <w14:schemeClr w14:val="tx1"/>
            </w14:solidFill>
          </w14:textFill>
        </w:rPr>
        <w:t>加强设备维护保养，严格执行操作规程。所有管道、阀门等连接部位，运转部位和静密封点部位都应连接牢固，做到严密、不渗、不漏、不跑气；做到定期检查、清洗和校验</w:t>
      </w:r>
      <w:r>
        <w:rPr>
          <w:rFonts w:hint="eastAsia"/>
          <w:color w:val="000000" w:themeColor="text1"/>
          <w:u w:val="single"/>
          <w14:textFill>
            <w14:solidFill>
              <w14:schemeClr w14:val="tx1"/>
            </w14:solidFill>
          </w14:textFill>
        </w:rPr>
        <w:t>。</w:t>
      </w:r>
    </w:p>
    <w:p w14:paraId="74707962">
      <w:pPr>
        <w:ind w:firstLine="480"/>
        <w:rPr>
          <w:color w:val="000000" w:themeColor="text1"/>
          <w14:textFill>
            <w14:solidFill>
              <w14:schemeClr w14:val="tx1"/>
            </w14:solidFill>
          </w14:textFill>
        </w:rPr>
      </w:pPr>
      <w:r>
        <w:rPr>
          <w:color w:val="000000" w:themeColor="text1"/>
          <w14:textFill>
            <w14:solidFill>
              <w14:schemeClr w14:val="tx1"/>
            </w14:solidFill>
          </w14:textFill>
        </w:rPr>
        <w:t>加强管理、控制操作工艺</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严格按照《危险化学品码头安全管理制度》等规定或标准的要求</w:t>
      </w:r>
      <w:r>
        <w:rPr>
          <w:rFonts w:hint="eastAsia"/>
          <w:color w:val="000000" w:themeColor="text1"/>
          <w14:textFill>
            <w14:solidFill>
              <w14:schemeClr w14:val="tx1"/>
            </w14:solidFill>
          </w14:textFill>
        </w:rPr>
        <w:t>。</w:t>
      </w:r>
    </w:p>
    <w:p w14:paraId="70E5811C">
      <w:pPr>
        <w:ind w:firstLine="480"/>
        <w:rPr>
          <w:color w:val="000000" w:themeColor="text1"/>
          <w14:textFill>
            <w14:solidFill>
              <w14:schemeClr w14:val="tx1"/>
            </w14:solidFill>
          </w14:textFill>
        </w:rPr>
      </w:pPr>
      <w:r>
        <w:rPr>
          <w:color w:val="000000" w:themeColor="text1"/>
          <w14:textFill>
            <w14:solidFill>
              <w14:schemeClr w14:val="tx1"/>
            </w14:solidFill>
          </w14:textFill>
        </w:rPr>
        <w:t>定期检查管道、阀门及所有监控设备的工作状况，一旦发现有损坏的，应及时更换，保证系统正常安全运行。</w:t>
      </w:r>
    </w:p>
    <w:p w14:paraId="5CD5A62C">
      <w:pPr>
        <w:pStyle w:val="4"/>
        <w:rPr>
          <w:color w:val="000000" w:themeColor="text1"/>
          <w14:textFill>
            <w14:solidFill>
              <w14:schemeClr w14:val="tx1"/>
            </w14:solidFill>
          </w14:textFill>
        </w:rPr>
      </w:pPr>
      <w:bookmarkStart w:id="968" w:name="_Toc216620674"/>
      <w:r>
        <w:rPr>
          <w:color w:val="000000" w:themeColor="text1"/>
          <w14:textFill>
            <w14:solidFill>
              <w14:schemeClr w14:val="tx1"/>
            </w14:solidFill>
          </w14:textFill>
        </w:rPr>
        <w:t>地表水污染防治措施</w:t>
      </w:r>
      <w:bookmarkEnd w:id="934"/>
      <w:bookmarkEnd w:id="935"/>
      <w:bookmarkEnd w:id="936"/>
      <w:bookmarkEnd w:id="937"/>
      <w:bookmarkEnd w:id="938"/>
      <w:bookmarkEnd w:id="968"/>
    </w:p>
    <w:p w14:paraId="477B3278">
      <w:pPr>
        <w:ind w:firstLine="480"/>
        <w:rPr>
          <w:color w:val="000000" w:themeColor="text1"/>
          <w14:textFill>
            <w14:solidFill>
              <w14:schemeClr w14:val="tx1"/>
            </w14:solidFill>
          </w14:textFill>
        </w:rPr>
      </w:pPr>
      <w:r>
        <w:rPr>
          <w:color w:val="000000" w:themeColor="text1"/>
          <w14:textFill>
            <w14:solidFill>
              <w14:schemeClr w14:val="tx1"/>
            </w14:solidFill>
          </w14:textFill>
        </w:rPr>
        <w:t>船舶污水由资质单位接收处置。</w:t>
      </w:r>
      <w:r>
        <w:rPr>
          <w:rFonts w:hint="eastAsia"/>
          <w:color w:val="000000" w:themeColor="text1"/>
          <w:lang w:val="en-US" w:eastAsia="zh-CN"/>
          <w14:textFill>
            <w14:solidFill>
              <w14:schemeClr w14:val="tx1"/>
            </w14:solidFill>
          </w14:textFill>
        </w:rPr>
        <w:t>不新增</w:t>
      </w:r>
      <w:r>
        <w:rPr>
          <w:color w:val="000000" w:themeColor="text1"/>
          <w14:textFill>
            <w14:solidFill>
              <w14:schemeClr w14:val="tx1"/>
            </w14:solidFill>
          </w14:textFill>
        </w:rPr>
        <w:t>生活污水</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冲洗废水及初期雨水</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码头</w:t>
      </w:r>
      <w:r>
        <w:rPr>
          <w:color w:val="000000" w:themeColor="text1"/>
          <w14:textFill>
            <w14:solidFill>
              <w14:schemeClr w14:val="tx1"/>
            </w14:solidFill>
          </w14:textFill>
        </w:rPr>
        <w:t>洗废水及初期雨水</w:t>
      </w:r>
      <w:r>
        <w:rPr>
          <w:rFonts w:hint="eastAsia"/>
          <w:color w:val="000000" w:themeColor="text1"/>
          <w:lang w:val="en-US" w:eastAsia="zh-CN"/>
          <w14:textFill>
            <w14:solidFill>
              <w14:schemeClr w14:val="tx1"/>
            </w14:solidFill>
          </w14:textFill>
        </w:rPr>
        <w:t>经集污池和初期雨水池收集后进入</w:t>
      </w:r>
      <w:r>
        <w:rPr>
          <w:color w:val="000000" w:themeColor="text1"/>
          <w14:textFill>
            <w14:solidFill>
              <w14:schemeClr w14:val="tx1"/>
            </w14:solidFill>
          </w14:textFill>
        </w:rPr>
        <w:t>广西恒逸污水处理厂进行处理，最终达到《石油化学工业污染物排放标准》（GB31571-2015）标准及《污水综合排放标准》（GB8978-1996）一级标准后排放。</w:t>
      </w:r>
    </w:p>
    <w:p w14:paraId="3874966D">
      <w:pPr>
        <w:pStyle w:val="4"/>
        <w:rPr>
          <w:color w:val="000000" w:themeColor="text1"/>
          <w14:textFill>
            <w14:solidFill>
              <w14:schemeClr w14:val="tx1"/>
            </w14:solidFill>
          </w14:textFill>
        </w:rPr>
      </w:pPr>
      <w:bookmarkStart w:id="969" w:name="_Toc29131947"/>
      <w:bookmarkStart w:id="970" w:name="_Toc216103516"/>
      <w:bookmarkStart w:id="971" w:name="_Toc136878606"/>
      <w:bookmarkStart w:id="972" w:name="_Toc216620675"/>
      <w:bookmarkStart w:id="973" w:name="_Toc26910134"/>
      <w:bookmarkStart w:id="974" w:name="_Toc135090342"/>
      <w:r>
        <w:rPr>
          <w:color w:val="000000" w:themeColor="text1"/>
          <w14:textFill>
            <w14:solidFill>
              <w14:schemeClr w14:val="tx1"/>
            </w14:solidFill>
          </w14:textFill>
        </w:rPr>
        <w:t>噪声污染防治措施</w:t>
      </w:r>
      <w:bookmarkEnd w:id="969"/>
      <w:bookmarkEnd w:id="970"/>
      <w:bookmarkEnd w:id="971"/>
      <w:bookmarkEnd w:id="972"/>
      <w:bookmarkEnd w:id="973"/>
      <w:bookmarkEnd w:id="974"/>
    </w:p>
    <w:p w14:paraId="00017ED4">
      <w:pPr>
        <w:ind w:firstLine="480"/>
        <w:rPr>
          <w:color w:val="000000" w:themeColor="text1"/>
          <w14:textFill>
            <w14:solidFill>
              <w14:schemeClr w14:val="tx1"/>
            </w14:solidFill>
          </w14:textFill>
        </w:rPr>
      </w:pPr>
      <w:r>
        <w:rPr>
          <w:color w:val="000000" w:themeColor="text1"/>
          <w14:textFill>
            <w14:solidFill>
              <w14:schemeClr w14:val="tx1"/>
            </w14:solidFill>
          </w14:textFill>
        </w:rPr>
        <w:t>尽可能选择低噪设备或有降噪设计的设备，并采用吸声、隔声、减振等技术措施，控制机械、动力设备噪声；加强机械设备的维护，减少因不良运行产生的噪声。</w:t>
      </w:r>
    </w:p>
    <w:p w14:paraId="5556B278">
      <w:pPr>
        <w:pStyle w:val="4"/>
        <w:rPr>
          <w:color w:val="000000" w:themeColor="text1"/>
          <w14:textFill>
            <w14:solidFill>
              <w14:schemeClr w14:val="tx1"/>
            </w14:solidFill>
          </w14:textFill>
        </w:rPr>
      </w:pPr>
      <w:bookmarkStart w:id="975" w:name="_Toc216620676"/>
      <w:bookmarkStart w:id="976" w:name="_Toc26910135"/>
      <w:bookmarkStart w:id="977" w:name="_Toc136878607"/>
      <w:bookmarkStart w:id="978" w:name="_Toc135090343"/>
      <w:bookmarkStart w:id="979" w:name="_Toc29131948"/>
      <w:bookmarkStart w:id="980" w:name="_Toc216103517"/>
      <w:r>
        <w:rPr>
          <w:color w:val="000000" w:themeColor="text1"/>
          <w14:textFill>
            <w14:solidFill>
              <w14:schemeClr w14:val="tx1"/>
            </w14:solidFill>
          </w14:textFill>
        </w:rPr>
        <w:t>固体废物污染防治措施</w:t>
      </w:r>
      <w:bookmarkEnd w:id="975"/>
      <w:bookmarkEnd w:id="976"/>
      <w:bookmarkEnd w:id="977"/>
      <w:bookmarkEnd w:id="978"/>
      <w:bookmarkEnd w:id="979"/>
      <w:bookmarkEnd w:id="980"/>
    </w:p>
    <w:p w14:paraId="20DC15D6">
      <w:pPr>
        <w:ind w:firstLine="480"/>
        <w:rPr>
          <w:color w:val="0000FF"/>
        </w:rPr>
      </w:pPr>
      <w:r>
        <w:rPr>
          <w:color w:val="0000FF"/>
        </w:rPr>
        <w:t>船舶垃圾由有资质单位接收处理。项目产生的危险废物统一收集后暂存在项目危废暂存间，由有资质的单位进厂回收。</w:t>
      </w:r>
    </w:p>
    <w:p w14:paraId="3C6E8425">
      <w:pPr>
        <w:pStyle w:val="5"/>
        <w:rPr>
          <w:color w:val="000000" w:themeColor="text1"/>
          <w14:textFill>
            <w14:solidFill>
              <w14:schemeClr w14:val="tx1"/>
            </w14:solidFill>
          </w14:textFill>
        </w:rPr>
      </w:pPr>
      <w:bookmarkStart w:id="981" w:name="_Toc22716730"/>
      <w:bookmarkStart w:id="982" w:name="_Toc216620677"/>
      <w:r>
        <w:rPr>
          <w:color w:val="000000" w:themeColor="text1"/>
          <w14:textFill>
            <w14:solidFill>
              <w14:schemeClr w14:val="tx1"/>
            </w14:solidFill>
          </w14:textFill>
        </w:rPr>
        <w:t>环境风险评价结论</w:t>
      </w:r>
      <w:bookmarkEnd w:id="981"/>
      <w:bookmarkEnd w:id="982"/>
    </w:p>
    <w:p w14:paraId="6AA60512">
      <w:pPr>
        <w:ind w:firstLine="480"/>
        <w:rPr>
          <w:color w:val="000000" w:themeColor="text1"/>
          <w14:textFill>
            <w14:solidFill>
              <w14:schemeClr w14:val="tx1"/>
            </w14:solidFill>
          </w14:textFill>
        </w:rPr>
      </w:pPr>
      <w:bookmarkStart w:id="983" w:name="_Toc22716731"/>
      <w:r>
        <w:rPr>
          <w:color w:val="000000" w:themeColor="text1"/>
          <w14:textFill>
            <w14:solidFill>
              <w14:schemeClr w14:val="tx1"/>
            </w14:solidFill>
          </w14:textFill>
        </w:rPr>
        <w:t>项目风险防范措施及应急预案合理、可行，应急预案应在企业现有应急预案的基础上，应急预案的重点关注内容应包括完整的环境风险应急体系、监控与预警、应急疏散救援以及应急监测等，纳入园区环境风险防控体系和管理的衔接要求，实现厂内与园区环境风险防控设施及管理的有效联动，有效防控环境风险。本项目的重点防范区域为码头区，重点应急区域为码头职工区域以及周边环境敏感点等区域。</w:t>
      </w:r>
    </w:p>
    <w:p w14:paraId="46528BB8">
      <w:pPr>
        <w:ind w:firstLine="480"/>
        <w:rPr>
          <w:color w:val="000000" w:themeColor="text1"/>
          <w14:textFill>
            <w14:solidFill>
              <w14:schemeClr w14:val="tx1"/>
            </w14:solidFill>
          </w14:textFill>
        </w:rPr>
      </w:pPr>
      <w:r>
        <w:rPr>
          <w:color w:val="000000" w:themeColor="text1"/>
          <w14:textFill>
            <w14:solidFill>
              <w14:schemeClr w14:val="tx1"/>
            </w14:solidFill>
          </w14:textFill>
        </w:rPr>
        <w:t>企业在严格执行的同时仍需认真做好对其他可能出现的风险的防范，以期尽可能</w:t>
      </w:r>
      <w:r>
        <w:rPr>
          <w:rFonts w:hint="eastAsia"/>
          <w:color w:val="000000" w:themeColor="text1"/>
          <w:lang w:eastAsia="zh-CN"/>
          <w14:textFill>
            <w14:solidFill>
              <w14:schemeClr w14:val="tx1"/>
            </w14:solidFill>
          </w14:textFill>
        </w:rPr>
        <w:t>地</w:t>
      </w:r>
      <w:r>
        <w:rPr>
          <w:color w:val="000000" w:themeColor="text1"/>
          <w14:textFill>
            <w14:solidFill>
              <w14:schemeClr w14:val="tx1"/>
            </w14:solidFill>
          </w14:textFill>
        </w:rPr>
        <w:t>避免风险事故的发生。</w:t>
      </w:r>
    </w:p>
    <w:p w14:paraId="0192168C">
      <w:pPr>
        <w:pStyle w:val="5"/>
        <w:rPr>
          <w:color w:val="000000" w:themeColor="text1"/>
          <w14:textFill>
            <w14:solidFill>
              <w14:schemeClr w14:val="tx1"/>
            </w14:solidFill>
          </w14:textFill>
        </w:rPr>
      </w:pPr>
      <w:bookmarkStart w:id="984" w:name="_Toc216620678"/>
      <w:r>
        <w:rPr>
          <w:color w:val="000000" w:themeColor="text1"/>
          <w14:textFill>
            <w14:solidFill>
              <w14:schemeClr w14:val="tx1"/>
            </w14:solidFill>
          </w14:textFill>
        </w:rPr>
        <w:t>环境影响经济损益分析</w:t>
      </w:r>
      <w:bookmarkEnd w:id="983"/>
      <w:bookmarkEnd w:id="984"/>
    </w:p>
    <w:p w14:paraId="4A7730C8">
      <w:pPr>
        <w:ind w:firstLine="480"/>
        <w:rPr>
          <w:color w:val="000000" w:themeColor="text1"/>
          <w14:textFill>
            <w14:solidFill>
              <w14:schemeClr w14:val="tx1"/>
            </w14:solidFill>
          </w14:textFill>
        </w:rPr>
      </w:pPr>
      <w:r>
        <w:rPr>
          <w:color w:val="000000" w:themeColor="text1"/>
          <w14:textFill>
            <w14:solidFill>
              <w14:schemeClr w14:val="tx1"/>
            </w14:solidFill>
          </w14:textFill>
        </w:rPr>
        <w:t>本项目环保投资经济合理，所采取的环保措施在经济上是合理可行的，各项环保措施不仅较大程度</w:t>
      </w:r>
      <w:r>
        <w:rPr>
          <w:rFonts w:hint="eastAsia"/>
          <w:color w:val="000000" w:themeColor="text1"/>
          <w:lang w:eastAsia="zh-CN"/>
          <w14:textFill>
            <w14:solidFill>
              <w14:schemeClr w14:val="tx1"/>
            </w14:solidFill>
          </w14:textFill>
        </w:rPr>
        <w:t>地</w:t>
      </w:r>
      <w:r>
        <w:rPr>
          <w:color w:val="000000" w:themeColor="text1"/>
          <w14:textFill>
            <w14:solidFill>
              <w14:schemeClr w14:val="tx1"/>
            </w14:solidFill>
          </w14:textFill>
        </w:rPr>
        <w:t>减缓项目对环境产生的不利影响，还可以产生经济效益，其环境效益较显著。从环境经济观点的角度看，项目环保措施是合理可行的。</w:t>
      </w:r>
    </w:p>
    <w:p w14:paraId="568002C1">
      <w:pPr>
        <w:pStyle w:val="5"/>
        <w:rPr>
          <w:color w:val="000000" w:themeColor="text1"/>
          <w14:textFill>
            <w14:solidFill>
              <w14:schemeClr w14:val="tx1"/>
            </w14:solidFill>
          </w14:textFill>
        </w:rPr>
      </w:pPr>
      <w:bookmarkStart w:id="985" w:name="_Toc22716732"/>
      <w:bookmarkStart w:id="986" w:name="_Toc216620679"/>
      <w:r>
        <w:rPr>
          <w:color w:val="000000" w:themeColor="text1"/>
          <w14:textFill>
            <w14:solidFill>
              <w14:schemeClr w14:val="tx1"/>
            </w14:solidFill>
          </w14:textFill>
        </w:rPr>
        <w:t>环境管理与监测计划</w:t>
      </w:r>
      <w:bookmarkEnd w:id="985"/>
      <w:bookmarkEnd w:id="986"/>
    </w:p>
    <w:p w14:paraId="4FF74B5D">
      <w:pPr>
        <w:ind w:firstLine="480"/>
        <w:rPr>
          <w:color w:val="000000" w:themeColor="text1"/>
          <w14:textFill>
            <w14:solidFill>
              <w14:schemeClr w14:val="tx1"/>
            </w14:solidFill>
          </w14:textFill>
        </w:rPr>
      </w:pPr>
      <w:r>
        <w:rPr>
          <w:color w:val="000000" w:themeColor="text1"/>
          <w14:textFill>
            <w14:solidFill>
              <w14:schemeClr w14:val="tx1"/>
            </w14:solidFill>
          </w14:textFill>
        </w:rPr>
        <w:t>各有关管理机构及建设单位要根据《关于印发&lt;建设项目环境保护事中事后监督管理办法（试行）&gt;的通知》（环发﹝2015﹞163号）的要求做好项目的事中事后监督管理。同时根据本报告提出的监测点位、因子、频次对项目建设过程和运营过程中污染源进行监测。</w:t>
      </w:r>
    </w:p>
    <w:p w14:paraId="0860D96F">
      <w:pPr>
        <w:pStyle w:val="5"/>
        <w:rPr>
          <w:color w:val="000000" w:themeColor="text1"/>
          <w14:textFill>
            <w14:solidFill>
              <w14:schemeClr w14:val="tx1"/>
            </w14:solidFill>
          </w14:textFill>
        </w:rPr>
      </w:pPr>
      <w:bookmarkStart w:id="987" w:name="_Toc22716733"/>
      <w:bookmarkStart w:id="988" w:name="_Toc216620680"/>
      <w:r>
        <w:rPr>
          <w:color w:val="000000" w:themeColor="text1"/>
          <w14:textFill>
            <w14:solidFill>
              <w14:schemeClr w14:val="tx1"/>
            </w14:solidFill>
          </w14:textFill>
        </w:rPr>
        <w:t>公众意见采纳情况</w:t>
      </w:r>
      <w:bookmarkEnd w:id="987"/>
      <w:bookmarkEnd w:id="988"/>
    </w:p>
    <w:p w14:paraId="757B4377">
      <w:pPr>
        <w:ind w:firstLine="480"/>
        <w:rPr>
          <w:color w:val="000000" w:themeColor="text1"/>
          <w14:textFill>
            <w14:solidFill>
              <w14:schemeClr w14:val="tx1"/>
            </w14:solidFill>
          </w14:textFill>
        </w:rPr>
      </w:pPr>
      <w:r>
        <w:rPr>
          <w:color w:val="000000" w:themeColor="text1"/>
          <w14:textFill>
            <w14:solidFill>
              <w14:schemeClr w14:val="tx1"/>
            </w14:solidFill>
          </w14:textFill>
        </w:rPr>
        <w:t>从公告发布至收集意见的截止日期，均未收到公众以电话、信件或电子邮件等形式发回对本项目环保方面的反馈意见。</w:t>
      </w:r>
    </w:p>
    <w:p w14:paraId="1641C026">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广西自贸区逸海港务</w:t>
      </w:r>
      <w:r>
        <w:rPr>
          <w:color w:val="000000" w:themeColor="text1"/>
          <w14:textFill>
            <w14:solidFill>
              <w14:schemeClr w14:val="tx1"/>
            </w14:solidFill>
          </w14:textFill>
        </w:rPr>
        <w:t>有限</w:t>
      </w:r>
      <w:r>
        <w:rPr>
          <w:rFonts w:hint="eastAsia"/>
          <w:color w:val="000000" w:themeColor="text1"/>
          <w14:textFill>
            <w14:solidFill>
              <w14:schemeClr w14:val="tx1"/>
            </w14:solidFill>
          </w14:textFill>
        </w:rPr>
        <w:t>责任</w:t>
      </w:r>
      <w:r>
        <w:rPr>
          <w:color w:val="000000" w:themeColor="text1"/>
          <w14:textFill>
            <w14:solidFill>
              <w14:schemeClr w14:val="tx1"/>
            </w14:solidFill>
          </w14:textFill>
        </w:rPr>
        <w:t>公司应在项目建设运营过程中严格落实各项环保措施，确保各项污染物达标排放，将本项目对环境造成的不利影响降至最低。</w:t>
      </w:r>
    </w:p>
    <w:p w14:paraId="249B9C33">
      <w:pPr>
        <w:pStyle w:val="5"/>
        <w:rPr>
          <w:color w:val="000000" w:themeColor="text1"/>
          <w14:textFill>
            <w14:solidFill>
              <w14:schemeClr w14:val="tx1"/>
            </w14:solidFill>
          </w14:textFill>
        </w:rPr>
      </w:pPr>
      <w:bookmarkStart w:id="989" w:name="_Toc22716734"/>
      <w:bookmarkStart w:id="990" w:name="_Toc216620681"/>
      <w:r>
        <w:rPr>
          <w:color w:val="000000" w:themeColor="text1"/>
          <w14:textFill>
            <w14:solidFill>
              <w14:schemeClr w14:val="tx1"/>
            </w14:solidFill>
          </w14:textFill>
        </w:rPr>
        <w:t>结论与建议</w:t>
      </w:r>
      <w:bookmarkEnd w:id="989"/>
      <w:bookmarkEnd w:id="990"/>
    </w:p>
    <w:p w14:paraId="074AEBBC">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北部湾港钦州港域金谷港区金鼓江作业区14号泊位扩建工程（新增液硫、苯乙烯等装卸设施）</w:t>
      </w:r>
      <w:r>
        <w:rPr>
          <w:color w:val="000000" w:themeColor="text1"/>
          <w14:textFill>
            <w14:solidFill>
              <w14:schemeClr w14:val="tx1"/>
            </w14:solidFill>
          </w14:textFill>
        </w:rPr>
        <w:t>符合国家产业政策，符合</w:t>
      </w:r>
      <w:r>
        <w:rPr>
          <w:rFonts w:hint="eastAsia"/>
          <w:color w:val="000000" w:themeColor="text1"/>
          <w14:textFill>
            <w14:solidFill>
              <w14:schemeClr w14:val="tx1"/>
            </w14:solidFill>
          </w14:textFill>
        </w:rPr>
        <w:t>《北部湾港总体规划（</w:t>
      </w:r>
      <w:r>
        <w:rPr>
          <w:color w:val="000000" w:themeColor="text1"/>
          <w14:textFill>
            <w14:solidFill>
              <w14:schemeClr w14:val="tx1"/>
            </w14:solidFill>
          </w14:textFill>
        </w:rPr>
        <w:t>2035</w:t>
      </w:r>
      <w:r>
        <w:rPr>
          <w:rFonts w:hint="eastAsia"/>
          <w:color w:val="000000" w:themeColor="text1"/>
          <w14:textFill>
            <w14:solidFill>
              <w14:schemeClr w14:val="tx1"/>
            </w14:solidFill>
          </w14:textFill>
        </w:rPr>
        <w:t>年）》</w:t>
      </w:r>
      <w:r>
        <w:rPr>
          <w:rFonts w:hint="eastAsia" w:cs="宋体"/>
          <w:color w:val="000000" w:themeColor="text1"/>
          <w:kern w:val="0"/>
          <w:lang w:bidi="ar"/>
          <w14:textFill>
            <w14:solidFill>
              <w14:schemeClr w14:val="tx1"/>
            </w14:solidFill>
          </w14:textFill>
        </w:rPr>
        <w:t>《广西壮族自治区国土空间规划（</w:t>
      </w:r>
      <w:r>
        <w:rPr>
          <w:color w:val="000000" w:themeColor="text1"/>
          <w:kern w:val="0"/>
          <w:lang w:bidi="ar"/>
          <w14:textFill>
            <w14:solidFill>
              <w14:schemeClr w14:val="tx1"/>
            </w14:solidFill>
          </w14:textFill>
        </w:rPr>
        <w:t>2021-2035</w:t>
      </w:r>
      <w:r>
        <w:rPr>
          <w:rFonts w:hint="eastAsia" w:cs="宋体"/>
          <w:color w:val="000000" w:themeColor="text1"/>
          <w:kern w:val="0"/>
          <w:lang w:bidi="ar"/>
          <w14:textFill>
            <w14:solidFill>
              <w14:schemeClr w14:val="tx1"/>
            </w14:solidFill>
          </w14:textFill>
        </w:rPr>
        <w:t>年）》、</w:t>
      </w:r>
      <w:r>
        <w:rPr>
          <w:rFonts w:hint="eastAsia"/>
          <w:color w:val="000000" w:themeColor="text1"/>
          <w14:textFill>
            <w14:solidFill>
              <w14:schemeClr w14:val="tx1"/>
            </w14:solidFill>
          </w14:textFill>
        </w:rPr>
        <w:t>《广西钦州石化产业园总体发展规划（2020-2035）》等</w:t>
      </w:r>
      <w:r>
        <w:rPr>
          <w:color w:val="000000" w:themeColor="text1"/>
          <w14:textFill>
            <w14:solidFill>
              <w14:schemeClr w14:val="tx1"/>
            </w14:solidFill>
          </w14:textFill>
        </w:rPr>
        <w:t>规划要求</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项目实施后具有明显的社会经济效益，</w:t>
      </w:r>
      <w:r>
        <w:rPr>
          <w:rFonts w:hint="eastAsia"/>
          <w:color w:val="000000" w:themeColor="text1"/>
          <w14:textFill>
            <w14:solidFill>
              <w14:schemeClr w14:val="tx1"/>
            </w14:solidFill>
          </w14:textFill>
        </w:rPr>
        <w:t>对打造国家级钦州石化产业基地、形成北部湾石化产业集群、推动北部湾经济区快速增长、加快实现千亿石化产业园目标有着重大意义。</w:t>
      </w:r>
    </w:p>
    <w:p w14:paraId="0D86C368">
      <w:pPr>
        <w:ind w:firstLine="480"/>
        <w:rPr>
          <w:color w:val="000000" w:themeColor="text1"/>
          <w:u w:val="single"/>
          <w14:textFill>
            <w14:solidFill>
              <w14:schemeClr w14:val="tx1"/>
            </w14:solidFill>
          </w14:textFill>
        </w:rPr>
      </w:pPr>
      <w:r>
        <w:rPr>
          <w:color w:val="000000" w:themeColor="text1"/>
          <w:u w:val="single"/>
          <w14:textFill>
            <w14:solidFill>
              <w14:schemeClr w14:val="tx1"/>
            </w14:solidFill>
          </w14:textFill>
        </w:rPr>
        <w:t>项目施工期和运营期不可避免</w:t>
      </w:r>
      <w:r>
        <w:rPr>
          <w:rFonts w:hint="eastAsia"/>
          <w:color w:val="000000" w:themeColor="text1"/>
          <w:u w:val="single"/>
          <w14:textFill>
            <w14:solidFill>
              <w14:schemeClr w14:val="tx1"/>
            </w14:solidFill>
          </w14:textFill>
        </w:rPr>
        <w:t>地</w:t>
      </w:r>
      <w:r>
        <w:rPr>
          <w:color w:val="000000" w:themeColor="text1"/>
          <w:u w:val="single"/>
          <w14:textFill>
            <w14:solidFill>
              <w14:schemeClr w14:val="tx1"/>
            </w14:solidFill>
          </w14:textFill>
        </w:rPr>
        <w:t>对该码头有限范围的生态环境、水环境、声环境、环境空气产生一定程度的干扰和负面影响，在运行过程中存在一定的环境风险，但其影响和风险是可以接受的。项目的</w:t>
      </w:r>
      <w:r>
        <w:rPr>
          <w:rFonts w:hint="eastAsia"/>
          <w:color w:val="000000" w:themeColor="text1"/>
          <w:u w:val="single"/>
          <w14:textFill>
            <w14:solidFill>
              <w14:schemeClr w14:val="tx1"/>
            </w14:solidFill>
          </w14:textFill>
        </w:rPr>
        <w:t>苯乙烯输送台湾见龙钦州高端聚苯乙烯新材料项目，棕榈酸化油、脂肪酸混合物输送欧德年产 30 万吨生物柴油生产线项目，需上述两个项目大气处置措施稳定达标排放后方可装卸货物。</w:t>
      </w:r>
    </w:p>
    <w:p w14:paraId="5E648925">
      <w:pPr>
        <w:ind w:firstLine="480"/>
        <w:rPr>
          <w:color w:val="000000" w:themeColor="text1"/>
          <w:u w:val="single"/>
          <w14:textFill>
            <w14:solidFill>
              <w14:schemeClr w14:val="tx1"/>
            </w14:solidFill>
          </w14:textFill>
        </w:rPr>
      </w:pPr>
      <w:r>
        <w:rPr>
          <w:color w:val="000000" w:themeColor="text1"/>
          <w:u w:val="single"/>
          <w14:textFill>
            <w14:solidFill>
              <w14:schemeClr w14:val="tx1"/>
            </w14:solidFill>
          </w14:textFill>
        </w:rPr>
        <w:t>只要在建设和生产过程中切实做好</w:t>
      </w:r>
      <w:r>
        <w:rPr>
          <w:rFonts w:hint="eastAsia"/>
          <w:color w:val="000000" w:themeColor="text1"/>
          <w:u w:val="single"/>
          <w14:textFill>
            <w14:solidFill>
              <w14:schemeClr w14:val="tx1"/>
            </w14:solidFill>
          </w14:textFill>
        </w:rPr>
        <w:t>“</w:t>
      </w:r>
      <w:r>
        <w:rPr>
          <w:color w:val="000000" w:themeColor="text1"/>
          <w:u w:val="single"/>
          <w14:textFill>
            <w14:solidFill>
              <w14:schemeClr w14:val="tx1"/>
            </w14:solidFill>
          </w14:textFill>
        </w:rPr>
        <w:t>三同时</w:t>
      </w:r>
      <w:r>
        <w:rPr>
          <w:rFonts w:hint="eastAsia"/>
          <w:color w:val="000000" w:themeColor="text1"/>
          <w:u w:val="single"/>
          <w14:textFill>
            <w14:solidFill>
              <w14:schemeClr w14:val="tx1"/>
            </w14:solidFill>
          </w14:textFill>
        </w:rPr>
        <w:t>”</w:t>
      </w:r>
      <w:r>
        <w:rPr>
          <w:color w:val="000000" w:themeColor="text1"/>
          <w:u w:val="single"/>
          <w14:textFill>
            <w14:solidFill>
              <w14:schemeClr w14:val="tx1"/>
            </w14:solidFill>
          </w14:textFill>
        </w:rPr>
        <w:t>工作，认真落实评价中提出的生态环境保护措施、污染防治措施、事故预防措施及应急预案，就可以将本工程对环境的不利影响降到最低程度，实现经济、社会和环境的可持续发展。因此，在落实各项污染防治措施、生态保护措施及风险控制措施和应急预案后，从环境保护角度考虑，本项目是可行的。</w:t>
      </w:r>
    </w:p>
    <w:p w14:paraId="4F241A17">
      <w:pPr>
        <w:ind w:firstLine="480"/>
        <w:rPr>
          <w:color w:val="000000" w:themeColor="text1"/>
          <w14:textFill>
            <w14:solidFill>
              <w14:schemeClr w14:val="tx1"/>
            </w14:solidFill>
          </w14:textFill>
        </w:rPr>
      </w:pPr>
    </w:p>
    <w:sectPr>
      <w:headerReference r:id="rId36" w:type="default"/>
      <w:pgSz w:w="11906" w:h="16838"/>
      <w:pgMar w:top="1440" w:right="1800" w:bottom="1440" w:left="1800" w:header="851" w:footer="680" w:gutter="0"/>
      <w:pgBorders>
        <w:top w:val="none" w:sz="0" w:space="0"/>
        <w:left w:val="none" w:sz="0" w:space="0"/>
        <w:bottom w:val="none" w:sz="0" w:space="0"/>
        <w:right w:val="none" w:sz="0" w:space="0"/>
      </w:pgBorders>
      <w:pgNumType w:fmt="numberInDash"/>
      <w:cols w:space="720"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1"/>
    <w:family w:val="auto"/>
    <w:pitch w:val="default"/>
    <w:sig w:usb0="E0002EFF" w:usb1="C000785B" w:usb2="00000009" w:usb3="00000000" w:csb0="400001FF" w:csb1="FFFF0000"/>
  </w:font>
  <w:font w:name="宋体">
    <w:panose1 w:val="02010600030101010101"/>
    <w:charset w:val="81"/>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仿宋_GB2312">
    <w:panose1 w:val="02010609030101010101"/>
    <w:charset w:val="86"/>
    <w:family w:val="auto"/>
    <w:pitch w:val="default"/>
    <w:sig w:usb0="00000001" w:usb1="080E0000" w:usb2="00000000" w:usb3="00000000" w:csb0="00040000" w:csb1="00000000"/>
  </w:font>
  <w:font w:name="方正仿宋_GBK">
    <w:panose1 w:val="02000000000000000000"/>
    <w:charset w:val="86"/>
    <w:family w:val="auto"/>
    <w:pitch w:val="default"/>
    <w:sig w:usb0="A00002BF" w:usb1="38CF7CFA" w:usb2="00082016" w:usb3="00000000" w:csb0="00040001" w:csb1="00000000"/>
  </w:font>
  <w:font w:name="Cambria">
    <w:panose1 w:val="02040503050406030204"/>
    <w:charset w:val="00"/>
    <w:family w:val="roman"/>
    <w:pitch w:val="default"/>
    <w:sig w:usb0="E00006FF" w:usb1="420024FF" w:usb2="02000000" w:usb3="00000000" w:csb0="2000019F" w:csb1="00000000"/>
  </w:font>
  <w:font w:name="CIDFont+F1">
    <w:altName w:val="Cambria"/>
    <w:panose1 w:val="00000000000000000000"/>
    <w:charset w:val="00"/>
    <w:family w:val="roman"/>
    <w:pitch w:val="default"/>
    <w:sig w:usb0="00000000" w:usb1="00000000" w:usb2="00000000" w:usb3="00000000" w:csb0="00000000" w:csb1="00000000"/>
  </w:font>
  <w:font w:name="CIDFont+F2">
    <w:altName w:val="Cambria"/>
    <w:panose1 w:val="00000000000000000000"/>
    <w:charset w:val="00"/>
    <w:family w:val="roman"/>
    <w:pitch w:val="default"/>
    <w:sig w:usb0="00000000" w:usb1="00000000" w:usb2="00000000" w:usb3="00000000" w:csb0="00000000" w:csb1="00000000"/>
  </w:font>
  <w:font w:name="Tahoma">
    <w:panose1 w:val="020B0604030504040204"/>
    <w:charset w:val="00"/>
    <w:family w:val="swiss"/>
    <w:pitch w:val="default"/>
    <w:sig w:usb0="E1002EFF" w:usb1="C000605B" w:usb2="00000029" w:usb3="00000000" w:csb0="200101FF" w:csb1="20280000"/>
  </w:font>
  <w:font w:name="华文中宋">
    <w:panose1 w:val="02010600040101010101"/>
    <w:charset w:val="86"/>
    <w:family w:val="auto"/>
    <w:pitch w:val="default"/>
    <w:sig w:usb0="00000287" w:usb1="080F0000" w:usb2="00000000" w:usb3="00000000" w:csb0="0004009F" w:csb1="DFD70000"/>
  </w:font>
  <w:font w:name="方正大标宋简体">
    <w:panose1 w:val="02010601030101010101"/>
    <w:charset w:val="86"/>
    <w:family w:val="script"/>
    <w:pitch w:val="default"/>
    <w:sig w:usb0="00000001" w:usb1="080E0000" w:usb2="00000000" w:usb3="00000000" w:csb0="00040000" w:csb1="00000000"/>
  </w:font>
  <w:font w:name="Cambria Math">
    <w:panose1 w:val="02040503050406030204"/>
    <w:charset w:val="00"/>
    <w:family w:val="roman"/>
    <w:pitch w:val="default"/>
    <w:sig w:usb0="E00006FF" w:usb1="420024FF" w:usb2="02000000" w:usb3="00000000" w:csb0="2000019F" w:csb1="00000000"/>
  </w:font>
  <w:font w:name="Wingdings 2">
    <w:panose1 w:val="05020102010507070707"/>
    <w:charset w:val="02"/>
    <w:family w:val="roman"/>
    <w:pitch w:val="default"/>
    <w:sig w:usb0="00000000" w:usb1="00000000" w:usb2="00000000" w:usb3="00000000" w:csb0="80000000" w:csb1="00000000"/>
  </w:font>
  <w:font w:name="华文新魏">
    <w:panose1 w:val="02010800040101010101"/>
    <w:charset w:val="86"/>
    <w:family w:val="auto"/>
    <w:pitch w:val="default"/>
    <w:sig w:usb0="00000001" w:usb1="080F0000" w:usb2="00000000" w:usb3="00000000" w:csb0="00040000" w:csb1="00000000"/>
  </w:font>
  <w:font w:name="FZFSK--GBK1-0">
    <w:altName w:val="Cambria"/>
    <w:panose1 w:val="00000000000000000000"/>
    <w:charset w:val="00"/>
    <w:family w:val="roman"/>
    <w:pitch w:val="default"/>
    <w:sig w:usb0="00000000" w:usb1="00000000" w:usb2="00000000" w:usb3="00000000" w:csb0="00000000" w:csb1="00000000"/>
  </w:font>
  <w:font w:name="等线">
    <w:panose1 w:val="02010600030101010101"/>
    <w:charset w:val="86"/>
    <w:family w:val="auto"/>
    <w:pitch w:val="default"/>
    <w:sig w:usb0="A00002BF" w:usb1="38CF7CFA" w:usb2="00000016" w:usb3="00000000" w:csb0="0004000F" w:csb1="00000000"/>
  </w:font>
  <w:font w:name="瀹嬩綋">
    <w:altName w:val="Segoe Print"/>
    <w:panose1 w:val="00000000000000000000"/>
    <w:charset w:val="00"/>
    <w:family w:val="auto"/>
    <w:pitch w:val="default"/>
    <w:sig w:usb0="00000000" w:usb1="00000000" w:usb2="00000000" w:usb3="00000000" w:csb0="00040001" w:csb1="00000000"/>
  </w:font>
  <w:font w:name="华文行楷">
    <w:panose1 w:val="02010800040101010101"/>
    <w:charset w:val="86"/>
    <w:family w:val="auto"/>
    <w:pitch w:val="default"/>
    <w:sig w:usb0="00000001" w:usb1="080F0000" w:usb2="00000000" w:usb3="00000000" w:csb0="00040000" w:csb1="00000000"/>
  </w:font>
  <w:font w:name="MSTT311e5bd572t00">
    <w:altName w:val="黑体"/>
    <w:panose1 w:val="00000000000000000000"/>
    <w:charset w:val="86"/>
    <w:family w:val="auto"/>
    <w:pitch w:val="default"/>
    <w:sig w:usb0="00000000" w:usb1="00000000" w:usb2="00000010" w:usb3="00000000" w:csb0="00040000" w:csb1="00000000"/>
  </w:font>
  <w:font w:name="微软雅黑">
    <w:panose1 w:val="020B0503020204020204"/>
    <w:charset w:val="86"/>
    <w:family w:val="auto"/>
    <w:pitch w:val="default"/>
    <w:sig w:usb0="80000287" w:usb1="2ACF3C50" w:usb2="00000016" w:usb3="00000000" w:csb0="0004001F" w:csb1="00000000"/>
  </w:font>
  <w:font w:name="Segoe Print">
    <w:panose1 w:val="02000600000000000000"/>
    <w:charset w:val="00"/>
    <w:family w:val="auto"/>
    <w:pitch w:val="default"/>
    <w:sig w:usb0="0000028F" w:usb1="00000000" w:usb2="00000000" w:usb3="00000000" w:csb0="2000009F" w:csb1="4701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4964E4E">
    <w:pPr>
      <w:ind w:firstLine="48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E22CA82">
    <w:pPr>
      <w:tabs>
        <w:tab w:val="center" w:pos="4153"/>
        <w:tab w:val="right" w:pos="8306"/>
      </w:tabs>
      <w:ind w:firstLine="480"/>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9EE3471">
    <w:pPr>
      <w:tabs>
        <w:tab w:val="center" w:pos="4153"/>
        <w:tab w:val="right" w:pos="8306"/>
      </w:tabs>
      <w:ind w:firstLine="48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04F43B">
    <w:pPr>
      <w:ind w:firstLine="480"/>
    </w:pPr>
  </w:p>
  <w:p w14:paraId="6CEFFECC">
    <w:pPr>
      <w:ind w:firstLine="480"/>
    </w:pPr>
  </w:p>
  <w:p w14:paraId="334B9459">
    <w:pPr>
      <w:ind w:firstLine="48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1E9E241">
    <w:pPr>
      <w:ind w:firstLine="480"/>
    </w:pPr>
  </w:p>
  <w:p w14:paraId="4B44C666">
    <w:pPr>
      <w:ind w:firstLine="480"/>
    </w:pPr>
  </w:p>
  <w:p w14:paraId="44A3D40E">
    <w:pPr>
      <w:ind w:firstLine="48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220713035"/>
    </w:sdtPr>
    <w:sdtContent>
      <w:p w14:paraId="13903972">
        <w:pPr>
          <w:pStyle w:val="29"/>
          <w:ind w:firstLine="480"/>
          <w:jc w:val="center"/>
          <w:rPr>
            <w:lang w:val="en-US"/>
          </w:rPr>
        </w:pPr>
        <w:r>
          <w:fldChar w:fldCharType="begin"/>
        </w:r>
        <w:r>
          <w:rPr>
            <w:lang w:val="en-US"/>
          </w:rPr>
          <w:instrText xml:space="preserve">PAGE   \* MERGEFORMAT</w:instrText>
        </w:r>
        <w:r>
          <w:fldChar w:fldCharType="separate"/>
        </w:r>
        <w:r>
          <w:rPr>
            <w:lang w:val="en-US"/>
          </w:rPr>
          <w:t>V</w:t>
        </w:r>
        <w:r>
          <w:fldChar w:fldCharType="end"/>
        </w:r>
      </w:p>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47481730"/>
    </w:sdtPr>
    <w:sdtContent>
      <w:p w14:paraId="1267F8DC">
        <w:pPr>
          <w:pStyle w:val="29"/>
          <w:ind w:firstLine="480"/>
          <w:jc w:val="center"/>
          <w:rPr>
            <w:lang w:val="en-US"/>
          </w:rPr>
        </w:pPr>
        <w:r>
          <w:fldChar w:fldCharType="begin"/>
        </w:r>
        <w:r>
          <w:rPr>
            <w:lang w:val="en-US"/>
          </w:rPr>
          <w:instrText xml:space="preserve">PAGE   \* MERGEFORMAT</w:instrText>
        </w:r>
        <w:r>
          <w:fldChar w:fldCharType="separate"/>
        </w:r>
        <w:r>
          <w:rPr>
            <w:lang w:val="en-US"/>
          </w:rPr>
          <w:t>VI</w:t>
        </w:r>
        <w:r>
          <w:fldChar w:fldCharType="end"/>
        </w:r>
      </w:p>
    </w:sdtContent>
  </w:sdt>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rPr>
        <w:rFonts w:ascii="宋体" w:hAnsi="宋体" w:cs="宋体"/>
        <w:kern w:val="0"/>
        <w:sz w:val="18"/>
        <w:szCs w:val="18"/>
        <w:lang w:val="zh-CN" w:bidi="zh-CN"/>
      </w:rPr>
      <w:id w:val="187111728"/>
      <w:showingPlcHdr/>
    </w:sdtPr>
    <w:sdtEndPr>
      <w:rPr>
        <w:rFonts w:ascii="宋体" w:hAnsi="宋体" w:cs="宋体"/>
        <w:b/>
        <w:kern w:val="0"/>
        <w:sz w:val="18"/>
        <w:szCs w:val="18"/>
        <w:lang w:val="zh-CN" w:bidi="zh-CN"/>
      </w:rPr>
    </w:sdtEndPr>
    <w:sdtContent>
      <w:p w14:paraId="5C15303E">
        <w:pPr>
          <w:pBdr>
            <w:top w:val="thickThinSmallGap" w:color="auto" w:sz="12" w:space="1"/>
          </w:pBdr>
          <w:spacing w:line="240" w:lineRule="exact"/>
          <w:ind w:firstLine="0" w:firstLineChars="0"/>
          <w:jc w:val="center"/>
          <w:rPr>
            <w:b/>
          </w:rPr>
        </w:pPr>
        <w:r>
          <w:rPr>
            <w:rFonts w:ascii="宋体" w:hAnsi="宋体" w:cs="宋体"/>
            <w:kern w:val="0"/>
            <w:sz w:val="18"/>
            <w:szCs w:val="18"/>
            <w:lang w:val="zh-CN" w:bidi="zh-CN"/>
          </w:rPr>
          <w:t xml:space="preserve">     </w:t>
        </w:r>
      </w:p>
    </w:sdtContent>
  </w:sdt>
  <w:p w14:paraId="469C708C">
    <w:pPr>
      <w:ind w:firstLine="48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rPr>
        <w:rFonts w:ascii="宋体" w:hAnsi="宋体" w:cs="宋体"/>
        <w:kern w:val="0"/>
        <w:sz w:val="18"/>
        <w:szCs w:val="18"/>
        <w:lang w:val="zh-CN" w:bidi="zh-CN"/>
      </w:rPr>
      <w:id w:val="-1036109407"/>
    </w:sdtPr>
    <w:sdtEndPr>
      <w:rPr>
        <w:rFonts w:ascii="宋体" w:hAnsi="宋体" w:cs="宋体"/>
        <w:b/>
        <w:kern w:val="0"/>
        <w:sz w:val="18"/>
        <w:szCs w:val="18"/>
        <w:lang w:val="zh-CN" w:bidi="zh-CN"/>
      </w:rPr>
    </w:sdtEndPr>
    <w:sdtContent>
      <w:p w14:paraId="1115E565">
        <w:pPr>
          <w:pBdr>
            <w:top w:val="thickThinSmallGap" w:color="auto" w:sz="12" w:space="1"/>
          </w:pBdr>
          <w:spacing w:line="240" w:lineRule="exact"/>
          <w:ind w:firstLine="0" w:firstLineChars="0"/>
          <w:jc w:val="center"/>
          <w:rPr>
            <w:b/>
          </w:rPr>
        </w:pPr>
        <w:r>
          <w:rPr>
            <w:b/>
          </w:rPr>
          <w:fldChar w:fldCharType="begin"/>
        </w:r>
        <w:r>
          <w:rPr>
            <w:b/>
          </w:rPr>
          <w:instrText xml:space="preserve">PAGE   \* MERGEFORMAT</w:instrText>
        </w:r>
        <w:r>
          <w:rPr>
            <w:b/>
          </w:rPr>
          <w:fldChar w:fldCharType="separate"/>
        </w:r>
        <w:r>
          <w:rPr>
            <w:b/>
          </w:rPr>
          <w:t>- 271 -</w:t>
        </w:r>
        <w:r>
          <w:rPr>
            <w:b/>
          </w:rPr>
          <w:fldChar w:fldCharType="end"/>
        </w:r>
      </w:p>
    </w:sdtContent>
  </w:sdt>
  <w:p w14:paraId="1AD38FFA">
    <w:pPr>
      <w:ind w:firstLine="48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961BA18">
    <w:pPr>
      <w:ind w:firstLine="48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3B53934">
    <w:pPr>
      <w:ind w:firstLine="48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DC0748D">
    <w:pPr>
      <w:pStyle w:val="30"/>
      <w:pBdr>
        <w:bottom w:val="none" w:color="auto" w:sz="0" w:space="0"/>
      </w:pBd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2704006">
    <w:pPr>
      <w:pStyle w:val="30"/>
      <w:pBdr>
        <w:bottom w:val="thinThickSmallGap" w:color="auto" w:sz="24" w:space="1"/>
      </w:pBdr>
      <w:jc w:val="distribute"/>
      <w:rPr>
        <w:rFonts w:ascii="华文新魏" w:eastAsia="华文新魏"/>
      </w:rPr>
    </w:pPr>
    <w:r>
      <w:rPr>
        <w:rFonts w:hint="eastAsia" w:ascii="华文新魏" w:eastAsia="华文新魏"/>
      </w:rPr>
      <w:t>北部湾港钦州港域金谷港区金鼓江作业区14号泊位扩建工程（新增液、乙等装卸设施）环境影响报告书</w:t>
    </w:r>
  </w:p>
  <w:p w14:paraId="038EF1C8">
    <w:pPr>
      <w:pStyle w:val="30"/>
      <w:pBdr>
        <w:bottom w:val="thinThickSmallGap" w:color="auto" w:sz="24" w:space="1"/>
      </w:pBdr>
      <w:jc w:val="distribute"/>
      <w:rPr>
        <w:rFonts w:ascii="华文新魏" w:eastAsia="华文新魏"/>
        <w:lang w:val="en-US"/>
      </w:rPr>
    </w:pPr>
    <w:r>
      <w:rPr>
        <w:rFonts w:hint="eastAsia" w:ascii="华文新魏" w:eastAsia="华文新魏"/>
      </w:rPr>
      <w:t xml:space="preserve">                                                                         </w:t>
    </w:r>
    <w:r>
      <w:rPr>
        <w:rFonts w:hint="eastAsia" w:ascii="华文新魏" w:eastAsia="华文新魏"/>
        <w:lang w:val="en-US"/>
      </w:rPr>
      <w:t xml:space="preserve">       3 环境现状调查与评价</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E0DD6AB">
    <w:pPr>
      <w:pStyle w:val="30"/>
      <w:pBdr>
        <w:bottom w:val="thinThickSmallGap" w:color="auto" w:sz="24" w:space="1"/>
      </w:pBdr>
      <w:jc w:val="distribute"/>
      <w:rPr>
        <w:rFonts w:ascii="华文新魏" w:eastAsia="华文新魏"/>
      </w:rPr>
    </w:pPr>
    <w:r>
      <w:rPr>
        <w:rFonts w:hint="eastAsia" w:ascii="华文新魏" w:eastAsia="华文新魏"/>
      </w:rPr>
      <w:t>北部湾港钦州港域金谷港区金鼓江作业区14号泊位扩建工程（新增液、乙等装卸设施）环境影响报告书</w:t>
    </w:r>
  </w:p>
  <w:p w14:paraId="61BDA3E2">
    <w:pPr>
      <w:pStyle w:val="30"/>
      <w:pBdr>
        <w:bottom w:val="thinThickSmallGap" w:color="auto" w:sz="24" w:space="1"/>
      </w:pBdr>
      <w:jc w:val="distribute"/>
      <w:rPr>
        <w:rFonts w:ascii="华文新魏" w:eastAsia="华文新魏"/>
        <w:lang w:val="en-US"/>
      </w:rPr>
    </w:pPr>
    <w:r>
      <w:rPr>
        <w:rFonts w:hint="eastAsia" w:ascii="华文新魏" w:eastAsia="华文新魏"/>
      </w:rPr>
      <w:t xml:space="preserve">                                                                      </w:t>
    </w:r>
    <w:r>
      <w:rPr>
        <w:rFonts w:hint="eastAsia" w:ascii="华文新魏" w:eastAsia="华文新魏"/>
        <w:lang w:val="en-US"/>
      </w:rPr>
      <w:t xml:space="preserve">  3 环境现状调查与评价</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DE348DB">
    <w:pPr>
      <w:tabs>
        <w:tab w:val="center" w:pos="4153"/>
        <w:tab w:val="right" w:pos="8306"/>
      </w:tabs>
      <w:ind w:firstLine="480"/>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6FD4BAA">
    <w:pPr>
      <w:tabs>
        <w:tab w:val="center" w:pos="4153"/>
        <w:tab w:val="right" w:pos="8306"/>
      </w:tabs>
      <w:ind w:firstLine="480"/>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ED07629">
    <w:pPr>
      <w:pStyle w:val="30"/>
      <w:pBdr>
        <w:bottom w:val="thinThickSmallGap" w:color="auto" w:sz="24" w:space="1"/>
      </w:pBdr>
      <w:jc w:val="distribute"/>
      <w:rPr>
        <w:rFonts w:ascii="华文新魏" w:eastAsia="华文新魏"/>
      </w:rPr>
    </w:pPr>
    <w:r>
      <w:rPr>
        <w:rFonts w:hint="eastAsia" w:ascii="华文新魏" w:eastAsia="华文新魏"/>
      </w:rPr>
      <w:t>北部湾港钦州港域金谷港区金鼓江作业区14号泊位扩建工程（新增液、乙等装卸设施）环境影响报告书</w:t>
    </w:r>
  </w:p>
  <w:p w14:paraId="5EB77F30">
    <w:pPr>
      <w:pStyle w:val="30"/>
      <w:pBdr>
        <w:bottom w:val="thinThickSmallGap" w:color="auto" w:sz="24" w:space="1"/>
      </w:pBdr>
      <w:jc w:val="distribute"/>
      <w:rPr>
        <w:rFonts w:ascii="华文新魏" w:eastAsia="华文新魏"/>
        <w:lang w:val="en-US"/>
      </w:rPr>
    </w:pPr>
    <w:r>
      <w:rPr>
        <w:rFonts w:hint="eastAsia" w:ascii="华文新魏" w:eastAsia="华文新魏"/>
      </w:rPr>
      <w:t xml:space="preserve">                                                                      </w:t>
    </w:r>
    <w:r>
      <w:rPr>
        <w:rFonts w:hint="eastAsia" w:ascii="华文新魏" w:eastAsia="华文新魏"/>
        <w:lang w:val="en-US"/>
      </w:rPr>
      <w:t xml:space="preserve"> 3 环境现状调查与评价</w: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C71EBC4">
    <w:pPr>
      <w:pStyle w:val="30"/>
      <w:pBdr>
        <w:bottom w:val="thinThickSmallGap" w:color="auto" w:sz="24" w:space="1"/>
      </w:pBdr>
      <w:jc w:val="distribute"/>
      <w:rPr>
        <w:rFonts w:ascii="华文新魏" w:eastAsia="华文新魏"/>
      </w:rPr>
    </w:pPr>
    <w:r>
      <w:rPr>
        <w:rFonts w:hint="eastAsia" w:ascii="华文新魏" w:eastAsia="华文新魏"/>
      </w:rPr>
      <w:t>北部湾港钦州港域金谷港区金鼓江作业区14号泊位扩建工程（新增液、乙等装卸设施）环境影响报告书</w:t>
    </w:r>
  </w:p>
  <w:p w14:paraId="6790A0E1">
    <w:pPr>
      <w:pStyle w:val="30"/>
      <w:pBdr>
        <w:bottom w:val="thinThickSmallGap" w:color="auto" w:sz="24" w:space="1"/>
      </w:pBdr>
      <w:jc w:val="distribute"/>
      <w:rPr>
        <w:rFonts w:ascii="华文新魏" w:eastAsia="华文新魏"/>
        <w:lang w:val="en-US"/>
      </w:rPr>
    </w:pPr>
    <w:r>
      <w:rPr>
        <w:rFonts w:hint="eastAsia" w:ascii="华文新魏" w:eastAsia="华文新魏"/>
      </w:rPr>
      <w:t xml:space="preserve">                                                                      </w:t>
    </w:r>
    <w:r>
      <w:rPr>
        <w:rFonts w:hint="eastAsia" w:ascii="华文新魏" w:eastAsia="华文新魏"/>
        <w:lang w:val="en-US"/>
      </w:rPr>
      <w:t xml:space="preserve">  4 环境影响预测与评价</w: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42ED764">
    <w:pPr>
      <w:pStyle w:val="30"/>
      <w:pBdr>
        <w:bottom w:val="thinThickSmallGap" w:color="auto" w:sz="24" w:space="1"/>
      </w:pBdr>
      <w:jc w:val="distribute"/>
      <w:rPr>
        <w:rFonts w:ascii="华文新魏" w:eastAsia="华文新魏"/>
      </w:rPr>
    </w:pPr>
    <w:r>
      <w:rPr>
        <w:rFonts w:hint="eastAsia" w:ascii="华文新魏" w:eastAsia="华文新魏"/>
      </w:rPr>
      <w:t>北部湾港钦州港域金谷港区金鼓江作业区14号泊位扩建工程（新增液、乙等装卸设施）环境影响报告书</w:t>
    </w:r>
  </w:p>
  <w:p w14:paraId="69AD8F4B">
    <w:pPr>
      <w:pStyle w:val="30"/>
      <w:pBdr>
        <w:bottom w:val="thinThickSmallGap" w:color="auto" w:sz="24" w:space="1"/>
      </w:pBdr>
      <w:jc w:val="distribute"/>
      <w:rPr>
        <w:rFonts w:ascii="华文新魏" w:eastAsia="华文新魏"/>
        <w:lang w:val="en-US"/>
      </w:rPr>
    </w:pPr>
    <w:r>
      <w:rPr>
        <w:rFonts w:hint="eastAsia" w:ascii="华文新魏" w:eastAsia="华文新魏"/>
        <w:lang w:val="en-US"/>
      </w:rPr>
      <w:t xml:space="preserve">                                                                            5 环境风险评价</w: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C67280D">
    <w:pPr>
      <w:pStyle w:val="30"/>
      <w:pBdr>
        <w:bottom w:val="thinThickSmallGap" w:color="auto" w:sz="24" w:space="1"/>
      </w:pBdr>
      <w:jc w:val="distribute"/>
      <w:rPr>
        <w:rFonts w:ascii="华文新魏" w:eastAsia="华文新魏"/>
      </w:rPr>
    </w:pPr>
    <w:r>
      <w:rPr>
        <w:rFonts w:hint="eastAsia" w:ascii="华文新魏" w:eastAsia="华文新魏"/>
      </w:rPr>
      <w:t>北部湾港钦州港域金谷港区金鼓江作业区14号泊位扩建工程（新增液、乙等装卸设施）环境影响报告书</w:t>
    </w:r>
  </w:p>
  <w:p w14:paraId="1D1BF9CF">
    <w:pPr>
      <w:pStyle w:val="30"/>
      <w:pBdr>
        <w:bottom w:val="thinThickSmallGap" w:color="auto" w:sz="24" w:space="1"/>
      </w:pBdr>
      <w:jc w:val="distribute"/>
    </w:pPr>
    <w:r>
      <w:rPr>
        <w:rFonts w:hint="eastAsia" w:ascii="华文新魏" w:eastAsia="华文新魏"/>
        <w:lang w:val="en-US"/>
      </w:rPr>
      <w:t xml:space="preserve">                                                                            5 环境风险评价</w: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60A5E79">
    <w:pPr>
      <w:pStyle w:val="30"/>
      <w:pBdr>
        <w:bottom w:val="thinThickSmallGap" w:color="auto" w:sz="24" w:space="1"/>
      </w:pBdr>
      <w:jc w:val="distribute"/>
      <w:rPr>
        <w:rFonts w:ascii="华文新魏" w:eastAsia="华文新魏"/>
      </w:rPr>
    </w:pPr>
    <w:r>
      <w:rPr>
        <w:rFonts w:hint="eastAsia" w:ascii="华文新魏" w:eastAsia="华文新魏"/>
      </w:rPr>
      <w:t>北部湾港钦州港域金谷港区金鼓江作业区14号泊位扩建工程（新增液、乙等装卸设施）环境影响报告书</w:t>
    </w:r>
  </w:p>
  <w:p w14:paraId="34E84C27">
    <w:pPr>
      <w:pStyle w:val="30"/>
      <w:pBdr>
        <w:bottom w:val="thinThickSmallGap" w:color="auto" w:sz="24" w:space="1"/>
      </w:pBdr>
      <w:jc w:val="distribute"/>
      <w:rPr>
        <w:rFonts w:ascii="华文新魏" w:eastAsia="华文新魏"/>
        <w:sz w:val="15"/>
        <w:szCs w:val="15"/>
        <w:lang w:val="en-US"/>
      </w:rPr>
    </w:pPr>
    <w:r>
      <w:rPr>
        <w:rFonts w:hint="eastAsia" w:ascii="华文新魏" w:eastAsia="华文新魏"/>
        <w:lang w:val="en-US"/>
      </w:rPr>
      <w:t xml:space="preserve">                                                                6 环境保护措施及其可行性论证</w: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2386941">
    <w:pPr>
      <w:pStyle w:val="30"/>
      <w:pBdr>
        <w:bottom w:val="thinThickSmallGap" w:color="auto" w:sz="24" w:space="1"/>
      </w:pBdr>
      <w:jc w:val="distribute"/>
      <w:rPr>
        <w:rFonts w:ascii="华文新魏" w:eastAsia="华文新魏"/>
      </w:rPr>
    </w:pPr>
    <w:r>
      <w:rPr>
        <w:rFonts w:hint="eastAsia" w:ascii="华文新魏" w:eastAsia="华文新魏"/>
      </w:rPr>
      <w:t>北部湾港钦州港域金谷港区金鼓江作业区14号泊位扩建工程（新增液、乙等装卸设施）环境影响报告书</w:t>
    </w:r>
  </w:p>
  <w:p w14:paraId="5F565E8E">
    <w:pPr>
      <w:pStyle w:val="30"/>
      <w:pBdr>
        <w:bottom w:val="thinThickSmallGap" w:color="auto" w:sz="24" w:space="1"/>
      </w:pBdr>
      <w:jc w:val="distribute"/>
      <w:rPr>
        <w:rFonts w:ascii="华文新魏" w:eastAsia="华文新魏"/>
        <w:sz w:val="15"/>
        <w:szCs w:val="15"/>
        <w:lang w:val="en-US"/>
      </w:rPr>
    </w:pPr>
    <w:r>
      <w:rPr>
        <w:rFonts w:hint="eastAsia" w:ascii="华文新魏" w:eastAsia="华文新魏"/>
        <w:lang w:val="en-US"/>
      </w:rPr>
      <w:t xml:space="preserve">                                                                7 环境保经济损益分析</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2B18B6C">
    <w:pPr>
      <w:ind w:firstLine="480"/>
    </w:pPr>
  </w:p>
  <w:p w14:paraId="43D94874">
    <w:pPr>
      <w:ind w:firstLine="480"/>
    </w:pPr>
  </w:p>
  <w:p w14:paraId="1B238B85">
    <w:pPr>
      <w:ind w:firstLine="480"/>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DCCD398">
    <w:pPr>
      <w:pStyle w:val="30"/>
      <w:pBdr>
        <w:bottom w:val="thinThickSmallGap" w:color="auto" w:sz="24" w:space="1"/>
      </w:pBdr>
      <w:jc w:val="distribute"/>
      <w:rPr>
        <w:rFonts w:ascii="华文新魏" w:eastAsia="华文新魏"/>
      </w:rPr>
    </w:pPr>
    <w:r>
      <w:rPr>
        <w:rFonts w:hint="eastAsia" w:ascii="华文新魏" w:eastAsia="华文新魏"/>
      </w:rPr>
      <w:t>北部湾港钦州港域金谷港区金鼓江作业区14号泊位扩建工程（新增液、乙等装卸设施）环境影响报告书</w:t>
    </w:r>
  </w:p>
  <w:p w14:paraId="45AC148C">
    <w:pPr>
      <w:pStyle w:val="30"/>
      <w:pBdr>
        <w:bottom w:val="thinThickSmallGap" w:color="auto" w:sz="24" w:space="1"/>
      </w:pBdr>
      <w:jc w:val="distribute"/>
      <w:rPr>
        <w:rFonts w:ascii="华文新魏" w:eastAsia="华文新魏"/>
        <w:sz w:val="15"/>
        <w:szCs w:val="15"/>
        <w:lang w:val="en-US"/>
      </w:rPr>
    </w:pPr>
    <w:r>
      <w:rPr>
        <w:rFonts w:hint="eastAsia" w:ascii="华文新魏" w:eastAsia="华文新魏"/>
        <w:lang w:val="en-US"/>
      </w:rPr>
      <w:t xml:space="preserve">                                                               </w:t>
    </w:r>
    <w:r>
      <w:rPr>
        <w:rFonts w:hint="eastAsia" w:ascii="华文新魏" w:eastAsia="华文新魏"/>
        <w:sz w:val="15"/>
        <w:szCs w:val="15"/>
        <w:lang w:val="en-US"/>
      </w:rPr>
      <w:t xml:space="preserve">          8 环境管理与监测计划</w: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C988B7D">
    <w:pPr>
      <w:pStyle w:val="30"/>
      <w:pBdr>
        <w:bottom w:val="thinThickSmallGap" w:color="auto" w:sz="24" w:space="1"/>
      </w:pBdr>
      <w:jc w:val="distribute"/>
      <w:rPr>
        <w:rFonts w:ascii="华文新魏" w:eastAsia="华文新魏"/>
      </w:rPr>
    </w:pPr>
    <w:r>
      <w:rPr>
        <w:rFonts w:hint="eastAsia" w:ascii="华文新魏" w:eastAsia="华文新魏"/>
      </w:rPr>
      <w:t>北部湾港钦州港域金谷港区金鼓江作业区14号泊位扩建工程（新增液、乙等装卸设施）环境影响报告书</w:t>
    </w:r>
  </w:p>
  <w:p w14:paraId="377BBA34">
    <w:pPr>
      <w:pStyle w:val="30"/>
      <w:pBdr>
        <w:bottom w:val="thinThickSmallGap" w:color="auto" w:sz="24" w:space="1"/>
      </w:pBdr>
      <w:jc w:val="distribute"/>
      <w:rPr>
        <w:rFonts w:ascii="华文新魏" w:eastAsia="华文新魏"/>
        <w:sz w:val="15"/>
        <w:szCs w:val="15"/>
        <w:lang w:val="en-US"/>
      </w:rPr>
    </w:pPr>
    <w:r>
      <w:rPr>
        <w:rFonts w:hint="eastAsia" w:ascii="华文新魏" w:eastAsia="华文新魏"/>
        <w:lang w:val="en-US"/>
      </w:rPr>
      <w:t xml:space="preserve">                                                                </w:t>
    </w:r>
    <w:r>
      <w:rPr>
        <w:rFonts w:hint="eastAsia" w:ascii="华文新魏" w:eastAsia="华文新魏"/>
        <w:sz w:val="15"/>
        <w:szCs w:val="15"/>
        <w:lang w:val="en-US"/>
      </w:rPr>
      <w:t xml:space="preserve">             9 环境影响评价结论</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B66BF89">
    <w:pPr>
      <w:ind w:firstLine="480"/>
    </w:pPr>
  </w:p>
  <w:p w14:paraId="595C57D8">
    <w:pPr>
      <w:ind w:firstLine="480"/>
    </w:pPr>
  </w:p>
  <w:p w14:paraId="566EB63B">
    <w:pPr>
      <w:ind w:firstLine="48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874F72F">
    <w:pPr>
      <w:pStyle w:val="30"/>
      <w:pBdr>
        <w:bottom w:val="thinThickSmallGap" w:color="auto" w:sz="24" w:space="1"/>
      </w:pBdr>
      <w:jc w:val="left"/>
      <w:rPr>
        <w:rFonts w:ascii="华文新魏" w:eastAsia="华文新魏"/>
        <w:lang w:val="en-US"/>
      </w:rPr>
    </w:pPr>
    <w:r>
      <w:rPr>
        <w:rFonts w:hint="eastAsia" w:ascii="华文新魏" w:eastAsia="华文新魏"/>
      </w:rPr>
      <w:t>北部湾港钦州港域金谷港区金鼓江作业区14号泊位扩建工程（新增液、乙等装卸设施）环境影响报告书</w:t>
    </w:r>
    <w:r>
      <w:rPr>
        <w:rFonts w:hint="eastAsia" w:ascii="华文新魏" w:eastAsia="华文新魏"/>
        <w:lang w:val="en-US"/>
      </w:rPr>
      <w:t xml:space="preserve">  </w:t>
    </w:r>
  </w:p>
  <w:p w14:paraId="503F0C0B">
    <w:pPr>
      <w:pStyle w:val="30"/>
      <w:pBdr>
        <w:bottom w:val="thinThickSmallGap" w:color="auto" w:sz="24" w:space="1"/>
      </w:pBdr>
      <w:ind w:firstLine="8280" w:firstLineChars="4600"/>
      <w:jc w:val="left"/>
      <w:rPr>
        <w:rFonts w:ascii="华文新魏" w:eastAsia="华文新魏"/>
        <w:lang w:val="en-US"/>
      </w:rPr>
    </w:pPr>
    <w:r>
      <w:rPr>
        <w:rFonts w:hint="eastAsia" w:ascii="华文新魏" w:eastAsia="华文新魏"/>
        <w:lang w:val="en-US"/>
      </w:rPr>
      <w:t xml:space="preserve"> 1 总则                                    </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BDE3E09">
    <w:pPr>
      <w:pStyle w:val="30"/>
      <w:pBdr>
        <w:bottom w:val="thinThickSmallGap" w:color="auto" w:sz="24" w:space="1"/>
      </w:pBdr>
      <w:ind w:left="5940" w:hanging="5940" w:hangingChars="3300"/>
      <w:jc w:val="left"/>
      <w:rPr>
        <w:rFonts w:ascii="华文新魏" w:eastAsia="华文新魏"/>
        <w:lang w:val="en-US"/>
      </w:rPr>
    </w:pPr>
    <w:r>
      <w:rPr>
        <w:rFonts w:hint="eastAsia" w:ascii="华文新魏" w:eastAsia="华文新魏"/>
      </w:rPr>
      <w:t>北部湾港钦州港域金谷港区金鼓江作业区14号泊位扩建工程（新增液、乙等装卸设施）环境影响报告书</w:t>
    </w:r>
    <w:r>
      <w:rPr>
        <w:rFonts w:hint="eastAsia" w:ascii="华文新魏" w:eastAsia="华文新魏"/>
        <w:lang w:val="en-US"/>
      </w:rPr>
      <w:t xml:space="preserve">                  2 建设项目概况与工程分析</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026AB40">
    <w:pPr>
      <w:pStyle w:val="30"/>
      <w:pBdr>
        <w:bottom w:val="thinThickSmallGap" w:color="auto" w:sz="24" w:space="1"/>
      </w:pBdr>
      <w:jc w:val="left"/>
      <w:rPr>
        <w:rFonts w:ascii="华文新魏" w:eastAsia="华文新魏"/>
        <w:lang w:val="en-US"/>
      </w:rPr>
    </w:pPr>
    <w:r>
      <w:rPr>
        <w:rFonts w:hint="eastAsia" w:ascii="华文新魏" w:eastAsia="华文新魏"/>
      </w:rPr>
      <w:t>钦州港金谷港区金鼓江作业区14 号、15号泊位工程环境影响报告书</w:t>
    </w:r>
    <w:r>
      <w:rPr>
        <w:rFonts w:hint="eastAsia" w:ascii="华文新魏" w:eastAsia="华文新魏"/>
        <w:lang w:val="en-US"/>
      </w:rPr>
      <w:t xml:space="preserve">                                                                                 2 建设项目概况与工程分析</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5DC8253">
    <w:pPr>
      <w:pStyle w:val="30"/>
      <w:pBdr>
        <w:bottom w:val="thinThickSmallGap" w:color="auto" w:sz="24" w:space="1"/>
      </w:pBdr>
      <w:jc w:val="distribute"/>
      <w:rPr>
        <w:rFonts w:ascii="华文新魏" w:eastAsia="华文新魏"/>
        <w:lang w:val="en-US"/>
      </w:rPr>
    </w:pPr>
    <w:r>
      <w:rPr>
        <w:rFonts w:hint="eastAsia" w:ascii="华文新魏" w:eastAsia="华文新魏"/>
      </w:rPr>
      <w:t>北部湾港钦州港域金谷港区金鼓江作业区14号泊位扩建工程（新增液、乙等装卸设施）环境影响报告书</w:t>
    </w:r>
    <w:r>
      <w:rPr>
        <w:rFonts w:hint="eastAsia" w:ascii="华文新魏" w:eastAsia="华文新魏"/>
        <w:lang w:val="en-US"/>
      </w:rPr>
      <w:t xml:space="preserve">        </w:t>
    </w:r>
  </w:p>
  <w:p w14:paraId="4C7C405B">
    <w:pPr>
      <w:pStyle w:val="30"/>
      <w:pBdr>
        <w:bottom w:val="thinThickSmallGap" w:color="auto" w:sz="24" w:space="1"/>
      </w:pBdr>
      <w:jc w:val="distribute"/>
      <w:rPr>
        <w:rFonts w:ascii="华文新魏" w:eastAsia="华文新魏"/>
        <w:lang w:val="en-US"/>
      </w:rPr>
    </w:pPr>
    <w:r>
      <w:rPr>
        <w:rFonts w:hint="eastAsia" w:ascii="华文新魏" w:eastAsia="华文新魏"/>
        <w:lang w:val="en-US"/>
      </w:rPr>
      <w:t xml:space="preserve">                                                                    2 建设项目概况与工程分析</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DD2A056">
    <w:pPr>
      <w:ind w:firstLine="480"/>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8BC8558">
    <w:pPr>
      <w:ind w:firstLine="48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BDE194C"/>
    <w:multiLevelType w:val="singleLevel"/>
    <w:tmpl w:val="8BDE194C"/>
    <w:lvl w:ilvl="0" w:tentative="0">
      <w:start w:val="1"/>
      <w:numFmt w:val="decimal"/>
      <w:suff w:val="nothing"/>
      <w:lvlText w:val="%1、"/>
      <w:lvlJc w:val="left"/>
    </w:lvl>
  </w:abstractNum>
  <w:abstractNum w:abstractNumId="1">
    <w:nsid w:val="B8100084"/>
    <w:multiLevelType w:val="singleLevel"/>
    <w:tmpl w:val="B8100084"/>
    <w:lvl w:ilvl="0" w:tentative="0">
      <w:start w:val="1"/>
      <w:numFmt w:val="decimal"/>
      <w:suff w:val="nothing"/>
      <w:lvlText w:val="（%1）"/>
      <w:lvlJc w:val="left"/>
    </w:lvl>
  </w:abstractNum>
  <w:abstractNum w:abstractNumId="2">
    <w:nsid w:val="088FB1B9"/>
    <w:multiLevelType w:val="singleLevel"/>
    <w:tmpl w:val="088FB1B9"/>
    <w:lvl w:ilvl="0" w:tentative="0">
      <w:start w:val="1"/>
      <w:numFmt w:val="decimal"/>
      <w:suff w:val="nothing"/>
      <w:lvlText w:val="（%1）"/>
      <w:lvlJc w:val="left"/>
    </w:lvl>
  </w:abstractNum>
  <w:abstractNum w:abstractNumId="3">
    <w:nsid w:val="0E3005EA"/>
    <w:multiLevelType w:val="multilevel"/>
    <w:tmpl w:val="0E3005EA"/>
    <w:lvl w:ilvl="0" w:tentative="0">
      <w:start w:val="1"/>
      <w:numFmt w:val="decimal"/>
      <w:lvlText w:val="附件%1"/>
      <w:lvlJc w:val="left"/>
      <w:pPr>
        <w:ind w:left="882" w:hanging="420"/>
      </w:pPr>
      <w:rPr>
        <w:rFonts w:hint="eastAsia"/>
      </w:rPr>
    </w:lvl>
    <w:lvl w:ilvl="1" w:tentative="0">
      <w:start w:val="1"/>
      <w:numFmt w:val="decimal"/>
      <w:lvlText w:val="附件%2"/>
      <w:lvlJc w:val="left"/>
      <w:pPr>
        <w:ind w:left="840" w:hanging="420"/>
      </w:pPr>
      <w:rPr>
        <w:rFonts w:hint="eastAsia"/>
      </w:r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
    <w:nsid w:val="14C616C2"/>
    <w:multiLevelType w:val="multilevel"/>
    <w:tmpl w:val="14C616C2"/>
    <w:lvl w:ilvl="0" w:tentative="0">
      <w:start w:val="1"/>
      <w:numFmt w:val="decimal"/>
      <w:suff w:val="nothing"/>
      <w:lvlText w:val="%1"/>
      <w:lvlJc w:val="left"/>
      <w:pPr>
        <w:ind w:left="0" w:firstLine="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5">
    <w:nsid w:val="1DA61EE3"/>
    <w:multiLevelType w:val="multilevel"/>
    <w:tmpl w:val="1DA61EE3"/>
    <w:lvl w:ilvl="0" w:tentative="0">
      <w:start w:val="1"/>
      <w:numFmt w:val="decimal"/>
      <w:lvlText w:val="%1、"/>
      <w:lvlJc w:val="left"/>
      <w:pPr>
        <w:ind w:left="840" w:hanging="360"/>
      </w:pPr>
      <w:rPr>
        <w:rFonts w:hint="default"/>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6">
    <w:nsid w:val="1F955DF5"/>
    <w:multiLevelType w:val="multilevel"/>
    <w:tmpl w:val="1F955DF5"/>
    <w:lvl w:ilvl="0" w:tentative="0">
      <w:start w:val="1"/>
      <w:numFmt w:val="decimal"/>
      <w:suff w:val="nothing"/>
      <w:lvlText w:val="%1"/>
      <w:lvlJc w:val="left"/>
      <w:pPr>
        <w:ind w:left="0" w:firstLine="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7">
    <w:nsid w:val="29DC4AB9"/>
    <w:multiLevelType w:val="multilevel"/>
    <w:tmpl w:val="29DC4AB9"/>
    <w:lvl w:ilvl="0" w:tentative="0">
      <w:start w:val="1"/>
      <w:numFmt w:val="decimal"/>
      <w:pStyle w:val="3"/>
      <w:suff w:val="space"/>
      <w:lvlText w:val="%1"/>
      <w:lvlJc w:val="left"/>
      <w:pPr>
        <w:ind w:left="0" w:firstLine="0"/>
      </w:pPr>
      <w:rPr>
        <w:rFonts w:hint="default" w:ascii="Times New Roman" w:hAnsi="Times New Roman" w:eastAsia="宋体" w:cs="Times New Roman"/>
        <w:b w:val="0"/>
        <w:bCs w:val="0"/>
        <w:i w:val="0"/>
        <w:sz w:val="32"/>
        <w:szCs w:val="32"/>
      </w:rPr>
    </w:lvl>
    <w:lvl w:ilvl="1" w:tentative="0">
      <w:start w:val="1"/>
      <w:numFmt w:val="decimal"/>
      <w:pStyle w:val="5"/>
      <w:suff w:val="space"/>
      <w:lvlText w:val="%1.%2"/>
      <w:lvlJc w:val="left"/>
      <w:pPr>
        <w:ind w:left="0" w:firstLine="0"/>
      </w:pPr>
      <w:rPr>
        <w:rFonts w:hint="default" w:ascii="Times New Roman" w:hAnsi="Times New Roman" w:eastAsia="黑体" w:cs="Times New Roman"/>
        <w:b/>
        <w:bCs/>
        <w:sz w:val="30"/>
        <w:szCs w:val="30"/>
      </w:rPr>
    </w:lvl>
    <w:lvl w:ilvl="2" w:tentative="0">
      <w:start w:val="1"/>
      <w:numFmt w:val="decimal"/>
      <w:pStyle w:val="4"/>
      <w:suff w:val="space"/>
      <w:lvlText w:val="%1.%2.%3"/>
      <w:lvlJc w:val="left"/>
      <w:pPr>
        <w:ind w:left="0" w:firstLine="0"/>
      </w:pPr>
      <w:rPr>
        <w:rFonts w:hint="default" w:ascii="Times New Roman" w:hAnsi="Times New Roman" w:eastAsia="黑体" w:cs="Times New Roman"/>
        <w:b/>
        <w:bCs/>
        <w:sz w:val="28"/>
        <w:szCs w:val="28"/>
      </w:rPr>
    </w:lvl>
    <w:lvl w:ilvl="3" w:tentative="0">
      <w:start w:val="1"/>
      <w:numFmt w:val="decimal"/>
      <w:pStyle w:val="6"/>
      <w:suff w:val="space"/>
      <w:lvlText w:val="%1.%2.%3.%4"/>
      <w:lvlJc w:val="left"/>
      <w:pPr>
        <w:ind w:left="426" w:firstLine="0"/>
      </w:pPr>
      <w:rPr>
        <w:rFonts w:hint="eastAsia"/>
        <w:b w:val="0"/>
        <w:bCs w:val="0"/>
        <w:i w:val="0"/>
        <w:iCs w:val="0"/>
        <w:caps w:val="0"/>
        <w:smallCaps w:val="0"/>
        <w:strike w:val="0"/>
        <w:dstrike w:val="0"/>
        <w:outline w:val="0"/>
        <w:shadow w:val="0"/>
        <w:emboss w:val="0"/>
        <w:imprint w:val="0"/>
        <w:vanish w:val="0"/>
        <w:spacing w:val="0"/>
        <w:position w:val="0"/>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lvl>
    <w:lvl w:ilvl="4" w:tentative="0">
      <w:start w:val="1"/>
      <w:numFmt w:val="decimal"/>
      <w:lvlRestart w:val="2"/>
      <w:pStyle w:val="7"/>
      <w:suff w:val="space"/>
      <w:lvlText w:val="表%1.%2-%5"/>
      <w:lvlJc w:val="left"/>
      <w:pPr>
        <w:ind w:left="-2" w:firstLine="0"/>
      </w:pPr>
      <w:rPr>
        <w:rFonts w:hint="default" w:ascii="Times New Roman" w:hAnsi="Times New Roman" w:cs="Times New Roman"/>
        <w:b w:val="0"/>
        <w:bCs w:val="0"/>
        <w:i w:val="0"/>
        <w:iCs w:val="0"/>
        <w:caps w:val="0"/>
        <w:smallCaps w:val="0"/>
        <w:strike w:val="0"/>
        <w:dstrike w:val="0"/>
        <w:outline w:val="0"/>
        <w:shadow w:val="0"/>
        <w:emboss w:val="0"/>
        <w:imprint w:val="0"/>
        <w:vanish w:val="0"/>
        <w:spacing w:val="0"/>
        <w:position w:val="0"/>
        <w:sz w:val="24"/>
        <w:szCs w:val="24"/>
        <w:u w:val="none"/>
        <w:vertAlign w:val="baseline"/>
        <w:lang w:val="en-US"/>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lvl>
    <w:lvl w:ilvl="5" w:tentative="0">
      <w:start w:val="1"/>
      <w:numFmt w:val="decimal"/>
      <w:lvlRestart w:val="2"/>
      <w:pStyle w:val="8"/>
      <w:suff w:val="space"/>
      <w:lvlText w:val="图%1.%2-%6"/>
      <w:lvlJc w:val="left"/>
      <w:pPr>
        <w:ind w:left="0" w:firstLine="0"/>
      </w:pPr>
      <w:rPr>
        <w:b w:val="0"/>
        <w:bCs w:val="0"/>
        <w:i w:val="0"/>
        <w:iCs w:val="0"/>
        <w:caps w:val="0"/>
        <w:smallCaps w:val="0"/>
        <w:strike w:val="0"/>
        <w:dstrike w:val="0"/>
        <w:outline w:val="0"/>
        <w:shadow w:val="0"/>
        <w:emboss w:val="0"/>
        <w:imprint w:val="0"/>
        <w:vanish w:val="0"/>
        <w:spacing w:val="0"/>
        <w:position w:val="0"/>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lvl>
    <w:lvl w:ilvl="6" w:tentative="0">
      <w:start w:val="1"/>
      <w:numFmt w:val="decimal"/>
      <w:lvlText w:val="%1.%2.%3.%4.%5.%6.%7."/>
      <w:lvlJc w:val="left"/>
      <w:pPr>
        <w:ind w:left="1275" w:hanging="1275"/>
      </w:pPr>
      <w:rPr>
        <w:rFonts w:hint="default"/>
      </w:rPr>
    </w:lvl>
    <w:lvl w:ilvl="7" w:tentative="0">
      <w:start w:val="1"/>
      <w:numFmt w:val="decimal"/>
      <w:lvlText w:val="%1.%2.%3.%4.%5.%6.%7.%8."/>
      <w:lvlJc w:val="left"/>
      <w:pPr>
        <w:ind w:left="1418" w:hanging="1418"/>
      </w:pPr>
      <w:rPr>
        <w:rFonts w:hint="default"/>
      </w:rPr>
    </w:lvl>
    <w:lvl w:ilvl="8" w:tentative="0">
      <w:start w:val="1"/>
      <w:numFmt w:val="decimal"/>
      <w:lvlText w:val="%1.%2.%3.%4.%5.%6.%7.%8.%9."/>
      <w:lvlJc w:val="left"/>
      <w:pPr>
        <w:ind w:left="1558" w:hanging="1558"/>
      </w:pPr>
      <w:rPr>
        <w:rFonts w:hint="default"/>
      </w:rPr>
    </w:lvl>
  </w:abstractNum>
  <w:abstractNum w:abstractNumId="8">
    <w:nsid w:val="2AF65DA2"/>
    <w:multiLevelType w:val="multilevel"/>
    <w:tmpl w:val="2AF65DA2"/>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decimal"/>
      <w:suff w:val="nothing"/>
      <w:lvlText w:val="（%3）"/>
      <w:lvlJc w:val="left"/>
      <w:pPr>
        <w:ind w:left="0" w:firstLine="0"/>
      </w:pPr>
      <w:rPr>
        <w:rFonts w:hint="eastAsia"/>
      </w:r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9">
    <w:nsid w:val="2F034797"/>
    <w:multiLevelType w:val="multilevel"/>
    <w:tmpl w:val="2F034797"/>
    <w:lvl w:ilvl="0" w:tentative="0">
      <w:start w:val="1"/>
      <w:numFmt w:val="decimal"/>
      <w:lvlText w:val="附图%1"/>
      <w:lvlJc w:val="left"/>
      <w:pPr>
        <w:ind w:left="986" w:hanging="420"/>
      </w:pPr>
      <w:rPr>
        <w:rFonts w:hint="eastAsia"/>
      </w:rPr>
    </w:lvl>
    <w:lvl w:ilvl="1" w:tentative="0">
      <w:start w:val="1"/>
      <w:numFmt w:val="decimal"/>
      <w:lvlText w:val="附图%2"/>
      <w:lvlJc w:val="left"/>
      <w:pPr>
        <w:ind w:left="840" w:hanging="420"/>
      </w:pPr>
      <w:rPr>
        <w:rFonts w:hint="eastAsia"/>
        <w:b w:val="0"/>
        <w:bCs/>
      </w:r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0">
    <w:nsid w:val="499764E2"/>
    <w:multiLevelType w:val="multilevel"/>
    <w:tmpl w:val="499764E2"/>
    <w:lvl w:ilvl="0" w:tentative="0">
      <w:start w:val="1"/>
      <w:numFmt w:val="decimal"/>
      <w:suff w:val="space"/>
      <w:lvlText w:val="%1"/>
      <w:lvlJc w:val="left"/>
      <w:pPr>
        <w:ind w:left="0" w:firstLine="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1">
    <w:nsid w:val="4E5DF3DF"/>
    <w:multiLevelType w:val="singleLevel"/>
    <w:tmpl w:val="4E5DF3DF"/>
    <w:lvl w:ilvl="0" w:tentative="0">
      <w:start w:val="1"/>
      <w:numFmt w:val="decimal"/>
      <w:suff w:val="nothing"/>
      <w:lvlText w:val="（%1）"/>
      <w:lvlJc w:val="left"/>
    </w:lvl>
  </w:abstractNum>
  <w:abstractNum w:abstractNumId="12">
    <w:nsid w:val="53FF1A8F"/>
    <w:multiLevelType w:val="multilevel"/>
    <w:tmpl w:val="53FF1A8F"/>
    <w:lvl w:ilvl="0" w:tentative="0">
      <w:start w:val="1"/>
      <w:numFmt w:val="decimal"/>
      <w:suff w:val="space"/>
      <w:lvlText w:val="%1"/>
      <w:lvlJc w:val="left"/>
      <w:pPr>
        <w:ind w:left="0" w:firstLine="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3">
    <w:nsid w:val="613748A1"/>
    <w:multiLevelType w:val="multilevel"/>
    <w:tmpl w:val="613748A1"/>
    <w:lvl w:ilvl="0" w:tentative="0">
      <w:start w:val="1"/>
      <w:numFmt w:val="decimal"/>
      <w:suff w:val="nothing"/>
      <w:lvlText w:val="（%1）"/>
      <w:lvlJc w:val="left"/>
      <w:pPr>
        <w:ind w:left="0" w:firstLine="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4">
    <w:nsid w:val="66F50652"/>
    <w:multiLevelType w:val="multilevel"/>
    <w:tmpl w:val="66F50652"/>
    <w:lvl w:ilvl="0" w:tentative="0">
      <w:start w:val="1"/>
      <w:numFmt w:val="decimal"/>
      <w:suff w:val="nothing"/>
      <w:lvlText w:val="（%1）"/>
      <w:lvlJc w:val="left"/>
      <w:pPr>
        <w:ind w:left="0" w:firstLine="0"/>
      </w:pPr>
      <w:rPr>
        <w:rFonts w:hint="eastAsia"/>
        <w:lang w:val="en-US"/>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15">
    <w:nsid w:val="6CD575BA"/>
    <w:multiLevelType w:val="multilevel"/>
    <w:tmpl w:val="6CD575BA"/>
    <w:lvl w:ilvl="0" w:tentative="0">
      <w:start w:val="1"/>
      <w:numFmt w:val="decimal"/>
      <w:lvlText w:val="（%1）"/>
      <w:lvlJc w:val="left"/>
      <w:pPr>
        <w:ind w:left="900" w:hanging="420"/>
      </w:p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16">
    <w:nsid w:val="72DE7ED0"/>
    <w:multiLevelType w:val="multilevel"/>
    <w:tmpl w:val="72DE7ED0"/>
    <w:lvl w:ilvl="0" w:tentative="0">
      <w:start w:val="1"/>
      <w:numFmt w:val="decimal"/>
      <w:lvlText w:val="（%1）"/>
      <w:lvlJc w:val="left"/>
      <w:pPr>
        <w:ind w:left="900" w:hanging="420"/>
      </w:p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17">
    <w:nsid w:val="7E671541"/>
    <w:multiLevelType w:val="multilevel"/>
    <w:tmpl w:val="7E671541"/>
    <w:lvl w:ilvl="0" w:tentative="0">
      <w:start w:val="1"/>
      <w:numFmt w:val="decimal"/>
      <w:suff w:val="nothing"/>
      <w:lvlText w:val="%1"/>
      <w:lvlJc w:val="left"/>
      <w:pPr>
        <w:ind w:left="0" w:firstLine="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8">
    <w:nsid w:val="7E793A8A"/>
    <w:multiLevelType w:val="multilevel"/>
    <w:tmpl w:val="7E793A8A"/>
    <w:lvl w:ilvl="0" w:tentative="0">
      <w:start w:val="1"/>
      <w:numFmt w:val="decimal"/>
      <w:lvlText w:val="附表%1"/>
      <w:lvlJc w:val="left"/>
      <w:pPr>
        <w:ind w:left="902" w:hanging="420"/>
      </w:pPr>
      <w:rPr>
        <w:rFonts w:hint="eastAsia"/>
        <w:color w:val="000000" w:themeColor="text1"/>
        <w:sz w:val="24"/>
        <w:szCs w:val="24"/>
        <w14:textFill>
          <w14:solidFill>
            <w14:schemeClr w14:val="tx1"/>
          </w14:solidFill>
        </w14:textFill>
      </w:rPr>
    </w:lvl>
    <w:lvl w:ilvl="1" w:tentative="0">
      <w:start w:val="1"/>
      <w:numFmt w:val="lowerLetter"/>
      <w:lvlText w:val="%2)"/>
      <w:lvlJc w:val="left"/>
      <w:pPr>
        <w:ind w:left="1322" w:hanging="420"/>
      </w:pPr>
    </w:lvl>
    <w:lvl w:ilvl="2" w:tentative="0">
      <w:start w:val="1"/>
      <w:numFmt w:val="lowerRoman"/>
      <w:lvlText w:val="%3."/>
      <w:lvlJc w:val="right"/>
      <w:pPr>
        <w:ind w:left="1742" w:hanging="420"/>
      </w:pPr>
    </w:lvl>
    <w:lvl w:ilvl="3" w:tentative="0">
      <w:start w:val="1"/>
      <w:numFmt w:val="decimal"/>
      <w:lvlText w:val="%4."/>
      <w:lvlJc w:val="left"/>
      <w:pPr>
        <w:ind w:left="2162" w:hanging="420"/>
      </w:pPr>
    </w:lvl>
    <w:lvl w:ilvl="4" w:tentative="0">
      <w:start w:val="1"/>
      <w:numFmt w:val="lowerLetter"/>
      <w:lvlText w:val="%5)"/>
      <w:lvlJc w:val="left"/>
      <w:pPr>
        <w:ind w:left="2582" w:hanging="420"/>
      </w:pPr>
    </w:lvl>
    <w:lvl w:ilvl="5" w:tentative="0">
      <w:start w:val="1"/>
      <w:numFmt w:val="lowerRoman"/>
      <w:lvlText w:val="%6."/>
      <w:lvlJc w:val="right"/>
      <w:pPr>
        <w:ind w:left="3002" w:hanging="420"/>
      </w:pPr>
    </w:lvl>
    <w:lvl w:ilvl="6" w:tentative="0">
      <w:start w:val="1"/>
      <w:numFmt w:val="decimal"/>
      <w:lvlText w:val="%7."/>
      <w:lvlJc w:val="left"/>
      <w:pPr>
        <w:ind w:left="3422" w:hanging="420"/>
      </w:pPr>
    </w:lvl>
    <w:lvl w:ilvl="7" w:tentative="0">
      <w:start w:val="1"/>
      <w:numFmt w:val="lowerLetter"/>
      <w:lvlText w:val="%8)"/>
      <w:lvlJc w:val="left"/>
      <w:pPr>
        <w:ind w:left="3842" w:hanging="420"/>
      </w:pPr>
    </w:lvl>
    <w:lvl w:ilvl="8" w:tentative="0">
      <w:start w:val="1"/>
      <w:numFmt w:val="lowerRoman"/>
      <w:lvlText w:val="%9."/>
      <w:lvlJc w:val="right"/>
      <w:pPr>
        <w:ind w:left="4262" w:hanging="420"/>
      </w:pPr>
    </w:lvl>
  </w:abstractNum>
  <w:num w:numId="1">
    <w:abstractNumId w:val="7"/>
  </w:num>
  <w:num w:numId="2">
    <w:abstractNumId w:val="9"/>
  </w:num>
  <w:num w:numId="3">
    <w:abstractNumId w:val="3"/>
  </w:num>
  <w:num w:numId="4">
    <w:abstractNumId w:val="18"/>
  </w:num>
  <w:num w:numId="5">
    <w:abstractNumId w:val="8"/>
  </w:num>
  <w:num w:numId="6">
    <w:abstractNumId w:val="14"/>
  </w:num>
  <w:num w:numId="7">
    <w:abstractNumId w:val="13"/>
  </w:num>
  <w:num w:numId="8">
    <w:abstractNumId w:val="16"/>
  </w:num>
  <w:num w:numId="9">
    <w:abstractNumId w:val="15"/>
  </w:num>
  <w:num w:numId="10">
    <w:abstractNumId w:val="12"/>
  </w:num>
  <w:num w:numId="11">
    <w:abstractNumId w:val="10"/>
  </w:num>
  <w:num w:numId="12">
    <w:abstractNumId w:val="17"/>
  </w:num>
  <w:num w:numId="13">
    <w:abstractNumId w:val="6"/>
  </w:num>
  <w:num w:numId="14">
    <w:abstractNumId w:val="4"/>
  </w:num>
  <w:num w:numId="15">
    <w:abstractNumId w:val="1"/>
  </w:num>
  <w:num w:numId="16">
    <w:abstractNumId w:val="11"/>
  </w:num>
  <w:num w:numId="17">
    <w:abstractNumId w:val="5"/>
  </w:num>
  <w:num w:numId="18">
    <w:abstractNumId w:val="2"/>
  </w:num>
  <w:num w:numId="1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hideSpellingErrors/>
  <w:documentProtection w:enforcement="0"/>
  <w:defaultTabStop w:val="420"/>
  <w:drawingGridHorizontalSpacing w:val="120"/>
  <w:drawingGridVerticalSpacing w:val="166"/>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zcyNWY0MWI5YmE4ZjQyZTdmZWM2NWM5YjI2YmFjZjIifQ=="/>
  </w:docVars>
  <w:rsids>
    <w:rsidRoot w:val="00172A27"/>
    <w:rsid w:val="00002526"/>
    <w:rsid w:val="00003B58"/>
    <w:rsid w:val="00005972"/>
    <w:rsid w:val="00005C00"/>
    <w:rsid w:val="00007371"/>
    <w:rsid w:val="000131B2"/>
    <w:rsid w:val="000144F7"/>
    <w:rsid w:val="000154FA"/>
    <w:rsid w:val="00015F38"/>
    <w:rsid w:val="00016518"/>
    <w:rsid w:val="000207EA"/>
    <w:rsid w:val="00020B16"/>
    <w:rsid w:val="00022E49"/>
    <w:rsid w:val="00026D0E"/>
    <w:rsid w:val="00027FC9"/>
    <w:rsid w:val="00030596"/>
    <w:rsid w:val="00031C00"/>
    <w:rsid w:val="0003284D"/>
    <w:rsid w:val="00032B6C"/>
    <w:rsid w:val="00033866"/>
    <w:rsid w:val="000344AD"/>
    <w:rsid w:val="00034BEA"/>
    <w:rsid w:val="000350DB"/>
    <w:rsid w:val="00035311"/>
    <w:rsid w:val="000365BE"/>
    <w:rsid w:val="000373C2"/>
    <w:rsid w:val="00037539"/>
    <w:rsid w:val="00040210"/>
    <w:rsid w:val="00044FB5"/>
    <w:rsid w:val="000455B9"/>
    <w:rsid w:val="00047322"/>
    <w:rsid w:val="00050206"/>
    <w:rsid w:val="00051E7B"/>
    <w:rsid w:val="000531E4"/>
    <w:rsid w:val="000547BC"/>
    <w:rsid w:val="00056DEE"/>
    <w:rsid w:val="000606AD"/>
    <w:rsid w:val="00060D28"/>
    <w:rsid w:val="0006175E"/>
    <w:rsid w:val="00064456"/>
    <w:rsid w:val="00064C09"/>
    <w:rsid w:val="00065C37"/>
    <w:rsid w:val="00066336"/>
    <w:rsid w:val="00067607"/>
    <w:rsid w:val="00067C66"/>
    <w:rsid w:val="000701AC"/>
    <w:rsid w:val="00073974"/>
    <w:rsid w:val="00073A08"/>
    <w:rsid w:val="0007417C"/>
    <w:rsid w:val="00074884"/>
    <w:rsid w:val="00075B87"/>
    <w:rsid w:val="00076A0C"/>
    <w:rsid w:val="0008089F"/>
    <w:rsid w:val="00081B52"/>
    <w:rsid w:val="00083B12"/>
    <w:rsid w:val="0008534F"/>
    <w:rsid w:val="00086538"/>
    <w:rsid w:val="000865CC"/>
    <w:rsid w:val="00086ABC"/>
    <w:rsid w:val="00086D99"/>
    <w:rsid w:val="000904F4"/>
    <w:rsid w:val="0009293D"/>
    <w:rsid w:val="00093B2D"/>
    <w:rsid w:val="00093DC7"/>
    <w:rsid w:val="00094087"/>
    <w:rsid w:val="0009457D"/>
    <w:rsid w:val="00096B09"/>
    <w:rsid w:val="00097413"/>
    <w:rsid w:val="000A0AF1"/>
    <w:rsid w:val="000A210A"/>
    <w:rsid w:val="000A3CF2"/>
    <w:rsid w:val="000A66C7"/>
    <w:rsid w:val="000A702A"/>
    <w:rsid w:val="000A752D"/>
    <w:rsid w:val="000A7A21"/>
    <w:rsid w:val="000B015E"/>
    <w:rsid w:val="000B125A"/>
    <w:rsid w:val="000B29D3"/>
    <w:rsid w:val="000B2FED"/>
    <w:rsid w:val="000B3EB9"/>
    <w:rsid w:val="000B44CD"/>
    <w:rsid w:val="000C09D4"/>
    <w:rsid w:val="000C0C99"/>
    <w:rsid w:val="000C46A9"/>
    <w:rsid w:val="000C6732"/>
    <w:rsid w:val="000D0595"/>
    <w:rsid w:val="000D0688"/>
    <w:rsid w:val="000D0B7C"/>
    <w:rsid w:val="000D0D86"/>
    <w:rsid w:val="000D117E"/>
    <w:rsid w:val="000D1B9E"/>
    <w:rsid w:val="000D4C47"/>
    <w:rsid w:val="000D576C"/>
    <w:rsid w:val="000D7303"/>
    <w:rsid w:val="000D75EA"/>
    <w:rsid w:val="000D7DE3"/>
    <w:rsid w:val="000E058A"/>
    <w:rsid w:val="000E0D0A"/>
    <w:rsid w:val="000E1FC6"/>
    <w:rsid w:val="000E39AC"/>
    <w:rsid w:val="000E40C5"/>
    <w:rsid w:val="000E5776"/>
    <w:rsid w:val="000F185C"/>
    <w:rsid w:val="000F1F5E"/>
    <w:rsid w:val="000F2D8F"/>
    <w:rsid w:val="000F3858"/>
    <w:rsid w:val="000F3B3C"/>
    <w:rsid w:val="000F4C10"/>
    <w:rsid w:val="000F50AE"/>
    <w:rsid w:val="000F5A29"/>
    <w:rsid w:val="000F638E"/>
    <w:rsid w:val="000F679A"/>
    <w:rsid w:val="000F7853"/>
    <w:rsid w:val="000F7BD2"/>
    <w:rsid w:val="0010041F"/>
    <w:rsid w:val="00100D02"/>
    <w:rsid w:val="00101DCB"/>
    <w:rsid w:val="00102534"/>
    <w:rsid w:val="00104A77"/>
    <w:rsid w:val="0010506D"/>
    <w:rsid w:val="00106674"/>
    <w:rsid w:val="0010725B"/>
    <w:rsid w:val="00107746"/>
    <w:rsid w:val="00107FCC"/>
    <w:rsid w:val="00110B6E"/>
    <w:rsid w:val="00112013"/>
    <w:rsid w:val="00112400"/>
    <w:rsid w:val="0011248F"/>
    <w:rsid w:val="00112C34"/>
    <w:rsid w:val="00114751"/>
    <w:rsid w:val="00116BEC"/>
    <w:rsid w:val="00120D19"/>
    <w:rsid w:val="00121006"/>
    <w:rsid w:val="00122DA2"/>
    <w:rsid w:val="00124AD8"/>
    <w:rsid w:val="0012522D"/>
    <w:rsid w:val="001253B0"/>
    <w:rsid w:val="00125616"/>
    <w:rsid w:val="001263CD"/>
    <w:rsid w:val="00127F98"/>
    <w:rsid w:val="00130B7F"/>
    <w:rsid w:val="001325FF"/>
    <w:rsid w:val="00133398"/>
    <w:rsid w:val="00133C09"/>
    <w:rsid w:val="00135911"/>
    <w:rsid w:val="00135C10"/>
    <w:rsid w:val="001370B6"/>
    <w:rsid w:val="001375E2"/>
    <w:rsid w:val="0014200C"/>
    <w:rsid w:val="001430E3"/>
    <w:rsid w:val="00143616"/>
    <w:rsid w:val="00144105"/>
    <w:rsid w:val="00144F27"/>
    <w:rsid w:val="001455F1"/>
    <w:rsid w:val="0014570A"/>
    <w:rsid w:val="001457A7"/>
    <w:rsid w:val="001463CA"/>
    <w:rsid w:val="00147D0F"/>
    <w:rsid w:val="001507F8"/>
    <w:rsid w:val="00150D49"/>
    <w:rsid w:val="00152311"/>
    <w:rsid w:val="00152DD2"/>
    <w:rsid w:val="001534D8"/>
    <w:rsid w:val="001540AC"/>
    <w:rsid w:val="001562CE"/>
    <w:rsid w:val="00157D57"/>
    <w:rsid w:val="0016198D"/>
    <w:rsid w:val="00161C64"/>
    <w:rsid w:val="00162D52"/>
    <w:rsid w:val="001630D3"/>
    <w:rsid w:val="00163EC5"/>
    <w:rsid w:val="00164940"/>
    <w:rsid w:val="001650A6"/>
    <w:rsid w:val="00166901"/>
    <w:rsid w:val="00166F49"/>
    <w:rsid w:val="001670A7"/>
    <w:rsid w:val="00170E43"/>
    <w:rsid w:val="0017128B"/>
    <w:rsid w:val="001715AE"/>
    <w:rsid w:val="00172A27"/>
    <w:rsid w:val="00173CBC"/>
    <w:rsid w:val="00174F2E"/>
    <w:rsid w:val="0017636A"/>
    <w:rsid w:val="00177602"/>
    <w:rsid w:val="001802B9"/>
    <w:rsid w:val="0018030E"/>
    <w:rsid w:val="001803CC"/>
    <w:rsid w:val="00181543"/>
    <w:rsid w:val="00183C84"/>
    <w:rsid w:val="00183D97"/>
    <w:rsid w:val="0018404B"/>
    <w:rsid w:val="00185FDA"/>
    <w:rsid w:val="0018702C"/>
    <w:rsid w:val="00187635"/>
    <w:rsid w:val="00190D76"/>
    <w:rsid w:val="001910BA"/>
    <w:rsid w:val="00192C15"/>
    <w:rsid w:val="00195EB7"/>
    <w:rsid w:val="0019631D"/>
    <w:rsid w:val="00196C6A"/>
    <w:rsid w:val="00197DA0"/>
    <w:rsid w:val="00197DD0"/>
    <w:rsid w:val="001A1BF3"/>
    <w:rsid w:val="001A276C"/>
    <w:rsid w:val="001A2EA3"/>
    <w:rsid w:val="001A3B2D"/>
    <w:rsid w:val="001A3E5D"/>
    <w:rsid w:val="001A3E85"/>
    <w:rsid w:val="001A4B34"/>
    <w:rsid w:val="001A53D1"/>
    <w:rsid w:val="001A7325"/>
    <w:rsid w:val="001A73AD"/>
    <w:rsid w:val="001B01A0"/>
    <w:rsid w:val="001B099F"/>
    <w:rsid w:val="001B1662"/>
    <w:rsid w:val="001B1C4D"/>
    <w:rsid w:val="001B1D43"/>
    <w:rsid w:val="001B2AEF"/>
    <w:rsid w:val="001B2DFC"/>
    <w:rsid w:val="001B3BD1"/>
    <w:rsid w:val="001B41EB"/>
    <w:rsid w:val="001B4486"/>
    <w:rsid w:val="001B44A4"/>
    <w:rsid w:val="001B487B"/>
    <w:rsid w:val="001B4A0C"/>
    <w:rsid w:val="001B51ED"/>
    <w:rsid w:val="001B733B"/>
    <w:rsid w:val="001B79EE"/>
    <w:rsid w:val="001C0FD4"/>
    <w:rsid w:val="001C1B83"/>
    <w:rsid w:val="001C212C"/>
    <w:rsid w:val="001C3AB4"/>
    <w:rsid w:val="001C6892"/>
    <w:rsid w:val="001C68A2"/>
    <w:rsid w:val="001C70EB"/>
    <w:rsid w:val="001C728A"/>
    <w:rsid w:val="001C7F78"/>
    <w:rsid w:val="001D053A"/>
    <w:rsid w:val="001D0E44"/>
    <w:rsid w:val="001D1A9E"/>
    <w:rsid w:val="001D1E05"/>
    <w:rsid w:val="001D3669"/>
    <w:rsid w:val="001D38FD"/>
    <w:rsid w:val="001D3DD5"/>
    <w:rsid w:val="001D3E07"/>
    <w:rsid w:val="001D3E76"/>
    <w:rsid w:val="001D411C"/>
    <w:rsid w:val="001D45EF"/>
    <w:rsid w:val="001D6160"/>
    <w:rsid w:val="001D6C37"/>
    <w:rsid w:val="001D750A"/>
    <w:rsid w:val="001E0033"/>
    <w:rsid w:val="001E04BE"/>
    <w:rsid w:val="001E0C1A"/>
    <w:rsid w:val="001E4BCA"/>
    <w:rsid w:val="001E5302"/>
    <w:rsid w:val="001E54D2"/>
    <w:rsid w:val="001E6805"/>
    <w:rsid w:val="001E69CA"/>
    <w:rsid w:val="001E79C8"/>
    <w:rsid w:val="001F0224"/>
    <w:rsid w:val="001F1EC5"/>
    <w:rsid w:val="001F242F"/>
    <w:rsid w:val="001F413A"/>
    <w:rsid w:val="001F4672"/>
    <w:rsid w:val="001F48F8"/>
    <w:rsid w:val="001F49E8"/>
    <w:rsid w:val="001F71A2"/>
    <w:rsid w:val="002000DB"/>
    <w:rsid w:val="00202708"/>
    <w:rsid w:val="00202F70"/>
    <w:rsid w:val="00203978"/>
    <w:rsid w:val="00205ADF"/>
    <w:rsid w:val="002071B7"/>
    <w:rsid w:val="00210570"/>
    <w:rsid w:val="00211781"/>
    <w:rsid w:val="002134D0"/>
    <w:rsid w:val="00213C70"/>
    <w:rsid w:val="002161B6"/>
    <w:rsid w:val="00220CBE"/>
    <w:rsid w:val="0022279D"/>
    <w:rsid w:val="00222F07"/>
    <w:rsid w:val="00224150"/>
    <w:rsid w:val="00225783"/>
    <w:rsid w:val="00226430"/>
    <w:rsid w:val="00227762"/>
    <w:rsid w:val="00230885"/>
    <w:rsid w:val="00230FA9"/>
    <w:rsid w:val="0023113E"/>
    <w:rsid w:val="0023262D"/>
    <w:rsid w:val="002337D2"/>
    <w:rsid w:val="0023421D"/>
    <w:rsid w:val="00235271"/>
    <w:rsid w:val="0023773C"/>
    <w:rsid w:val="00240438"/>
    <w:rsid w:val="00243911"/>
    <w:rsid w:val="002454AC"/>
    <w:rsid w:val="002455E4"/>
    <w:rsid w:val="002461BD"/>
    <w:rsid w:val="00246B8E"/>
    <w:rsid w:val="00247598"/>
    <w:rsid w:val="002506CB"/>
    <w:rsid w:val="00251158"/>
    <w:rsid w:val="002511A8"/>
    <w:rsid w:val="00251CFA"/>
    <w:rsid w:val="00251ED9"/>
    <w:rsid w:val="00252CB4"/>
    <w:rsid w:val="00254CFB"/>
    <w:rsid w:val="00254E0B"/>
    <w:rsid w:val="00256806"/>
    <w:rsid w:val="00260585"/>
    <w:rsid w:val="00260CA9"/>
    <w:rsid w:val="00261129"/>
    <w:rsid w:val="0026118C"/>
    <w:rsid w:val="002623DC"/>
    <w:rsid w:val="00262A17"/>
    <w:rsid w:val="0026313F"/>
    <w:rsid w:val="00263646"/>
    <w:rsid w:val="00263B7C"/>
    <w:rsid w:val="0026451F"/>
    <w:rsid w:val="00265C9C"/>
    <w:rsid w:val="0026615E"/>
    <w:rsid w:val="00266BB2"/>
    <w:rsid w:val="00266F8A"/>
    <w:rsid w:val="0026782E"/>
    <w:rsid w:val="00267B5D"/>
    <w:rsid w:val="00267F2C"/>
    <w:rsid w:val="00267F50"/>
    <w:rsid w:val="002706EB"/>
    <w:rsid w:val="00270BE5"/>
    <w:rsid w:val="002722A1"/>
    <w:rsid w:val="002730BD"/>
    <w:rsid w:val="002730D0"/>
    <w:rsid w:val="00275059"/>
    <w:rsid w:val="00275309"/>
    <w:rsid w:val="00276122"/>
    <w:rsid w:val="0027784E"/>
    <w:rsid w:val="00277F3F"/>
    <w:rsid w:val="002804BC"/>
    <w:rsid w:val="00281D79"/>
    <w:rsid w:val="00282183"/>
    <w:rsid w:val="00284A42"/>
    <w:rsid w:val="00284AAB"/>
    <w:rsid w:val="00291C00"/>
    <w:rsid w:val="00292B60"/>
    <w:rsid w:val="002937C3"/>
    <w:rsid w:val="00293A69"/>
    <w:rsid w:val="002960A6"/>
    <w:rsid w:val="002971F7"/>
    <w:rsid w:val="00297CE4"/>
    <w:rsid w:val="002A0CDC"/>
    <w:rsid w:val="002A1B69"/>
    <w:rsid w:val="002A4BA3"/>
    <w:rsid w:val="002A550C"/>
    <w:rsid w:val="002B0564"/>
    <w:rsid w:val="002B101E"/>
    <w:rsid w:val="002B234F"/>
    <w:rsid w:val="002B26B6"/>
    <w:rsid w:val="002B3523"/>
    <w:rsid w:val="002B3932"/>
    <w:rsid w:val="002B55AB"/>
    <w:rsid w:val="002B6421"/>
    <w:rsid w:val="002B65CA"/>
    <w:rsid w:val="002B6CF8"/>
    <w:rsid w:val="002B7CD1"/>
    <w:rsid w:val="002C0240"/>
    <w:rsid w:val="002C0ED4"/>
    <w:rsid w:val="002C123D"/>
    <w:rsid w:val="002C1C4B"/>
    <w:rsid w:val="002C24FD"/>
    <w:rsid w:val="002C2A14"/>
    <w:rsid w:val="002C4302"/>
    <w:rsid w:val="002C441C"/>
    <w:rsid w:val="002C63AB"/>
    <w:rsid w:val="002D07D1"/>
    <w:rsid w:val="002D0B46"/>
    <w:rsid w:val="002D1ECF"/>
    <w:rsid w:val="002D281D"/>
    <w:rsid w:val="002D2F1F"/>
    <w:rsid w:val="002D5099"/>
    <w:rsid w:val="002D6990"/>
    <w:rsid w:val="002D6C9D"/>
    <w:rsid w:val="002D77EC"/>
    <w:rsid w:val="002E0BD0"/>
    <w:rsid w:val="002E108B"/>
    <w:rsid w:val="002E1FE6"/>
    <w:rsid w:val="002E34FF"/>
    <w:rsid w:val="002E48A0"/>
    <w:rsid w:val="002E5B6A"/>
    <w:rsid w:val="002F1D69"/>
    <w:rsid w:val="002F516C"/>
    <w:rsid w:val="002F55EF"/>
    <w:rsid w:val="002F67B4"/>
    <w:rsid w:val="002F7B19"/>
    <w:rsid w:val="002F7CC1"/>
    <w:rsid w:val="00300215"/>
    <w:rsid w:val="0030047E"/>
    <w:rsid w:val="003019F1"/>
    <w:rsid w:val="0030261F"/>
    <w:rsid w:val="003037DF"/>
    <w:rsid w:val="00304604"/>
    <w:rsid w:val="00304829"/>
    <w:rsid w:val="00305147"/>
    <w:rsid w:val="00305395"/>
    <w:rsid w:val="003054E5"/>
    <w:rsid w:val="00305906"/>
    <w:rsid w:val="003060E3"/>
    <w:rsid w:val="00311537"/>
    <w:rsid w:val="00312B06"/>
    <w:rsid w:val="00313481"/>
    <w:rsid w:val="0031639D"/>
    <w:rsid w:val="00316639"/>
    <w:rsid w:val="003219BF"/>
    <w:rsid w:val="00323187"/>
    <w:rsid w:val="00324114"/>
    <w:rsid w:val="00324BAB"/>
    <w:rsid w:val="0032635F"/>
    <w:rsid w:val="003273BB"/>
    <w:rsid w:val="00327CBF"/>
    <w:rsid w:val="003303E5"/>
    <w:rsid w:val="00331F15"/>
    <w:rsid w:val="003327B1"/>
    <w:rsid w:val="00332A65"/>
    <w:rsid w:val="003343A0"/>
    <w:rsid w:val="00334B17"/>
    <w:rsid w:val="00335149"/>
    <w:rsid w:val="0033583A"/>
    <w:rsid w:val="00336822"/>
    <w:rsid w:val="0033784E"/>
    <w:rsid w:val="00340062"/>
    <w:rsid w:val="00340E46"/>
    <w:rsid w:val="003411AC"/>
    <w:rsid w:val="00341685"/>
    <w:rsid w:val="00341E67"/>
    <w:rsid w:val="00343924"/>
    <w:rsid w:val="003458A6"/>
    <w:rsid w:val="003464C4"/>
    <w:rsid w:val="003476C3"/>
    <w:rsid w:val="00352CD1"/>
    <w:rsid w:val="00352ECB"/>
    <w:rsid w:val="00354FD2"/>
    <w:rsid w:val="00355144"/>
    <w:rsid w:val="003562F5"/>
    <w:rsid w:val="0035755B"/>
    <w:rsid w:val="00361793"/>
    <w:rsid w:val="00362417"/>
    <w:rsid w:val="003643AF"/>
    <w:rsid w:val="00364E83"/>
    <w:rsid w:val="00365914"/>
    <w:rsid w:val="0036671E"/>
    <w:rsid w:val="003700CB"/>
    <w:rsid w:val="00370AFE"/>
    <w:rsid w:val="003714E1"/>
    <w:rsid w:val="00372CCE"/>
    <w:rsid w:val="0037329C"/>
    <w:rsid w:val="003777C2"/>
    <w:rsid w:val="0037784A"/>
    <w:rsid w:val="00377EF4"/>
    <w:rsid w:val="00380EC1"/>
    <w:rsid w:val="0038192E"/>
    <w:rsid w:val="003829BA"/>
    <w:rsid w:val="00384176"/>
    <w:rsid w:val="00384E36"/>
    <w:rsid w:val="00384FA9"/>
    <w:rsid w:val="0038582A"/>
    <w:rsid w:val="0038643F"/>
    <w:rsid w:val="00387B6A"/>
    <w:rsid w:val="00390B95"/>
    <w:rsid w:val="00391943"/>
    <w:rsid w:val="00391B07"/>
    <w:rsid w:val="003941DB"/>
    <w:rsid w:val="00395C81"/>
    <w:rsid w:val="003963D6"/>
    <w:rsid w:val="00396C2C"/>
    <w:rsid w:val="00396FDC"/>
    <w:rsid w:val="003970D5"/>
    <w:rsid w:val="0039790A"/>
    <w:rsid w:val="003A06C5"/>
    <w:rsid w:val="003A100F"/>
    <w:rsid w:val="003A1010"/>
    <w:rsid w:val="003A12A8"/>
    <w:rsid w:val="003A1648"/>
    <w:rsid w:val="003A1670"/>
    <w:rsid w:val="003A22E8"/>
    <w:rsid w:val="003A237B"/>
    <w:rsid w:val="003A2E18"/>
    <w:rsid w:val="003A3284"/>
    <w:rsid w:val="003A3B8F"/>
    <w:rsid w:val="003A434A"/>
    <w:rsid w:val="003A473D"/>
    <w:rsid w:val="003A4B3D"/>
    <w:rsid w:val="003A4D22"/>
    <w:rsid w:val="003A5932"/>
    <w:rsid w:val="003A5E5D"/>
    <w:rsid w:val="003B0891"/>
    <w:rsid w:val="003B20AE"/>
    <w:rsid w:val="003B31C6"/>
    <w:rsid w:val="003B3E52"/>
    <w:rsid w:val="003B47BF"/>
    <w:rsid w:val="003B53DB"/>
    <w:rsid w:val="003B6482"/>
    <w:rsid w:val="003B73E2"/>
    <w:rsid w:val="003B76FC"/>
    <w:rsid w:val="003C01E6"/>
    <w:rsid w:val="003C0955"/>
    <w:rsid w:val="003C09ED"/>
    <w:rsid w:val="003C16F2"/>
    <w:rsid w:val="003C20F2"/>
    <w:rsid w:val="003C3984"/>
    <w:rsid w:val="003C41C0"/>
    <w:rsid w:val="003C4951"/>
    <w:rsid w:val="003C5351"/>
    <w:rsid w:val="003C5869"/>
    <w:rsid w:val="003C5A9D"/>
    <w:rsid w:val="003D26CE"/>
    <w:rsid w:val="003D35ED"/>
    <w:rsid w:val="003D3837"/>
    <w:rsid w:val="003D417D"/>
    <w:rsid w:val="003D4CEC"/>
    <w:rsid w:val="003D501B"/>
    <w:rsid w:val="003D58FF"/>
    <w:rsid w:val="003D692C"/>
    <w:rsid w:val="003E1B5D"/>
    <w:rsid w:val="003E20C7"/>
    <w:rsid w:val="003E28FD"/>
    <w:rsid w:val="003E3973"/>
    <w:rsid w:val="003E5692"/>
    <w:rsid w:val="003E6D60"/>
    <w:rsid w:val="003F044D"/>
    <w:rsid w:val="003F068A"/>
    <w:rsid w:val="003F26BD"/>
    <w:rsid w:val="003F5485"/>
    <w:rsid w:val="003F5DC2"/>
    <w:rsid w:val="003F784F"/>
    <w:rsid w:val="0040093B"/>
    <w:rsid w:val="00400C06"/>
    <w:rsid w:val="00402B3C"/>
    <w:rsid w:val="004033B2"/>
    <w:rsid w:val="00403B47"/>
    <w:rsid w:val="0040709A"/>
    <w:rsid w:val="004070F6"/>
    <w:rsid w:val="00407130"/>
    <w:rsid w:val="00407994"/>
    <w:rsid w:val="00410512"/>
    <w:rsid w:val="00411BE3"/>
    <w:rsid w:val="004133C6"/>
    <w:rsid w:val="00415718"/>
    <w:rsid w:val="004168E2"/>
    <w:rsid w:val="00416FB6"/>
    <w:rsid w:val="00416FC8"/>
    <w:rsid w:val="00422561"/>
    <w:rsid w:val="00424343"/>
    <w:rsid w:val="0042672D"/>
    <w:rsid w:val="00426B42"/>
    <w:rsid w:val="00426C35"/>
    <w:rsid w:val="00426FCB"/>
    <w:rsid w:val="00430B08"/>
    <w:rsid w:val="00432BC1"/>
    <w:rsid w:val="0043390E"/>
    <w:rsid w:val="00434248"/>
    <w:rsid w:val="004362B0"/>
    <w:rsid w:val="0043754B"/>
    <w:rsid w:val="004401F4"/>
    <w:rsid w:val="00443708"/>
    <w:rsid w:val="00443857"/>
    <w:rsid w:val="00443DA9"/>
    <w:rsid w:val="00444B85"/>
    <w:rsid w:val="00444E7D"/>
    <w:rsid w:val="00446163"/>
    <w:rsid w:val="00446341"/>
    <w:rsid w:val="004469CD"/>
    <w:rsid w:val="00450D9E"/>
    <w:rsid w:val="00451D20"/>
    <w:rsid w:val="0045239D"/>
    <w:rsid w:val="00452FE7"/>
    <w:rsid w:val="0045334C"/>
    <w:rsid w:val="004538EC"/>
    <w:rsid w:val="004548F3"/>
    <w:rsid w:val="00455046"/>
    <w:rsid w:val="00455070"/>
    <w:rsid w:val="00456323"/>
    <w:rsid w:val="00456E29"/>
    <w:rsid w:val="00457FD2"/>
    <w:rsid w:val="004638E0"/>
    <w:rsid w:val="00463CCC"/>
    <w:rsid w:val="00463E08"/>
    <w:rsid w:val="004652FB"/>
    <w:rsid w:val="0046725C"/>
    <w:rsid w:val="00467B6C"/>
    <w:rsid w:val="0047241C"/>
    <w:rsid w:val="004731D5"/>
    <w:rsid w:val="00473599"/>
    <w:rsid w:val="00475EF0"/>
    <w:rsid w:val="0047622D"/>
    <w:rsid w:val="00476FB9"/>
    <w:rsid w:val="00481135"/>
    <w:rsid w:val="00481A0E"/>
    <w:rsid w:val="00481B41"/>
    <w:rsid w:val="00481C68"/>
    <w:rsid w:val="00483001"/>
    <w:rsid w:val="004860B9"/>
    <w:rsid w:val="0048714A"/>
    <w:rsid w:val="00487966"/>
    <w:rsid w:val="00490959"/>
    <w:rsid w:val="00493C12"/>
    <w:rsid w:val="00497471"/>
    <w:rsid w:val="00497877"/>
    <w:rsid w:val="004A2A8A"/>
    <w:rsid w:val="004A2CDD"/>
    <w:rsid w:val="004A32D7"/>
    <w:rsid w:val="004A343C"/>
    <w:rsid w:val="004A3534"/>
    <w:rsid w:val="004A371A"/>
    <w:rsid w:val="004A44A8"/>
    <w:rsid w:val="004A52E4"/>
    <w:rsid w:val="004A7428"/>
    <w:rsid w:val="004A7EF2"/>
    <w:rsid w:val="004B1B79"/>
    <w:rsid w:val="004B40B3"/>
    <w:rsid w:val="004B47F9"/>
    <w:rsid w:val="004B4A23"/>
    <w:rsid w:val="004B6068"/>
    <w:rsid w:val="004B6C36"/>
    <w:rsid w:val="004B6DFD"/>
    <w:rsid w:val="004B7578"/>
    <w:rsid w:val="004B773D"/>
    <w:rsid w:val="004C03DD"/>
    <w:rsid w:val="004C073B"/>
    <w:rsid w:val="004C1B69"/>
    <w:rsid w:val="004C2FA9"/>
    <w:rsid w:val="004C4446"/>
    <w:rsid w:val="004C5497"/>
    <w:rsid w:val="004C5F9B"/>
    <w:rsid w:val="004D0082"/>
    <w:rsid w:val="004D3AD0"/>
    <w:rsid w:val="004D4211"/>
    <w:rsid w:val="004D4737"/>
    <w:rsid w:val="004D4ACA"/>
    <w:rsid w:val="004D602A"/>
    <w:rsid w:val="004D647F"/>
    <w:rsid w:val="004E04A5"/>
    <w:rsid w:val="004E211A"/>
    <w:rsid w:val="004E345A"/>
    <w:rsid w:val="004E347A"/>
    <w:rsid w:val="004E4017"/>
    <w:rsid w:val="004E42C3"/>
    <w:rsid w:val="004E5AA5"/>
    <w:rsid w:val="004E613B"/>
    <w:rsid w:val="004E6DC2"/>
    <w:rsid w:val="004E6F76"/>
    <w:rsid w:val="004E779C"/>
    <w:rsid w:val="004F0850"/>
    <w:rsid w:val="004F1A19"/>
    <w:rsid w:val="004F2129"/>
    <w:rsid w:val="004F320E"/>
    <w:rsid w:val="004F4B00"/>
    <w:rsid w:val="004F50C2"/>
    <w:rsid w:val="004F62F0"/>
    <w:rsid w:val="004F7151"/>
    <w:rsid w:val="004F77BC"/>
    <w:rsid w:val="00500C75"/>
    <w:rsid w:val="00501D8F"/>
    <w:rsid w:val="00502EE3"/>
    <w:rsid w:val="00503E9D"/>
    <w:rsid w:val="00507201"/>
    <w:rsid w:val="005107BA"/>
    <w:rsid w:val="0051183B"/>
    <w:rsid w:val="0051248B"/>
    <w:rsid w:val="00513EFC"/>
    <w:rsid w:val="00514028"/>
    <w:rsid w:val="00515450"/>
    <w:rsid w:val="005167C2"/>
    <w:rsid w:val="00522D65"/>
    <w:rsid w:val="005230F5"/>
    <w:rsid w:val="005243DF"/>
    <w:rsid w:val="00524403"/>
    <w:rsid w:val="00524D02"/>
    <w:rsid w:val="00525B32"/>
    <w:rsid w:val="00526E23"/>
    <w:rsid w:val="00526EA5"/>
    <w:rsid w:val="00527E35"/>
    <w:rsid w:val="005314DD"/>
    <w:rsid w:val="00531A34"/>
    <w:rsid w:val="0053201F"/>
    <w:rsid w:val="00532806"/>
    <w:rsid w:val="005340ED"/>
    <w:rsid w:val="00535FEE"/>
    <w:rsid w:val="005360F1"/>
    <w:rsid w:val="00537853"/>
    <w:rsid w:val="005408BD"/>
    <w:rsid w:val="00540C79"/>
    <w:rsid w:val="00540CEF"/>
    <w:rsid w:val="005414DB"/>
    <w:rsid w:val="005418D1"/>
    <w:rsid w:val="00541F69"/>
    <w:rsid w:val="0054286B"/>
    <w:rsid w:val="00543166"/>
    <w:rsid w:val="005431C2"/>
    <w:rsid w:val="00544489"/>
    <w:rsid w:val="005449F4"/>
    <w:rsid w:val="00545DB4"/>
    <w:rsid w:val="005461A6"/>
    <w:rsid w:val="005466AB"/>
    <w:rsid w:val="00546F8C"/>
    <w:rsid w:val="00547184"/>
    <w:rsid w:val="0054726C"/>
    <w:rsid w:val="00551E29"/>
    <w:rsid w:val="00553598"/>
    <w:rsid w:val="00553749"/>
    <w:rsid w:val="00553A5E"/>
    <w:rsid w:val="00553AB7"/>
    <w:rsid w:val="00562E63"/>
    <w:rsid w:val="00563E9E"/>
    <w:rsid w:val="0056532D"/>
    <w:rsid w:val="0056533E"/>
    <w:rsid w:val="00566956"/>
    <w:rsid w:val="00566F54"/>
    <w:rsid w:val="00566F78"/>
    <w:rsid w:val="00567B02"/>
    <w:rsid w:val="00570A80"/>
    <w:rsid w:val="00570DC7"/>
    <w:rsid w:val="00571A31"/>
    <w:rsid w:val="00572BB2"/>
    <w:rsid w:val="00573065"/>
    <w:rsid w:val="00574176"/>
    <w:rsid w:val="00575AAA"/>
    <w:rsid w:val="00575E3B"/>
    <w:rsid w:val="00576B0C"/>
    <w:rsid w:val="00577BF3"/>
    <w:rsid w:val="0058267D"/>
    <w:rsid w:val="00584158"/>
    <w:rsid w:val="00584816"/>
    <w:rsid w:val="0058492C"/>
    <w:rsid w:val="00585BC9"/>
    <w:rsid w:val="00586173"/>
    <w:rsid w:val="00587C2C"/>
    <w:rsid w:val="0059041D"/>
    <w:rsid w:val="005906CC"/>
    <w:rsid w:val="00591802"/>
    <w:rsid w:val="005935AB"/>
    <w:rsid w:val="00595604"/>
    <w:rsid w:val="005958E1"/>
    <w:rsid w:val="00596204"/>
    <w:rsid w:val="0059722B"/>
    <w:rsid w:val="005A19E0"/>
    <w:rsid w:val="005A246D"/>
    <w:rsid w:val="005A3453"/>
    <w:rsid w:val="005A38DB"/>
    <w:rsid w:val="005A6052"/>
    <w:rsid w:val="005A6254"/>
    <w:rsid w:val="005A7315"/>
    <w:rsid w:val="005B235E"/>
    <w:rsid w:val="005B3202"/>
    <w:rsid w:val="005B384A"/>
    <w:rsid w:val="005B3ED6"/>
    <w:rsid w:val="005B41B1"/>
    <w:rsid w:val="005B6D8C"/>
    <w:rsid w:val="005C06A6"/>
    <w:rsid w:val="005C1A2B"/>
    <w:rsid w:val="005C1E75"/>
    <w:rsid w:val="005C3F57"/>
    <w:rsid w:val="005C3F62"/>
    <w:rsid w:val="005C4665"/>
    <w:rsid w:val="005C52AA"/>
    <w:rsid w:val="005C65D0"/>
    <w:rsid w:val="005D0B38"/>
    <w:rsid w:val="005D46EE"/>
    <w:rsid w:val="005D6468"/>
    <w:rsid w:val="005D65E9"/>
    <w:rsid w:val="005D7E6E"/>
    <w:rsid w:val="005E05D4"/>
    <w:rsid w:val="005E1649"/>
    <w:rsid w:val="005E1F12"/>
    <w:rsid w:val="005E2120"/>
    <w:rsid w:val="005E2A68"/>
    <w:rsid w:val="005E760A"/>
    <w:rsid w:val="005F402D"/>
    <w:rsid w:val="005F4FE6"/>
    <w:rsid w:val="005F5809"/>
    <w:rsid w:val="005F6917"/>
    <w:rsid w:val="005F703C"/>
    <w:rsid w:val="005F7AEF"/>
    <w:rsid w:val="00600426"/>
    <w:rsid w:val="00600D50"/>
    <w:rsid w:val="006014C3"/>
    <w:rsid w:val="00601797"/>
    <w:rsid w:val="00601F62"/>
    <w:rsid w:val="006022FF"/>
    <w:rsid w:val="00603979"/>
    <w:rsid w:val="00603BDE"/>
    <w:rsid w:val="006042A7"/>
    <w:rsid w:val="006046B6"/>
    <w:rsid w:val="00605AA1"/>
    <w:rsid w:val="00606E77"/>
    <w:rsid w:val="00610740"/>
    <w:rsid w:val="00611321"/>
    <w:rsid w:val="00612404"/>
    <w:rsid w:val="00612E1A"/>
    <w:rsid w:val="0061385C"/>
    <w:rsid w:val="00615850"/>
    <w:rsid w:val="0061608B"/>
    <w:rsid w:val="006164B6"/>
    <w:rsid w:val="00617F4C"/>
    <w:rsid w:val="0062085C"/>
    <w:rsid w:val="00620E66"/>
    <w:rsid w:val="0062162E"/>
    <w:rsid w:val="00622504"/>
    <w:rsid w:val="00622746"/>
    <w:rsid w:val="00624B05"/>
    <w:rsid w:val="00634112"/>
    <w:rsid w:val="006354F6"/>
    <w:rsid w:val="0063578F"/>
    <w:rsid w:val="006366E0"/>
    <w:rsid w:val="006368F9"/>
    <w:rsid w:val="006408CC"/>
    <w:rsid w:val="00640BBB"/>
    <w:rsid w:val="006417BB"/>
    <w:rsid w:val="006461DB"/>
    <w:rsid w:val="00646C4D"/>
    <w:rsid w:val="00646CBB"/>
    <w:rsid w:val="0065071B"/>
    <w:rsid w:val="00652F44"/>
    <w:rsid w:val="006536D1"/>
    <w:rsid w:val="006544CF"/>
    <w:rsid w:val="006556F7"/>
    <w:rsid w:val="006576CC"/>
    <w:rsid w:val="00660472"/>
    <w:rsid w:val="00664FDC"/>
    <w:rsid w:val="00666988"/>
    <w:rsid w:val="00666EB8"/>
    <w:rsid w:val="00667D3B"/>
    <w:rsid w:val="006700FC"/>
    <w:rsid w:val="00671B6D"/>
    <w:rsid w:val="00671C1C"/>
    <w:rsid w:val="00671ECC"/>
    <w:rsid w:val="00672134"/>
    <w:rsid w:val="00673C4A"/>
    <w:rsid w:val="006762FF"/>
    <w:rsid w:val="00677257"/>
    <w:rsid w:val="00677837"/>
    <w:rsid w:val="00677AD2"/>
    <w:rsid w:val="00680C94"/>
    <w:rsid w:val="00682CCA"/>
    <w:rsid w:val="00683A4D"/>
    <w:rsid w:val="00684776"/>
    <w:rsid w:val="006870F0"/>
    <w:rsid w:val="00691358"/>
    <w:rsid w:val="00694610"/>
    <w:rsid w:val="006978F0"/>
    <w:rsid w:val="006A037D"/>
    <w:rsid w:val="006A03BC"/>
    <w:rsid w:val="006A3BFA"/>
    <w:rsid w:val="006A3E3F"/>
    <w:rsid w:val="006A51F7"/>
    <w:rsid w:val="006A77C5"/>
    <w:rsid w:val="006B0040"/>
    <w:rsid w:val="006B222A"/>
    <w:rsid w:val="006B4D1C"/>
    <w:rsid w:val="006B5380"/>
    <w:rsid w:val="006B7757"/>
    <w:rsid w:val="006C595C"/>
    <w:rsid w:val="006C6CEA"/>
    <w:rsid w:val="006C7234"/>
    <w:rsid w:val="006D204D"/>
    <w:rsid w:val="006D403E"/>
    <w:rsid w:val="006D4100"/>
    <w:rsid w:val="006D46A8"/>
    <w:rsid w:val="006D5548"/>
    <w:rsid w:val="006D5762"/>
    <w:rsid w:val="006D6064"/>
    <w:rsid w:val="006D7E44"/>
    <w:rsid w:val="006E086D"/>
    <w:rsid w:val="006E10F0"/>
    <w:rsid w:val="006E1632"/>
    <w:rsid w:val="006E1768"/>
    <w:rsid w:val="006E2531"/>
    <w:rsid w:val="006E2F7F"/>
    <w:rsid w:val="006E361E"/>
    <w:rsid w:val="006E45BF"/>
    <w:rsid w:val="006E4EBE"/>
    <w:rsid w:val="006E539D"/>
    <w:rsid w:val="006E55FD"/>
    <w:rsid w:val="006F58EA"/>
    <w:rsid w:val="006F5EF2"/>
    <w:rsid w:val="006F6A2A"/>
    <w:rsid w:val="006F7D5B"/>
    <w:rsid w:val="00703DA5"/>
    <w:rsid w:val="00704A23"/>
    <w:rsid w:val="00705C4F"/>
    <w:rsid w:val="00707D03"/>
    <w:rsid w:val="00711284"/>
    <w:rsid w:val="007112FE"/>
    <w:rsid w:val="00711608"/>
    <w:rsid w:val="00712693"/>
    <w:rsid w:val="007147B6"/>
    <w:rsid w:val="007164F5"/>
    <w:rsid w:val="00720991"/>
    <w:rsid w:val="00720E77"/>
    <w:rsid w:val="007229FD"/>
    <w:rsid w:val="00723A92"/>
    <w:rsid w:val="007262F9"/>
    <w:rsid w:val="0072782A"/>
    <w:rsid w:val="00733496"/>
    <w:rsid w:val="00733F22"/>
    <w:rsid w:val="007353F3"/>
    <w:rsid w:val="00736451"/>
    <w:rsid w:val="007368A0"/>
    <w:rsid w:val="00740D23"/>
    <w:rsid w:val="00741985"/>
    <w:rsid w:val="00741F12"/>
    <w:rsid w:val="00743946"/>
    <w:rsid w:val="00743A3F"/>
    <w:rsid w:val="00744914"/>
    <w:rsid w:val="00744EC8"/>
    <w:rsid w:val="007450BF"/>
    <w:rsid w:val="007476AE"/>
    <w:rsid w:val="00750C0B"/>
    <w:rsid w:val="007513FF"/>
    <w:rsid w:val="00751848"/>
    <w:rsid w:val="00753C1B"/>
    <w:rsid w:val="00753DD3"/>
    <w:rsid w:val="007540CF"/>
    <w:rsid w:val="007545F9"/>
    <w:rsid w:val="007545FA"/>
    <w:rsid w:val="00757DD3"/>
    <w:rsid w:val="00757EF1"/>
    <w:rsid w:val="007632B8"/>
    <w:rsid w:val="00763CAF"/>
    <w:rsid w:val="00765077"/>
    <w:rsid w:val="00766213"/>
    <w:rsid w:val="007667E1"/>
    <w:rsid w:val="00767D7D"/>
    <w:rsid w:val="007729C6"/>
    <w:rsid w:val="007747CC"/>
    <w:rsid w:val="00774FC1"/>
    <w:rsid w:val="0077512A"/>
    <w:rsid w:val="007751D6"/>
    <w:rsid w:val="0077550F"/>
    <w:rsid w:val="007777E2"/>
    <w:rsid w:val="0077799D"/>
    <w:rsid w:val="00777ABD"/>
    <w:rsid w:val="007830FB"/>
    <w:rsid w:val="00784F02"/>
    <w:rsid w:val="00784F3D"/>
    <w:rsid w:val="007854A9"/>
    <w:rsid w:val="00786D8E"/>
    <w:rsid w:val="007913BB"/>
    <w:rsid w:val="00791881"/>
    <w:rsid w:val="00793764"/>
    <w:rsid w:val="007937A3"/>
    <w:rsid w:val="00793CF3"/>
    <w:rsid w:val="00795189"/>
    <w:rsid w:val="00795747"/>
    <w:rsid w:val="00795AEC"/>
    <w:rsid w:val="00797FE6"/>
    <w:rsid w:val="007A10C4"/>
    <w:rsid w:val="007A1BB6"/>
    <w:rsid w:val="007A2243"/>
    <w:rsid w:val="007A3112"/>
    <w:rsid w:val="007A39FD"/>
    <w:rsid w:val="007A4562"/>
    <w:rsid w:val="007A5EFE"/>
    <w:rsid w:val="007A67D6"/>
    <w:rsid w:val="007A7BCD"/>
    <w:rsid w:val="007B1488"/>
    <w:rsid w:val="007B1EA9"/>
    <w:rsid w:val="007B3425"/>
    <w:rsid w:val="007B4DC1"/>
    <w:rsid w:val="007B54C8"/>
    <w:rsid w:val="007B694A"/>
    <w:rsid w:val="007C1538"/>
    <w:rsid w:val="007C1AD6"/>
    <w:rsid w:val="007C2200"/>
    <w:rsid w:val="007C2DEC"/>
    <w:rsid w:val="007C356F"/>
    <w:rsid w:val="007C47C2"/>
    <w:rsid w:val="007C65F7"/>
    <w:rsid w:val="007D05E1"/>
    <w:rsid w:val="007D2221"/>
    <w:rsid w:val="007D2325"/>
    <w:rsid w:val="007D311D"/>
    <w:rsid w:val="007D3411"/>
    <w:rsid w:val="007D5A67"/>
    <w:rsid w:val="007D5AC3"/>
    <w:rsid w:val="007D5B05"/>
    <w:rsid w:val="007E147D"/>
    <w:rsid w:val="007E2E56"/>
    <w:rsid w:val="007E351B"/>
    <w:rsid w:val="007E3C32"/>
    <w:rsid w:val="007E468D"/>
    <w:rsid w:val="007E6011"/>
    <w:rsid w:val="007E73EC"/>
    <w:rsid w:val="007F060B"/>
    <w:rsid w:val="007F29D8"/>
    <w:rsid w:val="007F3279"/>
    <w:rsid w:val="007F380D"/>
    <w:rsid w:val="007F3A88"/>
    <w:rsid w:val="007F4CD7"/>
    <w:rsid w:val="007F555C"/>
    <w:rsid w:val="007F6E61"/>
    <w:rsid w:val="008006DA"/>
    <w:rsid w:val="00800C80"/>
    <w:rsid w:val="00800F36"/>
    <w:rsid w:val="00804895"/>
    <w:rsid w:val="00804ACC"/>
    <w:rsid w:val="00807063"/>
    <w:rsid w:val="008071CE"/>
    <w:rsid w:val="0080732A"/>
    <w:rsid w:val="00810680"/>
    <w:rsid w:val="00811AEB"/>
    <w:rsid w:val="0081255E"/>
    <w:rsid w:val="00813FB1"/>
    <w:rsid w:val="00815F37"/>
    <w:rsid w:val="0081776F"/>
    <w:rsid w:val="00817867"/>
    <w:rsid w:val="00817D2F"/>
    <w:rsid w:val="00821159"/>
    <w:rsid w:val="00821DD0"/>
    <w:rsid w:val="00822EAA"/>
    <w:rsid w:val="00825435"/>
    <w:rsid w:val="00825E83"/>
    <w:rsid w:val="00826EF0"/>
    <w:rsid w:val="00827475"/>
    <w:rsid w:val="00830A93"/>
    <w:rsid w:val="008322DB"/>
    <w:rsid w:val="00832DE9"/>
    <w:rsid w:val="00833803"/>
    <w:rsid w:val="00833C3C"/>
    <w:rsid w:val="00835ECF"/>
    <w:rsid w:val="00836089"/>
    <w:rsid w:val="0083769F"/>
    <w:rsid w:val="00837A4D"/>
    <w:rsid w:val="00837FEA"/>
    <w:rsid w:val="00843207"/>
    <w:rsid w:val="00844310"/>
    <w:rsid w:val="008447D1"/>
    <w:rsid w:val="00847401"/>
    <w:rsid w:val="008479ED"/>
    <w:rsid w:val="00847B33"/>
    <w:rsid w:val="00850046"/>
    <w:rsid w:val="008511B4"/>
    <w:rsid w:val="008511E8"/>
    <w:rsid w:val="00851317"/>
    <w:rsid w:val="00851445"/>
    <w:rsid w:val="00852FE3"/>
    <w:rsid w:val="0085341F"/>
    <w:rsid w:val="0085373B"/>
    <w:rsid w:val="00853E2A"/>
    <w:rsid w:val="00854D8E"/>
    <w:rsid w:val="0085556E"/>
    <w:rsid w:val="008557EA"/>
    <w:rsid w:val="00856462"/>
    <w:rsid w:val="008564FC"/>
    <w:rsid w:val="008576F3"/>
    <w:rsid w:val="00860C16"/>
    <w:rsid w:val="00861789"/>
    <w:rsid w:val="008623F4"/>
    <w:rsid w:val="00863210"/>
    <w:rsid w:val="0086350D"/>
    <w:rsid w:val="00865145"/>
    <w:rsid w:val="00865E41"/>
    <w:rsid w:val="00866AC7"/>
    <w:rsid w:val="0086738D"/>
    <w:rsid w:val="00870A6F"/>
    <w:rsid w:val="00871203"/>
    <w:rsid w:val="0087124F"/>
    <w:rsid w:val="008717A2"/>
    <w:rsid w:val="008717F7"/>
    <w:rsid w:val="00871F20"/>
    <w:rsid w:val="0087310F"/>
    <w:rsid w:val="008768FE"/>
    <w:rsid w:val="00876E80"/>
    <w:rsid w:val="00877219"/>
    <w:rsid w:val="00877D20"/>
    <w:rsid w:val="008802E7"/>
    <w:rsid w:val="0088158F"/>
    <w:rsid w:val="0088159C"/>
    <w:rsid w:val="00881B66"/>
    <w:rsid w:val="00881D97"/>
    <w:rsid w:val="00882BB5"/>
    <w:rsid w:val="00882C24"/>
    <w:rsid w:val="008831EE"/>
    <w:rsid w:val="00883B9B"/>
    <w:rsid w:val="008841CB"/>
    <w:rsid w:val="00884230"/>
    <w:rsid w:val="008844DE"/>
    <w:rsid w:val="008855EB"/>
    <w:rsid w:val="00886EEF"/>
    <w:rsid w:val="00890153"/>
    <w:rsid w:val="0089161D"/>
    <w:rsid w:val="008916D0"/>
    <w:rsid w:val="008921CB"/>
    <w:rsid w:val="00892351"/>
    <w:rsid w:val="00893174"/>
    <w:rsid w:val="00893F8D"/>
    <w:rsid w:val="00896E9F"/>
    <w:rsid w:val="00897EE2"/>
    <w:rsid w:val="008A04EF"/>
    <w:rsid w:val="008A09B7"/>
    <w:rsid w:val="008A1849"/>
    <w:rsid w:val="008A1B79"/>
    <w:rsid w:val="008A1D36"/>
    <w:rsid w:val="008A1E74"/>
    <w:rsid w:val="008A23BB"/>
    <w:rsid w:val="008A30B8"/>
    <w:rsid w:val="008A6712"/>
    <w:rsid w:val="008B1B99"/>
    <w:rsid w:val="008B22B6"/>
    <w:rsid w:val="008B2C6A"/>
    <w:rsid w:val="008B43CF"/>
    <w:rsid w:val="008B43F5"/>
    <w:rsid w:val="008B54DC"/>
    <w:rsid w:val="008B73E1"/>
    <w:rsid w:val="008B7F4B"/>
    <w:rsid w:val="008C09F3"/>
    <w:rsid w:val="008C1422"/>
    <w:rsid w:val="008C1EDE"/>
    <w:rsid w:val="008C26DC"/>
    <w:rsid w:val="008C358C"/>
    <w:rsid w:val="008C37DB"/>
    <w:rsid w:val="008C3CB8"/>
    <w:rsid w:val="008C3F04"/>
    <w:rsid w:val="008C426A"/>
    <w:rsid w:val="008C4B3C"/>
    <w:rsid w:val="008C532E"/>
    <w:rsid w:val="008C5CB4"/>
    <w:rsid w:val="008C7881"/>
    <w:rsid w:val="008D0CC8"/>
    <w:rsid w:val="008D1E7B"/>
    <w:rsid w:val="008D22B0"/>
    <w:rsid w:val="008D23F3"/>
    <w:rsid w:val="008D2ACD"/>
    <w:rsid w:val="008D3425"/>
    <w:rsid w:val="008D3A01"/>
    <w:rsid w:val="008D3C61"/>
    <w:rsid w:val="008D58C5"/>
    <w:rsid w:val="008E13B6"/>
    <w:rsid w:val="008E177B"/>
    <w:rsid w:val="008E2975"/>
    <w:rsid w:val="008E30B4"/>
    <w:rsid w:val="008E3236"/>
    <w:rsid w:val="008E4CE6"/>
    <w:rsid w:val="008F10B4"/>
    <w:rsid w:val="008F1569"/>
    <w:rsid w:val="008F15CB"/>
    <w:rsid w:val="008F2B29"/>
    <w:rsid w:val="008F2E97"/>
    <w:rsid w:val="008F629D"/>
    <w:rsid w:val="00900416"/>
    <w:rsid w:val="00901D53"/>
    <w:rsid w:val="009046CF"/>
    <w:rsid w:val="00910A55"/>
    <w:rsid w:val="00910B67"/>
    <w:rsid w:val="00911041"/>
    <w:rsid w:val="00911627"/>
    <w:rsid w:val="009124A6"/>
    <w:rsid w:val="009127C1"/>
    <w:rsid w:val="00913992"/>
    <w:rsid w:val="00914002"/>
    <w:rsid w:val="009150D3"/>
    <w:rsid w:val="00915292"/>
    <w:rsid w:val="00915554"/>
    <w:rsid w:val="00917BB6"/>
    <w:rsid w:val="00920063"/>
    <w:rsid w:val="00921285"/>
    <w:rsid w:val="00923450"/>
    <w:rsid w:val="00923596"/>
    <w:rsid w:val="00924B3C"/>
    <w:rsid w:val="00924FA5"/>
    <w:rsid w:val="0092589B"/>
    <w:rsid w:val="00926CC1"/>
    <w:rsid w:val="00932C71"/>
    <w:rsid w:val="00933019"/>
    <w:rsid w:val="00933FDE"/>
    <w:rsid w:val="00935E92"/>
    <w:rsid w:val="00940F50"/>
    <w:rsid w:val="00943039"/>
    <w:rsid w:val="0094317F"/>
    <w:rsid w:val="009433DE"/>
    <w:rsid w:val="0094525C"/>
    <w:rsid w:val="00947445"/>
    <w:rsid w:val="00947A5A"/>
    <w:rsid w:val="00951288"/>
    <w:rsid w:val="009516B8"/>
    <w:rsid w:val="009517D9"/>
    <w:rsid w:val="0095185D"/>
    <w:rsid w:val="00952F80"/>
    <w:rsid w:val="0095397A"/>
    <w:rsid w:val="0095424D"/>
    <w:rsid w:val="00960F3B"/>
    <w:rsid w:val="0096277E"/>
    <w:rsid w:val="009631BE"/>
    <w:rsid w:val="00963DFE"/>
    <w:rsid w:val="00963E5A"/>
    <w:rsid w:val="009647CA"/>
    <w:rsid w:val="00965910"/>
    <w:rsid w:val="00965FEE"/>
    <w:rsid w:val="00966D7F"/>
    <w:rsid w:val="0096731E"/>
    <w:rsid w:val="00970BC1"/>
    <w:rsid w:val="00971520"/>
    <w:rsid w:val="00971AF2"/>
    <w:rsid w:val="00973B99"/>
    <w:rsid w:val="009745D3"/>
    <w:rsid w:val="00976F53"/>
    <w:rsid w:val="0097770D"/>
    <w:rsid w:val="00981936"/>
    <w:rsid w:val="00981DCF"/>
    <w:rsid w:val="009835D7"/>
    <w:rsid w:val="0098384F"/>
    <w:rsid w:val="00984488"/>
    <w:rsid w:val="009845ED"/>
    <w:rsid w:val="00984AD9"/>
    <w:rsid w:val="0098603D"/>
    <w:rsid w:val="00987118"/>
    <w:rsid w:val="009907D5"/>
    <w:rsid w:val="009907D6"/>
    <w:rsid w:val="00993010"/>
    <w:rsid w:val="00993147"/>
    <w:rsid w:val="00993635"/>
    <w:rsid w:val="00994092"/>
    <w:rsid w:val="0099525A"/>
    <w:rsid w:val="00995F17"/>
    <w:rsid w:val="00996F33"/>
    <w:rsid w:val="009974AC"/>
    <w:rsid w:val="00997BFA"/>
    <w:rsid w:val="009A05A5"/>
    <w:rsid w:val="009A26F0"/>
    <w:rsid w:val="009A38DA"/>
    <w:rsid w:val="009A5E24"/>
    <w:rsid w:val="009B02DD"/>
    <w:rsid w:val="009B16A9"/>
    <w:rsid w:val="009B1FC8"/>
    <w:rsid w:val="009B39BE"/>
    <w:rsid w:val="009B3B56"/>
    <w:rsid w:val="009B43E6"/>
    <w:rsid w:val="009B4E5D"/>
    <w:rsid w:val="009B58CC"/>
    <w:rsid w:val="009B72C5"/>
    <w:rsid w:val="009B75CA"/>
    <w:rsid w:val="009C225C"/>
    <w:rsid w:val="009C392E"/>
    <w:rsid w:val="009C4BC9"/>
    <w:rsid w:val="009C6681"/>
    <w:rsid w:val="009C6A97"/>
    <w:rsid w:val="009C73FA"/>
    <w:rsid w:val="009D0FE1"/>
    <w:rsid w:val="009D213F"/>
    <w:rsid w:val="009D2E79"/>
    <w:rsid w:val="009D4A4A"/>
    <w:rsid w:val="009D5197"/>
    <w:rsid w:val="009D77CC"/>
    <w:rsid w:val="009E0B61"/>
    <w:rsid w:val="009E367A"/>
    <w:rsid w:val="009E5C45"/>
    <w:rsid w:val="009E6008"/>
    <w:rsid w:val="009E6C20"/>
    <w:rsid w:val="009F0C11"/>
    <w:rsid w:val="009F13BB"/>
    <w:rsid w:val="009F247F"/>
    <w:rsid w:val="009F380F"/>
    <w:rsid w:val="009F3D7C"/>
    <w:rsid w:val="00A00B31"/>
    <w:rsid w:val="00A02E23"/>
    <w:rsid w:val="00A03FC5"/>
    <w:rsid w:val="00A04171"/>
    <w:rsid w:val="00A04EB3"/>
    <w:rsid w:val="00A05F88"/>
    <w:rsid w:val="00A06B9E"/>
    <w:rsid w:val="00A06C1C"/>
    <w:rsid w:val="00A10035"/>
    <w:rsid w:val="00A1057F"/>
    <w:rsid w:val="00A134A8"/>
    <w:rsid w:val="00A150E4"/>
    <w:rsid w:val="00A17F20"/>
    <w:rsid w:val="00A21B06"/>
    <w:rsid w:val="00A21CD3"/>
    <w:rsid w:val="00A22F9A"/>
    <w:rsid w:val="00A23A5F"/>
    <w:rsid w:val="00A24EEC"/>
    <w:rsid w:val="00A26CD0"/>
    <w:rsid w:val="00A27D48"/>
    <w:rsid w:val="00A3179C"/>
    <w:rsid w:val="00A31F08"/>
    <w:rsid w:val="00A33B8C"/>
    <w:rsid w:val="00A33CCF"/>
    <w:rsid w:val="00A34B64"/>
    <w:rsid w:val="00A34F45"/>
    <w:rsid w:val="00A40383"/>
    <w:rsid w:val="00A40AA4"/>
    <w:rsid w:val="00A40D5B"/>
    <w:rsid w:val="00A41804"/>
    <w:rsid w:val="00A41A68"/>
    <w:rsid w:val="00A41BC8"/>
    <w:rsid w:val="00A41E1D"/>
    <w:rsid w:val="00A41EB3"/>
    <w:rsid w:val="00A4427F"/>
    <w:rsid w:val="00A44D94"/>
    <w:rsid w:val="00A455EA"/>
    <w:rsid w:val="00A50095"/>
    <w:rsid w:val="00A53380"/>
    <w:rsid w:val="00A54CA9"/>
    <w:rsid w:val="00A55BEB"/>
    <w:rsid w:val="00A57D33"/>
    <w:rsid w:val="00A6080D"/>
    <w:rsid w:val="00A61AAA"/>
    <w:rsid w:val="00A621E4"/>
    <w:rsid w:val="00A62A27"/>
    <w:rsid w:val="00A62ADD"/>
    <w:rsid w:val="00A630A2"/>
    <w:rsid w:val="00A63DDA"/>
    <w:rsid w:val="00A659AB"/>
    <w:rsid w:val="00A66F1E"/>
    <w:rsid w:val="00A676D1"/>
    <w:rsid w:val="00A67EB9"/>
    <w:rsid w:val="00A72A3D"/>
    <w:rsid w:val="00A73DF5"/>
    <w:rsid w:val="00A74C62"/>
    <w:rsid w:val="00A74CA3"/>
    <w:rsid w:val="00A74CB0"/>
    <w:rsid w:val="00A75609"/>
    <w:rsid w:val="00A77F57"/>
    <w:rsid w:val="00A8184B"/>
    <w:rsid w:val="00A82D85"/>
    <w:rsid w:val="00A82FD7"/>
    <w:rsid w:val="00A8461D"/>
    <w:rsid w:val="00A853C6"/>
    <w:rsid w:val="00A85692"/>
    <w:rsid w:val="00A8653C"/>
    <w:rsid w:val="00A87DF9"/>
    <w:rsid w:val="00A9061A"/>
    <w:rsid w:val="00A92021"/>
    <w:rsid w:val="00A93713"/>
    <w:rsid w:val="00A94027"/>
    <w:rsid w:val="00A94A36"/>
    <w:rsid w:val="00A96BB7"/>
    <w:rsid w:val="00A97140"/>
    <w:rsid w:val="00AA2892"/>
    <w:rsid w:val="00AA2E25"/>
    <w:rsid w:val="00AA35C1"/>
    <w:rsid w:val="00AA36F3"/>
    <w:rsid w:val="00AA3FAA"/>
    <w:rsid w:val="00AA40B9"/>
    <w:rsid w:val="00AA5A75"/>
    <w:rsid w:val="00AA6062"/>
    <w:rsid w:val="00AA629A"/>
    <w:rsid w:val="00AA6DE4"/>
    <w:rsid w:val="00AB1BCF"/>
    <w:rsid w:val="00AB1EA0"/>
    <w:rsid w:val="00AB23EC"/>
    <w:rsid w:val="00AB2F66"/>
    <w:rsid w:val="00AB3D71"/>
    <w:rsid w:val="00AB40BB"/>
    <w:rsid w:val="00AB461C"/>
    <w:rsid w:val="00AB62DA"/>
    <w:rsid w:val="00AB6636"/>
    <w:rsid w:val="00AC022D"/>
    <w:rsid w:val="00AC257A"/>
    <w:rsid w:val="00AC2D35"/>
    <w:rsid w:val="00AC2EAB"/>
    <w:rsid w:val="00AC32E0"/>
    <w:rsid w:val="00AC3D28"/>
    <w:rsid w:val="00AC3D2F"/>
    <w:rsid w:val="00AC55C7"/>
    <w:rsid w:val="00AC57F4"/>
    <w:rsid w:val="00AC5D68"/>
    <w:rsid w:val="00AC6617"/>
    <w:rsid w:val="00AC6676"/>
    <w:rsid w:val="00AC779B"/>
    <w:rsid w:val="00AD0326"/>
    <w:rsid w:val="00AD0C26"/>
    <w:rsid w:val="00AD206E"/>
    <w:rsid w:val="00AD329F"/>
    <w:rsid w:val="00AD414C"/>
    <w:rsid w:val="00AD6BA2"/>
    <w:rsid w:val="00AD7ACD"/>
    <w:rsid w:val="00AE2612"/>
    <w:rsid w:val="00AE5E47"/>
    <w:rsid w:val="00AE68CB"/>
    <w:rsid w:val="00AE72BB"/>
    <w:rsid w:val="00AF1E38"/>
    <w:rsid w:val="00AF2799"/>
    <w:rsid w:val="00AF2BA0"/>
    <w:rsid w:val="00AF2BDC"/>
    <w:rsid w:val="00AF3D15"/>
    <w:rsid w:val="00AF3D61"/>
    <w:rsid w:val="00AF4212"/>
    <w:rsid w:val="00AF4372"/>
    <w:rsid w:val="00AF4AB2"/>
    <w:rsid w:val="00AF534D"/>
    <w:rsid w:val="00B02731"/>
    <w:rsid w:val="00B04348"/>
    <w:rsid w:val="00B06CF8"/>
    <w:rsid w:val="00B07A95"/>
    <w:rsid w:val="00B10358"/>
    <w:rsid w:val="00B11136"/>
    <w:rsid w:val="00B11FFF"/>
    <w:rsid w:val="00B1383B"/>
    <w:rsid w:val="00B143DA"/>
    <w:rsid w:val="00B14BB1"/>
    <w:rsid w:val="00B15396"/>
    <w:rsid w:val="00B15960"/>
    <w:rsid w:val="00B17AF3"/>
    <w:rsid w:val="00B2029F"/>
    <w:rsid w:val="00B2034E"/>
    <w:rsid w:val="00B21D81"/>
    <w:rsid w:val="00B227D9"/>
    <w:rsid w:val="00B24B16"/>
    <w:rsid w:val="00B24D9D"/>
    <w:rsid w:val="00B25380"/>
    <w:rsid w:val="00B25616"/>
    <w:rsid w:val="00B25C81"/>
    <w:rsid w:val="00B266D5"/>
    <w:rsid w:val="00B27250"/>
    <w:rsid w:val="00B30A7F"/>
    <w:rsid w:val="00B31525"/>
    <w:rsid w:val="00B322A8"/>
    <w:rsid w:val="00B32A89"/>
    <w:rsid w:val="00B346A6"/>
    <w:rsid w:val="00B35795"/>
    <w:rsid w:val="00B363B1"/>
    <w:rsid w:val="00B36507"/>
    <w:rsid w:val="00B3672E"/>
    <w:rsid w:val="00B370A1"/>
    <w:rsid w:val="00B43B35"/>
    <w:rsid w:val="00B4462A"/>
    <w:rsid w:val="00B452A4"/>
    <w:rsid w:val="00B45C24"/>
    <w:rsid w:val="00B47A63"/>
    <w:rsid w:val="00B50E95"/>
    <w:rsid w:val="00B52473"/>
    <w:rsid w:val="00B529BD"/>
    <w:rsid w:val="00B55006"/>
    <w:rsid w:val="00B560E8"/>
    <w:rsid w:val="00B56EB1"/>
    <w:rsid w:val="00B57118"/>
    <w:rsid w:val="00B60319"/>
    <w:rsid w:val="00B6216E"/>
    <w:rsid w:val="00B62654"/>
    <w:rsid w:val="00B64D81"/>
    <w:rsid w:val="00B64EB3"/>
    <w:rsid w:val="00B65645"/>
    <w:rsid w:val="00B659C4"/>
    <w:rsid w:val="00B65D03"/>
    <w:rsid w:val="00B67F34"/>
    <w:rsid w:val="00B70FFB"/>
    <w:rsid w:val="00B7258B"/>
    <w:rsid w:val="00B72A9F"/>
    <w:rsid w:val="00B73D31"/>
    <w:rsid w:val="00B74410"/>
    <w:rsid w:val="00B75EBF"/>
    <w:rsid w:val="00B77F13"/>
    <w:rsid w:val="00B80E32"/>
    <w:rsid w:val="00B80ED7"/>
    <w:rsid w:val="00B816C4"/>
    <w:rsid w:val="00B82629"/>
    <w:rsid w:val="00B83E2A"/>
    <w:rsid w:val="00B843D2"/>
    <w:rsid w:val="00B848D6"/>
    <w:rsid w:val="00B917D2"/>
    <w:rsid w:val="00B91A3D"/>
    <w:rsid w:val="00B91CF6"/>
    <w:rsid w:val="00B9275C"/>
    <w:rsid w:val="00B97074"/>
    <w:rsid w:val="00B97E38"/>
    <w:rsid w:val="00B97FEA"/>
    <w:rsid w:val="00BA0536"/>
    <w:rsid w:val="00BA0A76"/>
    <w:rsid w:val="00BA0B26"/>
    <w:rsid w:val="00BA17CA"/>
    <w:rsid w:val="00BA1FE4"/>
    <w:rsid w:val="00BA2398"/>
    <w:rsid w:val="00BA24CC"/>
    <w:rsid w:val="00BA287F"/>
    <w:rsid w:val="00BA2D1E"/>
    <w:rsid w:val="00BA2EA0"/>
    <w:rsid w:val="00BA38E7"/>
    <w:rsid w:val="00BA394E"/>
    <w:rsid w:val="00BA524C"/>
    <w:rsid w:val="00BA5651"/>
    <w:rsid w:val="00BA6FAC"/>
    <w:rsid w:val="00BA792E"/>
    <w:rsid w:val="00BB1905"/>
    <w:rsid w:val="00BB22AD"/>
    <w:rsid w:val="00BB254D"/>
    <w:rsid w:val="00BB2783"/>
    <w:rsid w:val="00BB2F84"/>
    <w:rsid w:val="00BB40FC"/>
    <w:rsid w:val="00BB429F"/>
    <w:rsid w:val="00BB4879"/>
    <w:rsid w:val="00BB4E1C"/>
    <w:rsid w:val="00BB50B9"/>
    <w:rsid w:val="00BB698D"/>
    <w:rsid w:val="00BC1B05"/>
    <w:rsid w:val="00BC2885"/>
    <w:rsid w:val="00BC3672"/>
    <w:rsid w:val="00BC55CA"/>
    <w:rsid w:val="00BC6B9A"/>
    <w:rsid w:val="00BC7037"/>
    <w:rsid w:val="00BC78C8"/>
    <w:rsid w:val="00BD12FA"/>
    <w:rsid w:val="00BD1E76"/>
    <w:rsid w:val="00BD28A9"/>
    <w:rsid w:val="00BD403E"/>
    <w:rsid w:val="00BD605A"/>
    <w:rsid w:val="00BE0218"/>
    <w:rsid w:val="00BE0D2D"/>
    <w:rsid w:val="00BE2497"/>
    <w:rsid w:val="00BE4812"/>
    <w:rsid w:val="00BE4D73"/>
    <w:rsid w:val="00BE5942"/>
    <w:rsid w:val="00BE59BF"/>
    <w:rsid w:val="00BE7695"/>
    <w:rsid w:val="00BE79AF"/>
    <w:rsid w:val="00BF02CD"/>
    <w:rsid w:val="00BF08FA"/>
    <w:rsid w:val="00BF1D12"/>
    <w:rsid w:val="00BF36DC"/>
    <w:rsid w:val="00BF4FD6"/>
    <w:rsid w:val="00C00481"/>
    <w:rsid w:val="00C006DB"/>
    <w:rsid w:val="00C00A4A"/>
    <w:rsid w:val="00C014DD"/>
    <w:rsid w:val="00C02D0F"/>
    <w:rsid w:val="00C036A7"/>
    <w:rsid w:val="00C04F8A"/>
    <w:rsid w:val="00C050EA"/>
    <w:rsid w:val="00C06A6B"/>
    <w:rsid w:val="00C06E51"/>
    <w:rsid w:val="00C079F8"/>
    <w:rsid w:val="00C12BD8"/>
    <w:rsid w:val="00C1397A"/>
    <w:rsid w:val="00C14354"/>
    <w:rsid w:val="00C1681F"/>
    <w:rsid w:val="00C16A5D"/>
    <w:rsid w:val="00C209B6"/>
    <w:rsid w:val="00C2220F"/>
    <w:rsid w:val="00C2236D"/>
    <w:rsid w:val="00C22AD3"/>
    <w:rsid w:val="00C22DDB"/>
    <w:rsid w:val="00C23CC3"/>
    <w:rsid w:val="00C24D24"/>
    <w:rsid w:val="00C24DCE"/>
    <w:rsid w:val="00C2613B"/>
    <w:rsid w:val="00C262DA"/>
    <w:rsid w:val="00C27134"/>
    <w:rsid w:val="00C279C9"/>
    <w:rsid w:val="00C308C4"/>
    <w:rsid w:val="00C30A1B"/>
    <w:rsid w:val="00C3122A"/>
    <w:rsid w:val="00C31247"/>
    <w:rsid w:val="00C317F9"/>
    <w:rsid w:val="00C329F9"/>
    <w:rsid w:val="00C3376A"/>
    <w:rsid w:val="00C3663E"/>
    <w:rsid w:val="00C379D8"/>
    <w:rsid w:val="00C43037"/>
    <w:rsid w:val="00C434E5"/>
    <w:rsid w:val="00C4412C"/>
    <w:rsid w:val="00C4468F"/>
    <w:rsid w:val="00C461B1"/>
    <w:rsid w:val="00C50B77"/>
    <w:rsid w:val="00C5371D"/>
    <w:rsid w:val="00C54232"/>
    <w:rsid w:val="00C54A09"/>
    <w:rsid w:val="00C55A15"/>
    <w:rsid w:val="00C560BD"/>
    <w:rsid w:val="00C56E83"/>
    <w:rsid w:val="00C56EBC"/>
    <w:rsid w:val="00C60930"/>
    <w:rsid w:val="00C6122D"/>
    <w:rsid w:val="00C61C83"/>
    <w:rsid w:val="00C63340"/>
    <w:rsid w:val="00C64D94"/>
    <w:rsid w:val="00C65919"/>
    <w:rsid w:val="00C662E9"/>
    <w:rsid w:val="00C66F4A"/>
    <w:rsid w:val="00C67BCC"/>
    <w:rsid w:val="00C70994"/>
    <w:rsid w:val="00C722AE"/>
    <w:rsid w:val="00C72D31"/>
    <w:rsid w:val="00C74989"/>
    <w:rsid w:val="00C75CDB"/>
    <w:rsid w:val="00C80758"/>
    <w:rsid w:val="00C82DA7"/>
    <w:rsid w:val="00C830A6"/>
    <w:rsid w:val="00C83929"/>
    <w:rsid w:val="00C8612C"/>
    <w:rsid w:val="00C86FB8"/>
    <w:rsid w:val="00C9033F"/>
    <w:rsid w:val="00C913F8"/>
    <w:rsid w:val="00C93746"/>
    <w:rsid w:val="00C93A2F"/>
    <w:rsid w:val="00C957A2"/>
    <w:rsid w:val="00C95DFD"/>
    <w:rsid w:val="00C96505"/>
    <w:rsid w:val="00C96C5B"/>
    <w:rsid w:val="00C96D62"/>
    <w:rsid w:val="00C96F24"/>
    <w:rsid w:val="00C977D6"/>
    <w:rsid w:val="00CA0115"/>
    <w:rsid w:val="00CA0760"/>
    <w:rsid w:val="00CA24EB"/>
    <w:rsid w:val="00CA2D83"/>
    <w:rsid w:val="00CA4143"/>
    <w:rsid w:val="00CA444D"/>
    <w:rsid w:val="00CA4AF7"/>
    <w:rsid w:val="00CA60FB"/>
    <w:rsid w:val="00CA6324"/>
    <w:rsid w:val="00CA680A"/>
    <w:rsid w:val="00CA79D5"/>
    <w:rsid w:val="00CB00E4"/>
    <w:rsid w:val="00CB12EB"/>
    <w:rsid w:val="00CB428A"/>
    <w:rsid w:val="00CB4D9A"/>
    <w:rsid w:val="00CB5609"/>
    <w:rsid w:val="00CB5FD4"/>
    <w:rsid w:val="00CB62B0"/>
    <w:rsid w:val="00CB7768"/>
    <w:rsid w:val="00CC38F3"/>
    <w:rsid w:val="00CC3B34"/>
    <w:rsid w:val="00CC4412"/>
    <w:rsid w:val="00CC57F6"/>
    <w:rsid w:val="00CC5945"/>
    <w:rsid w:val="00CD16C9"/>
    <w:rsid w:val="00CD3A5D"/>
    <w:rsid w:val="00CD3F1E"/>
    <w:rsid w:val="00CD544E"/>
    <w:rsid w:val="00CD5985"/>
    <w:rsid w:val="00CD5BAE"/>
    <w:rsid w:val="00CD6964"/>
    <w:rsid w:val="00CE01CB"/>
    <w:rsid w:val="00CE0A32"/>
    <w:rsid w:val="00CE0CED"/>
    <w:rsid w:val="00CE2992"/>
    <w:rsid w:val="00CE3B70"/>
    <w:rsid w:val="00CE461E"/>
    <w:rsid w:val="00CE55E3"/>
    <w:rsid w:val="00CE5709"/>
    <w:rsid w:val="00CE5BEF"/>
    <w:rsid w:val="00CE7C9F"/>
    <w:rsid w:val="00CF0814"/>
    <w:rsid w:val="00CF0AE9"/>
    <w:rsid w:val="00CF18E1"/>
    <w:rsid w:val="00CF2557"/>
    <w:rsid w:val="00CF70ED"/>
    <w:rsid w:val="00D01877"/>
    <w:rsid w:val="00D01916"/>
    <w:rsid w:val="00D01C72"/>
    <w:rsid w:val="00D040A8"/>
    <w:rsid w:val="00D04E15"/>
    <w:rsid w:val="00D04EC7"/>
    <w:rsid w:val="00D05461"/>
    <w:rsid w:val="00D06BF2"/>
    <w:rsid w:val="00D10113"/>
    <w:rsid w:val="00D10CEA"/>
    <w:rsid w:val="00D13188"/>
    <w:rsid w:val="00D13300"/>
    <w:rsid w:val="00D13326"/>
    <w:rsid w:val="00D13977"/>
    <w:rsid w:val="00D140D1"/>
    <w:rsid w:val="00D1446D"/>
    <w:rsid w:val="00D15FF3"/>
    <w:rsid w:val="00D20E39"/>
    <w:rsid w:val="00D21B8F"/>
    <w:rsid w:val="00D22C59"/>
    <w:rsid w:val="00D22FCD"/>
    <w:rsid w:val="00D23462"/>
    <w:rsid w:val="00D23860"/>
    <w:rsid w:val="00D24DEC"/>
    <w:rsid w:val="00D251F8"/>
    <w:rsid w:val="00D25E23"/>
    <w:rsid w:val="00D26988"/>
    <w:rsid w:val="00D2786A"/>
    <w:rsid w:val="00D305A0"/>
    <w:rsid w:val="00D307BD"/>
    <w:rsid w:val="00D31091"/>
    <w:rsid w:val="00D323BE"/>
    <w:rsid w:val="00D32ED1"/>
    <w:rsid w:val="00D33A02"/>
    <w:rsid w:val="00D34631"/>
    <w:rsid w:val="00D34A5B"/>
    <w:rsid w:val="00D3598F"/>
    <w:rsid w:val="00D37C60"/>
    <w:rsid w:val="00D43B51"/>
    <w:rsid w:val="00D45607"/>
    <w:rsid w:val="00D45B58"/>
    <w:rsid w:val="00D45CF3"/>
    <w:rsid w:val="00D46F94"/>
    <w:rsid w:val="00D47787"/>
    <w:rsid w:val="00D4790E"/>
    <w:rsid w:val="00D4796A"/>
    <w:rsid w:val="00D505E9"/>
    <w:rsid w:val="00D50A18"/>
    <w:rsid w:val="00D50D99"/>
    <w:rsid w:val="00D52819"/>
    <w:rsid w:val="00D528C7"/>
    <w:rsid w:val="00D52BB9"/>
    <w:rsid w:val="00D52CB9"/>
    <w:rsid w:val="00D5459A"/>
    <w:rsid w:val="00D54F00"/>
    <w:rsid w:val="00D56685"/>
    <w:rsid w:val="00D57FD3"/>
    <w:rsid w:val="00D60A90"/>
    <w:rsid w:val="00D624AC"/>
    <w:rsid w:val="00D62895"/>
    <w:rsid w:val="00D6479D"/>
    <w:rsid w:val="00D65A6C"/>
    <w:rsid w:val="00D66243"/>
    <w:rsid w:val="00D66803"/>
    <w:rsid w:val="00D705B1"/>
    <w:rsid w:val="00D71378"/>
    <w:rsid w:val="00D737B1"/>
    <w:rsid w:val="00D75170"/>
    <w:rsid w:val="00D7768C"/>
    <w:rsid w:val="00D81C8C"/>
    <w:rsid w:val="00D82FD0"/>
    <w:rsid w:val="00D83035"/>
    <w:rsid w:val="00D837F4"/>
    <w:rsid w:val="00D8500A"/>
    <w:rsid w:val="00D8689D"/>
    <w:rsid w:val="00D86E25"/>
    <w:rsid w:val="00D90862"/>
    <w:rsid w:val="00D90904"/>
    <w:rsid w:val="00D90AAF"/>
    <w:rsid w:val="00D94F6A"/>
    <w:rsid w:val="00DA0210"/>
    <w:rsid w:val="00DA04BC"/>
    <w:rsid w:val="00DA0B10"/>
    <w:rsid w:val="00DA10AA"/>
    <w:rsid w:val="00DA2161"/>
    <w:rsid w:val="00DA23A2"/>
    <w:rsid w:val="00DA3D1E"/>
    <w:rsid w:val="00DA3FD4"/>
    <w:rsid w:val="00DA41FB"/>
    <w:rsid w:val="00DA431D"/>
    <w:rsid w:val="00DA4550"/>
    <w:rsid w:val="00DA495B"/>
    <w:rsid w:val="00DA5173"/>
    <w:rsid w:val="00DA5CC6"/>
    <w:rsid w:val="00DA75B0"/>
    <w:rsid w:val="00DB0F4F"/>
    <w:rsid w:val="00DB35C5"/>
    <w:rsid w:val="00DB575A"/>
    <w:rsid w:val="00DB68A4"/>
    <w:rsid w:val="00DC0176"/>
    <w:rsid w:val="00DC1949"/>
    <w:rsid w:val="00DC1D3F"/>
    <w:rsid w:val="00DC3009"/>
    <w:rsid w:val="00DC315E"/>
    <w:rsid w:val="00DC3663"/>
    <w:rsid w:val="00DC4948"/>
    <w:rsid w:val="00DD0231"/>
    <w:rsid w:val="00DD0E63"/>
    <w:rsid w:val="00DD143C"/>
    <w:rsid w:val="00DD14AE"/>
    <w:rsid w:val="00DD2A84"/>
    <w:rsid w:val="00DD4C5A"/>
    <w:rsid w:val="00DD4EB3"/>
    <w:rsid w:val="00DD4F47"/>
    <w:rsid w:val="00DD5CF5"/>
    <w:rsid w:val="00DD6365"/>
    <w:rsid w:val="00DD79AA"/>
    <w:rsid w:val="00DE00CA"/>
    <w:rsid w:val="00DE1ACF"/>
    <w:rsid w:val="00DE1EBB"/>
    <w:rsid w:val="00DE3992"/>
    <w:rsid w:val="00DE3EC1"/>
    <w:rsid w:val="00DE5150"/>
    <w:rsid w:val="00DE5E50"/>
    <w:rsid w:val="00DF05CF"/>
    <w:rsid w:val="00DF08F1"/>
    <w:rsid w:val="00DF2A16"/>
    <w:rsid w:val="00DF38D2"/>
    <w:rsid w:val="00DF6589"/>
    <w:rsid w:val="00DF73E5"/>
    <w:rsid w:val="00E02509"/>
    <w:rsid w:val="00E02A3F"/>
    <w:rsid w:val="00E05EFF"/>
    <w:rsid w:val="00E06C33"/>
    <w:rsid w:val="00E07CEF"/>
    <w:rsid w:val="00E07F06"/>
    <w:rsid w:val="00E102B7"/>
    <w:rsid w:val="00E10DB9"/>
    <w:rsid w:val="00E1130D"/>
    <w:rsid w:val="00E142E1"/>
    <w:rsid w:val="00E14CD1"/>
    <w:rsid w:val="00E17E3C"/>
    <w:rsid w:val="00E255B3"/>
    <w:rsid w:val="00E27896"/>
    <w:rsid w:val="00E306F6"/>
    <w:rsid w:val="00E33C13"/>
    <w:rsid w:val="00E3406E"/>
    <w:rsid w:val="00E341D6"/>
    <w:rsid w:val="00E34C66"/>
    <w:rsid w:val="00E35CF4"/>
    <w:rsid w:val="00E41629"/>
    <w:rsid w:val="00E42AA8"/>
    <w:rsid w:val="00E43282"/>
    <w:rsid w:val="00E43382"/>
    <w:rsid w:val="00E43865"/>
    <w:rsid w:val="00E43BE5"/>
    <w:rsid w:val="00E45B88"/>
    <w:rsid w:val="00E45E41"/>
    <w:rsid w:val="00E46E8D"/>
    <w:rsid w:val="00E52029"/>
    <w:rsid w:val="00E53E9E"/>
    <w:rsid w:val="00E542FA"/>
    <w:rsid w:val="00E544B4"/>
    <w:rsid w:val="00E54736"/>
    <w:rsid w:val="00E55572"/>
    <w:rsid w:val="00E571BE"/>
    <w:rsid w:val="00E577B9"/>
    <w:rsid w:val="00E61466"/>
    <w:rsid w:val="00E6342C"/>
    <w:rsid w:val="00E6439E"/>
    <w:rsid w:val="00E66171"/>
    <w:rsid w:val="00E66D36"/>
    <w:rsid w:val="00E67045"/>
    <w:rsid w:val="00E674EB"/>
    <w:rsid w:val="00E67B74"/>
    <w:rsid w:val="00E7077E"/>
    <w:rsid w:val="00E71455"/>
    <w:rsid w:val="00E731F2"/>
    <w:rsid w:val="00E733C4"/>
    <w:rsid w:val="00E74689"/>
    <w:rsid w:val="00E74AB3"/>
    <w:rsid w:val="00E74DB2"/>
    <w:rsid w:val="00E765F3"/>
    <w:rsid w:val="00E767AD"/>
    <w:rsid w:val="00E80BFB"/>
    <w:rsid w:val="00E812CB"/>
    <w:rsid w:val="00E81968"/>
    <w:rsid w:val="00E81E39"/>
    <w:rsid w:val="00E82AB0"/>
    <w:rsid w:val="00E845C4"/>
    <w:rsid w:val="00E84A65"/>
    <w:rsid w:val="00E866D4"/>
    <w:rsid w:val="00E868E0"/>
    <w:rsid w:val="00E8719E"/>
    <w:rsid w:val="00E87207"/>
    <w:rsid w:val="00E8731E"/>
    <w:rsid w:val="00E87369"/>
    <w:rsid w:val="00E875C7"/>
    <w:rsid w:val="00E91700"/>
    <w:rsid w:val="00E921B5"/>
    <w:rsid w:val="00E92A07"/>
    <w:rsid w:val="00E92DD7"/>
    <w:rsid w:val="00E9377A"/>
    <w:rsid w:val="00E93C7C"/>
    <w:rsid w:val="00E93CED"/>
    <w:rsid w:val="00E965FF"/>
    <w:rsid w:val="00E96D01"/>
    <w:rsid w:val="00EA0CD8"/>
    <w:rsid w:val="00EA1930"/>
    <w:rsid w:val="00EA2160"/>
    <w:rsid w:val="00EA246F"/>
    <w:rsid w:val="00EA4DE3"/>
    <w:rsid w:val="00EA4E58"/>
    <w:rsid w:val="00EA5665"/>
    <w:rsid w:val="00EA6A3B"/>
    <w:rsid w:val="00EA6F92"/>
    <w:rsid w:val="00EA7AD7"/>
    <w:rsid w:val="00EB4C00"/>
    <w:rsid w:val="00EB6CB8"/>
    <w:rsid w:val="00EB72CB"/>
    <w:rsid w:val="00EC0022"/>
    <w:rsid w:val="00EC29B3"/>
    <w:rsid w:val="00EC6C9E"/>
    <w:rsid w:val="00EC6FA3"/>
    <w:rsid w:val="00EC760B"/>
    <w:rsid w:val="00EC7B52"/>
    <w:rsid w:val="00ED04C5"/>
    <w:rsid w:val="00ED04F5"/>
    <w:rsid w:val="00ED0ED5"/>
    <w:rsid w:val="00ED137D"/>
    <w:rsid w:val="00ED22B2"/>
    <w:rsid w:val="00ED2AA4"/>
    <w:rsid w:val="00ED4AA0"/>
    <w:rsid w:val="00ED749F"/>
    <w:rsid w:val="00EE0DB1"/>
    <w:rsid w:val="00EE1BE8"/>
    <w:rsid w:val="00EE3260"/>
    <w:rsid w:val="00EE39DD"/>
    <w:rsid w:val="00EE4A7E"/>
    <w:rsid w:val="00EE4DB0"/>
    <w:rsid w:val="00EE61A4"/>
    <w:rsid w:val="00EE6861"/>
    <w:rsid w:val="00EF0EEC"/>
    <w:rsid w:val="00EF0FA8"/>
    <w:rsid w:val="00EF2F8A"/>
    <w:rsid w:val="00EF37D9"/>
    <w:rsid w:val="00EF3DC5"/>
    <w:rsid w:val="00EF4A52"/>
    <w:rsid w:val="00EF4CD3"/>
    <w:rsid w:val="00EF625C"/>
    <w:rsid w:val="00F00113"/>
    <w:rsid w:val="00F00F10"/>
    <w:rsid w:val="00F01539"/>
    <w:rsid w:val="00F01967"/>
    <w:rsid w:val="00F024B7"/>
    <w:rsid w:val="00F03102"/>
    <w:rsid w:val="00F04012"/>
    <w:rsid w:val="00F049F9"/>
    <w:rsid w:val="00F04E56"/>
    <w:rsid w:val="00F051F0"/>
    <w:rsid w:val="00F055BC"/>
    <w:rsid w:val="00F059A9"/>
    <w:rsid w:val="00F06667"/>
    <w:rsid w:val="00F07C84"/>
    <w:rsid w:val="00F10235"/>
    <w:rsid w:val="00F10272"/>
    <w:rsid w:val="00F1218A"/>
    <w:rsid w:val="00F131B1"/>
    <w:rsid w:val="00F133C7"/>
    <w:rsid w:val="00F1416A"/>
    <w:rsid w:val="00F155F7"/>
    <w:rsid w:val="00F16797"/>
    <w:rsid w:val="00F16DF6"/>
    <w:rsid w:val="00F20182"/>
    <w:rsid w:val="00F20482"/>
    <w:rsid w:val="00F205B2"/>
    <w:rsid w:val="00F214C4"/>
    <w:rsid w:val="00F238F7"/>
    <w:rsid w:val="00F2434C"/>
    <w:rsid w:val="00F24FB2"/>
    <w:rsid w:val="00F259BF"/>
    <w:rsid w:val="00F2666F"/>
    <w:rsid w:val="00F26CCA"/>
    <w:rsid w:val="00F3257B"/>
    <w:rsid w:val="00F32FAD"/>
    <w:rsid w:val="00F340D0"/>
    <w:rsid w:val="00F34991"/>
    <w:rsid w:val="00F36B6D"/>
    <w:rsid w:val="00F40484"/>
    <w:rsid w:val="00F45B67"/>
    <w:rsid w:val="00F503E5"/>
    <w:rsid w:val="00F50407"/>
    <w:rsid w:val="00F51A8B"/>
    <w:rsid w:val="00F52EBD"/>
    <w:rsid w:val="00F54408"/>
    <w:rsid w:val="00F553C2"/>
    <w:rsid w:val="00F607E5"/>
    <w:rsid w:val="00F62BC5"/>
    <w:rsid w:val="00F63C04"/>
    <w:rsid w:val="00F64070"/>
    <w:rsid w:val="00F64592"/>
    <w:rsid w:val="00F64FC4"/>
    <w:rsid w:val="00F702DB"/>
    <w:rsid w:val="00F70A58"/>
    <w:rsid w:val="00F713B2"/>
    <w:rsid w:val="00F72791"/>
    <w:rsid w:val="00F75655"/>
    <w:rsid w:val="00F75C9C"/>
    <w:rsid w:val="00F761CF"/>
    <w:rsid w:val="00F80073"/>
    <w:rsid w:val="00F80848"/>
    <w:rsid w:val="00F80D07"/>
    <w:rsid w:val="00F811C6"/>
    <w:rsid w:val="00F81EE8"/>
    <w:rsid w:val="00F8250A"/>
    <w:rsid w:val="00F825BC"/>
    <w:rsid w:val="00F83385"/>
    <w:rsid w:val="00F83CD7"/>
    <w:rsid w:val="00F83D29"/>
    <w:rsid w:val="00F879CB"/>
    <w:rsid w:val="00F91512"/>
    <w:rsid w:val="00F9159C"/>
    <w:rsid w:val="00F9206C"/>
    <w:rsid w:val="00F9361B"/>
    <w:rsid w:val="00F93FB4"/>
    <w:rsid w:val="00F94273"/>
    <w:rsid w:val="00F94341"/>
    <w:rsid w:val="00F95D3B"/>
    <w:rsid w:val="00F9628A"/>
    <w:rsid w:val="00F9709E"/>
    <w:rsid w:val="00FA2221"/>
    <w:rsid w:val="00FA2801"/>
    <w:rsid w:val="00FA2917"/>
    <w:rsid w:val="00FA391C"/>
    <w:rsid w:val="00FA53D2"/>
    <w:rsid w:val="00FA57DE"/>
    <w:rsid w:val="00FA5D30"/>
    <w:rsid w:val="00FA5F14"/>
    <w:rsid w:val="00FA6A4F"/>
    <w:rsid w:val="00FB08E3"/>
    <w:rsid w:val="00FB1F52"/>
    <w:rsid w:val="00FB260C"/>
    <w:rsid w:val="00FB2C6A"/>
    <w:rsid w:val="00FB3890"/>
    <w:rsid w:val="00FB45D4"/>
    <w:rsid w:val="00FB4FA7"/>
    <w:rsid w:val="00FB68E5"/>
    <w:rsid w:val="00FB6A0B"/>
    <w:rsid w:val="00FB6FB8"/>
    <w:rsid w:val="00FB71D7"/>
    <w:rsid w:val="00FB7224"/>
    <w:rsid w:val="00FB74E2"/>
    <w:rsid w:val="00FB7FF7"/>
    <w:rsid w:val="00FC1FD4"/>
    <w:rsid w:val="00FC31A1"/>
    <w:rsid w:val="00FC4D5D"/>
    <w:rsid w:val="00FC53F1"/>
    <w:rsid w:val="00FC75E0"/>
    <w:rsid w:val="00FC7AD1"/>
    <w:rsid w:val="00FD39EB"/>
    <w:rsid w:val="00FD3E7E"/>
    <w:rsid w:val="00FD41F3"/>
    <w:rsid w:val="00FD4673"/>
    <w:rsid w:val="00FD4D97"/>
    <w:rsid w:val="00FD539E"/>
    <w:rsid w:val="00FD5DC0"/>
    <w:rsid w:val="00FD629F"/>
    <w:rsid w:val="00FD7A5A"/>
    <w:rsid w:val="00FD7C1C"/>
    <w:rsid w:val="00FE0C01"/>
    <w:rsid w:val="00FE175D"/>
    <w:rsid w:val="00FE175E"/>
    <w:rsid w:val="00FE20F7"/>
    <w:rsid w:val="00FE5965"/>
    <w:rsid w:val="00FE6539"/>
    <w:rsid w:val="00FE7C32"/>
    <w:rsid w:val="00FE7FD7"/>
    <w:rsid w:val="00FF0333"/>
    <w:rsid w:val="00FF4C28"/>
    <w:rsid w:val="00FF53E4"/>
    <w:rsid w:val="00FF5724"/>
    <w:rsid w:val="00FF74CA"/>
    <w:rsid w:val="00FF7A95"/>
    <w:rsid w:val="01F521CD"/>
    <w:rsid w:val="02056B18"/>
    <w:rsid w:val="021F731A"/>
    <w:rsid w:val="02C700F1"/>
    <w:rsid w:val="02D33DAC"/>
    <w:rsid w:val="02E373F0"/>
    <w:rsid w:val="035522F0"/>
    <w:rsid w:val="038732E9"/>
    <w:rsid w:val="05A25167"/>
    <w:rsid w:val="05AA2098"/>
    <w:rsid w:val="060C5F2B"/>
    <w:rsid w:val="06EF2CCF"/>
    <w:rsid w:val="0729289C"/>
    <w:rsid w:val="07760BAA"/>
    <w:rsid w:val="07B251AE"/>
    <w:rsid w:val="07E212EE"/>
    <w:rsid w:val="08BC2855"/>
    <w:rsid w:val="090E6883"/>
    <w:rsid w:val="092B4520"/>
    <w:rsid w:val="097906FF"/>
    <w:rsid w:val="09C256CF"/>
    <w:rsid w:val="0ADD6AE9"/>
    <w:rsid w:val="0C0408D6"/>
    <w:rsid w:val="0CC22A25"/>
    <w:rsid w:val="0CE045F1"/>
    <w:rsid w:val="0F696A4D"/>
    <w:rsid w:val="0F752FF0"/>
    <w:rsid w:val="0FBC0859"/>
    <w:rsid w:val="0FC66FC5"/>
    <w:rsid w:val="10106F79"/>
    <w:rsid w:val="10284C2D"/>
    <w:rsid w:val="113D447D"/>
    <w:rsid w:val="11557109"/>
    <w:rsid w:val="119B1792"/>
    <w:rsid w:val="11D52407"/>
    <w:rsid w:val="1218300D"/>
    <w:rsid w:val="128123D2"/>
    <w:rsid w:val="13131363"/>
    <w:rsid w:val="1332625B"/>
    <w:rsid w:val="1339603E"/>
    <w:rsid w:val="13702641"/>
    <w:rsid w:val="15786BC0"/>
    <w:rsid w:val="15877810"/>
    <w:rsid w:val="15C46334"/>
    <w:rsid w:val="16CA7769"/>
    <w:rsid w:val="16DC5337"/>
    <w:rsid w:val="18571D31"/>
    <w:rsid w:val="188367EC"/>
    <w:rsid w:val="18E555E7"/>
    <w:rsid w:val="19EC1B5C"/>
    <w:rsid w:val="1A377CDD"/>
    <w:rsid w:val="1A3C2084"/>
    <w:rsid w:val="1C392D79"/>
    <w:rsid w:val="1C404EFF"/>
    <w:rsid w:val="1C547A87"/>
    <w:rsid w:val="1D027794"/>
    <w:rsid w:val="1D0F675F"/>
    <w:rsid w:val="1EF61CC6"/>
    <w:rsid w:val="204C0584"/>
    <w:rsid w:val="21362454"/>
    <w:rsid w:val="21797D0C"/>
    <w:rsid w:val="220866A3"/>
    <w:rsid w:val="226D4BFC"/>
    <w:rsid w:val="23E51ED6"/>
    <w:rsid w:val="244D2BCF"/>
    <w:rsid w:val="24992D39"/>
    <w:rsid w:val="25214326"/>
    <w:rsid w:val="25893620"/>
    <w:rsid w:val="25896297"/>
    <w:rsid w:val="263611D3"/>
    <w:rsid w:val="26EA788C"/>
    <w:rsid w:val="27052832"/>
    <w:rsid w:val="27076EF2"/>
    <w:rsid w:val="27095274"/>
    <w:rsid w:val="27AF0E96"/>
    <w:rsid w:val="27C43A1D"/>
    <w:rsid w:val="27DA7CB2"/>
    <w:rsid w:val="28446D9A"/>
    <w:rsid w:val="288F7D09"/>
    <w:rsid w:val="29143B49"/>
    <w:rsid w:val="29183834"/>
    <w:rsid w:val="2918755B"/>
    <w:rsid w:val="294C32E2"/>
    <w:rsid w:val="297278DD"/>
    <w:rsid w:val="299B0A6F"/>
    <w:rsid w:val="29E92677"/>
    <w:rsid w:val="2A2B6011"/>
    <w:rsid w:val="2B554AD6"/>
    <w:rsid w:val="2B674404"/>
    <w:rsid w:val="2B7B675B"/>
    <w:rsid w:val="2C0B037B"/>
    <w:rsid w:val="2D0128D3"/>
    <w:rsid w:val="2DC22DEA"/>
    <w:rsid w:val="2DCC6AA6"/>
    <w:rsid w:val="2E68778F"/>
    <w:rsid w:val="2F924C07"/>
    <w:rsid w:val="302A1ADA"/>
    <w:rsid w:val="306A53C9"/>
    <w:rsid w:val="308B067F"/>
    <w:rsid w:val="32CF78F9"/>
    <w:rsid w:val="337E6F19"/>
    <w:rsid w:val="340D18C0"/>
    <w:rsid w:val="34BD55E4"/>
    <w:rsid w:val="353C0E2D"/>
    <w:rsid w:val="357F666A"/>
    <w:rsid w:val="3589428E"/>
    <w:rsid w:val="35F048FA"/>
    <w:rsid w:val="378F55D9"/>
    <w:rsid w:val="37AC362D"/>
    <w:rsid w:val="37F31751"/>
    <w:rsid w:val="384D72A5"/>
    <w:rsid w:val="38926838"/>
    <w:rsid w:val="38AE1B43"/>
    <w:rsid w:val="393578EF"/>
    <w:rsid w:val="3A412D2C"/>
    <w:rsid w:val="3AAD091B"/>
    <w:rsid w:val="3BD52D4A"/>
    <w:rsid w:val="3C0A2CA1"/>
    <w:rsid w:val="3C3C07B7"/>
    <w:rsid w:val="3CEC2B6C"/>
    <w:rsid w:val="3CFD5C00"/>
    <w:rsid w:val="3DA23079"/>
    <w:rsid w:val="3E454B63"/>
    <w:rsid w:val="3F35607C"/>
    <w:rsid w:val="3F3F73AC"/>
    <w:rsid w:val="3FFE7B01"/>
    <w:rsid w:val="41685D9E"/>
    <w:rsid w:val="41C537DA"/>
    <w:rsid w:val="43B85342"/>
    <w:rsid w:val="43F860E9"/>
    <w:rsid w:val="44355499"/>
    <w:rsid w:val="44705171"/>
    <w:rsid w:val="44C50BF3"/>
    <w:rsid w:val="44E623E5"/>
    <w:rsid w:val="45282F37"/>
    <w:rsid w:val="453E5DD4"/>
    <w:rsid w:val="45EE2DEC"/>
    <w:rsid w:val="466916D1"/>
    <w:rsid w:val="468D718B"/>
    <w:rsid w:val="47E3607F"/>
    <w:rsid w:val="48250DC7"/>
    <w:rsid w:val="483D231C"/>
    <w:rsid w:val="48C82477"/>
    <w:rsid w:val="48CA4CE9"/>
    <w:rsid w:val="49764039"/>
    <w:rsid w:val="49D22F38"/>
    <w:rsid w:val="4AEC6208"/>
    <w:rsid w:val="4BA032C9"/>
    <w:rsid w:val="4BBE7454"/>
    <w:rsid w:val="4BCB4867"/>
    <w:rsid w:val="4BFC6BCA"/>
    <w:rsid w:val="4C9E5C65"/>
    <w:rsid w:val="4D25406E"/>
    <w:rsid w:val="4D5D4E06"/>
    <w:rsid w:val="4DB03590"/>
    <w:rsid w:val="4DD35A29"/>
    <w:rsid w:val="513901E0"/>
    <w:rsid w:val="528172AA"/>
    <w:rsid w:val="52E33CDE"/>
    <w:rsid w:val="530A729F"/>
    <w:rsid w:val="53AD47EC"/>
    <w:rsid w:val="53C3212C"/>
    <w:rsid w:val="542425E2"/>
    <w:rsid w:val="54741D03"/>
    <w:rsid w:val="551E43D5"/>
    <w:rsid w:val="55610A8E"/>
    <w:rsid w:val="55945546"/>
    <w:rsid w:val="55E04E82"/>
    <w:rsid w:val="563216CA"/>
    <w:rsid w:val="565D6949"/>
    <w:rsid w:val="571E5A0F"/>
    <w:rsid w:val="57DC128D"/>
    <w:rsid w:val="57E97649"/>
    <w:rsid w:val="589C6BEB"/>
    <w:rsid w:val="59010248"/>
    <w:rsid w:val="59086274"/>
    <w:rsid w:val="59764B8D"/>
    <w:rsid w:val="5A5E7EEC"/>
    <w:rsid w:val="5BC8697B"/>
    <w:rsid w:val="5BFA4356"/>
    <w:rsid w:val="5D7B413C"/>
    <w:rsid w:val="5E007C1C"/>
    <w:rsid w:val="5F4038A5"/>
    <w:rsid w:val="5FE15C56"/>
    <w:rsid w:val="6015367E"/>
    <w:rsid w:val="607C44DA"/>
    <w:rsid w:val="619E19B9"/>
    <w:rsid w:val="61C3048A"/>
    <w:rsid w:val="61CD3212"/>
    <w:rsid w:val="62354391"/>
    <w:rsid w:val="62635EC6"/>
    <w:rsid w:val="63025B9A"/>
    <w:rsid w:val="64377EC5"/>
    <w:rsid w:val="64B74DAD"/>
    <w:rsid w:val="64B90B25"/>
    <w:rsid w:val="64C00105"/>
    <w:rsid w:val="65A35DBD"/>
    <w:rsid w:val="662C0466"/>
    <w:rsid w:val="67420F14"/>
    <w:rsid w:val="675F063E"/>
    <w:rsid w:val="67B80B77"/>
    <w:rsid w:val="682F340F"/>
    <w:rsid w:val="683C4C6E"/>
    <w:rsid w:val="687874D2"/>
    <w:rsid w:val="691F6EF5"/>
    <w:rsid w:val="69694879"/>
    <w:rsid w:val="69B014EB"/>
    <w:rsid w:val="6A374FF4"/>
    <w:rsid w:val="6AC01E63"/>
    <w:rsid w:val="6AD22940"/>
    <w:rsid w:val="6AD25191"/>
    <w:rsid w:val="6BAC6253"/>
    <w:rsid w:val="6BE50451"/>
    <w:rsid w:val="6BE623D6"/>
    <w:rsid w:val="6C0E79A8"/>
    <w:rsid w:val="6C9B45C8"/>
    <w:rsid w:val="6D751306"/>
    <w:rsid w:val="6DB72A53"/>
    <w:rsid w:val="6DBB17F6"/>
    <w:rsid w:val="6E072901"/>
    <w:rsid w:val="6E396833"/>
    <w:rsid w:val="6F246AA2"/>
    <w:rsid w:val="6F5C25A4"/>
    <w:rsid w:val="70F10D07"/>
    <w:rsid w:val="70FD57AC"/>
    <w:rsid w:val="710D5228"/>
    <w:rsid w:val="71BD5FA9"/>
    <w:rsid w:val="71DB20DB"/>
    <w:rsid w:val="728E2BC1"/>
    <w:rsid w:val="72CB7FAB"/>
    <w:rsid w:val="72FA3784"/>
    <w:rsid w:val="74520036"/>
    <w:rsid w:val="74B13FC3"/>
    <w:rsid w:val="74F71921"/>
    <w:rsid w:val="76B949B4"/>
    <w:rsid w:val="76C410FF"/>
    <w:rsid w:val="76FD7916"/>
    <w:rsid w:val="77CB4516"/>
    <w:rsid w:val="79ED50A1"/>
    <w:rsid w:val="7A1E03A0"/>
    <w:rsid w:val="7A2844B3"/>
    <w:rsid w:val="7AB23BF5"/>
    <w:rsid w:val="7B397845"/>
    <w:rsid w:val="7B4C229B"/>
    <w:rsid w:val="7C417926"/>
    <w:rsid w:val="7C470A7F"/>
    <w:rsid w:val="7CA0464C"/>
    <w:rsid w:val="7CBC1AC4"/>
    <w:rsid w:val="7E61605D"/>
    <w:rsid w:val="7EAD7067"/>
    <w:rsid w:val="7F5C5130"/>
    <w:rsid w:val="7F774919"/>
    <w:rsid w:val="7F85714B"/>
    <w:rsid w:val="7FA9479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9" w:semiHidden="0" w:name="heading 7"/>
    <w:lsdException w:qFormat="1" w:unhideWhenUsed="0" w:uiPriority="0" w:semiHidden="0" w:name="heading 8"/>
    <w:lsdException w:qFormat="1" w:unhideWhenUsed="0" w:uiPriority="0" w:semiHidden="0" w:name="heading 9"/>
    <w:lsdException w:uiPriority="0" w:semiHidden="0" w:name="index 1"/>
    <w:lsdException w:uiPriority="0" w:name="index 2"/>
    <w:lsdException w:uiPriority="0" w:name="index 3"/>
    <w:lsdException w:unhideWhenUsed="0" w:uiPriority="0" w:semiHidden="0" w:name="index 4"/>
    <w:lsdException w:uiPriority="0" w:name="index 5"/>
    <w:lsdException w:qFormat="1" w:unhideWhenUsed="0" w:uiPriority="0" w:name="index 6"/>
    <w:lsdException w:uiPriority="0" w:name="index 7"/>
    <w:lsdException w:uiPriority="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qFormat="1" w:uiPriority="39" w:semiHidden="0" w:name="toc 4"/>
    <w:lsdException w:qFormat="1" w:unhideWhenUsed="0"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qFormat="1" w:unhideWhenUsed="0" w:uiPriority="0" w:semiHidden="0" w:name="Normal Indent"/>
    <w:lsdException w:uiPriority="0" w:semiHidden="0" w:name="footnote text"/>
    <w:lsdException w:qFormat="1" w:unhideWhenUsed="0" w:uiPriority="0" w:semiHidden="0" w:name="annotation text"/>
    <w:lsdException w:qFormat="1" w:uiPriority="0" w:semiHidden="0" w:name="header"/>
    <w:lsdException w:qFormat="1" w:uiPriority="0" w:semiHidden="0" w:name="footer"/>
    <w:lsdException w:unhideWhenUsed="0" w:uiPriority="0" w:semiHidden="0" w:name="index heading"/>
    <w:lsdException w:qFormat="1" w:unhideWhenUsed="0" w:uiPriority="35"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iPriority="99" w:semiHidden="0" w:name="annotation reference"/>
    <w:lsdException w:unhideWhenUsed="0" w:uiPriority="0" w:semiHidden="0" w:name="line number"/>
    <w:lsdException w:qFormat="1" w:unhideWhenUsed="0" w:uiPriority="0" w:semiHidden="0" w:name="page number"/>
    <w:lsdException w:uiPriority="0" w:name="endnote reference"/>
    <w:lsdException w:uiPriority="0" w:semiHidden="0" w:name="endnote text"/>
    <w:lsdException w:unhideWhenUsed="0" w:uiPriority="0" w:semiHidden="0" w:name="table of authorities"/>
    <w:lsdException w:qFormat="1"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unhideWhenUsed="0" w:uiPriority="0" w:semiHidden="0" w:name="Subtitle"/>
    <w:lsdException w:unhideWhenUsed="0" w:uiPriority="0" w:semiHidden="0" w:name="Salutation"/>
    <w:lsdException w:qFormat="1" w:uiPriority="99" w:semiHidden="0" w:name="Date"/>
    <w:lsdException w:qFormat="1" w:uiPriority="0" w:semiHidden="0" w:name="Body Text First Indent"/>
    <w:lsdException w:qFormat="1" w:uiPriority="0" w:semiHidden="0" w:name="Body Text First Indent 2"/>
    <w:lsdException w:unhideWhenUsed="0" w:uiPriority="0" w:semiHidden="0" w:name="Note Heading"/>
    <w:lsdException w:uiPriority="0" w:semiHidden="0" w:name="Body Text 2"/>
    <w:lsdException w:unhideWhenUsed="0" w:uiPriority="0" w:semiHidden="0" w:name="Body Text 3"/>
    <w:lsdException w:qFormat="1" w:unhideWhenUsed="0" w:uiPriority="0" w:semiHidden="0" w:name="Body Text Indent 2"/>
    <w:lsdException w:qFormat="1" w:unhideWhenUsed="0" w:uiPriority="0" w:semiHidden="0" w:name="Body Text Indent 3"/>
    <w:lsdException w:unhideWhenUsed="0" w:uiPriority="0" w:semiHidden="0" w:name="Block Text"/>
    <w:lsdException w:qFormat="1" w:uiPriority="99"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iPriority="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iPriority="99" w:semiHidden="0" w:name="annotation subject"/>
    <w:lsdException w:qFormat="1" w:uiPriority="0" w:name="Table Simple 1"/>
    <w:lsdException w:uiPriority="0" w:name="Table Simple 2"/>
    <w:lsdException w:uiPriority="0" w:name="Table Simple 3"/>
    <w:lsdException w:qFormat="1"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qFormat="1" w:uiPriority="0" w:name="Table Grid 1"/>
    <w:lsdException w:qFormat="1" w:uiPriority="0" w:name="Table Grid 2"/>
    <w:lsdException w:uiPriority="0" w:name="Table Grid 3"/>
    <w:lsdException w:uiPriority="0" w:name="Table Grid 4"/>
    <w:lsdException w:qFormat="1"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qFormat="1"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99" w:semiHidden="0" w:name="Balloon Text"/>
    <w:lsdException w:qFormat="1" w:unhideWhenUsed="0" w:uiPriority="0" w:semiHidden="0" w:name="Table Grid"/>
    <w:lsdException w:qFormat="1" w:uiPriority="0" w:name="Table Theme"/>
    <w:lsdException w:qFormat="1" w:unhideWhenUsed="0" w:uiPriority="99" w:name="Placeholder Text"/>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0"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360" w:lineRule="auto"/>
      <w:ind w:firstLine="200" w:firstLineChars="200"/>
      <w:jc w:val="both"/>
    </w:pPr>
    <w:rPr>
      <w:rFonts w:ascii="Times New Roman" w:hAnsi="Times New Roman" w:eastAsia="宋体" w:cs="Times New Roman"/>
      <w:kern w:val="2"/>
      <w:sz w:val="24"/>
      <w:szCs w:val="24"/>
      <w:lang w:val="en-US" w:eastAsia="zh-CN" w:bidi="ar-SA"/>
    </w:rPr>
  </w:style>
  <w:style w:type="paragraph" w:styleId="3">
    <w:name w:val="heading 1"/>
    <w:basedOn w:val="4"/>
    <w:next w:val="1"/>
    <w:link w:val="52"/>
    <w:qFormat/>
    <w:uiPriority w:val="0"/>
    <w:pPr>
      <w:numPr>
        <w:ilvl w:val="0"/>
      </w:numPr>
      <w:outlineLvl w:val="0"/>
    </w:pPr>
    <w:rPr>
      <w:kern w:val="44"/>
      <w:sz w:val="32"/>
      <w:szCs w:val="32"/>
    </w:rPr>
  </w:style>
  <w:style w:type="paragraph" w:styleId="5">
    <w:name w:val="heading 2"/>
    <w:basedOn w:val="1"/>
    <w:next w:val="1"/>
    <w:link w:val="53"/>
    <w:qFormat/>
    <w:uiPriority w:val="0"/>
    <w:pPr>
      <w:keepNext/>
      <w:keepLines/>
      <w:numPr>
        <w:ilvl w:val="1"/>
        <w:numId w:val="1"/>
      </w:numPr>
      <w:ind w:firstLineChars="0"/>
      <w:outlineLvl w:val="1"/>
    </w:pPr>
    <w:rPr>
      <w:rFonts w:eastAsia="黑体"/>
      <w:sz w:val="30"/>
      <w:szCs w:val="30"/>
    </w:rPr>
  </w:style>
  <w:style w:type="paragraph" w:styleId="4">
    <w:name w:val="heading 3"/>
    <w:basedOn w:val="1"/>
    <w:next w:val="1"/>
    <w:link w:val="51"/>
    <w:qFormat/>
    <w:uiPriority w:val="0"/>
    <w:pPr>
      <w:keepNext/>
      <w:keepLines/>
      <w:numPr>
        <w:ilvl w:val="2"/>
        <w:numId w:val="1"/>
      </w:numPr>
      <w:ind w:firstLineChars="0"/>
      <w:outlineLvl w:val="2"/>
    </w:pPr>
    <w:rPr>
      <w:rFonts w:eastAsia="黑体"/>
      <w:sz w:val="28"/>
      <w:szCs w:val="28"/>
    </w:rPr>
  </w:style>
  <w:style w:type="paragraph" w:styleId="6">
    <w:name w:val="heading 4"/>
    <w:basedOn w:val="1"/>
    <w:next w:val="1"/>
    <w:link w:val="54"/>
    <w:qFormat/>
    <w:uiPriority w:val="0"/>
    <w:pPr>
      <w:keepNext/>
      <w:keepLines/>
      <w:numPr>
        <w:ilvl w:val="3"/>
        <w:numId w:val="1"/>
      </w:numPr>
      <w:ind w:firstLineChars="0"/>
      <w:outlineLvl w:val="3"/>
    </w:pPr>
    <w:rPr>
      <w:rFonts w:eastAsia="黑体"/>
    </w:rPr>
  </w:style>
  <w:style w:type="paragraph" w:styleId="7">
    <w:name w:val="heading 5"/>
    <w:basedOn w:val="1"/>
    <w:next w:val="1"/>
    <w:link w:val="55"/>
    <w:qFormat/>
    <w:uiPriority w:val="0"/>
    <w:pPr>
      <w:keepNext/>
      <w:keepLines/>
      <w:numPr>
        <w:ilvl w:val="4"/>
        <w:numId w:val="1"/>
      </w:numPr>
      <w:tabs>
        <w:tab w:val="left" w:pos="420"/>
      </w:tabs>
      <w:ind w:firstLineChars="0"/>
      <w:jc w:val="center"/>
      <w:outlineLvl w:val="4"/>
    </w:pPr>
    <w:rPr>
      <w:b/>
      <w:bCs/>
      <w:szCs w:val="21"/>
    </w:rPr>
  </w:style>
  <w:style w:type="paragraph" w:styleId="8">
    <w:name w:val="heading 6"/>
    <w:basedOn w:val="1"/>
    <w:next w:val="1"/>
    <w:link w:val="56"/>
    <w:qFormat/>
    <w:uiPriority w:val="0"/>
    <w:pPr>
      <w:keepLines/>
      <w:numPr>
        <w:ilvl w:val="5"/>
        <w:numId w:val="1"/>
      </w:numPr>
      <w:tabs>
        <w:tab w:val="left" w:pos="420"/>
      </w:tabs>
      <w:ind w:firstLineChars="0"/>
      <w:jc w:val="center"/>
      <w:outlineLvl w:val="5"/>
    </w:pPr>
    <w:rPr>
      <w:b/>
      <w:szCs w:val="21"/>
    </w:rPr>
  </w:style>
  <w:style w:type="paragraph" w:styleId="9">
    <w:name w:val="heading 7"/>
    <w:basedOn w:val="1"/>
    <w:next w:val="1"/>
    <w:link w:val="57"/>
    <w:qFormat/>
    <w:uiPriority w:val="9"/>
    <w:pPr>
      <w:keepNext/>
      <w:keepLines/>
      <w:tabs>
        <w:tab w:val="left" w:pos="1276"/>
      </w:tabs>
      <w:ind w:firstLine="0"/>
      <w:jc w:val="center"/>
      <w:outlineLvl w:val="6"/>
    </w:pPr>
    <w:rPr>
      <w:b/>
      <w:bCs/>
      <w:sz w:val="21"/>
    </w:rPr>
  </w:style>
  <w:style w:type="paragraph" w:styleId="10">
    <w:name w:val="heading 8"/>
    <w:basedOn w:val="1"/>
    <w:next w:val="1"/>
    <w:link w:val="58"/>
    <w:qFormat/>
    <w:uiPriority w:val="0"/>
    <w:pPr>
      <w:keepNext/>
      <w:keepLines/>
      <w:tabs>
        <w:tab w:val="left" w:pos="1418"/>
      </w:tabs>
      <w:spacing w:before="240" w:after="64" w:line="320" w:lineRule="auto"/>
      <w:ind w:left="1418" w:hanging="1418"/>
      <w:outlineLvl w:val="7"/>
    </w:pPr>
    <w:rPr>
      <w:rFonts w:ascii="Arial" w:hAnsi="Arial" w:eastAsia="黑体"/>
    </w:rPr>
  </w:style>
  <w:style w:type="paragraph" w:styleId="11">
    <w:name w:val="heading 9"/>
    <w:basedOn w:val="1"/>
    <w:next w:val="1"/>
    <w:link w:val="59"/>
    <w:qFormat/>
    <w:uiPriority w:val="0"/>
    <w:pPr>
      <w:keepNext/>
      <w:keepLines/>
      <w:tabs>
        <w:tab w:val="left" w:pos="1559"/>
      </w:tabs>
      <w:spacing w:before="240" w:after="64" w:line="320" w:lineRule="auto"/>
      <w:ind w:left="1559" w:hanging="1559"/>
      <w:outlineLvl w:val="8"/>
    </w:pPr>
    <w:rPr>
      <w:rFonts w:ascii="Arial" w:hAnsi="Arial" w:eastAsia="黑体"/>
      <w:szCs w:val="21"/>
    </w:rPr>
  </w:style>
  <w:style w:type="character" w:default="1" w:styleId="45">
    <w:name w:val="Default Paragraph Font"/>
    <w:semiHidden/>
    <w:unhideWhenUsed/>
    <w:qFormat/>
    <w:uiPriority w:val="1"/>
  </w:style>
  <w:style w:type="table" w:default="1" w:styleId="43">
    <w:name w:val="Normal Table"/>
    <w:semiHidden/>
    <w:unhideWhenUsed/>
    <w:qFormat/>
    <w:uiPriority w:val="99"/>
    <w:tblPr>
      <w:tblCellMar>
        <w:top w:w="0" w:type="dxa"/>
        <w:left w:w="108" w:type="dxa"/>
        <w:bottom w:w="0" w:type="dxa"/>
        <w:right w:w="108" w:type="dxa"/>
      </w:tblCellMar>
    </w:tblPr>
  </w:style>
  <w:style w:type="paragraph" w:styleId="2">
    <w:name w:val="macro"/>
    <w:link w:val="148"/>
    <w:qFormat/>
    <w:uiPriority w:val="0"/>
    <w:pPr>
      <w:widowControl w:val="0"/>
      <w:tabs>
        <w:tab w:val="left" w:pos="480"/>
        <w:tab w:val="left" w:pos="960"/>
        <w:tab w:val="left" w:pos="1440"/>
        <w:tab w:val="left" w:pos="1920"/>
        <w:tab w:val="left" w:pos="2400"/>
        <w:tab w:val="left" w:pos="2880"/>
        <w:tab w:val="left" w:pos="3360"/>
        <w:tab w:val="left" w:pos="3840"/>
        <w:tab w:val="left" w:pos="4320"/>
      </w:tabs>
      <w:kinsoku w:val="0"/>
      <w:overflowPunct w:val="0"/>
      <w:adjustRightInd w:val="0"/>
      <w:snapToGrid w:val="0"/>
      <w:jc w:val="center"/>
      <w:outlineLvl w:val="4"/>
    </w:pPr>
    <w:rPr>
      <w:rFonts w:ascii="Times New Roman" w:hAnsi="Times New Roman" w:eastAsia="宋体" w:cs="Times New Roman"/>
      <w:b/>
      <w:snapToGrid w:val="0"/>
      <w:kern w:val="24"/>
      <w:sz w:val="21"/>
      <w:szCs w:val="24"/>
      <w:lang w:val="en-US" w:eastAsia="zh-CN" w:bidi="ar-SA"/>
    </w:rPr>
  </w:style>
  <w:style w:type="paragraph" w:styleId="12">
    <w:name w:val="toc 7"/>
    <w:basedOn w:val="1"/>
    <w:next w:val="1"/>
    <w:unhideWhenUsed/>
    <w:qFormat/>
    <w:uiPriority w:val="39"/>
    <w:pPr>
      <w:spacing w:line="240" w:lineRule="auto"/>
      <w:ind w:left="2520" w:leftChars="1200" w:firstLine="0" w:firstLineChars="0"/>
    </w:pPr>
    <w:rPr>
      <w:rFonts w:asciiTheme="minorHAnsi" w:hAnsiTheme="minorHAnsi" w:eastAsiaTheme="minorEastAsia" w:cstheme="minorBidi"/>
      <w:sz w:val="21"/>
      <w:szCs w:val="22"/>
    </w:rPr>
  </w:style>
  <w:style w:type="paragraph" w:styleId="13">
    <w:name w:val="Normal Indent"/>
    <w:basedOn w:val="1"/>
    <w:next w:val="1"/>
    <w:link w:val="130"/>
    <w:qFormat/>
    <w:uiPriority w:val="0"/>
    <w:pPr>
      <w:spacing w:line="240" w:lineRule="auto"/>
      <w:ind w:firstLine="420"/>
    </w:pPr>
    <w:rPr>
      <w:sz w:val="21"/>
    </w:rPr>
  </w:style>
  <w:style w:type="paragraph" w:styleId="14">
    <w:name w:val="caption"/>
    <w:basedOn w:val="1"/>
    <w:next w:val="1"/>
    <w:qFormat/>
    <w:uiPriority w:val="35"/>
    <w:pPr>
      <w:ind w:firstLine="0" w:firstLineChars="0"/>
      <w:jc w:val="center"/>
    </w:pPr>
    <w:rPr>
      <w:b/>
      <w:kern w:val="0"/>
      <w:sz w:val="21"/>
      <w:szCs w:val="20"/>
    </w:rPr>
  </w:style>
  <w:style w:type="paragraph" w:styleId="15">
    <w:name w:val="Document Map"/>
    <w:basedOn w:val="1"/>
    <w:link w:val="131"/>
    <w:qFormat/>
    <w:uiPriority w:val="0"/>
    <w:pPr>
      <w:shd w:val="clear" w:color="auto" w:fill="000080"/>
      <w:spacing w:line="240" w:lineRule="auto"/>
      <w:ind w:firstLine="0" w:firstLineChars="0"/>
    </w:pPr>
    <w:rPr>
      <w:sz w:val="21"/>
    </w:rPr>
  </w:style>
  <w:style w:type="paragraph" w:styleId="16">
    <w:name w:val="annotation text"/>
    <w:basedOn w:val="1"/>
    <w:link w:val="60"/>
    <w:qFormat/>
    <w:uiPriority w:val="0"/>
    <w:pPr>
      <w:jc w:val="left"/>
    </w:pPr>
  </w:style>
  <w:style w:type="paragraph" w:styleId="17">
    <w:name w:val="index 6"/>
    <w:basedOn w:val="1"/>
    <w:next w:val="1"/>
    <w:semiHidden/>
    <w:qFormat/>
    <w:uiPriority w:val="0"/>
    <w:pPr>
      <w:ind w:left="1000" w:leftChars="1000" w:firstLine="0" w:firstLineChars="0"/>
    </w:pPr>
    <w:rPr>
      <w:kern w:val="0"/>
      <w:szCs w:val="20"/>
    </w:rPr>
  </w:style>
  <w:style w:type="paragraph" w:styleId="18">
    <w:name w:val="Body Text"/>
    <w:basedOn w:val="1"/>
    <w:next w:val="19"/>
    <w:link w:val="61"/>
    <w:qFormat/>
    <w:uiPriority w:val="0"/>
    <w:pPr>
      <w:autoSpaceDE w:val="0"/>
      <w:autoSpaceDN w:val="0"/>
      <w:spacing w:line="240" w:lineRule="auto"/>
      <w:ind w:firstLine="0" w:firstLineChars="0"/>
      <w:jc w:val="left"/>
    </w:pPr>
    <w:rPr>
      <w:rFonts w:ascii="宋体" w:hAnsi="宋体" w:cs="宋体"/>
      <w:kern w:val="0"/>
      <w:lang w:val="zh-CN" w:bidi="zh-CN"/>
    </w:rPr>
  </w:style>
  <w:style w:type="paragraph" w:customStyle="1" w:styleId="19">
    <w:name w:val="默认段落"/>
    <w:qFormat/>
    <w:uiPriority w:val="0"/>
    <w:pPr>
      <w:widowControl w:val="0"/>
      <w:overflowPunct w:val="0"/>
      <w:topLinePunct/>
      <w:adjustRightInd w:val="0"/>
      <w:snapToGrid w:val="0"/>
      <w:spacing w:line="360" w:lineRule="auto"/>
      <w:ind w:firstLine="200" w:firstLineChars="200"/>
      <w:jc w:val="both"/>
    </w:pPr>
    <w:rPr>
      <w:rFonts w:ascii="Calibri" w:hAnsi="Calibri" w:eastAsia="宋体" w:cs="Times New Roman"/>
      <w:sz w:val="24"/>
      <w:szCs w:val="24"/>
      <w:lang w:val="en-US" w:eastAsia="zh-CN" w:bidi="ar-SA"/>
    </w:rPr>
  </w:style>
  <w:style w:type="paragraph" w:styleId="20">
    <w:name w:val="Body Text Indent"/>
    <w:basedOn w:val="1"/>
    <w:next w:val="21"/>
    <w:link w:val="62"/>
    <w:qFormat/>
    <w:uiPriority w:val="0"/>
    <w:pPr>
      <w:spacing w:after="120"/>
      <w:ind w:left="420" w:leftChars="200"/>
    </w:pPr>
  </w:style>
  <w:style w:type="paragraph" w:customStyle="1" w:styleId="21">
    <w:name w:val="样式 正文文本缩进 + 行距: 1.5 倍行距"/>
    <w:basedOn w:val="1"/>
    <w:qFormat/>
    <w:uiPriority w:val="0"/>
    <w:pPr>
      <w:spacing w:after="120"/>
      <w:ind w:left="90" w:leftChars="32" w:firstLine="560"/>
    </w:pPr>
    <w:rPr>
      <w:rFonts w:cs="宋体"/>
      <w:kern w:val="0"/>
      <w:szCs w:val="20"/>
    </w:rPr>
  </w:style>
  <w:style w:type="paragraph" w:styleId="22">
    <w:name w:val="toc 5"/>
    <w:basedOn w:val="1"/>
    <w:next w:val="1"/>
    <w:qFormat/>
    <w:uiPriority w:val="39"/>
    <w:pPr>
      <w:autoSpaceDE w:val="0"/>
      <w:autoSpaceDN w:val="0"/>
      <w:spacing w:before="160" w:line="240" w:lineRule="auto"/>
      <w:ind w:left="2220" w:hanging="540" w:firstLineChars="0"/>
      <w:jc w:val="left"/>
    </w:pPr>
    <w:rPr>
      <w:rFonts w:ascii="宋体" w:hAnsi="宋体" w:cs="宋体"/>
      <w:b/>
      <w:bCs/>
      <w:i/>
      <w:kern w:val="0"/>
      <w:sz w:val="22"/>
      <w:szCs w:val="22"/>
      <w:lang w:val="zh-CN" w:bidi="zh-CN"/>
    </w:rPr>
  </w:style>
  <w:style w:type="paragraph" w:styleId="23">
    <w:name w:val="toc 3"/>
    <w:basedOn w:val="1"/>
    <w:next w:val="1"/>
    <w:qFormat/>
    <w:uiPriority w:val="39"/>
    <w:pPr>
      <w:ind w:left="840" w:leftChars="400"/>
    </w:pPr>
  </w:style>
  <w:style w:type="paragraph" w:styleId="24">
    <w:name w:val="Plain Text"/>
    <w:basedOn w:val="1"/>
    <w:link w:val="190"/>
    <w:qFormat/>
    <w:uiPriority w:val="0"/>
    <w:pPr>
      <w:overflowPunct w:val="0"/>
      <w:spacing w:after="160"/>
    </w:pPr>
    <w:rPr>
      <w:rFonts w:hAnsi="Courier New"/>
      <w:sz w:val="20"/>
      <w:szCs w:val="21"/>
    </w:rPr>
  </w:style>
  <w:style w:type="paragraph" w:styleId="25">
    <w:name w:val="toc 8"/>
    <w:basedOn w:val="1"/>
    <w:next w:val="1"/>
    <w:unhideWhenUsed/>
    <w:qFormat/>
    <w:uiPriority w:val="39"/>
    <w:pPr>
      <w:spacing w:line="240" w:lineRule="auto"/>
      <w:ind w:left="2940" w:leftChars="1400" w:firstLine="0" w:firstLineChars="0"/>
    </w:pPr>
    <w:rPr>
      <w:rFonts w:asciiTheme="minorHAnsi" w:hAnsiTheme="minorHAnsi" w:eastAsiaTheme="minorEastAsia" w:cstheme="minorBidi"/>
      <w:sz w:val="21"/>
      <w:szCs w:val="22"/>
    </w:rPr>
  </w:style>
  <w:style w:type="paragraph" w:styleId="26">
    <w:name w:val="Date"/>
    <w:basedOn w:val="1"/>
    <w:next w:val="1"/>
    <w:link w:val="150"/>
    <w:unhideWhenUsed/>
    <w:qFormat/>
    <w:uiPriority w:val="99"/>
    <w:pPr>
      <w:ind w:left="100" w:leftChars="2500" w:firstLine="0" w:firstLineChars="0"/>
    </w:pPr>
    <w:rPr>
      <w:kern w:val="0"/>
      <w:szCs w:val="20"/>
    </w:rPr>
  </w:style>
  <w:style w:type="paragraph" w:styleId="27">
    <w:name w:val="Body Text Indent 2"/>
    <w:basedOn w:val="1"/>
    <w:next w:val="1"/>
    <w:link w:val="149"/>
    <w:qFormat/>
    <w:uiPriority w:val="0"/>
    <w:pPr>
      <w:spacing w:after="120" w:line="480" w:lineRule="auto"/>
      <w:ind w:left="420" w:leftChars="200" w:firstLine="0" w:firstLineChars="0"/>
    </w:pPr>
    <w:rPr>
      <w:kern w:val="0"/>
      <w:szCs w:val="20"/>
    </w:rPr>
  </w:style>
  <w:style w:type="paragraph" w:styleId="28">
    <w:name w:val="Balloon Text"/>
    <w:basedOn w:val="1"/>
    <w:link w:val="63"/>
    <w:qFormat/>
    <w:uiPriority w:val="99"/>
    <w:pPr>
      <w:spacing w:line="240" w:lineRule="auto"/>
    </w:pPr>
    <w:rPr>
      <w:sz w:val="18"/>
      <w:szCs w:val="18"/>
    </w:rPr>
  </w:style>
  <w:style w:type="paragraph" w:styleId="29">
    <w:name w:val="footer"/>
    <w:basedOn w:val="1"/>
    <w:link w:val="64"/>
    <w:unhideWhenUsed/>
    <w:qFormat/>
    <w:uiPriority w:val="0"/>
    <w:pPr>
      <w:tabs>
        <w:tab w:val="center" w:pos="4153"/>
        <w:tab w:val="right" w:pos="8306"/>
      </w:tabs>
      <w:autoSpaceDE w:val="0"/>
      <w:autoSpaceDN w:val="0"/>
      <w:snapToGrid w:val="0"/>
      <w:spacing w:line="240" w:lineRule="auto"/>
      <w:ind w:firstLine="0" w:firstLineChars="0"/>
      <w:jc w:val="left"/>
    </w:pPr>
    <w:rPr>
      <w:rFonts w:ascii="宋体" w:hAnsi="宋体" w:cs="宋体"/>
      <w:kern w:val="0"/>
      <w:sz w:val="18"/>
      <w:szCs w:val="18"/>
      <w:lang w:val="zh-CN" w:bidi="zh-CN"/>
    </w:rPr>
  </w:style>
  <w:style w:type="paragraph" w:styleId="30">
    <w:name w:val="header"/>
    <w:basedOn w:val="1"/>
    <w:link w:val="65"/>
    <w:unhideWhenUsed/>
    <w:qFormat/>
    <w:uiPriority w:val="0"/>
    <w:pPr>
      <w:pBdr>
        <w:bottom w:val="single" w:color="auto" w:sz="6" w:space="1"/>
      </w:pBdr>
      <w:tabs>
        <w:tab w:val="center" w:pos="4153"/>
        <w:tab w:val="right" w:pos="8306"/>
      </w:tabs>
      <w:autoSpaceDE w:val="0"/>
      <w:autoSpaceDN w:val="0"/>
      <w:snapToGrid w:val="0"/>
      <w:spacing w:line="240" w:lineRule="auto"/>
      <w:ind w:firstLine="0" w:firstLineChars="0"/>
      <w:jc w:val="center"/>
    </w:pPr>
    <w:rPr>
      <w:rFonts w:ascii="宋体" w:hAnsi="宋体" w:cs="宋体"/>
      <w:kern w:val="0"/>
      <w:sz w:val="18"/>
      <w:szCs w:val="18"/>
      <w:lang w:val="zh-CN" w:bidi="zh-CN"/>
    </w:rPr>
  </w:style>
  <w:style w:type="paragraph" w:styleId="31">
    <w:name w:val="toc 1"/>
    <w:basedOn w:val="1"/>
    <w:next w:val="1"/>
    <w:qFormat/>
    <w:uiPriority w:val="39"/>
  </w:style>
  <w:style w:type="paragraph" w:styleId="32">
    <w:name w:val="toc 4"/>
    <w:basedOn w:val="1"/>
    <w:next w:val="1"/>
    <w:unhideWhenUsed/>
    <w:qFormat/>
    <w:uiPriority w:val="39"/>
    <w:pPr>
      <w:spacing w:line="240" w:lineRule="auto"/>
      <w:ind w:left="1260" w:leftChars="600" w:firstLine="0" w:firstLineChars="0"/>
    </w:pPr>
    <w:rPr>
      <w:rFonts w:asciiTheme="minorHAnsi" w:hAnsiTheme="minorHAnsi" w:eastAsiaTheme="minorEastAsia" w:cstheme="minorBidi"/>
      <w:sz w:val="21"/>
      <w:szCs w:val="22"/>
    </w:rPr>
  </w:style>
  <w:style w:type="paragraph" w:styleId="33">
    <w:name w:val="List"/>
    <w:basedOn w:val="1"/>
    <w:qFormat/>
    <w:uiPriority w:val="0"/>
    <w:pPr>
      <w:ind w:left="200" w:hanging="200" w:hangingChars="200"/>
    </w:pPr>
    <w:rPr>
      <w:kern w:val="0"/>
      <w:szCs w:val="20"/>
    </w:rPr>
  </w:style>
  <w:style w:type="paragraph" w:styleId="34">
    <w:name w:val="toc 6"/>
    <w:basedOn w:val="1"/>
    <w:next w:val="1"/>
    <w:unhideWhenUsed/>
    <w:qFormat/>
    <w:uiPriority w:val="39"/>
    <w:pPr>
      <w:spacing w:line="240" w:lineRule="auto"/>
      <w:ind w:left="2100" w:leftChars="1000" w:firstLine="0" w:firstLineChars="0"/>
    </w:pPr>
    <w:rPr>
      <w:rFonts w:asciiTheme="minorHAnsi" w:hAnsiTheme="minorHAnsi" w:eastAsiaTheme="minorEastAsia" w:cstheme="minorBidi"/>
      <w:sz w:val="21"/>
      <w:szCs w:val="22"/>
    </w:rPr>
  </w:style>
  <w:style w:type="paragraph" w:styleId="35">
    <w:name w:val="Body Text Indent 3"/>
    <w:basedOn w:val="1"/>
    <w:link w:val="132"/>
    <w:qFormat/>
    <w:uiPriority w:val="0"/>
    <w:pPr>
      <w:spacing w:after="120" w:line="240" w:lineRule="auto"/>
      <w:ind w:left="420" w:leftChars="200" w:firstLine="0" w:firstLineChars="0"/>
    </w:pPr>
    <w:rPr>
      <w:sz w:val="16"/>
      <w:szCs w:val="16"/>
    </w:rPr>
  </w:style>
  <w:style w:type="paragraph" w:styleId="36">
    <w:name w:val="toc 2"/>
    <w:basedOn w:val="1"/>
    <w:next w:val="1"/>
    <w:qFormat/>
    <w:uiPriority w:val="39"/>
    <w:pPr>
      <w:ind w:left="420" w:leftChars="200"/>
    </w:pPr>
  </w:style>
  <w:style w:type="paragraph" w:styleId="37">
    <w:name w:val="toc 9"/>
    <w:basedOn w:val="1"/>
    <w:next w:val="1"/>
    <w:unhideWhenUsed/>
    <w:qFormat/>
    <w:uiPriority w:val="39"/>
    <w:pPr>
      <w:spacing w:line="240" w:lineRule="auto"/>
      <w:ind w:left="3360" w:leftChars="1600" w:firstLine="0" w:firstLineChars="0"/>
    </w:pPr>
    <w:rPr>
      <w:rFonts w:asciiTheme="minorHAnsi" w:hAnsiTheme="minorHAnsi" w:eastAsiaTheme="minorEastAsia" w:cstheme="minorBidi"/>
      <w:sz w:val="21"/>
      <w:szCs w:val="22"/>
    </w:rPr>
  </w:style>
  <w:style w:type="paragraph" w:styleId="38">
    <w:name w:val="Normal (Web)"/>
    <w:basedOn w:val="1"/>
    <w:qFormat/>
    <w:uiPriority w:val="0"/>
    <w:pPr>
      <w:spacing w:before="100" w:beforeAutospacing="1" w:after="100" w:afterAutospacing="1"/>
      <w:ind w:firstLine="0" w:firstLineChars="0"/>
      <w:jc w:val="left"/>
    </w:pPr>
    <w:rPr>
      <w:kern w:val="0"/>
      <w:szCs w:val="20"/>
    </w:rPr>
  </w:style>
  <w:style w:type="paragraph" w:styleId="39">
    <w:name w:val="Title"/>
    <w:basedOn w:val="1"/>
    <w:next w:val="1"/>
    <w:link w:val="66"/>
    <w:qFormat/>
    <w:uiPriority w:val="0"/>
    <w:pPr>
      <w:spacing w:before="240" w:after="60"/>
      <w:jc w:val="center"/>
      <w:outlineLvl w:val="0"/>
    </w:pPr>
    <w:rPr>
      <w:rFonts w:asciiTheme="majorHAnsi" w:hAnsiTheme="majorHAnsi" w:eastAsiaTheme="majorEastAsia" w:cstheme="majorBidi"/>
      <w:b/>
      <w:bCs/>
      <w:sz w:val="32"/>
      <w:szCs w:val="32"/>
    </w:rPr>
  </w:style>
  <w:style w:type="paragraph" w:styleId="40">
    <w:name w:val="annotation subject"/>
    <w:basedOn w:val="16"/>
    <w:next w:val="16"/>
    <w:link w:val="67"/>
    <w:unhideWhenUsed/>
    <w:qFormat/>
    <w:uiPriority w:val="99"/>
    <w:rPr>
      <w:b/>
      <w:bCs/>
    </w:rPr>
  </w:style>
  <w:style w:type="paragraph" w:styleId="41">
    <w:name w:val="Body Text First Indent"/>
    <w:basedOn w:val="18"/>
    <w:next w:val="42"/>
    <w:link w:val="68"/>
    <w:unhideWhenUsed/>
    <w:qFormat/>
    <w:uiPriority w:val="0"/>
    <w:pPr>
      <w:autoSpaceDE/>
      <w:autoSpaceDN/>
      <w:spacing w:after="120" w:line="360" w:lineRule="auto"/>
      <w:ind w:firstLine="420" w:firstLineChars="100"/>
      <w:jc w:val="both"/>
    </w:pPr>
    <w:rPr>
      <w:rFonts w:ascii="Times New Roman" w:hAnsi="Times New Roman" w:cs="Times New Roman"/>
      <w:kern w:val="2"/>
      <w:lang w:val="en-US" w:bidi="ar-SA"/>
    </w:rPr>
  </w:style>
  <w:style w:type="paragraph" w:styleId="42">
    <w:name w:val="Body Text First Indent 2"/>
    <w:basedOn w:val="20"/>
    <w:next w:val="1"/>
    <w:link w:val="69"/>
    <w:unhideWhenUsed/>
    <w:qFormat/>
    <w:uiPriority w:val="0"/>
    <w:pPr>
      <w:ind w:firstLine="420"/>
    </w:pPr>
  </w:style>
  <w:style w:type="table" w:styleId="44">
    <w:name w:val="Table Grid"/>
    <w:basedOn w:val="43"/>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46">
    <w:name w:val="Strong"/>
    <w:basedOn w:val="45"/>
    <w:qFormat/>
    <w:uiPriority w:val="0"/>
    <w:rPr>
      <w:b/>
    </w:rPr>
  </w:style>
  <w:style w:type="character" w:styleId="47">
    <w:name w:val="page number"/>
    <w:basedOn w:val="45"/>
    <w:qFormat/>
    <w:uiPriority w:val="0"/>
  </w:style>
  <w:style w:type="character" w:styleId="48">
    <w:name w:val="Emphasis"/>
    <w:basedOn w:val="45"/>
    <w:qFormat/>
    <w:uiPriority w:val="0"/>
    <w:rPr>
      <w:i/>
    </w:rPr>
  </w:style>
  <w:style w:type="character" w:styleId="49">
    <w:name w:val="Hyperlink"/>
    <w:basedOn w:val="45"/>
    <w:unhideWhenUsed/>
    <w:qFormat/>
    <w:uiPriority w:val="99"/>
    <w:rPr>
      <w:color w:val="0000FF" w:themeColor="hyperlink"/>
      <w:u w:val="single"/>
      <w14:textFill>
        <w14:solidFill>
          <w14:schemeClr w14:val="hlink"/>
        </w14:solidFill>
      </w14:textFill>
    </w:rPr>
  </w:style>
  <w:style w:type="character" w:styleId="50">
    <w:name w:val="annotation reference"/>
    <w:basedOn w:val="45"/>
    <w:unhideWhenUsed/>
    <w:qFormat/>
    <w:uiPriority w:val="99"/>
    <w:rPr>
      <w:sz w:val="21"/>
      <w:szCs w:val="21"/>
    </w:rPr>
  </w:style>
  <w:style w:type="character" w:customStyle="1" w:styleId="51">
    <w:name w:val="标题 3 Char"/>
    <w:link w:val="4"/>
    <w:qFormat/>
    <w:uiPriority w:val="0"/>
    <w:rPr>
      <w:rFonts w:eastAsia="黑体"/>
      <w:kern w:val="2"/>
      <w:sz w:val="28"/>
      <w:szCs w:val="28"/>
    </w:rPr>
  </w:style>
  <w:style w:type="character" w:customStyle="1" w:styleId="52">
    <w:name w:val="标题 1 Char"/>
    <w:link w:val="3"/>
    <w:qFormat/>
    <w:uiPriority w:val="0"/>
    <w:rPr>
      <w:rFonts w:eastAsia="黑体"/>
      <w:kern w:val="44"/>
      <w:sz w:val="32"/>
      <w:szCs w:val="32"/>
    </w:rPr>
  </w:style>
  <w:style w:type="character" w:customStyle="1" w:styleId="53">
    <w:name w:val="标题 2 Char"/>
    <w:link w:val="5"/>
    <w:qFormat/>
    <w:uiPriority w:val="0"/>
    <w:rPr>
      <w:rFonts w:eastAsia="黑体"/>
      <w:kern w:val="2"/>
      <w:sz w:val="30"/>
      <w:szCs w:val="30"/>
    </w:rPr>
  </w:style>
  <w:style w:type="character" w:customStyle="1" w:styleId="54">
    <w:name w:val="标题 4 Char"/>
    <w:link w:val="6"/>
    <w:qFormat/>
    <w:uiPriority w:val="0"/>
    <w:rPr>
      <w:rFonts w:eastAsia="黑体"/>
      <w:kern w:val="2"/>
      <w:sz w:val="24"/>
      <w:szCs w:val="24"/>
    </w:rPr>
  </w:style>
  <w:style w:type="character" w:customStyle="1" w:styleId="55">
    <w:name w:val="标题 5 Char"/>
    <w:link w:val="7"/>
    <w:qFormat/>
    <w:uiPriority w:val="0"/>
    <w:rPr>
      <w:b/>
      <w:bCs/>
      <w:kern w:val="2"/>
      <w:sz w:val="24"/>
      <w:szCs w:val="21"/>
    </w:rPr>
  </w:style>
  <w:style w:type="character" w:customStyle="1" w:styleId="56">
    <w:name w:val="标题 6 Char"/>
    <w:link w:val="8"/>
    <w:qFormat/>
    <w:uiPriority w:val="0"/>
    <w:rPr>
      <w:b/>
      <w:kern w:val="2"/>
      <w:sz w:val="24"/>
      <w:szCs w:val="21"/>
    </w:rPr>
  </w:style>
  <w:style w:type="character" w:customStyle="1" w:styleId="57">
    <w:name w:val="标题 7 Char"/>
    <w:basedOn w:val="45"/>
    <w:link w:val="9"/>
    <w:qFormat/>
    <w:uiPriority w:val="0"/>
    <w:rPr>
      <w:rFonts w:ascii="Times New Roman" w:hAnsi="Times New Roman"/>
      <w:b/>
      <w:bCs/>
      <w:kern w:val="2"/>
      <w:sz w:val="21"/>
      <w:szCs w:val="24"/>
    </w:rPr>
  </w:style>
  <w:style w:type="character" w:customStyle="1" w:styleId="58">
    <w:name w:val="标题 8 Char"/>
    <w:basedOn w:val="45"/>
    <w:link w:val="10"/>
    <w:qFormat/>
    <w:uiPriority w:val="0"/>
    <w:rPr>
      <w:rFonts w:ascii="Arial" w:hAnsi="Arial" w:eastAsia="黑体"/>
      <w:kern w:val="2"/>
      <w:sz w:val="24"/>
      <w:szCs w:val="24"/>
    </w:rPr>
  </w:style>
  <w:style w:type="character" w:customStyle="1" w:styleId="59">
    <w:name w:val="标题 9 Char"/>
    <w:basedOn w:val="45"/>
    <w:link w:val="11"/>
    <w:qFormat/>
    <w:uiPriority w:val="0"/>
    <w:rPr>
      <w:rFonts w:ascii="Arial" w:hAnsi="Arial" w:eastAsia="黑体"/>
      <w:kern w:val="2"/>
      <w:sz w:val="24"/>
      <w:szCs w:val="21"/>
    </w:rPr>
  </w:style>
  <w:style w:type="character" w:customStyle="1" w:styleId="60">
    <w:name w:val="批注文字 Char"/>
    <w:basedOn w:val="45"/>
    <w:link w:val="16"/>
    <w:qFormat/>
    <w:uiPriority w:val="99"/>
    <w:rPr>
      <w:kern w:val="2"/>
      <w:sz w:val="24"/>
      <w:szCs w:val="24"/>
    </w:rPr>
  </w:style>
  <w:style w:type="character" w:customStyle="1" w:styleId="61">
    <w:name w:val="正文文本 Char"/>
    <w:basedOn w:val="45"/>
    <w:link w:val="18"/>
    <w:qFormat/>
    <w:uiPriority w:val="99"/>
    <w:rPr>
      <w:rFonts w:ascii="宋体" w:hAnsi="宋体" w:cs="宋体"/>
      <w:sz w:val="24"/>
      <w:szCs w:val="24"/>
      <w:lang w:val="zh-CN" w:bidi="zh-CN"/>
    </w:rPr>
  </w:style>
  <w:style w:type="character" w:customStyle="1" w:styleId="62">
    <w:name w:val="正文文本缩进 Char"/>
    <w:basedOn w:val="45"/>
    <w:link w:val="20"/>
    <w:qFormat/>
    <w:uiPriority w:val="99"/>
    <w:rPr>
      <w:kern w:val="2"/>
      <w:sz w:val="24"/>
      <w:szCs w:val="24"/>
    </w:rPr>
  </w:style>
  <w:style w:type="character" w:customStyle="1" w:styleId="63">
    <w:name w:val="批注框文本 Char"/>
    <w:basedOn w:val="45"/>
    <w:link w:val="28"/>
    <w:qFormat/>
    <w:uiPriority w:val="99"/>
    <w:rPr>
      <w:kern w:val="2"/>
      <w:sz w:val="18"/>
      <w:szCs w:val="18"/>
    </w:rPr>
  </w:style>
  <w:style w:type="character" w:customStyle="1" w:styleId="64">
    <w:name w:val="页脚 Char"/>
    <w:basedOn w:val="45"/>
    <w:link w:val="29"/>
    <w:qFormat/>
    <w:uiPriority w:val="99"/>
    <w:rPr>
      <w:rFonts w:ascii="宋体" w:hAnsi="宋体" w:cs="宋体"/>
      <w:sz w:val="18"/>
      <w:szCs w:val="18"/>
      <w:lang w:val="zh-CN" w:bidi="zh-CN"/>
    </w:rPr>
  </w:style>
  <w:style w:type="character" w:customStyle="1" w:styleId="65">
    <w:name w:val="页眉 Char"/>
    <w:basedOn w:val="45"/>
    <w:link w:val="30"/>
    <w:qFormat/>
    <w:uiPriority w:val="99"/>
    <w:rPr>
      <w:rFonts w:ascii="宋体" w:hAnsi="宋体" w:cs="宋体"/>
      <w:sz w:val="18"/>
      <w:szCs w:val="18"/>
      <w:lang w:val="zh-CN" w:bidi="zh-CN"/>
    </w:rPr>
  </w:style>
  <w:style w:type="character" w:customStyle="1" w:styleId="66">
    <w:name w:val="标题 Char"/>
    <w:basedOn w:val="45"/>
    <w:link w:val="39"/>
    <w:qFormat/>
    <w:uiPriority w:val="0"/>
    <w:rPr>
      <w:rFonts w:asciiTheme="majorHAnsi" w:hAnsiTheme="majorHAnsi" w:eastAsiaTheme="majorEastAsia" w:cstheme="majorBidi"/>
      <w:b/>
      <w:bCs/>
      <w:kern w:val="2"/>
      <w:sz w:val="32"/>
      <w:szCs w:val="32"/>
    </w:rPr>
  </w:style>
  <w:style w:type="character" w:customStyle="1" w:styleId="67">
    <w:name w:val="批注主题 Char"/>
    <w:basedOn w:val="60"/>
    <w:link w:val="40"/>
    <w:qFormat/>
    <w:uiPriority w:val="99"/>
    <w:rPr>
      <w:b/>
      <w:bCs/>
      <w:kern w:val="2"/>
      <w:sz w:val="24"/>
      <w:szCs w:val="24"/>
    </w:rPr>
  </w:style>
  <w:style w:type="character" w:customStyle="1" w:styleId="68">
    <w:name w:val="正文首行缩进 Char"/>
    <w:basedOn w:val="61"/>
    <w:link w:val="41"/>
    <w:qFormat/>
    <w:uiPriority w:val="99"/>
    <w:rPr>
      <w:rFonts w:ascii="宋体" w:hAnsi="宋体" w:cs="宋体"/>
      <w:kern w:val="2"/>
      <w:sz w:val="24"/>
      <w:szCs w:val="24"/>
      <w:lang w:val="zh-CN" w:bidi="zh-CN"/>
    </w:rPr>
  </w:style>
  <w:style w:type="character" w:customStyle="1" w:styleId="69">
    <w:name w:val="正文首行缩进 2 Char"/>
    <w:basedOn w:val="62"/>
    <w:link w:val="42"/>
    <w:qFormat/>
    <w:uiPriority w:val="99"/>
    <w:rPr>
      <w:kern w:val="2"/>
      <w:sz w:val="24"/>
      <w:szCs w:val="24"/>
    </w:rPr>
  </w:style>
  <w:style w:type="paragraph" w:customStyle="1" w:styleId="70">
    <w:name w:val="样式1"/>
    <w:basedOn w:val="1"/>
    <w:link w:val="71"/>
    <w:qFormat/>
    <w:uiPriority w:val="0"/>
    <w:pPr>
      <w:spacing w:line="240" w:lineRule="exact"/>
      <w:ind w:firstLine="0" w:firstLineChars="0"/>
      <w:jc w:val="center"/>
    </w:pPr>
    <w:rPr>
      <w:sz w:val="21"/>
      <w:szCs w:val="21"/>
    </w:rPr>
  </w:style>
  <w:style w:type="character" w:customStyle="1" w:styleId="71">
    <w:name w:val="样式1 字符"/>
    <w:basedOn w:val="45"/>
    <w:link w:val="70"/>
    <w:qFormat/>
    <w:uiPriority w:val="0"/>
    <w:rPr>
      <w:kern w:val="2"/>
      <w:sz w:val="21"/>
      <w:szCs w:val="21"/>
    </w:rPr>
  </w:style>
  <w:style w:type="table" w:customStyle="1" w:styleId="72">
    <w:name w:val="Table Normal"/>
    <w:unhideWhenUsed/>
    <w:qFormat/>
    <w:uiPriority w:val="0"/>
    <w:pPr>
      <w:widowControl w:val="0"/>
      <w:autoSpaceDE w:val="0"/>
      <w:autoSpaceDN w:val="0"/>
    </w:pPr>
    <w:rPr>
      <w:rFonts w:asciiTheme="minorHAnsi" w:hAnsiTheme="minorHAnsi" w:eastAsiaTheme="minorEastAsia" w:cstheme="minorBidi"/>
      <w:sz w:val="22"/>
      <w:szCs w:val="22"/>
      <w:lang w:eastAsia="en-US"/>
    </w:rPr>
    <w:tblPr>
      <w:tblCellMar>
        <w:top w:w="0" w:type="dxa"/>
        <w:left w:w="0" w:type="dxa"/>
        <w:bottom w:w="0" w:type="dxa"/>
        <w:right w:w="0" w:type="dxa"/>
      </w:tblCellMar>
    </w:tblPr>
  </w:style>
  <w:style w:type="paragraph" w:customStyle="1" w:styleId="73">
    <w:name w:val="Table Paragraph"/>
    <w:basedOn w:val="1"/>
    <w:qFormat/>
    <w:uiPriority w:val="1"/>
    <w:pPr>
      <w:autoSpaceDE w:val="0"/>
      <w:autoSpaceDN w:val="0"/>
      <w:spacing w:line="240" w:lineRule="auto"/>
      <w:ind w:firstLine="0" w:firstLineChars="0"/>
      <w:jc w:val="center"/>
    </w:pPr>
    <w:rPr>
      <w:rFonts w:eastAsia="Times New Roman"/>
      <w:kern w:val="0"/>
      <w:sz w:val="22"/>
      <w:szCs w:val="22"/>
      <w:lang w:val="zh-CN" w:bidi="zh-CN"/>
    </w:rPr>
  </w:style>
  <w:style w:type="paragraph" w:customStyle="1" w:styleId="74">
    <w:name w:val="样式2"/>
    <w:basedOn w:val="1"/>
    <w:qFormat/>
    <w:uiPriority w:val="0"/>
    <w:pPr>
      <w:ind w:firstLine="480"/>
    </w:pPr>
  </w:style>
  <w:style w:type="paragraph" w:customStyle="1" w:styleId="75">
    <w:name w:val="列表段落1"/>
    <w:basedOn w:val="1"/>
    <w:link w:val="76"/>
    <w:qFormat/>
    <w:uiPriority w:val="99"/>
    <w:pPr>
      <w:autoSpaceDE w:val="0"/>
      <w:autoSpaceDN w:val="0"/>
      <w:spacing w:line="240" w:lineRule="auto"/>
      <w:ind w:left="1988" w:hanging="709" w:firstLineChars="0"/>
      <w:jc w:val="left"/>
    </w:pPr>
    <w:rPr>
      <w:rFonts w:ascii="宋体" w:hAnsi="宋体" w:cs="宋体"/>
      <w:kern w:val="0"/>
      <w:sz w:val="22"/>
      <w:szCs w:val="22"/>
      <w:lang w:val="zh-CN" w:bidi="zh-CN"/>
    </w:rPr>
  </w:style>
  <w:style w:type="character" w:customStyle="1" w:styleId="76">
    <w:name w:val="列表段落 字符"/>
    <w:link w:val="75"/>
    <w:qFormat/>
    <w:uiPriority w:val="99"/>
    <w:rPr>
      <w:rFonts w:ascii="宋体" w:hAnsi="宋体" w:cs="宋体"/>
      <w:sz w:val="22"/>
      <w:szCs w:val="22"/>
      <w:lang w:val="zh-CN" w:bidi="zh-CN"/>
    </w:rPr>
  </w:style>
  <w:style w:type="character" w:customStyle="1" w:styleId="77">
    <w:name w:val="fontstyle01"/>
    <w:basedOn w:val="45"/>
    <w:qFormat/>
    <w:uiPriority w:val="0"/>
    <w:rPr>
      <w:rFonts w:hint="default" w:ascii="CIDFont+F1" w:hAnsi="CIDFont+F1"/>
      <w:color w:val="000000"/>
      <w:sz w:val="24"/>
      <w:szCs w:val="24"/>
    </w:rPr>
  </w:style>
  <w:style w:type="character" w:customStyle="1" w:styleId="78">
    <w:name w:val="fontstyle11"/>
    <w:basedOn w:val="45"/>
    <w:qFormat/>
    <w:uiPriority w:val="0"/>
    <w:rPr>
      <w:rFonts w:hint="default" w:ascii="CIDFont+F2" w:hAnsi="CIDFont+F2"/>
      <w:color w:val="000000"/>
      <w:sz w:val="24"/>
      <w:szCs w:val="24"/>
    </w:rPr>
  </w:style>
  <w:style w:type="character" w:customStyle="1" w:styleId="79">
    <w:name w:val="表格文字 Char"/>
    <w:link w:val="80"/>
    <w:qFormat/>
    <w:uiPriority w:val="0"/>
    <w:rPr>
      <w:kern w:val="2"/>
      <w:sz w:val="24"/>
      <w:szCs w:val="24"/>
    </w:rPr>
  </w:style>
  <w:style w:type="paragraph" w:customStyle="1" w:styleId="80">
    <w:name w:val="表格文字"/>
    <w:basedOn w:val="1"/>
    <w:link w:val="79"/>
    <w:qFormat/>
    <w:uiPriority w:val="0"/>
    <w:pPr>
      <w:adjustRightInd w:val="0"/>
      <w:snapToGrid w:val="0"/>
      <w:spacing w:line="240" w:lineRule="auto"/>
      <w:ind w:firstLine="0" w:firstLineChars="0"/>
      <w:jc w:val="center"/>
    </w:pPr>
  </w:style>
  <w:style w:type="paragraph" w:customStyle="1" w:styleId="81">
    <w:name w:val="表号、图号"/>
    <w:basedOn w:val="1"/>
    <w:link w:val="82"/>
    <w:qFormat/>
    <w:uiPriority w:val="0"/>
    <w:pPr>
      <w:tabs>
        <w:tab w:val="left" w:pos="567"/>
      </w:tabs>
      <w:spacing w:line="240" w:lineRule="auto"/>
      <w:ind w:firstLine="0" w:firstLineChars="0"/>
      <w:jc w:val="center"/>
    </w:pPr>
    <w:rPr>
      <w:b/>
      <w:lang w:val="zh-CN"/>
    </w:rPr>
  </w:style>
  <w:style w:type="character" w:customStyle="1" w:styleId="82">
    <w:name w:val="表号、图号 Char"/>
    <w:link w:val="81"/>
    <w:qFormat/>
    <w:uiPriority w:val="0"/>
    <w:rPr>
      <w:b/>
      <w:kern w:val="2"/>
      <w:sz w:val="24"/>
      <w:szCs w:val="24"/>
      <w:lang w:val="zh-CN" w:eastAsia="zh-CN"/>
    </w:rPr>
  </w:style>
  <w:style w:type="paragraph" w:customStyle="1" w:styleId="83">
    <w:name w:val="图片名"/>
    <w:basedOn w:val="1"/>
    <w:qFormat/>
    <w:uiPriority w:val="0"/>
    <w:pPr>
      <w:tabs>
        <w:tab w:val="left" w:pos="1134"/>
        <w:tab w:val="left" w:pos="4740"/>
      </w:tabs>
      <w:adjustRightInd w:val="0"/>
      <w:snapToGrid w:val="0"/>
      <w:ind w:left="1134" w:hanging="1134" w:firstLineChars="0"/>
      <w:jc w:val="center"/>
    </w:pPr>
    <w:rPr>
      <w:b/>
      <w:lang w:val="zh-CN"/>
    </w:rPr>
  </w:style>
  <w:style w:type="paragraph" w:customStyle="1" w:styleId="84">
    <w:name w:val="表格内容"/>
    <w:basedOn w:val="1"/>
    <w:link w:val="85"/>
    <w:qFormat/>
    <w:uiPriority w:val="0"/>
    <w:pPr>
      <w:adjustRightInd w:val="0"/>
      <w:snapToGrid w:val="0"/>
      <w:spacing w:line="240" w:lineRule="auto"/>
      <w:ind w:firstLine="0" w:firstLineChars="0"/>
      <w:jc w:val="left"/>
    </w:pPr>
    <w:rPr>
      <w:rFonts w:hAnsi="宋体"/>
      <w:snapToGrid w:val="0"/>
      <w:kern w:val="0"/>
      <w:sz w:val="21"/>
      <w:szCs w:val="21"/>
    </w:rPr>
  </w:style>
  <w:style w:type="character" w:customStyle="1" w:styleId="85">
    <w:name w:val="表格内容 Char"/>
    <w:link w:val="84"/>
    <w:qFormat/>
    <w:uiPriority w:val="0"/>
    <w:rPr>
      <w:rFonts w:hAnsi="宋体"/>
      <w:snapToGrid w:val="0"/>
      <w:sz w:val="21"/>
      <w:szCs w:val="21"/>
    </w:rPr>
  </w:style>
  <w:style w:type="paragraph" w:customStyle="1" w:styleId="86">
    <w:name w:val="正文nlw"/>
    <w:basedOn w:val="1"/>
    <w:link w:val="87"/>
    <w:qFormat/>
    <w:uiPriority w:val="99"/>
    <w:pPr>
      <w:adjustRightInd w:val="0"/>
      <w:spacing w:line="240" w:lineRule="auto"/>
      <w:textAlignment w:val="baseline"/>
    </w:pPr>
    <w:rPr>
      <w:kern w:val="0"/>
    </w:rPr>
  </w:style>
  <w:style w:type="character" w:customStyle="1" w:styleId="87">
    <w:name w:val="正文nlw Char"/>
    <w:link w:val="86"/>
    <w:qFormat/>
    <w:uiPriority w:val="99"/>
    <w:rPr>
      <w:sz w:val="24"/>
      <w:szCs w:val="24"/>
    </w:rPr>
  </w:style>
  <w:style w:type="paragraph" w:customStyle="1" w:styleId="88">
    <w:name w:val="表格名称"/>
    <w:basedOn w:val="39"/>
    <w:qFormat/>
    <w:uiPriority w:val="0"/>
    <w:pPr>
      <w:spacing w:before="0" w:after="0" w:line="240" w:lineRule="auto"/>
      <w:ind w:firstLine="0" w:firstLineChars="0"/>
      <w:outlineLvl w:val="9"/>
    </w:pPr>
    <w:rPr>
      <w:rFonts w:ascii="Times New Roman" w:hAnsi="Times New Roman" w:eastAsia="宋体" w:cs="Arial"/>
      <w:bCs w:val="0"/>
      <w:sz w:val="24"/>
    </w:rPr>
  </w:style>
  <w:style w:type="paragraph" w:customStyle="1" w:styleId="89">
    <w:name w:val="图表"/>
    <w:basedOn w:val="88"/>
    <w:link w:val="90"/>
    <w:qFormat/>
    <w:uiPriority w:val="0"/>
  </w:style>
  <w:style w:type="character" w:customStyle="1" w:styleId="90">
    <w:name w:val="图表 Char"/>
    <w:link w:val="89"/>
    <w:qFormat/>
    <w:uiPriority w:val="0"/>
    <w:rPr>
      <w:rFonts w:cs="Arial"/>
      <w:b/>
      <w:kern w:val="2"/>
      <w:sz w:val="24"/>
      <w:szCs w:val="32"/>
    </w:rPr>
  </w:style>
  <w:style w:type="paragraph" w:customStyle="1" w:styleId="91">
    <w:name w:val="表格nlw"/>
    <w:basedOn w:val="1"/>
    <w:link w:val="92"/>
    <w:qFormat/>
    <w:uiPriority w:val="0"/>
    <w:pPr>
      <w:widowControl/>
      <w:spacing w:line="300" w:lineRule="exact"/>
      <w:ind w:firstLine="0" w:firstLineChars="0"/>
      <w:jc w:val="center"/>
    </w:pPr>
    <w:rPr>
      <w:kern w:val="0"/>
      <w:sz w:val="21"/>
      <w:szCs w:val="22"/>
    </w:rPr>
  </w:style>
  <w:style w:type="character" w:customStyle="1" w:styleId="92">
    <w:name w:val="表格nlw Char"/>
    <w:link w:val="91"/>
    <w:qFormat/>
    <w:uiPriority w:val="0"/>
    <w:rPr>
      <w:sz w:val="21"/>
      <w:szCs w:val="22"/>
    </w:rPr>
  </w:style>
  <w:style w:type="paragraph" w:customStyle="1" w:styleId="93">
    <w:name w:val="样式nlw"/>
    <w:basedOn w:val="1"/>
    <w:link w:val="94"/>
    <w:qFormat/>
    <w:uiPriority w:val="0"/>
    <w:pPr>
      <w:spacing w:line="240" w:lineRule="auto"/>
    </w:pPr>
    <w:rPr>
      <w:lang w:val="zh-CN"/>
    </w:rPr>
  </w:style>
  <w:style w:type="character" w:customStyle="1" w:styleId="94">
    <w:name w:val="样式nlw 字符"/>
    <w:link w:val="93"/>
    <w:qFormat/>
    <w:uiPriority w:val="0"/>
    <w:rPr>
      <w:kern w:val="2"/>
      <w:sz w:val="24"/>
      <w:szCs w:val="24"/>
      <w:lang w:val="zh-CN"/>
    </w:rPr>
  </w:style>
  <w:style w:type="character" w:customStyle="1" w:styleId="95">
    <w:name w:val="标准正文 Char"/>
    <w:link w:val="96"/>
    <w:qFormat/>
    <w:uiPriority w:val="0"/>
    <w:rPr>
      <w:rFonts w:ascii="宋体" w:hAnsi="宋体"/>
      <w:sz w:val="24"/>
      <w:szCs w:val="24"/>
      <w:lang w:val="zh-CN" w:eastAsia="zh-CN"/>
    </w:rPr>
  </w:style>
  <w:style w:type="paragraph" w:customStyle="1" w:styleId="96">
    <w:name w:val="标准正文"/>
    <w:basedOn w:val="1"/>
    <w:link w:val="95"/>
    <w:qFormat/>
    <w:uiPriority w:val="0"/>
    <w:pPr>
      <w:widowControl/>
      <w:ind w:firstLine="480"/>
      <w:jc w:val="left"/>
    </w:pPr>
    <w:rPr>
      <w:rFonts w:ascii="宋体" w:hAnsi="宋体"/>
      <w:kern w:val="0"/>
      <w:lang w:val="zh-CN"/>
    </w:rPr>
  </w:style>
  <w:style w:type="character" w:customStyle="1" w:styleId="97">
    <w:name w:val="5号表格 Char"/>
    <w:link w:val="98"/>
    <w:qFormat/>
    <w:uiPriority w:val="0"/>
    <w:rPr>
      <w:kern w:val="2"/>
      <w:sz w:val="24"/>
      <w:szCs w:val="22"/>
    </w:rPr>
  </w:style>
  <w:style w:type="paragraph" w:customStyle="1" w:styleId="98">
    <w:name w:val="五号表格"/>
    <w:basedOn w:val="99"/>
    <w:link w:val="97"/>
    <w:qFormat/>
    <w:uiPriority w:val="0"/>
    <w:pPr>
      <w:ind w:firstLine="0" w:firstLineChars="0"/>
      <w:jc w:val="center"/>
    </w:pPr>
    <w:rPr>
      <w:szCs w:val="22"/>
    </w:rPr>
  </w:style>
  <w:style w:type="paragraph" w:customStyle="1" w:styleId="99">
    <w:name w:val="无间隔1"/>
    <w:qFormat/>
    <w:uiPriority w:val="0"/>
    <w:pPr>
      <w:widowControl w:val="0"/>
      <w:ind w:firstLine="200" w:firstLineChars="200"/>
      <w:jc w:val="both"/>
    </w:pPr>
    <w:rPr>
      <w:rFonts w:ascii="Times New Roman" w:hAnsi="Times New Roman" w:eastAsia="宋体" w:cs="Times New Roman"/>
      <w:kern w:val="2"/>
      <w:sz w:val="24"/>
      <w:szCs w:val="24"/>
      <w:lang w:val="en-US" w:eastAsia="zh-CN" w:bidi="ar-SA"/>
    </w:rPr>
  </w:style>
  <w:style w:type="character" w:customStyle="1" w:styleId="100">
    <w:name w:val="未处理的提及1"/>
    <w:basedOn w:val="45"/>
    <w:unhideWhenUsed/>
    <w:qFormat/>
    <w:uiPriority w:val="99"/>
    <w:rPr>
      <w:color w:val="605E5C"/>
      <w:shd w:val="clear" w:color="auto" w:fill="E1DFDD"/>
    </w:rPr>
  </w:style>
  <w:style w:type="paragraph" w:customStyle="1" w:styleId="101">
    <w:name w:val="标1"/>
    <w:basedOn w:val="3"/>
    <w:link w:val="102"/>
    <w:qFormat/>
    <w:uiPriority w:val="0"/>
    <w:pPr>
      <w:keepLines w:val="0"/>
      <w:numPr>
        <w:numId w:val="0"/>
      </w:numPr>
      <w:tabs>
        <w:tab w:val="left" w:pos="0"/>
      </w:tabs>
      <w:spacing w:line="480" w:lineRule="auto"/>
      <w:ind w:left="432" w:hanging="432"/>
      <w:jc w:val="center"/>
    </w:pPr>
    <w:rPr>
      <w:b/>
      <w:color w:val="000000"/>
      <w:kern w:val="2"/>
    </w:rPr>
  </w:style>
  <w:style w:type="character" w:customStyle="1" w:styleId="102">
    <w:name w:val="标1 字符"/>
    <w:link w:val="101"/>
    <w:qFormat/>
    <w:uiPriority w:val="0"/>
    <w:rPr>
      <w:rFonts w:eastAsia="黑体"/>
      <w:b/>
      <w:color w:val="000000"/>
      <w:kern w:val="2"/>
      <w:sz w:val="32"/>
      <w:szCs w:val="32"/>
    </w:rPr>
  </w:style>
  <w:style w:type="paragraph" w:customStyle="1" w:styleId="103">
    <w:name w:val="标1.1"/>
    <w:basedOn w:val="5"/>
    <w:qFormat/>
    <w:uiPriority w:val="0"/>
    <w:pPr>
      <w:numPr>
        <w:ilvl w:val="0"/>
        <w:numId w:val="0"/>
      </w:numPr>
    </w:pPr>
    <w:rPr>
      <w:b/>
      <w:bCs/>
    </w:rPr>
  </w:style>
  <w:style w:type="paragraph" w:customStyle="1" w:styleId="104">
    <w:name w:val="标1.1.1"/>
    <w:basedOn w:val="1"/>
    <w:qFormat/>
    <w:uiPriority w:val="0"/>
    <w:pPr>
      <w:keepNext/>
      <w:keepLines/>
      <w:tabs>
        <w:tab w:val="left" w:pos="0"/>
        <w:tab w:val="left" w:pos="3570"/>
      </w:tabs>
      <w:spacing w:line="240" w:lineRule="auto"/>
      <w:ind w:firstLine="0" w:firstLineChars="0"/>
      <w:jc w:val="left"/>
      <w:outlineLvl w:val="2"/>
    </w:pPr>
    <w:rPr>
      <w:b/>
      <w:color w:val="000000"/>
      <w:sz w:val="28"/>
      <w:szCs w:val="28"/>
    </w:rPr>
  </w:style>
  <w:style w:type="paragraph" w:customStyle="1" w:styleId="105">
    <w:name w:val="标1.1.1.1"/>
    <w:basedOn w:val="6"/>
    <w:qFormat/>
    <w:uiPriority w:val="0"/>
    <w:pPr>
      <w:numPr>
        <w:ilvl w:val="0"/>
        <w:numId w:val="0"/>
      </w:numPr>
      <w:snapToGrid w:val="0"/>
      <w:spacing w:before="20" w:beforeLines="20" w:after="20" w:afterLines="20" w:line="240" w:lineRule="auto"/>
    </w:pPr>
    <w:rPr>
      <w:rFonts w:eastAsia="宋体"/>
      <w:b/>
    </w:rPr>
  </w:style>
  <w:style w:type="paragraph" w:customStyle="1" w:styleId="106">
    <w:name w:val="标1.1.1.1.1"/>
    <w:basedOn w:val="7"/>
    <w:qFormat/>
    <w:uiPriority w:val="0"/>
    <w:pPr>
      <w:numPr>
        <w:ilvl w:val="0"/>
        <w:numId w:val="0"/>
      </w:numPr>
      <w:tabs>
        <w:tab w:val="clear" w:pos="420"/>
      </w:tabs>
      <w:snapToGrid w:val="0"/>
      <w:jc w:val="both"/>
    </w:pPr>
    <w:rPr>
      <w:b w:val="0"/>
      <w:bCs w:val="0"/>
      <w:szCs w:val="24"/>
    </w:rPr>
  </w:style>
  <w:style w:type="paragraph" w:customStyle="1" w:styleId="107">
    <w:name w:val="表1.1-1"/>
    <w:basedOn w:val="8"/>
    <w:link w:val="108"/>
    <w:qFormat/>
    <w:uiPriority w:val="0"/>
    <w:pPr>
      <w:keepNext/>
      <w:numPr>
        <w:ilvl w:val="0"/>
        <w:numId w:val="0"/>
      </w:numPr>
      <w:tabs>
        <w:tab w:val="clear" w:pos="420"/>
      </w:tabs>
      <w:snapToGrid w:val="0"/>
    </w:pPr>
    <w:rPr>
      <w:szCs w:val="24"/>
    </w:rPr>
  </w:style>
  <w:style w:type="character" w:customStyle="1" w:styleId="108">
    <w:name w:val="表1.1-1 字符"/>
    <w:link w:val="107"/>
    <w:qFormat/>
    <w:uiPriority w:val="0"/>
    <w:rPr>
      <w:b/>
      <w:kern w:val="2"/>
      <w:sz w:val="24"/>
      <w:szCs w:val="24"/>
    </w:rPr>
  </w:style>
  <w:style w:type="paragraph" w:customStyle="1" w:styleId="109">
    <w:name w:val="图1.1-1"/>
    <w:basedOn w:val="9"/>
    <w:qFormat/>
    <w:uiPriority w:val="0"/>
    <w:pPr>
      <w:tabs>
        <w:tab w:val="clear" w:pos="1276"/>
      </w:tabs>
      <w:snapToGrid w:val="0"/>
      <w:spacing w:line="240" w:lineRule="auto"/>
      <w:ind w:firstLineChars="0"/>
    </w:pPr>
    <w:rPr>
      <w:bCs w:val="0"/>
      <w:sz w:val="24"/>
    </w:rPr>
  </w:style>
  <w:style w:type="paragraph" w:customStyle="1" w:styleId="110">
    <w:name w:val="注："/>
    <w:next w:val="1"/>
    <w:qFormat/>
    <w:uiPriority w:val="0"/>
    <w:pPr>
      <w:widowControl w:val="0"/>
      <w:autoSpaceDE w:val="0"/>
      <w:autoSpaceDN w:val="0"/>
      <w:jc w:val="both"/>
    </w:pPr>
    <w:rPr>
      <w:rFonts w:ascii="宋体" w:hAnsi="Times New Roman" w:eastAsia="宋体" w:cs="宋体"/>
      <w:sz w:val="18"/>
      <w:szCs w:val="18"/>
      <w:lang w:val="en-US" w:eastAsia="zh-CN" w:bidi="ar-SA"/>
    </w:rPr>
  </w:style>
  <w:style w:type="paragraph" w:customStyle="1" w:styleId="111">
    <w:name w:val="Default"/>
    <w:unhideWhenUsed/>
    <w:qFormat/>
    <w:uiPriority w:val="0"/>
    <w:pPr>
      <w:widowControl w:val="0"/>
      <w:autoSpaceDE w:val="0"/>
      <w:autoSpaceDN w:val="0"/>
      <w:adjustRightInd w:val="0"/>
    </w:pPr>
    <w:rPr>
      <w:rFonts w:ascii="宋体" w:hAnsi="宋体" w:eastAsia="宋体" w:cs="Times New Roman"/>
      <w:color w:val="000000"/>
      <w:sz w:val="24"/>
      <w:lang w:val="en-US" w:eastAsia="zh-CN" w:bidi="ar-SA"/>
    </w:rPr>
  </w:style>
  <w:style w:type="character" w:customStyle="1" w:styleId="112">
    <w:name w:val="font51"/>
    <w:basedOn w:val="45"/>
    <w:qFormat/>
    <w:uiPriority w:val="0"/>
    <w:rPr>
      <w:rFonts w:hint="eastAsia" w:ascii="宋体" w:hAnsi="宋体" w:eastAsia="宋体" w:cs="宋体"/>
      <w:color w:val="000000"/>
      <w:sz w:val="21"/>
      <w:szCs w:val="21"/>
      <w:u w:val="none"/>
    </w:rPr>
  </w:style>
  <w:style w:type="character" w:customStyle="1" w:styleId="113">
    <w:name w:val="font41"/>
    <w:basedOn w:val="45"/>
    <w:qFormat/>
    <w:uiPriority w:val="0"/>
    <w:rPr>
      <w:rFonts w:hint="default" w:ascii="Times New Roman" w:hAnsi="Times New Roman" w:cs="Times New Roman"/>
      <w:color w:val="000000"/>
      <w:sz w:val="21"/>
      <w:szCs w:val="21"/>
      <w:u w:val="none"/>
    </w:rPr>
  </w:style>
  <w:style w:type="character" w:customStyle="1" w:styleId="114">
    <w:name w:val="font01"/>
    <w:basedOn w:val="45"/>
    <w:qFormat/>
    <w:uiPriority w:val="0"/>
    <w:rPr>
      <w:rFonts w:hint="default" w:ascii="Times New Roman" w:hAnsi="Times New Roman" w:cs="Times New Roman"/>
      <w:color w:val="000000"/>
      <w:sz w:val="21"/>
      <w:szCs w:val="21"/>
      <w:u w:val="none"/>
      <w:vertAlign w:val="superscript"/>
    </w:rPr>
  </w:style>
  <w:style w:type="paragraph" w:customStyle="1" w:styleId="115">
    <w:name w:val="a4New级"/>
    <w:basedOn w:val="1"/>
    <w:qFormat/>
    <w:uiPriority w:val="0"/>
    <w:pPr>
      <w:adjustRightInd w:val="0"/>
      <w:snapToGrid w:val="0"/>
      <w:jc w:val="left"/>
      <w:outlineLvl w:val="3"/>
    </w:pPr>
    <w:rPr>
      <w:b/>
      <w:szCs w:val="28"/>
    </w:rPr>
  </w:style>
  <w:style w:type="paragraph" w:customStyle="1" w:styleId="116">
    <w:name w:val="修订1"/>
    <w:hidden/>
    <w:semiHidden/>
    <w:qFormat/>
    <w:uiPriority w:val="99"/>
    <w:rPr>
      <w:rFonts w:ascii="Times New Roman" w:hAnsi="Times New Roman" w:eastAsia="宋体" w:cs="Times New Roman"/>
      <w:kern w:val="2"/>
      <w:sz w:val="24"/>
      <w:szCs w:val="24"/>
      <w:lang w:val="en-US" w:eastAsia="zh-CN" w:bidi="ar-SA"/>
    </w:rPr>
  </w:style>
  <w:style w:type="paragraph" w:customStyle="1" w:styleId="117">
    <w:name w:val="修订2"/>
    <w:hidden/>
    <w:semiHidden/>
    <w:qFormat/>
    <w:uiPriority w:val="99"/>
    <w:rPr>
      <w:rFonts w:ascii="Times New Roman" w:hAnsi="Times New Roman" w:eastAsia="宋体" w:cs="Times New Roman"/>
      <w:kern w:val="2"/>
      <w:sz w:val="24"/>
      <w:szCs w:val="24"/>
      <w:lang w:val="en-US" w:eastAsia="zh-CN" w:bidi="ar-SA"/>
    </w:rPr>
  </w:style>
  <w:style w:type="table" w:customStyle="1" w:styleId="118">
    <w:name w:val="Table Normal1"/>
    <w:unhideWhenUsed/>
    <w:qFormat/>
    <w:uiPriority w:val="0"/>
    <w:tblPr>
      <w:tblCellMar>
        <w:top w:w="0" w:type="dxa"/>
        <w:left w:w="0" w:type="dxa"/>
        <w:bottom w:w="0" w:type="dxa"/>
        <w:right w:w="0" w:type="dxa"/>
      </w:tblCellMar>
    </w:tblPr>
  </w:style>
  <w:style w:type="table" w:customStyle="1" w:styleId="119">
    <w:name w:val="Table Normal2"/>
    <w:unhideWhenUsed/>
    <w:qFormat/>
    <w:uiPriority w:val="0"/>
    <w:tblPr>
      <w:tblCellMar>
        <w:top w:w="0" w:type="dxa"/>
        <w:left w:w="0" w:type="dxa"/>
        <w:bottom w:w="0" w:type="dxa"/>
        <w:right w:w="0" w:type="dxa"/>
      </w:tblCellMar>
    </w:tblPr>
  </w:style>
  <w:style w:type="paragraph" w:styleId="120">
    <w:name w:val="List Paragraph"/>
    <w:basedOn w:val="1"/>
    <w:unhideWhenUsed/>
    <w:qFormat/>
    <w:uiPriority w:val="0"/>
    <w:pPr>
      <w:ind w:firstLine="420"/>
    </w:pPr>
  </w:style>
  <w:style w:type="paragraph" w:customStyle="1" w:styleId="121">
    <w:name w:val="05表格"/>
    <w:basedOn w:val="1"/>
    <w:qFormat/>
    <w:uiPriority w:val="0"/>
    <w:pPr>
      <w:widowControl/>
      <w:spacing w:before="100" w:beforeAutospacing="1" w:after="100" w:afterAutospacing="1" w:line="360" w:lineRule="exact"/>
      <w:ind w:left="-10" w:leftChars="-10" w:right="-10" w:rightChars="-10" w:firstLine="0" w:firstLineChars="0"/>
      <w:contextualSpacing/>
      <w:jc w:val="center"/>
      <w:textAlignment w:val="center"/>
    </w:pPr>
    <w:rPr>
      <w:rFonts w:ascii="Calibri" w:hAnsi="Calibri"/>
      <w:color w:val="000000"/>
      <w:kern w:val="0"/>
      <w:szCs w:val="20"/>
    </w:rPr>
  </w:style>
  <w:style w:type="paragraph" w:customStyle="1" w:styleId="122">
    <w:name w:val="环评表格"/>
    <w:basedOn w:val="1"/>
    <w:qFormat/>
    <w:uiPriority w:val="0"/>
    <w:pPr>
      <w:widowControl/>
      <w:topLinePunct/>
      <w:spacing w:line="240" w:lineRule="auto"/>
      <w:ind w:firstLine="0" w:firstLineChars="0"/>
      <w:contextualSpacing/>
      <w:jc w:val="center"/>
      <w:textAlignment w:val="center"/>
    </w:pPr>
    <w:rPr>
      <w:color w:val="000000"/>
      <w:kern w:val="0"/>
      <w:sz w:val="21"/>
      <w:szCs w:val="21"/>
    </w:rPr>
  </w:style>
  <w:style w:type="paragraph" w:customStyle="1" w:styleId="123">
    <w:name w:val="表文"/>
    <w:basedOn w:val="1"/>
    <w:qFormat/>
    <w:uiPriority w:val="0"/>
    <w:pPr>
      <w:spacing w:line="240" w:lineRule="auto"/>
      <w:ind w:firstLine="0" w:firstLineChars="0"/>
      <w:jc w:val="center"/>
    </w:pPr>
    <w:rPr>
      <w:b/>
      <w:color w:val="000000"/>
      <w:sz w:val="21"/>
      <w:szCs w:val="21"/>
    </w:rPr>
  </w:style>
  <w:style w:type="table" w:customStyle="1" w:styleId="124">
    <w:name w:val="Table Normal3"/>
    <w:unhideWhenUsed/>
    <w:qFormat/>
    <w:uiPriority w:val="0"/>
    <w:tblPr>
      <w:tblCellMar>
        <w:top w:w="0" w:type="dxa"/>
        <w:left w:w="0" w:type="dxa"/>
        <w:bottom w:w="0" w:type="dxa"/>
        <w:right w:w="0" w:type="dxa"/>
      </w:tblCellMar>
    </w:tblPr>
  </w:style>
  <w:style w:type="table" w:customStyle="1" w:styleId="125">
    <w:name w:val="Table Normal4"/>
    <w:unhideWhenUsed/>
    <w:qFormat/>
    <w:uiPriority w:val="0"/>
    <w:tblPr>
      <w:tblCellMar>
        <w:top w:w="0" w:type="dxa"/>
        <w:left w:w="0" w:type="dxa"/>
        <w:bottom w:w="0" w:type="dxa"/>
        <w:right w:w="0" w:type="dxa"/>
      </w:tblCellMar>
    </w:tblPr>
  </w:style>
  <w:style w:type="table" w:customStyle="1" w:styleId="126">
    <w:name w:val="Table Normal5"/>
    <w:unhideWhenUsed/>
    <w:qFormat/>
    <w:uiPriority w:val="0"/>
    <w:tblPr>
      <w:tblCellMar>
        <w:top w:w="0" w:type="dxa"/>
        <w:left w:w="0" w:type="dxa"/>
        <w:bottom w:w="0" w:type="dxa"/>
        <w:right w:w="0" w:type="dxa"/>
      </w:tblCellMar>
    </w:tblPr>
  </w:style>
  <w:style w:type="table" w:customStyle="1" w:styleId="127">
    <w:name w:val="Table Normal6"/>
    <w:unhideWhenUsed/>
    <w:qFormat/>
    <w:uiPriority w:val="0"/>
    <w:tblPr>
      <w:tblCellMar>
        <w:top w:w="0" w:type="dxa"/>
        <w:left w:w="0" w:type="dxa"/>
        <w:bottom w:w="0" w:type="dxa"/>
        <w:right w:w="0" w:type="dxa"/>
      </w:tblCellMar>
    </w:tblPr>
  </w:style>
  <w:style w:type="paragraph" w:customStyle="1" w:styleId="128">
    <w:name w:val="正文2"/>
    <w:qFormat/>
    <w:uiPriority w:val="0"/>
    <w:pPr>
      <w:jc w:val="both"/>
    </w:pPr>
    <w:rPr>
      <w:rFonts w:ascii="Calibri" w:hAnsi="Calibri" w:eastAsia="宋体" w:cs="Calibri"/>
      <w:kern w:val="2"/>
      <w:sz w:val="21"/>
      <w:szCs w:val="21"/>
      <w:lang w:val="en-US" w:eastAsia="zh-CN" w:bidi="ar-SA"/>
    </w:rPr>
  </w:style>
  <w:style w:type="table" w:customStyle="1" w:styleId="129">
    <w:name w:val="Table Normal7"/>
    <w:unhideWhenUsed/>
    <w:qFormat/>
    <w:uiPriority w:val="0"/>
    <w:tblPr>
      <w:tblCellMar>
        <w:top w:w="0" w:type="dxa"/>
        <w:left w:w="0" w:type="dxa"/>
        <w:bottom w:w="0" w:type="dxa"/>
        <w:right w:w="0" w:type="dxa"/>
      </w:tblCellMar>
    </w:tblPr>
  </w:style>
  <w:style w:type="character" w:customStyle="1" w:styleId="130">
    <w:name w:val="正文缩进 Char"/>
    <w:basedOn w:val="45"/>
    <w:link w:val="13"/>
    <w:qFormat/>
    <w:uiPriority w:val="0"/>
    <w:rPr>
      <w:kern w:val="2"/>
      <w:sz w:val="21"/>
      <w:szCs w:val="24"/>
    </w:rPr>
  </w:style>
  <w:style w:type="character" w:customStyle="1" w:styleId="131">
    <w:name w:val="文档结构图 Char"/>
    <w:basedOn w:val="45"/>
    <w:link w:val="15"/>
    <w:qFormat/>
    <w:uiPriority w:val="0"/>
    <w:rPr>
      <w:kern w:val="2"/>
      <w:sz w:val="21"/>
      <w:szCs w:val="24"/>
      <w:shd w:val="clear" w:color="auto" w:fill="000080"/>
    </w:rPr>
  </w:style>
  <w:style w:type="character" w:customStyle="1" w:styleId="132">
    <w:name w:val="正文文本缩进 3 Char"/>
    <w:basedOn w:val="45"/>
    <w:link w:val="35"/>
    <w:qFormat/>
    <w:uiPriority w:val="0"/>
    <w:rPr>
      <w:kern w:val="2"/>
      <w:sz w:val="16"/>
      <w:szCs w:val="16"/>
    </w:rPr>
  </w:style>
  <w:style w:type="paragraph" w:customStyle="1" w:styleId="133">
    <w:name w:val="Char Char Char2 Char"/>
    <w:basedOn w:val="1"/>
    <w:qFormat/>
    <w:uiPriority w:val="0"/>
    <w:pPr>
      <w:tabs>
        <w:tab w:val="left" w:pos="360"/>
      </w:tabs>
      <w:spacing w:line="480" w:lineRule="auto"/>
      <w:ind w:left="357" w:hanging="357" w:firstLineChars="0"/>
      <w:jc w:val="center"/>
    </w:pPr>
    <w:rPr>
      <w:b/>
      <w:sz w:val="36"/>
      <w:szCs w:val="36"/>
    </w:rPr>
  </w:style>
  <w:style w:type="paragraph" w:customStyle="1" w:styleId="134">
    <w:name w:val="Char3"/>
    <w:basedOn w:val="1"/>
    <w:qFormat/>
    <w:uiPriority w:val="0"/>
    <w:rPr>
      <w:rFonts w:ascii="宋体" w:hAnsi="宋体" w:cs="宋体"/>
    </w:rPr>
  </w:style>
  <w:style w:type="paragraph" w:customStyle="1" w:styleId="135">
    <w:name w:val="CM180"/>
    <w:basedOn w:val="1"/>
    <w:next w:val="1"/>
    <w:qFormat/>
    <w:uiPriority w:val="0"/>
    <w:pPr>
      <w:autoSpaceDE w:val="0"/>
      <w:autoSpaceDN w:val="0"/>
      <w:adjustRightInd w:val="0"/>
      <w:spacing w:after="635" w:line="240" w:lineRule="auto"/>
      <w:ind w:firstLine="0" w:firstLineChars="0"/>
      <w:jc w:val="left"/>
    </w:pPr>
    <w:rPr>
      <w:rFonts w:ascii="宋体"/>
      <w:kern w:val="0"/>
    </w:rPr>
  </w:style>
  <w:style w:type="paragraph" w:customStyle="1" w:styleId="136">
    <w:name w:val="xl40"/>
    <w:basedOn w:val="1"/>
    <w:qFormat/>
    <w:uiPriority w:val="0"/>
    <w:pPr>
      <w:widowControl/>
      <w:pBdr>
        <w:bottom w:val="single" w:color="auto" w:sz="8" w:space="0"/>
      </w:pBdr>
      <w:spacing w:before="100" w:after="100" w:line="240" w:lineRule="auto"/>
      <w:ind w:firstLine="0" w:firstLineChars="0"/>
      <w:jc w:val="center"/>
    </w:pPr>
    <w:rPr>
      <w:rFonts w:ascii="宋体"/>
      <w:kern w:val="0"/>
      <w:szCs w:val="20"/>
    </w:rPr>
  </w:style>
  <w:style w:type="character" w:customStyle="1" w:styleId="137">
    <w:name w:val="样式28 Char"/>
    <w:basedOn w:val="45"/>
    <w:link w:val="138"/>
    <w:qFormat/>
    <w:uiPriority w:val="0"/>
    <w:rPr>
      <w:kern w:val="2"/>
      <w:sz w:val="24"/>
      <w:szCs w:val="24"/>
    </w:rPr>
  </w:style>
  <w:style w:type="paragraph" w:customStyle="1" w:styleId="138">
    <w:name w:val="样式28"/>
    <w:basedOn w:val="1"/>
    <w:link w:val="137"/>
    <w:qFormat/>
    <w:uiPriority w:val="0"/>
    <w:pPr>
      <w:ind w:firstLine="480"/>
    </w:pPr>
  </w:style>
  <w:style w:type="paragraph" w:customStyle="1" w:styleId="139">
    <w:name w:val="样式55"/>
    <w:basedOn w:val="1"/>
    <w:qFormat/>
    <w:uiPriority w:val="0"/>
    <w:pPr>
      <w:widowControl/>
      <w:spacing w:line="300" w:lineRule="exact"/>
      <w:ind w:firstLine="0" w:firstLineChars="0"/>
      <w:jc w:val="center"/>
    </w:pPr>
    <w:rPr>
      <w:color w:val="000000"/>
      <w:sz w:val="21"/>
      <w:szCs w:val="21"/>
    </w:rPr>
  </w:style>
  <w:style w:type="character" w:customStyle="1" w:styleId="140">
    <w:name w:val="样式59 Char"/>
    <w:basedOn w:val="45"/>
    <w:link w:val="141"/>
    <w:qFormat/>
    <w:uiPriority w:val="0"/>
    <w:rPr>
      <w:rFonts w:ascii="黑体" w:eastAsia="黑体"/>
      <w:color w:val="000000"/>
      <w:kern w:val="2"/>
      <w:sz w:val="21"/>
      <w:szCs w:val="21"/>
    </w:rPr>
  </w:style>
  <w:style w:type="paragraph" w:customStyle="1" w:styleId="141">
    <w:name w:val="样式59"/>
    <w:basedOn w:val="1"/>
    <w:link w:val="140"/>
    <w:qFormat/>
    <w:uiPriority w:val="0"/>
    <w:pPr>
      <w:ind w:firstLine="0" w:firstLineChars="0"/>
      <w:jc w:val="center"/>
    </w:pPr>
    <w:rPr>
      <w:rFonts w:ascii="黑体" w:eastAsia="黑体"/>
      <w:color w:val="000000"/>
      <w:sz w:val="21"/>
      <w:szCs w:val="21"/>
    </w:rPr>
  </w:style>
  <w:style w:type="paragraph" w:customStyle="1" w:styleId="142">
    <w:name w:val="Char1"/>
    <w:basedOn w:val="1"/>
    <w:qFormat/>
    <w:uiPriority w:val="0"/>
    <w:pPr>
      <w:ind w:firstLine="0" w:firstLineChars="0"/>
    </w:pPr>
    <w:rPr>
      <w:rFonts w:ascii="Tahoma" w:hAnsi="Tahoma"/>
      <w:szCs w:val="20"/>
    </w:rPr>
  </w:style>
  <w:style w:type="character" w:customStyle="1" w:styleId="143">
    <w:name w:val="表—居中5号 Char"/>
    <w:basedOn w:val="45"/>
    <w:qFormat/>
    <w:uiPriority w:val="0"/>
    <w:rPr>
      <w:rFonts w:eastAsia="宋体"/>
      <w:sz w:val="21"/>
      <w:szCs w:val="24"/>
      <w:lang w:val="en-US" w:eastAsia="zh-CN" w:bidi="ar-SA"/>
    </w:rPr>
  </w:style>
  <w:style w:type="paragraph" w:customStyle="1" w:styleId="144">
    <w:name w:val="1图标题"/>
    <w:basedOn w:val="1"/>
    <w:next w:val="1"/>
    <w:qFormat/>
    <w:uiPriority w:val="0"/>
    <w:pPr>
      <w:widowControl/>
      <w:spacing w:afterLines="50"/>
      <w:ind w:firstLine="0" w:firstLineChars="0"/>
      <w:jc w:val="center"/>
    </w:pPr>
    <w:rPr>
      <w:rFonts w:eastAsia="黑体"/>
      <w:kern w:val="0"/>
      <w:sz w:val="21"/>
    </w:rPr>
  </w:style>
  <w:style w:type="paragraph" w:customStyle="1" w:styleId="145">
    <w:name w:val="表格及图"/>
    <w:basedOn w:val="1"/>
    <w:qFormat/>
    <w:uiPriority w:val="0"/>
    <w:pPr>
      <w:tabs>
        <w:tab w:val="left" w:pos="840"/>
      </w:tabs>
      <w:adjustRightInd w:val="0"/>
      <w:snapToGrid w:val="0"/>
      <w:spacing w:line="240" w:lineRule="auto"/>
      <w:ind w:firstLine="0" w:firstLineChars="0"/>
      <w:jc w:val="center"/>
    </w:pPr>
    <w:rPr>
      <w:b/>
      <w:sz w:val="21"/>
      <w:szCs w:val="22"/>
    </w:rPr>
  </w:style>
  <w:style w:type="character" w:styleId="146">
    <w:name w:val="Placeholder Text"/>
    <w:basedOn w:val="45"/>
    <w:semiHidden/>
    <w:qFormat/>
    <w:uiPriority w:val="99"/>
    <w:rPr>
      <w:color w:val="808080"/>
    </w:rPr>
  </w:style>
  <w:style w:type="paragraph" w:customStyle="1" w:styleId="147">
    <w:name w:val="正文1"/>
    <w:qFormat/>
    <w:uiPriority w:val="0"/>
    <w:pPr>
      <w:jc w:val="both"/>
    </w:pPr>
    <w:rPr>
      <w:rFonts w:ascii="Times New Roman" w:hAnsi="Times New Roman" w:eastAsia="宋体" w:cs="Times New Roman"/>
      <w:kern w:val="2"/>
      <w:sz w:val="21"/>
      <w:szCs w:val="21"/>
      <w:lang w:val="en-US" w:eastAsia="zh-CN" w:bidi="ar-SA"/>
    </w:rPr>
  </w:style>
  <w:style w:type="character" w:customStyle="1" w:styleId="148">
    <w:name w:val="宏文本 Char"/>
    <w:basedOn w:val="45"/>
    <w:link w:val="2"/>
    <w:qFormat/>
    <w:uiPriority w:val="0"/>
    <w:rPr>
      <w:b/>
      <w:snapToGrid w:val="0"/>
      <w:kern w:val="24"/>
      <w:sz w:val="21"/>
      <w:szCs w:val="24"/>
    </w:rPr>
  </w:style>
  <w:style w:type="character" w:customStyle="1" w:styleId="149">
    <w:name w:val="正文文本缩进 2 Char"/>
    <w:basedOn w:val="45"/>
    <w:link w:val="27"/>
    <w:qFormat/>
    <w:uiPriority w:val="99"/>
    <w:rPr>
      <w:sz w:val="24"/>
    </w:rPr>
  </w:style>
  <w:style w:type="character" w:customStyle="1" w:styleId="150">
    <w:name w:val="日期 Char"/>
    <w:basedOn w:val="45"/>
    <w:link w:val="26"/>
    <w:qFormat/>
    <w:uiPriority w:val="99"/>
    <w:rPr>
      <w:sz w:val="24"/>
    </w:rPr>
  </w:style>
  <w:style w:type="paragraph" w:customStyle="1" w:styleId="151">
    <w:name w:val="样式 Z正文 + 首行缩进:  2 字符1"/>
    <w:basedOn w:val="152"/>
    <w:qFormat/>
    <w:uiPriority w:val="0"/>
    <w:pPr>
      <w:tabs>
        <w:tab w:val="left" w:pos="0"/>
      </w:tabs>
      <w:ind w:firstLine="480"/>
    </w:pPr>
    <w:rPr>
      <w:rFonts w:ascii="Times New Roman" w:cs="宋体"/>
    </w:rPr>
  </w:style>
  <w:style w:type="paragraph" w:customStyle="1" w:styleId="152">
    <w:name w:val="Z正文"/>
    <w:basedOn w:val="153"/>
    <w:qFormat/>
    <w:uiPriority w:val="0"/>
    <w:pPr>
      <w:tabs>
        <w:tab w:val="left" w:pos="0"/>
      </w:tabs>
      <w:adjustRightInd w:val="0"/>
      <w:spacing w:after="0" w:line="240" w:lineRule="auto"/>
      <w:ind w:firstLine="560" w:firstLineChars="200"/>
    </w:pPr>
    <w:rPr>
      <w:rFonts w:eastAsia="仿宋_GB2312"/>
      <w:sz w:val="28"/>
      <w:szCs w:val="28"/>
    </w:rPr>
  </w:style>
  <w:style w:type="paragraph" w:customStyle="1" w:styleId="153">
    <w:name w:val="样式 标题 1标题 11Head 1wsah1一、标题2Part'Document章Ch + 加粗"/>
    <w:basedOn w:val="3"/>
    <w:qFormat/>
    <w:uiPriority w:val="0"/>
    <w:pPr>
      <w:keepNext w:val="0"/>
      <w:keepLines w:val="0"/>
      <w:numPr>
        <w:numId w:val="0"/>
      </w:numPr>
      <w:tabs>
        <w:tab w:val="left" w:pos="0"/>
      </w:tabs>
      <w:spacing w:before="240" w:after="60"/>
      <w:jc w:val="center"/>
    </w:pPr>
    <w:rPr>
      <w:rFonts w:ascii="黑体" w:eastAsia="宋体"/>
      <w:b/>
      <w:bCs/>
    </w:rPr>
  </w:style>
  <w:style w:type="paragraph" w:customStyle="1" w:styleId="154">
    <w:name w:val="样式 正文文本 + 首行缩进:  2 字符"/>
    <w:qFormat/>
    <w:uiPriority w:val="0"/>
    <w:pPr>
      <w:snapToGrid w:val="0"/>
      <w:spacing w:before="60" w:after="160" w:line="480" w:lineRule="exact"/>
      <w:ind w:right="113" w:firstLine="480" w:firstLineChars="200"/>
      <w:jc w:val="both"/>
    </w:pPr>
    <w:rPr>
      <w:rFonts w:ascii="宋体" w:hAnsi="宋体" w:eastAsia="宋体" w:cs="宋体"/>
      <w:sz w:val="24"/>
      <w:lang w:val="en-US" w:eastAsia="zh-CN" w:bidi="ar-SA"/>
    </w:rPr>
  </w:style>
  <w:style w:type="paragraph" w:customStyle="1" w:styleId="155">
    <w:name w:val="纯文本1"/>
    <w:basedOn w:val="1"/>
    <w:qFormat/>
    <w:uiPriority w:val="0"/>
    <w:pPr>
      <w:adjustRightInd w:val="0"/>
      <w:snapToGrid w:val="0"/>
      <w:spacing w:line="240" w:lineRule="auto"/>
      <w:ind w:firstLine="0" w:firstLineChars="0"/>
    </w:pPr>
    <w:rPr>
      <w:rFonts w:hint="eastAsia" w:ascii="宋体" w:hAnsi="Courier New"/>
      <w:kern w:val="0"/>
      <w:sz w:val="21"/>
      <w:szCs w:val="20"/>
    </w:rPr>
  </w:style>
  <w:style w:type="paragraph" w:customStyle="1" w:styleId="156">
    <w:name w:val="！！4正文"/>
    <w:qFormat/>
    <w:uiPriority w:val="0"/>
    <w:pPr>
      <w:tabs>
        <w:tab w:val="left" w:pos="420"/>
      </w:tabs>
      <w:spacing w:before="50" w:beforeLines="50" w:after="50" w:afterLines="50" w:line="360" w:lineRule="auto"/>
      <w:ind w:firstLine="200" w:firstLineChars="200"/>
      <w:jc w:val="both"/>
      <w:textAlignment w:val="baseline"/>
    </w:pPr>
    <w:rPr>
      <w:rFonts w:ascii="Times New Roman" w:hAnsi="Times New Roman" w:eastAsia="宋体" w:cs="Times New Roman"/>
      <w:sz w:val="28"/>
      <w:szCs w:val="24"/>
      <w:lang w:val="en-US" w:eastAsia="zh-CN" w:bidi="ar-SA"/>
    </w:rPr>
  </w:style>
  <w:style w:type="paragraph" w:customStyle="1" w:styleId="157">
    <w:name w:val="图表名"/>
    <w:basedOn w:val="1"/>
    <w:next w:val="1"/>
    <w:qFormat/>
    <w:uiPriority w:val="0"/>
    <w:pPr>
      <w:ind w:firstLine="0" w:firstLineChars="0"/>
      <w:jc w:val="center"/>
    </w:pPr>
    <w:rPr>
      <w:b/>
      <w:kern w:val="0"/>
      <w:szCs w:val="20"/>
    </w:rPr>
  </w:style>
  <w:style w:type="paragraph" w:customStyle="1" w:styleId="158">
    <w:name w:val="扉页标题"/>
    <w:basedOn w:val="1"/>
    <w:qFormat/>
    <w:uiPriority w:val="0"/>
    <w:pPr>
      <w:spacing w:beforeLines="50" w:afterLines="50" w:line="288" w:lineRule="auto"/>
      <w:ind w:firstLine="0" w:firstLineChars="0"/>
      <w:jc w:val="center"/>
    </w:pPr>
    <w:rPr>
      <w:rFonts w:ascii="Arial" w:hAnsi="Arial"/>
      <w:sz w:val="36"/>
    </w:rPr>
  </w:style>
  <w:style w:type="paragraph" w:customStyle="1" w:styleId="159">
    <w:name w:val="工可正文"/>
    <w:basedOn w:val="1"/>
    <w:qFormat/>
    <w:uiPriority w:val="0"/>
    <w:pPr>
      <w:adjustRightInd w:val="0"/>
      <w:snapToGrid w:val="0"/>
      <w:spacing w:beforeLines="50" w:line="360" w:lineRule="exact"/>
      <w:ind w:firstLine="496"/>
    </w:pPr>
    <w:rPr>
      <w:rFonts w:ascii="华文中宋" w:hAnsi="华文中宋" w:eastAsia="华文中宋"/>
      <w:spacing w:val="4"/>
    </w:rPr>
  </w:style>
  <w:style w:type="paragraph" w:customStyle="1" w:styleId="160">
    <w:name w:val="样式 首行缩进:  1 厘米"/>
    <w:basedOn w:val="1"/>
    <w:qFormat/>
    <w:uiPriority w:val="0"/>
    <w:pPr>
      <w:snapToGrid w:val="0"/>
      <w:spacing w:line="480" w:lineRule="atLeast"/>
      <w:ind w:firstLine="567" w:firstLineChars="0"/>
    </w:pPr>
    <w:rPr>
      <w:sz w:val="28"/>
      <w:szCs w:val="20"/>
    </w:rPr>
  </w:style>
  <w:style w:type="paragraph" w:customStyle="1" w:styleId="161">
    <w:name w:val="样式 样式 小4居中 + + 段前: 0.15 行 段后: 0.15 行1"/>
    <w:basedOn w:val="1"/>
    <w:qFormat/>
    <w:uiPriority w:val="0"/>
    <w:pPr>
      <w:snapToGrid w:val="0"/>
      <w:spacing w:beforeLines="15" w:afterLines="15"/>
      <w:ind w:firstLine="0" w:firstLineChars="0"/>
      <w:jc w:val="center"/>
    </w:pPr>
    <w:rPr>
      <w:kern w:val="0"/>
    </w:rPr>
  </w:style>
  <w:style w:type="paragraph" w:customStyle="1" w:styleId="162">
    <w:name w:val="07 环评表格内容"/>
    <w:basedOn w:val="1"/>
    <w:qFormat/>
    <w:uiPriority w:val="0"/>
    <w:pPr>
      <w:widowControl/>
      <w:topLinePunct/>
      <w:spacing w:line="240" w:lineRule="auto"/>
      <w:ind w:firstLine="0" w:firstLineChars="0"/>
      <w:contextualSpacing/>
      <w:jc w:val="center"/>
      <w:textAlignment w:val="center"/>
    </w:pPr>
    <w:rPr>
      <w:color w:val="000000"/>
      <w:kern w:val="0"/>
      <w:sz w:val="21"/>
      <w:szCs w:val="21"/>
    </w:rPr>
  </w:style>
  <w:style w:type="character" w:customStyle="1" w:styleId="163">
    <w:name w:val="15"/>
    <w:qFormat/>
    <w:uiPriority w:val="0"/>
    <w:rPr>
      <w:rFonts w:hint="default" w:ascii="Times New Roman" w:hAnsi="Times New Roman" w:eastAsia="宋体" w:cs="Times New Roman"/>
      <w:sz w:val="24"/>
      <w:szCs w:val="24"/>
    </w:rPr>
  </w:style>
  <w:style w:type="paragraph" w:customStyle="1" w:styleId="164">
    <w:name w:val="表格格式"/>
    <w:basedOn w:val="1"/>
    <w:qFormat/>
    <w:uiPriority w:val="0"/>
    <w:pPr>
      <w:spacing w:line="240" w:lineRule="auto"/>
      <w:ind w:firstLine="0" w:firstLineChars="0"/>
      <w:jc w:val="center"/>
    </w:pPr>
    <w:rPr>
      <w:kern w:val="0"/>
      <w:sz w:val="21"/>
      <w:szCs w:val="21"/>
    </w:rPr>
  </w:style>
  <w:style w:type="paragraph" w:customStyle="1" w:styleId="165">
    <w:name w:val="样式 样式 表头4 + 段前: 0.5 行 + 段前: 0.15 行 段后: 0.15 行"/>
    <w:basedOn w:val="1"/>
    <w:qFormat/>
    <w:uiPriority w:val="0"/>
    <w:pPr>
      <w:snapToGrid w:val="0"/>
      <w:spacing w:beforeLines="15" w:afterLines="15" w:line="480" w:lineRule="atLeast"/>
      <w:ind w:firstLine="0" w:firstLineChars="0"/>
      <w:jc w:val="left"/>
    </w:pPr>
    <w:rPr>
      <w:b/>
      <w:bCs/>
      <w:sz w:val="28"/>
    </w:rPr>
  </w:style>
  <w:style w:type="paragraph" w:customStyle="1" w:styleId="166">
    <w:name w:val="表格内容nlw"/>
    <w:basedOn w:val="33"/>
    <w:qFormat/>
    <w:uiPriority w:val="0"/>
    <w:pPr>
      <w:spacing w:line="300" w:lineRule="exact"/>
      <w:ind w:left="0" w:firstLine="0" w:firstLineChars="0"/>
      <w:jc w:val="center"/>
    </w:pPr>
    <w:rPr>
      <w:sz w:val="21"/>
    </w:rPr>
  </w:style>
  <w:style w:type="character" w:customStyle="1" w:styleId="167">
    <w:name w:val="font21"/>
    <w:basedOn w:val="45"/>
    <w:qFormat/>
    <w:uiPriority w:val="0"/>
    <w:rPr>
      <w:rFonts w:hint="eastAsia" w:ascii="宋体" w:hAnsi="宋体" w:eastAsia="宋体" w:cs="宋体"/>
      <w:color w:val="000000"/>
      <w:sz w:val="21"/>
      <w:szCs w:val="21"/>
      <w:u w:val="none"/>
    </w:rPr>
  </w:style>
  <w:style w:type="character" w:customStyle="1" w:styleId="168">
    <w:name w:val="font11"/>
    <w:basedOn w:val="45"/>
    <w:qFormat/>
    <w:uiPriority w:val="0"/>
    <w:rPr>
      <w:rFonts w:hint="default" w:ascii="Times New Roman" w:hAnsi="Times New Roman" w:cs="Times New Roman"/>
      <w:color w:val="000000"/>
      <w:sz w:val="21"/>
      <w:szCs w:val="21"/>
      <w:u w:val="none"/>
    </w:rPr>
  </w:style>
  <w:style w:type="character" w:customStyle="1" w:styleId="169">
    <w:name w:val="font31"/>
    <w:basedOn w:val="45"/>
    <w:qFormat/>
    <w:uiPriority w:val="0"/>
    <w:rPr>
      <w:rFonts w:hint="default" w:ascii="Times New Roman" w:hAnsi="Times New Roman" w:cs="Times New Roman"/>
      <w:color w:val="000000"/>
      <w:sz w:val="21"/>
      <w:szCs w:val="21"/>
      <w:u w:val="none"/>
      <w:vertAlign w:val="subscript"/>
    </w:rPr>
  </w:style>
  <w:style w:type="paragraph" w:customStyle="1" w:styleId="170">
    <w:name w:val="！！图标题"/>
    <w:basedOn w:val="1"/>
    <w:qFormat/>
    <w:uiPriority w:val="0"/>
    <w:pPr>
      <w:spacing w:line="300" w:lineRule="auto"/>
      <w:ind w:firstLine="0" w:firstLineChars="0"/>
      <w:jc w:val="center"/>
    </w:pPr>
    <w:rPr>
      <w:rFonts w:ascii="宋体" w:hAnsi="宋体"/>
      <w:b/>
      <w:kern w:val="0"/>
    </w:rPr>
  </w:style>
  <w:style w:type="paragraph" w:customStyle="1" w:styleId="171">
    <w:name w:val="样式 仿宋_GB2312 四号"/>
    <w:basedOn w:val="1"/>
    <w:qFormat/>
    <w:uiPriority w:val="0"/>
    <w:pPr>
      <w:adjustRightInd w:val="0"/>
      <w:ind w:firstLine="480"/>
      <w:textAlignment w:val="baseline"/>
    </w:pPr>
    <w:rPr>
      <w:rFonts w:ascii="宋体" w:hAnsi="宋体" w:cs="宋体"/>
      <w:kern w:val="0"/>
      <w:szCs w:val="20"/>
    </w:rPr>
  </w:style>
  <w:style w:type="paragraph" w:customStyle="1" w:styleId="172">
    <w:name w:val="表头"/>
    <w:basedOn w:val="13"/>
    <w:qFormat/>
    <w:uiPriority w:val="0"/>
    <w:pPr>
      <w:ind w:firstLine="0" w:firstLineChars="0"/>
      <w:jc w:val="center"/>
    </w:pPr>
    <w:rPr>
      <w:b/>
      <w:szCs w:val="28"/>
    </w:rPr>
  </w:style>
  <w:style w:type="paragraph" w:customStyle="1" w:styleId="173">
    <w:name w:val="表格文本"/>
    <w:basedOn w:val="1"/>
    <w:next w:val="1"/>
    <w:qFormat/>
    <w:uiPriority w:val="0"/>
    <w:pPr>
      <w:snapToGrid w:val="0"/>
      <w:spacing w:line="240" w:lineRule="auto"/>
      <w:ind w:firstLine="0" w:firstLineChars="0"/>
    </w:pPr>
    <w:rPr>
      <w:kern w:val="0"/>
      <w:sz w:val="21"/>
      <w:szCs w:val="21"/>
    </w:rPr>
  </w:style>
  <w:style w:type="paragraph" w:customStyle="1" w:styleId="174">
    <w:name w:val="新3级标题"/>
    <w:basedOn w:val="175"/>
    <w:qFormat/>
    <w:uiPriority w:val="0"/>
    <w:pPr>
      <w:adjustRightInd w:val="0"/>
      <w:snapToGrid w:val="0"/>
      <w:outlineLvl w:val="2"/>
    </w:pPr>
    <w:rPr>
      <w:kern w:val="2"/>
      <w:sz w:val="28"/>
      <w:szCs w:val="28"/>
    </w:rPr>
  </w:style>
  <w:style w:type="paragraph" w:customStyle="1" w:styleId="175">
    <w:name w:val="新4级标题"/>
    <w:basedOn w:val="176"/>
    <w:qFormat/>
    <w:uiPriority w:val="0"/>
    <w:pPr>
      <w:ind w:left="1680" w:hanging="420"/>
      <w:outlineLvl w:val="3"/>
    </w:pPr>
    <w:rPr>
      <w:sz w:val="24"/>
    </w:rPr>
  </w:style>
  <w:style w:type="paragraph" w:customStyle="1" w:styleId="176">
    <w:name w:val="新1级标题"/>
    <w:basedOn w:val="1"/>
    <w:qFormat/>
    <w:uiPriority w:val="0"/>
    <w:pPr>
      <w:ind w:left="986" w:firstLine="0" w:firstLineChars="0"/>
      <w:outlineLvl w:val="0"/>
    </w:pPr>
    <w:rPr>
      <w:rFonts w:eastAsia="黑体"/>
      <w:kern w:val="0"/>
      <w:sz w:val="32"/>
      <w:szCs w:val="32"/>
    </w:rPr>
  </w:style>
  <w:style w:type="paragraph" w:customStyle="1" w:styleId="177">
    <w:name w:val="报告正文"/>
    <w:basedOn w:val="1"/>
    <w:qFormat/>
    <w:uiPriority w:val="0"/>
    <w:pPr>
      <w:tabs>
        <w:tab w:val="left" w:pos="0"/>
      </w:tabs>
      <w:ind w:firstLine="0" w:firstLineChars="0"/>
    </w:pPr>
    <w:rPr>
      <w:color w:val="000000"/>
      <w:kern w:val="0"/>
      <w:szCs w:val="20"/>
    </w:rPr>
  </w:style>
  <w:style w:type="paragraph" w:customStyle="1" w:styleId="178">
    <w:name w:val="新5级标题 表格"/>
    <w:basedOn w:val="179"/>
    <w:qFormat/>
    <w:uiPriority w:val="0"/>
    <w:pPr>
      <w:spacing w:line="240" w:lineRule="auto"/>
      <w:ind w:left="2100" w:hanging="420"/>
      <w:outlineLvl w:val="4"/>
    </w:pPr>
  </w:style>
  <w:style w:type="paragraph" w:customStyle="1" w:styleId="179">
    <w:name w:val="表格标题"/>
    <w:basedOn w:val="1"/>
    <w:qFormat/>
    <w:uiPriority w:val="0"/>
    <w:pPr>
      <w:ind w:firstLine="0" w:firstLineChars="0"/>
      <w:jc w:val="center"/>
    </w:pPr>
    <w:rPr>
      <w:b/>
      <w:color w:val="000000"/>
      <w:kern w:val="0"/>
      <w:sz w:val="21"/>
      <w:szCs w:val="20"/>
    </w:rPr>
  </w:style>
  <w:style w:type="paragraph" w:customStyle="1" w:styleId="180">
    <w:name w:val="新6级标题 图名"/>
    <w:basedOn w:val="179"/>
    <w:qFormat/>
    <w:uiPriority w:val="0"/>
    <w:pPr>
      <w:ind w:left="2520" w:hanging="420"/>
      <w:outlineLvl w:val="5"/>
    </w:pPr>
  </w:style>
  <w:style w:type="paragraph" w:customStyle="1" w:styleId="181">
    <w:name w:val="新2级标题"/>
    <w:basedOn w:val="1"/>
    <w:qFormat/>
    <w:uiPriority w:val="0"/>
    <w:pPr>
      <w:ind w:left="840" w:firstLine="0" w:firstLineChars="0"/>
      <w:outlineLvl w:val="1"/>
    </w:pPr>
    <w:rPr>
      <w:rFonts w:eastAsia="黑体"/>
      <w:kern w:val="0"/>
      <w:sz w:val="30"/>
      <w:szCs w:val="30"/>
    </w:rPr>
  </w:style>
  <w:style w:type="paragraph" w:customStyle="1" w:styleId="182">
    <w:name w:val="a报告正文"/>
    <w:basedOn w:val="1"/>
    <w:qFormat/>
    <w:uiPriority w:val="0"/>
    <w:pPr>
      <w:adjustRightInd w:val="0"/>
      <w:snapToGrid w:val="0"/>
      <w:jc w:val="left"/>
      <w:textAlignment w:val="baseline"/>
    </w:pPr>
    <w:rPr>
      <w:rFonts w:ascii="宋体"/>
      <w:snapToGrid w:val="0"/>
      <w:kern w:val="0"/>
      <w:szCs w:val="20"/>
    </w:rPr>
  </w:style>
  <w:style w:type="paragraph" w:customStyle="1" w:styleId="183">
    <w:name w:val="三级表名"/>
    <w:basedOn w:val="1"/>
    <w:next w:val="1"/>
    <w:qFormat/>
    <w:uiPriority w:val="0"/>
    <w:pPr>
      <w:tabs>
        <w:tab w:val="left" w:pos="420"/>
      </w:tabs>
      <w:spacing w:line="240" w:lineRule="auto"/>
      <w:ind w:left="2520" w:firstLine="0" w:firstLineChars="0"/>
      <w:jc w:val="center"/>
    </w:pPr>
    <w:rPr>
      <w:b/>
      <w:kern w:val="0"/>
      <w:szCs w:val="20"/>
    </w:rPr>
  </w:style>
  <w:style w:type="paragraph" w:customStyle="1" w:styleId="184">
    <w:name w:val="表格"/>
    <w:basedOn w:val="33"/>
    <w:next w:val="1"/>
    <w:qFormat/>
    <w:uiPriority w:val="0"/>
    <w:pPr>
      <w:spacing w:line="240" w:lineRule="auto"/>
      <w:ind w:firstLine="0" w:firstLineChars="0"/>
      <w:jc w:val="center"/>
    </w:pPr>
    <w:rPr>
      <w:sz w:val="21"/>
    </w:rPr>
  </w:style>
  <w:style w:type="paragraph" w:customStyle="1" w:styleId="185">
    <w:name w:val="图片编号"/>
    <w:basedOn w:val="1"/>
    <w:link w:val="196"/>
    <w:qFormat/>
    <w:uiPriority w:val="0"/>
    <w:pPr>
      <w:overflowPunct w:val="0"/>
      <w:spacing w:after="160"/>
      <w:ind w:firstLine="0" w:firstLineChars="0"/>
      <w:jc w:val="center"/>
    </w:pPr>
    <w:rPr>
      <w:rFonts w:cstheme="minorBidi"/>
      <w:b/>
      <w:sz w:val="21"/>
      <w:szCs w:val="21"/>
    </w:rPr>
  </w:style>
  <w:style w:type="paragraph" w:customStyle="1" w:styleId="186">
    <w:name w:val="表格编号"/>
    <w:basedOn w:val="1"/>
    <w:link w:val="195"/>
    <w:qFormat/>
    <w:uiPriority w:val="0"/>
    <w:pPr>
      <w:overflowPunct w:val="0"/>
      <w:spacing w:after="160"/>
      <w:ind w:firstLine="0" w:firstLineChars="0"/>
      <w:jc w:val="center"/>
    </w:pPr>
    <w:rPr>
      <w:b/>
      <w:sz w:val="21"/>
    </w:rPr>
  </w:style>
  <w:style w:type="table" w:customStyle="1" w:styleId="187">
    <w:name w:val="网格型1"/>
    <w:basedOn w:val="43"/>
    <w:qFormat/>
    <w:uiPriority w:val="0"/>
    <w:pPr>
      <w:spacing w:after="160" w:line="278"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88">
    <w:name w:val="网格型2"/>
    <w:basedOn w:val="43"/>
    <w:qFormat/>
    <w:uiPriority w:val="0"/>
    <w:pPr>
      <w:spacing w:after="160" w:line="278"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89">
    <w:name w:val="Table Normal8"/>
    <w:basedOn w:val="43"/>
    <w:qFormat/>
    <w:uiPriority w:val="0"/>
    <w:rPr>
      <w:rFonts w:eastAsia="Times New Roman"/>
    </w:rPr>
    <w:tblPr>
      <w:tblCellMar>
        <w:top w:w="0" w:type="dxa"/>
        <w:left w:w="0" w:type="dxa"/>
        <w:bottom w:w="0" w:type="dxa"/>
        <w:right w:w="0" w:type="dxa"/>
      </w:tblCellMar>
    </w:tblPr>
  </w:style>
  <w:style w:type="character" w:customStyle="1" w:styleId="190">
    <w:name w:val="纯文本 Char"/>
    <w:basedOn w:val="45"/>
    <w:link w:val="24"/>
    <w:qFormat/>
    <w:uiPriority w:val="0"/>
    <w:rPr>
      <w:rFonts w:hAnsi="Courier New"/>
      <w:kern w:val="2"/>
      <w:szCs w:val="21"/>
    </w:rPr>
  </w:style>
  <w:style w:type="table" w:customStyle="1" w:styleId="191">
    <w:name w:val="网格型3"/>
    <w:basedOn w:val="43"/>
    <w:qFormat/>
    <w:uiPriority w:val="0"/>
    <w:pPr>
      <w:spacing w:after="160" w:line="278"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customStyle="1" w:styleId="192">
    <w:name w:val="hover27"/>
    <w:basedOn w:val="45"/>
    <w:qFormat/>
    <w:uiPriority w:val="0"/>
  </w:style>
  <w:style w:type="paragraph" w:customStyle="1" w:styleId="193">
    <w:name w:val="biaogebiaoti"/>
    <w:qFormat/>
    <w:uiPriority w:val="0"/>
    <w:pPr>
      <w:widowControl w:val="0"/>
      <w:overflowPunct w:val="0"/>
      <w:spacing w:after="160"/>
      <w:ind w:firstLine="200"/>
      <w:jc w:val="center"/>
    </w:pPr>
    <w:rPr>
      <w:rFonts w:ascii="Calibri" w:hAnsi="Calibri" w:eastAsia="宋体" w:cs="Times New Roman"/>
      <w:b/>
      <w:kern w:val="2"/>
      <w:sz w:val="21"/>
      <w:szCs w:val="24"/>
      <w:lang w:val="en-US" w:eastAsia="zh-CN" w:bidi="ar-SA"/>
    </w:rPr>
  </w:style>
  <w:style w:type="paragraph" w:customStyle="1" w:styleId="194">
    <w:name w:val="正文文本首行缩进1"/>
    <w:next w:val="42"/>
    <w:qFormat/>
    <w:uiPriority w:val="0"/>
    <w:pPr>
      <w:widowControl w:val="0"/>
      <w:spacing w:after="160" w:line="278" w:lineRule="auto"/>
      <w:ind w:firstLine="420" w:firstLineChars="100"/>
      <w:jc w:val="both"/>
    </w:pPr>
    <w:rPr>
      <w:rFonts w:hint="eastAsia" w:ascii="Calibri" w:hAnsi="Calibri" w:eastAsia="宋体" w:cs="方正大标宋简体"/>
      <w:sz w:val="24"/>
      <w:lang w:val="en-US" w:eastAsia="zh-CN" w:bidi="ar-SA"/>
    </w:rPr>
  </w:style>
  <w:style w:type="character" w:customStyle="1" w:styleId="195">
    <w:name w:val="表格编号 字符"/>
    <w:basedOn w:val="45"/>
    <w:link w:val="186"/>
    <w:qFormat/>
    <w:uiPriority w:val="0"/>
    <w:rPr>
      <w:b/>
      <w:kern w:val="2"/>
      <w:sz w:val="21"/>
      <w:szCs w:val="24"/>
    </w:rPr>
  </w:style>
  <w:style w:type="character" w:customStyle="1" w:styleId="196">
    <w:name w:val="图片编号 字符"/>
    <w:basedOn w:val="45"/>
    <w:link w:val="185"/>
    <w:qFormat/>
    <w:uiPriority w:val="0"/>
    <w:rPr>
      <w:rFonts w:cstheme="minorBidi"/>
      <w:b/>
      <w:kern w:val="2"/>
      <w:sz w:val="21"/>
      <w:szCs w:val="21"/>
    </w:rPr>
  </w:style>
  <w:style w:type="paragraph" w:customStyle="1" w:styleId="197">
    <w:name w:val="居中"/>
    <w:basedOn w:val="1"/>
    <w:link w:val="198"/>
    <w:qFormat/>
    <w:uiPriority w:val="0"/>
    <w:pPr>
      <w:overflowPunct w:val="0"/>
      <w:spacing w:after="160"/>
      <w:ind w:firstLine="0" w:firstLineChars="0"/>
      <w:jc w:val="center"/>
    </w:pPr>
    <w:rPr>
      <w:szCs w:val="21"/>
    </w:rPr>
  </w:style>
  <w:style w:type="character" w:customStyle="1" w:styleId="198">
    <w:name w:val="居中 字符"/>
    <w:basedOn w:val="45"/>
    <w:link w:val="197"/>
    <w:qFormat/>
    <w:uiPriority w:val="0"/>
    <w:rPr>
      <w:kern w:val="2"/>
      <w:sz w:val="24"/>
      <w:szCs w:val="21"/>
    </w:rPr>
  </w:style>
  <w:style w:type="paragraph" w:customStyle="1" w:styleId="199">
    <w:name w:val="表格两端对齐"/>
    <w:basedOn w:val="84"/>
    <w:link w:val="200"/>
    <w:qFormat/>
    <w:uiPriority w:val="0"/>
    <w:pPr>
      <w:overflowPunct w:val="0"/>
      <w:adjustRightInd/>
      <w:snapToGrid/>
      <w:spacing w:after="160"/>
      <w:jc w:val="both"/>
    </w:pPr>
    <w:rPr>
      <w:snapToGrid/>
      <w:kern w:val="2"/>
    </w:rPr>
  </w:style>
  <w:style w:type="character" w:customStyle="1" w:styleId="200">
    <w:name w:val="表格两端对齐 字符"/>
    <w:basedOn w:val="85"/>
    <w:link w:val="199"/>
    <w:qFormat/>
    <w:uiPriority w:val="0"/>
    <w:rPr>
      <w:rFonts w:hAnsi="宋体"/>
      <w:snapToGrid/>
      <w:kern w:val="2"/>
      <w:sz w:val="21"/>
      <w:szCs w:val="21"/>
    </w:rPr>
  </w:style>
  <w:style w:type="paragraph" w:styleId="201">
    <w:name w:val="No Spacing"/>
    <w:basedOn w:val="1"/>
    <w:link w:val="202"/>
    <w:qFormat/>
    <w:uiPriority w:val="1"/>
    <w:pPr>
      <w:spacing w:after="160" w:line="240" w:lineRule="auto"/>
      <w:ind w:firstLine="0" w:firstLineChars="0"/>
      <w:jc w:val="center"/>
    </w:pPr>
    <w:rPr>
      <w:rFonts w:eastAsia="仿宋_GB2312"/>
      <w:bCs/>
      <w:sz w:val="21"/>
      <w:szCs w:val="21"/>
    </w:rPr>
  </w:style>
  <w:style w:type="character" w:customStyle="1" w:styleId="202">
    <w:name w:val="无间隔 Char"/>
    <w:basedOn w:val="45"/>
    <w:link w:val="201"/>
    <w:qFormat/>
    <w:uiPriority w:val="1"/>
    <w:rPr>
      <w:rFonts w:eastAsia="仿宋_GB2312"/>
      <w:bCs/>
      <w:kern w:val="2"/>
      <w:sz w:val="21"/>
      <w:szCs w:val="21"/>
    </w:rPr>
  </w:style>
  <w:style w:type="paragraph" w:customStyle="1" w:styleId="203">
    <w:name w:val="Char Char Char Char Char Char Char"/>
    <w:basedOn w:val="1"/>
    <w:qFormat/>
    <w:uiPriority w:val="0"/>
    <w:pPr>
      <w:spacing w:after="160"/>
    </w:pPr>
    <w:rPr>
      <w:rFonts w:ascii="宋体" w:hAnsi="宋体" w:cs="宋体"/>
    </w:rPr>
  </w:style>
  <w:style w:type="paragraph" w:customStyle="1" w:styleId="204">
    <w:name w:val="表格小五"/>
    <w:basedOn w:val="201"/>
    <w:link w:val="205"/>
    <w:qFormat/>
    <w:uiPriority w:val="0"/>
    <w:rPr>
      <w:bCs w:val="0"/>
      <w:sz w:val="18"/>
    </w:rPr>
  </w:style>
  <w:style w:type="character" w:customStyle="1" w:styleId="205">
    <w:name w:val="表格小五 Char"/>
    <w:basedOn w:val="45"/>
    <w:link w:val="204"/>
    <w:qFormat/>
    <w:uiPriority w:val="0"/>
    <w:rPr>
      <w:rFonts w:eastAsia="仿宋_GB2312"/>
      <w:kern w:val="2"/>
      <w:sz w:val="18"/>
      <w:szCs w:val="21"/>
    </w:rPr>
  </w:style>
  <w:style w:type="paragraph" w:customStyle="1" w:styleId="206">
    <w:name w:val="序列号"/>
    <w:basedOn w:val="1"/>
    <w:link w:val="207"/>
    <w:qFormat/>
    <w:uiPriority w:val="0"/>
    <w:pPr>
      <w:widowControl/>
      <w:spacing w:after="160" w:line="480" w:lineRule="exact"/>
      <w:ind w:firstLine="0" w:firstLineChars="0"/>
      <w:jc w:val="center"/>
    </w:pPr>
    <w:rPr>
      <w:rFonts w:eastAsia="仿宋_GB2312" w:cs="Calibri"/>
      <w:b/>
      <w:szCs w:val="22"/>
    </w:rPr>
  </w:style>
  <w:style w:type="character" w:customStyle="1" w:styleId="207">
    <w:name w:val="序列号 Char"/>
    <w:basedOn w:val="45"/>
    <w:link w:val="206"/>
    <w:qFormat/>
    <w:uiPriority w:val="0"/>
    <w:rPr>
      <w:rFonts w:eastAsia="仿宋_GB2312" w:cs="Calibri"/>
      <w:b/>
      <w:kern w:val="2"/>
      <w:sz w:val="24"/>
      <w:szCs w:val="22"/>
    </w:rPr>
  </w:style>
  <w:style w:type="paragraph" w:customStyle="1" w:styleId="208">
    <w:name w:val="表格1"/>
    <w:basedOn w:val="1"/>
    <w:next w:val="1"/>
    <w:qFormat/>
    <w:uiPriority w:val="0"/>
    <w:pPr>
      <w:tabs>
        <w:tab w:val="left" w:pos="3105"/>
      </w:tabs>
      <w:spacing w:after="160" w:line="240" w:lineRule="exact"/>
      <w:ind w:firstLine="0" w:firstLineChars="0"/>
      <w:jc w:val="center"/>
    </w:pPr>
    <w:rPr>
      <w:rFonts w:ascii="宋体" w:hAnsi="宋体"/>
      <w:sz w:val="18"/>
      <w:szCs w:val="21"/>
    </w:rPr>
  </w:style>
  <w:style w:type="paragraph" w:customStyle="1" w:styleId="209">
    <w:name w:val="表格居中"/>
    <w:basedOn w:val="1"/>
    <w:next w:val="1"/>
    <w:qFormat/>
    <w:uiPriority w:val="0"/>
    <w:pPr>
      <w:overflowPunct w:val="0"/>
      <w:spacing w:after="160" w:line="240" w:lineRule="auto"/>
      <w:ind w:firstLine="0" w:firstLineChars="0"/>
      <w:jc w:val="center"/>
    </w:pPr>
    <w:rPr>
      <w:sz w:val="21"/>
      <w:szCs w:val="21"/>
    </w:rPr>
  </w:style>
  <w:style w:type="character" w:customStyle="1" w:styleId="210">
    <w:name w:val="font71"/>
    <w:qFormat/>
    <w:uiPriority w:val="0"/>
    <w:rPr>
      <w:rFonts w:hint="eastAsia" w:ascii="宋体" w:hAnsi="宋体" w:eastAsia="宋体" w:cs="宋体"/>
      <w:color w:val="000000"/>
      <w:sz w:val="22"/>
      <w:szCs w:val="22"/>
      <w:u w:val="none"/>
    </w:rPr>
  </w:style>
  <w:style w:type="table" w:customStyle="1" w:styleId="211">
    <w:name w:val="Table Normal9"/>
    <w:semiHidden/>
    <w:unhideWhenUsed/>
    <w:qFormat/>
    <w:uiPriority w:val="0"/>
    <w:pPr>
      <w:spacing w:after="160" w:line="278" w:lineRule="auto"/>
    </w:pPr>
    <w:tblPr>
      <w:tblCellMar>
        <w:top w:w="0" w:type="dxa"/>
        <w:left w:w="0" w:type="dxa"/>
        <w:bottom w:w="0" w:type="dxa"/>
        <w:right w:w="0" w:type="dxa"/>
      </w:tblCellMar>
    </w:tblPr>
  </w:style>
  <w:style w:type="paragraph" w:customStyle="1" w:styleId="212">
    <w:name w:val="正文首行缩进3"/>
    <w:qFormat/>
    <w:uiPriority w:val="0"/>
    <w:pPr>
      <w:widowControl w:val="0"/>
      <w:overflowPunct w:val="0"/>
      <w:spacing w:after="160" w:line="360" w:lineRule="auto"/>
      <w:ind w:firstLine="454" w:firstLineChars="200"/>
      <w:jc w:val="both"/>
    </w:pPr>
    <w:rPr>
      <w:rFonts w:ascii="Times New Roman" w:hAnsi="Times New Roman" w:eastAsia="宋体" w:cs="Times New Roman"/>
      <w:kern w:val="2"/>
      <w:sz w:val="24"/>
      <w:szCs w:val="21"/>
      <w:lang w:val="en-US" w:eastAsia="zh-CN" w:bidi="ar-SA"/>
    </w:rPr>
  </w:style>
  <w:style w:type="paragraph" w:customStyle="1" w:styleId="213">
    <w:name w:val="我的正文"/>
    <w:qFormat/>
    <w:uiPriority w:val="0"/>
    <w:pPr>
      <w:widowControl w:val="0"/>
      <w:spacing w:after="160" w:line="278" w:lineRule="auto"/>
      <w:ind w:firstLine="200" w:firstLineChars="200"/>
      <w:jc w:val="both"/>
    </w:pPr>
    <w:rPr>
      <w:rFonts w:ascii="Times New Roman" w:hAnsi="Times New Roman" w:eastAsia="宋体" w:cs="Times New Roman"/>
      <w:snapToGrid w:val="0"/>
      <w:sz w:val="28"/>
      <w:szCs w:val="21"/>
      <w:lang w:val="en-US" w:eastAsia="zh-CN" w:bidi="ar-SA"/>
    </w:rPr>
  </w:style>
  <w:style w:type="paragraph" w:customStyle="1" w:styleId="214">
    <w:name w:val="Table Text"/>
    <w:basedOn w:val="1"/>
    <w:semiHidden/>
    <w:qFormat/>
    <w:uiPriority w:val="0"/>
    <w:pPr>
      <w:overflowPunct w:val="0"/>
      <w:spacing w:after="160"/>
    </w:pPr>
    <w:rPr>
      <w:rFonts w:ascii="宋体" w:hAnsi="宋体" w:cs="宋体"/>
      <w:sz w:val="25"/>
      <w:szCs w:val="25"/>
      <w:lang w:eastAsia="en-US"/>
    </w:rPr>
  </w:style>
  <w:style w:type="paragraph" w:customStyle="1" w:styleId="215">
    <w:name w:val="【正文】"/>
    <w:qFormat/>
    <w:uiPriority w:val="0"/>
    <w:pPr>
      <w:widowControl w:val="0"/>
      <w:spacing w:before="120" w:after="120" w:line="312" w:lineRule="auto"/>
      <w:ind w:firstLine="200" w:firstLineChars="200"/>
      <w:jc w:val="both"/>
    </w:pPr>
    <w:rPr>
      <w:rFonts w:ascii="Times New Roman" w:hAnsi="Times New Roman" w:eastAsia="宋体" w:cs="Times New Roman"/>
      <w:sz w:val="24"/>
      <w:lang w:val="en-US" w:eastAsia="zh-CN" w:bidi="ar-SA"/>
    </w:rPr>
  </w:style>
  <w:style w:type="paragraph" w:customStyle="1" w:styleId="216">
    <w:name w:val="图表文字"/>
    <w:qFormat/>
    <w:uiPriority w:val="0"/>
    <w:pPr>
      <w:widowControl w:val="0"/>
      <w:adjustRightInd w:val="0"/>
      <w:snapToGrid w:val="0"/>
      <w:spacing w:after="160"/>
    </w:pPr>
    <w:rPr>
      <w:rFonts w:ascii="Times New Roman" w:hAnsi="Times New Roman" w:eastAsia="宋体" w:cs="Times New Roman"/>
      <w:sz w:val="21"/>
      <w:szCs w:val="24"/>
      <w:lang w:val="en-US" w:eastAsia="zh-CN" w:bidi="ar-SA"/>
    </w:rPr>
  </w:style>
  <w:style w:type="table" w:customStyle="1" w:styleId="217">
    <w:name w:val="Table Normal10"/>
    <w:unhideWhenUsed/>
    <w:qFormat/>
    <w:uiPriority w:val="0"/>
    <w:tblPr>
      <w:tblCellMar>
        <w:top w:w="0" w:type="dxa"/>
        <w:left w:w="0" w:type="dxa"/>
        <w:bottom w:w="0" w:type="dxa"/>
        <w:right w:w="0" w:type="dxa"/>
      </w:tblCellMar>
    </w:tblPr>
  </w:style>
  <w:style w:type="table" w:customStyle="1" w:styleId="218">
    <w:name w:val="网格型4"/>
    <w:basedOn w:val="43"/>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19">
    <w:name w:val="Table Normal11"/>
    <w:unhideWhenUsed/>
    <w:qFormat/>
    <w:uiPriority w:val="0"/>
    <w:tblPr>
      <w:tblCellMar>
        <w:top w:w="0" w:type="dxa"/>
        <w:left w:w="0" w:type="dxa"/>
        <w:bottom w:w="0" w:type="dxa"/>
        <w:right w:w="0" w:type="dxa"/>
      </w:tblCellMar>
    </w:tblPr>
  </w:style>
</w:styles>
</file>

<file path=word/_rels/document.xml.rels><?xml version="1.0" encoding="UTF-8" standalone="yes"?>
<Relationships xmlns="http://schemas.openxmlformats.org/package/2006/relationships"><Relationship Id="rId99" Type="http://schemas.openxmlformats.org/officeDocument/2006/relationships/oleObject" Target="embeddings/oleObject7.bin"/><Relationship Id="rId98" Type="http://schemas.openxmlformats.org/officeDocument/2006/relationships/image" Target="media/image55.wmf"/><Relationship Id="rId97" Type="http://schemas.openxmlformats.org/officeDocument/2006/relationships/oleObject" Target="embeddings/oleObject6.bin"/><Relationship Id="rId96" Type="http://schemas.openxmlformats.org/officeDocument/2006/relationships/image" Target="media/image54.wmf"/><Relationship Id="rId95" Type="http://schemas.openxmlformats.org/officeDocument/2006/relationships/oleObject" Target="embeddings/oleObject5.bin"/><Relationship Id="rId94" Type="http://schemas.openxmlformats.org/officeDocument/2006/relationships/image" Target="media/image53.wmf"/><Relationship Id="rId93" Type="http://schemas.openxmlformats.org/officeDocument/2006/relationships/oleObject" Target="embeddings/oleObject4.bin"/><Relationship Id="rId92" Type="http://schemas.openxmlformats.org/officeDocument/2006/relationships/image" Target="media/image52.wmf"/><Relationship Id="rId91" Type="http://schemas.openxmlformats.org/officeDocument/2006/relationships/oleObject" Target="embeddings/oleObject3.bin"/><Relationship Id="rId90" Type="http://schemas.openxmlformats.org/officeDocument/2006/relationships/image" Target="media/image51.wmf"/><Relationship Id="rId9" Type="http://schemas.openxmlformats.org/officeDocument/2006/relationships/footer" Target="footer2.xml"/><Relationship Id="rId89" Type="http://schemas.openxmlformats.org/officeDocument/2006/relationships/oleObject" Target="embeddings/oleObject2.bin"/><Relationship Id="rId88" Type="http://schemas.openxmlformats.org/officeDocument/2006/relationships/image" Target="media/image50.png"/><Relationship Id="rId87" Type="http://schemas.openxmlformats.org/officeDocument/2006/relationships/image" Target="media/image49.jpeg"/><Relationship Id="rId86" Type="http://schemas.openxmlformats.org/officeDocument/2006/relationships/image" Target="media/image48.emf"/><Relationship Id="rId85" Type="http://schemas.openxmlformats.org/officeDocument/2006/relationships/image" Target="media/image47.emf"/><Relationship Id="rId84" Type="http://schemas.openxmlformats.org/officeDocument/2006/relationships/image" Target="media/image46.jpeg"/><Relationship Id="rId83" Type="http://schemas.openxmlformats.org/officeDocument/2006/relationships/image" Target="media/image45.jpeg"/><Relationship Id="rId82" Type="http://schemas.openxmlformats.org/officeDocument/2006/relationships/image" Target="media/image44.jpeg"/><Relationship Id="rId81" Type="http://schemas.openxmlformats.org/officeDocument/2006/relationships/image" Target="media/image43.png"/><Relationship Id="rId80" Type="http://schemas.openxmlformats.org/officeDocument/2006/relationships/image" Target="media/image42.png"/><Relationship Id="rId8" Type="http://schemas.openxmlformats.org/officeDocument/2006/relationships/footer" Target="footer1.xml"/><Relationship Id="rId79" Type="http://schemas.openxmlformats.org/officeDocument/2006/relationships/image" Target="media/image41.png"/><Relationship Id="rId78" Type="http://schemas.openxmlformats.org/officeDocument/2006/relationships/image" Target="media/image40.png"/><Relationship Id="rId77" Type="http://schemas.openxmlformats.org/officeDocument/2006/relationships/image" Target="media/image39.png"/><Relationship Id="rId76" Type="http://schemas.openxmlformats.org/officeDocument/2006/relationships/image" Target="media/image38.jpeg"/><Relationship Id="rId75" Type="http://schemas.openxmlformats.org/officeDocument/2006/relationships/image" Target="media/image37.png"/><Relationship Id="rId74" Type="http://schemas.openxmlformats.org/officeDocument/2006/relationships/image" Target="media/image36.jpeg"/><Relationship Id="rId73" Type="http://schemas.openxmlformats.org/officeDocument/2006/relationships/image" Target="media/image35.jpeg"/><Relationship Id="rId72" Type="http://schemas.openxmlformats.org/officeDocument/2006/relationships/image" Target="media/image34.jpeg"/><Relationship Id="rId71" Type="http://schemas.openxmlformats.org/officeDocument/2006/relationships/image" Target="media/image33.jpeg"/><Relationship Id="rId70" Type="http://schemas.openxmlformats.org/officeDocument/2006/relationships/image" Target="media/image32.jpeg"/><Relationship Id="rId7" Type="http://schemas.openxmlformats.org/officeDocument/2006/relationships/header" Target="header3.xml"/><Relationship Id="rId69" Type="http://schemas.openxmlformats.org/officeDocument/2006/relationships/image" Target="media/image31.png"/><Relationship Id="rId68" Type="http://schemas.openxmlformats.org/officeDocument/2006/relationships/image" Target="media/image30.png"/><Relationship Id="rId67" Type="http://schemas.openxmlformats.org/officeDocument/2006/relationships/image" Target="media/image29.png"/><Relationship Id="rId66" Type="http://schemas.openxmlformats.org/officeDocument/2006/relationships/image" Target="media/image28.png"/><Relationship Id="rId65" Type="http://schemas.openxmlformats.org/officeDocument/2006/relationships/image" Target="media/image27.jpeg"/><Relationship Id="rId64" Type="http://schemas.openxmlformats.org/officeDocument/2006/relationships/image" Target="media/image26.png"/><Relationship Id="rId63" Type="http://schemas.openxmlformats.org/officeDocument/2006/relationships/image" Target="media/image25.png"/><Relationship Id="rId62" Type="http://schemas.openxmlformats.org/officeDocument/2006/relationships/image" Target="media/image24.png"/><Relationship Id="rId61" Type="http://schemas.openxmlformats.org/officeDocument/2006/relationships/image" Target="media/image23.png"/><Relationship Id="rId60" Type="http://schemas.openxmlformats.org/officeDocument/2006/relationships/image" Target="media/image22.jpeg"/><Relationship Id="rId6" Type="http://schemas.openxmlformats.org/officeDocument/2006/relationships/header" Target="header2.xml"/><Relationship Id="rId59" Type="http://schemas.openxmlformats.org/officeDocument/2006/relationships/image" Target="media/image21.jpeg"/><Relationship Id="rId58" Type="http://schemas.openxmlformats.org/officeDocument/2006/relationships/image" Target="media/image20.jpeg"/><Relationship Id="rId57" Type="http://schemas.openxmlformats.org/officeDocument/2006/relationships/image" Target="media/image19.jpeg"/><Relationship Id="rId56" Type="http://schemas.openxmlformats.org/officeDocument/2006/relationships/image" Target="media/image18.jpeg"/><Relationship Id="rId55" Type="http://schemas.openxmlformats.org/officeDocument/2006/relationships/image" Target="media/image17.jpeg"/><Relationship Id="rId54" Type="http://schemas.openxmlformats.org/officeDocument/2006/relationships/image" Target="media/image16.jpeg"/><Relationship Id="rId53" Type="http://schemas.openxmlformats.org/officeDocument/2006/relationships/image" Target="media/image15.png"/><Relationship Id="rId52" Type="http://schemas.openxmlformats.org/officeDocument/2006/relationships/image" Target="media/image14.png"/><Relationship Id="rId51" Type="http://schemas.openxmlformats.org/officeDocument/2006/relationships/image" Target="media/image13.jpeg"/><Relationship Id="rId50" Type="http://schemas.openxmlformats.org/officeDocument/2006/relationships/image" Target="media/image12.png"/><Relationship Id="rId5" Type="http://schemas.openxmlformats.org/officeDocument/2006/relationships/header" Target="header1.xml"/><Relationship Id="rId49" Type="http://schemas.openxmlformats.org/officeDocument/2006/relationships/image" Target="media/image11.jpeg"/><Relationship Id="rId48" Type="http://schemas.openxmlformats.org/officeDocument/2006/relationships/image" Target="media/image10.wmf"/><Relationship Id="rId47" Type="http://schemas.openxmlformats.org/officeDocument/2006/relationships/image" Target="media/image9.emf"/><Relationship Id="rId46" Type="http://schemas.openxmlformats.org/officeDocument/2006/relationships/oleObject" Target="embeddings/oleObject1.bin"/><Relationship Id="rId45" Type="http://schemas.openxmlformats.org/officeDocument/2006/relationships/image" Target="media/image8.jpeg"/><Relationship Id="rId44" Type="http://schemas.openxmlformats.org/officeDocument/2006/relationships/image" Target="media/image7.jpeg"/><Relationship Id="rId43" Type="http://schemas.openxmlformats.org/officeDocument/2006/relationships/image" Target="media/image6.jpeg"/><Relationship Id="rId42" Type="http://schemas.openxmlformats.org/officeDocument/2006/relationships/image" Target="media/image5.png"/><Relationship Id="rId41" Type="http://schemas.openxmlformats.org/officeDocument/2006/relationships/image" Target="media/image4.jpeg"/><Relationship Id="rId40" Type="http://schemas.openxmlformats.org/officeDocument/2006/relationships/image" Target="media/image3.jpeg"/><Relationship Id="rId4" Type="http://schemas.openxmlformats.org/officeDocument/2006/relationships/endnotes" Target="endnotes.xml"/><Relationship Id="rId39" Type="http://schemas.openxmlformats.org/officeDocument/2006/relationships/image" Target="media/image2.jpeg"/><Relationship Id="rId38" Type="http://schemas.openxmlformats.org/officeDocument/2006/relationships/image" Target="media/image1.jpeg"/><Relationship Id="rId37" Type="http://schemas.openxmlformats.org/officeDocument/2006/relationships/theme" Target="theme/theme1.xml"/><Relationship Id="rId36" Type="http://schemas.openxmlformats.org/officeDocument/2006/relationships/header" Target="header21.xml"/><Relationship Id="rId35" Type="http://schemas.openxmlformats.org/officeDocument/2006/relationships/header" Target="header20.xml"/><Relationship Id="rId34" Type="http://schemas.openxmlformats.org/officeDocument/2006/relationships/header" Target="header19.xml"/><Relationship Id="rId33" Type="http://schemas.openxmlformats.org/officeDocument/2006/relationships/header" Target="header18.xml"/><Relationship Id="rId32" Type="http://schemas.openxmlformats.org/officeDocument/2006/relationships/header" Target="header17.xml"/><Relationship Id="rId31" Type="http://schemas.openxmlformats.org/officeDocument/2006/relationships/header" Target="header16.xml"/><Relationship Id="rId30" Type="http://schemas.openxmlformats.org/officeDocument/2006/relationships/header" Target="header15.xml"/><Relationship Id="rId3" Type="http://schemas.openxmlformats.org/officeDocument/2006/relationships/footnotes" Target="footnotes.xml"/><Relationship Id="rId29" Type="http://schemas.openxmlformats.org/officeDocument/2006/relationships/header" Target="header14.xml"/><Relationship Id="rId28" Type="http://schemas.openxmlformats.org/officeDocument/2006/relationships/footer" Target="footer11.xml"/><Relationship Id="rId27" Type="http://schemas.openxmlformats.org/officeDocument/2006/relationships/footer" Target="footer10.xml"/><Relationship Id="rId269" Type="http://schemas.openxmlformats.org/officeDocument/2006/relationships/fontTable" Target="fontTable.xml"/><Relationship Id="rId268" Type="http://schemas.openxmlformats.org/officeDocument/2006/relationships/customXml" Target="../customXml/item3.xml"/><Relationship Id="rId267" Type="http://schemas.openxmlformats.org/officeDocument/2006/relationships/customXml" Target="../customXml/item2.xml"/><Relationship Id="rId266" Type="http://schemas.openxmlformats.org/officeDocument/2006/relationships/numbering" Target="numbering.xml"/><Relationship Id="rId265" Type="http://schemas.openxmlformats.org/officeDocument/2006/relationships/customXml" Target="../customXml/item1.xml"/><Relationship Id="rId264" Type="http://schemas.openxmlformats.org/officeDocument/2006/relationships/image" Target="media/image191.png"/><Relationship Id="rId263" Type="http://schemas.openxmlformats.org/officeDocument/2006/relationships/image" Target="media/image190.jpeg"/><Relationship Id="rId262" Type="http://schemas.openxmlformats.org/officeDocument/2006/relationships/image" Target="media/image189.jpeg"/><Relationship Id="rId261" Type="http://schemas.openxmlformats.org/officeDocument/2006/relationships/image" Target="media/image188.png"/><Relationship Id="rId260" Type="http://schemas.openxmlformats.org/officeDocument/2006/relationships/image" Target="media/image187.png"/><Relationship Id="rId26" Type="http://schemas.openxmlformats.org/officeDocument/2006/relationships/header" Target="header13.xml"/><Relationship Id="rId259" Type="http://schemas.openxmlformats.org/officeDocument/2006/relationships/image" Target="media/image186.png"/><Relationship Id="rId258" Type="http://schemas.openxmlformats.org/officeDocument/2006/relationships/image" Target="media/image185.png"/><Relationship Id="rId257" Type="http://schemas.openxmlformats.org/officeDocument/2006/relationships/image" Target="media/image184.png"/><Relationship Id="rId256" Type="http://schemas.openxmlformats.org/officeDocument/2006/relationships/image" Target="media/image183.png"/><Relationship Id="rId255" Type="http://schemas.openxmlformats.org/officeDocument/2006/relationships/image" Target="media/image182.png"/><Relationship Id="rId254" Type="http://schemas.openxmlformats.org/officeDocument/2006/relationships/image" Target="media/image181.jpeg"/><Relationship Id="rId253" Type="http://schemas.openxmlformats.org/officeDocument/2006/relationships/image" Target="media/image180.png"/><Relationship Id="rId252" Type="http://schemas.openxmlformats.org/officeDocument/2006/relationships/image" Target="media/image179.jpeg"/><Relationship Id="rId251" Type="http://schemas.openxmlformats.org/officeDocument/2006/relationships/image" Target="media/image178.png"/><Relationship Id="rId250" Type="http://schemas.openxmlformats.org/officeDocument/2006/relationships/image" Target="media/image177.jpeg"/><Relationship Id="rId25" Type="http://schemas.openxmlformats.org/officeDocument/2006/relationships/header" Target="header12.xml"/><Relationship Id="rId249" Type="http://schemas.openxmlformats.org/officeDocument/2006/relationships/image" Target="media/image176.png"/><Relationship Id="rId248" Type="http://schemas.openxmlformats.org/officeDocument/2006/relationships/image" Target="media/image175.jpeg"/><Relationship Id="rId247" Type="http://schemas.openxmlformats.org/officeDocument/2006/relationships/image" Target="media/image174.png"/><Relationship Id="rId246" Type="http://schemas.openxmlformats.org/officeDocument/2006/relationships/image" Target="media/image173.jpeg"/><Relationship Id="rId245" Type="http://schemas.openxmlformats.org/officeDocument/2006/relationships/image" Target="media/image172.png"/><Relationship Id="rId244" Type="http://schemas.openxmlformats.org/officeDocument/2006/relationships/image" Target="media/image171.jpeg"/><Relationship Id="rId243" Type="http://schemas.openxmlformats.org/officeDocument/2006/relationships/image" Target="media/image170.png"/><Relationship Id="rId242" Type="http://schemas.openxmlformats.org/officeDocument/2006/relationships/image" Target="media/image169.jpeg"/><Relationship Id="rId241" Type="http://schemas.openxmlformats.org/officeDocument/2006/relationships/image" Target="media/image168.png"/><Relationship Id="rId240" Type="http://schemas.openxmlformats.org/officeDocument/2006/relationships/image" Target="media/image167.jpeg"/><Relationship Id="rId24" Type="http://schemas.openxmlformats.org/officeDocument/2006/relationships/header" Target="header11.xml"/><Relationship Id="rId239" Type="http://schemas.openxmlformats.org/officeDocument/2006/relationships/image" Target="media/image166.png"/><Relationship Id="rId238" Type="http://schemas.openxmlformats.org/officeDocument/2006/relationships/image" Target="media/image165.jpeg"/><Relationship Id="rId237" Type="http://schemas.openxmlformats.org/officeDocument/2006/relationships/image" Target="media/image164.png"/><Relationship Id="rId236" Type="http://schemas.openxmlformats.org/officeDocument/2006/relationships/image" Target="media/image163.jpeg"/><Relationship Id="rId235" Type="http://schemas.openxmlformats.org/officeDocument/2006/relationships/image" Target="media/image162.png"/><Relationship Id="rId234" Type="http://schemas.openxmlformats.org/officeDocument/2006/relationships/image" Target="media/image161.jpeg"/><Relationship Id="rId233" Type="http://schemas.openxmlformats.org/officeDocument/2006/relationships/image" Target="media/image160.png"/><Relationship Id="rId232" Type="http://schemas.openxmlformats.org/officeDocument/2006/relationships/image" Target="media/image159.jpeg"/><Relationship Id="rId231" Type="http://schemas.openxmlformats.org/officeDocument/2006/relationships/image" Target="media/image158.wmf"/><Relationship Id="rId230" Type="http://schemas.openxmlformats.org/officeDocument/2006/relationships/image" Target="media/image157.wmf"/><Relationship Id="rId23" Type="http://schemas.openxmlformats.org/officeDocument/2006/relationships/header" Target="header10.xml"/><Relationship Id="rId229" Type="http://schemas.openxmlformats.org/officeDocument/2006/relationships/image" Target="media/image156.wmf"/><Relationship Id="rId228" Type="http://schemas.openxmlformats.org/officeDocument/2006/relationships/image" Target="media/image155.wmf"/><Relationship Id="rId227" Type="http://schemas.openxmlformats.org/officeDocument/2006/relationships/image" Target="media/image154.wmf"/><Relationship Id="rId226" Type="http://schemas.openxmlformats.org/officeDocument/2006/relationships/image" Target="media/image153.wmf"/><Relationship Id="rId225" Type="http://schemas.openxmlformats.org/officeDocument/2006/relationships/image" Target="media/image152.wmf"/><Relationship Id="rId224" Type="http://schemas.openxmlformats.org/officeDocument/2006/relationships/image" Target="media/image151.wmf"/><Relationship Id="rId223" Type="http://schemas.openxmlformats.org/officeDocument/2006/relationships/image" Target="media/image150.wmf"/><Relationship Id="rId222" Type="http://schemas.openxmlformats.org/officeDocument/2006/relationships/image" Target="media/image149.wmf"/><Relationship Id="rId221" Type="http://schemas.openxmlformats.org/officeDocument/2006/relationships/image" Target="media/image148.wmf"/><Relationship Id="rId220" Type="http://schemas.openxmlformats.org/officeDocument/2006/relationships/image" Target="media/image147.wmf"/><Relationship Id="rId22" Type="http://schemas.openxmlformats.org/officeDocument/2006/relationships/footer" Target="footer9.xml"/><Relationship Id="rId219" Type="http://schemas.openxmlformats.org/officeDocument/2006/relationships/image" Target="media/image146.wmf"/><Relationship Id="rId218" Type="http://schemas.openxmlformats.org/officeDocument/2006/relationships/image" Target="media/image145.wmf"/><Relationship Id="rId217" Type="http://schemas.openxmlformats.org/officeDocument/2006/relationships/image" Target="media/image144.wmf"/><Relationship Id="rId216" Type="http://schemas.openxmlformats.org/officeDocument/2006/relationships/image" Target="media/image143.wmf"/><Relationship Id="rId215" Type="http://schemas.openxmlformats.org/officeDocument/2006/relationships/image" Target="media/image142.wmf"/><Relationship Id="rId214" Type="http://schemas.openxmlformats.org/officeDocument/2006/relationships/image" Target="media/image141.wmf"/><Relationship Id="rId213" Type="http://schemas.openxmlformats.org/officeDocument/2006/relationships/image" Target="media/image140.wmf"/><Relationship Id="rId212" Type="http://schemas.openxmlformats.org/officeDocument/2006/relationships/image" Target="media/image139.wmf"/><Relationship Id="rId211" Type="http://schemas.openxmlformats.org/officeDocument/2006/relationships/image" Target="media/image138.wmf"/><Relationship Id="rId210" Type="http://schemas.openxmlformats.org/officeDocument/2006/relationships/image" Target="media/image137.wmf"/><Relationship Id="rId21" Type="http://schemas.openxmlformats.org/officeDocument/2006/relationships/footer" Target="footer8.xml"/><Relationship Id="rId209" Type="http://schemas.openxmlformats.org/officeDocument/2006/relationships/image" Target="media/image136.wmf"/><Relationship Id="rId208" Type="http://schemas.openxmlformats.org/officeDocument/2006/relationships/image" Target="media/image135.wmf"/><Relationship Id="rId207" Type="http://schemas.openxmlformats.org/officeDocument/2006/relationships/image" Target="media/image134.wmf"/><Relationship Id="rId206" Type="http://schemas.openxmlformats.org/officeDocument/2006/relationships/image" Target="media/image133.wmf"/><Relationship Id="rId205" Type="http://schemas.openxmlformats.org/officeDocument/2006/relationships/image" Target="media/image132.wmf"/><Relationship Id="rId204" Type="http://schemas.openxmlformats.org/officeDocument/2006/relationships/image" Target="media/image131.wmf"/><Relationship Id="rId203" Type="http://schemas.openxmlformats.org/officeDocument/2006/relationships/image" Target="media/image130.wmf"/><Relationship Id="rId202" Type="http://schemas.openxmlformats.org/officeDocument/2006/relationships/image" Target="media/image129.wmf"/><Relationship Id="rId201" Type="http://schemas.openxmlformats.org/officeDocument/2006/relationships/image" Target="media/image128.wmf"/><Relationship Id="rId200" Type="http://schemas.openxmlformats.org/officeDocument/2006/relationships/image" Target="media/image127.wmf"/><Relationship Id="rId20" Type="http://schemas.openxmlformats.org/officeDocument/2006/relationships/header" Target="header9.xml"/><Relationship Id="rId2" Type="http://schemas.openxmlformats.org/officeDocument/2006/relationships/settings" Target="settings.xml"/><Relationship Id="rId199" Type="http://schemas.openxmlformats.org/officeDocument/2006/relationships/image" Target="media/image126.wmf"/><Relationship Id="rId198" Type="http://schemas.openxmlformats.org/officeDocument/2006/relationships/image" Target="media/image125.wmf"/><Relationship Id="rId197" Type="http://schemas.openxmlformats.org/officeDocument/2006/relationships/image" Target="media/image124.wmf"/><Relationship Id="rId196" Type="http://schemas.openxmlformats.org/officeDocument/2006/relationships/image" Target="media/image123.wmf"/><Relationship Id="rId195" Type="http://schemas.openxmlformats.org/officeDocument/2006/relationships/image" Target="media/image122.wmf"/><Relationship Id="rId194" Type="http://schemas.openxmlformats.org/officeDocument/2006/relationships/image" Target="media/image121.wmf"/><Relationship Id="rId193" Type="http://schemas.openxmlformats.org/officeDocument/2006/relationships/image" Target="media/image120.wmf"/><Relationship Id="rId192" Type="http://schemas.openxmlformats.org/officeDocument/2006/relationships/image" Target="media/image119.wmf"/><Relationship Id="rId191" Type="http://schemas.openxmlformats.org/officeDocument/2006/relationships/image" Target="media/image118.wmf"/><Relationship Id="rId190" Type="http://schemas.openxmlformats.org/officeDocument/2006/relationships/image" Target="media/image117.wmf"/><Relationship Id="rId19" Type="http://schemas.openxmlformats.org/officeDocument/2006/relationships/header" Target="header8.xml"/><Relationship Id="rId189" Type="http://schemas.openxmlformats.org/officeDocument/2006/relationships/image" Target="media/image116.wmf"/><Relationship Id="rId188" Type="http://schemas.openxmlformats.org/officeDocument/2006/relationships/image" Target="media/image115.wmf"/><Relationship Id="rId187" Type="http://schemas.openxmlformats.org/officeDocument/2006/relationships/image" Target="media/image114.wmf"/><Relationship Id="rId186" Type="http://schemas.openxmlformats.org/officeDocument/2006/relationships/image" Target="media/image113.png"/><Relationship Id="rId185" Type="http://schemas.openxmlformats.org/officeDocument/2006/relationships/image" Target="media/image112.png"/><Relationship Id="rId184" Type="http://schemas.openxmlformats.org/officeDocument/2006/relationships/image" Target="media/image111.png"/><Relationship Id="rId183" Type="http://schemas.openxmlformats.org/officeDocument/2006/relationships/image" Target="media/image110.png"/><Relationship Id="rId182" Type="http://schemas.openxmlformats.org/officeDocument/2006/relationships/image" Target="media/image109.png"/><Relationship Id="rId181" Type="http://schemas.openxmlformats.org/officeDocument/2006/relationships/image" Target="media/image108.png"/><Relationship Id="rId180" Type="http://schemas.openxmlformats.org/officeDocument/2006/relationships/image" Target="media/image107.png"/><Relationship Id="rId18" Type="http://schemas.openxmlformats.org/officeDocument/2006/relationships/header" Target="header7.xml"/><Relationship Id="rId179" Type="http://schemas.openxmlformats.org/officeDocument/2006/relationships/image" Target="media/image106.png"/><Relationship Id="rId178" Type="http://schemas.openxmlformats.org/officeDocument/2006/relationships/image" Target="media/image105.png"/><Relationship Id="rId177" Type="http://schemas.openxmlformats.org/officeDocument/2006/relationships/image" Target="media/image104.png"/><Relationship Id="rId176" Type="http://schemas.openxmlformats.org/officeDocument/2006/relationships/image" Target="media/image103.png"/><Relationship Id="rId175" Type="http://schemas.openxmlformats.org/officeDocument/2006/relationships/image" Target="media/image102.png"/><Relationship Id="rId174" Type="http://schemas.openxmlformats.org/officeDocument/2006/relationships/image" Target="media/image101.png"/><Relationship Id="rId173" Type="http://schemas.openxmlformats.org/officeDocument/2006/relationships/image" Target="media/image100.png"/><Relationship Id="rId172" Type="http://schemas.openxmlformats.org/officeDocument/2006/relationships/image" Target="media/image99.png"/><Relationship Id="rId171" Type="http://schemas.openxmlformats.org/officeDocument/2006/relationships/image" Target="media/image98.png"/><Relationship Id="rId170" Type="http://schemas.openxmlformats.org/officeDocument/2006/relationships/image" Target="media/image97.png"/><Relationship Id="rId17" Type="http://schemas.openxmlformats.org/officeDocument/2006/relationships/header" Target="header6.xml"/><Relationship Id="rId169" Type="http://schemas.openxmlformats.org/officeDocument/2006/relationships/image" Target="media/image96.png"/><Relationship Id="rId168" Type="http://schemas.openxmlformats.org/officeDocument/2006/relationships/image" Target="media/image95.png"/><Relationship Id="rId167" Type="http://schemas.openxmlformats.org/officeDocument/2006/relationships/image" Target="media/image94.jpeg"/><Relationship Id="rId166" Type="http://schemas.openxmlformats.org/officeDocument/2006/relationships/image" Target="media/image93.jpeg"/><Relationship Id="rId165" Type="http://schemas.openxmlformats.org/officeDocument/2006/relationships/image" Target="media/image92.emf"/><Relationship Id="rId164" Type="http://schemas.openxmlformats.org/officeDocument/2006/relationships/image" Target="media/image91.png"/><Relationship Id="rId163" Type="http://schemas.openxmlformats.org/officeDocument/2006/relationships/image" Target="media/image90.png"/><Relationship Id="rId162" Type="http://schemas.openxmlformats.org/officeDocument/2006/relationships/image" Target="media/image89.png"/><Relationship Id="rId161" Type="http://schemas.openxmlformats.org/officeDocument/2006/relationships/image" Target="media/image88.emf"/><Relationship Id="rId160" Type="http://schemas.openxmlformats.org/officeDocument/2006/relationships/image" Target="media/image87.emf"/><Relationship Id="rId16" Type="http://schemas.openxmlformats.org/officeDocument/2006/relationships/header" Target="header5.xml"/><Relationship Id="rId159" Type="http://schemas.openxmlformats.org/officeDocument/2006/relationships/image" Target="media/image86.jpeg"/><Relationship Id="rId158" Type="http://schemas.openxmlformats.org/officeDocument/2006/relationships/image" Target="media/image85.jpeg"/><Relationship Id="rId157" Type="http://schemas.openxmlformats.org/officeDocument/2006/relationships/image" Target="media/image84.wmf"/><Relationship Id="rId156" Type="http://schemas.openxmlformats.org/officeDocument/2006/relationships/oleObject" Target="embeddings/oleObject36.bin"/><Relationship Id="rId155" Type="http://schemas.openxmlformats.org/officeDocument/2006/relationships/image" Target="media/image83.wmf"/><Relationship Id="rId154" Type="http://schemas.openxmlformats.org/officeDocument/2006/relationships/oleObject" Target="embeddings/oleObject35.bin"/><Relationship Id="rId153" Type="http://schemas.openxmlformats.org/officeDocument/2006/relationships/image" Target="media/image82.wmf"/><Relationship Id="rId152" Type="http://schemas.openxmlformats.org/officeDocument/2006/relationships/oleObject" Target="embeddings/oleObject34.bin"/><Relationship Id="rId151" Type="http://schemas.openxmlformats.org/officeDocument/2006/relationships/image" Target="media/image81.wmf"/><Relationship Id="rId150" Type="http://schemas.openxmlformats.org/officeDocument/2006/relationships/oleObject" Target="embeddings/oleObject33.bin"/><Relationship Id="rId15" Type="http://schemas.openxmlformats.org/officeDocument/2006/relationships/footer" Target="footer7.xml"/><Relationship Id="rId149" Type="http://schemas.openxmlformats.org/officeDocument/2006/relationships/image" Target="media/image80.wmf"/><Relationship Id="rId148" Type="http://schemas.openxmlformats.org/officeDocument/2006/relationships/oleObject" Target="embeddings/oleObject32.bin"/><Relationship Id="rId147" Type="http://schemas.openxmlformats.org/officeDocument/2006/relationships/image" Target="media/image79.wmf"/><Relationship Id="rId146" Type="http://schemas.openxmlformats.org/officeDocument/2006/relationships/oleObject" Target="embeddings/oleObject31.bin"/><Relationship Id="rId145" Type="http://schemas.openxmlformats.org/officeDocument/2006/relationships/image" Target="media/image78.wmf"/><Relationship Id="rId144" Type="http://schemas.openxmlformats.org/officeDocument/2006/relationships/oleObject" Target="embeddings/oleObject30.bin"/><Relationship Id="rId143" Type="http://schemas.openxmlformats.org/officeDocument/2006/relationships/image" Target="media/image77.wmf"/><Relationship Id="rId142" Type="http://schemas.openxmlformats.org/officeDocument/2006/relationships/oleObject" Target="embeddings/oleObject29.bin"/><Relationship Id="rId141" Type="http://schemas.openxmlformats.org/officeDocument/2006/relationships/image" Target="media/image76.wmf"/><Relationship Id="rId140" Type="http://schemas.openxmlformats.org/officeDocument/2006/relationships/oleObject" Target="embeddings/oleObject28.bin"/><Relationship Id="rId14" Type="http://schemas.openxmlformats.org/officeDocument/2006/relationships/header" Target="header4.xml"/><Relationship Id="rId139" Type="http://schemas.openxmlformats.org/officeDocument/2006/relationships/image" Target="media/image75.wmf"/><Relationship Id="rId138" Type="http://schemas.openxmlformats.org/officeDocument/2006/relationships/oleObject" Target="embeddings/oleObject27.bin"/><Relationship Id="rId137" Type="http://schemas.openxmlformats.org/officeDocument/2006/relationships/image" Target="media/image74.wmf"/><Relationship Id="rId136" Type="http://schemas.openxmlformats.org/officeDocument/2006/relationships/oleObject" Target="embeddings/oleObject26.bin"/><Relationship Id="rId135" Type="http://schemas.openxmlformats.org/officeDocument/2006/relationships/image" Target="media/image73.wmf"/><Relationship Id="rId134" Type="http://schemas.openxmlformats.org/officeDocument/2006/relationships/oleObject" Target="embeddings/oleObject25.bin"/><Relationship Id="rId133" Type="http://schemas.openxmlformats.org/officeDocument/2006/relationships/image" Target="media/image72.wmf"/><Relationship Id="rId132" Type="http://schemas.openxmlformats.org/officeDocument/2006/relationships/oleObject" Target="embeddings/oleObject24.bin"/><Relationship Id="rId131" Type="http://schemas.openxmlformats.org/officeDocument/2006/relationships/image" Target="media/image71.wmf"/><Relationship Id="rId130" Type="http://schemas.openxmlformats.org/officeDocument/2006/relationships/oleObject" Target="embeddings/oleObject23.bin"/><Relationship Id="rId13" Type="http://schemas.openxmlformats.org/officeDocument/2006/relationships/footer" Target="footer6.xml"/><Relationship Id="rId129" Type="http://schemas.openxmlformats.org/officeDocument/2006/relationships/image" Target="media/image70.wmf"/><Relationship Id="rId128" Type="http://schemas.openxmlformats.org/officeDocument/2006/relationships/oleObject" Target="embeddings/oleObject22.bin"/><Relationship Id="rId127" Type="http://schemas.openxmlformats.org/officeDocument/2006/relationships/image" Target="media/image69.wmf"/><Relationship Id="rId126" Type="http://schemas.openxmlformats.org/officeDocument/2006/relationships/oleObject" Target="embeddings/oleObject21.bin"/><Relationship Id="rId125" Type="http://schemas.openxmlformats.org/officeDocument/2006/relationships/image" Target="media/image68.wmf"/><Relationship Id="rId124" Type="http://schemas.openxmlformats.org/officeDocument/2006/relationships/oleObject" Target="embeddings/oleObject20.bin"/><Relationship Id="rId123" Type="http://schemas.openxmlformats.org/officeDocument/2006/relationships/oleObject" Target="embeddings/oleObject19.bin"/><Relationship Id="rId122" Type="http://schemas.openxmlformats.org/officeDocument/2006/relationships/image" Target="media/image67.wmf"/><Relationship Id="rId121" Type="http://schemas.openxmlformats.org/officeDocument/2006/relationships/oleObject" Target="embeddings/oleObject18.bin"/><Relationship Id="rId120" Type="http://schemas.openxmlformats.org/officeDocument/2006/relationships/image" Target="media/image66.wmf"/><Relationship Id="rId12" Type="http://schemas.openxmlformats.org/officeDocument/2006/relationships/footer" Target="footer5.xml"/><Relationship Id="rId119" Type="http://schemas.openxmlformats.org/officeDocument/2006/relationships/oleObject" Target="embeddings/oleObject17.bin"/><Relationship Id="rId118" Type="http://schemas.openxmlformats.org/officeDocument/2006/relationships/image" Target="media/image65.wmf"/><Relationship Id="rId117" Type="http://schemas.openxmlformats.org/officeDocument/2006/relationships/oleObject" Target="embeddings/oleObject16.bin"/><Relationship Id="rId116" Type="http://schemas.openxmlformats.org/officeDocument/2006/relationships/image" Target="media/image64.wmf"/><Relationship Id="rId115" Type="http://schemas.openxmlformats.org/officeDocument/2006/relationships/oleObject" Target="embeddings/oleObject15.bin"/><Relationship Id="rId114" Type="http://schemas.openxmlformats.org/officeDocument/2006/relationships/image" Target="media/image63.wmf"/><Relationship Id="rId113" Type="http://schemas.openxmlformats.org/officeDocument/2006/relationships/oleObject" Target="embeddings/oleObject14.bin"/><Relationship Id="rId112" Type="http://schemas.openxmlformats.org/officeDocument/2006/relationships/image" Target="media/image62.wmf"/><Relationship Id="rId111" Type="http://schemas.openxmlformats.org/officeDocument/2006/relationships/oleObject" Target="embeddings/oleObject13.bin"/><Relationship Id="rId110" Type="http://schemas.openxmlformats.org/officeDocument/2006/relationships/image" Target="media/image61.wmf"/><Relationship Id="rId11" Type="http://schemas.openxmlformats.org/officeDocument/2006/relationships/footer" Target="footer4.xml"/><Relationship Id="rId109" Type="http://schemas.openxmlformats.org/officeDocument/2006/relationships/oleObject" Target="embeddings/oleObject12.bin"/><Relationship Id="rId108" Type="http://schemas.openxmlformats.org/officeDocument/2006/relationships/image" Target="media/image60.wmf"/><Relationship Id="rId107" Type="http://schemas.openxmlformats.org/officeDocument/2006/relationships/oleObject" Target="embeddings/oleObject11.bin"/><Relationship Id="rId106" Type="http://schemas.openxmlformats.org/officeDocument/2006/relationships/image" Target="media/image59.wmf"/><Relationship Id="rId105" Type="http://schemas.openxmlformats.org/officeDocument/2006/relationships/oleObject" Target="embeddings/oleObject10.bin"/><Relationship Id="rId104" Type="http://schemas.openxmlformats.org/officeDocument/2006/relationships/image" Target="media/image58.wmf"/><Relationship Id="rId103" Type="http://schemas.openxmlformats.org/officeDocument/2006/relationships/oleObject" Target="embeddings/oleObject9.bin"/><Relationship Id="rId102" Type="http://schemas.openxmlformats.org/officeDocument/2006/relationships/image" Target="media/image57.wmf"/><Relationship Id="rId101" Type="http://schemas.openxmlformats.org/officeDocument/2006/relationships/oleObject" Target="embeddings/oleObject8.bin"/><Relationship Id="rId100" Type="http://schemas.openxmlformats.org/officeDocument/2006/relationships/image" Target="media/image56.wmf"/><Relationship Id="rId10" Type="http://schemas.openxmlformats.org/officeDocument/2006/relationships/footer" Target="footer3.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contractReview xmlns="http://schemas.wps.cn/vas-ai-hub/contract-review">
  <reviewItems>
    <reviewItem>
      <errorID>ac3a4430-9000-4f96-b8d3-2a484bc72379</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57B77476</paraID>
      <start>0</start>
      <end>2</end>
      <status>unmodified</status>
      <modifiedWord/>
      <trackRevisions>false</trackRevisions>
    </reviewItem>
    <reviewItem>
      <errorID>4eb63ad5-f101-453d-a920-2ba520a6cf52</errorID>
      <errorWord>展</errorWord>
      <group>L1_Word</group>
      <groupName>字词问题</groupName>
      <ability>L2_Typo</ability>
      <abilityName>字词错误</abilityName>
      <candidateList>
        <item>展和</item>
      </candidateList>
      <explain/>
      <paraID>57B77476</paraID>
      <start>18</start>
      <end>20</end>
      <status>modified</status>
      <modifiedWord>展和</modifiedWord>
      <trackRevisions>false</trackRevisions>
    </reviewItem>
    <reviewItem>
      <errorID>1cf952a5-912d-4a3a-b034-43f2044d4cdf</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5308DEF4</paraID>
      <start>0</start>
      <end>2</end>
      <status>unmodified</status>
      <modifiedWord/>
      <trackRevisions>false</trackRevisions>
    </reviewItem>
    <reviewItem>
      <errorID>9868b25f-4ef0-4d2c-942b-995387da0a55</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2ADAAD56</paraID>
      <start>0</start>
      <end>2</end>
      <status>unmodified</status>
      <modifiedWord/>
      <trackRevisions>false</trackRevisions>
    </reviewItem>
    <reviewItem>
      <errorID>ee0c53b1-bf8f-4d2d-85fd-82c277c121fd</errorID>
      <errorWord>。</errorWord>
      <group>L1_AI</group>
      <groupName>深度校对</groupName>
      <ability>L2_AI_Grammar</ability>
      <abilityName>语法纠错</abilityName>
      <candidateList>
        <item>核准该项目。</item>
      </candidateList>
      <explain/>
      <paraID>2ADAAD56</paraID>
      <start>94</start>
      <end>95</end>
      <status>unmodified</status>
      <modifiedWord/>
      <trackRevisions>false</trackRevisions>
    </reviewItem>
    <reviewItem>
      <errorID>bb00c830-9cd7-4e93-a9ca-c96966242c81</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79319F19</paraID>
      <start>0</start>
      <end>2</end>
      <status>unmodified</status>
      <modifiedWord/>
      <trackRevisions>false</trackRevisions>
    </reviewItem>
    <reviewItem>
      <errorID>4ebc2cea-64f0-41ee-9478-4c28fcebef72</errorID>
      <errorWord>《</errorWord>
      <group>L1_AI</group>
      <groupName>深度校对</groupName>
      <ability>L2_AI_Word</ability>
      <abilityName>字词纠错</abilityName>
      <candidateList>
        <item>以《</item>
      </candidateList>
      <explain/>
      <paraID>79319F19</paraID>
      <start>34</start>
      <end>35</end>
      <status>unmodified</status>
      <modifiedWord/>
      <trackRevisions>false</trackRevisions>
    </reviewItem>
    <reviewItem>
      <errorID>a1012492-7687-48c8-9386-073a4664df9a</errorID>
      <errorWord>。</errorWord>
      <group>L1_AI</group>
      <groupName>深度校对</groupName>
      <ability>L2_AI_Grammar</ability>
      <abilityName>语法纠错</abilityName>
      <candidateList>
        <item>批复该储罐区立项。</item>
      </candidateList>
      <explain/>
      <paraID>79319F19</paraID>
      <start>88</start>
      <end>89</end>
      <status>unmodified</status>
      <modifiedWord/>
      <trackRevisions>false</trackRevisions>
    </reviewItem>
    <reviewItem>
      <errorID>8d50b851-65d5-48cc-8803-ce88d1e30eed</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163781BD</paraID>
      <start>0</start>
      <end>2</end>
      <status>unmodified</status>
      <modifiedWord/>
      <trackRevisions>false</trackRevisions>
    </reviewItem>
    <reviewItem>
      <errorID>f357b428-c404-4697-a13a-a51a5909311f</errorID>
      <errorWord>(</errorWord>
      <group>L1_Format</group>
      <groupName>格式问题</groupName>
      <ability>L2_HalfPunc</ability>
      <abilityName>全半角检查</abilityName>
      <candidateList>
        <item>（</item>
      </candidateList>
      <explain>文本全半角错误。</explain>
      <paraID>163781BD</paraID>
      <start>61</start>
      <end>62</end>
      <status>unmodified</status>
      <modifiedWord/>
      <trackRevisions>false</trackRevisions>
    </reviewItem>
    <reviewItem>
      <errorID>043a2db2-5607-4a95-90b1-d6444045ad41</errorID>
      <errorWord>)</errorWord>
      <group>L1_Format</group>
      <groupName>格式问题</groupName>
      <ability>L2_HalfPunc</ability>
      <abilityName>全半角检查</abilityName>
      <candidateList>
        <item>）</item>
      </candidateList>
      <explain>文本全半角错误。</explain>
      <paraID>163781BD</paraID>
      <start>73</start>
      <end>74</end>
      <status>unmodified</status>
      <modifiedWord/>
      <trackRevisions>false</trackRevisions>
    </reviewItem>
    <reviewItem>
      <errorID>ac29e296-1d97-4948-8a69-a004f938986c</errorID>
      <errorWord>。</errorWord>
      <group>L1_AI</group>
      <groupName>深度校对</groupName>
      <ability>L2_AI_Grammar</ability>
      <abilityName>语法纠错</abilityName>
      <candidateList>
        <item>批复该初步设计。</item>
      </candidateList>
      <explain/>
      <paraID>163781BD</paraID>
      <start>96</start>
      <end>97</end>
      <status>unmodified</status>
      <modifiedWord/>
      <trackRevisions>false</trackRevisions>
    </reviewItem>
    <reviewItem>
      <errorID>3fc37056-e3d8-49d8-9abf-6bd1a42910c1</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5A08167B</paraID>
      <start>0</start>
      <end>2</end>
      <status>unmodified</status>
      <modifiedWord/>
      <trackRevisions>false</trackRevisions>
    </reviewItem>
    <reviewItem>
      <errorID>483e6919-8738-43c3-a3b7-c0d679d4eb1b</errorID>
      <errorWord>(</errorWord>
      <group>L1_Format</group>
      <groupName>格式问题</groupName>
      <ability>L2_HalfPunc</ability>
      <abilityName>全半角检查</abilityName>
      <candidateList>
        <item>（</item>
      </candidateList>
      <explain>文本全半角错误。</explain>
      <paraID>5A08167B</paraID>
      <start>61</start>
      <end>62</end>
      <status>unmodified</status>
      <modifiedWord/>
      <trackRevisions>false</trackRevisions>
    </reviewItem>
    <reviewItem>
      <errorID>8a506ba8-268d-48fc-ab3f-6bec20a805d3</errorID>
      <errorWord>)</errorWord>
      <group>L1_Format</group>
      <groupName>格式问题</groupName>
      <ability>L2_HalfPunc</ability>
      <abilityName>全半角检查</abilityName>
      <candidateList>
        <item>）</item>
      </candidateList>
      <explain>文本全半角错误。</explain>
      <paraID>5A08167B</paraID>
      <start>73</start>
      <end>74</end>
      <status>unmodified</status>
      <modifiedWord/>
      <trackRevisions>false</trackRevisions>
    </reviewItem>
    <reviewItem>
      <errorID>7aa9d4ad-454d-4c82-86b4-d4e9d0cd923a</errorID>
      <errorWord>。</errorWord>
      <group>L1_AI</group>
      <groupName>深度校对</groupName>
      <ability>L2_AI_Grammar</ability>
      <abilityName>语法纠错</abilityName>
      <candidateList>
        <item>批复该施工图设计。</item>
      </candidateList>
      <explain/>
      <paraID>5A08167B</paraID>
      <start>99</start>
      <end>100</end>
      <status>unmodified</status>
      <modifiedWord/>
      <trackRevisions>false</trackRevisions>
    </reviewItem>
    <reviewItem>
      <errorID>7fdfd136-aaff-4eab-9121-810e025f23bc</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29188D4D</paraID>
      <start>0</start>
      <end>2</end>
      <status>unmodified</status>
      <modifiedWord/>
      <trackRevisions>false</trackRevisions>
    </reviewItem>
    <reviewItem>
      <errorID>d50b36c4-fb1a-49c5-bc18-411dbc151d57</errorID>
      <errorWord>泊位工程</errorWord>
      <group>L1_AI</group>
      <groupName>深度校对</groupName>
      <ability>L2_AI_Grammar</ability>
      <abilityName>语法纠错</abilityName>
      <candidateList>
        <item>泊位</item>
      </candidateList>
      <explain/>
      <paraID>16370982</paraID>
      <start>8</start>
      <end>10</end>
      <status>modified</status>
      <modifiedWord>泊位</modifiedWord>
      <trackRevisions>false</trackRevisions>
    </reviewItem>
    <reviewItem>
      <errorID>651d62f1-1d87-41ef-923b-ffb362948d90</errorID>
      <errorWord>装卸</errorWord>
      <group>L1_AI</group>
      <groupName>深度校对</groupName>
      <ability>L2_AI_Word</ability>
      <abilityName>字词纠错</abilityName>
      <candidateList>
        <item>等装卸</item>
      </candidateList>
      <explain/>
      <paraID>16370982</paraID>
      <start>133</start>
      <end>135</end>
      <status>unmodified</status>
      <modifiedWord/>
      <trackRevisions>false</trackRevisions>
    </reviewItem>
    <reviewItem>
      <errorID>a965c292-e833-421f-8cd4-e39147e8c151</errorID>
      <errorWord>。</errorWord>
      <group>L1_AI</group>
      <groupName>深度校对</groupName>
      <ability>L2_AI_Grammar</ability>
      <abilityName>语法纠错</abilityName>
      <candidateList>
        <item>设施。</item>
      </candidateList>
      <explain/>
      <paraID>16370982</paraID>
      <start>135</start>
      <end>136</end>
      <status>unmodified</status>
      <modifiedWord/>
      <trackRevisions>false</trackRevisions>
    </reviewItem>
    <reviewItem>
      <errorID>41e4c0a8-0f8c-4599-9e56-b7a801f69a29</errorID>
      <errorWord>》</errorWord>
      <group>L1_AI</group>
      <groupName>深度校对</groupName>
      <ability>L2_AI_Punc</ability>
      <abilityName>标点纠错</abilityName>
      <candidateList>
        <item/>
      </candidateList>
      <explain/>
      <paraID>3721C9D6</paraID>
      <start>59</start>
      <end>60</end>
      <status>unmodified</status>
      <modifiedWord/>
      <trackRevisions>false</trackRevisions>
    </reviewItem>
    <reviewItem>
      <errorID>99d9a773-21a7-4c4f-8bb9-9888b9cc70af</errorID>
      <errorWord>（</errorWord>
      <group>L1_AI</group>
      <groupName>深度校对</groupName>
      <ability>L2_AI_Punc</ability>
      <abilityName>标点纠错</abilityName>
      <candidateList>
        <item>》（</item>
      </candidateList>
      <explain/>
      <paraID>3721C9D6</paraID>
      <start>66</start>
      <end>67</end>
      <status>unmodified</status>
      <modifiedWord/>
      <trackRevisions>false</trackRevisions>
    </reviewItem>
    <reviewItem>
      <errorID>7b5a7537-e4e6-4bbf-9979-d0044ae6e0c6</errorID>
      <errorWord>经管</errorWord>
      <group>L1_AI</group>
      <groupName>深度校对</groupName>
      <ability>L2_AI_Word</ability>
      <abilityName>字词纠错</abilityName>
      <candidateList>
        <item>后经管</item>
      </candidateList>
      <explain/>
      <paraID>579BE908</paraID>
      <start>16</start>
      <end>18</end>
      <status>unmodified</status>
      <modifiedWord/>
      <trackRevisions>false</trackRevisions>
    </reviewItem>
    <reviewItem>
      <errorID>ade1d64e-1e12-4d04-b1cc-17aee08d86f8</errorID>
      <errorWord>同步进行种</errorWord>
      <group>L1_AI</group>
      <groupName>深度校对</groupName>
      <ability>L2_AI_Word</ability>
      <abilityName>字词纠错</abilityName>
      <candidateList>
        <item>同步进行</item>
      </candidateList>
      <explain/>
      <paraID>579BE908</paraID>
      <start>39</start>
      <end>44</end>
      <status>unmodified</status>
      <modifiedWord/>
      <trackRevisions>false</trackRevisions>
    </reviewItem>
    <reviewItem>
      <errorID>55c1652a-5d82-43ba-8d47-3e23b64f0e9f</errorID>
      <errorWord>酸化油</errorWord>
      <group>L1_Word</group>
      <groupName>字词问题</groupName>
      <ability>L2_Typo</ability>
      <abilityName>字词错误</abilityName>
      <candidateList>
        <item>酸油</item>
      </candidateList>
      <explain/>
      <paraID>6932AFA7</paraID>
      <start>2</start>
      <end>5</end>
      <status>unmodified</status>
      <modifiedWord/>
      <trackRevisions>false</trackRevisions>
    </reviewItem>
    <reviewItem>
      <errorID>01d5b298-9886-4fc4-a13c-2c7b2d94253a</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7D93EB0E</paraID>
      <start>15</start>
      <end>18</end>
      <status>unmodified</status>
      <modifiedWord/>
      <trackRevisions>false</trackRevisions>
    </reviewItem>
    <reviewItem>
      <errorID>c1905f58-cc47-44bf-bc6b-de40930824aa</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7D93EB0E</paraID>
      <start>32</start>
      <end>35</end>
      <status>unmodified</status>
      <modifiedWord/>
      <trackRevisions>false</trackRevisions>
    </reviewItem>
    <reviewItem>
      <errorID>5efdd6d7-7f5a-4a3d-96f0-a82f8ab4068c</errorID>
      <errorWord>制订了</errorWord>
      <group>L1_Word</group>
      <groupName>字词问题</groupName>
      <ability>L2_Typo</ability>
      <abilityName>字词错误</abilityName>
      <candidateList>
        <item>制定了</item>
      </candidateList>
      <explain/>
      <paraID>6911D678</paraID>
      <start>113</start>
      <end>116</end>
      <status>modified</status>
      <modifiedWord>制定了</modifiedWord>
      <trackRevisions>false</trackRevisions>
    </reviewItem>
    <reviewItem>
      <errorID>50581253-8fc6-4b76-afe8-19e137d571d7</errorID>
      <errorWord>委托广西</errorWord>
      <group>L1_AI</group>
      <groupName>深度校对</groupName>
      <ability>L2_AI_Grammar</ability>
      <abilityName>语法纠错</abilityName>
      <candidateList>
        <item>委托</item>
      </candidateList>
      <explain/>
      <paraID>6911D678</paraID>
      <start>129</start>
      <end>131</end>
      <status>modified</status>
      <modifiedWord>委托</modifiedWord>
      <trackRevisions>false</trackRevisions>
    </reviewItem>
    <reviewItem>
      <errorID>80438069-b54b-4c75-bf56-160b64f65df3</errorID>
      <errorWord>危险货种</errorWord>
      <group>L1_Knowledge</group>
      <groupName>知识性问题</groupName>
      <ability>L2_Term</ability>
      <abilityName>专业术语</abilityName>
      <candidateList>
        <item>危险货物</item>
      </candidateList>
      <explain/>
      <paraID>202C662D</paraID>
      <start>5</start>
      <end>9</end>
      <status>unmodified</status>
      <modifiedWord/>
      <trackRevisions>false</trackRevisions>
    </reviewItem>
    <reviewItem>
      <errorID>d2765354-7441-419f-b696-dea905d5c619</errorID>
      <errorWord>工程在</errorWord>
      <group>L1_Word</group>
      <groupName>字词问题</groupName>
      <ability>L2_Typo</ability>
      <abilityName>字词错误</abilityName>
      <candidateList>
        <item>工程</item>
      </candidateList>
      <explain/>
      <paraID>77A1F4E5</paraID>
      <start>197</start>
      <end>200</end>
      <status>unmodified</status>
      <modifiedWord/>
      <trackRevisions>false</trackRevisions>
    </reviewItem>
    <reviewItem>
      <errorID>f67816a0-7b72-4148-9e42-844bb55da99e</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6BAE7E91</paraID>
      <start>23</start>
      <end>24</end>
      <status>unmodified</status>
      <modifiedWord/>
      <trackRevisions>false</trackRevisions>
    </reviewItem>
    <reviewItem>
      <errorID>9fa2701f-d7c6-44d8-b29d-51a1dcba8920</errorID>
      <errorWord>(</errorWord>
      <group>L1_Format</group>
      <groupName>格式问题</groupName>
      <ability>L2_HalfPunc</ability>
      <abilityName>全半角检查</abilityName>
      <candidateList>
        <item>（</item>
      </candidateList>
      <explain>文本全半角错误。</explain>
      <paraID> 53C40FE</paraID>
      <start>34</start>
      <end>35</end>
      <status>unmodified</status>
      <modifiedWord/>
      <trackRevisions>false</trackRevisions>
    </reviewItem>
    <reviewItem>
      <errorID>6ca88717-f41f-4512-9245-4fc0fc7c364f</errorID>
      <errorWord>)</errorWord>
      <group>L1_Format</group>
      <groupName>格式问题</groupName>
      <ability>L2_HalfPunc</ability>
      <abilityName>全半角检查</abilityName>
      <candidateList>
        <item>）</item>
      </candidateList>
      <explain>文本全半角错误。</explain>
      <paraID> 53C40FE</paraID>
      <start>39</start>
      <end>40</end>
      <status>unmodified</status>
      <modifiedWord/>
      <trackRevisions>false</trackRevisions>
    </reviewItem>
    <reviewItem>
      <errorID>b4ee4e36-9838-4bd1-a7e9-fcc9f5e3fd04</errorID>
      <errorWord>农业部</errorWord>
      <group>L1_Knowledge</group>
      <groupName>知识性问题</groupName>
      <ability>L2_Knowledge</ability>
      <abilityName>其他知识</abilityName>
      <candidateList>
        <item>农业农村部</item>
      </candidateList>
      <explain/>
      <paraID>5ECF7099</paraID>
      <start>24</start>
      <end>29</end>
      <status>modified</status>
      <modifiedWord>农业农村部</modifiedWord>
      <trackRevisions>false</trackRevisions>
    </reviewItem>
    <reviewItem>
      <errorID>ce4d86f9-bd89-4f79-9903-4f234011c393</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67971426</paraID>
      <start>32</start>
      <end>33</end>
      <status>unmodified</status>
      <modifiedWord/>
      <trackRevisions>false</trackRevisions>
    </reviewItem>
    <reviewItem>
      <errorID>e00b191b-e8ce-4c25-b5b6-23f3a2f0f911</errorID>
      <errorWord>II</errorWord>
      <group>L1_Knowledge</group>
      <groupName>知识性问题</groupName>
      <ability>L2_Knowledge</ability>
      <abilityName>其他知识</abilityName>
      <candidateList>
        <item>Ⅱ</item>
      </candidateList>
      <explain/>
      <paraID> FBF227D</paraID>
      <start>18</start>
      <end>20</end>
      <status>unmodified</status>
      <modifiedWord/>
      <trackRevisions>false</trackRevisions>
    </reviewItem>
    <reviewItem>
      <errorID>3b5accb3-3cbc-4676-a9fe-19a7cafa1de9</errorID>
      <errorWord>IV</errorWord>
      <group>L1_Knowledge</group>
      <groupName>知识性问题</groupName>
      <ability>L2_Knowledge</ability>
      <abilityName>其他知识</abilityName>
      <candidateList>
        <item>Ⅳ</item>
      </candidateList>
      <explain/>
      <paraID>7A27C9ED</paraID>
      <start>18</start>
      <end>20</end>
      <status>unmodified</status>
      <modifiedWord/>
      <trackRevisions>false</trackRevisions>
    </reviewItem>
    <reviewItem>
      <errorID>bc8c69e6-32e7-4c51-85d9-af75207f2144</errorID>
      <errorWord>广西壮族自治区陆生野生动物保护管理规定</errorWord>
      <group>L1_Knowledge</group>
      <groupName>知识性问题</groupName>
      <ability>L2_Knowledge</ability>
      <abilityName>其他知识</abilityName>
      <candidateList/>
      <explain>该法规于2012年3月23日制定，当前已废止，请注意检查引用是否正确。</explain>
      <paraID>65A4531A</paraID>
      <start>1</start>
      <end>20</end>
      <status>unmodified</status>
      <modifiedWord/>
      <trackRevisions>false</trackRevisions>
    </reviewItem>
    <reviewItem>
      <errorID>88ccbc0d-590b-4d00-93eb-f28b40537a26</errorID>
      <errorWord>广西壮族自治区水生野生动物保护管理规定</errorWord>
      <group>L1_Knowledge</group>
      <groupName>知识性问题</groupName>
      <ability>L2_Knowledge</ability>
      <abilityName>其他知识</abilityName>
      <candidateList/>
      <explain>该法规于2012年3月23日制定，当前已废止，请注意检查引用是否正确。</explain>
      <paraID> 27E9A93</paraID>
      <start>1</start>
      <end>20</end>
      <status>unmodified</status>
      <modifiedWord/>
      <trackRevisions>false</trackRevisions>
    </reviewItem>
    <reviewItem>
      <errorID>07826c26-0346-41ac-88be-68f6cb6c4229</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593E58EE</paraID>
      <start>19</start>
      <end>20</end>
      <status>unmodified</status>
      <modifiedWord/>
      <trackRevisions>false</trackRevisions>
    </reviewItem>
    <reviewItem>
      <errorID>78c4d437-5acb-431f-97c6-b97e1830ccca</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2F293100</paraID>
      <start>24</start>
      <end>25</end>
      <status>unmodified</status>
      <modifiedWord/>
      <trackRevisions>false</trackRevisions>
    </reviewItem>
    <reviewItem>
      <errorID>3a963dcf-156c-47f0-b5b9-1989d3d952a6</errorID>
      <errorWord>《</errorWord>
      <group>L1_Punc</group>
      <groupName>标点问题</groupName>
      <ability>L2_Punc</ability>
      <abilityName>标点符号检查</abilityName>
      <candidateList/>
      <explain>同一形式括号套用。</explain>
      <paraID>6E876AA1</paraID>
      <start>15</start>
      <end>16</end>
      <status>unmodified</status>
      <modifiedWord/>
      <trackRevisions>false</trackRevisions>
    </reviewItem>
    <reviewItem>
      <errorID>f599d6ff-5203-49b3-926e-09be6e0e3868</errorID>
      <errorWord>》</errorWord>
      <group>L1_Punc</group>
      <groupName>标点问题</groupName>
      <ability>L2_Punc</ability>
      <abilityName>标点符号检查</abilityName>
      <candidateList/>
      <explain>同一形式括号套用。</explain>
      <paraID>6E876AA1</paraID>
      <start>40</start>
      <end>41</end>
      <status>unmodified</status>
      <modifiedWord/>
      <trackRevisions>false</trackRevisions>
    </reviewItem>
    <reviewItem>
      <errorID>be194660-1059-4c05-beb4-4d664a822e43</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5A09D079</paraID>
      <start>21</start>
      <end>22</end>
      <status>unmodified</status>
      <modifiedWord/>
      <trackRevisions>false</trackRevisions>
    </reviewItem>
    <reviewItem>
      <errorID>861fb68b-ffae-4090-97aa-966b93ac6a49</errorID>
      <errorWord>-</errorWord>
      <group>L1_Format</group>
      <groupName>格式问题</groupName>
      <ability>L2_HalfPunc</ability>
      <abilityName>全半角检查</abilityName>
      <candidateList>
        <item>－</item>
      </candidateList>
      <explain>文本全半角错误。</explain>
      <paraID>5A09D079</paraID>
      <start>49</start>
      <end>50</end>
      <status>unmodified</status>
      <modifiedWord/>
      <trackRevisions>false</trackRevisions>
    </reviewItem>
    <reviewItem>
      <errorID>87ee0810-adaa-4b3b-80d9-09e1c4ec067b</errorID>
      <errorWord>-</errorWord>
      <group>L1_Format</group>
      <groupName>格式问题</groupName>
      <ability>L2_HalfPunc</ability>
      <abilityName>全半角检查</abilityName>
      <candidateList>
        <item>－</item>
      </candidateList>
      <explain>文本全半角错误。</explain>
      <paraID>5A09D079</paraID>
      <start>53</start>
      <end>54</end>
      <status>unmodified</status>
      <modifiedWord/>
      <trackRevisions>false</trackRevisions>
    </reviewItem>
    <reviewItem>
      <errorID>e9fb6270-7dfd-4a96-a821-d7d27775ec85</errorID>
      <errorWord>III</errorWord>
      <group>L1_Knowledge</group>
      <groupName>知识性问题</groupName>
      <ability>L2_Knowledge</ability>
      <abilityName>其他知识</abilityName>
      <candidateList>
        <item>Ⅲ</item>
      </candidateList>
      <explain/>
      <paraID>50CE1716</paraID>
      <start>0</start>
      <end>3</end>
      <status>unmodified</status>
      <modifiedWord/>
      <trackRevisions>false</trackRevisions>
    </reviewItem>
    <reviewItem>
      <errorID>c827e3fb-74dc-4593-9908-22bb1f78cb7e</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4DE0B57B</paraID>
      <start>0</start>
      <end>2</end>
      <status>unmodified</status>
      <modifiedWord/>
      <trackRevisions>false</trackRevisions>
    </reviewItem>
    <reviewItem>
      <errorID>c8507bbd-bfa0-499d-ab4b-2685ab7cf0fb</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1F8BC3D0</paraID>
      <start>0</start>
      <end>2</end>
      <status>unmodified</status>
      <modifiedWord/>
      <trackRevisions>false</trackRevisions>
    </reviewItem>
    <reviewItem>
      <errorID>0993632b-cdd2-40b1-9ea8-3337df878f52</errorID>
      <errorWord>[2025]15号</errorWord>
      <group>L1_Knowledge</group>
      <groupName>知识性问题</groupName>
      <ability>L2_Knowledge</ability>
      <abilityName>其他知识</abilityName>
      <candidateList>
        <item>〔2025〕15号</item>
      </candidateList>
      <explain>发文字号格式错误。</explain>
      <paraID>31D1F183</paraID>
      <start>45</start>
      <end>54</end>
      <status>unmodified</status>
      <modifiedWord/>
      <trackRevisions>false</trackRevisions>
    </reviewItem>
    <reviewItem>
      <errorID>70221c76-fd08-49e2-b748-f0c5df2a9171</errorID>
      <errorWord>[2025]33号</errorWord>
      <group>L1_Knowledge</group>
      <groupName>知识性问题</groupName>
      <ability>L2_Knowledge</ability>
      <abilityName>其他知识</abilityName>
      <candidateList>
        <item>〔2025〕33号</item>
      </candidateList>
      <explain>发文字号格式错误。</explain>
      <paraID>171216F7</paraID>
      <start>47</start>
      <end>56</end>
      <status>unmodified</status>
      <modifiedWord/>
      <trackRevisions>false</trackRevisions>
    </reviewItem>
    <reviewItem>
      <errorID>2321c321-eec7-4264-be8c-72cd74ac1a6d</errorID>
      <errorWord>评价中</errorWord>
      <group>L1_Word</group>
      <groupName>字词问题</groupName>
      <ability>L2_Typo</ability>
      <abilityName>字词错误</abilityName>
      <candidateList>
        <item>评价</item>
      </candidateList>
      <explain/>
      <paraID>146BF785</paraID>
      <start>21</start>
      <end>24</end>
      <status>unmodified</status>
      <modifiedWord/>
      <trackRevisions>false</trackRevisions>
    </reviewItem>
    <reviewItem>
      <errorID>46ea74d0-3208-4d6a-ab02-0264f2b26b39</errorID>
      <errorWord>(</errorWord>
      <group>L1_Format</group>
      <groupName>格式问题</groupName>
      <ability>L2_HalfPunc</ability>
      <abilityName>全半角检查</abilityName>
      <candidateList>
        <item>（</item>
      </candidateList>
      <explain>文本全半角错误。</explain>
      <paraID>49FA5910</paraID>
      <start>8</start>
      <end>9</end>
      <status>unmodified</status>
      <modifiedWord/>
      <trackRevisions>false</trackRevisions>
    </reviewItem>
    <reviewItem>
      <errorID>1eaa24c0-ce74-455f-83bf-493696769f35</errorID>
      <errorWord>)</errorWord>
      <group>L1_Format</group>
      <groupName>格式问题</groupName>
      <ability>L2_HalfPunc</ability>
      <abilityName>全半角检查</abilityName>
      <candidateList>
        <item>）</item>
      </candidateList>
      <explain>文本全半角错误。</explain>
      <paraID>49FA5910</paraID>
      <start>14</start>
      <end>15</end>
      <status>unmodified</status>
      <modifiedWord/>
      <trackRevisions>false</trackRevisions>
    </reviewItem>
    <reviewItem>
      <errorID>f18449d6-e694-4979-8d16-1737f566502f</errorID>
      <errorWord>排放限制</errorWord>
      <group>L1_Word</group>
      <groupName>字词问题</groupName>
      <ability>L2_Typo</ability>
      <abilityName>字词错误</abilityName>
      <candidateList>
        <item>排放限值</item>
      </candidateList>
      <explain/>
      <paraID>73FBF5C4</paraID>
      <start>49</start>
      <end>53</end>
      <status>modified</status>
      <modifiedWord>排放限值</modifiedWord>
      <trackRevisions>false</trackRevisions>
    </reviewItem>
    <reviewItem>
      <errorID>4e6d4386-6e1a-40fb-aa09-14fd967ee952</errorID>
      <errorWord>（</errorWord>
      <group>L1_Format</group>
      <groupName>格式问题</groupName>
      <ability>L2_HalfPunc</ability>
      <abilityName>全半角检查</abilityName>
      <candidateList>
        <item>(</item>
      </candidateList>
      <explain>文本全半角错误。</explain>
      <paraID>1CC723CE</paraID>
      <start>2</start>
      <end>3</end>
      <status>unmodified</status>
      <modifiedWord/>
      <trackRevisions>false</trackRevisions>
    </reviewItem>
    <reviewItem>
      <errorID>8d5f87d6-058d-413d-9c19-4eb9088d6cce</errorID>
      <errorWord>）</errorWord>
      <group>L1_Format</group>
      <groupName>格式问题</groupName>
      <ability>L2_HalfPunc</ability>
      <abilityName>全半角检查</abilityName>
      <candidateList>
        <item>)</item>
      </candidateList>
      <explain>文本全半角错误。</explain>
      <paraID>1CC723CE</paraID>
      <start>8</start>
      <end>9</end>
      <status>unmodified</status>
      <modifiedWord/>
      <trackRevisions>false</trackRevisions>
    </reviewItem>
    <reviewItem>
      <errorID>98aa7ef6-adff-425f-ab97-ff69465e7d3f</errorID>
      <errorWord>（</errorWord>
      <group>L1_Format</group>
      <groupName>格式问题</groupName>
      <ability>L2_HalfPunc</ability>
      <abilityName>全半角检查</abilityName>
      <candidateList>
        <item>(</item>
      </candidateList>
      <explain>文本全半角错误。</explain>
      <paraID>7C87EA9F</paraID>
      <start>6</start>
      <end>7</end>
      <status>unmodified</status>
      <modifiedWord/>
      <trackRevisions>false</trackRevisions>
    </reviewItem>
    <reviewItem>
      <errorID>0c4bfaea-34a7-4dcb-a4ab-91280baa255a</errorID>
      <errorWord>）</errorWord>
      <group>L1_Format</group>
      <groupName>格式问题</groupName>
      <ability>L2_HalfPunc</ability>
      <abilityName>全半角检查</abilityName>
      <candidateList>
        <item>)</item>
      </candidateList>
      <explain>文本全半角错误。</explain>
      <paraID>7C87EA9F</paraID>
      <start>12</start>
      <end>13</end>
      <status>unmodified</status>
      <modifiedWord/>
      <trackRevisions>false</trackRevisions>
    </reviewItem>
    <reviewItem>
      <errorID>e7a5ff13-c06f-4431-b8dc-9be5df33c111</errorID>
      <errorWord>（</errorWord>
      <group>L1_Format</group>
      <groupName>格式问题</groupName>
      <ability>L2_HalfPunc</ability>
      <abilityName>全半角检查</abilityName>
      <candidateList>
        <item>(</item>
      </candidateList>
      <explain>文本全半角错误。</explain>
      <paraID>27DC86AE</paraID>
      <start>6</start>
      <end>7</end>
      <status>unmodified</status>
      <modifiedWord/>
      <trackRevisions>false</trackRevisions>
    </reviewItem>
    <reviewItem>
      <errorID>6cf6fbab-42b6-47b1-8336-eeb073d72ba5</errorID>
      <errorWord>）</errorWord>
      <group>L1_Format</group>
      <groupName>格式问题</groupName>
      <ability>L2_HalfPunc</ability>
      <abilityName>全半角检查</abilityName>
      <candidateList>
        <item>)</item>
      </candidateList>
      <explain>文本全半角错误。</explain>
      <paraID>27DC86AE</paraID>
      <start>12</start>
      <end>13</end>
      <status>unmodified</status>
      <modifiedWord/>
      <trackRevisions>false</trackRevisions>
    </reviewItem>
    <reviewItem>
      <errorID>fbc401ea-c6af-46cb-90f4-0cdb8245c808</errorID>
      <errorWord>（</errorWord>
      <group>L1_Format</group>
      <groupName>格式问题</groupName>
      <ability>L2_HalfPunc</ability>
      <abilityName>全半角检查</abilityName>
      <candidateList>
        <item>(</item>
      </candidateList>
      <explain>文本全半角错误。</explain>
      <paraID> 5DCA308</paraID>
      <start>2</start>
      <end>3</end>
      <status>unmodified</status>
      <modifiedWord/>
      <trackRevisions>false</trackRevisions>
    </reviewItem>
    <reviewItem>
      <errorID>c48781bb-020d-47c9-a81f-87f1aabcb52b</errorID>
      <errorWord>）</errorWord>
      <group>L1_Format</group>
      <groupName>格式问题</groupName>
      <ability>L2_HalfPunc</ability>
      <abilityName>全半角检查</abilityName>
      <candidateList>
        <item>)</item>
      </candidateList>
      <explain>文本全半角错误。</explain>
      <paraID> 5DCA308</paraID>
      <start>8</start>
      <end>9</end>
      <status>unmodified</status>
      <modifiedWord/>
      <trackRevisions>false</trackRevisions>
    </reviewItem>
    <reviewItem>
      <errorID>4d97679e-9482-4abd-bc5a-096fd1ec9131</errorID>
      <errorWord>(</errorWord>
      <group>L1_Format</group>
      <groupName>格式问题</groupName>
      <ability>L2_HalfPunc</ability>
      <abilityName>全半角检查</abilityName>
      <candidateList>
        <item>（</item>
      </candidateList>
      <explain>文本全半角错误。</explain>
      <paraID>15C5765A</paraID>
      <start>2</start>
      <end>3</end>
      <status>unmodified</status>
      <modifiedWord/>
      <trackRevisions>false</trackRevisions>
    </reviewItem>
    <reviewItem>
      <errorID>ceee603a-1c7d-4978-b6fb-1b2ceeaa37e8</errorID>
      <errorWord>)</errorWord>
      <group>L1_Format</group>
      <groupName>格式问题</groupName>
      <ability>L2_HalfPunc</ability>
      <abilityName>全半角检查</abilityName>
      <candidateList>
        <item>）</item>
      </candidateList>
      <explain>文本全半角错误。</explain>
      <paraID>15C5765A</paraID>
      <start>4</start>
      <end>5</end>
      <status>unmodified</status>
      <modifiedWord/>
      <trackRevisions>false</trackRevisions>
    </reviewItem>
    <reviewItem>
      <errorID>df71bf6e-67b8-449b-b76b-5bbb33b262eb</errorID>
      <errorWord>（</errorWord>
      <group>L1_Format</group>
      <groupName>格式问题</groupName>
      <ability>L2_HalfPunc</ability>
      <abilityName>全半角检查</abilityName>
      <candidateList>
        <item>(</item>
      </candidateList>
      <explain>文本全半角错误。</explain>
      <paraID>311C4C88</paraID>
      <start>2</start>
      <end>3</end>
      <status>unmodified</status>
      <modifiedWord/>
      <trackRevisions>false</trackRevisions>
    </reviewItem>
    <reviewItem>
      <errorID>689b262a-9fef-4f1b-9d24-7b3546b918d8</errorID>
      <errorWord>）</errorWord>
      <group>L1_Format</group>
      <groupName>格式问题</groupName>
      <ability>L2_HalfPunc</ability>
      <abilityName>全半角检查</abilityName>
      <candidateList>
        <item>)</item>
      </candidateList>
      <explain>文本全半角错误。</explain>
      <paraID>311C4C88</paraID>
      <start>8</start>
      <end>9</end>
      <status>unmodified</status>
      <modifiedWord/>
      <trackRevisions>false</trackRevisions>
    </reviewItem>
    <reviewItem>
      <errorID>3999a0bd-1930-4123-9155-bdf25bce297a</errorID>
      <errorWord>（</errorWord>
      <group>L1_Format</group>
      <groupName>格式问题</groupName>
      <ability>L2_HalfPunc</ability>
      <abilityName>全半角检查</abilityName>
      <candidateList>
        <item>(</item>
      </candidateList>
      <explain>文本全半角错误。</explain>
      <paraID> F99D4BF</paraID>
      <start>6</start>
      <end>7</end>
      <status>unmodified</status>
      <modifiedWord/>
      <trackRevisions>false</trackRevisions>
    </reviewItem>
    <reviewItem>
      <errorID>89349ebd-6c53-421c-955d-aa57cce66fc4</errorID>
      <errorWord>）</errorWord>
      <group>L1_Format</group>
      <groupName>格式问题</groupName>
      <ability>L2_HalfPunc</ability>
      <abilityName>全半角检查</abilityName>
      <candidateList>
        <item>)</item>
      </candidateList>
      <explain>文本全半角错误。</explain>
      <paraID> F99D4BF</paraID>
      <start>12</start>
      <end>13</end>
      <status>unmodified</status>
      <modifiedWord/>
      <trackRevisions>false</trackRevisions>
    </reviewItem>
    <reviewItem>
      <errorID>6a692aa6-5106-4a8c-ab8a-fddbbb0ecc93</errorID>
      <errorWord>（</errorWord>
      <group>L1_Format</group>
      <groupName>格式问题</groupName>
      <ability>L2_HalfPunc</ability>
      <abilityName>全半角检查</abilityName>
      <candidateList>
        <item>(</item>
      </candidateList>
      <explain>文本全半角错误。</explain>
      <paraID>78EAACCF</paraID>
      <start>6</start>
      <end>7</end>
      <status>unmodified</status>
      <modifiedWord/>
      <trackRevisions>false</trackRevisions>
    </reviewItem>
    <reviewItem>
      <errorID>f5bee926-2249-4ac4-a723-e5cc18c3e8cb</errorID>
      <errorWord>）</errorWord>
      <group>L1_Format</group>
      <groupName>格式问题</groupName>
      <ability>L2_HalfPunc</ability>
      <abilityName>全半角检查</abilityName>
      <candidateList>
        <item>)</item>
      </candidateList>
      <explain>文本全半角错误。</explain>
      <paraID>78EAACCF</paraID>
      <start>12</start>
      <end>13</end>
      <status>unmodified</status>
      <modifiedWord/>
      <trackRevisions>false</trackRevisions>
    </reviewItem>
    <reviewItem>
      <errorID>a59adf71-f9b6-4ec9-80cc-fe9b10d11d3f</errorID>
      <errorWord>（</errorWord>
      <group>L1_Format</group>
      <groupName>格式问题</groupName>
      <ability>L2_HalfPunc</ability>
      <abilityName>全半角检查</abilityName>
      <candidateList>
        <item>(</item>
      </candidateList>
      <explain>文本全半角错误。</explain>
      <paraID> 5E340E3</paraID>
      <start>2</start>
      <end>3</end>
      <status>unmodified</status>
      <modifiedWord/>
      <trackRevisions>false</trackRevisions>
    </reviewItem>
    <reviewItem>
      <errorID>5f2ccb05-0578-4435-94e8-739b3d0d721e</errorID>
      <errorWord>）</errorWord>
      <group>L1_Format</group>
      <groupName>格式问题</groupName>
      <ability>L2_HalfPunc</ability>
      <abilityName>全半角检查</abilityName>
      <candidateList>
        <item>)</item>
      </candidateList>
      <explain>文本全半角错误。</explain>
      <paraID> 5E340E3</paraID>
      <start>8</start>
      <end>9</end>
      <status>unmodified</status>
      <modifiedWord/>
      <trackRevisions>false</trackRevisions>
    </reviewItem>
    <reviewItem>
      <errorID>1eeb62db-2891-4ec5-8e0b-06c095ca8410</errorID>
      <errorWord>(</errorWord>
      <group>L1_Format</group>
      <groupName>格式问题</groupName>
      <ability>L2_HalfPunc</ability>
      <abilityName>全半角检查</abilityName>
      <candidateList>
        <item>（</item>
      </candidateList>
      <explain>文本全半角错误。</explain>
      <paraID>3BBA0B52</paraID>
      <start>2</start>
      <end>3</end>
      <status>unmodified</status>
      <modifiedWord/>
      <trackRevisions>false</trackRevisions>
    </reviewItem>
    <reviewItem>
      <errorID>4713d3b2-44cb-4c13-8bbb-e3927265aad3</errorID>
      <errorWord>)</errorWord>
      <group>L1_Format</group>
      <groupName>格式问题</groupName>
      <ability>L2_HalfPunc</ability>
      <abilityName>全半角检查</abilityName>
      <candidateList>
        <item>）</item>
      </candidateList>
      <explain>文本全半角错误。</explain>
      <paraID>3BBA0B52</paraID>
      <start>4</start>
      <end>5</end>
      <status>unmodified</status>
      <modifiedWord/>
      <trackRevisions>false</trackRevisions>
    </reviewItem>
    <reviewItem>
      <errorID>efc7a4d7-eb0c-4fcc-b872-2c380dff021d</errorID>
      <errorWord>货油</errorWord>
      <group>L1_Word</group>
      <groupName>字词问题</groupName>
      <ability>L2_Typo</ability>
      <abilityName>字词错误</abilityName>
      <candidateList>
        <item>过油</item>
      </candidateList>
      <explain/>
      <paraID>600B4CD6</paraID>
      <start>1</start>
      <end>3</end>
      <status>unmodified</status>
      <modifiedWord/>
      <trackRevisions>false</trackRevisions>
    </reviewItem>
    <reviewItem>
      <errorID>e7cdd869-abb2-44be-a595-abb50f930063</errorID>
      <errorWord>不</errorWord>
      <group>L1_Word</group>
      <groupName>字词问题</groupName>
      <ability>L2_Typo</ability>
      <abilityName>字词错误</abilityName>
      <candidateList>
        <item>不得</item>
      </candidateList>
      <explain>〈助〉用在动词、形容词后面，表示不可以或不能够：去～｜要～｜动弹～｜马虎～｜老虎屁股摸～｜科学上来～半点虚假。</explain>
      <paraID>6F8FEC87</paraID>
      <start>65</start>
      <end>67</end>
      <status>modified</status>
      <modifiedWord>不得</modifiedWord>
      <trackRevisions>false</trackRevisions>
    </reviewItem>
    <reviewItem>
      <errorID>c740b4e5-6480-453c-b32d-47fe1398a660</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21D29389</paraID>
      <start>9</start>
      <end>10</end>
      <status>unmodified</status>
      <modifiedWord/>
      <trackRevisions>false</trackRevisions>
    </reviewItem>
    <reviewItem>
      <errorID>9b73de80-044f-4994-975c-5d74ac5fc0de</errorID>
      <errorWord>(</errorWord>
      <group>L1_Format</group>
      <groupName>格式问题</groupName>
      <ability>L2_HalfPunc</ability>
      <abilityName>全半角检查</abilityName>
      <candidateList>
        <item>（</item>
      </candidateList>
      <explain>文本全半角错误。</explain>
      <paraID>4F2CB36D</paraID>
      <start>17</start>
      <end>18</end>
      <status>unmodified</status>
      <modifiedWord/>
      <trackRevisions>false</trackRevisions>
    </reviewItem>
    <reviewItem>
      <errorID>0052ba2c-5ed7-4d57-87c0-f4d684c1ea3c</errorID>
      <errorWord>)</errorWord>
      <group>L1_Format</group>
      <groupName>格式问题</groupName>
      <ability>L2_HalfPunc</ability>
      <abilityName>全半角检查</abilityName>
      <candidateList>
        <item>）</item>
      </candidateList>
      <explain>文本全半角错误。</explain>
      <paraID>4F2CB36D</paraID>
      <start>30</start>
      <end>31</end>
      <status>unmodified</status>
      <modifiedWord/>
      <trackRevisions>false</trackRevisions>
    </reviewItem>
    <reviewItem>
      <errorID>fe59898e-da70-4fe7-92ef-710780b5c8bc</errorID>
      <errorWord>~</errorWord>
      <group>L1_Format</group>
      <groupName>格式问题</groupName>
      <ability>L2_HalfPunc</ability>
      <abilityName>全半角检查</abilityName>
      <candidateList>
        <item>～</item>
      </candidateList>
      <explain>文本全半角错误。</explain>
      <paraID>64603D1D</paraID>
      <start>28</start>
      <end>29</end>
      <status>unmodified</status>
      <modifiedWord/>
      <trackRevisions>false</trackRevisions>
    </reviewItem>
    <reviewItem>
      <errorID>f075197d-9f5a-4e84-aa15-d3e5daa1f308</errorID>
      <errorWord>海拔高度</errorWord>
      <group>L1_Word</group>
      <groupName>字词问题</groupName>
      <ability>L2_Typo</ability>
      <abilityName>字词错误</abilityName>
      <candidateList>
        <item>海拔</item>
      </candidateList>
      <explain>〈名〉从平均海平面起算的高度。</explain>
      <paraID>19B3E68B</paraID>
      <start>2</start>
      <end>6</end>
      <status>unmodified</status>
      <modifiedWord/>
      <trackRevisions>false</trackRevisions>
    </reviewItem>
    <reviewItem>
      <errorID>fa6aee3d-26de-4028-bbdf-b8d77f593f57</errorID>
      <errorWord>.。</errorWord>
      <group>L1_Punc</group>
      <groupName>标点问题</groupName>
      <ability>L2_Punc</ability>
      <abilityName>标点符号检查</abilityName>
      <candidateList>
        <item>.</item>
      </candidateList>
      <explain/>
      <paraID>4F03B670</paraID>
      <start>21</start>
      <end>23</end>
      <status>unmodified</status>
      <modifiedWord/>
      <trackRevisions>false</trackRevisions>
    </reviewItem>
    <reviewItem>
      <errorID>2441e958-0d20-4476-bfd2-4ea03c9bd236</errorID>
      <errorWord>评价评价</errorWord>
      <group>L1_Word</group>
      <groupName>字词问题</groupName>
      <ability>L2_Typo</ability>
      <abilityName>字词错误</abilityName>
      <candidateList>
        <item>评价</item>
      </candidateList>
      <explain/>
      <paraID>4380080D</paraID>
      <start>24</start>
      <end>26</end>
      <status>modified</status>
      <modifiedWord>评价</modifiedWord>
      <trackRevisions>false</trackRevisions>
    </reviewItem>
    <reviewItem>
      <errorID>a31c58b4-d66c-44bf-880e-5a00465c8766</errorID>
      <errorWord>，</errorWord>
      <group>L1_Format</group>
      <groupName>格式问题</groupName>
      <ability>L2_HalfPunc</ability>
      <abilityName>全半角检查</abilityName>
      <candidateList>
        <item>,</item>
      </candidateList>
      <explain>文本全半角错误。</explain>
      <paraID>6BFE81BE</paraID>
      <start>1</start>
      <end>2</end>
      <status>unmodified</status>
      <modifiedWord/>
      <trackRevisions>false</trackRevisions>
    </reviewItem>
    <reviewItem>
      <errorID>4579d761-8721-47e3-9cb2-2fa855f7a427</errorID>
      <errorWord>，</errorWord>
      <group>L1_Format</group>
      <groupName>格式问题</groupName>
      <ability>L2_HalfPunc</ability>
      <abilityName>全半角检查</abilityName>
      <candidateList>
        <item>,</item>
      </candidateList>
      <explain>文本全半角错误。</explain>
      <paraID>4A3BA85E</paraID>
      <start>1</start>
      <end>2</end>
      <status>unmodified</status>
      <modifiedWord/>
      <trackRevisions>false</trackRevisions>
    </reviewItem>
    <reviewItem>
      <errorID>65a034ba-6cef-4e8b-8b82-d89ffdc4d713</errorID>
      <errorWord>鰮</errorWord>
      <group>L1_Word</group>
      <groupName>字词问题</groupName>
      <ability>L2_Fanti</ability>
      <abilityName>繁转简</abilityName>
      <candidateList>
        <item>鳁</item>
      </candidateList>
      <explain/>
      <paraID> D95B5F8</paraID>
      <start>0</start>
      <end>1</end>
      <status>unmodified</status>
      <modifiedWord/>
      <trackRevisions>false</trackRevisions>
    </reviewItem>
    <reviewItem>
      <errorID>93cb6021-6ce8-4736-8dfb-4212414085b3</errorID>
      <errorWord>工程工程</errorWord>
      <group>L1_Word</group>
      <groupName>字词问题</groupName>
      <ability>L2_Typo</ability>
      <abilityName>字词错误</abilityName>
      <candidateList>
        <item>工程</item>
      </candidateList>
      <explain/>
      <paraID>6026E75D</paraID>
      <start>16</start>
      <end>18</end>
      <status>modified</status>
      <modifiedWord>工程</modifiedWord>
      <trackRevisions>false</trackRevisions>
    </reviewItem>
    <reviewItem>
      <errorID>b2435c00-752f-41e6-b88d-986693c6ec4e</errorID>
      <errorWord>题</errorWord>
      <group>L1_Word</group>
      <groupName>字词问题</groupName>
      <ability>L2_Typo</ability>
      <abilityName>字词错误</abilityName>
      <candidateList>
        <item>题情</item>
      </candidateList>
      <explain/>
      <paraID>3AA77B71</paraID>
      <start>5</start>
      <end>7</end>
      <status>modified</status>
      <modifiedWord>题情</modifiedWord>
      <trackRevisions>false</trackRevisions>
    </reviewItem>
    <reviewItem>
      <errorID>29f8b019-f2c5-4ac2-bfbe-0647f0437ceb</errorID>
      <errorWord>由由</errorWord>
      <group>L1_Word</group>
      <groupName>字词问题</groupName>
      <ability>L2_Typo</ability>
      <abilityName>字词错误</abilityName>
      <candidateList>
        <item>由</item>
      </candidateList>
      <explain>❶缘由：因～｜事～｜理～。❷〈介〉由于▲：咎～自取｜～感冒引起了肺炎。❸经过：必～之路。❹〈介〉表示经由：～南门入场。❺〈动〉顺随；听从：事不～己｜～着性子。❻〈介〉归（某人去做）：准备工作～我负责｜队长～你担任。❼〈介〉表示凭借：～此可知｜人体是～各种细胞组成的。❽〈介〉表示起点：～表及里｜～北京出发。</explain>
      <paraID>66B05C8E</paraID>
      <start>46</start>
      <end>47</end>
      <status>modified</status>
      <modifiedWord>由</modifiedWord>
      <trackRevisions>false</trackRevisions>
    </reviewItem>
    <reviewItem>
      <errorID>174ce6f1-b879-43d1-a349-425f60b2e05f</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6F73DE84</paraID>
      <start>0</start>
      <end>2</end>
      <status>unmodified</status>
      <modifiedWord/>
      <trackRevisions>false</trackRevisions>
    </reviewItem>
    <reviewItem>
      <errorID>0f2b1ee5-da38-4813-9d5a-68a6280cf1f6</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580F4B51</paraID>
      <start>0</start>
      <end>2</end>
      <status>unmodified</status>
      <modifiedWord/>
      <trackRevisions>false</trackRevisions>
    </reviewItem>
    <reviewItem>
      <errorID>70d89236-d99d-4eed-9ce9-ceef9518c0d3</errorID>
      <errorWord>》</errorWord>
      <group>L1_Punc</group>
      <groupName>标点问题</groupName>
      <ability>L2_Punc</ability>
      <abilityName>标点符号检查</abilityName>
      <candidateList/>
      <explain/>
      <paraID>31316BB5</paraID>
      <start>6</start>
      <end>7</end>
      <status>unmodified</status>
      <modifiedWord/>
      <trackRevisions>false</trackRevisions>
    </reviewItem>
    <reviewItem>
      <errorID>41947175-532b-4466-998d-b56c7af63236</errorID>
      <errorWord>.</errorWord>
      <group>L1_Format</group>
      <groupName>格式问题</groupName>
      <ability>L2_HalfPunc</ability>
      <abilityName>全半角检查</abilityName>
      <candidateList>
        <item>。</item>
      </candidateList>
      <explain>文本全半角错误。</explain>
      <paraID>7C5D19A1</paraID>
      <start>24</start>
      <end>25</end>
      <status>unmodified</status>
      <modifiedWord/>
      <trackRevisions>false</trackRevisions>
    </reviewItem>
    <reviewItem>
      <errorID>b75463fb-d536-42c2-80cc-ceaa47a537f9</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3955902</paraID>
      <start>0</start>
      <end>2</end>
      <status>unmodified</status>
      <modifiedWord/>
      <trackRevisions>false</trackRevisions>
    </reviewItem>
    <reviewItem>
      <errorID>7a14cdb6-3488-484e-8268-33b1eb153cb7</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43F46A0B</paraID>
      <start>0</start>
      <end>2</end>
      <status>unmodified</status>
      <modifiedWord/>
      <trackRevisions>false</trackRevisions>
    </reviewItem>
    <reviewItem>
      <errorID>4032c124-620e-49c2-99bb-3ab844190359</errorID>
      <errorWord>~</errorWord>
      <group>L1_Format</group>
      <groupName>格式问题</groupName>
      <ability>L2_HalfPunc</ability>
      <abilityName>全半角检查</abilityName>
      <candidateList>
        <item>～</item>
      </candidateList>
      <explain>文本全半角错误。</explain>
      <paraID>3E04784B</paraID>
      <start>19</start>
      <end>20</end>
      <status>unmodified</status>
      <modifiedWord/>
      <trackRevisions>false</trackRevisions>
    </reviewItem>
    <reviewItem>
      <errorID>917bb0ee-21f1-42bf-af99-25382ddfcee5</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36B9813E</paraID>
      <start>0</start>
      <end>2</end>
      <status>unmodified</status>
      <modifiedWord/>
      <trackRevisions>false</trackRevisions>
    </reviewItem>
    <reviewItem>
      <errorID>48c77ad8-9e08-4761-ac8c-e9fb5368564e</errorID>
      <errorWord>[2025]15号</errorWord>
      <group>L1_Knowledge</group>
      <groupName>知识性问题</groupName>
      <ability>L2_Knowledge</ability>
      <abilityName>其他知识</abilityName>
      <candidateList>
        <item>〔2025〕15号</item>
      </candidateList>
      <explain>发文字号格式错误。</explain>
      <paraID>5F8C547B</paraID>
      <start>57</start>
      <end>66</end>
      <status>unmodified</status>
      <modifiedWord/>
      <trackRevisions>false</trackRevisions>
    </reviewItem>
    <reviewItem>
      <errorID>d43ecce7-78cd-447a-b2bf-7d759588af34</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7DDA3A11</paraID>
      <start>0</start>
      <end>2</end>
      <status>unmodified</status>
      <modifiedWord/>
      <trackRevisions>false</trackRevisions>
    </reviewItem>
    <reviewItem>
      <errorID>4d5ea7ce-b370-4129-ba02-7b4a302e18a3</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33D519E6</paraID>
      <start>0</start>
      <end>2</end>
      <status>unmodified</status>
      <modifiedWord/>
      <trackRevisions>false</trackRevisions>
    </reviewItem>
    <reviewItem>
      <errorID>42188f7b-2b3f-4551-9f7d-525d23597671</errorID>
      <errorWord>~</errorWord>
      <group>L1_Format</group>
      <groupName>格式问题</groupName>
      <ability>L2_HalfPunc</ability>
      <abilityName>全半角检查</abilityName>
      <candidateList>
        <item>～</item>
      </candidateList>
      <explain>文本全半角错误。</explain>
      <paraID>7D4FE466</paraID>
      <start>148</start>
      <end>149</end>
      <status>unmodified</status>
      <modifiedWord/>
      <trackRevisions>false</trackRevisions>
    </reviewItem>
    <reviewItem>
      <errorID>e742b977-3202-4074-9ef9-423b2707d0d4</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7FC237A1</paraID>
      <start>0</start>
      <end>2</end>
      <status>unmodified</status>
      <modifiedWord/>
      <trackRevisions>false</trackRevisions>
    </reviewItem>
    <reviewItem>
      <errorID>42c7d269-771f-4967-b1f5-d8bbc2fda255</errorID>
      <errorWord>[2025]33号</errorWord>
      <group>L1_Knowledge</group>
      <groupName>知识性问题</groupName>
      <ability>L2_Knowledge</ability>
      <abilityName>其他知识</abilityName>
      <candidateList>
        <item>〔2025〕33号</item>
      </candidateList>
      <explain>发文字号格式错误。</explain>
      <paraID>4776857E</paraID>
      <start>67</start>
      <end>76</end>
      <status>unmodified</status>
      <modifiedWord/>
      <trackRevisions>false</trackRevisions>
    </reviewItem>
    <reviewItem>
      <errorID>f380e1d7-9926-4f06-adf2-af7aafdad631</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3734A642</paraID>
      <start>0</start>
      <end>2</end>
      <status>unmodified</status>
      <modifiedWord/>
      <trackRevisions>false</trackRevisions>
    </reviewItem>
    <reviewItem>
      <errorID>5f16fecd-263f-437a-a95f-94818426e3dc</errorID>
      <errorWord>同步进行种</errorWord>
      <group>L1_Word</group>
      <groupName>字词问题</groupName>
      <ability>L2_Typo</ability>
      <abilityName>字词错误</abilityName>
      <candidateList>
        <item>同步进行</item>
      </candidateList>
      <explain/>
      <paraID> 3602765</paraID>
      <start>187</start>
      <end>191</end>
      <status>modified</status>
      <modifiedWord>同步进行</modifiedWord>
      <trackRevisions>false</trackRevisions>
    </reviewItem>
    <reviewItem>
      <errorID>490bf7a7-83d9-4912-a96c-5c791abe927a</errorID>
      <errorWord>设</errorWord>
      <group>L1_Word</group>
      <groupName>字词问题</groupName>
      <ability>L2_Typo</ability>
      <abilityName>字词错误</abilityName>
      <candidateList>
        <item>设置</item>
      </candidateList>
      <explain>〈动〉❶设立：这座剧院是为儿童～的。❷安放；安装：～障碍。</explain>
      <paraID>6C545F78</paraID>
      <start>7</start>
      <end>8</end>
      <status>unmodified</status>
      <modifiedWord/>
      <trackRevisions>false</trackRevisions>
    </reviewItem>
    <reviewItem>
      <errorID>707182db-b200-4672-9484-b2e8f0e33b0f</errorID>
      <errorWord>，</errorWord>
      <group>L1_Word</group>
      <groupName>字词问题</groupName>
      <ability>L2_Typo</ability>
      <abilityName>字词错误</abilityName>
      <candidateList>
        <item>，在</item>
      </candidateList>
      <explain/>
      <paraID>6C545F78</paraID>
      <start>58</start>
      <end>59</end>
      <status>unmodified</status>
      <modifiedWord/>
      <trackRevisions>false</trackRevisions>
    </reviewItem>
    <reviewItem>
      <errorID>c910767d-4ab1-4956-8962-0491e16576dc</errorID>
      <errorWord>酸化油</errorWord>
      <group>L1_Word</group>
      <groupName>字词问题</groupName>
      <ability>L2_Typo</ability>
      <abilityName>字词错误</abilityName>
      <candidateList>
        <item>酸油</item>
      </candidateList>
      <explain/>
      <paraID> 77A54FB</paraID>
      <start>2</start>
      <end>5</end>
      <status>unmodified</status>
      <modifiedWord/>
      <trackRevisions>false</trackRevisions>
    </reviewItem>
    <reviewItem>
      <errorID>b78bba39-b73b-4b36-9e73-82f00f54ef1e</errorID>
      <errorWord>:</errorWord>
      <group>L1_Format</group>
      <groupName>格式问题</groupName>
      <ability>L2_HalfPunc</ability>
      <abilityName>全半角检查</abilityName>
      <candidateList>
        <item>：</item>
      </candidateList>
      <explain>文本全半角错误。</explain>
      <paraID> EEF53A3</paraID>
      <start>1</start>
      <end>2</end>
      <status>unmodified</status>
      <modifiedWord/>
      <trackRevisions>false</trackRevisions>
    </reviewItem>
    <reviewItem>
      <errorID>242df195-e0df-441d-9388-cb5bc6b1e019</errorID>
      <errorWord>:</errorWord>
      <group>L1_Format</group>
      <groupName>格式问题</groupName>
      <ability>L2_HalfPunc</ability>
      <abilityName>全半角检查</abilityName>
      <candidateList>
        <item>：</item>
      </candidateList>
      <explain>文本全半角错误。</explain>
      <paraID> EEF53A3</paraID>
      <start>5</start>
      <end>6</end>
      <status>unmodified</status>
      <modifiedWord/>
      <trackRevisions>false</trackRevisions>
    </reviewItem>
    <reviewItem>
      <errorID>456272f8-f7b9-4594-882e-bb27e39a347a</errorID>
      <errorWord>;</errorWord>
      <group>L1_Format</group>
      <groupName>格式问题</groupName>
      <ability>L2_HalfPunc</ability>
      <abilityName>全半角检查</abilityName>
      <candidateList>
        <item>；</item>
      </candidateList>
      <explain>文本全半角错误。</explain>
      <paraID> EEF53A3</paraID>
      <start>9</start>
      <end>10</end>
      <status>unmodified</status>
      <modifiedWord/>
      <trackRevisions>false</trackRevisions>
    </reviewItem>
    <reviewItem>
      <errorID>fac834ec-e5bc-4a02-a740-ef0856f3fe48</errorID>
      <errorWord>:</errorWord>
      <group>L1_Format</group>
      <groupName>格式问题</groupName>
      <ability>L2_HalfPunc</ability>
      <abilityName>全半角检查</abilityName>
      <candidateList>
        <item>：</item>
      </candidateList>
      <explain>文本全半角错误。</explain>
      <paraID> EEF53A3</paraID>
      <start>13</start>
      <end>14</end>
      <status>unmodified</status>
      <modifiedWord/>
      <trackRevisions>false</trackRevisions>
    </reviewItem>
    <reviewItem>
      <errorID>866d8b4f-7af5-4d89-9ccd-8542b00f3133</errorID>
      <errorWord>;</errorWord>
      <group>L1_Format</group>
      <groupName>格式问题</groupName>
      <ability>L2_HalfPunc</ability>
      <abilityName>全半角检查</abilityName>
      <candidateList>
        <item>；</item>
      </candidateList>
      <explain>文本全半角错误。</explain>
      <paraID> EEF53A3</paraID>
      <start>18</start>
      <end>19</end>
      <status>unmodified</status>
      <modifiedWord/>
      <trackRevisions>false</trackRevisions>
    </reviewItem>
    <reviewItem>
      <errorID>a10911f0-99cd-46b3-ad3a-fe987cd6af20</errorID>
      <errorWord>:</errorWord>
      <group>L1_Format</group>
      <groupName>格式问题</groupName>
      <ability>L2_HalfPunc</ability>
      <abilityName>全半角检查</abilityName>
      <candidateList>
        <item>：</item>
      </candidateList>
      <explain>文本全半角错误。</explain>
      <paraID> EEF53A3</paraID>
      <start>22</start>
      <end>23</end>
      <status>unmodified</status>
      <modifiedWord/>
      <trackRevisions>false</trackRevisions>
    </reviewItem>
    <reviewItem>
      <errorID>dab6605d-75e4-446e-9546-280c8849eef4</errorID>
      <errorWord>;</errorWord>
      <group>L1_Format</group>
      <groupName>格式问题</groupName>
      <ability>L2_HalfPunc</ability>
      <abilityName>全半角检查</abilityName>
      <candidateList>
        <item>；</item>
      </candidateList>
      <explain>文本全半角错误。</explain>
      <paraID> EEF53A3</paraID>
      <start>27</start>
      <end>28</end>
      <status>unmodified</status>
      <modifiedWord/>
      <trackRevisions>false</trackRevisions>
    </reviewItem>
    <reviewItem>
      <errorID>8094fb40-dd4a-442e-ac93-886f704ec938</errorID>
      <errorWord>:</errorWord>
      <group>L1_Format</group>
      <groupName>格式问题</groupName>
      <ability>L2_HalfPunc</ability>
      <abilityName>全半角检查</abilityName>
      <candidateList>
        <item>：</item>
      </candidateList>
      <explain>文本全半角错误。</explain>
      <paraID> EEF53A3</paraID>
      <start>31</start>
      <end>32</end>
      <status>unmodified</status>
      <modifiedWord/>
      <trackRevisions>false</trackRevisions>
    </reviewItem>
    <reviewItem>
      <errorID>fe7c9871-9b80-4538-8790-44caf6a19992</errorID>
      <errorWord>;</errorWord>
      <group>L1_Format</group>
      <groupName>格式问题</groupName>
      <ability>L2_HalfPunc</ability>
      <abilityName>全半角检查</abilityName>
      <candidateList>
        <item>；</item>
      </candidateList>
      <explain>文本全半角错误。</explain>
      <paraID> EEF53A3</paraID>
      <start>36</start>
      <end>37</end>
      <status>unmodified</status>
      <modifiedWord/>
      <trackRevisions>false</trackRevisions>
    </reviewItem>
    <reviewItem>
      <errorID>5872c705-1a70-4893-a1fe-1b438dac57a3</errorID>
      <errorWord>:</errorWord>
      <group>L1_Format</group>
      <groupName>格式问题</groupName>
      <ability>L2_HalfPunc</ability>
      <abilityName>全半角检查</abilityName>
      <candidateList>
        <item>：</item>
      </candidateList>
      <explain>文本全半角错误。</explain>
      <paraID> EEF53A3</paraID>
      <start>40</start>
      <end>41</end>
      <status>unmodified</status>
      <modifiedWord/>
      <trackRevisions>false</trackRevisions>
    </reviewItem>
    <reviewItem>
      <errorID>dc939e6e-c782-4bef-986e-fc1862506351</errorID>
      <errorWord>物</errorWord>
      <group>L1_Word</group>
      <groupName>字词问题</groupName>
      <ability>L2_Typo</ability>
      <abilityName>字词错误</abilityName>
      <candidateList>
        <item>物和</item>
      </candidateList>
      <explain/>
      <paraID> EEF53A3</paraID>
      <start>43</start>
      <end>44</end>
      <status>unmodified</status>
      <modifiedWord/>
      <trackRevisions>false</trackRevisions>
    </reviewItem>
    <reviewItem>
      <errorID>56c3ecb2-705d-4981-8c9e-ba719cc37d47</errorID>
      <errorWord>:</errorWord>
      <group>L1_Format</group>
      <groupName>格式问题</groupName>
      <ability>L2_HalfPunc</ability>
      <abilityName>全半角检查</abilityName>
      <candidateList>
        <item>：</item>
      </candidateList>
      <explain>文本全半角错误。</explain>
      <paraID> EEF53A3</paraID>
      <start>54</start>
      <end>55</end>
      <status>unmodified</status>
      <modifiedWord/>
      <trackRevisions>false</trackRevisions>
    </reviewItem>
    <reviewItem>
      <errorID>c7eb8bda-c68c-4999-b180-c6d0e5351f73</errorID>
      <errorWord>:</errorWord>
      <group>L1_Format</group>
      <groupName>格式问题</groupName>
      <ability>L2_HalfPunc</ability>
      <abilityName>全半角检查</abilityName>
      <candidateList>
        <item>：</item>
      </candidateList>
      <explain>文本全半角错误。</explain>
      <paraID> EEF53A3</paraID>
      <start>63</start>
      <end>64</end>
      <status>unmodified</status>
      <modifiedWord/>
      <trackRevisions>false</trackRevisions>
    </reviewItem>
    <reviewItem>
      <errorID>26f59e9b-6ca5-49c2-9d98-55d7e61f0e9e</errorID>
      <errorWord>:</errorWord>
      <group>L1_Format</group>
      <groupName>格式问题</groupName>
      <ability>L2_HalfPunc</ability>
      <abilityName>全半角检查</abilityName>
      <candidateList>
        <item>：</item>
      </candidateList>
      <explain>文本全半角错误。</explain>
      <paraID> EEF53A3</paraID>
      <start>73</start>
      <end>74</end>
      <status>unmodified</status>
      <modifiedWord/>
      <trackRevisions>false</trackRevisions>
    </reviewItem>
    <reviewItem>
      <errorID>572f6a4d-ef3f-47a0-88a1-1572ff6bb6d2</errorID>
      <errorWord>:</errorWord>
      <group>L1_Format</group>
      <groupName>格式问题</groupName>
      <ability>L2_HalfPunc</ability>
      <abilityName>全半角检查</abilityName>
      <candidateList>
        <item>：</item>
      </candidateList>
      <explain>文本全半角错误。</explain>
      <paraID> EEF53A3</paraID>
      <start>80</start>
      <end>81</end>
      <status>unmodified</status>
      <modifiedWord/>
      <trackRevisions>false</trackRevisions>
    </reviewItem>
    <reviewItem>
      <errorID>7526ae2f-3e01-47bc-b1d9-d71f4c83c9c7</errorID>
      <errorWord>0.5～5万</errorWord>
      <group>L1_Knowledge</group>
      <groupName>知识性问题</groupName>
      <ability>L2_Knowledge</ability>
      <abilityName>其他知识</abilityName>
      <candidateList>
        <item>0.5万～5万</item>
      </candidateList>
      <explain>1. “0.5～5万”中的单位“万”仅出现在后一个数字上，容易引起歧义；根据《现代汉语标点符号数字用法规范手册》，数字表示范围两边需要使用统一的格式。2. 根据标点国标 4.13 中的规则，数字、时间或地域连接符应使用（视觉上更长的）“—”或“～”。</explain>
      <paraID>5D8644C1</paraID>
      <start>18</start>
      <end>24</end>
      <status>unmodified</status>
      <modifiedWord/>
      <trackRevisions>false</trackRevisions>
    </reviewItem>
    <reviewItem>
      <errorID>e8ee6ae2-f30c-4f3b-8499-ec5788711a27</errorID>
      <errorWord>3~5万</errorWord>
      <group>L1_Knowledge</group>
      <groupName>知识性问题</groupName>
      <ability>L2_Knowledge</ability>
      <abilityName>其他知识</abilityName>
      <candidateList>
        <item>3万～5万</item>
      </candidateList>
      <explain>1. “3~5万”中的单位“万”仅出现在后一个数字上，容易引起歧义；根据《现代汉语标点符号数字用法规范手册》，数字表示范围两边需要使用统一的格式。2. 根据标点国标 4.13 中的规则，数字、时间或地域连接符应使用（视觉上更长的）“—”或“～”。</explain>
      <paraID>200A900F</paraID>
      <start>73</start>
      <end>77</end>
      <status>unmodified</status>
      <modifiedWord/>
      <trackRevisions>false</trackRevisions>
    </reviewItem>
    <reviewItem>
      <errorID>5783c784-a4fc-492c-ba4c-af9dbda54f2b</errorID>
      <errorWord>于</errorWord>
      <group>L1_Word</group>
      <groupName>字词问题</groupName>
      <ability>L2_Typo</ability>
      <abilityName>字词错误</abilityName>
      <candidateList>
        <item>与</item>
      </candidateList>
      <explain>存在发音相同字词的误用。</explain>
      <paraID>29C66DEF</paraID>
      <start>11</start>
      <end>12</end>
      <status>unmodified</status>
      <modifiedWord/>
      <trackRevisions>false</trackRevisions>
    </reviewItem>
    <reviewItem>
      <errorID>c4eafffd-dcec-441d-a67c-38c27a22450f</errorID>
      <errorWord>的</errorWord>
      <group>L1_Word</group>
      <groupName>字词问题</groupName>
      <ability>L2_DDD</ability>
      <abilityName>的地得用法</abilityName>
      <candidateList>
        <item>地</item>
      </candidateList>
      <explain>“地”常用于连接修饰语与动词性中心语，表示动作的方式、状态或程度。</explain>
      <paraID>5E9F6BE0</paraID>
      <start>43</start>
      <end>44</end>
      <status>modified</status>
      <modifiedWord>地</modifiedWord>
      <trackRevisions>false</trackRevisions>
    </reviewItem>
    <reviewItem>
      <errorID>25203d4b-e3a1-4059-899f-f16355d01519</errorID>
      <errorWord>配</errorWord>
      <group>L1_Word</group>
      <groupName>字词问题</groupName>
      <ability>L2_Typo</ability>
      <abilityName>字词错误</abilityName>
      <candidateList>
        <item>配备</item>
      </candidateList>
      <explain>❶〈动〉根据需要分配（人力或物力）：～骨干力量｜～三辆吉普车。❷〈动〉布置（兵力）：按地形～火力。❸〈名〉成套的设备、装备等：现代化的～。</explain>
      <paraID>7EF12D6E</paraID>
      <start>0</start>
      <end>2</end>
      <status>modified</status>
      <modifiedWord>配备</modifiedWord>
      <trackRevisions>false</trackRevisions>
    </reviewItem>
    <reviewItem>
      <errorID>f2ae35ce-550f-41b1-ace2-38233e5efb78</errorID>
      <errorWord>配</errorWord>
      <group>L1_Word</group>
      <groupName>字词问题</groupName>
      <ability>L2_Typo</ability>
      <abilityName>字词错误</abilityName>
      <candidateList>
        <item>配备</item>
      </candidateList>
      <explain>❶〈动〉根据需要分配（人力或物力）：～骨干力量｜～三辆吉普车。❷〈动〉布置（兵力）：按地形～火力。❸〈名〉成套的设备、装备等：现代化的～。</explain>
      <paraID>57644C3F</paraID>
      <start>0</start>
      <end>2</end>
      <status>modified</status>
      <modifiedWord>配备</modifiedWord>
      <trackRevisions>false</trackRevisions>
    </reviewItem>
    <reviewItem>
      <errorID>08be44ef-4874-4952-abda-34045e1cdcd1</errorID>
      <errorWord>的</errorWord>
      <group>L1_Word</group>
      <groupName>字词问题</groupName>
      <ability>L2_DDD</ability>
      <abilityName>的地得用法</abilityName>
      <candidateList>
        <item>地</item>
      </candidateList>
      <explain>“地”常用于连接修饰语与动词性中心语，表示动作的方式、状态或程度。</explain>
      <paraID>30A93F84</paraID>
      <start>89</start>
      <end>90</end>
      <status>modified</status>
      <modifiedWord>地</modifiedWord>
      <trackRevisions>false</trackRevisions>
    </reviewItem>
    <reviewItem>
      <errorID>a1c23aa6-c704-41d6-b32b-52d0c1e04a7e</errorID>
      <errorWord>2025年04月10日</errorWord>
      <group>L1_Knowledge</group>
      <groupName>知识性问题</groupName>
      <ability>L2_Time</ability>
      <abilityName>日期时间</abilityName>
      <candidateList>
        <item>2025年4月10日</item>
      </candidateList>
      <explain>根据日常书写习惯，月份一般会省略前导零。</explain>
      <paraID>727C3667</paraID>
      <start>0</start>
      <end>10</end>
      <status>modified</status>
      <modifiedWord>2025年4月10日</modifiedWord>
      <trackRevisions>false</trackRevisions>
    </reviewItem>
    <reviewItem>
      <errorID>ac9e9609-a79e-41a5-8e4c-18c22b67c64d</errorID>
      <errorWord>布</errorWord>
      <group>L1_Word</group>
      <groupName>字词问题</groupName>
      <ability>L2_Typo</ability>
      <abilityName>字词错误</abilityName>
      <candidateList>
        <item>布的</item>
      </candidateList>
      <explain/>
      <paraID>727C3667</paraID>
      <start>190</start>
      <end>191</end>
      <status>unmodified</status>
      <modifiedWord/>
      <trackRevisions>false</trackRevisions>
    </reviewItem>
    <reviewItem>
      <errorID>aff091e2-27cc-4697-ba2d-295e9182b1c5</errorID>
      <errorWord>水污染排放</errorWord>
      <group>L1_Knowledge</group>
      <groupName>知识性问题</groupName>
      <ability>L2_Knowledge</ability>
      <abilityName>其他知识</abilityName>
      <candidateList>
        <item>水污染物排放</item>
      </candidateList>
      <explain/>
      <paraID>7BDEDAC1</paraID>
      <start>19</start>
      <end>25</end>
      <status>modified</status>
      <modifiedWord>水污染物排放</modifiedWord>
      <trackRevisions>false</trackRevisions>
    </reviewItem>
    <reviewItem>
      <errorID>40d95e66-d7d3-4231-ad91-af90c8364e88</errorID>
      <errorWord>鲷长毛</errorWord>
      <group>L1_Word</group>
      <groupName>字词问题</groupName>
      <ability>L2_Typo</ability>
      <abilityName>字词错误</abilityName>
      <candidateList>
        <item>长毛</item>
      </candidateList>
      <explain/>
      <paraID>7C58E7ED</paraID>
      <start>0</start>
      <end>3</end>
      <status>unmodified</status>
      <modifiedWord/>
      <trackRevisions>false</trackRevisions>
    </reviewItem>
    <reviewItem>
      <errorID>18e6080c-4a5d-47d3-a7f3-ab7b001ac2ee</errorID>
      <errorWord>要</errorWord>
      <group>L1_Word</group>
      <groupName>字词问题</groupName>
      <ability>L2_Typo</ability>
      <abilityName>字词错误</abilityName>
      <candidateList>
        <item>要求</item>
      </candidateList>
      <explain>❶〈动〉提出具体愿望或条件，希望得到满足或实现：～转学｜～进步｜严格～自己。❷〈名〉所提出的具体愿望或条件：满足了他的～｜符合规定的～。</explain>
      <paraID>1D64E56E</paraID>
      <start>209</start>
      <end>211</end>
      <status>modified</status>
      <modifiedWord>要求</modifiedWord>
      <trackRevisions>false</trackRevisions>
    </reviewItem>
    <reviewItem>
      <errorID>f67a5bd8-1280-4a9a-98c1-99013279be63</errorID>
      <errorWord>(</errorWord>
      <group>L1_Format</group>
      <groupName>格式问题</groupName>
      <ability>L2_HalfPunc</ability>
      <abilityName>全半角检查</abilityName>
      <candidateList>
        <item>（</item>
      </candidateList>
      <explain>文本全半角错误。</explain>
      <paraID>7F8B79F5</paraID>
      <start>13</start>
      <end>14</end>
      <status>unmodified</status>
      <modifiedWord/>
      <trackRevisions>false</trackRevisions>
    </reviewItem>
    <reviewItem>
      <errorID>f8e64b5c-065a-48d2-9058-16f5dcb373bd</errorID>
      <errorWord>)</errorWord>
      <group>L1_Format</group>
      <groupName>格式问题</groupName>
      <ability>L2_HalfPunc</ability>
      <abilityName>全半角检查</abilityName>
      <candidateList>
        <item>）</item>
      </candidateList>
      <explain>文本全半角错误。</explain>
      <paraID>7F8B79F5</paraID>
      <start>21</start>
      <end>22</end>
      <status>unmodified</status>
      <modifiedWord/>
      <trackRevisions>false</trackRevisions>
    </reviewItem>
    <reviewItem>
      <errorID>8c94ceba-9d66-40cf-8694-11e70d71ac27</errorID>
      <errorWord>（</errorWord>
      <group>L1_Format</group>
      <groupName>格式问题</groupName>
      <ability>L2_HalfPunc</ability>
      <abilityName>全半角检查</abilityName>
      <candidateList>
        <item>(</item>
      </candidateList>
      <explain>文本全半角错误。</explain>
      <paraID> 134D7F4</paraID>
      <start>4</start>
      <end>5</end>
      <status>unmodified</status>
      <modifiedWord/>
      <trackRevisions>false</trackRevisions>
    </reviewItem>
    <reviewItem>
      <errorID>d814572d-3e32-4ea8-ac82-e97644d7a546</errorID>
      <errorWord>）</errorWord>
      <group>L1_Format</group>
      <groupName>格式问题</groupName>
      <ability>L2_HalfPunc</ability>
      <abilityName>全半角检查</abilityName>
      <candidateList>
        <item>)</item>
      </candidateList>
      <explain>文本全半角错误。</explain>
      <paraID> 134D7F4</paraID>
      <start>10</start>
      <end>11</end>
      <status>unmodified</status>
      <modifiedWord/>
      <trackRevisions>false</trackRevisions>
    </reviewItem>
    <reviewItem>
      <errorID>b041c2a1-7b88-4246-a3bf-f0e5f4c9d0bc</errorID>
      <errorWord>(</errorWord>
      <group>L1_Format</group>
      <groupName>格式问题</groupName>
      <ability>L2_HalfPunc</ability>
      <abilityName>全半角检查</abilityName>
      <candidateList>
        <item>（</item>
      </candidateList>
      <explain>文本全半角错误。</explain>
      <paraID>765F01E1</paraID>
      <start>13</start>
      <end>14</end>
      <status>unmodified</status>
      <modifiedWord/>
      <trackRevisions>false</trackRevisions>
    </reviewItem>
    <reviewItem>
      <errorID>724db430-ce3c-4eb4-ab7f-ba9a8ff4ec66</errorID>
      <errorWord>)</errorWord>
      <group>L1_Format</group>
      <groupName>格式问题</groupName>
      <ability>L2_HalfPunc</ability>
      <abilityName>全半角检查</abilityName>
      <candidateList>
        <item>）</item>
      </candidateList>
      <explain>文本全半角错误。</explain>
      <paraID>765F01E1</paraID>
      <start>21</start>
      <end>22</end>
      <status>unmodified</status>
      <modifiedWord/>
      <trackRevisions>false</trackRevisions>
    </reviewItem>
    <reviewItem>
      <errorID>d06916e5-d16e-49c7-9738-8aafb3a20dca</errorID>
      <errorWord>（</errorWord>
      <group>L1_Format</group>
      <groupName>格式问题</groupName>
      <ability>L2_HalfPunc</ability>
      <abilityName>全半角检查</abilityName>
      <candidateList>
        <item>(</item>
      </candidateList>
      <explain>文本全半角错误。</explain>
      <paraID>6007FB35</paraID>
      <start>3</start>
      <end>4</end>
      <status>unmodified</status>
      <modifiedWord/>
      <trackRevisions>false</trackRevisions>
    </reviewItem>
    <reviewItem>
      <errorID>d3239e09-979a-43b5-a884-7d724f79e0ec</errorID>
      <errorWord>）</errorWord>
      <group>L1_Format</group>
      <groupName>格式问题</groupName>
      <ability>L2_HalfPunc</ability>
      <abilityName>全半角检查</abilityName>
      <candidateList>
        <item>)</item>
      </candidateList>
      <explain>文本全半角错误。</explain>
      <paraID>6007FB35</paraID>
      <start>8</start>
      <end>9</end>
      <status>unmodified</status>
      <modifiedWord/>
      <trackRevisions>false</trackRevisions>
    </reviewItem>
    <reviewItem>
      <errorID>63f1dba5-d97d-43d9-9cad-752e86ec4111</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1D4A015</paraID>
      <start>0</start>
      <end>2</end>
      <status>unmodified</status>
      <modifiedWord/>
      <trackRevisions>false</trackRevisions>
    </reviewItem>
    <reviewItem>
      <errorID>1730dc2b-00a6-40ea-867c-8fd51b457cda</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7569696B</paraID>
      <start>0</start>
      <end>3</end>
      <status>unmodified</status>
      <modifiedWord/>
      <trackRevisions>false</trackRevisions>
    </reviewItem>
    <reviewItem>
      <errorID>268b7953-ec24-486a-b345-d6d3ba10b430</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1F4192D7</paraID>
      <start>0</start>
      <end>3</end>
      <status>unmodified</status>
      <modifiedWord/>
      <trackRevisions>false</trackRevisions>
    </reviewItem>
    <reviewItem>
      <errorID>e186fe3f-dc25-457a-8d24-494bd6bf578f</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388FAF9C</paraID>
      <start>0</start>
      <end>3</end>
      <status>unmodified</status>
      <modifiedWord/>
      <trackRevisions>false</trackRevisions>
    </reviewItem>
    <reviewItem>
      <errorID>24fe0957-77a5-4f8f-84c5-fd513bfa56d8</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32AF23AD</paraID>
      <start>0</start>
      <end>3</end>
      <status>unmodified</status>
      <modifiedWord/>
      <trackRevisions>false</trackRevisions>
    </reviewItem>
    <reviewItem>
      <errorID>314d945e-c4b9-44d9-9119-87d43dbc0702</errorID>
      <errorWord>，</errorWord>
      <group>L1_Word</group>
      <groupName>字词问题</groupName>
      <ability>L2_Typo</ability>
      <abilityName>字词错误</abilityName>
      <candidateList>
        <item>，有</item>
      </candidateList>
      <explain/>
      <paraID>32AF23AD</paraID>
      <start>164</start>
      <end>165</end>
      <status>unmodified</status>
      <modifiedWord/>
      <trackRevisions>false</trackRevisions>
    </reviewItem>
    <reviewItem>
      <errorID>e55c1d79-3360-4a00-b8c4-c9d3f767e521</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5E6F8DF7</paraID>
      <start>0</start>
      <end>3</end>
      <status>unmodified</status>
      <modifiedWord/>
      <trackRevisions>false</trackRevisions>
    </reviewItem>
    <reviewItem>
      <errorID>83b52a66-0dd8-4c43-b2e5-d6772d15e5bc</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6EE9B8A1</paraID>
      <start>0</start>
      <end>2</end>
      <status>unmodified</status>
      <modifiedWord/>
      <trackRevisions>false</trackRevisions>
    </reviewItem>
    <reviewItem>
      <errorID>663ff53c-676c-41e3-aae3-67ed7e284ccf</errorID>
      <errorWord>输运</errorWord>
      <group>L1_Word</group>
      <groupName>字词问题</groupName>
      <ability>L2_Typo</ability>
      <abilityName>字词错误</abilityName>
      <candidateList>
        <item>运输</item>
      </candidateList>
      <explain/>
      <paraID>5A331ED5</paraID>
      <start>40</start>
      <end>42</end>
      <status>modified</status>
      <modifiedWord>运输</modifiedWord>
      <trackRevisions>false</trackRevisions>
    </reviewItem>
    <reviewItem>
      <errorID>6bf51114-7a5c-44ba-b479-3f8c4a3ced2e</errorID>
      <errorWord>环保基础设施建设</errorWord>
      <group>L1_Political</group>
      <groupName>政治性问题</groupName>
      <ability>L2_Keyword</ability>
      <abilityName>固定表述</abilityName>
      <candidateList>
        <item>环境基础设施建设</item>
      </candidateList>
      <explain>词汇“环境基础设施建设”在特定场景下为固定表述形式，请确认此处的“环保基础设施建设”是否存在不当。</explain>
      <paraID>5D8BC817</paraID>
      <start>299</start>
      <end>307</end>
      <status>modified</status>
      <modifiedWord>环境基础设施建设</modifiedWord>
      <trackRevisions>false</trackRevisions>
    </reviewItem>
    <reviewItem>
      <errorID>3e41dc1c-7eee-4c9c-a4ed-df2b4bfa8751</errorID>
      <errorWord>鯛</errorWord>
      <group>L1_Word</group>
      <groupName>字词问题</groupName>
      <ability>L2_Fanti</ability>
      <abilityName>繁转简</abilityName>
      <candidateList>
        <item>鲷</item>
      </candidateList>
      <explain/>
      <paraID>7B84300B</paraID>
      <start>46</start>
      <end>47</end>
      <status>unmodified</status>
      <modifiedWord/>
      <trackRevisions>false</trackRevisions>
    </reviewItem>
    <reviewItem>
      <errorID>15de5e52-263a-4d5b-b04c-80e7b37215e2</errorID>
      <errorWord>着力于</errorWord>
      <group>L1_Word</group>
      <groupName>字词问题</groupName>
      <ability>L2_Typo</ability>
      <abilityName>字词错误</abilityName>
      <candidateList>
        <item>着力</item>
      </candidateList>
      <explain/>
      <paraID>7B84300B</paraID>
      <start>105</start>
      <end>108</end>
      <status>unmodified</status>
      <modifiedWord/>
      <trackRevisions>false</trackRevisions>
    </reviewItem>
    <reviewItem>
      <errorID>02f066fa-d3a4-4993-a677-4e9f71050e86</errorID>
      <errorWord>，</errorWord>
      <group>L1_Word</group>
      <groupName>字词问题</groupName>
      <ability>L2_Typo</ability>
      <abilityName>字词错误</abilityName>
      <candidateList>
        <item>，在</item>
      </candidateList>
      <explain/>
      <paraID>7B84300B</paraID>
      <start>271</start>
      <end>272</end>
      <status>unmodified</status>
      <modifiedWord/>
      <trackRevisions>false</trackRevisions>
    </reviewItem>
    <reviewItem>
      <errorID>a3f53268-48c9-4cf8-8d4d-b5f7e60edfdd</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548613D2</paraID>
      <start>53</start>
      <end>54</end>
      <status>unmodified</status>
      <modifiedWord/>
      <trackRevisions>false</trackRevisions>
    </reviewItem>
    <reviewItem>
      <errorID>f2033ae4-c741-479e-837f-7b48c2975066</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548613D2</paraID>
      <start>83</start>
      <end>84</end>
      <status>unmodified</status>
      <modifiedWord/>
      <trackRevisions>false</trackRevisions>
    </reviewItem>
    <reviewItem>
      <errorID>a289d9c2-ba2d-49dd-b3c7-85281f42b883</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548613D2</paraID>
      <start>195</start>
      <end>196</end>
      <status>unmodified</status>
      <modifiedWord/>
      <trackRevisions>false</trackRevisions>
    </reviewItem>
    <reviewItem>
      <errorID>9054f18b-86c8-470c-9470-73ebf79d5939</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4A0EEEBC</paraID>
      <start>21</start>
      <end>22</end>
      <status>unmodified</status>
      <modifiedWord/>
      <trackRevisions>false</trackRevisions>
    </reviewItem>
    <reviewItem>
      <errorID>0d7fc16c-bad1-4ae6-b73a-e0b0641e9cd0</errorID>
      <errorWord>-</errorWord>
      <group>L1_Format</group>
      <groupName>格式问题</groupName>
      <ability>L2_HalfPunc</ability>
      <abilityName>全半角检查</abilityName>
      <candidateList>
        <item>－</item>
      </candidateList>
      <explain>文本全半角错误。</explain>
      <paraID>4A0EEEBC</paraID>
      <start>44</start>
      <end>45</end>
      <status>unmodified</status>
      <modifiedWord/>
      <trackRevisions>false</trackRevisions>
    </reviewItem>
    <reviewItem>
      <errorID>f5b81a05-73a6-4736-863f-45960e395a95</errorID>
      <errorWord>-</errorWord>
      <group>L1_Format</group>
      <groupName>格式问题</groupName>
      <ability>L2_HalfPunc</ability>
      <abilityName>全半角检查</abilityName>
      <candidateList>
        <item>－</item>
      </candidateList>
      <explain>文本全半角错误。</explain>
      <paraID>4A0EEEBC</paraID>
      <start>48</start>
      <end>49</end>
      <status>unmodified</status>
      <modifiedWord/>
      <trackRevisions>false</trackRevisions>
    </reviewItem>
    <reviewItem>
      <errorID>0879a79b-4d34-4a82-a352-594f8f9778b5</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5CA047A5</paraID>
      <start>37</start>
      <end>38</end>
      <status>unmodified</status>
      <modifiedWord/>
      <trackRevisions>false</trackRevisions>
    </reviewItem>
    <reviewItem>
      <errorID>cf4b81c9-479f-4df5-a392-c403c4b80190</errorID>
      <errorWord>．</errorWord>
      <group>L1_Format</group>
      <groupName>格式问题</groupName>
      <ability>L2_HalfPunc</ability>
      <abilityName>全半角检查</abilityName>
      <candidateList>
        <item>。</item>
      </candidateList>
      <explain>文本全半角错误。</explain>
      <paraID>5EA5A89D</paraID>
      <start>2</start>
      <end>3</end>
      <status>unmodified</status>
      <modifiedWord/>
      <trackRevisions>false</trackRevisions>
    </reviewItem>
    <reviewItem>
      <errorID>b77c9436-8e6c-43de-adf7-5c35c336eb30</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4F9D9831</paraID>
      <start>0</start>
      <end>2</end>
      <status>unmodified</status>
      <modifiedWord/>
      <trackRevisions>false</trackRevisions>
    </reviewItem>
    <reviewItem>
      <errorID>4993ea4f-ded5-4416-9337-185ab7a0d0ef</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172122F0</paraID>
      <start>0</start>
      <end>2</end>
      <status>unmodified</status>
      <modifiedWord/>
      <trackRevisions>false</trackRevisions>
    </reviewItem>
    <reviewItem>
      <errorID>d9deae39-0949-45b7-ba21-3c3e9f9682a6</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61EB466F</paraID>
      <start>0</start>
      <end>2</end>
      <status>unmodified</status>
      <modifiedWord/>
      <trackRevisions>false</trackRevisions>
    </reviewItem>
    <reviewItem>
      <errorID>3e451339-9f7a-4f07-b199-3e43306f62ba</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BA9EF7D</paraID>
      <start>0</start>
      <end>2</end>
      <status>unmodified</status>
      <modifiedWord/>
      <trackRevisions>false</trackRevisions>
    </reviewItem>
    <reviewItem>
      <errorID>1f92358f-38c4-4b52-a43a-e859778b995a</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725A4DD8</paraID>
      <start>0</start>
      <end>2</end>
      <status>unmodified</status>
      <modifiedWord/>
      <trackRevisions>false</trackRevisions>
    </reviewItem>
    <reviewItem>
      <errorID>049bee7e-d8c2-4f2b-92b3-a5123039f4d1</errorID>
      <errorWord>人工鱼礁</errorWord>
      <group>L1_Knowledge</group>
      <groupName>知识性问题</groupName>
      <ability>L2_Term</ability>
      <abilityName>专业术语</abilityName>
      <candidateList>
        <item>人工渔礁</item>
      </candidateList>
      <explain/>
      <paraID>7B907D4C</paraID>
      <start>22</start>
      <end>26</end>
      <status>unmodified</status>
      <modifiedWord/>
      <trackRevisions>false</trackRevisions>
    </reviewItem>
    <reviewItem>
      <errorID>7c7b5603-a312-455e-9f48-48ffaf079efe</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78E2968B</paraID>
      <start>27</start>
      <end>30</end>
      <status>unmodified</status>
      <modifiedWord/>
      <trackRevisions>false</trackRevisions>
    </reviewItem>
    <reviewItem>
      <errorID>8a0d67c7-c080-4c9d-a88c-76b6fe5ee740</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3DA75896</paraID>
      <start>21</start>
      <end>24</end>
      <status>unmodified</status>
      <modifiedWord/>
      <trackRevisions>false</trackRevisions>
    </reviewItem>
    <reviewItem>
      <errorID>5d1b5f12-fbd7-4688-b990-b9137d95df15</errorID>
      <errorWord>．</errorWord>
      <group>L1_Format</group>
      <groupName>格式问题</groupName>
      <ability>L2_HalfPunc</ability>
      <abilityName>全半角检查</abilityName>
      <candidateList>
        <item>。</item>
      </candidateList>
      <explain>文本全半角错误。</explain>
      <paraID>29B889D7</paraID>
      <start>2</start>
      <end>3</end>
      <status>unmodified</status>
      <modifiedWord/>
      <trackRevisions>false</trackRevisions>
    </reviewItem>
    <reviewItem>
      <errorID>fbc7eb5d-9119-4e35-86c9-6bf1bac3dcbe</errorID>
      <errorWord>．</errorWord>
      <group>L1_Format</group>
      <groupName>格式问题</groupName>
      <ability>L2_HalfPunc</ability>
      <abilityName>全半角检查</abilityName>
      <candidateList>
        <item>。</item>
      </candidateList>
      <explain>文本全半角错误。</explain>
      <paraID>446134B5</paraID>
      <start>2</start>
      <end>3</end>
      <status>unmodified</status>
      <modifiedWord/>
      <trackRevisions>false</trackRevisions>
    </reviewItem>
    <reviewItem>
      <errorID>bb5c3c1f-378b-4137-855b-08fbb02f2bd6</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20F28ED8</paraID>
      <start>0</start>
      <end>2</end>
      <status>unmodified</status>
      <modifiedWord/>
      <trackRevisions>false</trackRevisions>
    </reviewItem>
    <reviewItem>
      <errorID>55c1e75d-6fb3-4ad5-8b07-75640f16fd26</errorID>
      <errorWord>．</errorWord>
      <group>L1_Format</group>
      <groupName>格式问题</groupName>
      <ability>L2_HalfPunc</ability>
      <abilityName>全半角检查</abilityName>
      <candidateList>
        <item>。</item>
      </candidateList>
      <explain>文本全半角错误。</explain>
      <paraID>20F28ED8</paraID>
      <start>2</start>
      <end>3</end>
      <status>unmodified</status>
      <modifiedWord/>
      <trackRevisions>false</trackRevisions>
    </reviewItem>
    <reviewItem>
      <errorID>b7d78502-92c5-4fec-a5fc-b78aa233f68b</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707C65FA</paraID>
      <start>0</start>
      <end>2</end>
      <status>unmodified</status>
      <modifiedWord/>
      <trackRevisions>false</trackRevisions>
    </reviewItem>
    <reviewItem>
      <errorID>75bbe678-319b-4309-bad6-6840d6bd6e08</errorID>
      <errorWord>设置</errorWord>
      <group>L1_Word</group>
      <groupName>字词问题</groupName>
      <ability>L2_Typo</ability>
      <abilityName>字词错误</abilityName>
      <candidateList>
        <item>设施</item>
      </candidateList>
      <explain/>
      <paraID>707C65FA</paraID>
      <start>36</start>
      <end>38</end>
      <status>modified</status>
      <modifiedWord>设施</modifiedWord>
      <trackRevisions>false</trackRevisions>
    </reviewItem>
    <reviewItem>
      <errorID>65d2ce63-c2c5-442b-ab4a-c23ccd42890a</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22BCB706</paraID>
      <start>17</start>
      <end>18</end>
      <status>unmodified</status>
      <modifiedWord/>
      <trackRevisions>false</trackRevisions>
    </reviewItem>
    <reviewItem>
      <errorID>4417158d-dd68-4ba5-9dd4-03da3512d7eb</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1943D951</paraID>
      <start>17</start>
      <end>18</end>
      <status>unmodified</status>
      <modifiedWord/>
      <trackRevisions>false</trackRevisions>
    </reviewItem>
    <reviewItem>
      <errorID>397afec8-eab9-4e82-9636-5ca09f43c2c9</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5DCA60AA</paraID>
      <start>113</start>
      <end>114</end>
      <status>unmodified</status>
      <modifiedWord/>
      <trackRevisions>false</trackRevisions>
    </reviewItem>
    <reviewItem>
      <errorID>38ad5353-592d-4c25-a81a-e8b4f7b0acb6</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38947681</paraID>
      <start>0</start>
      <end>2</end>
      <status>unmodified</status>
      <modifiedWord/>
      <trackRevisions>false</trackRevisions>
    </reviewItem>
    <reviewItem>
      <errorID>d952355e-feac-4138-abfc-64230d889fbf</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1C40D360</paraID>
      <start>0</start>
      <end>2</end>
      <status>unmodified</status>
      <modifiedWord/>
      <trackRevisions>false</trackRevisions>
    </reviewItem>
    <reviewItem>
      <errorID>c64a12ca-8cee-4083-925d-6a291f5e2ef9</errorID>
      <errorWord>期</errorWord>
      <group>L1_Word</group>
      <groupName>字词问题</groupName>
      <ability>L2_Typo</ability>
      <abilityName>字词错误</abilityName>
      <candidateList>
        <item>期间</item>
      </candidateList>
      <explain>〈名〉某个时期里面：农忙～｜春节～｜抗战～。</explain>
      <paraID>39B44A93</paraID>
      <start>2</start>
      <end>4</end>
      <status>modified</status>
      <modifiedWord>期间</modifiedWord>
      <trackRevisions>false</trackRevisions>
    </reviewItem>
    <reviewItem>
      <errorID>8e12acfa-5bbd-41e3-b914-972baecf03f0</errorID>
      <errorWord>)</errorWord>
      <group>L1_Format</group>
      <groupName>格式问题</groupName>
      <ability>L2_HalfPunc</ability>
      <abilityName>全半角检查</abilityName>
      <candidateList>
        <item>）</item>
      </candidateList>
      <explain>文本全半角错误。</explain>
      <paraID>54B7B5A6</paraID>
      <start>48</start>
      <end>49</end>
      <status>unmodified</status>
      <modifiedWord/>
      <trackRevisions>false</trackRevisions>
    </reviewItem>
    <reviewItem>
      <errorID>736a80b9-8804-420a-b8d3-954eb10d30ed</errorID>
      <errorWord>（</errorWord>
      <group>L1_Format</group>
      <groupName>格式问题</groupName>
      <ability>L2_HalfPunc</ability>
      <abilityName>全半角检查</abilityName>
      <candidateList>
        <item>(</item>
      </candidateList>
      <explain>文本全半角错误。</explain>
      <paraID>5EC17A1F</paraID>
      <start>7</start>
      <end>8</end>
      <status>unmodified</status>
      <modifiedWord/>
      <trackRevisions>false</trackRevisions>
    </reviewItem>
    <reviewItem>
      <errorID>a5bc0ed8-26fb-4bf2-bc9e-eaef2504cf61</errorID>
      <errorWord>）</errorWord>
      <group>L1_Format</group>
      <groupName>格式问题</groupName>
      <ability>L2_HalfPunc</ability>
      <abilityName>全半角检查</abilityName>
      <candidateList>
        <item>)</item>
      </candidateList>
      <explain>文本全半角错误。</explain>
      <paraID>5EC17A1F</paraID>
      <start>9</start>
      <end>10</end>
      <status>unmodified</status>
      <modifiedWord/>
      <trackRevisions>false</trackRevisions>
    </reviewItem>
    <reviewItem>
      <errorID>8f89e19a-b201-4242-81c2-59e1e769657e</errorID>
      <errorWord>小</errorWord>
      <group>L1_Word</group>
      <groupName>字词问题</groupName>
      <ability>L2_Typo</ability>
      <abilityName>字词错误</abilityName>
      <candidateList>
        <item>少</item>
      </candidateList>
      <explain>存在字形相近字词的误用。</explain>
      <paraID>54F486E0</paraID>
      <start>40</start>
      <end>41</end>
      <status>unmodified</status>
      <modifiedWord/>
      <trackRevisions>false</trackRevisions>
    </reviewItem>
    <reviewItem>
      <errorID>915162cc-7837-48fb-8122-5cff3160bdd1</errorID>
      <errorWord>《石化行业VOCs污染源排查工作指南》（以下简称指南）</errorWord>
      <group>L1_Knowledge</group>
      <groupName>知识性问题</groupName>
      <ability>L2_Knowledge</ability>
      <abilityName>其他知识</abilityName>
      <candidateList>
        <item>《石化行业VOCs污染源排查工作指南》（以下简称“指南”）</item>
      </candidateList>
      <explain>疑似政策文件、法律法规名称等书写不规范，请注意检查。</explain>
      <paraID>66AF160C</paraID>
      <start>2</start>
      <end>29</end>
      <status>unmodified</status>
      <modifiedWord/>
      <trackRevisions>false</trackRevisions>
    </reviewItem>
    <reviewItem>
      <errorID>13962e3a-ba5c-4d51-8e47-fa4f2145b83f</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1354F267</paraID>
      <start>0</start>
      <end>2</end>
      <status>unmodified</status>
      <modifiedWord/>
      <trackRevisions>false</trackRevisions>
    </reviewItem>
    <reviewItem>
      <errorID>e40a2f8e-1d94-4899-81da-363b85dda592</errorID>
      <errorWord>一-</errorWord>
      <group>L1_Punc</group>
      <groupName>标点问题</groupName>
      <ability>L2_Punc</ability>
      <abilityName>标点符号检查</abilityName>
      <candidateList>
        <item>一</item>
      </candidateList>
      <explain/>
      <paraID>76D49914</paraID>
      <start>25</start>
      <end>27</end>
      <status>unmodified</status>
      <modifiedWord/>
      <trackRevisions>false</trackRevisions>
    </reviewItem>
    <reviewItem>
      <errorID>8aa84120-a099-489b-8f34-13ff3ed77a83</errorID>
      <errorWord>量轻</errorWord>
      <group>L1_Word</group>
      <groupName>字词问题</groupName>
      <ability>L2_Typo</ability>
      <abilityName>字词错误</abilityName>
      <candidateList>
        <item>轻量</item>
      </candidateList>
      <explain/>
      <paraID>71BDBD9B</paraID>
      <start>2</start>
      <end>4</end>
      <status>unmodified</status>
      <modifiedWord/>
      <trackRevisions>false</trackRevisions>
    </reviewItem>
    <reviewItem>
      <errorID>f63ba134-716a-4094-b090-9571bb41612b</errorID>
      <errorWord>其它</errorWord>
      <group>L1_Word</group>
      <groupName>字词问题</groupName>
      <ability>L2_Alias</ability>
      <abilityName>也作/曾用词</abilityName>
      <candidateList>
        <item>其他</item>
      </candidateList>
      <explain>词汇[其它]为不规范表述或旧称，其规范书面表述为[其他]。</explain>
      <paraID>3FC99A45</paraID>
      <start>0</start>
      <end>2</end>
      <status>modified</status>
      <modifiedWord>其他</modifiedWord>
      <trackRevisions>false</trackRevisions>
    </reviewItem>
    <reviewItem>
      <errorID>ca561446-a277-4a39-9e78-5eaa4414beed</errorID>
      <errorWord>其它</errorWord>
      <group>L1_Word</group>
      <groupName>字词问题</groupName>
      <ability>L2_Alias</ability>
      <abilityName>也作/曾用词</abilityName>
      <candidateList>
        <item>其他</item>
      </candidateList>
      <explain>词汇[其它]为不规范表述或旧称，其规范书面表述为[其他]。</explain>
      <paraID> DBFE8FE</paraID>
      <start>36</start>
      <end>38</end>
      <status>modified</status>
      <modifiedWord>其他</modifiedWord>
      <trackRevisions>false</trackRevisions>
    </reviewItem>
    <reviewItem>
      <errorID>6e7fbe0f-b157-45a8-b0b0-72f7dd8de26b</errorID>
      <errorWord>后由</errorWord>
      <group>L1_Word</group>
      <groupName>字词问题</groupName>
      <ability>L2_Typo</ability>
      <abilityName>字词错误</abilityName>
      <candidateList>
        <item>后</item>
      </candidateList>
      <explain>❶君主的妻子：皇～｜～妃。❷古代称君主：商之先～。❸（Hòu）〈名〉姓。</explain>
      <paraID>427C8FAE</paraID>
      <start>96</start>
      <end>98</end>
      <status>unmodified</status>
      <modifiedWord/>
      <trackRevisions>false</trackRevisions>
    </reviewItem>
    <reviewItem>
      <errorID>88d3bf29-1da9-4f18-a7d0-e8b04433c203</errorID>
      <errorWord>（</errorWord>
      <group>L1_Format</group>
      <groupName>格式问题</groupName>
      <ability>L2_HalfPunc</ability>
      <abilityName>全半角检查</abilityName>
      <candidateList>
        <item>(</item>
      </candidateList>
      <explain>文本全半角错误。</explain>
      <paraID>3DBFD21C</paraID>
      <start>12</start>
      <end>13</end>
      <status>unmodified</status>
      <modifiedWord/>
      <trackRevisions>false</trackRevisions>
    </reviewItem>
    <reviewItem>
      <errorID>a45b6649-715a-4fe3-9fa0-fd8490e2ff06</errorID>
      <errorWord>）</errorWord>
      <group>L1_Format</group>
      <groupName>格式问题</groupName>
      <ability>L2_HalfPunc</ability>
      <abilityName>全半角检查</abilityName>
      <candidateList>
        <item>)</item>
      </candidateList>
      <explain>文本全半角错误。</explain>
      <paraID>3DBFD21C</paraID>
      <start>22</start>
      <end>23</end>
      <status>unmodified</status>
      <modifiedWord/>
      <trackRevisions>false</trackRevisions>
    </reviewItem>
    <reviewItem>
      <errorID>e93553cc-fe6e-4bb2-8e9f-33067472c01f</errorID>
      <errorWord>（</errorWord>
      <group>L1_Format</group>
      <groupName>格式问题</groupName>
      <ability>L2_HalfPunc</ability>
      <abilityName>全半角检查</abilityName>
      <candidateList>
        <item>(</item>
      </candidateList>
      <explain>文本全半角错误。</explain>
      <paraID>3DBFD21C</paraID>
      <start>24</start>
      <end>25</end>
      <status>unmodified</status>
      <modifiedWord/>
      <trackRevisions>false</trackRevisions>
    </reviewItem>
    <reviewItem>
      <errorID>dfdaf42f-e251-4712-a6ce-4e988face3e1</errorID>
      <errorWord>）</errorWord>
      <group>L1_Format</group>
      <groupName>格式问题</groupName>
      <ability>L2_HalfPunc</ability>
      <abilityName>全半角检查</abilityName>
      <candidateList>
        <item>)</item>
      </candidateList>
      <explain>文本全半角错误。</explain>
      <paraID>3DBFD21C</paraID>
      <start>33</start>
      <end>34</end>
      <status>unmodified</status>
      <modifiedWord/>
      <trackRevisions>false</trackRevisions>
    </reviewItem>
    <reviewItem>
      <errorID>e6751d35-f8b7-4f9f-a410-dfb9b9901880</errorID>
      <errorWord>(</errorWord>
      <group>L1_Format</group>
      <groupName>格式问题</groupName>
      <ability>L2_HalfPunc</ability>
      <abilityName>全半角检查</abilityName>
      <candidateList>
        <item>（</item>
      </candidateList>
      <explain>文本全半角错误。</explain>
      <paraID>4C9AB926</paraID>
      <start>19</start>
      <end>20</end>
      <status>unmodified</status>
      <modifiedWord/>
      <trackRevisions>false</trackRevisions>
    </reviewItem>
    <reviewItem>
      <errorID>727b6aab-735c-409a-9c86-9b2b47486eb1</errorID>
      <errorWord>)</errorWord>
      <group>L1_Format</group>
      <groupName>格式问题</groupName>
      <ability>L2_HalfPunc</ability>
      <abilityName>全半角检查</abilityName>
      <candidateList>
        <item>）</item>
      </candidateList>
      <explain>文本全半角错误。</explain>
      <paraID>4C9AB926</paraID>
      <start>24</start>
      <end>25</end>
      <status>unmodified</status>
      <modifiedWord/>
      <trackRevisions>false</trackRevisions>
    </reviewItem>
    <reviewItem>
      <errorID>7c58703d-fd38-45d8-a88e-fed034811aa1</errorID>
      <errorWord>饱和蒸气</errorWord>
      <group>L1_Word</group>
      <groupName>字词问题</groupName>
      <ability>L2_Typo</ability>
      <abilityName>字词错误</abilityName>
      <candidateList>
        <item>饱和蒸汽</item>
      </candidateList>
      <explain/>
      <paraID>3D7CB057</paraID>
      <start>12</start>
      <end>16</end>
      <status>unmodified</status>
      <modifiedWord/>
      <trackRevisions>false</trackRevisions>
    </reviewItem>
    <reviewItem>
      <errorID>e7323b80-44f3-4e37-a506-fd490742a748</errorID>
      <errorWord>(</errorWord>
      <group>L1_Format</group>
      <groupName>格式问题</groupName>
      <ability>L2_HalfPunc</ability>
      <abilityName>全半角检查</abilityName>
      <candidateList>
        <item>（</item>
      </candidateList>
      <explain>文本全半角错误。</explain>
      <paraID>3D7CB057</paraID>
      <start>17</start>
      <end>18</end>
      <status>unmodified</status>
      <modifiedWord/>
      <trackRevisions>false</trackRevisions>
    </reviewItem>
    <reviewItem>
      <errorID>ea22b28c-3234-41ac-9d45-a2dd04b0e76a</errorID>
      <errorWord>)</errorWord>
      <group>L1_Format</group>
      <groupName>格式问题</groupName>
      <ability>L2_HalfPunc</ability>
      <abilityName>全半角检查</abilityName>
      <candidateList>
        <item>）</item>
      </candidateList>
      <explain>文本全半角错误。</explain>
      <paraID>3D7CB057</paraID>
      <start>21</start>
      <end>22</end>
      <status>unmodified</status>
      <modifiedWord/>
      <trackRevisions>false</trackRevisions>
    </reviewItem>
    <reviewItem>
      <errorID>182ad5cc-5955-450b-8918-7573720c7356</errorID>
      <errorWord>(</errorWord>
      <group>L1_Format</group>
      <groupName>格式问题</groupName>
      <ability>L2_HalfPunc</ability>
      <abilityName>全半角检查</abilityName>
      <candidateList>
        <item>（</item>
      </candidateList>
      <explain>文本全半角错误。</explain>
      <paraID>150DB5BF</paraID>
      <start>7</start>
      <end>8</end>
      <status>unmodified</status>
      <modifiedWord/>
      <trackRevisions>false</trackRevisions>
    </reviewItem>
    <reviewItem>
      <errorID>a60bee03-ccf0-4a6e-9d80-5cc1dd3a6b4d</errorID>
      <errorWord>)</errorWord>
      <group>L1_Format</group>
      <groupName>格式问题</groupName>
      <ability>L2_HalfPunc</ability>
      <abilityName>全半角检查</abilityName>
      <candidateList>
        <item>）</item>
      </candidateList>
      <explain>文本全半角错误。</explain>
      <paraID>150DB5BF</paraID>
      <start>12</start>
      <end>13</end>
      <status>unmodified</status>
      <modifiedWord/>
      <trackRevisions>false</trackRevisions>
    </reviewItem>
    <reviewItem>
      <errorID>92fbd6c1-983a-4a4f-afee-3e8d0a254510</errorID>
      <errorWord>(</errorWord>
      <group>L1_Format</group>
      <groupName>格式问题</groupName>
      <ability>L2_HalfPunc</ability>
      <abilityName>全半角检查</abilityName>
      <candidateList>
        <item>（</item>
      </candidateList>
      <explain>文本全半角错误。</explain>
      <paraID>1893D6C4</paraID>
      <start>6</start>
      <end>7</end>
      <status>unmodified</status>
      <modifiedWord/>
      <trackRevisions>false</trackRevisions>
    </reviewItem>
    <reviewItem>
      <errorID>bcbff091-18ba-4b59-9641-c5f79802103c</errorID>
      <errorWord>)</errorWord>
      <group>L1_Format</group>
      <groupName>格式问题</groupName>
      <ability>L2_HalfPunc</ability>
      <abilityName>全半角检查</abilityName>
      <candidateList>
        <item>）</item>
      </candidateList>
      <explain>文本全半角错误。</explain>
      <paraID>1893D6C4</paraID>
      <start>8</start>
      <end>9</end>
      <status>unmodified</status>
      <modifiedWord/>
      <trackRevisions>false</trackRevisions>
    </reviewItem>
    <reviewItem>
      <errorID>d6121220-38be-4ca2-8004-5964e63f3b77</errorID>
      <errorWord>饱和蒸气</errorWord>
      <group>L1_Word</group>
      <groupName>字词问题</groupName>
      <ability>L2_Typo</ability>
      <abilityName>字词错误</abilityName>
      <candidateList>
        <item>饱和蒸汽</item>
      </candidateList>
      <explain/>
      <paraID>7386B0C7</paraID>
      <start>0</start>
      <end>4</end>
      <status>unmodified</status>
      <modifiedWord/>
      <trackRevisions>false</trackRevisions>
    </reviewItem>
    <reviewItem>
      <errorID>f7717980-49ba-4935-a0cf-934ead852b14</errorID>
      <errorWord>(</errorWord>
      <group>L1_Format</group>
      <groupName>格式问题</groupName>
      <ability>L2_HalfPunc</ability>
      <abilityName>全半角检查</abilityName>
      <candidateList>
        <item>（</item>
      </candidateList>
      <explain>文本全半角错误。</explain>
      <paraID>1BED389F</paraID>
      <start>4</start>
      <end>5</end>
      <status>unmodified</status>
      <modifiedWord/>
      <trackRevisions>false</trackRevisions>
    </reviewItem>
    <reviewItem>
      <errorID>007221f6-1d20-4d24-9759-46621251ad6c</errorID>
      <errorWord>)</errorWord>
      <group>L1_Format</group>
      <groupName>格式问题</groupName>
      <ability>L2_HalfPunc</ability>
      <abilityName>全半角检查</abilityName>
      <candidateList>
        <item>）</item>
      </candidateList>
      <explain>文本全半角错误。</explain>
      <paraID>1BED389F</paraID>
      <start>9</start>
      <end>10</end>
      <status>unmodified</status>
      <modifiedWord/>
      <trackRevisions>false</trackRevisions>
    </reviewItem>
    <reviewItem>
      <errorID>f22008c3-ae19-43d3-b927-ed9b4cfb7f98</errorID>
      <errorWord>（</errorWord>
      <group>L1_Format</group>
      <groupName>格式问题</groupName>
      <ability>L2_HalfPunc</ability>
      <abilityName>全半角检查</abilityName>
      <candidateList>
        <item>(</item>
      </candidateList>
      <explain>文本全半角错误。</explain>
      <paraID>2843B5B7</paraID>
      <start>0</start>
      <end>1</end>
      <status>unmodified</status>
      <modifiedWord/>
      <trackRevisions>false</trackRevisions>
    </reviewItem>
    <reviewItem>
      <errorID>42a73c38-2cd8-4fdb-95aa-aa0ffb6f7104</errorID>
      <errorWord>）</errorWord>
      <group>L1_Format</group>
      <groupName>格式问题</groupName>
      <ability>L2_HalfPunc</ability>
      <abilityName>全半角检查</abilityName>
      <candidateList>
        <item>)</item>
      </candidateList>
      <explain>文本全半角错误。</explain>
      <paraID>2843B5B7</paraID>
      <start>5</start>
      <end>6</end>
      <status>unmodified</status>
      <modifiedWord/>
      <trackRevisions>false</trackRevisions>
    </reviewItem>
    <reviewItem>
      <errorID>b01e7c7e-2e4a-49fc-84a5-0d85e8071359</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71F2AB06</paraID>
      <start>0</start>
      <end>2</end>
      <status>unmodified</status>
      <modifiedWord/>
      <trackRevisions>false</trackRevisions>
    </reviewItem>
    <reviewItem>
      <errorID>1111f3aa-99b0-4920-b537-a71872e0d007</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7424C08A</paraID>
      <start>0</start>
      <end>2</end>
      <status>unmodified</status>
      <modifiedWord/>
      <trackRevisions>false</trackRevisions>
    </reviewItem>
    <reviewItem>
      <errorID>4d05e2fe-5993-4f14-ba9d-45c177c52ac5</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45655A60</paraID>
      <start>0</start>
      <end>2</end>
      <status>unmodified</status>
      <modifiedWord/>
      <trackRevisions>false</trackRevisions>
    </reviewItem>
    <reviewItem>
      <errorID>b23475f2-5b47-4608-97d8-6dd65963a2fa</errorID>
      <errorWord>水域内</errorWord>
      <group>L1_Word</group>
      <groupName>字词问题</groupName>
      <ability>L2_Typo</ability>
      <abilityName>字词错误</abilityName>
      <candidateList>
        <item>水域</item>
      </candidateList>
      <explain/>
      <paraID>56E629FB</paraID>
      <start>205</start>
      <end>208</end>
      <status>unmodified</status>
      <modifiedWord/>
      <trackRevisions>false</trackRevisions>
    </reviewItem>
    <reviewItem>
      <errorID>f721a651-7674-4753-8276-b23ae7757272</errorID>
      <errorWord>不再会</errorWord>
      <group>L1_Word</group>
      <groupName>字词问题</groupName>
      <ability>L2_Typo</ability>
      <abilityName>字词错误</abilityName>
      <candidateList>
        <item>不再</item>
      </candidateList>
      <explain/>
      <paraID>1ED628AA</paraID>
      <start>127</start>
      <end>130</end>
      <status>unmodified</status>
      <modifiedWord/>
      <trackRevisions>false</trackRevisions>
    </reviewItem>
    <reviewItem>
      <errorID>bdd2026e-7610-4fc7-acd0-0d16a2a6a0f6</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1F8FB8F</paraID>
      <start>0</start>
      <end>2</end>
      <status>unmodified</status>
      <modifiedWord/>
      <trackRevisions>false</trackRevisions>
    </reviewItem>
    <reviewItem>
      <errorID>4ebdb791-e2aa-4ee7-a194-0505e2cf146c</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4339122F</paraID>
      <start>0</start>
      <end>2</end>
      <status>unmodified</status>
      <modifiedWord/>
      <trackRevisions>false</trackRevisions>
    </reviewItem>
    <reviewItem>
      <errorID>58f6d80e-c605-49bc-8216-2d732eac56f9</errorID>
      <errorWord>（</errorWord>
      <group>L1_Punc</group>
      <groupName>标点问题</groupName>
      <ability>L2_Punc</ability>
      <abilityName>标点符号检查</abilityName>
      <candidateList>
        <item/>
      </candidateList>
      <explain>同一形式括号套用。</explain>
      <paraID>67DB3CB8</paraID>
      <start>12</start>
      <end>13</end>
      <status>unmodified</status>
      <modifiedWord/>
      <trackRevisions>false</trackRevisions>
    </reviewItem>
    <reviewItem>
      <errorID>1b51a64e-fe4b-4e61-a09c-908b2efa74ae</errorID>
      <errorWord>(</errorWord>
      <group>L1_Punc</group>
      <groupName>标点问题</groupName>
      <ability>L2_Punc</ability>
      <abilityName>标点符号检查</abilityName>
      <candidateList/>
      <explain>同一形式括号套用。</explain>
      <paraID>67DB3CB8</paraID>
      <start>15</start>
      <end>16</end>
      <status>unmodified</status>
      <modifiedWord/>
      <trackRevisions>false</trackRevisions>
    </reviewItem>
    <reviewItem>
      <errorID>2b260a5b-738b-4d94-844c-f5c762049ef6</errorID>
      <errorWord>)</errorWord>
      <group>L1_Punc</group>
      <groupName>标点问题</groupName>
      <ability>L2_Punc</ability>
      <abilityName>标点符号检查</abilityName>
      <candidateList/>
      <explain>同一形式括号套用。</explain>
      <paraID>67DB3CB8</paraID>
      <start>17</start>
      <end>18</end>
      <status>unmodified</status>
      <modifiedWord/>
      <trackRevisions>false</trackRevisions>
    </reviewItem>
    <reviewItem>
      <errorID>e3c38262-f844-4150-911a-fd58b7860c07</errorID>
      <errorWord>）</errorWord>
      <group>L1_Punc</group>
      <groupName>标点问题</groupName>
      <ability>L2_Punc</ability>
      <abilityName>标点符号检查</abilityName>
      <candidateList/>
      <explain>同一形式括号套用。</explain>
      <paraID>67DB3CB8</paraID>
      <start>20</start>
      <end>21</end>
      <status>unmodified</status>
      <modifiedWord/>
      <trackRevisions>false</trackRevisions>
    </reviewItem>
    <reviewItem>
      <errorID>01dd751f-4fe7-40f1-b537-efb361467a48</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561EA7D1</paraID>
      <start>0</start>
      <end>2</end>
      <status>unmodified</status>
      <modifiedWord/>
      <trackRevisions>false</trackRevisions>
    </reviewItem>
    <reviewItem>
      <errorID>b884513b-77bb-4458-8435-676a30ad21c3</errorID>
      <errorWord>（</errorWord>
      <group>L1_Format</group>
      <groupName>格式问题</groupName>
      <ability>L2_HalfPunc</ability>
      <abilityName>全半角检查</abilityName>
      <candidateList>
        <item>(</item>
      </candidateList>
      <explain>文本全半角错误。</explain>
      <paraID>62C58759</paraID>
      <start>0</start>
      <end>1</end>
      <status>unmodified</status>
      <modifiedWord/>
      <trackRevisions>false</trackRevisions>
    </reviewItem>
    <reviewItem>
      <errorID>9a58feaa-6c6f-4cc3-b9fc-e227a0c3bcd1</errorID>
      <errorWord>）</errorWord>
      <group>L1_Format</group>
      <groupName>格式问题</groupName>
      <ability>L2_HalfPunc</ability>
      <abilityName>全半角检查</abilityName>
      <candidateList>
        <item>)</item>
      </candidateList>
      <explain>文本全半角错误。</explain>
      <paraID>62C58759</paraID>
      <start>5</start>
      <end>6</end>
      <status>unmodified</status>
      <modifiedWord/>
      <trackRevisions>false</trackRevisions>
    </reviewItem>
    <reviewItem>
      <errorID>cc100615-6f16-4d0d-9b90-d90824166cf1</errorID>
      <errorWord>（</errorWord>
      <group>L1_Format</group>
      <groupName>格式问题</groupName>
      <ability>L2_HalfPunc</ability>
      <abilityName>全半角检查</abilityName>
      <candidateList>
        <item>(</item>
      </candidateList>
      <explain>文本全半角错误。</explain>
      <paraID>2EAA572C</paraID>
      <start>0</start>
      <end>1</end>
      <status>unmodified</status>
      <modifiedWord/>
      <trackRevisions>false</trackRevisions>
    </reviewItem>
    <reviewItem>
      <errorID>d4a90307-bade-475d-b78d-f5b080a72728</errorID>
      <errorWord>）</errorWord>
      <group>L1_Format</group>
      <groupName>格式问题</groupName>
      <ability>L2_HalfPunc</ability>
      <abilityName>全半角检查</abilityName>
      <candidateList>
        <item>)</item>
      </candidateList>
      <explain>文本全半角错误。</explain>
      <paraID>2EAA572C</paraID>
      <start>4</start>
      <end>5</end>
      <status>unmodified</status>
      <modifiedWord/>
      <trackRevisions>false</trackRevisions>
    </reviewItem>
    <reviewItem>
      <errorID>7a9e3597-56d2-4bba-bd7a-006fa688f179</errorID>
      <errorWord>（</errorWord>
      <group>L1_Format</group>
      <groupName>格式问题</groupName>
      <ability>L2_HalfPunc</ability>
      <abilityName>全半角检查</abilityName>
      <candidateList>
        <item>(</item>
      </candidateList>
      <explain>文本全半角错误。</explain>
      <paraID>7B3A67CE</paraID>
      <start>0</start>
      <end>1</end>
      <status>unmodified</status>
      <modifiedWord/>
      <trackRevisions>false</trackRevisions>
    </reviewItem>
    <reviewItem>
      <errorID>ea5d80c4-a338-47ac-9037-5f77ec3b8f9b</errorID>
      <errorWord>）</errorWord>
      <group>L1_Format</group>
      <groupName>格式问题</groupName>
      <ability>L2_HalfPunc</ability>
      <abilityName>全半角检查</abilityName>
      <candidateList>
        <item>)</item>
      </candidateList>
      <explain>文本全半角错误。</explain>
      <paraID>7B3A67CE</paraID>
      <start>5</start>
      <end>6</end>
      <status>unmodified</status>
      <modifiedWord/>
      <trackRevisions>false</trackRevisions>
    </reviewItem>
    <reviewItem>
      <errorID>b19203d6-0a01-4fdb-be4a-c23710fd2216</errorID>
      <errorWord>（</errorWord>
      <group>L1_Format</group>
      <groupName>格式问题</groupName>
      <ability>L2_HalfPunc</ability>
      <abilityName>全半角检查</abilityName>
      <candidateList>
        <item>(</item>
      </candidateList>
      <explain>文本全半角错误。</explain>
      <paraID>3E78F8A4</paraID>
      <start>0</start>
      <end>1</end>
      <status>unmodified</status>
      <modifiedWord/>
      <trackRevisions>false</trackRevisions>
    </reviewItem>
    <reviewItem>
      <errorID>e988b317-2a26-41c2-bf03-759054ca84ee</errorID>
      <errorWord>）</errorWord>
      <group>L1_Format</group>
      <groupName>格式问题</groupName>
      <ability>L2_HalfPunc</ability>
      <abilityName>全半角检查</abilityName>
      <candidateList>
        <item>)</item>
      </candidateList>
      <explain>文本全半角错误。</explain>
      <paraID>3E78F8A4</paraID>
      <start>4</start>
      <end>5</end>
      <status>unmodified</status>
      <modifiedWord/>
      <trackRevisions>false</trackRevisions>
    </reviewItem>
    <reviewItem>
      <errorID>e1283168-2642-49fb-9e3b-12c296315349</errorID>
      <errorWord>（</errorWord>
      <group>L1_Format</group>
      <groupName>格式问题</groupName>
      <ability>L2_HalfPunc</ability>
      <abilityName>全半角检查</abilityName>
      <candidateList>
        <item>(</item>
      </candidateList>
      <explain>文本全半角错误。</explain>
      <paraID>43A82E8F</paraID>
      <start>0</start>
      <end>1</end>
      <status>unmodified</status>
      <modifiedWord/>
      <trackRevisions>false</trackRevisions>
    </reviewItem>
    <reviewItem>
      <errorID>1b57735b-6611-4a04-b363-124a7bb1af6a</errorID>
      <errorWord>）</errorWord>
      <group>L1_Format</group>
      <groupName>格式问题</groupName>
      <ability>L2_HalfPunc</ability>
      <abilityName>全半角检查</abilityName>
      <candidateList>
        <item>)</item>
      </candidateList>
      <explain>文本全半角错误。</explain>
      <paraID>43A82E8F</paraID>
      <start>5</start>
      <end>6</end>
      <status>unmodified</status>
      <modifiedWord/>
      <trackRevisions>false</trackRevisions>
    </reviewItem>
    <reviewItem>
      <errorID>b23a602f-6d57-4ba0-9443-27f33c972004</errorID>
      <errorWord>（</errorWord>
      <group>L1_Format</group>
      <groupName>格式问题</groupName>
      <ability>L2_HalfPunc</ability>
      <abilityName>全半角检查</abilityName>
      <candidateList>
        <item>(</item>
      </candidateList>
      <explain>文本全半角错误。</explain>
      <paraID>3531DB6D</paraID>
      <start>0</start>
      <end>1</end>
      <status>unmodified</status>
      <modifiedWord/>
      <trackRevisions>false</trackRevisions>
    </reviewItem>
    <reviewItem>
      <errorID>b2ee9edf-0bec-427b-9425-30879bbca090</errorID>
      <errorWord>）</errorWord>
      <group>L1_Format</group>
      <groupName>格式问题</groupName>
      <ability>L2_HalfPunc</ability>
      <abilityName>全半角检查</abilityName>
      <candidateList>
        <item>)</item>
      </candidateList>
      <explain>文本全半角错误。</explain>
      <paraID>3531DB6D</paraID>
      <start>4</start>
      <end>5</end>
      <status>unmodified</status>
      <modifiedWord/>
      <trackRevisions>false</trackRevisions>
    </reviewItem>
    <reviewItem>
      <errorID>2cadcae9-d95b-410c-b4ba-3e6d2a63a6ce</errorID>
      <errorWord>维</errorWord>
      <group>L1_Word</group>
      <groupName>字词问题</groupName>
      <ability>L2_Typo</ability>
      <abilityName>字词错误</abilityName>
      <candidateList>
        <item>危</item>
      </candidateList>
      <explain/>
      <paraID> D733091</paraID>
      <start>0</start>
      <end>1</end>
      <status>unmodified</status>
      <modifiedWord/>
      <trackRevisions>false</trackRevisions>
    </reviewItem>
    <reviewItem>
      <errorID>b47ce8b9-7c71-4fae-8d10-1e594612fd9a</errorID>
      <errorWord>浸蚀</errorWord>
      <group>L1_Word</group>
      <groupName>字词问题</groupName>
      <ability>L2_Typo</ability>
      <abilityName>字词错误</abilityName>
      <candidateList>
        <item>侵蚀</item>
      </candidateList>
      <explain>存在字形相近字词的误用。</explain>
      <paraID> 3268494</paraID>
      <start>115</start>
      <end>117</end>
      <status>modified</status>
      <modifiedWord>侵蚀</modifiedWord>
      <trackRevisions>false</trackRevisions>
    </reviewItem>
    <reviewItem>
      <errorID>f04d9e6b-8458-4ebb-9cda-de04c6cc1b5a</errorID>
      <errorWord>其它重要</errorWord>
      <group>L1_Word</group>
      <groupName>字词问题</groupName>
      <ability>L2_Alias</ability>
      <abilityName>也作/曾用词</abilityName>
      <candidateList>
        <item>其他重要</item>
      </candidateList>
      <explain>词汇[其它重要]为不规范表述或旧称，其规范书面表述为[其他重要]。</explain>
      <paraID> 3268494</paraID>
      <start>272</start>
      <end>276</end>
      <status>modified</status>
      <modifiedWord>其他重要</modifiedWord>
      <trackRevisions>false</trackRevisions>
    </reviewItem>
    <reviewItem>
      <errorID>e6b1f81b-1e1d-495a-89c7-35ab55491036</errorID>
      <errorWord>-</errorWord>
      <group>L1_Format</group>
      <groupName>格式问题</groupName>
      <ability>L2_HalfPunc</ability>
      <abilityName>全半角检查</abilityName>
      <candidateList>
        <item>－</item>
      </candidateList>
      <explain>文本全半角错误。</explain>
      <paraID>3394E298</paraID>
      <start>47</start>
      <end>48</end>
      <status>unmodified</status>
      <modifiedWord/>
      <trackRevisions>false</trackRevisions>
    </reviewItem>
    <reviewItem>
      <errorID>72dc9913-0b0e-4c46-8477-bc62822fb21e</errorID>
      <errorWord>~</errorWord>
      <group>L1_Format</group>
      <groupName>格式问题</groupName>
      <ability>L2_HalfPunc</ability>
      <abilityName>全半角检查</abilityName>
      <candidateList>
        <item>～</item>
      </candidateList>
      <explain>文本全半角错误。</explain>
      <paraID>3394E298</paraID>
      <start>79</start>
      <end>80</end>
      <status>unmodified</status>
      <modifiedWord/>
      <trackRevisions>false</trackRevisions>
    </reviewItem>
    <reviewItem>
      <errorID>d031a2e6-4fca-41ef-b715-21e5aacc0531</errorID>
      <errorWord>~</errorWord>
      <group>L1_Format</group>
      <groupName>格式问题</groupName>
      <ability>L2_HalfPunc</ability>
      <abilityName>全半角检查</abilityName>
      <candidateList>
        <item>～</item>
      </candidateList>
      <explain>文本全半角错误。</explain>
      <paraID>3AA89FE4</paraID>
      <start>78</start>
      <end>79</end>
      <status>unmodified</status>
      <modifiedWord/>
      <trackRevisions>false</trackRevisions>
    </reviewItem>
    <reviewItem>
      <errorID>3953cc07-65e3-4742-b149-b663455b4dc1</errorID>
      <errorWord>~</errorWord>
      <group>L1_Format</group>
      <groupName>格式问题</groupName>
      <ability>L2_HalfPunc</ability>
      <abilityName>全半角检查</abilityName>
      <candidateList>
        <item>～</item>
      </candidateList>
      <explain>文本全半角错误。</explain>
      <paraID>386C8A25</paraID>
      <start>69</start>
      <end>70</end>
      <status>unmodified</status>
      <modifiedWord/>
      <trackRevisions>false</trackRevisions>
    </reviewItem>
    <reviewItem>
      <errorID>e9492831-44ef-4dad-ae96-568de3744b30</errorID>
      <errorWord>~</errorWord>
      <group>L1_Format</group>
      <groupName>格式问题</groupName>
      <ability>L2_HalfPunc</ability>
      <abilityName>全半角检查</abilityName>
      <candidateList>
        <item>～</item>
      </candidateList>
      <explain>文本全半角错误。</explain>
      <paraID>386C8A25</paraID>
      <start>98</start>
      <end>99</end>
      <status>unmodified</status>
      <modifiedWord/>
      <trackRevisions>false</trackRevisions>
    </reviewItem>
    <reviewItem>
      <errorID>ef120433-d544-4461-ba98-dac0650ae657</errorID>
      <errorWord>多年地</errorWord>
      <group>L1_Word</group>
      <groupName>字词问题</groupName>
      <ability>L2_Typo</ability>
      <abilityName>字词错误</abilityName>
      <candidateList>
        <item>多年</item>
      </candidateList>
      <explain/>
      <paraID>386C8A25</paraID>
      <start>137</start>
      <end>140</end>
      <status>unmodified</status>
      <modifiedWord/>
      <trackRevisions>false</trackRevisions>
    </reviewItem>
    <reviewItem>
      <errorID>c9965b1d-f8f2-4c00-a045-e602c9535d9e</errorID>
      <errorWord>~</errorWord>
      <group>L1_Format</group>
      <groupName>格式问题</groupName>
      <ability>L2_HalfPunc</ability>
      <abilityName>全半角检查</abilityName>
      <candidateList>
        <item>～</item>
      </candidateList>
      <explain>文本全半角错误。</explain>
      <paraID>7A7EC117</paraID>
      <start>67</start>
      <end>68</end>
      <status>unmodified</status>
      <modifiedWord/>
      <trackRevisions>false</trackRevisions>
    </reviewItem>
    <reviewItem>
      <errorID>4acf23a1-8f0a-4c6c-993e-39987b0c8320</errorID>
      <errorWord>~</errorWord>
      <group>L1_Format</group>
      <groupName>格式问题</groupName>
      <ability>L2_HalfPunc</ability>
      <abilityName>全半角检查</abilityName>
      <candidateList>
        <item>～</item>
      </candidateList>
      <explain>文本全半角错误。</explain>
      <paraID>678CC8E7</paraID>
      <start>49</start>
      <end>50</end>
      <status>unmodified</status>
      <modifiedWord/>
      <trackRevisions>false</trackRevisions>
    </reviewItem>
    <reviewItem>
      <errorID>80605a95-7e44-4204-8d11-551497e7fa7f</errorID>
      <errorWord>~</errorWord>
      <group>L1_Format</group>
      <groupName>格式问题</groupName>
      <ability>L2_HalfPunc</ability>
      <abilityName>全半角检查</abilityName>
      <candidateList>
        <item>～</item>
      </candidateList>
      <explain>文本全半角错误。</explain>
      <paraID>21730370</paraID>
      <start>63</start>
      <end>64</end>
      <status>unmodified</status>
      <modifiedWord/>
      <trackRevisions>false</trackRevisions>
    </reviewItem>
    <reviewItem>
      <errorID>901dd923-0b6b-40f8-a4c0-c5d2bc142f5e</errorID>
      <errorWord>(</errorWord>
      <group>L1_Format</group>
      <groupName>格式问题</groupName>
      <ability>L2_HalfPunc</ability>
      <abilityName>全半角检查</abilityName>
      <candidateList>
        <item>（</item>
      </candidateList>
      <explain>文本全半角错误。</explain>
      <paraID>4BCDDEEB</paraID>
      <start>87</start>
      <end>88</end>
      <status>unmodified</status>
      <modifiedWord/>
      <trackRevisions>false</trackRevisions>
    </reviewItem>
    <reviewItem>
      <errorID>d67cf858-b956-4244-820f-29a8dde9fe31</errorID>
      <errorWord>)</errorWord>
      <group>L1_Format</group>
      <groupName>格式问题</groupName>
      <ability>L2_HalfPunc</ability>
      <abilityName>全半角检查</abilityName>
      <candidateList>
        <item>）</item>
      </candidateList>
      <explain>文本全半角错误。</explain>
      <paraID>4BCDDEEB</paraID>
      <start>90</start>
      <end>91</end>
      <status>unmodified</status>
      <modifiedWord/>
      <trackRevisions>false</trackRevisions>
    </reviewItem>
    <reviewItem>
      <errorID>78846054-ebbd-471f-8120-c4f2b1422fdc</errorID>
      <errorWord>(</errorWord>
      <group>L1_Format</group>
      <groupName>格式问题</groupName>
      <ability>L2_HalfPunc</ability>
      <abilityName>全半角检查</abilityName>
      <candidateList>
        <item>（</item>
      </candidateList>
      <explain>文本全半角错误。</explain>
      <paraID>772C6905</paraID>
      <start>11</start>
      <end>12</end>
      <status>unmodified</status>
      <modifiedWord/>
      <trackRevisions>false</trackRevisions>
    </reviewItem>
    <reviewItem>
      <errorID>e7d7823a-b1b0-4d2f-9dc7-2c18ed37a548</errorID>
      <errorWord>)</errorWord>
      <group>L1_Format</group>
      <groupName>格式问题</groupName>
      <ability>L2_HalfPunc</ability>
      <abilityName>全半角检查</abilityName>
      <candidateList>
        <item>）</item>
      </candidateList>
      <explain>文本全半角错误。</explain>
      <paraID>772C6905</paraID>
      <start>14</start>
      <end>15</end>
      <status>unmodified</status>
      <modifiedWord/>
      <trackRevisions>false</trackRevisions>
    </reviewItem>
    <reviewItem>
      <errorID>7b25f6ae-4cba-453b-886b-2302666c74f8</errorID>
      <errorWord>~</errorWord>
      <group>L1_Format</group>
      <groupName>格式问题</groupName>
      <ability>L2_HalfPunc</ability>
      <abilityName>全半角检查</abilityName>
      <candidateList>
        <item>～</item>
      </candidateList>
      <explain>文本全半角错误。</explain>
      <paraID>14D5D5FB</paraID>
      <start>120</start>
      <end>121</end>
      <status>unmodified</status>
      <modifiedWord/>
      <trackRevisions>false</trackRevisions>
    </reviewItem>
    <reviewItem>
      <errorID>f0792c29-fd66-44f4-a068-a7f8d6469618</errorID>
      <errorWord>拖褶</errorWord>
      <group>L1_Word</group>
      <groupName>字词问题</groupName>
      <ability>L2_Typo</ability>
      <abilityName>字词错误</abilityName>
      <candidateList>
        <item>皱褶</item>
      </candidateList>
      <explain/>
      <paraID>14D5D5FB</paraID>
      <start>149</start>
      <end>151</end>
      <status>unmodified</status>
      <modifiedWord/>
      <trackRevisions>false</trackRevisions>
    </reviewItem>
    <reviewItem>
      <errorID>16f91faf-bef6-458a-a51b-bb77dd1daf51</errorID>
      <errorWord>二大类</errorWord>
      <group>L1_Word</group>
      <groupName>字词问题</groupName>
      <ability>L2_Typo</ability>
      <abilityName>字词错误</abilityName>
      <candidateList>
        <item>两大类</item>
      </candidateList>
      <explain/>
      <paraID>313DE177</paraID>
      <start>53</start>
      <end>56</end>
      <status>modified</status>
      <modifiedWord>两大类</modifiedWord>
      <trackRevisions>false</trackRevisions>
    </reviewItem>
    <reviewItem>
      <errorID>9c51d7b0-8b32-4beb-b35b-0b732dd249f6</errorID>
      <errorWord>(</errorWord>
      <group>L1_Format</group>
      <groupName>格式问题</groupName>
      <ability>L2_HalfPunc</ability>
      <abilityName>全半角检查</abilityName>
      <candidateList>
        <item>（</item>
      </candidateList>
      <explain>文本全半角错误。</explain>
      <paraID>7ACD9A8E</paraID>
      <start>123</start>
      <end>124</end>
      <status>unmodified</status>
      <modifiedWord/>
      <trackRevisions>false</trackRevisions>
    </reviewItem>
    <reviewItem>
      <errorID>55f3ef6d-f305-4300-919b-899e94bb8c9a</errorID>
      <errorWord>)</errorWord>
      <group>L1_Format</group>
      <groupName>格式问题</groupName>
      <ability>L2_HalfPunc</ability>
      <abilityName>全半角检查</abilityName>
      <candidateList>
        <item>）</item>
      </candidateList>
      <explain>文本全半角错误。</explain>
      <paraID>7ACD9A8E</paraID>
      <start>129</start>
      <end>130</end>
      <status>unmodified</status>
      <modifiedWord/>
      <trackRevisions>false</trackRevisions>
    </reviewItem>
    <reviewItem>
      <errorID>5ef1b2ba-01e8-41e1-9080-71a54beef455</errorID>
      <errorWord>主要的生活和工业用水以地表水为主</errorWord>
      <group>L1_Grammar</group>
      <groupName>语法问题</groupName>
      <ability>L2_Grammar</ability>
      <abilityName>语法错误</abilityName>
      <candidateList>
        <item>的生活和工业用水以地表水为主</item>
      </candidateList>
      <explain/>
      <paraID>7ACD9A8E</paraID>
      <start>171</start>
      <end>187</end>
      <status>unmodified</status>
      <modifiedWord/>
      <trackRevisions>false</trackRevisions>
    </reviewItem>
    <reviewItem>
      <errorID>d1bd2adc-acfc-4d24-82e5-059bac92c801</errorID>
      <errorWord>分</errorWord>
      <group>L1_Word</group>
      <groupName>字词问题</groupName>
      <ability>L2_Typo</ability>
      <abilityName>字词错误</abilityName>
      <candidateList>
        <item>分为</item>
      </candidateList>
      <explain/>
      <paraID>129030D3</paraID>
      <start>17</start>
      <end>18</end>
      <status>unmodified</status>
      <modifiedWord/>
      <trackRevisions>false</trackRevisions>
    </reviewItem>
    <reviewItem>
      <errorID>8a9ff98a-b3c1-446a-acf1-9984fee8a66f</errorID>
      <errorWord>二大类</errorWord>
      <group>L1_Word</group>
      <groupName>字词问题</groupName>
      <ability>L2_Typo</ability>
      <abilityName>字词错误</abilityName>
      <candidateList>
        <item>两大类</item>
      </candidateList>
      <explain/>
      <paraID>129030D3</paraID>
      <start>35</start>
      <end>38</end>
      <status>modified</status>
      <modifiedWord>两大类</modifiedWord>
      <trackRevisions>false</trackRevisions>
    </reviewItem>
    <reviewItem>
      <errorID>17064056-9392-4b30-bd5a-1f2994baaefd</errorID>
      <errorWord>~</errorWord>
      <group>L1_Format</group>
      <groupName>格式问题</groupName>
      <ability>L2_HalfPunc</ability>
      <abilityName>全半角检查</abilityName>
      <candidateList>
        <item>～</item>
      </candidateList>
      <explain>文本全半角错误。</explain>
      <paraID>5F1BC552</paraID>
      <start>54</start>
      <end>55</end>
      <status>unmodified</status>
      <modifiedWord/>
      <trackRevisions>false</trackRevisions>
    </reviewItem>
    <reviewItem>
      <errorID>358877d6-ff91-4425-8a7a-4ddaf1872aed</errorID>
      <errorWord>~</errorWord>
      <group>L1_Format</group>
      <groupName>格式问题</groupName>
      <ability>L2_HalfPunc</ability>
      <abilityName>全半角检查</abilityName>
      <candidateList>
        <item>～</item>
      </candidateList>
      <explain>文本全半角错误。</explain>
      <paraID>31388849</paraID>
      <start>145</start>
      <end>146</end>
      <status>unmodified</status>
      <modifiedWord/>
      <trackRevisions>false</trackRevisions>
    </reviewItem>
    <reviewItem>
      <errorID>fd71bf27-645c-40d7-9e5c-b2e1e556ee78</errorID>
      <errorWord>：</errorWord>
      <group>L1_Format</group>
      <groupName>格式问题</groupName>
      <ability>L2_HalfPunc</ability>
      <abilityName>全半角检查</abilityName>
      <candidateList>
        <item>:</item>
      </candidateList>
      <explain>文本全半角错误。</explain>
      <paraID>4671CD9D</paraID>
      <start>56</start>
      <end>57</end>
      <status>unmodified</status>
      <modifiedWord/>
      <trackRevisions>false</trackRevisions>
    </reviewItem>
    <reviewItem>
      <errorID>fc75d1e0-692c-4c22-8505-5a0b073348b7</errorID>
      <errorWord>主要为陇状低丘地貌为主</errorWord>
      <group>L1_Grammar</group>
      <groupName>语法问题</groupName>
      <ability>L2_Grammar</ability>
      <abilityName>语法错误</abilityName>
      <candidateList>
        <item>为陇状低丘地貌为主</item>
      </candidateList>
      <explain/>
      <paraID>62C1A916</paraID>
      <start>50</start>
      <end>61</end>
      <status>unmodified</status>
      <modifiedWord/>
      <trackRevisions>false</trackRevisions>
    </reviewItem>
    <reviewItem>
      <errorID>184c59da-9992-4bfe-a7a2-f3e23ce45bd8</errorID>
      <errorWord>：</errorWord>
      <group>L1_Format</group>
      <groupName>格式问题</groupName>
      <ability>L2_HalfPunc</ability>
      <abilityName>全半角检查</abilityName>
      <candidateList>
        <item>:</item>
      </candidateList>
      <explain>文本全半角错误。</explain>
      <paraID>62C1A916</paraID>
      <start>96</start>
      <end>97</end>
      <status>unmodified</status>
      <modifiedWord/>
      <trackRevisions>false</trackRevisions>
    </reviewItem>
    <reviewItem>
      <errorID>3e787003-64bb-4faf-bfc2-0911eadcf9a9</errorID>
      <errorWord>布</errorWord>
      <group>L1_Word</group>
      <groupName>字词问题</groupName>
      <ability>L2_Typo</ability>
      <abilityName>字词错误</abilityName>
      <candidateList>
        <item>布在</item>
      </candidateList>
      <explain/>
      <paraID>29BA9C97</paraID>
      <start>11</start>
      <end>12</end>
      <status>unmodified</status>
      <modifiedWord/>
      <trackRevisions>false</trackRevisions>
    </reviewItem>
    <reviewItem>
      <errorID>5a3e4cfd-2621-43a8-9c9d-151d39816466</errorID>
      <errorWord>(</errorWord>
      <group>L1_Format</group>
      <groupName>格式问题</groupName>
      <ability>L2_HalfPunc</ability>
      <abilityName>全半角检查</abilityName>
      <candidateList>
        <item>（</item>
      </candidateList>
      <explain>文本全半角错误。</explain>
      <paraID>5114A441</paraID>
      <start>37</start>
      <end>38</end>
      <status>unmodified</status>
      <modifiedWord/>
      <trackRevisions>false</trackRevisions>
    </reviewItem>
    <reviewItem>
      <errorID>4cb8061d-074f-48ba-b26c-46fed7788a38</errorID>
      <errorWord>)</errorWord>
      <group>L1_Format</group>
      <groupName>格式问题</groupName>
      <ability>L2_HalfPunc</ability>
      <abilityName>全半角检查</abilityName>
      <candidateList>
        <item>）</item>
      </candidateList>
      <explain>文本全半角错误。</explain>
      <paraID>5114A441</paraID>
      <start>46</start>
      <end>47</end>
      <status>unmodified</status>
      <modifiedWord/>
      <trackRevisions>false</trackRevisions>
    </reviewItem>
    <reviewItem>
      <errorID>eed623f4-2f3f-426f-85b5-dcbda3fe6ee7</errorID>
      <errorWord>(</errorWord>
      <group>L1_Format</group>
      <groupName>格式问题</groupName>
      <ability>L2_HalfPunc</ability>
      <abilityName>全半角检查</abilityName>
      <candidateList>
        <item>（</item>
      </candidateList>
      <explain>文本全半角错误。</explain>
      <paraID>5114A441</paraID>
      <start>53</start>
      <end>54</end>
      <status>unmodified</status>
      <modifiedWord/>
      <trackRevisions>false</trackRevisions>
    </reviewItem>
    <reviewItem>
      <errorID>23b3432e-8bae-467f-bf4b-6820c87c9d64</errorID>
      <errorWord>)</errorWord>
      <group>L1_Format</group>
      <groupName>格式问题</groupName>
      <ability>L2_HalfPunc</ability>
      <abilityName>全半角检查</abilityName>
      <candidateList>
        <item>）</item>
      </candidateList>
      <explain>文本全半角错误。</explain>
      <paraID>5114A441</paraID>
      <start>60</start>
      <end>61</end>
      <status>unmodified</status>
      <modifiedWord/>
      <trackRevisions>false</trackRevisions>
    </reviewItem>
    <reviewItem>
      <errorID>d8971c83-aeeb-4d57-8b49-71ac2eb60dff</errorID>
      <errorWord>(</errorWord>
      <group>L1_Format</group>
      <groupName>格式问题</groupName>
      <ability>L2_HalfPunc</ability>
      <abilityName>全半角检查</abilityName>
      <candidateList>
        <item>（</item>
      </candidateList>
      <explain>文本全半角错误。</explain>
      <paraID>3633085A</paraID>
      <start>225</start>
      <end>226</end>
      <status>unmodified</status>
      <modifiedWord/>
      <trackRevisions>false</trackRevisions>
    </reviewItem>
    <reviewItem>
      <errorID>388dc5da-397a-4579-b7a0-92b7dbaacef7</errorID>
      <errorWord>)</errorWord>
      <group>L1_Format</group>
      <groupName>格式问题</groupName>
      <ability>L2_HalfPunc</ability>
      <abilityName>全半角检查</abilityName>
      <candidateList>
        <item>）</item>
      </candidateList>
      <explain>文本全半角错误。</explain>
      <paraID>3633085A</paraID>
      <start>237</start>
      <end>238</end>
      <status>unmodified</status>
      <modifiedWord/>
      <trackRevisions>false</trackRevisions>
    </reviewItem>
    <reviewItem>
      <errorID>fbd3737d-6da1-4950-ad8b-6680c0735e90</errorID>
      <errorWord>5～10％</errorWord>
      <group>L1_Knowledge</group>
      <groupName>知识性问题</groupName>
      <ability>L2_Knowledge</ability>
      <abilityName>其他知识</abilityName>
      <candidateList>
        <item>5％～10％</item>
      </candidateList>
      <explain>1. “5～10％”中的单位“％”仅出现在后一个数字上，容易引起歧义；根据《现代汉语标点符号数字用法规范手册》，数字表示范围两边需要使用统一的格式。2. 根据标点国标 4.13 中的规则，数字、时间或地域连接符应使用（视觉上更长的）“—”或“～”。</explain>
      <paraID>3633085A</paraID>
      <start>262</start>
      <end>267</end>
      <status>unmodified</status>
      <modifiedWord/>
      <trackRevisions>false</trackRevisions>
    </reviewItem>
    <reviewItem>
      <errorID>aa2252c0-dafb-4c75-8de1-661d0d39c6d8</errorID>
      <errorWord>(</errorWord>
      <group>L1_Format</group>
      <groupName>格式问题</groupName>
      <ability>L2_HalfPunc</ability>
      <abilityName>全半角检查</abilityName>
      <candidateList>
        <item>（</item>
      </candidateList>
      <explain>文本全半角错误。</explain>
      <paraID>3633085A</paraID>
      <start>277</start>
      <end>278</end>
      <status>unmodified</status>
      <modifiedWord/>
      <trackRevisions>false</trackRevisions>
    </reviewItem>
    <reviewItem>
      <errorID>9886fe94-cc9b-474a-a868-25c8a2e5be12</errorID>
      <errorWord>)</errorWord>
      <group>L1_Format</group>
      <groupName>格式问题</groupName>
      <ability>L2_HalfPunc</ability>
      <abilityName>全半角检查</abilityName>
      <candidateList>
        <item>）</item>
      </candidateList>
      <explain>文本全半角错误。</explain>
      <paraID>3633085A</paraID>
      <start>285</start>
      <end>286</end>
      <status>unmodified</status>
      <modifiedWord/>
      <trackRevisions>false</trackRevisions>
    </reviewItem>
    <reviewItem>
      <errorID>7c2d98d0-75ac-4ff5-bd4f-ad20b73c9e4f</errorID>
      <errorWord>93—98％</errorWord>
      <group>L1_Knowledge</group>
      <groupName>知识性问题</groupName>
      <ability>L2_Knowledge</ability>
      <abilityName>其他知识</abilityName>
      <candidateList>
        <item>93％—98％</item>
      </candidateList>
      <explain>1. “93—98％”中的单位“％”仅出现在后一个数字上，容易引起歧义；根据《现代汉语标点符号数字用法规范手册》，数字表示范围两边需要使用统一的格式。2. 根据标点国标 4.13 中的规则，数字、时间或地域连接符应使用（视觉上更长的）“—”或“～”。</explain>
      <paraID>3633085A</paraID>
      <start>308</start>
      <end>314</end>
      <status>unmodified</status>
      <modifiedWord/>
      <trackRevisions>false</trackRevisions>
    </reviewItem>
    <reviewItem>
      <errorID>80486ebe-775c-4d3e-8690-069ac76b6691</errorID>
      <errorWord>风况</errorWord>
      <group>L1_Word</group>
      <groupName>字词问题</groupName>
      <ability>L2_Typo</ability>
      <abilityName>字词错误</abilityName>
      <candidateList>
        <item>风险</item>
      </candidateList>
      <explain>〈名〉可能发生的危险：担～｜冒着～去搞试验。</explain>
      <paraID>749CD186</paraID>
      <start>0</start>
      <end>2</end>
      <status>unmodified</status>
      <modifiedWord/>
      <trackRevisions>false</trackRevisions>
    </reviewItem>
    <reviewItem>
      <errorID>86d835e6-392a-4f9a-94a4-0f8ce7821138</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7B6DC510</paraID>
      <start>41</start>
      <end>42</end>
      <status>unmodified</status>
      <modifiedWord/>
      <trackRevisions>false</trackRevisions>
    </reviewItem>
    <reviewItem>
      <errorID>ead3d251-1633-4fca-9555-456875f93efb</errorID>
      <errorWord>三月</errorWord>
      <group>L1_Word</group>
      <groupName>字词问题</groupName>
      <ability>L2_Typo</ability>
      <abilityName>字词错误</abilityName>
      <candidateList>
        <item>月</item>
      </candidateList>
      <explain/>
      <paraID>5CAB22E4</paraID>
      <start>23</start>
      <end>25</end>
      <status>unmodified</status>
      <modifiedWord/>
      <trackRevisions>false</trackRevisions>
    </reviewItem>
    <reviewItem>
      <errorID>7b9f95ce-222e-43d0-bfaa-fe4090f79cb4</errorID>
      <errorWord>，</errorWord>
      <group>L1_Word</group>
      <groupName>字词问题</groupName>
      <ability>L2_Typo</ability>
      <abilityName>字词错误</abilityName>
      <candidateList>
        <item>，根</item>
      </candidateList>
      <explain/>
      <paraID>5CAB22E4</paraID>
      <start>29</start>
      <end>30</end>
      <status>unmodified</status>
      <modifiedWord/>
      <trackRevisions>false</trackRevisions>
    </reviewItem>
    <reviewItem>
      <errorID>42bb0816-f20b-42c4-9b4f-fddc17c54f86</errorID>
      <errorWord>~</errorWord>
      <group>L1_Format</group>
      <groupName>格式问题</groupName>
      <ability>L2_HalfPunc</ability>
      <abilityName>全半角检查</abilityName>
      <candidateList>
        <item>～</item>
      </candidateList>
      <explain>文本全半角错误。</explain>
      <paraID>5CAB22E4</paraID>
      <start>52</start>
      <end>53</end>
      <status>unmodified</status>
      <modifiedWord/>
      <trackRevisions>false</trackRevisions>
    </reviewItem>
    <reviewItem>
      <errorID>3834121b-ca74-4b57-9a8a-8c98e2b014ec</errorID>
      <errorWord>-</errorWord>
      <group>L1_Format</group>
      <groupName>格式问题</groupName>
      <ability>L2_HalfPunc</ability>
      <abilityName>全半角检查</abilityName>
      <candidateList>
        <item>－</item>
      </candidateList>
      <explain>文本全半角错误。</explain>
      <paraID>7F2E7041</paraID>
      <start>135</start>
      <end>136</end>
      <status>unmodified</status>
      <modifiedWord/>
      <trackRevisions>false</trackRevisions>
    </reviewItem>
    <reviewItem>
      <errorID>1df6aeb1-06a1-4c99-8547-cb6fa4ef2a67</errorID>
      <errorWord>破外</errorWord>
      <group>L1_Word</group>
      <groupName>字词问题</groupName>
      <ability>L2_Typo</ability>
      <abilityName>字词错误</abilityName>
      <candidateList>
        <item>破坏</item>
      </candidateList>
      <explain>〈动〉❶使建筑物等损坏：～桥梁｜～文物。❷使事物受到损害：～生产｜～名誉。❸变革（社会制度、风俗习惯等）。❹违反（规章、条约等）：～协定｜～规矩。❺（物体的组织或结构）损坏：维生素C因受热而～。</explain>
      <paraID>39CC5B8D</paraID>
      <start>115</start>
      <end>117</end>
      <status>modified</status>
      <modifiedWord>破坏</modifiedWord>
      <trackRevisions>false</trackRevisions>
    </reviewItem>
    <reviewItem>
      <errorID>1517e5a9-ed51-403e-9b0c-5b9e445f14a4</errorID>
      <errorWord>80～90%</errorWord>
      <group>L1_Knowledge</group>
      <groupName>知识性问题</groupName>
      <ability>L2_Knowledge</ability>
      <abilityName>其他知识</abilityName>
      <candidateList>
        <item>80%～90%</item>
      </candidateList>
      <explain>1. “80～90%”中的单位“%”仅出现在后一个数字上，容易引起歧义；根据《现代汉语标点符号数字用法规范手册》，数字表示范围两边需要使用统一的格式。2. 根据标点国标 4.13 中的规则，数字、时间或地域连接符应使用（视觉上更长的）“—”或“～”。</explain>
      <paraID>68F213A3</paraID>
      <start>79</start>
      <end>85</end>
      <status>unmodified</status>
      <modifiedWord/>
      <trackRevisions>false</trackRevisions>
    </reviewItem>
    <reviewItem>
      <errorID>02c783f6-36aa-4cca-8500-0896dc8f4af6</errorID>
      <errorWord>50～60%</errorWord>
      <group>L1_Knowledge</group>
      <groupName>知识性问题</groupName>
      <ability>L2_Knowledge</ability>
      <abilityName>其他知识</abilityName>
      <candidateList>
        <item>50%～60%</item>
      </candidateList>
      <explain>1. “50～60%”中的单位“%”仅出现在后一个数字上，容易引起歧义；根据《现代汉语标点符号数字用法规范手册》，数字表示范围两边需要使用统一的格式。2. 根据标点国标 4.13 中的规则，数字、时间或地域连接符应使用（视觉上更长的）“—”或“～”。</explain>
      <paraID>68F213A3</paraID>
      <start>123</start>
      <end>129</end>
      <status>unmodified</status>
      <modifiedWord/>
      <trackRevisions>false</trackRevisions>
    </reviewItem>
    <reviewItem>
      <errorID>790d0d35-a514-4733-b27d-ab5025320e9f</errorID>
      <errorWord>30～40%</errorWord>
      <group>L1_Knowledge</group>
      <groupName>知识性问题</groupName>
      <ability>L2_Knowledge</ability>
      <abilityName>其他知识</abilityName>
      <candidateList>
        <item>30%～40%</item>
      </candidateList>
      <explain>1. “30～40%”中的单位“%”仅出现在后一个数字上，容易引起歧义；根据《现代汉语标点符号数字用法规范手册》，数字表示范围两边需要使用统一的格式。2. 根据标点国标 4.13 中的规则，数字、时间或地域连接符应使用（视觉上更长的）“—”或“～”。</explain>
      <paraID>68F213A3</paraID>
      <start>156</start>
      <end>162</end>
      <status>unmodified</status>
      <modifiedWord/>
      <trackRevisions>false</trackRevisions>
    </reviewItem>
    <reviewItem>
      <errorID>bb6f6f68-2b62-40b1-914b-5c9b3e4d8125</errorID>
      <errorWord>耳环</errorWord>
      <group>L1_Word</group>
      <groupName>字词问题</groupName>
      <ability>L2_Typo</ability>
      <abilityName>字词错误</abilityName>
      <candidateList>
        <item>耳</item>
      </candidateList>
      <explain/>
      <paraID>402FDC5B</paraID>
      <start>21</start>
      <end>23</end>
      <status>unmodified</status>
      <modifiedWord/>
      <trackRevisions>false</trackRevisions>
    </reviewItem>
    <reviewItem>
      <errorID>f3cf3971-745f-4841-8192-90ea72ce339f</errorID>
      <errorWord>耳环</errorWord>
      <group>L1_Word</group>
      <groupName>字词问题</groupName>
      <ability>L2_Typo</ability>
      <abilityName>字词错误</abilityName>
      <candidateList>
        <item>耳</item>
      </candidateList>
      <explain/>
      <paraID>402FDC5B</paraID>
      <start>113</start>
      <end>115</end>
      <status>unmodified</status>
      <modifiedWord/>
      <trackRevisions>false</trackRevisions>
    </reviewItem>
    <reviewItem>
      <errorID>a7957d5b-0eb1-44be-9465-e6a97f511ffd</errorID>
      <errorWord>(</errorWord>
      <group>L1_Format</group>
      <groupName>格式问题</groupName>
      <ability>L2_HalfPunc</ability>
      <abilityName>全半角检查</abilityName>
      <candidateList>
        <item>（</item>
      </candidateList>
      <explain>文本全半角错误。</explain>
      <paraID>11320E0A</paraID>
      <start>106</start>
      <end>107</end>
      <status>unmodified</status>
      <modifiedWord/>
      <trackRevisions>false</trackRevisions>
    </reviewItem>
    <reviewItem>
      <errorID>9479b54b-550c-4a2d-9bec-3a5ffaab2096</errorID>
      <errorWord>)</errorWord>
      <group>L1_Format</group>
      <groupName>格式问题</groupName>
      <ability>L2_HalfPunc</ability>
      <abilityName>全半角检查</abilityName>
      <candidateList>
        <item>）</item>
      </candidateList>
      <explain>文本全半角错误。</explain>
      <paraID>11320E0A</paraID>
      <start>112</start>
      <end>113</end>
      <status>unmodified</status>
      <modifiedWord/>
      <trackRevisions>false</trackRevisions>
    </reviewItem>
    <reviewItem>
      <errorID>dc93843a-aec2-4fb2-888a-1475944e3d28</errorID>
      <errorWord>主要的生活和工业用水以地表水为主</errorWord>
      <group>L1_Grammar</group>
      <groupName>语法问题</groupName>
      <ability>L2_Grammar</ability>
      <abilityName>语法错误</abilityName>
      <candidateList>
        <item>的生活和工业用水以地表水为主</item>
      </candidateList>
      <explain/>
      <paraID>11320E0A</paraID>
      <start>154</start>
      <end>170</end>
      <status>unmodified</status>
      <modifiedWord/>
      <trackRevisions>false</trackRevisions>
    </reviewItem>
    <reviewItem>
      <errorID>e0030400-6d61-4337-99d2-8739949a768c</errorID>
      <errorWord>(</errorWord>
      <group>L1_Format</group>
      <groupName>格式问题</groupName>
      <ability>L2_HalfPunc</ability>
      <abilityName>全半角检查</abilityName>
      <candidateList>
        <item>（</item>
      </candidateList>
      <explain>文本全半角错误。</explain>
      <paraID>75F09A5F</paraID>
      <start>3</start>
      <end>4</end>
      <status>unmodified</status>
      <modifiedWord/>
      <trackRevisions>false</trackRevisions>
    </reviewItem>
    <reviewItem>
      <errorID>ec877180-eb11-474f-a8a1-8cb5a2720c6a</errorID>
      <errorWord>)</errorWord>
      <group>L1_Format</group>
      <groupName>格式问题</groupName>
      <ability>L2_HalfPunc</ability>
      <abilityName>全半角检查</abilityName>
      <candidateList>
        <item>）</item>
      </candidateList>
      <explain>文本全半角错误。</explain>
      <paraID>75F09A5F</paraID>
      <start>5</start>
      <end>6</end>
      <status>unmodified</status>
      <modifiedWord/>
      <trackRevisions>false</trackRevisions>
    </reviewItem>
    <reviewItem>
      <errorID>6ed613a4-705a-4370-b3a6-f7b3978397ae</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7DBBD319</paraID>
      <start>36</start>
      <end>37</end>
      <status>unmodified</status>
      <modifiedWord/>
      <trackRevisions>false</trackRevisions>
    </reviewItem>
    <reviewItem>
      <errorID>d09aee20-109d-4faf-81c5-fa77189b8455</errorID>
      <errorWord>须赤</errorWord>
      <group>L1_Word</group>
      <groupName>字词问题</groupName>
      <ability>L2_Typo</ability>
      <abilityName>字词错误</abilityName>
      <candidateList>
        <item>赤须</item>
      </candidateList>
      <explain/>
      <paraID>7F83CD07</paraID>
      <start>125</start>
      <end>127</end>
      <status>unmodified</status>
      <modifiedWord/>
      <trackRevisions>false</trackRevisions>
    </reviewItem>
    <reviewItem>
      <errorID>552a7092-695c-4d41-b57f-880df7080a97</errorID>
      <errorWord>资源最</errorWord>
      <group>L1_Word</group>
      <groupName>字词问题</groupName>
      <ability>L2_Typo</ability>
      <abilityName>字词错误</abilityName>
      <candidateList>
        <item>资源量</item>
      </candidateList>
      <explain/>
      <paraID>7F83CD07</paraID>
      <start>223</start>
      <end>226</end>
      <status>unmodified</status>
      <modifiedWord/>
      <trackRevisions>false</trackRevisions>
    </reviewItem>
    <reviewItem>
      <errorID>5f7645a9-6792-4e03-b611-8cd2c6431b5c</errorID>
      <errorWord>2020年02月</errorWord>
      <group>L1_Knowledge</group>
      <groupName>知识性问题</groupName>
      <ability>L2_Time</ability>
      <abilityName>日期时间</abilityName>
      <candidateList>
        <item>2020年2月</item>
      </candidateList>
      <explain>根据日常书写习惯，月份一般会省略前导零。</explain>
      <paraID>37088620</paraID>
      <start>0</start>
      <end>8</end>
      <status>unmodified</status>
      <modifiedWord/>
      <trackRevisions>false</trackRevisions>
    </reviewItem>
    <reviewItem>
      <errorID>6086fbb7-e6b1-44b9-85e0-471adfd9f6ce</errorID>
      <errorWord>范围内</errorWord>
      <group>L1_Word</group>
      <groupName>字词问题</groupName>
      <ability>L2_Typo</ability>
      <abilityName>字词错误</abilityName>
      <candidateList>
        <item>范围</item>
      </candidateList>
      <explain>❶〈名〉周围界限：地区～｜工作～｜活动～｜他们谈话的～很广，涉及政治、科学、文学等各方面。❷〈书〉〈动〉限制；概括：纵横四溢，不可～。</explain>
      <paraID>143231B8</paraID>
      <start>5</start>
      <end>8</end>
      <status>unmodified</status>
      <modifiedWord/>
      <trackRevisions>false</trackRevisions>
    </reviewItem>
    <reviewItem>
      <errorID>23418f59-20ae-4b00-9d61-3a852cbe8320</errorID>
      <errorWord>(</errorWord>
      <group>L1_Format</group>
      <groupName>格式问题</groupName>
      <ability>L2_HalfPunc</ability>
      <abilityName>全半角检查</abilityName>
      <candidateList>
        <item>（</item>
      </candidateList>
      <explain>文本全半角错误。</explain>
      <paraID>208A7A0C</paraID>
      <start>0</start>
      <end>1</end>
      <status>unmodified</status>
      <modifiedWord/>
      <trackRevisions>false</trackRevisions>
    </reviewItem>
    <reviewItem>
      <errorID>71637d7d-4ab6-4567-a93e-1edc3fdf64e4</errorID>
      <errorWord>)</errorWord>
      <group>L1_Format</group>
      <groupName>格式问题</groupName>
      <ability>L2_HalfPunc</ability>
      <abilityName>全半角检查</abilityName>
      <candidateList>
        <item>）</item>
      </candidateList>
      <explain>文本全半角错误。</explain>
      <paraID>208A7A0C</paraID>
      <start>3</start>
      <end>4</end>
      <status>unmodified</status>
      <modifiedWord/>
      <trackRevisions>false</trackRevisions>
    </reviewItem>
    <reviewItem>
      <errorID>28f6a149-ef59-4360-9a7c-f8e0c499cee7</errorID>
      <errorWord>（</errorWord>
      <group>L1_Format</group>
      <groupName>格式问题</groupName>
      <ability>L2_HalfPunc</ability>
      <abilityName>全半角检查</abilityName>
      <candidateList>
        <item>(</item>
      </candidateList>
      <explain>文本全半角错误。</explain>
      <paraID>6182B5AF</paraID>
      <start>0</start>
      <end>1</end>
      <status>unmodified</status>
      <modifiedWord/>
      <trackRevisions>false</trackRevisions>
    </reviewItem>
    <reviewItem>
      <errorID>1ee6e6b7-f51d-44ec-be14-fcd9191c767c</errorID>
      <errorWord>；</errorWord>
      <group>L1_Format</group>
      <groupName>格式问题</groupName>
      <ability>L2_HalfPunc</ability>
      <abilityName>全半角检查</abilityName>
      <candidateList>
        <item>;</item>
      </candidateList>
      <explain>文本全半角错误。</explain>
      <paraID>6182B5AF</paraID>
      <start>11</start>
      <end>12</end>
      <status>unmodified</status>
      <modifiedWord/>
      <trackRevisions>false</trackRevisions>
    </reviewItem>
    <reviewItem>
      <errorID>d6260b52-6c04-420e-83d2-c963c5ec68ed</errorID>
      <errorWord>；</errorWord>
      <group>L1_Format</group>
      <groupName>格式问题</groupName>
      <ability>L2_HalfPunc</ability>
      <abilityName>全半角检查</abilityName>
      <candidateList>
        <item>;</item>
      </candidateList>
      <explain>文本全半角错误。</explain>
      <paraID>6182B5AF</paraID>
      <start>22</start>
      <end>23</end>
      <status>unmodified</status>
      <modifiedWord/>
      <trackRevisions>false</trackRevisions>
    </reviewItem>
    <reviewItem>
      <errorID>02fe28eb-3bb6-44f3-bba7-cbf9096049de</errorID>
      <errorWord>；</errorWord>
      <group>L1_Format</group>
      <groupName>格式问题</groupName>
      <ability>L2_HalfPunc</ability>
      <abilityName>全半角检查</abilityName>
      <candidateList>
        <item>;</item>
      </candidateList>
      <explain>文本全半角错误。</explain>
      <paraID>6182B5AF</paraID>
      <start>32</start>
      <end>33</end>
      <status>unmodified</status>
      <modifiedWord/>
      <trackRevisions>false</trackRevisions>
    </reviewItem>
    <reviewItem>
      <errorID>0c68c0bd-de0e-47ab-81d9-cf3e8b357d38</errorID>
      <errorWord>）</errorWord>
      <group>L1_Format</group>
      <groupName>格式问题</groupName>
      <ability>L2_HalfPunc</ability>
      <abilityName>全半角检查</abilityName>
      <candidateList>
        <item>)</item>
      </candidateList>
      <explain>文本全半角错误。</explain>
      <paraID>6182B5AF</paraID>
      <start>42</start>
      <end>43</end>
      <status>unmodified</status>
      <modifiedWord/>
      <trackRevisions>false</trackRevisions>
    </reviewItem>
    <reviewItem>
      <errorID>8daae86a-c1b3-4f96-ad3e-864d24bca459</errorID>
      <errorWord>，</errorWord>
      <group>L1_Format</group>
      <groupName>格式问题</groupName>
      <ability>L2_HalfPunc</ability>
      <abilityName>全半角检查</abilityName>
      <candidateList>
        <item>,</item>
      </candidateList>
      <explain>文本全半角错误。</explain>
      <paraID>44787581</paraID>
      <start>1</start>
      <end>2</end>
      <status>unmodified</status>
      <modifiedWord/>
      <trackRevisions>false</trackRevisions>
    </reviewItem>
    <reviewItem>
      <errorID>15a73e9a-d427-48ea-9a18-b1499a7259f5</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18AD7AD4</paraID>
      <start>0</start>
      <end>2</end>
      <status>unmodified</status>
      <modifiedWord/>
      <trackRevisions>false</trackRevisions>
    </reviewItem>
    <reviewItem>
      <errorID>8b2454ba-0406-4dd7-af18-9af4a45fb89a</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28E9EA2F</paraID>
      <start>0</start>
      <end>2</end>
      <status>unmodified</status>
      <modifiedWord/>
      <trackRevisions>false</trackRevisions>
    </reviewItem>
    <reviewItem>
      <errorID>5af9765c-ba0c-46a0-b807-ef048a89aad0</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4972E45E</paraID>
      <start>0</start>
      <end>2</end>
      <status>unmodified</status>
      <modifiedWord/>
      <trackRevisions>false</trackRevisions>
    </reviewItem>
    <reviewItem>
      <errorID>e91ae5d0-4cbe-455c-8c7f-03047b201324</errorID>
      <errorWord>(</errorWord>
      <group>L1_Format</group>
      <groupName>格式问题</groupName>
      <ability>L2_HalfPunc</ability>
      <abilityName>全半角检查</abilityName>
      <candidateList>
        <item>（</item>
      </candidateList>
      <explain>文本全半角错误。</explain>
      <paraID>3603EC34</paraID>
      <start>110</start>
      <end>111</end>
      <status>unmodified</status>
      <modifiedWord/>
      <trackRevisions>false</trackRevisions>
    </reviewItem>
    <reviewItem>
      <errorID>f488c585-8ce8-4968-b03a-9ee29bbadfd4</errorID>
      <errorWord>)</errorWord>
      <group>L1_Format</group>
      <groupName>格式问题</groupName>
      <ability>L2_HalfPunc</ability>
      <abilityName>全半角检查</abilityName>
      <candidateList>
        <item>）</item>
      </candidateList>
      <explain>文本全半角错误。</explain>
      <paraID>3603EC34</paraID>
      <start>122</start>
      <end>123</end>
      <status>unmodified</status>
      <modifiedWord/>
      <trackRevisions>false</trackRevisions>
    </reviewItem>
    <reviewItem>
      <errorID>b0a84b4a-0577-434f-935e-4fe56f067d1b</errorID>
      <errorWord>（</errorWord>
      <group>L1_Format</group>
      <groupName>格式问题</groupName>
      <ability>L2_HalfPunc</ability>
      <abilityName>全半角检查</abilityName>
      <candidateList>
        <item>(</item>
      </candidateList>
      <explain>文本全半角错误。</explain>
      <paraID>29A9E765</paraID>
      <start>0</start>
      <end>1</end>
      <status>unmodified</status>
      <modifiedWord/>
      <trackRevisions>false</trackRevisions>
    </reviewItem>
    <reviewItem>
      <errorID>10f44a59-7186-41a8-a11b-0522a69bf224</errorID>
      <errorWord>）</errorWord>
      <group>L1_Format</group>
      <groupName>格式问题</groupName>
      <ability>L2_HalfPunc</ability>
      <abilityName>全半角检查</abilityName>
      <candidateList>
        <item>)</item>
      </candidateList>
      <explain>文本全半角错误。</explain>
      <paraID>29A9E765</paraID>
      <start>6</start>
      <end>7</end>
      <status>unmodified</status>
      <modifiedWord/>
      <trackRevisions>false</trackRevisions>
    </reviewItem>
    <reviewItem>
      <errorID>f442b52d-06b9-462c-a883-67d02f3c64f1</errorID>
      <errorWord>（</errorWord>
      <group>L1_Format</group>
      <groupName>格式问题</groupName>
      <ability>L2_HalfPunc</ability>
      <abilityName>全半角检查</abilityName>
      <candidateList>
        <item>(</item>
      </candidateList>
      <explain>文本全半角错误。</explain>
      <paraID> 1E3D47E</paraID>
      <start>0</start>
      <end>1</end>
      <status>unmodified</status>
      <modifiedWord/>
      <trackRevisions>false</trackRevisions>
    </reviewItem>
    <reviewItem>
      <errorID>3ddcac3a-b595-49e7-b4ab-1cca2f45cb1d</errorID>
      <errorWord>）</errorWord>
      <group>L1_Format</group>
      <groupName>格式问题</groupName>
      <ability>L2_HalfPunc</ability>
      <abilityName>全半角检查</abilityName>
      <candidateList>
        <item>)</item>
      </candidateList>
      <explain>文本全半角错误。</explain>
      <paraID> 1E3D47E</paraID>
      <start>6</start>
      <end>7</end>
      <status>unmodified</status>
      <modifiedWord/>
      <trackRevisions>false</trackRevisions>
    </reviewItem>
    <reviewItem>
      <errorID>9bef4a09-3879-4b75-8bcf-0212bd402ab6</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735E81D9</paraID>
      <start>0</start>
      <end>2</end>
      <status>unmodified</status>
      <modifiedWord/>
      <trackRevisions>false</trackRevisions>
    </reviewItem>
    <reviewItem>
      <errorID>ebb340c4-72fe-4bcf-b69f-011960094247</errorID>
      <errorWord>12月03日</errorWord>
      <group>L1_Knowledge</group>
      <groupName>知识性问题</groupName>
      <ability>L2_Time</ability>
      <abilityName>日期时间</abilityName>
      <candidateList>
        <item>12月3日</item>
      </candidateList>
      <explain>根据日常书写习惯，日期一般会省略前导零。</explain>
      <paraID> 6E1F973</paraID>
      <start>27</start>
      <end>33</end>
      <status>unmodified</status>
      <modifiedWord/>
      <trackRevisions>false</trackRevisions>
    </reviewItem>
    <reviewItem>
      <errorID>c56fcbfe-089c-466a-924f-e4fa54d6400e</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1A1EF2B9</paraID>
      <start>0</start>
      <end>2</end>
      <status>unmodified</status>
      <modifiedWord/>
      <trackRevisions>false</trackRevisions>
    </reviewItem>
    <reviewItem>
      <errorID>c8351a35-f4b3-494a-9013-85c1256eceb5</errorID>
      <errorWord>解吸</errorWord>
      <group>L1_Word</group>
      <groupName>字词问题</groupName>
      <ability>L2_Typo</ability>
      <abilityName>字词错误</abilityName>
      <candidateList>
        <item>解析</item>
      </candidateList>
      <explain/>
      <paraID>66A1EB3B</paraID>
      <start>24</start>
      <end>26</end>
      <status>unmodified</status>
      <modifiedWord/>
      <trackRevisions>false</trackRevisions>
    </reviewItem>
    <reviewItem>
      <errorID>2a2d712d-b978-4b36-8876-bea43a80c85e</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6F0CA30C</paraID>
      <start>6</start>
      <end>7</end>
      <status>unmodified</status>
      <modifiedWord/>
      <trackRevisions>false</trackRevisions>
    </reviewItem>
    <reviewItem>
      <errorID>27d6d6f2-308f-442b-9350-84a17d510076</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3EDEE943</paraID>
      <start>0</start>
      <end>2</end>
      <status>unmodified</status>
      <modifiedWord/>
      <trackRevisions>false</trackRevisions>
    </reviewItem>
    <reviewItem>
      <errorID>10cb6aad-56a8-4bbf-a523-7ce05af6368f</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271CE224</paraID>
      <start>0</start>
      <end>2</end>
      <status>unmodified</status>
      <modifiedWord/>
      <trackRevisions>false</trackRevisions>
    </reviewItem>
    <reviewItem>
      <errorID>5b0f04a1-452c-44df-8310-682d9c366a34</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68CB0E9C</paraID>
      <start>0</start>
      <end>2</end>
      <status>unmodified</status>
      <modifiedWord/>
      <trackRevisions>false</trackRevisions>
    </reviewItem>
    <reviewItem>
      <errorID>d155d79f-8939-4062-80b7-8618668e8f27</errorID>
      <errorWord>检测点位</errorWord>
      <group>L1_Knowledge</group>
      <groupName>知识性问题</groupName>
      <ability>L2_Term</ability>
      <abilityName>专业术语</abilityName>
      <candidateList>
        <item>监测点位</item>
      </candidateList>
      <explain/>
      <paraID>5BE635E6</paraID>
      <start>0</start>
      <end>4</end>
      <status>unmodified</status>
      <modifiedWord/>
      <trackRevisions>false</trackRevisions>
    </reviewItem>
    <reviewItem>
      <errorID>f63caf5a-31cd-401d-9970-db1b56592eaa</errorID>
      <errorWord>~</errorWord>
      <group>L1_Format</group>
      <groupName>格式问题</groupName>
      <ability>L2_HalfPunc</ability>
      <abilityName>全半角检查</abilityName>
      <candidateList>
        <item>～</item>
      </candidateList>
      <explain>文本全半角错误。</explain>
      <paraID> 3D66D07</paraID>
      <start>65</start>
      <end>66</end>
      <status>unmodified</status>
      <modifiedWord/>
      <trackRevisions>false</trackRevisions>
    </reviewItem>
    <reviewItem>
      <errorID>0a866bca-88ee-4213-b11a-719d68946f32</errorID>
      <errorWord>检测点位</errorWord>
      <group>L1_Knowledge</group>
      <groupName>知识性问题</groupName>
      <ability>L2_Term</ability>
      <abilityName>专业术语</abilityName>
      <candidateList>
        <item>监测点位</item>
      </candidateList>
      <explain/>
      <paraID>6AAEABA1</paraID>
      <start>0</start>
      <end>4</end>
      <status>unmodified</status>
      <modifiedWord/>
      <trackRevisions>false</trackRevisions>
    </reviewItem>
    <reviewItem>
      <errorID>804bce89-5a4b-487a-9b8b-7e81a1d00385</errorID>
      <errorWord>III类</errorWord>
      <group>L1_Knowledge</group>
      <groupName>知识性问题</groupName>
      <ability>L2_Knowledge</ability>
      <abilityName>其他知识</abilityName>
      <candidateList>
        <item>Ⅲ类</item>
      </candidateList>
      <explain/>
      <paraID>2EB4C39E</paraID>
      <start>29</start>
      <end>33</end>
      <status>unmodified</status>
      <modifiedWord/>
      <trackRevisions>false</trackRevisions>
    </reviewItem>
    <reviewItem>
      <errorID>6857c61e-e3d2-47d8-9443-bcd132b0ffae</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1DF5270E</paraID>
      <start>16</start>
      <end>17</end>
      <status>unmodified</status>
      <modifiedWord/>
      <trackRevisions>false</trackRevisions>
    </reviewItem>
    <reviewItem>
      <errorID>cca8204e-7b26-4e74-b5a7-6e49035832bd</errorID>
      <errorWord>（</errorWord>
      <group>L1_Punc</group>
      <groupName>标点问题</groupName>
      <ability>L2_Punc</ability>
      <abilityName>标点符号检查</abilityName>
      <candidateList>
        <item/>
      </candidateList>
      <explain>同一形式括号套用。</explain>
      <paraID>2B241945</paraID>
      <start>69</start>
      <end>70</end>
      <status>unmodified</status>
      <modifiedWord/>
      <trackRevisions>false</trackRevisions>
    </reviewItem>
    <reviewItem>
      <errorID>0fc0a0ff-ec3c-42d1-a64d-76f125223627</errorID>
      <errorWord>(</errorWord>
      <group>L1_Punc</group>
      <groupName>标点问题</groupName>
      <ability>L2_Punc</ability>
      <abilityName>标点符号检查</abilityName>
      <candidateList/>
      <explain>同一形式括号套用。</explain>
      <paraID>2B241945</paraID>
      <start>77</start>
      <end>78</end>
      <status>unmodified</status>
      <modifiedWord/>
      <trackRevisions>false</trackRevisions>
    </reviewItem>
    <reviewItem>
      <errorID>1033c27c-0d33-4ba3-b1c7-79cdfd1bf333</errorID>
      <errorWord>)</errorWord>
      <group>L1_Punc</group>
      <groupName>标点问题</groupName>
      <ability>L2_Punc</ability>
      <abilityName>标点符号检查</abilityName>
      <candidateList/>
      <explain>同一形式括号套用。</explain>
      <paraID>2B241945</paraID>
      <start>79</start>
      <end>80</end>
      <status>unmodified</status>
      <modifiedWord/>
      <trackRevisions>false</trackRevisions>
    </reviewItem>
    <reviewItem>
      <errorID>6920f3bf-7e8c-4f11-b28b-8a4d0d53c1b9</errorID>
      <errorWord>(</errorWord>
      <group>L1_Punc</group>
      <groupName>标点问题</groupName>
      <ability>L2_Punc</ability>
      <abilityName>标点符号检查</abilityName>
      <candidateList/>
      <explain>同一形式括号套用。</explain>
      <paraID>2B241945</paraID>
      <start>88</start>
      <end>89</end>
      <status>unmodified</status>
      <modifiedWord/>
      <trackRevisions>false</trackRevisions>
    </reviewItem>
    <reviewItem>
      <errorID>38bc1109-af12-4d5c-ae9b-c6f9a5e643fb</errorID>
      <errorWord>)</errorWord>
      <group>L1_Punc</group>
      <groupName>标点问题</groupName>
      <ability>L2_Punc</ability>
      <abilityName>标点符号检查</abilityName>
      <candidateList/>
      <explain>同一形式括号套用。</explain>
      <paraID>2B241945</paraID>
      <start>90</start>
      <end>91</end>
      <status>unmodified</status>
      <modifiedWord/>
      <trackRevisions>false</trackRevisions>
    </reviewItem>
    <reviewItem>
      <errorID>10d95695-1147-46f7-adeb-a8844cfc42a9</errorID>
      <errorWord>）</errorWord>
      <group>L1_Punc</group>
      <groupName>标点问题</groupName>
      <ability>L2_Punc</ability>
      <abilityName>标点符号检查</abilityName>
      <candidateList/>
      <explain>同一形式括号套用。</explain>
      <paraID>2B241945</paraID>
      <start>91</start>
      <end>92</end>
      <status>unmodified</status>
      <modifiedWord/>
      <trackRevisions>false</trackRevisions>
    </reviewItem>
    <reviewItem>
      <errorID>e26ed05c-e89b-43c6-a655-e9ff5d7d8605</errorID>
      <errorWord>（</errorWord>
      <group>L1_Punc</group>
      <groupName>标点问题</groupName>
      <ability>L2_Punc</ability>
      <abilityName>标点符号检查</abilityName>
      <candidateList>
        <item/>
      </candidateList>
      <explain>同一形式括号套用。</explain>
      <paraID>623D24EE</paraID>
      <start>9</start>
      <end>10</end>
      <status>unmodified</status>
      <modifiedWord/>
      <trackRevisions>false</trackRevisions>
    </reviewItem>
    <reviewItem>
      <errorID>93453cb0-61cf-49a0-b553-dfc94cbf2c70</errorID>
      <errorWord>(</errorWord>
      <group>L1_Punc</group>
      <groupName>标点问题</groupName>
      <ability>L2_Punc</ability>
      <abilityName>标点符号检查</abilityName>
      <candidateList/>
      <explain>同一形式括号套用。</explain>
      <paraID>623D24EE</paraID>
      <start>15</start>
      <end>16</end>
      <status>unmodified</status>
      <modifiedWord/>
      <trackRevisions>false</trackRevisions>
    </reviewItem>
    <reviewItem>
      <errorID>3142aafd-e4df-435e-92e2-f79deee19800</errorID>
      <errorWord>)</errorWord>
      <group>L1_Punc</group>
      <groupName>标点问题</groupName>
      <ability>L2_Punc</ability>
      <abilityName>标点符号检查</abilityName>
      <candidateList/>
      <explain>同一形式括号套用。</explain>
      <paraID>623D24EE</paraID>
      <start>17</start>
      <end>18</end>
      <status>unmodified</status>
      <modifiedWord/>
      <trackRevisions>false</trackRevisions>
    </reviewItem>
    <reviewItem>
      <errorID>417ea743-ed49-4ed6-b3b9-00675340636b</errorID>
      <errorWord>）</errorWord>
      <group>L1_Punc</group>
      <groupName>标点问题</groupName>
      <ability>L2_Punc</ability>
      <abilityName>标点符号检查</abilityName>
      <candidateList/>
      <explain>同一形式括号套用。</explain>
      <paraID>623D24EE</paraID>
      <start>18</start>
      <end>19</end>
      <status>unmodified</status>
      <modifiedWord/>
      <trackRevisions>false</trackRevisions>
    </reviewItem>
    <reviewItem>
      <errorID>cb757c40-dc8e-4b3d-b167-23f1922849d1</errorID>
      <errorWord>(</errorWord>
      <group>L1_Format</group>
      <groupName>格式问题</groupName>
      <ability>L2_HalfPunc</ability>
      <abilityName>全半角检查</abilityName>
      <candidateList>
        <item>（</item>
      </candidateList>
      <explain>文本全半角错误。</explain>
      <paraID>2FC2AB37</paraID>
      <start>3</start>
      <end>4</end>
      <status>unmodified</status>
      <modifiedWord/>
      <trackRevisions>false</trackRevisions>
    </reviewItem>
    <reviewItem>
      <errorID>c6dfd4b8-a9b4-4b49-89eb-836fa2970737</errorID>
      <errorWord>)</errorWord>
      <group>L1_Format</group>
      <groupName>格式问题</groupName>
      <ability>L2_HalfPunc</ability>
      <abilityName>全半角检查</abilityName>
      <candidateList>
        <item>）</item>
      </candidateList>
      <explain>文本全半角错误。</explain>
      <paraID>2FC2AB37</paraID>
      <start>11</start>
      <end>12</end>
      <status>unmodified</status>
      <modifiedWord/>
      <trackRevisions>false</trackRevisions>
    </reviewItem>
    <reviewItem>
      <errorID>3669780c-8a30-4157-af99-f5d9c6b3b0d8</errorID>
      <errorWord>记录记录</errorWord>
      <group>L1_Word</group>
      <groupName>字词问题</groupName>
      <ability>L2_Typo</ability>
      <abilityName>字词错误</abilityName>
      <candidateList>
        <item>记录</item>
      </candidateList>
      <explain>❶〈动〉把听到的话或发生的事写下来：～在案。❷〈名〉当场记录下来的材料：会议～。❸〈名〉做记录的人：推举他当～。‖也作纪录。❹同“纪录”▲。</explain>
      <paraID>2FC2AB37</paraID>
      <start>363</start>
      <end>365</end>
      <status>modified</status>
      <modifiedWord>记录</modifiedWord>
      <trackRevisions>false</trackRevisions>
    </reviewItem>
    <reviewItem>
      <errorID>7fcd9c96-1a9a-411c-8dc0-6472ce6289e1</errorID>
      <errorWord>记录记录</errorWord>
      <group>L1_Word</group>
      <groupName>字词问题</groupName>
      <ability>L2_Typo</ability>
      <abilityName>字词错误</abilityName>
      <candidateList>
        <item>记录</item>
      </candidateList>
      <explain>❶〈动〉把听到的话或发生的事写下来：～在案。❷〈名〉当场记录下来的材料：会议～。❸〈名〉做记录的人：推举他当～。‖也作纪录。❹同“纪录”▲。</explain>
      <paraID>74C8D187</paraID>
      <start>50</start>
      <end>52</end>
      <status>modified</status>
      <modifiedWord>记录</modifiedWord>
      <trackRevisions>false</trackRevisions>
    </reviewItem>
    <reviewItem>
      <errorID>e9c7d684-00bc-43d5-bd72-509ab2bdeb08</errorID>
      <errorWord>（</errorWord>
      <group>L1_Format</group>
      <groupName>格式问题</groupName>
      <ability>L2_HalfPunc</ability>
      <abilityName>全半角检查</abilityName>
      <candidateList>
        <item>(</item>
      </candidateList>
      <explain>文本全半角错误。</explain>
      <paraID>66D38DD6</paraID>
      <start>1</start>
      <end>2</end>
      <status>unmodified</status>
      <modifiedWord/>
      <trackRevisions>false</trackRevisions>
    </reviewItem>
    <reviewItem>
      <errorID>31b2a161-cf0c-40e1-aa83-03d22d46ee65</errorID>
      <errorWord>）</errorWord>
      <group>L1_Format</group>
      <groupName>格式问题</groupName>
      <ability>L2_HalfPunc</ability>
      <abilityName>全半角检查</abilityName>
      <candidateList>
        <item>)</item>
      </candidateList>
      <explain>文本全半角错误。</explain>
      <paraID>66D38DD6</paraID>
      <start>7</start>
      <end>8</end>
      <status>unmodified</status>
      <modifiedWord/>
      <trackRevisions>false</trackRevisions>
    </reviewItem>
    <reviewItem>
      <errorID>600117e5-ac57-46d4-bd77-e86a892a0404</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649D67FE</paraID>
      <start>0</start>
      <end>2</end>
      <status>unmodified</status>
      <modifiedWord/>
      <trackRevisions>false</trackRevisions>
    </reviewItem>
    <reviewItem>
      <errorID>1ec9bce1-3070-47b8-9df0-518454c95b4b</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5FC1F41D</paraID>
      <start>0</start>
      <end>2</end>
      <status>unmodified</status>
      <modifiedWord/>
      <trackRevisions>false</trackRevisions>
    </reviewItem>
    <reviewItem>
      <errorID>366e9cea-244d-460d-a52e-ec056ec8239c</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ECA9C98</paraID>
      <start>0</start>
      <end>2</end>
      <status>unmodified</status>
      <modifiedWord/>
      <trackRevisions>false</trackRevisions>
    </reviewItem>
    <reviewItem>
      <errorID>9bed1bcf-c8f1-4ee4-aaa8-882024b69a3e</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73D5180A</paraID>
      <start>0</start>
      <end>2</end>
      <status>unmodified</status>
      <modifiedWord/>
      <trackRevisions>false</trackRevisions>
    </reviewItem>
    <reviewItem>
      <errorID>d9700840-08be-4070-9396-8db5a04c4609</errorID>
      <errorWord>1,</errorWord>
      <group>L1_Format</group>
      <groupName>格式问题</groupName>
      <ability>L2_Ordinal</ability>
      <abilityName>序号格式</abilityName>
      <candidateList>
        <item>1.</item>
      </candidateList>
      <explain>当前序号格式不规范，建议修改为规范格式[1.]。</explain>
      <paraID>2F17BDF0</paraID>
      <start>0</start>
      <end>2</end>
      <status>unmodified</status>
      <modifiedWord/>
      <trackRevisions>false</trackRevisions>
    </reviewItem>
    <reviewItem>
      <errorID>f3e5f1db-82a3-4e46-a2f9-7cea155ecb6b</errorID>
      <errorWord>1,</errorWord>
      <group>L1_Format</group>
      <groupName>格式问题</groupName>
      <ability>L2_Ordinal</ability>
      <abilityName>序号格式</abilityName>
      <candidateList>
        <item>1.</item>
      </candidateList>
      <explain>当前序号格式不规范，建议修改为规范格式[1.]。</explain>
      <paraID>6293318A</paraID>
      <start>0</start>
      <end>2</end>
      <status>unmodified</status>
      <modifiedWord/>
      <trackRevisions>false</trackRevisions>
    </reviewItem>
    <reviewItem>
      <errorID>10df425a-2d69-4e4c-93af-27cda7c65fab</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DFFB0FD</paraID>
      <start>0</start>
      <end>2</end>
      <status>unmodified</status>
      <modifiedWord/>
      <trackRevisions>false</trackRevisions>
    </reviewItem>
    <reviewItem>
      <errorID>2dc2feea-74c9-47b4-8178-7dcd15880bfb</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2FD1B28C</paraID>
      <start>0</start>
      <end>2</end>
      <status>unmodified</status>
      <modifiedWord/>
      <trackRevisions>false</trackRevisions>
    </reviewItem>
    <reviewItem>
      <errorID>743544ac-43e8-4100-a425-abb7933adb69</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15442A53</paraID>
      <start>0</start>
      <end>2</end>
      <status>unmodified</status>
      <modifiedWord/>
      <trackRevisions>false</trackRevisions>
    </reviewItem>
    <reviewItem>
      <errorID>0ed9bbab-1abf-47cf-9eb1-993ed5885a00</errorID>
      <errorWord>1,</errorWord>
      <group>L1_Format</group>
      <groupName>格式问题</groupName>
      <ability>L2_Ordinal</ability>
      <abilityName>序号格式</abilityName>
      <candidateList>
        <item>1.</item>
      </candidateList>
      <explain>当前序号格式不规范，建议修改为规范格式[1.]。</explain>
      <paraID>183E141B</paraID>
      <start>0</start>
      <end>2</end>
      <status>unmodified</status>
      <modifiedWord/>
      <trackRevisions>false</trackRevisions>
    </reviewItem>
    <reviewItem>
      <errorID>3c3d67fc-b467-4cc4-957c-5a5bcca242be</errorID>
      <errorWord>1,</errorWord>
      <group>L1_Format</group>
      <groupName>格式问题</groupName>
      <ability>L2_Ordinal</ability>
      <abilityName>序号格式</abilityName>
      <candidateList>
        <item>1.</item>
      </candidateList>
      <explain>当前序号格式不规范，建议修改为规范格式[1.]。</explain>
      <paraID>43DCEA48</paraID>
      <start>0</start>
      <end>2</end>
      <status>unmodified</status>
      <modifiedWord/>
      <trackRevisions>false</trackRevisions>
    </reviewItem>
    <reviewItem>
      <errorID>63396ad4-1349-4260-b71d-833c6c5ddf81</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6B43C7F9</paraID>
      <start>0</start>
      <end>2</end>
      <status>unmodified</status>
      <modifiedWord/>
      <trackRevisions>false</trackRevisions>
    </reviewItem>
    <reviewItem>
      <errorID>ae223ea1-0197-42b3-b692-e6d0032a29e8</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5BD29429</paraID>
      <start>0</start>
      <end>2</end>
      <status>unmodified</status>
      <modifiedWord/>
      <trackRevisions>false</trackRevisions>
    </reviewItem>
    <reviewItem>
      <errorID>048c6a01-cdc9-4f7f-9747-435903ad6752</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191C1EFF</paraID>
      <start>0</start>
      <end>2</end>
      <status>unmodified</status>
      <modifiedWord/>
      <trackRevisions>false</trackRevisions>
    </reviewItem>
    <reviewItem>
      <errorID>7a78a945-d542-487c-bf45-af7e8d44dd5f</errorID>
      <errorWord>如下</errorWord>
      <group>L1_Word</group>
      <groupName>字词问题</groupName>
      <ability>L2_Typo</ability>
      <abilityName>字词错误</abilityName>
      <candidateList>
        <item>下</item>
      </candidateList>
      <explain>〈动〉趋向动词。用在动词后。❶表示由高处到低处：坐～｜躺～｜传～一道命令。❷表示有空间，能容纳：坐得～｜这个剧场能容～上千人｜这间屋子太小，睡不～六个人。❸表示动作的完成或结果：打～基础｜定～计策｜准备～材料。</explain>
      <paraID>6CCD3423</paraID>
      <start>9</start>
      <end>11</end>
      <status>unmodified</status>
      <modifiedWord/>
      <trackRevisions>false</trackRevisions>
    </reviewItem>
    <reviewItem>
      <errorID>ce753a9d-72bd-47f5-84bf-ec6f53c1ddf1</errorID>
      <errorWord>PH值</errorWord>
      <group>L1_Word</group>
      <groupName>字词问题</groupName>
      <ability>L2_Typo</ability>
      <abilityName>字词错误</abilityName>
      <candidateList>
        <item>pH值</item>
      </candidateList>
      <explain/>
      <paraID>6EC87CDF</paraID>
      <start>0</start>
      <end>3</end>
      <status>unmodified</status>
      <modifiedWord/>
      <trackRevisions>false</trackRevisions>
    </reviewItem>
    <reviewItem>
      <errorID>347a916e-2cd8-4f80-b65c-97de9a330c94</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762BA5FA</paraID>
      <start>0</start>
      <end>2</end>
      <status>unmodified</status>
      <modifiedWord/>
      <trackRevisions>false</trackRevisions>
    </reviewItem>
    <reviewItem>
      <errorID>96502b69-0605-4e7d-bf3d-bf00640a1aa7</errorID>
      <errorWord>容量法</errorWord>
      <group>L1_Knowledge</group>
      <groupName>知识性问题</groupName>
      <ability>L2_Term</ability>
      <abilityName>专业术语</abilityName>
      <candidateList>
        <item>滴定法</item>
      </candidateList>
      <explain>医学名词[容量法]为不规范表述或旧称，其规范书面表述为[滴定法]。</explain>
      <paraID>25425093</paraID>
      <start>9</start>
      <end>12</end>
      <status>unmodified</status>
      <modifiedWord/>
      <trackRevisions>false</trackRevisions>
    </reviewItem>
    <reviewItem>
      <errorID>2a2245a2-477a-4bb2-a919-bd0715d377b9</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530A0864</paraID>
      <start>0</start>
      <end>2</end>
      <status>unmodified</status>
      <modifiedWord/>
      <trackRevisions>false</trackRevisions>
    </reviewItem>
    <reviewItem>
      <errorID>2d84202c-f1b4-4d80-aa5f-91109c74f6be</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525073E7</paraID>
      <start>0</start>
      <end>2</end>
      <status>unmodified</status>
      <modifiedWord/>
      <trackRevisions>false</trackRevisions>
    </reviewItem>
    <reviewItem>
      <errorID>19c86d27-2b3b-4897-bc60-b9050bce435c</errorID>
      <errorWord>如下</errorWord>
      <group>L1_Word</group>
      <groupName>字词问题</groupName>
      <ability>L2_Typo</ability>
      <abilityName>字词错误</abilityName>
      <candidateList>
        <item>下</item>
      </candidateList>
      <explain>〈动〉趋向动词。用在动词后。❶表示由高处到低处：坐～｜躺～｜传～一道命令。❷表示有空间，能容纳：坐得～｜这个剧场能容～上千人｜这间屋子太小，睡不～六个人。❸表示动作的完成或结果：打～基础｜定～计策｜准备～材料。</explain>
      <paraID>66BE2C46</paraID>
      <start>12</start>
      <end>14</end>
      <status>unmodified</status>
      <modifiedWord/>
      <trackRevisions>false</trackRevisions>
    </reviewItem>
    <reviewItem>
      <errorID>bc17d929-f257-4d8a-b40a-958561498d1a</errorID>
      <errorWord>（</errorWord>
      <group>L1_Format</group>
      <groupName>格式问题</groupName>
      <ability>L2_HalfPunc</ability>
      <abilityName>全半角检查</abilityName>
      <candidateList>
        <item>(</item>
      </candidateList>
      <explain>文本全半角错误。</explain>
      <paraID>523BC443</paraID>
      <start>0</start>
      <end>1</end>
      <status>unmodified</status>
      <modifiedWord/>
      <trackRevisions>false</trackRevisions>
    </reviewItem>
    <reviewItem>
      <errorID>98cf2a2e-90cd-4b6a-96d6-2161d6b3c71b</errorID>
      <errorWord>）</errorWord>
      <group>L1_Format</group>
      <groupName>格式问题</groupName>
      <ability>L2_HalfPunc</ability>
      <abilityName>全半角检查</abilityName>
      <candidateList>
        <item>)</item>
      </candidateList>
      <explain>文本全半角错误。</explain>
      <paraID>523BC443</paraID>
      <start>6</start>
      <end>7</end>
      <status>unmodified</status>
      <modifiedWord/>
      <trackRevisions>false</trackRevisions>
    </reviewItem>
    <reviewItem>
      <errorID>fd52d6b4-49c9-4d42-a29c-b26a262c2584</errorID>
      <errorWord>（</errorWord>
      <group>L1_Format</group>
      <groupName>格式问题</groupName>
      <ability>L2_HalfPunc</ability>
      <abilityName>全半角检查</abilityName>
      <candidateList>
        <item>(</item>
      </candidateList>
      <explain>文本全半角错误。</explain>
      <paraID>616DAC51</paraID>
      <start>0</start>
      <end>1</end>
      <status>unmodified</status>
      <modifiedWord/>
      <trackRevisions>false</trackRevisions>
    </reviewItem>
    <reviewItem>
      <errorID>45f09d6e-1109-4810-9669-ef98ce5f5a94</errorID>
      <errorWord>）</errorWord>
      <group>L1_Format</group>
      <groupName>格式问题</groupName>
      <ability>L2_HalfPunc</ability>
      <abilityName>全半角检查</abilityName>
      <candidateList>
        <item>)</item>
      </candidateList>
      <explain>文本全半角错误。</explain>
      <paraID>616DAC51</paraID>
      <start>6</start>
      <end>7</end>
      <status>unmodified</status>
      <modifiedWord/>
      <trackRevisions>false</trackRevisions>
    </reviewItem>
    <reviewItem>
      <errorID>7dc12ec9-2f44-4407-ad17-6c8aebafa678</errorID>
      <errorWord>（</errorWord>
      <group>L1_Format</group>
      <groupName>格式问题</groupName>
      <ability>L2_HalfPunc</ability>
      <abilityName>全半角检查</abilityName>
      <candidateList>
        <item>(</item>
      </candidateList>
      <explain>文本全半角错误。</explain>
      <paraID>2663D689</paraID>
      <start>0</start>
      <end>1</end>
      <status>unmodified</status>
      <modifiedWord/>
      <trackRevisions>false</trackRevisions>
    </reviewItem>
    <reviewItem>
      <errorID>3bbe178e-41ea-48bd-ac43-a0ac83a6ae55</errorID>
      <errorWord>）</errorWord>
      <group>L1_Format</group>
      <groupName>格式问题</groupName>
      <ability>L2_HalfPunc</ability>
      <abilityName>全半角检查</abilityName>
      <candidateList>
        <item>)</item>
      </candidateList>
      <explain>文本全半角错误。</explain>
      <paraID>2663D689</paraID>
      <start>6</start>
      <end>7</end>
      <status>unmodified</status>
      <modifiedWord/>
      <trackRevisions>false</trackRevisions>
    </reviewItem>
    <reviewItem>
      <errorID>32bf45d9-69aa-4db1-b6bd-51ef3e4545af</errorID>
      <errorWord>（</errorWord>
      <group>L1_Format</group>
      <groupName>格式问题</groupName>
      <ability>L2_HalfPunc</ability>
      <abilityName>全半角检查</abilityName>
      <candidateList>
        <item>(</item>
      </candidateList>
      <explain>文本全半角错误。</explain>
      <paraID> 1DEA44C</paraID>
      <start>0</start>
      <end>1</end>
      <status>unmodified</status>
      <modifiedWord/>
      <trackRevisions>false</trackRevisions>
    </reviewItem>
    <reviewItem>
      <errorID>6674f85d-b2b1-4f00-9398-16a04ba5199e</errorID>
      <errorWord>）</errorWord>
      <group>L1_Format</group>
      <groupName>格式问题</groupName>
      <ability>L2_HalfPunc</ability>
      <abilityName>全半角检查</abilityName>
      <candidateList>
        <item>)</item>
      </candidateList>
      <explain>文本全半角错误。</explain>
      <paraID> 1DEA44C</paraID>
      <start>6</start>
      <end>7</end>
      <status>unmodified</status>
      <modifiedWord/>
      <trackRevisions>false</trackRevisions>
    </reviewItem>
    <reviewItem>
      <errorID>7e520cca-73c8-47c4-beb2-b76bc742801c</errorID>
      <errorWord>（</errorWord>
      <group>L1_Format</group>
      <groupName>格式问题</groupName>
      <ability>L2_HalfPunc</ability>
      <abilityName>全半角检查</abilityName>
      <candidateList>
        <item>(</item>
      </candidateList>
      <explain>文本全半角错误。</explain>
      <paraID>266355FA</paraID>
      <start>0</start>
      <end>1</end>
      <status>unmodified</status>
      <modifiedWord/>
      <trackRevisions>false</trackRevisions>
    </reviewItem>
    <reviewItem>
      <errorID>c7b73117-c473-416f-8b1a-41c3e3282c14</errorID>
      <errorWord>）</errorWord>
      <group>L1_Format</group>
      <groupName>格式问题</groupName>
      <ability>L2_HalfPunc</ability>
      <abilityName>全半角检查</abilityName>
      <candidateList>
        <item>)</item>
      </candidateList>
      <explain>文本全半角错误。</explain>
      <paraID>266355FA</paraID>
      <start>6</start>
      <end>7</end>
      <status>unmodified</status>
      <modifiedWord/>
      <trackRevisions>false</trackRevisions>
    </reviewItem>
    <reviewItem>
      <errorID>aa0b2c7d-74cf-41d0-8fdf-bf683921a12f</errorID>
      <errorWord>（</errorWord>
      <group>L1_Format</group>
      <groupName>格式问题</groupName>
      <ability>L2_HalfPunc</ability>
      <abilityName>全半角检查</abilityName>
      <candidateList>
        <item>(</item>
      </candidateList>
      <explain>文本全半角错误。</explain>
      <paraID> E2B970B</paraID>
      <start>0</start>
      <end>1</end>
      <status>unmodified</status>
      <modifiedWord/>
      <trackRevisions>false</trackRevisions>
    </reviewItem>
    <reviewItem>
      <errorID>7fd43fe9-1163-4c40-9d6a-5881e58e1ed0</errorID>
      <errorWord>）</errorWord>
      <group>L1_Format</group>
      <groupName>格式问题</groupName>
      <ability>L2_HalfPunc</ability>
      <abilityName>全半角检查</abilityName>
      <candidateList>
        <item>)</item>
      </candidateList>
      <explain>文本全半角错误。</explain>
      <paraID> E2B970B</paraID>
      <start>6</start>
      <end>7</end>
      <status>unmodified</status>
      <modifiedWord/>
      <trackRevisions>false</trackRevisions>
    </reviewItem>
    <reviewItem>
      <errorID>db3c503a-d9be-48e6-af14-519fe4883f33</errorID>
      <errorWord>（</errorWord>
      <group>L1_Format</group>
      <groupName>格式问题</groupName>
      <ability>L2_HalfPunc</ability>
      <abilityName>全半角检查</abilityName>
      <candidateList>
        <item>(</item>
      </candidateList>
      <explain>文本全半角错误。</explain>
      <paraID>5A448012</paraID>
      <start>0</start>
      <end>1</end>
      <status>unmodified</status>
      <modifiedWord/>
      <trackRevisions>false</trackRevisions>
    </reviewItem>
    <reviewItem>
      <errorID>55fbbedc-2c1e-433e-810b-20656fa164a3</errorID>
      <errorWord>）</errorWord>
      <group>L1_Format</group>
      <groupName>格式问题</groupName>
      <ability>L2_HalfPunc</ability>
      <abilityName>全半角检查</abilityName>
      <candidateList>
        <item>)</item>
      </candidateList>
      <explain>文本全半角错误。</explain>
      <paraID>5A448012</paraID>
      <start>6</start>
      <end>7</end>
      <status>unmodified</status>
      <modifiedWord/>
      <trackRevisions>false</trackRevisions>
    </reviewItem>
    <reviewItem>
      <errorID>61f11d56-277c-406e-94fe-7a5462812ebd</errorID>
      <errorWord>（</errorWord>
      <group>L1_Format</group>
      <groupName>格式问题</groupName>
      <ability>L2_HalfPunc</ability>
      <abilityName>全半角检查</abilityName>
      <candidateList>
        <item>(</item>
      </candidateList>
      <explain>文本全半角错误。</explain>
      <paraID>4D3ADB14</paraID>
      <start>0</start>
      <end>1</end>
      <status>unmodified</status>
      <modifiedWord/>
      <trackRevisions>false</trackRevisions>
    </reviewItem>
    <reviewItem>
      <errorID>99baa50d-5287-44cc-ae0c-9920c030d9b2</errorID>
      <errorWord>）</errorWord>
      <group>L1_Format</group>
      <groupName>格式问题</groupName>
      <ability>L2_HalfPunc</ability>
      <abilityName>全半角检查</abilityName>
      <candidateList>
        <item>)</item>
      </candidateList>
      <explain>文本全半角错误。</explain>
      <paraID>4D3ADB14</paraID>
      <start>6</start>
      <end>7</end>
      <status>unmodified</status>
      <modifiedWord/>
      <trackRevisions>false</trackRevisions>
    </reviewItem>
    <reviewItem>
      <errorID>05426b2d-4465-4bcf-9914-b0b08ade79c0</errorID>
      <errorWord>（</errorWord>
      <group>L1_Format</group>
      <groupName>格式问题</groupName>
      <ability>L2_HalfPunc</ability>
      <abilityName>全半角检查</abilityName>
      <candidateList>
        <item>(</item>
      </candidateList>
      <explain>文本全半角错误。</explain>
      <paraID>1BD79F97</paraID>
      <start>0</start>
      <end>1</end>
      <status>unmodified</status>
      <modifiedWord/>
      <trackRevisions>false</trackRevisions>
    </reviewItem>
    <reviewItem>
      <errorID>15f0bcfb-8ff1-4a55-ad6b-7df2456043e6</errorID>
      <errorWord>）</errorWord>
      <group>L1_Format</group>
      <groupName>格式问题</groupName>
      <ability>L2_HalfPunc</ability>
      <abilityName>全半角检查</abilityName>
      <candidateList>
        <item>)</item>
      </candidateList>
      <explain>文本全半角错误。</explain>
      <paraID>1BD79F97</paraID>
      <start>6</start>
      <end>7</end>
      <status>unmodified</status>
      <modifiedWord/>
      <trackRevisions>false</trackRevisions>
    </reviewItem>
    <reviewItem>
      <errorID>1ea2cff3-559a-4247-90ca-8fb45b463181</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2B232B6A</paraID>
      <start>0</start>
      <end>2</end>
      <status>unmodified</status>
      <modifiedWord/>
      <trackRevisions>false</trackRevisions>
    </reviewItem>
    <reviewItem>
      <errorID>0dfb2fd2-faf5-4c08-b17a-f8416b747304</errorID>
      <errorWord>处</errorWord>
      <group>L1_Word</group>
      <groupName>字词问题</groupName>
      <ability>L2_Typo</ability>
      <abilityName>字词错误</abilityName>
      <candidateList>
        <item>除</item>
      </candidateList>
      <explain/>
      <paraID>173572FE</paraID>
      <start>9</start>
      <end>10</end>
      <status>unmodified</status>
      <modifiedWord/>
      <trackRevisions>false</trackRevisions>
    </reviewItem>
    <reviewItem>
      <errorID>b2bca628-5791-4e56-9bac-0735975f50e8</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49937439</paraID>
      <start>0</start>
      <end>2</end>
      <status>unmodified</status>
      <modifiedWord/>
      <trackRevisions>false</trackRevisions>
    </reviewItem>
    <reviewItem>
      <errorID>e661ad7e-6f7d-434d-87ad-19032cfadc47</errorID>
      <errorWord>端尖</errorWord>
      <group>L1_Word</group>
      <groupName>字词问题</groupName>
      <ability>L2_Typo</ability>
      <abilityName>字词错误</abilityName>
      <candidateList>
        <item>尖端</item>
      </candidateList>
      <explain/>
      <paraID>73378E83</paraID>
      <start>0</start>
      <end>2</end>
      <status>unmodified</status>
      <modifiedWord/>
      <trackRevisions>false</trackRevisions>
    </reviewItem>
    <reviewItem>
      <errorID>bab3f66c-a428-49b9-9676-44b11bb866eb</errorID>
      <errorWord>端尖</errorWord>
      <group>L1_Word</group>
      <groupName>字词问题</groupName>
      <ability>L2_Typo</ability>
      <abilityName>字词错误</abilityName>
      <candidateList>
        <item>尖端</item>
      </candidateList>
      <explain/>
      <paraID>3CFB1E79</paraID>
      <start>0</start>
      <end>2</end>
      <status>unmodified</status>
      <modifiedWord/>
      <trackRevisions>false</trackRevisions>
    </reviewItem>
    <reviewItem>
      <errorID>38e9a52f-ad8b-45e8-b1a2-32c5f80f29ba</errorID>
      <errorWord>端尖</errorWord>
      <group>L1_Word</group>
      <groupName>字词问题</groupName>
      <ability>L2_Typo</ability>
      <abilityName>字词错误</abilityName>
      <candidateList>
        <item>尖端</item>
      </candidateList>
      <explain/>
      <paraID>414B532A</paraID>
      <start>0</start>
      <end>2</end>
      <status>unmodified</status>
      <modifiedWord/>
      <trackRevisions>false</trackRevisions>
    </reviewItem>
    <reviewItem>
      <errorID>ddf1c383-7cd3-4e3b-844d-c7d9de882091</errorID>
      <errorWord>端尖</errorWord>
      <group>L1_Word</group>
      <groupName>字词问题</groupName>
      <ability>L2_Typo</ability>
      <abilityName>字词错误</abilityName>
      <candidateList>
        <item>尖端</item>
      </candidateList>
      <explain/>
      <paraID>2CAA8FC6</paraID>
      <start>0</start>
      <end>2</end>
      <status>unmodified</status>
      <modifiedWord/>
      <trackRevisions>false</trackRevisions>
    </reviewItem>
    <reviewItem>
      <errorID>af13af32-c973-4921-b5db-f360b32a5a10</errorID>
      <errorWord>（</errorWord>
      <group>L1_Format</group>
      <groupName>格式问题</groupName>
      <ability>L2_HalfPunc</ability>
      <abilityName>全半角检查</abilityName>
      <candidateList>
        <item>(</item>
      </candidateList>
      <explain>文本全半角错误。</explain>
      <paraID>288A4A6F</paraID>
      <start>0</start>
      <end>1</end>
      <status>unmodified</status>
      <modifiedWord/>
      <trackRevisions>false</trackRevisions>
    </reviewItem>
    <reviewItem>
      <errorID>59a8d119-bdd7-49d1-b948-ecfa9a7cfef8</errorID>
      <errorWord>）</errorWord>
      <group>L1_Format</group>
      <groupName>格式问题</groupName>
      <ability>L2_HalfPunc</ability>
      <abilityName>全半角检查</abilityName>
      <candidateList>
        <item>)</item>
      </candidateList>
      <explain>文本全半角错误。</explain>
      <paraID>288A4A6F</paraID>
      <start>6</start>
      <end>7</end>
      <status>unmodified</status>
      <modifiedWord/>
      <trackRevisions>false</trackRevisions>
    </reviewItem>
    <reviewItem>
      <errorID>50a87122-bd12-4e97-8f0e-f6f103b0e795</errorID>
      <errorWord>(</errorWord>
      <group>L1_Format</group>
      <groupName>格式问题</groupName>
      <ability>L2_HalfPunc</ability>
      <abilityName>全半角检查</abilityName>
      <candidateList>
        <item>（</item>
      </candidateList>
      <explain>文本全半角错误。</explain>
      <paraID>16CEFDBB</paraID>
      <start>3</start>
      <end>4</end>
      <status>unmodified</status>
      <modifiedWord/>
      <trackRevisions>false</trackRevisions>
    </reviewItem>
    <reviewItem>
      <errorID>4fc81cf1-d7f9-478a-86ba-740ca4a5e84d</errorID>
      <errorWord>)</errorWord>
      <group>L1_Format</group>
      <groupName>格式问题</groupName>
      <ability>L2_HalfPunc</ability>
      <abilityName>全半角检查</abilityName>
      <candidateList>
        <item>）</item>
      </candidateList>
      <explain>文本全半角错误。</explain>
      <paraID>16CEFDBB</paraID>
      <start>8</start>
      <end>9</end>
      <status>unmodified</status>
      <modifiedWord/>
      <trackRevisions>false</trackRevisions>
    </reviewItem>
    <reviewItem>
      <errorID>0dca61fc-603a-4b98-9dd9-18f8a48e347d</errorID>
      <errorWord>脊索动物</errorWord>
      <group>L1_Word</group>
      <groupName>字词问题</groupName>
      <ability>L2_Typo</ability>
      <abilityName>字词错误</abilityName>
      <candidateList>
        <item>脊椎动物</item>
      </candidateList>
      <explain/>
      <paraID> 2B58E93</paraID>
      <start>0</start>
      <end>4</end>
      <status>unmodified</status>
      <modifiedWord/>
      <trackRevisions>false</trackRevisions>
    </reviewItem>
    <reviewItem>
      <errorID>34ef1177-ca11-40c4-8863-2a0aea31d959</errorID>
      <errorWord>脊索动物</errorWord>
      <group>L1_Word</group>
      <groupName>字词问题</groupName>
      <ability>L2_Typo</ability>
      <abilityName>字词错误</abilityName>
      <candidateList>
        <item>脊椎动物</item>
      </candidateList>
      <explain/>
      <paraID>15A897B7</paraID>
      <start>0</start>
      <end>4</end>
      <status>unmodified</status>
      <modifiedWord/>
      <trackRevisions>false</trackRevisions>
    </reviewItem>
    <reviewItem>
      <errorID>bf41d26d-3b89-4714-adab-828b92f615c2</errorID>
      <errorWord>（</errorWord>
      <group>L1_Format</group>
      <groupName>格式问题</groupName>
      <ability>L2_HalfPunc</ability>
      <abilityName>全半角检查</abilityName>
      <candidateList>
        <item>(</item>
      </candidateList>
      <explain>文本全半角错误。</explain>
      <paraID>1190DFD7</paraID>
      <start>0</start>
      <end>1</end>
      <status>unmodified</status>
      <modifiedWord/>
      <trackRevisions>false</trackRevisions>
    </reviewItem>
    <reviewItem>
      <errorID>3dbf8473-f84f-4067-b6f1-0e735934ae9d</errorID>
      <errorWord>）</errorWord>
      <group>L1_Format</group>
      <groupName>格式问题</groupName>
      <ability>L2_HalfPunc</ability>
      <abilityName>全半角检查</abilityName>
      <candidateList>
        <item>)</item>
      </candidateList>
      <explain>文本全半角错误。</explain>
      <paraID>1190DFD7</paraID>
      <start>7</start>
      <end>8</end>
      <status>unmodified</status>
      <modifiedWord/>
      <trackRevisions>false</trackRevisions>
    </reviewItem>
    <reviewItem>
      <errorID>c275f842-8ad2-415e-a6f7-2b3e64c34036</errorID>
      <errorWord>鮋</errorWord>
      <group>L1_Word</group>
      <groupName>字词问题</groupName>
      <ability>L2_Fanti</ability>
      <abilityName>繁转简</abilityName>
      <candidateList>
        <item>鲉</item>
      </candidateList>
      <explain/>
      <paraID> CFA328E</paraID>
      <start>2</start>
      <end>3</end>
      <status>unmodified</status>
      <modifiedWord/>
      <trackRevisions>false</trackRevisions>
    </reviewItem>
    <reviewItem>
      <errorID>0c290573-38a5-48fc-850c-b497721b8b57</errorID>
      <errorWord>有限期</errorWord>
      <group>L1_Word</group>
      <groupName>字词问题</groupName>
      <ability>L2_Typo</ability>
      <abilityName>字词错误</abilityName>
      <candidateList>
        <item>有效期</item>
      </candidateList>
      <explain/>
      <paraID>656CF29C</paraID>
      <start>76</start>
      <end>79</end>
      <status>unmodified</status>
      <modifiedWord/>
      <trackRevisions>false</trackRevisions>
    </reviewItem>
    <reviewItem>
      <errorID>c60d1f7e-9377-4ffa-af6a-24ece02112a8</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41FBE92</paraID>
      <start>0</start>
      <end>2</end>
      <status>unmodified</status>
      <modifiedWord/>
      <trackRevisions>false</trackRevisions>
    </reviewItem>
    <reviewItem>
      <errorID>5054fe95-8022-4099-91b4-d7641faf49be</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22E0DF05</paraID>
      <start>0</start>
      <end>2</end>
      <status>unmodified</status>
      <modifiedWord/>
      <trackRevisions>false</trackRevisions>
    </reviewItem>
    <reviewItem>
      <errorID>04d0ac57-032a-4cdd-a21f-15f429fa9cc5</errorID>
      <errorWord>潮差为</errorWord>
      <group>L1_Word</group>
      <groupName>字词问题</groupName>
      <ability>L2_Typo</ability>
      <abilityName>字词错误</abilityName>
      <candidateList>
        <item>潮差</item>
      </candidateList>
      <explain/>
      <paraID>349083EE</paraID>
      <start>66</start>
      <end>69</end>
      <status>unmodified</status>
      <modifiedWord/>
      <trackRevisions>false</trackRevisions>
    </reviewItem>
    <reviewItem>
      <errorID>81514075-7d3a-4531-b493-221f4209ed5c</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1444997B</paraID>
      <start>0</start>
      <end>2</end>
      <status>unmodified</status>
      <modifiedWord/>
      <trackRevisions>false</trackRevisions>
    </reviewItem>
    <reviewItem>
      <errorID>44e2b6d3-ae58-4737-a2ee-33c019636857</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632497CD</paraID>
      <start>0</start>
      <end>2</end>
      <status>unmodified</status>
      <modifiedWord/>
      <trackRevisions>false</trackRevisions>
    </reviewItem>
    <reviewItem>
      <errorID>5177fcb1-a79a-4fd2-bdee-c452e026bdaf</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511BFB55</paraID>
      <start>17</start>
      <end>18</end>
      <status>unmodified</status>
      <modifiedWord/>
      <trackRevisions>false</trackRevisions>
    </reviewItem>
    <reviewItem>
      <errorID>4c551648-5510-413b-8684-4cdd9b2f9159</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511BFB55</paraID>
      <start>46</start>
      <end>47</end>
      <status>unmodified</status>
      <modifiedWord/>
      <trackRevisions>false</trackRevisions>
    </reviewItem>
    <reviewItem>
      <errorID>f790805a-9ba6-444d-a656-1afe5a6ef94c</errorID>
      <errorWord>&gt;</errorWord>
      <group>L1_Format</group>
      <groupName>格式问题</groupName>
      <ability>L2_HalfPunc</ability>
      <abilityName>全半角检查</abilityName>
      <candidateList>
        <item>〉</item>
      </candidateList>
      <explain>文本全半角错误。</explain>
      <paraID>37ABD831</paraID>
      <start>17</start>
      <end>18</end>
      <status>unmodified</status>
      <modifiedWord/>
      <trackRevisions>false</trackRevisions>
    </reviewItem>
    <reviewItem>
      <errorID>de76fb0b-1cce-465a-bf3c-2fd0fae9562d</errorID>
      <errorWord>&gt;</errorWord>
      <group>L1_Format</group>
      <groupName>格式问题</groupName>
      <ability>L2_HalfPunc</ability>
      <abilityName>全半角检查</abilityName>
      <candidateList>
        <item>〉</item>
      </candidateList>
      <explain>文本全半角错误。</explain>
      <paraID>37ABD831</paraID>
      <start>20</start>
      <end>21</end>
      <status>unmodified</status>
      <modifiedWord/>
      <trackRevisions>false</trackRevisions>
    </reviewItem>
    <reviewItem>
      <errorID>b63d4c94-a77e-45f5-b6fb-7a6e73ded7e3</errorID>
      <errorWord>)</errorWord>
      <group>L1_Format</group>
      <groupName>格式问题</groupName>
      <ability>L2_HalfPunc</ability>
      <abilityName>全半角检查</abilityName>
      <candidateList>
        <item>）</item>
      </candidateList>
      <explain>文本全半角错误。</explain>
      <paraID>537814F8</paraID>
      <start>19</start>
      <end>20</end>
      <status>unmodified</status>
      <modifiedWord/>
      <trackRevisions>false</trackRevisions>
    </reviewItem>
    <reviewItem>
      <errorID>3417703a-4f5f-4aba-a658-0a3677ef27f8</errorID>
      <errorWord>)</errorWord>
      <group>L1_Format</group>
      <groupName>格式问题</groupName>
      <ability>L2_HalfPunc</ability>
      <abilityName>全半角检查</abilityName>
      <candidateList>
        <item>）</item>
      </candidateList>
      <explain>文本全半角错误。</explain>
      <paraID>250C5C52</paraID>
      <start>19</start>
      <end>20</end>
      <status>unmodified</status>
      <modifiedWord/>
      <trackRevisions>false</trackRevisions>
    </reviewItem>
    <reviewItem>
      <errorID>d574303b-e625-4776-be04-a47b11b32d69</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2DE198D6</paraID>
      <start>0</start>
      <end>2</end>
      <status>unmodified</status>
      <modifiedWord/>
      <trackRevisions>false</trackRevisions>
    </reviewItem>
    <reviewItem>
      <errorID>a3b23d1e-7327-4617-9b27-6da9a5e1cd34</errorID>
      <errorWord>临近</errorWord>
      <group>L1_Word</group>
      <groupName>字词问题</groupName>
      <ability>L2_Typo</ability>
      <abilityName>字词错误</abilityName>
      <candidateList>
        <item>邻近</item>
      </candidateList>
      <explain>存在发音相同字词的误用。</explain>
      <paraID>6FF0B917</paraID>
      <start>32</start>
      <end>34</end>
      <status>modified</status>
      <modifiedWord>邻近</modifiedWord>
      <trackRevisions>false</trackRevisions>
    </reviewItem>
    <reviewItem>
      <errorID>d8078ecb-7064-423a-8d3d-b05d3513356a</errorID>
      <errorWord>期</errorWord>
      <group>L1_Word</group>
      <groupName>字词问题</groupName>
      <ability>L2_Typo</ability>
      <abilityName>字词错误</abilityName>
      <candidateList>
        <item>气</item>
      </candidateList>
      <explain/>
      <paraID>680EEFCE</paraID>
      <start>94</start>
      <end>95</end>
      <status>unmodified</status>
      <modifiedWord/>
      <trackRevisions>false</trackRevisions>
    </reviewItem>
    <reviewItem>
      <errorID>da3e4e4c-58a4-483c-bc38-0dce7029611d</errorID>
      <errorWord>~</errorWord>
      <group>L1_Format</group>
      <groupName>格式问题</groupName>
      <ability>L2_HalfPunc</ability>
      <abilityName>全半角检查</abilityName>
      <candidateList>
        <item>～</item>
      </candidateList>
      <explain>文本全半角错误。</explain>
      <paraID>1BE29793</paraID>
      <start>74</start>
      <end>75</end>
      <status>unmodified</status>
      <modifiedWord/>
      <trackRevisions>false</trackRevisions>
    </reviewItem>
    <reviewItem>
      <errorID>bffe173c-f230-47ed-9ae7-c5393184703e</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74136087</paraID>
      <start>0</start>
      <end>2</end>
      <status>unmodified</status>
      <modifiedWord/>
      <trackRevisions>false</trackRevisions>
    </reviewItem>
    <reviewItem>
      <errorID>f17b5ce5-db75-4993-bc90-2e9a596af164</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174C425</paraID>
      <start>0</start>
      <end>2</end>
      <status>unmodified</status>
      <modifiedWord/>
      <trackRevisions>false</trackRevisions>
    </reviewItem>
    <reviewItem>
      <errorID>8a98de7d-46d8-4001-a6a8-d921506bb18b</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3931A44D</paraID>
      <start>0</start>
      <end>2</end>
      <status>unmodified</status>
      <modifiedWord/>
      <trackRevisions>false</trackRevisions>
    </reviewItem>
    <reviewItem>
      <errorID>8f3dd911-79d2-406c-8a3f-b5981bbd9149</errorID>
      <errorWord>主要是</errorWord>
      <group>L1_Word</group>
      <groupName>字词问题</groupName>
      <ability>L2_Typo</ability>
      <abilityName>字词错误</abilityName>
      <candidateList>
        <item>主要</item>
      </candidateList>
      <explain>〈形〉属性词。有关事物中最重要的；起决定作用的：～原因｜～目的｜～人物。</explain>
      <paraID>383EA42B</paraID>
      <start>12</start>
      <end>15</end>
      <status>unmodified</status>
      <modifiedWord/>
      <trackRevisions>false</trackRevisions>
    </reviewItem>
    <reviewItem>
      <errorID>17b24e91-ba01-49d8-87c5-eb09a8852a13</errorID>
      <errorWord>)</errorWord>
      <group>L1_Format</group>
      <groupName>格式问题</groupName>
      <ability>L2_HalfPunc</ability>
      <abilityName>全半角检查</abilityName>
      <candidateList>
        <item>）</item>
      </candidateList>
      <explain>文本全半角错误。</explain>
      <paraID>1DAB3310</paraID>
      <start>17</start>
      <end>18</end>
      <status>unmodified</status>
      <modifiedWord/>
      <trackRevisions>false</trackRevisions>
    </reviewItem>
    <reviewItem>
      <errorID>4c5885e4-e9b3-4e4e-bd89-c1c203333d38</errorID>
      <errorWord>)</errorWord>
      <group>L1_Format</group>
      <groupName>格式问题</groupName>
      <ability>L2_HalfPunc</ability>
      <abilityName>全半角检查</abilityName>
      <candidateList>
        <item>）</item>
      </candidateList>
      <explain>文本全半角错误。</explain>
      <paraID>1DAB3310</paraID>
      <start>36</start>
      <end>37</end>
      <status>unmodified</status>
      <modifiedWord/>
      <trackRevisions>false</trackRevisions>
    </reviewItem>
    <reviewItem>
      <errorID>00088082-9780-4b11-8a07-72794b528592</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5A925737</paraID>
      <start>0</start>
      <end>2</end>
      <status>unmodified</status>
      <modifiedWord/>
      <trackRevisions>false</trackRevisions>
    </reviewItem>
    <reviewItem>
      <errorID>42ef0eaa-26cc-4a8e-a2b7-898c5c90c468</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56B7A3F9</paraID>
      <start>0</start>
      <end>2</end>
      <status>unmodified</status>
      <modifiedWord/>
      <trackRevisions>false</trackRevisions>
    </reviewItem>
    <reviewItem>
      <errorID>5cdbed15-8cbe-433d-95b7-8a403d96ff39</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1B09B06C</paraID>
      <start>0</start>
      <end>2</end>
      <status>unmodified</status>
      <modifiedWord/>
      <trackRevisions>false</trackRevisions>
    </reviewItem>
    <reviewItem>
      <errorID>7640b750-949e-4897-ad36-36cb20438942</errorID>
      <errorWord>主要是</errorWord>
      <group>L1_Word</group>
      <groupName>字词问题</groupName>
      <ability>L2_Typo</ability>
      <abilityName>字词错误</abilityName>
      <candidateList>
        <item>主要</item>
      </candidateList>
      <explain>〈形〉属性词。有关事物中最重要的；起决定作用的：～原因｜～目的｜～人物。</explain>
      <paraID>3EF855CA</paraID>
      <start>5</start>
      <end>8</end>
      <status>unmodified</status>
      <modifiedWord/>
      <trackRevisions>false</trackRevisions>
    </reviewItem>
    <reviewItem>
      <errorID>ada64771-e864-4142-98db-91f2bfa9578d</errorID>
      <errorWord>其中其中</errorWord>
      <group>L1_Word</group>
      <groupName>字词问题</groupName>
      <ability>L2_Typo</ability>
      <abilityName>字词错误</abilityName>
      <candidateList>
        <item>其中</item>
      </candidateList>
      <explain>〈名〉方位词。那里面：不知～奥妙｜气象站一共五个人，～三个是新来的。</explain>
      <paraID>5B98E177</paraID>
      <start>0</start>
      <end>2</end>
      <status>modified</status>
      <modifiedWord>其中</modifiedWord>
      <trackRevisions>false</trackRevisions>
    </reviewItem>
    <reviewItem>
      <errorID>99e8b426-b817-400f-a2a1-a71ec0b42cb1</errorID>
      <errorWord>同步进行种</errorWord>
      <group>L1_Word</group>
      <groupName>字词问题</groupName>
      <ability>L2_Typo</ability>
      <abilityName>字词错误</abilityName>
      <candidateList>
        <item>同步进行</item>
      </candidateList>
      <explain/>
      <paraID>6ADA926E</paraID>
      <start>39</start>
      <end>43</end>
      <status>modified</status>
      <modifiedWord>同步进行</modifiedWord>
      <trackRevisions>false</trackRevisions>
    </reviewItem>
    <reviewItem>
      <errorID>1a25ac22-bb2c-4b8f-8446-0af7ac42e13e</errorID>
      <errorWord>（</errorWord>
      <group>L1_Format</group>
      <groupName>格式问题</groupName>
      <ability>L2_HalfPunc</ability>
      <abilityName>全半角检查</abilityName>
      <candidateList>
        <item>(</item>
      </candidateList>
      <explain>文本全半角错误。</explain>
      <paraID>4F03E38D</paraID>
      <start>9</start>
      <end>10</end>
      <status>unmodified</status>
      <modifiedWord/>
      <trackRevisions>false</trackRevisions>
    </reviewItem>
    <reviewItem>
      <errorID>c6f72442-7a83-4fd1-918f-7e8ce76f4490</errorID>
      <errorWord>）</errorWord>
      <group>L1_Format</group>
      <groupName>格式问题</groupName>
      <ability>L2_HalfPunc</ability>
      <abilityName>全半角检查</abilityName>
      <candidateList>
        <item>)</item>
      </candidateList>
      <explain>文本全半角错误。</explain>
      <paraID>4F03E38D</paraID>
      <start>12</start>
      <end>13</end>
      <status>unmodified</status>
      <modifiedWord/>
      <trackRevisions>false</trackRevisions>
    </reviewItem>
    <reviewItem>
      <errorID>8b1be144-feb4-4a45-ae82-c29ca1888ca5</errorID>
      <errorWord>-</errorWord>
      <group>L1_Format</group>
      <groupName>格式问题</groupName>
      <ability>L2_HalfPunc</ability>
      <abilityName>全半角检查</abilityName>
      <candidateList>
        <item>－</item>
      </candidateList>
      <explain>文本全半角错误。</explain>
      <paraID>1FD0F8AC</paraID>
      <start>88</start>
      <end>89</end>
      <status>unmodified</status>
      <modifiedWord/>
      <trackRevisions>false</trackRevisions>
    </reviewItem>
    <reviewItem>
      <errorID>4b84f6f8-1250-496d-acbb-b255f0d26169</errorID>
      <errorWord>)</errorWord>
      <group>L1_Format</group>
      <groupName>格式问题</groupName>
      <ability>L2_HalfPunc</ability>
      <abilityName>全半角检查</abilityName>
      <candidateList>
        <item>）</item>
      </candidateList>
      <explain>文本全半角错误。</explain>
      <paraID>1FD0F8AC</paraID>
      <start>137</start>
      <end>138</end>
      <status>unmodified</status>
      <modifiedWord/>
      <trackRevisions>false</trackRevisions>
    </reviewItem>
    <reviewItem>
      <errorID>e9a9700e-b279-4af8-9138-e22c0eb70bba</errorID>
      <errorWord>主要以工业区及海域为主</errorWord>
      <group>L1_Grammar</group>
      <groupName>语法问题</groupName>
      <ability>L2_Grammar</ability>
      <abilityName>语法错误</abilityName>
      <candidateList>
        <item>以工业区及海域为主</item>
      </candidateList>
      <explain/>
      <paraID>3B687748</paraID>
      <start>14</start>
      <end>25</end>
      <status>unmodified</status>
      <modifiedWord/>
      <trackRevisions>false</trackRevisions>
    </reviewItem>
    <reviewItem>
      <errorID>3c296a7a-a95b-4fb0-be75-9fad6f093bd1</errorID>
      <errorWord>主要以工业区及海域为主</errorWord>
      <group>L1_Grammar</group>
      <groupName>语法问题</groupName>
      <ability>L2_Grammar</ability>
      <abilityName>语法错误</abilityName>
      <candidateList>
        <item>以工业区及海域为主</item>
      </candidateList>
      <explain/>
      <paraID>21200BCF</paraID>
      <start>28</start>
      <end>39</end>
      <status>unmodified</status>
      <modifiedWord/>
      <trackRevisions>false</trackRevisions>
    </reviewItem>
    <reviewItem>
      <errorID>2f5734cc-d64a-4c14-9e0e-117764814ded</errorID>
      <errorWord>生成周期</errorWord>
      <group>L1_Knowledge</group>
      <groupName>知识性问题</groupName>
      <ability>L2_Term</ability>
      <abilityName>专业术语</abilityName>
      <candidateList>
        <item>生命周期</item>
      </candidateList>
      <explain/>
      <paraID>1563AEA2</paraID>
      <start>110</start>
      <end>114</end>
      <status>unmodified</status>
      <modifiedWord/>
      <trackRevisions>false</trackRevisions>
    </reviewItem>
    <reviewItem>
      <errorID>7ac301ed-6e7c-49ac-9f62-bde1b86b33a6</errorID>
      <errorWord>海拔高度</errorWord>
      <group>L1_Word</group>
      <groupName>字词问题</groupName>
      <ability>L2_Typo</ability>
      <abilityName>字词错误</abilityName>
      <candidateList>
        <item>海拔</item>
      </candidateList>
      <explain>〈名〉从平均海平面起算的高度。</explain>
      <paraID>7A62A7C4</paraID>
      <start>2</start>
      <end>6</end>
      <status>unmodified</status>
      <modifiedWord/>
      <trackRevisions>false</trackRevisions>
    </reviewItem>
    <reviewItem>
      <errorID>97d3fa3a-277d-4b39-865e-edc79959a5b4</errorID>
      <errorWord>(</errorWord>
      <group>L1_Format</group>
      <groupName>格式问题</groupName>
      <ability>L2_HalfPunc</ability>
      <abilityName>全半角检查</abilityName>
      <candidateList>
        <item>（</item>
      </candidateList>
      <explain>文本全半角错误。</explain>
      <paraID>6D565407</paraID>
      <start>18</start>
      <end>19</end>
      <status>unmodified</status>
      <modifiedWord/>
      <trackRevisions>false</trackRevisions>
    </reviewItem>
    <reviewItem>
      <errorID>760b61c6-fa2c-403d-8046-26cdbb2f4e2f</errorID>
      <errorWord>)</errorWord>
      <group>L1_Format</group>
      <groupName>格式问题</groupName>
      <ability>L2_HalfPunc</ability>
      <abilityName>全半角检查</abilityName>
      <candidateList>
        <item>）</item>
      </candidateList>
      <explain>文本全半角错误。</explain>
      <paraID>6D565407</paraID>
      <start>29</start>
      <end>30</end>
      <status>unmodified</status>
      <modifiedWord/>
      <trackRevisions>false</trackRevisions>
    </reviewItem>
    <reviewItem>
      <errorID>504da461-c0ce-466b-8e5b-af6284afb716</errorID>
      <errorWord>(</errorWord>
      <group>L1_Format</group>
      <groupName>格式问题</groupName>
      <ability>L2_HalfPunc</ability>
      <abilityName>全半角检查</abilityName>
      <candidateList>
        <item>（</item>
      </candidateList>
      <explain>文本全半角错误。</explain>
      <paraID>2AA19D56</paraID>
      <start>21</start>
      <end>22</end>
      <status>unmodified</status>
      <modifiedWord/>
      <trackRevisions>false</trackRevisions>
    </reviewItem>
    <reviewItem>
      <errorID>49f31c05-f385-49d6-8b4a-11907e65c90f</errorID>
      <errorWord>)</errorWord>
      <group>L1_Format</group>
      <groupName>格式问题</groupName>
      <ability>L2_HalfPunc</ability>
      <abilityName>全半角检查</abilityName>
      <candidateList>
        <item>）</item>
      </candidateList>
      <explain>文本全半角错误。</explain>
      <paraID>2AA19D56</paraID>
      <start>26</start>
      <end>27</end>
      <status>unmodified</status>
      <modifiedWord/>
      <trackRevisions>false</trackRevisions>
    </reviewItem>
    <reviewItem>
      <errorID>b534f372-1d99-49d8-88fc-bf2bcdb1d587</errorID>
      <errorWord>）</errorWord>
      <group>L1_Word</group>
      <groupName>字词问题</groupName>
      <ability>L2_Typo</ability>
      <abilityName>字词错误</abilityName>
      <candidateList>
        <item>）第</item>
      </candidateList>
      <explain/>
      <paraID>2D41AA89</paraID>
      <start>48</start>
      <end>49</end>
      <status>unmodified</status>
      <modifiedWord/>
      <trackRevisions>false</trackRevisions>
    </reviewItem>
    <reviewItem>
      <errorID>3cd1c53a-416e-4721-8a71-d0a0b156579d</errorID>
      <errorWord>泄露</errorWord>
      <group>L1_Word</group>
      <groupName>字词问题</groupName>
      <ability>L2_Typo</ability>
      <abilityName>字词错误</abilityName>
      <candidateList>
        <item>泄漏</item>
      </candidateList>
      <explain>存在发音相同字词的误用。</explain>
      <paraID>4C747CC4</paraID>
      <start>60</start>
      <end>62</end>
      <status>modified</status>
      <modifiedWord>泄漏</modifiedWord>
      <trackRevisions>false</trackRevisions>
    </reviewItem>
    <reviewItem>
      <errorID>92a95f25-6e4f-4b99-9df5-c048d8bf4d1c</errorID>
      <errorWord>(</errorWord>
      <group>L1_Format</group>
      <groupName>格式问题</groupName>
      <ability>L2_HalfPunc</ability>
      <abilityName>全半角检查</abilityName>
      <candidateList>
        <item>（</item>
      </candidateList>
      <explain>文本全半角错误。</explain>
      <paraID>5569128A</paraID>
      <start>18</start>
      <end>19</end>
      <status>unmodified</status>
      <modifiedWord/>
      <trackRevisions>false</trackRevisions>
    </reviewItem>
    <reviewItem>
      <errorID>e5d413a5-9ebd-4cba-a6a8-f95559d94e9b</errorID>
      <errorWord>)</errorWord>
      <group>L1_Format</group>
      <groupName>格式问题</groupName>
      <ability>L2_HalfPunc</ability>
      <abilityName>全半角检查</abilityName>
      <candidateList>
        <item>）</item>
      </candidateList>
      <explain>文本全半角错误。</explain>
      <paraID>5569128A</paraID>
      <start>29</start>
      <end>30</end>
      <status>unmodified</status>
      <modifiedWord/>
      <trackRevisions>false</trackRevisions>
    </reviewItem>
    <reviewItem>
      <errorID>cbb43ade-155e-4667-b15e-d9607a95e8ef</errorID>
      <errorWord>的的</errorWord>
      <group>L1_Word</group>
      <groupName>字词问题</groupName>
      <ability>L2_Typo</ability>
      <abilityName>字词错误</abilityName>
      <candidateList>
        <item>的</item>
      </candidateList>
      <explain>“的”常用于连接修饰语与名词性中心语，表示属性、所属或描述。</explain>
      <paraID>6A85E008</paraID>
      <start>28</start>
      <end>29</end>
      <status>modified</status>
      <modifiedWord>的</modifiedWord>
      <trackRevisions>false</trackRevisions>
    </reviewItem>
    <reviewItem>
      <errorID>f2220dfa-d72f-47d8-8765-3368711e79a5</errorID>
      <errorWord>（</errorWord>
      <group>L1_Format</group>
      <groupName>格式问题</groupName>
      <ability>L2_HalfPunc</ability>
      <abilityName>全半角检查</abilityName>
      <candidateList>
        <item>(</item>
      </candidateList>
      <explain>文本全半角错误。</explain>
      <paraID>4E8FB9CA</paraID>
      <start>0</start>
      <end>1</end>
      <status>unmodified</status>
      <modifiedWord/>
      <trackRevisions>false</trackRevisions>
    </reviewItem>
    <reviewItem>
      <errorID>617dd083-2a35-42c5-afa9-30f66e3d0241</errorID>
      <errorWord>）</errorWord>
      <group>L1_Format</group>
      <groupName>格式问题</groupName>
      <ability>L2_HalfPunc</ability>
      <abilityName>全半角检查</abilityName>
      <candidateList>
        <item>)</item>
      </candidateList>
      <explain>文本全半角错误。</explain>
      <paraID>4E8FB9CA</paraID>
      <start>2</start>
      <end>3</end>
      <status>unmodified</status>
      <modifiedWord/>
      <trackRevisions>false</trackRevisions>
    </reviewItem>
    <reviewItem>
      <errorID>8eb2772d-eab5-4f67-aadf-2fe2209909ca</errorID>
      <errorWord>酸化油</errorWord>
      <group>L1_Word</group>
      <groupName>字词问题</groupName>
      <ability>L2_Typo</ability>
      <abilityName>字词错误</abilityName>
      <candidateList>
        <item>酸油</item>
      </candidateList>
      <explain/>
      <paraID>308B1C6E</paraID>
      <start>2</start>
      <end>5</end>
      <status>unmodified</status>
      <modifiedWord/>
      <trackRevisions>false</trackRevisions>
    </reviewItem>
    <reviewItem>
      <errorID>3ce4aebf-50bd-461c-bada-e5b0075fc8b0</errorID>
      <errorWord>酸化油</errorWord>
      <group>L1_Word</group>
      <groupName>字词问题</groupName>
      <ability>L2_Typo</ability>
      <abilityName>字词错误</abilityName>
      <candidateList>
        <item>酸油</item>
      </candidateList>
      <explain/>
      <paraID>1AF7E197</paraID>
      <start>2</start>
      <end>5</end>
      <status>unmodified</status>
      <modifiedWord/>
      <trackRevisions>false</trackRevisions>
    </reviewItem>
    <reviewItem>
      <errorID>3d75681a-ef37-4d53-aad3-98a9ae521801</errorID>
      <errorWord>(</errorWord>
      <group>L1_Format</group>
      <groupName>格式问题</groupName>
      <ability>L2_HalfPunc</ability>
      <abilityName>全半角检查</abilityName>
      <candidateList>
        <item>（</item>
      </candidateList>
      <explain>文本全半角错误。</explain>
      <paraID>36AD85FF</paraID>
      <start>13</start>
      <end>14</end>
      <status>unmodified</status>
      <modifiedWord/>
      <trackRevisions>false</trackRevisions>
    </reviewItem>
    <reviewItem>
      <errorID>d4fbda65-8d2c-4a52-b01d-b8ef005e5d4f</errorID>
      <errorWord>)</errorWord>
      <group>L1_Format</group>
      <groupName>格式问题</groupName>
      <ability>L2_HalfPunc</ability>
      <abilityName>全半角检查</abilityName>
      <candidateList>
        <item>）</item>
      </candidateList>
      <explain>文本全半角错误。</explain>
      <paraID>36AD85FF</paraID>
      <start>16</start>
      <end>17</end>
      <status>unmodified</status>
      <modifiedWord/>
      <trackRevisions>false</trackRevisions>
    </reviewItem>
    <reviewItem>
      <errorID>cc64bf37-fe6f-44cc-83f2-22064c79274c</errorID>
      <errorWord>油性组分</errorWord>
      <group>L1_Knowledge</group>
      <groupName>知识性问题</groupName>
      <ability>L2_Term</ability>
      <abilityName>专业术语</abilityName>
      <candidateList>
        <item>活性组分</item>
      </candidateList>
      <explain/>
      <paraID>726ABD8C</paraID>
      <start>10</start>
      <end>14</end>
      <status>unmodified</status>
      <modifiedWord/>
      <trackRevisions>false</trackRevisions>
    </reviewItem>
    <reviewItem>
      <errorID>c6fc9048-1262-4807-987f-274081aac3bc</errorID>
      <errorWord>&gt;</errorWord>
      <group>L1_Punc</group>
      <groupName>标点问题</groupName>
      <ability>L2_Punc</ability>
      <abilityName>标点符号检查</abilityName>
      <candidateList/>
      <explain/>
      <paraID>2237FD8C</paraID>
      <start>0</start>
      <end>1</end>
      <status>unmodified</status>
      <modifiedWord/>
      <trackRevisions>false</trackRevisions>
    </reviewItem>
    <reviewItem>
      <errorID>75de630c-3584-4410-ba2b-7edcddf20174</errorID>
      <errorWord>&gt;</errorWord>
      <group>L1_Punc</group>
      <groupName>标点问题</groupName>
      <ability>L2_Punc</ability>
      <abilityName>标点符号检查</abilityName>
      <candidateList/>
      <explain/>
      <paraID>62724978</paraID>
      <start>0</start>
      <end>1</end>
      <status>unmodified</status>
      <modifiedWord/>
      <trackRevisions>false</trackRevisions>
    </reviewItem>
    <reviewItem>
      <errorID>16e50234-1f8f-43f6-bcd7-0d59ba984b07</errorID>
      <errorWord>&gt;</errorWord>
      <group>L1_Punc</group>
      <groupName>标点问题</groupName>
      <ability>L2_Punc</ability>
      <abilityName>标点符号检查</abilityName>
      <candidateList/>
      <explain/>
      <paraID>156AD73B</paraID>
      <start>0</start>
      <end>1</end>
      <status>unmodified</status>
      <modifiedWord/>
      <trackRevisions>false</trackRevisions>
    </reviewItem>
    <reviewItem>
      <errorID>9fdbaef8-e3c9-4e6b-b70e-0e0f0dd969ab</errorID>
      <errorWord>&gt;</errorWord>
      <group>L1_Punc</group>
      <groupName>标点问题</groupName>
      <ability>L2_Punc</ability>
      <abilityName>标点符号检查</abilityName>
      <candidateList/>
      <explain/>
      <paraID> 6208E52</paraID>
      <start>0</start>
      <end>1</end>
      <status>unmodified</status>
      <modifiedWord/>
      <trackRevisions>false</trackRevisions>
    </reviewItem>
    <reviewItem>
      <errorID>b11e3741-368d-451c-acf3-6fd2e5da2b23</errorID>
      <errorWord>(</errorWord>
      <group>L1_Format</group>
      <groupName>格式问题</groupName>
      <ability>L2_HalfPunc</ability>
      <abilityName>全半角检查</abilityName>
      <candidateList>
        <item>（</item>
      </candidateList>
      <explain>文本全半角错误。</explain>
      <paraID>13D30CD9</paraID>
      <start>3</start>
      <end>4</end>
      <status>unmodified</status>
      <modifiedWord/>
      <trackRevisions>false</trackRevisions>
    </reviewItem>
    <reviewItem>
      <errorID>23fd5152-5c76-4cb1-ba15-5a91f34b67a0</errorID>
      <errorWord>)</errorWord>
      <group>L1_Format</group>
      <groupName>格式问题</groupName>
      <ability>L2_HalfPunc</ability>
      <abilityName>全半角检查</abilityName>
      <candidateList>
        <item>）</item>
      </candidateList>
      <explain>文本全半角错误。</explain>
      <paraID>13D30CD9</paraID>
      <start>15</start>
      <end>16</end>
      <status>unmodified</status>
      <modifiedWord/>
      <trackRevisions>false</trackRevisions>
    </reviewItem>
    <reviewItem>
      <errorID>db0e7360-2481-40ac-9e6a-aa1091312010</errorID>
      <errorWord>(</errorWord>
      <group>L1_Format</group>
      <groupName>格式问题</groupName>
      <ability>L2_HalfPunc</ability>
      <abilityName>全半角检查</abilityName>
      <candidateList>
        <item>（</item>
      </candidateList>
      <explain>文本全半角错误。</explain>
      <paraID>  E37CA0</paraID>
      <start>5</start>
      <end>6</end>
      <status>unmodified</status>
      <modifiedWord/>
      <trackRevisions>false</trackRevisions>
    </reviewItem>
    <reviewItem>
      <errorID>65c1c3c4-64bf-40bd-aabb-8c1fa769259d</errorID>
      <errorWord>)</errorWord>
      <group>L1_Format</group>
      <groupName>格式问题</groupName>
      <ability>L2_HalfPunc</ability>
      <abilityName>全半角检查</abilityName>
      <candidateList>
        <item>）</item>
      </candidateList>
      <explain>文本全半角错误。</explain>
      <paraID>  E37CA0</paraID>
      <start>10</start>
      <end>11</end>
      <status>unmodified</status>
      <modifiedWord/>
      <trackRevisions>false</trackRevisions>
    </reviewItem>
    <reviewItem>
      <errorID>6e831106-bade-4394-94a0-d215a5e6cab7</errorID>
      <errorWord>&gt;</errorWord>
      <group>L1_Punc</group>
      <groupName>标点问题</groupName>
      <ability>L2_Punc</ability>
      <abilityName>标点符号检查</abilityName>
      <candidateList/>
      <explain/>
      <paraID>21386C43</paraID>
      <start>0</start>
      <end>1</end>
      <status>unmodified</status>
      <modifiedWord/>
      <trackRevisions>false</trackRevisions>
    </reviewItem>
    <reviewItem>
      <errorID>6e05ab7c-6a95-418b-a2e9-824bd5a89ddd</errorID>
      <errorWord>(</errorWord>
      <group>L1_Format</group>
      <groupName>格式问题</groupName>
      <ability>L2_HalfPunc</ability>
      <abilityName>全半角检查</abilityName>
      <candidateList>
        <item>（</item>
      </candidateList>
      <explain>文本全半角错误。</explain>
      <paraID>51DD9FCA</paraID>
      <start>3</start>
      <end>4</end>
      <status>unmodified</status>
      <modifiedWord/>
      <trackRevisions>false</trackRevisions>
    </reviewItem>
    <reviewItem>
      <errorID>131bc2c5-5a32-45db-a002-f348c7d43128</errorID>
      <errorWord>)</errorWord>
      <group>L1_Format</group>
      <groupName>格式问题</groupName>
      <ability>L2_HalfPunc</ability>
      <abilityName>全半角检查</abilityName>
      <candidateList>
        <item>）</item>
      </candidateList>
      <explain>文本全半角错误。</explain>
      <paraID>51DD9FCA</paraID>
      <start>9</start>
      <end>10</end>
      <status>unmodified</status>
      <modifiedWord/>
      <trackRevisions>false</trackRevisions>
    </reviewItem>
    <reviewItem>
      <errorID>34c17734-7153-41d7-b201-26fcf753128c</errorID>
      <errorWord>&gt;</errorWord>
      <group>L1_Punc</group>
      <groupName>标点问题</groupName>
      <ability>L2_Punc</ability>
      <abilityName>标点符号检查</abilityName>
      <candidateList/>
      <explain/>
      <paraID>29E20432</paraID>
      <start>0</start>
      <end>1</end>
      <status>unmodified</status>
      <modifiedWord/>
      <trackRevisions>false</trackRevisions>
    </reviewItem>
    <reviewItem>
      <errorID>e5b3d9b7-4795-4d57-a8c4-2592ef18fcdc</errorID>
      <errorWord>(</errorWord>
      <group>L1_Format</group>
      <groupName>格式问题</groupName>
      <ability>L2_HalfPunc</ability>
      <abilityName>全半角检查</abilityName>
      <candidateList>
        <item>（</item>
      </candidateList>
      <explain>文本全半角错误。</explain>
      <paraID>7EF1CC36</paraID>
      <start>3</start>
      <end>4</end>
      <status>unmodified</status>
      <modifiedWord/>
      <trackRevisions>false</trackRevisions>
    </reviewItem>
    <reviewItem>
      <errorID>63f2d145-cea1-4c97-98cb-88087d8b4735</errorID>
      <errorWord>)</errorWord>
      <group>L1_Format</group>
      <groupName>格式问题</groupName>
      <ability>L2_HalfPunc</ability>
      <abilityName>全半角检查</abilityName>
      <candidateList>
        <item>）</item>
      </candidateList>
      <explain>文本全半角错误。</explain>
      <paraID>7EF1CC36</paraID>
      <start>9</start>
      <end>10</end>
      <status>unmodified</status>
      <modifiedWord/>
      <trackRevisions>false</trackRevisions>
    </reviewItem>
    <reviewItem>
      <errorID>44419a88-90ad-481d-864a-d651854567c0</errorID>
      <errorWord>风</errorWord>
      <group>L1_Word</group>
      <groupName>字词问题</groupName>
      <ability>L2_Typo</ability>
      <abilityName>字词错误</abilityName>
      <candidateList>
        <item>风险</item>
      </candidateList>
      <explain>〈名〉可能发生的危险：担～｜冒着～去搞试验。</explain>
      <paraID>56EA2535</paraID>
      <start>6</start>
      <end>7</end>
      <status>unmodified</status>
      <modifiedWord/>
      <trackRevisions>false</trackRevisions>
    </reviewItem>
    <reviewItem>
      <errorID>28c7a041-5f8a-4ad9-8f00-1c1e8475602e</errorID>
      <errorWord>：/</errorWord>
      <group>L1_Punc</group>
      <groupName>标点问题</groupName>
      <ability>L2_Punc</ability>
      <abilityName>标点符号检查</abilityName>
      <candidateList>
        <item>：</item>
      </candidateList>
      <explain/>
      <paraID>6F52FE2B</paraID>
      <start>3</start>
      <end>5</end>
      <status>unmodified</status>
      <modifiedWord/>
      <trackRevisions>false</trackRevisions>
    </reviewItem>
    <reviewItem>
      <errorID>25ce8f15-2ed0-48f9-b1a9-10bf05a80e9e</errorID>
      <errorWord>：/</errorWord>
      <group>L1_Punc</group>
      <groupName>标点问题</groupName>
      <ability>L2_Punc</ability>
      <abilityName>标点符号检查</abilityName>
      <candidateList>
        <item>：</item>
      </candidateList>
      <explain/>
      <paraID>  9680D8</paraID>
      <start>3</start>
      <end>5</end>
      <status>unmodified</status>
      <modifiedWord/>
      <trackRevisions>false</trackRevisions>
    </reviewItem>
    <reviewItem>
      <errorID>fe04eabf-fb8a-440c-afa6-c88b3ac90aca</errorID>
      <errorWord>：/</errorWord>
      <group>L1_Punc</group>
      <groupName>标点问题</groupName>
      <ability>L2_Punc</ability>
      <abilityName>标点符号检查</abilityName>
      <candidateList>
        <item>：</item>
      </candidateList>
      <explain/>
      <paraID>6956D94D</paraID>
      <start>4</start>
      <end>6</end>
      <status>unmodified</status>
      <modifiedWord/>
      <trackRevisions>false</trackRevisions>
    </reviewItem>
    <reviewItem>
      <errorID>bc9774b3-187c-48e3-a2d8-3a761d279de6</errorID>
      <errorWord>：/</errorWord>
      <group>L1_Punc</group>
      <groupName>标点问题</groupName>
      <ability>L2_Punc</ability>
      <abilityName>标点符号检查</abilityName>
      <candidateList>
        <item>：</item>
      </candidateList>
      <explain/>
      <paraID>51E1997B</paraID>
      <start>4</start>
      <end>6</end>
      <status>unmodified</status>
      <modifiedWord/>
      <trackRevisions>false</trackRevisions>
    </reviewItem>
    <reviewItem>
      <errorID>c36e1b6f-a996-45f8-a568-2979aba19cd6</errorID>
      <errorWord>：/</errorWord>
      <group>L1_Punc</group>
      <groupName>标点问题</groupName>
      <ability>L2_Punc</ability>
      <abilityName>标点符号检查</abilityName>
      <candidateList>
        <item>：</item>
      </candidateList>
      <explain/>
      <paraID>27DE5874</paraID>
      <start>9</start>
      <end>11</end>
      <status>unmodified</status>
      <modifiedWord/>
      <trackRevisions>false</trackRevisions>
    </reviewItem>
    <reviewItem>
      <errorID>45a6aa27-f029-437a-ab1d-7ad5ba48058c</errorID>
      <errorWord>：/</errorWord>
      <group>L1_Punc</group>
      <groupName>标点问题</groupName>
      <ability>L2_Punc</ability>
      <abilityName>标点符号检查</abilityName>
      <candidateList>
        <item>：</item>
      </candidateList>
      <explain/>
      <paraID>70BA632D</paraID>
      <start>3</start>
      <end>5</end>
      <status>unmodified</status>
      <modifiedWord/>
      <trackRevisions>false</trackRevisions>
    </reviewItem>
    <reviewItem>
      <errorID>a74b257f-1ca8-4e16-b226-dfc945e15a82</errorID>
      <errorWord>饱和蒸气</errorWord>
      <group>L1_Word</group>
      <groupName>字词问题</groupName>
      <ability>L2_Typo</ability>
      <abilityName>字词错误</abilityName>
      <candidateList>
        <item>饱和蒸汽</item>
      </candidateList>
      <explain/>
      <paraID>6077776D</paraID>
      <start>0</start>
      <end>4</end>
      <status>unmodified</status>
      <modifiedWord/>
      <trackRevisions>false</trackRevisions>
    </reviewItem>
    <reviewItem>
      <errorID>0af37e9b-7da5-46f1-b9d3-e7fae76bce32</errorID>
      <errorWord>沸溅</errorWord>
      <group>L1_Word</group>
      <groupName>字词问题</groupName>
      <ability>L2_Typo</ability>
      <abilityName>字词错误</abilityName>
      <candidateList>
        <item>沸腾</item>
      </candidateList>
      <explain/>
      <paraID>6CF95D87</paraID>
      <start>7</start>
      <end>9</end>
      <status>unmodified</status>
      <modifiedWord/>
      <trackRevisions>false</trackRevisions>
    </reviewItem>
    <reviewItem>
      <errorID>6330adfc-7246-4dc1-81fa-58644fd1062d</errorID>
      <errorWord>：</errorWord>
      <group>L1_Format</group>
      <groupName>格式问题</groupName>
      <ability>L2_HalfPunc</ability>
      <abilityName>全半角检查</abilityName>
      <candidateList>
        <item>:</item>
      </candidateList>
      <explain>文本全半角错误。</explain>
      <paraID> BA63527</paraID>
      <start>38</start>
      <end>39</end>
      <status>unmodified</status>
      <modifiedWord/>
      <trackRevisions>false</trackRevisions>
    </reviewItem>
    <reviewItem>
      <errorID>390b2053-8b5c-4491-96ad-273996b6060d</errorID>
      <errorWord>：</errorWord>
      <group>L1_Format</group>
      <groupName>格式问题</groupName>
      <ability>L2_HalfPunc</ability>
      <abilityName>全半角检查</abilityName>
      <candidateList>
        <item>:</item>
      </candidateList>
      <explain>文本全半角错误。</explain>
      <paraID> AF6FC22</paraID>
      <start>19</start>
      <end>20</end>
      <status>unmodified</status>
      <modifiedWord/>
      <trackRevisions>false</trackRevisions>
    </reviewItem>
    <reviewItem>
      <errorID>b77edd86-3e95-450c-ab8b-9d9eadb6dcf9</errorID>
      <errorWord>咔挫</errorWord>
      <group>L1_Word</group>
      <groupName>字词问题</groupName>
      <ability>L2_Typo</ability>
      <abilityName>字词错误</abilityName>
      <candidateList>
        <item>咔唑</item>
      </candidateList>
      <explain>存在字形相近字词的误用。</explain>
      <paraID>775516D5</paraID>
      <start>15</start>
      <end>17</end>
      <status>unmodified</status>
      <modifiedWord/>
      <trackRevisions>false</trackRevisions>
    </reviewItem>
    <reviewItem>
      <errorID>df25f458-d624-44d0-8efc-ff266c8e2be7</errorID>
      <errorWord>蒸汽压</errorWord>
      <group>L1_Word</group>
      <groupName>字词问题</groupName>
      <ability>L2_Typo</ability>
      <abilityName>字词错误</abilityName>
      <candidateList>
        <item>蒸气压</item>
      </candidateList>
      <explain/>
      <paraID>775516D5</paraID>
      <start>32</start>
      <end>35</end>
      <status>unmodified</status>
      <modifiedWord/>
      <trackRevisions>false</trackRevisions>
    </reviewItem>
    <reviewItem>
      <errorID>e76e93ca-899c-4c20-a43d-a31f1bb53124</errorID>
      <errorWord>砂土</errorWord>
      <group>L1_Word</group>
      <groupName>字词问题</groupName>
      <ability>L2_Typo</ability>
      <abilityName>字词错误</abilityName>
      <candidateList>
        <item>沙土</item>
      </candidateList>
      <explain/>
      <paraID>568E086E</paraID>
      <start>44</start>
      <end>46</end>
      <status>unmodified</status>
      <modifiedWord/>
      <trackRevisions>false</trackRevisions>
    </reviewItem>
    <reviewItem>
      <errorID>addbc037-5ec6-416e-b1f4-b906abddd844</errorID>
      <errorWord>物质</errorWord>
      <group>L1_Word</group>
      <groupName>字词问题</groupName>
      <ability>L2_Typo</ability>
      <abilityName>字词错误</abilityName>
      <candidateList>
        <item>物资</item>
      </candidateList>
      <explain/>
      <paraID>1C05DFAF</paraID>
      <start>4</start>
      <end>6</end>
      <status>unmodified</status>
      <modifiedWord/>
      <trackRevisions>false</trackRevisions>
    </reviewItem>
    <reviewItem>
      <errorID>2da49760-f758-474e-bdb5-50a41c21d2da</errorID>
      <errorWord>a：</errorWord>
      <group>L1_Format</group>
      <groupName>格式问题</groupName>
      <ability>L2_Ordinal</ability>
      <abilityName>序号格式</abilityName>
      <candidateList>
        <item>a.</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61536F77</paraID>
      <start>0</start>
      <end>2</end>
      <status>unmodified</status>
      <modifiedWord/>
      <trackRevisions>false</trackRevisions>
    </reviewItem>
    <reviewItem>
      <errorID>527ec818-e187-4e2b-ac1c-08c6c7869fc9</errorID>
      <errorWord>b：</errorWord>
      <group>L1_Format</group>
      <groupName>格式问题</groupName>
      <ability>L2_Ordinal</ability>
      <abilityName>序号格式</abilityName>
      <candidateList>
        <item>b.</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44D7CE6D</paraID>
      <start>0</start>
      <end>2</end>
      <status>unmodified</status>
      <modifiedWord/>
      <trackRevisions>false</trackRevisions>
    </reviewItem>
    <reviewItem>
      <errorID>2a736119-58f3-4d5f-b0b6-eb82c72aaaa0</errorID>
      <errorWord>收纳</errorWord>
      <group>L1_Word</group>
      <groupName>字词问题</groupName>
      <ability>L2_Typo</ability>
      <abilityName>字词错误</abilityName>
      <candidateList>
        <item>受纳</item>
      </candidateList>
      <explain/>
      <paraID>1E7DEA69</paraID>
      <start>20</start>
      <end>22</end>
      <status>unmodified</status>
      <modifiedWord/>
      <trackRevisions>false</trackRevisions>
    </reviewItem>
    <reviewItem>
      <errorID>93a8b462-4a98-49d3-bdf9-992e714e1ad6</errorID>
      <errorWord>中渡</errorWord>
      <group>L1_Word</group>
      <groupName>字词问题</groupName>
      <ability>L2_Typo</ability>
      <abilityName>字词错误</abilityName>
      <candidateList>
        <item>中度</item>
      </candidateList>
      <explain/>
      <paraID>5CD9A1F5</paraID>
      <start>110</start>
      <end>112</end>
      <status>unmodified</status>
      <modifiedWord/>
      <trackRevisions>false</trackRevisions>
    </reviewItem>
    <reviewItem>
      <errorID>f785f109-fb51-4c72-a45b-fdd2da3bad66</errorID>
      <errorWord>,</errorWord>
      <group>L1_Format</group>
      <groupName>格式问题</groupName>
      <ability>L2_HalfPunc</ability>
      <abilityName>全半角检查</abilityName>
      <candidateList>
        <item>，</item>
      </candidateList>
      <explain>文本全半角错误。</explain>
      <paraID>2C3D8B4B</paraID>
      <start>17</start>
      <end>18</end>
      <status>unmodified</status>
      <modifiedWord/>
      <trackRevisions>false</trackRevisions>
    </reviewItem>
    <reviewItem>
      <errorID>202aca38-5047-47dc-b838-5296877d21bc</errorID>
      <errorWord>(</errorWord>
      <group>L1_Format</group>
      <groupName>格式问题</groupName>
      <ability>L2_HalfPunc</ability>
      <abilityName>全半角检查</abilityName>
      <candidateList>
        <item>（</item>
      </candidateList>
      <explain>文本全半角错误。</explain>
      <paraID>38CB3D9B</paraID>
      <start>23</start>
      <end>24</end>
      <status>unmodified</status>
      <modifiedWord/>
      <trackRevisions>false</trackRevisions>
    </reviewItem>
    <reviewItem>
      <errorID>796a8626-0c13-42bc-b657-fbc65525a533</errorID>
      <errorWord>)</errorWord>
      <group>L1_Format</group>
      <groupName>格式问题</groupName>
      <ability>L2_HalfPunc</ability>
      <abilityName>全半角检查</abilityName>
      <candidateList>
        <item>）</item>
      </candidateList>
      <explain>文本全半角错误。</explain>
      <paraID>38CB3D9B</paraID>
      <start>28</start>
      <end>29</end>
      <status>unmodified</status>
      <modifiedWord/>
      <trackRevisions>false</trackRevisions>
    </reviewItem>
    <reviewItem>
      <errorID>e70a82bf-04ab-4f3c-9193-ea1751b808da</errorID>
      <errorWord>(</errorWord>
      <group>L1_Format</group>
      <groupName>格式问题</groupName>
      <ability>L2_HalfPunc</ability>
      <abilityName>全半角检查</abilityName>
      <candidateList>
        <item>（</item>
      </candidateList>
      <explain>文本全半角错误。</explain>
      <paraID>38CB3D9B</paraID>
      <start>96</start>
      <end>97</end>
      <status>unmodified</status>
      <modifiedWord/>
      <trackRevisions>false</trackRevisions>
    </reviewItem>
    <reviewItem>
      <errorID>62c6c3d8-97a7-4826-93f0-0121eca4a7e3</errorID>
      <errorWord>)</errorWord>
      <group>L1_Format</group>
      <groupName>格式问题</groupName>
      <ability>L2_HalfPunc</ability>
      <abilityName>全半角检查</abilityName>
      <candidateList>
        <item>）</item>
      </candidateList>
      <explain>文本全半角错误。</explain>
      <paraID>38CB3D9B</paraID>
      <start>115</start>
      <end>116</end>
      <status>unmodified</status>
      <modifiedWord/>
      <trackRevisions>false</trackRevisions>
    </reviewItem>
    <reviewItem>
      <errorID>eb2408c1-1392-4e36-baa2-0e77bd24ff36</errorID>
      <errorWord>瀕</errorWord>
      <group>L1_Word</group>
      <groupName>字词问题</groupName>
      <ability>L2_Fanti</ability>
      <abilityName>繁转简</abilityName>
      <candidateList>
        <item>濒</item>
      </candidateList>
      <explain/>
      <paraID>38CB3D9B</paraID>
      <start>217</start>
      <end>218</end>
      <status>unmodified</status>
      <modifiedWord/>
      <trackRevisions>false</trackRevisions>
    </reviewItem>
    <reviewItem>
      <errorID>8ff0591e-dc1c-46bd-bbd5-f8ee1cf957d7</errorID>
      <errorWord>；或</errorWord>
      <group>L1_Word</group>
      <groupName>字词问题</groupName>
      <ability>L2_Typo</ability>
      <abilityName>字词错误</abilityName>
      <candidateList>
        <item>；</item>
      </candidateList>
      <explain/>
      <paraID>38CB3D9B</paraID>
      <start>273</start>
      <end>275</end>
      <status>unmodified</status>
      <modifiedWord/>
      <trackRevisions>false</trackRevisions>
    </reviewItem>
    <reviewItem>
      <errorID>3459ba0a-ed45-4014-8bd1-0cc3f8b35b46</errorID>
      <errorWord>(</errorWord>
      <group>L1_Format</group>
      <groupName>格式问题</groupName>
      <ability>L2_HalfPunc</ability>
      <abilityName>全半角检查</abilityName>
      <candidateList>
        <item>（</item>
      </candidateList>
      <explain>文本全半角错误。</explain>
      <paraID>74A29BC9</paraID>
      <start>23</start>
      <end>24</end>
      <status>unmodified</status>
      <modifiedWord/>
      <trackRevisions>false</trackRevisions>
    </reviewItem>
    <reviewItem>
      <errorID>ea7608af-a28b-4a95-9ebe-59b48087e358</errorID>
      <errorWord>)</errorWord>
      <group>L1_Format</group>
      <groupName>格式问题</groupName>
      <ability>L2_HalfPunc</ability>
      <abilityName>全半角检查</abilityName>
      <candidateList>
        <item>）</item>
      </candidateList>
      <explain>文本全半角错误。</explain>
      <paraID>74A29BC9</paraID>
      <start>28</start>
      <end>29</end>
      <status>unmodified</status>
      <modifiedWord/>
      <trackRevisions>false</trackRevisions>
    </reviewItem>
    <reviewItem>
      <errorID>d49ae0a2-e433-4a7a-b865-48f07c1e261e</errorID>
      <errorWord>,</errorWord>
      <group>L1_Format</group>
      <groupName>格式问题</groupName>
      <ability>L2_HalfPunc</ability>
      <abilityName>全半角检查</abilityName>
      <candidateList>
        <item>，</item>
      </candidateList>
      <explain>文本全半角错误。</explain>
      <paraID>74A29BC9</paraID>
      <start>66</start>
      <end>67</end>
      <status>unmodified</status>
      <modifiedWord/>
      <trackRevisions>false</trackRevisions>
    </reviewItem>
    <reviewItem>
      <errorID>e50e100d-dda5-4d7d-94df-dc67fa64f6fa</errorID>
      <errorWord>区城</errorWord>
      <group>L1_Word</group>
      <groupName>字词问题</groupName>
      <ability>L2_Typo</ability>
      <abilityName>字词错误</abilityName>
      <candidateList>
        <item>区域</item>
      </candidateList>
      <explain/>
      <paraID>74A29BC9</paraID>
      <start>127</start>
      <end>129</end>
      <status>modified</status>
      <modifiedWord>区域</modifiedWord>
      <trackRevisions>false</trackRevisions>
    </reviewItem>
    <reviewItem>
      <errorID>43258395-9297-4da2-8a94-4f68bee28c97</errorID>
      <errorWord>(</errorWord>
      <group>L1_Format</group>
      <groupName>格式问题</groupName>
      <ability>L2_HalfPunc</ability>
      <abilityName>全半角检查</abilityName>
      <candidateList>
        <item>（</item>
      </candidateList>
      <explain>文本全半角错误。</explain>
      <paraID>390E19C4</paraID>
      <start>5</start>
      <end>6</end>
      <status>unmodified</status>
      <modifiedWord/>
      <trackRevisions>false</trackRevisions>
    </reviewItem>
    <reviewItem>
      <errorID>0d5b7d18-3d26-43d9-a924-47e9f846dcb4</errorID>
      <errorWord>)</errorWord>
      <group>L1_Format</group>
      <groupName>格式问题</groupName>
      <ability>L2_HalfPunc</ability>
      <abilityName>全半角检查</abilityName>
      <candidateList>
        <item>）</item>
      </candidateList>
      <explain>文本全半角错误。</explain>
      <paraID>390E19C4</paraID>
      <start>10</start>
      <end>11</end>
      <status>unmodified</status>
      <modifiedWord/>
      <trackRevisions>false</trackRevisions>
    </reviewItem>
    <reviewItem>
      <errorID>c3a2c5e7-3549-4938-8d45-a2c66c217e24</errorID>
      <errorWord>III</errorWord>
      <group>L1_Knowledge</group>
      <groupName>知识性问题</groupName>
      <ability>L2_Knowledge</ability>
      <abilityName>其他知识</abilityName>
      <candidateList>
        <item>Ⅲ</item>
      </candidateList>
      <explain/>
      <paraID>43285AC6</paraID>
      <start>54</start>
      <end>57</end>
      <status>unmodified</status>
      <modifiedWord/>
      <trackRevisions>false</trackRevisions>
    </reviewItem>
    <reviewItem>
      <errorID>e4b3095b-5b5a-4557-b8fc-6125e9554ce0</errorID>
      <errorWord>群种</errorWord>
      <group>L1_Word</group>
      <groupName>字词问题</groupName>
      <ability>L2_Typo</ability>
      <abilityName>字词错误</abilityName>
      <candidateList>
        <item>种群</item>
      </candidateList>
      <explain/>
      <paraID> F2347BD</paraID>
      <start>33</start>
      <end>35</end>
      <status>unmodified</status>
      <modifiedWord/>
      <trackRevisions>false</trackRevisions>
    </reviewItem>
    <reviewItem>
      <errorID>ef69fdf8-f944-490f-a05a-2cd6ffc33cd6</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 88460AE</paraID>
      <start>74</start>
      <end>75</end>
      <status>unmodified</status>
      <modifiedWord/>
      <trackRevisions>false</trackRevisions>
    </reviewItem>
    <reviewItem>
      <errorID>3955f056-17be-485b-b835-1ecb4bd8b2d3</errorID>
      <errorWord>七十年代</errorWord>
      <group>L1_Word</group>
      <groupName>字词问题</groupName>
      <ability>L2_Typo</ability>
      <abilityName>字词错误</abilityName>
      <candidateList>
        <item>70年代</item>
      </candidateList>
      <explain/>
      <paraID> 88460AE</paraID>
      <start>147</start>
      <end>151</end>
      <status>unmodified</status>
      <modifiedWord/>
      <trackRevisions>false</trackRevisions>
    </reviewItem>
    <reviewItem>
      <errorID>e7da0e65-1c85-4a83-92c9-b097d33dc12f</errorID>
      <errorWord>是由于碰撞引起的</errorWord>
      <group>L1_Grammar</group>
      <groupName>语法问题</groupName>
      <ability>L2_Grammar</ability>
      <abilityName>语法错误</abilityName>
      <candidateList>
        <item>是由于碰撞</item>
      </candidateList>
      <explain/>
      <paraID> 88460AE</paraID>
      <start>185</start>
      <end>193</end>
      <status>unmodified</status>
      <modifiedWord/>
      <trackRevisions>false</trackRevisions>
    </reviewItem>
    <reviewItem>
      <errorID>c35d0bc7-8b85-409a-92f1-d383f929eabf</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56214A43</paraID>
      <start>7</start>
      <end>8</end>
      <status>unmodified</status>
      <modifiedWord/>
      <trackRevisions>false</trackRevisions>
    </reviewItem>
    <reviewItem>
      <errorID>f745dc8b-967b-42de-bb6f-9bd053cf69fd</errorID>
      <errorWord>绝大多说</errorWord>
      <group>L1_Word</group>
      <groupName>字词问题</groupName>
      <ability>L2_Typo</ability>
      <abilityName>字词错误</abilityName>
      <candidateList>
        <item>绝大多数</item>
      </candidateList>
      <explain/>
      <paraID>13A8EE5B</paraID>
      <start>137</start>
      <end>141</end>
      <status>modified</status>
      <modifiedWord>绝大多数</modifiedWord>
      <trackRevisions>false</trackRevisions>
    </reviewItem>
    <reviewItem>
      <errorID>3c7cbef9-d48c-4aa9-9798-2b415331501b</errorID>
      <errorWord>1990年代</errorWord>
      <group>L1_Knowledge</group>
      <groupName>知识性问题</groupName>
      <ability>L2_Time</ability>
      <abilityName>日期时间</abilityName>
      <candidateList>
        <item>20世纪90年代</item>
      </candidateList>
      <explain>年代表述建议使用世纪+年代的格式。</explain>
      <paraID>7BA13DF3</paraID>
      <start>36</start>
      <end>42</end>
      <status>unmodified</status>
      <modifiedWord/>
      <trackRevisions>false</trackRevisions>
    </reviewItem>
    <reviewItem>
      <errorID>eeb171d0-aa61-4eed-afe6-f8208b838925</errorID>
      <errorWord>-2018年</errorWord>
      <group>L1_Word</group>
      <groupName>字词问题</groupName>
      <ability>L2_Typo</ability>
      <abilityName>字词错误</abilityName>
      <candidateList>
        <item>—2018年</item>
      </candidateList>
      <explain/>
      <paraID>7BA13DF3</paraID>
      <start>140</start>
      <end>146</end>
      <status>unmodified</status>
      <modifiedWord/>
      <trackRevisions>false</trackRevisions>
    </reviewItem>
    <reviewItem>
      <errorID>36ce1cc3-09a7-4765-8089-11227406970b</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403192E6</paraID>
      <start>24</start>
      <end>25</end>
      <status>unmodified</status>
      <modifiedWord/>
      <trackRevisions>false</trackRevisions>
    </reviewItem>
    <reviewItem>
      <errorID>31905d16-d289-4ada-ab5c-d0a2b0969c98</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509BB3A8</paraID>
      <start>7</start>
      <end>8</end>
      <status>unmodified</status>
      <modifiedWord/>
      <trackRevisions>false</trackRevisions>
    </reviewItem>
    <reviewItem>
      <errorID>c281ea66-1782-4175-918d-380dbd90fed5</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 7FEB3E3</paraID>
      <start>10</start>
      <end>11</end>
      <status>unmodified</status>
      <modifiedWord/>
      <trackRevisions>false</trackRevisions>
    </reviewItem>
    <reviewItem>
      <errorID>396e0746-8253-4fc1-8668-86a732061936</errorID>
      <errorWord>其</errorWord>
      <group>L1_Word</group>
      <groupName>字词问题</groupName>
      <ability>L2_Typo</ability>
      <abilityName>字词错误</abilityName>
      <candidateList>
        <item>起</item>
      </candidateList>
      <explain>〈动〉趋向动词。❶用在动词后，表示向上：抬～箱子往外走。❷用在动词后，表示力量够得上或够不上：经得～考验｜太贵了，买不～。注意动词和“起”之间常有“得”字或“不”字。❸用在动词后，表示事物随动作出现：乐队奏～迎宾曲｜会场响～热烈掌声。❹用在动词后，表示动作涉及人或事：他多次问～过你｜想～一件事。</explain>
      <paraID>47BC2408</paraID>
      <start>29</start>
      <end>30</end>
      <status>unmodified</status>
      <modifiedWord/>
      <trackRevisions>false</trackRevisions>
    </reviewItem>
    <reviewItem>
      <errorID>4b0dd97e-ef16-4289-bc14-c0c087134d73</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19471DA5</paraID>
      <start>4</start>
      <end>5</end>
      <status>unmodified</status>
      <modifiedWord/>
      <trackRevisions>false</trackRevisions>
    </reviewItem>
    <reviewItem>
      <errorID>b3e64cad-9760-4d2d-999e-d377bf0f4306</errorID>
      <errorWord>主要以小事故为主</errorWord>
      <group>L1_Grammar</group>
      <groupName>语法问题</groupName>
      <ability>L2_Grammar</ability>
      <abilityName>语法错误</abilityName>
      <candidateList>
        <item>以小事故为主</item>
      </candidateList>
      <explain/>
      <paraID>19471DA5</paraID>
      <start>34</start>
      <end>42</end>
      <status>unmodified</status>
      <modifiedWord/>
      <trackRevisions>false</trackRevisions>
    </reviewItem>
    <reviewItem>
      <errorID>2ef326fa-b220-4cc9-9460-8b51db99b246</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2D7FE185</paraID>
      <start>4</start>
      <end>5</end>
      <status>unmodified</status>
      <modifiedWord/>
      <trackRevisions>false</trackRevisions>
    </reviewItem>
    <reviewItem>
      <errorID>6ae75b4e-26eb-4da1-ad1e-73b34c681488</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3681F4D6</paraID>
      <start>12</start>
      <end>13</end>
      <status>unmodified</status>
      <modifiedWord/>
      <trackRevisions>false</trackRevisions>
    </reviewItem>
    <reviewItem>
      <errorID>cbfdd3f3-5f01-42aa-b2d6-08d3ecdce5e0</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7FFD3758</paraID>
      <start>48</start>
      <end>49</end>
      <status>unmodified</status>
      <modifiedWord/>
      <trackRevisions>false</trackRevisions>
    </reviewItem>
    <reviewItem>
      <errorID>084da687-38fb-4f8b-93e0-4501960c0cbb</errorID>
      <errorWord>＇</errorWord>
      <group>L1_Format</group>
      <groupName>格式问题</groupName>
      <ability>L2_HalfPunc</ability>
      <abilityName>全半角检查</abilityName>
      <candidateList>
        <item>'</item>
      </candidateList>
      <explain>文本全半角错误。</explain>
      <paraID>64AFCFEF</paraID>
      <start>5</start>
      <end>6</end>
      <status>unmodified</status>
      <modifiedWord/>
      <trackRevisions>false</trackRevisions>
    </reviewItem>
    <reviewItem>
      <errorID>92698763-432f-4113-b427-cfd5e7b1a7fe</errorID>
      <errorWord>＇</errorWord>
      <group>L1_Format</group>
      <groupName>格式问题</groupName>
      <ability>L2_HalfPunc</ability>
      <abilityName>全半角检查</abilityName>
      <candidateList>
        <item>'</item>
      </candidateList>
      <explain>文本全半角错误。</explain>
      <paraID>64AFCFEF</paraID>
      <start>17</start>
      <end>18</end>
      <status>unmodified</status>
      <modifiedWord/>
      <trackRevisions>false</trackRevisions>
    </reviewItem>
    <reviewItem>
      <errorID>bebeb694-4d44-4260-bb5c-6af3affac992</errorID>
      <errorWord>＇</errorWord>
      <group>L1_Format</group>
      <groupName>格式问题</groupName>
      <ability>L2_HalfPunc</ability>
      <abilityName>全半角检查</abilityName>
      <candidateList>
        <item>'</item>
      </candidateList>
      <explain>文本全半角错误。</explain>
      <paraID>79DE03CB</paraID>
      <start>5</start>
      <end>6</end>
      <status>unmodified</status>
      <modifiedWord/>
      <trackRevisions>false</trackRevisions>
    </reviewItem>
    <reviewItem>
      <errorID>ecb11464-d04c-4a4a-bd04-f197c7b56652</errorID>
      <errorWord>＇</errorWord>
      <group>L1_Format</group>
      <groupName>格式问题</groupName>
      <ability>L2_HalfPunc</ability>
      <abilityName>全半角检查</abilityName>
      <candidateList>
        <item>'</item>
      </candidateList>
      <explain>文本全半角错误。</explain>
      <paraID>79DE03CB</paraID>
      <start>17</start>
      <end>18</end>
      <status>unmodified</status>
      <modifiedWord/>
      <trackRevisions>false</trackRevisions>
    </reviewItem>
    <reviewItem>
      <errorID>b43161d1-28b3-4aee-b8e8-8627f3432f34</errorID>
      <errorWord>＇</errorWord>
      <group>L1_Format</group>
      <groupName>格式问题</groupName>
      <ability>L2_HalfPunc</ability>
      <abilityName>全半角检查</abilityName>
      <candidateList>
        <item>'</item>
      </candidateList>
      <explain>文本全半角错误。</explain>
      <paraID>1383C20A</paraID>
      <start>5</start>
      <end>6</end>
      <status>unmodified</status>
      <modifiedWord/>
      <trackRevisions>false</trackRevisions>
    </reviewItem>
    <reviewItem>
      <errorID>4110a4be-327e-494e-b49f-de9dee7ecc54</errorID>
      <errorWord>＇</errorWord>
      <group>L1_Format</group>
      <groupName>格式问题</groupName>
      <ability>L2_HalfPunc</ability>
      <abilityName>全半角检查</abilityName>
      <candidateList>
        <item>'</item>
      </candidateList>
      <explain>文本全半角错误。</explain>
      <paraID>1383C20A</paraID>
      <start>17</start>
      <end>18</end>
      <status>unmodified</status>
      <modifiedWord/>
      <trackRevisions>false</trackRevisions>
    </reviewItem>
    <reviewItem>
      <errorID>86dc26af-2579-4ac8-808c-471bb3ebcce5</errorID>
      <errorWord>＇</errorWord>
      <group>L1_Format</group>
      <groupName>格式问题</groupName>
      <ability>L2_HalfPunc</ability>
      <abilityName>全半角检查</abilityName>
      <candidateList>
        <item>'</item>
      </candidateList>
      <explain>文本全半角错误。</explain>
      <paraID>4CB2CB0D</paraID>
      <start>5</start>
      <end>6</end>
      <status>unmodified</status>
      <modifiedWord/>
      <trackRevisions>false</trackRevisions>
    </reviewItem>
    <reviewItem>
      <errorID>071ad305-6d64-460d-bb1b-c16f4bff141a</errorID>
      <errorWord>＇</errorWord>
      <group>L1_Format</group>
      <groupName>格式问题</groupName>
      <ability>L2_HalfPunc</ability>
      <abilityName>全半角检查</abilityName>
      <candidateList>
        <item>'</item>
      </candidateList>
      <explain>文本全半角错误。</explain>
      <paraID>4CB2CB0D</paraID>
      <start>16</start>
      <end>17</end>
      <status>unmodified</status>
      <modifiedWord/>
      <trackRevisions>false</trackRevisions>
    </reviewItem>
    <reviewItem>
      <errorID>c868c8ef-db9c-4181-8abf-c4729cb39351</errorID>
      <errorWord>＇</errorWord>
      <group>L1_Format</group>
      <groupName>格式问题</groupName>
      <ability>L2_HalfPunc</ability>
      <abilityName>全半角检查</abilityName>
      <candidateList>
        <item>'</item>
      </candidateList>
      <explain>文本全半角错误。</explain>
      <paraID>301AF2F2</paraID>
      <start>5</start>
      <end>6</end>
      <status>unmodified</status>
      <modifiedWord/>
      <trackRevisions>false</trackRevisions>
    </reviewItem>
    <reviewItem>
      <errorID>6bbd6afa-bb30-46a4-afa9-842e7bac1055</errorID>
      <errorWord>＇</errorWord>
      <group>L1_Format</group>
      <groupName>格式问题</groupName>
      <ability>L2_HalfPunc</ability>
      <abilityName>全半角检查</abilityName>
      <candidateList>
        <item>'</item>
      </candidateList>
      <explain>文本全半角错误。</explain>
      <paraID>301AF2F2</paraID>
      <start>16</start>
      <end>17</end>
      <status>unmodified</status>
      <modifiedWord/>
      <trackRevisions>false</trackRevisions>
    </reviewItem>
    <reviewItem>
      <errorID>f9c3a796-e03c-42db-b47e-96dbcbc6fcef</errorID>
      <errorWord>＇</errorWord>
      <group>L1_Format</group>
      <groupName>格式问题</groupName>
      <ability>L2_HalfPunc</ability>
      <abilityName>全半角检查</abilityName>
      <candidateList>
        <item>'</item>
      </candidateList>
      <explain>文本全半角错误。</explain>
      <paraID>5DC5A569</paraID>
      <start>5</start>
      <end>6</end>
      <status>unmodified</status>
      <modifiedWord/>
      <trackRevisions>false</trackRevisions>
    </reviewItem>
    <reviewItem>
      <errorID>0e313b95-ce2f-414e-8939-168d9e31a126</errorID>
      <errorWord>＇</errorWord>
      <group>L1_Format</group>
      <groupName>格式问题</groupName>
      <ability>L2_HalfPunc</ability>
      <abilityName>全半角检查</abilityName>
      <candidateList>
        <item>'</item>
      </candidateList>
      <explain>文本全半角错误。</explain>
      <paraID>5DC5A569</paraID>
      <start>14</start>
      <end>15</end>
      <status>unmodified</status>
      <modifiedWord/>
      <trackRevisions>false</trackRevisions>
    </reviewItem>
    <reviewItem>
      <errorID>27d6429c-b4d8-45e4-b6e2-adb4cdae19b4</errorID>
      <errorWord>＇</errorWord>
      <group>L1_Format</group>
      <groupName>格式问题</groupName>
      <ability>L2_HalfPunc</ability>
      <abilityName>全半角检查</abilityName>
      <candidateList>
        <item>'</item>
      </candidateList>
      <explain>文本全半角错误。</explain>
      <paraID> FB4F4B6</paraID>
      <start>5</start>
      <end>6</end>
      <status>unmodified</status>
      <modifiedWord/>
      <trackRevisions>false</trackRevisions>
    </reviewItem>
    <reviewItem>
      <errorID>6fdd77f1-88ce-4c68-8ed7-e769c6e5480b</errorID>
      <errorWord>＇</errorWord>
      <group>L1_Format</group>
      <groupName>格式问题</groupName>
      <ability>L2_HalfPunc</ability>
      <abilityName>全半角检查</abilityName>
      <candidateList>
        <item>'</item>
      </candidateList>
      <explain>文本全半角错误。</explain>
      <paraID> FB4F4B6</paraID>
      <start>17</start>
      <end>18</end>
      <status>unmodified</status>
      <modifiedWord/>
      <trackRevisions>false</trackRevisions>
    </reviewItem>
    <reviewItem>
      <errorID>d0b48fdf-64e4-4ca0-96d9-366bfff0c960</errorID>
      <errorWord>＇</errorWord>
      <group>L1_Format</group>
      <groupName>格式问题</groupName>
      <ability>L2_HalfPunc</ability>
      <abilityName>全半角检查</abilityName>
      <candidateList>
        <item>'</item>
      </candidateList>
      <explain>文本全半角错误。</explain>
      <paraID>5705EE12</paraID>
      <start>5</start>
      <end>6</end>
      <status>unmodified</status>
      <modifiedWord/>
      <trackRevisions>false</trackRevisions>
    </reviewItem>
    <reviewItem>
      <errorID>1cbb3016-63e7-4f01-bb08-4df88a8d4688</errorID>
      <errorWord>＇</errorWord>
      <group>L1_Format</group>
      <groupName>格式问题</groupName>
      <ability>L2_HalfPunc</ability>
      <abilityName>全半角检查</abilityName>
      <candidateList>
        <item>'</item>
      </candidateList>
      <explain>文本全半角错误。</explain>
      <paraID>5705EE12</paraID>
      <start>17</start>
      <end>18</end>
      <status>unmodified</status>
      <modifiedWord/>
      <trackRevisions>false</trackRevisions>
    </reviewItem>
    <reviewItem>
      <errorID>2e5916dd-99c2-42b1-82b6-7942ab8a43f8</errorID>
      <errorWord>＇</errorWord>
      <group>L1_Format</group>
      <groupName>格式问题</groupName>
      <ability>L2_HalfPunc</ability>
      <abilityName>全半角检查</abilityName>
      <candidateList>
        <item>'</item>
      </candidateList>
      <explain>文本全半角错误。</explain>
      <paraID>124C4F6F</paraID>
      <start>5</start>
      <end>6</end>
      <status>unmodified</status>
      <modifiedWord/>
      <trackRevisions>false</trackRevisions>
    </reviewItem>
    <reviewItem>
      <errorID>4fbe3972-d359-4b6a-ae13-525abde5a012</errorID>
      <errorWord>＇</errorWord>
      <group>L1_Format</group>
      <groupName>格式问题</groupName>
      <ability>L2_HalfPunc</ability>
      <abilityName>全半角检查</abilityName>
      <candidateList>
        <item>'</item>
      </candidateList>
      <explain>文本全半角错误。</explain>
      <paraID>124C4F6F</paraID>
      <start>15</start>
      <end>16</end>
      <status>unmodified</status>
      <modifiedWord/>
      <trackRevisions>false</trackRevisions>
    </reviewItem>
    <reviewItem>
      <errorID>126eac50-8ec3-48e4-b097-6a4b953d7034</errorID>
      <errorWord>＇</errorWord>
      <group>L1_Format</group>
      <groupName>格式问题</groupName>
      <ability>L2_HalfPunc</ability>
      <abilityName>全半角检查</abilityName>
      <candidateList>
        <item>'</item>
      </candidateList>
      <explain>文本全半角错误。</explain>
      <paraID>6D6C0AF1</paraID>
      <start>7</start>
      <end>8</end>
      <status>unmodified</status>
      <modifiedWord/>
      <trackRevisions>false</trackRevisions>
    </reviewItem>
    <reviewItem>
      <errorID>1baefe21-758c-4e1b-a24e-536f081423ef</errorID>
      <errorWord>＇</errorWord>
      <group>L1_Format</group>
      <groupName>格式问题</groupName>
      <ability>L2_HalfPunc</ability>
      <abilityName>全半角检查</abilityName>
      <candidateList>
        <item>'</item>
      </candidateList>
      <explain>文本全半角错误。</explain>
      <paraID>6D6C0AF1</paraID>
      <start>16</start>
      <end>17</end>
      <status>unmodified</status>
      <modifiedWord/>
      <trackRevisions>false</trackRevisions>
    </reviewItem>
    <reviewItem>
      <errorID>c0e876e8-1829-4242-a57f-577a95dc7998</errorID>
      <errorWord>＇</errorWord>
      <group>L1_Format</group>
      <groupName>格式问题</groupName>
      <ability>L2_HalfPunc</ability>
      <abilityName>全半角检查</abilityName>
      <candidateList>
        <item>'</item>
      </candidateList>
      <explain>文本全半角错误。</explain>
      <paraID>24984BFD</paraID>
      <start>9</start>
      <end>10</end>
      <status>unmodified</status>
      <modifiedWord/>
      <trackRevisions>false</trackRevisions>
    </reviewItem>
    <reviewItem>
      <errorID>9e3c5e05-417a-41e9-8bd3-c580e2803662</errorID>
      <errorWord>＇</errorWord>
      <group>L1_Format</group>
      <groupName>格式问题</groupName>
      <ability>L2_HalfPunc</ability>
      <abilityName>全半角检查</abilityName>
      <candidateList>
        <item>'</item>
      </candidateList>
      <explain>文本全半角错误。</explain>
      <paraID>24984BFD</paraID>
      <start>22</start>
      <end>23</end>
      <status>unmodified</status>
      <modifiedWord/>
      <trackRevisions>false</trackRevisions>
    </reviewItem>
    <reviewItem>
      <errorID>0471584b-9b3e-487a-a21e-35881e1bbbee</errorID>
      <errorWord>＇</errorWord>
      <group>L1_Format</group>
      <groupName>格式问题</groupName>
      <ability>L2_HalfPunc</ability>
      <abilityName>全半角检查</abilityName>
      <candidateList>
        <item>'</item>
      </candidateList>
      <explain>文本全半角错误。</explain>
      <paraID>269EAA4B</paraID>
      <start>9</start>
      <end>10</end>
      <status>unmodified</status>
      <modifiedWord/>
      <trackRevisions>false</trackRevisions>
    </reviewItem>
    <reviewItem>
      <errorID>94d50f13-a410-4300-bd67-1aa8c84f9375</errorID>
      <errorWord>＇</errorWord>
      <group>L1_Format</group>
      <groupName>格式问题</groupName>
      <ability>L2_HalfPunc</ability>
      <abilityName>全半角检查</abilityName>
      <candidateList>
        <item>'</item>
      </candidateList>
      <explain>文本全半角错误。</explain>
      <paraID>269EAA4B</paraID>
      <start>22</start>
      <end>23</end>
      <status>unmodified</status>
      <modifiedWord/>
      <trackRevisions>false</trackRevisions>
    </reviewItem>
    <reviewItem>
      <errorID>dba7e2ac-0f34-4c01-9629-37692102c2c6</errorID>
      <errorWord>（</errorWord>
      <group>L1_Format</group>
      <groupName>格式问题</groupName>
      <ability>L2_HalfPunc</ability>
      <abilityName>全半角检查</abilityName>
      <candidateList>
        <item>(</item>
      </candidateList>
      <explain>文本全半角错误。</explain>
      <paraID> BA53788</paraID>
      <start>10</start>
      <end>11</end>
      <status>unmodified</status>
      <modifiedWord/>
      <trackRevisions>false</trackRevisions>
    </reviewItem>
    <reviewItem>
      <errorID>a1ad3132-cfbe-4896-a54b-fb32db8a3e4e</errorID>
      <errorWord>）</errorWord>
      <group>L1_Format</group>
      <groupName>格式问题</groupName>
      <ability>L2_HalfPunc</ability>
      <abilityName>全半角检查</abilityName>
      <candidateList>
        <item>)</item>
      </candidateList>
      <explain>文本全半角错误。</explain>
      <paraID> BA53788</paraID>
      <start>14</start>
      <end>15</end>
      <status>unmodified</status>
      <modifiedWord/>
      <trackRevisions>false</trackRevisions>
    </reviewItem>
    <reviewItem>
      <errorID>24be53e3-504c-4047-9cbe-51cfb0e2163b</errorID>
      <errorWord>（</errorWord>
      <group>L1_Format</group>
      <groupName>格式问题</groupName>
      <ability>L2_HalfPunc</ability>
      <abilityName>全半角检查</abilityName>
      <candidateList>
        <item>(</item>
      </candidateList>
      <explain>文本全半角错误。</explain>
      <paraID>4D699ED8</paraID>
      <start>10</start>
      <end>11</end>
      <status>unmodified</status>
      <modifiedWord/>
      <trackRevisions>false</trackRevisions>
    </reviewItem>
    <reviewItem>
      <errorID>c180c665-5e85-49dd-8db8-b6a04d294f9c</errorID>
      <errorWord>）</errorWord>
      <group>L1_Format</group>
      <groupName>格式问题</groupName>
      <ability>L2_HalfPunc</ability>
      <abilityName>全半角检查</abilityName>
      <candidateList>
        <item>)</item>
      </candidateList>
      <explain>文本全半角错误。</explain>
      <paraID>4D699ED8</paraID>
      <start>14</start>
      <end>15</end>
      <status>unmodified</status>
      <modifiedWord/>
      <trackRevisions>false</trackRevisions>
    </reviewItem>
    <reviewItem>
      <errorID>e9e70853-9707-4683-a537-c93f4a3c88cf</errorID>
      <errorWord>(</errorWord>
      <group>L1_Format</group>
      <groupName>格式问题</groupName>
      <ability>L2_HalfPunc</ability>
      <abilityName>全半角检查</abilityName>
      <candidateList>
        <item>（</item>
      </candidateList>
      <explain>文本全半角错误。</explain>
      <paraID>72FD8F63</paraID>
      <start>37</start>
      <end>38</end>
      <status>unmodified</status>
      <modifiedWord/>
      <trackRevisions>false</trackRevisions>
    </reviewItem>
    <reviewItem>
      <errorID>bd7bf903-cbc3-4b29-a8f3-7c77807b2e02</errorID>
      <errorWord>)</errorWord>
      <group>L1_Format</group>
      <groupName>格式问题</groupName>
      <ability>L2_HalfPunc</ability>
      <abilityName>全半角检查</abilityName>
      <candidateList>
        <item>）</item>
      </candidateList>
      <explain>文本全半角错误。</explain>
      <paraID>72FD8F63</paraID>
      <start>49</start>
      <end>50</end>
      <status>unmodified</status>
      <modifiedWord/>
      <trackRevisions>false</trackRevisions>
    </reviewItem>
    <reviewItem>
      <errorID>6bc5e03c-155b-499d-b428-b3978b9a01c4</errorID>
      <errorWord>消防等</errorWord>
      <group>L1_Word</group>
      <groupName>字词问题</groupName>
      <ability>L2_Typo</ability>
      <abilityName>字词错误</abilityName>
      <candidateList>
        <item>消防</item>
      </candidateList>
      <explain/>
      <paraID>298628CB</paraID>
      <start>126</start>
      <end>129</end>
      <status>unmodified</status>
      <modifiedWord/>
      <trackRevisions>false</trackRevisions>
    </reviewItem>
    <reviewItem>
      <errorID>f4d7d1d7-8216-44f7-80ac-40e0f4320b0a</errorID>
      <errorWord>《建设项目环境风险评价技术导则（HJ169-2018）》</errorWord>
      <group>L1_Knowledge</group>
      <groupName>知识性问题</groupName>
      <ability>L2_Knowledge</ability>
      <abilityName>其他知识</abilityName>
      <candidateList>
        <item>《建设项目环境风险评价技术导则》（HJ169-2018）</item>
      </candidateList>
      <explain>疑似政策文件、法律法规名称等书写不规范，请注意检查。</explain>
      <paraID> 619865A</paraID>
      <start>2</start>
      <end>30</end>
      <status>unmodified</status>
      <modifiedWord/>
      <trackRevisions>false</trackRevisions>
    </reviewItem>
    <reviewItem>
      <errorID>44009ec2-ebb9-4533-9edc-0c9ed30a0e70</errorID>
      <errorWord>主要以前两者为主</errorWord>
      <group>L1_Grammar</group>
      <groupName>语法问题</groupName>
      <ability>L2_Grammar</ability>
      <abilityName>语法错误</abilityName>
      <candidateList>
        <item>以前两者为主</item>
      </candidateList>
      <explain/>
      <paraID>6F9DABB9</paraID>
      <start>33</start>
      <end>41</end>
      <status>unmodified</status>
      <modifiedWord/>
      <trackRevisions>false</trackRevisions>
    </reviewItem>
    <reviewItem>
      <errorID>82d55470-681a-4062-8bc6-da50e33dcb7b</errorID>
      <errorWord>(</errorWord>
      <group>L1_Format</group>
      <groupName>格式问题</groupName>
      <ability>L2_HalfPunc</ability>
      <abilityName>全半角检查</abilityName>
      <candidateList>
        <item>（</item>
      </candidateList>
      <explain>文本全半角错误。</explain>
      <paraID>197AFDC1</paraID>
      <start>2</start>
      <end>3</end>
      <status>unmodified</status>
      <modifiedWord/>
      <trackRevisions>false</trackRevisions>
    </reviewItem>
    <reviewItem>
      <errorID>8c44dfd0-8ac2-45d9-bf55-2b1f27b8ef2f</errorID>
      <errorWord>)</errorWord>
      <group>L1_Format</group>
      <groupName>格式问题</groupName>
      <ability>L2_HalfPunc</ability>
      <abilityName>全半角检查</abilityName>
      <candidateList>
        <item>）</item>
      </candidateList>
      <explain>文本全半角错误。</explain>
      <paraID>197AFDC1</paraID>
      <start>14</start>
      <end>15</end>
      <status>unmodified</status>
      <modifiedWord/>
      <trackRevisions>false</trackRevisions>
    </reviewItem>
    <reviewItem>
      <errorID>f666bf2a-d09f-4e22-8890-1a5f25814ec4</errorID>
      <errorWord>(</errorWord>
      <group>L1_Format</group>
      <groupName>格式问题</groupName>
      <ability>L2_HalfPunc</ability>
      <abilityName>全半角检查</abilityName>
      <candidateList>
        <item>（</item>
      </candidateList>
      <explain>文本全半角错误。</explain>
      <paraID>4FF67C48</paraID>
      <start>2</start>
      <end>3</end>
      <status>unmodified</status>
      <modifiedWord/>
      <trackRevisions>false</trackRevisions>
    </reviewItem>
    <reviewItem>
      <errorID>c1d9d605-fe3a-4861-bb61-66a7e96e93f0</errorID>
      <errorWord>)</errorWord>
      <group>L1_Format</group>
      <groupName>格式问题</groupName>
      <ability>L2_HalfPunc</ability>
      <abilityName>全半角检查</abilityName>
      <candidateList>
        <item>）</item>
      </candidateList>
      <explain>文本全半角错误。</explain>
      <paraID>4FF67C48</paraID>
      <start>5</start>
      <end>6</end>
      <status>unmodified</status>
      <modifiedWord/>
      <trackRevisions>false</trackRevisions>
    </reviewItem>
    <reviewItem>
      <errorID>4980790e-55ed-4666-9b25-6cc9bea115e0</errorID>
      <errorWord>(</errorWord>
      <group>L1_Format</group>
      <groupName>格式问题</groupName>
      <ability>L2_HalfPunc</ability>
      <abilityName>全半角检查</abilityName>
      <candidateList>
        <item>（</item>
      </candidateList>
      <explain>文本全半角错误。</explain>
      <paraID>2820B57D</paraID>
      <start>2</start>
      <end>3</end>
      <status>unmodified</status>
      <modifiedWord/>
      <trackRevisions>false</trackRevisions>
    </reviewItem>
    <reviewItem>
      <errorID>60009be0-3d16-47cc-a9ba-12c3c7b7a373</errorID>
      <errorWord>)</errorWord>
      <group>L1_Format</group>
      <groupName>格式问题</groupName>
      <ability>L2_HalfPunc</ability>
      <abilityName>全半角检查</abilityName>
      <candidateList>
        <item>）</item>
      </candidateList>
      <explain>文本全半角错误。</explain>
      <paraID>2820B57D</paraID>
      <start>5</start>
      <end>6</end>
      <status>unmodified</status>
      <modifiedWord/>
      <trackRevisions>false</trackRevisions>
    </reviewItem>
    <reviewItem>
      <errorID>918ea71d-7b4b-4c66-ad87-652860d6807c</errorID>
      <errorWord>变型</errorWord>
      <group>L1_Word</group>
      <groupName>字词问题</groupName>
      <ability>L2_Typo</ability>
      <abilityName>字词错误</abilityName>
      <candidateList>
        <item>变形</item>
      </candidateList>
      <explain>存在发音相同字词的误用。</explain>
      <paraID>3F8CCA2E</paraID>
      <start>16</start>
      <end>18</end>
      <status>modified</status>
      <modifiedWord>变形</modifiedWord>
      <trackRevisions>false</trackRevisions>
    </reviewItem>
    <reviewItem>
      <errorID>62296e24-3fb7-423a-abfa-0ec50f746d95</errorID>
      <errorWord>码头面</errorWord>
      <group>L1_Word</group>
      <groupName>字词问题</groupName>
      <ability>L2_Typo</ability>
      <abilityName>字词错误</abilityName>
      <candidateList>
        <item>码头</item>
      </candidateList>
      <explain/>
      <paraID>1800DB50</paraID>
      <start>6</start>
      <end>8</end>
      <status>modified</status>
      <modifiedWord>码头</modifiedWord>
      <trackRevisions>false</trackRevisions>
    </reviewItem>
    <reviewItem>
      <errorID>9a424526-036a-4bfd-bc69-41ee7b195fd3</errorID>
      <errorWord>其它</errorWord>
      <group>L1_Word</group>
      <groupName>字词问题</groupName>
      <ability>L2_Alias</ability>
      <abilityName>也作/曾用词</abilityName>
      <candidateList>
        <item>其他</item>
      </candidateList>
      <explain>词汇[其它]为不规范表述或旧称，其规范书面表述为[其他]。</explain>
      <paraID>64323DF6</paraID>
      <start>9</start>
      <end>11</end>
      <status>modified</status>
      <modifiedWord>其他</modifiedWord>
      <trackRevisions>false</trackRevisions>
    </reviewItem>
    <reviewItem>
      <errorID>488b7678-1ee7-41f2-8cf2-546eaae4f2fa</errorID>
      <errorWord>操作失误码</errorWord>
      <group>L1_Word</group>
      <groupName>字词问题</groupName>
      <ability>L2_Typo</ability>
      <abilityName>字词错误</abilityName>
      <candidateList>
        <item>操作失误</item>
      </candidateList>
      <explain/>
      <paraID>4E27EB50</paraID>
      <start>12</start>
      <end>16</end>
      <status>modified</status>
      <modifiedWord>操作失误</modifiedWord>
      <trackRevisions>false</trackRevisions>
    </reviewItem>
    <reviewItem>
      <errorID>b9801312-1285-41ca-82bf-59b97b2476ef</errorID>
      <errorWord>其它</errorWord>
      <group>L1_Word</group>
      <groupName>字词问题</groupName>
      <ability>L2_Alias</ability>
      <abilityName>也作/曾用词</abilityName>
      <candidateList>
        <item>其他</item>
      </candidateList>
      <explain>词汇[其它]为不规范表述或旧称，其规范书面表述为[其他]。</explain>
      <paraID>4E27EB50</paraID>
      <start>19</start>
      <end>21</end>
      <status>modified</status>
      <modifiedWord>其他</modifiedWord>
      <trackRevisions>false</trackRevisions>
    </reviewItem>
    <reviewItem>
      <errorID>907af6ef-2c9c-4a9e-95ae-0d626ad3c44a</errorID>
      <errorWord>況</errorWord>
      <group>L1_Word</group>
      <groupName>字词问题</groupName>
      <ability>L2_Fanti</ability>
      <abilityName>繁转简</abilityName>
      <candidateList>
        <item>况</item>
      </candidateList>
      <explain/>
      <paraID>5EAE6834</paraID>
      <start>22</start>
      <end>23</end>
      <status>unmodified</status>
      <modifiedWord/>
      <trackRevisions>false</trackRevisions>
    </reviewItem>
    <reviewItem>
      <errorID>21449328-8d19-4ab2-9705-23fa4bd05146</errorID>
      <errorWord>飘浮</errorWord>
      <group>L1_Word</group>
      <groupName>字词问题</groupName>
      <ability>L2_Typo</ability>
      <abilityName>字词错误</abilityName>
      <candidateList>
        <item>漂浮</item>
      </candidateList>
      <explain>❶〈动〉漂▲：水上～着几只小船◇离开了幼儿园，孩子们的笑容总是～在我的脑海里。❷〈形〉比喻工作、学习等不踏实，不深入：作风～。‖也作飘浮。</explain>
      <paraID>6F76E5FE</paraID>
      <start>72</start>
      <end>74</end>
      <status>unmodified</status>
      <modifiedWord/>
      <trackRevisions>false</trackRevisions>
    </reviewItem>
    <reviewItem>
      <errorID>7a7df8f7-fe89-460f-8e7d-20cd09e66f65</errorID>
      <errorWord>载</errorWord>
      <group>L1_Word</group>
      <groupName>字词问题</groupName>
      <ability>L2_Typo</ability>
      <abilityName>字词错误</abilityName>
      <candidateList>
        <item>在</item>
      </candidateList>
      <explain>❶〈动〉存在；生存：精神永～｜留得青山～，不怕没柴烧｜父母都～。❷〈动〉表示人或事物的位置：我今天晚上不～厂里｜你的钢笔～桌子上呢。❸〈动〉留在：～职｜～位。❹〈动〉参加（某团体）；属于（某团体）：～党｜～组织。❺〈动〉在于；决定于：事～人为｜学习好，主要～自己努力。❻“在”和“所”连用，表示强调，下面多连“不”：～所不辞｜～所不惜｜～所不计｜～所难免。</explain>
      <paraID>6F76E5FE</paraID>
      <start>133</start>
      <end>134</end>
      <status>unmodified</status>
      <modifiedWord/>
      <trackRevisions>false</trackRevisions>
    </reviewItem>
    <reviewItem>
      <errorID>6e1ca89d-121f-4d8d-97de-82c67a3a787a</errorID>
      <errorWord>一且</errorWord>
      <group>L1_Knowledge</group>
      <groupName>知识性问题</groupName>
      <ability>L2_Knowledge</ability>
      <abilityName>其他知识</abilityName>
      <candidateList>
        <item>一期</item>
      </candidateList>
      <explain/>
      <paraID>5CA034C1</paraID>
      <start>12</start>
      <end>14</end>
      <status>modified</status>
      <modifiedWord>一期</modifiedWord>
      <trackRevisions>false</trackRevisions>
    </reviewItem>
    <reviewItem>
      <errorID>005d8564-b628-4e6d-8454-da37f10b3ef0</errorID>
      <errorWord>造成次污染</errorWord>
      <group>L1_Word</group>
      <groupName>字词问题</groupName>
      <ability>L2_Typo</ability>
      <abilityName>字词错误</abilityName>
      <candidateList>
        <item>造成二次污染</item>
      </candidateList>
      <explain/>
      <paraID>71146FE9</paraID>
      <start>91</start>
      <end>97</end>
      <status>modified</status>
      <modifiedWord>造成二次污染</modifiedWord>
      <trackRevisions>false</trackRevisions>
    </reviewItem>
    <reviewItem>
      <errorID>cfd64538-53dd-48c3-92b5-400d4816b548</errorID>
      <errorWord>~</errorWord>
      <group>L1_Format</group>
      <groupName>格式问题</groupName>
      <ability>L2_HalfPunc</ability>
      <abilityName>全半角检查</abilityName>
      <candidateList>
        <item>～</item>
      </candidateList>
      <explain>文本全半角错误。</explain>
      <paraID>266E3563</paraID>
      <start>1</start>
      <end>2</end>
      <status>unmodified</status>
      <modifiedWord/>
      <trackRevisions>false</trackRevisions>
    </reviewItem>
    <reviewItem>
      <errorID>9e1457b5-ed0d-4666-998f-6f75efacd448</errorID>
      <errorWord>~</errorWord>
      <group>L1_Format</group>
      <groupName>格式问题</groupName>
      <ability>L2_HalfPunc</ability>
      <abilityName>全半角检查</abilityName>
      <candidateList>
        <item>～</item>
      </candidateList>
      <explain>文本全半角错误。</explain>
      <paraID>43FB4EBD</paraID>
      <start>1</start>
      <end>2</end>
      <status>unmodified</status>
      <modifiedWord/>
      <trackRevisions>false</trackRevisions>
    </reviewItem>
    <reviewItem>
      <errorID>24389b80-9914-4c96-9909-1d1ca708aaf7</errorID>
      <errorWord>~</errorWord>
      <group>L1_Format</group>
      <groupName>格式问题</groupName>
      <ability>L2_HalfPunc</ability>
      <abilityName>全半角检查</abilityName>
      <candidateList>
        <item>～</item>
      </candidateList>
      <explain>文本全半角错误。</explain>
      <paraID>  B28D5F</paraID>
      <start>1</start>
      <end>2</end>
      <status>unmodified</status>
      <modifiedWord/>
      <trackRevisions>false</trackRevisions>
    </reviewItem>
    <reviewItem>
      <errorID>90b36caa-c756-462f-aa51-e099891cd824</errorID>
      <errorWord>~</errorWord>
      <group>L1_Format</group>
      <groupName>格式问题</groupName>
      <ability>L2_HalfPunc</ability>
      <abilityName>全半角检查</abilityName>
      <candidateList>
        <item>～</item>
      </candidateList>
      <explain>文本全半角错误。</explain>
      <paraID>7C23918B</paraID>
      <start>1</start>
      <end>2</end>
      <status>unmodified</status>
      <modifiedWord/>
      <trackRevisions>false</trackRevisions>
    </reviewItem>
    <reviewItem>
      <errorID>bc831a99-ad92-4ca6-95d7-803d3e8f1f33</errorID>
      <errorWord>~</errorWord>
      <group>L1_Format</group>
      <groupName>格式问题</groupName>
      <ability>L2_HalfPunc</ability>
      <abilityName>全半角检查</abilityName>
      <candidateList>
        <item>～</item>
      </candidateList>
      <explain>文本全半角错误。</explain>
      <paraID>7ABE4C47</paraID>
      <start>1</start>
      <end>2</end>
      <status>unmodified</status>
      <modifiedWord/>
      <trackRevisions>false</trackRevisions>
    </reviewItem>
    <reviewItem>
      <errorID>538a176c-cbed-4cdb-a0a5-aafde86a6e14</errorID>
      <errorWord>~</errorWord>
      <group>L1_Format</group>
      <groupName>格式问题</groupName>
      <ability>L2_HalfPunc</ability>
      <abilityName>全半角检查</abilityName>
      <candidateList>
        <item>～</item>
      </candidateList>
      <explain>文本全半角错误。</explain>
      <paraID>7C8405E6</paraID>
      <start>1</start>
      <end>2</end>
      <status>unmodified</status>
      <modifiedWord/>
      <trackRevisions>false</trackRevisions>
    </reviewItem>
    <reviewItem>
      <errorID>084adec9-6f4c-4001-91c6-ef3f7a8e30eb</errorID>
      <errorWord>~</errorWord>
      <group>L1_Format</group>
      <groupName>格式问题</groupName>
      <ability>L2_HalfPunc</ability>
      <abilityName>全半角检查</abilityName>
      <candidateList>
        <item>～</item>
      </candidateList>
      <explain>文本全半角错误。</explain>
      <paraID>350E13E9</paraID>
      <start>1</start>
      <end>2</end>
      <status>unmodified</status>
      <modifiedWord/>
      <trackRevisions>false</trackRevisions>
    </reviewItem>
    <reviewItem>
      <errorID>9ea94bcf-6c8a-441b-a661-62c078cd2b3e</errorID>
      <errorWord>~</errorWord>
      <group>L1_Format</group>
      <groupName>格式问题</groupName>
      <ability>L2_HalfPunc</ability>
      <abilityName>全半角检查</abilityName>
      <candidateList>
        <item>～</item>
      </candidateList>
      <explain>文本全半角错误。</explain>
      <paraID>32100C84</paraID>
      <start>1</start>
      <end>2</end>
      <status>unmodified</status>
      <modifiedWord/>
      <trackRevisions>false</trackRevisions>
    </reviewItem>
    <reviewItem>
      <errorID>0e3c78e0-d99d-4dcc-892e-25d67ff69633</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7E9F0DF8</paraID>
      <start>0</start>
      <end>2</end>
      <status>unmodified</status>
      <modifiedWord/>
      <trackRevisions>false</trackRevisions>
    </reviewItem>
    <reviewItem>
      <errorID>d7b1eb7e-96e4-4101-a164-674f69ac2326</errorID>
      <errorWord>约</errorWord>
      <group>L1_Word</group>
      <groupName>字词问题</groupName>
      <ability>L2_Typo</ability>
      <abilityName>字词错误</abilityName>
      <candidateList>
        <item>越</item>
      </candidateList>
      <explain>存在发音相同字词的误用。</explain>
      <paraID>51D7DBD4</paraID>
      <start>65</start>
      <end>66</end>
      <status>unmodified</status>
      <modifiedWord/>
      <trackRevisions>false</trackRevisions>
    </reviewItem>
    <reviewItem>
      <errorID>ff5d3436-9489-4274-96d2-4ae2c817b35e</errorID>
      <errorWord>重点浓度</errorWord>
      <group>L1_Word</group>
      <groupName>字词问题</groupName>
      <ability>L2_Typo</ability>
      <abilityName>字词错误</abilityName>
      <candidateList>
        <item>终点浓度</item>
      </candidateList>
      <explain/>
      <paraID>4CE09E2D</paraID>
      <start>3</start>
      <end>7</end>
      <status>unmodified</status>
      <modifiedWord/>
      <trackRevisions>false</trackRevisions>
    </reviewItem>
    <reviewItem>
      <errorID>4c80217c-5bc3-4006-9806-f492759ab77c</errorID>
      <errorWord>为</errorWord>
      <group>L1_Word</group>
      <groupName>字词问题</groupName>
      <ability>L2_Typo</ability>
      <abilityName>字词错误</abilityName>
      <candidateList>
        <item>的</item>
      </candidateList>
      <explain>存在字形相近字词的误用。</explain>
      <paraID>32E1E2D6</paraID>
      <start>37</start>
      <end>38</end>
      <status>unmodified</status>
      <modifiedWord/>
      <trackRevisions>false</trackRevisions>
    </reviewItem>
    <reviewItem>
      <errorID>73bcb169-1014-4927-95bb-50ab9fd0926b</errorID>
      <errorWord>后可</errorWord>
      <group>L1_Word</group>
      <groupName>字词问题</groupName>
      <ability>L2_Typo</ability>
      <abilityName>字词错误</abilityName>
      <candidateList>
        <item>后</item>
      </candidateList>
      <explain>❶君主的妻子：皇～｜～妃。❷古代称君主：商之先～。❸（Hòu）〈名〉姓。</explain>
      <paraID>6F6C2475</paraID>
      <start>2</start>
      <end>4</end>
      <status>unmodified</status>
      <modifiedWord/>
      <trackRevisions>false</trackRevisions>
    </reviewItem>
    <reviewItem>
      <errorID>8aaad537-a13d-4201-8ba3-ff610fdb7aa6</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78B68E1</paraID>
      <start>0</start>
      <end>2</end>
      <status>unmodified</status>
      <modifiedWord/>
      <trackRevisions>false</trackRevisions>
    </reviewItem>
    <reviewItem>
      <errorID>7ae55fe8-d5fc-45fd-b03e-b175f2a99708</errorID>
      <errorWord>、、</errorWord>
      <group>L1_Punc</group>
      <groupName>标点问题</groupName>
      <ability>L2_Punc</ability>
      <abilityName>标点符号检查</abilityName>
      <candidateList>
        <item>、</item>
      </candidateList>
      <explain/>
      <paraID> EB07ED8</paraID>
      <start>28</start>
      <end>30</end>
      <status>unmodified</status>
      <modifiedWord/>
      <trackRevisions>false</trackRevisions>
    </reviewItem>
    <reviewItem>
      <errorID>ff11d620-1ffb-4160-a4a5-0b8aabd11b62</errorID>
      <errorWord>泄露</errorWord>
      <group>L1_Word</group>
      <groupName>字词问题</groupName>
      <ability>L2_Typo</ability>
      <abilityName>字词错误</abilityName>
      <candidateList>
        <item>泄漏</item>
      </candidateList>
      <explain>存在发音相同字词的误用。</explain>
      <paraID> EB07ED8</paraID>
      <start>72</start>
      <end>74</end>
      <status>modified</status>
      <modifiedWord>泄漏</modifiedWord>
      <trackRevisions>false</trackRevisions>
    </reviewItem>
    <reviewItem>
      <errorID>63e09b57-c60b-4f2e-8b3d-24bd96785d2a</errorID>
      <errorWord>泄露</errorWord>
      <group>L1_Word</group>
      <groupName>字词问题</groupName>
      <ability>L2_Typo</ability>
      <abilityName>字词错误</abilityName>
      <candidateList>
        <item>泄漏</item>
      </candidateList>
      <explain>存在发音相同字词的误用。</explain>
      <paraID> EB07ED8</paraID>
      <start>90</start>
      <end>92</end>
      <status>modified</status>
      <modifiedWord>泄漏</modifiedWord>
      <trackRevisions>false</trackRevisions>
    </reviewItem>
    <reviewItem>
      <errorID>81218745-3fda-4a96-a67c-b6e720948b46</errorID>
      <errorWord>泄露</errorWord>
      <group>L1_Word</group>
      <groupName>字词问题</groupName>
      <ability>L2_Typo</ability>
      <abilityName>字词错误</abilityName>
      <candidateList>
        <item>泄漏</item>
      </candidateList>
      <explain>存在发音相同字词的误用。</explain>
      <paraID> EB07ED8</paraID>
      <start>102</start>
      <end>104</end>
      <status>modified</status>
      <modifiedWord>泄漏</modifiedWord>
      <trackRevisions>false</trackRevisions>
    </reviewItem>
    <reviewItem>
      <errorID>a4a3ff2a-cd64-4ae8-9224-24725ca93577</errorID>
      <errorWord>]0</errorWord>
      <group>L1_Punc</group>
      <groupName>标点问题</groupName>
      <ability>L2_Punc</ability>
      <abilityName>标点符号检查</abilityName>
      <candidateList>
        <item>〕0</item>
      </candidateList>
      <explain/>
      <paraID>5F20F9B6</paraID>
      <start>19</start>
      <end>21</end>
      <status>unmodified</status>
      <modifiedWord/>
      <trackRevisions>false</trackRevisions>
    </reviewItem>
    <reviewItem>
      <errorID>26e8ba06-e8a2-4a51-9b6c-142d4e1d0ff0</errorID>
      <errorWord>)</errorWord>
      <group>L1_Format</group>
      <groupName>格式问题</groupName>
      <ability>L2_HalfPunc</ability>
      <abilityName>全半角检查</abilityName>
      <candidateList>
        <item>）</item>
      </candidateList>
      <explain>文本全半角错误。</explain>
      <paraID>2C117BC9</paraID>
      <start>21</start>
      <end>22</end>
      <status>unmodified</status>
      <modifiedWord/>
      <trackRevisions>false</trackRevisions>
    </reviewItem>
    <reviewItem>
      <errorID>fd7c3937-1655-4fa1-856d-d4191ddb3413</errorID>
      <errorWord>)</errorWord>
      <group>L1_Format</group>
      <groupName>格式问题</groupName>
      <ability>L2_HalfPunc</ability>
      <abilityName>全半角检查</abilityName>
      <candidateList>
        <item>）</item>
      </candidateList>
      <explain>文本全半角错误。</explain>
      <paraID> E215B93</paraID>
      <start>21</start>
      <end>22</end>
      <status>unmodified</status>
      <modifiedWord/>
      <trackRevisions>false</trackRevisions>
    </reviewItem>
    <reviewItem>
      <errorID>101a447b-3f58-4eb7-a43c-b1a919f4764f</errorID>
      <errorWord>液体汽化</errorWord>
      <group>L1_Word</group>
      <groupName>字词问题</groupName>
      <ability>L2_Typo</ability>
      <abilityName>字词错误</abilityName>
      <candidateList>
        <item>液体气化</item>
      </candidateList>
      <explain/>
      <paraID>3283B3F6</paraID>
      <start>2</start>
      <end>6</end>
      <status>unmodified</status>
      <modifiedWord/>
      <trackRevisions>false</trackRevisions>
    </reviewItem>
    <reviewItem>
      <errorID>53cbfcef-e61e-4534-92d7-8f31e1ed8355</errorID>
      <errorWord>)</errorWord>
      <group>L1_Format</group>
      <groupName>格式问题</groupName>
      <ability>L2_HalfPunc</ability>
      <abilityName>全半角检查</abilityName>
      <candidateList>
        <item>）</item>
      </candidateList>
      <explain>文本全半角错误。</explain>
      <paraID>680B4F0F</paraID>
      <start>20</start>
      <end>21</end>
      <status>unmodified</status>
      <modifiedWord/>
      <trackRevisions>false</trackRevisions>
    </reviewItem>
    <reviewItem>
      <errorID>a4002e08-4489-4848-9792-e2eb416a55f6</errorID>
      <errorWord>a,</errorWord>
      <group>L1_Format</group>
      <groupName>格式问题</groupName>
      <ability>L2_Ordinal</ability>
      <abilityName>序号格式</abilityName>
      <candidateList>
        <item>a.</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3255A065</paraID>
      <start>0</start>
      <end>2</end>
      <status>unmodified</status>
      <modifiedWord/>
      <trackRevisions>false</trackRevisions>
    </reviewItem>
    <reviewItem>
      <errorID>a4bfc728-2733-41f5-9aaf-c073c7c089be</errorID>
      <errorWord>①、</errorWord>
      <group>L1_Format</group>
      <groupName>格式问题</groupName>
      <ability>L2_Ordinal</ability>
      <abilityName>序号格式</abilityName>
      <candidateList>
        <item>①</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5111D5ED</paraID>
      <start>14</start>
      <end>16</end>
      <status>unmodified</status>
      <modifiedWord/>
      <trackRevisions>false</trackRevisions>
    </reviewItem>
    <reviewItem>
      <errorID>3f989024-43d0-4001-9e12-d8589bc2be30</errorID>
      <errorWord>②、</errorWord>
      <group>L1_Format</group>
      <groupName>格式问题</groupName>
      <ability>L2_Ordinal</ability>
      <abilityName>序号格式</abilityName>
      <candidateList>
        <item>②</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2F280EDE</paraID>
      <start>14</start>
      <end>16</end>
      <status>unmodified</status>
      <modifiedWord/>
      <trackRevisions>false</trackRevisions>
    </reviewItem>
    <reviewItem>
      <errorID>35e70609-723a-4437-af75-e2dce15065d3</errorID>
      <errorWord>计</errorWord>
      <group>L1_Word</group>
      <groupName>字词问题</groupName>
      <ability>L2_Typo</ability>
      <abilityName>字词错误</abilityName>
      <candidateList>
        <item>计算</item>
      </candidateList>
      <explain/>
      <paraID>6427CBEA</paraID>
      <start>15</start>
      <end>16</end>
      <status>unmodified</status>
      <modifiedWord/>
      <trackRevisions>false</trackRevisions>
    </reviewItem>
    <reviewItem>
      <errorID>8e420af6-35a5-4e46-8d58-5b9d20884fc1</errorID>
      <errorWord>水域内</errorWord>
      <group>L1_Word</group>
      <groupName>字词问题</groupName>
      <ability>L2_Typo</ability>
      <abilityName>字词错误</abilityName>
      <candidateList>
        <item>水域</item>
      </candidateList>
      <explain/>
      <paraID> F75663F</paraID>
      <start>140</start>
      <end>143</end>
      <status>unmodified</status>
      <modifiedWord/>
      <trackRevisions>false</trackRevisions>
    </reviewItem>
    <reviewItem>
      <errorID>4a6fd8d3-7de0-4191-97de-8636d16be796</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20531A5</paraID>
      <start>0</start>
      <end>2</end>
      <status>unmodified</status>
      <modifiedWord/>
      <trackRevisions>false</trackRevisions>
    </reviewItem>
    <reviewItem>
      <errorID>c03e9934-d963-4036-8ebd-3d0f6213c998</errorID>
      <errorWord>30%~50%</errorWord>
      <group>L1_Knowledge</group>
      <groupName>知识性问题</groupName>
      <ability>L2_Knowledge</ability>
      <abilityName>其他知识</abilityName>
      <candidateList>
        <item>30%～50%</item>
      </candidateList>
      <explain>1. “30%~50%”中的单位“%”仅出现在后一个数字上，容易引起歧义；根据《现代汉语标点符号数字用法规范手册》，数字表示范围两边需要使用统一的格式。2. 根据标点国标 4.13 中的规则，数字、时间或地域连接符应使用（视觉上更长的）“—”或“～”。</explain>
      <paraID>65ECE389</paraID>
      <start>106</start>
      <end>113</end>
      <status>unmodified</status>
      <modifiedWord/>
      <trackRevisions>false</trackRevisions>
    </reviewItem>
    <reviewItem>
      <errorID>70d37694-21ef-4842-9307-979663b7655d</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72F733A0</paraID>
      <start>0</start>
      <end>2</end>
      <status>unmodified</status>
      <modifiedWord/>
      <trackRevisions>false</trackRevisions>
    </reviewItem>
    <reviewItem>
      <errorID>f49ab28d-d729-4afc-beca-312c3db6c8a5</errorID>
      <errorWord>（</errorWord>
      <group>L1_Format</group>
      <groupName>格式问题</groupName>
      <ability>L2_HalfPunc</ability>
      <abilityName>全半角检查</abilityName>
      <candidateList>
        <item>(</item>
      </candidateList>
      <explain>文本全半角错误。</explain>
      <paraID>334235FB</paraID>
      <start>0</start>
      <end>1</end>
      <status>unmodified</status>
      <modifiedWord/>
      <trackRevisions>false</trackRevisions>
    </reviewItem>
    <reviewItem>
      <errorID>1ddaed50-cd50-46e3-b3ff-3a8c0db6de43</errorID>
      <errorWord>）</errorWord>
      <group>L1_Format</group>
      <groupName>格式问题</groupName>
      <ability>L2_HalfPunc</ability>
      <abilityName>全半角检查</abilityName>
      <candidateList>
        <item>)</item>
      </candidateList>
      <explain>文本全半角错误。</explain>
      <paraID>334235FB</paraID>
      <start>2</start>
      <end>3</end>
      <status>unmodified</status>
      <modifiedWord/>
      <trackRevisions>false</trackRevisions>
    </reviewItem>
    <reviewItem>
      <errorID>14c41857-4295-4e40-ade5-3a70bd154520</errorID>
      <errorWord>x、</errorWord>
      <group>L1_Format</group>
      <groupName>格式问题</groupName>
      <ability>L2_Ordinal</ability>
      <abilityName>序号格式</abilityName>
      <candidateList>
        <item>x.</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28826794</paraID>
      <start>0</start>
      <end>2</end>
      <status>unmodified</status>
      <modifiedWord/>
      <trackRevisions>false</trackRevisions>
    </reviewItem>
    <reviewItem>
      <errorID>0b649728-c241-4716-8ed5-5d8c5cf5b165</errorID>
      <errorWord>（</errorWord>
      <group>L1_Format</group>
      <groupName>格式问题</groupName>
      <ability>L2_HalfPunc</ability>
      <abilityName>全半角检查</abilityName>
      <candidateList>
        <item>(</item>
      </candidateList>
      <explain>文本全半角错误。</explain>
      <paraID>4BCDD3FE</paraID>
      <start>0</start>
      <end>1</end>
      <status>unmodified</status>
      <modifiedWord/>
      <trackRevisions>false</trackRevisions>
    </reviewItem>
    <reviewItem>
      <errorID>185990b0-2401-4708-a1d1-dbcaa63cdf84</errorID>
      <errorWord>）</errorWord>
      <group>L1_Format</group>
      <groupName>格式问题</groupName>
      <ability>L2_HalfPunc</ability>
      <abilityName>全半角检查</abilityName>
      <candidateList>
        <item>)</item>
      </candidateList>
      <explain>文本全半角错误。</explain>
      <paraID>4BCDD3FE</paraID>
      <start>2</start>
      <end>3</end>
      <status>unmodified</status>
      <modifiedWord/>
      <trackRevisions>false</trackRevisions>
    </reviewItem>
    <reviewItem>
      <errorID>55e8b79f-4dae-4704-ab47-7da3fb411630</errorID>
      <errorWord>（</errorWord>
      <group>L1_Format</group>
      <groupName>格式问题</groupName>
      <ability>L2_HalfPunc</ability>
      <abilityName>全半角检查</abilityName>
      <candidateList>
        <item>(</item>
      </candidateList>
      <explain>文本全半角错误。</explain>
      <paraID>16869D58</paraID>
      <start>0</start>
      <end>1</end>
      <status>unmodified</status>
      <modifiedWord/>
      <trackRevisions>false</trackRevisions>
    </reviewItem>
    <reviewItem>
      <errorID>037f2cda-c95d-4dfe-b66b-a7c0d5642ca7</errorID>
      <errorWord>）</errorWord>
      <group>L1_Format</group>
      <groupName>格式问题</groupName>
      <ability>L2_HalfPunc</ability>
      <abilityName>全半角检查</abilityName>
      <candidateList>
        <item>)</item>
      </candidateList>
      <explain>文本全半角错误。</explain>
      <paraID>16869D58</paraID>
      <start>2</start>
      <end>3</end>
      <status>unmodified</status>
      <modifiedWord/>
      <trackRevisions>false</trackRevisions>
    </reviewItem>
    <reviewItem>
      <errorID>772f37a3-0914-4239-b42f-9212e67fb8bd</errorID>
      <errorWord>-</errorWord>
      <group>L1_Format</group>
      <groupName>格式问题</groupName>
      <ability>L2_HalfPunc</ability>
      <abilityName>全半角检查</abilityName>
      <candidateList>
        <item>－</item>
      </candidateList>
      <explain>文本全半角错误。</explain>
      <paraID>43BBDFED</paraID>
      <start>4</start>
      <end>5</end>
      <status>unmodified</status>
      <modifiedWord/>
      <trackRevisions>false</trackRevisions>
    </reviewItem>
    <reviewItem>
      <errorID>0747fbd8-c1bd-4c6d-b9af-edaa6d38ff0b</errorID>
      <errorWord>（</errorWord>
      <group>L1_Format</group>
      <groupName>格式问题</groupName>
      <ability>L2_HalfPunc</ability>
      <abilityName>全半角检查</abilityName>
      <candidateList>
        <item>(</item>
      </candidateList>
      <explain>文本全半角错误。</explain>
      <paraID> 16E2BB1</paraID>
      <start>0</start>
      <end>1</end>
      <status>unmodified</status>
      <modifiedWord/>
      <trackRevisions>false</trackRevisions>
    </reviewItem>
    <reviewItem>
      <errorID>3a6033ba-ae7d-4c0c-b8f8-5d1ac16251bf</errorID>
      <errorWord>）</errorWord>
      <group>L1_Format</group>
      <groupName>格式问题</groupName>
      <ability>L2_HalfPunc</ability>
      <abilityName>全半角检查</abilityName>
      <candidateList>
        <item>)</item>
      </candidateList>
      <explain>文本全半角错误。</explain>
      <paraID> 16E2BB1</paraID>
      <start>2</start>
      <end>3</end>
      <status>unmodified</status>
      <modifiedWord/>
      <trackRevisions>false</trackRevisions>
    </reviewItem>
    <reviewItem>
      <errorID>860a4908-bcb7-464d-8802-5ce547bc49c2</errorID>
      <errorWord>（</errorWord>
      <group>L1_Format</group>
      <groupName>格式问题</groupName>
      <ability>L2_HalfPunc</ability>
      <abilityName>全半角检查</abilityName>
      <candidateList>
        <item>(</item>
      </candidateList>
      <explain>文本全半角错误。</explain>
      <paraID> 649E39C</paraID>
      <start>0</start>
      <end>1</end>
      <status>unmodified</status>
      <modifiedWord/>
      <trackRevisions>false</trackRevisions>
    </reviewItem>
    <reviewItem>
      <errorID>b14f10a6-374f-4367-b60b-cac94f0e0ae3</errorID>
      <errorWord>）</errorWord>
      <group>L1_Format</group>
      <groupName>格式问题</groupName>
      <ability>L2_HalfPunc</ability>
      <abilityName>全半角检查</abilityName>
      <candidateList>
        <item>)</item>
      </candidateList>
      <explain>文本全半角错误。</explain>
      <paraID> 649E39C</paraID>
      <start>2</start>
      <end>3</end>
      <status>unmodified</status>
      <modifiedWord/>
      <trackRevisions>false</trackRevisions>
    </reviewItem>
    <reviewItem>
      <errorID>d903422c-32aa-4bd9-bd81-2820e3927199</errorID>
      <errorWord>-</errorWord>
      <group>L1_Format</group>
      <groupName>格式问题</groupName>
      <ability>L2_HalfPunc</ability>
      <abilityName>全半角检查</abilityName>
      <candidateList>
        <item>－</item>
      </candidateList>
      <explain>文本全半角错误。</explain>
      <paraID>2C60E259</paraID>
      <start>5</start>
      <end>6</end>
      <status>unmodified</status>
      <modifiedWord/>
      <trackRevisions>false</trackRevisions>
    </reviewItem>
    <reviewItem>
      <errorID>7c5a4386-7d1f-4c82-90dd-927a15d228e1</errorID>
      <errorWord>-</errorWord>
      <group>L1_Format</group>
      <groupName>格式问题</groupName>
      <ability>L2_HalfPunc</ability>
      <abilityName>全半角检查</abilityName>
      <candidateList>
        <item>－</item>
      </candidateList>
      <explain>文本全半角错误。</explain>
      <paraID>2C60E259</paraID>
      <start>15</start>
      <end>16</end>
      <status>unmodified</status>
      <modifiedWord/>
      <trackRevisions>false</trackRevisions>
    </reviewItem>
    <reviewItem>
      <errorID>f96a869b-b45c-4404-aaa8-7cb75c79c041</errorID>
      <errorWord>（</errorWord>
      <group>L1_Format</group>
      <groupName>格式问题</groupName>
      <ability>L2_HalfPunc</ability>
      <abilityName>全半角检查</abilityName>
      <candidateList>
        <item>(</item>
      </candidateList>
      <explain>文本全半角错误。</explain>
      <paraID>5EB39198</paraID>
      <start>0</start>
      <end>1</end>
      <status>unmodified</status>
      <modifiedWord/>
      <trackRevisions>false</trackRevisions>
    </reviewItem>
    <reviewItem>
      <errorID>a123d62f-39b5-4aa1-aa71-2ca172cb6aa1</errorID>
      <errorWord>）</errorWord>
      <group>L1_Format</group>
      <groupName>格式问题</groupName>
      <ability>L2_HalfPunc</ability>
      <abilityName>全半角检查</abilityName>
      <candidateList>
        <item>)</item>
      </candidateList>
      <explain>文本全半角错误。</explain>
      <paraID>5EB39198</paraID>
      <start>2</start>
      <end>3</end>
      <status>unmodified</status>
      <modifiedWord/>
      <trackRevisions>false</trackRevisions>
    </reviewItem>
    <reviewItem>
      <errorID>988b9ac9-fdfa-4dc8-8fe5-996bd4dcd028</errorID>
      <errorWord>（</errorWord>
      <group>L1_Format</group>
      <groupName>格式问题</groupName>
      <ability>L2_HalfPunc</ability>
      <abilityName>全半角检查</abilityName>
      <candidateList>
        <item>(</item>
      </candidateList>
      <explain>文本全半角错误。</explain>
      <paraID>21AAFC84</paraID>
      <start>0</start>
      <end>1</end>
      <status>unmodified</status>
      <modifiedWord/>
      <trackRevisions>false</trackRevisions>
    </reviewItem>
    <reviewItem>
      <errorID>d0e2dfd6-252a-4269-a4b9-484d912bb437</errorID>
      <errorWord>）</errorWord>
      <group>L1_Format</group>
      <groupName>格式问题</groupName>
      <ability>L2_HalfPunc</ability>
      <abilityName>全半角检查</abilityName>
      <candidateList>
        <item>)</item>
      </candidateList>
      <explain>文本全半角错误。</explain>
      <paraID>21AAFC84</paraID>
      <start>2</start>
      <end>3</end>
      <status>unmodified</status>
      <modifiedWord/>
      <trackRevisions>false</trackRevisions>
    </reviewItem>
    <reviewItem>
      <errorID>6c2c3746-16df-4f09-a901-5c30005ad09a</errorID>
      <errorWord>外海开</errorWord>
      <group>L1_Word</group>
      <groupName>字词问题</groupName>
      <ability>L2_Typo</ability>
      <abilityName>字词错误</abilityName>
      <candidateList>
        <item>外海</item>
      </candidateList>
      <explain/>
      <paraID>76FE908B</paraID>
      <start>43</start>
      <end>46</end>
      <status>unmodified</status>
      <modifiedWord/>
      <trackRevisions>false</trackRevisions>
    </reviewItem>
    <reviewItem>
      <errorID>358da304-61fc-4baf-863f-c0e1c5895097</errorID>
      <errorWord>)</errorWord>
      <group>L1_Format</group>
      <groupName>格式问题</groupName>
      <ability>L2_HalfPunc</ability>
      <abilityName>全半角检查</abilityName>
      <candidateList>
        <item>）</item>
      </candidateList>
      <explain>文本全半角错误。</explain>
      <paraID>76FE908B</paraID>
      <start>138</start>
      <end>139</end>
      <status>unmodified</status>
      <modifiedWord/>
      <trackRevisions>false</trackRevisions>
    </reviewItem>
    <reviewItem>
      <errorID>50cb3d78-30e9-486b-b33c-1f3fb0270105</errorID>
      <errorWord>)</errorWord>
      <group>L1_Format</group>
      <groupName>格式问题</groupName>
      <ability>L2_HalfPunc</ability>
      <abilityName>全半角检查</abilityName>
      <candidateList>
        <item>）</item>
      </candidateList>
      <explain>文本全半角错误。</explain>
      <paraID>76FE908B</paraID>
      <start>169</start>
      <end>170</end>
      <status>unmodified</status>
      <modifiedWord/>
      <trackRevisions>false</trackRevisions>
    </reviewItem>
    <reviewItem>
      <errorID>b006f7eb-0cd5-49fd-aeeb-90fdd70bd97b</errorID>
      <errorWord>日本、台湾</errorWord>
      <group>L1_Political</group>
      <groupName>政治性问题</groupName>
      <ability>L2_Unpolitical</ability>
      <abilityName>政治敏感错误</abilityName>
      <candidateList/>
      <explain/>
      <paraID>76FE908B</paraID>
      <start>489</start>
      <end>494</end>
      <status>unmodified</status>
      <modifiedWord/>
      <trackRevisions>false</trackRevisions>
    </reviewItem>
    <reviewItem>
      <errorID>e48d7c4c-edbb-4539-a07d-e0eb57a45950</errorID>
      <errorWord>福建</errorWord>
      <group>L1_Political</group>
      <groupName>政治性问题</groupName>
      <ability>L2_Unpolitical</ability>
      <abilityName>政治敏感错误</abilityName>
      <candidateList/>
      <explain>省级行政单位不能与国家并列。</explain>
      <paraID>76FE908B</paraID>
      <start>495</start>
      <end>497</end>
      <status>unmodified</status>
      <modifiedWord/>
      <trackRevisions>false</trackRevisions>
    </reviewItem>
    <reviewItem>
      <errorID>a2dba48a-c5d4-4c33-abe4-3a2d542bfa00</errorID>
      <errorWord>包括了</errorWord>
      <group>L1_Word</group>
      <groupName>字词问题</groupName>
      <ability>L2_Typo</ability>
      <abilityName>字词错误</abilityName>
      <candidateList>
        <item>包括</item>
      </candidateList>
      <explain/>
      <paraID>28D68086</paraID>
      <start>51</start>
      <end>54</end>
      <status>unmodified</status>
      <modifiedWord/>
      <trackRevisions>false</trackRevisions>
    </reviewItem>
    <reviewItem>
      <errorID>33ee7c7c-febe-4c4d-a0b5-0a2a6b6a2907</errorID>
      <errorWord>(</errorWord>
      <group>L1_Format</group>
      <groupName>格式问题</groupName>
      <ability>L2_HalfPunc</ability>
      <abilityName>全半角检查</abilityName>
      <candidateList>
        <item>（</item>
      </candidateList>
      <explain>文本全半角错误。</explain>
      <paraID>3FD64CD5</paraID>
      <start>30</start>
      <end>31</end>
      <status>unmodified</status>
      <modifiedWord/>
      <trackRevisions>false</trackRevisions>
    </reviewItem>
    <reviewItem>
      <errorID>bfc709af-9045-4835-b3aa-bc93335a754e</errorID>
      <errorWord>)</errorWord>
      <group>L1_Format</group>
      <groupName>格式问题</groupName>
      <ability>L2_HalfPunc</ability>
      <abilityName>全半角检查</abilityName>
      <candidateList>
        <item>）</item>
      </candidateList>
      <explain>文本全半角错误。</explain>
      <paraID>3FD64CD5</paraID>
      <start>35</start>
      <end>36</end>
      <status>unmodified</status>
      <modifiedWord/>
      <trackRevisions>false</trackRevisions>
    </reviewItem>
    <reviewItem>
      <errorID>d72cd7b3-fa15-4b86-a158-13efc70d459f</errorID>
      <errorWord>~</errorWord>
      <group>L1_Format</group>
      <groupName>格式问题</groupName>
      <ability>L2_HalfPunc</ability>
      <abilityName>全半角检查</abilityName>
      <candidateList>
        <item>～</item>
      </candidateList>
      <explain>文本全半角错误。</explain>
      <paraID>2BFB48BD</paraID>
      <start>77</start>
      <end>78</end>
      <status>unmodified</status>
      <modifiedWord/>
      <trackRevisions>false</trackRevisions>
    </reviewItem>
    <reviewItem>
      <errorID>81e458cb-04bf-4b5a-8207-cb464da170ce</errorID>
      <errorWord>，</errorWord>
      <group>L1_Word</group>
      <groupName>字词问题</groupName>
      <ability>L2_Typo</ability>
      <abilityName>字词错误</abilityName>
      <candidateList>
        <item>，对</item>
      </candidateList>
      <explain/>
      <paraID>7BFECBA1</paraID>
      <start>178</start>
      <end>179</end>
      <status>unmodified</status>
      <modifiedWord/>
      <trackRevisions>false</trackRevisions>
    </reviewItem>
    <reviewItem>
      <errorID>08ec6a27-829e-407c-9a8f-1f02de4f3e53</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7BFECBA1</paraID>
      <start>217</start>
      <end>218</end>
      <status>unmodified</status>
      <modifiedWord/>
      <trackRevisions>false</trackRevisions>
    </reviewItem>
    <reviewItem>
      <errorID>553c4bc0-a53b-4a90-93fd-7c46438e1c36</errorID>
      <errorWord>潮位开</errorWord>
      <group>L1_Word</group>
      <groupName>字词问题</groupName>
      <ability>L2_Typo</ability>
      <abilityName>字词错误</abilityName>
      <candidateList>
        <item>潮位</item>
      </candidateList>
      <explain/>
      <paraID>3CA0D079</paraID>
      <start>98</start>
      <end>101</end>
      <status>unmodified</status>
      <modifiedWord/>
      <trackRevisions>false</trackRevisions>
    </reviewItem>
    <reviewItem>
      <errorID>a0ae7066-ec77-41ca-950b-a7b47cc4c80a</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3CA0D079</paraID>
      <start>323</start>
      <end>324</end>
      <status>unmodified</status>
      <modifiedWord/>
      <trackRevisions>false</trackRevisions>
    </reviewItem>
    <reviewItem>
      <errorID>f0132f14-d01f-4c9b-ab59-d58f6b5cd17d</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7C4563E1</paraID>
      <start>62</start>
      <end>63</end>
      <status>unmodified</status>
      <modifiedWord/>
      <trackRevisions>false</trackRevisions>
    </reviewItem>
    <reviewItem>
      <errorID>055e8ce5-b254-4c85-ba29-6de8425c56f6</errorID>
      <errorWord>~</errorWord>
      <group>L1_Format</group>
      <groupName>格式问题</groupName>
      <ability>L2_HalfPunc</ability>
      <abilityName>全半角检查</abilityName>
      <candidateList>
        <item>～</item>
      </candidateList>
      <explain>文本全半角错误。</explain>
      <paraID>2A734332</paraID>
      <start>5</start>
      <end>6</end>
      <status>unmodified</status>
      <modifiedWord/>
      <trackRevisions>false</trackRevisions>
    </reviewItem>
    <reviewItem>
      <errorID>49d12c0d-c664-4347-82b5-d781526847fb</errorID>
      <errorWord>导致了</errorWord>
      <group>L1_Word</group>
      <groupName>字词问题</groupName>
      <ability>L2_Typo</ability>
      <abilityName>字词错误</abilityName>
      <candidateList>
        <item>导致</item>
      </candidateList>
      <explain>〈动〉引起：由一些小的矛盾～双方关系破裂。</explain>
      <paraID>2A734332</paraID>
      <start>162</start>
      <end>165</end>
      <status>unmodified</status>
      <modifiedWord/>
      <trackRevisions>false</trackRevisions>
    </reviewItem>
    <reviewItem>
      <errorID>0d97917f-0508-46d5-9ca8-fba823e1bd07</errorID>
      <errorWord>(</errorWord>
      <group>L1_Format</group>
      <groupName>格式问题</groupName>
      <ability>L2_HalfPunc</ability>
      <abilityName>全半角检查</abilityName>
      <candidateList>
        <item>（</item>
      </candidateList>
      <explain>文本全半角错误。</explain>
      <paraID>2A734332</paraID>
      <start>212</start>
      <end>213</end>
      <status>unmodified</status>
      <modifiedWord/>
      <trackRevisions>false</trackRevisions>
    </reviewItem>
    <reviewItem>
      <errorID>4871bc92-fa5e-4116-bee9-cbb8f35a6c6d</errorID>
      <errorWord>)</errorWord>
      <group>L1_Format</group>
      <groupName>格式问题</groupName>
      <ability>L2_HalfPunc</ability>
      <abilityName>全半角检查</abilityName>
      <candidateList>
        <item>）</item>
      </candidateList>
      <explain>文本全半角错误。</explain>
      <paraID>2A734332</paraID>
      <start>229</start>
      <end>230</end>
      <status>unmodified</status>
      <modifiedWord/>
      <trackRevisions>false</trackRevisions>
    </reviewItem>
    <reviewItem>
      <errorID>7f8dd728-bf14-403c-9310-23f6ba0cb9bc</errorID>
      <errorWord>~</errorWord>
      <group>L1_Format</group>
      <groupName>格式问题</groupName>
      <ability>L2_HalfPunc</ability>
      <abilityName>全半角检查</abilityName>
      <candidateList>
        <item>～</item>
      </candidateList>
      <explain>文本全半角错误。</explain>
      <paraID>5593875B</paraID>
      <start>9</start>
      <end>10</end>
      <status>unmodified</status>
      <modifiedWord/>
      <trackRevisions>false</trackRevisions>
    </reviewItem>
    <reviewItem>
      <errorID>61473886-a29b-4445-9b4f-a23196c4923d</errorID>
      <errorWord>~</errorWord>
      <group>L1_Format</group>
      <groupName>格式问题</groupName>
      <ability>L2_HalfPunc</ability>
      <abilityName>全半角检查</abilityName>
      <candidateList>
        <item>～</item>
      </candidateList>
      <explain>文本全半角错误。</explain>
      <paraID>5593875B</paraID>
      <start>66</start>
      <end>67</end>
      <status>unmodified</status>
      <modifiedWord/>
      <trackRevisions>false</trackRevisions>
    </reviewItem>
    <reviewItem>
      <errorID>3db073ce-b57d-4c9e-b25b-2458cbc24923</errorID>
      <errorWord>-</errorWord>
      <group>L1_Format</group>
      <groupName>格式问题</groupName>
      <ability>L2_HalfPunc</ability>
      <abilityName>全半角检查</abilityName>
      <candidateList>
        <item>－</item>
      </candidateList>
      <explain>文本全半角错误。</explain>
      <paraID>5593875B</paraID>
      <start>339</start>
      <end>340</end>
      <status>unmodified</status>
      <modifiedWord/>
      <trackRevisions>false</trackRevisions>
    </reviewItem>
    <reviewItem>
      <errorID>cebf9529-685b-4782-b355-7edc0253bfe7</errorID>
      <errorWord>泄露</errorWord>
      <group>L1_Word</group>
      <groupName>字词问题</groupName>
      <ability>L2_Typo</ability>
      <abilityName>字词错误</abilityName>
      <candidateList>
        <item>泄漏</item>
      </candidateList>
      <explain>存在发音相同字词的误用。</explain>
      <paraID>1A8DCC94</paraID>
      <start>13</start>
      <end>15</end>
      <status>modified</status>
      <modifiedWord>泄漏</modifiedWord>
      <trackRevisions>false</trackRevisions>
    </reviewItem>
    <reviewItem>
      <errorID>005f9265-a8d5-4c3b-8593-0875e712b1d2</errorID>
      <errorWord>水域内</errorWord>
      <group>L1_Word</group>
      <groupName>字词问题</groupName>
      <ability>L2_Typo</ability>
      <abilityName>字词错误</abilityName>
      <candidateList>
        <item>水域</item>
      </candidateList>
      <explain/>
      <paraID>6CAFFD56</paraID>
      <start>46</start>
      <end>49</end>
      <status>unmodified</status>
      <modifiedWord/>
      <trackRevisions>false</trackRevisions>
    </reviewItem>
    <reviewItem>
      <errorID>68acbb83-4de9-4d36-b73d-5e2f30a711f9</errorID>
      <errorWord>3成</errorWord>
      <group>L1_Knowledge</group>
      <groupName>知识性问题</groupName>
      <ability>L2_Knowledge</ability>
      <abilityName>其他知识</abilityName>
      <candidateList>
        <item>三成</item>
      </candidateList>
      <explain>根据《现代汉语标点符号数字用法规范手册》，中文表示比例，建议使用中文数字。如“3成”改为“三成”。</explain>
      <paraID>3492425C</paraID>
      <start>165</start>
      <end>167</end>
      <status>unmodified</status>
      <modifiedWord/>
      <trackRevisions>false</trackRevisions>
    </reviewItem>
    <reviewItem>
      <errorID>45245255-5998-46ff-8066-0dbe31383925</errorID>
      <errorWord>破环</errorWord>
      <group>L1_Word</group>
      <groupName>字词问题</groupName>
      <ability>L2_Typo</ability>
      <abilityName>字词错误</abilityName>
      <candidateList>
        <item>破坏</item>
      </candidateList>
      <explain>〈动〉❶使建筑物等损坏：～桥梁｜～文物。❷使事物受到损害：～生产｜～名誉。❸变革（社会制度、风俗习惯等）。❹违反（规章、条约等）：～协定｜～规矩。❺（物体的组织或结构）损坏：维生素C因受热而～。</explain>
      <paraID>50F152FC</paraID>
      <start>18</start>
      <end>20</end>
      <status>unmodified</status>
      <modifiedWord/>
      <trackRevisions>false</trackRevisions>
    </reviewItem>
    <reviewItem>
      <errorID>461c7f67-ccab-47b5-9211-72fa7b3d552a</errorID>
      <errorWord>(</errorWord>
      <group>L1_Format</group>
      <groupName>格式问题</groupName>
      <ability>L2_HalfPunc</ability>
      <abilityName>全半角检查</abilityName>
      <candidateList>
        <item>（</item>
      </candidateList>
      <explain>文本全半角错误。</explain>
      <paraID> D3DC62C</paraID>
      <start>21</start>
      <end>22</end>
      <status>unmodified</status>
      <modifiedWord/>
      <trackRevisions>false</trackRevisions>
    </reviewItem>
    <reviewItem>
      <errorID>21c76af7-10e0-4b45-86c1-f094e2b104d9</errorID>
      <errorWord>)</errorWord>
      <group>L1_Format</group>
      <groupName>格式问题</groupName>
      <ability>L2_HalfPunc</ability>
      <abilityName>全半角检查</abilityName>
      <candidateList>
        <item>）</item>
      </candidateList>
      <explain>文本全半角错误。</explain>
      <paraID> D3DC62C</paraID>
      <start>27</start>
      <end>28</end>
      <status>unmodified</status>
      <modifiedWord/>
      <trackRevisions>false</trackRevisions>
    </reviewItem>
    <reviewItem>
      <errorID>b337c348-fa60-4c2e-8475-8f888291ccb7</errorID>
      <errorWord>(</errorWord>
      <group>L1_Format</group>
      <groupName>格式问题</groupName>
      <ability>L2_HalfPunc</ability>
      <abilityName>全半角检查</abilityName>
      <candidateList>
        <item>（</item>
      </candidateList>
      <explain>文本全半角错误。</explain>
      <paraID> D3DC62C</paraID>
      <start>52</start>
      <end>53</end>
      <status>unmodified</status>
      <modifiedWord/>
      <trackRevisions>false</trackRevisions>
    </reviewItem>
    <reviewItem>
      <errorID>2357f12e-a03f-4a85-b6f6-bc2ab2122cc6</errorID>
      <errorWord>)</errorWord>
      <group>L1_Format</group>
      <groupName>格式问题</groupName>
      <ability>L2_HalfPunc</ability>
      <abilityName>全半角检查</abilityName>
      <candidateList>
        <item>）</item>
      </candidateList>
      <explain>文本全半角错误。</explain>
      <paraID> D3DC62C</paraID>
      <start>54</start>
      <end>55</end>
      <status>unmodified</status>
      <modifiedWord/>
      <trackRevisions>false</trackRevisions>
    </reviewItem>
    <reviewItem>
      <errorID>9e7e2af2-a313-4b6b-b15d-656b1a308d88</errorID>
      <errorWord>(</errorWord>
      <group>L1_Format</group>
      <groupName>格式问题</groupName>
      <ability>L2_HalfPunc</ability>
      <abilityName>全半角检查</abilityName>
      <candidateList>
        <item>（</item>
      </candidateList>
      <explain>文本全半角错误。</explain>
      <paraID>5ACD86BF</paraID>
      <start>116</start>
      <end>117</end>
      <status>unmodified</status>
      <modifiedWord/>
      <trackRevisions>false</trackRevisions>
    </reviewItem>
    <reviewItem>
      <errorID>fb07502a-c1ae-4747-85f9-2fe223105804</errorID>
      <errorWord>)</errorWord>
      <group>L1_Format</group>
      <groupName>格式问题</groupName>
      <ability>L2_HalfPunc</ability>
      <abilityName>全半角检查</abilityName>
      <candidateList>
        <item>）</item>
      </candidateList>
      <explain>文本全半角错误。</explain>
      <paraID>5ACD86BF</paraID>
      <start>118</start>
      <end>119</end>
      <status>unmodified</status>
      <modifiedWord/>
      <trackRevisions>false</trackRevisions>
    </reviewItem>
    <reviewItem>
      <errorID>99abca2b-ce11-42e7-bbb9-27a0c12b6c41</errorID>
      <errorWord>(</errorWord>
      <group>L1_Format</group>
      <groupName>格式问题</groupName>
      <ability>L2_HalfPunc</ability>
      <abilityName>全半角检查</abilityName>
      <candidateList>
        <item>（</item>
      </candidateList>
      <explain>文本全半角错误。</explain>
      <paraID>5ACD86BF</paraID>
      <start>126</start>
      <end>127</end>
      <status>unmodified</status>
      <modifiedWord/>
      <trackRevisions>false</trackRevisions>
    </reviewItem>
    <reviewItem>
      <errorID>e63e37f0-7710-47c0-969a-14259aae4d80</errorID>
      <errorWord>)</errorWord>
      <group>L1_Format</group>
      <groupName>格式问题</groupName>
      <ability>L2_HalfPunc</ability>
      <abilityName>全半角检查</abilityName>
      <candidateList>
        <item>）</item>
      </candidateList>
      <explain>文本全半角错误。</explain>
      <paraID>5ACD86BF</paraID>
      <start>128</start>
      <end>129</end>
      <status>unmodified</status>
      <modifiedWord/>
      <trackRevisions>false</trackRevisions>
    </reviewItem>
    <reviewItem>
      <errorID>df210e13-60bf-4517-8258-faeb9f0950c3</errorID>
      <errorWord>数组</errorWord>
      <group>L1_Word</group>
      <groupName>字词问题</groupName>
      <ability>L2_Typo</ability>
      <abilityName>字词错误</abilityName>
      <candidateList>
        <item>组</item>
      </candidateList>
      <explain/>
      <paraID>516352C1</paraID>
      <start>12</start>
      <end>14</end>
      <status>unmodified</status>
      <modifiedWord/>
      <trackRevisions>false</trackRevisions>
    </reviewItem>
    <reviewItem>
      <errorID>3175e4b4-7516-43d0-b831-e3054e4e0b57</errorID>
      <errorWord>-</errorWord>
      <group>L1_Format</group>
      <groupName>格式问题</groupName>
      <ability>L2_HalfPunc</ability>
      <abilityName>全半角检查</abilityName>
      <candidateList>
        <item>－</item>
      </candidateList>
      <explain>文本全半角错误。</explain>
      <paraID>2157F78D</paraID>
      <start>4</start>
      <end>5</end>
      <status>unmodified</status>
      <modifiedWord/>
      <trackRevisions>false</trackRevisions>
    </reviewItem>
    <reviewItem>
      <errorID>6ed9daf9-cf35-4af1-bb45-be450ad7f8ad</errorID>
      <errorWord>饱和蒸气</errorWord>
      <group>L1_Word</group>
      <groupName>字词问题</groupName>
      <ability>L2_Typo</ability>
      <abilityName>字词错误</abilityName>
      <candidateList>
        <item>饱和蒸汽</item>
      </candidateList>
      <explain/>
      <paraID>2157F78D</paraID>
      <start>31</start>
      <end>35</end>
      <status>unmodified</status>
      <modifiedWord/>
      <trackRevisions>false</trackRevisions>
    </reviewItem>
    <reviewItem>
      <errorID>ae978795-233e-49f4-a815-85302f6c22f9</errorID>
      <errorWord>油量减小</errorWord>
      <group>L1_Word</group>
      <groupName>字词问题</groupName>
      <ability>L2_Typo</ability>
      <abilityName>字词错误</abilityName>
      <candidateList>
        <item>油量减少</item>
      </candidateList>
      <explain/>
      <paraID>2ECE93A9</paraID>
      <start>30</start>
      <end>34</end>
      <status>unmodified</status>
      <modifiedWord/>
      <trackRevisions>false</trackRevisions>
    </reviewItem>
    <reviewItem>
      <errorID>08eb3896-1798-45b1-b238-3e94560f1fac</errorID>
      <errorWord>机率为</errorWord>
      <group>L1_Word</group>
      <groupName>字词问题</groupName>
      <ability>L2_Typo</ability>
      <abilityName>字词错误</abilityName>
      <candidateList>
        <item>概率为</item>
      </candidateList>
      <explain/>
      <paraID>6A84F3BE</paraID>
      <start>59</start>
      <end>62</end>
      <status>unmodified</status>
      <modifiedWord/>
      <trackRevisions>false</trackRevisions>
    </reviewItem>
    <reviewItem>
      <errorID>e7796d56-03c6-4097-ab33-d1789cf68f08</errorID>
      <errorWord>.</errorWord>
      <group>L1_Format</group>
      <groupName>格式问题</groupName>
      <ability>L2_HalfPunc</ability>
      <abilityName>全半角检查</abilityName>
      <candidateList>
        <item>。</item>
      </candidateList>
      <explain>文本全半角错误。</explain>
      <paraID>364B93A7</paraID>
      <start>146</start>
      <end>147</end>
      <status>unmodified</status>
      <modifiedWord/>
      <trackRevisions>false</trackRevisions>
    </reviewItem>
    <reviewItem>
      <errorID>b373dc72-0649-4534-8b1a-f8ed49ec37e5</errorID>
      <errorWord>登陆</errorWord>
      <group>L1_Word</group>
      <groupName>字词问题</groupName>
      <ability>L2_Typo</ability>
      <abilityName>字词错误</abilityName>
      <candidateList>
        <item>登录</item>
      </candidateList>
      <explain>存在发音相同字词的误用。</explain>
      <paraID>62D33B71</paraID>
      <start>3</start>
      <end>5</end>
      <status>unmodified</status>
      <modifiedWord/>
      <trackRevisions>false</trackRevisions>
    </reviewItem>
    <reviewItem>
      <errorID>a5a207fd-cbd5-444e-b4a7-31aab6dbebda</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 BD00A66</paraID>
      <start>61</start>
      <end>62</end>
      <status>unmodified</status>
      <modifiedWord/>
      <trackRevisions>false</trackRevisions>
    </reviewItem>
    <reviewItem>
      <errorID>b45a2752-4d31-4289-a0e8-17e5308ce42c</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 BD00A66</paraID>
      <start>126</start>
      <end>127</end>
      <status>unmodified</status>
      <modifiedWord/>
      <trackRevisions>false</trackRevisions>
    </reviewItem>
    <reviewItem>
      <errorID>8534a86b-7d34-405b-9d85-cfb103b360b6</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 BD00A66</paraID>
      <start>175</start>
      <end>176</end>
      <status>unmodified</status>
      <modifiedWord/>
      <trackRevisions>false</trackRevisions>
    </reviewItem>
    <reviewItem>
      <errorID>3033ebcb-228e-4dfc-bdee-f30044c79d94</errorID>
      <errorWord>~</errorWord>
      <group>L1_Format</group>
      <groupName>格式问题</groupName>
      <ability>L2_HalfPunc</ability>
      <abilityName>全半角检查</abilityName>
      <candidateList>
        <item>～</item>
      </candidateList>
      <explain>文本全半角错误。</explain>
      <paraID> BD00A66</paraID>
      <start>201</start>
      <end>202</end>
      <status>unmodified</status>
      <modifiedWord/>
      <trackRevisions>false</trackRevisions>
    </reviewItem>
    <reviewItem>
      <errorID>082abf3e-fb26-46a9-89d9-e70f39808b45</errorID>
      <errorWord>海开</errorWord>
      <group>L1_Word</group>
      <groupName>字词问题</groupName>
      <ability>L2_Typo</ability>
      <abilityName>字词错误</abilityName>
      <candidateList>
        <item>海岸</item>
      </candidateList>
      <explain/>
      <paraID> BD00A66</paraID>
      <start>247</start>
      <end>249</end>
      <status>unmodified</status>
      <modifiedWord/>
      <trackRevisions>false</trackRevisions>
    </reviewItem>
    <reviewItem>
      <errorID>33be591a-efe6-4ec7-999e-942405c858d4</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 BD00A66</paraID>
      <start>287</start>
      <end>288</end>
      <status>unmodified</status>
      <modifiedWord/>
      <trackRevisions>false</trackRevisions>
    </reviewItem>
    <reviewItem>
      <errorID>da22ca70-1833-4632-8f68-4384e40a37b1</errorID>
      <errorWord>-</errorWord>
      <group>L1_Format</group>
      <groupName>格式问题</groupName>
      <ability>L2_HalfPunc</ability>
      <abilityName>全半角检查</abilityName>
      <candidateList>
        <item>－</item>
      </candidateList>
      <explain>文本全半角错误。</explain>
      <paraID>7FB9CC37</paraID>
      <start>72</start>
      <end>73</end>
      <status>unmodified</status>
      <modifiedWord/>
      <trackRevisions>false</trackRevisions>
    </reviewItem>
    <reviewItem>
      <errorID>2e280731-7cd8-41e7-b267-60c712bfcc26</errorID>
      <errorWord>登陆</errorWord>
      <group>L1_Word</group>
      <groupName>字词问题</groupName>
      <ability>L2_Typo</ability>
      <abilityName>字词错误</abilityName>
      <candidateList>
        <item>登录</item>
      </candidateList>
      <explain>存在发音相同字词的误用。</explain>
      <paraID>7725369A</paraID>
      <start>3</start>
      <end>5</end>
      <status>unmodified</status>
      <modifiedWord/>
      <trackRevisions>false</trackRevisions>
    </reviewItem>
    <reviewItem>
      <errorID>b3cb8c1d-6b75-4980-bafb-c1648ef0f93f</errorID>
      <errorWord>登陆</errorWord>
      <group>L1_Word</group>
      <groupName>字词问题</groupName>
      <ability>L2_Typo</ability>
      <abilityName>字词错误</abilityName>
      <candidateList>
        <item>登录</item>
      </candidateList>
      <explain>存在发音相同字词的误用。</explain>
      <paraID>19EAB13C</paraID>
      <start>2</start>
      <end>4</end>
      <status>unmodified</status>
      <modifiedWord/>
      <trackRevisions>false</trackRevisions>
    </reviewItem>
    <reviewItem>
      <errorID>fa5e20b1-4ac7-4899-abf5-168e43c4964d</errorID>
      <errorWord>-</errorWord>
      <group>L1_Format</group>
      <groupName>格式问题</groupName>
      <ability>L2_HalfPunc</ability>
      <abilityName>全半角检查</abilityName>
      <candidateList>
        <item>－</item>
      </candidateList>
      <explain>文本全半角错误。</explain>
      <paraID>382CF8F8</paraID>
      <start>88</start>
      <end>89</end>
      <status>unmodified</status>
      <modifiedWord/>
      <trackRevisions>false</trackRevisions>
    </reviewItem>
    <reviewItem>
      <errorID>9c994ca8-1396-4988-bf80-06bdd1a782f4</errorID>
      <errorWord>8-9小时</errorWord>
      <group>L1_Word</group>
      <groupName>字词问题</groupName>
      <ability>L2_Typo</ability>
      <abilityName>字词错误</abilityName>
      <candidateList>
        <item>8～9小时</item>
      </candidateList>
      <explain/>
      <paraID>382CF8F8</paraID>
      <start>104</start>
      <end>109</end>
      <status>unmodified</status>
      <modifiedWord/>
      <trackRevisions>false</trackRevisions>
    </reviewItem>
    <reviewItem>
      <errorID>37dc9f01-a75c-405f-9583-17de188f3136</errorID>
      <errorWord>登陆</errorWord>
      <group>L1_Word</group>
      <groupName>字词问题</groupName>
      <ability>L2_Typo</ability>
      <abilityName>字词错误</abilityName>
      <candidateList>
        <item>登录</item>
      </candidateList>
      <explain>存在发音相同字词的误用。</explain>
      <paraID>5758D57F</paraID>
      <start>3</start>
      <end>5</end>
      <status>unmodified</status>
      <modifiedWord/>
      <trackRevisions>false</trackRevisions>
    </reviewItem>
    <reviewItem>
      <errorID>f435b063-f8a8-4b68-9386-45247fa9cc75</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7A42A293</paraID>
      <start>41</start>
      <end>42</end>
      <status>unmodified</status>
      <modifiedWord/>
      <trackRevisions>false</trackRevisions>
    </reviewItem>
    <reviewItem>
      <errorID>cde87290-dce7-42d2-9401-521346dea55c</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7A42A293</paraID>
      <start>190</start>
      <end>191</end>
      <status>unmodified</status>
      <modifiedWord/>
      <trackRevisions>false</trackRevisions>
    </reviewItem>
    <reviewItem>
      <errorID>789f4dba-69f5-4398-b093-b1c8b127f92c</errorID>
      <errorWord>泄露</errorWord>
      <group>L1_Word</group>
      <groupName>字词问题</groupName>
      <ability>L2_Typo</ability>
      <abilityName>字词错误</abilityName>
      <candidateList>
        <item>泄漏</item>
      </candidateList>
      <explain>存在发音相同字词的误用。</explain>
      <paraID>59F57549</paraID>
      <start>6</start>
      <end>8</end>
      <status>modified</status>
      <modifiedWord>泄漏</modifiedWord>
      <trackRevisions>false</trackRevisions>
    </reviewItem>
    <reviewItem>
      <errorID>e1265038-e249-4d8f-bb4c-aef252d43ea8</errorID>
      <errorWord>物质型</errorWord>
      <group>L1_Word</group>
      <groupName>字词问题</groupName>
      <ability>L2_Typo</ability>
      <abilityName>字词错误</abilityName>
      <candidateList>
        <item>物质</item>
      </candidateList>
      <explain/>
      <paraID>676638BD</paraID>
      <start>43</start>
      <end>46</end>
      <status>unmodified</status>
      <modifiedWord/>
      <trackRevisions>false</trackRevisions>
    </reviewItem>
    <reviewItem>
      <errorID>38c8d8ec-8d72-4115-a157-b768a561f377</errorID>
      <errorWord>漂移</errorWord>
      <group>L1_Word</group>
      <groupName>字词问题</groupName>
      <ability>L2_Typo</ability>
      <abilityName>字词错误</abilityName>
      <candidateList>
        <item>飘移</item>
      </candidateList>
      <explain/>
      <paraID>676638BD</paraID>
      <start>85</start>
      <end>87</end>
      <status>unmodified</status>
      <modifiedWord/>
      <trackRevisions>false</trackRevisions>
    </reviewItem>
    <reviewItem>
      <errorID>d387fa9f-758e-4c5d-8685-c78745a064e1</errorID>
      <errorWord>乙烯乙烯</errorWord>
      <group>L1_Word</group>
      <groupName>字词问题</groupName>
      <ability>L2_Typo</ability>
      <abilityName>字词错误</abilityName>
      <candidateList>
        <item>乙烯</item>
      </candidateList>
      <explain/>
      <paraID>36C668B0</paraID>
      <start>7</start>
      <end>9</end>
      <status>modified</status>
      <modifiedWord>乙烯</modifiedWord>
      <trackRevisions>false</trackRevisions>
    </reviewItem>
    <reviewItem>
      <errorID>045a6475-f8a4-4fdb-af05-568e86237a2a</errorID>
      <errorWord>泄露</errorWord>
      <group>L1_Word</group>
      <groupName>字词问题</groupName>
      <ability>L2_Typo</ability>
      <abilityName>字词错误</abilityName>
      <candidateList>
        <item>泄漏</item>
      </candidateList>
      <explain/>
      <paraID>36C668B0</paraID>
      <start>9</start>
      <end>11</end>
      <status>modified</status>
      <modifiedWord>泄漏</modifiedWord>
      <trackRevisions>false</trackRevisions>
    </reviewItem>
    <reviewItem>
      <errorID>8f98c3af-8837-4f9a-ac3c-3ec9060e2ae8</errorID>
      <errorWord>泄露</errorWord>
      <group>L1_Word</group>
      <groupName>字词问题</groupName>
      <ability>L2_Typo</ability>
      <abilityName>字词错误</abilityName>
      <candidateList>
        <item>泄漏</item>
      </candidateList>
      <explain/>
      <paraID> 193655C</paraID>
      <start>183</start>
      <end>185</end>
      <status>modified</status>
      <modifiedWord>泄漏</modifiedWord>
      <trackRevisions>false</trackRevisions>
    </reviewItem>
    <reviewItem>
      <errorID>3edc3c78-0857-4fe9-9d9d-c76fd58d597f</errorID>
      <errorWord>乙烯乙烯</errorWord>
      <group>L1_Word</group>
      <groupName>字词问题</groupName>
      <ability>L2_Typo</ability>
      <abilityName>字词错误</abilityName>
      <candidateList>
        <item>乙烯</item>
      </candidateList>
      <explain/>
      <paraID> 193655C</paraID>
      <start>211</start>
      <end>213</end>
      <status>modified</status>
      <modifiedWord>乙烯</modifiedWord>
      <trackRevisions>false</trackRevisions>
    </reviewItem>
    <reviewItem>
      <errorID>8e5f334f-ed48-4b53-add7-121e7a917f50</errorID>
      <errorWord>~</errorWord>
      <group>L1_Format</group>
      <groupName>格式问题</groupName>
      <ability>L2_HalfPunc</ability>
      <abilityName>全半角检查</abilityName>
      <candidateList>
        <item>～</item>
      </candidateList>
      <explain>文本全半角错误。</explain>
      <paraID> 193655C</paraID>
      <start>232</start>
      <end>233</end>
      <status>unmodified</status>
      <modifiedWord/>
      <trackRevisions>false</trackRevisions>
    </reviewItem>
    <reviewItem>
      <errorID>be3627dd-2fd8-46ec-acaf-b3b0b40354be</errorID>
      <errorWord>乙烯乙烯</errorWord>
      <group>L1_Word</group>
      <groupName>字词问题</groupName>
      <ability>L2_Typo</ability>
      <abilityName>字词错误</abilityName>
      <candidateList>
        <item>乙烯</item>
      </candidateList>
      <explain/>
      <paraID>4CF2460D</paraID>
      <start>14</start>
      <end>16</end>
      <status>modified</status>
      <modifiedWord>乙烯</modifiedWord>
      <trackRevisions>false</trackRevisions>
    </reviewItem>
    <reviewItem>
      <errorID>ab5f0c8a-f667-4eae-96f2-1cdfbd834775</errorID>
      <errorWord>泄露</errorWord>
      <group>L1_Word</group>
      <groupName>字词问题</groupName>
      <ability>L2_Typo</ability>
      <abilityName>字词错误</abilityName>
      <candidateList>
        <item>泄漏</item>
      </candidateList>
      <explain/>
      <paraID>4CF2460D</paraID>
      <start>16</start>
      <end>18</end>
      <status>modified</status>
      <modifiedWord>泄漏</modifiedWord>
      <trackRevisions>false</trackRevisions>
    </reviewItem>
    <reviewItem>
      <errorID>40b57a57-1066-4121-8bcc-aa4ff0107989</errorID>
      <errorWord>登陆</errorWord>
      <group>L1_Word</group>
      <groupName>字词问题</groupName>
      <ability>L2_Typo</ability>
      <abilityName>字词错误</abilityName>
      <candidateList>
        <item>登录</item>
      </candidateList>
      <explain>存在发音相同字词的误用。</explain>
      <paraID>729CF370</paraID>
      <start>3</start>
      <end>5</end>
      <status>unmodified</status>
      <modifiedWord/>
      <trackRevisions>false</trackRevisions>
    </reviewItem>
    <reviewItem>
      <errorID>7204f836-d553-4013-9f7c-27ece2664291</errorID>
      <errorWord>泄露</errorWord>
      <group>L1_Word</group>
      <groupName>字词问题</groupName>
      <ability>L2_Typo</ability>
      <abilityName>字词错误</abilityName>
      <candidateList>
        <item>泄漏</item>
      </candidateList>
      <explain/>
      <paraID>5D34A941</paraID>
      <start>23</start>
      <end>25</end>
      <status>modified</status>
      <modifiedWord>泄漏</modifiedWord>
      <trackRevisions>false</trackRevisions>
    </reviewItem>
    <reviewItem>
      <errorID>efa0e139-d758-4ed6-a75c-0e9bd26335d8</errorID>
      <errorWord>泄露</errorWord>
      <group>L1_Word</group>
      <groupName>字词问题</groupName>
      <ability>L2_Typo</ability>
      <abilityName>字词错误</abilityName>
      <candidateList>
        <item>泄漏</item>
      </candidateList>
      <explain>存在发音相同字词的误用。</explain>
      <paraID>6B9165A6</paraID>
      <start>23</start>
      <end>25</end>
      <status>modified</status>
      <modifiedWord>泄漏</modifiedWord>
      <trackRevisions>false</trackRevisions>
    </reviewItem>
    <reviewItem>
      <errorID>6665550a-dcd6-416a-86aa-e94c8f8e85f1</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30DE96BA</paraID>
      <start>65</start>
      <end>66</end>
      <status>unmodified</status>
      <modifiedWord/>
      <trackRevisions>false</trackRevisions>
    </reviewItem>
    <reviewItem>
      <errorID>458cc708-3e69-40ec-9878-e9f8da8f6e97</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30DE96BA</paraID>
      <start>132</start>
      <end>133</end>
      <status>unmodified</status>
      <modifiedWord/>
      <trackRevisions>false</trackRevisions>
    </reviewItem>
    <reviewItem>
      <errorID>57e8f950-3e48-4177-af11-b12b0968fa32</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30DE96BA</paraID>
      <start>179</start>
      <end>180</end>
      <status>unmodified</status>
      <modifiedWord/>
      <trackRevisions>false</trackRevisions>
    </reviewItem>
    <reviewItem>
      <errorID>a3756b15-e3ab-4436-b0b7-dbf672fe55c2</errorID>
      <errorWord>~</errorWord>
      <group>L1_Format</group>
      <groupName>格式问题</groupName>
      <ability>L2_HalfPunc</ability>
      <abilityName>全半角检查</abilityName>
      <candidateList>
        <item>～</item>
      </candidateList>
      <explain>文本全半角错误。</explain>
      <paraID>30DE96BA</paraID>
      <start>206</start>
      <end>207</end>
      <status>unmodified</status>
      <modifiedWord/>
      <trackRevisions>false</trackRevisions>
    </reviewItem>
    <reviewItem>
      <errorID>086b1150-14b8-46b5-a7dc-c4445cf91c24</errorID>
      <errorWord>海开</errorWord>
      <group>L1_Word</group>
      <groupName>字词问题</groupName>
      <ability>L2_Typo</ability>
      <abilityName>字词错误</abilityName>
      <candidateList>
        <item>海岸</item>
      </candidateList>
      <explain/>
      <paraID>30DE96BA</paraID>
      <start>225</start>
      <end>227</end>
      <status>unmodified</status>
      <modifiedWord/>
      <trackRevisions>false</trackRevisions>
    </reviewItem>
    <reviewItem>
      <errorID>ca4d6199-005e-4934-b18a-801ff7e9c19e</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30DE96BA</paraID>
      <start>265</start>
      <end>266</end>
      <status>unmodified</status>
      <modifiedWord/>
      <trackRevisions>false</trackRevisions>
    </reviewItem>
    <reviewItem>
      <errorID>8bb54dc5-b02d-4ef7-a53b-ddaba951e1d0</errorID>
      <errorWord>，</errorWord>
      <group>L1_Word</group>
      <groupName>字词问题</groupName>
      <ability>L2_Typo</ability>
      <abilityName>字词错误</abilityName>
      <candidateList>
        <item>，根</item>
      </candidateList>
      <explain/>
      <paraID>30DE96BA</paraID>
      <start>274</start>
      <end>275</end>
      <status>unmodified</status>
      <modifiedWord/>
      <trackRevisions>false</trackRevisions>
    </reviewItem>
    <reviewItem>
      <errorID>1f30aee4-d2ea-447e-93ff-4686153adbbc</errorID>
      <errorWord>泄露</errorWord>
      <group>L1_Word</group>
      <groupName>字词问题</groupName>
      <ability>L2_Typo</ability>
      <abilityName>字词错误</abilityName>
      <candidateList>
        <item>泄漏</item>
      </candidateList>
      <explain>存在发音相同字词的误用。</explain>
      <paraID>30DE96BA</paraID>
      <start>300</start>
      <end>302</end>
      <status>modified</status>
      <modifiedWord>泄漏</modifiedWord>
      <trackRevisions>false</trackRevisions>
    </reviewItem>
    <reviewItem>
      <errorID>c32602f5-59e4-4462-acb3-527bb25cb28b</errorID>
      <errorWord>泄露</errorWord>
      <group>L1_Word</group>
      <groupName>字词问题</groupName>
      <ability>L2_Typo</ability>
      <abilityName>字词错误</abilityName>
      <candidateList>
        <item>泄漏</item>
      </candidateList>
      <explain/>
      <paraID>30DE96BA</paraID>
      <start>319</start>
      <end>321</end>
      <status>modified</status>
      <modifiedWord>泄漏</modifiedWord>
      <trackRevisions>false</trackRevisions>
    </reviewItem>
    <reviewItem>
      <errorID>b81d09bd-4bb7-4a3b-8ca0-abc3da5d7a9a</errorID>
      <errorWord>~</errorWord>
      <group>L1_Format</group>
      <groupName>格式问题</groupName>
      <ability>L2_HalfPunc</ability>
      <abilityName>全半角检查</abilityName>
      <candidateList>
        <item>～</item>
      </candidateList>
      <explain>文本全半角错误。</explain>
      <paraID>30DE96BA</paraID>
      <start>361</start>
      <end>362</end>
      <status>unmodified</status>
      <modifiedWord/>
      <trackRevisions>false</trackRevisions>
    </reviewItem>
    <reviewItem>
      <errorID>5c0fbca4-4b04-4197-8404-9a6be70241f2</errorID>
      <errorWord>泄露</errorWord>
      <group>L1_Word</group>
      <groupName>字词问题</groupName>
      <ability>L2_Typo</ability>
      <abilityName>字词错误</abilityName>
      <candidateList>
        <item>泄漏</item>
      </candidateList>
      <explain/>
      <paraID>43E77403</paraID>
      <start>23</start>
      <end>25</end>
      <status>modified</status>
      <modifiedWord>泄漏</modifiedWord>
      <trackRevisions>false</trackRevisions>
    </reviewItem>
    <reviewItem>
      <errorID>73a844f2-df3b-4117-8356-871d119e5fba</errorID>
      <errorWord>泄露</errorWord>
      <group>L1_Word</group>
      <groupName>字词问题</groupName>
      <ability>L2_Typo</ability>
      <abilityName>字词错误</abilityName>
      <candidateList>
        <item>泄漏</item>
      </candidateList>
      <explain>存在发音相同字词的误用。</explain>
      <paraID>6B0A9946</paraID>
      <start>23</start>
      <end>25</end>
      <status>modified</status>
      <modifiedWord>泄漏</modifiedWord>
      <trackRevisions>false</trackRevisions>
    </reviewItem>
    <reviewItem>
      <errorID>9399db83-90fd-4d15-bc1c-ef50bf829a47</errorID>
      <errorWord>泄露</errorWord>
      <group>L1_Word</group>
      <groupName>字词问题</groupName>
      <ability>L2_Typo</ability>
      <abilityName>字词错误</abilityName>
      <candidateList>
        <item>泄漏</item>
      </candidateList>
      <explain>存在发音相同字词的误用。</explain>
      <paraID>1C8B8F2D</paraID>
      <start>22</start>
      <end>24</end>
      <status>modified</status>
      <modifiedWord>泄漏</modifiedWord>
      <trackRevisions>false</trackRevisions>
    </reviewItem>
    <reviewItem>
      <errorID>3f920f4d-dc25-4edd-9f9e-c256c58fbeed</errorID>
      <errorWord>-</errorWord>
      <group>L1_Format</group>
      <groupName>格式问题</groupName>
      <ability>L2_HalfPunc</ability>
      <abilityName>全半角检查</abilityName>
      <candidateList>
        <item>－</item>
      </candidateList>
      <explain>文本全半角错误。</explain>
      <paraID>1C8B8F2D</paraID>
      <start>77</start>
      <end>78</end>
      <status>unmodified</status>
      <modifiedWord/>
      <trackRevisions>false</trackRevisions>
    </reviewItem>
    <reviewItem>
      <errorID>42588460-b53d-4955-b36e-e12234ad6382</errorID>
      <errorWord>泄露</errorWord>
      <group>L1_Word</group>
      <groupName>字词问题</groupName>
      <ability>L2_Typo</ability>
      <abilityName>字词错误</abilityName>
      <candidateList>
        <item>泄漏</item>
      </candidateList>
      <explain/>
      <paraID>1C8B8F2D</paraID>
      <start>179</start>
      <end>181</end>
      <status>modified</status>
      <modifiedWord>泄漏</modifiedWord>
      <trackRevisions>false</trackRevisions>
    </reviewItem>
    <reviewItem>
      <errorID>a1686eaa-262a-4c3f-87bb-1e6e5c4086e4</errorID>
      <errorWord>~</errorWord>
      <group>L1_Format</group>
      <groupName>格式问题</groupName>
      <ability>L2_HalfPunc</ability>
      <abilityName>全半角检查</abilityName>
      <candidateList>
        <item>～</item>
      </candidateList>
      <explain>文本全半角错误。</explain>
      <paraID>1C8B8F2D</paraID>
      <start>220</start>
      <end>221</end>
      <status>unmodified</status>
      <modifiedWord/>
      <trackRevisions>false</trackRevisions>
    </reviewItem>
    <reviewItem>
      <errorID>936e7f51-9f9e-40ce-a583-9275a4a1cb72</errorID>
      <errorWord>登陆</errorWord>
      <group>L1_Word</group>
      <groupName>字词问题</groupName>
      <ability>L2_Typo</ability>
      <abilityName>字词错误</abilityName>
      <candidateList>
        <item>登录</item>
      </candidateList>
      <explain>存在发音相同字词的误用。</explain>
      <paraID>1AA19929</paraID>
      <start>3</start>
      <end>5</end>
      <status>unmodified</status>
      <modifiedWord/>
      <trackRevisions>false</trackRevisions>
    </reviewItem>
    <reviewItem>
      <errorID>07f44d59-f39c-4073-8fa4-4e73287f4116</errorID>
      <errorWord>泄露</errorWord>
      <group>L1_Word</group>
      <groupName>字词问题</groupName>
      <ability>L2_Typo</ability>
      <abilityName>字词错误</abilityName>
      <candidateList>
        <item>泄漏</item>
      </candidateList>
      <explain/>
      <paraID>  8FA480</paraID>
      <start>23</start>
      <end>25</end>
      <status>modified</status>
      <modifiedWord>泄漏</modifiedWord>
      <trackRevisions>false</trackRevisions>
    </reviewItem>
    <reviewItem>
      <errorID>98910f54-22c6-4127-9df1-cc23778f2af3</errorID>
      <errorWord>泄露</errorWord>
      <group>L1_Word</group>
      <groupName>字词问题</groupName>
      <ability>L2_Typo</ability>
      <abilityName>字词错误</abilityName>
      <candidateList>
        <item>泄漏</item>
      </candidateList>
      <explain>存在发音相同字词的误用。</explain>
      <paraID>148E6E73</paraID>
      <start>25</start>
      <end>27</end>
      <status>modified</status>
      <modifiedWord>泄漏</modifiedWord>
      <trackRevisions>false</trackRevisions>
    </reviewItem>
    <reviewItem>
      <errorID>162fa94d-367f-45ee-a388-35c7a7e7e558</errorID>
      <errorWord>泄露</errorWord>
      <group>L1_Word</group>
      <groupName>字词问题</groupName>
      <ability>L2_Typo</ability>
      <abilityName>字词错误</abilityName>
      <candidateList>
        <item>泄漏</item>
      </candidateList>
      <explain/>
      <paraID> 28AEDE9</paraID>
      <start>23</start>
      <end>25</end>
      <status>modified</status>
      <modifiedWord>泄漏</modifiedWord>
      <trackRevisions>false</trackRevisions>
    </reviewItem>
    <reviewItem>
      <errorID>4cf5f457-8475-4227-9805-1cc3d46164a8</errorID>
      <errorWord>泄露</errorWord>
      <group>L1_Word</group>
      <groupName>字词问题</groupName>
      <ability>L2_Typo</ability>
      <abilityName>字词错误</abilityName>
      <candidateList>
        <item>泄漏</item>
      </candidateList>
      <explain/>
      <paraID> 28AEDE9</paraID>
      <start>93</start>
      <end>95</end>
      <status>modified</status>
      <modifiedWord>泄漏</modifiedWord>
      <trackRevisions>false</trackRevisions>
    </reviewItem>
    <reviewItem>
      <errorID>128de32e-3168-4086-9c6b-9186a3d66174</errorID>
      <errorWord>~</errorWord>
      <group>L1_Format</group>
      <groupName>格式问题</groupName>
      <ability>L2_HalfPunc</ability>
      <abilityName>全半角检查</abilityName>
      <candidateList>
        <item>～</item>
      </candidateList>
      <explain>文本全半角错误。</explain>
      <paraID> 28AEDE9</paraID>
      <start>135</start>
      <end>136</end>
      <status>unmodified</status>
      <modifiedWord/>
      <trackRevisions>false</trackRevisions>
    </reviewItem>
    <reviewItem>
      <errorID>9626a994-8497-4430-b87c-83d80d58fc7f</errorID>
      <errorWord>泄露</errorWord>
      <group>L1_Word</group>
      <groupName>字词问题</groupName>
      <ability>L2_Typo</ability>
      <abilityName>字词错误</abilityName>
      <candidateList>
        <item>泄漏</item>
      </candidateList>
      <explain/>
      <paraID>5E07E21F</paraID>
      <start>23</start>
      <end>25</end>
      <status>modified</status>
      <modifiedWord>泄漏</modifiedWord>
      <trackRevisions>false</trackRevisions>
    </reviewItem>
    <reviewItem>
      <errorID>dd9c7e05-c4c2-4b93-9f22-3c74dd619f5f</errorID>
      <errorWord>泄露</errorWord>
      <group>L1_Word</group>
      <groupName>字词问题</groupName>
      <ability>L2_Typo</ability>
      <abilityName>字词错误</abilityName>
      <candidateList>
        <item>泄漏</item>
      </candidateList>
      <explain>存在发音相同字词的误用。</explain>
      <paraID>  9B5EE7</paraID>
      <start>24</start>
      <end>26</end>
      <status>modified</status>
      <modifiedWord>泄漏</modifiedWord>
      <trackRevisions>false</trackRevisions>
    </reviewItem>
    <reviewItem>
      <errorID>bc4bba48-1359-4963-abe1-68edd5661a49</errorID>
      <errorWord>泄露</errorWord>
      <group>L1_Word</group>
      <groupName>字词问题</groupName>
      <ability>L2_Typo</ability>
      <abilityName>字词错误</abilityName>
      <candidateList>
        <item>泄漏</item>
      </candidateList>
      <explain/>
      <paraID>787B799C</paraID>
      <start>22</start>
      <end>24</end>
      <status>modified</status>
      <modifiedWord>泄漏</modifiedWord>
      <trackRevisions>false</trackRevisions>
    </reviewItem>
    <reviewItem>
      <errorID>e424af71-bf3d-4ee2-a905-24fc37f883d4</errorID>
      <errorWord>-</errorWord>
      <group>L1_Format</group>
      <groupName>格式问题</groupName>
      <ability>L2_HalfPunc</ability>
      <abilityName>全半角检查</abilityName>
      <candidateList>
        <item>－</item>
      </candidateList>
      <explain>文本全半角错误。</explain>
      <paraID>787B799C</paraID>
      <start>93</start>
      <end>94</end>
      <status>unmodified</status>
      <modifiedWord/>
      <trackRevisions>false</trackRevisions>
    </reviewItem>
    <reviewItem>
      <errorID>6d624991-d389-46db-af2a-4432ce1abb0c</errorID>
      <errorWord>8-9小时</errorWord>
      <group>L1_Word</group>
      <groupName>字词问题</groupName>
      <ability>L2_Typo</ability>
      <abilityName>字词错误</abilityName>
      <candidateList>
        <item>8～9小时</item>
      </candidateList>
      <explain/>
      <paraID>787B799C</paraID>
      <start>110</start>
      <end>115</end>
      <status>unmodified</status>
      <modifiedWord/>
      <trackRevisions>false</trackRevisions>
    </reviewItem>
    <reviewItem>
      <errorID>f4c571c6-cf3c-4017-9a04-a192a9540852</errorID>
      <errorWord>泄露</errorWord>
      <group>L1_Word</group>
      <groupName>字词问题</groupName>
      <ability>L2_Typo</ability>
      <abilityName>字词错误</abilityName>
      <candidateList>
        <item>泄漏</item>
      </candidateList>
      <explain/>
      <paraID>787B799C</paraID>
      <start>196</start>
      <end>198</end>
      <status>modified</status>
      <modifiedWord>泄漏</modifiedWord>
      <trackRevisions>false</trackRevisions>
    </reviewItem>
    <reviewItem>
      <errorID>2d549cf7-c13a-4c48-9ae6-82fc79103ae3</errorID>
      <errorWord>~</errorWord>
      <group>L1_Format</group>
      <groupName>格式问题</groupName>
      <ability>L2_HalfPunc</ability>
      <abilityName>全半角检查</abilityName>
      <candidateList>
        <item>～</item>
      </candidateList>
      <explain>文本全半角错误。</explain>
      <paraID>787B799C</paraID>
      <start>238</start>
      <end>239</end>
      <status>unmodified</status>
      <modifiedWord/>
      <trackRevisions>false</trackRevisions>
    </reviewItem>
    <reviewItem>
      <errorID>40d01f2e-e3d8-4737-9d67-a0b90e8d2e09</errorID>
      <errorWord>登陆</errorWord>
      <group>L1_Word</group>
      <groupName>字词问题</groupName>
      <ability>L2_Typo</ability>
      <abilityName>字词错误</abilityName>
      <candidateList>
        <item>登录</item>
      </candidateList>
      <explain>存在发音相同字词的误用。</explain>
      <paraID>7CDDDE3E</paraID>
      <start>3</start>
      <end>5</end>
      <status>unmodified</status>
      <modifiedWord/>
      <trackRevisions>false</trackRevisions>
    </reviewItem>
    <reviewItem>
      <errorID>effe5098-77c1-4e53-99cd-63191556a1ec</errorID>
      <errorWord>泄露</errorWord>
      <group>L1_Word</group>
      <groupName>字词问题</groupName>
      <ability>L2_Typo</ability>
      <abilityName>字词错误</abilityName>
      <candidateList>
        <item>泄漏</item>
      </candidateList>
      <explain/>
      <paraID>4EC8B34A</paraID>
      <start>20</start>
      <end>22</end>
      <status>modified</status>
      <modifiedWord>泄漏</modifiedWord>
      <trackRevisions>false</trackRevisions>
    </reviewItem>
    <reviewItem>
      <errorID>39288fe5-967f-42bc-a8a3-2c2eaba818f1</errorID>
      <errorWord>泄露</errorWord>
      <group>L1_Word</group>
      <groupName>字词问题</groupName>
      <ability>L2_Typo</ability>
      <abilityName>字词错误</abilityName>
      <candidateList>
        <item>泄漏</item>
      </candidateList>
      <explain>存在发音相同字词的误用。</explain>
      <paraID>76CCAE75</paraID>
      <start>25</start>
      <end>27</end>
      <status>modified</status>
      <modifiedWord>泄漏</modifiedWord>
      <trackRevisions>false</trackRevisions>
    </reviewItem>
    <reviewItem>
      <errorID>767cef91-04c5-44e5-adf1-9fc1fa91886f</errorID>
      <errorWord>泄露</errorWord>
      <group>L1_Word</group>
      <groupName>字词问题</groupName>
      <ability>L2_Typo</ability>
      <abilityName>字词错误</abilityName>
      <candidateList>
        <item>泄漏</item>
      </candidateList>
      <explain/>
      <paraID>416EFB7D</paraID>
      <start>10</start>
      <end>12</end>
      <status>modified</status>
      <modifiedWord>泄漏</modifiedWord>
      <trackRevisions>false</trackRevisions>
    </reviewItem>
    <reviewItem>
      <errorID>99e47871-061e-4623-a9e8-08f99ee6b05b</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416EFB7D</paraID>
      <start>53</start>
      <end>54</end>
      <status>unmodified</status>
      <modifiedWord/>
      <trackRevisions>false</trackRevisions>
    </reviewItem>
    <reviewItem>
      <errorID>bec550ae-a38b-4d8a-b6cd-c3c238c23d3d</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416EFB7D</paraID>
      <start>198</start>
      <end>199</end>
      <status>unmodified</status>
      <modifiedWord/>
      <trackRevisions>false</trackRevisions>
    </reviewItem>
    <reviewItem>
      <errorID>2420d6e0-c4ab-44f0-a6ac-903453b1ea00</errorID>
      <errorWord>~</errorWord>
      <group>L1_Format</group>
      <groupName>格式问题</groupName>
      <ability>L2_HalfPunc</ability>
      <abilityName>全半角检查</abilityName>
      <candidateList>
        <item>～</item>
      </candidateList>
      <explain>文本全半角错误。</explain>
      <paraID>416EFB7D</paraID>
      <start>256</start>
      <end>257</end>
      <status>unmodified</status>
      <modifiedWord/>
      <trackRevisions>false</trackRevisions>
    </reviewItem>
    <reviewItem>
      <errorID>05605d50-b1a7-48a3-97b7-021e582594cc</errorID>
      <errorWord>~</errorWord>
      <group>L1_Format</group>
      <groupName>格式问题</groupName>
      <ability>L2_HalfPunc</ability>
      <abilityName>全半角检查</abilityName>
      <candidateList>
        <item>～</item>
      </candidateList>
      <explain>文本全半角错误。</explain>
      <paraID>416EFB7D</paraID>
      <start>346</start>
      <end>347</end>
      <status>unmodified</status>
      <modifiedWord/>
      <trackRevisions>false</trackRevisions>
    </reviewItem>
    <reviewItem>
      <errorID>bac15734-1983-4169-8e26-5d5084e5ecc0</errorID>
      <errorWord>泄露</errorWord>
      <group>L1_Word</group>
      <groupName>字词问题</groupName>
      <ability>L2_Typo</ability>
      <abilityName>字词错误</abilityName>
      <candidateList>
        <item>泄漏</item>
      </candidateList>
      <explain>存在发音相同字词的误用。</explain>
      <paraID> 3ED4FCD</paraID>
      <start>22</start>
      <end>24</end>
      <status>modified</status>
      <modifiedWord>泄漏</modifiedWord>
      <trackRevisions>false</trackRevisions>
    </reviewItem>
    <reviewItem>
      <errorID>c4b99650-84fa-4d0d-b7b7-008257399f60</errorID>
      <errorWord>泄露</errorWord>
      <group>L1_Word</group>
      <groupName>字词问题</groupName>
      <ability>L2_Typo</ability>
      <abilityName>字词错误</abilityName>
      <candidateList>
        <item>泄漏</item>
      </candidateList>
      <explain>存在发音相同字词的误用。</explain>
      <paraID>280F70A8</paraID>
      <start>25</start>
      <end>27</end>
      <status>modified</status>
      <modifiedWord>泄漏</modifiedWord>
      <trackRevisions>false</trackRevisions>
    </reviewItem>
    <reviewItem>
      <errorID>597a6b63-0f2d-4218-97f5-a9ab8e9f1bbe</errorID>
      <errorWord>（</errorWord>
      <group>L1_Format</group>
      <groupName>格式问题</groupName>
      <ability>L2_HalfPunc</ability>
      <abilityName>全半角检查</abilityName>
      <candidateList>
        <item>(</item>
      </candidateList>
      <explain>文本全半角错误。</explain>
      <paraID>658BFBFC</paraID>
      <start>0</start>
      <end>1</end>
      <status>unmodified</status>
      <modifiedWord/>
      <trackRevisions>false</trackRevisions>
    </reviewItem>
    <reviewItem>
      <errorID>0676271a-0484-4d0e-8764-f8f1588c39cd</errorID>
      <errorWord>）</errorWord>
      <group>L1_Format</group>
      <groupName>格式问题</groupName>
      <ability>L2_HalfPunc</ability>
      <abilityName>全半角检查</abilityName>
      <candidateList>
        <item>)</item>
      </candidateList>
      <explain>文本全半角错误。</explain>
      <paraID>658BFBFC</paraID>
      <start>2</start>
      <end>3</end>
      <status>unmodified</status>
      <modifiedWord/>
      <trackRevisions>false</trackRevisions>
    </reviewItem>
    <reviewItem>
      <errorID>bf4d715c-6d90-4a5d-9cda-280329513ba9</errorID>
      <errorWord>其它</errorWord>
      <group>L1_Word</group>
      <groupName>字词问题</groupName>
      <ability>L2_Alias</ability>
      <abilityName>也作/曾用词</abilityName>
      <candidateList>
        <item>其他</item>
      </candidateList>
      <explain>词汇[其它]为不规范表述或旧称，其规范书面表述为[其他]。</explain>
      <paraID>489AE4F7</paraID>
      <start>61</start>
      <end>63</end>
      <status>modified</status>
      <modifiedWord>其他</modifiedWord>
      <trackRevisions>false</trackRevisions>
    </reviewItem>
    <reviewItem>
      <errorID>41845e67-6f68-4590-9dd7-c154c25277f9</errorID>
      <errorWord>-</errorWord>
      <group>L1_Format</group>
      <groupName>格式问题</groupName>
      <ability>L2_HalfPunc</ability>
      <abilityName>全半角检查</abilityName>
      <candidateList>
        <item>－</item>
      </candidateList>
      <explain>文本全半角错误。</explain>
      <paraID>489AE4F7</paraID>
      <start>80</start>
      <end>81</end>
      <status>unmodified</status>
      <modifiedWord/>
      <trackRevisions>false</trackRevisions>
    </reviewItem>
    <reviewItem>
      <errorID>52bc4347-0e14-4f06-8679-167686b9f8d0</errorID>
      <errorWord>泄露</errorWord>
      <group>L1_Word</group>
      <groupName>字词问题</groupName>
      <ability>L2_Typo</ability>
      <abilityName>字词错误</abilityName>
      <candidateList>
        <item>泄漏</item>
      </candidateList>
      <explain/>
      <paraID> C88BDAB</paraID>
      <start>135</start>
      <end>137</end>
      <status>modified</status>
      <modifiedWord>泄漏</modifiedWord>
      <trackRevisions>false</trackRevisions>
    </reviewItem>
    <reviewItem>
      <errorID>fc7bc156-ea20-4f4f-86df-509931f5741e</errorID>
      <errorWord>泄露</errorWord>
      <group>L1_Word</group>
      <groupName>字词问题</groupName>
      <ability>L2_Typo</ability>
      <abilityName>字词错误</abilityName>
      <candidateList>
        <item>泄漏</item>
      </candidateList>
      <explain/>
      <paraID> C88BDAB</paraID>
      <start>155</start>
      <end>157</end>
      <status>modified</status>
      <modifiedWord>泄漏</modifiedWord>
      <trackRevisions>false</trackRevisions>
    </reviewItem>
    <reviewItem>
      <errorID>2bf88a89-9332-45d9-a7f1-021ba3529670</errorID>
      <errorWord>(</errorWord>
      <group>L1_Format</group>
      <groupName>格式问题</groupName>
      <ability>L2_HalfPunc</ability>
      <abilityName>全半角检查</abilityName>
      <candidateList>
        <item>（</item>
      </candidateList>
      <explain>文本全半角错误。</explain>
      <paraID>11A6EBE8</paraID>
      <start>49</start>
      <end>50</end>
      <status>unmodified</status>
      <modifiedWord/>
      <trackRevisions>false</trackRevisions>
    </reviewItem>
    <reviewItem>
      <errorID>08bf4826-0ada-4676-b5ca-832ec9b08e1f</errorID>
      <errorWord>~</errorWord>
      <group>L1_Format</group>
      <groupName>格式问题</groupName>
      <ability>L2_HalfPunc</ability>
      <abilityName>全半角检查</abilityName>
      <candidateList>
        <item>～</item>
      </candidateList>
      <explain>文本全半角错误。</explain>
      <paraID>11A6EBE8</paraID>
      <start>59</start>
      <end>60</end>
      <status>unmodified</status>
      <modifiedWord/>
      <trackRevisions>false</trackRevisions>
    </reviewItem>
    <reviewItem>
      <errorID>7f63cd03-df60-4710-82c4-cc63d4f0aaca</errorID>
      <errorWord>)</errorWord>
      <group>L1_Format</group>
      <groupName>格式问题</groupName>
      <ability>L2_HalfPunc</ability>
      <abilityName>全半角检查</abilityName>
      <candidateList>
        <item>）</item>
      </candidateList>
      <explain>文本全半角错误。</explain>
      <paraID>11A6EBE8</paraID>
      <start>68</start>
      <end>69</end>
      <status>unmodified</status>
      <modifiedWord/>
      <trackRevisions>false</trackRevisions>
    </reviewItem>
    <reviewItem>
      <errorID>6812b3bb-1f00-47db-b4c3-b40ccbe8b603</errorID>
      <errorWord>~</errorWord>
      <group>L1_Format</group>
      <groupName>格式问题</groupName>
      <ability>L2_HalfPunc</ability>
      <abilityName>全半角检查</abilityName>
      <candidateList>
        <item>～</item>
      </candidateList>
      <explain>文本全半角错误。</explain>
      <paraID>2494F7F1</paraID>
      <start>9</start>
      <end>10</end>
      <status>unmodified</status>
      <modifiedWord/>
      <trackRevisions>false</trackRevisions>
    </reviewItem>
    <reviewItem>
      <errorID>4c62c12b-59c0-45db-b7ad-09f1cf5e6f3e</errorID>
      <errorWord>泄露</errorWord>
      <group>L1_Word</group>
      <groupName>字词问题</groupName>
      <ability>L2_Typo</ability>
      <abilityName>字词错误</abilityName>
      <candidateList>
        <item>泄漏</item>
      </candidateList>
      <explain/>
      <paraID>2494F7F1</paraID>
      <start>39</start>
      <end>41</end>
      <status>modified</status>
      <modifiedWord>泄漏</modifiedWord>
      <trackRevisions>false</trackRevisions>
    </reviewItem>
    <reviewItem>
      <errorID>a8b3737c-0889-408e-bce4-2f8a4458695e</errorID>
      <errorWord>泄露</errorWord>
      <group>L1_Word</group>
      <groupName>字词问题</groupName>
      <ability>L2_Typo</ability>
      <abilityName>字词错误</abilityName>
      <candidateList>
        <item>泄漏</item>
      </candidateList>
      <explain>存在发音相同字词的误用。</explain>
      <paraID>2494F7F1</paraID>
      <start>155</start>
      <end>157</end>
      <status>modified</status>
      <modifiedWord>泄漏</modifiedWord>
      <trackRevisions>false</trackRevisions>
    </reviewItem>
    <reviewItem>
      <errorID>a9c30634-e5e9-43c2-8849-6b5761c06233</errorID>
      <errorWord>(</errorWord>
      <group>L1_Format</group>
      <groupName>格式问题</groupName>
      <ability>L2_HalfPunc</ability>
      <abilityName>全半角检查</abilityName>
      <candidateList>
        <item>（</item>
      </candidateList>
      <explain>文本全半角错误。</explain>
      <paraID>6311A8E8</paraID>
      <start>4</start>
      <end>5</end>
      <status>unmodified</status>
      <modifiedWord/>
      <trackRevisions>false</trackRevisions>
    </reviewItem>
    <reviewItem>
      <errorID>978de578-f36e-4d2c-a514-c9bbca56ada5</errorID>
      <errorWord>)</errorWord>
      <group>L1_Format</group>
      <groupName>格式问题</groupName>
      <ability>L2_HalfPunc</ability>
      <abilityName>全半角检查</abilityName>
      <candidateList>
        <item>）</item>
      </candidateList>
      <explain>文本全半角错误。</explain>
      <paraID>6311A8E8</paraID>
      <start>8</start>
      <end>9</end>
      <status>unmodified</status>
      <modifiedWord/>
      <trackRevisions>false</trackRevisions>
    </reviewItem>
    <reviewItem>
      <errorID>5344495e-f642-477d-931e-542db7419f75</errorID>
      <errorWord>＞</errorWord>
      <group>L1_Format</group>
      <groupName>格式问题</groupName>
      <ability>L2_HalfPunc</ability>
      <abilityName>全半角检查</abilityName>
      <candidateList>
        <item>&gt;</item>
      </candidateList>
      <explain>文本全半角错误。</explain>
      <paraID>3D0D4AD7</paraID>
      <start>0</start>
      <end>1</end>
      <status>unmodified</status>
      <modifiedWord/>
      <trackRevisions>false</trackRevisions>
    </reviewItem>
    <reviewItem>
      <errorID>560d8aa0-b8e7-409c-8157-3892532703c6</errorID>
      <errorWord>&gt;</errorWord>
      <group>L1_Punc</group>
      <groupName>标点问题</groupName>
      <ability>L2_Punc</ability>
      <abilityName>标点符号检查</abilityName>
      <candidateList/>
      <explain/>
      <paraID>68E72D1B</paraID>
      <start>0</start>
      <end>1</end>
      <status>unmodified</status>
      <modifiedWord/>
      <trackRevisions>false</trackRevisions>
    </reviewItem>
    <reviewItem>
      <errorID>d4fed213-225c-4647-87de-cf90723a4911</errorID>
      <errorWord>(</errorWord>
      <group>L1_Format</group>
      <groupName>格式问题</groupName>
      <ability>L2_HalfPunc</ability>
      <abilityName>全半角检查</abilityName>
      <candidateList>
        <item>（</item>
      </candidateList>
      <explain>文本全半角错误。</explain>
      <paraID>5702A5DC</paraID>
      <start>51</start>
      <end>52</end>
      <status>unmodified</status>
      <modifiedWord/>
      <trackRevisions>false</trackRevisions>
    </reviewItem>
    <reviewItem>
      <errorID>86180ce8-578e-47d0-a56b-b8e686a29c97</errorID>
      <errorWord>~</errorWord>
      <group>L1_Format</group>
      <groupName>格式问题</groupName>
      <ability>L2_HalfPunc</ability>
      <abilityName>全半角检查</abilityName>
      <candidateList>
        <item>～</item>
      </candidateList>
      <explain>文本全半角错误。</explain>
      <paraID>5702A5DC</paraID>
      <start>61</start>
      <end>62</end>
      <status>unmodified</status>
      <modifiedWord/>
      <trackRevisions>false</trackRevisions>
    </reviewItem>
    <reviewItem>
      <errorID>e8ec55a2-2be3-40d6-8124-7f053e548d78</errorID>
      <errorWord>)</errorWord>
      <group>L1_Format</group>
      <groupName>格式问题</groupName>
      <ability>L2_HalfPunc</ability>
      <abilityName>全半角检查</abilityName>
      <candidateList>
        <item>）</item>
      </candidateList>
      <explain>文本全半角错误。</explain>
      <paraID>5702A5DC</paraID>
      <start>70</start>
      <end>71</end>
      <status>unmodified</status>
      <modifiedWord/>
      <trackRevisions>false</trackRevisions>
    </reviewItem>
    <reviewItem>
      <errorID>deb31a19-a0aa-48b8-922b-41871dbe989e</errorID>
      <errorWord>~</errorWord>
      <group>L1_Format</group>
      <groupName>格式问题</groupName>
      <ability>L2_HalfPunc</ability>
      <abilityName>全半角检查</abilityName>
      <candidateList>
        <item>～</item>
      </candidateList>
      <explain>文本全半角错误。</explain>
      <paraID>140D2547</paraID>
      <start>9</start>
      <end>10</end>
      <status>unmodified</status>
      <modifiedWord/>
      <trackRevisions>false</trackRevisions>
    </reviewItem>
    <reviewItem>
      <errorID>08d32aff-ffac-4910-8498-428a39b0247b</errorID>
      <errorWord>泄露</errorWord>
      <group>L1_Word</group>
      <groupName>字词问题</groupName>
      <ability>L2_Typo</ability>
      <abilityName>字词错误</abilityName>
      <candidateList>
        <item>泄漏</item>
      </candidateList>
      <explain/>
      <paraID>140D2547</paraID>
      <start>41</start>
      <end>43</end>
      <status>modified</status>
      <modifiedWord>泄漏</modifiedWord>
      <trackRevisions>false</trackRevisions>
    </reviewItem>
    <reviewItem>
      <errorID>a2c44942-5d54-4354-b259-9ffac978c3c2</errorID>
      <errorWord>泄露</errorWord>
      <group>L1_Word</group>
      <groupName>字词问题</groupName>
      <ability>L2_Typo</ability>
      <abilityName>字词错误</abilityName>
      <candidateList>
        <item>泄漏</item>
      </candidateList>
      <explain/>
      <paraID>140D2547</paraID>
      <start>162</start>
      <end>164</end>
      <status>modified</status>
      <modifiedWord>泄漏</modifiedWord>
      <trackRevisions>false</trackRevisions>
    </reviewItem>
    <reviewItem>
      <errorID>ea35808f-8bc2-48d6-9d66-a03dfb121f98</errorID>
      <errorWord>泄露</errorWord>
      <group>L1_Word</group>
      <groupName>字词问题</groupName>
      <ability>L2_Typo</ability>
      <abilityName>字词错误</abilityName>
      <candidateList>
        <item>泄漏</item>
      </candidateList>
      <explain>存在发音相同字词的误用。</explain>
      <paraID>140D2547</paraID>
      <start>280</start>
      <end>282</end>
      <status>modified</status>
      <modifiedWord>泄漏</modifiedWord>
      <trackRevisions>false</trackRevisions>
    </reviewItem>
    <reviewItem>
      <errorID>6994d531-474e-445f-b6ad-d20acbc4045d</errorID>
      <errorWord>泄露</errorWord>
      <group>L1_Word</group>
      <groupName>字词问题</groupName>
      <ability>L2_Typo</ability>
      <abilityName>字词错误</abilityName>
      <candidateList>
        <item>泄漏</item>
      </candidateList>
      <explain>存在发音相同字词的误用。</explain>
      <paraID>140D2547</paraID>
      <start>287</start>
      <end>289</end>
      <status>modified</status>
      <modifiedWord>泄漏</modifiedWord>
      <trackRevisions>false</trackRevisions>
    </reviewItem>
    <reviewItem>
      <errorID>7a7e6904-e653-4da4-869f-3c0252fd1d1f</errorID>
      <errorWord>(</errorWord>
      <group>L1_Format</group>
      <groupName>格式问题</groupName>
      <ability>L2_HalfPunc</ability>
      <abilityName>全半角检查</abilityName>
      <candidateList>
        <item>（</item>
      </candidateList>
      <explain>文本全半角错误。</explain>
      <paraID>62B958A5</paraID>
      <start>4</start>
      <end>5</end>
      <status>unmodified</status>
      <modifiedWord/>
      <trackRevisions>false</trackRevisions>
    </reviewItem>
    <reviewItem>
      <errorID>495e1351-4537-4932-b046-4d11c72de928</errorID>
      <errorWord>)</errorWord>
      <group>L1_Format</group>
      <groupName>格式问题</groupName>
      <ability>L2_HalfPunc</ability>
      <abilityName>全半角检查</abilityName>
      <candidateList>
        <item>）</item>
      </candidateList>
      <explain>文本全半角错误。</explain>
      <paraID>62B958A5</paraID>
      <start>8</start>
      <end>9</end>
      <status>unmodified</status>
      <modifiedWord/>
      <trackRevisions>false</trackRevisions>
    </reviewItem>
    <reviewItem>
      <errorID>9a12d4c2-47e4-4e37-90ec-211b0725e228</errorID>
      <errorWord>＞</errorWord>
      <group>L1_Format</group>
      <groupName>格式问题</groupName>
      <ability>L2_HalfPunc</ability>
      <abilityName>全半角检查</abilityName>
      <candidateList>
        <item>&gt;</item>
      </candidateList>
      <explain>文本全半角错误。</explain>
      <paraID>7189DF3C</paraID>
      <start>0</start>
      <end>1</end>
      <status>unmodified</status>
      <modifiedWord/>
      <trackRevisions>false</trackRevisions>
    </reviewItem>
    <reviewItem>
      <errorID>61ad3968-c7e8-402a-88ae-f7221a58f37b</errorID>
      <errorWord>&gt;</errorWord>
      <group>L1_Punc</group>
      <groupName>标点问题</groupName>
      <ability>L2_Punc</ability>
      <abilityName>标点符号检查</abilityName>
      <candidateList/>
      <explain/>
      <paraID>1EC49CD9</paraID>
      <start>0</start>
      <end>1</end>
      <status>unmodified</status>
      <modifiedWord/>
      <trackRevisions>false</trackRevisions>
    </reviewItem>
    <reviewItem>
      <errorID>d4d6b786-23f6-4df2-b55b-0b1990b14a00</errorID>
      <errorWord>泄露</errorWord>
      <group>L1_Word</group>
      <groupName>字词问题</groupName>
      <ability>L2_Typo</ability>
      <abilityName>字词错误</abilityName>
      <candidateList>
        <item>泄漏</item>
      </candidateList>
      <explain>存在发音相同字词的误用。</explain>
      <paraID>418E6ACE</paraID>
      <start>75</start>
      <end>77</end>
      <status>modified</status>
      <modifiedWord>泄漏</modifiedWord>
      <trackRevisions>false</trackRevisions>
    </reviewItem>
    <reviewItem>
      <errorID>cca7ca7c-ec48-4ebf-a073-62d41d4095ee</errorID>
      <errorWord>泄露</errorWord>
      <group>L1_Word</group>
      <groupName>字词问题</groupName>
      <ability>L2_Typo</ability>
      <abilityName>字词错误</abilityName>
      <candidateList>
        <item>泄漏</item>
      </candidateList>
      <explain>存在发音相同字词的误用。</explain>
      <paraID>418E6ACE</paraID>
      <start>87</start>
      <end>89</end>
      <status>modified</status>
      <modifiedWord>泄漏</modifiedWord>
      <trackRevisions>false</trackRevisions>
    </reviewItem>
    <reviewItem>
      <errorID>d6e08f2a-3614-4a11-8a55-70d81b1dd287</errorID>
      <errorWord>，。</errorWord>
      <group>L1_Punc</group>
      <groupName>标点问题</groupName>
      <ability>L2_Punc</ability>
      <abilityName>标点符号检查</abilityName>
      <candidateList>
        <item>，</item>
      </candidateList>
      <explain/>
      <paraID>418E6ACE</paraID>
      <start>184</start>
      <end>186</end>
      <status>unmodified</status>
      <modifiedWord/>
      <trackRevisions>false</trackRevisions>
    </reviewItem>
    <reviewItem>
      <errorID>3791ef47-2769-46f7-9e5c-c60e6d27725a</errorID>
      <errorWord>分</errorWord>
      <group>L1_Word</group>
      <groupName>字词问题</groupName>
      <ability>L2_Typo</ability>
      <abilityName>字词错误</abilityName>
      <candidateList>
        <item>分为</item>
      </candidateList>
      <explain/>
      <paraID>39E8CACA</paraID>
      <start>49</start>
      <end>50</end>
      <status>unmodified</status>
      <modifiedWord/>
      <trackRevisions>false</trackRevisions>
    </reviewItem>
    <reviewItem>
      <errorID>c600efbf-def4-4b3f-a320-894ffb70415b</errorID>
      <errorWord>蒸气</errorWord>
      <group>L1_Word</group>
      <groupName>字词问题</groupName>
      <ability>L2_Typo</ability>
      <abilityName>字词错误</abilityName>
      <candidateList>
        <item>蒸汽</item>
      </candidateList>
      <explain/>
      <paraID> E741978</paraID>
      <start>2</start>
      <end>4</end>
      <status>unmodified</status>
      <modifiedWord/>
      <trackRevisions>false</trackRevisions>
    </reviewItem>
    <reviewItem>
      <errorID>82a1facf-371f-4be4-94c9-09447c50dd25</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1B8C3B6D</paraID>
      <start>0</start>
      <end>2</end>
      <status>unmodified</status>
      <modifiedWord/>
      <trackRevisions>false</trackRevisions>
    </reviewItem>
    <reviewItem>
      <errorID>fc4892d5-84a0-43ef-9e55-cb5bd5656de9</errorID>
      <errorWord>|</errorWord>
      <group>L1_Format</group>
      <groupName>格式问题</groupName>
      <ability>L2_HalfPunc</ability>
      <abilityName>全半角检查</abilityName>
      <candidateList>
        <item>｜</item>
      </candidateList>
      <explain>文本全半角错误。</explain>
      <paraID>4891F446</paraID>
      <start>4</start>
      <end>5</end>
      <status>unmodified</status>
      <modifiedWord/>
      <trackRevisions>false</trackRevisions>
    </reviewItem>
    <reviewItem>
      <errorID>c4ba8ceb-3247-4e61-828e-810e867ebb9f</errorID>
      <errorWord>(</errorWord>
      <group>L1_Format</group>
      <groupName>格式问题</groupName>
      <ability>L2_HalfPunc</ability>
      <abilityName>全半角检查</abilityName>
      <candidateList>
        <item>（</item>
      </candidateList>
      <explain>文本全半角错误。</explain>
      <paraID>4891F446</paraID>
      <start>7</start>
      <end>8</end>
      <status>unmodified</status>
      <modifiedWord/>
      <trackRevisions>false</trackRevisions>
    </reviewItem>
    <reviewItem>
      <errorID>314bf26f-a422-4f1a-9902-f3cf2c2a3d44</errorID>
      <errorWord>)</errorWord>
      <group>L1_Format</group>
      <groupName>格式问题</groupName>
      <ability>L2_HalfPunc</ability>
      <abilityName>全半角检查</abilityName>
      <candidateList>
        <item>）</item>
      </candidateList>
      <explain>文本全半角错误。</explain>
      <paraID>4891F446</paraID>
      <start>11</start>
      <end>12</end>
      <status>unmodified</status>
      <modifiedWord/>
      <trackRevisions>false</trackRevisions>
    </reviewItem>
    <reviewItem>
      <errorID>af1973cf-78f6-4dbe-a1b6-ff2406314789</errorID>
      <errorWord>鰮</errorWord>
      <group>L1_Word</group>
      <groupName>字词问题</groupName>
      <ability>L2_Fanti</ability>
      <abilityName>繁转简</abilityName>
      <candidateList>
        <item>鳁</item>
      </candidateList>
      <explain/>
      <paraID>33BA40CC</paraID>
      <start>0</start>
      <end>1</end>
      <status>unmodified</status>
      <modifiedWord/>
      <trackRevisions>false</trackRevisions>
    </reviewItem>
    <reviewItem>
      <errorID>8396cdad-5c88-41c0-a340-d43fab8af079</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7F2097A6</paraID>
      <start>0</start>
      <end>2</end>
      <status>unmodified</status>
      <modifiedWord/>
      <trackRevisions>false</trackRevisions>
    </reviewItem>
    <reviewItem>
      <errorID>39489c6d-59aa-425f-9819-09a7dfc19caf</errorID>
      <errorWord>蒸气</errorWord>
      <group>L1_Word</group>
      <groupName>字词问题</groupName>
      <ability>L2_Typo</ability>
      <abilityName>字词错误</abilityName>
      <candidateList>
        <item>蒸汽</item>
      </candidateList>
      <explain/>
      <paraID>7707C5BF</paraID>
      <start>2</start>
      <end>4</end>
      <status>unmodified</status>
      <modifiedWord/>
      <trackRevisions>false</trackRevisions>
    </reviewItem>
    <reviewItem>
      <errorID>af473e87-c9b9-48c0-9337-e7564c7309bd</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37EB06E0</paraID>
      <start>0</start>
      <end>2</end>
      <status>unmodified</status>
      <modifiedWord/>
      <trackRevisions>false</trackRevisions>
    </reviewItem>
    <reviewItem>
      <errorID>489557e8-0049-45d7-9f44-d9a383c00af1</errorID>
      <errorWord>|</errorWord>
      <group>L1_Format</group>
      <groupName>格式问题</groupName>
      <ability>L2_HalfPunc</ability>
      <abilityName>全半角检查</abilityName>
      <candidateList>
        <item>｜</item>
      </candidateList>
      <explain>文本全半角错误。</explain>
      <paraID>7A376016</paraID>
      <start>4</start>
      <end>5</end>
      <status>unmodified</status>
      <modifiedWord/>
      <trackRevisions>false</trackRevisions>
    </reviewItem>
    <reviewItem>
      <errorID>f9534674-1960-4525-9057-61ea89256ae0</errorID>
      <errorWord>(</errorWord>
      <group>L1_Format</group>
      <groupName>格式问题</groupName>
      <ability>L2_HalfPunc</ability>
      <abilityName>全半角检查</abilityName>
      <candidateList>
        <item>（</item>
      </candidateList>
      <explain>文本全半角错误。</explain>
      <paraID>7A376016</paraID>
      <start>7</start>
      <end>8</end>
      <status>unmodified</status>
      <modifiedWord/>
      <trackRevisions>false</trackRevisions>
    </reviewItem>
    <reviewItem>
      <errorID>9eee9bb1-848a-4786-8901-1cf869e9e9c8</errorID>
      <errorWord>)</errorWord>
      <group>L1_Format</group>
      <groupName>格式问题</groupName>
      <ability>L2_HalfPunc</ability>
      <abilityName>全半角检查</abilityName>
      <candidateList>
        <item>）</item>
      </candidateList>
      <explain>文本全半角错误。</explain>
      <paraID>7A376016</paraID>
      <start>11</start>
      <end>12</end>
      <status>unmodified</status>
      <modifiedWord/>
      <trackRevisions>false</trackRevisions>
    </reviewItem>
    <reviewItem>
      <errorID>36b9f76a-3213-4c3c-b379-5cdc33a45dcd</errorID>
      <errorWord>鰮</errorWord>
      <group>L1_Word</group>
      <groupName>字词问题</groupName>
      <ability>L2_Fanti</ability>
      <abilityName>繁转简</abilityName>
      <candidateList>
        <item>鳁</item>
      </candidateList>
      <explain/>
      <paraID>6DE515C4</paraID>
      <start>0</start>
      <end>1</end>
      <status>unmodified</status>
      <modifiedWord/>
      <trackRevisions>false</trackRevisions>
    </reviewItem>
    <reviewItem>
      <errorID>de1e90aa-2b11-4c65-90fa-f7a7a275bbd6</errorID>
      <errorWord>的</errorWord>
      <group>L1_Word</group>
      <groupName>字词问题</groupName>
      <ability>L2_DDD</ability>
      <abilityName>的地得用法</abilityName>
      <candidateList>
        <item>地</item>
      </candidateList>
      <explain>“地”常用于连接修饰语与动词性中心语，表示动作的方式、状态或程度。</explain>
      <paraID>71DB1654</paraID>
      <start>77</start>
      <end>78</end>
      <status>modified</status>
      <modifiedWord>地</modifiedWord>
      <trackRevisions>false</trackRevisions>
    </reviewItem>
    <reviewItem>
      <errorID>da17f909-07c2-4a9e-8b52-d13e977fc6be</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4BFD7196</paraID>
      <start>0</start>
      <end>2</end>
      <status>unmodified</status>
      <modifiedWord/>
      <trackRevisions>false</trackRevisions>
    </reviewItem>
    <reviewItem>
      <errorID>f7eb2e22-fea5-4819-bb24-3f49ba27d31e</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5F62A98D</paraID>
      <start>0</start>
      <end>2</end>
      <status>unmodified</status>
      <modifiedWord/>
      <trackRevisions>false</trackRevisions>
    </reviewItem>
    <reviewItem>
      <errorID>11dd1333-660f-4ce2-ab8d-4766ed76d2f8</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2EDC4B6D</paraID>
      <start>0</start>
      <end>2</end>
      <status>unmodified</status>
      <modifiedWord/>
      <trackRevisions>false</trackRevisions>
    </reviewItem>
    <reviewItem>
      <errorID>2ff140dd-438c-40ce-bdb1-a25080c76275</errorID>
      <errorWord>泄漏监测</errorWord>
      <group>L1_Knowledge</group>
      <groupName>知识性问题</groupName>
      <ability>L2_Term</ability>
      <abilityName>专业术语</abilityName>
      <candidateList>
        <item>泄漏检测</item>
      </candidateList>
      <explain/>
      <paraID>24825B7C</paraID>
      <start>88</start>
      <end>92</end>
      <status>unmodified</status>
      <modifiedWord/>
      <trackRevisions>false</trackRevisions>
    </reviewItem>
    <reviewItem>
      <errorID>86775edb-f3ce-454a-8bb2-964e477de01c</errorID>
      <errorWord>到上</errorWord>
      <group>L1_Word</group>
      <groupName>字词问题</groupName>
      <ability>L2_Typo</ability>
      <abilityName>字词错误</abilityName>
      <candidateList>
        <item>至上</item>
      </candidateList>
      <explain>〈形〉（地位、权力等）最高：顾客～｜国家利益～。</explain>
      <paraID>58EE014C</paraID>
      <start>10</start>
      <end>12</end>
      <status>unmodified</status>
      <modifiedWord/>
      <trackRevisions>false</trackRevisions>
    </reviewItem>
    <reviewItem>
      <errorID>f108d629-cfd4-44f3-adaf-e869b5bf1721</errorID>
      <errorWord>连锁效应</errorWord>
      <group>L1_Knowledge</group>
      <groupName>知识性问题</groupName>
      <ability>L2_Idiom</ability>
      <abilityName>成语和诗歌</abilityName>
      <candidateList>
        <item>连锁反应</item>
      </candidateList>
      <explain>1.链式反应
2.链式反应
3.比喻若干个相关的事物，只要一个发生变化，其他都跟着发生变化：商品市场扩大了，就会引起工业生产的～。</explain>
      <paraID>5CCF5CCA</paraID>
      <start>23</start>
      <end>27</end>
      <status>unmodified</status>
      <modifiedWord/>
      <trackRevisions>false</trackRevisions>
    </reviewItem>
    <reviewItem>
      <errorID>d6e2a39b-bd3f-4676-94a1-a93b11b1c9c7</errorID>
      <errorWord>泄漏探测</errorWord>
      <group>L1_Knowledge</group>
      <groupName>知识性问题</groupName>
      <ability>L2_Term</ability>
      <abilityName>专业术语</abilityName>
      <candidateList>
        <item>泄漏检测</item>
      </candidateList>
      <explain/>
      <paraID>776470AE</paraID>
      <start>76</start>
      <end>80</end>
      <status>unmodified</status>
      <modifiedWord/>
      <trackRevisions>false</trackRevisions>
    </reviewItem>
    <reviewItem>
      <errorID>afab0699-830a-4020-b3a6-b8a179d155f3</errorID>
      <errorWord>设</errorWord>
      <group>L1_Word</group>
      <groupName>字词问题</groupName>
      <ability>L2_Typo</ability>
      <abilityName>字词错误</abilityName>
      <candidateList>
        <item>设置</item>
      </candidateList>
      <explain>〈动〉❶设立：这座剧院是为儿童～的。❷安放；安装：～障碍。</explain>
      <paraID>706848DC</paraID>
      <start>18</start>
      <end>19</end>
      <status>unmodified</status>
      <modifiedWord/>
      <trackRevisions>false</trackRevisions>
    </reviewItem>
    <reviewItem>
      <errorID>10924e00-3ecc-4ba8-84c8-d9b84c858287</errorID>
      <errorWord>泄漏监测</errorWord>
      <group>L1_Knowledge</group>
      <groupName>知识性问题</groupName>
      <ability>L2_Term</ability>
      <abilityName>专业术语</abilityName>
      <candidateList>
        <item>泄漏检测</item>
      </candidateList>
      <explain/>
      <paraID>48D8E1A3</paraID>
      <start>78</start>
      <end>82</end>
      <status>unmodified</status>
      <modifiedWord/>
      <trackRevisions>false</trackRevisions>
    </reviewItem>
    <reviewItem>
      <errorID>ab35ae45-505e-4d70-9db1-deaee605cfaa</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5F058786</paraID>
      <start>0</start>
      <end>2</end>
      <status>unmodified</status>
      <modifiedWord/>
      <trackRevisions>false</trackRevisions>
    </reviewItem>
    <reviewItem>
      <errorID>c8b7a47a-c8d0-47f9-b669-6dd9446e6759</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1958E40F</paraID>
      <start>0</start>
      <end>2</end>
      <status>unmodified</status>
      <modifiedWord/>
      <trackRevisions>false</trackRevisions>
    </reviewItem>
    <reviewItem>
      <errorID>5818d7f8-2192-4132-bd17-33eb64468087</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3EF36202</paraID>
      <start>0</start>
      <end>2</end>
      <status>unmodified</status>
      <modifiedWord/>
      <trackRevisions>false</trackRevisions>
    </reviewItem>
    <reviewItem>
      <errorID>d5715aa5-d705-4942-a9db-fad4b10f9fac</errorID>
      <errorWord>提高</errorWord>
      <group>L1_Grammar</group>
      <groupName>语法问题</groupName>
      <ability>L2_Grammar</ability>
      <abilityName>语法错误</abilityName>
      <candidateList>
        <item>增强</item>
      </candidateList>
      <explain>“提高～意识”搭配不当，建议修改为“增强～意识”。</explain>
      <paraID>3EF36202</paraID>
      <start>13</start>
      <end>15</end>
      <status>unmodified</status>
      <modifiedWord/>
      <trackRevisions>false</trackRevisions>
    </reviewItem>
    <reviewItem>
      <errorID>fbc521a7-2a8a-4441-a0b3-4677774a02d8</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104D3DEC</paraID>
      <start>0</start>
      <end>2</end>
      <status>unmodified</status>
      <modifiedWord/>
      <trackRevisions>false</trackRevisions>
    </reviewItem>
    <reviewItem>
      <errorID>cb359907-5bfb-471f-b10e-f2b5f337462e</errorID>
      <errorWord>-</errorWord>
      <group>L1_Format</group>
      <groupName>格式问题</groupName>
      <ability>L2_HalfPunc</ability>
      <abilityName>全半角检查</abilityName>
      <candidateList>
        <item>－</item>
      </candidateList>
      <explain>文本全半角错误。</explain>
      <paraID>5C53F243</paraID>
      <start>41</start>
      <end>42</end>
      <status>unmodified</status>
      <modifiedWord/>
      <trackRevisions>false</trackRevisions>
    </reviewItem>
    <reviewItem>
      <errorID>b825bc1b-e776-4708-9b34-72af30730559</errorID>
      <errorWord>-</errorWord>
      <group>L1_Format</group>
      <groupName>格式问题</groupName>
      <ability>L2_HalfPunc</ability>
      <abilityName>全半角检查</abilityName>
      <candidateList>
        <item>－</item>
      </candidateList>
      <explain>文本全半角错误。</explain>
      <paraID>5C53F243</paraID>
      <start>46</start>
      <end>47</end>
      <status>unmodified</status>
      <modifiedWord/>
      <trackRevisions>false</trackRevisions>
    </reviewItem>
    <reviewItem>
      <errorID>215e1b2c-3d96-4a02-ac30-bfedb0b6984e</errorID>
      <errorWord>-</errorWord>
      <group>L1_Format</group>
      <groupName>格式问题</groupName>
      <ability>L2_HalfPunc</ability>
      <abilityName>全半角检查</abilityName>
      <candidateList>
        <item>－</item>
      </candidateList>
      <explain>文本全半角错误。</explain>
      <paraID>5C53F243</paraID>
      <start>53</start>
      <end>54</end>
      <status>unmodified</status>
      <modifiedWord/>
      <trackRevisions>false</trackRevisions>
    </reviewItem>
    <reviewItem>
      <errorID>fd2b52ab-7d05-4ecc-aee4-7cc16797c3fb</errorID>
      <errorWord>码头上</errorWord>
      <group>L1_Word</group>
      <groupName>字词问题</groupName>
      <ability>L2_Typo</ability>
      <abilityName>字词错误</abilityName>
      <candidateList>
        <item>码头</item>
      </candidateList>
      <explain/>
      <paraID>5C53F243</paraID>
      <start>192</start>
      <end>195</end>
      <status>unmodified</status>
      <modifiedWord/>
      <trackRevisions>false</trackRevisions>
    </reviewItem>
    <reviewItem>
      <errorID>fed65473-c5f4-4ec5-8153-70718ff98f16</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ECB7FC1</paraID>
      <start>0</start>
      <end>2</end>
      <status>unmodified</status>
      <modifiedWord/>
      <trackRevisions>false</trackRevisions>
    </reviewItem>
    <reviewItem>
      <errorID>ed09a1fd-e0f7-4b67-97bb-71f1d6287b31</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545607EC</paraID>
      <start>0</start>
      <end>2</end>
      <status>unmodified</status>
      <modifiedWord/>
      <trackRevisions>false</trackRevisions>
    </reviewItem>
    <reviewItem>
      <errorID>687b9304-1d41-4489-a59e-49f971a53425</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49850BBA</paraID>
      <start>0</start>
      <end>2</end>
      <status>unmodified</status>
      <modifiedWord/>
      <trackRevisions>false</trackRevisions>
    </reviewItem>
    <reviewItem>
      <errorID>8f40b0ab-7615-4521-8290-6d22f4b47d1d</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6E2FA733</paraID>
      <start>0</start>
      <end>2</end>
      <status>unmodified</status>
      <modifiedWord/>
      <trackRevisions>false</trackRevisions>
    </reviewItem>
    <reviewItem>
      <errorID>988fd996-7fc9-4a23-9c07-6d2061041a4c</errorID>
      <errorWord>了望</errorWord>
      <group>L1_Word</group>
      <groupName>字词问题</groupName>
      <ability>L2_Typo</ability>
      <abilityName>字词错误</abilityName>
      <candidateList>
        <item>瞭望</item>
      </candidateList>
      <explain>〈动〉❶登高远望：极目～，海天茫茫。❷特指从高处或远处监视敌情：～哨｜海防战士～着广阔的海面。</explain>
      <paraID> 73A8510</paraID>
      <start>56</start>
      <end>58</end>
      <status>unmodified</status>
      <modifiedWord/>
      <trackRevisions>false</trackRevisions>
    </reviewItem>
    <reviewItem>
      <errorID>4e1893a8-0098-4cb5-bcb6-82345bafc872</errorID>
      <errorWord>泄漏监测</errorWord>
      <group>L1_Knowledge</group>
      <groupName>知识性问题</groupName>
      <ability>L2_Term</ability>
      <abilityName>专业术语</abilityName>
      <candidateList>
        <item>泄漏检测</item>
      </candidateList>
      <explain/>
      <paraID>5C55F682</paraID>
      <start>51</start>
      <end>55</end>
      <status>unmodified</status>
      <modifiedWord/>
      <trackRevisions>false</trackRevisions>
    </reviewItem>
    <reviewItem>
      <errorID>e001d9a5-bebf-4a08-ae7f-c1fddaa712c2</errorID>
      <errorWord>输运</errorWord>
      <group>L1_Word</group>
      <groupName>字词问题</groupName>
      <ability>L2_Typo</ability>
      <abilityName>字词错误</abilityName>
      <candidateList>
        <item>运输</item>
      </candidateList>
      <explain/>
      <paraID>5C55F682</paraID>
      <start>99</start>
      <end>101</end>
      <status>modified</status>
      <modifiedWord>运输</modifiedWord>
      <trackRevisions>false</trackRevisions>
    </reviewItem>
    <reviewItem>
      <errorID>7917b084-14e4-43d0-b809-b566fb9cfa71</errorID>
      <errorWord>上述的</errorWord>
      <group>L1_Word</group>
      <groupName>字词问题</groupName>
      <ability>L2_Typo</ability>
      <abilityName>字词错误</abilityName>
      <candidateList>
        <item>上述</item>
      </candidateList>
      <explain>〈形〉属性词。上面所说的：～各条，望切实执行。</explain>
      <paraID> 9D9D2E5</paraID>
      <start>4</start>
      <end>7</end>
      <status>unmodified</status>
      <modifiedWord/>
      <trackRevisions>false</trackRevisions>
    </reviewItem>
    <reviewItem>
      <errorID>c1df9a1b-4931-4a47-b2a0-d7311d761ef2</errorID>
      <errorWord>撇油</errorWord>
      <group>L1_Word</group>
      <groupName>字词问题</groupName>
      <ability>L2_Typo</ability>
      <abilityName>字词错误</abilityName>
      <candidateList>
        <item>刮油</item>
      </candidateList>
      <explain/>
      <paraID>41D0BB27</paraID>
      <start>111</start>
      <end>113</end>
      <status>unmodified</status>
      <modifiedWord/>
      <trackRevisions>false</trackRevisions>
    </reviewItem>
    <reviewItem>
      <errorID>70240591-3339-48ec-be3d-4562b1b53513</errorID>
      <errorWord>采用的</errorWord>
      <group>L1_Word</group>
      <groupName>字词问题</groupName>
      <ability>L2_Typo</ability>
      <abilityName>字词错误</abilityName>
      <candidateList>
        <item>采用</item>
      </candidateList>
      <explain>〈动〉认为合适而使用：～新工艺｜～举手表决方式｜那篇稿子已被编辑部～。</explain>
      <paraID> 34C5C8A</paraID>
      <start>36</start>
      <end>39</end>
      <status>unmodified</status>
      <modifiedWord/>
      <trackRevisions>false</trackRevisions>
    </reviewItem>
    <reviewItem>
      <errorID>9a4ac86a-e0fd-4ec4-9f5e-724e8042da9c</errorID>
      <errorWord>、或</errorWord>
      <group>L1_Word</group>
      <groupName>字词问题</groupName>
      <ability>L2_Typo</ability>
      <abilityName>字词错误</abilityName>
      <candidateList>
        <item>或</item>
      </candidateList>
      <explain>❶〈副〉或许；也许：慰问团已经起程，明日上午～可到达。❷〈连〉或者v▲：～多～少｜不解决桥～船的问题，过河就是一句空话｜他生怕我没听清～不注意，所以又嘱咐了一遍。❸〈书〉〈代〉指示代词。某人；有的人：～告之曰。❹〈书〉副稍微：不可～缺｜不可～忽。</explain>
      <paraID>439CA0A6</paraID>
      <start>12</start>
      <end>14</end>
      <status>unmodified</status>
      <modifiedWord/>
      <trackRevisions>false</trackRevisions>
    </reviewItem>
    <reviewItem>
      <errorID>70ff52a3-47e2-4803-8185-439e87b78486</errorID>
      <errorWord>溶解型</errorWord>
      <group>L1_Word</group>
      <groupName>字词问题</groupName>
      <ability>L2_Typo</ability>
      <abilityName>字词错误</abilityName>
      <candidateList>
        <item>溶解性</item>
      </candidateList>
      <explain/>
      <paraID>3A48DC6C</paraID>
      <start>16</start>
      <end>19</end>
      <status>unmodified</status>
      <modifiedWord/>
      <trackRevisions>false</trackRevisions>
    </reviewItem>
    <reviewItem>
      <errorID>37ed35d2-2a8d-48ce-90fb-88afd166a080</errorID>
      <errorWord>溶解型</errorWord>
      <group>L1_Word</group>
      <groupName>字词问题</groupName>
      <ability>L2_Typo</ability>
      <abilityName>字词错误</abilityName>
      <candidateList>
        <item>溶解性</item>
      </candidateList>
      <explain/>
      <paraID>3A48DC6C</paraID>
      <start>41</start>
      <end>44</end>
      <status>unmodified</status>
      <modifiedWord/>
      <trackRevisions>false</trackRevisions>
    </reviewItem>
    <reviewItem>
      <errorID>f6633ea8-54bb-4f58-bbb4-f9bb4f190eef</errorID>
      <errorWord>己</errorWord>
      <group>L1_Word</group>
      <groupName>字词问题</groupName>
      <ability>L2_Typo</ability>
      <abilityName>字词错误</abilityName>
      <candidateList>
        <item>已</item>
      </candidateList>
      <explain>存在字形相近字词的误用。</explain>
      <paraID>3A48DC6C</paraID>
      <start>203</start>
      <end>204</end>
      <status>unmodified</status>
      <modifiedWord/>
      <trackRevisions>false</trackRevisions>
    </reviewItem>
    <reviewItem>
      <errorID>55f980c2-bfeb-418d-a331-3e9f6a6fa6e9</errorID>
      <errorWord>)</errorWord>
      <group>L1_Format</group>
      <groupName>格式问题</groupName>
      <ability>L2_HalfPunc</ability>
      <abilityName>全半角检查</abilityName>
      <candidateList>
        <item>）</item>
      </candidateList>
      <explain>文本全半角错误。</explain>
      <paraID>3A48DC6C</paraID>
      <start>245</start>
      <end>246</end>
      <status>unmodified</status>
      <modifiedWord/>
      <trackRevisions>false</trackRevisions>
    </reviewItem>
    <reviewItem>
      <errorID>e75403fb-2b9d-4078-8255-6ce55bd02aa3</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53E6996E</paraID>
      <start>0</start>
      <end>2</end>
      <status>unmodified</status>
      <modifiedWord/>
      <trackRevisions>false</trackRevisions>
    </reviewItem>
    <reviewItem>
      <errorID>2e645a60-37c0-48cf-b27d-bc96005e81e1</errorID>
      <errorWord>进行处理进行处理</errorWord>
      <group>L1_Word</group>
      <groupName>字词问题</groupName>
      <ability>L2_Typo</ability>
      <abilityName>字词错误</abilityName>
      <candidateList>
        <item>进行处理</item>
      </candidateList>
      <explain/>
      <paraID>7C5155F8</paraID>
      <start>93</start>
      <end>101</end>
      <status>unmodified</status>
      <modifiedWord/>
      <trackRevisions>false</trackRevisions>
    </reviewItem>
    <reviewItem>
      <errorID>df3f1288-02da-45d3-aae2-d140a2fe7fe2</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5742BCAD</paraID>
      <start>0</start>
      <end>2</end>
      <status>unmodified</status>
      <modifiedWord/>
      <trackRevisions>false</trackRevisions>
    </reviewItem>
    <reviewItem>
      <errorID>3f82d4a5-7894-4940-8bcc-62289df0111f</errorID>
      <errorWord>进行处理进行处理</errorWord>
      <group>L1_Word</group>
      <groupName>字词问题</groupName>
      <ability>L2_Typo</ability>
      <abilityName>字词错误</abilityName>
      <candidateList>
        <item>进行处理</item>
      </candidateList>
      <explain/>
      <paraID>7B85DB84</paraID>
      <start>227</start>
      <end>235</end>
      <status>unmodified</status>
      <modifiedWord/>
      <trackRevisions>false</trackRevisions>
    </reviewItem>
    <reviewItem>
      <errorID>21b82bb4-314f-424c-8ed1-b9e6b5c0a245</errorID>
      <errorWord>)</errorWord>
      <group>L1_Format</group>
      <groupName>格式问题</groupName>
      <ability>L2_HalfPunc</ability>
      <abilityName>全半角检查</abilityName>
      <candidateList>
        <item>）</item>
      </candidateList>
      <explain>文本全半角错误。</explain>
      <paraID>7D789448</paraID>
      <start>22</start>
      <end>23</end>
      <status>unmodified</status>
      <modifiedWord/>
      <trackRevisions>false</trackRevisions>
    </reviewItem>
    <reviewItem>
      <errorID>6f2021e8-91b2-47f0-a11a-98201fda735d</errorID>
      <errorWord>其它</errorWord>
      <group>L1_Word</group>
      <groupName>字词问题</groupName>
      <ability>L2_Alias</ability>
      <abilityName>也作/曾用词</abilityName>
      <candidateList>
        <item>其他</item>
      </candidateList>
      <explain>词汇[其它]为不规范表述或旧称，其规范书面表述为[其他]。</explain>
      <paraID>57A541DC</paraID>
      <start>0</start>
      <end>2</end>
      <status>modified</status>
      <modifiedWord>其他</modifiedWord>
      <trackRevisions>false</trackRevisions>
    </reviewItem>
    <reviewItem>
      <errorID>49ec193b-e1cc-48f2-90fe-9ec7549cc575</errorID>
      <errorWord>)</errorWord>
      <group>L1_Format</group>
      <groupName>格式问题</groupName>
      <ability>L2_HalfPunc</ability>
      <abilityName>全半角检查</abilityName>
      <candidateList>
        <item>）</item>
      </candidateList>
      <explain>文本全半角错误。</explain>
      <paraID> 938CBBD</paraID>
      <start>19</start>
      <end>20</end>
      <status>unmodified</status>
      <modifiedWord/>
      <trackRevisions>false</trackRevisions>
    </reviewItem>
    <reviewItem>
      <errorID>d4addca8-c95d-44e8-ac95-8cc5230c4575</errorID>
      <errorWord>)</errorWord>
      <group>L1_Format</group>
      <groupName>格式问题</groupName>
      <ability>L2_HalfPunc</ability>
      <abilityName>全半角检查</abilityName>
      <candidateList>
        <item>）</item>
      </candidateList>
      <explain>文本全半角错误。</explain>
      <paraID>17AB0ECA</paraID>
      <start>19</start>
      <end>20</end>
      <status>unmodified</status>
      <modifiedWord/>
      <trackRevisions>false</trackRevisions>
    </reviewItem>
    <reviewItem>
      <errorID>827bf928-c468-47a1-aaa3-27437b214434</errorID>
      <errorWord>的</errorWord>
      <group>L1_Word</group>
      <groupName>字词问题</groupName>
      <ability>L2_DDD</ability>
      <abilityName>的地得用法</abilityName>
      <candidateList>
        <item>地</item>
      </candidateList>
      <explain>“地”常用于连接修饰语与动词性中心语，表示动作的方式、状态或程度。</explain>
      <paraID>462BA45A</paraID>
      <start>3</start>
      <end>4</end>
      <status>modified</status>
      <modifiedWord>地</modifiedWord>
      <trackRevisions>false</trackRevisions>
    </reviewItem>
    <reviewItem>
      <errorID>bb2d36cc-eb10-4e51-b358-148605d8f542</errorID>
      <errorWord>~</errorWord>
      <group>L1_Format</group>
      <groupName>格式问题</groupName>
      <ability>L2_HalfPunc</ability>
      <abilityName>全半角检查</abilityName>
      <candidateList>
        <item>～</item>
      </candidateList>
      <explain>文本全半角错误。</explain>
      <paraID>155145E7</paraID>
      <start>63</start>
      <end>64</end>
      <status>unmodified</status>
      <modifiedWord/>
      <trackRevisions>false</trackRevisions>
    </reviewItem>
    <reviewItem>
      <errorID>d9f2cf16-7c04-437b-83c0-b99e8e804677</errorID>
      <errorWord>公认</errorWord>
      <group>L1_Word</group>
      <groupName>字词问题</groupName>
      <ability>L2_Typo</ability>
      <abilityName>字词错误</abilityName>
      <candidateList>
        <item>工人</item>
      </candidateList>
      <explain/>
      <paraID>6E959AAF</paraID>
      <start>41</start>
      <end>43</end>
      <status>unmodified</status>
      <modifiedWord/>
      <trackRevisions>false</trackRevisions>
    </reviewItem>
    <reviewItem>
      <errorID>41946f23-ad7d-4c7d-8dac-4940b070fca9</errorID>
      <errorWord>浮油回收船</errorWord>
      <group>L1_Knowledge</group>
      <groupName>知识性问题</groupName>
      <ability>L2_Term</ability>
      <abilityName>专业术语</abilityName>
      <candidateList>
        <item>溢油回收船</item>
      </candidateList>
      <explain/>
      <paraID>1858BE19</paraID>
      <start>1</start>
      <end>6</end>
      <status>unmodified</status>
      <modifiedWord/>
      <trackRevisions>false</trackRevisions>
    </reviewItem>
    <reviewItem>
      <errorID>a53ab0b0-7716-4c8d-b3b2-695e722fa200</errorID>
      <errorWord>油污带</errorWord>
      <group>L1_Word</group>
      <groupName>字词问题</groupName>
      <ability>L2_Typo</ability>
      <abilityName>字词错误</abilityName>
      <candidateList>
        <item>油污</item>
      </candidateList>
      <explain/>
      <paraID>1858BE19</paraID>
      <start>73</start>
      <end>76</end>
      <status>unmodified</status>
      <modifiedWord/>
      <trackRevisions>false</trackRevisions>
    </reviewItem>
    <reviewItem>
      <errorID>f81fdf75-6699-47ff-b018-f02859756296</errorID>
      <errorWord>气体监测仪</errorWord>
      <group>L1_Word</group>
      <groupName>字词问题</groupName>
      <ability>L2_Typo</ability>
      <abilityName>字词错误</abilityName>
      <candidateList>
        <item>气体检测仪</item>
      </candidateList>
      <explain/>
      <paraID>7A3F32F2</paraID>
      <start>19</start>
      <end>24</end>
      <status>unmodified</status>
      <modifiedWord/>
      <trackRevisions>false</trackRevisions>
    </reviewItem>
    <reviewItem>
      <errorID>6fb5dd2e-b9a4-4785-a86e-5e96438cc616</errorID>
      <errorWord>条</errorWord>
      <group>L1_Knowledge</group>
      <groupName>知识性问题</groupName>
      <ability>L2_Knowledge</ability>
      <abilityName>其他知识</abilityName>
      <candidateList>
        <item>艘</item>
      </candidateList>
      <explain>请检查“条”是否为量词使用错误，建议修改为“艘”。</explain>
      <paraID>6FD8DAB2</paraID>
      <start>22</start>
      <end>23</end>
      <status>unmodified</status>
      <modifiedWord/>
      <trackRevisions>false</trackRevisions>
    </reviewItem>
    <reviewItem>
      <errorID>87b5b76f-76ae-4ab8-9702-270e7cf836c6</errorID>
      <errorWord>油栏</errorWord>
      <group>L1_Word</group>
      <groupName>字词问题</groupName>
      <ability>L2_Typo</ability>
      <abilityName>字词错误</abilityName>
      <candidateList>
        <item>护栏</item>
      </candidateList>
      <explain>〈名〉❶设置在路边或人行道与车道之间的铁栅栏。❷起保护作用的栏杆：草地周围有～。</explain>
      <paraID>77FACBFC</paraID>
      <start>3</start>
      <end>5</end>
      <status>unmodified</status>
      <modifiedWord/>
      <trackRevisions>false</trackRevisions>
    </reviewItem>
    <reviewItem>
      <errorID>2f042a8c-90ce-4da8-9247-37c0577ca14d</errorID>
      <errorWord>栏</errorWord>
      <group>L1_Word</group>
      <groupName>字词问题</groupName>
      <ability>L2_Typo</ability>
      <abilityName>字词错误</abilityName>
      <candidateList>
        <item>链</item>
      </candidateList>
      <explain>存在发音相近字词的误用。</explain>
      <paraID>1F015215</paraID>
      <start>3</start>
      <end>4</end>
      <status>unmodified</status>
      <modifiedWord/>
      <trackRevisions>false</trackRevisions>
    </reviewItem>
    <reviewItem>
      <errorID>7b0a766a-0df7-4e46-9a66-a3d3f283a33e</errorID>
      <errorWord>5~10%</errorWord>
      <group>L1_Knowledge</group>
      <groupName>知识性问题</groupName>
      <ability>L2_Knowledge</ability>
      <abilityName>其他知识</abilityName>
      <candidateList>
        <item>5%～10%</item>
      </candidateList>
      <explain>1. “5~10%”中的单位“%”仅出现在后一个数字上，容易引起歧义；根据《现代汉语标点符号数字用法规范手册》，数字表示范围两边需要使用统一的格式。2. 根据标点国标 4.13 中的规则，数字、时间或地域连接符应使用（视觉上更长的）“—”或“～”。</explain>
      <paraID>23771B58</paraID>
      <start>128</start>
      <end>133</end>
      <status>unmodified</status>
      <modifiedWord/>
      <trackRevisions>false</trackRevisions>
    </reviewItem>
    <reviewItem>
      <errorID>4b6a2c1f-2ea9-4107-8353-f7650ca70ad8</errorID>
      <errorWord>油栏</errorWord>
      <group>L1_Word</group>
      <groupName>字词问题</groupName>
      <ability>L2_Typo</ability>
      <abilityName>字词错误</abilityName>
      <candidateList>
        <item>护栏</item>
      </candidateList>
      <explain>〈名〉❶设置在路边或人行道与车道之间的铁栅栏。❷起保护作用的栏杆：草地周围有～。</explain>
      <paraID>1754C400</paraID>
      <start>3</start>
      <end>5</end>
      <status>unmodified</status>
      <modifiedWord/>
      <trackRevisions>false</trackRevisions>
    </reviewItem>
    <reviewItem>
      <errorID>cdd36aab-87fc-4322-a1b2-0c3f1ac0e608</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76D337C8</paraID>
      <start>9</start>
      <end>10</end>
      <status>unmodified</status>
      <modifiedWord/>
      <trackRevisions>false</trackRevisions>
    </reviewItem>
    <reviewItem>
      <errorID>af91a261-cfb4-406b-8708-69da3548cf40</errorID>
      <errorWord>方</errorWord>
      <group>L1_Word</group>
      <groupName>字词问题</groupName>
      <ability>L2_Typo</ability>
      <abilityName>字词错误</abilityName>
      <candidateList>
        <item>方米</item>
      </candidateList>
      <explain/>
      <paraID>7E5146F6</paraID>
      <start>2</start>
      <end>3</end>
      <status>unmodified</status>
      <modifiedWord/>
      <trackRevisions>false</trackRevisions>
    </reviewItem>
    <reviewItem>
      <errorID>8837a6a5-208b-4821-9bdd-b4296168f1e6</errorID>
      <errorWord>铜制</errorWord>
      <group>L1_Word</group>
      <groupName>字词问题</groupName>
      <ability>L2_Typo</ability>
      <abilityName>字词错误</abilityName>
      <candidateList>
        <item>铜质</item>
      </candidateList>
      <explain>存在发音相同字词的误用。</explain>
      <paraID>6E143093</paraID>
      <start>0</start>
      <end>2</end>
      <status>unmodified</status>
      <modifiedWord/>
      <trackRevisions>false</trackRevisions>
    </reviewItem>
    <reviewItem>
      <errorID>ed113c9d-fa55-418b-be44-6520640d5926</errorID>
      <errorWord>如</errorWord>
      <group>L1_Word</group>
      <groupName>字词问题</groupName>
      <ability>L2_Typo</ability>
      <abilityName>字词错误</abilityName>
      <candidateList>
        <item>如下</item>
      </candidateList>
      <explain>〈动〉如同下面所叙述或列举的：列举～｜现将应注意的事情说明～。</explain>
      <paraID>5A55B6C9</paraID>
      <start>37</start>
      <end>38</end>
      <status>unmodified</status>
      <modifiedWord/>
      <trackRevisions>false</trackRevisions>
    </reviewItem>
    <reviewItem>
      <errorID>7fccaf86-c01a-41ec-88fa-55fd76129381</errorID>
      <errorWord>水联消防车</errorWord>
      <group>L1_Knowledge</group>
      <groupName>知识性问题</groupName>
      <ability>L2_Term</ability>
      <abilityName>专业术语</abilityName>
      <candidateList>
        <item>水罐消防车</item>
      </candidateList>
      <explain/>
      <paraID>4F1B27CF</paraID>
      <start>2</start>
      <end>7</end>
      <status>unmodified</status>
      <modifiedWord/>
      <trackRevisions>false</trackRevisions>
    </reviewItem>
    <reviewItem>
      <errorID>3997baa9-d383-48d9-a9a6-ca642750cd26</errorID>
      <errorWord>*</errorWord>
      <group>L1_Punc</group>
      <groupName>标点问题</groupName>
      <ability>L2_Punc</ability>
      <abilityName>标点符号检查</abilityName>
      <candidateList/>
      <explain/>
      <paraID>51D06E6C</paraID>
      <start>0</start>
      <end>1</end>
      <status>unmodified</status>
      <modifiedWord/>
      <trackRevisions>false</trackRevisions>
    </reviewItem>
    <reviewItem>
      <errorID>3f988170-7dfa-4526-ad83-4d1f6cc1833a</errorID>
      <errorWord>*</errorWord>
      <group>L1_Punc</group>
      <groupName>标点问题</groupName>
      <ability>L2_Punc</ability>
      <abilityName>标点符号检查</abilityName>
      <candidateList/>
      <explain/>
      <paraID> 5A14535</paraID>
      <start>0</start>
      <end>1</end>
      <status>unmodified</status>
      <modifiedWord/>
      <trackRevisions>false</trackRevisions>
    </reviewItem>
    <reviewItem>
      <errorID>d7e1768f-f383-4528-9441-366ef33e959a</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1948D765</paraID>
      <start>43</start>
      <end>44</end>
      <status>unmodified</status>
      <modifiedWord/>
      <trackRevisions>false</trackRevisions>
    </reviewItem>
    <reviewItem>
      <errorID>d32d3782-d8e7-4955-9dfc-af6af4d1f184</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1948D765</paraID>
      <start>192</start>
      <end>193</end>
      <status>unmodified</status>
      <modifiedWord/>
      <trackRevisions>false</trackRevisions>
    </reviewItem>
    <reviewItem>
      <errorID>92561af5-e059-40ee-9b3e-22de9e9287fe</errorID>
      <errorWord>泄露</errorWord>
      <group>L1_Word</group>
      <groupName>字词问题</groupName>
      <ability>L2_Typo</ability>
      <abilityName>字词错误</abilityName>
      <candidateList>
        <item>泄漏</item>
      </candidateList>
      <explain/>
      <paraID>40DFAB9E</paraID>
      <start>10</start>
      <end>12</end>
      <status>modified</status>
      <modifiedWord>泄漏</modifiedWord>
      <trackRevisions>false</trackRevisions>
    </reviewItem>
    <reviewItem>
      <errorID>ceb21a23-b7c0-4c69-b405-e1950d167d45</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40DFAB9E</paraID>
      <start>53</start>
      <end>54</end>
      <status>unmodified</status>
      <modifiedWord/>
      <trackRevisions>false</trackRevisions>
    </reviewItem>
    <reviewItem>
      <errorID>3378954e-edc1-4aeb-a1d9-66cb407e4609</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40DFAB9E</paraID>
      <start>198</start>
      <end>199</end>
      <status>unmodified</status>
      <modifiedWord/>
      <trackRevisions>false</trackRevisions>
    </reviewItem>
    <reviewItem>
      <errorID>d2d9a799-cd09-4e51-ab83-5e08f54b467d</errorID>
      <errorWord>泄露</errorWord>
      <group>L1_Word</group>
      <groupName>字词问题</groupName>
      <ability>L2_Typo</ability>
      <abilityName>字词错误</abilityName>
      <candidateList>
        <item>泄漏</item>
      </candidateList>
      <explain/>
      <paraID> 46A8DFF</paraID>
      <start>8</start>
      <end>10</end>
      <status>modified</status>
      <modifiedWord>泄漏</modifiedWord>
      <trackRevisions>false</trackRevisions>
    </reviewItem>
    <reviewItem>
      <errorID>f5ecab17-e3fe-4325-8363-0ef9ee64e87b</errorID>
      <errorWord>泄露</errorWord>
      <group>L1_Word</group>
      <groupName>字词问题</groupName>
      <ability>L2_Typo</ability>
      <abilityName>字词错误</abilityName>
      <candidateList>
        <item>泄漏</item>
      </candidateList>
      <explain>存在发音相同字词的误用。</explain>
      <paraID> 46A8DFF</paraID>
      <start>124</start>
      <end>126</end>
      <status>modified</status>
      <modifiedWord>泄漏</modifiedWord>
      <trackRevisions>false</trackRevisions>
    </reviewItem>
    <reviewItem>
      <errorID>6101299e-d10c-4c63-bfa0-b552aec9b59b</errorID>
      <errorWord>泄露</errorWord>
      <group>L1_Word</group>
      <groupName>字词问题</groupName>
      <ability>L2_Typo</ability>
      <abilityName>字词错误</abilityName>
      <candidateList>
        <item>泄漏</item>
      </candidateList>
      <explain>存在发音相同字词的误用。</explain>
      <paraID>21E65C1F</paraID>
      <start>10</start>
      <end>12</end>
      <status>modified</status>
      <modifiedWord>泄漏</modifiedWord>
      <trackRevisions>false</trackRevisions>
    </reviewItem>
    <reviewItem>
      <errorID>4abfa55a-0293-42b4-a730-07dfe4d0974f</errorID>
      <errorWord>泄露</errorWord>
      <group>L1_Word</group>
      <groupName>字词问题</groupName>
      <ability>L2_Typo</ability>
      <abilityName>字词错误</abilityName>
      <candidateList>
        <item>泄漏</item>
      </candidateList>
      <explain/>
      <paraID>21E65C1F</paraID>
      <start>131</start>
      <end>133</end>
      <status>modified</status>
      <modifiedWord>泄漏</modifiedWord>
      <trackRevisions>false</trackRevisions>
    </reviewItem>
    <reviewItem>
      <errorID>467d02a8-5a15-4ad7-bec1-21b4d5723caf</errorID>
      <errorWord>泄露</errorWord>
      <group>L1_Word</group>
      <groupName>字词问题</groupName>
      <ability>L2_Typo</ability>
      <abilityName>字词错误</abilityName>
      <candidateList>
        <item>泄漏</item>
      </candidateList>
      <explain>存在发音相同字词的误用。</explain>
      <paraID>21E65C1F</paraID>
      <start>249</start>
      <end>251</end>
      <status>modified</status>
      <modifiedWord>泄漏</modifiedWord>
      <trackRevisions>false</trackRevisions>
    </reviewItem>
    <reviewItem>
      <errorID>87dcac70-4820-4cbb-a1e8-c81179cbd0f2</errorID>
      <errorWord>泄露</errorWord>
      <group>L1_Word</group>
      <groupName>字词问题</groupName>
      <ability>L2_Typo</ability>
      <abilityName>字词错误</abilityName>
      <candidateList>
        <item>泄漏</item>
      </candidateList>
      <explain>存在发音相同字词的误用。</explain>
      <paraID>21E65C1F</paraID>
      <start>256</start>
      <end>258</end>
      <status>modified</status>
      <modifiedWord>泄漏</modifiedWord>
      <trackRevisions>false</trackRevisions>
    </reviewItem>
    <reviewItem>
      <errorID>beefbdc9-3188-4dce-83ec-5a2a28e65514</errorID>
      <errorWord>蓬布</errorWord>
      <group>L1_Word</group>
      <groupName>字词问题</groupName>
      <ability>L2_Typo</ability>
      <abilityName>字词错误</abilityName>
      <candidateList>
        <item>篷布</item>
      </candidateList>
      <explain/>
      <paraID>74BDCEDB</paraID>
      <start>19</start>
      <end>21</end>
      <status>unmodified</status>
      <modifiedWord/>
      <trackRevisions>false</trackRevisions>
    </reviewItem>
    <reviewItem>
      <errorID>e95f6560-19f1-46b5-b767-48c121f335c2</errorID>
      <errorWord>期</errorWord>
      <group>L1_Word</group>
      <groupName>字词问题</groupName>
      <ability>L2_Typo</ability>
      <abilityName>字词错误</abilityName>
      <candidateList>
        <item>期间</item>
      </candidateList>
      <explain>〈名〉某个时期里面：农忙～｜春节～｜抗战～。</explain>
      <paraID> D7DDD4F</paraID>
      <start>5</start>
      <end>6</end>
      <status>unmodified</status>
      <modifiedWord/>
      <trackRevisions>false</trackRevisions>
    </reviewItem>
    <reviewItem>
      <errorID>a0b26c4e-a290-4147-9bd9-73a6868a0a85</errorID>
      <errorWord>防止设备</errorWord>
      <group>L1_Knowledge</group>
      <groupName>知识性问题</groupName>
      <ability>L2_Term</ability>
      <abilityName>专业术语</abilityName>
      <candidateList>
        <item>防爆设备</item>
      </candidateList>
      <explain/>
      <paraID>6C32EA1E</paraID>
      <start>18</start>
      <end>22</end>
      <status>unmodified</status>
      <modifiedWord/>
      <trackRevisions>false</trackRevisions>
    </reviewItem>
    <reviewItem>
      <errorID>0865bd75-245e-4e50-b428-08449489ed93</errorID>
      <errorWord>废气污染物</errorWord>
      <group>L1_Knowledge</group>
      <groupName>知识性问题</groupName>
      <ability>L2_Term</ability>
      <abilityName>专业术语</abilityName>
      <candidateList>
        <item>空气污染物</item>
      </candidateList>
      <explain/>
      <paraID>372906A3</paraID>
      <start>5</start>
      <end>10</end>
      <status>unmodified</status>
      <modifiedWord/>
      <trackRevisions>false</trackRevisions>
    </reviewItem>
    <reviewItem>
      <errorID>fc757574-1eca-41f5-a2d1-3dc9dc1c4687</errorID>
      <errorWord>[2025]15号</errorWord>
      <group>L1_Knowledge</group>
      <groupName>知识性问题</groupName>
      <ability>L2_Knowledge</ability>
      <abilityName>其他知识</abilityName>
      <candidateList>
        <item>〔2025〕15号</item>
      </candidateList>
      <explain>发文字号格式错误。</explain>
      <paraID>2E64D429</paraID>
      <start>45</start>
      <end>54</end>
      <status>unmodified</status>
      <modifiedWord/>
      <trackRevisions>false</trackRevisions>
    </reviewItem>
    <reviewItem>
      <errorID>58130635-8caf-45bb-abc4-1c60062355c6</errorID>
      <errorWord>[2025]33号</errorWord>
      <group>L1_Knowledge</group>
      <groupName>知识性问题</groupName>
      <ability>L2_Knowledge</ability>
      <abilityName>其他知识</abilityName>
      <candidateList>
        <item>〔2025〕33号</item>
      </candidateList>
      <explain>发文字号格式错误。</explain>
      <paraID>792800E5</paraID>
      <start>47</start>
      <end>56</end>
      <status>unmodified</status>
      <modifiedWord/>
      <trackRevisions>false</trackRevisions>
    </reviewItem>
    <reviewItem>
      <errorID>c3d1bf7c-d9fc-49cf-a873-43e0ffb92a38</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CE2211B</paraID>
      <start>0</start>
      <end>2</end>
      <status>unmodified</status>
      <modifiedWord/>
      <trackRevisions>false</trackRevisions>
    </reviewItem>
    <reviewItem>
      <errorID>d37ff63d-10ce-4354-8328-4a8671f40b4c</errorID>
      <errorWord>前</errorWord>
      <group>L1_Word</group>
      <groupName>字词问题</groupName>
      <ability>L2_Typo</ability>
      <abilityName>字词错误</abilityName>
      <candidateList>
        <item>前在</item>
      </candidateList>
      <explain/>
      <paraID> 3EA8C81</paraID>
      <start>30</start>
      <end>31</end>
      <status>unmodified</status>
      <modifiedWord/>
      <trackRevisions>false</trackRevisions>
    </reviewItem>
    <reviewItem>
      <errorID>3718640c-cc7d-4f3e-9f0c-8d278be9ed46</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1A34B0C1</paraID>
      <start>0</start>
      <end>2</end>
      <status>unmodified</status>
      <modifiedWord/>
      <trackRevisions>false</trackRevisions>
    </reviewItem>
    <reviewItem>
      <errorID>ea78b517-849f-45ae-8133-7461b8284881</errorID>
      <errorWord>前</errorWord>
      <group>L1_Word</group>
      <groupName>字词问题</groupName>
      <ability>L2_Typo</ability>
      <abilityName>字词错误</abilityName>
      <candidateList>
        <item>前在</item>
      </candidateList>
      <explain/>
      <paraID>6BF21BD4</paraID>
      <start>32</start>
      <end>33</end>
      <status>unmodified</status>
      <modifiedWord/>
      <trackRevisions>false</trackRevisions>
    </reviewItem>
    <reviewItem>
      <errorID>c0b419a3-1da0-4822-b7df-be426ffb0e13</errorID>
      <errorWord>，</errorWord>
      <group>L1_Word</group>
      <groupName>字词问题</groupName>
      <ability>L2_Typo</ability>
      <abilityName>字词错误</abilityName>
      <candidateList>
        <item>，双</item>
      </candidateList>
      <explain/>
      <paraID>6BF21BD4</paraID>
      <start>86</start>
      <end>87</end>
      <status>unmodified</status>
      <modifiedWord/>
      <trackRevisions>false</trackRevisions>
    </reviewItem>
    <reviewItem>
      <errorID>d6e09a2d-a336-45b4-b063-f63b81ee15c3</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7630F6FD</paraID>
      <start>0</start>
      <end>2</end>
      <status>unmodified</status>
      <modifiedWord/>
      <trackRevisions>false</trackRevisions>
    </reviewItem>
    <reviewItem>
      <errorID>706f812f-77ae-4232-90fa-cd299635516e</errorID>
      <errorWord>（</errorWord>
      <group>L1_Punc</group>
      <groupName>标点问题</groupName>
      <ability>L2_Punc</ability>
      <abilityName>标点符号检查</abilityName>
      <candidateList/>
      <explain>同一形式括号套用。</explain>
      <paraID>112750E6</paraID>
      <start>111</start>
      <end>112</end>
      <status>unmodified</status>
      <modifiedWord/>
      <trackRevisions>false</trackRevisions>
    </reviewItem>
    <reviewItem>
      <errorID>9c11a3d0-63d4-4cb1-8574-53e0d60e41c3</errorID>
      <errorWord>）</errorWord>
      <group>L1_Punc</group>
      <groupName>标点问题</groupName>
      <ability>L2_Punc</ability>
      <abilityName>标点符号检查</abilityName>
      <candidateList/>
      <explain>同一形式括号套用。</explain>
      <paraID>112750E6</paraID>
      <start>124</start>
      <end>125</end>
      <status>unmodified</status>
      <modifiedWord/>
      <trackRevisions>false</trackRevisions>
    </reviewItem>
    <reviewItem>
      <errorID>10a12a29-290c-4c17-9871-c5cea7274454</errorID>
      <errorWord>（</errorWord>
      <group>L1_Punc</group>
      <groupName>标点问题</groupName>
      <ability>L2_Punc</ability>
      <abilityName>标点符号检查</abilityName>
      <candidateList/>
      <explain>同一形式括号套用。</explain>
      <paraID>112750E6</paraID>
      <start>138</start>
      <end>139</end>
      <status>unmodified</status>
      <modifiedWord/>
      <trackRevisions>false</trackRevisions>
    </reviewItem>
    <reviewItem>
      <errorID>eee1ef8b-8afc-418c-92d3-83e14d90c48a</errorID>
      <errorWord>）</errorWord>
      <group>L1_Punc</group>
      <groupName>标点问题</groupName>
      <ability>L2_Punc</ability>
      <abilityName>标点符号检查</abilityName>
      <candidateList/>
      <explain>同一形式括号套用。</explain>
      <paraID>112750E6</paraID>
      <start>150</start>
      <end>151</end>
      <status>unmodified</status>
      <modifiedWord/>
      <trackRevisions>false</trackRevisions>
    </reviewItem>
    <reviewItem>
      <errorID>9bb9da04-fb6c-49af-a8a3-376aaa879c5f</errorID>
      <errorWord>减震</errorWord>
      <group>L1_Word</group>
      <groupName>字词问题</groupName>
      <ability>L2_Typo</ability>
      <abilityName>字词错误</abilityName>
      <candidateList>
        <item>减振</item>
      </candidateList>
      <explain>存在发音相同字词的误用。</explain>
      <paraID>5E6E0053</paraID>
      <start>39</start>
      <end>41</end>
      <status>unmodified</status>
      <modifiedWord/>
      <trackRevisions>false</trackRevisions>
    </reviewItem>
    <reviewItem>
      <errorID>7eb24c2a-3d87-4974-848c-873ec5979b07</errorID>
      <errorWord>固体废物为</errorWord>
      <group>L1_Word</group>
      <groupName>字词问题</groupName>
      <ability>L2_Typo</ability>
      <abilityName>字词错误</abilityName>
      <candidateList>
        <item>固体废物</item>
      </candidateList>
      <explain/>
      <paraID>24E4E032</paraID>
      <start>40</start>
      <end>45</end>
      <status>unmodified</status>
      <modifiedWord/>
      <trackRevisions>false</trackRevisions>
    </reviewItem>
    <reviewItem>
      <errorID>956060a5-393e-4a02-85ec-becd701cd898</errorID>
      <errorWord>要</errorWord>
      <group>L1_Word</group>
      <groupName>字词问题</groupName>
      <ability>L2_Typo</ability>
      <abilityName>字词错误</abilityName>
      <candidateList>
        <item>要的</item>
      </candidateList>
      <explain/>
      <paraID>55465E18</paraID>
      <start>66</start>
      <end>67</end>
      <status>unmodified</status>
      <modifiedWord/>
      <trackRevisions>false</trackRevisions>
    </reviewItem>
    <reviewItem>
      <errorID>a95ff073-1e22-4609-b32c-1ac9241d22fd</errorID>
      <errorWord>能</errorWord>
      <group>L1_Word</group>
      <groupName>字词问题</groupName>
      <ability>L2_Typo</ability>
      <abilityName>字词错误</abilityName>
      <candidateList>
        <item>能够</item>
      </candidateList>
      <explain/>
      <paraID>61FFE37C</paraID>
      <start>62</start>
      <end>63</end>
      <status>unmodified</status>
      <modifiedWord/>
      <trackRevisions>false</trackRevisions>
    </reviewItem>
    <reviewItem>
      <errorID>ce73b967-043a-49c4-afa4-cfcbb481d955</errorID>
      <errorWord>减小</errorWord>
      <group>L1_Grammar</group>
      <groupName>语法问题</groupName>
      <ability>L2_Grammar</ability>
      <abilityName>语法错误</abilityName>
      <candidateList>
        <item>减少</item>
      </candidateList>
      <explain>“减小～排放”搭配不当，建议修改为“减少～排放”。</explain>
      <paraID>1CDE63DA</paraID>
      <start>0</start>
      <end>2</end>
      <status>unmodified</status>
      <modifiedWord/>
      <trackRevisions>false</trackRevisions>
    </reviewItem>
    <reviewItem>
      <errorID>caace0d9-c6e3-4693-822d-64d82c4ab68c</errorID>
      <errorWord>响</errorWord>
      <group>L1_Word</group>
      <groupName>字词问题</groupName>
      <ability>L2_Typo</ability>
      <abilityName>字词错误</abilityName>
      <candidateList>
        <item>响效</item>
      </candidateList>
      <explain/>
      <paraID>11D03B9A</paraID>
      <start>27</start>
      <end>28</end>
      <status>unmodified</status>
      <modifiedWord/>
      <trackRevisions>false</trackRevisions>
    </reviewItem>
    <reviewItem>
      <errorID>a3e6d334-968a-4633-b888-7b0d0fa9269b</errorID>
      <errorWord>响</errorWord>
      <group>L1_Word</group>
      <groupName>字词问题</groupName>
      <ability>L2_Typo</ability>
      <abilityName>字词错误</abilityName>
      <candidateList>
        <item>响效</item>
      </candidateList>
      <explain/>
      <paraID>11D03B9A</paraID>
      <start>33</start>
      <end>34</end>
      <status>unmodified</status>
      <modifiedWord/>
      <trackRevisions>false</trackRevisions>
    </reviewItem>
    <reviewItem>
      <errorID>929acdef-261a-4c45-9451-0c7a724a1a1a</errorID>
      <errorWord>的税</errorWord>
      <group>L1_Word</group>
      <groupName>字词问题</groupName>
      <ability>L2_Typo</ability>
      <abilityName>字词错误</abilityName>
      <candidateList>
        <item>的</item>
      </candidateList>
      <explain>“的”常用于连接修饰语与名词性中心语，表示属性、所属或描述。</explain>
      <paraID>11D03B9A</paraID>
      <start>87</start>
      <end>89</end>
      <status>unmodified</status>
      <modifiedWord/>
      <trackRevisions>false</trackRevisions>
    </reviewItem>
    <reviewItem>
      <errorID>19b94ca8-6df0-405c-9f76-95c5c8093d96</errorID>
      <errorWord>考虑其它</errorWord>
      <group>L1_Word</group>
      <groupName>字词问题</groupName>
      <ability>L2_Alias</ability>
      <abilityName>也作/曾用词</abilityName>
      <candidateList>
        <item>考虑其他</item>
      </candidateList>
      <explain>词汇[考虑其它]为不规范表述或旧称，其规范书面表述为[考虑其他]。</explain>
      <paraID>5AFB0536</paraID>
      <start>33</start>
      <end>37</end>
      <status>modified</status>
      <modifiedWord>考虑其他</modifiedWord>
      <trackRevisions>false</trackRevisions>
    </reviewItem>
    <reviewItem>
      <errorID>0765f6c6-bd24-43c0-b86d-55eab861b3f8</errorID>
      <errorWord>的</errorWord>
      <group>L1_Word</group>
      <groupName>字词问题</groupName>
      <ability>L2_DDD</ability>
      <abilityName>的地得用法</abilityName>
      <candidateList>
        <item>地</item>
      </candidateList>
      <explain>“地”常用于连接修饰语与动词性中心语，表示动作的方式、状态或程度。</explain>
      <paraID>5AFB0536</paraID>
      <start>98</start>
      <end>99</end>
      <status>modified</status>
      <modifiedWord>地</modifiedWord>
      <trackRevisions>false</trackRevisions>
    </reviewItem>
    <reviewItem>
      <errorID>85e3618a-3ed5-4f32-813c-5fb0d6e0a8ba</errorID>
      <errorWord>项目的</errorWord>
      <group>L1_Word</group>
      <groupName>字词问题</groupName>
      <ability>L2_Typo</ability>
      <abilityName>字词错误</abilityName>
      <candidateList>
        <item>项目</item>
      </candidateList>
      <explain>〈名〉事物分成的门类：服务～｜体育～｜建设～。</explain>
      <paraID>406923D2</paraID>
      <start>2</start>
      <end>5</end>
      <status>unmodified</status>
      <modifiedWord/>
      <trackRevisions>false</trackRevisions>
    </reviewItem>
    <reviewItem>
      <errorID>58fa4fd6-2886-4fbc-b2ea-aadc2f0bbf22</errorID>
      <errorWord>受</errorWord>
      <group>L1_Word</group>
      <groupName>字词问题</groupName>
      <ability>L2_Typo</ability>
      <abilityName>字词错误</abilityName>
      <candidateList>
        <item>受到</item>
      </candidateList>
      <explain/>
      <paraID>406923D2</paraID>
      <start>84</start>
      <end>85</end>
      <status>unmodified</status>
      <modifiedWord/>
      <trackRevisions>false</trackRevisions>
    </reviewItem>
    <reviewItem>
      <errorID>83c5a6cb-7f9d-431c-94ee-09c3c5646649</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5328869B</paraID>
      <start>0</start>
      <end>2</end>
      <status>unmodified</status>
      <modifiedWord/>
      <trackRevisions>false</trackRevisions>
    </reviewItem>
    <reviewItem>
      <errorID>62a5d129-12e7-4f6e-9a7a-1efb58caa927</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18F31DDA</paraID>
      <start>0</start>
      <end>2</end>
      <status>unmodified</status>
      <modifiedWord/>
      <trackRevisions>false</trackRevisions>
    </reviewItem>
    <reviewItem>
      <errorID>de06cb59-4ff5-446d-97e8-a73454e8996d</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4BF2BC63</paraID>
      <start>0</start>
      <end>2</end>
      <status>unmodified</status>
      <modifiedWord/>
      <trackRevisions>false</trackRevisions>
    </reviewItem>
    <reviewItem>
      <errorID>4b17fb61-519d-4a48-840f-ac108084b1d5</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52B623</paraID>
      <start>0</start>
      <end>2</end>
      <status>unmodified</status>
      <modifiedWord/>
      <trackRevisions>false</trackRevisions>
    </reviewItem>
    <reviewItem>
      <errorID>32741825-ebc6-440d-8be3-0733c7ff2d19</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1A1C392A</paraID>
      <start>0</start>
      <end>2</end>
      <status>unmodified</status>
      <modifiedWord/>
      <trackRevisions>false</trackRevisions>
    </reviewItem>
    <reviewItem>
      <errorID>a0a5b62f-e9e1-4269-99e7-00e78f93e08f</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3C4CD0EC</paraID>
      <start>0</start>
      <end>2</end>
      <status>unmodified</status>
      <modifiedWord/>
      <trackRevisions>false</trackRevisions>
    </reviewItem>
    <reviewItem>
      <errorID>885ef122-2991-45cd-8008-ed334cc41fb7</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2C9EEFE5</paraID>
      <start>0</start>
      <end>2</end>
      <status>unmodified</status>
      <modifiedWord/>
      <trackRevisions>false</trackRevisions>
    </reviewItem>
    <reviewItem>
      <errorID>450b73e6-2603-479d-8f00-56349569c2e2</errorID>
      <errorWord>8、</errorWord>
      <group>L1_Format</group>
      <groupName>格式问题</groupName>
      <ability>L2_Ordinal</ability>
      <abilityName>序号格式</abilityName>
      <candidateList>
        <item>8.</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1BE2D2C9</paraID>
      <start>0</start>
      <end>2</end>
      <status>unmodified</status>
      <modifiedWord/>
      <trackRevisions>false</trackRevisions>
    </reviewItem>
    <reviewItem>
      <errorID>c6689547-11ce-418f-8c59-c78f1febf9ed</errorID>
      <errorWord>9、</errorWord>
      <group>L1_Format</group>
      <groupName>格式问题</groupName>
      <ability>L2_Ordinal</ability>
      <abilityName>序号格式</abilityName>
      <candidateList>
        <item>9.</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23F583E6</paraID>
      <start>0</start>
      <end>2</end>
      <status>unmodified</status>
      <modifiedWord/>
      <trackRevisions>false</trackRevisions>
    </reviewItem>
    <reviewItem>
      <errorID>03acfa64-55a5-4535-ac61-bcd137f69053</errorID>
      <errorWord>10、</errorWord>
      <group>L1_Format</group>
      <groupName>格式问题</groupName>
      <ability>L2_Ordinal</ability>
      <abilityName>序号格式</abilityName>
      <candidateList>
        <item>10.</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5EE669EB</paraID>
      <start>0</start>
      <end>3</end>
      <status>unmodified</status>
      <modifiedWord/>
      <trackRevisions>false</trackRevisions>
    </reviewItem>
    <reviewItem>
      <errorID>d401764b-c412-4374-a3ab-acc3622a44e0</errorID>
      <errorWord>11、</errorWord>
      <group>L1_Format</group>
      <groupName>格式问题</groupName>
      <ability>L2_Ordinal</ability>
      <abilityName>序号格式</abilityName>
      <candidateList>
        <item>11.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36FC9B93</paraID>
      <start>0</start>
      <end>3</end>
      <status>unmodified</status>
      <modifiedWord/>
      <trackRevisions>false</trackRevisions>
    </reviewItem>
    <reviewItem>
      <errorID>1ce90773-cbe3-4ce3-a91f-9a88fbd62d61</errorID>
      <errorWord>12、</errorWord>
      <group>L1_Format</group>
      <groupName>格式问题</groupName>
      <ability>L2_Ordinal</ability>
      <abilityName>序号格式</abilityName>
      <candidateList>
        <item>12.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18E810AD</paraID>
      <start>0</start>
      <end>3</end>
      <status>unmodified</status>
      <modifiedWord/>
      <trackRevisions>false</trackRevisions>
    </reviewItem>
    <reviewItem>
      <errorID>1236cb21-2119-450e-9fba-9f58a2a5d47f</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33C9F44C</paraID>
      <start>0</start>
      <end>2</end>
      <status>unmodified</status>
      <modifiedWord/>
      <trackRevisions>false</trackRevisions>
    </reviewItem>
    <reviewItem>
      <errorID>bbde30d5-c04f-4b47-ad9e-5ce10096b38e</errorID>
      <errorWord>中华人民共和国环境保护法</errorWord>
      <group>L1_Knowledge</group>
      <groupName>知识性问题</groupName>
      <ability>L2_Knowledge</ability>
      <abilityName>其他知识</abilityName>
      <candidateList>
        <item>《中华人民共和国环境保护法》</item>
      </candidateList>
      <explain>完整法律法规名称需要加书名号，请注意检查。</explain>
      <paraID>33C9F44C</paraID>
      <start>7</start>
      <end>21</end>
      <status>modified</status>
      <modifiedWord>《中华人民共和国环境保护法》</modifiedWord>
      <trackRevisions>false</trackRevisions>
    </reviewItem>
    <reviewItem>
      <errorID>df6412a0-79f4-4bce-a9c9-87a16228e912</errorID>
      <errorWord>法律、法规</errorWord>
      <group>L1_Word</group>
      <groupName>字词问题</groupName>
      <ability>L2_Typo</ability>
      <abilityName>字词错误</abilityName>
      <candidateList>
        <item>法律法规</item>
      </candidateList>
      <explain/>
      <paraID>33C9F44C</paraID>
      <start>43</start>
      <end>48</end>
      <status>unmodified</status>
      <modifiedWord/>
      <trackRevisions>false</trackRevisions>
    </reviewItem>
    <reviewItem>
      <errorID>c305ab44-017b-4f07-a7b7-72577e8f5fd8</errorID>
      <errorWord>海洋与</errorWord>
      <group>L1_Word</group>
      <groupName>字词问题</groupName>
      <ability>L2_Typo</ability>
      <abilityName>字词错误</abilityName>
      <candidateList>
        <item>海洋</item>
      </candidateList>
      <explain/>
      <paraID>33C9F44C</paraID>
      <start>51</start>
      <end>54</end>
      <status>unmodified</status>
      <modifiedWord/>
      <trackRevisions>false</trackRevisions>
    </reviewItem>
    <reviewItem>
      <errorID>f40facdd-7816-4bf3-b44c-2dd9f1104e5c</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2868D73A</paraID>
      <start>0</start>
      <end>2</end>
      <status>unmodified</status>
      <modifiedWord/>
      <trackRevisions>false</trackRevisions>
    </reviewItem>
    <reviewItem>
      <errorID>76b481a7-c4e0-4c1c-a8f1-de0e4f4d5fb8</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6B4C2DA2</paraID>
      <start>0</start>
      <end>2</end>
      <status>unmodified</status>
      <modifiedWord/>
      <trackRevisions>false</trackRevisions>
    </reviewItem>
    <reviewItem>
      <errorID>5fdae60a-b879-43dd-9be3-a67c8fb97491</errorID>
      <errorWord>提</errorWord>
      <group>L1_Word</group>
      <groupName>字词问题</groupName>
      <ability>L2_Typo</ability>
      <abilityName>字词错误</abilityName>
      <candidateList>
        <item>提出</item>
      </candidateList>
      <explain/>
      <paraID>6B4C2DA2</paraID>
      <start>7</start>
      <end>8</end>
      <status>unmodified</status>
      <modifiedWord/>
      <trackRevisions>false</trackRevisions>
    </reviewItem>
    <reviewItem>
      <errorID>dd1a927f-abcf-4656-8446-3422f00e2ba0</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3D7D515A</paraID>
      <start>0</start>
      <end>2</end>
      <status>unmodified</status>
      <modifiedWord/>
      <trackRevisions>false</trackRevisions>
    </reviewItem>
    <reviewItem>
      <errorID>8a12bfc1-8c0a-4cd5-8a4b-7742c1a6e1b4</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1F08D57A</paraID>
      <start>0</start>
      <end>2</end>
      <status>unmodified</status>
      <modifiedWord/>
      <trackRevisions>false</trackRevisions>
    </reviewItem>
    <reviewItem>
      <errorID>61e4310d-9964-4269-9d4c-233ba4c69645</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D6E52E0</paraID>
      <start>0</start>
      <end>2</end>
      <status>unmodified</status>
      <modifiedWord/>
      <trackRevisions>false</trackRevisions>
    </reviewItem>
    <reviewItem>
      <errorID>d2d8f3c8-1d87-4409-a95e-ab4bb72d9cc9</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30535AD7</paraID>
      <start>0</start>
      <end>2</end>
      <status>unmodified</status>
      <modifiedWord/>
      <trackRevisions>false</trackRevisions>
    </reviewItem>
    <reviewItem>
      <errorID>eee19c96-2339-47d3-b938-85c6fb3fa205</errorID>
      <errorWord>和环境影响评价</errorWord>
      <group>L1_Knowledge</group>
      <groupName>知识性问题</groupName>
      <ability>L2_Term</ability>
      <abilityName>专业术语</abilityName>
      <candidateList>
        <item>声环境影响评价</item>
      </candidateList>
      <explain/>
      <paraID>54899DD7</paraID>
      <start>9</start>
      <end>16</end>
      <status>modified</status>
      <modifiedWord>声环境影响评价</modifiedWord>
      <trackRevisions>false</trackRevisions>
    </reviewItem>
    <reviewItem>
      <errorID>c55091b0-dcca-4d03-aeb9-6ed2ede67d53</errorID>
      <errorWord>(</errorWord>
      <group>L1_Format</group>
      <groupName>格式问题</groupName>
      <ability>L2_HalfPunc</ability>
      <abilityName>全半角检查</abilityName>
      <candidateList>
        <item>（</item>
      </candidateList>
      <explain>文本全半角错误。</explain>
      <paraID>77054E84</paraID>
      <start>4</start>
      <end>5</end>
      <status>unmodified</status>
      <modifiedWord/>
      <trackRevisions>false</trackRevisions>
    </reviewItem>
    <reviewItem>
      <errorID>710a1d70-8a0a-4cf2-ac57-d26a54fbafbc</errorID>
      <errorWord>)</errorWord>
      <group>L1_Format</group>
      <groupName>格式问题</groupName>
      <ability>L2_HalfPunc</ability>
      <abilityName>全半角检查</abilityName>
      <candidateList>
        <item>）</item>
      </candidateList>
      <explain>文本全半角错误。</explain>
      <paraID>77054E84</paraID>
      <start>10</start>
      <end>11</end>
      <status>unmodified</status>
      <modifiedWord/>
      <trackRevisions>false</trackRevisions>
    </reviewItem>
    <reviewItem>
      <errorID>8160fae8-05f3-4a20-926c-a8eadc759534</errorID>
      <errorWord>(</errorWord>
      <group>L1_Format</group>
      <groupName>格式问题</groupName>
      <ability>L2_HalfPunc</ability>
      <abilityName>全半角检查</abilityName>
      <candidateList>
        <item>（</item>
      </candidateList>
      <explain>文本全半角错误。</explain>
      <paraID>6FAC2D85</paraID>
      <start>3</start>
      <end>4</end>
      <status>unmodified</status>
      <modifiedWord/>
      <trackRevisions>false</trackRevisions>
    </reviewItem>
    <reviewItem>
      <errorID>1872e957-4136-442a-9954-1a274f6bd278</errorID>
      <errorWord>)</errorWord>
      <group>L1_Format</group>
      <groupName>格式问题</groupName>
      <ability>L2_HalfPunc</ability>
      <abilityName>全半角检查</abilityName>
      <candidateList>
        <item>）</item>
      </candidateList>
      <explain>文本全半角错误。</explain>
      <paraID>6FAC2D85</paraID>
      <start>7</start>
      <end>8</end>
      <status>unmodified</status>
      <modifiedWord/>
      <trackRevisions>false</trackRevisions>
    </reviewItem>
    <reviewItem>
      <errorID>e4c21867-a448-44ea-a107-3ed8fa08ad85</errorID>
      <errorWord>(</errorWord>
      <group>L1_Punc</group>
      <groupName>标点问题</groupName>
      <ability>L2_Punc</ability>
      <abilityName>标点符号检查</abilityName>
      <candidateList/>
      <explain/>
      <paraID>227419D8</paraID>
      <start>4</start>
      <end>5</end>
      <status>unmodified</status>
      <modifiedWord/>
      <trackRevisions>false</trackRevisions>
    </reviewItem>
    <reviewItem>
      <errorID>db49e181-6094-446f-8610-e0a4dd039a18</errorID>
      <errorWord>(</errorWord>
      <group>L1_Format</group>
      <groupName>格式问题</groupName>
      <ability>L2_HalfPunc</ability>
      <abilityName>全半角检查</abilityName>
      <candidateList>
        <item>（</item>
      </candidateList>
      <explain>文本全半角错误。</explain>
      <paraID>6ECC75C3</paraID>
      <start>3</start>
      <end>4</end>
      <status>unmodified</status>
      <modifiedWord/>
      <trackRevisions>false</trackRevisions>
    </reviewItem>
    <reviewItem>
      <errorID>d42b597b-4cf2-43d5-8f04-67739c878305</errorID>
      <errorWord>)</errorWord>
      <group>L1_Format</group>
      <groupName>格式问题</groupName>
      <ability>L2_HalfPunc</ability>
      <abilityName>全半角检查</abilityName>
      <candidateList>
        <item>）</item>
      </candidateList>
      <explain>文本全半角错误。</explain>
      <paraID>6ECC75C3</paraID>
      <start>7</start>
      <end>8</end>
      <status>unmodified</status>
      <modifiedWord/>
      <trackRevisions>false</trackRevisions>
    </reviewItem>
    <reviewItem>
      <errorID>68d64e69-e0f7-443d-905d-9d8c5edfdf49</errorID>
      <errorWord>(</errorWord>
      <group>L1_Format</group>
      <groupName>格式问题</groupName>
      <ability>L2_HalfPunc</ability>
      <abilityName>全半角检查</abilityName>
      <candidateList>
        <item>（</item>
      </candidateList>
      <explain>文本全半角错误。</explain>
      <paraID> E912A42</paraID>
      <start>4</start>
      <end>5</end>
      <status>unmodified</status>
      <modifiedWord/>
      <trackRevisions>false</trackRevisions>
    </reviewItem>
    <reviewItem>
      <errorID>2229ce14-dbfe-470f-8696-92abce2b15a4</errorID>
      <errorWord>)</errorWord>
      <group>L1_Format</group>
      <groupName>格式问题</groupName>
      <ability>L2_HalfPunc</ability>
      <abilityName>全半角检查</abilityName>
      <candidateList>
        <item>）</item>
      </candidateList>
      <explain>文本全半角错误。</explain>
      <paraID> E912A42</paraID>
      <start>9</start>
      <end>10</end>
      <status>unmodified</status>
      <modifiedWord/>
      <trackRevisions>false</trackRevisions>
    </reviewItem>
    <reviewItem>
      <errorID>1e9e6683-0e59-4e80-b418-d83914af51cf</errorID>
      <errorWord>(</errorWord>
      <group>L1_Format</group>
      <groupName>格式问题</groupName>
      <ability>L2_HalfPunc</ability>
      <abilityName>全半角检查</abilityName>
      <candidateList>
        <item>（</item>
      </candidateList>
      <explain>文本全半角错误。</explain>
      <paraID> A3591FA</paraID>
      <start>3</start>
      <end>4</end>
      <status>unmodified</status>
      <modifiedWord/>
      <trackRevisions>false</trackRevisions>
    </reviewItem>
    <reviewItem>
      <errorID>013028c9-db6e-4d16-9474-1620a80cc27d</errorID>
      <errorWord>)</errorWord>
      <group>L1_Format</group>
      <groupName>格式问题</groupName>
      <ability>L2_HalfPunc</ability>
      <abilityName>全半角检查</abilityName>
      <candidateList>
        <item>）</item>
      </candidateList>
      <explain>文本全半角错误。</explain>
      <paraID> A3591FA</paraID>
      <start>7</start>
      <end>8</end>
      <status>unmodified</status>
      <modifiedWord/>
      <trackRevisions>false</trackRevisions>
    </reviewItem>
    <reviewItem>
      <errorID>f4cf5067-f05c-4bd5-8a6f-a574772c441e</errorID>
      <errorWord>(</errorWord>
      <group>L1_Format</group>
      <groupName>格式问题</groupName>
      <ability>L2_HalfPunc</ability>
      <abilityName>全半角检查</abilityName>
      <candidateList>
        <item>（</item>
      </candidateList>
      <explain>文本全半角错误。</explain>
      <paraID>2FE05082</paraID>
      <start>4</start>
      <end>5</end>
      <status>unmodified</status>
      <modifiedWord/>
      <trackRevisions>false</trackRevisions>
    </reviewItem>
    <reviewItem>
      <errorID>3dd06b88-f028-4861-8e4b-747e69d4e541</errorID>
      <errorWord>)</errorWord>
      <group>L1_Format</group>
      <groupName>格式问题</groupName>
      <ability>L2_HalfPunc</ability>
      <abilityName>全半角检查</abilityName>
      <candidateList>
        <item>）</item>
      </candidateList>
      <explain>文本全半角错误。</explain>
      <paraID>2FE05082</paraID>
      <start>9</start>
      <end>10</end>
      <status>unmodified</status>
      <modifiedWord/>
      <trackRevisions>false</trackRevisions>
    </reviewItem>
    <reviewItem>
      <errorID>d83b0488-9e66-4719-886d-86d791eb8392</errorID>
      <errorWord>(</errorWord>
      <group>L1_Format</group>
      <groupName>格式问题</groupName>
      <ability>L2_HalfPunc</ability>
      <abilityName>全半角检查</abilityName>
      <candidateList>
        <item>（</item>
      </candidateList>
      <explain>文本全半角错误。</explain>
      <paraID>5D382865</paraID>
      <start>3</start>
      <end>4</end>
      <status>unmodified</status>
      <modifiedWord/>
      <trackRevisions>false</trackRevisions>
    </reviewItem>
    <reviewItem>
      <errorID>d9cee27f-e3ec-47a0-9218-6b67af884b31</errorID>
      <errorWord>)</errorWord>
      <group>L1_Format</group>
      <groupName>格式问题</groupName>
      <ability>L2_HalfPunc</ability>
      <abilityName>全半角检查</abilityName>
      <candidateList>
        <item>）</item>
      </candidateList>
      <explain>文本全半角错误。</explain>
      <paraID>5D382865</paraID>
      <start>7</start>
      <end>8</end>
      <status>unmodified</status>
      <modifiedWord/>
      <trackRevisions>false</trackRevisions>
    </reviewItem>
    <reviewItem>
      <errorID>b127ba32-073f-4c29-9c4c-f39d701180bc</errorID>
      <errorWord>《</errorWord>
      <group>L1_Punc</group>
      <groupName>标点问题</groupName>
      <ability>L2_Punc</ability>
      <abilityName>标点符号检查</abilityName>
      <candidateList/>
      <explain>同一形式括号套用。</explain>
      <paraID>7244AA2A</paraID>
      <start>22</start>
      <end>23</end>
      <status>unmodified</status>
      <modifiedWord/>
      <trackRevisions>false</trackRevisions>
    </reviewItem>
    <reviewItem>
      <errorID>32f9a127-b2f4-4c70-89ba-6ce7ed979d46</errorID>
      <errorWord>(</errorWord>
      <group>L1_Format</group>
      <groupName>格式问题</groupName>
      <ability>L2_HalfPunc</ability>
      <abilityName>全半角检查</abilityName>
      <candidateList>
        <item>（</item>
      </candidateList>
      <explain>文本全半角错误。</explain>
      <paraID>7244AA2A</paraID>
      <start>38</start>
      <end>39</end>
      <status>unmodified</status>
      <modifiedWord/>
      <trackRevisions>false</trackRevisions>
    </reviewItem>
    <reviewItem>
      <errorID>446cbf94-7ea4-4707-91da-687316edf713</errorID>
      <errorWord>)</errorWord>
      <group>L1_Format</group>
      <groupName>格式问题</groupName>
      <ability>L2_HalfPunc</ability>
      <abilityName>全半角检查</abilityName>
      <candidateList>
        <item>）</item>
      </candidateList>
      <explain>文本全半角错误。</explain>
      <paraID>7244AA2A</paraID>
      <start>47</start>
      <end>48</end>
      <status>unmodified</status>
      <modifiedWord/>
      <trackRevisions>false</trackRevisions>
    </reviewItem>
    <reviewItem>
      <errorID>cda94510-c05a-400a-ac1d-f18911f4b2a1</errorID>
      <errorWord>》</errorWord>
      <group>L1_Punc</group>
      <groupName>标点问题</groupName>
      <ability>L2_Punc</ability>
      <abilityName>标点符号检查</abilityName>
      <candidateList/>
      <explain>同一形式括号套用。</explain>
      <paraID>7244AA2A</paraID>
      <start>48</start>
      <end>49</end>
      <status>unmodified</status>
      <modifiedWord/>
      <trackRevisions>false</trackRevisions>
    </reviewItem>
    <reviewItem>
      <errorID>52a659f5-fa84-44b0-9666-d9b05374ddac</errorID>
      <errorWord>〔2022〕 350号</errorWord>
      <group>L1_Knowledge</group>
      <groupName>知识性问题</groupName>
      <ability>L2_Knowledge</ability>
      <abilityName>其他知识</abilityName>
      <candidateList>
        <item>〔2022〕350号</item>
      </candidateList>
      <explain>发文字号格式错误。</explain>
      <paraID>7244AA2A</paraID>
      <start>59</start>
      <end>70</end>
      <status>unmodified</status>
      <modifiedWord/>
      <trackRevisions>false</trackRevisions>
    </reviewItem>
    <reviewItem>
      <errorID>8d80bc05-32b4-4567-b57e-28df91305aa6</errorID>
      <errorWord>(</errorWord>
      <group>L1_Format</group>
      <groupName>格式问题</groupName>
      <ability>L2_HalfPunc</ability>
      <abilityName>全半角检查</abilityName>
      <candidateList>
        <item>（</item>
      </candidateList>
      <explain>文本全半角错误。</explain>
      <paraID>7244AA2A</paraID>
      <start>92</start>
      <end>93</end>
      <status>unmodified</status>
      <modifiedWord/>
      <trackRevisions>false</trackRevisions>
    </reviewItem>
    <reviewItem>
      <errorID>c0e34a89-3523-43bc-98d7-547a0a63dede</errorID>
      <errorWord>)</errorWord>
      <group>L1_Format</group>
      <groupName>格式问题</groupName>
      <ability>L2_HalfPunc</ability>
      <abilityName>全半角检查</abilityName>
      <candidateList>
        <item>）</item>
      </candidateList>
      <explain>文本全半角错误。</explain>
      <paraID>7244AA2A</paraID>
      <start>96</start>
      <end>97</end>
      <status>unmodified</status>
      <modifiedWord/>
      <trackRevisions>false</trackRevisions>
    </reviewItem>
    <reviewItem>
      <errorID>3397cf2b-9a3f-44a6-b764-1f9872321934</errorID>
      <errorWord>(</errorWord>
      <group>L1_Format</group>
      <groupName>格式问题</groupName>
      <ability>L2_HalfPunc</ability>
      <abilityName>全半角检查</abilityName>
      <candidateList>
        <item>（</item>
      </candidateList>
      <explain>文本全半角错误。</explain>
      <paraID>7244AA2A</paraID>
      <start>101</start>
      <end>102</end>
      <status>unmodified</status>
      <modifiedWord/>
      <trackRevisions>false</trackRevisions>
    </reviewItem>
    <reviewItem>
      <errorID>6f3e68e2-214c-4f9e-a278-162ef3acbcee</errorID>
      <errorWord>)</errorWord>
      <group>L1_Format</group>
      <groupName>格式问题</groupName>
      <ability>L2_HalfPunc</ability>
      <abilityName>全半角检查</abilityName>
      <candidateList>
        <item>）</item>
      </candidateList>
      <explain>文本全半角错误。</explain>
      <paraID>7244AA2A</paraID>
      <start>107</start>
      <end>108</end>
      <status>unmodified</status>
      <modifiedWord/>
      <trackRevisions>false</trackRevisions>
    </reviewItem>
    <reviewItem>
      <errorID>3d72e0ab-dc35-4a3e-af56-ef242b5d1f12</errorID>
      <errorWord>)</errorWord>
      <group>L1_Format</group>
      <groupName>格式问题</groupName>
      <ability>L2_HalfPunc</ability>
      <abilityName>全半角检查</abilityName>
      <candidateList>
        <item>）</item>
      </candidateList>
      <explain>文本全半角错误。</explain>
      <paraID>7244AA2A</paraID>
      <start>118</start>
      <end>119</end>
      <status>unmodified</status>
      <modifiedWord/>
      <trackRevisions>false</trackRevisions>
    </reviewItem>
    <reviewItem>
      <errorID>d4af5917-1f03-4af4-bdf0-947d2f79d95a</errorID>
      <errorWord>(</errorWord>
      <group>L1_Format</group>
      <groupName>格式问题</groupName>
      <ability>L2_HalfPunc</ability>
      <abilityName>全半角检查</abilityName>
      <candidateList>
        <item>（</item>
      </candidateList>
      <explain>文本全半角错误。</explain>
      <paraID>7244AA2A</paraID>
      <start>126</start>
      <end>127</end>
      <status>unmodified</status>
      <modifiedWord/>
      <trackRevisions>false</trackRevisions>
    </reviewItem>
    <reviewItem>
      <errorID>496101d5-b838-409c-bae2-4c94464af6fe</errorID>
      <errorWord>)</errorWord>
      <group>L1_Format</group>
      <groupName>格式问题</groupName>
      <ability>L2_HalfPunc</ability>
      <abilityName>全半角检查</abilityName>
      <candidateList>
        <item>）</item>
      </candidateList>
      <explain>文本全半角错误。</explain>
      <paraID>7244AA2A</paraID>
      <start>131</start>
      <end>132</end>
      <status>unmodified</status>
      <modifiedWord/>
      <trackRevisions>false</trackRevisions>
    </reviewItem>
    <reviewItem>
      <errorID>9b0782e5-6e50-4957-bceb-6f147a299ee4</errorID>
      <errorWord>项</errorWord>
      <group>L1_Knowledge</group>
      <groupName>知识性问题</groupName>
      <ability>L2_Knowledge</ability>
      <abilityName>其他知识</abilityName>
      <candidateList>
        <item>类</item>
      </candidateList>
      <explain>请检查“项”是否为量词使用错误，建议修改为“类”。</explain>
      <paraID>7244AA2A</paraID>
      <start>134</start>
      <end>135</end>
      <status>unmodified</status>
      <modifiedWord/>
      <trackRevisions>false</trackRevisions>
    </reviewItem>
    <reviewItem>
      <errorID>2ca675c4-0ddd-4a49-9fe5-e32a17a75c7b</errorID>
      <errorWord>[2016]</errorWord>
      <group>L1_Punc</group>
      <groupName>标点问题</groupName>
      <ability>L2_Punc</ability>
      <abilityName>标点符号检查</abilityName>
      <candidateList>
        <item>〔2016〕</item>
      </candidateList>
      <explain/>
      <paraID>48F13984</paraID>
      <start>35</start>
      <end>41</end>
      <status>unmodified</status>
      <modifiedWord/>
      <trackRevisions>false</trackRevisions>
    </reviewItem>
    <reviewItem>
      <errorID>1005dfe5-bdc7-4ab6-9f14-5101ec6f2290</errorID>
      <errorWord>-</errorWord>
      <group>L1_Format</group>
      <groupName>格式问题</groupName>
      <ability>L2_HalfPunc</ability>
      <abilityName>全半角检查</abilityName>
      <candidateList>
        <item>－</item>
      </candidateList>
      <explain>文本全半角错误。</explain>
      <paraID>735FFFFA</paraID>
      <start>57</start>
      <end>58</end>
      <status>unmodified</status>
      <modifiedWord/>
      <trackRevisions>false</trackRevisions>
    </reviewItem>
    <reviewItem>
      <errorID>d0723b7e-24d3-44b0-a3bd-83be3146c23e</errorID>
      <errorWord>目的是为了</errorWord>
      <group>L1_Knowledge</group>
      <groupName>知识性问题</groupName>
      <ability>L2_Knowledge</ability>
      <abilityName>其他知识</abilityName>
      <candidateList>
        <item>目的是</item>
      </candidateList>
      <explain/>
      <paraID> 6C948A0</paraID>
      <start>7</start>
      <end>12</end>
      <status>unmodified</status>
      <modifiedWord/>
      <trackRevisions>false</trackRevisions>
    </reviewItem>
    <reviewItem>
      <errorID>07a3283b-f442-4f98-ac45-15243868bd0d</errorID>
      <errorWord>国家海洋局</errorWord>
      <group>L1_Word</group>
      <groupName>字词问题</groupName>
      <ability>L2_Typo</ability>
      <abilityName>字词错误</abilityName>
      <candidateList>
        <item>自然资源部</item>
      </candidateList>
      <explain/>
      <paraID>25C24143</paraID>
      <start>61</start>
      <end>66</end>
      <status>unmodified</status>
      <modifiedWord/>
      <trackRevisions>false</trackRevisions>
    </reviewItem>
    <reviewItem>
      <errorID>46011cc5-659e-43c1-9cd3-6068ee2d1eb4</errorID>
      <errorWord>作适当调整</errorWord>
      <group>L1_Word</group>
      <groupName>字词问题</groupName>
      <ability>L2_Typo</ability>
      <abilityName>字词错误</abilityName>
      <candidateList>
        <item>做适当调整</item>
      </candidateList>
      <explain/>
      <paraID>14D7175B</paraID>
      <start>26</start>
      <end>31</end>
      <status>unmodified</status>
      <modifiedWord/>
      <trackRevisions>false</trackRevisions>
    </reviewItem>
    <reviewItem>
      <errorID>776bd3e4-b8d9-4656-93e5-cbd4f699241f</errorID>
      <errorWord>接受</errorWord>
      <group>L1_Word</group>
      <groupName>字词问题</groupName>
      <ability>L2_Typo</ability>
      <abilityName>字词错误</abilityName>
      <candidateList>
        <item>接收</item>
      </candidateList>
      <explain>〈动〉❶收受：～来稿｜～无线电信号。❷根据法令把机构、财产等拿过来：～逆产。❸接纳：～新会员。</explain>
      <paraID>2505073E</paraID>
      <start>58</start>
      <end>60</end>
      <status>unmodified</status>
      <modifiedWord/>
      <trackRevisions>false</trackRevisions>
    </reviewItem>
    <reviewItem>
      <errorID>1214abe2-9c97-4016-8934-a9b9c520f417</errorID>
      <errorWord>式</errorWord>
      <group>L1_Word</group>
      <groupName>字词问题</groupName>
      <ability>L2_Typo</ability>
      <abilityName>字词错误</abilityName>
      <candidateList>
        <item>式在</item>
      </candidateList>
      <explain/>
      <paraID>71A4ED7C</paraID>
      <start>44</start>
      <end>45</end>
      <status>unmodified</status>
      <modifiedWord/>
      <trackRevisions>false</trackRevisions>
    </reviewItem>
    <reviewItem>
      <errorID>5429e286-2b92-459f-a97a-59553b1f0fee</errorID>
      <errorWord>《</errorWord>
      <group>L1_Punc</group>
      <groupName>标点问题</groupName>
      <ability>L2_Punc</ability>
      <abilityName>标点符号检查</abilityName>
      <candidateList/>
      <explain>同一形式括号套用。</explain>
      <paraID>26ECFEAF</paraID>
      <start>7</start>
      <end>8</end>
      <status>unmodified</status>
      <modifiedWord/>
      <trackRevisions>false</trackRevisions>
    </reviewItem>
    <reviewItem>
      <errorID>6b9f9129-e2c8-4506-9236-335a004f265f</errorID>
      <errorWord>》</errorWord>
      <group>L1_Punc</group>
      <groupName>标点问题</groupName>
      <ability>L2_Punc</ability>
      <abilityName>标点符号检查</abilityName>
      <candidateList/>
      <explain>同一形式括号套用。</explain>
      <paraID>26ECFEAF</paraID>
      <start>24</start>
      <end>25</end>
      <status>unmodified</status>
      <modifiedWord/>
      <trackRevisions>false</trackRevisions>
    </reviewItem>
    <reviewItem>
      <errorID>de5a1f6c-185a-4fd4-988b-4d8d6d248112</errorID>
      <errorWord>(</errorWord>
      <group>L1_Format</group>
      <groupName>格式问题</groupName>
      <ability>L2_HalfPunc</ability>
      <abilityName>全半角检查</abilityName>
      <candidateList>
        <item>（</item>
      </candidateList>
      <explain>文本全半角错误。</explain>
      <paraID>33B9D9B9</paraID>
      <start>16</start>
      <end>17</end>
      <status>unmodified</status>
      <modifiedWord/>
      <trackRevisions>false</trackRevisions>
    </reviewItem>
    <reviewItem>
      <errorID>c4d1cbcf-ad79-484a-91a0-d3025d64af1e</errorID>
      <errorWord>)</errorWord>
      <group>L1_Format</group>
      <groupName>格式问题</groupName>
      <ability>L2_HalfPunc</ability>
      <abilityName>全半角检查</abilityName>
      <candidateList>
        <item>）</item>
      </candidateList>
      <explain>文本全半角错误。</explain>
      <paraID>33B9D9B9</paraID>
      <start>29</start>
      <end>30</end>
      <status>unmodified</status>
      <modifiedWord/>
      <trackRevisions>false</trackRevisions>
    </reviewItem>
    <reviewItem>
      <errorID>3f2ac91a-771d-4350-bbe2-8f443e288f2f</errorID>
      <errorWord>同步进行种</errorWord>
      <group>L1_Word</group>
      <groupName>字词问题</groupName>
      <ability>L2_Typo</ability>
      <abilityName>字词错误</abilityName>
      <candidateList>
        <item>同步进行</item>
      </candidateList>
      <explain/>
      <paraID>73B0A5DD</paraID>
      <start>195</start>
      <end>199</end>
      <status>modified</status>
      <modifiedWord>同步进行</modifiedWord>
      <trackRevisions>false</trackRevisions>
    </reviewItem>
    <reviewItem>
      <errorID>7364889a-a4c8-4387-b470-60d50adce77a</errorID>
      <errorWord>场</errorWord>
      <group>L1_Word</group>
      <groupName>字词问题</groupName>
      <ability>L2_Typo</ability>
      <abilityName>字词错误</abilityName>
      <candidateList>
        <item>厂</item>
      </candidateList>
      <explain/>
      <paraID>7EEB1ED0</paraID>
      <start>37</start>
      <end>38</end>
      <status>unmodified</status>
      <modifiedWord/>
      <trackRevisions>false</trackRevisions>
    </reviewItem>
    <reviewItem>
      <errorID>f5b1d1c9-e556-4c91-9715-c0c32a904410</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5969705A</paraID>
      <start>0</start>
      <end>2</end>
      <status>unmodified</status>
      <modifiedWord/>
      <trackRevisions>false</trackRevisions>
    </reviewItem>
    <reviewItem>
      <errorID>a9b9b141-37cb-44f0-b3b6-c0e45618b4b9</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BF2EC17</paraID>
      <start>0</start>
      <end>2</end>
      <status>unmodified</status>
      <modifiedWord/>
      <trackRevisions>false</trackRevisions>
    </reviewItem>
    <reviewItem>
      <errorID>561f2508-659e-4bd1-8753-1e35a25d4de2</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4B4E6325</paraID>
      <start>0</start>
      <end>2</end>
      <status>unmodified</status>
      <modifiedWord/>
      <trackRevisions>false</trackRevisions>
    </reviewItem>
    <reviewItem>
      <errorID>d07f4798-0860-4211-a408-22edbe19f57a</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525B6BCB</paraID>
      <start>0</start>
      <end>2</end>
      <status>unmodified</status>
      <modifiedWord/>
      <trackRevisions>false</trackRevisions>
    </reviewItem>
    <reviewItem>
      <errorID>c7f32f42-0a32-4bcb-965b-815e96fb9fca</errorID>
      <errorWord>,</errorWord>
      <group>L1_Format</group>
      <groupName>格式问题</groupName>
      <ability>L2_HalfPunc</ability>
      <abilityName>全半角检查</abilityName>
      <candidateList>
        <item>，</item>
      </candidateList>
      <explain>文本全半角错误。</explain>
      <paraID>593F2C15</paraID>
      <start>66</start>
      <end>67</end>
      <status>unmodified</status>
      <modifiedWord/>
      <trackRevisions>false</trackRevisions>
    </reviewItem>
    <reviewItem>
      <errorID>00e2840a-9570-4cd2-ad50-23f678a5ec48</errorID>
      <errorWord>,</errorWord>
      <group>L1_Format</group>
      <groupName>格式问题</groupName>
      <ability>L2_HalfPunc</ability>
      <abilityName>全半角检查</abilityName>
      <candidateList>
        <item>，</item>
      </candidateList>
      <explain>文本全半角错误。</explain>
      <paraID>593F2C15</paraID>
      <start>96</start>
      <end>97</end>
      <status>unmodified</status>
      <modifiedWord/>
      <trackRevisions>false</trackRevisions>
    </reviewItem>
    <reviewItem>
      <errorID>227acc14-acba-476e-a791-bb19d2548463</errorID>
      <errorWord>,</errorWord>
      <group>L1_Format</group>
      <groupName>格式问题</groupName>
      <ability>L2_HalfPunc</ability>
      <abilityName>全半角检查</abilityName>
      <candidateList>
        <item>，</item>
      </candidateList>
      <explain>文本全半角错误。</explain>
      <paraID>593F2C15</paraID>
      <start>127</start>
      <end>128</end>
      <status>unmodified</status>
      <modifiedWord/>
      <trackRevisions>false</trackRevisions>
    </reviewItem>
    <reviewItem>
      <errorID>b68d95f2-9bb8-4e26-9c7e-713bb29f2715</errorID>
      <errorWord>）</errorWord>
      <group>L1_Word</group>
      <groupName>字词问题</groupName>
      <ability>L2_Typo</ability>
      <abilityName>字词错误</abilityName>
      <candidateList>
        <item>）第</item>
      </candidateList>
      <explain/>
      <paraID>21B4BD89</paraID>
      <start>49</start>
      <end>50</end>
      <status>unmodified</status>
      <modifiedWord/>
      <trackRevisions>false</trackRevisions>
    </reviewItem>
    <reviewItem>
      <errorID>e40fc927-a5ea-44e5-8b8c-88de2acbf987</errorID>
      <errorWord>境</errorWord>
      <group>L1_Word</group>
      <groupName>字词问题</groupName>
      <ability>L2_Typo</ability>
      <abilityName>字词错误</abilityName>
      <candidateList>
        <item>境影</item>
      </candidateList>
      <explain/>
      <paraID>39D3C34E</paraID>
      <start>221</start>
      <end>222</end>
      <status>unmodified</status>
      <modifiedWord/>
      <trackRevisions>false</trackRevisions>
    </reviewItem>
    <reviewItem>
      <errorID>e2776bb8-76e8-4ae2-9e59-156160f504c8</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3B3FE763</paraID>
      <start>0</start>
      <end>2</end>
      <status>unmodified</status>
      <modifiedWord/>
      <trackRevisions>false</trackRevisions>
    </reviewItem>
    <reviewItem>
      <errorID>d65d44f7-3dd2-4f07-844c-08e417fe85f4</errorID>
      <errorWord>[2025]15号</errorWord>
      <group>L1_Knowledge</group>
      <groupName>知识性问题</groupName>
      <ability>L2_Knowledge</ability>
      <abilityName>其他知识</abilityName>
      <candidateList>
        <item>〔2025〕15号</item>
      </candidateList>
      <explain>发文字号格式错误。</explain>
      <paraID>6B3C22A6</paraID>
      <start>45</start>
      <end>54</end>
      <status>unmodified</status>
      <modifiedWord/>
      <trackRevisions>false</trackRevisions>
    </reviewItem>
    <reviewItem>
      <errorID>8dbfb7f3-77e1-47c5-b152-4bb56ef14114</errorID>
      <errorWord>[2025]33号</errorWord>
      <group>L1_Knowledge</group>
      <groupName>知识性问题</groupName>
      <ability>L2_Knowledge</ability>
      <abilityName>其他知识</abilityName>
      <candidateList>
        <item>〔2025〕33号</item>
      </candidateList>
      <explain>发文字号格式错误。</explain>
      <paraID>1F2EFC17</paraID>
      <start>47</start>
      <end>56</end>
      <status>unmodified</status>
      <modifiedWord/>
      <trackRevisions>false</trackRevisions>
    </reviewItem>
    <reviewItem>
      <errorID>3ca8c0b9-b093-47b3-8bf8-4eff9e0766cf</errorID>
      <errorWord>噪</errorWord>
      <group>L1_Word</group>
      <groupName>字词问题</groupName>
      <ability>L2_Typo</ability>
      <abilityName>字词错误</abilityName>
      <candidateList>
        <item>噪声</item>
      </candidateList>
      <explain/>
      <paraID>   17ED4</paraID>
      <start>6</start>
      <end>7</end>
      <status>unmodified</status>
      <modifiedWord/>
      <trackRevisions>false</trackRevisions>
    </reviewItem>
    <reviewItem>
      <errorID>b28214f3-e220-461e-be82-a294425bb606</errorID>
      <errorWord>职工</errorWord>
      <group>L1_Word</group>
      <groupName>字词问题</groupName>
      <ability>L2_Typo</ability>
      <abilityName>字词错误</abilityName>
      <candidateList>
        <item>施工</item>
      </candidateList>
      <explain>〈动〉按照设计的规格和要求建筑房屋、桥梁、道路、水利工程等。</explain>
      <paraID>6AA60512</paraID>
      <start>162</start>
      <end>164</end>
      <status>unmodified</status>
      <modifiedWord/>
      <trackRevisions>false</trackRevisions>
    </reviewItem>
    <reviewItem>
      <errorID>15112931-b246-4ed2-8408-ee601d2984d1</errorID>
      <errorWord>的</errorWord>
      <group>L1_Word</group>
      <groupName>字词问题</groupName>
      <ability>L2_DDD</ability>
      <abilityName>的地得用法</abilityName>
      <candidateList>
        <item>地</item>
      </candidateList>
      <explain>“地”常用于连接修饰语与动词性中心语，表示动作的方式、状态或程度。</explain>
      <paraID>46528BB8</paraID>
      <start>35</start>
      <end>36</end>
      <status>modified</status>
      <modifiedWord>地</modifiedWord>
      <trackRevisions>false</trackRevisions>
    </reviewItem>
    <reviewItem>
      <errorID>a83cb735-616b-44d4-a883-76c7959147f8</errorID>
      <errorWord>的</errorWord>
      <group>L1_Word</group>
      <groupName>字词问题</groupName>
      <ability>L2_DDD</ability>
      <abilityName>的地得用法</abilityName>
      <candidateList>
        <item>地</item>
      </candidateList>
      <explain>“地”常用于连接修饰语与动词性中心语，表示动作的方式、状态或程度。</explain>
      <paraID>4A7730C8</paraID>
      <start>43</start>
      <end>44</end>
      <status>modified</status>
      <modifiedWord>地</modifiedWord>
      <trackRevisions>false</trackRevisions>
    </reviewItem>
    <reviewItem>
      <errorID>63acb0b9-eaaf-4411-9fd5-d5ddc1743ebe</errorID>
      <errorWord>&lt;</errorWord>
      <group>L1_Format</group>
      <groupName>格式问题</groupName>
      <ability>L2_HalfPunc</ability>
      <abilityName>全半角检查</abilityName>
      <candidateList>
        <item>〈</item>
      </candidateList>
      <explain>文本全半角错误。</explain>
      <paraID>4FF74B5D</paraID>
      <start>20</start>
      <end>21</end>
      <status>unmodified</status>
      <modifiedWord/>
      <trackRevisions>false</trackRevisions>
    </reviewItem>
    <reviewItem>
      <errorID>dfbf0972-bf37-4757-bc36-963ae0f98b1c</errorID>
      <errorWord>&gt;的通知》</errorWord>
      <group>L1_Punc</group>
      <groupName>标点问题</groupName>
      <ability>L2_Punc</ability>
      <abilityName>标点符号检查</abilityName>
      <candidateList>
        <item>〉的通知》</item>
      </candidateList>
      <explain/>
      <paraID>4FF74B5D</paraID>
      <start>43</start>
      <end>48</end>
      <status>unmodified</status>
      <modifiedWord/>
      <trackRevisions>false</trackRevisions>
    </reviewItem>
    <reviewItem>
      <errorID>49b02f51-4b38-4c62-ba3a-54e9b3a37c78</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 74AEBBC</paraID>
      <start>89</start>
      <end>90</end>
      <status>unmodified</status>
      <modifiedWord/>
      <trackRevisions>false</trackRevisions>
    </reviewItem>
    <reviewItem>
      <errorID>af8dcebc-02ec-4c10-9520-29107ab18afa</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 74AEBBC</paraID>
      <start>96</start>
      <end>99</end>
      <status>unmodified</status>
      <modifiedWord/>
      <trackRevisions>false</trackRevisions>
    </reviewItem>
  </reviewItems>
  <config/>
</contractReview>
</file>

<file path=customXml/item3.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9d86b26c-00b7-4952-94b3-6f09c3f12279}">
  <ds:schemaRefs/>
</ds:datastoreItem>
</file>

<file path=customXml/itemProps3.xml><?xml version="1.0" encoding="utf-8"?>
<ds:datastoreItem xmlns:ds="http://schemas.openxmlformats.org/officeDocument/2006/customXml" ds:itemID="{42A17E74-99BF-4AE4-A24C-C34409B78EA3}">
  <ds:schemaRefs/>
</ds:datastoreItem>
</file>

<file path=docProps/app.xml><?xml version="1.0" encoding="utf-8"?>
<Properties xmlns="http://schemas.openxmlformats.org/officeDocument/2006/extended-properties" xmlns:vt="http://schemas.openxmlformats.org/officeDocument/2006/docPropsVTypes">
  <Template>Normal.dotm</Template>
  <Company>Organization</Company>
  <Pages>289</Pages>
  <Words>2218</Words>
  <Characters>2405</Characters>
  <Lines>1429</Lines>
  <Paragraphs>402</Paragraphs>
  <TotalTime>6</TotalTime>
  <ScaleCrop>false</ScaleCrop>
  <LinksUpToDate>false</LinksUpToDate>
  <CharactersWithSpaces>2419</CharactersWithSpaces>
  <Application>WPS Office_12.8.2.18205_F1E327BC-269C-435d-A152-05C5408002CA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2026-01-08T01:10:00Z</dcterms:created>
  <dc:creator>Administrator</dc:creator>
  <cp:lastModifiedBy>20314</cp:lastModifiedBy>
  <cp:lastPrinted>2026-01-08T02:16:00Z</cp:lastPrinted>
  <dcterms:modified xsi:type="dcterms:W3CDTF">2026-02-09T06:47:56Z</dcterms:modified>
  <cp:revision>14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2052-12.8.2.18205</vt:lpwstr>
  </property>
  <property fmtid="{D5CDD505-2E9C-101B-9397-08002B2CF9AE}" pid="3" name="ICV">
    <vt:lpwstr>A69F9FA9E0934B23862D6F2CFBF0B502_13</vt:lpwstr>
  </property>
  <property fmtid="{D5CDD505-2E9C-101B-9397-08002B2CF9AE}" pid="4" name="KSOTemplateDocerSaveRecord">
    <vt:lpwstr>eyJoZGlkIjoiNWYwYjdkYjZlZGM2NWFlNjkyM2U1MWM0ZTNmZWEwZTIiLCJ1c2VySWQiOiIxMDM3NjMxMjY0In0=</vt:lpwstr>
  </property>
</Properties>
</file>